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DCFC2" w14:textId="77777777" w:rsidR="00466005" w:rsidRDefault="00466005" w:rsidP="00466005">
      <w:pPr>
        <w:spacing w:before="280" w:after="240"/>
        <w:rPr>
          <w:b/>
          <w:sz w:val="32"/>
          <w:szCs w:val="32"/>
        </w:rPr>
      </w:pPr>
    </w:p>
    <w:p w14:paraId="31184B3A" w14:textId="77777777" w:rsidR="00466005" w:rsidRPr="00BD3FAE" w:rsidRDefault="00466005" w:rsidP="00466005">
      <w:pPr>
        <w:spacing w:before="280" w:after="240"/>
        <w:rPr>
          <w:b/>
          <w:sz w:val="32"/>
          <w:szCs w:val="32"/>
        </w:rPr>
      </w:pPr>
      <w:r w:rsidRPr="00BD3FAE">
        <w:rPr>
          <w:noProof/>
        </w:rPr>
        <w:drawing>
          <wp:anchor distT="0" distB="0" distL="114300" distR="114300" simplePos="0" relativeHeight="251658240" behindDoc="0" locked="0" layoutInCell="1" allowOverlap="1" wp14:anchorId="5F860C36" wp14:editId="348F6A01">
            <wp:simplePos x="0" y="0"/>
            <wp:positionH relativeFrom="margin">
              <wp:align>center</wp:align>
            </wp:positionH>
            <wp:positionV relativeFrom="margin">
              <wp:align>top</wp:align>
            </wp:positionV>
            <wp:extent cx="3542030" cy="746760"/>
            <wp:effectExtent l="0" t="0" r="1270" b="0"/>
            <wp:wrapSquare wrapText="bothSides"/>
            <wp:docPr id="1" name="Picture 1" descr="Australian Securities and Investmen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Securities and Investments Commiss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0C0AAC64" w14:textId="77777777" w:rsidR="00466005" w:rsidRPr="00BD3FAE" w:rsidRDefault="00466005" w:rsidP="00466005">
      <w:pPr>
        <w:pStyle w:val="LI-Title"/>
        <w:pBdr>
          <w:top w:val="none" w:sz="0" w:space="0" w:color="auto"/>
        </w:pBdr>
        <w:jc w:val="center"/>
      </w:pPr>
    </w:p>
    <w:p w14:paraId="10843446" w14:textId="77777777" w:rsidR="00466005" w:rsidRPr="00BD3FAE" w:rsidRDefault="00466005" w:rsidP="00466005">
      <w:pPr>
        <w:pStyle w:val="LI-Title"/>
        <w:pBdr>
          <w:top w:val="none" w:sz="0" w:space="0" w:color="auto"/>
        </w:pBdr>
        <w:jc w:val="center"/>
      </w:pPr>
      <w:r w:rsidRPr="00BD3FAE">
        <w:t>Explanatory Statement</w:t>
      </w:r>
    </w:p>
    <w:p w14:paraId="3AD620E5" w14:textId="77777777" w:rsidR="00466005" w:rsidRPr="00BD3FAE" w:rsidRDefault="00466005" w:rsidP="00466005">
      <w:pPr>
        <w:rPr>
          <w:lang w:eastAsia="en-AU"/>
        </w:rPr>
      </w:pPr>
    </w:p>
    <w:p w14:paraId="43B8C543" w14:textId="41A202FB" w:rsidR="00466005" w:rsidRPr="00BD3FAE" w:rsidRDefault="00466005" w:rsidP="00466005">
      <w:pPr>
        <w:jc w:val="center"/>
        <w:rPr>
          <w:b/>
          <w:i/>
          <w:sz w:val="28"/>
          <w:szCs w:val="28"/>
          <w:lang w:eastAsia="en-AU"/>
        </w:rPr>
      </w:pPr>
      <w:r w:rsidRPr="00BD3FAE">
        <w:rPr>
          <w:b/>
          <w:i/>
          <w:sz w:val="28"/>
          <w:szCs w:val="28"/>
          <w:lang w:eastAsia="en-AU"/>
        </w:rPr>
        <w:t>ASIC Corporations (Existing Providers) Instrument 2022/</w:t>
      </w:r>
      <w:r w:rsidR="00C225BA" w:rsidRPr="00BD3FAE">
        <w:rPr>
          <w:b/>
          <w:i/>
          <w:sz w:val="28"/>
          <w:szCs w:val="28"/>
          <w:lang w:eastAsia="en-AU"/>
        </w:rPr>
        <w:t>241</w:t>
      </w:r>
    </w:p>
    <w:p w14:paraId="22746D8A" w14:textId="77777777" w:rsidR="00466005" w:rsidRPr="00BD3FAE" w:rsidRDefault="00466005" w:rsidP="00466005">
      <w:pPr>
        <w:jc w:val="center"/>
        <w:rPr>
          <w:b/>
          <w:i/>
          <w:sz w:val="28"/>
          <w:szCs w:val="28"/>
          <w:lang w:eastAsia="en-AU"/>
        </w:rPr>
      </w:pPr>
    </w:p>
    <w:p w14:paraId="679B0492" w14:textId="29A3B1A8" w:rsidR="00466005" w:rsidRPr="00BD3FAE" w:rsidRDefault="00466005" w:rsidP="00466005">
      <w:pPr>
        <w:pStyle w:val="LI-BodyTextParaa"/>
        <w:ind w:left="0" w:firstLine="0"/>
        <w:rPr>
          <w:b/>
          <w:bCs/>
          <w:i/>
          <w:iCs/>
        </w:rPr>
      </w:pPr>
      <w:bookmarkStart w:id="0" w:name="BK_S3P1L1C1"/>
      <w:bookmarkEnd w:id="0"/>
      <w:r w:rsidRPr="00BD3FAE">
        <w:t xml:space="preserve">This is the Explanatory Statement for the </w:t>
      </w:r>
      <w:r w:rsidRPr="00BD3FAE">
        <w:rPr>
          <w:i/>
          <w:iCs/>
        </w:rPr>
        <w:t>ASIC Corporations (Existing Providers) Instrument 2022/</w:t>
      </w:r>
      <w:r w:rsidR="00C225BA" w:rsidRPr="00BD3FAE">
        <w:rPr>
          <w:i/>
          <w:iCs/>
        </w:rPr>
        <w:t>241</w:t>
      </w:r>
      <w:r w:rsidRPr="00BD3FAE">
        <w:t xml:space="preserve"> (the </w:t>
      </w:r>
      <w:r w:rsidRPr="00BD3FAE">
        <w:rPr>
          <w:b/>
          <w:bCs/>
        </w:rPr>
        <w:t>Instrument</w:t>
      </w:r>
      <w:r w:rsidRPr="00BD3FAE">
        <w:t>)</w:t>
      </w:r>
      <w:r w:rsidRPr="00BD3FAE">
        <w:rPr>
          <w:i/>
          <w:iCs/>
        </w:rPr>
        <w:t>.</w:t>
      </w:r>
    </w:p>
    <w:p w14:paraId="410B5325" w14:textId="77777777" w:rsidR="00466005" w:rsidRPr="00BD3FAE" w:rsidRDefault="00466005" w:rsidP="00466005">
      <w:pPr>
        <w:pStyle w:val="LI-BodyTextParaa"/>
        <w:ind w:left="0" w:firstLine="0"/>
      </w:pPr>
      <w:r w:rsidRPr="00BD3FAE">
        <w:t>The Explanatory Statement is approved by the Australian Securities and Investments Commission (</w:t>
      </w:r>
      <w:r w:rsidRPr="00BD3FAE">
        <w:rPr>
          <w:b/>
          <w:iCs/>
        </w:rPr>
        <w:t>ASIC</w:t>
      </w:r>
      <w:r w:rsidRPr="00BD3FAE">
        <w:t>).</w:t>
      </w:r>
    </w:p>
    <w:p w14:paraId="6A8180D0" w14:textId="77777777" w:rsidR="00466005" w:rsidRPr="00BD3FAE" w:rsidRDefault="00466005" w:rsidP="00466005">
      <w:pPr>
        <w:pStyle w:val="LI-Heading2"/>
      </w:pPr>
      <w:r w:rsidRPr="00BD3FAE">
        <w:t>Summary</w:t>
      </w:r>
    </w:p>
    <w:p w14:paraId="34345AB0" w14:textId="0B41937C" w:rsidR="00E93F6C" w:rsidRPr="00BD3FAE" w:rsidRDefault="00466005" w:rsidP="00E93F6C">
      <w:pPr>
        <w:pStyle w:val="LI-BodyTextNumbered"/>
      </w:pPr>
      <w:r w:rsidRPr="00BD3FAE">
        <w:t>The Instrument puts in place interim measures to</w:t>
      </w:r>
      <w:r w:rsidR="00E93F6C" w:rsidRPr="00BD3FAE">
        <w:t xml:space="preserve"> address an unintended prohibition on </w:t>
      </w:r>
      <w:r w:rsidR="0020169B" w:rsidRPr="00BD3FAE">
        <w:t>Australian financial services (</w:t>
      </w:r>
      <w:r w:rsidR="0020169B" w:rsidRPr="00BD3FAE">
        <w:rPr>
          <w:b/>
          <w:bCs/>
        </w:rPr>
        <w:t>AFS</w:t>
      </w:r>
      <w:r w:rsidR="0020169B" w:rsidRPr="00BD3FAE">
        <w:t xml:space="preserve">) licensees authorising </w:t>
      </w:r>
      <w:r w:rsidR="00E93F6C" w:rsidRPr="00BD3FAE">
        <w:t>certain Existing Providers</w:t>
      </w:r>
      <w:r w:rsidR="004310C1" w:rsidRPr="00BD3FAE">
        <w:rPr>
          <w:rStyle w:val="FootnoteReference"/>
        </w:rPr>
        <w:footnoteReference w:id="2"/>
      </w:r>
      <w:r w:rsidR="00E93F6C" w:rsidRPr="00BD3FAE">
        <w:t xml:space="preserve"> </w:t>
      </w:r>
      <w:r w:rsidR="003433AB" w:rsidRPr="00BD3FAE">
        <w:t>to provide</w:t>
      </w:r>
      <w:r w:rsidR="00E93F6C" w:rsidRPr="00BD3FAE">
        <w:t xml:space="preserve"> personal advice to retail clients </w:t>
      </w:r>
      <w:r w:rsidR="007253D6" w:rsidRPr="00BD3FAE">
        <w:t xml:space="preserve">in relation to </w:t>
      </w:r>
      <w:r w:rsidR="00E93F6C" w:rsidRPr="00BD3FAE">
        <w:t>relevant financial products (</w:t>
      </w:r>
      <w:r w:rsidR="00E93F6C" w:rsidRPr="00BD3FAE">
        <w:rPr>
          <w:b/>
          <w:bCs/>
        </w:rPr>
        <w:t>Personal Advice</w:t>
      </w:r>
      <w:r w:rsidR="00E93F6C" w:rsidRPr="00BD3FAE">
        <w:t>)</w:t>
      </w:r>
      <w:r w:rsidR="0020169B" w:rsidRPr="00BD3FAE">
        <w:t xml:space="preserve"> (the </w:t>
      </w:r>
      <w:r w:rsidR="0020169B" w:rsidRPr="00BD3FAE">
        <w:rPr>
          <w:b/>
          <w:bCs/>
        </w:rPr>
        <w:t>Unintended Prohibition</w:t>
      </w:r>
      <w:r w:rsidR="0020169B" w:rsidRPr="00BD3FAE">
        <w:t>)</w:t>
      </w:r>
      <w:r w:rsidR="00E93F6C" w:rsidRPr="00BD3FAE">
        <w:t>.</w:t>
      </w:r>
    </w:p>
    <w:p w14:paraId="4698E39F" w14:textId="32CB5516" w:rsidR="00133AC6" w:rsidRPr="00BD3FAE" w:rsidRDefault="00133AC6" w:rsidP="00133AC6">
      <w:pPr>
        <w:pStyle w:val="LI-BodyTextNumbered"/>
      </w:pPr>
      <w:r w:rsidRPr="00BD3FAE">
        <w:t xml:space="preserve">The </w:t>
      </w:r>
      <w:r w:rsidR="0020169B" w:rsidRPr="00BD3FAE">
        <w:t>U</w:t>
      </w:r>
      <w:r w:rsidRPr="00BD3FAE">
        <w:t xml:space="preserve">nintended </w:t>
      </w:r>
      <w:r w:rsidR="0020169B" w:rsidRPr="00BD3FAE">
        <w:t>P</w:t>
      </w:r>
      <w:r w:rsidRPr="00BD3FAE">
        <w:t xml:space="preserve">rohibition applies to Existing Providers </w:t>
      </w:r>
      <w:r w:rsidR="0055575E" w:rsidRPr="00BD3FAE">
        <w:t>(</w:t>
      </w:r>
      <w:r w:rsidR="0055575E" w:rsidRPr="00BD3FAE">
        <w:rPr>
          <w:b/>
          <w:bCs/>
        </w:rPr>
        <w:t>Affected Existing Providers</w:t>
      </w:r>
      <w:r w:rsidR="0055575E" w:rsidRPr="00BD3FAE">
        <w:t>)</w:t>
      </w:r>
      <w:r w:rsidR="00EC2EB5" w:rsidRPr="00BD3FAE">
        <w:t xml:space="preserve"> who</w:t>
      </w:r>
      <w:r w:rsidR="005414AE" w:rsidRPr="00BD3FAE">
        <w:t>:</w:t>
      </w:r>
    </w:p>
    <w:p w14:paraId="55560843" w14:textId="7920478C" w:rsidR="00133AC6" w:rsidRPr="004F474E" w:rsidRDefault="00133AC6">
      <w:pPr>
        <w:pStyle w:val="LI-BodyTextSubparai"/>
      </w:pPr>
      <w:r w:rsidRPr="00BD3FAE">
        <w:t>ha</w:t>
      </w:r>
      <w:r w:rsidR="005414AE" w:rsidRPr="00BD3FAE">
        <w:t>ve</w:t>
      </w:r>
      <w:r w:rsidRPr="00BD3FAE">
        <w:t xml:space="preserve"> not passed the financial</w:t>
      </w:r>
      <w:r w:rsidRPr="004F474E">
        <w:t xml:space="preserve"> adviser exam </w:t>
      </w:r>
      <w:r w:rsidR="00E007FD" w:rsidRPr="004F474E">
        <w:t>(</w:t>
      </w:r>
      <w:r w:rsidR="0020169B" w:rsidRPr="004F474E">
        <w:t xml:space="preserve">the </w:t>
      </w:r>
      <w:r w:rsidR="00E007FD" w:rsidRPr="004F474E">
        <w:rPr>
          <w:b/>
          <w:bCs/>
        </w:rPr>
        <w:t>Exam Requirement</w:t>
      </w:r>
      <w:r w:rsidR="00E007FD" w:rsidRPr="004F474E">
        <w:t xml:space="preserve">) </w:t>
      </w:r>
      <w:r w:rsidRPr="004F474E">
        <w:t>by 1 January 2022 (or 1 October 2022 in certain cases) (</w:t>
      </w:r>
      <w:r w:rsidRPr="004F474E">
        <w:rPr>
          <w:b/>
          <w:bCs/>
        </w:rPr>
        <w:t>Exam Cut-Off Day</w:t>
      </w:r>
      <w:proofErr w:type="gramStart"/>
      <w:r w:rsidRPr="004F474E">
        <w:t>)</w:t>
      </w:r>
      <w:r w:rsidR="00E007FD" w:rsidRPr="004F474E">
        <w:t>;</w:t>
      </w:r>
      <w:proofErr w:type="gramEnd"/>
      <w:r w:rsidRPr="004F474E">
        <w:t xml:space="preserve"> </w:t>
      </w:r>
    </w:p>
    <w:p w14:paraId="23D4444A" w14:textId="5AB42393" w:rsidR="00133AC6" w:rsidRDefault="00133AC6">
      <w:pPr>
        <w:pStyle w:val="LI-BodyTextSubparai"/>
      </w:pPr>
      <w:proofErr w:type="spellStart"/>
      <w:r w:rsidRPr="004F474E">
        <w:t>were</w:t>
      </w:r>
      <w:proofErr w:type="spellEnd"/>
      <w:r w:rsidRPr="004F474E">
        <w:t xml:space="preserve"> not authorised</w:t>
      </w:r>
      <w:r>
        <w:t xml:space="preserve"> to provide Personal Advice on the relevant Exam Cut-Off Day</w:t>
      </w:r>
      <w:r w:rsidR="00AA1541">
        <w:t xml:space="preserve"> (</w:t>
      </w:r>
      <w:proofErr w:type="gramStart"/>
      <w:r w:rsidR="00AA1541">
        <w:t>i.e.</w:t>
      </w:r>
      <w:proofErr w:type="gramEnd"/>
      <w:r w:rsidR="00AA1541">
        <w:t xml:space="preserve"> either 1 January 2022 or 1 October 2022)</w:t>
      </w:r>
      <w:r>
        <w:t>; and</w:t>
      </w:r>
    </w:p>
    <w:p w14:paraId="7CDECA14" w14:textId="6320D7F2" w:rsidR="00133AC6" w:rsidRPr="00940EE0" w:rsidRDefault="00133AC6">
      <w:pPr>
        <w:pStyle w:val="LI-BodyTextSubparai"/>
      </w:pPr>
      <w:r>
        <w:t>ha</w:t>
      </w:r>
      <w:r w:rsidR="00E007FD">
        <w:t>ve</w:t>
      </w:r>
      <w:r>
        <w:t xml:space="preserve"> not obtained an approved degree</w:t>
      </w:r>
      <w:r w:rsidR="006567CE">
        <w:t>,</w:t>
      </w:r>
      <w:r>
        <w:t xml:space="preserve"> </w:t>
      </w:r>
      <w:proofErr w:type="gramStart"/>
      <w:r>
        <w:t>qualification</w:t>
      </w:r>
      <w:proofErr w:type="gramEnd"/>
      <w:r w:rsidR="006567CE">
        <w:t xml:space="preserve"> or approved course</w:t>
      </w:r>
      <w:r>
        <w:t xml:space="preserve"> (the </w:t>
      </w:r>
      <w:r w:rsidRPr="00466005">
        <w:rPr>
          <w:b/>
          <w:bCs/>
        </w:rPr>
        <w:t>Qualification Requirement</w:t>
      </w:r>
      <w:r>
        <w:t>).</w:t>
      </w:r>
    </w:p>
    <w:p w14:paraId="41A9A2B8" w14:textId="6C30B17A" w:rsidR="00133AC6" w:rsidRDefault="00133AC6" w:rsidP="00E93F6C">
      <w:pPr>
        <w:pStyle w:val="LI-BodyTextNumbered"/>
      </w:pPr>
      <w:r>
        <w:t xml:space="preserve">The </w:t>
      </w:r>
      <w:r w:rsidR="0020169B">
        <w:t>U</w:t>
      </w:r>
      <w:r>
        <w:t xml:space="preserve">nintended </w:t>
      </w:r>
      <w:r w:rsidR="0020169B">
        <w:t>P</w:t>
      </w:r>
      <w:r>
        <w:t xml:space="preserve">rohibition arose following the commencement of the </w:t>
      </w:r>
      <w:r w:rsidRPr="00466005">
        <w:rPr>
          <w:i/>
          <w:iCs/>
        </w:rPr>
        <w:t>Financial Sector Reform (Hayne Royal Commission Response—Better Advice) Act 2021</w:t>
      </w:r>
      <w:r w:rsidRPr="00B83AF7">
        <w:t xml:space="preserve"> (</w:t>
      </w:r>
      <w:r w:rsidRPr="00CA19E4">
        <w:rPr>
          <w:b/>
        </w:rPr>
        <w:t>Better Advice Act</w:t>
      </w:r>
      <w:r>
        <w:t xml:space="preserve">) on 1 January 2022. </w:t>
      </w:r>
    </w:p>
    <w:p w14:paraId="7621B6F9" w14:textId="77CDBF84" w:rsidR="00466005" w:rsidRPr="00B83AF7" w:rsidRDefault="00466005" w:rsidP="00466005">
      <w:pPr>
        <w:pStyle w:val="LI-BodyTextNumbered"/>
      </w:pPr>
      <w:r>
        <w:t xml:space="preserve">The </w:t>
      </w:r>
      <w:r w:rsidRPr="00940EE0">
        <w:t>effect</w:t>
      </w:r>
      <w:r>
        <w:t xml:space="preserve"> of </w:t>
      </w:r>
      <w:r w:rsidR="00133AC6">
        <w:t>the</w:t>
      </w:r>
      <w:r>
        <w:t xml:space="preserve"> Instrument is that Affected Existing Providers need </w:t>
      </w:r>
      <w:r w:rsidR="00AD383A">
        <w:t>only</w:t>
      </w:r>
      <w:r>
        <w:t xml:space="preserve"> pass the Exam Requirement </w:t>
      </w:r>
      <w:r w:rsidR="00E007FD">
        <w:t xml:space="preserve">to be eligible to be authorised </w:t>
      </w:r>
      <w:r w:rsidR="003433AB">
        <w:t xml:space="preserve">by an AFS licensee </w:t>
      </w:r>
      <w:r w:rsidR="00E007FD">
        <w:t>to provide</w:t>
      </w:r>
      <w:r>
        <w:t xml:space="preserve"> </w:t>
      </w:r>
      <w:r w:rsidR="00E93F6C">
        <w:t xml:space="preserve">Personal Advice. </w:t>
      </w:r>
      <w:r w:rsidR="006567CE">
        <w:t xml:space="preserve">Affected Existing Providers must also comply with the Qualification </w:t>
      </w:r>
      <w:r w:rsidR="006567CE">
        <w:lastRenderedPageBreak/>
        <w:t xml:space="preserve">Requirement by 1 January 2026. </w:t>
      </w:r>
      <w:r w:rsidR="00AA1541">
        <w:t xml:space="preserve">This </w:t>
      </w:r>
      <w:r w:rsidR="00B7506C">
        <w:t>effect</w:t>
      </w:r>
      <w:r w:rsidR="00AA1541">
        <w:t xml:space="preserve"> </w:t>
      </w:r>
      <w:r w:rsidR="00B7506C">
        <w:t>achieves</w:t>
      </w:r>
      <w:r w:rsidR="00AA1541">
        <w:t xml:space="preserve"> the intended policy </w:t>
      </w:r>
      <w:r w:rsidR="00B7506C">
        <w:t xml:space="preserve">outcome </w:t>
      </w:r>
      <w:r w:rsidR="00AA1541">
        <w:t xml:space="preserve">of the Better Advice Act. </w:t>
      </w:r>
    </w:p>
    <w:p w14:paraId="227D1838" w14:textId="77777777" w:rsidR="00466005" w:rsidRPr="004A7DDF" w:rsidRDefault="00466005" w:rsidP="00466005">
      <w:pPr>
        <w:pStyle w:val="LI-Heading2"/>
      </w:pPr>
      <w:bookmarkStart w:id="1" w:name="_Hlk98225584"/>
      <w:r w:rsidRPr="004A7DDF">
        <w:t>Purpose of the Instrument</w:t>
      </w:r>
    </w:p>
    <w:p w14:paraId="02AD75EE" w14:textId="77777777" w:rsidR="000E1004" w:rsidRDefault="006844EE" w:rsidP="00AD383A">
      <w:pPr>
        <w:pStyle w:val="LI-BodyTextNumbered"/>
      </w:pPr>
      <w:r>
        <w:t>Amendments made by t</w:t>
      </w:r>
      <w:r w:rsidR="00AD383A">
        <w:t xml:space="preserve">he Better Advice </w:t>
      </w:r>
      <w:r w:rsidR="007D42C6">
        <w:t>Act modify</w:t>
      </w:r>
      <w:r>
        <w:t xml:space="preserve"> </w:t>
      </w:r>
      <w:r w:rsidR="00AD383A">
        <w:t xml:space="preserve">the operation of </w:t>
      </w:r>
      <w:r w:rsidR="00BB324D">
        <w:t>subsectio</w:t>
      </w:r>
      <w:r w:rsidR="007D42C6">
        <w:t>ns</w:t>
      </w:r>
      <w:r w:rsidR="00BB324D">
        <w:t xml:space="preserve"> </w:t>
      </w:r>
      <w:r w:rsidR="00AD383A">
        <w:t>921C</w:t>
      </w:r>
      <w:r w:rsidR="007D42C6">
        <w:t>(1)-(4)</w:t>
      </w:r>
      <w:r w:rsidR="00853EFB">
        <w:t xml:space="preserve"> of the </w:t>
      </w:r>
      <w:r w:rsidR="00853EFB">
        <w:rPr>
          <w:i/>
          <w:iCs/>
        </w:rPr>
        <w:t xml:space="preserve">Corporations Act 2001 </w:t>
      </w:r>
      <w:r w:rsidR="00853EFB">
        <w:t xml:space="preserve">(the </w:t>
      </w:r>
      <w:r w:rsidR="007D42C6">
        <w:rPr>
          <w:b/>
          <w:bCs/>
        </w:rPr>
        <w:t xml:space="preserve">Corporations </w:t>
      </w:r>
      <w:r w:rsidR="00853EFB">
        <w:rPr>
          <w:b/>
          <w:bCs/>
        </w:rPr>
        <w:t>Act</w:t>
      </w:r>
      <w:r w:rsidR="00853EFB">
        <w:t>)</w:t>
      </w:r>
      <w:r w:rsidR="00ED4CC2">
        <w:t xml:space="preserve"> (references to legislation are to the </w:t>
      </w:r>
      <w:r w:rsidR="007D42C6">
        <w:t xml:space="preserve">Corporations </w:t>
      </w:r>
      <w:r w:rsidR="00ED4CC2">
        <w:t>Act unless otherwise stated)</w:t>
      </w:r>
      <w:r w:rsidR="00AD383A">
        <w:t xml:space="preserve">. Section 921C prohibits individuals who have not met the professional standards </w:t>
      </w:r>
      <w:r w:rsidR="00E40463">
        <w:t>set out in section 921B (</w:t>
      </w:r>
      <w:r w:rsidR="00E40463">
        <w:rPr>
          <w:b/>
          <w:bCs/>
        </w:rPr>
        <w:t>Professional Standards</w:t>
      </w:r>
      <w:r w:rsidR="00E40463">
        <w:t xml:space="preserve">) </w:t>
      </w:r>
      <w:r w:rsidR="00AD383A">
        <w:t xml:space="preserve">from being authorised to provide </w:t>
      </w:r>
      <w:r w:rsidR="00853EFB">
        <w:t>Personal Advice.</w:t>
      </w:r>
      <w:r w:rsidR="00AD383A">
        <w:t xml:space="preserve"> </w:t>
      </w:r>
    </w:p>
    <w:p w14:paraId="62CC4F0D" w14:textId="1EA3F67D" w:rsidR="006567CE" w:rsidRDefault="007D42C6" w:rsidP="00AD383A">
      <w:pPr>
        <w:pStyle w:val="LI-BodyTextNumbered"/>
      </w:pPr>
      <w:r>
        <w:t>T</w:t>
      </w:r>
      <w:r w:rsidR="00AD383A">
        <w:t>ransitional provisions</w:t>
      </w:r>
      <w:r>
        <w:t xml:space="preserve"> inserted into the Corporations Act by</w:t>
      </w:r>
      <w:r w:rsidR="00AD383A">
        <w:t xml:space="preserve"> the Better Advice Act allow </w:t>
      </w:r>
      <w:r w:rsidR="00853EFB">
        <w:t>E</w:t>
      </w:r>
      <w:r w:rsidR="00AD383A">
        <w:t xml:space="preserve">xisting </w:t>
      </w:r>
      <w:r w:rsidR="00853EFB">
        <w:t>P</w:t>
      </w:r>
      <w:r w:rsidR="00AD383A">
        <w:t xml:space="preserve">roviders to meet the </w:t>
      </w:r>
      <w:r w:rsidR="00E40463">
        <w:t>P</w:t>
      </w:r>
      <w:r w:rsidR="00AD383A">
        <w:t xml:space="preserve">rofessional </w:t>
      </w:r>
      <w:r w:rsidR="00E40463">
        <w:t>S</w:t>
      </w:r>
      <w:r w:rsidR="00AD383A">
        <w:t>tandards in a staggered way</w:t>
      </w:r>
      <w:r w:rsidR="004F4637">
        <w:t xml:space="preserve"> (as did the transitional provisions inserted by the </w:t>
      </w:r>
      <w:r w:rsidR="004F4637" w:rsidRPr="00853EFB">
        <w:rPr>
          <w:i/>
          <w:iCs/>
        </w:rPr>
        <w:t>Corporations Amendment (Professional Standards of Financial Advisers Act 2017</w:t>
      </w:r>
      <w:r w:rsidR="004F4637">
        <w:t xml:space="preserve"> which </w:t>
      </w:r>
      <w:r w:rsidR="003433AB">
        <w:t>introduced</w:t>
      </w:r>
      <w:r w:rsidR="004F4637">
        <w:t xml:space="preserve"> the </w:t>
      </w:r>
      <w:r w:rsidR="00C225BA">
        <w:t>P</w:t>
      </w:r>
      <w:r w:rsidR="004F4637">
        <w:t xml:space="preserve">rofessional </w:t>
      </w:r>
      <w:r w:rsidR="00C225BA">
        <w:t>S</w:t>
      </w:r>
      <w:r w:rsidR="004F4637">
        <w:t>tandards)</w:t>
      </w:r>
      <w:r w:rsidR="00AD383A">
        <w:t xml:space="preserve">. Individuals who are not </w:t>
      </w:r>
      <w:r w:rsidR="00B7506C">
        <w:t>E</w:t>
      </w:r>
      <w:r w:rsidR="00AD383A">
        <w:t xml:space="preserve">xisting </w:t>
      </w:r>
      <w:r w:rsidR="00B7506C">
        <w:t>P</w:t>
      </w:r>
      <w:r w:rsidR="00AD383A">
        <w:t xml:space="preserve">roviders (known as new entrants) do not have the benefit of the transitional provisions and are required to meet all the </w:t>
      </w:r>
      <w:r w:rsidR="00E40463">
        <w:t>P</w:t>
      </w:r>
      <w:r w:rsidR="00AD383A">
        <w:t xml:space="preserve">rofessional </w:t>
      </w:r>
      <w:r w:rsidR="00E40463">
        <w:t>S</w:t>
      </w:r>
      <w:r w:rsidR="00AD383A">
        <w:t>tandards before they are eligible to be authorised to provide Personal Advice</w:t>
      </w:r>
      <w:r w:rsidR="006567CE">
        <w:t>. That is, new entrants must:</w:t>
      </w:r>
    </w:p>
    <w:p w14:paraId="4D414783" w14:textId="6398E735" w:rsidR="006567CE" w:rsidRDefault="006567CE" w:rsidP="00E07F32">
      <w:pPr>
        <w:pStyle w:val="LI-BodyTextNumbered"/>
        <w:numPr>
          <w:ilvl w:val="0"/>
          <w:numId w:val="6"/>
        </w:numPr>
      </w:pPr>
      <w:r>
        <w:t xml:space="preserve">complete an approved degree, qualification or approved courses under </w:t>
      </w:r>
      <w:r w:rsidR="00E07F32">
        <w:t xml:space="preserve">subsection </w:t>
      </w:r>
      <w:r>
        <w:t>921B(2</w:t>
      </w:r>
      <w:proofErr w:type="gramStart"/>
      <w:r>
        <w:t>);</w:t>
      </w:r>
      <w:proofErr w:type="gramEnd"/>
    </w:p>
    <w:p w14:paraId="5CBFD809" w14:textId="0C04C018" w:rsidR="006567CE" w:rsidRDefault="006567CE" w:rsidP="006567CE">
      <w:pPr>
        <w:pStyle w:val="LI-BodyTextNumbered"/>
        <w:numPr>
          <w:ilvl w:val="0"/>
          <w:numId w:val="6"/>
        </w:numPr>
      </w:pPr>
      <w:r>
        <w:t>pass the financial adviser exam administered by ASIC under</w:t>
      </w:r>
      <w:r w:rsidR="00E07F32">
        <w:t xml:space="preserve"> subsection</w:t>
      </w:r>
      <w:r>
        <w:t xml:space="preserve"> 921B(3); and </w:t>
      </w:r>
    </w:p>
    <w:p w14:paraId="684DB718" w14:textId="4CFDCECB" w:rsidR="00AD383A" w:rsidRDefault="006567CE" w:rsidP="00E07F32">
      <w:pPr>
        <w:pStyle w:val="LI-BodyTextNumbered"/>
        <w:numPr>
          <w:ilvl w:val="0"/>
          <w:numId w:val="6"/>
        </w:numPr>
      </w:pPr>
      <w:r>
        <w:t xml:space="preserve">complete, or be undertaking, work and training, in accordance with </w:t>
      </w:r>
      <w:r w:rsidR="00E07F32">
        <w:t xml:space="preserve">subsection </w:t>
      </w:r>
      <w:r>
        <w:t>921B(4)</w:t>
      </w:r>
      <w:r w:rsidR="00AD383A">
        <w:t xml:space="preserve">. </w:t>
      </w:r>
    </w:p>
    <w:p w14:paraId="0875F667" w14:textId="0561CD7D" w:rsidR="00AD383A" w:rsidRDefault="00AD383A" w:rsidP="00AD383A">
      <w:pPr>
        <w:pStyle w:val="LI-BodyTextNumbered"/>
      </w:pPr>
      <w:r>
        <w:t xml:space="preserve">Prior to the commencement of the Better Advice Act, </w:t>
      </w:r>
      <w:r w:rsidR="00B867FC">
        <w:t>E</w:t>
      </w:r>
      <w:r>
        <w:t xml:space="preserve">xisting </w:t>
      </w:r>
      <w:r w:rsidR="00B867FC">
        <w:t>P</w:t>
      </w:r>
      <w:r>
        <w:t xml:space="preserve">roviders </w:t>
      </w:r>
      <w:r w:rsidR="00853EFB">
        <w:t xml:space="preserve">generally </w:t>
      </w:r>
      <w:r>
        <w:t xml:space="preserve">had until 1 January 2026 to </w:t>
      </w:r>
      <w:r w:rsidR="00E21BFC">
        <w:t>meet the Qualification Requirement</w:t>
      </w:r>
      <w:r>
        <w:t xml:space="preserve">.  </w:t>
      </w:r>
    </w:p>
    <w:p w14:paraId="307A895D" w14:textId="458E521E" w:rsidR="00AD383A" w:rsidRDefault="00AD383A" w:rsidP="00505982">
      <w:pPr>
        <w:pStyle w:val="LI-BodyTextNumbered"/>
      </w:pPr>
      <w:r>
        <w:t>Section 1684D (</w:t>
      </w:r>
      <w:r w:rsidR="0020169B">
        <w:t>inserted</w:t>
      </w:r>
      <w:r>
        <w:t xml:space="preserve"> by the Better Advice Act) has the unintended effect that </w:t>
      </w:r>
      <w:r w:rsidR="00E21BFC">
        <w:t>Affected E</w:t>
      </w:r>
      <w:r>
        <w:t xml:space="preserve">xisting </w:t>
      </w:r>
      <w:r w:rsidR="00E21BFC">
        <w:t>P</w:t>
      </w:r>
      <w:r>
        <w:t xml:space="preserve">roviders are required to </w:t>
      </w:r>
      <w:r w:rsidR="00332F63">
        <w:t xml:space="preserve">meet the Exam Requirement and </w:t>
      </w:r>
      <w:r w:rsidR="00BF3D51">
        <w:t xml:space="preserve">the </w:t>
      </w:r>
      <w:r w:rsidR="00332F63">
        <w:t>Qualification Requirement</w:t>
      </w:r>
      <w:r w:rsidR="00CB06CF">
        <w:t xml:space="preserve"> </w:t>
      </w:r>
      <w:r w:rsidRPr="00B867FC">
        <w:rPr>
          <w:i/>
          <w:iCs/>
        </w:rPr>
        <w:t>before</w:t>
      </w:r>
      <w:r>
        <w:t xml:space="preserve"> they are eligible to be authorised to provide Personal Advice. </w:t>
      </w:r>
      <w:r w:rsidR="00EC2EB5">
        <w:t>That is</w:t>
      </w:r>
      <w:r>
        <w:t xml:space="preserve">, </w:t>
      </w:r>
      <w:r w:rsidR="00E21BFC">
        <w:t>the Affected Existing Providers</w:t>
      </w:r>
      <w:r>
        <w:t xml:space="preserve"> no longer have until 1 January 2026 to </w:t>
      </w:r>
      <w:r w:rsidR="00E21BFC">
        <w:t>mee</w:t>
      </w:r>
      <w:r w:rsidR="00B867FC">
        <w:t>t</w:t>
      </w:r>
      <w:r w:rsidR="00E21BFC">
        <w:t xml:space="preserve"> the Qualification Requirement</w:t>
      </w:r>
      <w:r w:rsidR="0020169B">
        <w:t>.</w:t>
      </w:r>
    </w:p>
    <w:p w14:paraId="67F4743F" w14:textId="173E1502" w:rsidR="00AD383A" w:rsidRDefault="00AD383A" w:rsidP="00AD383A">
      <w:pPr>
        <w:pStyle w:val="LI-BodyTextNumbered"/>
      </w:pPr>
      <w:r>
        <w:t xml:space="preserve">An example of </w:t>
      </w:r>
      <w:r w:rsidR="00AA1541">
        <w:t xml:space="preserve">how the </w:t>
      </w:r>
      <w:r w:rsidR="0020169B">
        <w:t>U</w:t>
      </w:r>
      <w:r w:rsidR="00AA1541">
        <w:t xml:space="preserve">nintended </w:t>
      </w:r>
      <w:r w:rsidR="0020169B">
        <w:t>P</w:t>
      </w:r>
      <w:r w:rsidR="00AA1541">
        <w:t xml:space="preserve">rohibition </w:t>
      </w:r>
      <w:r w:rsidR="00B867FC">
        <w:t>applies to</w:t>
      </w:r>
      <w:r>
        <w:t xml:space="preserve"> </w:t>
      </w:r>
      <w:r w:rsidR="00AA1541">
        <w:t xml:space="preserve">Affected Existing Providers </w:t>
      </w:r>
      <w:r>
        <w:t>follows:</w:t>
      </w:r>
    </w:p>
    <w:p w14:paraId="281C8F52" w14:textId="297ADB8B" w:rsidR="00AD383A" w:rsidRPr="00E21BFC" w:rsidRDefault="00AD383A" w:rsidP="003A6B9B">
      <w:pPr>
        <w:pStyle w:val="LI-BodyTextNumbered"/>
        <w:numPr>
          <w:ilvl w:val="0"/>
          <w:numId w:val="0"/>
        </w:numPr>
        <w:ind w:left="1134"/>
        <w:rPr>
          <w:i/>
          <w:iCs/>
        </w:rPr>
      </w:pPr>
      <w:r w:rsidRPr="00E21BFC">
        <w:rPr>
          <w:i/>
          <w:iCs/>
        </w:rPr>
        <w:t xml:space="preserve">Jane is an existing provider. In </w:t>
      </w:r>
      <w:r w:rsidR="00D57ED3">
        <w:rPr>
          <w:i/>
          <w:iCs/>
        </w:rPr>
        <w:t xml:space="preserve">August </w:t>
      </w:r>
      <w:r w:rsidRPr="00E21BFC">
        <w:rPr>
          <w:i/>
          <w:iCs/>
        </w:rPr>
        <w:t>2020 she commenced a career</w:t>
      </w:r>
      <w:r>
        <w:t xml:space="preserve"> </w:t>
      </w:r>
      <w:r w:rsidRPr="00E21BFC">
        <w:rPr>
          <w:i/>
          <w:iCs/>
        </w:rPr>
        <w:t xml:space="preserve">break and ceased her authorisation to provide Personal Advice. </w:t>
      </w:r>
      <w:r w:rsidR="00332F63" w:rsidRPr="00EE16EE">
        <w:rPr>
          <w:i/>
          <w:iCs/>
        </w:rPr>
        <w:t>Before commencing her career break, Jane’s AFS licensee advised her that from 1 January 2022, she would be eligible to be re-authorised to provide Personal Advice as long as she had (a) passed the exam, and (b) obtained an approved degree prior to 1 January 2026 (</w:t>
      </w:r>
      <w:proofErr w:type="gramStart"/>
      <w:r w:rsidR="00332F63" w:rsidRPr="00EE16EE">
        <w:rPr>
          <w:i/>
          <w:iCs/>
        </w:rPr>
        <w:t>i.e.</w:t>
      </w:r>
      <w:proofErr w:type="gramEnd"/>
      <w:r w:rsidR="00332F63" w:rsidRPr="00EE16EE">
        <w:rPr>
          <w:i/>
          <w:iCs/>
        </w:rPr>
        <w:t xml:space="preserve"> before 1 January 2026 she could be re-authorised to provide Personal Advice without having a degree). She would not have to complete a professional year.</w:t>
      </w:r>
    </w:p>
    <w:p w14:paraId="6AB30EFC" w14:textId="3A4A7653" w:rsidR="00AD383A" w:rsidRPr="00E21BFC" w:rsidRDefault="00AD383A" w:rsidP="003A6B9B">
      <w:pPr>
        <w:pStyle w:val="LI-BodyTextNumbered"/>
        <w:numPr>
          <w:ilvl w:val="0"/>
          <w:numId w:val="0"/>
        </w:numPr>
        <w:ind w:left="1134"/>
        <w:rPr>
          <w:i/>
          <w:iCs/>
        </w:rPr>
      </w:pPr>
      <w:r w:rsidRPr="00E21BFC">
        <w:rPr>
          <w:i/>
          <w:iCs/>
        </w:rPr>
        <w:t xml:space="preserve">Jane intended to conclude her career break in March 2022. In February 2022 she sat and passed the </w:t>
      </w:r>
      <w:r w:rsidR="00AA1541">
        <w:rPr>
          <w:i/>
          <w:iCs/>
        </w:rPr>
        <w:t xml:space="preserve">financial adviser </w:t>
      </w:r>
      <w:r w:rsidRPr="00E21BFC">
        <w:rPr>
          <w:i/>
          <w:iCs/>
        </w:rPr>
        <w:t xml:space="preserve">exam </w:t>
      </w:r>
      <w:r w:rsidR="000B4EEF">
        <w:rPr>
          <w:i/>
          <w:iCs/>
        </w:rPr>
        <w:t>a</w:t>
      </w:r>
      <w:r w:rsidR="00F3069C">
        <w:rPr>
          <w:i/>
          <w:iCs/>
        </w:rPr>
        <w:t>dministered</w:t>
      </w:r>
      <w:r w:rsidR="000B4EEF" w:rsidRPr="00E21BFC">
        <w:rPr>
          <w:i/>
          <w:iCs/>
        </w:rPr>
        <w:t xml:space="preserve"> </w:t>
      </w:r>
      <w:r w:rsidRPr="00E21BFC">
        <w:rPr>
          <w:i/>
          <w:iCs/>
        </w:rPr>
        <w:t xml:space="preserve">by ASIC. Despite not having a degree, Jane applied for authorisation to provide Personal Advice from </w:t>
      </w:r>
      <w:r w:rsidRPr="00E21BFC">
        <w:rPr>
          <w:i/>
          <w:iCs/>
        </w:rPr>
        <w:lastRenderedPageBreak/>
        <w:t xml:space="preserve">her former </w:t>
      </w:r>
      <w:r w:rsidR="007A3B4D">
        <w:rPr>
          <w:i/>
          <w:iCs/>
        </w:rPr>
        <w:t xml:space="preserve">AFS </w:t>
      </w:r>
      <w:r w:rsidRPr="00E21BFC">
        <w:rPr>
          <w:i/>
          <w:iCs/>
        </w:rPr>
        <w:t xml:space="preserve">licensee on the basis that she had until 1 January 2026 to complete a degree. </w:t>
      </w:r>
    </w:p>
    <w:p w14:paraId="6612F160" w14:textId="5E2C96C9" w:rsidR="00690913" w:rsidRDefault="00690913" w:rsidP="00690913">
      <w:pPr>
        <w:pStyle w:val="LI-BodyTextNumbered"/>
      </w:pPr>
      <w:r>
        <w:t xml:space="preserve">In the above scenario, </w:t>
      </w:r>
      <w:r w:rsidR="00D61F52">
        <w:t xml:space="preserve">sections 1684D and 921C have the effect that </w:t>
      </w:r>
      <w:r>
        <w:t>Jane</w:t>
      </w:r>
      <w:r w:rsidR="00D61F52">
        <w:t>, who was on a career break,</w:t>
      </w:r>
      <w:r>
        <w:t xml:space="preserve"> is prohibited from being authorised to provide Personal Advice </w:t>
      </w:r>
      <w:r w:rsidR="00495D70">
        <w:t xml:space="preserve">until she has also met the </w:t>
      </w:r>
      <w:r w:rsidR="00D61F52">
        <w:t xml:space="preserve">Qualification Requirement. </w:t>
      </w:r>
      <w:r>
        <w:t xml:space="preserve">  </w:t>
      </w:r>
    </w:p>
    <w:p w14:paraId="1F825AB9" w14:textId="1A7FDA94" w:rsidR="00466005" w:rsidRDefault="00466005" w:rsidP="00466005">
      <w:pPr>
        <w:pStyle w:val="LI-BodyTextNumbered"/>
      </w:pPr>
      <w:r>
        <w:t xml:space="preserve">The Instrument </w:t>
      </w:r>
      <w:r w:rsidR="006844EE">
        <w:t>provides exemptions from</w:t>
      </w:r>
      <w:r>
        <w:t xml:space="preserve"> subsections 921C(2) to 921C(4) so that </w:t>
      </w:r>
      <w:r w:rsidR="00BB244F">
        <w:t xml:space="preserve">AFS licensees and authorised representatives of AFS licensees are permitted to authorise </w:t>
      </w:r>
      <w:r>
        <w:t>Affected Existing Provider</w:t>
      </w:r>
      <w:r w:rsidR="00BB244F">
        <w:t xml:space="preserve">s </w:t>
      </w:r>
      <w:r w:rsidR="00B7506C">
        <w:t>to provide Personal Advice if the Affected Existing Provider has</w:t>
      </w:r>
      <w:r w:rsidR="00D95B05">
        <w:t xml:space="preserve"> met the Exam Requirement</w:t>
      </w:r>
      <w:r w:rsidR="00495D70">
        <w:t xml:space="preserve">, </w:t>
      </w:r>
      <w:r w:rsidR="00D832B1">
        <w:t>regardless of</w:t>
      </w:r>
      <w:r w:rsidR="00495D70">
        <w:t xml:space="preserve"> </w:t>
      </w:r>
      <w:r w:rsidR="00D832B1">
        <w:t>whether the</w:t>
      </w:r>
      <w:r w:rsidR="00025D44">
        <w:t xml:space="preserve"> Affected Existing Provider has </w:t>
      </w:r>
      <w:r w:rsidR="00495D70">
        <w:t>also met the Qualification Requirement</w:t>
      </w:r>
      <w:r w:rsidR="00B7506C">
        <w:t>.</w:t>
      </w:r>
      <w:r w:rsidR="006318A8">
        <w:t xml:space="preserve"> This achieves the intended policy outcome under the Better Advice Act.</w:t>
      </w:r>
      <w:r w:rsidR="00A10985">
        <w:rPr>
          <w:rStyle w:val="FootnoteReference"/>
        </w:rPr>
        <w:footnoteReference w:id="3"/>
      </w:r>
      <w:r w:rsidR="00D832B1">
        <w:t xml:space="preserve"> </w:t>
      </w:r>
    </w:p>
    <w:p w14:paraId="35F1285F" w14:textId="4B3783E9" w:rsidR="00412BBA" w:rsidRPr="00412BBA" w:rsidRDefault="00412BBA" w:rsidP="00412BBA">
      <w:pPr>
        <w:pStyle w:val="LI-BodyTextNumbered"/>
      </w:pPr>
      <w:r>
        <w:t>Existing Providers who were (or are) Relevant Providers</w:t>
      </w:r>
      <w:r w:rsidRPr="00412BBA">
        <w:rPr>
          <w:rStyle w:val="FootnoteReference"/>
        </w:rPr>
        <w:footnoteReference w:id="4"/>
      </w:r>
      <w:r>
        <w:t xml:space="preserve"> on the Exam Cut-Off Day do not get the benefit of the Instrument. This is consistent with the policy intent of the Better Advice Act. </w:t>
      </w:r>
    </w:p>
    <w:p w14:paraId="66DF1DC8" w14:textId="639FD389" w:rsidR="00466005" w:rsidRPr="00731AC7" w:rsidRDefault="00ED4CC2" w:rsidP="00466005">
      <w:pPr>
        <w:pStyle w:val="LI-BodyTextNumbered"/>
      </w:pPr>
      <w:r>
        <w:t>Separately, s</w:t>
      </w:r>
      <w:r w:rsidR="006844EE">
        <w:t>ubsectio</w:t>
      </w:r>
      <w:r w:rsidR="00F75B2C">
        <w:t>n</w:t>
      </w:r>
      <w:r w:rsidR="005D0590">
        <w:t xml:space="preserve"> </w:t>
      </w:r>
      <w:r w:rsidR="00466005">
        <w:t xml:space="preserve">921C(1) prohibits ASIC from </w:t>
      </w:r>
      <w:r>
        <w:t>issuing</w:t>
      </w:r>
      <w:r w:rsidR="00466005">
        <w:t xml:space="preserve"> an AFS license </w:t>
      </w:r>
      <w:r>
        <w:t xml:space="preserve">to an individual </w:t>
      </w:r>
      <w:r w:rsidR="00466005">
        <w:t xml:space="preserve">that covers the provision of </w:t>
      </w:r>
      <w:r>
        <w:t>Personal Advice</w:t>
      </w:r>
      <w:r w:rsidR="00B7506C">
        <w:t xml:space="preserve"> if the individual</w:t>
      </w:r>
      <w:r w:rsidR="00466005">
        <w:t xml:space="preserve"> has not complied with the Qualification Requirement and the Exam Requirement. </w:t>
      </w:r>
      <w:r w:rsidR="00817392">
        <w:t xml:space="preserve">Using the example in paragraph 8 above, subsection 921C(1) would prohibit ASIC from issuing Jane an AFS licence. </w:t>
      </w:r>
      <w:r w:rsidR="008D6376">
        <w:t>This Instrument does not affect th</w:t>
      </w:r>
      <w:r w:rsidR="00025D44">
        <w:t xml:space="preserve">e prohibition in subsection 921C(1) </w:t>
      </w:r>
      <w:r w:rsidR="00DC68F4">
        <w:t xml:space="preserve">as </w:t>
      </w:r>
      <w:r w:rsidR="00B7506C">
        <w:t xml:space="preserve">ASIC </w:t>
      </w:r>
      <w:r w:rsidR="00466005">
        <w:t xml:space="preserve">does not </w:t>
      </w:r>
      <w:r w:rsidR="00466005" w:rsidRPr="00940EE0">
        <w:t>consider</w:t>
      </w:r>
      <w:r w:rsidR="00466005">
        <w:t xml:space="preserve"> it appropriate to use its exemption power to give </w:t>
      </w:r>
      <w:r w:rsidR="00B7506C">
        <w:t xml:space="preserve">itself </w:t>
      </w:r>
      <w:r w:rsidR="00466005">
        <w:t xml:space="preserve">relief from its licensing obligations. </w:t>
      </w:r>
    </w:p>
    <w:p w14:paraId="188672CD" w14:textId="77777777" w:rsidR="00466005" w:rsidRPr="005525AE" w:rsidRDefault="00466005" w:rsidP="00466005">
      <w:pPr>
        <w:pStyle w:val="LI-Heading2"/>
      </w:pPr>
      <w:bookmarkStart w:id="2" w:name="_Hlk534291624"/>
      <w:r w:rsidRPr="005525AE">
        <w:t>Consultation</w:t>
      </w:r>
    </w:p>
    <w:p w14:paraId="78EEE096" w14:textId="41E5DFD0" w:rsidR="00466005" w:rsidRDefault="00BB244F" w:rsidP="00466005">
      <w:pPr>
        <w:pStyle w:val="LI-BodyTextNumbered"/>
      </w:pPr>
      <w:r>
        <w:t xml:space="preserve">Following identification of the </w:t>
      </w:r>
      <w:r w:rsidR="006318A8">
        <w:t>U</w:t>
      </w:r>
      <w:r>
        <w:t>nintended</w:t>
      </w:r>
      <w:r w:rsidR="005E0560">
        <w:t xml:space="preserve"> </w:t>
      </w:r>
      <w:r w:rsidR="006318A8">
        <w:t>P</w:t>
      </w:r>
      <w:r w:rsidR="005E0560">
        <w:t>rohibition</w:t>
      </w:r>
      <w:r w:rsidR="00C16472">
        <w:t xml:space="preserve">, </w:t>
      </w:r>
      <w:r w:rsidR="00466005" w:rsidRPr="005525AE">
        <w:t xml:space="preserve">ASIC consulted with </w:t>
      </w:r>
      <w:r w:rsidR="00EC2EB5">
        <w:t xml:space="preserve">the Commonwealth </w:t>
      </w:r>
      <w:r w:rsidR="00466005" w:rsidRPr="005525AE">
        <w:t>Treasury</w:t>
      </w:r>
      <w:r w:rsidR="00C16472">
        <w:t xml:space="preserve">. Treasury </w:t>
      </w:r>
      <w:r w:rsidR="001E1440">
        <w:t>supports the instrument.</w:t>
      </w:r>
    </w:p>
    <w:p w14:paraId="7F2ACA95" w14:textId="3E46D159" w:rsidR="00466005" w:rsidRPr="00583BA6" w:rsidRDefault="00A24EE2" w:rsidP="00466005">
      <w:pPr>
        <w:pStyle w:val="LI-BodyTextNumbered"/>
        <w:rPr>
          <w:color w:val="FF0000"/>
        </w:rPr>
      </w:pPr>
      <w:r>
        <w:t>Given the nature of the relief</w:t>
      </w:r>
      <w:r w:rsidR="00466005">
        <w:t xml:space="preserve">, no </w:t>
      </w:r>
      <w:r>
        <w:t>other</w:t>
      </w:r>
      <w:r w:rsidR="00466005">
        <w:t xml:space="preserve"> consultation has been undertaken</w:t>
      </w:r>
      <w:r w:rsidR="001E1440">
        <w:t xml:space="preserve"> by ASIC</w:t>
      </w:r>
      <w:r>
        <w:t>.</w:t>
      </w:r>
    </w:p>
    <w:p w14:paraId="27AAAC25" w14:textId="77777777" w:rsidR="00466005" w:rsidRPr="00583BA6" w:rsidRDefault="00466005" w:rsidP="00466005">
      <w:pPr>
        <w:pStyle w:val="LI-Heading2"/>
        <w:ind w:left="0" w:firstLine="0"/>
      </w:pPr>
      <w:r>
        <w:t>Operation of the Instrument</w:t>
      </w:r>
    </w:p>
    <w:p w14:paraId="599ABE36" w14:textId="77777777" w:rsidR="00466005" w:rsidRPr="00583BA6" w:rsidRDefault="00466005" w:rsidP="00466005">
      <w:pPr>
        <w:pStyle w:val="LI-Heading2"/>
        <w:spacing w:before="120" w:after="120"/>
        <w:rPr>
          <w:i/>
          <w:iCs/>
        </w:rPr>
      </w:pPr>
      <w:r w:rsidRPr="00940EE0">
        <w:rPr>
          <w:i/>
          <w:iCs/>
        </w:rPr>
        <w:t>Commencement</w:t>
      </w:r>
    </w:p>
    <w:p w14:paraId="2080155B" w14:textId="77777777" w:rsidR="00466005" w:rsidRDefault="00466005" w:rsidP="00466005">
      <w:pPr>
        <w:pStyle w:val="LI-BodyTextNumbered"/>
      </w:pPr>
      <w:r w:rsidRPr="00B9138C">
        <w:t xml:space="preserve">Section 2 of the Instrument provides that the Instrument commences on the day after the Instrument is registered on the Federal Register of Legislation. </w:t>
      </w:r>
    </w:p>
    <w:p w14:paraId="6CC00193" w14:textId="77777777" w:rsidR="00466005" w:rsidRPr="00583BA6" w:rsidRDefault="00466005" w:rsidP="00466005">
      <w:pPr>
        <w:autoSpaceDE w:val="0"/>
        <w:autoSpaceDN w:val="0"/>
        <w:adjustRightInd w:val="0"/>
        <w:spacing w:before="120" w:after="120" w:line="240" w:lineRule="auto"/>
        <w:rPr>
          <w:b/>
          <w:bCs/>
          <w:i/>
          <w:iCs/>
          <w:sz w:val="24"/>
          <w:szCs w:val="24"/>
        </w:rPr>
      </w:pPr>
      <w:r>
        <w:rPr>
          <w:b/>
          <w:bCs/>
          <w:i/>
          <w:iCs/>
          <w:sz w:val="24"/>
          <w:szCs w:val="24"/>
        </w:rPr>
        <w:lastRenderedPageBreak/>
        <w:t>Authority</w:t>
      </w:r>
    </w:p>
    <w:p w14:paraId="1D09431D" w14:textId="12ED6C4F" w:rsidR="00466005" w:rsidRDefault="00466005" w:rsidP="00466005">
      <w:pPr>
        <w:pStyle w:val="LI-BodyTextNumbered"/>
        <w:rPr>
          <w:rFonts w:eastAsiaTheme="minorHAnsi"/>
        </w:rPr>
      </w:pPr>
      <w:r w:rsidRPr="00731AC7">
        <w:t xml:space="preserve">Section 3 of the Instrument provides that the Instrument is made under </w:t>
      </w:r>
      <w:bookmarkStart w:id="3" w:name="_Hlk98423850"/>
      <w:r w:rsidR="00F75B2C">
        <w:t>paragraph</w:t>
      </w:r>
      <w:r w:rsidR="005B5FE7">
        <w:t> </w:t>
      </w:r>
      <w:r w:rsidRPr="00731AC7">
        <w:t>926A(2)(a)</w:t>
      </w:r>
      <w:bookmarkEnd w:id="3"/>
      <w:r w:rsidRPr="00731AC7">
        <w:t xml:space="preserve">. This </w:t>
      </w:r>
      <w:r w:rsidR="00CB06CF">
        <w:t xml:space="preserve">paragraph </w:t>
      </w:r>
      <w:r w:rsidRPr="00731AC7">
        <w:t xml:space="preserve">confers power on ASIC to exempt </w:t>
      </w:r>
      <w:r w:rsidRPr="00731AC7">
        <w:rPr>
          <w:rFonts w:eastAsiaTheme="minorHAnsi"/>
        </w:rPr>
        <w:t xml:space="preserve">a person or class of persons from all or specified provisions to which </w:t>
      </w:r>
      <w:r>
        <w:rPr>
          <w:rFonts w:eastAsiaTheme="minorHAnsi"/>
        </w:rPr>
        <w:t>it</w:t>
      </w:r>
      <w:r w:rsidRPr="00731AC7">
        <w:rPr>
          <w:rFonts w:eastAsiaTheme="minorHAnsi"/>
        </w:rPr>
        <w:t xml:space="preserve"> applies. </w:t>
      </w:r>
    </w:p>
    <w:p w14:paraId="7B470A5D" w14:textId="0BA8AE4A" w:rsidR="00A95F52" w:rsidRDefault="00EA6CE2" w:rsidP="00EA6CE2">
      <w:pPr>
        <w:pStyle w:val="LI-BodyTextNumbered"/>
        <w:rPr>
          <w:rFonts w:eastAsiaTheme="minorHAnsi"/>
        </w:rPr>
      </w:pPr>
      <w:proofErr w:type="gramStart"/>
      <w:r>
        <w:t>In particular, paragraph</w:t>
      </w:r>
      <w:proofErr w:type="gramEnd"/>
      <w:r w:rsidR="00466005" w:rsidRPr="00731AC7">
        <w:rPr>
          <w:rFonts w:eastAsiaTheme="minorHAnsi"/>
        </w:rPr>
        <w:t xml:space="preserve"> 926A(2)(a) </w:t>
      </w:r>
      <w:r>
        <w:rPr>
          <w:rFonts w:eastAsiaTheme="minorHAnsi"/>
        </w:rPr>
        <w:t>enables ASIC to exempt a person or class of persons from</w:t>
      </w:r>
      <w:r w:rsidR="00466005" w:rsidRPr="00731AC7">
        <w:rPr>
          <w:rFonts w:eastAsiaTheme="minorHAnsi"/>
        </w:rPr>
        <w:t xml:space="preserve"> </w:t>
      </w:r>
      <w:r w:rsidR="00C21950">
        <w:rPr>
          <w:rFonts w:eastAsiaTheme="minorHAnsi"/>
        </w:rPr>
        <w:t xml:space="preserve">being required to satisfy the requirements for authorisation in </w:t>
      </w:r>
      <w:r w:rsidR="00466005">
        <w:rPr>
          <w:rFonts w:eastAsiaTheme="minorHAnsi"/>
        </w:rPr>
        <w:t xml:space="preserve">section </w:t>
      </w:r>
      <w:r w:rsidR="00466005" w:rsidRPr="00731AC7">
        <w:rPr>
          <w:rFonts w:eastAsiaTheme="minorHAnsi"/>
        </w:rPr>
        <w:t>921C</w:t>
      </w:r>
      <w:r w:rsidR="00A95F52">
        <w:rPr>
          <w:rFonts w:eastAsiaTheme="minorHAnsi"/>
        </w:rPr>
        <w:t>.</w:t>
      </w:r>
    </w:p>
    <w:p w14:paraId="6133017C" w14:textId="758BCF0A" w:rsidR="00412BBA" w:rsidRPr="00412BBA" w:rsidRDefault="00412BBA" w:rsidP="00412BBA">
      <w:pPr>
        <w:pStyle w:val="LI-BodyTextSubparai"/>
        <w:numPr>
          <w:ilvl w:val="0"/>
          <w:numId w:val="0"/>
        </w:numPr>
        <w:rPr>
          <w:rFonts w:eastAsiaTheme="minorHAnsi"/>
          <w:b/>
          <w:bCs/>
          <w:i/>
          <w:iCs/>
        </w:rPr>
      </w:pPr>
      <w:r>
        <w:rPr>
          <w:rFonts w:eastAsiaTheme="minorHAnsi"/>
          <w:b/>
          <w:bCs/>
          <w:i/>
          <w:iCs/>
        </w:rPr>
        <w:t>Operative provisions</w:t>
      </w:r>
    </w:p>
    <w:p w14:paraId="7B0A816D" w14:textId="496B9976" w:rsidR="00466005" w:rsidRDefault="00466005" w:rsidP="00466005">
      <w:pPr>
        <w:pStyle w:val="LI-BodyTextNumbered"/>
      </w:pPr>
      <w:r>
        <w:t xml:space="preserve">Section 5 is the first operative provision of the Instrument. Subsection 5(1) of the Instrument provides that an </w:t>
      </w:r>
      <w:r w:rsidR="00F34885">
        <w:t>AFS</w:t>
      </w:r>
      <w:r>
        <w:t xml:space="preserve"> licensee is not required to comply with subsections</w:t>
      </w:r>
      <w:r w:rsidR="00C21950">
        <w:t> </w:t>
      </w:r>
      <w:r>
        <w:t>921C(2) (which applies to authorised representatives of AFS licensee</w:t>
      </w:r>
      <w:r w:rsidR="00C84896">
        <w:t>s</w:t>
      </w:r>
      <w:r>
        <w:t>) or 921C(4) (which applies to employees and directors of AFS licensee</w:t>
      </w:r>
      <w:r w:rsidR="00C84896">
        <w:t>s</w:t>
      </w:r>
      <w:r w:rsidR="008D6BB0">
        <w:t xml:space="preserve"> or of related body corporate</w:t>
      </w:r>
      <w:r w:rsidR="00C21950">
        <w:t>s</w:t>
      </w:r>
      <w:r>
        <w:t xml:space="preserve">) in relation to an Existing Provider who </w:t>
      </w:r>
      <w:r w:rsidR="008D6BB0">
        <w:t>is</w:t>
      </w:r>
      <w:r w:rsidR="007A09AA">
        <w:t xml:space="preserve"> not,</w:t>
      </w:r>
      <w:r w:rsidR="008D6BB0">
        <w:t xml:space="preserve"> or </w:t>
      </w:r>
      <w:r>
        <w:t>was not</w:t>
      </w:r>
      <w:r w:rsidR="007A09AA">
        <w:t>,</w:t>
      </w:r>
      <w:r>
        <w:t xml:space="preserve"> a Relevant Provider on the Exam Cut-Off Day. </w:t>
      </w:r>
    </w:p>
    <w:p w14:paraId="5D14356C" w14:textId="7ACA03C8" w:rsidR="00466005" w:rsidRPr="00940EE0" w:rsidRDefault="00466005" w:rsidP="00466005">
      <w:pPr>
        <w:pStyle w:val="LI-BodyTextNumbered"/>
      </w:pPr>
      <w:r>
        <w:t>Subsection 5(2) provides that an authorised representative of an AFS licensee does not have to comply with subsection 921C(3) (which applies to</w:t>
      </w:r>
      <w:r w:rsidR="008D6BB0">
        <w:t xml:space="preserve"> the sub-authorisation of</w:t>
      </w:r>
      <w:r>
        <w:t xml:space="preserve"> </w:t>
      </w:r>
      <w:r w:rsidR="008D6BB0">
        <w:t xml:space="preserve">an individual by </w:t>
      </w:r>
      <w:r>
        <w:t xml:space="preserve">an authorised representative </w:t>
      </w:r>
      <w:r w:rsidR="008D6BB0">
        <w:t xml:space="preserve">on behalf </w:t>
      </w:r>
      <w:r>
        <w:t>of an AFS</w:t>
      </w:r>
      <w:r w:rsidDel="00017B71">
        <w:t xml:space="preserve"> </w:t>
      </w:r>
      <w:r>
        <w:t xml:space="preserve">licensee) in relation to an Existing Provider who </w:t>
      </w:r>
      <w:r w:rsidR="008D6BB0">
        <w:t>is</w:t>
      </w:r>
      <w:r w:rsidR="0073229E">
        <w:t xml:space="preserve"> not,</w:t>
      </w:r>
      <w:r w:rsidR="008D6BB0">
        <w:t xml:space="preserve"> or </w:t>
      </w:r>
      <w:r>
        <w:t>was not</w:t>
      </w:r>
      <w:r w:rsidR="0073229E">
        <w:t>,</w:t>
      </w:r>
      <w:r>
        <w:t xml:space="preserve"> a Relevant Provider on the Exam Cut-Off Day.</w:t>
      </w:r>
    </w:p>
    <w:p w14:paraId="6B524FC4" w14:textId="67FC39B9" w:rsidR="00466005" w:rsidRDefault="00466005" w:rsidP="00466005">
      <w:pPr>
        <w:pStyle w:val="LI-BodyTextNumbered"/>
      </w:pPr>
      <w:r>
        <w:t xml:space="preserve">The exemptions contained in </w:t>
      </w:r>
      <w:r w:rsidDel="00017B71">
        <w:t>s</w:t>
      </w:r>
      <w:r>
        <w:t>ection 5 of the Instrument relieve AFS licensees and certain authorised representatives from the prohibitions in subsections 921C(2) to (4)</w:t>
      </w:r>
      <w:r w:rsidR="00065D7E">
        <w:t xml:space="preserve"> in certain circumstances</w:t>
      </w:r>
      <w:r w:rsidR="00F34885">
        <w:t>.</w:t>
      </w:r>
      <w:r>
        <w:t xml:space="preserve">  </w:t>
      </w:r>
    </w:p>
    <w:p w14:paraId="391E73CF" w14:textId="77777777" w:rsidR="00F34885" w:rsidRDefault="00466005" w:rsidP="00466005">
      <w:pPr>
        <w:pStyle w:val="LI-BodyTextNumbered"/>
      </w:pPr>
      <w:r w:rsidRPr="00583BA6">
        <w:t xml:space="preserve">Section 5 of the Instrument must be read </w:t>
      </w:r>
      <w:r w:rsidR="00F34885">
        <w:t xml:space="preserve">in conjunction </w:t>
      </w:r>
      <w:r w:rsidRPr="00583BA6">
        <w:t>with section 6 of the Instrument</w:t>
      </w:r>
      <w:r w:rsidR="00A95F52">
        <w:t xml:space="preserve">. </w:t>
      </w:r>
    </w:p>
    <w:p w14:paraId="2D833F27" w14:textId="1C24C3CB" w:rsidR="00B402E4" w:rsidRPr="00B402E4" w:rsidRDefault="00A95F52" w:rsidP="00262ECD">
      <w:pPr>
        <w:pStyle w:val="LI-BodyTextNumbered"/>
      </w:pPr>
      <w:r>
        <w:t xml:space="preserve">The effect of section 6 of the Instrument is that (a) only </w:t>
      </w:r>
      <w:r w:rsidR="007F6D43">
        <w:t>Existing</w:t>
      </w:r>
      <w:r>
        <w:t xml:space="preserve"> Providers who have met the Exam Requirement can be authorised to provide Personal Advice, and (b) if the Existing Provider is to provide a tax (financial) advice service, the Existing Provider </w:t>
      </w:r>
      <w:r w:rsidR="00425E7A">
        <w:t xml:space="preserve">must have </w:t>
      </w:r>
      <w:r>
        <w:t>met the requirements of any determination that is in force under s</w:t>
      </w:r>
      <w:r w:rsidR="005D0590">
        <w:t>ubsection</w:t>
      </w:r>
      <w:r>
        <w:t xml:space="preserve"> 921BB(1). </w:t>
      </w:r>
    </w:p>
    <w:p w14:paraId="262B134A" w14:textId="39AA9C81" w:rsidR="00466005" w:rsidRPr="001D24AB" w:rsidRDefault="00466005" w:rsidP="00466005">
      <w:pPr>
        <w:autoSpaceDE w:val="0"/>
        <w:autoSpaceDN w:val="0"/>
        <w:adjustRightInd w:val="0"/>
        <w:spacing w:before="120" w:after="120" w:line="240" w:lineRule="auto"/>
        <w:rPr>
          <w:i/>
          <w:iCs/>
          <w:sz w:val="24"/>
          <w:szCs w:val="24"/>
        </w:rPr>
      </w:pPr>
      <w:bookmarkStart w:id="4" w:name="_Hlk98225698"/>
      <w:bookmarkEnd w:id="1"/>
      <w:r w:rsidRPr="00583BA6">
        <w:rPr>
          <w:b/>
          <w:bCs/>
          <w:i/>
          <w:iCs/>
          <w:sz w:val="24"/>
          <w:szCs w:val="24"/>
        </w:rPr>
        <w:t>Incorporation by Reference</w:t>
      </w:r>
    </w:p>
    <w:p w14:paraId="5D8FCC2E" w14:textId="497813AB" w:rsidR="00466005" w:rsidRDefault="00466005" w:rsidP="00466005">
      <w:pPr>
        <w:pStyle w:val="LI-BodyTextNumbered"/>
        <w:rPr>
          <w:u w:val="single"/>
        </w:rPr>
      </w:pPr>
      <w:r w:rsidRPr="001D24AB">
        <w:t xml:space="preserve">The </w:t>
      </w:r>
      <w:r w:rsidRPr="002E1D1F">
        <w:t>Instrument</w:t>
      </w:r>
      <w:r w:rsidRPr="001D24AB">
        <w:t xml:space="preserve"> does not incorporate any matter by reference for the purposes of section</w:t>
      </w:r>
      <w:r w:rsidR="00425E7A">
        <w:t> </w:t>
      </w:r>
      <w:r w:rsidRPr="001D24AB">
        <w:t>14 of the</w:t>
      </w:r>
      <w:r w:rsidRPr="001D24AB">
        <w:rPr>
          <w:i/>
          <w:iCs/>
        </w:rPr>
        <w:t xml:space="preserve"> Legislation Act 2003</w:t>
      </w:r>
      <w:r w:rsidRPr="001D24AB">
        <w:t>.</w:t>
      </w:r>
    </w:p>
    <w:p w14:paraId="7098F9CB" w14:textId="764509A8" w:rsidR="00466005" w:rsidRPr="00583BA6" w:rsidRDefault="00466005" w:rsidP="003A6B9B">
      <w:pPr>
        <w:autoSpaceDE w:val="0"/>
        <w:autoSpaceDN w:val="0"/>
        <w:adjustRightInd w:val="0"/>
        <w:spacing w:before="240" w:after="240" w:line="240" w:lineRule="auto"/>
        <w:rPr>
          <w:b/>
          <w:bCs/>
          <w:i/>
          <w:iCs/>
          <w:sz w:val="24"/>
          <w:szCs w:val="24"/>
        </w:rPr>
      </w:pPr>
      <w:r w:rsidRPr="00583BA6">
        <w:rPr>
          <w:b/>
          <w:bCs/>
          <w:i/>
          <w:iCs/>
          <w:sz w:val="24"/>
          <w:szCs w:val="24"/>
        </w:rPr>
        <w:t>Legislative instrument and primary legislation</w:t>
      </w:r>
    </w:p>
    <w:p w14:paraId="37B3CEF7" w14:textId="1558DA3B" w:rsidR="00466005" w:rsidRPr="00BF3C5A" w:rsidRDefault="006A6452" w:rsidP="00466005">
      <w:pPr>
        <w:pStyle w:val="LI-BodyTextNumbered"/>
      </w:pPr>
      <w:r>
        <w:t>ASIC considers that the Unintended Prohibition is better addressed</w:t>
      </w:r>
      <w:r w:rsidR="00466005" w:rsidRPr="00BF3C5A">
        <w:t xml:space="preserve"> by </w:t>
      </w:r>
      <w:r>
        <w:t xml:space="preserve">a </w:t>
      </w:r>
      <w:r w:rsidR="00466005" w:rsidRPr="00BF3C5A">
        <w:t>legislative instrument</w:t>
      </w:r>
      <w:r w:rsidR="00302A9F">
        <w:t>, at least in the short-term,</w:t>
      </w:r>
      <w:r w:rsidR="00466005" w:rsidRPr="00BF3C5A">
        <w:t xml:space="preserve"> </w:t>
      </w:r>
      <w:r>
        <w:t xml:space="preserve">rather </w:t>
      </w:r>
      <w:r w:rsidR="00466005" w:rsidRPr="00BF3C5A">
        <w:t>than</w:t>
      </w:r>
      <w:r>
        <w:t xml:space="preserve"> by</w:t>
      </w:r>
      <w:r w:rsidR="00466005" w:rsidRPr="00BF3C5A">
        <w:t xml:space="preserve"> primary legislation because: </w:t>
      </w:r>
    </w:p>
    <w:p w14:paraId="0817BB11" w14:textId="6A13AB57" w:rsidR="00466005" w:rsidRDefault="006E1172">
      <w:pPr>
        <w:pStyle w:val="LI-BodyTextSubparai"/>
      </w:pPr>
      <w:r>
        <w:t>ASIC considers that</w:t>
      </w:r>
      <w:r w:rsidR="0020169B">
        <w:t xml:space="preserve"> the </w:t>
      </w:r>
      <w:r w:rsidR="006A6452">
        <w:t xml:space="preserve">Unintended Prohibition </w:t>
      </w:r>
      <w:r w:rsidR="00466005">
        <w:t>need</w:t>
      </w:r>
      <w:r w:rsidR="006A6452">
        <w:t>s</w:t>
      </w:r>
      <w:r w:rsidR="00466005">
        <w:t xml:space="preserve"> to be addressed </w:t>
      </w:r>
      <w:r w:rsidR="0020169B">
        <w:t>urgently</w:t>
      </w:r>
      <w:r w:rsidR="006A6452">
        <w:t>; and</w:t>
      </w:r>
    </w:p>
    <w:p w14:paraId="1772B193" w14:textId="34E3BC28" w:rsidR="00466005" w:rsidRDefault="006A6452">
      <w:pPr>
        <w:pStyle w:val="LI-BodyTextSubparai"/>
      </w:pPr>
      <w:r>
        <w:t>a</w:t>
      </w:r>
      <w:r w:rsidR="00F34885">
        <w:t>bsent the making of the Instrument</w:t>
      </w:r>
      <w:r w:rsidR="006E1172">
        <w:t xml:space="preserve">, </w:t>
      </w:r>
      <w:r w:rsidR="00466005">
        <w:t>Affected Existing Providers</w:t>
      </w:r>
      <w:r w:rsidR="006E1172">
        <w:t xml:space="preserve"> </w:t>
      </w:r>
      <w:r w:rsidR="00466005">
        <w:t xml:space="preserve">will be </w:t>
      </w:r>
      <w:r w:rsidR="00466005">
        <w:rPr>
          <w:shd w:val="clear" w:color="auto" w:fill="FFFFFF"/>
        </w:rPr>
        <w:t xml:space="preserve">required to </w:t>
      </w:r>
      <w:r w:rsidR="006E1172">
        <w:rPr>
          <w:shd w:val="clear" w:color="auto" w:fill="FFFFFF"/>
        </w:rPr>
        <w:t>meet</w:t>
      </w:r>
      <w:r w:rsidR="00466005">
        <w:rPr>
          <w:shd w:val="clear" w:color="auto" w:fill="FFFFFF"/>
        </w:rPr>
        <w:t xml:space="preserve"> the Qualification Requirement </w:t>
      </w:r>
      <w:r w:rsidR="00466005" w:rsidRPr="006A6452">
        <w:rPr>
          <w:i/>
          <w:iCs/>
          <w:shd w:val="clear" w:color="auto" w:fill="FFFFFF"/>
        </w:rPr>
        <w:t>before</w:t>
      </w:r>
      <w:r w:rsidR="00466005">
        <w:rPr>
          <w:shd w:val="clear" w:color="auto" w:fill="FFFFFF"/>
        </w:rPr>
        <w:t xml:space="preserve"> </w:t>
      </w:r>
      <w:r w:rsidR="006E1172">
        <w:rPr>
          <w:shd w:val="clear" w:color="auto" w:fill="FFFFFF"/>
        </w:rPr>
        <w:t>they are eligible to be authorised to provide Personal Advice</w:t>
      </w:r>
      <w:r w:rsidR="00466005">
        <w:rPr>
          <w:shd w:val="clear" w:color="auto" w:fill="FFFFFF"/>
        </w:rPr>
        <w:t xml:space="preserve">. This </w:t>
      </w:r>
      <w:r w:rsidR="006E1172">
        <w:rPr>
          <w:shd w:val="clear" w:color="auto" w:fill="FFFFFF"/>
        </w:rPr>
        <w:t>outcome</w:t>
      </w:r>
      <w:r w:rsidR="00F34885">
        <w:rPr>
          <w:shd w:val="clear" w:color="auto" w:fill="FFFFFF"/>
        </w:rPr>
        <w:t xml:space="preserve"> (which was not intended) will mean that </w:t>
      </w:r>
      <w:r w:rsidR="00F34885">
        <w:rPr>
          <w:shd w:val="clear" w:color="auto" w:fill="FFFFFF"/>
        </w:rPr>
        <w:lastRenderedPageBreak/>
        <w:t xml:space="preserve">there are fewer financial advisers who are authorised to provide Personal Advice in the short-term. This outcome impinges on consumers, financial advisers and AFS licensees. </w:t>
      </w:r>
    </w:p>
    <w:p w14:paraId="4701C7CB" w14:textId="11DA855F" w:rsidR="00466005" w:rsidRPr="00302A9F" w:rsidRDefault="00466005" w:rsidP="00302A9F">
      <w:pPr>
        <w:pStyle w:val="LI-BodyTextNumbered"/>
        <w:numPr>
          <w:ilvl w:val="0"/>
          <w:numId w:val="0"/>
        </w:numPr>
        <w:rPr>
          <w:b/>
        </w:rPr>
      </w:pPr>
      <w:r w:rsidRPr="00302A9F">
        <w:rPr>
          <w:b/>
        </w:rPr>
        <w:t>Legislative Authority</w:t>
      </w:r>
      <w:r w:rsidR="00C512CE">
        <w:rPr>
          <w:b/>
        </w:rPr>
        <w:t xml:space="preserve"> and duration</w:t>
      </w:r>
    </w:p>
    <w:p w14:paraId="2A5A8DD0" w14:textId="36A9DF6A" w:rsidR="00466005" w:rsidRPr="002B79E8" w:rsidRDefault="00466005" w:rsidP="00466005">
      <w:pPr>
        <w:pStyle w:val="LI-BodyTextNumbered"/>
      </w:pPr>
      <w:r w:rsidRPr="008B6735">
        <w:t xml:space="preserve">This Instrument is made under paragraph 926A(2)(a) and is a disallowable instrument under the </w:t>
      </w:r>
      <w:r w:rsidRPr="008B6735">
        <w:rPr>
          <w:i/>
          <w:iCs/>
        </w:rPr>
        <w:t>Legislation</w:t>
      </w:r>
      <w:r w:rsidRPr="008B6735">
        <w:t xml:space="preserve"> Act </w:t>
      </w:r>
      <w:r w:rsidRPr="008B6735">
        <w:rPr>
          <w:i/>
          <w:iCs/>
        </w:rPr>
        <w:t>2003</w:t>
      </w:r>
      <w:r w:rsidRPr="008B6735">
        <w:t>.</w:t>
      </w:r>
      <w:r w:rsidR="00C512CE">
        <w:t xml:space="preserve"> The Instrument continues in force for </w:t>
      </w:r>
      <w:r w:rsidR="00425E7A" w:rsidRPr="002B79E8">
        <w:t>three</w:t>
      </w:r>
      <w:r w:rsidR="00C512CE" w:rsidRPr="002B79E8">
        <w:t xml:space="preserve"> years until 1</w:t>
      </w:r>
      <w:r w:rsidR="00425E7A" w:rsidRPr="002B79E8">
        <w:t> </w:t>
      </w:r>
      <w:r w:rsidR="00C512CE" w:rsidRPr="002B79E8">
        <w:t xml:space="preserve">April 2025. </w:t>
      </w:r>
    </w:p>
    <w:p w14:paraId="72BE1AC2" w14:textId="7FF0132E" w:rsidR="003B30B2" w:rsidRDefault="003B30B2" w:rsidP="003B30B2">
      <w:pPr>
        <w:pStyle w:val="LI-BodyTextNumbered"/>
        <w:rPr>
          <w:rFonts w:eastAsiaTheme="minorHAnsi"/>
        </w:rPr>
      </w:pPr>
      <w:r>
        <w:t>ASIC understands that Government will consider amending the Corporations Act so that the relief given by the Instrument will no longer be necessary.  The three-year duration provides sufficient time for this process to be undertaken whilst giving Affected Existing Providers certainty about the requirements they must meet to be eligible to provide Personal Advice. If the Corporations Act is not amended during this three-year period, ASIC will review the operation of the Instrument prior to its expiry.</w:t>
      </w:r>
    </w:p>
    <w:p w14:paraId="6EFF40F2" w14:textId="77777777" w:rsidR="00466005" w:rsidRPr="00FD3724" w:rsidRDefault="00466005" w:rsidP="00466005">
      <w:pPr>
        <w:pStyle w:val="LI-BodyTextParaa"/>
        <w:ind w:left="567"/>
        <w:rPr>
          <w:b/>
        </w:rPr>
      </w:pPr>
      <w:r w:rsidRPr="00FD3724">
        <w:rPr>
          <w:b/>
        </w:rPr>
        <w:t xml:space="preserve">Statement of </w:t>
      </w:r>
      <w:bookmarkEnd w:id="4"/>
      <w:r w:rsidRPr="00FD3724">
        <w:rPr>
          <w:b/>
        </w:rPr>
        <w:t xml:space="preserve">Compatibility with Human Rights  </w:t>
      </w:r>
    </w:p>
    <w:p w14:paraId="516B82B1" w14:textId="77777777" w:rsidR="00466005" w:rsidRPr="00FD3724" w:rsidRDefault="00466005" w:rsidP="00466005">
      <w:pPr>
        <w:pStyle w:val="LI-BodyTextNumbered"/>
      </w:pPr>
      <w:r w:rsidRPr="00FD3724">
        <w:t xml:space="preserve">The Explanatory Statement for a disallowable legislative instrument must contain a Statement of Compatibility with Human Rights under subsection 9(1) of the </w:t>
      </w:r>
      <w:r w:rsidRPr="00FD3724">
        <w:rPr>
          <w:i/>
          <w:iCs/>
        </w:rPr>
        <w:t>Human Rights (Parliamentary Scrutiny) Act 2011.</w:t>
      </w:r>
      <w:r w:rsidRPr="00FD3724">
        <w:rPr>
          <w:iCs/>
        </w:rPr>
        <w:t xml:space="preserve"> </w:t>
      </w:r>
      <w:r w:rsidRPr="00FD3724">
        <w:t xml:space="preserve">A Statement of Compatibility with Human Rights is in the </w:t>
      </w:r>
      <w:r w:rsidRPr="00FD3724">
        <w:rPr>
          <w:u w:val="single"/>
        </w:rPr>
        <w:t>Attachment</w:t>
      </w:r>
      <w:r w:rsidRPr="00FD3724">
        <w:t xml:space="preserve">. </w:t>
      </w:r>
    </w:p>
    <w:p w14:paraId="2481A708" w14:textId="77777777" w:rsidR="00466005" w:rsidRDefault="00466005" w:rsidP="00466005">
      <w:pPr>
        <w:autoSpaceDE w:val="0"/>
        <w:autoSpaceDN w:val="0"/>
        <w:adjustRightInd w:val="0"/>
        <w:spacing w:line="240" w:lineRule="auto"/>
        <w:rPr>
          <w:sz w:val="24"/>
          <w:szCs w:val="24"/>
        </w:rPr>
      </w:pPr>
    </w:p>
    <w:p w14:paraId="1CF19282" w14:textId="77777777" w:rsidR="00466005" w:rsidRDefault="00466005" w:rsidP="00466005">
      <w:pPr>
        <w:spacing w:after="160" w:line="259" w:lineRule="auto"/>
        <w:rPr>
          <w:sz w:val="24"/>
          <w:szCs w:val="24"/>
          <w:u w:val="single"/>
        </w:rPr>
      </w:pPr>
      <w:r>
        <w:rPr>
          <w:sz w:val="24"/>
          <w:szCs w:val="24"/>
          <w:u w:val="single"/>
        </w:rPr>
        <w:br w:type="page"/>
      </w:r>
    </w:p>
    <w:p w14:paraId="7A8E4C55" w14:textId="77777777" w:rsidR="00466005" w:rsidRPr="008D3BE0" w:rsidRDefault="00466005" w:rsidP="00466005">
      <w:pPr>
        <w:autoSpaceDE w:val="0"/>
        <w:autoSpaceDN w:val="0"/>
        <w:adjustRightInd w:val="0"/>
        <w:spacing w:line="240" w:lineRule="auto"/>
        <w:jc w:val="right"/>
        <w:rPr>
          <w:sz w:val="24"/>
          <w:szCs w:val="24"/>
          <w:u w:val="single"/>
        </w:rPr>
      </w:pPr>
      <w:r w:rsidRPr="008D3BE0">
        <w:rPr>
          <w:sz w:val="24"/>
          <w:szCs w:val="24"/>
          <w:u w:val="single"/>
        </w:rPr>
        <w:lastRenderedPageBreak/>
        <w:t>Attachment</w:t>
      </w:r>
    </w:p>
    <w:p w14:paraId="4013412E" w14:textId="77777777" w:rsidR="00466005" w:rsidRPr="008D3BE0" w:rsidRDefault="00466005" w:rsidP="00466005">
      <w:pPr>
        <w:pStyle w:val="LI-BodyTextParaa"/>
        <w:ind w:left="567"/>
        <w:jc w:val="center"/>
        <w:rPr>
          <w:b/>
          <w:sz w:val="28"/>
          <w:szCs w:val="28"/>
        </w:rPr>
      </w:pPr>
      <w:r w:rsidRPr="008D3BE0">
        <w:rPr>
          <w:b/>
          <w:sz w:val="28"/>
          <w:szCs w:val="28"/>
        </w:rPr>
        <w:t>Statement of Compatibility with Human Rights</w:t>
      </w:r>
    </w:p>
    <w:p w14:paraId="3DB8558E" w14:textId="77777777" w:rsidR="00466005" w:rsidRPr="008D3BE0" w:rsidRDefault="00466005" w:rsidP="00466005">
      <w:pPr>
        <w:pStyle w:val="LI-BodyTextNumbered"/>
        <w:numPr>
          <w:ilvl w:val="0"/>
          <w:numId w:val="0"/>
        </w:numPr>
        <w:ind w:left="567"/>
      </w:pPr>
    </w:p>
    <w:p w14:paraId="63B70C3D" w14:textId="77777777" w:rsidR="00466005" w:rsidRPr="008D3BE0" w:rsidRDefault="00466005" w:rsidP="00466005">
      <w:pPr>
        <w:pStyle w:val="LI-BodyTextNumbered"/>
        <w:numPr>
          <w:ilvl w:val="0"/>
          <w:numId w:val="0"/>
        </w:numPr>
      </w:pPr>
      <w:r w:rsidRPr="008D3BE0">
        <w:t xml:space="preserve">This Statement of Compatibility with Human Rights is prepared in accordance with Part 3 of the </w:t>
      </w:r>
      <w:r w:rsidRPr="008D3BE0">
        <w:rPr>
          <w:i/>
        </w:rPr>
        <w:t>Human Rights (Parliamentary Scrutiny) Act 2011</w:t>
      </w:r>
      <w:r w:rsidRPr="008D3BE0">
        <w:t xml:space="preserve">.   </w:t>
      </w:r>
    </w:p>
    <w:p w14:paraId="005D7055" w14:textId="34628832" w:rsidR="00466005" w:rsidRPr="003A6B9B" w:rsidRDefault="00466005" w:rsidP="00466005">
      <w:pPr>
        <w:pStyle w:val="LI-BodyTextNumbered"/>
        <w:numPr>
          <w:ilvl w:val="0"/>
          <w:numId w:val="0"/>
        </w:numPr>
        <w:rPr>
          <w:b/>
          <w:bCs/>
          <w:i/>
          <w:iCs/>
        </w:rPr>
      </w:pPr>
      <w:r w:rsidRPr="003A6B9B">
        <w:rPr>
          <w:b/>
          <w:bCs/>
          <w:i/>
          <w:iCs/>
        </w:rPr>
        <w:t>ASIC Corporations (Existing Providers) Instrument 2022/</w:t>
      </w:r>
      <w:r w:rsidR="00C225BA">
        <w:rPr>
          <w:b/>
          <w:bCs/>
          <w:i/>
          <w:iCs/>
        </w:rPr>
        <w:t>241</w:t>
      </w:r>
    </w:p>
    <w:p w14:paraId="1BAB1D23" w14:textId="77777777" w:rsidR="00466005" w:rsidRPr="008D3BE0" w:rsidRDefault="00466005" w:rsidP="00466005">
      <w:pPr>
        <w:autoSpaceDE w:val="0"/>
        <w:autoSpaceDN w:val="0"/>
        <w:adjustRightInd w:val="0"/>
        <w:spacing w:line="240" w:lineRule="auto"/>
        <w:rPr>
          <w:sz w:val="24"/>
          <w:szCs w:val="24"/>
        </w:rPr>
      </w:pPr>
    </w:p>
    <w:p w14:paraId="0E897A4C" w14:textId="77777777" w:rsidR="00466005" w:rsidRPr="00FD3724" w:rsidRDefault="00466005" w:rsidP="00466005">
      <w:pPr>
        <w:shd w:val="clear" w:color="auto" w:fill="FFFFFF"/>
        <w:spacing w:before="240" w:line="240" w:lineRule="auto"/>
        <w:ind w:left="567" w:hanging="567"/>
        <w:rPr>
          <w:rFonts w:eastAsia="Times New Roman"/>
          <w:color w:val="000000"/>
          <w:sz w:val="24"/>
          <w:szCs w:val="24"/>
          <w:lang w:eastAsia="en-AU"/>
        </w:rPr>
      </w:pPr>
      <w:r w:rsidRPr="00FD3724">
        <w:rPr>
          <w:rFonts w:eastAsia="Times New Roman"/>
          <w:color w:val="000000"/>
          <w:sz w:val="24"/>
          <w:szCs w:val="24"/>
          <w:u w:val="single"/>
          <w:lang w:eastAsia="en-AU"/>
        </w:rPr>
        <w:t>Overview</w:t>
      </w:r>
    </w:p>
    <w:p w14:paraId="0C3BC498" w14:textId="28C492F5" w:rsidR="003350AE" w:rsidRPr="003A6B9B" w:rsidRDefault="00466005" w:rsidP="003350AE">
      <w:pPr>
        <w:shd w:val="clear" w:color="auto" w:fill="FFFFFF"/>
        <w:spacing w:before="240" w:line="240" w:lineRule="auto"/>
        <w:rPr>
          <w:sz w:val="24"/>
          <w:szCs w:val="22"/>
        </w:rPr>
      </w:pPr>
      <w:r w:rsidRPr="003A6B9B">
        <w:rPr>
          <w:i/>
          <w:iCs/>
          <w:sz w:val="24"/>
          <w:szCs w:val="22"/>
        </w:rPr>
        <w:t>ASIC Corporations (Existing Providers) Instrument 2022/</w:t>
      </w:r>
      <w:r w:rsidR="00C225BA">
        <w:rPr>
          <w:i/>
          <w:iCs/>
          <w:sz w:val="24"/>
          <w:szCs w:val="22"/>
        </w:rPr>
        <w:t>241</w:t>
      </w:r>
      <w:r w:rsidRPr="003A6B9B">
        <w:rPr>
          <w:i/>
          <w:iCs/>
          <w:sz w:val="24"/>
          <w:szCs w:val="22"/>
        </w:rPr>
        <w:t xml:space="preserve"> </w:t>
      </w:r>
      <w:r w:rsidRPr="003A6B9B">
        <w:rPr>
          <w:rFonts w:eastAsia="Times New Roman"/>
          <w:color w:val="000000"/>
          <w:sz w:val="28"/>
          <w:szCs w:val="28"/>
          <w:lang w:eastAsia="en-AU"/>
        </w:rPr>
        <w:t xml:space="preserve">(the </w:t>
      </w:r>
      <w:r w:rsidRPr="003A6B9B">
        <w:rPr>
          <w:rFonts w:eastAsia="Times New Roman"/>
          <w:b/>
          <w:bCs/>
          <w:i/>
          <w:iCs/>
          <w:color w:val="000000"/>
          <w:sz w:val="28"/>
          <w:szCs w:val="28"/>
          <w:lang w:eastAsia="en-AU"/>
        </w:rPr>
        <w:t>Instrument</w:t>
      </w:r>
      <w:r w:rsidRPr="003A6B9B">
        <w:rPr>
          <w:rFonts w:eastAsia="Times New Roman"/>
          <w:color w:val="000000"/>
          <w:sz w:val="28"/>
          <w:szCs w:val="28"/>
          <w:lang w:eastAsia="en-AU"/>
        </w:rPr>
        <w:t xml:space="preserve">) </w:t>
      </w:r>
      <w:r w:rsidR="003350AE" w:rsidRPr="003A6B9B">
        <w:rPr>
          <w:sz w:val="24"/>
          <w:szCs w:val="22"/>
        </w:rPr>
        <w:t>puts in place interim measures to address an unintended prohibition on Australian financial services (</w:t>
      </w:r>
      <w:r w:rsidR="003350AE" w:rsidRPr="003A6B9B">
        <w:rPr>
          <w:b/>
          <w:bCs/>
          <w:sz w:val="24"/>
          <w:szCs w:val="22"/>
        </w:rPr>
        <w:t>AFS</w:t>
      </w:r>
      <w:r w:rsidR="003350AE" w:rsidRPr="003A6B9B">
        <w:rPr>
          <w:sz w:val="24"/>
          <w:szCs w:val="22"/>
        </w:rPr>
        <w:t>) licensees from authorising certain Existing Providers</w:t>
      </w:r>
      <w:r w:rsidR="00DF3F1C">
        <w:rPr>
          <w:rStyle w:val="FootnoteReference"/>
          <w:sz w:val="24"/>
          <w:szCs w:val="22"/>
        </w:rPr>
        <w:footnoteReference w:id="5"/>
      </w:r>
      <w:r w:rsidR="003350AE" w:rsidRPr="003A6B9B">
        <w:rPr>
          <w:sz w:val="24"/>
          <w:szCs w:val="22"/>
        </w:rPr>
        <w:t xml:space="preserve"> from providing personal advice to retail clients in relation to relevant financial products (</w:t>
      </w:r>
      <w:r w:rsidR="003350AE" w:rsidRPr="003A6B9B">
        <w:rPr>
          <w:b/>
          <w:bCs/>
          <w:sz w:val="24"/>
          <w:szCs w:val="22"/>
        </w:rPr>
        <w:t>Personal Advice</w:t>
      </w:r>
      <w:r w:rsidR="003350AE" w:rsidRPr="003A6B9B">
        <w:rPr>
          <w:sz w:val="24"/>
          <w:szCs w:val="22"/>
        </w:rPr>
        <w:t xml:space="preserve">) (the </w:t>
      </w:r>
      <w:r w:rsidR="003350AE" w:rsidRPr="003A6B9B">
        <w:rPr>
          <w:b/>
          <w:bCs/>
          <w:sz w:val="24"/>
          <w:szCs w:val="22"/>
        </w:rPr>
        <w:t>Unintended Prohibition</w:t>
      </w:r>
      <w:r w:rsidR="003350AE" w:rsidRPr="003A6B9B">
        <w:rPr>
          <w:sz w:val="24"/>
          <w:szCs w:val="22"/>
        </w:rPr>
        <w:t>).</w:t>
      </w:r>
    </w:p>
    <w:p w14:paraId="6BF1B68F" w14:textId="77777777" w:rsidR="003350AE" w:rsidRDefault="003350AE" w:rsidP="003350AE">
      <w:pPr>
        <w:pStyle w:val="LI-BodyTextNumbered"/>
        <w:numPr>
          <w:ilvl w:val="0"/>
          <w:numId w:val="0"/>
        </w:numPr>
      </w:pPr>
      <w:r>
        <w:t>The Unintended Prohibition applies to Existing Providers (</w:t>
      </w:r>
      <w:r>
        <w:rPr>
          <w:b/>
          <w:bCs/>
        </w:rPr>
        <w:t>Affected Existing Providers</w:t>
      </w:r>
      <w:r>
        <w:t xml:space="preserve">) who </w:t>
      </w:r>
    </w:p>
    <w:p w14:paraId="12E2D76E" w14:textId="77777777" w:rsidR="00DF3F1C" w:rsidRDefault="00DF3F1C" w:rsidP="00DF3F1C">
      <w:pPr>
        <w:pStyle w:val="LI-BodyTextSubparai"/>
      </w:pPr>
      <w:r>
        <w:t xml:space="preserve">have not passed the financial adviser exam </w:t>
      </w:r>
      <w:r w:rsidRPr="00133AC6">
        <w:t>(</w:t>
      </w:r>
      <w:r>
        <w:t xml:space="preserve">the </w:t>
      </w:r>
      <w:r w:rsidRPr="00466005">
        <w:rPr>
          <w:b/>
          <w:bCs/>
        </w:rPr>
        <w:t>Exam Requirement</w:t>
      </w:r>
      <w:r w:rsidRPr="00133AC6">
        <w:t>)</w:t>
      </w:r>
      <w:r>
        <w:t xml:space="preserve"> by 1 January 2022 (or 1 October 2022 in certain cases) (</w:t>
      </w:r>
      <w:r>
        <w:rPr>
          <w:b/>
          <w:bCs/>
        </w:rPr>
        <w:t>Exam Cut-Off Day</w:t>
      </w:r>
      <w:proofErr w:type="gramStart"/>
      <w:r>
        <w:t>);</w:t>
      </w:r>
      <w:proofErr w:type="gramEnd"/>
      <w:r>
        <w:t xml:space="preserve"> </w:t>
      </w:r>
    </w:p>
    <w:p w14:paraId="236F60EB" w14:textId="77777777" w:rsidR="00DF3F1C" w:rsidRDefault="00DF3F1C" w:rsidP="00DF3F1C">
      <w:pPr>
        <w:pStyle w:val="LI-BodyTextSubparai"/>
      </w:pPr>
      <w:proofErr w:type="spellStart"/>
      <w:r>
        <w:t>were</w:t>
      </w:r>
      <w:proofErr w:type="spellEnd"/>
      <w:r>
        <w:t xml:space="preserve"> not authorised to provide Personal Advice on the relevant Exam Cut-Off Day (</w:t>
      </w:r>
      <w:proofErr w:type="gramStart"/>
      <w:r>
        <w:t>i.e.</w:t>
      </w:r>
      <w:proofErr w:type="gramEnd"/>
      <w:r>
        <w:t xml:space="preserve"> either 1 January 2022 or 1 October 2022); and</w:t>
      </w:r>
    </w:p>
    <w:p w14:paraId="02E5D591" w14:textId="77777777" w:rsidR="00DF3F1C" w:rsidRPr="00940EE0" w:rsidRDefault="00DF3F1C" w:rsidP="00DF3F1C">
      <w:pPr>
        <w:pStyle w:val="LI-BodyTextSubparai"/>
      </w:pPr>
      <w:r>
        <w:t xml:space="preserve">have not obtained an approved degree, </w:t>
      </w:r>
      <w:proofErr w:type="gramStart"/>
      <w:r>
        <w:t>qualification</w:t>
      </w:r>
      <w:proofErr w:type="gramEnd"/>
      <w:r>
        <w:t xml:space="preserve"> or approved course (the </w:t>
      </w:r>
      <w:r w:rsidRPr="00466005">
        <w:rPr>
          <w:b/>
          <w:bCs/>
        </w:rPr>
        <w:t>Qualification Requirement</w:t>
      </w:r>
      <w:r>
        <w:t>).</w:t>
      </w:r>
    </w:p>
    <w:p w14:paraId="036C4BA8" w14:textId="77777777" w:rsidR="003350AE" w:rsidRDefault="003350AE" w:rsidP="003350AE">
      <w:pPr>
        <w:pStyle w:val="LI-BodyTextNumbered"/>
        <w:numPr>
          <w:ilvl w:val="0"/>
          <w:numId w:val="0"/>
        </w:numPr>
      </w:pPr>
      <w:r>
        <w:t xml:space="preserve">The Unintended Prohibition arose following the commencement of the </w:t>
      </w:r>
      <w:r w:rsidRPr="00466005">
        <w:rPr>
          <w:i/>
          <w:iCs/>
        </w:rPr>
        <w:t>Financial Sector Reform (Hayne Royal Commission Response—Better Advice) Act 2021</w:t>
      </w:r>
      <w:r w:rsidRPr="00B83AF7">
        <w:t xml:space="preserve"> (</w:t>
      </w:r>
      <w:r w:rsidRPr="00CA19E4">
        <w:rPr>
          <w:b/>
        </w:rPr>
        <w:t>Better Advice Act</w:t>
      </w:r>
      <w:r>
        <w:t xml:space="preserve">) on 1 January 2022. </w:t>
      </w:r>
    </w:p>
    <w:p w14:paraId="6C9F293F" w14:textId="2160CC84" w:rsidR="003350AE" w:rsidRPr="00B83AF7" w:rsidRDefault="003350AE" w:rsidP="003350AE">
      <w:pPr>
        <w:pStyle w:val="LI-BodyTextNumbered"/>
        <w:numPr>
          <w:ilvl w:val="0"/>
          <w:numId w:val="0"/>
        </w:numPr>
      </w:pPr>
      <w:r>
        <w:t xml:space="preserve">The </w:t>
      </w:r>
      <w:r w:rsidRPr="00940EE0">
        <w:t>effect</w:t>
      </w:r>
      <w:r>
        <w:t xml:space="preserve"> of the Instrument is that Affected Existing Providers need only pass the Exam Requirement </w:t>
      </w:r>
      <w:proofErr w:type="gramStart"/>
      <w:r>
        <w:t>in order to</w:t>
      </w:r>
      <w:proofErr w:type="gramEnd"/>
      <w:r>
        <w:t xml:space="preserve"> be eligible to be authorised to provide Personal Advice. </w:t>
      </w:r>
      <w:r w:rsidR="00CB06CF">
        <w:t xml:space="preserve">Affected Existing Providers must also comply with the Qualification Requirement by 1 January 2026. </w:t>
      </w:r>
      <w:r>
        <w:t xml:space="preserve">This effect achieves the intended policy outcome of the Better Advice Act. </w:t>
      </w:r>
    </w:p>
    <w:p w14:paraId="752363D3" w14:textId="3FBC9153" w:rsidR="00466005" w:rsidRPr="00FD3724" w:rsidRDefault="00466005" w:rsidP="00466005">
      <w:pPr>
        <w:shd w:val="clear" w:color="auto" w:fill="FFFFFF"/>
        <w:spacing w:before="240" w:line="240" w:lineRule="auto"/>
        <w:ind w:left="567" w:hanging="567"/>
        <w:rPr>
          <w:rFonts w:eastAsia="Times New Roman"/>
          <w:color w:val="000000"/>
          <w:sz w:val="24"/>
          <w:szCs w:val="24"/>
          <w:lang w:eastAsia="en-AU"/>
        </w:rPr>
      </w:pPr>
      <w:r w:rsidRPr="00FD3724">
        <w:rPr>
          <w:rFonts w:eastAsia="Times New Roman"/>
          <w:color w:val="000000"/>
          <w:sz w:val="24"/>
          <w:szCs w:val="24"/>
          <w:u w:val="single"/>
          <w:lang w:eastAsia="en-AU"/>
        </w:rPr>
        <w:t>Assessment of human rights implications</w:t>
      </w:r>
      <w:r w:rsidR="002E22C4">
        <w:rPr>
          <w:rFonts w:eastAsia="Times New Roman"/>
          <w:color w:val="000000"/>
          <w:sz w:val="24"/>
          <w:szCs w:val="24"/>
          <w:u w:val="single"/>
          <w:lang w:eastAsia="en-AU"/>
        </w:rPr>
        <w:br/>
      </w:r>
    </w:p>
    <w:p w14:paraId="2699E319" w14:textId="01BC9D84" w:rsidR="002E22C4" w:rsidRPr="003A6B9B" w:rsidRDefault="002E22C4" w:rsidP="002E22C4">
      <w:pPr>
        <w:spacing w:after="240"/>
        <w:rPr>
          <w:sz w:val="24"/>
          <w:szCs w:val="22"/>
        </w:rPr>
      </w:pPr>
      <w:r w:rsidRPr="003A6B9B">
        <w:rPr>
          <w:sz w:val="24"/>
          <w:szCs w:val="22"/>
        </w:rPr>
        <w:t xml:space="preserve">The Instrument engages positively with the right to work contained in Article 6 of the </w:t>
      </w:r>
      <w:r w:rsidRPr="003A6B9B">
        <w:rPr>
          <w:i/>
          <w:iCs/>
          <w:color w:val="000000"/>
          <w:sz w:val="24"/>
          <w:szCs w:val="22"/>
          <w:shd w:val="clear" w:color="auto" w:fill="FFFFFF"/>
        </w:rPr>
        <w:t>International Covenant on Economic, Social and Cultural Rights</w:t>
      </w:r>
      <w:r w:rsidR="003670F2" w:rsidRPr="003A6B9B">
        <w:rPr>
          <w:color w:val="000000"/>
          <w:sz w:val="24"/>
          <w:szCs w:val="22"/>
          <w:shd w:val="clear" w:color="auto" w:fill="FFFFFF"/>
        </w:rPr>
        <w:t>.</w:t>
      </w:r>
      <w:r w:rsidRPr="003A6B9B">
        <w:rPr>
          <w:color w:val="000000"/>
          <w:sz w:val="24"/>
          <w:szCs w:val="22"/>
          <w:shd w:val="clear" w:color="auto" w:fill="FFFFFF"/>
        </w:rPr>
        <w:t xml:space="preserve"> </w:t>
      </w:r>
      <w:r w:rsidR="003350AE" w:rsidRPr="003A6B9B">
        <w:rPr>
          <w:sz w:val="24"/>
          <w:szCs w:val="22"/>
        </w:rPr>
        <w:t>T</w:t>
      </w:r>
      <w:r w:rsidRPr="003A6B9B">
        <w:rPr>
          <w:sz w:val="24"/>
          <w:szCs w:val="22"/>
        </w:rPr>
        <w:t xml:space="preserve">he Unintended Prohibition impinges on Affected Existing Providers’ right to work by requiring them to meet </w:t>
      </w:r>
      <w:r w:rsidRPr="003A6B9B">
        <w:rPr>
          <w:sz w:val="24"/>
          <w:szCs w:val="22"/>
        </w:rPr>
        <w:lastRenderedPageBreak/>
        <w:t xml:space="preserve">the Qualification Requirement </w:t>
      </w:r>
      <w:r w:rsidRPr="003A6B9B">
        <w:rPr>
          <w:i/>
          <w:iCs/>
          <w:sz w:val="24"/>
          <w:szCs w:val="22"/>
        </w:rPr>
        <w:t>before</w:t>
      </w:r>
      <w:r w:rsidRPr="003A6B9B">
        <w:rPr>
          <w:sz w:val="24"/>
          <w:szCs w:val="22"/>
        </w:rPr>
        <w:t xml:space="preserve"> they are eligible to be authorised to provide Personal Advice</w:t>
      </w:r>
      <w:r w:rsidR="003350AE" w:rsidRPr="003A6B9B">
        <w:rPr>
          <w:sz w:val="24"/>
          <w:szCs w:val="22"/>
        </w:rPr>
        <w:t>.</w:t>
      </w:r>
      <w:r w:rsidRPr="003A6B9B">
        <w:rPr>
          <w:sz w:val="24"/>
          <w:szCs w:val="22"/>
        </w:rPr>
        <w:t xml:space="preserve"> </w:t>
      </w:r>
    </w:p>
    <w:p w14:paraId="78AA0D12" w14:textId="581D0E4A" w:rsidR="002E22C4" w:rsidRPr="003A6B9B" w:rsidRDefault="002E22C4" w:rsidP="002E22C4">
      <w:pPr>
        <w:spacing w:after="240"/>
        <w:rPr>
          <w:sz w:val="24"/>
          <w:szCs w:val="22"/>
        </w:rPr>
      </w:pPr>
      <w:r w:rsidRPr="003A6B9B">
        <w:rPr>
          <w:sz w:val="24"/>
          <w:szCs w:val="22"/>
        </w:rPr>
        <w:t xml:space="preserve">By </w:t>
      </w:r>
      <w:r w:rsidR="003350AE" w:rsidRPr="003A6B9B">
        <w:rPr>
          <w:sz w:val="24"/>
          <w:szCs w:val="22"/>
        </w:rPr>
        <w:t xml:space="preserve">removing </w:t>
      </w:r>
      <w:r w:rsidRPr="003A6B9B">
        <w:rPr>
          <w:sz w:val="24"/>
          <w:szCs w:val="22"/>
        </w:rPr>
        <w:t xml:space="preserve">the Unintended Prohibition, the Instrument </w:t>
      </w:r>
      <w:r w:rsidR="000D509A" w:rsidRPr="003A6B9B">
        <w:rPr>
          <w:sz w:val="24"/>
          <w:szCs w:val="22"/>
        </w:rPr>
        <w:t>lifts an unintended restriction on Affected Existing Providers</w:t>
      </w:r>
      <w:r w:rsidRPr="003A6B9B">
        <w:rPr>
          <w:sz w:val="24"/>
          <w:szCs w:val="22"/>
        </w:rPr>
        <w:t xml:space="preserve"> and therefore </w:t>
      </w:r>
      <w:r w:rsidR="000D509A" w:rsidRPr="003A6B9B">
        <w:rPr>
          <w:sz w:val="24"/>
          <w:szCs w:val="22"/>
        </w:rPr>
        <w:t>promotes</w:t>
      </w:r>
      <w:r w:rsidRPr="003A6B9B">
        <w:rPr>
          <w:sz w:val="24"/>
          <w:szCs w:val="22"/>
        </w:rPr>
        <w:t xml:space="preserve"> the right to work for Affected Existing Providers. </w:t>
      </w:r>
    </w:p>
    <w:p w14:paraId="0F74A735" w14:textId="77777777" w:rsidR="00466005" w:rsidRPr="00FD3724" w:rsidRDefault="00466005" w:rsidP="00466005">
      <w:pPr>
        <w:shd w:val="clear" w:color="auto" w:fill="FFFFFF"/>
        <w:spacing w:before="240" w:line="240" w:lineRule="auto"/>
        <w:ind w:left="567" w:hanging="567"/>
        <w:rPr>
          <w:rFonts w:eastAsia="Times New Roman"/>
          <w:color w:val="000000"/>
          <w:sz w:val="24"/>
          <w:szCs w:val="24"/>
          <w:lang w:eastAsia="en-AU"/>
        </w:rPr>
      </w:pPr>
      <w:r w:rsidRPr="00FD3724">
        <w:rPr>
          <w:rFonts w:eastAsia="Times New Roman"/>
          <w:color w:val="000000"/>
          <w:sz w:val="24"/>
          <w:szCs w:val="24"/>
          <w:u w:val="single"/>
          <w:lang w:eastAsia="en-AU"/>
        </w:rPr>
        <w:t>Conclusion</w:t>
      </w:r>
    </w:p>
    <w:p w14:paraId="093F6157" w14:textId="77777777" w:rsidR="00466005" w:rsidRPr="00583BA6" w:rsidRDefault="00466005" w:rsidP="00466005">
      <w:pPr>
        <w:pStyle w:val="LI-BodyTextParaa"/>
        <w:ind w:left="0" w:firstLine="0"/>
        <w:contextualSpacing/>
      </w:pPr>
      <w:r w:rsidRPr="00583BA6">
        <w:t>The Instrument is compatible with the human rights and freedoms recognised or declared in the international instruments listed in section 3 of the </w:t>
      </w:r>
      <w:r w:rsidRPr="00583BA6">
        <w:rPr>
          <w:i/>
          <w:iCs/>
        </w:rPr>
        <w:t>Human Rights (Parliamentary Scrutiny) Act 2011</w:t>
      </w:r>
      <w:r w:rsidRPr="00583BA6">
        <w:t>.</w:t>
      </w:r>
      <w:bookmarkEnd w:id="2"/>
    </w:p>
    <w:p w14:paraId="0FD9EC47" w14:textId="77777777" w:rsidR="00EF29F0" w:rsidRDefault="00EF29F0"/>
    <w:sectPr w:rsidR="00EF29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69C99" w14:textId="77777777" w:rsidR="00E71BB1" w:rsidRDefault="00E71BB1" w:rsidP="004310C1">
      <w:pPr>
        <w:spacing w:line="240" w:lineRule="auto"/>
      </w:pPr>
      <w:r>
        <w:separator/>
      </w:r>
    </w:p>
  </w:endnote>
  <w:endnote w:type="continuationSeparator" w:id="0">
    <w:p w14:paraId="584B88A0" w14:textId="77777777" w:rsidR="00E71BB1" w:rsidRDefault="00E71BB1" w:rsidP="004310C1">
      <w:pPr>
        <w:spacing w:line="240" w:lineRule="auto"/>
      </w:pPr>
      <w:r>
        <w:continuationSeparator/>
      </w:r>
    </w:p>
  </w:endnote>
  <w:endnote w:type="continuationNotice" w:id="1">
    <w:p w14:paraId="7E8E9968" w14:textId="77777777" w:rsidR="00E71BB1" w:rsidRDefault="00E71B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276EB" w14:textId="77777777" w:rsidR="00E71BB1" w:rsidRDefault="00E71BB1" w:rsidP="004310C1">
      <w:pPr>
        <w:spacing w:line="240" w:lineRule="auto"/>
      </w:pPr>
      <w:r>
        <w:separator/>
      </w:r>
    </w:p>
  </w:footnote>
  <w:footnote w:type="continuationSeparator" w:id="0">
    <w:p w14:paraId="754C4D4E" w14:textId="77777777" w:rsidR="00E71BB1" w:rsidRDefault="00E71BB1" w:rsidP="004310C1">
      <w:pPr>
        <w:spacing w:line="240" w:lineRule="auto"/>
      </w:pPr>
      <w:r>
        <w:continuationSeparator/>
      </w:r>
    </w:p>
  </w:footnote>
  <w:footnote w:type="continuationNotice" w:id="1">
    <w:p w14:paraId="79F5D32D" w14:textId="77777777" w:rsidR="00E71BB1" w:rsidRDefault="00E71BB1">
      <w:pPr>
        <w:spacing w:line="240" w:lineRule="auto"/>
      </w:pPr>
    </w:p>
  </w:footnote>
  <w:footnote w:id="2">
    <w:p w14:paraId="1C449523" w14:textId="7330325B" w:rsidR="00790A86" w:rsidRPr="00790A86" w:rsidRDefault="00790A86" w:rsidP="00790A86">
      <w:pPr>
        <w:pStyle w:val="FootnoteText"/>
        <w:numPr>
          <w:ilvl w:val="0"/>
          <w:numId w:val="1"/>
        </w:numPr>
      </w:pPr>
      <w:r w:rsidRPr="00790A86">
        <w:t>An ‘existing provider’ is a person who was a relevant provider (</w:t>
      </w:r>
      <w:proofErr w:type="gramStart"/>
      <w:r w:rsidRPr="00790A86">
        <w:t>i.e.</w:t>
      </w:r>
      <w:proofErr w:type="gramEnd"/>
      <w:r w:rsidRPr="00790A86">
        <w:t xml:space="preserve"> someone who was authorised to provide Personal Advice) at any point in time between January 2016 and January 2019, and who was not banned, disqualified, or subject to an enforceable undertaking on 1 January 2019</w:t>
      </w:r>
      <w:r w:rsidR="002469F2">
        <w:t xml:space="preserve">: section </w:t>
      </w:r>
      <w:r w:rsidR="002469F2" w:rsidRPr="00790A86">
        <w:t>1546A</w:t>
      </w:r>
      <w:r w:rsidR="002469F2">
        <w:t xml:space="preserve"> of the </w:t>
      </w:r>
      <w:r w:rsidR="002469F2">
        <w:rPr>
          <w:i/>
          <w:iCs/>
        </w:rPr>
        <w:t>Corporations Act 2001</w:t>
      </w:r>
      <w:r w:rsidR="002469F2" w:rsidRPr="00790A86">
        <w:t xml:space="preserve"> </w:t>
      </w:r>
      <w:r w:rsidRPr="00790A86">
        <w:t xml:space="preserve"> </w:t>
      </w:r>
    </w:p>
    <w:p w14:paraId="6DC3A2EF" w14:textId="0E1A2567" w:rsidR="004310C1" w:rsidRDefault="004310C1">
      <w:pPr>
        <w:pStyle w:val="FootnoteText"/>
      </w:pPr>
    </w:p>
  </w:footnote>
  <w:footnote w:id="3">
    <w:p w14:paraId="36E586D2" w14:textId="6E03DD31" w:rsidR="00A10985" w:rsidRDefault="00A10985">
      <w:pPr>
        <w:pStyle w:val="FootnoteText"/>
      </w:pPr>
      <w:r>
        <w:rPr>
          <w:rStyle w:val="FootnoteReference"/>
        </w:rPr>
        <w:footnoteRef/>
      </w:r>
      <w:r>
        <w:t xml:space="preserve"> See paragraph 1.265 of the Explanatory Memor</w:t>
      </w:r>
      <w:r w:rsidR="0055575E">
        <w:t xml:space="preserve">andum to the </w:t>
      </w:r>
      <w:r w:rsidR="0055575E" w:rsidRPr="003A6B9B">
        <w:rPr>
          <w:i/>
          <w:iCs/>
        </w:rPr>
        <w:t>Financial Sector Reform (Hayne Royal Commission Response – Better Advice) Bill 2021</w:t>
      </w:r>
    </w:p>
  </w:footnote>
  <w:footnote w:id="4">
    <w:p w14:paraId="2BCC587D" w14:textId="77777777" w:rsidR="00412BBA" w:rsidRPr="00D13258" w:rsidRDefault="00412BBA" w:rsidP="00412BBA">
      <w:pPr>
        <w:pStyle w:val="FootnoteText"/>
        <w:rPr>
          <w:bCs/>
          <w:iCs/>
        </w:rPr>
      </w:pPr>
      <w:r>
        <w:rPr>
          <w:rStyle w:val="FootnoteReference"/>
        </w:rPr>
        <w:footnoteRef/>
      </w:r>
      <w:r>
        <w:t xml:space="preserve"> </w:t>
      </w:r>
      <w:r w:rsidRPr="00D13258">
        <w:rPr>
          <w:bCs/>
          <w:iCs/>
        </w:rPr>
        <w:t>A ‘relevant provider’ is a person who is:</w:t>
      </w:r>
    </w:p>
    <w:p w14:paraId="596B7AE4" w14:textId="77777777" w:rsidR="00412BBA" w:rsidRPr="00D13258" w:rsidRDefault="00412BBA" w:rsidP="00412BBA">
      <w:pPr>
        <w:pStyle w:val="FootnoteText"/>
        <w:ind w:firstLine="360"/>
        <w:rPr>
          <w:i/>
          <w:iCs/>
        </w:rPr>
      </w:pPr>
      <w:r w:rsidRPr="00D13258">
        <w:rPr>
          <w:i/>
          <w:iCs/>
        </w:rPr>
        <w:t xml:space="preserve">(a) </w:t>
      </w:r>
      <w:r w:rsidRPr="00D13258">
        <w:rPr>
          <w:i/>
          <w:iCs/>
        </w:rPr>
        <w:tab/>
        <w:t>an individual; and</w:t>
      </w:r>
    </w:p>
    <w:p w14:paraId="0B56619C" w14:textId="77777777" w:rsidR="00412BBA" w:rsidRPr="00D13258" w:rsidRDefault="00412BBA" w:rsidP="00412BBA">
      <w:pPr>
        <w:pStyle w:val="FootnoteText"/>
        <w:ind w:firstLine="360"/>
        <w:rPr>
          <w:i/>
          <w:iCs/>
        </w:rPr>
      </w:pPr>
      <w:r w:rsidRPr="00D13258">
        <w:rPr>
          <w:i/>
          <w:iCs/>
        </w:rPr>
        <w:t xml:space="preserve">(b) </w:t>
      </w:r>
      <w:r w:rsidRPr="00D13258">
        <w:rPr>
          <w:i/>
          <w:iCs/>
        </w:rPr>
        <w:tab/>
        <w:t>is:</w:t>
      </w:r>
    </w:p>
    <w:p w14:paraId="0BEB5CEA" w14:textId="77777777" w:rsidR="00412BBA" w:rsidRPr="00D13258" w:rsidRDefault="00412BBA" w:rsidP="00412BBA">
      <w:pPr>
        <w:pStyle w:val="FootnoteText"/>
        <w:ind w:firstLine="720"/>
        <w:rPr>
          <w:i/>
          <w:iCs/>
        </w:rPr>
      </w:pPr>
      <w:r w:rsidRPr="00D13258">
        <w:rPr>
          <w:i/>
          <w:iCs/>
        </w:rPr>
        <w:t>(</w:t>
      </w:r>
      <w:proofErr w:type="spellStart"/>
      <w:r w:rsidRPr="00D13258">
        <w:rPr>
          <w:i/>
          <w:iCs/>
        </w:rPr>
        <w:t>i</w:t>
      </w:r>
      <w:proofErr w:type="spellEnd"/>
      <w:r w:rsidRPr="00D13258">
        <w:rPr>
          <w:i/>
          <w:iCs/>
        </w:rPr>
        <w:t xml:space="preserve">) </w:t>
      </w:r>
      <w:r w:rsidRPr="00D13258">
        <w:rPr>
          <w:i/>
          <w:iCs/>
        </w:rPr>
        <w:tab/>
        <w:t>a financial services licensee; or</w:t>
      </w:r>
    </w:p>
    <w:p w14:paraId="5F583C2C" w14:textId="77777777" w:rsidR="00412BBA" w:rsidRPr="00D13258" w:rsidRDefault="00412BBA" w:rsidP="00412BBA">
      <w:pPr>
        <w:pStyle w:val="FootnoteText"/>
        <w:ind w:firstLine="720"/>
        <w:rPr>
          <w:i/>
          <w:iCs/>
        </w:rPr>
      </w:pPr>
      <w:r w:rsidRPr="00D13258">
        <w:rPr>
          <w:i/>
          <w:iCs/>
        </w:rPr>
        <w:t xml:space="preserve">(ii) </w:t>
      </w:r>
      <w:r w:rsidRPr="00D13258">
        <w:rPr>
          <w:i/>
          <w:iCs/>
        </w:rPr>
        <w:tab/>
        <w:t>an authorised representative of a financial services licensee; or</w:t>
      </w:r>
    </w:p>
    <w:p w14:paraId="5709428B" w14:textId="77777777" w:rsidR="00412BBA" w:rsidRPr="00D13258" w:rsidRDefault="00412BBA" w:rsidP="00412BBA">
      <w:pPr>
        <w:pStyle w:val="FootnoteText"/>
        <w:ind w:firstLine="720"/>
        <w:rPr>
          <w:i/>
          <w:iCs/>
        </w:rPr>
      </w:pPr>
      <w:r w:rsidRPr="00D13258">
        <w:rPr>
          <w:i/>
          <w:iCs/>
        </w:rPr>
        <w:t xml:space="preserve">(iii) </w:t>
      </w:r>
      <w:r w:rsidRPr="00D13258">
        <w:rPr>
          <w:i/>
          <w:iCs/>
        </w:rPr>
        <w:tab/>
        <w:t xml:space="preserve">an employee or director of a financial services </w:t>
      </w:r>
      <w:proofErr w:type="gramStart"/>
      <w:r w:rsidRPr="00D13258">
        <w:rPr>
          <w:i/>
          <w:iCs/>
        </w:rPr>
        <w:t>licensee;</w:t>
      </w:r>
      <w:proofErr w:type="gramEnd"/>
    </w:p>
    <w:p w14:paraId="194AB12E" w14:textId="77777777" w:rsidR="00412BBA" w:rsidRPr="00D13258" w:rsidRDefault="00412BBA" w:rsidP="00412BBA">
      <w:pPr>
        <w:pStyle w:val="FootnoteText"/>
        <w:ind w:firstLine="720"/>
        <w:rPr>
          <w:i/>
          <w:iCs/>
        </w:rPr>
      </w:pPr>
      <w:r w:rsidRPr="00D13258">
        <w:rPr>
          <w:i/>
          <w:iCs/>
        </w:rPr>
        <w:t xml:space="preserve">(iv) </w:t>
      </w:r>
      <w:r w:rsidRPr="00D13258">
        <w:rPr>
          <w:i/>
          <w:iCs/>
        </w:rPr>
        <w:tab/>
        <w:t>or an employee or director of a related body corporate of a financial services licensee; and</w:t>
      </w:r>
    </w:p>
    <w:p w14:paraId="617BEDA7" w14:textId="77777777" w:rsidR="00412BBA" w:rsidRPr="00D13258" w:rsidRDefault="00412BBA" w:rsidP="00412BBA">
      <w:pPr>
        <w:pStyle w:val="FootnoteText"/>
        <w:ind w:left="1440" w:hanging="720"/>
        <w:rPr>
          <w:b/>
          <w:bCs/>
        </w:rPr>
      </w:pPr>
      <w:r w:rsidRPr="00D13258">
        <w:rPr>
          <w:i/>
          <w:iCs/>
        </w:rPr>
        <w:t xml:space="preserve">(c) </w:t>
      </w:r>
      <w:r w:rsidRPr="00D13258">
        <w:rPr>
          <w:i/>
          <w:iCs/>
        </w:rPr>
        <w:tab/>
        <w:t>is authorised to provide personal advice to retail clients, as the licensee or on behalf of the licensee, in relation to relevant financial products</w:t>
      </w:r>
      <w:r>
        <w:t>:</w:t>
      </w:r>
      <w:r w:rsidRPr="00D13258">
        <w:t xml:space="preserve"> section 910A.  </w:t>
      </w:r>
    </w:p>
    <w:p w14:paraId="6A59057E" w14:textId="77777777" w:rsidR="00412BBA" w:rsidRDefault="00412BBA" w:rsidP="00412BBA">
      <w:pPr>
        <w:pStyle w:val="FootnoteText"/>
      </w:pPr>
    </w:p>
  </w:footnote>
  <w:footnote w:id="5">
    <w:p w14:paraId="3E6F8F63" w14:textId="77777777" w:rsidR="00DF3F1C" w:rsidRPr="00790A86" w:rsidRDefault="00DF3F1C" w:rsidP="00DF3F1C">
      <w:pPr>
        <w:pStyle w:val="FootnoteText"/>
      </w:pPr>
      <w:r>
        <w:rPr>
          <w:rStyle w:val="FootnoteReference"/>
        </w:rPr>
        <w:footnoteRef/>
      </w:r>
      <w:r>
        <w:t xml:space="preserve"> </w:t>
      </w:r>
      <w:r w:rsidRPr="00790A86">
        <w:t>An ‘existing provider’ is a person who was a relevant provider (</w:t>
      </w:r>
      <w:proofErr w:type="gramStart"/>
      <w:r w:rsidRPr="00790A86">
        <w:t>i.e.</w:t>
      </w:r>
      <w:proofErr w:type="gramEnd"/>
      <w:r w:rsidRPr="00790A86">
        <w:t xml:space="preserve"> someone who was authorised to provide Personal Advice) at any point in time between January 2016 and January 2019, and who was not banned, disqualified, or subject to an enforceable undertaking on 1 January 2019</w:t>
      </w:r>
      <w:r>
        <w:t xml:space="preserve">: section </w:t>
      </w:r>
      <w:r w:rsidRPr="00790A86">
        <w:t>1546A</w:t>
      </w:r>
      <w:r>
        <w:t xml:space="preserve"> of the </w:t>
      </w:r>
      <w:r>
        <w:rPr>
          <w:i/>
          <w:iCs/>
        </w:rPr>
        <w:t>Corporations Act 2001</w:t>
      </w:r>
      <w:r w:rsidRPr="00790A86">
        <w:t xml:space="preserve">  </w:t>
      </w:r>
    </w:p>
    <w:p w14:paraId="4FAD2086" w14:textId="58DCB037" w:rsidR="00DF3F1C" w:rsidRDefault="00DF3F1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26B35"/>
    <w:multiLevelType w:val="hybridMultilevel"/>
    <w:tmpl w:val="D0584042"/>
    <w:lvl w:ilvl="0" w:tplc="2D4288E2">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2F1BBC"/>
    <w:multiLevelType w:val="multilevel"/>
    <w:tmpl w:val="292AA8DC"/>
    <w:lvl w:ilvl="0">
      <w:start w:val="1"/>
      <w:numFmt w:val="decimal"/>
      <w:pStyle w:val="LI-BodyTextNumbered"/>
      <w:lvlText w:val="%1."/>
      <w:lvlJc w:val="left"/>
      <w:pPr>
        <w:ind w:left="360" w:hanging="360"/>
      </w:pPr>
      <w:rPr>
        <w:rFonts w:hint="default"/>
        <w:b w:val="0"/>
        <w:bCs w:val="0"/>
        <w:color w:val="auto"/>
      </w:rPr>
    </w:lvl>
    <w:lvl w:ilvl="1">
      <w:start w:val="1"/>
      <w:numFmt w:val="lowerRoman"/>
      <w:pStyle w:val="LI-BodyTextSubparai"/>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21197BC5"/>
    <w:multiLevelType w:val="hybridMultilevel"/>
    <w:tmpl w:val="19ECDA98"/>
    <w:lvl w:ilvl="0" w:tplc="0ACC82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A014C6A"/>
    <w:multiLevelType w:val="hybridMultilevel"/>
    <w:tmpl w:val="7250EB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005"/>
    <w:rsid w:val="00024F30"/>
    <w:rsid w:val="00025D44"/>
    <w:rsid w:val="00042A5D"/>
    <w:rsid w:val="00065D7E"/>
    <w:rsid w:val="00083698"/>
    <w:rsid w:val="000B4EEF"/>
    <w:rsid w:val="000C3B1B"/>
    <w:rsid w:val="000D509A"/>
    <w:rsid w:val="000D6E9E"/>
    <w:rsid w:val="000E1004"/>
    <w:rsid w:val="000F6D3C"/>
    <w:rsid w:val="0010027D"/>
    <w:rsid w:val="00133AC6"/>
    <w:rsid w:val="00136F38"/>
    <w:rsid w:val="0014131F"/>
    <w:rsid w:val="00154BC4"/>
    <w:rsid w:val="00163396"/>
    <w:rsid w:val="001652AE"/>
    <w:rsid w:val="001E1440"/>
    <w:rsid w:val="0020169B"/>
    <w:rsid w:val="00204B4E"/>
    <w:rsid w:val="002469F2"/>
    <w:rsid w:val="00262ECD"/>
    <w:rsid w:val="002802E8"/>
    <w:rsid w:val="002879ED"/>
    <w:rsid w:val="002B560F"/>
    <w:rsid w:val="002B79E8"/>
    <w:rsid w:val="002E22C4"/>
    <w:rsid w:val="00302A9F"/>
    <w:rsid w:val="00321516"/>
    <w:rsid w:val="00322C3C"/>
    <w:rsid w:val="00332F63"/>
    <w:rsid w:val="00333B07"/>
    <w:rsid w:val="003350AE"/>
    <w:rsid w:val="00342F7D"/>
    <w:rsid w:val="003433AB"/>
    <w:rsid w:val="003670F2"/>
    <w:rsid w:val="0039507A"/>
    <w:rsid w:val="00397BD1"/>
    <w:rsid w:val="003A20FE"/>
    <w:rsid w:val="003A6B9B"/>
    <w:rsid w:val="003B30B2"/>
    <w:rsid w:val="003C63D8"/>
    <w:rsid w:val="003E2C2B"/>
    <w:rsid w:val="004068BD"/>
    <w:rsid w:val="00412BBA"/>
    <w:rsid w:val="00425E7A"/>
    <w:rsid w:val="004310C1"/>
    <w:rsid w:val="00433386"/>
    <w:rsid w:val="00443FCC"/>
    <w:rsid w:val="00466005"/>
    <w:rsid w:val="004810E2"/>
    <w:rsid w:val="00495D70"/>
    <w:rsid w:val="004F4637"/>
    <w:rsid w:val="004F474E"/>
    <w:rsid w:val="00505982"/>
    <w:rsid w:val="00510EA5"/>
    <w:rsid w:val="005414AE"/>
    <w:rsid w:val="0055575E"/>
    <w:rsid w:val="00565E46"/>
    <w:rsid w:val="005B5FE7"/>
    <w:rsid w:val="005D0590"/>
    <w:rsid w:val="005E0560"/>
    <w:rsid w:val="006318A8"/>
    <w:rsid w:val="00636FC1"/>
    <w:rsid w:val="006567CE"/>
    <w:rsid w:val="00681E31"/>
    <w:rsid w:val="006844EE"/>
    <w:rsid w:val="00690913"/>
    <w:rsid w:val="006934FA"/>
    <w:rsid w:val="00693833"/>
    <w:rsid w:val="006958D9"/>
    <w:rsid w:val="006A1774"/>
    <w:rsid w:val="006A6452"/>
    <w:rsid w:val="006B720E"/>
    <w:rsid w:val="006E1172"/>
    <w:rsid w:val="006E4A16"/>
    <w:rsid w:val="0070451F"/>
    <w:rsid w:val="00715DE2"/>
    <w:rsid w:val="007253D6"/>
    <w:rsid w:val="0073229E"/>
    <w:rsid w:val="0073261D"/>
    <w:rsid w:val="00753C3E"/>
    <w:rsid w:val="007631B0"/>
    <w:rsid w:val="0077232B"/>
    <w:rsid w:val="0077406E"/>
    <w:rsid w:val="00790A86"/>
    <w:rsid w:val="007A09AA"/>
    <w:rsid w:val="007A1869"/>
    <w:rsid w:val="007A3B4D"/>
    <w:rsid w:val="007B0CBB"/>
    <w:rsid w:val="007B44BE"/>
    <w:rsid w:val="007C7804"/>
    <w:rsid w:val="007D42C6"/>
    <w:rsid w:val="007F6D43"/>
    <w:rsid w:val="00805A5A"/>
    <w:rsid w:val="00817392"/>
    <w:rsid w:val="00853EFB"/>
    <w:rsid w:val="00857CD3"/>
    <w:rsid w:val="00860744"/>
    <w:rsid w:val="008D6376"/>
    <w:rsid w:val="008D6BB0"/>
    <w:rsid w:val="00915732"/>
    <w:rsid w:val="009A2B26"/>
    <w:rsid w:val="009B13FC"/>
    <w:rsid w:val="009B781B"/>
    <w:rsid w:val="009E4500"/>
    <w:rsid w:val="00A02DB9"/>
    <w:rsid w:val="00A06725"/>
    <w:rsid w:val="00A10985"/>
    <w:rsid w:val="00A24EE2"/>
    <w:rsid w:val="00A95F52"/>
    <w:rsid w:val="00AA1541"/>
    <w:rsid w:val="00AA6763"/>
    <w:rsid w:val="00AD03A6"/>
    <w:rsid w:val="00AD383A"/>
    <w:rsid w:val="00AD3D80"/>
    <w:rsid w:val="00B1594B"/>
    <w:rsid w:val="00B402E4"/>
    <w:rsid w:val="00B67F01"/>
    <w:rsid w:val="00B7506C"/>
    <w:rsid w:val="00B867FC"/>
    <w:rsid w:val="00BA4AEF"/>
    <w:rsid w:val="00BB244F"/>
    <w:rsid w:val="00BB324D"/>
    <w:rsid w:val="00BD310B"/>
    <w:rsid w:val="00BD3FAE"/>
    <w:rsid w:val="00BF3D51"/>
    <w:rsid w:val="00C16472"/>
    <w:rsid w:val="00C21950"/>
    <w:rsid w:val="00C225BA"/>
    <w:rsid w:val="00C363C3"/>
    <w:rsid w:val="00C50748"/>
    <w:rsid w:val="00C512CE"/>
    <w:rsid w:val="00C524CD"/>
    <w:rsid w:val="00C84896"/>
    <w:rsid w:val="00CB06CF"/>
    <w:rsid w:val="00CC4C21"/>
    <w:rsid w:val="00CE4F2C"/>
    <w:rsid w:val="00CF6D29"/>
    <w:rsid w:val="00D13258"/>
    <w:rsid w:val="00D57ED3"/>
    <w:rsid w:val="00D61F52"/>
    <w:rsid w:val="00D66EBA"/>
    <w:rsid w:val="00D832B1"/>
    <w:rsid w:val="00D95B05"/>
    <w:rsid w:val="00DC68F4"/>
    <w:rsid w:val="00DE5822"/>
    <w:rsid w:val="00DF3F1C"/>
    <w:rsid w:val="00E007FD"/>
    <w:rsid w:val="00E07F32"/>
    <w:rsid w:val="00E21BFC"/>
    <w:rsid w:val="00E40463"/>
    <w:rsid w:val="00E71BB1"/>
    <w:rsid w:val="00E824E1"/>
    <w:rsid w:val="00E93F6C"/>
    <w:rsid w:val="00EA6CE2"/>
    <w:rsid w:val="00EB454B"/>
    <w:rsid w:val="00EC2BB8"/>
    <w:rsid w:val="00EC2EB5"/>
    <w:rsid w:val="00ED0684"/>
    <w:rsid w:val="00ED4CC2"/>
    <w:rsid w:val="00EE16EE"/>
    <w:rsid w:val="00EF29F0"/>
    <w:rsid w:val="00EF6AE5"/>
    <w:rsid w:val="00F139BE"/>
    <w:rsid w:val="00F3069C"/>
    <w:rsid w:val="00F34885"/>
    <w:rsid w:val="00F43AF8"/>
    <w:rsid w:val="00F5456C"/>
    <w:rsid w:val="00F61A1D"/>
    <w:rsid w:val="00F75B09"/>
    <w:rsid w:val="00F75B2C"/>
    <w:rsid w:val="00FA506B"/>
    <w:rsid w:val="00FD1854"/>
    <w:rsid w:val="00FE5F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75D81"/>
  <w15:chartTrackingRefBased/>
  <w15:docId w15:val="{566EF7B9-3BE2-441A-9CAA-24AEE2EF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66005"/>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466005"/>
    <w:pPr>
      <w:pBdr>
        <w:top w:val="single" w:sz="4" w:space="1" w:color="auto"/>
      </w:pBdr>
      <w:spacing w:line="240" w:lineRule="auto"/>
    </w:pPr>
    <w:rPr>
      <w:rFonts w:eastAsia="Times New Roman"/>
      <w:b/>
      <w:sz w:val="40"/>
      <w:lang w:eastAsia="en-AU"/>
    </w:rPr>
  </w:style>
  <w:style w:type="paragraph" w:customStyle="1" w:styleId="LI-Heading2">
    <w:name w:val="LI - Heading 2"/>
    <w:basedOn w:val="Normal"/>
    <w:next w:val="Normal"/>
    <w:qFormat/>
    <w:rsid w:val="00466005"/>
    <w:pPr>
      <w:keepNext/>
      <w:keepLines/>
      <w:spacing w:before="360" w:line="240" w:lineRule="auto"/>
      <w:ind w:left="567" w:hanging="567"/>
      <w:outlineLvl w:val="1"/>
    </w:pPr>
    <w:rPr>
      <w:rFonts w:eastAsia="Times New Roman"/>
      <w:b/>
      <w:kern w:val="28"/>
      <w:sz w:val="24"/>
      <w:lang w:eastAsia="en-AU"/>
    </w:rPr>
  </w:style>
  <w:style w:type="paragraph" w:customStyle="1" w:styleId="LI-BodyTextParaa">
    <w:name w:val="LI - Body Text Para (a)"/>
    <w:basedOn w:val="Normal"/>
    <w:link w:val="LI-BodyTextParaaChar"/>
    <w:rsid w:val="00466005"/>
    <w:pPr>
      <w:spacing w:before="240" w:line="240" w:lineRule="auto"/>
      <w:ind w:left="1701" w:hanging="567"/>
    </w:pPr>
    <w:rPr>
      <w:rFonts w:eastAsia="Times New Roman"/>
      <w:sz w:val="24"/>
      <w:szCs w:val="24"/>
      <w:lang w:eastAsia="en-AU"/>
    </w:rPr>
  </w:style>
  <w:style w:type="character" w:styleId="Hyperlink">
    <w:name w:val="Hyperlink"/>
    <w:uiPriority w:val="99"/>
    <w:rsid w:val="00466005"/>
    <w:rPr>
      <w:color w:val="0000FF"/>
      <w:u w:val="single"/>
    </w:rPr>
  </w:style>
  <w:style w:type="paragraph" w:customStyle="1" w:styleId="LI-BodyTextSubparai">
    <w:name w:val="LI - Body Text Subpara (i)"/>
    <w:basedOn w:val="LI-BodyTextParaa"/>
    <w:link w:val="LI-BodyTextSubparaiChar"/>
    <w:qFormat/>
    <w:rsid w:val="00857CD3"/>
    <w:pPr>
      <w:numPr>
        <w:ilvl w:val="1"/>
        <w:numId w:val="1"/>
      </w:numPr>
      <w:ind w:hanging="654"/>
    </w:pPr>
  </w:style>
  <w:style w:type="character" w:customStyle="1" w:styleId="LI-BodyTextParaaChar">
    <w:name w:val="LI - Body Text Para (a) Char"/>
    <w:link w:val="LI-BodyTextParaa"/>
    <w:rsid w:val="00466005"/>
    <w:rPr>
      <w:rFonts w:ascii="Times New Roman" w:eastAsia="Times New Roman" w:hAnsi="Times New Roman" w:cs="Times New Roman"/>
      <w:sz w:val="24"/>
      <w:szCs w:val="24"/>
      <w:lang w:eastAsia="en-AU"/>
    </w:rPr>
  </w:style>
  <w:style w:type="character" w:customStyle="1" w:styleId="LI-BodyTextSubparaiChar">
    <w:name w:val="LI - Body Text Subpara (i) Char"/>
    <w:basedOn w:val="LI-BodyTextParaaChar"/>
    <w:link w:val="LI-BodyTextSubparai"/>
    <w:rsid w:val="00857CD3"/>
    <w:rPr>
      <w:rFonts w:ascii="Times New Roman" w:eastAsia="Times New Roman" w:hAnsi="Times New Roman" w:cs="Times New Roman"/>
      <w:sz w:val="24"/>
      <w:szCs w:val="24"/>
      <w:lang w:eastAsia="en-AU"/>
    </w:rPr>
  </w:style>
  <w:style w:type="paragraph" w:customStyle="1" w:styleId="LI-BodyTextNumbered">
    <w:name w:val="LI - Body Text Numbered"/>
    <w:basedOn w:val="Normal"/>
    <w:next w:val="LI-BodyTextSubparai"/>
    <w:link w:val="LI-BodyTextNumberedChar"/>
    <w:qFormat/>
    <w:rsid w:val="00466005"/>
    <w:pPr>
      <w:numPr>
        <w:numId w:val="1"/>
      </w:numPr>
      <w:spacing w:before="240" w:line="240" w:lineRule="auto"/>
    </w:pPr>
    <w:rPr>
      <w:rFonts w:eastAsia="Times New Roman"/>
      <w:sz w:val="24"/>
      <w:szCs w:val="24"/>
      <w:lang w:eastAsia="en-AU"/>
    </w:rPr>
  </w:style>
  <w:style w:type="character" w:customStyle="1" w:styleId="LI-BodyTextNumberedChar">
    <w:name w:val="LI - Body Text Numbered Char"/>
    <w:link w:val="LI-BodyTextNumbered"/>
    <w:rsid w:val="00466005"/>
    <w:rPr>
      <w:rFonts w:ascii="Times New Roman" w:eastAsia="Times New Roman" w:hAnsi="Times New Roman" w:cs="Times New Roman"/>
      <w:sz w:val="24"/>
      <w:szCs w:val="24"/>
      <w:lang w:eastAsia="en-AU"/>
    </w:rPr>
  </w:style>
  <w:style w:type="character" w:styleId="CommentReference">
    <w:name w:val="annotation reference"/>
    <w:uiPriority w:val="99"/>
    <w:semiHidden/>
    <w:unhideWhenUsed/>
    <w:rsid w:val="00466005"/>
    <w:rPr>
      <w:sz w:val="16"/>
      <w:szCs w:val="16"/>
    </w:rPr>
  </w:style>
  <w:style w:type="paragraph" w:styleId="CommentText">
    <w:name w:val="annotation text"/>
    <w:basedOn w:val="Normal"/>
    <w:link w:val="CommentTextChar"/>
    <w:uiPriority w:val="99"/>
    <w:unhideWhenUsed/>
    <w:rsid w:val="00466005"/>
    <w:rPr>
      <w:sz w:val="20"/>
    </w:rPr>
  </w:style>
  <w:style w:type="character" w:customStyle="1" w:styleId="CommentTextChar">
    <w:name w:val="Comment Text Char"/>
    <w:basedOn w:val="DefaultParagraphFont"/>
    <w:link w:val="CommentText"/>
    <w:uiPriority w:val="99"/>
    <w:rsid w:val="00466005"/>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2C3C"/>
    <w:pPr>
      <w:spacing w:line="240" w:lineRule="auto"/>
    </w:pPr>
    <w:rPr>
      <w:b/>
      <w:bCs/>
    </w:rPr>
  </w:style>
  <w:style w:type="character" w:customStyle="1" w:styleId="CommentSubjectChar">
    <w:name w:val="Comment Subject Char"/>
    <w:basedOn w:val="CommentTextChar"/>
    <w:link w:val="CommentSubject"/>
    <w:uiPriority w:val="99"/>
    <w:semiHidden/>
    <w:rsid w:val="00322C3C"/>
    <w:rPr>
      <w:rFonts w:ascii="Times New Roman" w:eastAsia="Calibri" w:hAnsi="Times New Roman" w:cs="Times New Roman"/>
      <w:b/>
      <w:bCs/>
      <w:sz w:val="20"/>
      <w:szCs w:val="20"/>
    </w:rPr>
  </w:style>
  <w:style w:type="character" w:styleId="FollowedHyperlink">
    <w:name w:val="FollowedHyperlink"/>
    <w:basedOn w:val="DefaultParagraphFont"/>
    <w:uiPriority w:val="99"/>
    <w:semiHidden/>
    <w:unhideWhenUsed/>
    <w:rsid w:val="007F6D43"/>
    <w:rPr>
      <w:color w:val="954F72" w:themeColor="followedHyperlink"/>
      <w:u w:val="single"/>
    </w:rPr>
  </w:style>
  <w:style w:type="paragraph" w:styleId="BalloonText">
    <w:name w:val="Balloon Text"/>
    <w:basedOn w:val="Normal"/>
    <w:link w:val="BalloonTextChar"/>
    <w:uiPriority w:val="99"/>
    <w:semiHidden/>
    <w:unhideWhenUsed/>
    <w:rsid w:val="007253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3D6"/>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4310C1"/>
    <w:pPr>
      <w:spacing w:line="240" w:lineRule="auto"/>
    </w:pPr>
    <w:rPr>
      <w:sz w:val="20"/>
    </w:rPr>
  </w:style>
  <w:style w:type="character" w:customStyle="1" w:styleId="FootnoteTextChar">
    <w:name w:val="Footnote Text Char"/>
    <w:basedOn w:val="DefaultParagraphFont"/>
    <w:link w:val="FootnoteText"/>
    <w:uiPriority w:val="99"/>
    <w:semiHidden/>
    <w:rsid w:val="004310C1"/>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4310C1"/>
    <w:rPr>
      <w:vertAlign w:val="superscript"/>
    </w:rPr>
  </w:style>
  <w:style w:type="paragraph" w:styleId="Header">
    <w:name w:val="header"/>
    <w:basedOn w:val="Normal"/>
    <w:link w:val="HeaderChar"/>
    <w:uiPriority w:val="99"/>
    <w:unhideWhenUsed/>
    <w:rsid w:val="00715DE2"/>
    <w:pPr>
      <w:tabs>
        <w:tab w:val="center" w:pos="4513"/>
        <w:tab w:val="right" w:pos="9026"/>
      </w:tabs>
      <w:spacing w:line="240" w:lineRule="auto"/>
    </w:pPr>
  </w:style>
  <w:style w:type="character" w:customStyle="1" w:styleId="HeaderChar">
    <w:name w:val="Header Char"/>
    <w:basedOn w:val="DefaultParagraphFont"/>
    <w:link w:val="Header"/>
    <w:uiPriority w:val="99"/>
    <w:rsid w:val="00715DE2"/>
    <w:rPr>
      <w:rFonts w:ascii="Times New Roman" w:eastAsia="Calibri" w:hAnsi="Times New Roman" w:cs="Times New Roman"/>
      <w:szCs w:val="20"/>
    </w:rPr>
  </w:style>
  <w:style w:type="paragraph" w:styleId="Footer">
    <w:name w:val="footer"/>
    <w:basedOn w:val="Normal"/>
    <w:link w:val="FooterChar"/>
    <w:uiPriority w:val="99"/>
    <w:unhideWhenUsed/>
    <w:rsid w:val="00715DE2"/>
    <w:pPr>
      <w:tabs>
        <w:tab w:val="center" w:pos="4513"/>
        <w:tab w:val="right" w:pos="9026"/>
      </w:tabs>
      <w:spacing w:line="240" w:lineRule="auto"/>
    </w:pPr>
  </w:style>
  <w:style w:type="character" w:customStyle="1" w:styleId="FooterChar">
    <w:name w:val="Footer Char"/>
    <w:basedOn w:val="DefaultParagraphFont"/>
    <w:link w:val="Footer"/>
    <w:uiPriority w:val="99"/>
    <w:rsid w:val="00715DE2"/>
    <w:rPr>
      <w:rFonts w:ascii="Times New Roman" w:eastAsia="Calibri"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500213">
      <w:bodyDiv w:val="1"/>
      <w:marLeft w:val="0"/>
      <w:marRight w:val="0"/>
      <w:marTop w:val="0"/>
      <w:marBottom w:val="0"/>
      <w:divBdr>
        <w:top w:val="none" w:sz="0" w:space="0" w:color="auto"/>
        <w:left w:val="none" w:sz="0" w:space="0" w:color="auto"/>
        <w:bottom w:val="none" w:sz="0" w:space="0" w:color="auto"/>
        <w:right w:val="none" w:sz="0" w:space="0" w:color="auto"/>
      </w:divBdr>
    </w:div>
    <w:div w:id="1135217961">
      <w:bodyDiv w:val="1"/>
      <w:marLeft w:val="0"/>
      <w:marRight w:val="0"/>
      <w:marTop w:val="0"/>
      <w:marBottom w:val="0"/>
      <w:divBdr>
        <w:top w:val="none" w:sz="0" w:space="0" w:color="auto"/>
        <w:left w:val="none" w:sz="0" w:space="0" w:color="auto"/>
        <w:bottom w:val="none" w:sz="0" w:space="0" w:color="auto"/>
        <w:right w:val="none" w:sz="0" w:space="0" w:color="auto"/>
      </w:divBdr>
    </w:div>
    <w:div w:id="1609659771">
      <w:bodyDiv w:val="1"/>
      <w:marLeft w:val="0"/>
      <w:marRight w:val="0"/>
      <w:marTop w:val="0"/>
      <w:marBottom w:val="0"/>
      <w:divBdr>
        <w:top w:val="none" w:sz="0" w:space="0" w:color="auto"/>
        <w:left w:val="none" w:sz="0" w:space="0" w:color="auto"/>
        <w:bottom w:val="none" w:sz="0" w:space="0" w:color="auto"/>
        <w:right w:val="none" w:sz="0" w:space="0" w:color="auto"/>
      </w:divBdr>
    </w:div>
    <w:div w:id="172189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A Policy Document" ma:contentTypeID="0x010100B5F685A1365F544391EF8C813B164F3A9500057B65281D252E4EA5C90AFA34858AB1" ma:contentTypeVersion="26" ma:contentTypeDescription="" ma:contentTypeScope="" ma:versionID="35045081183f7f6a17b9ca4a4cb8556c">
  <xsd:schema xmlns:xsd="http://www.w3.org/2001/XMLSchema" xmlns:xs="http://www.w3.org/2001/XMLSchema" xmlns:p="http://schemas.microsoft.com/office/2006/metadata/properties" xmlns:ns2="da7a9ac0-bc47-4684-84e6-3a8e9ac80c12" xmlns:ns3="c34c7f6c-aaaf-45a3-a9eb-afe48db4d66e" xmlns:ns5="http://schemas.microsoft.com/sharepoint/v4" xmlns:ns6="17f478ab-373e-4295-9ff0-9b833ad01319" targetNamespace="http://schemas.microsoft.com/office/2006/metadata/properties" ma:root="true" ma:fieldsID="abd52c0c3f8a6a51c06a8a22f2e579b0" ns2:_="" ns3:_="" ns5:_="" ns6:_="">
    <xsd:import namespace="da7a9ac0-bc47-4684-84e6-3a8e9ac80c12"/>
    <xsd:import namespace="c34c7f6c-aaaf-45a3-a9eb-afe48db4d66e"/>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FAPolicyDocumentType" minOccurs="0"/>
                <xsd:element ref="ns2:h771bd08b94b4ae5a720f57c72698c26" minOccurs="0"/>
                <xsd:element ref="ns3:d60934758bd44d46b350733ac9e6adc4"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FAPolicyDocumentType" ma:index="17" nillable="true" ma:displayName="FA Policy Document Type" ma:format="Dropdown" ma:internalName="FAPolicyDocumentType">
      <xsd:simpleType>
        <xsd:restriction base="dms:Choice">
          <xsd:enumeration value="Communications"/>
          <xsd:enumeration value="Guidance"/>
          <xsd:enumeration value="Submission"/>
          <xsd:enumeration value="Speeches"/>
          <xsd:enumeration value="Briefings"/>
          <xsd:enumeration value="Agenda"/>
          <xsd:enumeration value="Minutes"/>
          <xsd:enumeration value="Media Release"/>
        </xsd:restriction>
      </xsd:simpleType>
    </xsd:element>
    <xsd:element name="h771bd08b94b4ae5a720f57c72698c26" ma:index="18" nillable="true" ma:displayName="Communication_0" ma:hidden="true" ma:internalName="h771bd08b94b4ae5a720f57c72698c26" ma:readOnly="false">
      <xsd:simpleType>
        <xsd:restriction base="dms:Note"/>
      </xsd:simpleType>
    </xsd:element>
    <xsd:element name="NotesLinks" ma:index="22"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4c7f6c-aaaf-45a3-a9eb-afe48db4d66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54e46640-b2c8-4f13-91a4-f61af8f8ea7f}" ma:internalName="TaxCatchAll" ma:showField="CatchAllData" ma:web="c34c7f6c-aaaf-45a3-a9eb-afe48db4d66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54e46640-b2c8-4f13-91a4-f61af8f8ea7f}" ma:internalName="TaxCatchAllLabel" ma:readOnly="true" ma:showField="CatchAllDataLabel" ma:web="c34c7f6c-aaaf-45a3-a9eb-afe48db4d66e">
      <xsd:complexType>
        <xsd:complexContent>
          <xsd:extension base="dms:MultiChoiceLookup">
            <xsd:sequence>
              <xsd:element name="Value" type="dms:Lookup" maxOccurs="unbounded" minOccurs="0" nillable="true"/>
            </xsd:sequence>
          </xsd:extension>
        </xsd:complexContent>
      </xsd:complexType>
    </xsd:element>
    <xsd:element name="d60934758bd44d46b350733ac9e6adc4" ma:index="19" ma:taxonomy="true" ma:internalName="d60934758bd44d46b350733ac9e6adc4" ma:taxonomyFieldName="SecurityClassification" ma:displayName="Security Classification" ma:default="-1;#OFFICIAL - Sensitive|6eccc17f-024b-41b0-b6b1-faf98d2aff85" ma:fieldId="{d6093475-8bd4-4d46-b350-733ac9e6adc4}"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3"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4"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ecordNumber xmlns="da7a9ac0-bc47-4684-84e6-3a8e9ac80c12">R20220000963903</RecordNumber>
    <ObjectiveID xmlns="da7a9ac0-bc47-4684-84e6-3a8e9ac80c12" xsi:nil="true"/>
    <IconOverlay xmlns="http://schemas.microsoft.com/sharepoint/v4" xsi:nil="true"/>
    <TaxCatchAll xmlns="c34c7f6c-aaaf-45a3-a9eb-afe48db4d66e">
      <Value>12</Value>
    </TaxCatchAll>
    <SignificantFlag xmlns="da7a9ac0-bc47-4684-84e6-3a8e9ac80c12">false</SignificantFlag>
    <h771bd08b94b4ae5a720f57c72698c26 xmlns="da7a9ac0-bc47-4684-84e6-3a8e9ac80c12" xsi:nil="true"/>
    <FAPolicyDocumentType xmlns="da7a9ac0-bc47-4684-84e6-3a8e9ac80c12" xsi:nil="true"/>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d60934758bd44d46b350733ac9e6adc4 xmlns="c34c7f6c-aaaf-45a3-a9eb-afe48db4d66e">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d60934758bd44d46b350733ac9e6adc4>
    <NotesLinks xmlns="da7a9ac0-bc47-4684-84e6-3a8e9ac80c12" xsi:nil="true"/>
  </documentManagement>
</p:properties>
</file>

<file path=customXml/itemProps1.xml><?xml version="1.0" encoding="utf-8"?>
<ds:datastoreItem xmlns:ds="http://schemas.openxmlformats.org/officeDocument/2006/customXml" ds:itemID="{89866C6A-2747-4ADA-8884-B98DE3BA3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c34c7f6c-aaaf-45a3-a9eb-afe48db4d66e"/>
    <ds:schemaRef ds:uri="http://schemas.microsoft.com/sharepoint/v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2F6D26-EE1A-479C-97BA-398EE141EA06}">
  <ds:schemaRefs>
    <ds:schemaRef ds:uri="http://schemas.microsoft.com/sharepoint/v3/contenttype/forms"/>
  </ds:schemaRefs>
</ds:datastoreItem>
</file>

<file path=customXml/itemProps3.xml><?xml version="1.0" encoding="utf-8"?>
<ds:datastoreItem xmlns:ds="http://schemas.openxmlformats.org/officeDocument/2006/customXml" ds:itemID="{6FA9F39D-FB46-4C1D-8A17-B3DE0DF4D22D}">
  <ds:schemaRefs>
    <ds:schemaRef ds:uri="http://schemas.openxmlformats.org/officeDocument/2006/bibliography"/>
  </ds:schemaRefs>
</ds:datastoreItem>
</file>

<file path=customXml/itemProps4.xml><?xml version="1.0" encoding="utf-8"?>
<ds:datastoreItem xmlns:ds="http://schemas.openxmlformats.org/officeDocument/2006/customXml" ds:itemID="{7BC79C56-2389-4470-B5EB-7EF88A7A1683}">
  <ds:schemaRefs>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7f478ab-373e-4295-9ff0-9b833ad01319"/>
    <ds:schemaRef ds:uri="c34c7f6c-aaaf-45a3-a9eb-afe48db4d66e"/>
    <ds:schemaRef ds:uri="http://purl.org/dc/elements/1.1/"/>
    <ds:schemaRef ds:uri="da7a9ac0-bc47-4684-84e6-3a8e9ac80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1867</Words>
  <Characters>10643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Stockfeld</dc:creator>
  <cp:keywords/>
  <dc:description/>
  <cp:lastModifiedBy>Narelle Kane</cp:lastModifiedBy>
  <cp:revision>3</cp:revision>
  <dcterms:created xsi:type="dcterms:W3CDTF">2022-03-31T04:05:00Z</dcterms:created>
  <dcterms:modified xsi:type="dcterms:W3CDTF">2022-03-31T04:06:00Z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0x010100B5F685A1365F544391EF8C813B164F3A9500057B65281D252E4EA5C90AFA34858AB1</vt:lpwstr>
  </property>
  <property fmtid="{D5CDD505-2E9C-101B-9397-08002B2CF9AE}" pid="3" name="SecurityClassification">
    <vt:lpwstr>12;#OFFICIAL - Sensitive|6eccc17f-024b-41b0-b6b1-faf98d2aff85</vt:lpwstr>
  </property>
  <property fmtid="{D5CDD505-2E9C-101B-9397-08002B2CF9AE}" pid="4" name="RecordPoint_WorkflowType">
    <vt:lpwstr>ActiveSubmitStub</vt:lpwstr>
  </property>
  <property fmtid="{D5CDD505-2E9C-101B-9397-08002B2CF9AE}" pid="5" name="RecordPoint_ActiveItemListId">
    <vt:lpwstr>{973aa0ce-f35d-47c5-8e2b-fd84519936d9}</vt:lpwstr>
  </property>
  <property fmtid="{D5CDD505-2E9C-101B-9397-08002B2CF9AE}" pid="6" name="RecordPoint_ActiveItemUniqueId">
    <vt:lpwstr>{ceaa5d80-492b-41b5-94ab-6cb92ff9a8f1}</vt:lpwstr>
  </property>
  <property fmtid="{D5CDD505-2E9C-101B-9397-08002B2CF9AE}" pid="7" name="RecordPoint_ActiveItemWebId">
    <vt:lpwstr>{c34c7f6c-aaaf-45a3-a9eb-afe48db4d66e}</vt:lpwstr>
  </property>
  <property fmtid="{D5CDD505-2E9C-101B-9397-08002B2CF9AE}" pid="8" name="RecordPoint_ActiveItemSiteId">
    <vt:lpwstr>{970ad2fa-f22f-46d1-9c2d-779d215cedf1}</vt:lpwstr>
  </property>
  <property fmtid="{D5CDD505-2E9C-101B-9397-08002B2CF9AE}" pid="9" name="RecordPoint_RecordNumberSubmitted">
    <vt:lpwstr>R20220000963903</vt:lpwstr>
  </property>
  <property fmtid="{D5CDD505-2E9C-101B-9397-08002B2CF9AE}" pid="10" name="RecordPoint_SubmissionCompleted">
    <vt:lpwstr>2022-03-31T13:42:58.6161953+11:00</vt:lpwstr>
  </property>
  <property fmtid="{D5CDD505-2E9C-101B-9397-08002B2CF9AE}" pid="11" name="RecordPoint_SubmissionDate">
    <vt:lpwstr/>
  </property>
  <property fmtid="{D5CDD505-2E9C-101B-9397-08002B2CF9AE}" pid="12" name="RecordPoint_RecordFormat">
    <vt:lpwstr/>
  </property>
</Properties>
</file>