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B5493" w14:textId="77777777" w:rsidR="00D75CE5" w:rsidRDefault="00D75CE5" w:rsidP="00D75CE5">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EXPLANATORY STATEMENT</w:t>
      </w:r>
    </w:p>
    <w:p w14:paraId="2B086FF5" w14:textId="77777777" w:rsidR="00D75CE5" w:rsidRDefault="00D75CE5" w:rsidP="00D75CE5">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Issued by the authority of the Minister for Industry, Energy and Emissions Reduction</w:t>
      </w:r>
    </w:p>
    <w:p w14:paraId="7DBBDAB3" w14:textId="77777777" w:rsidR="00D75CE5" w:rsidRPr="00CB4867" w:rsidRDefault="00D75CE5" w:rsidP="00D75CE5">
      <w:pPr>
        <w:spacing w:before="240" w:after="240"/>
        <w:jc w:val="center"/>
        <w:rPr>
          <w:rFonts w:ascii="Times New Roman" w:hAnsi="Times New Roman" w:cs="Times New Roman"/>
          <w:i/>
          <w:sz w:val="24"/>
          <w:szCs w:val="24"/>
        </w:rPr>
      </w:pPr>
      <w:r w:rsidRPr="00CB4867">
        <w:rPr>
          <w:rFonts w:ascii="Times New Roman" w:hAnsi="Times New Roman" w:cs="Times New Roman"/>
          <w:i/>
          <w:sz w:val="24"/>
          <w:szCs w:val="24"/>
        </w:rPr>
        <w:t>Australian Renewable Energy Agency Act 2011</w:t>
      </w:r>
    </w:p>
    <w:p w14:paraId="2AC1F6EC" w14:textId="77777777" w:rsidR="00D75CE5" w:rsidRPr="00CB4867" w:rsidRDefault="00D75CE5" w:rsidP="00D75CE5">
      <w:pPr>
        <w:spacing w:before="240" w:after="240"/>
        <w:jc w:val="center"/>
        <w:rPr>
          <w:rFonts w:ascii="Times New Roman" w:hAnsi="Times New Roman" w:cs="Times New Roman"/>
          <w:i/>
          <w:sz w:val="24"/>
          <w:szCs w:val="24"/>
        </w:rPr>
      </w:pPr>
      <w:r w:rsidRPr="00CB4867">
        <w:rPr>
          <w:rFonts w:ascii="Times New Roman" w:hAnsi="Times New Roman" w:cs="Times New Roman"/>
          <w:i/>
          <w:sz w:val="24"/>
          <w:szCs w:val="24"/>
        </w:rPr>
        <w:t>Australian Renewable Energy Agency Amendment (</w:t>
      </w:r>
      <w:r>
        <w:rPr>
          <w:rFonts w:ascii="Times New Roman" w:hAnsi="Times New Roman" w:cs="Times New Roman"/>
          <w:i/>
          <w:sz w:val="24"/>
          <w:szCs w:val="24"/>
        </w:rPr>
        <w:t>Clean Energy Technologies</w:t>
      </w:r>
      <w:r w:rsidRPr="00CB4867">
        <w:rPr>
          <w:rFonts w:ascii="Times New Roman" w:hAnsi="Times New Roman" w:cs="Times New Roman"/>
          <w:i/>
          <w:sz w:val="24"/>
          <w:szCs w:val="24"/>
        </w:rPr>
        <w:t>) Regulations</w:t>
      </w:r>
      <w:r>
        <w:rPr>
          <w:rFonts w:ascii="Times New Roman" w:hAnsi="Times New Roman" w:cs="Times New Roman"/>
          <w:i/>
          <w:sz w:val="24"/>
          <w:szCs w:val="24"/>
        </w:rPr>
        <w:t> </w:t>
      </w:r>
      <w:r w:rsidRPr="00CB4867">
        <w:rPr>
          <w:rFonts w:ascii="Times New Roman" w:hAnsi="Times New Roman" w:cs="Times New Roman"/>
          <w:i/>
          <w:sz w:val="24"/>
          <w:szCs w:val="24"/>
        </w:rPr>
        <w:t>202</w:t>
      </w:r>
      <w:r>
        <w:rPr>
          <w:rFonts w:ascii="Times New Roman" w:hAnsi="Times New Roman" w:cs="Times New Roman"/>
          <w:i/>
          <w:sz w:val="24"/>
          <w:szCs w:val="24"/>
        </w:rPr>
        <w:t>2</w:t>
      </w:r>
    </w:p>
    <w:p w14:paraId="6E2A72CE" w14:textId="77777777" w:rsidR="00D75CE5" w:rsidRDefault="00D75CE5" w:rsidP="00D75CE5">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Purpose</w:t>
      </w:r>
    </w:p>
    <w:p w14:paraId="6D833614"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Australian Renewable Energy Agency Amendment (Clean Energy Technologies) Regulations 2022</w:t>
      </w:r>
      <w:r>
        <w:rPr>
          <w:rFonts w:ascii="Times New Roman" w:hAnsi="Times New Roman" w:cs="Times New Roman"/>
          <w:sz w:val="24"/>
          <w:szCs w:val="24"/>
        </w:rPr>
        <w:t xml:space="preserve"> (the Regulations)</w:t>
      </w:r>
      <w:r w:rsidRPr="008523DB">
        <w:rPr>
          <w:rFonts w:ascii="Times New Roman" w:hAnsi="Times New Roman" w:cs="Times New Roman"/>
          <w:sz w:val="24"/>
          <w:szCs w:val="24"/>
        </w:rPr>
        <w:t xml:space="preserve"> </w:t>
      </w:r>
      <w:r>
        <w:rPr>
          <w:rFonts w:ascii="Times New Roman" w:hAnsi="Times New Roman" w:cs="Times New Roman"/>
          <w:sz w:val="24"/>
          <w:szCs w:val="24"/>
        </w:rPr>
        <w:t>expand</w:t>
      </w:r>
      <w:r w:rsidRPr="008523DB">
        <w:rPr>
          <w:rFonts w:ascii="Times New Roman" w:hAnsi="Times New Roman" w:cs="Times New Roman"/>
          <w:sz w:val="24"/>
          <w:szCs w:val="24"/>
        </w:rPr>
        <w:t xml:space="preserve"> the operating remit of the Australian Renewable Energy Agency (ARENA)</w:t>
      </w:r>
      <w:r>
        <w:rPr>
          <w:rFonts w:ascii="Times New Roman" w:hAnsi="Times New Roman" w:cs="Times New Roman"/>
          <w:sz w:val="24"/>
          <w:szCs w:val="24"/>
        </w:rPr>
        <w:t>.</w:t>
      </w:r>
      <w:r w:rsidRPr="008523DB">
        <w:rPr>
          <w:rFonts w:ascii="Times New Roman" w:hAnsi="Times New Roman" w:cs="Times New Roman"/>
          <w:sz w:val="24"/>
          <w:szCs w:val="24"/>
        </w:rPr>
        <w:t xml:space="preserve"> </w:t>
      </w:r>
      <w:r>
        <w:rPr>
          <w:rFonts w:ascii="Times New Roman" w:hAnsi="Times New Roman" w:cs="Times New Roman"/>
          <w:sz w:val="24"/>
          <w:szCs w:val="24"/>
        </w:rPr>
        <w:t xml:space="preserve">The Regulations will </w:t>
      </w:r>
      <w:r w:rsidRPr="008523DB">
        <w:rPr>
          <w:rFonts w:ascii="Times New Roman" w:hAnsi="Times New Roman" w:cs="Times New Roman"/>
          <w:sz w:val="24"/>
          <w:szCs w:val="24"/>
        </w:rPr>
        <w:t xml:space="preserve">permit </w:t>
      </w:r>
      <w:r>
        <w:rPr>
          <w:rFonts w:ascii="Times New Roman" w:hAnsi="Times New Roman" w:cs="Times New Roman"/>
          <w:sz w:val="24"/>
          <w:szCs w:val="24"/>
        </w:rPr>
        <w:t>ARENA</w:t>
      </w:r>
      <w:r w:rsidRPr="008523DB">
        <w:rPr>
          <w:rFonts w:ascii="Times New Roman" w:hAnsi="Times New Roman" w:cs="Times New Roman"/>
          <w:sz w:val="24"/>
          <w:szCs w:val="24"/>
        </w:rPr>
        <w:t xml:space="preserve"> to invest in a wider range of clean energy technologies </w:t>
      </w:r>
      <w:r>
        <w:rPr>
          <w:rFonts w:ascii="Times New Roman" w:hAnsi="Times New Roman" w:cs="Times New Roman"/>
          <w:sz w:val="24"/>
          <w:szCs w:val="24"/>
        </w:rPr>
        <w:t>which are essential to Australia meeting its Nationally Determined Contribution under the Paris Agreement, including low emissions technologies set out in the technology stretch goals in that contribution</w:t>
      </w:r>
      <w:r w:rsidRPr="008523DB">
        <w:rPr>
          <w:rFonts w:ascii="Times New Roman" w:hAnsi="Times New Roman" w:cs="Times New Roman"/>
          <w:sz w:val="24"/>
          <w:szCs w:val="24"/>
        </w:rPr>
        <w:t>.</w:t>
      </w:r>
    </w:p>
    <w:p w14:paraId="5DBE972C" w14:textId="77777777" w:rsidR="00D75CE5" w:rsidRPr="0043289D"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ARENA</w:t>
      </w:r>
      <w:r w:rsidRPr="0043289D">
        <w:rPr>
          <w:rFonts w:ascii="Times New Roman" w:hAnsi="Times New Roman" w:cs="Times New Roman"/>
          <w:sz w:val="24"/>
          <w:szCs w:val="24"/>
        </w:rPr>
        <w:t xml:space="preserve">, as established by the </w:t>
      </w:r>
      <w:r w:rsidRPr="00DE4CA4">
        <w:rPr>
          <w:rFonts w:ascii="Times New Roman" w:hAnsi="Times New Roman" w:cs="Times New Roman"/>
          <w:i/>
          <w:sz w:val="24"/>
          <w:szCs w:val="24"/>
        </w:rPr>
        <w:t>Australian Renewable Energy Agency Act 2011</w:t>
      </w:r>
      <w:r w:rsidRPr="0043289D">
        <w:rPr>
          <w:rFonts w:ascii="Times New Roman" w:hAnsi="Times New Roman" w:cs="Times New Roman"/>
          <w:sz w:val="24"/>
          <w:szCs w:val="24"/>
        </w:rPr>
        <w:t xml:space="preserve"> (the Act), has the dual objectives of improving the competitiveness of renewable energy technologies and increasing the supply of renewable energy in Australia. Its legislated functions, as outlined in section 8 of the Act, are primarily to provide financial assistance </w:t>
      </w:r>
      <w:r>
        <w:rPr>
          <w:rFonts w:ascii="Times New Roman" w:hAnsi="Times New Roman" w:cs="Times New Roman"/>
          <w:sz w:val="24"/>
          <w:szCs w:val="24"/>
        </w:rPr>
        <w:t>(in the form of grants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r w:rsidRPr="0043289D">
        <w:rPr>
          <w:rFonts w:ascii="Times New Roman" w:hAnsi="Times New Roman" w:cs="Times New Roman"/>
          <w:sz w:val="24"/>
          <w:szCs w:val="24"/>
        </w:rPr>
        <w:t xml:space="preserve"> for research into, development</w:t>
      </w:r>
      <w:r>
        <w:rPr>
          <w:rFonts w:ascii="Times New Roman" w:hAnsi="Times New Roman" w:cs="Times New Roman"/>
          <w:sz w:val="24"/>
          <w:szCs w:val="24"/>
        </w:rPr>
        <w:t>,</w:t>
      </w:r>
      <w:r w:rsidRPr="0043289D">
        <w:rPr>
          <w:rFonts w:ascii="Times New Roman" w:hAnsi="Times New Roman" w:cs="Times New Roman"/>
          <w:sz w:val="24"/>
          <w:szCs w:val="24"/>
        </w:rPr>
        <w:t xml:space="preserve"> </w:t>
      </w:r>
      <w:r>
        <w:rPr>
          <w:rFonts w:ascii="Times New Roman" w:hAnsi="Times New Roman" w:cs="Times New Roman"/>
          <w:sz w:val="24"/>
          <w:szCs w:val="24"/>
        </w:rPr>
        <w:t xml:space="preserve">demonstration, commercialisation or </w:t>
      </w:r>
      <w:r w:rsidRPr="0043289D">
        <w:rPr>
          <w:rFonts w:ascii="Times New Roman" w:hAnsi="Times New Roman" w:cs="Times New Roman"/>
          <w:sz w:val="24"/>
          <w:szCs w:val="24"/>
        </w:rPr>
        <w:t xml:space="preserve">deployment of renewable energy technologies, and to engage in knowledge sharing in relation to the same. Paragraph 8(f) further provides that </w:t>
      </w:r>
      <w:r>
        <w:rPr>
          <w:rFonts w:ascii="Times New Roman" w:hAnsi="Times New Roman" w:cs="Times New Roman"/>
          <w:sz w:val="24"/>
          <w:szCs w:val="24"/>
        </w:rPr>
        <w:t>additional</w:t>
      </w:r>
      <w:r w:rsidRPr="0043289D">
        <w:rPr>
          <w:rFonts w:ascii="Times New Roman" w:hAnsi="Times New Roman" w:cs="Times New Roman"/>
          <w:sz w:val="24"/>
          <w:szCs w:val="24"/>
        </w:rPr>
        <w:t xml:space="preserve"> functions may </w:t>
      </w:r>
      <w:r>
        <w:rPr>
          <w:rFonts w:ascii="Times New Roman" w:hAnsi="Times New Roman" w:cs="Times New Roman"/>
          <w:sz w:val="24"/>
          <w:szCs w:val="24"/>
        </w:rPr>
        <w:t>be prescribed through regulations made under section 74 of the Act.</w:t>
      </w:r>
    </w:p>
    <w:p w14:paraId="73BA6133"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 xml:space="preserve">ARENA’s functions have been expanded before under paragraph 8(f) and section 74 of the Act. </w:t>
      </w:r>
      <w:r w:rsidRPr="0043289D">
        <w:rPr>
          <w:rFonts w:ascii="Times New Roman" w:hAnsi="Times New Roman" w:cs="Times New Roman"/>
          <w:sz w:val="24"/>
          <w:szCs w:val="24"/>
        </w:rPr>
        <w:t xml:space="preserve">The </w:t>
      </w:r>
      <w:r w:rsidRPr="00DE4CA4">
        <w:rPr>
          <w:rFonts w:ascii="Times New Roman" w:hAnsi="Times New Roman" w:cs="Times New Roman"/>
          <w:i/>
          <w:sz w:val="24"/>
          <w:szCs w:val="24"/>
        </w:rPr>
        <w:t>Australian Renewable Energy Agency Regulation 2016</w:t>
      </w:r>
      <w:r w:rsidRPr="0043289D">
        <w:rPr>
          <w:rFonts w:ascii="Times New Roman" w:hAnsi="Times New Roman" w:cs="Times New Roman"/>
          <w:sz w:val="24"/>
          <w:szCs w:val="24"/>
        </w:rPr>
        <w:t xml:space="preserve"> (the </w:t>
      </w:r>
      <w:r>
        <w:rPr>
          <w:rFonts w:ascii="Times New Roman" w:hAnsi="Times New Roman" w:cs="Times New Roman"/>
          <w:sz w:val="24"/>
          <w:szCs w:val="24"/>
        </w:rPr>
        <w:t xml:space="preserve">2016 </w:t>
      </w:r>
      <w:r w:rsidRPr="0043289D">
        <w:rPr>
          <w:rFonts w:ascii="Times New Roman" w:hAnsi="Times New Roman" w:cs="Times New Roman"/>
          <w:sz w:val="24"/>
          <w:szCs w:val="24"/>
        </w:rPr>
        <w:t>Regulation)</w:t>
      </w:r>
      <w:r>
        <w:rPr>
          <w:rFonts w:ascii="Times New Roman" w:hAnsi="Times New Roman" w:cs="Times New Roman"/>
          <w:sz w:val="24"/>
          <w:szCs w:val="24"/>
        </w:rPr>
        <w:t xml:space="preserve"> conferred on ARENA the new function</w:t>
      </w:r>
      <w:r w:rsidRPr="0043289D">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43289D">
        <w:rPr>
          <w:rFonts w:ascii="Times New Roman" w:hAnsi="Times New Roman" w:cs="Times New Roman"/>
          <w:sz w:val="24"/>
          <w:szCs w:val="24"/>
        </w:rPr>
        <w:t>work</w:t>
      </w:r>
      <w:r>
        <w:rPr>
          <w:rFonts w:ascii="Times New Roman" w:hAnsi="Times New Roman" w:cs="Times New Roman"/>
          <w:sz w:val="24"/>
          <w:szCs w:val="24"/>
        </w:rPr>
        <w:t>ing</w:t>
      </w:r>
      <w:r w:rsidRPr="0043289D">
        <w:rPr>
          <w:rFonts w:ascii="Times New Roman" w:hAnsi="Times New Roman" w:cs="Times New Roman"/>
          <w:sz w:val="24"/>
          <w:szCs w:val="24"/>
        </w:rPr>
        <w:t xml:space="preserve"> with the Clean Energy Finance Corporation (the CEFC) </w:t>
      </w:r>
      <w:r>
        <w:rPr>
          <w:rFonts w:ascii="Times New Roman" w:hAnsi="Times New Roman" w:cs="Times New Roman"/>
          <w:sz w:val="24"/>
          <w:szCs w:val="24"/>
        </w:rPr>
        <w:t>to</w:t>
      </w:r>
      <w:r w:rsidRPr="0043289D">
        <w:rPr>
          <w:rFonts w:ascii="Times New Roman" w:hAnsi="Times New Roman" w:cs="Times New Roman"/>
          <w:sz w:val="24"/>
          <w:szCs w:val="24"/>
        </w:rPr>
        <w:t xml:space="preserve"> </w:t>
      </w:r>
      <w:r>
        <w:rPr>
          <w:rFonts w:ascii="Times New Roman" w:hAnsi="Times New Roman" w:cs="Times New Roman"/>
          <w:sz w:val="24"/>
          <w:szCs w:val="24"/>
        </w:rPr>
        <w:t xml:space="preserve">administer </w:t>
      </w:r>
      <w:r w:rsidRPr="0043289D">
        <w:rPr>
          <w:rFonts w:ascii="Times New Roman" w:hAnsi="Times New Roman" w:cs="Times New Roman"/>
          <w:sz w:val="24"/>
          <w:szCs w:val="24"/>
        </w:rPr>
        <w:t>the Clean Energy Innovation Fund (the CEIF).</w:t>
      </w:r>
      <w:r>
        <w:rPr>
          <w:rFonts w:ascii="Times New Roman" w:hAnsi="Times New Roman" w:cs="Times New Roman"/>
          <w:sz w:val="24"/>
          <w:szCs w:val="24"/>
        </w:rPr>
        <w:t xml:space="preserve"> In 2021 two regulations were made which expanded ARENA’s functions and both were disallowed by the Senate, but were not subject to any legal challenges. </w:t>
      </w:r>
    </w:p>
    <w:p w14:paraId="502FE926"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 xml:space="preserve">The Regulations add to ARENA’s functions under paragraph 8(f) and section 74 of the Act. Specifically, it amends the 2016 Regulation to prescribe an additional function of providing financial assistance in relation to clean energy technologies within the meaning of the </w:t>
      </w:r>
      <w:r w:rsidRPr="00B60483">
        <w:rPr>
          <w:rFonts w:ascii="Times New Roman" w:hAnsi="Times New Roman" w:cs="Times New Roman"/>
          <w:i/>
          <w:sz w:val="24"/>
          <w:szCs w:val="24"/>
        </w:rPr>
        <w:t>Clean Energy Finance Corporation Act 2012</w:t>
      </w:r>
      <w:r>
        <w:rPr>
          <w:rFonts w:ascii="Times New Roman" w:hAnsi="Times New Roman" w:cs="Times New Roman"/>
          <w:i/>
          <w:sz w:val="24"/>
          <w:szCs w:val="24"/>
        </w:rPr>
        <w:t xml:space="preserve"> </w:t>
      </w:r>
      <w:r>
        <w:rPr>
          <w:rFonts w:ascii="Times New Roman" w:hAnsi="Times New Roman" w:cs="Times New Roman"/>
          <w:sz w:val="24"/>
          <w:szCs w:val="24"/>
        </w:rPr>
        <w:t>(CEFC Act). This definition was already applied by the 2016 Regulation</w:t>
      </w:r>
      <w:r w:rsidRPr="00CD6FEF">
        <w:rPr>
          <w:rFonts w:ascii="Times New Roman" w:hAnsi="Times New Roman" w:cs="Times New Roman"/>
          <w:sz w:val="24"/>
          <w:szCs w:val="24"/>
        </w:rPr>
        <w:t>. The purpose of the Regulations is consistent with the objectives of ARENA, as both renewable energy and clean energy technologies are geared towards emissions reduction. Paragraph 8(f) specifically provides for regulations to prescribe functions for AR</w:t>
      </w:r>
      <w:r>
        <w:rPr>
          <w:rFonts w:ascii="Times New Roman" w:hAnsi="Times New Roman" w:cs="Times New Roman"/>
          <w:sz w:val="24"/>
          <w:szCs w:val="24"/>
        </w:rPr>
        <w:t>EN</w:t>
      </w:r>
      <w:r w:rsidRPr="00CD6FEF">
        <w:rPr>
          <w:rFonts w:ascii="Times New Roman" w:hAnsi="Times New Roman" w:cs="Times New Roman"/>
          <w:sz w:val="24"/>
          <w:szCs w:val="24"/>
        </w:rPr>
        <w:t xml:space="preserve">A in addition to those set out in the Act with respect to renewable energy </w:t>
      </w:r>
      <w:r w:rsidRPr="00CD6FEF">
        <w:rPr>
          <w:rFonts w:ascii="Times New Roman" w:hAnsi="Times New Roman" w:cs="Times New Roman"/>
          <w:sz w:val="24"/>
          <w:szCs w:val="24"/>
        </w:rPr>
        <w:lastRenderedPageBreak/>
        <w:t>technologies and it is consistent with the Act to provide functions such as those relating to clean energy technologies to complement ARENA’s renewable energy functions.</w:t>
      </w:r>
      <w:r>
        <w:rPr>
          <w:rFonts w:ascii="Times New Roman" w:hAnsi="Times New Roman" w:cs="Times New Roman"/>
          <w:sz w:val="24"/>
          <w:szCs w:val="24"/>
        </w:rPr>
        <w:t>.</w:t>
      </w:r>
    </w:p>
    <w:p w14:paraId="591027F3" w14:textId="77777777" w:rsidR="00D75CE5" w:rsidRDefault="00D75CE5" w:rsidP="00D75CE5">
      <w:pPr>
        <w:keepNext/>
        <w:keepLines/>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Background</w:t>
      </w:r>
    </w:p>
    <w:p w14:paraId="5BD98A9D" w14:textId="77777777" w:rsidR="00D75CE5" w:rsidRDefault="00D75CE5" w:rsidP="00D75CE5">
      <w:pPr>
        <w:keepNext/>
        <w:keepLines/>
        <w:spacing w:before="240" w:after="240"/>
        <w:rPr>
          <w:rFonts w:ascii="Times New Roman" w:hAnsi="Times New Roman" w:cs="Times New Roman"/>
          <w:sz w:val="24"/>
          <w:szCs w:val="24"/>
        </w:rPr>
      </w:pPr>
      <w:r w:rsidRPr="00EF6DA8">
        <w:rPr>
          <w:rFonts w:ascii="Times New Roman" w:hAnsi="Times New Roman" w:cs="Times New Roman"/>
          <w:sz w:val="24"/>
          <w:szCs w:val="24"/>
        </w:rPr>
        <w:t>The Government’s Technology Investment Roadmap</w:t>
      </w:r>
      <w:r w:rsidRPr="00EF6DA8">
        <w:rPr>
          <w:rFonts w:ascii="Times New Roman" w:hAnsi="Times New Roman" w:cs="Times New Roman"/>
          <w:sz w:val="24"/>
          <w:szCs w:val="24"/>
          <w:vertAlign w:val="superscript"/>
        </w:rPr>
        <w:footnoteReference w:id="3"/>
      </w:r>
      <w:r w:rsidRPr="00EF6DA8">
        <w:rPr>
          <w:rFonts w:ascii="Times New Roman" w:hAnsi="Times New Roman" w:cs="Times New Roman"/>
          <w:sz w:val="24"/>
          <w:szCs w:val="24"/>
        </w:rPr>
        <w:t xml:space="preserve"> </w:t>
      </w:r>
      <w:r>
        <w:rPr>
          <w:rFonts w:ascii="Times New Roman" w:hAnsi="Times New Roman" w:cs="Times New Roman"/>
          <w:sz w:val="24"/>
          <w:szCs w:val="24"/>
        </w:rPr>
        <w:t xml:space="preserve">(the Roadmap) </w:t>
      </w:r>
      <w:r w:rsidRPr="00EF6DA8">
        <w:rPr>
          <w:rFonts w:ascii="Times New Roman" w:hAnsi="Times New Roman" w:cs="Times New Roman"/>
          <w:sz w:val="24"/>
          <w:szCs w:val="24"/>
        </w:rPr>
        <w:t>aims to mobilise and coordinate public and private investment in the next generation of new and emerging low</w:t>
      </w:r>
      <w:r>
        <w:rPr>
          <w:rFonts w:ascii="Times New Roman" w:hAnsi="Times New Roman" w:cs="Times New Roman"/>
          <w:sz w:val="24"/>
          <w:szCs w:val="24"/>
        </w:rPr>
        <w:noBreakHyphen/>
      </w:r>
      <w:r w:rsidRPr="00EF6DA8">
        <w:rPr>
          <w:rFonts w:ascii="Times New Roman" w:hAnsi="Times New Roman" w:cs="Times New Roman"/>
          <w:sz w:val="24"/>
          <w:szCs w:val="24"/>
        </w:rPr>
        <w:t xml:space="preserve">emission technologies with the potential for transformational economic and emissions </w:t>
      </w:r>
      <w:r>
        <w:rPr>
          <w:rFonts w:ascii="Times New Roman" w:hAnsi="Times New Roman" w:cs="Times New Roman"/>
          <w:sz w:val="24"/>
          <w:szCs w:val="24"/>
        </w:rPr>
        <w:t xml:space="preserve">reduction </w:t>
      </w:r>
      <w:r w:rsidRPr="00EF6DA8">
        <w:rPr>
          <w:rFonts w:ascii="Times New Roman" w:hAnsi="Times New Roman" w:cs="Times New Roman"/>
          <w:sz w:val="24"/>
          <w:szCs w:val="24"/>
        </w:rPr>
        <w:t>outcomes.</w:t>
      </w:r>
      <w:r w:rsidRPr="00EF6DA8">
        <w:rPr>
          <w:rFonts w:ascii="Times New Roman" w:hAnsi="Times New Roman" w:cs="Times New Roman"/>
          <w:sz w:val="24"/>
          <w:szCs w:val="24"/>
          <w:vertAlign w:val="superscript"/>
        </w:rPr>
        <w:footnoteReference w:id="4"/>
      </w:r>
      <w:r w:rsidRPr="00EF6DA8">
        <w:rPr>
          <w:rFonts w:ascii="Times New Roman" w:hAnsi="Times New Roman" w:cs="Times New Roman"/>
          <w:sz w:val="24"/>
          <w:szCs w:val="24"/>
        </w:rPr>
        <w:t xml:space="preserve"> The Roadmap envisages ARENA, together with the C</w:t>
      </w:r>
      <w:r>
        <w:rPr>
          <w:rFonts w:ascii="Times New Roman" w:hAnsi="Times New Roman" w:cs="Times New Roman"/>
          <w:sz w:val="24"/>
          <w:szCs w:val="24"/>
        </w:rPr>
        <w:t xml:space="preserve">lean Energy Finance Corporation and the </w:t>
      </w:r>
      <w:r w:rsidRPr="00EF6DA8">
        <w:rPr>
          <w:rFonts w:ascii="Times New Roman" w:hAnsi="Times New Roman" w:cs="Times New Roman"/>
          <w:sz w:val="24"/>
          <w:szCs w:val="24"/>
        </w:rPr>
        <w:t>Clean Energy Regulator, playing a key</w:t>
      </w:r>
      <w:r>
        <w:rPr>
          <w:rFonts w:ascii="Times New Roman" w:hAnsi="Times New Roman" w:cs="Times New Roman"/>
          <w:sz w:val="24"/>
          <w:szCs w:val="24"/>
        </w:rPr>
        <w:t xml:space="preserve"> role in d</w:t>
      </w:r>
      <w:r w:rsidRPr="00417D80">
        <w:rPr>
          <w:rFonts w:ascii="Times New Roman" w:hAnsi="Times New Roman" w:cs="Times New Roman"/>
          <w:sz w:val="24"/>
          <w:szCs w:val="24"/>
        </w:rPr>
        <w:t>ri</w:t>
      </w:r>
      <w:r>
        <w:rPr>
          <w:rFonts w:ascii="Times New Roman" w:hAnsi="Times New Roman" w:cs="Times New Roman"/>
          <w:sz w:val="24"/>
          <w:szCs w:val="24"/>
        </w:rPr>
        <w:t>ving down the cost of deploying priority low-emission technologies identified in the Annual Low Emissions Technology Statements</w:t>
      </w:r>
      <w:r w:rsidRPr="00C9024F">
        <w:rPr>
          <w:rFonts w:ascii="Times New Roman" w:hAnsi="Times New Roman" w:cs="Times New Roman"/>
          <w:sz w:val="24"/>
          <w:szCs w:val="24"/>
        </w:rPr>
        <w:t xml:space="preserve"> </w:t>
      </w:r>
      <w:r>
        <w:rPr>
          <w:rFonts w:ascii="Times New Roman" w:hAnsi="Times New Roman" w:cs="Times New Roman"/>
          <w:sz w:val="24"/>
          <w:szCs w:val="24"/>
        </w:rPr>
        <w:t xml:space="preserve">(LETS) and Australia’s Nationally Determined Contribution under the Paris Agreement. This will make them </w:t>
      </w:r>
      <w:r w:rsidRPr="00417D80">
        <w:rPr>
          <w:rFonts w:ascii="Times New Roman" w:hAnsi="Times New Roman" w:cs="Times New Roman"/>
          <w:sz w:val="24"/>
          <w:szCs w:val="24"/>
        </w:rPr>
        <w:t>competitive with existing alternatives</w:t>
      </w:r>
      <w:r>
        <w:rPr>
          <w:rFonts w:ascii="Times New Roman" w:hAnsi="Times New Roman" w:cs="Times New Roman"/>
          <w:sz w:val="24"/>
          <w:szCs w:val="24"/>
        </w:rPr>
        <w:t>,</w:t>
      </w:r>
      <w:r w:rsidRPr="00417D80">
        <w:rPr>
          <w:rFonts w:ascii="Times New Roman" w:hAnsi="Times New Roman" w:cs="Times New Roman"/>
          <w:sz w:val="24"/>
          <w:szCs w:val="24"/>
        </w:rPr>
        <w:t xml:space="preserve"> </w:t>
      </w:r>
      <w:r w:rsidRPr="00EF6DA8">
        <w:rPr>
          <w:rFonts w:ascii="Times New Roman" w:hAnsi="Times New Roman" w:cs="Times New Roman"/>
          <w:sz w:val="24"/>
          <w:szCs w:val="24"/>
        </w:rPr>
        <w:t xml:space="preserve">positioning Australia as a </w:t>
      </w:r>
      <w:r>
        <w:rPr>
          <w:rFonts w:ascii="Times New Roman" w:hAnsi="Times New Roman" w:cs="Times New Roman"/>
          <w:sz w:val="24"/>
          <w:szCs w:val="24"/>
        </w:rPr>
        <w:t xml:space="preserve">global </w:t>
      </w:r>
      <w:r w:rsidRPr="00EF6DA8">
        <w:rPr>
          <w:rFonts w:ascii="Times New Roman" w:hAnsi="Times New Roman" w:cs="Times New Roman"/>
          <w:sz w:val="24"/>
          <w:szCs w:val="24"/>
        </w:rPr>
        <w:t>leader</w:t>
      </w:r>
      <w:r>
        <w:rPr>
          <w:rFonts w:ascii="Times New Roman" w:hAnsi="Times New Roman" w:cs="Times New Roman"/>
          <w:sz w:val="24"/>
          <w:szCs w:val="24"/>
        </w:rPr>
        <w:t xml:space="preserve"> and</w:t>
      </w:r>
      <w:r w:rsidRPr="00417D80">
        <w:rPr>
          <w:rFonts w:ascii="Times New Roman" w:hAnsi="Times New Roman" w:cs="Times New Roman"/>
          <w:sz w:val="24"/>
          <w:szCs w:val="24"/>
        </w:rPr>
        <w:t xml:space="preserve"> deliver</w:t>
      </w:r>
      <w:r>
        <w:rPr>
          <w:rFonts w:ascii="Times New Roman" w:hAnsi="Times New Roman" w:cs="Times New Roman"/>
          <w:sz w:val="24"/>
          <w:szCs w:val="24"/>
        </w:rPr>
        <w:t>ing</w:t>
      </w:r>
      <w:r w:rsidRPr="00417D80">
        <w:rPr>
          <w:rFonts w:ascii="Times New Roman" w:hAnsi="Times New Roman" w:cs="Times New Roman"/>
          <w:sz w:val="24"/>
          <w:szCs w:val="24"/>
        </w:rPr>
        <w:t xml:space="preserve"> meaningful reductions in emissions.</w:t>
      </w:r>
      <w:r>
        <w:rPr>
          <w:rFonts w:ascii="Times New Roman" w:hAnsi="Times New Roman" w:cs="Times New Roman"/>
          <w:sz w:val="24"/>
          <w:szCs w:val="24"/>
        </w:rPr>
        <w:t xml:space="preserve"> </w:t>
      </w:r>
      <w:r w:rsidRPr="00E55343">
        <w:rPr>
          <w:rFonts w:ascii="Times New Roman" w:hAnsi="Times New Roman" w:cs="Times New Roman"/>
          <w:sz w:val="24"/>
          <w:szCs w:val="24"/>
        </w:rPr>
        <w:t xml:space="preserve">The </w:t>
      </w:r>
      <w:r>
        <w:rPr>
          <w:rFonts w:ascii="Times New Roman" w:hAnsi="Times New Roman" w:cs="Times New Roman"/>
          <w:sz w:val="24"/>
          <w:szCs w:val="24"/>
        </w:rPr>
        <w:t>annual LETS</w:t>
      </w:r>
      <w:r w:rsidRPr="00E55343">
        <w:rPr>
          <w:rFonts w:ascii="Times New Roman" w:hAnsi="Times New Roman" w:cs="Times New Roman"/>
          <w:sz w:val="24"/>
          <w:szCs w:val="24"/>
        </w:rPr>
        <w:t xml:space="preserve"> will communicate progress towards the technology priorities and identify </w:t>
      </w:r>
      <w:r>
        <w:rPr>
          <w:rFonts w:ascii="Times New Roman" w:hAnsi="Times New Roman" w:cs="Times New Roman"/>
          <w:sz w:val="24"/>
          <w:szCs w:val="24"/>
        </w:rPr>
        <w:t xml:space="preserve">opportunities to invest in </w:t>
      </w:r>
      <w:r w:rsidRPr="00E55343">
        <w:rPr>
          <w:rFonts w:ascii="Times New Roman" w:hAnsi="Times New Roman" w:cs="Times New Roman"/>
          <w:sz w:val="24"/>
          <w:szCs w:val="24"/>
        </w:rPr>
        <w:t xml:space="preserve">new and emerging </w:t>
      </w:r>
      <w:r>
        <w:rPr>
          <w:rFonts w:ascii="Times New Roman" w:hAnsi="Times New Roman" w:cs="Times New Roman"/>
          <w:sz w:val="24"/>
          <w:szCs w:val="24"/>
        </w:rPr>
        <w:t>technologies</w:t>
      </w:r>
      <w:r w:rsidRPr="00E55343">
        <w:rPr>
          <w:rFonts w:ascii="Times New Roman" w:hAnsi="Times New Roman" w:cs="Times New Roman"/>
          <w:sz w:val="24"/>
          <w:szCs w:val="24"/>
        </w:rPr>
        <w:t>.</w:t>
      </w:r>
    </w:p>
    <w:p w14:paraId="43A7941C"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The technology stretch goals, currently set out in Australia’s Nationally Determined Contribution, are:</w:t>
      </w:r>
    </w:p>
    <w:p w14:paraId="0EE9BF4E" w14:textId="77777777" w:rsidR="00D75CE5" w:rsidRPr="00072D86" w:rsidRDefault="00D75CE5" w:rsidP="00D75CE5">
      <w:pPr>
        <w:pStyle w:val="ListParagraph"/>
        <w:numPr>
          <w:ilvl w:val="0"/>
          <w:numId w:val="12"/>
        </w:numPr>
        <w:spacing w:before="240" w:after="240"/>
        <w:rPr>
          <w:rFonts w:ascii="Times New Roman" w:hAnsi="Times New Roman" w:cs="Times New Roman"/>
          <w:sz w:val="24"/>
          <w:szCs w:val="24"/>
        </w:rPr>
      </w:pPr>
      <w:r w:rsidRPr="00072D86">
        <w:rPr>
          <w:rFonts w:ascii="Times New Roman" w:hAnsi="Times New Roman" w:cs="Times New Roman"/>
          <w:sz w:val="24"/>
          <w:szCs w:val="24"/>
        </w:rPr>
        <w:t>Clean hydrogen—production under $2 per kg.</w:t>
      </w:r>
    </w:p>
    <w:p w14:paraId="385CD19A" w14:textId="77777777" w:rsidR="00D75CE5" w:rsidRPr="00072D86" w:rsidRDefault="00D75CE5" w:rsidP="00D75CE5">
      <w:pPr>
        <w:pStyle w:val="ListParagraph"/>
        <w:numPr>
          <w:ilvl w:val="0"/>
          <w:numId w:val="12"/>
        </w:numPr>
        <w:spacing w:before="240" w:after="240"/>
        <w:rPr>
          <w:rFonts w:ascii="Times New Roman" w:hAnsi="Times New Roman" w:cs="Times New Roman"/>
          <w:sz w:val="24"/>
          <w:szCs w:val="24"/>
        </w:rPr>
      </w:pPr>
      <w:r w:rsidRPr="00072D86">
        <w:rPr>
          <w:rFonts w:ascii="Times New Roman" w:hAnsi="Times New Roman" w:cs="Times New Roman"/>
          <w:sz w:val="24"/>
          <w:szCs w:val="24"/>
        </w:rPr>
        <w:t>Energy storage</w:t>
      </w:r>
      <w:r>
        <w:rPr>
          <w:rFonts w:ascii="Times New Roman" w:hAnsi="Times New Roman" w:cs="Times New Roman"/>
          <w:sz w:val="24"/>
          <w:szCs w:val="24"/>
        </w:rPr>
        <w:t>—</w:t>
      </w:r>
      <w:r w:rsidRPr="00072D86">
        <w:rPr>
          <w:rFonts w:ascii="Times New Roman" w:hAnsi="Times New Roman" w:cs="Times New Roman"/>
          <w:sz w:val="24"/>
          <w:szCs w:val="24"/>
        </w:rPr>
        <w:t>electricity from storage for firming under $100 per MWh.</w:t>
      </w:r>
    </w:p>
    <w:p w14:paraId="5BE1D89C" w14:textId="77777777" w:rsidR="00D75CE5" w:rsidRPr="00072D86" w:rsidRDefault="00D75CE5" w:rsidP="00D75CE5">
      <w:pPr>
        <w:pStyle w:val="ListParagraph"/>
        <w:numPr>
          <w:ilvl w:val="0"/>
          <w:numId w:val="12"/>
        </w:numPr>
        <w:spacing w:before="240" w:after="240"/>
        <w:rPr>
          <w:rFonts w:ascii="Times New Roman" w:hAnsi="Times New Roman" w:cs="Times New Roman"/>
          <w:sz w:val="24"/>
          <w:szCs w:val="24"/>
        </w:rPr>
      </w:pPr>
      <w:r w:rsidRPr="00072D86">
        <w:rPr>
          <w:rFonts w:ascii="Times New Roman" w:hAnsi="Times New Roman" w:cs="Times New Roman"/>
          <w:sz w:val="24"/>
          <w:szCs w:val="24"/>
        </w:rPr>
        <w:t>Low emissions materials</w:t>
      </w:r>
      <w:r>
        <w:rPr>
          <w:rFonts w:ascii="Times New Roman" w:hAnsi="Times New Roman" w:cs="Times New Roman"/>
          <w:sz w:val="24"/>
          <w:szCs w:val="24"/>
        </w:rPr>
        <w:t>—</w:t>
      </w:r>
      <w:r w:rsidRPr="00072D86">
        <w:rPr>
          <w:rFonts w:ascii="Times New Roman" w:hAnsi="Times New Roman" w:cs="Times New Roman"/>
          <w:sz w:val="24"/>
          <w:szCs w:val="24"/>
        </w:rPr>
        <w:t>low emissions steel production under $700 per tonne and low emissions aluminium production under $2,200 per tonne.</w:t>
      </w:r>
    </w:p>
    <w:p w14:paraId="023FC672" w14:textId="77777777" w:rsidR="00D75CE5" w:rsidRPr="00072D86" w:rsidRDefault="00D75CE5" w:rsidP="00D75CE5">
      <w:pPr>
        <w:pStyle w:val="ListParagraph"/>
        <w:numPr>
          <w:ilvl w:val="0"/>
          <w:numId w:val="12"/>
        </w:numPr>
        <w:spacing w:before="240" w:after="240"/>
        <w:rPr>
          <w:rFonts w:ascii="Times New Roman" w:hAnsi="Times New Roman" w:cs="Times New Roman"/>
          <w:sz w:val="24"/>
          <w:szCs w:val="24"/>
        </w:rPr>
      </w:pPr>
      <w:r w:rsidRPr="00072D86">
        <w:rPr>
          <w:rFonts w:ascii="Times New Roman" w:hAnsi="Times New Roman" w:cs="Times New Roman"/>
          <w:sz w:val="24"/>
          <w:szCs w:val="24"/>
        </w:rPr>
        <w:t>Carbon capture and storage (CCS)</w:t>
      </w:r>
      <w:r>
        <w:rPr>
          <w:rFonts w:ascii="Times New Roman" w:hAnsi="Times New Roman" w:cs="Times New Roman"/>
          <w:sz w:val="24"/>
          <w:szCs w:val="24"/>
        </w:rPr>
        <w:t>—carbon dioxide (</w:t>
      </w:r>
      <w:r w:rsidRPr="00072D86">
        <w:rPr>
          <w:rFonts w:ascii="Times New Roman" w:hAnsi="Times New Roman" w:cs="Times New Roman"/>
          <w:sz w:val="24"/>
          <w:szCs w:val="24"/>
        </w:rPr>
        <w:t>CO₂</w:t>
      </w:r>
      <w:r>
        <w:rPr>
          <w:rFonts w:ascii="Times New Roman" w:hAnsi="Times New Roman" w:cs="Times New Roman"/>
          <w:sz w:val="24"/>
          <w:szCs w:val="24"/>
        </w:rPr>
        <w:t>)</w:t>
      </w:r>
      <w:r w:rsidRPr="00072D86">
        <w:rPr>
          <w:rFonts w:ascii="Times New Roman" w:hAnsi="Times New Roman" w:cs="Times New Roman"/>
          <w:sz w:val="24"/>
          <w:szCs w:val="24"/>
        </w:rPr>
        <w:t xml:space="preserve"> compression, hub transport, and storage under $20 per tonne of CO₂.</w:t>
      </w:r>
    </w:p>
    <w:p w14:paraId="63ACBADC" w14:textId="77777777" w:rsidR="00D75CE5" w:rsidRDefault="00D75CE5" w:rsidP="00D75CE5">
      <w:pPr>
        <w:pStyle w:val="ListParagraph"/>
        <w:numPr>
          <w:ilvl w:val="0"/>
          <w:numId w:val="12"/>
        </w:numPr>
        <w:spacing w:before="240" w:after="240"/>
        <w:rPr>
          <w:rFonts w:ascii="Times New Roman" w:hAnsi="Times New Roman" w:cs="Times New Roman"/>
          <w:sz w:val="24"/>
          <w:szCs w:val="24"/>
        </w:rPr>
      </w:pPr>
      <w:r w:rsidRPr="00072D86">
        <w:rPr>
          <w:rFonts w:ascii="Times New Roman" w:hAnsi="Times New Roman" w:cs="Times New Roman"/>
          <w:sz w:val="24"/>
          <w:szCs w:val="24"/>
        </w:rPr>
        <w:t>Soil carbon</w:t>
      </w:r>
      <w:r>
        <w:rPr>
          <w:rFonts w:ascii="Times New Roman" w:hAnsi="Times New Roman" w:cs="Times New Roman"/>
          <w:sz w:val="24"/>
          <w:szCs w:val="24"/>
        </w:rPr>
        <w:t>—</w:t>
      </w:r>
      <w:r w:rsidRPr="00072D86">
        <w:rPr>
          <w:rFonts w:ascii="Times New Roman" w:hAnsi="Times New Roman" w:cs="Times New Roman"/>
          <w:sz w:val="24"/>
          <w:szCs w:val="24"/>
        </w:rPr>
        <w:t>soil carbon measurement under $3 per hectare per year.</w:t>
      </w:r>
    </w:p>
    <w:p w14:paraId="748973A5" w14:textId="77777777" w:rsidR="00D75CE5" w:rsidRPr="00856127" w:rsidRDefault="00D75CE5" w:rsidP="00D75CE5">
      <w:pPr>
        <w:pStyle w:val="ListParagraph"/>
        <w:numPr>
          <w:ilvl w:val="0"/>
          <w:numId w:val="12"/>
        </w:numPr>
        <w:spacing w:before="240" w:after="240"/>
        <w:rPr>
          <w:rFonts w:ascii="Times New Roman" w:hAnsi="Times New Roman" w:cs="Times New Roman"/>
          <w:sz w:val="24"/>
          <w:szCs w:val="24"/>
        </w:rPr>
      </w:pPr>
      <w:r>
        <w:rPr>
          <w:rFonts w:ascii="Times New Roman" w:hAnsi="Times New Roman" w:cs="Times New Roman"/>
          <w:sz w:val="24"/>
          <w:szCs w:val="24"/>
        </w:rPr>
        <w:t>Ultra-low cost solar—</w:t>
      </w:r>
      <w:r w:rsidRPr="00072D86">
        <w:rPr>
          <w:rFonts w:ascii="Times New Roman" w:hAnsi="Times New Roman" w:cs="Times New Roman"/>
          <w:sz w:val="24"/>
          <w:szCs w:val="24"/>
        </w:rPr>
        <w:t>solar electricity generation at $15 per MWh</w:t>
      </w:r>
      <w:r>
        <w:rPr>
          <w:rFonts w:ascii="Times New Roman" w:hAnsi="Times New Roman" w:cs="Times New Roman"/>
          <w:sz w:val="24"/>
          <w:szCs w:val="24"/>
        </w:rPr>
        <w:t xml:space="preserve"> </w:t>
      </w:r>
    </w:p>
    <w:p w14:paraId="58267D19"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In the 2020-21 Budget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ARENA was allocated new baseline funding of $1.4 billion with which to progress the commercialisation of a range of new and emerging priority low emissions technologies under the Roadmap and the first (and subsequent) LETS. In the 2020</w:t>
      </w:r>
      <w:r>
        <w:rPr>
          <w:rFonts w:ascii="Times New Roman" w:hAnsi="Times New Roman" w:cs="Times New Roman"/>
          <w:sz w:val="24"/>
          <w:szCs w:val="24"/>
        </w:rPr>
        <w:noBreakHyphen/>
        <w:t xml:space="preserve">21 Budget the Department of Industry, Science, Energy and Resources </w:t>
      </w:r>
      <w:r>
        <w:rPr>
          <w:rFonts w:ascii="Times New Roman" w:hAnsi="Times New Roman" w:cs="Times New Roman"/>
          <w:sz w:val="24"/>
          <w:szCs w:val="24"/>
        </w:rPr>
        <w:lastRenderedPageBreak/>
        <w:t>(the Department) was also allocated an additional $192.5 million to be transferred to ARENA to deliver the following targeted programs:</w:t>
      </w:r>
      <w:r>
        <w:rPr>
          <w:rStyle w:val="FootnoteReference"/>
          <w:rFonts w:ascii="Times New Roman" w:hAnsi="Times New Roman" w:cs="Times New Roman"/>
          <w:sz w:val="24"/>
          <w:szCs w:val="24"/>
        </w:rPr>
        <w:footnoteReference w:id="6"/>
      </w:r>
    </w:p>
    <w:p w14:paraId="579A012C" w14:textId="77777777" w:rsidR="00D75CE5" w:rsidRDefault="00D75CE5" w:rsidP="00D75CE5">
      <w:pPr>
        <w:pStyle w:val="ListParagraph"/>
        <w:numPr>
          <w:ilvl w:val="0"/>
          <w:numId w:val="4"/>
        </w:numPr>
        <w:spacing w:before="240" w:after="240"/>
        <w:rPr>
          <w:rFonts w:ascii="Times New Roman" w:hAnsi="Times New Roman" w:cs="Times New Roman"/>
          <w:sz w:val="24"/>
          <w:szCs w:val="24"/>
        </w:rPr>
      </w:pPr>
      <w:r>
        <w:rPr>
          <w:rFonts w:ascii="Times New Roman" w:hAnsi="Times New Roman" w:cs="Times New Roman"/>
          <w:sz w:val="24"/>
          <w:szCs w:val="24"/>
        </w:rPr>
        <w:t>A Freight Efficiency Assistance Grants initiative, to encourage activities that improve energy productivity or fuel efficiency or increase the proportion of renewable energy used in the road transport sector.</w:t>
      </w:r>
    </w:p>
    <w:p w14:paraId="4A2BCDB3" w14:textId="77777777" w:rsidR="00D75CE5" w:rsidRDefault="00D75CE5" w:rsidP="00D75CE5">
      <w:pPr>
        <w:pStyle w:val="ListParagraph"/>
        <w:numPr>
          <w:ilvl w:val="0"/>
          <w:numId w:val="4"/>
        </w:numPr>
        <w:spacing w:before="240" w:after="240"/>
        <w:rPr>
          <w:rFonts w:ascii="Times New Roman" w:hAnsi="Times New Roman" w:cs="Times New Roman"/>
          <w:sz w:val="24"/>
          <w:szCs w:val="24"/>
        </w:rPr>
      </w:pPr>
      <w:r>
        <w:rPr>
          <w:rFonts w:ascii="Times New Roman" w:hAnsi="Times New Roman" w:cs="Times New Roman"/>
          <w:sz w:val="24"/>
          <w:szCs w:val="24"/>
        </w:rPr>
        <w:t>A Freight Energy Productivity Trial Program, to test the effects of specific new renewable truck technologies on energy productivity or fuel efficiency.</w:t>
      </w:r>
    </w:p>
    <w:p w14:paraId="0D7F2844" w14:textId="77777777" w:rsidR="00D75CE5" w:rsidRDefault="00D75CE5" w:rsidP="00D75CE5">
      <w:pPr>
        <w:pStyle w:val="ListParagraph"/>
        <w:numPr>
          <w:ilvl w:val="0"/>
          <w:numId w:val="4"/>
        </w:numPr>
        <w:spacing w:before="240" w:after="240"/>
        <w:rPr>
          <w:rFonts w:ascii="Times New Roman" w:hAnsi="Times New Roman" w:cs="Times New Roman"/>
          <w:sz w:val="24"/>
          <w:szCs w:val="24"/>
        </w:rPr>
      </w:pPr>
      <w:r>
        <w:rPr>
          <w:rFonts w:ascii="Times New Roman" w:hAnsi="Times New Roman" w:cs="Times New Roman"/>
          <w:sz w:val="24"/>
          <w:szCs w:val="24"/>
        </w:rPr>
        <w:t>A Future Fuels Fund, to support the implementation of batteries, hydrogen and biofuels in the road transport sector.</w:t>
      </w:r>
    </w:p>
    <w:p w14:paraId="6238832E" w14:textId="77777777" w:rsidR="00D75CE5" w:rsidRDefault="00D75CE5" w:rsidP="00D75CE5">
      <w:pPr>
        <w:pStyle w:val="ListParagraph"/>
        <w:numPr>
          <w:ilvl w:val="0"/>
          <w:numId w:val="4"/>
        </w:numPr>
        <w:spacing w:before="240" w:after="240"/>
        <w:rPr>
          <w:rFonts w:ascii="Times New Roman" w:hAnsi="Times New Roman" w:cs="Times New Roman"/>
          <w:sz w:val="24"/>
          <w:szCs w:val="24"/>
        </w:rPr>
      </w:pPr>
      <w:r>
        <w:rPr>
          <w:rFonts w:ascii="Times New Roman" w:hAnsi="Times New Roman" w:cs="Times New Roman"/>
          <w:sz w:val="24"/>
          <w:szCs w:val="24"/>
        </w:rPr>
        <w:t>An Industrial Energy Transformation Studies Program, to fund studies that will inform business investment decisions in energy efficiency technologies.</w:t>
      </w:r>
    </w:p>
    <w:p w14:paraId="2D0D6AAE" w14:textId="77777777" w:rsidR="00D75CE5" w:rsidRDefault="00D75CE5" w:rsidP="00D75CE5">
      <w:pPr>
        <w:pStyle w:val="ListParagraph"/>
        <w:numPr>
          <w:ilvl w:val="0"/>
          <w:numId w:val="4"/>
        </w:numPr>
        <w:spacing w:before="240" w:after="240"/>
        <w:rPr>
          <w:rFonts w:ascii="Times New Roman" w:hAnsi="Times New Roman" w:cs="Times New Roman"/>
          <w:sz w:val="24"/>
          <w:szCs w:val="24"/>
        </w:rPr>
      </w:pPr>
      <w:r>
        <w:rPr>
          <w:rFonts w:ascii="Times New Roman" w:hAnsi="Times New Roman" w:cs="Times New Roman"/>
          <w:sz w:val="24"/>
          <w:szCs w:val="24"/>
        </w:rPr>
        <w:t>A Regional Australia Microgrid Pilots Program, to fund pilot projects testing the use of renewable energy microgrids in regional and remote areas.</w:t>
      </w:r>
    </w:p>
    <w:p w14:paraId="76C26F6C"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In the 2021-22 MYEFO ARENA was allocated $33.5 million for the Backing the Bioenergy Roadmap Package and an additional $178 million to expand the Future Fuels Fund.</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An additional $50 million has also been invested in the HyGATE initiative.</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This is a total of $1.88 billion since the 2020-21 Budget and is additional to the statutory appropriation in Part 5 of the Act. </w:t>
      </w:r>
    </w:p>
    <w:p w14:paraId="1C3976C0"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The Regulations empower ARENA to play a full role in the delivery of the outlined Budget initiatives and to contribute to the delivery of the Government’s technology-driven approach to the reduction of greenhouse gas emissions.</w:t>
      </w:r>
    </w:p>
    <w:p w14:paraId="638D689B"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 xml:space="preserve">As outlined above, ARENA’s legislated functions are currently limited to supporting renewable energy technologies. </w:t>
      </w:r>
      <w:r w:rsidRPr="00D00450">
        <w:rPr>
          <w:rFonts w:ascii="Times New Roman" w:hAnsi="Times New Roman" w:cs="Times New Roman"/>
          <w:sz w:val="24"/>
          <w:szCs w:val="24"/>
        </w:rPr>
        <w:t>This restricts ARENA’s</w:t>
      </w:r>
      <w:r>
        <w:rPr>
          <w:rFonts w:ascii="Times New Roman" w:hAnsi="Times New Roman" w:cs="Times New Roman"/>
          <w:sz w:val="24"/>
          <w:szCs w:val="24"/>
        </w:rPr>
        <w:t xml:space="preserve"> ability to support important low emissions technology innovation in Australia and</w:t>
      </w:r>
      <w:r w:rsidRPr="00D00450">
        <w:rPr>
          <w:rFonts w:ascii="Times New Roman" w:hAnsi="Times New Roman" w:cs="Times New Roman"/>
          <w:sz w:val="24"/>
          <w:szCs w:val="24"/>
        </w:rPr>
        <w:t xml:space="preserve"> d</w:t>
      </w:r>
      <w:r>
        <w:rPr>
          <w:rFonts w:ascii="Times New Roman" w:hAnsi="Times New Roman" w:cs="Times New Roman"/>
          <w:sz w:val="24"/>
          <w:szCs w:val="24"/>
        </w:rPr>
        <w:t>elivery</w:t>
      </w:r>
      <w:r w:rsidRPr="00D00450">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Pr="007F2ACC">
        <w:rPr>
          <w:rFonts w:ascii="Times New Roman" w:hAnsi="Times New Roman" w:cs="Times New Roman"/>
          <w:sz w:val="24"/>
          <w:szCs w:val="24"/>
        </w:rPr>
        <w:t xml:space="preserve">2020-21 Budget </w:t>
      </w:r>
      <w:r w:rsidRPr="00D00450">
        <w:rPr>
          <w:rFonts w:ascii="Times New Roman" w:hAnsi="Times New Roman" w:cs="Times New Roman"/>
          <w:sz w:val="24"/>
          <w:szCs w:val="24"/>
        </w:rPr>
        <w:t xml:space="preserve">programs, which each drive emissions reductions but </w:t>
      </w:r>
      <w:r>
        <w:rPr>
          <w:rFonts w:ascii="Times New Roman" w:hAnsi="Times New Roman" w:cs="Times New Roman"/>
          <w:sz w:val="24"/>
          <w:szCs w:val="24"/>
        </w:rPr>
        <w:t xml:space="preserve">may contain elements that </w:t>
      </w:r>
      <w:r w:rsidRPr="00D00450">
        <w:rPr>
          <w:rFonts w:ascii="Times New Roman" w:hAnsi="Times New Roman" w:cs="Times New Roman"/>
          <w:sz w:val="24"/>
          <w:szCs w:val="24"/>
        </w:rPr>
        <w:t xml:space="preserve">are not </w:t>
      </w:r>
      <w:r>
        <w:rPr>
          <w:rFonts w:ascii="Times New Roman" w:hAnsi="Times New Roman" w:cs="Times New Roman"/>
          <w:sz w:val="24"/>
          <w:szCs w:val="24"/>
        </w:rPr>
        <w:t>within the subject matter of</w:t>
      </w:r>
      <w:r w:rsidRPr="00D00450">
        <w:rPr>
          <w:rFonts w:ascii="Times New Roman" w:hAnsi="Times New Roman" w:cs="Times New Roman"/>
          <w:sz w:val="24"/>
          <w:szCs w:val="24"/>
        </w:rPr>
        <w:t xml:space="preserve"> renewable energy.</w:t>
      </w:r>
      <w:r>
        <w:rPr>
          <w:rFonts w:ascii="Times New Roman" w:hAnsi="Times New Roman" w:cs="Times New Roman"/>
          <w:sz w:val="24"/>
          <w:szCs w:val="24"/>
        </w:rPr>
        <w:t xml:space="preserve"> The Regulations </w:t>
      </w:r>
      <w:r w:rsidRPr="00D00450">
        <w:rPr>
          <w:rFonts w:ascii="Times New Roman" w:hAnsi="Times New Roman" w:cs="Times New Roman"/>
          <w:sz w:val="24"/>
          <w:szCs w:val="24"/>
        </w:rPr>
        <w:t>provide</w:t>
      </w:r>
      <w:r>
        <w:rPr>
          <w:rFonts w:ascii="Times New Roman" w:hAnsi="Times New Roman" w:cs="Times New Roman"/>
          <w:sz w:val="24"/>
          <w:szCs w:val="24"/>
        </w:rPr>
        <w:t>s</w:t>
      </w:r>
      <w:r w:rsidRPr="00D00450">
        <w:rPr>
          <w:rFonts w:ascii="Times New Roman" w:hAnsi="Times New Roman" w:cs="Times New Roman"/>
          <w:sz w:val="24"/>
          <w:szCs w:val="24"/>
        </w:rPr>
        <w:t xml:space="preserve"> ARENA</w:t>
      </w:r>
      <w:r>
        <w:rPr>
          <w:rFonts w:ascii="Times New Roman" w:hAnsi="Times New Roman" w:cs="Times New Roman"/>
          <w:sz w:val="24"/>
          <w:szCs w:val="24"/>
        </w:rPr>
        <w:t xml:space="preserve"> with the necessary authority </w:t>
      </w:r>
      <w:r w:rsidRPr="00D00450">
        <w:rPr>
          <w:rFonts w:ascii="Times New Roman" w:hAnsi="Times New Roman" w:cs="Times New Roman"/>
          <w:sz w:val="24"/>
          <w:szCs w:val="24"/>
        </w:rPr>
        <w:t xml:space="preserve">to </w:t>
      </w:r>
      <w:r>
        <w:rPr>
          <w:rFonts w:ascii="Times New Roman" w:hAnsi="Times New Roman" w:cs="Times New Roman"/>
          <w:sz w:val="24"/>
          <w:szCs w:val="24"/>
        </w:rPr>
        <w:t xml:space="preserve">deliver any non-renewable elements of the programs, </w:t>
      </w:r>
      <w:r w:rsidRPr="00D00450">
        <w:rPr>
          <w:rFonts w:ascii="Times New Roman" w:hAnsi="Times New Roman" w:cs="Times New Roman"/>
          <w:sz w:val="24"/>
          <w:szCs w:val="24"/>
        </w:rPr>
        <w:t>support</w:t>
      </w:r>
      <w:r>
        <w:rPr>
          <w:rFonts w:ascii="Times New Roman" w:hAnsi="Times New Roman" w:cs="Times New Roman"/>
          <w:sz w:val="24"/>
          <w:szCs w:val="24"/>
        </w:rPr>
        <w:t>ing</w:t>
      </w:r>
      <w:r w:rsidRPr="00D00450">
        <w:rPr>
          <w:rFonts w:ascii="Times New Roman" w:hAnsi="Times New Roman" w:cs="Times New Roman"/>
          <w:sz w:val="24"/>
          <w:szCs w:val="24"/>
        </w:rPr>
        <w:t xml:space="preserve"> emissions reductions through broader clean energy technologies </w:t>
      </w:r>
      <w:r>
        <w:rPr>
          <w:rFonts w:ascii="Times New Roman" w:hAnsi="Times New Roman" w:cs="Times New Roman"/>
          <w:sz w:val="24"/>
          <w:szCs w:val="24"/>
        </w:rPr>
        <w:t>such as energy efficiency and non</w:t>
      </w:r>
      <w:r>
        <w:rPr>
          <w:rFonts w:ascii="Times New Roman" w:hAnsi="Times New Roman" w:cs="Times New Roman"/>
          <w:sz w:val="24"/>
          <w:szCs w:val="24"/>
        </w:rPr>
        <w:noBreakHyphen/>
        <w:t>renewable low-emission technologies.</w:t>
      </w:r>
    </w:p>
    <w:p w14:paraId="42F2FFBD" w14:textId="77777777" w:rsidR="00D75CE5" w:rsidRDefault="00D75CE5" w:rsidP="00D75CE5">
      <w:pPr>
        <w:keepNext/>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Authority and Operation</w:t>
      </w:r>
    </w:p>
    <w:p w14:paraId="7F49D20B"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The Regulations are made under the regulation-making power in section 74 of the Act, enlivened by the power in paragraph 8(f) of the Act to prescribe additional legislated functions through regulation.</w:t>
      </w:r>
    </w:p>
    <w:p w14:paraId="4E0BEEC6"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The power to prescribe additional functions for ARENA by regulation is not limited to the subject matter of renewable energy. There is nothing in the wording of paragraph 8(f) of the Act or in the Explanatory Memorandum to the Bill that became the Act which would indicate an intention to limit the regulation-making power to renewable energy alone. While the “main object” of the Act in section 3 relates to renewable energy, there is nothing that expressly excludes ARENA from pursuing other objects, including those conferred through additional functions such as those prescribed by the Regulations. It is also relevant that the new functions prescribed by the Regulations are funded by new appropriations, and do not impact on the delivery of the statutory appropriation set out in section 64 of the Act.</w:t>
      </w:r>
    </w:p>
    <w:p w14:paraId="3AD408A8" w14:textId="77777777" w:rsidR="00D75CE5" w:rsidRDefault="00D75CE5" w:rsidP="00D75CE5">
      <w:pPr>
        <w:rPr>
          <w:rFonts w:ascii="Times New Roman" w:hAnsi="Times New Roman" w:cs="Times New Roman"/>
          <w:sz w:val="24"/>
          <w:szCs w:val="24"/>
        </w:rPr>
      </w:pPr>
      <w:r>
        <w:rPr>
          <w:rFonts w:ascii="Times New Roman" w:hAnsi="Times New Roman" w:cs="Times New Roman"/>
          <w:sz w:val="24"/>
          <w:szCs w:val="24"/>
        </w:rPr>
        <w:t>T</w:t>
      </w:r>
      <w:r w:rsidRPr="003007B9">
        <w:rPr>
          <w:rFonts w:ascii="Times New Roman" w:hAnsi="Times New Roman" w:cs="Times New Roman"/>
          <w:sz w:val="24"/>
          <w:szCs w:val="24"/>
        </w:rPr>
        <w:t>he</w:t>
      </w:r>
      <w:r>
        <w:rPr>
          <w:rFonts w:ascii="Times New Roman" w:hAnsi="Times New Roman" w:cs="Times New Roman"/>
          <w:sz w:val="24"/>
          <w:szCs w:val="24"/>
        </w:rPr>
        <w:t>re is nothing in the explanatory material or debates</w:t>
      </w:r>
      <w:r w:rsidRPr="003007B9">
        <w:rPr>
          <w:rFonts w:ascii="Times New Roman" w:hAnsi="Times New Roman" w:cs="Times New Roman"/>
          <w:sz w:val="24"/>
          <w:szCs w:val="24"/>
        </w:rPr>
        <w:t xml:space="preserve"> </w:t>
      </w:r>
      <w:r>
        <w:rPr>
          <w:rFonts w:ascii="Times New Roman" w:hAnsi="Times New Roman" w:cs="Times New Roman"/>
          <w:sz w:val="24"/>
          <w:szCs w:val="24"/>
        </w:rPr>
        <w:t xml:space="preserve">associated with the </w:t>
      </w:r>
      <w:r w:rsidRPr="003007B9">
        <w:rPr>
          <w:rFonts w:ascii="Times New Roman" w:hAnsi="Times New Roman" w:cs="Times New Roman"/>
          <w:sz w:val="24"/>
          <w:szCs w:val="24"/>
        </w:rPr>
        <w:t xml:space="preserve">passage of the Australian Renewable Energy Agency Bill 2011 </w:t>
      </w:r>
      <w:r>
        <w:rPr>
          <w:rFonts w:ascii="Times New Roman" w:hAnsi="Times New Roman" w:cs="Times New Roman"/>
          <w:sz w:val="24"/>
          <w:szCs w:val="24"/>
        </w:rPr>
        <w:t xml:space="preserve">to indicate that the power in subsection 8(f) to prescribe additional functions should be </w:t>
      </w:r>
      <w:r w:rsidRPr="003007B9">
        <w:rPr>
          <w:rFonts w:ascii="Times New Roman" w:hAnsi="Times New Roman" w:cs="Times New Roman"/>
          <w:sz w:val="24"/>
          <w:szCs w:val="24"/>
        </w:rPr>
        <w:t xml:space="preserve">read </w:t>
      </w:r>
      <w:r>
        <w:rPr>
          <w:rFonts w:ascii="Times New Roman" w:hAnsi="Times New Roman" w:cs="Times New Roman"/>
          <w:sz w:val="24"/>
          <w:szCs w:val="24"/>
        </w:rPr>
        <w:t xml:space="preserve">with </w:t>
      </w:r>
      <w:r w:rsidRPr="003007B9">
        <w:rPr>
          <w:rFonts w:ascii="Times New Roman" w:hAnsi="Times New Roman" w:cs="Times New Roman"/>
          <w:sz w:val="24"/>
          <w:szCs w:val="24"/>
        </w:rPr>
        <w:t>additional words or limitations. The Minister introducing the Bill on 12</w:t>
      </w:r>
      <w:r>
        <w:rPr>
          <w:rFonts w:ascii="Times New Roman" w:hAnsi="Times New Roman" w:cs="Times New Roman"/>
          <w:sz w:val="24"/>
          <w:szCs w:val="24"/>
        </w:rPr>
        <w:t> </w:t>
      </w:r>
      <w:r w:rsidRPr="003007B9">
        <w:rPr>
          <w:rFonts w:ascii="Times New Roman" w:hAnsi="Times New Roman" w:cs="Times New Roman"/>
          <w:sz w:val="24"/>
          <w:szCs w:val="24"/>
        </w:rPr>
        <w:t xml:space="preserve">October 2011 made clear the context </w:t>
      </w:r>
      <w:r>
        <w:rPr>
          <w:rFonts w:ascii="Times New Roman" w:hAnsi="Times New Roman" w:cs="Times New Roman"/>
          <w:sz w:val="24"/>
          <w:szCs w:val="24"/>
        </w:rPr>
        <w:t xml:space="preserve">of the </w:t>
      </w:r>
      <w:r w:rsidRPr="003007B9">
        <w:rPr>
          <w:rFonts w:ascii="Times New Roman" w:hAnsi="Times New Roman" w:cs="Times New Roman"/>
          <w:sz w:val="24"/>
          <w:szCs w:val="24"/>
        </w:rPr>
        <w:t xml:space="preserve">Commonwealth’s actions to support ‘clean energy’ generally, of which the Australian Renewable Energy Agency (ARENA) was intended to be an important part. This second reading speech provides an important policy link between ARENA’s support for ‘financial assistance for the research, development, demonstration and commercialisation of renewable energy and related technologies’ and broader emissions reduction policies of the Commonwealth for ‘promoting innovation and investment in renewable and low emissions energy’. The </w:t>
      </w:r>
      <w:r>
        <w:rPr>
          <w:rFonts w:ascii="Times New Roman" w:hAnsi="Times New Roman" w:cs="Times New Roman"/>
          <w:sz w:val="24"/>
          <w:szCs w:val="24"/>
        </w:rPr>
        <w:t>E</w:t>
      </w:r>
      <w:r w:rsidRPr="003007B9">
        <w:rPr>
          <w:rFonts w:ascii="Times New Roman" w:hAnsi="Times New Roman" w:cs="Times New Roman"/>
          <w:sz w:val="24"/>
          <w:szCs w:val="24"/>
        </w:rPr>
        <w:t xml:space="preserve">xplanatory </w:t>
      </w:r>
      <w:r>
        <w:rPr>
          <w:rFonts w:ascii="Times New Roman" w:hAnsi="Times New Roman" w:cs="Times New Roman"/>
          <w:sz w:val="24"/>
          <w:szCs w:val="24"/>
        </w:rPr>
        <w:t>M</w:t>
      </w:r>
      <w:r w:rsidRPr="003007B9">
        <w:rPr>
          <w:rFonts w:ascii="Times New Roman" w:hAnsi="Times New Roman" w:cs="Times New Roman"/>
          <w:sz w:val="24"/>
          <w:szCs w:val="24"/>
        </w:rPr>
        <w:t>emorandum for the bill does not set out any intended limitations on the power conferred by paragraph 8(f).</w:t>
      </w:r>
    </w:p>
    <w:p w14:paraId="735CEFFE"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The new function prescribed by the Regulations remains subject to ARENA’s ongoing governance and accountability framework. Accordingly, when administering the new function outlined above, ARENA must act in a proper, efficient and effective manner and make all investment decisions on merit.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ARENA must also exercise its new function within the legislative powers of the Commonwealth.</w:t>
      </w:r>
      <w:r>
        <w:rPr>
          <w:rStyle w:val="FootnoteReference"/>
          <w:rFonts w:ascii="Times New Roman" w:hAnsi="Times New Roman" w:cs="Times New Roman"/>
          <w:sz w:val="24"/>
          <w:szCs w:val="24"/>
        </w:rPr>
        <w:footnoteReference w:id="10"/>
      </w:r>
    </w:p>
    <w:p w14:paraId="4F6FD0BE"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As is the case for its existing functions under the Act, the Regulations do not provide standing for external merits review of the funding decisions made by ARENA under its new function; since ARENA’s funding decisions relate to the allocation of finite resources, they are not amenable to merits review and it would not be appropriate to provide this here.</w:t>
      </w:r>
    </w:p>
    <w:p w14:paraId="0FA7F167"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Noting that the following is not a comprehensive statement of relevant constitutional considerations, the new function outlined above relates to the external affairs power in paragraph 51(xxix) of the Constitution, thereby grounding the exercise by ARENA of its new function within its constitutional basis under paragraph 14(b) of the Act.</w:t>
      </w:r>
    </w:p>
    <w:p w14:paraId="38E4B0DE" w14:textId="77777777" w:rsidR="00D75CE5" w:rsidRPr="00DE1CEB" w:rsidRDefault="00D75CE5" w:rsidP="00D75CE5">
      <w:pPr>
        <w:spacing w:before="240" w:after="240"/>
        <w:rPr>
          <w:rFonts w:ascii="Times New Roman" w:hAnsi="Times New Roman" w:cs="Times New Roman"/>
          <w:sz w:val="24"/>
          <w:szCs w:val="24"/>
        </w:rPr>
      </w:pPr>
      <w:r w:rsidRPr="00D010B4">
        <w:rPr>
          <w:rFonts w:ascii="Times New Roman" w:hAnsi="Times New Roman" w:cs="Times New Roman"/>
          <w:sz w:val="24"/>
          <w:szCs w:val="24"/>
        </w:rPr>
        <w:t>The external affairs power supports legislation implementing Australia’s obligations under international treaties to which it is a party.</w:t>
      </w:r>
      <w:r>
        <w:rPr>
          <w:rFonts w:ascii="Times New Roman" w:hAnsi="Times New Roman" w:cs="Times New Roman"/>
          <w:sz w:val="24"/>
          <w:szCs w:val="24"/>
        </w:rPr>
        <w:t xml:space="preserve"> The </w:t>
      </w:r>
      <w:r w:rsidRPr="00D010B4">
        <w:rPr>
          <w:rFonts w:ascii="Times New Roman" w:hAnsi="Times New Roman" w:cs="Times New Roman"/>
          <w:sz w:val="24"/>
          <w:szCs w:val="24"/>
        </w:rPr>
        <w:t>United Nations Framework Convention on Climate Change</w:t>
      </w:r>
      <w:r>
        <w:rPr>
          <w:rFonts w:ascii="Times New Roman" w:hAnsi="Times New Roman" w:cs="Times New Roman"/>
          <w:sz w:val="24"/>
          <w:szCs w:val="24"/>
        </w:rPr>
        <w:t xml:space="preserve"> (the UNFCCC)</w:t>
      </w:r>
      <w:r>
        <w:rPr>
          <w:rStyle w:val="FootnoteReference"/>
          <w:rFonts w:ascii="Times New Roman" w:hAnsi="Times New Roman" w:cs="Times New Roman"/>
          <w:sz w:val="24"/>
          <w:szCs w:val="24"/>
        </w:rPr>
        <w:footnoteReference w:id="11"/>
      </w:r>
      <w:r w:rsidRPr="00D010B4">
        <w:rPr>
          <w:rFonts w:ascii="Times New Roman" w:hAnsi="Times New Roman" w:cs="Times New Roman"/>
          <w:sz w:val="24"/>
          <w:szCs w:val="24"/>
        </w:rPr>
        <w:t xml:space="preserve"> includes a range of obligations on Australia to take domestic actions that reduce </w:t>
      </w:r>
      <w:r>
        <w:rPr>
          <w:rFonts w:ascii="Times New Roman" w:hAnsi="Times New Roman" w:cs="Times New Roman"/>
          <w:sz w:val="24"/>
          <w:szCs w:val="24"/>
        </w:rPr>
        <w:t>its emissions of greenhouse gases. Relevantly, it provides that parties shall:</w:t>
      </w:r>
    </w:p>
    <w:p w14:paraId="3862142F" w14:textId="77777777" w:rsidR="00D75CE5" w:rsidRPr="00DE1CEB" w:rsidRDefault="00D75CE5" w:rsidP="00D75CE5">
      <w:pPr>
        <w:pStyle w:val="ListParagraph"/>
        <w:numPr>
          <w:ilvl w:val="0"/>
          <w:numId w:val="4"/>
        </w:numPr>
        <w:spacing w:before="240" w:after="240"/>
        <w:rPr>
          <w:rFonts w:ascii="Times New Roman" w:hAnsi="Times New Roman" w:cs="Times New Roman"/>
          <w:sz w:val="24"/>
          <w:szCs w:val="24"/>
        </w:rPr>
      </w:pPr>
      <w:r w:rsidRPr="00DE1CEB">
        <w:rPr>
          <w:rFonts w:ascii="Times New Roman" w:hAnsi="Times New Roman" w:cs="Times New Roman"/>
          <w:sz w:val="24"/>
          <w:szCs w:val="24"/>
        </w:rPr>
        <w:t>formulate, implement, publish and regularly update national and, where appropriate, regional programs containing measures to mitigate climate change by addressing anthropogenic emissions by sources and removals by sinks of all greenhouse gases not controlled by the Montreal Protocol, and measures to facilitate adequate adaptation to climate change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p>
    <w:p w14:paraId="25AD1941" w14:textId="77777777" w:rsidR="00D75CE5" w:rsidRPr="00DE1CEB" w:rsidRDefault="00D75CE5" w:rsidP="00D75CE5">
      <w:pPr>
        <w:pStyle w:val="ListParagraph"/>
        <w:numPr>
          <w:ilvl w:val="0"/>
          <w:numId w:val="4"/>
        </w:numPr>
        <w:spacing w:before="240" w:after="240"/>
        <w:rPr>
          <w:rFonts w:ascii="Times New Roman" w:hAnsi="Times New Roman" w:cs="Times New Roman"/>
          <w:sz w:val="24"/>
          <w:szCs w:val="24"/>
        </w:rPr>
      </w:pPr>
      <w:r w:rsidRPr="00DE1CEB">
        <w:rPr>
          <w:rFonts w:ascii="Times New Roman" w:hAnsi="Times New Roman" w:cs="Times New Roman"/>
          <w:sz w:val="24"/>
          <w:szCs w:val="24"/>
        </w:rPr>
        <w:t>promote and cooperate in the development, application and diffusion of technologies, practices and processes that control, reduce or prevent anthropogenic emissions of greenhouse gases in all relevant sectors including energy, transport, industry, agriculture, forestry and waste management sectors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and</w:t>
      </w:r>
    </w:p>
    <w:p w14:paraId="7CAEA5B5" w14:textId="77777777" w:rsidR="00D75CE5" w:rsidRPr="00DE1CEB" w:rsidRDefault="00D75CE5" w:rsidP="00D75CE5">
      <w:pPr>
        <w:pStyle w:val="ListParagraph"/>
        <w:numPr>
          <w:ilvl w:val="0"/>
          <w:numId w:val="4"/>
        </w:numPr>
        <w:spacing w:before="240" w:after="240"/>
        <w:rPr>
          <w:rFonts w:ascii="Times New Roman" w:hAnsi="Times New Roman" w:cs="Times New Roman"/>
          <w:sz w:val="24"/>
          <w:szCs w:val="24"/>
        </w:rPr>
      </w:pPr>
      <w:r w:rsidRPr="00DE1CEB">
        <w:rPr>
          <w:rFonts w:ascii="Times New Roman" w:hAnsi="Times New Roman" w:cs="Times New Roman"/>
          <w:sz w:val="24"/>
          <w:szCs w:val="24"/>
        </w:rPr>
        <w:t>adopt national policies and take corresponding measures on the mitigation of climate change, by limiting its anthropogenic emissions of greenhouse gases and protecting and enhancing its greenhouse gas sinks and reservoirs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4"/>
      </w:r>
    </w:p>
    <w:p w14:paraId="5317FB73" w14:textId="77777777" w:rsidR="00D75CE5" w:rsidRDefault="00D75CE5" w:rsidP="00D75CE5">
      <w:pPr>
        <w:spacing w:before="240" w:after="240"/>
        <w:rPr>
          <w:rFonts w:ascii="Times New Roman" w:hAnsi="Times New Roman" w:cs="Times New Roman"/>
          <w:sz w:val="24"/>
          <w:szCs w:val="24"/>
        </w:rPr>
      </w:pPr>
      <w:r w:rsidRPr="00D010B4">
        <w:rPr>
          <w:rFonts w:ascii="Times New Roman" w:hAnsi="Times New Roman" w:cs="Times New Roman"/>
          <w:sz w:val="24"/>
          <w:szCs w:val="24"/>
        </w:rPr>
        <w:t>The Paris Agreement</w:t>
      </w:r>
      <w:r>
        <w:rPr>
          <w:rStyle w:val="FootnoteReference"/>
          <w:rFonts w:ascii="Times New Roman" w:hAnsi="Times New Roman" w:cs="Times New Roman"/>
          <w:sz w:val="24"/>
          <w:szCs w:val="24"/>
        </w:rPr>
        <w:footnoteReference w:id="15"/>
      </w:r>
      <w:r w:rsidRPr="00D010B4">
        <w:rPr>
          <w:rFonts w:ascii="Times New Roman" w:hAnsi="Times New Roman" w:cs="Times New Roman"/>
          <w:sz w:val="24"/>
          <w:szCs w:val="24"/>
        </w:rPr>
        <w:t xml:space="preserve"> was entered into by the parties to the UNFCCC to enhance its implementation. Under the Pa</w:t>
      </w:r>
      <w:r>
        <w:rPr>
          <w:rFonts w:ascii="Times New Roman" w:hAnsi="Times New Roman" w:cs="Times New Roman"/>
          <w:sz w:val="24"/>
          <w:szCs w:val="24"/>
        </w:rPr>
        <w:t>ris Agreement, Australia has a “N</w:t>
      </w:r>
      <w:r w:rsidRPr="00D010B4">
        <w:rPr>
          <w:rFonts w:ascii="Times New Roman" w:hAnsi="Times New Roman" w:cs="Times New Roman"/>
          <w:sz w:val="24"/>
          <w:szCs w:val="24"/>
        </w:rPr>
        <w:t>at</w:t>
      </w:r>
      <w:r>
        <w:rPr>
          <w:rFonts w:ascii="Times New Roman" w:hAnsi="Times New Roman" w:cs="Times New Roman"/>
          <w:sz w:val="24"/>
          <w:szCs w:val="24"/>
        </w:rPr>
        <w:t>ionally Determined Contribution”</w:t>
      </w:r>
      <w:r w:rsidRPr="00D010B4">
        <w:rPr>
          <w:rFonts w:ascii="Times New Roman" w:hAnsi="Times New Roman" w:cs="Times New Roman"/>
          <w:sz w:val="24"/>
          <w:szCs w:val="24"/>
        </w:rPr>
        <w:t xml:space="preserve"> </w:t>
      </w:r>
      <w:r>
        <w:rPr>
          <w:rFonts w:ascii="Times New Roman" w:hAnsi="Times New Roman" w:cs="Times New Roman"/>
          <w:sz w:val="24"/>
          <w:szCs w:val="24"/>
        </w:rPr>
        <w:t>comprising</w:t>
      </w:r>
      <w:r w:rsidRPr="00D010B4">
        <w:rPr>
          <w:rFonts w:ascii="Times New Roman" w:hAnsi="Times New Roman" w:cs="Times New Roman"/>
          <w:sz w:val="24"/>
          <w:szCs w:val="24"/>
        </w:rPr>
        <w:t xml:space="preserve"> a 2030 emissions reduction target of 26 to 28 per cent </w:t>
      </w:r>
      <w:r>
        <w:rPr>
          <w:rFonts w:ascii="Times New Roman" w:hAnsi="Times New Roman" w:cs="Times New Roman"/>
          <w:sz w:val="24"/>
          <w:szCs w:val="24"/>
        </w:rPr>
        <w:t>below 2005 levels and a target to reach net zero emissions by 2050. Australia’s Nationally Determined Contribution also includes technology stretch goals relating to priority low emissions technologies.  Relevantly, a</w:t>
      </w:r>
      <w:r w:rsidRPr="00D010B4">
        <w:rPr>
          <w:rFonts w:ascii="Times New Roman" w:hAnsi="Times New Roman" w:cs="Times New Roman"/>
          <w:sz w:val="24"/>
          <w:szCs w:val="24"/>
        </w:rPr>
        <w:t>rticle 4.2 of the</w:t>
      </w:r>
      <w:r>
        <w:rPr>
          <w:rFonts w:ascii="Times New Roman" w:hAnsi="Times New Roman" w:cs="Times New Roman"/>
          <w:sz w:val="24"/>
          <w:szCs w:val="24"/>
        </w:rPr>
        <w:t xml:space="preserve"> Paris Agreement provides that “</w:t>
      </w:r>
      <w:r w:rsidRPr="00D010B4">
        <w:rPr>
          <w:rFonts w:ascii="Times New Roman" w:hAnsi="Times New Roman" w:cs="Times New Roman"/>
          <w:sz w:val="24"/>
          <w:szCs w:val="24"/>
        </w:rPr>
        <w:t>[e]ach Party shall prepare, communicate and maintain successive nationally determined contributi</w:t>
      </w:r>
      <w:r>
        <w:rPr>
          <w:rFonts w:ascii="Times New Roman" w:hAnsi="Times New Roman" w:cs="Times New Roman"/>
          <w:sz w:val="24"/>
          <w:szCs w:val="24"/>
        </w:rPr>
        <w:t>ons that it intends to achieve” and that “[p]</w:t>
      </w:r>
      <w:r w:rsidRPr="00D010B4">
        <w:rPr>
          <w:rFonts w:ascii="Times New Roman" w:hAnsi="Times New Roman" w:cs="Times New Roman"/>
          <w:sz w:val="24"/>
          <w:szCs w:val="24"/>
        </w:rPr>
        <w:t>arties shall pursue domestic mitigation measures, with the aim of achieving the ob</w:t>
      </w:r>
      <w:r>
        <w:rPr>
          <w:rFonts w:ascii="Times New Roman" w:hAnsi="Times New Roman" w:cs="Times New Roman"/>
          <w:sz w:val="24"/>
          <w:szCs w:val="24"/>
        </w:rPr>
        <w:t>jectives of such contributions”.</w:t>
      </w:r>
    </w:p>
    <w:p w14:paraId="5A165DCA"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 xml:space="preserve">Each of the clean energy technologies ARENA will support under the Regulations will reduce Australia’s greenhouse gas emissions, thereby contributing to Australia’s international emissions reduction obligations as outlined above. The projects will include activities that reduce emissions intensity and energy and fuel use, switch business operations from non-renewable to renewable energy sources or develop or implement low-emission technologies. ARENA can also fund studies and analysis that will support further emissions reduction activities in the future. The function will allow ARENA to play a significant role in delivering the technology stretch goals in Australia’s Nationally Determined Contribution. </w:t>
      </w:r>
    </w:p>
    <w:p w14:paraId="2719079E" w14:textId="77777777" w:rsidR="00D75CE5" w:rsidRPr="00072D86"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 xml:space="preserve">The Regulations, in part, replace the </w:t>
      </w:r>
      <w:r w:rsidRPr="00072D86">
        <w:rPr>
          <w:rFonts w:ascii="Times New Roman" w:hAnsi="Times New Roman" w:cs="Times New Roman"/>
          <w:i/>
          <w:sz w:val="24"/>
          <w:szCs w:val="24"/>
        </w:rPr>
        <w:t>Australian Renewable Energy Agency (Implementing the Technology Investment Roadmap) Regulations 2021</w:t>
      </w:r>
      <w:r>
        <w:rPr>
          <w:rFonts w:ascii="Times New Roman" w:hAnsi="Times New Roman" w:cs="Times New Roman"/>
          <w:sz w:val="24"/>
          <w:szCs w:val="24"/>
        </w:rPr>
        <w:t xml:space="preserve"> (the previous Regulations) which also conferred functions on ARENA. The Regulations are different in substance from those previous regulations. In particular, these Regulations cover the full range of clean energy technologies, whereas the previous Regulations only covered a limited set of targeted programs for particular technologies. For example, funding of priority technologies was limited to 5 particular technologies and the economic stretch goals associated with them. The previous Regulations also focused on research and development, whereas these Regulations include commercialisation and deployment activities. The Regulations also does not impose reporting, financial or timing constraints that were imposed by the previous instrument. The Regulation includes a new limitation provision in section 7 to confirm the new functions are consistent with the statutory framework. </w:t>
      </w:r>
    </w:p>
    <w:p w14:paraId="06460E32" w14:textId="77777777" w:rsidR="00D75CE5" w:rsidRPr="00072D86" w:rsidRDefault="00D75CE5" w:rsidP="00D75CE5">
      <w:pPr>
        <w:spacing w:before="240" w:after="240"/>
        <w:rPr>
          <w:rFonts w:ascii="Times New Roman" w:hAnsi="Times New Roman" w:cs="Times New Roman"/>
          <w:sz w:val="24"/>
          <w:szCs w:val="24"/>
        </w:rPr>
      </w:pPr>
      <w:r>
        <w:rPr>
          <w:rFonts w:ascii="Times New Roman" w:hAnsi="Times New Roman" w:cs="Times New Roman"/>
          <w:color w:val="000000"/>
          <w:sz w:val="24"/>
          <w:szCs w:val="24"/>
          <w:shd w:val="clear" w:color="auto" w:fill="FFFFFF"/>
        </w:rPr>
        <w:t>Further details of the Regulations are set out at</w:t>
      </w:r>
      <w:r w:rsidRPr="00DB2326">
        <w:rPr>
          <w:rFonts w:ascii="Times New Roman" w:hAnsi="Times New Roman" w:cs="Times New Roman"/>
          <w:color w:val="000000"/>
          <w:sz w:val="24"/>
          <w:szCs w:val="24"/>
          <w:shd w:val="clear" w:color="auto" w:fill="FFFFFF"/>
        </w:rPr>
        <w:t xml:space="preserve"> </w:t>
      </w:r>
      <w:r w:rsidRPr="00DB2326">
        <w:rPr>
          <w:rFonts w:ascii="Times New Roman" w:hAnsi="Times New Roman" w:cs="Times New Roman"/>
          <w:b/>
          <w:color w:val="000000"/>
          <w:sz w:val="24"/>
          <w:szCs w:val="24"/>
          <w:u w:val="single"/>
          <w:shd w:val="clear" w:color="auto" w:fill="FFFFFF"/>
        </w:rPr>
        <w:t>Attachment A</w:t>
      </w:r>
      <w:r>
        <w:rPr>
          <w:rFonts w:ascii="Times New Roman" w:hAnsi="Times New Roman" w:cs="Times New Roman"/>
          <w:b/>
          <w:color w:val="000000"/>
          <w:sz w:val="24"/>
          <w:szCs w:val="24"/>
          <w:u w:val="single"/>
          <w:shd w:val="clear" w:color="auto" w:fill="FFFFFF"/>
        </w:rPr>
        <w:t>.</w:t>
      </w:r>
    </w:p>
    <w:p w14:paraId="489B46D1" w14:textId="77777777" w:rsidR="00D75CE5" w:rsidRDefault="00D75CE5" w:rsidP="00D75CE5">
      <w:pPr>
        <w:keepNext/>
        <w:keepLines/>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Consultation</w:t>
      </w:r>
    </w:p>
    <w:p w14:paraId="07F891AD"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 xml:space="preserve">The initiatives authorised by the Regulations were developed over a policy process dating back to 2019, and encompassing the independent King Review into low cost carbon abatement opportunities, which in February 2020 recommended the Government provide ARENA and the CEFC with an expanded </w:t>
      </w:r>
      <w:r w:rsidRPr="00F02ECA">
        <w:rPr>
          <w:rFonts w:ascii="Times New Roman" w:hAnsi="Times New Roman" w:cs="Times New Roman"/>
          <w:sz w:val="24"/>
          <w:szCs w:val="24"/>
        </w:rPr>
        <w:t>technology-neutral remit</w:t>
      </w:r>
      <w:r>
        <w:rPr>
          <w:rFonts w:ascii="Times New Roman" w:hAnsi="Times New Roman" w:cs="Times New Roman"/>
          <w:sz w:val="24"/>
          <w:szCs w:val="24"/>
        </w:rPr>
        <w:t>. This informed aspects of</w:t>
      </w:r>
      <w:r w:rsidDel="00F02ECA">
        <w:rPr>
          <w:rFonts w:ascii="Times New Roman" w:hAnsi="Times New Roman" w:cs="Times New Roman"/>
          <w:sz w:val="24"/>
          <w:szCs w:val="24"/>
        </w:rPr>
        <w:t xml:space="preserve"> </w:t>
      </w:r>
      <w:r>
        <w:rPr>
          <w:rFonts w:ascii="Times New Roman" w:hAnsi="Times New Roman" w:cs="Times New Roman"/>
          <w:sz w:val="24"/>
          <w:szCs w:val="24"/>
        </w:rPr>
        <w:t>the Roadmap Discussion Paper and first LETS, and subsequently the release of the low emissions elements of the 2020</w:t>
      </w:r>
      <w:r>
        <w:rPr>
          <w:rFonts w:ascii="Times New Roman" w:hAnsi="Times New Roman" w:cs="Times New Roman"/>
          <w:sz w:val="24"/>
          <w:szCs w:val="24"/>
        </w:rPr>
        <w:noBreakHyphen/>
        <w:t>21 Budget. T</w:t>
      </w:r>
      <w:r w:rsidRPr="00B01522">
        <w:rPr>
          <w:rFonts w:ascii="Times New Roman" w:hAnsi="Times New Roman" w:cs="Times New Roman"/>
          <w:sz w:val="24"/>
          <w:szCs w:val="24"/>
        </w:rPr>
        <w:t xml:space="preserve">here was </w:t>
      </w:r>
      <w:r>
        <w:rPr>
          <w:rFonts w:ascii="Times New Roman" w:hAnsi="Times New Roman" w:cs="Times New Roman"/>
          <w:sz w:val="24"/>
          <w:szCs w:val="24"/>
        </w:rPr>
        <w:t>considerable</w:t>
      </w:r>
      <w:r w:rsidRPr="00B01522" w:rsidDel="006371AA">
        <w:rPr>
          <w:rFonts w:ascii="Times New Roman" w:hAnsi="Times New Roman" w:cs="Times New Roman"/>
          <w:sz w:val="24"/>
          <w:szCs w:val="24"/>
        </w:rPr>
        <w:t xml:space="preserve"> </w:t>
      </w:r>
      <w:r>
        <w:rPr>
          <w:rFonts w:ascii="Times New Roman" w:hAnsi="Times New Roman" w:cs="Times New Roman"/>
          <w:sz w:val="24"/>
          <w:szCs w:val="24"/>
        </w:rPr>
        <w:t xml:space="preserve">public </w:t>
      </w:r>
      <w:r w:rsidRPr="00B01522">
        <w:rPr>
          <w:rFonts w:ascii="Times New Roman" w:hAnsi="Times New Roman" w:cs="Times New Roman"/>
          <w:sz w:val="24"/>
          <w:szCs w:val="24"/>
        </w:rPr>
        <w:t>consultation at each stage of this policy development process</w:t>
      </w:r>
      <w:r>
        <w:rPr>
          <w:rFonts w:ascii="Times New Roman" w:hAnsi="Times New Roman" w:cs="Times New Roman"/>
          <w:sz w:val="24"/>
          <w:szCs w:val="24"/>
        </w:rPr>
        <w:t>. In particular, the Roadmap Discussion Paper received around 500 written submissions and over 400 people participated in a public webinar. This process was central to the development of the priority low emissions technologies and cost reduction goals set out in Australia’s Nationally Determined Contribution under the Paris Agreement. Comments and advice received in public consultation and consultation with Government stakeholders, including the Department of the Prime Minister and Cabinet in relation to the previous Regulations has also been considered in the development of these Regulations.</w:t>
      </w:r>
    </w:p>
    <w:p w14:paraId="65F953D7"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ARENA was consulted on a draft of the Regulations in March 2022 and will undertake appropriate consultation on the implementation of the initiatives consistent with its statutory framework and responsibilities.</w:t>
      </w:r>
    </w:p>
    <w:p w14:paraId="29124F93" w14:textId="77777777" w:rsidR="00D75CE5" w:rsidRPr="006667EE" w:rsidRDefault="00D75CE5" w:rsidP="00D75CE5">
      <w:pPr>
        <w:spacing w:before="240" w:after="240"/>
        <w:rPr>
          <w:rFonts w:ascii="Times New Roman" w:hAnsi="Times New Roman" w:cs="Times New Roman"/>
          <w:b/>
          <w:sz w:val="24"/>
          <w:szCs w:val="24"/>
          <w:u w:val="single"/>
        </w:rPr>
      </w:pPr>
      <w:r w:rsidRPr="006667EE">
        <w:rPr>
          <w:rFonts w:ascii="Times New Roman" w:hAnsi="Times New Roman" w:cs="Times New Roman"/>
          <w:b/>
          <w:sz w:val="24"/>
          <w:szCs w:val="24"/>
          <w:u w:val="single"/>
        </w:rPr>
        <w:t>Regulatory Impact</w:t>
      </w:r>
    </w:p>
    <w:p w14:paraId="3E838688" w14:textId="77777777" w:rsidR="00D75CE5" w:rsidRDefault="00D75CE5" w:rsidP="00D75CE5">
      <w:pPr>
        <w:spacing w:before="240" w:after="240"/>
        <w:rPr>
          <w:rFonts w:ascii="Times New Roman" w:hAnsi="Times New Roman" w:cs="Times New Roman"/>
          <w:sz w:val="24"/>
          <w:szCs w:val="24"/>
        </w:rPr>
      </w:pPr>
      <w:r w:rsidRPr="006667EE">
        <w:rPr>
          <w:rFonts w:ascii="Times New Roman" w:hAnsi="Times New Roman" w:cs="Times New Roman"/>
          <w:sz w:val="24"/>
          <w:szCs w:val="24"/>
        </w:rPr>
        <w:t>A short-form Regulation Impact Statement agreed with the Office of Best Practice Regulation for this measure found there would likely be no regulatory impact (reference number ID 43576 refers).</w:t>
      </w:r>
    </w:p>
    <w:p w14:paraId="56CCD7DC" w14:textId="77777777" w:rsidR="00D75CE5" w:rsidRDefault="00D75CE5" w:rsidP="00D75CE5">
      <w:pPr>
        <w:spacing w:before="200"/>
        <w:rPr>
          <w:rFonts w:ascii="Times New Roman" w:hAnsi="Times New Roman" w:cs="Times New Roman"/>
          <w:b/>
          <w:sz w:val="24"/>
          <w:szCs w:val="24"/>
          <w:u w:val="single"/>
        </w:rPr>
      </w:pPr>
      <w:r>
        <w:rPr>
          <w:rFonts w:ascii="Times New Roman" w:hAnsi="Times New Roman" w:cs="Times New Roman"/>
          <w:b/>
          <w:sz w:val="24"/>
          <w:szCs w:val="24"/>
          <w:u w:val="single"/>
        </w:rPr>
        <w:t>Statement of Compatibility with Human Rights</w:t>
      </w:r>
    </w:p>
    <w:p w14:paraId="0B820591" w14:textId="77777777" w:rsidR="00D75CE5" w:rsidRDefault="00D75CE5" w:rsidP="00D75CE5">
      <w:pPr>
        <w:spacing w:before="240" w:after="240"/>
        <w:rPr>
          <w:rFonts w:ascii="Times New Roman" w:hAnsi="Times New Roman" w:cs="Times New Roman"/>
          <w:sz w:val="24"/>
          <w:szCs w:val="24"/>
        </w:rPr>
      </w:pPr>
      <w:r>
        <w:rPr>
          <w:rFonts w:ascii="Times New Roman" w:eastAsia="Times New Roman" w:hAnsi="Times New Roman" w:cs="Times New Roman"/>
          <w:color w:val="000000"/>
          <w:sz w:val="24"/>
          <w:szCs w:val="24"/>
          <w:lang w:val="en-GB" w:eastAsia="en-AU"/>
        </w:rPr>
        <w:t>A Statement of Compatibility with Human R</w:t>
      </w:r>
      <w:r w:rsidRPr="005B1CDD">
        <w:rPr>
          <w:rFonts w:ascii="Times New Roman" w:eastAsia="Times New Roman" w:hAnsi="Times New Roman" w:cs="Times New Roman"/>
          <w:color w:val="000000"/>
          <w:sz w:val="24"/>
          <w:szCs w:val="24"/>
          <w:lang w:val="en-GB" w:eastAsia="en-AU"/>
        </w:rPr>
        <w:t>ights for the purposes of Part 3 of the </w:t>
      </w:r>
      <w:r w:rsidRPr="005B1CDD">
        <w:rPr>
          <w:rFonts w:ascii="Times New Roman" w:eastAsia="Times New Roman" w:hAnsi="Times New Roman" w:cs="Times New Roman"/>
          <w:i/>
          <w:iCs/>
          <w:color w:val="000000"/>
          <w:sz w:val="24"/>
          <w:szCs w:val="24"/>
          <w:lang w:val="en-GB" w:eastAsia="en-AU"/>
        </w:rPr>
        <w:t>Human Rights (Parliamentary Scrutiny) Act 2011</w:t>
      </w:r>
      <w:r w:rsidRPr="005B1CDD">
        <w:rPr>
          <w:rFonts w:ascii="Times New Roman" w:eastAsia="Times New Roman" w:hAnsi="Times New Roman" w:cs="Times New Roman"/>
          <w:color w:val="000000"/>
          <w:sz w:val="24"/>
          <w:szCs w:val="24"/>
          <w:lang w:val="en-GB" w:eastAsia="en-AU"/>
        </w:rPr>
        <w:t xml:space="preserve"> is set out at </w:t>
      </w:r>
      <w:r w:rsidRPr="004E32ED">
        <w:rPr>
          <w:rFonts w:ascii="Times New Roman" w:eastAsia="Times New Roman" w:hAnsi="Times New Roman" w:cs="Times New Roman"/>
          <w:b/>
          <w:color w:val="000000"/>
          <w:sz w:val="24"/>
          <w:szCs w:val="24"/>
          <w:u w:val="single"/>
          <w:lang w:val="en-GB" w:eastAsia="en-AU"/>
        </w:rPr>
        <w:t>Attachment</w:t>
      </w:r>
      <w:r>
        <w:rPr>
          <w:rFonts w:ascii="Times New Roman" w:eastAsia="Times New Roman" w:hAnsi="Times New Roman" w:cs="Times New Roman"/>
          <w:b/>
          <w:color w:val="000000"/>
          <w:sz w:val="24"/>
          <w:szCs w:val="24"/>
          <w:u w:val="single"/>
          <w:lang w:val="en-GB" w:eastAsia="en-AU"/>
        </w:rPr>
        <w:t xml:space="preserve"> B.</w:t>
      </w:r>
    </w:p>
    <w:p w14:paraId="161C3BB5" w14:textId="77777777" w:rsidR="00D75CE5" w:rsidRDefault="00D75CE5" w:rsidP="00D75CE5">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42B52CA" w14:textId="77777777" w:rsidR="00D75CE5" w:rsidRDefault="00D75CE5" w:rsidP="00D75CE5">
      <w:pPr>
        <w:spacing w:before="240" w:after="240"/>
        <w:jc w:val="right"/>
        <w:rPr>
          <w:rFonts w:ascii="Times New Roman" w:hAnsi="Times New Roman" w:cs="Times New Roman"/>
          <w:b/>
          <w:sz w:val="24"/>
          <w:szCs w:val="24"/>
          <w:u w:val="single"/>
        </w:rPr>
      </w:pPr>
      <w:r>
        <w:rPr>
          <w:rFonts w:ascii="Times New Roman" w:hAnsi="Times New Roman" w:cs="Times New Roman"/>
          <w:b/>
          <w:sz w:val="24"/>
          <w:szCs w:val="24"/>
          <w:u w:val="single"/>
        </w:rPr>
        <w:t>Attachment A</w:t>
      </w:r>
    </w:p>
    <w:p w14:paraId="1D13E687" w14:textId="77777777" w:rsidR="00D75CE5" w:rsidRDefault="00D75CE5" w:rsidP="00D75CE5">
      <w:pPr>
        <w:spacing w:before="120" w:after="120"/>
        <w:rPr>
          <w:rFonts w:ascii="Times New Roman" w:hAnsi="Times New Roman" w:cs="Times New Roman"/>
          <w:b/>
          <w:sz w:val="24"/>
          <w:szCs w:val="24"/>
          <w:u w:val="single"/>
        </w:rPr>
      </w:pPr>
    </w:p>
    <w:p w14:paraId="1F7F8609" w14:textId="77777777" w:rsidR="00D75CE5" w:rsidRPr="00560021" w:rsidRDefault="00D75CE5" w:rsidP="00D75CE5">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 xml:space="preserve">Details of the </w:t>
      </w:r>
      <w:r w:rsidRPr="00560021">
        <w:rPr>
          <w:rFonts w:ascii="Times New Roman" w:hAnsi="Times New Roman" w:cs="Times New Roman"/>
          <w:b/>
          <w:i/>
          <w:sz w:val="24"/>
          <w:szCs w:val="24"/>
          <w:u w:val="single"/>
        </w:rPr>
        <w:t>Australian Renewable Energy Agency Amendment (</w:t>
      </w:r>
      <w:r>
        <w:rPr>
          <w:rFonts w:ascii="Times New Roman" w:hAnsi="Times New Roman" w:cs="Times New Roman"/>
          <w:b/>
          <w:i/>
          <w:sz w:val="24"/>
          <w:szCs w:val="24"/>
          <w:u w:val="single"/>
        </w:rPr>
        <w:t>Clean Energy Technologies</w:t>
      </w:r>
      <w:r w:rsidRPr="00560021">
        <w:rPr>
          <w:rFonts w:ascii="Times New Roman" w:hAnsi="Times New Roman" w:cs="Times New Roman"/>
          <w:b/>
          <w:i/>
          <w:sz w:val="24"/>
          <w:szCs w:val="24"/>
          <w:u w:val="single"/>
        </w:rPr>
        <w:t>) Regulations 202</w:t>
      </w:r>
      <w:r>
        <w:rPr>
          <w:rFonts w:ascii="Times New Roman" w:hAnsi="Times New Roman" w:cs="Times New Roman"/>
          <w:b/>
          <w:i/>
          <w:sz w:val="24"/>
          <w:szCs w:val="24"/>
          <w:u w:val="single"/>
        </w:rPr>
        <w:t>2</w:t>
      </w:r>
    </w:p>
    <w:p w14:paraId="7A45DB90" w14:textId="77777777" w:rsidR="00D75CE5" w:rsidRPr="00CB0486" w:rsidRDefault="00D75CE5" w:rsidP="00D75CE5">
      <w:pPr>
        <w:spacing w:before="240" w:after="240"/>
        <w:rPr>
          <w:rFonts w:ascii="Times New Roman" w:hAnsi="Times New Roman" w:cs="Times New Roman"/>
          <w:b/>
          <w:sz w:val="24"/>
          <w:szCs w:val="24"/>
        </w:rPr>
      </w:pPr>
      <w:r w:rsidRPr="00CB0486">
        <w:rPr>
          <w:rFonts w:ascii="Times New Roman" w:hAnsi="Times New Roman" w:cs="Times New Roman"/>
          <w:b/>
          <w:sz w:val="24"/>
          <w:szCs w:val="24"/>
        </w:rPr>
        <w:t>Section 1 – Name</w:t>
      </w:r>
    </w:p>
    <w:p w14:paraId="65050A69" w14:textId="77777777" w:rsidR="00D75CE5" w:rsidRPr="006745C3"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Section</w:t>
      </w:r>
      <w:r w:rsidRPr="00CB0486">
        <w:rPr>
          <w:rFonts w:ascii="Times New Roman" w:hAnsi="Times New Roman" w:cs="Times New Roman"/>
          <w:sz w:val="24"/>
          <w:szCs w:val="24"/>
        </w:rPr>
        <w:t xml:space="preserve"> 1 provides that the title of the Regulation</w:t>
      </w:r>
      <w:r>
        <w:rPr>
          <w:rFonts w:ascii="Times New Roman" w:hAnsi="Times New Roman" w:cs="Times New Roman"/>
          <w:sz w:val="24"/>
          <w:szCs w:val="24"/>
        </w:rPr>
        <w:t>s</w:t>
      </w:r>
      <w:r w:rsidRPr="00CB0486">
        <w:rPr>
          <w:rFonts w:ascii="Times New Roman" w:hAnsi="Times New Roman" w:cs="Times New Roman"/>
          <w:sz w:val="24"/>
          <w:szCs w:val="24"/>
        </w:rPr>
        <w:t xml:space="preserve"> is the </w:t>
      </w:r>
      <w:r w:rsidRPr="00CB0486">
        <w:rPr>
          <w:rFonts w:ascii="Times New Roman" w:hAnsi="Times New Roman" w:cs="Times New Roman"/>
          <w:i/>
          <w:sz w:val="24"/>
          <w:szCs w:val="24"/>
        </w:rPr>
        <w:t>Australian Renewable Energy Agency Amendment (</w:t>
      </w:r>
      <w:r>
        <w:rPr>
          <w:rFonts w:ascii="Times New Roman" w:hAnsi="Times New Roman" w:cs="Times New Roman"/>
          <w:i/>
          <w:sz w:val="24"/>
          <w:szCs w:val="24"/>
        </w:rPr>
        <w:t>Clean Energy Technology</w:t>
      </w:r>
      <w:r w:rsidRPr="00CB0486">
        <w:rPr>
          <w:rFonts w:ascii="Times New Roman" w:hAnsi="Times New Roman" w:cs="Times New Roman"/>
          <w:i/>
          <w:sz w:val="24"/>
          <w:szCs w:val="24"/>
        </w:rPr>
        <w:t>) Regulations 202</w:t>
      </w:r>
      <w:r>
        <w:rPr>
          <w:rFonts w:ascii="Times New Roman" w:hAnsi="Times New Roman" w:cs="Times New Roman"/>
          <w:i/>
          <w:sz w:val="24"/>
          <w:szCs w:val="24"/>
        </w:rPr>
        <w:t>2</w:t>
      </w:r>
      <w:r w:rsidRPr="00CB0486">
        <w:rPr>
          <w:rFonts w:ascii="Times New Roman" w:hAnsi="Times New Roman" w:cs="Times New Roman"/>
          <w:sz w:val="24"/>
          <w:szCs w:val="24"/>
        </w:rPr>
        <w:t>.</w:t>
      </w:r>
    </w:p>
    <w:p w14:paraId="0D6D5BF4" w14:textId="77777777" w:rsidR="00D75CE5" w:rsidRPr="00CB0486" w:rsidRDefault="00D75CE5" w:rsidP="00D75CE5">
      <w:pPr>
        <w:spacing w:before="240" w:after="24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w:t>
      </w:r>
      <w:r>
        <w:rPr>
          <w:rFonts w:ascii="Times New Roman" w:hAnsi="Times New Roman" w:cs="Times New Roman"/>
          <w:b/>
          <w:sz w:val="24"/>
          <w:szCs w:val="24"/>
        </w:rPr>
        <w:t>2</w:t>
      </w:r>
      <w:r w:rsidRPr="006745C3">
        <w:rPr>
          <w:rFonts w:ascii="Times New Roman" w:hAnsi="Times New Roman" w:cs="Times New Roman"/>
          <w:b/>
          <w:sz w:val="24"/>
          <w:szCs w:val="24"/>
        </w:rPr>
        <w:t xml:space="preserve"> – Commencement</w:t>
      </w:r>
    </w:p>
    <w:p w14:paraId="376D5225" w14:textId="77777777" w:rsidR="00D75CE5" w:rsidRPr="006745C3"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Section 2</w:t>
      </w:r>
      <w:r w:rsidRPr="00CB0486">
        <w:rPr>
          <w:rFonts w:ascii="Times New Roman" w:hAnsi="Times New Roman" w:cs="Times New Roman"/>
          <w:sz w:val="24"/>
          <w:szCs w:val="24"/>
        </w:rPr>
        <w:t xml:space="preserve"> provides that the Regulation</w:t>
      </w:r>
      <w:r>
        <w:rPr>
          <w:rFonts w:ascii="Times New Roman" w:hAnsi="Times New Roman" w:cs="Times New Roman"/>
          <w:sz w:val="24"/>
          <w:szCs w:val="24"/>
        </w:rPr>
        <w:t>s</w:t>
      </w:r>
      <w:r w:rsidRPr="00CB0486">
        <w:rPr>
          <w:rFonts w:ascii="Times New Roman" w:hAnsi="Times New Roman" w:cs="Times New Roman"/>
          <w:sz w:val="24"/>
          <w:szCs w:val="24"/>
        </w:rPr>
        <w:t xml:space="preserve"> commence the day after </w:t>
      </w:r>
      <w:r>
        <w:rPr>
          <w:rFonts w:ascii="Times New Roman" w:hAnsi="Times New Roman" w:cs="Times New Roman"/>
          <w:sz w:val="24"/>
          <w:szCs w:val="24"/>
        </w:rPr>
        <w:t>registration</w:t>
      </w:r>
      <w:r w:rsidRPr="00CB0486">
        <w:rPr>
          <w:rFonts w:ascii="Times New Roman" w:hAnsi="Times New Roman" w:cs="Times New Roman"/>
          <w:sz w:val="24"/>
          <w:szCs w:val="24"/>
        </w:rPr>
        <w:t xml:space="preserve"> on the Federal</w:t>
      </w:r>
      <w:r>
        <w:rPr>
          <w:rFonts w:ascii="Times New Roman" w:hAnsi="Times New Roman" w:cs="Times New Roman"/>
          <w:sz w:val="24"/>
          <w:szCs w:val="24"/>
        </w:rPr>
        <w:t> </w:t>
      </w:r>
      <w:r w:rsidRPr="00CB0486">
        <w:rPr>
          <w:rFonts w:ascii="Times New Roman" w:hAnsi="Times New Roman" w:cs="Times New Roman"/>
          <w:sz w:val="24"/>
          <w:szCs w:val="24"/>
        </w:rPr>
        <w:t>Register of Legislation.</w:t>
      </w:r>
    </w:p>
    <w:p w14:paraId="77F51940" w14:textId="77777777" w:rsidR="00D75CE5" w:rsidRPr="006745C3" w:rsidRDefault="00D75CE5" w:rsidP="00D75CE5">
      <w:pPr>
        <w:spacing w:before="240" w:after="240"/>
        <w:rPr>
          <w:rFonts w:ascii="Times New Roman" w:hAnsi="Times New Roman" w:cs="Times New Roman"/>
          <w:b/>
          <w:sz w:val="24"/>
          <w:szCs w:val="24"/>
        </w:rPr>
      </w:pPr>
      <w:r>
        <w:rPr>
          <w:rFonts w:ascii="Times New Roman" w:hAnsi="Times New Roman" w:cs="Times New Roman"/>
          <w:b/>
          <w:sz w:val="24"/>
          <w:szCs w:val="24"/>
        </w:rPr>
        <w:t>Section 3</w:t>
      </w:r>
      <w:r w:rsidRPr="006745C3">
        <w:rPr>
          <w:rFonts w:ascii="Times New Roman" w:hAnsi="Times New Roman" w:cs="Times New Roman"/>
          <w:b/>
          <w:sz w:val="24"/>
          <w:szCs w:val="24"/>
        </w:rPr>
        <w:t xml:space="preserve"> – Authority</w:t>
      </w:r>
    </w:p>
    <w:p w14:paraId="10D694DA"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Section 3</w:t>
      </w:r>
      <w:r w:rsidRPr="00AB2C20">
        <w:rPr>
          <w:rFonts w:ascii="Times New Roman" w:hAnsi="Times New Roman" w:cs="Times New Roman"/>
          <w:sz w:val="24"/>
          <w:szCs w:val="24"/>
        </w:rPr>
        <w:t xml:space="preserve"> provides that the Regulation</w:t>
      </w:r>
      <w:r>
        <w:rPr>
          <w:rFonts w:ascii="Times New Roman" w:hAnsi="Times New Roman" w:cs="Times New Roman"/>
          <w:sz w:val="24"/>
          <w:szCs w:val="24"/>
        </w:rPr>
        <w:t>s</w:t>
      </w:r>
      <w:r w:rsidRPr="00AB2C20">
        <w:rPr>
          <w:rFonts w:ascii="Times New Roman" w:hAnsi="Times New Roman" w:cs="Times New Roman"/>
          <w:sz w:val="24"/>
          <w:szCs w:val="24"/>
        </w:rPr>
        <w:t xml:space="preserve"> </w:t>
      </w:r>
      <w:r>
        <w:rPr>
          <w:rFonts w:ascii="Times New Roman" w:hAnsi="Times New Roman" w:cs="Times New Roman"/>
          <w:sz w:val="24"/>
          <w:szCs w:val="24"/>
        </w:rPr>
        <w:t>are</w:t>
      </w:r>
      <w:r w:rsidRPr="00AB2C20">
        <w:rPr>
          <w:rFonts w:ascii="Times New Roman" w:hAnsi="Times New Roman" w:cs="Times New Roman"/>
          <w:sz w:val="24"/>
          <w:szCs w:val="24"/>
        </w:rPr>
        <w:t xml:space="preserve"> made under the </w:t>
      </w:r>
      <w:r>
        <w:rPr>
          <w:rFonts w:ascii="Times New Roman" w:hAnsi="Times New Roman"/>
          <w:i/>
          <w:sz w:val="24"/>
        </w:rPr>
        <w:t xml:space="preserve">Australian Renewable Energy Agency Act 2011 </w:t>
      </w:r>
      <w:r>
        <w:rPr>
          <w:rFonts w:ascii="Times New Roman" w:hAnsi="Times New Roman"/>
          <w:sz w:val="24"/>
        </w:rPr>
        <w:t>(the Act)</w:t>
      </w:r>
      <w:r w:rsidRPr="00AB2C20">
        <w:rPr>
          <w:rFonts w:ascii="Times New Roman" w:hAnsi="Times New Roman" w:cs="Times New Roman"/>
          <w:sz w:val="24"/>
          <w:szCs w:val="24"/>
        </w:rPr>
        <w:t>.</w:t>
      </w:r>
      <w:r>
        <w:rPr>
          <w:rFonts w:ascii="Times New Roman" w:hAnsi="Times New Roman" w:cs="Times New Roman"/>
          <w:sz w:val="24"/>
          <w:szCs w:val="24"/>
        </w:rPr>
        <w:t xml:space="preserve"> For the avoidance of doubt, the power to make regulations under section 74 of the Act also includes the power to amend or revoke any such regulations once they have been made, as per subsection 33(3) of the </w:t>
      </w:r>
      <w:r w:rsidRPr="00D33DA7">
        <w:rPr>
          <w:rFonts w:ascii="Times New Roman" w:hAnsi="Times New Roman" w:cs="Times New Roman"/>
          <w:i/>
          <w:sz w:val="24"/>
          <w:szCs w:val="24"/>
        </w:rPr>
        <w:t>Acts Interpretation Act 1901</w:t>
      </w:r>
      <w:r>
        <w:rPr>
          <w:rFonts w:ascii="Times New Roman" w:hAnsi="Times New Roman" w:cs="Times New Roman"/>
          <w:sz w:val="24"/>
          <w:szCs w:val="24"/>
        </w:rPr>
        <w:t>.</w:t>
      </w:r>
    </w:p>
    <w:p w14:paraId="1319388E" w14:textId="77777777" w:rsidR="00D75CE5" w:rsidRDefault="00D75CE5" w:rsidP="00D75CE5">
      <w:pPr>
        <w:spacing w:before="240" w:after="240"/>
        <w:rPr>
          <w:rFonts w:ascii="Times New Roman" w:hAnsi="Times New Roman" w:cs="Times New Roman"/>
          <w:b/>
          <w:sz w:val="24"/>
          <w:szCs w:val="24"/>
        </w:rPr>
      </w:pPr>
      <w:r>
        <w:rPr>
          <w:rFonts w:ascii="Times New Roman" w:hAnsi="Times New Roman" w:cs="Times New Roman"/>
          <w:b/>
          <w:sz w:val="24"/>
          <w:szCs w:val="24"/>
        </w:rPr>
        <w:t>Section 4 – Schedules</w:t>
      </w:r>
    </w:p>
    <w:p w14:paraId="499B4C65"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Section 4</w:t>
      </w:r>
      <w:r w:rsidRPr="00AB2C20">
        <w:rPr>
          <w:rFonts w:ascii="Times New Roman" w:hAnsi="Times New Roman" w:cs="Times New Roman"/>
          <w:sz w:val="24"/>
          <w:szCs w:val="24"/>
        </w:rPr>
        <w:t xml:space="preserve"> is a formal enabling provision specifying that each </w:t>
      </w:r>
      <w:r>
        <w:rPr>
          <w:rFonts w:ascii="Times New Roman" w:hAnsi="Times New Roman" w:cs="Times New Roman"/>
          <w:sz w:val="24"/>
          <w:szCs w:val="24"/>
        </w:rPr>
        <w:t>instrument</w:t>
      </w:r>
      <w:r w:rsidRPr="00AB2C20">
        <w:rPr>
          <w:rFonts w:ascii="Times New Roman" w:hAnsi="Times New Roman" w:cs="Times New Roman"/>
          <w:sz w:val="24"/>
          <w:szCs w:val="24"/>
        </w:rPr>
        <w:t xml:space="preserve"> specified in a Schedule to the </w:t>
      </w:r>
      <w:r>
        <w:rPr>
          <w:rFonts w:ascii="Times New Roman" w:hAnsi="Times New Roman" w:cs="Times New Roman"/>
          <w:sz w:val="24"/>
          <w:szCs w:val="24"/>
        </w:rPr>
        <w:t>Regulations</w:t>
      </w:r>
      <w:r w:rsidRPr="00AB2C20">
        <w:rPr>
          <w:rFonts w:ascii="Times New Roman" w:hAnsi="Times New Roman" w:cs="Times New Roman"/>
          <w:sz w:val="24"/>
          <w:szCs w:val="24"/>
        </w:rPr>
        <w:t xml:space="preserve"> is amended as indicated by the Schedule. Schedule 1 contains the amendments the </w:t>
      </w:r>
      <w:r>
        <w:rPr>
          <w:rFonts w:ascii="Times New Roman" w:hAnsi="Times New Roman" w:cs="Times New Roman"/>
          <w:sz w:val="24"/>
          <w:szCs w:val="24"/>
        </w:rPr>
        <w:t>Regulations</w:t>
      </w:r>
      <w:r w:rsidRPr="00AB2C20">
        <w:rPr>
          <w:rFonts w:ascii="Times New Roman" w:hAnsi="Times New Roman" w:cs="Times New Roman"/>
          <w:sz w:val="24"/>
          <w:szCs w:val="24"/>
        </w:rPr>
        <w:t xml:space="preserve"> make to the 2016 Regulation.</w:t>
      </w:r>
    </w:p>
    <w:p w14:paraId="65CE89FE" w14:textId="77777777" w:rsidR="00D75CE5" w:rsidRDefault="00D75CE5" w:rsidP="00D75CE5">
      <w:pPr>
        <w:spacing w:before="240" w:after="240"/>
        <w:rPr>
          <w:rFonts w:ascii="Times New Roman" w:hAnsi="Times New Roman" w:cs="Times New Roman"/>
          <w:b/>
          <w:sz w:val="24"/>
          <w:szCs w:val="24"/>
        </w:rPr>
      </w:pPr>
      <w:r>
        <w:rPr>
          <w:rFonts w:ascii="Times New Roman" w:hAnsi="Times New Roman" w:cs="Times New Roman"/>
          <w:b/>
          <w:sz w:val="24"/>
          <w:szCs w:val="24"/>
        </w:rPr>
        <w:t>SCHEDULE 1</w:t>
      </w:r>
      <w:r w:rsidRPr="008E11FC">
        <w:rPr>
          <w:rFonts w:ascii="Times New Roman" w:hAnsi="Times New Roman" w:cs="Times New Roman"/>
          <w:b/>
          <w:sz w:val="24"/>
          <w:szCs w:val="24"/>
        </w:rPr>
        <w:t xml:space="preserve"> </w:t>
      </w:r>
      <w:r>
        <w:rPr>
          <w:rFonts w:ascii="Times New Roman" w:hAnsi="Times New Roman" w:cs="Times New Roman"/>
          <w:b/>
          <w:sz w:val="24"/>
          <w:szCs w:val="24"/>
        </w:rPr>
        <w:t>–</w:t>
      </w:r>
      <w:r w:rsidRPr="008E11FC">
        <w:rPr>
          <w:rFonts w:ascii="Times New Roman" w:hAnsi="Times New Roman" w:cs="Times New Roman"/>
          <w:b/>
          <w:sz w:val="24"/>
          <w:szCs w:val="24"/>
        </w:rPr>
        <w:t xml:space="preserve"> </w:t>
      </w:r>
      <w:r>
        <w:rPr>
          <w:rFonts w:ascii="Times New Roman" w:hAnsi="Times New Roman" w:cs="Times New Roman"/>
          <w:b/>
          <w:sz w:val="24"/>
          <w:szCs w:val="24"/>
        </w:rPr>
        <w:t>AMENDMENTS</w:t>
      </w:r>
    </w:p>
    <w:p w14:paraId="3F90C42B" w14:textId="77777777" w:rsidR="00D75CE5" w:rsidRPr="006745C3" w:rsidRDefault="00D75CE5" w:rsidP="00D75CE5">
      <w:pPr>
        <w:spacing w:before="240" w:after="240"/>
        <w:rPr>
          <w:rFonts w:ascii="Times New Roman" w:hAnsi="Times New Roman" w:cs="Times New Roman"/>
          <w:b/>
          <w:sz w:val="24"/>
          <w:szCs w:val="24"/>
        </w:rPr>
      </w:pPr>
      <w:r>
        <w:rPr>
          <w:rFonts w:ascii="Times New Roman" w:hAnsi="Times New Roman" w:cs="Times New Roman"/>
          <w:b/>
          <w:sz w:val="24"/>
          <w:szCs w:val="24"/>
        </w:rPr>
        <w:t>Item 1 – Section 4 (after the heading)</w:t>
      </w:r>
    </w:p>
    <w:p w14:paraId="2FC278DE"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 xml:space="preserve">This item adds an introductory note to refer readers to the fact that a number of terms are defined in the Act. The introductory note clarifies that the terms ‘ARENA’, ‘financial assistance’ and ‘Climate Change Convention’ are to be understood as defined in the Act. </w:t>
      </w:r>
    </w:p>
    <w:p w14:paraId="52A3AEEB" w14:textId="77777777" w:rsidR="00D75CE5" w:rsidRPr="006745C3" w:rsidRDefault="00D75CE5" w:rsidP="00D75CE5">
      <w:pPr>
        <w:spacing w:before="240" w:after="240"/>
        <w:rPr>
          <w:rFonts w:ascii="Times New Roman" w:hAnsi="Times New Roman" w:cs="Times New Roman"/>
          <w:b/>
          <w:sz w:val="24"/>
          <w:szCs w:val="24"/>
        </w:rPr>
      </w:pPr>
      <w:r>
        <w:rPr>
          <w:rFonts w:ascii="Times New Roman" w:hAnsi="Times New Roman" w:cs="Times New Roman"/>
          <w:b/>
          <w:sz w:val="24"/>
          <w:szCs w:val="24"/>
        </w:rPr>
        <w:t xml:space="preserve">Item 2 – Section 4 (definition of </w:t>
      </w:r>
      <w:r w:rsidRPr="005F1A78">
        <w:rPr>
          <w:rFonts w:ascii="Times New Roman" w:hAnsi="Times New Roman" w:cs="Times New Roman"/>
          <w:b/>
          <w:i/>
          <w:sz w:val="24"/>
          <w:szCs w:val="24"/>
        </w:rPr>
        <w:t>Clean Energy Innovation Fund</w:t>
      </w:r>
      <w:r>
        <w:rPr>
          <w:rFonts w:ascii="Times New Roman" w:hAnsi="Times New Roman" w:cs="Times New Roman"/>
          <w:b/>
          <w:sz w:val="24"/>
          <w:szCs w:val="24"/>
        </w:rPr>
        <w:t>)</w:t>
      </w:r>
    </w:p>
    <w:p w14:paraId="6C7A5824"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This item repeals and replaces the definition of ‘Clean Energy Innovation Fund’. The definition of ‘Clean Energy Innovation Fund’ has been moved from section 5(2) to section 4 to assist the readability of the 2016 Regulation. It remains as previously drafted. At the time that the Regulation is made, the relevant investment mandate direction for the fund under subsection 64(1) of the CEFC Act</w:t>
      </w:r>
      <w:r>
        <w:rPr>
          <w:rFonts w:ascii="Times New Roman" w:hAnsi="Times New Roman" w:cs="Times New Roman"/>
          <w:i/>
          <w:sz w:val="24"/>
          <w:szCs w:val="24"/>
        </w:rPr>
        <w:t xml:space="preserve"> </w:t>
      </w:r>
      <w:r>
        <w:rPr>
          <w:rFonts w:ascii="Times New Roman" w:hAnsi="Times New Roman" w:cs="Times New Roman"/>
          <w:sz w:val="24"/>
          <w:szCs w:val="24"/>
        </w:rPr>
        <w:t xml:space="preserve">is the </w:t>
      </w:r>
      <w:r w:rsidRPr="009D1F0A">
        <w:rPr>
          <w:rFonts w:ascii="Times New Roman" w:hAnsi="Times New Roman" w:cs="Times New Roman"/>
          <w:i/>
          <w:sz w:val="24"/>
          <w:szCs w:val="24"/>
        </w:rPr>
        <w:t>Clean Energy Finance Corporation Investment Mandate Direction 2020</w:t>
      </w:r>
      <w:r>
        <w:rPr>
          <w:rFonts w:ascii="Times New Roman" w:hAnsi="Times New Roman" w:cs="Times New Roman"/>
          <w:sz w:val="24"/>
          <w:szCs w:val="24"/>
        </w:rPr>
        <w:t>.</w:t>
      </w:r>
    </w:p>
    <w:p w14:paraId="2C945710" w14:textId="77777777" w:rsidR="00D75CE5" w:rsidRPr="006745C3" w:rsidRDefault="00D75CE5" w:rsidP="00D75CE5">
      <w:pPr>
        <w:keepNext/>
        <w:keepLines/>
        <w:spacing w:before="240" w:after="240"/>
        <w:rPr>
          <w:rFonts w:ascii="Times New Roman" w:hAnsi="Times New Roman" w:cs="Times New Roman"/>
          <w:b/>
          <w:sz w:val="24"/>
          <w:szCs w:val="24"/>
        </w:rPr>
      </w:pPr>
      <w:r>
        <w:rPr>
          <w:rFonts w:ascii="Times New Roman" w:hAnsi="Times New Roman" w:cs="Times New Roman"/>
          <w:b/>
          <w:sz w:val="24"/>
          <w:szCs w:val="24"/>
        </w:rPr>
        <w:t>Item 3 – Section 4</w:t>
      </w:r>
    </w:p>
    <w:p w14:paraId="51DCCF90" w14:textId="77777777" w:rsidR="00D75CE5" w:rsidRDefault="00D75CE5" w:rsidP="00D75CE5">
      <w:pPr>
        <w:keepNext/>
        <w:keepLines/>
        <w:spacing w:before="240" w:after="240"/>
        <w:rPr>
          <w:rFonts w:ascii="Times New Roman" w:hAnsi="Times New Roman" w:cs="Times New Roman"/>
          <w:sz w:val="24"/>
          <w:szCs w:val="24"/>
        </w:rPr>
      </w:pPr>
      <w:r>
        <w:rPr>
          <w:rFonts w:ascii="Times New Roman" w:hAnsi="Times New Roman" w:cs="Times New Roman"/>
          <w:sz w:val="24"/>
          <w:szCs w:val="24"/>
        </w:rPr>
        <w:t xml:space="preserve">This item adds definitions of ‘clean energy technologies’ and the ‘Paris Agreement’ to section 4 of the 2016 Regulation. </w:t>
      </w:r>
    </w:p>
    <w:p w14:paraId="1F139D7B"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The definition of clean energy technologies was already referenced in section 5 of the 2016 Regulations and is now also being used in section 6.</w:t>
      </w:r>
    </w:p>
    <w:p w14:paraId="4E8D4D2D"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 xml:space="preserve">The definition of ‘clean energy technologies’ is taken from subsection 60(1) of the CEFC Act: that is, for the purposes of the Regulations, clean energy technologies are technologies that are made up from one or more of renewable energy technologies, energy efficiency technologies and low-emission technologies. This definition recognises that many technologies that reduce emissions often combine a number of elements, such as energy efficiency and renewable energy. </w:t>
      </w:r>
    </w:p>
    <w:p w14:paraId="1DD69ADB" w14:textId="77777777" w:rsidR="00D75CE5" w:rsidRDefault="00D75CE5" w:rsidP="00D75CE5">
      <w:pPr>
        <w:pStyle w:val="ListParagraph"/>
        <w:numPr>
          <w:ilvl w:val="0"/>
          <w:numId w:val="4"/>
        </w:numPr>
        <w:spacing w:before="240" w:after="240"/>
        <w:rPr>
          <w:rFonts w:ascii="Times New Roman" w:hAnsi="Times New Roman" w:cs="Times New Roman"/>
          <w:sz w:val="24"/>
          <w:szCs w:val="24"/>
        </w:rPr>
      </w:pPr>
      <w:r>
        <w:rPr>
          <w:rFonts w:ascii="Times New Roman" w:hAnsi="Times New Roman" w:cs="Times New Roman"/>
          <w:sz w:val="24"/>
          <w:szCs w:val="24"/>
        </w:rPr>
        <w:t xml:space="preserve">‘Renewable energy technologies’ are defined </w:t>
      </w:r>
      <w:r w:rsidRPr="004E0173">
        <w:rPr>
          <w:rFonts w:ascii="Times New Roman" w:hAnsi="Times New Roman" w:cs="Times New Roman"/>
          <w:sz w:val="24"/>
          <w:szCs w:val="24"/>
        </w:rPr>
        <w:t xml:space="preserve">in </w:t>
      </w:r>
      <w:r>
        <w:rPr>
          <w:rFonts w:ascii="Times New Roman" w:hAnsi="Times New Roman" w:cs="Times New Roman"/>
          <w:sz w:val="24"/>
          <w:szCs w:val="24"/>
        </w:rPr>
        <w:t>in subsection 60(3) of the CEFC</w:t>
      </w:r>
      <w:r w:rsidRPr="004E0173">
        <w:rPr>
          <w:rFonts w:ascii="Times New Roman" w:hAnsi="Times New Roman" w:cs="Times New Roman"/>
          <w:sz w:val="24"/>
          <w:szCs w:val="24"/>
        </w:rPr>
        <w:t xml:space="preserve"> Act</w:t>
      </w:r>
      <w:r>
        <w:rPr>
          <w:rFonts w:ascii="Times New Roman" w:hAnsi="Times New Roman" w:cs="Times New Roman"/>
          <w:sz w:val="24"/>
          <w:szCs w:val="24"/>
        </w:rPr>
        <w:t xml:space="preserve"> in almost</w:t>
      </w:r>
      <w:r w:rsidRPr="004E0173">
        <w:rPr>
          <w:rFonts w:ascii="Times New Roman" w:hAnsi="Times New Roman" w:cs="Times New Roman"/>
          <w:sz w:val="24"/>
          <w:szCs w:val="24"/>
        </w:rPr>
        <w:t xml:space="preserve"> </w:t>
      </w:r>
      <w:r>
        <w:rPr>
          <w:rFonts w:ascii="Times New Roman" w:hAnsi="Times New Roman" w:cs="Times New Roman"/>
          <w:sz w:val="24"/>
          <w:szCs w:val="24"/>
        </w:rPr>
        <w:t>identical terms to the corresponding definition found in the Act.</w:t>
      </w:r>
    </w:p>
    <w:p w14:paraId="4CFF7F6D" w14:textId="77777777" w:rsidR="00D75CE5" w:rsidRDefault="00D75CE5" w:rsidP="00D75CE5">
      <w:pPr>
        <w:pStyle w:val="ListParagraph"/>
        <w:numPr>
          <w:ilvl w:val="0"/>
          <w:numId w:val="4"/>
        </w:numPr>
        <w:spacing w:before="240" w:after="240"/>
        <w:rPr>
          <w:rFonts w:ascii="Times New Roman" w:hAnsi="Times New Roman" w:cs="Times New Roman"/>
          <w:sz w:val="24"/>
          <w:szCs w:val="24"/>
        </w:rPr>
      </w:pPr>
      <w:r>
        <w:rPr>
          <w:rFonts w:ascii="Times New Roman" w:hAnsi="Times New Roman" w:cs="Times New Roman"/>
          <w:sz w:val="24"/>
          <w:szCs w:val="24"/>
        </w:rPr>
        <w:t>‘Energy efficiency technologies’ are defined below in subsection 60(2) of the CEFC</w:t>
      </w:r>
      <w:r w:rsidRPr="004E0173">
        <w:rPr>
          <w:rFonts w:ascii="Times New Roman" w:hAnsi="Times New Roman" w:cs="Times New Roman"/>
          <w:sz w:val="24"/>
          <w:szCs w:val="24"/>
        </w:rPr>
        <w:t xml:space="preserve"> Act</w:t>
      </w:r>
      <w:r>
        <w:rPr>
          <w:rFonts w:ascii="Times New Roman" w:hAnsi="Times New Roman" w:cs="Times New Roman"/>
          <w:sz w:val="24"/>
          <w:szCs w:val="24"/>
        </w:rPr>
        <w:t xml:space="preserve">. That is, the term would include technologies that enable, or are otherwise related to, energy conservation technologies or demand management technologies. Beyond this, it is intended for the term to carry its ordinary meaning of a technology that facilitates </w:t>
      </w:r>
      <w:r w:rsidRPr="00D759F9">
        <w:rPr>
          <w:rFonts w:ascii="Times New Roman" w:hAnsi="Times New Roman" w:cs="Times New Roman"/>
          <w:sz w:val="24"/>
          <w:szCs w:val="24"/>
        </w:rPr>
        <w:t>reductions in energy consumption or increases in productivity relative to energy consumption.</w:t>
      </w:r>
      <w:r>
        <w:rPr>
          <w:rFonts w:ascii="Times New Roman" w:hAnsi="Times New Roman" w:cs="Times New Roman"/>
          <w:sz w:val="24"/>
          <w:szCs w:val="24"/>
        </w:rPr>
        <w:t xml:space="preserve"> ‘Technology’ here is intended to carry its widest possible meaning in the sense of extending to ideas, practices and processes as well as the more conventional software, machinery and equipment. Examples of energy efficiency technologies might include plant and machinery upgrades, </w:t>
      </w:r>
      <w:r w:rsidRPr="00116452">
        <w:rPr>
          <w:rFonts w:ascii="Times New Roman" w:hAnsi="Times New Roman" w:cs="Times New Roman"/>
          <w:sz w:val="24"/>
          <w:szCs w:val="24"/>
        </w:rPr>
        <w:t>technologies that increase the efficiency of agricultural production and</w:t>
      </w:r>
      <w:r>
        <w:rPr>
          <w:rFonts w:ascii="Times New Roman" w:hAnsi="Times New Roman" w:cs="Times New Roman"/>
          <w:sz w:val="24"/>
          <w:szCs w:val="24"/>
        </w:rPr>
        <w:t>, demand response techniques such as load shifting, energy storage, and electrification.</w:t>
      </w:r>
    </w:p>
    <w:p w14:paraId="00C85776" w14:textId="77777777" w:rsidR="00D75CE5" w:rsidRDefault="00D75CE5" w:rsidP="00D75CE5">
      <w:pPr>
        <w:pStyle w:val="ListParagraph"/>
        <w:numPr>
          <w:ilvl w:val="0"/>
          <w:numId w:val="4"/>
        </w:numPr>
        <w:spacing w:before="240" w:after="240"/>
        <w:rPr>
          <w:rFonts w:ascii="Times New Roman" w:hAnsi="Times New Roman" w:cs="Times New Roman"/>
          <w:sz w:val="24"/>
          <w:szCs w:val="24"/>
        </w:rPr>
      </w:pPr>
      <w:r>
        <w:rPr>
          <w:rFonts w:ascii="Times New Roman" w:hAnsi="Times New Roman" w:cs="Times New Roman"/>
          <w:sz w:val="24"/>
          <w:szCs w:val="24"/>
        </w:rPr>
        <w:t xml:space="preserve">‘Low-emission technologies’ are defined in subsection 60(4) of the CEFC Act and that definition references guidelines published by the CEFC and freely available from: </w:t>
      </w:r>
      <w:hyperlink r:id="rId11" w:history="1">
        <w:r w:rsidRPr="000E6191">
          <w:rPr>
            <w:rStyle w:val="Hyperlink"/>
            <w:rFonts w:ascii="Times New Roman" w:hAnsi="Times New Roman" w:cs="Times New Roman"/>
            <w:sz w:val="24"/>
            <w:szCs w:val="24"/>
          </w:rPr>
          <w:t>https://www.cefc.com.au/media/402277/cefc-complying-investments-guidelines.pdf</w:t>
        </w:r>
      </w:hyperlink>
      <w:r>
        <w:rPr>
          <w:rStyle w:val="Hyperlink"/>
          <w:rFonts w:ascii="Times New Roman" w:hAnsi="Times New Roman" w:cs="Times New Roman"/>
          <w:sz w:val="24"/>
          <w:szCs w:val="24"/>
        </w:rPr>
        <w:t>.</w:t>
      </w:r>
      <w:r>
        <w:rPr>
          <w:rFonts w:ascii="Times New Roman" w:hAnsi="Times New Roman" w:cs="Times New Roman"/>
          <w:sz w:val="24"/>
          <w:szCs w:val="24"/>
        </w:rPr>
        <w:t xml:space="preserve"> </w:t>
      </w:r>
      <w:r w:rsidRPr="000B44F8">
        <w:rPr>
          <w:rFonts w:ascii="Times New Roman" w:hAnsi="Times New Roman" w:cs="Times New Roman"/>
          <w:sz w:val="24"/>
          <w:szCs w:val="24"/>
        </w:rPr>
        <w:t xml:space="preserve"> </w:t>
      </w:r>
      <w:r>
        <w:rPr>
          <w:rFonts w:ascii="Times New Roman" w:hAnsi="Times New Roman" w:cs="Times New Roman"/>
          <w:sz w:val="24"/>
          <w:szCs w:val="24"/>
        </w:rPr>
        <w:t>They</w:t>
      </w:r>
      <w:r w:rsidRPr="000B44F8">
        <w:rPr>
          <w:rFonts w:ascii="Times New Roman" w:hAnsi="Times New Roman" w:cs="Times New Roman"/>
          <w:sz w:val="24"/>
          <w:szCs w:val="24"/>
        </w:rPr>
        <w:t xml:space="preserve"> cover </w:t>
      </w:r>
      <w:r w:rsidRPr="00116452">
        <w:rPr>
          <w:rFonts w:ascii="Times New Roman" w:hAnsi="Times New Roman" w:cs="Times New Roman"/>
          <w:sz w:val="24"/>
          <w:szCs w:val="24"/>
        </w:rPr>
        <w:t xml:space="preserve">low-, zero- and negative-emissions </w:t>
      </w:r>
      <w:r w:rsidRPr="000B44F8">
        <w:rPr>
          <w:rFonts w:ascii="Times New Roman" w:hAnsi="Times New Roman" w:cs="Times New Roman"/>
          <w:sz w:val="24"/>
          <w:szCs w:val="24"/>
        </w:rPr>
        <w:t>technologies that substantially reduce the emission of gr</w:t>
      </w:r>
      <w:r>
        <w:rPr>
          <w:rFonts w:ascii="Times New Roman" w:hAnsi="Times New Roman" w:cs="Times New Roman"/>
          <w:sz w:val="24"/>
          <w:szCs w:val="24"/>
        </w:rPr>
        <w:t xml:space="preserve">eenhouse gases relative to a baseline of the average emissions produced by the relevant activity or sector. Again, ‘technology’ here is intended to carry its widest possible meaning in the sense of extending to ideas, practices and processes as well as the more conventional software, machinery and equipment. </w:t>
      </w:r>
    </w:p>
    <w:p w14:paraId="20CFFBB2" w14:textId="77777777" w:rsidR="00D75CE5" w:rsidRPr="006F3C96" w:rsidRDefault="00D75CE5" w:rsidP="00D75CE5">
      <w:pPr>
        <w:spacing w:before="240" w:after="240"/>
        <w:rPr>
          <w:rFonts w:ascii="Times New Roman" w:hAnsi="Times New Roman" w:cs="Times New Roman"/>
          <w:sz w:val="24"/>
          <w:szCs w:val="24"/>
        </w:rPr>
      </w:pPr>
      <w:r w:rsidRPr="006F3C96">
        <w:rPr>
          <w:rFonts w:ascii="Times New Roman" w:hAnsi="Times New Roman" w:cs="Times New Roman"/>
          <w:sz w:val="24"/>
          <w:szCs w:val="24"/>
        </w:rPr>
        <w:t>“Paris Agreement” means the agreement made within the UNFCCC that was concluded in Paris on 12 December 2015,</w:t>
      </w:r>
      <w:r>
        <w:rPr>
          <w:rStyle w:val="FootnoteReference"/>
          <w:rFonts w:ascii="Times New Roman" w:hAnsi="Times New Roman" w:cs="Times New Roman"/>
          <w:sz w:val="24"/>
          <w:szCs w:val="24"/>
        </w:rPr>
        <w:footnoteReference w:id="16"/>
      </w:r>
      <w:r w:rsidRPr="006F3C96">
        <w:rPr>
          <w:rFonts w:ascii="Times New Roman" w:hAnsi="Times New Roman" w:cs="Times New Roman"/>
          <w:sz w:val="24"/>
          <w:szCs w:val="24"/>
        </w:rPr>
        <w:t xml:space="preserve"> including any amendments to that agreement which become binding on Australia in the future.</w:t>
      </w:r>
      <w:r>
        <w:rPr>
          <w:rFonts w:ascii="Times New Roman" w:hAnsi="Times New Roman" w:cs="Times New Roman"/>
          <w:sz w:val="24"/>
          <w:szCs w:val="24"/>
        </w:rPr>
        <w:t xml:space="preserve"> It is referenced to draw appropriate links to the external affairs power in the Constitution. </w:t>
      </w:r>
    </w:p>
    <w:p w14:paraId="65F7AD7C" w14:textId="77777777" w:rsidR="00D75CE5" w:rsidRPr="006745C3" w:rsidRDefault="00D75CE5" w:rsidP="00D75CE5">
      <w:pPr>
        <w:keepNext/>
        <w:spacing w:before="240" w:after="240"/>
        <w:rPr>
          <w:rFonts w:ascii="Times New Roman" w:hAnsi="Times New Roman" w:cs="Times New Roman"/>
          <w:b/>
          <w:sz w:val="24"/>
          <w:szCs w:val="24"/>
        </w:rPr>
      </w:pPr>
      <w:r>
        <w:rPr>
          <w:rFonts w:ascii="Times New Roman" w:hAnsi="Times New Roman" w:cs="Times New Roman"/>
          <w:b/>
          <w:sz w:val="24"/>
          <w:szCs w:val="24"/>
        </w:rPr>
        <w:t>Item 4 – Section 5 (heading)</w:t>
      </w:r>
    </w:p>
    <w:p w14:paraId="69C760DF"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Item 4 adds ‘Clean Energy Innovation Fund’ at the end of the heading to section 5 of the 2016 Regulation. This reflects the need to distinguish section 5 (which deals with the CEIF) from the new section 6 inserted by item 8 below (which deals with the clean energy technologies).</w:t>
      </w:r>
    </w:p>
    <w:p w14:paraId="20DC460C" w14:textId="77777777" w:rsidR="00D75CE5" w:rsidRPr="006745C3" w:rsidRDefault="00D75CE5" w:rsidP="00D75CE5">
      <w:pPr>
        <w:spacing w:before="240" w:after="240"/>
        <w:rPr>
          <w:rFonts w:ascii="Times New Roman" w:hAnsi="Times New Roman" w:cs="Times New Roman"/>
          <w:b/>
          <w:sz w:val="24"/>
          <w:szCs w:val="24"/>
        </w:rPr>
      </w:pPr>
      <w:r>
        <w:rPr>
          <w:rFonts w:ascii="Times New Roman" w:hAnsi="Times New Roman" w:cs="Times New Roman"/>
          <w:b/>
          <w:sz w:val="24"/>
          <w:szCs w:val="24"/>
        </w:rPr>
        <w:t>Item 5 – Subsection 5(1)</w:t>
      </w:r>
    </w:p>
    <w:p w14:paraId="3D77F794"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Item 5 replaces ‘For paragraph 8(f)’ at the start of subsection 5(1) of the 2016 Regulation with ‘For the purposes of paragraph 8(f)’. This minor stylistic change updates the text to reflect current drafting practices.</w:t>
      </w:r>
    </w:p>
    <w:p w14:paraId="3E61AB9A" w14:textId="77777777" w:rsidR="00D75CE5" w:rsidRPr="006745C3" w:rsidRDefault="00D75CE5" w:rsidP="00D75CE5">
      <w:pPr>
        <w:spacing w:before="240" w:after="240"/>
        <w:rPr>
          <w:rFonts w:ascii="Times New Roman" w:hAnsi="Times New Roman" w:cs="Times New Roman"/>
          <w:b/>
          <w:sz w:val="24"/>
          <w:szCs w:val="24"/>
        </w:rPr>
      </w:pPr>
      <w:r>
        <w:rPr>
          <w:rFonts w:ascii="Times New Roman" w:hAnsi="Times New Roman" w:cs="Times New Roman"/>
          <w:b/>
          <w:sz w:val="24"/>
          <w:szCs w:val="24"/>
        </w:rPr>
        <w:t>Item 6 – Paragraph 5(1)(a)</w:t>
      </w:r>
    </w:p>
    <w:p w14:paraId="44010DAF"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 xml:space="preserve">Item 6 removes ‘within the meaning of the </w:t>
      </w:r>
      <w:r w:rsidRPr="002E2453">
        <w:rPr>
          <w:rFonts w:ascii="Times New Roman" w:hAnsi="Times New Roman" w:cs="Times New Roman"/>
          <w:i/>
          <w:sz w:val="24"/>
          <w:szCs w:val="24"/>
        </w:rPr>
        <w:t>Clean Energy Finance Corporation Act 2012</w:t>
      </w:r>
      <w:r>
        <w:rPr>
          <w:rFonts w:ascii="Times New Roman" w:hAnsi="Times New Roman" w:cs="Times New Roman"/>
          <w:sz w:val="24"/>
          <w:szCs w:val="24"/>
        </w:rPr>
        <w:t>’ from paragraph 5(1)(a) of the 2016 Regulation. It has now been superseded, since the new definition of ‘clean energy technologies’ inserted into section 4 by item 2 above inserts the same meaning of the term.</w:t>
      </w:r>
    </w:p>
    <w:p w14:paraId="7776CB23" w14:textId="77777777" w:rsidR="00D75CE5" w:rsidRPr="006745C3" w:rsidRDefault="00D75CE5" w:rsidP="00D75CE5">
      <w:pPr>
        <w:spacing w:before="240" w:after="240"/>
        <w:rPr>
          <w:rFonts w:ascii="Times New Roman" w:hAnsi="Times New Roman" w:cs="Times New Roman"/>
          <w:b/>
          <w:sz w:val="24"/>
          <w:szCs w:val="24"/>
        </w:rPr>
      </w:pPr>
      <w:r>
        <w:rPr>
          <w:rFonts w:ascii="Times New Roman" w:hAnsi="Times New Roman" w:cs="Times New Roman"/>
          <w:b/>
          <w:sz w:val="24"/>
          <w:szCs w:val="24"/>
        </w:rPr>
        <w:t>Item 7 – Subsection 5(1) (note)</w:t>
      </w:r>
    </w:p>
    <w:p w14:paraId="235BF261"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Item 7 removes the note at the end of subsection 5(1) of the 2016 Regulation. This note was previously required to make it clear that the ‘ARENA’ referred to in subsection 5(1) meant the Australian Renewable Energy Agency. It has now been superseded, since the new note inserted into section 4 by item 1 above clarifies the meaning of the term.</w:t>
      </w:r>
    </w:p>
    <w:p w14:paraId="196E4609" w14:textId="77777777" w:rsidR="00D75CE5" w:rsidRPr="00B24BC9" w:rsidRDefault="00D75CE5" w:rsidP="00D75CE5">
      <w:pPr>
        <w:spacing w:before="240" w:after="240"/>
        <w:rPr>
          <w:rFonts w:ascii="Times New Roman" w:hAnsi="Times New Roman" w:cs="Times New Roman"/>
          <w:b/>
          <w:sz w:val="24"/>
          <w:szCs w:val="24"/>
        </w:rPr>
      </w:pPr>
      <w:r w:rsidRPr="00B24BC9">
        <w:rPr>
          <w:rFonts w:ascii="Times New Roman" w:hAnsi="Times New Roman" w:cs="Times New Roman"/>
          <w:b/>
          <w:sz w:val="24"/>
          <w:szCs w:val="24"/>
        </w:rPr>
        <w:t xml:space="preserve">Item </w:t>
      </w:r>
      <w:r>
        <w:rPr>
          <w:rFonts w:ascii="Times New Roman" w:hAnsi="Times New Roman" w:cs="Times New Roman"/>
          <w:b/>
          <w:sz w:val="24"/>
          <w:szCs w:val="24"/>
        </w:rPr>
        <w:t>8</w:t>
      </w:r>
      <w:r w:rsidRPr="00B24BC9">
        <w:rPr>
          <w:rFonts w:ascii="Times New Roman" w:hAnsi="Times New Roman" w:cs="Times New Roman"/>
          <w:b/>
          <w:sz w:val="24"/>
          <w:szCs w:val="24"/>
        </w:rPr>
        <w:t xml:space="preserve"> – Subsection 5(2)</w:t>
      </w:r>
    </w:p>
    <w:p w14:paraId="36819618"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Item 8 repeals subsection (2) as the definition is now included in section 4.</w:t>
      </w:r>
    </w:p>
    <w:p w14:paraId="2467F3DB" w14:textId="77777777" w:rsidR="00D75CE5" w:rsidRPr="006745C3" w:rsidRDefault="00D75CE5" w:rsidP="00D75CE5">
      <w:pPr>
        <w:spacing w:before="240" w:after="240"/>
        <w:rPr>
          <w:rFonts w:ascii="Times New Roman" w:hAnsi="Times New Roman" w:cs="Times New Roman"/>
          <w:b/>
          <w:sz w:val="24"/>
          <w:szCs w:val="24"/>
        </w:rPr>
      </w:pPr>
      <w:r>
        <w:rPr>
          <w:rFonts w:ascii="Times New Roman" w:hAnsi="Times New Roman" w:cs="Times New Roman"/>
          <w:b/>
          <w:sz w:val="24"/>
          <w:szCs w:val="24"/>
        </w:rPr>
        <w:t>Item 9 – At the end of Part 2</w:t>
      </w:r>
    </w:p>
    <w:p w14:paraId="4302E9EE"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Item 9 prescribes a new legislated function for ARENA under paragraph 8(f) of the Act, to provide financial assistance to clean energy technologies.</w:t>
      </w:r>
    </w:p>
    <w:p w14:paraId="61D53357" w14:textId="77777777" w:rsidR="00D75CE5" w:rsidRDefault="00D75CE5" w:rsidP="00D75CE5">
      <w:pPr>
        <w:keepNext/>
        <w:spacing w:before="240" w:after="240"/>
        <w:rPr>
          <w:rFonts w:ascii="Times New Roman" w:hAnsi="Times New Roman" w:cs="Times New Roman"/>
          <w:sz w:val="24"/>
          <w:szCs w:val="24"/>
        </w:rPr>
      </w:pPr>
      <w:r>
        <w:rPr>
          <w:rFonts w:ascii="Times New Roman" w:hAnsi="Times New Roman" w:cs="Times New Roman"/>
          <w:sz w:val="24"/>
          <w:szCs w:val="24"/>
        </w:rPr>
        <w:t>Specifically, new section 6 empowers ARENA to:</w:t>
      </w:r>
    </w:p>
    <w:p w14:paraId="4B1F6F51" w14:textId="77777777" w:rsidR="00D75CE5" w:rsidRPr="007E5FA7" w:rsidRDefault="00D75CE5" w:rsidP="00D75CE5">
      <w:pPr>
        <w:pStyle w:val="ListParagraph"/>
        <w:numPr>
          <w:ilvl w:val="0"/>
          <w:numId w:val="4"/>
        </w:numPr>
        <w:spacing w:before="240" w:after="240"/>
        <w:rPr>
          <w:rFonts w:ascii="Times New Roman" w:hAnsi="Times New Roman" w:cs="Times New Roman"/>
          <w:sz w:val="24"/>
          <w:szCs w:val="24"/>
        </w:rPr>
      </w:pPr>
      <w:r>
        <w:rPr>
          <w:rFonts w:ascii="Times New Roman" w:hAnsi="Times New Roman" w:cs="Times New Roman"/>
          <w:sz w:val="24"/>
          <w:szCs w:val="24"/>
        </w:rPr>
        <w:t xml:space="preserve">provide financial assistance (in the form of grants) for </w:t>
      </w:r>
      <w:r w:rsidRPr="007E5FA7">
        <w:rPr>
          <w:rFonts w:ascii="Times New Roman" w:hAnsi="Times New Roman" w:cs="Times New Roman"/>
          <w:sz w:val="24"/>
          <w:szCs w:val="24"/>
        </w:rPr>
        <w:t>research into clean energy technologies;</w:t>
      </w:r>
      <w:r>
        <w:rPr>
          <w:rFonts w:ascii="Times New Roman" w:hAnsi="Times New Roman" w:cs="Times New Roman"/>
          <w:sz w:val="24"/>
          <w:szCs w:val="24"/>
        </w:rPr>
        <w:t xml:space="preserve"> </w:t>
      </w:r>
      <w:r w:rsidRPr="007E5FA7">
        <w:rPr>
          <w:rFonts w:ascii="Times New Roman" w:hAnsi="Times New Roman" w:cs="Times New Roman"/>
          <w:sz w:val="24"/>
          <w:szCs w:val="24"/>
        </w:rPr>
        <w:t>the development, demonstration, commercialisation or deployment of clean energy technologies;</w:t>
      </w:r>
      <w:r>
        <w:rPr>
          <w:rFonts w:ascii="Times New Roman" w:hAnsi="Times New Roman" w:cs="Times New Roman"/>
          <w:sz w:val="24"/>
          <w:szCs w:val="24"/>
        </w:rPr>
        <w:t xml:space="preserve"> and </w:t>
      </w:r>
      <w:r w:rsidRPr="007E5FA7">
        <w:rPr>
          <w:rFonts w:ascii="Times New Roman" w:hAnsi="Times New Roman" w:cs="Times New Roman"/>
          <w:sz w:val="24"/>
          <w:szCs w:val="24"/>
        </w:rPr>
        <w:t>the storage and sharing of information and knowledge about clean energy technologies;</w:t>
      </w:r>
    </w:p>
    <w:p w14:paraId="0FFE40AF" w14:textId="77777777" w:rsidR="00D75CE5" w:rsidRDefault="00D75CE5" w:rsidP="00D75CE5">
      <w:pPr>
        <w:pStyle w:val="ListParagraph"/>
        <w:numPr>
          <w:ilvl w:val="0"/>
          <w:numId w:val="4"/>
        </w:numPr>
        <w:spacing w:before="240" w:after="240"/>
        <w:rPr>
          <w:rFonts w:ascii="Times New Roman" w:hAnsi="Times New Roman" w:cs="Times New Roman"/>
          <w:sz w:val="24"/>
          <w:szCs w:val="24"/>
        </w:rPr>
      </w:pPr>
      <w:r>
        <w:rPr>
          <w:rFonts w:ascii="Times New Roman" w:hAnsi="Times New Roman" w:cs="Times New Roman"/>
          <w:sz w:val="24"/>
          <w:szCs w:val="24"/>
        </w:rPr>
        <w:t>enter into and administer agreements for the purpose of providing such financial assistance;</w:t>
      </w:r>
    </w:p>
    <w:p w14:paraId="28042D47" w14:textId="77777777" w:rsidR="00D75CE5" w:rsidRDefault="00D75CE5" w:rsidP="00D75CE5">
      <w:pPr>
        <w:pStyle w:val="ListParagraph"/>
        <w:numPr>
          <w:ilvl w:val="0"/>
          <w:numId w:val="4"/>
        </w:numPr>
        <w:spacing w:before="240" w:after="240"/>
        <w:rPr>
          <w:rFonts w:ascii="Times New Roman" w:hAnsi="Times New Roman" w:cs="Times New Roman"/>
          <w:sz w:val="24"/>
          <w:szCs w:val="24"/>
        </w:rPr>
      </w:pPr>
      <w:r>
        <w:rPr>
          <w:rFonts w:ascii="Times New Roman" w:hAnsi="Times New Roman" w:cs="Times New Roman"/>
          <w:sz w:val="24"/>
          <w:szCs w:val="24"/>
        </w:rPr>
        <w:t>collect and share information and knowledge as to the outcomes of the activities so funded; and</w:t>
      </w:r>
    </w:p>
    <w:p w14:paraId="4349BD02" w14:textId="77777777" w:rsidR="00D75CE5" w:rsidRPr="00F70FFC" w:rsidRDefault="00D75CE5" w:rsidP="00D75CE5">
      <w:pPr>
        <w:pStyle w:val="ListParagraph"/>
        <w:numPr>
          <w:ilvl w:val="0"/>
          <w:numId w:val="4"/>
        </w:numPr>
        <w:spacing w:before="240" w:after="240"/>
        <w:rPr>
          <w:rFonts w:ascii="Times New Roman" w:hAnsi="Times New Roman" w:cs="Times New Roman"/>
          <w:sz w:val="24"/>
          <w:szCs w:val="24"/>
        </w:rPr>
      </w:pPr>
      <w:r>
        <w:rPr>
          <w:rFonts w:ascii="Times New Roman" w:hAnsi="Times New Roman" w:cs="Times New Roman"/>
          <w:sz w:val="24"/>
          <w:szCs w:val="24"/>
        </w:rPr>
        <w:t>liaise with State and Territory governments and other authorities to facilitate all of the above.</w:t>
      </w:r>
    </w:p>
    <w:p w14:paraId="7EE4C2C0" w14:textId="77777777" w:rsidR="00D75CE5" w:rsidRDefault="00D75CE5" w:rsidP="00D75CE5">
      <w:pPr>
        <w:keepNext/>
        <w:spacing w:before="240" w:after="240"/>
        <w:rPr>
          <w:rFonts w:ascii="Times New Roman" w:hAnsi="Times New Roman" w:cs="Times New Roman"/>
          <w:sz w:val="24"/>
          <w:szCs w:val="24"/>
        </w:rPr>
      </w:pPr>
      <w:r w:rsidRPr="00F70FFC">
        <w:rPr>
          <w:rFonts w:ascii="Times New Roman" w:hAnsi="Times New Roman" w:cs="Times New Roman"/>
          <w:sz w:val="24"/>
          <w:szCs w:val="24"/>
        </w:rPr>
        <w:t>This function</w:t>
      </w:r>
      <w:r>
        <w:rPr>
          <w:rFonts w:ascii="Times New Roman" w:hAnsi="Times New Roman" w:cs="Times New Roman"/>
          <w:sz w:val="24"/>
          <w:szCs w:val="24"/>
        </w:rPr>
        <w:t xml:space="preserve"> is modelled on paragraphs 8(a), (b), (c) and (e) of the Act and is intended to have an equivalent scope and meaning for the relevant terms, such as ‘development’, ‘demonstration’, ‘commercialisation’ and ‘deployment’.  </w:t>
      </w:r>
    </w:p>
    <w:p w14:paraId="29103577" w14:textId="77777777" w:rsidR="00D75CE5" w:rsidRDefault="00D75CE5" w:rsidP="00D75CE5">
      <w:pPr>
        <w:keepNext/>
        <w:spacing w:before="240" w:after="240"/>
        <w:rPr>
          <w:rFonts w:ascii="Times New Roman" w:hAnsi="Times New Roman" w:cs="Times New Roman"/>
          <w:sz w:val="24"/>
          <w:szCs w:val="24"/>
        </w:rPr>
      </w:pPr>
      <w:r>
        <w:rPr>
          <w:rFonts w:ascii="Times New Roman" w:hAnsi="Times New Roman" w:cs="Times New Roman"/>
          <w:sz w:val="24"/>
          <w:szCs w:val="24"/>
        </w:rPr>
        <w:t xml:space="preserve">The term financial assistance has the meaning given by the Act, so that it includes grants and can include other forms of financial assistance if prescribed by legislative instrument. </w:t>
      </w:r>
    </w:p>
    <w:p w14:paraId="6DDFD77E"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 xml:space="preserve">New section 7 confirms that the function conferred by section 6 is consistent with the Act and the external affairs power. </w:t>
      </w:r>
    </w:p>
    <w:p w14:paraId="3F5ADEA1"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Paragraph (a) ensures that the function must not be exercised inconsistent with the Act. Accordingly, when administering the new initiatives outlined above, ARENA must act in a proper, efficient and effective manner and make all investment decisions on merit.</w:t>
      </w:r>
      <w:r>
        <w:rPr>
          <w:rStyle w:val="FootnoteReference"/>
          <w:rFonts w:ascii="Times New Roman" w:hAnsi="Times New Roman" w:cs="Times New Roman"/>
          <w:sz w:val="24"/>
          <w:szCs w:val="24"/>
        </w:rPr>
        <w:footnoteReference w:id="17"/>
      </w:r>
    </w:p>
    <w:p w14:paraId="1C1BA906" w14:textId="77777777" w:rsidR="00D75CE5"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 xml:space="preserve">Paragraph (b) ensures that the function cannot extend beyond that authorised by </w:t>
      </w:r>
      <w:r w:rsidRPr="000D647E">
        <w:rPr>
          <w:rFonts w:ascii="Times New Roman" w:hAnsi="Times New Roman" w:cs="Times New Roman"/>
          <w:sz w:val="24"/>
          <w:szCs w:val="24"/>
        </w:rPr>
        <w:t>paragraph 8(f) and section 74 of the Act</w:t>
      </w:r>
      <w:r>
        <w:rPr>
          <w:rFonts w:ascii="Times New Roman" w:hAnsi="Times New Roman" w:cs="Times New Roman"/>
          <w:sz w:val="24"/>
          <w:szCs w:val="24"/>
        </w:rPr>
        <w:t>. As set out in the Purpose and Background sections of this Explanatory Statement, it was always intended that ARENA could be conferred these kinds of functions to complement the renewable energy function in paragraph 8(a) of the Act.</w:t>
      </w:r>
    </w:p>
    <w:p w14:paraId="6C2FF92F" w14:textId="77777777" w:rsidR="00D75CE5" w:rsidRPr="000D647E" w:rsidRDefault="00D75CE5" w:rsidP="00D75CE5">
      <w:pPr>
        <w:spacing w:before="240" w:after="240"/>
        <w:rPr>
          <w:rFonts w:ascii="Times New Roman" w:hAnsi="Times New Roman" w:cs="Times New Roman"/>
          <w:sz w:val="24"/>
          <w:szCs w:val="24"/>
        </w:rPr>
      </w:pPr>
      <w:r>
        <w:rPr>
          <w:rFonts w:ascii="Times New Roman" w:hAnsi="Times New Roman" w:cs="Times New Roman"/>
          <w:sz w:val="24"/>
          <w:szCs w:val="24"/>
        </w:rPr>
        <w:t xml:space="preserve">Paragraph (c) ensures that the financial assistance must be </w:t>
      </w:r>
      <w:r w:rsidRPr="000D647E">
        <w:rPr>
          <w:rFonts w:ascii="Times New Roman" w:hAnsi="Times New Roman" w:cs="Times New Roman"/>
          <w:sz w:val="24"/>
          <w:szCs w:val="24"/>
        </w:rPr>
        <w:t>in accordance with the general funding strategy that is in force under Subdivision A of Division 2 of Part 3 of the Act at the time when the agreement to provide the financial assistance is entered into</w:t>
      </w:r>
      <w:r>
        <w:rPr>
          <w:rFonts w:ascii="Times New Roman" w:hAnsi="Times New Roman" w:cs="Times New Roman"/>
          <w:sz w:val="24"/>
          <w:szCs w:val="24"/>
        </w:rPr>
        <w:t>. This is required by section 10 of the Act, but the paragraph ensures that this discipline applies to the new function in the same way as existing financial assistance. The general funding strategy</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allows ARENA to prioritise its activities consistent with its statutory framework and where it is able to deliver the greatest benefits by providing financial assistance. </w:t>
      </w:r>
    </w:p>
    <w:p w14:paraId="07776E26" w14:textId="77777777" w:rsidR="00D75CE5" w:rsidRPr="000D647E" w:rsidRDefault="00D75CE5" w:rsidP="00D75CE5">
      <w:pPr>
        <w:spacing w:before="240" w:after="240"/>
        <w:rPr>
          <w:rFonts w:ascii="Times New Roman" w:hAnsi="Times New Roman" w:cs="Times New Roman"/>
          <w:sz w:val="24"/>
          <w:szCs w:val="24"/>
        </w:rPr>
      </w:pPr>
      <w:r w:rsidRPr="000D647E">
        <w:rPr>
          <w:rFonts w:ascii="Times New Roman" w:hAnsi="Times New Roman" w:cs="Times New Roman"/>
          <w:sz w:val="24"/>
          <w:szCs w:val="24"/>
        </w:rPr>
        <w:t>Paragraph (d) ensures that the financial assistance is for the purpose of providing financial assistance for projects and other activities that could reasonably be expected to contribute to Australia meeting its obligations under</w:t>
      </w:r>
      <w:r>
        <w:rPr>
          <w:rFonts w:ascii="Times New Roman" w:hAnsi="Times New Roman" w:cs="Times New Roman"/>
          <w:sz w:val="24"/>
          <w:szCs w:val="24"/>
        </w:rPr>
        <w:t xml:space="preserve"> </w:t>
      </w:r>
      <w:r w:rsidRPr="000D647E">
        <w:rPr>
          <w:rFonts w:ascii="Times New Roman" w:hAnsi="Times New Roman" w:cs="Times New Roman"/>
          <w:sz w:val="24"/>
          <w:szCs w:val="24"/>
        </w:rPr>
        <w:t>the Climate Change Convention; o</w:t>
      </w:r>
      <w:r>
        <w:rPr>
          <w:rFonts w:ascii="Times New Roman" w:hAnsi="Times New Roman" w:cs="Times New Roman"/>
          <w:sz w:val="24"/>
          <w:szCs w:val="24"/>
        </w:rPr>
        <w:t xml:space="preserve">r </w:t>
      </w:r>
      <w:r w:rsidRPr="000D647E">
        <w:rPr>
          <w:rFonts w:ascii="Times New Roman" w:hAnsi="Times New Roman" w:cs="Times New Roman"/>
          <w:sz w:val="24"/>
          <w:szCs w:val="24"/>
        </w:rPr>
        <w:t>the Paris Agreement.</w:t>
      </w:r>
      <w:r>
        <w:rPr>
          <w:rFonts w:ascii="Times New Roman" w:hAnsi="Times New Roman" w:cs="Times New Roman"/>
          <w:sz w:val="24"/>
          <w:szCs w:val="24"/>
        </w:rPr>
        <w:t xml:space="preserve"> This ensures the projects and activities are genuinely contributing to emissions reductions, including through contribution to the technology stretch goals set out in Australia’s Nationally Determined Contribution. </w:t>
      </w:r>
    </w:p>
    <w:p w14:paraId="0BC954D7" w14:textId="77777777" w:rsidR="00D75CE5" w:rsidRPr="00F70FFC" w:rsidRDefault="00D75CE5" w:rsidP="00D75CE5">
      <w:pPr>
        <w:spacing w:before="240" w:after="240"/>
        <w:rPr>
          <w:rFonts w:ascii="Times New Roman" w:hAnsi="Times New Roman" w:cs="Times New Roman"/>
          <w:sz w:val="24"/>
          <w:szCs w:val="24"/>
        </w:rPr>
        <w:sectPr w:rsidR="00D75CE5" w:rsidRPr="00F70FF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45C875F3" w14:textId="77777777" w:rsidR="00D75CE5" w:rsidRPr="007340C0" w:rsidRDefault="00D75CE5" w:rsidP="00D75CE5">
      <w:pPr>
        <w:spacing w:before="360" w:after="120"/>
        <w:jc w:val="right"/>
        <w:rPr>
          <w:rFonts w:ascii="Times New Roman" w:hAnsi="Times New Roman" w:cs="Times New Roman"/>
          <w:b/>
          <w:sz w:val="24"/>
          <w:szCs w:val="24"/>
          <w:u w:val="single"/>
        </w:rPr>
      </w:pPr>
      <w:r w:rsidRPr="007340C0">
        <w:rPr>
          <w:rFonts w:ascii="Times New Roman" w:hAnsi="Times New Roman" w:cs="Times New Roman"/>
          <w:b/>
          <w:sz w:val="24"/>
          <w:szCs w:val="24"/>
          <w:u w:val="single"/>
        </w:rPr>
        <w:t>Attachment B</w:t>
      </w:r>
    </w:p>
    <w:p w14:paraId="3661CDCF" w14:textId="77777777" w:rsidR="00D75CE5" w:rsidRPr="00547F8D" w:rsidRDefault="00D75CE5" w:rsidP="00D75CE5">
      <w:pPr>
        <w:spacing w:before="360" w:after="120"/>
        <w:jc w:val="center"/>
        <w:rPr>
          <w:rFonts w:ascii="Times New Roman" w:hAnsi="Times New Roman" w:cs="Times New Roman"/>
          <w:b/>
          <w:sz w:val="28"/>
          <w:szCs w:val="28"/>
        </w:rPr>
      </w:pPr>
      <w:r w:rsidRPr="00547F8D">
        <w:rPr>
          <w:rFonts w:ascii="Times New Roman" w:hAnsi="Times New Roman" w:cs="Times New Roman"/>
          <w:b/>
          <w:sz w:val="28"/>
          <w:szCs w:val="28"/>
        </w:rPr>
        <w:t>Statement of Compatibility with Human Rights</w:t>
      </w:r>
    </w:p>
    <w:p w14:paraId="61215291" w14:textId="77777777" w:rsidR="00D75CE5" w:rsidRPr="00547F8D" w:rsidRDefault="00D75CE5" w:rsidP="00D75CE5">
      <w:pPr>
        <w:spacing w:before="240"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14:paraId="566972BF" w14:textId="77777777" w:rsidR="00D75CE5" w:rsidRPr="00547F8D" w:rsidRDefault="00D75CE5" w:rsidP="00D75CE5">
      <w:pPr>
        <w:spacing w:before="240" w:after="240"/>
        <w:jc w:val="center"/>
        <w:rPr>
          <w:rFonts w:ascii="Times New Roman" w:hAnsi="Times New Roman" w:cs="Times New Roman"/>
          <w:i/>
          <w:sz w:val="24"/>
          <w:szCs w:val="24"/>
        </w:rPr>
      </w:pPr>
      <w:r w:rsidRPr="005F23D9">
        <w:rPr>
          <w:rFonts w:ascii="Times New Roman" w:hAnsi="Times New Roman"/>
          <w:i/>
          <w:sz w:val="24"/>
        </w:rPr>
        <w:t>Australian Renewable Energy Agency Amendment (Clean Energy Technologies) Regulations</w:t>
      </w:r>
      <w:r>
        <w:rPr>
          <w:rFonts w:ascii="Times New Roman" w:hAnsi="Times New Roman" w:cs="Times New Roman"/>
          <w:i/>
          <w:sz w:val="24"/>
          <w:szCs w:val="24"/>
        </w:rPr>
        <w:t> </w:t>
      </w:r>
      <w:r w:rsidRPr="007340C0">
        <w:rPr>
          <w:rFonts w:ascii="Times New Roman" w:hAnsi="Times New Roman" w:cs="Times New Roman"/>
          <w:i/>
          <w:sz w:val="24"/>
          <w:szCs w:val="24"/>
        </w:rPr>
        <w:t>202</w:t>
      </w:r>
      <w:r>
        <w:rPr>
          <w:rFonts w:ascii="Times New Roman" w:hAnsi="Times New Roman" w:cs="Times New Roman"/>
          <w:i/>
          <w:sz w:val="24"/>
          <w:szCs w:val="24"/>
        </w:rPr>
        <w:t>2</w:t>
      </w:r>
    </w:p>
    <w:p w14:paraId="2663DCB5" w14:textId="77777777" w:rsidR="00D75CE5" w:rsidRPr="00547F8D" w:rsidRDefault="00D75CE5" w:rsidP="00D75CE5">
      <w:pPr>
        <w:spacing w:before="240" w:after="240"/>
        <w:jc w:val="center"/>
        <w:rPr>
          <w:rFonts w:ascii="Times New Roman" w:hAnsi="Times New Roman" w:cs="Times New Roman"/>
          <w:sz w:val="24"/>
          <w:szCs w:val="24"/>
        </w:rPr>
      </w:pPr>
      <w:r w:rsidRPr="00547F8D">
        <w:rPr>
          <w:rFonts w:ascii="Times New Roman" w:hAnsi="Times New Roman" w:cs="Times New Roman"/>
          <w:sz w:val="24"/>
          <w:szCs w:val="24"/>
        </w:rPr>
        <w:t xml:space="preserve">This </w:t>
      </w:r>
      <w:r>
        <w:rPr>
          <w:rFonts w:ascii="Times New Roman" w:hAnsi="Times New Roman" w:cs="Times New Roman"/>
          <w:sz w:val="24"/>
          <w:szCs w:val="24"/>
        </w:rPr>
        <w:t>regulation</w:t>
      </w:r>
      <w:r w:rsidRPr="00547F8D">
        <w:rPr>
          <w:rFonts w:ascii="Times New Roman" w:hAnsi="Times New Roman" w:cs="Times New Roman"/>
          <w:sz w:val="24"/>
          <w:szCs w:val="24"/>
        </w:rPr>
        <w:t xml:space="preserve"> is compatible with the human rights and freedoms recognised or declared in the international instruments listed in section 3 of the </w:t>
      </w:r>
      <w:r w:rsidRPr="00547F8D">
        <w:rPr>
          <w:rFonts w:ascii="Times New Roman" w:hAnsi="Times New Roman" w:cs="Times New Roman"/>
          <w:i/>
          <w:sz w:val="24"/>
          <w:szCs w:val="24"/>
        </w:rPr>
        <w:t>Human Rights (Parliamentary Scrutiny) Act 2011</w:t>
      </w:r>
      <w:r w:rsidRPr="00547F8D">
        <w:rPr>
          <w:rFonts w:ascii="Times New Roman" w:hAnsi="Times New Roman" w:cs="Times New Roman"/>
          <w:sz w:val="24"/>
          <w:szCs w:val="24"/>
        </w:rPr>
        <w:t>.</w:t>
      </w:r>
    </w:p>
    <w:p w14:paraId="6016E4FE" w14:textId="77777777" w:rsidR="00D75CE5" w:rsidRPr="00547F8D" w:rsidRDefault="00D75CE5" w:rsidP="00D75CE5">
      <w:pPr>
        <w:spacing w:before="240" w:after="240"/>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14:paraId="695BCAEC" w14:textId="77777777" w:rsidR="00D75CE5" w:rsidRPr="00547F8D" w:rsidRDefault="00D75CE5" w:rsidP="00D75CE5">
      <w:pPr>
        <w:spacing w:before="120" w:after="120"/>
        <w:rPr>
          <w:rFonts w:ascii="Times New Roman" w:hAnsi="Times New Roman" w:cs="Times New Roman"/>
          <w:sz w:val="24"/>
          <w:szCs w:val="24"/>
        </w:rPr>
      </w:pPr>
      <w:r w:rsidRPr="008523DB">
        <w:rPr>
          <w:rFonts w:ascii="Times New Roman" w:hAnsi="Times New Roman" w:cs="Times New Roman"/>
          <w:sz w:val="24"/>
          <w:szCs w:val="24"/>
        </w:rPr>
        <w:t>T</w:t>
      </w:r>
      <w:r>
        <w:rPr>
          <w:rFonts w:ascii="Times New Roman" w:hAnsi="Times New Roman" w:cs="Times New Roman"/>
          <w:sz w:val="24"/>
          <w:szCs w:val="24"/>
        </w:rPr>
        <w:t>he</w:t>
      </w:r>
      <w:r w:rsidRPr="008523DB">
        <w:rPr>
          <w:rFonts w:ascii="Times New Roman" w:hAnsi="Times New Roman" w:cs="Times New Roman"/>
          <w:sz w:val="24"/>
          <w:szCs w:val="24"/>
        </w:rPr>
        <w:t xml:space="preserve"> </w:t>
      </w:r>
      <w:r w:rsidRPr="007340C0">
        <w:rPr>
          <w:rFonts w:ascii="Times New Roman" w:hAnsi="Times New Roman" w:cs="Times New Roman"/>
          <w:i/>
          <w:sz w:val="24"/>
          <w:szCs w:val="24"/>
        </w:rPr>
        <w:t>Australian Renewable Energy Agency Amendment (Clean Energy Technologies) Regulations 2022</w:t>
      </w:r>
      <w:r>
        <w:rPr>
          <w:rFonts w:ascii="Times New Roman" w:hAnsi="Times New Roman" w:cs="Times New Roman"/>
          <w:sz w:val="24"/>
          <w:szCs w:val="24"/>
        </w:rPr>
        <w:t xml:space="preserve"> (the Regulations)</w:t>
      </w:r>
      <w:r w:rsidRPr="008523DB">
        <w:rPr>
          <w:rFonts w:ascii="Times New Roman" w:hAnsi="Times New Roman" w:cs="Times New Roman"/>
          <w:sz w:val="24"/>
          <w:szCs w:val="24"/>
        </w:rPr>
        <w:t xml:space="preserve"> </w:t>
      </w:r>
      <w:r>
        <w:rPr>
          <w:rFonts w:ascii="Times New Roman" w:hAnsi="Times New Roman" w:cs="Times New Roman"/>
          <w:sz w:val="24"/>
          <w:szCs w:val="24"/>
        </w:rPr>
        <w:t>expand</w:t>
      </w:r>
      <w:r w:rsidRPr="008523DB">
        <w:rPr>
          <w:rFonts w:ascii="Times New Roman" w:hAnsi="Times New Roman" w:cs="Times New Roman"/>
          <w:sz w:val="24"/>
          <w:szCs w:val="24"/>
        </w:rPr>
        <w:t xml:space="preserve"> the operating remit of the Australian Renewable Energy Agency to permit it to invest in a wider range of clean energy technologies</w:t>
      </w:r>
      <w:r>
        <w:rPr>
          <w:rFonts w:ascii="Times New Roman" w:hAnsi="Times New Roman" w:cs="Times New Roman"/>
          <w:sz w:val="24"/>
          <w:szCs w:val="24"/>
        </w:rPr>
        <w:t xml:space="preserve">. They amend the </w:t>
      </w:r>
      <w:r w:rsidRPr="005F1A78">
        <w:rPr>
          <w:rFonts w:ascii="Times New Roman" w:hAnsi="Times New Roman" w:cs="Times New Roman"/>
          <w:i/>
          <w:sz w:val="24"/>
          <w:szCs w:val="24"/>
        </w:rPr>
        <w:t>Australian Renewable Energy Regulation 2016</w:t>
      </w:r>
      <w:r>
        <w:rPr>
          <w:rFonts w:ascii="Times New Roman" w:hAnsi="Times New Roman" w:cs="Times New Roman"/>
          <w:sz w:val="24"/>
          <w:szCs w:val="24"/>
        </w:rPr>
        <w:t xml:space="preserve"> to include a new function of supporting various activities relating to clean energy technologies. </w:t>
      </w:r>
      <w:r w:rsidRPr="008523DB">
        <w:rPr>
          <w:rFonts w:ascii="Times New Roman" w:hAnsi="Times New Roman" w:cs="Times New Roman"/>
          <w:sz w:val="24"/>
          <w:szCs w:val="24"/>
        </w:rPr>
        <w:t>.</w:t>
      </w:r>
    </w:p>
    <w:p w14:paraId="0184BA19" w14:textId="77777777" w:rsidR="00D75CE5" w:rsidRPr="00547F8D" w:rsidRDefault="00D75CE5" w:rsidP="00D75CE5">
      <w:pPr>
        <w:spacing w:before="240" w:after="240"/>
        <w:rPr>
          <w:rFonts w:ascii="Times New Roman" w:hAnsi="Times New Roman" w:cs="Times New Roman"/>
          <w:b/>
          <w:sz w:val="24"/>
          <w:szCs w:val="24"/>
        </w:rPr>
      </w:pPr>
      <w:r w:rsidRPr="00547F8D">
        <w:rPr>
          <w:rFonts w:ascii="Times New Roman" w:hAnsi="Times New Roman" w:cs="Times New Roman"/>
          <w:b/>
          <w:sz w:val="24"/>
          <w:szCs w:val="24"/>
        </w:rPr>
        <w:t>Human rights implications</w:t>
      </w:r>
    </w:p>
    <w:p w14:paraId="5BE3F5F2" w14:textId="77777777" w:rsidR="00D75CE5" w:rsidRPr="00547F8D" w:rsidRDefault="00D75CE5" w:rsidP="00D75CE5">
      <w:pPr>
        <w:spacing w:before="120" w:after="120"/>
        <w:rPr>
          <w:rFonts w:ascii="Times New Roman" w:hAnsi="Times New Roman" w:cs="Times New Roman"/>
          <w:sz w:val="24"/>
          <w:szCs w:val="24"/>
        </w:rPr>
      </w:pPr>
      <w:r w:rsidRPr="00547F8D">
        <w:rPr>
          <w:rFonts w:ascii="Times New Roman" w:hAnsi="Times New Roman" w:cs="Times New Roman"/>
          <w:sz w:val="24"/>
          <w:szCs w:val="24"/>
        </w:rPr>
        <w:t>Th</w:t>
      </w:r>
      <w:r>
        <w:rPr>
          <w:rFonts w:ascii="Times New Roman" w:hAnsi="Times New Roman" w:cs="Times New Roman"/>
          <w:sz w:val="24"/>
          <w:szCs w:val="24"/>
        </w:rPr>
        <w:t>e</w:t>
      </w:r>
      <w:r w:rsidRPr="00547F8D">
        <w:rPr>
          <w:rFonts w:ascii="Times New Roman" w:hAnsi="Times New Roman" w:cs="Times New Roman"/>
          <w:sz w:val="24"/>
          <w:szCs w:val="24"/>
        </w:rPr>
        <w:t xml:space="preserve"> </w:t>
      </w:r>
      <w:r>
        <w:rPr>
          <w:rFonts w:ascii="Times New Roman" w:hAnsi="Times New Roman" w:cs="Times New Roman"/>
          <w:sz w:val="24"/>
          <w:szCs w:val="24"/>
        </w:rPr>
        <w:t>Regulations</w:t>
      </w:r>
      <w:r w:rsidRPr="00547F8D">
        <w:rPr>
          <w:rFonts w:ascii="Times New Roman" w:hAnsi="Times New Roman" w:cs="Times New Roman"/>
          <w:sz w:val="24"/>
          <w:szCs w:val="24"/>
        </w:rPr>
        <w:t xml:space="preserve"> </w:t>
      </w:r>
      <w:r>
        <w:rPr>
          <w:rFonts w:ascii="Times New Roman" w:hAnsi="Times New Roman" w:cs="Times New Roman"/>
          <w:sz w:val="24"/>
          <w:szCs w:val="24"/>
        </w:rPr>
        <w:t>do</w:t>
      </w:r>
      <w:r w:rsidRPr="00547F8D">
        <w:rPr>
          <w:rFonts w:ascii="Times New Roman" w:hAnsi="Times New Roman" w:cs="Times New Roman"/>
          <w:sz w:val="24"/>
          <w:szCs w:val="24"/>
        </w:rPr>
        <w:t xml:space="preserve"> not engage any of the applicable rights or freedoms.</w:t>
      </w:r>
    </w:p>
    <w:p w14:paraId="535F2CD7" w14:textId="77777777" w:rsidR="00D75CE5" w:rsidRPr="00547F8D" w:rsidRDefault="00D75CE5" w:rsidP="00D75CE5">
      <w:pPr>
        <w:spacing w:before="240" w:after="240"/>
        <w:rPr>
          <w:rFonts w:ascii="Times New Roman" w:hAnsi="Times New Roman" w:cs="Times New Roman"/>
          <w:b/>
          <w:sz w:val="24"/>
          <w:szCs w:val="24"/>
        </w:rPr>
      </w:pPr>
      <w:r w:rsidRPr="00547F8D">
        <w:rPr>
          <w:rFonts w:ascii="Times New Roman" w:hAnsi="Times New Roman" w:cs="Times New Roman"/>
          <w:b/>
          <w:sz w:val="24"/>
          <w:szCs w:val="24"/>
        </w:rPr>
        <w:t>Conclusion</w:t>
      </w:r>
    </w:p>
    <w:p w14:paraId="054816F1" w14:textId="77777777" w:rsidR="00D75CE5" w:rsidRPr="00547F8D" w:rsidRDefault="00D75CE5" w:rsidP="00D75CE5">
      <w:pPr>
        <w:spacing w:before="120" w:after="120"/>
        <w:rPr>
          <w:rFonts w:ascii="Times New Roman" w:hAnsi="Times New Roman" w:cs="Times New Roman"/>
          <w:sz w:val="24"/>
          <w:szCs w:val="24"/>
        </w:rPr>
      </w:pPr>
      <w:r w:rsidRPr="00547F8D">
        <w:rPr>
          <w:rFonts w:ascii="Times New Roman" w:hAnsi="Times New Roman" w:cs="Times New Roman"/>
          <w:sz w:val="24"/>
          <w:szCs w:val="24"/>
        </w:rPr>
        <w:t>Th</w:t>
      </w:r>
      <w:r>
        <w:rPr>
          <w:rFonts w:ascii="Times New Roman" w:hAnsi="Times New Roman" w:cs="Times New Roman"/>
          <w:sz w:val="24"/>
          <w:szCs w:val="24"/>
        </w:rPr>
        <w:t>e</w:t>
      </w:r>
      <w:r w:rsidRPr="00547F8D">
        <w:rPr>
          <w:rFonts w:ascii="Times New Roman" w:hAnsi="Times New Roman" w:cs="Times New Roman"/>
          <w:sz w:val="24"/>
          <w:szCs w:val="24"/>
        </w:rPr>
        <w:t xml:space="preserve"> </w:t>
      </w:r>
      <w:r>
        <w:rPr>
          <w:rFonts w:ascii="Times New Roman" w:hAnsi="Times New Roman" w:cs="Times New Roman"/>
          <w:sz w:val="24"/>
          <w:szCs w:val="24"/>
        </w:rPr>
        <w:t>Regulations</w:t>
      </w:r>
      <w:r w:rsidRPr="00547F8D">
        <w:rPr>
          <w:rFonts w:ascii="Times New Roman" w:hAnsi="Times New Roman" w:cs="Times New Roman"/>
          <w:sz w:val="24"/>
          <w:szCs w:val="24"/>
        </w:rPr>
        <w:t xml:space="preserve"> </w:t>
      </w:r>
      <w:r>
        <w:rPr>
          <w:rFonts w:ascii="Times New Roman" w:hAnsi="Times New Roman" w:cs="Times New Roman"/>
          <w:sz w:val="24"/>
          <w:szCs w:val="24"/>
        </w:rPr>
        <w:t>are</w:t>
      </w:r>
      <w:r w:rsidRPr="00547F8D">
        <w:rPr>
          <w:rFonts w:ascii="Times New Roman" w:hAnsi="Times New Roman" w:cs="Times New Roman"/>
          <w:sz w:val="24"/>
          <w:szCs w:val="24"/>
        </w:rPr>
        <w:t xml:space="preserve"> compatible with human rights as it does not raise any human rights issues.</w:t>
      </w:r>
    </w:p>
    <w:p w14:paraId="39A4BF11" w14:textId="77777777" w:rsidR="00D75CE5" w:rsidRPr="00547F8D" w:rsidRDefault="00D75CE5" w:rsidP="00D75CE5">
      <w:pPr>
        <w:spacing w:before="120" w:after="120"/>
        <w:jc w:val="center"/>
        <w:rPr>
          <w:rFonts w:ascii="Times New Roman" w:hAnsi="Times New Roman" w:cs="Times New Roman"/>
          <w:sz w:val="24"/>
          <w:szCs w:val="24"/>
        </w:rPr>
      </w:pPr>
    </w:p>
    <w:p w14:paraId="0042CCC4" w14:textId="77777777" w:rsidR="00D75CE5" w:rsidRDefault="00D75CE5" w:rsidP="00D75CE5">
      <w:pPr>
        <w:spacing w:before="120" w:after="120"/>
        <w:jc w:val="center"/>
        <w:rPr>
          <w:rFonts w:ascii="Times New Roman" w:hAnsi="Times New Roman" w:cs="Times New Roman"/>
          <w:b/>
          <w:sz w:val="24"/>
          <w:szCs w:val="24"/>
        </w:rPr>
      </w:pPr>
      <w:r>
        <w:rPr>
          <w:rFonts w:ascii="Times New Roman" w:hAnsi="Times New Roman" w:cs="Times New Roman"/>
          <w:b/>
          <w:sz w:val="24"/>
          <w:szCs w:val="24"/>
        </w:rPr>
        <w:t>The Hon Angus Taylor MP</w:t>
      </w:r>
    </w:p>
    <w:p w14:paraId="1DB629A9" w14:textId="77777777" w:rsidR="00D75CE5" w:rsidRPr="00547F8D" w:rsidRDefault="00D75CE5" w:rsidP="00D75CE5">
      <w:pPr>
        <w:spacing w:before="120" w:after="120"/>
        <w:jc w:val="center"/>
        <w:rPr>
          <w:rFonts w:ascii="Times New Roman" w:hAnsi="Times New Roman" w:cs="Times New Roman"/>
          <w:b/>
          <w:sz w:val="24"/>
          <w:szCs w:val="24"/>
        </w:rPr>
      </w:pPr>
      <w:r>
        <w:rPr>
          <w:rFonts w:ascii="Times New Roman" w:hAnsi="Times New Roman" w:cs="Times New Roman"/>
          <w:b/>
          <w:sz w:val="24"/>
          <w:szCs w:val="24"/>
        </w:rPr>
        <w:t>Minister for Industry, Energy and Emissions Reduction</w:t>
      </w:r>
    </w:p>
    <w:p w14:paraId="7069038C" w14:textId="77777777" w:rsidR="00D75CE5" w:rsidRDefault="00D75CE5" w:rsidP="00D75CE5">
      <w:pPr>
        <w:rPr>
          <w:rFonts w:ascii="Times New Roman" w:hAnsi="Times New Roman" w:cs="Times New Roman"/>
          <w:b/>
          <w:sz w:val="24"/>
          <w:szCs w:val="24"/>
          <w:u w:val="single"/>
        </w:rPr>
      </w:pPr>
    </w:p>
    <w:p w14:paraId="4CC30B24" w14:textId="730A1421" w:rsidR="00962D61" w:rsidRDefault="00962D61">
      <w:pPr>
        <w:rPr>
          <w:rFonts w:ascii="Times New Roman" w:hAnsi="Times New Roman" w:cs="Times New Roman"/>
          <w:b/>
          <w:sz w:val="24"/>
          <w:szCs w:val="24"/>
          <w:u w:val="single"/>
        </w:rPr>
      </w:pPr>
    </w:p>
    <w:sectPr w:rsidR="00962D6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506A5" w14:textId="77777777" w:rsidR="00753572" w:rsidRDefault="00753572" w:rsidP="00E42561">
      <w:pPr>
        <w:spacing w:after="0" w:line="240" w:lineRule="auto"/>
      </w:pPr>
      <w:r>
        <w:separator/>
      </w:r>
    </w:p>
  </w:endnote>
  <w:endnote w:type="continuationSeparator" w:id="0">
    <w:p w14:paraId="481CC9CC" w14:textId="77777777" w:rsidR="00753572" w:rsidRDefault="00753572" w:rsidP="00E42561">
      <w:pPr>
        <w:spacing w:after="0" w:line="240" w:lineRule="auto"/>
      </w:pPr>
      <w:r>
        <w:continuationSeparator/>
      </w:r>
    </w:p>
  </w:endnote>
  <w:endnote w:type="continuationNotice" w:id="1">
    <w:p w14:paraId="2EDECA34" w14:textId="77777777" w:rsidR="00753572" w:rsidRDefault="007535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00351" w14:textId="77777777" w:rsidR="00D75CE5" w:rsidRDefault="00D75C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315701"/>
      <w:docPartObj>
        <w:docPartGallery w:val="Page Numbers (Bottom of Page)"/>
        <w:docPartUnique/>
      </w:docPartObj>
    </w:sdtPr>
    <w:sdtEndPr>
      <w:rPr>
        <w:noProof/>
      </w:rPr>
    </w:sdtEndPr>
    <w:sdtContent>
      <w:p w14:paraId="605DD229" w14:textId="77777777" w:rsidR="00D75CE5" w:rsidRDefault="00D75CE5">
        <w:pPr>
          <w:pStyle w:val="Footer"/>
          <w:jc w:val="right"/>
        </w:pPr>
        <w:r>
          <w:fldChar w:fldCharType="begin"/>
        </w:r>
        <w:r>
          <w:instrText xml:space="preserve"> PAGE   \* MERGEFORMAT </w:instrText>
        </w:r>
        <w:r>
          <w:fldChar w:fldCharType="separate"/>
        </w:r>
        <w:r w:rsidR="002A4E89">
          <w:rPr>
            <w:noProof/>
          </w:rPr>
          <w:t>10</w:t>
        </w:r>
        <w:r>
          <w:rPr>
            <w:noProof/>
          </w:rPr>
          <w:fldChar w:fldCharType="end"/>
        </w:r>
      </w:p>
    </w:sdtContent>
  </w:sdt>
  <w:p w14:paraId="0A544657" w14:textId="77777777" w:rsidR="00D75CE5" w:rsidRDefault="00D75C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C6860" w14:textId="77777777" w:rsidR="00D75CE5" w:rsidRDefault="00D75C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7500B" w14:textId="77777777" w:rsidR="00962D61" w:rsidRDefault="00962D6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76856"/>
      <w:docPartObj>
        <w:docPartGallery w:val="Page Numbers (Bottom of Page)"/>
        <w:docPartUnique/>
      </w:docPartObj>
    </w:sdtPr>
    <w:sdtEndPr>
      <w:rPr>
        <w:noProof/>
      </w:rPr>
    </w:sdtEndPr>
    <w:sdtContent>
      <w:p w14:paraId="3C1B7A39" w14:textId="77777777" w:rsidR="00962D61" w:rsidRDefault="00962D61">
        <w:pPr>
          <w:pStyle w:val="Footer"/>
          <w:jc w:val="right"/>
        </w:pPr>
        <w:r>
          <w:fldChar w:fldCharType="begin"/>
        </w:r>
        <w:r>
          <w:instrText xml:space="preserve"> PAGE   \* MERGEFORMAT </w:instrText>
        </w:r>
        <w:r>
          <w:fldChar w:fldCharType="separate"/>
        </w:r>
        <w:r w:rsidR="002A4E89">
          <w:rPr>
            <w:noProof/>
          </w:rPr>
          <w:t>11</w:t>
        </w:r>
        <w:r>
          <w:rPr>
            <w:noProof/>
          </w:rPr>
          <w:fldChar w:fldCharType="end"/>
        </w:r>
      </w:p>
    </w:sdtContent>
  </w:sdt>
  <w:p w14:paraId="052CA611" w14:textId="77777777" w:rsidR="00962D61" w:rsidRDefault="00962D6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E95D0" w14:textId="77777777" w:rsidR="00962D61" w:rsidRDefault="00962D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AD4C3" w14:textId="77777777" w:rsidR="00753572" w:rsidRDefault="00753572" w:rsidP="00E42561">
      <w:pPr>
        <w:spacing w:after="0" w:line="240" w:lineRule="auto"/>
      </w:pPr>
      <w:r>
        <w:separator/>
      </w:r>
    </w:p>
  </w:footnote>
  <w:footnote w:type="continuationSeparator" w:id="0">
    <w:p w14:paraId="7D90F9C1" w14:textId="77777777" w:rsidR="00753572" w:rsidRDefault="00753572" w:rsidP="00E42561">
      <w:pPr>
        <w:spacing w:after="0" w:line="240" w:lineRule="auto"/>
      </w:pPr>
      <w:r>
        <w:continuationSeparator/>
      </w:r>
    </w:p>
  </w:footnote>
  <w:footnote w:type="continuationNotice" w:id="1">
    <w:p w14:paraId="0413AEBC" w14:textId="77777777" w:rsidR="00753572" w:rsidRDefault="00753572">
      <w:pPr>
        <w:spacing w:after="0" w:line="240" w:lineRule="auto"/>
      </w:pPr>
    </w:p>
  </w:footnote>
  <w:footnote w:id="2">
    <w:p w14:paraId="07BA0135" w14:textId="77777777" w:rsidR="00D75CE5" w:rsidRDefault="00D75CE5" w:rsidP="00D75CE5">
      <w:pPr>
        <w:pStyle w:val="FootnoteText"/>
      </w:pPr>
      <w:r>
        <w:rPr>
          <w:rStyle w:val="FootnoteReference"/>
        </w:rPr>
        <w:footnoteRef/>
      </w:r>
      <w:r>
        <w:t xml:space="preserve"> See the definition of “financial assistance” in section 4 of the Act.</w:t>
      </w:r>
    </w:p>
  </w:footnote>
  <w:footnote w:id="3">
    <w:p w14:paraId="05CCFEBD" w14:textId="77777777" w:rsidR="00D75CE5" w:rsidRDefault="00D75CE5" w:rsidP="00D75CE5">
      <w:pPr>
        <w:pStyle w:val="FootnoteText"/>
      </w:pPr>
      <w:r>
        <w:rPr>
          <w:rStyle w:val="FootnoteReference"/>
        </w:rPr>
        <w:footnoteRef/>
      </w:r>
      <w:r>
        <w:t xml:space="preserve"> The Technology Investment Roadmap refers to the Government policy of the same name, under which five priority low-emission technologies were identified in the first Annual Low Emissions Technology Statement, with further new and emerging technologies to be identified</w:t>
      </w:r>
      <w:r w:rsidRPr="00AE5C00">
        <w:t xml:space="preserve"> </w:t>
      </w:r>
      <w:r>
        <w:t xml:space="preserve">for future investment. See further </w:t>
      </w:r>
      <w:hyperlink r:id="rId1" w:history="1">
        <w:r w:rsidRPr="0029637F">
          <w:rPr>
            <w:rStyle w:val="Hyperlink"/>
          </w:rPr>
          <w:t>https://www.industry.gov.au/data-and-publications/technology-investment-roadmap-first-low-emissions-technology-statement-2020</w:t>
        </w:r>
      </w:hyperlink>
      <w:r>
        <w:t xml:space="preserve">. The second Low Emissions Technology Statement is available at: </w:t>
      </w:r>
      <w:hyperlink r:id="rId2" w:history="1">
        <w:r w:rsidRPr="000E6191">
          <w:rPr>
            <w:rStyle w:val="Hyperlink"/>
          </w:rPr>
          <w:t>https://www.industry.gov.au/data-and-publications/technology-investment-roadmap-low-emissions-technology-statement-2021</w:t>
        </w:r>
      </w:hyperlink>
      <w:r>
        <w:t xml:space="preserve"> </w:t>
      </w:r>
    </w:p>
  </w:footnote>
  <w:footnote w:id="4">
    <w:p w14:paraId="245539C8" w14:textId="77777777" w:rsidR="00D75CE5" w:rsidRDefault="00D75CE5" w:rsidP="00D75CE5">
      <w:pPr>
        <w:pStyle w:val="FootnoteText"/>
      </w:pPr>
      <w:r>
        <w:rPr>
          <w:rStyle w:val="FootnoteReference"/>
        </w:rPr>
        <w:footnoteRef/>
      </w:r>
      <w:r>
        <w:t xml:space="preserve"> For the avoidance of doubt, the range of technologies in play would include renewable, low-, zero- and negative-emissions technologies, as well as technologies that enable each of these.</w:t>
      </w:r>
    </w:p>
  </w:footnote>
  <w:footnote w:id="5">
    <w:p w14:paraId="74966C12" w14:textId="77777777" w:rsidR="00D75CE5" w:rsidRDefault="00D75CE5" w:rsidP="00D75CE5">
      <w:pPr>
        <w:pStyle w:val="FootnoteText"/>
      </w:pPr>
      <w:r>
        <w:rPr>
          <w:rStyle w:val="FootnoteReference"/>
        </w:rPr>
        <w:footnoteRef/>
      </w:r>
      <w:r>
        <w:t xml:space="preserve"> See Budget 2020-21, </w:t>
      </w:r>
      <w:r>
        <w:rPr>
          <w:i/>
        </w:rPr>
        <w:t>Budget Paper No. 2: Budget Measures</w:t>
      </w:r>
      <w:r>
        <w:t>, pp.118-119.</w:t>
      </w:r>
    </w:p>
  </w:footnote>
  <w:footnote w:id="6">
    <w:p w14:paraId="49BCD424" w14:textId="77777777" w:rsidR="00D75CE5" w:rsidRDefault="00D75CE5" w:rsidP="00D75CE5">
      <w:pPr>
        <w:pStyle w:val="FootnoteText"/>
      </w:pPr>
      <w:r>
        <w:rPr>
          <w:rStyle w:val="FootnoteReference"/>
        </w:rPr>
        <w:footnoteRef/>
      </w:r>
      <w:r>
        <w:t xml:space="preserve"> Note that, while the general funding for these programs was announced in the 2020-21 Budget, the final names for some of the programs were only settled subsequent to the release of the Budget papers.</w:t>
      </w:r>
    </w:p>
  </w:footnote>
  <w:footnote w:id="7">
    <w:p w14:paraId="6C234E9B" w14:textId="77777777" w:rsidR="00D75CE5" w:rsidRDefault="00D75CE5" w:rsidP="00D75CE5">
      <w:pPr>
        <w:pStyle w:val="FootnoteText"/>
      </w:pPr>
      <w:r>
        <w:rPr>
          <w:rStyle w:val="FootnoteReference"/>
        </w:rPr>
        <w:footnoteRef/>
      </w:r>
      <w:r>
        <w:t xml:space="preserve"> </w:t>
      </w:r>
      <w:r>
        <w:tab/>
        <w:t xml:space="preserve">See </w:t>
      </w:r>
      <w:r w:rsidRPr="00E96549">
        <w:t>https://budget.gov.au/2021-22/content/myefo/index.htm</w:t>
      </w:r>
    </w:p>
  </w:footnote>
  <w:footnote w:id="8">
    <w:p w14:paraId="218B6EDF" w14:textId="77777777" w:rsidR="00D75CE5" w:rsidRDefault="00D75CE5" w:rsidP="00D75CE5">
      <w:pPr>
        <w:pStyle w:val="FootnoteText"/>
      </w:pPr>
      <w:r>
        <w:rPr>
          <w:rStyle w:val="FootnoteReference"/>
        </w:rPr>
        <w:footnoteRef/>
      </w:r>
      <w:r>
        <w:t xml:space="preserve"> </w:t>
      </w:r>
      <w:r>
        <w:tab/>
        <w:t xml:space="preserve">See </w:t>
      </w:r>
      <w:r w:rsidRPr="00E96549">
        <w:t>https://arena.gov.au/news/arena-to-lead-australia-germanys-hygate-initiative/</w:t>
      </w:r>
      <w:r>
        <w:t>.</w:t>
      </w:r>
    </w:p>
  </w:footnote>
  <w:footnote w:id="9">
    <w:p w14:paraId="7D291D7A" w14:textId="77777777" w:rsidR="00D75CE5" w:rsidRDefault="00D75CE5" w:rsidP="00D75CE5">
      <w:pPr>
        <w:pStyle w:val="FootnoteText"/>
      </w:pPr>
      <w:r>
        <w:rPr>
          <w:rStyle w:val="FootnoteReference"/>
        </w:rPr>
        <w:footnoteRef/>
      </w:r>
      <w:r>
        <w:t xml:space="preserve"> See </w:t>
      </w:r>
      <w:r w:rsidRPr="003612F0">
        <w:t>paragraphs 9(a) and (b) of the Act</w:t>
      </w:r>
      <w:r>
        <w:t>.</w:t>
      </w:r>
    </w:p>
  </w:footnote>
  <w:footnote w:id="10">
    <w:p w14:paraId="2D5CC190" w14:textId="77777777" w:rsidR="00D75CE5" w:rsidRDefault="00D75CE5" w:rsidP="00D75CE5">
      <w:pPr>
        <w:pStyle w:val="FootnoteText"/>
      </w:pPr>
      <w:r>
        <w:rPr>
          <w:rStyle w:val="FootnoteReference"/>
        </w:rPr>
        <w:footnoteRef/>
      </w:r>
      <w:r>
        <w:t xml:space="preserve"> See </w:t>
      </w:r>
      <w:r w:rsidRPr="003612F0">
        <w:t>section 14 of the Act.</w:t>
      </w:r>
    </w:p>
  </w:footnote>
  <w:footnote w:id="11">
    <w:p w14:paraId="5A7A8F0C" w14:textId="77777777" w:rsidR="00D75CE5" w:rsidRDefault="00D75CE5" w:rsidP="00D75CE5">
      <w:pPr>
        <w:pStyle w:val="FootnoteText"/>
      </w:pPr>
      <w:r>
        <w:rPr>
          <w:rStyle w:val="FootnoteReference"/>
        </w:rPr>
        <w:footnoteRef/>
      </w:r>
      <w:r>
        <w:t xml:space="preserve"> [1994] ATS 2. Available at </w:t>
      </w:r>
      <w:hyperlink r:id="rId3" w:history="1">
        <w:r w:rsidRPr="00AA4F8D">
          <w:rPr>
            <w:rStyle w:val="Hyperlink"/>
          </w:rPr>
          <w:t>http://www.austlii.edu.au/au/other/dfat/treaties/1994/2.html</w:t>
        </w:r>
      </w:hyperlink>
      <w:r>
        <w:t>.</w:t>
      </w:r>
    </w:p>
  </w:footnote>
  <w:footnote w:id="12">
    <w:p w14:paraId="2ACEA21E" w14:textId="77777777" w:rsidR="00D75CE5" w:rsidRDefault="00D75CE5" w:rsidP="00D75CE5">
      <w:pPr>
        <w:pStyle w:val="FootnoteText"/>
      </w:pPr>
      <w:r>
        <w:rPr>
          <w:rStyle w:val="FootnoteReference"/>
        </w:rPr>
        <w:footnoteRef/>
      </w:r>
      <w:r>
        <w:t xml:space="preserve"> See article 4.1(b).</w:t>
      </w:r>
    </w:p>
  </w:footnote>
  <w:footnote w:id="13">
    <w:p w14:paraId="542E1BCF" w14:textId="77777777" w:rsidR="00D75CE5" w:rsidRDefault="00D75CE5" w:rsidP="00D75CE5">
      <w:pPr>
        <w:pStyle w:val="FootnoteText"/>
      </w:pPr>
      <w:r>
        <w:rPr>
          <w:rStyle w:val="FootnoteReference"/>
        </w:rPr>
        <w:footnoteRef/>
      </w:r>
      <w:r>
        <w:t xml:space="preserve"> See article 4.1(c).</w:t>
      </w:r>
    </w:p>
  </w:footnote>
  <w:footnote w:id="14">
    <w:p w14:paraId="07EDB5E9" w14:textId="77777777" w:rsidR="00D75CE5" w:rsidRDefault="00D75CE5" w:rsidP="00D75CE5">
      <w:pPr>
        <w:pStyle w:val="FootnoteText"/>
      </w:pPr>
      <w:r>
        <w:rPr>
          <w:rStyle w:val="FootnoteReference"/>
        </w:rPr>
        <w:footnoteRef/>
      </w:r>
      <w:r>
        <w:t xml:space="preserve"> See article 4.2(a).</w:t>
      </w:r>
    </w:p>
  </w:footnote>
  <w:footnote w:id="15">
    <w:p w14:paraId="456859BA" w14:textId="77777777" w:rsidR="00D75CE5" w:rsidRDefault="00D75CE5" w:rsidP="00D75CE5">
      <w:pPr>
        <w:pStyle w:val="FootnoteText"/>
      </w:pPr>
      <w:r>
        <w:rPr>
          <w:rStyle w:val="FootnoteReference"/>
        </w:rPr>
        <w:footnoteRef/>
      </w:r>
      <w:r>
        <w:t xml:space="preserve"> [2016] ATS 24. Available at </w:t>
      </w:r>
      <w:hyperlink r:id="rId4" w:history="1">
        <w:r w:rsidRPr="00AA4F8D">
          <w:rPr>
            <w:rStyle w:val="Hyperlink"/>
          </w:rPr>
          <w:t>http://www.austlii.edu.au/au/other/dfat/treaties/ATS/2016/24.html</w:t>
        </w:r>
      </w:hyperlink>
      <w:r>
        <w:t>.</w:t>
      </w:r>
    </w:p>
  </w:footnote>
  <w:footnote w:id="16">
    <w:p w14:paraId="4F47033F" w14:textId="77777777" w:rsidR="00D75CE5" w:rsidRDefault="00D75CE5" w:rsidP="00D75CE5">
      <w:pPr>
        <w:pStyle w:val="FootnoteText"/>
      </w:pPr>
      <w:r>
        <w:rPr>
          <w:rStyle w:val="FootnoteReference"/>
        </w:rPr>
        <w:footnoteRef/>
      </w:r>
      <w:r>
        <w:t xml:space="preserve"> Freely available at </w:t>
      </w:r>
      <w:hyperlink r:id="rId5" w:history="1">
        <w:r>
          <w:rPr>
            <w:rStyle w:val="Hyperlink"/>
          </w:rPr>
          <w:t>http://www.austlii.edu.au/au/other/dfat/treaties/ATS/2016/24.html</w:t>
        </w:r>
      </w:hyperlink>
      <w:r>
        <w:t>.</w:t>
      </w:r>
    </w:p>
  </w:footnote>
  <w:footnote w:id="17">
    <w:p w14:paraId="72545715" w14:textId="77777777" w:rsidR="00D75CE5" w:rsidRDefault="00D75CE5" w:rsidP="00D75CE5">
      <w:pPr>
        <w:pStyle w:val="FootnoteText"/>
      </w:pPr>
      <w:r>
        <w:rPr>
          <w:rStyle w:val="FootnoteReference"/>
        </w:rPr>
        <w:footnoteRef/>
      </w:r>
      <w:r>
        <w:t xml:space="preserve"> See </w:t>
      </w:r>
      <w:r w:rsidRPr="003612F0">
        <w:t xml:space="preserve">paragraphs 9(a) and (b) of </w:t>
      </w:r>
      <w:r>
        <w:t>the Act.</w:t>
      </w:r>
    </w:p>
  </w:footnote>
  <w:footnote w:id="18">
    <w:p w14:paraId="289DC09C" w14:textId="77777777" w:rsidR="00D75CE5" w:rsidRDefault="00D75CE5" w:rsidP="00D75CE5">
      <w:pPr>
        <w:pStyle w:val="FootnoteText"/>
      </w:pPr>
      <w:r>
        <w:rPr>
          <w:rStyle w:val="FootnoteReference"/>
        </w:rPr>
        <w:footnoteRef/>
      </w:r>
      <w:r>
        <w:t xml:space="preserve"> See the </w:t>
      </w:r>
      <w:hyperlink r:id="rId6" w:history="1">
        <w:r w:rsidRPr="005F1A78">
          <w:rPr>
            <w:rStyle w:val="Hyperlink"/>
            <w:i/>
          </w:rPr>
          <w:t>Australian Renewable Energy Agency (General Funding Strategy) Determination 2021 (legislation.gov.au)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27727" w14:textId="77777777" w:rsidR="00D75CE5" w:rsidRDefault="00D75C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9FD5A" w14:textId="77777777" w:rsidR="00D75CE5" w:rsidRDefault="00D75C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B37FB" w14:textId="77777777" w:rsidR="00D75CE5" w:rsidRDefault="00D75C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43641" w14:textId="77777777" w:rsidR="00962D61" w:rsidRDefault="00962D6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5009A" w14:textId="77777777" w:rsidR="00962D61" w:rsidRDefault="00962D6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63CDA" w14:textId="77777777" w:rsidR="00962D61" w:rsidRDefault="00962D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E1452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C30546"/>
    <w:multiLevelType w:val="hybridMultilevel"/>
    <w:tmpl w:val="033E9EFE"/>
    <w:lvl w:ilvl="0" w:tplc="04CC4406">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E06C8"/>
    <w:multiLevelType w:val="hybridMultilevel"/>
    <w:tmpl w:val="3A9A94F4"/>
    <w:lvl w:ilvl="0" w:tplc="ADCAC37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FB3558"/>
    <w:multiLevelType w:val="hybridMultilevel"/>
    <w:tmpl w:val="647455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DC51C4"/>
    <w:multiLevelType w:val="hybridMultilevel"/>
    <w:tmpl w:val="390CED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EE0B04"/>
    <w:multiLevelType w:val="hybridMultilevel"/>
    <w:tmpl w:val="A34C2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113559"/>
    <w:multiLevelType w:val="hybridMultilevel"/>
    <w:tmpl w:val="C31CC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5B62E8"/>
    <w:multiLevelType w:val="hybridMultilevel"/>
    <w:tmpl w:val="65F86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0B6CC0"/>
    <w:multiLevelType w:val="hybridMultilevel"/>
    <w:tmpl w:val="9A682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356D38"/>
    <w:multiLevelType w:val="hybridMultilevel"/>
    <w:tmpl w:val="63144CAE"/>
    <w:lvl w:ilvl="0" w:tplc="74A65E70">
      <w:start w:val="1"/>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A43C0B"/>
    <w:multiLevelType w:val="multilevel"/>
    <w:tmpl w:val="A8C03F7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A7C674A"/>
    <w:multiLevelType w:val="hybridMultilevel"/>
    <w:tmpl w:val="9E48B1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3"/>
  </w:num>
  <w:num w:numId="5">
    <w:abstractNumId w:val="10"/>
  </w:num>
  <w:num w:numId="6">
    <w:abstractNumId w:val="0"/>
  </w:num>
  <w:num w:numId="7">
    <w:abstractNumId w:val="6"/>
  </w:num>
  <w:num w:numId="8">
    <w:abstractNumId w:val="8"/>
  </w:num>
  <w:num w:numId="9">
    <w:abstractNumId w:val="1"/>
  </w:num>
  <w:num w:numId="10">
    <w:abstractNumId w:val="2"/>
  </w:num>
  <w:num w:numId="11">
    <w:abstractNumId w:val="3"/>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0147B"/>
    <w:rsid w:val="00006EA5"/>
    <w:rsid w:val="0002610F"/>
    <w:rsid w:val="00032C20"/>
    <w:rsid w:val="00037095"/>
    <w:rsid w:val="000415B3"/>
    <w:rsid w:val="00045F67"/>
    <w:rsid w:val="00072D86"/>
    <w:rsid w:val="0008146E"/>
    <w:rsid w:val="00084D2A"/>
    <w:rsid w:val="0009395F"/>
    <w:rsid w:val="00097B00"/>
    <w:rsid w:val="000A06D8"/>
    <w:rsid w:val="000A0D12"/>
    <w:rsid w:val="000A4300"/>
    <w:rsid w:val="000B44F8"/>
    <w:rsid w:val="000C1556"/>
    <w:rsid w:val="000D0E22"/>
    <w:rsid w:val="000D216E"/>
    <w:rsid w:val="000D647E"/>
    <w:rsid w:val="000E379B"/>
    <w:rsid w:val="000E407C"/>
    <w:rsid w:val="001024EB"/>
    <w:rsid w:val="0011287E"/>
    <w:rsid w:val="001143A0"/>
    <w:rsid w:val="00116452"/>
    <w:rsid w:val="00123821"/>
    <w:rsid w:val="00131B0D"/>
    <w:rsid w:val="0013767C"/>
    <w:rsid w:val="0014524C"/>
    <w:rsid w:val="00151C0E"/>
    <w:rsid w:val="00153FE0"/>
    <w:rsid w:val="00155655"/>
    <w:rsid w:val="00156049"/>
    <w:rsid w:val="001645A6"/>
    <w:rsid w:val="00166501"/>
    <w:rsid w:val="00167FDB"/>
    <w:rsid w:val="00172C33"/>
    <w:rsid w:val="00176597"/>
    <w:rsid w:val="00176AF3"/>
    <w:rsid w:val="0018117F"/>
    <w:rsid w:val="00190CAD"/>
    <w:rsid w:val="00190CBD"/>
    <w:rsid w:val="001942B2"/>
    <w:rsid w:val="001A1320"/>
    <w:rsid w:val="001A3C05"/>
    <w:rsid w:val="001A3FF8"/>
    <w:rsid w:val="001B176A"/>
    <w:rsid w:val="001B5C1B"/>
    <w:rsid w:val="001B67BD"/>
    <w:rsid w:val="001C6234"/>
    <w:rsid w:val="001D0B4D"/>
    <w:rsid w:val="001E0F69"/>
    <w:rsid w:val="001E2339"/>
    <w:rsid w:val="001E30DC"/>
    <w:rsid w:val="001F0092"/>
    <w:rsid w:val="001F30BA"/>
    <w:rsid w:val="001F6870"/>
    <w:rsid w:val="00224D40"/>
    <w:rsid w:val="002268D2"/>
    <w:rsid w:val="00227184"/>
    <w:rsid w:val="00235817"/>
    <w:rsid w:val="00240EB2"/>
    <w:rsid w:val="002425CB"/>
    <w:rsid w:val="00247BB8"/>
    <w:rsid w:val="0025187F"/>
    <w:rsid w:val="00256660"/>
    <w:rsid w:val="00261E95"/>
    <w:rsid w:val="00270007"/>
    <w:rsid w:val="00274B82"/>
    <w:rsid w:val="0028278F"/>
    <w:rsid w:val="002865B8"/>
    <w:rsid w:val="00286775"/>
    <w:rsid w:val="002A2B82"/>
    <w:rsid w:val="002A4E89"/>
    <w:rsid w:val="002A6329"/>
    <w:rsid w:val="002B2841"/>
    <w:rsid w:val="002B59AE"/>
    <w:rsid w:val="002C07F2"/>
    <w:rsid w:val="002E0C47"/>
    <w:rsid w:val="002E2453"/>
    <w:rsid w:val="002E3895"/>
    <w:rsid w:val="002F0584"/>
    <w:rsid w:val="002F4974"/>
    <w:rsid w:val="003007B9"/>
    <w:rsid w:val="003045AC"/>
    <w:rsid w:val="0031087C"/>
    <w:rsid w:val="00311161"/>
    <w:rsid w:val="00317ADF"/>
    <w:rsid w:val="00317BE3"/>
    <w:rsid w:val="00330C75"/>
    <w:rsid w:val="00331402"/>
    <w:rsid w:val="00341482"/>
    <w:rsid w:val="00342DB2"/>
    <w:rsid w:val="00345DC0"/>
    <w:rsid w:val="003474EC"/>
    <w:rsid w:val="00350EF6"/>
    <w:rsid w:val="00355AF3"/>
    <w:rsid w:val="003612F0"/>
    <w:rsid w:val="00366EF0"/>
    <w:rsid w:val="0037065B"/>
    <w:rsid w:val="0037442C"/>
    <w:rsid w:val="00375E5D"/>
    <w:rsid w:val="003877BB"/>
    <w:rsid w:val="00390318"/>
    <w:rsid w:val="003A4BF9"/>
    <w:rsid w:val="003A74D5"/>
    <w:rsid w:val="003B14B9"/>
    <w:rsid w:val="003B5559"/>
    <w:rsid w:val="003B7886"/>
    <w:rsid w:val="003D2949"/>
    <w:rsid w:val="003E088F"/>
    <w:rsid w:val="003E0CF5"/>
    <w:rsid w:val="003E5159"/>
    <w:rsid w:val="003F11F1"/>
    <w:rsid w:val="003F63B7"/>
    <w:rsid w:val="00406AA9"/>
    <w:rsid w:val="004109DF"/>
    <w:rsid w:val="00411BD8"/>
    <w:rsid w:val="00414314"/>
    <w:rsid w:val="00417B74"/>
    <w:rsid w:val="00417D80"/>
    <w:rsid w:val="00421A1D"/>
    <w:rsid w:val="00422162"/>
    <w:rsid w:val="004273F0"/>
    <w:rsid w:val="004323BD"/>
    <w:rsid w:val="0043289D"/>
    <w:rsid w:val="00436E79"/>
    <w:rsid w:val="00441589"/>
    <w:rsid w:val="004435B0"/>
    <w:rsid w:val="004452E7"/>
    <w:rsid w:val="00447770"/>
    <w:rsid w:val="00450553"/>
    <w:rsid w:val="004553F4"/>
    <w:rsid w:val="0047041C"/>
    <w:rsid w:val="00474E6B"/>
    <w:rsid w:val="004777EF"/>
    <w:rsid w:val="004A0313"/>
    <w:rsid w:val="004A4E4B"/>
    <w:rsid w:val="004A5A92"/>
    <w:rsid w:val="004A6040"/>
    <w:rsid w:val="004A6F46"/>
    <w:rsid w:val="004A72AD"/>
    <w:rsid w:val="004E0173"/>
    <w:rsid w:val="004E1B7F"/>
    <w:rsid w:val="004E3D11"/>
    <w:rsid w:val="004F1AD6"/>
    <w:rsid w:val="004F2AC3"/>
    <w:rsid w:val="004F5FA7"/>
    <w:rsid w:val="00500FB4"/>
    <w:rsid w:val="00526B18"/>
    <w:rsid w:val="0053132E"/>
    <w:rsid w:val="00534BC8"/>
    <w:rsid w:val="0053679D"/>
    <w:rsid w:val="0053708F"/>
    <w:rsid w:val="00540122"/>
    <w:rsid w:val="005421AC"/>
    <w:rsid w:val="00542F15"/>
    <w:rsid w:val="00547F8D"/>
    <w:rsid w:val="0055213E"/>
    <w:rsid w:val="00557762"/>
    <w:rsid w:val="00560021"/>
    <w:rsid w:val="00565450"/>
    <w:rsid w:val="00574C45"/>
    <w:rsid w:val="00584B4B"/>
    <w:rsid w:val="00587A00"/>
    <w:rsid w:val="005935FD"/>
    <w:rsid w:val="0059585B"/>
    <w:rsid w:val="005A0F7A"/>
    <w:rsid w:val="005B3905"/>
    <w:rsid w:val="005B3AD1"/>
    <w:rsid w:val="005B555D"/>
    <w:rsid w:val="005C1F86"/>
    <w:rsid w:val="005D25C9"/>
    <w:rsid w:val="005F1A78"/>
    <w:rsid w:val="005F2113"/>
    <w:rsid w:val="005F380D"/>
    <w:rsid w:val="005F5605"/>
    <w:rsid w:val="005F5E0B"/>
    <w:rsid w:val="006076CB"/>
    <w:rsid w:val="00613B42"/>
    <w:rsid w:val="00616FA5"/>
    <w:rsid w:val="0062577A"/>
    <w:rsid w:val="006472E0"/>
    <w:rsid w:val="00657C66"/>
    <w:rsid w:val="006616B3"/>
    <w:rsid w:val="00662B5C"/>
    <w:rsid w:val="00665F21"/>
    <w:rsid w:val="006745C3"/>
    <w:rsid w:val="0068145E"/>
    <w:rsid w:val="00682A13"/>
    <w:rsid w:val="006933A2"/>
    <w:rsid w:val="006A3C8B"/>
    <w:rsid w:val="006B06DA"/>
    <w:rsid w:val="006B464E"/>
    <w:rsid w:val="006D031C"/>
    <w:rsid w:val="006E0681"/>
    <w:rsid w:val="006E1FAE"/>
    <w:rsid w:val="006F3C96"/>
    <w:rsid w:val="0072013F"/>
    <w:rsid w:val="00724952"/>
    <w:rsid w:val="0072540E"/>
    <w:rsid w:val="00732FF5"/>
    <w:rsid w:val="00753572"/>
    <w:rsid w:val="0076388D"/>
    <w:rsid w:val="007762C7"/>
    <w:rsid w:val="007A7756"/>
    <w:rsid w:val="007B3CD2"/>
    <w:rsid w:val="007B6B3E"/>
    <w:rsid w:val="007B7661"/>
    <w:rsid w:val="007B7D1A"/>
    <w:rsid w:val="007D042A"/>
    <w:rsid w:val="007D19EA"/>
    <w:rsid w:val="007D3DB0"/>
    <w:rsid w:val="007D58A0"/>
    <w:rsid w:val="007D5AD6"/>
    <w:rsid w:val="007E4E3E"/>
    <w:rsid w:val="007E5FA7"/>
    <w:rsid w:val="007E7615"/>
    <w:rsid w:val="007F2ACC"/>
    <w:rsid w:val="007F5B2F"/>
    <w:rsid w:val="00801018"/>
    <w:rsid w:val="00806363"/>
    <w:rsid w:val="008070F2"/>
    <w:rsid w:val="0081481B"/>
    <w:rsid w:val="0081655F"/>
    <w:rsid w:val="00820C5F"/>
    <w:rsid w:val="00837342"/>
    <w:rsid w:val="008423F0"/>
    <w:rsid w:val="00847D3B"/>
    <w:rsid w:val="008523DB"/>
    <w:rsid w:val="0085456C"/>
    <w:rsid w:val="008552FF"/>
    <w:rsid w:val="00856127"/>
    <w:rsid w:val="008617E3"/>
    <w:rsid w:val="00861B4C"/>
    <w:rsid w:val="008670CD"/>
    <w:rsid w:val="008703E1"/>
    <w:rsid w:val="00870E32"/>
    <w:rsid w:val="00871CF1"/>
    <w:rsid w:val="0087277A"/>
    <w:rsid w:val="008750A9"/>
    <w:rsid w:val="008769DD"/>
    <w:rsid w:val="00882263"/>
    <w:rsid w:val="00893044"/>
    <w:rsid w:val="0089496D"/>
    <w:rsid w:val="00895485"/>
    <w:rsid w:val="008A2288"/>
    <w:rsid w:val="008A671C"/>
    <w:rsid w:val="008B339D"/>
    <w:rsid w:val="008C258A"/>
    <w:rsid w:val="008C2AF5"/>
    <w:rsid w:val="008C34D1"/>
    <w:rsid w:val="008C4C60"/>
    <w:rsid w:val="008C6684"/>
    <w:rsid w:val="008E0284"/>
    <w:rsid w:val="008E1373"/>
    <w:rsid w:val="008E5FA5"/>
    <w:rsid w:val="008F35D7"/>
    <w:rsid w:val="008F496A"/>
    <w:rsid w:val="00905A49"/>
    <w:rsid w:val="00905BE7"/>
    <w:rsid w:val="0091097F"/>
    <w:rsid w:val="009144AC"/>
    <w:rsid w:val="0091613E"/>
    <w:rsid w:val="00921F20"/>
    <w:rsid w:val="00934062"/>
    <w:rsid w:val="00936A60"/>
    <w:rsid w:val="009449FD"/>
    <w:rsid w:val="00952BE5"/>
    <w:rsid w:val="00953532"/>
    <w:rsid w:val="0095719B"/>
    <w:rsid w:val="00962D61"/>
    <w:rsid w:val="00973CE4"/>
    <w:rsid w:val="009832A3"/>
    <w:rsid w:val="009910A0"/>
    <w:rsid w:val="0099172B"/>
    <w:rsid w:val="009942D9"/>
    <w:rsid w:val="00996155"/>
    <w:rsid w:val="009A0CED"/>
    <w:rsid w:val="009A282B"/>
    <w:rsid w:val="009A5406"/>
    <w:rsid w:val="009A5452"/>
    <w:rsid w:val="009B01F6"/>
    <w:rsid w:val="009B57A4"/>
    <w:rsid w:val="009B6989"/>
    <w:rsid w:val="009C39A7"/>
    <w:rsid w:val="009E470B"/>
    <w:rsid w:val="009E7308"/>
    <w:rsid w:val="009F14D0"/>
    <w:rsid w:val="009F4393"/>
    <w:rsid w:val="009F4EF7"/>
    <w:rsid w:val="00A04877"/>
    <w:rsid w:val="00A229E4"/>
    <w:rsid w:val="00A41B18"/>
    <w:rsid w:val="00A61154"/>
    <w:rsid w:val="00A71087"/>
    <w:rsid w:val="00A81A16"/>
    <w:rsid w:val="00AA0C45"/>
    <w:rsid w:val="00AA4B8B"/>
    <w:rsid w:val="00AB1E10"/>
    <w:rsid w:val="00AB2C20"/>
    <w:rsid w:val="00AB7696"/>
    <w:rsid w:val="00AC030C"/>
    <w:rsid w:val="00AC39A6"/>
    <w:rsid w:val="00AC5FA2"/>
    <w:rsid w:val="00AC6D9E"/>
    <w:rsid w:val="00AD0224"/>
    <w:rsid w:val="00AD2425"/>
    <w:rsid w:val="00AD5596"/>
    <w:rsid w:val="00AE2240"/>
    <w:rsid w:val="00AE563E"/>
    <w:rsid w:val="00AE5C00"/>
    <w:rsid w:val="00AF3C3E"/>
    <w:rsid w:val="00B0799D"/>
    <w:rsid w:val="00B07AEF"/>
    <w:rsid w:val="00B23686"/>
    <w:rsid w:val="00B24BC9"/>
    <w:rsid w:val="00B3208B"/>
    <w:rsid w:val="00B343CD"/>
    <w:rsid w:val="00B462D8"/>
    <w:rsid w:val="00B475A1"/>
    <w:rsid w:val="00B50EB6"/>
    <w:rsid w:val="00B54417"/>
    <w:rsid w:val="00B60483"/>
    <w:rsid w:val="00B667D6"/>
    <w:rsid w:val="00B73903"/>
    <w:rsid w:val="00B73AF8"/>
    <w:rsid w:val="00B80E14"/>
    <w:rsid w:val="00B93A6C"/>
    <w:rsid w:val="00BA32B9"/>
    <w:rsid w:val="00BB534A"/>
    <w:rsid w:val="00BC5C4E"/>
    <w:rsid w:val="00BE5961"/>
    <w:rsid w:val="00BF06FC"/>
    <w:rsid w:val="00BF44D4"/>
    <w:rsid w:val="00BF67EE"/>
    <w:rsid w:val="00C00671"/>
    <w:rsid w:val="00C00BD0"/>
    <w:rsid w:val="00C032FF"/>
    <w:rsid w:val="00C116A8"/>
    <w:rsid w:val="00C162D5"/>
    <w:rsid w:val="00C16783"/>
    <w:rsid w:val="00C24E46"/>
    <w:rsid w:val="00C3738B"/>
    <w:rsid w:val="00C4504A"/>
    <w:rsid w:val="00C522B3"/>
    <w:rsid w:val="00C827D1"/>
    <w:rsid w:val="00C9024F"/>
    <w:rsid w:val="00C923B6"/>
    <w:rsid w:val="00C93D58"/>
    <w:rsid w:val="00CA0AD8"/>
    <w:rsid w:val="00CB0486"/>
    <w:rsid w:val="00CB1789"/>
    <w:rsid w:val="00CB2B1A"/>
    <w:rsid w:val="00CB4867"/>
    <w:rsid w:val="00CB48EA"/>
    <w:rsid w:val="00CC39AC"/>
    <w:rsid w:val="00CC5DEC"/>
    <w:rsid w:val="00CE70F8"/>
    <w:rsid w:val="00D00450"/>
    <w:rsid w:val="00D101DE"/>
    <w:rsid w:val="00D1411E"/>
    <w:rsid w:val="00D2186B"/>
    <w:rsid w:val="00D308D7"/>
    <w:rsid w:val="00D33DA7"/>
    <w:rsid w:val="00D355A4"/>
    <w:rsid w:val="00D37462"/>
    <w:rsid w:val="00D45D8E"/>
    <w:rsid w:val="00D45DFF"/>
    <w:rsid w:val="00D470FF"/>
    <w:rsid w:val="00D47900"/>
    <w:rsid w:val="00D57511"/>
    <w:rsid w:val="00D62784"/>
    <w:rsid w:val="00D71AED"/>
    <w:rsid w:val="00D759F9"/>
    <w:rsid w:val="00D75CE5"/>
    <w:rsid w:val="00D77936"/>
    <w:rsid w:val="00D77ED5"/>
    <w:rsid w:val="00D80E00"/>
    <w:rsid w:val="00D861D1"/>
    <w:rsid w:val="00D91F7F"/>
    <w:rsid w:val="00D94F1C"/>
    <w:rsid w:val="00DA036F"/>
    <w:rsid w:val="00DA236D"/>
    <w:rsid w:val="00DB1D9B"/>
    <w:rsid w:val="00DB4CEA"/>
    <w:rsid w:val="00DB7EAF"/>
    <w:rsid w:val="00DC0976"/>
    <w:rsid w:val="00DC622F"/>
    <w:rsid w:val="00DC7A32"/>
    <w:rsid w:val="00DD0F54"/>
    <w:rsid w:val="00DD0FD3"/>
    <w:rsid w:val="00DD658E"/>
    <w:rsid w:val="00DE1CEB"/>
    <w:rsid w:val="00DE4CA4"/>
    <w:rsid w:val="00DE580F"/>
    <w:rsid w:val="00DF155E"/>
    <w:rsid w:val="00DF78AE"/>
    <w:rsid w:val="00E01C92"/>
    <w:rsid w:val="00E05CD8"/>
    <w:rsid w:val="00E06824"/>
    <w:rsid w:val="00E1768D"/>
    <w:rsid w:val="00E3252D"/>
    <w:rsid w:val="00E35545"/>
    <w:rsid w:val="00E36F8B"/>
    <w:rsid w:val="00E42561"/>
    <w:rsid w:val="00E43AEB"/>
    <w:rsid w:val="00E50F91"/>
    <w:rsid w:val="00E545E5"/>
    <w:rsid w:val="00E55343"/>
    <w:rsid w:val="00E63A33"/>
    <w:rsid w:val="00E64D73"/>
    <w:rsid w:val="00E67697"/>
    <w:rsid w:val="00E80D78"/>
    <w:rsid w:val="00E92CBC"/>
    <w:rsid w:val="00E96549"/>
    <w:rsid w:val="00EA27B1"/>
    <w:rsid w:val="00EB3542"/>
    <w:rsid w:val="00EB668F"/>
    <w:rsid w:val="00EB673F"/>
    <w:rsid w:val="00EB6B51"/>
    <w:rsid w:val="00EC59EE"/>
    <w:rsid w:val="00EC7D4B"/>
    <w:rsid w:val="00ED448D"/>
    <w:rsid w:val="00ED4F9B"/>
    <w:rsid w:val="00EE064E"/>
    <w:rsid w:val="00EE4D59"/>
    <w:rsid w:val="00EE4FBD"/>
    <w:rsid w:val="00EE50C4"/>
    <w:rsid w:val="00EF0C7C"/>
    <w:rsid w:val="00EF6A81"/>
    <w:rsid w:val="00EF6DA8"/>
    <w:rsid w:val="00F01F73"/>
    <w:rsid w:val="00F0250B"/>
    <w:rsid w:val="00F05F4B"/>
    <w:rsid w:val="00F06492"/>
    <w:rsid w:val="00F131A9"/>
    <w:rsid w:val="00F15220"/>
    <w:rsid w:val="00F16DC8"/>
    <w:rsid w:val="00F434B4"/>
    <w:rsid w:val="00F506F8"/>
    <w:rsid w:val="00F52CA5"/>
    <w:rsid w:val="00F53381"/>
    <w:rsid w:val="00F60400"/>
    <w:rsid w:val="00F70FFC"/>
    <w:rsid w:val="00F869D0"/>
    <w:rsid w:val="00F87E68"/>
    <w:rsid w:val="00F87ED2"/>
    <w:rsid w:val="00F909DA"/>
    <w:rsid w:val="00F94594"/>
    <w:rsid w:val="00F95594"/>
    <w:rsid w:val="00FA4B9B"/>
    <w:rsid w:val="00FA51A1"/>
    <w:rsid w:val="00FA633D"/>
    <w:rsid w:val="00FA6ACB"/>
    <w:rsid w:val="00FC0375"/>
    <w:rsid w:val="00FD73D4"/>
    <w:rsid w:val="00FE450D"/>
    <w:rsid w:val="00FF3059"/>
    <w:rsid w:val="00FF5218"/>
    <w:rsid w:val="00FF7EF7"/>
    <w:rsid w:val="00FF7F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D9DA35"/>
  <w15:docId w15:val="{A67DCEC1-9A43-4AF4-8AD9-D59961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6B18"/>
    <w:pPr>
      <w:ind w:left="720"/>
      <w:contextualSpacing/>
    </w:pPr>
  </w:style>
  <w:style w:type="character" w:customStyle="1" w:styleId="ListParagraphChar">
    <w:name w:val="List Paragraph Char"/>
    <w:link w:val="ListParagraph"/>
    <w:locked/>
    <w:rsid w:val="00526B18"/>
  </w:style>
  <w:style w:type="paragraph" w:customStyle="1" w:styleId="Bullet">
    <w:name w:val="Bullet"/>
    <w:basedOn w:val="Normal"/>
    <w:link w:val="BulletChar"/>
    <w:rsid w:val="00E42561"/>
    <w:pPr>
      <w:numPr>
        <w:numId w:val="5"/>
      </w:numPr>
      <w:spacing w:before="240" w:after="120" w:line="240" w:lineRule="auto"/>
    </w:pPr>
    <w:rPr>
      <w:rFonts w:ascii="Times New Roman" w:eastAsia="Times New Roman" w:hAnsi="Times New Roman" w:cs="Times New Roman"/>
      <w:sz w:val="24"/>
      <w:szCs w:val="23"/>
      <w:lang w:eastAsia="en-AU"/>
    </w:rPr>
  </w:style>
  <w:style w:type="character" w:customStyle="1" w:styleId="BulletChar">
    <w:name w:val="Bullet Char"/>
    <w:basedOn w:val="DefaultParagraphFont"/>
    <w:link w:val="Bullet"/>
    <w:rsid w:val="00E42561"/>
    <w:rPr>
      <w:rFonts w:ascii="Times New Roman" w:eastAsia="Times New Roman" w:hAnsi="Times New Roman" w:cs="Times New Roman"/>
      <w:sz w:val="24"/>
      <w:szCs w:val="23"/>
      <w:lang w:eastAsia="en-AU"/>
    </w:rPr>
  </w:style>
  <w:style w:type="paragraph" w:customStyle="1" w:styleId="Dash">
    <w:name w:val="Dash"/>
    <w:basedOn w:val="Normal"/>
    <w:rsid w:val="00E42561"/>
    <w:pPr>
      <w:numPr>
        <w:ilvl w:val="1"/>
        <w:numId w:val="5"/>
      </w:numPr>
      <w:spacing w:before="240" w:after="120" w:line="240" w:lineRule="auto"/>
    </w:pPr>
    <w:rPr>
      <w:rFonts w:ascii="Times New Roman" w:eastAsia="Times New Roman" w:hAnsi="Times New Roman" w:cs="Times New Roman"/>
      <w:sz w:val="24"/>
      <w:szCs w:val="23"/>
      <w:lang w:eastAsia="en-AU"/>
    </w:rPr>
  </w:style>
  <w:style w:type="paragraph" w:customStyle="1" w:styleId="DoubleDot">
    <w:name w:val="Double Dot"/>
    <w:basedOn w:val="Normal"/>
    <w:rsid w:val="00E42561"/>
    <w:pPr>
      <w:numPr>
        <w:ilvl w:val="2"/>
        <w:numId w:val="5"/>
      </w:numPr>
      <w:spacing w:before="240" w:after="120" w:line="240" w:lineRule="auto"/>
    </w:pPr>
    <w:rPr>
      <w:rFonts w:ascii="Times New Roman" w:eastAsia="Times New Roman" w:hAnsi="Times New Roman" w:cs="Times New Roman"/>
      <w:sz w:val="24"/>
      <w:szCs w:val="23"/>
      <w:lang w:eastAsia="en-AU"/>
    </w:rPr>
  </w:style>
  <w:style w:type="paragraph" w:styleId="ListBullet">
    <w:name w:val="List Bullet"/>
    <w:basedOn w:val="Normal"/>
    <w:uiPriority w:val="99"/>
    <w:unhideWhenUsed/>
    <w:rsid w:val="00E42561"/>
    <w:pPr>
      <w:numPr>
        <w:numId w:val="6"/>
      </w:numPr>
      <w:spacing w:before="120" w:after="120" w:line="240" w:lineRule="auto"/>
      <w:contextualSpacing/>
    </w:pPr>
    <w:rPr>
      <w:rFonts w:ascii="Times New Roman" w:eastAsia="Times New Roman" w:hAnsi="Times New Roman" w:cs="Times New Roman"/>
      <w:sz w:val="24"/>
      <w:szCs w:val="20"/>
      <w:lang w:eastAsia="en-AU"/>
    </w:rPr>
  </w:style>
  <w:style w:type="paragraph" w:styleId="FootnoteText">
    <w:name w:val="footnote text"/>
    <w:basedOn w:val="Normal"/>
    <w:link w:val="FootnoteTextChar"/>
    <w:uiPriority w:val="99"/>
    <w:semiHidden/>
    <w:unhideWhenUsed/>
    <w:rsid w:val="00E42561"/>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E42561"/>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E42561"/>
    <w:rPr>
      <w:vertAlign w:val="superscript"/>
    </w:rPr>
  </w:style>
  <w:style w:type="character" w:styleId="Hyperlink">
    <w:name w:val="Hyperlink"/>
    <w:basedOn w:val="DefaultParagraphFont"/>
    <w:uiPriority w:val="99"/>
    <w:unhideWhenUsed/>
    <w:rsid w:val="00DE1CEB"/>
    <w:rPr>
      <w:color w:val="0000FF" w:themeColor="hyperlink"/>
      <w:u w:val="single"/>
    </w:rPr>
  </w:style>
  <w:style w:type="paragraph" w:styleId="BalloonText">
    <w:name w:val="Balloon Text"/>
    <w:basedOn w:val="Normal"/>
    <w:link w:val="BalloonTextChar"/>
    <w:uiPriority w:val="99"/>
    <w:semiHidden/>
    <w:unhideWhenUsed/>
    <w:rsid w:val="00DE1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CEB"/>
    <w:rPr>
      <w:rFonts w:ascii="Segoe UI" w:hAnsi="Segoe UI" w:cs="Segoe UI"/>
      <w:sz w:val="18"/>
      <w:szCs w:val="18"/>
    </w:rPr>
  </w:style>
  <w:style w:type="character" w:styleId="CommentReference">
    <w:name w:val="annotation reference"/>
    <w:basedOn w:val="DefaultParagraphFont"/>
    <w:uiPriority w:val="99"/>
    <w:semiHidden/>
    <w:unhideWhenUsed/>
    <w:rsid w:val="008C2AF5"/>
    <w:rPr>
      <w:sz w:val="16"/>
      <w:szCs w:val="16"/>
    </w:rPr>
  </w:style>
  <w:style w:type="paragraph" w:styleId="CommentText">
    <w:name w:val="annotation text"/>
    <w:basedOn w:val="Normal"/>
    <w:link w:val="CommentTextChar"/>
    <w:uiPriority w:val="99"/>
    <w:unhideWhenUsed/>
    <w:rsid w:val="008C2AF5"/>
    <w:pPr>
      <w:spacing w:line="240" w:lineRule="auto"/>
    </w:pPr>
    <w:rPr>
      <w:sz w:val="20"/>
      <w:szCs w:val="20"/>
    </w:rPr>
  </w:style>
  <w:style w:type="character" w:customStyle="1" w:styleId="CommentTextChar">
    <w:name w:val="Comment Text Char"/>
    <w:basedOn w:val="DefaultParagraphFont"/>
    <w:link w:val="CommentText"/>
    <w:uiPriority w:val="99"/>
    <w:rsid w:val="008C2AF5"/>
    <w:rPr>
      <w:sz w:val="20"/>
      <w:szCs w:val="20"/>
    </w:rPr>
  </w:style>
  <w:style w:type="paragraph" w:styleId="CommentSubject">
    <w:name w:val="annotation subject"/>
    <w:basedOn w:val="CommentText"/>
    <w:next w:val="CommentText"/>
    <w:link w:val="CommentSubjectChar"/>
    <w:uiPriority w:val="99"/>
    <w:semiHidden/>
    <w:unhideWhenUsed/>
    <w:rsid w:val="008C2AF5"/>
    <w:rPr>
      <w:b/>
      <w:bCs/>
    </w:rPr>
  </w:style>
  <w:style w:type="character" w:customStyle="1" w:styleId="CommentSubjectChar">
    <w:name w:val="Comment Subject Char"/>
    <w:basedOn w:val="CommentTextChar"/>
    <w:link w:val="CommentSubject"/>
    <w:uiPriority w:val="99"/>
    <w:semiHidden/>
    <w:rsid w:val="008C2AF5"/>
    <w:rPr>
      <w:b/>
      <w:bCs/>
      <w:sz w:val="20"/>
      <w:szCs w:val="20"/>
    </w:rPr>
  </w:style>
  <w:style w:type="paragraph" w:styleId="Header">
    <w:name w:val="header"/>
    <w:basedOn w:val="Normal"/>
    <w:link w:val="HeaderChar"/>
    <w:uiPriority w:val="99"/>
    <w:unhideWhenUsed/>
    <w:rsid w:val="00CB4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8EA"/>
  </w:style>
  <w:style w:type="paragraph" w:styleId="Footer">
    <w:name w:val="footer"/>
    <w:basedOn w:val="Normal"/>
    <w:link w:val="FooterChar"/>
    <w:uiPriority w:val="99"/>
    <w:unhideWhenUsed/>
    <w:rsid w:val="00CB4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8EA"/>
  </w:style>
  <w:style w:type="paragraph" w:styleId="Revision">
    <w:name w:val="Revision"/>
    <w:hidden/>
    <w:uiPriority w:val="99"/>
    <w:semiHidden/>
    <w:rsid w:val="009F14D0"/>
    <w:pPr>
      <w:spacing w:after="0" w:line="240" w:lineRule="auto"/>
    </w:pPr>
  </w:style>
  <w:style w:type="character" w:customStyle="1" w:styleId="UnresolvedMention1">
    <w:name w:val="Unresolved Mention1"/>
    <w:basedOn w:val="DefaultParagraphFont"/>
    <w:uiPriority w:val="99"/>
    <w:semiHidden/>
    <w:unhideWhenUsed/>
    <w:rsid w:val="006F3C96"/>
    <w:rPr>
      <w:color w:val="605E5C"/>
      <w:shd w:val="clear" w:color="auto" w:fill="E1DFDD"/>
    </w:rPr>
  </w:style>
  <w:style w:type="paragraph" w:customStyle="1" w:styleId="ItemHead">
    <w:name w:val="ItemHead"/>
    <w:aliases w:val="ih"/>
    <w:basedOn w:val="Normal"/>
    <w:next w:val="Item"/>
    <w:rsid w:val="007E5FA7"/>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Item">
    <w:name w:val="Item"/>
    <w:aliases w:val="i"/>
    <w:basedOn w:val="Normal"/>
    <w:next w:val="ItemHead"/>
    <w:rsid w:val="007E5FA7"/>
    <w:pPr>
      <w:keepLines/>
      <w:spacing w:before="80" w:after="0" w:line="240" w:lineRule="auto"/>
      <w:ind w:left="709"/>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F70FFC"/>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F70FF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F70FFC"/>
    <w:rPr>
      <w:rFonts w:ascii="Times New Roman" w:eastAsia="Times New Roman" w:hAnsi="Times New Roman" w:cs="Times New Roman"/>
      <w:szCs w:val="20"/>
      <w:lang w:eastAsia="en-AU"/>
    </w:rPr>
  </w:style>
  <w:style w:type="character" w:customStyle="1" w:styleId="UnresolvedMention">
    <w:name w:val="Unresolved Mention"/>
    <w:basedOn w:val="DefaultParagraphFont"/>
    <w:uiPriority w:val="99"/>
    <w:semiHidden/>
    <w:unhideWhenUsed/>
    <w:rsid w:val="009B57A4"/>
    <w:rPr>
      <w:color w:val="605E5C"/>
      <w:shd w:val="clear" w:color="auto" w:fill="E1DFDD"/>
    </w:rPr>
  </w:style>
  <w:style w:type="paragraph" w:customStyle="1" w:styleId="subsection">
    <w:name w:val="subsection"/>
    <w:basedOn w:val="Normal"/>
    <w:rsid w:val="002C07F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897277">
      <w:bodyDiv w:val="1"/>
      <w:marLeft w:val="0"/>
      <w:marRight w:val="0"/>
      <w:marTop w:val="0"/>
      <w:marBottom w:val="0"/>
      <w:divBdr>
        <w:top w:val="none" w:sz="0" w:space="0" w:color="auto"/>
        <w:left w:val="none" w:sz="0" w:space="0" w:color="auto"/>
        <w:bottom w:val="none" w:sz="0" w:space="0" w:color="auto"/>
        <w:right w:val="none" w:sz="0" w:space="0" w:color="auto"/>
      </w:divBdr>
    </w:div>
    <w:div w:id="849224509">
      <w:bodyDiv w:val="1"/>
      <w:marLeft w:val="0"/>
      <w:marRight w:val="0"/>
      <w:marTop w:val="0"/>
      <w:marBottom w:val="0"/>
      <w:divBdr>
        <w:top w:val="none" w:sz="0" w:space="0" w:color="auto"/>
        <w:left w:val="none" w:sz="0" w:space="0" w:color="auto"/>
        <w:bottom w:val="none" w:sz="0" w:space="0" w:color="auto"/>
        <w:right w:val="none" w:sz="0" w:space="0" w:color="auto"/>
      </w:divBdr>
    </w:div>
    <w:div w:id="986283755">
      <w:bodyDiv w:val="1"/>
      <w:marLeft w:val="0"/>
      <w:marRight w:val="0"/>
      <w:marTop w:val="0"/>
      <w:marBottom w:val="0"/>
      <w:divBdr>
        <w:top w:val="none" w:sz="0" w:space="0" w:color="auto"/>
        <w:left w:val="none" w:sz="0" w:space="0" w:color="auto"/>
        <w:bottom w:val="none" w:sz="0" w:space="0" w:color="auto"/>
        <w:right w:val="none" w:sz="0" w:space="0" w:color="auto"/>
      </w:divBdr>
    </w:div>
    <w:div w:id="1098209597">
      <w:bodyDiv w:val="1"/>
      <w:marLeft w:val="0"/>
      <w:marRight w:val="0"/>
      <w:marTop w:val="0"/>
      <w:marBottom w:val="0"/>
      <w:divBdr>
        <w:top w:val="none" w:sz="0" w:space="0" w:color="auto"/>
        <w:left w:val="none" w:sz="0" w:space="0" w:color="auto"/>
        <w:bottom w:val="none" w:sz="0" w:space="0" w:color="auto"/>
        <w:right w:val="none" w:sz="0" w:space="0" w:color="auto"/>
      </w:divBdr>
    </w:div>
    <w:div w:id="13014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fc.com.au/media/402277/cefc-complying-investments-guidelines.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www.austlii.edu.au/au/other/dfat/treaties/1994/2.html" TargetMode="External"/><Relationship Id="rId2" Type="http://schemas.openxmlformats.org/officeDocument/2006/relationships/hyperlink" Target="https://www.industry.gov.au/data-and-publications/technology-investment-roadmap-low-emissions-technology-statement-2021" TargetMode="External"/><Relationship Id="rId1" Type="http://schemas.openxmlformats.org/officeDocument/2006/relationships/hyperlink" Target="https://www.industry.gov.au/data-and-publications/technology-investment-roadmap-first-low-emissions-technology-statement-2020" TargetMode="External"/><Relationship Id="rId6" Type="http://schemas.openxmlformats.org/officeDocument/2006/relationships/hyperlink" Target="https://www.legislation.gov.au/Details/F2021L01191" TargetMode="External"/><Relationship Id="rId5" Type="http://schemas.openxmlformats.org/officeDocument/2006/relationships/hyperlink" Target="http://www.austlii.edu.au/au/other/dfat/treaties/ATS/2016/24.html" TargetMode="External"/><Relationship Id="rId4" Type="http://schemas.openxmlformats.org/officeDocument/2006/relationships/hyperlink" Target="http://www.austlii.edu.au/au/other/dfat/treaties/ATS/2016/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2A50BA2-2A50-4468-8C81-42780FEA67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DA1153BDE92374E8A34FC66EB7991C1" ma:contentTypeVersion="" ma:contentTypeDescription="PDMS Document Site Content Type" ma:contentTypeScope="" ma:versionID="122d125d3fcea2ff4e8b0f6221fdac96">
  <xsd:schema xmlns:xsd="http://www.w3.org/2001/XMLSchema" xmlns:xs="http://www.w3.org/2001/XMLSchema" xmlns:p="http://schemas.microsoft.com/office/2006/metadata/properties" xmlns:ns2="D2A50BA2-2A50-4468-8C81-42780FEA679D" targetNamespace="http://schemas.microsoft.com/office/2006/metadata/properties" ma:root="true" ma:fieldsID="8b32e17819522fbf2debaed2abe89c96" ns2:_="">
    <xsd:import namespace="D2A50BA2-2A50-4468-8C81-42780FEA679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50BA2-2A50-4468-8C81-42780FEA679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8F6E8-8D31-46B9-91F7-B436202A57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D2A50BA2-2A50-4468-8C81-42780FEA679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A32AB8C-F9E6-4C16-B7C7-DE3BF2E02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50BA2-2A50-4468-8C81-42780FEA6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4.xml><?xml version="1.0" encoding="utf-8"?>
<ds:datastoreItem xmlns:ds="http://schemas.openxmlformats.org/officeDocument/2006/customXml" ds:itemID="{8DEDDEF9-5B29-47E0-8A82-418625E2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3870</Words>
  <Characters>22063</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25882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Lisa</dc:creator>
  <cp:lastModifiedBy>Osborne, Lea</cp:lastModifiedBy>
  <cp:revision>2</cp:revision>
  <cp:lastPrinted>2021-02-04T22:32:00Z</cp:lastPrinted>
  <dcterms:created xsi:type="dcterms:W3CDTF">2022-03-31T01:00:00Z</dcterms:created>
  <dcterms:modified xsi:type="dcterms:W3CDTF">2022-03-31T01:00:00Z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0x010100266966F133664895A6EE3632470D45F500EDA1153BDE92374E8A34FC66EB7991C1</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1380;#2022|4a777a70-2aa9-481e-a746-cca47d761c8e</vt:lpwstr>
  </property>
  <property fmtid="{D5CDD505-2E9C-101B-9397-08002B2CF9AE}" pid="5" name="DocHub_LegalToolPurpose">
    <vt:lpwstr>4832;#Standing Advice|ed74bdb8-e7d0-4e35-8cfa-142834146cc4</vt:lpwstr>
  </property>
  <property fmtid="{D5CDD505-2E9C-101B-9397-08002B2CF9AE}" pid="6" name="DocHub_WorkActivity">
    <vt:lpwstr>192;#Legislation and Regulation|6cbc66f5-f4a2-4565-a58b-d5f2d2ac9bd0</vt:lpwstr>
  </property>
  <property fmtid="{D5CDD505-2E9C-101B-9397-08002B2CF9AE}" pid="7" name="DocHub_Keywords">
    <vt:lpwstr>274;#ARENA|de824d52-b493-4981-bd5b-7988a77972a4;#1018;#ARENA regulation|65d0093b-c1dc-49ea-bc4c-5133e845b028</vt:lpwstr>
  </property>
  <property fmtid="{D5CDD505-2E9C-101B-9397-08002B2CF9AE}" pid="8" name="DocHub_DocumentType">
    <vt:lpwstr>314;#Legislative Instrument|edbe159b-95f5-40e7-bf23-9dfb62f2e7f0</vt:lpwstr>
  </property>
  <property fmtid="{D5CDD505-2E9C-101B-9397-08002B2CF9AE}" pid="9" name="DocHub_SecurityClassification">
    <vt:lpwstr>153;#Legal privilege|803d03d9-f24d-497a-bb88-13a7511ff07a</vt:lpwstr>
  </property>
  <property fmtid="{D5CDD505-2E9C-101B-9397-08002B2CF9AE}" pid="10" name="_dlc_DocIdItemGuid">
    <vt:lpwstr>52736cf9-9c50-45e5-8fc4-4b02fff03d5b</vt:lpwstr>
  </property>
  <property fmtid="{D5CDD505-2E9C-101B-9397-08002B2CF9AE}" pid="11" name="DocHub_CleanEnergyAgency">
    <vt:lpwstr>834;#ARENA|c0142b61-5070-429a-bc69-436f0c49badb</vt:lpwstr>
  </property>
  <property fmtid="{D5CDD505-2E9C-101B-9397-08002B2CF9AE}" pid="12" name="DocHub_CleanEnergyAgencyTopic">
    <vt:lpwstr>467;#Legislation|8603ed99-bd4e-4ab2-9cfe-4ca517018a14</vt:lpwstr>
  </property>
  <property fmtid="{D5CDD505-2E9C-101B-9397-08002B2CF9AE}" pid="13" name="DocHub_LegalClient">
    <vt:lpwstr/>
  </property>
</Properties>
</file>