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EAC36" w14:textId="77777777" w:rsidR="005A4229" w:rsidRPr="00472749" w:rsidRDefault="005A4229" w:rsidP="005A4229">
      <w:pPr>
        <w:pStyle w:val="ESTitle0"/>
      </w:pPr>
      <w:r w:rsidRPr="00472749">
        <w:t>EXPLANATORY STATEMENT</w:t>
      </w:r>
    </w:p>
    <w:p w14:paraId="06E15914" w14:textId="39384DBD" w:rsidR="005A4229" w:rsidRPr="00472749" w:rsidRDefault="005A4229" w:rsidP="005A4229">
      <w:pPr>
        <w:pStyle w:val="Heading2"/>
        <w:spacing w:before="240" w:after="240"/>
        <w:jc w:val="center"/>
        <w:rPr>
          <w:b w:val="0"/>
          <w:bCs w:val="0"/>
          <w:sz w:val="24"/>
          <w:szCs w:val="24"/>
          <w:u w:val="single"/>
        </w:rPr>
      </w:pPr>
      <w:r w:rsidRPr="00472749">
        <w:rPr>
          <w:b w:val="0"/>
          <w:bCs w:val="0"/>
          <w:sz w:val="24"/>
          <w:szCs w:val="24"/>
          <w:u w:val="single"/>
        </w:rPr>
        <w:t xml:space="preserve">Issued by the Minister for </w:t>
      </w:r>
      <w:r w:rsidR="00AB0A9C">
        <w:rPr>
          <w:b w:val="0"/>
          <w:bCs w:val="0"/>
          <w:sz w:val="24"/>
          <w:szCs w:val="24"/>
          <w:u w:val="single"/>
        </w:rPr>
        <w:t xml:space="preserve">Industry, </w:t>
      </w:r>
      <w:r w:rsidRPr="00472749">
        <w:rPr>
          <w:b w:val="0"/>
          <w:bCs w:val="0"/>
          <w:sz w:val="24"/>
          <w:szCs w:val="24"/>
          <w:u w:val="single"/>
        </w:rPr>
        <w:t xml:space="preserve">Energy and Emissions Reduction </w:t>
      </w:r>
    </w:p>
    <w:p w14:paraId="0E23165B" w14:textId="77777777" w:rsidR="005A4229" w:rsidRPr="00472749" w:rsidRDefault="005A4229" w:rsidP="005A4229">
      <w:pPr>
        <w:pStyle w:val="ESSubtitle0"/>
        <w:spacing w:line="240" w:lineRule="auto"/>
        <w:rPr>
          <w:b/>
        </w:rPr>
      </w:pPr>
      <w:r w:rsidRPr="00472749">
        <w:t>Carbon Credits (Carbon Farming Initiative) Act 2011</w:t>
      </w:r>
    </w:p>
    <w:p w14:paraId="731D5C79" w14:textId="7D9229D0" w:rsidR="005A4229" w:rsidRPr="00472749" w:rsidRDefault="00AB0A9C" w:rsidP="005A4229">
      <w:pPr>
        <w:pStyle w:val="ESSubtitle0"/>
        <w:spacing w:after="240" w:line="240" w:lineRule="auto"/>
      </w:pPr>
      <w:r>
        <w:rPr>
          <w:noProof/>
        </w:rPr>
        <w:t>Carbon Credits (Carbon Farming Initiative) Amendment (Excluded Offsets Projects) Rule 2022</w:t>
      </w:r>
      <w:r w:rsidR="005A4229" w:rsidRPr="00472749">
        <w:t xml:space="preserve"> </w:t>
      </w:r>
    </w:p>
    <w:p w14:paraId="48718FBC" w14:textId="2B46FEC4" w:rsidR="005A4229" w:rsidRPr="00FC742D" w:rsidRDefault="00222357" w:rsidP="005A4229">
      <w:pPr>
        <w:shd w:val="clear" w:color="auto" w:fill="FFFFFF"/>
        <w:spacing w:before="240" w:after="100" w:afterAutospacing="1" w:line="240" w:lineRule="auto"/>
        <w:rPr>
          <w:rFonts w:ascii="Times New Roman" w:hAnsi="Times New Roman"/>
          <w:sz w:val="24"/>
          <w:szCs w:val="24"/>
          <w:lang w:val="en-US" w:eastAsia="en-AU"/>
        </w:rPr>
      </w:pPr>
      <w:r>
        <w:rPr>
          <w:rFonts w:ascii="Times New Roman" w:hAnsi="Times New Roman"/>
          <w:b/>
          <w:bCs/>
          <w:sz w:val="24"/>
          <w:szCs w:val="24"/>
        </w:rPr>
        <w:t>Purpose of Amendment R</w:t>
      </w:r>
      <w:r w:rsidR="005A4229" w:rsidRPr="00472749">
        <w:rPr>
          <w:rFonts w:ascii="Times New Roman" w:hAnsi="Times New Roman"/>
          <w:b/>
          <w:bCs/>
          <w:sz w:val="24"/>
          <w:szCs w:val="24"/>
        </w:rPr>
        <w:t>ule</w:t>
      </w:r>
    </w:p>
    <w:p w14:paraId="5402E412" w14:textId="664B1BC2" w:rsidR="00AB0A9C" w:rsidRDefault="00F846E2" w:rsidP="00AB0A9C">
      <w:pPr>
        <w:rPr>
          <w:rFonts w:ascii="Times New Roman" w:hAnsi="Times New Roman"/>
          <w:sz w:val="24"/>
          <w:szCs w:val="24"/>
        </w:rPr>
      </w:pPr>
      <w:bookmarkStart w:id="0" w:name="_GoBack"/>
      <w:r w:rsidRPr="004E704B">
        <w:rPr>
          <w:rFonts w:ascii="Times New Roman" w:hAnsi="Times New Roman" w:cs="Times New Roman"/>
          <w:sz w:val="24"/>
          <w:szCs w:val="24"/>
        </w:rPr>
        <w:t>The</w:t>
      </w:r>
      <w:bookmarkEnd w:id="0"/>
      <w:r w:rsidRPr="005E1CB4">
        <w:t xml:space="preserve"> </w:t>
      </w:r>
      <w:r w:rsidR="00AB0A9C">
        <w:rPr>
          <w:rFonts w:ascii="Times New Roman" w:hAnsi="Times New Roman"/>
          <w:i/>
          <w:sz w:val="24"/>
          <w:szCs w:val="24"/>
        </w:rPr>
        <w:t>Carbon Credits (Carbon Farming Initiative) Amendment (Excluded Offsets Projects) Rule 2022</w:t>
      </w:r>
      <w:r w:rsidRPr="005E1CB4">
        <w:rPr>
          <w:rFonts w:ascii="Times New Roman" w:hAnsi="Times New Roman"/>
          <w:sz w:val="24"/>
          <w:szCs w:val="24"/>
        </w:rPr>
        <w:t xml:space="preserve"> </w:t>
      </w:r>
      <w:r>
        <w:rPr>
          <w:rFonts w:ascii="Times New Roman" w:hAnsi="Times New Roman"/>
          <w:sz w:val="24"/>
          <w:szCs w:val="24"/>
        </w:rPr>
        <w:t>(</w:t>
      </w:r>
      <w:r w:rsidRPr="005E1CB4">
        <w:rPr>
          <w:rFonts w:ascii="Times New Roman" w:hAnsi="Times New Roman"/>
          <w:sz w:val="24"/>
          <w:szCs w:val="24"/>
        </w:rPr>
        <w:t xml:space="preserve">the </w:t>
      </w:r>
      <w:r w:rsidRPr="005E1CB4">
        <w:rPr>
          <w:rFonts w:ascii="Times New Roman" w:hAnsi="Times New Roman"/>
          <w:b/>
          <w:bCs/>
          <w:i/>
          <w:iCs/>
          <w:sz w:val="24"/>
          <w:szCs w:val="24"/>
        </w:rPr>
        <w:t>Amendment Rule</w:t>
      </w:r>
      <w:r w:rsidRPr="005E1CB4">
        <w:rPr>
          <w:rFonts w:ascii="Times New Roman" w:hAnsi="Times New Roman"/>
          <w:sz w:val="24"/>
          <w:szCs w:val="24"/>
        </w:rPr>
        <w:t xml:space="preserve">) </w:t>
      </w:r>
      <w:r w:rsidR="00AB0A9C" w:rsidRPr="00AB0A9C">
        <w:rPr>
          <w:rFonts w:ascii="Times New Roman" w:hAnsi="Times New Roman"/>
          <w:sz w:val="24"/>
          <w:szCs w:val="24"/>
        </w:rPr>
        <w:t>remake</w:t>
      </w:r>
      <w:r w:rsidR="00AB0A9C">
        <w:rPr>
          <w:rFonts w:ascii="Times New Roman" w:hAnsi="Times New Roman"/>
          <w:sz w:val="24"/>
          <w:szCs w:val="24"/>
        </w:rPr>
        <w:t>s</w:t>
      </w:r>
      <w:r w:rsidR="00AB0A9C" w:rsidRPr="00AB0A9C">
        <w:rPr>
          <w:rFonts w:ascii="Times New Roman" w:hAnsi="Times New Roman"/>
          <w:sz w:val="24"/>
          <w:szCs w:val="24"/>
        </w:rPr>
        <w:t xml:space="preserve"> the</w:t>
      </w:r>
      <w:r w:rsidR="00AB0A9C">
        <w:rPr>
          <w:rFonts w:ascii="Times New Roman" w:hAnsi="Times New Roman"/>
          <w:sz w:val="24"/>
          <w:szCs w:val="24"/>
        </w:rPr>
        <w:t xml:space="preserve"> excluded offsets projects list currently set out in regulations 3.36 and 3.37 of the</w:t>
      </w:r>
      <w:r w:rsidR="00AB0A9C" w:rsidRPr="00AB0A9C">
        <w:rPr>
          <w:rFonts w:ascii="Times New Roman" w:hAnsi="Times New Roman"/>
          <w:sz w:val="24"/>
          <w:szCs w:val="24"/>
        </w:rPr>
        <w:t xml:space="preserve"> </w:t>
      </w:r>
      <w:r w:rsidR="00AB0A9C" w:rsidRPr="00532417">
        <w:rPr>
          <w:rFonts w:ascii="Times New Roman" w:hAnsi="Times New Roman"/>
          <w:sz w:val="24"/>
          <w:szCs w:val="24"/>
        </w:rPr>
        <w:t>sunsetting</w:t>
      </w:r>
      <w:r w:rsidR="00AB0A9C" w:rsidRPr="00532417">
        <w:rPr>
          <w:rFonts w:ascii="Times New Roman" w:hAnsi="Times New Roman"/>
          <w:i/>
          <w:sz w:val="24"/>
          <w:szCs w:val="24"/>
        </w:rPr>
        <w:t xml:space="preserve"> Carbon Credits (Carbon Farming Initiative) Regulations 2011</w:t>
      </w:r>
      <w:r w:rsidR="00AB0A9C" w:rsidRPr="00AB0A9C">
        <w:rPr>
          <w:rFonts w:ascii="Times New Roman" w:hAnsi="Times New Roman"/>
          <w:sz w:val="24"/>
          <w:szCs w:val="24"/>
        </w:rPr>
        <w:t xml:space="preserve"> (the Regulations) as sections of the Rule</w:t>
      </w:r>
      <w:r w:rsidR="00AB0A9C">
        <w:rPr>
          <w:rFonts w:ascii="Times New Roman" w:hAnsi="Times New Roman"/>
          <w:sz w:val="24"/>
          <w:szCs w:val="24"/>
        </w:rPr>
        <w:t xml:space="preserve">. </w:t>
      </w:r>
    </w:p>
    <w:p w14:paraId="02F12FAC" w14:textId="0DF46EB1" w:rsidR="00AB0A9C" w:rsidRDefault="00AB0A9C" w:rsidP="00AB0A9C">
      <w:pPr>
        <w:rPr>
          <w:rFonts w:ascii="Times New Roman" w:hAnsi="Times New Roman"/>
          <w:sz w:val="24"/>
          <w:szCs w:val="24"/>
        </w:rPr>
      </w:pPr>
      <w:r w:rsidRPr="00AB0A9C">
        <w:rPr>
          <w:rFonts w:ascii="Times New Roman" w:hAnsi="Times New Roman"/>
          <w:sz w:val="24"/>
          <w:szCs w:val="24"/>
        </w:rPr>
        <w:t xml:space="preserve">The </w:t>
      </w:r>
      <w:r>
        <w:rPr>
          <w:rFonts w:ascii="Times New Roman" w:hAnsi="Times New Roman"/>
          <w:sz w:val="24"/>
          <w:szCs w:val="24"/>
        </w:rPr>
        <w:t>Amendment Rule streamlines</w:t>
      </w:r>
      <w:r w:rsidRPr="00AB0A9C">
        <w:rPr>
          <w:rFonts w:ascii="Times New Roman" w:hAnsi="Times New Roman"/>
          <w:sz w:val="24"/>
          <w:szCs w:val="24"/>
        </w:rPr>
        <w:t xml:space="preserve"> the ERF scheme’s regulatory framework by removing the need for the Regulations, while maintaining important protections against potential adverse environmental, social and economic impacts. As with the Regulations the Rule will continue to be subject to oversight by the Parliament. </w:t>
      </w:r>
    </w:p>
    <w:p w14:paraId="4C2709DE" w14:textId="79BE969F" w:rsidR="005A4229" w:rsidRPr="00472749" w:rsidRDefault="005A4229" w:rsidP="00AB0A9C">
      <w:pPr>
        <w:rPr>
          <w:rFonts w:ascii="Times New Roman" w:hAnsi="Times New Roman"/>
          <w:b/>
          <w:sz w:val="24"/>
          <w:szCs w:val="24"/>
        </w:rPr>
      </w:pPr>
      <w:r w:rsidRPr="00472749">
        <w:rPr>
          <w:rFonts w:ascii="Times New Roman" w:hAnsi="Times New Roman"/>
          <w:b/>
          <w:sz w:val="24"/>
          <w:szCs w:val="24"/>
        </w:rPr>
        <w:t>Background: Emissions Reduction Fund</w:t>
      </w:r>
    </w:p>
    <w:p w14:paraId="193A01AF" w14:textId="148E0F96" w:rsidR="00D65331" w:rsidRDefault="005A4229" w:rsidP="00D65331">
      <w:pPr>
        <w:rPr>
          <w:rFonts w:ascii="Times New Roman" w:hAnsi="Times New Roman"/>
          <w:sz w:val="24"/>
          <w:szCs w:val="24"/>
        </w:rPr>
      </w:pPr>
      <w:r w:rsidRPr="00472749">
        <w:rPr>
          <w:rFonts w:ascii="Times New Roman" w:hAnsi="Times New Roman"/>
          <w:sz w:val="24"/>
          <w:szCs w:val="24"/>
        </w:rPr>
        <w:t xml:space="preserve">In 2014, the Australian Government amended the </w:t>
      </w:r>
      <w:r w:rsidR="001A4D5F" w:rsidRPr="00D65331">
        <w:rPr>
          <w:rFonts w:ascii="Times New Roman" w:hAnsi="Times New Roman"/>
          <w:i/>
          <w:sz w:val="24"/>
          <w:szCs w:val="24"/>
        </w:rPr>
        <w:t>Carbon Credits (Carbon Farming Initiative) Act 2011</w:t>
      </w:r>
      <w:r w:rsidR="001A4D5F" w:rsidRPr="001A4D5F">
        <w:rPr>
          <w:rFonts w:ascii="Times New Roman" w:hAnsi="Times New Roman"/>
          <w:sz w:val="24"/>
          <w:szCs w:val="24"/>
        </w:rPr>
        <w:t xml:space="preserve"> (the Act) </w:t>
      </w:r>
      <w:r w:rsidRPr="00472749">
        <w:rPr>
          <w:rFonts w:ascii="Times New Roman" w:hAnsi="Times New Roman"/>
          <w:sz w:val="24"/>
          <w:szCs w:val="24"/>
        </w:rPr>
        <w:t xml:space="preserve">with the </w:t>
      </w:r>
      <w:r w:rsidRPr="00472749">
        <w:rPr>
          <w:rFonts w:ascii="Times New Roman" w:hAnsi="Times New Roman"/>
          <w:i/>
          <w:sz w:val="24"/>
          <w:szCs w:val="24"/>
        </w:rPr>
        <w:t xml:space="preserve">Carbon Farming Initiative Amendment Act 2014 </w:t>
      </w:r>
      <w:r w:rsidRPr="00472749">
        <w:rPr>
          <w:rFonts w:ascii="Times New Roman" w:hAnsi="Times New Roman"/>
          <w:sz w:val="24"/>
          <w:szCs w:val="24"/>
        </w:rPr>
        <w:t xml:space="preserve">(CFI Amendment Act). The CFI Amendment Act established the Emissions Reduction Fund </w:t>
      </w:r>
      <w:r w:rsidR="00841297">
        <w:rPr>
          <w:rFonts w:ascii="Times New Roman" w:hAnsi="Times New Roman"/>
          <w:sz w:val="24"/>
          <w:szCs w:val="24"/>
        </w:rPr>
        <w:t>to support</w:t>
      </w:r>
      <w:r w:rsidR="00841297" w:rsidRPr="00841297">
        <w:rPr>
          <w:rFonts w:ascii="Times New Roman" w:hAnsi="Times New Roman"/>
          <w:sz w:val="24"/>
          <w:szCs w:val="24"/>
        </w:rPr>
        <w:t xml:space="preserve"> investment in carbon abatement projects across all sectors of Australia’s economy</w:t>
      </w:r>
      <w:r w:rsidRPr="00472749">
        <w:rPr>
          <w:rFonts w:ascii="Times New Roman" w:hAnsi="Times New Roman"/>
          <w:sz w:val="24"/>
          <w:szCs w:val="24"/>
        </w:rPr>
        <w:t xml:space="preserve">. </w:t>
      </w:r>
    </w:p>
    <w:p w14:paraId="1560735C" w14:textId="334862D8" w:rsidR="00543844" w:rsidRDefault="00543844" w:rsidP="00543844">
      <w:pPr>
        <w:pStyle w:val="base-text-paragraphnonumbers"/>
        <w:spacing w:before="0" w:after="160" w:line="259" w:lineRule="auto"/>
        <w:ind w:left="0"/>
        <w:rPr>
          <w:szCs w:val="24"/>
        </w:rPr>
      </w:pPr>
      <w:r w:rsidRPr="00472749">
        <w:rPr>
          <w:szCs w:val="24"/>
        </w:rPr>
        <w:t xml:space="preserve">The Act is supported by subordinate legislation, including the Principal Rule and the </w:t>
      </w:r>
      <w:r w:rsidRPr="00472749">
        <w:rPr>
          <w:i/>
          <w:szCs w:val="24"/>
        </w:rPr>
        <w:t>Carbon Credits (Carbon Farming Initiative) Regulations 2011</w:t>
      </w:r>
      <w:r w:rsidRPr="00472749">
        <w:rPr>
          <w:szCs w:val="24"/>
        </w:rPr>
        <w:t xml:space="preserve"> (the Regulations)</w:t>
      </w:r>
      <w:r w:rsidRPr="00472749">
        <w:rPr>
          <w:i/>
          <w:szCs w:val="24"/>
        </w:rPr>
        <w:t xml:space="preserve">. </w:t>
      </w:r>
      <w:r w:rsidRPr="00472749">
        <w:rPr>
          <w:szCs w:val="24"/>
        </w:rPr>
        <w:t xml:space="preserve">The Principal Rule and </w:t>
      </w:r>
      <w:r>
        <w:rPr>
          <w:szCs w:val="24"/>
        </w:rPr>
        <w:t xml:space="preserve">the </w:t>
      </w:r>
      <w:r w:rsidRPr="00472749">
        <w:rPr>
          <w:szCs w:val="24"/>
        </w:rPr>
        <w:t xml:space="preserve">Regulations provide detailed </w:t>
      </w:r>
      <w:r w:rsidR="00532417">
        <w:rPr>
          <w:szCs w:val="24"/>
        </w:rPr>
        <w:t>requirements relating to</w:t>
      </w:r>
      <w:r w:rsidRPr="00472749">
        <w:rPr>
          <w:szCs w:val="24"/>
        </w:rPr>
        <w:t xml:space="preserve"> the way in which the Act is administered by </w:t>
      </w:r>
      <w:r>
        <w:rPr>
          <w:szCs w:val="24"/>
        </w:rPr>
        <w:t>the Regulator</w:t>
      </w:r>
      <w:r w:rsidRPr="00472749">
        <w:rPr>
          <w:szCs w:val="24"/>
        </w:rPr>
        <w:t>.</w:t>
      </w:r>
      <w:r w:rsidR="00AB0A9C">
        <w:rPr>
          <w:szCs w:val="24"/>
        </w:rPr>
        <w:t xml:space="preserve"> </w:t>
      </w:r>
      <w:r w:rsidRPr="00472749">
        <w:rPr>
          <w:szCs w:val="24"/>
        </w:rPr>
        <w:t xml:space="preserve">The Minister for </w:t>
      </w:r>
      <w:r w:rsidR="00AB0A9C">
        <w:rPr>
          <w:szCs w:val="24"/>
        </w:rPr>
        <w:t xml:space="preserve">Industry, </w:t>
      </w:r>
      <w:r>
        <w:rPr>
          <w:szCs w:val="24"/>
        </w:rPr>
        <w:t>Energy and Emissions Reduction</w:t>
      </w:r>
      <w:r w:rsidRPr="00472749">
        <w:rPr>
          <w:szCs w:val="24"/>
        </w:rPr>
        <w:t xml:space="preserve"> is empowered to make legislative rule</w:t>
      </w:r>
      <w:r w:rsidR="00AB0A9C">
        <w:rPr>
          <w:szCs w:val="24"/>
        </w:rPr>
        <w:t xml:space="preserve">s under section 308 of the Act, </w:t>
      </w:r>
      <w:r w:rsidR="00AB0A9C" w:rsidRPr="00AB0A9C">
        <w:rPr>
          <w:szCs w:val="24"/>
        </w:rPr>
        <w:t>consistent with the intention that new subordinate legislation under the Act will be in this form</w:t>
      </w:r>
      <w:r w:rsidR="00AB0A9C">
        <w:rPr>
          <w:szCs w:val="24"/>
        </w:rPr>
        <w:t xml:space="preserve">. </w:t>
      </w:r>
      <w:r w:rsidR="00AB0A9C" w:rsidRPr="00AB0A9C">
        <w:rPr>
          <w:szCs w:val="24"/>
        </w:rPr>
        <w:t xml:space="preserve">Since the </w:t>
      </w:r>
      <w:proofErr w:type="gramStart"/>
      <w:r w:rsidR="00AB0A9C" w:rsidRPr="00AB0A9C">
        <w:rPr>
          <w:szCs w:val="24"/>
        </w:rPr>
        <w:t>creation</w:t>
      </w:r>
      <w:proofErr w:type="gramEnd"/>
      <w:r w:rsidR="00AB0A9C" w:rsidRPr="00AB0A9C">
        <w:rPr>
          <w:szCs w:val="24"/>
        </w:rPr>
        <w:t xml:space="preserve"> of the Emissions Reduction Fund (ERF) in 2015, the Regulations have been gradually transferred into the </w:t>
      </w:r>
      <w:r w:rsidR="00AB0A9C">
        <w:rPr>
          <w:szCs w:val="24"/>
        </w:rPr>
        <w:t xml:space="preserve">Principal </w:t>
      </w:r>
      <w:r w:rsidR="00AB0A9C" w:rsidRPr="00AB0A9C">
        <w:rPr>
          <w:szCs w:val="24"/>
        </w:rPr>
        <w:t>Rule through amending instruments.</w:t>
      </w:r>
    </w:p>
    <w:p w14:paraId="6326355E" w14:textId="22126DDF" w:rsidR="001A4D5F" w:rsidRPr="008E5A6B" w:rsidRDefault="0070354C" w:rsidP="001A4D5F">
      <w:pPr>
        <w:rPr>
          <w:rFonts w:ascii="Times New Roman" w:hAnsi="Times New Roman"/>
          <w:sz w:val="24"/>
          <w:szCs w:val="24"/>
        </w:rPr>
      </w:pPr>
      <w:r>
        <w:rPr>
          <w:rFonts w:ascii="Times New Roman" w:hAnsi="Times New Roman"/>
          <w:sz w:val="24"/>
          <w:szCs w:val="24"/>
        </w:rPr>
        <w:t>The ERF is</w:t>
      </w:r>
      <w:r w:rsidR="00841297">
        <w:rPr>
          <w:rFonts w:ascii="Times New Roman" w:hAnsi="Times New Roman"/>
          <w:sz w:val="24"/>
          <w:szCs w:val="24"/>
        </w:rPr>
        <w:t xml:space="preserve"> a </w:t>
      </w:r>
      <w:r>
        <w:rPr>
          <w:rFonts w:ascii="Times New Roman" w:hAnsi="Times New Roman"/>
          <w:sz w:val="24"/>
          <w:szCs w:val="24"/>
        </w:rPr>
        <w:t xml:space="preserve">key component of the </w:t>
      </w:r>
      <w:r w:rsidR="00841297">
        <w:rPr>
          <w:rFonts w:ascii="Times New Roman" w:hAnsi="Times New Roman"/>
          <w:sz w:val="24"/>
          <w:szCs w:val="24"/>
        </w:rPr>
        <w:t xml:space="preserve">Government’s </w:t>
      </w:r>
      <w:r>
        <w:rPr>
          <w:rFonts w:ascii="Times New Roman" w:hAnsi="Times New Roman"/>
          <w:sz w:val="24"/>
          <w:szCs w:val="24"/>
        </w:rPr>
        <w:t xml:space="preserve">policy agenda </w:t>
      </w:r>
      <w:r w:rsidRPr="0070354C">
        <w:rPr>
          <w:rFonts w:ascii="Times New Roman" w:hAnsi="Times New Roman"/>
          <w:sz w:val="24"/>
          <w:szCs w:val="24"/>
        </w:rPr>
        <w:t>to drive emissions reductions across the economy and to fulfil Australia’s international commitments under the Paris Agreement</w:t>
      </w:r>
      <w:r w:rsidR="001A4D5F" w:rsidRPr="008E5A6B">
        <w:rPr>
          <w:rFonts w:ascii="Times New Roman" w:hAnsi="Times New Roman"/>
          <w:sz w:val="24"/>
          <w:szCs w:val="24"/>
        </w:rPr>
        <w:t>.</w:t>
      </w:r>
    </w:p>
    <w:p w14:paraId="2D4D6755" w14:textId="6940C254" w:rsidR="005A4229" w:rsidRPr="00472749" w:rsidRDefault="00082E94" w:rsidP="005A4229">
      <w:pPr>
        <w:spacing w:before="240" w:line="240" w:lineRule="auto"/>
        <w:contextualSpacing/>
        <w:rPr>
          <w:rFonts w:ascii="Times New Roman" w:hAnsi="Times New Roman"/>
          <w:b/>
          <w:bCs/>
          <w:sz w:val="24"/>
          <w:szCs w:val="24"/>
        </w:rPr>
      </w:pPr>
      <w:r>
        <w:rPr>
          <w:rFonts w:ascii="Times New Roman" w:hAnsi="Times New Roman"/>
          <w:b/>
          <w:bCs/>
          <w:sz w:val="24"/>
          <w:szCs w:val="24"/>
        </w:rPr>
        <w:t>Outline</w:t>
      </w:r>
    </w:p>
    <w:p w14:paraId="5B520890" w14:textId="19998E64" w:rsidR="00101B12" w:rsidRDefault="00101B12" w:rsidP="006D7A59">
      <w:pPr>
        <w:spacing w:before="240"/>
        <w:rPr>
          <w:rFonts w:ascii="Times New Roman" w:eastAsia="Times New Roman" w:hAnsi="Times New Roman" w:cs="Times New Roman"/>
          <w:sz w:val="24"/>
          <w:szCs w:val="24"/>
          <w:lang w:eastAsia="en-AU"/>
        </w:rPr>
      </w:pPr>
      <w:r w:rsidRPr="00101B12">
        <w:rPr>
          <w:rFonts w:ascii="Times New Roman" w:eastAsia="Times New Roman" w:hAnsi="Times New Roman" w:cs="Times New Roman"/>
          <w:sz w:val="24"/>
          <w:szCs w:val="24"/>
          <w:lang w:eastAsia="en-AU"/>
        </w:rPr>
        <w:t xml:space="preserve">Offsets projects are not eligible to </w:t>
      </w:r>
      <w:r w:rsidR="00532417">
        <w:rPr>
          <w:rFonts w:ascii="Times New Roman" w:eastAsia="Times New Roman" w:hAnsi="Times New Roman" w:cs="Times New Roman"/>
          <w:sz w:val="24"/>
          <w:szCs w:val="24"/>
          <w:lang w:eastAsia="en-AU"/>
        </w:rPr>
        <w:t xml:space="preserve">register to </w:t>
      </w:r>
      <w:r w:rsidRPr="00101B12">
        <w:rPr>
          <w:rFonts w:ascii="Times New Roman" w:eastAsia="Times New Roman" w:hAnsi="Times New Roman" w:cs="Times New Roman"/>
          <w:sz w:val="24"/>
          <w:szCs w:val="24"/>
          <w:lang w:eastAsia="en-AU"/>
        </w:rPr>
        <w:t>generate ACCUs if they are ‘excluded offsets projects</w:t>
      </w:r>
      <w:r w:rsidR="00532417">
        <w:rPr>
          <w:rFonts w:ascii="Times New Roman" w:eastAsia="Times New Roman" w:hAnsi="Times New Roman" w:cs="Times New Roman"/>
          <w:sz w:val="24"/>
          <w:szCs w:val="24"/>
          <w:lang w:eastAsia="en-AU"/>
        </w:rPr>
        <w:t>’ (paragraph 27(4</w:t>
      </w:r>
      <w:proofErr w:type="gramStart"/>
      <w:r w:rsidR="00532417">
        <w:rPr>
          <w:rFonts w:ascii="Times New Roman" w:eastAsia="Times New Roman" w:hAnsi="Times New Roman" w:cs="Times New Roman"/>
          <w:sz w:val="24"/>
          <w:szCs w:val="24"/>
          <w:lang w:eastAsia="en-AU"/>
        </w:rPr>
        <w:t>)(</w:t>
      </w:r>
      <w:proofErr w:type="gramEnd"/>
      <w:r w:rsidR="00532417">
        <w:rPr>
          <w:rFonts w:ascii="Times New Roman" w:eastAsia="Times New Roman" w:hAnsi="Times New Roman" w:cs="Times New Roman"/>
          <w:sz w:val="24"/>
          <w:szCs w:val="24"/>
          <w:lang w:eastAsia="en-AU"/>
        </w:rPr>
        <w:t xml:space="preserve">m) of the </w:t>
      </w:r>
      <w:r w:rsidRPr="00101B12">
        <w:rPr>
          <w:rFonts w:ascii="Times New Roman" w:eastAsia="Times New Roman" w:hAnsi="Times New Roman" w:cs="Times New Roman"/>
          <w:sz w:val="24"/>
          <w:szCs w:val="24"/>
          <w:lang w:eastAsia="en-AU"/>
        </w:rPr>
        <w:t>Act).</w:t>
      </w:r>
      <w:r w:rsidR="00532417">
        <w:rPr>
          <w:rFonts w:ascii="Times New Roman" w:eastAsia="Times New Roman" w:hAnsi="Times New Roman" w:cs="Times New Roman"/>
          <w:sz w:val="24"/>
          <w:szCs w:val="24"/>
          <w:lang w:eastAsia="en-AU"/>
        </w:rPr>
        <w:t xml:space="preserve"> </w:t>
      </w:r>
      <w:r w:rsidRPr="00101B12">
        <w:rPr>
          <w:rFonts w:ascii="Times New Roman" w:eastAsia="Times New Roman" w:hAnsi="Times New Roman" w:cs="Times New Roman"/>
          <w:sz w:val="24"/>
          <w:szCs w:val="24"/>
          <w:lang w:eastAsia="en-AU"/>
        </w:rPr>
        <w:t xml:space="preserve">A project is an excluded offsets project if it is of a kind specified in </w:t>
      </w:r>
      <w:r>
        <w:rPr>
          <w:rFonts w:ascii="Times New Roman" w:eastAsia="Times New Roman" w:hAnsi="Times New Roman" w:cs="Times New Roman"/>
          <w:sz w:val="24"/>
          <w:szCs w:val="24"/>
          <w:lang w:eastAsia="en-AU"/>
        </w:rPr>
        <w:t>rules or regulations made pursuant to</w:t>
      </w:r>
      <w:r w:rsidRPr="00101B12">
        <w:rPr>
          <w:rFonts w:ascii="Times New Roman" w:eastAsia="Times New Roman" w:hAnsi="Times New Roman" w:cs="Times New Roman"/>
          <w:sz w:val="24"/>
          <w:szCs w:val="24"/>
          <w:lang w:eastAsia="en-AU"/>
        </w:rPr>
        <w:t xml:space="preserve"> section</w:t>
      </w:r>
      <w:r>
        <w:rPr>
          <w:rFonts w:ascii="Times New Roman" w:eastAsia="Times New Roman" w:hAnsi="Times New Roman" w:cs="Times New Roman"/>
          <w:sz w:val="24"/>
          <w:szCs w:val="24"/>
          <w:lang w:eastAsia="en-AU"/>
        </w:rPr>
        <w:t xml:space="preserve"> 56 </w:t>
      </w:r>
      <w:r w:rsidR="00532417">
        <w:rPr>
          <w:rFonts w:ascii="Times New Roman" w:eastAsia="Times New Roman" w:hAnsi="Times New Roman" w:cs="Times New Roman"/>
          <w:sz w:val="24"/>
          <w:szCs w:val="24"/>
          <w:lang w:eastAsia="en-AU"/>
        </w:rPr>
        <w:t>of the</w:t>
      </w:r>
      <w:r w:rsidRPr="00101B12">
        <w:rPr>
          <w:rFonts w:ascii="Times New Roman" w:eastAsia="Times New Roman" w:hAnsi="Times New Roman" w:cs="Times New Roman"/>
          <w:sz w:val="24"/>
          <w:szCs w:val="24"/>
          <w:lang w:eastAsia="en-AU"/>
        </w:rPr>
        <w:t xml:space="preserve"> Act.</w:t>
      </w:r>
    </w:p>
    <w:p w14:paraId="73D0A489" w14:textId="47E2BE00" w:rsidR="00AB0A9C" w:rsidRDefault="00AB0A9C" w:rsidP="006D7A59">
      <w:pPr>
        <w:spacing w:before="240"/>
        <w:rPr>
          <w:rFonts w:ascii="Times New Roman" w:eastAsia="Times New Roman" w:hAnsi="Times New Roman" w:cs="Times New Roman"/>
          <w:sz w:val="24"/>
          <w:szCs w:val="24"/>
          <w:lang w:eastAsia="en-AU"/>
        </w:rPr>
      </w:pPr>
      <w:r w:rsidRPr="00AB0A9C">
        <w:rPr>
          <w:rFonts w:ascii="Times New Roman" w:eastAsia="Times New Roman" w:hAnsi="Times New Roman" w:cs="Times New Roman"/>
          <w:sz w:val="24"/>
          <w:szCs w:val="24"/>
          <w:lang w:eastAsia="en-AU"/>
        </w:rPr>
        <w:t>Paragraphs 106</w:t>
      </w:r>
      <w:r w:rsidR="00532417">
        <w:rPr>
          <w:rFonts w:ascii="Times New Roman" w:eastAsia="Times New Roman" w:hAnsi="Times New Roman" w:cs="Times New Roman"/>
          <w:sz w:val="24"/>
          <w:szCs w:val="24"/>
          <w:lang w:eastAsia="en-AU"/>
        </w:rPr>
        <w:t xml:space="preserve">(4)(c) and 114(2)(c) of the </w:t>
      </w:r>
      <w:r w:rsidRPr="00AB0A9C">
        <w:rPr>
          <w:rFonts w:ascii="Times New Roman" w:eastAsia="Times New Roman" w:hAnsi="Times New Roman" w:cs="Times New Roman"/>
          <w:sz w:val="24"/>
          <w:szCs w:val="24"/>
          <w:lang w:eastAsia="en-AU"/>
        </w:rPr>
        <w:t xml:space="preserve">Act require the Minister to have regard to any adverse impacts of this kind when considering whether to make a new ERF method or variation to an existing method. Section 56 allows the Regulations and the Rule to exclude </w:t>
      </w:r>
      <w:r w:rsidRPr="00AB0A9C">
        <w:rPr>
          <w:rFonts w:ascii="Times New Roman" w:eastAsia="Times New Roman" w:hAnsi="Times New Roman" w:cs="Times New Roman"/>
          <w:sz w:val="24"/>
          <w:szCs w:val="24"/>
          <w:lang w:eastAsia="en-AU"/>
        </w:rPr>
        <w:lastRenderedPageBreak/>
        <w:t>specified projects from participating in the ERF, in order to ensure projects do not have such impacts. Sec</w:t>
      </w:r>
      <w:r w:rsidR="00101B12">
        <w:rPr>
          <w:rFonts w:ascii="Times New Roman" w:eastAsia="Times New Roman" w:hAnsi="Times New Roman" w:cs="Times New Roman"/>
          <w:sz w:val="24"/>
          <w:szCs w:val="24"/>
          <w:lang w:eastAsia="en-AU"/>
        </w:rPr>
        <w:t>tion</w:t>
      </w:r>
      <w:r w:rsidR="00532417">
        <w:rPr>
          <w:rFonts w:ascii="Times New Roman" w:eastAsia="Times New Roman" w:hAnsi="Times New Roman" w:cs="Times New Roman"/>
          <w:sz w:val="24"/>
          <w:szCs w:val="24"/>
          <w:lang w:eastAsia="en-AU"/>
        </w:rPr>
        <w:t xml:space="preserve"> 56 of the</w:t>
      </w:r>
      <w:r w:rsidRPr="00AB0A9C">
        <w:rPr>
          <w:rFonts w:ascii="Times New Roman" w:eastAsia="Times New Roman" w:hAnsi="Times New Roman" w:cs="Times New Roman"/>
          <w:sz w:val="24"/>
          <w:szCs w:val="24"/>
          <w:lang w:eastAsia="en-AU"/>
        </w:rPr>
        <w:t xml:space="preserve"> Act allows the Minister to specify in the regulations or legislative rules that certain types of ERF projects to be excluded if there is a material risk that the project will have a material adverse impact on one or more of the following: (a) the availability of water; (b) the conservation of biodiversity; (c) employment; (d) the local community; (e) land access for agricultural production. </w:t>
      </w:r>
    </w:p>
    <w:p w14:paraId="18833FDE" w14:textId="747C4C5A" w:rsidR="00AB0A9C" w:rsidRDefault="00AB0A9C" w:rsidP="006D7A59">
      <w:pPr>
        <w:spacing w:before="240"/>
        <w:rPr>
          <w:rFonts w:ascii="Times New Roman" w:eastAsia="Times New Roman" w:hAnsi="Times New Roman" w:cs="Times New Roman"/>
          <w:sz w:val="24"/>
          <w:szCs w:val="24"/>
          <w:lang w:eastAsia="en-AU"/>
        </w:rPr>
      </w:pPr>
      <w:r w:rsidRPr="00AB0A9C">
        <w:rPr>
          <w:rFonts w:ascii="Times New Roman" w:eastAsia="Times New Roman" w:hAnsi="Times New Roman" w:cs="Times New Roman"/>
          <w:sz w:val="24"/>
          <w:szCs w:val="24"/>
          <w:lang w:eastAsia="en-AU"/>
        </w:rPr>
        <w:t xml:space="preserve">Requirements in relation to excluded offsets projects </w:t>
      </w:r>
      <w:r>
        <w:rPr>
          <w:rFonts w:ascii="Times New Roman" w:eastAsia="Times New Roman" w:hAnsi="Times New Roman" w:cs="Times New Roman"/>
          <w:sz w:val="24"/>
          <w:szCs w:val="24"/>
          <w:lang w:eastAsia="en-AU"/>
        </w:rPr>
        <w:t>were</w:t>
      </w:r>
      <w:r w:rsidRPr="00AB0A9C">
        <w:rPr>
          <w:rFonts w:ascii="Times New Roman" w:eastAsia="Times New Roman" w:hAnsi="Times New Roman" w:cs="Times New Roman"/>
          <w:sz w:val="24"/>
          <w:szCs w:val="24"/>
          <w:lang w:eastAsia="en-AU"/>
        </w:rPr>
        <w:t xml:space="preserve"> spread across both the Regulations and the Rule. </w:t>
      </w:r>
      <w:r>
        <w:rPr>
          <w:rFonts w:ascii="Times New Roman" w:eastAsia="Times New Roman" w:hAnsi="Times New Roman" w:cs="Times New Roman"/>
          <w:sz w:val="24"/>
          <w:szCs w:val="24"/>
          <w:lang w:eastAsia="en-AU"/>
        </w:rPr>
        <w:t xml:space="preserve">The Amendment Rule </w:t>
      </w:r>
      <w:r w:rsidRPr="00AB0A9C">
        <w:rPr>
          <w:rFonts w:ascii="Times New Roman" w:eastAsia="Times New Roman" w:hAnsi="Times New Roman" w:cs="Times New Roman"/>
          <w:sz w:val="24"/>
          <w:szCs w:val="24"/>
          <w:lang w:eastAsia="en-AU"/>
        </w:rPr>
        <w:t>consolidate</w:t>
      </w:r>
      <w:r>
        <w:rPr>
          <w:rFonts w:ascii="Times New Roman" w:eastAsia="Times New Roman" w:hAnsi="Times New Roman" w:cs="Times New Roman"/>
          <w:sz w:val="24"/>
          <w:szCs w:val="24"/>
          <w:lang w:eastAsia="en-AU"/>
        </w:rPr>
        <w:t>s</w:t>
      </w:r>
      <w:r w:rsidRPr="00AB0A9C">
        <w:rPr>
          <w:rFonts w:ascii="Times New Roman" w:eastAsia="Times New Roman" w:hAnsi="Times New Roman" w:cs="Times New Roman"/>
          <w:sz w:val="24"/>
          <w:szCs w:val="24"/>
          <w:lang w:eastAsia="en-AU"/>
        </w:rPr>
        <w:t xml:space="preserve"> legislative requirements in relation to excluded offsets projects in the</w:t>
      </w:r>
      <w:r>
        <w:rPr>
          <w:rFonts w:ascii="Times New Roman" w:eastAsia="Times New Roman" w:hAnsi="Times New Roman" w:cs="Times New Roman"/>
          <w:sz w:val="24"/>
          <w:szCs w:val="24"/>
          <w:lang w:eastAsia="en-AU"/>
        </w:rPr>
        <w:t xml:space="preserve"> Principal</w:t>
      </w:r>
      <w:r w:rsidRPr="00AB0A9C">
        <w:rPr>
          <w:rFonts w:ascii="Times New Roman" w:eastAsia="Times New Roman" w:hAnsi="Times New Roman" w:cs="Times New Roman"/>
          <w:sz w:val="24"/>
          <w:szCs w:val="24"/>
          <w:lang w:eastAsia="en-AU"/>
        </w:rPr>
        <w:t xml:space="preserve"> Rule, simplifying and modernising the regulatory framework for participants in the ERF scheme while maintaining protections against adverse impacts</w:t>
      </w:r>
      <w:r>
        <w:rPr>
          <w:rFonts w:ascii="Times New Roman" w:eastAsia="Times New Roman" w:hAnsi="Times New Roman" w:cs="Times New Roman"/>
          <w:sz w:val="24"/>
          <w:szCs w:val="24"/>
          <w:lang w:eastAsia="en-AU"/>
        </w:rPr>
        <w:t xml:space="preserve"> after the Regulations sunset on </w:t>
      </w:r>
      <w:r w:rsidR="00B24139">
        <w:rPr>
          <w:rFonts w:ascii="Times New Roman" w:eastAsia="Times New Roman" w:hAnsi="Times New Roman" w:cs="Times New Roman"/>
          <w:sz w:val="24"/>
          <w:szCs w:val="24"/>
          <w:lang w:eastAsia="en-AU"/>
        </w:rPr>
        <w:t>1</w:t>
      </w:r>
      <w:r>
        <w:rPr>
          <w:rFonts w:ascii="Times New Roman" w:eastAsia="Times New Roman" w:hAnsi="Times New Roman" w:cs="Times New Roman"/>
          <w:sz w:val="24"/>
          <w:szCs w:val="24"/>
          <w:lang w:eastAsia="en-AU"/>
        </w:rPr>
        <w:t xml:space="preserve"> April 2022</w:t>
      </w:r>
      <w:r w:rsidRPr="00AB0A9C">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The Amendment Rule transitions all excluded offsets project types previously set out in the Regulations in to the Principal Rule, with minimal formatting changes and drafting changes to increase certainty by omitting incorporation by reference of other lists of weed species which do not exist.</w:t>
      </w:r>
    </w:p>
    <w:p w14:paraId="16FEF11C" w14:textId="1E8DC2C5" w:rsidR="00AB0A9C" w:rsidRDefault="00AB0A9C" w:rsidP="006D7A59">
      <w:pPr>
        <w:spacing w:before="24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Prior to sunsetting, the Regulations specified</w:t>
      </w:r>
      <w:r w:rsidRPr="00AB0A9C">
        <w:rPr>
          <w:rFonts w:ascii="Times New Roman" w:eastAsia="Times New Roman" w:hAnsi="Times New Roman" w:cs="Times New Roman"/>
          <w:sz w:val="24"/>
          <w:szCs w:val="24"/>
          <w:lang w:eastAsia="en-AU"/>
        </w:rPr>
        <w:t xml:space="preserve"> types of projects which are ‘excluded offsets projects’ for the purposes of the</w:t>
      </w:r>
      <w:r w:rsidR="00532417">
        <w:rPr>
          <w:rFonts w:ascii="Times New Roman" w:eastAsia="Times New Roman" w:hAnsi="Times New Roman" w:cs="Times New Roman"/>
          <w:sz w:val="24"/>
          <w:szCs w:val="24"/>
          <w:lang w:eastAsia="en-AU"/>
        </w:rPr>
        <w:t xml:space="preserve"> Act</w:t>
      </w:r>
      <w:r w:rsidRPr="00AB0A9C">
        <w:rPr>
          <w:rFonts w:ascii="Times New Roman" w:eastAsia="Times New Roman" w:hAnsi="Times New Roman" w:cs="Times New Roman"/>
          <w:sz w:val="24"/>
          <w:szCs w:val="24"/>
          <w:lang w:eastAsia="en-AU"/>
        </w:rPr>
        <w:t xml:space="preserve">, meaning they are not eligible for participation in the ERF Scheme. The list of excluded offsets projects set out in the Regulations </w:t>
      </w:r>
      <w:r w:rsidR="00532417">
        <w:rPr>
          <w:rFonts w:ascii="Times New Roman" w:eastAsia="Times New Roman" w:hAnsi="Times New Roman" w:cs="Times New Roman"/>
          <w:sz w:val="24"/>
          <w:szCs w:val="24"/>
          <w:lang w:eastAsia="en-AU"/>
        </w:rPr>
        <w:t>has</w:t>
      </w:r>
      <w:r>
        <w:rPr>
          <w:rFonts w:ascii="Times New Roman" w:eastAsia="Times New Roman" w:hAnsi="Times New Roman" w:cs="Times New Roman"/>
          <w:sz w:val="24"/>
          <w:szCs w:val="24"/>
          <w:lang w:eastAsia="en-AU"/>
        </w:rPr>
        <w:t xml:space="preserve"> also</w:t>
      </w:r>
      <w:r w:rsidRPr="00AB0A9C">
        <w:rPr>
          <w:rFonts w:ascii="Times New Roman" w:eastAsia="Times New Roman" w:hAnsi="Times New Roman" w:cs="Times New Roman"/>
          <w:sz w:val="24"/>
          <w:szCs w:val="24"/>
          <w:lang w:eastAsia="en-AU"/>
        </w:rPr>
        <w:t xml:space="preserve"> known </w:t>
      </w:r>
      <w:r w:rsidR="00532417">
        <w:rPr>
          <w:rFonts w:ascii="Times New Roman" w:eastAsia="Times New Roman" w:hAnsi="Times New Roman" w:cs="Times New Roman"/>
          <w:sz w:val="24"/>
          <w:szCs w:val="24"/>
          <w:lang w:eastAsia="en-AU"/>
        </w:rPr>
        <w:t xml:space="preserve">been known </w:t>
      </w:r>
      <w:r w:rsidRPr="00AB0A9C">
        <w:rPr>
          <w:rFonts w:ascii="Times New Roman" w:eastAsia="Times New Roman" w:hAnsi="Times New Roman" w:cs="Times New Roman"/>
          <w:sz w:val="24"/>
          <w:szCs w:val="24"/>
          <w:lang w:eastAsia="en-AU"/>
        </w:rPr>
        <w:t>as the ‘negative lis</w:t>
      </w:r>
      <w:r w:rsidR="00532417">
        <w:rPr>
          <w:rFonts w:ascii="Times New Roman" w:eastAsia="Times New Roman" w:hAnsi="Times New Roman" w:cs="Times New Roman"/>
          <w:sz w:val="24"/>
          <w:szCs w:val="24"/>
          <w:lang w:eastAsia="en-AU"/>
        </w:rPr>
        <w:t>t’. These exclusions relate to:</w:t>
      </w:r>
    </w:p>
    <w:p w14:paraId="44A20492" w14:textId="77777777" w:rsidR="00AB0A9C" w:rsidRDefault="00AB0A9C" w:rsidP="00AB0A9C">
      <w:pPr>
        <w:pStyle w:val="ListParagraph"/>
        <w:numPr>
          <w:ilvl w:val="0"/>
          <w:numId w:val="12"/>
        </w:numPr>
        <w:spacing w:before="240"/>
        <w:rPr>
          <w:rFonts w:ascii="Times New Roman" w:eastAsia="Times New Roman" w:hAnsi="Times New Roman"/>
          <w:sz w:val="24"/>
          <w:szCs w:val="24"/>
          <w:lang w:eastAsia="en-AU"/>
        </w:rPr>
      </w:pPr>
      <w:r w:rsidRPr="00AB0A9C">
        <w:rPr>
          <w:rFonts w:ascii="Times New Roman" w:eastAsia="Times New Roman" w:hAnsi="Times New Roman"/>
          <w:sz w:val="24"/>
          <w:szCs w:val="24"/>
          <w:lang w:eastAsia="en-AU"/>
        </w:rPr>
        <w:t xml:space="preserve">Projects involving an activity that was mandatory under a Commonwealth, State or Territory Law and is no longer mandatory because the law was repealed or became less onerous after 24 March 2011 </w:t>
      </w:r>
    </w:p>
    <w:p w14:paraId="3F75C2A1" w14:textId="77777777" w:rsidR="00532417" w:rsidRDefault="00AB0A9C" w:rsidP="00AB0A9C">
      <w:pPr>
        <w:pStyle w:val="ListParagraph"/>
        <w:numPr>
          <w:ilvl w:val="0"/>
          <w:numId w:val="12"/>
        </w:numPr>
        <w:spacing w:before="240"/>
        <w:rPr>
          <w:rFonts w:ascii="Times New Roman" w:eastAsia="Times New Roman" w:hAnsi="Times New Roman"/>
          <w:sz w:val="24"/>
          <w:szCs w:val="24"/>
          <w:lang w:eastAsia="en-AU"/>
        </w:rPr>
      </w:pPr>
      <w:r w:rsidRPr="00AB0A9C">
        <w:rPr>
          <w:rFonts w:ascii="Times New Roman" w:eastAsia="Times New Roman" w:hAnsi="Times New Roman"/>
          <w:sz w:val="24"/>
          <w:szCs w:val="24"/>
          <w:lang w:eastAsia="en-AU"/>
        </w:rPr>
        <w:t xml:space="preserve">The establishment of vegetation in certain circumstances including; </w:t>
      </w:r>
    </w:p>
    <w:p w14:paraId="76DA7133" w14:textId="056F5C4B" w:rsidR="00AB0A9C" w:rsidRDefault="00AB0A9C" w:rsidP="00532417">
      <w:pPr>
        <w:pStyle w:val="ListParagraph"/>
        <w:numPr>
          <w:ilvl w:val="1"/>
          <w:numId w:val="12"/>
        </w:numPr>
        <w:spacing w:before="240"/>
        <w:rPr>
          <w:rFonts w:ascii="Times New Roman" w:eastAsia="Times New Roman" w:hAnsi="Times New Roman"/>
          <w:sz w:val="24"/>
          <w:szCs w:val="24"/>
          <w:lang w:eastAsia="en-AU"/>
        </w:rPr>
      </w:pPr>
      <w:r w:rsidRPr="00AB0A9C">
        <w:rPr>
          <w:rFonts w:ascii="Times New Roman" w:eastAsia="Times New Roman" w:hAnsi="Times New Roman"/>
          <w:sz w:val="24"/>
          <w:szCs w:val="24"/>
          <w:lang w:eastAsia="en-AU"/>
        </w:rPr>
        <w:t xml:space="preserve">Where the species being planted are known weeds in that area; </w:t>
      </w:r>
    </w:p>
    <w:p w14:paraId="49693C66" w14:textId="77777777" w:rsidR="00AB0A9C" w:rsidRDefault="00AB0A9C" w:rsidP="00AB0A9C">
      <w:pPr>
        <w:pStyle w:val="ListParagraph"/>
        <w:numPr>
          <w:ilvl w:val="1"/>
          <w:numId w:val="12"/>
        </w:numPr>
        <w:spacing w:before="240"/>
        <w:rPr>
          <w:rFonts w:ascii="Times New Roman" w:eastAsia="Times New Roman" w:hAnsi="Times New Roman"/>
          <w:sz w:val="24"/>
          <w:szCs w:val="24"/>
          <w:lang w:eastAsia="en-AU"/>
        </w:rPr>
      </w:pPr>
      <w:r w:rsidRPr="00AB0A9C">
        <w:rPr>
          <w:rFonts w:ascii="Times New Roman" w:eastAsia="Times New Roman" w:hAnsi="Times New Roman"/>
          <w:sz w:val="24"/>
          <w:szCs w:val="24"/>
          <w:lang w:eastAsia="en-AU"/>
        </w:rPr>
        <w:t>Where the forest is to be established under a specific fores</w:t>
      </w:r>
      <w:r>
        <w:rPr>
          <w:rFonts w:ascii="Times New Roman" w:eastAsia="Times New Roman" w:hAnsi="Times New Roman"/>
          <w:sz w:val="24"/>
          <w:szCs w:val="24"/>
          <w:lang w:eastAsia="en-AU"/>
        </w:rPr>
        <w:t xml:space="preserve">try managed investment scheme; </w:t>
      </w:r>
      <w:r w:rsidRPr="00AB0A9C">
        <w:rPr>
          <w:rFonts w:ascii="Times New Roman" w:eastAsia="Times New Roman" w:hAnsi="Times New Roman"/>
          <w:sz w:val="24"/>
          <w:szCs w:val="24"/>
          <w:lang w:eastAsia="en-AU"/>
        </w:rPr>
        <w:t xml:space="preserve"> </w:t>
      </w:r>
    </w:p>
    <w:p w14:paraId="3F276653" w14:textId="77777777" w:rsidR="00AB0A9C" w:rsidRDefault="00AB0A9C" w:rsidP="00AB0A9C">
      <w:pPr>
        <w:pStyle w:val="ListParagraph"/>
        <w:numPr>
          <w:ilvl w:val="1"/>
          <w:numId w:val="12"/>
        </w:numPr>
        <w:spacing w:before="240"/>
        <w:rPr>
          <w:rFonts w:ascii="Times New Roman" w:eastAsia="Times New Roman" w:hAnsi="Times New Roman"/>
          <w:sz w:val="24"/>
          <w:szCs w:val="24"/>
          <w:lang w:eastAsia="en-AU"/>
        </w:rPr>
      </w:pPr>
      <w:r w:rsidRPr="00AB0A9C">
        <w:rPr>
          <w:rFonts w:ascii="Times New Roman" w:eastAsia="Times New Roman" w:hAnsi="Times New Roman"/>
          <w:sz w:val="24"/>
          <w:szCs w:val="24"/>
          <w:lang w:eastAsia="en-AU"/>
        </w:rPr>
        <w:t>On land where native forest has been illegally cleared</w:t>
      </w:r>
      <w:r>
        <w:rPr>
          <w:rFonts w:ascii="Times New Roman" w:eastAsia="Times New Roman" w:hAnsi="Times New Roman"/>
          <w:sz w:val="24"/>
          <w:szCs w:val="24"/>
          <w:lang w:eastAsia="en-AU"/>
        </w:rPr>
        <w:t xml:space="preserve"> or wetland illegally drained </w:t>
      </w:r>
    </w:p>
    <w:p w14:paraId="63698D72" w14:textId="1C346BEF" w:rsidR="00AB0A9C" w:rsidRDefault="00AB0A9C" w:rsidP="00AB0A9C">
      <w:pPr>
        <w:pStyle w:val="ListParagraph"/>
        <w:numPr>
          <w:ilvl w:val="1"/>
          <w:numId w:val="12"/>
        </w:numPr>
        <w:spacing w:before="240"/>
        <w:rPr>
          <w:rFonts w:ascii="Times New Roman" w:eastAsia="Times New Roman" w:hAnsi="Times New Roman"/>
          <w:sz w:val="24"/>
          <w:szCs w:val="24"/>
          <w:lang w:eastAsia="en-AU"/>
        </w:rPr>
      </w:pPr>
      <w:r w:rsidRPr="00AB0A9C">
        <w:rPr>
          <w:rFonts w:ascii="Times New Roman" w:eastAsia="Times New Roman" w:hAnsi="Times New Roman"/>
          <w:sz w:val="24"/>
          <w:szCs w:val="24"/>
          <w:lang w:eastAsia="en-AU"/>
        </w:rPr>
        <w:t>On land that has been subject to clearing or draining that was not illegal, within 7 years of application for registration of a project (or 5 years wher</w:t>
      </w:r>
      <w:r>
        <w:rPr>
          <w:rFonts w:ascii="Times New Roman" w:eastAsia="Times New Roman" w:hAnsi="Times New Roman"/>
          <w:sz w:val="24"/>
          <w:szCs w:val="24"/>
          <w:lang w:eastAsia="en-AU"/>
        </w:rPr>
        <w:t>e land ownership has changed</w:t>
      </w:r>
      <w:r w:rsidR="00532417">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w:t>
      </w:r>
    </w:p>
    <w:p w14:paraId="434E868D" w14:textId="77777777" w:rsidR="00AB0A9C" w:rsidRDefault="00AB0A9C" w:rsidP="00AB0A9C">
      <w:pPr>
        <w:pStyle w:val="ListParagraph"/>
        <w:numPr>
          <w:ilvl w:val="1"/>
          <w:numId w:val="12"/>
        </w:numPr>
        <w:spacing w:before="240"/>
        <w:rPr>
          <w:rFonts w:ascii="Times New Roman" w:eastAsia="Times New Roman" w:hAnsi="Times New Roman"/>
          <w:sz w:val="24"/>
          <w:szCs w:val="24"/>
          <w:lang w:eastAsia="en-AU"/>
        </w:rPr>
      </w:pPr>
      <w:r w:rsidRPr="00AB0A9C">
        <w:rPr>
          <w:rFonts w:ascii="Times New Roman" w:eastAsia="Times New Roman" w:hAnsi="Times New Roman"/>
          <w:sz w:val="24"/>
          <w:szCs w:val="24"/>
          <w:lang w:eastAsia="en-AU"/>
        </w:rPr>
        <w:t>Certain circumstances where a clearing consent or harvest approval plan was granted on the basis that clearing or harvesting would contribute to an environmental benefit or was for fire manag</w:t>
      </w:r>
      <w:r>
        <w:rPr>
          <w:rFonts w:ascii="Times New Roman" w:eastAsia="Times New Roman" w:hAnsi="Times New Roman"/>
          <w:sz w:val="24"/>
          <w:szCs w:val="24"/>
          <w:lang w:eastAsia="en-AU"/>
        </w:rPr>
        <w:t xml:space="preserve">ement; </w:t>
      </w:r>
    </w:p>
    <w:p w14:paraId="0E87E84F" w14:textId="6958FD0B" w:rsidR="00AB0A9C" w:rsidRDefault="00AB0A9C" w:rsidP="00AB0A9C">
      <w:pPr>
        <w:pStyle w:val="ListParagraph"/>
        <w:numPr>
          <w:ilvl w:val="1"/>
          <w:numId w:val="12"/>
        </w:numPr>
        <w:spacing w:before="240"/>
        <w:rPr>
          <w:rFonts w:ascii="Times New Roman" w:eastAsia="Times New Roman" w:hAnsi="Times New Roman"/>
          <w:sz w:val="24"/>
          <w:szCs w:val="24"/>
          <w:lang w:eastAsia="en-AU"/>
        </w:rPr>
      </w:pPr>
      <w:r w:rsidRPr="00AB0A9C">
        <w:rPr>
          <w:rFonts w:ascii="Times New Roman" w:eastAsia="Times New Roman" w:hAnsi="Times New Roman"/>
          <w:sz w:val="24"/>
          <w:szCs w:val="24"/>
          <w:lang w:eastAsia="en-AU"/>
        </w:rPr>
        <w:t xml:space="preserve">Specified tree planting. In addition, the Regulations set out circumstances where ‘specified tree planting’ projects are not considered </w:t>
      </w:r>
      <w:r w:rsidR="004B153E">
        <w:rPr>
          <w:rFonts w:ascii="Times New Roman" w:eastAsia="Times New Roman" w:hAnsi="Times New Roman"/>
          <w:sz w:val="24"/>
          <w:szCs w:val="24"/>
          <w:lang w:eastAsia="en-AU"/>
        </w:rPr>
        <w:t>to be excluded offsets projects</w:t>
      </w:r>
      <w:r w:rsidRPr="00AB0A9C">
        <w:rPr>
          <w:rFonts w:ascii="Times New Roman" w:eastAsia="Times New Roman" w:hAnsi="Times New Roman"/>
          <w:sz w:val="24"/>
          <w:szCs w:val="24"/>
          <w:lang w:eastAsia="en-AU"/>
        </w:rPr>
        <w:t>, including where planting of trees is unlikely to have a material adverse on the availability of water due to its location in a specified region.</w:t>
      </w:r>
    </w:p>
    <w:p w14:paraId="01A22C61" w14:textId="43A95B64" w:rsidR="00532417" w:rsidRPr="00AB0A9C" w:rsidRDefault="00532417" w:rsidP="00532417">
      <w:pPr>
        <w:spacing w:before="240"/>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Consistent with section 56 of the Act, the Minister is satisfied that the continued exclusion of these kinds of projects is appropriate to address </w:t>
      </w:r>
      <w:r w:rsidRPr="00AB0A9C">
        <w:rPr>
          <w:rFonts w:ascii="Times New Roman" w:eastAsia="Times New Roman" w:hAnsi="Times New Roman" w:cs="Times New Roman"/>
          <w:sz w:val="24"/>
          <w:szCs w:val="24"/>
          <w:lang w:eastAsia="en-AU"/>
        </w:rPr>
        <w:t>material adverse impact</w:t>
      </w:r>
      <w:r>
        <w:rPr>
          <w:rFonts w:ascii="Times New Roman" w:eastAsia="Times New Roman" w:hAnsi="Times New Roman" w:cs="Times New Roman"/>
          <w:sz w:val="24"/>
          <w:szCs w:val="24"/>
          <w:lang w:eastAsia="en-AU"/>
        </w:rPr>
        <w:t>s on</w:t>
      </w:r>
      <w:r w:rsidRPr="00AB0A9C">
        <w:rPr>
          <w:rFonts w:ascii="Times New Roman" w:eastAsia="Times New Roman" w:hAnsi="Times New Roman" w:cs="Times New Roman"/>
          <w:sz w:val="24"/>
          <w:szCs w:val="24"/>
          <w:lang w:eastAsia="en-AU"/>
        </w:rPr>
        <w:t xml:space="preserve"> the availability </w:t>
      </w:r>
      <w:r>
        <w:rPr>
          <w:rFonts w:ascii="Times New Roman" w:eastAsia="Times New Roman" w:hAnsi="Times New Roman" w:cs="Times New Roman"/>
          <w:sz w:val="24"/>
          <w:szCs w:val="24"/>
          <w:lang w:eastAsia="en-AU"/>
        </w:rPr>
        <w:t>of water;</w:t>
      </w:r>
      <w:r w:rsidRPr="00AB0A9C">
        <w:rPr>
          <w:rFonts w:ascii="Times New Roman" w:eastAsia="Times New Roman" w:hAnsi="Times New Roman" w:cs="Times New Roman"/>
          <w:sz w:val="24"/>
          <w:szCs w:val="24"/>
          <w:lang w:eastAsia="en-AU"/>
        </w:rPr>
        <w:t xml:space="preserve"> the c</w:t>
      </w:r>
      <w:r>
        <w:rPr>
          <w:rFonts w:ascii="Times New Roman" w:eastAsia="Times New Roman" w:hAnsi="Times New Roman" w:cs="Times New Roman"/>
          <w:sz w:val="24"/>
          <w:szCs w:val="24"/>
          <w:lang w:eastAsia="en-AU"/>
        </w:rPr>
        <w:t>onservation of biodiversity;</w:t>
      </w:r>
      <w:r w:rsidRPr="00AB0A9C">
        <w:rPr>
          <w:rFonts w:ascii="Times New Roman" w:eastAsia="Times New Roman" w:hAnsi="Times New Roman" w:cs="Times New Roman"/>
          <w:sz w:val="24"/>
          <w:szCs w:val="24"/>
          <w:lang w:eastAsia="en-AU"/>
        </w:rPr>
        <w:t xml:space="preserve"> the</w:t>
      </w:r>
      <w:r>
        <w:rPr>
          <w:rFonts w:ascii="Times New Roman" w:eastAsia="Times New Roman" w:hAnsi="Times New Roman" w:cs="Times New Roman"/>
          <w:sz w:val="24"/>
          <w:szCs w:val="24"/>
          <w:lang w:eastAsia="en-AU"/>
        </w:rPr>
        <w:t xml:space="preserve"> local community and</w:t>
      </w:r>
      <w:r w:rsidRPr="00AB0A9C">
        <w:rPr>
          <w:rFonts w:ascii="Times New Roman" w:eastAsia="Times New Roman" w:hAnsi="Times New Roman" w:cs="Times New Roman"/>
          <w:sz w:val="24"/>
          <w:szCs w:val="24"/>
          <w:lang w:eastAsia="en-AU"/>
        </w:rPr>
        <w:t xml:space="preserve"> land access for agricultural production</w:t>
      </w:r>
      <w:r>
        <w:rPr>
          <w:rFonts w:ascii="Times New Roman" w:eastAsia="Times New Roman" w:hAnsi="Times New Roman" w:cs="Times New Roman"/>
          <w:sz w:val="24"/>
          <w:szCs w:val="24"/>
          <w:lang w:eastAsia="en-AU"/>
        </w:rPr>
        <w:t xml:space="preserve"> that would otherwise occur.</w:t>
      </w:r>
    </w:p>
    <w:p w14:paraId="509EB707" w14:textId="7E35DF9E" w:rsidR="005A4229" w:rsidRPr="00472749" w:rsidRDefault="005A4229" w:rsidP="006D7A59">
      <w:pPr>
        <w:spacing w:before="240"/>
        <w:rPr>
          <w:rFonts w:ascii="Times New Roman" w:hAnsi="Times New Roman"/>
          <w:b/>
          <w:bCs/>
          <w:sz w:val="24"/>
          <w:szCs w:val="24"/>
        </w:rPr>
      </w:pPr>
      <w:r w:rsidRPr="00472749">
        <w:rPr>
          <w:rFonts w:ascii="Times New Roman" w:hAnsi="Times New Roman"/>
          <w:b/>
          <w:bCs/>
          <w:sz w:val="24"/>
          <w:szCs w:val="24"/>
        </w:rPr>
        <w:lastRenderedPageBreak/>
        <w:t>Detailed description of the Amendment Rule</w:t>
      </w:r>
    </w:p>
    <w:p w14:paraId="73E066C6" w14:textId="77777777" w:rsidR="005A4229" w:rsidRPr="00BB395A" w:rsidRDefault="005A4229" w:rsidP="005A4229">
      <w:pPr>
        <w:pStyle w:val="base-text-paragraphnonumbers"/>
        <w:spacing w:before="140" w:after="140"/>
        <w:ind w:left="0"/>
        <w:rPr>
          <w:szCs w:val="24"/>
        </w:rPr>
      </w:pPr>
      <w:r w:rsidRPr="00472749">
        <w:rPr>
          <w:szCs w:val="24"/>
          <w:u w:val="single"/>
        </w:rPr>
        <w:t>Attachment A</w:t>
      </w:r>
      <w:r w:rsidRPr="00472749">
        <w:rPr>
          <w:szCs w:val="24"/>
        </w:rPr>
        <w:t xml:space="preserve"> outlines and describes the sections in the Amendment Rule. </w:t>
      </w:r>
    </w:p>
    <w:p w14:paraId="02D3B4F7" w14:textId="77777777" w:rsidR="005A4229" w:rsidRDefault="005A4229" w:rsidP="005A4229">
      <w:pPr>
        <w:spacing w:before="240" w:line="240" w:lineRule="auto"/>
        <w:rPr>
          <w:rFonts w:ascii="Times New Roman" w:hAnsi="Times New Roman"/>
          <w:b/>
          <w:bCs/>
          <w:sz w:val="24"/>
          <w:szCs w:val="24"/>
        </w:rPr>
      </w:pPr>
      <w:r w:rsidRPr="00472749">
        <w:rPr>
          <w:rFonts w:ascii="Times New Roman" w:hAnsi="Times New Roman"/>
          <w:b/>
          <w:bCs/>
          <w:sz w:val="24"/>
          <w:szCs w:val="24"/>
        </w:rPr>
        <w:t xml:space="preserve">Public consultation </w:t>
      </w:r>
    </w:p>
    <w:p w14:paraId="6A4BFE3A" w14:textId="3297D59E" w:rsidR="00AB0A9C" w:rsidRPr="00C11F23" w:rsidRDefault="00C11F23" w:rsidP="005A4229">
      <w:pPr>
        <w:spacing w:before="240" w:line="240" w:lineRule="auto"/>
        <w:rPr>
          <w:rFonts w:ascii="Times New Roman" w:hAnsi="Times New Roman"/>
          <w:bCs/>
          <w:sz w:val="24"/>
          <w:szCs w:val="24"/>
        </w:rPr>
      </w:pPr>
      <w:r w:rsidRPr="00C11F23">
        <w:rPr>
          <w:rFonts w:ascii="Times New Roman" w:hAnsi="Times New Roman"/>
          <w:bCs/>
          <w:sz w:val="24"/>
          <w:szCs w:val="24"/>
        </w:rPr>
        <w:t xml:space="preserve">Public consultation was undertaken from </w:t>
      </w:r>
      <w:r>
        <w:rPr>
          <w:rFonts w:ascii="Times New Roman" w:hAnsi="Times New Roman"/>
          <w:bCs/>
          <w:sz w:val="24"/>
          <w:szCs w:val="24"/>
        </w:rPr>
        <w:t>3 March 2022 to 17 March 2022 on a discussion paper setting out the proposed</w:t>
      </w:r>
      <w:r w:rsidRPr="00C11F23">
        <w:rPr>
          <w:rFonts w:ascii="Times New Roman" w:hAnsi="Times New Roman"/>
          <w:bCs/>
          <w:sz w:val="24"/>
          <w:szCs w:val="24"/>
        </w:rPr>
        <w:t xml:space="preserve"> amendments</w:t>
      </w:r>
      <w:r>
        <w:rPr>
          <w:rFonts w:ascii="Times New Roman" w:hAnsi="Times New Roman"/>
          <w:bCs/>
          <w:sz w:val="24"/>
          <w:szCs w:val="24"/>
        </w:rPr>
        <w:t xml:space="preserve"> to the Principal Rule</w:t>
      </w:r>
      <w:r w:rsidRPr="00C11F23">
        <w:rPr>
          <w:rFonts w:ascii="Times New Roman" w:hAnsi="Times New Roman"/>
          <w:bCs/>
          <w:sz w:val="24"/>
          <w:szCs w:val="24"/>
        </w:rPr>
        <w:t xml:space="preserve">. Submissions were received both in support of and opposing the proposed amendments. </w:t>
      </w:r>
      <w:r>
        <w:rPr>
          <w:rFonts w:ascii="Times New Roman" w:hAnsi="Times New Roman"/>
          <w:bCs/>
          <w:sz w:val="24"/>
          <w:szCs w:val="24"/>
        </w:rPr>
        <w:t>The majority of submissions received expressed strong support for retaining the entirety of the excluded offsets projects list if they were moved in to the Rule, and were generally supportive of consolidating those requirements in the Principal Rule. No changes were made to the proposal to transition all excluded offsets project types in to the Principal Rule after submissions were considered.</w:t>
      </w:r>
    </w:p>
    <w:p w14:paraId="48BBBB0F" w14:textId="63F50E7C" w:rsidR="005A4229" w:rsidRPr="00472749" w:rsidRDefault="005A4229" w:rsidP="005A4229">
      <w:pPr>
        <w:spacing w:before="240" w:line="240" w:lineRule="auto"/>
        <w:rPr>
          <w:rFonts w:ascii="Times New Roman" w:hAnsi="Times New Roman"/>
          <w:b/>
          <w:bCs/>
          <w:sz w:val="24"/>
          <w:szCs w:val="24"/>
        </w:rPr>
      </w:pPr>
      <w:r w:rsidRPr="00472749">
        <w:rPr>
          <w:rFonts w:ascii="Times New Roman" w:hAnsi="Times New Roman"/>
          <w:b/>
          <w:bCs/>
          <w:sz w:val="24"/>
          <w:szCs w:val="24"/>
        </w:rPr>
        <w:t>Regulatory impact</w:t>
      </w:r>
    </w:p>
    <w:p w14:paraId="6503FEB2" w14:textId="11D01A6B" w:rsidR="00A200EB" w:rsidRPr="00A200EB" w:rsidRDefault="00C11F23" w:rsidP="00A200EB">
      <w:pPr>
        <w:rPr>
          <w:rFonts w:ascii="Times New Roman" w:hAnsi="Times New Roman" w:cs="Times New Roman"/>
          <w:iCs/>
          <w:sz w:val="24"/>
          <w:szCs w:val="24"/>
        </w:rPr>
      </w:pPr>
      <w:r w:rsidRPr="00C11F23">
        <w:rPr>
          <w:rFonts w:ascii="Times New Roman" w:hAnsi="Times New Roman" w:cs="Times New Roman"/>
          <w:iCs/>
          <w:sz w:val="24"/>
          <w:szCs w:val="24"/>
        </w:rPr>
        <w:t xml:space="preserve">The Department of the Environment certified </w:t>
      </w:r>
      <w:r w:rsidR="004B153E">
        <w:rPr>
          <w:rFonts w:ascii="Times New Roman" w:hAnsi="Times New Roman" w:cs="Times New Roman"/>
          <w:iCs/>
          <w:sz w:val="24"/>
          <w:szCs w:val="24"/>
        </w:rPr>
        <w:t>the ERF</w:t>
      </w:r>
      <w:r w:rsidRPr="00C11F23">
        <w:rPr>
          <w:rFonts w:ascii="Times New Roman" w:hAnsi="Times New Roman" w:cs="Times New Roman"/>
          <w:iCs/>
          <w:sz w:val="24"/>
          <w:szCs w:val="24"/>
        </w:rPr>
        <w:t xml:space="preserve"> White Paper as a Regulation Impact Statement for initial decisions on </w:t>
      </w:r>
      <w:r w:rsidR="004B153E">
        <w:rPr>
          <w:rFonts w:ascii="Times New Roman" w:hAnsi="Times New Roman" w:cs="Times New Roman"/>
          <w:iCs/>
          <w:sz w:val="24"/>
          <w:szCs w:val="24"/>
        </w:rPr>
        <w:t>the ERF</w:t>
      </w:r>
      <w:r w:rsidRPr="00C11F23">
        <w:rPr>
          <w:rFonts w:ascii="Times New Roman" w:hAnsi="Times New Roman" w:cs="Times New Roman"/>
          <w:iCs/>
          <w:sz w:val="24"/>
          <w:szCs w:val="24"/>
        </w:rPr>
        <w:t xml:space="preserve">. These decisions included the </w:t>
      </w:r>
      <w:r w:rsidR="004B153E">
        <w:rPr>
          <w:rFonts w:ascii="Times New Roman" w:hAnsi="Times New Roman" w:cs="Times New Roman"/>
          <w:iCs/>
          <w:sz w:val="24"/>
          <w:szCs w:val="24"/>
        </w:rPr>
        <w:t>ERF</w:t>
      </w:r>
      <w:r w:rsidRPr="00C11F23">
        <w:rPr>
          <w:rFonts w:ascii="Times New Roman" w:hAnsi="Times New Roman" w:cs="Times New Roman"/>
          <w:iCs/>
          <w:sz w:val="24"/>
          <w:szCs w:val="24"/>
        </w:rPr>
        <w:t xml:space="preserve"> crediting and purchasing arrangements, Carbon Farming Initiative arrangements incorporated into the </w:t>
      </w:r>
      <w:r w:rsidR="004B153E">
        <w:rPr>
          <w:rFonts w:ascii="Times New Roman" w:hAnsi="Times New Roman" w:cs="Times New Roman"/>
          <w:iCs/>
          <w:sz w:val="24"/>
          <w:szCs w:val="24"/>
        </w:rPr>
        <w:t>ERF</w:t>
      </w:r>
      <w:r>
        <w:rPr>
          <w:rFonts w:ascii="Times New Roman" w:hAnsi="Times New Roman" w:cs="Times New Roman"/>
          <w:iCs/>
          <w:sz w:val="24"/>
          <w:szCs w:val="24"/>
        </w:rPr>
        <w:t xml:space="preserve"> (including the </w:t>
      </w:r>
      <w:r w:rsidR="00D7701E">
        <w:rPr>
          <w:rFonts w:ascii="Times New Roman" w:hAnsi="Times New Roman" w:cs="Times New Roman"/>
          <w:iCs/>
          <w:sz w:val="24"/>
          <w:szCs w:val="24"/>
        </w:rPr>
        <w:t>negative list)</w:t>
      </w:r>
      <w:r w:rsidRPr="00C11F23">
        <w:rPr>
          <w:rFonts w:ascii="Times New Roman" w:hAnsi="Times New Roman" w:cs="Times New Roman"/>
          <w:iCs/>
          <w:sz w:val="24"/>
          <w:szCs w:val="24"/>
        </w:rPr>
        <w:t xml:space="preserve"> and coverage of the </w:t>
      </w:r>
      <w:r w:rsidR="004B153E">
        <w:rPr>
          <w:rFonts w:ascii="Times New Roman" w:hAnsi="Times New Roman" w:cs="Times New Roman"/>
          <w:iCs/>
          <w:sz w:val="24"/>
          <w:szCs w:val="24"/>
        </w:rPr>
        <w:t>ERF</w:t>
      </w:r>
      <w:r w:rsidRPr="00C11F23">
        <w:rPr>
          <w:rFonts w:ascii="Times New Roman" w:hAnsi="Times New Roman" w:cs="Times New Roman"/>
          <w:iCs/>
          <w:sz w:val="24"/>
          <w:szCs w:val="24"/>
        </w:rPr>
        <w:t xml:space="preserve"> safeguard mechanism in accordance with the Australian</w:t>
      </w:r>
      <w:r>
        <w:rPr>
          <w:rFonts w:ascii="Times New Roman" w:hAnsi="Times New Roman" w:cs="Times New Roman"/>
          <w:iCs/>
          <w:sz w:val="24"/>
          <w:szCs w:val="24"/>
        </w:rPr>
        <w:t xml:space="preserve"> Government Guide to Regulation</w:t>
      </w:r>
      <w:r w:rsidR="006E4811" w:rsidRPr="00560287">
        <w:rPr>
          <w:rFonts w:ascii="Times New Roman" w:hAnsi="Times New Roman" w:cs="Times New Roman"/>
          <w:iCs/>
          <w:sz w:val="24"/>
          <w:szCs w:val="24"/>
        </w:rPr>
        <w:t>.</w:t>
      </w:r>
      <w:r w:rsidR="00A200EB" w:rsidRPr="00560287">
        <w:rPr>
          <w:rFonts w:ascii="Times New Roman" w:hAnsi="Times New Roman" w:cs="Times New Roman"/>
          <w:iCs/>
          <w:sz w:val="24"/>
          <w:szCs w:val="24"/>
        </w:rPr>
        <w:t xml:space="preserve"> </w:t>
      </w:r>
    </w:p>
    <w:p w14:paraId="654EE11B" w14:textId="77777777" w:rsidR="005A4229" w:rsidRPr="00472749" w:rsidRDefault="005A4229" w:rsidP="005A4229">
      <w:pPr>
        <w:spacing w:before="240" w:line="240" w:lineRule="auto"/>
        <w:rPr>
          <w:rFonts w:ascii="Times New Roman" w:hAnsi="Times New Roman"/>
          <w:b/>
          <w:bCs/>
          <w:sz w:val="24"/>
          <w:szCs w:val="24"/>
        </w:rPr>
      </w:pPr>
      <w:r w:rsidRPr="00472749">
        <w:rPr>
          <w:rFonts w:ascii="Times New Roman" w:hAnsi="Times New Roman"/>
          <w:b/>
          <w:bCs/>
          <w:sz w:val="24"/>
          <w:szCs w:val="24"/>
        </w:rPr>
        <w:t>Statement of compatibility with human rights</w:t>
      </w:r>
    </w:p>
    <w:p w14:paraId="1E1EBEF9" w14:textId="77777777" w:rsidR="005A4229" w:rsidRPr="00472749" w:rsidRDefault="005A4229" w:rsidP="005A4229">
      <w:pPr>
        <w:pStyle w:val="base-text-paragraphnonumbers"/>
        <w:spacing w:before="140" w:after="140" w:line="259" w:lineRule="auto"/>
        <w:ind w:left="0"/>
        <w:rPr>
          <w:szCs w:val="24"/>
        </w:rPr>
      </w:pPr>
      <w:r w:rsidRPr="00472749">
        <w:rPr>
          <w:szCs w:val="24"/>
        </w:rPr>
        <w:t xml:space="preserve">A statement of compatibility with human rights for the purposes of Part 3 of </w:t>
      </w:r>
      <w:r w:rsidRPr="00472749">
        <w:rPr>
          <w:i/>
          <w:szCs w:val="24"/>
        </w:rPr>
        <w:t>the Human Rights (Parliamentary Scrutiny) Act 2011</w:t>
      </w:r>
      <w:r w:rsidRPr="00472749">
        <w:rPr>
          <w:szCs w:val="24"/>
        </w:rPr>
        <w:t xml:space="preserve"> is set out at </w:t>
      </w:r>
      <w:r w:rsidRPr="00472749">
        <w:rPr>
          <w:szCs w:val="24"/>
          <w:u w:val="single"/>
        </w:rPr>
        <w:t>Attachment B</w:t>
      </w:r>
      <w:r w:rsidRPr="00472749">
        <w:rPr>
          <w:szCs w:val="24"/>
        </w:rPr>
        <w:t>.</w:t>
      </w:r>
    </w:p>
    <w:p w14:paraId="1C911B18" w14:textId="77777777" w:rsidR="005A4229" w:rsidRPr="00472749" w:rsidRDefault="005A4229" w:rsidP="005A4229">
      <w:pPr>
        <w:spacing w:before="140" w:after="140" w:line="240" w:lineRule="auto"/>
        <w:rPr>
          <w:rFonts w:ascii="Times New Roman" w:hAnsi="Times New Roman"/>
          <w:b/>
          <w:sz w:val="24"/>
          <w:szCs w:val="24"/>
        </w:rPr>
      </w:pPr>
    </w:p>
    <w:p w14:paraId="05C929E2" w14:textId="77777777" w:rsidR="005A4229" w:rsidRDefault="005A4229" w:rsidP="005A4229">
      <w:pPr>
        <w:rPr>
          <w:rFonts w:ascii="Times New Roman" w:hAnsi="Times New Roman"/>
          <w:sz w:val="24"/>
          <w:szCs w:val="24"/>
        </w:rPr>
      </w:pPr>
      <w:r>
        <w:rPr>
          <w:rFonts w:ascii="Times New Roman" w:hAnsi="Times New Roman"/>
          <w:sz w:val="24"/>
          <w:szCs w:val="24"/>
        </w:rPr>
        <w:br w:type="page"/>
      </w:r>
    </w:p>
    <w:p w14:paraId="1158857E" w14:textId="77777777" w:rsidR="005A4229" w:rsidRPr="006140A7" w:rsidRDefault="005A4229" w:rsidP="005A4229">
      <w:pPr>
        <w:pStyle w:val="base-text-paragraphnonumbers"/>
        <w:ind w:left="0"/>
        <w:jc w:val="right"/>
        <w:rPr>
          <w:b/>
          <w:bCs/>
          <w:szCs w:val="24"/>
          <w:u w:val="single"/>
        </w:rPr>
      </w:pPr>
      <w:r w:rsidRPr="006140A7">
        <w:rPr>
          <w:b/>
          <w:bCs/>
          <w:szCs w:val="24"/>
          <w:u w:val="single"/>
        </w:rPr>
        <w:lastRenderedPageBreak/>
        <w:t>ATTACHMENT A</w:t>
      </w:r>
    </w:p>
    <w:p w14:paraId="0C05E3B5" w14:textId="77777777" w:rsidR="005A4229" w:rsidRPr="006140A7" w:rsidRDefault="005A4229" w:rsidP="005A4229">
      <w:pPr>
        <w:pStyle w:val="base-text-paragraphnonumbers"/>
        <w:ind w:left="0"/>
        <w:rPr>
          <w:b/>
          <w:bCs/>
          <w:i/>
          <w:iCs/>
          <w:szCs w:val="24"/>
        </w:rPr>
      </w:pPr>
    </w:p>
    <w:p w14:paraId="58FD3B51" w14:textId="4D3102E4" w:rsidR="005A4229" w:rsidRPr="006140A7" w:rsidRDefault="005A4229" w:rsidP="005A4229">
      <w:pPr>
        <w:spacing w:before="140" w:after="140" w:line="240" w:lineRule="auto"/>
        <w:rPr>
          <w:rFonts w:ascii="Times New Roman" w:hAnsi="Times New Roman"/>
          <w:b/>
          <w:bCs/>
          <w:i/>
          <w:iCs/>
          <w:sz w:val="24"/>
          <w:szCs w:val="24"/>
          <w:u w:val="single"/>
        </w:rPr>
      </w:pPr>
      <w:r w:rsidRPr="006140A7">
        <w:rPr>
          <w:rFonts w:ascii="Times New Roman" w:hAnsi="Times New Roman"/>
          <w:b/>
          <w:bCs/>
          <w:sz w:val="24"/>
          <w:szCs w:val="24"/>
          <w:u w:val="single"/>
        </w:rPr>
        <w:t xml:space="preserve">Details of the sections in the </w:t>
      </w:r>
      <w:r w:rsidR="00AB0A9C">
        <w:rPr>
          <w:rFonts w:ascii="Times New Roman" w:hAnsi="Times New Roman"/>
          <w:b/>
          <w:bCs/>
          <w:i/>
          <w:iCs/>
          <w:sz w:val="24"/>
          <w:szCs w:val="24"/>
          <w:u w:val="single"/>
        </w:rPr>
        <w:t>Carbon Credits (Carbon Farming Initiative) Amendment (Excluded Offsets Projects) Rule 2022</w:t>
      </w:r>
    </w:p>
    <w:p w14:paraId="05D984D8" w14:textId="77777777" w:rsidR="005A4229" w:rsidRPr="006140A7" w:rsidRDefault="005A4229" w:rsidP="005A4229">
      <w:pPr>
        <w:spacing w:before="240" w:line="240" w:lineRule="auto"/>
        <w:rPr>
          <w:rFonts w:ascii="Times New Roman" w:hAnsi="Times New Roman"/>
          <w:sz w:val="24"/>
          <w:szCs w:val="24"/>
          <w:u w:val="single"/>
        </w:rPr>
      </w:pPr>
      <w:r w:rsidRPr="006140A7">
        <w:rPr>
          <w:rFonts w:ascii="Times New Roman" w:hAnsi="Times New Roman"/>
          <w:sz w:val="24"/>
          <w:szCs w:val="24"/>
          <w:u w:val="single"/>
        </w:rPr>
        <w:t xml:space="preserve">1.  Name </w:t>
      </w:r>
    </w:p>
    <w:p w14:paraId="04CA13F6" w14:textId="1BE19FD1" w:rsidR="005A4229" w:rsidRPr="006140A7" w:rsidRDefault="005A4229" w:rsidP="005A4229">
      <w:pPr>
        <w:spacing w:before="140" w:after="140"/>
        <w:rPr>
          <w:rFonts w:ascii="Times New Roman" w:hAnsi="Times New Roman"/>
          <w:sz w:val="24"/>
          <w:szCs w:val="24"/>
        </w:rPr>
      </w:pPr>
      <w:r w:rsidRPr="00292F27">
        <w:rPr>
          <w:rFonts w:ascii="Times New Roman" w:hAnsi="Times New Roman"/>
          <w:sz w:val="24"/>
          <w:szCs w:val="24"/>
        </w:rPr>
        <w:t>Section 1 provides that the name of the Amendment Rule is the</w:t>
      </w:r>
      <w:r w:rsidR="008D2C6E" w:rsidRPr="00292F27">
        <w:rPr>
          <w:rFonts w:ascii="Times New Roman" w:hAnsi="Times New Roman"/>
          <w:sz w:val="24"/>
          <w:szCs w:val="24"/>
        </w:rPr>
        <w:t xml:space="preserve"> </w:t>
      </w:r>
      <w:r w:rsidR="00AB0A9C">
        <w:rPr>
          <w:rFonts w:ascii="Times New Roman" w:hAnsi="Times New Roman"/>
          <w:i/>
          <w:iCs/>
          <w:sz w:val="24"/>
          <w:szCs w:val="24"/>
        </w:rPr>
        <w:t>Carbon Credits (Carbon Farming Initiative) Amendment (Excluded Offsets Projects) Rule 2022</w:t>
      </w:r>
      <w:r w:rsidRPr="00292F27">
        <w:rPr>
          <w:rFonts w:ascii="Times New Roman" w:hAnsi="Times New Roman"/>
          <w:sz w:val="24"/>
          <w:szCs w:val="24"/>
        </w:rPr>
        <w:t>.</w:t>
      </w:r>
    </w:p>
    <w:p w14:paraId="576C6E67" w14:textId="77777777" w:rsidR="005A4229" w:rsidRPr="006140A7" w:rsidRDefault="005A4229" w:rsidP="005A4229">
      <w:pPr>
        <w:spacing w:before="240" w:line="240" w:lineRule="auto"/>
        <w:rPr>
          <w:rFonts w:ascii="Times New Roman" w:hAnsi="Times New Roman"/>
          <w:sz w:val="24"/>
          <w:szCs w:val="24"/>
          <w:u w:val="single"/>
        </w:rPr>
      </w:pPr>
      <w:r w:rsidRPr="006140A7">
        <w:rPr>
          <w:rFonts w:ascii="Times New Roman" w:hAnsi="Times New Roman"/>
          <w:sz w:val="24"/>
          <w:szCs w:val="24"/>
          <w:u w:val="single"/>
        </w:rPr>
        <w:t>2.  Commencement</w:t>
      </w:r>
    </w:p>
    <w:p w14:paraId="75D43B6F" w14:textId="1B1EBA75" w:rsidR="005A4229" w:rsidRPr="006140A7" w:rsidRDefault="005A4229" w:rsidP="005A4229">
      <w:pPr>
        <w:spacing w:before="140" w:after="140"/>
        <w:rPr>
          <w:rFonts w:ascii="Times New Roman" w:hAnsi="Times New Roman"/>
          <w:sz w:val="24"/>
          <w:szCs w:val="24"/>
        </w:rPr>
      </w:pPr>
      <w:r w:rsidRPr="006140A7">
        <w:rPr>
          <w:rFonts w:ascii="Times New Roman" w:hAnsi="Times New Roman"/>
          <w:sz w:val="24"/>
          <w:szCs w:val="24"/>
        </w:rPr>
        <w:t xml:space="preserve">Section 2 provides that the Amendment Rule would commence on the </w:t>
      </w:r>
      <w:r w:rsidR="00101B12">
        <w:rPr>
          <w:rFonts w:ascii="Times New Roman" w:hAnsi="Times New Roman"/>
          <w:sz w:val="24"/>
          <w:szCs w:val="24"/>
        </w:rPr>
        <w:t xml:space="preserve">latter of the </w:t>
      </w:r>
      <w:r w:rsidRPr="006140A7">
        <w:rPr>
          <w:rFonts w:ascii="Times New Roman" w:hAnsi="Times New Roman"/>
          <w:sz w:val="24"/>
          <w:szCs w:val="24"/>
        </w:rPr>
        <w:t>day after it is registered</w:t>
      </w:r>
      <w:r w:rsidR="00101B12">
        <w:rPr>
          <w:rFonts w:ascii="Times New Roman" w:hAnsi="Times New Roman"/>
          <w:sz w:val="24"/>
          <w:szCs w:val="24"/>
        </w:rPr>
        <w:t xml:space="preserve"> or 1 April 2022</w:t>
      </w:r>
      <w:r w:rsidRPr="006140A7">
        <w:rPr>
          <w:rFonts w:ascii="Times New Roman" w:hAnsi="Times New Roman"/>
          <w:sz w:val="24"/>
          <w:szCs w:val="24"/>
        </w:rPr>
        <w:t>.</w:t>
      </w:r>
      <w:r w:rsidR="00101B12">
        <w:rPr>
          <w:rFonts w:ascii="Times New Roman" w:hAnsi="Times New Roman"/>
          <w:sz w:val="24"/>
          <w:szCs w:val="24"/>
        </w:rPr>
        <w:t xml:space="preserve"> This ensures there is no overlap in effect between the Amendment Rule and the Regulations.</w:t>
      </w:r>
      <w:r w:rsidRPr="006140A7">
        <w:rPr>
          <w:rFonts w:ascii="Times New Roman" w:hAnsi="Times New Roman"/>
          <w:sz w:val="24"/>
          <w:szCs w:val="24"/>
        </w:rPr>
        <w:t xml:space="preserve"> </w:t>
      </w:r>
    </w:p>
    <w:p w14:paraId="69F8FF3E" w14:textId="77777777" w:rsidR="005A4229" w:rsidRPr="006140A7" w:rsidRDefault="005A4229" w:rsidP="005A4229">
      <w:pPr>
        <w:spacing w:before="240" w:line="240" w:lineRule="auto"/>
        <w:rPr>
          <w:rFonts w:ascii="Times New Roman" w:hAnsi="Times New Roman"/>
          <w:sz w:val="24"/>
          <w:szCs w:val="24"/>
          <w:u w:val="single"/>
        </w:rPr>
      </w:pPr>
      <w:r w:rsidRPr="006140A7">
        <w:rPr>
          <w:rFonts w:ascii="Times New Roman" w:hAnsi="Times New Roman"/>
          <w:sz w:val="24"/>
          <w:szCs w:val="24"/>
          <w:u w:val="single"/>
        </w:rPr>
        <w:t>3.  Authority</w:t>
      </w:r>
    </w:p>
    <w:p w14:paraId="1064D959" w14:textId="1E213A64" w:rsidR="005A4229" w:rsidRPr="006140A7" w:rsidRDefault="005A4229" w:rsidP="005A4229">
      <w:pPr>
        <w:spacing w:before="140" w:after="140" w:line="240" w:lineRule="auto"/>
        <w:rPr>
          <w:rFonts w:ascii="Times New Roman" w:hAnsi="Times New Roman"/>
          <w:sz w:val="24"/>
          <w:szCs w:val="24"/>
        </w:rPr>
      </w:pPr>
      <w:r w:rsidRPr="006140A7">
        <w:rPr>
          <w:rFonts w:ascii="Times New Roman" w:hAnsi="Times New Roman"/>
          <w:sz w:val="24"/>
          <w:szCs w:val="24"/>
        </w:rPr>
        <w:t>Section 3 provides that the Amendment Rule would be made under section 308 of the Act.</w:t>
      </w:r>
      <w:r w:rsidR="00F41E37">
        <w:rPr>
          <w:rFonts w:ascii="Times New Roman" w:hAnsi="Times New Roman"/>
          <w:sz w:val="24"/>
          <w:szCs w:val="24"/>
        </w:rPr>
        <w:t xml:space="preserve"> </w:t>
      </w:r>
      <w:r w:rsidR="00F41E37" w:rsidRPr="006140A7">
        <w:rPr>
          <w:rFonts w:ascii="Times New Roman" w:hAnsi="Times New Roman"/>
          <w:sz w:val="24"/>
          <w:szCs w:val="24"/>
        </w:rPr>
        <w:t xml:space="preserve">The power to make rules in section 308 of the Act includes the power to amend or revoke rules that have already been made, with any doubt about this resolved by subsection 33(3) of the </w:t>
      </w:r>
      <w:r w:rsidR="00F41E37" w:rsidRPr="006140A7">
        <w:rPr>
          <w:rFonts w:ascii="Times New Roman" w:hAnsi="Times New Roman"/>
          <w:i/>
          <w:sz w:val="24"/>
          <w:szCs w:val="24"/>
        </w:rPr>
        <w:t>Acts Interpretation Act 1901</w:t>
      </w:r>
      <w:r w:rsidR="00F41E37" w:rsidRPr="006140A7">
        <w:rPr>
          <w:rFonts w:ascii="Times New Roman" w:hAnsi="Times New Roman"/>
          <w:sz w:val="24"/>
          <w:szCs w:val="24"/>
        </w:rPr>
        <w:t xml:space="preserve">. </w:t>
      </w:r>
      <w:r w:rsidRPr="006140A7">
        <w:rPr>
          <w:rFonts w:ascii="Times New Roman" w:hAnsi="Times New Roman"/>
          <w:sz w:val="24"/>
          <w:szCs w:val="24"/>
        </w:rPr>
        <w:t xml:space="preserve"> </w:t>
      </w:r>
    </w:p>
    <w:p w14:paraId="07F2ED6C" w14:textId="77777777" w:rsidR="005A4229" w:rsidRPr="006140A7" w:rsidRDefault="005A4229" w:rsidP="005A4229">
      <w:pPr>
        <w:spacing w:before="240" w:line="240" w:lineRule="auto"/>
        <w:rPr>
          <w:rFonts w:ascii="Times New Roman" w:hAnsi="Times New Roman"/>
          <w:sz w:val="24"/>
          <w:szCs w:val="24"/>
          <w:u w:val="single"/>
        </w:rPr>
      </w:pPr>
      <w:r w:rsidRPr="006140A7">
        <w:rPr>
          <w:rFonts w:ascii="Times New Roman" w:hAnsi="Times New Roman"/>
          <w:sz w:val="24"/>
          <w:szCs w:val="24"/>
          <w:u w:val="single"/>
        </w:rPr>
        <w:t>4.  Schedules</w:t>
      </w:r>
    </w:p>
    <w:p w14:paraId="0D8B03A8" w14:textId="5B3EBD02" w:rsidR="005A4229" w:rsidRPr="006140A7" w:rsidRDefault="005A4229" w:rsidP="005A4229">
      <w:pPr>
        <w:spacing w:before="140" w:after="140"/>
        <w:rPr>
          <w:rFonts w:ascii="Times New Roman" w:hAnsi="Times New Roman"/>
          <w:sz w:val="24"/>
          <w:szCs w:val="24"/>
        </w:rPr>
      </w:pPr>
      <w:r w:rsidRPr="006140A7">
        <w:rPr>
          <w:rFonts w:ascii="Times New Roman" w:hAnsi="Times New Roman"/>
          <w:sz w:val="24"/>
          <w:szCs w:val="24"/>
        </w:rPr>
        <w:t xml:space="preserve">Section 4 provides that the Amendment Rule would, when made, amend the </w:t>
      </w:r>
      <w:r w:rsidRPr="006140A7">
        <w:rPr>
          <w:rFonts w:ascii="Times New Roman" w:hAnsi="Times New Roman"/>
          <w:i/>
          <w:iCs/>
          <w:sz w:val="24"/>
          <w:szCs w:val="24"/>
        </w:rPr>
        <w:t xml:space="preserve">Carbon Credits (Carbon Farming Initiative) Rule 2015 </w:t>
      </w:r>
      <w:r w:rsidRPr="006140A7">
        <w:rPr>
          <w:rFonts w:ascii="Times New Roman" w:hAnsi="Times New Roman"/>
          <w:sz w:val="24"/>
          <w:szCs w:val="24"/>
        </w:rPr>
        <w:t>(</w:t>
      </w:r>
      <w:r w:rsidRPr="00782386">
        <w:rPr>
          <w:rFonts w:ascii="Times New Roman" w:hAnsi="Times New Roman"/>
          <w:i/>
          <w:sz w:val="24"/>
          <w:szCs w:val="24"/>
        </w:rPr>
        <w:t xml:space="preserve">the </w:t>
      </w:r>
      <w:r w:rsidRPr="00782386">
        <w:rPr>
          <w:rFonts w:ascii="Times New Roman" w:hAnsi="Times New Roman"/>
          <w:b/>
          <w:i/>
          <w:sz w:val="24"/>
          <w:szCs w:val="24"/>
        </w:rPr>
        <w:t>Principal Rule</w:t>
      </w:r>
      <w:r w:rsidRPr="006140A7">
        <w:rPr>
          <w:rFonts w:ascii="Times New Roman" w:hAnsi="Times New Roman"/>
          <w:sz w:val="24"/>
          <w:szCs w:val="24"/>
        </w:rPr>
        <w:t xml:space="preserve">) in the manner set out in the schedules. </w:t>
      </w:r>
    </w:p>
    <w:p w14:paraId="2917F915" w14:textId="77777777" w:rsidR="005A4229" w:rsidRDefault="005A4229" w:rsidP="005A4229">
      <w:pPr>
        <w:spacing w:before="240" w:line="240" w:lineRule="auto"/>
        <w:rPr>
          <w:rFonts w:ascii="Times New Roman" w:hAnsi="Times New Roman"/>
          <w:sz w:val="24"/>
          <w:szCs w:val="24"/>
          <w:u w:val="single"/>
        </w:rPr>
      </w:pPr>
      <w:r w:rsidRPr="006140A7">
        <w:rPr>
          <w:rFonts w:ascii="Times New Roman" w:hAnsi="Times New Roman"/>
          <w:sz w:val="24"/>
          <w:szCs w:val="24"/>
          <w:u w:val="single"/>
        </w:rPr>
        <w:t>Schedule 1—Amendments</w:t>
      </w:r>
    </w:p>
    <w:p w14:paraId="6DA007D7" w14:textId="2501B814" w:rsidR="001510C6" w:rsidRDefault="00222357" w:rsidP="005A4229">
      <w:pPr>
        <w:spacing w:before="240" w:line="240" w:lineRule="auto"/>
        <w:rPr>
          <w:rFonts w:ascii="Times New Roman" w:hAnsi="Times New Roman"/>
          <w:sz w:val="24"/>
          <w:szCs w:val="24"/>
          <w:u w:val="single"/>
        </w:rPr>
      </w:pPr>
      <w:r>
        <w:rPr>
          <w:rFonts w:ascii="Times New Roman" w:hAnsi="Times New Roman"/>
          <w:sz w:val="24"/>
          <w:szCs w:val="24"/>
          <w:u w:val="single"/>
        </w:rPr>
        <w:t>Item 1:</w:t>
      </w:r>
      <w:r w:rsidR="005A4229">
        <w:rPr>
          <w:rFonts w:ascii="Times New Roman" w:hAnsi="Times New Roman"/>
          <w:sz w:val="24"/>
          <w:szCs w:val="24"/>
          <w:u w:val="single"/>
        </w:rPr>
        <w:t xml:space="preserve"> </w:t>
      </w:r>
      <w:r w:rsidR="00101B12">
        <w:rPr>
          <w:rFonts w:ascii="Times New Roman" w:hAnsi="Times New Roman"/>
          <w:sz w:val="24"/>
          <w:szCs w:val="24"/>
          <w:u w:val="single"/>
        </w:rPr>
        <w:t>After Section 20A</w:t>
      </w:r>
    </w:p>
    <w:p w14:paraId="4DFFA8DD" w14:textId="5F89FD19" w:rsidR="00101B12" w:rsidRDefault="00101B12" w:rsidP="005A4229">
      <w:pPr>
        <w:spacing w:before="240" w:line="240" w:lineRule="auto"/>
        <w:rPr>
          <w:rFonts w:ascii="Times New Roman" w:hAnsi="Times New Roman"/>
          <w:sz w:val="24"/>
          <w:szCs w:val="24"/>
        </w:rPr>
      </w:pPr>
      <w:r>
        <w:rPr>
          <w:rFonts w:ascii="Times New Roman" w:hAnsi="Times New Roman"/>
          <w:sz w:val="24"/>
          <w:szCs w:val="24"/>
        </w:rPr>
        <w:t>This item creates new sections 20AA and 20AB, which contain the provisions relating to excluded offsets projects previously set out in regulations 3.36 and 3.37 of the Regulations.</w:t>
      </w:r>
    </w:p>
    <w:p w14:paraId="675C9824" w14:textId="274A5AA7" w:rsidR="00C15B9D" w:rsidRDefault="00C15B9D" w:rsidP="005A4229">
      <w:pPr>
        <w:spacing w:before="240" w:line="240" w:lineRule="auto"/>
        <w:rPr>
          <w:rFonts w:ascii="Times New Roman" w:hAnsi="Times New Roman"/>
          <w:sz w:val="24"/>
          <w:szCs w:val="24"/>
        </w:rPr>
      </w:pPr>
      <w:r>
        <w:rPr>
          <w:rFonts w:ascii="Times New Roman" w:hAnsi="Times New Roman"/>
          <w:sz w:val="24"/>
          <w:szCs w:val="24"/>
        </w:rPr>
        <w:t xml:space="preserve">Section 20AA brings the excluded offset project definition from regulation 3.36 into the Principal Rule. The general purpose of the definitions remains the same as the original regulations. </w:t>
      </w:r>
    </w:p>
    <w:p w14:paraId="14F8C92C" w14:textId="6CC6A585" w:rsidR="00C15B9D" w:rsidRPr="00C15B9D" w:rsidRDefault="00C15B9D" w:rsidP="005A4229">
      <w:pPr>
        <w:spacing w:before="240" w:line="240" w:lineRule="auto"/>
        <w:rPr>
          <w:rFonts w:ascii="Times New Roman" w:hAnsi="Times New Roman"/>
          <w:i/>
          <w:sz w:val="24"/>
          <w:szCs w:val="24"/>
        </w:rPr>
      </w:pPr>
      <w:r w:rsidRPr="00C15B9D">
        <w:rPr>
          <w:rFonts w:ascii="Times New Roman" w:hAnsi="Times New Roman"/>
          <w:i/>
          <w:sz w:val="24"/>
          <w:szCs w:val="24"/>
        </w:rPr>
        <w:t>No lessening of regulatory requirements.</w:t>
      </w:r>
    </w:p>
    <w:p w14:paraId="7991E337" w14:textId="72C6CD70" w:rsidR="00C15B9D" w:rsidRDefault="00C15B9D" w:rsidP="00C15B9D">
      <w:pPr>
        <w:spacing w:before="240" w:line="240" w:lineRule="auto"/>
        <w:rPr>
          <w:rFonts w:ascii="Times New Roman" w:hAnsi="Times New Roman"/>
          <w:sz w:val="24"/>
          <w:szCs w:val="24"/>
        </w:rPr>
      </w:pPr>
      <w:r>
        <w:rPr>
          <w:rFonts w:ascii="Times New Roman" w:hAnsi="Times New Roman"/>
          <w:sz w:val="24"/>
          <w:szCs w:val="24"/>
        </w:rPr>
        <w:t xml:space="preserve">Paragraph 20AA(1)(a) excludes </w:t>
      </w:r>
      <w:r w:rsidRPr="00C15B9D">
        <w:rPr>
          <w:rFonts w:ascii="Times New Roman" w:hAnsi="Times New Roman"/>
          <w:sz w:val="24"/>
          <w:szCs w:val="24"/>
        </w:rPr>
        <w:t xml:space="preserve">a project </w:t>
      </w:r>
      <w:r>
        <w:rPr>
          <w:rFonts w:ascii="Times New Roman" w:hAnsi="Times New Roman"/>
          <w:sz w:val="24"/>
          <w:szCs w:val="24"/>
        </w:rPr>
        <w:t xml:space="preserve">that involves an activity that </w:t>
      </w:r>
      <w:r w:rsidRPr="00C15B9D">
        <w:rPr>
          <w:rFonts w:ascii="Times New Roman" w:hAnsi="Times New Roman"/>
          <w:sz w:val="24"/>
          <w:szCs w:val="24"/>
        </w:rPr>
        <w:t>was mandatory under a Commonweal</w:t>
      </w:r>
      <w:r>
        <w:rPr>
          <w:rFonts w:ascii="Times New Roman" w:hAnsi="Times New Roman"/>
          <w:sz w:val="24"/>
          <w:szCs w:val="24"/>
        </w:rPr>
        <w:t xml:space="preserve">th, State or Territory law; and </w:t>
      </w:r>
      <w:r w:rsidRPr="00C15B9D">
        <w:rPr>
          <w:rFonts w:ascii="Times New Roman" w:hAnsi="Times New Roman"/>
          <w:sz w:val="24"/>
          <w:szCs w:val="24"/>
        </w:rPr>
        <w:t>is no longer mandatory because the law was repealed, or amended to be less onerous, after 24 March 2011</w:t>
      </w:r>
      <w:r>
        <w:rPr>
          <w:rFonts w:ascii="Times New Roman" w:hAnsi="Times New Roman"/>
          <w:sz w:val="24"/>
          <w:szCs w:val="24"/>
        </w:rPr>
        <w:t>. This means all levels of government cannot reduce environmental protections to bring projects into the scheme. For example, if regulation requires the capture and destruction of a certain level of methane, a project to implement that requirement would not pass the regulatory additionality test for registration. If the law was repeal</w:t>
      </w:r>
      <w:r w:rsidR="004B153E">
        <w:rPr>
          <w:rFonts w:ascii="Times New Roman" w:hAnsi="Times New Roman"/>
          <w:sz w:val="24"/>
          <w:szCs w:val="24"/>
        </w:rPr>
        <w:t>ed</w:t>
      </w:r>
      <w:r>
        <w:rPr>
          <w:rFonts w:ascii="Times New Roman" w:hAnsi="Times New Roman"/>
          <w:sz w:val="24"/>
          <w:szCs w:val="24"/>
        </w:rPr>
        <w:t xml:space="preserve"> or amended to lower the requirements, that project would still be excluded by paragraph </w:t>
      </w:r>
      <w:proofErr w:type="gramStart"/>
      <w:r>
        <w:rPr>
          <w:rFonts w:ascii="Times New Roman" w:hAnsi="Times New Roman"/>
          <w:sz w:val="24"/>
          <w:szCs w:val="24"/>
        </w:rPr>
        <w:t>20AA(</w:t>
      </w:r>
      <w:proofErr w:type="gramEnd"/>
      <w:r>
        <w:rPr>
          <w:rFonts w:ascii="Times New Roman" w:hAnsi="Times New Roman"/>
          <w:sz w:val="24"/>
          <w:szCs w:val="24"/>
        </w:rPr>
        <w:t>1)(a). The 24 March 2011 date was the date when the Act was first introduced to Parliament.</w:t>
      </w:r>
    </w:p>
    <w:p w14:paraId="7747C451" w14:textId="43AFFF80" w:rsidR="00C15B9D" w:rsidRPr="00C15B9D" w:rsidRDefault="00C15B9D" w:rsidP="00C15B9D">
      <w:pPr>
        <w:spacing w:before="240" w:line="240" w:lineRule="auto"/>
        <w:rPr>
          <w:rFonts w:ascii="Times New Roman" w:hAnsi="Times New Roman"/>
          <w:i/>
          <w:sz w:val="24"/>
          <w:szCs w:val="24"/>
        </w:rPr>
      </w:pPr>
      <w:r w:rsidRPr="00C15B9D">
        <w:rPr>
          <w:rFonts w:ascii="Times New Roman" w:hAnsi="Times New Roman"/>
          <w:i/>
          <w:sz w:val="24"/>
          <w:szCs w:val="24"/>
        </w:rPr>
        <w:lastRenderedPageBreak/>
        <w:t>No planting weed species</w:t>
      </w:r>
    </w:p>
    <w:p w14:paraId="4E76EEB2" w14:textId="4B5F4CDB" w:rsidR="00C15B9D" w:rsidRDefault="00C15B9D" w:rsidP="00C15B9D">
      <w:pPr>
        <w:spacing w:before="240" w:line="240" w:lineRule="auto"/>
        <w:rPr>
          <w:rFonts w:ascii="Times New Roman" w:hAnsi="Times New Roman"/>
          <w:sz w:val="24"/>
          <w:szCs w:val="24"/>
        </w:rPr>
      </w:pPr>
      <w:r>
        <w:rPr>
          <w:rFonts w:ascii="Times New Roman" w:hAnsi="Times New Roman"/>
          <w:sz w:val="24"/>
          <w:szCs w:val="24"/>
        </w:rPr>
        <w:t xml:space="preserve">Paragraph </w:t>
      </w:r>
      <w:proofErr w:type="gramStart"/>
      <w:r>
        <w:rPr>
          <w:rFonts w:ascii="Times New Roman" w:hAnsi="Times New Roman"/>
          <w:sz w:val="24"/>
          <w:szCs w:val="24"/>
        </w:rPr>
        <w:t>20AA(</w:t>
      </w:r>
      <w:proofErr w:type="gramEnd"/>
      <w:r>
        <w:rPr>
          <w:rFonts w:ascii="Times New Roman" w:hAnsi="Times New Roman"/>
          <w:sz w:val="24"/>
          <w:szCs w:val="24"/>
        </w:rPr>
        <w:t xml:space="preserve">1)(b) excludes </w:t>
      </w:r>
      <w:r w:rsidRPr="00C15B9D">
        <w:rPr>
          <w:rFonts w:ascii="Times New Roman" w:hAnsi="Times New Roman"/>
          <w:sz w:val="24"/>
          <w:szCs w:val="24"/>
        </w:rPr>
        <w:t>a project</w:t>
      </w:r>
      <w:r w:rsidR="00CE1BC8">
        <w:rPr>
          <w:rFonts w:ascii="Times New Roman" w:hAnsi="Times New Roman"/>
          <w:sz w:val="24"/>
          <w:szCs w:val="24"/>
        </w:rPr>
        <w:t xml:space="preserve"> proposing</w:t>
      </w:r>
      <w:r>
        <w:rPr>
          <w:rFonts w:ascii="Times New Roman" w:hAnsi="Times New Roman"/>
          <w:sz w:val="24"/>
          <w:szCs w:val="24"/>
        </w:rPr>
        <w:t xml:space="preserve"> to plant defined weed species. These are likely to have adverse environmental impacts and should not be credited. </w:t>
      </w:r>
      <w:r w:rsidR="00BF4597">
        <w:rPr>
          <w:rFonts w:ascii="Times New Roman" w:hAnsi="Times New Roman"/>
          <w:sz w:val="24"/>
          <w:szCs w:val="24"/>
        </w:rPr>
        <w:t>The reference to unspecified ‘other lists’ in the Regulation has been removed as no relevant lists are published.</w:t>
      </w:r>
    </w:p>
    <w:p w14:paraId="7A2609C3" w14:textId="263A57A4" w:rsidR="00C15B9D" w:rsidRPr="00C15B9D" w:rsidRDefault="00C15B9D" w:rsidP="00C15B9D">
      <w:pPr>
        <w:spacing w:before="240" w:line="240" w:lineRule="auto"/>
        <w:rPr>
          <w:rFonts w:ascii="Times New Roman" w:hAnsi="Times New Roman"/>
          <w:i/>
          <w:sz w:val="24"/>
          <w:szCs w:val="24"/>
        </w:rPr>
      </w:pPr>
      <w:r w:rsidRPr="00C15B9D">
        <w:rPr>
          <w:rFonts w:ascii="Times New Roman" w:hAnsi="Times New Roman"/>
          <w:i/>
          <w:sz w:val="24"/>
          <w:szCs w:val="24"/>
        </w:rPr>
        <w:t>No support from forestry managed investment schemes</w:t>
      </w:r>
    </w:p>
    <w:p w14:paraId="57E924EC" w14:textId="1FCE1924" w:rsidR="00C15B9D" w:rsidRDefault="00C15B9D" w:rsidP="00C15B9D">
      <w:pPr>
        <w:spacing w:before="240" w:line="240" w:lineRule="auto"/>
        <w:rPr>
          <w:rFonts w:ascii="Times New Roman" w:hAnsi="Times New Roman"/>
          <w:sz w:val="24"/>
          <w:szCs w:val="24"/>
        </w:rPr>
      </w:pPr>
      <w:r>
        <w:rPr>
          <w:rFonts w:ascii="Times New Roman" w:hAnsi="Times New Roman"/>
          <w:sz w:val="24"/>
          <w:szCs w:val="24"/>
        </w:rPr>
        <w:t xml:space="preserve">Paragraph </w:t>
      </w:r>
      <w:proofErr w:type="gramStart"/>
      <w:r>
        <w:rPr>
          <w:rFonts w:ascii="Times New Roman" w:hAnsi="Times New Roman"/>
          <w:sz w:val="24"/>
          <w:szCs w:val="24"/>
        </w:rPr>
        <w:t>20AA(</w:t>
      </w:r>
      <w:proofErr w:type="gramEnd"/>
      <w:r>
        <w:rPr>
          <w:rFonts w:ascii="Times New Roman" w:hAnsi="Times New Roman"/>
          <w:sz w:val="24"/>
          <w:szCs w:val="24"/>
        </w:rPr>
        <w:t>1)(c) excludes projects that get double benefits from crediting and favourable tax treatment from the forestry managed investment scheme rules. This raises additionality concerns and has the potential to impact land access for agricultural production</w:t>
      </w:r>
      <w:r w:rsidR="003D290E">
        <w:rPr>
          <w:rFonts w:ascii="Times New Roman" w:hAnsi="Times New Roman"/>
          <w:sz w:val="24"/>
          <w:szCs w:val="24"/>
        </w:rPr>
        <w:t xml:space="preserve"> and local communities</w:t>
      </w:r>
      <w:r>
        <w:rPr>
          <w:rFonts w:ascii="Times New Roman" w:hAnsi="Times New Roman"/>
          <w:sz w:val="24"/>
          <w:szCs w:val="24"/>
        </w:rPr>
        <w:t>.</w:t>
      </w:r>
    </w:p>
    <w:p w14:paraId="766D4381" w14:textId="2BAED3E0" w:rsidR="00C15B9D" w:rsidRPr="00C15B9D" w:rsidRDefault="00C15B9D" w:rsidP="00C15B9D">
      <w:pPr>
        <w:spacing w:before="240" w:line="240" w:lineRule="auto"/>
        <w:rPr>
          <w:rFonts w:ascii="Times New Roman" w:hAnsi="Times New Roman"/>
          <w:i/>
          <w:sz w:val="24"/>
          <w:szCs w:val="24"/>
        </w:rPr>
      </w:pPr>
      <w:r w:rsidRPr="00C15B9D">
        <w:rPr>
          <w:rFonts w:ascii="Times New Roman" w:hAnsi="Times New Roman"/>
          <w:i/>
          <w:sz w:val="24"/>
          <w:szCs w:val="24"/>
        </w:rPr>
        <w:t>No</w:t>
      </w:r>
      <w:r w:rsidR="003D290E">
        <w:rPr>
          <w:rFonts w:ascii="Times New Roman" w:hAnsi="Times New Roman"/>
          <w:i/>
          <w:sz w:val="24"/>
          <w:szCs w:val="24"/>
        </w:rPr>
        <w:t xml:space="preserve"> previous</w:t>
      </w:r>
      <w:r w:rsidRPr="00C15B9D">
        <w:rPr>
          <w:rFonts w:ascii="Times New Roman" w:hAnsi="Times New Roman"/>
          <w:i/>
          <w:sz w:val="24"/>
          <w:szCs w:val="24"/>
        </w:rPr>
        <w:t xml:space="preserve"> </w:t>
      </w:r>
      <w:r>
        <w:rPr>
          <w:rFonts w:ascii="Times New Roman" w:hAnsi="Times New Roman"/>
          <w:i/>
          <w:sz w:val="24"/>
          <w:szCs w:val="24"/>
        </w:rPr>
        <w:t>illegal clearing or draining of wetlands</w:t>
      </w:r>
    </w:p>
    <w:p w14:paraId="7848213D" w14:textId="60F48639" w:rsidR="00C15B9D" w:rsidRDefault="00C15B9D" w:rsidP="00C15B9D">
      <w:pPr>
        <w:spacing w:before="240" w:line="240" w:lineRule="auto"/>
        <w:rPr>
          <w:rFonts w:ascii="Times New Roman" w:hAnsi="Times New Roman"/>
          <w:sz w:val="24"/>
          <w:szCs w:val="24"/>
        </w:rPr>
      </w:pPr>
      <w:r>
        <w:rPr>
          <w:rFonts w:ascii="Times New Roman" w:hAnsi="Times New Roman"/>
          <w:sz w:val="24"/>
          <w:szCs w:val="24"/>
        </w:rPr>
        <w:t xml:space="preserve">Paragraph </w:t>
      </w:r>
      <w:proofErr w:type="gramStart"/>
      <w:r>
        <w:rPr>
          <w:rFonts w:ascii="Times New Roman" w:hAnsi="Times New Roman"/>
          <w:sz w:val="24"/>
          <w:szCs w:val="24"/>
        </w:rPr>
        <w:t>20AA(</w:t>
      </w:r>
      <w:proofErr w:type="gramEnd"/>
      <w:r>
        <w:rPr>
          <w:rFonts w:ascii="Times New Roman" w:hAnsi="Times New Roman"/>
          <w:sz w:val="24"/>
          <w:szCs w:val="24"/>
        </w:rPr>
        <w:t>1)(d) excludes projects which establish vegetation on land that has previously been illegally cleared or a wetland that has been illegally drained. The intention is to avoid rewards that are based upon pa</w:t>
      </w:r>
      <w:r w:rsidR="003D290E">
        <w:rPr>
          <w:rFonts w:ascii="Times New Roman" w:hAnsi="Times New Roman"/>
          <w:sz w:val="24"/>
          <w:szCs w:val="24"/>
        </w:rPr>
        <w:t>st illegal behaviour which had lessened the carbon stored in the land. T</w:t>
      </w:r>
      <w:r w:rsidR="003D290E" w:rsidRPr="003D290E">
        <w:rPr>
          <w:rFonts w:ascii="Times New Roman" w:hAnsi="Times New Roman"/>
          <w:sz w:val="24"/>
          <w:szCs w:val="24"/>
        </w:rPr>
        <w:t>he clearing of native forest or draining of a wetland has been done illegally where the Regulator is satisfied that the clearing or draining was an offence against a law of the Commonwealth, State or Territory, whether or not a court has considered that offence.</w:t>
      </w:r>
      <w:r w:rsidR="003D290E">
        <w:rPr>
          <w:rFonts w:ascii="Times New Roman" w:hAnsi="Times New Roman"/>
          <w:sz w:val="24"/>
          <w:szCs w:val="24"/>
        </w:rPr>
        <w:t xml:space="preserve"> Clearing is defined as the conversion of native forest to cropland, grassland or settlements and so does not include the management of land which is already cropland or grassland, such as suppression activities on that land. This paragraph helps avoid adverse environmental impacts.</w:t>
      </w:r>
    </w:p>
    <w:p w14:paraId="6D030CF7" w14:textId="17272D60" w:rsidR="003D290E" w:rsidRDefault="003D290E" w:rsidP="00C15B9D">
      <w:pPr>
        <w:spacing w:before="240" w:line="240" w:lineRule="auto"/>
        <w:rPr>
          <w:rFonts w:ascii="Times New Roman" w:hAnsi="Times New Roman"/>
          <w:i/>
          <w:sz w:val="24"/>
          <w:szCs w:val="24"/>
        </w:rPr>
      </w:pPr>
      <w:r w:rsidRPr="003D290E">
        <w:rPr>
          <w:rFonts w:ascii="Times New Roman" w:hAnsi="Times New Roman"/>
          <w:i/>
          <w:sz w:val="24"/>
          <w:szCs w:val="24"/>
        </w:rPr>
        <w:t>No clearing within 7 (or 5) years</w:t>
      </w:r>
    </w:p>
    <w:p w14:paraId="0063FE80" w14:textId="0F327207" w:rsidR="003D290E" w:rsidRDefault="003D290E" w:rsidP="00C15B9D">
      <w:pPr>
        <w:spacing w:before="240" w:line="240" w:lineRule="auto"/>
        <w:rPr>
          <w:rFonts w:ascii="Times New Roman" w:hAnsi="Times New Roman"/>
          <w:sz w:val="24"/>
          <w:szCs w:val="24"/>
        </w:rPr>
      </w:pPr>
      <w:r>
        <w:rPr>
          <w:rFonts w:ascii="Times New Roman" w:hAnsi="Times New Roman"/>
          <w:sz w:val="24"/>
          <w:szCs w:val="24"/>
        </w:rPr>
        <w:t xml:space="preserve">Paragraph </w:t>
      </w:r>
      <w:proofErr w:type="gramStart"/>
      <w:r>
        <w:rPr>
          <w:rFonts w:ascii="Times New Roman" w:hAnsi="Times New Roman"/>
          <w:sz w:val="24"/>
          <w:szCs w:val="24"/>
        </w:rPr>
        <w:t>20AA(</w:t>
      </w:r>
      <w:proofErr w:type="gramEnd"/>
      <w:r>
        <w:rPr>
          <w:rFonts w:ascii="Times New Roman" w:hAnsi="Times New Roman"/>
          <w:sz w:val="24"/>
          <w:szCs w:val="24"/>
        </w:rPr>
        <w:t>1)(e) excludes projects which establish vegetation on land that has been cleared of native forest, or wetlands drained, within 7 years of their application. There is a 5 year limit if the ownership of the land has changed. The intent i</w:t>
      </w:r>
      <w:r w:rsidR="004B153E">
        <w:rPr>
          <w:rFonts w:ascii="Times New Roman" w:hAnsi="Times New Roman"/>
          <w:sz w:val="24"/>
          <w:szCs w:val="24"/>
        </w:rPr>
        <w:t>s</w:t>
      </w:r>
      <w:r>
        <w:rPr>
          <w:rFonts w:ascii="Times New Roman" w:hAnsi="Times New Roman"/>
          <w:sz w:val="24"/>
          <w:szCs w:val="24"/>
        </w:rPr>
        <w:t xml:space="preserve"> to avoid intact native forest, which would store significant carbon, being cleared and then a project credited for the re-establishment of </w:t>
      </w:r>
      <w:r w:rsidR="004B153E">
        <w:rPr>
          <w:rFonts w:ascii="Times New Roman" w:hAnsi="Times New Roman"/>
          <w:sz w:val="24"/>
          <w:szCs w:val="24"/>
        </w:rPr>
        <w:t>a carbon store</w:t>
      </w:r>
      <w:r>
        <w:rPr>
          <w:rFonts w:ascii="Times New Roman" w:hAnsi="Times New Roman"/>
          <w:sz w:val="24"/>
          <w:szCs w:val="24"/>
        </w:rPr>
        <w:t>, such as by an environmental planting soon afterwards. Clearing is defined as the conversion of native forest to cropland, grassland or settlements and so does not include the management of land which is already cropland or grassland, such as suppression activities on that land. This paragraph helps avoid adverse environmental impacts.</w:t>
      </w:r>
    </w:p>
    <w:p w14:paraId="4464B231" w14:textId="43BEFF4A" w:rsidR="003D290E" w:rsidRPr="003D290E" w:rsidRDefault="003D290E" w:rsidP="00C15B9D">
      <w:pPr>
        <w:spacing w:before="240" w:line="240" w:lineRule="auto"/>
        <w:rPr>
          <w:rFonts w:ascii="Times New Roman" w:hAnsi="Times New Roman"/>
          <w:i/>
          <w:sz w:val="24"/>
          <w:szCs w:val="24"/>
        </w:rPr>
      </w:pPr>
      <w:r w:rsidRPr="003D290E">
        <w:rPr>
          <w:rFonts w:ascii="Times New Roman" w:hAnsi="Times New Roman"/>
          <w:i/>
          <w:sz w:val="24"/>
          <w:szCs w:val="24"/>
        </w:rPr>
        <w:t>Limitations for native forest protection</w:t>
      </w:r>
    </w:p>
    <w:p w14:paraId="3BD3B477" w14:textId="1D4D2CDE" w:rsidR="003D290E" w:rsidRDefault="003D290E" w:rsidP="003D290E">
      <w:pPr>
        <w:spacing w:before="240" w:line="240" w:lineRule="auto"/>
        <w:rPr>
          <w:rFonts w:ascii="Times New Roman" w:hAnsi="Times New Roman"/>
          <w:sz w:val="24"/>
          <w:szCs w:val="24"/>
        </w:rPr>
      </w:pPr>
      <w:r>
        <w:rPr>
          <w:rFonts w:ascii="Times New Roman" w:hAnsi="Times New Roman"/>
          <w:sz w:val="24"/>
          <w:szCs w:val="24"/>
        </w:rPr>
        <w:t xml:space="preserve">Paragraph 20AA(1)(f) excludes projects </w:t>
      </w:r>
      <w:r w:rsidRPr="003D290E">
        <w:rPr>
          <w:rFonts w:ascii="Times New Roman" w:hAnsi="Times New Roman"/>
          <w:sz w:val="24"/>
          <w:szCs w:val="24"/>
        </w:rPr>
        <w:t>that protect native forest on freehold or leasehold land, for which a clearing consent or harvest approval plan was granted on the basis that the clearing or h</w:t>
      </w:r>
      <w:r>
        <w:rPr>
          <w:rFonts w:ascii="Times New Roman" w:hAnsi="Times New Roman"/>
          <w:sz w:val="24"/>
          <w:szCs w:val="24"/>
        </w:rPr>
        <w:t xml:space="preserve">arvesting of the native forest </w:t>
      </w:r>
      <w:r w:rsidRPr="003D290E">
        <w:rPr>
          <w:rFonts w:ascii="Times New Roman" w:hAnsi="Times New Roman"/>
          <w:sz w:val="24"/>
          <w:szCs w:val="24"/>
        </w:rPr>
        <w:t>would lead to an environmental improvement or benefit, or would mainta</w:t>
      </w:r>
      <w:r>
        <w:rPr>
          <w:rFonts w:ascii="Times New Roman" w:hAnsi="Times New Roman"/>
          <w:sz w:val="24"/>
          <w:szCs w:val="24"/>
        </w:rPr>
        <w:t xml:space="preserve">in an environmental outcome or </w:t>
      </w:r>
      <w:r w:rsidRPr="003D290E">
        <w:rPr>
          <w:rFonts w:ascii="Times New Roman" w:hAnsi="Times New Roman"/>
          <w:sz w:val="24"/>
          <w:szCs w:val="24"/>
        </w:rPr>
        <w:t>was for fire management purposes</w:t>
      </w:r>
      <w:r>
        <w:rPr>
          <w:rFonts w:ascii="Times New Roman" w:hAnsi="Times New Roman"/>
          <w:sz w:val="24"/>
          <w:szCs w:val="24"/>
        </w:rPr>
        <w:t xml:space="preserve">. This is subject to the exception in subsection </w:t>
      </w:r>
      <w:proofErr w:type="gramStart"/>
      <w:r>
        <w:rPr>
          <w:rFonts w:ascii="Times New Roman" w:hAnsi="Times New Roman"/>
          <w:sz w:val="24"/>
          <w:szCs w:val="24"/>
        </w:rPr>
        <w:t>20AA(</w:t>
      </w:r>
      <w:proofErr w:type="gramEnd"/>
      <w:r>
        <w:rPr>
          <w:rFonts w:ascii="Times New Roman" w:hAnsi="Times New Roman"/>
          <w:sz w:val="24"/>
          <w:szCs w:val="24"/>
        </w:rPr>
        <w:t xml:space="preserve">2). The relevant methodology determinations have been developed </w:t>
      </w:r>
      <w:r w:rsidR="004B153E">
        <w:rPr>
          <w:rFonts w:ascii="Times New Roman" w:hAnsi="Times New Roman"/>
          <w:sz w:val="24"/>
          <w:szCs w:val="24"/>
        </w:rPr>
        <w:t xml:space="preserve">to </w:t>
      </w:r>
      <w:r>
        <w:rPr>
          <w:rFonts w:ascii="Times New Roman" w:hAnsi="Times New Roman"/>
          <w:sz w:val="24"/>
          <w:szCs w:val="24"/>
        </w:rPr>
        <w:t>cover circumstances</w:t>
      </w:r>
      <w:r w:rsidR="004B153E">
        <w:rPr>
          <w:rFonts w:ascii="Times New Roman" w:hAnsi="Times New Roman"/>
          <w:sz w:val="24"/>
          <w:szCs w:val="24"/>
        </w:rPr>
        <w:t xml:space="preserve"> which are</w:t>
      </w:r>
      <w:r>
        <w:rPr>
          <w:rFonts w:ascii="Times New Roman" w:hAnsi="Times New Roman"/>
          <w:sz w:val="24"/>
          <w:szCs w:val="24"/>
        </w:rPr>
        <w:t xml:space="preserve"> not excluded by these requirements. This helps avoid adverse environmental impacts. </w:t>
      </w:r>
    </w:p>
    <w:p w14:paraId="3B2B58B8" w14:textId="2108D7A9" w:rsidR="003D290E" w:rsidRPr="003D290E" w:rsidRDefault="003D290E" w:rsidP="003D290E">
      <w:pPr>
        <w:spacing w:before="240" w:line="240" w:lineRule="auto"/>
        <w:rPr>
          <w:rFonts w:ascii="Times New Roman" w:hAnsi="Times New Roman"/>
          <w:i/>
          <w:sz w:val="24"/>
          <w:szCs w:val="24"/>
        </w:rPr>
      </w:pPr>
      <w:r w:rsidRPr="003D290E">
        <w:rPr>
          <w:rFonts w:ascii="Times New Roman" w:hAnsi="Times New Roman"/>
          <w:i/>
          <w:sz w:val="24"/>
          <w:szCs w:val="24"/>
        </w:rPr>
        <w:t>Specified tree planting</w:t>
      </w:r>
    </w:p>
    <w:p w14:paraId="5C541725" w14:textId="2F10F075" w:rsidR="003D290E" w:rsidRDefault="003D290E" w:rsidP="003D290E">
      <w:pPr>
        <w:spacing w:before="240" w:line="240" w:lineRule="auto"/>
        <w:rPr>
          <w:rFonts w:ascii="Times New Roman" w:hAnsi="Times New Roman"/>
          <w:sz w:val="24"/>
          <w:szCs w:val="24"/>
        </w:rPr>
      </w:pPr>
      <w:r>
        <w:rPr>
          <w:rFonts w:ascii="Times New Roman" w:hAnsi="Times New Roman"/>
          <w:sz w:val="24"/>
          <w:szCs w:val="24"/>
        </w:rPr>
        <w:t xml:space="preserve">Section 20AB incorporates regulation 3.37 into the Principal Rule. This concerns projects to plant trees (such as plantations) which risk having adverse impacts on the availability of </w:t>
      </w:r>
      <w:r>
        <w:rPr>
          <w:rFonts w:ascii="Times New Roman" w:hAnsi="Times New Roman"/>
          <w:sz w:val="24"/>
          <w:szCs w:val="24"/>
        </w:rPr>
        <w:lastRenderedPageBreak/>
        <w:t>water. The section provides for a number of exceptions where water issues are unlikely to be material or are managed appropriately. These include:</w:t>
      </w:r>
    </w:p>
    <w:p w14:paraId="7FD1CF76" w14:textId="209EF3A6" w:rsidR="003D290E" w:rsidRDefault="003D290E" w:rsidP="003D290E">
      <w:pPr>
        <w:pStyle w:val="ListParagraph"/>
        <w:numPr>
          <w:ilvl w:val="0"/>
          <w:numId w:val="18"/>
        </w:numPr>
        <w:spacing w:before="240" w:line="240" w:lineRule="auto"/>
        <w:rPr>
          <w:rFonts w:ascii="Times New Roman" w:hAnsi="Times New Roman"/>
          <w:sz w:val="24"/>
          <w:szCs w:val="24"/>
        </w:rPr>
      </w:pPr>
      <w:r w:rsidRPr="003D290E">
        <w:rPr>
          <w:rFonts w:ascii="Times New Roman" w:hAnsi="Times New Roman"/>
          <w:sz w:val="24"/>
          <w:szCs w:val="24"/>
        </w:rPr>
        <w:t xml:space="preserve">where the area </w:t>
      </w:r>
      <w:r w:rsidR="004B153E">
        <w:rPr>
          <w:rFonts w:ascii="Times New Roman" w:hAnsi="Times New Roman"/>
          <w:sz w:val="24"/>
          <w:szCs w:val="24"/>
        </w:rPr>
        <w:t>receives</w:t>
      </w:r>
      <w:r w:rsidRPr="003D290E">
        <w:rPr>
          <w:rFonts w:ascii="Times New Roman" w:hAnsi="Times New Roman"/>
          <w:sz w:val="24"/>
          <w:szCs w:val="24"/>
        </w:rPr>
        <w:t xml:space="preserve"> less than 600</w:t>
      </w:r>
      <w:r w:rsidR="004B153E">
        <w:rPr>
          <w:rFonts w:ascii="Times New Roman" w:hAnsi="Times New Roman"/>
          <w:sz w:val="24"/>
          <w:szCs w:val="24"/>
        </w:rPr>
        <w:t xml:space="preserve"> </w:t>
      </w:r>
      <w:r w:rsidRPr="003D290E">
        <w:rPr>
          <w:rFonts w:ascii="Times New Roman" w:hAnsi="Times New Roman"/>
          <w:sz w:val="24"/>
          <w:szCs w:val="24"/>
        </w:rPr>
        <w:t>m</w:t>
      </w:r>
      <w:r w:rsidR="004B153E">
        <w:rPr>
          <w:rFonts w:ascii="Times New Roman" w:hAnsi="Times New Roman"/>
          <w:sz w:val="24"/>
          <w:szCs w:val="24"/>
        </w:rPr>
        <w:t>illimetres</w:t>
      </w:r>
      <w:r w:rsidRPr="003D290E">
        <w:rPr>
          <w:rFonts w:ascii="Times New Roman" w:hAnsi="Times New Roman"/>
          <w:sz w:val="24"/>
          <w:szCs w:val="24"/>
        </w:rPr>
        <w:t xml:space="preserve"> of long term average rainfall</w:t>
      </w:r>
      <w:r>
        <w:rPr>
          <w:rFonts w:ascii="Times New Roman" w:hAnsi="Times New Roman"/>
          <w:sz w:val="24"/>
          <w:szCs w:val="24"/>
        </w:rPr>
        <w:t>;</w:t>
      </w:r>
    </w:p>
    <w:p w14:paraId="4526EC2B" w14:textId="0895F961" w:rsidR="003D290E" w:rsidRDefault="003D290E" w:rsidP="003D290E">
      <w:pPr>
        <w:pStyle w:val="ListParagraph"/>
        <w:numPr>
          <w:ilvl w:val="0"/>
          <w:numId w:val="18"/>
        </w:numPr>
        <w:spacing w:before="240" w:line="240" w:lineRule="auto"/>
        <w:rPr>
          <w:rFonts w:ascii="Times New Roman" w:hAnsi="Times New Roman"/>
          <w:sz w:val="24"/>
          <w:szCs w:val="24"/>
        </w:rPr>
      </w:pPr>
      <w:r>
        <w:rPr>
          <w:rFonts w:ascii="Times New Roman" w:hAnsi="Times New Roman"/>
          <w:sz w:val="24"/>
          <w:szCs w:val="24"/>
        </w:rPr>
        <w:t>where the project is an environmental planting;</w:t>
      </w:r>
    </w:p>
    <w:p w14:paraId="26C5AD4C" w14:textId="468C430B" w:rsidR="003D290E" w:rsidRDefault="003D290E" w:rsidP="003D290E">
      <w:pPr>
        <w:pStyle w:val="ListParagraph"/>
        <w:numPr>
          <w:ilvl w:val="0"/>
          <w:numId w:val="18"/>
        </w:numPr>
        <w:spacing w:before="240" w:line="240" w:lineRule="auto"/>
        <w:rPr>
          <w:rFonts w:ascii="Times New Roman" w:hAnsi="Times New Roman"/>
          <w:sz w:val="24"/>
          <w:szCs w:val="24"/>
        </w:rPr>
      </w:pPr>
      <w:r>
        <w:rPr>
          <w:rFonts w:ascii="Times New Roman" w:hAnsi="Times New Roman"/>
          <w:sz w:val="24"/>
          <w:szCs w:val="24"/>
        </w:rPr>
        <w:t>where the project contributes to the management of dryland salinity;</w:t>
      </w:r>
    </w:p>
    <w:p w14:paraId="7C8CBDA0" w14:textId="01A4D422" w:rsidR="003D290E" w:rsidRDefault="003D290E" w:rsidP="003D290E">
      <w:pPr>
        <w:pStyle w:val="ListParagraph"/>
        <w:numPr>
          <w:ilvl w:val="0"/>
          <w:numId w:val="18"/>
        </w:numPr>
        <w:spacing w:before="240" w:line="240" w:lineRule="auto"/>
        <w:rPr>
          <w:rFonts w:ascii="Times New Roman" w:hAnsi="Times New Roman"/>
          <w:sz w:val="24"/>
          <w:szCs w:val="24"/>
        </w:rPr>
      </w:pPr>
      <w:r>
        <w:rPr>
          <w:rFonts w:ascii="Times New Roman" w:hAnsi="Times New Roman"/>
          <w:sz w:val="24"/>
          <w:szCs w:val="24"/>
        </w:rPr>
        <w:t>where requirements to manage water in</w:t>
      </w:r>
      <w:r w:rsidR="004B153E">
        <w:rPr>
          <w:rFonts w:ascii="Times New Roman" w:hAnsi="Times New Roman"/>
          <w:sz w:val="24"/>
          <w:szCs w:val="24"/>
        </w:rPr>
        <w:t>ter</w:t>
      </w:r>
      <w:r>
        <w:rPr>
          <w:rFonts w:ascii="Times New Roman" w:hAnsi="Times New Roman"/>
          <w:sz w:val="24"/>
          <w:szCs w:val="24"/>
        </w:rPr>
        <w:t>ception in the National Water Initiative have been implemented;</w:t>
      </w:r>
    </w:p>
    <w:p w14:paraId="313E33AA" w14:textId="738FFB5A" w:rsidR="003D290E" w:rsidRDefault="003D290E" w:rsidP="003D290E">
      <w:pPr>
        <w:pStyle w:val="ListParagraph"/>
        <w:numPr>
          <w:ilvl w:val="0"/>
          <w:numId w:val="18"/>
        </w:numPr>
        <w:spacing w:before="240" w:line="240" w:lineRule="auto"/>
        <w:rPr>
          <w:rFonts w:ascii="Times New Roman" w:hAnsi="Times New Roman"/>
          <w:sz w:val="24"/>
          <w:szCs w:val="24"/>
        </w:rPr>
      </w:pPr>
      <w:r>
        <w:rPr>
          <w:rFonts w:ascii="Times New Roman" w:hAnsi="Times New Roman"/>
          <w:sz w:val="24"/>
          <w:szCs w:val="24"/>
        </w:rPr>
        <w:t>where the region is identified on a map as an area where the planting of trees is unlikely to have a material adverse impact on the availability of water;</w:t>
      </w:r>
    </w:p>
    <w:p w14:paraId="06DF6A87" w14:textId="729CB5B8" w:rsidR="003D290E" w:rsidRDefault="003D290E" w:rsidP="003D290E">
      <w:pPr>
        <w:pStyle w:val="ListParagraph"/>
        <w:numPr>
          <w:ilvl w:val="0"/>
          <w:numId w:val="18"/>
        </w:numPr>
        <w:spacing w:before="240" w:line="240" w:lineRule="auto"/>
        <w:rPr>
          <w:rFonts w:ascii="Times New Roman" w:hAnsi="Times New Roman"/>
          <w:sz w:val="24"/>
          <w:szCs w:val="24"/>
        </w:rPr>
      </w:pPr>
      <w:r>
        <w:rPr>
          <w:rFonts w:ascii="Times New Roman" w:hAnsi="Times New Roman"/>
          <w:sz w:val="24"/>
          <w:szCs w:val="24"/>
        </w:rPr>
        <w:t>where water access entitlements are held;</w:t>
      </w:r>
    </w:p>
    <w:p w14:paraId="4DBE8675" w14:textId="44168A53" w:rsidR="003D290E" w:rsidRDefault="003D290E" w:rsidP="003D290E">
      <w:pPr>
        <w:pStyle w:val="ListParagraph"/>
        <w:numPr>
          <w:ilvl w:val="0"/>
          <w:numId w:val="18"/>
        </w:numPr>
        <w:spacing w:before="240" w:line="240" w:lineRule="auto"/>
        <w:rPr>
          <w:rFonts w:ascii="Times New Roman" w:hAnsi="Times New Roman"/>
          <w:sz w:val="24"/>
          <w:szCs w:val="24"/>
        </w:rPr>
      </w:pPr>
      <w:proofErr w:type="gramStart"/>
      <w:r>
        <w:rPr>
          <w:rFonts w:ascii="Times New Roman" w:hAnsi="Times New Roman"/>
          <w:sz w:val="24"/>
          <w:szCs w:val="24"/>
        </w:rPr>
        <w:t>where</w:t>
      </w:r>
      <w:proofErr w:type="gramEnd"/>
      <w:r>
        <w:rPr>
          <w:rFonts w:ascii="Times New Roman" w:hAnsi="Times New Roman"/>
          <w:sz w:val="24"/>
          <w:szCs w:val="24"/>
        </w:rPr>
        <w:t xml:space="preserve"> water access entitlements are not available (but the catchment is not fully allocated).</w:t>
      </w:r>
    </w:p>
    <w:p w14:paraId="4ABDEDBE" w14:textId="77777777" w:rsidR="00DF756E" w:rsidRPr="00186BAF" w:rsidRDefault="00DF756E" w:rsidP="00DF756E">
      <w:pPr>
        <w:spacing w:before="240" w:line="240" w:lineRule="auto"/>
        <w:rPr>
          <w:rFonts w:ascii="Times New Roman" w:hAnsi="Times New Roman"/>
          <w:sz w:val="24"/>
          <w:szCs w:val="24"/>
        </w:rPr>
      </w:pPr>
      <w:r w:rsidRPr="00DF756E">
        <w:rPr>
          <w:rFonts w:ascii="Times New Roman" w:hAnsi="Times New Roman"/>
          <w:sz w:val="24"/>
          <w:szCs w:val="24"/>
        </w:rPr>
        <w:t xml:space="preserve">Section 20AB includes provisions that were inserted into regulation 3.37 by the </w:t>
      </w:r>
      <w:r w:rsidRPr="00DF756E">
        <w:rPr>
          <w:rFonts w:ascii="Times New Roman" w:hAnsi="Times New Roman"/>
          <w:i/>
          <w:sz w:val="24"/>
          <w:szCs w:val="24"/>
        </w:rPr>
        <w:t xml:space="preserve">Carbon Credits (Carbon Farming Initiative) Amendment (Excluded Offsets Projects) Regulations 2020. </w:t>
      </w:r>
      <w:r w:rsidRPr="00DF756E">
        <w:rPr>
          <w:rFonts w:ascii="Times New Roman" w:hAnsi="Times New Roman"/>
          <w:sz w:val="24"/>
          <w:szCs w:val="24"/>
        </w:rPr>
        <w:t xml:space="preserve">These provisions reduced the regulatory burden of regulation 3.37 by allowing projects to proceed in specified regions where tree planting is unlikely to have a material adverse impact on the availability of water. Projects in these regions are not excluded (see subsection </w:t>
      </w:r>
      <w:proofErr w:type="gramStart"/>
      <w:r w:rsidRPr="00DF756E">
        <w:rPr>
          <w:rFonts w:ascii="Times New Roman" w:hAnsi="Times New Roman"/>
          <w:sz w:val="24"/>
          <w:szCs w:val="24"/>
        </w:rPr>
        <w:t>20AB(</w:t>
      </w:r>
      <w:proofErr w:type="gramEnd"/>
      <w:r w:rsidRPr="00DF756E">
        <w:rPr>
          <w:rFonts w:ascii="Times New Roman" w:hAnsi="Times New Roman"/>
          <w:sz w:val="24"/>
          <w:szCs w:val="24"/>
        </w:rPr>
        <w:t xml:space="preserve">5)). To date five regions have been specified and further regions are under assessment for inclusion. </w:t>
      </w:r>
    </w:p>
    <w:p w14:paraId="25286B3E" w14:textId="77777777" w:rsidR="00DF756E" w:rsidRPr="00DF756E" w:rsidRDefault="00DF756E" w:rsidP="00DF756E">
      <w:pPr>
        <w:spacing w:before="240" w:line="240" w:lineRule="auto"/>
        <w:rPr>
          <w:rFonts w:ascii="Times New Roman" w:hAnsi="Times New Roman"/>
          <w:sz w:val="24"/>
          <w:szCs w:val="24"/>
        </w:rPr>
      </w:pPr>
    </w:p>
    <w:p w14:paraId="7BC9D4E8" w14:textId="4AA49E0F" w:rsidR="00F41E37" w:rsidRPr="00F41E37" w:rsidRDefault="00F41E37" w:rsidP="005A4229">
      <w:pPr>
        <w:spacing w:before="240" w:line="240" w:lineRule="auto"/>
        <w:rPr>
          <w:rFonts w:ascii="Times New Roman" w:hAnsi="Times New Roman"/>
          <w:i/>
          <w:sz w:val="24"/>
          <w:szCs w:val="24"/>
        </w:rPr>
      </w:pPr>
      <w:r w:rsidRPr="00F41E37">
        <w:rPr>
          <w:rFonts w:ascii="Times New Roman" w:hAnsi="Times New Roman"/>
          <w:i/>
          <w:sz w:val="24"/>
          <w:szCs w:val="24"/>
        </w:rPr>
        <w:t>Documents incorporated by reference</w:t>
      </w:r>
    </w:p>
    <w:p w14:paraId="56425ADC" w14:textId="28A17836" w:rsidR="00F41E37" w:rsidRDefault="00E75242" w:rsidP="005A4229">
      <w:pPr>
        <w:spacing w:before="240" w:line="240" w:lineRule="auto"/>
        <w:rPr>
          <w:rFonts w:ascii="Times New Roman" w:hAnsi="Times New Roman"/>
          <w:sz w:val="24"/>
          <w:szCs w:val="24"/>
        </w:rPr>
      </w:pPr>
      <w:r>
        <w:rPr>
          <w:rFonts w:ascii="Times New Roman" w:hAnsi="Times New Roman"/>
          <w:sz w:val="24"/>
          <w:szCs w:val="24"/>
        </w:rPr>
        <w:t xml:space="preserve">These sections incorporate a number of documents by reference, consistent with the power in section 304 of the Act. These are necessary to effectively implement the requirements and ensure the rule remains relevant to current risks and frameworks outside of the scheme. </w:t>
      </w:r>
    </w:p>
    <w:p w14:paraId="701ED0A4" w14:textId="77777777" w:rsidR="00E75242" w:rsidRDefault="00E75242" w:rsidP="00E75242">
      <w:pPr>
        <w:spacing w:before="240" w:line="240" w:lineRule="auto"/>
        <w:rPr>
          <w:rFonts w:ascii="Times New Roman" w:hAnsi="Times New Roman"/>
          <w:sz w:val="24"/>
          <w:szCs w:val="24"/>
        </w:rPr>
      </w:pPr>
      <w:r>
        <w:rPr>
          <w:rFonts w:ascii="Times New Roman" w:hAnsi="Times New Roman"/>
          <w:sz w:val="24"/>
          <w:szCs w:val="24"/>
        </w:rPr>
        <w:t>The</w:t>
      </w:r>
      <w:r w:rsidRPr="00E75242">
        <w:rPr>
          <w:rFonts w:ascii="Times New Roman" w:hAnsi="Times New Roman"/>
          <w:sz w:val="24"/>
          <w:szCs w:val="24"/>
        </w:rPr>
        <w:t xml:space="preserve"> report titled </w:t>
      </w:r>
      <w:r w:rsidRPr="00E75242">
        <w:rPr>
          <w:rFonts w:ascii="Times New Roman" w:hAnsi="Times New Roman"/>
          <w:i/>
          <w:sz w:val="24"/>
          <w:szCs w:val="24"/>
        </w:rPr>
        <w:t>IPCC 2006, 2006 IPCC Guidelines for National Greenhouse Gas Inventories</w:t>
      </w:r>
      <w:r w:rsidRPr="00E75242">
        <w:rPr>
          <w:rFonts w:ascii="Times New Roman" w:hAnsi="Times New Roman"/>
          <w:sz w:val="24"/>
          <w:szCs w:val="24"/>
        </w:rPr>
        <w:t xml:space="preserve">, prepared by the National Greenhouse Gas Inventories Programme, </w:t>
      </w:r>
      <w:r>
        <w:rPr>
          <w:rFonts w:ascii="Times New Roman" w:hAnsi="Times New Roman"/>
          <w:sz w:val="24"/>
          <w:szCs w:val="24"/>
        </w:rPr>
        <w:t>is incorporated as in force from time to time. T</w:t>
      </w:r>
      <w:r w:rsidRPr="00E75242">
        <w:rPr>
          <w:rFonts w:ascii="Times New Roman" w:hAnsi="Times New Roman"/>
          <w:sz w:val="24"/>
          <w:szCs w:val="24"/>
        </w:rPr>
        <w:t xml:space="preserve">he report is </w:t>
      </w:r>
      <w:r>
        <w:rPr>
          <w:rFonts w:ascii="Times New Roman" w:hAnsi="Times New Roman"/>
          <w:sz w:val="24"/>
          <w:szCs w:val="24"/>
        </w:rPr>
        <w:t xml:space="preserve">freely accessible at </w:t>
      </w:r>
      <w:hyperlink r:id="rId11" w:history="1">
        <w:r w:rsidRPr="00750B8E">
          <w:rPr>
            <w:rStyle w:val="Hyperlink"/>
            <w:rFonts w:ascii="Times New Roman" w:hAnsi="Times New Roman" w:cstheme="minorBidi"/>
            <w:sz w:val="24"/>
            <w:szCs w:val="24"/>
          </w:rPr>
          <w:t>www.ipcc.ch/</w:t>
        </w:r>
      </w:hyperlink>
      <w:r>
        <w:rPr>
          <w:rFonts w:ascii="Times New Roman" w:hAnsi="Times New Roman"/>
          <w:sz w:val="24"/>
          <w:szCs w:val="24"/>
        </w:rPr>
        <w:t xml:space="preserve"> and is an important document for international greenhouse gas accounting.</w:t>
      </w:r>
    </w:p>
    <w:p w14:paraId="4E8BCE30" w14:textId="3C3B7614" w:rsidR="00E75242" w:rsidRDefault="00E75242" w:rsidP="00E75242">
      <w:pPr>
        <w:spacing w:before="240" w:line="240" w:lineRule="auto"/>
        <w:rPr>
          <w:rFonts w:ascii="Times New Roman" w:hAnsi="Times New Roman"/>
          <w:sz w:val="24"/>
          <w:szCs w:val="24"/>
        </w:rPr>
      </w:pPr>
      <w:r>
        <w:rPr>
          <w:rFonts w:ascii="Times New Roman" w:hAnsi="Times New Roman"/>
          <w:sz w:val="24"/>
          <w:szCs w:val="24"/>
        </w:rPr>
        <w:t xml:space="preserve">The </w:t>
      </w:r>
      <w:r w:rsidR="00DE4C09">
        <w:rPr>
          <w:rFonts w:ascii="Times New Roman" w:hAnsi="Times New Roman"/>
          <w:sz w:val="24"/>
          <w:szCs w:val="24"/>
        </w:rPr>
        <w:t>‘C</w:t>
      </w:r>
      <w:r w:rsidRPr="00E75242">
        <w:rPr>
          <w:rFonts w:ascii="Times New Roman" w:hAnsi="Times New Roman"/>
          <w:sz w:val="24"/>
          <w:szCs w:val="24"/>
        </w:rPr>
        <w:t>FI rainfall map</w:t>
      </w:r>
      <w:r w:rsidR="00DE4C09">
        <w:rPr>
          <w:rFonts w:ascii="Times New Roman" w:hAnsi="Times New Roman"/>
          <w:sz w:val="24"/>
          <w:szCs w:val="24"/>
        </w:rPr>
        <w:t>’</w:t>
      </w:r>
      <w:r>
        <w:rPr>
          <w:rFonts w:ascii="Times New Roman" w:hAnsi="Times New Roman"/>
          <w:sz w:val="24"/>
          <w:szCs w:val="24"/>
        </w:rPr>
        <w:t xml:space="preserve"> is a longstanding document for the scheme that</w:t>
      </w:r>
      <w:r w:rsidRPr="00E75242">
        <w:rPr>
          <w:rFonts w:ascii="Times New Roman" w:hAnsi="Times New Roman"/>
          <w:sz w:val="24"/>
          <w:szCs w:val="24"/>
        </w:rPr>
        <w:t xml:space="preserve"> shows long t</w:t>
      </w:r>
      <w:r>
        <w:rPr>
          <w:rFonts w:ascii="Times New Roman" w:hAnsi="Times New Roman"/>
          <w:sz w:val="24"/>
          <w:szCs w:val="24"/>
        </w:rPr>
        <w:t>erm average annual rainfall necessary to determine if a project is above or below the 600mm long term average rainfall threshold for the application of section 20AB</w:t>
      </w:r>
      <w:r w:rsidR="002D332F">
        <w:rPr>
          <w:rFonts w:ascii="Times New Roman" w:hAnsi="Times New Roman"/>
          <w:sz w:val="24"/>
          <w:szCs w:val="24"/>
        </w:rPr>
        <w:t xml:space="preserve"> and thresholds for water entitlements</w:t>
      </w:r>
      <w:r>
        <w:rPr>
          <w:rFonts w:ascii="Times New Roman" w:hAnsi="Times New Roman"/>
          <w:sz w:val="24"/>
          <w:szCs w:val="24"/>
        </w:rPr>
        <w:t>. T</w:t>
      </w:r>
      <w:r w:rsidRPr="00E75242">
        <w:rPr>
          <w:rFonts w:ascii="Times New Roman" w:hAnsi="Times New Roman"/>
          <w:sz w:val="24"/>
          <w:szCs w:val="24"/>
        </w:rPr>
        <w:t>he map is</w:t>
      </w:r>
      <w:r>
        <w:rPr>
          <w:rFonts w:ascii="Times New Roman" w:hAnsi="Times New Roman"/>
          <w:sz w:val="24"/>
          <w:szCs w:val="24"/>
        </w:rPr>
        <w:t xml:space="preserve"> freely</w:t>
      </w:r>
      <w:r w:rsidRPr="00E75242">
        <w:rPr>
          <w:rFonts w:ascii="Times New Roman" w:hAnsi="Times New Roman"/>
          <w:sz w:val="24"/>
          <w:szCs w:val="24"/>
        </w:rPr>
        <w:t xml:space="preserve"> accessible at </w:t>
      </w:r>
      <w:hyperlink r:id="rId12" w:history="1">
        <w:r w:rsidRPr="00750B8E">
          <w:rPr>
            <w:rStyle w:val="Hyperlink"/>
            <w:rFonts w:ascii="Times New Roman" w:hAnsi="Times New Roman" w:cstheme="minorBidi"/>
            <w:sz w:val="24"/>
            <w:szCs w:val="24"/>
          </w:rPr>
          <w:t>www.industry.gov.au</w:t>
        </w:r>
      </w:hyperlink>
      <w:r>
        <w:rPr>
          <w:rFonts w:ascii="Times New Roman" w:hAnsi="Times New Roman"/>
          <w:sz w:val="24"/>
          <w:szCs w:val="24"/>
        </w:rPr>
        <w:t xml:space="preserve"> and assists the implementation of the requirements.</w:t>
      </w:r>
    </w:p>
    <w:p w14:paraId="2058A173" w14:textId="64372B00" w:rsidR="00E75242" w:rsidRDefault="00E75242" w:rsidP="00E75242">
      <w:pPr>
        <w:spacing w:before="240" w:line="240" w:lineRule="auto"/>
        <w:rPr>
          <w:rFonts w:ascii="Times New Roman" w:hAnsi="Times New Roman"/>
          <w:sz w:val="24"/>
          <w:szCs w:val="24"/>
        </w:rPr>
      </w:pPr>
      <w:r>
        <w:rPr>
          <w:rFonts w:ascii="Times New Roman" w:hAnsi="Times New Roman"/>
          <w:sz w:val="24"/>
          <w:szCs w:val="24"/>
        </w:rPr>
        <w:t xml:space="preserve">The </w:t>
      </w:r>
      <w:r w:rsidRPr="00E75242">
        <w:rPr>
          <w:rFonts w:ascii="Times New Roman" w:hAnsi="Times New Roman"/>
          <w:i/>
          <w:sz w:val="24"/>
          <w:szCs w:val="24"/>
        </w:rPr>
        <w:t>Income Tax Assessment Act 1997</w:t>
      </w:r>
      <w:r>
        <w:rPr>
          <w:rFonts w:ascii="Times New Roman" w:hAnsi="Times New Roman"/>
          <w:sz w:val="24"/>
          <w:szCs w:val="24"/>
        </w:rPr>
        <w:t xml:space="preserve"> is incorporated to define forestry managed investment schemes and is freely available from </w:t>
      </w:r>
      <w:hyperlink r:id="rId13" w:history="1">
        <w:r w:rsidRPr="00750B8E">
          <w:rPr>
            <w:rStyle w:val="Hyperlink"/>
            <w:rFonts w:ascii="Times New Roman" w:hAnsi="Times New Roman" w:cstheme="minorBidi"/>
            <w:sz w:val="24"/>
            <w:szCs w:val="24"/>
          </w:rPr>
          <w:t>www.legislation.gov.au</w:t>
        </w:r>
      </w:hyperlink>
      <w:r>
        <w:rPr>
          <w:rFonts w:ascii="Times New Roman" w:hAnsi="Times New Roman"/>
          <w:sz w:val="24"/>
          <w:szCs w:val="24"/>
        </w:rPr>
        <w:t xml:space="preserve">. </w:t>
      </w:r>
    </w:p>
    <w:p w14:paraId="04360D1B" w14:textId="3D6C2E0F" w:rsidR="00E75242" w:rsidRDefault="00E75242" w:rsidP="005A4229">
      <w:pPr>
        <w:spacing w:before="240" w:line="240" w:lineRule="auto"/>
        <w:rPr>
          <w:rFonts w:ascii="Times New Roman" w:hAnsi="Times New Roman"/>
          <w:sz w:val="24"/>
          <w:szCs w:val="24"/>
        </w:rPr>
      </w:pPr>
      <w:r>
        <w:rPr>
          <w:rFonts w:ascii="Times New Roman" w:hAnsi="Times New Roman"/>
          <w:sz w:val="24"/>
          <w:szCs w:val="24"/>
        </w:rPr>
        <w:t>The ‘</w:t>
      </w:r>
      <w:r w:rsidRPr="00E75242">
        <w:rPr>
          <w:rFonts w:ascii="Times New Roman" w:hAnsi="Times New Roman"/>
          <w:sz w:val="24"/>
          <w:szCs w:val="24"/>
        </w:rPr>
        <w:t>Weeds of National Significance</w:t>
      </w:r>
      <w:r>
        <w:rPr>
          <w:rFonts w:ascii="Times New Roman" w:hAnsi="Times New Roman"/>
          <w:sz w:val="24"/>
          <w:szCs w:val="24"/>
        </w:rPr>
        <w:t>’</w:t>
      </w:r>
      <w:r w:rsidRPr="00E75242">
        <w:rPr>
          <w:rFonts w:ascii="Times New Roman" w:hAnsi="Times New Roman"/>
          <w:sz w:val="24"/>
          <w:szCs w:val="24"/>
        </w:rPr>
        <w:t xml:space="preserve"> list produced by the Australian Government for the purpose of identifying weeds</w:t>
      </w:r>
      <w:r>
        <w:rPr>
          <w:rFonts w:ascii="Times New Roman" w:hAnsi="Times New Roman"/>
          <w:sz w:val="24"/>
          <w:szCs w:val="24"/>
        </w:rPr>
        <w:t xml:space="preserve"> </w:t>
      </w:r>
      <w:r w:rsidRPr="00E75242">
        <w:rPr>
          <w:rFonts w:ascii="Times New Roman" w:hAnsi="Times New Roman"/>
          <w:sz w:val="24"/>
          <w:szCs w:val="24"/>
        </w:rPr>
        <w:t xml:space="preserve">is </w:t>
      </w:r>
      <w:r>
        <w:rPr>
          <w:rFonts w:ascii="Times New Roman" w:hAnsi="Times New Roman"/>
          <w:sz w:val="24"/>
          <w:szCs w:val="24"/>
        </w:rPr>
        <w:t xml:space="preserve">freely </w:t>
      </w:r>
      <w:r w:rsidRPr="00E75242">
        <w:rPr>
          <w:rFonts w:ascii="Times New Roman" w:hAnsi="Times New Roman"/>
          <w:sz w:val="24"/>
          <w:szCs w:val="24"/>
        </w:rPr>
        <w:t xml:space="preserve">accessible at </w:t>
      </w:r>
      <w:hyperlink r:id="rId14" w:history="1">
        <w:r w:rsidRPr="00750B8E">
          <w:rPr>
            <w:rStyle w:val="Hyperlink"/>
            <w:rFonts w:ascii="Times New Roman" w:hAnsi="Times New Roman" w:cstheme="minorBidi"/>
            <w:sz w:val="24"/>
            <w:szCs w:val="24"/>
          </w:rPr>
          <w:t>https://weeds.org.au/</w:t>
        </w:r>
      </w:hyperlink>
      <w:r>
        <w:rPr>
          <w:rFonts w:ascii="Times New Roman" w:hAnsi="Times New Roman"/>
          <w:sz w:val="24"/>
          <w:szCs w:val="24"/>
        </w:rPr>
        <w:t xml:space="preserve">. It is an important listing of weeds that would be of concern to the scheme. </w:t>
      </w:r>
    </w:p>
    <w:p w14:paraId="7A2FCF23" w14:textId="66071D8A" w:rsidR="00E75242" w:rsidRDefault="00E75242" w:rsidP="005A4229">
      <w:pPr>
        <w:spacing w:before="240" w:line="240" w:lineRule="auto"/>
        <w:rPr>
          <w:rFonts w:ascii="Times New Roman" w:hAnsi="Times New Roman"/>
          <w:sz w:val="24"/>
          <w:szCs w:val="24"/>
        </w:rPr>
      </w:pPr>
      <w:r>
        <w:rPr>
          <w:rFonts w:ascii="Times New Roman" w:hAnsi="Times New Roman"/>
          <w:sz w:val="24"/>
          <w:szCs w:val="24"/>
        </w:rPr>
        <w:t xml:space="preserve">The following State and Territory weed legislation is also incorporated, with relevant legislation websites freely available from </w:t>
      </w:r>
      <w:hyperlink r:id="rId15" w:history="1">
        <w:r w:rsidRPr="00750B8E">
          <w:rPr>
            <w:rStyle w:val="Hyperlink"/>
            <w:rFonts w:ascii="Times New Roman" w:hAnsi="Times New Roman" w:cstheme="minorBidi"/>
            <w:sz w:val="24"/>
            <w:szCs w:val="24"/>
          </w:rPr>
          <w:t>https://info.australia.gov.au/information-and-services/public-safety-and-law/legislation/states-and-territories</w:t>
        </w:r>
      </w:hyperlink>
      <w:r>
        <w:rPr>
          <w:rFonts w:ascii="Times New Roman" w:hAnsi="Times New Roman"/>
          <w:sz w:val="24"/>
          <w:szCs w:val="24"/>
        </w:rPr>
        <w:t xml:space="preserve"> </w:t>
      </w:r>
    </w:p>
    <w:p w14:paraId="75377F67" w14:textId="0E63FBE1" w:rsidR="00E75242" w:rsidRPr="00E75242" w:rsidRDefault="00E75242" w:rsidP="00E75242">
      <w:pPr>
        <w:pStyle w:val="paragraphsub"/>
        <w:numPr>
          <w:ilvl w:val="0"/>
          <w:numId w:val="15"/>
        </w:numPr>
        <w:rPr>
          <w:sz w:val="24"/>
          <w:szCs w:val="24"/>
        </w:rPr>
      </w:pPr>
      <w:r w:rsidRPr="00E75242">
        <w:rPr>
          <w:sz w:val="24"/>
          <w:szCs w:val="24"/>
        </w:rPr>
        <w:lastRenderedPageBreak/>
        <w:t xml:space="preserve">the </w:t>
      </w:r>
      <w:r w:rsidRPr="00E75242">
        <w:rPr>
          <w:i/>
          <w:sz w:val="24"/>
          <w:szCs w:val="24"/>
        </w:rPr>
        <w:t xml:space="preserve">Biosecurity Act 2015 </w:t>
      </w:r>
      <w:r w:rsidRPr="00E75242">
        <w:rPr>
          <w:sz w:val="24"/>
          <w:szCs w:val="24"/>
        </w:rPr>
        <w:t>of New South Wales;</w:t>
      </w:r>
    </w:p>
    <w:p w14:paraId="6D1F7805" w14:textId="265E2B1B" w:rsidR="00E75242" w:rsidRPr="00E75242" w:rsidRDefault="00E75242" w:rsidP="00E75242">
      <w:pPr>
        <w:pStyle w:val="paragraphsub"/>
        <w:numPr>
          <w:ilvl w:val="0"/>
          <w:numId w:val="15"/>
        </w:numPr>
        <w:rPr>
          <w:sz w:val="24"/>
          <w:szCs w:val="24"/>
        </w:rPr>
      </w:pPr>
      <w:r w:rsidRPr="00E75242">
        <w:rPr>
          <w:sz w:val="24"/>
          <w:szCs w:val="24"/>
        </w:rPr>
        <w:t xml:space="preserve">the </w:t>
      </w:r>
      <w:r w:rsidRPr="00E75242">
        <w:rPr>
          <w:i/>
          <w:sz w:val="24"/>
          <w:szCs w:val="24"/>
        </w:rPr>
        <w:t>Catchment and Land Protection Act 1994</w:t>
      </w:r>
      <w:r w:rsidRPr="00E75242">
        <w:rPr>
          <w:sz w:val="24"/>
          <w:szCs w:val="24"/>
        </w:rPr>
        <w:t xml:space="preserve"> of Victoria;</w:t>
      </w:r>
    </w:p>
    <w:p w14:paraId="6B4C3D58" w14:textId="2C492DBD" w:rsidR="00E75242" w:rsidRPr="00E75242" w:rsidRDefault="00E75242" w:rsidP="00E75242">
      <w:pPr>
        <w:pStyle w:val="paragraphsub"/>
        <w:numPr>
          <w:ilvl w:val="0"/>
          <w:numId w:val="15"/>
        </w:numPr>
        <w:rPr>
          <w:sz w:val="24"/>
          <w:szCs w:val="24"/>
        </w:rPr>
      </w:pPr>
      <w:r w:rsidRPr="00E75242">
        <w:rPr>
          <w:sz w:val="24"/>
          <w:szCs w:val="24"/>
        </w:rPr>
        <w:t xml:space="preserve">the </w:t>
      </w:r>
      <w:r w:rsidRPr="00E75242">
        <w:rPr>
          <w:i/>
          <w:sz w:val="24"/>
          <w:szCs w:val="24"/>
        </w:rPr>
        <w:t xml:space="preserve">Biosecurity Act 2014 </w:t>
      </w:r>
      <w:r w:rsidRPr="00E75242">
        <w:rPr>
          <w:sz w:val="24"/>
          <w:szCs w:val="24"/>
        </w:rPr>
        <w:t>of Queensland;</w:t>
      </w:r>
    </w:p>
    <w:p w14:paraId="66DA379A" w14:textId="7108B6AC" w:rsidR="00E75242" w:rsidRPr="00E75242" w:rsidRDefault="00E75242" w:rsidP="00E75242">
      <w:pPr>
        <w:pStyle w:val="paragraphsub"/>
        <w:numPr>
          <w:ilvl w:val="0"/>
          <w:numId w:val="15"/>
        </w:numPr>
        <w:rPr>
          <w:i/>
          <w:sz w:val="24"/>
          <w:szCs w:val="24"/>
        </w:rPr>
      </w:pPr>
      <w:r w:rsidRPr="00E75242">
        <w:rPr>
          <w:sz w:val="24"/>
          <w:szCs w:val="24"/>
        </w:rPr>
        <w:t xml:space="preserve">the </w:t>
      </w:r>
      <w:r w:rsidRPr="00E75242">
        <w:rPr>
          <w:i/>
          <w:sz w:val="24"/>
          <w:szCs w:val="24"/>
        </w:rPr>
        <w:t>Biosecurity and Agriculture Management Act 2007</w:t>
      </w:r>
      <w:r w:rsidRPr="00E75242">
        <w:rPr>
          <w:sz w:val="24"/>
          <w:szCs w:val="24"/>
        </w:rPr>
        <w:t xml:space="preserve"> of Western Australia;</w:t>
      </w:r>
    </w:p>
    <w:p w14:paraId="5C93F8AB" w14:textId="32A4FC60" w:rsidR="00E75242" w:rsidRPr="00E75242" w:rsidRDefault="00E75242" w:rsidP="00E75242">
      <w:pPr>
        <w:pStyle w:val="paragraphsub"/>
        <w:numPr>
          <w:ilvl w:val="0"/>
          <w:numId w:val="15"/>
        </w:numPr>
        <w:rPr>
          <w:sz w:val="24"/>
          <w:szCs w:val="24"/>
        </w:rPr>
      </w:pPr>
      <w:r w:rsidRPr="00E75242">
        <w:rPr>
          <w:sz w:val="24"/>
          <w:szCs w:val="24"/>
        </w:rPr>
        <w:t xml:space="preserve">the </w:t>
      </w:r>
      <w:r w:rsidRPr="00E75242">
        <w:rPr>
          <w:i/>
          <w:sz w:val="24"/>
          <w:szCs w:val="24"/>
        </w:rPr>
        <w:t xml:space="preserve">Agriculture and Related Resources Protection Act 1976 </w:t>
      </w:r>
      <w:r w:rsidRPr="00E75242">
        <w:rPr>
          <w:sz w:val="24"/>
          <w:szCs w:val="24"/>
        </w:rPr>
        <w:t>of Western Australia;</w:t>
      </w:r>
    </w:p>
    <w:p w14:paraId="33B79D46" w14:textId="114F0B67" w:rsidR="00E75242" w:rsidRPr="00E75242" w:rsidRDefault="00E75242" w:rsidP="00E75242">
      <w:pPr>
        <w:pStyle w:val="paragraphsub"/>
        <w:numPr>
          <w:ilvl w:val="0"/>
          <w:numId w:val="15"/>
        </w:numPr>
        <w:rPr>
          <w:sz w:val="24"/>
          <w:szCs w:val="24"/>
        </w:rPr>
      </w:pPr>
      <w:r w:rsidRPr="00E75242">
        <w:rPr>
          <w:sz w:val="24"/>
          <w:szCs w:val="24"/>
        </w:rPr>
        <w:t xml:space="preserve">the </w:t>
      </w:r>
      <w:r w:rsidRPr="00E75242">
        <w:rPr>
          <w:i/>
          <w:sz w:val="24"/>
          <w:szCs w:val="24"/>
        </w:rPr>
        <w:t>Natural Resources Management Act 2004</w:t>
      </w:r>
      <w:r w:rsidRPr="00E75242">
        <w:rPr>
          <w:sz w:val="24"/>
          <w:szCs w:val="24"/>
        </w:rPr>
        <w:t xml:space="preserve"> of South Australia;</w:t>
      </w:r>
    </w:p>
    <w:p w14:paraId="26196883" w14:textId="483AA485" w:rsidR="00E75242" w:rsidRPr="00E75242" w:rsidRDefault="00E75242" w:rsidP="00E75242">
      <w:pPr>
        <w:pStyle w:val="paragraphsub"/>
        <w:numPr>
          <w:ilvl w:val="0"/>
          <w:numId w:val="15"/>
        </w:numPr>
        <w:rPr>
          <w:sz w:val="24"/>
          <w:szCs w:val="24"/>
        </w:rPr>
      </w:pPr>
      <w:r w:rsidRPr="00E75242">
        <w:rPr>
          <w:sz w:val="24"/>
          <w:szCs w:val="24"/>
        </w:rPr>
        <w:t xml:space="preserve">the </w:t>
      </w:r>
      <w:r w:rsidRPr="00E75242">
        <w:rPr>
          <w:i/>
          <w:sz w:val="24"/>
          <w:szCs w:val="24"/>
        </w:rPr>
        <w:t>Weed Management Act 1999</w:t>
      </w:r>
      <w:r w:rsidRPr="00E75242">
        <w:rPr>
          <w:sz w:val="24"/>
          <w:szCs w:val="24"/>
        </w:rPr>
        <w:t xml:space="preserve"> of Tasmania;</w:t>
      </w:r>
    </w:p>
    <w:p w14:paraId="37CB3A83" w14:textId="2FF585C6" w:rsidR="00E75242" w:rsidRPr="00E75242" w:rsidRDefault="00E75242" w:rsidP="00E75242">
      <w:pPr>
        <w:pStyle w:val="paragraphsub"/>
        <w:numPr>
          <w:ilvl w:val="0"/>
          <w:numId w:val="15"/>
        </w:numPr>
        <w:rPr>
          <w:sz w:val="24"/>
          <w:szCs w:val="24"/>
        </w:rPr>
      </w:pPr>
      <w:r w:rsidRPr="00E75242">
        <w:rPr>
          <w:sz w:val="24"/>
          <w:szCs w:val="24"/>
        </w:rPr>
        <w:t xml:space="preserve">the </w:t>
      </w:r>
      <w:r w:rsidRPr="00E75242">
        <w:rPr>
          <w:i/>
          <w:sz w:val="24"/>
          <w:szCs w:val="24"/>
        </w:rPr>
        <w:t>Pest Plants and Animals Act 2005</w:t>
      </w:r>
      <w:r w:rsidRPr="00E75242">
        <w:rPr>
          <w:sz w:val="24"/>
          <w:szCs w:val="24"/>
        </w:rPr>
        <w:t xml:space="preserve"> of the Australian Capital Territory;</w:t>
      </w:r>
    </w:p>
    <w:p w14:paraId="0A909407" w14:textId="6EF51960" w:rsidR="00E75242" w:rsidRPr="00E75242" w:rsidRDefault="00E75242" w:rsidP="00E75242">
      <w:pPr>
        <w:pStyle w:val="paragraphsub"/>
        <w:numPr>
          <w:ilvl w:val="0"/>
          <w:numId w:val="15"/>
        </w:numPr>
        <w:rPr>
          <w:sz w:val="24"/>
          <w:szCs w:val="24"/>
        </w:rPr>
      </w:pPr>
      <w:proofErr w:type="gramStart"/>
      <w:r w:rsidRPr="00E75242">
        <w:rPr>
          <w:sz w:val="24"/>
          <w:szCs w:val="24"/>
        </w:rPr>
        <w:t>the</w:t>
      </w:r>
      <w:proofErr w:type="gramEnd"/>
      <w:r w:rsidRPr="00E75242">
        <w:rPr>
          <w:sz w:val="24"/>
          <w:szCs w:val="24"/>
        </w:rPr>
        <w:t xml:space="preserve"> </w:t>
      </w:r>
      <w:r w:rsidRPr="00E75242">
        <w:rPr>
          <w:i/>
          <w:sz w:val="24"/>
          <w:szCs w:val="24"/>
        </w:rPr>
        <w:t>Weeds Management Act 2001</w:t>
      </w:r>
      <w:r w:rsidRPr="00E75242">
        <w:rPr>
          <w:sz w:val="24"/>
          <w:szCs w:val="24"/>
        </w:rPr>
        <w:t xml:space="preserve"> of the Northern Territory.</w:t>
      </w:r>
    </w:p>
    <w:p w14:paraId="08CF2F71" w14:textId="050FD5E6" w:rsidR="00E75242" w:rsidRDefault="002D332F" w:rsidP="002D332F">
      <w:pPr>
        <w:spacing w:before="240" w:line="240" w:lineRule="auto"/>
        <w:rPr>
          <w:rFonts w:ascii="Times New Roman" w:hAnsi="Times New Roman"/>
          <w:sz w:val="24"/>
          <w:szCs w:val="24"/>
        </w:rPr>
      </w:pPr>
      <w:r>
        <w:rPr>
          <w:rFonts w:ascii="Times New Roman" w:hAnsi="Times New Roman"/>
          <w:sz w:val="24"/>
          <w:szCs w:val="24"/>
        </w:rPr>
        <w:t xml:space="preserve">The </w:t>
      </w:r>
      <w:r w:rsidR="00DE4C09">
        <w:rPr>
          <w:rFonts w:ascii="Times New Roman" w:hAnsi="Times New Roman"/>
          <w:sz w:val="24"/>
          <w:szCs w:val="24"/>
        </w:rPr>
        <w:t>‘</w:t>
      </w:r>
      <w:r w:rsidRPr="002D332F">
        <w:rPr>
          <w:rFonts w:ascii="Times New Roman" w:hAnsi="Times New Roman"/>
          <w:sz w:val="24"/>
          <w:szCs w:val="24"/>
        </w:rPr>
        <w:t>Salinity Guidelines</w:t>
      </w:r>
      <w:r w:rsidR="00DE4C09">
        <w:rPr>
          <w:rFonts w:ascii="Times New Roman" w:hAnsi="Times New Roman"/>
          <w:sz w:val="24"/>
          <w:szCs w:val="24"/>
        </w:rPr>
        <w:t>’</w:t>
      </w:r>
      <w:r w:rsidRPr="002D332F">
        <w:rPr>
          <w:rFonts w:ascii="Times New Roman" w:hAnsi="Times New Roman"/>
          <w:sz w:val="24"/>
          <w:szCs w:val="24"/>
        </w:rPr>
        <w:t xml:space="preserve"> </w:t>
      </w:r>
      <w:r>
        <w:rPr>
          <w:rFonts w:ascii="Times New Roman" w:hAnsi="Times New Roman"/>
          <w:sz w:val="24"/>
          <w:szCs w:val="24"/>
        </w:rPr>
        <w:t>are</w:t>
      </w:r>
      <w:r w:rsidRPr="002D332F">
        <w:rPr>
          <w:rFonts w:ascii="Times New Roman" w:hAnsi="Times New Roman"/>
          <w:sz w:val="24"/>
          <w:szCs w:val="24"/>
        </w:rPr>
        <w:t xml:space="preserve"> published on the Department’s website as in force from time to time, to assist project proponents to determine whether the planting of trees is an excluded offsets project.</w:t>
      </w:r>
      <w:r>
        <w:rPr>
          <w:rFonts w:ascii="Times New Roman" w:hAnsi="Times New Roman"/>
          <w:sz w:val="24"/>
          <w:szCs w:val="24"/>
        </w:rPr>
        <w:t xml:space="preserve"> T</w:t>
      </w:r>
      <w:r w:rsidRPr="002D332F">
        <w:rPr>
          <w:rFonts w:ascii="Times New Roman" w:hAnsi="Times New Roman"/>
          <w:sz w:val="24"/>
          <w:szCs w:val="24"/>
        </w:rPr>
        <w:t xml:space="preserve">he guidelines are </w:t>
      </w:r>
      <w:r>
        <w:rPr>
          <w:rFonts w:ascii="Times New Roman" w:hAnsi="Times New Roman"/>
          <w:sz w:val="24"/>
          <w:szCs w:val="24"/>
        </w:rPr>
        <w:t xml:space="preserve">freely </w:t>
      </w:r>
      <w:r w:rsidRPr="002D332F">
        <w:rPr>
          <w:rFonts w:ascii="Times New Roman" w:hAnsi="Times New Roman"/>
          <w:sz w:val="24"/>
          <w:szCs w:val="24"/>
        </w:rPr>
        <w:t xml:space="preserve">accessible at </w:t>
      </w:r>
      <w:hyperlink r:id="rId16" w:history="1">
        <w:r w:rsidRPr="00750B8E">
          <w:rPr>
            <w:rStyle w:val="Hyperlink"/>
            <w:rFonts w:ascii="Times New Roman" w:hAnsi="Times New Roman" w:cstheme="minorBidi"/>
            <w:sz w:val="24"/>
            <w:szCs w:val="24"/>
          </w:rPr>
          <w:t>www.industry.gov.au</w:t>
        </w:r>
      </w:hyperlink>
      <w:r>
        <w:rPr>
          <w:rFonts w:ascii="Times New Roman" w:hAnsi="Times New Roman"/>
          <w:sz w:val="24"/>
          <w:szCs w:val="24"/>
        </w:rPr>
        <w:t xml:space="preserve"> and an important tool for the management of dryland salinity to be assessed and verified.</w:t>
      </w:r>
    </w:p>
    <w:p w14:paraId="4C93C507" w14:textId="6AEEACAA" w:rsidR="007E60D0" w:rsidRDefault="007E60D0" w:rsidP="002D332F">
      <w:pPr>
        <w:spacing w:before="240" w:line="240" w:lineRule="auto"/>
        <w:rPr>
          <w:rFonts w:ascii="Times New Roman" w:hAnsi="Times New Roman"/>
          <w:sz w:val="24"/>
          <w:szCs w:val="24"/>
        </w:rPr>
      </w:pPr>
      <w:r>
        <w:rPr>
          <w:rFonts w:ascii="Times New Roman" w:hAnsi="Times New Roman"/>
          <w:sz w:val="24"/>
          <w:szCs w:val="24"/>
        </w:rPr>
        <w:t xml:space="preserve">The ‘National Water Initiative’ </w:t>
      </w:r>
      <w:r w:rsidRPr="007E60D0">
        <w:rPr>
          <w:rFonts w:ascii="Times New Roman" w:hAnsi="Times New Roman"/>
          <w:sz w:val="24"/>
          <w:szCs w:val="24"/>
        </w:rPr>
        <w:t>means the Intergovernmental Agreement on a National Water Initiative between the Commonwealth of Australia and the Governments of New South Wales, Victoria, Queensland, Western Australia, South Australia, Tasmania, the Australian Capital Territory and the Northern Territory</w:t>
      </w:r>
      <w:r>
        <w:rPr>
          <w:rFonts w:ascii="Times New Roman" w:hAnsi="Times New Roman"/>
          <w:sz w:val="24"/>
          <w:szCs w:val="24"/>
        </w:rPr>
        <w:t xml:space="preserve">. The ‘National Water Initiative’ is freely accessible at </w:t>
      </w:r>
      <w:hyperlink r:id="rId17" w:history="1">
        <w:r w:rsidRPr="007E60D0">
          <w:rPr>
            <w:rStyle w:val="Hyperlink"/>
            <w:rFonts w:ascii="Times New Roman" w:hAnsi="Times New Roman" w:cstheme="minorBidi"/>
            <w:sz w:val="24"/>
            <w:szCs w:val="24"/>
          </w:rPr>
          <w:t>https://www.awe.gov.au/water/policy/policy/nwi</w:t>
        </w:r>
      </w:hyperlink>
      <w:r>
        <w:rPr>
          <w:rFonts w:ascii="Times New Roman" w:hAnsi="Times New Roman"/>
          <w:sz w:val="24"/>
          <w:szCs w:val="24"/>
        </w:rPr>
        <w:t xml:space="preserve"> and is incorporated as amended from time to time.</w:t>
      </w:r>
    </w:p>
    <w:p w14:paraId="2FC572A9" w14:textId="2EA498AC" w:rsidR="003D290E" w:rsidRPr="00101B12" w:rsidRDefault="003D290E" w:rsidP="002D332F">
      <w:pPr>
        <w:spacing w:before="240" w:line="240" w:lineRule="auto"/>
        <w:rPr>
          <w:rFonts w:ascii="Times New Roman" w:hAnsi="Times New Roman"/>
          <w:sz w:val="24"/>
          <w:szCs w:val="24"/>
        </w:rPr>
      </w:pPr>
      <w:r>
        <w:rPr>
          <w:rFonts w:ascii="Times New Roman" w:hAnsi="Times New Roman"/>
          <w:sz w:val="24"/>
          <w:szCs w:val="24"/>
        </w:rPr>
        <w:t xml:space="preserve">The map of area where the planting of trees is unlikely to have a material adverse impact on the availability of water for subsection </w:t>
      </w:r>
      <w:proofErr w:type="gramStart"/>
      <w:r>
        <w:rPr>
          <w:rFonts w:ascii="Times New Roman" w:hAnsi="Times New Roman"/>
          <w:sz w:val="24"/>
          <w:szCs w:val="24"/>
        </w:rPr>
        <w:t>20AB(</w:t>
      </w:r>
      <w:proofErr w:type="gramEnd"/>
      <w:r>
        <w:rPr>
          <w:rFonts w:ascii="Times New Roman" w:hAnsi="Times New Roman"/>
          <w:sz w:val="24"/>
          <w:szCs w:val="24"/>
        </w:rPr>
        <w:t xml:space="preserve">5) is freely available from the Department’s website </w:t>
      </w:r>
      <w:r w:rsidRPr="002D332F">
        <w:rPr>
          <w:rFonts w:ascii="Times New Roman" w:hAnsi="Times New Roman"/>
          <w:sz w:val="24"/>
          <w:szCs w:val="24"/>
        </w:rPr>
        <w:t xml:space="preserve">at </w:t>
      </w:r>
      <w:hyperlink r:id="rId18" w:history="1">
        <w:r w:rsidRPr="00750B8E">
          <w:rPr>
            <w:rStyle w:val="Hyperlink"/>
            <w:rFonts w:ascii="Times New Roman" w:hAnsi="Times New Roman" w:cstheme="minorBidi"/>
            <w:sz w:val="24"/>
            <w:szCs w:val="24"/>
          </w:rPr>
          <w:t>www.industry.gov.au</w:t>
        </w:r>
      </w:hyperlink>
      <w:r>
        <w:rPr>
          <w:rFonts w:ascii="Times New Roman" w:hAnsi="Times New Roman"/>
          <w:sz w:val="24"/>
          <w:szCs w:val="24"/>
        </w:rPr>
        <w:t xml:space="preserve"> and is incorporated as in force from time to time. This allows the potential impacts of water to be assessed and reviewed over time. </w:t>
      </w:r>
    </w:p>
    <w:p w14:paraId="4DBEE63B" w14:textId="04E3D9E6" w:rsidR="005A4229" w:rsidRPr="00496211" w:rsidRDefault="00206B01" w:rsidP="00101B12">
      <w:pPr>
        <w:spacing w:before="240" w:line="240" w:lineRule="auto"/>
        <w:rPr>
          <w:rFonts w:ascii="Times New Roman" w:hAnsi="Times New Roman"/>
          <w:bCs/>
          <w:sz w:val="24"/>
          <w:szCs w:val="24"/>
          <w:u w:val="single"/>
        </w:rPr>
      </w:pPr>
      <w:r>
        <w:rPr>
          <w:rFonts w:ascii="Times New Roman" w:hAnsi="Times New Roman"/>
          <w:sz w:val="24"/>
          <w:szCs w:val="24"/>
          <w:u w:val="single"/>
        </w:rPr>
        <w:t xml:space="preserve">Item 2: </w:t>
      </w:r>
    </w:p>
    <w:p w14:paraId="77AA7091" w14:textId="741AF3F0" w:rsidR="00101B12" w:rsidRPr="00101B12" w:rsidRDefault="00101B12" w:rsidP="00101B12">
      <w:pPr>
        <w:spacing w:after="120" w:line="276" w:lineRule="auto"/>
        <w:rPr>
          <w:rFonts w:ascii="Times New Roman" w:hAnsi="Times New Roman"/>
          <w:sz w:val="24"/>
          <w:szCs w:val="24"/>
        </w:rPr>
      </w:pPr>
      <w:r w:rsidRPr="00101B12">
        <w:rPr>
          <w:rFonts w:ascii="Times New Roman" w:hAnsi="Times New Roman"/>
          <w:sz w:val="24"/>
          <w:szCs w:val="24"/>
        </w:rPr>
        <w:t>Item 2 of the Amendment Rule</w:t>
      </w:r>
      <w:r>
        <w:rPr>
          <w:rFonts w:ascii="Times New Roman" w:hAnsi="Times New Roman"/>
          <w:sz w:val="24"/>
          <w:szCs w:val="24"/>
        </w:rPr>
        <w:t xml:space="preserve"> inserts a new section which</w:t>
      </w:r>
      <w:r w:rsidRPr="00101B12">
        <w:rPr>
          <w:rFonts w:ascii="Times New Roman" w:hAnsi="Times New Roman"/>
          <w:sz w:val="24"/>
          <w:szCs w:val="24"/>
        </w:rPr>
        <w:t xml:space="preserve"> provides that if the Regulator is considering an application on the commencement of the Amendment Rule, the excluded offsets project definition in the </w:t>
      </w:r>
      <w:r w:rsidRPr="003D290E">
        <w:rPr>
          <w:rFonts w:ascii="Times New Roman" w:hAnsi="Times New Roman"/>
          <w:i/>
          <w:sz w:val="24"/>
          <w:szCs w:val="24"/>
        </w:rPr>
        <w:t>Carbon Credits (Carbon Farming Initiative) Regulations 2011</w:t>
      </w:r>
      <w:r w:rsidRPr="00101B12">
        <w:rPr>
          <w:rFonts w:ascii="Times New Roman" w:hAnsi="Times New Roman"/>
          <w:sz w:val="24"/>
          <w:szCs w:val="24"/>
        </w:rPr>
        <w:t xml:space="preserve"> as in force immediately before 1 April 2022 applies to that application instead of se</w:t>
      </w:r>
      <w:r w:rsidR="003D290E">
        <w:rPr>
          <w:rFonts w:ascii="Times New Roman" w:hAnsi="Times New Roman"/>
          <w:sz w:val="24"/>
          <w:szCs w:val="24"/>
        </w:rPr>
        <w:t>ctions 20AA and 20AB. This</w:t>
      </w:r>
      <w:r w:rsidRPr="00101B12">
        <w:rPr>
          <w:rFonts w:ascii="Times New Roman" w:hAnsi="Times New Roman"/>
          <w:sz w:val="24"/>
          <w:szCs w:val="24"/>
        </w:rPr>
        <w:t xml:space="preserve"> ensure</w:t>
      </w:r>
      <w:r w:rsidR="003D290E">
        <w:rPr>
          <w:rFonts w:ascii="Times New Roman" w:hAnsi="Times New Roman"/>
          <w:sz w:val="24"/>
          <w:szCs w:val="24"/>
        </w:rPr>
        <w:t>s</w:t>
      </w:r>
      <w:r w:rsidRPr="00101B12">
        <w:rPr>
          <w:rFonts w:ascii="Times New Roman" w:hAnsi="Times New Roman"/>
          <w:sz w:val="24"/>
          <w:szCs w:val="24"/>
        </w:rPr>
        <w:t xml:space="preserve"> the </w:t>
      </w:r>
      <w:r w:rsidR="003D290E">
        <w:rPr>
          <w:rFonts w:ascii="Times New Roman" w:hAnsi="Times New Roman"/>
          <w:sz w:val="24"/>
          <w:szCs w:val="24"/>
        </w:rPr>
        <w:t>existing definition which projects have based their applications upon applies to those applications</w:t>
      </w:r>
      <w:r w:rsidRPr="00101B12">
        <w:rPr>
          <w:rFonts w:ascii="Times New Roman" w:hAnsi="Times New Roman"/>
          <w:sz w:val="24"/>
          <w:szCs w:val="24"/>
        </w:rPr>
        <w:t>.</w:t>
      </w:r>
    </w:p>
    <w:p w14:paraId="70FF52D2" w14:textId="77777777" w:rsidR="00101B12" w:rsidRDefault="00101B12">
      <w:pPr>
        <w:rPr>
          <w:rFonts w:ascii="Times New Roman" w:hAnsi="Times New Roman"/>
          <w:b/>
          <w:bCs/>
          <w:sz w:val="24"/>
          <w:szCs w:val="24"/>
          <w:u w:val="single"/>
        </w:rPr>
      </w:pPr>
      <w:r>
        <w:rPr>
          <w:rFonts w:ascii="Times New Roman" w:hAnsi="Times New Roman"/>
          <w:b/>
          <w:bCs/>
          <w:sz w:val="24"/>
          <w:szCs w:val="24"/>
          <w:u w:val="single"/>
        </w:rPr>
        <w:br w:type="page"/>
      </w:r>
    </w:p>
    <w:p w14:paraId="2F93396E" w14:textId="213B0A1A" w:rsidR="005A4229" w:rsidRPr="00D57FE9" w:rsidRDefault="005A4229" w:rsidP="005A4229">
      <w:pPr>
        <w:spacing w:line="240" w:lineRule="auto"/>
        <w:jc w:val="right"/>
        <w:rPr>
          <w:rFonts w:ascii="Times New Roman" w:hAnsi="Times New Roman"/>
          <w:b/>
          <w:bCs/>
          <w:sz w:val="24"/>
          <w:szCs w:val="24"/>
          <w:u w:val="single"/>
        </w:rPr>
      </w:pPr>
      <w:r w:rsidRPr="00D57FE9">
        <w:rPr>
          <w:rFonts w:ascii="Times New Roman" w:hAnsi="Times New Roman"/>
          <w:b/>
          <w:bCs/>
          <w:sz w:val="24"/>
          <w:szCs w:val="24"/>
          <w:u w:val="single"/>
        </w:rPr>
        <w:lastRenderedPageBreak/>
        <w:t>ATTACHMENT B</w:t>
      </w:r>
    </w:p>
    <w:p w14:paraId="3E0EFC30" w14:textId="77777777" w:rsidR="005A4229" w:rsidRPr="00D57FE9" w:rsidRDefault="005A4229" w:rsidP="005A4229">
      <w:pPr>
        <w:spacing w:line="240" w:lineRule="auto"/>
        <w:ind w:right="91"/>
        <w:jc w:val="center"/>
        <w:rPr>
          <w:rFonts w:ascii="Times New Roman" w:hAnsi="Times New Roman"/>
          <w:sz w:val="24"/>
          <w:szCs w:val="24"/>
          <w:u w:val="single"/>
        </w:rPr>
      </w:pPr>
      <w:r w:rsidRPr="00D57FE9">
        <w:rPr>
          <w:rFonts w:ascii="Times New Roman" w:hAnsi="Times New Roman"/>
          <w:b/>
          <w:bCs/>
          <w:sz w:val="24"/>
          <w:szCs w:val="24"/>
          <w:u w:val="single"/>
        </w:rPr>
        <w:t>Statement of Compatibility with Human Rights</w:t>
      </w:r>
    </w:p>
    <w:p w14:paraId="5FEDA55D" w14:textId="77777777" w:rsidR="005A4229" w:rsidRPr="00D57FE9" w:rsidRDefault="005A4229" w:rsidP="005A4229">
      <w:pPr>
        <w:spacing w:after="120" w:line="240" w:lineRule="auto"/>
        <w:jc w:val="center"/>
        <w:rPr>
          <w:rFonts w:ascii="Times New Roman" w:hAnsi="Times New Roman"/>
          <w:sz w:val="24"/>
          <w:szCs w:val="24"/>
        </w:rPr>
      </w:pPr>
      <w:r w:rsidRPr="00D57FE9">
        <w:rPr>
          <w:rFonts w:ascii="Times New Roman" w:hAnsi="Times New Roman"/>
          <w:i/>
          <w:iCs/>
          <w:sz w:val="24"/>
          <w:szCs w:val="24"/>
        </w:rPr>
        <w:t>Prepared in accordance with Part 3 of the Human Rights (Parliamentary Scrutiny) Act 2011</w:t>
      </w:r>
    </w:p>
    <w:p w14:paraId="3AEDB827" w14:textId="41E34156" w:rsidR="005A4229" w:rsidRPr="00D57FE9" w:rsidRDefault="00AB0A9C" w:rsidP="005A4229">
      <w:pPr>
        <w:spacing w:before="100" w:beforeAutospacing="1" w:after="100" w:afterAutospacing="1" w:line="240" w:lineRule="auto"/>
        <w:jc w:val="center"/>
        <w:rPr>
          <w:rFonts w:ascii="Times New Roman" w:hAnsi="Times New Roman"/>
          <w:b/>
          <w:bCs/>
          <w:i/>
          <w:sz w:val="24"/>
          <w:szCs w:val="24"/>
          <w:lang w:eastAsia="en-AU"/>
        </w:rPr>
      </w:pPr>
      <w:r>
        <w:rPr>
          <w:rFonts w:ascii="Times New Roman" w:hAnsi="Times New Roman"/>
          <w:b/>
          <w:bCs/>
          <w:i/>
          <w:sz w:val="24"/>
          <w:szCs w:val="24"/>
          <w:lang w:eastAsia="en-AU"/>
        </w:rPr>
        <w:t>Carbon Credits (Carbon Farming Initiative) Amendment (Excluded Offsets Projects) Rule 2022</w:t>
      </w:r>
    </w:p>
    <w:p w14:paraId="4CBE8210" w14:textId="5538D1AC" w:rsidR="005A4229" w:rsidRPr="00D57FE9" w:rsidRDefault="005A4229" w:rsidP="005A4229">
      <w:pPr>
        <w:pStyle w:val="base-text-paragraphnonumbers"/>
        <w:ind w:left="0"/>
        <w:rPr>
          <w:szCs w:val="24"/>
        </w:rPr>
      </w:pPr>
      <w:r w:rsidRPr="00D57FE9">
        <w:rPr>
          <w:szCs w:val="24"/>
        </w:rPr>
        <w:t xml:space="preserve">The </w:t>
      </w:r>
      <w:r w:rsidR="00AB0A9C">
        <w:rPr>
          <w:i/>
          <w:iCs/>
          <w:szCs w:val="24"/>
        </w:rPr>
        <w:t xml:space="preserve">Carbon Credits (Carbon Farming Initiative) Amendment (Excluded Offsets Projects) Rule 2022 </w:t>
      </w:r>
      <w:r w:rsidRPr="00292F27">
        <w:rPr>
          <w:szCs w:val="24"/>
        </w:rPr>
        <w:t>(</w:t>
      </w:r>
      <w:r w:rsidRPr="00D57FE9">
        <w:rPr>
          <w:szCs w:val="24"/>
        </w:rPr>
        <w:t>the</w:t>
      </w:r>
      <w:r w:rsidRPr="00D57FE9">
        <w:rPr>
          <w:b/>
          <w:i/>
          <w:szCs w:val="24"/>
        </w:rPr>
        <w:t xml:space="preserve"> Amendment Rule</w:t>
      </w:r>
      <w:r w:rsidRPr="00D57FE9">
        <w:rPr>
          <w:szCs w:val="24"/>
        </w:rPr>
        <w:t xml:space="preserve">) is compatible with the human rights and freedoms recognised or declared in the international instruments listed in section 3 of the </w:t>
      </w:r>
      <w:r w:rsidRPr="00D57FE9">
        <w:rPr>
          <w:i/>
          <w:szCs w:val="24"/>
        </w:rPr>
        <w:t>Human Rights (Parliamentary Scrutiny) Act 2011</w:t>
      </w:r>
      <w:r w:rsidRPr="00D57FE9">
        <w:rPr>
          <w:szCs w:val="24"/>
        </w:rPr>
        <w:t>.</w:t>
      </w:r>
    </w:p>
    <w:p w14:paraId="43908E1B" w14:textId="77777777" w:rsidR="005A4229" w:rsidRPr="00D57FE9" w:rsidRDefault="005A4229" w:rsidP="005A4229">
      <w:pPr>
        <w:pStyle w:val="Heading2"/>
        <w:ind w:left="855" w:hanging="855"/>
        <w:rPr>
          <w:b w:val="0"/>
          <w:bCs w:val="0"/>
          <w:sz w:val="24"/>
          <w:szCs w:val="24"/>
        </w:rPr>
      </w:pPr>
      <w:r w:rsidRPr="00D57FE9">
        <w:rPr>
          <w:sz w:val="24"/>
          <w:szCs w:val="24"/>
        </w:rPr>
        <w:t>Overview of the Legislative Instrument</w:t>
      </w:r>
    </w:p>
    <w:p w14:paraId="1BA88A09" w14:textId="77777777" w:rsidR="005A4229" w:rsidRPr="00D57FE9" w:rsidRDefault="005A4229" w:rsidP="005A4229">
      <w:pPr>
        <w:pStyle w:val="base-text-paragraphnonumbers"/>
        <w:spacing w:after="200"/>
        <w:ind w:left="0"/>
        <w:rPr>
          <w:szCs w:val="24"/>
        </w:rPr>
      </w:pPr>
      <w:r w:rsidRPr="00D57FE9">
        <w:rPr>
          <w:szCs w:val="24"/>
        </w:rPr>
        <w:t xml:space="preserve">The </w:t>
      </w:r>
      <w:r w:rsidRPr="00D57FE9">
        <w:rPr>
          <w:i/>
          <w:szCs w:val="24"/>
        </w:rPr>
        <w:t>Carbon Credits (Carbon Farming Initiative) Act 2011</w:t>
      </w:r>
      <w:r w:rsidRPr="00D57FE9">
        <w:rPr>
          <w:szCs w:val="24"/>
        </w:rPr>
        <w:t xml:space="preserve"> (the </w:t>
      </w:r>
      <w:r w:rsidRPr="00D57FE9">
        <w:rPr>
          <w:b/>
          <w:i/>
          <w:szCs w:val="24"/>
        </w:rPr>
        <w:t>Act</w:t>
      </w:r>
      <w:r w:rsidRPr="00D57FE9">
        <w:rPr>
          <w:szCs w:val="24"/>
        </w:rPr>
        <w:t>) enables the crediting of greenhouse gas abatement from emissions reduction activities across Australia. Greenhouse gas abatement is achieved either by reducing or avoiding emissions, or by removing carbon from the atmosphere and storing it.</w:t>
      </w:r>
    </w:p>
    <w:p w14:paraId="7C9303B9" w14:textId="2C795A1D" w:rsidR="003D0878" w:rsidRPr="003D0878" w:rsidRDefault="003D0878" w:rsidP="003D0878">
      <w:pPr>
        <w:spacing w:line="240" w:lineRule="auto"/>
        <w:rPr>
          <w:rFonts w:ascii="Times New Roman" w:eastAsia="Times New Roman" w:hAnsi="Times New Roman" w:cs="Times New Roman"/>
          <w:sz w:val="24"/>
          <w:szCs w:val="24"/>
          <w:lang w:eastAsia="en-AU"/>
        </w:rPr>
      </w:pPr>
      <w:r w:rsidRPr="003D0878">
        <w:rPr>
          <w:rFonts w:ascii="Times New Roman" w:eastAsia="Times New Roman" w:hAnsi="Times New Roman" w:cs="Times New Roman"/>
          <w:sz w:val="24"/>
          <w:szCs w:val="24"/>
          <w:lang w:eastAsia="en-AU"/>
        </w:rPr>
        <w:t xml:space="preserve">The </w:t>
      </w:r>
      <w:r w:rsidRPr="003D0878">
        <w:rPr>
          <w:rFonts w:ascii="Times New Roman" w:eastAsia="Times New Roman" w:hAnsi="Times New Roman" w:cs="Times New Roman"/>
          <w:i/>
          <w:sz w:val="24"/>
          <w:szCs w:val="24"/>
          <w:lang w:eastAsia="en-AU"/>
        </w:rPr>
        <w:t>Carbon Credits (Carbon Farming Initiative) Rule 2015</w:t>
      </w:r>
      <w:r w:rsidRPr="003D0878">
        <w:rPr>
          <w:rFonts w:ascii="Times New Roman" w:eastAsia="Times New Roman" w:hAnsi="Times New Roman" w:cs="Times New Roman"/>
          <w:sz w:val="24"/>
          <w:szCs w:val="24"/>
          <w:lang w:eastAsia="en-AU"/>
        </w:rPr>
        <w:t xml:space="preserve"> details additional administrative procedures under the Act, including information and audit requirements for project applications and reports, the fit and proper person test for participants, procedures for parts of the carbon abatement purchasing process, the length of reporting periods, and notification and record-keeping requirements. </w:t>
      </w:r>
    </w:p>
    <w:p w14:paraId="23F385E8" w14:textId="769DC250" w:rsidR="00101B12" w:rsidRDefault="00101B12" w:rsidP="00101B12">
      <w:pPr>
        <w:rPr>
          <w:rFonts w:ascii="Times New Roman" w:hAnsi="Times New Roman"/>
          <w:sz w:val="24"/>
          <w:szCs w:val="24"/>
        </w:rPr>
      </w:pPr>
      <w:r w:rsidRPr="00101B12">
        <w:rPr>
          <w:rFonts w:ascii="Times New Roman" w:hAnsi="Times New Roman"/>
          <w:sz w:val="24"/>
          <w:szCs w:val="24"/>
        </w:rPr>
        <w:t xml:space="preserve">The Amendment Rule </w:t>
      </w:r>
      <w:r w:rsidRPr="00AB0A9C">
        <w:rPr>
          <w:rFonts w:ascii="Times New Roman" w:hAnsi="Times New Roman"/>
          <w:sz w:val="24"/>
          <w:szCs w:val="24"/>
        </w:rPr>
        <w:t>remake</w:t>
      </w:r>
      <w:r>
        <w:rPr>
          <w:rFonts w:ascii="Times New Roman" w:hAnsi="Times New Roman"/>
          <w:sz w:val="24"/>
          <w:szCs w:val="24"/>
        </w:rPr>
        <w:t>s</w:t>
      </w:r>
      <w:r w:rsidRPr="00AB0A9C">
        <w:rPr>
          <w:rFonts w:ascii="Times New Roman" w:hAnsi="Times New Roman"/>
          <w:sz w:val="24"/>
          <w:szCs w:val="24"/>
        </w:rPr>
        <w:t xml:space="preserve"> the</w:t>
      </w:r>
      <w:r>
        <w:rPr>
          <w:rFonts w:ascii="Times New Roman" w:hAnsi="Times New Roman"/>
          <w:sz w:val="24"/>
          <w:szCs w:val="24"/>
        </w:rPr>
        <w:t xml:space="preserve"> excluded offsets projects list currently set out in regulations 3.36 and 3.37 of the</w:t>
      </w:r>
      <w:r w:rsidRPr="00AB0A9C">
        <w:rPr>
          <w:rFonts w:ascii="Times New Roman" w:hAnsi="Times New Roman"/>
          <w:sz w:val="24"/>
          <w:szCs w:val="24"/>
        </w:rPr>
        <w:t xml:space="preserve"> </w:t>
      </w:r>
      <w:r>
        <w:rPr>
          <w:rFonts w:ascii="Times New Roman" w:hAnsi="Times New Roman"/>
          <w:sz w:val="24"/>
          <w:szCs w:val="24"/>
        </w:rPr>
        <w:t xml:space="preserve">sunsetting </w:t>
      </w:r>
      <w:r w:rsidRPr="00AC14E4">
        <w:rPr>
          <w:rFonts w:ascii="Times New Roman" w:hAnsi="Times New Roman"/>
          <w:i/>
          <w:sz w:val="24"/>
          <w:szCs w:val="24"/>
        </w:rPr>
        <w:t xml:space="preserve">Carbon Credits (Carbon Farming Initiative) Regulations 2011 </w:t>
      </w:r>
      <w:r w:rsidRPr="00AB0A9C">
        <w:rPr>
          <w:rFonts w:ascii="Times New Roman" w:hAnsi="Times New Roman"/>
          <w:sz w:val="24"/>
          <w:szCs w:val="24"/>
        </w:rPr>
        <w:t>(the Regulations) as sections of the Rule</w:t>
      </w:r>
      <w:r>
        <w:rPr>
          <w:rFonts w:ascii="Times New Roman" w:hAnsi="Times New Roman"/>
          <w:sz w:val="24"/>
          <w:szCs w:val="24"/>
        </w:rPr>
        <w:t>. The Amendment Rule is made with some</w:t>
      </w:r>
      <w:r w:rsidRPr="00AB0A9C">
        <w:rPr>
          <w:rFonts w:ascii="Times New Roman" w:hAnsi="Times New Roman"/>
          <w:sz w:val="24"/>
          <w:szCs w:val="24"/>
        </w:rPr>
        <w:t xml:space="preserve"> minor drafting changes to ensure the amendments are</w:t>
      </w:r>
      <w:r>
        <w:rPr>
          <w:rFonts w:ascii="Times New Roman" w:hAnsi="Times New Roman"/>
          <w:sz w:val="24"/>
          <w:szCs w:val="24"/>
        </w:rPr>
        <w:t xml:space="preserve"> in accordance with contemporary drafting principles and</w:t>
      </w:r>
      <w:r w:rsidRPr="00AB0A9C">
        <w:rPr>
          <w:rFonts w:ascii="Times New Roman" w:hAnsi="Times New Roman"/>
          <w:sz w:val="24"/>
          <w:szCs w:val="24"/>
        </w:rPr>
        <w:t xml:space="preserve"> fit for purpose</w:t>
      </w:r>
      <w:r>
        <w:rPr>
          <w:rFonts w:ascii="Times New Roman" w:hAnsi="Times New Roman"/>
          <w:sz w:val="24"/>
          <w:szCs w:val="24"/>
        </w:rPr>
        <w:t>.</w:t>
      </w:r>
      <w:r w:rsidRPr="00AB0A9C">
        <w:rPr>
          <w:rFonts w:ascii="Times New Roman" w:hAnsi="Times New Roman"/>
          <w:sz w:val="24"/>
          <w:szCs w:val="24"/>
        </w:rPr>
        <w:t xml:space="preserve"> </w:t>
      </w:r>
    </w:p>
    <w:p w14:paraId="24109B38" w14:textId="77777777" w:rsidR="005A4229" w:rsidRPr="00D57FE9" w:rsidRDefault="005A4229" w:rsidP="005A4229">
      <w:pPr>
        <w:pStyle w:val="Heading2"/>
        <w:ind w:left="855" w:hanging="855"/>
        <w:rPr>
          <w:sz w:val="24"/>
          <w:szCs w:val="24"/>
        </w:rPr>
      </w:pPr>
      <w:r w:rsidRPr="00D57FE9">
        <w:rPr>
          <w:sz w:val="24"/>
          <w:szCs w:val="24"/>
        </w:rPr>
        <w:t>Human rights implications</w:t>
      </w:r>
    </w:p>
    <w:p w14:paraId="2C1F7CC6" w14:textId="77777777" w:rsidR="005A4229" w:rsidRPr="00D57FE9" w:rsidRDefault="005A4229" w:rsidP="005A4229">
      <w:pPr>
        <w:spacing w:line="240" w:lineRule="auto"/>
        <w:rPr>
          <w:rFonts w:ascii="Times New Roman" w:hAnsi="Times New Roman"/>
          <w:sz w:val="24"/>
          <w:szCs w:val="24"/>
        </w:rPr>
      </w:pPr>
      <w:r w:rsidRPr="00D57FE9">
        <w:rPr>
          <w:rFonts w:ascii="Times New Roman" w:hAnsi="Times New Roman"/>
          <w:sz w:val="24"/>
          <w:szCs w:val="24"/>
        </w:rPr>
        <w:t>The Amendment Rule does not engage any of the applicable rights or freedoms.</w:t>
      </w:r>
    </w:p>
    <w:p w14:paraId="4F029211" w14:textId="77777777" w:rsidR="005A4229" w:rsidRPr="00222357" w:rsidRDefault="005A4229" w:rsidP="005A4229">
      <w:pPr>
        <w:spacing w:line="240" w:lineRule="auto"/>
        <w:rPr>
          <w:rStyle w:val="Hyperlink"/>
          <w:rFonts w:ascii="Times New Roman" w:hAnsi="Times New Roman"/>
          <w:sz w:val="24"/>
          <w:szCs w:val="24"/>
        </w:rPr>
      </w:pPr>
      <w:r w:rsidRPr="00D57FE9">
        <w:rPr>
          <w:rFonts w:ascii="Times New Roman" w:hAnsi="Times New Roman"/>
          <w:sz w:val="24"/>
          <w:szCs w:val="24"/>
        </w:rPr>
        <w:t xml:space="preserve">A detailed statement of compatibility of the provisions of the Emissions Reduction Fund is provided in the Explanatory Memorandum for the </w:t>
      </w:r>
      <w:r w:rsidRPr="00D57FE9">
        <w:rPr>
          <w:rFonts w:ascii="Times New Roman" w:hAnsi="Times New Roman"/>
          <w:i/>
          <w:sz w:val="24"/>
          <w:szCs w:val="24"/>
        </w:rPr>
        <w:t>Carbon Farming Initiative Amendment Bill 2014</w:t>
      </w:r>
      <w:r w:rsidR="00222357">
        <w:rPr>
          <w:rFonts w:ascii="Times New Roman" w:hAnsi="Times New Roman"/>
          <w:sz w:val="24"/>
          <w:szCs w:val="24"/>
        </w:rPr>
        <w:t xml:space="preserve">: </w:t>
      </w:r>
      <w:hyperlink r:id="rId19" w:history="1">
        <w:r w:rsidR="00222357" w:rsidRPr="00222357">
          <w:rPr>
            <w:rStyle w:val="Hyperlink"/>
            <w:rFonts w:ascii="Times New Roman" w:hAnsi="Times New Roman"/>
            <w:sz w:val="24"/>
            <w:szCs w:val="24"/>
          </w:rPr>
          <w:t>https://www.legislation.gov.au/Details/C2014B00129/Explanatory%20Memorandum/Text</w:t>
        </w:r>
      </w:hyperlink>
      <w:r w:rsidR="00222357" w:rsidRPr="00222357">
        <w:rPr>
          <w:rStyle w:val="Hyperlink"/>
          <w:rFonts w:ascii="Times New Roman" w:hAnsi="Times New Roman"/>
          <w:sz w:val="24"/>
          <w:szCs w:val="24"/>
        </w:rPr>
        <w:t>.</w:t>
      </w:r>
    </w:p>
    <w:p w14:paraId="30AA83B9" w14:textId="77777777" w:rsidR="005A4229" w:rsidRPr="00D57FE9" w:rsidRDefault="005A4229" w:rsidP="005A4229">
      <w:pPr>
        <w:pStyle w:val="Heading2"/>
        <w:ind w:left="855" w:hanging="855"/>
        <w:rPr>
          <w:sz w:val="24"/>
          <w:szCs w:val="24"/>
        </w:rPr>
      </w:pPr>
      <w:r w:rsidRPr="00D57FE9">
        <w:rPr>
          <w:sz w:val="24"/>
          <w:szCs w:val="24"/>
        </w:rPr>
        <w:t xml:space="preserve">Conclusion </w:t>
      </w:r>
    </w:p>
    <w:p w14:paraId="188C191D" w14:textId="77777777" w:rsidR="00222357" w:rsidRDefault="005A4229" w:rsidP="00222357">
      <w:pPr>
        <w:spacing w:line="240" w:lineRule="auto"/>
        <w:rPr>
          <w:rFonts w:ascii="Times New Roman" w:hAnsi="Times New Roman"/>
          <w:sz w:val="24"/>
          <w:szCs w:val="24"/>
        </w:rPr>
      </w:pPr>
      <w:r w:rsidRPr="00D57FE9">
        <w:rPr>
          <w:rFonts w:ascii="Times New Roman" w:hAnsi="Times New Roman"/>
          <w:sz w:val="24"/>
          <w:szCs w:val="24"/>
        </w:rPr>
        <w:t xml:space="preserve">The Amendment Rule is compatible with human rights because it does not limit any human rights and freedoms recognised or declared in the international instruments listed in section 3 of the </w:t>
      </w:r>
      <w:r w:rsidRPr="00D57FE9">
        <w:rPr>
          <w:rFonts w:ascii="Times New Roman" w:hAnsi="Times New Roman"/>
          <w:i/>
          <w:sz w:val="24"/>
          <w:szCs w:val="24"/>
        </w:rPr>
        <w:t>Human Rights (Parliamentary Scrutiny) Act 2011</w:t>
      </w:r>
      <w:r w:rsidRPr="00D57FE9">
        <w:rPr>
          <w:rFonts w:ascii="Times New Roman" w:hAnsi="Times New Roman"/>
          <w:sz w:val="24"/>
          <w:szCs w:val="24"/>
        </w:rPr>
        <w:t>.</w:t>
      </w:r>
      <w:r w:rsidR="00222357" w:rsidRPr="00222357">
        <w:rPr>
          <w:rFonts w:ascii="Times New Roman" w:hAnsi="Times New Roman"/>
          <w:sz w:val="24"/>
          <w:szCs w:val="24"/>
        </w:rPr>
        <w:t xml:space="preserve"> </w:t>
      </w:r>
    </w:p>
    <w:p w14:paraId="51AC3D42" w14:textId="77777777" w:rsidR="00222357" w:rsidRDefault="00222357" w:rsidP="00222357">
      <w:pPr>
        <w:rPr>
          <w:rFonts w:ascii="Times New Roman" w:hAnsi="Times New Roman"/>
          <w:sz w:val="24"/>
          <w:szCs w:val="24"/>
        </w:rPr>
      </w:pPr>
    </w:p>
    <w:p w14:paraId="4C92ABC5" w14:textId="50A3C852" w:rsidR="00472749" w:rsidRPr="00472749" w:rsidRDefault="00472749" w:rsidP="00FD4D18">
      <w:pPr>
        <w:rPr>
          <w:rFonts w:ascii="Times New Roman" w:hAnsi="Times New Roman" w:cs="Times New Roman"/>
          <w:sz w:val="24"/>
          <w:szCs w:val="24"/>
        </w:rPr>
      </w:pPr>
    </w:p>
    <w:sectPr w:rsidR="00472749" w:rsidRPr="0047274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EFDB0" w14:textId="77777777" w:rsidR="00C679D7" w:rsidRDefault="00C679D7" w:rsidP="00844E3E">
      <w:pPr>
        <w:spacing w:after="0" w:line="240" w:lineRule="auto"/>
      </w:pPr>
      <w:r>
        <w:separator/>
      </w:r>
    </w:p>
  </w:endnote>
  <w:endnote w:type="continuationSeparator" w:id="0">
    <w:p w14:paraId="16BD2651" w14:textId="77777777" w:rsidR="00C679D7" w:rsidRDefault="00C679D7" w:rsidP="00844E3E">
      <w:pPr>
        <w:spacing w:after="0" w:line="240" w:lineRule="auto"/>
      </w:pPr>
      <w:r>
        <w:continuationSeparator/>
      </w:r>
    </w:p>
  </w:endnote>
  <w:endnote w:type="continuationNotice" w:id="1">
    <w:p w14:paraId="7F7561F6" w14:textId="77777777" w:rsidR="00C679D7" w:rsidRDefault="00C679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269077"/>
      <w:docPartObj>
        <w:docPartGallery w:val="Page Numbers (Bottom of Page)"/>
        <w:docPartUnique/>
      </w:docPartObj>
    </w:sdtPr>
    <w:sdtEndPr>
      <w:rPr>
        <w:noProof/>
      </w:rPr>
    </w:sdtEndPr>
    <w:sdtContent>
      <w:p w14:paraId="60E863B2" w14:textId="5B038E80" w:rsidR="00C679D7" w:rsidRDefault="00C679D7">
        <w:pPr>
          <w:pStyle w:val="Footer"/>
          <w:jc w:val="right"/>
        </w:pPr>
        <w:r>
          <w:fldChar w:fldCharType="begin"/>
        </w:r>
        <w:r>
          <w:instrText xml:space="preserve"> PAGE   \* MERGEFORMAT </w:instrText>
        </w:r>
        <w:r>
          <w:fldChar w:fldCharType="separate"/>
        </w:r>
        <w:r w:rsidR="004E704B">
          <w:rPr>
            <w:noProof/>
          </w:rPr>
          <w:t>1</w:t>
        </w:r>
        <w:r>
          <w:rPr>
            <w:noProof/>
          </w:rPr>
          <w:fldChar w:fldCharType="end"/>
        </w:r>
      </w:p>
    </w:sdtContent>
  </w:sdt>
  <w:p w14:paraId="0AEEEF66" w14:textId="77777777" w:rsidR="00C679D7" w:rsidRDefault="00C679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A0C578" w14:textId="77777777" w:rsidR="00C679D7" w:rsidRDefault="00C679D7" w:rsidP="00844E3E">
      <w:pPr>
        <w:spacing w:after="0" w:line="240" w:lineRule="auto"/>
      </w:pPr>
      <w:r>
        <w:separator/>
      </w:r>
    </w:p>
  </w:footnote>
  <w:footnote w:type="continuationSeparator" w:id="0">
    <w:p w14:paraId="2A3CAB53" w14:textId="77777777" w:rsidR="00C679D7" w:rsidRDefault="00C679D7" w:rsidP="00844E3E">
      <w:pPr>
        <w:spacing w:after="0" w:line="240" w:lineRule="auto"/>
      </w:pPr>
      <w:r>
        <w:continuationSeparator/>
      </w:r>
    </w:p>
  </w:footnote>
  <w:footnote w:type="continuationNotice" w:id="1">
    <w:p w14:paraId="3C8150CD" w14:textId="77777777" w:rsidR="00C679D7" w:rsidRDefault="00C679D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A58A8"/>
    <w:multiLevelType w:val="hybridMultilevel"/>
    <w:tmpl w:val="C1CA06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1F6CB3"/>
    <w:multiLevelType w:val="hybridMultilevel"/>
    <w:tmpl w:val="A28EB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587331"/>
    <w:multiLevelType w:val="hybridMultilevel"/>
    <w:tmpl w:val="40F8E47E"/>
    <w:lvl w:ilvl="0" w:tplc="0C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CD3C5C"/>
    <w:multiLevelType w:val="hybridMultilevel"/>
    <w:tmpl w:val="8EF83664"/>
    <w:lvl w:ilvl="0" w:tplc="08090001">
      <w:start w:val="1"/>
      <w:numFmt w:val="bullet"/>
      <w:lvlText w:val=""/>
      <w:lvlJc w:val="left"/>
      <w:pPr>
        <w:ind w:left="720" w:hanging="360"/>
      </w:pPr>
      <w:rPr>
        <w:rFonts w:ascii="Symbol" w:hAnsi="Symbol" w:hint="default"/>
      </w:rPr>
    </w:lvl>
    <w:lvl w:ilvl="1" w:tplc="0C09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C23FEA"/>
    <w:multiLevelType w:val="hybridMultilevel"/>
    <w:tmpl w:val="AB067424"/>
    <w:lvl w:ilvl="0" w:tplc="B2D2CB2A">
      <w:start w:val="1"/>
      <w:numFmt w:val="lowerRoman"/>
      <w:lvlText w:val="(%1)"/>
      <w:lvlJc w:val="left"/>
      <w:pPr>
        <w:ind w:left="2510" w:hanging="720"/>
      </w:pPr>
      <w:rPr>
        <w:rFonts w:hint="default"/>
      </w:rPr>
    </w:lvl>
    <w:lvl w:ilvl="1" w:tplc="0C090019" w:tentative="1">
      <w:start w:val="1"/>
      <w:numFmt w:val="lowerLetter"/>
      <w:lvlText w:val="%2."/>
      <w:lvlJc w:val="left"/>
      <w:pPr>
        <w:ind w:left="2870" w:hanging="360"/>
      </w:pPr>
    </w:lvl>
    <w:lvl w:ilvl="2" w:tplc="0C09001B" w:tentative="1">
      <w:start w:val="1"/>
      <w:numFmt w:val="lowerRoman"/>
      <w:lvlText w:val="%3."/>
      <w:lvlJc w:val="right"/>
      <w:pPr>
        <w:ind w:left="3590" w:hanging="180"/>
      </w:pPr>
    </w:lvl>
    <w:lvl w:ilvl="3" w:tplc="0C09000F" w:tentative="1">
      <w:start w:val="1"/>
      <w:numFmt w:val="decimal"/>
      <w:lvlText w:val="%4."/>
      <w:lvlJc w:val="left"/>
      <w:pPr>
        <w:ind w:left="4310" w:hanging="360"/>
      </w:pPr>
    </w:lvl>
    <w:lvl w:ilvl="4" w:tplc="0C090019" w:tentative="1">
      <w:start w:val="1"/>
      <w:numFmt w:val="lowerLetter"/>
      <w:lvlText w:val="%5."/>
      <w:lvlJc w:val="left"/>
      <w:pPr>
        <w:ind w:left="5030" w:hanging="360"/>
      </w:pPr>
    </w:lvl>
    <w:lvl w:ilvl="5" w:tplc="0C09001B" w:tentative="1">
      <w:start w:val="1"/>
      <w:numFmt w:val="lowerRoman"/>
      <w:lvlText w:val="%6."/>
      <w:lvlJc w:val="right"/>
      <w:pPr>
        <w:ind w:left="5750" w:hanging="180"/>
      </w:pPr>
    </w:lvl>
    <w:lvl w:ilvl="6" w:tplc="0C09000F" w:tentative="1">
      <w:start w:val="1"/>
      <w:numFmt w:val="decimal"/>
      <w:lvlText w:val="%7."/>
      <w:lvlJc w:val="left"/>
      <w:pPr>
        <w:ind w:left="6470" w:hanging="360"/>
      </w:pPr>
    </w:lvl>
    <w:lvl w:ilvl="7" w:tplc="0C090019" w:tentative="1">
      <w:start w:val="1"/>
      <w:numFmt w:val="lowerLetter"/>
      <w:lvlText w:val="%8."/>
      <w:lvlJc w:val="left"/>
      <w:pPr>
        <w:ind w:left="7190" w:hanging="360"/>
      </w:pPr>
    </w:lvl>
    <w:lvl w:ilvl="8" w:tplc="0C09001B" w:tentative="1">
      <w:start w:val="1"/>
      <w:numFmt w:val="lowerRoman"/>
      <w:lvlText w:val="%9."/>
      <w:lvlJc w:val="right"/>
      <w:pPr>
        <w:ind w:left="7910" w:hanging="180"/>
      </w:pPr>
    </w:lvl>
  </w:abstractNum>
  <w:abstractNum w:abstractNumId="5" w15:restartNumberingAfterBreak="0">
    <w:nsid w:val="30240259"/>
    <w:multiLevelType w:val="hybridMultilevel"/>
    <w:tmpl w:val="98CC40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921DC2"/>
    <w:multiLevelType w:val="hybridMultilevel"/>
    <w:tmpl w:val="C9D212F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365F16A0"/>
    <w:multiLevelType w:val="hybridMultilevel"/>
    <w:tmpl w:val="F8706810"/>
    <w:lvl w:ilvl="0" w:tplc="0ADA884A">
      <w:start w:val="9"/>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047464"/>
    <w:multiLevelType w:val="hybridMultilevel"/>
    <w:tmpl w:val="D4789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0E69E1"/>
    <w:multiLevelType w:val="hybridMultilevel"/>
    <w:tmpl w:val="547C7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6C028C"/>
    <w:multiLevelType w:val="hybridMultilevel"/>
    <w:tmpl w:val="EABE0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EC105D"/>
    <w:multiLevelType w:val="hybridMultilevel"/>
    <w:tmpl w:val="03E49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456429"/>
    <w:multiLevelType w:val="multilevel"/>
    <w:tmpl w:val="FE48969E"/>
    <w:lvl w:ilvl="0">
      <w:start w:val="1"/>
      <w:numFmt w:val="decimal"/>
      <w:pStyle w:val="ListNumber"/>
      <w:lvlText w:val="%1."/>
      <w:lvlJc w:val="left"/>
      <w:pPr>
        <w:ind w:left="369" w:hanging="369"/>
      </w:pPr>
      <w:rPr>
        <w:rFonts w:ascii="Arial" w:hAnsi="Arial" w:hint="default"/>
        <w:b w:val="0"/>
        <w:sz w:val="22"/>
      </w:rPr>
    </w:lvl>
    <w:lvl w:ilvl="1">
      <w:start w:val="1"/>
      <w:numFmt w:val="lowerLetter"/>
      <w:pStyle w:val="ListNumber2"/>
      <w:lvlText w:val="%2."/>
      <w:lvlJc w:val="left"/>
      <w:pPr>
        <w:ind w:left="738" w:hanging="369"/>
      </w:pPr>
      <w:rPr>
        <w:rFonts w:hint="default"/>
        <w:color w:val="auto"/>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3" w15:restartNumberingAfterBreak="0">
    <w:nsid w:val="66CA2587"/>
    <w:multiLevelType w:val="hybridMultilevel"/>
    <w:tmpl w:val="B1DE2D3A"/>
    <w:lvl w:ilvl="0" w:tplc="DE46C42E">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9965E4"/>
    <w:multiLevelType w:val="hybridMultilevel"/>
    <w:tmpl w:val="70527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9DB23C0"/>
    <w:multiLevelType w:val="multilevel"/>
    <w:tmpl w:val="CE947A96"/>
    <w:name w:val="CERBullets22"/>
    <w:lvl w:ilvl="0">
      <w:start w:val="1"/>
      <w:numFmt w:val="bullet"/>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A5A201E"/>
    <w:multiLevelType w:val="hybridMultilevel"/>
    <w:tmpl w:val="E0361E2A"/>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0"/>
  </w:num>
  <w:num w:numId="6">
    <w:abstractNumId w:val="13"/>
  </w:num>
  <w:num w:numId="7">
    <w:abstractNumId w:val="14"/>
  </w:num>
  <w:num w:numId="8">
    <w:abstractNumId w:val="10"/>
  </w:num>
  <w:num w:numId="9">
    <w:abstractNumId w:val="11"/>
  </w:num>
  <w:num w:numId="10">
    <w:abstractNumId w:val="15"/>
  </w:num>
  <w:num w:numId="11">
    <w:abstractNumId w:val="1"/>
  </w:num>
  <w:num w:numId="12">
    <w:abstractNumId w:val="16"/>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4"/>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42D"/>
    <w:rsid w:val="00045C69"/>
    <w:rsid w:val="00053AA8"/>
    <w:rsid w:val="00057F54"/>
    <w:rsid w:val="00060744"/>
    <w:rsid w:val="00061600"/>
    <w:rsid w:val="00075814"/>
    <w:rsid w:val="00077768"/>
    <w:rsid w:val="00082E94"/>
    <w:rsid w:val="00093651"/>
    <w:rsid w:val="00097D85"/>
    <w:rsid w:val="000A6EB9"/>
    <w:rsid w:val="000B2D6E"/>
    <w:rsid w:val="000B32AE"/>
    <w:rsid w:val="000B40A2"/>
    <w:rsid w:val="000B6B7B"/>
    <w:rsid w:val="000C385F"/>
    <w:rsid w:val="000C3E79"/>
    <w:rsid w:val="000D317E"/>
    <w:rsid w:val="000E6088"/>
    <w:rsid w:val="000E68D5"/>
    <w:rsid w:val="000F171E"/>
    <w:rsid w:val="00101B12"/>
    <w:rsid w:val="00102483"/>
    <w:rsid w:val="00107AB3"/>
    <w:rsid w:val="001134CF"/>
    <w:rsid w:val="00125651"/>
    <w:rsid w:val="00137648"/>
    <w:rsid w:val="00147474"/>
    <w:rsid w:val="001510C6"/>
    <w:rsid w:val="0015171D"/>
    <w:rsid w:val="0015205A"/>
    <w:rsid w:val="00153707"/>
    <w:rsid w:val="001603CF"/>
    <w:rsid w:val="00161624"/>
    <w:rsid w:val="00162F1A"/>
    <w:rsid w:val="00167D36"/>
    <w:rsid w:val="00173D87"/>
    <w:rsid w:val="001779A6"/>
    <w:rsid w:val="00177D7C"/>
    <w:rsid w:val="00177D86"/>
    <w:rsid w:val="00177E4A"/>
    <w:rsid w:val="001869CE"/>
    <w:rsid w:val="001924E0"/>
    <w:rsid w:val="001A1874"/>
    <w:rsid w:val="001A4D5F"/>
    <w:rsid w:val="001A4FAC"/>
    <w:rsid w:val="001A6D2F"/>
    <w:rsid w:val="001B0250"/>
    <w:rsid w:val="001B5D13"/>
    <w:rsid w:val="001C31BF"/>
    <w:rsid w:val="001C59D1"/>
    <w:rsid w:val="001D1A08"/>
    <w:rsid w:val="001D42DC"/>
    <w:rsid w:val="00200BC6"/>
    <w:rsid w:val="002064F7"/>
    <w:rsid w:val="00206B01"/>
    <w:rsid w:val="00217568"/>
    <w:rsid w:val="00222357"/>
    <w:rsid w:val="00223DAC"/>
    <w:rsid w:val="0022429B"/>
    <w:rsid w:val="00232A3F"/>
    <w:rsid w:val="00241900"/>
    <w:rsid w:val="00242369"/>
    <w:rsid w:val="00261F3E"/>
    <w:rsid w:val="00274638"/>
    <w:rsid w:val="00282274"/>
    <w:rsid w:val="0028403E"/>
    <w:rsid w:val="002849FC"/>
    <w:rsid w:val="00291B3B"/>
    <w:rsid w:val="00292F27"/>
    <w:rsid w:val="00293913"/>
    <w:rsid w:val="00293EBE"/>
    <w:rsid w:val="002946EB"/>
    <w:rsid w:val="00294CC2"/>
    <w:rsid w:val="00295A70"/>
    <w:rsid w:val="002A6F8A"/>
    <w:rsid w:val="002B3E69"/>
    <w:rsid w:val="002C2476"/>
    <w:rsid w:val="002C7022"/>
    <w:rsid w:val="002D332F"/>
    <w:rsid w:val="002D5047"/>
    <w:rsid w:val="002D5261"/>
    <w:rsid w:val="002F5E6B"/>
    <w:rsid w:val="002F6255"/>
    <w:rsid w:val="00302079"/>
    <w:rsid w:val="00306675"/>
    <w:rsid w:val="00306A00"/>
    <w:rsid w:val="003108E6"/>
    <w:rsid w:val="003144CB"/>
    <w:rsid w:val="00315E44"/>
    <w:rsid w:val="00317D2C"/>
    <w:rsid w:val="00330511"/>
    <w:rsid w:val="003318DD"/>
    <w:rsid w:val="00333D73"/>
    <w:rsid w:val="00340934"/>
    <w:rsid w:val="003543AB"/>
    <w:rsid w:val="00354C36"/>
    <w:rsid w:val="00362ECF"/>
    <w:rsid w:val="00366F71"/>
    <w:rsid w:val="00373BFE"/>
    <w:rsid w:val="00376495"/>
    <w:rsid w:val="003A029D"/>
    <w:rsid w:val="003A6459"/>
    <w:rsid w:val="003B103A"/>
    <w:rsid w:val="003C3C2A"/>
    <w:rsid w:val="003C5EFE"/>
    <w:rsid w:val="003D0878"/>
    <w:rsid w:val="003D290E"/>
    <w:rsid w:val="003E3DF5"/>
    <w:rsid w:val="003F2551"/>
    <w:rsid w:val="003F62C1"/>
    <w:rsid w:val="004033A1"/>
    <w:rsid w:val="00414FBB"/>
    <w:rsid w:val="00417F64"/>
    <w:rsid w:val="0042744F"/>
    <w:rsid w:val="00432C9B"/>
    <w:rsid w:val="004411A0"/>
    <w:rsid w:val="00443796"/>
    <w:rsid w:val="0044452F"/>
    <w:rsid w:val="00447E7C"/>
    <w:rsid w:val="0045666E"/>
    <w:rsid w:val="00460251"/>
    <w:rsid w:val="0046070D"/>
    <w:rsid w:val="00461504"/>
    <w:rsid w:val="00462F3F"/>
    <w:rsid w:val="00466A8E"/>
    <w:rsid w:val="00472749"/>
    <w:rsid w:val="004746C4"/>
    <w:rsid w:val="004803B9"/>
    <w:rsid w:val="00490532"/>
    <w:rsid w:val="004951C5"/>
    <w:rsid w:val="00496211"/>
    <w:rsid w:val="004A1ABC"/>
    <w:rsid w:val="004A1B77"/>
    <w:rsid w:val="004B153E"/>
    <w:rsid w:val="004C2779"/>
    <w:rsid w:val="004C3E8A"/>
    <w:rsid w:val="004C6F72"/>
    <w:rsid w:val="004D1098"/>
    <w:rsid w:val="004D6B28"/>
    <w:rsid w:val="004E704B"/>
    <w:rsid w:val="004F1824"/>
    <w:rsid w:val="005116DF"/>
    <w:rsid w:val="0051456B"/>
    <w:rsid w:val="00514ED1"/>
    <w:rsid w:val="005218FD"/>
    <w:rsid w:val="0052347E"/>
    <w:rsid w:val="00532417"/>
    <w:rsid w:val="00535739"/>
    <w:rsid w:val="00536E1A"/>
    <w:rsid w:val="00543616"/>
    <w:rsid w:val="00543844"/>
    <w:rsid w:val="00544FEF"/>
    <w:rsid w:val="00550CA5"/>
    <w:rsid w:val="005535C7"/>
    <w:rsid w:val="0055642E"/>
    <w:rsid w:val="00560287"/>
    <w:rsid w:val="00563593"/>
    <w:rsid w:val="00563C3A"/>
    <w:rsid w:val="00572FEA"/>
    <w:rsid w:val="005764AA"/>
    <w:rsid w:val="00580032"/>
    <w:rsid w:val="00585E51"/>
    <w:rsid w:val="00594704"/>
    <w:rsid w:val="005A17D4"/>
    <w:rsid w:val="005A4229"/>
    <w:rsid w:val="005A4B81"/>
    <w:rsid w:val="005B1F65"/>
    <w:rsid w:val="005C11E8"/>
    <w:rsid w:val="005C15F5"/>
    <w:rsid w:val="005C262E"/>
    <w:rsid w:val="005C5D2B"/>
    <w:rsid w:val="005D0660"/>
    <w:rsid w:val="005D0AC9"/>
    <w:rsid w:val="005D6A98"/>
    <w:rsid w:val="005E1CB4"/>
    <w:rsid w:val="005E63D5"/>
    <w:rsid w:val="005F087D"/>
    <w:rsid w:val="006062B8"/>
    <w:rsid w:val="006140A7"/>
    <w:rsid w:val="0062169B"/>
    <w:rsid w:val="00622957"/>
    <w:rsid w:val="00632472"/>
    <w:rsid w:val="00634ED6"/>
    <w:rsid w:val="00635B53"/>
    <w:rsid w:val="00640D84"/>
    <w:rsid w:val="00641AB1"/>
    <w:rsid w:val="0065027E"/>
    <w:rsid w:val="0065428F"/>
    <w:rsid w:val="00656F51"/>
    <w:rsid w:val="00663577"/>
    <w:rsid w:val="00671320"/>
    <w:rsid w:val="00682761"/>
    <w:rsid w:val="006B66AD"/>
    <w:rsid w:val="006D4445"/>
    <w:rsid w:val="006D7A59"/>
    <w:rsid w:val="006E4811"/>
    <w:rsid w:val="006E7536"/>
    <w:rsid w:val="006F37BB"/>
    <w:rsid w:val="0070354C"/>
    <w:rsid w:val="00705D8C"/>
    <w:rsid w:val="00707053"/>
    <w:rsid w:val="00714F73"/>
    <w:rsid w:val="00722914"/>
    <w:rsid w:val="00727F9B"/>
    <w:rsid w:val="007304DC"/>
    <w:rsid w:val="00741DAA"/>
    <w:rsid w:val="007453EF"/>
    <w:rsid w:val="007536D0"/>
    <w:rsid w:val="007544DE"/>
    <w:rsid w:val="007576C0"/>
    <w:rsid w:val="007613CA"/>
    <w:rsid w:val="00772D86"/>
    <w:rsid w:val="00775D18"/>
    <w:rsid w:val="00777210"/>
    <w:rsid w:val="00782386"/>
    <w:rsid w:val="00796B83"/>
    <w:rsid w:val="007A1A29"/>
    <w:rsid w:val="007A7760"/>
    <w:rsid w:val="007A7B05"/>
    <w:rsid w:val="007B05BE"/>
    <w:rsid w:val="007B5AF2"/>
    <w:rsid w:val="007B6221"/>
    <w:rsid w:val="007C0071"/>
    <w:rsid w:val="007C3E74"/>
    <w:rsid w:val="007C5692"/>
    <w:rsid w:val="007E01B2"/>
    <w:rsid w:val="007E2271"/>
    <w:rsid w:val="007E380F"/>
    <w:rsid w:val="007E60D0"/>
    <w:rsid w:val="007F146A"/>
    <w:rsid w:val="007F590A"/>
    <w:rsid w:val="00816F0A"/>
    <w:rsid w:val="00823343"/>
    <w:rsid w:val="008364BA"/>
    <w:rsid w:val="00841297"/>
    <w:rsid w:val="00841AC1"/>
    <w:rsid w:val="00843E8C"/>
    <w:rsid w:val="00844E3E"/>
    <w:rsid w:val="0085179C"/>
    <w:rsid w:val="0085212B"/>
    <w:rsid w:val="00852ACB"/>
    <w:rsid w:val="00857527"/>
    <w:rsid w:val="008676B4"/>
    <w:rsid w:val="0088276A"/>
    <w:rsid w:val="008918D9"/>
    <w:rsid w:val="00891B2C"/>
    <w:rsid w:val="008D1169"/>
    <w:rsid w:val="008D13B1"/>
    <w:rsid w:val="008D2891"/>
    <w:rsid w:val="008D2C6E"/>
    <w:rsid w:val="008D52D7"/>
    <w:rsid w:val="008E3BA3"/>
    <w:rsid w:val="008E5A6B"/>
    <w:rsid w:val="0090151C"/>
    <w:rsid w:val="0090242A"/>
    <w:rsid w:val="009059FD"/>
    <w:rsid w:val="00935BC9"/>
    <w:rsid w:val="00937A67"/>
    <w:rsid w:val="009434FF"/>
    <w:rsid w:val="00964AEA"/>
    <w:rsid w:val="009718D9"/>
    <w:rsid w:val="00976245"/>
    <w:rsid w:val="00982F9D"/>
    <w:rsid w:val="009A2049"/>
    <w:rsid w:val="009D155E"/>
    <w:rsid w:val="009D31C6"/>
    <w:rsid w:val="009D3A3B"/>
    <w:rsid w:val="009D4113"/>
    <w:rsid w:val="009D6924"/>
    <w:rsid w:val="009E2E64"/>
    <w:rsid w:val="009E3D06"/>
    <w:rsid w:val="009E5C0D"/>
    <w:rsid w:val="009F1C79"/>
    <w:rsid w:val="009F72E5"/>
    <w:rsid w:val="00A1397F"/>
    <w:rsid w:val="00A200EB"/>
    <w:rsid w:val="00A20EBB"/>
    <w:rsid w:val="00A34F49"/>
    <w:rsid w:val="00A50FA1"/>
    <w:rsid w:val="00A6220B"/>
    <w:rsid w:val="00A709E5"/>
    <w:rsid w:val="00A7319D"/>
    <w:rsid w:val="00A73CB9"/>
    <w:rsid w:val="00A743E9"/>
    <w:rsid w:val="00A752D0"/>
    <w:rsid w:val="00A772C9"/>
    <w:rsid w:val="00A95AB8"/>
    <w:rsid w:val="00AA0AEF"/>
    <w:rsid w:val="00AB0A9C"/>
    <w:rsid w:val="00AC02AA"/>
    <w:rsid w:val="00AC14E4"/>
    <w:rsid w:val="00AC7A9E"/>
    <w:rsid w:val="00AC7B44"/>
    <w:rsid w:val="00AD0A96"/>
    <w:rsid w:val="00AE0319"/>
    <w:rsid w:val="00AE5A78"/>
    <w:rsid w:val="00AE74FB"/>
    <w:rsid w:val="00B13278"/>
    <w:rsid w:val="00B1544F"/>
    <w:rsid w:val="00B1757D"/>
    <w:rsid w:val="00B17E69"/>
    <w:rsid w:val="00B21219"/>
    <w:rsid w:val="00B22354"/>
    <w:rsid w:val="00B24139"/>
    <w:rsid w:val="00B320C2"/>
    <w:rsid w:val="00B3283C"/>
    <w:rsid w:val="00B33090"/>
    <w:rsid w:val="00B35D2C"/>
    <w:rsid w:val="00B42BB8"/>
    <w:rsid w:val="00B52D3D"/>
    <w:rsid w:val="00B600D4"/>
    <w:rsid w:val="00B61FAF"/>
    <w:rsid w:val="00B6561E"/>
    <w:rsid w:val="00B90277"/>
    <w:rsid w:val="00B93711"/>
    <w:rsid w:val="00B977DF"/>
    <w:rsid w:val="00BA0A45"/>
    <w:rsid w:val="00BB7A43"/>
    <w:rsid w:val="00BC1C7D"/>
    <w:rsid w:val="00BC50C1"/>
    <w:rsid w:val="00BC5311"/>
    <w:rsid w:val="00BC5743"/>
    <w:rsid w:val="00BC6915"/>
    <w:rsid w:val="00BD5006"/>
    <w:rsid w:val="00BF4597"/>
    <w:rsid w:val="00BF4804"/>
    <w:rsid w:val="00BF65CD"/>
    <w:rsid w:val="00C03F0D"/>
    <w:rsid w:val="00C049DC"/>
    <w:rsid w:val="00C06471"/>
    <w:rsid w:val="00C11F23"/>
    <w:rsid w:val="00C15B9D"/>
    <w:rsid w:val="00C21F48"/>
    <w:rsid w:val="00C26763"/>
    <w:rsid w:val="00C43B0E"/>
    <w:rsid w:val="00C45D62"/>
    <w:rsid w:val="00C56B6C"/>
    <w:rsid w:val="00C57A83"/>
    <w:rsid w:val="00C61C4D"/>
    <w:rsid w:val="00C67058"/>
    <w:rsid w:val="00C679D7"/>
    <w:rsid w:val="00C77755"/>
    <w:rsid w:val="00C83428"/>
    <w:rsid w:val="00C9237E"/>
    <w:rsid w:val="00CB193F"/>
    <w:rsid w:val="00CB32A0"/>
    <w:rsid w:val="00CC36DA"/>
    <w:rsid w:val="00CC4E06"/>
    <w:rsid w:val="00CC5FA9"/>
    <w:rsid w:val="00CE1044"/>
    <w:rsid w:val="00CE1BC8"/>
    <w:rsid w:val="00CE248B"/>
    <w:rsid w:val="00CF450D"/>
    <w:rsid w:val="00D11A49"/>
    <w:rsid w:val="00D1366C"/>
    <w:rsid w:val="00D14E76"/>
    <w:rsid w:val="00D25415"/>
    <w:rsid w:val="00D258F3"/>
    <w:rsid w:val="00D342DE"/>
    <w:rsid w:val="00D57FE9"/>
    <w:rsid w:val="00D62502"/>
    <w:rsid w:val="00D65331"/>
    <w:rsid w:val="00D706F8"/>
    <w:rsid w:val="00D72D7C"/>
    <w:rsid w:val="00D76A24"/>
    <w:rsid w:val="00D7701E"/>
    <w:rsid w:val="00D83EB0"/>
    <w:rsid w:val="00D91B5B"/>
    <w:rsid w:val="00D96038"/>
    <w:rsid w:val="00DA2DA5"/>
    <w:rsid w:val="00DB3E26"/>
    <w:rsid w:val="00DB4095"/>
    <w:rsid w:val="00DD1CD3"/>
    <w:rsid w:val="00DE2A96"/>
    <w:rsid w:val="00DE4C09"/>
    <w:rsid w:val="00DF4320"/>
    <w:rsid w:val="00DF756E"/>
    <w:rsid w:val="00E02720"/>
    <w:rsid w:val="00E02C21"/>
    <w:rsid w:val="00E067DC"/>
    <w:rsid w:val="00E10431"/>
    <w:rsid w:val="00E17AC1"/>
    <w:rsid w:val="00E21097"/>
    <w:rsid w:val="00E238EB"/>
    <w:rsid w:val="00E2422E"/>
    <w:rsid w:val="00E24BA3"/>
    <w:rsid w:val="00E31B82"/>
    <w:rsid w:val="00E53A54"/>
    <w:rsid w:val="00E62972"/>
    <w:rsid w:val="00E73081"/>
    <w:rsid w:val="00E7330F"/>
    <w:rsid w:val="00E75242"/>
    <w:rsid w:val="00E7640D"/>
    <w:rsid w:val="00E802B1"/>
    <w:rsid w:val="00E82C10"/>
    <w:rsid w:val="00E96B90"/>
    <w:rsid w:val="00E978A8"/>
    <w:rsid w:val="00E97E94"/>
    <w:rsid w:val="00EA0A2D"/>
    <w:rsid w:val="00EA38C6"/>
    <w:rsid w:val="00EA5407"/>
    <w:rsid w:val="00EB387C"/>
    <w:rsid w:val="00ED159C"/>
    <w:rsid w:val="00ED19BB"/>
    <w:rsid w:val="00ED5E5D"/>
    <w:rsid w:val="00EE3E77"/>
    <w:rsid w:val="00EE3EB7"/>
    <w:rsid w:val="00EE4572"/>
    <w:rsid w:val="00F0171A"/>
    <w:rsid w:val="00F01EE4"/>
    <w:rsid w:val="00F11862"/>
    <w:rsid w:val="00F12BAC"/>
    <w:rsid w:val="00F13A86"/>
    <w:rsid w:val="00F13FB3"/>
    <w:rsid w:val="00F31F31"/>
    <w:rsid w:val="00F41E37"/>
    <w:rsid w:val="00F5065F"/>
    <w:rsid w:val="00F55E40"/>
    <w:rsid w:val="00F56FC3"/>
    <w:rsid w:val="00F6681E"/>
    <w:rsid w:val="00F769C9"/>
    <w:rsid w:val="00F846E2"/>
    <w:rsid w:val="00F9150A"/>
    <w:rsid w:val="00F9563E"/>
    <w:rsid w:val="00FA02CF"/>
    <w:rsid w:val="00FC742D"/>
    <w:rsid w:val="00FD0560"/>
    <w:rsid w:val="00FD26CE"/>
    <w:rsid w:val="00FD4D18"/>
    <w:rsid w:val="00FE24D6"/>
    <w:rsid w:val="00FE7AC4"/>
    <w:rsid w:val="00FF3AA0"/>
    <w:rsid w:val="00FF4B2D"/>
    <w:rsid w:val="00FF6754"/>
    <w:rsid w:val="00FF70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64446"/>
  <w15:chartTrackingRefBased/>
  <w15:docId w15:val="{D2CA2DF7-D33B-4714-BC4D-E8268B64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C74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FC742D"/>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742D"/>
    <w:rPr>
      <w:rFonts w:ascii="Times New Roman" w:eastAsia="Times New Roman" w:hAnsi="Times New Roman" w:cs="Times New Roman"/>
      <w:b/>
      <w:bCs/>
      <w:sz w:val="36"/>
      <w:szCs w:val="36"/>
      <w:lang w:eastAsia="en-AU"/>
    </w:rPr>
  </w:style>
  <w:style w:type="paragraph" w:customStyle="1" w:styleId="estitle">
    <w:name w:val="estitle"/>
    <w:basedOn w:val="Normal"/>
    <w:rsid w:val="00FC742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ssubtitle">
    <w:name w:val="essubtitle"/>
    <w:basedOn w:val="Normal"/>
    <w:rsid w:val="00FC742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STitle0">
    <w:name w:val="ES Title"/>
    <w:basedOn w:val="Heading1"/>
    <w:next w:val="Normal"/>
    <w:link w:val="ESTitleChar"/>
    <w:qFormat/>
    <w:rsid w:val="00FC742D"/>
    <w:pPr>
      <w:keepNext w:val="0"/>
      <w:keepLines w:val="0"/>
      <w:spacing w:before="319" w:after="79" w:line="240" w:lineRule="auto"/>
      <w:jc w:val="center"/>
    </w:pPr>
    <w:rPr>
      <w:rFonts w:ascii="Times New Roman" w:eastAsia="Calibri" w:hAnsi="Times New Roman" w:cs="Times New Roman"/>
      <w:b/>
      <w:bCs/>
      <w:caps/>
      <w:color w:val="000000" w:themeColor="text1"/>
      <w:kern w:val="36"/>
      <w:sz w:val="24"/>
      <w:szCs w:val="24"/>
      <w:u w:val="single"/>
      <w:lang w:eastAsia="en-AU"/>
    </w:rPr>
  </w:style>
  <w:style w:type="paragraph" w:customStyle="1" w:styleId="ESSubtitle0">
    <w:name w:val="ES Subtitle"/>
    <w:basedOn w:val="Heading2"/>
    <w:next w:val="Normal"/>
    <w:link w:val="ESSubtitleChar"/>
    <w:qFormat/>
    <w:rsid w:val="00FC742D"/>
    <w:pPr>
      <w:keepNext/>
      <w:keepLines/>
      <w:spacing w:before="0" w:beforeAutospacing="0" w:after="200" w:afterAutospacing="0" w:line="276" w:lineRule="auto"/>
      <w:jc w:val="center"/>
    </w:pPr>
    <w:rPr>
      <w:rFonts w:eastAsia="Calibri"/>
      <w:b w:val="0"/>
      <w:i/>
      <w:color w:val="000000" w:themeColor="text1"/>
      <w:kern w:val="36"/>
      <w:sz w:val="24"/>
      <w:szCs w:val="24"/>
      <w:lang w:eastAsia="en-US"/>
    </w:rPr>
  </w:style>
  <w:style w:type="character" w:customStyle="1" w:styleId="ESTitleChar">
    <w:name w:val="ES Title Char"/>
    <w:basedOn w:val="DefaultParagraphFont"/>
    <w:link w:val="ESTitle0"/>
    <w:rsid w:val="00FC742D"/>
    <w:rPr>
      <w:rFonts w:ascii="Times New Roman" w:eastAsia="Calibri" w:hAnsi="Times New Roman" w:cs="Times New Roman"/>
      <w:b/>
      <w:bCs/>
      <w:caps/>
      <w:color w:val="000000" w:themeColor="text1"/>
      <w:kern w:val="36"/>
      <w:sz w:val="24"/>
      <w:szCs w:val="24"/>
      <w:u w:val="single"/>
      <w:lang w:eastAsia="en-AU"/>
    </w:rPr>
  </w:style>
  <w:style w:type="character" w:customStyle="1" w:styleId="ESSubtitleChar">
    <w:name w:val="ES Subtitle Char"/>
    <w:basedOn w:val="Heading1Char"/>
    <w:link w:val="ESSubtitle0"/>
    <w:rsid w:val="00FC742D"/>
    <w:rPr>
      <w:rFonts w:ascii="Times New Roman" w:eastAsia="Calibri" w:hAnsi="Times New Roman" w:cs="Times New Roman"/>
      <w:bCs/>
      <w:i/>
      <w:color w:val="000000" w:themeColor="text1"/>
      <w:kern w:val="36"/>
      <w:sz w:val="24"/>
      <w:szCs w:val="24"/>
    </w:rPr>
  </w:style>
  <w:style w:type="character" w:customStyle="1" w:styleId="Heading1Char">
    <w:name w:val="Heading 1 Char"/>
    <w:basedOn w:val="DefaultParagraphFont"/>
    <w:link w:val="Heading1"/>
    <w:uiPriority w:val="9"/>
    <w:rsid w:val="00FC742D"/>
    <w:rPr>
      <w:rFonts w:asciiTheme="majorHAnsi" w:eastAsiaTheme="majorEastAsia" w:hAnsiTheme="majorHAnsi" w:cstheme="majorBidi"/>
      <w:color w:val="2E74B5" w:themeColor="accent1" w:themeShade="BF"/>
      <w:sz w:val="32"/>
      <w:szCs w:val="32"/>
    </w:rPr>
  </w:style>
  <w:style w:type="paragraph" w:customStyle="1" w:styleId="Default">
    <w:name w:val="Default"/>
    <w:rsid w:val="00472749"/>
    <w:pPr>
      <w:autoSpaceDE w:val="0"/>
      <w:autoSpaceDN w:val="0"/>
      <w:adjustRightInd w:val="0"/>
      <w:spacing w:after="0" w:line="240" w:lineRule="auto"/>
    </w:pPr>
    <w:rPr>
      <w:rFonts w:ascii="Calibri" w:eastAsia="Calibri" w:hAnsi="Calibri" w:cs="Calibri"/>
      <w:color w:val="000000"/>
      <w:sz w:val="24"/>
      <w:szCs w:val="24"/>
    </w:rPr>
  </w:style>
  <w:style w:type="paragraph" w:customStyle="1" w:styleId="base-text-paragraphnonumbers">
    <w:name w:val="base-text-paragraph no numbers"/>
    <w:basedOn w:val="Normal"/>
    <w:uiPriority w:val="99"/>
    <w:rsid w:val="00472749"/>
    <w:pPr>
      <w:spacing w:before="120" w:after="120" w:line="240" w:lineRule="auto"/>
      <w:ind w:left="1134"/>
    </w:pPr>
    <w:rPr>
      <w:rFonts w:ascii="Times New Roman" w:eastAsia="Times New Roman" w:hAnsi="Times New Roman" w:cs="Times New Roman"/>
      <w:sz w:val="24"/>
      <w:szCs w:val="20"/>
      <w:lang w:eastAsia="en-AU"/>
    </w:rPr>
  </w:style>
  <w:style w:type="paragraph" w:customStyle="1" w:styleId="base-text-paragraphnonumbers0">
    <w:name w:val="base-text-paragraphnonumbers"/>
    <w:basedOn w:val="Normal"/>
    <w:rsid w:val="00AE031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rsid w:val="00D57FE9"/>
    <w:rPr>
      <w:rFonts w:cs="Times New Roman"/>
      <w:color w:val="0000FF"/>
      <w:u w:val="single"/>
    </w:rPr>
  </w:style>
  <w:style w:type="paragraph" w:styleId="ListParagraph">
    <w:name w:val="List Paragraph"/>
    <w:basedOn w:val="Normal"/>
    <w:uiPriority w:val="34"/>
    <w:qFormat/>
    <w:rsid w:val="00857527"/>
    <w:pPr>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4D6B28"/>
    <w:rPr>
      <w:sz w:val="16"/>
      <w:szCs w:val="16"/>
    </w:rPr>
  </w:style>
  <w:style w:type="paragraph" w:styleId="CommentText">
    <w:name w:val="annotation text"/>
    <w:basedOn w:val="Normal"/>
    <w:link w:val="CommentTextChar"/>
    <w:uiPriority w:val="99"/>
    <w:semiHidden/>
    <w:unhideWhenUsed/>
    <w:rsid w:val="004D6B28"/>
    <w:pPr>
      <w:spacing w:line="240" w:lineRule="auto"/>
    </w:pPr>
    <w:rPr>
      <w:sz w:val="20"/>
      <w:szCs w:val="20"/>
    </w:rPr>
  </w:style>
  <w:style w:type="character" w:customStyle="1" w:styleId="CommentTextChar">
    <w:name w:val="Comment Text Char"/>
    <w:basedOn w:val="DefaultParagraphFont"/>
    <w:link w:val="CommentText"/>
    <w:uiPriority w:val="99"/>
    <w:semiHidden/>
    <w:rsid w:val="004D6B28"/>
    <w:rPr>
      <w:sz w:val="20"/>
      <w:szCs w:val="20"/>
    </w:rPr>
  </w:style>
  <w:style w:type="paragraph" w:styleId="CommentSubject">
    <w:name w:val="annotation subject"/>
    <w:basedOn w:val="CommentText"/>
    <w:next w:val="CommentText"/>
    <w:link w:val="CommentSubjectChar"/>
    <w:uiPriority w:val="99"/>
    <w:semiHidden/>
    <w:unhideWhenUsed/>
    <w:rsid w:val="004D6B28"/>
    <w:rPr>
      <w:b/>
      <w:bCs/>
    </w:rPr>
  </w:style>
  <w:style w:type="character" w:customStyle="1" w:styleId="CommentSubjectChar">
    <w:name w:val="Comment Subject Char"/>
    <w:basedOn w:val="CommentTextChar"/>
    <w:link w:val="CommentSubject"/>
    <w:uiPriority w:val="99"/>
    <w:semiHidden/>
    <w:rsid w:val="004D6B28"/>
    <w:rPr>
      <w:b/>
      <w:bCs/>
      <w:sz w:val="20"/>
      <w:szCs w:val="20"/>
    </w:rPr>
  </w:style>
  <w:style w:type="paragraph" w:styleId="BalloonText">
    <w:name w:val="Balloon Text"/>
    <w:basedOn w:val="Normal"/>
    <w:link w:val="BalloonTextChar"/>
    <w:uiPriority w:val="99"/>
    <w:semiHidden/>
    <w:unhideWhenUsed/>
    <w:rsid w:val="004D6B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B28"/>
    <w:rPr>
      <w:rFonts w:ascii="Segoe UI" w:hAnsi="Segoe UI" w:cs="Segoe UI"/>
      <w:sz w:val="18"/>
      <w:szCs w:val="18"/>
    </w:rPr>
  </w:style>
  <w:style w:type="paragraph" w:styleId="Header">
    <w:name w:val="header"/>
    <w:basedOn w:val="Normal"/>
    <w:link w:val="HeaderChar"/>
    <w:uiPriority w:val="99"/>
    <w:unhideWhenUsed/>
    <w:rsid w:val="00844E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4E3E"/>
  </w:style>
  <w:style w:type="paragraph" w:styleId="Footer">
    <w:name w:val="footer"/>
    <w:basedOn w:val="Normal"/>
    <w:link w:val="FooterChar"/>
    <w:uiPriority w:val="99"/>
    <w:unhideWhenUsed/>
    <w:rsid w:val="00844E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E3E"/>
  </w:style>
  <w:style w:type="character" w:styleId="FollowedHyperlink">
    <w:name w:val="FollowedHyperlink"/>
    <w:basedOn w:val="DefaultParagraphFont"/>
    <w:uiPriority w:val="99"/>
    <w:semiHidden/>
    <w:unhideWhenUsed/>
    <w:rsid w:val="00222357"/>
    <w:rPr>
      <w:color w:val="954F72" w:themeColor="followedHyperlink"/>
      <w:u w:val="single"/>
    </w:rPr>
  </w:style>
  <w:style w:type="paragraph" w:styleId="FootnoteText">
    <w:name w:val="footnote text"/>
    <w:basedOn w:val="Normal"/>
    <w:link w:val="FootnoteTextChar"/>
    <w:uiPriority w:val="99"/>
    <w:semiHidden/>
    <w:unhideWhenUsed/>
    <w:rsid w:val="008E5A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5A6B"/>
    <w:rPr>
      <w:sz w:val="20"/>
      <w:szCs w:val="20"/>
    </w:rPr>
  </w:style>
  <w:style w:type="character" w:styleId="FootnoteReference">
    <w:name w:val="footnote reference"/>
    <w:basedOn w:val="DefaultParagraphFont"/>
    <w:uiPriority w:val="99"/>
    <w:unhideWhenUsed/>
    <w:rsid w:val="008E5A6B"/>
    <w:rPr>
      <w:vertAlign w:val="superscript"/>
    </w:rPr>
  </w:style>
  <w:style w:type="paragraph" w:styleId="ListNumber">
    <w:name w:val="List Number"/>
    <w:basedOn w:val="Normal"/>
    <w:uiPriority w:val="99"/>
    <w:qFormat/>
    <w:rsid w:val="00101B12"/>
    <w:pPr>
      <w:numPr>
        <w:numId w:val="13"/>
      </w:numPr>
      <w:spacing w:after="200" w:line="276" w:lineRule="auto"/>
    </w:pPr>
    <w:rPr>
      <w:rFonts w:ascii="Arial" w:eastAsia="Calibri" w:hAnsi="Arial" w:cs="Times New Roman"/>
    </w:rPr>
  </w:style>
  <w:style w:type="paragraph" w:styleId="ListNumber2">
    <w:name w:val="List Number 2"/>
    <w:basedOn w:val="Normal"/>
    <w:uiPriority w:val="99"/>
    <w:rsid w:val="00101B12"/>
    <w:pPr>
      <w:numPr>
        <w:ilvl w:val="1"/>
        <w:numId w:val="13"/>
      </w:numPr>
      <w:spacing w:after="200" w:line="276" w:lineRule="auto"/>
    </w:pPr>
    <w:rPr>
      <w:rFonts w:ascii="Arial" w:eastAsia="Calibri" w:hAnsi="Arial" w:cs="Times New Roman"/>
    </w:rPr>
  </w:style>
  <w:style w:type="paragraph" w:styleId="ListNumber3">
    <w:name w:val="List Number 3"/>
    <w:basedOn w:val="Normal"/>
    <w:uiPriority w:val="99"/>
    <w:rsid w:val="00101B12"/>
    <w:pPr>
      <w:numPr>
        <w:ilvl w:val="2"/>
        <w:numId w:val="13"/>
      </w:numPr>
      <w:spacing w:after="200" w:line="276" w:lineRule="auto"/>
    </w:pPr>
    <w:rPr>
      <w:rFonts w:ascii="Arial" w:eastAsia="Calibri" w:hAnsi="Arial" w:cs="Times New Roman"/>
    </w:rPr>
  </w:style>
  <w:style w:type="paragraph" w:styleId="ListNumber4">
    <w:name w:val="List Number 4"/>
    <w:basedOn w:val="Normal"/>
    <w:uiPriority w:val="99"/>
    <w:rsid w:val="00101B12"/>
    <w:pPr>
      <w:numPr>
        <w:ilvl w:val="3"/>
        <w:numId w:val="13"/>
      </w:numPr>
      <w:spacing w:after="200" w:line="276" w:lineRule="auto"/>
    </w:pPr>
    <w:rPr>
      <w:rFonts w:ascii="Arial" w:eastAsia="Calibri" w:hAnsi="Arial" w:cs="Times New Roman"/>
    </w:rPr>
  </w:style>
  <w:style w:type="paragraph" w:styleId="ListNumber5">
    <w:name w:val="List Number 5"/>
    <w:basedOn w:val="Normal"/>
    <w:uiPriority w:val="99"/>
    <w:rsid w:val="00101B12"/>
    <w:pPr>
      <w:numPr>
        <w:ilvl w:val="4"/>
        <w:numId w:val="13"/>
      </w:numPr>
      <w:spacing w:after="200" w:line="276" w:lineRule="auto"/>
    </w:pPr>
    <w:rPr>
      <w:rFonts w:ascii="Arial" w:eastAsia="Calibri" w:hAnsi="Arial" w:cs="Times New Roman"/>
    </w:rPr>
  </w:style>
  <w:style w:type="paragraph" w:customStyle="1" w:styleId="Definition">
    <w:name w:val="Definition"/>
    <w:aliases w:val="dd,t_Defn"/>
    <w:basedOn w:val="Normal"/>
    <w:rsid w:val="00E75242"/>
    <w:pPr>
      <w:spacing w:before="180" w:after="0" w:line="240" w:lineRule="auto"/>
      <w:ind w:left="1134"/>
    </w:pPr>
    <w:rPr>
      <w:rFonts w:ascii="Times New Roman" w:eastAsia="Times New Roman" w:hAnsi="Times New Roman" w:cs="Times New Roman"/>
      <w:szCs w:val="20"/>
      <w:lang w:eastAsia="en-AU"/>
    </w:rPr>
  </w:style>
  <w:style w:type="paragraph" w:customStyle="1" w:styleId="notetext">
    <w:name w:val="note(text)"/>
    <w:aliases w:val="n,n_Main"/>
    <w:basedOn w:val="Normal"/>
    <w:link w:val="notetextChar"/>
    <w:qFormat/>
    <w:rsid w:val="00E75242"/>
    <w:pPr>
      <w:spacing w:before="122" w:after="0" w:line="198" w:lineRule="exact"/>
      <w:ind w:left="1985" w:hanging="851"/>
    </w:pPr>
    <w:rPr>
      <w:rFonts w:ascii="Times New Roman" w:eastAsia="Times New Roman" w:hAnsi="Times New Roman" w:cs="Times New Roman"/>
      <w:sz w:val="18"/>
      <w:szCs w:val="20"/>
      <w:lang w:eastAsia="en-AU"/>
    </w:rPr>
  </w:style>
  <w:style w:type="paragraph" w:customStyle="1" w:styleId="paragraphsub">
    <w:name w:val="paragraph(sub)"/>
    <w:aliases w:val="aa,t_Subpara"/>
    <w:basedOn w:val="Normal"/>
    <w:qFormat/>
    <w:rsid w:val="00E75242"/>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t_Para"/>
    <w:basedOn w:val="Normal"/>
    <w:link w:val="paragraphChar"/>
    <w:qFormat/>
    <w:rsid w:val="00E75242"/>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E75242"/>
    <w:rPr>
      <w:rFonts w:ascii="Times New Roman" w:eastAsia="Times New Roman" w:hAnsi="Times New Roman" w:cs="Times New Roman"/>
      <w:sz w:val="18"/>
      <w:szCs w:val="20"/>
      <w:lang w:eastAsia="en-AU"/>
    </w:rPr>
  </w:style>
  <w:style w:type="character" w:customStyle="1" w:styleId="paragraphChar">
    <w:name w:val="paragraph Char"/>
    <w:aliases w:val="a Char"/>
    <w:link w:val="paragraph"/>
    <w:rsid w:val="00E75242"/>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05649">
      <w:bodyDiv w:val="1"/>
      <w:marLeft w:val="0"/>
      <w:marRight w:val="0"/>
      <w:marTop w:val="0"/>
      <w:marBottom w:val="0"/>
      <w:divBdr>
        <w:top w:val="none" w:sz="0" w:space="0" w:color="auto"/>
        <w:left w:val="none" w:sz="0" w:space="0" w:color="auto"/>
        <w:bottom w:val="none" w:sz="0" w:space="0" w:color="auto"/>
        <w:right w:val="none" w:sz="0" w:space="0" w:color="auto"/>
      </w:divBdr>
      <w:divsChild>
        <w:div w:id="654181810">
          <w:marLeft w:val="0"/>
          <w:marRight w:val="0"/>
          <w:marTop w:val="0"/>
          <w:marBottom w:val="0"/>
          <w:divBdr>
            <w:top w:val="none" w:sz="0" w:space="0" w:color="auto"/>
            <w:left w:val="none" w:sz="0" w:space="0" w:color="auto"/>
            <w:bottom w:val="none" w:sz="0" w:space="0" w:color="auto"/>
            <w:right w:val="none" w:sz="0" w:space="0" w:color="auto"/>
          </w:divBdr>
          <w:divsChild>
            <w:div w:id="1756824821">
              <w:marLeft w:val="0"/>
              <w:marRight w:val="0"/>
              <w:marTop w:val="0"/>
              <w:marBottom w:val="0"/>
              <w:divBdr>
                <w:top w:val="none" w:sz="0" w:space="0" w:color="auto"/>
                <w:left w:val="none" w:sz="0" w:space="0" w:color="auto"/>
                <w:bottom w:val="none" w:sz="0" w:space="0" w:color="auto"/>
                <w:right w:val="none" w:sz="0" w:space="0" w:color="auto"/>
              </w:divBdr>
              <w:divsChild>
                <w:div w:id="279649515">
                  <w:marLeft w:val="0"/>
                  <w:marRight w:val="0"/>
                  <w:marTop w:val="0"/>
                  <w:marBottom w:val="0"/>
                  <w:divBdr>
                    <w:top w:val="none" w:sz="0" w:space="0" w:color="auto"/>
                    <w:left w:val="none" w:sz="0" w:space="0" w:color="auto"/>
                    <w:bottom w:val="none" w:sz="0" w:space="0" w:color="auto"/>
                    <w:right w:val="none" w:sz="0" w:space="0" w:color="auto"/>
                  </w:divBdr>
                  <w:divsChild>
                    <w:div w:id="1361780391">
                      <w:marLeft w:val="0"/>
                      <w:marRight w:val="0"/>
                      <w:marTop w:val="0"/>
                      <w:marBottom w:val="0"/>
                      <w:divBdr>
                        <w:top w:val="none" w:sz="0" w:space="0" w:color="auto"/>
                        <w:left w:val="none" w:sz="0" w:space="0" w:color="auto"/>
                        <w:bottom w:val="none" w:sz="0" w:space="0" w:color="auto"/>
                        <w:right w:val="none" w:sz="0" w:space="0" w:color="auto"/>
                      </w:divBdr>
                      <w:divsChild>
                        <w:div w:id="169758210">
                          <w:marLeft w:val="0"/>
                          <w:marRight w:val="0"/>
                          <w:marTop w:val="0"/>
                          <w:marBottom w:val="0"/>
                          <w:divBdr>
                            <w:top w:val="none" w:sz="0" w:space="0" w:color="auto"/>
                            <w:left w:val="none" w:sz="0" w:space="0" w:color="auto"/>
                            <w:bottom w:val="none" w:sz="0" w:space="0" w:color="auto"/>
                            <w:right w:val="none" w:sz="0" w:space="0" w:color="auto"/>
                          </w:divBdr>
                          <w:divsChild>
                            <w:div w:id="517888096">
                              <w:marLeft w:val="0"/>
                              <w:marRight w:val="0"/>
                              <w:marTop w:val="0"/>
                              <w:marBottom w:val="0"/>
                              <w:divBdr>
                                <w:top w:val="none" w:sz="0" w:space="0" w:color="auto"/>
                                <w:left w:val="none" w:sz="0" w:space="0" w:color="auto"/>
                                <w:bottom w:val="none" w:sz="0" w:space="0" w:color="auto"/>
                                <w:right w:val="none" w:sz="0" w:space="0" w:color="auto"/>
                              </w:divBdr>
                              <w:divsChild>
                                <w:div w:id="505485918">
                                  <w:marLeft w:val="0"/>
                                  <w:marRight w:val="0"/>
                                  <w:marTop w:val="0"/>
                                  <w:marBottom w:val="0"/>
                                  <w:divBdr>
                                    <w:top w:val="none" w:sz="0" w:space="0" w:color="auto"/>
                                    <w:left w:val="none" w:sz="0" w:space="0" w:color="auto"/>
                                    <w:bottom w:val="none" w:sz="0" w:space="0" w:color="auto"/>
                                    <w:right w:val="none" w:sz="0" w:space="0" w:color="auto"/>
                                  </w:divBdr>
                                  <w:divsChild>
                                    <w:div w:id="1174802874">
                                      <w:marLeft w:val="0"/>
                                      <w:marRight w:val="0"/>
                                      <w:marTop w:val="0"/>
                                      <w:marBottom w:val="0"/>
                                      <w:divBdr>
                                        <w:top w:val="none" w:sz="0" w:space="0" w:color="auto"/>
                                        <w:left w:val="none" w:sz="0" w:space="0" w:color="auto"/>
                                        <w:bottom w:val="none" w:sz="0" w:space="0" w:color="auto"/>
                                        <w:right w:val="none" w:sz="0" w:space="0" w:color="auto"/>
                                      </w:divBdr>
                                      <w:divsChild>
                                        <w:div w:id="26568743">
                                          <w:marLeft w:val="0"/>
                                          <w:marRight w:val="0"/>
                                          <w:marTop w:val="0"/>
                                          <w:marBottom w:val="0"/>
                                          <w:divBdr>
                                            <w:top w:val="none" w:sz="0" w:space="0" w:color="auto"/>
                                            <w:left w:val="none" w:sz="0" w:space="0" w:color="auto"/>
                                            <w:bottom w:val="none" w:sz="0" w:space="0" w:color="auto"/>
                                            <w:right w:val="none" w:sz="0" w:space="0" w:color="auto"/>
                                          </w:divBdr>
                                          <w:divsChild>
                                            <w:div w:id="2091804372">
                                              <w:marLeft w:val="0"/>
                                              <w:marRight w:val="0"/>
                                              <w:marTop w:val="0"/>
                                              <w:marBottom w:val="0"/>
                                              <w:divBdr>
                                                <w:top w:val="none" w:sz="0" w:space="0" w:color="auto"/>
                                                <w:left w:val="none" w:sz="0" w:space="0" w:color="auto"/>
                                                <w:bottom w:val="none" w:sz="0" w:space="0" w:color="auto"/>
                                                <w:right w:val="none" w:sz="0" w:space="0" w:color="auto"/>
                                              </w:divBdr>
                                              <w:divsChild>
                                                <w:div w:id="1284120601">
                                                  <w:marLeft w:val="0"/>
                                                  <w:marRight w:val="0"/>
                                                  <w:marTop w:val="0"/>
                                                  <w:marBottom w:val="0"/>
                                                  <w:divBdr>
                                                    <w:top w:val="none" w:sz="0" w:space="0" w:color="auto"/>
                                                    <w:left w:val="none" w:sz="0" w:space="0" w:color="auto"/>
                                                    <w:bottom w:val="none" w:sz="0" w:space="0" w:color="auto"/>
                                                    <w:right w:val="none" w:sz="0" w:space="0" w:color="auto"/>
                                                  </w:divBdr>
                                                  <w:divsChild>
                                                    <w:div w:id="944195527">
                                                      <w:marLeft w:val="0"/>
                                                      <w:marRight w:val="0"/>
                                                      <w:marTop w:val="0"/>
                                                      <w:marBottom w:val="0"/>
                                                      <w:divBdr>
                                                        <w:top w:val="none" w:sz="0" w:space="0" w:color="auto"/>
                                                        <w:left w:val="none" w:sz="0" w:space="0" w:color="auto"/>
                                                        <w:bottom w:val="none" w:sz="0" w:space="0" w:color="auto"/>
                                                        <w:right w:val="none" w:sz="0" w:space="0" w:color="auto"/>
                                                      </w:divBdr>
                                                      <w:divsChild>
                                                        <w:div w:id="62235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423020">
      <w:bodyDiv w:val="1"/>
      <w:marLeft w:val="0"/>
      <w:marRight w:val="0"/>
      <w:marTop w:val="0"/>
      <w:marBottom w:val="0"/>
      <w:divBdr>
        <w:top w:val="none" w:sz="0" w:space="0" w:color="auto"/>
        <w:left w:val="none" w:sz="0" w:space="0" w:color="auto"/>
        <w:bottom w:val="none" w:sz="0" w:space="0" w:color="auto"/>
        <w:right w:val="none" w:sz="0" w:space="0" w:color="auto"/>
      </w:divBdr>
    </w:div>
    <w:div w:id="403336424">
      <w:bodyDiv w:val="1"/>
      <w:marLeft w:val="0"/>
      <w:marRight w:val="0"/>
      <w:marTop w:val="0"/>
      <w:marBottom w:val="0"/>
      <w:divBdr>
        <w:top w:val="none" w:sz="0" w:space="0" w:color="auto"/>
        <w:left w:val="none" w:sz="0" w:space="0" w:color="auto"/>
        <w:bottom w:val="none" w:sz="0" w:space="0" w:color="auto"/>
        <w:right w:val="none" w:sz="0" w:space="0" w:color="auto"/>
      </w:divBdr>
    </w:div>
    <w:div w:id="518397689">
      <w:bodyDiv w:val="1"/>
      <w:marLeft w:val="0"/>
      <w:marRight w:val="0"/>
      <w:marTop w:val="0"/>
      <w:marBottom w:val="0"/>
      <w:divBdr>
        <w:top w:val="none" w:sz="0" w:space="0" w:color="auto"/>
        <w:left w:val="none" w:sz="0" w:space="0" w:color="auto"/>
        <w:bottom w:val="none" w:sz="0" w:space="0" w:color="auto"/>
        <w:right w:val="none" w:sz="0" w:space="0" w:color="auto"/>
      </w:divBdr>
    </w:div>
    <w:div w:id="701518725">
      <w:bodyDiv w:val="1"/>
      <w:marLeft w:val="0"/>
      <w:marRight w:val="0"/>
      <w:marTop w:val="0"/>
      <w:marBottom w:val="0"/>
      <w:divBdr>
        <w:top w:val="none" w:sz="0" w:space="0" w:color="auto"/>
        <w:left w:val="none" w:sz="0" w:space="0" w:color="auto"/>
        <w:bottom w:val="none" w:sz="0" w:space="0" w:color="auto"/>
        <w:right w:val="none" w:sz="0" w:space="0" w:color="auto"/>
      </w:divBdr>
      <w:divsChild>
        <w:div w:id="1515723452">
          <w:marLeft w:val="0"/>
          <w:marRight w:val="0"/>
          <w:marTop w:val="0"/>
          <w:marBottom w:val="0"/>
          <w:divBdr>
            <w:top w:val="none" w:sz="0" w:space="0" w:color="auto"/>
            <w:left w:val="none" w:sz="0" w:space="0" w:color="auto"/>
            <w:bottom w:val="none" w:sz="0" w:space="0" w:color="auto"/>
            <w:right w:val="none" w:sz="0" w:space="0" w:color="auto"/>
          </w:divBdr>
          <w:divsChild>
            <w:div w:id="1847867104">
              <w:marLeft w:val="0"/>
              <w:marRight w:val="0"/>
              <w:marTop w:val="0"/>
              <w:marBottom w:val="0"/>
              <w:divBdr>
                <w:top w:val="none" w:sz="0" w:space="0" w:color="auto"/>
                <w:left w:val="none" w:sz="0" w:space="0" w:color="auto"/>
                <w:bottom w:val="none" w:sz="0" w:space="0" w:color="auto"/>
                <w:right w:val="none" w:sz="0" w:space="0" w:color="auto"/>
              </w:divBdr>
              <w:divsChild>
                <w:div w:id="1504082588">
                  <w:marLeft w:val="0"/>
                  <w:marRight w:val="0"/>
                  <w:marTop w:val="0"/>
                  <w:marBottom w:val="0"/>
                  <w:divBdr>
                    <w:top w:val="none" w:sz="0" w:space="0" w:color="auto"/>
                    <w:left w:val="none" w:sz="0" w:space="0" w:color="auto"/>
                    <w:bottom w:val="none" w:sz="0" w:space="0" w:color="auto"/>
                    <w:right w:val="none" w:sz="0" w:space="0" w:color="auto"/>
                  </w:divBdr>
                  <w:divsChild>
                    <w:div w:id="316804976">
                      <w:marLeft w:val="0"/>
                      <w:marRight w:val="0"/>
                      <w:marTop w:val="0"/>
                      <w:marBottom w:val="0"/>
                      <w:divBdr>
                        <w:top w:val="none" w:sz="0" w:space="0" w:color="auto"/>
                        <w:left w:val="none" w:sz="0" w:space="0" w:color="auto"/>
                        <w:bottom w:val="none" w:sz="0" w:space="0" w:color="auto"/>
                        <w:right w:val="none" w:sz="0" w:space="0" w:color="auto"/>
                      </w:divBdr>
                      <w:divsChild>
                        <w:div w:id="560211768">
                          <w:marLeft w:val="0"/>
                          <w:marRight w:val="0"/>
                          <w:marTop w:val="0"/>
                          <w:marBottom w:val="0"/>
                          <w:divBdr>
                            <w:top w:val="none" w:sz="0" w:space="0" w:color="auto"/>
                            <w:left w:val="none" w:sz="0" w:space="0" w:color="auto"/>
                            <w:bottom w:val="none" w:sz="0" w:space="0" w:color="auto"/>
                            <w:right w:val="none" w:sz="0" w:space="0" w:color="auto"/>
                          </w:divBdr>
                          <w:divsChild>
                            <w:div w:id="1621961078">
                              <w:marLeft w:val="0"/>
                              <w:marRight w:val="0"/>
                              <w:marTop w:val="0"/>
                              <w:marBottom w:val="0"/>
                              <w:divBdr>
                                <w:top w:val="none" w:sz="0" w:space="0" w:color="auto"/>
                                <w:left w:val="none" w:sz="0" w:space="0" w:color="auto"/>
                                <w:bottom w:val="none" w:sz="0" w:space="0" w:color="auto"/>
                                <w:right w:val="none" w:sz="0" w:space="0" w:color="auto"/>
                              </w:divBdr>
                              <w:divsChild>
                                <w:div w:id="50153423">
                                  <w:marLeft w:val="0"/>
                                  <w:marRight w:val="0"/>
                                  <w:marTop w:val="0"/>
                                  <w:marBottom w:val="0"/>
                                  <w:divBdr>
                                    <w:top w:val="none" w:sz="0" w:space="0" w:color="auto"/>
                                    <w:left w:val="none" w:sz="0" w:space="0" w:color="auto"/>
                                    <w:bottom w:val="none" w:sz="0" w:space="0" w:color="auto"/>
                                    <w:right w:val="none" w:sz="0" w:space="0" w:color="auto"/>
                                  </w:divBdr>
                                  <w:divsChild>
                                    <w:div w:id="1703703520">
                                      <w:marLeft w:val="0"/>
                                      <w:marRight w:val="0"/>
                                      <w:marTop w:val="0"/>
                                      <w:marBottom w:val="0"/>
                                      <w:divBdr>
                                        <w:top w:val="none" w:sz="0" w:space="0" w:color="auto"/>
                                        <w:left w:val="none" w:sz="0" w:space="0" w:color="auto"/>
                                        <w:bottom w:val="none" w:sz="0" w:space="0" w:color="auto"/>
                                        <w:right w:val="none" w:sz="0" w:space="0" w:color="auto"/>
                                      </w:divBdr>
                                      <w:divsChild>
                                        <w:div w:id="362370664">
                                          <w:marLeft w:val="0"/>
                                          <w:marRight w:val="0"/>
                                          <w:marTop w:val="0"/>
                                          <w:marBottom w:val="0"/>
                                          <w:divBdr>
                                            <w:top w:val="none" w:sz="0" w:space="0" w:color="auto"/>
                                            <w:left w:val="none" w:sz="0" w:space="0" w:color="auto"/>
                                            <w:bottom w:val="none" w:sz="0" w:space="0" w:color="auto"/>
                                            <w:right w:val="none" w:sz="0" w:space="0" w:color="auto"/>
                                          </w:divBdr>
                                          <w:divsChild>
                                            <w:div w:id="738946963">
                                              <w:marLeft w:val="0"/>
                                              <w:marRight w:val="0"/>
                                              <w:marTop w:val="0"/>
                                              <w:marBottom w:val="0"/>
                                              <w:divBdr>
                                                <w:top w:val="none" w:sz="0" w:space="0" w:color="auto"/>
                                                <w:left w:val="none" w:sz="0" w:space="0" w:color="auto"/>
                                                <w:bottom w:val="none" w:sz="0" w:space="0" w:color="auto"/>
                                                <w:right w:val="none" w:sz="0" w:space="0" w:color="auto"/>
                                              </w:divBdr>
                                              <w:divsChild>
                                                <w:div w:id="1727026099">
                                                  <w:marLeft w:val="0"/>
                                                  <w:marRight w:val="0"/>
                                                  <w:marTop w:val="0"/>
                                                  <w:marBottom w:val="0"/>
                                                  <w:divBdr>
                                                    <w:top w:val="none" w:sz="0" w:space="0" w:color="auto"/>
                                                    <w:left w:val="none" w:sz="0" w:space="0" w:color="auto"/>
                                                    <w:bottom w:val="none" w:sz="0" w:space="0" w:color="auto"/>
                                                    <w:right w:val="none" w:sz="0" w:space="0" w:color="auto"/>
                                                  </w:divBdr>
                                                  <w:divsChild>
                                                    <w:div w:id="332612175">
                                                      <w:marLeft w:val="0"/>
                                                      <w:marRight w:val="0"/>
                                                      <w:marTop w:val="0"/>
                                                      <w:marBottom w:val="0"/>
                                                      <w:divBdr>
                                                        <w:top w:val="none" w:sz="0" w:space="0" w:color="auto"/>
                                                        <w:left w:val="none" w:sz="0" w:space="0" w:color="auto"/>
                                                        <w:bottom w:val="none" w:sz="0" w:space="0" w:color="auto"/>
                                                        <w:right w:val="none" w:sz="0" w:space="0" w:color="auto"/>
                                                      </w:divBdr>
                                                      <w:divsChild>
                                                        <w:div w:id="173750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6957152">
      <w:bodyDiv w:val="1"/>
      <w:marLeft w:val="0"/>
      <w:marRight w:val="0"/>
      <w:marTop w:val="0"/>
      <w:marBottom w:val="0"/>
      <w:divBdr>
        <w:top w:val="none" w:sz="0" w:space="0" w:color="auto"/>
        <w:left w:val="none" w:sz="0" w:space="0" w:color="auto"/>
        <w:bottom w:val="none" w:sz="0" w:space="0" w:color="auto"/>
        <w:right w:val="none" w:sz="0" w:space="0" w:color="auto"/>
      </w:divBdr>
      <w:divsChild>
        <w:div w:id="1046296701">
          <w:marLeft w:val="0"/>
          <w:marRight w:val="0"/>
          <w:marTop w:val="0"/>
          <w:marBottom w:val="0"/>
          <w:divBdr>
            <w:top w:val="none" w:sz="0" w:space="0" w:color="auto"/>
            <w:left w:val="none" w:sz="0" w:space="0" w:color="auto"/>
            <w:bottom w:val="none" w:sz="0" w:space="0" w:color="auto"/>
            <w:right w:val="none" w:sz="0" w:space="0" w:color="auto"/>
          </w:divBdr>
          <w:divsChild>
            <w:div w:id="198904330">
              <w:marLeft w:val="0"/>
              <w:marRight w:val="0"/>
              <w:marTop w:val="0"/>
              <w:marBottom w:val="0"/>
              <w:divBdr>
                <w:top w:val="none" w:sz="0" w:space="0" w:color="auto"/>
                <w:left w:val="none" w:sz="0" w:space="0" w:color="auto"/>
                <w:bottom w:val="none" w:sz="0" w:space="0" w:color="auto"/>
                <w:right w:val="none" w:sz="0" w:space="0" w:color="auto"/>
              </w:divBdr>
              <w:divsChild>
                <w:div w:id="490415814">
                  <w:marLeft w:val="0"/>
                  <w:marRight w:val="0"/>
                  <w:marTop w:val="0"/>
                  <w:marBottom w:val="0"/>
                  <w:divBdr>
                    <w:top w:val="none" w:sz="0" w:space="0" w:color="auto"/>
                    <w:left w:val="none" w:sz="0" w:space="0" w:color="auto"/>
                    <w:bottom w:val="none" w:sz="0" w:space="0" w:color="auto"/>
                    <w:right w:val="none" w:sz="0" w:space="0" w:color="auto"/>
                  </w:divBdr>
                  <w:divsChild>
                    <w:div w:id="1653675707">
                      <w:marLeft w:val="0"/>
                      <w:marRight w:val="0"/>
                      <w:marTop w:val="0"/>
                      <w:marBottom w:val="0"/>
                      <w:divBdr>
                        <w:top w:val="none" w:sz="0" w:space="0" w:color="auto"/>
                        <w:left w:val="none" w:sz="0" w:space="0" w:color="auto"/>
                        <w:bottom w:val="none" w:sz="0" w:space="0" w:color="auto"/>
                        <w:right w:val="none" w:sz="0" w:space="0" w:color="auto"/>
                      </w:divBdr>
                      <w:divsChild>
                        <w:div w:id="324824901">
                          <w:marLeft w:val="0"/>
                          <w:marRight w:val="0"/>
                          <w:marTop w:val="0"/>
                          <w:marBottom w:val="0"/>
                          <w:divBdr>
                            <w:top w:val="none" w:sz="0" w:space="0" w:color="auto"/>
                            <w:left w:val="none" w:sz="0" w:space="0" w:color="auto"/>
                            <w:bottom w:val="none" w:sz="0" w:space="0" w:color="auto"/>
                            <w:right w:val="none" w:sz="0" w:space="0" w:color="auto"/>
                          </w:divBdr>
                          <w:divsChild>
                            <w:div w:id="388767193">
                              <w:marLeft w:val="0"/>
                              <w:marRight w:val="0"/>
                              <w:marTop w:val="0"/>
                              <w:marBottom w:val="0"/>
                              <w:divBdr>
                                <w:top w:val="none" w:sz="0" w:space="0" w:color="auto"/>
                                <w:left w:val="none" w:sz="0" w:space="0" w:color="auto"/>
                                <w:bottom w:val="none" w:sz="0" w:space="0" w:color="auto"/>
                                <w:right w:val="none" w:sz="0" w:space="0" w:color="auto"/>
                              </w:divBdr>
                              <w:divsChild>
                                <w:div w:id="1814560832">
                                  <w:marLeft w:val="0"/>
                                  <w:marRight w:val="0"/>
                                  <w:marTop w:val="0"/>
                                  <w:marBottom w:val="0"/>
                                  <w:divBdr>
                                    <w:top w:val="none" w:sz="0" w:space="0" w:color="auto"/>
                                    <w:left w:val="none" w:sz="0" w:space="0" w:color="auto"/>
                                    <w:bottom w:val="none" w:sz="0" w:space="0" w:color="auto"/>
                                    <w:right w:val="none" w:sz="0" w:space="0" w:color="auto"/>
                                  </w:divBdr>
                                  <w:divsChild>
                                    <w:div w:id="2139375744">
                                      <w:marLeft w:val="0"/>
                                      <w:marRight w:val="0"/>
                                      <w:marTop w:val="0"/>
                                      <w:marBottom w:val="0"/>
                                      <w:divBdr>
                                        <w:top w:val="none" w:sz="0" w:space="0" w:color="auto"/>
                                        <w:left w:val="none" w:sz="0" w:space="0" w:color="auto"/>
                                        <w:bottom w:val="none" w:sz="0" w:space="0" w:color="auto"/>
                                        <w:right w:val="none" w:sz="0" w:space="0" w:color="auto"/>
                                      </w:divBdr>
                                      <w:divsChild>
                                        <w:div w:id="743063793">
                                          <w:marLeft w:val="0"/>
                                          <w:marRight w:val="0"/>
                                          <w:marTop w:val="0"/>
                                          <w:marBottom w:val="0"/>
                                          <w:divBdr>
                                            <w:top w:val="none" w:sz="0" w:space="0" w:color="auto"/>
                                            <w:left w:val="none" w:sz="0" w:space="0" w:color="auto"/>
                                            <w:bottom w:val="none" w:sz="0" w:space="0" w:color="auto"/>
                                            <w:right w:val="none" w:sz="0" w:space="0" w:color="auto"/>
                                          </w:divBdr>
                                          <w:divsChild>
                                            <w:div w:id="415518430">
                                              <w:marLeft w:val="0"/>
                                              <w:marRight w:val="0"/>
                                              <w:marTop w:val="0"/>
                                              <w:marBottom w:val="0"/>
                                              <w:divBdr>
                                                <w:top w:val="none" w:sz="0" w:space="0" w:color="auto"/>
                                                <w:left w:val="none" w:sz="0" w:space="0" w:color="auto"/>
                                                <w:bottom w:val="none" w:sz="0" w:space="0" w:color="auto"/>
                                                <w:right w:val="none" w:sz="0" w:space="0" w:color="auto"/>
                                              </w:divBdr>
                                              <w:divsChild>
                                                <w:div w:id="2134902765">
                                                  <w:marLeft w:val="0"/>
                                                  <w:marRight w:val="0"/>
                                                  <w:marTop w:val="0"/>
                                                  <w:marBottom w:val="0"/>
                                                  <w:divBdr>
                                                    <w:top w:val="none" w:sz="0" w:space="0" w:color="auto"/>
                                                    <w:left w:val="none" w:sz="0" w:space="0" w:color="auto"/>
                                                    <w:bottom w:val="none" w:sz="0" w:space="0" w:color="auto"/>
                                                    <w:right w:val="none" w:sz="0" w:space="0" w:color="auto"/>
                                                  </w:divBdr>
                                                  <w:divsChild>
                                                    <w:div w:id="1134252421">
                                                      <w:marLeft w:val="0"/>
                                                      <w:marRight w:val="0"/>
                                                      <w:marTop w:val="0"/>
                                                      <w:marBottom w:val="0"/>
                                                      <w:divBdr>
                                                        <w:top w:val="none" w:sz="0" w:space="0" w:color="auto"/>
                                                        <w:left w:val="none" w:sz="0" w:space="0" w:color="auto"/>
                                                        <w:bottom w:val="none" w:sz="0" w:space="0" w:color="auto"/>
                                                        <w:right w:val="none" w:sz="0" w:space="0" w:color="auto"/>
                                                      </w:divBdr>
                                                      <w:divsChild>
                                                        <w:div w:id="7420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5028514">
      <w:bodyDiv w:val="1"/>
      <w:marLeft w:val="0"/>
      <w:marRight w:val="0"/>
      <w:marTop w:val="0"/>
      <w:marBottom w:val="0"/>
      <w:divBdr>
        <w:top w:val="none" w:sz="0" w:space="0" w:color="auto"/>
        <w:left w:val="none" w:sz="0" w:space="0" w:color="auto"/>
        <w:bottom w:val="none" w:sz="0" w:space="0" w:color="auto"/>
        <w:right w:val="none" w:sz="0" w:space="0" w:color="auto"/>
      </w:divBdr>
    </w:div>
    <w:div w:id="1580824802">
      <w:bodyDiv w:val="1"/>
      <w:marLeft w:val="0"/>
      <w:marRight w:val="0"/>
      <w:marTop w:val="0"/>
      <w:marBottom w:val="0"/>
      <w:divBdr>
        <w:top w:val="none" w:sz="0" w:space="0" w:color="auto"/>
        <w:left w:val="none" w:sz="0" w:space="0" w:color="auto"/>
        <w:bottom w:val="none" w:sz="0" w:space="0" w:color="auto"/>
        <w:right w:val="none" w:sz="0" w:space="0" w:color="auto"/>
      </w:divBdr>
    </w:div>
    <w:div w:id="1611661722">
      <w:bodyDiv w:val="1"/>
      <w:marLeft w:val="0"/>
      <w:marRight w:val="0"/>
      <w:marTop w:val="0"/>
      <w:marBottom w:val="0"/>
      <w:divBdr>
        <w:top w:val="none" w:sz="0" w:space="0" w:color="auto"/>
        <w:left w:val="none" w:sz="0" w:space="0" w:color="auto"/>
        <w:bottom w:val="none" w:sz="0" w:space="0" w:color="auto"/>
        <w:right w:val="none" w:sz="0" w:space="0" w:color="auto"/>
      </w:divBdr>
    </w:div>
    <w:div w:id="1844934910">
      <w:bodyDiv w:val="1"/>
      <w:marLeft w:val="0"/>
      <w:marRight w:val="0"/>
      <w:marTop w:val="0"/>
      <w:marBottom w:val="0"/>
      <w:divBdr>
        <w:top w:val="none" w:sz="0" w:space="0" w:color="auto"/>
        <w:left w:val="none" w:sz="0" w:space="0" w:color="auto"/>
        <w:bottom w:val="none" w:sz="0" w:space="0" w:color="auto"/>
        <w:right w:val="none" w:sz="0" w:space="0" w:color="auto"/>
      </w:divBdr>
      <w:divsChild>
        <w:div w:id="1290668459">
          <w:marLeft w:val="0"/>
          <w:marRight w:val="0"/>
          <w:marTop w:val="0"/>
          <w:marBottom w:val="0"/>
          <w:divBdr>
            <w:top w:val="none" w:sz="0" w:space="0" w:color="auto"/>
            <w:left w:val="none" w:sz="0" w:space="0" w:color="auto"/>
            <w:bottom w:val="none" w:sz="0" w:space="0" w:color="auto"/>
            <w:right w:val="none" w:sz="0" w:space="0" w:color="auto"/>
          </w:divBdr>
          <w:divsChild>
            <w:div w:id="1742485927">
              <w:marLeft w:val="0"/>
              <w:marRight w:val="0"/>
              <w:marTop w:val="0"/>
              <w:marBottom w:val="0"/>
              <w:divBdr>
                <w:top w:val="none" w:sz="0" w:space="0" w:color="auto"/>
                <w:left w:val="none" w:sz="0" w:space="0" w:color="auto"/>
                <w:bottom w:val="none" w:sz="0" w:space="0" w:color="auto"/>
                <w:right w:val="none" w:sz="0" w:space="0" w:color="auto"/>
              </w:divBdr>
              <w:divsChild>
                <w:div w:id="1407456093">
                  <w:marLeft w:val="0"/>
                  <w:marRight w:val="0"/>
                  <w:marTop w:val="0"/>
                  <w:marBottom w:val="0"/>
                  <w:divBdr>
                    <w:top w:val="none" w:sz="0" w:space="0" w:color="auto"/>
                    <w:left w:val="none" w:sz="0" w:space="0" w:color="auto"/>
                    <w:bottom w:val="none" w:sz="0" w:space="0" w:color="auto"/>
                    <w:right w:val="none" w:sz="0" w:space="0" w:color="auto"/>
                  </w:divBdr>
                  <w:divsChild>
                    <w:div w:id="1710954480">
                      <w:marLeft w:val="0"/>
                      <w:marRight w:val="0"/>
                      <w:marTop w:val="0"/>
                      <w:marBottom w:val="0"/>
                      <w:divBdr>
                        <w:top w:val="none" w:sz="0" w:space="0" w:color="auto"/>
                        <w:left w:val="none" w:sz="0" w:space="0" w:color="auto"/>
                        <w:bottom w:val="none" w:sz="0" w:space="0" w:color="auto"/>
                        <w:right w:val="none" w:sz="0" w:space="0" w:color="auto"/>
                      </w:divBdr>
                      <w:divsChild>
                        <w:div w:id="1633294273">
                          <w:marLeft w:val="0"/>
                          <w:marRight w:val="0"/>
                          <w:marTop w:val="0"/>
                          <w:marBottom w:val="0"/>
                          <w:divBdr>
                            <w:top w:val="none" w:sz="0" w:space="0" w:color="auto"/>
                            <w:left w:val="none" w:sz="0" w:space="0" w:color="auto"/>
                            <w:bottom w:val="none" w:sz="0" w:space="0" w:color="auto"/>
                            <w:right w:val="none" w:sz="0" w:space="0" w:color="auto"/>
                          </w:divBdr>
                          <w:divsChild>
                            <w:div w:id="1561401208">
                              <w:marLeft w:val="0"/>
                              <w:marRight w:val="0"/>
                              <w:marTop w:val="0"/>
                              <w:marBottom w:val="0"/>
                              <w:divBdr>
                                <w:top w:val="none" w:sz="0" w:space="0" w:color="auto"/>
                                <w:left w:val="none" w:sz="0" w:space="0" w:color="auto"/>
                                <w:bottom w:val="none" w:sz="0" w:space="0" w:color="auto"/>
                                <w:right w:val="none" w:sz="0" w:space="0" w:color="auto"/>
                              </w:divBdr>
                              <w:divsChild>
                                <w:div w:id="1767383668">
                                  <w:marLeft w:val="0"/>
                                  <w:marRight w:val="0"/>
                                  <w:marTop w:val="0"/>
                                  <w:marBottom w:val="0"/>
                                  <w:divBdr>
                                    <w:top w:val="none" w:sz="0" w:space="0" w:color="auto"/>
                                    <w:left w:val="none" w:sz="0" w:space="0" w:color="auto"/>
                                    <w:bottom w:val="none" w:sz="0" w:space="0" w:color="auto"/>
                                    <w:right w:val="none" w:sz="0" w:space="0" w:color="auto"/>
                                  </w:divBdr>
                                  <w:divsChild>
                                    <w:div w:id="255092756">
                                      <w:marLeft w:val="0"/>
                                      <w:marRight w:val="0"/>
                                      <w:marTop w:val="0"/>
                                      <w:marBottom w:val="0"/>
                                      <w:divBdr>
                                        <w:top w:val="none" w:sz="0" w:space="0" w:color="auto"/>
                                        <w:left w:val="none" w:sz="0" w:space="0" w:color="auto"/>
                                        <w:bottom w:val="none" w:sz="0" w:space="0" w:color="auto"/>
                                        <w:right w:val="none" w:sz="0" w:space="0" w:color="auto"/>
                                      </w:divBdr>
                                      <w:divsChild>
                                        <w:div w:id="884289706">
                                          <w:marLeft w:val="0"/>
                                          <w:marRight w:val="0"/>
                                          <w:marTop w:val="0"/>
                                          <w:marBottom w:val="0"/>
                                          <w:divBdr>
                                            <w:top w:val="none" w:sz="0" w:space="0" w:color="auto"/>
                                            <w:left w:val="none" w:sz="0" w:space="0" w:color="auto"/>
                                            <w:bottom w:val="none" w:sz="0" w:space="0" w:color="auto"/>
                                            <w:right w:val="none" w:sz="0" w:space="0" w:color="auto"/>
                                          </w:divBdr>
                                          <w:divsChild>
                                            <w:div w:id="1275795282">
                                              <w:marLeft w:val="0"/>
                                              <w:marRight w:val="0"/>
                                              <w:marTop w:val="0"/>
                                              <w:marBottom w:val="0"/>
                                              <w:divBdr>
                                                <w:top w:val="none" w:sz="0" w:space="0" w:color="auto"/>
                                                <w:left w:val="none" w:sz="0" w:space="0" w:color="auto"/>
                                                <w:bottom w:val="none" w:sz="0" w:space="0" w:color="auto"/>
                                                <w:right w:val="none" w:sz="0" w:space="0" w:color="auto"/>
                                              </w:divBdr>
                                              <w:divsChild>
                                                <w:div w:id="1431468633">
                                                  <w:marLeft w:val="0"/>
                                                  <w:marRight w:val="0"/>
                                                  <w:marTop w:val="0"/>
                                                  <w:marBottom w:val="0"/>
                                                  <w:divBdr>
                                                    <w:top w:val="none" w:sz="0" w:space="0" w:color="auto"/>
                                                    <w:left w:val="none" w:sz="0" w:space="0" w:color="auto"/>
                                                    <w:bottom w:val="none" w:sz="0" w:space="0" w:color="auto"/>
                                                    <w:right w:val="none" w:sz="0" w:space="0" w:color="auto"/>
                                                  </w:divBdr>
                                                  <w:divsChild>
                                                    <w:div w:id="1971085704">
                                                      <w:marLeft w:val="0"/>
                                                      <w:marRight w:val="0"/>
                                                      <w:marTop w:val="0"/>
                                                      <w:marBottom w:val="0"/>
                                                      <w:divBdr>
                                                        <w:top w:val="none" w:sz="0" w:space="0" w:color="auto"/>
                                                        <w:left w:val="none" w:sz="0" w:space="0" w:color="auto"/>
                                                        <w:bottom w:val="none" w:sz="0" w:space="0" w:color="auto"/>
                                                        <w:right w:val="none" w:sz="0" w:space="0" w:color="auto"/>
                                                      </w:divBdr>
                                                      <w:divsChild>
                                                        <w:div w:id="199629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5526225">
      <w:bodyDiv w:val="1"/>
      <w:marLeft w:val="0"/>
      <w:marRight w:val="0"/>
      <w:marTop w:val="0"/>
      <w:marBottom w:val="0"/>
      <w:divBdr>
        <w:top w:val="none" w:sz="0" w:space="0" w:color="auto"/>
        <w:left w:val="none" w:sz="0" w:space="0" w:color="auto"/>
        <w:bottom w:val="none" w:sz="0" w:space="0" w:color="auto"/>
        <w:right w:val="none" w:sz="0" w:space="0" w:color="auto"/>
      </w:divBdr>
    </w:div>
    <w:div w:id="2082558370">
      <w:bodyDiv w:val="1"/>
      <w:marLeft w:val="0"/>
      <w:marRight w:val="0"/>
      <w:marTop w:val="0"/>
      <w:marBottom w:val="0"/>
      <w:divBdr>
        <w:top w:val="none" w:sz="0" w:space="0" w:color="auto"/>
        <w:left w:val="none" w:sz="0" w:space="0" w:color="auto"/>
        <w:bottom w:val="none" w:sz="0" w:space="0" w:color="auto"/>
        <w:right w:val="none" w:sz="0" w:space="0" w:color="auto"/>
      </w:divBdr>
    </w:div>
    <w:div w:id="209886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au" TargetMode="External"/><Relationship Id="rId18" Type="http://schemas.openxmlformats.org/officeDocument/2006/relationships/hyperlink" Target="http://www.industry.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industry.gov.au" TargetMode="External"/><Relationship Id="rId17" Type="http://schemas.openxmlformats.org/officeDocument/2006/relationships/hyperlink" Target="https://www.awe.gov.au/water/policy/policy/nwi" TargetMode="External"/><Relationship Id="rId2" Type="http://schemas.openxmlformats.org/officeDocument/2006/relationships/customXml" Target="../customXml/item2.xml"/><Relationship Id="rId16" Type="http://schemas.openxmlformats.org/officeDocument/2006/relationships/hyperlink" Target="http://www.industry.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pcc.ch/" TargetMode="External"/><Relationship Id="rId5" Type="http://schemas.openxmlformats.org/officeDocument/2006/relationships/numbering" Target="numbering.xml"/><Relationship Id="rId15" Type="http://schemas.openxmlformats.org/officeDocument/2006/relationships/hyperlink" Target="https://info.australia.gov.au/information-and-services/public-safety-and-law/legislation/states-and-territories" TargetMode="External"/><Relationship Id="rId10" Type="http://schemas.openxmlformats.org/officeDocument/2006/relationships/endnotes" Target="endnotes.xml"/><Relationship Id="rId19" Type="http://schemas.openxmlformats.org/officeDocument/2006/relationships/hyperlink" Target="https://www.legislation.gov.au/Details/C2014B00129/Explanatory%20Memorandum/Tex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eds.org.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1EF5C66-98CB-4544-9FF2-6CB1EB0B755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A59F879DE55004E9A7F14C2F905118D" ma:contentTypeVersion="" ma:contentTypeDescription="PDMS Document Site Content Type" ma:contentTypeScope="" ma:versionID="531d97b0ce197c6fcc896def6b2d2d1f">
  <xsd:schema xmlns:xsd="http://www.w3.org/2001/XMLSchema" xmlns:xs="http://www.w3.org/2001/XMLSchema" xmlns:p="http://schemas.microsoft.com/office/2006/metadata/properties" xmlns:ns2="C1EF5C66-98CB-4544-9FF2-6CB1EB0B7554" targetNamespace="http://schemas.microsoft.com/office/2006/metadata/properties" ma:root="true" ma:fieldsID="02c08c12bf7f84823bab8db52c6e02ea" ns2:_="">
    <xsd:import namespace="C1EF5C66-98CB-4544-9FF2-6CB1EB0B755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F5C66-98CB-4544-9FF2-6CB1EB0B755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5C5F7-F043-4BD8-BCD0-23E93841E232}">
  <ds:schemaRefs>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C1EF5C66-98CB-4544-9FF2-6CB1EB0B7554"/>
    <ds:schemaRef ds:uri="http://purl.org/dc/dcmitype/"/>
  </ds:schemaRefs>
</ds:datastoreItem>
</file>

<file path=customXml/itemProps2.xml><?xml version="1.0" encoding="utf-8"?>
<ds:datastoreItem xmlns:ds="http://schemas.openxmlformats.org/officeDocument/2006/customXml" ds:itemID="{888F41B4-DCA2-451F-AF5C-0F2B2D0FA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F5C66-98CB-4544-9FF2-6CB1EB0B7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A0AF83-7BCE-4767-AB0B-1EAC187D1F0C}">
  <ds:schemaRefs>
    <ds:schemaRef ds:uri="http://schemas.microsoft.com/sharepoint/v3/contenttype/forms"/>
  </ds:schemaRefs>
</ds:datastoreItem>
</file>

<file path=customXml/itemProps4.xml><?xml version="1.0" encoding="utf-8"?>
<ds:datastoreItem xmlns:ds="http://schemas.openxmlformats.org/officeDocument/2006/customXml" ds:itemID="{81920C99-A1D2-4A0A-B436-CE7B41F70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8</Pages>
  <Words>3078</Words>
  <Characters>17551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20588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Villani, Lindsay</dc:creator>
  <cp:keywords/>
  <dc:description/>
  <cp:lastModifiedBy>Osborne, Lea</cp:lastModifiedBy>
  <cp:revision>23</cp:revision>
  <cp:lastPrinted>2020-05-13T05:00:00Z</cp:lastPrinted>
  <dcterms:created xsi:type="dcterms:W3CDTF">2022-03-17T01:13:00Z</dcterms:created>
  <dcterms:modified xsi:type="dcterms:W3CDTF">2022-03-31T00:51:00Z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0x010100266966F133664895A6EE3632470D45F5000A59F879DE55004E9A7F14C2F905118D</vt:lpwstr>
  </property>
  <property fmtid="{D5CDD505-2E9C-101B-9397-08002B2CF9AE}" pid="3" name="DocHub_Year">
    <vt:lpwstr/>
  </property>
  <property fmtid="{D5CDD505-2E9C-101B-9397-08002B2CF9AE}" pid="4" name="DocHub_DocumentType">
    <vt:lpwstr>460;#Explanatory Memorandum|e1baf4eb-cfb1-4562-a99a-5aebab1aca70</vt:lpwstr>
  </property>
  <property fmtid="{D5CDD505-2E9C-101B-9397-08002B2CF9AE}" pid="5" name="DocHub_SecurityClassification">
    <vt:lpwstr>26;#OFFICIAL:Sensitive|11f6fb0b-52ce-4109-8f7f-521b2a62f692</vt:lpwstr>
  </property>
  <property fmtid="{D5CDD505-2E9C-101B-9397-08002B2CF9AE}" pid="6" name="DocHub_Keywords">
    <vt:lpwstr/>
  </property>
  <property fmtid="{D5CDD505-2E9C-101B-9397-08002B2CF9AE}" pid="7" name="DocHub_WorkActivity">
    <vt:lpwstr/>
  </property>
  <property fmtid="{D5CDD505-2E9C-101B-9397-08002B2CF9AE}" pid="8" name="ObjectiveRef">
    <vt:lpwstr>Removed</vt:lpwstr>
  </property>
  <property fmtid="{D5CDD505-2E9C-101B-9397-08002B2CF9AE}" pid="9" name="LeadingLawyers">
    <vt:lpwstr>Removed</vt:lpwstr>
  </property>
</Properties>
</file>