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712B" w14:textId="2326BB61" w:rsidR="000C69F6" w:rsidRPr="00EE20C5" w:rsidRDefault="000C69F6" w:rsidP="000C69F6">
      <w:pPr>
        <w:pStyle w:val="Heading1"/>
        <w:widowControl w:val="0"/>
        <w:tabs>
          <w:tab w:val="num" w:pos="360"/>
        </w:tabs>
        <w:spacing w:before="0" w:after="240" w:line="240" w:lineRule="auto"/>
        <w:ind w:left="360" w:hanging="360"/>
        <w:rPr>
          <w:rFonts w:ascii="Arial" w:eastAsia="Times New Roman" w:hAnsi="Arial" w:cs="Times New Roman"/>
          <w:bCs w:val="0"/>
          <w:color w:val="auto"/>
          <w:sz w:val="30"/>
          <w:szCs w:val="30"/>
          <w:lang w:eastAsia="en-AU"/>
        </w:rPr>
      </w:pPr>
      <w:r w:rsidRPr="00EE20C5">
        <w:rPr>
          <w:rFonts w:ascii="Arial" w:eastAsia="Times New Roman" w:hAnsi="Arial" w:cs="Times New Roman"/>
          <w:bCs w:val="0"/>
          <w:color w:val="auto"/>
          <w:sz w:val="30"/>
          <w:szCs w:val="30"/>
          <w:lang w:eastAsia="en-AU"/>
        </w:rPr>
        <w:t>EXPLANATORY STATEMENT</w:t>
      </w:r>
      <w:bookmarkStart w:id="0" w:name="_GoBack"/>
      <w:bookmarkEnd w:id="0"/>
    </w:p>
    <w:p w14:paraId="6626F329" w14:textId="514CBE24" w:rsidR="009A6866" w:rsidRPr="00EE20C5" w:rsidRDefault="00CA1FD6" w:rsidP="000C69F6">
      <w:pPr>
        <w:pStyle w:val="Heading2"/>
        <w:keepNext/>
        <w:keepLines/>
        <w:shd w:val="clear" w:color="FFFF00" w:fill="auto"/>
        <w:spacing w:after="240" w:line="240" w:lineRule="auto"/>
        <w:rPr>
          <w:color w:val="000080"/>
        </w:rPr>
      </w:pPr>
      <w:r w:rsidRPr="00EE20C5">
        <w:rPr>
          <w:color w:val="000080"/>
        </w:rPr>
        <w:t>M</w:t>
      </w:r>
      <w:r w:rsidR="00C30151" w:rsidRPr="00EE20C5">
        <w:rPr>
          <w:color w:val="000080"/>
        </w:rPr>
        <w:t>ilitary Rehabilitation and Compensation</w:t>
      </w:r>
      <w:r w:rsidR="009A6866" w:rsidRPr="00EE20C5">
        <w:rPr>
          <w:color w:val="000080"/>
        </w:rPr>
        <w:t xml:space="preserve"> (</w:t>
      </w:r>
      <w:r w:rsidR="00C30151" w:rsidRPr="00EE20C5">
        <w:rPr>
          <w:color w:val="000080"/>
        </w:rPr>
        <w:t>Warlike Service</w:t>
      </w:r>
      <w:r w:rsidR="00557413" w:rsidRPr="00EE20C5">
        <w:rPr>
          <w:color w:val="000080"/>
        </w:rPr>
        <w:t xml:space="preserve">) </w:t>
      </w:r>
      <w:r w:rsidR="00C30151" w:rsidRPr="00EE20C5">
        <w:rPr>
          <w:color w:val="000080"/>
        </w:rPr>
        <w:t xml:space="preserve">Amendment </w:t>
      </w:r>
      <w:r w:rsidR="00C452AE" w:rsidRPr="00EE20C5">
        <w:rPr>
          <w:color w:val="000080"/>
        </w:rPr>
        <w:t>Determination 202</w:t>
      </w:r>
      <w:r w:rsidR="00254659" w:rsidRPr="00EE20C5">
        <w:rPr>
          <w:color w:val="000080"/>
        </w:rPr>
        <w:t>2</w:t>
      </w:r>
      <w:r w:rsidR="009A6866" w:rsidRPr="00EE20C5">
        <w:rPr>
          <w:color w:val="000080"/>
        </w:rPr>
        <w:t xml:space="preserve"> (No. </w:t>
      </w:r>
      <w:r w:rsidR="00C30151" w:rsidRPr="00EE20C5">
        <w:rPr>
          <w:color w:val="000080"/>
        </w:rPr>
        <w:t>1)</w:t>
      </w:r>
    </w:p>
    <w:p w14:paraId="676D7561" w14:textId="72784578" w:rsidR="00514FAE" w:rsidRPr="00EE20C5" w:rsidRDefault="00514FAE" w:rsidP="00514FAE">
      <w:pPr>
        <w:shd w:val="clear" w:color="auto" w:fill="FFFFFF"/>
        <w:spacing w:after="100" w:afterAutospacing="1"/>
        <w:rPr>
          <w:color w:val="000000"/>
          <w:szCs w:val="22"/>
        </w:rPr>
      </w:pPr>
      <w:r w:rsidRPr="00EE20C5">
        <w:rPr>
          <w:color w:val="000000"/>
          <w:szCs w:val="22"/>
        </w:rPr>
        <w:t xml:space="preserve">This Determination amends </w:t>
      </w:r>
      <w:r w:rsidR="00391E6B" w:rsidRPr="00EE20C5">
        <w:rPr>
          <w:color w:val="000000"/>
          <w:szCs w:val="22"/>
        </w:rPr>
        <w:t xml:space="preserve">the </w:t>
      </w:r>
      <w:r w:rsidRPr="00EE20C5">
        <w:rPr>
          <w:i/>
          <w:color w:val="000000"/>
          <w:szCs w:val="22"/>
        </w:rPr>
        <w:t>Military Rehabilitation and Compensation (Warlike Service) Determination 2019</w:t>
      </w:r>
      <w:r w:rsidRPr="00EE20C5">
        <w:rPr>
          <w:color w:val="000000"/>
          <w:szCs w:val="22"/>
        </w:rPr>
        <w:t xml:space="preserve"> (the Principal Determination)</w:t>
      </w:r>
      <w:r w:rsidR="00BF78BE" w:rsidRPr="00EE20C5">
        <w:rPr>
          <w:color w:val="000000"/>
          <w:szCs w:val="22"/>
        </w:rPr>
        <w:t xml:space="preserve"> made</w:t>
      </w:r>
      <w:r w:rsidRPr="00EE20C5">
        <w:rPr>
          <w:color w:val="000000"/>
          <w:szCs w:val="22"/>
        </w:rPr>
        <w:t xml:space="preserve"> under paragraph 6(1)(a) of the </w:t>
      </w:r>
      <w:r w:rsidRPr="00EE20C5">
        <w:rPr>
          <w:i/>
          <w:iCs/>
          <w:color w:val="000000"/>
          <w:szCs w:val="22"/>
        </w:rPr>
        <w:t>Military Rehabilitation and Compensation Act 2004</w:t>
      </w:r>
      <w:r w:rsidRPr="00EE20C5">
        <w:rPr>
          <w:color w:val="000000"/>
          <w:szCs w:val="22"/>
        </w:rPr>
        <w:t> (the Act). Paragraph 6(1)(a) of the Act defines warlike service as meaning service with the Australian Defence Force (the ADF) that is of a kind determined in writing by the Defence Minister to be warlike service.</w:t>
      </w:r>
    </w:p>
    <w:p w14:paraId="0ACC413D" w14:textId="6F95EC9F" w:rsidR="005E2BD6" w:rsidRPr="00EE20C5" w:rsidRDefault="005E2BD6" w:rsidP="00326E7A">
      <w:pPr>
        <w:shd w:val="clear" w:color="auto" w:fill="FFFFFF" w:themeFill="background1"/>
        <w:rPr>
          <w:rFonts w:eastAsia="NotDefSpecial"/>
        </w:rPr>
      </w:pPr>
      <w:r w:rsidRPr="00EE20C5">
        <w:rPr>
          <w:rFonts w:eastAsia="NotDefSpecial"/>
        </w:rPr>
        <w:t>A determination of warlike service requires the Military Rehabilitation and Compensation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warlike service and will mean greater compensation amounts will be payable compared to those members who were injured on peacetime service. A veteran with warlike service will, subject to income and assets tests, be eligible for the Service Pension at age 60, which is earlier than Age pension age. A veteran with warlike service will be eligible for the Service Pension at any age if permanently incapacitated for work. The warlike service classification also renders a veteran automatically eligible for receipt of the Department of Veterans’ Affairs (DVA) Veteran Gold Card at age 70. In recognition of the unquantifiable effects of combat, the Veteran Gold Card provides treatment for any medical condition on the Medicare Benefits Schedule, irrespective of the link to military service. A veteran in receipt of the Service Pension, and with a permanent impairment from accepted conditions assessed at 30 points or above, is also eligible for the Veteran Gold Card regardless of age.</w:t>
      </w:r>
    </w:p>
    <w:p w14:paraId="5468AC56" w14:textId="57BD8925" w:rsidR="005E2BD6" w:rsidRPr="00EE20C5" w:rsidRDefault="005E2BD6" w:rsidP="005E2BD6">
      <w:pPr>
        <w:pStyle w:val="CommentText"/>
      </w:pPr>
    </w:p>
    <w:p w14:paraId="76303F6A" w14:textId="68715BAD" w:rsidR="00AA55B8" w:rsidRPr="00EE20C5" w:rsidRDefault="002611A1" w:rsidP="008D71F6">
      <w:pPr>
        <w:autoSpaceDE w:val="0"/>
        <w:autoSpaceDN w:val="0"/>
        <w:adjustRightInd w:val="0"/>
        <w:spacing w:after="200"/>
        <w:rPr>
          <w:rFonts w:eastAsia="NotDefSpecial"/>
          <w:szCs w:val="22"/>
        </w:rPr>
      </w:pPr>
      <w:r w:rsidRPr="00EE20C5">
        <w:rPr>
          <w:rFonts w:eastAsia="NotDefSpecial"/>
          <w:szCs w:val="22"/>
        </w:rPr>
        <w:t xml:space="preserve">This Determination is a legislative instrument for the purposes of the </w:t>
      </w:r>
      <w:r w:rsidRPr="00EE20C5">
        <w:rPr>
          <w:rFonts w:eastAsia="NotDefSpecial"/>
          <w:i/>
          <w:szCs w:val="22"/>
        </w:rPr>
        <w:t xml:space="preserve">Legislation Act 2003 </w:t>
      </w:r>
      <w:r w:rsidRPr="00EE20C5">
        <w:rPr>
          <w:rFonts w:eastAsia="NotDefSpecial"/>
          <w:szCs w:val="22"/>
        </w:rPr>
        <w:t xml:space="preserve">and is exempt from disallowance pursuant to item 21 in Section 10 of the </w:t>
      </w:r>
      <w:r w:rsidRPr="00EE20C5">
        <w:rPr>
          <w:rFonts w:eastAsia="NotDefSpecial"/>
          <w:i/>
          <w:szCs w:val="22"/>
        </w:rPr>
        <w:t xml:space="preserve">Legislation (Exemptions and Other Matters) Regulation </w:t>
      </w:r>
      <w:r w:rsidRPr="00EE20C5">
        <w:rPr>
          <w:rFonts w:eastAsia="NotDefSpecial"/>
          <w:szCs w:val="22"/>
        </w:rPr>
        <w:t xml:space="preserve">2015 (the Regulations) and is also exempt from sunsetting pursuant to item 39 in </w:t>
      </w:r>
      <w:r w:rsidR="00254659" w:rsidRPr="00EE20C5">
        <w:rPr>
          <w:rFonts w:eastAsia="NotDefSpecial"/>
          <w:szCs w:val="22"/>
        </w:rPr>
        <w:t>s</w:t>
      </w:r>
      <w:r w:rsidRPr="00EE20C5">
        <w:rPr>
          <w:rFonts w:eastAsia="NotDefSpecial"/>
          <w:szCs w:val="22"/>
        </w:rPr>
        <w:t>ection 12 of the Regulations.</w:t>
      </w:r>
    </w:p>
    <w:p w14:paraId="0C5F7BDA" w14:textId="6CF7EA79" w:rsidR="00F21C21" w:rsidRPr="00EE20C5" w:rsidRDefault="00F21C21" w:rsidP="008D71F6">
      <w:pPr>
        <w:autoSpaceDE w:val="0"/>
        <w:autoSpaceDN w:val="0"/>
        <w:adjustRightInd w:val="0"/>
        <w:spacing w:after="200" w:line="240" w:lineRule="auto"/>
        <w:rPr>
          <w:rFonts w:eastAsia="NotDefSpecial"/>
          <w:szCs w:val="22"/>
        </w:rPr>
      </w:pPr>
      <w:r w:rsidRPr="00EE20C5">
        <w:rPr>
          <w:rFonts w:eastAsia="NotDefSpecial"/>
          <w:szCs w:val="22"/>
        </w:rPr>
        <w:t xml:space="preserve">The purpose </w:t>
      </w:r>
      <w:r w:rsidR="00AB6C08" w:rsidRPr="00EE20C5">
        <w:rPr>
          <w:rFonts w:eastAsia="NotDefSpecial"/>
          <w:szCs w:val="22"/>
        </w:rPr>
        <w:t xml:space="preserve">of this Determination is to </w:t>
      </w:r>
      <w:r w:rsidR="009F1E73" w:rsidRPr="00EE20C5">
        <w:rPr>
          <w:rFonts w:eastAsia="NotDefSpecial"/>
          <w:szCs w:val="22"/>
        </w:rPr>
        <w:t xml:space="preserve">provide a cessation date </w:t>
      </w:r>
      <w:r w:rsidR="00777EE1" w:rsidRPr="00EE20C5">
        <w:rPr>
          <w:rFonts w:eastAsia="NotDefSpecial"/>
          <w:szCs w:val="22"/>
        </w:rPr>
        <w:t xml:space="preserve">of 8 October 2021 </w:t>
      </w:r>
      <w:r w:rsidR="009F1E73" w:rsidRPr="00EE20C5">
        <w:rPr>
          <w:rFonts w:eastAsia="NotDefSpecial"/>
          <w:szCs w:val="22"/>
        </w:rPr>
        <w:t>for</w:t>
      </w:r>
      <w:r w:rsidR="008D71F6" w:rsidRPr="00EE20C5">
        <w:rPr>
          <w:rFonts w:eastAsia="NotDefSpecial"/>
          <w:szCs w:val="22"/>
        </w:rPr>
        <w:t xml:space="preserve"> </w:t>
      </w:r>
      <w:r w:rsidR="009D6252" w:rsidRPr="00EE20C5">
        <w:rPr>
          <w:rFonts w:eastAsia="NotDefSpecial"/>
          <w:szCs w:val="22"/>
        </w:rPr>
        <w:t>O</w:t>
      </w:r>
      <w:r w:rsidRPr="00EE20C5">
        <w:rPr>
          <w:rFonts w:eastAsia="NotDefSpecial"/>
          <w:szCs w:val="22"/>
        </w:rPr>
        <w:t xml:space="preserve">peration </w:t>
      </w:r>
      <w:r w:rsidR="009F1E73" w:rsidRPr="00EE20C5">
        <w:rPr>
          <w:rFonts w:eastAsia="NotDefSpecial"/>
          <w:szCs w:val="22"/>
        </w:rPr>
        <w:t>Highroad</w:t>
      </w:r>
      <w:r w:rsidRPr="00EE20C5">
        <w:rPr>
          <w:rFonts w:eastAsia="NotDefSpecial"/>
          <w:szCs w:val="22"/>
        </w:rPr>
        <w:t xml:space="preserve">. </w:t>
      </w:r>
    </w:p>
    <w:p w14:paraId="14EEF8DE" w14:textId="77777777" w:rsidR="002611A1" w:rsidRPr="00EE20C5" w:rsidRDefault="002611A1" w:rsidP="002611A1">
      <w:pPr>
        <w:pStyle w:val="BlockText-Plain"/>
        <w:rPr>
          <w:snapToGrid w:val="0"/>
          <w:sz w:val="22"/>
          <w:szCs w:val="22"/>
        </w:rPr>
      </w:pPr>
      <w:r w:rsidRPr="00EE20C5">
        <w:rPr>
          <w:rFonts w:ascii="Times New Roman" w:hAnsi="Times New Roman"/>
          <w:snapToGrid w:val="0"/>
          <w:sz w:val="22"/>
          <w:szCs w:val="22"/>
        </w:rPr>
        <w:t>Section 1 of this Determination sets out the manner in which this Determination may be cited</w:t>
      </w:r>
      <w:r w:rsidRPr="00EE20C5">
        <w:rPr>
          <w:snapToGrid w:val="0"/>
          <w:sz w:val="22"/>
          <w:szCs w:val="22"/>
        </w:rPr>
        <w:t>.</w:t>
      </w:r>
    </w:p>
    <w:p w14:paraId="2ECE2B66" w14:textId="77777777" w:rsidR="002611A1" w:rsidRPr="00EE20C5" w:rsidRDefault="002611A1" w:rsidP="002611A1">
      <w:pPr>
        <w:pStyle w:val="BlockText-Plain"/>
        <w:rPr>
          <w:rFonts w:ascii="Times New Roman" w:hAnsi="Times New Roman"/>
          <w:sz w:val="22"/>
          <w:szCs w:val="22"/>
        </w:rPr>
      </w:pPr>
      <w:r w:rsidRPr="00EE20C5">
        <w:rPr>
          <w:rFonts w:ascii="Times New Roman" w:hAnsi="Times New Roman"/>
          <w:sz w:val="22"/>
          <w:szCs w:val="22"/>
        </w:rPr>
        <w:t>Section 2 provides that this Determination commences on the day after registration.</w:t>
      </w:r>
    </w:p>
    <w:p w14:paraId="3663BE39" w14:textId="77777777" w:rsidR="002611A1" w:rsidRPr="00EE20C5" w:rsidRDefault="002611A1" w:rsidP="002611A1">
      <w:pPr>
        <w:pStyle w:val="BlockText-Plain"/>
        <w:rPr>
          <w:rFonts w:ascii="Times New Roman" w:hAnsi="Times New Roman"/>
          <w:i/>
          <w:sz w:val="22"/>
          <w:szCs w:val="22"/>
        </w:rPr>
      </w:pPr>
      <w:r w:rsidRPr="00EE20C5">
        <w:rPr>
          <w:rFonts w:ascii="Times New Roman" w:hAnsi="Times New Roman"/>
          <w:snapToGrid w:val="0"/>
          <w:sz w:val="22"/>
          <w:szCs w:val="22"/>
        </w:rPr>
        <w:t xml:space="preserve">Section 3 identifies that this Determination has authority under paragraph 6(1)(a) of the </w:t>
      </w:r>
      <w:r w:rsidRPr="00EE20C5">
        <w:rPr>
          <w:rFonts w:ascii="Times New Roman" w:hAnsi="Times New Roman"/>
          <w:i/>
          <w:snapToGrid w:val="0"/>
          <w:sz w:val="22"/>
          <w:szCs w:val="22"/>
        </w:rPr>
        <w:t>Military Rehabilitation and Compensation Act 2004.</w:t>
      </w:r>
    </w:p>
    <w:p w14:paraId="1B94541C" w14:textId="77777777" w:rsidR="00AA55B8" w:rsidRPr="00EE20C5" w:rsidRDefault="00AA55B8" w:rsidP="00AA55B8">
      <w:pPr>
        <w:pStyle w:val="BlockText-Plain"/>
        <w:rPr>
          <w:rFonts w:ascii="Times New Roman" w:hAnsi="Times New Roman"/>
          <w:snapToGrid w:val="0"/>
          <w:sz w:val="22"/>
          <w:szCs w:val="22"/>
        </w:rPr>
      </w:pPr>
      <w:r w:rsidRPr="00EE20C5">
        <w:rPr>
          <w:rFonts w:ascii="Times New Roman" w:hAnsi="Times New Roman"/>
          <w:snapToGrid w:val="0"/>
          <w:sz w:val="22"/>
          <w:szCs w:val="22"/>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2B99208C" w14:textId="77777777" w:rsidR="00AA55B8" w:rsidRPr="00EE20C5" w:rsidRDefault="00AA55B8" w:rsidP="00AA55B8">
      <w:pPr>
        <w:shd w:val="clear" w:color="auto" w:fill="FFFFFF"/>
        <w:spacing w:after="100" w:afterAutospacing="1"/>
        <w:rPr>
          <w:color w:val="000000"/>
          <w:szCs w:val="22"/>
          <w:u w:val="single"/>
        </w:rPr>
      </w:pPr>
      <w:r w:rsidRPr="00EE20C5">
        <w:rPr>
          <w:i/>
          <w:color w:val="000000"/>
          <w:szCs w:val="22"/>
          <w:u w:val="single"/>
        </w:rPr>
        <w:t>Schedule 1 – Warlike Service</w:t>
      </w:r>
    </w:p>
    <w:p w14:paraId="06F7F078" w14:textId="305EE7C2" w:rsidR="006455C6" w:rsidRPr="00EE20C5" w:rsidRDefault="006455C6" w:rsidP="006455C6">
      <w:pPr>
        <w:autoSpaceDE w:val="0"/>
        <w:autoSpaceDN w:val="0"/>
        <w:adjustRightInd w:val="0"/>
        <w:rPr>
          <w:rFonts w:eastAsia="NotDefSpecial"/>
          <w:szCs w:val="22"/>
        </w:rPr>
      </w:pPr>
      <w:r w:rsidRPr="00EE20C5">
        <w:rPr>
          <w:rFonts w:eastAsia="NotDefSpecial"/>
          <w:szCs w:val="22"/>
        </w:rPr>
        <w:t xml:space="preserve">Section 1 </w:t>
      </w:r>
      <w:r w:rsidR="005A579D" w:rsidRPr="00EE20C5">
        <w:rPr>
          <w:rFonts w:eastAsia="NotDefSpecial"/>
          <w:szCs w:val="22"/>
        </w:rPr>
        <w:t>omits and</w:t>
      </w:r>
      <w:r w:rsidR="00AB6C08" w:rsidRPr="00EE20C5">
        <w:rPr>
          <w:rFonts w:eastAsia="NotDefSpecial"/>
          <w:szCs w:val="22"/>
        </w:rPr>
        <w:t xml:space="preserve"> </w:t>
      </w:r>
      <w:r w:rsidR="002544E6" w:rsidRPr="00EE20C5">
        <w:rPr>
          <w:rFonts w:eastAsia="NotDefSpecial"/>
          <w:szCs w:val="22"/>
        </w:rPr>
        <w:t xml:space="preserve">substitutes item 15 of </w:t>
      </w:r>
      <w:r w:rsidR="00344422" w:rsidRPr="00EE20C5">
        <w:rPr>
          <w:rFonts w:eastAsia="NotDefSpecial"/>
          <w:szCs w:val="22"/>
        </w:rPr>
        <w:t xml:space="preserve">Schedule 1 </w:t>
      </w:r>
      <w:r w:rsidR="003D6A42" w:rsidRPr="00EE20C5">
        <w:rPr>
          <w:rFonts w:eastAsia="NotDefSpecial"/>
          <w:szCs w:val="22"/>
        </w:rPr>
        <w:t>of the Principal Determination</w:t>
      </w:r>
      <w:r w:rsidR="005A579D" w:rsidRPr="00EE20C5">
        <w:rPr>
          <w:rFonts w:eastAsia="NotDefSpecial"/>
          <w:szCs w:val="22"/>
        </w:rPr>
        <w:t xml:space="preserve"> which provides that service on Operation Highroad is w</w:t>
      </w:r>
      <w:r w:rsidR="005E2BD6" w:rsidRPr="00EE20C5">
        <w:rPr>
          <w:rFonts w:eastAsia="NotDefSpecial"/>
          <w:szCs w:val="22"/>
        </w:rPr>
        <w:t>arlike</w:t>
      </w:r>
      <w:r w:rsidRPr="00EE20C5">
        <w:rPr>
          <w:rFonts w:eastAsia="NotDefSpecial"/>
          <w:szCs w:val="22"/>
        </w:rPr>
        <w:t xml:space="preserve"> Service for the purposes of the definition in </w:t>
      </w:r>
      <w:r w:rsidR="007978B4" w:rsidRPr="00EE20C5">
        <w:rPr>
          <w:rFonts w:eastAsia="NotDefSpecial"/>
          <w:szCs w:val="22"/>
        </w:rPr>
        <w:t>paragraph</w:t>
      </w:r>
      <w:r w:rsidRPr="00EE20C5">
        <w:rPr>
          <w:rFonts w:eastAsia="NotDefSpecial"/>
          <w:szCs w:val="22"/>
        </w:rPr>
        <w:t xml:space="preserve"> </w:t>
      </w:r>
      <w:r w:rsidR="007978B4" w:rsidRPr="00EE20C5">
        <w:rPr>
          <w:szCs w:val="22"/>
        </w:rPr>
        <w:t>6(1)(a)</w:t>
      </w:r>
      <w:r w:rsidRPr="00EE20C5">
        <w:rPr>
          <w:szCs w:val="22"/>
        </w:rPr>
        <w:t xml:space="preserve"> of the Act</w:t>
      </w:r>
      <w:r w:rsidR="009C4F7A" w:rsidRPr="00EE20C5">
        <w:rPr>
          <w:szCs w:val="22"/>
        </w:rPr>
        <w:t>. The item has been amended to provide that</w:t>
      </w:r>
      <w:r w:rsidR="002544E6" w:rsidRPr="00EE20C5">
        <w:rPr>
          <w:szCs w:val="22"/>
        </w:rPr>
        <w:t xml:space="preserve"> Operation Highroad</w:t>
      </w:r>
      <w:r w:rsidR="004D6E26" w:rsidRPr="00EE20C5">
        <w:rPr>
          <w:szCs w:val="22"/>
        </w:rPr>
        <w:t xml:space="preserve"> </w:t>
      </w:r>
      <w:r w:rsidR="002544E6" w:rsidRPr="00EE20C5">
        <w:rPr>
          <w:szCs w:val="22"/>
        </w:rPr>
        <w:t>cease</w:t>
      </w:r>
      <w:r w:rsidR="00777EE1" w:rsidRPr="00EE20C5">
        <w:rPr>
          <w:szCs w:val="22"/>
        </w:rPr>
        <w:t xml:space="preserve">d </w:t>
      </w:r>
      <w:r w:rsidR="002F1998" w:rsidRPr="00EE20C5">
        <w:rPr>
          <w:szCs w:val="22"/>
        </w:rPr>
        <w:t xml:space="preserve">on </w:t>
      </w:r>
      <w:r w:rsidR="004D6E26" w:rsidRPr="00EE20C5">
        <w:rPr>
          <w:szCs w:val="22"/>
        </w:rPr>
        <w:t>8 October 2021</w:t>
      </w:r>
      <w:r w:rsidRPr="00EE20C5">
        <w:rPr>
          <w:szCs w:val="22"/>
        </w:rPr>
        <w:t xml:space="preserve">. </w:t>
      </w:r>
    </w:p>
    <w:p w14:paraId="3C7DB7EA" w14:textId="1D7D2919" w:rsidR="002611A1" w:rsidRPr="00EE20C5" w:rsidRDefault="002611A1" w:rsidP="001E51FE">
      <w:pPr>
        <w:pStyle w:val="Sectiontext"/>
        <w:tabs>
          <w:tab w:val="left" w:pos="7380"/>
        </w:tabs>
      </w:pPr>
    </w:p>
    <w:p w14:paraId="37B46281" w14:textId="77777777" w:rsidR="00344422" w:rsidRPr="00EE20C5" w:rsidRDefault="00344422" w:rsidP="00731A9D">
      <w:pPr>
        <w:pStyle w:val="BlockText-Plain"/>
        <w:keepNext/>
        <w:keepLines/>
        <w:jc w:val="center"/>
        <w:rPr>
          <w:rFonts w:ascii="Times New Roman" w:hAnsi="Times New Roman"/>
          <w:snapToGrid w:val="0"/>
          <w:sz w:val="22"/>
          <w:szCs w:val="22"/>
        </w:rPr>
      </w:pPr>
      <w:r w:rsidRPr="00EE20C5">
        <w:rPr>
          <w:rFonts w:ascii="Times New Roman" w:hAnsi="Times New Roman"/>
          <w:b/>
          <w:sz w:val="22"/>
          <w:szCs w:val="22"/>
        </w:rPr>
        <w:lastRenderedPageBreak/>
        <w:t>Consultation</w:t>
      </w:r>
    </w:p>
    <w:p w14:paraId="4118040B" w14:textId="05D3C1E2" w:rsidR="00791025" w:rsidRPr="00EE20C5" w:rsidRDefault="00791025" w:rsidP="00731A9D">
      <w:pPr>
        <w:keepNext/>
        <w:keepLines/>
        <w:autoSpaceDE w:val="0"/>
        <w:autoSpaceDN w:val="0"/>
        <w:adjustRightInd w:val="0"/>
        <w:rPr>
          <w:snapToGrid w:val="0"/>
          <w:szCs w:val="22"/>
        </w:rPr>
      </w:pPr>
      <w:r w:rsidRPr="00EE20C5">
        <w:rPr>
          <w:rFonts w:eastAsia="NotDefSpecial"/>
          <w:szCs w:val="22"/>
        </w:rPr>
        <w:t xml:space="preserve">The Department of Veterans' Affairs </w:t>
      </w:r>
      <w:r w:rsidR="00D6208C" w:rsidRPr="00EE20C5">
        <w:rPr>
          <w:rFonts w:eastAsia="NotDefSpecial"/>
          <w:szCs w:val="22"/>
        </w:rPr>
        <w:t xml:space="preserve">was </w:t>
      </w:r>
      <w:r w:rsidRPr="00EE20C5">
        <w:rPr>
          <w:rFonts w:eastAsia="NotDefSpecial"/>
          <w:szCs w:val="22"/>
        </w:rPr>
        <w:t>consulted during the classification process. It is noted that decisions about the nature of service are subject to bipartisan consultation through Government and do not impact business or competition.</w:t>
      </w:r>
    </w:p>
    <w:p w14:paraId="515FEB71" w14:textId="77777777" w:rsidR="00791025" w:rsidRPr="00EE20C5" w:rsidRDefault="00791025" w:rsidP="00791025">
      <w:pPr>
        <w:autoSpaceDE w:val="0"/>
        <w:autoSpaceDN w:val="0"/>
        <w:adjustRightInd w:val="0"/>
        <w:rPr>
          <w:snapToGrid w:val="0"/>
          <w:szCs w:val="22"/>
        </w:rPr>
      </w:pPr>
    </w:p>
    <w:p w14:paraId="67D838E5" w14:textId="0B0E0468" w:rsidR="00791025" w:rsidRPr="00EE20C5" w:rsidRDefault="00791025" w:rsidP="00791025">
      <w:pPr>
        <w:autoSpaceDE w:val="0"/>
        <w:autoSpaceDN w:val="0"/>
        <w:adjustRightInd w:val="0"/>
        <w:rPr>
          <w:snapToGrid w:val="0"/>
          <w:szCs w:val="22"/>
        </w:rPr>
      </w:pPr>
      <w:r w:rsidRPr="00EE20C5">
        <w:rPr>
          <w:snapToGrid w:val="0"/>
          <w:szCs w:val="22"/>
        </w:rPr>
        <w:t>The rule</w:t>
      </w:r>
      <w:r w:rsidR="00BF78BE" w:rsidRPr="00EE20C5">
        <w:rPr>
          <w:snapToGrid w:val="0"/>
          <w:szCs w:val="22"/>
        </w:rPr>
        <w:t xml:space="preserve"> </w:t>
      </w:r>
      <w:r w:rsidRPr="00EE20C5">
        <w:rPr>
          <w:snapToGrid w:val="0"/>
          <w:szCs w:val="22"/>
        </w:rPr>
        <w:t>maker was satisfied that further external consultation was not required.</w:t>
      </w:r>
    </w:p>
    <w:p w14:paraId="6D0BAA24" w14:textId="77777777" w:rsidR="00791025" w:rsidRPr="00EE20C5" w:rsidRDefault="00791025" w:rsidP="00791025">
      <w:pPr>
        <w:autoSpaceDE w:val="0"/>
        <w:autoSpaceDN w:val="0"/>
        <w:adjustRightInd w:val="0"/>
        <w:rPr>
          <w:snapToGrid w:val="0"/>
          <w:szCs w:val="22"/>
        </w:rPr>
      </w:pPr>
    </w:p>
    <w:p w14:paraId="738B1811" w14:textId="77777777" w:rsidR="00791025" w:rsidRPr="00EE20C5" w:rsidRDefault="00791025" w:rsidP="00791025">
      <w:pPr>
        <w:pStyle w:val="BlockText-Plain"/>
        <w:rPr>
          <w:rFonts w:ascii="Times New Roman" w:hAnsi="Times New Roman"/>
          <w:sz w:val="22"/>
          <w:szCs w:val="22"/>
        </w:rPr>
      </w:pPr>
    </w:p>
    <w:p w14:paraId="3A274115" w14:textId="77777777" w:rsidR="00791025" w:rsidRPr="00EE20C5" w:rsidRDefault="00791025" w:rsidP="00791025">
      <w:pPr>
        <w:pStyle w:val="BlockText-Plain"/>
        <w:spacing w:after="0"/>
        <w:jc w:val="right"/>
        <w:rPr>
          <w:rFonts w:ascii="Times New Roman" w:eastAsia="NotDefSpecial" w:hAnsi="Times New Roman"/>
          <w:i/>
          <w:sz w:val="22"/>
          <w:szCs w:val="22"/>
        </w:rPr>
      </w:pPr>
      <w:r w:rsidRPr="00EE20C5">
        <w:rPr>
          <w:rFonts w:ascii="Times New Roman" w:hAnsi="Times New Roman"/>
          <w:b/>
          <w:sz w:val="22"/>
          <w:szCs w:val="22"/>
        </w:rPr>
        <w:t>Authority:</w:t>
      </w:r>
      <w:r w:rsidRPr="00EE20C5">
        <w:rPr>
          <w:rFonts w:ascii="Times New Roman" w:hAnsi="Times New Roman"/>
          <w:sz w:val="22"/>
          <w:szCs w:val="22"/>
        </w:rPr>
        <w:t xml:space="preserve">  </w:t>
      </w:r>
      <w:r w:rsidRPr="00EE20C5">
        <w:rPr>
          <w:rFonts w:ascii="Times New Roman" w:eastAsia="NotDefSpecial" w:hAnsi="Times New Roman"/>
          <w:sz w:val="22"/>
          <w:szCs w:val="22"/>
        </w:rPr>
        <w:t xml:space="preserve">Paragraph 6(1)(a) of the </w:t>
      </w:r>
      <w:r w:rsidRPr="00EE20C5">
        <w:rPr>
          <w:rFonts w:ascii="Times New Roman" w:eastAsia="NotDefSpecial" w:hAnsi="Times New Roman"/>
          <w:sz w:val="22"/>
          <w:szCs w:val="22"/>
        </w:rPr>
        <w:br/>
      </w:r>
      <w:r w:rsidRPr="00EE20C5">
        <w:rPr>
          <w:rFonts w:ascii="Times New Roman" w:eastAsia="NotDefSpecial" w:hAnsi="Times New Roman"/>
          <w:i/>
          <w:sz w:val="22"/>
          <w:szCs w:val="22"/>
        </w:rPr>
        <w:t xml:space="preserve">Military Rehabilitation and </w:t>
      </w:r>
    </w:p>
    <w:p w14:paraId="2831585B" w14:textId="2B7FFE87" w:rsidR="001E51FE" w:rsidRDefault="00C4123D" w:rsidP="00C4123D">
      <w:pPr>
        <w:pStyle w:val="BlockText-Plain"/>
        <w:spacing w:after="0"/>
        <w:jc w:val="right"/>
        <w:rPr>
          <w:rFonts w:ascii="Times New Roman" w:eastAsia="NotDefSpecial" w:hAnsi="Times New Roman"/>
          <w:i/>
          <w:sz w:val="22"/>
          <w:szCs w:val="22"/>
        </w:rPr>
      </w:pPr>
      <w:r w:rsidRPr="00EE20C5">
        <w:rPr>
          <w:rFonts w:ascii="Times New Roman" w:eastAsia="NotDefSpecial" w:hAnsi="Times New Roman"/>
          <w:i/>
          <w:sz w:val="22"/>
          <w:szCs w:val="22"/>
        </w:rPr>
        <w:t>Compensation Act 2004</w:t>
      </w:r>
    </w:p>
    <w:sectPr w:rsidR="001E51FE" w:rsidSect="008417DF">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C74D1" w14:textId="77777777" w:rsidR="00363F97" w:rsidRDefault="00363F97" w:rsidP="0048364F">
      <w:pPr>
        <w:spacing w:line="240" w:lineRule="auto"/>
      </w:pPr>
      <w:r>
        <w:separator/>
      </w:r>
    </w:p>
  </w:endnote>
  <w:endnote w:type="continuationSeparator" w:id="0">
    <w:p w14:paraId="1A11F9C6" w14:textId="77777777" w:rsidR="00363F97" w:rsidRDefault="00363F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8B2F1" w14:textId="77777777" w:rsidR="00363F97" w:rsidRDefault="00363F97" w:rsidP="0048364F">
      <w:pPr>
        <w:spacing w:line="240" w:lineRule="auto"/>
      </w:pPr>
      <w:r>
        <w:separator/>
      </w:r>
    </w:p>
  </w:footnote>
  <w:footnote w:type="continuationSeparator" w:id="0">
    <w:p w14:paraId="50731525" w14:textId="77777777" w:rsidR="00363F97" w:rsidRDefault="00363F97"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E4C1E"/>
    <w:multiLevelType w:val="hybridMultilevel"/>
    <w:tmpl w:val="CE70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4C6A"/>
    <w:rsid w:val="000A7DF9"/>
    <w:rsid w:val="000B7DE9"/>
    <w:rsid w:val="000C696D"/>
    <w:rsid w:val="000C69F6"/>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26E23"/>
    <w:rsid w:val="002302EA"/>
    <w:rsid w:val="00237614"/>
    <w:rsid w:val="00240749"/>
    <w:rsid w:val="00242434"/>
    <w:rsid w:val="002468D7"/>
    <w:rsid w:val="00247E97"/>
    <w:rsid w:val="002544E6"/>
    <w:rsid w:val="00254659"/>
    <w:rsid w:val="00256C81"/>
    <w:rsid w:val="002611A1"/>
    <w:rsid w:val="00285CDD"/>
    <w:rsid w:val="00291167"/>
    <w:rsid w:val="0029489E"/>
    <w:rsid w:val="00297ECB"/>
    <w:rsid w:val="002A3EC7"/>
    <w:rsid w:val="002B1B7A"/>
    <w:rsid w:val="002B7648"/>
    <w:rsid w:val="002C152A"/>
    <w:rsid w:val="002C71AE"/>
    <w:rsid w:val="002D043A"/>
    <w:rsid w:val="002F1998"/>
    <w:rsid w:val="0031713F"/>
    <w:rsid w:val="003222D1"/>
    <w:rsid w:val="00326E7A"/>
    <w:rsid w:val="0032750F"/>
    <w:rsid w:val="00341092"/>
    <w:rsid w:val="003415D3"/>
    <w:rsid w:val="003442F6"/>
    <w:rsid w:val="00344422"/>
    <w:rsid w:val="00346335"/>
    <w:rsid w:val="00352B0F"/>
    <w:rsid w:val="003561B0"/>
    <w:rsid w:val="00363F97"/>
    <w:rsid w:val="00386951"/>
    <w:rsid w:val="00391E6B"/>
    <w:rsid w:val="00397893"/>
    <w:rsid w:val="003A15AC"/>
    <w:rsid w:val="003B0627"/>
    <w:rsid w:val="003C1E8B"/>
    <w:rsid w:val="003C5F2B"/>
    <w:rsid w:val="003C7D35"/>
    <w:rsid w:val="003D0BFE"/>
    <w:rsid w:val="003D5700"/>
    <w:rsid w:val="003D6A42"/>
    <w:rsid w:val="003F506B"/>
    <w:rsid w:val="003F6F52"/>
    <w:rsid w:val="004022CA"/>
    <w:rsid w:val="004116CD"/>
    <w:rsid w:val="00414ADE"/>
    <w:rsid w:val="00424CA9"/>
    <w:rsid w:val="004257BB"/>
    <w:rsid w:val="0044291A"/>
    <w:rsid w:val="00456BBF"/>
    <w:rsid w:val="004600B0"/>
    <w:rsid w:val="00460499"/>
    <w:rsid w:val="00460FBA"/>
    <w:rsid w:val="00474835"/>
    <w:rsid w:val="004812EE"/>
    <w:rsid w:val="004819C7"/>
    <w:rsid w:val="0048364F"/>
    <w:rsid w:val="004877FC"/>
    <w:rsid w:val="00490F2E"/>
    <w:rsid w:val="00494183"/>
    <w:rsid w:val="00496F97"/>
    <w:rsid w:val="004A53EA"/>
    <w:rsid w:val="004B35E7"/>
    <w:rsid w:val="004C5A5D"/>
    <w:rsid w:val="004D6E26"/>
    <w:rsid w:val="004F1FAC"/>
    <w:rsid w:val="004F676E"/>
    <w:rsid w:val="004F71C0"/>
    <w:rsid w:val="0050309F"/>
    <w:rsid w:val="00506A01"/>
    <w:rsid w:val="00514FAE"/>
    <w:rsid w:val="00516B8D"/>
    <w:rsid w:val="00516D3D"/>
    <w:rsid w:val="0052756C"/>
    <w:rsid w:val="00530230"/>
    <w:rsid w:val="00530CC9"/>
    <w:rsid w:val="00531B46"/>
    <w:rsid w:val="00537FBC"/>
    <w:rsid w:val="00541D73"/>
    <w:rsid w:val="00543469"/>
    <w:rsid w:val="00546FA3"/>
    <w:rsid w:val="00550A04"/>
    <w:rsid w:val="00557413"/>
    <w:rsid w:val="00557C7A"/>
    <w:rsid w:val="00562A58"/>
    <w:rsid w:val="0056541A"/>
    <w:rsid w:val="005803CD"/>
    <w:rsid w:val="00581211"/>
    <w:rsid w:val="00584811"/>
    <w:rsid w:val="00593AA6"/>
    <w:rsid w:val="00594161"/>
    <w:rsid w:val="00594749"/>
    <w:rsid w:val="00594956"/>
    <w:rsid w:val="005A579D"/>
    <w:rsid w:val="005B1555"/>
    <w:rsid w:val="005B4067"/>
    <w:rsid w:val="005C3F41"/>
    <w:rsid w:val="005C4460"/>
    <w:rsid w:val="005C4EF0"/>
    <w:rsid w:val="005D1A20"/>
    <w:rsid w:val="005D5EA1"/>
    <w:rsid w:val="005E098C"/>
    <w:rsid w:val="005E1F8D"/>
    <w:rsid w:val="005E2BD6"/>
    <w:rsid w:val="005E317F"/>
    <w:rsid w:val="005E61D3"/>
    <w:rsid w:val="00600219"/>
    <w:rsid w:val="00600322"/>
    <w:rsid w:val="006065DA"/>
    <w:rsid w:val="00606AA4"/>
    <w:rsid w:val="0061058B"/>
    <w:rsid w:val="00640402"/>
    <w:rsid w:val="00640F78"/>
    <w:rsid w:val="006455C6"/>
    <w:rsid w:val="00655D6A"/>
    <w:rsid w:val="00656DE9"/>
    <w:rsid w:val="00672876"/>
    <w:rsid w:val="0067717E"/>
    <w:rsid w:val="00677CC2"/>
    <w:rsid w:val="00682091"/>
    <w:rsid w:val="00685F42"/>
    <w:rsid w:val="0069207B"/>
    <w:rsid w:val="00697CB2"/>
    <w:rsid w:val="006A297B"/>
    <w:rsid w:val="006A304E"/>
    <w:rsid w:val="006B7006"/>
    <w:rsid w:val="006C7F8C"/>
    <w:rsid w:val="006D6784"/>
    <w:rsid w:val="006D7AB9"/>
    <w:rsid w:val="00700B2C"/>
    <w:rsid w:val="00713084"/>
    <w:rsid w:val="00717463"/>
    <w:rsid w:val="00720FC2"/>
    <w:rsid w:val="00722E89"/>
    <w:rsid w:val="00731A9D"/>
    <w:rsid w:val="00731E00"/>
    <w:rsid w:val="007339C7"/>
    <w:rsid w:val="007440B7"/>
    <w:rsid w:val="00747993"/>
    <w:rsid w:val="007634AD"/>
    <w:rsid w:val="007715C9"/>
    <w:rsid w:val="00774EDD"/>
    <w:rsid w:val="007757EC"/>
    <w:rsid w:val="00777EE1"/>
    <w:rsid w:val="00791025"/>
    <w:rsid w:val="007952E9"/>
    <w:rsid w:val="007978B4"/>
    <w:rsid w:val="007A6863"/>
    <w:rsid w:val="007B7E65"/>
    <w:rsid w:val="007C78B4"/>
    <w:rsid w:val="007D3191"/>
    <w:rsid w:val="007D31F6"/>
    <w:rsid w:val="007E0853"/>
    <w:rsid w:val="007E32B6"/>
    <w:rsid w:val="007E3976"/>
    <w:rsid w:val="007E486B"/>
    <w:rsid w:val="007E7D4A"/>
    <w:rsid w:val="007F48ED"/>
    <w:rsid w:val="007F5E3F"/>
    <w:rsid w:val="00812F45"/>
    <w:rsid w:val="00813FBF"/>
    <w:rsid w:val="00836FE9"/>
    <w:rsid w:val="0084172C"/>
    <w:rsid w:val="008417DF"/>
    <w:rsid w:val="0085175E"/>
    <w:rsid w:val="00856A31"/>
    <w:rsid w:val="00864A66"/>
    <w:rsid w:val="008754D0"/>
    <w:rsid w:val="00877C69"/>
    <w:rsid w:val="00877D48"/>
    <w:rsid w:val="0088345B"/>
    <w:rsid w:val="0089386B"/>
    <w:rsid w:val="008A16A5"/>
    <w:rsid w:val="008A5C57"/>
    <w:rsid w:val="008C0629"/>
    <w:rsid w:val="008C6FF0"/>
    <w:rsid w:val="008D0EE0"/>
    <w:rsid w:val="008D71F6"/>
    <w:rsid w:val="008D7A27"/>
    <w:rsid w:val="008E4702"/>
    <w:rsid w:val="008E69AA"/>
    <w:rsid w:val="008F4F1C"/>
    <w:rsid w:val="009069AD"/>
    <w:rsid w:val="00910E64"/>
    <w:rsid w:val="00922764"/>
    <w:rsid w:val="009278C1"/>
    <w:rsid w:val="00932377"/>
    <w:rsid w:val="009346E3"/>
    <w:rsid w:val="00943331"/>
    <w:rsid w:val="0094523D"/>
    <w:rsid w:val="00976A63"/>
    <w:rsid w:val="00991733"/>
    <w:rsid w:val="0099475A"/>
    <w:rsid w:val="009A6866"/>
    <w:rsid w:val="009A6B51"/>
    <w:rsid w:val="009B2490"/>
    <w:rsid w:val="009B50E5"/>
    <w:rsid w:val="009C3431"/>
    <w:rsid w:val="009C4F7A"/>
    <w:rsid w:val="009C5989"/>
    <w:rsid w:val="009C6A32"/>
    <w:rsid w:val="009D08DA"/>
    <w:rsid w:val="009D6252"/>
    <w:rsid w:val="009F1229"/>
    <w:rsid w:val="009F1E73"/>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761B8"/>
    <w:rsid w:val="00A9231A"/>
    <w:rsid w:val="00A93CFA"/>
    <w:rsid w:val="00A95BC7"/>
    <w:rsid w:val="00AA0343"/>
    <w:rsid w:val="00AA55B8"/>
    <w:rsid w:val="00AA78CE"/>
    <w:rsid w:val="00AA7B26"/>
    <w:rsid w:val="00AB6C08"/>
    <w:rsid w:val="00AC2FCE"/>
    <w:rsid w:val="00AC767C"/>
    <w:rsid w:val="00AD3467"/>
    <w:rsid w:val="00AD3ECF"/>
    <w:rsid w:val="00AD5641"/>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5330"/>
    <w:rsid w:val="00B770D2"/>
    <w:rsid w:val="00B93516"/>
    <w:rsid w:val="00B96776"/>
    <w:rsid w:val="00B973E5"/>
    <w:rsid w:val="00BA0F45"/>
    <w:rsid w:val="00BA47A3"/>
    <w:rsid w:val="00BA5026"/>
    <w:rsid w:val="00BA7772"/>
    <w:rsid w:val="00BA7B5B"/>
    <w:rsid w:val="00BB6E79"/>
    <w:rsid w:val="00BC00AA"/>
    <w:rsid w:val="00BC032D"/>
    <w:rsid w:val="00BE42C5"/>
    <w:rsid w:val="00BE719A"/>
    <w:rsid w:val="00BE720A"/>
    <w:rsid w:val="00BF0723"/>
    <w:rsid w:val="00BF646D"/>
    <w:rsid w:val="00BF6650"/>
    <w:rsid w:val="00BF78BE"/>
    <w:rsid w:val="00C067E5"/>
    <w:rsid w:val="00C164CA"/>
    <w:rsid w:val="00C26051"/>
    <w:rsid w:val="00C30151"/>
    <w:rsid w:val="00C4123D"/>
    <w:rsid w:val="00C42BF8"/>
    <w:rsid w:val="00C452AE"/>
    <w:rsid w:val="00C460AE"/>
    <w:rsid w:val="00C50043"/>
    <w:rsid w:val="00C5015F"/>
    <w:rsid w:val="00C50A0F"/>
    <w:rsid w:val="00C50F4A"/>
    <w:rsid w:val="00C659DA"/>
    <w:rsid w:val="00C65C1A"/>
    <w:rsid w:val="00C72D10"/>
    <w:rsid w:val="00C7573B"/>
    <w:rsid w:val="00C76CF3"/>
    <w:rsid w:val="00C93205"/>
    <w:rsid w:val="00C945DC"/>
    <w:rsid w:val="00CA1FD6"/>
    <w:rsid w:val="00CA7844"/>
    <w:rsid w:val="00CB5822"/>
    <w:rsid w:val="00CB58EF"/>
    <w:rsid w:val="00CC3872"/>
    <w:rsid w:val="00CE0A93"/>
    <w:rsid w:val="00CF0BB2"/>
    <w:rsid w:val="00D12B0D"/>
    <w:rsid w:val="00D13441"/>
    <w:rsid w:val="00D15A4D"/>
    <w:rsid w:val="00D243A3"/>
    <w:rsid w:val="00D31BF2"/>
    <w:rsid w:val="00D33440"/>
    <w:rsid w:val="00D52EFE"/>
    <w:rsid w:val="00D55AEE"/>
    <w:rsid w:val="00D567A2"/>
    <w:rsid w:val="00D56A0D"/>
    <w:rsid w:val="00D6208C"/>
    <w:rsid w:val="00D63EF6"/>
    <w:rsid w:val="00D66518"/>
    <w:rsid w:val="00D70DFB"/>
    <w:rsid w:val="00D71EEA"/>
    <w:rsid w:val="00D735CD"/>
    <w:rsid w:val="00D766DF"/>
    <w:rsid w:val="00D84477"/>
    <w:rsid w:val="00D90841"/>
    <w:rsid w:val="00D94896"/>
    <w:rsid w:val="00D954D8"/>
    <w:rsid w:val="00DA2439"/>
    <w:rsid w:val="00DA6F05"/>
    <w:rsid w:val="00DB64FC"/>
    <w:rsid w:val="00DE149E"/>
    <w:rsid w:val="00DF0857"/>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20C5"/>
    <w:rsid w:val="00EE3FFE"/>
    <w:rsid w:val="00EE57E8"/>
    <w:rsid w:val="00EE6190"/>
    <w:rsid w:val="00EF2E3A"/>
    <w:rsid w:val="00EF574E"/>
    <w:rsid w:val="00EF6402"/>
    <w:rsid w:val="00F047E2"/>
    <w:rsid w:val="00F04D57"/>
    <w:rsid w:val="00F078DC"/>
    <w:rsid w:val="00F13E86"/>
    <w:rsid w:val="00F20B52"/>
    <w:rsid w:val="00F21C21"/>
    <w:rsid w:val="00F32FCB"/>
    <w:rsid w:val="00F33523"/>
    <w:rsid w:val="00F677A9"/>
    <w:rsid w:val="00F8121C"/>
    <w:rsid w:val="00F84CF5"/>
    <w:rsid w:val="00F8612E"/>
    <w:rsid w:val="00F94583"/>
    <w:rsid w:val="00FA083A"/>
    <w:rsid w:val="00FA420B"/>
    <w:rsid w:val="00FB6AEE"/>
    <w:rsid w:val="00FC3EAC"/>
    <w:rsid w:val="00FF39DE"/>
    <w:rsid w:val="477FADA2"/>
    <w:rsid w:val="6A3AF112"/>
    <w:rsid w:val="7BDC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Chapter Title"/>
    <w:basedOn w:val="Normal"/>
    <w:next w:val="Normal"/>
    <w:link w:val="Heading2Char"/>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Chapter Title Char"/>
    <w:basedOn w:val="DefaultParagraphFont"/>
    <w:link w:val="Heading2"/>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1982">
      <w:bodyDiv w:val="1"/>
      <w:marLeft w:val="0"/>
      <w:marRight w:val="0"/>
      <w:marTop w:val="0"/>
      <w:marBottom w:val="0"/>
      <w:divBdr>
        <w:top w:val="none" w:sz="0" w:space="0" w:color="auto"/>
        <w:left w:val="none" w:sz="0" w:space="0" w:color="auto"/>
        <w:bottom w:val="none" w:sz="0" w:space="0" w:color="auto"/>
        <w:right w:val="none" w:sz="0" w:space="0" w:color="auto"/>
      </w:divBdr>
    </w:div>
    <w:div w:id="636649123">
      <w:bodyDiv w:val="1"/>
      <w:marLeft w:val="0"/>
      <w:marRight w:val="0"/>
      <w:marTop w:val="0"/>
      <w:marBottom w:val="0"/>
      <w:divBdr>
        <w:top w:val="none" w:sz="0" w:space="0" w:color="auto"/>
        <w:left w:val="none" w:sz="0" w:space="0" w:color="auto"/>
        <w:bottom w:val="none" w:sz="0" w:space="0" w:color="auto"/>
        <w:right w:val="none" w:sz="0" w:space="0" w:color="auto"/>
      </w:divBdr>
      <w:divsChild>
        <w:div w:id="913469919">
          <w:marLeft w:val="0"/>
          <w:marRight w:val="0"/>
          <w:marTop w:val="0"/>
          <w:marBottom w:val="0"/>
          <w:divBdr>
            <w:top w:val="none" w:sz="0" w:space="0" w:color="auto"/>
            <w:left w:val="none" w:sz="0" w:space="0" w:color="auto"/>
            <w:bottom w:val="none" w:sz="0" w:space="0" w:color="auto"/>
            <w:right w:val="none" w:sz="0" w:space="0" w:color="auto"/>
          </w:divBdr>
          <w:divsChild>
            <w:div w:id="7312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86">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1" ma:contentTypeDescription="Create a new document." ma:contentTypeScope="" ma:versionID="165fd64d009b3ae48f4b4843272a48b3">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5e33de0c51759ecdab7b19a4e611574d"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5FB3-DABE-450E-A097-3503F6878D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DC5A3-6587-4DF7-BB3F-B4B30F9412E2}">
  <ds:schemaRefs>
    <ds:schemaRef ds:uri="http://schemas.microsoft.com/sharepoint/v3/contenttype/forms"/>
  </ds:schemaRefs>
</ds:datastoreItem>
</file>

<file path=customXml/itemProps3.xml><?xml version="1.0" encoding="utf-8"?>
<ds:datastoreItem xmlns:ds="http://schemas.openxmlformats.org/officeDocument/2006/customXml" ds:itemID="{799989F5-0757-4AA5-9335-7B071CF3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328DB-F94A-4FA5-9650-046C8773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242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Wilks, David MR</cp:lastModifiedBy>
  <cp:revision>24</cp:revision>
  <cp:lastPrinted>2019-05-12T23:26:00Z</cp:lastPrinted>
  <dcterms:created xsi:type="dcterms:W3CDTF">2021-03-01T22:47:00Z</dcterms:created>
  <dcterms:modified xsi:type="dcterms:W3CDTF">2022-03-31T23:27:00Z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BN42535376</vt:lpwstr>
  </property>
  <property fmtid="{D5CDD505-2E9C-101B-9397-08002B2CF9AE}" pid="4" name="Objective-Title">
    <vt:lpwstr>2021_1 Op Highroad MRCA amendment - ES</vt:lpwstr>
  </property>
  <property fmtid="{D5CDD505-2E9C-101B-9397-08002B2CF9AE}" pid="5" name="Objective-Comment">
    <vt:lpwstr/>
  </property>
  <property fmtid="{D5CDD505-2E9C-101B-9397-08002B2CF9AE}" pid="6" name="Objective-CreationStamp">
    <vt:filetime>2022-02-09T03:37:52Z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2022-02-13T23:27:58Z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MRCA Op Highroad documents</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