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B61CF" w14:textId="059FF4E6" w:rsidR="00A419EA" w:rsidRDefault="00ED081D" w:rsidP="001A7C14">
      <w:pPr>
        <w:autoSpaceDE w:val="0"/>
        <w:autoSpaceDN w:val="0"/>
        <w:adjustRightInd w:val="0"/>
        <w:spacing w:after="0"/>
        <w:jc w:val="center"/>
        <w:rPr>
          <w:rFonts w:ascii="Times New Roman" w:eastAsia="Times New Roman" w:hAnsi="Times New Roman" w:cs="Times New Roman"/>
          <w:b/>
          <w:bCs/>
          <w:sz w:val="24"/>
          <w:szCs w:val="24"/>
          <w:u w:val="single"/>
          <w:lang w:eastAsia="en-AU"/>
        </w:rPr>
      </w:pPr>
      <w:r>
        <w:rPr>
          <w:rFonts w:ascii="Times New Roman" w:eastAsia="Times New Roman" w:hAnsi="Times New Roman" w:cs="Times New Roman"/>
          <w:b/>
          <w:bCs/>
          <w:sz w:val="24"/>
          <w:szCs w:val="24"/>
          <w:u w:val="single"/>
          <w:lang w:eastAsia="en-AU"/>
        </w:rPr>
        <w:t>E</w:t>
      </w:r>
      <w:r w:rsidR="00A419EA" w:rsidRPr="00A419EA">
        <w:rPr>
          <w:rFonts w:ascii="Times New Roman" w:eastAsia="Times New Roman" w:hAnsi="Times New Roman" w:cs="Times New Roman"/>
          <w:b/>
          <w:bCs/>
          <w:sz w:val="24"/>
          <w:szCs w:val="24"/>
          <w:u w:val="single"/>
          <w:lang w:eastAsia="en-AU"/>
        </w:rPr>
        <w:t>XPLANATORY STATEMENT</w:t>
      </w:r>
    </w:p>
    <w:p w14:paraId="6482C0DE" w14:textId="77777777" w:rsidR="00AD562B" w:rsidRDefault="00AD562B" w:rsidP="001A7C14">
      <w:pPr>
        <w:autoSpaceDE w:val="0"/>
        <w:autoSpaceDN w:val="0"/>
        <w:adjustRightInd w:val="0"/>
        <w:spacing w:after="0" w:line="240" w:lineRule="auto"/>
        <w:jc w:val="center"/>
        <w:rPr>
          <w:rFonts w:ascii="Times New Roman" w:eastAsia="Times New Roman" w:hAnsi="Times New Roman" w:cs="Times New Roman"/>
          <w:b/>
          <w:bCs/>
          <w:sz w:val="24"/>
          <w:szCs w:val="24"/>
          <w:u w:val="single"/>
          <w:lang w:eastAsia="en-AU"/>
        </w:rPr>
      </w:pPr>
    </w:p>
    <w:p w14:paraId="7A143476" w14:textId="228C7309" w:rsidR="00B60F0C" w:rsidRDefault="00B60F0C" w:rsidP="001A7C14">
      <w:pPr>
        <w:autoSpaceDE w:val="0"/>
        <w:autoSpaceDN w:val="0"/>
        <w:adjustRightInd w:val="0"/>
        <w:spacing w:after="0"/>
        <w:jc w:val="center"/>
        <w:rPr>
          <w:rFonts w:ascii="Times New Roman" w:hAnsi="Times New Roman"/>
          <w:bCs/>
          <w:i/>
          <w:iCs/>
          <w:szCs w:val="24"/>
        </w:rPr>
      </w:pPr>
      <w:r w:rsidRPr="00625284">
        <w:rPr>
          <w:rFonts w:ascii="Times New Roman" w:hAnsi="Times New Roman"/>
          <w:bCs/>
          <w:i/>
          <w:iCs/>
          <w:szCs w:val="24"/>
        </w:rPr>
        <w:t>Therapeutic Goods Act 1989</w:t>
      </w:r>
    </w:p>
    <w:p w14:paraId="0125EA61" w14:textId="77777777" w:rsidR="00AD562B" w:rsidRPr="00625284" w:rsidRDefault="00AD562B" w:rsidP="001A7C14">
      <w:pPr>
        <w:autoSpaceDE w:val="0"/>
        <w:autoSpaceDN w:val="0"/>
        <w:adjustRightInd w:val="0"/>
        <w:spacing w:after="0" w:line="240" w:lineRule="auto"/>
        <w:jc w:val="center"/>
        <w:rPr>
          <w:rFonts w:ascii="Times New Roman" w:hAnsi="Times New Roman"/>
          <w:bCs/>
          <w:i/>
          <w:iCs/>
          <w:szCs w:val="24"/>
        </w:rPr>
      </w:pPr>
    </w:p>
    <w:p w14:paraId="742D9337" w14:textId="709BE2EF" w:rsidR="00EF1F18" w:rsidRDefault="00EF1F18" w:rsidP="001A7C14">
      <w:pPr>
        <w:autoSpaceDE w:val="0"/>
        <w:autoSpaceDN w:val="0"/>
        <w:adjustRightInd w:val="0"/>
        <w:spacing w:after="0" w:line="240" w:lineRule="auto"/>
        <w:jc w:val="center"/>
        <w:rPr>
          <w:rFonts w:ascii="Times New Roman" w:eastAsia="Times New Roman" w:hAnsi="Times New Roman" w:cs="Times New Roman"/>
          <w:bCs/>
          <w:i/>
          <w:sz w:val="24"/>
          <w:szCs w:val="24"/>
          <w:lang w:eastAsia="en-AU"/>
        </w:rPr>
      </w:pPr>
      <w:r w:rsidRPr="008727AB">
        <w:rPr>
          <w:rFonts w:ascii="Times New Roman" w:eastAsia="Times New Roman" w:hAnsi="Times New Roman" w:cs="Times New Roman"/>
          <w:bCs/>
          <w:i/>
          <w:sz w:val="24"/>
          <w:szCs w:val="24"/>
          <w:lang w:eastAsia="en-AU"/>
        </w:rPr>
        <w:t>Therapeutic Goods</w:t>
      </w:r>
      <w:r w:rsidR="008727AB" w:rsidRPr="008727AB">
        <w:rPr>
          <w:rFonts w:ascii="Times New Roman" w:eastAsia="Times New Roman" w:hAnsi="Times New Roman" w:cs="Times New Roman"/>
          <w:bCs/>
          <w:i/>
          <w:sz w:val="24"/>
          <w:szCs w:val="24"/>
          <w:lang w:eastAsia="en-AU"/>
        </w:rPr>
        <w:t xml:space="preserve"> </w:t>
      </w:r>
      <w:r w:rsidRPr="008727AB">
        <w:rPr>
          <w:rFonts w:ascii="Times New Roman" w:eastAsia="Times New Roman" w:hAnsi="Times New Roman" w:cs="Times New Roman"/>
          <w:bCs/>
          <w:i/>
          <w:sz w:val="24"/>
          <w:szCs w:val="24"/>
          <w:lang w:eastAsia="en-AU"/>
        </w:rPr>
        <w:t>(Permissible Ingredients) Determination </w:t>
      </w:r>
      <w:r w:rsidR="00045C71">
        <w:rPr>
          <w:rFonts w:ascii="Times New Roman" w:eastAsia="Times New Roman" w:hAnsi="Times New Roman" w:cs="Times New Roman"/>
          <w:bCs/>
          <w:i/>
          <w:sz w:val="24"/>
          <w:szCs w:val="24"/>
          <w:lang w:eastAsia="en-AU"/>
        </w:rPr>
        <w:t>(No.</w:t>
      </w:r>
      <w:r w:rsidR="00B60F0C">
        <w:rPr>
          <w:rFonts w:ascii="Times New Roman" w:eastAsia="Times New Roman" w:hAnsi="Times New Roman" w:cs="Times New Roman"/>
          <w:bCs/>
          <w:i/>
          <w:sz w:val="24"/>
          <w:szCs w:val="24"/>
          <w:lang w:eastAsia="en-AU"/>
        </w:rPr>
        <w:t xml:space="preserve"> </w:t>
      </w:r>
      <w:r w:rsidR="002C5563">
        <w:rPr>
          <w:rFonts w:ascii="Times New Roman" w:eastAsia="Times New Roman" w:hAnsi="Times New Roman" w:cs="Times New Roman"/>
          <w:bCs/>
          <w:i/>
          <w:sz w:val="24"/>
          <w:szCs w:val="24"/>
          <w:lang w:eastAsia="en-AU"/>
        </w:rPr>
        <w:t>3</w:t>
      </w:r>
      <w:r w:rsidR="00045C71">
        <w:rPr>
          <w:rFonts w:ascii="Times New Roman" w:eastAsia="Times New Roman" w:hAnsi="Times New Roman" w:cs="Times New Roman"/>
          <w:bCs/>
          <w:i/>
          <w:sz w:val="24"/>
          <w:szCs w:val="24"/>
          <w:lang w:eastAsia="en-AU"/>
        </w:rPr>
        <w:t xml:space="preserve">) </w:t>
      </w:r>
      <w:r w:rsidR="00685980" w:rsidRPr="008727AB">
        <w:rPr>
          <w:rFonts w:ascii="Times New Roman" w:eastAsia="Times New Roman" w:hAnsi="Times New Roman" w:cs="Times New Roman"/>
          <w:bCs/>
          <w:i/>
          <w:sz w:val="24"/>
          <w:szCs w:val="24"/>
          <w:lang w:eastAsia="en-AU"/>
        </w:rPr>
        <w:t>20</w:t>
      </w:r>
      <w:r w:rsidR="009A1C10">
        <w:rPr>
          <w:rFonts w:ascii="Times New Roman" w:eastAsia="Times New Roman" w:hAnsi="Times New Roman" w:cs="Times New Roman"/>
          <w:bCs/>
          <w:i/>
          <w:sz w:val="24"/>
          <w:szCs w:val="24"/>
          <w:lang w:eastAsia="en-AU"/>
        </w:rPr>
        <w:t>2</w:t>
      </w:r>
      <w:r w:rsidR="0050390C">
        <w:rPr>
          <w:rFonts w:ascii="Times New Roman" w:eastAsia="Times New Roman" w:hAnsi="Times New Roman" w:cs="Times New Roman"/>
          <w:bCs/>
          <w:i/>
          <w:sz w:val="24"/>
          <w:szCs w:val="24"/>
          <w:lang w:eastAsia="en-AU"/>
        </w:rPr>
        <w:t>2</w:t>
      </w:r>
    </w:p>
    <w:p w14:paraId="2685996F" w14:textId="77777777" w:rsidR="00AD562B" w:rsidRPr="008727AB" w:rsidRDefault="00AD562B" w:rsidP="001A7C14">
      <w:pPr>
        <w:autoSpaceDE w:val="0"/>
        <w:autoSpaceDN w:val="0"/>
        <w:adjustRightInd w:val="0"/>
        <w:spacing w:after="0" w:line="240" w:lineRule="auto"/>
        <w:jc w:val="center"/>
        <w:rPr>
          <w:rFonts w:ascii="Times New Roman" w:eastAsia="Times New Roman" w:hAnsi="Times New Roman" w:cs="Times New Roman"/>
          <w:bCs/>
          <w:i/>
          <w:sz w:val="24"/>
          <w:szCs w:val="24"/>
          <w:lang w:eastAsia="en-AU"/>
        </w:rPr>
      </w:pPr>
    </w:p>
    <w:p w14:paraId="1375AB08" w14:textId="2DD56D97"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Pr="008727AB">
        <w:rPr>
          <w:rFonts w:ascii="Times New Roman" w:eastAsia="Times New Roman" w:hAnsi="Times New Roman" w:cs="Times New Roman"/>
          <w:i/>
          <w:sz w:val="24"/>
          <w:szCs w:val="24"/>
          <w:lang w:eastAsia="en-AU"/>
        </w:rPr>
        <w:t>Therapeutic Goods Act 1989</w:t>
      </w:r>
      <w:r>
        <w:rPr>
          <w:rFonts w:ascii="Times New Roman" w:eastAsia="Times New Roman" w:hAnsi="Times New Roman" w:cs="Times New Roman"/>
          <w:sz w:val="24"/>
          <w:szCs w:val="24"/>
          <w:lang w:eastAsia="en-AU"/>
        </w:rPr>
        <w:t xml:space="preserve"> (“the Act”) provides for the establishment and maintenance of a national system of controls for the quality, safety, </w:t>
      </w:r>
      <w:proofErr w:type="gramStart"/>
      <w:r>
        <w:rPr>
          <w:rFonts w:ascii="Times New Roman" w:eastAsia="Times New Roman" w:hAnsi="Times New Roman" w:cs="Times New Roman"/>
          <w:sz w:val="24"/>
          <w:szCs w:val="24"/>
          <w:lang w:eastAsia="en-AU"/>
        </w:rPr>
        <w:t>efficacy</w:t>
      </w:r>
      <w:proofErr w:type="gramEnd"/>
      <w:r>
        <w:rPr>
          <w:rFonts w:ascii="Times New Roman" w:eastAsia="Times New Roman" w:hAnsi="Times New Roman" w:cs="Times New Roman"/>
          <w:sz w:val="24"/>
          <w:szCs w:val="24"/>
          <w:lang w:eastAsia="en-AU"/>
        </w:rPr>
        <w:t xml:space="preserve"> and timely availability of therapeutic goods that are used in, or exported from, Australia.  The Act is administered by the Therapeutic Goods Administration (“the </w:t>
      </w:r>
      <w:r w:rsidR="00B60F0C">
        <w:rPr>
          <w:rFonts w:ascii="Times New Roman" w:eastAsia="Times New Roman" w:hAnsi="Times New Roman" w:cs="Times New Roman"/>
          <w:sz w:val="24"/>
          <w:szCs w:val="24"/>
          <w:lang w:eastAsia="en-AU"/>
        </w:rPr>
        <w:t>TGA</w:t>
      </w:r>
      <w:r>
        <w:rPr>
          <w:rFonts w:ascii="Times New Roman" w:eastAsia="Times New Roman" w:hAnsi="Times New Roman" w:cs="Times New Roman"/>
          <w:sz w:val="24"/>
          <w:szCs w:val="24"/>
          <w:lang w:eastAsia="en-AU"/>
        </w:rPr>
        <w:t>”) within the Australian Government Department of Health.</w:t>
      </w:r>
    </w:p>
    <w:p w14:paraId="242F03BC" w14:textId="77777777"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p>
    <w:p w14:paraId="3AAF151F" w14:textId="71F7A082"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w:t>
      </w:r>
      <w:r w:rsidR="003034B3">
        <w:rPr>
          <w:rFonts w:ascii="Times New Roman" w:eastAsia="Times New Roman" w:hAnsi="Times New Roman" w:cs="Times New Roman"/>
          <w:sz w:val="24"/>
          <w:szCs w:val="24"/>
          <w:lang w:eastAsia="en-AU"/>
        </w:rPr>
        <w:t>ubs</w:t>
      </w:r>
      <w:r>
        <w:rPr>
          <w:rFonts w:ascii="Times New Roman" w:eastAsia="Times New Roman" w:hAnsi="Times New Roman" w:cs="Times New Roman"/>
          <w:sz w:val="24"/>
          <w:szCs w:val="24"/>
          <w:lang w:eastAsia="en-AU"/>
        </w:rPr>
        <w:t>ection 26</w:t>
      </w:r>
      <w:proofErr w:type="gramStart"/>
      <w:r>
        <w:rPr>
          <w:rFonts w:ascii="Times New Roman" w:eastAsia="Times New Roman" w:hAnsi="Times New Roman" w:cs="Times New Roman"/>
          <w:sz w:val="24"/>
          <w:szCs w:val="24"/>
          <w:lang w:eastAsia="en-AU"/>
        </w:rPr>
        <w:t>BB</w:t>
      </w:r>
      <w:r w:rsidR="003034B3">
        <w:rPr>
          <w:rFonts w:ascii="Times New Roman" w:eastAsia="Times New Roman" w:hAnsi="Times New Roman" w:cs="Times New Roman"/>
          <w:sz w:val="24"/>
          <w:szCs w:val="24"/>
          <w:lang w:eastAsia="en-AU"/>
        </w:rPr>
        <w:t>(</w:t>
      </w:r>
      <w:proofErr w:type="gramEnd"/>
      <w:r w:rsidR="003034B3">
        <w:rPr>
          <w:rFonts w:ascii="Times New Roman" w:eastAsia="Times New Roman" w:hAnsi="Times New Roman" w:cs="Times New Roman"/>
          <w:sz w:val="24"/>
          <w:szCs w:val="24"/>
          <w:lang w:eastAsia="en-AU"/>
        </w:rPr>
        <w:t>1)</w:t>
      </w:r>
      <w:r>
        <w:rPr>
          <w:rFonts w:ascii="Times New Roman" w:eastAsia="Times New Roman" w:hAnsi="Times New Roman" w:cs="Times New Roman"/>
          <w:sz w:val="24"/>
          <w:szCs w:val="24"/>
          <w:lang w:eastAsia="en-AU"/>
        </w:rPr>
        <w:t xml:space="preserve"> of the Act relevantly provides that the Minister may, by legislative instrument, make a determination </w:t>
      </w:r>
      <w:r w:rsidR="004E05C9">
        <w:rPr>
          <w:rFonts w:ascii="Times New Roman" w:eastAsia="Times New Roman" w:hAnsi="Times New Roman" w:cs="Times New Roman"/>
          <w:sz w:val="24"/>
          <w:szCs w:val="24"/>
          <w:lang w:eastAsia="en-AU"/>
        </w:rPr>
        <w:t>specifying ingredients and, for some or all of those ingredients, requirements in relation to those ingredients being contained in a medicine.  Under subsections 26</w:t>
      </w:r>
      <w:proofErr w:type="gramStart"/>
      <w:r w:rsidR="004E05C9">
        <w:rPr>
          <w:rFonts w:ascii="Times New Roman" w:eastAsia="Times New Roman" w:hAnsi="Times New Roman" w:cs="Times New Roman"/>
          <w:sz w:val="24"/>
          <w:szCs w:val="24"/>
          <w:lang w:eastAsia="en-AU"/>
        </w:rPr>
        <w:t>BB(</w:t>
      </w:r>
      <w:proofErr w:type="gramEnd"/>
      <w:r w:rsidR="004E05C9">
        <w:rPr>
          <w:rFonts w:ascii="Times New Roman" w:eastAsia="Times New Roman" w:hAnsi="Times New Roman" w:cs="Times New Roman"/>
          <w:sz w:val="24"/>
          <w:szCs w:val="24"/>
          <w:lang w:eastAsia="en-AU"/>
        </w:rPr>
        <w:t>2), (2A) and (3) of the Act, such requirements may relate to particular ingredients not being con</w:t>
      </w:r>
      <w:r w:rsidR="00226F3C">
        <w:rPr>
          <w:rFonts w:ascii="Times New Roman" w:eastAsia="Times New Roman" w:hAnsi="Times New Roman" w:cs="Times New Roman"/>
          <w:sz w:val="24"/>
          <w:szCs w:val="24"/>
          <w:lang w:eastAsia="en-AU"/>
        </w:rPr>
        <w:t xml:space="preserve">tained in particular medicines or </w:t>
      </w:r>
      <w:r w:rsidR="004E05C9">
        <w:rPr>
          <w:rFonts w:ascii="Times New Roman" w:eastAsia="Times New Roman" w:hAnsi="Times New Roman" w:cs="Times New Roman"/>
          <w:sz w:val="24"/>
          <w:szCs w:val="24"/>
          <w:lang w:eastAsia="en-AU"/>
        </w:rPr>
        <w:t>being contained in p</w:t>
      </w:r>
      <w:r w:rsidR="00226F3C">
        <w:rPr>
          <w:rFonts w:ascii="Times New Roman" w:eastAsia="Times New Roman" w:hAnsi="Times New Roman" w:cs="Times New Roman"/>
          <w:sz w:val="24"/>
          <w:szCs w:val="24"/>
          <w:lang w:eastAsia="en-AU"/>
        </w:rPr>
        <w:t xml:space="preserve">articular medicines only in specified </w:t>
      </w:r>
      <w:r w:rsidR="004E05C9">
        <w:rPr>
          <w:rFonts w:ascii="Times New Roman" w:eastAsia="Times New Roman" w:hAnsi="Times New Roman" w:cs="Times New Roman"/>
          <w:sz w:val="24"/>
          <w:szCs w:val="24"/>
          <w:lang w:eastAsia="en-AU"/>
        </w:rPr>
        <w:t>circumstances or to permitted concentrations or total amounts of an ingredient in a medicine.</w:t>
      </w:r>
    </w:p>
    <w:p w14:paraId="69CA0739" w14:textId="77777777" w:rsidR="004E05C9" w:rsidRDefault="004E05C9" w:rsidP="009A530B">
      <w:pPr>
        <w:autoSpaceDE w:val="0"/>
        <w:autoSpaceDN w:val="0"/>
        <w:adjustRightInd w:val="0"/>
        <w:spacing w:after="0"/>
        <w:rPr>
          <w:rFonts w:ascii="Times New Roman" w:eastAsia="Times New Roman" w:hAnsi="Times New Roman" w:cs="Times New Roman"/>
          <w:sz w:val="24"/>
          <w:szCs w:val="24"/>
          <w:lang w:eastAsia="en-AU"/>
        </w:rPr>
      </w:pPr>
    </w:p>
    <w:p w14:paraId="0684020F" w14:textId="77777777" w:rsidR="004E05C9" w:rsidRDefault="00226F3C"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L</w:t>
      </w:r>
      <w:r w:rsidR="004E05C9">
        <w:rPr>
          <w:rFonts w:ascii="Times New Roman" w:eastAsia="Times New Roman" w:hAnsi="Times New Roman" w:cs="Times New Roman"/>
          <w:sz w:val="24"/>
          <w:szCs w:val="24"/>
          <w:lang w:eastAsia="en-AU"/>
        </w:rPr>
        <w:t xml:space="preserve">egislative instruments made </w:t>
      </w:r>
      <w:r>
        <w:rPr>
          <w:rFonts w:ascii="Times New Roman" w:eastAsia="Times New Roman" w:hAnsi="Times New Roman" w:cs="Times New Roman"/>
          <w:sz w:val="24"/>
          <w:szCs w:val="24"/>
          <w:lang w:eastAsia="en-AU"/>
        </w:rPr>
        <w:t>under section 26BB of the Act are designed</w:t>
      </w:r>
      <w:r w:rsidR="004E05C9">
        <w:rPr>
          <w:rFonts w:ascii="Times New Roman" w:eastAsia="Times New Roman" w:hAnsi="Times New Roman" w:cs="Times New Roman"/>
          <w:sz w:val="24"/>
          <w:szCs w:val="24"/>
          <w:lang w:eastAsia="en-AU"/>
        </w:rPr>
        <w:t xml:space="preserve"> to specify those ingredients that may be contained in a medicine that is listed in the Australian Register of Therapeutic Goods (“the Register”) under section 26A or 26AE of the Act, and </w:t>
      </w:r>
      <w:r>
        <w:rPr>
          <w:rFonts w:ascii="Times New Roman" w:eastAsia="Times New Roman" w:hAnsi="Times New Roman" w:cs="Times New Roman"/>
          <w:sz w:val="24"/>
          <w:szCs w:val="24"/>
          <w:lang w:eastAsia="en-AU"/>
        </w:rPr>
        <w:t xml:space="preserve">to specify </w:t>
      </w:r>
      <w:r w:rsidR="004E05C9">
        <w:rPr>
          <w:rFonts w:ascii="Times New Roman" w:eastAsia="Times New Roman" w:hAnsi="Times New Roman" w:cs="Times New Roman"/>
          <w:sz w:val="24"/>
          <w:szCs w:val="24"/>
          <w:lang w:eastAsia="en-AU"/>
        </w:rPr>
        <w:t>requirements in relation to the inclusion of those ingredients in such medicines.</w:t>
      </w:r>
    </w:p>
    <w:p w14:paraId="114F9F97" w14:textId="77777777" w:rsidR="004E05C9" w:rsidRDefault="004E05C9" w:rsidP="009A530B">
      <w:pPr>
        <w:autoSpaceDE w:val="0"/>
        <w:autoSpaceDN w:val="0"/>
        <w:adjustRightInd w:val="0"/>
        <w:spacing w:after="0"/>
        <w:rPr>
          <w:rFonts w:ascii="Times New Roman" w:eastAsia="Times New Roman" w:hAnsi="Times New Roman" w:cs="Times New Roman"/>
          <w:sz w:val="24"/>
          <w:szCs w:val="24"/>
          <w:lang w:eastAsia="en-AU"/>
        </w:rPr>
      </w:pPr>
    </w:p>
    <w:p w14:paraId="441C0023" w14:textId="7E184107" w:rsidR="004E05C9" w:rsidRDefault="004E05C9"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E60C26" w:rsidRPr="008727AB">
        <w:rPr>
          <w:rFonts w:ascii="Times New Roman" w:eastAsia="Times New Roman" w:hAnsi="Times New Roman" w:cs="Times New Roman"/>
          <w:bCs/>
          <w:i/>
          <w:sz w:val="24"/>
          <w:szCs w:val="24"/>
          <w:lang w:eastAsia="en-AU"/>
        </w:rPr>
        <w:t>Therapeutic Goods (Permiss</w:t>
      </w:r>
      <w:r w:rsidR="00E60C26">
        <w:rPr>
          <w:rFonts w:ascii="Times New Roman" w:eastAsia="Times New Roman" w:hAnsi="Times New Roman" w:cs="Times New Roman"/>
          <w:bCs/>
          <w:i/>
          <w:sz w:val="24"/>
          <w:szCs w:val="24"/>
          <w:lang w:eastAsia="en-AU"/>
        </w:rPr>
        <w:t>ible Ingredients) Determination (No.</w:t>
      </w:r>
      <w:r w:rsidR="00540CD5">
        <w:rPr>
          <w:rFonts w:ascii="Times New Roman" w:eastAsia="Times New Roman" w:hAnsi="Times New Roman" w:cs="Times New Roman"/>
          <w:bCs/>
          <w:i/>
          <w:sz w:val="24"/>
          <w:szCs w:val="24"/>
          <w:lang w:eastAsia="en-AU"/>
        </w:rPr>
        <w:t xml:space="preserve"> </w:t>
      </w:r>
      <w:r w:rsidR="002C5563">
        <w:rPr>
          <w:rFonts w:ascii="Times New Roman" w:eastAsia="Times New Roman" w:hAnsi="Times New Roman" w:cs="Times New Roman"/>
          <w:bCs/>
          <w:i/>
          <w:sz w:val="24"/>
          <w:szCs w:val="24"/>
          <w:lang w:eastAsia="en-AU"/>
        </w:rPr>
        <w:t>3</w:t>
      </w:r>
      <w:r w:rsidR="00E60C26">
        <w:rPr>
          <w:rFonts w:ascii="Times New Roman" w:eastAsia="Times New Roman" w:hAnsi="Times New Roman" w:cs="Times New Roman"/>
          <w:bCs/>
          <w:i/>
          <w:sz w:val="24"/>
          <w:szCs w:val="24"/>
          <w:lang w:eastAsia="en-AU"/>
        </w:rPr>
        <w:t xml:space="preserve">) </w:t>
      </w:r>
      <w:r w:rsidR="00F6166F" w:rsidRPr="008727AB">
        <w:rPr>
          <w:rFonts w:ascii="Times New Roman" w:eastAsia="Times New Roman" w:hAnsi="Times New Roman" w:cs="Times New Roman"/>
          <w:bCs/>
          <w:i/>
          <w:sz w:val="24"/>
          <w:szCs w:val="24"/>
          <w:lang w:eastAsia="en-AU"/>
        </w:rPr>
        <w:t>20</w:t>
      </w:r>
      <w:r w:rsidR="00F6166F">
        <w:rPr>
          <w:rFonts w:ascii="Times New Roman" w:eastAsia="Times New Roman" w:hAnsi="Times New Roman" w:cs="Times New Roman"/>
          <w:bCs/>
          <w:i/>
          <w:sz w:val="24"/>
          <w:szCs w:val="24"/>
          <w:lang w:eastAsia="en-AU"/>
        </w:rPr>
        <w:t>2</w:t>
      </w:r>
      <w:r w:rsidR="00960E9A">
        <w:rPr>
          <w:rFonts w:ascii="Times New Roman" w:eastAsia="Times New Roman" w:hAnsi="Times New Roman" w:cs="Times New Roman"/>
          <w:bCs/>
          <w:i/>
          <w:sz w:val="24"/>
          <w:szCs w:val="24"/>
          <w:lang w:eastAsia="en-AU"/>
        </w:rPr>
        <w:t>2</w:t>
      </w:r>
      <w:r w:rsidR="00F6166F">
        <w:rPr>
          <w:rFonts w:ascii="Times New Roman" w:eastAsia="Times New Roman" w:hAnsi="Times New Roman" w:cs="Times New Roman"/>
          <w:bCs/>
          <w:i/>
          <w:sz w:val="24"/>
          <w:szCs w:val="24"/>
          <w:lang w:eastAsia="en-AU"/>
        </w:rPr>
        <w:t xml:space="preserve"> </w:t>
      </w:r>
      <w:r w:rsidR="00E60C26" w:rsidRPr="00E60C26">
        <w:rPr>
          <w:rFonts w:ascii="Times New Roman" w:eastAsia="Times New Roman" w:hAnsi="Times New Roman" w:cs="Times New Roman"/>
          <w:bCs/>
          <w:sz w:val="24"/>
          <w:szCs w:val="24"/>
          <w:lang w:eastAsia="en-AU"/>
        </w:rPr>
        <w:t xml:space="preserve">(“the </w:t>
      </w:r>
      <w:r>
        <w:rPr>
          <w:rFonts w:ascii="Times New Roman" w:eastAsia="Times New Roman" w:hAnsi="Times New Roman" w:cs="Times New Roman"/>
          <w:sz w:val="24"/>
          <w:szCs w:val="24"/>
          <w:lang w:eastAsia="en-AU"/>
        </w:rPr>
        <w:t>Determination</w:t>
      </w:r>
      <w:r w:rsidR="00E60C26">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00E67371">
        <w:rPr>
          <w:rFonts w:ascii="Times New Roman" w:eastAsia="Times New Roman" w:hAnsi="Times New Roman" w:cs="Times New Roman"/>
          <w:sz w:val="24"/>
          <w:szCs w:val="24"/>
          <w:lang w:eastAsia="en-AU"/>
        </w:rPr>
        <w:t>repeal</w:t>
      </w:r>
      <w:r w:rsidR="007C503B">
        <w:rPr>
          <w:rFonts w:ascii="Times New Roman" w:eastAsia="Times New Roman" w:hAnsi="Times New Roman" w:cs="Times New Roman"/>
          <w:sz w:val="24"/>
          <w:szCs w:val="24"/>
          <w:lang w:eastAsia="en-AU"/>
        </w:rPr>
        <w:t xml:space="preserve">s </w:t>
      </w:r>
      <w:r w:rsidR="00E67371">
        <w:rPr>
          <w:rFonts w:ascii="Times New Roman" w:eastAsia="Times New Roman" w:hAnsi="Times New Roman" w:cs="Times New Roman"/>
          <w:sz w:val="24"/>
          <w:szCs w:val="24"/>
          <w:lang w:eastAsia="en-AU"/>
        </w:rPr>
        <w:t>and replace</w:t>
      </w:r>
      <w:r w:rsidR="007C503B">
        <w:rPr>
          <w:rFonts w:ascii="Times New Roman" w:eastAsia="Times New Roman" w:hAnsi="Times New Roman" w:cs="Times New Roman"/>
          <w:sz w:val="24"/>
          <w:szCs w:val="24"/>
          <w:lang w:eastAsia="en-AU"/>
        </w:rPr>
        <w:t>s</w:t>
      </w:r>
      <w:r w:rsidR="00E67371">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the </w:t>
      </w:r>
      <w:r w:rsidRPr="004E05C9">
        <w:rPr>
          <w:rFonts w:ascii="Times New Roman" w:eastAsia="Times New Roman" w:hAnsi="Times New Roman" w:cs="Times New Roman"/>
          <w:i/>
          <w:sz w:val="24"/>
          <w:szCs w:val="24"/>
          <w:lang w:eastAsia="en-AU"/>
        </w:rPr>
        <w:t>Therapeutic Goods</w:t>
      </w:r>
      <w:r w:rsidR="001C38AF">
        <w:rPr>
          <w:rFonts w:ascii="Times New Roman" w:eastAsia="Times New Roman" w:hAnsi="Times New Roman" w:cs="Times New Roman"/>
          <w:i/>
          <w:sz w:val="24"/>
          <w:szCs w:val="24"/>
          <w:lang w:eastAsia="en-AU"/>
        </w:rPr>
        <w:t xml:space="preserve"> </w:t>
      </w:r>
      <w:r w:rsidRPr="004E05C9">
        <w:rPr>
          <w:rFonts w:ascii="Times New Roman" w:eastAsia="Times New Roman" w:hAnsi="Times New Roman" w:cs="Times New Roman"/>
          <w:i/>
          <w:sz w:val="24"/>
          <w:szCs w:val="24"/>
          <w:lang w:eastAsia="en-AU"/>
        </w:rPr>
        <w:t>(Permissible Ingredients) Determination (No.</w:t>
      </w:r>
      <w:r w:rsidR="00B60F0C">
        <w:rPr>
          <w:rFonts w:ascii="Times New Roman" w:eastAsia="Times New Roman" w:hAnsi="Times New Roman" w:cs="Times New Roman"/>
          <w:i/>
          <w:sz w:val="24"/>
          <w:szCs w:val="24"/>
          <w:lang w:eastAsia="en-AU"/>
        </w:rPr>
        <w:t xml:space="preserve"> </w:t>
      </w:r>
      <w:r w:rsidR="002C5563">
        <w:rPr>
          <w:rFonts w:ascii="Times New Roman" w:eastAsia="Times New Roman" w:hAnsi="Times New Roman" w:cs="Times New Roman"/>
          <w:i/>
          <w:sz w:val="24"/>
          <w:szCs w:val="24"/>
          <w:lang w:eastAsia="en-AU"/>
        </w:rPr>
        <w:t>2</w:t>
      </w:r>
      <w:r w:rsidRPr="004E05C9">
        <w:rPr>
          <w:rFonts w:ascii="Times New Roman" w:eastAsia="Times New Roman" w:hAnsi="Times New Roman" w:cs="Times New Roman"/>
          <w:i/>
          <w:sz w:val="24"/>
          <w:szCs w:val="24"/>
          <w:lang w:eastAsia="en-AU"/>
        </w:rPr>
        <w:t>) 20</w:t>
      </w:r>
      <w:r w:rsidR="00272777">
        <w:rPr>
          <w:rFonts w:ascii="Times New Roman" w:eastAsia="Times New Roman" w:hAnsi="Times New Roman" w:cs="Times New Roman"/>
          <w:i/>
          <w:sz w:val="24"/>
          <w:szCs w:val="24"/>
          <w:lang w:eastAsia="en-AU"/>
        </w:rPr>
        <w:t>22</w:t>
      </w:r>
      <w:r w:rsidR="00B60F0C">
        <w:rPr>
          <w:rFonts w:ascii="Times New Roman" w:eastAsia="Times New Roman" w:hAnsi="Times New Roman" w:cs="Times New Roman"/>
          <w:i/>
          <w:sz w:val="24"/>
          <w:szCs w:val="24"/>
          <w:lang w:eastAsia="en-AU"/>
        </w:rPr>
        <w:t xml:space="preserve"> </w:t>
      </w:r>
      <w:r w:rsidR="00B60F0C">
        <w:rPr>
          <w:rFonts w:ascii="Times New Roman" w:eastAsia="Times New Roman" w:hAnsi="Times New Roman" w:cs="Times New Roman"/>
          <w:sz w:val="24"/>
          <w:szCs w:val="24"/>
          <w:lang w:eastAsia="en-AU"/>
        </w:rPr>
        <w:t xml:space="preserve">(“the </w:t>
      </w:r>
      <w:r w:rsidR="00E67371">
        <w:rPr>
          <w:rFonts w:ascii="Times New Roman" w:eastAsia="Times New Roman" w:hAnsi="Times New Roman" w:cs="Times New Roman"/>
          <w:sz w:val="24"/>
          <w:szCs w:val="24"/>
          <w:lang w:eastAsia="en-AU"/>
        </w:rPr>
        <w:t xml:space="preserve">former </w:t>
      </w:r>
      <w:r w:rsidR="00B60F0C">
        <w:rPr>
          <w:rFonts w:ascii="Times New Roman" w:eastAsia="Times New Roman" w:hAnsi="Times New Roman" w:cs="Times New Roman"/>
          <w:sz w:val="24"/>
          <w:szCs w:val="24"/>
          <w:lang w:eastAsia="en-AU"/>
        </w:rPr>
        <w:t>Determination”</w:t>
      </w:r>
      <w:proofErr w:type="gramStart"/>
      <w:r w:rsidR="00B60F0C">
        <w:rPr>
          <w:rFonts w:ascii="Times New Roman" w:eastAsia="Times New Roman" w:hAnsi="Times New Roman" w:cs="Times New Roman"/>
          <w:sz w:val="24"/>
          <w:szCs w:val="24"/>
          <w:lang w:eastAsia="en-AU"/>
        </w:rPr>
        <w:t>)</w:t>
      </w:r>
      <w:r w:rsidR="007C503B">
        <w:rPr>
          <w:rFonts w:ascii="Times New Roman" w:eastAsia="Times New Roman" w:hAnsi="Times New Roman" w:cs="Times New Roman"/>
          <w:sz w:val="24"/>
          <w:szCs w:val="24"/>
          <w:lang w:eastAsia="en-AU"/>
        </w:rPr>
        <w:t>, and</w:t>
      </w:r>
      <w:proofErr w:type="gramEnd"/>
      <w:r w:rsidR="007C503B">
        <w:rPr>
          <w:rFonts w:ascii="Times New Roman" w:eastAsia="Times New Roman" w:hAnsi="Times New Roman" w:cs="Times New Roman"/>
          <w:sz w:val="24"/>
          <w:szCs w:val="24"/>
          <w:lang w:eastAsia="en-AU"/>
        </w:rPr>
        <w:t xml:space="preserve"> specifies those ingredients that may be contained in a medicine that is listed in the Register and requirements in relation to the inclusion of those ingredients in such medicines</w:t>
      </w:r>
      <w:r w:rsidR="001C38AF">
        <w:rPr>
          <w:rFonts w:ascii="Times New Roman" w:eastAsia="Times New Roman" w:hAnsi="Times New Roman" w:cs="Times New Roman"/>
          <w:sz w:val="24"/>
          <w:szCs w:val="24"/>
          <w:lang w:eastAsia="en-AU"/>
        </w:rPr>
        <w:t>.</w:t>
      </w:r>
    </w:p>
    <w:p w14:paraId="44353B94" w14:textId="77777777" w:rsidR="005B70D2" w:rsidRDefault="005B70D2" w:rsidP="009A530B">
      <w:pPr>
        <w:autoSpaceDE w:val="0"/>
        <w:autoSpaceDN w:val="0"/>
        <w:adjustRightInd w:val="0"/>
        <w:spacing w:after="0"/>
        <w:rPr>
          <w:rFonts w:ascii="Times New Roman" w:eastAsia="Times New Roman" w:hAnsi="Times New Roman" w:cs="Times New Roman"/>
          <w:sz w:val="24"/>
          <w:szCs w:val="24"/>
          <w:lang w:eastAsia="en-AU"/>
        </w:rPr>
      </w:pPr>
    </w:p>
    <w:p w14:paraId="013E1782" w14:textId="761B1BF5" w:rsidR="00EF1F18" w:rsidRDefault="00EF1F18" w:rsidP="001A7C14">
      <w:pPr>
        <w:autoSpaceDE w:val="0"/>
        <w:autoSpaceDN w:val="0"/>
        <w:adjustRightInd w:val="0"/>
        <w:spacing w:after="0"/>
        <w:rPr>
          <w:rFonts w:ascii="Times New Roman" w:eastAsia="Times New Roman" w:hAnsi="Times New Roman" w:cs="Times New Roman"/>
          <w:b/>
          <w:bCs/>
          <w:sz w:val="24"/>
          <w:szCs w:val="24"/>
          <w:lang w:eastAsia="en-AU"/>
        </w:rPr>
      </w:pPr>
      <w:r w:rsidRPr="00B028DC">
        <w:rPr>
          <w:rFonts w:ascii="Times New Roman" w:eastAsia="Times New Roman" w:hAnsi="Times New Roman" w:cs="Times New Roman"/>
          <w:b/>
          <w:bCs/>
          <w:sz w:val="24"/>
          <w:szCs w:val="24"/>
          <w:lang w:eastAsia="en-AU"/>
        </w:rPr>
        <w:t>B</w:t>
      </w:r>
      <w:r w:rsidR="00E01934" w:rsidRPr="00B028DC">
        <w:rPr>
          <w:rFonts w:ascii="Times New Roman" w:eastAsia="Times New Roman" w:hAnsi="Times New Roman" w:cs="Times New Roman"/>
          <w:b/>
          <w:bCs/>
          <w:sz w:val="24"/>
          <w:szCs w:val="24"/>
          <w:lang w:eastAsia="en-AU"/>
        </w:rPr>
        <w:t>ackground</w:t>
      </w:r>
    </w:p>
    <w:p w14:paraId="090C8A55" w14:textId="77777777" w:rsidR="005B70D2" w:rsidRPr="00B028DC" w:rsidRDefault="005B70D2" w:rsidP="001A7C14">
      <w:pPr>
        <w:autoSpaceDE w:val="0"/>
        <w:autoSpaceDN w:val="0"/>
        <w:adjustRightInd w:val="0"/>
        <w:spacing w:after="0"/>
        <w:rPr>
          <w:rFonts w:ascii="Times New Roman" w:eastAsia="Times New Roman" w:hAnsi="Times New Roman" w:cs="Times New Roman"/>
          <w:sz w:val="24"/>
          <w:szCs w:val="24"/>
          <w:lang w:val="en-US" w:eastAsia="en-AU"/>
        </w:rPr>
      </w:pPr>
    </w:p>
    <w:p w14:paraId="46189311" w14:textId="7CDD84D4" w:rsidR="00D4773E" w:rsidRDefault="00D4773E" w:rsidP="001A7C14">
      <w:pPr>
        <w:autoSpaceDE w:val="0"/>
        <w:autoSpaceDN w:val="0"/>
        <w:adjustRightInd w:val="0"/>
        <w:spacing w:after="0"/>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 xml:space="preserve">Medicines that are listed in the Register under section 26A of the Act </w:t>
      </w:r>
      <w:proofErr w:type="gramStart"/>
      <w:r w:rsidRPr="00D4773E">
        <w:rPr>
          <w:rFonts w:ascii="Times New Roman" w:eastAsia="Times New Roman" w:hAnsi="Times New Roman" w:cs="Times New Roman"/>
          <w:sz w:val="24"/>
          <w:szCs w:val="24"/>
          <w:lang w:eastAsia="en-AU"/>
        </w:rPr>
        <w:t>are considered to be</w:t>
      </w:r>
      <w:proofErr w:type="gramEnd"/>
      <w:r w:rsidRPr="00D4773E">
        <w:rPr>
          <w:rFonts w:ascii="Times New Roman" w:eastAsia="Times New Roman" w:hAnsi="Times New Roman" w:cs="Times New Roman"/>
          <w:sz w:val="24"/>
          <w:szCs w:val="24"/>
          <w:lang w:eastAsia="en-AU"/>
        </w:rPr>
        <w:t xml:space="preserve"> low risk and are not individually evaluated before those medicines are listed. </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 xml:space="preserve">Medicines that are listed in the Register under section 26AE of the Act are also considered to be low </w:t>
      </w:r>
      <w:proofErr w:type="gramStart"/>
      <w:r w:rsidRPr="00D4773E">
        <w:rPr>
          <w:rFonts w:ascii="Times New Roman" w:eastAsia="Times New Roman" w:hAnsi="Times New Roman" w:cs="Times New Roman"/>
          <w:sz w:val="24"/>
          <w:szCs w:val="24"/>
          <w:lang w:eastAsia="en-AU"/>
        </w:rPr>
        <w:t>risk, but</w:t>
      </w:r>
      <w:proofErr w:type="gramEnd"/>
      <w:r w:rsidRPr="00D4773E">
        <w:rPr>
          <w:rFonts w:ascii="Times New Roman" w:eastAsia="Times New Roman" w:hAnsi="Times New Roman" w:cs="Times New Roman"/>
          <w:sz w:val="24"/>
          <w:szCs w:val="24"/>
          <w:lang w:eastAsia="en-AU"/>
        </w:rPr>
        <w:t xml:space="preserve"> are evaluated in relation to whether the efficacy of the medicine for the purposes for which it is to be used has been satisfactorily established (these purposes are specific efficacy claims for which the sponsor of the medicine holds supporting evidence).</w:t>
      </w:r>
      <w:r w:rsidR="00B60F0C">
        <w:rPr>
          <w:rFonts w:ascii="Times New Roman" w:eastAsia="Times New Roman" w:hAnsi="Times New Roman" w:cs="Times New Roman"/>
          <w:sz w:val="24"/>
          <w:szCs w:val="24"/>
          <w:lang w:eastAsia="en-AU"/>
        </w:rPr>
        <w:t xml:space="preserve"> </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 xml:space="preserve">When listed under section 26AE, these listed medicines are commonly referred to as ‘assessed listed </w:t>
      </w:r>
      <w:proofErr w:type="gramStart"/>
      <w:r w:rsidRPr="00D4773E">
        <w:rPr>
          <w:rFonts w:ascii="Times New Roman" w:eastAsia="Times New Roman" w:hAnsi="Times New Roman" w:cs="Times New Roman"/>
          <w:sz w:val="24"/>
          <w:szCs w:val="24"/>
          <w:lang w:eastAsia="en-AU"/>
        </w:rPr>
        <w:t>medicines’</w:t>
      </w:r>
      <w:proofErr w:type="gramEnd"/>
      <w:r w:rsidRPr="00D4773E">
        <w:rPr>
          <w:rFonts w:ascii="Times New Roman" w:eastAsia="Times New Roman" w:hAnsi="Times New Roman" w:cs="Times New Roman"/>
          <w:sz w:val="24"/>
          <w:szCs w:val="24"/>
          <w:lang w:eastAsia="en-AU"/>
        </w:rPr>
        <w:t>.</w:t>
      </w:r>
    </w:p>
    <w:p w14:paraId="593DB8C4" w14:textId="77777777" w:rsidR="005B70D2" w:rsidRPr="001A7C14"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37CEDFE6" w14:textId="48FA808C" w:rsidR="00D4773E" w:rsidRDefault="00D4773E" w:rsidP="001A7C14">
      <w:pPr>
        <w:autoSpaceDE w:val="0"/>
        <w:autoSpaceDN w:val="0"/>
        <w:adjustRightInd w:val="0"/>
        <w:spacing w:after="0"/>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As the safety and quality of medicines listed under section</w:t>
      </w:r>
      <w:r w:rsidR="00B60F0C">
        <w:rPr>
          <w:rFonts w:ascii="Times New Roman" w:eastAsia="Times New Roman" w:hAnsi="Times New Roman" w:cs="Times New Roman"/>
          <w:sz w:val="24"/>
          <w:szCs w:val="24"/>
          <w:lang w:eastAsia="en-AU"/>
        </w:rPr>
        <w:t>s</w:t>
      </w:r>
      <w:r w:rsidRPr="00D4773E">
        <w:rPr>
          <w:rFonts w:ascii="Times New Roman" w:eastAsia="Times New Roman" w:hAnsi="Times New Roman" w:cs="Times New Roman"/>
          <w:sz w:val="24"/>
          <w:szCs w:val="24"/>
          <w:lang w:eastAsia="en-AU"/>
        </w:rPr>
        <w:t xml:space="preserve"> 26A and 26AE are not evaluated by the TGA before being given marketing approval, the Act contains mechanisms to help ensure that those medicines are of appropriate quality and able to be used safely by consumers. </w:t>
      </w:r>
      <w:r w:rsidR="00E60C26">
        <w:rPr>
          <w:rFonts w:ascii="Times New Roman" w:eastAsia="Times New Roman" w:hAnsi="Times New Roman" w:cs="Times New Roman"/>
          <w:sz w:val="24"/>
          <w:szCs w:val="24"/>
          <w:lang w:eastAsia="en-AU"/>
        </w:rPr>
        <w:t xml:space="preserve"> </w:t>
      </w:r>
      <w:proofErr w:type="gramStart"/>
      <w:r w:rsidRPr="00D4773E">
        <w:rPr>
          <w:rFonts w:ascii="Times New Roman" w:eastAsia="Times New Roman" w:hAnsi="Times New Roman" w:cs="Times New Roman"/>
          <w:sz w:val="24"/>
          <w:szCs w:val="24"/>
          <w:lang w:eastAsia="en-AU"/>
        </w:rPr>
        <w:t>In particular, medicines</w:t>
      </w:r>
      <w:proofErr w:type="gramEnd"/>
      <w:r w:rsidRPr="00D4773E">
        <w:rPr>
          <w:rFonts w:ascii="Times New Roman" w:eastAsia="Times New Roman" w:hAnsi="Times New Roman" w:cs="Times New Roman"/>
          <w:sz w:val="24"/>
          <w:szCs w:val="24"/>
          <w:lang w:eastAsia="en-AU"/>
        </w:rPr>
        <w:t xml:space="preserve"> listed under section 26A and 26AE may only contain </w:t>
      </w:r>
      <w:r w:rsidRPr="00D4773E">
        <w:rPr>
          <w:rFonts w:ascii="Times New Roman" w:eastAsia="Times New Roman" w:hAnsi="Times New Roman" w:cs="Times New Roman"/>
          <w:sz w:val="24"/>
          <w:szCs w:val="24"/>
          <w:lang w:eastAsia="en-AU"/>
        </w:rPr>
        <w:lastRenderedPageBreak/>
        <w:t xml:space="preserve">ingredients from an approved list of ingredients that have been evaluated in relation to their quality and safety and suitability for use in such medicines. </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 xml:space="preserve">Sponsors of such medicines may </w:t>
      </w:r>
      <w:r w:rsidR="008E082F">
        <w:rPr>
          <w:rFonts w:ascii="Times New Roman" w:eastAsia="Times New Roman" w:hAnsi="Times New Roman" w:cs="Times New Roman"/>
          <w:sz w:val="24"/>
          <w:szCs w:val="24"/>
          <w:lang w:eastAsia="en-AU"/>
        </w:rPr>
        <w:t xml:space="preserve">also </w:t>
      </w:r>
      <w:r w:rsidRPr="00D4773E">
        <w:rPr>
          <w:rFonts w:ascii="Times New Roman" w:eastAsia="Times New Roman" w:hAnsi="Times New Roman" w:cs="Times New Roman"/>
          <w:sz w:val="24"/>
          <w:szCs w:val="24"/>
          <w:lang w:eastAsia="en-AU"/>
        </w:rPr>
        <w:t xml:space="preserve">only use indications (statements of therapeutic use) from a list of pre-approved </w:t>
      </w:r>
      <w:proofErr w:type="gramStart"/>
      <w:r w:rsidRPr="00D4773E">
        <w:rPr>
          <w:rFonts w:ascii="Times New Roman" w:eastAsia="Times New Roman" w:hAnsi="Times New Roman" w:cs="Times New Roman"/>
          <w:sz w:val="24"/>
          <w:szCs w:val="24"/>
          <w:lang w:eastAsia="en-AU"/>
        </w:rPr>
        <w:t>low level</w:t>
      </w:r>
      <w:proofErr w:type="gramEnd"/>
      <w:r w:rsidRPr="00D4773E">
        <w:rPr>
          <w:rFonts w:ascii="Times New Roman" w:eastAsia="Times New Roman" w:hAnsi="Times New Roman" w:cs="Times New Roman"/>
          <w:sz w:val="24"/>
          <w:szCs w:val="24"/>
          <w:lang w:eastAsia="en-AU"/>
        </w:rPr>
        <w:t xml:space="preserve"> indications to ensure that these products do not overstate their therapeutic benefits.</w:t>
      </w:r>
    </w:p>
    <w:p w14:paraId="4D224BDB" w14:textId="77777777" w:rsidR="005B70D2" w:rsidRPr="001A7C14"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16704F00" w14:textId="502C1451" w:rsidR="00D4773E" w:rsidRDefault="00D4773E" w:rsidP="001A7C14">
      <w:pPr>
        <w:autoSpaceDE w:val="0"/>
        <w:autoSpaceDN w:val="0"/>
        <w:adjustRightInd w:val="0"/>
        <w:spacing w:after="0"/>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Under paragraphs 26A(</w:t>
      </w:r>
      <w:proofErr w:type="gramStart"/>
      <w:r w:rsidRPr="00D4773E">
        <w:rPr>
          <w:rFonts w:ascii="Times New Roman" w:eastAsia="Times New Roman" w:hAnsi="Times New Roman" w:cs="Times New Roman"/>
          <w:sz w:val="24"/>
          <w:szCs w:val="24"/>
          <w:lang w:eastAsia="en-AU"/>
        </w:rPr>
        <w:t>2)(</w:t>
      </w:r>
      <w:proofErr w:type="gramEnd"/>
      <w:r w:rsidRPr="00D4773E">
        <w:rPr>
          <w:rFonts w:ascii="Times New Roman" w:eastAsia="Times New Roman" w:hAnsi="Times New Roman" w:cs="Times New Roman"/>
          <w:sz w:val="24"/>
          <w:szCs w:val="24"/>
          <w:lang w:eastAsia="en-AU"/>
        </w:rPr>
        <w:t xml:space="preserve">ca) and (cb) of the Act, persons applying to list a medicine in the Register under section 26A of the Act must certify that the medicine does not contain an ingredient that is not specified in a determination under paragraph 26BB(1)(a) of the Act; and does not contravene a requirement in relation to such an ingredient that is specified in such a determination. </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 xml:space="preserve">Paragraphs 26AB(2)(d) and (e) contain equivalent certification requirements for applicants seeking marketing approval in relation to assessed listed medicines. </w:t>
      </w:r>
      <w:r w:rsidR="00AC4380">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A listed (or assessed listed) medicine may be cancelled from the Register if it appears to the Secretary that such a certification is incorrect.</w:t>
      </w:r>
    </w:p>
    <w:p w14:paraId="4614586B" w14:textId="77777777" w:rsidR="005B70D2" w:rsidRPr="00712EA4"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6D9381AC" w14:textId="371F5E9E" w:rsidR="00D4773E" w:rsidRDefault="00D4773E" w:rsidP="001A7C14">
      <w:pPr>
        <w:autoSpaceDE w:val="0"/>
        <w:autoSpaceDN w:val="0"/>
        <w:adjustRightInd w:val="0"/>
        <w:spacing w:after="0"/>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 xml:space="preserve">Separately, items 3, 4A, 5, 7 and 8 of Schedule 4 to the </w:t>
      </w:r>
      <w:r w:rsidRPr="00D4773E">
        <w:rPr>
          <w:rFonts w:ascii="Times New Roman" w:eastAsia="Times New Roman" w:hAnsi="Times New Roman" w:cs="Times New Roman"/>
          <w:i/>
          <w:iCs/>
          <w:sz w:val="24"/>
          <w:szCs w:val="24"/>
          <w:lang w:eastAsia="en-AU"/>
        </w:rPr>
        <w:t>Therapeutic Goods Regulations 1990</w:t>
      </w:r>
      <w:r w:rsidR="00877FA7">
        <w:rPr>
          <w:rFonts w:ascii="Times New Roman" w:eastAsia="Times New Roman" w:hAnsi="Times New Roman" w:cs="Times New Roman"/>
          <w:iCs/>
          <w:sz w:val="24"/>
          <w:szCs w:val="24"/>
          <w:lang w:eastAsia="en-AU"/>
        </w:rPr>
        <w:t xml:space="preserve"> (“the Regulations”)</w:t>
      </w:r>
      <w:r w:rsidRPr="00D4773E">
        <w:rPr>
          <w:rFonts w:ascii="Times New Roman" w:eastAsia="Times New Roman" w:hAnsi="Times New Roman" w:cs="Times New Roman"/>
          <w:sz w:val="24"/>
          <w:szCs w:val="24"/>
          <w:lang w:eastAsia="en-AU"/>
        </w:rPr>
        <w:t>, which identifies those therapeutic goods that are eligible for listing in the Register, require that, in order for the goods mentioned in each of those items to be eligible for listing, the goods must only contain ingredients that are specified in a determination under paragraph 26BB(1)(a) of the Act and must not contravene a requirement in such a determination.</w:t>
      </w:r>
    </w:p>
    <w:p w14:paraId="497DAAC4" w14:textId="77777777" w:rsidR="005B70D2" w:rsidRPr="00712EA4"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4EE2990C" w14:textId="427FEEF5" w:rsidR="00D4773E" w:rsidRDefault="00226F3C"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As such, </w:t>
      </w:r>
      <w:r w:rsidR="003034B3">
        <w:rPr>
          <w:rFonts w:ascii="Times New Roman" w:eastAsia="Times New Roman" w:hAnsi="Times New Roman" w:cs="Times New Roman"/>
          <w:sz w:val="24"/>
          <w:szCs w:val="24"/>
          <w:lang w:eastAsia="en-AU"/>
        </w:rPr>
        <w:t xml:space="preserve">a </w:t>
      </w:r>
      <w:r>
        <w:rPr>
          <w:rFonts w:ascii="Times New Roman" w:eastAsia="Times New Roman" w:hAnsi="Times New Roman" w:cs="Times New Roman"/>
          <w:sz w:val="24"/>
          <w:szCs w:val="24"/>
          <w:lang w:eastAsia="en-AU"/>
        </w:rPr>
        <w:t xml:space="preserve">determination </w:t>
      </w:r>
      <w:r w:rsidR="0062190F">
        <w:rPr>
          <w:rFonts w:ascii="Times New Roman" w:eastAsia="Times New Roman" w:hAnsi="Times New Roman" w:cs="Times New Roman"/>
          <w:sz w:val="24"/>
          <w:szCs w:val="24"/>
          <w:lang w:eastAsia="en-AU"/>
        </w:rPr>
        <w:t xml:space="preserve">under </w:t>
      </w:r>
      <w:r>
        <w:rPr>
          <w:rFonts w:ascii="Times New Roman" w:eastAsia="Times New Roman" w:hAnsi="Times New Roman" w:cs="Times New Roman"/>
          <w:sz w:val="24"/>
          <w:szCs w:val="24"/>
          <w:lang w:eastAsia="en-AU"/>
        </w:rPr>
        <w:t xml:space="preserve">section 26BB </w:t>
      </w:r>
      <w:r w:rsidR="003034B3">
        <w:rPr>
          <w:rFonts w:ascii="Times New Roman" w:eastAsia="Times New Roman" w:hAnsi="Times New Roman" w:cs="Times New Roman"/>
          <w:sz w:val="24"/>
          <w:szCs w:val="24"/>
          <w:lang w:eastAsia="en-AU"/>
        </w:rPr>
        <w:t>is</w:t>
      </w:r>
      <w:r w:rsidR="003034B3" w:rsidRPr="00D4773E">
        <w:rPr>
          <w:rFonts w:ascii="Times New Roman" w:eastAsia="Times New Roman" w:hAnsi="Times New Roman" w:cs="Times New Roman"/>
          <w:sz w:val="24"/>
          <w:szCs w:val="24"/>
          <w:lang w:eastAsia="en-AU"/>
        </w:rPr>
        <w:t xml:space="preserve"> </w:t>
      </w:r>
      <w:r w:rsidR="00D4773E" w:rsidRPr="00D4773E">
        <w:rPr>
          <w:rFonts w:ascii="Times New Roman" w:eastAsia="Times New Roman" w:hAnsi="Times New Roman" w:cs="Times New Roman"/>
          <w:sz w:val="24"/>
          <w:szCs w:val="24"/>
          <w:lang w:eastAsia="en-AU"/>
        </w:rPr>
        <w:t xml:space="preserve">designed to provide a comprehensive list of ingredients which have been assessed or otherwise considered to be safe for use in listed medicines (including assessed listed medicines), and associated requirements to be followed when using </w:t>
      </w:r>
      <w:proofErr w:type="gramStart"/>
      <w:r w:rsidR="00D4773E" w:rsidRPr="00D4773E">
        <w:rPr>
          <w:rFonts w:ascii="Times New Roman" w:eastAsia="Times New Roman" w:hAnsi="Times New Roman" w:cs="Times New Roman"/>
          <w:sz w:val="24"/>
          <w:szCs w:val="24"/>
          <w:lang w:eastAsia="en-AU"/>
        </w:rPr>
        <w:t>particular ingredients</w:t>
      </w:r>
      <w:proofErr w:type="gramEnd"/>
      <w:r w:rsidR="00D4773E" w:rsidRPr="00D4773E">
        <w:rPr>
          <w:rFonts w:ascii="Times New Roman" w:eastAsia="Times New Roman" w:hAnsi="Times New Roman" w:cs="Times New Roman"/>
          <w:sz w:val="24"/>
          <w:szCs w:val="24"/>
          <w:lang w:eastAsia="en-AU"/>
        </w:rPr>
        <w:t xml:space="preserve"> in such products.</w:t>
      </w:r>
      <w:r w:rsidR="00D4773E">
        <w:rPr>
          <w:rFonts w:ascii="Times New Roman" w:eastAsia="Times New Roman" w:hAnsi="Times New Roman" w:cs="Times New Roman"/>
          <w:sz w:val="24"/>
          <w:szCs w:val="24"/>
          <w:lang w:eastAsia="en-AU"/>
        </w:rPr>
        <w:t xml:space="preserve">  These requirements may relate to a range of matters including, for example, </w:t>
      </w:r>
      <w:r>
        <w:rPr>
          <w:rFonts w:ascii="Times New Roman" w:eastAsia="Times New Roman" w:hAnsi="Times New Roman" w:cs="Times New Roman"/>
          <w:sz w:val="24"/>
          <w:szCs w:val="24"/>
          <w:lang w:eastAsia="en-AU"/>
        </w:rPr>
        <w:t xml:space="preserve">how an ingredient may be used in a medicine or </w:t>
      </w:r>
      <w:r w:rsidR="00D4773E">
        <w:rPr>
          <w:rFonts w:ascii="Times New Roman" w:eastAsia="Times New Roman" w:hAnsi="Times New Roman" w:cs="Times New Roman"/>
          <w:sz w:val="24"/>
          <w:szCs w:val="24"/>
          <w:lang w:eastAsia="en-AU"/>
        </w:rPr>
        <w:t>the inclusion of relevant safety information on product labels</w:t>
      </w:r>
      <w:r>
        <w:rPr>
          <w:rFonts w:ascii="Times New Roman" w:eastAsia="Times New Roman" w:hAnsi="Times New Roman" w:cs="Times New Roman"/>
          <w:sz w:val="24"/>
          <w:szCs w:val="24"/>
          <w:lang w:eastAsia="en-AU"/>
        </w:rPr>
        <w:t>.</w:t>
      </w:r>
    </w:p>
    <w:p w14:paraId="1986DC36" w14:textId="77777777" w:rsidR="005B70D2" w:rsidRDefault="005B70D2" w:rsidP="001A7C14">
      <w:pPr>
        <w:autoSpaceDE w:val="0"/>
        <w:autoSpaceDN w:val="0"/>
        <w:adjustRightInd w:val="0"/>
        <w:spacing w:after="0" w:line="240" w:lineRule="auto"/>
        <w:rPr>
          <w:rFonts w:ascii="Times New Roman" w:eastAsia="Times New Roman" w:hAnsi="Times New Roman" w:cs="Times New Roman"/>
          <w:sz w:val="24"/>
          <w:szCs w:val="24"/>
          <w:lang w:eastAsia="en-AU"/>
        </w:rPr>
      </w:pPr>
    </w:p>
    <w:p w14:paraId="2B026CDA" w14:textId="3E49F771" w:rsidR="00A4560C" w:rsidRPr="00A4560C" w:rsidRDefault="00A4560C" w:rsidP="001A7C14">
      <w:pPr>
        <w:spacing w:after="120"/>
        <w:rPr>
          <w:rFonts w:ascii="Arial" w:eastAsia="Times New Roman" w:hAnsi="Arial" w:cs="Arial"/>
          <w:sz w:val="19"/>
          <w:szCs w:val="19"/>
          <w:lang w:val="en-US" w:eastAsia="en-AU"/>
        </w:rPr>
      </w:pPr>
      <w:r w:rsidRPr="00A4560C">
        <w:rPr>
          <w:rFonts w:ascii="Times New Roman" w:eastAsia="Times New Roman" w:hAnsi="Times New Roman" w:cs="Times New Roman"/>
          <w:sz w:val="24"/>
          <w:szCs w:val="24"/>
          <w:lang w:eastAsia="en-AU"/>
        </w:rPr>
        <w:t xml:space="preserve">The requirements imposed under the Determination </w:t>
      </w:r>
      <w:r w:rsidR="007C503B">
        <w:rPr>
          <w:rFonts w:ascii="Times New Roman" w:eastAsia="Times New Roman" w:hAnsi="Times New Roman" w:cs="Times New Roman"/>
          <w:sz w:val="24"/>
          <w:szCs w:val="24"/>
          <w:lang w:eastAsia="en-AU"/>
        </w:rPr>
        <w:t xml:space="preserve">are </w:t>
      </w:r>
      <w:r w:rsidRPr="00A4560C">
        <w:rPr>
          <w:rFonts w:ascii="Times New Roman" w:eastAsia="Times New Roman" w:hAnsi="Times New Roman" w:cs="Times New Roman"/>
          <w:sz w:val="24"/>
          <w:szCs w:val="24"/>
          <w:lang w:eastAsia="en-AU"/>
        </w:rPr>
        <w:t xml:space="preserve">principally </w:t>
      </w:r>
      <w:r w:rsidR="007C503B">
        <w:rPr>
          <w:rFonts w:ascii="Times New Roman" w:eastAsia="Times New Roman" w:hAnsi="Times New Roman" w:cs="Times New Roman"/>
          <w:sz w:val="24"/>
          <w:szCs w:val="24"/>
          <w:lang w:eastAsia="en-AU"/>
        </w:rPr>
        <w:t>designed to</w:t>
      </w:r>
      <w:r w:rsidRPr="00A4560C">
        <w:rPr>
          <w:rFonts w:ascii="Times New Roman" w:eastAsia="Times New Roman" w:hAnsi="Times New Roman" w:cs="Times New Roman"/>
          <w:sz w:val="24"/>
          <w:szCs w:val="24"/>
          <w:lang w:eastAsia="en-AU"/>
        </w:rPr>
        <w:t xml:space="preserve"> ensur</w:t>
      </w:r>
      <w:r w:rsidR="007C503B">
        <w:rPr>
          <w:rFonts w:ascii="Times New Roman" w:eastAsia="Times New Roman" w:hAnsi="Times New Roman" w:cs="Times New Roman"/>
          <w:sz w:val="24"/>
          <w:szCs w:val="24"/>
          <w:lang w:eastAsia="en-AU"/>
        </w:rPr>
        <w:t>e</w:t>
      </w:r>
      <w:r w:rsidRPr="00A4560C">
        <w:rPr>
          <w:rFonts w:ascii="Times New Roman" w:eastAsia="Times New Roman" w:hAnsi="Times New Roman" w:cs="Times New Roman"/>
          <w:sz w:val="24"/>
          <w:szCs w:val="24"/>
          <w:lang w:eastAsia="en-AU"/>
        </w:rPr>
        <w:t xml:space="preserve"> </w:t>
      </w:r>
      <w:r w:rsidR="007C503B">
        <w:rPr>
          <w:rFonts w:ascii="Times New Roman" w:eastAsia="Times New Roman" w:hAnsi="Times New Roman" w:cs="Times New Roman"/>
          <w:sz w:val="24"/>
          <w:szCs w:val="24"/>
          <w:lang w:eastAsia="en-AU"/>
        </w:rPr>
        <w:t xml:space="preserve">or support </w:t>
      </w:r>
      <w:r w:rsidRPr="00A4560C">
        <w:rPr>
          <w:rFonts w:ascii="Times New Roman" w:eastAsia="Times New Roman" w:hAnsi="Times New Roman" w:cs="Times New Roman"/>
          <w:sz w:val="24"/>
          <w:szCs w:val="24"/>
          <w:lang w:eastAsia="en-AU"/>
        </w:rPr>
        <w:t xml:space="preserve">the quality and safety of </w:t>
      </w:r>
      <w:r w:rsidR="007C503B">
        <w:rPr>
          <w:rFonts w:ascii="Times New Roman" w:eastAsia="Times New Roman" w:hAnsi="Times New Roman" w:cs="Times New Roman"/>
          <w:sz w:val="24"/>
          <w:szCs w:val="24"/>
          <w:lang w:eastAsia="en-AU"/>
        </w:rPr>
        <w:t xml:space="preserve">listed medicines that contain permitted </w:t>
      </w:r>
      <w:r w:rsidRPr="00A4560C">
        <w:rPr>
          <w:rFonts w:ascii="Times New Roman" w:eastAsia="Times New Roman" w:hAnsi="Times New Roman" w:cs="Times New Roman"/>
          <w:sz w:val="24"/>
          <w:szCs w:val="24"/>
          <w:lang w:eastAsia="en-AU"/>
        </w:rPr>
        <w:t>ingredient</w:t>
      </w:r>
      <w:r w:rsidR="007C503B">
        <w:rPr>
          <w:rFonts w:ascii="Times New Roman" w:eastAsia="Times New Roman" w:hAnsi="Times New Roman" w:cs="Times New Roman"/>
          <w:sz w:val="24"/>
          <w:szCs w:val="24"/>
          <w:lang w:eastAsia="en-AU"/>
        </w:rPr>
        <w:t>s</w:t>
      </w:r>
      <w:r w:rsidRPr="00A4560C">
        <w:rPr>
          <w:rFonts w:ascii="Times New Roman" w:eastAsia="Times New Roman" w:hAnsi="Times New Roman" w:cs="Times New Roman"/>
          <w:sz w:val="24"/>
          <w:szCs w:val="24"/>
          <w:lang w:eastAsia="en-AU"/>
        </w:rPr>
        <w:t>.</w:t>
      </w:r>
      <w:r w:rsidR="00E60C26">
        <w:rPr>
          <w:rFonts w:ascii="Times New Roman" w:eastAsia="Times New Roman" w:hAnsi="Times New Roman" w:cs="Times New Roman"/>
          <w:sz w:val="24"/>
          <w:szCs w:val="24"/>
          <w:lang w:eastAsia="en-AU"/>
        </w:rPr>
        <w:t xml:space="preserve"> </w:t>
      </w:r>
      <w:r w:rsidRPr="00A4560C">
        <w:rPr>
          <w:rFonts w:ascii="Times New Roman" w:eastAsia="Times New Roman" w:hAnsi="Times New Roman" w:cs="Times New Roman"/>
          <w:sz w:val="24"/>
          <w:szCs w:val="24"/>
          <w:lang w:eastAsia="en-AU"/>
        </w:rPr>
        <w:t xml:space="preserve"> </w:t>
      </w:r>
      <w:r w:rsidR="007C503B">
        <w:rPr>
          <w:rFonts w:ascii="Times New Roman" w:eastAsia="Times New Roman" w:hAnsi="Times New Roman" w:cs="Times New Roman"/>
          <w:sz w:val="24"/>
          <w:szCs w:val="24"/>
          <w:lang w:eastAsia="en-AU"/>
        </w:rPr>
        <w:t>The r</w:t>
      </w:r>
      <w:r w:rsidRPr="00A4560C">
        <w:rPr>
          <w:rFonts w:ascii="Times New Roman" w:eastAsia="Times New Roman" w:hAnsi="Times New Roman" w:cs="Times New Roman"/>
          <w:sz w:val="24"/>
          <w:szCs w:val="24"/>
          <w:lang w:eastAsia="en-AU"/>
        </w:rPr>
        <w:t>equirements may relate, for example</w:t>
      </w:r>
      <w:r w:rsidR="00A14C5D">
        <w:rPr>
          <w:rFonts w:ascii="Times New Roman" w:eastAsia="Times New Roman" w:hAnsi="Times New Roman" w:cs="Times New Roman"/>
          <w:sz w:val="24"/>
          <w:szCs w:val="24"/>
          <w:lang w:eastAsia="en-AU"/>
        </w:rPr>
        <w:t>, to</w:t>
      </w:r>
      <w:r w:rsidRPr="00A4560C">
        <w:rPr>
          <w:rFonts w:ascii="Times New Roman" w:eastAsia="Times New Roman" w:hAnsi="Times New Roman" w:cs="Times New Roman"/>
          <w:sz w:val="24"/>
          <w:szCs w:val="24"/>
          <w:lang w:eastAsia="en-AU"/>
        </w:rPr>
        <w:t>:</w:t>
      </w:r>
    </w:p>
    <w:p w14:paraId="1716BFC3" w14:textId="62D153A4" w:rsidR="00A4560C" w:rsidRPr="00AF44AF" w:rsidRDefault="00A4560C" w:rsidP="00B95A3B">
      <w:pPr>
        <w:pStyle w:val="ListParagraph"/>
        <w:numPr>
          <w:ilvl w:val="0"/>
          <w:numId w:val="11"/>
        </w:numPr>
        <w:spacing w:before="0" w:beforeAutospacing="0" w:after="120" w:afterAutospacing="0" w:line="276" w:lineRule="auto"/>
        <w:ind w:left="714" w:hanging="357"/>
      </w:pPr>
      <w:r w:rsidRPr="00AF44AF">
        <w:t xml:space="preserve">how </w:t>
      </w:r>
      <w:r w:rsidR="007C503B">
        <w:t>a permitted</w:t>
      </w:r>
      <w:r w:rsidRPr="00AF44AF">
        <w:t xml:space="preserve"> ingredient is to be used in the medicine, that is, as an active, homoeopathic or excipient </w:t>
      </w:r>
      <w:proofErr w:type="gramStart"/>
      <w:r w:rsidRPr="00AF44AF">
        <w:t>ingredient;</w:t>
      </w:r>
      <w:proofErr w:type="gramEnd"/>
    </w:p>
    <w:p w14:paraId="5EC76A23" w14:textId="0AA1EE28"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 xml:space="preserve">the intended method of ingestion or application of the medicine, for example, oral or topical </w:t>
      </w:r>
      <w:proofErr w:type="gramStart"/>
      <w:r w:rsidRPr="00AF44AF">
        <w:t>use;</w:t>
      </w:r>
      <w:proofErr w:type="gramEnd"/>
    </w:p>
    <w:p w14:paraId="233FB9CD" w14:textId="2FEF7CF5"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 xml:space="preserve">the source of the ingredient, or procedures to be followed in its </w:t>
      </w:r>
      <w:proofErr w:type="gramStart"/>
      <w:r w:rsidRPr="00AF44AF">
        <w:t>manufacture;</w:t>
      </w:r>
      <w:proofErr w:type="gramEnd"/>
    </w:p>
    <w:p w14:paraId="5EC7B554" w14:textId="4DFA7DF1"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appropriate limits on the volume or concentration of an ingredient; and</w:t>
      </w:r>
    </w:p>
    <w:p w14:paraId="2FA4BD86" w14:textId="746ABECD" w:rsidR="00A4560C" w:rsidRPr="00AF44AF" w:rsidRDefault="00A4560C" w:rsidP="001A7C14">
      <w:pPr>
        <w:pStyle w:val="ListParagraph"/>
        <w:numPr>
          <w:ilvl w:val="0"/>
          <w:numId w:val="11"/>
        </w:numPr>
        <w:spacing w:before="120" w:beforeAutospacing="0" w:after="0" w:afterAutospacing="0" w:line="276" w:lineRule="auto"/>
        <w:ind w:left="714" w:hanging="357"/>
      </w:pPr>
      <w:r w:rsidRPr="00AF44AF">
        <w:t>the inclusion of relevant safety information on product labels, for example, allergen advice or advice about the use of medicine containing the ingredient for susceptible members of the population such as children and pregnant women.</w:t>
      </w:r>
    </w:p>
    <w:p w14:paraId="08E44D00" w14:textId="77777777" w:rsidR="005B70D2" w:rsidRDefault="005B70D2" w:rsidP="001A7C14">
      <w:pPr>
        <w:keepNext/>
        <w:spacing w:after="0"/>
        <w:contextualSpacing/>
        <w:rPr>
          <w:rFonts w:ascii="Times New Roman" w:eastAsia="Times New Roman" w:hAnsi="Times New Roman" w:cs="Times New Roman"/>
          <w:sz w:val="24"/>
          <w:szCs w:val="24"/>
          <w:lang w:eastAsia="en-AU"/>
        </w:rPr>
      </w:pPr>
    </w:p>
    <w:p w14:paraId="54DA8C27" w14:textId="38AC0F2B" w:rsidR="00826DE8" w:rsidRDefault="006D4AB8" w:rsidP="00FD612D">
      <w:pPr>
        <w:spacing w:after="0"/>
        <w:rPr>
          <w:rFonts w:ascii="Times New Roman" w:eastAsia="Times New Roman" w:hAnsi="Times New Roman" w:cs="Times New Roman"/>
          <w:sz w:val="24"/>
          <w:szCs w:val="24"/>
          <w:lang w:eastAsia="en-AU"/>
        </w:rPr>
      </w:pPr>
      <w:r w:rsidRPr="002000F0">
        <w:rPr>
          <w:rFonts w:ascii="Times New Roman" w:eastAsia="Times New Roman" w:hAnsi="Times New Roman" w:cs="Times New Roman"/>
          <w:sz w:val="24"/>
          <w:szCs w:val="24"/>
          <w:lang w:eastAsia="en-AU"/>
        </w:rPr>
        <w:t xml:space="preserve">The Determination incorporates </w:t>
      </w:r>
      <w:proofErr w:type="gramStart"/>
      <w:r w:rsidRPr="002000F0">
        <w:rPr>
          <w:rFonts w:ascii="Times New Roman" w:eastAsia="Times New Roman" w:hAnsi="Times New Roman" w:cs="Times New Roman"/>
          <w:sz w:val="24"/>
          <w:szCs w:val="24"/>
          <w:lang w:eastAsia="en-AU"/>
        </w:rPr>
        <w:t>a number of</w:t>
      </w:r>
      <w:proofErr w:type="gramEnd"/>
      <w:r w:rsidRPr="002000F0">
        <w:rPr>
          <w:rFonts w:ascii="Times New Roman" w:eastAsia="Times New Roman" w:hAnsi="Times New Roman" w:cs="Times New Roman"/>
          <w:sz w:val="24"/>
          <w:szCs w:val="24"/>
          <w:lang w:eastAsia="en-AU"/>
        </w:rPr>
        <w:t xml:space="preserve"> changes in comparison to the former Determination, including in particular:</w:t>
      </w:r>
    </w:p>
    <w:p w14:paraId="3FD0CC03" w14:textId="09D69C17" w:rsidR="009F17D8" w:rsidRDefault="009F17D8" w:rsidP="00FD612D">
      <w:pPr>
        <w:pStyle w:val="ListParagraph"/>
        <w:numPr>
          <w:ilvl w:val="0"/>
          <w:numId w:val="37"/>
        </w:numPr>
        <w:spacing w:before="0" w:beforeAutospacing="0"/>
        <w:ind w:left="714" w:hanging="357"/>
      </w:pPr>
      <w:r w:rsidRPr="009F17D8">
        <w:t xml:space="preserve">the addition of the </w:t>
      </w:r>
      <w:r w:rsidR="00C61010">
        <w:t xml:space="preserve">following </w:t>
      </w:r>
      <w:r w:rsidRPr="009F17D8">
        <w:t>new ingredient</w:t>
      </w:r>
      <w:r w:rsidR="00C61010">
        <w:t>s</w:t>
      </w:r>
      <w:r w:rsidRPr="009F17D8">
        <w:t xml:space="preserve"> for use in listed and assessed listed medicines</w:t>
      </w:r>
      <w:r w:rsidR="00C61010">
        <w:t>:</w:t>
      </w:r>
    </w:p>
    <w:p w14:paraId="0AFC79B7" w14:textId="6122864C" w:rsidR="00C61010" w:rsidRDefault="00C61010" w:rsidP="00C61010">
      <w:pPr>
        <w:pStyle w:val="ListParagraph"/>
        <w:numPr>
          <w:ilvl w:val="1"/>
          <w:numId w:val="37"/>
        </w:numPr>
      </w:pPr>
      <w:r>
        <w:t>‘beeswax alcohols’; and</w:t>
      </w:r>
    </w:p>
    <w:p w14:paraId="1AA6F9AA" w14:textId="46F2CEEE" w:rsidR="00C61010" w:rsidRDefault="00C61010" w:rsidP="00C61010">
      <w:pPr>
        <w:pStyle w:val="ListParagraph"/>
        <w:numPr>
          <w:ilvl w:val="1"/>
          <w:numId w:val="37"/>
        </w:numPr>
      </w:pPr>
      <w:r>
        <w:t>‘glyceryl mono and dicaprylocaprate</w:t>
      </w:r>
      <w:proofErr w:type="gramStart"/>
      <w:r>
        <w:t>’;</w:t>
      </w:r>
      <w:proofErr w:type="gramEnd"/>
    </w:p>
    <w:p w14:paraId="1A1ADDC4" w14:textId="79F4CFB2" w:rsidR="009F17D8" w:rsidRDefault="009F17D8" w:rsidP="009511A0">
      <w:pPr>
        <w:pStyle w:val="ListParagraph"/>
        <w:numPr>
          <w:ilvl w:val="0"/>
          <w:numId w:val="37"/>
        </w:numPr>
      </w:pPr>
      <w:r w:rsidRPr="009F17D8">
        <w:t>updates to applicable requirements for the following ingredients:</w:t>
      </w:r>
    </w:p>
    <w:p w14:paraId="64DAEE4E" w14:textId="7FF21582" w:rsidR="009F17D8" w:rsidRDefault="009F17D8" w:rsidP="009F17D8">
      <w:pPr>
        <w:pStyle w:val="ListParagraph"/>
        <w:numPr>
          <w:ilvl w:val="1"/>
          <w:numId w:val="37"/>
        </w:numPr>
      </w:pPr>
      <w:r w:rsidRPr="00C61010">
        <w:rPr>
          <w:i/>
          <w:iCs/>
        </w:rPr>
        <w:t>Bacillus coagulans</w:t>
      </w:r>
      <w:r w:rsidRPr="00C61010">
        <w:t>, following evaluation of the Microbial Type Culture Collection accession number 5856 strain</w:t>
      </w:r>
      <w:r w:rsidR="00AE6F15">
        <w:t xml:space="preserve"> of this ingredient</w:t>
      </w:r>
      <w:r w:rsidRPr="00C61010">
        <w:t xml:space="preserve"> </w:t>
      </w:r>
      <w:r w:rsidRPr="009F17D8">
        <w:t xml:space="preserve">for use in listed and assessed listed </w:t>
      </w:r>
      <w:proofErr w:type="gramStart"/>
      <w:r w:rsidRPr="009F17D8">
        <w:t>medicines</w:t>
      </w:r>
      <w:r>
        <w:t>;</w:t>
      </w:r>
      <w:proofErr w:type="gramEnd"/>
    </w:p>
    <w:p w14:paraId="585FC8FB" w14:textId="1220E4DE" w:rsidR="00C61010" w:rsidRDefault="00AE6F15" w:rsidP="00C61010">
      <w:pPr>
        <w:pStyle w:val="ListParagraph"/>
        <w:numPr>
          <w:ilvl w:val="0"/>
          <w:numId w:val="37"/>
        </w:numPr>
      </w:pPr>
      <w:r>
        <w:t xml:space="preserve">an </w:t>
      </w:r>
      <w:r w:rsidR="00C61010">
        <w:t>u</w:t>
      </w:r>
      <w:r w:rsidR="00C61010" w:rsidRPr="00C61010">
        <w:t>pdat</w:t>
      </w:r>
      <w:r w:rsidR="00C61010">
        <w:t>e to</w:t>
      </w:r>
      <w:r w:rsidR="00C61010" w:rsidRPr="00C61010">
        <w:t xml:space="preserve"> the ingredient name ‘</w:t>
      </w:r>
      <w:r w:rsidR="00C61010" w:rsidRPr="00C61010">
        <w:rPr>
          <w:i/>
          <w:iCs/>
        </w:rPr>
        <w:t>Dictamnus desycarpus</w:t>
      </w:r>
      <w:r w:rsidR="00C61010" w:rsidRPr="00C61010">
        <w:t>’ to ‘</w:t>
      </w:r>
      <w:r w:rsidR="00C61010" w:rsidRPr="00C61010">
        <w:rPr>
          <w:i/>
          <w:iCs/>
        </w:rPr>
        <w:t>Dictamnus dasycarpus</w:t>
      </w:r>
      <w:r w:rsidR="00C61010" w:rsidRPr="00C61010">
        <w:t xml:space="preserve">’ </w:t>
      </w:r>
      <w:r w:rsidR="00C61010" w:rsidRPr="003846D3">
        <w:t xml:space="preserve">to align </w:t>
      </w:r>
      <w:r w:rsidR="00C61010">
        <w:t xml:space="preserve">the name of this ingredient in the Determination </w:t>
      </w:r>
      <w:r w:rsidR="00C61010" w:rsidRPr="003846D3">
        <w:t xml:space="preserve">with the Australian Approved Names </w:t>
      </w:r>
      <w:proofErr w:type="gramStart"/>
      <w:r w:rsidR="00C61010" w:rsidRPr="003846D3">
        <w:t>List</w:t>
      </w:r>
      <w:r w:rsidR="00C61010">
        <w:t>;</w:t>
      </w:r>
      <w:proofErr w:type="gramEnd"/>
    </w:p>
    <w:p w14:paraId="0DD61F1E" w14:textId="7A9E0DDA" w:rsidR="009F17D8" w:rsidRDefault="00C61010" w:rsidP="00C61010">
      <w:pPr>
        <w:pStyle w:val="ListParagraph"/>
        <w:numPr>
          <w:ilvl w:val="0"/>
          <w:numId w:val="37"/>
        </w:numPr>
      </w:pPr>
      <w:r w:rsidRPr="00C61010">
        <w:t>the clarification of requirements for the ingredient ‘</w:t>
      </w:r>
      <w:r w:rsidRPr="00C61010">
        <w:rPr>
          <w:i/>
          <w:iCs/>
        </w:rPr>
        <w:t>Lepidium meyenii’</w:t>
      </w:r>
      <w:r w:rsidRPr="00C61010">
        <w:t>, including the incorporation of minor formatting changes</w:t>
      </w:r>
      <w:r w:rsidR="009F17D8" w:rsidRPr="009F17D8">
        <w:t xml:space="preserve">, to </w:t>
      </w:r>
      <w:r w:rsidR="00AE6F15">
        <w:t xml:space="preserve">better </w:t>
      </w:r>
      <w:r w:rsidR="009F17D8" w:rsidRPr="009F17D8">
        <w:t xml:space="preserve">reflect the outcome of the </w:t>
      </w:r>
      <w:r w:rsidR="00AE6F15">
        <w:t xml:space="preserve">evaluation of the suitability of this </w:t>
      </w:r>
      <w:r w:rsidR="009F17D8" w:rsidRPr="009F17D8">
        <w:t>ingredient</w:t>
      </w:r>
      <w:r w:rsidR="00AE6F15">
        <w:t xml:space="preserve"> for use in listed and assessed listed medicines</w:t>
      </w:r>
      <w:r>
        <w:t>; and</w:t>
      </w:r>
    </w:p>
    <w:p w14:paraId="45939E91" w14:textId="684E0B40" w:rsidR="009F17D8" w:rsidRDefault="009F17D8" w:rsidP="009F17D8">
      <w:pPr>
        <w:pStyle w:val="ListParagraph"/>
        <w:numPr>
          <w:ilvl w:val="0"/>
          <w:numId w:val="37"/>
        </w:numPr>
      </w:pPr>
      <w:r>
        <w:t>the removal of requirements for the following ingredients to reflect the expiry of periods of exclusive uses for sponsors:</w:t>
      </w:r>
    </w:p>
    <w:p w14:paraId="1FF1459E" w14:textId="77777777" w:rsidR="009F17D8" w:rsidRDefault="009F17D8" w:rsidP="00C61010">
      <w:pPr>
        <w:pStyle w:val="ListParagraph"/>
        <w:numPr>
          <w:ilvl w:val="1"/>
          <w:numId w:val="37"/>
        </w:numPr>
      </w:pPr>
      <w:r>
        <w:t>citrulline; and</w:t>
      </w:r>
    </w:p>
    <w:p w14:paraId="0C226FED" w14:textId="77E38F2E" w:rsidR="009F17D8" w:rsidRPr="009F17D8" w:rsidRDefault="009F17D8" w:rsidP="00FD612D">
      <w:pPr>
        <w:pStyle w:val="ListParagraph"/>
        <w:numPr>
          <w:ilvl w:val="1"/>
          <w:numId w:val="37"/>
        </w:numPr>
        <w:spacing w:after="0" w:afterAutospacing="0"/>
        <w:ind w:left="1434" w:hanging="357"/>
      </w:pPr>
      <w:r>
        <w:t>hydrogenated polydextrose</w:t>
      </w:r>
      <w:r w:rsidR="00C61010">
        <w:t>.</w:t>
      </w:r>
    </w:p>
    <w:p w14:paraId="3BCEB505" w14:textId="77777777" w:rsidR="009F17D8" w:rsidRDefault="009F17D8" w:rsidP="00FD612D">
      <w:pPr>
        <w:autoSpaceDE w:val="0"/>
        <w:autoSpaceDN w:val="0"/>
        <w:adjustRightInd w:val="0"/>
        <w:spacing w:after="0" w:line="240" w:lineRule="auto"/>
        <w:rPr>
          <w:rFonts w:ascii="Times New Roman" w:eastAsia="Times New Roman" w:hAnsi="Times New Roman" w:cs="Times New Roman"/>
          <w:sz w:val="24"/>
          <w:szCs w:val="24"/>
          <w:lang w:eastAsia="en-AU"/>
        </w:rPr>
      </w:pPr>
    </w:p>
    <w:p w14:paraId="43BACDC7" w14:textId="13B414CC" w:rsidR="00EF1F18" w:rsidRDefault="00EF1F18" w:rsidP="00FD612D">
      <w:pPr>
        <w:autoSpaceDE w:val="0"/>
        <w:autoSpaceDN w:val="0"/>
        <w:adjustRightInd w:val="0"/>
        <w:spacing w:after="0"/>
        <w:rPr>
          <w:rFonts w:ascii="Times New Roman" w:eastAsia="Times New Roman" w:hAnsi="Times New Roman" w:cs="Times New Roman"/>
          <w:b/>
          <w:bCs/>
          <w:sz w:val="24"/>
          <w:szCs w:val="24"/>
          <w:lang w:eastAsia="en-AU"/>
        </w:rPr>
      </w:pPr>
      <w:r w:rsidRPr="0026650C">
        <w:rPr>
          <w:rFonts w:ascii="Times New Roman" w:eastAsia="Times New Roman" w:hAnsi="Times New Roman" w:cs="Times New Roman"/>
          <w:b/>
          <w:bCs/>
          <w:sz w:val="24"/>
          <w:szCs w:val="24"/>
          <w:lang w:eastAsia="en-AU"/>
        </w:rPr>
        <w:t>C</w:t>
      </w:r>
      <w:r w:rsidR="00E1152E" w:rsidRPr="0026650C">
        <w:rPr>
          <w:rFonts w:ascii="Times New Roman" w:eastAsia="Times New Roman" w:hAnsi="Times New Roman" w:cs="Times New Roman"/>
          <w:b/>
          <w:bCs/>
          <w:sz w:val="24"/>
          <w:szCs w:val="24"/>
          <w:lang w:eastAsia="en-AU"/>
        </w:rPr>
        <w:t>onsultation</w:t>
      </w:r>
    </w:p>
    <w:p w14:paraId="7E8E901A" w14:textId="77777777" w:rsidR="003034B3" w:rsidRDefault="003034B3" w:rsidP="00FD612D">
      <w:pPr>
        <w:autoSpaceDE w:val="0"/>
        <w:autoSpaceDN w:val="0"/>
        <w:adjustRightInd w:val="0"/>
        <w:spacing w:after="0"/>
        <w:rPr>
          <w:rFonts w:ascii="Times New Roman" w:eastAsia="Times New Roman" w:hAnsi="Times New Roman" w:cs="Times New Roman"/>
          <w:b/>
          <w:bCs/>
          <w:sz w:val="24"/>
          <w:szCs w:val="24"/>
          <w:lang w:eastAsia="en-AU"/>
        </w:rPr>
      </w:pPr>
    </w:p>
    <w:p w14:paraId="10FC5204" w14:textId="1E2D7061" w:rsidR="00EE5F22" w:rsidRDefault="003E5AEA">
      <w:pPr>
        <w:autoSpaceDE w:val="0"/>
        <w:autoSpaceDN w:val="0"/>
        <w:adjustRightInd w:val="0"/>
        <w:spacing w:after="0"/>
        <w:rPr>
          <w:rFonts w:ascii="Times New Roman" w:eastAsia="Times New Roman" w:hAnsi="Times New Roman" w:cs="Times New Roman"/>
          <w:sz w:val="24"/>
          <w:szCs w:val="24"/>
          <w:lang w:eastAsia="en-AU"/>
        </w:rPr>
      </w:pPr>
      <w:r w:rsidRPr="00807896">
        <w:rPr>
          <w:rFonts w:ascii="Times New Roman" w:eastAsia="Times New Roman" w:hAnsi="Times New Roman" w:cs="Times New Roman"/>
          <w:sz w:val="24"/>
          <w:szCs w:val="24"/>
          <w:lang w:eastAsia="en-AU"/>
        </w:rPr>
        <w:t xml:space="preserve">The </w:t>
      </w:r>
      <w:r w:rsidR="005873CF" w:rsidRPr="005873CF">
        <w:rPr>
          <w:rFonts w:ascii="Times New Roman" w:eastAsia="Times New Roman" w:hAnsi="Times New Roman" w:cs="Times New Roman"/>
          <w:sz w:val="24"/>
          <w:szCs w:val="24"/>
          <w:lang w:eastAsia="en-AU"/>
        </w:rPr>
        <w:t>Office of Best Practice Regulation</w:t>
      </w:r>
      <w:r w:rsidR="005873CF">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OBPR</w:t>
      </w:r>
      <w:r w:rsidR="005873CF">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Pr="00807896">
        <w:rPr>
          <w:rFonts w:ascii="Times New Roman" w:eastAsia="Times New Roman" w:hAnsi="Times New Roman" w:cs="Times New Roman"/>
          <w:sz w:val="24"/>
          <w:szCs w:val="24"/>
          <w:lang w:eastAsia="en-AU"/>
        </w:rPr>
        <w:t>has previously advised that a regulatory impact statement is not required for updates to determinations made under section 26BB of the Act that are minor or machinery in nature</w:t>
      </w:r>
      <w:r>
        <w:rPr>
          <w:rFonts w:ascii="Times New Roman" w:eastAsia="Times New Roman" w:hAnsi="Times New Roman" w:cs="Times New Roman"/>
          <w:sz w:val="24"/>
          <w:szCs w:val="24"/>
          <w:lang w:eastAsia="en-AU"/>
        </w:rPr>
        <w:t>, including</w:t>
      </w:r>
      <w:r w:rsidRPr="00807896">
        <w:rPr>
          <w:rFonts w:ascii="Times New Roman" w:eastAsia="Times New Roman" w:hAnsi="Times New Roman" w:cs="Times New Roman"/>
          <w:sz w:val="24"/>
          <w:szCs w:val="24"/>
          <w:lang w:eastAsia="en-AU"/>
        </w:rPr>
        <w:t xml:space="preserve"> the introduction of new permitted ingredients, corrections of errors, clarifications of requirements and ingredient names, changes to reflect scheduling decisions in the Poisons Standard </w:t>
      </w:r>
      <w:r w:rsidR="00FF6ED6">
        <w:rPr>
          <w:rFonts w:ascii="Times New Roman" w:eastAsia="Times New Roman" w:hAnsi="Times New Roman" w:cs="Times New Roman"/>
          <w:sz w:val="24"/>
          <w:szCs w:val="24"/>
          <w:lang w:eastAsia="en-AU"/>
        </w:rPr>
        <w:t>and</w:t>
      </w:r>
      <w:r w:rsidRPr="00807896">
        <w:rPr>
          <w:rFonts w:ascii="Times New Roman" w:eastAsia="Times New Roman" w:hAnsi="Times New Roman" w:cs="Times New Roman"/>
          <w:sz w:val="24"/>
          <w:szCs w:val="24"/>
          <w:lang w:eastAsia="en-AU"/>
        </w:rPr>
        <w:t xml:space="preserve"> the outcomes of TGA safety evaluations where the regulatory impacts are minor or machinery in nature (OBPR references 14416, 20999 and 21645</w:t>
      </w:r>
      <w:r>
        <w:rPr>
          <w:rFonts w:ascii="Times New Roman" w:eastAsia="Times New Roman" w:hAnsi="Times New Roman" w:cs="Times New Roman"/>
          <w:sz w:val="24"/>
          <w:szCs w:val="24"/>
          <w:lang w:eastAsia="en-AU"/>
        </w:rPr>
        <w:t>).</w:t>
      </w:r>
    </w:p>
    <w:p w14:paraId="503CFEFF" w14:textId="543124FA" w:rsidR="009F17D8" w:rsidRDefault="009F17D8">
      <w:pPr>
        <w:autoSpaceDE w:val="0"/>
        <w:autoSpaceDN w:val="0"/>
        <w:adjustRightInd w:val="0"/>
        <w:spacing w:after="0"/>
        <w:rPr>
          <w:rFonts w:ascii="Times New Roman" w:eastAsia="Times New Roman" w:hAnsi="Times New Roman" w:cs="Times New Roman"/>
          <w:sz w:val="24"/>
          <w:szCs w:val="24"/>
          <w:lang w:eastAsia="en-AU"/>
        </w:rPr>
      </w:pPr>
    </w:p>
    <w:p w14:paraId="7C645AD7" w14:textId="04005EE1" w:rsidR="009F17D8" w:rsidRDefault="009F17D8">
      <w:pPr>
        <w:autoSpaceDE w:val="0"/>
        <w:autoSpaceDN w:val="0"/>
        <w:adjustRightInd w:val="0"/>
        <w:spacing w:after="0"/>
        <w:rPr>
          <w:rFonts w:ascii="Times New Roman" w:eastAsia="Times New Roman" w:hAnsi="Times New Roman" w:cs="Times New Roman"/>
          <w:sz w:val="24"/>
          <w:szCs w:val="24"/>
          <w:lang w:eastAsia="en-AU"/>
        </w:rPr>
      </w:pPr>
      <w:r w:rsidRPr="009F17D8">
        <w:rPr>
          <w:rFonts w:ascii="Times New Roman" w:eastAsia="Times New Roman" w:hAnsi="Times New Roman" w:cs="Times New Roman"/>
          <w:sz w:val="24"/>
          <w:szCs w:val="24"/>
          <w:lang w:eastAsia="en-AU"/>
        </w:rPr>
        <w:t>Between January 2021 and February 2022</w:t>
      </w:r>
      <w:r w:rsidR="00C61010">
        <w:rPr>
          <w:rFonts w:ascii="Times New Roman" w:eastAsia="Times New Roman" w:hAnsi="Times New Roman" w:cs="Times New Roman"/>
          <w:sz w:val="24"/>
          <w:szCs w:val="24"/>
          <w:lang w:eastAsia="en-AU"/>
        </w:rPr>
        <w:t>,</w:t>
      </w:r>
      <w:r w:rsidRPr="009F17D8">
        <w:rPr>
          <w:rFonts w:ascii="Times New Roman" w:eastAsia="Times New Roman" w:hAnsi="Times New Roman" w:cs="Times New Roman"/>
          <w:sz w:val="24"/>
          <w:szCs w:val="24"/>
          <w:lang w:eastAsia="en-AU"/>
        </w:rPr>
        <w:t xml:space="preserve"> the TGA engaged directly with the applicant who applied for </w:t>
      </w:r>
      <w:r w:rsidR="00526197">
        <w:rPr>
          <w:rFonts w:ascii="Times New Roman" w:eastAsia="Times New Roman" w:hAnsi="Times New Roman" w:cs="Times New Roman"/>
          <w:sz w:val="24"/>
          <w:szCs w:val="24"/>
          <w:lang w:eastAsia="en-AU"/>
        </w:rPr>
        <w:t>updates to the applicable requirements for</w:t>
      </w:r>
      <w:r w:rsidRPr="009F17D8">
        <w:rPr>
          <w:rFonts w:ascii="Times New Roman" w:eastAsia="Times New Roman" w:hAnsi="Times New Roman" w:cs="Times New Roman"/>
          <w:sz w:val="24"/>
          <w:szCs w:val="24"/>
          <w:lang w:eastAsia="en-AU"/>
        </w:rPr>
        <w:t xml:space="preserve"> the ingredient </w:t>
      </w:r>
      <w:r>
        <w:rPr>
          <w:rFonts w:ascii="Times New Roman" w:eastAsia="Times New Roman" w:hAnsi="Times New Roman" w:cs="Times New Roman"/>
          <w:sz w:val="24"/>
          <w:szCs w:val="24"/>
          <w:lang w:eastAsia="en-AU"/>
        </w:rPr>
        <w:t>‘</w:t>
      </w:r>
      <w:r w:rsidRPr="009F17D8">
        <w:rPr>
          <w:rFonts w:ascii="Times New Roman" w:eastAsia="Times New Roman" w:hAnsi="Times New Roman" w:cs="Times New Roman"/>
          <w:i/>
          <w:iCs/>
          <w:sz w:val="24"/>
          <w:szCs w:val="24"/>
          <w:lang w:eastAsia="en-AU"/>
        </w:rPr>
        <w:t>Bacillus coagulans</w:t>
      </w:r>
      <w:r>
        <w:rPr>
          <w:rFonts w:ascii="Times New Roman" w:eastAsia="Times New Roman" w:hAnsi="Times New Roman" w:cs="Times New Roman"/>
          <w:i/>
          <w:iCs/>
          <w:sz w:val="24"/>
          <w:szCs w:val="24"/>
          <w:lang w:eastAsia="en-AU"/>
        </w:rPr>
        <w:t>’</w:t>
      </w:r>
      <w:r w:rsidRPr="009F17D8">
        <w:rPr>
          <w:rFonts w:ascii="Times New Roman" w:eastAsia="Times New Roman" w:hAnsi="Times New Roman" w:cs="Times New Roman"/>
          <w:sz w:val="24"/>
          <w:szCs w:val="24"/>
          <w:lang w:eastAsia="en-AU"/>
        </w:rPr>
        <w:t xml:space="preserve"> in connection with the application.</w:t>
      </w:r>
    </w:p>
    <w:p w14:paraId="61C16AF5" w14:textId="77777777" w:rsidR="009F17D8" w:rsidRDefault="009F17D8">
      <w:pPr>
        <w:autoSpaceDE w:val="0"/>
        <w:autoSpaceDN w:val="0"/>
        <w:adjustRightInd w:val="0"/>
        <w:spacing w:after="0"/>
        <w:rPr>
          <w:rFonts w:ascii="Times New Roman" w:eastAsia="Times New Roman" w:hAnsi="Times New Roman" w:cs="Times New Roman"/>
          <w:sz w:val="24"/>
          <w:szCs w:val="24"/>
          <w:lang w:eastAsia="en-AU"/>
        </w:rPr>
      </w:pPr>
    </w:p>
    <w:p w14:paraId="1B1370E2" w14:textId="511D7600" w:rsidR="009F17D8" w:rsidRDefault="009F17D8">
      <w:pPr>
        <w:autoSpaceDE w:val="0"/>
        <w:autoSpaceDN w:val="0"/>
        <w:adjustRightInd w:val="0"/>
        <w:spacing w:after="0"/>
        <w:rPr>
          <w:rFonts w:ascii="Times New Roman" w:eastAsia="Times New Roman" w:hAnsi="Times New Roman" w:cs="Times New Roman"/>
          <w:sz w:val="24"/>
          <w:szCs w:val="24"/>
          <w:lang w:eastAsia="en-AU"/>
        </w:rPr>
      </w:pPr>
      <w:r w:rsidRPr="009F17D8">
        <w:rPr>
          <w:rFonts w:ascii="Times New Roman" w:eastAsia="Times New Roman" w:hAnsi="Times New Roman" w:cs="Times New Roman"/>
          <w:sz w:val="24"/>
          <w:szCs w:val="24"/>
          <w:lang w:eastAsia="en-AU"/>
        </w:rPr>
        <w:t xml:space="preserve">Between February 2021 and March 2022, the TGA engaged directly with the applicant who applied for the approval of the ingredient ‘beeswax alcohols’ in connection with the application.  </w:t>
      </w:r>
    </w:p>
    <w:p w14:paraId="7244B6DD" w14:textId="51282675" w:rsidR="00C61010" w:rsidRDefault="00C61010">
      <w:pPr>
        <w:autoSpaceDE w:val="0"/>
        <w:autoSpaceDN w:val="0"/>
        <w:adjustRightInd w:val="0"/>
        <w:spacing w:after="0"/>
        <w:rPr>
          <w:rFonts w:ascii="Times New Roman" w:eastAsia="Times New Roman" w:hAnsi="Times New Roman" w:cs="Times New Roman"/>
          <w:sz w:val="24"/>
          <w:szCs w:val="24"/>
          <w:lang w:eastAsia="en-AU"/>
        </w:rPr>
      </w:pPr>
    </w:p>
    <w:p w14:paraId="307C9809" w14:textId="4654F1FB" w:rsidR="00C61010" w:rsidRDefault="00C61010" w:rsidP="00C61010">
      <w:pPr>
        <w:autoSpaceDE w:val="0"/>
        <w:autoSpaceDN w:val="0"/>
        <w:adjustRightInd w:val="0"/>
        <w:spacing w:after="0"/>
        <w:rPr>
          <w:rFonts w:ascii="Times New Roman" w:eastAsia="Times New Roman" w:hAnsi="Times New Roman" w:cs="Times New Roman"/>
          <w:sz w:val="24"/>
          <w:szCs w:val="24"/>
          <w:lang w:eastAsia="en-AU"/>
        </w:rPr>
      </w:pPr>
      <w:r w:rsidRPr="009F17D8">
        <w:rPr>
          <w:rFonts w:ascii="Times New Roman" w:eastAsia="Times New Roman" w:hAnsi="Times New Roman" w:cs="Times New Roman"/>
          <w:sz w:val="24"/>
          <w:szCs w:val="24"/>
          <w:lang w:eastAsia="en-AU"/>
        </w:rPr>
        <w:t xml:space="preserve">Between </w:t>
      </w:r>
      <w:r>
        <w:rPr>
          <w:rFonts w:ascii="Times New Roman" w:eastAsia="Times New Roman" w:hAnsi="Times New Roman" w:cs="Times New Roman"/>
          <w:sz w:val="24"/>
          <w:szCs w:val="24"/>
          <w:lang w:eastAsia="en-AU"/>
        </w:rPr>
        <w:t>May</w:t>
      </w:r>
      <w:r w:rsidRPr="009F17D8">
        <w:rPr>
          <w:rFonts w:ascii="Times New Roman" w:eastAsia="Times New Roman" w:hAnsi="Times New Roman" w:cs="Times New Roman"/>
          <w:sz w:val="24"/>
          <w:szCs w:val="24"/>
          <w:lang w:eastAsia="en-AU"/>
        </w:rPr>
        <w:t xml:space="preserve"> 2021 and March 2022, the TGA engaged directly with the applicant who applied for the approval of the ingredient ‘</w:t>
      </w:r>
      <w:r>
        <w:rPr>
          <w:rFonts w:ascii="Times New Roman" w:eastAsia="Times New Roman" w:hAnsi="Times New Roman" w:cs="Times New Roman"/>
          <w:sz w:val="24"/>
          <w:szCs w:val="24"/>
          <w:lang w:eastAsia="en-AU"/>
        </w:rPr>
        <w:t>glyceryl mono and dicaprylocaprate’</w:t>
      </w:r>
      <w:r w:rsidRPr="009F17D8">
        <w:rPr>
          <w:rFonts w:ascii="Times New Roman" w:eastAsia="Times New Roman" w:hAnsi="Times New Roman" w:cs="Times New Roman"/>
          <w:sz w:val="24"/>
          <w:szCs w:val="24"/>
          <w:lang w:eastAsia="en-AU"/>
        </w:rPr>
        <w:t xml:space="preserve"> in connection with the application.  </w:t>
      </w:r>
    </w:p>
    <w:p w14:paraId="0C583F2F" w14:textId="77777777" w:rsidR="00C61010" w:rsidRDefault="00C61010">
      <w:pPr>
        <w:autoSpaceDE w:val="0"/>
        <w:autoSpaceDN w:val="0"/>
        <w:adjustRightInd w:val="0"/>
        <w:spacing w:after="0"/>
        <w:rPr>
          <w:rFonts w:ascii="Times New Roman" w:eastAsia="Times New Roman" w:hAnsi="Times New Roman" w:cs="Times New Roman"/>
          <w:sz w:val="24"/>
          <w:szCs w:val="24"/>
          <w:lang w:eastAsia="en-AU"/>
        </w:rPr>
      </w:pPr>
    </w:p>
    <w:p w14:paraId="7F9C8590" w14:textId="77777777" w:rsidR="009F17D8" w:rsidRDefault="009F17D8">
      <w:pPr>
        <w:autoSpaceDE w:val="0"/>
        <w:autoSpaceDN w:val="0"/>
        <w:adjustRightInd w:val="0"/>
        <w:spacing w:after="0"/>
        <w:rPr>
          <w:rFonts w:ascii="Times New Roman" w:eastAsia="Times New Roman" w:hAnsi="Times New Roman" w:cs="Times New Roman"/>
          <w:sz w:val="24"/>
          <w:szCs w:val="24"/>
          <w:lang w:eastAsia="en-AU"/>
        </w:rPr>
      </w:pPr>
    </w:p>
    <w:p w14:paraId="1065313E" w14:textId="77777777" w:rsidR="009F17D8" w:rsidRPr="002000F0" w:rsidRDefault="009F17D8">
      <w:pPr>
        <w:autoSpaceDE w:val="0"/>
        <w:autoSpaceDN w:val="0"/>
        <w:adjustRightInd w:val="0"/>
        <w:spacing w:after="0"/>
        <w:rPr>
          <w:rFonts w:ascii="Times New Roman" w:eastAsia="Times New Roman" w:hAnsi="Times New Roman" w:cs="Times New Roman"/>
          <w:sz w:val="24"/>
          <w:szCs w:val="24"/>
          <w:lang w:eastAsia="en-AU"/>
        </w:rPr>
      </w:pPr>
    </w:p>
    <w:p w14:paraId="7A00BF75" w14:textId="02ADDD4F" w:rsidR="0050197A" w:rsidRDefault="0050197A" w:rsidP="000152DF">
      <w:pPr>
        <w:keepNext/>
        <w:autoSpaceDE w:val="0"/>
        <w:autoSpaceDN w:val="0"/>
        <w:adjustRightInd w:val="0"/>
        <w:spacing w:after="0"/>
        <w:rPr>
          <w:rFonts w:ascii="Times New Roman" w:hAnsi="Times New Roman" w:cs="Times New Roman"/>
          <w:b/>
          <w:sz w:val="24"/>
          <w:szCs w:val="24"/>
          <w:lang w:eastAsia="en-AU"/>
        </w:rPr>
      </w:pPr>
      <w:r w:rsidRPr="00B94E86">
        <w:rPr>
          <w:rFonts w:ascii="Times New Roman" w:hAnsi="Times New Roman" w:cs="Times New Roman"/>
          <w:b/>
          <w:sz w:val="24"/>
          <w:szCs w:val="24"/>
          <w:lang w:eastAsia="en-AU"/>
        </w:rPr>
        <w:lastRenderedPageBreak/>
        <w:t>Incorporation</w:t>
      </w:r>
      <w:r>
        <w:rPr>
          <w:rFonts w:ascii="Times New Roman" w:hAnsi="Times New Roman" w:cs="Times New Roman"/>
          <w:b/>
          <w:sz w:val="24"/>
          <w:szCs w:val="24"/>
          <w:lang w:eastAsia="en-AU"/>
        </w:rPr>
        <w:t xml:space="preserve"> by reference</w:t>
      </w:r>
    </w:p>
    <w:p w14:paraId="630FC084" w14:textId="77777777" w:rsidR="005B70D2" w:rsidRPr="001A7C14" w:rsidRDefault="005B70D2" w:rsidP="000152DF">
      <w:pPr>
        <w:keepNext/>
        <w:autoSpaceDE w:val="0"/>
        <w:autoSpaceDN w:val="0"/>
        <w:adjustRightInd w:val="0"/>
        <w:spacing w:after="0"/>
        <w:rPr>
          <w:rFonts w:ascii="Times New Roman" w:eastAsia="Times New Roman" w:hAnsi="Times New Roman" w:cs="Times New Roman"/>
          <w:b/>
          <w:bCs/>
          <w:sz w:val="24"/>
          <w:szCs w:val="24"/>
          <w:lang w:eastAsia="en-AU"/>
        </w:rPr>
      </w:pPr>
    </w:p>
    <w:p w14:paraId="09BDDD8C" w14:textId="7F27DB71"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The </w:t>
      </w:r>
      <w:r w:rsidRPr="0034672A">
        <w:rPr>
          <w:rFonts w:ascii="Times New Roman" w:eastAsia="Times New Roman" w:hAnsi="Times New Roman" w:cs="Times New Roman"/>
          <w:sz w:val="24"/>
          <w:szCs w:val="24"/>
          <w:lang w:eastAsia="en-AU"/>
        </w:rPr>
        <w:t>Determination</w:t>
      </w:r>
      <w:r>
        <w:rPr>
          <w:rFonts w:ascii="Times New Roman" w:hAnsi="Times New Roman" w:cs="Times New Roman"/>
          <w:sz w:val="24"/>
          <w:szCs w:val="24"/>
        </w:rPr>
        <w:t xml:space="preserve"> references each of the British Pharmacopoeia, European Pharmacopoeia and United States Pharmacopeia-National Formulary, and the note in section 4 of the Determination makes it clear that each of </w:t>
      </w:r>
      <w:proofErr w:type="gramStart"/>
      <w:r>
        <w:rPr>
          <w:rFonts w:ascii="Times New Roman" w:hAnsi="Times New Roman" w:cs="Times New Roman"/>
          <w:sz w:val="24"/>
          <w:szCs w:val="24"/>
        </w:rPr>
        <w:t>these pharmacopoeia</w:t>
      </w:r>
      <w:proofErr w:type="gramEnd"/>
      <w:r>
        <w:rPr>
          <w:rFonts w:ascii="Times New Roman" w:hAnsi="Times New Roman" w:cs="Times New Roman"/>
          <w:sz w:val="24"/>
          <w:szCs w:val="24"/>
        </w:rPr>
        <w:t xml:space="preserve"> are those as defined in subsection 3(1) of the Act.</w:t>
      </w:r>
    </w:p>
    <w:p w14:paraId="371A8AD8"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53E90904" w14:textId="6F2E0151"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The definitions of the pharmacopoeia in subsection 3(1) of the Act refer to the publications of each as in effect immediately before the commencement of the relevant definition in the Act, and to any subsequent amendments or editions. </w:t>
      </w:r>
      <w:r w:rsidR="00E60C26">
        <w:rPr>
          <w:rFonts w:ascii="Times New Roman" w:hAnsi="Times New Roman" w:cs="Times New Roman"/>
          <w:sz w:val="24"/>
          <w:szCs w:val="24"/>
        </w:rPr>
        <w:t xml:space="preserve"> </w:t>
      </w:r>
      <w:r>
        <w:rPr>
          <w:rFonts w:ascii="Times New Roman" w:hAnsi="Times New Roman" w:cs="Times New Roman"/>
          <w:sz w:val="24"/>
          <w:szCs w:val="24"/>
        </w:rPr>
        <w:t xml:space="preserve">The intention in this Determination is therefore to adopt the defined meaning of the pharmacopoeia as set out in subsection 3(1) of the Act (an approach permitted by subsection </w:t>
      </w:r>
      <w:r w:rsidR="004E2CE6">
        <w:rPr>
          <w:rFonts w:ascii="Times New Roman" w:hAnsi="Times New Roman" w:cs="Times New Roman"/>
          <w:sz w:val="24"/>
          <w:szCs w:val="24"/>
        </w:rPr>
        <w:t>26</w:t>
      </w:r>
      <w:proofErr w:type="gramStart"/>
      <w:r w:rsidR="004E2CE6">
        <w:rPr>
          <w:rFonts w:ascii="Times New Roman" w:hAnsi="Times New Roman" w:cs="Times New Roman"/>
          <w:sz w:val="24"/>
          <w:szCs w:val="24"/>
        </w:rPr>
        <w:t>BB</w:t>
      </w:r>
      <w:r>
        <w:rPr>
          <w:rFonts w:ascii="Times New Roman" w:hAnsi="Times New Roman" w:cs="Times New Roman"/>
          <w:sz w:val="24"/>
          <w:szCs w:val="24"/>
        </w:rPr>
        <w:t>(</w:t>
      </w:r>
      <w:proofErr w:type="gramEnd"/>
      <w:r w:rsidR="004E2CE6">
        <w:rPr>
          <w:rFonts w:ascii="Times New Roman" w:hAnsi="Times New Roman" w:cs="Times New Roman"/>
          <w:sz w:val="24"/>
          <w:szCs w:val="24"/>
        </w:rPr>
        <w:t>8</w:t>
      </w:r>
      <w:r>
        <w:rPr>
          <w:rFonts w:ascii="Times New Roman" w:hAnsi="Times New Roman" w:cs="Times New Roman"/>
          <w:sz w:val="24"/>
          <w:szCs w:val="24"/>
        </w:rPr>
        <w:t xml:space="preserve">) of the Act). </w:t>
      </w:r>
      <w:r w:rsidR="00E60C26">
        <w:rPr>
          <w:rFonts w:ascii="Times New Roman" w:hAnsi="Times New Roman" w:cs="Times New Roman"/>
          <w:sz w:val="24"/>
          <w:szCs w:val="24"/>
        </w:rPr>
        <w:t xml:space="preserve"> </w:t>
      </w:r>
      <w:proofErr w:type="gramStart"/>
      <w:r>
        <w:rPr>
          <w:rFonts w:ascii="Times New Roman" w:hAnsi="Times New Roman" w:cs="Times New Roman"/>
          <w:sz w:val="24"/>
          <w:szCs w:val="24"/>
        </w:rPr>
        <w:t>Th</w:t>
      </w:r>
      <w:r w:rsidR="008C2503">
        <w:rPr>
          <w:rFonts w:ascii="Times New Roman" w:hAnsi="Times New Roman" w:cs="Times New Roman"/>
          <w:sz w:val="24"/>
          <w:szCs w:val="24"/>
        </w:rPr>
        <w:t>ose</w:t>
      </w:r>
      <w:r>
        <w:rPr>
          <w:rFonts w:ascii="Times New Roman" w:hAnsi="Times New Roman" w:cs="Times New Roman"/>
          <w:sz w:val="24"/>
          <w:szCs w:val="24"/>
        </w:rPr>
        <w:t xml:space="preserve"> pharmacopoeia</w:t>
      </w:r>
      <w:proofErr w:type="gramEnd"/>
      <w:r>
        <w:rPr>
          <w:rFonts w:ascii="Times New Roman" w:hAnsi="Times New Roman" w:cs="Times New Roman"/>
          <w:sz w:val="24"/>
          <w:szCs w:val="24"/>
        </w:rPr>
        <w:t xml:space="preserve"> may be accessed from </w:t>
      </w:r>
      <w:hyperlink r:id="rId8" w:history="1">
        <w:r w:rsidRPr="00BB66B5">
          <w:rPr>
            <w:rStyle w:val="Hyperlink"/>
            <w:rFonts w:ascii="Times New Roman" w:hAnsi="Times New Roman" w:cs="Times New Roman"/>
            <w:sz w:val="24"/>
            <w:szCs w:val="24"/>
          </w:rPr>
          <w:t>www.pharmacopoeia.com/</w:t>
        </w:r>
      </w:hyperlink>
      <w:r>
        <w:rPr>
          <w:rFonts w:ascii="Times New Roman" w:hAnsi="Times New Roman" w:cs="Times New Roman"/>
          <w:sz w:val="24"/>
          <w:szCs w:val="24"/>
        </w:rPr>
        <w:t xml:space="preserve">, </w:t>
      </w:r>
      <w:hyperlink r:id="rId9" w:history="1">
        <w:r w:rsidR="00EF4059" w:rsidRPr="00061A97">
          <w:rPr>
            <w:rStyle w:val="Hyperlink"/>
            <w:rFonts w:ascii="Times New Roman" w:hAnsi="Times New Roman" w:cs="Times New Roman"/>
            <w:sz w:val="24"/>
            <w:szCs w:val="24"/>
          </w:rPr>
          <w:t>https://pheur.edqm.eu/home</w:t>
        </w:r>
      </w:hyperlink>
      <w:r>
        <w:rPr>
          <w:rFonts w:ascii="Times New Roman" w:hAnsi="Times New Roman" w:cs="Times New Roman"/>
          <w:sz w:val="24"/>
          <w:szCs w:val="24"/>
        </w:rPr>
        <w:t xml:space="preserve"> and </w:t>
      </w:r>
      <w:hyperlink r:id="rId10" w:history="1">
        <w:r w:rsidRPr="00BB66B5">
          <w:rPr>
            <w:rStyle w:val="Hyperlink"/>
            <w:rFonts w:ascii="Times New Roman" w:hAnsi="Times New Roman" w:cs="Times New Roman"/>
            <w:sz w:val="24"/>
            <w:szCs w:val="24"/>
          </w:rPr>
          <w:t>www.uspnf.com/</w:t>
        </w:r>
      </w:hyperlink>
      <w:r>
        <w:rPr>
          <w:rFonts w:ascii="Times New Roman" w:hAnsi="Times New Roman" w:cs="Times New Roman"/>
          <w:sz w:val="24"/>
          <w:szCs w:val="24"/>
        </w:rPr>
        <w:t>.</w:t>
      </w:r>
    </w:p>
    <w:p w14:paraId="3229837D"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2E0BD165" w14:textId="6B8A9C6E" w:rsidR="0050197A" w:rsidRPr="00361A1D" w:rsidRDefault="0050197A" w:rsidP="001A7C14">
      <w:pPr>
        <w:autoSpaceDE w:val="0"/>
        <w:autoSpaceDN w:val="0"/>
        <w:adjustRightInd w:val="0"/>
        <w:spacing w:after="0"/>
        <w:rPr>
          <w:rStyle w:val="Hyperlink"/>
          <w:color w:val="auto"/>
        </w:rPr>
      </w:pPr>
      <w:r>
        <w:rPr>
          <w:rFonts w:ascii="Times New Roman" w:hAnsi="Times New Roman" w:cs="Times New Roman"/>
          <w:sz w:val="24"/>
          <w:szCs w:val="24"/>
        </w:rPr>
        <w:t xml:space="preserve">The Determination also adopts the </w:t>
      </w:r>
      <w:r w:rsidRPr="006B644D">
        <w:rPr>
          <w:rFonts w:ascii="Times New Roman" w:hAnsi="Times New Roman" w:cs="Times New Roman"/>
          <w:sz w:val="24"/>
          <w:szCs w:val="24"/>
        </w:rPr>
        <w:t>Food Chemicals Codex (</w:t>
      </w:r>
      <w:r>
        <w:rPr>
          <w:rFonts w:ascii="Times New Roman" w:hAnsi="Times New Roman" w:cs="Times New Roman"/>
          <w:sz w:val="24"/>
          <w:szCs w:val="24"/>
        </w:rPr>
        <w:t xml:space="preserve">“the </w:t>
      </w:r>
      <w:r w:rsidRPr="006B644D">
        <w:rPr>
          <w:rFonts w:ascii="Times New Roman" w:hAnsi="Times New Roman" w:cs="Times New Roman"/>
          <w:sz w:val="24"/>
          <w:szCs w:val="24"/>
        </w:rPr>
        <w:t>FCC</w:t>
      </w:r>
      <w:r>
        <w:rPr>
          <w:rFonts w:ascii="Times New Roman" w:hAnsi="Times New Roman" w:cs="Times New Roman"/>
          <w:sz w:val="24"/>
          <w:szCs w:val="24"/>
        </w:rPr>
        <w:t>”</w:t>
      </w:r>
      <w:r w:rsidRPr="006B644D">
        <w:rPr>
          <w:rFonts w:ascii="Times New Roman" w:hAnsi="Times New Roman" w:cs="Times New Roman"/>
          <w:sz w:val="24"/>
          <w:szCs w:val="24"/>
        </w:rPr>
        <w:t>) published by the United States Pharmacopeial Convention</w:t>
      </w:r>
      <w:r>
        <w:rPr>
          <w:rFonts w:ascii="Times New Roman" w:hAnsi="Times New Roman" w:cs="Times New Roman"/>
          <w:sz w:val="24"/>
          <w:szCs w:val="24"/>
        </w:rPr>
        <w:t xml:space="preserve"> (available at </w:t>
      </w:r>
      <w:hyperlink r:id="rId11" w:history="1">
        <w:r w:rsidR="00A177A5" w:rsidRPr="00A177A5">
          <w:rPr>
            <w:rStyle w:val="Hyperlink"/>
            <w:rFonts w:ascii="Times New Roman" w:hAnsi="Times New Roman" w:cs="Times New Roman"/>
            <w:sz w:val="24"/>
            <w:szCs w:val="24"/>
          </w:rPr>
          <w:t>www.foodchemicalscodex.org/</w:t>
        </w:r>
      </w:hyperlink>
      <w:r>
        <w:rPr>
          <w:rFonts w:ascii="Times New Roman" w:hAnsi="Times New Roman" w:cs="Times New Roman"/>
          <w:sz w:val="24"/>
          <w:szCs w:val="24"/>
        </w:rPr>
        <w:t xml:space="preserve">). </w:t>
      </w:r>
      <w:r w:rsidR="004E2CE6">
        <w:rPr>
          <w:rFonts w:ascii="Times New Roman" w:hAnsi="Times New Roman" w:cs="Times New Roman"/>
          <w:sz w:val="24"/>
          <w:szCs w:val="24"/>
        </w:rPr>
        <w:t xml:space="preserve"> </w:t>
      </w:r>
      <w:r>
        <w:rPr>
          <w:rFonts w:ascii="Times New Roman" w:hAnsi="Times New Roman" w:cs="Times New Roman"/>
          <w:sz w:val="24"/>
          <w:szCs w:val="24"/>
        </w:rPr>
        <w:t>The intended manner of adoption of the FCC is also as it is in force or existing from time to time</w:t>
      </w:r>
      <w:r w:rsidR="004E2CE6">
        <w:rPr>
          <w:rFonts w:ascii="Times New Roman" w:hAnsi="Times New Roman" w:cs="Times New Roman"/>
          <w:sz w:val="24"/>
          <w:szCs w:val="24"/>
        </w:rPr>
        <w:t>, as permitted by subsection 26</w:t>
      </w:r>
      <w:proofErr w:type="gramStart"/>
      <w:r w:rsidR="004E2CE6">
        <w:rPr>
          <w:rFonts w:ascii="Times New Roman" w:hAnsi="Times New Roman" w:cs="Times New Roman"/>
          <w:sz w:val="24"/>
          <w:szCs w:val="24"/>
        </w:rPr>
        <w:t>BB(</w:t>
      </w:r>
      <w:proofErr w:type="gramEnd"/>
      <w:r w:rsidR="004E2CE6">
        <w:rPr>
          <w:rFonts w:ascii="Times New Roman" w:hAnsi="Times New Roman" w:cs="Times New Roman"/>
          <w:sz w:val="24"/>
          <w:szCs w:val="24"/>
        </w:rPr>
        <w:t>8) of the Act</w:t>
      </w:r>
      <w:r>
        <w:rPr>
          <w:rFonts w:ascii="Times New Roman" w:hAnsi="Times New Roman" w:cs="Times New Roman"/>
          <w:sz w:val="24"/>
          <w:szCs w:val="24"/>
        </w:rPr>
        <w:t xml:space="preserve">. </w:t>
      </w:r>
      <w:r w:rsidR="00E60C26">
        <w:rPr>
          <w:rFonts w:ascii="Times New Roman" w:hAnsi="Times New Roman" w:cs="Times New Roman"/>
          <w:sz w:val="24"/>
          <w:szCs w:val="24"/>
        </w:rPr>
        <w:t xml:space="preserve"> </w:t>
      </w:r>
      <w:r w:rsidRPr="00A2081A">
        <w:rPr>
          <w:rFonts w:ascii="Times New Roman" w:hAnsi="Times New Roman" w:cs="Times New Roman"/>
          <w:sz w:val="24"/>
          <w:szCs w:val="24"/>
          <w:lang w:eastAsia="en-AU"/>
        </w:rPr>
        <w:t xml:space="preserve">The Determination </w:t>
      </w:r>
      <w:r>
        <w:rPr>
          <w:rFonts w:ascii="Times New Roman" w:hAnsi="Times New Roman" w:cs="Times New Roman"/>
          <w:sz w:val="24"/>
          <w:szCs w:val="24"/>
          <w:lang w:eastAsia="en-AU"/>
        </w:rPr>
        <w:t xml:space="preserve">adopts each of the </w:t>
      </w:r>
      <w:r w:rsidRPr="00361A1D">
        <w:rPr>
          <w:rStyle w:val="Hyperlink"/>
          <w:rFonts w:ascii="Times New Roman" w:hAnsi="Times New Roman" w:cs="Times New Roman"/>
          <w:i/>
          <w:color w:val="auto"/>
          <w:sz w:val="24"/>
          <w:szCs w:val="24"/>
          <w:u w:val="none"/>
        </w:rPr>
        <w:t>Animal Products Act 1999</w:t>
      </w:r>
      <w:r w:rsidRPr="00361A1D">
        <w:rPr>
          <w:rStyle w:val="Hyperlink"/>
          <w:color w:val="auto"/>
          <w:u w:val="none"/>
        </w:rPr>
        <w:t xml:space="preserve"> </w:t>
      </w:r>
      <w:r w:rsidRPr="00361A1D">
        <w:rPr>
          <w:rStyle w:val="Hyperlink"/>
          <w:rFonts w:ascii="Times New Roman" w:hAnsi="Times New Roman" w:cs="Times New Roman"/>
          <w:color w:val="auto"/>
          <w:sz w:val="24"/>
          <w:szCs w:val="24"/>
          <w:u w:val="none"/>
        </w:rPr>
        <w:t xml:space="preserve">and the </w:t>
      </w:r>
      <w:r w:rsidRPr="00361A1D">
        <w:rPr>
          <w:rStyle w:val="Hyperlink"/>
          <w:rFonts w:ascii="Times New Roman" w:hAnsi="Times New Roman" w:cs="Times New Roman"/>
          <w:i/>
          <w:color w:val="auto"/>
          <w:sz w:val="24"/>
          <w:szCs w:val="24"/>
          <w:u w:val="none"/>
        </w:rPr>
        <w:t>Animal Welfare Act 1999</w:t>
      </w:r>
      <w:r w:rsidRPr="00361A1D">
        <w:rPr>
          <w:rStyle w:val="Hyperlink"/>
          <w:rFonts w:ascii="Times New Roman" w:hAnsi="Times New Roman" w:cs="Times New Roman"/>
          <w:color w:val="auto"/>
          <w:sz w:val="24"/>
          <w:szCs w:val="24"/>
          <w:u w:val="none"/>
        </w:rPr>
        <w:t xml:space="preserve"> </w:t>
      </w:r>
      <w:r>
        <w:rPr>
          <w:rFonts w:ascii="Times New Roman" w:hAnsi="Times New Roman" w:cs="Times New Roman"/>
          <w:sz w:val="24"/>
          <w:szCs w:val="24"/>
          <w:lang w:eastAsia="en-AU"/>
        </w:rPr>
        <w:t xml:space="preserve">of New Zealand on the same basis. </w:t>
      </w:r>
      <w:r w:rsidR="004E2CE6">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 xml:space="preserve">These Acts are available for free from </w:t>
      </w:r>
      <w:hyperlink r:id="rId12" w:history="1">
        <w:r w:rsidRPr="00BB66B5">
          <w:rPr>
            <w:rStyle w:val="Hyperlink"/>
            <w:rFonts w:ascii="Times New Roman" w:hAnsi="Times New Roman" w:cs="Times New Roman"/>
            <w:sz w:val="24"/>
            <w:szCs w:val="24"/>
          </w:rPr>
          <w:t>www.legislation.govt.nz/</w:t>
        </w:r>
      </w:hyperlink>
      <w:r w:rsidRPr="00361A1D">
        <w:rPr>
          <w:rStyle w:val="Hyperlink"/>
          <w:color w:val="auto"/>
        </w:rPr>
        <w:t>.</w:t>
      </w:r>
    </w:p>
    <w:p w14:paraId="7D08AC7D"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166CDB99" w14:textId="037AAE44"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lang w:eastAsia="en-AU"/>
        </w:rPr>
        <w:t>The Determination also includes a reference to a World Health Organization publication ‘</w:t>
      </w:r>
      <w:r w:rsidRPr="00B94E86">
        <w:rPr>
          <w:rFonts w:ascii="Times New Roman" w:hAnsi="Times New Roman" w:cs="Times New Roman"/>
          <w:i/>
          <w:sz w:val="24"/>
          <w:szCs w:val="24"/>
          <w:lang w:eastAsia="en-AU"/>
        </w:rPr>
        <w:t>Expert consultation on oral rehydration salts formulation</w:t>
      </w:r>
      <w:r>
        <w:rPr>
          <w:rFonts w:ascii="Times New Roman" w:hAnsi="Times New Roman" w:cs="Times New Roman"/>
          <w:sz w:val="24"/>
          <w:szCs w:val="24"/>
          <w:lang w:eastAsia="en-AU"/>
        </w:rPr>
        <w:t>’, dated 18 July 2001.</w:t>
      </w:r>
      <w:r w:rsidR="00E60C26">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 xml:space="preserve"> This document is available for free from</w:t>
      </w:r>
      <w:r w:rsidRPr="00CC73D8">
        <w:rPr>
          <w:rFonts w:ascii="Times New Roman" w:hAnsi="Times New Roman" w:cs="Times New Roman"/>
          <w:sz w:val="24"/>
          <w:szCs w:val="24"/>
          <w:lang w:eastAsia="en-AU"/>
        </w:rPr>
        <w:t xml:space="preserve"> </w:t>
      </w:r>
      <w:hyperlink r:id="rId13" w:history="1">
        <w:r w:rsidRPr="00BB66B5">
          <w:rPr>
            <w:rStyle w:val="Hyperlink"/>
            <w:rFonts w:ascii="Times New Roman" w:hAnsi="Times New Roman" w:cs="Times New Roman"/>
            <w:sz w:val="24"/>
            <w:szCs w:val="24"/>
          </w:rPr>
          <w:t>www.rehydrate.org/ors/expert-consultation.html</w:t>
        </w:r>
      </w:hyperlink>
      <w:r w:rsidRPr="00CC73D8">
        <w:rPr>
          <w:rFonts w:ascii="Times New Roman" w:hAnsi="Times New Roman" w:cs="Times New Roman"/>
          <w:sz w:val="24"/>
          <w:szCs w:val="24"/>
        </w:rPr>
        <w:t>.</w:t>
      </w:r>
    </w:p>
    <w:p w14:paraId="147C2040" w14:textId="3035EA7A" w:rsidR="005B70D2" w:rsidRPr="00FD612D"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1F710CEF" w14:textId="1B5A99CD" w:rsidR="003034B3" w:rsidRPr="00FD612D" w:rsidRDefault="003034B3" w:rsidP="001A7C14">
      <w:pPr>
        <w:autoSpaceDE w:val="0"/>
        <w:autoSpaceDN w:val="0"/>
        <w:adjustRightInd w:val="0"/>
        <w:spacing w:after="0"/>
        <w:rPr>
          <w:rFonts w:ascii="Times New Roman" w:eastAsia="Times New Roman" w:hAnsi="Times New Roman" w:cs="Times New Roman"/>
          <w:sz w:val="24"/>
          <w:szCs w:val="24"/>
          <w:lang w:eastAsia="en-AU"/>
        </w:rPr>
      </w:pPr>
      <w:r w:rsidRPr="00FD612D">
        <w:rPr>
          <w:rFonts w:ascii="Times New Roman" w:eastAsia="Times New Roman" w:hAnsi="Times New Roman" w:cs="Times New Roman"/>
          <w:sz w:val="24"/>
          <w:szCs w:val="24"/>
          <w:lang w:eastAsia="en-AU"/>
        </w:rPr>
        <w:t xml:space="preserve">The Determination </w:t>
      </w:r>
      <w:r w:rsidR="00526197">
        <w:rPr>
          <w:rFonts w:ascii="Times New Roman" w:eastAsia="Times New Roman" w:hAnsi="Times New Roman" w:cs="Times New Roman"/>
          <w:sz w:val="24"/>
          <w:szCs w:val="24"/>
          <w:lang w:eastAsia="en-AU"/>
        </w:rPr>
        <w:t>also incorporates matters by reference</w:t>
      </w:r>
      <w:r w:rsidR="002C0561">
        <w:rPr>
          <w:rFonts w:ascii="Times New Roman" w:eastAsia="Times New Roman" w:hAnsi="Times New Roman" w:cs="Times New Roman"/>
          <w:sz w:val="24"/>
          <w:szCs w:val="24"/>
          <w:lang w:eastAsia="en-AU"/>
        </w:rPr>
        <w:t xml:space="preserve"> to</w:t>
      </w:r>
      <w:r>
        <w:rPr>
          <w:rFonts w:ascii="Times New Roman" w:eastAsia="Times New Roman" w:hAnsi="Times New Roman" w:cs="Times New Roman"/>
          <w:sz w:val="24"/>
          <w:szCs w:val="24"/>
          <w:lang w:eastAsia="en-AU"/>
        </w:rPr>
        <w:t xml:space="preserve"> </w:t>
      </w:r>
      <w:r w:rsidR="00526197">
        <w:rPr>
          <w:rFonts w:ascii="Times New Roman" w:eastAsia="Times New Roman" w:hAnsi="Times New Roman" w:cs="Times New Roman"/>
          <w:sz w:val="24"/>
          <w:szCs w:val="24"/>
          <w:lang w:eastAsia="en-AU"/>
        </w:rPr>
        <w:t>the</w:t>
      </w:r>
      <w:r>
        <w:rPr>
          <w:rFonts w:ascii="Times New Roman" w:eastAsia="Times New Roman" w:hAnsi="Times New Roman" w:cs="Times New Roman"/>
          <w:sz w:val="24"/>
          <w:szCs w:val="24"/>
          <w:lang w:eastAsia="en-AU"/>
        </w:rPr>
        <w:t xml:space="preserve"> ‘code tables’ </w:t>
      </w:r>
      <w:r w:rsidR="00526197">
        <w:rPr>
          <w:rFonts w:ascii="Times New Roman" w:eastAsia="Times New Roman" w:hAnsi="Times New Roman" w:cs="Times New Roman"/>
          <w:sz w:val="24"/>
          <w:szCs w:val="24"/>
          <w:lang w:eastAsia="en-AU"/>
        </w:rPr>
        <w:t xml:space="preserve">and </w:t>
      </w:r>
      <w:r w:rsidR="002C0561">
        <w:rPr>
          <w:rFonts w:ascii="Times New Roman" w:eastAsia="Times New Roman" w:hAnsi="Times New Roman" w:cs="Times New Roman"/>
          <w:sz w:val="24"/>
          <w:szCs w:val="24"/>
          <w:lang w:eastAsia="en-AU"/>
        </w:rPr>
        <w:t>the ‘TGA eBusiness Services’</w:t>
      </w:r>
      <w:r w:rsidR="00526197">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in section 4. Th</w:t>
      </w:r>
      <w:r w:rsidR="002C0561">
        <w:rPr>
          <w:rFonts w:ascii="Times New Roman" w:eastAsia="Times New Roman" w:hAnsi="Times New Roman" w:cs="Times New Roman"/>
          <w:sz w:val="24"/>
          <w:szCs w:val="24"/>
          <w:lang w:eastAsia="en-AU"/>
        </w:rPr>
        <w:t>e</w:t>
      </w:r>
      <w:r>
        <w:rPr>
          <w:rFonts w:ascii="Times New Roman" w:eastAsia="Times New Roman" w:hAnsi="Times New Roman" w:cs="Times New Roman"/>
          <w:sz w:val="24"/>
          <w:szCs w:val="24"/>
          <w:lang w:eastAsia="en-AU"/>
        </w:rPr>
        <w:t xml:space="preserve"> </w:t>
      </w:r>
      <w:r w:rsidR="002C0561">
        <w:rPr>
          <w:rFonts w:ascii="Times New Roman" w:eastAsia="Times New Roman" w:hAnsi="Times New Roman" w:cs="Times New Roman"/>
          <w:sz w:val="24"/>
          <w:szCs w:val="24"/>
          <w:lang w:eastAsia="en-AU"/>
        </w:rPr>
        <w:t>code tables</w:t>
      </w:r>
      <w:r>
        <w:rPr>
          <w:rFonts w:ascii="Times New Roman" w:eastAsia="Times New Roman" w:hAnsi="Times New Roman" w:cs="Times New Roman"/>
          <w:sz w:val="24"/>
          <w:szCs w:val="24"/>
          <w:lang w:eastAsia="en-AU"/>
        </w:rPr>
        <w:t xml:space="preserve"> </w:t>
      </w:r>
      <w:r w:rsidR="002C0561">
        <w:rPr>
          <w:rFonts w:ascii="Times New Roman" w:eastAsia="Times New Roman" w:hAnsi="Times New Roman" w:cs="Times New Roman"/>
          <w:sz w:val="24"/>
          <w:szCs w:val="24"/>
          <w:lang w:eastAsia="en-AU"/>
        </w:rPr>
        <w:t xml:space="preserve">are </w:t>
      </w:r>
      <w:r>
        <w:rPr>
          <w:rFonts w:ascii="Times New Roman" w:eastAsia="Times New Roman" w:hAnsi="Times New Roman" w:cs="Times New Roman"/>
          <w:sz w:val="24"/>
          <w:szCs w:val="24"/>
          <w:lang w:eastAsia="en-AU"/>
        </w:rPr>
        <w:t xml:space="preserve">defined as the tables accessed </w:t>
      </w:r>
      <w:r w:rsidRPr="003034B3">
        <w:rPr>
          <w:rFonts w:ascii="Times New Roman" w:eastAsia="Times New Roman" w:hAnsi="Times New Roman" w:cs="Times New Roman"/>
          <w:sz w:val="24"/>
          <w:szCs w:val="24"/>
          <w:lang w:eastAsia="en-AU"/>
        </w:rPr>
        <w:t xml:space="preserve">via the </w:t>
      </w:r>
      <w:r w:rsidRPr="00FD612D">
        <w:rPr>
          <w:rFonts w:ascii="Times New Roman" w:eastAsia="Times New Roman" w:hAnsi="Times New Roman" w:cs="Times New Roman"/>
          <w:i/>
          <w:iCs/>
          <w:sz w:val="24"/>
          <w:szCs w:val="24"/>
          <w:lang w:eastAsia="en-AU"/>
        </w:rPr>
        <w:t>Code Tables</w:t>
      </w:r>
      <w:r w:rsidRPr="003034B3">
        <w:rPr>
          <w:rFonts w:ascii="Times New Roman" w:eastAsia="Times New Roman" w:hAnsi="Times New Roman" w:cs="Times New Roman"/>
          <w:sz w:val="24"/>
          <w:szCs w:val="24"/>
          <w:lang w:eastAsia="en-AU"/>
        </w:rPr>
        <w:t xml:space="preserve"> item in the </w:t>
      </w:r>
      <w:r w:rsidRPr="00FD612D">
        <w:rPr>
          <w:rFonts w:ascii="Times New Roman" w:eastAsia="Times New Roman" w:hAnsi="Times New Roman" w:cs="Times New Roman"/>
          <w:i/>
          <w:iCs/>
          <w:sz w:val="24"/>
          <w:szCs w:val="24"/>
          <w:lang w:eastAsia="en-AU"/>
        </w:rPr>
        <w:t>Public TGA Information</w:t>
      </w:r>
      <w:r w:rsidRPr="003034B3">
        <w:rPr>
          <w:rFonts w:ascii="Times New Roman" w:eastAsia="Times New Roman" w:hAnsi="Times New Roman" w:cs="Times New Roman"/>
          <w:sz w:val="24"/>
          <w:szCs w:val="24"/>
          <w:lang w:eastAsia="en-AU"/>
        </w:rPr>
        <w:t xml:space="preserve"> menu in TGA eBusiness Services</w:t>
      </w:r>
      <w:r>
        <w:rPr>
          <w:rFonts w:ascii="Times New Roman" w:eastAsia="Times New Roman" w:hAnsi="Times New Roman" w:cs="Times New Roman"/>
          <w:sz w:val="24"/>
          <w:szCs w:val="24"/>
          <w:lang w:eastAsia="en-AU"/>
        </w:rPr>
        <w:t xml:space="preserve">. </w:t>
      </w:r>
      <w:r w:rsidR="001A786B">
        <w:rPr>
          <w:rFonts w:ascii="Times New Roman" w:eastAsia="Times New Roman" w:hAnsi="Times New Roman" w:cs="Times New Roman"/>
          <w:sz w:val="24"/>
          <w:szCs w:val="24"/>
          <w:lang w:eastAsia="en-AU"/>
        </w:rPr>
        <w:t>‘</w:t>
      </w:r>
      <w:r w:rsidRPr="003034B3">
        <w:rPr>
          <w:rFonts w:ascii="Times New Roman" w:eastAsia="Times New Roman" w:hAnsi="Times New Roman" w:cs="Times New Roman"/>
          <w:sz w:val="24"/>
          <w:szCs w:val="24"/>
          <w:lang w:eastAsia="en-AU"/>
        </w:rPr>
        <w:t>TGA eBusiness Services</w:t>
      </w:r>
      <w:r w:rsidR="001A786B">
        <w:rPr>
          <w:rFonts w:ascii="Times New Roman" w:eastAsia="Times New Roman" w:hAnsi="Times New Roman" w:cs="Times New Roman"/>
          <w:sz w:val="24"/>
          <w:szCs w:val="24"/>
          <w:lang w:eastAsia="en-AU"/>
        </w:rPr>
        <w:t>’</w:t>
      </w:r>
      <w:r w:rsidRPr="003034B3">
        <w:rPr>
          <w:rFonts w:ascii="Times New Roman" w:eastAsia="Times New Roman" w:hAnsi="Times New Roman" w:cs="Times New Roman"/>
          <w:sz w:val="24"/>
          <w:szCs w:val="24"/>
          <w:lang w:eastAsia="en-AU"/>
        </w:rPr>
        <w:t xml:space="preserve"> </w:t>
      </w:r>
      <w:r w:rsidR="001A786B">
        <w:rPr>
          <w:rFonts w:ascii="Times New Roman" w:eastAsia="Times New Roman" w:hAnsi="Times New Roman" w:cs="Times New Roman"/>
          <w:sz w:val="24"/>
          <w:szCs w:val="24"/>
          <w:lang w:eastAsia="en-AU"/>
        </w:rPr>
        <w:t>is defined as meaning</w:t>
      </w:r>
      <w:r w:rsidRPr="003034B3">
        <w:rPr>
          <w:rFonts w:ascii="Times New Roman" w:eastAsia="Times New Roman" w:hAnsi="Times New Roman" w:cs="Times New Roman"/>
          <w:sz w:val="24"/>
          <w:szCs w:val="24"/>
          <w:lang w:eastAsia="en-AU"/>
        </w:rPr>
        <w:t xml:space="preserve"> TGA eBusiness Services on the Therapeutic Goods Administration website, which may be accessed on the internet at www.ebs.tga.gov.au.</w:t>
      </w:r>
      <w:r w:rsidR="001A786B">
        <w:rPr>
          <w:rFonts w:ascii="Times New Roman" w:eastAsia="Times New Roman" w:hAnsi="Times New Roman" w:cs="Times New Roman"/>
          <w:sz w:val="24"/>
          <w:szCs w:val="24"/>
          <w:lang w:eastAsia="en-AU"/>
        </w:rPr>
        <w:t xml:space="preserve"> </w:t>
      </w:r>
      <w:r w:rsidR="002C0561">
        <w:rPr>
          <w:rFonts w:ascii="Times New Roman" w:eastAsia="Times New Roman" w:hAnsi="Times New Roman" w:cs="Times New Roman"/>
          <w:sz w:val="24"/>
          <w:szCs w:val="24"/>
          <w:lang w:eastAsia="en-AU"/>
        </w:rPr>
        <w:t>Both t</w:t>
      </w:r>
      <w:r w:rsidR="001A786B">
        <w:rPr>
          <w:rFonts w:ascii="Times New Roman" w:eastAsia="Times New Roman" w:hAnsi="Times New Roman" w:cs="Times New Roman"/>
          <w:sz w:val="24"/>
          <w:szCs w:val="24"/>
          <w:lang w:eastAsia="en-AU"/>
        </w:rPr>
        <w:t>he code tables accessed in TGA eBusiness Services</w:t>
      </w:r>
      <w:r w:rsidR="002C0561">
        <w:rPr>
          <w:rFonts w:ascii="Times New Roman" w:eastAsia="Times New Roman" w:hAnsi="Times New Roman" w:cs="Times New Roman"/>
          <w:sz w:val="24"/>
          <w:szCs w:val="24"/>
          <w:lang w:eastAsia="en-AU"/>
        </w:rPr>
        <w:t>, and the TGA eBusiness Services,</w:t>
      </w:r>
      <w:r w:rsidR="001A786B">
        <w:rPr>
          <w:rFonts w:ascii="Times New Roman" w:eastAsia="Times New Roman" w:hAnsi="Times New Roman" w:cs="Times New Roman"/>
          <w:sz w:val="24"/>
          <w:szCs w:val="24"/>
          <w:lang w:eastAsia="en-AU"/>
        </w:rPr>
        <w:t xml:space="preserve"> are incorporated as in force or existing from time to time, </w:t>
      </w:r>
      <w:r w:rsidR="001A786B">
        <w:rPr>
          <w:rFonts w:ascii="Times New Roman" w:hAnsi="Times New Roman" w:cs="Times New Roman"/>
          <w:sz w:val="24"/>
          <w:szCs w:val="24"/>
        </w:rPr>
        <w:t>as permitted by subsection 26</w:t>
      </w:r>
      <w:proofErr w:type="gramStart"/>
      <w:r w:rsidR="001A786B">
        <w:rPr>
          <w:rFonts w:ascii="Times New Roman" w:hAnsi="Times New Roman" w:cs="Times New Roman"/>
          <w:sz w:val="24"/>
          <w:szCs w:val="24"/>
        </w:rPr>
        <w:t>BB(</w:t>
      </w:r>
      <w:proofErr w:type="gramEnd"/>
      <w:r w:rsidR="001A786B">
        <w:rPr>
          <w:rFonts w:ascii="Times New Roman" w:hAnsi="Times New Roman" w:cs="Times New Roman"/>
          <w:sz w:val="24"/>
          <w:szCs w:val="24"/>
        </w:rPr>
        <w:t xml:space="preserve">8) of the Act. They are </w:t>
      </w:r>
      <w:r w:rsidR="002C0561">
        <w:rPr>
          <w:rFonts w:ascii="Times New Roman" w:hAnsi="Times New Roman" w:cs="Times New Roman"/>
          <w:sz w:val="24"/>
          <w:szCs w:val="24"/>
        </w:rPr>
        <w:t xml:space="preserve">both </w:t>
      </w:r>
      <w:r w:rsidR="001A786B">
        <w:rPr>
          <w:rFonts w:ascii="Times New Roman" w:hAnsi="Times New Roman" w:cs="Times New Roman"/>
          <w:sz w:val="24"/>
          <w:szCs w:val="24"/>
        </w:rPr>
        <w:t>freely available from the TGA website.</w:t>
      </w:r>
    </w:p>
    <w:p w14:paraId="4BAEFBF6" w14:textId="77777777" w:rsidR="003034B3" w:rsidRPr="00FD612D" w:rsidRDefault="003034B3" w:rsidP="001A7C14">
      <w:pPr>
        <w:autoSpaceDE w:val="0"/>
        <w:autoSpaceDN w:val="0"/>
        <w:adjustRightInd w:val="0"/>
        <w:spacing w:after="0"/>
        <w:rPr>
          <w:rFonts w:ascii="Times New Roman" w:eastAsia="Times New Roman" w:hAnsi="Times New Roman" w:cs="Times New Roman"/>
          <w:sz w:val="24"/>
          <w:szCs w:val="24"/>
          <w:lang w:eastAsia="en-AU"/>
        </w:rPr>
      </w:pPr>
    </w:p>
    <w:p w14:paraId="69313021" w14:textId="62FB30B8"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lang w:eastAsia="en-AU"/>
        </w:rPr>
        <w:t>While unfortunately the pharmacopoeia and the FCC are not available for free,</w:t>
      </w:r>
      <w:r w:rsidRPr="00A2081A">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i</w:t>
      </w:r>
      <w:r w:rsidRPr="00A2081A">
        <w:rPr>
          <w:rFonts w:ascii="Times New Roman" w:hAnsi="Times New Roman" w:cs="Times New Roman"/>
          <w:sz w:val="24"/>
          <w:szCs w:val="24"/>
          <w:lang w:eastAsia="en-AU"/>
        </w:rPr>
        <w:t xml:space="preserve">t is anticipated that </w:t>
      </w:r>
      <w:r>
        <w:rPr>
          <w:rFonts w:ascii="Times New Roman" w:hAnsi="Times New Roman" w:cs="Times New Roman"/>
          <w:sz w:val="24"/>
          <w:szCs w:val="24"/>
          <w:lang w:eastAsia="en-AU"/>
        </w:rPr>
        <w:t>the persons most affected by their adoption in this Determination (</w:t>
      </w:r>
      <w:r w:rsidRPr="00A2081A">
        <w:rPr>
          <w:rFonts w:ascii="Times New Roman" w:hAnsi="Times New Roman" w:cs="Times New Roman"/>
          <w:sz w:val="24"/>
          <w:szCs w:val="24"/>
          <w:lang w:eastAsia="en-AU"/>
        </w:rPr>
        <w:t>sponsor</w:t>
      </w:r>
      <w:r>
        <w:rPr>
          <w:rFonts w:ascii="Times New Roman" w:hAnsi="Times New Roman" w:cs="Times New Roman"/>
          <w:sz w:val="24"/>
          <w:szCs w:val="24"/>
          <w:lang w:eastAsia="en-AU"/>
        </w:rPr>
        <w:t>s</w:t>
      </w:r>
      <w:r w:rsidRPr="00A2081A">
        <w:rPr>
          <w:rFonts w:ascii="Times New Roman" w:hAnsi="Times New Roman" w:cs="Times New Roman"/>
          <w:sz w:val="24"/>
          <w:szCs w:val="24"/>
          <w:lang w:eastAsia="en-AU"/>
        </w:rPr>
        <w:t xml:space="preserve"> of</w:t>
      </w:r>
      <w:r>
        <w:rPr>
          <w:rFonts w:ascii="Times New Roman" w:hAnsi="Times New Roman" w:cs="Times New Roman"/>
          <w:sz w:val="24"/>
          <w:szCs w:val="24"/>
          <w:lang w:eastAsia="en-AU"/>
        </w:rPr>
        <w:t> </w:t>
      </w:r>
      <w:r w:rsidRPr="00A2081A">
        <w:rPr>
          <w:rFonts w:ascii="Times New Roman" w:hAnsi="Times New Roman" w:cs="Times New Roman"/>
          <w:sz w:val="24"/>
          <w:szCs w:val="24"/>
          <w:lang w:eastAsia="en-AU"/>
        </w:rPr>
        <w:t>medicine</w:t>
      </w:r>
      <w:r>
        <w:rPr>
          <w:rFonts w:ascii="Times New Roman" w:hAnsi="Times New Roman" w:cs="Times New Roman"/>
          <w:sz w:val="24"/>
          <w:szCs w:val="24"/>
          <w:lang w:eastAsia="en-AU"/>
        </w:rPr>
        <w:t>s</w:t>
      </w:r>
      <w:r w:rsidRPr="00A2081A">
        <w:rPr>
          <w:rFonts w:ascii="Times New Roman" w:hAnsi="Times New Roman" w:cs="Times New Roman"/>
          <w:sz w:val="24"/>
          <w:szCs w:val="24"/>
          <w:lang w:eastAsia="en-AU"/>
        </w:rPr>
        <w:t xml:space="preserve"> included in the </w:t>
      </w:r>
      <w:r>
        <w:rPr>
          <w:rFonts w:ascii="Times New Roman" w:hAnsi="Times New Roman" w:cs="Times New Roman"/>
          <w:sz w:val="24"/>
          <w:szCs w:val="24"/>
          <w:lang w:eastAsia="en-AU"/>
        </w:rPr>
        <w:t>Register</w:t>
      </w:r>
      <w:r w:rsidRPr="00A2081A">
        <w:rPr>
          <w:rFonts w:ascii="Times New Roman" w:hAnsi="Times New Roman" w:cs="Times New Roman"/>
          <w:sz w:val="24"/>
          <w:szCs w:val="24"/>
          <w:lang w:eastAsia="en-AU"/>
        </w:rPr>
        <w:t xml:space="preserve"> and other interested persons in the medicine</w:t>
      </w:r>
      <w:r>
        <w:rPr>
          <w:rFonts w:ascii="Times New Roman" w:hAnsi="Times New Roman" w:cs="Times New Roman"/>
          <w:sz w:val="24"/>
          <w:szCs w:val="24"/>
          <w:lang w:eastAsia="en-AU"/>
        </w:rPr>
        <w:t xml:space="preserve">s industry using the Determination), </w:t>
      </w:r>
      <w:r w:rsidRPr="00A2081A">
        <w:rPr>
          <w:rFonts w:ascii="Times New Roman" w:hAnsi="Times New Roman" w:cs="Times New Roman"/>
          <w:sz w:val="24"/>
          <w:szCs w:val="24"/>
          <w:lang w:eastAsia="en-AU"/>
        </w:rPr>
        <w:t xml:space="preserve">would be in possession of these </w:t>
      </w:r>
      <w:r>
        <w:rPr>
          <w:rFonts w:ascii="Times New Roman" w:hAnsi="Times New Roman" w:cs="Times New Roman"/>
          <w:sz w:val="24"/>
          <w:szCs w:val="24"/>
          <w:lang w:eastAsia="en-AU"/>
        </w:rPr>
        <w:t>documents</w:t>
      </w:r>
      <w:r w:rsidRPr="00A2081A">
        <w:rPr>
          <w:rFonts w:ascii="Times New Roman" w:hAnsi="Times New Roman" w:cs="Times New Roman"/>
          <w:sz w:val="24"/>
          <w:szCs w:val="24"/>
          <w:lang w:eastAsia="en-AU"/>
        </w:rPr>
        <w:t xml:space="preserve"> </w:t>
      </w:r>
      <w:proofErr w:type="gramStart"/>
      <w:r w:rsidRPr="00A2081A">
        <w:rPr>
          <w:rFonts w:ascii="Times New Roman" w:hAnsi="Times New Roman" w:cs="Times New Roman"/>
          <w:sz w:val="24"/>
          <w:szCs w:val="24"/>
          <w:lang w:eastAsia="en-AU"/>
        </w:rPr>
        <w:t>in order to</w:t>
      </w:r>
      <w:proofErr w:type="gramEnd"/>
      <w:r w:rsidRPr="00A2081A">
        <w:rPr>
          <w:rFonts w:ascii="Times New Roman" w:hAnsi="Times New Roman" w:cs="Times New Roman"/>
          <w:sz w:val="24"/>
          <w:szCs w:val="24"/>
          <w:lang w:eastAsia="en-AU"/>
        </w:rPr>
        <w:t xml:space="preserve"> manufacture medicine</w:t>
      </w:r>
      <w:r>
        <w:rPr>
          <w:rFonts w:ascii="Times New Roman" w:hAnsi="Times New Roman" w:cs="Times New Roman"/>
          <w:sz w:val="24"/>
          <w:szCs w:val="24"/>
          <w:lang w:eastAsia="en-AU"/>
        </w:rPr>
        <w:t>s</w:t>
      </w:r>
      <w:r w:rsidRPr="00A2081A">
        <w:rPr>
          <w:rFonts w:ascii="Times New Roman" w:hAnsi="Times New Roman" w:cs="Times New Roman"/>
          <w:sz w:val="24"/>
          <w:szCs w:val="24"/>
          <w:lang w:eastAsia="en-AU"/>
        </w:rPr>
        <w:t xml:space="preserve"> or ingredients</w:t>
      </w:r>
      <w:r>
        <w:rPr>
          <w:rFonts w:ascii="Times New Roman" w:hAnsi="Times New Roman" w:cs="Times New Roman"/>
          <w:sz w:val="24"/>
          <w:szCs w:val="24"/>
          <w:lang w:eastAsia="en-AU"/>
        </w:rPr>
        <w:t>.</w:t>
      </w:r>
      <w:r w:rsidR="00E60C26">
        <w:rPr>
          <w:rFonts w:ascii="Times New Roman" w:hAnsi="Times New Roman" w:cs="Times New Roman"/>
          <w:sz w:val="24"/>
          <w:szCs w:val="24"/>
        </w:rPr>
        <w:t xml:space="preserve">  </w:t>
      </w:r>
      <w:r w:rsidRPr="00B13B06">
        <w:rPr>
          <w:rFonts w:ascii="Times New Roman" w:hAnsi="Times New Roman" w:cs="Times New Roman"/>
          <w:sz w:val="24"/>
          <w:szCs w:val="24"/>
        </w:rPr>
        <w:t xml:space="preserve">As important international benchmarks for the safety and quality of therapeutic goods, it would be </w:t>
      </w:r>
      <w:r>
        <w:rPr>
          <w:rFonts w:ascii="Times New Roman" w:hAnsi="Times New Roman" w:cs="Times New Roman"/>
          <w:sz w:val="24"/>
          <w:szCs w:val="24"/>
        </w:rPr>
        <w:t>in</w:t>
      </w:r>
      <w:r w:rsidRPr="00B13B06">
        <w:rPr>
          <w:rFonts w:ascii="Times New Roman" w:hAnsi="Times New Roman" w:cs="Times New Roman"/>
          <w:sz w:val="24"/>
          <w:szCs w:val="24"/>
        </w:rPr>
        <w:t xml:space="preserve">feasible from a regulatory perspective </w:t>
      </w:r>
      <w:r>
        <w:rPr>
          <w:rFonts w:ascii="Times New Roman" w:hAnsi="Times New Roman" w:cs="Times New Roman"/>
          <w:sz w:val="24"/>
          <w:szCs w:val="24"/>
        </w:rPr>
        <w:t xml:space="preserve">(particularly in relation to the safety of listed medicines that are not, for the most part, evaluated before being given marketing approval) </w:t>
      </w:r>
      <w:r w:rsidRPr="00B13B06">
        <w:rPr>
          <w:rFonts w:ascii="Times New Roman" w:hAnsi="Times New Roman" w:cs="Times New Roman"/>
          <w:sz w:val="24"/>
          <w:szCs w:val="24"/>
        </w:rPr>
        <w:t xml:space="preserve">to not adopt such benchmarks </w:t>
      </w:r>
      <w:r>
        <w:rPr>
          <w:rFonts w:ascii="Times New Roman" w:hAnsi="Times New Roman" w:cs="Times New Roman"/>
          <w:sz w:val="24"/>
          <w:szCs w:val="24"/>
        </w:rPr>
        <w:t>on the basis that</w:t>
      </w:r>
      <w:r w:rsidRPr="00B13B06">
        <w:rPr>
          <w:rFonts w:ascii="Times New Roman" w:hAnsi="Times New Roman" w:cs="Times New Roman"/>
          <w:sz w:val="24"/>
          <w:szCs w:val="24"/>
        </w:rPr>
        <w:t xml:space="preserve"> the</w:t>
      </w:r>
      <w:r>
        <w:rPr>
          <w:rFonts w:ascii="Times New Roman" w:hAnsi="Times New Roman" w:cs="Times New Roman"/>
          <w:sz w:val="24"/>
          <w:szCs w:val="24"/>
        </w:rPr>
        <w:t xml:space="preserve"> publications</w:t>
      </w:r>
      <w:r w:rsidRPr="00B13B06">
        <w:rPr>
          <w:rFonts w:ascii="Times New Roman" w:hAnsi="Times New Roman" w:cs="Times New Roman"/>
          <w:sz w:val="24"/>
          <w:szCs w:val="24"/>
        </w:rPr>
        <w:t xml:space="preserve"> are not available for free.</w:t>
      </w:r>
    </w:p>
    <w:p w14:paraId="5988E2FA"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350BBCA7" w14:textId="73E9EAB5" w:rsidR="00E715AB" w:rsidRDefault="00E715AB" w:rsidP="001A7C14">
      <w:pPr>
        <w:autoSpaceDE w:val="0"/>
        <w:autoSpaceDN w:val="0"/>
        <w:adjustRightInd w:val="0"/>
        <w:spacing w:after="0"/>
        <w:rPr>
          <w:rFonts w:ascii="Times New Roman" w:hAnsi="Times New Roman" w:cs="Times New Roman"/>
          <w:sz w:val="24"/>
          <w:szCs w:val="24"/>
        </w:rPr>
      </w:pPr>
      <w:r w:rsidRPr="00CA165D">
        <w:rPr>
          <w:rFonts w:ascii="Times New Roman" w:hAnsi="Times New Roman" w:cs="Times New Roman"/>
          <w:sz w:val="24"/>
          <w:szCs w:val="24"/>
        </w:rPr>
        <w:t>However, by prior written arrangement</w:t>
      </w:r>
      <w:r>
        <w:rPr>
          <w:rFonts w:ascii="Times New Roman" w:hAnsi="Times New Roman" w:cs="Times New Roman"/>
          <w:sz w:val="24"/>
          <w:szCs w:val="24"/>
        </w:rPr>
        <w:t xml:space="preserve"> with the TGA</w:t>
      </w:r>
      <w:r w:rsidRPr="00CA165D">
        <w:rPr>
          <w:rFonts w:ascii="Times New Roman" w:hAnsi="Times New Roman" w:cs="Times New Roman"/>
          <w:sz w:val="24"/>
          <w:szCs w:val="24"/>
        </w:rPr>
        <w:t xml:space="preserve">, </w:t>
      </w:r>
      <w:r>
        <w:rPr>
          <w:rFonts w:ascii="Times New Roman" w:hAnsi="Times New Roman" w:cs="Times New Roman"/>
          <w:sz w:val="24"/>
          <w:szCs w:val="24"/>
        </w:rPr>
        <w:t>members of the public may request to view the</w:t>
      </w:r>
      <w:r w:rsidRPr="00CA165D">
        <w:rPr>
          <w:rFonts w:ascii="Times New Roman" w:hAnsi="Times New Roman" w:cs="Times New Roman"/>
          <w:sz w:val="24"/>
          <w:szCs w:val="24"/>
        </w:rPr>
        <w:t xml:space="preserve"> pharmacopoeia </w:t>
      </w:r>
      <w:r>
        <w:rPr>
          <w:rFonts w:ascii="Times New Roman" w:hAnsi="Times New Roman" w:cs="Times New Roman"/>
          <w:sz w:val="24"/>
          <w:szCs w:val="24"/>
        </w:rPr>
        <w:t xml:space="preserve">and the FCC without charge </w:t>
      </w:r>
      <w:r w:rsidRPr="00CA165D">
        <w:rPr>
          <w:rFonts w:ascii="Times New Roman" w:hAnsi="Times New Roman" w:cs="Times New Roman"/>
          <w:sz w:val="24"/>
          <w:szCs w:val="24"/>
        </w:rPr>
        <w:t>at the TGA office in Symonston, ACT.</w:t>
      </w:r>
    </w:p>
    <w:p w14:paraId="6FDE1CA2"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1F1060FE" w14:textId="06101045" w:rsidR="0050197A" w:rsidRDefault="0050197A" w:rsidP="001A7C14">
      <w:pPr>
        <w:autoSpaceDE w:val="0"/>
        <w:autoSpaceDN w:val="0"/>
        <w:adjustRightInd w:val="0"/>
        <w:spacing w:after="0"/>
        <w:rPr>
          <w:rFonts w:ascii="Times New Roman" w:hAnsi="Times New Roman" w:cs="Times New Roman"/>
          <w:sz w:val="24"/>
          <w:szCs w:val="24"/>
        </w:rPr>
      </w:pPr>
      <w:r w:rsidRPr="00B13B06">
        <w:rPr>
          <w:rFonts w:ascii="Times New Roman" w:hAnsi="Times New Roman" w:cs="Times New Roman"/>
          <w:sz w:val="24"/>
          <w:szCs w:val="24"/>
        </w:rPr>
        <w:t xml:space="preserve">It should </w:t>
      </w:r>
      <w:r>
        <w:rPr>
          <w:rFonts w:ascii="Times New Roman" w:hAnsi="Times New Roman" w:cs="Times New Roman"/>
          <w:sz w:val="24"/>
          <w:szCs w:val="24"/>
        </w:rPr>
        <w:t xml:space="preserve">also </w:t>
      </w:r>
      <w:r w:rsidRPr="00B13B06">
        <w:rPr>
          <w:rFonts w:ascii="Times New Roman" w:hAnsi="Times New Roman" w:cs="Times New Roman"/>
          <w:sz w:val="24"/>
          <w:szCs w:val="24"/>
        </w:rPr>
        <w:t>be noted</w:t>
      </w:r>
      <w:r w:rsidR="00DC56A0">
        <w:rPr>
          <w:rFonts w:ascii="Times New Roman" w:hAnsi="Times New Roman" w:cs="Times New Roman"/>
          <w:sz w:val="24"/>
          <w:szCs w:val="24"/>
        </w:rPr>
        <w:t>, in relation to the pharmacopoeia,</w:t>
      </w:r>
      <w:r w:rsidRPr="00B13B06">
        <w:rPr>
          <w:rFonts w:ascii="Times New Roman" w:hAnsi="Times New Roman" w:cs="Times New Roman"/>
          <w:sz w:val="24"/>
          <w:szCs w:val="24"/>
        </w:rPr>
        <w:t xml:space="preserve"> that the National Library’s Trove online system (</w:t>
      </w:r>
      <w:hyperlink r:id="rId14" w:history="1">
        <w:r w:rsidRPr="00BB66B5">
          <w:rPr>
            <w:rStyle w:val="Hyperlink"/>
            <w:rFonts w:ascii="Times New Roman" w:hAnsi="Times New Roman" w:cs="Times New Roman"/>
            <w:sz w:val="24"/>
            <w:szCs w:val="24"/>
          </w:rPr>
          <w:t>www.trove.nla.gov.au/</w:t>
        </w:r>
      </w:hyperlink>
      <w:r w:rsidRPr="00B13B06">
        <w:rPr>
          <w:rFonts w:ascii="Times New Roman" w:hAnsi="Times New Roman" w:cs="Times New Roman"/>
          <w:sz w:val="24"/>
          <w:szCs w:val="24"/>
        </w:rPr>
        <w:t>) allows users to identify libraries in Australia that are open to the public where editions</w:t>
      </w:r>
      <w:r>
        <w:rPr>
          <w:rFonts w:ascii="Times New Roman" w:hAnsi="Times New Roman" w:cs="Times New Roman"/>
          <w:sz w:val="24"/>
          <w:szCs w:val="24"/>
        </w:rPr>
        <w:t xml:space="preserve"> </w:t>
      </w:r>
      <w:r w:rsidRPr="00B13B06">
        <w:rPr>
          <w:rFonts w:ascii="Times New Roman" w:hAnsi="Times New Roman" w:cs="Times New Roman"/>
          <w:sz w:val="24"/>
          <w:szCs w:val="24"/>
        </w:rPr>
        <w:t>(in most cases, earlier</w:t>
      </w:r>
      <w:r>
        <w:rPr>
          <w:rFonts w:ascii="Times New Roman" w:hAnsi="Times New Roman" w:cs="Times New Roman"/>
          <w:sz w:val="24"/>
          <w:szCs w:val="24"/>
        </w:rPr>
        <w:t xml:space="preserve"> editions</w:t>
      </w:r>
      <w:r w:rsidRPr="00B13B06">
        <w:rPr>
          <w:rFonts w:ascii="Times New Roman" w:hAnsi="Times New Roman" w:cs="Times New Roman"/>
          <w:sz w:val="24"/>
          <w:szCs w:val="24"/>
        </w:rPr>
        <w:t>)</w:t>
      </w:r>
      <w:r>
        <w:rPr>
          <w:rFonts w:ascii="Times New Roman" w:hAnsi="Times New Roman" w:cs="Times New Roman"/>
          <w:sz w:val="24"/>
          <w:szCs w:val="24"/>
        </w:rPr>
        <w:t xml:space="preserve"> </w:t>
      </w:r>
      <w:r w:rsidRPr="00B13B06">
        <w:rPr>
          <w:rFonts w:ascii="Times New Roman" w:hAnsi="Times New Roman" w:cs="Times New Roman"/>
          <w:sz w:val="24"/>
          <w:szCs w:val="24"/>
        </w:rPr>
        <w:t xml:space="preserve">of the pharmacopoeia may be viewed (for example, the University of Tasmania or the University of Western Australia in relation to the </w:t>
      </w:r>
      <w:r>
        <w:rPr>
          <w:rFonts w:ascii="Times New Roman" w:hAnsi="Times New Roman" w:cs="Times New Roman"/>
          <w:sz w:val="24"/>
          <w:szCs w:val="24"/>
        </w:rPr>
        <w:t>British Pharmacopoeia</w:t>
      </w:r>
      <w:r w:rsidRPr="00B13B06">
        <w:rPr>
          <w:rFonts w:ascii="Times New Roman" w:hAnsi="Times New Roman" w:cs="Times New Roman"/>
          <w:sz w:val="24"/>
          <w:szCs w:val="24"/>
        </w:rPr>
        <w:t xml:space="preserve">). </w:t>
      </w:r>
      <w:r w:rsidR="00E60C26">
        <w:rPr>
          <w:rFonts w:ascii="Times New Roman" w:hAnsi="Times New Roman" w:cs="Times New Roman"/>
          <w:sz w:val="24"/>
          <w:szCs w:val="24"/>
        </w:rPr>
        <w:t xml:space="preserve"> </w:t>
      </w:r>
      <w:r w:rsidRPr="00B13B06">
        <w:rPr>
          <w:rFonts w:ascii="Times New Roman" w:hAnsi="Times New Roman" w:cs="Times New Roman"/>
          <w:sz w:val="24"/>
          <w:szCs w:val="24"/>
        </w:rPr>
        <w:t xml:space="preserve">Members of the public may also approach any library that participates in inter-library loans </w:t>
      </w:r>
      <w:r>
        <w:rPr>
          <w:rFonts w:ascii="Times New Roman" w:hAnsi="Times New Roman" w:cs="Times New Roman"/>
          <w:sz w:val="24"/>
          <w:szCs w:val="24"/>
        </w:rPr>
        <w:t xml:space="preserve">with those university libraries </w:t>
      </w:r>
      <w:r w:rsidRPr="00B13B06">
        <w:rPr>
          <w:rFonts w:ascii="Times New Roman" w:hAnsi="Times New Roman" w:cs="Times New Roman"/>
          <w:sz w:val="24"/>
          <w:szCs w:val="24"/>
        </w:rPr>
        <w:t xml:space="preserve">to request an inter-library loan, </w:t>
      </w:r>
      <w:r>
        <w:rPr>
          <w:rFonts w:ascii="Times New Roman" w:hAnsi="Times New Roman" w:cs="Times New Roman"/>
          <w:sz w:val="24"/>
          <w:szCs w:val="24"/>
        </w:rPr>
        <w:t xml:space="preserve">or </w:t>
      </w:r>
      <w:r w:rsidRPr="00B13B06">
        <w:rPr>
          <w:rFonts w:ascii="Times New Roman" w:hAnsi="Times New Roman" w:cs="Times New Roman"/>
          <w:sz w:val="24"/>
          <w:szCs w:val="24"/>
        </w:rPr>
        <w:t>to obtain a photocopy of a particular part or monograph for personal study or research (but not for commercial purposes)</w:t>
      </w:r>
      <w:r w:rsidR="003034B3">
        <w:rPr>
          <w:rFonts w:ascii="Times New Roman" w:hAnsi="Times New Roman" w:cs="Times New Roman"/>
          <w:sz w:val="24"/>
          <w:szCs w:val="24"/>
        </w:rPr>
        <w:t>. Fees apply in relation to the making of such a request.</w:t>
      </w:r>
      <w:r w:rsidRPr="00B13B06">
        <w:rPr>
          <w:rFonts w:ascii="Times New Roman" w:hAnsi="Times New Roman" w:cs="Times New Roman"/>
          <w:sz w:val="24"/>
          <w:szCs w:val="24"/>
        </w:rPr>
        <w:t xml:space="preserve"> </w:t>
      </w:r>
      <w:r w:rsidR="003034B3">
        <w:rPr>
          <w:rFonts w:ascii="Times New Roman" w:hAnsi="Times New Roman" w:cs="Times New Roman"/>
          <w:sz w:val="24"/>
          <w:szCs w:val="24"/>
        </w:rPr>
        <w:t>E</w:t>
      </w:r>
      <w:r w:rsidRPr="00B13B06">
        <w:rPr>
          <w:rFonts w:ascii="Times New Roman" w:hAnsi="Times New Roman" w:cs="Times New Roman"/>
          <w:sz w:val="24"/>
          <w:szCs w:val="24"/>
        </w:rPr>
        <w:t>nquiries should be made with local libraries, State libraries and the National Library.</w:t>
      </w:r>
    </w:p>
    <w:p w14:paraId="113CA7A3"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5265C58B" w14:textId="56DB8B99"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F</w:t>
      </w:r>
      <w:r w:rsidRPr="00331C88">
        <w:rPr>
          <w:rFonts w:ascii="Times New Roman" w:hAnsi="Times New Roman" w:cs="Times New Roman"/>
          <w:sz w:val="24"/>
          <w:szCs w:val="24"/>
        </w:rPr>
        <w:t xml:space="preserve">or example, Trove indicates that free access to the </w:t>
      </w:r>
      <w:r>
        <w:rPr>
          <w:rFonts w:ascii="Times New Roman" w:hAnsi="Times New Roman" w:cs="Times New Roman"/>
          <w:sz w:val="24"/>
          <w:szCs w:val="24"/>
        </w:rPr>
        <w:t xml:space="preserve">2004 version of the European Pharmacopoeia </w:t>
      </w:r>
      <w:r w:rsidRPr="00331C88">
        <w:rPr>
          <w:rFonts w:ascii="Times New Roman" w:hAnsi="Times New Roman" w:cs="Times New Roman"/>
          <w:sz w:val="24"/>
          <w:szCs w:val="24"/>
        </w:rPr>
        <w:t>is av</w:t>
      </w:r>
      <w:r>
        <w:rPr>
          <w:rFonts w:ascii="Times New Roman" w:hAnsi="Times New Roman" w:cs="Times New Roman"/>
          <w:sz w:val="24"/>
          <w:szCs w:val="24"/>
        </w:rPr>
        <w:t xml:space="preserve">ailable through Open University </w:t>
      </w:r>
      <w:r w:rsidRPr="00331C88">
        <w:rPr>
          <w:rFonts w:ascii="Times New Roman" w:hAnsi="Times New Roman" w:cs="Times New Roman"/>
          <w:sz w:val="24"/>
          <w:szCs w:val="24"/>
        </w:rPr>
        <w:t>(</w:t>
      </w:r>
      <w:hyperlink r:id="rId15" w:history="1">
        <w:r w:rsidRPr="00BB66B5">
          <w:rPr>
            <w:rStyle w:val="Hyperlink"/>
            <w:rFonts w:ascii="Times New Roman" w:hAnsi="Times New Roman" w:cs="Times New Roman"/>
            <w:sz w:val="24"/>
            <w:szCs w:val="24"/>
          </w:rPr>
          <w:t>www.openlibrary.org/books/OL22071008M/European_pharmacopoeia</w:t>
        </w:r>
      </w:hyperlink>
      <w:r w:rsidRPr="00331C88">
        <w:rPr>
          <w:rFonts w:ascii="Times New Roman" w:hAnsi="Times New Roman" w:cs="Times New Roman"/>
          <w:sz w:val="24"/>
          <w:szCs w:val="24"/>
        </w:rPr>
        <w:t>),</w:t>
      </w:r>
      <w:r>
        <w:rPr>
          <w:rFonts w:ascii="Times New Roman" w:hAnsi="Times New Roman" w:cs="Times New Roman"/>
          <w:sz w:val="24"/>
          <w:szCs w:val="24"/>
        </w:rPr>
        <w:t xml:space="preserve"> </w:t>
      </w:r>
      <w:r w:rsidRPr="00331C88">
        <w:rPr>
          <w:rFonts w:ascii="Times New Roman" w:hAnsi="Times New Roman" w:cs="Times New Roman"/>
          <w:sz w:val="24"/>
          <w:szCs w:val="24"/>
        </w:rPr>
        <w:t>and that access to</w:t>
      </w:r>
      <w:r>
        <w:rPr>
          <w:rFonts w:ascii="Times New Roman" w:hAnsi="Times New Roman" w:cs="Times New Roman"/>
          <w:sz w:val="24"/>
          <w:szCs w:val="24"/>
        </w:rPr>
        <w:t> </w:t>
      </w:r>
      <w:r w:rsidRPr="00331C88">
        <w:rPr>
          <w:rFonts w:ascii="Times New Roman" w:hAnsi="Times New Roman" w:cs="Times New Roman"/>
          <w:sz w:val="24"/>
          <w:szCs w:val="24"/>
        </w:rPr>
        <w:t>the 1996 edi</w:t>
      </w:r>
      <w:r>
        <w:rPr>
          <w:rFonts w:ascii="Times New Roman" w:hAnsi="Times New Roman" w:cs="Times New Roman"/>
          <w:sz w:val="24"/>
          <w:szCs w:val="24"/>
        </w:rPr>
        <w:t>tion of the FCC</w:t>
      </w:r>
      <w:r w:rsidRPr="00331C88">
        <w:rPr>
          <w:rFonts w:ascii="Times New Roman" w:hAnsi="Times New Roman" w:cs="Times New Roman"/>
          <w:sz w:val="24"/>
          <w:szCs w:val="24"/>
        </w:rPr>
        <w:t xml:space="preserve"> is available at the University of Melbourne Library and the Hawksbury Campus Library of the Western Sydney University</w:t>
      </w:r>
      <w:r>
        <w:rPr>
          <w:rFonts w:ascii="Times New Roman" w:hAnsi="Times New Roman" w:cs="Times New Roman"/>
          <w:sz w:val="24"/>
          <w:szCs w:val="24"/>
        </w:rPr>
        <w:t>, which are</w:t>
      </w:r>
      <w:r w:rsidRPr="00331C88">
        <w:rPr>
          <w:rFonts w:ascii="Times New Roman" w:hAnsi="Times New Roman" w:cs="Times New Roman"/>
          <w:sz w:val="24"/>
          <w:szCs w:val="24"/>
        </w:rPr>
        <w:t xml:space="preserve"> both open to the public.</w:t>
      </w:r>
    </w:p>
    <w:p w14:paraId="7C177C36"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25583419" w14:textId="0BB66386" w:rsidR="0050197A" w:rsidRDefault="0050197A" w:rsidP="001A7C14">
      <w:pPr>
        <w:autoSpaceDE w:val="0"/>
        <w:autoSpaceDN w:val="0"/>
        <w:adjustRightInd w:val="0"/>
        <w:spacing w:after="0"/>
        <w:rPr>
          <w:rFonts w:ascii="Times New Roman" w:hAnsi="Times New Roman" w:cs="Times New Roman"/>
          <w:sz w:val="24"/>
          <w:szCs w:val="24"/>
        </w:rPr>
      </w:pPr>
      <w:r w:rsidRPr="00953BDD">
        <w:rPr>
          <w:rFonts w:ascii="Times New Roman" w:hAnsi="Times New Roman" w:cs="Times New Roman"/>
          <w:sz w:val="24"/>
          <w:szCs w:val="24"/>
        </w:rPr>
        <w:t xml:space="preserve">Details of the Determination are set out in </w:t>
      </w:r>
      <w:r w:rsidRPr="006B644D">
        <w:rPr>
          <w:rFonts w:ascii="Times New Roman" w:hAnsi="Times New Roman" w:cs="Times New Roman"/>
          <w:b/>
          <w:sz w:val="24"/>
          <w:szCs w:val="24"/>
        </w:rPr>
        <w:t>Attachment A</w:t>
      </w:r>
      <w:r w:rsidRPr="00953BDD">
        <w:rPr>
          <w:rFonts w:ascii="Times New Roman" w:hAnsi="Times New Roman" w:cs="Times New Roman"/>
          <w:sz w:val="24"/>
          <w:szCs w:val="24"/>
        </w:rPr>
        <w:t>.</w:t>
      </w:r>
    </w:p>
    <w:p w14:paraId="6F14BAE2"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43D36B50" w14:textId="216C7BAB" w:rsidR="0050197A" w:rsidRDefault="0050197A" w:rsidP="001A7C14">
      <w:pPr>
        <w:autoSpaceDE w:val="0"/>
        <w:autoSpaceDN w:val="0"/>
        <w:adjustRightInd w:val="0"/>
        <w:spacing w:after="0"/>
        <w:rPr>
          <w:rFonts w:ascii="Times New Roman" w:hAnsi="Times New Roman" w:cs="Times New Roman"/>
          <w:sz w:val="24"/>
          <w:szCs w:val="24"/>
        </w:rPr>
      </w:pPr>
      <w:r w:rsidRPr="00953BDD">
        <w:rPr>
          <w:rFonts w:ascii="Times New Roman" w:hAnsi="Times New Roman" w:cs="Times New Roman"/>
          <w:sz w:val="24"/>
          <w:szCs w:val="24"/>
        </w:rPr>
        <w:t xml:space="preserve">The Determination is compatible with the human rights and freedoms recognised or declared under section 3 of the </w:t>
      </w:r>
      <w:r w:rsidRPr="00953BDD">
        <w:rPr>
          <w:rFonts w:ascii="Times New Roman" w:hAnsi="Times New Roman" w:cs="Times New Roman"/>
          <w:i/>
          <w:sz w:val="24"/>
          <w:szCs w:val="24"/>
        </w:rPr>
        <w:t>Human Rights (Parliamentary Scrutiny) Act 2011</w:t>
      </w:r>
      <w:r w:rsidRPr="00953BDD">
        <w:rPr>
          <w:rFonts w:ascii="Times New Roman" w:hAnsi="Times New Roman" w:cs="Times New Roman"/>
          <w:sz w:val="24"/>
          <w:szCs w:val="24"/>
        </w:rPr>
        <w:t>.</w:t>
      </w:r>
      <w:r w:rsidR="00E60C26">
        <w:rPr>
          <w:rFonts w:ascii="Times New Roman" w:hAnsi="Times New Roman" w:cs="Times New Roman"/>
          <w:sz w:val="24"/>
          <w:szCs w:val="24"/>
        </w:rPr>
        <w:t xml:space="preserve"> </w:t>
      </w:r>
      <w:r w:rsidRPr="00953BDD">
        <w:rPr>
          <w:rFonts w:ascii="Times New Roman" w:hAnsi="Times New Roman" w:cs="Times New Roman"/>
          <w:sz w:val="24"/>
          <w:szCs w:val="24"/>
        </w:rPr>
        <w:t xml:space="preserve"> A full statement of compatibility is set out in </w:t>
      </w:r>
      <w:r w:rsidRPr="006B644D">
        <w:rPr>
          <w:rFonts w:ascii="Times New Roman" w:hAnsi="Times New Roman" w:cs="Times New Roman"/>
          <w:b/>
          <w:sz w:val="24"/>
          <w:szCs w:val="24"/>
        </w:rPr>
        <w:t>Attachment B</w:t>
      </w:r>
      <w:r w:rsidRPr="00953BDD">
        <w:rPr>
          <w:rFonts w:ascii="Times New Roman" w:hAnsi="Times New Roman" w:cs="Times New Roman"/>
          <w:sz w:val="24"/>
          <w:szCs w:val="24"/>
        </w:rPr>
        <w:t>.</w:t>
      </w:r>
    </w:p>
    <w:p w14:paraId="59D103B8"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42B80A9F" w14:textId="1CBA9EA1" w:rsidR="005B70D2" w:rsidRPr="007A52D3" w:rsidRDefault="0050197A" w:rsidP="001A7C14">
      <w:pPr>
        <w:autoSpaceDE w:val="0"/>
        <w:autoSpaceDN w:val="0"/>
        <w:adjustRightInd w:val="0"/>
        <w:spacing w:after="0"/>
        <w:rPr>
          <w:rFonts w:ascii="Times New Roman" w:eastAsia="Times New Roman" w:hAnsi="Times New Roman" w:cs="Times New Roman"/>
          <w:sz w:val="24"/>
          <w:szCs w:val="24"/>
          <w:lang w:eastAsia="en-AU"/>
        </w:rPr>
      </w:pPr>
      <w:r w:rsidRPr="00953BDD">
        <w:rPr>
          <w:rFonts w:ascii="Times New Roman" w:hAnsi="Times New Roman" w:cs="Times New Roman"/>
          <w:sz w:val="24"/>
          <w:szCs w:val="24"/>
        </w:rPr>
        <w:t xml:space="preserve">This Determination is a disallowable legislative </w:t>
      </w:r>
      <w:r w:rsidRPr="008929E8">
        <w:rPr>
          <w:rFonts w:ascii="Times New Roman" w:hAnsi="Times New Roman" w:cs="Times New Roman"/>
          <w:sz w:val="24"/>
          <w:szCs w:val="24"/>
        </w:rPr>
        <w:t xml:space="preserve">instrument </w:t>
      </w:r>
      <w:r w:rsidRPr="00D01BFB">
        <w:rPr>
          <w:rFonts w:ascii="Times New Roman" w:hAnsi="Times New Roman" w:cs="Times New Roman"/>
          <w:sz w:val="24"/>
          <w:szCs w:val="24"/>
        </w:rPr>
        <w:t xml:space="preserve">for the purposes of the </w:t>
      </w:r>
      <w:r w:rsidRPr="00D01BFB">
        <w:rPr>
          <w:rFonts w:ascii="Times New Roman" w:hAnsi="Times New Roman" w:cs="Times New Roman"/>
          <w:i/>
          <w:sz w:val="24"/>
          <w:szCs w:val="24"/>
        </w:rPr>
        <w:t xml:space="preserve">Legislation Act </w:t>
      </w:r>
      <w:proofErr w:type="gramStart"/>
      <w:r w:rsidRPr="00D01BFB">
        <w:rPr>
          <w:rFonts w:ascii="Times New Roman" w:hAnsi="Times New Roman" w:cs="Times New Roman"/>
          <w:i/>
          <w:sz w:val="24"/>
          <w:szCs w:val="24"/>
        </w:rPr>
        <w:t>2003</w:t>
      </w:r>
      <w:r w:rsidRPr="008929E8">
        <w:rPr>
          <w:rFonts w:ascii="Times New Roman" w:hAnsi="Times New Roman" w:cs="Times New Roman"/>
          <w:sz w:val="24"/>
          <w:szCs w:val="24"/>
        </w:rPr>
        <w:t>,</w:t>
      </w:r>
      <w:r>
        <w:rPr>
          <w:rFonts w:ascii="Times New Roman" w:hAnsi="Times New Roman" w:cs="Times New Roman"/>
          <w:sz w:val="24"/>
          <w:szCs w:val="24"/>
        </w:rPr>
        <w:t xml:space="preserve"> </w:t>
      </w:r>
      <w:r w:rsidRPr="009F78E6">
        <w:rPr>
          <w:rFonts w:ascii="Times New Roman" w:hAnsi="Times New Roman" w:cs="Times New Roman"/>
          <w:sz w:val="24"/>
          <w:szCs w:val="24"/>
        </w:rPr>
        <w:t>and</w:t>
      </w:r>
      <w:proofErr w:type="gramEnd"/>
      <w:r w:rsidRPr="009F78E6">
        <w:rPr>
          <w:rFonts w:ascii="Times New Roman" w:hAnsi="Times New Roman" w:cs="Times New Roman"/>
          <w:sz w:val="24"/>
          <w:szCs w:val="24"/>
        </w:rPr>
        <w:t xml:space="preserve"> </w:t>
      </w:r>
      <w:r w:rsidRPr="00B16682">
        <w:rPr>
          <w:rFonts w:ascii="Times New Roman" w:hAnsi="Times New Roman" w:cs="Times New Roman"/>
          <w:sz w:val="24"/>
          <w:szCs w:val="24"/>
        </w:rPr>
        <w:t xml:space="preserve">commences </w:t>
      </w:r>
      <w:r w:rsidR="005119A8">
        <w:rPr>
          <w:rFonts w:ascii="Times New Roman" w:hAnsi="Times New Roman" w:cs="Times New Roman"/>
          <w:sz w:val="24"/>
          <w:szCs w:val="24"/>
        </w:rPr>
        <w:t xml:space="preserve">on </w:t>
      </w:r>
      <w:r w:rsidR="009F17D8">
        <w:rPr>
          <w:rFonts w:ascii="Times New Roman" w:hAnsi="Times New Roman" w:cs="Times New Roman"/>
          <w:sz w:val="24"/>
          <w:szCs w:val="24"/>
        </w:rPr>
        <w:t>22</w:t>
      </w:r>
      <w:r w:rsidR="002C5563">
        <w:rPr>
          <w:rFonts w:ascii="Times New Roman" w:hAnsi="Times New Roman" w:cs="Times New Roman"/>
          <w:sz w:val="24"/>
          <w:szCs w:val="24"/>
        </w:rPr>
        <w:t xml:space="preserve"> April</w:t>
      </w:r>
      <w:r w:rsidR="008C2503">
        <w:rPr>
          <w:rFonts w:ascii="Times New Roman" w:hAnsi="Times New Roman" w:cs="Times New Roman"/>
          <w:sz w:val="24"/>
          <w:szCs w:val="24"/>
        </w:rPr>
        <w:t xml:space="preserve"> 2022</w:t>
      </w:r>
      <w:r w:rsidRPr="00B16682">
        <w:rPr>
          <w:rFonts w:ascii="Times New Roman" w:eastAsia="Times New Roman" w:hAnsi="Times New Roman" w:cs="Times New Roman"/>
          <w:sz w:val="24"/>
          <w:szCs w:val="24"/>
          <w:lang w:eastAsia="en-AU"/>
        </w:rPr>
        <w:t>.</w:t>
      </w:r>
    </w:p>
    <w:p w14:paraId="4F8CA9DD" w14:textId="5306B0C3" w:rsidR="0029115B" w:rsidRDefault="0050197A" w:rsidP="00ED7851">
      <w:pPr>
        <w:spacing w:before="100" w:beforeAutospacing="1" w:after="100" w:afterAutospacing="1" w:line="240" w:lineRule="auto"/>
        <w:jc w:val="right"/>
        <w:rPr>
          <w:rFonts w:ascii="Times New Roman" w:eastAsia="Times New Roman" w:hAnsi="Times New Roman" w:cs="Times New Roman"/>
          <w:b/>
          <w:sz w:val="24"/>
          <w:szCs w:val="24"/>
          <w:lang w:eastAsia="en-AU"/>
        </w:rPr>
      </w:pPr>
      <w:r w:rsidRPr="00CF4F5B">
        <w:rPr>
          <w:rFonts w:ascii="Times New Roman" w:eastAsia="Times New Roman" w:hAnsi="Times New Roman" w:cs="Times New Roman"/>
          <w:sz w:val="24"/>
          <w:szCs w:val="24"/>
          <w:lang w:eastAsia="en-AU"/>
        </w:rPr>
        <w:br w:type="page"/>
      </w:r>
      <w:r w:rsidR="0040312B" w:rsidRPr="0040312B">
        <w:rPr>
          <w:rFonts w:ascii="Times New Roman" w:eastAsia="Times New Roman" w:hAnsi="Times New Roman" w:cs="Times New Roman"/>
          <w:b/>
          <w:sz w:val="24"/>
          <w:szCs w:val="24"/>
          <w:lang w:eastAsia="en-AU"/>
        </w:rPr>
        <w:lastRenderedPageBreak/>
        <w:t>Attachment A</w:t>
      </w:r>
    </w:p>
    <w:p w14:paraId="625D6C8F" w14:textId="4B538DEE" w:rsidR="0040312B" w:rsidRDefault="0040312B" w:rsidP="0040312B">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b/>
          <w:sz w:val="24"/>
          <w:szCs w:val="24"/>
          <w:lang w:eastAsia="en-AU"/>
        </w:rPr>
        <w:t xml:space="preserve">Details of the </w:t>
      </w:r>
      <w:r w:rsidRPr="0040312B">
        <w:rPr>
          <w:rFonts w:ascii="Times New Roman" w:eastAsia="Times New Roman" w:hAnsi="Times New Roman" w:cs="Times New Roman"/>
          <w:b/>
          <w:i/>
          <w:sz w:val="24"/>
          <w:szCs w:val="24"/>
          <w:lang w:eastAsia="en-AU"/>
        </w:rPr>
        <w:t xml:space="preserve">Therapeutic Goods (Permissible Ingredients) Determination </w:t>
      </w:r>
      <w:r w:rsidR="00045C71">
        <w:rPr>
          <w:rFonts w:ascii="Times New Roman" w:eastAsia="Times New Roman" w:hAnsi="Times New Roman" w:cs="Times New Roman"/>
          <w:b/>
          <w:i/>
          <w:sz w:val="24"/>
          <w:szCs w:val="24"/>
          <w:lang w:eastAsia="en-AU"/>
        </w:rPr>
        <w:t>(No.</w:t>
      </w:r>
      <w:r w:rsidR="00C92827">
        <w:rPr>
          <w:rFonts w:ascii="Times New Roman" w:eastAsia="Times New Roman" w:hAnsi="Times New Roman" w:cs="Times New Roman"/>
          <w:b/>
          <w:i/>
          <w:sz w:val="24"/>
          <w:szCs w:val="24"/>
          <w:lang w:eastAsia="en-AU"/>
        </w:rPr>
        <w:t xml:space="preserve"> </w:t>
      </w:r>
      <w:r w:rsidR="002C5563">
        <w:rPr>
          <w:rFonts w:ascii="Times New Roman" w:eastAsia="Times New Roman" w:hAnsi="Times New Roman" w:cs="Times New Roman"/>
          <w:b/>
          <w:i/>
          <w:sz w:val="24"/>
          <w:szCs w:val="24"/>
          <w:lang w:eastAsia="en-AU"/>
        </w:rPr>
        <w:t>3</w:t>
      </w:r>
      <w:r w:rsidR="00045C71">
        <w:rPr>
          <w:rFonts w:ascii="Times New Roman" w:eastAsia="Times New Roman" w:hAnsi="Times New Roman" w:cs="Times New Roman"/>
          <w:b/>
          <w:i/>
          <w:sz w:val="24"/>
          <w:szCs w:val="24"/>
          <w:lang w:eastAsia="en-AU"/>
        </w:rPr>
        <w:t xml:space="preserve">) </w:t>
      </w:r>
      <w:r w:rsidRPr="0040312B">
        <w:rPr>
          <w:rFonts w:ascii="Times New Roman" w:eastAsia="Times New Roman" w:hAnsi="Times New Roman" w:cs="Times New Roman"/>
          <w:b/>
          <w:i/>
          <w:sz w:val="24"/>
          <w:szCs w:val="24"/>
          <w:lang w:eastAsia="en-AU"/>
        </w:rPr>
        <w:t>20</w:t>
      </w:r>
      <w:r w:rsidR="009A1C10">
        <w:rPr>
          <w:rFonts w:ascii="Times New Roman" w:eastAsia="Times New Roman" w:hAnsi="Times New Roman" w:cs="Times New Roman"/>
          <w:b/>
          <w:i/>
          <w:sz w:val="24"/>
          <w:szCs w:val="24"/>
          <w:lang w:eastAsia="en-AU"/>
        </w:rPr>
        <w:t>2</w:t>
      </w:r>
      <w:r w:rsidR="0050390C">
        <w:rPr>
          <w:rFonts w:ascii="Times New Roman" w:eastAsia="Times New Roman" w:hAnsi="Times New Roman" w:cs="Times New Roman"/>
          <w:b/>
          <w:i/>
          <w:sz w:val="24"/>
          <w:szCs w:val="24"/>
          <w:lang w:eastAsia="en-AU"/>
        </w:rPr>
        <w:t>2</w:t>
      </w:r>
    </w:p>
    <w:p w14:paraId="351A8BA8" w14:textId="5C42663F" w:rsidR="0040312B" w:rsidRDefault="0040312B" w:rsidP="001A7C14">
      <w:pPr>
        <w:autoSpaceDE w:val="0"/>
        <w:autoSpaceDN w:val="0"/>
        <w:adjustRightInd w:val="0"/>
        <w:spacing w:after="0"/>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 xml:space="preserve">Section </w:t>
      </w:r>
      <w:proofErr w:type="gramStart"/>
      <w:r w:rsidRPr="0040312B">
        <w:rPr>
          <w:rFonts w:ascii="Times New Roman" w:eastAsia="Times New Roman" w:hAnsi="Times New Roman" w:cs="Times New Roman"/>
          <w:b/>
          <w:sz w:val="24"/>
          <w:szCs w:val="24"/>
          <w:lang w:eastAsia="en-AU"/>
        </w:rPr>
        <w:t xml:space="preserve">1 </w:t>
      </w:r>
      <w:r w:rsidR="008F4502">
        <w:rPr>
          <w:rFonts w:ascii="Times New Roman" w:eastAsia="Times New Roman" w:hAnsi="Times New Roman" w:cs="Times New Roman"/>
          <w:b/>
          <w:sz w:val="24"/>
          <w:szCs w:val="24"/>
          <w:lang w:eastAsia="en-AU"/>
        </w:rPr>
        <w:t xml:space="preserve"> </w:t>
      </w:r>
      <w:r w:rsidRPr="0040312B">
        <w:rPr>
          <w:rFonts w:ascii="Times New Roman" w:eastAsia="Times New Roman" w:hAnsi="Times New Roman" w:cs="Times New Roman"/>
          <w:b/>
          <w:sz w:val="24"/>
          <w:szCs w:val="24"/>
          <w:lang w:eastAsia="en-AU"/>
        </w:rPr>
        <w:t>Name</w:t>
      </w:r>
      <w:proofErr w:type="gramEnd"/>
    </w:p>
    <w:p w14:paraId="7A596BC1" w14:textId="77777777" w:rsidR="005B70D2" w:rsidRPr="00AD562B" w:rsidRDefault="005B70D2" w:rsidP="001A7C14">
      <w:pPr>
        <w:autoSpaceDE w:val="0"/>
        <w:autoSpaceDN w:val="0"/>
        <w:adjustRightInd w:val="0"/>
        <w:spacing w:after="0"/>
        <w:rPr>
          <w:rFonts w:ascii="Times New Roman" w:eastAsia="Times New Roman" w:hAnsi="Times New Roman" w:cs="Times New Roman"/>
          <w:b/>
          <w:bCs/>
          <w:sz w:val="24"/>
          <w:szCs w:val="24"/>
          <w:lang w:eastAsia="en-AU"/>
        </w:rPr>
      </w:pPr>
    </w:p>
    <w:p w14:paraId="566C8079" w14:textId="1403E265" w:rsidR="0040312B" w:rsidRDefault="0040312B"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name of the </w:t>
      </w:r>
      <w:r w:rsidR="00C92827">
        <w:rPr>
          <w:rFonts w:ascii="Times New Roman" w:eastAsia="Times New Roman" w:hAnsi="Times New Roman" w:cs="Times New Roman"/>
          <w:sz w:val="24"/>
          <w:szCs w:val="24"/>
          <w:lang w:eastAsia="en-AU"/>
        </w:rPr>
        <w:t>instrument</w:t>
      </w:r>
      <w:r>
        <w:rPr>
          <w:rFonts w:ascii="Times New Roman" w:eastAsia="Times New Roman" w:hAnsi="Times New Roman" w:cs="Times New Roman"/>
          <w:sz w:val="24"/>
          <w:szCs w:val="24"/>
          <w:lang w:eastAsia="en-AU"/>
        </w:rPr>
        <w:t xml:space="preserve"> is the </w:t>
      </w:r>
      <w:r w:rsidRPr="00AE2E87">
        <w:rPr>
          <w:rFonts w:ascii="Times New Roman" w:eastAsia="Times New Roman" w:hAnsi="Times New Roman" w:cs="Times New Roman"/>
          <w:i/>
          <w:sz w:val="24"/>
          <w:szCs w:val="24"/>
          <w:lang w:eastAsia="en-AU"/>
        </w:rPr>
        <w:t xml:space="preserve">Therapeutic Goods (Permissible Ingredients) Determination </w:t>
      </w:r>
      <w:r w:rsidR="00045C71">
        <w:rPr>
          <w:rFonts w:ascii="Times New Roman" w:eastAsia="Times New Roman" w:hAnsi="Times New Roman" w:cs="Times New Roman"/>
          <w:i/>
          <w:sz w:val="24"/>
          <w:szCs w:val="24"/>
          <w:lang w:eastAsia="en-AU"/>
        </w:rPr>
        <w:t>(No.</w:t>
      </w:r>
      <w:r w:rsidR="00C92827">
        <w:rPr>
          <w:rFonts w:ascii="Times New Roman" w:eastAsia="Times New Roman" w:hAnsi="Times New Roman" w:cs="Times New Roman"/>
          <w:i/>
          <w:sz w:val="24"/>
          <w:szCs w:val="24"/>
          <w:lang w:eastAsia="en-AU"/>
        </w:rPr>
        <w:t xml:space="preserve"> </w:t>
      </w:r>
      <w:r w:rsidR="002C5563">
        <w:rPr>
          <w:rFonts w:ascii="Times New Roman" w:eastAsia="Times New Roman" w:hAnsi="Times New Roman" w:cs="Times New Roman"/>
          <w:i/>
          <w:sz w:val="24"/>
          <w:szCs w:val="24"/>
          <w:lang w:eastAsia="en-AU"/>
        </w:rPr>
        <w:t>3</w:t>
      </w:r>
      <w:r w:rsidR="00045C71">
        <w:rPr>
          <w:rFonts w:ascii="Times New Roman" w:eastAsia="Times New Roman" w:hAnsi="Times New Roman" w:cs="Times New Roman"/>
          <w:i/>
          <w:sz w:val="24"/>
          <w:szCs w:val="24"/>
          <w:lang w:eastAsia="en-AU"/>
        </w:rPr>
        <w:t xml:space="preserve">) </w:t>
      </w:r>
      <w:r w:rsidRPr="00AE2E87">
        <w:rPr>
          <w:rFonts w:ascii="Times New Roman" w:eastAsia="Times New Roman" w:hAnsi="Times New Roman" w:cs="Times New Roman"/>
          <w:i/>
          <w:sz w:val="24"/>
          <w:szCs w:val="24"/>
          <w:lang w:eastAsia="en-AU"/>
        </w:rPr>
        <w:t>20</w:t>
      </w:r>
      <w:r w:rsidR="009A1C10">
        <w:rPr>
          <w:rFonts w:ascii="Times New Roman" w:eastAsia="Times New Roman" w:hAnsi="Times New Roman" w:cs="Times New Roman"/>
          <w:i/>
          <w:sz w:val="24"/>
          <w:szCs w:val="24"/>
          <w:lang w:eastAsia="en-AU"/>
        </w:rPr>
        <w:t>2</w:t>
      </w:r>
      <w:r w:rsidR="0050390C">
        <w:rPr>
          <w:rFonts w:ascii="Times New Roman" w:eastAsia="Times New Roman" w:hAnsi="Times New Roman" w:cs="Times New Roman"/>
          <w:i/>
          <w:sz w:val="24"/>
          <w:szCs w:val="24"/>
          <w:lang w:eastAsia="en-AU"/>
        </w:rPr>
        <w:t>2</w:t>
      </w:r>
      <w:r w:rsidR="00AE2E87">
        <w:rPr>
          <w:rFonts w:ascii="Times New Roman" w:eastAsia="Times New Roman" w:hAnsi="Times New Roman" w:cs="Times New Roman"/>
          <w:sz w:val="24"/>
          <w:szCs w:val="24"/>
          <w:lang w:eastAsia="en-AU"/>
        </w:rPr>
        <w:t xml:space="preserve"> (“the Determination”)</w:t>
      </w:r>
      <w:r>
        <w:rPr>
          <w:rFonts w:ascii="Times New Roman" w:eastAsia="Times New Roman" w:hAnsi="Times New Roman" w:cs="Times New Roman"/>
          <w:sz w:val="24"/>
          <w:szCs w:val="24"/>
          <w:lang w:eastAsia="en-AU"/>
        </w:rPr>
        <w:t>.</w:t>
      </w:r>
    </w:p>
    <w:p w14:paraId="2D769B9C" w14:textId="77777777" w:rsidR="0036611B" w:rsidRPr="007A52D3"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1B8996FF" w14:textId="470210B1" w:rsidR="0040312B" w:rsidRDefault="0040312B" w:rsidP="001A7C14">
      <w:pPr>
        <w:autoSpaceDE w:val="0"/>
        <w:autoSpaceDN w:val="0"/>
        <w:adjustRightInd w:val="0"/>
        <w:spacing w:after="0"/>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 xml:space="preserve">Section </w:t>
      </w:r>
      <w:proofErr w:type="gramStart"/>
      <w:r w:rsidRPr="0040312B">
        <w:rPr>
          <w:rFonts w:ascii="Times New Roman" w:eastAsia="Times New Roman" w:hAnsi="Times New Roman" w:cs="Times New Roman"/>
          <w:b/>
          <w:sz w:val="24"/>
          <w:szCs w:val="24"/>
          <w:lang w:eastAsia="en-AU"/>
        </w:rPr>
        <w:t>2</w:t>
      </w:r>
      <w:r w:rsidR="008F4502">
        <w:rPr>
          <w:rFonts w:ascii="Times New Roman" w:eastAsia="Times New Roman" w:hAnsi="Times New Roman" w:cs="Times New Roman"/>
          <w:b/>
          <w:sz w:val="24"/>
          <w:szCs w:val="24"/>
          <w:lang w:eastAsia="en-AU"/>
        </w:rPr>
        <w:t xml:space="preserve"> </w:t>
      </w:r>
      <w:r w:rsidRPr="0040312B">
        <w:rPr>
          <w:rFonts w:ascii="Times New Roman" w:eastAsia="Times New Roman" w:hAnsi="Times New Roman" w:cs="Times New Roman"/>
          <w:b/>
          <w:sz w:val="24"/>
          <w:szCs w:val="24"/>
          <w:lang w:eastAsia="en-AU"/>
        </w:rPr>
        <w:t xml:space="preserve"> Commencement</w:t>
      </w:r>
      <w:proofErr w:type="gramEnd"/>
    </w:p>
    <w:p w14:paraId="3547213B" w14:textId="77777777" w:rsidR="0036611B" w:rsidRPr="00AD562B" w:rsidRDefault="0036611B" w:rsidP="001A7C14">
      <w:pPr>
        <w:autoSpaceDE w:val="0"/>
        <w:autoSpaceDN w:val="0"/>
        <w:adjustRightInd w:val="0"/>
        <w:spacing w:after="0"/>
        <w:rPr>
          <w:rFonts w:ascii="Times New Roman" w:eastAsia="Times New Roman" w:hAnsi="Times New Roman" w:cs="Times New Roman"/>
          <w:b/>
          <w:bCs/>
          <w:sz w:val="24"/>
          <w:szCs w:val="24"/>
          <w:lang w:eastAsia="en-AU"/>
        </w:rPr>
      </w:pPr>
    </w:p>
    <w:p w14:paraId="087283D7" w14:textId="3E645A42" w:rsidR="0050197A" w:rsidRPr="007A52D3" w:rsidRDefault="0050197A" w:rsidP="001A7C14">
      <w:pPr>
        <w:autoSpaceDE w:val="0"/>
        <w:autoSpaceDN w:val="0"/>
        <w:adjustRightInd w:val="0"/>
        <w:spacing w:after="0"/>
        <w:rPr>
          <w:rFonts w:ascii="Times New Roman" w:eastAsia="Times New Roman" w:hAnsi="Times New Roman" w:cs="Times New Roman"/>
          <w:sz w:val="24"/>
          <w:szCs w:val="24"/>
          <w:lang w:eastAsia="en-AU"/>
        </w:rPr>
      </w:pPr>
      <w:r w:rsidRPr="00607014">
        <w:rPr>
          <w:rFonts w:ascii="Times New Roman" w:eastAsia="Times New Roman" w:hAnsi="Times New Roman" w:cs="Times New Roman"/>
          <w:sz w:val="24"/>
          <w:szCs w:val="24"/>
          <w:lang w:eastAsia="en-AU"/>
        </w:rPr>
        <w:t xml:space="preserve">This section provides that the Determination </w:t>
      </w:r>
      <w:r w:rsidR="00FB4355" w:rsidRPr="00607014">
        <w:rPr>
          <w:rFonts w:ascii="Times New Roman" w:eastAsia="Times New Roman" w:hAnsi="Times New Roman" w:cs="Times New Roman"/>
          <w:sz w:val="24"/>
          <w:szCs w:val="24"/>
          <w:lang w:eastAsia="en-AU"/>
        </w:rPr>
        <w:t xml:space="preserve">commences </w:t>
      </w:r>
      <w:r w:rsidR="00C978DE">
        <w:rPr>
          <w:rFonts w:ascii="Times New Roman" w:eastAsia="Times New Roman" w:hAnsi="Times New Roman" w:cs="Times New Roman"/>
          <w:sz w:val="24"/>
          <w:szCs w:val="24"/>
          <w:lang w:eastAsia="en-AU"/>
        </w:rPr>
        <w:t xml:space="preserve">on </w:t>
      </w:r>
      <w:r w:rsidR="009F17D8">
        <w:rPr>
          <w:rFonts w:ascii="Times New Roman" w:eastAsia="Times New Roman" w:hAnsi="Times New Roman" w:cs="Times New Roman"/>
          <w:sz w:val="24"/>
          <w:szCs w:val="24"/>
          <w:lang w:eastAsia="en-AU"/>
        </w:rPr>
        <w:t>22</w:t>
      </w:r>
      <w:r w:rsidR="002C5563">
        <w:rPr>
          <w:rFonts w:ascii="Times New Roman" w:eastAsia="Times New Roman" w:hAnsi="Times New Roman" w:cs="Times New Roman"/>
          <w:sz w:val="24"/>
          <w:szCs w:val="24"/>
          <w:lang w:eastAsia="en-AU"/>
        </w:rPr>
        <w:t xml:space="preserve"> April</w:t>
      </w:r>
      <w:r w:rsidR="00384E0A">
        <w:rPr>
          <w:rFonts w:ascii="Times New Roman" w:eastAsia="Times New Roman" w:hAnsi="Times New Roman" w:cs="Times New Roman"/>
          <w:sz w:val="24"/>
          <w:szCs w:val="24"/>
          <w:lang w:eastAsia="en-AU"/>
        </w:rPr>
        <w:t xml:space="preserve"> 2022</w:t>
      </w:r>
      <w:r w:rsidRPr="00607014">
        <w:rPr>
          <w:rFonts w:ascii="Times New Roman" w:eastAsia="Times New Roman" w:hAnsi="Times New Roman" w:cs="Times New Roman"/>
          <w:sz w:val="24"/>
          <w:szCs w:val="24"/>
          <w:lang w:eastAsia="en-AU"/>
        </w:rPr>
        <w:t>.</w:t>
      </w:r>
    </w:p>
    <w:p w14:paraId="0771BF32" w14:textId="77777777" w:rsidR="0036611B" w:rsidRPr="007A52D3"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0EEDC031" w14:textId="3B94520C" w:rsidR="0040312B" w:rsidRDefault="0040312B" w:rsidP="001A7C14">
      <w:pPr>
        <w:autoSpaceDE w:val="0"/>
        <w:autoSpaceDN w:val="0"/>
        <w:adjustRightInd w:val="0"/>
        <w:spacing w:after="0"/>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 xml:space="preserve">Section </w:t>
      </w:r>
      <w:proofErr w:type="gramStart"/>
      <w:r w:rsidRPr="0040312B">
        <w:rPr>
          <w:rFonts w:ascii="Times New Roman" w:eastAsia="Times New Roman" w:hAnsi="Times New Roman" w:cs="Times New Roman"/>
          <w:b/>
          <w:sz w:val="24"/>
          <w:szCs w:val="24"/>
          <w:lang w:eastAsia="en-AU"/>
        </w:rPr>
        <w:t xml:space="preserve">3 </w:t>
      </w:r>
      <w:r w:rsidR="008F4502">
        <w:rPr>
          <w:rFonts w:ascii="Times New Roman" w:eastAsia="Times New Roman" w:hAnsi="Times New Roman" w:cs="Times New Roman"/>
          <w:b/>
          <w:sz w:val="24"/>
          <w:szCs w:val="24"/>
          <w:lang w:eastAsia="en-AU"/>
        </w:rPr>
        <w:t xml:space="preserve"> </w:t>
      </w:r>
      <w:r w:rsidRPr="0040312B">
        <w:rPr>
          <w:rFonts w:ascii="Times New Roman" w:eastAsia="Times New Roman" w:hAnsi="Times New Roman" w:cs="Times New Roman"/>
          <w:b/>
          <w:sz w:val="24"/>
          <w:szCs w:val="24"/>
          <w:lang w:eastAsia="en-AU"/>
        </w:rPr>
        <w:t>Authority</w:t>
      </w:r>
      <w:proofErr w:type="gramEnd"/>
    </w:p>
    <w:p w14:paraId="441C748B" w14:textId="77777777" w:rsidR="0036611B" w:rsidRPr="00AD562B"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51F2D730" w14:textId="73ADCB18" w:rsidR="0040312B" w:rsidRDefault="0040312B"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legislative authority for making the Determination is </w:t>
      </w:r>
      <w:r w:rsidR="00FB4355">
        <w:rPr>
          <w:rFonts w:ascii="Times New Roman" w:eastAsia="Times New Roman" w:hAnsi="Times New Roman" w:cs="Times New Roman"/>
          <w:sz w:val="24"/>
          <w:szCs w:val="24"/>
          <w:lang w:eastAsia="en-AU"/>
        </w:rPr>
        <w:t>sub</w:t>
      </w:r>
      <w:r>
        <w:rPr>
          <w:rFonts w:ascii="Times New Roman" w:eastAsia="Times New Roman" w:hAnsi="Times New Roman" w:cs="Times New Roman"/>
          <w:sz w:val="24"/>
          <w:szCs w:val="24"/>
          <w:lang w:eastAsia="en-AU"/>
        </w:rPr>
        <w:t>section 26</w:t>
      </w:r>
      <w:proofErr w:type="gramStart"/>
      <w:r>
        <w:rPr>
          <w:rFonts w:ascii="Times New Roman" w:eastAsia="Times New Roman" w:hAnsi="Times New Roman" w:cs="Times New Roman"/>
          <w:sz w:val="24"/>
          <w:szCs w:val="24"/>
          <w:lang w:eastAsia="en-AU"/>
        </w:rPr>
        <w:t>B</w:t>
      </w:r>
      <w:r w:rsidR="001B7ED3">
        <w:rPr>
          <w:rFonts w:ascii="Times New Roman" w:eastAsia="Times New Roman" w:hAnsi="Times New Roman" w:cs="Times New Roman"/>
          <w:sz w:val="24"/>
          <w:szCs w:val="24"/>
          <w:lang w:eastAsia="en-AU"/>
        </w:rPr>
        <w:t>B(</w:t>
      </w:r>
      <w:proofErr w:type="gramEnd"/>
      <w:r w:rsidR="001B7ED3">
        <w:rPr>
          <w:rFonts w:ascii="Times New Roman" w:eastAsia="Times New Roman" w:hAnsi="Times New Roman" w:cs="Times New Roman"/>
          <w:sz w:val="24"/>
          <w:szCs w:val="24"/>
          <w:lang w:eastAsia="en-AU"/>
        </w:rPr>
        <w:t>1)</w:t>
      </w:r>
      <w:r>
        <w:rPr>
          <w:rFonts w:ascii="Times New Roman" w:eastAsia="Times New Roman" w:hAnsi="Times New Roman" w:cs="Times New Roman"/>
          <w:sz w:val="24"/>
          <w:szCs w:val="24"/>
          <w:lang w:eastAsia="en-AU"/>
        </w:rPr>
        <w:t xml:space="preserve"> of the</w:t>
      </w:r>
      <w:r w:rsidR="00C92827">
        <w:rPr>
          <w:rFonts w:ascii="Times New Roman" w:eastAsia="Times New Roman" w:hAnsi="Times New Roman" w:cs="Times New Roman"/>
          <w:sz w:val="24"/>
          <w:szCs w:val="24"/>
          <w:lang w:eastAsia="en-AU"/>
        </w:rPr>
        <w:t xml:space="preserve"> </w:t>
      </w:r>
      <w:r w:rsidR="00C92827" w:rsidRPr="00AC41A5">
        <w:rPr>
          <w:rFonts w:ascii="Times New Roman" w:eastAsia="Times New Roman" w:hAnsi="Times New Roman" w:cs="Times New Roman"/>
          <w:i/>
          <w:sz w:val="24"/>
          <w:szCs w:val="24"/>
          <w:lang w:eastAsia="en-AU"/>
        </w:rPr>
        <w:t>Therapeutic Goods Act 1989</w:t>
      </w:r>
      <w:r w:rsidR="00C92827">
        <w:rPr>
          <w:rFonts w:ascii="Times New Roman" w:eastAsia="Times New Roman" w:hAnsi="Times New Roman" w:cs="Times New Roman"/>
          <w:sz w:val="24"/>
          <w:szCs w:val="24"/>
          <w:lang w:eastAsia="en-AU"/>
        </w:rPr>
        <w:t xml:space="preserve"> (“the</w:t>
      </w:r>
      <w:r>
        <w:rPr>
          <w:rFonts w:ascii="Times New Roman" w:eastAsia="Times New Roman" w:hAnsi="Times New Roman" w:cs="Times New Roman"/>
          <w:sz w:val="24"/>
          <w:szCs w:val="24"/>
          <w:lang w:eastAsia="en-AU"/>
        </w:rPr>
        <w:t xml:space="preserve"> Act</w:t>
      </w:r>
      <w:r w:rsidR="00C92827">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w:t>
      </w:r>
    </w:p>
    <w:p w14:paraId="6D555B37"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6C363FE6" w14:textId="0C7158C5" w:rsidR="0040312B" w:rsidRDefault="0040312B" w:rsidP="001A7C14">
      <w:pPr>
        <w:autoSpaceDE w:val="0"/>
        <w:autoSpaceDN w:val="0"/>
        <w:adjustRightInd w:val="0"/>
        <w:spacing w:after="0"/>
        <w:rPr>
          <w:rFonts w:ascii="Times New Roman" w:eastAsia="Times New Roman" w:hAnsi="Times New Roman" w:cs="Times New Roman"/>
          <w:b/>
          <w:sz w:val="24"/>
          <w:szCs w:val="24"/>
          <w:lang w:eastAsia="en-AU"/>
        </w:rPr>
      </w:pPr>
      <w:r w:rsidRPr="00AE2E87">
        <w:rPr>
          <w:rFonts w:ascii="Times New Roman" w:eastAsia="Times New Roman" w:hAnsi="Times New Roman" w:cs="Times New Roman"/>
          <w:b/>
          <w:sz w:val="24"/>
          <w:szCs w:val="24"/>
          <w:lang w:eastAsia="en-AU"/>
        </w:rPr>
        <w:t xml:space="preserve">Section </w:t>
      </w:r>
      <w:proofErr w:type="gramStart"/>
      <w:r w:rsidRPr="00AE2E87">
        <w:rPr>
          <w:rFonts w:ascii="Times New Roman" w:eastAsia="Times New Roman" w:hAnsi="Times New Roman" w:cs="Times New Roman"/>
          <w:b/>
          <w:sz w:val="24"/>
          <w:szCs w:val="24"/>
          <w:lang w:eastAsia="en-AU"/>
        </w:rPr>
        <w:t>4</w:t>
      </w:r>
      <w:r w:rsidR="001B7ED3">
        <w:rPr>
          <w:rFonts w:ascii="Times New Roman" w:eastAsia="Times New Roman" w:hAnsi="Times New Roman" w:cs="Times New Roman"/>
          <w:b/>
          <w:sz w:val="24"/>
          <w:szCs w:val="24"/>
          <w:lang w:eastAsia="en-AU"/>
        </w:rPr>
        <w:t xml:space="preserve"> </w:t>
      </w:r>
      <w:r w:rsidR="008F4502">
        <w:rPr>
          <w:rFonts w:ascii="Times New Roman" w:eastAsia="Times New Roman" w:hAnsi="Times New Roman" w:cs="Times New Roman"/>
          <w:b/>
          <w:sz w:val="24"/>
          <w:szCs w:val="24"/>
          <w:lang w:eastAsia="en-AU"/>
        </w:rPr>
        <w:t xml:space="preserve"> </w:t>
      </w:r>
      <w:r w:rsidR="001B7ED3">
        <w:rPr>
          <w:rFonts w:ascii="Times New Roman" w:eastAsia="Times New Roman" w:hAnsi="Times New Roman" w:cs="Times New Roman"/>
          <w:b/>
          <w:sz w:val="24"/>
          <w:szCs w:val="24"/>
          <w:lang w:eastAsia="en-AU"/>
        </w:rPr>
        <w:t>Interpretation</w:t>
      </w:r>
      <w:proofErr w:type="gramEnd"/>
    </w:p>
    <w:p w14:paraId="736737B5" w14:textId="77777777" w:rsidR="0036611B" w:rsidRPr="00AE2E87"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0D82FB5D" w14:textId="309C7F8A" w:rsidR="0091180B" w:rsidRDefault="0091180B" w:rsidP="001A7C14">
      <w:pPr>
        <w:autoSpaceDE w:val="0"/>
        <w:autoSpaceDN w:val="0"/>
        <w:adjustRightInd w:val="0"/>
        <w:spacing w:after="0"/>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 xml:space="preserve">Subsection 4(1) provides definitions for </w:t>
      </w:r>
      <w:proofErr w:type="gramStart"/>
      <w:r w:rsidRPr="0091180B">
        <w:rPr>
          <w:rFonts w:ascii="Times New Roman" w:eastAsia="Times New Roman" w:hAnsi="Times New Roman" w:cs="Times New Roman"/>
          <w:sz w:val="24"/>
          <w:szCs w:val="24"/>
          <w:lang w:eastAsia="en-AU"/>
        </w:rPr>
        <w:t>a number of</w:t>
      </w:r>
      <w:proofErr w:type="gramEnd"/>
      <w:r w:rsidRPr="0091180B">
        <w:rPr>
          <w:rFonts w:ascii="Times New Roman" w:eastAsia="Times New Roman" w:hAnsi="Times New Roman" w:cs="Times New Roman"/>
          <w:sz w:val="24"/>
          <w:szCs w:val="24"/>
          <w:lang w:eastAsia="en-AU"/>
        </w:rPr>
        <w:t xml:space="preserve"> terms used in the Determination. These include ‘code tables’, ‘excipient’, ‘homoeopathic preparation ingredient’ and ‘TGA eBusiness Services’.</w:t>
      </w:r>
    </w:p>
    <w:p w14:paraId="7ED596F6" w14:textId="77777777" w:rsidR="0036611B" w:rsidRPr="0091180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7DCB529C" w14:textId="6879ABE9" w:rsidR="0091180B" w:rsidRDefault="0091180B" w:rsidP="001A7C14">
      <w:pPr>
        <w:autoSpaceDE w:val="0"/>
        <w:autoSpaceDN w:val="0"/>
        <w:adjustRightInd w:val="0"/>
        <w:spacing w:after="0"/>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 xml:space="preserve">The note to this section also makes it clear that </w:t>
      </w:r>
      <w:proofErr w:type="gramStart"/>
      <w:r w:rsidRPr="0091180B">
        <w:rPr>
          <w:rFonts w:ascii="Times New Roman" w:eastAsia="Times New Roman" w:hAnsi="Times New Roman" w:cs="Times New Roman"/>
          <w:sz w:val="24"/>
          <w:szCs w:val="24"/>
          <w:lang w:eastAsia="en-AU"/>
        </w:rPr>
        <w:t>a number of</w:t>
      </w:r>
      <w:proofErr w:type="gramEnd"/>
      <w:r w:rsidRPr="0091180B">
        <w:rPr>
          <w:rFonts w:ascii="Times New Roman" w:eastAsia="Times New Roman" w:hAnsi="Times New Roman" w:cs="Times New Roman"/>
          <w:sz w:val="24"/>
          <w:szCs w:val="24"/>
          <w:lang w:eastAsia="en-AU"/>
        </w:rPr>
        <w:t xml:space="preserve"> expressions used in the Determination have the same meaning as in the Act, for example ‘British Pharmacopoeia’, ‘European Pharmacopoeia’ and ‘United States Pharmacopeia-National Formulary’.</w:t>
      </w:r>
    </w:p>
    <w:p w14:paraId="1EC4FFBC" w14:textId="77777777" w:rsidR="0036611B" w:rsidRPr="0091180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783E573B" w14:textId="618F20D8" w:rsidR="00AE2E87" w:rsidRDefault="0091180B" w:rsidP="001A7C14">
      <w:pPr>
        <w:autoSpaceDE w:val="0"/>
        <w:autoSpaceDN w:val="0"/>
        <w:adjustRightInd w:val="0"/>
        <w:spacing w:after="0"/>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Subsection 4(2) provides that the terms set out in closed brackets in column 4 of the table in Schedule 1 to the Determination that are associated with warning statements in relation to particular ingredients, are terms from the code tables under the heading ‘Product Warning</w:t>
      </w:r>
      <w:proofErr w:type="gramStart"/>
      <w:r w:rsidRPr="0091180B">
        <w:rPr>
          <w:rFonts w:ascii="Times New Roman" w:eastAsia="Times New Roman" w:hAnsi="Times New Roman" w:cs="Times New Roman"/>
          <w:sz w:val="24"/>
          <w:szCs w:val="24"/>
          <w:lang w:eastAsia="en-AU"/>
        </w:rPr>
        <w:t>’, and</w:t>
      </w:r>
      <w:proofErr w:type="gramEnd"/>
      <w:r w:rsidRPr="0091180B">
        <w:rPr>
          <w:rFonts w:ascii="Times New Roman" w:eastAsia="Times New Roman" w:hAnsi="Times New Roman" w:cs="Times New Roman"/>
          <w:sz w:val="24"/>
          <w:szCs w:val="24"/>
          <w:lang w:eastAsia="en-AU"/>
        </w:rPr>
        <w:t xml:space="preserve"> are not required to be included on the label of the medicine.</w:t>
      </w:r>
    </w:p>
    <w:p w14:paraId="4AEBDA41"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0AA57C3B" w14:textId="7B18BDB4" w:rsidR="001B7ED3" w:rsidRDefault="001B7ED3" w:rsidP="001A7C14">
      <w:pPr>
        <w:autoSpaceDE w:val="0"/>
        <w:autoSpaceDN w:val="0"/>
        <w:adjustRightInd w:val="0"/>
        <w:spacing w:after="0"/>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t xml:space="preserve">Section </w:t>
      </w:r>
      <w:proofErr w:type="gramStart"/>
      <w:r w:rsidRPr="007B443E">
        <w:rPr>
          <w:rFonts w:ascii="Times New Roman" w:eastAsia="Times New Roman" w:hAnsi="Times New Roman" w:cs="Times New Roman"/>
          <w:b/>
          <w:sz w:val="24"/>
          <w:szCs w:val="24"/>
          <w:lang w:eastAsia="en-AU"/>
        </w:rPr>
        <w:t xml:space="preserve">5 </w:t>
      </w:r>
      <w:r w:rsidR="008F4502">
        <w:rPr>
          <w:rFonts w:ascii="Times New Roman" w:eastAsia="Times New Roman" w:hAnsi="Times New Roman" w:cs="Times New Roman"/>
          <w:b/>
          <w:sz w:val="24"/>
          <w:szCs w:val="24"/>
          <w:lang w:eastAsia="en-AU"/>
        </w:rPr>
        <w:t xml:space="preserve"> </w:t>
      </w:r>
      <w:r w:rsidRPr="007B443E">
        <w:rPr>
          <w:rFonts w:ascii="Times New Roman" w:eastAsia="Times New Roman" w:hAnsi="Times New Roman" w:cs="Times New Roman"/>
          <w:b/>
          <w:sz w:val="24"/>
          <w:szCs w:val="24"/>
          <w:lang w:eastAsia="en-AU"/>
        </w:rPr>
        <w:t>Permissible</w:t>
      </w:r>
      <w:proofErr w:type="gramEnd"/>
      <w:r w:rsidRPr="007B443E">
        <w:rPr>
          <w:rFonts w:ascii="Times New Roman" w:eastAsia="Times New Roman" w:hAnsi="Times New Roman" w:cs="Times New Roman"/>
          <w:b/>
          <w:sz w:val="24"/>
          <w:szCs w:val="24"/>
          <w:lang w:eastAsia="en-AU"/>
        </w:rPr>
        <w:t xml:space="preserve"> ingredients </w:t>
      </w:r>
    </w:p>
    <w:p w14:paraId="7F32AE94" w14:textId="77777777" w:rsidR="0036611B" w:rsidRPr="007B443E"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099B9869" w14:textId="3750F3C7" w:rsidR="001B7ED3" w:rsidRDefault="001B7ED3"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 provides that the ingredients specified in column 2 of the table in Schedule 1 to the Determination are specified for the purposes of paragraph 26BB(1)(a) of the Act.</w:t>
      </w:r>
    </w:p>
    <w:p w14:paraId="37A4E306"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3132B7BB" w14:textId="224EC9A9" w:rsidR="001B7ED3" w:rsidRDefault="001B7ED3" w:rsidP="001A7C14">
      <w:pPr>
        <w:autoSpaceDE w:val="0"/>
        <w:autoSpaceDN w:val="0"/>
        <w:adjustRightInd w:val="0"/>
        <w:spacing w:after="0"/>
        <w:rPr>
          <w:rFonts w:ascii="Times New Roman" w:eastAsia="Times New Roman" w:hAnsi="Times New Roman" w:cs="Times New Roman"/>
          <w:b/>
          <w:sz w:val="24"/>
          <w:szCs w:val="24"/>
          <w:lang w:eastAsia="en-AU"/>
        </w:rPr>
      </w:pPr>
      <w:r w:rsidRPr="006B644D">
        <w:rPr>
          <w:rFonts w:ascii="Times New Roman" w:eastAsia="Times New Roman" w:hAnsi="Times New Roman" w:cs="Times New Roman"/>
          <w:b/>
          <w:sz w:val="24"/>
          <w:szCs w:val="24"/>
          <w:lang w:eastAsia="en-AU"/>
        </w:rPr>
        <w:t xml:space="preserve">Section </w:t>
      </w:r>
      <w:proofErr w:type="gramStart"/>
      <w:r w:rsidRPr="006B644D">
        <w:rPr>
          <w:rFonts w:ascii="Times New Roman" w:eastAsia="Times New Roman" w:hAnsi="Times New Roman" w:cs="Times New Roman"/>
          <w:b/>
          <w:sz w:val="24"/>
          <w:szCs w:val="24"/>
          <w:lang w:eastAsia="en-AU"/>
        </w:rPr>
        <w:t>6</w:t>
      </w:r>
      <w:r w:rsidR="008F4502">
        <w:rPr>
          <w:rFonts w:ascii="Times New Roman" w:eastAsia="Times New Roman" w:hAnsi="Times New Roman" w:cs="Times New Roman"/>
          <w:b/>
          <w:sz w:val="24"/>
          <w:szCs w:val="24"/>
          <w:lang w:eastAsia="en-AU"/>
        </w:rPr>
        <w:t xml:space="preserve"> </w:t>
      </w:r>
      <w:r w:rsidRPr="006B644D">
        <w:rPr>
          <w:rFonts w:ascii="Times New Roman" w:eastAsia="Times New Roman" w:hAnsi="Times New Roman" w:cs="Times New Roman"/>
          <w:b/>
          <w:sz w:val="24"/>
          <w:szCs w:val="24"/>
          <w:lang w:eastAsia="en-AU"/>
        </w:rPr>
        <w:t xml:space="preserve"> Requirements</w:t>
      </w:r>
      <w:proofErr w:type="gramEnd"/>
      <w:r w:rsidRPr="006B644D">
        <w:rPr>
          <w:rFonts w:ascii="Times New Roman" w:eastAsia="Times New Roman" w:hAnsi="Times New Roman" w:cs="Times New Roman"/>
          <w:b/>
          <w:sz w:val="24"/>
          <w:szCs w:val="24"/>
          <w:lang w:eastAsia="en-AU"/>
        </w:rPr>
        <w:t xml:space="preserve"> in relation to permissible ingredients being contained in medicine</w:t>
      </w:r>
    </w:p>
    <w:p w14:paraId="439B1FCD" w14:textId="77777777" w:rsidR="0036611B" w:rsidRPr="006B644D"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01BF54A2" w14:textId="17C1522B" w:rsidR="001B7ED3" w:rsidRDefault="001B7ED3"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for an ingredient mentioned in column 2 of an item in the table in Schedule 1 to the Determination, the requirements in paragraphs 6(a) to (c) are specified for the purposes of paragraph 26BB(1)(b) of the Act. </w:t>
      </w:r>
      <w:r w:rsidR="00E60C26">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These include, for example, that the </w:t>
      </w:r>
      <w:r>
        <w:rPr>
          <w:rFonts w:ascii="Times New Roman" w:eastAsia="Times New Roman" w:hAnsi="Times New Roman" w:cs="Times New Roman"/>
          <w:sz w:val="24"/>
          <w:szCs w:val="24"/>
          <w:lang w:eastAsia="en-AU"/>
        </w:rPr>
        <w:lastRenderedPageBreak/>
        <w:t>ingredient must only be used in a medicine for a purpose specified in relation to the ingredient in column 3 of that item.</w:t>
      </w:r>
    </w:p>
    <w:p w14:paraId="6E79FE28"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241E7A35" w14:textId="620957B2" w:rsidR="001B7ED3" w:rsidRDefault="001B7ED3" w:rsidP="001A7C14">
      <w:pPr>
        <w:autoSpaceDE w:val="0"/>
        <w:autoSpaceDN w:val="0"/>
        <w:adjustRightInd w:val="0"/>
        <w:spacing w:after="0"/>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t xml:space="preserve">Section </w:t>
      </w:r>
      <w:proofErr w:type="gramStart"/>
      <w:r>
        <w:rPr>
          <w:rFonts w:ascii="Times New Roman" w:eastAsia="Times New Roman" w:hAnsi="Times New Roman" w:cs="Times New Roman"/>
          <w:b/>
          <w:sz w:val="24"/>
          <w:szCs w:val="24"/>
          <w:lang w:eastAsia="en-AU"/>
        </w:rPr>
        <w:t>7</w:t>
      </w:r>
      <w:r w:rsidRPr="007B443E">
        <w:rPr>
          <w:rFonts w:ascii="Times New Roman" w:eastAsia="Times New Roman" w:hAnsi="Times New Roman" w:cs="Times New Roman"/>
          <w:b/>
          <w:sz w:val="24"/>
          <w:szCs w:val="24"/>
          <w:lang w:eastAsia="en-AU"/>
        </w:rPr>
        <w:t xml:space="preserve"> </w:t>
      </w:r>
      <w:r w:rsidR="008F4502">
        <w:rPr>
          <w:rFonts w:ascii="Times New Roman" w:eastAsia="Times New Roman" w:hAnsi="Times New Roman" w:cs="Times New Roman"/>
          <w:b/>
          <w:sz w:val="24"/>
          <w:szCs w:val="24"/>
          <w:lang w:eastAsia="en-AU"/>
        </w:rPr>
        <w:t xml:space="preserve"> </w:t>
      </w:r>
      <w:r w:rsidRPr="007B443E">
        <w:rPr>
          <w:rFonts w:ascii="Times New Roman" w:eastAsia="Times New Roman" w:hAnsi="Times New Roman" w:cs="Times New Roman"/>
          <w:b/>
          <w:sz w:val="24"/>
          <w:szCs w:val="24"/>
          <w:lang w:eastAsia="en-AU"/>
        </w:rPr>
        <w:t>Repeals</w:t>
      </w:r>
      <w:proofErr w:type="gramEnd"/>
    </w:p>
    <w:p w14:paraId="1B762AF2" w14:textId="77777777" w:rsidR="0036611B" w:rsidRPr="007B443E"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4043154E" w14:textId="49394F06" w:rsidR="001B7ED3" w:rsidRDefault="001B7ED3"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w:t>
      </w:r>
      <w:r w:rsidR="00410762">
        <w:rPr>
          <w:rFonts w:ascii="Times New Roman" w:eastAsia="Times New Roman" w:hAnsi="Times New Roman" w:cs="Times New Roman"/>
          <w:sz w:val="24"/>
          <w:szCs w:val="24"/>
          <w:lang w:eastAsia="en-AU"/>
        </w:rPr>
        <w:t xml:space="preserve">the </w:t>
      </w:r>
      <w:r w:rsidR="00410762" w:rsidRPr="00CA2F70">
        <w:rPr>
          <w:rFonts w:ascii="Times New Roman" w:eastAsia="Times New Roman" w:hAnsi="Times New Roman" w:cs="Times New Roman"/>
          <w:i/>
          <w:iCs/>
          <w:sz w:val="24"/>
          <w:szCs w:val="24"/>
          <w:lang w:eastAsia="en-AU"/>
        </w:rPr>
        <w:t>Therapeutic Goods (Permissible Ingredients) Determination (No. </w:t>
      </w:r>
      <w:r w:rsidR="002C5563">
        <w:rPr>
          <w:rFonts w:ascii="Times New Roman" w:eastAsia="Times New Roman" w:hAnsi="Times New Roman" w:cs="Times New Roman"/>
          <w:i/>
          <w:iCs/>
          <w:sz w:val="24"/>
          <w:szCs w:val="24"/>
          <w:lang w:eastAsia="en-AU"/>
        </w:rPr>
        <w:t>2</w:t>
      </w:r>
      <w:r w:rsidR="00410762" w:rsidRPr="00CA2F70">
        <w:rPr>
          <w:rFonts w:ascii="Times New Roman" w:eastAsia="Times New Roman" w:hAnsi="Times New Roman" w:cs="Times New Roman"/>
          <w:i/>
          <w:iCs/>
          <w:sz w:val="24"/>
          <w:szCs w:val="24"/>
          <w:lang w:eastAsia="en-AU"/>
        </w:rPr>
        <w:t>) 20</w:t>
      </w:r>
      <w:r w:rsidR="00410762">
        <w:rPr>
          <w:rFonts w:ascii="Times New Roman" w:eastAsia="Times New Roman" w:hAnsi="Times New Roman" w:cs="Times New Roman"/>
          <w:i/>
          <w:iCs/>
          <w:sz w:val="24"/>
          <w:szCs w:val="24"/>
          <w:lang w:eastAsia="en-AU"/>
        </w:rPr>
        <w:t>2</w:t>
      </w:r>
      <w:r w:rsidR="00272777">
        <w:rPr>
          <w:rFonts w:ascii="Times New Roman" w:eastAsia="Times New Roman" w:hAnsi="Times New Roman" w:cs="Times New Roman"/>
          <w:i/>
          <w:iCs/>
          <w:sz w:val="24"/>
          <w:szCs w:val="24"/>
          <w:lang w:eastAsia="en-AU"/>
        </w:rPr>
        <w:t>2</w:t>
      </w:r>
      <w:r w:rsidR="00444DEC">
        <w:rPr>
          <w:rFonts w:ascii="Times New Roman" w:eastAsia="Times New Roman" w:hAnsi="Times New Roman" w:cs="Times New Roman"/>
          <w:i/>
          <w:iCs/>
          <w:sz w:val="24"/>
          <w:szCs w:val="24"/>
          <w:lang w:eastAsia="en-AU"/>
        </w:rPr>
        <w:t xml:space="preserve"> </w:t>
      </w:r>
      <w:r>
        <w:rPr>
          <w:rFonts w:ascii="Times New Roman" w:eastAsia="Times New Roman" w:hAnsi="Times New Roman" w:cs="Times New Roman"/>
          <w:sz w:val="24"/>
          <w:szCs w:val="24"/>
          <w:lang w:eastAsia="en-AU"/>
        </w:rPr>
        <w:t>is repealed.</w:t>
      </w:r>
    </w:p>
    <w:p w14:paraId="74A903C6"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3AC09063" w14:textId="3016E9C9" w:rsidR="00AE2E87" w:rsidRDefault="00AE2E87" w:rsidP="001A7C14">
      <w:pPr>
        <w:autoSpaceDE w:val="0"/>
        <w:autoSpaceDN w:val="0"/>
        <w:adjustRightInd w:val="0"/>
        <w:spacing w:after="0"/>
        <w:rPr>
          <w:rFonts w:ascii="Times New Roman" w:eastAsia="Times New Roman" w:hAnsi="Times New Roman" w:cs="Times New Roman"/>
          <w:b/>
          <w:sz w:val="24"/>
          <w:szCs w:val="24"/>
          <w:lang w:eastAsia="en-AU"/>
        </w:rPr>
      </w:pPr>
      <w:r w:rsidRPr="00AE2E87">
        <w:rPr>
          <w:rFonts w:ascii="Times New Roman" w:eastAsia="Times New Roman" w:hAnsi="Times New Roman" w:cs="Times New Roman"/>
          <w:b/>
          <w:sz w:val="24"/>
          <w:szCs w:val="24"/>
          <w:lang w:eastAsia="en-AU"/>
        </w:rPr>
        <w:t xml:space="preserve">Schedule 1 </w:t>
      </w:r>
      <w:r>
        <w:rPr>
          <w:rFonts w:ascii="Times New Roman" w:eastAsia="Times New Roman" w:hAnsi="Times New Roman" w:cs="Times New Roman"/>
          <w:b/>
          <w:sz w:val="24"/>
          <w:szCs w:val="24"/>
          <w:lang w:eastAsia="en-AU"/>
        </w:rPr>
        <w:t>–</w:t>
      </w:r>
      <w:r w:rsidRPr="00AE2E87">
        <w:rPr>
          <w:rFonts w:ascii="Times New Roman" w:eastAsia="Times New Roman" w:hAnsi="Times New Roman" w:cs="Times New Roman"/>
          <w:b/>
          <w:sz w:val="24"/>
          <w:szCs w:val="24"/>
          <w:lang w:eastAsia="en-AU"/>
        </w:rPr>
        <w:t xml:space="preserve"> </w:t>
      </w:r>
      <w:r w:rsidR="0091180B" w:rsidRPr="0091180B">
        <w:rPr>
          <w:rFonts w:ascii="Times New Roman" w:eastAsia="Times New Roman" w:hAnsi="Times New Roman" w:cs="Times New Roman"/>
          <w:b/>
          <w:sz w:val="24"/>
          <w:szCs w:val="24"/>
          <w:lang w:eastAsia="en-AU"/>
        </w:rPr>
        <w:t>Specified permissible ingredients and requirements applying to these ingredients when contained in a medicine</w:t>
      </w:r>
    </w:p>
    <w:p w14:paraId="7A138953" w14:textId="77777777" w:rsidR="0036611B"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443DB472" w14:textId="12B8B4D3" w:rsidR="0036611B" w:rsidRPr="00607014" w:rsidRDefault="00CA2F70" w:rsidP="001A7C14">
      <w:pPr>
        <w:autoSpaceDE w:val="0"/>
        <w:autoSpaceDN w:val="0"/>
        <w:adjustRightInd w:val="0"/>
        <w:spacing w:after="0"/>
        <w:rPr>
          <w:rFonts w:ascii="Times New Roman" w:eastAsia="Times New Roman" w:hAnsi="Times New Roman" w:cs="Times New Roman"/>
          <w:sz w:val="24"/>
          <w:szCs w:val="24"/>
          <w:lang w:eastAsia="en-AU"/>
        </w:rPr>
      </w:pPr>
      <w:r w:rsidRPr="00CA2F70">
        <w:rPr>
          <w:rFonts w:ascii="Times New Roman" w:eastAsia="Times New Roman" w:hAnsi="Times New Roman" w:cs="Times New Roman"/>
          <w:sz w:val="24"/>
          <w:szCs w:val="24"/>
          <w:lang w:eastAsia="en-AU"/>
        </w:rPr>
        <w:t>This Schedule specifies ingredients and related requirements for the purposes of sections 5 and 6 of the Determination.</w:t>
      </w:r>
    </w:p>
    <w:p w14:paraId="54F027CA" w14:textId="77777777" w:rsidR="00EF1F18" w:rsidRDefault="00EF1F18">
      <w:pPr>
        <w:spacing w:before="100" w:beforeAutospacing="1" w:after="100" w:afterAutospacing="1"/>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sz w:val="24"/>
          <w:szCs w:val="24"/>
          <w:lang w:eastAsia="en-AU"/>
        </w:rPr>
        <w:br w:type="page"/>
      </w:r>
    </w:p>
    <w:p w14:paraId="1C3354F0" w14:textId="77777777" w:rsidR="005F2423" w:rsidRPr="00A419EA" w:rsidRDefault="005F2423" w:rsidP="00607014">
      <w:pPr>
        <w:spacing w:before="100" w:beforeAutospacing="1" w:after="100" w:afterAutospacing="1"/>
        <w:jc w:val="right"/>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lastRenderedPageBreak/>
        <w:t>Attachment B</w:t>
      </w:r>
    </w:p>
    <w:p w14:paraId="784E4BE2" w14:textId="77777777" w:rsidR="00EF1F18" w:rsidRDefault="00EF1F18" w:rsidP="00720518">
      <w:pPr>
        <w:spacing w:before="120" w:after="0"/>
        <w:jc w:val="center"/>
        <w:rPr>
          <w:rFonts w:ascii="Times New Roman" w:eastAsia="Times New Roman" w:hAnsi="Times New Roman" w:cs="Times New Roman"/>
          <w:b/>
          <w:bCs/>
          <w:sz w:val="24"/>
          <w:szCs w:val="24"/>
          <w:lang w:eastAsia="en-AU"/>
        </w:rPr>
      </w:pPr>
      <w:r w:rsidRPr="005F2423">
        <w:rPr>
          <w:rFonts w:ascii="Times New Roman" w:eastAsia="Times New Roman" w:hAnsi="Times New Roman" w:cs="Times New Roman"/>
          <w:b/>
          <w:bCs/>
          <w:sz w:val="24"/>
          <w:szCs w:val="24"/>
          <w:lang w:eastAsia="en-AU"/>
        </w:rPr>
        <w:t>Statement of Compatibility with Human Rights</w:t>
      </w:r>
    </w:p>
    <w:p w14:paraId="6EC20EFD" w14:textId="77777777" w:rsidR="00510EB5" w:rsidRPr="005F2423" w:rsidRDefault="00510EB5" w:rsidP="00720518">
      <w:pPr>
        <w:spacing w:after="0"/>
        <w:jc w:val="center"/>
        <w:rPr>
          <w:rFonts w:ascii="Times New Roman" w:eastAsia="Times New Roman" w:hAnsi="Times New Roman" w:cs="Times New Roman"/>
          <w:sz w:val="24"/>
          <w:szCs w:val="24"/>
          <w:lang w:val="en-US" w:eastAsia="en-AU"/>
        </w:rPr>
      </w:pPr>
    </w:p>
    <w:p w14:paraId="25C603B6" w14:textId="52FDCCC1" w:rsidR="00510EB5" w:rsidRDefault="00EF1F18" w:rsidP="00510EB5">
      <w:pPr>
        <w:spacing w:after="0"/>
        <w:jc w:val="center"/>
        <w:rPr>
          <w:rFonts w:ascii="Times New Roman" w:eastAsia="Times New Roman" w:hAnsi="Times New Roman" w:cs="Times New Roman"/>
          <w:sz w:val="24"/>
          <w:szCs w:val="24"/>
          <w:lang w:eastAsia="en-AU"/>
        </w:rPr>
      </w:pPr>
      <w:r w:rsidRPr="00361A1D">
        <w:rPr>
          <w:rFonts w:ascii="Times New Roman" w:eastAsia="Times New Roman" w:hAnsi="Times New Roman" w:cs="Times New Roman"/>
          <w:sz w:val="24"/>
          <w:szCs w:val="24"/>
          <w:lang w:eastAsia="en-AU"/>
        </w:rPr>
        <w:t>Prepared in accordance with Part 3 of the</w:t>
      </w:r>
      <w:r>
        <w:rPr>
          <w:rFonts w:ascii="Times New Roman" w:eastAsia="Times New Roman" w:hAnsi="Times New Roman" w:cs="Times New Roman"/>
          <w:i/>
          <w:iCs/>
          <w:sz w:val="24"/>
          <w:szCs w:val="24"/>
          <w:lang w:eastAsia="en-AU"/>
        </w:rPr>
        <w:t xml:space="preserve"> Human </w:t>
      </w:r>
      <w:r w:rsidRPr="00A419EA">
        <w:rPr>
          <w:rFonts w:ascii="Times New Roman" w:eastAsia="Times New Roman" w:hAnsi="Times New Roman" w:cs="Times New Roman"/>
          <w:i/>
          <w:iCs/>
          <w:sz w:val="24"/>
          <w:szCs w:val="24"/>
          <w:lang w:eastAsia="en-AU"/>
        </w:rPr>
        <w:t>Righ</w:t>
      </w:r>
      <w:r>
        <w:rPr>
          <w:rFonts w:ascii="Times New Roman" w:eastAsia="Times New Roman" w:hAnsi="Times New Roman" w:cs="Times New Roman"/>
          <w:i/>
          <w:iCs/>
          <w:sz w:val="24"/>
          <w:szCs w:val="24"/>
          <w:lang w:eastAsia="en-AU"/>
        </w:rPr>
        <w:t>ts (Parliamentary Scrutiny) Act </w:t>
      </w:r>
      <w:r w:rsidRPr="00A419EA">
        <w:rPr>
          <w:rFonts w:ascii="Times New Roman" w:eastAsia="Times New Roman" w:hAnsi="Times New Roman" w:cs="Times New Roman"/>
          <w:i/>
          <w:iCs/>
          <w:sz w:val="24"/>
          <w:szCs w:val="24"/>
          <w:lang w:eastAsia="en-AU"/>
        </w:rPr>
        <w:t>2011</w:t>
      </w:r>
      <w:r w:rsidR="00207B8A">
        <w:rPr>
          <w:rFonts w:ascii="Times New Roman" w:eastAsia="Times New Roman" w:hAnsi="Times New Roman" w:cs="Times New Roman"/>
          <w:i/>
          <w:iCs/>
          <w:sz w:val="24"/>
          <w:szCs w:val="24"/>
          <w:lang w:eastAsia="en-AU"/>
        </w:rPr>
        <w:t>.</w:t>
      </w:r>
    </w:p>
    <w:p w14:paraId="38892413" w14:textId="77777777" w:rsidR="00510EB5" w:rsidRPr="00A419EA" w:rsidRDefault="00510EB5" w:rsidP="00720518">
      <w:pPr>
        <w:spacing w:after="0"/>
        <w:jc w:val="center"/>
        <w:rPr>
          <w:rFonts w:ascii="Times New Roman" w:eastAsia="Times New Roman" w:hAnsi="Times New Roman" w:cs="Times New Roman"/>
          <w:sz w:val="24"/>
          <w:szCs w:val="24"/>
          <w:lang w:val="en-US" w:eastAsia="en-AU"/>
        </w:rPr>
      </w:pPr>
    </w:p>
    <w:p w14:paraId="0039C745" w14:textId="3A6DBB01" w:rsidR="005F2423" w:rsidRDefault="005F2423" w:rsidP="00720518">
      <w:pPr>
        <w:spacing w:after="0"/>
        <w:jc w:val="center"/>
        <w:rPr>
          <w:rFonts w:ascii="Times New Roman" w:eastAsia="Times New Roman" w:hAnsi="Times New Roman" w:cs="Times New Roman"/>
          <w:sz w:val="24"/>
          <w:szCs w:val="24"/>
          <w:lang w:eastAsia="en-AU"/>
        </w:rPr>
      </w:pPr>
      <w:r w:rsidRPr="005F2423">
        <w:rPr>
          <w:rFonts w:ascii="Times New Roman" w:eastAsia="Times New Roman" w:hAnsi="Times New Roman" w:cs="Times New Roman"/>
          <w:b/>
          <w:i/>
          <w:sz w:val="24"/>
          <w:szCs w:val="24"/>
          <w:lang w:eastAsia="en-AU"/>
        </w:rPr>
        <w:t>Therapeutic Goods (Permissible Ingredients) Determination (No.</w:t>
      </w:r>
      <w:r w:rsidR="00C92827">
        <w:rPr>
          <w:rFonts w:ascii="Times New Roman" w:eastAsia="Times New Roman" w:hAnsi="Times New Roman" w:cs="Times New Roman"/>
          <w:b/>
          <w:i/>
          <w:sz w:val="24"/>
          <w:szCs w:val="24"/>
          <w:lang w:eastAsia="en-AU"/>
        </w:rPr>
        <w:t xml:space="preserve"> </w:t>
      </w:r>
      <w:r w:rsidR="002C5563">
        <w:rPr>
          <w:rFonts w:ascii="Times New Roman" w:eastAsia="Times New Roman" w:hAnsi="Times New Roman" w:cs="Times New Roman"/>
          <w:b/>
          <w:i/>
          <w:sz w:val="24"/>
          <w:szCs w:val="24"/>
          <w:lang w:eastAsia="en-AU"/>
        </w:rPr>
        <w:t>3</w:t>
      </w:r>
      <w:r w:rsidRPr="005F2423">
        <w:rPr>
          <w:rFonts w:ascii="Times New Roman" w:eastAsia="Times New Roman" w:hAnsi="Times New Roman" w:cs="Times New Roman"/>
          <w:b/>
          <w:i/>
          <w:sz w:val="24"/>
          <w:szCs w:val="24"/>
          <w:lang w:eastAsia="en-AU"/>
        </w:rPr>
        <w:t>) 20</w:t>
      </w:r>
      <w:r w:rsidR="009A1C10">
        <w:rPr>
          <w:rFonts w:ascii="Times New Roman" w:eastAsia="Times New Roman" w:hAnsi="Times New Roman" w:cs="Times New Roman"/>
          <w:b/>
          <w:i/>
          <w:sz w:val="24"/>
          <w:szCs w:val="24"/>
          <w:lang w:eastAsia="en-AU"/>
        </w:rPr>
        <w:t>2</w:t>
      </w:r>
      <w:r w:rsidR="0050390C">
        <w:rPr>
          <w:rFonts w:ascii="Times New Roman" w:eastAsia="Times New Roman" w:hAnsi="Times New Roman" w:cs="Times New Roman"/>
          <w:b/>
          <w:i/>
          <w:sz w:val="24"/>
          <w:szCs w:val="24"/>
          <w:lang w:eastAsia="en-AU"/>
        </w:rPr>
        <w:t>2</w:t>
      </w:r>
    </w:p>
    <w:p w14:paraId="439E57CA" w14:textId="77777777" w:rsidR="004761AE" w:rsidRDefault="004761AE" w:rsidP="00720518">
      <w:pPr>
        <w:spacing w:after="0"/>
        <w:rPr>
          <w:rFonts w:ascii="Times New Roman" w:eastAsia="Times New Roman" w:hAnsi="Times New Roman" w:cs="Times New Roman"/>
          <w:sz w:val="24"/>
          <w:szCs w:val="24"/>
          <w:lang w:eastAsia="en-AU"/>
        </w:rPr>
      </w:pPr>
    </w:p>
    <w:p w14:paraId="2C9AC34B" w14:textId="18487A94" w:rsidR="00510EB5" w:rsidRDefault="00EF1F18" w:rsidP="00510EB5">
      <w:pPr>
        <w:spacing w:after="0"/>
        <w:contextualSpacing/>
        <w:rPr>
          <w:rFonts w:ascii="Times New Roman" w:eastAsia="Times New Roman" w:hAnsi="Times New Roman" w:cs="Times New Roman"/>
          <w:sz w:val="24"/>
          <w:szCs w:val="24"/>
          <w:lang w:eastAsia="en-AU"/>
        </w:rPr>
      </w:pPr>
      <w:r w:rsidRPr="00A419EA">
        <w:rPr>
          <w:rFonts w:ascii="Times New Roman" w:eastAsia="Times New Roman" w:hAnsi="Times New Roman" w:cs="Times New Roman"/>
          <w:sz w:val="24"/>
          <w:szCs w:val="24"/>
          <w:lang w:eastAsia="en-AU"/>
        </w:rPr>
        <w:t xml:space="preserve">This </w:t>
      </w:r>
      <w:r w:rsidR="005F2423">
        <w:rPr>
          <w:rFonts w:ascii="Times New Roman" w:eastAsia="Times New Roman" w:hAnsi="Times New Roman" w:cs="Times New Roman"/>
          <w:sz w:val="24"/>
          <w:szCs w:val="24"/>
          <w:lang w:eastAsia="en-AU"/>
        </w:rPr>
        <w:t xml:space="preserve">disallowable </w:t>
      </w:r>
      <w:r w:rsidRPr="00A419EA">
        <w:rPr>
          <w:rFonts w:ascii="Times New Roman" w:eastAsia="Times New Roman" w:hAnsi="Times New Roman" w:cs="Times New Roman"/>
          <w:sz w:val="24"/>
          <w:szCs w:val="24"/>
          <w:lang w:eastAsia="en-AU"/>
        </w:rPr>
        <w:t>legislative instrument is compatible with the human rights and freedoms recognised or declared in the international instruments listed in section</w:t>
      </w:r>
      <w:r>
        <w:t> </w:t>
      </w:r>
      <w:r w:rsidRPr="00A419EA">
        <w:rPr>
          <w:rFonts w:ascii="Times New Roman" w:eastAsia="Times New Roman" w:hAnsi="Times New Roman" w:cs="Times New Roman"/>
          <w:sz w:val="24"/>
          <w:szCs w:val="24"/>
          <w:lang w:eastAsia="en-AU"/>
        </w:rPr>
        <w:t xml:space="preserve">3 of the </w:t>
      </w:r>
      <w:r>
        <w:rPr>
          <w:rFonts w:ascii="Times New Roman" w:eastAsia="Times New Roman" w:hAnsi="Times New Roman" w:cs="Times New Roman"/>
          <w:i/>
          <w:iCs/>
          <w:sz w:val="24"/>
          <w:szCs w:val="24"/>
          <w:lang w:eastAsia="en-AU"/>
        </w:rPr>
        <w:t>Human Rights (Parliamentary Scrutiny) Act </w:t>
      </w:r>
      <w:r w:rsidRPr="00A419EA">
        <w:rPr>
          <w:rFonts w:ascii="Times New Roman" w:eastAsia="Times New Roman" w:hAnsi="Times New Roman" w:cs="Times New Roman"/>
          <w:i/>
          <w:iCs/>
          <w:sz w:val="24"/>
          <w:szCs w:val="24"/>
          <w:lang w:eastAsia="en-AU"/>
        </w:rPr>
        <w:t>2011</w:t>
      </w:r>
      <w:r w:rsidRPr="00A419EA">
        <w:rPr>
          <w:rFonts w:ascii="Times New Roman" w:eastAsia="Times New Roman" w:hAnsi="Times New Roman" w:cs="Times New Roman"/>
          <w:sz w:val="24"/>
          <w:szCs w:val="24"/>
          <w:lang w:eastAsia="en-AU"/>
        </w:rPr>
        <w:t>.</w:t>
      </w:r>
    </w:p>
    <w:p w14:paraId="4842CD1E" w14:textId="77777777" w:rsidR="00EF1F18" w:rsidRPr="00A419EA" w:rsidRDefault="00EF1F18" w:rsidP="00720518">
      <w:pPr>
        <w:spacing w:after="0"/>
        <w:rPr>
          <w:rFonts w:ascii="Times New Roman" w:eastAsia="Times New Roman" w:hAnsi="Times New Roman" w:cs="Times New Roman"/>
          <w:sz w:val="24"/>
          <w:szCs w:val="24"/>
          <w:lang w:val="en-US" w:eastAsia="en-AU"/>
        </w:rPr>
      </w:pPr>
    </w:p>
    <w:p w14:paraId="45C3CC91" w14:textId="77777777" w:rsidR="00EF1F18" w:rsidRDefault="00EF1F18" w:rsidP="00720518">
      <w:pPr>
        <w:spacing w:after="0"/>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Overview of the Legislative Instrument</w:t>
      </w:r>
    </w:p>
    <w:p w14:paraId="038BBA42" w14:textId="77777777" w:rsidR="00005653" w:rsidRPr="00A419EA" w:rsidRDefault="00005653" w:rsidP="00720518">
      <w:pPr>
        <w:spacing w:after="0"/>
        <w:rPr>
          <w:rFonts w:ascii="Times New Roman" w:eastAsia="Times New Roman" w:hAnsi="Times New Roman" w:cs="Times New Roman"/>
          <w:sz w:val="24"/>
          <w:szCs w:val="24"/>
          <w:lang w:val="en-US" w:eastAsia="en-AU"/>
        </w:rPr>
      </w:pPr>
    </w:p>
    <w:p w14:paraId="227538D1" w14:textId="421ED0EE" w:rsidR="00B82A8D" w:rsidRDefault="00EF1F18" w:rsidP="002D67DA">
      <w:pPr>
        <w:autoSpaceDE w:val="0"/>
        <w:autoSpaceDN w:val="0"/>
        <w:adjustRightInd w:val="0"/>
        <w:spacing w:after="0"/>
        <w:rPr>
          <w:rFonts w:ascii="Times New Roman" w:eastAsia="Times New Roman" w:hAnsi="Times New Roman" w:cs="Times New Roman"/>
          <w:sz w:val="24"/>
          <w:szCs w:val="24"/>
          <w:lang w:eastAsia="en-AU"/>
        </w:rPr>
      </w:pPr>
      <w:r w:rsidRPr="00A419EA">
        <w:rPr>
          <w:rFonts w:ascii="Times New Roman" w:eastAsia="Times New Roman" w:hAnsi="Times New Roman" w:cs="Times New Roman"/>
          <w:sz w:val="24"/>
          <w:szCs w:val="24"/>
          <w:lang w:eastAsia="en-AU"/>
        </w:rPr>
        <w:t xml:space="preserve">The </w:t>
      </w:r>
      <w:r w:rsidR="005F2423" w:rsidRPr="00AE2E87">
        <w:rPr>
          <w:rFonts w:ascii="Times New Roman" w:eastAsia="Times New Roman" w:hAnsi="Times New Roman" w:cs="Times New Roman"/>
          <w:i/>
          <w:sz w:val="24"/>
          <w:szCs w:val="24"/>
          <w:lang w:eastAsia="en-AU"/>
        </w:rPr>
        <w:t xml:space="preserve">Therapeutic Goods (Permissible Ingredients) Determination </w:t>
      </w:r>
      <w:r w:rsidR="005F2423">
        <w:rPr>
          <w:rFonts w:ascii="Times New Roman" w:eastAsia="Times New Roman" w:hAnsi="Times New Roman" w:cs="Times New Roman"/>
          <w:i/>
          <w:sz w:val="24"/>
          <w:szCs w:val="24"/>
          <w:lang w:eastAsia="en-AU"/>
        </w:rPr>
        <w:t>(No.</w:t>
      </w:r>
      <w:r w:rsidR="0046549C">
        <w:rPr>
          <w:rFonts w:ascii="Times New Roman" w:eastAsia="Times New Roman" w:hAnsi="Times New Roman" w:cs="Times New Roman"/>
          <w:i/>
          <w:sz w:val="24"/>
          <w:szCs w:val="24"/>
          <w:lang w:eastAsia="en-AU"/>
        </w:rPr>
        <w:t xml:space="preserve"> </w:t>
      </w:r>
      <w:r w:rsidR="002C5563">
        <w:rPr>
          <w:rFonts w:ascii="Times New Roman" w:eastAsia="Times New Roman" w:hAnsi="Times New Roman" w:cs="Times New Roman"/>
          <w:i/>
          <w:sz w:val="24"/>
          <w:szCs w:val="24"/>
          <w:lang w:eastAsia="en-AU"/>
        </w:rPr>
        <w:t>3</w:t>
      </w:r>
      <w:r w:rsidR="005F2423">
        <w:rPr>
          <w:rFonts w:ascii="Times New Roman" w:eastAsia="Times New Roman" w:hAnsi="Times New Roman" w:cs="Times New Roman"/>
          <w:i/>
          <w:sz w:val="24"/>
          <w:szCs w:val="24"/>
          <w:lang w:eastAsia="en-AU"/>
        </w:rPr>
        <w:t xml:space="preserve">) </w:t>
      </w:r>
      <w:r w:rsidR="005F2423" w:rsidRPr="00AE2E87">
        <w:rPr>
          <w:rFonts w:ascii="Times New Roman" w:eastAsia="Times New Roman" w:hAnsi="Times New Roman" w:cs="Times New Roman"/>
          <w:i/>
          <w:sz w:val="24"/>
          <w:szCs w:val="24"/>
          <w:lang w:eastAsia="en-AU"/>
        </w:rPr>
        <w:t>20</w:t>
      </w:r>
      <w:r w:rsidR="009A1C10">
        <w:rPr>
          <w:rFonts w:ascii="Times New Roman" w:eastAsia="Times New Roman" w:hAnsi="Times New Roman" w:cs="Times New Roman"/>
          <w:i/>
          <w:sz w:val="24"/>
          <w:szCs w:val="24"/>
          <w:lang w:eastAsia="en-AU"/>
        </w:rPr>
        <w:t>2</w:t>
      </w:r>
      <w:r w:rsidR="0050390C">
        <w:rPr>
          <w:rFonts w:ascii="Times New Roman" w:eastAsia="Times New Roman" w:hAnsi="Times New Roman" w:cs="Times New Roman"/>
          <w:i/>
          <w:sz w:val="24"/>
          <w:szCs w:val="24"/>
          <w:lang w:eastAsia="en-AU"/>
        </w:rPr>
        <w:t>2</w:t>
      </w:r>
      <w:r w:rsidR="005F2423">
        <w:rPr>
          <w:rFonts w:ascii="Times New Roman" w:eastAsia="Times New Roman" w:hAnsi="Times New Roman" w:cs="Times New Roman"/>
          <w:sz w:val="24"/>
          <w:szCs w:val="24"/>
          <w:lang w:eastAsia="en-AU"/>
        </w:rPr>
        <w:t xml:space="preserve"> (“the instrument”)</w:t>
      </w:r>
      <w:r w:rsidRPr="00A419EA">
        <w:rPr>
          <w:rFonts w:ascii="Times New Roman" w:eastAsia="Times New Roman" w:hAnsi="Times New Roman" w:cs="Times New Roman"/>
          <w:sz w:val="24"/>
          <w:szCs w:val="24"/>
          <w:lang w:eastAsia="en-AU"/>
        </w:rPr>
        <w:t xml:space="preserve"> is made by </w:t>
      </w:r>
      <w:r w:rsidR="008E75B9">
        <w:rPr>
          <w:rFonts w:ascii="Times New Roman" w:eastAsia="Times New Roman" w:hAnsi="Times New Roman" w:cs="Times New Roman"/>
          <w:sz w:val="24"/>
          <w:szCs w:val="24"/>
          <w:lang w:eastAsia="en-AU"/>
        </w:rPr>
        <w:t xml:space="preserve">a delegate of </w:t>
      </w:r>
      <w:r w:rsidRPr="00A419EA">
        <w:rPr>
          <w:rFonts w:ascii="Times New Roman" w:eastAsia="Times New Roman" w:hAnsi="Times New Roman" w:cs="Times New Roman"/>
          <w:sz w:val="24"/>
          <w:szCs w:val="24"/>
          <w:lang w:eastAsia="en-AU"/>
        </w:rPr>
        <w:t xml:space="preserve">the Minister under </w:t>
      </w:r>
      <w:r w:rsidR="008E75B9">
        <w:rPr>
          <w:rFonts w:ascii="Times New Roman" w:eastAsia="Times New Roman" w:hAnsi="Times New Roman" w:cs="Times New Roman"/>
          <w:sz w:val="24"/>
          <w:szCs w:val="24"/>
          <w:lang w:eastAsia="en-AU"/>
        </w:rPr>
        <w:t>sub</w:t>
      </w:r>
      <w:r>
        <w:rPr>
          <w:rFonts w:ascii="Times New Roman" w:eastAsia="Times New Roman" w:hAnsi="Times New Roman" w:cs="Times New Roman"/>
          <w:sz w:val="24"/>
          <w:szCs w:val="24"/>
          <w:lang w:eastAsia="en-AU"/>
        </w:rPr>
        <w:t>section 26</w:t>
      </w:r>
      <w:proofErr w:type="gramStart"/>
      <w:r>
        <w:rPr>
          <w:rFonts w:ascii="Times New Roman" w:eastAsia="Times New Roman" w:hAnsi="Times New Roman" w:cs="Times New Roman"/>
          <w:sz w:val="24"/>
          <w:szCs w:val="24"/>
          <w:lang w:eastAsia="en-AU"/>
        </w:rPr>
        <w:t>B</w:t>
      </w:r>
      <w:r w:rsidR="001B7ED3">
        <w:rPr>
          <w:rFonts w:ascii="Times New Roman" w:eastAsia="Times New Roman" w:hAnsi="Times New Roman" w:cs="Times New Roman"/>
          <w:sz w:val="24"/>
          <w:szCs w:val="24"/>
          <w:lang w:eastAsia="en-AU"/>
        </w:rPr>
        <w:t>B</w:t>
      </w:r>
      <w:r w:rsidR="008E75B9">
        <w:rPr>
          <w:rFonts w:ascii="Times New Roman" w:eastAsia="Times New Roman" w:hAnsi="Times New Roman" w:cs="Times New Roman"/>
          <w:sz w:val="24"/>
          <w:szCs w:val="24"/>
          <w:lang w:eastAsia="en-AU"/>
        </w:rPr>
        <w:t>(</w:t>
      </w:r>
      <w:proofErr w:type="gramEnd"/>
      <w:r w:rsidR="008E75B9">
        <w:rPr>
          <w:rFonts w:ascii="Times New Roman" w:eastAsia="Times New Roman" w:hAnsi="Times New Roman" w:cs="Times New Roman"/>
          <w:sz w:val="24"/>
          <w:szCs w:val="24"/>
          <w:lang w:eastAsia="en-AU"/>
        </w:rPr>
        <w:t>1)</w:t>
      </w:r>
      <w:r>
        <w:rPr>
          <w:rFonts w:ascii="Times New Roman" w:eastAsia="Times New Roman" w:hAnsi="Times New Roman" w:cs="Times New Roman"/>
          <w:sz w:val="24"/>
          <w:szCs w:val="24"/>
          <w:lang w:eastAsia="en-AU"/>
        </w:rPr>
        <w:t xml:space="preserve"> </w:t>
      </w:r>
      <w:r w:rsidRPr="00A419EA">
        <w:rPr>
          <w:rFonts w:ascii="Times New Roman" w:eastAsia="Times New Roman" w:hAnsi="Times New Roman" w:cs="Times New Roman"/>
          <w:sz w:val="24"/>
          <w:szCs w:val="24"/>
          <w:lang w:eastAsia="en-AU"/>
        </w:rPr>
        <w:t xml:space="preserve">of the </w:t>
      </w:r>
      <w:r>
        <w:rPr>
          <w:rFonts w:ascii="Times New Roman" w:eastAsia="Times New Roman" w:hAnsi="Times New Roman" w:cs="Times New Roman"/>
          <w:i/>
          <w:iCs/>
          <w:sz w:val="24"/>
          <w:szCs w:val="24"/>
          <w:lang w:eastAsia="en-AU"/>
        </w:rPr>
        <w:t>Therapeutic Goods Act </w:t>
      </w:r>
      <w:r w:rsidRPr="00A419EA">
        <w:rPr>
          <w:rFonts w:ascii="Times New Roman" w:eastAsia="Times New Roman" w:hAnsi="Times New Roman" w:cs="Times New Roman"/>
          <w:i/>
          <w:iCs/>
          <w:sz w:val="24"/>
          <w:szCs w:val="24"/>
          <w:lang w:eastAsia="en-AU"/>
        </w:rPr>
        <w:t>1989</w:t>
      </w:r>
      <w:r>
        <w:rPr>
          <w:rFonts w:ascii="Times New Roman" w:eastAsia="Times New Roman" w:hAnsi="Times New Roman" w:cs="Times New Roman"/>
          <w:i/>
          <w:iCs/>
          <w:sz w:val="24"/>
          <w:szCs w:val="24"/>
          <w:lang w:eastAsia="en-AU"/>
        </w:rPr>
        <w:t xml:space="preserve"> </w:t>
      </w:r>
      <w:r w:rsidRPr="00765674">
        <w:rPr>
          <w:rFonts w:ascii="Times New Roman" w:eastAsia="Times New Roman" w:hAnsi="Times New Roman" w:cs="Times New Roman"/>
          <w:iCs/>
          <w:sz w:val="24"/>
          <w:szCs w:val="24"/>
          <w:lang w:eastAsia="en-AU"/>
        </w:rPr>
        <w:t>(</w:t>
      </w:r>
      <w:r w:rsidR="00B82A8D">
        <w:rPr>
          <w:rFonts w:ascii="Times New Roman" w:eastAsia="Times New Roman" w:hAnsi="Times New Roman" w:cs="Times New Roman"/>
          <w:iCs/>
          <w:sz w:val="24"/>
          <w:szCs w:val="24"/>
          <w:lang w:eastAsia="en-AU"/>
        </w:rPr>
        <w:t>“</w:t>
      </w:r>
      <w:r w:rsidRPr="00765674">
        <w:rPr>
          <w:rFonts w:ascii="Times New Roman" w:eastAsia="Times New Roman" w:hAnsi="Times New Roman" w:cs="Times New Roman"/>
          <w:iCs/>
          <w:sz w:val="24"/>
          <w:szCs w:val="24"/>
          <w:lang w:eastAsia="en-AU"/>
        </w:rPr>
        <w:t>the Act</w:t>
      </w:r>
      <w:r w:rsidR="00B82A8D">
        <w:rPr>
          <w:rFonts w:ascii="Times New Roman" w:eastAsia="Times New Roman" w:hAnsi="Times New Roman" w:cs="Times New Roman"/>
          <w:iCs/>
          <w:sz w:val="24"/>
          <w:szCs w:val="24"/>
          <w:lang w:eastAsia="en-AU"/>
        </w:rPr>
        <w:t>”</w:t>
      </w:r>
      <w:r w:rsidRPr="00765674">
        <w:rPr>
          <w:rFonts w:ascii="Times New Roman" w:eastAsia="Times New Roman" w:hAnsi="Times New Roman" w:cs="Times New Roman"/>
          <w:iCs/>
          <w:sz w:val="24"/>
          <w:szCs w:val="24"/>
          <w:lang w:eastAsia="en-AU"/>
        </w:rPr>
        <w:t>)</w:t>
      </w:r>
      <w:r w:rsidRPr="00A419EA">
        <w:rPr>
          <w:rFonts w:ascii="Times New Roman" w:eastAsia="Times New Roman" w:hAnsi="Times New Roman" w:cs="Times New Roman"/>
          <w:i/>
          <w:iCs/>
          <w:sz w:val="24"/>
          <w:szCs w:val="24"/>
          <w:lang w:eastAsia="en-AU"/>
        </w:rPr>
        <w:t>.</w:t>
      </w:r>
    </w:p>
    <w:p w14:paraId="79189885"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799ABA85" w14:textId="075CB34E"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The purpose of the instrument is to specify those ingredients that may be contained in a medicine that is listed in the Australian Register of Therapeutic Goods (“the Register”) under section 26A or 26AE of the Act, and requirements in relation to the inclusion of those ingredients in such medicines. </w:t>
      </w:r>
      <w:r w:rsidR="00E60C26">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 xml:space="preserve">The instrument repeals and replaces the existing </w:t>
      </w:r>
      <w:r w:rsidRPr="00D731D4">
        <w:rPr>
          <w:rFonts w:ascii="Times New Roman" w:eastAsia="Times New Roman" w:hAnsi="Times New Roman" w:cs="Times New Roman"/>
          <w:i/>
          <w:iCs/>
          <w:sz w:val="24"/>
          <w:szCs w:val="24"/>
          <w:lang w:eastAsia="en-AU"/>
        </w:rPr>
        <w:t>Therapeutic Goods (Permissible I</w:t>
      </w:r>
      <w:r>
        <w:rPr>
          <w:rFonts w:ascii="Times New Roman" w:eastAsia="Times New Roman" w:hAnsi="Times New Roman" w:cs="Times New Roman"/>
          <w:i/>
          <w:iCs/>
          <w:sz w:val="24"/>
          <w:szCs w:val="24"/>
          <w:lang w:eastAsia="en-AU"/>
        </w:rPr>
        <w:t xml:space="preserve">ngredients) Determination (No. </w:t>
      </w:r>
      <w:r w:rsidR="002C5563">
        <w:rPr>
          <w:rFonts w:ascii="Times New Roman" w:eastAsia="Times New Roman" w:hAnsi="Times New Roman" w:cs="Times New Roman"/>
          <w:i/>
          <w:iCs/>
          <w:sz w:val="24"/>
          <w:szCs w:val="24"/>
          <w:lang w:eastAsia="en-AU"/>
        </w:rPr>
        <w:t>2</w:t>
      </w:r>
      <w:r w:rsidRPr="00D731D4">
        <w:rPr>
          <w:rFonts w:ascii="Times New Roman" w:eastAsia="Times New Roman" w:hAnsi="Times New Roman" w:cs="Times New Roman"/>
          <w:i/>
          <w:iCs/>
          <w:sz w:val="24"/>
          <w:szCs w:val="24"/>
          <w:lang w:eastAsia="en-AU"/>
        </w:rPr>
        <w:t xml:space="preserve">) </w:t>
      </w:r>
      <w:r w:rsidR="004C0638" w:rsidRPr="00361A1D">
        <w:rPr>
          <w:rFonts w:ascii="Times New Roman" w:eastAsia="Times New Roman" w:hAnsi="Times New Roman" w:cs="Times New Roman"/>
          <w:i/>
          <w:iCs/>
          <w:sz w:val="24"/>
          <w:szCs w:val="24"/>
          <w:lang w:eastAsia="en-AU"/>
        </w:rPr>
        <w:t>2022</w:t>
      </w:r>
      <w:r w:rsidR="004C0638" w:rsidRPr="00D731D4">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(“the former instrument”).</w:t>
      </w:r>
    </w:p>
    <w:p w14:paraId="666DC18D"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3FF27308" w14:textId="1A338E7E"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Medicines that are listed in the Register under section 26A of the Act </w:t>
      </w:r>
      <w:proofErr w:type="gramStart"/>
      <w:r w:rsidRPr="00D731D4">
        <w:rPr>
          <w:rFonts w:ascii="Times New Roman" w:eastAsia="Times New Roman" w:hAnsi="Times New Roman" w:cs="Times New Roman"/>
          <w:sz w:val="24"/>
          <w:szCs w:val="24"/>
          <w:lang w:eastAsia="en-AU"/>
        </w:rPr>
        <w:t>are considered to be</w:t>
      </w:r>
      <w:proofErr w:type="gramEnd"/>
      <w:r w:rsidRPr="00D731D4">
        <w:rPr>
          <w:rFonts w:ascii="Times New Roman" w:eastAsia="Times New Roman" w:hAnsi="Times New Roman" w:cs="Times New Roman"/>
          <w:sz w:val="24"/>
          <w:szCs w:val="24"/>
          <w:lang w:eastAsia="en-AU"/>
        </w:rPr>
        <w:t xml:space="preserve"> low risk and are not individually evaluated before they are listed. </w:t>
      </w:r>
      <w:r w:rsidR="00E60C26">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 xml:space="preserve">Medicines that are listed in the Register under section 26AE of the Act are also considered to be low </w:t>
      </w:r>
      <w:proofErr w:type="gramStart"/>
      <w:r w:rsidRPr="00D731D4">
        <w:rPr>
          <w:rFonts w:ascii="Times New Roman" w:eastAsia="Times New Roman" w:hAnsi="Times New Roman" w:cs="Times New Roman"/>
          <w:sz w:val="24"/>
          <w:szCs w:val="24"/>
          <w:lang w:eastAsia="en-AU"/>
        </w:rPr>
        <w:t>risk, but</w:t>
      </w:r>
      <w:proofErr w:type="gramEnd"/>
      <w:r w:rsidRPr="00D731D4">
        <w:rPr>
          <w:rFonts w:ascii="Times New Roman" w:eastAsia="Times New Roman" w:hAnsi="Times New Roman" w:cs="Times New Roman"/>
          <w:sz w:val="24"/>
          <w:szCs w:val="24"/>
          <w:lang w:eastAsia="en-AU"/>
        </w:rPr>
        <w:t xml:space="preserve"> are evaluated in relation to whether the efficacy of the medicine for the purposes for which it is to be used has been satisfactorily established (these purposes are specific efficacy claims for which the sponsor of the medicine holds supporting evidence). </w:t>
      </w:r>
      <w:r w:rsidR="00E60C26">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 xml:space="preserve">When listed under section 26AE, these listed medicines are commonly referred to as ‘assessed listed </w:t>
      </w:r>
      <w:proofErr w:type="gramStart"/>
      <w:r w:rsidRPr="00D731D4">
        <w:rPr>
          <w:rFonts w:ascii="Times New Roman" w:eastAsia="Times New Roman" w:hAnsi="Times New Roman" w:cs="Times New Roman"/>
          <w:sz w:val="24"/>
          <w:szCs w:val="24"/>
          <w:lang w:eastAsia="en-AU"/>
        </w:rPr>
        <w:t>medicines’</w:t>
      </w:r>
      <w:proofErr w:type="gramEnd"/>
      <w:r w:rsidRPr="00D731D4">
        <w:rPr>
          <w:rFonts w:ascii="Times New Roman" w:eastAsia="Times New Roman" w:hAnsi="Times New Roman" w:cs="Times New Roman"/>
          <w:sz w:val="24"/>
          <w:szCs w:val="24"/>
          <w:lang w:eastAsia="en-AU"/>
        </w:rPr>
        <w:t>.</w:t>
      </w:r>
    </w:p>
    <w:p w14:paraId="2B17E1A6"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5333D757" w14:textId="22BA20B7"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As the safety and quality of medicines listed under section 26A and 26AE are not evaluated by the Therapeutic Goods Administration (“the TGA”) before being given marketing approval, the Act contains mechanisms to help ensure that listed medicines are of appropriate quality and able to be used safely by consumers. </w:t>
      </w:r>
      <w:r w:rsidR="00B8782A">
        <w:rPr>
          <w:rFonts w:ascii="Times New Roman" w:eastAsia="Times New Roman" w:hAnsi="Times New Roman" w:cs="Times New Roman"/>
          <w:sz w:val="24"/>
          <w:szCs w:val="24"/>
          <w:lang w:eastAsia="en-AU"/>
        </w:rPr>
        <w:t xml:space="preserve"> </w:t>
      </w:r>
      <w:proofErr w:type="gramStart"/>
      <w:r w:rsidRPr="00D731D4">
        <w:rPr>
          <w:rFonts w:ascii="Times New Roman" w:eastAsia="Times New Roman" w:hAnsi="Times New Roman" w:cs="Times New Roman"/>
          <w:sz w:val="24"/>
          <w:szCs w:val="24"/>
          <w:lang w:eastAsia="en-AU"/>
        </w:rPr>
        <w:t>In particular, listed</w:t>
      </w:r>
      <w:proofErr w:type="gramEnd"/>
      <w:r w:rsidRPr="00D731D4">
        <w:rPr>
          <w:rFonts w:ascii="Times New Roman" w:eastAsia="Times New Roman" w:hAnsi="Times New Roman" w:cs="Times New Roman"/>
          <w:sz w:val="24"/>
          <w:szCs w:val="24"/>
          <w:lang w:eastAsia="en-AU"/>
        </w:rPr>
        <w:t xml:space="preserve"> medicines may only contain ingredients from an approved list of ingredients that have been evaluated in relation to their quality and safety and suitability for use in such medicines.</w:t>
      </w:r>
    </w:p>
    <w:p w14:paraId="34F8E975"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06D911DB" w14:textId="12BA5272"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Under paragraphs 26A(</w:t>
      </w:r>
      <w:proofErr w:type="gramStart"/>
      <w:r w:rsidRPr="00D731D4">
        <w:rPr>
          <w:rFonts w:ascii="Times New Roman" w:eastAsia="Times New Roman" w:hAnsi="Times New Roman" w:cs="Times New Roman"/>
          <w:sz w:val="24"/>
          <w:szCs w:val="24"/>
          <w:lang w:eastAsia="en-AU"/>
        </w:rPr>
        <w:t>2)(</w:t>
      </w:r>
      <w:proofErr w:type="gramEnd"/>
      <w:r w:rsidRPr="00D731D4">
        <w:rPr>
          <w:rFonts w:ascii="Times New Roman" w:eastAsia="Times New Roman" w:hAnsi="Times New Roman" w:cs="Times New Roman"/>
          <w:sz w:val="24"/>
          <w:szCs w:val="24"/>
          <w:lang w:eastAsia="en-AU"/>
        </w:rPr>
        <w:t xml:space="preserve">ca) and (cb) of the Act, persons applying to list a medicine in the Register under section 26A of the Act must certify that their medicine does not contain an ingredient that is not specified in a determination under paragraph 26BB(1)(a) of the Act, and does not contravene a requirement in relation to such an ingredient that is specified in such a determination. </w:t>
      </w:r>
      <w:r w:rsidR="00E60C26">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Paragraphs 26AB(2)(d) and (e) set out equivalent certification requirements for applicants seeking marketing approval for an assessed listed medicine.</w:t>
      </w:r>
      <w:r w:rsidR="00B8782A">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 xml:space="preserve"> A listed (or </w:t>
      </w:r>
      <w:r w:rsidRPr="00D731D4">
        <w:rPr>
          <w:rFonts w:ascii="Times New Roman" w:eastAsia="Times New Roman" w:hAnsi="Times New Roman" w:cs="Times New Roman"/>
          <w:sz w:val="24"/>
          <w:szCs w:val="24"/>
          <w:lang w:eastAsia="en-AU"/>
        </w:rPr>
        <w:lastRenderedPageBreak/>
        <w:t>assessed listed) medicine may be cancelled from the Register if it appears to the Secretary that such a certification is incorrect.</w:t>
      </w:r>
    </w:p>
    <w:p w14:paraId="328560AB"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08BDDD60" w14:textId="73BE044B"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Compliance with the instrument is also an important part of the criteria for eligibility for listing of medicines in the Register set out in Schedule 4 to the </w:t>
      </w:r>
      <w:r w:rsidRPr="00D731D4">
        <w:rPr>
          <w:rFonts w:ascii="Times New Roman" w:eastAsia="Times New Roman" w:hAnsi="Times New Roman" w:cs="Times New Roman"/>
          <w:i/>
          <w:iCs/>
          <w:sz w:val="24"/>
          <w:szCs w:val="24"/>
          <w:lang w:eastAsia="en-AU"/>
        </w:rPr>
        <w:t>Therapeutic Goods Regulations 1990</w:t>
      </w:r>
      <w:r w:rsidRPr="00D731D4">
        <w:rPr>
          <w:rFonts w:ascii="Times New Roman" w:eastAsia="Times New Roman" w:hAnsi="Times New Roman" w:cs="Times New Roman"/>
          <w:sz w:val="24"/>
          <w:szCs w:val="24"/>
          <w:lang w:eastAsia="en-AU"/>
        </w:rPr>
        <w:t xml:space="preserve">. </w:t>
      </w:r>
      <w:r w:rsidR="00E60C26">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Medicines that are not eligible for listing because those medicines do not comply with these criteria (including compliance with the instrument) would be required to be registered, rather than listed, in the Register (a considerably more lengthy and costly exercise).</w:t>
      </w:r>
    </w:p>
    <w:p w14:paraId="09E316CB"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76E2595A" w14:textId="5D831C57"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The instrument is designed to provide a comprehensive list of ingredients which have been assessed or otherwise considered to be safe for use in listed (and assessed listed) medicines, and associated requirements to be followed when using </w:t>
      </w:r>
      <w:proofErr w:type="gramStart"/>
      <w:r w:rsidRPr="00D731D4">
        <w:rPr>
          <w:rFonts w:ascii="Times New Roman" w:eastAsia="Times New Roman" w:hAnsi="Times New Roman" w:cs="Times New Roman"/>
          <w:sz w:val="24"/>
          <w:szCs w:val="24"/>
          <w:lang w:eastAsia="en-AU"/>
        </w:rPr>
        <w:t>particular ingredients</w:t>
      </w:r>
      <w:proofErr w:type="gramEnd"/>
      <w:r w:rsidRPr="00D731D4">
        <w:rPr>
          <w:rFonts w:ascii="Times New Roman" w:eastAsia="Times New Roman" w:hAnsi="Times New Roman" w:cs="Times New Roman"/>
          <w:sz w:val="24"/>
          <w:szCs w:val="24"/>
          <w:lang w:eastAsia="en-AU"/>
        </w:rPr>
        <w:t xml:space="preserve"> in such products, to support the overall safety of these products for consumers.</w:t>
      </w:r>
    </w:p>
    <w:p w14:paraId="70D604CD"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648ADBB6" w14:textId="04A7890C" w:rsidR="00D731D4" w:rsidRPr="00D731D4" w:rsidRDefault="00D731D4" w:rsidP="00AB76CE">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The requirements imposed under the instrument principally relate to ensuring the quality and safety of the ingredient when used. </w:t>
      </w:r>
      <w:r w:rsidR="00B8782A">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Requirements may relate, for example, to:</w:t>
      </w:r>
    </w:p>
    <w:p w14:paraId="3E1BC56F" w14:textId="6C8A965F" w:rsidR="00D731D4" w:rsidRPr="00A521FE" w:rsidRDefault="00D731D4">
      <w:pPr>
        <w:pStyle w:val="ListParagraph"/>
        <w:numPr>
          <w:ilvl w:val="0"/>
          <w:numId w:val="12"/>
        </w:numPr>
        <w:autoSpaceDE w:val="0"/>
        <w:autoSpaceDN w:val="0"/>
        <w:adjustRightInd w:val="0"/>
        <w:spacing w:before="120" w:beforeAutospacing="0" w:after="120" w:afterAutospacing="0"/>
        <w:ind w:left="714" w:hanging="357"/>
        <w:rPr>
          <w:lang w:val="en-US"/>
        </w:rPr>
      </w:pPr>
      <w:r w:rsidRPr="00A521FE">
        <w:t xml:space="preserve">how the ingredient is to be used in the medicine, that is, as an active, homoeopathic or excipient </w:t>
      </w:r>
      <w:proofErr w:type="gramStart"/>
      <w:r w:rsidRPr="00A521FE">
        <w:t>ingredient;</w:t>
      </w:r>
      <w:proofErr w:type="gramEnd"/>
    </w:p>
    <w:p w14:paraId="4A7217E1" w14:textId="7254D24B"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 xml:space="preserve">the intended method of ingestion or application of the medicine, for example, oral or topical </w:t>
      </w:r>
      <w:proofErr w:type="gramStart"/>
      <w:r w:rsidRPr="00A521FE">
        <w:t>use;</w:t>
      </w:r>
      <w:proofErr w:type="gramEnd"/>
    </w:p>
    <w:p w14:paraId="160AE370" w14:textId="2FBDB112"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 xml:space="preserve">the source of the ingredient, or procedures to be followed in its </w:t>
      </w:r>
      <w:proofErr w:type="gramStart"/>
      <w:r w:rsidRPr="00A521FE">
        <w:t>manufacture;</w:t>
      </w:r>
      <w:proofErr w:type="gramEnd"/>
    </w:p>
    <w:p w14:paraId="3AC40B37" w14:textId="547C978A"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appropriate limits on the volume or concentration of an ingredient; and</w:t>
      </w:r>
    </w:p>
    <w:p w14:paraId="0DEF1A6B" w14:textId="6C97C687"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the inclusion of relevant safety information on product labels, for example, allergen advice or advice about the use of medicine containing the ingredient for susceptible members of the population such as children and pregnant women.</w:t>
      </w:r>
    </w:p>
    <w:p w14:paraId="3589B9EF" w14:textId="4993939A"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353B4AD1" w14:textId="6F6F9379" w:rsidR="00410762" w:rsidRDefault="00410762" w:rsidP="00361A1D">
      <w:pPr>
        <w:spacing w:after="0"/>
        <w:rPr>
          <w:rFonts w:ascii="Times New Roman" w:eastAsia="Times New Roman" w:hAnsi="Times New Roman" w:cs="Times New Roman"/>
          <w:sz w:val="24"/>
          <w:szCs w:val="24"/>
          <w:lang w:eastAsia="en-AU"/>
        </w:rPr>
      </w:pPr>
      <w:r w:rsidRPr="002000F0">
        <w:rPr>
          <w:rFonts w:ascii="Times New Roman" w:eastAsia="Times New Roman" w:hAnsi="Times New Roman" w:cs="Times New Roman"/>
          <w:sz w:val="24"/>
          <w:szCs w:val="24"/>
          <w:lang w:eastAsia="en-AU"/>
        </w:rPr>
        <w:t xml:space="preserve">The </w:t>
      </w:r>
      <w:r w:rsidR="00386656">
        <w:rPr>
          <w:rFonts w:ascii="Times New Roman" w:eastAsia="Times New Roman" w:hAnsi="Times New Roman" w:cs="Times New Roman"/>
          <w:sz w:val="24"/>
          <w:szCs w:val="24"/>
          <w:lang w:eastAsia="en-AU"/>
        </w:rPr>
        <w:t>instrument</w:t>
      </w:r>
      <w:r w:rsidRPr="002000F0">
        <w:rPr>
          <w:rFonts w:ascii="Times New Roman" w:eastAsia="Times New Roman" w:hAnsi="Times New Roman" w:cs="Times New Roman"/>
          <w:sz w:val="24"/>
          <w:szCs w:val="24"/>
          <w:lang w:eastAsia="en-AU"/>
        </w:rPr>
        <w:t xml:space="preserve"> incorporates </w:t>
      </w:r>
      <w:proofErr w:type="gramStart"/>
      <w:r w:rsidRPr="002000F0">
        <w:rPr>
          <w:rFonts w:ascii="Times New Roman" w:eastAsia="Times New Roman" w:hAnsi="Times New Roman" w:cs="Times New Roman"/>
          <w:sz w:val="24"/>
          <w:szCs w:val="24"/>
          <w:lang w:eastAsia="en-AU"/>
        </w:rPr>
        <w:t>a number of</w:t>
      </w:r>
      <w:proofErr w:type="gramEnd"/>
      <w:r w:rsidRPr="002000F0">
        <w:rPr>
          <w:rFonts w:ascii="Times New Roman" w:eastAsia="Times New Roman" w:hAnsi="Times New Roman" w:cs="Times New Roman"/>
          <w:sz w:val="24"/>
          <w:szCs w:val="24"/>
          <w:lang w:eastAsia="en-AU"/>
        </w:rPr>
        <w:t xml:space="preserve"> changes in comparison to the former </w:t>
      </w:r>
      <w:r w:rsidR="00386656">
        <w:rPr>
          <w:rFonts w:ascii="Times New Roman" w:eastAsia="Times New Roman" w:hAnsi="Times New Roman" w:cs="Times New Roman"/>
          <w:sz w:val="24"/>
          <w:szCs w:val="24"/>
          <w:lang w:eastAsia="en-AU"/>
        </w:rPr>
        <w:t>instrument</w:t>
      </w:r>
      <w:r w:rsidRPr="002000F0">
        <w:rPr>
          <w:rFonts w:ascii="Times New Roman" w:eastAsia="Times New Roman" w:hAnsi="Times New Roman" w:cs="Times New Roman"/>
          <w:sz w:val="24"/>
          <w:szCs w:val="24"/>
          <w:lang w:eastAsia="en-AU"/>
        </w:rPr>
        <w:t>, including in particular:</w:t>
      </w:r>
    </w:p>
    <w:p w14:paraId="6771F9CE" w14:textId="77777777" w:rsidR="00FD612D" w:rsidRDefault="00FD612D" w:rsidP="00FD612D">
      <w:pPr>
        <w:pStyle w:val="ListParagraph"/>
        <w:numPr>
          <w:ilvl w:val="0"/>
          <w:numId w:val="37"/>
        </w:numPr>
        <w:spacing w:before="0" w:beforeAutospacing="0"/>
        <w:ind w:left="714" w:hanging="357"/>
      </w:pPr>
      <w:r w:rsidRPr="009F17D8">
        <w:t xml:space="preserve">the addition of the </w:t>
      </w:r>
      <w:r>
        <w:t xml:space="preserve">following </w:t>
      </w:r>
      <w:r w:rsidRPr="009F17D8">
        <w:t>new ingredient</w:t>
      </w:r>
      <w:r>
        <w:t>s</w:t>
      </w:r>
      <w:r w:rsidRPr="009F17D8">
        <w:t xml:space="preserve"> for use in listed and assessed listed medicines</w:t>
      </w:r>
      <w:r>
        <w:t>:</w:t>
      </w:r>
    </w:p>
    <w:p w14:paraId="1A893E9D" w14:textId="77777777" w:rsidR="00FD612D" w:rsidRDefault="00FD612D" w:rsidP="00FD612D">
      <w:pPr>
        <w:pStyle w:val="ListParagraph"/>
        <w:numPr>
          <w:ilvl w:val="1"/>
          <w:numId w:val="37"/>
        </w:numPr>
      </w:pPr>
      <w:r>
        <w:t>‘beeswax alcohols’; and</w:t>
      </w:r>
    </w:p>
    <w:p w14:paraId="1E33BA4B" w14:textId="77777777" w:rsidR="00FD612D" w:rsidRDefault="00FD612D" w:rsidP="00FD612D">
      <w:pPr>
        <w:pStyle w:val="ListParagraph"/>
        <w:numPr>
          <w:ilvl w:val="1"/>
          <w:numId w:val="37"/>
        </w:numPr>
      </w:pPr>
      <w:r>
        <w:t>‘glyceryl mono and dicaprylocaprate</w:t>
      </w:r>
      <w:proofErr w:type="gramStart"/>
      <w:r>
        <w:t>’;</w:t>
      </w:r>
      <w:proofErr w:type="gramEnd"/>
    </w:p>
    <w:p w14:paraId="417E9DFF" w14:textId="77777777" w:rsidR="00FD612D" w:rsidRDefault="00FD612D" w:rsidP="00FD612D">
      <w:pPr>
        <w:pStyle w:val="ListParagraph"/>
        <w:numPr>
          <w:ilvl w:val="0"/>
          <w:numId w:val="37"/>
        </w:numPr>
      </w:pPr>
      <w:r w:rsidRPr="009F17D8">
        <w:t>updates to applicable requirements for the following ingredients:</w:t>
      </w:r>
    </w:p>
    <w:p w14:paraId="318015CE" w14:textId="77777777" w:rsidR="00FD612D" w:rsidRDefault="00FD612D" w:rsidP="00FD612D">
      <w:pPr>
        <w:pStyle w:val="ListParagraph"/>
        <w:numPr>
          <w:ilvl w:val="1"/>
          <w:numId w:val="37"/>
        </w:numPr>
      </w:pPr>
      <w:r w:rsidRPr="00C61010">
        <w:rPr>
          <w:i/>
          <w:iCs/>
        </w:rPr>
        <w:t>Bacillus coagulans</w:t>
      </w:r>
      <w:r w:rsidRPr="00C61010">
        <w:t>, following evaluation of the Microbial Type Culture Collection accession number 5856 strain</w:t>
      </w:r>
      <w:r>
        <w:t xml:space="preserve"> of this ingredient</w:t>
      </w:r>
      <w:r w:rsidRPr="00C61010">
        <w:t xml:space="preserve"> </w:t>
      </w:r>
      <w:r w:rsidRPr="009F17D8">
        <w:t xml:space="preserve">for use in listed and assessed listed </w:t>
      </w:r>
      <w:proofErr w:type="gramStart"/>
      <w:r w:rsidRPr="009F17D8">
        <w:t>medicines</w:t>
      </w:r>
      <w:r>
        <w:t>;</w:t>
      </w:r>
      <w:proofErr w:type="gramEnd"/>
    </w:p>
    <w:p w14:paraId="19D15555" w14:textId="77777777" w:rsidR="00FD612D" w:rsidRDefault="00FD612D" w:rsidP="00FD612D">
      <w:pPr>
        <w:pStyle w:val="ListParagraph"/>
        <w:numPr>
          <w:ilvl w:val="0"/>
          <w:numId w:val="37"/>
        </w:numPr>
      </w:pPr>
      <w:r>
        <w:t>an u</w:t>
      </w:r>
      <w:r w:rsidRPr="00C61010">
        <w:t>pdat</w:t>
      </w:r>
      <w:r>
        <w:t>e to</w:t>
      </w:r>
      <w:r w:rsidRPr="00C61010">
        <w:t xml:space="preserve"> the ingredient name ‘</w:t>
      </w:r>
      <w:r w:rsidRPr="00C61010">
        <w:rPr>
          <w:i/>
          <w:iCs/>
        </w:rPr>
        <w:t>Dictamnus desycarpus</w:t>
      </w:r>
      <w:r w:rsidRPr="00C61010">
        <w:t>’ to ‘</w:t>
      </w:r>
      <w:r w:rsidRPr="00C61010">
        <w:rPr>
          <w:i/>
          <w:iCs/>
        </w:rPr>
        <w:t>Dictamnus dasycarpus</w:t>
      </w:r>
      <w:r w:rsidRPr="00C61010">
        <w:t xml:space="preserve">’ </w:t>
      </w:r>
      <w:r w:rsidRPr="003846D3">
        <w:t xml:space="preserve">to align </w:t>
      </w:r>
      <w:r>
        <w:t xml:space="preserve">the name of this ingredient in the Determination </w:t>
      </w:r>
      <w:r w:rsidRPr="003846D3">
        <w:t xml:space="preserve">with the Australian Approved Names </w:t>
      </w:r>
      <w:proofErr w:type="gramStart"/>
      <w:r w:rsidRPr="003846D3">
        <w:t>List</w:t>
      </w:r>
      <w:r>
        <w:t>;</w:t>
      </w:r>
      <w:proofErr w:type="gramEnd"/>
    </w:p>
    <w:p w14:paraId="0EC35B06" w14:textId="77777777" w:rsidR="00FD612D" w:rsidRDefault="00FD612D" w:rsidP="00FD612D">
      <w:pPr>
        <w:pStyle w:val="ListParagraph"/>
        <w:numPr>
          <w:ilvl w:val="0"/>
          <w:numId w:val="37"/>
        </w:numPr>
      </w:pPr>
      <w:r w:rsidRPr="00C61010">
        <w:t>the clarification of requirements for the ingredient ‘</w:t>
      </w:r>
      <w:r w:rsidRPr="00C61010">
        <w:rPr>
          <w:i/>
          <w:iCs/>
        </w:rPr>
        <w:t>Lepidium meyenii’</w:t>
      </w:r>
      <w:r w:rsidRPr="00C61010">
        <w:t>, including the incorporation of minor formatting changes</w:t>
      </w:r>
      <w:r w:rsidRPr="009F17D8">
        <w:t xml:space="preserve">, to </w:t>
      </w:r>
      <w:r>
        <w:t xml:space="preserve">better </w:t>
      </w:r>
      <w:r w:rsidRPr="009F17D8">
        <w:t xml:space="preserve">reflect the outcome of the </w:t>
      </w:r>
      <w:r>
        <w:t xml:space="preserve">evaluation of the suitability of this </w:t>
      </w:r>
      <w:r w:rsidRPr="009F17D8">
        <w:t>ingredient</w:t>
      </w:r>
      <w:r>
        <w:t xml:space="preserve"> for use in listed and assessed listed medicines; and</w:t>
      </w:r>
    </w:p>
    <w:p w14:paraId="7787B10B" w14:textId="5864DC39" w:rsidR="00FD612D" w:rsidRDefault="00FD612D" w:rsidP="00FD612D">
      <w:pPr>
        <w:pStyle w:val="ListParagraph"/>
        <w:numPr>
          <w:ilvl w:val="0"/>
          <w:numId w:val="37"/>
        </w:numPr>
      </w:pPr>
      <w:r>
        <w:lastRenderedPageBreak/>
        <w:t>the removal of requirements for the following ingredients to reflect the expiry of periods of exclusive uses for sponsors:</w:t>
      </w:r>
    </w:p>
    <w:p w14:paraId="2B9FF838" w14:textId="77777777" w:rsidR="00FD612D" w:rsidRDefault="00FD612D" w:rsidP="00FD612D">
      <w:pPr>
        <w:pStyle w:val="ListParagraph"/>
        <w:numPr>
          <w:ilvl w:val="1"/>
          <w:numId w:val="37"/>
        </w:numPr>
      </w:pPr>
      <w:r>
        <w:t>citrulline; and</w:t>
      </w:r>
    </w:p>
    <w:p w14:paraId="330254AF" w14:textId="77777777" w:rsidR="00FD612D" w:rsidRPr="009F17D8" w:rsidRDefault="00FD612D" w:rsidP="00FD612D">
      <w:pPr>
        <w:pStyle w:val="ListParagraph"/>
        <w:numPr>
          <w:ilvl w:val="1"/>
          <w:numId w:val="37"/>
        </w:numPr>
        <w:spacing w:after="0" w:afterAutospacing="0"/>
        <w:ind w:left="1434" w:hanging="357"/>
      </w:pPr>
      <w:r>
        <w:t>hydrogenated polydextrose.</w:t>
      </w:r>
    </w:p>
    <w:p w14:paraId="37773782" w14:textId="77777777" w:rsidR="00C0327A" w:rsidRDefault="00C0327A" w:rsidP="00361A1D">
      <w:pPr>
        <w:spacing w:after="0"/>
        <w:rPr>
          <w:rFonts w:ascii="Times New Roman" w:eastAsia="Times New Roman" w:hAnsi="Times New Roman" w:cs="Times New Roman"/>
          <w:sz w:val="24"/>
          <w:szCs w:val="24"/>
          <w:lang w:eastAsia="en-AU"/>
        </w:rPr>
      </w:pPr>
    </w:p>
    <w:p w14:paraId="685A0A7D" w14:textId="0429FBDE" w:rsidR="00EF1F18" w:rsidRDefault="00EF1F18" w:rsidP="00F111D7">
      <w:pPr>
        <w:keepNext/>
        <w:spacing w:after="0"/>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Human rights implications</w:t>
      </w:r>
    </w:p>
    <w:p w14:paraId="61514795" w14:textId="77777777" w:rsidR="00510EB5" w:rsidRPr="00A419EA" w:rsidRDefault="00510EB5" w:rsidP="00F111D7">
      <w:pPr>
        <w:keepNext/>
        <w:spacing w:after="0"/>
        <w:rPr>
          <w:rFonts w:ascii="Times New Roman" w:eastAsia="Times New Roman" w:hAnsi="Times New Roman" w:cs="Times New Roman"/>
          <w:sz w:val="24"/>
          <w:szCs w:val="24"/>
          <w:lang w:val="en-US" w:eastAsia="en-AU"/>
        </w:rPr>
      </w:pPr>
    </w:p>
    <w:p w14:paraId="063407BC" w14:textId="03838DED" w:rsidR="00510EB5" w:rsidRDefault="008F596A" w:rsidP="00510EB5">
      <w:pPr>
        <w:spacing w:after="0"/>
        <w:contextualSpacing/>
        <w:rPr>
          <w:rFonts w:ascii="Times New Roman" w:eastAsia="Times New Roman" w:hAnsi="Times New Roman" w:cs="Times New Roman"/>
          <w:sz w:val="24"/>
          <w:szCs w:val="24"/>
          <w:lang w:eastAsia="en-AU"/>
        </w:rPr>
      </w:pPr>
      <w:r w:rsidRPr="00B94E86">
        <w:rPr>
          <w:rFonts w:ascii="Times New Roman" w:hAnsi="Times New Roman" w:cs="Times New Roman"/>
          <w:bCs/>
          <w:sz w:val="24"/>
          <w:szCs w:val="24"/>
        </w:rPr>
        <w:t xml:space="preserve">The </w:t>
      </w:r>
      <w:r>
        <w:rPr>
          <w:rFonts w:ascii="Times New Roman" w:hAnsi="Times New Roman" w:cs="Times New Roman"/>
          <w:bCs/>
          <w:sz w:val="24"/>
          <w:szCs w:val="24"/>
        </w:rPr>
        <w:t>instrument</w:t>
      </w:r>
      <w:r w:rsidRPr="00B94E86">
        <w:rPr>
          <w:rFonts w:ascii="Times New Roman" w:hAnsi="Times New Roman" w:cs="Times New Roman"/>
          <w:bCs/>
          <w:sz w:val="24"/>
          <w:szCs w:val="24"/>
        </w:rPr>
        <w:t xml:space="preserve"> </w:t>
      </w:r>
      <w:r>
        <w:rPr>
          <w:rFonts w:ascii="Times New Roman" w:hAnsi="Times New Roman" w:cs="Times New Roman"/>
          <w:bCs/>
          <w:sz w:val="24"/>
          <w:szCs w:val="24"/>
        </w:rPr>
        <w:t>engages</w:t>
      </w:r>
      <w:r w:rsidRPr="00B94E86">
        <w:rPr>
          <w:rFonts w:ascii="Times New Roman" w:hAnsi="Times New Roman" w:cs="Times New Roman"/>
          <w:bCs/>
          <w:sz w:val="24"/>
          <w:szCs w:val="24"/>
        </w:rPr>
        <w:t xml:space="preserve"> the right to health in </w:t>
      </w:r>
      <w:r>
        <w:rPr>
          <w:rFonts w:ascii="Times New Roman" w:hAnsi="Times New Roman" w:cs="Times New Roman"/>
          <w:bCs/>
          <w:sz w:val="24"/>
          <w:szCs w:val="24"/>
        </w:rPr>
        <w:t>A</w:t>
      </w:r>
      <w:r w:rsidRPr="00B94E86">
        <w:rPr>
          <w:rFonts w:ascii="Times New Roman" w:hAnsi="Times New Roman" w:cs="Times New Roman"/>
          <w:bCs/>
          <w:sz w:val="24"/>
          <w:szCs w:val="24"/>
        </w:rPr>
        <w:t>rticle 12 of the International Covenant on Economic, Social and Cultural Rights (</w:t>
      </w:r>
      <w:r>
        <w:rPr>
          <w:rFonts w:ascii="Times New Roman" w:hAnsi="Times New Roman" w:cs="Times New Roman"/>
          <w:bCs/>
          <w:sz w:val="24"/>
          <w:szCs w:val="24"/>
        </w:rPr>
        <w:t>“</w:t>
      </w:r>
      <w:r w:rsidRPr="00B94E86">
        <w:rPr>
          <w:rFonts w:ascii="Times New Roman" w:hAnsi="Times New Roman" w:cs="Times New Roman"/>
          <w:bCs/>
          <w:sz w:val="24"/>
          <w:szCs w:val="24"/>
        </w:rPr>
        <w:t>the ICESCR</w:t>
      </w:r>
      <w:r>
        <w:rPr>
          <w:rFonts w:ascii="Times New Roman" w:hAnsi="Times New Roman" w:cs="Times New Roman"/>
          <w:bCs/>
          <w:sz w:val="24"/>
          <w:szCs w:val="24"/>
        </w:rPr>
        <w:t>”</w:t>
      </w:r>
      <w:r w:rsidRPr="00B94E86">
        <w:rPr>
          <w:rFonts w:ascii="Times New Roman" w:hAnsi="Times New Roman" w:cs="Times New Roman"/>
          <w:bCs/>
          <w:sz w:val="24"/>
          <w:szCs w:val="24"/>
        </w:rPr>
        <w:t xml:space="preserve">). </w:t>
      </w:r>
      <w:r w:rsidR="00B8782A">
        <w:rPr>
          <w:rFonts w:ascii="Times New Roman" w:hAnsi="Times New Roman" w:cs="Times New Roman"/>
          <w:bCs/>
          <w:sz w:val="24"/>
          <w:szCs w:val="24"/>
        </w:rPr>
        <w:t xml:space="preserve"> </w:t>
      </w:r>
      <w:r>
        <w:rPr>
          <w:rFonts w:ascii="Times New Roman" w:hAnsi="Times New Roman" w:cs="Times New Roman"/>
          <w:bCs/>
          <w:sz w:val="24"/>
          <w:szCs w:val="24"/>
        </w:rPr>
        <w:t xml:space="preserve">Article 12 of the ICESCR promotes the right of all individuals to enjoy the highest attainable standard of physical and mental </w:t>
      </w:r>
      <w:proofErr w:type="gramStart"/>
      <w:r>
        <w:rPr>
          <w:rFonts w:ascii="Times New Roman" w:hAnsi="Times New Roman" w:cs="Times New Roman"/>
          <w:bCs/>
          <w:sz w:val="24"/>
          <w:szCs w:val="24"/>
        </w:rPr>
        <w:t>health, and</w:t>
      </w:r>
      <w:proofErr w:type="gramEnd"/>
      <w:r>
        <w:rPr>
          <w:rFonts w:ascii="Times New Roman" w:hAnsi="Times New Roman" w:cs="Times New Roman"/>
          <w:bCs/>
          <w:sz w:val="24"/>
          <w:szCs w:val="24"/>
        </w:rPr>
        <w:t xml:space="preserve"> includes an obligation to take reasonable measures within available resources to progressively secure broader enjoyment of the right. </w:t>
      </w:r>
      <w:r w:rsidR="00E60C26">
        <w:rPr>
          <w:rFonts w:ascii="Times New Roman" w:hAnsi="Times New Roman" w:cs="Times New Roman"/>
          <w:bCs/>
          <w:sz w:val="24"/>
          <w:szCs w:val="24"/>
        </w:rPr>
        <w:t xml:space="preserve"> </w:t>
      </w:r>
      <w:r w:rsidRPr="00B94E86">
        <w:rPr>
          <w:rFonts w:ascii="Times New Roman" w:hAnsi="Times New Roman" w:cs="Times New Roman"/>
          <w:sz w:val="24"/>
          <w:szCs w:val="24"/>
        </w:rPr>
        <w:t xml:space="preserve">In </w:t>
      </w:r>
      <w:r w:rsidRPr="00B94E86">
        <w:rPr>
          <w:rFonts w:ascii="Times New Roman" w:hAnsi="Times New Roman" w:cs="Times New Roman"/>
          <w:i/>
          <w:iCs/>
          <w:sz w:val="24"/>
          <w:szCs w:val="24"/>
        </w:rPr>
        <w:t xml:space="preserve">General Comment No. 14: The Right to the Highest Attainable Standard of Health (Art. 12) </w:t>
      </w:r>
      <w:r w:rsidRPr="00B94E86">
        <w:rPr>
          <w:rFonts w:ascii="Times New Roman" w:hAnsi="Times New Roman" w:cs="Times New Roman"/>
          <w:sz w:val="24"/>
          <w:szCs w:val="24"/>
        </w:rPr>
        <w:t>(2000),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15195A4B" w14:textId="77777777" w:rsidR="00510EB5" w:rsidRDefault="00510EB5" w:rsidP="00510EB5">
      <w:pPr>
        <w:spacing w:after="0"/>
        <w:contextualSpacing/>
        <w:rPr>
          <w:rFonts w:ascii="Times New Roman" w:hAnsi="Times New Roman" w:cs="Times New Roman"/>
          <w:sz w:val="24"/>
          <w:szCs w:val="24"/>
        </w:rPr>
      </w:pPr>
    </w:p>
    <w:p w14:paraId="163E7727" w14:textId="0AC97341" w:rsidR="00DD5F7F" w:rsidRPr="00DD5F7F" w:rsidRDefault="00DD5F7F" w:rsidP="00DD5F7F">
      <w:pPr>
        <w:spacing w:after="0"/>
        <w:contextualSpacing/>
        <w:rPr>
          <w:rFonts w:ascii="Times New Roman" w:hAnsi="Times New Roman" w:cs="Times New Roman"/>
          <w:sz w:val="24"/>
          <w:szCs w:val="24"/>
        </w:rPr>
      </w:pPr>
      <w:r w:rsidRPr="00DD5F7F">
        <w:rPr>
          <w:rFonts w:ascii="Times New Roman" w:hAnsi="Times New Roman" w:cs="Times New Roman"/>
          <w:sz w:val="24"/>
          <w:szCs w:val="24"/>
        </w:rPr>
        <w:t xml:space="preserve">The instrument takes positive steps to promote the right to health by ensuring the safety and quality of therapeutic goods that are listed medicines. </w:t>
      </w:r>
      <w:r w:rsidR="00E60C26">
        <w:rPr>
          <w:rFonts w:ascii="Times New Roman" w:hAnsi="Times New Roman" w:cs="Times New Roman"/>
          <w:sz w:val="24"/>
          <w:szCs w:val="24"/>
        </w:rPr>
        <w:t xml:space="preserve"> </w:t>
      </w:r>
      <w:r w:rsidRPr="00DD5F7F">
        <w:rPr>
          <w:rFonts w:ascii="Times New Roman" w:hAnsi="Times New Roman" w:cs="Times New Roman"/>
          <w:sz w:val="24"/>
          <w:szCs w:val="24"/>
        </w:rPr>
        <w:t>By prescribing those ingredients that are considered to be safe for use in listed medicines, and by setting out important requirements relating to the use of those ingredients in such medicines (such requirements may relate, for example, to maximum concentrations of such ingredients in listed medicines, or to the inclusion of warning statements on medicine labels such as ‘Keep out of reach of children’ for relevant ingredients), the safety of Australian consumers will be better protected, and they will be better able to make informed decisions about such medicines.</w:t>
      </w:r>
    </w:p>
    <w:p w14:paraId="756DBF00" w14:textId="77777777" w:rsidR="00DD5F7F" w:rsidRPr="00DD5F7F" w:rsidRDefault="00DD5F7F" w:rsidP="00DD5F7F">
      <w:pPr>
        <w:spacing w:after="0"/>
        <w:contextualSpacing/>
        <w:rPr>
          <w:rFonts w:ascii="Times New Roman" w:hAnsi="Times New Roman" w:cs="Times New Roman"/>
          <w:sz w:val="24"/>
          <w:szCs w:val="24"/>
        </w:rPr>
      </w:pPr>
    </w:p>
    <w:p w14:paraId="30FFB6E5" w14:textId="3BFFAF81" w:rsidR="00510EB5" w:rsidRDefault="008F596A" w:rsidP="00510EB5">
      <w:pPr>
        <w:spacing w:after="0"/>
        <w:contextualSpacing/>
        <w:rPr>
          <w:rFonts w:ascii="Times New Roman" w:eastAsia="Times New Roman" w:hAnsi="Times New Roman" w:cs="Times New Roman"/>
          <w:sz w:val="24"/>
          <w:szCs w:val="24"/>
          <w:lang w:eastAsia="en-AU"/>
        </w:rPr>
      </w:pPr>
      <w:r>
        <w:rPr>
          <w:rFonts w:ascii="Times New Roman" w:hAnsi="Times New Roman" w:cs="Times New Roman"/>
          <w:sz w:val="24"/>
          <w:szCs w:val="24"/>
        </w:rPr>
        <w:t xml:space="preserve">This is particularly important for listed medicines, given that those medicines are not evaluated for safety and quality by the TGA prior to listing in the </w:t>
      </w:r>
      <w:r w:rsidR="00A34A44">
        <w:rPr>
          <w:rFonts w:ascii="Times New Roman" w:hAnsi="Times New Roman" w:cs="Times New Roman"/>
          <w:sz w:val="24"/>
          <w:szCs w:val="24"/>
        </w:rPr>
        <w:t>Register</w:t>
      </w:r>
      <w:r>
        <w:rPr>
          <w:rFonts w:ascii="Times New Roman" w:hAnsi="Times New Roman" w:cs="Times New Roman"/>
          <w:sz w:val="24"/>
          <w:szCs w:val="24"/>
        </w:rPr>
        <w:t>, and as they are usually available for self-selection by consumers without a requirement to first obtain the advice or prescription of a registered medical doctor, or the advice of a pharmacist.</w:t>
      </w:r>
    </w:p>
    <w:p w14:paraId="5D183399" w14:textId="77777777" w:rsidR="00510EB5" w:rsidRDefault="00510EB5" w:rsidP="00712EA4">
      <w:pPr>
        <w:spacing w:after="0" w:line="240" w:lineRule="auto"/>
        <w:contextualSpacing/>
        <w:rPr>
          <w:rFonts w:ascii="Times New Roman" w:eastAsia="Times New Roman" w:hAnsi="Times New Roman" w:cs="Times New Roman"/>
          <w:sz w:val="24"/>
          <w:szCs w:val="24"/>
          <w:lang w:eastAsia="en-AU"/>
        </w:rPr>
      </w:pPr>
    </w:p>
    <w:p w14:paraId="04806E92" w14:textId="0627CB69" w:rsidR="00EF1F18" w:rsidRDefault="00EF1F18" w:rsidP="001A7C14">
      <w:pPr>
        <w:keepNext/>
        <w:spacing w:after="0"/>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Conclusion</w:t>
      </w:r>
    </w:p>
    <w:p w14:paraId="3FB3203C" w14:textId="77777777" w:rsidR="00712EA4" w:rsidRPr="00A419EA" w:rsidRDefault="00712EA4" w:rsidP="001A7C14">
      <w:pPr>
        <w:keepNext/>
        <w:spacing w:after="0" w:line="240" w:lineRule="auto"/>
        <w:rPr>
          <w:rFonts w:ascii="Times New Roman" w:eastAsia="Times New Roman" w:hAnsi="Times New Roman" w:cs="Times New Roman"/>
          <w:sz w:val="24"/>
          <w:szCs w:val="24"/>
          <w:lang w:val="en-US" w:eastAsia="en-AU"/>
        </w:rPr>
      </w:pPr>
    </w:p>
    <w:p w14:paraId="63D98AB2" w14:textId="7B614214" w:rsidR="008C0845" w:rsidRDefault="00EF1F18" w:rsidP="00361A1D">
      <w:pPr>
        <w:spacing w:after="0"/>
        <w:contextualSpacing/>
      </w:pPr>
      <w:r w:rsidRPr="0034672A">
        <w:rPr>
          <w:rFonts w:ascii="Times New Roman" w:hAnsi="Times New Roman" w:cs="Times New Roman"/>
          <w:sz w:val="24"/>
          <w:szCs w:val="24"/>
        </w:rPr>
        <w:t>This legislative instrument is compatible with human rights</w:t>
      </w:r>
      <w:r w:rsidR="00A34A44" w:rsidRPr="0034672A">
        <w:rPr>
          <w:rFonts w:ascii="Times New Roman" w:hAnsi="Times New Roman" w:cs="Times New Roman"/>
          <w:sz w:val="24"/>
          <w:szCs w:val="24"/>
        </w:rPr>
        <w:t xml:space="preserve"> because it promotes the right to health in Article 12 of the ICESCR and </w:t>
      </w:r>
      <w:r w:rsidRPr="0034672A">
        <w:rPr>
          <w:rFonts w:ascii="Times New Roman" w:hAnsi="Times New Roman" w:cs="Times New Roman"/>
          <w:sz w:val="24"/>
          <w:szCs w:val="24"/>
        </w:rPr>
        <w:t xml:space="preserve">does not raise any </w:t>
      </w:r>
      <w:r w:rsidR="00A34A44" w:rsidRPr="0034672A">
        <w:rPr>
          <w:rFonts w:ascii="Times New Roman" w:hAnsi="Times New Roman" w:cs="Times New Roman"/>
          <w:sz w:val="24"/>
          <w:szCs w:val="24"/>
        </w:rPr>
        <w:t xml:space="preserve">other </w:t>
      </w:r>
      <w:r w:rsidRPr="0034672A">
        <w:rPr>
          <w:rFonts w:ascii="Times New Roman" w:hAnsi="Times New Roman" w:cs="Times New Roman"/>
          <w:sz w:val="24"/>
          <w:szCs w:val="24"/>
        </w:rPr>
        <w:t>human rights issues.</w:t>
      </w:r>
    </w:p>
    <w:sectPr w:rsidR="008C0845" w:rsidSect="00680B29">
      <w:footerReference w:type="default" r:id="rId16"/>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B749B" w14:textId="77777777" w:rsidR="00ED1DD3" w:rsidRDefault="00ED1DD3" w:rsidP="008939B1">
      <w:pPr>
        <w:spacing w:after="0" w:line="240" w:lineRule="auto"/>
      </w:pPr>
      <w:r>
        <w:separator/>
      </w:r>
    </w:p>
    <w:p w14:paraId="4D0543C3" w14:textId="77777777" w:rsidR="00ED1DD3" w:rsidRDefault="00ED1DD3"/>
  </w:endnote>
  <w:endnote w:type="continuationSeparator" w:id="0">
    <w:p w14:paraId="105DCDC4" w14:textId="77777777" w:rsidR="00ED1DD3" w:rsidRDefault="00ED1DD3" w:rsidP="008939B1">
      <w:pPr>
        <w:spacing w:after="0" w:line="240" w:lineRule="auto"/>
      </w:pPr>
      <w:r>
        <w:continuationSeparator/>
      </w:r>
    </w:p>
    <w:p w14:paraId="79AB93C5" w14:textId="77777777" w:rsidR="00ED1DD3" w:rsidRDefault="00ED1D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02084" w14:textId="253FEAF3" w:rsidR="004A79B9" w:rsidRPr="00AC5813" w:rsidRDefault="004A79B9" w:rsidP="00AC5813">
    <w:pPr>
      <w:pStyle w:val="Footer"/>
      <w:jc w:val="center"/>
      <w:rPr>
        <w:rFonts w:ascii="Times New Roman" w:hAnsi="Times New Roman" w:cs="Times New Roman"/>
        <w:sz w:val="24"/>
        <w:szCs w:val="24"/>
      </w:rPr>
    </w:pPr>
    <w:r w:rsidRPr="00AC5813">
      <w:rPr>
        <w:rFonts w:ascii="Times New Roman" w:hAnsi="Times New Roman" w:cs="Times New Roman"/>
        <w:sz w:val="24"/>
        <w:szCs w:val="24"/>
      </w:rPr>
      <w:fldChar w:fldCharType="begin"/>
    </w:r>
    <w:r w:rsidRPr="00AC5813">
      <w:rPr>
        <w:rFonts w:ascii="Times New Roman" w:hAnsi="Times New Roman" w:cs="Times New Roman"/>
        <w:sz w:val="24"/>
        <w:szCs w:val="24"/>
      </w:rPr>
      <w:instrText xml:space="preserve"> PAGE   \* MERGEFORMAT </w:instrText>
    </w:r>
    <w:r w:rsidRPr="00AC5813">
      <w:rPr>
        <w:rFonts w:ascii="Times New Roman" w:hAnsi="Times New Roman" w:cs="Times New Roman"/>
        <w:sz w:val="24"/>
        <w:szCs w:val="24"/>
      </w:rPr>
      <w:fldChar w:fldCharType="separate"/>
    </w:r>
    <w:r>
      <w:rPr>
        <w:rFonts w:ascii="Times New Roman" w:hAnsi="Times New Roman" w:cs="Times New Roman"/>
        <w:noProof/>
        <w:sz w:val="24"/>
        <w:szCs w:val="24"/>
      </w:rPr>
      <w:t>7</w:t>
    </w:r>
    <w:r w:rsidRPr="00AC5813">
      <w:rPr>
        <w:rFonts w:ascii="Times New Roman" w:hAnsi="Times New Roman" w:cs="Times New Roman"/>
        <w:noProof/>
        <w:sz w:val="24"/>
        <w:szCs w:val="24"/>
      </w:rPr>
      <w:fldChar w:fldCharType="end"/>
    </w:r>
  </w:p>
  <w:p w14:paraId="66F675D6" w14:textId="77777777" w:rsidR="004A79B9" w:rsidRDefault="004A79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F8A65" w14:textId="77777777" w:rsidR="00ED1DD3" w:rsidRDefault="00ED1DD3" w:rsidP="008939B1">
      <w:pPr>
        <w:spacing w:after="0" w:line="240" w:lineRule="auto"/>
      </w:pPr>
      <w:r>
        <w:separator/>
      </w:r>
    </w:p>
    <w:p w14:paraId="1F3D45F2" w14:textId="77777777" w:rsidR="00ED1DD3" w:rsidRDefault="00ED1DD3"/>
  </w:footnote>
  <w:footnote w:type="continuationSeparator" w:id="0">
    <w:p w14:paraId="00846005" w14:textId="77777777" w:rsidR="00ED1DD3" w:rsidRDefault="00ED1DD3" w:rsidP="008939B1">
      <w:pPr>
        <w:spacing w:after="0" w:line="240" w:lineRule="auto"/>
      </w:pPr>
      <w:r>
        <w:continuationSeparator/>
      </w:r>
    </w:p>
    <w:p w14:paraId="716448CD" w14:textId="77777777" w:rsidR="00ED1DD3" w:rsidRDefault="00ED1D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56482"/>
    <w:multiLevelType w:val="hybridMultilevel"/>
    <w:tmpl w:val="244C0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585E7C"/>
    <w:multiLevelType w:val="hybridMultilevel"/>
    <w:tmpl w:val="09B25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396B46"/>
    <w:multiLevelType w:val="hybridMultilevel"/>
    <w:tmpl w:val="1E5631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57DC1554">
      <w:numFmt w:val="bullet"/>
      <w:lvlText w:val="-"/>
      <w:lvlJc w:val="left"/>
      <w:pPr>
        <w:ind w:left="3240" w:hanging="360"/>
      </w:pPr>
      <w:rPr>
        <w:rFonts w:ascii="Times New Roman" w:eastAsiaTheme="minorHAnsi" w:hAnsi="Times New Roman" w:cs="Times New Roman"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AA55E2"/>
    <w:multiLevelType w:val="hybridMultilevel"/>
    <w:tmpl w:val="2A543A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7A1138"/>
    <w:multiLevelType w:val="hybridMultilevel"/>
    <w:tmpl w:val="78DC2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7F1B3A"/>
    <w:multiLevelType w:val="hybridMultilevel"/>
    <w:tmpl w:val="FE04A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6E8023C"/>
    <w:multiLevelType w:val="hybridMultilevel"/>
    <w:tmpl w:val="60AABDE4"/>
    <w:lvl w:ilvl="0" w:tplc="899A42F0">
      <w:start w:val="1"/>
      <w:numFmt w:val="lowerRoman"/>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15150C"/>
    <w:multiLevelType w:val="hybridMultilevel"/>
    <w:tmpl w:val="4C98D0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4B2776"/>
    <w:multiLevelType w:val="hybridMultilevel"/>
    <w:tmpl w:val="07C8FC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AA25DF2"/>
    <w:multiLevelType w:val="hybridMultilevel"/>
    <w:tmpl w:val="AE568F0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C7F4187"/>
    <w:multiLevelType w:val="hybridMultilevel"/>
    <w:tmpl w:val="54B6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0940BB"/>
    <w:multiLevelType w:val="hybridMultilevel"/>
    <w:tmpl w:val="1CAE94E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0C829A9"/>
    <w:multiLevelType w:val="hybridMultilevel"/>
    <w:tmpl w:val="1C94A412"/>
    <w:lvl w:ilvl="0" w:tplc="6B1A1AB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27649B"/>
    <w:multiLevelType w:val="hybridMultilevel"/>
    <w:tmpl w:val="D1207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5C57F8"/>
    <w:multiLevelType w:val="hybridMultilevel"/>
    <w:tmpl w:val="2F2E75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4C22FD"/>
    <w:multiLevelType w:val="hybridMultilevel"/>
    <w:tmpl w:val="1F0C8AE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48167AC"/>
    <w:multiLevelType w:val="hybridMultilevel"/>
    <w:tmpl w:val="CC708A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486BBA"/>
    <w:multiLevelType w:val="hybridMultilevel"/>
    <w:tmpl w:val="1A128E2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3762D3"/>
    <w:multiLevelType w:val="hybridMultilevel"/>
    <w:tmpl w:val="FBA487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376964"/>
    <w:multiLevelType w:val="hybridMultilevel"/>
    <w:tmpl w:val="155234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3023C3"/>
    <w:multiLevelType w:val="hybridMultilevel"/>
    <w:tmpl w:val="3774E9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FC2670"/>
    <w:multiLevelType w:val="hybridMultilevel"/>
    <w:tmpl w:val="BD6A32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4A1391"/>
    <w:multiLevelType w:val="hybridMultilevel"/>
    <w:tmpl w:val="BECC2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B41DF"/>
    <w:multiLevelType w:val="hybridMultilevel"/>
    <w:tmpl w:val="A7C0D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082C98"/>
    <w:multiLevelType w:val="hybridMultilevel"/>
    <w:tmpl w:val="0B10DD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3B46092"/>
    <w:multiLevelType w:val="hybridMultilevel"/>
    <w:tmpl w:val="1CFEA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31743A"/>
    <w:multiLevelType w:val="hybridMultilevel"/>
    <w:tmpl w:val="76CE1FC2"/>
    <w:lvl w:ilvl="0" w:tplc="875661EE">
      <w:start w:val="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397FC3"/>
    <w:multiLevelType w:val="hybridMultilevel"/>
    <w:tmpl w:val="5D1432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F94564"/>
    <w:multiLevelType w:val="hybridMultilevel"/>
    <w:tmpl w:val="C6AA1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6231DB"/>
    <w:multiLevelType w:val="hybridMultilevel"/>
    <w:tmpl w:val="AB22C9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947FEA"/>
    <w:multiLevelType w:val="hybridMultilevel"/>
    <w:tmpl w:val="156ADE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75B64DB"/>
    <w:multiLevelType w:val="hybridMultilevel"/>
    <w:tmpl w:val="0044693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B96A9A"/>
    <w:multiLevelType w:val="hybridMultilevel"/>
    <w:tmpl w:val="B262F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6208A2"/>
    <w:multiLevelType w:val="hybridMultilevel"/>
    <w:tmpl w:val="916455EE"/>
    <w:lvl w:ilvl="0" w:tplc="DC76463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6137580"/>
    <w:multiLevelType w:val="hybridMultilevel"/>
    <w:tmpl w:val="1318D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8C7775"/>
    <w:multiLevelType w:val="hybridMultilevel"/>
    <w:tmpl w:val="325C5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8"/>
  </w:num>
  <w:num w:numId="3">
    <w:abstractNumId w:val="34"/>
  </w:num>
  <w:num w:numId="4">
    <w:abstractNumId w:val="1"/>
  </w:num>
  <w:num w:numId="5">
    <w:abstractNumId w:val="4"/>
  </w:num>
  <w:num w:numId="6">
    <w:abstractNumId w:val="12"/>
  </w:num>
  <w:num w:numId="7">
    <w:abstractNumId w:val="27"/>
  </w:num>
  <w:num w:numId="8">
    <w:abstractNumId w:val="24"/>
  </w:num>
  <w:num w:numId="9">
    <w:abstractNumId w:val="5"/>
  </w:num>
  <w:num w:numId="10">
    <w:abstractNumId w:val="16"/>
  </w:num>
  <w:num w:numId="11">
    <w:abstractNumId w:val="18"/>
  </w:num>
  <w:num w:numId="12">
    <w:abstractNumId w:val="35"/>
  </w:num>
  <w:num w:numId="13">
    <w:abstractNumId w:val="3"/>
  </w:num>
  <w:num w:numId="14">
    <w:abstractNumId w:val="2"/>
  </w:num>
  <w:num w:numId="15">
    <w:abstractNumId w:val="19"/>
  </w:num>
  <w:num w:numId="16">
    <w:abstractNumId w:val="8"/>
  </w:num>
  <w:num w:numId="17">
    <w:abstractNumId w:val="25"/>
  </w:num>
  <w:num w:numId="18">
    <w:abstractNumId w:val="33"/>
  </w:num>
  <w:num w:numId="19">
    <w:abstractNumId w:val="26"/>
  </w:num>
  <w:num w:numId="20">
    <w:abstractNumId w:val="17"/>
  </w:num>
  <w:num w:numId="21">
    <w:abstractNumId w:val="18"/>
  </w:num>
  <w:num w:numId="22">
    <w:abstractNumId w:val="9"/>
  </w:num>
  <w:num w:numId="23">
    <w:abstractNumId w:val="23"/>
  </w:num>
  <w:num w:numId="24">
    <w:abstractNumId w:val="6"/>
  </w:num>
  <w:num w:numId="25">
    <w:abstractNumId w:val="13"/>
  </w:num>
  <w:num w:numId="26">
    <w:abstractNumId w:val="11"/>
  </w:num>
  <w:num w:numId="27">
    <w:abstractNumId w:val="31"/>
  </w:num>
  <w:num w:numId="28">
    <w:abstractNumId w:val="29"/>
  </w:num>
  <w:num w:numId="29">
    <w:abstractNumId w:val="15"/>
  </w:num>
  <w:num w:numId="30">
    <w:abstractNumId w:val="30"/>
  </w:num>
  <w:num w:numId="31">
    <w:abstractNumId w:val="21"/>
  </w:num>
  <w:num w:numId="32">
    <w:abstractNumId w:val="0"/>
  </w:num>
  <w:num w:numId="33">
    <w:abstractNumId w:val="32"/>
  </w:num>
  <w:num w:numId="34">
    <w:abstractNumId w:val="7"/>
  </w:num>
  <w:num w:numId="35">
    <w:abstractNumId w:val="20"/>
  </w:num>
  <w:num w:numId="36">
    <w:abstractNumId w:val="22"/>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removeDateAndTime/>
  <w:proofState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845"/>
    <w:rsid w:val="00000508"/>
    <w:rsid w:val="000011FE"/>
    <w:rsid w:val="00005653"/>
    <w:rsid w:val="00007539"/>
    <w:rsid w:val="00014A86"/>
    <w:rsid w:val="000152DF"/>
    <w:rsid w:val="000178FF"/>
    <w:rsid w:val="00020744"/>
    <w:rsid w:val="000253EC"/>
    <w:rsid w:val="00027571"/>
    <w:rsid w:val="00032FAE"/>
    <w:rsid w:val="0003396A"/>
    <w:rsid w:val="000374FB"/>
    <w:rsid w:val="00042274"/>
    <w:rsid w:val="00045778"/>
    <w:rsid w:val="00045C71"/>
    <w:rsid w:val="00050B0F"/>
    <w:rsid w:val="00055505"/>
    <w:rsid w:val="00055DF5"/>
    <w:rsid w:val="0006051F"/>
    <w:rsid w:val="00062590"/>
    <w:rsid w:val="000637B0"/>
    <w:rsid w:val="00063951"/>
    <w:rsid w:val="00064FDE"/>
    <w:rsid w:val="00066B2F"/>
    <w:rsid w:val="00066CCA"/>
    <w:rsid w:val="000727D2"/>
    <w:rsid w:val="00072A36"/>
    <w:rsid w:val="00073166"/>
    <w:rsid w:val="00073AFE"/>
    <w:rsid w:val="000743AA"/>
    <w:rsid w:val="000805C8"/>
    <w:rsid w:val="00082CAB"/>
    <w:rsid w:val="00083EC1"/>
    <w:rsid w:val="00092EDD"/>
    <w:rsid w:val="0009412D"/>
    <w:rsid w:val="00096077"/>
    <w:rsid w:val="00097828"/>
    <w:rsid w:val="000A6A62"/>
    <w:rsid w:val="000A7327"/>
    <w:rsid w:val="000B0556"/>
    <w:rsid w:val="000B2796"/>
    <w:rsid w:val="000B55C8"/>
    <w:rsid w:val="000C363D"/>
    <w:rsid w:val="000D25BE"/>
    <w:rsid w:val="000D3185"/>
    <w:rsid w:val="000D3F52"/>
    <w:rsid w:val="000D444D"/>
    <w:rsid w:val="000D45A0"/>
    <w:rsid w:val="000D56EB"/>
    <w:rsid w:val="000E1C1C"/>
    <w:rsid w:val="000E3020"/>
    <w:rsid w:val="000F4D51"/>
    <w:rsid w:val="000F7DDF"/>
    <w:rsid w:val="00102F88"/>
    <w:rsid w:val="00104D9E"/>
    <w:rsid w:val="00113AE2"/>
    <w:rsid w:val="0011431C"/>
    <w:rsid w:val="00114578"/>
    <w:rsid w:val="001160DE"/>
    <w:rsid w:val="00123510"/>
    <w:rsid w:val="001260D9"/>
    <w:rsid w:val="00126D3F"/>
    <w:rsid w:val="001323EA"/>
    <w:rsid w:val="0013266B"/>
    <w:rsid w:val="0013620C"/>
    <w:rsid w:val="00141384"/>
    <w:rsid w:val="00142FE8"/>
    <w:rsid w:val="00143BEC"/>
    <w:rsid w:val="00145ED6"/>
    <w:rsid w:val="001503DB"/>
    <w:rsid w:val="0015083D"/>
    <w:rsid w:val="00151A1A"/>
    <w:rsid w:val="00151C11"/>
    <w:rsid w:val="0015421F"/>
    <w:rsid w:val="001632C0"/>
    <w:rsid w:val="00166D53"/>
    <w:rsid w:val="00176A8B"/>
    <w:rsid w:val="00177681"/>
    <w:rsid w:val="00180117"/>
    <w:rsid w:val="00187288"/>
    <w:rsid w:val="001874DF"/>
    <w:rsid w:val="00187B3D"/>
    <w:rsid w:val="0019081E"/>
    <w:rsid w:val="00192658"/>
    <w:rsid w:val="0019281D"/>
    <w:rsid w:val="00197C3F"/>
    <w:rsid w:val="00197FE9"/>
    <w:rsid w:val="001A1891"/>
    <w:rsid w:val="001A3695"/>
    <w:rsid w:val="001A4346"/>
    <w:rsid w:val="001A4696"/>
    <w:rsid w:val="001A727D"/>
    <w:rsid w:val="001A786B"/>
    <w:rsid w:val="001A7C14"/>
    <w:rsid w:val="001B0FC8"/>
    <w:rsid w:val="001B101E"/>
    <w:rsid w:val="001B2279"/>
    <w:rsid w:val="001B4017"/>
    <w:rsid w:val="001B6A8A"/>
    <w:rsid w:val="001B7598"/>
    <w:rsid w:val="001B7ED3"/>
    <w:rsid w:val="001C1EC4"/>
    <w:rsid w:val="001C3292"/>
    <w:rsid w:val="001C38AF"/>
    <w:rsid w:val="001C5A13"/>
    <w:rsid w:val="001C5E65"/>
    <w:rsid w:val="001D15A8"/>
    <w:rsid w:val="001D3782"/>
    <w:rsid w:val="001D5FD1"/>
    <w:rsid w:val="001D6B26"/>
    <w:rsid w:val="001D75F6"/>
    <w:rsid w:val="001D7A4F"/>
    <w:rsid w:val="001D7F8A"/>
    <w:rsid w:val="001E00EE"/>
    <w:rsid w:val="001E0B7A"/>
    <w:rsid w:val="001F063F"/>
    <w:rsid w:val="001F1830"/>
    <w:rsid w:val="001F626E"/>
    <w:rsid w:val="002000F0"/>
    <w:rsid w:val="0020180F"/>
    <w:rsid w:val="00201DC1"/>
    <w:rsid w:val="00202641"/>
    <w:rsid w:val="0020404A"/>
    <w:rsid w:val="00207B8A"/>
    <w:rsid w:val="00210E3C"/>
    <w:rsid w:val="00211A66"/>
    <w:rsid w:val="0021326F"/>
    <w:rsid w:val="002156A0"/>
    <w:rsid w:val="00216B37"/>
    <w:rsid w:val="00226F3C"/>
    <w:rsid w:val="002323CF"/>
    <w:rsid w:val="00232972"/>
    <w:rsid w:val="00233242"/>
    <w:rsid w:val="00236ECD"/>
    <w:rsid w:val="0023720D"/>
    <w:rsid w:val="002374AC"/>
    <w:rsid w:val="002409CB"/>
    <w:rsid w:val="00240AAA"/>
    <w:rsid w:val="002429EA"/>
    <w:rsid w:val="00244DF3"/>
    <w:rsid w:val="002476F4"/>
    <w:rsid w:val="00247B5E"/>
    <w:rsid w:val="00252CA4"/>
    <w:rsid w:val="00254970"/>
    <w:rsid w:val="0025627C"/>
    <w:rsid w:val="0025799D"/>
    <w:rsid w:val="00260B5E"/>
    <w:rsid w:val="0026142F"/>
    <w:rsid w:val="0026500F"/>
    <w:rsid w:val="00265FB2"/>
    <w:rsid w:val="0026650C"/>
    <w:rsid w:val="002667CB"/>
    <w:rsid w:val="00272777"/>
    <w:rsid w:val="00272FA2"/>
    <w:rsid w:val="002751D3"/>
    <w:rsid w:val="00275D92"/>
    <w:rsid w:val="00284FF6"/>
    <w:rsid w:val="002855E1"/>
    <w:rsid w:val="0028568A"/>
    <w:rsid w:val="00285CFE"/>
    <w:rsid w:val="00287D9F"/>
    <w:rsid w:val="002903C8"/>
    <w:rsid w:val="0029115B"/>
    <w:rsid w:val="00293C0C"/>
    <w:rsid w:val="002968E0"/>
    <w:rsid w:val="0029743B"/>
    <w:rsid w:val="00297C07"/>
    <w:rsid w:val="002B2F43"/>
    <w:rsid w:val="002B4F6A"/>
    <w:rsid w:val="002B741E"/>
    <w:rsid w:val="002B7A34"/>
    <w:rsid w:val="002C0561"/>
    <w:rsid w:val="002C1322"/>
    <w:rsid w:val="002C4652"/>
    <w:rsid w:val="002C5563"/>
    <w:rsid w:val="002D1160"/>
    <w:rsid w:val="002D2381"/>
    <w:rsid w:val="002D3CD4"/>
    <w:rsid w:val="002D3CE9"/>
    <w:rsid w:val="002D67DA"/>
    <w:rsid w:val="002D6999"/>
    <w:rsid w:val="002E6160"/>
    <w:rsid w:val="002F4835"/>
    <w:rsid w:val="002F5583"/>
    <w:rsid w:val="002F6548"/>
    <w:rsid w:val="00301DC3"/>
    <w:rsid w:val="003034B3"/>
    <w:rsid w:val="00311A86"/>
    <w:rsid w:val="00312C88"/>
    <w:rsid w:val="00316B98"/>
    <w:rsid w:val="00322EC3"/>
    <w:rsid w:val="0032369E"/>
    <w:rsid w:val="00324BC0"/>
    <w:rsid w:val="003260F5"/>
    <w:rsid w:val="003307B8"/>
    <w:rsid w:val="003327D3"/>
    <w:rsid w:val="0033487C"/>
    <w:rsid w:val="003364B2"/>
    <w:rsid w:val="00337FDB"/>
    <w:rsid w:val="00340F3C"/>
    <w:rsid w:val="00345822"/>
    <w:rsid w:val="0034672A"/>
    <w:rsid w:val="00360394"/>
    <w:rsid w:val="00361A1D"/>
    <w:rsid w:val="003650CC"/>
    <w:rsid w:val="00365B40"/>
    <w:rsid w:val="0036611B"/>
    <w:rsid w:val="003661A6"/>
    <w:rsid w:val="003811C0"/>
    <w:rsid w:val="00381A1B"/>
    <w:rsid w:val="0038203D"/>
    <w:rsid w:val="00383396"/>
    <w:rsid w:val="003846D3"/>
    <w:rsid w:val="00384E0A"/>
    <w:rsid w:val="00386656"/>
    <w:rsid w:val="00386781"/>
    <w:rsid w:val="003A0BFB"/>
    <w:rsid w:val="003A20C5"/>
    <w:rsid w:val="003A2811"/>
    <w:rsid w:val="003A3B5E"/>
    <w:rsid w:val="003A3E75"/>
    <w:rsid w:val="003A4D8C"/>
    <w:rsid w:val="003A533A"/>
    <w:rsid w:val="003A59EA"/>
    <w:rsid w:val="003A7110"/>
    <w:rsid w:val="003A73A0"/>
    <w:rsid w:val="003B332D"/>
    <w:rsid w:val="003B4176"/>
    <w:rsid w:val="003B4F23"/>
    <w:rsid w:val="003B6684"/>
    <w:rsid w:val="003B7DAB"/>
    <w:rsid w:val="003C0D62"/>
    <w:rsid w:val="003C657E"/>
    <w:rsid w:val="003C6D6E"/>
    <w:rsid w:val="003C7446"/>
    <w:rsid w:val="003D0612"/>
    <w:rsid w:val="003D610C"/>
    <w:rsid w:val="003E0EA1"/>
    <w:rsid w:val="003E1A83"/>
    <w:rsid w:val="003E4B2A"/>
    <w:rsid w:val="003E5AEA"/>
    <w:rsid w:val="003E61CF"/>
    <w:rsid w:val="003F01C5"/>
    <w:rsid w:val="004028BD"/>
    <w:rsid w:val="00402AD7"/>
    <w:rsid w:val="0040312B"/>
    <w:rsid w:val="004031E5"/>
    <w:rsid w:val="00403263"/>
    <w:rsid w:val="00403C15"/>
    <w:rsid w:val="00403F5E"/>
    <w:rsid w:val="004041EC"/>
    <w:rsid w:val="0040435E"/>
    <w:rsid w:val="0040482D"/>
    <w:rsid w:val="00405991"/>
    <w:rsid w:val="00406536"/>
    <w:rsid w:val="00406749"/>
    <w:rsid w:val="00410762"/>
    <w:rsid w:val="00410B09"/>
    <w:rsid w:val="00410EC3"/>
    <w:rsid w:val="004140E5"/>
    <w:rsid w:val="00414CD9"/>
    <w:rsid w:val="00422C56"/>
    <w:rsid w:val="00424E87"/>
    <w:rsid w:val="0042665D"/>
    <w:rsid w:val="004325B5"/>
    <w:rsid w:val="00432CF7"/>
    <w:rsid w:val="004341E5"/>
    <w:rsid w:val="004343F8"/>
    <w:rsid w:val="004369BE"/>
    <w:rsid w:val="0043784D"/>
    <w:rsid w:val="00437C00"/>
    <w:rsid w:val="00437C42"/>
    <w:rsid w:val="00443793"/>
    <w:rsid w:val="00444741"/>
    <w:rsid w:val="00444DEC"/>
    <w:rsid w:val="0044599A"/>
    <w:rsid w:val="00446A54"/>
    <w:rsid w:val="00446EA8"/>
    <w:rsid w:val="00456FF8"/>
    <w:rsid w:val="0046157C"/>
    <w:rsid w:val="0046185B"/>
    <w:rsid w:val="00461ED8"/>
    <w:rsid w:val="00465227"/>
    <w:rsid w:val="0046549C"/>
    <w:rsid w:val="00473C48"/>
    <w:rsid w:val="004761AE"/>
    <w:rsid w:val="00477283"/>
    <w:rsid w:val="00482136"/>
    <w:rsid w:val="00490585"/>
    <w:rsid w:val="004937A4"/>
    <w:rsid w:val="00495C5F"/>
    <w:rsid w:val="0049672B"/>
    <w:rsid w:val="004A092E"/>
    <w:rsid w:val="004A4AB5"/>
    <w:rsid w:val="004A68BB"/>
    <w:rsid w:val="004A79B9"/>
    <w:rsid w:val="004A7F16"/>
    <w:rsid w:val="004B4DF3"/>
    <w:rsid w:val="004B798D"/>
    <w:rsid w:val="004C0638"/>
    <w:rsid w:val="004C6EFE"/>
    <w:rsid w:val="004D4BA4"/>
    <w:rsid w:val="004D7D5D"/>
    <w:rsid w:val="004E03D6"/>
    <w:rsid w:val="004E05C9"/>
    <w:rsid w:val="004E2CE6"/>
    <w:rsid w:val="004F11F8"/>
    <w:rsid w:val="004F2366"/>
    <w:rsid w:val="004F52D9"/>
    <w:rsid w:val="004F5517"/>
    <w:rsid w:val="004F5754"/>
    <w:rsid w:val="004F601B"/>
    <w:rsid w:val="0050197A"/>
    <w:rsid w:val="0050390C"/>
    <w:rsid w:val="0050391D"/>
    <w:rsid w:val="00503A36"/>
    <w:rsid w:val="00504F4D"/>
    <w:rsid w:val="005058A2"/>
    <w:rsid w:val="005107B9"/>
    <w:rsid w:val="00510EB5"/>
    <w:rsid w:val="005110EF"/>
    <w:rsid w:val="005119A8"/>
    <w:rsid w:val="00511E85"/>
    <w:rsid w:val="00516446"/>
    <w:rsid w:val="00522A66"/>
    <w:rsid w:val="00526197"/>
    <w:rsid w:val="00527073"/>
    <w:rsid w:val="005278A0"/>
    <w:rsid w:val="005300AF"/>
    <w:rsid w:val="00530B7D"/>
    <w:rsid w:val="00530C81"/>
    <w:rsid w:val="0053757F"/>
    <w:rsid w:val="00537597"/>
    <w:rsid w:val="00540CD5"/>
    <w:rsid w:val="00543F77"/>
    <w:rsid w:val="00546044"/>
    <w:rsid w:val="00546C0E"/>
    <w:rsid w:val="0055006E"/>
    <w:rsid w:val="00553D8E"/>
    <w:rsid w:val="00554CD2"/>
    <w:rsid w:val="0055672F"/>
    <w:rsid w:val="00562910"/>
    <w:rsid w:val="005647D9"/>
    <w:rsid w:val="00567254"/>
    <w:rsid w:val="00567C3B"/>
    <w:rsid w:val="00567F6F"/>
    <w:rsid w:val="00571AF3"/>
    <w:rsid w:val="00574882"/>
    <w:rsid w:val="005764DE"/>
    <w:rsid w:val="0057657A"/>
    <w:rsid w:val="00576EB4"/>
    <w:rsid w:val="0058050E"/>
    <w:rsid w:val="00586A79"/>
    <w:rsid w:val="00586D07"/>
    <w:rsid w:val="005873CF"/>
    <w:rsid w:val="00587C76"/>
    <w:rsid w:val="005950FC"/>
    <w:rsid w:val="005975B8"/>
    <w:rsid w:val="005A33B7"/>
    <w:rsid w:val="005A5867"/>
    <w:rsid w:val="005A5B1A"/>
    <w:rsid w:val="005B58AB"/>
    <w:rsid w:val="005B70D2"/>
    <w:rsid w:val="005C1073"/>
    <w:rsid w:val="005C1E01"/>
    <w:rsid w:val="005C30DC"/>
    <w:rsid w:val="005C3927"/>
    <w:rsid w:val="005C475C"/>
    <w:rsid w:val="005D2839"/>
    <w:rsid w:val="005D7A92"/>
    <w:rsid w:val="005E0079"/>
    <w:rsid w:val="005E1A47"/>
    <w:rsid w:val="005E4E3D"/>
    <w:rsid w:val="005F1175"/>
    <w:rsid w:val="005F192D"/>
    <w:rsid w:val="005F2423"/>
    <w:rsid w:val="005F3B1B"/>
    <w:rsid w:val="005F516E"/>
    <w:rsid w:val="005F524B"/>
    <w:rsid w:val="006003F5"/>
    <w:rsid w:val="0060048F"/>
    <w:rsid w:val="0060127F"/>
    <w:rsid w:val="00601754"/>
    <w:rsid w:val="00603428"/>
    <w:rsid w:val="006064B2"/>
    <w:rsid w:val="006068A0"/>
    <w:rsid w:val="00607014"/>
    <w:rsid w:val="00607B58"/>
    <w:rsid w:val="00614793"/>
    <w:rsid w:val="006161DC"/>
    <w:rsid w:val="0062124D"/>
    <w:rsid w:val="0062190F"/>
    <w:rsid w:val="00622033"/>
    <w:rsid w:val="006320B2"/>
    <w:rsid w:val="00632471"/>
    <w:rsid w:val="00632A23"/>
    <w:rsid w:val="00633529"/>
    <w:rsid w:val="00634921"/>
    <w:rsid w:val="0063789C"/>
    <w:rsid w:val="00644F7C"/>
    <w:rsid w:val="00644F8E"/>
    <w:rsid w:val="006469D8"/>
    <w:rsid w:val="006514AF"/>
    <w:rsid w:val="00652960"/>
    <w:rsid w:val="00652BA7"/>
    <w:rsid w:val="00653B08"/>
    <w:rsid w:val="00662750"/>
    <w:rsid w:val="00663231"/>
    <w:rsid w:val="00664338"/>
    <w:rsid w:val="00664CE0"/>
    <w:rsid w:val="006657E3"/>
    <w:rsid w:val="00665E71"/>
    <w:rsid w:val="00667CD4"/>
    <w:rsid w:val="00670213"/>
    <w:rsid w:val="00673DE0"/>
    <w:rsid w:val="00674D24"/>
    <w:rsid w:val="00680B29"/>
    <w:rsid w:val="006850DB"/>
    <w:rsid w:val="00685980"/>
    <w:rsid w:val="00686884"/>
    <w:rsid w:val="00690886"/>
    <w:rsid w:val="0069146E"/>
    <w:rsid w:val="00696602"/>
    <w:rsid w:val="00696C07"/>
    <w:rsid w:val="006A3A8C"/>
    <w:rsid w:val="006A6288"/>
    <w:rsid w:val="006A63BE"/>
    <w:rsid w:val="006B6D92"/>
    <w:rsid w:val="006B6E14"/>
    <w:rsid w:val="006C1D61"/>
    <w:rsid w:val="006C6DF0"/>
    <w:rsid w:val="006C704D"/>
    <w:rsid w:val="006D03F1"/>
    <w:rsid w:val="006D48D4"/>
    <w:rsid w:val="006D4AB8"/>
    <w:rsid w:val="006D5E19"/>
    <w:rsid w:val="006D694B"/>
    <w:rsid w:val="006D768D"/>
    <w:rsid w:val="006E0828"/>
    <w:rsid w:val="006E29EE"/>
    <w:rsid w:val="006E3745"/>
    <w:rsid w:val="006E59E5"/>
    <w:rsid w:val="006E6BF8"/>
    <w:rsid w:val="006E787D"/>
    <w:rsid w:val="006F0BA2"/>
    <w:rsid w:val="006F49F6"/>
    <w:rsid w:val="006F4A40"/>
    <w:rsid w:val="006F6F98"/>
    <w:rsid w:val="007011A9"/>
    <w:rsid w:val="0070320C"/>
    <w:rsid w:val="007040CD"/>
    <w:rsid w:val="0070680E"/>
    <w:rsid w:val="00706B96"/>
    <w:rsid w:val="007075E6"/>
    <w:rsid w:val="00712EA4"/>
    <w:rsid w:val="00716D98"/>
    <w:rsid w:val="00720518"/>
    <w:rsid w:val="007228A6"/>
    <w:rsid w:val="00726DAE"/>
    <w:rsid w:val="00727228"/>
    <w:rsid w:val="00730B3D"/>
    <w:rsid w:val="007310BB"/>
    <w:rsid w:val="007313BA"/>
    <w:rsid w:val="007323F5"/>
    <w:rsid w:val="0073245E"/>
    <w:rsid w:val="00737E1D"/>
    <w:rsid w:val="00740B2A"/>
    <w:rsid w:val="0074268C"/>
    <w:rsid w:val="007445FE"/>
    <w:rsid w:val="0074493B"/>
    <w:rsid w:val="007457D2"/>
    <w:rsid w:val="00751232"/>
    <w:rsid w:val="0075281F"/>
    <w:rsid w:val="007537FC"/>
    <w:rsid w:val="00753C5B"/>
    <w:rsid w:val="007541DC"/>
    <w:rsid w:val="00761A63"/>
    <w:rsid w:val="00763767"/>
    <w:rsid w:val="00764B50"/>
    <w:rsid w:val="00766F34"/>
    <w:rsid w:val="0077437F"/>
    <w:rsid w:val="0077454E"/>
    <w:rsid w:val="00774E0F"/>
    <w:rsid w:val="00781FEC"/>
    <w:rsid w:val="00784A51"/>
    <w:rsid w:val="00786056"/>
    <w:rsid w:val="007925F3"/>
    <w:rsid w:val="00792F28"/>
    <w:rsid w:val="00793EFA"/>
    <w:rsid w:val="00794D3C"/>
    <w:rsid w:val="0079657C"/>
    <w:rsid w:val="007A06F8"/>
    <w:rsid w:val="007A0C05"/>
    <w:rsid w:val="007A251F"/>
    <w:rsid w:val="007A3CC7"/>
    <w:rsid w:val="007A52D3"/>
    <w:rsid w:val="007A6B81"/>
    <w:rsid w:val="007B019E"/>
    <w:rsid w:val="007B1478"/>
    <w:rsid w:val="007B2709"/>
    <w:rsid w:val="007B76BB"/>
    <w:rsid w:val="007B7CE7"/>
    <w:rsid w:val="007C503B"/>
    <w:rsid w:val="007C5ACA"/>
    <w:rsid w:val="007C6937"/>
    <w:rsid w:val="007C7B0A"/>
    <w:rsid w:val="007D0041"/>
    <w:rsid w:val="007D161A"/>
    <w:rsid w:val="007E1071"/>
    <w:rsid w:val="007E15A8"/>
    <w:rsid w:val="007E62AA"/>
    <w:rsid w:val="007E7331"/>
    <w:rsid w:val="007F2ED8"/>
    <w:rsid w:val="007F3304"/>
    <w:rsid w:val="007F6345"/>
    <w:rsid w:val="00804BAA"/>
    <w:rsid w:val="00807896"/>
    <w:rsid w:val="00810644"/>
    <w:rsid w:val="00810BFB"/>
    <w:rsid w:val="00814F7B"/>
    <w:rsid w:val="00815399"/>
    <w:rsid w:val="0082133F"/>
    <w:rsid w:val="00822DF8"/>
    <w:rsid w:val="008238B7"/>
    <w:rsid w:val="00826DE8"/>
    <w:rsid w:val="008403C0"/>
    <w:rsid w:val="00841194"/>
    <w:rsid w:val="008416DD"/>
    <w:rsid w:val="008452B5"/>
    <w:rsid w:val="00845A4E"/>
    <w:rsid w:val="00845A80"/>
    <w:rsid w:val="00850146"/>
    <w:rsid w:val="008501F3"/>
    <w:rsid w:val="008515B1"/>
    <w:rsid w:val="00851813"/>
    <w:rsid w:val="00852814"/>
    <w:rsid w:val="00856471"/>
    <w:rsid w:val="008610A0"/>
    <w:rsid w:val="008666FC"/>
    <w:rsid w:val="00871271"/>
    <w:rsid w:val="008727AB"/>
    <w:rsid w:val="00873010"/>
    <w:rsid w:val="00873780"/>
    <w:rsid w:val="00873CEF"/>
    <w:rsid w:val="0087413C"/>
    <w:rsid w:val="008771C7"/>
    <w:rsid w:val="00877FA7"/>
    <w:rsid w:val="008833F0"/>
    <w:rsid w:val="0088566B"/>
    <w:rsid w:val="00887720"/>
    <w:rsid w:val="00890B01"/>
    <w:rsid w:val="008930BD"/>
    <w:rsid w:val="008939B1"/>
    <w:rsid w:val="00893D80"/>
    <w:rsid w:val="00894393"/>
    <w:rsid w:val="00895420"/>
    <w:rsid w:val="008957CE"/>
    <w:rsid w:val="008A3BF9"/>
    <w:rsid w:val="008A5EAC"/>
    <w:rsid w:val="008B20FC"/>
    <w:rsid w:val="008B341F"/>
    <w:rsid w:val="008B47AF"/>
    <w:rsid w:val="008C0845"/>
    <w:rsid w:val="008C1892"/>
    <w:rsid w:val="008C2503"/>
    <w:rsid w:val="008C64E0"/>
    <w:rsid w:val="008C7CA5"/>
    <w:rsid w:val="008D089E"/>
    <w:rsid w:val="008D09AA"/>
    <w:rsid w:val="008D19CC"/>
    <w:rsid w:val="008D2A3F"/>
    <w:rsid w:val="008D2E76"/>
    <w:rsid w:val="008D3A14"/>
    <w:rsid w:val="008D4189"/>
    <w:rsid w:val="008E082F"/>
    <w:rsid w:val="008E298E"/>
    <w:rsid w:val="008E5682"/>
    <w:rsid w:val="008E6A84"/>
    <w:rsid w:val="008E75B9"/>
    <w:rsid w:val="008F25EE"/>
    <w:rsid w:val="008F4502"/>
    <w:rsid w:val="008F596A"/>
    <w:rsid w:val="008F5C4E"/>
    <w:rsid w:val="008F68DE"/>
    <w:rsid w:val="00903A99"/>
    <w:rsid w:val="0090458F"/>
    <w:rsid w:val="00905BC7"/>
    <w:rsid w:val="00907B73"/>
    <w:rsid w:val="00910190"/>
    <w:rsid w:val="0091110C"/>
    <w:rsid w:val="0091180B"/>
    <w:rsid w:val="009127C8"/>
    <w:rsid w:val="00912C13"/>
    <w:rsid w:val="009139B4"/>
    <w:rsid w:val="00913CF7"/>
    <w:rsid w:val="0091505A"/>
    <w:rsid w:val="00916D96"/>
    <w:rsid w:val="00917AD5"/>
    <w:rsid w:val="00934D7F"/>
    <w:rsid w:val="009357A3"/>
    <w:rsid w:val="0094113C"/>
    <w:rsid w:val="0094479A"/>
    <w:rsid w:val="00945858"/>
    <w:rsid w:val="00950992"/>
    <w:rsid w:val="00955B2F"/>
    <w:rsid w:val="00955E93"/>
    <w:rsid w:val="0095646F"/>
    <w:rsid w:val="00960091"/>
    <w:rsid w:val="00960206"/>
    <w:rsid w:val="00960E9A"/>
    <w:rsid w:val="009629C3"/>
    <w:rsid w:val="00962BDC"/>
    <w:rsid w:val="00963DE6"/>
    <w:rsid w:val="00967425"/>
    <w:rsid w:val="00972F19"/>
    <w:rsid w:val="009766DD"/>
    <w:rsid w:val="00977431"/>
    <w:rsid w:val="00977EF7"/>
    <w:rsid w:val="00987467"/>
    <w:rsid w:val="00987533"/>
    <w:rsid w:val="00990D02"/>
    <w:rsid w:val="00993019"/>
    <w:rsid w:val="00994FE1"/>
    <w:rsid w:val="009959B1"/>
    <w:rsid w:val="00996D14"/>
    <w:rsid w:val="009A1C10"/>
    <w:rsid w:val="009A32B6"/>
    <w:rsid w:val="009A530B"/>
    <w:rsid w:val="009A537D"/>
    <w:rsid w:val="009A7678"/>
    <w:rsid w:val="009B0688"/>
    <w:rsid w:val="009B1DA1"/>
    <w:rsid w:val="009B31D6"/>
    <w:rsid w:val="009B36E4"/>
    <w:rsid w:val="009C086A"/>
    <w:rsid w:val="009D11A4"/>
    <w:rsid w:val="009D2FD9"/>
    <w:rsid w:val="009D3627"/>
    <w:rsid w:val="009D51D2"/>
    <w:rsid w:val="009E5A87"/>
    <w:rsid w:val="009F17D8"/>
    <w:rsid w:val="009F1E49"/>
    <w:rsid w:val="009F2BD2"/>
    <w:rsid w:val="009F3149"/>
    <w:rsid w:val="009F3777"/>
    <w:rsid w:val="009F78E6"/>
    <w:rsid w:val="00A01E31"/>
    <w:rsid w:val="00A03B13"/>
    <w:rsid w:val="00A04B65"/>
    <w:rsid w:val="00A06715"/>
    <w:rsid w:val="00A0787D"/>
    <w:rsid w:val="00A10B2D"/>
    <w:rsid w:val="00A10F78"/>
    <w:rsid w:val="00A11A09"/>
    <w:rsid w:val="00A14C5D"/>
    <w:rsid w:val="00A14E6A"/>
    <w:rsid w:val="00A177A5"/>
    <w:rsid w:val="00A23B8A"/>
    <w:rsid w:val="00A268EA"/>
    <w:rsid w:val="00A34A44"/>
    <w:rsid w:val="00A366AA"/>
    <w:rsid w:val="00A409E1"/>
    <w:rsid w:val="00A419EA"/>
    <w:rsid w:val="00A441FF"/>
    <w:rsid w:val="00A4560C"/>
    <w:rsid w:val="00A46E76"/>
    <w:rsid w:val="00A47C69"/>
    <w:rsid w:val="00A521FE"/>
    <w:rsid w:val="00A55498"/>
    <w:rsid w:val="00A62B26"/>
    <w:rsid w:val="00A63D97"/>
    <w:rsid w:val="00A63F95"/>
    <w:rsid w:val="00A641CC"/>
    <w:rsid w:val="00A65E7A"/>
    <w:rsid w:val="00A65FD1"/>
    <w:rsid w:val="00A679F3"/>
    <w:rsid w:val="00A70EDF"/>
    <w:rsid w:val="00A723F8"/>
    <w:rsid w:val="00A73FA2"/>
    <w:rsid w:val="00A84DEA"/>
    <w:rsid w:val="00A8608C"/>
    <w:rsid w:val="00A92408"/>
    <w:rsid w:val="00A94F6E"/>
    <w:rsid w:val="00AA06AE"/>
    <w:rsid w:val="00AA0ED7"/>
    <w:rsid w:val="00AB0696"/>
    <w:rsid w:val="00AB4D85"/>
    <w:rsid w:val="00AB76CE"/>
    <w:rsid w:val="00AB7E03"/>
    <w:rsid w:val="00AC0E83"/>
    <w:rsid w:val="00AC3DBC"/>
    <w:rsid w:val="00AC41A5"/>
    <w:rsid w:val="00AC4380"/>
    <w:rsid w:val="00AC5813"/>
    <w:rsid w:val="00AC7BC0"/>
    <w:rsid w:val="00AD01A3"/>
    <w:rsid w:val="00AD13D6"/>
    <w:rsid w:val="00AD562B"/>
    <w:rsid w:val="00AE2955"/>
    <w:rsid w:val="00AE2E87"/>
    <w:rsid w:val="00AE6F15"/>
    <w:rsid w:val="00AF143A"/>
    <w:rsid w:val="00AF2374"/>
    <w:rsid w:val="00AF3859"/>
    <w:rsid w:val="00AF44AF"/>
    <w:rsid w:val="00AF4882"/>
    <w:rsid w:val="00AF6578"/>
    <w:rsid w:val="00AF70C1"/>
    <w:rsid w:val="00B01795"/>
    <w:rsid w:val="00B028DC"/>
    <w:rsid w:val="00B03322"/>
    <w:rsid w:val="00B0343E"/>
    <w:rsid w:val="00B043F6"/>
    <w:rsid w:val="00B06A14"/>
    <w:rsid w:val="00B136FA"/>
    <w:rsid w:val="00B141F3"/>
    <w:rsid w:val="00B16543"/>
    <w:rsid w:val="00B16682"/>
    <w:rsid w:val="00B17AB3"/>
    <w:rsid w:val="00B229D8"/>
    <w:rsid w:val="00B245F6"/>
    <w:rsid w:val="00B4014F"/>
    <w:rsid w:val="00B43CEF"/>
    <w:rsid w:val="00B4506D"/>
    <w:rsid w:val="00B46639"/>
    <w:rsid w:val="00B5769D"/>
    <w:rsid w:val="00B60F0C"/>
    <w:rsid w:val="00B61C45"/>
    <w:rsid w:val="00B6562E"/>
    <w:rsid w:val="00B66E04"/>
    <w:rsid w:val="00B7018A"/>
    <w:rsid w:val="00B72803"/>
    <w:rsid w:val="00B74B1A"/>
    <w:rsid w:val="00B74C77"/>
    <w:rsid w:val="00B760E1"/>
    <w:rsid w:val="00B7641E"/>
    <w:rsid w:val="00B80545"/>
    <w:rsid w:val="00B82A8D"/>
    <w:rsid w:val="00B830CE"/>
    <w:rsid w:val="00B877B0"/>
    <w:rsid w:val="00B8782A"/>
    <w:rsid w:val="00B913B5"/>
    <w:rsid w:val="00B923F2"/>
    <w:rsid w:val="00B944DB"/>
    <w:rsid w:val="00B95A3B"/>
    <w:rsid w:val="00BA016B"/>
    <w:rsid w:val="00BA150B"/>
    <w:rsid w:val="00BA3FDB"/>
    <w:rsid w:val="00BA7D51"/>
    <w:rsid w:val="00BB0C79"/>
    <w:rsid w:val="00BB2ED1"/>
    <w:rsid w:val="00BB3518"/>
    <w:rsid w:val="00BB4A8F"/>
    <w:rsid w:val="00BB668F"/>
    <w:rsid w:val="00BC1EFA"/>
    <w:rsid w:val="00BC40E4"/>
    <w:rsid w:val="00BD02A2"/>
    <w:rsid w:val="00BD2902"/>
    <w:rsid w:val="00BD2F63"/>
    <w:rsid w:val="00BD5A0C"/>
    <w:rsid w:val="00BE184C"/>
    <w:rsid w:val="00BE58EA"/>
    <w:rsid w:val="00BE7EA1"/>
    <w:rsid w:val="00BF0F92"/>
    <w:rsid w:val="00BF7D1F"/>
    <w:rsid w:val="00BF7DD9"/>
    <w:rsid w:val="00C0327A"/>
    <w:rsid w:val="00C05FEB"/>
    <w:rsid w:val="00C1038C"/>
    <w:rsid w:val="00C10BAC"/>
    <w:rsid w:val="00C1184F"/>
    <w:rsid w:val="00C15104"/>
    <w:rsid w:val="00C15D1A"/>
    <w:rsid w:val="00C30116"/>
    <w:rsid w:val="00C37C77"/>
    <w:rsid w:val="00C37F4E"/>
    <w:rsid w:val="00C41DD4"/>
    <w:rsid w:val="00C500A1"/>
    <w:rsid w:val="00C531BD"/>
    <w:rsid w:val="00C55EE9"/>
    <w:rsid w:val="00C56A85"/>
    <w:rsid w:val="00C56E2C"/>
    <w:rsid w:val="00C61010"/>
    <w:rsid w:val="00C666E3"/>
    <w:rsid w:val="00C712EC"/>
    <w:rsid w:val="00C72397"/>
    <w:rsid w:val="00C72689"/>
    <w:rsid w:val="00C72817"/>
    <w:rsid w:val="00C73115"/>
    <w:rsid w:val="00C748F3"/>
    <w:rsid w:val="00C74D38"/>
    <w:rsid w:val="00C75B7D"/>
    <w:rsid w:val="00C77F38"/>
    <w:rsid w:val="00C85FBC"/>
    <w:rsid w:val="00C86005"/>
    <w:rsid w:val="00C87CCD"/>
    <w:rsid w:val="00C92827"/>
    <w:rsid w:val="00C93C1A"/>
    <w:rsid w:val="00C978DE"/>
    <w:rsid w:val="00CA2F70"/>
    <w:rsid w:val="00CA566F"/>
    <w:rsid w:val="00CA6D4A"/>
    <w:rsid w:val="00CA768A"/>
    <w:rsid w:val="00CC09B3"/>
    <w:rsid w:val="00CC6EC4"/>
    <w:rsid w:val="00CC7D63"/>
    <w:rsid w:val="00CD2579"/>
    <w:rsid w:val="00CD268A"/>
    <w:rsid w:val="00CD3676"/>
    <w:rsid w:val="00CD6D87"/>
    <w:rsid w:val="00CE0B2D"/>
    <w:rsid w:val="00CE1E8C"/>
    <w:rsid w:val="00CE49AE"/>
    <w:rsid w:val="00CE5103"/>
    <w:rsid w:val="00CF4EB0"/>
    <w:rsid w:val="00D0076F"/>
    <w:rsid w:val="00D00D43"/>
    <w:rsid w:val="00D054A9"/>
    <w:rsid w:val="00D064A3"/>
    <w:rsid w:val="00D06C24"/>
    <w:rsid w:val="00D104BF"/>
    <w:rsid w:val="00D128FA"/>
    <w:rsid w:val="00D132B4"/>
    <w:rsid w:val="00D16B3C"/>
    <w:rsid w:val="00D202AD"/>
    <w:rsid w:val="00D231C8"/>
    <w:rsid w:val="00D25169"/>
    <w:rsid w:val="00D25D18"/>
    <w:rsid w:val="00D2675E"/>
    <w:rsid w:val="00D31199"/>
    <w:rsid w:val="00D3180C"/>
    <w:rsid w:val="00D40842"/>
    <w:rsid w:val="00D41BAB"/>
    <w:rsid w:val="00D434D2"/>
    <w:rsid w:val="00D43F14"/>
    <w:rsid w:val="00D450ED"/>
    <w:rsid w:val="00D45F42"/>
    <w:rsid w:val="00D460EB"/>
    <w:rsid w:val="00D4773E"/>
    <w:rsid w:val="00D506AB"/>
    <w:rsid w:val="00D5212F"/>
    <w:rsid w:val="00D566B6"/>
    <w:rsid w:val="00D7100E"/>
    <w:rsid w:val="00D71DFE"/>
    <w:rsid w:val="00D731D4"/>
    <w:rsid w:val="00D732D5"/>
    <w:rsid w:val="00D73363"/>
    <w:rsid w:val="00D73E6B"/>
    <w:rsid w:val="00D84DF2"/>
    <w:rsid w:val="00D8538B"/>
    <w:rsid w:val="00D86E21"/>
    <w:rsid w:val="00D91242"/>
    <w:rsid w:val="00D92BE7"/>
    <w:rsid w:val="00D9710A"/>
    <w:rsid w:val="00DA0372"/>
    <w:rsid w:val="00DA2CCD"/>
    <w:rsid w:val="00DA4B10"/>
    <w:rsid w:val="00DA5DA3"/>
    <w:rsid w:val="00DB09C5"/>
    <w:rsid w:val="00DB1E17"/>
    <w:rsid w:val="00DB3697"/>
    <w:rsid w:val="00DB706A"/>
    <w:rsid w:val="00DB7FF6"/>
    <w:rsid w:val="00DC0563"/>
    <w:rsid w:val="00DC1C4C"/>
    <w:rsid w:val="00DC20E6"/>
    <w:rsid w:val="00DC4741"/>
    <w:rsid w:val="00DC4C8C"/>
    <w:rsid w:val="00DC56A0"/>
    <w:rsid w:val="00DD12DA"/>
    <w:rsid w:val="00DD5989"/>
    <w:rsid w:val="00DD5F7F"/>
    <w:rsid w:val="00DD7962"/>
    <w:rsid w:val="00DE0E9F"/>
    <w:rsid w:val="00DE1DDB"/>
    <w:rsid w:val="00DE1E4F"/>
    <w:rsid w:val="00DE4154"/>
    <w:rsid w:val="00DE6363"/>
    <w:rsid w:val="00DE75E4"/>
    <w:rsid w:val="00DE79DF"/>
    <w:rsid w:val="00DF0880"/>
    <w:rsid w:val="00DF112F"/>
    <w:rsid w:val="00DF25C4"/>
    <w:rsid w:val="00DF5293"/>
    <w:rsid w:val="00DF6C2A"/>
    <w:rsid w:val="00E011DB"/>
    <w:rsid w:val="00E016C3"/>
    <w:rsid w:val="00E01934"/>
    <w:rsid w:val="00E0403C"/>
    <w:rsid w:val="00E040B3"/>
    <w:rsid w:val="00E0554F"/>
    <w:rsid w:val="00E05ACE"/>
    <w:rsid w:val="00E06731"/>
    <w:rsid w:val="00E07FB2"/>
    <w:rsid w:val="00E1152E"/>
    <w:rsid w:val="00E11FD7"/>
    <w:rsid w:val="00E1463E"/>
    <w:rsid w:val="00E16E69"/>
    <w:rsid w:val="00E2024D"/>
    <w:rsid w:val="00E20723"/>
    <w:rsid w:val="00E20AC6"/>
    <w:rsid w:val="00E21E29"/>
    <w:rsid w:val="00E32955"/>
    <w:rsid w:val="00E32ED1"/>
    <w:rsid w:val="00E33DD5"/>
    <w:rsid w:val="00E35A16"/>
    <w:rsid w:val="00E36564"/>
    <w:rsid w:val="00E368A6"/>
    <w:rsid w:val="00E3727D"/>
    <w:rsid w:val="00E41C3E"/>
    <w:rsid w:val="00E436CF"/>
    <w:rsid w:val="00E46FD1"/>
    <w:rsid w:val="00E501C6"/>
    <w:rsid w:val="00E50E9C"/>
    <w:rsid w:val="00E516A3"/>
    <w:rsid w:val="00E5765F"/>
    <w:rsid w:val="00E6002F"/>
    <w:rsid w:val="00E60C26"/>
    <w:rsid w:val="00E6549D"/>
    <w:rsid w:val="00E663A0"/>
    <w:rsid w:val="00E67371"/>
    <w:rsid w:val="00E678FB"/>
    <w:rsid w:val="00E706A5"/>
    <w:rsid w:val="00E715AB"/>
    <w:rsid w:val="00E73DAE"/>
    <w:rsid w:val="00E757B0"/>
    <w:rsid w:val="00E77437"/>
    <w:rsid w:val="00E82B82"/>
    <w:rsid w:val="00E83143"/>
    <w:rsid w:val="00E85F25"/>
    <w:rsid w:val="00E86C51"/>
    <w:rsid w:val="00E87D5E"/>
    <w:rsid w:val="00E93B09"/>
    <w:rsid w:val="00E94368"/>
    <w:rsid w:val="00E9519B"/>
    <w:rsid w:val="00E96741"/>
    <w:rsid w:val="00E97E68"/>
    <w:rsid w:val="00EA670C"/>
    <w:rsid w:val="00EB1BE3"/>
    <w:rsid w:val="00EB25AF"/>
    <w:rsid w:val="00EB2B31"/>
    <w:rsid w:val="00EB2B99"/>
    <w:rsid w:val="00EB32C8"/>
    <w:rsid w:val="00EB4211"/>
    <w:rsid w:val="00EB67BE"/>
    <w:rsid w:val="00EC37BF"/>
    <w:rsid w:val="00EC4FAB"/>
    <w:rsid w:val="00EC55C2"/>
    <w:rsid w:val="00EC7788"/>
    <w:rsid w:val="00EC7FEA"/>
    <w:rsid w:val="00ED02ED"/>
    <w:rsid w:val="00ED081D"/>
    <w:rsid w:val="00ED0A40"/>
    <w:rsid w:val="00ED0E94"/>
    <w:rsid w:val="00ED137F"/>
    <w:rsid w:val="00ED1DD3"/>
    <w:rsid w:val="00ED2878"/>
    <w:rsid w:val="00ED3578"/>
    <w:rsid w:val="00ED6FC9"/>
    <w:rsid w:val="00ED7851"/>
    <w:rsid w:val="00EE4214"/>
    <w:rsid w:val="00EE5F22"/>
    <w:rsid w:val="00EE71BE"/>
    <w:rsid w:val="00EF01F6"/>
    <w:rsid w:val="00EF1AE8"/>
    <w:rsid w:val="00EF1F18"/>
    <w:rsid w:val="00EF2A8C"/>
    <w:rsid w:val="00EF4059"/>
    <w:rsid w:val="00EF5F76"/>
    <w:rsid w:val="00EF617F"/>
    <w:rsid w:val="00EF6D39"/>
    <w:rsid w:val="00EF6E66"/>
    <w:rsid w:val="00F0557E"/>
    <w:rsid w:val="00F07674"/>
    <w:rsid w:val="00F111D7"/>
    <w:rsid w:val="00F125E1"/>
    <w:rsid w:val="00F12793"/>
    <w:rsid w:val="00F211CC"/>
    <w:rsid w:val="00F22EDC"/>
    <w:rsid w:val="00F2418E"/>
    <w:rsid w:val="00F340FC"/>
    <w:rsid w:val="00F3590F"/>
    <w:rsid w:val="00F3676C"/>
    <w:rsid w:val="00F37123"/>
    <w:rsid w:val="00F40C0D"/>
    <w:rsid w:val="00F464DC"/>
    <w:rsid w:val="00F52A03"/>
    <w:rsid w:val="00F56EA0"/>
    <w:rsid w:val="00F610A7"/>
    <w:rsid w:val="00F6166F"/>
    <w:rsid w:val="00F6741C"/>
    <w:rsid w:val="00F67EF7"/>
    <w:rsid w:val="00F70C6F"/>
    <w:rsid w:val="00F74283"/>
    <w:rsid w:val="00F80329"/>
    <w:rsid w:val="00F84B7B"/>
    <w:rsid w:val="00F856F9"/>
    <w:rsid w:val="00F86FEE"/>
    <w:rsid w:val="00F94A9F"/>
    <w:rsid w:val="00F951C9"/>
    <w:rsid w:val="00F954D2"/>
    <w:rsid w:val="00F961BF"/>
    <w:rsid w:val="00F96347"/>
    <w:rsid w:val="00F96537"/>
    <w:rsid w:val="00F977F5"/>
    <w:rsid w:val="00FA19D6"/>
    <w:rsid w:val="00FA555C"/>
    <w:rsid w:val="00FA7084"/>
    <w:rsid w:val="00FB1FD6"/>
    <w:rsid w:val="00FB27F5"/>
    <w:rsid w:val="00FB4355"/>
    <w:rsid w:val="00FB538B"/>
    <w:rsid w:val="00FB59B2"/>
    <w:rsid w:val="00FC0F15"/>
    <w:rsid w:val="00FC1764"/>
    <w:rsid w:val="00FC26CD"/>
    <w:rsid w:val="00FC38CE"/>
    <w:rsid w:val="00FC394E"/>
    <w:rsid w:val="00FC54A7"/>
    <w:rsid w:val="00FD4785"/>
    <w:rsid w:val="00FD612D"/>
    <w:rsid w:val="00FD7BDC"/>
    <w:rsid w:val="00FE5514"/>
    <w:rsid w:val="00FE687B"/>
    <w:rsid w:val="00FF6ED6"/>
    <w:rsid w:val="00FF7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36D3F3"/>
  <w15:docId w15:val="{782704DC-CAEC-4F0D-BE5C-75028727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A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419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93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9B1"/>
  </w:style>
  <w:style w:type="paragraph" w:styleId="Footer">
    <w:name w:val="footer"/>
    <w:basedOn w:val="Normal"/>
    <w:link w:val="FooterChar"/>
    <w:uiPriority w:val="99"/>
    <w:unhideWhenUsed/>
    <w:rsid w:val="00893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9B1"/>
  </w:style>
  <w:style w:type="paragraph" w:styleId="BalloonText">
    <w:name w:val="Balloon Text"/>
    <w:basedOn w:val="Normal"/>
    <w:link w:val="BalloonTextChar"/>
    <w:uiPriority w:val="99"/>
    <w:semiHidden/>
    <w:unhideWhenUsed/>
    <w:rsid w:val="00DF5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293"/>
    <w:rPr>
      <w:rFonts w:ascii="Tahoma" w:hAnsi="Tahoma" w:cs="Tahoma"/>
      <w:sz w:val="16"/>
      <w:szCs w:val="16"/>
    </w:rPr>
  </w:style>
  <w:style w:type="character" w:styleId="CommentReference">
    <w:name w:val="annotation reference"/>
    <w:basedOn w:val="DefaultParagraphFont"/>
    <w:uiPriority w:val="99"/>
    <w:semiHidden/>
    <w:unhideWhenUsed/>
    <w:rsid w:val="00FA555C"/>
    <w:rPr>
      <w:sz w:val="16"/>
      <w:szCs w:val="16"/>
    </w:rPr>
  </w:style>
  <w:style w:type="paragraph" w:styleId="CommentText">
    <w:name w:val="annotation text"/>
    <w:basedOn w:val="Normal"/>
    <w:link w:val="CommentTextChar"/>
    <w:uiPriority w:val="99"/>
    <w:unhideWhenUsed/>
    <w:rsid w:val="00FA555C"/>
    <w:pPr>
      <w:spacing w:line="240" w:lineRule="auto"/>
    </w:pPr>
    <w:rPr>
      <w:sz w:val="20"/>
      <w:szCs w:val="20"/>
    </w:rPr>
  </w:style>
  <w:style w:type="character" w:customStyle="1" w:styleId="CommentTextChar">
    <w:name w:val="Comment Text Char"/>
    <w:basedOn w:val="DefaultParagraphFont"/>
    <w:link w:val="CommentText"/>
    <w:uiPriority w:val="99"/>
    <w:rsid w:val="00FA555C"/>
    <w:rPr>
      <w:sz w:val="20"/>
      <w:szCs w:val="20"/>
    </w:rPr>
  </w:style>
  <w:style w:type="paragraph" w:styleId="CommentSubject">
    <w:name w:val="annotation subject"/>
    <w:basedOn w:val="CommentText"/>
    <w:next w:val="CommentText"/>
    <w:link w:val="CommentSubjectChar"/>
    <w:uiPriority w:val="99"/>
    <w:semiHidden/>
    <w:unhideWhenUsed/>
    <w:rsid w:val="00FA555C"/>
    <w:rPr>
      <w:b/>
      <w:bCs/>
    </w:rPr>
  </w:style>
  <w:style w:type="character" w:customStyle="1" w:styleId="CommentSubjectChar">
    <w:name w:val="Comment Subject Char"/>
    <w:basedOn w:val="CommentTextChar"/>
    <w:link w:val="CommentSubject"/>
    <w:uiPriority w:val="99"/>
    <w:semiHidden/>
    <w:rsid w:val="00FA555C"/>
    <w:rPr>
      <w:b/>
      <w:bCs/>
      <w:sz w:val="20"/>
      <w:szCs w:val="20"/>
    </w:rPr>
  </w:style>
  <w:style w:type="paragraph" w:styleId="Revision">
    <w:name w:val="Revision"/>
    <w:hidden/>
    <w:uiPriority w:val="99"/>
    <w:semiHidden/>
    <w:rsid w:val="00145ED6"/>
    <w:pPr>
      <w:spacing w:after="0" w:line="240" w:lineRule="auto"/>
    </w:pPr>
  </w:style>
  <w:style w:type="character" w:styleId="Hyperlink">
    <w:name w:val="Hyperlink"/>
    <w:uiPriority w:val="99"/>
    <w:rsid w:val="008416DD"/>
    <w:rPr>
      <w:color w:val="0D6F8B"/>
      <w:u w:val="single"/>
    </w:rPr>
  </w:style>
  <w:style w:type="character" w:styleId="FollowedHyperlink">
    <w:name w:val="FollowedHyperlink"/>
    <w:basedOn w:val="DefaultParagraphFont"/>
    <w:uiPriority w:val="99"/>
    <w:semiHidden/>
    <w:unhideWhenUsed/>
    <w:rsid w:val="008957CE"/>
    <w:rPr>
      <w:color w:val="800080" w:themeColor="followedHyperlink"/>
      <w:u w:val="single"/>
    </w:rPr>
  </w:style>
  <w:style w:type="character" w:styleId="UnresolvedMention">
    <w:name w:val="Unresolved Mention"/>
    <w:basedOn w:val="DefaultParagraphFont"/>
    <w:uiPriority w:val="99"/>
    <w:semiHidden/>
    <w:unhideWhenUsed/>
    <w:rsid w:val="00A177A5"/>
    <w:rPr>
      <w:color w:val="605E5C"/>
      <w:shd w:val="clear" w:color="auto" w:fill="E1DFDD"/>
    </w:rPr>
  </w:style>
  <w:style w:type="character" w:customStyle="1" w:styleId="ListParagraphChar">
    <w:name w:val="List Paragraph Char"/>
    <w:basedOn w:val="DefaultParagraphFont"/>
    <w:link w:val="ListParagraph"/>
    <w:uiPriority w:val="34"/>
    <w:rsid w:val="00FD7BDC"/>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95854">
      <w:bodyDiv w:val="1"/>
      <w:marLeft w:val="0"/>
      <w:marRight w:val="0"/>
      <w:marTop w:val="0"/>
      <w:marBottom w:val="0"/>
      <w:divBdr>
        <w:top w:val="none" w:sz="0" w:space="0" w:color="auto"/>
        <w:left w:val="none" w:sz="0" w:space="0" w:color="auto"/>
        <w:bottom w:val="none" w:sz="0" w:space="0" w:color="auto"/>
        <w:right w:val="none" w:sz="0" w:space="0" w:color="auto"/>
      </w:divBdr>
      <w:divsChild>
        <w:div w:id="408774573">
          <w:marLeft w:val="0"/>
          <w:marRight w:val="0"/>
          <w:marTop w:val="0"/>
          <w:marBottom w:val="0"/>
          <w:divBdr>
            <w:top w:val="none" w:sz="0" w:space="0" w:color="auto"/>
            <w:left w:val="none" w:sz="0" w:space="0" w:color="auto"/>
            <w:bottom w:val="none" w:sz="0" w:space="0" w:color="auto"/>
            <w:right w:val="none" w:sz="0" w:space="0" w:color="auto"/>
          </w:divBdr>
          <w:divsChild>
            <w:div w:id="1633904388">
              <w:marLeft w:val="0"/>
              <w:marRight w:val="0"/>
              <w:marTop w:val="0"/>
              <w:marBottom w:val="0"/>
              <w:divBdr>
                <w:top w:val="none" w:sz="0" w:space="0" w:color="auto"/>
                <w:left w:val="none" w:sz="0" w:space="0" w:color="auto"/>
                <w:bottom w:val="none" w:sz="0" w:space="0" w:color="auto"/>
                <w:right w:val="none" w:sz="0" w:space="0" w:color="auto"/>
              </w:divBdr>
              <w:divsChild>
                <w:div w:id="640383788">
                  <w:marLeft w:val="0"/>
                  <w:marRight w:val="0"/>
                  <w:marTop w:val="0"/>
                  <w:marBottom w:val="0"/>
                  <w:divBdr>
                    <w:top w:val="none" w:sz="0" w:space="0" w:color="auto"/>
                    <w:left w:val="none" w:sz="0" w:space="0" w:color="auto"/>
                    <w:bottom w:val="none" w:sz="0" w:space="0" w:color="auto"/>
                    <w:right w:val="none" w:sz="0" w:space="0" w:color="auto"/>
                  </w:divBdr>
                  <w:divsChild>
                    <w:div w:id="1939364908">
                      <w:marLeft w:val="0"/>
                      <w:marRight w:val="0"/>
                      <w:marTop w:val="0"/>
                      <w:marBottom w:val="0"/>
                      <w:divBdr>
                        <w:top w:val="none" w:sz="0" w:space="0" w:color="auto"/>
                        <w:left w:val="none" w:sz="0" w:space="0" w:color="auto"/>
                        <w:bottom w:val="none" w:sz="0" w:space="0" w:color="auto"/>
                        <w:right w:val="none" w:sz="0" w:space="0" w:color="auto"/>
                      </w:divBdr>
                      <w:divsChild>
                        <w:div w:id="529879996">
                          <w:marLeft w:val="0"/>
                          <w:marRight w:val="0"/>
                          <w:marTop w:val="0"/>
                          <w:marBottom w:val="0"/>
                          <w:divBdr>
                            <w:top w:val="none" w:sz="0" w:space="0" w:color="auto"/>
                            <w:left w:val="none" w:sz="0" w:space="0" w:color="auto"/>
                            <w:bottom w:val="none" w:sz="0" w:space="0" w:color="auto"/>
                            <w:right w:val="none" w:sz="0" w:space="0" w:color="auto"/>
                          </w:divBdr>
                          <w:divsChild>
                            <w:div w:id="844243010">
                              <w:marLeft w:val="0"/>
                              <w:marRight w:val="0"/>
                              <w:marTop w:val="0"/>
                              <w:marBottom w:val="0"/>
                              <w:divBdr>
                                <w:top w:val="none" w:sz="0" w:space="0" w:color="auto"/>
                                <w:left w:val="none" w:sz="0" w:space="0" w:color="auto"/>
                                <w:bottom w:val="none" w:sz="0" w:space="0" w:color="auto"/>
                                <w:right w:val="none" w:sz="0" w:space="0" w:color="auto"/>
                              </w:divBdr>
                              <w:divsChild>
                                <w:div w:id="2075228430">
                                  <w:marLeft w:val="0"/>
                                  <w:marRight w:val="0"/>
                                  <w:marTop w:val="0"/>
                                  <w:marBottom w:val="0"/>
                                  <w:divBdr>
                                    <w:top w:val="none" w:sz="0" w:space="0" w:color="auto"/>
                                    <w:left w:val="none" w:sz="0" w:space="0" w:color="auto"/>
                                    <w:bottom w:val="none" w:sz="0" w:space="0" w:color="auto"/>
                                    <w:right w:val="none" w:sz="0" w:space="0" w:color="auto"/>
                                  </w:divBdr>
                                  <w:divsChild>
                                    <w:div w:id="2024623853">
                                      <w:marLeft w:val="0"/>
                                      <w:marRight w:val="0"/>
                                      <w:marTop w:val="0"/>
                                      <w:marBottom w:val="0"/>
                                      <w:divBdr>
                                        <w:top w:val="none" w:sz="0" w:space="0" w:color="auto"/>
                                        <w:left w:val="none" w:sz="0" w:space="0" w:color="auto"/>
                                        <w:bottom w:val="none" w:sz="0" w:space="0" w:color="auto"/>
                                        <w:right w:val="none" w:sz="0" w:space="0" w:color="auto"/>
                                      </w:divBdr>
                                      <w:divsChild>
                                        <w:div w:id="351348919">
                                          <w:marLeft w:val="0"/>
                                          <w:marRight w:val="0"/>
                                          <w:marTop w:val="0"/>
                                          <w:marBottom w:val="0"/>
                                          <w:divBdr>
                                            <w:top w:val="none" w:sz="0" w:space="0" w:color="auto"/>
                                            <w:left w:val="none" w:sz="0" w:space="0" w:color="auto"/>
                                            <w:bottom w:val="none" w:sz="0" w:space="0" w:color="auto"/>
                                            <w:right w:val="none" w:sz="0" w:space="0" w:color="auto"/>
                                          </w:divBdr>
                                          <w:divsChild>
                                            <w:div w:id="1651013067">
                                              <w:marLeft w:val="0"/>
                                              <w:marRight w:val="0"/>
                                              <w:marTop w:val="0"/>
                                              <w:marBottom w:val="0"/>
                                              <w:divBdr>
                                                <w:top w:val="none" w:sz="0" w:space="0" w:color="auto"/>
                                                <w:left w:val="none" w:sz="0" w:space="0" w:color="auto"/>
                                                <w:bottom w:val="none" w:sz="0" w:space="0" w:color="auto"/>
                                                <w:right w:val="none" w:sz="0" w:space="0" w:color="auto"/>
                                              </w:divBdr>
                                              <w:divsChild>
                                                <w:div w:id="1451779252">
                                                  <w:marLeft w:val="0"/>
                                                  <w:marRight w:val="0"/>
                                                  <w:marTop w:val="0"/>
                                                  <w:marBottom w:val="0"/>
                                                  <w:divBdr>
                                                    <w:top w:val="none" w:sz="0" w:space="0" w:color="auto"/>
                                                    <w:left w:val="none" w:sz="0" w:space="0" w:color="auto"/>
                                                    <w:bottom w:val="none" w:sz="0" w:space="0" w:color="auto"/>
                                                    <w:right w:val="none" w:sz="0" w:space="0" w:color="auto"/>
                                                  </w:divBdr>
                                                  <w:divsChild>
                                                    <w:div w:id="748234530">
                                                      <w:marLeft w:val="0"/>
                                                      <w:marRight w:val="0"/>
                                                      <w:marTop w:val="0"/>
                                                      <w:marBottom w:val="0"/>
                                                      <w:divBdr>
                                                        <w:top w:val="none" w:sz="0" w:space="0" w:color="auto"/>
                                                        <w:left w:val="none" w:sz="0" w:space="0" w:color="auto"/>
                                                        <w:bottom w:val="none" w:sz="0" w:space="0" w:color="auto"/>
                                                        <w:right w:val="none" w:sz="0" w:space="0" w:color="auto"/>
                                                      </w:divBdr>
                                                      <w:divsChild>
                                                        <w:div w:id="14319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87668">
      <w:bodyDiv w:val="1"/>
      <w:marLeft w:val="0"/>
      <w:marRight w:val="0"/>
      <w:marTop w:val="0"/>
      <w:marBottom w:val="0"/>
      <w:divBdr>
        <w:top w:val="none" w:sz="0" w:space="0" w:color="auto"/>
        <w:left w:val="none" w:sz="0" w:space="0" w:color="auto"/>
        <w:bottom w:val="none" w:sz="0" w:space="0" w:color="auto"/>
        <w:right w:val="none" w:sz="0" w:space="0" w:color="auto"/>
      </w:divBdr>
      <w:divsChild>
        <w:div w:id="567114701">
          <w:marLeft w:val="0"/>
          <w:marRight w:val="0"/>
          <w:marTop w:val="0"/>
          <w:marBottom w:val="0"/>
          <w:divBdr>
            <w:top w:val="none" w:sz="0" w:space="0" w:color="auto"/>
            <w:left w:val="none" w:sz="0" w:space="0" w:color="auto"/>
            <w:bottom w:val="none" w:sz="0" w:space="0" w:color="auto"/>
            <w:right w:val="none" w:sz="0" w:space="0" w:color="auto"/>
          </w:divBdr>
          <w:divsChild>
            <w:div w:id="1585605544">
              <w:marLeft w:val="0"/>
              <w:marRight w:val="0"/>
              <w:marTop w:val="0"/>
              <w:marBottom w:val="0"/>
              <w:divBdr>
                <w:top w:val="none" w:sz="0" w:space="0" w:color="auto"/>
                <w:left w:val="none" w:sz="0" w:space="0" w:color="auto"/>
                <w:bottom w:val="none" w:sz="0" w:space="0" w:color="auto"/>
                <w:right w:val="none" w:sz="0" w:space="0" w:color="auto"/>
              </w:divBdr>
              <w:divsChild>
                <w:div w:id="1787844246">
                  <w:marLeft w:val="0"/>
                  <w:marRight w:val="0"/>
                  <w:marTop w:val="0"/>
                  <w:marBottom w:val="0"/>
                  <w:divBdr>
                    <w:top w:val="none" w:sz="0" w:space="0" w:color="auto"/>
                    <w:left w:val="none" w:sz="0" w:space="0" w:color="auto"/>
                    <w:bottom w:val="none" w:sz="0" w:space="0" w:color="auto"/>
                    <w:right w:val="none" w:sz="0" w:space="0" w:color="auto"/>
                  </w:divBdr>
                  <w:divsChild>
                    <w:div w:id="207033768">
                      <w:marLeft w:val="0"/>
                      <w:marRight w:val="0"/>
                      <w:marTop w:val="0"/>
                      <w:marBottom w:val="0"/>
                      <w:divBdr>
                        <w:top w:val="none" w:sz="0" w:space="0" w:color="auto"/>
                        <w:left w:val="none" w:sz="0" w:space="0" w:color="auto"/>
                        <w:bottom w:val="none" w:sz="0" w:space="0" w:color="auto"/>
                        <w:right w:val="none" w:sz="0" w:space="0" w:color="auto"/>
                      </w:divBdr>
                      <w:divsChild>
                        <w:div w:id="1948540865">
                          <w:marLeft w:val="0"/>
                          <w:marRight w:val="0"/>
                          <w:marTop w:val="0"/>
                          <w:marBottom w:val="0"/>
                          <w:divBdr>
                            <w:top w:val="none" w:sz="0" w:space="0" w:color="auto"/>
                            <w:left w:val="none" w:sz="0" w:space="0" w:color="auto"/>
                            <w:bottom w:val="none" w:sz="0" w:space="0" w:color="auto"/>
                            <w:right w:val="none" w:sz="0" w:space="0" w:color="auto"/>
                          </w:divBdr>
                          <w:divsChild>
                            <w:div w:id="1814176079">
                              <w:marLeft w:val="0"/>
                              <w:marRight w:val="0"/>
                              <w:marTop w:val="0"/>
                              <w:marBottom w:val="0"/>
                              <w:divBdr>
                                <w:top w:val="none" w:sz="0" w:space="0" w:color="auto"/>
                                <w:left w:val="none" w:sz="0" w:space="0" w:color="auto"/>
                                <w:bottom w:val="none" w:sz="0" w:space="0" w:color="auto"/>
                                <w:right w:val="none" w:sz="0" w:space="0" w:color="auto"/>
                              </w:divBdr>
                              <w:divsChild>
                                <w:div w:id="1768648928">
                                  <w:marLeft w:val="0"/>
                                  <w:marRight w:val="0"/>
                                  <w:marTop w:val="0"/>
                                  <w:marBottom w:val="0"/>
                                  <w:divBdr>
                                    <w:top w:val="none" w:sz="0" w:space="0" w:color="auto"/>
                                    <w:left w:val="none" w:sz="0" w:space="0" w:color="auto"/>
                                    <w:bottom w:val="none" w:sz="0" w:space="0" w:color="auto"/>
                                    <w:right w:val="none" w:sz="0" w:space="0" w:color="auto"/>
                                  </w:divBdr>
                                  <w:divsChild>
                                    <w:div w:id="138422544">
                                      <w:marLeft w:val="0"/>
                                      <w:marRight w:val="0"/>
                                      <w:marTop w:val="0"/>
                                      <w:marBottom w:val="0"/>
                                      <w:divBdr>
                                        <w:top w:val="none" w:sz="0" w:space="0" w:color="auto"/>
                                        <w:left w:val="none" w:sz="0" w:space="0" w:color="auto"/>
                                        <w:bottom w:val="none" w:sz="0" w:space="0" w:color="auto"/>
                                        <w:right w:val="none" w:sz="0" w:space="0" w:color="auto"/>
                                      </w:divBdr>
                                      <w:divsChild>
                                        <w:div w:id="1573657962">
                                          <w:marLeft w:val="0"/>
                                          <w:marRight w:val="0"/>
                                          <w:marTop w:val="0"/>
                                          <w:marBottom w:val="0"/>
                                          <w:divBdr>
                                            <w:top w:val="none" w:sz="0" w:space="0" w:color="auto"/>
                                            <w:left w:val="none" w:sz="0" w:space="0" w:color="auto"/>
                                            <w:bottom w:val="none" w:sz="0" w:space="0" w:color="auto"/>
                                            <w:right w:val="none" w:sz="0" w:space="0" w:color="auto"/>
                                          </w:divBdr>
                                          <w:divsChild>
                                            <w:div w:id="777067264">
                                              <w:marLeft w:val="0"/>
                                              <w:marRight w:val="0"/>
                                              <w:marTop w:val="0"/>
                                              <w:marBottom w:val="0"/>
                                              <w:divBdr>
                                                <w:top w:val="none" w:sz="0" w:space="0" w:color="auto"/>
                                                <w:left w:val="none" w:sz="0" w:space="0" w:color="auto"/>
                                                <w:bottom w:val="none" w:sz="0" w:space="0" w:color="auto"/>
                                                <w:right w:val="none" w:sz="0" w:space="0" w:color="auto"/>
                                              </w:divBdr>
                                              <w:divsChild>
                                                <w:div w:id="1056004223">
                                                  <w:marLeft w:val="0"/>
                                                  <w:marRight w:val="0"/>
                                                  <w:marTop w:val="0"/>
                                                  <w:marBottom w:val="0"/>
                                                  <w:divBdr>
                                                    <w:top w:val="none" w:sz="0" w:space="0" w:color="auto"/>
                                                    <w:left w:val="none" w:sz="0" w:space="0" w:color="auto"/>
                                                    <w:bottom w:val="none" w:sz="0" w:space="0" w:color="auto"/>
                                                    <w:right w:val="none" w:sz="0" w:space="0" w:color="auto"/>
                                                  </w:divBdr>
                                                  <w:divsChild>
                                                    <w:div w:id="1776901135">
                                                      <w:marLeft w:val="0"/>
                                                      <w:marRight w:val="0"/>
                                                      <w:marTop w:val="0"/>
                                                      <w:marBottom w:val="0"/>
                                                      <w:divBdr>
                                                        <w:top w:val="none" w:sz="0" w:space="0" w:color="auto"/>
                                                        <w:left w:val="none" w:sz="0" w:space="0" w:color="auto"/>
                                                        <w:bottom w:val="none" w:sz="0" w:space="0" w:color="auto"/>
                                                        <w:right w:val="none" w:sz="0" w:space="0" w:color="auto"/>
                                                      </w:divBdr>
                                                      <w:divsChild>
                                                        <w:div w:id="1268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763868">
      <w:bodyDiv w:val="1"/>
      <w:marLeft w:val="0"/>
      <w:marRight w:val="0"/>
      <w:marTop w:val="0"/>
      <w:marBottom w:val="0"/>
      <w:divBdr>
        <w:top w:val="none" w:sz="0" w:space="0" w:color="auto"/>
        <w:left w:val="none" w:sz="0" w:space="0" w:color="auto"/>
        <w:bottom w:val="none" w:sz="0" w:space="0" w:color="auto"/>
        <w:right w:val="none" w:sz="0" w:space="0" w:color="auto"/>
      </w:divBdr>
      <w:divsChild>
        <w:div w:id="1760832696">
          <w:marLeft w:val="0"/>
          <w:marRight w:val="0"/>
          <w:marTop w:val="0"/>
          <w:marBottom w:val="0"/>
          <w:divBdr>
            <w:top w:val="none" w:sz="0" w:space="0" w:color="auto"/>
            <w:left w:val="none" w:sz="0" w:space="0" w:color="auto"/>
            <w:bottom w:val="none" w:sz="0" w:space="0" w:color="auto"/>
            <w:right w:val="none" w:sz="0" w:space="0" w:color="auto"/>
          </w:divBdr>
          <w:divsChild>
            <w:div w:id="52241436">
              <w:marLeft w:val="0"/>
              <w:marRight w:val="0"/>
              <w:marTop w:val="0"/>
              <w:marBottom w:val="0"/>
              <w:divBdr>
                <w:top w:val="none" w:sz="0" w:space="0" w:color="auto"/>
                <w:left w:val="none" w:sz="0" w:space="0" w:color="auto"/>
                <w:bottom w:val="none" w:sz="0" w:space="0" w:color="auto"/>
                <w:right w:val="none" w:sz="0" w:space="0" w:color="auto"/>
              </w:divBdr>
              <w:divsChild>
                <w:div w:id="1533030293">
                  <w:marLeft w:val="0"/>
                  <w:marRight w:val="0"/>
                  <w:marTop w:val="0"/>
                  <w:marBottom w:val="0"/>
                  <w:divBdr>
                    <w:top w:val="none" w:sz="0" w:space="0" w:color="auto"/>
                    <w:left w:val="none" w:sz="0" w:space="0" w:color="auto"/>
                    <w:bottom w:val="none" w:sz="0" w:space="0" w:color="auto"/>
                    <w:right w:val="none" w:sz="0" w:space="0" w:color="auto"/>
                  </w:divBdr>
                  <w:divsChild>
                    <w:div w:id="1875926585">
                      <w:marLeft w:val="0"/>
                      <w:marRight w:val="0"/>
                      <w:marTop w:val="0"/>
                      <w:marBottom w:val="0"/>
                      <w:divBdr>
                        <w:top w:val="none" w:sz="0" w:space="0" w:color="auto"/>
                        <w:left w:val="none" w:sz="0" w:space="0" w:color="auto"/>
                        <w:bottom w:val="none" w:sz="0" w:space="0" w:color="auto"/>
                        <w:right w:val="none" w:sz="0" w:space="0" w:color="auto"/>
                      </w:divBdr>
                      <w:divsChild>
                        <w:div w:id="1845826888">
                          <w:marLeft w:val="0"/>
                          <w:marRight w:val="0"/>
                          <w:marTop w:val="0"/>
                          <w:marBottom w:val="0"/>
                          <w:divBdr>
                            <w:top w:val="none" w:sz="0" w:space="0" w:color="auto"/>
                            <w:left w:val="none" w:sz="0" w:space="0" w:color="auto"/>
                            <w:bottom w:val="none" w:sz="0" w:space="0" w:color="auto"/>
                            <w:right w:val="none" w:sz="0" w:space="0" w:color="auto"/>
                          </w:divBdr>
                          <w:divsChild>
                            <w:div w:id="1207643112">
                              <w:marLeft w:val="0"/>
                              <w:marRight w:val="0"/>
                              <w:marTop w:val="0"/>
                              <w:marBottom w:val="0"/>
                              <w:divBdr>
                                <w:top w:val="none" w:sz="0" w:space="0" w:color="auto"/>
                                <w:left w:val="none" w:sz="0" w:space="0" w:color="auto"/>
                                <w:bottom w:val="none" w:sz="0" w:space="0" w:color="auto"/>
                                <w:right w:val="none" w:sz="0" w:space="0" w:color="auto"/>
                              </w:divBdr>
                              <w:divsChild>
                                <w:div w:id="585267407">
                                  <w:marLeft w:val="0"/>
                                  <w:marRight w:val="0"/>
                                  <w:marTop w:val="0"/>
                                  <w:marBottom w:val="0"/>
                                  <w:divBdr>
                                    <w:top w:val="none" w:sz="0" w:space="0" w:color="auto"/>
                                    <w:left w:val="none" w:sz="0" w:space="0" w:color="auto"/>
                                    <w:bottom w:val="none" w:sz="0" w:space="0" w:color="auto"/>
                                    <w:right w:val="none" w:sz="0" w:space="0" w:color="auto"/>
                                  </w:divBdr>
                                  <w:divsChild>
                                    <w:div w:id="1190680823">
                                      <w:marLeft w:val="0"/>
                                      <w:marRight w:val="0"/>
                                      <w:marTop w:val="0"/>
                                      <w:marBottom w:val="0"/>
                                      <w:divBdr>
                                        <w:top w:val="none" w:sz="0" w:space="0" w:color="auto"/>
                                        <w:left w:val="none" w:sz="0" w:space="0" w:color="auto"/>
                                        <w:bottom w:val="none" w:sz="0" w:space="0" w:color="auto"/>
                                        <w:right w:val="none" w:sz="0" w:space="0" w:color="auto"/>
                                      </w:divBdr>
                                      <w:divsChild>
                                        <w:div w:id="1861119853">
                                          <w:marLeft w:val="0"/>
                                          <w:marRight w:val="0"/>
                                          <w:marTop w:val="0"/>
                                          <w:marBottom w:val="0"/>
                                          <w:divBdr>
                                            <w:top w:val="none" w:sz="0" w:space="0" w:color="auto"/>
                                            <w:left w:val="none" w:sz="0" w:space="0" w:color="auto"/>
                                            <w:bottom w:val="none" w:sz="0" w:space="0" w:color="auto"/>
                                            <w:right w:val="none" w:sz="0" w:space="0" w:color="auto"/>
                                          </w:divBdr>
                                          <w:divsChild>
                                            <w:div w:id="1277329316">
                                              <w:marLeft w:val="0"/>
                                              <w:marRight w:val="0"/>
                                              <w:marTop w:val="0"/>
                                              <w:marBottom w:val="0"/>
                                              <w:divBdr>
                                                <w:top w:val="none" w:sz="0" w:space="0" w:color="auto"/>
                                                <w:left w:val="none" w:sz="0" w:space="0" w:color="auto"/>
                                                <w:bottom w:val="none" w:sz="0" w:space="0" w:color="auto"/>
                                                <w:right w:val="none" w:sz="0" w:space="0" w:color="auto"/>
                                              </w:divBdr>
                                              <w:divsChild>
                                                <w:div w:id="1431463531">
                                                  <w:marLeft w:val="0"/>
                                                  <w:marRight w:val="0"/>
                                                  <w:marTop w:val="0"/>
                                                  <w:marBottom w:val="0"/>
                                                  <w:divBdr>
                                                    <w:top w:val="none" w:sz="0" w:space="0" w:color="auto"/>
                                                    <w:left w:val="none" w:sz="0" w:space="0" w:color="auto"/>
                                                    <w:bottom w:val="none" w:sz="0" w:space="0" w:color="auto"/>
                                                    <w:right w:val="none" w:sz="0" w:space="0" w:color="auto"/>
                                                  </w:divBdr>
                                                  <w:divsChild>
                                                    <w:div w:id="2147235429">
                                                      <w:marLeft w:val="0"/>
                                                      <w:marRight w:val="0"/>
                                                      <w:marTop w:val="0"/>
                                                      <w:marBottom w:val="0"/>
                                                      <w:divBdr>
                                                        <w:top w:val="none" w:sz="0" w:space="0" w:color="auto"/>
                                                        <w:left w:val="none" w:sz="0" w:space="0" w:color="auto"/>
                                                        <w:bottom w:val="none" w:sz="0" w:space="0" w:color="auto"/>
                                                        <w:right w:val="none" w:sz="0" w:space="0" w:color="auto"/>
                                                      </w:divBdr>
                                                      <w:divsChild>
                                                        <w:div w:id="208460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909549">
      <w:bodyDiv w:val="1"/>
      <w:marLeft w:val="0"/>
      <w:marRight w:val="0"/>
      <w:marTop w:val="0"/>
      <w:marBottom w:val="0"/>
      <w:divBdr>
        <w:top w:val="none" w:sz="0" w:space="0" w:color="auto"/>
        <w:left w:val="none" w:sz="0" w:space="0" w:color="auto"/>
        <w:bottom w:val="none" w:sz="0" w:space="0" w:color="auto"/>
        <w:right w:val="none" w:sz="0" w:space="0" w:color="auto"/>
      </w:divBdr>
    </w:div>
    <w:div w:id="608513464">
      <w:bodyDiv w:val="1"/>
      <w:marLeft w:val="0"/>
      <w:marRight w:val="0"/>
      <w:marTop w:val="0"/>
      <w:marBottom w:val="0"/>
      <w:divBdr>
        <w:top w:val="none" w:sz="0" w:space="0" w:color="auto"/>
        <w:left w:val="none" w:sz="0" w:space="0" w:color="auto"/>
        <w:bottom w:val="none" w:sz="0" w:space="0" w:color="auto"/>
        <w:right w:val="none" w:sz="0" w:space="0" w:color="auto"/>
      </w:divBdr>
      <w:divsChild>
        <w:div w:id="183515981">
          <w:marLeft w:val="0"/>
          <w:marRight w:val="0"/>
          <w:marTop w:val="0"/>
          <w:marBottom w:val="0"/>
          <w:divBdr>
            <w:top w:val="none" w:sz="0" w:space="0" w:color="auto"/>
            <w:left w:val="none" w:sz="0" w:space="0" w:color="auto"/>
            <w:bottom w:val="none" w:sz="0" w:space="0" w:color="auto"/>
            <w:right w:val="none" w:sz="0" w:space="0" w:color="auto"/>
          </w:divBdr>
          <w:divsChild>
            <w:div w:id="1753046460">
              <w:marLeft w:val="0"/>
              <w:marRight w:val="0"/>
              <w:marTop w:val="0"/>
              <w:marBottom w:val="0"/>
              <w:divBdr>
                <w:top w:val="none" w:sz="0" w:space="0" w:color="auto"/>
                <w:left w:val="none" w:sz="0" w:space="0" w:color="auto"/>
                <w:bottom w:val="none" w:sz="0" w:space="0" w:color="auto"/>
                <w:right w:val="none" w:sz="0" w:space="0" w:color="auto"/>
              </w:divBdr>
              <w:divsChild>
                <w:div w:id="1052577479">
                  <w:marLeft w:val="0"/>
                  <w:marRight w:val="0"/>
                  <w:marTop w:val="0"/>
                  <w:marBottom w:val="0"/>
                  <w:divBdr>
                    <w:top w:val="none" w:sz="0" w:space="0" w:color="auto"/>
                    <w:left w:val="none" w:sz="0" w:space="0" w:color="auto"/>
                    <w:bottom w:val="none" w:sz="0" w:space="0" w:color="auto"/>
                    <w:right w:val="none" w:sz="0" w:space="0" w:color="auto"/>
                  </w:divBdr>
                  <w:divsChild>
                    <w:div w:id="542325642">
                      <w:marLeft w:val="0"/>
                      <w:marRight w:val="0"/>
                      <w:marTop w:val="0"/>
                      <w:marBottom w:val="0"/>
                      <w:divBdr>
                        <w:top w:val="none" w:sz="0" w:space="0" w:color="auto"/>
                        <w:left w:val="none" w:sz="0" w:space="0" w:color="auto"/>
                        <w:bottom w:val="none" w:sz="0" w:space="0" w:color="auto"/>
                        <w:right w:val="none" w:sz="0" w:space="0" w:color="auto"/>
                      </w:divBdr>
                      <w:divsChild>
                        <w:div w:id="869995729">
                          <w:marLeft w:val="0"/>
                          <w:marRight w:val="0"/>
                          <w:marTop w:val="0"/>
                          <w:marBottom w:val="0"/>
                          <w:divBdr>
                            <w:top w:val="none" w:sz="0" w:space="0" w:color="auto"/>
                            <w:left w:val="none" w:sz="0" w:space="0" w:color="auto"/>
                            <w:bottom w:val="none" w:sz="0" w:space="0" w:color="auto"/>
                            <w:right w:val="none" w:sz="0" w:space="0" w:color="auto"/>
                          </w:divBdr>
                          <w:divsChild>
                            <w:div w:id="1343313891">
                              <w:marLeft w:val="0"/>
                              <w:marRight w:val="0"/>
                              <w:marTop w:val="0"/>
                              <w:marBottom w:val="0"/>
                              <w:divBdr>
                                <w:top w:val="none" w:sz="0" w:space="0" w:color="auto"/>
                                <w:left w:val="none" w:sz="0" w:space="0" w:color="auto"/>
                                <w:bottom w:val="none" w:sz="0" w:space="0" w:color="auto"/>
                                <w:right w:val="none" w:sz="0" w:space="0" w:color="auto"/>
                              </w:divBdr>
                              <w:divsChild>
                                <w:div w:id="1046101072">
                                  <w:marLeft w:val="0"/>
                                  <w:marRight w:val="0"/>
                                  <w:marTop w:val="0"/>
                                  <w:marBottom w:val="0"/>
                                  <w:divBdr>
                                    <w:top w:val="none" w:sz="0" w:space="0" w:color="auto"/>
                                    <w:left w:val="none" w:sz="0" w:space="0" w:color="auto"/>
                                    <w:bottom w:val="none" w:sz="0" w:space="0" w:color="auto"/>
                                    <w:right w:val="none" w:sz="0" w:space="0" w:color="auto"/>
                                  </w:divBdr>
                                  <w:divsChild>
                                    <w:div w:id="27217280">
                                      <w:marLeft w:val="0"/>
                                      <w:marRight w:val="0"/>
                                      <w:marTop w:val="0"/>
                                      <w:marBottom w:val="0"/>
                                      <w:divBdr>
                                        <w:top w:val="none" w:sz="0" w:space="0" w:color="auto"/>
                                        <w:left w:val="none" w:sz="0" w:space="0" w:color="auto"/>
                                        <w:bottom w:val="none" w:sz="0" w:space="0" w:color="auto"/>
                                        <w:right w:val="none" w:sz="0" w:space="0" w:color="auto"/>
                                      </w:divBdr>
                                      <w:divsChild>
                                        <w:div w:id="2060668456">
                                          <w:marLeft w:val="0"/>
                                          <w:marRight w:val="0"/>
                                          <w:marTop w:val="0"/>
                                          <w:marBottom w:val="0"/>
                                          <w:divBdr>
                                            <w:top w:val="none" w:sz="0" w:space="0" w:color="auto"/>
                                            <w:left w:val="none" w:sz="0" w:space="0" w:color="auto"/>
                                            <w:bottom w:val="none" w:sz="0" w:space="0" w:color="auto"/>
                                            <w:right w:val="none" w:sz="0" w:space="0" w:color="auto"/>
                                          </w:divBdr>
                                          <w:divsChild>
                                            <w:div w:id="487212837">
                                              <w:marLeft w:val="0"/>
                                              <w:marRight w:val="0"/>
                                              <w:marTop w:val="0"/>
                                              <w:marBottom w:val="0"/>
                                              <w:divBdr>
                                                <w:top w:val="none" w:sz="0" w:space="0" w:color="auto"/>
                                                <w:left w:val="none" w:sz="0" w:space="0" w:color="auto"/>
                                                <w:bottom w:val="none" w:sz="0" w:space="0" w:color="auto"/>
                                                <w:right w:val="none" w:sz="0" w:space="0" w:color="auto"/>
                                              </w:divBdr>
                                              <w:divsChild>
                                                <w:div w:id="1901397794">
                                                  <w:marLeft w:val="0"/>
                                                  <w:marRight w:val="0"/>
                                                  <w:marTop w:val="0"/>
                                                  <w:marBottom w:val="0"/>
                                                  <w:divBdr>
                                                    <w:top w:val="none" w:sz="0" w:space="0" w:color="auto"/>
                                                    <w:left w:val="none" w:sz="0" w:space="0" w:color="auto"/>
                                                    <w:bottom w:val="none" w:sz="0" w:space="0" w:color="auto"/>
                                                    <w:right w:val="none" w:sz="0" w:space="0" w:color="auto"/>
                                                  </w:divBdr>
                                                  <w:divsChild>
                                                    <w:div w:id="2074349372">
                                                      <w:marLeft w:val="0"/>
                                                      <w:marRight w:val="0"/>
                                                      <w:marTop w:val="0"/>
                                                      <w:marBottom w:val="0"/>
                                                      <w:divBdr>
                                                        <w:top w:val="none" w:sz="0" w:space="0" w:color="auto"/>
                                                        <w:left w:val="none" w:sz="0" w:space="0" w:color="auto"/>
                                                        <w:bottom w:val="none" w:sz="0" w:space="0" w:color="auto"/>
                                                        <w:right w:val="none" w:sz="0" w:space="0" w:color="auto"/>
                                                      </w:divBdr>
                                                      <w:divsChild>
                                                        <w:div w:id="1883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4194204">
      <w:bodyDiv w:val="1"/>
      <w:marLeft w:val="0"/>
      <w:marRight w:val="0"/>
      <w:marTop w:val="0"/>
      <w:marBottom w:val="0"/>
      <w:divBdr>
        <w:top w:val="none" w:sz="0" w:space="0" w:color="auto"/>
        <w:left w:val="none" w:sz="0" w:space="0" w:color="auto"/>
        <w:bottom w:val="none" w:sz="0" w:space="0" w:color="auto"/>
        <w:right w:val="none" w:sz="0" w:space="0" w:color="auto"/>
      </w:divBdr>
      <w:divsChild>
        <w:div w:id="1456556405">
          <w:marLeft w:val="0"/>
          <w:marRight w:val="0"/>
          <w:marTop w:val="0"/>
          <w:marBottom w:val="0"/>
          <w:divBdr>
            <w:top w:val="none" w:sz="0" w:space="0" w:color="auto"/>
            <w:left w:val="none" w:sz="0" w:space="0" w:color="auto"/>
            <w:bottom w:val="none" w:sz="0" w:space="0" w:color="auto"/>
            <w:right w:val="none" w:sz="0" w:space="0" w:color="auto"/>
          </w:divBdr>
          <w:divsChild>
            <w:div w:id="834536123">
              <w:marLeft w:val="0"/>
              <w:marRight w:val="0"/>
              <w:marTop w:val="0"/>
              <w:marBottom w:val="0"/>
              <w:divBdr>
                <w:top w:val="none" w:sz="0" w:space="0" w:color="auto"/>
                <w:left w:val="none" w:sz="0" w:space="0" w:color="auto"/>
                <w:bottom w:val="none" w:sz="0" w:space="0" w:color="auto"/>
                <w:right w:val="none" w:sz="0" w:space="0" w:color="auto"/>
              </w:divBdr>
              <w:divsChild>
                <w:div w:id="372048287">
                  <w:marLeft w:val="0"/>
                  <w:marRight w:val="0"/>
                  <w:marTop w:val="0"/>
                  <w:marBottom w:val="0"/>
                  <w:divBdr>
                    <w:top w:val="none" w:sz="0" w:space="0" w:color="auto"/>
                    <w:left w:val="none" w:sz="0" w:space="0" w:color="auto"/>
                    <w:bottom w:val="none" w:sz="0" w:space="0" w:color="auto"/>
                    <w:right w:val="none" w:sz="0" w:space="0" w:color="auto"/>
                  </w:divBdr>
                  <w:divsChild>
                    <w:div w:id="1675106867">
                      <w:marLeft w:val="0"/>
                      <w:marRight w:val="0"/>
                      <w:marTop w:val="0"/>
                      <w:marBottom w:val="0"/>
                      <w:divBdr>
                        <w:top w:val="none" w:sz="0" w:space="0" w:color="auto"/>
                        <w:left w:val="none" w:sz="0" w:space="0" w:color="auto"/>
                        <w:bottom w:val="none" w:sz="0" w:space="0" w:color="auto"/>
                        <w:right w:val="none" w:sz="0" w:space="0" w:color="auto"/>
                      </w:divBdr>
                      <w:divsChild>
                        <w:div w:id="1993873179">
                          <w:marLeft w:val="0"/>
                          <w:marRight w:val="0"/>
                          <w:marTop w:val="0"/>
                          <w:marBottom w:val="0"/>
                          <w:divBdr>
                            <w:top w:val="none" w:sz="0" w:space="0" w:color="auto"/>
                            <w:left w:val="none" w:sz="0" w:space="0" w:color="auto"/>
                            <w:bottom w:val="none" w:sz="0" w:space="0" w:color="auto"/>
                            <w:right w:val="none" w:sz="0" w:space="0" w:color="auto"/>
                          </w:divBdr>
                          <w:divsChild>
                            <w:div w:id="1657103090">
                              <w:marLeft w:val="0"/>
                              <w:marRight w:val="0"/>
                              <w:marTop w:val="0"/>
                              <w:marBottom w:val="0"/>
                              <w:divBdr>
                                <w:top w:val="none" w:sz="0" w:space="0" w:color="auto"/>
                                <w:left w:val="none" w:sz="0" w:space="0" w:color="auto"/>
                                <w:bottom w:val="none" w:sz="0" w:space="0" w:color="auto"/>
                                <w:right w:val="none" w:sz="0" w:space="0" w:color="auto"/>
                              </w:divBdr>
                              <w:divsChild>
                                <w:div w:id="1068184612">
                                  <w:marLeft w:val="0"/>
                                  <w:marRight w:val="0"/>
                                  <w:marTop w:val="0"/>
                                  <w:marBottom w:val="0"/>
                                  <w:divBdr>
                                    <w:top w:val="none" w:sz="0" w:space="0" w:color="auto"/>
                                    <w:left w:val="none" w:sz="0" w:space="0" w:color="auto"/>
                                    <w:bottom w:val="none" w:sz="0" w:space="0" w:color="auto"/>
                                    <w:right w:val="none" w:sz="0" w:space="0" w:color="auto"/>
                                  </w:divBdr>
                                  <w:divsChild>
                                    <w:div w:id="2141266905">
                                      <w:marLeft w:val="0"/>
                                      <w:marRight w:val="0"/>
                                      <w:marTop w:val="0"/>
                                      <w:marBottom w:val="0"/>
                                      <w:divBdr>
                                        <w:top w:val="none" w:sz="0" w:space="0" w:color="auto"/>
                                        <w:left w:val="none" w:sz="0" w:space="0" w:color="auto"/>
                                        <w:bottom w:val="none" w:sz="0" w:space="0" w:color="auto"/>
                                        <w:right w:val="none" w:sz="0" w:space="0" w:color="auto"/>
                                      </w:divBdr>
                                      <w:divsChild>
                                        <w:div w:id="273564937">
                                          <w:marLeft w:val="0"/>
                                          <w:marRight w:val="0"/>
                                          <w:marTop w:val="0"/>
                                          <w:marBottom w:val="0"/>
                                          <w:divBdr>
                                            <w:top w:val="none" w:sz="0" w:space="0" w:color="auto"/>
                                            <w:left w:val="none" w:sz="0" w:space="0" w:color="auto"/>
                                            <w:bottom w:val="none" w:sz="0" w:space="0" w:color="auto"/>
                                            <w:right w:val="none" w:sz="0" w:space="0" w:color="auto"/>
                                          </w:divBdr>
                                          <w:divsChild>
                                            <w:div w:id="1421833605">
                                              <w:marLeft w:val="0"/>
                                              <w:marRight w:val="0"/>
                                              <w:marTop w:val="0"/>
                                              <w:marBottom w:val="0"/>
                                              <w:divBdr>
                                                <w:top w:val="none" w:sz="0" w:space="0" w:color="auto"/>
                                                <w:left w:val="none" w:sz="0" w:space="0" w:color="auto"/>
                                                <w:bottom w:val="none" w:sz="0" w:space="0" w:color="auto"/>
                                                <w:right w:val="none" w:sz="0" w:space="0" w:color="auto"/>
                                              </w:divBdr>
                                              <w:divsChild>
                                                <w:div w:id="802385503">
                                                  <w:marLeft w:val="0"/>
                                                  <w:marRight w:val="0"/>
                                                  <w:marTop w:val="0"/>
                                                  <w:marBottom w:val="0"/>
                                                  <w:divBdr>
                                                    <w:top w:val="none" w:sz="0" w:space="0" w:color="auto"/>
                                                    <w:left w:val="none" w:sz="0" w:space="0" w:color="auto"/>
                                                    <w:bottom w:val="none" w:sz="0" w:space="0" w:color="auto"/>
                                                    <w:right w:val="none" w:sz="0" w:space="0" w:color="auto"/>
                                                  </w:divBdr>
                                                  <w:divsChild>
                                                    <w:div w:id="2122872184">
                                                      <w:marLeft w:val="0"/>
                                                      <w:marRight w:val="0"/>
                                                      <w:marTop w:val="0"/>
                                                      <w:marBottom w:val="0"/>
                                                      <w:divBdr>
                                                        <w:top w:val="none" w:sz="0" w:space="0" w:color="auto"/>
                                                        <w:left w:val="none" w:sz="0" w:space="0" w:color="auto"/>
                                                        <w:bottom w:val="none" w:sz="0" w:space="0" w:color="auto"/>
                                                        <w:right w:val="none" w:sz="0" w:space="0" w:color="auto"/>
                                                      </w:divBdr>
                                                      <w:divsChild>
                                                        <w:div w:id="3235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4799338">
      <w:bodyDiv w:val="1"/>
      <w:marLeft w:val="0"/>
      <w:marRight w:val="0"/>
      <w:marTop w:val="0"/>
      <w:marBottom w:val="0"/>
      <w:divBdr>
        <w:top w:val="none" w:sz="0" w:space="0" w:color="auto"/>
        <w:left w:val="none" w:sz="0" w:space="0" w:color="auto"/>
        <w:bottom w:val="none" w:sz="0" w:space="0" w:color="auto"/>
        <w:right w:val="none" w:sz="0" w:space="0" w:color="auto"/>
      </w:divBdr>
    </w:div>
    <w:div w:id="1095322756">
      <w:bodyDiv w:val="1"/>
      <w:marLeft w:val="0"/>
      <w:marRight w:val="0"/>
      <w:marTop w:val="0"/>
      <w:marBottom w:val="0"/>
      <w:divBdr>
        <w:top w:val="none" w:sz="0" w:space="0" w:color="auto"/>
        <w:left w:val="none" w:sz="0" w:space="0" w:color="auto"/>
        <w:bottom w:val="none" w:sz="0" w:space="0" w:color="auto"/>
        <w:right w:val="none" w:sz="0" w:space="0" w:color="auto"/>
      </w:divBdr>
      <w:divsChild>
        <w:div w:id="425535389">
          <w:marLeft w:val="0"/>
          <w:marRight w:val="0"/>
          <w:marTop w:val="0"/>
          <w:marBottom w:val="0"/>
          <w:divBdr>
            <w:top w:val="none" w:sz="0" w:space="0" w:color="auto"/>
            <w:left w:val="none" w:sz="0" w:space="0" w:color="auto"/>
            <w:bottom w:val="none" w:sz="0" w:space="0" w:color="auto"/>
            <w:right w:val="none" w:sz="0" w:space="0" w:color="auto"/>
          </w:divBdr>
          <w:divsChild>
            <w:div w:id="259263019">
              <w:marLeft w:val="0"/>
              <w:marRight w:val="0"/>
              <w:marTop w:val="0"/>
              <w:marBottom w:val="0"/>
              <w:divBdr>
                <w:top w:val="none" w:sz="0" w:space="0" w:color="auto"/>
                <w:left w:val="none" w:sz="0" w:space="0" w:color="auto"/>
                <w:bottom w:val="none" w:sz="0" w:space="0" w:color="auto"/>
                <w:right w:val="none" w:sz="0" w:space="0" w:color="auto"/>
              </w:divBdr>
              <w:divsChild>
                <w:div w:id="1883402999">
                  <w:marLeft w:val="0"/>
                  <w:marRight w:val="0"/>
                  <w:marTop w:val="0"/>
                  <w:marBottom w:val="0"/>
                  <w:divBdr>
                    <w:top w:val="none" w:sz="0" w:space="0" w:color="auto"/>
                    <w:left w:val="none" w:sz="0" w:space="0" w:color="auto"/>
                    <w:bottom w:val="none" w:sz="0" w:space="0" w:color="auto"/>
                    <w:right w:val="none" w:sz="0" w:space="0" w:color="auto"/>
                  </w:divBdr>
                  <w:divsChild>
                    <w:div w:id="2018076866">
                      <w:marLeft w:val="0"/>
                      <w:marRight w:val="0"/>
                      <w:marTop w:val="0"/>
                      <w:marBottom w:val="0"/>
                      <w:divBdr>
                        <w:top w:val="none" w:sz="0" w:space="0" w:color="auto"/>
                        <w:left w:val="none" w:sz="0" w:space="0" w:color="auto"/>
                        <w:bottom w:val="none" w:sz="0" w:space="0" w:color="auto"/>
                        <w:right w:val="none" w:sz="0" w:space="0" w:color="auto"/>
                      </w:divBdr>
                      <w:divsChild>
                        <w:div w:id="1637224309">
                          <w:marLeft w:val="0"/>
                          <w:marRight w:val="0"/>
                          <w:marTop w:val="0"/>
                          <w:marBottom w:val="0"/>
                          <w:divBdr>
                            <w:top w:val="none" w:sz="0" w:space="0" w:color="auto"/>
                            <w:left w:val="none" w:sz="0" w:space="0" w:color="auto"/>
                            <w:bottom w:val="none" w:sz="0" w:space="0" w:color="auto"/>
                            <w:right w:val="none" w:sz="0" w:space="0" w:color="auto"/>
                          </w:divBdr>
                          <w:divsChild>
                            <w:div w:id="1766614209">
                              <w:marLeft w:val="0"/>
                              <w:marRight w:val="0"/>
                              <w:marTop w:val="0"/>
                              <w:marBottom w:val="0"/>
                              <w:divBdr>
                                <w:top w:val="single" w:sz="6" w:space="0" w:color="828282"/>
                                <w:left w:val="single" w:sz="6" w:space="0" w:color="828282"/>
                                <w:bottom w:val="single" w:sz="6" w:space="0" w:color="828282"/>
                                <w:right w:val="single" w:sz="6" w:space="0" w:color="828282"/>
                              </w:divBdr>
                              <w:divsChild>
                                <w:div w:id="670765657">
                                  <w:marLeft w:val="0"/>
                                  <w:marRight w:val="0"/>
                                  <w:marTop w:val="0"/>
                                  <w:marBottom w:val="0"/>
                                  <w:divBdr>
                                    <w:top w:val="none" w:sz="0" w:space="0" w:color="auto"/>
                                    <w:left w:val="none" w:sz="0" w:space="0" w:color="auto"/>
                                    <w:bottom w:val="none" w:sz="0" w:space="0" w:color="auto"/>
                                    <w:right w:val="none" w:sz="0" w:space="0" w:color="auto"/>
                                  </w:divBdr>
                                  <w:divsChild>
                                    <w:div w:id="1375083406">
                                      <w:marLeft w:val="0"/>
                                      <w:marRight w:val="0"/>
                                      <w:marTop w:val="0"/>
                                      <w:marBottom w:val="0"/>
                                      <w:divBdr>
                                        <w:top w:val="none" w:sz="0" w:space="0" w:color="auto"/>
                                        <w:left w:val="none" w:sz="0" w:space="0" w:color="auto"/>
                                        <w:bottom w:val="none" w:sz="0" w:space="0" w:color="auto"/>
                                        <w:right w:val="none" w:sz="0" w:space="0" w:color="auto"/>
                                      </w:divBdr>
                                      <w:divsChild>
                                        <w:div w:id="1561867313">
                                          <w:marLeft w:val="0"/>
                                          <w:marRight w:val="0"/>
                                          <w:marTop w:val="0"/>
                                          <w:marBottom w:val="0"/>
                                          <w:divBdr>
                                            <w:top w:val="none" w:sz="0" w:space="0" w:color="auto"/>
                                            <w:left w:val="none" w:sz="0" w:space="0" w:color="auto"/>
                                            <w:bottom w:val="none" w:sz="0" w:space="0" w:color="auto"/>
                                            <w:right w:val="none" w:sz="0" w:space="0" w:color="auto"/>
                                          </w:divBdr>
                                          <w:divsChild>
                                            <w:div w:id="1815949116">
                                              <w:marLeft w:val="0"/>
                                              <w:marRight w:val="0"/>
                                              <w:marTop w:val="0"/>
                                              <w:marBottom w:val="0"/>
                                              <w:divBdr>
                                                <w:top w:val="none" w:sz="0" w:space="0" w:color="auto"/>
                                                <w:left w:val="none" w:sz="0" w:space="0" w:color="auto"/>
                                                <w:bottom w:val="none" w:sz="0" w:space="0" w:color="auto"/>
                                                <w:right w:val="none" w:sz="0" w:space="0" w:color="auto"/>
                                              </w:divBdr>
                                              <w:divsChild>
                                                <w:div w:id="589696631">
                                                  <w:marLeft w:val="0"/>
                                                  <w:marRight w:val="0"/>
                                                  <w:marTop w:val="0"/>
                                                  <w:marBottom w:val="0"/>
                                                  <w:divBdr>
                                                    <w:top w:val="none" w:sz="0" w:space="0" w:color="auto"/>
                                                    <w:left w:val="none" w:sz="0" w:space="0" w:color="auto"/>
                                                    <w:bottom w:val="none" w:sz="0" w:space="0" w:color="auto"/>
                                                    <w:right w:val="none" w:sz="0" w:space="0" w:color="auto"/>
                                                  </w:divBdr>
                                                  <w:divsChild>
                                                    <w:div w:id="1963072738">
                                                      <w:marLeft w:val="0"/>
                                                      <w:marRight w:val="0"/>
                                                      <w:marTop w:val="0"/>
                                                      <w:marBottom w:val="0"/>
                                                      <w:divBdr>
                                                        <w:top w:val="none" w:sz="0" w:space="0" w:color="auto"/>
                                                        <w:left w:val="none" w:sz="0" w:space="0" w:color="auto"/>
                                                        <w:bottom w:val="none" w:sz="0" w:space="0" w:color="auto"/>
                                                        <w:right w:val="none" w:sz="0" w:space="0" w:color="auto"/>
                                                      </w:divBdr>
                                                      <w:divsChild>
                                                        <w:div w:id="1388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490435">
      <w:bodyDiv w:val="1"/>
      <w:marLeft w:val="0"/>
      <w:marRight w:val="0"/>
      <w:marTop w:val="0"/>
      <w:marBottom w:val="0"/>
      <w:divBdr>
        <w:top w:val="none" w:sz="0" w:space="0" w:color="auto"/>
        <w:left w:val="none" w:sz="0" w:space="0" w:color="auto"/>
        <w:bottom w:val="none" w:sz="0" w:space="0" w:color="auto"/>
        <w:right w:val="none" w:sz="0" w:space="0" w:color="auto"/>
      </w:divBdr>
      <w:divsChild>
        <w:div w:id="207035492">
          <w:marLeft w:val="0"/>
          <w:marRight w:val="0"/>
          <w:marTop w:val="0"/>
          <w:marBottom w:val="0"/>
          <w:divBdr>
            <w:top w:val="none" w:sz="0" w:space="0" w:color="auto"/>
            <w:left w:val="none" w:sz="0" w:space="0" w:color="auto"/>
            <w:bottom w:val="none" w:sz="0" w:space="0" w:color="auto"/>
            <w:right w:val="none" w:sz="0" w:space="0" w:color="auto"/>
          </w:divBdr>
          <w:divsChild>
            <w:div w:id="1853445913">
              <w:marLeft w:val="0"/>
              <w:marRight w:val="0"/>
              <w:marTop w:val="0"/>
              <w:marBottom w:val="0"/>
              <w:divBdr>
                <w:top w:val="none" w:sz="0" w:space="0" w:color="auto"/>
                <w:left w:val="none" w:sz="0" w:space="0" w:color="auto"/>
                <w:bottom w:val="none" w:sz="0" w:space="0" w:color="auto"/>
                <w:right w:val="none" w:sz="0" w:space="0" w:color="auto"/>
              </w:divBdr>
              <w:divsChild>
                <w:div w:id="2099134358">
                  <w:marLeft w:val="0"/>
                  <w:marRight w:val="0"/>
                  <w:marTop w:val="0"/>
                  <w:marBottom w:val="0"/>
                  <w:divBdr>
                    <w:top w:val="none" w:sz="0" w:space="0" w:color="auto"/>
                    <w:left w:val="none" w:sz="0" w:space="0" w:color="auto"/>
                    <w:bottom w:val="none" w:sz="0" w:space="0" w:color="auto"/>
                    <w:right w:val="none" w:sz="0" w:space="0" w:color="auto"/>
                  </w:divBdr>
                  <w:divsChild>
                    <w:div w:id="1790274124">
                      <w:marLeft w:val="0"/>
                      <w:marRight w:val="0"/>
                      <w:marTop w:val="0"/>
                      <w:marBottom w:val="0"/>
                      <w:divBdr>
                        <w:top w:val="none" w:sz="0" w:space="0" w:color="auto"/>
                        <w:left w:val="none" w:sz="0" w:space="0" w:color="auto"/>
                        <w:bottom w:val="none" w:sz="0" w:space="0" w:color="auto"/>
                        <w:right w:val="none" w:sz="0" w:space="0" w:color="auto"/>
                      </w:divBdr>
                      <w:divsChild>
                        <w:div w:id="1118142279">
                          <w:marLeft w:val="0"/>
                          <w:marRight w:val="0"/>
                          <w:marTop w:val="0"/>
                          <w:marBottom w:val="0"/>
                          <w:divBdr>
                            <w:top w:val="none" w:sz="0" w:space="0" w:color="auto"/>
                            <w:left w:val="none" w:sz="0" w:space="0" w:color="auto"/>
                            <w:bottom w:val="none" w:sz="0" w:space="0" w:color="auto"/>
                            <w:right w:val="none" w:sz="0" w:space="0" w:color="auto"/>
                          </w:divBdr>
                          <w:divsChild>
                            <w:div w:id="34698356">
                              <w:marLeft w:val="0"/>
                              <w:marRight w:val="0"/>
                              <w:marTop w:val="0"/>
                              <w:marBottom w:val="0"/>
                              <w:divBdr>
                                <w:top w:val="single" w:sz="6" w:space="0" w:color="828282"/>
                                <w:left w:val="single" w:sz="6" w:space="0" w:color="828282"/>
                                <w:bottom w:val="single" w:sz="6" w:space="0" w:color="828282"/>
                                <w:right w:val="single" w:sz="6" w:space="0" w:color="828282"/>
                              </w:divBdr>
                              <w:divsChild>
                                <w:div w:id="178396556">
                                  <w:marLeft w:val="0"/>
                                  <w:marRight w:val="0"/>
                                  <w:marTop w:val="0"/>
                                  <w:marBottom w:val="0"/>
                                  <w:divBdr>
                                    <w:top w:val="none" w:sz="0" w:space="0" w:color="auto"/>
                                    <w:left w:val="none" w:sz="0" w:space="0" w:color="auto"/>
                                    <w:bottom w:val="none" w:sz="0" w:space="0" w:color="auto"/>
                                    <w:right w:val="none" w:sz="0" w:space="0" w:color="auto"/>
                                  </w:divBdr>
                                  <w:divsChild>
                                    <w:div w:id="238487663">
                                      <w:marLeft w:val="0"/>
                                      <w:marRight w:val="0"/>
                                      <w:marTop w:val="0"/>
                                      <w:marBottom w:val="0"/>
                                      <w:divBdr>
                                        <w:top w:val="none" w:sz="0" w:space="0" w:color="auto"/>
                                        <w:left w:val="none" w:sz="0" w:space="0" w:color="auto"/>
                                        <w:bottom w:val="none" w:sz="0" w:space="0" w:color="auto"/>
                                        <w:right w:val="none" w:sz="0" w:space="0" w:color="auto"/>
                                      </w:divBdr>
                                      <w:divsChild>
                                        <w:div w:id="752891691">
                                          <w:marLeft w:val="0"/>
                                          <w:marRight w:val="0"/>
                                          <w:marTop w:val="0"/>
                                          <w:marBottom w:val="0"/>
                                          <w:divBdr>
                                            <w:top w:val="none" w:sz="0" w:space="0" w:color="auto"/>
                                            <w:left w:val="none" w:sz="0" w:space="0" w:color="auto"/>
                                            <w:bottom w:val="none" w:sz="0" w:space="0" w:color="auto"/>
                                            <w:right w:val="none" w:sz="0" w:space="0" w:color="auto"/>
                                          </w:divBdr>
                                          <w:divsChild>
                                            <w:div w:id="1730152878">
                                              <w:marLeft w:val="0"/>
                                              <w:marRight w:val="0"/>
                                              <w:marTop w:val="0"/>
                                              <w:marBottom w:val="0"/>
                                              <w:divBdr>
                                                <w:top w:val="none" w:sz="0" w:space="0" w:color="auto"/>
                                                <w:left w:val="none" w:sz="0" w:space="0" w:color="auto"/>
                                                <w:bottom w:val="none" w:sz="0" w:space="0" w:color="auto"/>
                                                <w:right w:val="none" w:sz="0" w:space="0" w:color="auto"/>
                                              </w:divBdr>
                                              <w:divsChild>
                                                <w:div w:id="1814178605">
                                                  <w:marLeft w:val="0"/>
                                                  <w:marRight w:val="0"/>
                                                  <w:marTop w:val="0"/>
                                                  <w:marBottom w:val="0"/>
                                                  <w:divBdr>
                                                    <w:top w:val="none" w:sz="0" w:space="0" w:color="auto"/>
                                                    <w:left w:val="none" w:sz="0" w:space="0" w:color="auto"/>
                                                    <w:bottom w:val="none" w:sz="0" w:space="0" w:color="auto"/>
                                                    <w:right w:val="none" w:sz="0" w:space="0" w:color="auto"/>
                                                  </w:divBdr>
                                                  <w:divsChild>
                                                    <w:div w:id="1294287152">
                                                      <w:marLeft w:val="0"/>
                                                      <w:marRight w:val="0"/>
                                                      <w:marTop w:val="0"/>
                                                      <w:marBottom w:val="0"/>
                                                      <w:divBdr>
                                                        <w:top w:val="none" w:sz="0" w:space="0" w:color="auto"/>
                                                        <w:left w:val="none" w:sz="0" w:space="0" w:color="auto"/>
                                                        <w:bottom w:val="none" w:sz="0" w:space="0" w:color="auto"/>
                                                        <w:right w:val="none" w:sz="0" w:space="0" w:color="auto"/>
                                                      </w:divBdr>
                                                      <w:divsChild>
                                                        <w:div w:id="4864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0029898">
      <w:bodyDiv w:val="1"/>
      <w:marLeft w:val="0"/>
      <w:marRight w:val="0"/>
      <w:marTop w:val="0"/>
      <w:marBottom w:val="0"/>
      <w:divBdr>
        <w:top w:val="none" w:sz="0" w:space="0" w:color="auto"/>
        <w:left w:val="none" w:sz="0" w:space="0" w:color="auto"/>
        <w:bottom w:val="none" w:sz="0" w:space="0" w:color="auto"/>
        <w:right w:val="none" w:sz="0" w:space="0" w:color="auto"/>
      </w:divBdr>
    </w:div>
    <w:div w:id="1282151935">
      <w:bodyDiv w:val="1"/>
      <w:marLeft w:val="0"/>
      <w:marRight w:val="0"/>
      <w:marTop w:val="0"/>
      <w:marBottom w:val="0"/>
      <w:divBdr>
        <w:top w:val="none" w:sz="0" w:space="0" w:color="auto"/>
        <w:left w:val="none" w:sz="0" w:space="0" w:color="auto"/>
        <w:bottom w:val="none" w:sz="0" w:space="0" w:color="auto"/>
        <w:right w:val="none" w:sz="0" w:space="0" w:color="auto"/>
      </w:divBdr>
    </w:div>
    <w:div w:id="1305348669">
      <w:bodyDiv w:val="1"/>
      <w:marLeft w:val="0"/>
      <w:marRight w:val="0"/>
      <w:marTop w:val="0"/>
      <w:marBottom w:val="0"/>
      <w:divBdr>
        <w:top w:val="none" w:sz="0" w:space="0" w:color="auto"/>
        <w:left w:val="none" w:sz="0" w:space="0" w:color="auto"/>
        <w:bottom w:val="none" w:sz="0" w:space="0" w:color="auto"/>
        <w:right w:val="none" w:sz="0" w:space="0" w:color="auto"/>
      </w:divBdr>
    </w:div>
    <w:div w:id="1410619043">
      <w:bodyDiv w:val="1"/>
      <w:marLeft w:val="0"/>
      <w:marRight w:val="0"/>
      <w:marTop w:val="0"/>
      <w:marBottom w:val="0"/>
      <w:divBdr>
        <w:top w:val="none" w:sz="0" w:space="0" w:color="auto"/>
        <w:left w:val="none" w:sz="0" w:space="0" w:color="auto"/>
        <w:bottom w:val="none" w:sz="0" w:space="0" w:color="auto"/>
        <w:right w:val="none" w:sz="0" w:space="0" w:color="auto"/>
      </w:divBdr>
    </w:div>
    <w:div w:id="1476950187">
      <w:bodyDiv w:val="1"/>
      <w:marLeft w:val="0"/>
      <w:marRight w:val="0"/>
      <w:marTop w:val="0"/>
      <w:marBottom w:val="0"/>
      <w:divBdr>
        <w:top w:val="none" w:sz="0" w:space="0" w:color="auto"/>
        <w:left w:val="none" w:sz="0" w:space="0" w:color="auto"/>
        <w:bottom w:val="none" w:sz="0" w:space="0" w:color="auto"/>
        <w:right w:val="none" w:sz="0" w:space="0" w:color="auto"/>
      </w:divBdr>
      <w:divsChild>
        <w:div w:id="447352975">
          <w:marLeft w:val="0"/>
          <w:marRight w:val="0"/>
          <w:marTop w:val="0"/>
          <w:marBottom w:val="0"/>
          <w:divBdr>
            <w:top w:val="none" w:sz="0" w:space="0" w:color="auto"/>
            <w:left w:val="none" w:sz="0" w:space="0" w:color="auto"/>
            <w:bottom w:val="none" w:sz="0" w:space="0" w:color="auto"/>
            <w:right w:val="none" w:sz="0" w:space="0" w:color="auto"/>
          </w:divBdr>
          <w:divsChild>
            <w:div w:id="845100530">
              <w:marLeft w:val="0"/>
              <w:marRight w:val="0"/>
              <w:marTop w:val="0"/>
              <w:marBottom w:val="0"/>
              <w:divBdr>
                <w:top w:val="none" w:sz="0" w:space="0" w:color="auto"/>
                <w:left w:val="none" w:sz="0" w:space="0" w:color="auto"/>
                <w:bottom w:val="none" w:sz="0" w:space="0" w:color="auto"/>
                <w:right w:val="none" w:sz="0" w:space="0" w:color="auto"/>
              </w:divBdr>
              <w:divsChild>
                <w:div w:id="663631664">
                  <w:marLeft w:val="0"/>
                  <w:marRight w:val="0"/>
                  <w:marTop w:val="0"/>
                  <w:marBottom w:val="0"/>
                  <w:divBdr>
                    <w:top w:val="none" w:sz="0" w:space="0" w:color="auto"/>
                    <w:left w:val="none" w:sz="0" w:space="0" w:color="auto"/>
                    <w:bottom w:val="none" w:sz="0" w:space="0" w:color="auto"/>
                    <w:right w:val="none" w:sz="0" w:space="0" w:color="auto"/>
                  </w:divBdr>
                  <w:divsChild>
                    <w:div w:id="880869947">
                      <w:marLeft w:val="0"/>
                      <w:marRight w:val="0"/>
                      <w:marTop w:val="0"/>
                      <w:marBottom w:val="0"/>
                      <w:divBdr>
                        <w:top w:val="none" w:sz="0" w:space="0" w:color="auto"/>
                        <w:left w:val="none" w:sz="0" w:space="0" w:color="auto"/>
                        <w:bottom w:val="none" w:sz="0" w:space="0" w:color="auto"/>
                        <w:right w:val="none" w:sz="0" w:space="0" w:color="auto"/>
                      </w:divBdr>
                      <w:divsChild>
                        <w:div w:id="581305245">
                          <w:marLeft w:val="0"/>
                          <w:marRight w:val="0"/>
                          <w:marTop w:val="0"/>
                          <w:marBottom w:val="0"/>
                          <w:divBdr>
                            <w:top w:val="none" w:sz="0" w:space="0" w:color="auto"/>
                            <w:left w:val="none" w:sz="0" w:space="0" w:color="auto"/>
                            <w:bottom w:val="none" w:sz="0" w:space="0" w:color="auto"/>
                            <w:right w:val="none" w:sz="0" w:space="0" w:color="auto"/>
                          </w:divBdr>
                          <w:divsChild>
                            <w:div w:id="1352605912">
                              <w:marLeft w:val="0"/>
                              <w:marRight w:val="0"/>
                              <w:marTop w:val="0"/>
                              <w:marBottom w:val="0"/>
                              <w:divBdr>
                                <w:top w:val="single" w:sz="6" w:space="0" w:color="828282"/>
                                <w:left w:val="single" w:sz="6" w:space="0" w:color="828282"/>
                                <w:bottom w:val="single" w:sz="6" w:space="0" w:color="828282"/>
                                <w:right w:val="single" w:sz="6" w:space="0" w:color="828282"/>
                              </w:divBdr>
                              <w:divsChild>
                                <w:div w:id="14696441">
                                  <w:marLeft w:val="0"/>
                                  <w:marRight w:val="0"/>
                                  <w:marTop w:val="0"/>
                                  <w:marBottom w:val="0"/>
                                  <w:divBdr>
                                    <w:top w:val="none" w:sz="0" w:space="0" w:color="auto"/>
                                    <w:left w:val="none" w:sz="0" w:space="0" w:color="auto"/>
                                    <w:bottom w:val="none" w:sz="0" w:space="0" w:color="auto"/>
                                    <w:right w:val="none" w:sz="0" w:space="0" w:color="auto"/>
                                  </w:divBdr>
                                  <w:divsChild>
                                    <w:div w:id="358505702">
                                      <w:marLeft w:val="0"/>
                                      <w:marRight w:val="0"/>
                                      <w:marTop w:val="0"/>
                                      <w:marBottom w:val="0"/>
                                      <w:divBdr>
                                        <w:top w:val="none" w:sz="0" w:space="0" w:color="auto"/>
                                        <w:left w:val="none" w:sz="0" w:space="0" w:color="auto"/>
                                        <w:bottom w:val="none" w:sz="0" w:space="0" w:color="auto"/>
                                        <w:right w:val="none" w:sz="0" w:space="0" w:color="auto"/>
                                      </w:divBdr>
                                      <w:divsChild>
                                        <w:div w:id="748189898">
                                          <w:marLeft w:val="0"/>
                                          <w:marRight w:val="0"/>
                                          <w:marTop w:val="0"/>
                                          <w:marBottom w:val="0"/>
                                          <w:divBdr>
                                            <w:top w:val="none" w:sz="0" w:space="0" w:color="auto"/>
                                            <w:left w:val="none" w:sz="0" w:space="0" w:color="auto"/>
                                            <w:bottom w:val="none" w:sz="0" w:space="0" w:color="auto"/>
                                            <w:right w:val="none" w:sz="0" w:space="0" w:color="auto"/>
                                          </w:divBdr>
                                          <w:divsChild>
                                            <w:div w:id="1719812977">
                                              <w:marLeft w:val="0"/>
                                              <w:marRight w:val="0"/>
                                              <w:marTop w:val="0"/>
                                              <w:marBottom w:val="0"/>
                                              <w:divBdr>
                                                <w:top w:val="none" w:sz="0" w:space="0" w:color="auto"/>
                                                <w:left w:val="none" w:sz="0" w:space="0" w:color="auto"/>
                                                <w:bottom w:val="none" w:sz="0" w:space="0" w:color="auto"/>
                                                <w:right w:val="none" w:sz="0" w:space="0" w:color="auto"/>
                                              </w:divBdr>
                                              <w:divsChild>
                                                <w:div w:id="156649286">
                                                  <w:marLeft w:val="0"/>
                                                  <w:marRight w:val="0"/>
                                                  <w:marTop w:val="0"/>
                                                  <w:marBottom w:val="0"/>
                                                  <w:divBdr>
                                                    <w:top w:val="none" w:sz="0" w:space="0" w:color="auto"/>
                                                    <w:left w:val="none" w:sz="0" w:space="0" w:color="auto"/>
                                                    <w:bottom w:val="none" w:sz="0" w:space="0" w:color="auto"/>
                                                    <w:right w:val="none" w:sz="0" w:space="0" w:color="auto"/>
                                                  </w:divBdr>
                                                  <w:divsChild>
                                                    <w:div w:id="1967461965">
                                                      <w:marLeft w:val="0"/>
                                                      <w:marRight w:val="0"/>
                                                      <w:marTop w:val="0"/>
                                                      <w:marBottom w:val="0"/>
                                                      <w:divBdr>
                                                        <w:top w:val="none" w:sz="0" w:space="0" w:color="auto"/>
                                                        <w:left w:val="none" w:sz="0" w:space="0" w:color="auto"/>
                                                        <w:bottom w:val="none" w:sz="0" w:space="0" w:color="auto"/>
                                                        <w:right w:val="none" w:sz="0" w:space="0" w:color="auto"/>
                                                      </w:divBdr>
                                                      <w:divsChild>
                                                        <w:div w:id="16973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5933829">
      <w:bodyDiv w:val="1"/>
      <w:marLeft w:val="0"/>
      <w:marRight w:val="0"/>
      <w:marTop w:val="0"/>
      <w:marBottom w:val="0"/>
      <w:divBdr>
        <w:top w:val="none" w:sz="0" w:space="0" w:color="auto"/>
        <w:left w:val="none" w:sz="0" w:space="0" w:color="auto"/>
        <w:bottom w:val="none" w:sz="0" w:space="0" w:color="auto"/>
        <w:right w:val="none" w:sz="0" w:space="0" w:color="auto"/>
      </w:divBdr>
      <w:divsChild>
        <w:div w:id="1368338882">
          <w:marLeft w:val="0"/>
          <w:marRight w:val="0"/>
          <w:marTop w:val="0"/>
          <w:marBottom w:val="0"/>
          <w:divBdr>
            <w:top w:val="none" w:sz="0" w:space="0" w:color="auto"/>
            <w:left w:val="none" w:sz="0" w:space="0" w:color="auto"/>
            <w:bottom w:val="none" w:sz="0" w:space="0" w:color="auto"/>
            <w:right w:val="none" w:sz="0" w:space="0" w:color="auto"/>
          </w:divBdr>
          <w:divsChild>
            <w:div w:id="1241409008">
              <w:marLeft w:val="0"/>
              <w:marRight w:val="0"/>
              <w:marTop w:val="0"/>
              <w:marBottom w:val="0"/>
              <w:divBdr>
                <w:top w:val="none" w:sz="0" w:space="0" w:color="auto"/>
                <w:left w:val="none" w:sz="0" w:space="0" w:color="auto"/>
                <w:bottom w:val="none" w:sz="0" w:space="0" w:color="auto"/>
                <w:right w:val="none" w:sz="0" w:space="0" w:color="auto"/>
              </w:divBdr>
              <w:divsChild>
                <w:div w:id="1774592034">
                  <w:marLeft w:val="0"/>
                  <w:marRight w:val="0"/>
                  <w:marTop w:val="0"/>
                  <w:marBottom w:val="0"/>
                  <w:divBdr>
                    <w:top w:val="none" w:sz="0" w:space="0" w:color="auto"/>
                    <w:left w:val="none" w:sz="0" w:space="0" w:color="auto"/>
                    <w:bottom w:val="none" w:sz="0" w:space="0" w:color="auto"/>
                    <w:right w:val="none" w:sz="0" w:space="0" w:color="auto"/>
                  </w:divBdr>
                  <w:divsChild>
                    <w:div w:id="1521893270">
                      <w:marLeft w:val="0"/>
                      <w:marRight w:val="0"/>
                      <w:marTop w:val="0"/>
                      <w:marBottom w:val="0"/>
                      <w:divBdr>
                        <w:top w:val="none" w:sz="0" w:space="0" w:color="auto"/>
                        <w:left w:val="none" w:sz="0" w:space="0" w:color="auto"/>
                        <w:bottom w:val="none" w:sz="0" w:space="0" w:color="auto"/>
                        <w:right w:val="none" w:sz="0" w:space="0" w:color="auto"/>
                      </w:divBdr>
                      <w:divsChild>
                        <w:div w:id="1656831750">
                          <w:marLeft w:val="0"/>
                          <w:marRight w:val="0"/>
                          <w:marTop w:val="0"/>
                          <w:marBottom w:val="0"/>
                          <w:divBdr>
                            <w:top w:val="none" w:sz="0" w:space="0" w:color="auto"/>
                            <w:left w:val="none" w:sz="0" w:space="0" w:color="auto"/>
                            <w:bottom w:val="none" w:sz="0" w:space="0" w:color="auto"/>
                            <w:right w:val="none" w:sz="0" w:space="0" w:color="auto"/>
                          </w:divBdr>
                          <w:divsChild>
                            <w:div w:id="2022971626">
                              <w:marLeft w:val="0"/>
                              <w:marRight w:val="0"/>
                              <w:marTop w:val="0"/>
                              <w:marBottom w:val="0"/>
                              <w:divBdr>
                                <w:top w:val="none" w:sz="0" w:space="0" w:color="auto"/>
                                <w:left w:val="none" w:sz="0" w:space="0" w:color="auto"/>
                                <w:bottom w:val="none" w:sz="0" w:space="0" w:color="auto"/>
                                <w:right w:val="none" w:sz="0" w:space="0" w:color="auto"/>
                              </w:divBdr>
                              <w:divsChild>
                                <w:div w:id="1894267648">
                                  <w:marLeft w:val="0"/>
                                  <w:marRight w:val="0"/>
                                  <w:marTop w:val="0"/>
                                  <w:marBottom w:val="0"/>
                                  <w:divBdr>
                                    <w:top w:val="none" w:sz="0" w:space="0" w:color="auto"/>
                                    <w:left w:val="none" w:sz="0" w:space="0" w:color="auto"/>
                                    <w:bottom w:val="none" w:sz="0" w:space="0" w:color="auto"/>
                                    <w:right w:val="none" w:sz="0" w:space="0" w:color="auto"/>
                                  </w:divBdr>
                                  <w:divsChild>
                                    <w:div w:id="1077478230">
                                      <w:marLeft w:val="0"/>
                                      <w:marRight w:val="0"/>
                                      <w:marTop w:val="0"/>
                                      <w:marBottom w:val="0"/>
                                      <w:divBdr>
                                        <w:top w:val="none" w:sz="0" w:space="0" w:color="auto"/>
                                        <w:left w:val="none" w:sz="0" w:space="0" w:color="auto"/>
                                        <w:bottom w:val="none" w:sz="0" w:space="0" w:color="auto"/>
                                        <w:right w:val="none" w:sz="0" w:space="0" w:color="auto"/>
                                      </w:divBdr>
                                      <w:divsChild>
                                        <w:div w:id="1546478260">
                                          <w:marLeft w:val="0"/>
                                          <w:marRight w:val="0"/>
                                          <w:marTop w:val="0"/>
                                          <w:marBottom w:val="0"/>
                                          <w:divBdr>
                                            <w:top w:val="none" w:sz="0" w:space="0" w:color="auto"/>
                                            <w:left w:val="none" w:sz="0" w:space="0" w:color="auto"/>
                                            <w:bottom w:val="none" w:sz="0" w:space="0" w:color="auto"/>
                                            <w:right w:val="none" w:sz="0" w:space="0" w:color="auto"/>
                                          </w:divBdr>
                                          <w:divsChild>
                                            <w:div w:id="1506240772">
                                              <w:marLeft w:val="0"/>
                                              <w:marRight w:val="0"/>
                                              <w:marTop w:val="0"/>
                                              <w:marBottom w:val="0"/>
                                              <w:divBdr>
                                                <w:top w:val="none" w:sz="0" w:space="0" w:color="auto"/>
                                                <w:left w:val="none" w:sz="0" w:space="0" w:color="auto"/>
                                                <w:bottom w:val="none" w:sz="0" w:space="0" w:color="auto"/>
                                                <w:right w:val="none" w:sz="0" w:space="0" w:color="auto"/>
                                              </w:divBdr>
                                              <w:divsChild>
                                                <w:div w:id="249317046">
                                                  <w:marLeft w:val="0"/>
                                                  <w:marRight w:val="0"/>
                                                  <w:marTop w:val="0"/>
                                                  <w:marBottom w:val="0"/>
                                                  <w:divBdr>
                                                    <w:top w:val="none" w:sz="0" w:space="0" w:color="auto"/>
                                                    <w:left w:val="none" w:sz="0" w:space="0" w:color="auto"/>
                                                    <w:bottom w:val="none" w:sz="0" w:space="0" w:color="auto"/>
                                                    <w:right w:val="none" w:sz="0" w:space="0" w:color="auto"/>
                                                  </w:divBdr>
                                                  <w:divsChild>
                                                    <w:div w:id="1627196717">
                                                      <w:marLeft w:val="0"/>
                                                      <w:marRight w:val="0"/>
                                                      <w:marTop w:val="0"/>
                                                      <w:marBottom w:val="0"/>
                                                      <w:divBdr>
                                                        <w:top w:val="none" w:sz="0" w:space="0" w:color="auto"/>
                                                        <w:left w:val="none" w:sz="0" w:space="0" w:color="auto"/>
                                                        <w:bottom w:val="none" w:sz="0" w:space="0" w:color="auto"/>
                                                        <w:right w:val="none" w:sz="0" w:space="0" w:color="auto"/>
                                                      </w:divBdr>
                                                      <w:divsChild>
                                                        <w:div w:id="1515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8648784">
      <w:bodyDiv w:val="1"/>
      <w:marLeft w:val="0"/>
      <w:marRight w:val="0"/>
      <w:marTop w:val="0"/>
      <w:marBottom w:val="0"/>
      <w:divBdr>
        <w:top w:val="none" w:sz="0" w:space="0" w:color="auto"/>
        <w:left w:val="none" w:sz="0" w:space="0" w:color="auto"/>
        <w:bottom w:val="none" w:sz="0" w:space="0" w:color="auto"/>
        <w:right w:val="none" w:sz="0" w:space="0" w:color="auto"/>
      </w:divBdr>
    </w:div>
    <w:div w:id="2002391318">
      <w:bodyDiv w:val="1"/>
      <w:marLeft w:val="0"/>
      <w:marRight w:val="0"/>
      <w:marTop w:val="0"/>
      <w:marBottom w:val="0"/>
      <w:divBdr>
        <w:top w:val="none" w:sz="0" w:space="0" w:color="auto"/>
        <w:left w:val="none" w:sz="0" w:space="0" w:color="auto"/>
        <w:bottom w:val="none" w:sz="0" w:space="0" w:color="auto"/>
        <w:right w:val="none" w:sz="0" w:space="0" w:color="auto"/>
      </w:divBdr>
      <w:divsChild>
        <w:div w:id="143593826">
          <w:marLeft w:val="0"/>
          <w:marRight w:val="0"/>
          <w:marTop w:val="0"/>
          <w:marBottom w:val="0"/>
          <w:divBdr>
            <w:top w:val="none" w:sz="0" w:space="0" w:color="auto"/>
            <w:left w:val="none" w:sz="0" w:space="0" w:color="auto"/>
            <w:bottom w:val="none" w:sz="0" w:space="0" w:color="auto"/>
            <w:right w:val="none" w:sz="0" w:space="0" w:color="auto"/>
          </w:divBdr>
          <w:divsChild>
            <w:div w:id="1492065649">
              <w:marLeft w:val="0"/>
              <w:marRight w:val="0"/>
              <w:marTop w:val="0"/>
              <w:marBottom w:val="0"/>
              <w:divBdr>
                <w:top w:val="none" w:sz="0" w:space="0" w:color="auto"/>
                <w:left w:val="none" w:sz="0" w:space="0" w:color="auto"/>
                <w:bottom w:val="none" w:sz="0" w:space="0" w:color="auto"/>
                <w:right w:val="none" w:sz="0" w:space="0" w:color="auto"/>
              </w:divBdr>
              <w:divsChild>
                <w:div w:id="1718435199">
                  <w:marLeft w:val="0"/>
                  <w:marRight w:val="0"/>
                  <w:marTop w:val="0"/>
                  <w:marBottom w:val="0"/>
                  <w:divBdr>
                    <w:top w:val="none" w:sz="0" w:space="0" w:color="auto"/>
                    <w:left w:val="none" w:sz="0" w:space="0" w:color="auto"/>
                    <w:bottom w:val="none" w:sz="0" w:space="0" w:color="auto"/>
                    <w:right w:val="none" w:sz="0" w:space="0" w:color="auto"/>
                  </w:divBdr>
                  <w:divsChild>
                    <w:div w:id="77021605">
                      <w:marLeft w:val="0"/>
                      <w:marRight w:val="0"/>
                      <w:marTop w:val="0"/>
                      <w:marBottom w:val="0"/>
                      <w:divBdr>
                        <w:top w:val="none" w:sz="0" w:space="0" w:color="auto"/>
                        <w:left w:val="none" w:sz="0" w:space="0" w:color="auto"/>
                        <w:bottom w:val="none" w:sz="0" w:space="0" w:color="auto"/>
                        <w:right w:val="none" w:sz="0" w:space="0" w:color="auto"/>
                      </w:divBdr>
                      <w:divsChild>
                        <w:div w:id="967590396">
                          <w:marLeft w:val="0"/>
                          <w:marRight w:val="0"/>
                          <w:marTop w:val="0"/>
                          <w:marBottom w:val="0"/>
                          <w:divBdr>
                            <w:top w:val="none" w:sz="0" w:space="0" w:color="auto"/>
                            <w:left w:val="none" w:sz="0" w:space="0" w:color="auto"/>
                            <w:bottom w:val="none" w:sz="0" w:space="0" w:color="auto"/>
                            <w:right w:val="none" w:sz="0" w:space="0" w:color="auto"/>
                          </w:divBdr>
                          <w:divsChild>
                            <w:div w:id="227427321">
                              <w:marLeft w:val="0"/>
                              <w:marRight w:val="0"/>
                              <w:marTop w:val="0"/>
                              <w:marBottom w:val="0"/>
                              <w:divBdr>
                                <w:top w:val="none" w:sz="0" w:space="0" w:color="auto"/>
                                <w:left w:val="none" w:sz="0" w:space="0" w:color="auto"/>
                                <w:bottom w:val="none" w:sz="0" w:space="0" w:color="auto"/>
                                <w:right w:val="none" w:sz="0" w:space="0" w:color="auto"/>
                              </w:divBdr>
                              <w:divsChild>
                                <w:div w:id="753891030">
                                  <w:marLeft w:val="0"/>
                                  <w:marRight w:val="0"/>
                                  <w:marTop w:val="0"/>
                                  <w:marBottom w:val="0"/>
                                  <w:divBdr>
                                    <w:top w:val="none" w:sz="0" w:space="0" w:color="auto"/>
                                    <w:left w:val="none" w:sz="0" w:space="0" w:color="auto"/>
                                    <w:bottom w:val="none" w:sz="0" w:space="0" w:color="auto"/>
                                    <w:right w:val="none" w:sz="0" w:space="0" w:color="auto"/>
                                  </w:divBdr>
                                  <w:divsChild>
                                    <w:div w:id="496657306">
                                      <w:marLeft w:val="0"/>
                                      <w:marRight w:val="0"/>
                                      <w:marTop w:val="0"/>
                                      <w:marBottom w:val="0"/>
                                      <w:divBdr>
                                        <w:top w:val="none" w:sz="0" w:space="0" w:color="auto"/>
                                        <w:left w:val="none" w:sz="0" w:space="0" w:color="auto"/>
                                        <w:bottom w:val="none" w:sz="0" w:space="0" w:color="auto"/>
                                        <w:right w:val="none" w:sz="0" w:space="0" w:color="auto"/>
                                      </w:divBdr>
                                      <w:divsChild>
                                        <w:div w:id="459880392">
                                          <w:marLeft w:val="0"/>
                                          <w:marRight w:val="0"/>
                                          <w:marTop w:val="0"/>
                                          <w:marBottom w:val="0"/>
                                          <w:divBdr>
                                            <w:top w:val="none" w:sz="0" w:space="0" w:color="auto"/>
                                            <w:left w:val="none" w:sz="0" w:space="0" w:color="auto"/>
                                            <w:bottom w:val="none" w:sz="0" w:space="0" w:color="auto"/>
                                            <w:right w:val="none" w:sz="0" w:space="0" w:color="auto"/>
                                          </w:divBdr>
                                          <w:divsChild>
                                            <w:div w:id="2014338495">
                                              <w:marLeft w:val="0"/>
                                              <w:marRight w:val="0"/>
                                              <w:marTop w:val="0"/>
                                              <w:marBottom w:val="0"/>
                                              <w:divBdr>
                                                <w:top w:val="none" w:sz="0" w:space="0" w:color="auto"/>
                                                <w:left w:val="none" w:sz="0" w:space="0" w:color="auto"/>
                                                <w:bottom w:val="none" w:sz="0" w:space="0" w:color="auto"/>
                                                <w:right w:val="none" w:sz="0" w:space="0" w:color="auto"/>
                                              </w:divBdr>
                                              <w:divsChild>
                                                <w:div w:id="1917085940">
                                                  <w:marLeft w:val="0"/>
                                                  <w:marRight w:val="0"/>
                                                  <w:marTop w:val="0"/>
                                                  <w:marBottom w:val="0"/>
                                                  <w:divBdr>
                                                    <w:top w:val="none" w:sz="0" w:space="0" w:color="auto"/>
                                                    <w:left w:val="none" w:sz="0" w:space="0" w:color="auto"/>
                                                    <w:bottom w:val="none" w:sz="0" w:space="0" w:color="auto"/>
                                                    <w:right w:val="none" w:sz="0" w:space="0" w:color="auto"/>
                                                  </w:divBdr>
                                                  <w:divsChild>
                                                    <w:div w:id="1608390437">
                                                      <w:marLeft w:val="0"/>
                                                      <w:marRight w:val="0"/>
                                                      <w:marTop w:val="0"/>
                                                      <w:marBottom w:val="0"/>
                                                      <w:divBdr>
                                                        <w:top w:val="none" w:sz="0" w:space="0" w:color="auto"/>
                                                        <w:left w:val="none" w:sz="0" w:space="0" w:color="auto"/>
                                                        <w:bottom w:val="none" w:sz="0" w:space="0" w:color="auto"/>
                                                        <w:right w:val="none" w:sz="0" w:space="0" w:color="auto"/>
                                                      </w:divBdr>
                                                      <w:divsChild>
                                                        <w:div w:id="7126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937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armacopoeia.com/" TargetMode="External"/><Relationship Id="rId13" Type="http://schemas.openxmlformats.org/officeDocument/2006/relationships/hyperlink" Target="http://www.rehydrate.org/ors/expert-consultation.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t.n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odchemicalscodex.org/" TargetMode="External"/><Relationship Id="rId5" Type="http://schemas.openxmlformats.org/officeDocument/2006/relationships/webSettings" Target="webSettings.xml"/><Relationship Id="rId15" Type="http://schemas.openxmlformats.org/officeDocument/2006/relationships/hyperlink" Target="http://www.openlibrary.org/books/OL22071008M/European_pharmacopoeia" TargetMode="External"/><Relationship Id="rId10" Type="http://schemas.openxmlformats.org/officeDocument/2006/relationships/hyperlink" Target="http://www.uspnf.com/" TargetMode="External"/><Relationship Id="rId4" Type="http://schemas.openxmlformats.org/officeDocument/2006/relationships/settings" Target="settings.xml"/><Relationship Id="rId9" Type="http://schemas.openxmlformats.org/officeDocument/2006/relationships/hyperlink" Target="https://pheur.edqm.eu/home" TargetMode="External"/><Relationship Id="rId14" Type="http://schemas.openxmlformats.org/officeDocument/2006/relationships/hyperlink" Target="http://www.trove.nl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13A3B-FAFB-4980-A65B-B4ED773AF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3554</Words>
  <Characters>20261</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DEEBLE, Susan</dc:creator>
  <cp:lastModifiedBy>MCDONALD, Jess</cp:lastModifiedBy>
  <cp:revision>2</cp:revision>
  <dcterms:created xsi:type="dcterms:W3CDTF">2022-03-31T06:23:00Z</dcterms:created>
  <dcterms:modified xsi:type="dcterms:W3CDTF">2022-03-31T06:23:00Z</dcterms:modified>
</cp:coreProperties>
</file>