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86DE2" w14:textId="77777777" w:rsidR="00202381" w:rsidRDefault="00202381" w:rsidP="00FE2452"/>
    <w:p w14:paraId="429C62B3" w14:textId="77777777" w:rsidR="003A6026" w:rsidRPr="00DD7810" w:rsidRDefault="003A6026" w:rsidP="003A6026">
      <w:pPr>
        <w:jc w:val="center"/>
        <w:rPr>
          <w:b/>
          <w:u w:val="single"/>
        </w:rPr>
      </w:pPr>
      <w:r w:rsidRPr="00DD7810">
        <w:rPr>
          <w:b/>
          <w:u w:val="single"/>
        </w:rPr>
        <w:t>EXPLANATORY STATEMENT</w:t>
      </w:r>
    </w:p>
    <w:p w14:paraId="04834094" w14:textId="77777777" w:rsidR="003A6026" w:rsidRPr="00DD7810" w:rsidRDefault="003A6026" w:rsidP="003A6026">
      <w:pPr>
        <w:jc w:val="center"/>
        <w:rPr>
          <w:b/>
          <w:u w:val="single"/>
        </w:rPr>
      </w:pPr>
    </w:p>
    <w:p w14:paraId="3A510F2F" w14:textId="29F110CD" w:rsidR="003A6026" w:rsidRPr="00DD7810" w:rsidRDefault="007567FF" w:rsidP="00AB1D6C">
      <w:pPr>
        <w:jc w:val="center"/>
        <w:rPr>
          <w:b/>
          <w:i/>
        </w:rPr>
      </w:pPr>
      <w:r w:rsidRPr="00DD7810">
        <w:rPr>
          <w:b/>
          <w:i/>
        </w:rPr>
        <w:t>Biosecurity Act 2015</w:t>
      </w:r>
    </w:p>
    <w:p w14:paraId="52C0585D" w14:textId="77777777" w:rsidR="003A6026" w:rsidRPr="00DD7810" w:rsidRDefault="003A6026" w:rsidP="003A6026">
      <w:pPr>
        <w:rPr>
          <w:b/>
        </w:rPr>
      </w:pPr>
    </w:p>
    <w:p w14:paraId="2706BBAE" w14:textId="34D6BDAB" w:rsidR="00D24822" w:rsidRPr="00DD7810" w:rsidRDefault="00A526C2" w:rsidP="00AB1D6C">
      <w:pPr>
        <w:jc w:val="center"/>
        <w:rPr>
          <w:b/>
          <w:i/>
        </w:rPr>
      </w:pPr>
      <w:bookmarkStart w:id="0" w:name="_Hlk98493647"/>
      <w:r w:rsidRPr="00DD7810">
        <w:rPr>
          <w:b/>
          <w:i/>
        </w:rPr>
        <w:t>Biosecurity (Entry Requirements—Human Coronavirus with Pandemic Potential) Amendment (No. 1) Determination 2022</w:t>
      </w:r>
    </w:p>
    <w:p w14:paraId="2D371F97" w14:textId="77777777" w:rsidR="00A526C2" w:rsidRPr="00DD7810" w:rsidRDefault="00A526C2" w:rsidP="00AB1D6C">
      <w:pPr>
        <w:jc w:val="center"/>
        <w:rPr>
          <w:b/>
          <w:i/>
        </w:rPr>
      </w:pPr>
    </w:p>
    <w:p w14:paraId="5C632250" w14:textId="60D86072" w:rsidR="00D24822" w:rsidRPr="00DD7810" w:rsidRDefault="008A5948" w:rsidP="00AB1D6C">
      <w:pPr>
        <w:jc w:val="center"/>
        <w:rPr>
          <w:b/>
          <w:bCs/>
        </w:rPr>
      </w:pPr>
      <w:r w:rsidRPr="00DD7810">
        <w:rPr>
          <w:b/>
          <w:bCs/>
          <w:i/>
          <w:iCs/>
        </w:rPr>
        <w:t>Biosecurity (Exit Requirements) Determination 2022</w:t>
      </w:r>
    </w:p>
    <w:p w14:paraId="1CC046F4" w14:textId="77777777" w:rsidR="00C546D6" w:rsidRPr="00DD7810" w:rsidRDefault="00C546D6" w:rsidP="003A6026">
      <w:pPr>
        <w:rPr>
          <w:b/>
        </w:rPr>
      </w:pPr>
      <w:bookmarkStart w:id="1" w:name="_Hlk98495051"/>
      <w:bookmarkEnd w:id="0"/>
      <w:r w:rsidRPr="00DD7810">
        <w:rPr>
          <w:b/>
        </w:rPr>
        <w:t>Purpose</w:t>
      </w:r>
    </w:p>
    <w:p w14:paraId="176EC214" w14:textId="77777777" w:rsidR="00C546D6" w:rsidRPr="00DD7810" w:rsidRDefault="00C546D6" w:rsidP="003A6026"/>
    <w:p w14:paraId="56991F1A" w14:textId="32072176" w:rsidR="001454C2" w:rsidRPr="00DD7810" w:rsidRDefault="00D27046" w:rsidP="0029357D">
      <w:r w:rsidRPr="00DD7810">
        <w:t>These amendments</w:t>
      </w:r>
      <w:r w:rsidR="004A6BB7" w:rsidRPr="00DD7810">
        <w:t xml:space="preserve"> change the existing entry requirements and ma</w:t>
      </w:r>
      <w:r w:rsidR="001E60A2" w:rsidRPr="00DD7810">
        <w:t>k</w:t>
      </w:r>
      <w:r w:rsidR="004A6BB7" w:rsidRPr="00DD7810">
        <w:t>e a new exit requirement i</w:t>
      </w:r>
      <w:r w:rsidR="00917356" w:rsidRPr="00DD7810">
        <w:t>n line with Australia’s next phase to responding to the COVID-19 pandemic in the context of Australia’s high vaccination rates and the resumption of international travel</w:t>
      </w:r>
      <w:r w:rsidR="00092E45" w:rsidRPr="00DD7810">
        <w:t xml:space="preserve">. </w:t>
      </w:r>
    </w:p>
    <w:p w14:paraId="196F6780" w14:textId="77777777" w:rsidR="001454C2" w:rsidRPr="00DD7810" w:rsidRDefault="001454C2" w:rsidP="0029357D"/>
    <w:p w14:paraId="1EABB95F" w14:textId="7FD39E54" w:rsidR="00C5016E" w:rsidRPr="00DD7810" w:rsidRDefault="00C5016E" w:rsidP="0029357D">
      <w:r w:rsidRPr="00DD7810">
        <w:t>The</w:t>
      </w:r>
      <w:r w:rsidR="00092E45" w:rsidRPr="00DD7810">
        <w:t xml:space="preserve"> amendments to the existing entry requirement</w:t>
      </w:r>
      <w:r w:rsidR="004A6BB7" w:rsidRPr="00DD7810">
        <w:t>s</w:t>
      </w:r>
      <w:r w:rsidR="00092E45" w:rsidRPr="00DD7810">
        <w:t xml:space="preserve"> remove</w:t>
      </w:r>
      <w:r w:rsidR="004A6BB7" w:rsidRPr="00DD7810">
        <w:t xml:space="preserve"> a number of the </w:t>
      </w:r>
      <w:r w:rsidR="00092E45" w:rsidRPr="00DD7810">
        <w:t xml:space="preserve">requirements </w:t>
      </w:r>
      <w:r w:rsidR="004A6BB7" w:rsidRPr="00DD7810">
        <w:t xml:space="preserve">for </w:t>
      </w:r>
      <w:r w:rsidR="00092E45" w:rsidRPr="00DD7810">
        <w:t xml:space="preserve">international </w:t>
      </w:r>
      <w:r w:rsidR="004A6BB7" w:rsidRPr="00DD7810">
        <w:t xml:space="preserve">travel </w:t>
      </w:r>
      <w:r w:rsidR="00092E45" w:rsidRPr="00DD7810">
        <w:t>by air</w:t>
      </w:r>
      <w:r w:rsidR="00440C91" w:rsidRPr="00DD7810">
        <w:t xml:space="preserve"> </w:t>
      </w:r>
      <w:r w:rsidR="00092E45" w:rsidRPr="00DD7810">
        <w:t>and establish</w:t>
      </w:r>
      <w:r w:rsidR="004A6BB7" w:rsidRPr="00DD7810">
        <w:t xml:space="preserve"> similar</w:t>
      </w:r>
      <w:r w:rsidR="00092E45" w:rsidRPr="00DD7810">
        <w:t xml:space="preserve"> requirements for international </w:t>
      </w:r>
      <w:r w:rsidR="004A6BB7" w:rsidRPr="00DD7810">
        <w:t xml:space="preserve">travel </w:t>
      </w:r>
      <w:r w:rsidR="00092E45" w:rsidRPr="00DD7810">
        <w:t xml:space="preserve">by sea. </w:t>
      </w:r>
      <w:r w:rsidRPr="00DD7810">
        <w:t>These changes will help maintain the integrity of Australia’s border when responding to the COVID-19 pandemic</w:t>
      </w:r>
      <w:r w:rsidR="004A6BB7" w:rsidRPr="00DD7810">
        <w:t xml:space="preserve"> in a measured and proportionate way.</w:t>
      </w:r>
      <w:r w:rsidRPr="00DD7810">
        <w:t xml:space="preserve"> </w:t>
      </w:r>
    </w:p>
    <w:p w14:paraId="5AF32010" w14:textId="3C21E905" w:rsidR="00C5016E" w:rsidRPr="00DD7810" w:rsidRDefault="00C5016E" w:rsidP="0029357D"/>
    <w:p w14:paraId="7BF52B2C" w14:textId="4789F9F4" w:rsidR="00C5016E" w:rsidRPr="00DD7810" w:rsidRDefault="00C5016E" w:rsidP="0029357D">
      <w:r w:rsidRPr="00DD7810">
        <w:t xml:space="preserve">The Health Minister, on advice from the Chief Medical Officer, has also made a new exit requirement </w:t>
      </w:r>
      <w:r w:rsidR="004A6BB7" w:rsidRPr="00DD7810">
        <w:t xml:space="preserve">to commence after the Overseas Travel Ban is lifted to require outgoing travellers to </w:t>
      </w:r>
      <w:r w:rsidR="001E60A2" w:rsidRPr="00DD7810">
        <w:t>provide</w:t>
      </w:r>
      <w:r w:rsidR="004A6BB7" w:rsidRPr="00DD7810">
        <w:t xml:space="preserve"> their vaccination status </w:t>
      </w:r>
      <w:r w:rsidR="001454C2" w:rsidRPr="00DD7810">
        <w:t>to a relevant official upon request</w:t>
      </w:r>
      <w:r w:rsidR="00DB03D1" w:rsidRPr="00DD7810">
        <w:t>.</w:t>
      </w:r>
      <w:r w:rsidR="001E60A2" w:rsidRPr="00DD7810">
        <w:t xml:space="preserve"> </w:t>
      </w:r>
      <w:r w:rsidR="00DB03D1" w:rsidRPr="00DD7810">
        <w:t>T</w:t>
      </w:r>
      <w:r w:rsidR="001E60A2" w:rsidRPr="00DD7810">
        <w:t xml:space="preserve">his will compliment airline policies not to uplift unvaccinated travellers. </w:t>
      </w:r>
    </w:p>
    <w:p w14:paraId="09D102A0" w14:textId="0619A5E7" w:rsidR="00917356" w:rsidRPr="00DD7810" w:rsidRDefault="00917356" w:rsidP="0029357D"/>
    <w:p w14:paraId="06C9D1BD" w14:textId="5D25AFAA" w:rsidR="002B378B" w:rsidRPr="00DD7810" w:rsidRDefault="002B378B" w:rsidP="0029357D">
      <w:r w:rsidRPr="00DD7810">
        <w:t>This explanatory statement is a combined explanatory statement for t</w:t>
      </w:r>
      <w:r w:rsidR="003162F5" w:rsidRPr="00DD7810">
        <w:t>wo</w:t>
      </w:r>
      <w:r w:rsidRPr="00DD7810">
        <w:t xml:space="preserve"> related instruments. These instruments are the:</w:t>
      </w:r>
    </w:p>
    <w:p w14:paraId="66888ECC" w14:textId="28345C6B" w:rsidR="002B378B" w:rsidRPr="00DD7810" w:rsidRDefault="002B378B" w:rsidP="00A44FA5">
      <w:pPr>
        <w:pStyle w:val="ListParagraph"/>
        <w:numPr>
          <w:ilvl w:val="0"/>
          <w:numId w:val="6"/>
        </w:numPr>
        <w:spacing w:before="0" w:beforeAutospacing="0"/>
      </w:pPr>
      <w:r w:rsidRPr="00DD7810">
        <w:t xml:space="preserve">The </w:t>
      </w:r>
      <w:r w:rsidR="00A526C2" w:rsidRPr="00DD7810">
        <w:rPr>
          <w:i/>
          <w:iCs/>
        </w:rPr>
        <w:t xml:space="preserve">Biosecurity (Entry Requirements—Human Coronavirus with Pandemic Potential) Amendment (No. 1) Determination 2022 </w:t>
      </w:r>
      <w:r w:rsidRPr="00DD7810">
        <w:t>(E</w:t>
      </w:r>
      <w:r w:rsidR="00917356" w:rsidRPr="00DD7810">
        <w:t xml:space="preserve">ntry </w:t>
      </w:r>
      <w:r w:rsidRPr="00DD7810">
        <w:t>Requirements Amendment Determination)</w:t>
      </w:r>
      <w:r w:rsidR="00C5016E" w:rsidRPr="00DD7810">
        <w:t>;</w:t>
      </w:r>
      <w:r w:rsidR="001454C2" w:rsidRPr="00DD7810">
        <w:t xml:space="preserve"> and</w:t>
      </w:r>
    </w:p>
    <w:p w14:paraId="79B257C6" w14:textId="5AAF340C" w:rsidR="002B378B" w:rsidRPr="00DD7810" w:rsidRDefault="002B378B" w:rsidP="00A44FA5">
      <w:pPr>
        <w:pStyle w:val="ListParagraph"/>
        <w:numPr>
          <w:ilvl w:val="0"/>
          <w:numId w:val="6"/>
        </w:numPr>
        <w:spacing w:before="0" w:beforeAutospacing="0"/>
      </w:pPr>
      <w:r w:rsidRPr="00DD7810">
        <w:t xml:space="preserve">The </w:t>
      </w:r>
      <w:r w:rsidR="008A5948" w:rsidRPr="00DD7810">
        <w:rPr>
          <w:i/>
          <w:iCs/>
        </w:rPr>
        <w:t xml:space="preserve">Biosecurity (Exit Requirements) Determination 2022 </w:t>
      </w:r>
      <w:r w:rsidRPr="00DD7810">
        <w:t>(Overseas</w:t>
      </w:r>
      <w:r w:rsidR="009604A9" w:rsidRPr="00DD7810">
        <w:t> </w:t>
      </w:r>
      <w:r w:rsidRPr="00DD7810">
        <w:t>Exit</w:t>
      </w:r>
      <w:r w:rsidR="009604A9" w:rsidRPr="00DD7810">
        <w:t> </w:t>
      </w:r>
      <w:r w:rsidRPr="00DD7810">
        <w:t>Determination).</w:t>
      </w:r>
    </w:p>
    <w:p w14:paraId="7F61902B" w14:textId="244955F6" w:rsidR="0029357D" w:rsidRPr="00DD7810" w:rsidRDefault="002B378B" w:rsidP="002B378B">
      <w:r w:rsidRPr="00DD7810">
        <w:t xml:space="preserve">The </w:t>
      </w:r>
      <w:r w:rsidR="001454C2" w:rsidRPr="00DD7810">
        <w:t xml:space="preserve">Entry </w:t>
      </w:r>
      <w:r w:rsidRPr="00DD7810">
        <w:t>Requirements Amendment Determination</w:t>
      </w:r>
      <w:r w:rsidR="00444387" w:rsidRPr="00DD7810">
        <w:t xml:space="preserve"> was made under subsection 4</w:t>
      </w:r>
      <w:r w:rsidR="003162F5" w:rsidRPr="00DD7810">
        <w:t>4</w:t>
      </w:r>
      <w:r w:rsidR="00444387" w:rsidRPr="00DD7810">
        <w:t xml:space="preserve">(2) of the </w:t>
      </w:r>
      <w:r w:rsidR="00444387" w:rsidRPr="00DD7810">
        <w:rPr>
          <w:i/>
          <w:iCs/>
        </w:rPr>
        <w:t>Biosecurity Act 2015</w:t>
      </w:r>
      <w:r w:rsidR="00444387" w:rsidRPr="00DD7810">
        <w:t xml:space="preserve"> (Biosecurity Act)</w:t>
      </w:r>
      <w:r w:rsidR="003162F5" w:rsidRPr="00DD7810">
        <w:t xml:space="preserve">. </w:t>
      </w:r>
      <w:r w:rsidR="0029357D" w:rsidRPr="00DD7810">
        <w:t>The </w:t>
      </w:r>
      <w:r w:rsidRPr="00DD7810">
        <w:t xml:space="preserve">Overseas Exit </w:t>
      </w:r>
      <w:r w:rsidR="0029357D" w:rsidRPr="00DD7810">
        <w:t>Determination was made under subsection 4</w:t>
      </w:r>
      <w:r w:rsidRPr="00DD7810">
        <w:t>5</w:t>
      </w:r>
      <w:r w:rsidR="0029357D" w:rsidRPr="00DD7810">
        <w:t>(2) of the Biosecurity Act.</w:t>
      </w:r>
    </w:p>
    <w:p w14:paraId="4D867B40" w14:textId="3B332C27" w:rsidR="00EB0FAF" w:rsidRPr="00DD7810" w:rsidRDefault="00EB0FAF" w:rsidP="0029357D"/>
    <w:p w14:paraId="261EE608" w14:textId="04D05958" w:rsidR="00F4129B" w:rsidRPr="00DD7810" w:rsidRDefault="00EB0FAF" w:rsidP="00EB0FAF">
      <w:r w:rsidRPr="00DD7810">
        <w:t xml:space="preserve">The </w:t>
      </w:r>
      <w:bookmarkStart w:id="2" w:name="_Hlk98511752"/>
      <w:r w:rsidR="001454C2" w:rsidRPr="00DD7810">
        <w:t>Entry</w:t>
      </w:r>
      <w:r w:rsidR="003162F5" w:rsidRPr="00DD7810">
        <w:t xml:space="preserve"> Requirements Amendment Determination</w:t>
      </w:r>
      <w:bookmarkEnd w:id="2"/>
      <w:r w:rsidRPr="00DD7810">
        <w:t xml:space="preserve"> </w:t>
      </w:r>
      <w:r w:rsidR="00A57562" w:rsidRPr="00DD7810">
        <w:t xml:space="preserve">makes </w:t>
      </w:r>
      <w:r w:rsidR="009604A9" w:rsidRPr="00DD7810">
        <w:t>several</w:t>
      </w:r>
      <w:r w:rsidR="00A57562" w:rsidRPr="00DD7810">
        <w:t xml:space="preserve"> amendments to the</w:t>
      </w:r>
      <w:r w:rsidR="00A57562" w:rsidRPr="00DD7810">
        <w:rPr>
          <w:i/>
          <w:iCs/>
        </w:rPr>
        <w:t xml:space="preserve"> </w:t>
      </w:r>
      <w:r w:rsidR="00D82CE6" w:rsidRPr="00DD7810">
        <w:rPr>
          <w:i/>
          <w:iCs/>
        </w:rPr>
        <w:t>Biosecurity (Entry Requirements—Human Coronavirus with Pandemic Potential) Determination 2022</w:t>
      </w:r>
      <w:r w:rsidR="00D82CE6" w:rsidRPr="00DD7810">
        <w:t xml:space="preserve">, </w:t>
      </w:r>
      <w:r w:rsidR="00A57562" w:rsidRPr="00DD7810">
        <w:t xml:space="preserve">including: </w:t>
      </w:r>
    </w:p>
    <w:p w14:paraId="42F2FB8E" w14:textId="5455674E" w:rsidR="0073214A" w:rsidRPr="00DD7810" w:rsidRDefault="00F4129B" w:rsidP="00A44FA5">
      <w:pPr>
        <w:pStyle w:val="ListParagraph"/>
        <w:numPr>
          <w:ilvl w:val="0"/>
          <w:numId w:val="5"/>
        </w:numPr>
        <w:spacing w:before="0" w:beforeAutospacing="0"/>
      </w:pPr>
      <w:r w:rsidRPr="00DD7810">
        <w:t>removing requirement</w:t>
      </w:r>
      <w:r w:rsidR="0073214A" w:rsidRPr="00DD7810">
        <w:t>s</w:t>
      </w:r>
      <w:r w:rsidRPr="00DD7810">
        <w:t xml:space="preserve"> of passengers of aircraft </w:t>
      </w:r>
      <w:r w:rsidR="0073214A" w:rsidRPr="00DD7810">
        <w:t xml:space="preserve">on incoming international flights </w:t>
      </w:r>
      <w:r w:rsidRPr="00DD7810">
        <w:t>to</w:t>
      </w:r>
      <w:r w:rsidR="0073214A" w:rsidRPr="00DD7810">
        <w:t>:</w:t>
      </w:r>
      <w:r w:rsidRPr="00DD7810">
        <w:t xml:space="preserve"> </w:t>
      </w:r>
    </w:p>
    <w:p w14:paraId="6FD06402" w14:textId="28CC1B70" w:rsidR="00F4129B" w:rsidRPr="00DD7810" w:rsidRDefault="00F4129B" w:rsidP="007C3E07">
      <w:pPr>
        <w:pStyle w:val="ListParagraph"/>
        <w:numPr>
          <w:ilvl w:val="1"/>
          <w:numId w:val="5"/>
        </w:numPr>
        <w:spacing w:before="0" w:beforeAutospacing="0"/>
      </w:pPr>
      <w:r w:rsidRPr="00DD7810">
        <w:t xml:space="preserve">provide evidence of a negative </w:t>
      </w:r>
      <w:r w:rsidR="007C3E07" w:rsidRPr="00DD7810">
        <w:t xml:space="preserve">test to </w:t>
      </w:r>
      <w:r w:rsidR="00266355" w:rsidRPr="00DD7810">
        <w:t>COVID</w:t>
      </w:r>
      <w:r w:rsidR="00C4068B" w:rsidRPr="00DD7810">
        <w:t>-</w:t>
      </w:r>
      <w:r w:rsidR="00266355" w:rsidRPr="00DD7810">
        <w:t>19</w:t>
      </w:r>
      <w:r w:rsidRPr="00DD7810">
        <w:t>;</w:t>
      </w:r>
      <w:r w:rsidR="007125BE" w:rsidRPr="00DD7810">
        <w:t xml:space="preserve"> and</w:t>
      </w:r>
    </w:p>
    <w:p w14:paraId="65ED79CC" w14:textId="689CABE7" w:rsidR="0073214A" w:rsidRPr="00DD7810" w:rsidRDefault="008B52D7" w:rsidP="00A44FA5">
      <w:pPr>
        <w:pStyle w:val="ListParagraph"/>
        <w:numPr>
          <w:ilvl w:val="1"/>
          <w:numId w:val="5"/>
        </w:numPr>
        <w:spacing w:before="0" w:beforeAutospacing="0"/>
      </w:pPr>
      <w:r w:rsidRPr="00DD7810">
        <w:t>declare that in the 3 days before the day the relevant international flight was scheduled to commence</w:t>
      </w:r>
      <w:r w:rsidR="0089554D" w:rsidRPr="00DD7810">
        <w:t>,</w:t>
      </w:r>
      <w:r w:rsidRPr="00DD7810">
        <w:t xml:space="preserve"> they had not been exposed to a person who tested positive for COVID‑19 in that period;</w:t>
      </w:r>
      <w:r w:rsidR="007C3E07" w:rsidRPr="00DD7810">
        <w:t xml:space="preserve"> and</w:t>
      </w:r>
    </w:p>
    <w:p w14:paraId="1C8E9D8F" w14:textId="695EBA6C" w:rsidR="00C91DBA" w:rsidRPr="00DD7810" w:rsidRDefault="00E46D89" w:rsidP="00C91DBA">
      <w:pPr>
        <w:pStyle w:val="ListParagraph"/>
        <w:numPr>
          <w:ilvl w:val="0"/>
          <w:numId w:val="5"/>
        </w:numPr>
        <w:spacing w:before="0" w:beforeAutospacing="0"/>
      </w:pPr>
      <w:r w:rsidRPr="00DD7810">
        <w:t>extending</w:t>
      </w:r>
      <w:r w:rsidR="003162F5" w:rsidRPr="00DD7810">
        <w:t xml:space="preserve"> the entry requirements to</w:t>
      </w:r>
      <w:r w:rsidRPr="00DD7810">
        <w:t xml:space="preserve"> include</w:t>
      </w:r>
      <w:r w:rsidR="003162F5" w:rsidRPr="00DD7810">
        <w:t xml:space="preserve"> all vessels that arrive to Australian territory by sea</w:t>
      </w:r>
      <w:r w:rsidR="007C3E07" w:rsidRPr="00DD7810">
        <w:t xml:space="preserve">. </w:t>
      </w:r>
      <w:bookmarkEnd w:id="1"/>
    </w:p>
    <w:p w14:paraId="082D172D" w14:textId="77777777" w:rsidR="0008021C" w:rsidRPr="00DD7810" w:rsidRDefault="0008021C" w:rsidP="0008021C">
      <w:pPr>
        <w:rPr>
          <w:b/>
        </w:rPr>
      </w:pPr>
      <w:r w:rsidRPr="00DD7810">
        <w:rPr>
          <w:b/>
        </w:rPr>
        <w:lastRenderedPageBreak/>
        <w:t xml:space="preserve">Authority </w:t>
      </w:r>
    </w:p>
    <w:p w14:paraId="44DEC661" w14:textId="7646F4E0" w:rsidR="0008021C" w:rsidRPr="00DD7810" w:rsidRDefault="0008021C" w:rsidP="0008021C"/>
    <w:p w14:paraId="20C507D5" w14:textId="34A7D09B" w:rsidR="00A43A32" w:rsidRPr="00DD7810" w:rsidRDefault="00A43A32" w:rsidP="007C3E07">
      <w:pPr>
        <w:shd w:val="clear" w:color="auto" w:fill="FFFFFF"/>
        <w:ind w:right="91"/>
        <w:rPr>
          <w:color w:val="000000"/>
        </w:rPr>
      </w:pPr>
      <w:r w:rsidRPr="00DD7810">
        <w:rPr>
          <w:color w:val="000000"/>
        </w:rPr>
        <w:t>The </w:t>
      </w:r>
      <w:r w:rsidR="0029357D" w:rsidRPr="00DD7810">
        <w:rPr>
          <w:color w:val="000000"/>
        </w:rPr>
        <w:t>Biosecurity Act</w:t>
      </w:r>
      <w:r w:rsidRPr="00DD7810">
        <w:rPr>
          <w:color w:val="000000"/>
        </w:rPr>
        <w:t xml:space="preserve"> provides the primary legislative means and a regulatory framework for the Australian Government to manage the risk of contagion of a listed human disease or any other infectious human disease</w:t>
      </w:r>
      <w:r w:rsidR="007C3E07" w:rsidRPr="00DD7810">
        <w:rPr>
          <w:color w:val="000000"/>
        </w:rPr>
        <w:t>.</w:t>
      </w:r>
    </w:p>
    <w:p w14:paraId="24FA88E0" w14:textId="77777777" w:rsidR="007C3E07" w:rsidRPr="00DD7810" w:rsidRDefault="007C3E07" w:rsidP="007C3E07">
      <w:pPr>
        <w:shd w:val="clear" w:color="auto" w:fill="FFFFFF"/>
        <w:ind w:right="91"/>
        <w:rPr>
          <w:color w:val="000000"/>
        </w:rPr>
      </w:pPr>
    </w:p>
    <w:p w14:paraId="2FD25F89" w14:textId="77777777" w:rsidR="007C3E07" w:rsidRPr="00DD7810" w:rsidRDefault="007C3E07" w:rsidP="007C3E07">
      <w:r w:rsidRPr="00DD7810">
        <w:t xml:space="preserve">The Entry Requirements Amendment Determination and Overseas Exit Determination are legislative instruments for the purposes of the </w:t>
      </w:r>
      <w:r w:rsidRPr="00DD7810">
        <w:rPr>
          <w:i/>
          <w:iCs/>
        </w:rPr>
        <w:t xml:space="preserve">Legislation Act 2003 </w:t>
      </w:r>
      <w:r w:rsidRPr="00DD7810">
        <w:rPr>
          <w:color w:val="000000"/>
        </w:rPr>
        <w:t>(Legislation Act)</w:t>
      </w:r>
      <w:r w:rsidRPr="00DD7810">
        <w:t>.</w:t>
      </w:r>
    </w:p>
    <w:p w14:paraId="5C2524FC" w14:textId="77777777" w:rsidR="00A43A32" w:rsidRPr="00DD7810" w:rsidRDefault="00A43A32" w:rsidP="00A43A32">
      <w:pPr>
        <w:shd w:val="clear" w:color="auto" w:fill="FFFFFF"/>
        <w:rPr>
          <w:color w:val="000000"/>
        </w:rPr>
      </w:pPr>
    </w:p>
    <w:p w14:paraId="67E1E0A6" w14:textId="662312ED" w:rsidR="00A43A32" w:rsidRPr="00DD7810" w:rsidRDefault="00A43A32" w:rsidP="00A43A32">
      <w:pPr>
        <w:shd w:val="clear" w:color="auto" w:fill="FFFFFF"/>
        <w:rPr>
          <w:color w:val="000000"/>
        </w:rPr>
      </w:pPr>
      <w:bookmarkStart w:id="3" w:name="_Hlk98418443"/>
      <w:r w:rsidRPr="00DD7810">
        <w:rPr>
          <w:i/>
          <w:iCs/>
          <w:color w:val="000000"/>
        </w:rPr>
        <w:t>Section 44 of the Biosecurity Act</w:t>
      </w:r>
    </w:p>
    <w:bookmarkEnd w:id="3"/>
    <w:p w14:paraId="360185F3" w14:textId="5F950E6E" w:rsidR="0029357D" w:rsidRPr="00DD7810" w:rsidRDefault="00A43A32" w:rsidP="00A43A32">
      <w:pPr>
        <w:shd w:val="clear" w:color="auto" w:fill="FFFFFF"/>
        <w:rPr>
          <w:color w:val="000000"/>
        </w:rPr>
      </w:pPr>
      <w:r w:rsidRPr="00DD7810">
        <w:rPr>
          <w:color w:val="000000"/>
        </w:rPr>
        <w:t> </w:t>
      </w:r>
    </w:p>
    <w:p w14:paraId="097131B0" w14:textId="77777777" w:rsidR="00A43A32" w:rsidRPr="00DD7810" w:rsidRDefault="00A43A32" w:rsidP="00A43A32">
      <w:pPr>
        <w:shd w:val="clear" w:color="auto" w:fill="FFFFFF"/>
        <w:rPr>
          <w:color w:val="000000"/>
        </w:rPr>
      </w:pPr>
      <w:r w:rsidRPr="00DD7810">
        <w:rPr>
          <w:color w:val="000000"/>
        </w:rPr>
        <w:t>Subsections 44(1) and 44(2) of</w:t>
      </w:r>
      <w:r w:rsidRPr="00DD7810">
        <w:rPr>
          <w:i/>
          <w:iCs/>
          <w:color w:val="000000"/>
        </w:rPr>
        <w:t> </w:t>
      </w:r>
      <w:r w:rsidRPr="00DD7810">
        <w:rPr>
          <w:color w:val="000000"/>
        </w:rPr>
        <w:t>the Biosecurity Act relevantly provide that the Health Minister may determine one or more requirements for individuals who are entering Australian territory at a landing place or port for the purpose of preventing a listed human disease from entering, or establishing itself or spreading in, Australian territory or a part of Australian territory.</w:t>
      </w:r>
    </w:p>
    <w:p w14:paraId="568BDEFD" w14:textId="77777777" w:rsidR="00A43A32" w:rsidRPr="00DD7810" w:rsidRDefault="00A43A32" w:rsidP="00A43A32">
      <w:pPr>
        <w:shd w:val="clear" w:color="auto" w:fill="FFFFFF"/>
        <w:rPr>
          <w:color w:val="000000"/>
        </w:rPr>
      </w:pPr>
      <w:r w:rsidRPr="00DD7810">
        <w:rPr>
          <w:color w:val="000000"/>
        </w:rPr>
        <w:t> </w:t>
      </w:r>
    </w:p>
    <w:p w14:paraId="4EF676A3" w14:textId="558ED21B" w:rsidR="00A43A32" w:rsidRPr="00DD7810" w:rsidRDefault="00A43A32" w:rsidP="00A43A32">
      <w:pPr>
        <w:shd w:val="clear" w:color="auto" w:fill="FFFFFF"/>
        <w:rPr>
          <w:color w:val="000000"/>
        </w:rPr>
      </w:pPr>
      <w:r w:rsidRPr="00DD7810">
        <w:rPr>
          <w:color w:val="000000"/>
        </w:rPr>
        <w:t>Subsection 44(3) of the Biosecurity Act provides that a determination made under subsection 44(2) is a legislative instrument, but section 42 (disallowance) of the</w:t>
      </w:r>
      <w:r w:rsidR="00B402DB" w:rsidRPr="00DD7810">
        <w:rPr>
          <w:color w:val="000000"/>
        </w:rPr>
        <w:t xml:space="preserve"> </w:t>
      </w:r>
      <w:r w:rsidRPr="00DD7810">
        <w:rPr>
          <w:color w:val="000000"/>
        </w:rPr>
        <w:t>Legislation Act</w:t>
      </w:r>
      <w:r w:rsidR="00266355" w:rsidRPr="00DD7810">
        <w:rPr>
          <w:color w:val="000000"/>
        </w:rPr>
        <w:t xml:space="preserve"> </w:t>
      </w:r>
      <w:r w:rsidRPr="00DD7810">
        <w:rPr>
          <w:color w:val="000000"/>
        </w:rPr>
        <w:t>does not apply to the determination. This is because the potential risk of such disallowance would inhibit the Commonwealth’s ability to set out appropriate requirements to prevent a listed human disease that could threaten or harm human health from entering, establishing or spreading in Australia, as it would create uncertainty as </w:t>
      </w:r>
      <w:r w:rsidRPr="00DD7810">
        <w:rPr>
          <w:color w:val="000000"/>
          <w:shd w:val="clear" w:color="auto" w:fill="FFFFFF"/>
        </w:rPr>
        <w:t>to the importance of the public health measures</w:t>
      </w:r>
      <w:r w:rsidRPr="00DD7810">
        <w:rPr>
          <w:color w:val="000000"/>
        </w:rPr>
        <w:t xml:space="preserve">. In the circumstances of the </w:t>
      </w:r>
      <w:r w:rsidR="001454C2" w:rsidRPr="00DD7810">
        <w:rPr>
          <w:color w:val="000000"/>
        </w:rPr>
        <w:t>Entry</w:t>
      </w:r>
      <w:r w:rsidR="007125BE" w:rsidRPr="00DD7810">
        <w:rPr>
          <w:color w:val="000000"/>
        </w:rPr>
        <w:t xml:space="preserve"> Requirements Amendment Determination</w:t>
      </w:r>
      <w:r w:rsidRPr="00DD7810">
        <w:rPr>
          <w:color w:val="000000"/>
        </w:rPr>
        <w:t>, disallowance of the entry requirements would remove </w:t>
      </w:r>
      <w:bookmarkStart w:id="4" w:name="_Hlk92965276"/>
      <w:r w:rsidRPr="00DD7810">
        <w:rPr>
          <w:color w:val="000000"/>
        </w:rPr>
        <w:t>safeguards that aim to minimise the risk of COVID</w:t>
      </w:r>
      <w:r w:rsidR="00C4068B" w:rsidRPr="00DD7810">
        <w:rPr>
          <w:color w:val="000000"/>
        </w:rPr>
        <w:t>-</w:t>
      </w:r>
      <w:r w:rsidRPr="00DD7810">
        <w:rPr>
          <w:color w:val="000000"/>
        </w:rPr>
        <w:t>19 (particularly new variants) entering, emerging, establishing or spreading in Australia</w:t>
      </w:r>
      <w:bookmarkEnd w:id="4"/>
      <w:r w:rsidRPr="00DD7810">
        <w:rPr>
          <w:color w:val="000000"/>
        </w:rPr>
        <w:t>.</w:t>
      </w:r>
    </w:p>
    <w:p w14:paraId="6032262D" w14:textId="77777777" w:rsidR="00A43A32" w:rsidRPr="00DD7810" w:rsidRDefault="00A43A32" w:rsidP="00A43A32">
      <w:pPr>
        <w:shd w:val="clear" w:color="auto" w:fill="FFFFFF"/>
        <w:rPr>
          <w:color w:val="000000"/>
        </w:rPr>
      </w:pPr>
      <w:r w:rsidRPr="00DD7810">
        <w:rPr>
          <w:color w:val="000000"/>
        </w:rPr>
        <w:t> </w:t>
      </w:r>
    </w:p>
    <w:p w14:paraId="7EEF79D0" w14:textId="77777777" w:rsidR="00A43A32" w:rsidRPr="00DD7810" w:rsidRDefault="00A43A32" w:rsidP="00A43A32">
      <w:pPr>
        <w:shd w:val="clear" w:color="auto" w:fill="FFFFFF"/>
        <w:rPr>
          <w:color w:val="000000"/>
        </w:rPr>
      </w:pPr>
      <w:r w:rsidRPr="00DD7810">
        <w:rPr>
          <w:color w:val="000000"/>
        </w:rPr>
        <w:t>Subsection 44(5) of the Biosecurity Act sets out that a section 44 determination may specify:</w:t>
      </w:r>
    </w:p>
    <w:p w14:paraId="44212F3A" w14:textId="7C2876B7" w:rsidR="00A43A32" w:rsidRPr="00DD7810" w:rsidRDefault="00A43A32" w:rsidP="00A43A32">
      <w:pPr>
        <w:pStyle w:val="ListParagraph"/>
        <w:shd w:val="clear" w:color="auto" w:fill="FFFFFF"/>
        <w:spacing w:before="0" w:beforeAutospacing="0" w:after="0" w:afterAutospacing="0"/>
        <w:ind w:left="720" w:hanging="360"/>
        <w:rPr>
          <w:color w:val="000000"/>
        </w:rPr>
      </w:pPr>
      <w:r w:rsidRPr="00DD7810">
        <w:rPr>
          <w:rFonts w:ascii="Symbol" w:hAnsi="Symbol"/>
          <w:color w:val="000000"/>
        </w:rPr>
        <w:t>·</w:t>
      </w:r>
      <w:r w:rsidRPr="00DD7810">
        <w:rPr>
          <w:color w:val="000000"/>
          <w:sz w:val="14"/>
          <w:szCs w:val="14"/>
        </w:rPr>
        <w:t>        </w:t>
      </w:r>
      <w:r w:rsidRPr="00DD7810">
        <w:rPr>
          <w:color w:val="000000"/>
        </w:rPr>
        <w:t xml:space="preserve">requirements for all individuals, or classes of individuals; </w:t>
      </w:r>
    </w:p>
    <w:p w14:paraId="481D97EA" w14:textId="3135E895" w:rsidR="00A43A32" w:rsidRPr="00DD7810" w:rsidRDefault="00A43A32" w:rsidP="00A43A32">
      <w:pPr>
        <w:pStyle w:val="ListParagraph"/>
        <w:shd w:val="clear" w:color="auto" w:fill="FFFFFF"/>
        <w:spacing w:before="0" w:beforeAutospacing="0" w:after="0" w:afterAutospacing="0"/>
        <w:ind w:left="720" w:hanging="360"/>
        <w:rPr>
          <w:color w:val="000000"/>
        </w:rPr>
      </w:pPr>
      <w:r w:rsidRPr="00DD7810">
        <w:rPr>
          <w:rFonts w:ascii="Symbol" w:hAnsi="Symbol"/>
          <w:color w:val="000000"/>
        </w:rPr>
        <w:t>·</w:t>
      </w:r>
      <w:r w:rsidRPr="00DD7810">
        <w:rPr>
          <w:color w:val="000000"/>
          <w:sz w:val="14"/>
          <w:szCs w:val="14"/>
        </w:rPr>
        <w:t>        </w:t>
      </w:r>
      <w:r w:rsidRPr="00DD7810">
        <w:rPr>
          <w:color w:val="000000"/>
        </w:rPr>
        <w:t xml:space="preserve">specific requirements in relation to specified listed human diseases; </w:t>
      </w:r>
    </w:p>
    <w:p w14:paraId="3259CFAA" w14:textId="6B582FFD" w:rsidR="00A43A32" w:rsidRPr="00DD7810" w:rsidRDefault="00A43A32" w:rsidP="00A43A32">
      <w:pPr>
        <w:pStyle w:val="ListParagraph"/>
        <w:shd w:val="clear" w:color="auto" w:fill="FFFFFF"/>
        <w:spacing w:before="0" w:beforeAutospacing="0" w:after="0" w:afterAutospacing="0"/>
        <w:ind w:left="720" w:hanging="360"/>
        <w:rPr>
          <w:color w:val="000000"/>
        </w:rPr>
      </w:pPr>
      <w:r w:rsidRPr="00DD7810">
        <w:rPr>
          <w:rFonts w:ascii="Symbol" w:hAnsi="Symbol"/>
          <w:color w:val="000000"/>
        </w:rPr>
        <w:t>·</w:t>
      </w:r>
      <w:r w:rsidRPr="00DD7810">
        <w:rPr>
          <w:color w:val="000000"/>
          <w:sz w:val="14"/>
          <w:szCs w:val="14"/>
        </w:rPr>
        <w:t>        </w:t>
      </w:r>
      <w:r w:rsidRPr="00DD7810">
        <w:rPr>
          <w:color w:val="000000"/>
        </w:rPr>
        <w:t>general requirements in relation to listed human diseases generally; and</w:t>
      </w:r>
    </w:p>
    <w:p w14:paraId="3A807690" w14:textId="5B79677F" w:rsidR="00A43A32" w:rsidRPr="00DD7810" w:rsidRDefault="00A43A32" w:rsidP="00A43A32">
      <w:pPr>
        <w:pStyle w:val="ListParagraph"/>
        <w:shd w:val="clear" w:color="auto" w:fill="FFFFFF"/>
        <w:spacing w:before="0" w:beforeAutospacing="0" w:after="0" w:afterAutospacing="0"/>
        <w:ind w:left="720" w:hanging="360"/>
        <w:rPr>
          <w:color w:val="000000"/>
        </w:rPr>
      </w:pPr>
      <w:r w:rsidRPr="00DD7810">
        <w:rPr>
          <w:rFonts w:ascii="Symbol" w:hAnsi="Symbol"/>
          <w:color w:val="000000"/>
        </w:rPr>
        <w:t>·</w:t>
      </w:r>
      <w:r w:rsidRPr="00DD7810">
        <w:rPr>
          <w:color w:val="000000"/>
          <w:sz w:val="14"/>
          <w:szCs w:val="14"/>
        </w:rPr>
        <w:t>        </w:t>
      </w:r>
      <w:r w:rsidRPr="00DD7810">
        <w:rPr>
          <w:color w:val="000000"/>
        </w:rPr>
        <w:t xml:space="preserve">requirements relating to the </w:t>
      </w:r>
      <w:r w:rsidR="009604A9" w:rsidRPr="00DD7810">
        <w:rPr>
          <w:color w:val="000000"/>
        </w:rPr>
        <w:t>way</w:t>
      </w:r>
      <w:r w:rsidRPr="00DD7810">
        <w:rPr>
          <w:color w:val="000000"/>
        </w:rPr>
        <w:t xml:space="preserve"> an individual must comply with a requirement.</w:t>
      </w:r>
    </w:p>
    <w:p w14:paraId="6D5148ED" w14:textId="77777777" w:rsidR="00A43A32" w:rsidRPr="00DD7810" w:rsidRDefault="00A43A32" w:rsidP="00A43A32">
      <w:pPr>
        <w:shd w:val="clear" w:color="auto" w:fill="FFFFFF"/>
        <w:rPr>
          <w:color w:val="000000"/>
        </w:rPr>
      </w:pPr>
      <w:r w:rsidRPr="00DD7810">
        <w:rPr>
          <w:color w:val="000000"/>
        </w:rPr>
        <w:t> </w:t>
      </w:r>
    </w:p>
    <w:p w14:paraId="6267AB66" w14:textId="7ECD8B6E" w:rsidR="00A43A32" w:rsidRPr="00DD7810" w:rsidRDefault="00A43A32" w:rsidP="00A43A32">
      <w:pPr>
        <w:shd w:val="clear" w:color="auto" w:fill="FFFFFF"/>
        <w:rPr>
          <w:color w:val="000000"/>
        </w:rPr>
      </w:pPr>
      <w:bookmarkStart w:id="5" w:name="_Hlk98492714"/>
      <w:r w:rsidRPr="00DD7810">
        <w:rPr>
          <w:color w:val="000000"/>
        </w:rPr>
        <w:t xml:space="preserve">Subsection 44(6) of the Biosecurity Act provides that a </w:t>
      </w:r>
      <w:r w:rsidR="009604A9" w:rsidRPr="00DD7810">
        <w:rPr>
          <w:color w:val="000000"/>
        </w:rPr>
        <w:t>sub</w:t>
      </w:r>
      <w:r w:rsidRPr="00DD7810">
        <w:rPr>
          <w:color w:val="000000"/>
        </w:rPr>
        <w:t>section 44</w:t>
      </w:r>
      <w:r w:rsidR="009604A9" w:rsidRPr="00DD7810">
        <w:rPr>
          <w:color w:val="000000"/>
        </w:rPr>
        <w:t>(2)</w:t>
      </w:r>
      <w:r w:rsidRPr="00DD7810">
        <w:rPr>
          <w:color w:val="000000"/>
        </w:rPr>
        <w:t xml:space="preserve"> determination may specify one or more requirements relating to, among other matters, a requirement for an individual to provide either a declaration as to whether the individual has received a specified vaccination within a specified previous period or evidence that the individual has received a specified vaccination within a specified previous period.</w:t>
      </w:r>
    </w:p>
    <w:bookmarkEnd w:id="5"/>
    <w:p w14:paraId="3E275946" w14:textId="77777777" w:rsidR="00A43A32" w:rsidRPr="00DD7810" w:rsidRDefault="00A43A32" w:rsidP="00A43A32">
      <w:pPr>
        <w:shd w:val="clear" w:color="auto" w:fill="FFFFFF"/>
        <w:rPr>
          <w:color w:val="000000"/>
        </w:rPr>
      </w:pPr>
      <w:r w:rsidRPr="00DD7810">
        <w:rPr>
          <w:color w:val="000000"/>
        </w:rPr>
        <w:t> </w:t>
      </w:r>
    </w:p>
    <w:p w14:paraId="58D22248" w14:textId="191D6ADE" w:rsidR="0008021C" w:rsidRPr="00DD7810" w:rsidRDefault="00A43A32" w:rsidP="00A43A32">
      <w:pPr>
        <w:shd w:val="clear" w:color="auto" w:fill="FFFFFF"/>
        <w:rPr>
          <w:color w:val="000000"/>
        </w:rPr>
      </w:pPr>
      <w:r w:rsidRPr="00DD7810">
        <w:rPr>
          <w:color w:val="000000"/>
        </w:rPr>
        <w:t xml:space="preserve">If a person fails to comply with </w:t>
      </w:r>
      <w:r w:rsidR="007125BE" w:rsidRPr="00DD7810">
        <w:rPr>
          <w:color w:val="000000"/>
        </w:rPr>
        <w:t>a determination made under subsection 44(2)</w:t>
      </w:r>
      <w:r w:rsidRPr="00DD7810">
        <w:rPr>
          <w:color w:val="000000"/>
        </w:rPr>
        <w:t>, they may contravene a civil penalty provision in the Biosecurity Act. Additionally, if a person provides false or misleading information or documents they may commit an offence under the Criminal Code or contravene a civil penalty provision in the Biosecurity Act.</w:t>
      </w:r>
    </w:p>
    <w:p w14:paraId="15AD6592" w14:textId="381E4C69" w:rsidR="007C3E07" w:rsidRPr="00DD7810" w:rsidRDefault="007C3E07" w:rsidP="00A43A32">
      <w:pPr>
        <w:shd w:val="clear" w:color="auto" w:fill="FFFFFF"/>
        <w:rPr>
          <w:color w:val="000000"/>
        </w:rPr>
      </w:pPr>
    </w:p>
    <w:p w14:paraId="7D661EB9" w14:textId="78847B37" w:rsidR="007C3E07" w:rsidRPr="00DD7810" w:rsidRDefault="007C3E07" w:rsidP="00A43A32">
      <w:pPr>
        <w:shd w:val="clear" w:color="auto" w:fill="FFFFFF"/>
        <w:rPr>
          <w:color w:val="000000"/>
        </w:rPr>
      </w:pPr>
      <w:r w:rsidRPr="00DD7810">
        <w:rPr>
          <w:color w:val="000000"/>
        </w:rPr>
        <w:lastRenderedPageBreak/>
        <w:t>The Health Minister, on advice from the CMO, is satisfied that the Entry Requirements Amendment Determination is appropriate or proportionate to the risk of preventing entry into or spread of COVID-19 in Australia.</w:t>
      </w:r>
    </w:p>
    <w:p w14:paraId="2636EFAB" w14:textId="249533B6" w:rsidR="00596423" w:rsidRPr="00DD7810" w:rsidRDefault="00596423" w:rsidP="00A43A32">
      <w:pPr>
        <w:shd w:val="clear" w:color="auto" w:fill="FFFFFF"/>
        <w:rPr>
          <w:color w:val="000000"/>
        </w:rPr>
      </w:pPr>
    </w:p>
    <w:p w14:paraId="6664C0DB" w14:textId="0D63632C" w:rsidR="00596423" w:rsidRPr="00DD7810" w:rsidRDefault="00256F99" w:rsidP="00A43A32">
      <w:pPr>
        <w:shd w:val="clear" w:color="auto" w:fill="FFFFFF"/>
        <w:rPr>
          <w:i/>
          <w:iCs/>
          <w:color w:val="000000"/>
        </w:rPr>
      </w:pPr>
      <w:r w:rsidRPr="00DD7810">
        <w:rPr>
          <w:i/>
          <w:iCs/>
          <w:color w:val="000000"/>
        </w:rPr>
        <w:t>Section 45 of the Biosecurity Act</w:t>
      </w:r>
    </w:p>
    <w:p w14:paraId="5AA31223" w14:textId="77777777" w:rsidR="00256F99" w:rsidRPr="00DD7810" w:rsidRDefault="00256F99" w:rsidP="00A43A32">
      <w:pPr>
        <w:shd w:val="clear" w:color="auto" w:fill="FFFFFF"/>
        <w:rPr>
          <w:color w:val="000000"/>
        </w:rPr>
      </w:pPr>
    </w:p>
    <w:p w14:paraId="336A0A8E" w14:textId="0B67A141" w:rsidR="00B30199" w:rsidRPr="00DD7810" w:rsidRDefault="00B30199" w:rsidP="007C3E07">
      <w:pPr>
        <w:shd w:val="clear" w:color="auto" w:fill="FFFFFF"/>
        <w:rPr>
          <w:color w:val="000000"/>
        </w:rPr>
      </w:pPr>
      <w:r w:rsidRPr="00DD7810">
        <w:rPr>
          <w:color w:val="000000"/>
        </w:rPr>
        <w:t>Subsection 45(1) provides that section 45 applies for</w:t>
      </w:r>
      <w:r w:rsidR="005E4188" w:rsidRPr="00DD7810">
        <w:rPr>
          <w:color w:val="000000"/>
        </w:rPr>
        <w:t xml:space="preserve"> the</w:t>
      </w:r>
      <w:r w:rsidRPr="00DD7810">
        <w:rPr>
          <w:color w:val="000000"/>
        </w:rPr>
        <w:t xml:space="preserve"> purpose of</w:t>
      </w:r>
      <w:r w:rsidR="007C3E07" w:rsidRPr="00DD7810">
        <w:rPr>
          <w:color w:val="000000"/>
        </w:rPr>
        <w:t xml:space="preserve"> </w:t>
      </w:r>
      <w:r w:rsidRPr="00DD7810">
        <w:rPr>
          <w:color w:val="000000"/>
        </w:rPr>
        <w:t>preventing a listed human disease from spreading to an</w:t>
      </w:r>
      <w:r w:rsidR="005E4188" w:rsidRPr="00DD7810">
        <w:rPr>
          <w:color w:val="000000"/>
        </w:rPr>
        <w:t>o</w:t>
      </w:r>
      <w:r w:rsidRPr="00DD7810">
        <w:rPr>
          <w:color w:val="000000"/>
        </w:rPr>
        <w:t>ther country</w:t>
      </w:r>
      <w:r w:rsidR="007C3E07" w:rsidRPr="00DD7810">
        <w:rPr>
          <w:color w:val="000000"/>
        </w:rPr>
        <w:t>.</w:t>
      </w:r>
    </w:p>
    <w:p w14:paraId="38EA35C2" w14:textId="77777777" w:rsidR="007C3E07" w:rsidRPr="00DD7810" w:rsidRDefault="007C3E07" w:rsidP="007C3E07">
      <w:pPr>
        <w:shd w:val="clear" w:color="auto" w:fill="FFFFFF"/>
        <w:rPr>
          <w:color w:val="000000"/>
        </w:rPr>
      </w:pPr>
    </w:p>
    <w:p w14:paraId="0AED96A0" w14:textId="021BCFDC" w:rsidR="00596423" w:rsidRPr="00DD7810" w:rsidRDefault="00596423" w:rsidP="00A43A32">
      <w:pPr>
        <w:shd w:val="clear" w:color="auto" w:fill="FFFFFF"/>
        <w:rPr>
          <w:color w:val="000000"/>
        </w:rPr>
      </w:pPr>
      <w:r w:rsidRPr="00DD7810">
        <w:rPr>
          <w:color w:val="000000"/>
        </w:rPr>
        <w:t xml:space="preserve">Subsection 45(2) of the </w:t>
      </w:r>
      <w:r w:rsidR="00B30199" w:rsidRPr="00DD7810">
        <w:rPr>
          <w:color w:val="000000"/>
        </w:rPr>
        <w:t xml:space="preserve">Biosecurity </w:t>
      </w:r>
      <w:r w:rsidRPr="00DD7810">
        <w:rPr>
          <w:color w:val="000000"/>
        </w:rPr>
        <w:t xml:space="preserve">Act provides that the Health Minister may determine one or more requirements for individuals who are leaving Australian </w:t>
      </w:r>
      <w:r w:rsidR="009604A9" w:rsidRPr="00DD7810">
        <w:rPr>
          <w:color w:val="000000"/>
        </w:rPr>
        <w:t>territory,</w:t>
      </w:r>
      <w:r w:rsidRPr="00DD7810">
        <w:rPr>
          <w:color w:val="000000"/>
        </w:rPr>
        <w:t xml:space="preserve"> or for operators of outgoing passenger aircrafts or vessels.</w:t>
      </w:r>
    </w:p>
    <w:p w14:paraId="0FDB1EC6" w14:textId="64385DFB" w:rsidR="00777861" w:rsidRPr="00DD7810" w:rsidRDefault="00777861" w:rsidP="00A43A32">
      <w:pPr>
        <w:shd w:val="clear" w:color="auto" w:fill="FFFFFF"/>
        <w:rPr>
          <w:color w:val="000000"/>
        </w:rPr>
      </w:pPr>
    </w:p>
    <w:p w14:paraId="617A4E08" w14:textId="4B2AF66E" w:rsidR="00777861" w:rsidRPr="00DD7810" w:rsidRDefault="00777861" w:rsidP="00A43A32">
      <w:pPr>
        <w:shd w:val="clear" w:color="auto" w:fill="FFFFFF"/>
        <w:rPr>
          <w:color w:val="000000"/>
        </w:rPr>
      </w:pPr>
      <w:r w:rsidRPr="00DD7810">
        <w:rPr>
          <w:color w:val="000000"/>
        </w:rPr>
        <w:t>Subsection 45(6) of the Biosecurity Act provides that a</w:t>
      </w:r>
      <w:r w:rsidR="001E60A2" w:rsidRPr="00DD7810">
        <w:rPr>
          <w:color w:val="000000"/>
        </w:rPr>
        <w:t xml:space="preserve"> determination made under</w:t>
      </w:r>
      <w:r w:rsidRPr="00DD7810">
        <w:rPr>
          <w:color w:val="000000"/>
        </w:rPr>
        <w:t xml:space="preserve"> </w:t>
      </w:r>
      <w:r w:rsidR="009604A9" w:rsidRPr="00DD7810">
        <w:rPr>
          <w:color w:val="000000"/>
        </w:rPr>
        <w:t>sub</w:t>
      </w:r>
      <w:r w:rsidRPr="00DD7810">
        <w:rPr>
          <w:color w:val="000000"/>
        </w:rPr>
        <w:t>section 45</w:t>
      </w:r>
      <w:r w:rsidR="009604A9" w:rsidRPr="00DD7810">
        <w:rPr>
          <w:color w:val="000000"/>
        </w:rPr>
        <w:t>(2)</w:t>
      </w:r>
      <w:r w:rsidRPr="00DD7810">
        <w:rPr>
          <w:color w:val="000000"/>
        </w:rPr>
        <w:t xml:space="preserve"> determination may specify one or more requirements relating to, among other matters, a requirement for an individual to provide a declaration as to whether the individual has received a specified vaccination.</w:t>
      </w:r>
    </w:p>
    <w:p w14:paraId="33A33528" w14:textId="173B0AFD" w:rsidR="00777861" w:rsidRPr="00DD7810" w:rsidRDefault="00777861" w:rsidP="00A43A32">
      <w:pPr>
        <w:shd w:val="clear" w:color="auto" w:fill="FFFFFF"/>
        <w:rPr>
          <w:color w:val="000000"/>
        </w:rPr>
      </w:pPr>
    </w:p>
    <w:p w14:paraId="4F213C03" w14:textId="715FD08A" w:rsidR="00777861" w:rsidRPr="00DD7810" w:rsidRDefault="00777861" w:rsidP="00A43A32">
      <w:pPr>
        <w:shd w:val="clear" w:color="auto" w:fill="FFFFFF"/>
        <w:rPr>
          <w:color w:val="000000"/>
        </w:rPr>
      </w:pPr>
      <w:r w:rsidRPr="00DD7810">
        <w:rPr>
          <w:color w:val="000000"/>
        </w:rPr>
        <w:t xml:space="preserve">Subsection 45(3) of the Biosecurity Act provides that a determination made under subsection 45(2) is a legislative instrument, but section 42 (disallowance) of the </w:t>
      </w:r>
      <w:bookmarkStart w:id="6" w:name="_Hlk98514282"/>
      <w:r w:rsidRPr="00DD7810">
        <w:rPr>
          <w:color w:val="000000"/>
        </w:rPr>
        <w:t xml:space="preserve">Legislation Act </w:t>
      </w:r>
      <w:bookmarkEnd w:id="6"/>
      <w:r w:rsidRPr="00DD7810">
        <w:rPr>
          <w:color w:val="000000"/>
        </w:rPr>
        <w:t>does not apply to the determination. The risk of such disallowance would inhibit the Commonwealth’s ability to act urgently on public health advice to manage a human biosecurity risk that could threaten or harm human health as it would create uncertainty as to whether the instrument might be disallowed.</w:t>
      </w:r>
    </w:p>
    <w:p w14:paraId="61719448" w14:textId="5D528BBC" w:rsidR="00A533EB" w:rsidRPr="00DD7810" w:rsidRDefault="00A533EB" w:rsidP="00A43A32">
      <w:pPr>
        <w:shd w:val="clear" w:color="auto" w:fill="FFFFFF"/>
        <w:rPr>
          <w:color w:val="000000"/>
        </w:rPr>
      </w:pPr>
    </w:p>
    <w:p w14:paraId="42C7959F" w14:textId="61CD52B0" w:rsidR="00A533EB" w:rsidRPr="00DD7810" w:rsidRDefault="00A533EB" w:rsidP="00A43A32">
      <w:pPr>
        <w:shd w:val="clear" w:color="auto" w:fill="FFFFFF"/>
        <w:rPr>
          <w:color w:val="000000"/>
        </w:rPr>
      </w:pPr>
      <w:r w:rsidRPr="00DD7810">
        <w:rPr>
          <w:color w:val="000000"/>
        </w:rPr>
        <w:t xml:space="preserve">If a person fails to comply with </w:t>
      </w:r>
      <w:r w:rsidR="007125BE" w:rsidRPr="00DD7810">
        <w:rPr>
          <w:color w:val="000000"/>
        </w:rPr>
        <w:t>a determination made under subsection 45(2),</w:t>
      </w:r>
      <w:r w:rsidRPr="00DD7810">
        <w:rPr>
          <w:color w:val="000000"/>
        </w:rPr>
        <w:t xml:space="preserve"> they may contravene a civil penalty provision in the Biosecurity Act. Additionally, if a person provides false or misleading information or documents they may commit an offence under the Criminal Code or contravene a civil penalty provision in the Biosecurity Act.</w:t>
      </w:r>
    </w:p>
    <w:p w14:paraId="011EAEC1" w14:textId="1122D811" w:rsidR="00BB1F95" w:rsidRPr="00DD7810" w:rsidRDefault="00BB1F95" w:rsidP="00A43A32">
      <w:pPr>
        <w:shd w:val="clear" w:color="auto" w:fill="FFFFFF"/>
        <w:rPr>
          <w:color w:val="000000"/>
        </w:rPr>
      </w:pPr>
    </w:p>
    <w:p w14:paraId="00C7AF44" w14:textId="71F65832" w:rsidR="00BB1F95" w:rsidRPr="00DD7810" w:rsidRDefault="00BB1F95" w:rsidP="00BB1F95">
      <w:pPr>
        <w:shd w:val="clear" w:color="auto" w:fill="FFFFFF"/>
        <w:rPr>
          <w:color w:val="000000"/>
        </w:rPr>
      </w:pPr>
      <w:r w:rsidRPr="00DD7810">
        <w:rPr>
          <w:color w:val="000000"/>
        </w:rPr>
        <w:t xml:space="preserve">The Health Minister, on advice from the CMO, is satisfied that the </w:t>
      </w:r>
      <w:r w:rsidR="001E60A2" w:rsidRPr="00DD7810">
        <w:rPr>
          <w:color w:val="000000"/>
        </w:rPr>
        <w:t>requirements are</w:t>
      </w:r>
      <w:r w:rsidRPr="00DD7810">
        <w:rPr>
          <w:color w:val="000000"/>
        </w:rPr>
        <w:t xml:space="preserve"> appropriate or proportionate to the risk of preventing the spread of COVID-19 to other countries. </w:t>
      </w:r>
      <w:r w:rsidR="001E60A2" w:rsidRPr="00DD7810">
        <w:rPr>
          <w:color w:val="000000"/>
        </w:rPr>
        <w:t>U</w:t>
      </w:r>
      <w:r w:rsidRPr="00DD7810">
        <w:rPr>
          <w:color w:val="000000"/>
        </w:rPr>
        <w:t xml:space="preserve">nvaccinated travellers pose a risk to the community they are in and the location’s hospital system as they are at </w:t>
      </w:r>
      <w:r w:rsidR="001E60A2" w:rsidRPr="00DD7810">
        <w:rPr>
          <w:color w:val="000000"/>
        </w:rPr>
        <w:t>greater</w:t>
      </w:r>
      <w:r w:rsidRPr="00DD7810">
        <w:rPr>
          <w:color w:val="000000"/>
        </w:rPr>
        <w:t xml:space="preserve"> risk of serious illness or death if they contract COVID-19, and are more likely to transmit the infection to others.</w:t>
      </w:r>
    </w:p>
    <w:p w14:paraId="107A123B" w14:textId="4B614A58" w:rsidR="00571345" w:rsidRPr="00DD7810" w:rsidRDefault="00571345" w:rsidP="00BB171B">
      <w:pPr>
        <w:rPr>
          <w:u w:val="single"/>
        </w:rPr>
      </w:pPr>
    </w:p>
    <w:p w14:paraId="4C074C40" w14:textId="77777777" w:rsidR="006D0559" w:rsidRPr="00DD7810" w:rsidRDefault="006D0559" w:rsidP="006D0559">
      <w:pPr>
        <w:rPr>
          <w:b/>
        </w:rPr>
      </w:pPr>
      <w:r w:rsidRPr="00DD7810">
        <w:rPr>
          <w:b/>
        </w:rPr>
        <w:t>Background</w:t>
      </w:r>
    </w:p>
    <w:p w14:paraId="4F0515A1" w14:textId="77777777" w:rsidR="006D0559" w:rsidRPr="00DD7810" w:rsidRDefault="006D0559" w:rsidP="006D0559">
      <w:pPr>
        <w:rPr>
          <w:u w:val="single"/>
        </w:rPr>
      </w:pPr>
    </w:p>
    <w:p w14:paraId="111BAE4A" w14:textId="0001E8AB" w:rsidR="006D0559" w:rsidRPr="00DD7810" w:rsidRDefault="006D0559" w:rsidP="006D0559">
      <w:pPr>
        <w:pStyle w:val="NoSpacing"/>
        <w:shd w:val="clear" w:color="auto" w:fill="FFFFFF"/>
        <w:spacing w:before="0" w:beforeAutospacing="0" w:after="0" w:afterAutospacing="0"/>
        <w:rPr>
          <w:color w:val="000000"/>
        </w:rPr>
      </w:pPr>
      <w:r w:rsidRPr="00DD7810">
        <w:rPr>
          <w:color w:val="000000"/>
        </w:rPr>
        <w:t>On 5 January 2020, the World Health Organization (WHO) notified Member States under the </w:t>
      </w:r>
      <w:r w:rsidRPr="00DD7810">
        <w:rPr>
          <w:i/>
          <w:iCs/>
          <w:color w:val="000000"/>
        </w:rPr>
        <w:t>International Health Regulations</w:t>
      </w:r>
      <w:r w:rsidRPr="00DD7810">
        <w:rPr>
          <w:color w:val="000000"/>
        </w:rPr>
        <w:t> (2005) (IHR) of an outbreak of pneumonia of unknown cause in Wuhan city, China. On 21 January 2020 ‘human coronavirus with pandemic potential’ became a ‘</w:t>
      </w:r>
      <w:bookmarkStart w:id="7" w:name="_Hlk96683648"/>
      <w:r w:rsidRPr="00DD7810">
        <w:rPr>
          <w:color w:val="000000"/>
        </w:rPr>
        <w:t xml:space="preserve">listed human disease’ </w:t>
      </w:r>
      <w:bookmarkEnd w:id="7"/>
      <w:r w:rsidRPr="00DD7810">
        <w:rPr>
          <w:bCs/>
          <w:lang w:val="en-US"/>
        </w:rPr>
        <w:t xml:space="preserve">under section 42 of the Biosecurity Act (see the </w:t>
      </w:r>
      <w:r w:rsidRPr="00DD7810">
        <w:rPr>
          <w:bCs/>
          <w:i/>
          <w:iCs/>
          <w:lang w:val="en-US"/>
        </w:rPr>
        <w:t>Biosecurity (Listed Human Diseases)</w:t>
      </w:r>
      <w:r w:rsidR="009604A9" w:rsidRPr="00DD7810">
        <w:rPr>
          <w:bCs/>
          <w:i/>
          <w:iCs/>
          <w:lang w:val="en-US"/>
        </w:rPr>
        <w:t xml:space="preserve"> </w:t>
      </w:r>
      <w:r w:rsidRPr="00DD7810">
        <w:rPr>
          <w:bCs/>
          <w:i/>
          <w:iCs/>
          <w:lang w:val="en-US"/>
        </w:rPr>
        <w:t>Determination 2016</w:t>
      </w:r>
      <w:r w:rsidRPr="00DD7810">
        <w:rPr>
          <w:bCs/>
          <w:lang w:val="en-US"/>
        </w:rPr>
        <w:t>)</w:t>
      </w:r>
      <w:r w:rsidRPr="00DD7810">
        <w:rPr>
          <w:color w:val="000000"/>
        </w:rPr>
        <w:t>. On 30 January 2020, the outbreak was declared by the WHO International Regulations Emergency Committee to constitute a Public Health Emergency of International Concern.</w:t>
      </w:r>
    </w:p>
    <w:p w14:paraId="59F9ACC2" w14:textId="77777777" w:rsidR="006D0559" w:rsidRPr="00DD7810" w:rsidRDefault="006D0559" w:rsidP="006D0559">
      <w:pPr>
        <w:pStyle w:val="NoSpacing"/>
        <w:shd w:val="clear" w:color="auto" w:fill="FFFFFF"/>
        <w:spacing w:before="0" w:beforeAutospacing="0" w:after="0" w:afterAutospacing="0"/>
        <w:rPr>
          <w:color w:val="000000"/>
        </w:rPr>
      </w:pPr>
    </w:p>
    <w:p w14:paraId="6DF9F677" w14:textId="186F4FD3" w:rsidR="006D0559" w:rsidRPr="00DD7810" w:rsidRDefault="006D0559" w:rsidP="006D0559">
      <w:pPr>
        <w:shd w:val="clear" w:color="auto" w:fill="FFFFFF"/>
        <w:rPr>
          <w:color w:val="000000"/>
        </w:rPr>
      </w:pPr>
      <w:r w:rsidRPr="00DD7810">
        <w:rPr>
          <w:color w:val="000000"/>
        </w:rPr>
        <w:t>On 11 February 2020, the WHO announced that the International Committee on Taxonomy of Viruses named the pathogen virus</w:t>
      </w:r>
      <w:r w:rsidR="007125BE" w:rsidRPr="00DD7810">
        <w:rPr>
          <w:color w:val="000000"/>
        </w:rPr>
        <w:t xml:space="preserve"> SARS-CoV-2</w:t>
      </w:r>
      <w:r w:rsidRPr="00DD7810">
        <w:rPr>
          <w:color w:val="000000"/>
        </w:rPr>
        <w:t>. </w:t>
      </w:r>
      <w:r w:rsidRPr="00DD7810">
        <w:rPr>
          <w:color w:val="000000"/>
          <w:lang w:val="en"/>
        </w:rPr>
        <w:t xml:space="preserve">The international </w:t>
      </w:r>
      <w:r w:rsidRPr="00DD7810">
        <w:rPr>
          <w:color w:val="000000"/>
          <w:lang w:val="en"/>
        </w:rPr>
        <w:lastRenderedPageBreak/>
        <w:t>name given by WHO to the disease caused by</w:t>
      </w:r>
      <w:r w:rsidR="007125BE" w:rsidRPr="00DD7810">
        <w:rPr>
          <w:color w:val="000000"/>
          <w:lang w:val="en"/>
        </w:rPr>
        <w:t xml:space="preserve"> SARS-CoV-2 is</w:t>
      </w:r>
      <w:r w:rsidRPr="00DD7810">
        <w:rPr>
          <w:color w:val="000000"/>
          <w:lang w:val="en"/>
        </w:rPr>
        <w:t xml:space="preserve"> </w:t>
      </w:r>
      <w:r w:rsidR="007125BE" w:rsidRPr="00DD7810">
        <w:rPr>
          <w:color w:val="000000"/>
          <w:lang w:val="en"/>
        </w:rPr>
        <w:t>Coronavirus disease 2019 (COVID‑19)</w:t>
      </w:r>
      <w:r w:rsidRPr="00DD7810">
        <w:rPr>
          <w:color w:val="000000"/>
          <w:lang w:val="en"/>
        </w:rPr>
        <w:t xml:space="preserve">. </w:t>
      </w:r>
      <w:r w:rsidRPr="00DD7810">
        <w:rPr>
          <w:color w:val="000000"/>
        </w:rPr>
        <w:t>On 11 March 2020, the WHO declared the outbreak of COVID</w:t>
      </w:r>
      <w:r w:rsidR="00C4068B" w:rsidRPr="00DD7810">
        <w:rPr>
          <w:color w:val="000000"/>
        </w:rPr>
        <w:t>-</w:t>
      </w:r>
      <w:r w:rsidRPr="00DD7810">
        <w:rPr>
          <w:color w:val="000000"/>
        </w:rPr>
        <w:t>19 a pandemic. </w:t>
      </w:r>
    </w:p>
    <w:p w14:paraId="29712C2B" w14:textId="77777777" w:rsidR="006D0559" w:rsidRPr="00DD7810" w:rsidRDefault="006D0559" w:rsidP="006D0559">
      <w:pPr>
        <w:shd w:val="clear" w:color="auto" w:fill="FFFFFF"/>
        <w:rPr>
          <w:color w:val="000000"/>
        </w:rPr>
      </w:pPr>
      <w:r w:rsidRPr="00DD7810">
        <w:rPr>
          <w:color w:val="000000"/>
        </w:rPr>
        <w:t> </w:t>
      </w:r>
    </w:p>
    <w:p w14:paraId="75B827B0" w14:textId="77777777" w:rsidR="006D0559" w:rsidRPr="00DD7810" w:rsidRDefault="006D0559" w:rsidP="006D0559">
      <w:pPr>
        <w:shd w:val="clear" w:color="auto" w:fill="FFFFFF"/>
        <w:rPr>
          <w:color w:val="000000"/>
        </w:rPr>
      </w:pPr>
      <w:r w:rsidRPr="00DD7810">
        <w:rPr>
          <w:color w:val="000000"/>
        </w:rPr>
        <w:t>On 18 March 2020, the Governor-General declared that a human biosecurity emergency exists regarding the listed human disease ‘human coronavirus with pandemic potential’ (section 475 of the Biosecurity Act, </w:t>
      </w:r>
      <w:r w:rsidRPr="00DD7810">
        <w:rPr>
          <w:i/>
          <w:iCs/>
          <w:color w:val="000000"/>
        </w:rPr>
        <w:t>Biosecurity (Human Biosecurity Emergency) (Human Coronavirus with Pandemic Potential) Declaration 2020</w:t>
      </w:r>
      <w:r w:rsidRPr="00DD7810">
        <w:rPr>
          <w:color w:val="000000"/>
        </w:rPr>
        <w:t>). </w:t>
      </w:r>
      <w:r w:rsidRPr="00DD7810">
        <w:rPr>
          <w:color w:val="000000"/>
          <w:shd w:val="clear" w:color="auto" w:fill="FFFFFF"/>
        </w:rPr>
        <w:t>The human biosecurity emergency period is currently in force until 17 April 2022 (unless extended).</w:t>
      </w:r>
    </w:p>
    <w:p w14:paraId="34D78260" w14:textId="77777777" w:rsidR="006D0559" w:rsidRPr="00DD7810" w:rsidRDefault="006D0559" w:rsidP="006D0559">
      <w:pPr>
        <w:shd w:val="clear" w:color="auto" w:fill="FFFFFF"/>
        <w:rPr>
          <w:color w:val="000000"/>
        </w:rPr>
      </w:pPr>
      <w:r w:rsidRPr="00DD7810">
        <w:rPr>
          <w:color w:val="000000"/>
          <w:shd w:val="clear" w:color="auto" w:fill="FFFFFF"/>
        </w:rPr>
        <w:t> </w:t>
      </w:r>
    </w:p>
    <w:p w14:paraId="4AB16508" w14:textId="5C34F2FA" w:rsidR="006D0559" w:rsidRPr="00DD7810" w:rsidRDefault="006D0559" w:rsidP="006D0559">
      <w:pPr>
        <w:shd w:val="clear" w:color="auto" w:fill="FFFFFF"/>
        <w:rPr>
          <w:color w:val="000000"/>
          <w:shd w:val="clear" w:color="auto" w:fill="FFFFFF"/>
        </w:rPr>
      </w:pPr>
      <w:r w:rsidRPr="00DD7810">
        <w:rPr>
          <w:color w:val="000000"/>
          <w:shd w:val="clear" w:color="auto" w:fill="FFFFFF"/>
        </w:rPr>
        <w:t>COVID</w:t>
      </w:r>
      <w:r w:rsidR="00C4068B" w:rsidRPr="00DD7810">
        <w:rPr>
          <w:color w:val="000000"/>
          <w:shd w:val="clear" w:color="auto" w:fill="FFFFFF"/>
        </w:rPr>
        <w:t>-</w:t>
      </w:r>
      <w:r w:rsidRPr="00DD7810">
        <w:rPr>
          <w:color w:val="000000"/>
          <w:shd w:val="clear" w:color="auto" w:fill="FFFFFF"/>
        </w:rPr>
        <w:t>19 has entered Australia and represents a severe and immediate threat to human health in Australia as it has the ability to cause high levels of morbidity and mortality and to disrupt the Australian community socially and economically.</w:t>
      </w:r>
    </w:p>
    <w:p w14:paraId="45076A9A" w14:textId="77777777" w:rsidR="006D0F4C" w:rsidRPr="00DD7810" w:rsidRDefault="006D0F4C" w:rsidP="00BB171B">
      <w:pPr>
        <w:rPr>
          <w:u w:val="single"/>
        </w:rPr>
      </w:pPr>
    </w:p>
    <w:p w14:paraId="20A6EB92" w14:textId="55325756" w:rsidR="009D3235" w:rsidRPr="00DD7810" w:rsidRDefault="009D3235" w:rsidP="0092663A">
      <w:pPr>
        <w:shd w:val="clear" w:color="auto" w:fill="FFFFFF"/>
        <w:rPr>
          <w:b/>
          <w:bCs/>
          <w:i/>
          <w:iCs/>
          <w:color w:val="000000"/>
        </w:rPr>
      </w:pPr>
      <w:r w:rsidRPr="00DD7810">
        <w:rPr>
          <w:b/>
          <w:bCs/>
          <w:color w:val="000000"/>
        </w:rPr>
        <w:t>Reliance on subsection 33(3) of the </w:t>
      </w:r>
      <w:r w:rsidRPr="00DD7810">
        <w:rPr>
          <w:b/>
          <w:bCs/>
          <w:i/>
          <w:iCs/>
          <w:color w:val="000000"/>
        </w:rPr>
        <w:t>Acts Interpretation Act 1901</w:t>
      </w:r>
    </w:p>
    <w:p w14:paraId="074D69B1" w14:textId="77777777" w:rsidR="00743D32" w:rsidRPr="00DD7810" w:rsidRDefault="00743D32" w:rsidP="0092663A">
      <w:pPr>
        <w:shd w:val="clear" w:color="auto" w:fill="FFFFFF"/>
        <w:rPr>
          <w:color w:val="000000"/>
        </w:rPr>
      </w:pPr>
    </w:p>
    <w:p w14:paraId="3EA80054" w14:textId="77777777" w:rsidR="009D3235" w:rsidRPr="00DD7810" w:rsidRDefault="009D3235" w:rsidP="00D24822">
      <w:pPr>
        <w:shd w:val="clear" w:color="auto" w:fill="FFFFFF"/>
        <w:rPr>
          <w:color w:val="000000"/>
        </w:rPr>
      </w:pPr>
      <w:r w:rsidRPr="00DD7810">
        <w:rPr>
          <w:color w:val="000000"/>
        </w:rPr>
        <w:t>Under subsection 33(3) of the </w:t>
      </w:r>
      <w:r w:rsidRPr="00DD7810">
        <w:rPr>
          <w:i/>
          <w:iCs/>
          <w:color w:val="000000"/>
        </w:rPr>
        <w:t>Acts Interpretation Act 1901</w:t>
      </w:r>
      <w:r w:rsidRPr="00DD7810">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AF49678" w14:textId="77777777" w:rsidR="0089554D" w:rsidRPr="00DD7810" w:rsidRDefault="0089554D" w:rsidP="00BB171B">
      <w:pPr>
        <w:rPr>
          <w:b/>
        </w:rPr>
      </w:pPr>
    </w:p>
    <w:p w14:paraId="5F79AFDA" w14:textId="1B13A02D" w:rsidR="00377ABA" w:rsidRPr="00DD7810" w:rsidRDefault="00377ABA" w:rsidP="00BB171B">
      <w:pPr>
        <w:rPr>
          <w:b/>
        </w:rPr>
      </w:pPr>
      <w:r w:rsidRPr="00DD7810">
        <w:rPr>
          <w:b/>
        </w:rPr>
        <w:t>Commencement</w:t>
      </w:r>
    </w:p>
    <w:p w14:paraId="5A5C15A3" w14:textId="77777777" w:rsidR="00377ABA" w:rsidRPr="00DD7810" w:rsidRDefault="00377ABA" w:rsidP="00BB171B">
      <w:pPr>
        <w:rPr>
          <w:b/>
        </w:rPr>
      </w:pPr>
    </w:p>
    <w:p w14:paraId="0B7A4395" w14:textId="5672B8B2" w:rsidR="00EA2B61" w:rsidRPr="00DD7810" w:rsidRDefault="00A533EB" w:rsidP="00BB171B">
      <w:r w:rsidRPr="00DD7810">
        <w:t xml:space="preserve">The </w:t>
      </w:r>
      <w:r w:rsidR="001454C2" w:rsidRPr="00DD7810">
        <w:t>Entry</w:t>
      </w:r>
      <w:r w:rsidR="0003325F" w:rsidRPr="00DD7810">
        <w:t xml:space="preserve"> Requirements Amendment Determination and the </w:t>
      </w:r>
      <w:r w:rsidR="00A526C2" w:rsidRPr="00DD7810">
        <w:t>Overseas Exit Determination</w:t>
      </w:r>
      <w:r w:rsidRPr="00DD7810">
        <w:t xml:space="preserve"> will commence </w:t>
      </w:r>
      <w:r w:rsidR="002B378B" w:rsidRPr="00DD7810">
        <w:t xml:space="preserve">on </w:t>
      </w:r>
      <w:r w:rsidR="007125BE" w:rsidRPr="00DD7810">
        <w:t>1</w:t>
      </w:r>
      <w:r w:rsidR="00A44FA5" w:rsidRPr="00DD7810">
        <w:t>8</w:t>
      </w:r>
      <w:r w:rsidR="007125BE" w:rsidRPr="00DD7810">
        <w:t xml:space="preserve"> </w:t>
      </w:r>
      <w:r w:rsidRPr="00DD7810">
        <w:t xml:space="preserve">April 2022. </w:t>
      </w:r>
    </w:p>
    <w:p w14:paraId="18CBD471" w14:textId="77777777" w:rsidR="00377ABA" w:rsidRPr="00DD7810" w:rsidRDefault="00377ABA" w:rsidP="00BB171B">
      <w:pPr>
        <w:rPr>
          <w:b/>
        </w:rPr>
      </w:pPr>
    </w:p>
    <w:p w14:paraId="5EA1B549" w14:textId="77777777" w:rsidR="00571345" w:rsidRPr="00DD7810" w:rsidRDefault="007757EA" w:rsidP="00BB171B">
      <w:pPr>
        <w:rPr>
          <w:b/>
        </w:rPr>
      </w:pPr>
      <w:r w:rsidRPr="00DD7810">
        <w:rPr>
          <w:b/>
        </w:rPr>
        <w:t>Consultation</w:t>
      </w:r>
    </w:p>
    <w:p w14:paraId="7CB4A13C" w14:textId="77777777" w:rsidR="00571345" w:rsidRPr="00DD7810" w:rsidRDefault="00571345" w:rsidP="00BB171B">
      <w:pPr>
        <w:rPr>
          <w:u w:val="single"/>
        </w:rPr>
      </w:pPr>
    </w:p>
    <w:p w14:paraId="1D9B831C" w14:textId="3DF4929C" w:rsidR="00A526C2" w:rsidRPr="00DD7810" w:rsidRDefault="00A533EB" w:rsidP="00A526C2">
      <w:pPr>
        <w:rPr>
          <w:b/>
        </w:rPr>
      </w:pPr>
      <w:r w:rsidRPr="00DD7810">
        <w:t xml:space="preserve">The </w:t>
      </w:r>
      <w:r w:rsidR="00A63A05" w:rsidRPr="00DD7810">
        <w:t xml:space="preserve">Attorney-General’s Department, the </w:t>
      </w:r>
      <w:r w:rsidRPr="00DD7810">
        <w:t>Department of Agriculture, Water and the Environment, the Department of Home Affairs</w:t>
      </w:r>
      <w:r w:rsidR="00A63A05" w:rsidRPr="00DD7810">
        <w:t xml:space="preserve"> and</w:t>
      </w:r>
      <w:r w:rsidRPr="00DD7810">
        <w:t xml:space="preserve"> the Department of Infrastructure, Transport, Regional Development and Communications</w:t>
      </w:r>
      <w:r w:rsidR="00A63A05" w:rsidRPr="00DD7810">
        <w:t xml:space="preserve"> </w:t>
      </w:r>
      <w:r w:rsidR="005E4188" w:rsidRPr="00DD7810">
        <w:t xml:space="preserve">were consulted. </w:t>
      </w:r>
      <w:r w:rsidR="004808B7" w:rsidRPr="00DD7810">
        <w:rPr>
          <w:i/>
        </w:rPr>
        <w:br w:type="page"/>
      </w:r>
      <w:r w:rsidR="00A526C2" w:rsidRPr="00DD7810">
        <w:rPr>
          <w:b/>
        </w:rPr>
        <w:lastRenderedPageBreak/>
        <w:t>ATTACHMENT</w:t>
      </w:r>
    </w:p>
    <w:p w14:paraId="72019B71" w14:textId="77777777" w:rsidR="00A526C2" w:rsidRPr="00DD7810" w:rsidRDefault="00A526C2" w:rsidP="00A526C2">
      <w:pPr>
        <w:jc w:val="right"/>
        <w:rPr>
          <w:b/>
        </w:rPr>
      </w:pPr>
    </w:p>
    <w:p w14:paraId="42B528D3" w14:textId="73171D8C" w:rsidR="00A526C2" w:rsidRPr="00DD7810" w:rsidRDefault="00A526C2" w:rsidP="00A526C2">
      <w:pPr>
        <w:rPr>
          <w:b/>
          <w:i/>
          <w:u w:val="single"/>
        </w:rPr>
      </w:pPr>
      <w:r w:rsidRPr="00DD7810">
        <w:rPr>
          <w:b/>
          <w:u w:val="single"/>
        </w:rPr>
        <w:t xml:space="preserve">Details of the </w:t>
      </w:r>
      <w:r w:rsidRPr="00DD7810">
        <w:rPr>
          <w:b/>
          <w:i/>
          <w:u w:val="single"/>
        </w:rPr>
        <w:t>Biosecurity (Entry Requirements—Human Coronavirus with Pandemic Potential) Amendment (No. 1) Determination 2022</w:t>
      </w:r>
    </w:p>
    <w:p w14:paraId="3AEBFA59" w14:textId="77777777" w:rsidR="00A526C2" w:rsidRPr="00DD7810" w:rsidRDefault="00A526C2" w:rsidP="00A526C2">
      <w:pPr>
        <w:rPr>
          <w:i/>
          <w:u w:val="single"/>
        </w:rPr>
      </w:pPr>
    </w:p>
    <w:p w14:paraId="09EFFE0E" w14:textId="4400AE54" w:rsidR="00A526C2" w:rsidRPr="00DD7810" w:rsidRDefault="00A526C2" w:rsidP="00A526C2">
      <w:pPr>
        <w:rPr>
          <w:iCs/>
        </w:rPr>
      </w:pPr>
      <w:r w:rsidRPr="00DD7810">
        <w:rPr>
          <w:b/>
        </w:rPr>
        <w:t>Section 1</w:t>
      </w:r>
      <w:r w:rsidRPr="00DD7810">
        <w:t xml:space="preserve"> provides that the name of the instrument is</w:t>
      </w:r>
      <w:r w:rsidR="00DB03D1" w:rsidRPr="00DD7810">
        <w:t xml:space="preserve"> the</w:t>
      </w:r>
      <w:r w:rsidRPr="00DD7810">
        <w:t xml:space="preserve"> </w:t>
      </w:r>
      <w:r w:rsidRPr="00DD7810">
        <w:rPr>
          <w:i/>
          <w:noProof/>
        </w:rPr>
        <w:t>Biosecurity (Entry Requirements—Human Coronavirus with Pandemic Potential) Amendment (No. 1) Determination 2022.</w:t>
      </w:r>
    </w:p>
    <w:p w14:paraId="56F20AC5" w14:textId="77777777" w:rsidR="00A526C2" w:rsidRPr="00DD7810" w:rsidRDefault="00A526C2" w:rsidP="00A526C2">
      <w:pPr>
        <w:rPr>
          <w:b/>
        </w:rPr>
      </w:pPr>
    </w:p>
    <w:p w14:paraId="1E93FD70" w14:textId="744C3147" w:rsidR="00A526C2" w:rsidRPr="00DD7810" w:rsidRDefault="00A526C2" w:rsidP="00A526C2">
      <w:r w:rsidRPr="00DD7810">
        <w:rPr>
          <w:b/>
        </w:rPr>
        <w:t>Section 2</w:t>
      </w:r>
      <w:r w:rsidRPr="00DD7810">
        <w:t xml:space="preserve"> provides that the </w:t>
      </w:r>
      <w:r w:rsidR="001454C2" w:rsidRPr="00DD7810">
        <w:t>Entry</w:t>
      </w:r>
      <w:r w:rsidRPr="00DD7810">
        <w:t xml:space="preserve"> Requirements Amendment Determination commences</w:t>
      </w:r>
      <w:r w:rsidR="00FF0398" w:rsidRPr="00DD7810">
        <w:t xml:space="preserve"> on 18 April 2022</w:t>
      </w:r>
      <w:r w:rsidRPr="00DD7810">
        <w:t xml:space="preserve">. </w:t>
      </w:r>
    </w:p>
    <w:p w14:paraId="2E6E6B4F" w14:textId="77777777" w:rsidR="00A526C2" w:rsidRPr="00DD7810" w:rsidRDefault="00A526C2" w:rsidP="00A526C2">
      <w:pPr>
        <w:rPr>
          <w:b/>
        </w:rPr>
      </w:pPr>
    </w:p>
    <w:p w14:paraId="5D178353" w14:textId="57720D4B" w:rsidR="00A526C2" w:rsidRPr="00DD7810" w:rsidRDefault="00A526C2" w:rsidP="00A526C2">
      <w:r w:rsidRPr="00DD7810">
        <w:rPr>
          <w:b/>
        </w:rPr>
        <w:t>Section 3</w:t>
      </w:r>
      <w:r w:rsidRPr="00DD7810">
        <w:t xml:space="preserve"> states that the authority for making </w:t>
      </w:r>
      <w:bookmarkStart w:id="8" w:name="_Hlk98744341"/>
      <w:r w:rsidRPr="00DD7810">
        <w:t xml:space="preserve">the </w:t>
      </w:r>
      <w:r w:rsidR="001454C2" w:rsidRPr="00DD7810">
        <w:t>Entry</w:t>
      </w:r>
      <w:r w:rsidR="002944DD" w:rsidRPr="00DD7810">
        <w:t xml:space="preserve"> Requirements Amendment Determination</w:t>
      </w:r>
      <w:bookmarkEnd w:id="8"/>
      <w:r w:rsidR="002944DD" w:rsidRPr="00DD7810">
        <w:t xml:space="preserve"> </w:t>
      </w:r>
      <w:r w:rsidRPr="00DD7810">
        <w:t>is subsection 44(2) of the Biosecurity Act.</w:t>
      </w:r>
    </w:p>
    <w:p w14:paraId="6A15E7E2" w14:textId="77777777" w:rsidR="00A526C2" w:rsidRPr="00DD7810" w:rsidRDefault="00A526C2" w:rsidP="00A526C2"/>
    <w:p w14:paraId="216C34C9" w14:textId="2F0CCA59" w:rsidR="002944DD" w:rsidRPr="00DD7810" w:rsidRDefault="00A526C2" w:rsidP="002944DD">
      <w:r w:rsidRPr="00DD7810">
        <w:rPr>
          <w:b/>
        </w:rPr>
        <w:t xml:space="preserve">Section 4 </w:t>
      </w:r>
      <w:r w:rsidR="002944DD" w:rsidRPr="00DD7810">
        <w:t xml:space="preserve">states that each instrument that is specified in a </w:t>
      </w:r>
      <w:r w:rsidR="002F791F" w:rsidRPr="00DD7810">
        <w:t>Schedule to this instrument is amended or repealed as set out in the applicable items in the Schedule concerned, and any other item in a Schedule to this instrument has effect according to its terms.</w:t>
      </w:r>
    </w:p>
    <w:p w14:paraId="4F31C3D5" w14:textId="77777777" w:rsidR="002944DD" w:rsidRPr="00DD7810" w:rsidRDefault="002944DD" w:rsidP="002944DD"/>
    <w:p w14:paraId="7A0DC22C" w14:textId="1B6BF8F0" w:rsidR="00A526C2" w:rsidRPr="00DD7810" w:rsidRDefault="00A526C2" w:rsidP="00A526C2">
      <w:pPr>
        <w:rPr>
          <w:b/>
        </w:rPr>
      </w:pPr>
      <w:r w:rsidRPr="00DD7810">
        <w:rPr>
          <w:b/>
        </w:rPr>
        <w:t xml:space="preserve">Schedule 1 – </w:t>
      </w:r>
      <w:r w:rsidR="002944DD" w:rsidRPr="00DD7810">
        <w:rPr>
          <w:b/>
        </w:rPr>
        <w:t xml:space="preserve">Amendments </w:t>
      </w:r>
    </w:p>
    <w:p w14:paraId="7CDF0FA3" w14:textId="77777777" w:rsidR="00A526C2" w:rsidRPr="00DD7810" w:rsidRDefault="00A526C2" w:rsidP="00A526C2">
      <w:pPr>
        <w:rPr>
          <w:b/>
        </w:rPr>
      </w:pPr>
    </w:p>
    <w:p w14:paraId="1467D196" w14:textId="61A70FC8" w:rsidR="00A526C2" w:rsidRPr="00DD7810" w:rsidRDefault="002944DD" w:rsidP="00A526C2">
      <w:pPr>
        <w:rPr>
          <w:b/>
        </w:rPr>
      </w:pPr>
      <w:r w:rsidRPr="00DD7810">
        <w:rPr>
          <w:b/>
          <w:i/>
        </w:rPr>
        <w:t>Biosecurity (Entry Requirements—Human Coronavirus with Pandemic Potential) Determination 2022</w:t>
      </w:r>
    </w:p>
    <w:p w14:paraId="6DE01439" w14:textId="77777777" w:rsidR="00A526C2" w:rsidRPr="00DD7810" w:rsidRDefault="00A526C2" w:rsidP="00A526C2">
      <w:pPr>
        <w:rPr>
          <w:b/>
        </w:rPr>
      </w:pPr>
    </w:p>
    <w:p w14:paraId="632072CE" w14:textId="176E4623" w:rsidR="002944DD" w:rsidRPr="00DD7810" w:rsidRDefault="00A526C2" w:rsidP="00A533EB">
      <w:r w:rsidRPr="00DD7810">
        <w:rPr>
          <w:b/>
        </w:rPr>
        <w:t>Item 1</w:t>
      </w:r>
      <w:r w:rsidR="002944DD" w:rsidRPr="00DD7810">
        <w:rPr>
          <w:b/>
        </w:rPr>
        <w:t xml:space="preserve"> </w:t>
      </w:r>
      <w:r w:rsidR="002944DD" w:rsidRPr="00DD7810">
        <w:t>repeals the definitions ‘connecting traveller’ and ‘</w:t>
      </w:r>
      <w:r w:rsidR="0008455C" w:rsidRPr="00DD7810">
        <w:t>NAAT test</w:t>
      </w:r>
      <w:r w:rsidR="002944DD" w:rsidRPr="00DD7810">
        <w:t xml:space="preserve">’ from section 4. </w:t>
      </w:r>
    </w:p>
    <w:p w14:paraId="7C85638F" w14:textId="244963A8" w:rsidR="0008455C" w:rsidRPr="00DD7810" w:rsidRDefault="0008455C" w:rsidP="00A533EB"/>
    <w:p w14:paraId="0CE35222" w14:textId="77777777" w:rsidR="00D27046" w:rsidRPr="00DD7810" w:rsidRDefault="00D27046" w:rsidP="00D27046">
      <w:r w:rsidRPr="00DD7810">
        <w:rPr>
          <w:b/>
        </w:rPr>
        <w:t xml:space="preserve">Item 2 </w:t>
      </w:r>
      <w:r w:rsidRPr="00DD7810">
        <w:rPr>
          <w:bCs/>
        </w:rPr>
        <w:t xml:space="preserve">inserts the definition of ‘relevant international voyage’ to section 4 as being </w:t>
      </w:r>
      <w:r w:rsidRPr="00DD7810">
        <w:t>a voyage of a vessel:</w:t>
      </w:r>
    </w:p>
    <w:p w14:paraId="07D2A8CA" w14:textId="77777777" w:rsidR="00D27046" w:rsidRPr="00DD7810" w:rsidRDefault="00D27046" w:rsidP="00D27046">
      <w:pPr>
        <w:pStyle w:val="ListParagraph"/>
        <w:numPr>
          <w:ilvl w:val="0"/>
          <w:numId w:val="18"/>
        </w:numPr>
        <w:spacing w:before="0" w:beforeAutospacing="0"/>
      </w:pPr>
      <w:r w:rsidRPr="00DD7810">
        <w:t>that commences outside Australian territory and is intended to arrive at a port in Australian territory; and</w:t>
      </w:r>
    </w:p>
    <w:p w14:paraId="43579BE1" w14:textId="159A9334" w:rsidR="00D27046" w:rsidRPr="00DD7810" w:rsidRDefault="00D27046" w:rsidP="00A533EB">
      <w:pPr>
        <w:pStyle w:val="ListParagraph"/>
        <w:numPr>
          <w:ilvl w:val="0"/>
          <w:numId w:val="18"/>
        </w:numPr>
      </w:pPr>
      <w:r w:rsidRPr="00DD7810">
        <w:t>for which the scheduled departure time is on or after 18 April 2022.</w:t>
      </w:r>
    </w:p>
    <w:p w14:paraId="2E80DD81" w14:textId="12D66B23" w:rsidR="0008455C" w:rsidRPr="00DD7810" w:rsidRDefault="0069707C" w:rsidP="00A533EB">
      <w:r w:rsidRPr="00DD7810">
        <w:rPr>
          <w:b/>
          <w:bCs/>
        </w:rPr>
        <w:t xml:space="preserve">Item </w:t>
      </w:r>
      <w:r w:rsidR="00D27046" w:rsidRPr="00DD7810">
        <w:rPr>
          <w:b/>
          <w:bCs/>
        </w:rPr>
        <w:t>3</w:t>
      </w:r>
      <w:r w:rsidR="0008455C" w:rsidRPr="00DD7810">
        <w:rPr>
          <w:b/>
          <w:bCs/>
        </w:rPr>
        <w:t xml:space="preserve"> </w:t>
      </w:r>
      <w:r w:rsidR="0008455C" w:rsidRPr="00DD7810">
        <w:t xml:space="preserve">repeals the Part 2 heading and substitutes it with </w:t>
      </w:r>
      <w:r w:rsidRPr="00DD7810">
        <w:t>“</w:t>
      </w:r>
      <w:r w:rsidR="0008455C" w:rsidRPr="00DD7810">
        <w:t>Part 2—Requirements for passengers on flights</w:t>
      </w:r>
      <w:r w:rsidRPr="00DD7810">
        <w:t>”</w:t>
      </w:r>
      <w:r w:rsidR="0008455C" w:rsidRPr="00DD7810">
        <w:t>.</w:t>
      </w:r>
    </w:p>
    <w:p w14:paraId="71D7B44F" w14:textId="7B2D265E" w:rsidR="0008455C" w:rsidRPr="00DD7810" w:rsidRDefault="0008455C" w:rsidP="00A533EB"/>
    <w:p w14:paraId="0E25E51A" w14:textId="6CE780AD" w:rsidR="0008455C" w:rsidRPr="00DD7810" w:rsidRDefault="0069707C" w:rsidP="00A533EB">
      <w:r w:rsidRPr="00DD7810">
        <w:rPr>
          <w:b/>
          <w:bCs/>
        </w:rPr>
        <w:t xml:space="preserve">Item </w:t>
      </w:r>
      <w:r w:rsidR="00D27046" w:rsidRPr="00DD7810">
        <w:rPr>
          <w:b/>
          <w:bCs/>
        </w:rPr>
        <w:t>4</w:t>
      </w:r>
      <w:r w:rsidRPr="00DD7810">
        <w:rPr>
          <w:b/>
          <w:bCs/>
        </w:rPr>
        <w:t xml:space="preserve"> </w:t>
      </w:r>
      <w:r w:rsidR="0008455C" w:rsidRPr="00DD7810">
        <w:t xml:space="preserve">omits </w:t>
      </w:r>
      <w:r w:rsidRPr="00DD7810">
        <w:t>“</w:t>
      </w:r>
      <w:r w:rsidR="0008455C" w:rsidRPr="00DD7810">
        <w:t>(3) to (5)</w:t>
      </w:r>
      <w:r w:rsidRPr="00DD7810">
        <w:t xml:space="preserve">” in subsection 6(2) and substitutes </w:t>
      </w:r>
      <w:bookmarkStart w:id="9" w:name="_Hlk98746109"/>
      <w:r w:rsidRPr="00DD7810">
        <w:t xml:space="preserve">it with </w:t>
      </w:r>
      <w:bookmarkEnd w:id="9"/>
      <w:r w:rsidRPr="00DD7810">
        <w:t>“(3) and (4)”</w:t>
      </w:r>
      <w:r w:rsidR="00440C91" w:rsidRPr="00DD7810">
        <w:t xml:space="preserve">, as per the amendment in item </w:t>
      </w:r>
      <w:r w:rsidR="00D27046" w:rsidRPr="00DD7810">
        <w:t>8</w:t>
      </w:r>
      <w:r w:rsidR="00440C91" w:rsidRPr="00DD7810">
        <w:t>.</w:t>
      </w:r>
    </w:p>
    <w:p w14:paraId="2CD99CD0" w14:textId="77777777" w:rsidR="00D27046" w:rsidRPr="00DD7810" w:rsidRDefault="00D27046" w:rsidP="00A533EB">
      <w:pPr>
        <w:rPr>
          <w:b/>
          <w:bCs/>
        </w:rPr>
      </w:pPr>
    </w:p>
    <w:p w14:paraId="2C781926" w14:textId="67993273" w:rsidR="0069707C" w:rsidRPr="00DD7810" w:rsidRDefault="0069707C" w:rsidP="00A533EB">
      <w:r w:rsidRPr="00DD7810">
        <w:rPr>
          <w:b/>
          <w:bCs/>
        </w:rPr>
        <w:t xml:space="preserve">Item </w:t>
      </w:r>
      <w:r w:rsidR="00D27046" w:rsidRPr="00DD7810">
        <w:rPr>
          <w:b/>
          <w:bCs/>
        </w:rPr>
        <w:t>5</w:t>
      </w:r>
      <w:r w:rsidRPr="00DD7810">
        <w:t xml:space="preserve"> repeals paragraphs 6(2)(d) and (f)</w:t>
      </w:r>
      <w:r w:rsidR="00BB1F95" w:rsidRPr="00DD7810">
        <w:t xml:space="preserve"> as there is no longer a requirement to declare international travel history 14 days prior to travel </w:t>
      </w:r>
      <w:r w:rsidR="00440C91" w:rsidRPr="00DD7810">
        <w:t xml:space="preserve">(noting the amendment as per item </w:t>
      </w:r>
      <w:r w:rsidR="00D27046" w:rsidRPr="00DD7810">
        <w:t>16 and the addition of section 16</w:t>
      </w:r>
      <w:r w:rsidR="00440C91" w:rsidRPr="00DD7810">
        <w:t xml:space="preserve">) </w:t>
      </w:r>
      <w:r w:rsidR="00BB1F95" w:rsidRPr="00DD7810">
        <w:t xml:space="preserve">or that in the 3 days before the day the relevant international flight was scheduled to commence the individual had not been exposed to a person who tested positive to COVID-19. </w:t>
      </w:r>
    </w:p>
    <w:p w14:paraId="0D06ACF8" w14:textId="77777777" w:rsidR="002944DD" w:rsidRPr="00DD7810" w:rsidRDefault="002944DD" w:rsidP="00A533EB">
      <w:pPr>
        <w:rPr>
          <w:b/>
        </w:rPr>
      </w:pPr>
    </w:p>
    <w:p w14:paraId="5D839081" w14:textId="27E67302" w:rsidR="002944DD" w:rsidRPr="00DD7810" w:rsidRDefault="0069707C" w:rsidP="00A533EB">
      <w:pPr>
        <w:rPr>
          <w:bCs/>
        </w:rPr>
      </w:pPr>
      <w:r w:rsidRPr="00DD7810">
        <w:rPr>
          <w:b/>
        </w:rPr>
        <w:t xml:space="preserve">Item </w:t>
      </w:r>
      <w:r w:rsidR="00D27046" w:rsidRPr="00DD7810">
        <w:rPr>
          <w:b/>
        </w:rPr>
        <w:t>6</w:t>
      </w:r>
      <w:r w:rsidRPr="00DD7810">
        <w:rPr>
          <w:b/>
        </w:rPr>
        <w:t xml:space="preserve"> </w:t>
      </w:r>
      <w:r w:rsidRPr="00DD7810">
        <w:rPr>
          <w:bCs/>
        </w:rPr>
        <w:t xml:space="preserve">omits “(d), (e), (f),” in subsection 6(3) and substitutes </w:t>
      </w:r>
      <w:r w:rsidR="00750D3B" w:rsidRPr="00DD7810">
        <w:rPr>
          <w:bCs/>
        </w:rPr>
        <w:t xml:space="preserve">it with </w:t>
      </w:r>
      <w:r w:rsidRPr="00DD7810">
        <w:rPr>
          <w:bCs/>
        </w:rPr>
        <w:t>“(e),”</w:t>
      </w:r>
      <w:r w:rsidR="00440C91" w:rsidRPr="00DD7810">
        <w:rPr>
          <w:bCs/>
        </w:rPr>
        <w:t xml:space="preserve">, </w:t>
      </w:r>
      <w:r w:rsidR="00BB1F95" w:rsidRPr="00DD7810">
        <w:rPr>
          <w:bCs/>
        </w:rPr>
        <w:t xml:space="preserve">as per the amendment in </w:t>
      </w:r>
      <w:r w:rsidR="00440C91" w:rsidRPr="00DD7810">
        <w:rPr>
          <w:bCs/>
        </w:rPr>
        <w:t>i</w:t>
      </w:r>
      <w:r w:rsidR="00BB1F95" w:rsidRPr="00DD7810">
        <w:rPr>
          <w:bCs/>
        </w:rPr>
        <w:t xml:space="preserve">tem </w:t>
      </w:r>
      <w:r w:rsidR="00D27046" w:rsidRPr="00DD7810">
        <w:rPr>
          <w:bCs/>
        </w:rPr>
        <w:t>5</w:t>
      </w:r>
      <w:r w:rsidR="00BB1F95" w:rsidRPr="00DD7810">
        <w:rPr>
          <w:bCs/>
        </w:rPr>
        <w:t xml:space="preserve">. </w:t>
      </w:r>
    </w:p>
    <w:p w14:paraId="1D74BC00" w14:textId="225CFAD5" w:rsidR="0069707C" w:rsidRPr="00DD7810" w:rsidRDefault="0069707C" w:rsidP="00A533EB">
      <w:pPr>
        <w:rPr>
          <w:bCs/>
        </w:rPr>
      </w:pPr>
    </w:p>
    <w:p w14:paraId="640F8502" w14:textId="253C92AC" w:rsidR="0069707C" w:rsidRPr="00DD7810" w:rsidRDefault="0069707C" w:rsidP="00A533EB">
      <w:pPr>
        <w:rPr>
          <w:b/>
        </w:rPr>
      </w:pPr>
      <w:r w:rsidRPr="00DD7810">
        <w:rPr>
          <w:b/>
        </w:rPr>
        <w:t xml:space="preserve">Item </w:t>
      </w:r>
      <w:r w:rsidR="00D27046" w:rsidRPr="00DD7810">
        <w:rPr>
          <w:b/>
        </w:rPr>
        <w:t>7</w:t>
      </w:r>
      <w:r w:rsidRPr="00DD7810">
        <w:rPr>
          <w:bCs/>
        </w:rPr>
        <w:t xml:space="preserve"> omits “Paragraphs (2)(d) and (e) do” in section 6(4) and substitutes </w:t>
      </w:r>
      <w:r w:rsidR="00750D3B" w:rsidRPr="00DD7810">
        <w:rPr>
          <w:bCs/>
        </w:rPr>
        <w:t xml:space="preserve">it with </w:t>
      </w:r>
      <w:r w:rsidRPr="00DD7810">
        <w:rPr>
          <w:bCs/>
        </w:rPr>
        <w:t>“Paragraph (2)(e) does”</w:t>
      </w:r>
      <w:r w:rsidR="00BB1F95" w:rsidRPr="00DD7810">
        <w:rPr>
          <w:bCs/>
        </w:rPr>
        <w:t xml:space="preserve">, as per the amendment in </w:t>
      </w:r>
      <w:r w:rsidR="00440C91" w:rsidRPr="00DD7810">
        <w:rPr>
          <w:bCs/>
        </w:rPr>
        <w:t>i</w:t>
      </w:r>
      <w:r w:rsidR="00BB1F95" w:rsidRPr="00DD7810">
        <w:rPr>
          <w:bCs/>
        </w:rPr>
        <w:t xml:space="preserve">tem </w:t>
      </w:r>
      <w:r w:rsidR="00D27046" w:rsidRPr="00DD7810">
        <w:rPr>
          <w:bCs/>
        </w:rPr>
        <w:t>5</w:t>
      </w:r>
      <w:r w:rsidR="00BB1F95" w:rsidRPr="00DD7810">
        <w:rPr>
          <w:bCs/>
        </w:rPr>
        <w:t>.</w:t>
      </w:r>
    </w:p>
    <w:p w14:paraId="3BF7BDAA" w14:textId="77777777" w:rsidR="002944DD" w:rsidRPr="00DD7810" w:rsidRDefault="002944DD" w:rsidP="00A533EB">
      <w:pPr>
        <w:rPr>
          <w:b/>
        </w:rPr>
      </w:pPr>
    </w:p>
    <w:p w14:paraId="26B65388" w14:textId="3B75CB47" w:rsidR="002944DD" w:rsidRPr="00DD7810" w:rsidRDefault="0069707C" w:rsidP="00A533EB">
      <w:pPr>
        <w:rPr>
          <w:bCs/>
        </w:rPr>
      </w:pPr>
      <w:r w:rsidRPr="00DD7810">
        <w:rPr>
          <w:b/>
        </w:rPr>
        <w:lastRenderedPageBreak/>
        <w:t xml:space="preserve">Item </w:t>
      </w:r>
      <w:r w:rsidR="00D27046" w:rsidRPr="00DD7810">
        <w:rPr>
          <w:b/>
        </w:rPr>
        <w:t>8</w:t>
      </w:r>
      <w:r w:rsidRPr="00DD7810">
        <w:rPr>
          <w:b/>
        </w:rPr>
        <w:t xml:space="preserve"> </w:t>
      </w:r>
      <w:r w:rsidRPr="00DD7810">
        <w:rPr>
          <w:bCs/>
        </w:rPr>
        <w:t>repeals subsection 6(5)</w:t>
      </w:r>
      <w:r w:rsidR="00BB1F95" w:rsidRPr="00DD7810">
        <w:rPr>
          <w:bCs/>
        </w:rPr>
        <w:t xml:space="preserve"> as the declaration that in the 3 days before the day the relevant international flight was scheduled to commence the individual had not been exposed to a person who tested positive to COVID-19 is no longer a requirement. </w:t>
      </w:r>
    </w:p>
    <w:p w14:paraId="3D7AE408" w14:textId="2E8ACCAA" w:rsidR="0069707C" w:rsidRPr="00DD7810" w:rsidRDefault="0069707C" w:rsidP="00A533EB">
      <w:pPr>
        <w:rPr>
          <w:bCs/>
        </w:rPr>
      </w:pPr>
    </w:p>
    <w:p w14:paraId="10C7E28D" w14:textId="0AC20296" w:rsidR="00D27046" w:rsidRPr="00DD7810" w:rsidRDefault="0069707C" w:rsidP="00A533EB">
      <w:pPr>
        <w:rPr>
          <w:bCs/>
        </w:rPr>
      </w:pPr>
      <w:r w:rsidRPr="00DD7810">
        <w:rPr>
          <w:b/>
        </w:rPr>
        <w:t xml:space="preserve">Item </w:t>
      </w:r>
      <w:r w:rsidR="00D27046" w:rsidRPr="00DD7810">
        <w:rPr>
          <w:b/>
        </w:rPr>
        <w:t>9</w:t>
      </w:r>
      <w:r w:rsidR="00750D3B" w:rsidRPr="00DD7810">
        <w:rPr>
          <w:b/>
        </w:rPr>
        <w:t xml:space="preserve"> </w:t>
      </w:r>
      <w:r w:rsidR="00750D3B" w:rsidRPr="00DD7810">
        <w:rPr>
          <w:bCs/>
        </w:rPr>
        <w:t>repeals section 7</w:t>
      </w:r>
      <w:r w:rsidR="00D27046" w:rsidRPr="00DD7810">
        <w:rPr>
          <w:bCs/>
        </w:rPr>
        <w:t xml:space="preserve"> regarding crew statements. </w:t>
      </w:r>
    </w:p>
    <w:p w14:paraId="11A8C8A0" w14:textId="77777777" w:rsidR="008E36BA" w:rsidRPr="00DD7810" w:rsidRDefault="008E36BA" w:rsidP="00A533EB">
      <w:pPr>
        <w:rPr>
          <w:bCs/>
        </w:rPr>
      </w:pPr>
    </w:p>
    <w:p w14:paraId="0C6A70A4" w14:textId="20C1EA26" w:rsidR="002944DD" w:rsidRPr="00DD7810" w:rsidRDefault="00750D3B" w:rsidP="00A533EB">
      <w:pPr>
        <w:rPr>
          <w:bCs/>
        </w:rPr>
      </w:pPr>
      <w:r w:rsidRPr="00DD7810">
        <w:rPr>
          <w:b/>
        </w:rPr>
        <w:t xml:space="preserve">Item </w:t>
      </w:r>
      <w:r w:rsidR="00D27046" w:rsidRPr="00DD7810">
        <w:rPr>
          <w:b/>
        </w:rPr>
        <w:t>10</w:t>
      </w:r>
      <w:r w:rsidRPr="00DD7810">
        <w:rPr>
          <w:bCs/>
        </w:rPr>
        <w:t xml:space="preserve"> omits “or 7” in paragraph 8(1)(a)</w:t>
      </w:r>
      <w:r w:rsidR="00440C91" w:rsidRPr="00DD7810">
        <w:rPr>
          <w:bCs/>
        </w:rPr>
        <w:t xml:space="preserve">, as per the amendments in item </w:t>
      </w:r>
      <w:r w:rsidR="00B61DD3" w:rsidRPr="00DD7810">
        <w:rPr>
          <w:bCs/>
        </w:rPr>
        <w:t>9</w:t>
      </w:r>
      <w:r w:rsidR="00440C91" w:rsidRPr="00DD7810">
        <w:rPr>
          <w:bCs/>
        </w:rPr>
        <w:t>.</w:t>
      </w:r>
    </w:p>
    <w:p w14:paraId="382173F5" w14:textId="77777777" w:rsidR="00750D3B" w:rsidRPr="00DD7810" w:rsidRDefault="00750D3B" w:rsidP="00A533EB">
      <w:pPr>
        <w:rPr>
          <w:bCs/>
        </w:rPr>
      </w:pPr>
    </w:p>
    <w:p w14:paraId="641CEB9A" w14:textId="2667B412" w:rsidR="00750D3B" w:rsidRPr="00DD7810" w:rsidRDefault="00750D3B" w:rsidP="00A533EB">
      <w:pPr>
        <w:rPr>
          <w:b/>
        </w:rPr>
      </w:pPr>
      <w:r w:rsidRPr="00DD7810">
        <w:rPr>
          <w:b/>
        </w:rPr>
        <w:t>Item 1</w:t>
      </w:r>
      <w:r w:rsidR="00D27046" w:rsidRPr="00DD7810">
        <w:rPr>
          <w:b/>
        </w:rPr>
        <w:t>1</w:t>
      </w:r>
      <w:r w:rsidRPr="00DD7810">
        <w:rPr>
          <w:b/>
        </w:rPr>
        <w:t xml:space="preserve"> </w:t>
      </w:r>
      <w:r w:rsidRPr="00DD7810">
        <w:rPr>
          <w:bCs/>
        </w:rPr>
        <w:t>omits “sections 6 and 7” in subsection 8(3) and substitutes it with “section 6”</w:t>
      </w:r>
      <w:r w:rsidR="00440C91" w:rsidRPr="00DD7810">
        <w:rPr>
          <w:bCs/>
        </w:rPr>
        <w:t xml:space="preserve">, as per the amendment in item </w:t>
      </w:r>
      <w:r w:rsidR="00B61DD3" w:rsidRPr="00DD7810">
        <w:rPr>
          <w:bCs/>
        </w:rPr>
        <w:t>9</w:t>
      </w:r>
      <w:r w:rsidR="00440C91" w:rsidRPr="00DD7810">
        <w:rPr>
          <w:bCs/>
        </w:rPr>
        <w:t>.</w:t>
      </w:r>
    </w:p>
    <w:p w14:paraId="64BBE1E0" w14:textId="79358365" w:rsidR="002944DD" w:rsidRPr="00DD7810" w:rsidRDefault="002944DD" w:rsidP="00A533EB">
      <w:pPr>
        <w:rPr>
          <w:b/>
        </w:rPr>
      </w:pPr>
    </w:p>
    <w:p w14:paraId="14FEBB8C" w14:textId="3D6FDDBC" w:rsidR="002F791F" w:rsidRPr="00DD7810" w:rsidRDefault="002F791F" w:rsidP="00A533EB">
      <w:pPr>
        <w:rPr>
          <w:b/>
        </w:rPr>
      </w:pPr>
      <w:r w:rsidRPr="00DD7810">
        <w:rPr>
          <w:b/>
        </w:rPr>
        <w:t>Item 1</w:t>
      </w:r>
      <w:r w:rsidR="00D27046" w:rsidRPr="00DD7810">
        <w:rPr>
          <w:b/>
        </w:rPr>
        <w:t>2</w:t>
      </w:r>
      <w:r w:rsidRPr="00DD7810">
        <w:rPr>
          <w:b/>
        </w:rPr>
        <w:t xml:space="preserve"> </w:t>
      </w:r>
      <w:r w:rsidRPr="00DD7810">
        <w:rPr>
          <w:bCs/>
        </w:rPr>
        <w:t>omits</w:t>
      </w:r>
      <w:r w:rsidRPr="00DD7810">
        <w:rPr>
          <w:b/>
        </w:rPr>
        <w:t xml:space="preserve"> “</w:t>
      </w:r>
      <w:r w:rsidRPr="00DD7810">
        <w:rPr>
          <w:bCs/>
        </w:rPr>
        <w:t>, or section 7 (as applicable),” in subsection 9(1)</w:t>
      </w:r>
      <w:r w:rsidR="00C91DBA" w:rsidRPr="00DD7810">
        <w:rPr>
          <w:bCs/>
        </w:rPr>
        <w:t xml:space="preserve"> as per the amendment in item </w:t>
      </w:r>
      <w:r w:rsidR="00B61DD3" w:rsidRPr="00DD7810">
        <w:rPr>
          <w:bCs/>
        </w:rPr>
        <w:t>9</w:t>
      </w:r>
      <w:r w:rsidR="00C91DBA" w:rsidRPr="00DD7810">
        <w:rPr>
          <w:bCs/>
        </w:rPr>
        <w:t>.</w:t>
      </w:r>
    </w:p>
    <w:p w14:paraId="504488B0" w14:textId="703CB88D" w:rsidR="002F791F" w:rsidRPr="00DD7810" w:rsidRDefault="002F791F" w:rsidP="00A533EB">
      <w:pPr>
        <w:rPr>
          <w:b/>
        </w:rPr>
      </w:pPr>
    </w:p>
    <w:p w14:paraId="2D51F234" w14:textId="470B75AE" w:rsidR="002F791F" w:rsidRPr="00DD7810" w:rsidRDefault="002F791F" w:rsidP="00A533EB">
      <w:pPr>
        <w:rPr>
          <w:bCs/>
        </w:rPr>
      </w:pPr>
      <w:r w:rsidRPr="00DD7810">
        <w:rPr>
          <w:b/>
        </w:rPr>
        <w:t>Item 1</w:t>
      </w:r>
      <w:r w:rsidR="00D27046" w:rsidRPr="00DD7810">
        <w:rPr>
          <w:b/>
        </w:rPr>
        <w:t>3</w:t>
      </w:r>
      <w:r w:rsidRPr="00DD7810">
        <w:rPr>
          <w:b/>
        </w:rPr>
        <w:t xml:space="preserve"> </w:t>
      </w:r>
      <w:r w:rsidRPr="00DD7810">
        <w:rPr>
          <w:bCs/>
        </w:rPr>
        <w:t>omits “or section 7 (as applicable)” in subsection 9(3)</w:t>
      </w:r>
      <w:r w:rsidR="00C91DBA" w:rsidRPr="00DD7810">
        <w:rPr>
          <w:bCs/>
        </w:rPr>
        <w:t xml:space="preserve"> as per the amendment in item </w:t>
      </w:r>
      <w:r w:rsidR="00B61DD3" w:rsidRPr="00DD7810">
        <w:rPr>
          <w:bCs/>
        </w:rPr>
        <w:t>9</w:t>
      </w:r>
      <w:r w:rsidR="00C91DBA" w:rsidRPr="00DD7810">
        <w:rPr>
          <w:bCs/>
        </w:rPr>
        <w:t>.</w:t>
      </w:r>
    </w:p>
    <w:p w14:paraId="7D978B8F" w14:textId="39D1E775" w:rsidR="002F791F" w:rsidRPr="00DD7810" w:rsidRDefault="002F791F" w:rsidP="00A533EB">
      <w:pPr>
        <w:rPr>
          <w:b/>
        </w:rPr>
      </w:pPr>
    </w:p>
    <w:p w14:paraId="44A94CBE" w14:textId="6076A07D" w:rsidR="002F791F" w:rsidRPr="00DD7810" w:rsidRDefault="002F791F" w:rsidP="00A533EB">
      <w:pPr>
        <w:rPr>
          <w:b/>
        </w:rPr>
      </w:pPr>
      <w:r w:rsidRPr="00DD7810">
        <w:rPr>
          <w:b/>
        </w:rPr>
        <w:t>Item 1</w:t>
      </w:r>
      <w:r w:rsidR="00B61DD3" w:rsidRPr="00DD7810">
        <w:rPr>
          <w:b/>
        </w:rPr>
        <w:t>4</w:t>
      </w:r>
      <w:r w:rsidRPr="00DD7810">
        <w:rPr>
          <w:b/>
        </w:rPr>
        <w:t xml:space="preserve"> </w:t>
      </w:r>
      <w:r w:rsidRPr="00DD7810">
        <w:rPr>
          <w:bCs/>
        </w:rPr>
        <w:t>omits “, or section 7 (as applicable),” in subsection 10(1)</w:t>
      </w:r>
      <w:r w:rsidR="00C91DBA" w:rsidRPr="00DD7810">
        <w:rPr>
          <w:bCs/>
        </w:rPr>
        <w:t xml:space="preserve"> as per the amendment in item </w:t>
      </w:r>
      <w:r w:rsidR="00B61DD3" w:rsidRPr="00DD7810">
        <w:rPr>
          <w:bCs/>
        </w:rPr>
        <w:t>9</w:t>
      </w:r>
      <w:r w:rsidR="00C91DBA" w:rsidRPr="00DD7810">
        <w:rPr>
          <w:bCs/>
        </w:rPr>
        <w:t>.</w:t>
      </w:r>
    </w:p>
    <w:p w14:paraId="089EF4D8" w14:textId="5523C3E1" w:rsidR="002F791F" w:rsidRPr="00DD7810" w:rsidRDefault="002F791F" w:rsidP="00A533EB">
      <w:pPr>
        <w:rPr>
          <w:b/>
        </w:rPr>
      </w:pPr>
    </w:p>
    <w:p w14:paraId="581E7E88" w14:textId="07751583" w:rsidR="002F791F" w:rsidRPr="00DD7810" w:rsidRDefault="002F791F" w:rsidP="00A533EB">
      <w:pPr>
        <w:rPr>
          <w:b/>
        </w:rPr>
      </w:pPr>
      <w:r w:rsidRPr="00DD7810">
        <w:rPr>
          <w:b/>
        </w:rPr>
        <w:t>Item 1</w:t>
      </w:r>
      <w:r w:rsidR="00B61DD3" w:rsidRPr="00DD7810">
        <w:rPr>
          <w:b/>
        </w:rPr>
        <w:t xml:space="preserve">5 </w:t>
      </w:r>
      <w:r w:rsidRPr="00DD7810">
        <w:rPr>
          <w:bCs/>
        </w:rPr>
        <w:t>omits “, or section 7 (as applicable),” in subsection 10(4)</w:t>
      </w:r>
      <w:r w:rsidR="00C91DBA" w:rsidRPr="00DD7810">
        <w:rPr>
          <w:bCs/>
        </w:rPr>
        <w:t xml:space="preserve"> as per the amendment in item </w:t>
      </w:r>
      <w:r w:rsidR="00B61DD3" w:rsidRPr="00DD7810">
        <w:rPr>
          <w:bCs/>
        </w:rPr>
        <w:t>9</w:t>
      </w:r>
      <w:r w:rsidR="00C91DBA" w:rsidRPr="00DD7810">
        <w:rPr>
          <w:bCs/>
        </w:rPr>
        <w:t>.</w:t>
      </w:r>
    </w:p>
    <w:p w14:paraId="2EFC4C3D" w14:textId="20058A57" w:rsidR="002F791F" w:rsidRPr="00DD7810" w:rsidRDefault="002F791F" w:rsidP="00A533EB">
      <w:pPr>
        <w:rPr>
          <w:b/>
        </w:rPr>
      </w:pPr>
    </w:p>
    <w:p w14:paraId="4FCC82F6" w14:textId="7BE5CC13" w:rsidR="00B61DD3" w:rsidRPr="00DD7810" w:rsidRDefault="002F791F" w:rsidP="00B61DD3">
      <w:pPr>
        <w:rPr>
          <w:bCs/>
        </w:rPr>
      </w:pPr>
      <w:r w:rsidRPr="00DD7810">
        <w:rPr>
          <w:b/>
        </w:rPr>
        <w:t>Item 1</w:t>
      </w:r>
      <w:r w:rsidR="00B61DD3" w:rsidRPr="00DD7810">
        <w:rPr>
          <w:b/>
        </w:rPr>
        <w:t>6</w:t>
      </w:r>
      <w:r w:rsidRPr="00DD7810">
        <w:rPr>
          <w:b/>
        </w:rPr>
        <w:t xml:space="preserve"> </w:t>
      </w:r>
      <w:r w:rsidRPr="00DD7810">
        <w:rPr>
          <w:bCs/>
        </w:rPr>
        <w:t>repeals Part 3</w:t>
      </w:r>
      <w:r w:rsidR="00C91DBA" w:rsidRPr="00DD7810">
        <w:rPr>
          <w:bCs/>
        </w:rPr>
        <w:t xml:space="preserve"> as there is no longer a requirement for a negative test for COVID-19</w:t>
      </w:r>
      <w:r w:rsidR="00B61DD3" w:rsidRPr="00DD7810">
        <w:rPr>
          <w:bCs/>
        </w:rPr>
        <w:t xml:space="preserve"> and substitutes the following:</w:t>
      </w:r>
    </w:p>
    <w:p w14:paraId="75DA5A4B" w14:textId="0C81EBB5" w:rsidR="002944DD" w:rsidRPr="00DD7810" w:rsidRDefault="002944DD" w:rsidP="00A533EB">
      <w:pPr>
        <w:rPr>
          <w:b/>
        </w:rPr>
      </w:pPr>
    </w:p>
    <w:p w14:paraId="3ED171B9" w14:textId="46D8D889" w:rsidR="000E2DE3" w:rsidRPr="00DD7810" w:rsidRDefault="000E2DE3" w:rsidP="00A533EB">
      <w:pPr>
        <w:rPr>
          <w:b/>
        </w:rPr>
      </w:pPr>
      <w:bookmarkStart w:id="10" w:name="_Hlk98764594"/>
      <w:r w:rsidRPr="00DD7810">
        <w:rPr>
          <w:bCs/>
        </w:rPr>
        <w:t>A heading with ‘</w:t>
      </w:r>
      <w:r w:rsidR="00293690" w:rsidRPr="00DD7810">
        <w:rPr>
          <w:bCs/>
        </w:rPr>
        <w:t>Part 3—R</w:t>
      </w:r>
      <w:r w:rsidR="00B61DD3" w:rsidRPr="00DD7810">
        <w:rPr>
          <w:bCs/>
        </w:rPr>
        <w:t xml:space="preserve">equirements for individuals on </w:t>
      </w:r>
      <w:proofErr w:type="gramStart"/>
      <w:r w:rsidR="00B61DD3" w:rsidRPr="00DD7810">
        <w:rPr>
          <w:bCs/>
        </w:rPr>
        <w:t>voyages</w:t>
      </w:r>
      <w:r w:rsidRPr="00DD7810">
        <w:rPr>
          <w:bCs/>
        </w:rPr>
        <w:t>’</w:t>
      </w:r>
      <w:proofErr w:type="gramEnd"/>
      <w:r w:rsidR="00B61DD3" w:rsidRPr="00DD7810">
        <w:rPr>
          <w:bCs/>
        </w:rPr>
        <w:t xml:space="preserve"> </w:t>
      </w:r>
      <w:bookmarkEnd w:id="10"/>
      <w:r w:rsidR="00B61DD3" w:rsidRPr="00DD7810">
        <w:rPr>
          <w:bCs/>
        </w:rPr>
        <w:t>and</w:t>
      </w:r>
      <w:r w:rsidR="00B61DD3" w:rsidRPr="00DD7810">
        <w:rPr>
          <w:b/>
        </w:rPr>
        <w:t xml:space="preserve"> </w:t>
      </w:r>
      <w:r w:rsidR="00C32DC9" w:rsidRPr="00DD7810">
        <w:rPr>
          <w:bCs/>
        </w:rPr>
        <w:t>subheading</w:t>
      </w:r>
      <w:r w:rsidR="00C32DC9" w:rsidRPr="00DD7810">
        <w:rPr>
          <w:b/>
        </w:rPr>
        <w:t xml:space="preserve"> </w:t>
      </w:r>
      <w:r w:rsidR="00B61DD3" w:rsidRPr="00DD7810">
        <w:rPr>
          <w:bCs/>
        </w:rPr>
        <w:t>‘Division 1—Statements by individuals’</w:t>
      </w:r>
      <w:r w:rsidR="00C32DC9" w:rsidRPr="00DD7810">
        <w:rPr>
          <w:bCs/>
        </w:rPr>
        <w:t xml:space="preserve"> is added.</w:t>
      </w:r>
      <w:r w:rsidR="00293690" w:rsidRPr="00DD7810">
        <w:rPr>
          <w:bCs/>
        </w:rPr>
        <w:t xml:space="preserve"> </w:t>
      </w:r>
    </w:p>
    <w:p w14:paraId="3EE1B086" w14:textId="77777777" w:rsidR="000E2DE3" w:rsidRPr="00DD7810" w:rsidRDefault="000E2DE3" w:rsidP="00A533EB">
      <w:pPr>
        <w:rPr>
          <w:bCs/>
        </w:rPr>
      </w:pPr>
    </w:p>
    <w:p w14:paraId="6F3C3B12" w14:textId="322630EF" w:rsidR="000E2DE3" w:rsidRPr="00DD7810" w:rsidRDefault="000E2DE3" w:rsidP="00A533EB">
      <w:pPr>
        <w:rPr>
          <w:bCs/>
        </w:rPr>
      </w:pPr>
      <w:r w:rsidRPr="00DD7810">
        <w:rPr>
          <w:bCs/>
        </w:rPr>
        <w:t>Section 11 sets out requirements for statements</w:t>
      </w:r>
      <w:r w:rsidR="00B61DD3" w:rsidRPr="00DD7810">
        <w:rPr>
          <w:bCs/>
        </w:rPr>
        <w:t xml:space="preserve"> by</w:t>
      </w:r>
      <w:r w:rsidRPr="00DD7810">
        <w:rPr>
          <w:bCs/>
        </w:rPr>
        <w:t xml:space="preserve"> </w:t>
      </w:r>
      <w:r w:rsidR="00B61DD3" w:rsidRPr="00DD7810">
        <w:rPr>
          <w:bCs/>
        </w:rPr>
        <w:t xml:space="preserve">individuals </w:t>
      </w:r>
      <w:r w:rsidRPr="00DD7810">
        <w:rPr>
          <w:bCs/>
        </w:rPr>
        <w:t xml:space="preserve">for international voyages. </w:t>
      </w:r>
    </w:p>
    <w:p w14:paraId="09891938" w14:textId="6B994252" w:rsidR="000E2DE3" w:rsidRPr="00DD7810" w:rsidRDefault="000E2DE3" w:rsidP="00A533EB">
      <w:pPr>
        <w:rPr>
          <w:bCs/>
        </w:rPr>
      </w:pPr>
    </w:p>
    <w:p w14:paraId="17572CDC" w14:textId="77777777" w:rsidR="001E60A2" w:rsidRPr="00DD7810" w:rsidRDefault="000E2DE3" w:rsidP="001E60A2">
      <w:pPr>
        <w:rPr>
          <w:bCs/>
        </w:rPr>
      </w:pPr>
      <w:r w:rsidRPr="00DD7810">
        <w:rPr>
          <w:bCs/>
        </w:rPr>
        <w:t xml:space="preserve">Subsection 11(1) provides that section </w:t>
      </w:r>
      <w:r w:rsidR="00C91DBA" w:rsidRPr="00DD7810">
        <w:rPr>
          <w:bCs/>
        </w:rPr>
        <w:t xml:space="preserve">11 </w:t>
      </w:r>
      <w:r w:rsidRPr="00DD7810">
        <w:rPr>
          <w:bCs/>
        </w:rPr>
        <w:t>applies to</w:t>
      </w:r>
      <w:r w:rsidRPr="00DD7810">
        <w:t xml:space="preserve"> </w:t>
      </w:r>
      <w:r w:rsidRPr="00DD7810">
        <w:rPr>
          <w:bCs/>
        </w:rPr>
        <w:t>an individual who is entering Australian territory at a port as per the Biosecurity Act and as a passenger of a vessel on a relevant international voyage</w:t>
      </w:r>
      <w:r w:rsidR="00941A7D" w:rsidRPr="00DD7810">
        <w:rPr>
          <w:bCs/>
        </w:rPr>
        <w:t xml:space="preserve">, </w:t>
      </w:r>
      <w:r w:rsidRPr="00DD7810">
        <w:rPr>
          <w:bCs/>
        </w:rPr>
        <w:t>unless</w:t>
      </w:r>
      <w:r w:rsidR="00941A7D" w:rsidRPr="00DD7810">
        <w:rPr>
          <w:bCs/>
        </w:rPr>
        <w:t>:</w:t>
      </w:r>
      <w:r w:rsidRPr="00DD7810">
        <w:rPr>
          <w:bCs/>
        </w:rPr>
        <w:t xml:space="preserve"> </w:t>
      </w:r>
    </w:p>
    <w:p w14:paraId="71D6AA39" w14:textId="480582A2" w:rsidR="00941A7D" w:rsidRPr="00DD7810" w:rsidRDefault="000E2DE3" w:rsidP="001E60A2">
      <w:pPr>
        <w:pStyle w:val="ListParagraph"/>
        <w:numPr>
          <w:ilvl w:val="0"/>
          <w:numId w:val="21"/>
        </w:numPr>
        <w:spacing w:before="0" w:beforeAutospacing="0" w:after="0" w:afterAutospacing="0"/>
        <w:rPr>
          <w:bCs/>
        </w:rPr>
      </w:pPr>
      <w:r w:rsidRPr="00DD7810">
        <w:rPr>
          <w:bCs/>
        </w:rPr>
        <w:t>an exemption was granted under paragraph 1</w:t>
      </w:r>
      <w:r w:rsidR="00941A7D" w:rsidRPr="00DD7810">
        <w:rPr>
          <w:bCs/>
        </w:rPr>
        <w:t>2</w:t>
      </w:r>
      <w:r w:rsidRPr="00DD7810">
        <w:rPr>
          <w:bCs/>
        </w:rPr>
        <w:t>(1)(a) before the voyage commenced</w:t>
      </w:r>
      <w:r w:rsidR="00F10F4E" w:rsidRPr="00DD7810">
        <w:rPr>
          <w:bCs/>
        </w:rPr>
        <w:t>;</w:t>
      </w:r>
      <w:r w:rsidR="00941A7D" w:rsidRPr="00DD7810">
        <w:rPr>
          <w:bCs/>
        </w:rPr>
        <w:t xml:space="preserve"> or </w:t>
      </w:r>
    </w:p>
    <w:p w14:paraId="7013528E" w14:textId="3AF7A36D" w:rsidR="002944DD" w:rsidRPr="00DD7810" w:rsidRDefault="00F10F4E" w:rsidP="001E60A2">
      <w:pPr>
        <w:pStyle w:val="ListParagraph"/>
        <w:numPr>
          <w:ilvl w:val="0"/>
          <w:numId w:val="19"/>
        </w:numPr>
        <w:spacing w:before="0" w:beforeAutospacing="0"/>
        <w:rPr>
          <w:bCs/>
        </w:rPr>
      </w:pPr>
      <w:r w:rsidRPr="00DD7810">
        <w:rPr>
          <w:bCs/>
        </w:rPr>
        <w:t xml:space="preserve">the person is in charge or a crew member of the vessel and </w:t>
      </w:r>
      <w:r w:rsidR="00941A7D" w:rsidRPr="00DD7810">
        <w:rPr>
          <w:bCs/>
        </w:rPr>
        <w:t>has had no interaction with passengers on the voyage and does not intend to disembark from the vessel while in Australian territory.</w:t>
      </w:r>
    </w:p>
    <w:p w14:paraId="6FA3B7E9" w14:textId="70EEEFFA" w:rsidR="003D2E31" w:rsidRPr="00DD7810" w:rsidRDefault="000E2DE3" w:rsidP="00A533EB">
      <w:pPr>
        <w:rPr>
          <w:bCs/>
        </w:rPr>
      </w:pPr>
      <w:r w:rsidRPr="00DD7810">
        <w:rPr>
          <w:bCs/>
        </w:rPr>
        <w:t>Subsection 11(2)</w:t>
      </w:r>
      <w:r w:rsidRPr="00DD7810">
        <w:rPr>
          <w:b/>
        </w:rPr>
        <w:t xml:space="preserve"> </w:t>
      </w:r>
      <w:r w:rsidRPr="00DD7810">
        <w:rPr>
          <w:bCs/>
        </w:rPr>
        <w:t>provides that the individual must be able to produce, to a relevant official, evidence that</w:t>
      </w:r>
      <w:r w:rsidR="003D2E31" w:rsidRPr="00DD7810">
        <w:rPr>
          <w:bCs/>
        </w:rPr>
        <w:t xml:space="preserve"> </w:t>
      </w:r>
      <w:r w:rsidRPr="00DD7810">
        <w:rPr>
          <w:bCs/>
        </w:rPr>
        <w:t>a statement in writing using an electronic system maintained by the Home Affairs Department</w:t>
      </w:r>
      <w:r w:rsidR="000E6F5A" w:rsidRPr="00DD7810">
        <w:rPr>
          <w:bCs/>
        </w:rPr>
        <w:t xml:space="preserve"> or in paper form, if exceptional circumstances prevented the person from using the Home Affairs Department’s system</w:t>
      </w:r>
      <w:r w:rsidR="003D2E31" w:rsidRPr="00DD7810">
        <w:rPr>
          <w:bCs/>
        </w:rPr>
        <w:t>. Relevantly paragraphs (c) to (g) provide that the statement includes:</w:t>
      </w:r>
    </w:p>
    <w:p w14:paraId="408FB81F" w14:textId="7BDC2917" w:rsidR="003D2E31" w:rsidRPr="00DD7810" w:rsidRDefault="003D2E31" w:rsidP="003D2E31">
      <w:pPr>
        <w:pStyle w:val="ListParagraph"/>
        <w:numPr>
          <w:ilvl w:val="0"/>
          <w:numId w:val="18"/>
        </w:numPr>
        <w:spacing w:before="0" w:beforeAutospacing="0"/>
        <w:rPr>
          <w:bCs/>
        </w:rPr>
      </w:pPr>
      <w:r w:rsidRPr="00DD7810">
        <w:rPr>
          <w:bCs/>
        </w:rPr>
        <w:t>details about the individual;</w:t>
      </w:r>
    </w:p>
    <w:p w14:paraId="52DBFBAA" w14:textId="1CFBAD99" w:rsidR="002944DD" w:rsidRPr="00DD7810" w:rsidRDefault="003D2E31" w:rsidP="003D2E31">
      <w:pPr>
        <w:pStyle w:val="ListParagraph"/>
        <w:numPr>
          <w:ilvl w:val="0"/>
          <w:numId w:val="18"/>
        </w:numPr>
        <w:spacing w:before="0" w:beforeAutospacing="0"/>
        <w:rPr>
          <w:bCs/>
        </w:rPr>
      </w:pPr>
      <w:r w:rsidRPr="00DD7810">
        <w:rPr>
          <w:bCs/>
        </w:rPr>
        <w:t>a declaration that individual is aware of the quarantine and testing requirements of the State or Territory in which the port is located</w:t>
      </w:r>
      <w:r w:rsidR="000E6F5A" w:rsidRPr="00DD7810">
        <w:rPr>
          <w:bCs/>
        </w:rPr>
        <w:t xml:space="preserve"> and the penalties for </w:t>
      </w:r>
      <w:proofErr w:type="gramStart"/>
      <w:r w:rsidR="000E6F5A" w:rsidRPr="00DD7810">
        <w:rPr>
          <w:bCs/>
        </w:rPr>
        <w:t>non-compliance</w:t>
      </w:r>
      <w:r w:rsidRPr="00DD7810">
        <w:rPr>
          <w:bCs/>
        </w:rPr>
        <w:t>;</w:t>
      </w:r>
      <w:proofErr w:type="gramEnd"/>
      <w:r w:rsidRPr="00DD7810">
        <w:rPr>
          <w:bCs/>
        </w:rPr>
        <w:t xml:space="preserve"> </w:t>
      </w:r>
    </w:p>
    <w:p w14:paraId="4005162C" w14:textId="5511C6CA" w:rsidR="003D2E31" w:rsidRPr="00DD7810" w:rsidRDefault="003D2E31" w:rsidP="003D2E31">
      <w:pPr>
        <w:pStyle w:val="ListParagraph"/>
        <w:numPr>
          <w:ilvl w:val="0"/>
          <w:numId w:val="18"/>
        </w:numPr>
        <w:spacing w:before="0" w:beforeAutospacing="0"/>
        <w:rPr>
          <w:bCs/>
        </w:rPr>
      </w:pPr>
      <w:r w:rsidRPr="00DD7810">
        <w:rPr>
          <w:bCs/>
        </w:rPr>
        <w:lastRenderedPageBreak/>
        <w:t>their vaccination status</w:t>
      </w:r>
      <w:r w:rsidR="000E6F5A" w:rsidRPr="00DD7810">
        <w:rPr>
          <w:bCs/>
        </w:rPr>
        <w:t xml:space="preserve">, if the person was more than 12 years and 3 months old on the day the relevant international voyage was scheduled to </w:t>
      </w:r>
      <w:proofErr w:type="gramStart"/>
      <w:r w:rsidR="000E6F5A" w:rsidRPr="00DD7810">
        <w:rPr>
          <w:bCs/>
        </w:rPr>
        <w:t>commence</w:t>
      </w:r>
      <w:r w:rsidRPr="00DD7810">
        <w:rPr>
          <w:bCs/>
        </w:rPr>
        <w:t>;</w:t>
      </w:r>
      <w:proofErr w:type="gramEnd"/>
    </w:p>
    <w:p w14:paraId="4F7CC15E" w14:textId="40A46D28" w:rsidR="003D2E31" w:rsidRPr="00DD7810" w:rsidRDefault="003D2E31" w:rsidP="003D2E31">
      <w:pPr>
        <w:pStyle w:val="ListParagraph"/>
        <w:numPr>
          <w:ilvl w:val="0"/>
          <w:numId w:val="18"/>
        </w:numPr>
        <w:spacing w:before="0" w:beforeAutospacing="0"/>
        <w:rPr>
          <w:bCs/>
        </w:rPr>
      </w:pPr>
      <w:r w:rsidRPr="00DD7810">
        <w:rPr>
          <w:bCs/>
        </w:rPr>
        <w:t xml:space="preserve">if the statement was made in paper form, a declaration that exceptional circumstances prevented the individual from using an electronic system maintained by the Home Affairs Department; and </w:t>
      </w:r>
    </w:p>
    <w:p w14:paraId="1A59C372" w14:textId="50E74238" w:rsidR="00941A7D" w:rsidRPr="00DD7810" w:rsidRDefault="003D2E31" w:rsidP="006640F6">
      <w:pPr>
        <w:pStyle w:val="ListParagraph"/>
        <w:numPr>
          <w:ilvl w:val="0"/>
          <w:numId w:val="18"/>
        </w:numPr>
        <w:spacing w:before="0" w:beforeAutospacing="0"/>
        <w:rPr>
          <w:bCs/>
        </w:rPr>
      </w:pPr>
      <w:r w:rsidRPr="00DD7810">
        <w:rPr>
          <w:bCs/>
        </w:rPr>
        <w:t>if the statement was not made before the individual embarked onto the vessel for the voyage—a declaration that exceptional circumstances prevented the individual from making the statement before the individual embarked onto the vessel for the voyage.</w:t>
      </w:r>
    </w:p>
    <w:p w14:paraId="2E19A8CB" w14:textId="1890984F" w:rsidR="008B7794" w:rsidRPr="00DD7810" w:rsidRDefault="003D2E31" w:rsidP="008B7794">
      <w:pPr>
        <w:rPr>
          <w:bCs/>
        </w:rPr>
      </w:pPr>
      <w:r w:rsidRPr="00DD7810">
        <w:rPr>
          <w:bCs/>
        </w:rPr>
        <w:t xml:space="preserve">Subsection 11(2) also notes the following as examples of </w:t>
      </w:r>
      <w:r w:rsidR="008B7794" w:rsidRPr="00DD7810">
        <w:rPr>
          <w:bCs/>
        </w:rPr>
        <w:t>using a paper form for the statement</w:t>
      </w:r>
      <w:r w:rsidRPr="00DD7810">
        <w:rPr>
          <w:bCs/>
        </w:rPr>
        <w:t>:</w:t>
      </w:r>
    </w:p>
    <w:p w14:paraId="37C23923" w14:textId="47279A36" w:rsidR="008B7794" w:rsidRPr="00DD7810" w:rsidRDefault="003D2E31" w:rsidP="008B7794">
      <w:pPr>
        <w:pStyle w:val="ListParagraph"/>
        <w:numPr>
          <w:ilvl w:val="0"/>
          <w:numId w:val="20"/>
        </w:numPr>
        <w:spacing w:before="0" w:beforeAutospacing="0"/>
        <w:rPr>
          <w:bCs/>
        </w:rPr>
      </w:pPr>
      <w:r w:rsidRPr="00DD7810">
        <w:rPr>
          <w:bCs/>
        </w:rPr>
        <w:t>the electronic system was not available to the individual;</w:t>
      </w:r>
      <w:r w:rsidR="008B7794" w:rsidRPr="00DD7810">
        <w:rPr>
          <w:bCs/>
        </w:rPr>
        <w:t xml:space="preserve"> and</w:t>
      </w:r>
    </w:p>
    <w:p w14:paraId="54E22B53" w14:textId="2799496E" w:rsidR="00941A7D" w:rsidRPr="00DD7810" w:rsidRDefault="003D2E31" w:rsidP="006640F6">
      <w:pPr>
        <w:pStyle w:val="ListParagraph"/>
        <w:numPr>
          <w:ilvl w:val="0"/>
          <w:numId w:val="20"/>
        </w:numPr>
        <w:rPr>
          <w:bCs/>
        </w:rPr>
      </w:pPr>
      <w:r w:rsidRPr="00DD7810">
        <w:rPr>
          <w:bCs/>
        </w:rPr>
        <w:t>the electronic system was not available to the individual in a language that the individual understands.</w:t>
      </w:r>
    </w:p>
    <w:p w14:paraId="1D0879C3" w14:textId="3DF56D24" w:rsidR="00941A7D" w:rsidRPr="00DD7810" w:rsidRDefault="00941A7D" w:rsidP="006640F6">
      <w:pPr>
        <w:rPr>
          <w:bCs/>
        </w:rPr>
      </w:pPr>
      <w:r w:rsidRPr="00DD7810">
        <w:rPr>
          <w:bCs/>
        </w:rPr>
        <w:t>Subsection 11(3) states that the time for the requirements of subsection 11(2) is when the individual embarked onto the vessel for the voyage or the end of the voyage, if exceptional circumstances prevented the individual from making the statement before the individual embarked onto the vessel for the voyage.</w:t>
      </w:r>
    </w:p>
    <w:p w14:paraId="0809BE93" w14:textId="77777777" w:rsidR="00941A7D" w:rsidRPr="00DD7810" w:rsidRDefault="00941A7D" w:rsidP="006640F6">
      <w:pPr>
        <w:rPr>
          <w:bCs/>
        </w:rPr>
      </w:pPr>
    </w:p>
    <w:p w14:paraId="49655A28" w14:textId="191AE820" w:rsidR="006640F6" w:rsidRPr="00DD7810" w:rsidRDefault="000E2DE3" w:rsidP="006640F6">
      <w:pPr>
        <w:rPr>
          <w:bCs/>
        </w:rPr>
      </w:pPr>
      <w:r w:rsidRPr="00DD7810">
        <w:rPr>
          <w:bCs/>
        </w:rPr>
        <w:t>Subsection 11(</w:t>
      </w:r>
      <w:r w:rsidR="00941A7D" w:rsidRPr="00DD7810">
        <w:rPr>
          <w:bCs/>
        </w:rPr>
        <w:t>4</w:t>
      </w:r>
      <w:r w:rsidRPr="00DD7810">
        <w:rPr>
          <w:bCs/>
        </w:rPr>
        <w:t xml:space="preserve">) </w:t>
      </w:r>
      <w:r w:rsidR="006640F6" w:rsidRPr="00DD7810">
        <w:rPr>
          <w:bCs/>
        </w:rPr>
        <w:t xml:space="preserve">states </w:t>
      </w:r>
      <w:r w:rsidRPr="00DD7810">
        <w:rPr>
          <w:bCs/>
        </w:rPr>
        <w:t>to</w:t>
      </w:r>
      <w:r w:rsidR="00C91DBA" w:rsidRPr="00DD7810">
        <w:rPr>
          <w:bCs/>
        </w:rPr>
        <w:t xml:space="preserve"> </w:t>
      </w:r>
      <w:r w:rsidR="008B7794" w:rsidRPr="00DD7810">
        <w:rPr>
          <w:bCs/>
        </w:rPr>
        <w:t xml:space="preserve">paragraphs (2)(c), (d), (e), (f) or (g) do not </w:t>
      </w:r>
      <w:r w:rsidR="006640F6" w:rsidRPr="00DD7810">
        <w:rPr>
          <w:bCs/>
        </w:rPr>
        <w:t xml:space="preserve">apply to an individual if, before the relevant international voyage </w:t>
      </w:r>
      <w:r w:rsidR="00A63A05" w:rsidRPr="00DD7810">
        <w:rPr>
          <w:bCs/>
        </w:rPr>
        <w:t>commenced</w:t>
      </w:r>
      <w:r w:rsidR="006640F6" w:rsidRPr="00DD7810">
        <w:rPr>
          <w:bCs/>
        </w:rPr>
        <w:t xml:space="preserve">: </w:t>
      </w:r>
    </w:p>
    <w:p w14:paraId="6EA066A3" w14:textId="51FC0F5A" w:rsidR="006640F6" w:rsidRPr="00DD7810" w:rsidRDefault="006640F6" w:rsidP="006640F6">
      <w:pPr>
        <w:pStyle w:val="ListParagraph"/>
        <w:numPr>
          <w:ilvl w:val="0"/>
          <w:numId w:val="11"/>
        </w:numPr>
        <w:spacing w:before="0" w:beforeAutospacing="0"/>
        <w:rPr>
          <w:bCs/>
        </w:rPr>
      </w:pPr>
      <w:r w:rsidRPr="00DD7810">
        <w:t>an exemption for the purposes of that paragraph was granted under paragraph 1</w:t>
      </w:r>
      <w:r w:rsidR="00941A7D" w:rsidRPr="00DD7810">
        <w:t>2</w:t>
      </w:r>
      <w:r w:rsidRPr="00DD7810">
        <w:t>(1)(b) for the voyage; or</w:t>
      </w:r>
    </w:p>
    <w:p w14:paraId="130165E3" w14:textId="024C2BA3" w:rsidR="006640F6" w:rsidRPr="00DD7810" w:rsidRDefault="006640F6" w:rsidP="006640F6">
      <w:pPr>
        <w:pStyle w:val="ListParagraph"/>
        <w:numPr>
          <w:ilvl w:val="0"/>
          <w:numId w:val="11"/>
        </w:numPr>
        <w:spacing w:before="0" w:beforeAutospacing="0"/>
        <w:rPr>
          <w:bCs/>
        </w:rPr>
      </w:pPr>
      <w:r w:rsidRPr="00DD7810">
        <w:t>an exemption for the purposes of that paragraph that applies to the individual was granted under section 1</w:t>
      </w:r>
      <w:r w:rsidR="00941A7D" w:rsidRPr="00DD7810">
        <w:t>3</w:t>
      </w:r>
      <w:r w:rsidRPr="00DD7810">
        <w:t>; or</w:t>
      </w:r>
    </w:p>
    <w:p w14:paraId="3764209D" w14:textId="18A03E99" w:rsidR="006640F6" w:rsidRPr="00DD7810" w:rsidRDefault="006640F6" w:rsidP="006640F6">
      <w:pPr>
        <w:pStyle w:val="ListParagraph"/>
        <w:numPr>
          <w:ilvl w:val="0"/>
          <w:numId w:val="11"/>
        </w:numPr>
        <w:spacing w:before="0" w:beforeAutospacing="0"/>
        <w:rPr>
          <w:bCs/>
        </w:rPr>
      </w:pPr>
      <w:r w:rsidRPr="00DD7810">
        <w:t>an exemption for the purposes of that paragraph was granted to the individual under section 1</w:t>
      </w:r>
      <w:r w:rsidR="00941A7D" w:rsidRPr="00DD7810">
        <w:t>4</w:t>
      </w:r>
      <w:r w:rsidRPr="00DD7810">
        <w:t>.</w:t>
      </w:r>
    </w:p>
    <w:p w14:paraId="75C47A05" w14:textId="1D96B5CB" w:rsidR="006640F6" w:rsidRPr="00DD7810" w:rsidRDefault="006640F6" w:rsidP="006640F6">
      <w:pPr>
        <w:rPr>
          <w:bCs/>
        </w:rPr>
      </w:pPr>
      <w:r w:rsidRPr="00DD7810">
        <w:rPr>
          <w:bCs/>
        </w:rPr>
        <w:t>Subsection 11(</w:t>
      </w:r>
      <w:r w:rsidR="00941A7D" w:rsidRPr="00DD7810">
        <w:rPr>
          <w:bCs/>
        </w:rPr>
        <w:t>5</w:t>
      </w:r>
      <w:r w:rsidRPr="00DD7810">
        <w:rPr>
          <w:bCs/>
        </w:rPr>
        <w:t>) states that a declaration that an individual is aware</w:t>
      </w:r>
      <w:r w:rsidR="005E4188" w:rsidRPr="00DD7810">
        <w:rPr>
          <w:bCs/>
        </w:rPr>
        <w:t xml:space="preserve"> of</w:t>
      </w:r>
      <w:r w:rsidRPr="00DD7810">
        <w:rPr>
          <w:bCs/>
        </w:rPr>
        <w:t xml:space="preserve"> the quarantine and testing requirements relating to COVID</w:t>
      </w:r>
      <w:r w:rsidR="00800293" w:rsidRPr="00DD7810">
        <w:rPr>
          <w:bCs/>
        </w:rPr>
        <w:t>-</w:t>
      </w:r>
      <w:r w:rsidRPr="00DD7810">
        <w:rPr>
          <w:bCs/>
        </w:rPr>
        <w:t>19 that apply in the State or Territory in which the port is located and the penalties for non</w:t>
      </w:r>
      <w:r w:rsidR="00471D59" w:rsidRPr="00DD7810">
        <w:rPr>
          <w:bCs/>
        </w:rPr>
        <w:t>-</w:t>
      </w:r>
      <w:r w:rsidRPr="00DD7810">
        <w:rPr>
          <w:bCs/>
        </w:rPr>
        <w:t>compliance with those requirements does not apply if the relevant international voyage is:</w:t>
      </w:r>
    </w:p>
    <w:p w14:paraId="2103DCE8" w14:textId="77777777" w:rsidR="006640F6" w:rsidRPr="00DD7810" w:rsidRDefault="006640F6" w:rsidP="006640F6">
      <w:pPr>
        <w:pStyle w:val="ListParagraph"/>
        <w:numPr>
          <w:ilvl w:val="0"/>
          <w:numId w:val="12"/>
        </w:numPr>
        <w:spacing w:before="0" w:beforeAutospacing="0"/>
        <w:rPr>
          <w:bCs/>
        </w:rPr>
      </w:pPr>
      <w:r w:rsidRPr="00DD7810">
        <w:rPr>
          <w:bCs/>
        </w:rPr>
        <w:t>an Australian Government facilitated voyage; or</w:t>
      </w:r>
    </w:p>
    <w:p w14:paraId="04AA5217" w14:textId="49424CB7" w:rsidR="006640F6" w:rsidRPr="00DD7810" w:rsidRDefault="006640F6" w:rsidP="006640F6">
      <w:pPr>
        <w:pStyle w:val="ListParagraph"/>
        <w:numPr>
          <w:ilvl w:val="0"/>
          <w:numId w:val="12"/>
        </w:numPr>
        <w:rPr>
          <w:bCs/>
        </w:rPr>
      </w:pPr>
      <w:r w:rsidRPr="00DD7810">
        <w:rPr>
          <w:bCs/>
        </w:rPr>
        <w:t>an emergency medical evacuation voyage.</w:t>
      </w:r>
    </w:p>
    <w:p w14:paraId="0F85F009" w14:textId="2DAE7B64" w:rsidR="006640F6" w:rsidRPr="00DD7810" w:rsidRDefault="006640F6" w:rsidP="006640F6">
      <w:pPr>
        <w:rPr>
          <w:bCs/>
        </w:rPr>
      </w:pPr>
      <w:r w:rsidRPr="00DD7810">
        <w:rPr>
          <w:bCs/>
        </w:rPr>
        <w:t>Subsection 11(</w:t>
      </w:r>
      <w:r w:rsidR="00941A7D" w:rsidRPr="00DD7810">
        <w:rPr>
          <w:bCs/>
        </w:rPr>
        <w:t>6</w:t>
      </w:r>
      <w:r w:rsidRPr="00DD7810">
        <w:rPr>
          <w:bCs/>
        </w:rPr>
        <w:t>) states a declaration of vaccination status is a declaration of which one of the following apply:</w:t>
      </w:r>
    </w:p>
    <w:p w14:paraId="61D9EF7D" w14:textId="1D083BA2" w:rsidR="006640F6" w:rsidRPr="00DD7810" w:rsidRDefault="006640F6" w:rsidP="00800293">
      <w:pPr>
        <w:pStyle w:val="ListParagraph"/>
        <w:numPr>
          <w:ilvl w:val="0"/>
          <w:numId w:val="15"/>
        </w:numPr>
        <w:spacing w:before="0" w:beforeAutospacing="0" w:after="0" w:afterAutospacing="0"/>
        <w:rPr>
          <w:bCs/>
        </w:rPr>
      </w:pPr>
      <w:r w:rsidRPr="00DD7810">
        <w:rPr>
          <w:bCs/>
        </w:rPr>
        <w:t>the individual:</w:t>
      </w:r>
    </w:p>
    <w:p w14:paraId="31E3BD7F" w14:textId="41D90385" w:rsidR="006640F6" w:rsidRPr="00DD7810" w:rsidRDefault="006640F6" w:rsidP="006640F6">
      <w:pPr>
        <w:pStyle w:val="ListParagraph"/>
        <w:numPr>
          <w:ilvl w:val="0"/>
          <w:numId w:val="13"/>
        </w:numPr>
        <w:spacing w:before="0" w:beforeAutospacing="0"/>
        <w:rPr>
          <w:bCs/>
        </w:rPr>
      </w:pPr>
      <w:r w:rsidRPr="00DD7810">
        <w:rPr>
          <w:bCs/>
        </w:rPr>
        <w:t>has received a course of vaccinations with one or more accepted COVID</w:t>
      </w:r>
      <w:r w:rsidR="00800293" w:rsidRPr="00DD7810">
        <w:rPr>
          <w:bCs/>
        </w:rPr>
        <w:t>-</w:t>
      </w:r>
      <w:r w:rsidRPr="00DD7810">
        <w:rPr>
          <w:bCs/>
        </w:rPr>
        <w:t xml:space="preserve">19 vaccines in accordance with a schedule for receiving that course of vaccinations that is accepted by the Therapeutic Goods Administration </w:t>
      </w:r>
      <w:r w:rsidR="005603AA" w:rsidRPr="00DD7810">
        <w:rPr>
          <w:bCs/>
        </w:rPr>
        <w:t xml:space="preserve">(TGA) </w:t>
      </w:r>
      <w:r w:rsidRPr="00DD7810">
        <w:rPr>
          <w:bCs/>
        </w:rPr>
        <w:t>(whether or not the individual has also received a booster dose of an accepted COVID</w:t>
      </w:r>
      <w:r w:rsidR="00800293" w:rsidRPr="00DD7810">
        <w:rPr>
          <w:bCs/>
        </w:rPr>
        <w:t>-</w:t>
      </w:r>
      <w:r w:rsidRPr="00DD7810">
        <w:rPr>
          <w:bCs/>
        </w:rPr>
        <w:t>19 vaccine); and</w:t>
      </w:r>
    </w:p>
    <w:p w14:paraId="0A34F17B" w14:textId="77777777" w:rsidR="006640F6" w:rsidRPr="00DD7810" w:rsidRDefault="006640F6" w:rsidP="006640F6">
      <w:pPr>
        <w:pStyle w:val="ListParagraph"/>
        <w:numPr>
          <w:ilvl w:val="0"/>
          <w:numId w:val="13"/>
        </w:numPr>
        <w:spacing w:before="0" w:beforeAutospacing="0"/>
        <w:rPr>
          <w:bCs/>
        </w:rPr>
      </w:pPr>
      <w:r w:rsidRPr="00DD7810">
        <w:rPr>
          <w:bCs/>
        </w:rPr>
        <w:t>received the last vaccination in the course of vaccinations at least 7 days before the day the relevant international voyage was scheduled to commence; and</w:t>
      </w:r>
    </w:p>
    <w:p w14:paraId="191064F5" w14:textId="77777777" w:rsidR="006640F6" w:rsidRPr="00DD7810" w:rsidRDefault="006640F6" w:rsidP="006640F6">
      <w:pPr>
        <w:pStyle w:val="ListParagraph"/>
        <w:numPr>
          <w:ilvl w:val="0"/>
          <w:numId w:val="13"/>
        </w:numPr>
        <w:spacing w:before="0" w:beforeAutospacing="0" w:after="0" w:afterAutospacing="0"/>
        <w:rPr>
          <w:bCs/>
        </w:rPr>
      </w:pPr>
      <w:r w:rsidRPr="00DD7810">
        <w:rPr>
          <w:bCs/>
        </w:rPr>
        <w:t>can produce evidence of the matters of the above;</w:t>
      </w:r>
    </w:p>
    <w:p w14:paraId="294FB617" w14:textId="52C278AB" w:rsidR="006640F6" w:rsidRPr="00DD7810" w:rsidRDefault="006640F6" w:rsidP="00800293">
      <w:pPr>
        <w:pStyle w:val="ListParagraph"/>
        <w:numPr>
          <w:ilvl w:val="0"/>
          <w:numId w:val="15"/>
        </w:numPr>
        <w:spacing w:before="0" w:beforeAutospacing="0" w:after="0" w:afterAutospacing="0"/>
        <w:rPr>
          <w:bCs/>
        </w:rPr>
      </w:pPr>
      <w:r w:rsidRPr="00DD7810">
        <w:rPr>
          <w:bCs/>
        </w:rPr>
        <w:t>the individual:</w:t>
      </w:r>
    </w:p>
    <w:p w14:paraId="70DF4535" w14:textId="77777777" w:rsidR="00800293" w:rsidRPr="00DD7810" w:rsidRDefault="006640F6" w:rsidP="00800293">
      <w:pPr>
        <w:pStyle w:val="ListParagraph"/>
        <w:numPr>
          <w:ilvl w:val="0"/>
          <w:numId w:val="14"/>
        </w:numPr>
        <w:spacing w:before="0" w:beforeAutospacing="0" w:after="0" w:afterAutospacing="0"/>
        <w:rPr>
          <w:bCs/>
        </w:rPr>
      </w:pPr>
      <w:r w:rsidRPr="00DD7810">
        <w:rPr>
          <w:bCs/>
        </w:rPr>
        <w:lastRenderedPageBreak/>
        <w:t>has a medical contraindication to COVID</w:t>
      </w:r>
      <w:r w:rsidR="00800293" w:rsidRPr="00DD7810">
        <w:rPr>
          <w:bCs/>
        </w:rPr>
        <w:t>-</w:t>
      </w:r>
      <w:r w:rsidRPr="00DD7810">
        <w:rPr>
          <w:bCs/>
        </w:rPr>
        <w:t>19 vaccines</w:t>
      </w:r>
      <w:r w:rsidR="00800293" w:rsidRPr="00DD7810">
        <w:rPr>
          <w:bCs/>
        </w:rPr>
        <w:t xml:space="preserve"> </w:t>
      </w:r>
      <w:r w:rsidRPr="00DD7810">
        <w:rPr>
          <w:bCs/>
        </w:rPr>
        <w:t>and can produce evidence provided by a medical practitioner of the matter mentioned in subparagraph; or</w:t>
      </w:r>
    </w:p>
    <w:p w14:paraId="5279D342" w14:textId="6CD2DA62" w:rsidR="006640F6" w:rsidRPr="00DD7810" w:rsidRDefault="00800293" w:rsidP="00800293">
      <w:pPr>
        <w:ind w:firstLine="720"/>
        <w:rPr>
          <w:bCs/>
        </w:rPr>
      </w:pPr>
      <w:r w:rsidRPr="00DD7810">
        <w:rPr>
          <w:bCs/>
        </w:rPr>
        <w:t xml:space="preserve">(c) </w:t>
      </w:r>
      <w:r w:rsidR="006640F6" w:rsidRPr="00DD7810">
        <w:rPr>
          <w:bCs/>
        </w:rPr>
        <w:t>neither paragraph (a) nor (b) applies to the individual.</w:t>
      </w:r>
    </w:p>
    <w:p w14:paraId="020EB6F1" w14:textId="77777777" w:rsidR="00800293" w:rsidRPr="00DD7810" w:rsidRDefault="00800293" w:rsidP="00800293">
      <w:pPr>
        <w:rPr>
          <w:bCs/>
        </w:rPr>
      </w:pPr>
    </w:p>
    <w:p w14:paraId="6116A50F" w14:textId="5698DF7B" w:rsidR="00800293" w:rsidRPr="00DD7810" w:rsidRDefault="00800293" w:rsidP="00800293">
      <w:pPr>
        <w:rPr>
          <w:bCs/>
        </w:rPr>
      </w:pPr>
      <w:r w:rsidRPr="00DD7810">
        <w:rPr>
          <w:bCs/>
        </w:rPr>
        <w:t>Subsection 11(</w:t>
      </w:r>
      <w:r w:rsidR="00941A7D" w:rsidRPr="00DD7810">
        <w:rPr>
          <w:bCs/>
        </w:rPr>
        <w:t>7</w:t>
      </w:r>
      <w:r w:rsidRPr="00DD7810">
        <w:rPr>
          <w:bCs/>
        </w:rPr>
        <w:t>) provides that if the individual made a statement in paper form, the individual must provide the statement to a relevant official.</w:t>
      </w:r>
    </w:p>
    <w:p w14:paraId="559B26F4" w14:textId="77777777" w:rsidR="00471D59" w:rsidRPr="00DD7810" w:rsidRDefault="00471D59" w:rsidP="00800293">
      <w:pPr>
        <w:rPr>
          <w:bCs/>
        </w:rPr>
      </w:pPr>
    </w:p>
    <w:p w14:paraId="486F3A1B" w14:textId="39C8E877" w:rsidR="00800293" w:rsidRPr="00DD7810" w:rsidRDefault="00800293" w:rsidP="00800293">
      <w:pPr>
        <w:rPr>
          <w:bCs/>
        </w:rPr>
      </w:pPr>
      <w:r w:rsidRPr="00DD7810">
        <w:rPr>
          <w:bCs/>
        </w:rPr>
        <w:t>Subsection 11(</w:t>
      </w:r>
      <w:r w:rsidR="00941A7D" w:rsidRPr="00DD7810">
        <w:rPr>
          <w:bCs/>
        </w:rPr>
        <w:t>8</w:t>
      </w:r>
      <w:r w:rsidRPr="00DD7810">
        <w:rPr>
          <w:bCs/>
        </w:rPr>
        <w:t>) states that if the individual made a</w:t>
      </w:r>
      <w:r w:rsidR="00941A7D" w:rsidRPr="00DD7810">
        <w:rPr>
          <w:bCs/>
        </w:rPr>
        <w:t xml:space="preserve"> </w:t>
      </w:r>
      <w:r w:rsidRPr="00DD7810">
        <w:rPr>
          <w:bCs/>
        </w:rPr>
        <w:t xml:space="preserve">statement </w:t>
      </w:r>
      <w:r w:rsidR="008B7794" w:rsidRPr="00DD7810">
        <w:rPr>
          <w:bCs/>
        </w:rPr>
        <w:t>electronically, the individual must produce evidence that the individual made the statement if a relevant official asks the individual to do so.</w:t>
      </w:r>
    </w:p>
    <w:p w14:paraId="2966AE29" w14:textId="77777777" w:rsidR="00941A7D" w:rsidRPr="00DD7810" w:rsidRDefault="00941A7D" w:rsidP="00800293">
      <w:pPr>
        <w:rPr>
          <w:bCs/>
        </w:rPr>
      </w:pPr>
    </w:p>
    <w:p w14:paraId="33FA9DA9" w14:textId="4AF28F5F" w:rsidR="00800293" w:rsidRPr="00DD7810" w:rsidRDefault="003B677F" w:rsidP="00800293">
      <w:pPr>
        <w:rPr>
          <w:bCs/>
        </w:rPr>
      </w:pPr>
      <w:r w:rsidRPr="00DD7810">
        <w:rPr>
          <w:bCs/>
        </w:rPr>
        <w:t>Subsection 11(</w:t>
      </w:r>
      <w:r w:rsidR="00C32DC9" w:rsidRPr="00DD7810">
        <w:rPr>
          <w:bCs/>
        </w:rPr>
        <w:t>9</w:t>
      </w:r>
      <w:r w:rsidRPr="00DD7810">
        <w:rPr>
          <w:bCs/>
        </w:rPr>
        <w:t xml:space="preserve">) states that if the individual’s </w:t>
      </w:r>
      <w:r w:rsidR="00C32DC9" w:rsidRPr="00DD7810">
        <w:rPr>
          <w:bCs/>
        </w:rPr>
        <w:t>made statement as per section 11(6)</w:t>
      </w:r>
      <w:r w:rsidRPr="00DD7810">
        <w:rPr>
          <w:bCs/>
        </w:rPr>
        <w:t>, the individual must, if a relevant official asks the individual to do so, produce evidence of receiving a course of vaccinations as per paragraph 11(</w:t>
      </w:r>
      <w:r w:rsidR="00C32DC9" w:rsidRPr="00DD7810">
        <w:rPr>
          <w:bCs/>
        </w:rPr>
        <w:t>6</w:t>
      </w:r>
      <w:r w:rsidRPr="00DD7810">
        <w:rPr>
          <w:bCs/>
        </w:rPr>
        <w:t>)(a) or</w:t>
      </w:r>
      <w:r w:rsidR="005E4188" w:rsidRPr="00DD7810">
        <w:rPr>
          <w:bCs/>
        </w:rPr>
        <w:t xml:space="preserve"> of a</w:t>
      </w:r>
      <w:r w:rsidRPr="00DD7810">
        <w:rPr>
          <w:bCs/>
        </w:rPr>
        <w:t xml:space="preserve"> medical contraindication to COVID-19 as per paragraph 11(</w:t>
      </w:r>
      <w:r w:rsidR="00C32DC9" w:rsidRPr="00DD7810">
        <w:rPr>
          <w:bCs/>
        </w:rPr>
        <w:t>6</w:t>
      </w:r>
      <w:r w:rsidRPr="00DD7810">
        <w:rPr>
          <w:bCs/>
        </w:rPr>
        <w:t xml:space="preserve">)(b). </w:t>
      </w:r>
    </w:p>
    <w:p w14:paraId="6BEABC0F" w14:textId="273D8163" w:rsidR="003B677F" w:rsidRPr="00DD7810" w:rsidRDefault="003B677F" w:rsidP="00800293">
      <w:pPr>
        <w:rPr>
          <w:bCs/>
        </w:rPr>
      </w:pPr>
    </w:p>
    <w:p w14:paraId="7D998934" w14:textId="0F805F32" w:rsidR="003B677F" w:rsidRPr="00DD7810" w:rsidRDefault="003B677F" w:rsidP="00800293">
      <w:pPr>
        <w:rPr>
          <w:bCs/>
        </w:rPr>
      </w:pPr>
      <w:r w:rsidRPr="00DD7810">
        <w:rPr>
          <w:bCs/>
        </w:rPr>
        <w:t>Subsection 11(</w:t>
      </w:r>
      <w:r w:rsidR="00C32DC9" w:rsidRPr="00DD7810">
        <w:rPr>
          <w:bCs/>
        </w:rPr>
        <w:t>10</w:t>
      </w:r>
      <w:r w:rsidRPr="00DD7810">
        <w:rPr>
          <w:bCs/>
        </w:rPr>
        <w:t>) provides that the requirement</w:t>
      </w:r>
      <w:r w:rsidR="00A44ABF" w:rsidRPr="00DD7810">
        <w:rPr>
          <w:bCs/>
        </w:rPr>
        <w:t>s</w:t>
      </w:r>
      <w:r w:rsidRPr="00DD7810">
        <w:rPr>
          <w:bCs/>
        </w:rPr>
        <w:t xml:space="preserve"> </w:t>
      </w:r>
      <w:r w:rsidR="00C43E5B" w:rsidRPr="00DD7810">
        <w:rPr>
          <w:bCs/>
        </w:rPr>
        <w:t>in section 11</w:t>
      </w:r>
      <w:r w:rsidRPr="00DD7810">
        <w:rPr>
          <w:bCs/>
        </w:rPr>
        <w:t xml:space="preserve"> app</w:t>
      </w:r>
      <w:r w:rsidR="00C43E5B" w:rsidRPr="00DD7810">
        <w:rPr>
          <w:bCs/>
        </w:rPr>
        <w:t>ly</w:t>
      </w:r>
      <w:r w:rsidRPr="00DD7810">
        <w:rPr>
          <w:bCs/>
        </w:rPr>
        <w:t xml:space="preserve"> at the </w:t>
      </w:r>
      <w:r w:rsidR="00C91DBA" w:rsidRPr="00DD7810">
        <w:rPr>
          <w:bCs/>
        </w:rPr>
        <w:t>port</w:t>
      </w:r>
      <w:r w:rsidRPr="00DD7810">
        <w:rPr>
          <w:bCs/>
        </w:rPr>
        <w:t xml:space="preserve">. </w:t>
      </w:r>
    </w:p>
    <w:p w14:paraId="60929B04" w14:textId="77777777" w:rsidR="002944DD" w:rsidRPr="00DD7810" w:rsidRDefault="002944DD" w:rsidP="00A533EB">
      <w:pPr>
        <w:rPr>
          <w:b/>
        </w:rPr>
      </w:pPr>
    </w:p>
    <w:p w14:paraId="0177EF6D" w14:textId="548F930D" w:rsidR="00A44ABF" w:rsidRPr="00DD7810" w:rsidRDefault="00A44ABF" w:rsidP="00A44ABF">
      <w:pPr>
        <w:shd w:val="clear" w:color="auto" w:fill="FFFFFF"/>
        <w:rPr>
          <w:color w:val="000000"/>
        </w:rPr>
      </w:pPr>
      <w:bookmarkStart w:id="11" w:name="_Hlk98749054"/>
      <w:r w:rsidRPr="00DD7810">
        <w:rPr>
          <w:color w:val="000000"/>
        </w:rPr>
        <w:t>Subsection 11(</w:t>
      </w:r>
      <w:r w:rsidR="00C32DC9" w:rsidRPr="00DD7810">
        <w:rPr>
          <w:color w:val="000000"/>
        </w:rPr>
        <w:t>10</w:t>
      </w:r>
      <w:r w:rsidRPr="00DD7810">
        <w:rPr>
          <w:color w:val="000000"/>
        </w:rPr>
        <w:t xml:space="preserve">) also notes: </w:t>
      </w:r>
    </w:p>
    <w:p w14:paraId="7128E3CA" w14:textId="77777777" w:rsidR="00A44ABF" w:rsidRPr="00DD7810" w:rsidRDefault="00A44ABF" w:rsidP="00A44ABF">
      <w:pPr>
        <w:pStyle w:val="ListParagraph"/>
        <w:numPr>
          <w:ilvl w:val="0"/>
          <w:numId w:val="9"/>
        </w:numPr>
        <w:shd w:val="clear" w:color="auto" w:fill="FFFFFF"/>
        <w:spacing w:before="0" w:beforeAutospacing="0"/>
        <w:rPr>
          <w:color w:val="000000"/>
        </w:rPr>
      </w:pPr>
      <w:r w:rsidRPr="00DD7810">
        <w:rPr>
          <w:color w:val="000000"/>
        </w:rPr>
        <w:t>that an individual who fails to comply with this requirement may contravene a civil penalty provision under section 46 of the Biosecurity Act;</w:t>
      </w:r>
    </w:p>
    <w:p w14:paraId="48B7A941" w14:textId="77777777" w:rsidR="00A44ABF" w:rsidRPr="00DD7810" w:rsidRDefault="00A44ABF" w:rsidP="00A44ABF">
      <w:pPr>
        <w:pStyle w:val="ListParagraph"/>
        <w:numPr>
          <w:ilvl w:val="0"/>
          <w:numId w:val="9"/>
        </w:numPr>
        <w:shd w:val="clear" w:color="auto" w:fill="FFFFFF"/>
        <w:spacing w:before="0" w:beforeAutospacing="0"/>
        <w:rPr>
          <w:color w:val="000000"/>
        </w:rPr>
      </w:pPr>
      <w:r w:rsidRPr="00DD7810">
        <w:rPr>
          <w:color w:val="000000"/>
        </w:rPr>
        <w:t>that a person may commit an offence or contravene a civil penalty provision if the person provides false or misleading information or documents;</w:t>
      </w:r>
    </w:p>
    <w:p w14:paraId="48E50525" w14:textId="532913DA" w:rsidR="00A44ABF" w:rsidRPr="00DD7810" w:rsidRDefault="00A44ABF" w:rsidP="00A44ABF">
      <w:pPr>
        <w:pStyle w:val="ListParagraph"/>
        <w:numPr>
          <w:ilvl w:val="0"/>
          <w:numId w:val="9"/>
        </w:numPr>
        <w:shd w:val="clear" w:color="auto" w:fill="FFFFFF"/>
        <w:spacing w:before="0" w:beforeAutospacing="0"/>
        <w:rPr>
          <w:color w:val="000000"/>
        </w:rPr>
      </w:pPr>
      <w:r w:rsidRPr="00DD7810">
        <w:rPr>
          <w:color w:val="000000"/>
        </w:rPr>
        <w:t>that protections for children or incapable persons who are subject to the requirements in this section are provided in subdivision B of Division 2 of Part 1 of Chapter 2 of the Biosecurity Act; and</w:t>
      </w:r>
    </w:p>
    <w:p w14:paraId="761B2721" w14:textId="16714D6E" w:rsidR="00C16325" w:rsidRPr="00DD7810" w:rsidRDefault="00A44ABF" w:rsidP="00DB24DA">
      <w:pPr>
        <w:pStyle w:val="ListParagraph"/>
        <w:numPr>
          <w:ilvl w:val="0"/>
          <w:numId w:val="9"/>
        </w:numPr>
        <w:shd w:val="clear" w:color="auto" w:fill="FFFFFF"/>
        <w:spacing w:before="0" w:beforeAutospacing="0"/>
        <w:rPr>
          <w:color w:val="000000"/>
        </w:rPr>
      </w:pPr>
      <w:r w:rsidRPr="00DD7810">
        <w:rPr>
          <w:color w:val="000000"/>
        </w:rPr>
        <w:t>Part 2 of Chapter 11 of the Biosecurity Act deals with confidentiality of personal information collected under the Biosecurity Act.</w:t>
      </w:r>
      <w:bookmarkEnd w:id="11"/>
    </w:p>
    <w:p w14:paraId="67012302" w14:textId="5DC8A97E" w:rsidR="00A44ABF" w:rsidRPr="00DD7810" w:rsidRDefault="00A44ABF" w:rsidP="00A44ABF">
      <w:pPr>
        <w:shd w:val="clear" w:color="auto" w:fill="FFFFFF"/>
        <w:rPr>
          <w:color w:val="000000"/>
        </w:rPr>
      </w:pPr>
      <w:r w:rsidRPr="00DD7810">
        <w:rPr>
          <w:color w:val="000000"/>
        </w:rPr>
        <w:t>Section 1</w:t>
      </w:r>
      <w:r w:rsidR="00C32DC9" w:rsidRPr="00DD7810">
        <w:rPr>
          <w:color w:val="000000"/>
        </w:rPr>
        <w:t>2</w:t>
      </w:r>
      <w:r w:rsidRPr="00DD7810">
        <w:rPr>
          <w:color w:val="000000"/>
        </w:rPr>
        <w:t xml:space="preserve"> provides exemptions</w:t>
      </w:r>
      <w:r w:rsidR="0003325F" w:rsidRPr="00DD7810">
        <w:rPr>
          <w:color w:val="000000"/>
        </w:rPr>
        <w:t xml:space="preserve"> for voyages</w:t>
      </w:r>
      <w:r w:rsidRPr="00DD7810">
        <w:rPr>
          <w:color w:val="000000"/>
        </w:rPr>
        <w:t>.</w:t>
      </w:r>
    </w:p>
    <w:p w14:paraId="29594FAB" w14:textId="62520BEA" w:rsidR="00A44ABF" w:rsidRPr="00DD7810" w:rsidRDefault="00A44ABF" w:rsidP="00A44ABF">
      <w:pPr>
        <w:shd w:val="clear" w:color="auto" w:fill="FFFFFF"/>
        <w:rPr>
          <w:color w:val="000000"/>
        </w:rPr>
      </w:pPr>
    </w:p>
    <w:p w14:paraId="00A00413" w14:textId="00D4266C" w:rsidR="00A44ABF" w:rsidRPr="00DD7810" w:rsidRDefault="00A44ABF" w:rsidP="00A44ABF">
      <w:pPr>
        <w:shd w:val="clear" w:color="auto" w:fill="FFFFFF"/>
        <w:rPr>
          <w:color w:val="000000"/>
        </w:rPr>
      </w:pPr>
      <w:r w:rsidRPr="00DD7810">
        <w:rPr>
          <w:color w:val="000000"/>
        </w:rPr>
        <w:t>Subsection</w:t>
      </w:r>
      <w:r w:rsidR="0003325F" w:rsidRPr="00DD7810">
        <w:rPr>
          <w:color w:val="000000"/>
        </w:rPr>
        <w:t>s</w:t>
      </w:r>
      <w:r w:rsidRPr="00DD7810">
        <w:rPr>
          <w:color w:val="000000"/>
        </w:rPr>
        <w:t xml:space="preserve"> 1</w:t>
      </w:r>
      <w:r w:rsidR="00C32DC9" w:rsidRPr="00DD7810">
        <w:rPr>
          <w:color w:val="000000"/>
        </w:rPr>
        <w:t>2</w:t>
      </w:r>
      <w:r w:rsidRPr="00DD7810">
        <w:rPr>
          <w:color w:val="000000"/>
        </w:rPr>
        <w:t>(1)</w:t>
      </w:r>
      <w:r w:rsidR="0003325F" w:rsidRPr="00DD7810">
        <w:rPr>
          <w:color w:val="000000"/>
        </w:rPr>
        <w:t xml:space="preserve"> and (2)</w:t>
      </w:r>
      <w:r w:rsidRPr="00DD7810">
        <w:rPr>
          <w:color w:val="000000"/>
        </w:rPr>
        <w:t xml:space="preserve"> provide in</w:t>
      </w:r>
      <w:r w:rsidRPr="00DD7810">
        <w:t xml:space="preserve"> </w:t>
      </w:r>
      <w:r w:rsidRPr="00DD7810">
        <w:rPr>
          <w:color w:val="000000"/>
        </w:rPr>
        <w:t>exceptional circumstances, the Director of Human Biosecurity, a chief human biosecurity officer, a human biosecurity officer or a Home Affairs SES employee may, in writing:</w:t>
      </w:r>
    </w:p>
    <w:p w14:paraId="2A833F1E" w14:textId="038E11C9" w:rsidR="00A44ABF" w:rsidRPr="00DD7810" w:rsidRDefault="00A44ABF" w:rsidP="00A44ABF">
      <w:pPr>
        <w:pStyle w:val="ListParagraph"/>
        <w:numPr>
          <w:ilvl w:val="0"/>
          <w:numId w:val="17"/>
        </w:numPr>
        <w:shd w:val="clear" w:color="auto" w:fill="FFFFFF"/>
        <w:spacing w:before="0" w:beforeAutospacing="0"/>
        <w:rPr>
          <w:color w:val="000000"/>
        </w:rPr>
      </w:pPr>
      <w:r w:rsidRPr="00DD7810">
        <w:rPr>
          <w:color w:val="000000"/>
        </w:rPr>
        <w:t>grant an exemption for the purposes of section 1</w:t>
      </w:r>
      <w:r w:rsidR="00C32DC9" w:rsidRPr="00DD7810">
        <w:rPr>
          <w:color w:val="000000"/>
        </w:rPr>
        <w:t>1</w:t>
      </w:r>
      <w:r w:rsidRPr="00DD7810">
        <w:rPr>
          <w:color w:val="000000"/>
        </w:rPr>
        <w:t xml:space="preserve"> for a relevant international voyage; or</w:t>
      </w:r>
    </w:p>
    <w:p w14:paraId="7F9057CC" w14:textId="3847C7B3" w:rsidR="00A44ABF" w:rsidRPr="00DD7810" w:rsidRDefault="00A44ABF" w:rsidP="00A44ABF">
      <w:pPr>
        <w:pStyle w:val="ListParagraph"/>
        <w:numPr>
          <w:ilvl w:val="0"/>
          <w:numId w:val="17"/>
        </w:numPr>
        <w:shd w:val="clear" w:color="auto" w:fill="FFFFFF"/>
        <w:rPr>
          <w:color w:val="000000"/>
        </w:rPr>
      </w:pPr>
      <w:r w:rsidRPr="00DD7810">
        <w:rPr>
          <w:color w:val="000000"/>
        </w:rPr>
        <w:t xml:space="preserve">grant an exemption for the purposes of </w:t>
      </w:r>
      <w:r w:rsidR="008B7794" w:rsidRPr="00DD7810">
        <w:rPr>
          <w:color w:val="000000"/>
        </w:rPr>
        <w:t>any of</w:t>
      </w:r>
      <w:r w:rsidR="00C32DC9" w:rsidRPr="00DD7810">
        <w:rPr>
          <w:color w:val="000000"/>
        </w:rPr>
        <w:t xml:space="preserve"> </w:t>
      </w:r>
      <w:r w:rsidR="008B7794" w:rsidRPr="00DD7810">
        <w:rPr>
          <w:color w:val="000000"/>
        </w:rPr>
        <w:t>paragraphs 11(2)(c) to (</w:t>
      </w:r>
      <w:r w:rsidR="0083391C" w:rsidRPr="00DD7810">
        <w:rPr>
          <w:color w:val="000000"/>
        </w:rPr>
        <w:t>g</w:t>
      </w:r>
      <w:r w:rsidR="008B7794" w:rsidRPr="00DD7810">
        <w:rPr>
          <w:color w:val="000000"/>
        </w:rPr>
        <w:t>) for a relevant international voyage.</w:t>
      </w:r>
    </w:p>
    <w:p w14:paraId="1B3B82D5" w14:textId="60A0D2F8" w:rsidR="00A44ABF" w:rsidRPr="00DD7810" w:rsidRDefault="00A44ABF" w:rsidP="00A533EB">
      <w:pPr>
        <w:rPr>
          <w:bCs/>
        </w:rPr>
      </w:pPr>
      <w:r w:rsidRPr="00DD7810">
        <w:rPr>
          <w:bCs/>
        </w:rPr>
        <w:t>Section 1</w:t>
      </w:r>
      <w:r w:rsidR="00C32DC9" w:rsidRPr="00DD7810">
        <w:rPr>
          <w:bCs/>
        </w:rPr>
        <w:t>3</w:t>
      </w:r>
      <w:r w:rsidRPr="00DD7810">
        <w:rPr>
          <w:bCs/>
        </w:rPr>
        <w:t xml:space="preserve"> </w:t>
      </w:r>
      <w:r w:rsidR="0003325F" w:rsidRPr="00DD7810">
        <w:rPr>
          <w:bCs/>
        </w:rPr>
        <w:t xml:space="preserve">provides exemptions for classes of individuals. </w:t>
      </w:r>
    </w:p>
    <w:p w14:paraId="5D4A39D1" w14:textId="0398E2DE" w:rsidR="0003325F" w:rsidRPr="00DD7810" w:rsidRDefault="0003325F" w:rsidP="00A533EB">
      <w:pPr>
        <w:rPr>
          <w:bCs/>
        </w:rPr>
      </w:pPr>
    </w:p>
    <w:p w14:paraId="1B440D42" w14:textId="04C7616B" w:rsidR="0003325F" w:rsidRPr="00DD7810" w:rsidRDefault="0003325F" w:rsidP="00A533EB">
      <w:pPr>
        <w:rPr>
          <w:bCs/>
        </w:rPr>
      </w:pPr>
      <w:r w:rsidRPr="00DD7810">
        <w:rPr>
          <w:bCs/>
        </w:rPr>
        <w:t>Subsections 1</w:t>
      </w:r>
      <w:r w:rsidR="00C32DC9" w:rsidRPr="00DD7810">
        <w:rPr>
          <w:bCs/>
        </w:rPr>
        <w:t>3</w:t>
      </w:r>
      <w:r w:rsidRPr="00DD7810">
        <w:rPr>
          <w:bCs/>
        </w:rPr>
        <w:t>(1) and (2) provide that</w:t>
      </w:r>
      <w:r w:rsidR="0083391C" w:rsidRPr="00DD7810">
        <w:rPr>
          <w:bCs/>
        </w:rPr>
        <w:t xml:space="preserve"> </w:t>
      </w:r>
      <w:r w:rsidRPr="00DD7810">
        <w:rPr>
          <w:bCs/>
        </w:rPr>
        <w:t>the Director of Human Biosecurity, in exceptional circumstances, may grant</w:t>
      </w:r>
      <w:r w:rsidR="0083391C" w:rsidRPr="00DD7810">
        <w:rPr>
          <w:bCs/>
        </w:rPr>
        <w:t>, in writing,</w:t>
      </w:r>
      <w:r w:rsidRPr="00DD7810">
        <w:rPr>
          <w:bCs/>
        </w:rPr>
        <w:t xml:space="preserve"> an exemption </w:t>
      </w:r>
      <w:r w:rsidR="008B7794" w:rsidRPr="00DD7810">
        <w:rPr>
          <w:bCs/>
        </w:rPr>
        <w:t>for the purposes of any of paragraphs 11(2)(c) to (</w:t>
      </w:r>
      <w:r w:rsidR="0083391C" w:rsidRPr="00DD7810">
        <w:rPr>
          <w:bCs/>
        </w:rPr>
        <w:t>g</w:t>
      </w:r>
      <w:r w:rsidR="008B7794" w:rsidRPr="00DD7810">
        <w:rPr>
          <w:bCs/>
        </w:rPr>
        <w:t xml:space="preserve">) </w:t>
      </w:r>
      <w:r w:rsidRPr="00DD7810">
        <w:rPr>
          <w:bCs/>
        </w:rPr>
        <w:t>to a class of individuals.</w:t>
      </w:r>
    </w:p>
    <w:p w14:paraId="4D3609CE" w14:textId="2D23023F" w:rsidR="0003325F" w:rsidRPr="00DD7810" w:rsidRDefault="0003325F" w:rsidP="00A533EB">
      <w:pPr>
        <w:rPr>
          <w:bCs/>
        </w:rPr>
      </w:pPr>
    </w:p>
    <w:p w14:paraId="77570157" w14:textId="2DCF3875" w:rsidR="0003325F" w:rsidRPr="00DD7810" w:rsidRDefault="0003325F" w:rsidP="00A533EB">
      <w:pPr>
        <w:rPr>
          <w:bCs/>
        </w:rPr>
      </w:pPr>
      <w:r w:rsidRPr="00DD7810">
        <w:rPr>
          <w:bCs/>
        </w:rPr>
        <w:t>Section 1</w:t>
      </w:r>
      <w:r w:rsidR="00C32DC9" w:rsidRPr="00DD7810">
        <w:rPr>
          <w:bCs/>
        </w:rPr>
        <w:t>4</w:t>
      </w:r>
      <w:r w:rsidRPr="00DD7810">
        <w:rPr>
          <w:bCs/>
        </w:rPr>
        <w:t xml:space="preserve"> provides exemptions for individuals. </w:t>
      </w:r>
    </w:p>
    <w:p w14:paraId="5E43D3B5" w14:textId="3077D7DB" w:rsidR="0003325F" w:rsidRPr="00DD7810" w:rsidRDefault="0003325F" w:rsidP="00A533EB">
      <w:pPr>
        <w:rPr>
          <w:bCs/>
        </w:rPr>
      </w:pPr>
    </w:p>
    <w:p w14:paraId="5ABEC576" w14:textId="4D92AC31" w:rsidR="00C32DC9" w:rsidRPr="00DD7810" w:rsidRDefault="0003325F" w:rsidP="00A533EB">
      <w:pPr>
        <w:rPr>
          <w:bCs/>
        </w:rPr>
      </w:pPr>
      <w:r w:rsidRPr="00DD7810">
        <w:rPr>
          <w:bCs/>
        </w:rPr>
        <w:lastRenderedPageBreak/>
        <w:t>Subsection 1</w:t>
      </w:r>
      <w:r w:rsidR="00C32DC9" w:rsidRPr="00DD7810">
        <w:rPr>
          <w:bCs/>
        </w:rPr>
        <w:t>4</w:t>
      </w:r>
      <w:r w:rsidRPr="00DD7810">
        <w:rPr>
          <w:bCs/>
        </w:rPr>
        <w:t xml:space="preserve">(1) provides that in exceptional circumstances </w:t>
      </w:r>
      <w:r w:rsidR="0083391C" w:rsidRPr="00DD7810">
        <w:rPr>
          <w:bCs/>
        </w:rPr>
        <w:t xml:space="preserve">a relevant official </w:t>
      </w:r>
      <w:r w:rsidR="00DB2926" w:rsidRPr="00DD7810">
        <w:rPr>
          <w:bCs/>
        </w:rPr>
        <w:t>may grant an exemption for the purposes of any of paragraphs 11(2)(c) to (</w:t>
      </w:r>
      <w:r w:rsidR="0083391C" w:rsidRPr="00DD7810">
        <w:rPr>
          <w:bCs/>
        </w:rPr>
        <w:t>g</w:t>
      </w:r>
      <w:r w:rsidR="00DB2926" w:rsidRPr="00DD7810">
        <w:rPr>
          <w:bCs/>
        </w:rPr>
        <w:t>) to an individual.</w:t>
      </w:r>
    </w:p>
    <w:p w14:paraId="0EE4B237" w14:textId="77777777" w:rsidR="000301A7" w:rsidRPr="00DD7810" w:rsidRDefault="000301A7" w:rsidP="00A533EB">
      <w:pPr>
        <w:rPr>
          <w:bCs/>
        </w:rPr>
      </w:pPr>
    </w:p>
    <w:p w14:paraId="6F8360E4" w14:textId="5EE47766" w:rsidR="0003325F" w:rsidRPr="00DD7810" w:rsidRDefault="0003325F" w:rsidP="00A533EB">
      <w:pPr>
        <w:rPr>
          <w:bCs/>
        </w:rPr>
      </w:pPr>
      <w:r w:rsidRPr="00DD7810">
        <w:rPr>
          <w:bCs/>
        </w:rPr>
        <w:t>Subsection 1</w:t>
      </w:r>
      <w:r w:rsidR="00C32DC9" w:rsidRPr="00DD7810">
        <w:rPr>
          <w:bCs/>
        </w:rPr>
        <w:t>4</w:t>
      </w:r>
      <w:r w:rsidRPr="00DD7810">
        <w:rPr>
          <w:bCs/>
        </w:rPr>
        <w:t>(2) provides that for the purposes of subsection (1), exceptional circumstances are demonstrated by the individual providing a compelling reason for not complying with the paragraph.</w:t>
      </w:r>
    </w:p>
    <w:p w14:paraId="38CF38AC" w14:textId="00BDE8D1" w:rsidR="0003325F" w:rsidRPr="00DD7810" w:rsidRDefault="0003325F" w:rsidP="00A533EB">
      <w:pPr>
        <w:rPr>
          <w:bCs/>
        </w:rPr>
      </w:pPr>
    </w:p>
    <w:p w14:paraId="10995499" w14:textId="78039B3E" w:rsidR="0003325F" w:rsidRPr="00DD7810" w:rsidRDefault="0003325F" w:rsidP="00A533EB">
      <w:pPr>
        <w:rPr>
          <w:bCs/>
        </w:rPr>
      </w:pPr>
      <w:r w:rsidRPr="00DD7810">
        <w:rPr>
          <w:bCs/>
        </w:rPr>
        <w:t>Subsection 1</w:t>
      </w:r>
      <w:r w:rsidR="00C32DC9" w:rsidRPr="00DD7810">
        <w:rPr>
          <w:bCs/>
        </w:rPr>
        <w:t>4</w:t>
      </w:r>
      <w:r w:rsidRPr="00DD7810">
        <w:rPr>
          <w:bCs/>
        </w:rPr>
        <w:t xml:space="preserve">(3) provides that an exemption under subsection (1) must be in writing. </w:t>
      </w:r>
    </w:p>
    <w:p w14:paraId="350FCE3F" w14:textId="3929EE7A" w:rsidR="00C32DC9" w:rsidRPr="00DD7810" w:rsidRDefault="00C32DC9" w:rsidP="00DB24DA">
      <w:pPr>
        <w:shd w:val="clear" w:color="auto" w:fill="FFFFFF"/>
        <w:rPr>
          <w:color w:val="000000"/>
        </w:rPr>
      </w:pPr>
    </w:p>
    <w:p w14:paraId="7A218A23" w14:textId="435B7C58" w:rsidR="00C32DC9" w:rsidRPr="00DD7810" w:rsidRDefault="00C32DC9" w:rsidP="00C32DC9">
      <w:pPr>
        <w:shd w:val="clear" w:color="auto" w:fill="FFFFFF"/>
        <w:rPr>
          <w:color w:val="000000"/>
        </w:rPr>
      </w:pPr>
      <w:r w:rsidRPr="00DD7810">
        <w:rPr>
          <w:color w:val="000000"/>
        </w:rPr>
        <w:t xml:space="preserve">A subheading ‘Division </w:t>
      </w:r>
      <w:r w:rsidR="005E4870" w:rsidRPr="00DD7810">
        <w:rPr>
          <w:color w:val="000000"/>
        </w:rPr>
        <w:t>2</w:t>
      </w:r>
      <w:r w:rsidRPr="00DD7810">
        <w:rPr>
          <w:color w:val="000000"/>
        </w:rPr>
        <w:t>—</w:t>
      </w:r>
      <w:r w:rsidRPr="00DD7810">
        <w:t xml:space="preserve"> </w:t>
      </w:r>
      <w:r w:rsidRPr="00DD7810">
        <w:rPr>
          <w:color w:val="000000"/>
        </w:rPr>
        <w:t>Declarations by crew—unplanned disembarkation’ is added.</w:t>
      </w:r>
    </w:p>
    <w:p w14:paraId="6F2622CA" w14:textId="25118B0F" w:rsidR="00C43E5B" w:rsidRPr="00DD7810" w:rsidRDefault="00C43E5B" w:rsidP="00C32DC9">
      <w:pPr>
        <w:shd w:val="clear" w:color="auto" w:fill="FFFFFF"/>
        <w:rPr>
          <w:color w:val="000000"/>
        </w:rPr>
      </w:pPr>
    </w:p>
    <w:p w14:paraId="0C251DDB" w14:textId="18AE7FCF" w:rsidR="00C43E5B" w:rsidRPr="00DD7810" w:rsidRDefault="00C43E5B" w:rsidP="00C32DC9">
      <w:pPr>
        <w:shd w:val="clear" w:color="auto" w:fill="FFFFFF"/>
        <w:rPr>
          <w:color w:val="000000"/>
        </w:rPr>
      </w:pPr>
      <w:r w:rsidRPr="00DD7810">
        <w:rPr>
          <w:color w:val="000000"/>
        </w:rPr>
        <w:t>Section 15 requires providing vaccination status on request.</w:t>
      </w:r>
    </w:p>
    <w:p w14:paraId="4F667AFE" w14:textId="77777777" w:rsidR="00C43E5B" w:rsidRPr="00DD7810" w:rsidRDefault="00C43E5B" w:rsidP="00C32DC9">
      <w:pPr>
        <w:shd w:val="clear" w:color="auto" w:fill="FFFFFF"/>
        <w:rPr>
          <w:color w:val="000000"/>
        </w:rPr>
      </w:pPr>
    </w:p>
    <w:p w14:paraId="6695E842" w14:textId="7969F898" w:rsidR="002942F4" w:rsidRPr="00DD7810" w:rsidRDefault="00C43E5B" w:rsidP="00C32DC9">
      <w:pPr>
        <w:shd w:val="clear" w:color="auto" w:fill="FFFFFF"/>
        <w:rPr>
          <w:color w:val="000000"/>
        </w:rPr>
      </w:pPr>
      <w:r w:rsidRPr="00DD7810">
        <w:rPr>
          <w:color w:val="000000"/>
        </w:rPr>
        <w:t xml:space="preserve">Subsection 15(1) states that section </w:t>
      </w:r>
      <w:r w:rsidR="002942F4" w:rsidRPr="00DD7810">
        <w:rPr>
          <w:color w:val="000000"/>
        </w:rPr>
        <w:t xml:space="preserve">15 </w:t>
      </w:r>
      <w:r w:rsidRPr="00DD7810">
        <w:rPr>
          <w:color w:val="000000"/>
        </w:rPr>
        <w:t>applies to an individual if</w:t>
      </w:r>
      <w:r w:rsidR="002942F4" w:rsidRPr="00DD7810">
        <w:rPr>
          <w:color w:val="000000"/>
        </w:rPr>
        <w:t>:</w:t>
      </w:r>
    </w:p>
    <w:p w14:paraId="43676661" w14:textId="7172DB99" w:rsidR="002942F4" w:rsidRPr="00DD7810" w:rsidRDefault="00C43E5B" w:rsidP="002942F4">
      <w:pPr>
        <w:pStyle w:val="ListParagraph"/>
        <w:numPr>
          <w:ilvl w:val="0"/>
          <w:numId w:val="22"/>
        </w:numPr>
        <w:shd w:val="clear" w:color="auto" w:fill="FFFFFF"/>
        <w:rPr>
          <w:color w:val="000000"/>
        </w:rPr>
      </w:pPr>
      <w:r w:rsidRPr="00DD7810">
        <w:rPr>
          <w:color w:val="000000"/>
        </w:rPr>
        <w:t>they are entering Australian territory, at a port</w:t>
      </w:r>
      <w:r w:rsidR="002942F4" w:rsidRPr="00DD7810">
        <w:rPr>
          <w:color w:val="000000"/>
        </w:rPr>
        <w:t>;</w:t>
      </w:r>
      <w:r w:rsidRPr="00DD7810">
        <w:rPr>
          <w:color w:val="000000"/>
        </w:rPr>
        <w:t xml:space="preserve"> and </w:t>
      </w:r>
    </w:p>
    <w:p w14:paraId="7C71301E" w14:textId="77777777" w:rsidR="002942F4" w:rsidRPr="00DD7810" w:rsidRDefault="00C43E5B" w:rsidP="002942F4">
      <w:pPr>
        <w:pStyle w:val="ListParagraph"/>
        <w:numPr>
          <w:ilvl w:val="0"/>
          <w:numId w:val="22"/>
        </w:numPr>
        <w:shd w:val="clear" w:color="auto" w:fill="FFFFFF"/>
        <w:rPr>
          <w:color w:val="000000"/>
        </w:rPr>
      </w:pPr>
      <w:r w:rsidRPr="00DD7810">
        <w:rPr>
          <w:color w:val="000000"/>
        </w:rPr>
        <w:t xml:space="preserve">on </w:t>
      </w:r>
      <w:r w:rsidR="002942F4" w:rsidRPr="00DD7810">
        <w:rPr>
          <w:color w:val="000000"/>
        </w:rPr>
        <w:t xml:space="preserve">a </w:t>
      </w:r>
      <w:r w:rsidRPr="00DD7810">
        <w:rPr>
          <w:color w:val="000000"/>
        </w:rPr>
        <w:t>vessel on a relevant international voyage</w:t>
      </w:r>
      <w:r w:rsidR="002942F4" w:rsidRPr="00DD7810">
        <w:rPr>
          <w:color w:val="000000"/>
        </w:rPr>
        <w:t>; and</w:t>
      </w:r>
      <w:r w:rsidR="001E60A2" w:rsidRPr="00DD7810">
        <w:rPr>
          <w:color w:val="000000"/>
        </w:rPr>
        <w:t xml:space="preserve"> </w:t>
      </w:r>
    </w:p>
    <w:p w14:paraId="66BB4C29" w14:textId="77777777" w:rsidR="002942F4" w:rsidRPr="00DD7810" w:rsidRDefault="002942F4" w:rsidP="002942F4">
      <w:pPr>
        <w:pStyle w:val="ListParagraph"/>
        <w:numPr>
          <w:ilvl w:val="0"/>
          <w:numId w:val="22"/>
        </w:numPr>
        <w:shd w:val="clear" w:color="auto" w:fill="FFFFFF"/>
        <w:rPr>
          <w:color w:val="000000"/>
        </w:rPr>
      </w:pPr>
      <w:r w:rsidRPr="00DD7810">
        <w:rPr>
          <w:color w:val="000000"/>
        </w:rPr>
        <w:t xml:space="preserve">the individual is in charge or a member of the crew and has had no interaction with passengers on the voyage and does not intend to disembark; and </w:t>
      </w:r>
    </w:p>
    <w:p w14:paraId="5B7FAD1C" w14:textId="44AD5CF9" w:rsidR="00C43E5B" w:rsidRPr="00DD7810" w:rsidRDefault="002942F4" w:rsidP="00DB24DA">
      <w:pPr>
        <w:pStyle w:val="ListParagraph"/>
        <w:numPr>
          <w:ilvl w:val="0"/>
          <w:numId w:val="22"/>
        </w:numPr>
        <w:shd w:val="clear" w:color="auto" w:fill="FFFFFF"/>
        <w:rPr>
          <w:color w:val="000000"/>
        </w:rPr>
      </w:pPr>
      <w:r w:rsidRPr="00DD7810">
        <w:rPr>
          <w:color w:val="000000"/>
        </w:rPr>
        <w:t xml:space="preserve">they </w:t>
      </w:r>
      <w:r w:rsidR="001E60A2" w:rsidRPr="00DD7810">
        <w:rPr>
          <w:color w:val="000000"/>
        </w:rPr>
        <w:t>disembark</w:t>
      </w:r>
      <w:r w:rsidRPr="00DD7810">
        <w:rPr>
          <w:color w:val="000000"/>
        </w:rPr>
        <w:t>.</w:t>
      </w:r>
      <w:r w:rsidR="00C43E5B" w:rsidRPr="00DD7810">
        <w:rPr>
          <w:color w:val="000000"/>
        </w:rPr>
        <w:t xml:space="preserve"> </w:t>
      </w:r>
    </w:p>
    <w:p w14:paraId="24A279E7" w14:textId="0BD0860D" w:rsidR="00C43E5B" w:rsidRPr="00DD7810" w:rsidRDefault="00C43E5B" w:rsidP="00C32DC9">
      <w:pPr>
        <w:shd w:val="clear" w:color="auto" w:fill="FFFFFF"/>
        <w:rPr>
          <w:color w:val="000000"/>
        </w:rPr>
      </w:pPr>
      <w:r w:rsidRPr="00DD7810">
        <w:rPr>
          <w:color w:val="000000"/>
        </w:rPr>
        <w:t>Subsection 15(2) states that if a relevant official asks the individual to do so, the individual must make, and give to the relevant official, a declaration about their vaccination status as per subsection 11(6).</w:t>
      </w:r>
    </w:p>
    <w:p w14:paraId="59B35762" w14:textId="502C24B4" w:rsidR="00C43E5B" w:rsidRPr="00DD7810" w:rsidRDefault="00C43E5B" w:rsidP="00C32DC9">
      <w:pPr>
        <w:shd w:val="clear" w:color="auto" w:fill="FFFFFF"/>
        <w:rPr>
          <w:color w:val="000000"/>
        </w:rPr>
      </w:pPr>
    </w:p>
    <w:p w14:paraId="4888E44F" w14:textId="01D27073" w:rsidR="00C43E5B" w:rsidRPr="00DD7810" w:rsidRDefault="00C43E5B" w:rsidP="00C32DC9">
      <w:pPr>
        <w:shd w:val="clear" w:color="auto" w:fill="FFFFFF"/>
        <w:rPr>
          <w:color w:val="000000"/>
        </w:rPr>
      </w:pPr>
      <w:r w:rsidRPr="00DD7810">
        <w:rPr>
          <w:color w:val="000000"/>
        </w:rPr>
        <w:t>Subsection 15(3) provides that the requirements in section 15 apply at the port</w:t>
      </w:r>
      <w:r w:rsidR="001E60A2" w:rsidRPr="00DD7810">
        <w:rPr>
          <w:color w:val="000000"/>
        </w:rPr>
        <w:t>.</w:t>
      </w:r>
    </w:p>
    <w:p w14:paraId="0130AE78" w14:textId="43A1D809" w:rsidR="00C16325" w:rsidRPr="00DD7810" w:rsidRDefault="00C16325" w:rsidP="00C32DC9">
      <w:pPr>
        <w:shd w:val="clear" w:color="auto" w:fill="FFFFFF"/>
        <w:rPr>
          <w:color w:val="000000"/>
        </w:rPr>
      </w:pPr>
    </w:p>
    <w:p w14:paraId="2BF57762" w14:textId="5B226239" w:rsidR="00C16325" w:rsidRPr="00DD7810" w:rsidRDefault="00C16325" w:rsidP="00C16325">
      <w:pPr>
        <w:shd w:val="clear" w:color="auto" w:fill="FFFFFF"/>
        <w:rPr>
          <w:color w:val="000000"/>
        </w:rPr>
      </w:pPr>
      <w:r w:rsidRPr="00DD7810">
        <w:rPr>
          <w:color w:val="000000"/>
        </w:rPr>
        <w:t xml:space="preserve">Subsection 15(3) also notes: </w:t>
      </w:r>
    </w:p>
    <w:p w14:paraId="02F1BB14" w14:textId="77777777" w:rsidR="00C16325" w:rsidRPr="00DD7810" w:rsidRDefault="00C16325" w:rsidP="00C16325">
      <w:pPr>
        <w:pStyle w:val="ListParagraph"/>
        <w:numPr>
          <w:ilvl w:val="0"/>
          <w:numId w:val="9"/>
        </w:numPr>
        <w:shd w:val="clear" w:color="auto" w:fill="FFFFFF"/>
        <w:spacing w:before="0" w:beforeAutospacing="0"/>
        <w:rPr>
          <w:color w:val="000000"/>
        </w:rPr>
      </w:pPr>
      <w:r w:rsidRPr="00DD7810">
        <w:rPr>
          <w:color w:val="000000"/>
        </w:rPr>
        <w:t xml:space="preserve">that an individual who fails to comply with this requirement may contravene a civil penalty provision under section 46 of the Biosecurity </w:t>
      </w:r>
      <w:proofErr w:type="gramStart"/>
      <w:r w:rsidRPr="00DD7810">
        <w:rPr>
          <w:color w:val="000000"/>
        </w:rPr>
        <w:t>Act;</w:t>
      </w:r>
      <w:proofErr w:type="gramEnd"/>
    </w:p>
    <w:p w14:paraId="0EA2A4E4" w14:textId="77777777" w:rsidR="00C16325" w:rsidRPr="00DD7810" w:rsidRDefault="00C16325" w:rsidP="00C16325">
      <w:pPr>
        <w:pStyle w:val="ListParagraph"/>
        <w:numPr>
          <w:ilvl w:val="0"/>
          <w:numId w:val="9"/>
        </w:numPr>
        <w:shd w:val="clear" w:color="auto" w:fill="FFFFFF"/>
        <w:spacing w:before="0" w:beforeAutospacing="0"/>
        <w:rPr>
          <w:color w:val="000000"/>
        </w:rPr>
      </w:pPr>
      <w:r w:rsidRPr="00DD7810">
        <w:rPr>
          <w:color w:val="000000"/>
        </w:rPr>
        <w:t xml:space="preserve">that a person may commit an offence or contravene a civil penalty provision if the person provides false or misleading information or </w:t>
      </w:r>
      <w:proofErr w:type="gramStart"/>
      <w:r w:rsidRPr="00DD7810">
        <w:rPr>
          <w:color w:val="000000"/>
        </w:rPr>
        <w:t>documents;</w:t>
      </w:r>
      <w:proofErr w:type="gramEnd"/>
    </w:p>
    <w:p w14:paraId="2EAF7FD1" w14:textId="77777777" w:rsidR="00C16325" w:rsidRPr="00DD7810" w:rsidRDefault="00C16325" w:rsidP="00C16325">
      <w:pPr>
        <w:pStyle w:val="ListParagraph"/>
        <w:numPr>
          <w:ilvl w:val="0"/>
          <w:numId w:val="9"/>
        </w:numPr>
        <w:shd w:val="clear" w:color="auto" w:fill="FFFFFF"/>
        <w:spacing w:before="0" w:beforeAutospacing="0"/>
        <w:rPr>
          <w:color w:val="000000"/>
        </w:rPr>
      </w:pPr>
      <w:r w:rsidRPr="00DD7810">
        <w:rPr>
          <w:color w:val="000000"/>
        </w:rPr>
        <w:t>that protections for children or incapable persons who are subject to the requirements in this section are provided in subdivision B of Division 2 of Part 1 of Chapter 2 of the Biosecurity Act; and</w:t>
      </w:r>
    </w:p>
    <w:p w14:paraId="3F2DCFAC" w14:textId="18189CB8" w:rsidR="00C32DC9" w:rsidRPr="00DD7810" w:rsidRDefault="00C16325" w:rsidP="00293690">
      <w:pPr>
        <w:pStyle w:val="ListParagraph"/>
        <w:numPr>
          <w:ilvl w:val="0"/>
          <w:numId w:val="9"/>
        </w:numPr>
        <w:shd w:val="clear" w:color="auto" w:fill="FFFFFF"/>
        <w:spacing w:before="0" w:beforeAutospacing="0"/>
        <w:rPr>
          <w:color w:val="000000"/>
        </w:rPr>
      </w:pPr>
      <w:r w:rsidRPr="00DD7810">
        <w:rPr>
          <w:color w:val="000000"/>
        </w:rPr>
        <w:t>Part 2 of Chapter 11 of the Biosecurity Act deals with confidentiality of personal information collected under the Biosecurity Act.</w:t>
      </w:r>
    </w:p>
    <w:p w14:paraId="60400DDB" w14:textId="1BB7F84B" w:rsidR="00C43E5B" w:rsidRPr="00DD7810" w:rsidRDefault="00C43E5B" w:rsidP="00C32DC9">
      <w:pPr>
        <w:rPr>
          <w:bCs/>
        </w:rPr>
      </w:pPr>
      <w:r w:rsidRPr="00DD7810">
        <w:rPr>
          <w:bCs/>
        </w:rPr>
        <w:t xml:space="preserve">A heading with ‘Part 4—Travel history declarations—passengers on flights and individuals on voyages’ is added. </w:t>
      </w:r>
    </w:p>
    <w:p w14:paraId="7BBD1D10" w14:textId="77777777" w:rsidR="00C43E5B" w:rsidRPr="00DD7810" w:rsidRDefault="00C43E5B" w:rsidP="00C32DC9">
      <w:pPr>
        <w:rPr>
          <w:bCs/>
        </w:rPr>
      </w:pPr>
    </w:p>
    <w:p w14:paraId="6E72C4F6" w14:textId="77777777" w:rsidR="00C43E5B" w:rsidRPr="00DD7810" w:rsidRDefault="00C43E5B" w:rsidP="00C43E5B">
      <w:pPr>
        <w:rPr>
          <w:bCs/>
        </w:rPr>
      </w:pPr>
      <w:r w:rsidRPr="00DD7810">
        <w:rPr>
          <w:bCs/>
        </w:rPr>
        <w:t xml:space="preserve">Section 16 requires passengers to provide their travel history declaration on request. </w:t>
      </w:r>
    </w:p>
    <w:p w14:paraId="55FD54EB" w14:textId="77777777" w:rsidR="00C43E5B" w:rsidRPr="00DD7810" w:rsidRDefault="00C43E5B" w:rsidP="00C32DC9">
      <w:pPr>
        <w:rPr>
          <w:bCs/>
        </w:rPr>
      </w:pPr>
    </w:p>
    <w:p w14:paraId="4F222B5E" w14:textId="0CCB12BB" w:rsidR="003D2E31" w:rsidRPr="00DD7810" w:rsidRDefault="003D2E31" w:rsidP="003D2E31">
      <w:pPr>
        <w:rPr>
          <w:bCs/>
        </w:rPr>
      </w:pPr>
      <w:r w:rsidRPr="00DD7810">
        <w:rPr>
          <w:bCs/>
        </w:rPr>
        <w:t>Subsection 16(1) states that this section applies to an individual who is entering Australian territory at a landing place as per the Biosecurity Act and as a passenger of a vessel on a relevant international flight.</w:t>
      </w:r>
    </w:p>
    <w:p w14:paraId="6CE68937" w14:textId="77777777" w:rsidR="003D2E31" w:rsidRPr="00DD7810" w:rsidRDefault="003D2E31" w:rsidP="003D2E31">
      <w:pPr>
        <w:rPr>
          <w:bCs/>
        </w:rPr>
      </w:pPr>
    </w:p>
    <w:p w14:paraId="0DA5BBE7" w14:textId="797DFB61" w:rsidR="003D2E31" w:rsidRPr="00DD7810" w:rsidRDefault="003D2E31" w:rsidP="003D2E31">
      <w:pPr>
        <w:rPr>
          <w:bCs/>
        </w:rPr>
      </w:pPr>
      <w:r w:rsidRPr="00DD7810">
        <w:rPr>
          <w:bCs/>
        </w:rPr>
        <w:lastRenderedPageBreak/>
        <w:t>Subsection 16(2) provides that if a relevant official asks the individual to do so, the individual must make, and give to the relevant official, a declaration setting out the individual’s international travel history for the 14 days before the day the relevant international flight was scheduled to commence.</w:t>
      </w:r>
    </w:p>
    <w:p w14:paraId="1BD9CDD4" w14:textId="77777777" w:rsidR="003D2E31" w:rsidRPr="00DD7810" w:rsidRDefault="003D2E31" w:rsidP="00C32DC9">
      <w:pPr>
        <w:rPr>
          <w:bCs/>
        </w:rPr>
      </w:pPr>
    </w:p>
    <w:p w14:paraId="5DD05918" w14:textId="0CEB732F" w:rsidR="00C32DC9" w:rsidRPr="00DD7810" w:rsidRDefault="00C32DC9" w:rsidP="00C32DC9">
      <w:pPr>
        <w:rPr>
          <w:bCs/>
        </w:rPr>
      </w:pPr>
      <w:r w:rsidRPr="00DD7810">
        <w:rPr>
          <w:bCs/>
        </w:rPr>
        <w:t>Subsection 1</w:t>
      </w:r>
      <w:r w:rsidR="003D2E31" w:rsidRPr="00DD7810">
        <w:rPr>
          <w:bCs/>
        </w:rPr>
        <w:t>6</w:t>
      </w:r>
      <w:r w:rsidRPr="00DD7810">
        <w:rPr>
          <w:bCs/>
        </w:rPr>
        <w:t>(</w:t>
      </w:r>
      <w:r w:rsidR="003D2E31" w:rsidRPr="00DD7810">
        <w:rPr>
          <w:bCs/>
        </w:rPr>
        <w:t>3</w:t>
      </w:r>
      <w:r w:rsidRPr="00DD7810">
        <w:rPr>
          <w:bCs/>
        </w:rPr>
        <w:t>) states that this section applies to an individual who is entering Australian territory at a port and as a passenger of a vessel on a relevant international voyage.</w:t>
      </w:r>
    </w:p>
    <w:p w14:paraId="1CF6D13A" w14:textId="77777777" w:rsidR="00C32DC9" w:rsidRPr="00DD7810" w:rsidRDefault="00C32DC9" w:rsidP="00C32DC9">
      <w:pPr>
        <w:rPr>
          <w:bCs/>
        </w:rPr>
      </w:pPr>
    </w:p>
    <w:p w14:paraId="43C559F0" w14:textId="49F7611E" w:rsidR="00C32DC9" w:rsidRPr="00DD7810" w:rsidRDefault="00C32DC9" w:rsidP="00C32DC9">
      <w:pPr>
        <w:rPr>
          <w:bCs/>
        </w:rPr>
      </w:pPr>
      <w:r w:rsidRPr="00DD7810">
        <w:rPr>
          <w:bCs/>
        </w:rPr>
        <w:t>Subsection 1</w:t>
      </w:r>
      <w:r w:rsidR="00DB2926" w:rsidRPr="00DD7810">
        <w:rPr>
          <w:bCs/>
        </w:rPr>
        <w:t>6</w:t>
      </w:r>
      <w:r w:rsidRPr="00DD7810">
        <w:rPr>
          <w:bCs/>
        </w:rPr>
        <w:t>(</w:t>
      </w:r>
      <w:r w:rsidR="003D2E31" w:rsidRPr="00DD7810">
        <w:rPr>
          <w:bCs/>
        </w:rPr>
        <w:t>4</w:t>
      </w:r>
      <w:r w:rsidRPr="00DD7810">
        <w:rPr>
          <w:bCs/>
        </w:rPr>
        <w:t>) provides that if a relevant official asks the individual to do so, the individual must make, and give to the relevant official, a declaration setting out the individual’s international travel history for the 14 days before the day the relevant international voyage ended.</w:t>
      </w:r>
    </w:p>
    <w:p w14:paraId="05182B0D" w14:textId="77777777" w:rsidR="00C32DC9" w:rsidRPr="00DD7810" w:rsidRDefault="00C32DC9" w:rsidP="00C32DC9">
      <w:pPr>
        <w:rPr>
          <w:bCs/>
        </w:rPr>
      </w:pPr>
    </w:p>
    <w:p w14:paraId="0B38438E" w14:textId="708EE50A" w:rsidR="00C32DC9" w:rsidRPr="00DD7810" w:rsidRDefault="00C32DC9" w:rsidP="00C32DC9">
      <w:pPr>
        <w:rPr>
          <w:bCs/>
        </w:rPr>
      </w:pPr>
      <w:r w:rsidRPr="00DD7810">
        <w:rPr>
          <w:bCs/>
        </w:rPr>
        <w:t>Subsection 1</w:t>
      </w:r>
      <w:r w:rsidR="00DB2926" w:rsidRPr="00DD7810">
        <w:rPr>
          <w:bCs/>
        </w:rPr>
        <w:t>6</w:t>
      </w:r>
      <w:r w:rsidRPr="00DD7810">
        <w:rPr>
          <w:bCs/>
        </w:rPr>
        <w:t>(</w:t>
      </w:r>
      <w:r w:rsidR="003D2E31" w:rsidRPr="00DD7810">
        <w:rPr>
          <w:bCs/>
        </w:rPr>
        <w:t>5</w:t>
      </w:r>
      <w:r w:rsidRPr="00DD7810">
        <w:rPr>
          <w:bCs/>
        </w:rPr>
        <w:t xml:space="preserve">) provides that the requirements </w:t>
      </w:r>
      <w:r w:rsidR="003D2E31" w:rsidRPr="00DD7810">
        <w:rPr>
          <w:bCs/>
        </w:rPr>
        <w:t>in this section apply at the landing place or port</w:t>
      </w:r>
      <w:r w:rsidR="005E4870" w:rsidRPr="00DD7810">
        <w:rPr>
          <w:bCs/>
        </w:rPr>
        <w:t xml:space="preserve"> (as applicable)</w:t>
      </w:r>
      <w:r w:rsidRPr="00DD7810">
        <w:rPr>
          <w:bCs/>
        </w:rPr>
        <w:t>.</w:t>
      </w:r>
    </w:p>
    <w:p w14:paraId="08844A0C" w14:textId="77777777" w:rsidR="00C32DC9" w:rsidRPr="00DD7810" w:rsidRDefault="00C32DC9" w:rsidP="00C32DC9">
      <w:pPr>
        <w:rPr>
          <w:bCs/>
        </w:rPr>
      </w:pPr>
    </w:p>
    <w:p w14:paraId="56196F52" w14:textId="79885866" w:rsidR="00C32DC9" w:rsidRPr="00DD7810" w:rsidRDefault="00C32DC9" w:rsidP="00C32DC9">
      <w:pPr>
        <w:shd w:val="clear" w:color="auto" w:fill="FFFFFF"/>
        <w:rPr>
          <w:color w:val="000000"/>
        </w:rPr>
      </w:pPr>
      <w:bookmarkStart w:id="12" w:name="_Hlk98763936"/>
      <w:r w:rsidRPr="00DD7810">
        <w:rPr>
          <w:color w:val="000000"/>
        </w:rPr>
        <w:t>Subsection 1</w:t>
      </w:r>
      <w:r w:rsidR="00DB2926" w:rsidRPr="00DD7810">
        <w:rPr>
          <w:color w:val="000000"/>
        </w:rPr>
        <w:t>6</w:t>
      </w:r>
      <w:r w:rsidRPr="00DD7810">
        <w:rPr>
          <w:color w:val="000000"/>
        </w:rPr>
        <w:t>(</w:t>
      </w:r>
      <w:r w:rsidR="003D2E31" w:rsidRPr="00DD7810">
        <w:rPr>
          <w:color w:val="000000"/>
        </w:rPr>
        <w:t>5</w:t>
      </w:r>
      <w:r w:rsidRPr="00DD7810">
        <w:rPr>
          <w:color w:val="000000"/>
        </w:rPr>
        <w:t xml:space="preserve">) also notes: </w:t>
      </w:r>
    </w:p>
    <w:p w14:paraId="28D08923" w14:textId="77777777" w:rsidR="00C32DC9" w:rsidRPr="00DD7810" w:rsidRDefault="00C32DC9" w:rsidP="00C32DC9">
      <w:pPr>
        <w:pStyle w:val="ListParagraph"/>
        <w:numPr>
          <w:ilvl w:val="0"/>
          <w:numId w:val="9"/>
        </w:numPr>
        <w:shd w:val="clear" w:color="auto" w:fill="FFFFFF"/>
        <w:spacing w:before="0" w:beforeAutospacing="0"/>
        <w:rPr>
          <w:color w:val="000000"/>
        </w:rPr>
      </w:pPr>
      <w:r w:rsidRPr="00DD7810">
        <w:rPr>
          <w:color w:val="000000"/>
        </w:rPr>
        <w:t>that an individual who fails to comply with this requirement may contravene a civil penalty provision under section 46 of the Biosecurity Act;</w:t>
      </w:r>
    </w:p>
    <w:p w14:paraId="6329D037" w14:textId="77777777" w:rsidR="00C32DC9" w:rsidRPr="00DD7810" w:rsidRDefault="00C32DC9" w:rsidP="00C32DC9">
      <w:pPr>
        <w:pStyle w:val="ListParagraph"/>
        <w:numPr>
          <w:ilvl w:val="0"/>
          <w:numId w:val="9"/>
        </w:numPr>
        <w:shd w:val="clear" w:color="auto" w:fill="FFFFFF"/>
        <w:spacing w:before="0" w:beforeAutospacing="0"/>
        <w:rPr>
          <w:color w:val="000000"/>
        </w:rPr>
      </w:pPr>
      <w:r w:rsidRPr="00DD7810">
        <w:rPr>
          <w:color w:val="000000"/>
        </w:rPr>
        <w:t>that a person may commit an offence or contravene a civil penalty provision if the person provides false or misleading information or documents;</w:t>
      </w:r>
    </w:p>
    <w:p w14:paraId="5625B947" w14:textId="77777777" w:rsidR="00C32DC9" w:rsidRPr="00DD7810" w:rsidRDefault="00C32DC9" w:rsidP="00C32DC9">
      <w:pPr>
        <w:pStyle w:val="ListParagraph"/>
        <w:numPr>
          <w:ilvl w:val="0"/>
          <w:numId w:val="9"/>
        </w:numPr>
        <w:shd w:val="clear" w:color="auto" w:fill="FFFFFF"/>
        <w:spacing w:before="0" w:beforeAutospacing="0"/>
        <w:rPr>
          <w:color w:val="000000"/>
        </w:rPr>
      </w:pPr>
      <w:r w:rsidRPr="00DD7810">
        <w:rPr>
          <w:color w:val="000000"/>
        </w:rPr>
        <w:t>that protections for children or incapable persons who are subject to the requirements in this section are provided in subdivision B of Division 2 of Part 1 of Chapter 2 of the Biosecurity Act; and</w:t>
      </w:r>
    </w:p>
    <w:p w14:paraId="0041B6D5" w14:textId="77777777" w:rsidR="00C32DC9" w:rsidRPr="00DD7810" w:rsidRDefault="00C32DC9" w:rsidP="00C32DC9">
      <w:pPr>
        <w:pStyle w:val="ListParagraph"/>
        <w:numPr>
          <w:ilvl w:val="0"/>
          <w:numId w:val="9"/>
        </w:numPr>
        <w:shd w:val="clear" w:color="auto" w:fill="FFFFFF"/>
        <w:spacing w:before="0" w:beforeAutospacing="0"/>
        <w:rPr>
          <w:color w:val="000000"/>
        </w:rPr>
      </w:pPr>
      <w:r w:rsidRPr="00DD7810">
        <w:rPr>
          <w:color w:val="000000"/>
        </w:rPr>
        <w:t>Part 2 of Chapter 11 of the Biosecurity Act deals with confidentiality of personal information collected under the Biosecurity Act.</w:t>
      </w:r>
    </w:p>
    <w:bookmarkEnd w:id="12"/>
    <w:p w14:paraId="6AEBB256" w14:textId="77777777" w:rsidR="00C32DC9" w:rsidRPr="00DD7810" w:rsidRDefault="00C32DC9" w:rsidP="00C32DC9">
      <w:pPr>
        <w:shd w:val="clear" w:color="auto" w:fill="FFFFFF"/>
        <w:rPr>
          <w:color w:val="000000"/>
        </w:rPr>
      </w:pPr>
    </w:p>
    <w:p w14:paraId="4A10CDB5" w14:textId="77777777" w:rsidR="0003325F" w:rsidRPr="00DD7810" w:rsidRDefault="0003325F">
      <w:pPr>
        <w:rPr>
          <w:b/>
        </w:rPr>
      </w:pPr>
      <w:r w:rsidRPr="00DD7810">
        <w:rPr>
          <w:b/>
        </w:rPr>
        <w:br w:type="page"/>
      </w:r>
    </w:p>
    <w:p w14:paraId="38991284" w14:textId="35B70A3E" w:rsidR="00BB171B" w:rsidRPr="00DD7810" w:rsidRDefault="007757EA" w:rsidP="00A533EB">
      <w:r w:rsidRPr="00DD7810">
        <w:rPr>
          <w:b/>
        </w:rPr>
        <w:lastRenderedPageBreak/>
        <w:t>ATTACHMENT</w:t>
      </w:r>
    </w:p>
    <w:p w14:paraId="63681FE0" w14:textId="77777777" w:rsidR="007757EA" w:rsidRPr="00DD7810" w:rsidRDefault="007757EA" w:rsidP="007757EA">
      <w:pPr>
        <w:jc w:val="right"/>
        <w:rPr>
          <w:b/>
        </w:rPr>
      </w:pPr>
    </w:p>
    <w:p w14:paraId="2C9BD0FB" w14:textId="5E7F896D" w:rsidR="007757EA" w:rsidRPr="00DD7810" w:rsidRDefault="007757EA" w:rsidP="007757EA">
      <w:pPr>
        <w:rPr>
          <w:b/>
          <w:i/>
          <w:u w:val="single"/>
        </w:rPr>
      </w:pPr>
      <w:r w:rsidRPr="00DD7810">
        <w:rPr>
          <w:b/>
          <w:u w:val="single"/>
        </w:rPr>
        <w:t xml:space="preserve">Details of the </w:t>
      </w:r>
      <w:r w:rsidR="008A5948" w:rsidRPr="00DD7810">
        <w:rPr>
          <w:b/>
          <w:i/>
          <w:u w:val="single"/>
        </w:rPr>
        <w:t>Biosecurity (Exit Requirements) Determination 2022</w:t>
      </w:r>
    </w:p>
    <w:p w14:paraId="70AD09A4" w14:textId="77777777" w:rsidR="007757EA" w:rsidRPr="00DD7810" w:rsidRDefault="007757EA" w:rsidP="007757EA">
      <w:pPr>
        <w:rPr>
          <w:i/>
          <w:u w:val="single"/>
        </w:rPr>
      </w:pPr>
    </w:p>
    <w:p w14:paraId="16D8D13A" w14:textId="6FCE4CD5" w:rsidR="005E4870" w:rsidRPr="00DD7810" w:rsidRDefault="005E4870" w:rsidP="00A9134B">
      <w:pPr>
        <w:rPr>
          <w:b/>
        </w:rPr>
      </w:pPr>
      <w:r w:rsidRPr="00DD7810">
        <w:rPr>
          <w:b/>
        </w:rPr>
        <w:t>Part 1—Preliminary</w:t>
      </w:r>
    </w:p>
    <w:p w14:paraId="11CC4813" w14:textId="77777777" w:rsidR="005E4870" w:rsidRPr="00DD7810" w:rsidRDefault="005E4870" w:rsidP="00A9134B">
      <w:pPr>
        <w:rPr>
          <w:b/>
        </w:rPr>
      </w:pPr>
    </w:p>
    <w:p w14:paraId="3957DE53" w14:textId="16DF5BAA" w:rsidR="007757EA" w:rsidRPr="00DD7810" w:rsidRDefault="00142BE0" w:rsidP="00A9134B">
      <w:pPr>
        <w:rPr>
          <w:iCs/>
        </w:rPr>
      </w:pPr>
      <w:r w:rsidRPr="00DD7810">
        <w:rPr>
          <w:b/>
        </w:rPr>
        <w:t>Section</w:t>
      </w:r>
      <w:r w:rsidR="00A9134B" w:rsidRPr="00DD7810">
        <w:rPr>
          <w:b/>
        </w:rPr>
        <w:t xml:space="preserve"> 1</w:t>
      </w:r>
      <w:r w:rsidR="00A9134B" w:rsidRPr="00DD7810">
        <w:t xml:space="preserve"> </w:t>
      </w:r>
      <w:r w:rsidR="008A5948" w:rsidRPr="00DD7810">
        <w:t xml:space="preserve">provides that the name of the instrument is </w:t>
      </w:r>
      <w:r w:rsidR="00C16325" w:rsidRPr="00DD7810">
        <w:t xml:space="preserve">the </w:t>
      </w:r>
      <w:r w:rsidR="008A5948" w:rsidRPr="00DD7810">
        <w:rPr>
          <w:i/>
          <w:noProof/>
        </w:rPr>
        <w:t>Biosecurity (Exit Requirements) Determination 2022</w:t>
      </w:r>
      <w:r w:rsidR="008A5948" w:rsidRPr="00DD7810">
        <w:rPr>
          <w:iCs/>
          <w:noProof/>
        </w:rPr>
        <w:t>.</w:t>
      </w:r>
    </w:p>
    <w:p w14:paraId="7AF8F8D4" w14:textId="77777777" w:rsidR="007757EA" w:rsidRPr="00DD7810" w:rsidRDefault="007757EA" w:rsidP="007757EA">
      <w:pPr>
        <w:rPr>
          <w:b/>
        </w:rPr>
      </w:pPr>
    </w:p>
    <w:p w14:paraId="3C6EE5AF" w14:textId="68CC1499" w:rsidR="007757EA" w:rsidRPr="00DD7810" w:rsidRDefault="00142BE0" w:rsidP="00A9134B">
      <w:r w:rsidRPr="00DD7810">
        <w:rPr>
          <w:b/>
        </w:rPr>
        <w:t xml:space="preserve">Section </w:t>
      </w:r>
      <w:r w:rsidR="00A9134B" w:rsidRPr="00DD7810">
        <w:rPr>
          <w:b/>
        </w:rPr>
        <w:t>2</w:t>
      </w:r>
      <w:r w:rsidR="00A9134B" w:rsidRPr="00DD7810">
        <w:t xml:space="preserve"> </w:t>
      </w:r>
      <w:r w:rsidR="008A5948" w:rsidRPr="00DD7810">
        <w:t>provides that the Overseas Exit Determination commences on 1</w:t>
      </w:r>
      <w:r w:rsidR="00540CCF" w:rsidRPr="00DD7810">
        <w:t>8</w:t>
      </w:r>
      <w:r w:rsidR="008A5948" w:rsidRPr="00DD7810">
        <w:t xml:space="preserve"> April 2022.</w:t>
      </w:r>
    </w:p>
    <w:p w14:paraId="056E5068" w14:textId="77777777" w:rsidR="007757EA" w:rsidRPr="00DD7810" w:rsidRDefault="007757EA" w:rsidP="00A9134B">
      <w:pPr>
        <w:rPr>
          <w:b/>
        </w:rPr>
      </w:pPr>
    </w:p>
    <w:p w14:paraId="740F537C" w14:textId="51C1A58B" w:rsidR="00A9134B" w:rsidRPr="00DD7810" w:rsidRDefault="00142BE0" w:rsidP="00A9134B">
      <w:r w:rsidRPr="00DD7810">
        <w:rPr>
          <w:b/>
        </w:rPr>
        <w:t xml:space="preserve">Section </w:t>
      </w:r>
      <w:r w:rsidR="00A9134B" w:rsidRPr="00DD7810">
        <w:rPr>
          <w:b/>
        </w:rPr>
        <w:t>3</w:t>
      </w:r>
      <w:r w:rsidR="00A9134B" w:rsidRPr="00DD7810">
        <w:t xml:space="preserve"> states </w:t>
      </w:r>
      <w:r w:rsidR="00377ABA" w:rsidRPr="00DD7810">
        <w:t xml:space="preserve">that the authority for making the </w:t>
      </w:r>
      <w:r w:rsidR="00635032" w:rsidRPr="00DD7810">
        <w:t>Overseas Exit Determination</w:t>
      </w:r>
      <w:r w:rsidR="00377ABA" w:rsidRPr="00DD7810">
        <w:t xml:space="preserve"> is </w:t>
      </w:r>
      <w:r w:rsidR="00635032" w:rsidRPr="00DD7810">
        <w:t>subsection 45(2) of the Biosecurity Act.</w:t>
      </w:r>
    </w:p>
    <w:p w14:paraId="0B02B49C" w14:textId="77777777" w:rsidR="00377ABA" w:rsidRPr="00DD7810" w:rsidRDefault="00377ABA" w:rsidP="00A9134B"/>
    <w:p w14:paraId="43AA4A26" w14:textId="0E223622" w:rsidR="00A9134B" w:rsidRPr="00DD7810" w:rsidRDefault="00377ABA" w:rsidP="00EA2B61">
      <w:r w:rsidRPr="00DD7810">
        <w:rPr>
          <w:b/>
        </w:rPr>
        <w:t xml:space="preserve">Section 4 </w:t>
      </w:r>
      <w:r w:rsidR="00635032" w:rsidRPr="00DD7810">
        <w:t>sets out the definitions used in the Overseas Exit Determination. A note to section 4 provides that a number of expressions used in the Overseas Exit Determination are defined in the Biosecurity Act including ‘Australian territory’, ‘Health Department’, ‘landing place’, ‘operator’, ‘passenger’ and ‘port’.</w:t>
      </w:r>
    </w:p>
    <w:p w14:paraId="518371D8" w14:textId="3AB34DDA" w:rsidR="00635032" w:rsidRPr="00DD7810" w:rsidRDefault="00635032" w:rsidP="00EA2B61"/>
    <w:p w14:paraId="0BBE6AA2" w14:textId="7C5573E9" w:rsidR="00635032" w:rsidRPr="00DD7810" w:rsidRDefault="00635032" w:rsidP="00EA2B61">
      <w:r w:rsidRPr="00DD7810">
        <w:t>In the Overseas Exit Determination, an ‘accepted COVID</w:t>
      </w:r>
      <w:r w:rsidR="00C4068B" w:rsidRPr="00DD7810">
        <w:t>-</w:t>
      </w:r>
      <w:r w:rsidRPr="00DD7810">
        <w:t>19’ vaccine has the same meaning as in the Entry Requirements Determination.</w:t>
      </w:r>
    </w:p>
    <w:p w14:paraId="0D8475E5" w14:textId="2DAB9015" w:rsidR="00635032" w:rsidRPr="00DD7810" w:rsidRDefault="00635032" w:rsidP="00EA2B61"/>
    <w:p w14:paraId="29C350D1" w14:textId="737B6A3A" w:rsidR="00635032" w:rsidRPr="00DD7810" w:rsidRDefault="00635032" w:rsidP="00EA2B61">
      <w:r w:rsidRPr="00DD7810">
        <w:t>A reference to the ‘Act’ in the Overseas Exit Determination means the Biosecurity Act.</w:t>
      </w:r>
    </w:p>
    <w:p w14:paraId="60A71B85" w14:textId="05D79F40" w:rsidR="00540CCF" w:rsidRPr="00DD7810" w:rsidRDefault="00540CCF" w:rsidP="00EA2B61"/>
    <w:p w14:paraId="3C051D3D" w14:textId="5ADEA8C6" w:rsidR="00540CCF" w:rsidRPr="00DD7810" w:rsidRDefault="00540CCF" w:rsidP="00EA2B61">
      <w:r w:rsidRPr="00DD7810">
        <w:t xml:space="preserve">‘Australian Defence Force’ has the same meaning as in the </w:t>
      </w:r>
      <w:r w:rsidRPr="00DD7810">
        <w:rPr>
          <w:i/>
          <w:iCs/>
        </w:rPr>
        <w:t>Defence Act 1903</w:t>
      </w:r>
      <w:r w:rsidRPr="00DD7810">
        <w:t>.</w:t>
      </w:r>
    </w:p>
    <w:p w14:paraId="78204E34" w14:textId="0A651F26" w:rsidR="00635032" w:rsidRPr="00DD7810" w:rsidRDefault="00635032" w:rsidP="00EA2B61"/>
    <w:p w14:paraId="6468AAD3" w14:textId="70E7B223" w:rsidR="00635032" w:rsidRPr="00DD7810" w:rsidRDefault="00635032" w:rsidP="00EA2B61">
      <w:r w:rsidRPr="00DD7810">
        <w:t xml:space="preserve">The ‘Entry Requirements Determination’ means the </w:t>
      </w:r>
      <w:bookmarkStart w:id="13" w:name="_Hlk98519031"/>
      <w:r w:rsidRPr="00DD7810">
        <w:rPr>
          <w:i/>
          <w:iCs/>
        </w:rPr>
        <w:t>Biosecurity (Entry Requirements—Human Coronavirus with Pandemic Potential) Determination 2022</w:t>
      </w:r>
      <w:r w:rsidRPr="00DD7810">
        <w:t xml:space="preserve">, </w:t>
      </w:r>
      <w:bookmarkEnd w:id="13"/>
      <w:r w:rsidRPr="00DD7810">
        <w:t xml:space="preserve">as in force </w:t>
      </w:r>
      <w:r w:rsidR="00540CCF" w:rsidRPr="00DD7810">
        <w:t>on 18 April 2022</w:t>
      </w:r>
      <w:r w:rsidRPr="00DD7810">
        <w:t>.</w:t>
      </w:r>
    </w:p>
    <w:p w14:paraId="41FDE7BF" w14:textId="44B04FC5" w:rsidR="00D82CE6" w:rsidRPr="00DD7810" w:rsidRDefault="00D82CE6" w:rsidP="00EA2B61"/>
    <w:p w14:paraId="544CA1CC" w14:textId="0963F904" w:rsidR="00540CCF" w:rsidRPr="00DD7810" w:rsidRDefault="00540CCF" w:rsidP="00EA2B61">
      <w:r w:rsidRPr="00DD7810">
        <w:t xml:space="preserve">In the Overseas Exit Determination, ‘member’ has the same meaning as in the </w:t>
      </w:r>
      <w:r w:rsidRPr="00DD7810">
        <w:rPr>
          <w:i/>
          <w:iCs/>
        </w:rPr>
        <w:t>Defence Act 1903</w:t>
      </w:r>
      <w:r w:rsidRPr="00DD7810">
        <w:t>.</w:t>
      </w:r>
    </w:p>
    <w:p w14:paraId="469C88A5" w14:textId="77777777" w:rsidR="00C16325" w:rsidRPr="00DD7810" w:rsidRDefault="00C16325" w:rsidP="00C16325"/>
    <w:p w14:paraId="46F44962" w14:textId="7695965C" w:rsidR="00D82CE6" w:rsidRPr="00DD7810" w:rsidRDefault="00C16325" w:rsidP="00EA2B61">
      <w:r w:rsidRPr="00DD7810">
        <w:t>Reference to a ‘relevant official’ has the same meaning as in the Entry Requirements Determination.</w:t>
      </w:r>
    </w:p>
    <w:p w14:paraId="63B631F8" w14:textId="77777777" w:rsidR="000301A7" w:rsidRPr="00DD7810" w:rsidRDefault="000301A7" w:rsidP="00EA2B61"/>
    <w:p w14:paraId="7E7B5C57" w14:textId="745319B6" w:rsidR="00C16325" w:rsidRPr="00DD7810" w:rsidRDefault="00D82CE6" w:rsidP="00C16325">
      <w:r w:rsidRPr="00DD7810">
        <w:t>The ‘Therapeutic Goods Administration’ means that part of the Health Department known by that title.</w:t>
      </w:r>
    </w:p>
    <w:p w14:paraId="330E4182" w14:textId="44F3E720" w:rsidR="005E4870" w:rsidRPr="00DD7810" w:rsidRDefault="005E4870" w:rsidP="00C16325"/>
    <w:p w14:paraId="5BF69ABA" w14:textId="6AD69A01" w:rsidR="005E4870" w:rsidRPr="00DD7810" w:rsidRDefault="005E4870" w:rsidP="00C16325">
      <w:pPr>
        <w:rPr>
          <w:b/>
          <w:bCs/>
        </w:rPr>
      </w:pPr>
      <w:r w:rsidRPr="00DD7810">
        <w:rPr>
          <w:b/>
          <w:bCs/>
        </w:rPr>
        <w:t>Part 2—Requirements relating to the coronavirus known as COVID-19</w:t>
      </w:r>
    </w:p>
    <w:p w14:paraId="28B97CE9" w14:textId="77777777" w:rsidR="00C16325" w:rsidRPr="00DD7810" w:rsidRDefault="00C16325" w:rsidP="00EA2B61">
      <w:pPr>
        <w:rPr>
          <w:b/>
        </w:rPr>
      </w:pPr>
    </w:p>
    <w:p w14:paraId="46FFFD23" w14:textId="2C018AF8" w:rsidR="00EA2B61" w:rsidRPr="00DD7810" w:rsidRDefault="00EA2B61" w:rsidP="00EA2B61">
      <w:pPr>
        <w:rPr>
          <w:bCs/>
        </w:rPr>
      </w:pPr>
      <w:r w:rsidRPr="00DD7810">
        <w:rPr>
          <w:b/>
        </w:rPr>
        <w:t xml:space="preserve">Section 5 </w:t>
      </w:r>
      <w:r w:rsidR="00D82CE6" w:rsidRPr="00DD7810">
        <w:rPr>
          <w:bCs/>
        </w:rPr>
        <w:t>sets out requirements relating an individual who is leaving Australian territory on an outgoing aircraft or vessel</w:t>
      </w:r>
      <w:r w:rsidR="00540CCF" w:rsidRPr="00DD7810">
        <w:rPr>
          <w:bCs/>
        </w:rPr>
        <w:t xml:space="preserve"> as a passenger.</w:t>
      </w:r>
    </w:p>
    <w:p w14:paraId="33A674C3" w14:textId="13DA2D64" w:rsidR="00D82CE6" w:rsidRPr="00DD7810" w:rsidRDefault="00D82CE6" w:rsidP="00EA2B61">
      <w:pPr>
        <w:rPr>
          <w:bCs/>
        </w:rPr>
      </w:pPr>
    </w:p>
    <w:p w14:paraId="340C12EC" w14:textId="39AC665C" w:rsidR="00D82CE6" w:rsidRPr="00DD7810" w:rsidRDefault="00D82CE6" w:rsidP="00EA2B61">
      <w:pPr>
        <w:rPr>
          <w:color w:val="000000"/>
          <w:shd w:val="clear" w:color="auto" w:fill="FFFFFF"/>
        </w:rPr>
      </w:pPr>
      <w:r w:rsidRPr="00DD7810">
        <w:rPr>
          <w:color w:val="000000"/>
          <w:shd w:val="clear" w:color="auto" w:fill="FFFFFF"/>
        </w:rPr>
        <w:t>Subsection </w:t>
      </w:r>
      <w:r w:rsidR="00C4068B" w:rsidRPr="00DD7810">
        <w:rPr>
          <w:color w:val="000000"/>
          <w:shd w:val="clear" w:color="auto" w:fill="FFFFFF"/>
        </w:rPr>
        <w:t>5</w:t>
      </w:r>
      <w:r w:rsidRPr="00DD7810">
        <w:rPr>
          <w:color w:val="000000"/>
          <w:shd w:val="clear" w:color="auto" w:fill="FFFFFF"/>
        </w:rPr>
        <w:t>(1) provides that section</w:t>
      </w:r>
      <w:r w:rsidR="008E36BA" w:rsidRPr="00DD7810">
        <w:rPr>
          <w:color w:val="000000"/>
          <w:shd w:val="clear" w:color="auto" w:fill="FFFFFF"/>
        </w:rPr>
        <w:t xml:space="preserve"> 5</w:t>
      </w:r>
      <w:r w:rsidRPr="00DD7810">
        <w:rPr>
          <w:color w:val="000000"/>
          <w:shd w:val="clear" w:color="auto" w:fill="FFFFFF"/>
        </w:rPr>
        <w:t xml:space="preserve"> applies to an individual </w:t>
      </w:r>
      <w:r w:rsidR="00C4068B" w:rsidRPr="00DD7810">
        <w:rPr>
          <w:color w:val="000000"/>
          <w:shd w:val="clear" w:color="auto" w:fill="FFFFFF"/>
        </w:rPr>
        <w:t>who is leaving Australian territory on an outgoing aircraft or vessel</w:t>
      </w:r>
      <w:r w:rsidR="00540CCF" w:rsidRPr="00DD7810">
        <w:rPr>
          <w:color w:val="000000"/>
          <w:shd w:val="clear" w:color="auto" w:fill="FFFFFF"/>
        </w:rPr>
        <w:t xml:space="preserve"> as a passenger.</w:t>
      </w:r>
    </w:p>
    <w:p w14:paraId="120DB5D2" w14:textId="3304F169" w:rsidR="00C4068B" w:rsidRPr="00DD7810" w:rsidRDefault="00C4068B" w:rsidP="00EA2B61">
      <w:pPr>
        <w:rPr>
          <w:color w:val="000000"/>
          <w:shd w:val="clear" w:color="auto" w:fill="FFFFFF"/>
        </w:rPr>
      </w:pPr>
    </w:p>
    <w:p w14:paraId="2D3F10D3" w14:textId="3FD18F13" w:rsidR="00C4068B" w:rsidRPr="00DD7810" w:rsidRDefault="00C4068B" w:rsidP="00EA2B61">
      <w:pPr>
        <w:rPr>
          <w:color w:val="000000"/>
          <w:shd w:val="clear" w:color="auto" w:fill="FFFFFF"/>
        </w:rPr>
      </w:pPr>
      <w:r w:rsidRPr="00DD7810">
        <w:rPr>
          <w:color w:val="000000"/>
          <w:shd w:val="clear" w:color="auto" w:fill="FFFFFF"/>
        </w:rPr>
        <w:lastRenderedPageBreak/>
        <w:t xml:space="preserve">Subsection 5(2) relates to the ability of the individual to produce evidence, if asked by a relevant official, of: </w:t>
      </w:r>
    </w:p>
    <w:p w14:paraId="06016996" w14:textId="366B399C" w:rsidR="00C4068B" w:rsidRPr="00DD7810" w:rsidRDefault="00C4068B" w:rsidP="00C4068B">
      <w:pPr>
        <w:numPr>
          <w:ilvl w:val="0"/>
          <w:numId w:val="8"/>
        </w:numPr>
        <w:shd w:val="clear" w:color="auto" w:fill="FFFFFF"/>
        <w:rPr>
          <w:color w:val="000000"/>
        </w:rPr>
      </w:pPr>
      <w:r w:rsidRPr="00DD7810">
        <w:rPr>
          <w:color w:val="000000"/>
        </w:rPr>
        <w:t>that they have received a course of vaccinations with one or more accepted COVID</w:t>
      </w:r>
      <w:r w:rsidRPr="00DD7810">
        <w:rPr>
          <w:color w:val="000000"/>
        </w:rPr>
        <w:noBreakHyphen/>
        <w:t xml:space="preserve">19 vaccines in accordance with a schedule for receiving that course of vaccinations that is accepted by the </w:t>
      </w:r>
      <w:r w:rsidR="005603AA" w:rsidRPr="00DD7810">
        <w:rPr>
          <w:color w:val="000000"/>
        </w:rPr>
        <w:t>TGA</w:t>
      </w:r>
      <w:r w:rsidRPr="00DD7810">
        <w:rPr>
          <w:color w:val="000000"/>
        </w:rPr>
        <w:t xml:space="preserve"> and have received the last vaccination in the course of vaccinations at least 7 days before the day the relevant international flight </w:t>
      </w:r>
      <w:r w:rsidRPr="00DD7810">
        <w:t>or the voyage of the vessel is scheduled to commence</w:t>
      </w:r>
      <w:r w:rsidRPr="00DD7810">
        <w:rPr>
          <w:color w:val="000000"/>
        </w:rPr>
        <w:t>; or</w:t>
      </w:r>
    </w:p>
    <w:p w14:paraId="7F3C5104" w14:textId="201DC65E" w:rsidR="00837B11" w:rsidRPr="00DD7810" w:rsidRDefault="00C4068B" w:rsidP="00837B11">
      <w:pPr>
        <w:numPr>
          <w:ilvl w:val="0"/>
          <w:numId w:val="8"/>
        </w:numPr>
        <w:shd w:val="clear" w:color="auto" w:fill="FFFFFF"/>
        <w:rPr>
          <w:color w:val="000000"/>
        </w:rPr>
      </w:pPr>
      <w:r w:rsidRPr="00DD7810">
        <w:rPr>
          <w:color w:val="000000"/>
        </w:rPr>
        <w:t>they have a medical contraindication to COVID</w:t>
      </w:r>
      <w:r w:rsidRPr="00DD7810">
        <w:rPr>
          <w:color w:val="000000"/>
        </w:rPr>
        <w:noBreakHyphen/>
        <w:t xml:space="preserve">19 vaccines </w:t>
      </w:r>
      <w:r w:rsidR="00837B11" w:rsidRPr="00DD7810">
        <w:rPr>
          <w:color w:val="000000"/>
        </w:rPr>
        <w:t>confirmed</w:t>
      </w:r>
      <w:r w:rsidRPr="00DD7810">
        <w:rPr>
          <w:color w:val="000000"/>
        </w:rPr>
        <w:t xml:space="preserve"> by a medical practitioner</w:t>
      </w:r>
      <w:r w:rsidR="00837B11" w:rsidRPr="00DD7810">
        <w:rPr>
          <w:color w:val="000000"/>
        </w:rPr>
        <w:t>.</w:t>
      </w:r>
    </w:p>
    <w:p w14:paraId="47FD0921" w14:textId="7313F22F" w:rsidR="00C4068B" w:rsidRPr="00DD7810" w:rsidRDefault="00C4068B" w:rsidP="00837B11">
      <w:pPr>
        <w:shd w:val="clear" w:color="auto" w:fill="FFFFFF"/>
        <w:rPr>
          <w:color w:val="000000"/>
        </w:rPr>
      </w:pPr>
    </w:p>
    <w:p w14:paraId="5F3EFB92" w14:textId="2C1EF83E" w:rsidR="00837B11" w:rsidRPr="00DD7810" w:rsidRDefault="00837B11" w:rsidP="00837B11">
      <w:pPr>
        <w:shd w:val="clear" w:color="auto" w:fill="FFFFFF"/>
        <w:rPr>
          <w:color w:val="000000"/>
        </w:rPr>
      </w:pPr>
      <w:r w:rsidRPr="00DD7810">
        <w:rPr>
          <w:color w:val="000000"/>
        </w:rPr>
        <w:t>Subsection 5(3) provides that the requirement to be able to produce evidence as per subsection 5(2) applies at the landing place or port from which the aircraft or vessel is leaving Australian territory.</w:t>
      </w:r>
    </w:p>
    <w:p w14:paraId="3B261C5E" w14:textId="77777777" w:rsidR="00540CCF" w:rsidRPr="00DD7810" w:rsidRDefault="00540CCF" w:rsidP="00837B11">
      <w:pPr>
        <w:shd w:val="clear" w:color="auto" w:fill="FFFFFF"/>
        <w:rPr>
          <w:color w:val="000000"/>
        </w:rPr>
      </w:pPr>
    </w:p>
    <w:p w14:paraId="33316A28" w14:textId="77777777" w:rsidR="00540CCF" w:rsidRPr="00DD7810" w:rsidRDefault="00540CCF" w:rsidP="00540CCF">
      <w:pPr>
        <w:shd w:val="clear" w:color="auto" w:fill="FFFFFF"/>
        <w:rPr>
          <w:color w:val="000000"/>
        </w:rPr>
      </w:pPr>
      <w:bookmarkStart w:id="14" w:name="_Hlk98521135"/>
      <w:r w:rsidRPr="00DD7810">
        <w:rPr>
          <w:color w:val="000000"/>
        </w:rPr>
        <w:t xml:space="preserve">Subsection </w:t>
      </w:r>
      <w:bookmarkStart w:id="15" w:name="_Hlk98748814"/>
      <w:r w:rsidRPr="00DD7810">
        <w:rPr>
          <w:color w:val="000000"/>
        </w:rPr>
        <w:t xml:space="preserve">5(3) </w:t>
      </w:r>
      <w:bookmarkStart w:id="16" w:name="_Hlk98745949"/>
      <w:r w:rsidRPr="00DD7810">
        <w:rPr>
          <w:color w:val="000000"/>
        </w:rPr>
        <w:t xml:space="preserve">also notes: </w:t>
      </w:r>
    </w:p>
    <w:p w14:paraId="6482029E" w14:textId="01BB6C3C" w:rsidR="00540CCF" w:rsidRPr="00DD7810" w:rsidRDefault="00540CCF" w:rsidP="00A44FA5">
      <w:pPr>
        <w:pStyle w:val="ListParagraph"/>
        <w:numPr>
          <w:ilvl w:val="0"/>
          <w:numId w:val="9"/>
        </w:numPr>
        <w:shd w:val="clear" w:color="auto" w:fill="FFFFFF"/>
        <w:spacing w:before="0" w:beforeAutospacing="0"/>
        <w:rPr>
          <w:color w:val="000000"/>
        </w:rPr>
      </w:pPr>
      <w:r w:rsidRPr="00DD7810">
        <w:rPr>
          <w:color w:val="000000"/>
        </w:rPr>
        <w:t>that an individual who fails to comply with this requirement may contravene a civil penalty provision under section 46 of the Biosecurity Act;</w:t>
      </w:r>
    </w:p>
    <w:p w14:paraId="3E1E2A38" w14:textId="38BA607E" w:rsidR="00540CCF" w:rsidRPr="00DD7810" w:rsidRDefault="00540CCF" w:rsidP="00A44FA5">
      <w:pPr>
        <w:pStyle w:val="ListParagraph"/>
        <w:numPr>
          <w:ilvl w:val="0"/>
          <w:numId w:val="9"/>
        </w:numPr>
        <w:shd w:val="clear" w:color="auto" w:fill="FFFFFF"/>
        <w:spacing w:before="0" w:beforeAutospacing="0"/>
        <w:rPr>
          <w:color w:val="000000"/>
        </w:rPr>
      </w:pPr>
      <w:r w:rsidRPr="00DD7810">
        <w:rPr>
          <w:color w:val="000000"/>
        </w:rPr>
        <w:t>that a person may commit an offence or contravene a civil penalty provision if the person provides false or misleading information or documents</w:t>
      </w:r>
      <w:r w:rsidR="00A44FA5" w:rsidRPr="00DD7810">
        <w:rPr>
          <w:color w:val="000000"/>
        </w:rPr>
        <w:t>;</w:t>
      </w:r>
    </w:p>
    <w:p w14:paraId="61149372" w14:textId="19F020D9" w:rsidR="00A44FA5" w:rsidRPr="00DD7810" w:rsidRDefault="00A44FA5" w:rsidP="00A44FA5">
      <w:pPr>
        <w:pStyle w:val="ListParagraph"/>
        <w:numPr>
          <w:ilvl w:val="0"/>
          <w:numId w:val="9"/>
        </w:numPr>
        <w:shd w:val="clear" w:color="auto" w:fill="FFFFFF"/>
        <w:spacing w:before="0" w:beforeAutospacing="0"/>
        <w:rPr>
          <w:color w:val="000000"/>
        </w:rPr>
      </w:pPr>
      <w:r w:rsidRPr="00DD7810">
        <w:rPr>
          <w:color w:val="000000"/>
        </w:rPr>
        <w:t xml:space="preserve">that protections for children or incapable persons who are subject to the requirements in this section are provided in subdivision B of Division 2 of Part 1 of Chapter 2 of the </w:t>
      </w:r>
      <w:r w:rsidR="00A44ABF" w:rsidRPr="00DD7810">
        <w:rPr>
          <w:color w:val="000000"/>
        </w:rPr>
        <w:t xml:space="preserve">Biosecurity </w:t>
      </w:r>
      <w:r w:rsidRPr="00DD7810">
        <w:rPr>
          <w:color w:val="000000"/>
        </w:rPr>
        <w:t>Act; and</w:t>
      </w:r>
    </w:p>
    <w:p w14:paraId="08E4F61D" w14:textId="3F5F50B2" w:rsidR="00837B11" w:rsidRPr="00DD7810" w:rsidRDefault="00A44FA5" w:rsidP="00837B11">
      <w:pPr>
        <w:pStyle w:val="ListParagraph"/>
        <w:numPr>
          <w:ilvl w:val="0"/>
          <w:numId w:val="9"/>
        </w:numPr>
        <w:shd w:val="clear" w:color="auto" w:fill="FFFFFF"/>
        <w:spacing w:before="0" w:beforeAutospacing="0"/>
        <w:rPr>
          <w:color w:val="000000"/>
        </w:rPr>
      </w:pPr>
      <w:r w:rsidRPr="00DD7810">
        <w:rPr>
          <w:color w:val="000000"/>
        </w:rPr>
        <w:t xml:space="preserve">Part 2 of Chapter 11 of the </w:t>
      </w:r>
      <w:r w:rsidR="00A44ABF" w:rsidRPr="00DD7810">
        <w:rPr>
          <w:color w:val="000000"/>
        </w:rPr>
        <w:t xml:space="preserve">Biosecurity </w:t>
      </w:r>
      <w:r w:rsidRPr="00DD7810">
        <w:rPr>
          <w:color w:val="000000"/>
        </w:rPr>
        <w:t xml:space="preserve">Act deals with confidentiality of personal information collected under the </w:t>
      </w:r>
      <w:r w:rsidR="00A44ABF" w:rsidRPr="00DD7810">
        <w:rPr>
          <w:color w:val="000000"/>
        </w:rPr>
        <w:t xml:space="preserve">Biosecurity </w:t>
      </w:r>
      <w:r w:rsidRPr="00DD7810">
        <w:rPr>
          <w:color w:val="000000"/>
        </w:rPr>
        <w:t>Act.</w:t>
      </w:r>
      <w:bookmarkEnd w:id="14"/>
      <w:bookmarkEnd w:id="15"/>
      <w:bookmarkEnd w:id="16"/>
    </w:p>
    <w:p w14:paraId="07754640" w14:textId="788E9F8A" w:rsidR="00837B11" w:rsidRPr="00DD7810" w:rsidRDefault="00837B11" w:rsidP="00837B11">
      <w:pPr>
        <w:shd w:val="clear" w:color="auto" w:fill="FFFFFF"/>
        <w:rPr>
          <w:color w:val="000000"/>
        </w:rPr>
      </w:pPr>
      <w:r w:rsidRPr="00DD7810">
        <w:rPr>
          <w:b/>
          <w:bCs/>
          <w:color w:val="000000"/>
        </w:rPr>
        <w:t>Section 6</w:t>
      </w:r>
      <w:r w:rsidRPr="00DD7810">
        <w:rPr>
          <w:color w:val="000000"/>
        </w:rPr>
        <w:t xml:space="preserve"> provides</w:t>
      </w:r>
      <w:r w:rsidR="00A44FA5" w:rsidRPr="00DD7810">
        <w:rPr>
          <w:color w:val="000000"/>
        </w:rPr>
        <w:t xml:space="preserve"> exemptions from the requirements of section 5.</w:t>
      </w:r>
    </w:p>
    <w:p w14:paraId="07191579" w14:textId="68596ABE" w:rsidR="00837B11" w:rsidRPr="00DD7810" w:rsidRDefault="00837B11" w:rsidP="00837B11">
      <w:pPr>
        <w:shd w:val="clear" w:color="auto" w:fill="FFFFFF"/>
        <w:rPr>
          <w:color w:val="000000"/>
        </w:rPr>
      </w:pPr>
    </w:p>
    <w:p w14:paraId="7E47C67D" w14:textId="77777777" w:rsidR="00A44FA5" w:rsidRPr="00DD7810" w:rsidRDefault="00837B11" w:rsidP="00A44FA5">
      <w:pPr>
        <w:shd w:val="clear" w:color="auto" w:fill="FFFFFF"/>
        <w:rPr>
          <w:color w:val="000000"/>
        </w:rPr>
      </w:pPr>
      <w:r w:rsidRPr="00DD7810">
        <w:rPr>
          <w:color w:val="000000"/>
        </w:rPr>
        <w:t>Section 6</w:t>
      </w:r>
      <w:r w:rsidR="00A44FA5" w:rsidRPr="00DD7810">
        <w:rPr>
          <w:color w:val="000000"/>
        </w:rPr>
        <w:t xml:space="preserve"> provides that exemptions from the requirements of section 5 applies to the following individuals:</w:t>
      </w:r>
    </w:p>
    <w:p w14:paraId="5C9CCAD0" w14:textId="176ABFDA" w:rsidR="00A44FA5" w:rsidRPr="00DD7810" w:rsidRDefault="00A44FA5" w:rsidP="00A44FA5">
      <w:pPr>
        <w:pStyle w:val="ListParagraph"/>
        <w:numPr>
          <w:ilvl w:val="0"/>
          <w:numId w:val="10"/>
        </w:numPr>
        <w:shd w:val="clear" w:color="auto" w:fill="FFFFFF"/>
        <w:spacing w:before="0" w:beforeAutospacing="0"/>
        <w:rPr>
          <w:color w:val="000000"/>
        </w:rPr>
      </w:pPr>
      <w:r w:rsidRPr="00DD7810">
        <w:rPr>
          <w:color w:val="000000"/>
        </w:rPr>
        <w:t xml:space="preserve">a member of the crew of the crew of </w:t>
      </w:r>
      <w:r w:rsidR="00B0796E" w:rsidRPr="00DD7810">
        <w:rPr>
          <w:color w:val="000000"/>
        </w:rPr>
        <w:t xml:space="preserve">an aircraft or vessel </w:t>
      </w:r>
      <w:r w:rsidRPr="00DD7810">
        <w:rPr>
          <w:color w:val="000000"/>
        </w:rPr>
        <w:t>or worker associated with the safety or maintenance of an aircraft or vessel (other than the outgoing aircraft or vessel);</w:t>
      </w:r>
    </w:p>
    <w:p w14:paraId="597ECBE0" w14:textId="613770C4" w:rsidR="00A44FA5" w:rsidRPr="00DD7810" w:rsidRDefault="001E565B" w:rsidP="00A44FA5">
      <w:pPr>
        <w:pStyle w:val="ListParagraph"/>
        <w:numPr>
          <w:ilvl w:val="0"/>
          <w:numId w:val="10"/>
        </w:numPr>
        <w:shd w:val="clear" w:color="auto" w:fill="FFFFFF"/>
        <w:rPr>
          <w:color w:val="000000"/>
        </w:rPr>
      </w:pPr>
      <w:r w:rsidRPr="00DD7810">
        <w:rPr>
          <w:color w:val="000000"/>
        </w:rPr>
        <w:t>an individual</w:t>
      </w:r>
      <w:r w:rsidR="00A44FA5" w:rsidRPr="00DD7810">
        <w:rPr>
          <w:color w:val="000000"/>
        </w:rPr>
        <w:t xml:space="preserve"> engaged in the in the day</w:t>
      </w:r>
      <w:r w:rsidRPr="00DD7810">
        <w:rPr>
          <w:color w:val="000000"/>
        </w:rPr>
        <w:t>-</w:t>
      </w:r>
      <w:r w:rsidR="00A44FA5" w:rsidRPr="00DD7810">
        <w:rPr>
          <w:color w:val="000000"/>
        </w:rPr>
        <w:t>to</w:t>
      </w:r>
      <w:r w:rsidRPr="00DD7810">
        <w:rPr>
          <w:color w:val="000000"/>
        </w:rPr>
        <w:t>-</w:t>
      </w:r>
      <w:r w:rsidR="00A44FA5" w:rsidRPr="00DD7810">
        <w:rPr>
          <w:color w:val="000000"/>
        </w:rPr>
        <w:t xml:space="preserve">day conduct of inbound and outbound freight; </w:t>
      </w:r>
    </w:p>
    <w:p w14:paraId="2261FCBF" w14:textId="3CE520E9" w:rsidR="00A44FA5" w:rsidRPr="00DD7810" w:rsidRDefault="001E565B" w:rsidP="00A44FA5">
      <w:pPr>
        <w:pStyle w:val="ListParagraph"/>
        <w:numPr>
          <w:ilvl w:val="0"/>
          <w:numId w:val="10"/>
        </w:numPr>
        <w:shd w:val="clear" w:color="auto" w:fill="FFFFFF"/>
        <w:rPr>
          <w:color w:val="000000"/>
        </w:rPr>
      </w:pPr>
      <w:r w:rsidRPr="00DD7810">
        <w:rPr>
          <w:color w:val="000000"/>
        </w:rPr>
        <w:t>an individual</w:t>
      </w:r>
      <w:r w:rsidR="00A44FA5" w:rsidRPr="00DD7810">
        <w:rPr>
          <w:color w:val="000000"/>
        </w:rPr>
        <w:t xml:space="preserve"> whose travel is associated with essential work at an offshore facility; </w:t>
      </w:r>
    </w:p>
    <w:p w14:paraId="5CC0A641" w14:textId="77777777" w:rsidR="001E565B" w:rsidRPr="00DD7810" w:rsidRDefault="001E565B" w:rsidP="00A44FA5">
      <w:pPr>
        <w:pStyle w:val="ListParagraph"/>
        <w:numPr>
          <w:ilvl w:val="0"/>
          <w:numId w:val="10"/>
        </w:numPr>
        <w:shd w:val="clear" w:color="auto" w:fill="FFFFFF"/>
        <w:rPr>
          <w:color w:val="000000"/>
        </w:rPr>
      </w:pPr>
      <w:r w:rsidRPr="00DD7810">
        <w:rPr>
          <w:color w:val="000000"/>
        </w:rPr>
        <w:t>an individual who is travelling on official government business (including a member of the Australian Defence Force); or</w:t>
      </w:r>
    </w:p>
    <w:p w14:paraId="5D06C107" w14:textId="2E0EAE76" w:rsidR="00793999" w:rsidRPr="00DD7810" w:rsidRDefault="001E565B" w:rsidP="00A41E14">
      <w:pPr>
        <w:pStyle w:val="ListParagraph"/>
        <w:numPr>
          <w:ilvl w:val="0"/>
          <w:numId w:val="10"/>
        </w:numPr>
        <w:shd w:val="clear" w:color="auto" w:fill="FFFFFF"/>
        <w:rPr>
          <w:color w:val="000000"/>
        </w:rPr>
      </w:pPr>
      <w:r w:rsidRPr="00DD7810">
        <w:rPr>
          <w:color w:val="000000"/>
        </w:rPr>
        <w:t>an individual who is travelling on an Australian Government facilitated flight or voyage.</w:t>
      </w:r>
      <w:r w:rsidR="00A44FA5" w:rsidRPr="00DD7810">
        <w:rPr>
          <w:color w:val="000000"/>
        </w:rPr>
        <w:br/>
      </w:r>
    </w:p>
    <w:p w14:paraId="16F256CE" w14:textId="409EFAAD" w:rsidR="0008021C" w:rsidRPr="0008021C" w:rsidRDefault="0008021C" w:rsidP="00777861">
      <w:pPr>
        <w:pStyle w:val="Title"/>
        <w:shd w:val="clear" w:color="auto" w:fill="FFFFFF"/>
        <w:spacing w:before="0" w:beforeAutospacing="0" w:after="0" w:afterAutospacing="0"/>
        <w:rPr>
          <w:b/>
          <w:bCs/>
          <w:color w:val="000000"/>
        </w:rPr>
      </w:pPr>
    </w:p>
    <w:sectPr w:rsidR="0008021C" w:rsidRPr="000802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52EA"/>
    <w:multiLevelType w:val="hybridMultilevel"/>
    <w:tmpl w:val="4E00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27DCE"/>
    <w:multiLevelType w:val="hybridMultilevel"/>
    <w:tmpl w:val="5D7A6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5AA9"/>
    <w:multiLevelType w:val="hybridMultilevel"/>
    <w:tmpl w:val="7A34973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AA3CFB"/>
    <w:multiLevelType w:val="hybridMultilevel"/>
    <w:tmpl w:val="65086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F48A0"/>
    <w:multiLevelType w:val="hybridMultilevel"/>
    <w:tmpl w:val="E55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60588"/>
    <w:multiLevelType w:val="hybridMultilevel"/>
    <w:tmpl w:val="E9389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AF4B04"/>
    <w:multiLevelType w:val="multilevel"/>
    <w:tmpl w:val="3D9A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117542"/>
    <w:multiLevelType w:val="hybridMultilevel"/>
    <w:tmpl w:val="532AD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5F4186"/>
    <w:multiLevelType w:val="hybridMultilevel"/>
    <w:tmpl w:val="F1865DDA"/>
    <w:lvl w:ilvl="0" w:tplc="003C48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3F5813"/>
    <w:multiLevelType w:val="hybridMultilevel"/>
    <w:tmpl w:val="4C3C0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E3586F"/>
    <w:multiLevelType w:val="hybridMultilevel"/>
    <w:tmpl w:val="5374E9E6"/>
    <w:lvl w:ilvl="0" w:tplc="003C48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77417A7"/>
    <w:multiLevelType w:val="hybridMultilevel"/>
    <w:tmpl w:val="24843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3435DA"/>
    <w:multiLevelType w:val="hybridMultilevel"/>
    <w:tmpl w:val="642C6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451D78"/>
    <w:multiLevelType w:val="hybridMultilevel"/>
    <w:tmpl w:val="8ECEF24E"/>
    <w:lvl w:ilvl="0" w:tplc="003C488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6B5C97"/>
    <w:multiLevelType w:val="hybridMultilevel"/>
    <w:tmpl w:val="C988013A"/>
    <w:lvl w:ilvl="0" w:tplc="003C48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86B27"/>
    <w:multiLevelType w:val="hybridMultilevel"/>
    <w:tmpl w:val="0120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42C0B91"/>
    <w:multiLevelType w:val="hybridMultilevel"/>
    <w:tmpl w:val="B650CE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F43052"/>
    <w:multiLevelType w:val="hybridMultilevel"/>
    <w:tmpl w:val="FE48C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5F13AC"/>
    <w:multiLevelType w:val="hybridMultilevel"/>
    <w:tmpl w:val="AEB4BF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F17644D"/>
    <w:multiLevelType w:val="hybridMultilevel"/>
    <w:tmpl w:val="41967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2"/>
  </w:num>
  <w:num w:numId="4">
    <w:abstractNumId w:val="3"/>
  </w:num>
  <w:num w:numId="5">
    <w:abstractNumId w:val="2"/>
  </w:num>
  <w:num w:numId="6">
    <w:abstractNumId w:val="4"/>
  </w:num>
  <w:num w:numId="7">
    <w:abstractNumId w:val="11"/>
  </w:num>
  <w:num w:numId="8">
    <w:abstractNumId w:val="6"/>
  </w:num>
  <w:num w:numId="9">
    <w:abstractNumId w:val="1"/>
  </w:num>
  <w:num w:numId="10">
    <w:abstractNumId w:val="5"/>
  </w:num>
  <w:num w:numId="11">
    <w:abstractNumId w:val="9"/>
  </w:num>
  <w:num w:numId="12">
    <w:abstractNumId w:val="21"/>
  </w:num>
  <w:num w:numId="13">
    <w:abstractNumId w:val="20"/>
  </w:num>
  <w:num w:numId="14">
    <w:abstractNumId w:val="16"/>
  </w:num>
  <w:num w:numId="15">
    <w:abstractNumId w:val="10"/>
  </w:num>
  <w:num w:numId="16">
    <w:abstractNumId w:val="19"/>
  </w:num>
  <w:num w:numId="17">
    <w:abstractNumId w:val="13"/>
  </w:num>
  <w:num w:numId="18">
    <w:abstractNumId w:val="8"/>
  </w:num>
  <w:num w:numId="19">
    <w:abstractNumId w:val="0"/>
  </w:num>
  <w:num w:numId="20">
    <w:abstractNumId w:val="14"/>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2EA1"/>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1A7"/>
    <w:rsid w:val="00030AC1"/>
    <w:rsid w:val="00030F29"/>
    <w:rsid w:val="00031327"/>
    <w:rsid w:val="0003145F"/>
    <w:rsid w:val="00031C55"/>
    <w:rsid w:val="00031DAF"/>
    <w:rsid w:val="000324E4"/>
    <w:rsid w:val="000327CB"/>
    <w:rsid w:val="0003306F"/>
    <w:rsid w:val="0003325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55C"/>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2E45"/>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DE3"/>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6F5A"/>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4C2"/>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65B"/>
    <w:rsid w:val="001E5CC2"/>
    <w:rsid w:val="001E5CCB"/>
    <w:rsid w:val="001E6004"/>
    <w:rsid w:val="001E60A2"/>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6F99"/>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55"/>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57D"/>
    <w:rsid w:val="00293690"/>
    <w:rsid w:val="002936BC"/>
    <w:rsid w:val="00293724"/>
    <w:rsid w:val="002937A0"/>
    <w:rsid w:val="00293EE4"/>
    <w:rsid w:val="0029425F"/>
    <w:rsid w:val="002942F4"/>
    <w:rsid w:val="002944DD"/>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8B"/>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AB7"/>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91F"/>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4ED6"/>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2F5"/>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77F"/>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2E31"/>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A9E"/>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21"/>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0C91"/>
    <w:rsid w:val="004413E1"/>
    <w:rsid w:val="00441A38"/>
    <w:rsid w:val="00441C9A"/>
    <w:rsid w:val="00441D0D"/>
    <w:rsid w:val="00442D38"/>
    <w:rsid w:val="00443705"/>
    <w:rsid w:val="004438E5"/>
    <w:rsid w:val="00443917"/>
    <w:rsid w:val="00443A25"/>
    <w:rsid w:val="00443B81"/>
    <w:rsid w:val="00443C86"/>
    <w:rsid w:val="00444387"/>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D59"/>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6BB7"/>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CCF"/>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3AA"/>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423"/>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188"/>
    <w:rsid w:val="005E4211"/>
    <w:rsid w:val="005E4270"/>
    <w:rsid w:val="005E48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032"/>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0F6"/>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07C"/>
    <w:rsid w:val="00697967"/>
    <w:rsid w:val="006979AB"/>
    <w:rsid w:val="006A0240"/>
    <w:rsid w:val="006A034A"/>
    <w:rsid w:val="006A03A9"/>
    <w:rsid w:val="006A049A"/>
    <w:rsid w:val="006A07F1"/>
    <w:rsid w:val="006A0A4D"/>
    <w:rsid w:val="006A0B7E"/>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559"/>
    <w:rsid w:val="006D06BA"/>
    <w:rsid w:val="006D0DA1"/>
    <w:rsid w:val="006D0F4C"/>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568"/>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4EB2"/>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5BE"/>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4A"/>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3D32"/>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3B"/>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FF"/>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2C3"/>
    <w:rsid w:val="007765C8"/>
    <w:rsid w:val="00776783"/>
    <w:rsid w:val="00776A7A"/>
    <w:rsid w:val="00777140"/>
    <w:rsid w:val="00777476"/>
    <w:rsid w:val="00777861"/>
    <w:rsid w:val="00777D8A"/>
    <w:rsid w:val="00777ECC"/>
    <w:rsid w:val="00777ED0"/>
    <w:rsid w:val="0078043A"/>
    <w:rsid w:val="007813AB"/>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E07"/>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293"/>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91C"/>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37B11"/>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4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948"/>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7"/>
    <w:rsid w:val="008B52DF"/>
    <w:rsid w:val="008B6024"/>
    <w:rsid w:val="008B63DF"/>
    <w:rsid w:val="008B66CC"/>
    <w:rsid w:val="008B7794"/>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6BA"/>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356"/>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63A"/>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A7D"/>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4A9"/>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A32"/>
    <w:rsid w:val="00A43C00"/>
    <w:rsid w:val="00A43C2D"/>
    <w:rsid w:val="00A43D09"/>
    <w:rsid w:val="00A44ABF"/>
    <w:rsid w:val="00A44AD3"/>
    <w:rsid w:val="00A44C54"/>
    <w:rsid w:val="00A44FA5"/>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6C2"/>
    <w:rsid w:val="00A5283F"/>
    <w:rsid w:val="00A52897"/>
    <w:rsid w:val="00A5289E"/>
    <w:rsid w:val="00A528BB"/>
    <w:rsid w:val="00A52937"/>
    <w:rsid w:val="00A52B1C"/>
    <w:rsid w:val="00A52C82"/>
    <w:rsid w:val="00A533EB"/>
    <w:rsid w:val="00A53538"/>
    <w:rsid w:val="00A5404F"/>
    <w:rsid w:val="00A54B9A"/>
    <w:rsid w:val="00A550CF"/>
    <w:rsid w:val="00A55411"/>
    <w:rsid w:val="00A55D54"/>
    <w:rsid w:val="00A561BC"/>
    <w:rsid w:val="00A563A4"/>
    <w:rsid w:val="00A56673"/>
    <w:rsid w:val="00A56E89"/>
    <w:rsid w:val="00A56EE4"/>
    <w:rsid w:val="00A5706E"/>
    <w:rsid w:val="00A570E4"/>
    <w:rsid w:val="00A574E4"/>
    <w:rsid w:val="00A57517"/>
    <w:rsid w:val="00A57562"/>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05"/>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3F3C"/>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0B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96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EDE"/>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19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2DB"/>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3"/>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1F95"/>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AAB"/>
    <w:rsid w:val="00BE3BB3"/>
    <w:rsid w:val="00BE4D15"/>
    <w:rsid w:val="00BE4D54"/>
    <w:rsid w:val="00BE58DB"/>
    <w:rsid w:val="00BE5D47"/>
    <w:rsid w:val="00BE5D81"/>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938"/>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325"/>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DC9"/>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68B"/>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3E5B"/>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6E"/>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1DBA"/>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4E6"/>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47A"/>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822"/>
    <w:rsid w:val="00D24A08"/>
    <w:rsid w:val="00D24CA7"/>
    <w:rsid w:val="00D25259"/>
    <w:rsid w:val="00D25E71"/>
    <w:rsid w:val="00D25F14"/>
    <w:rsid w:val="00D27046"/>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7C7"/>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B6A"/>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2CE6"/>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3D1"/>
    <w:rsid w:val="00DB07B7"/>
    <w:rsid w:val="00DB0840"/>
    <w:rsid w:val="00DB092E"/>
    <w:rsid w:val="00DB098C"/>
    <w:rsid w:val="00DB09E6"/>
    <w:rsid w:val="00DB1529"/>
    <w:rsid w:val="00DB171E"/>
    <w:rsid w:val="00DB1D70"/>
    <w:rsid w:val="00DB24DA"/>
    <w:rsid w:val="00DB28CB"/>
    <w:rsid w:val="00DB2926"/>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810"/>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6D89"/>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B61"/>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0FAF"/>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0F4E"/>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29B"/>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191"/>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20"/>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245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398"/>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6A0C"/>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EB9F"/>
  <w15:chartTrackingRefBased/>
  <w15:docId w15:val="{E11FD68C-D221-49C2-BED3-F057590D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D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NoSpacing">
    <w:name w:val="No Spacing"/>
    <w:basedOn w:val="Normal"/>
    <w:uiPriority w:val="1"/>
    <w:qFormat/>
    <w:rsid w:val="006D0F4C"/>
    <w:pPr>
      <w:spacing w:before="100" w:beforeAutospacing="1" w:after="100" w:afterAutospacing="1"/>
    </w:pPr>
  </w:style>
  <w:style w:type="paragraph" w:styleId="ListParagraph">
    <w:name w:val="List Paragraph"/>
    <w:basedOn w:val="Normal"/>
    <w:uiPriority w:val="34"/>
    <w:qFormat/>
    <w:rsid w:val="00A43A32"/>
    <w:pPr>
      <w:spacing w:before="100" w:beforeAutospacing="1" w:after="100" w:afterAutospacing="1"/>
    </w:pPr>
  </w:style>
  <w:style w:type="paragraph" w:customStyle="1" w:styleId="Definition">
    <w:name w:val="Definition"/>
    <w:aliases w:val="dd"/>
    <w:basedOn w:val="Normal"/>
    <w:rsid w:val="002F791F"/>
    <w:pPr>
      <w:spacing w:before="180"/>
      <w:ind w:left="1134"/>
    </w:pPr>
    <w:rPr>
      <w:sz w:val="22"/>
      <w:szCs w:val="20"/>
    </w:rPr>
  </w:style>
  <w:style w:type="paragraph" w:customStyle="1" w:styleId="paragraph">
    <w:name w:val="paragraph"/>
    <w:aliases w:val="a"/>
    <w:basedOn w:val="Normal"/>
    <w:rsid w:val="002F791F"/>
    <w:pPr>
      <w:tabs>
        <w:tab w:val="right" w:pos="1531"/>
      </w:tabs>
      <w:spacing w:before="40"/>
      <w:ind w:left="1644" w:hanging="1644"/>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82963">
      <w:bodyDiv w:val="1"/>
      <w:marLeft w:val="0"/>
      <w:marRight w:val="0"/>
      <w:marTop w:val="0"/>
      <w:marBottom w:val="0"/>
      <w:divBdr>
        <w:top w:val="none" w:sz="0" w:space="0" w:color="auto"/>
        <w:left w:val="none" w:sz="0" w:space="0" w:color="auto"/>
        <w:bottom w:val="none" w:sz="0" w:space="0" w:color="auto"/>
        <w:right w:val="none" w:sz="0" w:space="0" w:color="auto"/>
      </w:divBdr>
    </w:div>
    <w:div w:id="543248922">
      <w:bodyDiv w:val="1"/>
      <w:marLeft w:val="0"/>
      <w:marRight w:val="0"/>
      <w:marTop w:val="0"/>
      <w:marBottom w:val="0"/>
      <w:divBdr>
        <w:top w:val="none" w:sz="0" w:space="0" w:color="auto"/>
        <w:left w:val="none" w:sz="0" w:space="0" w:color="auto"/>
        <w:bottom w:val="none" w:sz="0" w:space="0" w:color="auto"/>
        <w:right w:val="none" w:sz="0" w:space="0" w:color="auto"/>
      </w:divBdr>
    </w:div>
    <w:div w:id="1131096066">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596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05BC7BAA2CBD438047C15D1B1629D5" ma:contentTypeVersion="1" ma:contentTypeDescription="Create a new document." ma:contentTypeScope="" ma:versionID="246cf2be572792d1814d119f294494b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DC390-439A-451E-9366-25850AC448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4.xml><?xml version="1.0" encoding="utf-8"?>
<ds:datastoreItem xmlns:ds="http://schemas.openxmlformats.org/officeDocument/2006/customXml" ds:itemID="{637ACA71-805A-4FF3-A2E9-F7978AB4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4217</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27296</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PANTIC, Sandra</cp:lastModifiedBy>
  <cp:revision>3</cp:revision>
  <cp:lastPrinted>2009-12-03T05:05:00Z</cp:lastPrinted>
  <dcterms:created xsi:type="dcterms:W3CDTF">2022-03-22T00:28:00Z</dcterms:created>
  <dcterms:modified xsi:type="dcterms:W3CDTF">2022-03-27T22:41:00Z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ies>
</file>