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8098" w14:textId="77777777" w:rsidR="003072BC" w:rsidRPr="008278F7" w:rsidRDefault="003072BC" w:rsidP="007F6E69">
      <w:pPr>
        <w:spacing w:before="120"/>
        <w:rPr>
          <w:sz w:val="24"/>
        </w:rPr>
      </w:pPr>
      <w:r w:rsidRPr="008278F7">
        <w:rPr>
          <w:i/>
          <w:sz w:val="24"/>
        </w:rPr>
        <w:t>Customs Act 1901</w:t>
      </w:r>
    </w:p>
    <w:p w14:paraId="1EFA37EA" w14:textId="44E5A7B8" w:rsidR="003072BC" w:rsidRPr="003B618C" w:rsidRDefault="002B2CA9" w:rsidP="003072BC">
      <w:pPr>
        <w:rPr>
          <w:b/>
          <w:sz w:val="24"/>
        </w:rPr>
      </w:pPr>
      <w:r w:rsidRPr="003B618C">
        <w:rPr>
          <w:b/>
          <w:sz w:val="24"/>
        </w:rPr>
        <w:t>Notice of Intention to Propose Customs Tariff Alterations</w:t>
      </w:r>
      <w:r>
        <w:rPr>
          <w:b/>
          <w:sz w:val="24"/>
        </w:rPr>
        <w:t xml:space="preserve"> (No. </w:t>
      </w:r>
      <w:r w:rsidR="002A028C">
        <w:rPr>
          <w:b/>
          <w:sz w:val="24"/>
        </w:rPr>
        <w:t>2</w:t>
      </w:r>
      <w:r>
        <w:rPr>
          <w:b/>
          <w:sz w:val="24"/>
        </w:rPr>
        <w:t>) 2022</w:t>
      </w:r>
    </w:p>
    <w:p w14:paraId="29B5BD4E" w14:textId="6A9CAC91" w:rsidR="00417C27" w:rsidRPr="003B618C" w:rsidRDefault="007F46F2" w:rsidP="007F46F2">
      <w:pPr>
        <w:rPr>
          <w:sz w:val="24"/>
        </w:rPr>
      </w:pPr>
      <w:r w:rsidRPr="003B618C">
        <w:rPr>
          <w:sz w:val="24"/>
        </w:rPr>
        <w:t xml:space="preserve">In accordance with section 273EA of the </w:t>
      </w:r>
      <w:r w:rsidRPr="003B618C">
        <w:rPr>
          <w:i/>
          <w:sz w:val="24"/>
        </w:rPr>
        <w:t>Customs Act 1901</w:t>
      </w:r>
      <w:r w:rsidRPr="003B618C">
        <w:rPr>
          <w:sz w:val="24"/>
        </w:rPr>
        <w:t>,</w:t>
      </w:r>
      <w:r w:rsidR="00702714">
        <w:rPr>
          <w:sz w:val="24"/>
        </w:rPr>
        <w:t xml:space="preserve"> read with section 56 of the </w:t>
      </w:r>
      <w:r w:rsidR="00702714">
        <w:rPr>
          <w:i/>
          <w:sz w:val="24"/>
        </w:rPr>
        <w:t>Legislation Act 2003</w:t>
      </w:r>
      <w:r w:rsidR="00702714">
        <w:rPr>
          <w:sz w:val="24"/>
        </w:rPr>
        <w:t>,</w:t>
      </w:r>
      <w:r w:rsidRPr="003B618C">
        <w:rPr>
          <w:sz w:val="24"/>
        </w:rPr>
        <w:t xml:space="preserve"> I, </w:t>
      </w:r>
      <w:r w:rsidR="00F3525C">
        <w:rPr>
          <w:sz w:val="24"/>
        </w:rPr>
        <w:t>Kimberlee Stamatis</w:t>
      </w:r>
      <w:r w:rsidRPr="003B618C">
        <w:rPr>
          <w:sz w:val="24"/>
        </w:rPr>
        <w:t xml:space="preserve">, delegate of the </w:t>
      </w:r>
      <w:r w:rsidR="00AF7101" w:rsidRPr="003B618C">
        <w:rPr>
          <w:sz w:val="24"/>
        </w:rPr>
        <w:t>Minister for Home Affairs</w:t>
      </w:r>
      <w:r w:rsidRPr="003B618C">
        <w:rPr>
          <w:sz w:val="24"/>
        </w:rPr>
        <w:t xml:space="preserve">, give notice that it is intended, within 7 sitting days of the House of Representatives after the date of </w:t>
      </w:r>
      <w:r w:rsidR="002A028C">
        <w:rPr>
          <w:sz w:val="24"/>
        </w:rPr>
        <w:t>registration</w:t>
      </w:r>
      <w:r w:rsidR="002A028C" w:rsidRPr="003B618C">
        <w:rPr>
          <w:sz w:val="24"/>
        </w:rPr>
        <w:t xml:space="preserve"> </w:t>
      </w:r>
      <w:r w:rsidRPr="003B618C">
        <w:rPr>
          <w:sz w:val="24"/>
        </w:rPr>
        <w:t>of this Notice, to propose in the Parliament a Customs Tariff alteration in accordance with the particulars specified in the Schedule</w:t>
      </w:r>
      <w:r w:rsidR="0087326E">
        <w:rPr>
          <w:sz w:val="24"/>
        </w:rPr>
        <w:t>s</w:t>
      </w:r>
      <w:r w:rsidRPr="003B618C">
        <w:rPr>
          <w:sz w:val="24"/>
        </w:rPr>
        <w:t xml:space="preserve"> to this Notice.</w:t>
      </w:r>
    </w:p>
    <w:p w14:paraId="144125F7" w14:textId="3E5306F6" w:rsidR="00AC0CE0" w:rsidRPr="00266B84" w:rsidRDefault="007F46F2" w:rsidP="00AC0CE0">
      <w:pPr>
        <w:rPr>
          <w:sz w:val="24"/>
        </w:rPr>
      </w:pPr>
      <w:r w:rsidRPr="00266B84">
        <w:rPr>
          <w:sz w:val="24"/>
        </w:rPr>
        <w:t>The alteration</w:t>
      </w:r>
      <w:r w:rsidR="00F3525C" w:rsidRPr="00266B84">
        <w:rPr>
          <w:sz w:val="24"/>
        </w:rPr>
        <w:t xml:space="preserve"> in Schedule 1 </w:t>
      </w:r>
      <w:r w:rsidRPr="00266B84">
        <w:rPr>
          <w:sz w:val="24"/>
        </w:rPr>
        <w:t>operate</w:t>
      </w:r>
      <w:r w:rsidR="00E50E57" w:rsidRPr="00266B84">
        <w:rPr>
          <w:sz w:val="24"/>
        </w:rPr>
        <w:t>s</w:t>
      </w:r>
      <w:r w:rsidRPr="00266B84">
        <w:rPr>
          <w:sz w:val="24"/>
        </w:rPr>
        <w:t xml:space="preserve"> </w:t>
      </w:r>
      <w:r w:rsidR="00AC0CE0" w:rsidRPr="00266B84">
        <w:rPr>
          <w:sz w:val="24"/>
        </w:rPr>
        <w:t xml:space="preserve">starting on </w:t>
      </w:r>
      <w:r w:rsidR="00F3525C" w:rsidRPr="00266B84">
        <w:rPr>
          <w:sz w:val="24"/>
        </w:rPr>
        <w:t xml:space="preserve">1 April </w:t>
      </w:r>
      <w:r w:rsidR="005D793E" w:rsidRPr="00266B84">
        <w:rPr>
          <w:sz w:val="24"/>
        </w:rPr>
        <w:t>2022</w:t>
      </w:r>
      <w:r w:rsidR="005349B2" w:rsidRPr="00266B84">
        <w:rPr>
          <w:sz w:val="24"/>
        </w:rPr>
        <w:t xml:space="preserve"> in relation to:</w:t>
      </w:r>
    </w:p>
    <w:p w14:paraId="50D2A693" w14:textId="01F892BF" w:rsidR="005349B2" w:rsidRPr="00266B84" w:rsidRDefault="005349B2" w:rsidP="005349B2">
      <w:pPr>
        <w:tabs>
          <w:tab w:val="left" w:pos="851"/>
        </w:tabs>
        <w:ind w:left="1276" w:hanging="1276"/>
        <w:rPr>
          <w:sz w:val="24"/>
        </w:rPr>
      </w:pPr>
      <w:r w:rsidRPr="00266B84">
        <w:rPr>
          <w:sz w:val="24"/>
        </w:rPr>
        <w:tab/>
        <w:t>(a)</w:t>
      </w:r>
      <w:r w:rsidRPr="00266B84">
        <w:rPr>
          <w:sz w:val="24"/>
        </w:rPr>
        <w:tab/>
        <w:t>goods imported into Australia on or after 1 April 2022; and</w:t>
      </w:r>
    </w:p>
    <w:p w14:paraId="3C4D3C5B" w14:textId="6D96CD72" w:rsidR="005349B2" w:rsidRPr="00266B84" w:rsidRDefault="005349B2" w:rsidP="005349B2">
      <w:pPr>
        <w:tabs>
          <w:tab w:val="left" w:pos="851"/>
        </w:tabs>
        <w:ind w:left="1276" w:hanging="1276"/>
        <w:rPr>
          <w:sz w:val="24"/>
        </w:rPr>
      </w:pPr>
      <w:r w:rsidRPr="00266B84">
        <w:rPr>
          <w:sz w:val="24"/>
        </w:rPr>
        <w:tab/>
        <w:t>(b)</w:t>
      </w:r>
      <w:r w:rsidRPr="00266B84">
        <w:rPr>
          <w:sz w:val="24"/>
        </w:rPr>
        <w:tab/>
        <w:t>goods imported into Australia before 1 April 2022, where the time for working out the rate of import duty on the goods had not occurred before 1 April 2022.</w:t>
      </w:r>
    </w:p>
    <w:p w14:paraId="3C2C26BD" w14:textId="11DE4235" w:rsidR="007F46F2" w:rsidRPr="00266B84" w:rsidRDefault="00AC0CE0" w:rsidP="00D6760E">
      <w:pPr>
        <w:rPr>
          <w:sz w:val="24"/>
        </w:rPr>
      </w:pPr>
      <w:r w:rsidRPr="00266B84">
        <w:rPr>
          <w:sz w:val="24"/>
        </w:rPr>
        <w:t>T</w:t>
      </w:r>
      <w:r w:rsidR="00F3525C" w:rsidRPr="00266B84">
        <w:rPr>
          <w:sz w:val="24"/>
        </w:rPr>
        <w:t xml:space="preserve">he alteration in Schedule 2 operates </w:t>
      </w:r>
      <w:r w:rsidRPr="00266B84">
        <w:rPr>
          <w:sz w:val="24"/>
        </w:rPr>
        <w:t xml:space="preserve">starting on </w:t>
      </w:r>
      <w:r w:rsidR="00F3525C" w:rsidRPr="00266B84">
        <w:rPr>
          <w:sz w:val="24"/>
        </w:rPr>
        <w:t>1 July 2022</w:t>
      </w:r>
      <w:r w:rsidRPr="00266B84">
        <w:rPr>
          <w:sz w:val="24"/>
        </w:rPr>
        <w:t xml:space="preserve"> in relation to:</w:t>
      </w:r>
    </w:p>
    <w:p w14:paraId="565C4CBC" w14:textId="4EA309E7" w:rsidR="00AC0CE0" w:rsidRPr="00266B84" w:rsidRDefault="00AC0CE0" w:rsidP="00AC0CE0">
      <w:pPr>
        <w:tabs>
          <w:tab w:val="left" w:pos="851"/>
        </w:tabs>
        <w:ind w:left="1276" w:hanging="1276"/>
        <w:rPr>
          <w:sz w:val="24"/>
        </w:rPr>
      </w:pPr>
      <w:r w:rsidRPr="00266B84">
        <w:rPr>
          <w:sz w:val="24"/>
        </w:rPr>
        <w:tab/>
        <w:t>(a)</w:t>
      </w:r>
      <w:r w:rsidRPr="00266B84">
        <w:rPr>
          <w:sz w:val="24"/>
        </w:rPr>
        <w:tab/>
        <w:t>goods imported into Australia on or after 1 July 2022; and</w:t>
      </w:r>
    </w:p>
    <w:p w14:paraId="2DF8BF5C" w14:textId="499FC26F" w:rsidR="00AC0CE0" w:rsidRDefault="00AC0CE0" w:rsidP="00AC0CE0">
      <w:pPr>
        <w:tabs>
          <w:tab w:val="left" w:pos="851"/>
        </w:tabs>
        <w:ind w:left="1276" w:hanging="1276"/>
        <w:rPr>
          <w:sz w:val="24"/>
        </w:rPr>
      </w:pPr>
      <w:r w:rsidRPr="00266B84">
        <w:rPr>
          <w:sz w:val="24"/>
        </w:rPr>
        <w:tab/>
        <w:t>(b)</w:t>
      </w:r>
      <w:r w:rsidRPr="00266B84">
        <w:rPr>
          <w:sz w:val="24"/>
        </w:rPr>
        <w:tab/>
        <w:t>goods imported into Australia before 1 July 2022, where the time for working out the rate of import duty on the goods had not occurred before 1 July 2022.</w:t>
      </w:r>
    </w:p>
    <w:p w14:paraId="04D6FAE1" w14:textId="77777777" w:rsidR="003072BC" w:rsidRPr="008278F7" w:rsidRDefault="003072BC" w:rsidP="003072BC">
      <w:r w:rsidRPr="008278F7">
        <w:t>____________________</w:t>
      </w:r>
    </w:p>
    <w:p w14:paraId="46633186" w14:textId="6A29E678" w:rsidR="00555F36" w:rsidRPr="00F3525C" w:rsidRDefault="00555F36" w:rsidP="00555F36">
      <w:pPr>
        <w:pStyle w:val="Heading6"/>
        <w:keepNext w:val="0"/>
        <w:keepLines w:val="0"/>
      </w:pPr>
      <w:r>
        <w:t>Schedule</w:t>
      </w:r>
      <w:r w:rsidR="00F3525C">
        <w:t> 1</w:t>
      </w:r>
      <w:r>
        <w:t xml:space="preserve">—Alteration to the </w:t>
      </w:r>
      <w:r w:rsidRPr="00555F36">
        <w:rPr>
          <w:i/>
        </w:rPr>
        <w:t>Customs Tariff Act 1995</w:t>
      </w:r>
      <w:r w:rsidR="00A06CE0">
        <w:t xml:space="preserve"> operating </w:t>
      </w:r>
      <w:r w:rsidR="005349B2">
        <w:t>starting on</w:t>
      </w:r>
      <w:r w:rsidR="00A06CE0">
        <w:t xml:space="preserve"> 1 April 2022</w:t>
      </w:r>
    </w:p>
    <w:p w14:paraId="666FCCD3" w14:textId="77777777" w:rsidR="00555F36" w:rsidRPr="00887BCB" w:rsidRDefault="00555F36" w:rsidP="00555F36">
      <w:pPr>
        <w:pStyle w:val="Header"/>
        <w:rPr>
          <w:sz w:val="18"/>
        </w:rPr>
      </w:pPr>
      <w:r w:rsidRPr="00887BCB">
        <w:rPr>
          <w:sz w:val="18"/>
        </w:rPr>
        <w:t xml:space="preserve">  </w:t>
      </w:r>
    </w:p>
    <w:p w14:paraId="65572C09" w14:textId="790C8234" w:rsidR="00555F36" w:rsidRDefault="00F3525C" w:rsidP="00555F36">
      <w:pPr>
        <w:pStyle w:val="ItemHead"/>
        <w:keepLines w:val="0"/>
      </w:pPr>
      <w:r>
        <w:t>1</w:t>
      </w:r>
      <w:r w:rsidR="00555F36">
        <w:t xml:space="preserve">  Schedule</w:t>
      </w:r>
      <w:r w:rsidR="005E79A8">
        <w:t> </w:t>
      </w:r>
      <w:r w:rsidR="00E92736">
        <w:t>4</w:t>
      </w:r>
      <w:r w:rsidR="00555F36">
        <w:t xml:space="preserve"> (table item</w:t>
      </w:r>
      <w:r w:rsidR="005E79A8">
        <w:t> </w:t>
      </w:r>
      <w:r>
        <w:t>57</w:t>
      </w:r>
      <w:r w:rsidR="00555F36">
        <w:t xml:space="preserve">, column </w:t>
      </w:r>
      <w:r>
        <w:t>headed “Description of goods”, paragraph (b)</w:t>
      </w:r>
      <w:r w:rsidR="005E79A8">
        <w:t>)</w:t>
      </w:r>
    </w:p>
    <w:p w14:paraId="52F4FE79" w14:textId="7AFD175B" w:rsidR="00F3525C" w:rsidRDefault="00F3525C" w:rsidP="00F3525C">
      <w:pPr>
        <w:pStyle w:val="Item"/>
        <w:keepLines w:val="0"/>
      </w:pPr>
      <w:r>
        <w:t>Omit “COVID</w:t>
      </w:r>
      <w:r>
        <w:noBreakHyphen/>
        <w:t>19; and”, substitute “COVID</w:t>
      </w:r>
      <w:r>
        <w:noBreakHyphen/>
        <w:t>19.”.</w:t>
      </w:r>
    </w:p>
    <w:p w14:paraId="4A63631B" w14:textId="6FEBF14F" w:rsidR="00F3525C" w:rsidRDefault="00F3525C" w:rsidP="00F3525C">
      <w:pPr>
        <w:pStyle w:val="ItemHead"/>
        <w:keepLines w:val="0"/>
      </w:pPr>
      <w:r>
        <w:t>2  Schedule 4 (table item 57, column headed “Description of goods”, paragraph (c))</w:t>
      </w:r>
    </w:p>
    <w:p w14:paraId="5C413F84" w14:textId="17BE24CC" w:rsidR="00555F36" w:rsidRDefault="00F3525C" w:rsidP="00555F36">
      <w:pPr>
        <w:pStyle w:val="Item"/>
        <w:keepLines w:val="0"/>
      </w:pPr>
      <w:r>
        <w:t>Repeal the paragraph.</w:t>
      </w:r>
    </w:p>
    <w:p w14:paraId="3F2F7DBC" w14:textId="77777777" w:rsidR="005349B2" w:rsidRPr="006719D6" w:rsidRDefault="005349B2">
      <w:r w:rsidRPr="006719D6">
        <w:br w:type="page"/>
      </w:r>
    </w:p>
    <w:p w14:paraId="784FA2DB" w14:textId="4FBB1256" w:rsidR="00F3525C" w:rsidRPr="00F3525C" w:rsidRDefault="00F3525C" w:rsidP="00794ED0">
      <w:pPr>
        <w:pStyle w:val="Heading6"/>
        <w:keepNext w:val="0"/>
        <w:keepLines w:val="0"/>
        <w:spacing w:before="120"/>
      </w:pPr>
      <w:r>
        <w:lastRenderedPageBreak/>
        <w:t xml:space="preserve">Schedule 2—Alteration to the </w:t>
      </w:r>
      <w:r w:rsidRPr="00555F36">
        <w:rPr>
          <w:i/>
        </w:rPr>
        <w:t>Customs Tariff Act 1995</w:t>
      </w:r>
      <w:r w:rsidR="00A06CE0">
        <w:t xml:space="preserve"> operating </w:t>
      </w:r>
      <w:r w:rsidR="005349B2">
        <w:t xml:space="preserve">starting on </w:t>
      </w:r>
      <w:r w:rsidR="00A06CE0">
        <w:t>1 July 2022</w:t>
      </w:r>
    </w:p>
    <w:p w14:paraId="2227B61A" w14:textId="77777777" w:rsidR="00F3525C" w:rsidRPr="00887BCB" w:rsidRDefault="00F3525C" w:rsidP="00F3525C">
      <w:pPr>
        <w:pStyle w:val="Header"/>
        <w:rPr>
          <w:sz w:val="18"/>
        </w:rPr>
      </w:pPr>
      <w:r w:rsidRPr="00887BCB">
        <w:rPr>
          <w:sz w:val="18"/>
        </w:rPr>
        <w:t xml:space="preserve">  </w:t>
      </w:r>
    </w:p>
    <w:p w14:paraId="2250295D" w14:textId="3FB1714B" w:rsidR="00F3525C" w:rsidRDefault="00F3525C" w:rsidP="00F3525C">
      <w:pPr>
        <w:pStyle w:val="ItemHead"/>
      </w:pPr>
      <w:r>
        <w:t>1  Schedule 4 (cell at table item 57, column headed “Description of goods”)</w:t>
      </w:r>
    </w:p>
    <w:p w14:paraId="15541002" w14:textId="6C4F8536" w:rsidR="00F3525C" w:rsidRPr="00F3525C" w:rsidRDefault="00F3525C" w:rsidP="00F3525C">
      <w:pPr>
        <w:pStyle w:val="Item"/>
      </w:pPr>
      <w:r>
        <w:t>Repeal the cell, substitute</w:t>
      </w:r>
      <w:r w:rsidR="00AC465F">
        <w:t>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4275"/>
      </w:tblGrid>
      <w:tr w:rsidR="005E79A8" w:rsidRPr="00531612" w14:paraId="6CEACBE9" w14:textId="77777777" w:rsidTr="00EA1549">
        <w:trPr>
          <w:cantSplit/>
        </w:trPr>
        <w:tc>
          <w:tcPr>
            <w:tcW w:w="4275" w:type="dxa"/>
            <w:shd w:val="clear" w:color="auto" w:fill="auto"/>
          </w:tcPr>
          <w:p w14:paraId="0969ADA6" w14:textId="730CEF6E" w:rsidR="00CD043E" w:rsidRDefault="00F3525C" w:rsidP="00CD043E">
            <w:pPr>
              <w:pStyle w:val="Tabletext"/>
            </w:pPr>
            <w:r>
              <w:t>Goods, as prescribed by by</w:t>
            </w:r>
            <w:r>
              <w:noBreakHyphen/>
              <w:t xml:space="preserve">law, </w:t>
            </w:r>
            <w:r w:rsidR="00C26B91">
              <w:t>where</w:t>
            </w:r>
            <w:r w:rsidR="00CD043E">
              <w:t>:</w:t>
            </w:r>
          </w:p>
          <w:p w14:paraId="61CAD400" w14:textId="44F0CAA5" w:rsidR="0066559D" w:rsidRDefault="0066559D" w:rsidP="0066559D">
            <w:pPr>
              <w:pStyle w:val="Tablea"/>
            </w:pPr>
            <w:r>
              <w:t>(a)</w:t>
            </w:r>
            <w:r>
              <w:tab/>
            </w:r>
            <w:r w:rsidR="00A92B3D">
              <w:t xml:space="preserve">the goods are </w:t>
            </w:r>
            <w:r>
              <w:t>medical products or hygiene products; or</w:t>
            </w:r>
          </w:p>
          <w:p w14:paraId="18111C43" w14:textId="09BA56B0" w:rsidR="00A92B3D" w:rsidRDefault="0066559D" w:rsidP="0066559D">
            <w:pPr>
              <w:pStyle w:val="Tablea"/>
            </w:pPr>
            <w:r>
              <w:t>(b)</w:t>
            </w:r>
            <w:r>
              <w:tab/>
            </w:r>
            <w:r w:rsidR="00A92B3D">
              <w:t>both</w:t>
            </w:r>
            <w:r w:rsidR="00C26B91">
              <w:t xml:space="preserve"> of the following apply</w:t>
            </w:r>
            <w:r w:rsidR="00A92B3D">
              <w:t>:</w:t>
            </w:r>
          </w:p>
          <w:p w14:paraId="724F5943" w14:textId="00311CD6" w:rsidR="00A92B3D" w:rsidRDefault="00A92B3D" w:rsidP="00A92B3D">
            <w:pPr>
              <w:pStyle w:val="Tablei"/>
            </w:pPr>
            <w:r>
              <w:t>(i)</w:t>
            </w:r>
            <w:r>
              <w:tab/>
              <w:t>the goods are ingredient</w:t>
            </w:r>
            <w:r w:rsidRPr="00AC003D">
              <w:t xml:space="preserve">s </w:t>
            </w:r>
            <w:r w:rsidR="008E3B6D" w:rsidRPr="00AC003D">
              <w:t xml:space="preserve">to be </w:t>
            </w:r>
            <w:r w:rsidR="0066559D" w:rsidRPr="00AC003D">
              <w:t xml:space="preserve">used in </w:t>
            </w:r>
            <w:r w:rsidR="0066559D">
              <w:t xml:space="preserve">the production of </w:t>
            </w:r>
            <w:r w:rsidR="00320868" w:rsidRPr="00320868">
              <w:t xml:space="preserve">medicaments </w:t>
            </w:r>
            <w:r w:rsidR="00320868">
              <w:t>or</w:t>
            </w:r>
            <w:r w:rsidR="00320868" w:rsidRPr="00320868">
              <w:t xml:space="preserve"> other goods</w:t>
            </w:r>
            <w:r>
              <w:t>;</w:t>
            </w:r>
          </w:p>
          <w:p w14:paraId="3D33E81B" w14:textId="45EA135C" w:rsidR="0066559D" w:rsidRDefault="00A92B3D" w:rsidP="00A92B3D">
            <w:pPr>
              <w:pStyle w:val="Tablei"/>
            </w:pPr>
            <w:r>
              <w:t>(ii)</w:t>
            </w:r>
            <w:r>
              <w:tab/>
              <w:t xml:space="preserve">the </w:t>
            </w:r>
            <w:r w:rsidR="00320868" w:rsidRPr="00320868">
              <w:t xml:space="preserve">medicaments </w:t>
            </w:r>
            <w:r w:rsidR="00320868">
              <w:t>or</w:t>
            </w:r>
            <w:r w:rsidR="00320868" w:rsidRPr="00320868">
              <w:t xml:space="preserve"> other goods</w:t>
            </w:r>
            <w:r>
              <w:t xml:space="preserve">, if imported, </w:t>
            </w:r>
            <w:r w:rsidR="0066559D">
              <w:t>would be classified under Chapter 30 of Schedule 3; or</w:t>
            </w:r>
          </w:p>
          <w:p w14:paraId="7602AA00" w14:textId="4E821751" w:rsidR="00A92B3D" w:rsidRDefault="0066559D" w:rsidP="00A427B5">
            <w:pPr>
              <w:pStyle w:val="Tablea"/>
            </w:pPr>
            <w:r>
              <w:t>(c)</w:t>
            </w:r>
            <w:r>
              <w:tab/>
            </w:r>
            <w:r w:rsidR="00A92B3D">
              <w:t>both</w:t>
            </w:r>
            <w:r w:rsidR="00C26B91">
              <w:t xml:space="preserve"> of the following apply</w:t>
            </w:r>
            <w:r w:rsidR="00A92B3D">
              <w:t>:</w:t>
            </w:r>
          </w:p>
          <w:p w14:paraId="2B4231F0" w14:textId="51287898" w:rsidR="00A92B3D" w:rsidRDefault="00A92B3D" w:rsidP="00A92B3D">
            <w:pPr>
              <w:pStyle w:val="Tablei"/>
            </w:pPr>
            <w:r>
              <w:t>(i)</w:t>
            </w:r>
            <w:r>
              <w:tab/>
              <w:t xml:space="preserve">the </w:t>
            </w:r>
            <w:r w:rsidRPr="00AC003D">
              <w:t xml:space="preserve">goods are </w:t>
            </w:r>
            <w:r w:rsidR="0066559D" w:rsidRPr="00AC003D">
              <w:t xml:space="preserve">containers </w:t>
            </w:r>
            <w:r w:rsidR="002A028C" w:rsidRPr="00AC003D">
              <w:t xml:space="preserve">to be used </w:t>
            </w:r>
            <w:r w:rsidR="0066559D" w:rsidRPr="00AC003D">
              <w:t xml:space="preserve">for </w:t>
            </w:r>
            <w:r w:rsidR="002A028C">
              <w:t xml:space="preserve">containing </w:t>
            </w:r>
            <w:r w:rsidR="00320868" w:rsidRPr="005E02B4">
              <w:t xml:space="preserve">medicaments </w:t>
            </w:r>
            <w:r w:rsidR="00320868" w:rsidRPr="00E65C33">
              <w:t>or</w:t>
            </w:r>
            <w:r w:rsidR="00320868" w:rsidRPr="00AC003D">
              <w:t xml:space="preserve"> other goods</w:t>
            </w:r>
            <w:r w:rsidRPr="00AC003D">
              <w:t>;</w:t>
            </w:r>
          </w:p>
          <w:p w14:paraId="4E2E9A85" w14:textId="36081723" w:rsidR="005E79A8" w:rsidRPr="00531612" w:rsidRDefault="00A92B3D" w:rsidP="00C26B91">
            <w:pPr>
              <w:pStyle w:val="Tablei"/>
            </w:pPr>
            <w:r>
              <w:t>(ii)</w:t>
            </w:r>
            <w:r>
              <w:tab/>
              <w:t xml:space="preserve">the </w:t>
            </w:r>
            <w:r w:rsidR="00320868" w:rsidRPr="00320868">
              <w:t xml:space="preserve">medicaments </w:t>
            </w:r>
            <w:r w:rsidR="00320868">
              <w:t>or</w:t>
            </w:r>
            <w:r w:rsidR="00320868" w:rsidRPr="00320868">
              <w:t xml:space="preserve"> other goods</w:t>
            </w:r>
            <w:r w:rsidR="00A427B5">
              <w:t>, if imported,</w:t>
            </w:r>
            <w:r w:rsidR="0066559D">
              <w:t xml:space="preserve"> would be classified under Chapter 30 of Schedule 3.</w:t>
            </w:r>
          </w:p>
        </w:tc>
      </w:tr>
      <w:tr w:rsidR="00A92B3D" w:rsidRPr="00531612" w14:paraId="458A6767" w14:textId="77777777" w:rsidTr="00EA1549">
        <w:trPr>
          <w:cantSplit/>
        </w:trPr>
        <w:tc>
          <w:tcPr>
            <w:tcW w:w="4275" w:type="dxa"/>
            <w:shd w:val="clear" w:color="auto" w:fill="auto"/>
          </w:tcPr>
          <w:p w14:paraId="7D1FBC5E" w14:textId="77777777" w:rsidR="00A92B3D" w:rsidRDefault="00A92B3D" w:rsidP="00CD043E">
            <w:pPr>
              <w:pStyle w:val="Tabletext"/>
            </w:pPr>
          </w:p>
        </w:tc>
      </w:tr>
    </w:tbl>
    <w:p w14:paraId="5233EDF1" w14:textId="77777777" w:rsidR="00AC0CE0" w:rsidRDefault="00AC0CE0" w:rsidP="003072BC">
      <w:pPr>
        <w:rPr>
          <w:sz w:val="24"/>
        </w:rPr>
      </w:pPr>
    </w:p>
    <w:p w14:paraId="069DA38F" w14:textId="10F2EB27" w:rsidR="003072BC" w:rsidRPr="008278F7" w:rsidRDefault="00F8336A" w:rsidP="003072BC">
      <w:pPr>
        <w:rPr>
          <w:sz w:val="24"/>
        </w:rPr>
      </w:pPr>
      <w:r>
        <w:rPr>
          <w:sz w:val="24"/>
        </w:rPr>
        <w:t>Dated this</w:t>
      </w:r>
      <w:r w:rsidR="00B47A72">
        <w:rPr>
          <w:sz w:val="24"/>
        </w:rPr>
        <w:t xml:space="preserve"> </w:t>
      </w:r>
      <w:r w:rsidR="00FD599E">
        <w:rPr>
          <w:sz w:val="24"/>
        </w:rPr>
        <w:t>1</w:t>
      </w:r>
      <w:r w:rsidR="00FD599E">
        <w:rPr>
          <w:sz w:val="24"/>
          <w:vertAlign w:val="superscript"/>
        </w:rPr>
        <w:t>st</w:t>
      </w:r>
      <w:r w:rsidR="005D793E">
        <w:rPr>
          <w:sz w:val="24"/>
        </w:rPr>
        <w:t xml:space="preserve"> </w:t>
      </w:r>
      <w:r w:rsidR="004E7B81">
        <w:rPr>
          <w:sz w:val="24"/>
        </w:rPr>
        <w:t xml:space="preserve">day of </w:t>
      </w:r>
      <w:r w:rsidR="00FD599E">
        <w:rPr>
          <w:sz w:val="24"/>
        </w:rPr>
        <w:t xml:space="preserve">April </w:t>
      </w:r>
      <w:r w:rsidR="007F5051">
        <w:rPr>
          <w:sz w:val="24"/>
        </w:rPr>
        <w:t>202</w:t>
      </w:r>
      <w:r w:rsidR="00FD599E">
        <w:rPr>
          <w:sz w:val="24"/>
        </w:rPr>
        <w:t>2</w:t>
      </w:r>
      <w:r w:rsidR="003072BC" w:rsidRPr="008278F7">
        <w:rPr>
          <w:sz w:val="24"/>
        </w:rPr>
        <w:t>.</w:t>
      </w:r>
    </w:p>
    <w:p w14:paraId="34D33E4F" w14:textId="32219F02" w:rsidR="003072BC" w:rsidRPr="008278F7" w:rsidRDefault="008659F7" w:rsidP="007F6E69">
      <w:pPr>
        <w:spacing w:before="360"/>
        <w:rPr>
          <w:sz w:val="24"/>
        </w:rPr>
      </w:pPr>
      <w:r>
        <w:rPr>
          <w:sz w:val="24"/>
        </w:rPr>
        <w:br/>
      </w:r>
      <w:bookmarkStart w:id="0" w:name="_GoBack"/>
      <w:r w:rsidR="00A446CB">
        <w:rPr>
          <w:sz w:val="24"/>
        </w:rPr>
        <w:t>[Signed]</w:t>
      </w:r>
      <w:bookmarkEnd w:id="0"/>
      <w:r w:rsidR="00E216C2">
        <w:rPr>
          <w:sz w:val="24"/>
        </w:rPr>
        <w:br/>
      </w:r>
      <w:r w:rsidR="00F3525C">
        <w:rPr>
          <w:sz w:val="24"/>
        </w:rPr>
        <w:t>Kimberlee Stamatis</w:t>
      </w:r>
    </w:p>
    <w:p w14:paraId="4C87ED11" w14:textId="123FDE34" w:rsidR="003072BC" w:rsidRPr="008278F7" w:rsidRDefault="003072BC" w:rsidP="00292E01">
      <w:pPr>
        <w:spacing w:after="0"/>
        <w:rPr>
          <w:sz w:val="24"/>
        </w:rPr>
      </w:pPr>
      <w:r w:rsidRPr="008278F7">
        <w:rPr>
          <w:sz w:val="24"/>
        </w:rPr>
        <w:t>Delegate of the</w:t>
      </w:r>
      <w:r w:rsidR="00746B73">
        <w:rPr>
          <w:sz w:val="24"/>
        </w:rPr>
        <w:t xml:space="preserve"> </w:t>
      </w:r>
      <w:r w:rsidR="00AF7101">
        <w:rPr>
          <w:sz w:val="24"/>
        </w:rPr>
        <w:t xml:space="preserve">Minister </w:t>
      </w:r>
      <w:r w:rsidR="00F60246">
        <w:rPr>
          <w:sz w:val="24"/>
        </w:rPr>
        <w:t xml:space="preserve">for </w:t>
      </w:r>
      <w:r w:rsidR="00AF7101">
        <w:rPr>
          <w:sz w:val="24"/>
        </w:rPr>
        <w:t>Home Affairs</w:t>
      </w:r>
    </w:p>
    <w:sectPr w:rsidR="003072BC" w:rsidRPr="008278F7" w:rsidSect="0029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0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CB1C" w14:textId="77777777" w:rsidR="00086747" w:rsidRDefault="00086747" w:rsidP="003A707F">
      <w:pPr>
        <w:spacing w:after="0" w:line="240" w:lineRule="auto"/>
      </w:pPr>
      <w:r>
        <w:separator/>
      </w:r>
    </w:p>
  </w:endnote>
  <w:endnote w:type="continuationSeparator" w:id="0">
    <w:p w14:paraId="7DFA633E" w14:textId="77777777" w:rsidR="00086747" w:rsidRDefault="0008674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B8B0" w14:textId="77777777" w:rsidR="00046B0E" w:rsidRDefault="00046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22B0" w14:textId="24650C34" w:rsidR="00702714" w:rsidRDefault="00702714" w:rsidP="00702714">
    <w:pPr>
      <w:pStyle w:val="Footer"/>
      <w:jc w:val="center"/>
    </w:pPr>
    <w:r w:rsidRPr="00702714">
      <w:t>Notice of Intention to Propose Customs Tariff Alterations (No. 2) 2022</w:t>
    </w:r>
  </w:p>
  <w:p w14:paraId="4FA9166B" w14:textId="24CDDEC4" w:rsidR="00702714" w:rsidRDefault="00702714" w:rsidP="00702714">
    <w:pPr>
      <w:pStyle w:val="Footer"/>
      <w:jc w:val="center"/>
    </w:pPr>
  </w:p>
  <w:p w14:paraId="08E7BB28" w14:textId="4E689594" w:rsidR="00702714" w:rsidRDefault="00702714" w:rsidP="007027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B0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BB69B" w14:textId="79E9AA80" w:rsidR="00702714" w:rsidRDefault="00702714" w:rsidP="00702714">
    <w:pPr>
      <w:pStyle w:val="Footer"/>
      <w:jc w:val="center"/>
    </w:pPr>
    <w:r w:rsidRPr="00702714">
      <w:t>Notice of Intention to Propose Customs Tariff Alterations (No. 2) 2022</w:t>
    </w:r>
  </w:p>
  <w:p w14:paraId="45694BEC" w14:textId="77777777" w:rsidR="00702714" w:rsidRDefault="00702714" w:rsidP="00702714">
    <w:pPr>
      <w:pStyle w:val="Footer"/>
      <w:jc w:val="center"/>
    </w:pPr>
  </w:p>
  <w:p w14:paraId="23837F9B" w14:textId="54E68839" w:rsidR="00702714" w:rsidRDefault="00702714" w:rsidP="007027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B0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ED070" w14:textId="77777777" w:rsidR="00086747" w:rsidRDefault="00086747" w:rsidP="003A707F">
      <w:pPr>
        <w:spacing w:after="0" w:line="240" w:lineRule="auto"/>
      </w:pPr>
      <w:r>
        <w:separator/>
      </w:r>
    </w:p>
  </w:footnote>
  <w:footnote w:type="continuationSeparator" w:id="0">
    <w:p w14:paraId="4B77A156" w14:textId="77777777" w:rsidR="00086747" w:rsidRDefault="0008674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3D78" w14:textId="77777777" w:rsidR="00046B0E" w:rsidRDefault="00046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705E" w14:textId="77777777" w:rsidR="00046B0E" w:rsidRDefault="00046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660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D8DA23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819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3A9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95D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226E"/>
    <w:multiLevelType w:val="hybridMultilevel"/>
    <w:tmpl w:val="3EE8C57C"/>
    <w:lvl w:ilvl="0" w:tplc="171AC3A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D3A294B4" w:tentative="1">
      <w:start w:val="1"/>
      <w:numFmt w:val="lowerLetter"/>
      <w:lvlText w:val="%2."/>
      <w:lvlJc w:val="left"/>
      <w:pPr>
        <w:ind w:left="1500" w:hanging="360"/>
      </w:pPr>
    </w:lvl>
    <w:lvl w:ilvl="2" w:tplc="5DBEA108" w:tentative="1">
      <w:start w:val="1"/>
      <w:numFmt w:val="lowerRoman"/>
      <w:lvlText w:val="%3."/>
      <w:lvlJc w:val="right"/>
      <w:pPr>
        <w:ind w:left="2220" w:hanging="180"/>
      </w:pPr>
    </w:lvl>
    <w:lvl w:ilvl="3" w:tplc="3EB649A2" w:tentative="1">
      <w:start w:val="1"/>
      <w:numFmt w:val="decimal"/>
      <w:lvlText w:val="%4."/>
      <w:lvlJc w:val="left"/>
      <w:pPr>
        <w:ind w:left="2940" w:hanging="360"/>
      </w:pPr>
    </w:lvl>
    <w:lvl w:ilvl="4" w:tplc="3FC0F3E8" w:tentative="1">
      <w:start w:val="1"/>
      <w:numFmt w:val="lowerLetter"/>
      <w:lvlText w:val="%5."/>
      <w:lvlJc w:val="left"/>
      <w:pPr>
        <w:ind w:left="3660" w:hanging="360"/>
      </w:pPr>
    </w:lvl>
    <w:lvl w:ilvl="5" w:tplc="8F5679CC" w:tentative="1">
      <w:start w:val="1"/>
      <w:numFmt w:val="lowerRoman"/>
      <w:lvlText w:val="%6."/>
      <w:lvlJc w:val="right"/>
      <w:pPr>
        <w:ind w:left="4380" w:hanging="180"/>
      </w:pPr>
    </w:lvl>
    <w:lvl w:ilvl="6" w:tplc="2A1E2E20" w:tentative="1">
      <w:start w:val="1"/>
      <w:numFmt w:val="decimal"/>
      <w:lvlText w:val="%7."/>
      <w:lvlJc w:val="left"/>
      <w:pPr>
        <w:ind w:left="5100" w:hanging="360"/>
      </w:pPr>
    </w:lvl>
    <w:lvl w:ilvl="7" w:tplc="D458AAFA" w:tentative="1">
      <w:start w:val="1"/>
      <w:numFmt w:val="lowerLetter"/>
      <w:lvlText w:val="%8."/>
      <w:lvlJc w:val="left"/>
      <w:pPr>
        <w:ind w:left="5820" w:hanging="360"/>
      </w:pPr>
    </w:lvl>
    <w:lvl w:ilvl="8" w:tplc="B852D5E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2022D2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21713D"/>
    <w:multiLevelType w:val="hybridMultilevel"/>
    <w:tmpl w:val="F1E47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05D1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099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2906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75A39"/>
    <w:multiLevelType w:val="hybridMultilevel"/>
    <w:tmpl w:val="EE9C86E4"/>
    <w:lvl w:ilvl="0" w:tplc="3EDE1D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E4FAD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7962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C3FAA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B47"/>
    <w:rsid w:val="00011E45"/>
    <w:rsid w:val="00046B0E"/>
    <w:rsid w:val="000579BF"/>
    <w:rsid w:val="00072B09"/>
    <w:rsid w:val="00086747"/>
    <w:rsid w:val="00097B7F"/>
    <w:rsid w:val="000B11EB"/>
    <w:rsid w:val="000B29E5"/>
    <w:rsid w:val="000C755C"/>
    <w:rsid w:val="000E1BD6"/>
    <w:rsid w:val="000E1F2B"/>
    <w:rsid w:val="00103419"/>
    <w:rsid w:val="001134F4"/>
    <w:rsid w:val="00126E17"/>
    <w:rsid w:val="00130EF3"/>
    <w:rsid w:val="0014022B"/>
    <w:rsid w:val="001758D6"/>
    <w:rsid w:val="001C2AAD"/>
    <w:rsid w:val="001C48E4"/>
    <w:rsid w:val="001C6D37"/>
    <w:rsid w:val="001F6E54"/>
    <w:rsid w:val="00212443"/>
    <w:rsid w:val="00212C4D"/>
    <w:rsid w:val="0022308D"/>
    <w:rsid w:val="00234E1B"/>
    <w:rsid w:val="00266643"/>
    <w:rsid w:val="00266B84"/>
    <w:rsid w:val="00280BCD"/>
    <w:rsid w:val="0029209F"/>
    <w:rsid w:val="00292E01"/>
    <w:rsid w:val="002A028C"/>
    <w:rsid w:val="002B2CA9"/>
    <w:rsid w:val="002E357B"/>
    <w:rsid w:val="002F7346"/>
    <w:rsid w:val="003072BC"/>
    <w:rsid w:val="00312F0D"/>
    <w:rsid w:val="003152F2"/>
    <w:rsid w:val="00320868"/>
    <w:rsid w:val="00322107"/>
    <w:rsid w:val="003264B0"/>
    <w:rsid w:val="00346D1A"/>
    <w:rsid w:val="003A707F"/>
    <w:rsid w:val="003B0EC1"/>
    <w:rsid w:val="003B573B"/>
    <w:rsid w:val="003B618C"/>
    <w:rsid w:val="003C17A2"/>
    <w:rsid w:val="003C44D7"/>
    <w:rsid w:val="003F2CBD"/>
    <w:rsid w:val="003F40E8"/>
    <w:rsid w:val="00411D3B"/>
    <w:rsid w:val="00417C27"/>
    <w:rsid w:val="00424B97"/>
    <w:rsid w:val="004324D5"/>
    <w:rsid w:val="004367F8"/>
    <w:rsid w:val="0045127E"/>
    <w:rsid w:val="004625D9"/>
    <w:rsid w:val="00485D02"/>
    <w:rsid w:val="004A4C21"/>
    <w:rsid w:val="004B1096"/>
    <w:rsid w:val="004B2753"/>
    <w:rsid w:val="004D47A8"/>
    <w:rsid w:val="004E1A08"/>
    <w:rsid w:val="004E7B81"/>
    <w:rsid w:val="00502A40"/>
    <w:rsid w:val="00520873"/>
    <w:rsid w:val="005349B2"/>
    <w:rsid w:val="00545EB6"/>
    <w:rsid w:val="00555F36"/>
    <w:rsid w:val="00560F65"/>
    <w:rsid w:val="005713F2"/>
    <w:rsid w:val="00573D44"/>
    <w:rsid w:val="005834AD"/>
    <w:rsid w:val="00584214"/>
    <w:rsid w:val="0059440D"/>
    <w:rsid w:val="005D793E"/>
    <w:rsid w:val="005E02B4"/>
    <w:rsid w:val="005E75F7"/>
    <w:rsid w:val="005E79A8"/>
    <w:rsid w:val="00602660"/>
    <w:rsid w:val="00607174"/>
    <w:rsid w:val="00613BEA"/>
    <w:rsid w:val="006231BB"/>
    <w:rsid w:val="0064394E"/>
    <w:rsid w:val="0066559D"/>
    <w:rsid w:val="006719D6"/>
    <w:rsid w:val="006832EC"/>
    <w:rsid w:val="006B6661"/>
    <w:rsid w:val="006C05BD"/>
    <w:rsid w:val="006E3A8A"/>
    <w:rsid w:val="006E4C0B"/>
    <w:rsid w:val="006F734D"/>
    <w:rsid w:val="00702714"/>
    <w:rsid w:val="0074569F"/>
    <w:rsid w:val="00746B73"/>
    <w:rsid w:val="00794ED0"/>
    <w:rsid w:val="0079560C"/>
    <w:rsid w:val="00797874"/>
    <w:rsid w:val="007E2756"/>
    <w:rsid w:val="007F46F2"/>
    <w:rsid w:val="007F5051"/>
    <w:rsid w:val="007F6E69"/>
    <w:rsid w:val="0081583E"/>
    <w:rsid w:val="0082405A"/>
    <w:rsid w:val="0083327A"/>
    <w:rsid w:val="008375DF"/>
    <w:rsid w:val="00840A06"/>
    <w:rsid w:val="008439B7"/>
    <w:rsid w:val="00860C1F"/>
    <w:rsid w:val="008659F7"/>
    <w:rsid w:val="0087253F"/>
    <w:rsid w:val="0087326E"/>
    <w:rsid w:val="00883DFF"/>
    <w:rsid w:val="00887BCB"/>
    <w:rsid w:val="008E2915"/>
    <w:rsid w:val="008E3B6D"/>
    <w:rsid w:val="008E4F6C"/>
    <w:rsid w:val="00900266"/>
    <w:rsid w:val="00927FF6"/>
    <w:rsid w:val="00932EEB"/>
    <w:rsid w:val="009539C7"/>
    <w:rsid w:val="00954042"/>
    <w:rsid w:val="00975599"/>
    <w:rsid w:val="00984788"/>
    <w:rsid w:val="009A4E3E"/>
    <w:rsid w:val="00A00F21"/>
    <w:rsid w:val="00A06CE0"/>
    <w:rsid w:val="00A427B5"/>
    <w:rsid w:val="00A446CB"/>
    <w:rsid w:val="00A6085C"/>
    <w:rsid w:val="00A67051"/>
    <w:rsid w:val="00A92B3D"/>
    <w:rsid w:val="00AC003D"/>
    <w:rsid w:val="00AC0CE0"/>
    <w:rsid w:val="00AC465F"/>
    <w:rsid w:val="00AC7274"/>
    <w:rsid w:val="00AF7101"/>
    <w:rsid w:val="00B2423C"/>
    <w:rsid w:val="00B36EE4"/>
    <w:rsid w:val="00B47A72"/>
    <w:rsid w:val="00B770DD"/>
    <w:rsid w:val="00B8139B"/>
    <w:rsid w:val="00B816F6"/>
    <w:rsid w:val="00B82A9D"/>
    <w:rsid w:val="00B84226"/>
    <w:rsid w:val="00B86CC2"/>
    <w:rsid w:val="00BA6E3F"/>
    <w:rsid w:val="00BB2882"/>
    <w:rsid w:val="00BE5504"/>
    <w:rsid w:val="00C26B91"/>
    <w:rsid w:val="00C40CD0"/>
    <w:rsid w:val="00C63C4E"/>
    <w:rsid w:val="00C72C30"/>
    <w:rsid w:val="00CD043E"/>
    <w:rsid w:val="00CE7CC3"/>
    <w:rsid w:val="00D229E5"/>
    <w:rsid w:val="00D46C54"/>
    <w:rsid w:val="00D6760E"/>
    <w:rsid w:val="00D77A88"/>
    <w:rsid w:val="00DC5714"/>
    <w:rsid w:val="00E1046A"/>
    <w:rsid w:val="00E216C2"/>
    <w:rsid w:val="00E34893"/>
    <w:rsid w:val="00E379E5"/>
    <w:rsid w:val="00E445E2"/>
    <w:rsid w:val="00E50E57"/>
    <w:rsid w:val="00E65C33"/>
    <w:rsid w:val="00E92736"/>
    <w:rsid w:val="00E94F60"/>
    <w:rsid w:val="00EA1549"/>
    <w:rsid w:val="00EA56EC"/>
    <w:rsid w:val="00EA77B9"/>
    <w:rsid w:val="00F05C8E"/>
    <w:rsid w:val="00F3525C"/>
    <w:rsid w:val="00F40885"/>
    <w:rsid w:val="00F41E50"/>
    <w:rsid w:val="00F60246"/>
    <w:rsid w:val="00F8336A"/>
    <w:rsid w:val="00F841B5"/>
    <w:rsid w:val="00F85F24"/>
    <w:rsid w:val="00FB7AEC"/>
    <w:rsid w:val="00FC7B65"/>
    <w:rsid w:val="00FD599E"/>
    <w:rsid w:val="00FE223A"/>
    <w:rsid w:val="00FE5ADC"/>
    <w:rsid w:val="00FE69C8"/>
    <w:rsid w:val="00FF035F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7C5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BC"/>
  </w:style>
  <w:style w:type="paragraph" w:styleId="Heading1">
    <w:name w:val="heading 1"/>
    <w:basedOn w:val="Normal"/>
    <w:next w:val="Normal"/>
    <w:link w:val="Heading1Char"/>
    <w:uiPriority w:val="9"/>
    <w:qFormat/>
    <w:rsid w:val="0030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aliases w:val="as,ActHead 6"/>
    <w:basedOn w:val="Heading1"/>
    <w:next w:val="Heading7"/>
    <w:link w:val="Heading6Char"/>
    <w:qFormat/>
    <w:rsid w:val="003072BC"/>
    <w:pPr>
      <w:spacing w:before="0" w:line="240" w:lineRule="auto"/>
      <w:ind w:left="1134" w:hanging="1134"/>
      <w:outlineLvl w:val="5"/>
    </w:pPr>
    <w:rPr>
      <w:rFonts w:ascii="Arial" w:eastAsia="Times New Roman" w:hAnsi="Arial" w:cs="Arial"/>
      <w:bCs w:val="0"/>
      <w:color w:val="auto"/>
      <w:kern w:val="28"/>
      <w:sz w:val="3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6Char">
    <w:name w:val="Heading 6 Char"/>
    <w:aliases w:val="as Char,ActHead 6 Char"/>
    <w:basedOn w:val="DefaultParagraphFont"/>
    <w:link w:val="Heading6"/>
    <w:rsid w:val="003072BC"/>
    <w:rPr>
      <w:rFonts w:ascii="Arial" w:eastAsia="Times New Roman" w:hAnsi="Arial" w:cs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link w:val="ItemChar"/>
    <w:rsid w:val="003072BC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ItemHead">
    <w:name w:val="ItemHead"/>
    <w:aliases w:val="ih"/>
    <w:basedOn w:val="Heading1"/>
    <w:next w:val="Item"/>
    <w:link w:val="ItemHeadChar"/>
    <w:rsid w:val="003072BC"/>
    <w:pPr>
      <w:keepNext w:val="0"/>
      <w:spacing w:before="220" w:line="240" w:lineRule="auto"/>
      <w:ind w:left="709" w:hanging="709"/>
      <w:outlineLvl w:val="9"/>
    </w:pPr>
    <w:rPr>
      <w:rFonts w:ascii="Arial" w:eastAsia="Times New Roman" w:hAnsi="Arial" w:cs="Arial"/>
      <w:color w:val="auto"/>
      <w:kern w:val="28"/>
      <w:sz w:val="24"/>
      <w:szCs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link w:val="ItemHead"/>
    <w:rsid w:val="00F8336A"/>
    <w:rPr>
      <w:rFonts w:ascii="Arial" w:eastAsia="Times New Roman" w:hAnsi="Arial" w:cs="Arial"/>
      <w:b/>
      <w:bCs/>
      <w:kern w:val="28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E1046A"/>
    <w:pPr>
      <w:ind w:left="720"/>
      <w:contextualSpacing/>
    </w:pPr>
  </w:style>
  <w:style w:type="table" w:styleId="TableGrid">
    <w:name w:val="Table Grid"/>
    <w:basedOn w:val="TableNormal"/>
    <w:uiPriority w:val="59"/>
    <w:rsid w:val="008E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29E5"/>
  </w:style>
  <w:style w:type="paragraph" w:customStyle="1" w:styleId="subsection">
    <w:name w:val="subsection"/>
    <w:aliases w:val="ss"/>
    <w:basedOn w:val="Normal"/>
    <w:link w:val="subsectionChar"/>
    <w:rsid w:val="000B29E5"/>
    <w:pPr>
      <w:spacing w:before="180" w:after="0" w:line="240" w:lineRule="auto"/>
      <w:ind w:left="1134" w:hanging="1134"/>
    </w:pPr>
  </w:style>
  <w:style w:type="paragraph" w:customStyle="1" w:styleId="paragraphsub">
    <w:name w:val="paragraph(sub)"/>
    <w:aliases w:val="aa"/>
    <w:basedOn w:val="Normal"/>
    <w:uiPriority w:val="99"/>
    <w:rsid w:val="000B29E5"/>
    <w:pPr>
      <w:spacing w:before="40" w:after="0" w:line="240" w:lineRule="auto"/>
      <w:ind w:left="2098" w:hanging="2098"/>
    </w:pPr>
    <w:rPr>
      <w:rFonts w:ascii="Times New Roman" w:hAnsi="Times New Roman" w:cs="Times New Roman"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B29E5"/>
  </w:style>
  <w:style w:type="paragraph" w:customStyle="1" w:styleId="paragraph">
    <w:name w:val="paragraph"/>
    <w:aliases w:val="a"/>
    <w:basedOn w:val="Normal"/>
    <w:link w:val="paragraphChar"/>
    <w:rsid w:val="000B29E5"/>
    <w:pPr>
      <w:spacing w:before="40" w:after="0" w:line="240" w:lineRule="auto"/>
      <w:ind w:left="1644" w:hanging="1644"/>
    </w:pPr>
  </w:style>
  <w:style w:type="character" w:styleId="CommentReference">
    <w:name w:val="annotation reference"/>
    <w:basedOn w:val="DefaultParagraphFont"/>
    <w:uiPriority w:val="99"/>
    <w:semiHidden/>
    <w:unhideWhenUsed/>
    <w:rsid w:val="0001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E45"/>
    <w:rPr>
      <w:b/>
      <w:bCs/>
      <w:sz w:val="20"/>
      <w:szCs w:val="20"/>
    </w:rPr>
  </w:style>
  <w:style w:type="paragraph" w:styleId="NoSpacing">
    <w:name w:val="No Spacing"/>
    <w:uiPriority w:val="1"/>
    <w:qFormat/>
    <w:rsid w:val="00602660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6760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D6760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E1BD6"/>
    <w:rPr>
      <w:color w:val="0000FF" w:themeColor="hyperlink"/>
      <w:u w:val="single"/>
    </w:rPr>
  </w:style>
  <w:style w:type="paragraph" w:customStyle="1" w:styleId="ActHead9">
    <w:name w:val="ActHead 9"/>
    <w:aliases w:val="aat"/>
    <w:basedOn w:val="Normal"/>
    <w:next w:val="ItemHead"/>
    <w:qFormat/>
    <w:rsid w:val="00555F3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notedraft">
    <w:name w:val="note(draft)"/>
    <w:aliases w:val="nd"/>
    <w:basedOn w:val="Normal"/>
    <w:rsid w:val="00555F36"/>
    <w:pPr>
      <w:spacing w:before="240" w:after="0" w:line="240" w:lineRule="auto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555F36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Tablei">
    <w:name w:val="Table(i)"/>
    <w:aliases w:val="taa"/>
    <w:basedOn w:val="Normal"/>
    <w:rsid w:val="00A92B3D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4D5E-9779-4136-9EF3-F6268E42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4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2022-04-01T03:42:00Z</dcterms:created>
  <dcterms:modified xsi:type="dcterms:W3CDTF">2022-04-01T03:42:00Z</dcterms:modified>
</cp:coreProperties>
</file>