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394E2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92F8EFD" wp14:editId="708D5FE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3707A" w14:textId="77777777" w:rsidR="0048364F" w:rsidRDefault="0048364F" w:rsidP="0048364F">
      <w:pPr>
        <w:rPr>
          <w:sz w:val="19"/>
        </w:rPr>
      </w:pPr>
    </w:p>
    <w:p w14:paraId="19AED203" w14:textId="77777777" w:rsidR="0048364F" w:rsidRDefault="00FC5070" w:rsidP="0048364F">
      <w:pPr>
        <w:pStyle w:val="ShortT"/>
      </w:pPr>
      <w:r w:rsidRPr="00FC5070">
        <w:t>Consumer Goods (Button/Coin Batteries) Amendment Safety Standard 2022</w:t>
      </w:r>
    </w:p>
    <w:p w14:paraId="62BB80D3" w14:textId="77777777" w:rsidR="00B43ABE" w:rsidRPr="00001A63" w:rsidRDefault="00B43ABE" w:rsidP="00926C1A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 xml:space="preserve">Michael </w:t>
      </w:r>
      <w:proofErr w:type="spellStart"/>
      <w:r>
        <w:rPr>
          <w:szCs w:val="22"/>
        </w:rPr>
        <w:t>Sukkar</w:t>
      </w:r>
      <w:proofErr w:type="spellEnd"/>
      <w:r w:rsidRPr="00001A63">
        <w:rPr>
          <w:szCs w:val="22"/>
        </w:rPr>
        <w:t xml:space="preserve">, </w:t>
      </w:r>
      <w:r>
        <w:rPr>
          <w:szCs w:val="22"/>
        </w:rPr>
        <w:t>Assistant Treasurer, Minister for Housing and Minister for Homelessness, Social and Community Housing</w:t>
      </w:r>
      <w:r w:rsidRPr="00001A63">
        <w:rPr>
          <w:szCs w:val="22"/>
        </w:rPr>
        <w:t xml:space="preserve">, make the following </w:t>
      </w:r>
      <w:r w:rsidR="00A858B5">
        <w:rPr>
          <w:szCs w:val="22"/>
        </w:rPr>
        <w:t>safety standard</w:t>
      </w:r>
      <w:r w:rsidRPr="00001A63">
        <w:rPr>
          <w:szCs w:val="22"/>
        </w:rPr>
        <w:t>.</w:t>
      </w:r>
    </w:p>
    <w:p w14:paraId="4E4A0049" w14:textId="760CF5A7" w:rsidR="00B43ABE" w:rsidRPr="00001A63" w:rsidRDefault="00B43ABE" w:rsidP="00926C1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6A4708">
        <w:rPr>
          <w:szCs w:val="22"/>
        </w:rPr>
        <w:t xml:space="preserve"> </w:t>
      </w:r>
      <w:r w:rsidRPr="00001A63">
        <w:rPr>
          <w:szCs w:val="22"/>
        </w:rPr>
        <w:fldChar w:fldCharType="begin"/>
      </w:r>
      <w:r w:rsidRPr="00001A63">
        <w:rPr>
          <w:szCs w:val="22"/>
        </w:rPr>
        <w:instrText xml:space="preserve"> DOCPROPERTY  DateMade </w:instrText>
      </w:r>
      <w:r w:rsidRPr="00001A63">
        <w:rPr>
          <w:szCs w:val="22"/>
        </w:rPr>
        <w:fldChar w:fldCharType="separate"/>
      </w:r>
      <w:r w:rsidR="006A4708">
        <w:rPr>
          <w:szCs w:val="22"/>
        </w:rPr>
        <w:t>30 March 2022</w:t>
      </w:r>
      <w:r w:rsidRPr="00001A63">
        <w:rPr>
          <w:szCs w:val="22"/>
        </w:rPr>
        <w:fldChar w:fldCharType="end"/>
      </w:r>
    </w:p>
    <w:p w14:paraId="07F9BE00" w14:textId="77777777" w:rsidR="00B43ABE" w:rsidRPr="00001A63" w:rsidRDefault="00B43ABE" w:rsidP="00926C1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 xml:space="preserve">Michael </w:t>
      </w:r>
      <w:proofErr w:type="spellStart"/>
      <w:r>
        <w:rPr>
          <w:szCs w:val="22"/>
        </w:rPr>
        <w:t>Sukkar</w:t>
      </w:r>
      <w:proofErr w:type="spellEnd"/>
    </w:p>
    <w:p w14:paraId="12FAB270" w14:textId="77777777" w:rsidR="00B43ABE" w:rsidRPr="001F2C7F" w:rsidRDefault="00B43ABE" w:rsidP="00926C1A">
      <w:pPr>
        <w:pStyle w:val="SignCoverPageEnd"/>
        <w:rPr>
          <w:szCs w:val="22"/>
        </w:rPr>
      </w:pPr>
      <w:r>
        <w:rPr>
          <w:szCs w:val="22"/>
        </w:rPr>
        <w:t>Assistant Treasurer, Minister for Housing and Minister for Homelessness, Social and Community Housing</w:t>
      </w:r>
    </w:p>
    <w:p w14:paraId="369C1B26" w14:textId="77777777" w:rsidR="00B43ABE" w:rsidRDefault="00B43ABE" w:rsidP="00926C1A"/>
    <w:p w14:paraId="1DCA5DF1" w14:textId="77777777" w:rsidR="0048364F" w:rsidRPr="00FB3161" w:rsidRDefault="0048364F" w:rsidP="0048364F">
      <w:pPr>
        <w:pStyle w:val="Header"/>
        <w:tabs>
          <w:tab w:val="clear" w:pos="4150"/>
          <w:tab w:val="clear" w:pos="8307"/>
        </w:tabs>
      </w:pPr>
      <w:r w:rsidRPr="00FB3161">
        <w:rPr>
          <w:rStyle w:val="CharAmSchNo"/>
        </w:rPr>
        <w:t xml:space="preserve"> </w:t>
      </w:r>
      <w:r w:rsidRPr="00FB3161">
        <w:rPr>
          <w:rStyle w:val="CharAmSchText"/>
        </w:rPr>
        <w:t xml:space="preserve"> </w:t>
      </w:r>
    </w:p>
    <w:p w14:paraId="7782B7EB" w14:textId="77777777" w:rsidR="0048364F" w:rsidRPr="00FB3161" w:rsidRDefault="0048364F" w:rsidP="0048364F">
      <w:pPr>
        <w:pStyle w:val="Header"/>
        <w:tabs>
          <w:tab w:val="clear" w:pos="4150"/>
          <w:tab w:val="clear" w:pos="8307"/>
        </w:tabs>
      </w:pPr>
      <w:r w:rsidRPr="00FB3161">
        <w:rPr>
          <w:rStyle w:val="CharAmPartNo"/>
        </w:rPr>
        <w:t xml:space="preserve"> </w:t>
      </w:r>
      <w:r w:rsidRPr="00FB3161">
        <w:rPr>
          <w:rStyle w:val="CharAmPartText"/>
        </w:rPr>
        <w:t xml:space="preserve"> </w:t>
      </w:r>
    </w:p>
    <w:p w14:paraId="6CD6BC9D" w14:textId="77777777" w:rsidR="0048364F" w:rsidRDefault="0048364F" w:rsidP="0048364F">
      <w:pPr>
        <w:sectPr w:rsidR="0048364F" w:rsidSect="00D932A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50EB1D3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FC89697" w14:textId="059503E4" w:rsidR="00717B8A" w:rsidRDefault="00717B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717B8A">
        <w:rPr>
          <w:noProof/>
        </w:rPr>
        <w:tab/>
      </w:r>
      <w:r w:rsidRPr="00717B8A">
        <w:rPr>
          <w:noProof/>
        </w:rPr>
        <w:fldChar w:fldCharType="begin"/>
      </w:r>
      <w:r w:rsidRPr="00717B8A">
        <w:rPr>
          <w:noProof/>
        </w:rPr>
        <w:instrText xml:space="preserve"> PAGEREF _Toc96679728 \h </w:instrText>
      </w:r>
      <w:r w:rsidRPr="00717B8A">
        <w:rPr>
          <w:noProof/>
        </w:rPr>
      </w:r>
      <w:r w:rsidRPr="00717B8A">
        <w:rPr>
          <w:noProof/>
        </w:rPr>
        <w:fldChar w:fldCharType="separate"/>
      </w:r>
      <w:r w:rsidR="006A4708">
        <w:rPr>
          <w:noProof/>
        </w:rPr>
        <w:t>1</w:t>
      </w:r>
      <w:r w:rsidRPr="00717B8A">
        <w:rPr>
          <w:noProof/>
        </w:rPr>
        <w:fldChar w:fldCharType="end"/>
      </w:r>
    </w:p>
    <w:p w14:paraId="6D45D567" w14:textId="119FEAA4" w:rsidR="00717B8A" w:rsidRDefault="00717B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17B8A">
        <w:rPr>
          <w:noProof/>
        </w:rPr>
        <w:tab/>
      </w:r>
      <w:r w:rsidRPr="00717B8A">
        <w:rPr>
          <w:noProof/>
        </w:rPr>
        <w:fldChar w:fldCharType="begin"/>
      </w:r>
      <w:r w:rsidRPr="00717B8A">
        <w:rPr>
          <w:noProof/>
        </w:rPr>
        <w:instrText xml:space="preserve"> PAGEREF _Toc96679729 \h </w:instrText>
      </w:r>
      <w:r w:rsidRPr="00717B8A">
        <w:rPr>
          <w:noProof/>
        </w:rPr>
      </w:r>
      <w:r w:rsidRPr="00717B8A">
        <w:rPr>
          <w:noProof/>
        </w:rPr>
        <w:fldChar w:fldCharType="separate"/>
      </w:r>
      <w:r w:rsidR="006A4708">
        <w:rPr>
          <w:noProof/>
        </w:rPr>
        <w:t>1</w:t>
      </w:r>
      <w:r w:rsidRPr="00717B8A">
        <w:rPr>
          <w:noProof/>
        </w:rPr>
        <w:fldChar w:fldCharType="end"/>
      </w:r>
    </w:p>
    <w:p w14:paraId="2B18B340" w14:textId="7E547A28" w:rsidR="00717B8A" w:rsidRDefault="00717B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717B8A">
        <w:rPr>
          <w:noProof/>
        </w:rPr>
        <w:tab/>
      </w:r>
      <w:r w:rsidRPr="00717B8A">
        <w:rPr>
          <w:noProof/>
        </w:rPr>
        <w:fldChar w:fldCharType="begin"/>
      </w:r>
      <w:r w:rsidRPr="00717B8A">
        <w:rPr>
          <w:noProof/>
        </w:rPr>
        <w:instrText xml:space="preserve"> PAGEREF _Toc96679730 \h </w:instrText>
      </w:r>
      <w:r w:rsidRPr="00717B8A">
        <w:rPr>
          <w:noProof/>
        </w:rPr>
      </w:r>
      <w:r w:rsidRPr="00717B8A">
        <w:rPr>
          <w:noProof/>
        </w:rPr>
        <w:fldChar w:fldCharType="separate"/>
      </w:r>
      <w:r w:rsidR="006A4708">
        <w:rPr>
          <w:noProof/>
        </w:rPr>
        <w:t>1</w:t>
      </w:r>
      <w:r w:rsidRPr="00717B8A">
        <w:rPr>
          <w:noProof/>
        </w:rPr>
        <w:fldChar w:fldCharType="end"/>
      </w:r>
    </w:p>
    <w:p w14:paraId="6DA16834" w14:textId="5770EABC" w:rsidR="00717B8A" w:rsidRDefault="00717B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717B8A">
        <w:rPr>
          <w:noProof/>
        </w:rPr>
        <w:tab/>
      </w:r>
      <w:r w:rsidRPr="00717B8A">
        <w:rPr>
          <w:noProof/>
        </w:rPr>
        <w:fldChar w:fldCharType="begin"/>
      </w:r>
      <w:r w:rsidRPr="00717B8A">
        <w:rPr>
          <w:noProof/>
        </w:rPr>
        <w:instrText xml:space="preserve"> PAGEREF _Toc96679731 \h </w:instrText>
      </w:r>
      <w:r w:rsidRPr="00717B8A">
        <w:rPr>
          <w:noProof/>
        </w:rPr>
      </w:r>
      <w:r w:rsidRPr="00717B8A">
        <w:rPr>
          <w:noProof/>
        </w:rPr>
        <w:fldChar w:fldCharType="separate"/>
      </w:r>
      <w:r w:rsidR="006A4708">
        <w:rPr>
          <w:noProof/>
        </w:rPr>
        <w:t>1</w:t>
      </w:r>
      <w:r w:rsidRPr="00717B8A">
        <w:rPr>
          <w:noProof/>
        </w:rPr>
        <w:fldChar w:fldCharType="end"/>
      </w:r>
    </w:p>
    <w:p w14:paraId="64277771" w14:textId="2C048458" w:rsidR="00717B8A" w:rsidRDefault="00717B8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717B8A">
        <w:rPr>
          <w:b w:val="0"/>
          <w:noProof/>
          <w:sz w:val="18"/>
        </w:rPr>
        <w:tab/>
      </w:r>
      <w:r w:rsidRPr="00717B8A">
        <w:rPr>
          <w:b w:val="0"/>
          <w:noProof/>
          <w:sz w:val="18"/>
        </w:rPr>
        <w:fldChar w:fldCharType="begin"/>
      </w:r>
      <w:r w:rsidRPr="00717B8A">
        <w:rPr>
          <w:b w:val="0"/>
          <w:noProof/>
          <w:sz w:val="18"/>
        </w:rPr>
        <w:instrText xml:space="preserve"> PAGEREF _Toc96679732 \h </w:instrText>
      </w:r>
      <w:r w:rsidRPr="00717B8A">
        <w:rPr>
          <w:b w:val="0"/>
          <w:noProof/>
          <w:sz w:val="18"/>
        </w:rPr>
      </w:r>
      <w:r w:rsidRPr="00717B8A">
        <w:rPr>
          <w:b w:val="0"/>
          <w:noProof/>
          <w:sz w:val="18"/>
        </w:rPr>
        <w:fldChar w:fldCharType="separate"/>
      </w:r>
      <w:r w:rsidR="006A4708">
        <w:rPr>
          <w:b w:val="0"/>
          <w:noProof/>
          <w:sz w:val="18"/>
        </w:rPr>
        <w:t>2</w:t>
      </w:r>
      <w:r w:rsidRPr="00717B8A">
        <w:rPr>
          <w:b w:val="0"/>
          <w:noProof/>
          <w:sz w:val="18"/>
        </w:rPr>
        <w:fldChar w:fldCharType="end"/>
      </w:r>
    </w:p>
    <w:p w14:paraId="591E2143" w14:textId="2E284BB7" w:rsidR="00717B8A" w:rsidRDefault="00717B8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Consumer Goods (Button/Coin Batteries) Safety Standard 2020</w:t>
      </w:r>
      <w:r w:rsidRPr="00717B8A">
        <w:rPr>
          <w:i w:val="0"/>
          <w:noProof/>
          <w:sz w:val="18"/>
        </w:rPr>
        <w:tab/>
      </w:r>
      <w:r w:rsidRPr="00717B8A">
        <w:rPr>
          <w:i w:val="0"/>
          <w:noProof/>
          <w:sz w:val="18"/>
        </w:rPr>
        <w:fldChar w:fldCharType="begin"/>
      </w:r>
      <w:r w:rsidRPr="00717B8A">
        <w:rPr>
          <w:i w:val="0"/>
          <w:noProof/>
          <w:sz w:val="18"/>
        </w:rPr>
        <w:instrText xml:space="preserve"> PAGEREF _Toc96679733 \h </w:instrText>
      </w:r>
      <w:r w:rsidRPr="00717B8A">
        <w:rPr>
          <w:i w:val="0"/>
          <w:noProof/>
          <w:sz w:val="18"/>
        </w:rPr>
      </w:r>
      <w:r w:rsidRPr="00717B8A">
        <w:rPr>
          <w:i w:val="0"/>
          <w:noProof/>
          <w:sz w:val="18"/>
        </w:rPr>
        <w:fldChar w:fldCharType="separate"/>
      </w:r>
      <w:r w:rsidR="006A4708">
        <w:rPr>
          <w:i w:val="0"/>
          <w:noProof/>
          <w:sz w:val="18"/>
        </w:rPr>
        <w:t>2</w:t>
      </w:r>
      <w:r w:rsidRPr="00717B8A">
        <w:rPr>
          <w:i w:val="0"/>
          <w:noProof/>
          <w:sz w:val="18"/>
        </w:rPr>
        <w:fldChar w:fldCharType="end"/>
      </w:r>
    </w:p>
    <w:p w14:paraId="73EEE0CD" w14:textId="77777777" w:rsidR="0048364F" w:rsidRPr="007A1328" w:rsidRDefault="00717B8A" w:rsidP="0048364F">
      <w:r>
        <w:fldChar w:fldCharType="end"/>
      </w:r>
    </w:p>
    <w:p w14:paraId="2E331408" w14:textId="77777777" w:rsidR="0048364F" w:rsidRDefault="0048364F" w:rsidP="0048364F">
      <w:pPr>
        <w:sectPr w:rsidR="0048364F" w:rsidSect="00D932A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8943E9C" w14:textId="77777777" w:rsidR="0048364F" w:rsidRDefault="0048364F" w:rsidP="0048364F">
      <w:pPr>
        <w:pStyle w:val="ActHead5"/>
      </w:pPr>
      <w:bookmarkStart w:id="0" w:name="_Toc96679728"/>
      <w:r w:rsidRPr="00FB3161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6A32E05A" w14:textId="77777777" w:rsidR="0048364F" w:rsidRDefault="0048364F" w:rsidP="0048364F">
      <w:pPr>
        <w:pStyle w:val="subsection"/>
      </w:pPr>
      <w:r>
        <w:tab/>
      </w:r>
      <w:r>
        <w:tab/>
      </w:r>
      <w:r w:rsidR="00FC5070">
        <w:t>This instrument is</w:t>
      </w:r>
      <w:r>
        <w:t xml:space="preserve"> the </w:t>
      </w:r>
      <w:r w:rsidR="00C53C3A">
        <w:rPr>
          <w:i/>
          <w:noProof/>
        </w:rPr>
        <w:t>Consumer Goods (Button/Coin Batteries) Amendment Safety Standard 2022</w:t>
      </w:r>
      <w:r>
        <w:t>.</w:t>
      </w:r>
    </w:p>
    <w:p w14:paraId="3CD5DC4C" w14:textId="77777777" w:rsidR="004F676E" w:rsidRDefault="0048364F" w:rsidP="005452CC">
      <w:pPr>
        <w:pStyle w:val="ActHead5"/>
      </w:pPr>
      <w:bookmarkStart w:id="1" w:name="_Toc96679729"/>
      <w:r w:rsidRPr="00FB3161">
        <w:rPr>
          <w:rStyle w:val="CharSectno"/>
        </w:rPr>
        <w:t>2</w:t>
      </w:r>
      <w:r>
        <w:t xml:space="preserve">  Commencement</w:t>
      </w:r>
      <w:bookmarkEnd w:id="1"/>
    </w:p>
    <w:p w14:paraId="73713642" w14:textId="77777777" w:rsidR="005452CC" w:rsidRDefault="005452CC" w:rsidP="00926C1A">
      <w:pPr>
        <w:pStyle w:val="subsection"/>
      </w:pPr>
      <w:r>
        <w:tab/>
        <w:t>(1)</w:t>
      </w:r>
      <w:r>
        <w:tab/>
        <w:t xml:space="preserve">Each provision of </w:t>
      </w:r>
      <w:r w:rsidR="00FC5070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593B7C55" w14:textId="77777777" w:rsidR="005452CC" w:rsidRDefault="005452CC" w:rsidP="00926C1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418A5564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A1DBA8B" w14:textId="77777777" w:rsidR="005452CC" w:rsidRPr="00416235" w:rsidRDefault="005452CC" w:rsidP="00926C1A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4E67955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FAB092" w14:textId="77777777" w:rsidR="005452CC" w:rsidRPr="00416235" w:rsidRDefault="005452CC" w:rsidP="00926C1A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654C9AD" w14:textId="77777777" w:rsidR="005452CC" w:rsidRPr="00416235" w:rsidRDefault="005452CC" w:rsidP="00926C1A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C9B668" w14:textId="77777777" w:rsidR="005452CC" w:rsidRPr="00416235" w:rsidRDefault="005452CC" w:rsidP="00926C1A">
            <w:pPr>
              <w:pStyle w:val="TableHeading"/>
            </w:pPr>
            <w:r w:rsidRPr="00416235">
              <w:t>Column 3</w:t>
            </w:r>
          </w:p>
        </w:tc>
      </w:tr>
      <w:tr w:rsidR="005452CC" w14:paraId="62F08D9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6D8F11C" w14:textId="77777777" w:rsidR="005452CC" w:rsidRPr="00416235" w:rsidRDefault="005452CC" w:rsidP="00926C1A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BA6BC73" w14:textId="77777777" w:rsidR="005452CC" w:rsidRPr="00416235" w:rsidRDefault="005452CC" w:rsidP="00926C1A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6987C97" w14:textId="77777777" w:rsidR="005452CC" w:rsidRPr="00416235" w:rsidRDefault="005452CC" w:rsidP="00926C1A">
            <w:pPr>
              <w:pStyle w:val="TableHeading"/>
            </w:pPr>
            <w:r w:rsidRPr="00416235">
              <w:t>Date/Details</w:t>
            </w:r>
          </w:p>
        </w:tc>
      </w:tr>
      <w:tr w:rsidR="005452CC" w14:paraId="6DF149F7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174A070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FC5070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23BC693" w14:textId="77777777" w:rsidR="005452CC" w:rsidRDefault="005452CC" w:rsidP="005452CC">
            <w:pPr>
              <w:pStyle w:val="Tabletext"/>
            </w:pPr>
            <w:r>
              <w:t xml:space="preserve">The day after </w:t>
            </w:r>
            <w:r w:rsidR="00FC5070">
              <w:t>this instrument is</w:t>
            </w:r>
            <w:r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A3DBFBB" w14:textId="4E61A3F9" w:rsidR="005452CC" w:rsidRDefault="00A21D03">
            <w:pPr>
              <w:pStyle w:val="Tabletext"/>
            </w:pPr>
            <w:r>
              <w:t>6 April 2022</w:t>
            </w:r>
            <w:bookmarkStart w:id="2" w:name="_GoBack"/>
            <w:bookmarkEnd w:id="2"/>
          </w:p>
        </w:tc>
      </w:tr>
    </w:tbl>
    <w:p w14:paraId="5CAF6B2F" w14:textId="77777777" w:rsidR="005452CC" w:rsidRPr="001E6DD6" w:rsidRDefault="005452CC" w:rsidP="00926C1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FC5070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FC5070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50AFDDFD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FC5070">
        <w:t>this instrument</w:t>
      </w:r>
      <w:r w:rsidRPr="005F477A">
        <w:t xml:space="preserve">. Information may be inserted in this column, or information in it may be edited, in any published version of </w:t>
      </w:r>
      <w:r w:rsidR="00FC5070">
        <w:t>this instrument</w:t>
      </w:r>
      <w:r w:rsidRPr="005F477A">
        <w:t>.</w:t>
      </w:r>
    </w:p>
    <w:p w14:paraId="05E40CAE" w14:textId="77777777" w:rsidR="00BF6650" w:rsidRDefault="00BF6650" w:rsidP="00BF6650">
      <w:pPr>
        <w:pStyle w:val="ActHead5"/>
      </w:pPr>
      <w:bookmarkStart w:id="3" w:name="_Toc96679730"/>
      <w:r w:rsidRPr="00FB3161">
        <w:rPr>
          <w:rStyle w:val="CharSectno"/>
        </w:rPr>
        <w:t>3</w:t>
      </w:r>
      <w:r>
        <w:t xml:space="preserve">  Authority</w:t>
      </w:r>
      <w:bookmarkEnd w:id="3"/>
    </w:p>
    <w:p w14:paraId="18C7138E" w14:textId="77777777" w:rsidR="00BF6650" w:rsidRDefault="00BF6650" w:rsidP="00BF6650">
      <w:pPr>
        <w:pStyle w:val="subsection"/>
      </w:pPr>
      <w:r>
        <w:tab/>
      </w:r>
      <w:r>
        <w:tab/>
      </w:r>
      <w:r w:rsidR="00FC5070">
        <w:t>This instrument is</w:t>
      </w:r>
      <w:r>
        <w:t xml:space="preserve"> made under </w:t>
      </w:r>
      <w:r w:rsidR="00717B8A">
        <w:t>subsection 1</w:t>
      </w:r>
      <w:r w:rsidR="00926C1A" w:rsidRPr="00926C1A">
        <w:t>04(1) of the Australian Consumer La</w:t>
      </w:r>
      <w:r w:rsidR="00926C1A">
        <w:t>w</w:t>
      </w:r>
      <w:r w:rsidR="00546FA3" w:rsidRPr="00036E24">
        <w:t>.</w:t>
      </w:r>
    </w:p>
    <w:p w14:paraId="2845E5BC" w14:textId="77777777" w:rsidR="00926C1A" w:rsidRPr="005B5EEE" w:rsidRDefault="00926C1A" w:rsidP="00926C1A">
      <w:pPr>
        <w:pStyle w:val="notetext"/>
      </w:pPr>
      <w:r>
        <w:t>Note:</w:t>
      </w:r>
      <w:r>
        <w:tab/>
      </w:r>
      <w:r w:rsidRPr="005B5EEE">
        <w:t xml:space="preserve">The reference to the Australian Consumer Law is a reference to Schedule 2 to the </w:t>
      </w:r>
      <w:r w:rsidRPr="005B5EEE">
        <w:rPr>
          <w:i/>
        </w:rPr>
        <w:t>Competition and Consumer Act 2010</w:t>
      </w:r>
      <w:r w:rsidRPr="005B5EEE">
        <w:t xml:space="preserve"> as it applies as a law of the Commonwealth, States and Territories: see section 140K of that Act and corresponding provisions of Acts of States and Territories applying that Schedule.</w:t>
      </w:r>
    </w:p>
    <w:p w14:paraId="1C8B2B26" w14:textId="77777777" w:rsidR="00557C7A" w:rsidRDefault="00BF6650" w:rsidP="00557C7A">
      <w:pPr>
        <w:pStyle w:val="ActHead5"/>
      </w:pPr>
      <w:bookmarkStart w:id="4" w:name="_Toc96679731"/>
      <w:r w:rsidRPr="00FB3161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4"/>
    </w:p>
    <w:p w14:paraId="22032015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FC5070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FC5070">
        <w:t>this instrument</w:t>
      </w:r>
      <w:r w:rsidR="00083F48" w:rsidRPr="00083F48">
        <w:t xml:space="preserve"> has effect according to its terms.</w:t>
      </w:r>
    </w:p>
    <w:p w14:paraId="6CF27FD9" w14:textId="77777777" w:rsidR="0048364F" w:rsidRDefault="0048364F" w:rsidP="009C5989">
      <w:pPr>
        <w:pStyle w:val="ActHead6"/>
        <w:pageBreakBefore/>
      </w:pPr>
      <w:bookmarkStart w:id="5" w:name="_Toc96679732"/>
      <w:r w:rsidRPr="00FB3161">
        <w:rPr>
          <w:rStyle w:val="CharAmSchNo"/>
        </w:rPr>
        <w:lastRenderedPageBreak/>
        <w:t>Schedule 1</w:t>
      </w:r>
      <w:r>
        <w:t>—</w:t>
      </w:r>
      <w:r w:rsidR="00460499" w:rsidRPr="00FB3161">
        <w:rPr>
          <w:rStyle w:val="CharAmSchText"/>
        </w:rPr>
        <w:t>Amendments</w:t>
      </w:r>
      <w:bookmarkEnd w:id="5"/>
    </w:p>
    <w:p w14:paraId="2E1F86D8" w14:textId="77777777" w:rsidR="0004044E" w:rsidRPr="00FB3161" w:rsidRDefault="0004044E" w:rsidP="0004044E">
      <w:pPr>
        <w:pStyle w:val="Header"/>
      </w:pPr>
      <w:r w:rsidRPr="00FB3161">
        <w:rPr>
          <w:rStyle w:val="CharAmPartNo"/>
        </w:rPr>
        <w:t xml:space="preserve"> </w:t>
      </w:r>
      <w:r w:rsidRPr="00FB3161">
        <w:rPr>
          <w:rStyle w:val="CharAmPartText"/>
        </w:rPr>
        <w:t xml:space="preserve"> </w:t>
      </w:r>
    </w:p>
    <w:p w14:paraId="0A84CC3C" w14:textId="77777777" w:rsidR="0084172C" w:rsidRDefault="00926C1A" w:rsidP="00EA0D36">
      <w:pPr>
        <w:pStyle w:val="ActHead9"/>
      </w:pPr>
      <w:bookmarkStart w:id="6" w:name="_Toc96679733"/>
      <w:r w:rsidRPr="00926C1A">
        <w:t>Consumer Goods (Button/Coin Batteries) Safety Standard 2020</w:t>
      </w:r>
      <w:bookmarkEnd w:id="6"/>
    </w:p>
    <w:p w14:paraId="239BE361" w14:textId="77777777" w:rsidR="00926C1A" w:rsidRDefault="00926C1A" w:rsidP="00926C1A">
      <w:pPr>
        <w:pStyle w:val="ItemHead"/>
      </w:pPr>
      <w:r>
        <w:t xml:space="preserve">1  </w:t>
      </w:r>
      <w:r w:rsidR="00717B8A">
        <w:t>Section 4</w:t>
      </w:r>
      <w:r>
        <w:t xml:space="preserve"> (</w:t>
      </w:r>
      <w:r w:rsidR="004722FC">
        <w:t>paragraph (</w:t>
      </w:r>
      <w:r>
        <w:t xml:space="preserve">b) of the definition of </w:t>
      </w:r>
      <w:r w:rsidRPr="00926C1A">
        <w:rPr>
          <w:i/>
        </w:rPr>
        <w:t>applicable button</w:t>
      </w:r>
      <w:r>
        <w:rPr>
          <w:i/>
        </w:rPr>
        <w:t>/</w:t>
      </w:r>
      <w:r w:rsidRPr="00926C1A">
        <w:rPr>
          <w:i/>
        </w:rPr>
        <w:t>coin battery</w:t>
      </w:r>
      <w:r>
        <w:t>)</w:t>
      </w:r>
    </w:p>
    <w:p w14:paraId="2E6EC1F4" w14:textId="77777777" w:rsidR="00926C1A" w:rsidRDefault="00926C1A" w:rsidP="00926C1A">
      <w:pPr>
        <w:pStyle w:val="Item"/>
      </w:pPr>
      <w:r>
        <w:t>Repeal the paragraph, substitute:</w:t>
      </w:r>
    </w:p>
    <w:p w14:paraId="6A136C94" w14:textId="77777777" w:rsidR="00926C1A" w:rsidRDefault="00926C1A" w:rsidP="00926C1A">
      <w:pPr>
        <w:pStyle w:val="paragraph"/>
      </w:pPr>
      <w:r>
        <w:tab/>
        <w:t>(b)</w:t>
      </w:r>
      <w:r>
        <w:tab/>
      </w:r>
      <w:r w:rsidRPr="00926C1A">
        <w:t>a small, single cell battery of a chemistry other than lithium with</w:t>
      </w:r>
      <w:r>
        <w:t>:</w:t>
      </w:r>
    </w:p>
    <w:p w14:paraId="063959CA" w14:textId="77777777" w:rsidR="00926C1A" w:rsidRDefault="00926C1A" w:rsidP="00926C1A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Pr="00926C1A">
        <w:t>a diameter of 16 mm or greater</w:t>
      </w:r>
      <w:r>
        <w:t>; and</w:t>
      </w:r>
    </w:p>
    <w:p w14:paraId="61363CB3" w14:textId="77777777" w:rsidR="00926C1A" w:rsidRDefault="00926C1A" w:rsidP="00926C1A">
      <w:pPr>
        <w:pStyle w:val="paragraphsub"/>
      </w:pPr>
      <w:r>
        <w:tab/>
        <w:t>(ii)</w:t>
      </w:r>
      <w:r>
        <w:tab/>
        <w:t>a diameter greater than the battery’s height.</w:t>
      </w:r>
    </w:p>
    <w:p w14:paraId="78C38035" w14:textId="77777777" w:rsidR="008E0F9F" w:rsidRDefault="008E0F9F" w:rsidP="008E0F9F">
      <w:pPr>
        <w:pStyle w:val="ItemHead"/>
      </w:pPr>
      <w:r>
        <w:t xml:space="preserve">2  Section 4 (definition of </w:t>
      </w:r>
      <w:r w:rsidRPr="00CB72D8">
        <w:rPr>
          <w:i/>
        </w:rPr>
        <w:t>hearing aid</w:t>
      </w:r>
      <w:r>
        <w:t>)</w:t>
      </w:r>
    </w:p>
    <w:p w14:paraId="7F1A61A5" w14:textId="77777777" w:rsidR="008E0F9F" w:rsidRPr="00CB72D8" w:rsidRDefault="006A1DE2" w:rsidP="006A1DE2">
      <w:pPr>
        <w:pStyle w:val="Item"/>
      </w:pPr>
      <w:r>
        <w:t>Omit “to the ear canal”, substitute “for human hearing”.</w:t>
      </w:r>
    </w:p>
    <w:p w14:paraId="3220E277" w14:textId="77777777" w:rsidR="00B716D5" w:rsidRDefault="008E0F9F" w:rsidP="002A192F">
      <w:pPr>
        <w:pStyle w:val="ItemHead"/>
      </w:pPr>
      <w:r>
        <w:t xml:space="preserve">3  </w:t>
      </w:r>
      <w:r w:rsidR="00C73644">
        <w:t>Sections 7</w:t>
      </w:r>
      <w:r w:rsidR="002A192F">
        <w:t xml:space="preserve"> and 8</w:t>
      </w:r>
    </w:p>
    <w:p w14:paraId="329CBBE2" w14:textId="77777777" w:rsidR="002A192F" w:rsidRDefault="002A192F" w:rsidP="002A192F">
      <w:pPr>
        <w:pStyle w:val="Item"/>
      </w:pPr>
      <w:r>
        <w:t>Repeal the sections, substitute:</w:t>
      </w:r>
    </w:p>
    <w:p w14:paraId="41E09FF9" w14:textId="77777777" w:rsidR="007C3C3B" w:rsidRDefault="007C3C3B" w:rsidP="007C3C3B">
      <w:pPr>
        <w:pStyle w:val="ActHead5"/>
      </w:pPr>
      <w:r w:rsidRPr="00FB3161">
        <w:rPr>
          <w:rStyle w:val="CharSectno"/>
        </w:rPr>
        <w:t>7</w:t>
      </w:r>
      <w:r w:rsidRPr="00013151">
        <w:t xml:space="preserve">  Child accessibility requirements—</w:t>
      </w:r>
      <w:r w:rsidR="00027455">
        <w:t>all packaging types</w:t>
      </w:r>
    </w:p>
    <w:p w14:paraId="6165E940" w14:textId="77777777" w:rsidR="002A192F" w:rsidRPr="002A192F" w:rsidRDefault="00F357A5" w:rsidP="002A192F">
      <w:pPr>
        <w:pStyle w:val="SubsectionHead"/>
      </w:pPr>
      <w:r>
        <w:t>Core requirement</w:t>
      </w:r>
    </w:p>
    <w:p w14:paraId="1DB21544" w14:textId="77777777" w:rsidR="007C3C3B" w:rsidRDefault="007C3C3B" w:rsidP="007C3C3B">
      <w:pPr>
        <w:pStyle w:val="subsection"/>
      </w:pPr>
      <w:r w:rsidRPr="00013151">
        <w:tab/>
        <w:t>(1)</w:t>
      </w:r>
      <w:r w:rsidRPr="00013151">
        <w:tab/>
        <w:t>The packaging of an applicable button/coin battery must be designed to be resistant to being opened by young children.</w:t>
      </w:r>
    </w:p>
    <w:p w14:paraId="53E6A373" w14:textId="77777777" w:rsidR="00AE7E4D" w:rsidRPr="002B2D03" w:rsidRDefault="00AE7E4D" w:rsidP="002B2D03">
      <w:pPr>
        <w:pStyle w:val="notetext"/>
      </w:pPr>
      <w:r>
        <w:t>Note:</w:t>
      </w:r>
      <w:r>
        <w:tab/>
      </w:r>
      <w:r w:rsidRPr="00AE7E4D">
        <w:t xml:space="preserve">There is an additional requirement that applies to applicable button/coin batteries that are packaged in blister packaging (see </w:t>
      </w:r>
      <w:r w:rsidR="004722FC">
        <w:t>subsection 8</w:t>
      </w:r>
      <w:r w:rsidRPr="00AE7E4D">
        <w:t>(1))</w:t>
      </w:r>
      <w:r w:rsidR="00B95F26">
        <w:t xml:space="preserve">, but both </w:t>
      </w:r>
      <w:r>
        <w:t>requirement</w:t>
      </w:r>
      <w:r w:rsidR="00DE618A">
        <w:t>s</w:t>
      </w:r>
      <w:r w:rsidR="00B95F26">
        <w:t xml:space="preserve"> </w:t>
      </w:r>
      <w:r>
        <w:t xml:space="preserve">can be satisfied by complying with </w:t>
      </w:r>
      <w:r w:rsidR="008070A7" w:rsidRPr="008070A7">
        <w:t xml:space="preserve">Annex E of the Primary Batteries Standard (see </w:t>
      </w:r>
      <w:r w:rsidR="004722FC">
        <w:t>paragraph (</w:t>
      </w:r>
      <w:r w:rsidR="008070A7" w:rsidRPr="008070A7">
        <w:t xml:space="preserve">2)(a) of this section and </w:t>
      </w:r>
      <w:r w:rsidR="004722FC">
        <w:t>subsection 8</w:t>
      </w:r>
      <w:r w:rsidR="008070A7" w:rsidRPr="008070A7">
        <w:t>(2))</w:t>
      </w:r>
      <w:r>
        <w:t>.</w:t>
      </w:r>
    </w:p>
    <w:p w14:paraId="52195322" w14:textId="77777777" w:rsidR="002A192F" w:rsidRPr="002A192F" w:rsidRDefault="002A192F" w:rsidP="002A192F">
      <w:pPr>
        <w:pStyle w:val="SubsectionHead"/>
      </w:pPr>
      <w:r>
        <w:t>Te</w:t>
      </w:r>
      <w:r w:rsidR="00EF1E81">
        <w:t>sting requirements—non</w:t>
      </w:r>
      <w:r w:rsidR="00C53C3A">
        <w:noBreakHyphen/>
      </w:r>
      <w:proofErr w:type="spellStart"/>
      <w:r w:rsidR="00EF1E81">
        <w:t>reclosable</w:t>
      </w:r>
      <w:proofErr w:type="spellEnd"/>
      <w:r w:rsidR="00EF1E81">
        <w:t xml:space="preserve"> packaging</w:t>
      </w:r>
    </w:p>
    <w:p w14:paraId="30972FD2" w14:textId="77777777" w:rsidR="007C3C3B" w:rsidRDefault="007C3C3B" w:rsidP="007C3C3B">
      <w:pPr>
        <w:pStyle w:val="subsection"/>
      </w:pPr>
      <w:r w:rsidRPr="00013151">
        <w:tab/>
        <w:t>(2)</w:t>
      </w:r>
      <w:r w:rsidRPr="00013151">
        <w:tab/>
        <w:t>If the applicable button/coin battery is packaged in non</w:t>
      </w:r>
      <w:r w:rsidR="00C53C3A">
        <w:noBreakHyphen/>
      </w:r>
      <w:proofErr w:type="spellStart"/>
      <w:r w:rsidRPr="00013151">
        <w:t>reclosable</w:t>
      </w:r>
      <w:proofErr w:type="spellEnd"/>
      <w:r w:rsidRPr="00013151">
        <w:t xml:space="preserve"> packaging, the packaging complies with the requirements in </w:t>
      </w:r>
      <w:r w:rsidR="004722FC">
        <w:t>subsection (</w:t>
      </w:r>
      <w:r w:rsidRPr="00013151">
        <w:t>1</w:t>
      </w:r>
      <w:r w:rsidRPr="00997E48">
        <w:t>) if, and only if</w:t>
      </w:r>
      <w:r w:rsidR="005E7111" w:rsidRPr="00997E48">
        <w:t>:</w:t>
      </w:r>
    </w:p>
    <w:p w14:paraId="3312576B" w14:textId="77777777" w:rsidR="005E7111" w:rsidRDefault="001466DF" w:rsidP="001466DF">
      <w:pPr>
        <w:pStyle w:val="paragraph"/>
      </w:pPr>
      <w:r>
        <w:tab/>
        <w:t>(a)</w:t>
      </w:r>
      <w:r>
        <w:tab/>
      </w:r>
      <w:r w:rsidR="005E7111">
        <w:t>both of the following apply:</w:t>
      </w:r>
    </w:p>
    <w:p w14:paraId="61B06C53" w14:textId="77777777" w:rsidR="001466DF" w:rsidRDefault="005E7111" w:rsidP="005E7111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Pr="005E7111">
        <w:t xml:space="preserve">before the supply of the applicable button/coin battery to a consumer, representative samples of the packaging are tested in accordance with Annex E of the Primary Batteries Standard </w:t>
      </w:r>
      <w:r w:rsidR="00611210">
        <w:t>(</w:t>
      </w:r>
      <w:r w:rsidRPr="005E7111">
        <w:t xml:space="preserve">as modified by </w:t>
      </w:r>
      <w:r w:rsidR="00C73644">
        <w:t>section 9</w:t>
      </w:r>
      <w:r w:rsidR="00611210">
        <w:t>)</w:t>
      </w:r>
      <w:r w:rsidR="001466DF">
        <w:t>;</w:t>
      </w:r>
    </w:p>
    <w:p w14:paraId="48389ECB" w14:textId="77777777" w:rsidR="005E7111" w:rsidRPr="001466DF" w:rsidRDefault="005E7111" w:rsidP="005E7111">
      <w:pPr>
        <w:pStyle w:val="paragraphsub"/>
      </w:pPr>
      <w:r>
        <w:tab/>
        <w:t>(ii)</w:t>
      </w:r>
      <w:r>
        <w:tab/>
      </w:r>
      <w:r w:rsidRPr="005E7111">
        <w:t>those samples comply with that Annex</w:t>
      </w:r>
      <w:r>
        <w:t>; or</w:t>
      </w:r>
    </w:p>
    <w:p w14:paraId="3F30A824" w14:textId="77777777" w:rsidR="007C3C3B" w:rsidRPr="00013151" w:rsidRDefault="007C3C3B" w:rsidP="007C3C3B">
      <w:pPr>
        <w:pStyle w:val="paragraph"/>
      </w:pPr>
      <w:r w:rsidRPr="00013151">
        <w:tab/>
        <w:t>(</w:t>
      </w:r>
      <w:r w:rsidR="00AF449A">
        <w:t>b</w:t>
      </w:r>
      <w:r w:rsidRPr="00013151">
        <w:t>)</w:t>
      </w:r>
      <w:r w:rsidRPr="00013151">
        <w:tab/>
      </w:r>
      <w:r w:rsidR="005E7111" w:rsidRPr="00013151">
        <w:t>the packaging complies with</w:t>
      </w:r>
      <w:r w:rsidR="005E7111">
        <w:t xml:space="preserve"> </w:t>
      </w:r>
      <w:r w:rsidRPr="00013151">
        <w:t>clause 3.2.1 of the Australian (Non</w:t>
      </w:r>
      <w:r w:rsidR="00C53C3A">
        <w:noBreakHyphen/>
      </w:r>
      <w:proofErr w:type="spellStart"/>
      <w:r w:rsidRPr="00013151">
        <w:t>reclosable</w:t>
      </w:r>
      <w:proofErr w:type="spellEnd"/>
      <w:r w:rsidRPr="00013151">
        <w:t xml:space="preserve"> Packaging) Standard; or</w:t>
      </w:r>
    </w:p>
    <w:p w14:paraId="48AF311D" w14:textId="77777777" w:rsidR="007C3C3B" w:rsidRPr="00013151" w:rsidRDefault="007C3C3B" w:rsidP="007C3C3B">
      <w:pPr>
        <w:pStyle w:val="paragraph"/>
      </w:pPr>
      <w:r w:rsidRPr="00013151">
        <w:tab/>
        <w:t>(</w:t>
      </w:r>
      <w:r w:rsidR="00AF449A">
        <w:t>c</w:t>
      </w:r>
      <w:r w:rsidRPr="00013151">
        <w:t>)</w:t>
      </w:r>
      <w:r w:rsidRPr="00013151">
        <w:tab/>
      </w:r>
      <w:r w:rsidR="005E7111" w:rsidRPr="00013151">
        <w:t>the packaging complies with</w:t>
      </w:r>
      <w:r w:rsidR="005E7111">
        <w:t xml:space="preserve"> </w:t>
      </w:r>
      <w:r w:rsidRPr="00013151">
        <w:t>clause 3.2.1 of the European (Non</w:t>
      </w:r>
      <w:r w:rsidR="00C53C3A">
        <w:noBreakHyphen/>
      </w:r>
      <w:proofErr w:type="spellStart"/>
      <w:r w:rsidRPr="00013151">
        <w:t>reclosable</w:t>
      </w:r>
      <w:proofErr w:type="spellEnd"/>
      <w:r w:rsidRPr="00013151">
        <w:t xml:space="preserve"> Packaging) Standard; or</w:t>
      </w:r>
    </w:p>
    <w:p w14:paraId="03FBFCAE" w14:textId="77777777" w:rsidR="007C3C3B" w:rsidRPr="00013151" w:rsidRDefault="007C3C3B" w:rsidP="007C3C3B">
      <w:pPr>
        <w:pStyle w:val="paragraph"/>
      </w:pPr>
      <w:r w:rsidRPr="00013151">
        <w:tab/>
        <w:t>(</w:t>
      </w:r>
      <w:r w:rsidR="00AF449A">
        <w:t>d</w:t>
      </w:r>
      <w:r w:rsidRPr="00013151">
        <w:t>)</w:t>
      </w:r>
      <w:r w:rsidRPr="00013151">
        <w:tab/>
      </w:r>
      <w:r w:rsidR="005E7111" w:rsidRPr="00013151">
        <w:t>the packaging complies with</w:t>
      </w:r>
      <w:r w:rsidR="005E7111">
        <w:t xml:space="preserve"> </w:t>
      </w:r>
      <w:r w:rsidRPr="00013151">
        <w:t>clause 4.2.1 of the International (Non</w:t>
      </w:r>
      <w:r w:rsidR="00C53C3A">
        <w:noBreakHyphen/>
      </w:r>
      <w:proofErr w:type="spellStart"/>
      <w:r w:rsidRPr="00013151">
        <w:t>reclosable</w:t>
      </w:r>
      <w:proofErr w:type="spellEnd"/>
      <w:r w:rsidRPr="00013151">
        <w:t xml:space="preserve"> Packaging) Standard; or</w:t>
      </w:r>
    </w:p>
    <w:p w14:paraId="75195C33" w14:textId="77777777" w:rsidR="007C3C3B" w:rsidRDefault="007C3C3B" w:rsidP="007C3C3B">
      <w:pPr>
        <w:pStyle w:val="paragraph"/>
      </w:pPr>
      <w:r w:rsidRPr="00013151">
        <w:tab/>
        <w:t>(</w:t>
      </w:r>
      <w:r w:rsidR="00AF449A">
        <w:t>e</w:t>
      </w:r>
      <w:r w:rsidRPr="00013151">
        <w:t>)</w:t>
      </w:r>
      <w:r w:rsidRPr="00013151">
        <w:tab/>
      </w:r>
      <w:r w:rsidR="005E7111" w:rsidRPr="00013151">
        <w:t>the packaging complies with</w:t>
      </w:r>
      <w:r w:rsidR="005E7111">
        <w:t xml:space="preserve"> </w:t>
      </w:r>
      <w:r w:rsidRPr="00013151">
        <w:t>paragraphs 1700.15(a) and (b)(1) of the US Poison Prevention Packaging Standard.</w:t>
      </w:r>
    </w:p>
    <w:p w14:paraId="68F30B2F" w14:textId="77777777" w:rsidR="007C3C3B" w:rsidRDefault="007C3C3B" w:rsidP="007C3C3B">
      <w:pPr>
        <w:pStyle w:val="notetext"/>
      </w:pPr>
      <w:r w:rsidRPr="00013151">
        <w:t>Note:</w:t>
      </w:r>
      <w:r w:rsidRPr="00013151">
        <w:tab/>
        <w:t>On request by the regulator, a supplier of applicable button/coin batteries packaged in non</w:t>
      </w:r>
      <w:r w:rsidR="00C53C3A">
        <w:noBreakHyphen/>
      </w:r>
      <w:proofErr w:type="spellStart"/>
      <w:r w:rsidRPr="00013151">
        <w:t>reclosable</w:t>
      </w:r>
      <w:proofErr w:type="spellEnd"/>
      <w:r w:rsidRPr="00013151">
        <w:t xml:space="preserve"> packaging may be required to nominate the applicable requirements under </w:t>
      </w:r>
      <w:r w:rsidR="004722FC">
        <w:t>subsection (</w:t>
      </w:r>
      <w:r w:rsidRPr="00013151">
        <w:t>2): see section 108 of the Australian Consumer Law.</w:t>
      </w:r>
    </w:p>
    <w:p w14:paraId="4F00F140" w14:textId="77777777" w:rsidR="002A192F" w:rsidRPr="002A192F" w:rsidRDefault="00EF1E81" w:rsidP="002A192F">
      <w:pPr>
        <w:pStyle w:val="SubsectionHead"/>
      </w:pPr>
      <w:r>
        <w:lastRenderedPageBreak/>
        <w:t>Testing requirements—</w:t>
      </w:r>
      <w:proofErr w:type="spellStart"/>
      <w:r>
        <w:t>reclosable</w:t>
      </w:r>
      <w:proofErr w:type="spellEnd"/>
      <w:r>
        <w:t xml:space="preserve"> packaging</w:t>
      </w:r>
    </w:p>
    <w:p w14:paraId="723402A8" w14:textId="77777777" w:rsidR="007C3C3B" w:rsidRDefault="007C3C3B" w:rsidP="007C3C3B">
      <w:pPr>
        <w:pStyle w:val="subsection"/>
      </w:pPr>
      <w:r w:rsidRPr="00013151">
        <w:tab/>
        <w:t>(3)</w:t>
      </w:r>
      <w:r w:rsidRPr="00013151">
        <w:tab/>
        <w:t xml:space="preserve">If the applicable button/coin battery is packaged in </w:t>
      </w:r>
      <w:proofErr w:type="spellStart"/>
      <w:r w:rsidRPr="00013151">
        <w:t>reclosable</w:t>
      </w:r>
      <w:proofErr w:type="spellEnd"/>
      <w:r w:rsidRPr="00013151">
        <w:t xml:space="preserve"> </w:t>
      </w:r>
      <w:r w:rsidRPr="00997E48">
        <w:t xml:space="preserve">packaging, the packaging complies with the requirements in </w:t>
      </w:r>
      <w:r w:rsidR="004722FC">
        <w:t>subsection (</w:t>
      </w:r>
      <w:r w:rsidRPr="00997E48">
        <w:t>1) if, and only if</w:t>
      </w:r>
      <w:r w:rsidRPr="00013151">
        <w:t>:</w:t>
      </w:r>
    </w:p>
    <w:p w14:paraId="5056E223" w14:textId="77777777" w:rsidR="00997E48" w:rsidRDefault="00997E48" w:rsidP="00997E48">
      <w:pPr>
        <w:pStyle w:val="paragraph"/>
      </w:pPr>
      <w:r>
        <w:tab/>
        <w:t>(a)</w:t>
      </w:r>
      <w:r>
        <w:tab/>
        <w:t>both of the following apply:</w:t>
      </w:r>
    </w:p>
    <w:p w14:paraId="302E4357" w14:textId="77777777" w:rsidR="00997E48" w:rsidRDefault="00997E48" w:rsidP="00997E48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Pr="005E7111">
        <w:t xml:space="preserve">before the supply of the applicable button/coin battery to a consumer, representative samples of the packaging are tested in accordance with Annex E of the Primary Batteries Standard </w:t>
      </w:r>
      <w:r w:rsidR="00611210">
        <w:t>(</w:t>
      </w:r>
      <w:r w:rsidRPr="005E7111">
        <w:t xml:space="preserve">as modified by </w:t>
      </w:r>
      <w:r w:rsidR="00C73644">
        <w:t>section 9</w:t>
      </w:r>
      <w:r w:rsidR="00611210">
        <w:t>)</w:t>
      </w:r>
      <w:r>
        <w:t>;</w:t>
      </w:r>
    </w:p>
    <w:p w14:paraId="79DA2649" w14:textId="77777777" w:rsidR="00997E48" w:rsidRPr="001466DF" w:rsidRDefault="00997E48" w:rsidP="00997E48">
      <w:pPr>
        <w:pStyle w:val="paragraphsub"/>
      </w:pPr>
      <w:r>
        <w:tab/>
        <w:t>(ii)</w:t>
      </w:r>
      <w:r>
        <w:tab/>
      </w:r>
      <w:r w:rsidRPr="005E7111">
        <w:t>those samples comply with that Annex</w:t>
      </w:r>
      <w:r>
        <w:t>; or</w:t>
      </w:r>
    </w:p>
    <w:p w14:paraId="40FBBBE0" w14:textId="77777777" w:rsidR="007C3C3B" w:rsidRPr="00013151" w:rsidRDefault="007C3C3B" w:rsidP="007C3C3B">
      <w:pPr>
        <w:pStyle w:val="paragraph"/>
      </w:pPr>
      <w:r w:rsidRPr="00013151">
        <w:tab/>
        <w:t>(</w:t>
      </w:r>
      <w:r w:rsidR="00611210">
        <w:t>b</w:t>
      </w:r>
      <w:r w:rsidRPr="00013151">
        <w:t>)</w:t>
      </w:r>
      <w:r w:rsidRPr="00013151">
        <w:tab/>
      </w:r>
      <w:r w:rsidR="005E7111" w:rsidRPr="00013151">
        <w:t>the packaging complies with</w:t>
      </w:r>
      <w:r w:rsidR="005E7111">
        <w:t xml:space="preserve"> </w:t>
      </w:r>
      <w:r w:rsidRPr="00013151">
        <w:t>clause 4.3.1 of the Australian (</w:t>
      </w:r>
      <w:proofErr w:type="spellStart"/>
      <w:r w:rsidRPr="00013151">
        <w:t>Reclosable</w:t>
      </w:r>
      <w:proofErr w:type="spellEnd"/>
      <w:r w:rsidRPr="00013151">
        <w:t xml:space="preserve"> Packaging) Standard; or</w:t>
      </w:r>
    </w:p>
    <w:p w14:paraId="146355DF" w14:textId="77777777" w:rsidR="007C3C3B" w:rsidRDefault="007C3C3B" w:rsidP="007C3C3B">
      <w:pPr>
        <w:pStyle w:val="paragraph"/>
      </w:pPr>
      <w:r w:rsidRPr="00013151">
        <w:tab/>
        <w:t>(</w:t>
      </w:r>
      <w:r w:rsidR="00611210">
        <w:t>c</w:t>
      </w:r>
      <w:r w:rsidRPr="00013151">
        <w:t>)</w:t>
      </w:r>
      <w:r w:rsidRPr="00013151">
        <w:tab/>
      </w:r>
      <w:r w:rsidR="005E7111" w:rsidRPr="00013151">
        <w:t>the packaging complies with</w:t>
      </w:r>
      <w:r w:rsidR="005E7111">
        <w:t xml:space="preserve"> </w:t>
      </w:r>
      <w:r w:rsidRPr="00013151">
        <w:t>clause 3.3.1 of the International (</w:t>
      </w:r>
      <w:proofErr w:type="spellStart"/>
      <w:r w:rsidRPr="00013151">
        <w:t>Reclosable</w:t>
      </w:r>
      <w:proofErr w:type="spellEnd"/>
      <w:r w:rsidRPr="00013151">
        <w:t xml:space="preserve"> Packaging) Standard.</w:t>
      </w:r>
    </w:p>
    <w:p w14:paraId="41E20927" w14:textId="77777777" w:rsidR="007C3C3B" w:rsidRDefault="007C3C3B" w:rsidP="007C3C3B">
      <w:pPr>
        <w:pStyle w:val="notetext"/>
      </w:pPr>
      <w:r w:rsidRPr="00013151">
        <w:t>Note:</w:t>
      </w:r>
      <w:r w:rsidRPr="00013151">
        <w:tab/>
        <w:t xml:space="preserve">On request by the regulator, a supplier of applicable button/coin batteries packaged in </w:t>
      </w:r>
      <w:proofErr w:type="spellStart"/>
      <w:r w:rsidRPr="00013151">
        <w:t>reclosable</w:t>
      </w:r>
      <w:proofErr w:type="spellEnd"/>
      <w:r w:rsidRPr="00013151">
        <w:t xml:space="preserve"> packaging may be required to nominate the applicable requirements under </w:t>
      </w:r>
      <w:r w:rsidR="004722FC">
        <w:t>subsection (</w:t>
      </w:r>
      <w:r w:rsidRPr="00013151">
        <w:t>3): see section 108 of the Australian Consumer Law.</w:t>
      </w:r>
    </w:p>
    <w:p w14:paraId="1785FF67" w14:textId="77777777" w:rsidR="007C3C3B" w:rsidRDefault="007C3C3B" w:rsidP="007C3C3B">
      <w:pPr>
        <w:pStyle w:val="ActHead5"/>
      </w:pPr>
      <w:r w:rsidRPr="00FB3161">
        <w:rPr>
          <w:rStyle w:val="CharSectno"/>
        </w:rPr>
        <w:t>8</w:t>
      </w:r>
      <w:r w:rsidRPr="00013151">
        <w:t xml:space="preserve">  </w:t>
      </w:r>
      <w:r w:rsidR="00027455">
        <w:t>Additional c</w:t>
      </w:r>
      <w:r w:rsidRPr="00013151">
        <w:t>hild accessibility requirements—blister packaging</w:t>
      </w:r>
    </w:p>
    <w:p w14:paraId="0AA3CAEB" w14:textId="77777777" w:rsidR="00611210" w:rsidRPr="00611210" w:rsidRDefault="00611210" w:rsidP="00611210">
      <w:pPr>
        <w:pStyle w:val="SubsectionHead"/>
      </w:pPr>
      <w:r>
        <w:t>Core requirement</w:t>
      </w:r>
    </w:p>
    <w:p w14:paraId="48AC4B33" w14:textId="77777777" w:rsidR="007C3C3B" w:rsidRDefault="007C3C3B" w:rsidP="007C3C3B">
      <w:pPr>
        <w:pStyle w:val="subsection"/>
      </w:pPr>
      <w:r w:rsidRPr="00013151">
        <w:tab/>
        <w:t>(1)</w:t>
      </w:r>
      <w:r w:rsidRPr="00013151">
        <w:tab/>
        <w:t>If one or more applicable button/coin batteries are packaged in blister packaging, the packaging must be designed so that</w:t>
      </w:r>
      <w:r>
        <w:t xml:space="preserve"> </w:t>
      </w:r>
      <w:r w:rsidRPr="00013151">
        <w:t>only a single applicable button/coin battery is released at a time</w:t>
      </w:r>
      <w:r>
        <w:t>.</w:t>
      </w:r>
    </w:p>
    <w:p w14:paraId="14CDB55A" w14:textId="77777777" w:rsidR="00AB5105" w:rsidRDefault="00AB5105" w:rsidP="00AB5105">
      <w:pPr>
        <w:pStyle w:val="notetext"/>
      </w:pPr>
      <w:r>
        <w:t>Note:</w:t>
      </w:r>
      <w:r>
        <w:tab/>
      </w:r>
      <w:r w:rsidRPr="00AE7E4D">
        <w:t>Th</w:t>
      </w:r>
      <w:r w:rsidR="00681118">
        <w:t>is requirement is in addition to</w:t>
      </w:r>
      <w:r w:rsidR="00CA4D6B">
        <w:t xml:space="preserve"> the requirement in </w:t>
      </w:r>
      <w:r w:rsidR="004722FC">
        <w:t>subsection 7</w:t>
      </w:r>
      <w:r w:rsidR="00CA4D6B">
        <w:t>(1) (which applies to all</w:t>
      </w:r>
      <w:r w:rsidRPr="00AE7E4D">
        <w:t xml:space="preserve"> applicable button/coin batteries</w:t>
      </w:r>
      <w:r w:rsidR="00CA4D6B">
        <w:t>)</w:t>
      </w:r>
      <w:r>
        <w:t xml:space="preserve">, but both requirements can be satisfied by complying with </w:t>
      </w:r>
      <w:r w:rsidRPr="008070A7">
        <w:t xml:space="preserve">Annex E of the Primary Batteries Standard (see </w:t>
      </w:r>
      <w:r w:rsidR="004722FC">
        <w:t>subsection (</w:t>
      </w:r>
      <w:r>
        <w:t xml:space="preserve">2) of this section and </w:t>
      </w:r>
      <w:r w:rsidR="004722FC">
        <w:t>paragraph 7</w:t>
      </w:r>
      <w:r>
        <w:t>(2)(a)</w:t>
      </w:r>
      <w:r w:rsidRPr="008070A7">
        <w:t>)</w:t>
      </w:r>
      <w:r>
        <w:t>.</w:t>
      </w:r>
    </w:p>
    <w:p w14:paraId="32B2FEA9" w14:textId="77777777" w:rsidR="00611210" w:rsidRPr="00611210" w:rsidRDefault="00611210" w:rsidP="00611210">
      <w:pPr>
        <w:pStyle w:val="SubsectionHead"/>
      </w:pPr>
      <w:r>
        <w:t>Testing requirement</w:t>
      </w:r>
    </w:p>
    <w:p w14:paraId="17E05F61" w14:textId="77777777" w:rsidR="007C3C3B" w:rsidRPr="00997E48" w:rsidRDefault="007C3C3B" w:rsidP="007C3C3B">
      <w:pPr>
        <w:pStyle w:val="subsection"/>
      </w:pPr>
      <w:r w:rsidRPr="00013151">
        <w:tab/>
        <w:t>(2)</w:t>
      </w:r>
      <w:r w:rsidRPr="00013151">
        <w:tab/>
        <w:t xml:space="preserve">The packaging complies with the requirements in </w:t>
      </w:r>
      <w:r w:rsidR="004722FC">
        <w:t>subsection (</w:t>
      </w:r>
      <w:r w:rsidRPr="00997E48">
        <w:t>1) if, and only if:</w:t>
      </w:r>
    </w:p>
    <w:p w14:paraId="15B7D8BE" w14:textId="77777777" w:rsidR="007C3C3B" w:rsidRPr="00013151" w:rsidRDefault="007C3C3B" w:rsidP="007C3C3B">
      <w:pPr>
        <w:pStyle w:val="paragraph"/>
      </w:pPr>
      <w:r w:rsidRPr="00997E48">
        <w:tab/>
        <w:t>(a)</w:t>
      </w:r>
      <w:r w:rsidRPr="00997E48">
        <w:tab/>
        <w:t>before the supply of the applicable button/coin battery to a consumer,</w:t>
      </w:r>
      <w:r w:rsidRPr="00013151">
        <w:t xml:space="preserve"> representative samples of the packaging are tested in accordance with Annex E of the Primary Batteries Standard </w:t>
      </w:r>
      <w:r w:rsidR="00611210">
        <w:t>(</w:t>
      </w:r>
      <w:r w:rsidRPr="00013151">
        <w:t xml:space="preserve">as modified by </w:t>
      </w:r>
      <w:r w:rsidR="00C73644">
        <w:t>section 9</w:t>
      </w:r>
      <w:r w:rsidR="00611210">
        <w:t>)</w:t>
      </w:r>
      <w:r w:rsidRPr="00013151">
        <w:t>; and</w:t>
      </w:r>
    </w:p>
    <w:p w14:paraId="4902B5F5" w14:textId="77777777" w:rsidR="007C3C3B" w:rsidRPr="00013151" w:rsidRDefault="007C3C3B" w:rsidP="007C3C3B">
      <w:pPr>
        <w:pStyle w:val="paragraph"/>
      </w:pPr>
      <w:r w:rsidRPr="00013151">
        <w:tab/>
        <w:t>(b)</w:t>
      </w:r>
      <w:r w:rsidRPr="00013151">
        <w:tab/>
        <w:t>those samples comply with that Annex.</w:t>
      </w:r>
    </w:p>
    <w:p w14:paraId="080B560B" w14:textId="77777777" w:rsidR="005F7571" w:rsidRDefault="00027455" w:rsidP="00027455">
      <w:pPr>
        <w:pStyle w:val="ActHead5"/>
      </w:pPr>
      <w:r w:rsidRPr="00FB3161">
        <w:rPr>
          <w:rStyle w:val="CharSectno"/>
        </w:rPr>
        <w:t>9</w:t>
      </w:r>
      <w:r>
        <w:t xml:space="preserve">  Modification of the Primary Batteries Standard</w:t>
      </w:r>
    </w:p>
    <w:p w14:paraId="35F095E6" w14:textId="77777777" w:rsidR="00027455" w:rsidRDefault="00027455" w:rsidP="00027455">
      <w:pPr>
        <w:pStyle w:val="subsection"/>
      </w:pPr>
      <w:r>
        <w:tab/>
      </w:r>
      <w:r>
        <w:tab/>
        <w:t>Annex E of the Primary Batteries Standard is subject to the following modifications:</w:t>
      </w:r>
    </w:p>
    <w:p w14:paraId="69B37158" w14:textId="77777777" w:rsidR="00027455" w:rsidRPr="00013151" w:rsidRDefault="00027455" w:rsidP="00027455">
      <w:pPr>
        <w:pStyle w:val="paragraph"/>
      </w:pPr>
      <w:r>
        <w:tab/>
        <w:t>(a)</w:t>
      </w:r>
      <w:r>
        <w:tab/>
      </w:r>
      <w:r w:rsidRPr="00013151">
        <w:t>a reference to consumer type coin cells with a diameter of 16 mm and larger is taken to be a reference to applicable button/coin batteries;</w:t>
      </w:r>
    </w:p>
    <w:p w14:paraId="2410202D" w14:textId="77777777" w:rsidR="00027455" w:rsidRPr="00013151" w:rsidRDefault="00027455" w:rsidP="00027455">
      <w:pPr>
        <w:pStyle w:val="paragraph"/>
      </w:pPr>
      <w:r w:rsidRPr="00013151">
        <w:tab/>
        <w:t>(b)</w:t>
      </w:r>
      <w:r w:rsidRPr="00013151">
        <w:tab/>
        <w:t>a reference to each of the following terms is taken to be a reference to an applicable button/coin battery:</w:t>
      </w:r>
    </w:p>
    <w:p w14:paraId="19AF24B5" w14:textId="77777777" w:rsidR="00027455" w:rsidRPr="00013151" w:rsidRDefault="00027455" w:rsidP="00027455">
      <w:pPr>
        <w:pStyle w:val="paragraphsub"/>
      </w:pPr>
      <w:r w:rsidRPr="00013151">
        <w:tab/>
        <w:t>(</w:t>
      </w:r>
      <w:proofErr w:type="spellStart"/>
      <w:r w:rsidRPr="00013151">
        <w:t>i</w:t>
      </w:r>
      <w:proofErr w:type="spellEnd"/>
      <w:r w:rsidRPr="00013151">
        <w:t>)</w:t>
      </w:r>
      <w:r w:rsidRPr="00013151">
        <w:tab/>
        <w:t>cell;</w:t>
      </w:r>
    </w:p>
    <w:p w14:paraId="6F1FFCBB" w14:textId="77777777" w:rsidR="00650E0D" w:rsidRPr="00650E0D" w:rsidRDefault="00027455" w:rsidP="005C7D39">
      <w:pPr>
        <w:pStyle w:val="paragraphsub"/>
      </w:pPr>
      <w:r w:rsidRPr="00013151">
        <w:tab/>
        <w:t>(ii)</w:t>
      </w:r>
      <w:r w:rsidRPr="00013151">
        <w:tab/>
        <w:t>coin cell.</w:t>
      </w:r>
    </w:p>
    <w:sectPr w:rsidR="00650E0D" w:rsidRPr="00650E0D" w:rsidSect="00D932A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AEEE1" w14:textId="77777777" w:rsidR="008070A7" w:rsidRDefault="008070A7" w:rsidP="0048364F">
      <w:pPr>
        <w:spacing w:line="240" w:lineRule="auto"/>
      </w:pPr>
      <w:r>
        <w:separator/>
      </w:r>
    </w:p>
  </w:endnote>
  <w:endnote w:type="continuationSeparator" w:id="0">
    <w:p w14:paraId="6E8B0EFA" w14:textId="77777777" w:rsidR="008070A7" w:rsidRDefault="008070A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E2E8B" w14:textId="77777777" w:rsidR="008070A7" w:rsidRPr="00D932AF" w:rsidRDefault="00D932AF" w:rsidP="00D932A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932AF">
      <w:rPr>
        <w:i/>
        <w:sz w:val="18"/>
      </w:rPr>
      <w:t>OPC65820 -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0A455" w14:textId="77777777" w:rsidR="008070A7" w:rsidRDefault="008070A7" w:rsidP="00E97334"/>
  <w:p w14:paraId="5FAD2193" w14:textId="77777777" w:rsidR="008070A7" w:rsidRPr="00D932AF" w:rsidRDefault="00D932AF" w:rsidP="00D932AF">
    <w:pPr>
      <w:rPr>
        <w:rFonts w:cs="Times New Roman"/>
        <w:i/>
        <w:sz w:val="18"/>
      </w:rPr>
    </w:pPr>
    <w:r w:rsidRPr="00D932AF">
      <w:rPr>
        <w:rFonts w:cs="Times New Roman"/>
        <w:i/>
        <w:sz w:val="18"/>
      </w:rPr>
      <w:t>OPC65820 -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D93E6" w14:textId="77777777" w:rsidR="008070A7" w:rsidRPr="00D932AF" w:rsidRDefault="00D932AF" w:rsidP="00D932A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932AF">
      <w:rPr>
        <w:i/>
        <w:sz w:val="18"/>
      </w:rPr>
      <w:t>OPC65820 -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E0D8F" w14:textId="77777777" w:rsidR="008070A7" w:rsidRPr="00E33C1C" w:rsidRDefault="008070A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070A7" w14:paraId="3EB58A9B" w14:textId="77777777" w:rsidTr="00FB316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5AE751" w14:textId="77777777" w:rsidR="008070A7" w:rsidRDefault="008070A7" w:rsidP="00926C1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68C307" w14:textId="55E3C219" w:rsidR="008070A7" w:rsidRDefault="008070A7" w:rsidP="00926C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A4708">
            <w:rPr>
              <w:i/>
              <w:sz w:val="18"/>
            </w:rPr>
            <w:t>Consumer Goods (Button/Coin Batteries) Amendment Safety Standard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50EAAA7" w14:textId="77777777" w:rsidR="008070A7" w:rsidRDefault="008070A7" w:rsidP="00926C1A">
          <w:pPr>
            <w:spacing w:line="0" w:lineRule="atLeast"/>
            <w:jc w:val="right"/>
            <w:rPr>
              <w:sz w:val="18"/>
            </w:rPr>
          </w:pPr>
        </w:p>
      </w:tc>
    </w:tr>
  </w:tbl>
  <w:p w14:paraId="55933027" w14:textId="77777777" w:rsidR="008070A7" w:rsidRPr="00D932AF" w:rsidRDefault="00D932AF" w:rsidP="00D932AF">
    <w:pPr>
      <w:rPr>
        <w:rFonts w:cs="Times New Roman"/>
        <w:i/>
        <w:sz w:val="18"/>
      </w:rPr>
    </w:pPr>
    <w:r w:rsidRPr="00D932AF">
      <w:rPr>
        <w:rFonts w:cs="Times New Roman"/>
        <w:i/>
        <w:sz w:val="18"/>
      </w:rPr>
      <w:t>OPC65820 -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D0774" w14:textId="77777777" w:rsidR="008070A7" w:rsidRPr="00E33C1C" w:rsidRDefault="008070A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8070A7" w14:paraId="1674259A" w14:textId="77777777" w:rsidTr="00FB316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5D3EA1E" w14:textId="77777777" w:rsidR="008070A7" w:rsidRDefault="008070A7" w:rsidP="00926C1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C98034" w14:textId="3BCECE28" w:rsidR="008070A7" w:rsidRDefault="008070A7" w:rsidP="00926C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A4708">
            <w:rPr>
              <w:i/>
              <w:sz w:val="18"/>
            </w:rPr>
            <w:t>Consumer Goods (Button/Coin Batteries) Amendment Safety Standard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64815AC" w14:textId="77777777" w:rsidR="008070A7" w:rsidRDefault="008070A7" w:rsidP="00926C1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0D34EAE" w14:textId="77777777" w:rsidR="008070A7" w:rsidRPr="00D932AF" w:rsidRDefault="00D932AF" w:rsidP="00D932AF">
    <w:pPr>
      <w:rPr>
        <w:rFonts w:cs="Times New Roman"/>
        <w:i/>
        <w:sz w:val="18"/>
      </w:rPr>
    </w:pPr>
    <w:r w:rsidRPr="00D932AF">
      <w:rPr>
        <w:rFonts w:cs="Times New Roman"/>
        <w:i/>
        <w:sz w:val="18"/>
      </w:rPr>
      <w:t>OPC65820 -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CF85F" w14:textId="77777777" w:rsidR="008070A7" w:rsidRPr="00E33C1C" w:rsidRDefault="008070A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070A7" w14:paraId="31054448" w14:textId="77777777" w:rsidTr="00FB316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F11121" w14:textId="77777777" w:rsidR="008070A7" w:rsidRDefault="008070A7" w:rsidP="00926C1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2AF6CE" w14:textId="0B338298" w:rsidR="008070A7" w:rsidRDefault="008070A7" w:rsidP="00926C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A4708">
            <w:rPr>
              <w:i/>
              <w:sz w:val="18"/>
            </w:rPr>
            <w:t>Consumer Goods (Button/Coin Batteries) Amendment Safety Standard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4B122E" w14:textId="77777777" w:rsidR="008070A7" w:rsidRDefault="008070A7" w:rsidP="00926C1A">
          <w:pPr>
            <w:spacing w:line="0" w:lineRule="atLeast"/>
            <w:jc w:val="right"/>
            <w:rPr>
              <w:sz w:val="18"/>
            </w:rPr>
          </w:pPr>
        </w:p>
      </w:tc>
    </w:tr>
  </w:tbl>
  <w:p w14:paraId="32194244" w14:textId="77777777" w:rsidR="008070A7" w:rsidRPr="00D932AF" w:rsidRDefault="00D932AF" w:rsidP="00D932AF">
    <w:pPr>
      <w:rPr>
        <w:rFonts w:cs="Times New Roman"/>
        <w:i/>
        <w:sz w:val="18"/>
      </w:rPr>
    </w:pPr>
    <w:r w:rsidRPr="00D932AF">
      <w:rPr>
        <w:rFonts w:cs="Times New Roman"/>
        <w:i/>
        <w:sz w:val="18"/>
      </w:rPr>
      <w:t>OPC65820 -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EF2CD" w14:textId="77777777" w:rsidR="008070A7" w:rsidRPr="00E33C1C" w:rsidRDefault="008070A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070A7" w14:paraId="25C5235B" w14:textId="77777777" w:rsidTr="00926C1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2550C7" w14:textId="77777777" w:rsidR="008070A7" w:rsidRDefault="008070A7" w:rsidP="00926C1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98C5E0" w14:textId="0B55850E" w:rsidR="008070A7" w:rsidRDefault="008070A7" w:rsidP="00926C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A4708">
            <w:rPr>
              <w:i/>
              <w:sz w:val="18"/>
            </w:rPr>
            <w:t>Consumer Goods (Button/Coin Batteries) Amendment Safety Standard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EBE536" w14:textId="77777777" w:rsidR="008070A7" w:rsidRDefault="008070A7" w:rsidP="00926C1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6EA32A0" w14:textId="77777777" w:rsidR="008070A7" w:rsidRPr="00D932AF" w:rsidRDefault="00D932AF" w:rsidP="00D932AF">
    <w:pPr>
      <w:rPr>
        <w:rFonts w:cs="Times New Roman"/>
        <w:i/>
        <w:sz w:val="18"/>
      </w:rPr>
    </w:pPr>
    <w:r w:rsidRPr="00D932AF">
      <w:rPr>
        <w:rFonts w:cs="Times New Roman"/>
        <w:i/>
        <w:sz w:val="18"/>
      </w:rPr>
      <w:t>OPC65820 -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BEA33" w14:textId="77777777" w:rsidR="008070A7" w:rsidRPr="00E33C1C" w:rsidRDefault="008070A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070A7" w14:paraId="39EA358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D47786" w14:textId="77777777" w:rsidR="008070A7" w:rsidRDefault="008070A7" w:rsidP="00926C1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FA3715" w14:textId="67883ED1" w:rsidR="008070A7" w:rsidRDefault="008070A7" w:rsidP="00926C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A4708">
            <w:rPr>
              <w:i/>
              <w:sz w:val="18"/>
            </w:rPr>
            <w:t>Consumer Goods (Button/Coin Batteries) Amendment Safety Standard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1FED94" w14:textId="77777777" w:rsidR="008070A7" w:rsidRDefault="008070A7" w:rsidP="00926C1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913A7E5" w14:textId="77777777" w:rsidR="008070A7" w:rsidRPr="00D932AF" w:rsidRDefault="00D932AF" w:rsidP="00D932AF">
    <w:pPr>
      <w:rPr>
        <w:rFonts w:cs="Times New Roman"/>
        <w:i/>
        <w:sz w:val="18"/>
      </w:rPr>
    </w:pPr>
    <w:r w:rsidRPr="00D932AF">
      <w:rPr>
        <w:rFonts w:cs="Times New Roman"/>
        <w:i/>
        <w:sz w:val="18"/>
      </w:rPr>
      <w:t>OPC65820 -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E7A98" w14:textId="77777777" w:rsidR="008070A7" w:rsidRDefault="008070A7" w:rsidP="0048364F">
      <w:pPr>
        <w:spacing w:line="240" w:lineRule="auto"/>
      </w:pPr>
      <w:r>
        <w:separator/>
      </w:r>
    </w:p>
  </w:footnote>
  <w:footnote w:type="continuationSeparator" w:id="0">
    <w:p w14:paraId="48F30646" w14:textId="77777777" w:rsidR="008070A7" w:rsidRDefault="008070A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DF619" w14:textId="77777777" w:rsidR="008070A7" w:rsidRPr="005F1388" w:rsidRDefault="008070A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A8E80" w14:textId="77777777" w:rsidR="008070A7" w:rsidRPr="005F1388" w:rsidRDefault="008070A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E78AF" w14:textId="77777777" w:rsidR="008070A7" w:rsidRPr="005F1388" w:rsidRDefault="008070A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6215E" w14:textId="77777777" w:rsidR="008070A7" w:rsidRPr="00ED79B6" w:rsidRDefault="008070A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05ECF" w14:textId="77777777" w:rsidR="008070A7" w:rsidRPr="00ED79B6" w:rsidRDefault="008070A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86F34" w14:textId="77777777" w:rsidR="008070A7" w:rsidRPr="00ED79B6" w:rsidRDefault="008070A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A7BAC" w14:textId="6859E2BC" w:rsidR="008070A7" w:rsidRPr="00A961C4" w:rsidRDefault="008070A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21D0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21D03">
      <w:rPr>
        <w:noProof/>
        <w:sz w:val="20"/>
      </w:rPr>
      <w:t>Amendments</w:t>
    </w:r>
    <w:r>
      <w:rPr>
        <w:sz w:val="20"/>
      </w:rPr>
      <w:fldChar w:fldCharType="end"/>
    </w:r>
  </w:p>
  <w:p w14:paraId="6A776979" w14:textId="15E731DF" w:rsidR="008070A7" w:rsidRPr="00A961C4" w:rsidRDefault="008070A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21627B2" w14:textId="77777777" w:rsidR="008070A7" w:rsidRPr="00A961C4" w:rsidRDefault="008070A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CF6FD" w14:textId="71ABF968" w:rsidR="008070A7" w:rsidRPr="00A961C4" w:rsidRDefault="008070A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1CC293D" w14:textId="4CE81FEC" w:rsidR="008070A7" w:rsidRPr="00A961C4" w:rsidRDefault="008070A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057077D" w14:textId="77777777" w:rsidR="008070A7" w:rsidRPr="00A961C4" w:rsidRDefault="008070A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51252" w14:textId="77777777" w:rsidR="008070A7" w:rsidRPr="00A961C4" w:rsidRDefault="008070A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070"/>
    <w:rsid w:val="00000263"/>
    <w:rsid w:val="00007BE6"/>
    <w:rsid w:val="000113BC"/>
    <w:rsid w:val="00013151"/>
    <w:rsid w:val="000136AF"/>
    <w:rsid w:val="00027455"/>
    <w:rsid w:val="00036E24"/>
    <w:rsid w:val="00037A73"/>
    <w:rsid w:val="0004044E"/>
    <w:rsid w:val="000431A0"/>
    <w:rsid w:val="00046F47"/>
    <w:rsid w:val="0005120E"/>
    <w:rsid w:val="00054577"/>
    <w:rsid w:val="000614BF"/>
    <w:rsid w:val="0007169C"/>
    <w:rsid w:val="00077593"/>
    <w:rsid w:val="00083F48"/>
    <w:rsid w:val="00094993"/>
    <w:rsid w:val="000A7DF9"/>
    <w:rsid w:val="000D05EF"/>
    <w:rsid w:val="000D5485"/>
    <w:rsid w:val="000F21C1"/>
    <w:rsid w:val="00105D72"/>
    <w:rsid w:val="0010745C"/>
    <w:rsid w:val="00117277"/>
    <w:rsid w:val="001466DF"/>
    <w:rsid w:val="00155873"/>
    <w:rsid w:val="00160BD7"/>
    <w:rsid w:val="00162365"/>
    <w:rsid w:val="00163A0B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13E74"/>
    <w:rsid w:val="00220A0C"/>
    <w:rsid w:val="00223E4A"/>
    <w:rsid w:val="002302EA"/>
    <w:rsid w:val="002305AC"/>
    <w:rsid w:val="00240749"/>
    <w:rsid w:val="002468D7"/>
    <w:rsid w:val="002841F3"/>
    <w:rsid w:val="00285883"/>
    <w:rsid w:val="00285CDD"/>
    <w:rsid w:val="00291167"/>
    <w:rsid w:val="00297ECB"/>
    <w:rsid w:val="002A192F"/>
    <w:rsid w:val="002B2D03"/>
    <w:rsid w:val="002C152A"/>
    <w:rsid w:val="002D043A"/>
    <w:rsid w:val="002D62CB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E6524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53E8"/>
    <w:rsid w:val="00460499"/>
    <w:rsid w:val="00464E34"/>
    <w:rsid w:val="004722FC"/>
    <w:rsid w:val="00474835"/>
    <w:rsid w:val="00476BC4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16BC0"/>
    <w:rsid w:val="00524F94"/>
    <w:rsid w:val="0052686F"/>
    <w:rsid w:val="0052756C"/>
    <w:rsid w:val="00530230"/>
    <w:rsid w:val="00530CC9"/>
    <w:rsid w:val="00537FBC"/>
    <w:rsid w:val="00541D73"/>
    <w:rsid w:val="00543469"/>
    <w:rsid w:val="005452CC"/>
    <w:rsid w:val="00546666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2A65"/>
    <w:rsid w:val="005A482B"/>
    <w:rsid w:val="005A6CA5"/>
    <w:rsid w:val="005B4067"/>
    <w:rsid w:val="005C36E0"/>
    <w:rsid w:val="005C3F41"/>
    <w:rsid w:val="005C3FCA"/>
    <w:rsid w:val="005C7D39"/>
    <w:rsid w:val="005D168D"/>
    <w:rsid w:val="005D5EA1"/>
    <w:rsid w:val="005E61D3"/>
    <w:rsid w:val="005E7111"/>
    <w:rsid w:val="005F4840"/>
    <w:rsid w:val="005F7571"/>
    <w:rsid w:val="005F7738"/>
    <w:rsid w:val="00600219"/>
    <w:rsid w:val="00611210"/>
    <w:rsid w:val="00613EAD"/>
    <w:rsid w:val="006158AC"/>
    <w:rsid w:val="00640402"/>
    <w:rsid w:val="00640F78"/>
    <w:rsid w:val="00646E7B"/>
    <w:rsid w:val="00650E0D"/>
    <w:rsid w:val="00655D6A"/>
    <w:rsid w:val="00656DE9"/>
    <w:rsid w:val="00677CC2"/>
    <w:rsid w:val="00681118"/>
    <w:rsid w:val="00685F42"/>
    <w:rsid w:val="006866A1"/>
    <w:rsid w:val="0069207B"/>
    <w:rsid w:val="00696A98"/>
    <w:rsid w:val="006A1DE2"/>
    <w:rsid w:val="006A4309"/>
    <w:rsid w:val="006A4708"/>
    <w:rsid w:val="006B0E55"/>
    <w:rsid w:val="006B7006"/>
    <w:rsid w:val="006C04F2"/>
    <w:rsid w:val="006C7F8C"/>
    <w:rsid w:val="006D7AB9"/>
    <w:rsid w:val="00700B2C"/>
    <w:rsid w:val="007010B3"/>
    <w:rsid w:val="00713084"/>
    <w:rsid w:val="00716C13"/>
    <w:rsid w:val="00717B8A"/>
    <w:rsid w:val="00720FC2"/>
    <w:rsid w:val="00731E00"/>
    <w:rsid w:val="00732E9D"/>
    <w:rsid w:val="0073491A"/>
    <w:rsid w:val="007411B0"/>
    <w:rsid w:val="007440B7"/>
    <w:rsid w:val="00747993"/>
    <w:rsid w:val="00750509"/>
    <w:rsid w:val="007634AD"/>
    <w:rsid w:val="007715C9"/>
    <w:rsid w:val="00774EDD"/>
    <w:rsid w:val="007757EC"/>
    <w:rsid w:val="007A115D"/>
    <w:rsid w:val="007A35E6"/>
    <w:rsid w:val="007A6863"/>
    <w:rsid w:val="007C3C3B"/>
    <w:rsid w:val="007D45C1"/>
    <w:rsid w:val="007E7D4A"/>
    <w:rsid w:val="007F48ED"/>
    <w:rsid w:val="007F7947"/>
    <w:rsid w:val="008070A7"/>
    <w:rsid w:val="00812F45"/>
    <w:rsid w:val="00823B55"/>
    <w:rsid w:val="0084172C"/>
    <w:rsid w:val="00856A31"/>
    <w:rsid w:val="008673D0"/>
    <w:rsid w:val="008754D0"/>
    <w:rsid w:val="00877D48"/>
    <w:rsid w:val="008816F0"/>
    <w:rsid w:val="0088345B"/>
    <w:rsid w:val="008934BB"/>
    <w:rsid w:val="008A16A5"/>
    <w:rsid w:val="008B5D42"/>
    <w:rsid w:val="008C2B5D"/>
    <w:rsid w:val="008D0EE0"/>
    <w:rsid w:val="008D5B99"/>
    <w:rsid w:val="008D7A27"/>
    <w:rsid w:val="008E0F9F"/>
    <w:rsid w:val="008E4702"/>
    <w:rsid w:val="008E69AA"/>
    <w:rsid w:val="008F4F1C"/>
    <w:rsid w:val="008F6572"/>
    <w:rsid w:val="0091039E"/>
    <w:rsid w:val="00912C34"/>
    <w:rsid w:val="00922764"/>
    <w:rsid w:val="00926C1A"/>
    <w:rsid w:val="00932377"/>
    <w:rsid w:val="00936D7E"/>
    <w:rsid w:val="009408EA"/>
    <w:rsid w:val="00942F15"/>
    <w:rsid w:val="00943102"/>
    <w:rsid w:val="0094523D"/>
    <w:rsid w:val="009559E6"/>
    <w:rsid w:val="00976A63"/>
    <w:rsid w:val="00983419"/>
    <w:rsid w:val="00983BE2"/>
    <w:rsid w:val="00987E6D"/>
    <w:rsid w:val="00994821"/>
    <w:rsid w:val="00997E48"/>
    <w:rsid w:val="009C3431"/>
    <w:rsid w:val="009C5989"/>
    <w:rsid w:val="009D08DA"/>
    <w:rsid w:val="009E6251"/>
    <w:rsid w:val="00A06860"/>
    <w:rsid w:val="00A136F5"/>
    <w:rsid w:val="00A21D03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858B5"/>
    <w:rsid w:val="00A90EA8"/>
    <w:rsid w:val="00AA0343"/>
    <w:rsid w:val="00AA2A5C"/>
    <w:rsid w:val="00AA709E"/>
    <w:rsid w:val="00AB1211"/>
    <w:rsid w:val="00AB5105"/>
    <w:rsid w:val="00AB78E9"/>
    <w:rsid w:val="00AD3467"/>
    <w:rsid w:val="00AD5641"/>
    <w:rsid w:val="00AD7252"/>
    <w:rsid w:val="00AE0F9B"/>
    <w:rsid w:val="00AE7E4D"/>
    <w:rsid w:val="00AF449A"/>
    <w:rsid w:val="00AF55FF"/>
    <w:rsid w:val="00B032D8"/>
    <w:rsid w:val="00B33B3C"/>
    <w:rsid w:val="00B40C28"/>
    <w:rsid w:val="00B40D74"/>
    <w:rsid w:val="00B43ABE"/>
    <w:rsid w:val="00B52663"/>
    <w:rsid w:val="00B56DCB"/>
    <w:rsid w:val="00B716D5"/>
    <w:rsid w:val="00B770D2"/>
    <w:rsid w:val="00B94F68"/>
    <w:rsid w:val="00B95F26"/>
    <w:rsid w:val="00BA47A3"/>
    <w:rsid w:val="00BA5026"/>
    <w:rsid w:val="00BB6E79"/>
    <w:rsid w:val="00BE3B31"/>
    <w:rsid w:val="00BE719A"/>
    <w:rsid w:val="00BE720A"/>
    <w:rsid w:val="00BF6650"/>
    <w:rsid w:val="00C067E5"/>
    <w:rsid w:val="00C150D3"/>
    <w:rsid w:val="00C164CA"/>
    <w:rsid w:val="00C42BF8"/>
    <w:rsid w:val="00C460AE"/>
    <w:rsid w:val="00C50043"/>
    <w:rsid w:val="00C50A0F"/>
    <w:rsid w:val="00C53C3A"/>
    <w:rsid w:val="00C73644"/>
    <w:rsid w:val="00C7573B"/>
    <w:rsid w:val="00C76CF3"/>
    <w:rsid w:val="00C913D6"/>
    <w:rsid w:val="00CA4D6B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40571"/>
    <w:rsid w:val="00D52EFE"/>
    <w:rsid w:val="00D5549A"/>
    <w:rsid w:val="00D56A0D"/>
    <w:rsid w:val="00D5767F"/>
    <w:rsid w:val="00D63EF6"/>
    <w:rsid w:val="00D66518"/>
    <w:rsid w:val="00D70DFB"/>
    <w:rsid w:val="00D71EEA"/>
    <w:rsid w:val="00D735CD"/>
    <w:rsid w:val="00D766DF"/>
    <w:rsid w:val="00D85563"/>
    <w:rsid w:val="00D932AF"/>
    <w:rsid w:val="00D95891"/>
    <w:rsid w:val="00DB5CB4"/>
    <w:rsid w:val="00DE0DA2"/>
    <w:rsid w:val="00DE149E"/>
    <w:rsid w:val="00DE618A"/>
    <w:rsid w:val="00E05704"/>
    <w:rsid w:val="00E12F1A"/>
    <w:rsid w:val="00E15561"/>
    <w:rsid w:val="00E21CFB"/>
    <w:rsid w:val="00E22935"/>
    <w:rsid w:val="00E5196C"/>
    <w:rsid w:val="00E54292"/>
    <w:rsid w:val="00E57221"/>
    <w:rsid w:val="00E60191"/>
    <w:rsid w:val="00E72025"/>
    <w:rsid w:val="00E74DC7"/>
    <w:rsid w:val="00E87699"/>
    <w:rsid w:val="00E91505"/>
    <w:rsid w:val="00E92E27"/>
    <w:rsid w:val="00E9586B"/>
    <w:rsid w:val="00E97334"/>
    <w:rsid w:val="00EA0D36"/>
    <w:rsid w:val="00ED4928"/>
    <w:rsid w:val="00EE08C2"/>
    <w:rsid w:val="00EE3749"/>
    <w:rsid w:val="00EE6190"/>
    <w:rsid w:val="00EF1E81"/>
    <w:rsid w:val="00EF2E3A"/>
    <w:rsid w:val="00EF6402"/>
    <w:rsid w:val="00F025DF"/>
    <w:rsid w:val="00F047E2"/>
    <w:rsid w:val="00F04D57"/>
    <w:rsid w:val="00F078DC"/>
    <w:rsid w:val="00F13E86"/>
    <w:rsid w:val="00F14327"/>
    <w:rsid w:val="00F14632"/>
    <w:rsid w:val="00F15710"/>
    <w:rsid w:val="00F214B4"/>
    <w:rsid w:val="00F32FCB"/>
    <w:rsid w:val="00F357A5"/>
    <w:rsid w:val="00F44AF7"/>
    <w:rsid w:val="00F6709F"/>
    <w:rsid w:val="00F677A9"/>
    <w:rsid w:val="00F723BD"/>
    <w:rsid w:val="00F732EA"/>
    <w:rsid w:val="00F84CF5"/>
    <w:rsid w:val="00F8612E"/>
    <w:rsid w:val="00FA420B"/>
    <w:rsid w:val="00FB3161"/>
    <w:rsid w:val="00FC5070"/>
    <w:rsid w:val="00FE0781"/>
    <w:rsid w:val="00FF39DE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BCCA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C53C3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C3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3C3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3C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3C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3C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53C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53C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53C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53C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53C3A"/>
  </w:style>
  <w:style w:type="paragraph" w:customStyle="1" w:styleId="OPCParaBase">
    <w:name w:val="OPCParaBase"/>
    <w:qFormat/>
    <w:rsid w:val="00C53C3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53C3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53C3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53C3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53C3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53C3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53C3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53C3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53C3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53C3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53C3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53C3A"/>
  </w:style>
  <w:style w:type="paragraph" w:customStyle="1" w:styleId="Blocks">
    <w:name w:val="Blocks"/>
    <w:aliases w:val="bb"/>
    <w:basedOn w:val="OPCParaBase"/>
    <w:qFormat/>
    <w:rsid w:val="00C53C3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53C3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53C3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53C3A"/>
    <w:rPr>
      <w:i/>
    </w:rPr>
  </w:style>
  <w:style w:type="paragraph" w:customStyle="1" w:styleId="BoxList">
    <w:name w:val="BoxList"/>
    <w:aliases w:val="bl"/>
    <w:basedOn w:val="BoxText"/>
    <w:qFormat/>
    <w:rsid w:val="00C53C3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53C3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53C3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53C3A"/>
    <w:pPr>
      <w:ind w:left="1985" w:hanging="851"/>
    </w:pPr>
  </w:style>
  <w:style w:type="character" w:customStyle="1" w:styleId="CharAmPartNo">
    <w:name w:val="CharAmPartNo"/>
    <w:basedOn w:val="OPCCharBase"/>
    <w:qFormat/>
    <w:rsid w:val="00C53C3A"/>
  </w:style>
  <w:style w:type="character" w:customStyle="1" w:styleId="CharAmPartText">
    <w:name w:val="CharAmPartText"/>
    <w:basedOn w:val="OPCCharBase"/>
    <w:qFormat/>
    <w:rsid w:val="00C53C3A"/>
  </w:style>
  <w:style w:type="character" w:customStyle="1" w:styleId="CharAmSchNo">
    <w:name w:val="CharAmSchNo"/>
    <w:basedOn w:val="OPCCharBase"/>
    <w:qFormat/>
    <w:rsid w:val="00C53C3A"/>
  </w:style>
  <w:style w:type="character" w:customStyle="1" w:styleId="CharAmSchText">
    <w:name w:val="CharAmSchText"/>
    <w:basedOn w:val="OPCCharBase"/>
    <w:qFormat/>
    <w:rsid w:val="00C53C3A"/>
  </w:style>
  <w:style w:type="character" w:customStyle="1" w:styleId="CharBoldItalic">
    <w:name w:val="CharBoldItalic"/>
    <w:basedOn w:val="OPCCharBase"/>
    <w:uiPriority w:val="1"/>
    <w:qFormat/>
    <w:rsid w:val="00C53C3A"/>
    <w:rPr>
      <w:b/>
      <w:i/>
    </w:rPr>
  </w:style>
  <w:style w:type="character" w:customStyle="1" w:styleId="CharChapNo">
    <w:name w:val="CharChapNo"/>
    <w:basedOn w:val="OPCCharBase"/>
    <w:uiPriority w:val="1"/>
    <w:qFormat/>
    <w:rsid w:val="00C53C3A"/>
  </w:style>
  <w:style w:type="character" w:customStyle="1" w:styleId="CharChapText">
    <w:name w:val="CharChapText"/>
    <w:basedOn w:val="OPCCharBase"/>
    <w:uiPriority w:val="1"/>
    <w:qFormat/>
    <w:rsid w:val="00C53C3A"/>
  </w:style>
  <w:style w:type="character" w:customStyle="1" w:styleId="CharDivNo">
    <w:name w:val="CharDivNo"/>
    <w:basedOn w:val="OPCCharBase"/>
    <w:uiPriority w:val="1"/>
    <w:qFormat/>
    <w:rsid w:val="00C53C3A"/>
  </w:style>
  <w:style w:type="character" w:customStyle="1" w:styleId="CharDivText">
    <w:name w:val="CharDivText"/>
    <w:basedOn w:val="OPCCharBase"/>
    <w:uiPriority w:val="1"/>
    <w:qFormat/>
    <w:rsid w:val="00C53C3A"/>
  </w:style>
  <w:style w:type="character" w:customStyle="1" w:styleId="CharItalic">
    <w:name w:val="CharItalic"/>
    <w:basedOn w:val="OPCCharBase"/>
    <w:uiPriority w:val="1"/>
    <w:qFormat/>
    <w:rsid w:val="00C53C3A"/>
    <w:rPr>
      <w:i/>
    </w:rPr>
  </w:style>
  <w:style w:type="character" w:customStyle="1" w:styleId="CharPartNo">
    <w:name w:val="CharPartNo"/>
    <w:basedOn w:val="OPCCharBase"/>
    <w:uiPriority w:val="1"/>
    <w:qFormat/>
    <w:rsid w:val="00C53C3A"/>
  </w:style>
  <w:style w:type="character" w:customStyle="1" w:styleId="CharPartText">
    <w:name w:val="CharPartText"/>
    <w:basedOn w:val="OPCCharBase"/>
    <w:uiPriority w:val="1"/>
    <w:qFormat/>
    <w:rsid w:val="00C53C3A"/>
  </w:style>
  <w:style w:type="character" w:customStyle="1" w:styleId="CharSectno">
    <w:name w:val="CharSectno"/>
    <w:basedOn w:val="OPCCharBase"/>
    <w:qFormat/>
    <w:rsid w:val="00C53C3A"/>
  </w:style>
  <w:style w:type="character" w:customStyle="1" w:styleId="CharSubdNo">
    <w:name w:val="CharSubdNo"/>
    <w:basedOn w:val="OPCCharBase"/>
    <w:uiPriority w:val="1"/>
    <w:qFormat/>
    <w:rsid w:val="00C53C3A"/>
  </w:style>
  <w:style w:type="character" w:customStyle="1" w:styleId="CharSubdText">
    <w:name w:val="CharSubdText"/>
    <w:basedOn w:val="OPCCharBase"/>
    <w:uiPriority w:val="1"/>
    <w:qFormat/>
    <w:rsid w:val="00C53C3A"/>
  </w:style>
  <w:style w:type="paragraph" w:customStyle="1" w:styleId="CTA--">
    <w:name w:val="CTA --"/>
    <w:basedOn w:val="OPCParaBase"/>
    <w:next w:val="Normal"/>
    <w:rsid w:val="00C53C3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53C3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53C3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53C3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53C3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53C3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53C3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53C3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53C3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53C3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53C3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53C3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53C3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53C3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53C3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53C3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53C3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53C3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53C3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53C3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53C3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53C3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53C3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53C3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53C3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53C3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53C3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53C3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53C3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53C3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53C3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53C3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53C3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53C3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53C3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53C3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53C3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53C3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53C3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53C3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53C3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53C3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53C3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53C3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53C3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53C3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53C3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53C3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53C3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53C3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53C3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53C3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53C3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53C3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53C3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53C3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53C3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53C3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53C3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53C3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53C3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53C3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53C3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53C3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53C3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53C3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53C3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53C3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53C3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53C3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53C3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53C3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53C3A"/>
    <w:rPr>
      <w:sz w:val="16"/>
    </w:rPr>
  </w:style>
  <w:style w:type="table" w:customStyle="1" w:styleId="CFlag">
    <w:name w:val="CFlag"/>
    <w:basedOn w:val="TableNormal"/>
    <w:uiPriority w:val="99"/>
    <w:rsid w:val="00C53C3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53C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53C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3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53C3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53C3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53C3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53C3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53C3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53C3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53C3A"/>
    <w:pPr>
      <w:spacing w:before="120"/>
    </w:pPr>
  </w:style>
  <w:style w:type="paragraph" w:customStyle="1" w:styleId="CompiledActNo">
    <w:name w:val="CompiledActNo"/>
    <w:basedOn w:val="OPCParaBase"/>
    <w:next w:val="Normal"/>
    <w:rsid w:val="00C53C3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53C3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53C3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53C3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53C3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53C3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53C3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53C3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53C3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53C3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53C3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53C3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53C3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53C3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53C3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53C3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53C3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53C3A"/>
  </w:style>
  <w:style w:type="character" w:customStyle="1" w:styleId="CharSubPartNoCASA">
    <w:name w:val="CharSubPartNo(CASA)"/>
    <w:basedOn w:val="OPCCharBase"/>
    <w:uiPriority w:val="1"/>
    <w:rsid w:val="00C53C3A"/>
  </w:style>
  <w:style w:type="paragraph" w:customStyle="1" w:styleId="ENoteTTIndentHeadingSub">
    <w:name w:val="ENoteTTIndentHeadingSub"/>
    <w:aliases w:val="enTTHis"/>
    <w:basedOn w:val="OPCParaBase"/>
    <w:rsid w:val="00C53C3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53C3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53C3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53C3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53C3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53C3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53C3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53C3A"/>
    <w:rPr>
      <w:sz w:val="22"/>
    </w:rPr>
  </w:style>
  <w:style w:type="paragraph" w:customStyle="1" w:styleId="SOTextNote">
    <w:name w:val="SO TextNote"/>
    <w:aliases w:val="sont"/>
    <w:basedOn w:val="SOText"/>
    <w:qFormat/>
    <w:rsid w:val="00C53C3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53C3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53C3A"/>
    <w:rPr>
      <w:sz w:val="22"/>
    </w:rPr>
  </w:style>
  <w:style w:type="paragraph" w:customStyle="1" w:styleId="FileName">
    <w:name w:val="FileName"/>
    <w:basedOn w:val="Normal"/>
    <w:rsid w:val="00C53C3A"/>
  </w:style>
  <w:style w:type="paragraph" w:customStyle="1" w:styleId="TableHeading">
    <w:name w:val="TableHeading"/>
    <w:aliases w:val="th"/>
    <w:basedOn w:val="OPCParaBase"/>
    <w:next w:val="Tabletext"/>
    <w:rsid w:val="00C53C3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53C3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53C3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53C3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53C3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53C3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53C3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3C3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3C3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53C3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53C3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53C3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53C3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53C3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3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3C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3C3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53C3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53C3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53C3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53C3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53C3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53C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53C3A"/>
  </w:style>
  <w:style w:type="character" w:customStyle="1" w:styleId="charlegsubtitle1">
    <w:name w:val="charlegsubtitle1"/>
    <w:basedOn w:val="DefaultParagraphFont"/>
    <w:rsid w:val="00C53C3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53C3A"/>
    <w:pPr>
      <w:ind w:left="240" w:hanging="240"/>
    </w:pPr>
  </w:style>
  <w:style w:type="paragraph" w:styleId="Index2">
    <w:name w:val="index 2"/>
    <w:basedOn w:val="Normal"/>
    <w:next w:val="Normal"/>
    <w:autoRedefine/>
    <w:rsid w:val="00C53C3A"/>
    <w:pPr>
      <w:ind w:left="480" w:hanging="240"/>
    </w:pPr>
  </w:style>
  <w:style w:type="paragraph" w:styleId="Index3">
    <w:name w:val="index 3"/>
    <w:basedOn w:val="Normal"/>
    <w:next w:val="Normal"/>
    <w:autoRedefine/>
    <w:rsid w:val="00C53C3A"/>
    <w:pPr>
      <w:ind w:left="720" w:hanging="240"/>
    </w:pPr>
  </w:style>
  <w:style w:type="paragraph" w:styleId="Index4">
    <w:name w:val="index 4"/>
    <w:basedOn w:val="Normal"/>
    <w:next w:val="Normal"/>
    <w:autoRedefine/>
    <w:rsid w:val="00C53C3A"/>
    <w:pPr>
      <w:ind w:left="960" w:hanging="240"/>
    </w:pPr>
  </w:style>
  <w:style w:type="paragraph" w:styleId="Index5">
    <w:name w:val="index 5"/>
    <w:basedOn w:val="Normal"/>
    <w:next w:val="Normal"/>
    <w:autoRedefine/>
    <w:rsid w:val="00C53C3A"/>
    <w:pPr>
      <w:ind w:left="1200" w:hanging="240"/>
    </w:pPr>
  </w:style>
  <w:style w:type="paragraph" w:styleId="Index6">
    <w:name w:val="index 6"/>
    <w:basedOn w:val="Normal"/>
    <w:next w:val="Normal"/>
    <w:autoRedefine/>
    <w:rsid w:val="00C53C3A"/>
    <w:pPr>
      <w:ind w:left="1440" w:hanging="240"/>
    </w:pPr>
  </w:style>
  <w:style w:type="paragraph" w:styleId="Index7">
    <w:name w:val="index 7"/>
    <w:basedOn w:val="Normal"/>
    <w:next w:val="Normal"/>
    <w:autoRedefine/>
    <w:rsid w:val="00C53C3A"/>
    <w:pPr>
      <w:ind w:left="1680" w:hanging="240"/>
    </w:pPr>
  </w:style>
  <w:style w:type="paragraph" w:styleId="Index8">
    <w:name w:val="index 8"/>
    <w:basedOn w:val="Normal"/>
    <w:next w:val="Normal"/>
    <w:autoRedefine/>
    <w:rsid w:val="00C53C3A"/>
    <w:pPr>
      <w:ind w:left="1920" w:hanging="240"/>
    </w:pPr>
  </w:style>
  <w:style w:type="paragraph" w:styleId="Index9">
    <w:name w:val="index 9"/>
    <w:basedOn w:val="Normal"/>
    <w:next w:val="Normal"/>
    <w:autoRedefine/>
    <w:rsid w:val="00C53C3A"/>
    <w:pPr>
      <w:ind w:left="2160" w:hanging="240"/>
    </w:pPr>
  </w:style>
  <w:style w:type="paragraph" w:styleId="NormalIndent">
    <w:name w:val="Normal Indent"/>
    <w:basedOn w:val="Normal"/>
    <w:rsid w:val="00C53C3A"/>
    <w:pPr>
      <w:ind w:left="720"/>
    </w:pPr>
  </w:style>
  <w:style w:type="paragraph" w:styleId="FootnoteText">
    <w:name w:val="footnote text"/>
    <w:basedOn w:val="Normal"/>
    <w:link w:val="FootnoteTextChar"/>
    <w:rsid w:val="00C53C3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53C3A"/>
  </w:style>
  <w:style w:type="paragraph" w:styleId="CommentText">
    <w:name w:val="annotation text"/>
    <w:basedOn w:val="Normal"/>
    <w:link w:val="CommentTextChar"/>
    <w:rsid w:val="00C53C3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53C3A"/>
  </w:style>
  <w:style w:type="paragraph" w:styleId="IndexHeading">
    <w:name w:val="index heading"/>
    <w:basedOn w:val="Normal"/>
    <w:next w:val="Index1"/>
    <w:rsid w:val="00C53C3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53C3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53C3A"/>
    <w:pPr>
      <w:ind w:left="480" w:hanging="480"/>
    </w:pPr>
  </w:style>
  <w:style w:type="paragraph" w:styleId="EnvelopeAddress">
    <w:name w:val="envelope address"/>
    <w:basedOn w:val="Normal"/>
    <w:rsid w:val="00C53C3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53C3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53C3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53C3A"/>
    <w:rPr>
      <w:sz w:val="16"/>
      <w:szCs w:val="16"/>
    </w:rPr>
  </w:style>
  <w:style w:type="character" w:styleId="PageNumber">
    <w:name w:val="page number"/>
    <w:basedOn w:val="DefaultParagraphFont"/>
    <w:rsid w:val="00C53C3A"/>
  </w:style>
  <w:style w:type="character" w:styleId="EndnoteReference">
    <w:name w:val="endnote reference"/>
    <w:basedOn w:val="DefaultParagraphFont"/>
    <w:rsid w:val="00C53C3A"/>
    <w:rPr>
      <w:vertAlign w:val="superscript"/>
    </w:rPr>
  </w:style>
  <w:style w:type="paragraph" w:styleId="EndnoteText">
    <w:name w:val="endnote text"/>
    <w:basedOn w:val="Normal"/>
    <w:link w:val="EndnoteTextChar"/>
    <w:rsid w:val="00C53C3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53C3A"/>
  </w:style>
  <w:style w:type="paragraph" w:styleId="TableofAuthorities">
    <w:name w:val="table of authorities"/>
    <w:basedOn w:val="Normal"/>
    <w:next w:val="Normal"/>
    <w:rsid w:val="00C53C3A"/>
    <w:pPr>
      <w:ind w:left="240" w:hanging="240"/>
    </w:pPr>
  </w:style>
  <w:style w:type="paragraph" w:styleId="MacroText">
    <w:name w:val="macro"/>
    <w:link w:val="MacroTextChar"/>
    <w:rsid w:val="00C53C3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53C3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53C3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53C3A"/>
    <w:pPr>
      <w:ind w:left="283" w:hanging="283"/>
    </w:pPr>
  </w:style>
  <w:style w:type="paragraph" w:styleId="ListBullet">
    <w:name w:val="List Bullet"/>
    <w:basedOn w:val="Normal"/>
    <w:autoRedefine/>
    <w:rsid w:val="00C53C3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53C3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53C3A"/>
    <w:pPr>
      <w:ind w:left="566" w:hanging="283"/>
    </w:pPr>
  </w:style>
  <w:style w:type="paragraph" w:styleId="List3">
    <w:name w:val="List 3"/>
    <w:basedOn w:val="Normal"/>
    <w:rsid w:val="00C53C3A"/>
    <w:pPr>
      <w:ind w:left="849" w:hanging="283"/>
    </w:pPr>
  </w:style>
  <w:style w:type="paragraph" w:styleId="List4">
    <w:name w:val="List 4"/>
    <w:basedOn w:val="Normal"/>
    <w:rsid w:val="00C53C3A"/>
    <w:pPr>
      <w:ind w:left="1132" w:hanging="283"/>
    </w:pPr>
  </w:style>
  <w:style w:type="paragraph" w:styleId="List5">
    <w:name w:val="List 5"/>
    <w:basedOn w:val="Normal"/>
    <w:rsid w:val="00C53C3A"/>
    <w:pPr>
      <w:ind w:left="1415" w:hanging="283"/>
    </w:pPr>
  </w:style>
  <w:style w:type="paragraph" w:styleId="ListBullet2">
    <w:name w:val="List Bullet 2"/>
    <w:basedOn w:val="Normal"/>
    <w:autoRedefine/>
    <w:rsid w:val="00C53C3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53C3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53C3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53C3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53C3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53C3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53C3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53C3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53C3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53C3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53C3A"/>
    <w:pPr>
      <w:ind w:left="4252"/>
    </w:pPr>
  </w:style>
  <w:style w:type="character" w:customStyle="1" w:styleId="ClosingChar">
    <w:name w:val="Closing Char"/>
    <w:basedOn w:val="DefaultParagraphFont"/>
    <w:link w:val="Closing"/>
    <w:rsid w:val="00C53C3A"/>
    <w:rPr>
      <w:sz w:val="22"/>
    </w:rPr>
  </w:style>
  <w:style w:type="paragraph" w:styleId="Signature">
    <w:name w:val="Signature"/>
    <w:basedOn w:val="Normal"/>
    <w:link w:val="SignatureChar"/>
    <w:rsid w:val="00C53C3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53C3A"/>
    <w:rPr>
      <w:sz w:val="22"/>
    </w:rPr>
  </w:style>
  <w:style w:type="paragraph" w:styleId="BodyText">
    <w:name w:val="Body Text"/>
    <w:basedOn w:val="Normal"/>
    <w:link w:val="BodyTextChar"/>
    <w:rsid w:val="00C53C3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53C3A"/>
    <w:rPr>
      <w:sz w:val="22"/>
    </w:rPr>
  </w:style>
  <w:style w:type="paragraph" w:styleId="BodyTextIndent">
    <w:name w:val="Body Text Indent"/>
    <w:basedOn w:val="Normal"/>
    <w:link w:val="BodyTextIndentChar"/>
    <w:rsid w:val="00C53C3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53C3A"/>
    <w:rPr>
      <w:sz w:val="22"/>
    </w:rPr>
  </w:style>
  <w:style w:type="paragraph" w:styleId="ListContinue">
    <w:name w:val="List Continue"/>
    <w:basedOn w:val="Normal"/>
    <w:rsid w:val="00C53C3A"/>
    <w:pPr>
      <w:spacing w:after="120"/>
      <w:ind w:left="283"/>
    </w:pPr>
  </w:style>
  <w:style w:type="paragraph" w:styleId="ListContinue2">
    <w:name w:val="List Continue 2"/>
    <w:basedOn w:val="Normal"/>
    <w:rsid w:val="00C53C3A"/>
    <w:pPr>
      <w:spacing w:after="120"/>
      <w:ind w:left="566"/>
    </w:pPr>
  </w:style>
  <w:style w:type="paragraph" w:styleId="ListContinue3">
    <w:name w:val="List Continue 3"/>
    <w:basedOn w:val="Normal"/>
    <w:rsid w:val="00C53C3A"/>
    <w:pPr>
      <w:spacing w:after="120"/>
      <w:ind w:left="849"/>
    </w:pPr>
  </w:style>
  <w:style w:type="paragraph" w:styleId="ListContinue4">
    <w:name w:val="List Continue 4"/>
    <w:basedOn w:val="Normal"/>
    <w:rsid w:val="00C53C3A"/>
    <w:pPr>
      <w:spacing w:after="120"/>
      <w:ind w:left="1132"/>
    </w:pPr>
  </w:style>
  <w:style w:type="paragraph" w:styleId="ListContinue5">
    <w:name w:val="List Continue 5"/>
    <w:basedOn w:val="Normal"/>
    <w:rsid w:val="00C53C3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53C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53C3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53C3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53C3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53C3A"/>
  </w:style>
  <w:style w:type="character" w:customStyle="1" w:styleId="SalutationChar">
    <w:name w:val="Salutation Char"/>
    <w:basedOn w:val="DefaultParagraphFont"/>
    <w:link w:val="Salutation"/>
    <w:rsid w:val="00C53C3A"/>
    <w:rPr>
      <w:sz w:val="22"/>
    </w:rPr>
  </w:style>
  <w:style w:type="paragraph" w:styleId="Date">
    <w:name w:val="Date"/>
    <w:basedOn w:val="Normal"/>
    <w:next w:val="Normal"/>
    <w:link w:val="DateChar"/>
    <w:rsid w:val="00C53C3A"/>
  </w:style>
  <w:style w:type="character" w:customStyle="1" w:styleId="DateChar">
    <w:name w:val="Date Char"/>
    <w:basedOn w:val="DefaultParagraphFont"/>
    <w:link w:val="Date"/>
    <w:rsid w:val="00C53C3A"/>
    <w:rPr>
      <w:sz w:val="22"/>
    </w:rPr>
  </w:style>
  <w:style w:type="paragraph" w:styleId="BodyTextFirstIndent">
    <w:name w:val="Body Text First Indent"/>
    <w:basedOn w:val="BodyText"/>
    <w:link w:val="BodyTextFirstIndentChar"/>
    <w:rsid w:val="00C53C3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53C3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53C3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53C3A"/>
    <w:rPr>
      <w:sz w:val="22"/>
    </w:rPr>
  </w:style>
  <w:style w:type="paragraph" w:styleId="BodyText2">
    <w:name w:val="Body Text 2"/>
    <w:basedOn w:val="Normal"/>
    <w:link w:val="BodyText2Char"/>
    <w:rsid w:val="00C53C3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53C3A"/>
    <w:rPr>
      <w:sz w:val="22"/>
    </w:rPr>
  </w:style>
  <w:style w:type="paragraph" w:styleId="BodyText3">
    <w:name w:val="Body Text 3"/>
    <w:basedOn w:val="Normal"/>
    <w:link w:val="BodyText3Char"/>
    <w:rsid w:val="00C53C3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53C3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53C3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53C3A"/>
    <w:rPr>
      <w:sz w:val="22"/>
    </w:rPr>
  </w:style>
  <w:style w:type="paragraph" w:styleId="BodyTextIndent3">
    <w:name w:val="Body Text Indent 3"/>
    <w:basedOn w:val="Normal"/>
    <w:link w:val="BodyTextIndent3Char"/>
    <w:rsid w:val="00C53C3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53C3A"/>
    <w:rPr>
      <w:sz w:val="16"/>
      <w:szCs w:val="16"/>
    </w:rPr>
  </w:style>
  <w:style w:type="paragraph" w:styleId="BlockText">
    <w:name w:val="Block Text"/>
    <w:basedOn w:val="Normal"/>
    <w:rsid w:val="00C53C3A"/>
    <w:pPr>
      <w:spacing w:after="120"/>
      <w:ind w:left="1440" w:right="1440"/>
    </w:pPr>
  </w:style>
  <w:style w:type="character" w:styleId="Hyperlink">
    <w:name w:val="Hyperlink"/>
    <w:basedOn w:val="DefaultParagraphFont"/>
    <w:rsid w:val="00C53C3A"/>
    <w:rPr>
      <w:color w:val="0000FF"/>
      <w:u w:val="single"/>
    </w:rPr>
  </w:style>
  <w:style w:type="character" w:styleId="FollowedHyperlink">
    <w:name w:val="FollowedHyperlink"/>
    <w:basedOn w:val="DefaultParagraphFont"/>
    <w:rsid w:val="00C53C3A"/>
    <w:rPr>
      <w:color w:val="800080"/>
      <w:u w:val="single"/>
    </w:rPr>
  </w:style>
  <w:style w:type="character" w:styleId="Strong">
    <w:name w:val="Strong"/>
    <w:basedOn w:val="DefaultParagraphFont"/>
    <w:qFormat/>
    <w:rsid w:val="00C53C3A"/>
    <w:rPr>
      <w:b/>
      <w:bCs/>
    </w:rPr>
  </w:style>
  <w:style w:type="character" w:styleId="Emphasis">
    <w:name w:val="Emphasis"/>
    <w:basedOn w:val="DefaultParagraphFont"/>
    <w:qFormat/>
    <w:rsid w:val="00C53C3A"/>
    <w:rPr>
      <w:i/>
      <w:iCs/>
    </w:rPr>
  </w:style>
  <w:style w:type="paragraph" w:styleId="DocumentMap">
    <w:name w:val="Document Map"/>
    <w:basedOn w:val="Normal"/>
    <w:link w:val="DocumentMapChar"/>
    <w:rsid w:val="00C53C3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53C3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53C3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53C3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53C3A"/>
  </w:style>
  <w:style w:type="character" w:customStyle="1" w:styleId="E-mailSignatureChar">
    <w:name w:val="E-mail Signature Char"/>
    <w:basedOn w:val="DefaultParagraphFont"/>
    <w:link w:val="E-mailSignature"/>
    <w:rsid w:val="00C53C3A"/>
    <w:rPr>
      <w:sz w:val="22"/>
    </w:rPr>
  </w:style>
  <w:style w:type="paragraph" w:styleId="NormalWeb">
    <w:name w:val="Normal (Web)"/>
    <w:basedOn w:val="Normal"/>
    <w:rsid w:val="00C53C3A"/>
  </w:style>
  <w:style w:type="character" w:styleId="HTMLAcronym">
    <w:name w:val="HTML Acronym"/>
    <w:basedOn w:val="DefaultParagraphFont"/>
    <w:rsid w:val="00C53C3A"/>
  </w:style>
  <w:style w:type="paragraph" w:styleId="HTMLAddress">
    <w:name w:val="HTML Address"/>
    <w:basedOn w:val="Normal"/>
    <w:link w:val="HTMLAddressChar"/>
    <w:rsid w:val="00C53C3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53C3A"/>
    <w:rPr>
      <w:i/>
      <w:iCs/>
      <w:sz w:val="22"/>
    </w:rPr>
  </w:style>
  <w:style w:type="character" w:styleId="HTMLCite">
    <w:name w:val="HTML Cite"/>
    <w:basedOn w:val="DefaultParagraphFont"/>
    <w:rsid w:val="00C53C3A"/>
    <w:rPr>
      <w:i/>
      <w:iCs/>
    </w:rPr>
  </w:style>
  <w:style w:type="character" w:styleId="HTMLCode">
    <w:name w:val="HTML Code"/>
    <w:basedOn w:val="DefaultParagraphFont"/>
    <w:rsid w:val="00C53C3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53C3A"/>
    <w:rPr>
      <w:i/>
      <w:iCs/>
    </w:rPr>
  </w:style>
  <w:style w:type="character" w:styleId="HTMLKeyboard">
    <w:name w:val="HTML Keyboard"/>
    <w:basedOn w:val="DefaultParagraphFont"/>
    <w:rsid w:val="00C53C3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53C3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53C3A"/>
    <w:rPr>
      <w:rFonts w:ascii="Courier New" w:hAnsi="Courier New" w:cs="Courier New"/>
    </w:rPr>
  </w:style>
  <w:style w:type="character" w:styleId="HTMLSample">
    <w:name w:val="HTML Sample"/>
    <w:basedOn w:val="DefaultParagraphFont"/>
    <w:rsid w:val="00C53C3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53C3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53C3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53C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53C3A"/>
    <w:rPr>
      <w:b/>
      <w:bCs/>
    </w:rPr>
  </w:style>
  <w:style w:type="numbering" w:styleId="1ai">
    <w:name w:val="Outline List 1"/>
    <w:basedOn w:val="NoList"/>
    <w:rsid w:val="00C53C3A"/>
    <w:pPr>
      <w:numPr>
        <w:numId w:val="14"/>
      </w:numPr>
    </w:pPr>
  </w:style>
  <w:style w:type="numbering" w:styleId="111111">
    <w:name w:val="Outline List 2"/>
    <w:basedOn w:val="NoList"/>
    <w:rsid w:val="00C53C3A"/>
    <w:pPr>
      <w:numPr>
        <w:numId w:val="15"/>
      </w:numPr>
    </w:pPr>
  </w:style>
  <w:style w:type="numbering" w:styleId="ArticleSection">
    <w:name w:val="Outline List 3"/>
    <w:basedOn w:val="NoList"/>
    <w:rsid w:val="00C53C3A"/>
    <w:pPr>
      <w:numPr>
        <w:numId w:val="17"/>
      </w:numPr>
    </w:pPr>
  </w:style>
  <w:style w:type="table" w:styleId="TableSimple1">
    <w:name w:val="Table Simple 1"/>
    <w:basedOn w:val="TableNormal"/>
    <w:rsid w:val="00C53C3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53C3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53C3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53C3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53C3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53C3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53C3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53C3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53C3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53C3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53C3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53C3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53C3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53C3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53C3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53C3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53C3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53C3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53C3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53C3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53C3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53C3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53C3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53C3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53C3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53C3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53C3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53C3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53C3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53C3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53C3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53C3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53C3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53C3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53C3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53C3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53C3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53C3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53C3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53C3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53C3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53C3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53C3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53C3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C9711-078C-4D3D-B467-CEAAC00B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1014</Words>
  <Characters>5786</Characters>
  <Application>Microsoft Office Word</Application>
  <DocSecurity>0</DocSecurity>
  <PresentationFormat/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2022-03-10T02:30:00Z</cp:lastPrinted>
  <dcterms:created xsi:type="dcterms:W3CDTF">2022-04-05T00:22:00Z</dcterms:created>
  <dcterms:modified xsi:type="dcterms:W3CDTF">2022-04-05T00:22:00Z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Consumer Goods (Button/Coin Batteries) Amendment Safety Standard 2022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OPC65820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Number">
    <vt:lpwstr>A</vt:lpwstr>
  </property>
  <property fmtid="{D5CDD505-2E9C-101B-9397-08002B2CF9AE}" pid="13" name="CounterSign">
    <vt:lpwstr/>
  </property>
  <property fmtid="{D5CDD505-2E9C-101B-9397-08002B2CF9AE}" pid="14" name="DateMade">
    <vt:lpwstr>30 March 2022</vt:lpwstr>
  </property>
</Properties>
</file>