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94A6" w14:textId="422F0CFA" w:rsidR="00A03E61" w:rsidRDefault="00055956" w:rsidP="006F11F0">
      <w:pPr>
        <w:spacing w:before="78" w:line="360" w:lineRule="auto"/>
        <w:ind w:right="18"/>
        <w:jc w:val="center"/>
        <w:rPr>
          <w:b/>
          <w:sz w:val="24"/>
        </w:rPr>
      </w:pPr>
      <w:r>
        <w:rPr>
          <w:b/>
          <w:sz w:val="24"/>
          <w:u w:val="single"/>
        </w:rPr>
        <w:t>EXPLANATORY</w:t>
      </w:r>
      <w:r>
        <w:rPr>
          <w:b/>
          <w:spacing w:val="-13"/>
          <w:sz w:val="24"/>
          <w:u w:val="single"/>
        </w:rPr>
        <w:t xml:space="preserve"> </w:t>
      </w:r>
      <w:r>
        <w:rPr>
          <w:b/>
          <w:sz w:val="24"/>
          <w:u w:val="single"/>
        </w:rPr>
        <w:t>STATEMENT</w:t>
      </w:r>
    </w:p>
    <w:p w14:paraId="210C94A8" w14:textId="77777777" w:rsidR="00A03E61" w:rsidRDefault="00A03E61" w:rsidP="006F11F0">
      <w:pPr>
        <w:pStyle w:val="BodyText"/>
        <w:spacing w:before="8" w:line="360" w:lineRule="auto"/>
        <w:rPr>
          <w:b/>
          <w:sz w:val="16"/>
        </w:rPr>
      </w:pPr>
    </w:p>
    <w:p w14:paraId="210C94A9" w14:textId="31DE9E0A" w:rsidR="00A03E61" w:rsidRDefault="00055956" w:rsidP="006F11F0">
      <w:pPr>
        <w:pStyle w:val="BodyText"/>
        <w:spacing w:before="90" w:line="360" w:lineRule="auto"/>
        <w:ind w:right="16"/>
        <w:jc w:val="center"/>
      </w:pPr>
      <w:r>
        <w:rPr>
          <w:u w:val="single"/>
        </w:rPr>
        <w:t>Issued</w:t>
      </w:r>
      <w:r>
        <w:rPr>
          <w:spacing w:val="-1"/>
          <w:u w:val="single"/>
        </w:rPr>
        <w:t xml:space="preserve"> </w:t>
      </w:r>
      <w:r>
        <w:rPr>
          <w:u w:val="single"/>
        </w:rPr>
        <w:t>by</w:t>
      </w:r>
      <w:r>
        <w:rPr>
          <w:spacing w:val="-5"/>
          <w:u w:val="single"/>
        </w:rPr>
        <w:t xml:space="preserve"> </w:t>
      </w:r>
      <w:r>
        <w:rPr>
          <w:u w:val="single"/>
        </w:rPr>
        <w:t>the Authority</w:t>
      </w:r>
      <w:r>
        <w:rPr>
          <w:spacing w:val="-5"/>
          <w:u w:val="single"/>
        </w:rPr>
        <w:t xml:space="preserve"> </w:t>
      </w:r>
      <w:r>
        <w:rPr>
          <w:u w:val="single"/>
        </w:rPr>
        <w:t>of the</w:t>
      </w:r>
      <w:r>
        <w:rPr>
          <w:spacing w:val="-2"/>
          <w:u w:val="single"/>
        </w:rPr>
        <w:t xml:space="preserve"> </w:t>
      </w:r>
      <w:r>
        <w:rPr>
          <w:u w:val="single"/>
        </w:rPr>
        <w:t>Minister</w:t>
      </w:r>
      <w:r>
        <w:rPr>
          <w:spacing w:val="-1"/>
          <w:u w:val="single"/>
        </w:rPr>
        <w:t xml:space="preserve"> </w:t>
      </w:r>
      <w:r>
        <w:rPr>
          <w:u w:val="single"/>
        </w:rPr>
        <w:t>for</w:t>
      </w:r>
      <w:r>
        <w:rPr>
          <w:spacing w:val="-2"/>
          <w:u w:val="single"/>
        </w:rPr>
        <w:t xml:space="preserve"> </w:t>
      </w:r>
      <w:r w:rsidR="00280678">
        <w:rPr>
          <w:spacing w:val="-2"/>
          <w:u w:val="single"/>
        </w:rPr>
        <w:t>Industry, Energy and Emissions Reduction</w:t>
      </w:r>
    </w:p>
    <w:p w14:paraId="210C94AA" w14:textId="77777777" w:rsidR="00A03E61" w:rsidRDefault="00055956" w:rsidP="006F11F0">
      <w:pPr>
        <w:spacing w:before="120" w:line="360" w:lineRule="auto"/>
        <w:ind w:right="18"/>
        <w:jc w:val="center"/>
        <w:rPr>
          <w:i/>
          <w:sz w:val="24"/>
        </w:rPr>
      </w:pPr>
      <w:bookmarkStart w:id="0" w:name="Carbon_Credits_(Carbon_Farming_Initiativ"/>
      <w:bookmarkEnd w:id="0"/>
      <w:r>
        <w:rPr>
          <w:i/>
          <w:sz w:val="24"/>
        </w:rPr>
        <w:t>Carbon</w:t>
      </w:r>
      <w:r>
        <w:rPr>
          <w:i/>
          <w:spacing w:val="-1"/>
          <w:sz w:val="24"/>
        </w:rPr>
        <w:t xml:space="preserve"> </w:t>
      </w:r>
      <w:r>
        <w:rPr>
          <w:i/>
          <w:sz w:val="24"/>
        </w:rPr>
        <w:t>Credits</w:t>
      </w:r>
      <w:r>
        <w:rPr>
          <w:i/>
          <w:spacing w:val="-2"/>
          <w:sz w:val="24"/>
        </w:rPr>
        <w:t xml:space="preserve"> </w:t>
      </w:r>
      <w:r>
        <w:rPr>
          <w:i/>
          <w:sz w:val="24"/>
        </w:rPr>
        <w:t>(Carbon</w:t>
      </w:r>
      <w:r>
        <w:rPr>
          <w:i/>
          <w:spacing w:val="-1"/>
          <w:sz w:val="24"/>
        </w:rPr>
        <w:t xml:space="preserve"> </w:t>
      </w:r>
      <w:r>
        <w:rPr>
          <w:i/>
          <w:sz w:val="24"/>
        </w:rPr>
        <w:t>Farming</w:t>
      </w:r>
      <w:r>
        <w:rPr>
          <w:i/>
          <w:spacing w:val="-1"/>
          <w:sz w:val="24"/>
        </w:rPr>
        <w:t xml:space="preserve"> </w:t>
      </w:r>
      <w:r>
        <w:rPr>
          <w:i/>
          <w:sz w:val="24"/>
        </w:rPr>
        <w:t>Initiative)</w:t>
      </w:r>
      <w:r>
        <w:rPr>
          <w:i/>
          <w:spacing w:val="-5"/>
          <w:sz w:val="24"/>
        </w:rPr>
        <w:t xml:space="preserve"> </w:t>
      </w:r>
      <w:r>
        <w:rPr>
          <w:i/>
          <w:sz w:val="24"/>
        </w:rPr>
        <w:t>Act 2011</w:t>
      </w:r>
    </w:p>
    <w:p w14:paraId="210C94AD" w14:textId="7FE0A89F" w:rsidR="00A03E61" w:rsidRDefault="00AE7FCF" w:rsidP="00C25877">
      <w:pPr>
        <w:pStyle w:val="BodyText"/>
        <w:spacing w:line="360" w:lineRule="auto"/>
        <w:jc w:val="center"/>
        <w:rPr>
          <w:i/>
          <w:szCs w:val="22"/>
        </w:rPr>
      </w:pPr>
      <w:r w:rsidRPr="00AE7FCF">
        <w:rPr>
          <w:i/>
          <w:szCs w:val="22"/>
        </w:rPr>
        <w:t>Carbon Credits (Carbon Farming Initiative—</w:t>
      </w:r>
      <w:r w:rsidR="00D23CB4">
        <w:rPr>
          <w:i/>
          <w:szCs w:val="22"/>
        </w:rPr>
        <w:t>Commercial and Public Lightin</w:t>
      </w:r>
      <w:r w:rsidR="00141620">
        <w:rPr>
          <w:i/>
          <w:szCs w:val="22"/>
        </w:rPr>
        <w:t>g</w:t>
      </w:r>
      <w:r w:rsidR="00D23CB4">
        <w:rPr>
          <w:i/>
          <w:szCs w:val="22"/>
        </w:rPr>
        <w:t>—</w:t>
      </w:r>
      <w:r w:rsidRPr="00AE7FCF">
        <w:rPr>
          <w:i/>
          <w:szCs w:val="22"/>
        </w:rPr>
        <w:t>Revocation) Instrument 202</w:t>
      </w:r>
      <w:r w:rsidR="00D23CB4">
        <w:rPr>
          <w:i/>
          <w:szCs w:val="22"/>
        </w:rPr>
        <w:t>2</w:t>
      </w:r>
    </w:p>
    <w:p w14:paraId="75A1F2F9" w14:textId="50CF27FE" w:rsidR="00C25877" w:rsidRPr="00C25877" w:rsidRDefault="00C25877" w:rsidP="00C25877">
      <w:pPr>
        <w:pStyle w:val="BodyText"/>
        <w:spacing w:line="360" w:lineRule="auto"/>
        <w:rPr>
          <w:b/>
          <w:bCs/>
          <w:iCs/>
          <w:sz w:val="26"/>
        </w:rPr>
      </w:pPr>
      <w:r>
        <w:rPr>
          <w:b/>
          <w:bCs/>
          <w:iCs/>
          <w:szCs w:val="22"/>
        </w:rPr>
        <w:t>Purpose</w:t>
      </w:r>
    </w:p>
    <w:p w14:paraId="210C94AE" w14:textId="25915C2A" w:rsidR="00A03E61" w:rsidRDefault="00055956" w:rsidP="006F11F0">
      <w:pPr>
        <w:spacing w:before="115" w:line="360" w:lineRule="auto"/>
        <w:ind w:right="383"/>
        <w:rPr>
          <w:sz w:val="24"/>
        </w:rPr>
      </w:pPr>
      <w:r>
        <w:rPr>
          <w:sz w:val="24"/>
        </w:rPr>
        <w:t xml:space="preserve">The </w:t>
      </w:r>
      <w:r w:rsidR="00AE7FCF" w:rsidRPr="00AE7FCF">
        <w:rPr>
          <w:i/>
          <w:sz w:val="24"/>
        </w:rPr>
        <w:t>Carbon Credits (Carbon Farming Initiative—</w:t>
      </w:r>
      <w:r w:rsidR="006B142F">
        <w:rPr>
          <w:i/>
          <w:sz w:val="24"/>
        </w:rPr>
        <w:t>Commercial and Public Lighting</w:t>
      </w:r>
      <w:r w:rsidR="00AE7FCF" w:rsidRPr="00AE7FCF">
        <w:rPr>
          <w:i/>
          <w:sz w:val="24"/>
        </w:rPr>
        <w:t>—Revocation) Instrument 202</w:t>
      </w:r>
      <w:r w:rsidR="006B142F">
        <w:rPr>
          <w:i/>
          <w:sz w:val="24"/>
        </w:rPr>
        <w:t>2</w:t>
      </w:r>
      <w:r w:rsidR="00AE7FCF" w:rsidRPr="00AE7FCF">
        <w:rPr>
          <w:i/>
          <w:sz w:val="24"/>
        </w:rPr>
        <w:t xml:space="preserve"> </w:t>
      </w:r>
      <w:r>
        <w:rPr>
          <w:sz w:val="24"/>
        </w:rPr>
        <w:t xml:space="preserve">(the </w:t>
      </w:r>
      <w:r>
        <w:rPr>
          <w:b/>
          <w:sz w:val="24"/>
        </w:rPr>
        <w:t>Revocation Instrument</w:t>
      </w:r>
      <w:r>
        <w:rPr>
          <w:sz w:val="24"/>
        </w:rPr>
        <w:t xml:space="preserve">) revokes the </w:t>
      </w:r>
      <w:r w:rsidR="00AE7FCF" w:rsidRPr="00AE7FCF">
        <w:rPr>
          <w:i/>
          <w:sz w:val="24"/>
        </w:rPr>
        <w:t>Carbon Credits (Carbon Farming Initiative—</w:t>
      </w:r>
      <w:r w:rsidR="006B142F">
        <w:rPr>
          <w:i/>
          <w:sz w:val="24"/>
        </w:rPr>
        <w:t>Commercial and Public Lighting</w:t>
      </w:r>
      <w:r w:rsidR="00AE7FCF" w:rsidRPr="00AE7FCF">
        <w:rPr>
          <w:i/>
          <w:sz w:val="24"/>
        </w:rPr>
        <w:t>) Methodology Determination 201</w:t>
      </w:r>
      <w:r w:rsidR="006B142F">
        <w:rPr>
          <w:i/>
          <w:sz w:val="24"/>
        </w:rPr>
        <w:t>5</w:t>
      </w:r>
      <w:r w:rsidR="00AE7FCF" w:rsidRPr="00AE7FCF">
        <w:rPr>
          <w:i/>
          <w:sz w:val="24"/>
        </w:rPr>
        <w:t xml:space="preserve"> </w:t>
      </w:r>
      <w:r>
        <w:rPr>
          <w:sz w:val="24"/>
        </w:rPr>
        <w:t xml:space="preserve">(the </w:t>
      </w:r>
      <w:r>
        <w:rPr>
          <w:b/>
          <w:sz w:val="24"/>
        </w:rPr>
        <w:t>201</w:t>
      </w:r>
      <w:r w:rsidR="008E1E8B">
        <w:rPr>
          <w:b/>
          <w:sz w:val="24"/>
        </w:rPr>
        <w:t>5</w:t>
      </w:r>
      <w:r>
        <w:rPr>
          <w:b/>
          <w:sz w:val="24"/>
        </w:rPr>
        <w:t xml:space="preserve"> </w:t>
      </w:r>
      <w:r w:rsidR="008E1E8B">
        <w:rPr>
          <w:b/>
          <w:sz w:val="24"/>
        </w:rPr>
        <w:t xml:space="preserve">lighting </w:t>
      </w:r>
      <w:r>
        <w:rPr>
          <w:b/>
          <w:sz w:val="24"/>
        </w:rPr>
        <w:t>determination</w:t>
      </w:r>
      <w:r>
        <w:rPr>
          <w:sz w:val="24"/>
        </w:rPr>
        <w:t xml:space="preserve">) made under the </w:t>
      </w:r>
      <w:r>
        <w:rPr>
          <w:i/>
          <w:sz w:val="24"/>
        </w:rPr>
        <w:t>Carbon</w:t>
      </w:r>
      <w:r>
        <w:rPr>
          <w:i/>
          <w:spacing w:val="1"/>
          <w:sz w:val="24"/>
        </w:rPr>
        <w:t xml:space="preserve"> </w:t>
      </w:r>
      <w:r>
        <w:rPr>
          <w:i/>
          <w:sz w:val="24"/>
        </w:rPr>
        <w:t>Credits</w:t>
      </w:r>
      <w:r>
        <w:rPr>
          <w:i/>
          <w:spacing w:val="-2"/>
          <w:sz w:val="24"/>
        </w:rPr>
        <w:t xml:space="preserve"> </w:t>
      </w:r>
      <w:r>
        <w:rPr>
          <w:i/>
          <w:sz w:val="24"/>
        </w:rPr>
        <w:t>(Carbon Farming Initiative)</w:t>
      </w:r>
      <w:r>
        <w:rPr>
          <w:i/>
          <w:spacing w:val="-4"/>
          <w:sz w:val="24"/>
        </w:rPr>
        <w:t xml:space="preserve"> </w:t>
      </w:r>
      <w:r>
        <w:rPr>
          <w:i/>
          <w:sz w:val="24"/>
        </w:rPr>
        <w:t>Act 2011</w:t>
      </w:r>
      <w:r>
        <w:rPr>
          <w:i/>
          <w:spacing w:val="2"/>
          <w:sz w:val="24"/>
        </w:rPr>
        <w:t xml:space="preserve"> </w:t>
      </w:r>
      <w:r>
        <w:rPr>
          <w:sz w:val="24"/>
        </w:rPr>
        <w:t>(the</w:t>
      </w:r>
      <w:r>
        <w:rPr>
          <w:spacing w:val="-1"/>
          <w:sz w:val="24"/>
        </w:rPr>
        <w:t xml:space="preserve"> </w:t>
      </w:r>
      <w:r w:rsidRPr="00586CE2">
        <w:rPr>
          <w:b/>
          <w:bCs/>
          <w:sz w:val="24"/>
        </w:rPr>
        <w:t>Act</w:t>
      </w:r>
      <w:r>
        <w:rPr>
          <w:sz w:val="24"/>
        </w:rPr>
        <w:t>).</w:t>
      </w:r>
    </w:p>
    <w:p w14:paraId="24FCDD98" w14:textId="56692B5B" w:rsidR="00FA5CDD" w:rsidRDefault="00055956" w:rsidP="00FA5CDD">
      <w:pPr>
        <w:spacing w:before="1" w:line="360" w:lineRule="auto"/>
        <w:ind w:right="285"/>
        <w:rPr>
          <w:sz w:val="24"/>
        </w:rPr>
      </w:pPr>
      <w:r>
        <w:rPr>
          <w:sz w:val="24"/>
        </w:rPr>
        <w:t xml:space="preserve">The </w:t>
      </w:r>
      <w:r w:rsidR="008E1E8B">
        <w:rPr>
          <w:sz w:val="24"/>
        </w:rPr>
        <w:t xml:space="preserve">2015 lighting </w:t>
      </w:r>
      <w:r>
        <w:rPr>
          <w:sz w:val="24"/>
        </w:rPr>
        <w:t>determination</w:t>
      </w:r>
      <w:r w:rsidDel="00C444B2">
        <w:rPr>
          <w:sz w:val="24"/>
        </w:rPr>
        <w:t xml:space="preserve"> </w:t>
      </w:r>
      <w:r>
        <w:rPr>
          <w:sz w:val="24"/>
        </w:rPr>
        <w:t xml:space="preserve">has been </w:t>
      </w:r>
      <w:r w:rsidR="00F24552">
        <w:rPr>
          <w:sz w:val="24"/>
        </w:rPr>
        <w:t>revoked because</w:t>
      </w:r>
      <w:r w:rsidR="000A5796">
        <w:rPr>
          <w:sz w:val="24"/>
        </w:rPr>
        <w:t xml:space="preserve"> </w:t>
      </w:r>
      <w:r w:rsidR="00F24552">
        <w:rPr>
          <w:sz w:val="24"/>
        </w:rPr>
        <w:t xml:space="preserve">it </w:t>
      </w:r>
      <w:r w:rsidR="00283823">
        <w:rPr>
          <w:sz w:val="24"/>
        </w:rPr>
        <w:t xml:space="preserve">no longer complies with the offsets integrity standards. </w:t>
      </w:r>
    </w:p>
    <w:p w14:paraId="3DE0AD38" w14:textId="13CDDEF9" w:rsidR="00FA5CDD" w:rsidRPr="00FA5CDD" w:rsidRDefault="00FA5CDD" w:rsidP="00FA5CDD">
      <w:pPr>
        <w:pStyle w:val="BodyText"/>
        <w:spacing w:before="115" w:line="360" w:lineRule="auto"/>
        <w:ind w:right="152"/>
        <w:rPr>
          <w:b/>
          <w:bCs/>
        </w:rPr>
      </w:pPr>
      <w:r>
        <w:rPr>
          <w:b/>
          <w:bCs/>
        </w:rPr>
        <w:t>L</w:t>
      </w:r>
      <w:r w:rsidRPr="00FA5CDD">
        <w:rPr>
          <w:b/>
          <w:bCs/>
        </w:rPr>
        <w:t>egislative Provision</w:t>
      </w:r>
    </w:p>
    <w:p w14:paraId="210C94B3" w14:textId="7FB0FE5F" w:rsidR="00A03E61" w:rsidRDefault="00055956" w:rsidP="00FA5CDD">
      <w:pPr>
        <w:pStyle w:val="BodyText"/>
        <w:spacing w:before="115" w:line="360" w:lineRule="auto"/>
        <w:ind w:right="152"/>
      </w:pPr>
      <w:r>
        <w:t xml:space="preserve">The </w:t>
      </w:r>
      <w:r w:rsidR="00283823">
        <w:t>2015 lighting</w:t>
      </w:r>
      <w:r>
        <w:t xml:space="preserve"> determination was made under subsection 106(1) of the Act. It i</w:t>
      </w:r>
      <w:r w:rsidR="00283823">
        <w:t xml:space="preserve">s </w:t>
      </w:r>
      <w:r>
        <w:t xml:space="preserve">being revoked under subsection 123(1) of the Act, as set out in section 3 of the </w:t>
      </w:r>
      <w:r w:rsidR="00B612FC">
        <w:t>R</w:t>
      </w:r>
      <w:r>
        <w:t>evocation</w:t>
      </w:r>
      <w:r>
        <w:rPr>
          <w:spacing w:val="1"/>
        </w:rPr>
        <w:t xml:space="preserve"> </w:t>
      </w:r>
      <w:r w:rsidR="00B612FC">
        <w:t>I</w:t>
      </w:r>
      <w:r>
        <w:t>nstrument.</w:t>
      </w:r>
    </w:p>
    <w:p w14:paraId="05F1DC77" w14:textId="081E5161" w:rsidR="00FA5CDD" w:rsidRPr="00FA5CDD" w:rsidRDefault="00FA5CDD" w:rsidP="00FA5CDD">
      <w:pPr>
        <w:pStyle w:val="BodyText"/>
        <w:spacing w:before="115" w:line="360" w:lineRule="auto"/>
        <w:ind w:right="152"/>
        <w:rPr>
          <w:b/>
          <w:bCs/>
        </w:rPr>
      </w:pPr>
      <w:r w:rsidRPr="00FA5CDD">
        <w:rPr>
          <w:b/>
          <w:bCs/>
        </w:rPr>
        <w:t>Background to the Emission Reduction Fund</w:t>
      </w:r>
    </w:p>
    <w:p w14:paraId="210C94B4" w14:textId="0E835018" w:rsidR="00A03E61" w:rsidRDefault="00055956" w:rsidP="006F11F0">
      <w:pPr>
        <w:pStyle w:val="BodyText"/>
        <w:spacing w:before="115" w:line="360" w:lineRule="auto"/>
        <w:ind w:right="652"/>
      </w:pPr>
      <w:r>
        <w:t>The Act enables the crediting of greenhouse gas abatement from emissions reduction</w:t>
      </w:r>
      <w:r>
        <w:rPr>
          <w:spacing w:val="1"/>
        </w:rPr>
        <w:t xml:space="preserve"> </w:t>
      </w:r>
      <w:r>
        <w:t xml:space="preserve">activities across the economy. </w:t>
      </w:r>
      <w:r w:rsidR="009D78D3" w:rsidRPr="009D78D3">
        <w:t xml:space="preserve">Greenhouse gas abatement is achieved either by reducing or avoiding emissions or by removing carbon </w:t>
      </w:r>
      <w:r w:rsidR="00816685">
        <w:t xml:space="preserve">dioxide </w:t>
      </w:r>
      <w:r w:rsidR="009D78D3" w:rsidRPr="009D78D3">
        <w:t xml:space="preserve">from the atmosphere and storing </w:t>
      </w:r>
      <w:r w:rsidR="00B054CC">
        <w:t xml:space="preserve">carbon </w:t>
      </w:r>
      <w:r w:rsidR="009D78D3" w:rsidRPr="009D78D3">
        <w:t>in soil, biomass</w:t>
      </w:r>
      <w:r w:rsidR="00236CF3" w:rsidRPr="009D78D3">
        <w:t>,</w:t>
      </w:r>
      <w:r w:rsidR="009D78D3" w:rsidRPr="009D78D3">
        <w:t xml:space="preserve"> or organic matter.</w:t>
      </w:r>
    </w:p>
    <w:p w14:paraId="210C94B7" w14:textId="57C1D8B5" w:rsidR="00A03E61" w:rsidRDefault="00055956">
      <w:pPr>
        <w:pStyle w:val="BodyText"/>
        <w:spacing w:before="120" w:line="360" w:lineRule="auto"/>
        <w:ind w:right="164"/>
      </w:pPr>
      <w:r>
        <w:t xml:space="preserve">In 2014, the Australian Parliament passed the </w:t>
      </w:r>
      <w:r w:rsidR="005A7E3D" w:rsidRPr="006F11F0">
        <w:rPr>
          <w:i/>
        </w:rPr>
        <w:t xml:space="preserve">Carbon Farming Initiative </w:t>
      </w:r>
      <w:r w:rsidRPr="006F11F0">
        <w:rPr>
          <w:i/>
        </w:rPr>
        <w:t>Amendment Act</w:t>
      </w:r>
      <w:r w:rsidR="00D831E5">
        <w:rPr>
          <w:i/>
        </w:rPr>
        <w:t xml:space="preserve"> 2014</w:t>
      </w:r>
      <w:r>
        <w:t>, which establishe</w:t>
      </w:r>
      <w:r w:rsidR="005A7E3D">
        <w:t>d</w:t>
      </w:r>
      <w:r>
        <w:t xml:space="preserve"> </w:t>
      </w:r>
      <w:r w:rsidR="00D84673">
        <w:t>Emissions Redu</w:t>
      </w:r>
      <w:r w:rsidR="004E2032">
        <w:t>c</w:t>
      </w:r>
      <w:r w:rsidR="00D84673">
        <w:t xml:space="preserve">tion Fund </w:t>
      </w:r>
      <w:r w:rsidR="00586CE2">
        <w:t xml:space="preserve">(the </w:t>
      </w:r>
      <w:r w:rsidRPr="00586CE2">
        <w:rPr>
          <w:b/>
          <w:bCs/>
        </w:rPr>
        <w:t>ERF</w:t>
      </w:r>
      <w:r w:rsidR="00586CE2">
        <w:t>)</w:t>
      </w:r>
      <w:r w:rsidR="005A7E3D">
        <w:t xml:space="preserve">. </w:t>
      </w:r>
      <w:r w:rsidR="005A7E3D" w:rsidRPr="00417AC8">
        <w:t xml:space="preserve">Further information on the </w:t>
      </w:r>
      <w:r w:rsidR="00D831E5">
        <w:t>ERF</w:t>
      </w:r>
      <w:r w:rsidR="005A7E3D" w:rsidRPr="00417AC8">
        <w:t xml:space="preserve"> is available at: </w:t>
      </w:r>
      <w:hyperlink r:id="rId10" w:history="1">
        <w:r w:rsidR="005A7E3D" w:rsidRPr="00417AC8">
          <w:rPr>
            <w:rStyle w:val="Hyperlink"/>
          </w:rPr>
          <w:t>www.industry.gov.au/funding-and-incentives/emissions-reduction-fund</w:t>
        </w:r>
      </w:hyperlink>
      <w:r w:rsidR="005A7E3D" w:rsidRPr="00417AC8">
        <w:t xml:space="preserve"> or </w:t>
      </w:r>
      <w:hyperlink r:id="rId11" w:history="1">
        <w:r w:rsidR="005A7E3D" w:rsidRPr="00417AC8">
          <w:rPr>
            <w:rStyle w:val="Hyperlink"/>
          </w:rPr>
          <w:t>www.cleanenergyregulator.gov.au/ERF</w:t>
        </w:r>
      </w:hyperlink>
      <w:r w:rsidR="005A7E3D" w:rsidRPr="00417AC8">
        <w:t>.</w:t>
      </w:r>
    </w:p>
    <w:p w14:paraId="0B5F83C9" w14:textId="77777777" w:rsidR="005A7E3D" w:rsidRDefault="005A7E3D" w:rsidP="005A7E3D">
      <w:pPr>
        <w:pStyle w:val="BodyText"/>
        <w:spacing w:before="120" w:line="360" w:lineRule="auto"/>
        <w:ind w:right="572"/>
      </w:pPr>
      <w:r>
        <w:t>Emissions reduction activities are undertaken as offsets projects. The process involved in</w:t>
      </w:r>
      <w:r>
        <w:rPr>
          <w:spacing w:val="-57"/>
        </w:rPr>
        <w:t xml:space="preserve"> </w:t>
      </w:r>
      <w:r>
        <w:t>establishing an offsets project is set out in Part 3 of the Act. An offsets project must be</w:t>
      </w:r>
      <w:r>
        <w:rPr>
          <w:spacing w:val="1"/>
        </w:rPr>
        <w:t xml:space="preserve"> </w:t>
      </w:r>
      <w:r>
        <w:t>covered</w:t>
      </w:r>
      <w:r>
        <w:rPr>
          <w:spacing w:val="-1"/>
        </w:rPr>
        <w:t xml:space="preserve"> </w:t>
      </w:r>
      <w:r>
        <w:t>by,</w:t>
      </w:r>
      <w:r>
        <w:rPr>
          <w:spacing w:val="2"/>
        </w:rPr>
        <w:t xml:space="preserve"> </w:t>
      </w:r>
      <w:r>
        <w:t>and</w:t>
      </w:r>
      <w:r>
        <w:rPr>
          <w:spacing w:val="-1"/>
        </w:rPr>
        <w:t xml:space="preserve"> </w:t>
      </w:r>
      <w:r>
        <w:t>undertaken in</w:t>
      </w:r>
      <w:r>
        <w:rPr>
          <w:spacing w:val="-1"/>
        </w:rPr>
        <w:t xml:space="preserve"> </w:t>
      </w:r>
      <w:r>
        <w:t>accordance</w:t>
      </w:r>
      <w:r>
        <w:rPr>
          <w:spacing w:val="-1"/>
        </w:rPr>
        <w:t xml:space="preserve"> </w:t>
      </w:r>
      <w:r>
        <w:t>with,</w:t>
      </w:r>
      <w:r>
        <w:rPr>
          <w:spacing w:val="-1"/>
        </w:rPr>
        <w:t xml:space="preserve"> </w:t>
      </w:r>
      <w:r>
        <w:t>a methodology</w:t>
      </w:r>
      <w:r>
        <w:rPr>
          <w:spacing w:val="-5"/>
        </w:rPr>
        <w:t xml:space="preserve"> </w:t>
      </w:r>
      <w:r>
        <w:t>determination.</w:t>
      </w:r>
    </w:p>
    <w:p w14:paraId="6A4F5D34" w14:textId="06D8AC7C" w:rsidR="005A7E3D" w:rsidRDefault="005A7E3D" w:rsidP="005A7E3D">
      <w:pPr>
        <w:pStyle w:val="BodyText"/>
        <w:spacing w:before="121" w:line="360" w:lineRule="auto"/>
        <w:ind w:right="879"/>
      </w:pPr>
      <w:r w:rsidRPr="00D91E77">
        <w:rPr>
          <w:bCs/>
        </w:rPr>
        <w:t>Subsec</w:t>
      </w:r>
      <w:r w:rsidRPr="00F91C75">
        <w:rPr>
          <w:bCs/>
        </w:rPr>
        <w:t>tion 106(1) of the</w:t>
      </w:r>
      <w:r w:rsidRPr="00407932">
        <w:rPr>
          <w:bCs/>
          <w:i/>
        </w:rPr>
        <w:t xml:space="preserve"> </w:t>
      </w:r>
      <w:r w:rsidRPr="00A8134E">
        <w:rPr>
          <w:bCs/>
        </w:rPr>
        <w:t>Act empowers the Minister to make</w:t>
      </w:r>
      <w:r w:rsidRPr="000A23C1">
        <w:t xml:space="preserve"> a methodology determination by legislative instrument. </w:t>
      </w:r>
      <w:r>
        <w:t xml:space="preserve">The purpose of a methodology determination is to establish procedures for </w:t>
      </w:r>
      <w:r w:rsidR="001A599F">
        <w:t>estimating abatement</w:t>
      </w:r>
      <w:r>
        <w:t xml:space="preserve"> (</w:t>
      </w:r>
      <w:r w:rsidR="00D831E5">
        <w:t xml:space="preserve">through </w:t>
      </w:r>
      <w:r>
        <w:t xml:space="preserve">emissions avoidance or sequestration) from eligible projects and rules for monitoring, record keeping and </w:t>
      </w:r>
      <w:r>
        <w:lastRenderedPageBreak/>
        <w:t xml:space="preserve">reporting. The </w:t>
      </w:r>
      <w:r w:rsidR="00D831E5">
        <w:t xml:space="preserve">methodology determinations </w:t>
      </w:r>
      <w:r>
        <w:t>ensure that emissions</w:t>
      </w:r>
      <w:r>
        <w:rPr>
          <w:spacing w:val="1"/>
        </w:rPr>
        <w:t xml:space="preserve"> </w:t>
      </w:r>
      <w:r>
        <w:t>reductions</w:t>
      </w:r>
      <w:r>
        <w:rPr>
          <w:spacing w:val="-1"/>
        </w:rPr>
        <w:t xml:space="preserve"> </w:t>
      </w:r>
      <w:r>
        <w:t>are genuine—that they</w:t>
      </w:r>
      <w:r>
        <w:rPr>
          <w:spacing w:val="-4"/>
        </w:rPr>
        <w:t xml:space="preserve"> </w:t>
      </w:r>
      <w:r>
        <w:t>are</w:t>
      </w:r>
      <w:r>
        <w:rPr>
          <w:spacing w:val="-2"/>
        </w:rPr>
        <w:t xml:space="preserve"> </w:t>
      </w:r>
      <w:r>
        <w:t>both</w:t>
      </w:r>
      <w:r>
        <w:rPr>
          <w:spacing w:val="-1"/>
        </w:rPr>
        <w:t xml:space="preserve"> </w:t>
      </w:r>
      <w:r>
        <w:t>real and</w:t>
      </w:r>
      <w:r>
        <w:rPr>
          <w:spacing w:val="-1"/>
        </w:rPr>
        <w:t xml:space="preserve"> </w:t>
      </w:r>
      <w:r>
        <w:t>additional to</w:t>
      </w:r>
      <w:r>
        <w:rPr>
          <w:spacing w:val="-1"/>
        </w:rPr>
        <w:t xml:space="preserve"> </w:t>
      </w:r>
      <w:r>
        <w:t>business</w:t>
      </w:r>
      <w:r>
        <w:rPr>
          <w:spacing w:val="-1"/>
        </w:rPr>
        <w:t xml:space="preserve"> </w:t>
      </w:r>
      <w:r>
        <w:t>as</w:t>
      </w:r>
      <w:r>
        <w:rPr>
          <w:spacing w:val="-1"/>
        </w:rPr>
        <w:t xml:space="preserve"> </w:t>
      </w:r>
      <w:r>
        <w:t>usual.</w:t>
      </w:r>
    </w:p>
    <w:p w14:paraId="210C94B8" w14:textId="210B487A" w:rsidR="00A03E61" w:rsidRDefault="00055956">
      <w:pPr>
        <w:pStyle w:val="BodyText"/>
        <w:spacing w:before="120" w:line="360" w:lineRule="auto"/>
        <w:ind w:right="164"/>
      </w:pPr>
      <w:r>
        <w:t xml:space="preserve">In deciding to revoke </w:t>
      </w:r>
      <w:r w:rsidR="00D831E5">
        <w:t xml:space="preserve">the </w:t>
      </w:r>
      <w:r w:rsidR="00203A3E">
        <w:t>2015 lighting</w:t>
      </w:r>
      <w:r w:rsidR="00D831E5">
        <w:t xml:space="preserve"> </w:t>
      </w:r>
      <w:r>
        <w:t>determination</w:t>
      </w:r>
      <w:r w:rsidR="00D831E5">
        <w:t>,</w:t>
      </w:r>
      <w:r>
        <w:t xml:space="preserve"> the Minister has had regard to the advice</w:t>
      </w:r>
      <w:r>
        <w:rPr>
          <w:spacing w:val="1"/>
        </w:rPr>
        <w:t xml:space="preserve"> </w:t>
      </w:r>
      <w:r>
        <w:t>of the Emissions Reduction Assurance Committee (</w:t>
      </w:r>
      <w:r w:rsidR="00E2287B">
        <w:t xml:space="preserve">the </w:t>
      </w:r>
      <w:r w:rsidRPr="00E2287B">
        <w:rPr>
          <w:b/>
          <w:bCs/>
        </w:rPr>
        <w:t>ERAC</w:t>
      </w:r>
      <w:r>
        <w:t>), an independent expert panel</w:t>
      </w:r>
      <w:r>
        <w:rPr>
          <w:spacing w:val="1"/>
        </w:rPr>
        <w:t xml:space="preserve"> </w:t>
      </w:r>
      <w:r>
        <w:t xml:space="preserve">established to advise the Minister on proposals for making, </w:t>
      </w:r>
      <w:proofErr w:type="gramStart"/>
      <w:r>
        <w:t>varying</w:t>
      </w:r>
      <w:proofErr w:type="gramEnd"/>
      <w:r>
        <w:t xml:space="preserve"> or revoking </w:t>
      </w:r>
      <w:r w:rsidR="001A599F">
        <w:t>methodology determinations</w:t>
      </w:r>
      <w:r>
        <w:t>.</w:t>
      </w:r>
      <w:r w:rsidR="007975CC">
        <w:t xml:space="preserve"> The Minister also has had regard </w:t>
      </w:r>
      <w:r w:rsidR="00160C4C">
        <w:t xml:space="preserve">to whether the 2015 lighting determination complies with the offsets integrity standards </w:t>
      </w:r>
      <w:r w:rsidR="00223E99">
        <w:t xml:space="preserve">defined </w:t>
      </w:r>
      <w:r w:rsidR="0080467C">
        <w:t xml:space="preserve">in </w:t>
      </w:r>
      <w:r w:rsidR="00ED0217">
        <w:t>section 133 of the Act.</w:t>
      </w:r>
    </w:p>
    <w:p w14:paraId="481BE630" w14:textId="46176D17" w:rsidR="005A7E3D" w:rsidRPr="006F11F0" w:rsidRDefault="005A7E3D" w:rsidP="006F11F0">
      <w:pPr>
        <w:pStyle w:val="BodyText"/>
        <w:spacing w:before="120" w:line="360" w:lineRule="auto"/>
        <w:ind w:right="164"/>
        <w:rPr>
          <w:b/>
        </w:rPr>
      </w:pPr>
      <w:r w:rsidRPr="006F11F0">
        <w:rPr>
          <w:b/>
        </w:rPr>
        <w:t>Background to the Determination</w:t>
      </w:r>
    </w:p>
    <w:p w14:paraId="5BEDBF59" w14:textId="77777777" w:rsidR="00251711" w:rsidRPr="00BD110A" w:rsidRDefault="000C025F" w:rsidP="00251711">
      <w:pPr>
        <w:pStyle w:val="BodyText"/>
        <w:spacing w:before="120" w:line="360" w:lineRule="auto"/>
        <w:ind w:right="164"/>
      </w:pPr>
      <w:r>
        <w:t xml:space="preserve">The 2015 lighting determination </w:t>
      </w:r>
      <w:r w:rsidR="00251711" w:rsidRPr="00BD110A">
        <w:t xml:space="preserve">provides for crediting emissions reductions from </w:t>
      </w:r>
      <w:r w:rsidR="00251711">
        <w:t xml:space="preserve">offsets </w:t>
      </w:r>
      <w:r w:rsidR="00251711" w:rsidRPr="00BD110A">
        <w:t xml:space="preserve">projects that improve the energy performance of lighting systems in commercial and industrial buildings, as well as public areas, such as pedestrian, street and traffic lighting. By improving existing lighting systems less electricity is consumed, and emissions associated with the generation of electricity are reduced. </w:t>
      </w:r>
    </w:p>
    <w:p w14:paraId="4AD29F89" w14:textId="6A1775FA" w:rsidR="00251711" w:rsidRDefault="006556DB" w:rsidP="00251711">
      <w:pPr>
        <w:pStyle w:val="BodyText"/>
        <w:spacing w:before="120" w:line="360" w:lineRule="auto"/>
        <w:ind w:right="164"/>
      </w:pPr>
      <w:r>
        <w:t>The ERAC has advised the Minister</w:t>
      </w:r>
      <w:r w:rsidR="00251711" w:rsidRPr="00251711">
        <w:t xml:space="preserve"> that there is reasonable evidence that the </w:t>
      </w:r>
      <w:r>
        <w:t xml:space="preserve">2015 lighting determination </w:t>
      </w:r>
      <w:r w:rsidR="00251711" w:rsidRPr="00251711">
        <w:t xml:space="preserve">no longer complies with the offsets integrity standard of additionality, that is that projects under </w:t>
      </w:r>
      <w:r w:rsidR="00C078E1">
        <w:t xml:space="preserve">that determination </w:t>
      </w:r>
      <w:r w:rsidR="00251711" w:rsidRPr="00251711">
        <w:t>should result in carbon abatement that is unlikely to occur in the ordinary course of events.</w:t>
      </w:r>
    </w:p>
    <w:p w14:paraId="0D3F1B52" w14:textId="3564B387" w:rsidR="00251711" w:rsidRDefault="00251711" w:rsidP="00251711">
      <w:pPr>
        <w:pStyle w:val="BodyText"/>
        <w:spacing w:before="120" w:line="360" w:lineRule="auto"/>
        <w:ind w:right="164"/>
      </w:pPr>
      <w:r>
        <w:t xml:space="preserve">Since the </w:t>
      </w:r>
      <w:r w:rsidR="00C078E1">
        <w:t xml:space="preserve">2015 lighting determination </w:t>
      </w:r>
      <w:r>
        <w:t xml:space="preserve">commenced in 2015, several market and regulatory changes have occurred that affect the ongoing additionality of the lighting upgrade activities under the </w:t>
      </w:r>
      <w:r w:rsidR="00C078E1">
        <w:t>d</w:t>
      </w:r>
      <w:r>
        <w:t>etermination.</w:t>
      </w:r>
    </w:p>
    <w:p w14:paraId="4907D661" w14:textId="2E93B399" w:rsidR="00251711" w:rsidRDefault="00251711" w:rsidP="00251711">
      <w:pPr>
        <w:pStyle w:val="BodyText"/>
        <w:spacing w:before="120" w:line="360" w:lineRule="auto"/>
        <w:ind w:right="164"/>
      </w:pPr>
      <w:r>
        <w:t xml:space="preserve">When the </w:t>
      </w:r>
      <w:r w:rsidR="00C078E1">
        <w:t xml:space="preserve">2015 lighting determination </w:t>
      </w:r>
      <w:r>
        <w:t>was introduced in 2015, a large upfront investment was required to upgrade from conventional lighting systems to light-emitting diode (</w:t>
      </w:r>
      <w:r w:rsidRPr="00E2287B">
        <w:rPr>
          <w:b/>
          <w:bCs/>
        </w:rPr>
        <w:t>LED</w:t>
      </w:r>
      <w:r>
        <w:t xml:space="preserve">) lighting systems. This meant that the installing LED lighting was not considered to be a business-as-usual practice and there was substantial opportunity to generate additional carbon abatement by incentivising upgrades. </w:t>
      </w:r>
    </w:p>
    <w:p w14:paraId="4CB82CEA" w14:textId="77777777" w:rsidR="00251711" w:rsidRDefault="00251711" w:rsidP="00251711">
      <w:pPr>
        <w:pStyle w:val="BodyText"/>
        <w:spacing w:before="120" w:line="360" w:lineRule="auto"/>
        <w:ind w:right="164"/>
      </w:pPr>
      <w:r>
        <w:t xml:space="preserve">Since then, LED products have improved significantly decreasing in cost and increasing in availability.  The return on investment for LED lighting products is also shorter due to significant electricity savings, and reduced maintenance and replacement costs compared to conventional lighting systems. </w:t>
      </w:r>
    </w:p>
    <w:p w14:paraId="509FF981" w14:textId="77777777" w:rsidR="00251711" w:rsidRDefault="00251711" w:rsidP="00251711">
      <w:pPr>
        <w:pStyle w:val="BodyText"/>
        <w:spacing w:before="120" w:line="360" w:lineRule="auto"/>
        <w:ind w:right="164"/>
      </w:pPr>
      <w:r>
        <w:t>At the same time, industry standards are rapidly evolving. The Australian Building Codes Board amended the National Construction Code (</w:t>
      </w:r>
      <w:r w:rsidRPr="00E2287B">
        <w:rPr>
          <w:b/>
          <w:bCs/>
        </w:rPr>
        <w:t>NCC</w:t>
      </w:r>
      <w:r>
        <w:t xml:space="preserve">) in 2019 to increase the energy efficiency requirements for lighting in new buildings and major retrofits, with only LED products able to meet many of the requirements. There has also been a move to introduce Australian minimum energy performance standards for LED lighting under the </w:t>
      </w:r>
      <w:r w:rsidRPr="00251711">
        <w:t xml:space="preserve">Greenhouse </w:t>
      </w:r>
      <w:r w:rsidRPr="00251711">
        <w:lastRenderedPageBreak/>
        <w:t>and Energy Minimum Standards Act 2012</w:t>
      </w:r>
      <w:r>
        <w:t>, which involves phasing out conventional halogen incandescent lamps. These changes are aligned with European Union standards and are expected to come into force in 2022-2023.</w:t>
      </w:r>
    </w:p>
    <w:p w14:paraId="2433A44E" w14:textId="77777777" w:rsidR="00251711" w:rsidRDefault="00251711" w:rsidP="00251711">
      <w:pPr>
        <w:pStyle w:val="BodyText"/>
        <w:spacing w:before="120" w:line="360" w:lineRule="auto"/>
        <w:ind w:right="164"/>
      </w:pPr>
      <w:r>
        <w:t>These changes in the market mean that it is increasingly likely that lighting upgrades to highly energy efficient products will occur in the ordinary course of events.</w:t>
      </w:r>
    </w:p>
    <w:p w14:paraId="6C330107" w14:textId="77777777" w:rsidR="00251711" w:rsidRDefault="00251711" w:rsidP="00251711">
      <w:pPr>
        <w:pStyle w:val="BodyText"/>
        <w:spacing w:before="120" w:line="360" w:lineRule="auto"/>
        <w:ind w:right="164"/>
      </w:pPr>
      <w:r>
        <w:t xml:space="preserve">The Minamata Convention on Mercury (the </w:t>
      </w:r>
      <w:r w:rsidRPr="00C078E1">
        <w:rPr>
          <w:b/>
          <w:bCs/>
        </w:rPr>
        <w:t>Minamata Convention</w:t>
      </w:r>
      <w:r>
        <w:t>) is an international convention that aims to address health and environmental risks from mercury by restricting the manufacture, import and export of products containing the heavy metal that are used in a range of industries including lighting.</w:t>
      </w:r>
    </w:p>
    <w:p w14:paraId="7BBB4853" w14:textId="77777777" w:rsidR="00251711" w:rsidRDefault="00251711" w:rsidP="00251711">
      <w:pPr>
        <w:pStyle w:val="BodyText"/>
        <w:spacing w:before="120" w:line="360" w:lineRule="auto"/>
        <w:ind w:right="164"/>
      </w:pPr>
      <w:r>
        <w:t>In 2021, the Commonwealth Department of Agriculture, Water and Environment published a final Regulatory Impact Statement (</w:t>
      </w:r>
      <w:r w:rsidRPr="00D13FF7">
        <w:rPr>
          <w:b/>
          <w:bCs/>
        </w:rPr>
        <w:t>RIS</w:t>
      </w:r>
      <w:r>
        <w:t>) outlining the potential impacts ratifying the Minamata Convention would have on the lighting sector, primarily local governments that typically use mercury vapour lamps in public lighting. The RIS identified that industry had been making significant investment in lighting upgrades in recent years, particularly upgrades involving LED lighting. The RIS concluded that ratification would bring forward the final stages of this investment.</w:t>
      </w:r>
    </w:p>
    <w:p w14:paraId="210C94CC" w14:textId="582754F7" w:rsidR="00A03E61" w:rsidRPr="000B03C4" w:rsidRDefault="00DC0CAD" w:rsidP="00DC0CAD">
      <w:pPr>
        <w:pStyle w:val="BodyText"/>
        <w:spacing w:before="120" w:line="360" w:lineRule="auto"/>
        <w:ind w:right="164"/>
      </w:pPr>
      <w:r>
        <w:t>The Minamata Convention’s ratification on 7 December 2021 means the Australian Government is expected to progress regulatory change that will effectively mandate the transition from mercury vapour lamps to LED lighting in public and commercial lighting.</w:t>
      </w:r>
    </w:p>
    <w:p w14:paraId="767BC8F5" w14:textId="66CBDD68" w:rsidR="00662B9A" w:rsidRPr="00662B9A" w:rsidRDefault="00662B9A" w:rsidP="00944744">
      <w:pPr>
        <w:pStyle w:val="BodyText"/>
        <w:spacing w:before="115" w:line="360" w:lineRule="auto"/>
        <w:ind w:right="152"/>
        <w:rPr>
          <w:b/>
          <w:bCs/>
        </w:rPr>
      </w:pPr>
      <w:r w:rsidRPr="00662B9A">
        <w:rPr>
          <w:b/>
          <w:bCs/>
        </w:rPr>
        <w:t>Impact on Existing Projects</w:t>
      </w:r>
    </w:p>
    <w:p w14:paraId="210C94CD" w14:textId="081D444E" w:rsidR="00A03E61" w:rsidRDefault="00055956" w:rsidP="006F11F0">
      <w:pPr>
        <w:pStyle w:val="BodyText"/>
        <w:spacing w:before="115" w:line="360" w:lineRule="auto"/>
        <w:ind w:right="206"/>
      </w:pPr>
      <w:r>
        <w:t>Existing projects are not affected by the Revocation Instrument.</w:t>
      </w:r>
      <w:r>
        <w:rPr>
          <w:spacing w:val="1"/>
        </w:rPr>
        <w:t xml:space="preserve"> </w:t>
      </w:r>
      <w:r>
        <w:t xml:space="preserve">Even after </w:t>
      </w:r>
      <w:r w:rsidR="00273561">
        <w:t xml:space="preserve">the </w:t>
      </w:r>
      <w:r w:rsidR="00245162">
        <w:t xml:space="preserve">2015 lighting </w:t>
      </w:r>
      <w:r>
        <w:t>determination</w:t>
      </w:r>
      <w:r>
        <w:rPr>
          <w:spacing w:val="1"/>
        </w:rPr>
        <w:t xml:space="preserve"> </w:t>
      </w:r>
      <w:r>
        <w:t>has been revoked</w:t>
      </w:r>
      <w:r w:rsidR="00F95280">
        <w:t xml:space="preserve"> in accordance with the Revocation Instrument</w:t>
      </w:r>
      <w:r>
        <w:t>, an eligible offsets project already registered and whose</w:t>
      </w:r>
      <w:r>
        <w:rPr>
          <w:spacing w:val="-57"/>
        </w:rPr>
        <w:t xml:space="preserve"> </w:t>
      </w:r>
      <w:r w:rsidR="00273561">
        <w:rPr>
          <w:spacing w:val="-57"/>
        </w:rPr>
        <w:t xml:space="preserve">     </w:t>
      </w:r>
      <w:r w:rsidR="00273561">
        <w:t xml:space="preserve"> </w:t>
      </w:r>
      <w:r w:rsidDel="00273561">
        <w:t>c</w:t>
      </w:r>
      <w:r>
        <w:t xml:space="preserve">rediting period has begun </w:t>
      </w:r>
      <w:r w:rsidR="00C637F4">
        <w:t>before the revocation</w:t>
      </w:r>
      <w:r w:rsidR="00B04863">
        <w:t xml:space="preserve"> comes into effect</w:t>
      </w:r>
      <w:r w:rsidR="008D4B07">
        <w:t xml:space="preserve">, </w:t>
      </w:r>
      <w:r>
        <w:t xml:space="preserve">can continue to use </w:t>
      </w:r>
      <w:r w:rsidR="00DF500B">
        <w:t xml:space="preserve">that </w:t>
      </w:r>
      <w:r>
        <w:t>determination in the form it</w:t>
      </w:r>
      <w:r>
        <w:rPr>
          <w:spacing w:val="1"/>
        </w:rPr>
        <w:t xml:space="preserve"> </w:t>
      </w:r>
      <w:r>
        <w:t>was</w:t>
      </w:r>
      <w:r>
        <w:rPr>
          <w:spacing w:val="-2"/>
        </w:rPr>
        <w:t xml:space="preserve"> </w:t>
      </w:r>
      <w:r w:rsidR="00D740AC">
        <w:rPr>
          <w:spacing w:val="-2"/>
        </w:rPr>
        <w:t xml:space="preserve">in </w:t>
      </w:r>
      <w:r>
        <w:t>at the</w:t>
      </w:r>
      <w:r>
        <w:rPr>
          <w:spacing w:val="-1"/>
        </w:rPr>
        <w:t xml:space="preserve"> </w:t>
      </w:r>
      <w:r>
        <w:t>time the</w:t>
      </w:r>
      <w:r>
        <w:rPr>
          <w:spacing w:val="-1"/>
        </w:rPr>
        <w:t xml:space="preserve"> </w:t>
      </w:r>
      <w:r w:rsidR="00C33C10">
        <w:t>crediting period commenced</w:t>
      </w:r>
      <w:r w:rsidR="009230AE">
        <w:rPr>
          <w:spacing w:val="1"/>
        </w:rPr>
        <w:t xml:space="preserve">, pursuant to </w:t>
      </w:r>
      <w:r>
        <w:t>section 127 of</w:t>
      </w:r>
      <w:r>
        <w:rPr>
          <w:spacing w:val="-1"/>
        </w:rPr>
        <w:t xml:space="preserve"> </w:t>
      </w:r>
      <w:r>
        <w:t>the</w:t>
      </w:r>
      <w:r>
        <w:rPr>
          <w:spacing w:val="-1"/>
        </w:rPr>
        <w:t xml:space="preserve"> </w:t>
      </w:r>
      <w:r>
        <w:t>Act.</w:t>
      </w:r>
      <w:r w:rsidR="00273561">
        <w:t xml:space="preserve"> </w:t>
      </w:r>
    </w:p>
    <w:p w14:paraId="61AAA6CC" w14:textId="6481EAE0" w:rsidR="00273561" w:rsidRDefault="00055956" w:rsidP="006F11F0">
      <w:pPr>
        <w:pStyle w:val="BodyText"/>
        <w:spacing w:before="115" w:line="360" w:lineRule="auto"/>
        <w:ind w:right="206"/>
      </w:pPr>
      <w:r w:rsidRPr="005A7E3D">
        <w:t xml:space="preserve">New offsets projects will not be able to register under the </w:t>
      </w:r>
      <w:r w:rsidR="009230AE">
        <w:t xml:space="preserve">2015 lighting </w:t>
      </w:r>
      <w:r w:rsidRPr="005A7E3D">
        <w:t xml:space="preserve">determination. </w:t>
      </w:r>
      <w:r w:rsidR="00DF500B">
        <w:t xml:space="preserve">Further, projects that registered under the </w:t>
      </w:r>
      <w:r w:rsidR="006F0E7A">
        <w:t xml:space="preserve">2015 lighting </w:t>
      </w:r>
      <w:r w:rsidR="00DF500B">
        <w:t xml:space="preserve">determination whose crediting periods have not commenced before the commencement of the Revocation Instrument, cannot continue under that determination. </w:t>
      </w:r>
    </w:p>
    <w:p w14:paraId="362E8F93" w14:textId="60D9E785" w:rsidR="00662B9A" w:rsidRPr="00661218" w:rsidRDefault="00662B9A" w:rsidP="00944744">
      <w:pPr>
        <w:pStyle w:val="BodyText"/>
        <w:spacing w:before="115" w:line="360" w:lineRule="auto"/>
        <w:ind w:right="152"/>
        <w:rPr>
          <w:b/>
          <w:bCs/>
        </w:rPr>
      </w:pPr>
      <w:r w:rsidRPr="00661218">
        <w:rPr>
          <w:b/>
          <w:bCs/>
        </w:rPr>
        <w:t>Public Consultation</w:t>
      </w:r>
    </w:p>
    <w:p w14:paraId="7E33B0BB" w14:textId="5ECE828C" w:rsidR="00661218" w:rsidRDefault="00661218" w:rsidP="00661218">
      <w:pPr>
        <w:pStyle w:val="BodyText"/>
        <w:spacing w:before="115" w:line="360" w:lineRule="auto"/>
        <w:ind w:right="206"/>
      </w:pPr>
      <w:r w:rsidRPr="009A1B3B">
        <w:t xml:space="preserve">A discussion paper proposing that the </w:t>
      </w:r>
      <w:r>
        <w:t>2015 lighting determination</w:t>
      </w:r>
      <w:r w:rsidRPr="009A1B3B">
        <w:t xml:space="preserve"> be revoked was published on the Department of Industry, Science, Energy and Resources’ website for public consultation from 13 January to 11 February 2022. Two submissions were received, </w:t>
      </w:r>
      <w:r w:rsidRPr="00661218">
        <w:t xml:space="preserve">neither of which provided sufficient evidence to demonstrate that the </w:t>
      </w:r>
      <w:r w:rsidR="002B4F7F">
        <w:t>2015 lighting determination</w:t>
      </w:r>
      <w:r w:rsidR="002B4F7F" w:rsidRPr="009A1B3B">
        <w:t xml:space="preserve"> </w:t>
      </w:r>
      <w:r w:rsidRPr="00661218">
        <w:lastRenderedPageBreak/>
        <w:t>continues to result in additional carbon abatement.</w:t>
      </w:r>
    </w:p>
    <w:p w14:paraId="20AA6829" w14:textId="3D8B8AB0" w:rsidR="002B4F7F" w:rsidRDefault="002B4F7F" w:rsidP="002B4F7F">
      <w:pPr>
        <w:pStyle w:val="BodyText"/>
        <w:spacing w:before="115" w:line="360" w:lineRule="auto"/>
        <w:ind w:right="206"/>
      </w:pPr>
      <w:r w:rsidRPr="009A1B3B">
        <w:t xml:space="preserve">The </w:t>
      </w:r>
      <w:r>
        <w:t xml:space="preserve">ERAC </w:t>
      </w:r>
      <w:r w:rsidRPr="009A1B3B">
        <w:t xml:space="preserve">completed a crediting period extension review of the </w:t>
      </w:r>
      <w:r>
        <w:t>2015 lighting determination</w:t>
      </w:r>
      <w:r w:rsidRPr="009A1B3B">
        <w:t xml:space="preserve"> in 2021. In the course of this review, the </w:t>
      </w:r>
      <w:r>
        <w:t xml:space="preserve">ERAC </w:t>
      </w:r>
      <w:r w:rsidRPr="009A1B3B">
        <w:t xml:space="preserve">undertook targeted stakeholder engagement that sought information and data to demonstrate that the </w:t>
      </w:r>
      <w:r>
        <w:t>2015 lighting determination</w:t>
      </w:r>
      <w:r w:rsidRPr="009A1B3B">
        <w:t xml:space="preserve"> would continue to result in abatement that would be unlikely to occur in the ordinary course of events if the crediting period were extended.</w:t>
      </w:r>
    </w:p>
    <w:p w14:paraId="1543D625" w14:textId="61572CA4" w:rsidR="00D72585" w:rsidRPr="009A1B3B" w:rsidRDefault="00D72585" w:rsidP="00D72585">
      <w:pPr>
        <w:pStyle w:val="BodyText"/>
        <w:spacing w:before="115" w:line="360" w:lineRule="auto"/>
        <w:ind w:right="206"/>
      </w:pPr>
      <w:r w:rsidRPr="009A1B3B">
        <w:t xml:space="preserve">The </w:t>
      </w:r>
      <w:r>
        <w:t xml:space="preserve">Minister </w:t>
      </w:r>
      <w:r w:rsidRPr="009A1B3B">
        <w:t xml:space="preserve">is satisfied that appropriate consultation, that is reasonably practicable to undertake, was undertaken and that any parties that may be affected </w:t>
      </w:r>
      <w:r>
        <w:t xml:space="preserve">by the Revocation Instrument </w:t>
      </w:r>
      <w:r w:rsidRPr="009A1B3B">
        <w:t>were provided an opportunity to comment.</w:t>
      </w:r>
    </w:p>
    <w:p w14:paraId="71E16BF9" w14:textId="2D7D1B19" w:rsidR="00FA5CDD" w:rsidRPr="002B4F7F" w:rsidRDefault="00FA5CDD" w:rsidP="00944744">
      <w:pPr>
        <w:pStyle w:val="BodyText"/>
        <w:spacing w:before="115" w:line="360" w:lineRule="auto"/>
        <w:ind w:right="152"/>
        <w:rPr>
          <w:b/>
          <w:bCs/>
        </w:rPr>
      </w:pPr>
      <w:r w:rsidRPr="002B4F7F">
        <w:rPr>
          <w:b/>
          <w:bCs/>
        </w:rPr>
        <w:t>Determination Details</w:t>
      </w:r>
    </w:p>
    <w:p w14:paraId="210C94D7" w14:textId="77777777" w:rsidR="00A03E61" w:rsidRDefault="00055956" w:rsidP="00944744">
      <w:pPr>
        <w:pStyle w:val="BodyText"/>
        <w:spacing w:before="115" w:line="360" w:lineRule="auto"/>
        <w:ind w:right="206"/>
      </w:pPr>
      <w:r>
        <w:t xml:space="preserve">The Revocation Instrument is a legislative instrument within the meaning of the </w:t>
      </w:r>
      <w:r w:rsidRPr="00944744">
        <w:rPr>
          <w:i/>
          <w:iCs/>
        </w:rPr>
        <w:t>Legislation Act 2003</w:t>
      </w:r>
      <w:r>
        <w:t>.</w:t>
      </w:r>
    </w:p>
    <w:p w14:paraId="210C94D8" w14:textId="5430AF3A" w:rsidR="00A03E61" w:rsidRDefault="00055956" w:rsidP="00944744">
      <w:pPr>
        <w:pStyle w:val="BodyText"/>
        <w:spacing w:before="115" w:line="360" w:lineRule="auto"/>
        <w:ind w:right="206"/>
      </w:pPr>
      <w:r>
        <w:t>The</w:t>
      </w:r>
      <w:r w:rsidRPr="00944744">
        <w:t xml:space="preserve"> </w:t>
      </w:r>
      <w:r>
        <w:t>Revocation</w:t>
      </w:r>
      <w:r w:rsidRPr="00944744">
        <w:t xml:space="preserve"> </w:t>
      </w:r>
      <w:r>
        <w:t>Instrument commences</w:t>
      </w:r>
      <w:r w:rsidRPr="00944744">
        <w:t xml:space="preserve"> </w:t>
      </w:r>
      <w:r>
        <w:t>on</w:t>
      </w:r>
      <w:r w:rsidRPr="00944744">
        <w:t xml:space="preserve"> </w:t>
      </w:r>
      <w:r w:rsidR="00F95280" w:rsidRPr="00944744">
        <w:t>the day after it is registered.</w:t>
      </w:r>
    </w:p>
    <w:p w14:paraId="210C94D9" w14:textId="77777777" w:rsidR="00A03E61" w:rsidRDefault="00055956" w:rsidP="00944744">
      <w:pPr>
        <w:pStyle w:val="BodyText"/>
        <w:spacing w:before="115" w:line="360" w:lineRule="auto"/>
        <w:ind w:right="206"/>
      </w:pPr>
      <w:r>
        <w:t xml:space="preserve">The Revocation Instrument will sunset according to the ordinary rules in the </w:t>
      </w:r>
      <w:r w:rsidRPr="00944744">
        <w:rPr>
          <w:i/>
          <w:iCs/>
        </w:rPr>
        <w:t>Legislation Act 2003</w:t>
      </w:r>
      <w:r>
        <w:t>.</w:t>
      </w:r>
    </w:p>
    <w:p w14:paraId="210C94DA" w14:textId="77777777" w:rsidR="00A03E61" w:rsidRDefault="00055956" w:rsidP="00944744">
      <w:pPr>
        <w:pStyle w:val="BodyText"/>
        <w:spacing w:before="115" w:line="360" w:lineRule="auto"/>
        <w:ind w:right="206"/>
      </w:pPr>
      <w:r>
        <w:t xml:space="preserve">Details of the Revocation Instrument are at </w:t>
      </w:r>
      <w:r w:rsidRPr="00944744">
        <w:rPr>
          <w:u w:val="single"/>
        </w:rPr>
        <w:t>Attachment A</w:t>
      </w:r>
      <w:r>
        <w:t>. Numbered sections in this</w:t>
      </w:r>
      <w:r w:rsidRPr="00944744">
        <w:t xml:space="preserve"> </w:t>
      </w:r>
      <w:r>
        <w:t>Explanatory</w:t>
      </w:r>
      <w:r w:rsidRPr="00944744">
        <w:t xml:space="preserve"> </w:t>
      </w:r>
      <w:r>
        <w:t>Statement align</w:t>
      </w:r>
      <w:r w:rsidRPr="00944744">
        <w:t xml:space="preserve"> </w:t>
      </w:r>
      <w:r>
        <w:t>with</w:t>
      </w:r>
      <w:r w:rsidRPr="00944744">
        <w:t xml:space="preserve"> </w:t>
      </w:r>
      <w:r>
        <w:t>the</w:t>
      </w:r>
      <w:r w:rsidRPr="00944744">
        <w:t xml:space="preserve"> </w:t>
      </w:r>
      <w:r>
        <w:t>relevant</w:t>
      </w:r>
      <w:r w:rsidRPr="00944744">
        <w:t xml:space="preserve"> </w:t>
      </w:r>
      <w:r>
        <w:t>sections</w:t>
      </w:r>
      <w:r w:rsidRPr="00944744">
        <w:t xml:space="preserve"> </w:t>
      </w:r>
      <w:r>
        <w:t>of</w:t>
      </w:r>
      <w:r w:rsidRPr="00944744">
        <w:t xml:space="preserve"> </w:t>
      </w:r>
      <w:r>
        <w:t>the</w:t>
      </w:r>
      <w:r w:rsidRPr="00944744">
        <w:t xml:space="preserve"> </w:t>
      </w:r>
      <w:r>
        <w:t>Revocation Instrument.</w:t>
      </w:r>
    </w:p>
    <w:p w14:paraId="210C94DB" w14:textId="77777777" w:rsidR="00A03E61" w:rsidRDefault="00055956" w:rsidP="00944744">
      <w:pPr>
        <w:pStyle w:val="BodyText"/>
        <w:spacing w:before="115" w:line="360" w:lineRule="auto"/>
        <w:ind w:right="206"/>
      </w:pPr>
      <w:r>
        <w:t xml:space="preserve">A Statement of Compatibility prepared in accordance with the </w:t>
      </w:r>
      <w:r w:rsidRPr="00944744">
        <w:rPr>
          <w:i/>
          <w:iCs/>
        </w:rPr>
        <w:t>Human Rights (Parliamentary Scrutiny) Act 2011</w:t>
      </w:r>
      <w:r w:rsidRPr="00944744">
        <w:t xml:space="preserve"> </w:t>
      </w:r>
      <w:r>
        <w:t>is at</w:t>
      </w:r>
      <w:r w:rsidRPr="00944744">
        <w:t xml:space="preserve"> </w:t>
      </w:r>
      <w:r w:rsidRPr="00944744">
        <w:rPr>
          <w:u w:val="single"/>
        </w:rPr>
        <w:t>Attachment B</w:t>
      </w:r>
      <w:r>
        <w:t>.</w:t>
      </w:r>
    </w:p>
    <w:p w14:paraId="210C94DC" w14:textId="77777777" w:rsidR="00A03E61" w:rsidRDefault="00A03E61" w:rsidP="00944744">
      <w:pPr>
        <w:pStyle w:val="BodyText"/>
        <w:spacing w:before="115" w:line="360" w:lineRule="auto"/>
        <w:ind w:right="206"/>
        <w:sectPr w:rsidR="00A03E61" w:rsidSect="00D65E2D">
          <w:headerReference w:type="even" r:id="rId12"/>
          <w:headerReference w:type="default" r:id="rId13"/>
          <w:footerReference w:type="even" r:id="rId14"/>
          <w:footerReference w:type="default" r:id="rId15"/>
          <w:headerReference w:type="first" r:id="rId16"/>
          <w:footerReference w:type="first" r:id="rId17"/>
          <w:pgSz w:w="11910" w:h="16840"/>
          <w:pgMar w:top="851" w:right="1320" w:bottom="851" w:left="1340" w:header="0" w:footer="522" w:gutter="0"/>
          <w:cols w:space="720"/>
        </w:sectPr>
      </w:pPr>
    </w:p>
    <w:p w14:paraId="210C94DD" w14:textId="77777777" w:rsidR="00A03E61" w:rsidRDefault="00A03E61" w:rsidP="006F11F0">
      <w:pPr>
        <w:pStyle w:val="BodyText"/>
        <w:spacing w:line="360" w:lineRule="auto"/>
        <w:rPr>
          <w:sz w:val="26"/>
        </w:rPr>
      </w:pPr>
    </w:p>
    <w:p w14:paraId="210C94DE" w14:textId="77777777" w:rsidR="00A03E61" w:rsidRDefault="00A03E61" w:rsidP="006F11F0">
      <w:pPr>
        <w:pStyle w:val="BodyText"/>
        <w:spacing w:line="360" w:lineRule="auto"/>
        <w:rPr>
          <w:sz w:val="26"/>
        </w:rPr>
      </w:pPr>
    </w:p>
    <w:p w14:paraId="210C94DF" w14:textId="77777777" w:rsidR="00A03E61" w:rsidRDefault="00A03E61" w:rsidP="006F11F0">
      <w:pPr>
        <w:pStyle w:val="BodyText"/>
        <w:spacing w:before="9" w:line="360" w:lineRule="auto"/>
        <w:rPr>
          <w:sz w:val="30"/>
        </w:rPr>
      </w:pPr>
    </w:p>
    <w:p w14:paraId="01AE9312" w14:textId="77777777" w:rsidR="00466CED" w:rsidRDefault="00466CED">
      <w:pPr>
        <w:spacing w:line="276" w:lineRule="auto"/>
        <w:rPr>
          <w:sz w:val="24"/>
        </w:rPr>
      </w:pPr>
      <w:bookmarkStart w:id="1" w:name="1_Name"/>
      <w:bookmarkEnd w:id="1"/>
    </w:p>
    <w:p w14:paraId="766833D6" w14:textId="175D39CB" w:rsidR="00456992" w:rsidRDefault="00456992">
      <w:pPr>
        <w:spacing w:line="276" w:lineRule="auto"/>
        <w:rPr>
          <w:sz w:val="24"/>
        </w:rPr>
      </w:pPr>
    </w:p>
    <w:p w14:paraId="6E7EDEA2" w14:textId="142FEE68" w:rsidR="00565A6A" w:rsidRDefault="00565A6A">
      <w:pPr>
        <w:spacing w:line="276" w:lineRule="auto"/>
        <w:rPr>
          <w:sz w:val="24"/>
        </w:rPr>
      </w:pPr>
    </w:p>
    <w:p w14:paraId="0DD9C182" w14:textId="75E154C4" w:rsidR="00565A6A" w:rsidRDefault="00565A6A">
      <w:pPr>
        <w:spacing w:line="276" w:lineRule="auto"/>
        <w:rPr>
          <w:sz w:val="24"/>
        </w:rPr>
      </w:pPr>
    </w:p>
    <w:p w14:paraId="607DDA6A" w14:textId="5730EE0C" w:rsidR="00565A6A" w:rsidRDefault="00565A6A">
      <w:pPr>
        <w:spacing w:line="276" w:lineRule="auto"/>
        <w:rPr>
          <w:sz w:val="24"/>
        </w:rPr>
      </w:pPr>
    </w:p>
    <w:p w14:paraId="0B291E86" w14:textId="4384BE31" w:rsidR="00565A6A" w:rsidRDefault="00565A6A">
      <w:pPr>
        <w:spacing w:line="276" w:lineRule="auto"/>
        <w:rPr>
          <w:sz w:val="24"/>
        </w:rPr>
      </w:pPr>
    </w:p>
    <w:p w14:paraId="56812A87" w14:textId="344956E2" w:rsidR="00565A6A" w:rsidRDefault="00565A6A">
      <w:pPr>
        <w:spacing w:line="276" w:lineRule="auto"/>
        <w:rPr>
          <w:sz w:val="24"/>
        </w:rPr>
      </w:pPr>
    </w:p>
    <w:p w14:paraId="7C96EDC5" w14:textId="77777777" w:rsidR="00565A6A" w:rsidRDefault="00565A6A">
      <w:pPr>
        <w:spacing w:line="276" w:lineRule="auto"/>
        <w:rPr>
          <w:sz w:val="24"/>
        </w:rPr>
      </w:pPr>
    </w:p>
    <w:p w14:paraId="1B535944" w14:textId="77777777" w:rsidR="00466CED" w:rsidRDefault="00466CED">
      <w:pPr>
        <w:spacing w:line="276" w:lineRule="auto"/>
        <w:rPr>
          <w:sz w:val="24"/>
        </w:rPr>
      </w:pPr>
    </w:p>
    <w:p w14:paraId="3FA12602" w14:textId="77777777" w:rsidR="00466CED" w:rsidRDefault="00466CED">
      <w:pPr>
        <w:spacing w:line="276" w:lineRule="auto"/>
        <w:rPr>
          <w:sz w:val="24"/>
        </w:rPr>
      </w:pPr>
    </w:p>
    <w:p w14:paraId="2ACED41A" w14:textId="77777777" w:rsidR="00466CED" w:rsidRDefault="00466CED">
      <w:pPr>
        <w:spacing w:line="276" w:lineRule="auto"/>
        <w:rPr>
          <w:sz w:val="24"/>
        </w:rPr>
      </w:pPr>
    </w:p>
    <w:p w14:paraId="222CE0B1" w14:textId="77777777" w:rsidR="00DC74FA" w:rsidRDefault="00DC74FA" w:rsidP="00466CED">
      <w:pPr>
        <w:spacing w:line="276" w:lineRule="auto"/>
        <w:jc w:val="right"/>
        <w:rPr>
          <w:sz w:val="24"/>
          <w:u w:val="single"/>
        </w:rPr>
      </w:pPr>
    </w:p>
    <w:p w14:paraId="2E556E91" w14:textId="77777777" w:rsidR="00350C92" w:rsidRPr="00350C92" w:rsidRDefault="00350C92">
      <w:pPr>
        <w:rPr>
          <w:sz w:val="24"/>
        </w:rPr>
      </w:pPr>
      <w:r w:rsidRPr="00350C92">
        <w:rPr>
          <w:sz w:val="24"/>
        </w:rPr>
        <w:br w:type="page"/>
      </w:r>
    </w:p>
    <w:p w14:paraId="1FD8ECED" w14:textId="487AE950" w:rsidR="00466CED" w:rsidRDefault="00466CED" w:rsidP="00466CED">
      <w:pPr>
        <w:spacing w:line="276" w:lineRule="auto"/>
        <w:jc w:val="right"/>
        <w:rPr>
          <w:sz w:val="24"/>
          <w:u w:val="single"/>
        </w:rPr>
      </w:pPr>
      <w:r w:rsidRPr="00466CED">
        <w:rPr>
          <w:sz w:val="24"/>
          <w:u w:val="single"/>
        </w:rPr>
        <w:lastRenderedPageBreak/>
        <w:t>Attachment A</w:t>
      </w:r>
    </w:p>
    <w:p w14:paraId="636F622A" w14:textId="77777777" w:rsidR="00466CED" w:rsidRDefault="00466CED" w:rsidP="00466CED">
      <w:pPr>
        <w:spacing w:line="276" w:lineRule="auto"/>
        <w:rPr>
          <w:sz w:val="24"/>
          <w:u w:val="single"/>
        </w:rPr>
      </w:pPr>
    </w:p>
    <w:p w14:paraId="30D2B156" w14:textId="77777777" w:rsidR="00466CED" w:rsidRDefault="00466CED" w:rsidP="00466CED">
      <w:pPr>
        <w:spacing w:line="276" w:lineRule="auto"/>
        <w:jc w:val="center"/>
        <w:rPr>
          <w:b/>
          <w:bCs/>
          <w:sz w:val="24"/>
        </w:rPr>
      </w:pPr>
      <w:r w:rsidRPr="00466CED">
        <w:rPr>
          <w:b/>
          <w:bCs/>
          <w:sz w:val="24"/>
        </w:rPr>
        <w:t>Details of Instrument</w:t>
      </w:r>
    </w:p>
    <w:p w14:paraId="5B6ADFB8" w14:textId="77777777" w:rsidR="00466CED" w:rsidRDefault="00466CED" w:rsidP="00466CED">
      <w:pPr>
        <w:spacing w:line="276" w:lineRule="auto"/>
        <w:rPr>
          <w:b/>
          <w:bCs/>
          <w:sz w:val="24"/>
        </w:rPr>
      </w:pPr>
    </w:p>
    <w:p w14:paraId="43741E2B" w14:textId="49A8493D" w:rsidR="00466CED" w:rsidRPr="007E5C14" w:rsidRDefault="007E5C14" w:rsidP="007E5C14">
      <w:pPr>
        <w:pStyle w:val="h5section"/>
        <w:shd w:val="clear" w:color="auto" w:fill="FFFFFF"/>
        <w:spacing w:before="280" w:beforeAutospacing="0" w:after="0" w:afterAutospacing="0"/>
        <w:rPr>
          <w:b/>
          <w:bCs/>
          <w:color w:val="000000"/>
        </w:rPr>
      </w:pPr>
      <w:r>
        <w:rPr>
          <w:b/>
          <w:bCs/>
          <w:color w:val="000000"/>
        </w:rPr>
        <w:t xml:space="preserve">1  </w:t>
      </w:r>
      <w:r w:rsidR="00466CED" w:rsidRPr="007E5C14">
        <w:rPr>
          <w:b/>
          <w:bCs/>
          <w:color w:val="000000"/>
        </w:rPr>
        <w:t xml:space="preserve">Name </w:t>
      </w:r>
    </w:p>
    <w:p w14:paraId="0C24CFBC" w14:textId="709ADEF9" w:rsidR="00466CED" w:rsidRDefault="00466CED" w:rsidP="007E5C14">
      <w:pPr>
        <w:spacing w:before="163" w:line="360" w:lineRule="auto"/>
        <w:ind w:left="426" w:right="124"/>
        <w:rPr>
          <w:sz w:val="24"/>
        </w:rPr>
      </w:pPr>
      <w:r w:rsidRPr="00466CED">
        <w:rPr>
          <w:sz w:val="24"/>
        </w:rPr>
        <w:t xml:space="preserve">Section 1 sets out the full name of this instrument, which is the </w:t>
      </w:r>
      <w:r w:rsidRPr="002F5B61">
        <w:rPr>
          <w:i/>
          <w:iCs/>
          <w:sz w:val="24"/>
        </w:rPr>
        <w:t>Carbon Credits (Carbon Farming Initiative—</w:t>
      </w:r>
      <w:r w:rsidR="00D72585">
        <w:rPr>
          <w:i/>
          <w:iCs/>
          <w:sz w:val="24"/>
        </w:rPr>
        <w:t>Commercial and Public Lighting</w:t>
      </w:r>
      <w:r w:rsidRPr="002F5B61">
        <w:rPr>
          <w:i/>
          <w:iCs/>
          <w:sz w:val="24"/>
        </w:rPr>
        <w:t>—Revocation) Instrument 202</w:t>
      </w:r>
      <w:r w:rsidR="00D72585">
        <w:rPr>
          <w:i/>
          <w:iCs/>
          <w:sz w:val="24"/>
        </w:rPr>
        <w:t>2</w:t>
      </w:r>
      <w:r w:rsidRPr="00466CED">
        <w:rPr>
          <w:sz w:val="24"/>
        </w:rPr>
        <w:t>.</w:t>
      </w:r>
    </w:p>
    <w:p w14:paraId="1CE9DED5" w14:textId="5408C57C" w:rsidR="00466CED" w:rsidRPr="007E5C14" w:rsidRDefault="007E5C14" w:rsidP="007E5C14">
      <w:pPr>
        <w:pStyle w:val="h5section"/>
        <w:shd w:val="clear" w:color="auto" w:fill="FFFFFF"/>
        <w:spacing w:before="280" w:beforeAutospacing="0" w:after="0" w:afterAutospacing="0"/>
        <w:rPr>
          <w:b/>
          <w:bCs/>
          <w:color w:val="000000"/>
        </w:rPr>
      </w:pPr>
      <w:r>
        <w:rPr>
          <w:b/>
          <w:bCs/>
          <w:color w:val="000000"/>
        </w:rPr>
        <w:t xml:space="preserve">2  </w:t>
      </w:r>
      <w:r w:rsidR="00466CED" w:rsidRPr="007E5C14">
        <w:rPr>
          <w:b/>
          <w:bCs/>
          <w:color w:val="000000"/>
        </w:rPr>
        <w:t>Commencement</w:t>
      </w:r>
    </w:p>
    <w:p w14:paraId="749110E3" w14:textId="3114C103" w:rsidR="00466CED" w:rsidRPr="00466CED" w:rsidRDefault="00466CED" w:rsidP="007E5C14">
      <w:pPr>
        <w:spacing w:before="167" w:line="360" w:lineRule="auto"/>
        <w:ind w:left="426" w:right="766"/>
        <w:rPr>
          <w:sz w:val="24"/>
        </w:rPr>
      </w:pPr>
      <w:r w:rsidRPr="00466CED">
        <w:rPr>
          <w:sz w:val="24"/>
        </w:rPr>
        <w:t xml:space="preserve">Section 2 provides that this instrument would commence on </w:t>
      </w:r>
      <w:r w:rsidR="00F95280">
        <w:rPr>
          <w:sz w:val="24"/>
        </w:rPr>
        <w:t>the day after it is registered</w:t>
      </w:r>
      <w:r w:rsidRPr="00466CED">
        <w:rPr>
          <w:sz w:val="24"/>
        </w:rPr>
        <w:t>.</w:t>
      </w:r>
    </w:p>
    <w:p w14:paraId="7C68E721" w14:textId="3053125C" w:rsidR="00466CED" w:rsidRPr="007E5C14" w:rsidRDefault="007E5C14" w:rsidP="007E5C14">
      <w:pPr>
        <w:pStyle w:val="h5section"/>
        <w:shd w:val="clear" w:color="auto" w:fill="FFFFFF"/>
        <w:spacing w:before="280" w:beforeAutospacing="0" w:after="0" w:afterAutospacing="0"/>
        <w:rPr>
          <w:b/>
          <w:bCs/>
          <w:color w:val="000000"/>
        </w:rPr>
      </w:pPr>
      <w:r>
        <w:rPr>
          <w:b/>
          <w:bCs/>
          <w:color w:val="000000"/>
        </w:rPr>
        <w:t xml:space="preserve">3  </w:t>
      </w:r>
      <w:r w:rsidR="00466CED" w:rsidRPr="007E5C14">
        <w:rPr>
          <w:b/>
          <w:bCs/>
          <w:color w:val="000000"/>
        </w:rPr>
        <w:t>Authority</w:t>
      </w:r>
    </w:p>
    <w:p w14:paraId="3CCA203F" w14:textId="77777777" w:rsidR="00466CED" w:rsidRDefault="00466CED" w:rsidP="007E5C14">
      <w:pPr>
        <w:spacing w:before="163" w:line="360" w:lineRule="auto"/>
        <w:ind w:left="426" w:right="124"/>
        <w:rPr>
          <w:sz w:val="24"/>
        </w:rPr>
      </w:pPr>
      <w:r w:rsidRPr="00466CED">
        <w:rPr>
          <w:sz w:val="24"/>
        </w:rPr>
        <w:t xml:space="preserve">Section 3 provides that the instrument is made under subsection 123(1) of the </w:t>
      </w:r>
      <w:r w:rsidRPr="002F5B61">
        <w:rPr>
          <w:i/>
          <w:iCs/>
          <w:sz w:val="24"/>
        </w:rPr>
        <w:t>Carbon Credits (Carbon Farming Initiative) Act 2011</w:t>
      </w:r>
      <w:r w:rsidRPr="00466CED">
        <w:rPr>
          <w:sz w:val="24"/>
        </w:rPr>
        <w:t>.</w:t>
      </w:r>
    </w:p>
    <w:p w14:paraId="703D3640" w14:textId="7C2CC72B" w:rsidR="00466CED" w:rsidRPr="007E5C14" w:rsidRDefault="007E5C14" w:rsidP="007E5C14">
      <w:pPr>
        <w:pStyle w:val="h5section"/>
        <w:shd w:val="clear" w:color="auto" w:fill="FFFFFF"/>
        <w:spacing w:before="280" w:beforeAutospacing="0" w:after="0" w:afterAutospacing="0"/>
        <w:rPr>
          <w:b/>
          <w:bCs/>
          <w:color w:val="000000"/>
        </w:rPr>
      </w:pPr>
      <w:r>
        <w:rPr>
          <w:b/>
          <w:bCs/>
          <w:color w:val="000000"/>
        </w:rPr>
        <w:t xml:space="preserve">4  </w:t>
      </w:r>
      <w:r w:rsidR="00466CED" w:rsidRPr="007E5C14">
        <w:rPr>
          <w:b/>
          <w:bCs/>
          <w:color w:val="000000"/>
        </w:rPr>
        <w:t>Interpretation</w:t>
      </w:r>
    </w:p>
    <w:p w14:paraId="1F83ED08" w14:textId="1D18C254" w:rsidR="00466CED" w:rsidRDefault="00466CED" w:rsidP="007E5C14">
      <w:pPr>
        <w:spacing w:before="163" w:line="360" w:lineRule="auto"/>
        <w:ind w:left="426" w:right="124"/>
        <w:rPr>
          <w:sz w:val="24"/>
        </w:rPr>
      </w:pPr>
      <w:r w:rsidRPr="00466CED">
        <w:rPr>
          <w:sz w:val="24"/>
        </w:rPr>
        <w:t xml:space="preserve">Section 4 defines the term ‘Act’ as the </w:t>
      </w:r>
      <w:r w:rsidRPr="002F5B61">
        <w:rPr>
          <w:i/>
          <w:iCs/>
          <w:sz w:val="24"/>
        </w:rPr>
        <w:t>Carbon Credits (Carbon Farming Initiative) Act 2011</w:t>
      </w:r>
      <w:r w:rsidRPr="00466CED">
        <w:rPr>
          <w:sz w:val="24"/>
        </w:rPr>
        <w:t>.</w:t>
      </w:r>
    </w:p>
    <w:p w14:paraId="3FEC4E26" w14:textId="5750CA3B" w:rsidR="00466CED" w:rsidRPr="007E5C14" w:rsidRDefault="007E5C14" w:rsidP="007E5C14">
      <w:pPr>
        <w:pStyle w:val="h5section"/>
        <w:shd w:val="clear" w:color="auto" w:fill="FFFFFF"/>
        <w:spacing w:before="280" w:beforeAutospacing="0" w:after="0" w:afterAutospacing="0"/>
        <w:rPr>
          <w:b/>
          <w:bCs/>
          <w:color w:val="000000"/>
        </w:rPr>
      </w:pPr>
      <w:r>
        <w:rPr>
          <w:b/>
          <w:bCs/>
          <w:color w:val="000000"/>
        </w:rPr>
        <w:t xml:space="preserve">5  </w:t>
      </w:r>
      <w:r w:rsidR="002F5B61" w:rsidRPr="007E5C14">
        <w:rPr>
          <w:b/>
          <w:bCs/>
          <w:color w:val="000000"/>
        </w:rPr>
        <w:t>Revocation of methodology determination</w:t>
      </w:r>
    </w:p>
    <w:p w14:paraId="776F9D8C" w14:textId="0BC684A6" w:rsidR="00466CED" w:rsidRDefault="00466CED" w:rsidP="007E5C14">
      <w:pPr>
        <w:spacing w:before="163" w:line="360" w:lineRule="auto"/>
        <w:ind w:left="426" w:right="124"/>
        <w:rPr>
          <w:sz w:val="24"/>
        </w:rPr>
      </w:pPr>
      <w:r w:rsidRPr="00466CED">
        <w:rPr>
          <w:sz w:val="24"/>
        </w:rPr>
        <w:t xml:space="preserve">Section 5 revokes the </w:t>
      </w:r>
      <w:r w:rsidRPr="002F5B61">
        <w:rPr>
          <w:i/>
          <w:iCs/>
          <w:sz w:val="24"/>
        </w:rPr>
        <w:t>Carbon Credits (Carbon Farming Initiative—</w:t>
      </w:r>
      <w:r w:rsidR="000A5796">
        <w:rPr>
          <w:i/>
          <w:iCs/>
          <w:sz w:val="24"/>
        </w:rPr>
        <w:t>Commercial and Public Lighting</w:t>
      </w:r>
      <w:r w:rsidRPr="002F5B61">
        <w:rPr>
          <w:i/>
          <w:iCs/>
          <w:sz w:val="24"/>
        </w:rPr>
        <w:t>) Methodology Determination 201</w:t>
      </w:r>
      <w:r w:rsidR="000A5796">
        <w:rPr>
          <w:i/>
          <w:iCs/>
          <w:sz w:val="24"/>
        </w:rPr>
        <w:t>5</w:t>
      </w:r>
      <w:r w:rsidRPr="00466CED">
        <w:rPr>
          <w:sz w:val="24"/>
        </w:rPr>
        <w:t xml:space="preserve"> made under subsection 106(1) of the Act.</w:t>
      </w:r>
    </w:p>
    <w:p w14:paraId="487046F5" w14:textId="23290348" w:rsidR="00466CED" w:rsidRPr="00466CED" w:rsidRDefault="00466CED" w:rsidP="00466CED">
      <w:pPr>
        <w:spacing w:before="167" w:line="360" w:lineRule="auto"/>
        <w:ind w:right="766"/>
        <w:rPr>
          <w:sz w:val="24"/>
        </w:rPr>
        <w:sectPr w:rsidR="00466CED" w:rsidRPr="00466CED">
          <w:type w:val="continuous"/>
          <w:pgSz w:w="11910" w:h="16840"/>
          <w:pgMar w:top="1460" w:right="1320" w:bottom="960" w:left="1340" w:header="0" w:footer="772" w:gutter="0"/>
          <w:cols w:space="720"/>
        </w:sectPr>
      </w:pPr>
    </w:p>
    <w:p w14:paraId="210C94F0" w14:textId="77777777" w:rsidR="00A03E61" w:rsidRDefault="00055956" w:rsidP="006F11F0">
      <w:pPr>
        <w:pStyle w:val="BodyText"/>
        <w:spacing w:before="74" w:line="360" w:lineRule="auto"/>
        <w:ind w:right="117"/>
        <w:jc w:val="right"/>
      </w:pPr>
      <w:bookmarkStart w:id="2" w:name="_Hlk86829449"/>
      <w:r>
        <w:rPr>
          <w:u w:val="single"/>
        </w:rPr>
        <w:lastRenderedPageBreak/>
        <w:t>Attachment</w:t>
      </w:r>
      <w:r>
        <w:rPr>
          <w:spacing w:val="-3"/>
          <w:u w:val="single"/>
        </w:rPr>
        <w:t xml:space="preserve"> </w:t>
      </w:r>
      <w:r>
        <w:rPr>
          <w:u w:val="single"/>
        </w:rPr>
        <w:t>B</w:t>
      </w:r>
    </w:p>
    <w:p w14:paraId="210C94F2" w14:textId="77777777" w:rsidR="00A03E61" w:rsidRDefault="00A03E61" w:rsidP="006F11F0">
      <w:pPr>
        <w:pStyle w:val="BodyText"/>
        <w:spacing w:before="5" w:line="360" w:lineRule="auto"/>
        <w:rPr>
          <w:sz w:val="17"/>
        </w:rPr>
      </w:pPr>
    </w:p>
    <w:p w14:paraId="3FABE5D8" w14:textId="1D51BF64" w:rsidR="007C7BA0" w:rsidRPr="007C7BA0" w:rsidRDefault="007C7BA0" w:rsidP="007C7BA0">
      <w:pPr>
        <w:spacing w:before="115" w:line="360" w:lineRule="auto"/>
        <w:ind w:left="145" w:right="169"/>
        <w:jc w:val="center"/>
        <w:rPr>
          <w:b/>
          <w:bCs/>
          <w:iCs/>
          <w:sz w:val="24"/>
        </w:rPr>
      </w:pPr>
      <w:r>
        <w:rPr>
          <w:b/>
          <w:bCs/>
          <w:iCs/>
          <w:sz w:val="24"/>
        </w:rPr>
        <w:t>Statement of Compatibility with Human Rights</w:t>
      </w:r>
    </w:p>
    <w:p w14:paraId="210C94F4" w14:textId="0C6FFF90" w:rsidR="00A03E61" w:rsidRDefault="00055956" w:rsidP="006F11F0">
      <w:pPr>
        <w:spacing w:before="115" w:line="360" w:lineRule="auto"/>
        <w:ind w:left="145" w:right="169"/>
        <w:rPr>
          <w:i/>
          <w:sz w:val="24"/>
        </w:rPr>
      </w:pPr>
      <w:r>
        <w:rPr>
          <w:i/>
          <w:sz w:val="24"/>
        </w:rPr>
        <w:t>Prepared</w:t>
      </w:r>
      <w:r>
        <w:rPr>
          <w:i/>
          <w:spacing w:val="-1"/>
          <w:sz w:val="24"/>
        </w:rPr>
        <w:t xml:space="preserve"> </w:t>
      </w:r>
      <w:r>
        <w:rPr>
          <w:i/>
          <w:sz w:val="24"/>
        </w:rPr>
        <w:t>in</w:t>
      </w:r>
      <w:r>
        <w:rPr>
          <w:i/>
          <w:spacing w:val="-1"/>
          <w:sz w:val="24"/>
        </w:rPr>
        <w:t xml:space="preserve"> </w:t>
      </w:r>
      <w:r>
        <w:rPr>
          <w:i/>
          <w:sz w:val="24"/>
        </w:rPr>
        <w:t>accordance with</w:t>
      </w:r>
      <w:r>
        <w:rPr>
          <w:i/>
          <w:spacing w:val="-1"/>
          <w:sz w:val="24"/>
        </w:rPr>
        <w:t xml:space="preserve"> </w:t>
      </w:r>
      <w:r>
        <w:rPr>
          <w:i/>
          <w:sz w:val="24"/>
        </w:rPr>
        <w:t>Part</w:t>
      </w:r>
      <w:r>
        <w:rPr>
          <w:i/>
          <w:spacing w:val="-1"/>
          <w:sz w:val="24"/>
        </w:rPr>
        <w:t xml:space="preserve"> </w:t>
      </w:r>
      <w:r>
        <w:rPr>
          <w:i/>
          <w:sz w:val="24"/>
        </w:rPr>
        <w:t>3</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Human</w:t>
      </w:r>
      <w:r>
        <w:rPr>
          <w:i/>
          <w:spacing w:val="-1"/>
          <w:sz w:val="24"/>
        </w:rPr>
        <w:t xml:space="preserve"> </w:t>
      </w:r>
      <w:r>
        <w:rPr>
          <w:i/>
          <w:sz w:val="24"/>
        </w:rPr>
        <w:t>Rights</w:t>
      </w:r>
      <w:r>
        <w:rPr>
          <w:i/>
          <w:spacing w:val="-2"/>
          <w:sz w:val="24"/>
        </w:rPr>
        <w:t xml:space="preserve"> </w:t>
      </w:r>
      <w:r>
        <w:rPr>
          <w:i/>
          <w:sz w:val="24"/>
        </w:rPr>
        <w:t>(Parliamentary</w:t>
      </w:r>
      <w:r>
        <w:rPr>
          <w:i/>
          <w:spacing w:val="-1"/>
          <w:sz w:val="24"/>
        </w:rPr>
        <w:t xml:space="preserve"> </w:t>
      </w:r>
      <w:r>
        <w:rPr>
          <w:i/>
          <w:sz w:val="24"/>
        </w:rPr>
        <w:t>Scrutiny)</w:t>
      </w:r>
      <w:r>
        <w:rPr>
          <w:i/>
          <w:spacing w:val="-5"/>
          <w:sz w:val="24"/>
        </w:rPr>
        <w:t xml:space="preserve"> </w:t>
      </w:r>
      <w:r>
        <w:rPr>
          <w:i/>
          <w:sz w:val="24"/>
        </w:rPr>
        <w:t>Act</w:t>
      </w:r>
      <w:r>
        <w:rPr>
          <w:i/>
          <w:spacing w:val="-1"/>
          <w:sz w:val="24"/>
        </w:rPr>
        <w:t xml:space="preserve"> </w:t>
      </w:r>
      <w:r>
        <w:rPr>
          <w:i/>
          <w:sz w:val="24"/>
        </w:rPr>
        <w:t>2011</w:t>
      </w:r>
    </w:p>
    <w:p w14:paraId="210C94F6" w14:textId="29593EC3" w:rsidR="00A03E61" w:rsidRDefault="00AE7FCF" w:rsidP="006F11F0">
      <w:pPr>
        <w:spacing w:before="217" w:line="360" w:lineRule="auto"/>
        <w:ind w:right="20"/>
        <w:jc w:val="center"/>
        <w:rPr>
          <w:i/>
          <w:sz w:val="24"/>
        </w:rPr>
      </w:pPr>
      <w:r w:rsidRPr="00AE7FCF">
        <w:rPr>
          <w:i/>
          <w:sz w:val="24"/>
        </w:rPr>
        <w:t>Carbon Credits (Carbon Farming Initiative—</w:t>
      </w:r>
      <w:r w:rsidR="000A5796">
        <w:rPr>
          <w:i/>
          <w:sz w:val="24"/>
        </w:rPr>
        <w:t>Commercial and Public Lighting</w:t>
      </w:r>
      <w:r w:rsidRPr="00AE7FCF">
        <w:rPr>
          <w:i/>
          <w:sz w:val="24"/>
        </w:rPr>
        <w:t>—Revocation) Instrument 202</w:t>
      </w:r>
      <w:r w:rsidR="000A5796">
        <w:rPr>
          <w:i/>
          <w:sz w:val="24"/>
        </w:rPr>
        <w:t>2</w:t>
      </w:r>
    </w:p>
    <w:p w14:paraId="210C94FA" w14:textId="5A729924" w:rsidR="00A03E61" w:rsidRDefault="00055956" w:rsidP="00786ADD">
      <w:pPr>
        <w:spacing w:before="218" w:line="360" w:lineRule="auto"/>
        <w:ind w:right="345"/>
        <w:rPr>
          <w:sz w:val="24"/>
        </w:rPr>
      </w:pPr>
      <w:r>
        <w:rPr>
          <w:sz w:val="24"/>
        </w:rPr>
        <w:t>This legislative instrument is compatible with the human rights and freedoms recognised or</w:t>
      </w:r>
      <w:r>
        <w:rPr>
          <w:spacing w:val="-57"/>
          <w:sz w:val="24"/>
        </w:rPr>
        <w:t xml:space="preserve"> </w:t>
      </w:r>
      <w:r>
        <w:rPr>
          <w:sz w:val="24"/>
        </w:rPr>
        <w:t xml:space="preserve">declared in the international instruments listed in section 3 of the </w:t>
      </w:r>
      <w:r>
        <w:rPr>
          <w:i/>
          <w:sz w:val="24"/>
        </w:rPr>
        <w:t>Human Rights</w:t>
      </w:r>
      <w:r>
        <w:rPr>
          <w:i/>
          <w:spacing w:val="1"/>
          <w:sz w:val="24"/>
        </w:rPr>
        <w:t xml:space="preserve"> </w:t>
      </w:r>
      <w:r>
        <w:rPr>
          <w:i/>
          <w:sz w:val="24"/>
        </w:rPr>
        <w:t>(Parliamentary</w:t>
      </w:r>
      <w:r>
        <w:rPr>
          <w:i/>
          <w:spacing w:val="-1"/>
          <w:sz w:val="24"/>
        </w:rPr>
        <w:t xml:space="preserve"> </w:t>
      </w:r>
      <w:r>
        <w:rPr>
          <w:i/>
          <w:sz w:val="24"/>
        </w:rPr>
        <w:t>Scrutiny) Act 2011</w:t>
      </w:r>
      <w:r>
        <w:rPr>
          <w:sz w:val="24"/>
        </w:rPr>
        <w:t>.</w:t>
      </w:r>
    </w:p>
    <w:p w14:paraId="7969DE41" w14:textId="383A8853" w:rsidR="00786ADD" w:rsidRPr="00786ADD" w:rsidRDefault="00786ADD" w:rsidP="00786ADD">
      <w:pPr>
        <w:spacing w:before="218" w:line="360" w:lineRule="auto"/>
        <w:ind w:right="345"/>
        <w:rPr>
          <w:b/>
          <w:bCs/>
          <w:sz w:val="24"/>
        </w:rPr>
      </w:pPr>
      <w:r w:rsidRPr="00786ADD">
        <w:rPr>
          <w:b/>
          <w:bCs/>
          <w:sz w:val="24"/>
        </w:rPr>
        <w:t>Overview of the Legislature Instrument</w:t>
      </w:r>
    </w:p>
    <w:p w14:paraId="210C94FB" w14:textId="43B2E270" w:rsidR="00A03E61" w:rsidRDefault="00055956" w:rsidP="006F11F0">
      <w:pPr>
        <w:spacing w:before="115" w:line="360" w:lineRule="auto"/>
        <w:ind w:right="383"/>
        <w:rPr>
          <w:sz w:val="24"/>
        </w:rPr>
      </w:pPr>
      <w:r>
        <w:rPr>
          <w:sz w:val="24"/>
        </w:rPr>
        <w:t xml:space="preserve">The </w:t>
      </w:r>
      <w:r w:rsidR="00AE7FCF" w:rsidRPr="00AE7FCF">
        <w:rPr>
          <w:i/>
          <w:sz w:val="24"/>
        </w:rPr>
        <w:t>Carbon Credits (Carbon Farming Initiative—</w:t>
      </w:r>
      <w:r w:rsidR="000A5796">
        <w:rPr>
          <w:i/>
          <w:sz w:val="24"/>
        </w:rPr>
        <w:t>Commercial and Public Lighting</w:t>
      </w:r>
      <w:r w:rsidR="00AE7FCF" w:rsidRPr="00AE7FCF">
        <w:rPr>
          <w:i/>
          <w:sz w:val="24"/>
        </w:rPr>
        <w:t>—Revocation) Instrument 202</w:t>
      </w:r>
      <w:r w:rsidR="000A5796">
        <w:rPr>
          <w:i/>
          <w:sz w:val="24"/>
        </w:rPr>
        <w:t>2</w:t>
      </w:r>
      <w:r w:rsidR="00AE7FCF">
        <w:rPr>
          <w:i/>
          <w:sz w:val="24"/>
        </w:rPr>
        <w:t xml:space="preserve"> </w:t>
      </w:r>
      <w:r>
        <w:rPr>
          <w:sz w:val="24"/>
        </w:rPr>
        <w:t xml:space="preserve">revokes the </w:t>
      </w:r>
      <w:r w:rsidR="00AE7FCF" w:rsidRPr="00AE7FCF">
        <w:rPr>
          <w:i/>
          <w:sz w:val="24"/>
        </w:rPr>
        <w:t>Carbon Credits (Carbon Farming Initiative—</w:t>
      </w:r>
      <w:r w:rsidR="000A5796">
        <w:rPr>
          <w:i/>
          <w:sz w:val="24"/>
        </w:rPr>
        <w:t>Commercial and Public Lighting</w:t>
      </w:r>
      <w:r w:rsidR="00AE7FCF" w:rsidRPr="00AE7FCF">
        <w:rPr>
          <w:i/>
          <w:sz w:val="24"/>
        </w:rPr>
        <w:t>) Methodology Determination 201</w:t>
      </w:r>
      <w:r w:rsidR="000A5796">
        <w:rPr>
          <w:i/>
          <w:sz w:val="24"/>
        </w:rPr>
        <w:t>5</w:t>
      </w:r>
      <w:r w:rsidR="00AE7FCF" w:rsidRPr="00AE7FCF">
        <w:rPr>
          <w:i/>
          <w:sz w:val="24"/>
        </w:rPr>
        <w:t xml:space="preserve"> </w:t>
      </w:r>
      <w:r w:rsidR="00C02ED3" w:rsidRPr="00AE7FCF">
        <w:rPr>
          <w:iCs/>
          <w:spacing w:val="-1"/>
          <w:sz w:val="24"/>
        </w:rPr>
        <w:t>made</w:t>
      </w:r>
      <w:r>
        <w:rPr>
          <w:spacing w:val="-2"/>
          <w:sz w:val="24"/>
        </w:rPr>
        <w:t xml:space="preserve"> </w:t>
      </w:r>
      <w:r>
        <w:rPr>
          <w:sz w:val="24"/>
        </w:rPr>
        <w:t>under the</w:t>
      </w:r>
      <w:r>
        <w:rPr>
          <w:spacing w:val="-2"/>
          <w:sz w:val="24"/>
        </w:rPr>
        <w:t xml:space="preserve"> </w:t>
      </w:r>
      <w:r>
        <w:rPr>
          <w:i/>
          <w:sz w:val="24"/>
        </w:rPr>
        <w:t>Carbon Credits</w:t>
      </w:r>
      <w:r>
        <w:rPr>
          <w:i/>
          <w:spacing w:val="-1"/>
          <w:sz w:val="24"/>
        </w:rPr>
        <w:t xml:space="preserve"> </w:t>
      </w:r>
      <w:r>
        <w:rPr>
          <w:i/>
          <w:sz w:val="24"/>
        </w:rPr>
        <w:t>(Carbon Farming Initiative)</w:t>
      </w:r>
      <w:r>
        <w:rPr>
          <w:i/>
          <w:spacing w:val="-4"/>
          <w:sz w:val="24"/>
        </w:rPr>
        <w:t xml:space="preserve"> </w:t>
      </w:r>
      <w:r>
        <w:rPr>
          <w:i/>
          <w:sz w:val="24"/>
        </w:rPr>
        <w:t>Act 2011</w:t>
      </w:r>
      <w:r>
        <w:rPr>
          <w:sz w:val="24"/>
        </w:rPr>
        <w:t>.</w:t>
      </w:r>
    </w:p>
    <w:p w14:paraId="210C94FD" w14:textId="2DDED8D6" w:rsidR="00A03E61" w:rsidRDefault="00055956" w:rsidP="006F11F0">
      <w:pPr>
        <w:spacing w:line="360" w:lineRule="auto"/>
        <w:ind w:right="597"/>
        <w:rPr>
          <w:sz w:val="24"/>
        </w:rPr>
      </w:pPr>
      <w:r>
        <w:rPr>
          <w:sz w:val="24"/>
        </w:rPr>
        <w:t xml:space="preserve">The determination being revoked </w:t>
      </w:r>
      <w:r w:rsidR="000A5796">
        <w:rPr>
          <w:sz w:val="24"/>
        </w:rPr>
        <w:t xml:space="preserve">no longer </w:t>
      </w:r>
      <w:r w:rsidR="003F2EC2">
        <w:rPr>
          <w:sz w:val="24"/>
        </w:rPr>
        <w:t>complies with the offsets integrity standards.</w:t>
      </w:r>
    </w:p>
    <w:p w14:paraId="2E4C69E2" w14:textId="093595D3" w:rsidR="00786ADD" w:rsidRPr="007070F2" w:rsidRDefault="00786ADD" w:rsidP="007070F2">
      <w:pPr>
        <w:spacing w:before="218" w:line="360" w:lineRule="auto"/>
        <w:ind w:right="345"/>
        <w:rPr>
          <w:b/>
          <w:bCs/>
          <w:sz w:val="24"/>
        </w:rPr>
      </w:pPr>
      <w:r w:rsidRPr="007070F2">
        <w:rPr>
          <w:b/>
          <w:bCs/>
          <w:sz w:val="24"/>
        </w:rPr>
        <w:t>Human Rights Implications</w:t>
      </w:r>
    </w:p>
    <w:p w14:paraId="210C9502" w14:textId="161E9525" w:rsidR="00A03E61" w:rsidRDefault="00055956" w:rsidP="00786ADD">
      <w:pPr>
        <w:pStyle w:val="BodyText"/>
        <w:spacing w:before="116" w:line="360" w:lineRule="auto"/>
      </w:pPr>
      <w:r>
        <w:t>This</w:t>
      </w:r>
      <w:r>
        <w:rPr>
          <w:spacing w:val="-1"/>
        </w:rPr>
        <w:t xml:space="preserve"> </w:t>
      </w:r>
      <w:r>
        <w:t>legislative</w:t>
      </w:r>
      <w:r>
        <w:rPr>
          <w:spacing w:val="-2"/>
        </w:rPr>
        <w:t xml:space="preserve"> </w:t>
      </w:r>
      <w:r>
        <w:t>instrument does</w:t>
      </w:r>
      <w:r>
        <w:rPr>
          <w:spacing w:val="-2"/>
        </w:rPr>
        <w:t xml:space="preserve"> </w:t>
      </w:r>
      <w:r>
        <w:t>not engage</w:t>
      </w:r>
      <w:r>
        <w:rPr>
          <w:spacing w:val="-2"/>
        </w:rPr>
        <w:t xml:space="preserve"> </w:t>
      </w:r>
      <w:r>
        <w:t>any</w:t>
      </w:r>
      <w:r>
        <w:rPr>
          <w:spacing w:val="-6"/>
        </w:rPr>
        <w:t xml:space="preserve"> </w:t>
      </w:r>
      <w:r>
        <w:t>of the</w:t>
      </w:r>
      <w:r>
        <w:rPr>
          <w:spacing w:val="-3"/>
        </w:rPr>
        <w:t xml:space="preserve"> </w:t>
      </w:r>
      <w:r>
        <w:t>applicable rights</w:t>
      </w:r>
      <w:r>
        <w:rPr>
          <w:spacing w:val="-1"/>
        </w:rPr>
        <w:t xml:space="preserve"> </w:t>
      </w:r>
      <w:r>
        <w:t>or</w:t>
      </w:r>
      <w:r>
        <w:rPr>
          <w:spacing w:val="2"/>
        </w:rPr>
        <w:t xml:space="preserve"> </w:t>
      </w:r>
      <w:r>
        <w:t>freedoms.</w:t>
      </w:r>
    </w:p>
    <w:p w14:paraId="3F3228B2" w14:textId="7F5F4C7E" w:rsidR="00786ADD" w:rsidRPr="007070F2" w:rsidRDefault="00786ADD" w:rsidP="007070F2">
      <w:pPr>
        <w:spacing w:before="218" w:line="360" w:lineRule="auto"/>
        <w:ind w:right="345"/>
        <w:rPr>
          <w:b/>
          <w:bCs/>
          <w:sz w:val="24"/>
        </w:rPr>
      </w:pPr>
      <w:r w:rsidRPr="007070F2">
        <w:rPr>
          <w:b/>
          <w:bCs/>
          <w:sz w:val="24"/>
        </w:rPr>
        <w:t>Conclusion</w:t>
      </w:r>
    </w:p>
    <w:p w14:paraId="210C9503" w14:textId="77777777" w:rsidR="00A03E61" w:rsidRDefault="00055956" w:rsidP="006F11F0">
      <w:pPr>
        <w:pStyle w:val="BodyText"/>
        <w:spacing w:before="115" w:line="360" w:lineRule="auto"/>
        <w:ind w:right="464"/>
      </w:pPr>
      <w:r>
        <w:t>This legislative instrument is compatible with human rights as it does not raise any human</w:t>
      </w:r>
      <w:r>
        <w:rPr>
          <w:spacing w:val="-57"/>
        </w:rPr>
        <w:t xml:space="preserve"> </w:t>
      </w:r>
      <w:r>
        <w:t>rights</w:t>
      </w:r>
      <w:r>
        <w:rPr>
          <w:spacing w:val="-1"/>
        </w:rPr>
        <w:t xml:space="preserve"> </w:t>
      </w:r>
      <w:r>
        <w:t>issues.</w:t>
      </w:r>
    </w:p>
    <w:p w14:paraId="6579EE40" w14:textId="77777777" w:rsidR="000A6D80" w:rsidRDefault="000A6D80" w:rsidP="006F11F0">
      <w:pPr>
        <w:spacing w:line="360" w:lineRule="auto"/>
        <w:rPr>
          <w:b/>
          <w:sz w:val="24"/>
        </w:rPr>
      </w:pPr>
    </w:p>
    <w:p w14:paraId="37A4ECA7" w14:textId="3BA87309" w:rsidR="000A5611" w:rsidRDefault="000A5611" w:rsidP="000A5611">
      <w:pPr>
        <w:spacing w:line="360" w:lineRule="auto"/>
        <w:jc w:val="center"/>
        <w:rPr>
          <w:b/>
          <w:sz w:val="24"/>
        </w:rPr>
      </w:pPr>
      <w:r>
        <w:rPr>
          <w:b/>
          <w:sz w:val="24"/>
        </w:rPr>
        <w:t xml:space="preserve">The Hon </w:t>
      </w:r>
      <w:r w:rsidR="00FF6BC7">
        <w:rPr>
          <w:b/>
          <w:sz w:val="24"/>
        </w:rPr>
        <w:t>Angus Taylor</w:t>
      </w:r>
      <w:r>
        <w:rPr>
          <w:b/>
          <w:sz w:val="24"/>
        </w:rPr>
        <w:t xml:space="preserve"> MP</w:t>
      </w:r>
    </w:p>
    <w:p w14:paraId="210C9508" w14:textId="0155085F" w:rsidR="00A03E61" w:rsidRDefault="00055956" w:rsidP="000A5611">
      <w:pPr>
        <w:spacing w:line="360" w:lineRule="auto"/>
        <w:jc w:val="center"/>
        <w:rPr>
          <w:b/>
          <w:sz w:val="24"/>
        </w:rPr>
      </w:pPr>
      <w:r>
        <w:rPr>
          <w:b/>
          <w:sz w:val="24"/>
        </w:rPr>
        <w:t>Minister</w:t>
      </w:r>
      <w:r>
        <w:rPr>
          <w:b/>
          <w:spacing w:val="-2"/>
          <w:sz w:val="24"/>
        </w:rPr>
        <w:t xml:space="preserve"> </w:t>
      </w:r>
      <w:r>
        <w:rPr>
          <w:b/>
          <w:sz w:val="24"/>
        </w:rPr>
        <w:t>for</w:t>
      </w:r>
      <w:r>
        <w:rPr>
          <w:b/>
          <w:spacing w:val="-2"/>
          <w:sz w:val="24"/>
        </w:rPr>
        <w:t xml:space="preserve"> </w:t>
      </w:r>
      <w:r w:rsidR="0014453C">
        <w:rPr>
          <w:b/>
          <w:sz w:val="24"/>
        </w:rPr>
        <w:t>Industry, Energy and Emissions Reduction</w:t>
      </w:r>
      <w:bookmarkEnd w:id="2"/>
    </w:p>
    <w:sectPr w:rsidR="00A03E61">
      <w:pgSz w:w="11910" w:h="16840"/>
      <w:pgMar w:top="1340" w:right="1320" w:bottom="960" w:left="134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CB94" w14:textId="77777777" w:rsidR="00F50C73" w:rsidRDefault="00F50C73">
      <w:r>
        <w:separator/>
      </w:r>
    </w:p>
  </w:endnote>
  <w:endnote w:type="continuationSeparator" w:id="0">
    <w:p w14:paraId="5614BDEA" w14:textId="77777777" w:rsidR="00F50C73" w:rsidRDefault="00F50C73">
      <w:r>
        <w:continuationSeparator/>
      </w:r>
    </w:p>
  </w:endnote>
  <w:endnote w:type="continuationNotice" w:id="1">
    <w:p w14:paraId="050830A2" w14:textId="77777777" w:rsidR="00F50C73" w:rsidRDefault="00F50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5FE4" w14:textId="77777777" w:rsidR="004F7E02" w:rsidRDefault="004F7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9705"/>
      <w:docPartObj>
        <w:docPartGallery w:val="Page Numbers (Bottom of Page)"/>
        <w:docPartUnique/>
      </w:docPartObj>
    </w:sdtPr>
    <w:sdtEndPr>
      <w:rPr>
        <w:noProof/>
      </w:rPr>
    </w:sdtEndPr>
    <w:sdtContent>
      <w:p w14:paraId="6AE3C7CB" w14:textId="766E35B7" w:rsidR="00350C92" w:rsidRDefault="00350C92" w:rsidP="00C80CC8">
        <w:pPr>
          <w:pStyle w:val="Footer"/>
          <w:jc w:val="right"/>
        </w:pPr>
        <w:r>
          <w:fldChar w:fldCharType="begin"/>
        </w:r>
        <w:r>
          <w:instrText xml:space="preserve"> PAGE   \* MERGEFORMAT </w:instrText>
        </w:r>
        <w:r>
          <w:fldChar w:fldCharType="separate"/>
        </w:r>
        <w:r w:rsidR="000A5611">
          <w:rPr>
            <w:noProof/>
          </w:rPr>
          <w:t>6</w:t>
        </w:r>
        <w:r>
          <w:rPr>
            <w:noProof/>
          </w:rPr>
          <w:fldChar w:fldCharType="end"/>
        </w:r>
      </w:p>
    </w:sdtContent>
  </w:sdt>
  <w:p w14:paraId="210C9509" w14:textId="2DC7F3E1" w:rsidR="00F50C73" w:rsidRDefault="00F50C7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66F" w14:textId="77777777" w:rsidR="004F7E02" w:rsidRDefault="004F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5374" w14:textId="77777777" w:rsidR="00F50C73" w:rsidRDefault="00F50C73">
      <w:r>
        <w:separator/>
      </w:r>
    </w:p>
  </w:footnote>
  <w:footnote w:type="continuationSeparator" w:id="0">
    <w:p w14:paraId="690CB2D0" w14:textId="77777777" w:rsidR="00F50C73" w:rsidRDefault="00F50C73">
      <w:r>
        <w:continuationSeparator/>
      </w:r>
    </w:p>
  </w:footnote>
  <w:footnote w:type="continuationNotice" w:id="1">
    <w:p w14:paraId="2CB822E4" w14:textId="77777777" w:rsidR="00F50C73" w:rsidRDefault="00F50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C994" w14:textId="77777777" w:rsidR="004F7E02" w:rsidRDefault="004F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6F16" w14:textId="76C79758" w:rsidR="00F50C73" w:rsidRDefault="00F50C73">
    <w:pPr>
      <w:pStyle w:val="Header"/>
    </w:pPr>
  </w:p>
  <w:p w14:paraId="62060793" w14:textId="1C5D6EF1" w:rsidR="00F50C73" w:rsidRDefault="00F50C73">
    <w:pPr>
      <w:pStyle w:val="Header"/>
    </w:pPr>
  </w:p>
  <w:p w14:paraId="4775D38A" w14:textId="3A94445E" w:rsidR="00F50C73" w:rsidRPr="00407FA0" w:rsidRDefault="00F50C73" w:rsidP="00C80CC8">
    <w:pPr>
      <w:pStyle w:val="Header"/>
      <w:ind w:right="-531"/>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5DA5" w14:textId="77777777" w:rsidR="004F7E02" w:rsidRDefault="004F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8F7"/>
    <w:multiLevelType w:val="hybridMultilevel"/>
    <w:tmpl w:val="3304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776B6"/>
    <w:multiLevelType w:val="hybridMultilevel"/>
    <w:tmpl w:val="D9C4E6E2"/>
    <w:lvl w:ilvl="0" w:tplc="924E354E">
      <w:start w:val="1"/>
      <w:numFmt w:val="decimal"/>
      <w:lvlText w:val="%1"/>
      <w:lvlJc w:val="left"/>
      <w:pPr>
        <w:ind w:left="819" w:hanging="360"/>
      </w:pPr>
      <w:rPr>
        <w:rFonts w:ascii="Times New Roman" w:eastAsia="Calibri" w:hAnsi="Times New Roman" w:cs="Times New Roman" w:hint="default"/>
        <w:b/>
        <w:bCs/>
        <w:i w:val="0"/>
        <w:iCs w:val="0"/>
        <w:w w:val="99"/>
        <w:sz w:val="24"/>
        <w:szCs w:val="24"/>
        <w:lang w:val="en-US" w:eastAsia="en-US" w:bidi="ar-SA"/>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2" w15:restartNumberingAfterBreak="0">
    <w:nsid w:val="419663C7"/>
    <w:multiLevelType w:val="hybridMultilevel"/>
    <w:tmpl w:val="18FCF3BC"/>
    <w:lvl w:ilvl="0" w:tplc="1A462F72">
      <w:numFmt w:val="bullet"/>
      <w:lvlText w:val=""/>
      <w:lvlJc w:val="left"/>
      <w:pPr>
        <w:ind w:left="820" w:hanging="428"/>
      </w:pPr>
      <w:rPr>
        <w:rFonts w:ascii="Symbol" w:eastAsia="Symbol" w:hAnsi="Symbol" w:cs="Symbol" w:hint="default"/>
        <w:b w:val="0"/>
        <w:bCs w:val="0"/>
        <w:i w:val="0"/>
        <w:iCs w:val="0"/>
        <w:w w:val="100"/>
        <w:sz w:val="24"/>
        <w:szCs w:val="24"/>
        <w:lang w:val="en-US" w:eastAsia="en-US" w:bidi="ar-SA"/>
      </w:rPr>
    </w:lvl>
    <w:lvl w:ilvl="1" w:tplc="B1B4EBFC">
      <w:numFmt w:val="bullet"/>
      <w:lvlText w:val="•"/>
      <w:lvlJc w:val="left"/>
      <w:pPr>
        <w:ind w:left="1662" w:hanging="428"/>
      </w:pPr>
      <w:rPr>
        <w:rFonts w:hint="default"/>
        <w:lang w:val="en-US" w:eastAsia="en-US" w:bidi="ar-SA"/>
      </w:rPr>
    </w:lvl>
    <w:lvl w:ilvl="2" w:tplc="BECC3884">
      <w:numFmt w:val="bullet"/>
      <w:lvlText w:val="•"/>
      <w:lvlJc w:val="left"/>
      <w:pPr>
        <w:ind w:left="2505" w:hanging="428"/>
      </w:pPr>
      <w:rPr>
        <w:rFonts w:hint="default"/>
        <w:lang w:val="en-US" w:eastAsia="en-US" w:bidi="ar-SA"/>
      </w:rPr>
    </w:lvl>
    <w:lvl w:ilvl="3" w:tplc="B2B2F8F8">
      <w:numFmt w:val="bullet"/>
      <w:lvlText w:val="•"/>
      <w:lvlJc w:val="left"/>
      <w:pPr>
        <w:ind w:left="3347" w:hanging="428"/>
      </w:pPr>
      <w:rPr>
        <w:rFonts w:hint="default"/>
        <w:lang w:val="en-US" w:eastAsia="en-US" w:bidi="ar-SA"/>
      </w:rPr>
    </w:lvl>
    <w:lvl w:ilvl="4" w:tplc="E7869B4C">
      <w:numFmt w:val="bullet"/>
      <w:lvlText w:val="•"/>
      <w:lvlJc w:val="left"/>
      <w:pPr>
        <w:ind w:left="4190" w:hanging="428"/>
      </w:pPr>
      <w:rPr>
        <w:rFonts w:hint="default"/>
        <w:lang w:val="en-US" w:eastAsia="en-US" w:bidi="ar-SA"/>
      </w:rPr>
    </w:lvl>
    <w:lvl w:ilvl="5" w:tplc="23DACDF6">
      <w:numFmt w:val="bullet"/>
      <w:lvlText w:val="•"/>
      <w:lvlJc w:val="left"/>
      <w:pPr>
        <w:ind w:left="5033" w:hanging="428"/>
      </w:pPr>
      <w:rPr>
        <w:rFonts w:hint="default"/>
        <w:lang w:val="en-US" w:eastAsia="en-US" w:bidi="ar-SA"/>
      </w:rPr>
    </w:lvl>
    <w:lvl w:ilvl="6" w:tplc="E27893E8">
      <w:numFmt w:val="bullet"/>
      <w:lvlText w:val="•"/>
      <w:lvlJc w:val="left"/>
      <w:pPr>
        <w:ind w:left="5875" w:hanging="428"/>
      </w:pPr>
      <w:rPr>
        <w:rFonts w:hint="default"/>
        <w:lang w:val="en-US" w:eastAsia="en-US" w:bidi="ar-SA"/>
      </w:rPr>
    </w:lvl>
    <w:lvl w:ilvl="7" w:tplc="D310BA44">
      <w:numFmt w:val="bullet"/>
      <w:lvlText w:val="•"/>
      <w:lvlJc w:val="left"/>
      <w:pPr>
        <w:ind w:left="6718" w:hanging="428"/>
      </w:pPr>
      <w:rPr>
        <w:rFonts w:hint="default"/>
        <w:lang w:val="en-US" w:eastAsia="en-US" w:bidi="ar-SA"/>
      </w:rPr>
    </w:lvl>
    <w:lvl w:ilvl="8" w:tplc="433A6714">
      <w:numFmt w:val="bullet"/>
      <w:lvlText w:val="•"/>
      <w:lvlJc w:val="left"/>
      <w:pPr>
        <w:ind w:left="7561" w:hanging="428"/>
      </w:pPr>
      <w:rPr>
        <w:rFonts w:hint="default"/>
        <w:lang w:val="en-US" w:eastAsia="en-US" w:bidi="ar-SA"/>
      </w:rPr>
    </w:lvl>
  </w:abstractNum>
  <w:abstractNum w:abstractNumId="3" w15:restartNumberingAfterBreak="0">
    <w:nsid w:val="493D7523"/>
    <w:multiLevelType w:val="hybridMultilevel"/>
    <w:tmpl w:val="97F2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804A5F"/>
    <w:multiLevelType w:val="hybridMultilevel"/>
    <w:tmpl w:val="CEFC168C"/>
    <w:lvl w:ilvl="0" w:tplc="924E354E">
      <w:start w:val="1"/>
      <w:numFmt w:val="decimal"/>
      <w:lvlText w:val="%1"/>
      <w:lvlJc w:val="left"/>
      <w:pPr>
        <w:ind w:left="720" w:hanging="360"/>
      </w:pPr>
      <w:rPr>
        <w:rFonts w:ascii="Times New Roman" w:eastAsia="Calibri" w:hAnsi="Times New Roman" w:cs="Times New Roman" w:hint="default"/>
        <w:b/>
        <w:bCs/>
        <w:i w:val="0"/>
        <w:iCs w:val="0"/>
        <w:w w:val="99"/>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2A0C73"/>
    <w:multiLevelType w:val="hybridMultilevel"/>
    <w:tmpl w:val="84B22F1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 w15:restartNumberingAfterBreak="0">
    <w:nsid w:val="75E5122E"/>
    <w:multiLevelType w:val="hybridMultilevel"/>
    <w:tmpl w:val="3BC4382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7AAE3576"/>
    <w:multiLevelType w:val="hybridMultilevel"/>
    <w:tmpl w:val="90B021D8"/>
    <w:lvl w:ilvl="0" w:tplc="924E354E">
      <w:start w:val="1"/>
      <w:numFmt w:val="decimal"/>
      <w:lvlText w:val="%1"/>
      <w:lvlJc w:val="left"/>
      <w:pPr>
        <w:ind w:left="820" w:hanging="720"/>
      </w:pPr>
      <w:rPr>
        <w:rFonts w:ascii="Times New Roman" w:eastAsia="Calibri" w:hAnsi="Times New Roman" w:cs="Times New Roman" w:hint="default"/>
        <w:b/>
        <w:bCs/>
        <w:i w:val="0"/>
        <w:iCs w:val="0"/>
        <w:w w:val="99"/>
        <w:sz w:val="24"/>
        <w:szCs w:val="24"/>
        <w:lang w:val="en-US" w:eastAsia="en-US" w:bidi="ar-SA"/>
      </w:rPr>
    </w:lvl>
    <w:lvl w:ilvl="1" w:tplc="6EAADB2E">
      <w:numFmt w:val="bullet"/>
      <w:lvlText w:val="•"/>
      <w:lvlJc w:val="left"/>
      <w:pPr>
        <w:ind w:left="888" w:hanging="720"/>
      </w:pPr>
      <w:rPr>
        <w:rFonts w:hint="default"/>
        <w:lang w:val="en-US" w:eastAsia="en-US" w:bidi="ar-SA"/>
      </w:rPr>
    </w:lvl>
    <w:lvl w:ilvl="2" w:tplc="16B0B078">
      <w:numFmt w:val="bullet"/>
      <w:lvlText w:val="•"/>
      <w:lvlJc w:val="left"/>
      <w:pPr>
        <w:ind w:left="956" w:hanging="720"/>
      </w:pPr>
      <w:rPr>
        <w:rFonts w:hint="default"/>
        <w:lang w:val="en-US" w:eastAsia="en-US" w:bidi="ar-SA"/>
      </w:rPr>
    </w:lvl>
    <w:lvl w:ilvl="3" w:tplc="5B72B404">
      <w:numFmt w:val="bullet"/>
      <w:lvlText w:val="•"/>
      <w:lvlJc w:val="left"/>
      <w:pPr>
        <w:ind w:left="1024" w:hanging="720"/>
      </w:pPr>
      <w:rPr>
        <w:rFonts w:hint="default"/>
        <w:lang w:val="en-US" w:eastAsia="en-US" w:bidi="ar-SA"/>
      </w:rPr>
    </w:lvl>
    <w:lvl w:ilvl="4" w:tplc="A044B9D0">
      <w:numFmt w:val="bullet"/>
      <w:lvlText w:val="•"/>
      <w:lvlJc w:val="left"/>
      <w:pPr>
        <w:ind w:left="1092" w:hanging="720"/>
      </w:pPr>
      <w:rPr>
        <w:rFonts w:hint="default"/>
        <w:lang w:val="en-US" w:eastAsia="en-US" w:bidi="ar-SA"/>
      </w:rPr>
    </w:lvl>
    <w:lvl w:ilvl="5" w:tplc="FF6A2D60">
      <w:numFmt w:val="bullet"/>
      <w:lvlText w:val="•"/>
      <w:lvlJc w:val="left"/>
      <w:pPr>
        <w:ind w:left="1160" w:hanging="720"/>
      </w:pPr>
      <w:rPr>
        <w:rFonts w:hint="default"/>
        <w:lang w:val="en-US" w:eastAsia="en-US" w:bidi="ar-SA"/>
      </w:rPr>
    </w:lvl>
    <w:lvl w:ilvl="6" w:tplc="2E1403B6">
      <w:numFmt w:val="bullet"/>
      <w:lvlText w:val="•"/>
      <w:lvlJc w:val="left"/>
      <w:pPr>
        <w:ind w:left="1229" w:hanging="720"/>
      </w:pPr>
      <w:rPr>
        <w:rFonts w:hint="default"/>
        <w:lang w:val="en-US" w:eastAsia="en-US" w:bidi="ar-SA"/>
      </w:rPr>
    </w:lvl>
    <w:lvl w:ilvl="7" w:tplc="B8485AE0">
      <w:numFmt w:val="bullet"/>
      <w:lvlText w:val="•"/>
      <w:lvlJc w:val="left"/>
      <w:pPr>
        <w:ind w:left="1297" w:hanging="720"/>
      </w:pPr>
      <w:rPr>
        <w:rFonts w:hint="default"/>
        <w:lang w:val="en-US" w:eastAsia="en-US" w:bidi="ar-SA"/>
      </w:rPr>
    </w:lvl>
    <w:lvl w:ilvl="8" w:tplc="B70E2C22">
      <w:numFmt w:val="bullet"/>
      <w:lvlText w:val="•"/>
      <w:lvlJc w:val="left"/>
      <w:pPr>
        <w:ind w:left="1365" w:hanging="720"/>
      </w:pPr>
      <w:rPr>
        <w:rFonts w:hint="default"/>
        <w:lang w:val="en-US" w:eastAsia="en-US" w:bidi="ar-SA"/>
      </w:rPr>
    </w:lvl>
  </w:abstractNum>
  <w:num w:numId="1">
    <w:abstractNumId w:val="7"/>
  </w:num>
  <w:num w:numId="2">
    <w:abstractNumId w:val="2"/>
  </w:num>
  <w:num w:numId="3">
    <w:abstractNumId w:val="5"/>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61"/>
    <w:rsid w:val="00004D96"/>
    <w:rsid w:val="00021D91"/>
    <w:rsid w:val="00055956"/>
    <w:rsid w:val="00070B71"/>
    <w:rsid w:val="00083D50"/>
    <w:rsid w:val="000A4F38"/>
    <w:rsid w:val="000A5611"/>
    <w:rsid w:val="000A5796"/>
    <w:rsid w:val="000A6D80"/>
    <w:rsid w:val="000B03C4"/>
    <w:rsid w:val="000C025F"/>
    <w:rsid w:val="00141620"/>
    <w:rsid w:val="001430A5"/>
    <w:rsid w:val="0014453C"/>
    <w:rsid w:val="00147C1F"/>
    <w:rsid w:val="00160C4C"/>
    <w:rsid w:val="00181C76"/>
    <w:rsid w:val="001A599F"/>
    <w:rsid w:val="001B327F"/>
    <w:rsid w:val="001C3624"/>
    <w:rsid w:val="001D1650"/>
    <w:rsid w:val="00203A3E"/>
    <w:rsid w:val="00214EC2"/>
    <w:rsid w:val="002165FB"/>
    <w:rsid w:val="00223E99"/>
    <w:rsid w:val="00233964"/>
    <w:rsid w:val="00236CF3"/>
    <w:rsid w:val="00245162"/>
    <w:rsid w:val="00251711"/>
    <w:rsid w:val="0026152E"/>
    <w:rsid w:val="00273561"/>
    <w:rsid w:val="00280678"/>
    <w:rsid w:val="00283823"/>
    <w:rsid w:val="00291090"/>
    <w:rsid w:val="002A1DA2"/>
    <w:rsid w:val="002A320A"/>
    <w:rsid w:val="002B4F7F"/>
    <w:rsid w:val="002D1117"/>
    <w:rsid w:val="002E5B7F"/>
    <w:rsid w:val="002F5B61"/>
    <w:rsid w:val="0031028B"/>
    <w:rsid w:val="003471FA"/>
    <w:rsid w:val="00350C92"/>
    <w:rsid w:val="003726F4"/>
    <w:rsid w:val="003F2EC2"/>
    <w:rsid w:val="00407FA0"/>
    <w:rsid w:val="0043235D"/>
    <w:rsid w:val="00456992"/>
    <w:rsid w:val="00466CED"/>
    <w:rsid w:val="00487EC4"/>
    <w:rsid w:val="004941FC"/>
    <w:rsid w:val="004D1729"/>
    <w:rsid w:val="004E2032"/>
    <w:rsid w:val="004F7E02"/>
    <w:rsid w:val="0053403B"/>
    <w:rsid w:val="005471DB"/>
    <w:rsid w:val="00560D6D"/>
    <w:rsid w:val="00565A6A"/>
    <w:rsid w:val="00586CE2"/>
    <w:rsid w:val="005A7E3D"/>
    <w:rsid w:val="005E3869"/>
    <w:rsid w:val="005F4FE9"/>
    <w:rsid w:val="00602A97"/>
    <w:rsid w:val="006556DB"/>
    <w:rsid w:val="00661218"/>
    <w:rsid w:val="00662B9A"/>
    <w:rsid w:val="00691ABD"/>
    <w:rsid w:val="006B142F"/>
    <w:rsid w:val="006F0E7A"/>
    <w:rsid w:val="006F11F0"/>
    <w:rsid w:val="007070F2"/>
    <w:rsid w:val="00730D2A"/>
    <w:rsid w:val="0073792C"/>
    <w:rsid w:val="00751842"/>
    <w:rsid w:val="00782B72"/>
    <w:rsid w:val="00786ADD"/>
    <w:rsid w:val="00792D38"/>
    <w:rsid w:val="007975CC"/>
    <w:rsid w:val="007C7BA0"/>
    <w:rsid w:val="007E5C14"/>
    <w:rsid w:val="0080467C"/>
    <w:rsid w:val="008063A9"/>
    <w:rsid w:val="0080668F"/>
    <w:rsid w:val="00806DCE"/>
    <w:rsid w:val="00816685"/>
    <w:rsid w:val="00821D62"/>
    <w:rsid w:val="008477BE"/>
    <w:rsid w:val="008C5E1A"/>
    <w:rsid w:val="008D47DB"/>
    <w:rsid w:val="008D4B07"/>
    <w:rsid w:val="008E1E8B"/>
    <w:rsid w:val="009230AE"/>
    <w:rsid w:val="00944744"/>
    <w:rsid w:val="00955757"/>
    <w:rsid w:val="00961224"/>
    <w:rsid w:val="00972EF6"/>
    <w:rsid w:val="00997755"/>
    <w:rsid w:val="009A04C7"/>
    <w:rsid w:val="009D6819"/>
    <w:rsid w:val="009D78D3"/>
    <w:rsid w:val="009E3DCF"/>
    <w:rsid w:val="00A03E61"/>
    <w:rsid w:val="00A45A5F"/>
    <w:rsid w:val="00A51B88"/>
    <w:rsid w:val="00A531DE"/>
    <w:rsid w:val="00A54785"/>
    <w:rsid w:val="00A911DC"/>
    <w:rsid w:val="00AE4A07"/>
    <w:rsid w:val="00AE7FCF"/>
    <w:rsid w:val="00B04863"/>
    <w:rsid w:val="00B054CC"/>
    <w:rsid w:val="00B20A1C"/>
    <w:rsid w:val="00B35802"/>
    <w:rsid w:val="00B612FC"/>
    <w:rsid w:val="00B740BE"/>
    <w:rsid w:val="00B80B78"/>
    <w:rsid w:val="00BB69F2"/>
    <w:rsid w:val="00C02ED3"/>
    <w:rsid w:val="00C078E1"/>
    <w:rsid w:val="00C25877"/>
    <w:rsid w:val="00C32CDC"/>
    <w:rsid w:val="00C33C10"/>
    <w:rsid w:val="00C347E7"/>
    <w:rsid w:val="00C37CCB"/>
    <w:rsid w:val="00C444B2"/>
    <w:rsid w:val="00C51E7A"/>
    <w:rsid w:val="00C637F4"/>
    <w:rsid w:val="00C80CC8"/>
    <w:rsid w:val="00CC25E2"/>
    <w:rsid w:val="00CD7B10"/>
    <w:rsid w:val="00D13FF7"/>
    <w:rsid w:val="00D23CB4"/>
    <w:rsid w:val="00D46C23"/>
    <w:rsid w:val="00D5410F"/>
    <w:rsid w:val="00D576C0"/>
    <w:rsid w:val="00D65E2D"/>
    <w:rsid w:val="00D72585"/>
    <w:rsid w:val="00D73EEB"/>
    <w:rsid w:val="00D740AC"/>
    <w:rsid w:val="00D831E5"/>
    <w:rsid w:val="00D83F67"/>
    <w:rsid w:val="00D84673"/>
    <w:rsid w:val="00D949E0"/>
    <w:rsid w:val="00DC0CAD"/>
    <w:rsid w:val="00DC74FA"/>
    <w:rsid w:val="00DF2F83"/>
    <w:rsid w:val="00DF500B"/>
    <w:rsid w:val="00E2287B"/>
    <w:rsid w:val="00E40E7E"/>
    <w:rsid w:val="00E43D4B"/>
    <w:rsid w:val="00E81341"/>
    <w:rsid w:val="00E83670"/>
    <w:rsid w:val="00E86819"/>
    <w:rsid w:val="00ED0217"/>
    <w:rsid w:val="00ED7F0E"/>
    <w:rsid w:val="00EE79C4"/>
    <w:rsid w:val="00EF041E"/>
    <w:rsid w:val="00EF4884"/>
    <w:rsid w:val="00F24343"/>
    <w:rsid w:val="00F24552"/>
    <w:rsid w:val="00F25B27"/>
    <w:rsid w:val="00F50C73"/>
    <w:rsid w:val="00F9333A"/>
    <w:rsid w:val="00F95280"/>
    <w:rsid w:val="00FA44C7"/>
    <w:rsid w:val="00FA5CDD"/>
    <w:rsid w:val="00FC5F49"/>
    <w:rsid w:val="00FE6F08"/>
    <w:rsid w:val="00FF6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0C94A6"/>
  <w15:docId w15:val="{03E151AC-4762-47C3-9A14-3DD8F8EA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rFonts w:ascii="Calibri" w:eastAsia="Calibri" w:hAnsi="Calibri" w:cs="Calibri"/>
      <w:b/>
      <w:bCs/>
      <w:sz w:val="26"/>
      <w:szCs w:val="26"/>
    </w:rPr>
  </w:style>
  <w:style w:type="paragraph" w:styleId="Heading2">
    <w:name w:val="heading 2"/>
    <w:basedOn w:val="Normal"/>
    <w:uiPriority w:val="9"/>
    <w:unhideWhenUsed/>
    <w:qFormat/>
    <w:pPr>
      <w:spacing w:before="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3D50"/>
    <w:rPr>
      <w:color w:val="0000FF" w:themeColor="hyperlink"/>
      <w:u w:val="single"/>
    </w:rPr>
  </w:style>
  <w:style w:type="character" w:customStyle="1" w:styleId="UnresolvedMention1">
    <w:name w:val="Unresolved Mention1"/>
    <w:basedOn w:val="DefaultParagraphFont"/>
    <w:uiPriority w:val="99"/>
    <w:semiHidden/>
    <w:unhideWhenUsed/>
    <w:rsid w:val="00083D50"/>
    <w:rPr>
      <w:color w:val="605E5C"/>
      <w:shd w:val="clear" w:color="auto" w:fill="E1DFDD"/>
    </w:rPr>
  </w:style>
  <w:style w:type="paragraph" w:styleId="Header">
    <w:name w:val="header"/>
    <w:basedOn w:val="Normal"/>
    <w:link w:val="HeaderChar"/>
    <w:uiPriority w:val="99"/>
    <w:unhideWhenUsed/>
    <w:rsid w:val="00FF6BC7"/>
    <w:pPr>
      <w:tabs>
        <w:tab w:val="center" w:pos="4513"/>
        <w:tab w:val="right" w:pos="9026"/>
      </w:tabs>
    </w:pPr>
  </w:style>
  <w:style w:type="character" w:customStyle="1" w:styleId="HeaderChar">
    <w:name w:val="Header Char"/>
    <w:basedOn w:val="DefaultParagraphFont"/>
    <w:link w:val="Header"/>
    <w:uiPriority w:val="99"/>
    <w:rsid w:val="00FF6BC7"/>
    <w:rPr>
      <w:rFonts w:ascii="Times New Roman" w:eastAsia="Times New Roman" w:hAnsi="Times New Roman" w:cs="Times New Roman"/>
    </w:rPr>
  </w:style>
  <w:style w:type="paragraph" w:styleId="Footer">
    <w:name w:val="footer"/>
    <w:basedOn w:val="Normal"/>
    <w:link w:val="FooterChar"/>
    <w:uiPriority w:val="99"/>
    <w:unhideWhenUsed/>
    <w:rsid w:val="00FF6BC7"/>
    <w:pPr>
      <w:tabs>
        <w:tab w:val="center" w:pos="4513"/>
        <w:tab w:val="right" w:pos="9026"/>
      </w:tabs>
    </w:pPr>
  </w:style>
  <w:style w:type="character" w:customStyle="1" w:styleId="FooterChar">
    <w:name w:val="Footer Char"/>
    <w:basedOn w:val="DefaultParagraphFont"/>
    <w:link w:val="Footer"/>
    <w:uiPriority w:val="99"/>
    <w:rsid w:val="00FF6BC7"/>
    <w:rPr>
      <w:rFonts w:ascii="Times New Roman" w:eastAsia="Times New Roman" w:hAnsi="Times New Roman" w:cs="Times New Roman"/>
    </w:rPr>
  </w:style>
  <w:style w:type="paragraph" w:styleId="Revision">
    <w:name w:val="Revision"/>
    <w:hidden/>
    <w:uiPriority w:val="99"/>
    <w:semiHidden/>
    <w:rsid w:val="00972EF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831E5"/>
    <w:rPr>
      <w:sz w:val="16"/>
      <w:szCs w:val="16"/>
    </w:rPr>
  </w:style>
  <w:style w:type="paragraph" w:styleId="CommentText">
    <w:name w:val="annotation text"/>
    <w:basedOn w:val="Normal"/>
    <w:link w:val="CommentTextChar"/>
    <w:uiPriority w:val="99"/>
    <w:semiHidden/>
    <w:unhideWhenUsed/>
    <w:rsid w:val="00D831E5"/>
    <w:rPr>
      <w:sz w:val="20"/>
      <w:szCs w:val="20"/>
    </w:rPr>
  </w:style>
  <w:style w:type="character" w:customStyle="1" w:styleId="CommentTextChar">
    <w:name w:val="Comment Text Char"/>
    <w:basedOn w:val="DefaultParagraphFont"/>
    <w:link w:val="CommentText"/>
    <w:uiPriority w:val="99"/>
    <w:semiHidden/>
    <w:rsid w:val="00D831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31E5"/>
    <w:rPr>
      <w:b/>
      <w:bCs/>
    </w:rPr>
  </w:style>
  <w:style w:type="character" w:customStyle="1" w:styleId="CommentSubjectChar">
    <w:name w:val="Comment Subject Char"/>
    <w:basedOn w:val="CommentTextChar"/>
    <w:link w:val="CommentSubject"/>
    <w:uiPriority w:val="99"/>
    <w:semiHidden/>
    <w:rsid w:val="00D831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740BE"/>
    <w:rPr>
      <w:color w:val="800080" w:themeColor="followedHyperlink"/>
      <w:u w:val="single"/>
    </w:rPr>
  </w:style>
  <w:style w:type="paragraph" w:customStyle="1" w:styleId="h5section">
    <w:name w:val="h5section"/>
    <w:basedOn w:val="Normal"/>
    <w:rsid w:val="007E5C14"/>
    <w:pPr>
      <w:widowControl/>
      <w:autoSpaceDE/>
      <w:autoSpaceDN/>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9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eanenergyregulator.gov.au/ER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dustry.gov.au/funding-and-incentives/emissions-reduction-fun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A3B9C1-38C6-4256-963F-8623C1BF6790}">
  <ds:schemaRefs>
    <ds:schemaRef ds:uri="http://schemas.microsoft.com/sharepoint/v3/contenttype/forms"/>
  </ds:schemaRefs>
</ds:datastoreItem>
</file>

<file path=customXml/itemProps2.xml><?xml version="1.0" encoding="utf-8"?>
<ds:datastoreItem xmlns:ds="http://schemas.openxmlformats.org/officeDocument/2006/customXml" ds:itemID="{CBF087F1-146A-42DE-9E68-9C42C4461621}">
  <ds:schemaRefs>
    <ds:schemaRef ds:uri="http://schemas.microsoft.com/office/2006/documentManagement/types"/>
    <ds:schemaRef ds:uri="http://schemas.microsoft.com/office/infopath/2007/PartnerControls"/>
    <ds:schemaRef ds:uri="45A20253-F5E8-4459-9BB3-F017E346D48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B2CEE4-A89F-4CC3-975A-F5A83769006A}"/>
</file>

<file path=customXml/itemProps4.xml><?xml version="1.0" encoding="utf-8"?>
<ds:datastoreItem xmlns:ds="http://schemas.openxmlformats.org/officeDocument/2006/customXml" ds:itemID="{DEB59CF5-3B4D-42D2-A683-25709DA9528C}"/>
</file>

<file path=docProps/app.xml><?xml version="1.0" encoding="utf-8"?>
<Properties xmlns="http://schemas.openxmlformats.org/officeDocument/2006/extended-properties" xmlns:vt="http://schemas.openxmlformats.org/officeDocument/2006/docPropsVTypes">
  <Template>Normal</Template>
  <TotalTime>62</TotalTime>
  <Pages>6</Pages>
  <Words>980</Words>
  <Characters>9970</Characters>
  <Application>Microsoft Office Word</Application>
  <DocSecurity>0</DocSecurity>
  <Lines>553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Adrian</dc:creator>
  <cp:lastModifiedBy>Akhund, Rizwan</cp:lastModifiedBy>
  <cp:revision>60</cp:revision>
  <dcterms:created xsi:type="dcterms:W3CDTF">2022-03-14T23:41:00Z</dcterms:created>
  <dcterms:modified xsi:type="dcterms:W3CDTF">2022-03-15T01:43:00Z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2010</vt:lpwstr>
  </property>
  <property fmtid="{D5CDD505-2E9C-101B-9397-08002B2CF9AE}" pid="4" name="LastSaved">
    <vt:filetime>2021-10-11T00:00:00Z</vt:filetime>
  </property>
  <property fmtid="{D5CDD505-2E9C-101B-9397-08002B2CF9AE}" pid="5" name="ContentTypeId">
    <vt:lpwstr>0x010100266966F133664895A6EE3632470D45F500EC4E0FD3EA26CC469FD0448D41A9A30B</vt:lpwstr>
  </property>
  <property fmtid="{D5CDD505-2E9C-101B-9397-08002B2CF9AE}" pid="6" name="CER_Scheme">
    <vt:lpwstr>49;#ERF|d42fc64b-27e5-4868-b632-9398644319fe</vt:lpwstr>
  </property>
  <property fmtid="{D5CDD505-2E9C-101B-9397-08002B2CF9AE}" pid="7" name="CER_FileKeywords">
    <vt:lpwstr/>
  </property>
  <property fmtid="{D5CDD505-2E9C-101B-9397-08002B2CF9AE}" pid="8" name="CER_Client">
    <vt:lpwstr/>
  </property>
  <property fmtid="{D5CDD505-2E9C-101B-9397-08002B2CF9AE}" pid="9" name="CER_State">
    <vt:lpwstr/>
  </property>
  <property fmtid="{D5CDD505-2E9C-101B-9397-08002B2CF9AE}" pid="10" name="_dlc_DocIdItemGuid">
    <vt:lpwstr>4180f935-cf87-4a73-b370-6d59a7e90177</vt:lpwstr>
  </property>
  <property fmtid="{D5CDD505-2E9C-101B-9397-08002B2CF9AE}" pid="11" name="l5266d70aa4c4810ab958a2db2f21068">
    <vt:lpwstr/>
  </property>
  <property fmtid="{D5CDD505-2E9C-101B-9397-08002B2CF9AE}" pid="12" name="EDi_DocumentKeywords">
    <vt:lpwstr/>
  </property>
  <property fmtid="{D5CDD505-2E9C-101B-9397-08002B2CF9AE}" pid="13" name="ERFMethod">
    <vt:lpwstr/>
  </property>
  <property fmtid="{D5CDD505-2E9C-101B-9397-08002B2CF9AE}" pid="14" name="CER_Agency">
    <vt:lpwstr/>
  </property>
  <property fmtid="{D5CDD505-2E9C-101B-9397-08002B2CF9AE}" pid="15" name="_CopySource">
    <vt:lpwstr/>
  </property>
  <property fmtid="{D5CDD505-2E9C-101B-9397-08002B2CF9AE}" pid="16" name="DocHub_Year">
    <vt:lpwstr/>
  </property>
  <property fmtid="{D5CDD505-2E9C-101B-9397-08002B2CF9AE}" pid="17" name="DocHub_DocumentType">
    <vt:lpwstr>183;#Legislative Instrument|edbe159b-95f5-40e7-bf23-9dfb62f2e7f0</vt:lpwstr>
  </property>
  <property fmtid="{D5CDD505-2E9C-101B-9397-08002B2CF9AE}" pid="18" name="DocHub_SecurityClassification">
    <vt:lpwstr>923;#Legislative secrecy|7696ab49-fa39-45c8-8833-1b0d93fa11aa</vt:lpwstr>
  </property>
  <property fmtid="{D5CDD505-2E9C-101B-9397-08002B2CF9AE}" pid="19" name="DocHub_MethodologyDetermination">
    <vt:lpwstr/>
  </property>
  <property fmtid="{D5CDD505-2E9C-101B-9397-08002B2CF9AE}" pid="20" name="DocHub_EmissionsReductionFundSector">
    <vt:lpwstr>405;#Agriculture|f428f9b1-b2cb-498d-b4c1-07b213ef4e20</vt:lpwstr>
  </property>
  <property fmtid="{D5CDD505-2E9C-101B-9397-08002B2CF9AE}" pid="21" name="DocHub_WorkActivity">
    <vt:lpwstr/>
  </property>
  <property fmtid="{D5CDD505-2E9C-101B-9397-08002B2CF9AE}" pid="22" name="DocHub_Keywords">
    <vt:lpwstr/>
  </property>
  <property fmtid="{D5CDD505-2E9C-101B-9397-08002B2CF9AE}" pid="23" name="CER_DLM">
    <vt:lpwstr>OFFICIAL</vt:lpwstr>
  </property>
  <property fmtid="{D5CDD505-2E9C-101B-9397-08002B2CF9AE}" pid="24" name="CER_FileClassification">
    <vt:lpwstr>None</vt:lpwstr>
  </property>
  <property fmtid="{D5CDD505-2E9C-101B-9397-08002B2CF9AE}" pid="25" name="RevIMBCS">
    <vt:i4>314</vt:i4>
  </property>
  <property fmtid="{D5CDD505-2E9C-101B-9397-08002B2CF9AE}" pid="26" name="CER_FileStatus">
    <vt:lpwstr>Open</vt:lpwstr>
  </property>
</Properties>
</file>