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4F5A0" w14:textId="77777777" w:rsidR="00436459" w:rsidRPr="00160353" w:rsidRDefault="00436459" w:rsidP="00436459">
      <w:pPr>
        <w:pStyle w:val="Heading1"/>
        <w:spacing w:before="0" w:after="0" w:line="240" w:lineRule="auto"/>
        <w:jc w:val="center"/>
        <w:rPr>
          <w:rFonts w:ascii="Times New Roman" w:hAnsi="Times New Roman"/>
          <w:b/>
          <w:sz w:val="24"/>
          <w:szCs w:val="24"/>
          <w:u w:val="single"/>
        </w:rPr>
      </w:pPr>
      <w:r w:rsidRPr="00160353">
        <w:rPr>
          <w:rFonts w:ascii="Times New Roman" w:hAnsi="Times New Roman"/>
          <w:b/>
          <w:sz w:val="24"/>
          <w:szCs w:val="24"/>
          <w:u w:val="single"/>
        </w:rPr>
        <w:t>Electronic transactions AMENDMENT regulations 202</w:t>
      </w:r>
      <w:r>
        <w:rPr>
          <w:rFonts w:ascii="Times New Roman" w:hAnsi="Times New Roman"/>
          <w:b/>
          <w:sz w:val="24"/>
          <w:szCs w:val="24"/>
          <w:u w:val="single"/>
        </w:rPr>
        <w:t>2</w:t>
      </w:r>
    </w:p>
    <w:p w14:paraId="484FC814" w14:textId="77777777" w:rsidR="00436459" w:rsidRPr="00160353" w:rsidRDefault="00436459" w:rsidP="00436459">
      <w:pPr>
        <w:rPr>
          <w:rFonts w:ascii="Times New Roman" w:hAnsi="Times New Roman"/>
          <w:sz w:val="24"/>
          <w:szCs w:val="24"/>
        </w:rPr>
      </w:pPr>
    </w:p>
    <w:p w14:paraId="37BB6FA6" w14:textId="77777777" w:rsidR="00436459" w:rsidRPr="00160353" w:rsidRDefault="00436459" w:rsidP="00436459">
      <w:pPr>
        <w:pStyle w:val="Heading1"/>
        <w:spacing w:before="0" w:after="0" w:line="240" w:lineRule="auto"/>
        <w:jc w:val="center"/>
        <w:rPr>
          <w:rFonts w:ascii="Times New Roman" w:hAnsi="Times New Roman"/>
          <w:b/>
          <w:color w:val="FF0000"/>
          <w:sz w:val="24"/>
          <w:szCs w:val="24"/>
          <w:u w:val="single"/>
        </w:rPr>
      </w:pPr>
    </w:p>
    <w:p w14:paraId="2CB6F89D" w14:textId="77777777" w:rsidR="00436459" w:rsidRPr="00160353" w:rsidRDefault="00436459" w:rsidP="00436459">
      <w:pPr>
        <w:pStyle w:val="Heading1"/>
        <w:spacing w:before="0" w:after="0" w:line="240" w:lineRule="auto"/>
        <w:jc w:val="center"/>
        <w:rPr>
          <w:rFonts w:ascii="Times New Roman" w:hAnsi="Times New Roman"/>
          <w:caps w:val="0"/>
          <w:color w:val="FF0000"/>
          <w:sz w:val="24"/>
          <w:szCs w:val="24"/>
        </w:rPr>
      </w:pPr>
      <w:r w:rsidRPr="00160353">
        <w:rPr>
          <w:rFonts w:ascii="Times New Roman" w:hAnsi="Times New Roman"/>
          <w:b/>
          <w:sz w:val="24"/>
          <w:szCs w:val="24"/>
          <w:u w:val="single"/>
        </w:rPr>
        <w:t>EXPLANATORY STATEMENT</w:t>
      </w:r>
    </w:p>
    <w:p w14:paraId="026C798D" w14:textId="77777777" w:rsidR="00436459" w:rsidRPr="00160353" w:rsidRDefault="00436459" w:rsidP="00E37403">
      <w:pPr>
        <w:spacing w:line="360" w:lineRule="auto"/>
        <w:rPr>
          <w:rFonts w:ascii="Times New Roman" w:hAnsi="Times New Roman" w:cs="Times New Roman"/>
          <w:b/>
          <w:sz w:val="24"/>
          <w:szCs w:val="24"/>
          <w:u w:val="single"/>
        </w:rPr>
      </w:pPr>
    </w:p>
    <w:p w14:paraId="167FD9E3" w14:textId="77777777" w:rsidR="00436459" w:rsidRPr="00160353" w:rsidRDefault="00436459" w:rsidP="00436459">
      <w:pPr>
        <w:spacing w:line="360" w:lineRule="auto"/>
        <w:jc w:val="center"/>
        <w:rPr>
          <w:rFonts w:ascii="Times New Roman" w:hAnsi="Times New Roman" w:cs="Times New Roman"/>
          <w:sz w:val="24"/>
          <w:szCs w:val="24"/>
        </w:rPr>
      </w:pPr>
      <w:r w:rsidRPr="00160353">
        <w:rPr>
          <w:rFonts w:ascii="Times New Roman" w:hAnsi="Times New Roman" w:cs="Times New Roman"/>
          <w:sz w:val="24"/>
          <w:szCs w:val="24"/>
        </w:rPr>
        <w:t xml:space="preserve">Issued by authority of the Attorney-General </w:t>
      </w:r>
    </w:p>
    <w:p w14:paraId="41D68DC4" w14:textId="77777777" w:rsidR="00436459" w:rsidRPr="00160353" w:rsidRDefault="00436459" w:rsidP="00436459">
      <w:pPr>
        <w:spacing w:line="360" w:lineRule="auto"/>
        <w:jc w:val="center"/>
        <w:rPr>
          <w:rFonts w:ascii="Times New Roman" w:hAnsi="Times New Roman" w:cs="Times New Roman"/>
          <w:i/>
          <w:sz w:val="24"/>
          <w:szCs w:val="24"/>
        </w:rPr>
      </w:pPr>
      <w:r w:rsidRPr="00160353">
        <w:rPr>
          <w:rFonts w:ascii="Times New Roman" w:hAnsi="Times New Roman" w:cs="Times New Roman"/>
          <w:sz w:val="24"/>
          <w:szCs w:val="24"/>
        </w:rPr>
        <w:t xml:space="preserve">in compliance with section 15J of the </w:t>
      </w:r>
      <w:r w:rsidRPr="00160353">
        <w:rPr>
          <w:rFonts w:ascii="Times New Roman" w:hAnsi="Times New Roman" w:cs="Times New Roman"/>
          <w:i/>
          <w:sz w:val="24"/>
          <w:szCs w:val="24"/>
        </w:rPr>
        <w:t xml:space="preserve">Legislation Act 2003 </w:t>
      </w:r>
    </w:p>
    <w:p w14:paraId="5F0980CD" w14:textId="77777777" w:rsidR="00436459" w:rsidRPr="00160353" w:rsidRDefault="00436459" w:rsidP="00436459">
      <w:pPr>
        <w:spacing w:line="360" w:lineRule="auto"/>
        <w:rPr>
          <w:rFonts w:ascii="Times New Roman" w:hAnsi="Times New Roman" w:cs="Times New Roman"/>
          <w:b/>
          <w:sz w:val="24"/>
          <w:szCs w:val="24"/>
        </w:rPr>
      </w:pPr>
      <w:r w:rsidRPr="00160353">
        <w:rPr>
          <w:rFonts w:ascii="Times New Roman" w:hAnsi="Times New Roman" w:cs="Times New Roman"/>
          <w:b/>
          <w:caps/>
          <w:sz w:val="24"/>
          <w:szCs w:val="24"/>
        </w:rPr>
        <w:t>Purpose and operation of the Instrument</w:t>
      </w:r>
    </w:p>
    <w:p w14:paraId="0A9F2832" w14:textId="3114D54B"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bookmarkStart w:id="0" w:name="_Hlk87886885"/>
      <w:r w:rsidRPr="00160353">
        <w:rPr>
          <w:rFonts w:ascii="Times New Roman" w:eastAsia="Times New Roman" w:hAnsi="Times New Roman" w:cs="Times New Roman"/>
          <w:color w:val="000000"/>
          <w:sz w:val="24"/>
          <w:szCs w:val="24"/>
          <w:lang w:eastAsia="en-AU"/>
        </w:rPr>
        <w:t xml:space="preserve">The purpose of the </w:t>
      </w:r>
      <w:r w:rsidRPr="00160353">
        <w:rPr>
          <w:rFonts w:ascii="Times New Roman" w:eastAsia="Times New Roman" w:hAnsi="Times New Roman" w:cs="Times New Roman"/>
          <w:i/>
          <w:color w:val="000000"/>
          <w:sz w:val="24"/>
          <w:szCs w:val="24"/>
          <w:lang w:eastAsia="en-AU"/>
        </w:rPr>
        <w:t>Electronic Transactions Amendment Regulations 202</w:t>
      </w:r>
      <w:r w:rsidR="00E667CE">
        <w:rPr>
          <w:rFonts w:ascii="Times New Roman" w:eastAsia="Times New Roman" w:hAnsi="Times New Roman" w:cs="Times New Roman"/>
          <w:i/>
          <w:color w:val="000000"/>
          <w:sz w:val="24"/>
          <w:szCs w:val="24"/>
          <w:lang w:eastAsia="en-AU"/>
        </w:rPr>
        <w:t>2</w:t>
      </w:r>
      <w:r>
        <w:rPr>
          <w:rFonts w:ascii="Times New Roman" w:eastAsia="Times New Roman" w:hAnsi="Times New Roman" w:cs="Times New Roman"/>
          <w:color w:val="000000"/>
          <w:sz w:val="24"/>
          <w:szCs w:val="24"/>
          <w:lang w:eastAsia="en-AU"/>
        </w:rPr>
        <w:t xml:space="preserve"> </w:t>
      </w:r>
      <w:r w:rsidRPr="00160353">
        <w:rPr>
          <w:rFonts w:ascii="Times New Roman" w:eastAsia="Times New Roman" w:hAnsi="Times New Roman" w:cs="Times New Roman"/>
          <w:color w:val="000000"/>
          <w:sz w:val="24"/>
          <w:szCs w:val="24"/>
          <w:lang w:eastAsia="en-AU"/>
        </w:rPr>
        <w:t xml:space="preserve">is to amend the </w:t>
      </w:r>
      <w:r w:rsidRPr="00160353">
        <w:rPr>
          <w:rFonts w:ascii="Times New Roman" w:eastAsia="Times New Roman" w:hAnsi="Times New Roman" w:cs="Times New Roman"/>
          <w:i/>
          <w:color w:val="000000"/>
          <w:sz w:val="24"/>
          <w:szCs w:val="24"/>
          <w:lang w:eastAsia="en-AU"/>
        </w:rPr>
        <w:t>Electronic Transactions Regulations 202</w:t>
      </w:r>
      <w:r w:rsidR="00AF23D7">
        <w:rPr>
          <w:rFonts w:ascii="Times New Roman" w:eastAsia="Times New Roman" w:hAnsi="Times New Roman" w:cs="Times New Roman"/>
          <w:i/>
          <w:color w:val="000000"/>
          <w:sz w:val="24"/>
          <w:szCs w:val="24"/>
          <w:lang w:eastAsia="en-AU"/>
        </w:rPr>
        <w:t>0</w:t>
      </w:r>
      <w:r w:rsidRPr="00160353">
        <w:rPr>
          <w:rFonts w:ascii="Times New Roman" w:eastAsia="Times New Roman" w:hAnsi="Times New Roman" w:cs="Times New Roman"/>
          <w:color w:val="000000"/>
          <w:sz w:val="24"/>
          <w:szCs w:val="24"/>
          <w:lang w:eastAsia="en-AU"/>
        </w:rPr>
        <w:t xml:space="preserve"> to provide an updated list of Commonwealth laws that are exempt from the </w:t>
      </w:r>
      <w:r w:rsidRPr="00160353">
        <w:rPr>
          <w:rFonts w:ascii="Times New Roman" w:eastAsia="Times New Roman" w:hAnsi="Times New Roman" w:cs="Times New Roman"/>
          <w:i/>
          <w:color w:val="000000"/>
          <w:sz w:val="24"/>
          <w:szCs w:val="24"/>
          <w:lang w:eastAsia="en-AU"/>
        </w:rPr>
        <w:t>Electronic Transactions Act 1999</w:t>
      </w:r>
      <w:r w:rsidRPr="00160353">
        <w:rPr>
          <w:rFonts w:ascii="Times New Roman" w:eastAsia="Times New Roman" w:hAnsi="Times New Roman" w:cs="Times New Roman"/>
          <w:color w:val="000000"/>
          <w:sz w:val="24"/>
          <w:szCs w:val="24"/>
          <w:lang w:eastAsia="en-AU"/>
        </w:rPr>
        <w:t xml:space="preserve"> (the Act).</w:t>
      </w:r>
    </w:p>
    <w:bookmarkEnd w:id="0"/>
    <w:p w14:paraId="16D5B2F9"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1F3FC5C3" w14:textId="5C4C905C"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The </w:t>
      </w:r>
      <w:r w:rsidRPr="005E5408">
        <w:rPr>
          <w:rFonts w:ascii="Times New Roman" w:eastAsia="Times New Roman" w:hAnsi="Times New Roman" w:cs="Times New Roman"/>
          <w:i/>
          <w:color w:val="000000"/>
          <w:sz w:val="24"/>
          <w:szCs w:val="24"/>
          <w:lang w:eastAsia="en-AU"/>
        </w:rPr>
        <w:t>Electronic Transactions Regulations 202</w:t>
      </w:r>
      <w:r w:rsidR="00AF23D7">
        <w:rPr>
          <w:rFonts w:ascii="Times New Roman" w:eastAsia="Times New Roman" w:hAnsi="Times New Roman" w:cs="Times New Roman"/>
          <w:i/>
          <w:color w:val="000000"/>
          <w:sz w:val="24"/>
          <w:szCs w:val="24"/>
          <w:lang w:eastAsia="en-AU"/>
        </w:rPr>
        <w:t>0</w:t>
      </w:r>
      <w:r w:rsidR="008434BB">
        <w:rPr>
          <w:rFonts w:ascii="Times New Roman" w:eastAsia="Times New Roman" w:hAnsi="Times New Roman" w:cs="Times New Roman"/>
          <w:i/>
          <w:color w:val="000000"/>
          <w:sz w:val="24"/>
          <w:szCs w:val="24"/>
          <w:lang w:eastAsia="en-AU"/>
        </w:rPr>
        <w:t xml:space="preserve"> </w:t>
      </w:r>
      <w:r w:rsidRPr="00160353">
        <w:rPr>
          <w:rFonts w:ascii="Times New Roman" w:eastAsia="Times New Roman" w:hAnsi="Times New Roman" w:cs="Times New Roman"/>
          <w:color w:val="000000"/>
          <w:sz w:val="24"/>
          <w:szCs w:val="24"/>
          <w:lang w:eastAsia="en-AU"/>
        </w:rPr>
        <w:t xml:space="preserve">(the Principal Regulations) provides a list of Commonwealth laws that are exempt from the Act. </w:t>
      </w:r>
    </w:p>
    <w:p w14:paraId="6C92925E"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4E0619C2"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bookmarkStart w:id="1" w:name="_Hlk87887678"/>
      <w:r w:rsidRPr="00160353">
        <w:rPr>
          <w:rFonts w:ascii="Times New Roman" w:eastAsia="Times New Roman" w:hAnsi="Times New Roman" w:cs="Times New Roman"/>
          <w:color w:val="000000"/>
          <w:sz w:val="24"/>
          <w:szCs w:val="24"/>
          <w:lang w:eastAsia="en-AU"/>
        </w:rPr>
        <w:t xml:space="preserve">The Act facilitates the use of electronic transactions, and enables business and the community to use electronic communications in their dealings with the government. </w:t>
      </w:r>
    </w:p>
    <w:p w14:paraId="5B16F9D2" w14:textId="41B85B6F" w:rsidR="00436459" w:rsidRPr="00667551"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667551">
        <w:rPr>
          <w:rFonts w:ascii="Times New Roman" w:eastAsia="Times New Roman" w:hAnsi="Times New Roman" w:cs="Times New Roman"/>
          <w:color w:val="000000"/>
          <w:sz w:val="24"/>
          <w:szCs w:val="24"/>
          <w:lang w:eastAsia="en-AU"/>
        </w:rPr>
        <w:t xml:space="preserve">The Act ensures that a transaction under a Commonwealth law will not be invalid simply because it was conducted by means of electronic communication. If a Commonwealth law requires an individual to give information in writing, provide a signature, produce a document in material form or record or retain information, the Act operates to ensure those requirements are fulfilled if provided electronically. </w:t>
      </w:r>
    </w:p>
    <w:p w14:paraId="1B7ADF08" w14:textId="77777777" w:rsidR="00436459" w:rsidRPr="00667551"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53CB0567" w14:textId="77777777" w:rsidR="00436459" w:rsidRPr="00667551"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667551">
        <w:rPr>
          <w:rFonts w:ascii="Times New Roman" w:eastAsia="Times New Roman" w:hAnsi="Times New Roman" w:cs="Times New Roman"/>
          <w:color w:val="000000"/>
          <w:sz w:val="24"/>
          <w:szCs w:val="24"/>
          <w:lang w:eastAsia="en-AU"/>
        </w:rPr>
        <w:t xml:space="preserve">The Act is based upon principles of functional equivalence, which means that paper-based commerce and electronic commerce should be treated equally by the law, and technology neutrality, which means that the law should not discriminate between forms of technology. The Act does not remove any legal obligations that may be imposed upon an individual by other Commonwealth laws. </w:t>
      </w:r>
    </w:p>
    <w:p w14:paraId="2E9B35E8"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136FD7EE"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Section 16 of the Act provides that the Governor-General may make regulations prescribing all matters required or permitted to be prescribed or necessary or convenient to be prescribed for carrying out or giving effect to the Act. </w:t>
      </w:r>
    </w:p>
    <w:bookmarkEnd w:id="1"/>
    <w:p w14:paraId="44BB8659"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691DE9B5"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The Act applies to all laws of the Commonwealth unless, pursuant to section 7A of the Act, they are specifically exempted by the </w:t>
      </w:r>
      <w:r>
        <w:rPr>
          <w:rFonts w:ascii="Times New Roman" w:eastAsia="Times New Roman" w:hAnsi="Times New Roman" w:cs="Times New Roman"/>
          <w:color w:val="000000"/>
          <w:sz w:val="24"/>
          <w:szCs w:val="24"/>
          <w:lang w:eastAsia="en-AU"/>
        </w:rPr>
        <w:t xml:space="preserve">Principal </w:t>
      </w:r>
      <w:r w:rsidRPr="00160353">
        <w:rPr>
          <w:rFonts w:ascii="Times New Roman" w:eastAsia="Times New Roman" w:hAnsi="Times New Roman" w:cs="Times New Roman"/>
          <w:color w:val="000000"/>
          <w:sz w:val="24"/>
          <w:szCs w:val="24"/>
          <w:lang w:eastAsia="en-AU"/>
        </w:rPr>
        <w:t xml:space="preserve">Regulations or are exempted pursuant to section 7B of the Act. Schedule 1 to the </w:t>
      </w:r>
      <w:r>
        <w:rPr>
          <w:rFonts w:ascii="Times New Roman" w:eastAsia="Times New Roman" w:hAnsi="Times New Roman" w:cs="Times New Roman"/>
          <w:color w:val="000000"/>
          <w:sz w:val="24"/>
          <w:szCs w:val="24"/>
          <w:lang w:eastAsia="en-AU"/>
        </w:rPr>
        <w:t xml:space="preserve">Principal </w:t>
      </w:r>
      <w:r w:rsidRPr="00160353">
        <w:rPr>
          <w:rFonts w:ascii="Times New Roman" w:eastAsia="Times New Roman" w:hAnsi="Times New Roman" w:cs="Times New Roman"/>
          <w:color w:val="000000"/>
          <w:sz w:val="24"/>
          <w:szCs w:val="24"/>
          <w:lang w:eastAsia="en-AU"/>
        </w:rPr>
        <w:t xml:space="preserve">Regulations contains </w:t>
      </w:r>
      <w:r>
        <w:rPr>
          <w:rFonts w:ascii="Times New Roman" w:eastAsia="Times New Roman" w:hAnsi="Times New Roman" w:cs="Times New Roman"/>
          <w:color w:val="000000"/>
          <w:sz w:val="24"/>
          <w:szCs w:val="24"/>
          <w:lang w:eastAsia="en-AU"/>
        </w:rPr>
        <w:t>the</w:t>
      </w:r>
      <w:r w:rsidRPr="00160353">
        <w:rPr>
          <w:rFonts w:ascii="Times New Roman" w:eastAsia="Times New Roman" w:hAnsi="Times New Roman" w:cs="Times New Roman"/>
          <w:color w:val="000000"/>
          <w:sz w:val="24"/>
          <w:szCs w:val="24"/>
          <w:lang w:eastAsia="en-AU"/>
        </w:rPr>
        <w:t xml:space="preserve"> list of Commonwealth laws that are exempt from the application of the Act. These exemptions are necessary to account for circumstances where it is not appropriate to provide information, documents or signatures electronically. </w:t>
      </w:r>
    </w:p>
    <w:p w14:paraId="3B9BBBBE"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607E2C95"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The </w:t>
      </w:r>
      <w:bookmarkStart w:id="2" w:name="_Hlk87872517"/>
      <w:r w:rsidRPr="00160353">
        <w:rPr>
          <w:rFonts w:ascii="Times New Roman" w:eastAsia="Times New Roman" w:hAnsi="Times New Roman" w:cs="Times New Roman"/>
          <w:i/>
          <w:color w:val="000000"/>
          <w:sz w:val="24"/>
          <w:szCs w:val="24"/>
          <w:lang w:eastAsia="en-AU"/>
        </w:rPr>
        <w:t>Electronic Transactions Amendment Regulations 202</w:t>
      </w:r>
      <w:bookmarkEnd w:id="2"/>
      <w:r w:rsidR="008434BB">
        <w:rPr>
          <w:rFonts w:ascii="Times New Roman" w:eastAsia="Times New Roman" w:hAnsi="Times New Roman" w:cs="Times New Roman"/>
          <w:i/>
          <w:color w:val="000000"/>
          <w:sz w:val="24"/>
          <w:szCs w:val="24"/>
          <w:lang w:eastAsia="en-AU"/>
        </w:rPr>
        <w:t>2</w:t>
      </w:r>
      <w:r w:rsidRPr="0016035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(the Amendment Regulations) </w:t>
      </w:r>
      <w:r w:rsidRPr="00160353">
        <w:rPr>
          <w:rFonts w:ascii="Times New Roman" w:eastAsia="Times New Roman" w:hAnsi="Times New Roman" w:cs="Times New Roman"/>
          <w:color w:val="000000"/>
          <w:sz w:val="24"/>
          <w:szCs w:val="24"/>
          <w:lang w:eastAsia="en-AU"/>
        </w:rPr>
        <w:t>amend the Principal Regulations to provide an updated list of Commonwealth laws that are exempt from the Act. The amendments ensure that the Act operates and reflects current and emerging digital channels and consumer and business preferences and supports the Australian Government’s Digital and Deregulation Agendas.</w:t>
      </w:r>
    </w:p>
    <w:p w14:paraId="638131AF"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6E5BF371" w14:textId="1B270751"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bookmarkStart w:id="3" w:name="_Hlk87887797"/>
      <w:r w:rsidRPr="00160353">
        <w:rPr>
          <w:rFonts w:ascii="Times New Roman" w:eastAsia="Times New Roman" w:hAnsi="Times New Roman" w:cs="Times New Roman"/>
          <w:color w:val="000000"/>
          <w:sz w:val="24"/>
          <w:szCs w:val="24"/>
          <w:lang w:eastAsia="en-AU"/>
        </w:rPr>
        <w:t xml:space="preserve">The Principal Regulations contain </w:t>
      </w:r>
      <w:r w:rsidR="008434BB">
        <w:rPr>
          <w:rFonts w:ascii="Times New Roman" w:eastAsia="Times New Roman" w:hAnsi="Times New Roman" w:cs="Times New Roman"/>
          <w:color w:val="000000"/>
          <w:sz w:val="24"/>
          <w:szCs w:val="24"/>
          <w:lang w:eastAsia="en-AU"/>
        </w:rPr>
        <w:t>60</w:t>
      </w:r>
      <w:r w:rsidRPr="00160353">
        <w:rPr>
          <w:rFonts w:ascii="Times New Roman" w:eastAsia="Times New Roman" w:hAnsi="Times New Roman" w:cs="Times New Roman"/>
          <w:color w:val="000000"/>
          <w:sz w:val="24"/>
          <w:szCs w:val="24"/>
          <w:lang w:eastAsia="en-AU"/>
        </w:rPr>
        <w:t xml:space="preserve"> exemptions. To ensure that the </w:t>
      </w:r>
      <w:r w:rsidR="00305043">
        <w:rPr>
          <w:rFonts w:ascii="Times New Roman" w:eastAsia="Times New Roman" w:hAnsi="Times New Roman" w:cs="Times New Roman"/>
          <w:color w:val="000000"/>
          <w:sz w:val="24"/>
          <w:szCs w:val="24"/>
          <w:lang w:eastAsia="en-AU"/>
        </w:rPr>
        <w:t>Regulations</w:t>
      </w:r>
      <w:r w:rsidRPr="00160353">
        <w:rPr>
          <w:rFonts w:ascii="Times New Roman" w:eastAsia="Times New Roman" w:hAnsi="Times New Roman" w:cs="Times New Roman"/>
          <w:color w:val="000000"/>
          <w:sz w:val="24"/>
          <w:szCs w:val="24"/>
          <w:lang w:eastAsia="en-AU"/>
        </w:rPr>
        <w:t xml:space="preserve"> are fit for purpose, exemptions are regularly reviewed. Business practices, and consumer behaviours and expectations have evolved since many of the exemptions were introduced.</w:t>
      </w:r>
      <w:r>
        <w:rPr>
          <w:rFonts w:ascii="Times New Roman" w:eastAsia="Times New Roman" w:hAnsi="Times New Roman" w:cs="Times New Roman"/>
          <w:color w:val="000000"/>
          <w:sz w:val="24"/>
          <w:szCs w:val="24"/>
          <w:lang w:eastAsia="en-AU"/>
        </w:rPr>
        <w:t xml:space="preserve"> </w:t>
      </w:r>
      <w:r w:rsidRPr="00160353">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Amendment Regulations</w:t>
      </w:r>
      <w:r w:rsidRPr="00160353">
        <w:rPr>
          <w:rFonts w:ascii="Times New Roman" w:eastAsia="Times New Roman" w:hAnsi="Times New Roman" w:cs="Times New Roman"/>
          <w:i/>
          <w:color w:val="000000"/>
          <w:sz w:val="24"/>
          <w:szCs w:val="24"/>
          <w:lang w:eastAsia="en-AU"/>
        </w:rPr>
        <w:t xml:space="preserve"> </w:t>
      </w:r>
      <w:r w:rsidRPr="00160353">
        <w:rPr>
          <w:rFonts w:ascii="Times New Roman" w:eastAsia="Times New Roman" w:hAnsi="Times New Roman" w:cs="Times New Roman"/>
          <w:color w:val="000000"/>
          <w:sz w:val="24"/>
          <w:szCs w:val="24"/>
          <w:lang w:eastAsia="en-AU"/>
        </w:rPr>
        <w:t xml:space="preserve">removes </w:t>
      </w:r>
      <w:r w:rsidR="0016682B">
        <w:rPr>
          <w:rFonts w:ascii="Times New Roman" w:eastAsia="Times New Roman" w:hAnsi="Times New Roman" w:cs="Times New Roman"/>
          <w:color w:val="000000"/>
          <w:sz w:val="24"/>
          <w:szCs w:val="24"/>
          <w:lang w:eastAsia="en-AU"/>
        </w:rPr>
        <w:t>five</w:t>
      </w:r>
      <w:bookmarkStart w:id="4" w:name="_GoBack"/>
      <w:bookmarkEnd w:id="4"/>
      <w:r w:rsidR="0064362E">
        <w:rPr>
          <w:rFonts w:ascii="Times New Roman" w:eastAsia="Times New Roman" w:hAnsi="Times New Roman" w:cs="Times New Roman"/>
          <w:color w:val="000000"/>
          <w:sz w:val="24"/>
          <w:szCs w:val="24"/>
          <w:lang w:eastAsia="en-AU"/>
        </w:rPr>
        <w:t xml:space="preserve"> exemptions.</w:t>
      </w:r>
    </w:p>
    <w:bookmarkEnd w:id="3"/>
    <w:p w14:paraId="58973354"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3B991254"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The removal of current exemptions to the Act supports the Government’s digital agenda and Digital Economy Strategy, which sets out how Australia will secure its future as a modern and leading digital economy and society by 2030. Removing further exemptions facilitates the application of the Act to the previously exempt legislation. Transactions executed under the laws </w:t>
      </w:r>
      <w:r>
        <w:rPr>
          <w:rFonts w:ascii="Times New Roman" w:eastAsia="Times New Roman" w:hAnsi="Times New Roman" w:cs="Times New Roman"/>
          <w:color w:val="000000"/>
          <w:sz w:val="24"/>
          <w:szCs w:val="24"/>
          <w:lang w:eastAsia="en-AU"/>
        </w:rPr>
        <w:t>removed</w:t>
      </w:r>
      <w:r w:rsidRPr="00160353">
        <w:rPr>
          <w:rFonts w:ascii="Times New Roman" w:eastAsia="Times New Roman" w:hAnsi="Times New Roman" w:cs="Times New Roman"/>
          <w:color w:val="000000"/>
          <w:sz w:val="24"/>
          <w:szCs w:val="24"/>
          <w:lang w:eastAsia="en-AU"/>
        </w:rPr>
        <w:t xml:space="preserve"> from the Principal Regulations </w:t>
      </w:r>
      <w:r>
        <w:rPr>
          <w:rFonts w:ascii="Times New Roman" w:eastAsia="Times New Roman" w:hAnsi="Times New Roman" w:cs="Times New Roman"/>
          <w:color w:val="000000"/>
          <w:sz w:val="24"/>
          <w:szCs w:val="24"/>
          <w:lang w:eastAsia="en-AU"/>
        </w:rPr>
        <w:t>are,</w:t>
      </w:r>
      <w:r w:rsidRPr="00160353">
        <w:rPr>
          <w:rFonts w:ascii="Times New Roman" w:eastAsia="Times New Roman" w:hAnsi="Times New Roman" w:cs="Times New Roman"/>
          <w:color w:val="000000"/>
          <w:sz w:val="24"/>
          <w:szCs w:val="24"/>
          <w:lang w:eastAsia="en-AU"/>
        </w:rPr>
        <w:t xml:space="preserve"> under the Amended Regulations, valid</w:t>
      </w:r>
      <w:r>
        <w:rPr>
          <w:rFonts w:ascii="Times New Roman" w:eastAsia="Times New Roman" w:hAnsi="Times New Roman" w:cs="Times New Roman"/>
          <w:color w:val="000000"/>
          <w:sz w:val="24"/>
          <w:szCs w:val="24"/>
          <w:lang w:eastAsia="en-AU"/>
        </w:rPr>
        <w:t xml:space="preserve"> </w:t>
      </w:r>
      <w:r w:rsidRPr="00160353">
        <w:rPr>
          <w:rFonts w:ascii="Times New Roman" w:eastAsia="Times New Roman" w:hAnsi="Times New Roman" w:cs="Times New Roman"/>
          <w:color w:val="000000"/>
          <w:sz w:val="24"/>
          <w:szCs w:val="24"/>
          <w:lang w:eastAsia="en-AU"/>
        </w:rPr>
        <w:t>if they take place wholly or partly by means of electronic communications. The reduction in the number of exemptions to the Act reduces barriers to electronic communications and e-commerce for businesses and the community.</w:t>
      </w:r>
    </w:p>
    <w:p w14:paraId="7A61012B"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7676DAF5" w14:textId="7764EB1F" w:rsidR="00436459" w:rsidRPr="00160353" w:rsidRDefault="00436459" w:rsidP="0043645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Act is a law of general application. Removal of exemptions from the Principal Regulations </w:t>
      </w:r>
      <w:r w:rsidR="00485A78">
        <w:rPr>
          <w:rFonts w:ascii="Times New Roman" w:hAnsi="Times New Roman" w:cs="Times New Roman"/>
          <w:sz w:val="24"/>
          <w:szCs w:val="24"/>
        </w:rPr>
        <w:t>makes</w:t>
      </w:r>
      <w:r>
        <w:rPr>
          <w:rFonts w:ascii="Times New Roman" w:hAnsi="Times New Roman" w:cs="Times New Roman"/>
          <w:sz w:val="24"/>
          <w:szCs w:val="24"/>
        </w:rPr>
        <w:t xml:space="preserve"> laws</w:t>
      </w:r>
      <w:r w:rsidR="00485A78">
        <w:rPr>
          <w:rFonts w:ascii="Times New Roman" w:hAnsi="Times New Roman" w:cs="Times New Roman"/>
          <w:sz w:val="24"/>
          <w:szCs w:val="24"/>
        </w:rPr>
        <w:t xml:space="preserve"> subject</w:t>
      </w:r>
      <w:r>
        <w:rPr>
          <w:rFonts w:ascii="Times New Roman" w:hAnsi="Times New Roman" w:cs="Times New Roman"/>
          <w:sz w:val="24"/>
          <w:szCs w:val="24"/>
        </w:rPr>
        <w:t xml:space="preserve"> to the application of the Act. Wider application of the Act </w:t>
      </w:r>
      <w:r w:rsidRPr="00160353">
        <w:rPr>
          <w:rFonts w:ascii="Times New Roman" w:hAnsi="Times New Roman" w:cs="Times New Roman"/>
          <w:sz w:val="24"/>
          <w:szCs w:val="24"/>
        </w:rPr>
        <w:t xml:space="preserve">enables, but does not compel or mandate, the use of electronic communications by business and individuals in their dealings with government. </w:t>
      </w:r>
    </w:p>
    <w:p w14:paraId="48BAF173" w14:textId="77777777" w:rsidR="00436459" w:rsidRPr="00160353" w:rsidRDefault="00436459" w:rsidP="00436459">
      <w:pPr>
        <w:spacing w:line="240" w:lineRule="auto"/>
        <w:rPr>
          <w:rFonts w:ascii="Times New Roman" w:hAnsi="Times New Roman" w:cs="Times New Roman"/>
          <w:sz w:val="24"/>
          <w:szCs w:val="24"/>
        </w:rPr>
      </w:pPr>
      <w:r w:rsidRPr="00160353">
        <w:rPr>
          <w:rFonts w:ascii="Times New Roman" w:hAnsi="Times New Roman" w:cs="Times New Roman"/>
          <w:sz w:val="24"/>
          <w:szCs w:val="24"/>
        </w:rPr>
        <w:t xml:space="preserve">The Regulations commence on the day after they are registered on the Federal Register of Legislation. </w:t>
      </w:r>
    </w:p>
    <w:p w14:paraId="46CD99C6"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hAnsi="Times New Roman" w:cs="Times New Roman"/>
          <w:sz w:val="24"/>
          <w:szCs w:val="24"/>
        </w:rPr>
        <w:t xml:space="preserve">Details of the Regulations are set out in </w:t>
      </w:r>
      <w:r w:rsidRPr="00160353">
        <w:rPr>
          <w:rFonts w:ascii="Times New Roman" w:hAnsi="Times New Roman" w:cs="Times New Roman"/>
          <w:b/>
          <w:sz w:val="24"/>
          <w:szCs w:val="24"/>
          <w:u w:val="single"/>
        </w:rPr>
        <w:t>Attachment A</w:t>
      </w:r>
      <w:r w:rsidRPr="00160353">
        <w:rPr>
          <w:rFonts w:ascii="Times New Roman" w:hAnsi="Times New Roman" w:cs="Times New Roman"/>
          <w:sz w:val="24"/>
          <w:szCs w:val="24"/>
          <w:u w:val="single"/>
        </w:rPr>
        <w:t>.</w:t>
      </w:r>
    </w:p>
    <w:p w14:paraId="58912854" w14:textId="77777777" w:rsidR="00436459" w:rsidRPr="00160353" w:rsidRDefault="00436459" w:rsidP="00436459">
      <w:pPr>
        <w:tabs>
          <w:tab w:val="center" w:pos="4111"/>
          <w:tab w:val="left" w:pos="4536"/>
        </w:tabs>
        <w:spacing w:after="0" w:line="240" w:lineRule="auto"/>
        <w:ind w:right="91"/>
        <w:rPr>
          <w:rFonts w:ascii="Times New Roman" w:eastAsia="Times New Roman" w:hAnsi="Times New Roman" w:cs="Times New Roman"/>
          <w:sz w:val="24"/>
          <w:szCs w:val="24"/>
          <w:lang w:eastAsia="en-AU"/>
        </w:rPr>
      </w:pPr>
    </w:p>
    <w:p w14:paraId="53C511D4" w14:textId="77777777" w:rsidR="00436459" w:rsidRPr="00160353" w:rsidRDefault="00436459" w:rsidP="00436459">
      <w:pPr>
        <w:spacing w:line="360" w:lineRule="auto"/>
        <w:rPr>
          <w:rFonts w:ascii="Times New Roman" w:hAnsi="Times New Roman" w:cs="Times New Roman"/>
          <w:b/>
          <w:caps/>
          <w:sz w:val="24"/>
          <w:szCs w:val="24"/>
        </w:rPr>
      </w:pPr>
      <w:r w:rsidRPr="00160353">
        <w:rPr>
          <w:rFonts w:ascii="Times New Roman" w:hAnsi="Times New Roman" w:cs="Times New Roman"/>
          <w:b/>
          <w:caps/>
          <w:sz w:val="24"/>
          <w:szCs w:val="24"/>
        </w:rPr>
        <w:t>Consultation</w:t>
      </w:r>
    </w:p>
    <w:p w14:paraId="4A49E0C2" w14:textId="77777777" w:rsidR="00436459" w:rsidRPr="00160353" w:rsidRDefault="00436459" w:rsidP="00436459">
      <w:pPr>
        <w:pStyle w:val="NoSpacing"/>
        <w:rPr>
          <w:rFonts w:ascii="Times New Roman" w:hAnsi="Times New Roman" w:cs="Times New Roman"/>
          <w:sz w:val="24"/>
          <w:szCs w:val="24"/>
        </w:rPr>
      </w:pPr>
      <w:r w:rsidRPr="00160353">
        <w:rPr>
          <w:rFonts w:ascii="Times New Roman" w:hAnsi="Times New Roman" w:cs="Times New Roman"/>
          <w:sz w:val="24"/>
          <w:szCs w:val="24"/>
        </w:rPr>
        <w:t xml:space="preserve">Consistent with the requirements of the </w:t>
      </w:r>
      <w:r w:rsidRPr="00160353">
        <w:rPr>
          <w:rFonts w:ascii="Times New Roman" w:hAnsi="Times New Roman" w:cs="Times New Roman"/>
          <w:i/>
          <w:sz w:val="24"/>
          <w:szCs w:val="24"/>
        </w:rPr>
        <w:t>Legislation Act 2003</w:t>
      </w:r>
      <w:r w:rsidRPr="00160353">
        <w:rPr>
          <w:rFonts w:ascii="Times New Roman" w:hAnsi="Times New Roman" w:cs="Times New Roman"/>
          <w:sz w:val="24"/>
          <w:szCs w:val="24"/>
        </w:rPr>
        <w:t>, the</w:t>
      </w:r>
      <w:r>
        <w:rPr>
          <w:rFonts w:ascii="Times New Roman" w:hAnsi="Times New Roman" w:cs="Times New Roman"/>
          <w:sz w:val="24"/>
          <w:szCs w:val="24"/>
        </w:rPr>
        <w:t xml:space="preserve"> Amendment</w:t>
      </w:r>
      <w:r w:rsidRPr="00160353">
        <w:rPr>
          <w:rFonts w:ascii="Times New Roman" w:hAnsi="Times New Roman" w:cs="Times New Roman"/>
          <w:sz w:val="24"/>
          <w:szCs w:val="24"/>
        </w:rPr>
        <w:t xml:space="preserve"> Regulations have been informed by consultation with the government agencies that have policy responsibility for the legislation to be removed from the </w:t>
      </w:r>
      <w:r>
        <w:rPr>
          <w:rFonts w:ascii="Times New Roman" w:hAnsi="Times New Roman" w:cs="Times New Roman"/>
          <w:sz w:val="24"/>
          <w:szCs w:val="24"/>
        </w:rPr>
        <w:t xml:space="preserve">Principal </w:t>
      </w:r>
      <w:r w:rsidRPr="00160353">
        <w:rPr>
          <w:rFonts w:ascii="Times New Roman" w:hAnsi="Times New Roman" w:cs="Times New Roman"/>
          <w:sz w:val="24"/>
          <w:szCs w:val="24"/>
        </w:rPr>
        <w:t xml:space="preserve">Regulations. Removal of exemptions facilitates additional avenues of communication with the government but does not prevent people communicating with government agencies through paper-based correspondence. </w:t>
      </w:r>
    </w:p>
    <w:p w14:paraId="0F405E27" w14:textId="77777777" w:rsidR="00436459" w:rsidRPr="00160353" w:rsidRDefault="00436459" w:rsidP="00436459">
      <w:pPr>
        <w:pStyle w:val="NoSpacing"/>
        <w:rPr>
          <w:rFonts w:ascii="Times New Roman" w:hAnsi="Times New Roman" w:cs="Times New Roman"/>
          <w:sz w:val="24"/>
          <w:szCs w:val="24"/>
        </w:rPr>
      </w:pPr>
    </w:p>
    <w:p w14:paraId="3368B252" w14:textId="77777777" w:rsidR="0064362E" w:rsidRDefault="00436459" w:rsidP="00436459">
      <w:pPr>
        <w:pStyle w:val="NoSpacing"/>
        <w:rPr>
          <w:rFonts w:ascii="Times New Roman" w:hAnsi="Times New Roman" w:cs="Times New Roman"/>
          <w:sz w:val="24"/>
          <w:szCs w:val="24"/>
        </w:rPr>
      </w:pPr>
      <w:r w:rsidRPr="00160353">
        <w:rPr>
          <w:rFonts w:ascii="Times New Roman" w:hAnsi="Times New Roman" w:cs="Times New Roman"/>
          <w:sz w:val="24"/>
          <w:szCs w:val="24"/>
        </w:rPr>
        <w:t xml:space="preserve">The following government agencies were consulted by the Deregulation Taskforce </w:t>
      </w:r>
      <w:r w:rsidR="0064362E">
        <w:rPr>
          <w:rFonts w:ascii="Times New Roman" w:hAnsi="Times New Roman" w:cs="Times New Roman"/>
          <w:sz w:val="24"/>
          <w:szCs w:val="24"/>
        </w:rPr>
        <w:t xml:space="preserve">to facilitate removal of exemptions under the Amendment Regulations: </w:t>
      </w:r>
    </w:p>
    <w:p w14:paraId="528DB773" w14:textId="77777777" w:rsidR="00436459" w:rsidRPr="00C22C3B" w:rsidRDefault="00436459" w:rsidP="00436459">
      <w:pPr>
        <w:pStyle w:val="NoSpacing"/>
        <w:rPr>
          <w:rFonts w:ascii="Times New Roman" w:hAnsi="Times New Roman" w:cs="Times New Roman"/>
          <w:sz w:val="24"/>
          <w:szCs w:val="24"/>
        </w:rPr>
      </w:pPr>
      <w:r w:rsidRPr="00C22C3B">
        <w:rPr>
          <w:rFonts w:ascii="Times New Roman" w:hAnsi="Times New Roman" w:cs="Times New Roman"/>
          <w:sz w:val="24"/>
          <w:szCs w:val="24"/>
        </w:rPr>
        <w:t>Department of the Prime Minister and Cabinet</w:t>
      </w:r>
    </w:p>
    <w:p w14:paraId="21C39171" w14:textId="69556464" w:rsidR="00436459" w:rsidRPr="002D328C" w:rsidRDefault="00436459" w:rsidP="00436459">
      <w:pPr>
        <w:pStyle w:val="NoSpacing"/>
        <w:rPr>
          <w:rFonts w:ascii="Times New Roman" w:hAnsi="Times New Roman" w:cs="Times New Roman"/>
          <w:sz w:val="24"/>
          <w:szCs w:val="24"/>
        </w:rPr>
      </w:pPr>
      <w:r w:rsidRPr="002D328C">
        <w:rPr>
          <w:rFonts w:ascii="Times New Roman" w:hAnsi="Times New Roman" w:cs="Times New Roman"/>
          <w:sz w:val="24"/>
          <w:szCs w:val="24"/>
        </w:rPr>
        <w:t>Department of Foreign Affairs and Trade</w:t>
      </w:r>
    </w:p>
    <w:p w14:paraId="0BF93A5B" w14:textId="0D628EAD" w:rsidR="00402C33" w:rsidRDefault="00402C33" w:rsidP="00436459">
      <w:pPr>
        <w:pStyle w:val="NoSpacing"/>
        <w:rPr>
          <w:rFonts w:ascii="Times New Roman" w:hAnsi="Times New Roman" w:cs="Times New Roman"/>
          <w:sz w:val="24"/>
          <w:szCs w:val="24"/>
        </w:rPr>
      </w:pPr>
      <w:r>
        <w:rPr>
          <w:rFonts w:ascii="Times New Roman" w:hAnsi="Times New Roman" w:cs="Times New Roman"/>
          <w:sz w:val="24"/>
          <w:szCs w:val="24"/>
        </w:rPr>
        <w:t>Department of Home Affairs</w:t>
      </w:r>
    </w:p>
    <w:p w14:paraId="19083833" w14:textId="745A9E79" w:rsidR="00402C33" w:rsidRDefault="00402C33" w:rsidP="00436459">
      <w:pPr>
        <w:pStyle w:val="NoSpacing"/>
        <w:rPr>
          <w:rFonts w:ascii="Times New Roman" w:hAnsi="Times New Roman" w:cs="Times New Roman"/>
          <w:sz w:val="24"/>
          <w:szCs w:val="24"/>
        </w:rPr>
      </w:pPr>
      <w:r>
        <w:rPr>
          <w:rFonts w:ascii="Times New Roman" w:hAnsi="Times New Roman" w:cs="Times New Roman"/>
          <w:sz w:val="24"/>
          <w:szCs w:val="24"/>
        </w:rPr>
        <w:t>Department of Defence</w:t>
      </w:r>
    </w:p>
    <w:p w14:paraId="537E8EAD" w14:textId="3AA70CE5" w:rsidR="002D328C" w:rsidRDefault="002D328C" w:rsidP="00436459">
      <w:pPr>
        <w:pStyle w:val="NoSpacing"/>
        <w:rPr>
          <w:rFonts w:ascii="Times New Roman" w:hAnsi="Times New Roman" w:cs="Times New Roman"/>
          <w:sz w:val="24"/>
          <w:szCs w:val="24"/>
        </w:rPr>
      </w:pPr>
      <w:r>
        <w:rPr>
          <w:rFonts w:ascii="Times New Roman" w:hAnsi="Times New Roman" w:cs="Times New Roman"/>
          <w:sz w:val="24"/>
          <w:szCs w:val="24"/>
        </w:rPr>
        <w:t xml:space="preserve">Australian Public Service Commission </w:t>
      </w:r>
    </w:p>
    <w:p w14:paraId="66AF6DA5" w14:textId="77777777" w:rsidR="00436459" w:rsidRPr="00160353" w:rsidRDefault="00436459" w:rsidP="00436459">
      <w:pPr>
        <w:pStyle w:val="NoSpacing"/>
        <w:rPr>
          <w:rFonts w:ascii="Times New Roman" w:hAnsi="Times New Roman" w:cs="Times New Roman"/>
          <w:sz w:val="24"/>
          <w:szCs w:val="24"/>
        </w:rPr>
      </w:pPr>
    </w:p>
    <w:p w14:paraId="730E4BB9" w14:textId="77777777" w:rsidR="00436459" w:rsidRPr="00160353" w:rsidRDefault="00436459" w:rsidP="00436459">
      <w:pPr>
        <w:pStyle w:val="NoSpacing"/>
        <w:rPr>
          <w:rFonts w:ascii="Times New Roman" w:hAnsi="Times New Roman" w:cs="Times New Roman"/>
          <w:sz w:val="24"/>
          <w:szCs w:val="24"/>
        </w:rPr>
      </w:pPr>
      <w:r w:rsidRPr="00160353">
        <w:rPr>
          <w:rFonts w:ascii="Times New Roman" w:hAnsi="Times New Roman" w:cs="Times New Roman"/>
          <w:sz w:val="24"/>
          <w:szCs w:val="24"/>
        </w:rPr>
        <w:t xml:space="preserve">Further details of the Regulations are set out in </w:t>
      </w:r>
      <w:r w:rsidRPr="00160353">
        <w:rPr>
          <w:rFonts w:ascii="Times New Roman" w:hAnsi="Times New Roman" w:cs="Times New Roman"/>
          <w:b/>
          <w:sz w:val="24"/>
          <w:szCs w:val="24"/>
          <w:u w:val="single"/>
        </w:rPr>
        <w:t>Attachment A</w:t>
      </w:r>
      <w:r w:rsidRPr="00160353">
        <w:rPr>
          <w:rFonts w:ascii="Times New Roman" w:hAnsi="Times New Roman" w:cs="Times New Roman"/>
          <w:sz w:val="24"/>
          <w:szCs w:val="24"/>
        </w:rPr>
        <w:t>.</w:t>
      </w:r>
    </w:p>
    <w:p w14:paraId="067BF0EC" w14:textId="77777777" w:rsidR="00436459" w:rsidRPr="00160353" w:rsidRDefault="00436459" w:rsidP="00436459">
      <w:pPr>
        <w:pStyle w:val="NoSpacing"/>
        <w:rPr>
          <w:rFonts w:ascii="Times New Roman" w:hAnsi="Times New Roman" w:cs="Times New Roman"/>
          <w:strike/>
          <w:sz w:val="24"/>
          <w:szCs w:val="24"/>
        </w:rPr>
      </w:pPr>
    </w:p>
    <w:p w14:paraId="5BD632D3" w14:textId="77777777" w:rsidR="00436459" w:rsidRPr="00160353" w:rsidRDefault="00436459" w:rsidP="00436459">
      <w:pPr>
        <w:spacing w:line="360" w:lineRule="auto"/>
        <w:rPr>
          <w:rFonts w:ascii="Times New Roman" w:hAnsi="Times New Roman" w:cs="Times New Roman"/>
          <w:b/>
          <w:caps/>
          <w:sz w:val="24"/>
          <w:szCs w:val="24"/>
        </w:rPr>
      </w:pPr>
      <w:r w:rsidRPr="00160353">
        <w:rPr>
          <w:rFonts w:ascii="Times New Roman" w:hAnsi="Times New Roman" w:cs="Times New Roman"/>
          <w:b/>
          <w:caps/>
          <w:sz w:val="24"/>
          <w:szCs w:val="24"/>
        </w:rPr>
        <w:t>Regulation Impact Statement</w:t>
      </w:r>
    </w:p>
    <w:p w14:paraId="43689F1F" w14:textId="77777777" w:rsidR="00436459" w:rsidRPr="00160353" w:rsidRDefault="00436459" w:rsidP="00436459">
      <w:pPr>
        <w:spacing w:after="240" w:line="240" w:lineRule="auto"/>
        <w:rPr>
          <w:rFonts w:ascii="Times New Roman" w:hAnsi="Times New Roman" w:cs="Times New Roman"/>
          <w:sz w:val="24"/>
          <w:szCs w:val="24"/>
        </w:rPr>
      </w:pPr>
      <w:r w:rsidRPr="00160353">
        <w:rPr>
          <w:rFonts w:ascii="Times New Roman" w:hAnsi="Times New Roman" w:cs="Times New Roman"/>
          <w:sz w:val="24"/>
          <w:szCs w:val="24"/>
        </w:rPr>
        <w:t>The Office of Best Practice Regulation assessed the Regulations as having a minor regulatory impact on businesses, community organisations and individuals (OBPR Reference: ID25033).</w:t>
      </w:r>
      <w:r w:rsidRPr="00160353">
        <w:rPr>
          <w:rFonts w:ascii="Times New Roman" w:hAnsi="Times New Roman" w:cs="Times New Roman"/>
          <w:i/>
          <w:sz w:val="24"/>
          <w:szCs w:val="24"/>
        </w:rPr>
        <w:t xml:space="preserve"> </w:t>
      </w:r>
      <w:r w:rsidRPr="00160353">
        <w:rPr>
          <w:rFonts w:ascii="Times New Roman" w:hAnsi="Times New Roman" w:cs="Times New Roman"/>
          <w:sz w:val="24"/>
          <w:szCs w:val="24"/>
        </w:rPr>
        <w:t>As such, a Regulation Impact Statement was not required.</w:t>
      </w:r>
    </w:p>
    <w:p w14:paraId="2DEFE370" w14:textId="77777777" w:rsidR="0016682B" w:rsidRDefault="0016682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1FAD3344" w14:textId="1786EAF1" w:rsidR="00436459" w:rsidRPr="00160353" w:rsidRDefault="00436459" w:rsidP="00436459">
      <w:pPr>
        <w:rPr>
          <w:rFonts w:ascii="Times New Roman" w:hAnsi="Times New Roman" w:cs="Times New Roman"/>
          <w:b/>
          <w:sz w:val="24"/>
          <w:szCs w:val="24"/>
        </w:rPr>
      </w:pPr>
      <w:r w:rsidRPr="00160353">
        <w:rPr>
          <w:rFonts w:ascii="Times New Roman" w:hAnsi="Times New Roman" w:cs="Times New Roman"/>
          <w:b/>
          <w:sz w:val="24"/>
          <w:szCs w:val="24"/>
        </w:rPr>
        <w:lastRenderedPageBreak/>
        <w:t>Statement of Compatibility with Human Rights</w:t>
      </w:r>
    </w:p>
    <w:p w14:paraId="52948AB9" w14:textId="77777777" w:rsidR="00436459" w:rsidRPr="00160353" w:rsidRDefault="00436459" w:rsidP="00436459">
      <w:pPr>
        <w:rPr>
          <w:rFonts w:ascii="Times New Roman" w:hAnsi="Times New Roman" w:cs="Times New Roman"/>
          <w:sz w:val="24"/>
          <w:szCs w:val="24"/>
        </w:rPr>
      </w:pPr>
      <w:r w:rsidRPr="00160353">
        <w:rPr>
          <w:rFonts w:ascii="Times New Roman" w:hAnsi="Times New Roman" w:cs="Times New Roman"/>
          <w:i/>
          <w:sz w:val="24"/>
          <w:szCs w:val="24"/>
        </w:rPr>
        <w:t>Prepared in accordance with Part 3 of the Human Rights (Parliamentary Scrutiny) Act 2011</w:t>
      </w:r>
    </w:p>
    <w:p w14:paraId="279ABEF0" w14:textId="4A1A6CA1" w:rsidR="00436459" w:rsidRPr="00857DC3" w:rsidRDefault="00436459" w:rsidP="00436459">
      <w:pPr>
        <w:rPr>
          <w:rFonts w:ascii="Times New Roman" w:hAnsi="Times New Roman" w:cs="Times New Roman"/>
          <w:b/>
          <w:i/>
          <w:sz w:val="24"/>
          <w:szCs w:val="24"/>
        </w:rPr>
      </w:pPr>
      <w:r w:rsidRPr="00160353">
        <w:rPr>
          <w:rFonts w:ascii="Times New Roman" w:hAnsi="Times New Roman" w:cs="Times New Roman"/>
          <w:b/>
          <w:i/>
          <w:sz w:val="24"/>
          <w:szCs w:val="24"/>
        </w:rPr>
        <w:t>Electronic Transactions Amendment Regulations 202</w:t>
      </w:r>
      <w:r w:rsidR="002D328C">
        <w:rPr>
          <w:rFonts w:ascii="Times New Roman" w:hAnsi="Times New Roman" w:cs="Times New Roman"/>
          <w:b/>
          <w:i/>
          <w:sz w:val="24"/>
          <w:szCs w:val="24"/>
        </w:rPr>
        <w:t>2</w:t>
      </w:r>
    </w:p>
    <w:p w14:paraId="769BCDF5" w14:textId="77777777" w:rsidR="00436459" w:rsidRPr="00160353" w:rsidRDefault="00436459" w:rsidP="00436459">
      <w:pPr>
        <w:rPr>
          <w:rFonts w:ascii="Times New Roman" w:hAnsi="Times New Roman" w:cs="Times New Roman"/>
          <w:sz w:val="24"/>
          <w:szCs w:val="24"/>
        </w:rPr>
      </w:pPr>
      <w:r w:rsidRPr="00160353">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60353">
        <w:rPr>
          <w:rFonts w:ascii="Times New Roman" w:hAnsi="Times New Roman" w:cs="Times New Roman"/>
          <w:i/>
          <w:sz w:val="24"/>
          <w:szCs w:val="24"/>
        </w:rPr>
        <w:t>Human Rights (Parliamentary Scrutiny) Act 2011</w:t>
      </w:r>
      <w:r w:rsidRPr="00160353">
        <w:rPr>
          <w:rFonts w:ascii="Times New Roman" w:hAnsi="Times New Roman" w:cs="Times New Roman"/>
          <w:sz w:val="24"/>
          <w:szCs w:val="24"/>
        </w:rPr>
        <w:t>.</w:t>
      </w:r>
    </w:p>
    <w:p w14:paraId="523928DD" w14:textId="77777777" w:rsidR="00436459" w:rsidRPr="00160353" w:rsidRDefault="00436459" w:rsidP="00436459">
      <w:pPr>
        <w:rPr>
          <w:rFonts w:ascii="Times New Roman" w:hAnsi="Times New Roman" w:cs="Times New Roman"/>
          <w:b/>
          <w:sz w:val="24"/>
          <w:szCs w:val="24"/>
        </w:rPr>
      </w:pPr>
      <w:r w:rsidRPr="00160353">
        <w:rPr>
          <w:rFonts w:ascii="Times New Roman" w:hAnsi="Times New Roman" w:cs="Times New Roman"/>
          <w:b/>
          <w:sz w:val="24"/>
          <w:szCs w:val="24"/>
        </w:rPr>
        <w:t xml:space="preserve">Overview of the Disallowable Legislative Instrument </w:t>
      </w:r>
    </w:p>
    <w:p w14:paraId="75E17FAC" w14:textId="59BE9C58" w:rsidR="00436459" w:rsidRPr="00160353" w:rsidRDefault="00436459" w:rsidP="00436459">
      <w:pPr>
        <w:rPr>
          <w:rFonts w:ascii="Times New Roman" w:hAnsi="Times New Roman" w:cs="Times New Roman"/>
          <w:iCs/>
          <w:sz w:val="24"/>
          <w:szCs w:val="24"/>
        </w:rPr>
      </w:pPr>
      <w:r w:rsidRPr="00160353">
        <w:rPr>
          <w:rFonts w:ascii="Times New Roman" w:hAnsi="Times New Roman" w:cs="Times New Roman"/>
          <w:iCs/>
          <w:sz w:val="24"/>
          <w:szCs w:val="24"/>
        </w:rPr>
        <w:t xml:space="preserve">The </w:t>
      </w:r>
      <w:r w:rsidRPr="00160353">
        <w:rPr>
          <w:rFonts w:ascii="Times New Roman" w:hAnsi="Times New Roman" w:cs="Times New Roman"/>
          <w:i/>
          <w:iCs/>
          <w:sz w:val="24"/>
          <w:szCs w:val="24"/>
        </w:rPr>
        <w:t xml:space="preserve">Electronic </w:t>
      </w:r>
      <w:r w:rsidRPr="00160353">
        <w:rPr>
          <w:rFonts w:ascii="Times New Roman" w:hAnsi="Times New Roman" w:cs="Times New Roman"/>
          <w:i/>
          <w:sz w:val="24"/>
          <w:szCs w:val="24"/>
        </w:rPr>
        <w:t xml:space="preserve">Transactions </w:t>
      </w:r>
      <w:r w:rsidRPr="00160353">
        <w:rPr>
          <w:rFonts w:ascii="Times New Roman" w:hAnsi="Times New Roman" w:cs="Times New Roman"/>
          <w:i/>
          <w:iCs/>
          <w:sz w:val="24"/>
          <w:szCs w:val="24"/>
        </w:rPr>
        <w:t>Act 1999</w:t>
      </w:r>
      <w:r w:rsidRPr="00160353">
        <w:rPr>
          <w:rFonts w:ascii="Times New Roman" w:hAnsi="Times New Roman" w:cs="Times New Roman"/>
          <w:iCs/>
          <w:sz w:val="24"/>
          <w:szCs w:val="24"/>
        </w:rPr>
        <w:t xml:space="preserve"> (the Act) legally validates transactions under Commonwealth law taken place wholly or partly by means of electronic communications. This framework allows documents that are required in writing, contain a signature, or are to be produced or retained, to be met in an electronic form. The Act applies to all laws of the Commonwealth unless, pursuant to section 7A of the Act, they are specifically exempted by the </w:t>
      </w:r>
      <w:r w:rsidRPr="00160353">
        <w:rPr>
          <w:rFonts w:ascii="Times New Roman" w:hAnsi="Times New Roman" w:cs="Times New Roman"/>
          <w:i/>
          <w:iCs/>
          <w:sz w:val="24"/>
          <w:szCs w:val="24"/>
        </w:rPr>
        <w:t>Electronic Transactions Regulations 20</w:t>
      </w:r>
      <w:r>
        <w:rPr>
          <w:rFonts w:ascii="Times New Roman" w:hAnsi="Times New Roman" w:cs="Times New Roman"/>
          <w:i/>
          <w:iCs/>
          <w:sz w:val="24"/>
          <w:szCs w:val="24"/>
        </w:rPr>
        <w:t>2</w:t>
      </w:r>
      <w:r w:rsidR="00AF23D7">
        <w:rPr>
          <w:rFonts w:ascii="Times New Roman" w:hAnsi="Times New Roman" w:cs="Times New Roman"/>
          <w:i/>
          <w:iCs/>
          <w:sz w:val="24"/>
          <w:szCs w:val="24"/>
        </w:rPr>
        <w:t>0</w:t>
      </w:r>
      <w:r w:rsidR="002D328C">
        <w:rPr>
          <w:rFonts w:ascii="Times New Roman" w:hAnsi="Times New Roman" w:cs="Times New Roman"/>
          <w:i/>
          <w:iCs/>
          <w:sz w:val="24"/>
          <w:szCs w:val="24"/>
        </w:rPr>
        <w:t xml:space="preserve"> </w:t>
      </w:r>
      <w:r w:rsidRPr="00160353">
        <w:rPr>
          <w:rFonts w:ascii="Times New Roman" w:hAnsi="Times New Roman" w:cs="Times New Roman"/>
          <w:iCs/>
          <w:sz w:val="24"/>
          <w:szCs w:val="24"/>
        </w:rPr>
        <w:t xml:space="preserve">or are exempted pursuant to section 7B of the Act. </w:t>
      </w:r>
    </w:p>
    <w:p w14:paraId="66EBDE12" w14:textId="77777777" w:rsidR="00436459" w:rsidRPr="00160353" w:rsidRDefault="00436459" w:rsidP="00436459">
      <w:pPr>
        <w:rPr>
          <w:rFonts w:ascii="Times New Roman" w:hAnsi="Times New Roman" w:cs="Times New Roman"/>
          <w:iCs/>
          <w:sz w:val="24"/>
          <w:szCs w:val="24"/>
        </w:rPr>
      </w:pPr>
      <w:r w:rsidRPr="00160353">
        <w:rPr>
          <w:rFonts w:ascii="Times New Roman" w:hAnsi="Times New Roman" w:cs="Times New Roman"/>
          <w:iCs/>
          <w:sz w:val="24"/>
          <w:szCs w:val="24"/>
        </w:rPr>
        <w:t xml:space="preserve">Schedule 1 of the Regulations contains a list of Commonwealth laws that are exempted from the operation of the Act, or particular provisions of the Act. These exemptions are necessary to account for circumstances where it is not appropriate to provide information, documents or signatures electronically.  </w:t>
      </w:r>
    </w:p>
    <w:p w14:paraId="01B34AA9" w14:textId="2898B2FF" w:rsidR="00436459" w:rsidRPr="00160353" w:rsidRDefault="00436459" w:rsidP="00436459">
      <w:pPr>
        <w:rPr>
          <w:rFonts w:ascii="Times New Roman" w:hAnsi="Times New Roman" w:cs="Times New Roman"/>
          <w:sz w:val="24"/>
          <w:szCs w:val="24"/>
        </w:rPr>
      </w:pPr>
      <w:r w:rsidRPr="00160353">
        <w:rPr>
          <w:rFonts w:ascii="Times New Roman" w:hAnsi="Times New Roman" w:cs="Times New Roman"/>
          <w:sz w:val="24"/>
          <w:szCs w:val="24"/>
        </w:rPr>
        <w:t xml:space="preserve">The purpose of the </w:t>
      </w:r>
      <w:r w:rsidRPr="00160353">
        <w:rPr>
          <w:rFonts w:ascii="Times New Roman" w:hAnsi="Times New Roman" w:cs="Times New Roman"/>
          <w:i/>
          <w:sz w:val="24"/>
          <w:szCs w:val="24"/>
        </w:rPr>
        <w:t xml:space="preserve">Electronic Transactions </w:t>
      </w:r>
      <w:r>
        <w:rPr>
          <w:rFonts w:ascii="Times New Roman" w:hAnsi="Times New Roman" w:cs="Times New Roman"/>
          <w:i/>
          <w:sz w:val="24"/>
          <w:szCs w:val="24"/>
        </w:rPr>
        <w:t>Amendment Regulations 202</w:t>
      </w:r>
      <w:r w:rsidR="0064362E">
        <w:rPr>
          <w:rFonts w:ascii="Times New Roman" w:hAnsi="Times New Roman" w:cs="Times New Roman"/>
          <w:i/>
          <w:sz w:val="24"/>
          <w:szCs w:val="24"/>
        </w:rPr>
        <w:t>2</w:t>
      </w:r>
      <w:r>
        <w:rPr>
          <w:rFonts w:ascii="Times New Roman" w:hAnsi="Times New Roman" w:cs="Times New Roman"/>
          <w:i/>
          <w:sz w:val="24"/>
          <w:szCs w:val="24"/>
        </w:rPr>
        <w:t xml:space="preserve"> </w:t>
      </w:r>
      <w:r>
        <w:rPr>
          <w:rFonts w:ascii="Times New Roman" w:hAnsi="Times New Roman" w:cs="Times New Roman"/>
          <w:sz w:val="24"/>
          <w:szCs w:val="24"/>
        </w:rPr>
        <w:t>(the Amendment Regulations)</w:t>
      </w:r>
      <w:r>
        <w:rPr>
          <w:rFonts w:ascii="Times New Roman" w:hAnsi="Times New Roman" w:cs="Times New Roman"/>
          <w:i/>
          <w:sz w:val="24"/>
          <w:szCs w:val="24"/>
        </w:rPr>
        <w:t xml:space="preserve"> </w:t>
      </w:r>
      <w:r w:rsidRPr="00160353">
        <w:rPr>
          <w:rFonts w:ascii="Times New Roman" w:hAnsi="Times New Roman" w:cs="Times New Roman"/>
          <w:sz w:val="24"/>
          <w:szCs w:val="24"/>
        </w:rPr>
        <w:t xml:space="preserve">is to ensure that the exemptions to the operation of the Act remain relevant in light of current and emerging digital channels and consumer preferences. The exemptions provided in Schedule 1 of the Regulations are regularly reviewed to reflect evolving business practices and consumer behaviours. </w:t>
      </w:r>
      <w:r w:rsidR="0016682B">
        <w:rPr>
          <w:rFonts w:ascii="Times New Roman" w:hAnsi="Times New Roman" w:cs="Times New Roman"/>
          <w:sz w:val="24"/>
          <w:szCs w:val="24"/>
        </w:rPr>
        <w:t>Five</w:t>
      </w:r>
      <w:r w:rsidRPr="00160353">
        <w:rPr>
          <w:rFonts w:ascii="Times New Roman" w:hAnsi="Times New Roman" w:cs="Times New Roman"/>
          <w:sz w:val="24"/>
          <w:szCs w:val="24"/>
        </w:rPr>
        <w:t xml:space="preserve"> current exemptions have now been identified as conducive to electronic communications, and are </w:t>
      </w:r>
      <w:r>
        <w:rPr>
          <w:rFonts w:ascii="Times New Roman" w:hAnsi="Times New Roman" w:cs="Times New Roman"/>
          <w:sz w:val="24"/>
          <w:szCs w:val="24"/>
        </w:rPr>
        <w:t>removed</w:t>
      </w:r>
      <w:r w:rsidRPr="00160353">
        <w:rPr>
          <w:rFonts w:ascii="Times New Roman" w:hAnsi="Times New Roman" w:cs="Times New Roman"/>
          <w:sz w:val="24"/>
          <w:szCs w:val="24"/>
        </w:rPr>
        <w:t xml:space="preserve"> from Schedule 1 of the </w:t>
      </w:r>
      <w:r w:rsidRPr="00160353">
        <w:rPr>
          <w:rFonts w:ascii="Times New Roman" w:hAnsi="Times New Roman" w:cs="Times New Roman"/>
          <w:i/>
          <w:sz w:val="24"/>
          <w:szCs w:val="24"/>
        </w:rPr>
        <w:t>Electronic Transactions Regulations 202</w:t>
      </w:r>
      <w:r w:rsidR="00AF23D7">
        <w:rPr>
          <w:rFonts w:ascii="Times New Roman" w:hAnsi="Times New Roman" w:cs="Times New Roman"/>
          <w:i/>
          <w:sz w:val="24"/>
          <w:szCs w:val="24"/>
        </w:rPr>
        <w:t>0</w:t>
      </w:r>
      <w:r w:rsidRPr="00160353">
        <w:rPr>
          <w:rFonts w:ascii="Times New Roman" w:hAnsi="Times New Roman" w:cs="Times New Roman"/>
          <w:sz w:val="24"/>
          <w:szCs w:val="24"/>
        </w:rPr>
        <w:t xml:space="preserve">. </w:t>
      </w:r>
    </w:p>
    <w:p w14:paraId="5643DB02" w14:textId="77777777" w:rsidR="00436459" w:rsidRPr="00160353" w:rsidRDefault="00436459" w:rsidP="00436459">
      <w:pPr>
        <w:rPr>
          <w:rFonts w:ascii="Times New Roman" w:hAnsi="Times New Roman" w:cs="Times New Roman"/>
          <w:b/>
          <w:sz w:val="24"/>
          <w:szCs w:val="24"/>
        </w:rPr>
      </w:pPr>
      <w:r w:rsidRPr="00160353">
        <w:rPr>
          <w:rFonts w:ascii="Times New Roman" w:hAnsi="Times New Roman" w:cs="Times New Roman"/>
          <w:b/>
          <w:sz w:val="24"/>
          <w:szCs w:val="24"/>
        </w:rPr>
        <w:t>Human rights implications</w:t>
      </w:r>
    </w:p>
    <w:p w14:paraId="0435BC9D" w14:textId="3629118E" w:rsidR="00436459" w:rsidRPr="00217801" w:rsidRDefault="00436459" w:rsidP="00436459">
      <w:pPr>
        <w:shd w:val="clear" w:color="auto" w:fill="FFFFFF"/>
        <w:spacing w:before="288" w:after="288"/>
        <w:rPr>
          <w:rFonts w:ascii="Calibri" w:eastAsia="Times New Roman" w:hAnsi="Calibri" w:cs="Calibri"/>
          <w:color w:val="000000"/>
          <w:lang w:eastAsia="en-AU"/>
        </w:rPr>
      </w:pPr>
      <w:r w:rsidRPr="00160353">
        <w:rPr>
          <w:rFonts w:ascii="Times New Roman" w:hAnsi="Times New Roman" w:cs="Times New Roman"/>
          <w:sz w:val="24"/>
          <w:szCs w:val="24"/>
        </w:rPr>
        <w:t xml:space="preserve">Item </w:t>
      </w:r>
      <w:r w:rsidR="0064362E">
        <w:rPr>
          <w:rFonts w:ascii="Times New Roman" w:hAnsi="Times New Roman" w:cs="Times New Roman"/>
          <w:sz w:val="24"/>
          <w:szCs w:val="24"/>
        </w:rPr>
        <w:t>1</w:t>
      </w:r>
      <w:r w:rsidRPr="00160353">
        <w:rPr>
          <w:rFonts w:ascii="Times New Roman" w:hAnsi="Times New Roman" w:cs="Times New Roman"/>
          <w:sz w:val="24"/>
          <w:szCs w:val="24"/>
        </w:rPr>
        <w:t xml:space="preserve"> of the Amendment Regulations amends the </w:t>
      </w:r>
      <w:r w:rsidRPr="00160353">
        <w:rPr>
          <w:rFonts w:ascii="Times New Roman" w:hAnsi="Times New Roman" w:cs="Times New Roman"/>
          <w:i/>
          <w:sz w:val="24"/>
          <w:szCs w:val="24"/>
        </w:rPr>
        <w:t>Electronic Transactions Regulations 202</w:t>
      </w:r>
      <w:r w:rsidR="00AF23D7">
        <w:rPr>
          <w:rFonts w:ascii="Times New Roman" w:hAnsi="Times New Roman" w:cs="Times New Roman"/>
          <w:i/>
          <w:sz w:val="24"/>
          <w:szCs w:val="24"/>
        </w:rPr>
        <w:t>0</w:t>
      </w:r>
      <w:r w:rsidRPr="00160353">
        <w:rPr>
          <w:rFonts w:ascii="Times New Roman" w:hAnsi="Times New Roman" w:cs="Times New Roman"/>
          <w:i/>
          <w:sz w:val="24"/>
          <w:szCs w:val="24"/>
        </w:rPr>
        <w:t xml:space="preserve"> </w:t>
      </w:r>
      <w:r w:rsidRPr="00160353">
        <w:rPr>
          <w:rFonts w:ascii="Times New Roman" w:hAnsi="Times New Roman" w:cs="Times New Roman"/>
          <w:sz w:val="24"/>
          <w:szCs w:val="24"/>
        </w:rPr>
        <w:t xml:space="preserve">by removing </w:t>
      </w:r>
      <w:r w:rsidR="0016682B">
        <w:rPr>
          <w:rFonts w:ascii="Times New Roman" w:hAnsi="Times New Roman" w:cs="Times New Roman"/>
          <w:sz w:val="24"/>
          <w:szCs w:val="24"/>
        </w:rPr>
        <w:t>five</w:t>
      </w:r>
      <w:r>
        <w:rPr>
          <w:rFonts w:ascii="Times New Roman" w:hAnsi="Times New Roman" w:cs="Times New Roman"/>
          <w:sz w:val="24"/>
          <w:szCs w:val="24"/>
        </w:rPr>
        <w:t xml:space="preserve"> exemptions </w:t>
      </w:r>
      <w:r w:rsidRPr="00160353">
        <w:rPr>
          <w:rFonts w:ascii="Times New Roman" w:hAnsi="Times New Roman" w:cs="Times New Roman"/>
          <w:sz w:val="24"/>
          <w:szCs w:val="24"/>
        </w:rPr>
        <w:t xml:space="preserve">from Schedule 1. </w:t>
      </w:r>
      <w:r>
        <w:rPr>
          <w:rFonts w:ascii="Times New Roman" w:eastAsia="Times New Roman" w:hAnsi="Times New Roman" w:cs="Times New Roman"/>
          <w:color w:val="000000"/>
          <w:sz w:val="24"/>
          <w:szCs w:val="24"/>
          <w:lang w:val="en-GB" w:eastAsia="en-AU"/>
        </w:rPr>
        <w:t>This item</w:t>
      </w:r>
      <w:r w:rsidRPr="00217801">
        <w:rPr>
          <w:rFonts w:ascii="Times New Roman" w:eastAsia="Times New Roman" w:hAnsi="Times New Roman" w:cs="Times New Roman"/>
          <w:color w:val="000000"/>
          <w:sz w:val="24"/>
          <w:szCs w:val="24"/>
          <w:lang w:val="en-GB" w:eastAsia="en-AU"/>
        </w:rPr>
        <w:t xml:space="preserve"> do</w:t>
      </w:r>
      <w:r>
        <w:rPr>
          <w:rFonts w:ascii="Times New Roman" w:eastAsia="Times New Roman" w:hAnsi="Times New Roman" w:cs="Times New Roman"/>
          <w:color w:val="000000"/>
          <w:sz w:val="24"/>
          <w:szCs w:val="24"/>
          <w:lang w:val="en-GB" w:eastAsia="en-AU"/>
        </w:rPr>
        <w:t>es</w:t>
      </w:r>
      <w:r w:rsidRPr="00217801">
        <w:rPr>
          <w:rFonts w:ascii="Times New Roman" w:eastAsia="Times New Roman" w:hAnsi="Times New Roman" w:cs="Times New Roman"/>
          <w:color w:val="000000"/>
          <w:sz w:val="24"/>
          <w:szCs w:val="24"/>
          <w:lang w:val="en-GB" w:eastAsia="en-AU"/>
        </w:rPr>
        <w:t xml:space="preserve"> not raise human rights issues as the amendments will reduce regulatory impact as far as practicable and increase the certainty and availability of electronic transactions.</w:t>
      </w:r>
    </w:p>
    <w:p w14:paraId="1C919832" w14:textId="77777777" w:rsidR="00436459" w:rsidRPr="00217801" w:rsidRDefault="00436459" w:rsidP="00436459">
      <w:pPr>
        <w:rPr>
          <w:rFonts w:ascii="Times New Roman" w:hAnsi="Times New Roman" w:cs="Times New Roman"/>
          <w:sz w:val="24"/>
          <w:szCs w:val="24"/>
        </w:rPr>
      </w:pPr>
      <w:r w:rsidRPr="00217801">
        <w:rPr>
          <w:rFonts w:ascii="Times New Roman" w:hAnsi="Times New Roman" w:cs="Times New Roman"/>
          <w:sz w:val="24"/>
          <w:szCs w:val="24"/>
        </w:rPr>
        <w:t>Removing the exemptions from the operation of the Act for particular provisions of Commonwealth law enables, but does not compel or mandate, the use of electronic communications by business and individuals in their dealings with government.  Removing exemptions merely allows for a requirement or permission to provide information in writing under a law of the Commonwealth to be fulfilled in electronic form, in addition to written paper form.   </w:t>
      </w:r>
    </w:p>
    <w:p w14:paraId="79A49423" w14:textId="77777777" w:rsidR="0016682B" w:rsidRDefault="0016682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188882BE" w14:textId="0517B5C2" w:rsidR="00436459" w:rsidRPr="00160353" w:rsidRDefault="00436459" w:rsidP="00436459">
      <w:pPr>
        <w:rPr>
          <w:rFonts w:ascii="Times New Roman" w:hAnsi="Times New Roman" w:cs="Times New Roman"/>
          <w:b/>
          <w:sz w:val="24"/>
          <w:szCs w:val="24"/>
        </w:rPr>
      </w:pPr>
      <w:r w:rsidRPr="00160353">
        <w:rPr>
          <w:rFonts w:ascii="Times New Roman" w:hAnsi="Times New Roman" w:cs="Times New Roman"/>
          <w:b/>
          <w:sz w:val="24"/>
          <w:szCs w:val="24"/>
        </w:rPr>
        <w:lastRenderedPageBreak/>
        <w:t>Conclusion</w:t>
      </w:r>
    </w:p>
    <w:p w14:paraId="480C7EED" w14:textId="77777777" w:rsidR="00436459" w:rsidRDefault="00436459" w:rsidP="00436459">
      <w:pPr>
        <w:rPr>
          <w:rFonts w:ascii="Times New Roman" w:hAnsi="Times New Roman" w:cs="Times New Roman"/>
          <w:sz w:val="24"/>
          <w:szCs w:val="24"/>
        </w:rPr>
      </w:pPr>
      <w:r>
        <w:rPr>
          <w:rFonts w:ascii="Times New Roman" w:hAnsi="Times New Roman" w:cs="Times New Roman"/>
          <w:sz w:val="24"/>
          <w:szCs w:val="24"/>
        </w:rPr>
        <w:t>Item 1 of this Instrument does not raise human rights issues.</w:t>
      </w:r>
    </w:p>
    <w:p w14:paraId="226E2404" w14:textId="77777777" w:rsidR="00436459" w:rsidRPr="00160353" w:rsidRDefault="00436459" w:rsidP="00436459">
      <w:pPr>
        <w:rPr>
          <w:rFonts w:ascii="Times New Roman" w:hAnsi="Times New Roman" w:cs="Times New Roman"/>
          <w:b/>
          <w:sz w:val="24"/>
          <w:szCs w:val="24"/>
        </w:rPr>
      </w:pPr>
      <w:r w:rsidRPr="00160353">
        <w:rPr>
          <w:rFonts w:ascii="Times New Roman" w:hAnsi="Times New Roman" w:cs="Times New Roman"/>
          <w:b/>
          <w:sz w:val="24"/>
          <w:szCs w:val="24"/>
        </w:rPr>
        <w:br w:type="page"/>
      </w:r>
    </w:p>
    <w:p w14:paraId="76685FBA" w14:textId="77777777" w:rsidR="00436459" w:rsidRPr="00B4702A" w:rsidRDefault="00436459" w:rsidP="00436459">
      <w:pPr>
        <w:spacing w:after="0" w:line="240" w:lineRule="auto"/>
        <w:ind w:right="91"/>
        <w:jc w:val="right"/>
        <w:rPr>
          <w:rFonts w:ascii="Times New Roman" w:eastAsia="Times New Roman" w:hAnsi="Times New Roman" w:cs="Times New Roman"/>
          <w:sz w:val="24"/>
          <w:szCs w:val="24"/>
          <w:u w:val="single"/>
          <w:lang w:eastAsia="en-AU"/>
        </w:rPr>
      </w:pPr>
      <w:r w:rsidRPr="00B4702A">
        <w:rPr>
          <w:rFonts w:ascii="Times New Roman" w:eastAsia="Times New Roman" w:hAnsi="Times New Roman" w:cs="Times New Roman"/>
          <w:b/>
          <w:sz w:val="24"/>
          <w:szCs w:val="24"/>
          <w:u w:val="single"/>
          <w:lang w:eastAsia="en-AU"/>
        </w:rPr>
        <w:lastRenderedPageBreak/>
        <w:t>ATTACHMENT A</w:t>
      </w:r>
    </w:p>
    <w:p w14:paraId="1D2D5E34" w14:textId="77777777" w:rsidR="00436459" w:rsidRPr="00B4702A" w:rsidRDefault="00436459" w:rsidP="00436459">
      <w:pPr>
        <w:spacing w:after="0" w:line="240" w:lineRule="auto"/>
        <w:ind w:right="91"/>
        <w:jc w:val="right"/>
        <w:rPr>
          <w:rFonts w:ascii="Times New Roman" w:eastAsia="Times New Roman" w:hAnsi="Times New Roman" w:cs="Times New Roman"/>
          <w:sz w:val="24"/>
          <w:szCs w:val="24"/>
          <w:lang w:eastAsia="en-AU"/>
        </w:rPr>
      </w:pPr>
    </w:p>
    <w:p w14:paraId="7083BFA3" w14:textId="77777777" w:rsidR="00436459" w:rsidRPr="00B4702A" w:rsidRDefault="00436459" w:rsidP="00436459">
      <w:pPr>
        <w:spacing w:after="0" w:line="240" w:lineRule="auto"/>
        <w:ind w:right="91"/>
        <w:rPr>
          <w:rFonts w:ascii="Times New Roman" w:eastAsia="Times New Roman" w:hAnsi="Times New Roman" w:cs="Times New Roman"/>
          <w:b/>
          <w:sz w:val="24"/>
          <w:szCs w:val="24"/>
          <w:u w:val="single"/>
          <w:lang w:eastAsia="en-AU"/>
        </w:rPr>
      </w:pPr>
    </w:p>
    <w:p w14:paraId="095BCCC0" w14:textId="77777777" w:rsidR="00436459" w:rsidRPr="00B4702A" w:rsidRDefault="00436459" w:rsidP="00436459">
      <w:pPr>
        <w:spacing w:after="0" w:line="240" w:lineRule="auto"/>
        <w:ind w:right="91"/>
        <w:rPr>
          <w:rFonts w:ascii="Times New Roman" w:eastAsia="Times New Roman" w:hAnsi="Times New Roman" w:cs="Times New Roman"/>
          <w:b/>
          <w:i/>
          <w:sz w:val="24"/>
          <w:szCs w:val="24"/>
          <w:u w:val="single"/>
          <w:lang w:eastAsia="en-AU"/>
        </w:rPr>
      </w:pPr>
      <w:r w:rsidRPr="00B4702A">
        <w:rPr>
          <w:rFonts w:ascii="Times New Roman" w:eastAsia="Times New Roman" w:hAnsi="Times New Roman" w:cs="Times New Roman"/>
          <w:b/>
          <w:sz w:val="24"/>
          <w:szCs w:val="24"/>
          <w:u w:val="single"/>
          <w:lang w:eastAsia="en-AU"/>
        </w:rPr>
        <w:t xml:space="preserve">Details of the </w:t>
      </w:r>
      <w:r w:rsidRPr="00B4702A">
        <w:rPr>
          <w:rFonts w:ascii="Times New Roman" w:eastAsia="Times New Roman" w:hAnsi="Times New Roman" w:cs="Times New Roman"/>
          <w:b/>
          <w:i/>
          <w:sz w:val="24"/>
          <w:szCs w:val="24"/>
          <w:u w:val="single"/>
          <w:lang w:eastAsia="en-AU"/>
        </w:rPr>
        <w:t>Electronic Transactions Amendment Regulations 202</w:t>
      </w:r>
      <w:r w:rsidR="0064362E">
        <w:rPr>
          <w:rFonts w:ascii="Times New Roman" w:eastAsia="Times New Roman" w:hAnsi="Times New Roman" w:cs="Times New Roman"/>
          <w:b/>
          <w:i/>
          <w:sz w:val="24"/>
          <w:szCs w:val="24"/>
          <w:u w:val="single"/>
          <w:lang w:eastAsia="en-AU"/>
        </w:rPr>
        <w:t>2</w:t>
      </w:r>
    </w:p>
    <w:p w14:paraId="21CA9108" w14:textId="77777777" w:rsidR="00436459" w:rsidRPr="00B4702A" w:rsidRDefault="00436459" w:rsidP="00436459">
      <w:pPr>
        <w:spacing w:after="0" w:line="240" w:lineRule="auto"/>
        <w:ind w:right="91"/>
        <w:rPr>
          <w:rFonts w:ascii="Times New Roman" w:eastAsia="Times New Roman" w:hAnsi="Times New Roman" w:cs="Times New Roman"/>
          <w:sz w:val="24"/>
          <w:szCs w:val="24"/>
          <w:lang w:eastAsia="en-AU"/>
        </w:rPr>
      </w:pPr>
    </w:p>
    <w:p w14:paraId="732AAAFB" w14:textId="77777777" w:rsidR="00436459" w:rsidRPr="00BC5112" w:rsidRDefault="00436459" w:rsidP="00436459">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Section 1 – Name</w:t>
      </w:r>
    </w:p>
    <w:p w14:paraId="46EE5F89" w14:textId="55ABFBA7" w:rsidR="00436459" w:rsidRPr="00BC5112" w:rsidRDefault="00436459" w:rsidP="00436459">
      <w:pPr>
        <w:pStyle w:val="NoSpacing"/>
        <w:rPr>
          <w:rFonts w:ascii="Times New Roman" w:hAnsi="Times New Roman" w:cs="Times New Roman"/>
          <w:sz w:val="24"/>
          <w:szCs w:val="24"/>
          <w:lang w:val="en-GB"/>
        </w:rPr>
      </w:pPr>
      <w:r w:rsidRPr="00BC5112">
        <w:rPr>
          <w:rFonts w:ascii="Times New Roman" w:hAnsi="Times New Roman" w:cs="Times New Roman"/>
          <w:sz w:val="24"/>
          <w:szCs w:val="24"/>
          <w:lang w:val="en-GB"/>
        </w:rPr>
        <w:t xml:space="preserve">This section provides that the title of the proposed instrument is the </w:t>
      </w:r>
      <w:r w:rsidRPr="00BC5112">
        <w:rPr>
          <w:rFonts w:ascii="Times New Roman" w:hAnsi="Times New Roman" w:cs="Times New Roman"/>
          <w:i/>
          <w:sz w:val="24"/>
          <w:szCs w:val="24"/>
          <w:lang w:val="en-GB"/>
        </w:rPr>
        <w:t>Electronic Transactions Amendment Regulations 202</w:t>
      </w:r>
      <w:r w:rsidR="00630AFD">
        <w:rPr>
          <w:rFonts w:ascii="Times New Roman" w:hAnsi="Times New Roman" w:cs="Times New Roman"/>
          <w:i/>
          <w:sz w:val="24"/>
          <w:szCs w:val="24"/>
          <w:lang w:val="en-GB"/>
        </w:rPr>
        <w:t>2</w:t>
      </w:r>
      <w:r w:rsidRPr="00BC5112">
        <w:rPr>
          <w:rFonts w:ascii="Times New Roman" w:hAnsi="Times New Roman" w:cs="Times New Roman"/>
          <w:sz w:val="24"/>
          <w:szCs w:val="24"/>
          <w:lang w:val="en-GB"/>
        </w:rPr>
        <w:t xml:space="preserve">. </w:t>
      </w:r>
      <w:r w:rsidRPr="00BC5112">
        <w:rPr>
          <w:rFonts w:ascii="Times New Roman" w:hAnsi="Times New Roman" w:cs="Times New Roman"/>
          <w:sz w:val="24"/>
          <w:szCs w:val="24"/>
          <w:lang w:val="en-GB"/>
        </w:rPr>
        <w:br/>
      </w:r>
    </w:p>
    <w:p w14:paraId="41D3EA74" w14:textId="77777777" w:rsidR="00436459" w:rsidRPr="00BC5112" w:rsidRDefault="00436459" w:rsidP="00436459">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 xml:space="preserve">Section 2 – Commencement </w:t>
      </w:r>
    </w:p>
    <w:p w14:paraId="79D63C41" w14:textId="0D3C3816" w:rsidR="00436459" w:rsidRPr="00BC5112" w:rsidRDefault="00436459" w:rsidP="00436459">
      <w:pPr>
        <w:pStyle w:val="NoSpacing"/>
        <w:rPr>
          <w:rFonts w:ascii="Times New Roman" w:eastAsia="Times New Roman" w:hAnsi="Times New Roman" w:cs="Times New Roman"/>
          <w:sz w:val="24"/>
          <w:szCs w:val="24"/>
          <w:lang w:eastAsia="en-AU"/>
        </w:rPr>
      </w:pPr>
      <w:r w:rsidRPr="00BC5112">
        <w:rPr>
          <w:rFonts w:ascii="Times New Roman" w:eastAsia="Times New Roman" w:hAnsi="Times New Roman" w:cs="Times New Roman"/>
          <w:sz w:val="24"/>
          <w:szCs w:val="24"/>
          <w:lang w:eastAsia="en-AU"/>
        </w:rPr>
        <w:t xml:space="preserve">This regulation </w:t>
      </w:r>
      <w:r w:rsidR="00370D7D">
        <w:rPr>
          <w:rFonts w:ascii="Times New Roman" w:eastAsia="Times New Roman" w:hAnsi="Times New Roman" w:cs="Times New Roman"/>
          <w:sz w:val="24"/>
          <w:szCs w:val="24"/>
          <w:lang w:eastAsia="en-AU"/>
        </w:rPr>
        <w:t>provides</w:t>
      </w:r>
      <w:r w:rsidRPr="00BC5112">
        <w:rPr>
          <w:rFonts w:ascii="Times New Roman" w:eastAsia="Times New Roman" w:hAnsi="Times New Roman" w:cs="Times New Roman"/>
          <w:sz w:val="24"/>
          <w:szCs w:val="24"/>
          <w:lang w:eastAsia="en-AU"/>
        </w:rPr>
        <w:t xml:space="preserve"> that the Regulations </w:t>
      </w:r>
      <w:r w:rsidR="00370D7D">
        <w:rPr>
          <w:rFonts w:ascii="Times New Roman" w:eastAsia="Times New Roman" w:hAnsi="Times New Roman" w:cs="Times New Roman"/>
          <w:sz w:val="24"/>
          <w:szCs w:val="24"/>
          <w:lang w:eastAsia="en-AU"/>
        </w:rPr>
        <w:t xml:space="preserve">will </w:t>
      </w:r>
      <w:r w:rsidRPr="00BC5112">
        <w:rPr>
          <w:rFonts w:ascii="Times New Roman" w:eastAsia="Times New Roman" w:hAnsi="Times New Roman" w:cs="Times New Roman"/>
          <w:sz w:val="24"/>
          <w:szCs w:val="24"/>
          <w:lang w:eastAsia="en-AU"/>
        </w:rPr>
        <w:t>commence on the day after they are registered on the Federal Register of Legislation.</w:t>
      </w:r>
    </w:p>
    <w:p w14:paraId="2AD27AD5" w14:textId="77777777" w:rsidR="00436459" w:rsidRPr="00BC5112" w:rsidRDefault="00436459" w:rsidP="00436459">
      <w:pPr>
        <w:pStyle w:val="NoSpacing"/>
        <w:rPr>
          <w:rFonts w:ascii="Times New Roman" w:eastAsia="Times New Roman" w:hAnsi="Times New Roman" w:cs="Times New Roman"/>
          <w:sz w:val="24"/>
          <w:szCs w:val="24"/>
          <w:lang w:eastAsia="en-AU"/>
        </w:rPr>
      </w:pPr>
    </w:p>
    <w:p w14:paraId="67BF0289" w14:textId="77777777" w:rsidR="00436459" w:rsidRPr="00BC5112" w:rsidRDefault="00436459" w:rsidP="00436459">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 xml:space="preserve">Section 3 – Authority </w:t>
      </w:r>
    </w:p>
    <w:p w14:paraId="25D134B6" w14:textId="14F19486" w:rsidR="00436459" w:rsidRPr="00BC5112" w:rsidRDefault="00436459" w:rsidP="00436459">
      <w:pPr>
        <w:pStyle w:val="NoSpacing"/>
        <w:rPr>
          <w:rFonts w:ascii="Times New Roman" w:hAnsi="Times New Roman" w:cs="Times New Roman"/>
          <w:sz w:val="24"/>
          <w:szCs w:val="24"/>
          <w:lang w:val="en-GB"/>
        </w:rPr>
      </w:pPr>
      <w:r w:rsidRPr="00BC5112">
        <w:rPr>
          <w:rFonts w:ascii="Times New Roman" w:hAnsi="Times New Roman" w:cs="Times New Roman"/>
          <w:sz w:val="24"/>
          <w:szCs w:val="24"/>
          <w:lang w:val="en-GB"/>
        </w:rPr>
        <w:t xml:space="preserve">This section provides that the </w:t>
      </w:r>
      <w:r w:rsidR="00B33EC6">
        <w:rPr>
          <w:rFonts w:ascii="Times New Roman" w:hAnsi="Times New Roman" w:cs="Times New Roman"/>
          <w:sz w:val="24"/>
          <w:szCs w:val="24"/>
          <w:lang w:val="en-GB"/>
        </w:rPr>
        <w:t>Amendment</w:t>
      </w:r>
      <w:r w:rsidRPr="00BC5112">
        <w:rPr>
          <w:rFonts w:ascii="Times New Roman" w:hAnsi="Times New Roman" w:cs="Times New Roman"/>
          <w:sz w:val="24"/>
          <w:szCs w:val="24"/>
          <w:lang w:val="en-GB"/>
        </w:rPr>
        <w:t xml:space="preserve"> Regulations are made under the </w:t>
      </w:r>
      <w:r w:rsidRPr="00BC5112">
        <w:rPr>
          <w:rFonts w:ascii="Times New Roman" w:hAnsi="Times New Roman" w:cs="Times New Roman"/>
          <w:i/>
          <w:sz w:val="24"/>
          <w:szCs w:val="24"/>
          <w:lang w:val="en-GB"/>
        </w:rPr>
        <w:t>Electronic Transactions Act 1999.</w:t>
      </w:r>
      <w:r w:rsidRPr="00BC5112">
        <w:rPr>
          <w:rFonts w:ascii="Times New Roman" w:hAnsi="Times New Roman" w:cs="Times New Roman"/>
          <w:sz w:val="24"/>
          <w:szCs w:val="24"/>
          <w:lang w:val="en-GB"/>
        </w:rPr>
        <w:t xml:space="preserve"> </w:t>
      </w:r>
      <w:r w:rsidRPr="00BC5112">
        <w:rPr>
          <w:rFonts w:ascii="Times New Roman" w:hAnsi="Times New Roman" w:cs="Times New Roman"/>
          <w:sz w:val="24"/>
          <w:szCs w:val="24"/>
          <w:lang w:val="en-GB"/>
        </w:rPr>
        <w:br/>
      </w:r>
    </w:p>
    <w:p w14:paraId="65DFF604" w14:textId="77777777" w:rsidR="00436459" w:rsidRPr="00BC5112" w:rsidRDefault="00436459" w:rsidP="00436459">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Section 4 – Schedules</w:t>
      </w:r>
    </w:p>
    <w:p w14:paraId="5BEDF7BB" w14:textId="77DB3608" w:rsidR="00436459" w:rsidRDefault="00436459" w:rsidP="00436459">
      <w:pPr>
        <w:pStyle w:val="NoSpacing"/>
        <w:rPr>
          <w:rFonts w:ascii="Times New Roman" w:hAnsi="Times New Roman" w:cs="Times New Roman"/>
          <w:sz w:val="24"/>
          <w:szCs w:val="24"/>
          <w:lang w:val="en-GB"/>
        </w:rPr>
      </w:pPr>
      <w:r w:rsidRPr="00BC5112">
        <w:rPr>
          <w:rFonts w:ascii="Times New Roman" w:hAnsi="Times New Roman" w:cs="Times New Roman"/>
          <w:sz w:val="24"/>
          <w:szCs w:val="24"/>
          <w:lang w:val="en-GB"/>
        </w:rPr>
        <w:t xml:space="preserve">This section notes that instruments to be specified in a Schedule to this instrument will be </w:t>
      </w:r>
      <w:r w:rsidR="00350C60">
        <w:rPr>
          <w:rFonts w:ascii="Times New Roman" w:hAnsi="Times New Roman" w:cs="Times New Roman"/>
          <w:sz w:val="24"/>
          <w:szCs w:val="24"/>
          <w:lang w:val="en-GB"/>
        </w:rPr>
        <w:t xml:space="preserve">amended or </w:t>
      </w:r>
      <w:r w:rsidRPr="00BC5112">
        <w:rPr>
          <w:rFonts w:ascii="Times New Roman" w:hAnsi="Times New Roman" w:cs="Times New Roman"/>
          <w:sz w:val="24"/>
          <w:szCs w:val="24"/>
          <w:lang w:val="en-GB"/>
        </w:rPr>
        <w:t>repealed. Any other item in a Schedule to this instrument will have effect according to its terms.</w:t>
      </w:r>
    </w:p>
    <w:p w14:paraId="53459993" w14:textId="77777777" w:rsidR="00436459" w:rsidRPr="00BC5112" w:rsidRDefault="00436459" w:rsidP="00436459">
      <w:pPr>
        <w:pStyle w:val="NoSpacing"/>
        <w:rPr>
          <w:rFonts w:ascii="Times New Roman" w:hAnsi="Times New Roman" w:cs="Times New Roman"/>
          <w:sz w:val="24"/>
          <w:szCs w:val="24"/>
          <w:lang w:val="en-GB"/>
        </w:rPr>
      </w:pPr>
    </w:p>
    <w:p w14:paraId="615EA6F5" w14:textId="77777777" w:rsidR="00C22C3B" w:rsidRDefault="00436459" w:rsidP="00C22C3B">
      <w:pPr>
        <w:spacing w:after="160" w:line="240" w:lineRule="auto"/>
        <w:rPr>
          <w:rFonts w:ascii="Times New Roman" w:hAnsi="Times New Roman" w:cs="Times New Roman"/>
          <w:b/>
          <w:sz w:val="24"/>
          <w:szCs w:val="24"/>
          <w:u w:val="single"/>
          <w:lang w:val="en-GB"/>
        </w:rPr>
      </w:pPr>
      <w:r w:rsidRPr="00B4702A">
        <w:rPr>
          <w:rFonts w:ascii="Times New Roman" w:hAnsi="Times New Roman" w:cs="Times New Roman"/>
          <w:b/>
          <w:sz w:val="24"/>
          <w:szCs w:val="24"/>
          <w:u w:val="single"/>
          <w:lang w:val="en-GB"/>
        </w:rPr>
        <w:t>Schedule 1– Laws of the Commonwealth to which certain provisions of the Act do not apply</w:t>
      </w:r>
    </w:p>
    <w:p w14:paraId="7BE0EE38" w14:textId="4B2EE6F2" w:rsidR="00436459" w:rsidRPr="00C22C3B" w:rsidRDefault="00436459" w:rsidP="00C22C3B">
      <w:pPr>
        <w:spacing w:after="160" w:line="240" w:lineRule="auto"/>
        <w:rPr>
          <w:rFonts w:ascii="Times New Roman" w:hAnsi="Times New Roman" w:cs="Times New Roman"/>
          <w:b/>
          <w:sz w:val="24"/>
          <w:szCs w:val="24"/>
          <w:u w:val="single"/>
          <w:lang w:val="en-GB"/>
        </w:rPr>
      </w:pPr>
      <w:r w:rsidRPr="00B4702A">
        <w:rPr>
          <w:rFonts w:ascii="Times New Roman" w:hAnsi="Times New Roman" w:cs="Times New Roman"/>
          <w:b/>
          <w:sz w:val="24"/>
          <w:szCs w:val="24"/>
          <w:u w:val="single"/>
          <w:lang w:val="en-GB"/>
        </w:rPr>
        <w:br/>
      </w:r>
      <w:r w:rsidRPr="00B4702A">
        <w:rPr>
          <w:rFonts w:ascii="Times New Roman" w:hAnsi="Times New Roman" w:cs="Times New Roman"/>
          <w:b/>
          <w:sz w:val="24"/>
          <w:szCs w:val="24"/>
          <w:lang w:val="en-GB"/>
        </w:rPr>
        <w:t xml:space="preserve">Section 1 </w:t>
      </w:r>
      <w:proofErr w:type="gramStart"/>
      <w:r w:rsidRPr="00B4702A">
        <w:rPr>
          <w:rFonts w:ascii="Times New Roman" w:hAnsi="Times New Roman" w:cs="Times New Roman"/>
          <w:b/>
          <w:sz w:val="24"/>
          <w:szCs w:val="24"/>
          <w:lang w:val="en-GB"/>
        </w:rPr>
        <w:t>–</w:t>
      </w:r>
      <w:r w:rsidR="0064362E">
        <w:rPr>
          <w:rFonts w:ascii="Times New Roman" w:eastAsia="Times New Roman" w:hAnsi="Times New Roman" w:cs="Times New Roman"/>
          <w:b/>
          <w:sz w:val="24"/>
          <w:szCs w:val="24"/>
          <w:lang w:eastAsia="en-AU"/>
        </w:rPr>
        <w:t xml:space="preserve">  </w:t>
      </w:r>
      <w:r w:rsidRPr="00B4702A">
        <w:rPr>
          <w:rFonts w:ascii="Times New Roman" w:eastAsia="Times New Roman" w:hAnsi="Times New Roman" w:cs="Times New Roman"/>
          <w:b/>
          <w:sz w:val="24"/>
          <w:szCs w:val="24"/>
          <w:lang w:eastAsia="en-AU"/>
        </w:rPr>
        <w:t>Clause</w:t>
      </w:r>
      <w:proofErr w:type="gramEnd"/>
      <w:r w:rsidRPr="00B4702A">
        <w:rPr>
          <w:rFonts w:ascii="Times New Roman" w:eastAsia="Times New Roman" w:hAnsi="Times New Roman" w:cs="Times New Roman"/>
          <w:b/>
          <w:sz w:val="24"/>
          <w:szCs w:val="24"/>
          <w:lang w:eastAsia="en-AU"/>
        </w:rPr>
        <w:t> 1 of Schedule 1 (table items </w:t>
      </w:r>
      <w:r w:rsidR="006D233D">
        <w:rPr>
          <w:rFonts w:ascii="Times New Roman" w:eastAsia="Times New Roman" w:hAnsi="Times New Roman" w:cs="Times New Roman"/>
          <w:b/>
          <w:sz w:val="24"/>
          <w:szCs w:val="24"/>
          <w:lang w:eastAsia="en-AU"/>
        </w:rPr>
        <w:t xml:space="preserve">14, 15, 57, 58 and 77) </w:t>
      </w:r>
    </w:p>
    <w:p w14:paraId="7F1FDE70" w14:textId="7492219D" w:rsidR="00436459" w:rsidRDefault="00636FA2" w:rsidP="00436459">
      <w:pPr>
        <w:spacing w:after="0" w:line="240" w:lineRule="auto"/>
        <w:rPr>
          <w:rFonts w:ascii="Times New Roman" w:eastAsia="Times New Roman" w:hAnsi="Times New Roman" w:cs="Times New Roman"/>
          <w:sz w:val="24"/>
          <w:szCs w:val="24"/>
        </w:rPr>
      </w:pPr>
      <w:r w:rsidRPr="00636FA2">
        <w:rPr>
          <w:rFonts w:ascii="Times New Roman" w:eastAsia="Times New Roman" w:hAnsi="Times New Roman" w:cs="Times New Roman"/>
          <w:sz w:val="24"/>
          <w:szCs w:val="24"/>
        </w:rPr>
        <w:t>The above items (which are also extracted below) w</w:t>
      </w:r>
      <w:r>
        <w:rPr>
          <w:rFonts w:ascii="Times New Roman" w:eastAsia="Times New Roman" w:hAnsi="Times New Roman" w:cs="Times New Roman"/>
          <w:sz w:val="24"/>
          <w:szCs w:val="24"/>
        </w:rPr>
        <w:t>ill</w:t>
      </w:r>
      <w:r w:rsidRPr="00636FA2">
        <w:rPr>
          <w:rFonts w:ascii="Times New Roman" w:eastAsia="Times New Roman" w:hAnsi="Times New Roman" w:cs="Times New Roman"/>
          <w:sz w:val="24"/>
          <w:szCs w:val="24"/>
        </w:rPr>
        <w:t xml:space="preserve"> be repealed from the table in Schedule 1 effecting the removal of those exemptions to the Act. The Act is a law of general application and applies in the absence of an exemption. The effect of removing these 5 exemptions </w:t>
      </w:r>
      <w:r>
        <w:rPr>
          <w:rFonts w:ascii="Times New Roman" w:eastAsia="Times New Roman" w:hAnsi="Times New Roman" w:cs="Times New Roman"/>
          <w:sz w:val="24"/>
          <w:szCs w:val="24"/>
        </w:rPr>
        <w:t>is</w:t>
      </w:r>
      <w:r w:rsidRPr="00636FA2">
        <w:rPr>
          <w:rFonts w:ascii="Times New Roman" w:eastAsia="Times New Roman" w:hAnsi="Times New Roman" w:cs="Times New Roman"/>
          <w:sz w:val="24"/>
          <w:szCs w:val="24"/>
        </w:rPr>
        <w:t xml:space="preserve"> to subject each of those laws to the application of the Act. Application of the Act will ensure that a transaction will not be invalid simply because it was conducted by means of electronic communications. Transactions that have taken place by electronic communications are recognised as functionally equivalent to paper-based counterparts. The removal of exemptions facilitates additional avenues of communication with the government but </w:t>
      </w:r>
      <w:r>
        <w:rPr>
          <w:rFonts w:ascii="Times New Roman" w:eastAsia="Times New Roman" w:hAnsi="Times New Roman" w:cs="Times New Roman"/>
          <w:sz w:val="24"/>
          <w:szCs w:val="24"/>
        </w:rPr>
        <w:t>does</w:t>
      </w:r>
      <w:r w:rsidRPr="00636FA2">
        <w:rPr>
          <w:rFonts w:ascii="Times New Roman" w:eastAsia="Times New Roman" w:hAnsi="Times New Roman" w:cs="Times New Roman"/>
          <w:sz w:val="24"/>
          <w:szCs w:val="24"/>
        </w:rPr>
        <w:t xml:space="preserve"> not prevent people communicating with government agencies through paper-based correspondence. The reduction in the number of exemptions to the Act reduces barriers to electronic communications and e-commerce for businesses and the community.</w:t>
      </w:r>
    </w:p>
    <w:p w14:paraId="04A577E3" w14:textId="77777777" w:rsidR="00436459" w:rsidRDefault="00436459" w:rsidP="00436459">
      <w:pPr>
        <w:spacing w:after="0" w:line="240" w:lineRule="auto"/>
        <w:rPr>
          <w:rFonts w:ascii="Times New Roman" w:eastAsia="Times New Roman" w:hAnsi="Times New Roman" w:cs="Times New Roman"/>
          <w:sz w:val="24"/>
          <w:szCs w:val="24"/>
          <w:lang w:eastAsia="en-AU"/>
        </w:rPr>
      </w:pPr>
    </w:p>
    <w:p w14:paraId="5AF4E30E" w14:textId="77777777" w:rsidR="00436459" w:rsidRPr="00F35CAF" w:rsidRDefault="00436459" w:rsidP="00436459">
      <w:pPr>
        <w:pStyle w:val="NoSpacing"/>
        <w:rPr>
          <w:rFonts w:ascii="Times New Roman" w:hAnsi="Times New Roman" w:cs="Times New Roman"/>
          <w:i/>
          <w:sz w:val="24"/>
          <w:szCs w:val="24"/>
        </w:rPr>
      </w:pPr>
      <w:r w:rsidRPr="00F35CAF">
        <w:rPr>
          <w:rFonts w:ascii="Times New Roman" w:hAnsi="Times New Roman" w:cs="Times New Roman"/>
          <w:i/>
          <w:sz w:val="24"/>
          <w:szCs w:val="24"/>
        </w:rPr>
        <w:t>Current exemptions to be repealed</w:t>
      </w:r>
    </w:p>
    <w:p w14:paraId="7FB774A3" w14:textId="77777777" w:rsidR="00436459" w:rsidRPr="00452E6E" w:rsidRDefault="00436459" w:rsidP="00436459">
      <w:pPr>
        <w:pStyle w:val="NoSpacing"/>
        <w:rPr>
          <w:rFonts w:ascii="Times New Roman" w:hAnsi="Times New Roman" w:cs="Times New Roman"/>
          <w:b/>
          <w:sz w:val="24"/>
          <w:szCs w:val="24"/>
        </w:rPr>
      </w:pPr>
    </w:p>
    <w:tbl>
      <w:tblPr>
        <w:tblStyle w:val="TableGrid"/>
        <w:tblpPr w:leftFromText="180" w:rightFromText="180" w:vertAnchor="text" w:tblpY="1"/>
        <w:tblOverlap w:val="never"/>
        <w:tblW w:w="9067" w:type="dxa"/>
        <w:tblInd w:w="0" w:type="dxa"/>
        <w:tblLook w:val="04A0" w:firstRow="1" w:lastRow="0" w:firstColumn="1" w:lastColumn="0" w:noHBand="0" w:noVBand="1"/>
      </w:tblPr>
      <w:tblGrid>
        <w:gridCol w:w="846"/>
        <w:gridCol w:w="4819"/>
        <w:gridCol w:w="3402"/>
      </w:tblGrid>
      <w:tr w:rsidR="00436459" w:rsidRPr="0061637C" w14:paraId="3EEEDBD8" w14:textId="77777777" w:rsidTr="00CF3261">
        <w:trPr>
          <w:trHeight w:val="839"/>
        </w:trPr>
        <w:tc>
          <w:tcPr>
            <w:tcW w:w="846" w:type="dxa"/>
            <w:tcBorders>
              <w:top w:val="single" w:sz="4" w:space="0" w:color="auto"/>
              <w:left w:val="single" w:sz="4" w:space="0" w:color="auto"/>
              <w:bottom w:val="single" w:sz="4" w:space="0" w:color="auto"/>
              <w:right w:val="single" w:sz="4" w:space="0" w:color="auto"/>
            </w:tcBorders>
            <w:hideMark/>
          </w:tcPr>
          <w:p w14:paraId="3C028847" w14:textId="77777777" w:rsidR="00436459" w:rsidRPr="002B7A08" w:rsidRDefault="00436459" w:rsidP="00E42F0C">
            <w:pPr>
              <w:rPr>
                <w:rFonts w:ascii="Times New Roman" w:hAnsi="Times New Roman" w:cs="Times New Roman"/>
                <w:sz w:val="24"/>
                <w:szCs w:val="24"/>
                <w:u w:val="single"/>
              </w:rPr>
            </w:pPr>
            <w:r w:rsidRPr="002B7A08">
              <w:rPr>
                <w:rFonts w:ascii="Times New Roman" w:hAnsi="Times New Roman" w:cs="Times New Roman"/>
                <w:sz w:val="24"/>
                <w:szCs w:val="24"/>
                <w:u w:val="single"/>
              </w:rPr>
              <w:t>Item</w:t>
            </w:r>
          </w:p>
        </w:tc>
        <w:tc>
          <w:tcPr>
            <w:tcW w:w="4819" w:type="dxa"/>
            <w:tcBorders>
              <w:top w:val="single" w:sz="4" w:space="0" w:color="auto"/>
              <w:left w:val="single" w:sz="4" w:space="0" w:color="auto"/>
              <w:bottom w:val="single" w:sz="4" w:space="0" w:color="auto"/>
              <w:right w:val="single" w:sz="4" w:space="0" w:color="auto"/>
            </w:tcBorders>
            <w:hideMark/>
          </w:tcPr>
          <w:p w14:paraId="4832D765" w14:textId="77777777" w:rsidR="00436459" w:rsidRPr="002B7A08" w:rsidRDefault="00436459" w:rsidP="00E42F0C">
            <w:pPr>
              <w:rPr>
                <w:rFonts w:ascii="Times New Roman" w:hAnsi="Times New Roman" w:cs="Times New Roman"/>
                <w:sz w:val="24"/>
                <w:szCs w:val="24"/>
                <w:u w:val="single"/>
              </w:rPr>
            </w:pPr>
            <w:r w:rsidRPr="002B7A08">
              <w:rPr>
                <w:rFonts w:ascii="Times New Roman" w:hAnsi="Times New Roman" w:cs="Times New Roman"/>
                <w:sz w:val="24"/>
                <w:szCs w:val="24"/>
                <w:u w:val="single"/>
              </w:rPr>
              <w:t>Exemption</w:t>
            </w:r>
          </w:p>
        </w:tc>
        <w:tc>
          <w:tcPr>
            <w:tcW w:w="3402" w:type="dxa"/>
            <w:tcBorders>
              <w:top w:val="single" w:sz="4" w:space="0" w:color="auto"/>
              <w:left w:val="single" w:sz="4" w:space="0" w:color="auto"/>
              <w:bottom w:val="single" w:sz="4" w:space="0" w:color="auto"/>
              <w:right w:val="single" w:sz="4" w:space="0" w:color="auto"/>
            </w:tcBorders>
            <w:hideMark/>
          </w:tcPr>
          <w:p w14:paraId="617E2218" w14:textId="77777777" w:rsidR="00436459" w:rsidRPr="002B7A08" w:rsidRDefault="00436459" w:rsidP="00E42F0C">
            <w:pPr>
              <w:rPr>
                <w:rFonts w:ascii="Times New Roman" w:hAnsi="Times New Roman" w:cs="Times New Roman"/>
                <w:sz w:val="24"/>
                <w:szCs w:val="24"/>
                <w:u w:val="single"/>
              </w:rPr>
            </w:pPr>
            <w:r w:rsidRPr="002B7A08">
              <w:rPr>
                <w:rFonts w:ascii="Times New Roman" w:hAnsi="Times New Roman" w:cs="Times New Roman"/>
                <w:sz w:val="24"/>
                <w:szCs w:val="24"/>
                <w:u w:val="single"/>
              </w:rPr>
              <w:t xml:space="preserve">Parts of the </w:t>
            </w:r>
            <w:r w:rsidRPr="002B7A08">
              <w:rPr>
                <w:rFonts w:ascii="Times New Roman" w:hAnsi="Times New Roman" w:cs="Times New Roman"/>
                <w:i/>
                <w:sz w:val="24"/>
                <w:szCs w:val="24"/>
                <w:u w:val="single"/>
              </w:rPr>
              <w:t>Electronic Transactions Act 1999</w:t>
            </w:r>
            <w:r w:rsidRPr="002B7A08">
              <w:rPr>
                <w:rFonts w:ascii="Times New Roman" w:hAnsi="Times New Roman" w:cs="Times New Roman"/>
                <w:sz w:val="24"/>
                <w:szCs w:val="24"/>
                <w:u w:val="single"/>
              </w:rPr>
              <w:t xml:space="preserve"> which do not apply to the listed exemption</w:t>
            </w:r>
          </w:p>
        </w:tc>
      </w:tr>
      <w:tr w:rsidR="00436459" w:rsidRPr="0061637C" w14:paraId="1F255798" w14:textId="77777777" w:rsidTr="00E42F0C">
        <w:trPr>
          <w:trHeight w:val="319"/>
        </w:trPr>
        <w:tc>
          <w:tcPr>
            <w:tcW w:w="846" w:type="dxa"/>
            <w:tcBorders>
              <w:top w:val="single" w:sz="4" w:space="0" w:color="auto"/>
              <w:left w:val="single" w:sz="4" w:space="0" w:color="auto"/>
              <w:bottom w:val="single" w:sz="4" w:space="0" w:color="auto"/>
              <w:right w:val="single" w:sz="4" w:space="0" w:color="auto"/>
            </w:tcBorders>
            <w:hideMark/>
          </w:tcPr>
          <w:p w14:paraId="6C74C13C" w14:textId="77777777" w:rsidR="00436459" w:rsidRPr="0061637C" w:rsidRDefault="0064362E" w:rsidP="0064362E">
            <w:pPr>
              <w:rPr>
                <w:rFonts w:ascii="Times New Roman" w:hAnsi="Times New Roman" w:cs="Times New Roman"/>
                <w:sz w:val="24"/>
                <w:szCs w:val="24"/>
              </w:rPr>
            </w:pPr>
            <w:r>
              <w:rPr>
                <w:rFonts w:ascii="Times New Roman" w:hAnsi="Times New Roman" w:cs="Times New Roman"/>
                <w:sz w:val="24"/>
                <w:szCs w:val="24"/>
              </w:rPr>
              <w:t>14</w:t>
            </w:r>
          </w:p>
        </w:tc>
        <w:tc>
          <w:tcPr>
            <w:tcW w:w="4819" w:type="dxa"/>
            <w:tcBorders>
              <w:top w:val="single" w:sz="4" w:space="0" w:color="auto"/>
              <w:left w:val="single" w:sz="4" w:space="0" w:color="auto"/>
              <w:bottom w:val="single" w:sz="4" w:space="0" w:color="auto"/>
              <w:right w:val="single" w:sz="4" w:space="0" w:color="auto"/>
            </w:tcBorders>
            <w:hideMark/>
          </w:tcPr>
          <w:p w14:paraId="56261DD8" w14:textId="77777777" w:rsidR="00436459" w:rsidRPr="0061637C" w:rsidRDefault="0064362E" w:rsidP="00E42F0C">
            <w:pPr>
              <w:rPr>
                <w:rFonts w:ascii="Times New Roman" w:hAnsi="Times New Roman" w:cs="Times New Roman"/>
                <w:sz w:val="24"/>
                <w:szCs w:val="24"/>
              </w:rPr>
            </w:pPr>
            <w:r w:rsidRPr="0064362E">
              <w:rPr>
                <w:rFonts w:ascii="Times New Roman" w:hAnsi="Times New Roman" w:cs="Times New Roman"/>
                <w:i/>
                <w:iCs/>
                <w:color w:val="000000"/>
                <w:sz w:val="24"/>
                <w:szCs w:val="24"/>
                <w:shd w:val="clear" w:color="auto" w:fill="FFFFFF"/>
              </w:rPr>
              <w:t>Chemical Weapons (Prohibition) Act 1994</w:t>
            </w:r>
          </w:p>
        </w:tc>
        <w:tc>
          <w:tcPr>
            <w:tcW w:w="3402" w:type="dxa"/>
            <w:tcBorders>
              <w:top w:val="single" w:sz="4" w:space="0" w:color="auto"/>
              <w:left w:val="single" w:sz="4" w:space="0" w:color="auto"/>
              <w:bottom w:val="single" w:sz="4" w:space="0" w:color="auto"/>
              <w:right w:val="single" w:sz="4" w:space="0" w:color="auto"/>
            </w:tcBorders>
            <w:hideMark/>
          </w:tcPr>
          <w:p w14:paraId="0F53DBD6" w14:textId="1A100068" w:rsidR="00436459" w:rsidRPr="0061637C" w:rsidRDefault="00CE5F99" w:rsidP="00E42F0C">
            <w:pPr>
              <w:rPr>
                <w:rFonts w:ascii="Times New Roman" w:hAnsi="Times New Roman" w:cs="Times New Roman"/>
                <w:sz w:val="24"/>
                <w:szCs w:val="24"/>
              </w:rPr>
            </w:pPr>
            <w:r w:rsidRPr="00CE5F99">
              <w:rPr>
                <w:rFonts w:ascii="Times New Roman" w:hAnsi="Times New Roman" w:cs="Times New Roman"/>
                <w:color w:val="000000"/>
                <w:sz w:val="24"/>
                <w:szCs w:val="24"/>
                <w:shd w:val="clear" w:color="auto" w:fill="FFFFFF"/>
              </w:rPr>
              <w:t>Subsection 8(1), Division 2 of Part 2 and sections 14, 14A, 14B and 15</w:t>
            </w:r>
          </w:p>
        </w:tc>
      </w:tr>
      <w:tr w:rsidR="00436459" w:rsidRPr="0061637C" w14:paraId="1FFC33C4" w14:textId="77777777" w:rsidTr="00E42F0C">
        <w:trPr>
          <w:trHeight w:val="611"/>
        </w:trPr>
        <w:tc>
          <w:tcPr>
            <w:tcW w:w="846" w:type="dxa"/>
            <w:tcBorders>
              <w:top w:val="single" w:sz="4" w:space="0" w:color="auto"/>
              <w:left w:val="single" w:sz="4" w:space="0" w:color="auto"/>
              <w:bottom w:val="single" w:sz="4" w:space="0" w:color="auto"/>
              <w:right w:val="single" w:sz="4" w:space="0" w:color="auto"/>
            </w:tcBorders>
            <w:hideMark/>
          </w:tcPr>
          <w:p w14:paraId="769E1431" w14:textId="77777777" w:rsidR="00436459" w:rsidRPr="0061637C" w:rsidRDefault="0064362E" w:rsidP="00E42F0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4819" w:type="dxa"/>
            <w:tcBorders>
              <w:top w:val="single" w:sz="4" w:space="0" w:color="auto"/>
              <w:left w:val="single" w:sz="4" w:space="0" w:color="auto"/>
              <w:bottom w:val="single" w:sz="4" w:space="0" w:color="auto"/>
              <w:right w:val="single" w:sz="4" w:space="0" w:color="auto"/>
            </w:tcBorders>
            <w:hideMark/>
          </w:tcPr>
          <w:p w14:paraId="2979A1ED" w14:textId="77777777" w:rsidR="00436459" w:rsidRPr="0061637C" w:rsidRDefault="0064362E" w:rsidP="00E42F0C">
            <w:pPr>
              <w:pStyle w:val="tabletext"/>
              <w:spacing w:before="60" w:after="0" w:line="240" w:lineRule="atLeast"/>
              <w:rPr>
                <w:color w:val="000000"/>
              </w:rPr>
            </w:pPr>
            <w:r w:rsidRPr="0064362E">
              <w:rPr>
                <w:i/>
                <w:iCs/>
                <w:color w:val="000000"/>
              </w:rPr>
              <w:t>Chemical Weapons (Prohibition) Regulations 1997</w:t>
            </w:r>
          </w:p>
        </w:tc>
        <w:tc>
          <w:tcPr>
            <w:tcW w:w="3402" w:type="dxa"/>
            <w:tcBorders>
              <w:top w:val="single" w:sz="4" w:space="0" w:color="auto"/>
              <w:left w:val="single" w:sz="4" w:space="0" w:color="auto"/>
              <w:bottom w:val="single" w:sz="4" w:space="0" w:color="auto"/>
              <w:right w:val="single" w:sz="4" w:space="0" w:color="auto"/>
            </w:tcBorders>
            <w:hideMark/>
          </w:tcPr>
          <w:p w14:paraId="3A45B9F8" w14:textId="7424ED1A" w:rsidR="00436459" w:rsidRPr="0061637C" w:rsidRDefault="00CE5F99" w:rsidP="00E42F0C">
            <w:pPr>
              <w:pStyle w:val="tabletext"/>
              <w:spacing w:before="60" w:after="0" w:line="240" w:lineRule="atLeast"/>
              <w:rPr>
                <w:color w:val="000000"/>
              </w:rPr>
            </w:pPr>
            <w:r w:rsidRPr="00CE5F99">
              <w:rPr>
                <w:color w:val="000000"/>
              </w:rPr>
              <w:t>Subsection 8(1), Division 2 of Part 2 and sections 14, 14A, 14B and 15</w:t>
            </w:r>
          </w:p>
        </w:tc>
      </w:tr>
      <w:tr w:rsidR="00436459" w:rsidRPr="0061637C" w14:paraId="6C2CE65B" w14:textId="77777777" w:rsidTr="00E42F0C">
        <w:trPr>
          <w:trHeight w:val="611"/>
        </w:trPr>
        <w:tc>
          <w:tcPr>
            <w:tcW w:w="846" w:type="dxa"/>
            <w:tcBorders>
              <w:top w:val="single" w:sz="4" w:space="0" w:color="auto"/>
              <w:left w:val="single" w:sz="4" w:space="0" w:color="auto"/>
              <w:bottom w:val="single" w:sz="4" w:space="0" w:color="auto"/>
              <w:right w:val="single" w:sz="4" w:space="0" w:color="auto"/>
            </w:tcBorders>
            <w:hideMark/>
          </w:tcPr>
          <w:p w14:paraId="295AA36C" w14:textId="77777777" w:rsidR="00436459" w:rsidRPr="0061637C" w:rsidRDefault="0064362E" w:rsidP="00E42F0C">
            <w:pP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4819" w:type="dxa"/>
            <w:tcBorders>
              <w:top w:val="single" w:sz="4" w:space="0" w:color="auto"/>
              <w:left w:val="single" w:sz="4" w:space="0" w:color="auto"/>
              <w:bottom w:val="single" w:sz="4" w:space="0" w:color="auto"/>
              <w:right w:val="single" w:sz="4" w:space="0" w:color="auto"/>
            </w:tcBorders>
            <w:hideMark/>
          </w:tcPr>
          <w:p w14:paraId="153C2913" w14:textId="77777777" w:rsidR="00436459" w:rsidRPr="0061637C" w:rsidRDefault="0064362E" w:rsidP="00E42F0C">
            <w:pPr>
              <w:rPr>
                <w:rFonts w:ascii="Times New Roman" w:hAnsi="Times New Roman" w:cs="Times New Roman"/>
                <w:sz w:val="24"/>
                <w:szCs w:val="24"/>
              </w:rPr>
            </w:pPr>
            <w:r w:rsidRPr="0064362E">
              <w:rPr>
                <w:rFonts w:ascii="Times New Roman" w:hAnsi="Times New Roman" w:cs="Times New Roman"/>
                <w:i/>
                <w:iCs/>
                <w:color w:val="000000"/>
                <w:sz w:val="24"/>
                <w:szCs w:val="24"/>
                <w:shd w:val="clear" w:color="auto" w:fill="FFFFFF"/>
              </w:rPr>
              <w:t>Nuclear Non-Proliferation (Safeguards) Act 1987</w:t>
            </w:r>
          </w:p>
        </w:tc>
        <w:tc>
          <w:tcPr>
            <w:tcW w:w="3402" w:type="dxa"/>
            <w:tcBorders>
              <w:top w:val="single" w:sz="4" w:space="0" w:color="auto"/>
              <w:left w:val="single" w:sz="4" w:space="0" w:color="auto"/>
              <w:bottom w:val="single" w:sz="4" w:space="0" w:color="auto"/>
              <w:right w:val="single" w:sz="4" w:space="0" w:color="auto"/>
            </w:tcBorders>
            <w:hideMark/>
          </w:tcPr>
          <w:p w14:paraId="40007247" w14:textId="36B7A54F" w:rsidR="00436459" w:rsidRPr="0061637C" w:rsidRDefault="00CE5F99" w:rsidP="00E42F0C">
            <w:pPr>
              <w:rPr>
                <w:rFonts w:ascii="Times New Roman" w:hAnsi="Times New Roman" w:cs="Times New Roman"/>
                <w:sz w:val="24"/>
                <w:szCs w:val="24"/>
              </w:rPr>
            </w:pPr>
            <w:r w:rsidRPr="00CE5F99">
              <w:rPr>
                <w:rFonts w:ascii="Times New Roman" w:hAnsi="Times New Roman" w:cs="Times New Roman"/>
                <w:color w:val="000000"/>
                <w:sz w:val="24"/>
                <w:szCs w:val="24"/>
                <w:shd w:val="clear" w:color="auto" w:fill="FFFFFF"/>
              </w:rPr>
              <w:t>Subsection 8(1), Division 2 of Part 2 and sections 14, 14A, 14B and 15</w:t>
            </w:r>
          </w:p>
        </w:tc>
      </w:tr>
      <w:tr w:rsidR="00436459" w:rsidRPr="0061637C" w14:paraId="7507B492" w14:textId="77777777" w:rsidTr="00E42F0C">
        <w:trPr>
          <w:trHeight w:val="611"/>
        </w:trPr>
        <w:tc>
          <w:tcPr>
            <w:tcW w:w="846" w:type="dxa"/>
            <w:tcBorders>
              <w:top w:val="single" w:sz="4" w:space="0" w:color="auto"/>
              <w:left w:val="single" w:sz="4" w:space="0" w:color="auto"/>
              <w:bottom w:val="single" w:sz="4" w:space="0" w:color="auto"/>
              <w:right w:val="single" w:sz="4" w:space="0" w:color="auto"/>
            </w:tcBorders>
            <w:hideMark/>
          </w:tcPr>
          <w:p w14:paraId="118E25BA" w14:textId="77777777" w:rsidR="00436459" w:rsidRPr="0061637C" w:rsidRDefault="006D233D" w:rsidP="00E42F0C">
            <w:pP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4819" w:type="dxa"/>
            <w:tcBorders>
              <w:top w:val="single" w:sz="4" w:space="0" w:color="auto"/>
              <w:left w:val="single" w:sz="4" w:space="0" w:color="auto"/>
              <w:bottom w:val="single" w:sz="4" w:space="0" w:color="auto"/>
              <w:right w:val="single" w:sz="4" w:space="0" w:color="auto"/>
            </w:tcBorders>
            <w:hideMark/>
          </w:tcPr>
          <w:p w14:paraId="1549FD01" w14:textId="77777777" w:rsidR="00436459" w:rsidRPr="0061637C" w:rsidRDefault="006D233D" w:rsidP="00E42F0C">
            <w:pPr>
              <w:rPr>
                <w:rFonts w:ascii="Times New Roman" w:hAnsi="Times New Roman" w:cs="Times New Roman"/>
                <w:sz w:val="24"/>
                <w:szCs w:val="24"/>
              </w:rPr>
            </w:pPr>
            <w:r w:rsidRPr="006D233D">
              <w:rPr>
                <w:rFonts w:ascii="Times New Roman" w:hAnsi="Times New Roman" w:cs="Times New Roman"/>
                <w:i/>
                <w:iCs/>
                <w:color w:val="000000"/>
                <w:sz w:val="24"/>
                <w:szCs w:val="24"/>
                <w:shd w:val="clear" w:color="auto" w:fill="FFFFFF"/>
              </w:rPr>
              <w:t>Nuclear Non-Proliferation (Safeguards) Act Regulations 1987</w:t>
            </w:r>
          </w:p>
        </w:tc>
        <w:tc>
          <w:tcPr>
            <w:tcW w:w="3402" w:type="dxa"/>
            <w:tcBorders>
              <w:top w:val="single" w:sz="4" w:space="0" w:color="auto"/>
              <w:left w:val="single" w:sz="4" w:space="0" w:color="auto"/>
              <w:bottom w:val="single" w:sz="4" w:space="0" w:color="auto"/>
              <w:right w:val="single" w:sz="4" w:space="0" w:color="auto"/>
            </w:tcBorders>
            <w:hideMark/>
          </w:tcPr>
          <w:p w14:paraId="527BDE30" w14:textId="6A5ACCD0" w:rsidR="00436459" w:rsidRPr="0061637C" w:rsidRDefault="00CE5F99" w:rsidP="00E42F0C">
            <w:pPr>
              <w:rPr>
                <w:rFonts w:ascii="Times New Roman" w:hAnsi="Times New Roman" w:cs="Times New Roman"/>
                <w:sz w:val="24"/>
                <w:szCs w:val="24"/>
              </w:rPr>
            </w:pPr>
            <w:r w:rsidRPr="00CE5F99">
              <w:rPr>
                <w:rFonts w:ascii="Times New Roman" w:hAnsi="Times New Roman" w:cs="Times New Roman"/>
                <w:color w:val="000000"/>
                <w:sz w:val="24"/>
                <w:szCs w:val="24"/>
                <w:shd w:val="clear" w:color="auto" w:fill="FFFFFF"/>
              </w:rPr>
              <w:t>Subsection 8(1), Division 2 of Part 2 and sections 14, 14A, 14B and 15</w:t>
            </w:r>
          </w:p>
        </w:tc>
      </w:tr>
      <w:tr w:rsidR="006D233D" w:rsidRPr="0061637C" w14:paraId="388172AF" w14:textId="77777777" w:rsidTr="00E42F0C">
        <w:trPr>
          <w:trHeight w:val="611"/>
        </w:trPr>
        <w:tc>
          <w:tcPr>
            <w:tcW w:w="846" w:type="dxa"/>
            <w:tcBorders>
              <w:top w:val="single" w:sz="4" w:space="0" w:color="auto"/>
              <w:left w:val="single" w:sz="4" w:space="0" w:color="auto"/>
              <w:bottom w:val="single" w:sz="4" w:space="0" w:color="auto"/>
              <w:right w:val="single" w:sz="4" w:space="0" w:color="auto"/>
            </w:tcBorders>
            <w:hideMark/>
          </w:tcPr>
          <w:p w14:paraId="43A73CC6" w14:textId="77777777" w:rsidR="006D233D" w:rsidRPr="006D233D" w:rsidRDefault="006D233D" w:rsidP="006D233D">
            <w:pPr>
              <w:rPr>
                <w:rFonts w:ascii="Times New Roman" w:hAnsi="Times New Roman" w:cs="Times New Roman"/>
                <w:sz w:val="24"/>
                <w:szCs w:val="24"/>
              </w:rPr>
            </w:pPr>
            <w:r w:rsidRPr="006D233D">
              <w:rPr>
                <w:rFonts w:ascii="Times New Roman" w:hAnsi="Times New Roman" w:cs="Times New Roman"/>
                <w:sz w:val="24"/>
                <w:szCs w:val="24"/>
              </w:rPr>
              <w:t>77</w:t>
            </w:r>
          </w:p>
        </w:tc>
        <w:tc>
          <w:tcPr>
            <w:tcW w:w="4819" w:type="dxa"/>
            <w:tcBorders>
              <w:top w:val="single" w:sz="4" w:space="0" w:color="auto"/>
              <w:left w:val="single" w:sz="4" w:space="0" w:color="auto"/>
              <w:bottom w:val="single" w:sz="4" w:space="0" w:color="auto"/>
              <w:right w:val="single" w:sz="4" w:space="0" w:color="auto"/>
            </w:tcBorders>
            <w:hideMark/>
          </w:tcPr>
          <w:p w14:paraId="01D35BF7" w14:textId="77777777" w:rsidR="006D233D" w:rsidRPr="006D233D" w:rsidRDefault="006D233D" w:rsidP="006D233D">
            <w:pPr>
              <w:rPr>
                <w:rFonts w:ascii="Times New Roman" w:hAnsi="Times New Roman" w:cs="Times New Roman"/>
                <w:sz w:val="24"/>
                <w:szCs w:val="24"/>
              </w:rPr>
            </w:pPr>
            <w:r w:rsidRPr="006D233D">
              <w:rPr>
                <w:rFonts w:ascii="Times New Roman" w:hAnsi="Times New Roman" w:cs="Times New Roman"/>
                <w:i/>
                <w:sz w:val="24"/>
                <w:szCs w:val="24"/>
              </w:rPr>
              <w:t>Public Service Act 1999</w:t>
            </w:r>
            <w:r w:rsidRPr="006D233D">
              <w:rPr>
                <w:rFonts w:ascii="Times New Roman" w:hAnsi="Times New Roman" w:cs="Times New Roman"/>
                <w:sz w:val="24"/>
                <w:szCs w:val="24"/>
              </w:rPr>
              <w:t>, section 22</w:t>
            </w:r>
          </w:p>
        </w:tc>
        <w:tc>
          <w:tcPr>
            <w:tcW w:w="3402" w:type="dxa"/>
            <w:tcBorders>
              <w:top w:val="single" w:sz="4" w:space="0" w:color="auto"/>
              <w:left w:val="single" w:sz="4" w:space="0" w:color="auto"/>
              <w:bottom w:val="single" w:sz="4" w:space="0" w:color="auto"/>
              <w:right w:val="single" w:sz="4" w:space="0" w:color="auto"/>
            </w:tcBorders>
            <w:hideMark/>
          </w:tcPr>
          <w:p w14:paraId="247BB2A7" w14:textId="4180F9E0" w:rsidR="006D233D" w:rsidRPr="006D233D" w:rsidRDefault="00CE5F99" w:rsidP="006D233D">
            <w:pPr>
              <w:rPr>
                <w:rFonts w:ascii="Times New Roman" w:hAnsi="Times New Roman" w:cs="Times New Roman"/>
                <w:sz w:val="24"/>
                <w:szCs w:val="24"/>
              </w:rPr>
            </w:pPr>
            <w:r w:rsidRPr="00CE5F99">
              <w:rPr>
                <w:rFonts w:ascii="Times New Roman" w:hAnsi="Times New Roman" w:cs="Times New Roman"/>
                <w:sz w:val="24"/>
                <w:szCs w:val="24"/>
              </w:rPr>
              <w:t>Subsection 8(1), Division 2 of Part 2 and sections 14, 14A, 14B and 15</w:t>
            </w:r>
          </w:p>
        </w:tc>
      </w:tr>
    </w:tbl>
    <w:p w14:paraId="59196F07" w14:textId="77777777" w:rsidR="00C514D9" w:rsidRDefault="0016682B"/>
    <w:sectPr w:rsidR="00C514D9" w:rsidSect="0016682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0C87" w14:textId="77777777" w:rsidR="008C415E" w:rsidRDefault="00FA5F6C">
      <w:pPr>
        <w:spacing w:after="0" w:line="240" w:lineRule="auto"/>
      </w:pPr>
      <w:r>
        <w:separator/>
      </w:r>
    </w:p>
  </w:endnote>
  <w:endnote w:type="continuationSeparator" w:id="0">
    <w:p w14:paraId="4C2D00C5" w14:textId="77777777" w:rsidR="008C415E" w:rsidRDefault="00FA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04314554"/>
      <w:docPartObj>
        <w:docPartGallery w:val="Page Numbers (Bottom of Page)"/>
        <w:docPartUnique/>
      </w:docPartObj>
    </w:sdtPr>
    <w:sdtEndPr>
      <w:rPr>
        <w:noProof/>
      </w:rPr>
    </w:sdtEndPr>
    <w:sdtContent>
      <w:p w14:paraId="4C0F8908" w14:textId="77777777" w:rsidR="007469E8" w:rsidRPr="00197AE3" w:rsidRDefault="006D233D">
        <w:pPr>
          <w:pStyle w:val="Footer"/>
          <w:jc w:val="right"/>
          <w:rPr>
            <w:rFonts w:ascii="Times New Roman" w:hAnsi="Times New Roman" w:cs="Times New Roman"/>
          </w:rPr>
        </w:pPr>
        <w:r w:rsidRPr="00197AE3">
          <w:rPr>
            <w:rFonts w:ascii="Times New Roman" w:hAnsi="Times New Roman" w:cs="Times New Roman"/>
          </w:rPr>
          <w:fldChar w:fldCharType="begin"/>
        </w:r>
        <w:r w:rsidRPr="00197AE3">
          <w:rPr>
            <w:rFonts w:ascii="Times New Roman" w:hAnsi="Times New Roman" w:cs="Times New Roman"/>
          </w:rPr>
          <w:instrText xml:space="preserve"> PAGE   \* MERGEFORMAT </w:instrText>
        </w:r>
        <w:r w:rsidRPr="00197AE3">
          <w:rPr>
            <w:rFonts w:ascii="Times New Roman" w:hAnsi="Times New Roman" w:cs="Times New Roman"/>
          </w:rPr>
          <w:fldChar w:fldCharType="separate"/>
        </w:r>
        <w:r>
          <w:rPr>
            <w:rFonts w:ascii="Times New Roman" w:hAnsi="Times New Roman" w:cs="Times New Roman"/>
            <w:noProof/>
          </w:rPr>
          <w:t>8</w:t>
        </w:r>
        <w:r w:rsidRPr="00197AE3">
          <w:rPr>
            <w:rFonts w:ascii="Times New Roman" w:hAnsi="Times New Roman" w:cs="Times New Roman"/>
            <w:noProof/>
          </w:rPr>
          <w:fldChar w:fldCharType="end"/>
        </w:r>
      </w:p>
    </w:sdtContent>
  </w:sdt>
  <w:p w14:paraId="0B08CA68" w14:textId="77777777" w:rsidR="007469E8" w:rsidRDefault="0016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8BA19" w14:textId="77777777" w:rsidR="008C415E" w:rsidRDefault="00FA5F6C">
      <w:pPr>
        <w:spacing w:after="0" w:line="240" w:lineRule="auto"/>
      </w:pPr>
      <w:r>
        <w:separator/>
      </w:r>
    </w:p>
  </w:footnote>
  <w:footnote w:type="continuationSeparator" w:id="0">
    <w:p w14:paraId="6F1B3073" w14:textId="77777777" w:rsidR="008C415E" w:rsidRDefault="00FA5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59"/>
    <w:rsid w:val="00140994"/>
    <w:rsid w:val="0016682B"/>
    <w:rsid w:val="001E0F0C"/>
    <w:rsid w:val="002B7A08"/>
    <w:rsid w:val="002D328C"/>
    <w:rsid w:val="00305043"/>
    <w:rsid w:val="00350C60"/>
    <w:rsid w:val="00370D7D"/>
    <w:rsid w:val="00402C33"/>
    <w:rsid w:val="004324D2"/>
    <w:rsid w:val="00436459"/>
    <w:rsid w:val="00480427"/>
    <w:rsid w:val="00485A78"/>
    <w:rsid w:val="004F254A"/>
    <w:rsid w:val="00571D48"/>
    <w:rsid w:val="00630AFD"/>
    <w:rsid w:val="00636FA2"/>
    <w:rsid w:val="0064362E"/>
    <w:rsid w:val="006D233D"/>
    <w:rsid w:val="007A19BC"/>
    <w:rsid w:val="007D3E14"/>
    <w:rsid w:val="008434BB"/>
    <w:rsid w:val="008C415E"/>
    <w:rsid w:val="00AF23D7"/>
    <w:rsid w:val="00B33EC6"/>
    <w:rsid w:val="00C22C3B"/>
    <w:rsid w:val="00CE5F99"/>
    <w:rsid w:val="00CF3261"/>
    <w:rsid w:val="00D45BF1"/>
    <w:rsid w:val="00E37403"/>
    <w:rsid w:val="00E44518"/>
    <w:rsid w:val="00E667CE"/>
    <w:rsid w:val="00E94370"/>
    <w:rsid w:val="00FA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C25E"/>
  <w15:chartTrackingRefBased/>
  <w15:docId w15:val="{B42A03D1-A493-4B59-ABCF-92EA8F74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459"/>
    <w:pPr>
      <w:spacing w:after="200" w:line="276" w:lineRule="auto"/>
    </w:pPr>
  </w:style>
  <w:style w:type="paragraph" w:styleId="Heading1">
    <w:name w:val="heading 1"/>
    <w:basedOn w:val="Normal"/>
    <w:next w:val="Normal"/>
    <w:link w:val="Heading1Char"/>
    <w:uiPriority w:val="9"/>
    <w:qFormat/>
    <w:rsid w:val="00436459"/>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59"/>
    <w:rPr>
      <w:rFonts w:ascii="Cambria" w:eastAsia="Times New Roman" w:hAnsi="Cambria" w:cs="Times New Roman"/>
      <w:bCs/>
      <w:caps/>
      <w:kern w:val="32"/>
      <w:sz w:val="32"/>
      <w:szCs w:val="32"/>
    </w:rPr>
  </w:style>
  <w:style w:type="paragraph" w:styleId="Footer">
    <w:name w:val="footer"/>
    <w:basedOn w:val="Normal"/>
    <w:link w:val="FooterChar"/>
    <w:uiPriority w:val="99"/>
    <w:unhideWhenUsed/>
    <w:rsid w:val="00436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459"/>
  </w:style>
  <w:style w:type="paragraph" w:styleId="NoSpacing">
    <w:name w:val="No Spacing"/>
    <w:uiPriority w:val="1"/>
    <w:qFormat/>
    <w:rsid w:val="00436459"/>
    <w:pPr>
      <w:spacing w:after="0" w:line="240" w:lineRule="auto"/>
    </w:pPr>
  </w:style>
  <w:style w:type="paragraph" w:customStyle="1" w:styleId="tabletext">
    <w:name w:val="tabletext"/>
    <w:basedOn w:val="Normal"/>
    <w:rsid w:val="0043645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436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F6C"/>
    <w:rPr>
      <w:sz w:val="16"/>
      <w:szCs w:val="16"/>
    </w:rPr>
  </w:style>
  <w:style w:type="paragraph" w:styleId="CommentText">
    <w:name w:val="annotation text"/>
    <w:basedOn w:val="Normal"/>
    <w:link w:val="CommentTextChar"/>
    <w:uiPriority w:val="99"/>
    <w:semiHidden/>
    <w:unhideWhenUsed/>
    <w:rsid w:val="00FA5F6C"/>
    <w:pPr>
      <w:spacing w:line="240" w:lineRule="auto"/>
    </w:pPr>
    <w:rPr>
      <w:sz w:val="20"/>
      <w:szCs w:val="20"/>
    </w:rPr>
  </w:style>
  <w:style w:type="character" w:customStyle="1" w:styleId="CommentTextChar">
    <w:name w:val="Comment Text Char"/>
    <w:basedOn w:val="DefaultParagraphFont"/>
    <w:link w:val="CommentText"/>
    <w:uiPriority w:val="99"/>
    <w:semiHidden/>
    <w:rsid w:val="00FA5F6C"/>
    <w:rPr>
      <w:sz w:val="20"/>
      <w:szCs w:val="20"/>
    </w:rPr>
  </w:style>
  <w:style w:type="paragraph" w:styleId="CommentSubject">
    <w:name w:val="annotation subject"/>
    <w:basedOn w:val="CommentText"/>
    <w:next w:val="CommentText"/>
    <w:link w:val="CommentSubjectChar"/>
    <w:uiPriority w:val="99"/>
    <w:semiHidden/>
    <w:unhideWhenUsed/>
    <w:rsid w:val="00FA5F6C"/>
    <w:rPr>
      <w:b/>
      <w:bCs/>
    </w:rPr>
  </w:style>
  <w:style w:type="character" w:customStyle="1" w:styleId="CommentSubjectChar">
    <w:name w:val="Comment Subject Char"/>
    <w:basedOn w:val="CommentTextChar"/>
    <w:link w:val="CommentSubject"/>
    <w:uiPriority w:val="99"/>
    <w:semiHidden/>
    <w:rsid w:val="00FA5F6C"/>
    <w:rPr>
      <w:b/>
      <w:bCs/>
      <w:sz w:val="20"/>
      <w:szCs w:val="20"/>
    </w:rPr>
  </w:style>
  <w:style w:type="paragraph" w:styleId="BalloonText">
    <w:name w:val="Balloon Text"/>
    <w:basedOn w:val="Normal"/>
    <w:link w:val="BalloonTextChar"/>
    <w:uiPriority w:val="99"/>
    <w:semiHidden/>
    <w:unhideWhenUsed/>
    <w:rsid w:val="00FA5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2130531EDB7424A81006D1F30934C6D" ma:contentTypeVersion="" ma:contentTypeDescription="PDMS Document Site Content Type" ma:contentTypeScope="" ma:versionID="8d25b139317128ac617941b68788af10">
  <xsd:schema xmlns:xsd="http://www.w3.org/2001/XMLSchema" xmlns:xs="http://www.w3.org/2001/XMLSchema" xmlns:p="http://schemas.microsoft.com/office/2006/metadata/properties" xmlns:ns2="4287C201-7430-4838-8961-06B517BE239E" targetNamespace="http://schemas.microsoft.com/office/2006/metadata/properties" ma:root="true" ma:fieldsID="88bc059677960bd635540894a46942d2" ns2:_="">
    <xsd:import namespace="4287C201-7430-4838-8961-06B517BE23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C201-7430-4838-8961-06B517BE23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287C201-7430-4838-8961-06B517BE239E" xsi:nil="true"/>
  </documentManagement>
</p:properties>
</file>

<file path=customXml/itemProps1.xml><?xml version="1.0" encoding="utf-8"?>
<ds:datastoreItem xmlns:ds="http://schemas.openxmlformats.org/officeDocument/2006/customXml" ds:itemID="{8777AFA8-77BC-4A8B-B931-EDA35A084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C201-7430-4838-8961-06B517BE2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30436-A5F2-4EDB-9DFB-29FA74BE620E}">
  <ds:schemaRefs>
    <ds:schemaRef ds:uri="http://schemas.microsoft.com/sharepoint/v3/contenttype/forms"/>
  </ds:schemaRefs>
</ds:datastoreItem>
</file>

<file path=customXml/itemProps3.xml><?xml version="1.0" encoding="utf-8"?>
<ds:datastoreItem xmlns:ds="http://schemas.openxmlformats.org/officeDocument/2006/customXml" ds:itemID="{EACA7399-96A8-43BD-AAC9-20F9AFA54A6F}">
  <ds:schemaRefs>
    <ds:schemaRef ds:uri="4287C201-7430-4838-8961-06B517BE239E"/>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Dewendra, Sulithi</dc:creator>
  <cp:keywords/>
  <dc:description/>
  <cp:lastModifiedBy>Smrdel, Albin</cp:lastModifiedBy>
  <cp:revision>22</cp:revision>
  <dcterms:created xsi:type="dcterms:W3CDTF">2022-03-06T22:25:00Z</dcterms:created>
  <dcterms:modified xsi:type="dcterms:W3CDTF">2022-03-16T00:02:00Z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0x010100266966F133664895A6EE3632470D45F50042130531EDB7424A81006D1F30934C6D</vt:lpwstr>
  </property>
</Properties>
</file>