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02035D" w:rsidRDefault="00FA6784" w:rsidP="00FA6784">
      <w:pPr>
        <w:pStyle w:val="H3"/>
        <w:jc w:val="center"/>
        <w:rPr>
          <w:sz w:val="24"/>
          <w:szCs w:val="24"/>
        </w:rPr>
      </w:pPr>
      <w:r w:rsidRPr="0002035D">
        <w:rPr>
          <w:sz w:val="24"/>
          <w:szCs w:val="24"/>
        </w:rPr>
        <w:t>EXPLANATORY STATEMENT</w:t>
      </w:r>
    </w:p>
    <w:p w14:paraId="2412D122" w14:textId="77777777" w:rsidR="00FA6784" w:rsidRPr="0002035D" w:rsidRDefault="00FA6784" w:rsidP="00FA6784">
      <w:pPr>
        <w:jc w:val="center"/>
        <w:rPr>
          <w:i/>
          <w:iCs/>
          <w:sz w:val="20"/>
        </w:rPr>
      </w:pPr>
    </w:p>
    <w:p w14:paraId="2412D123" w14:textId="77777777" w:rsidR="00FA6784" w:rsidRPr="0002035D" w:rsidRDefault="00FA6784" w:rsidP="00FA6784">
      <w:pPr>
        <w:jc w:val="center"/>
        <w:rPr>
          <w:i/>
          <w:iCs/>
        </w:rPr>
      </w:pPr>
      <w:r w:rsidRPr="0002035D">
        <w:rPr>
          <w:i/>
          <w:iCs/>
        </w:rPr>
        <w:t>Health Insurance Act 1973</w:t>
      </w:r>
    </w:p>
    <w:p w14:paraId="2412D124" w14:textId="77777777" w:rsidR="00A1739A" w:rsidRPr="0002035D" w:rsidRDefault="00A1739A" w:rsidP="00A1739A">
      <w:pPr>
        <w:rPr>
          <w:szCs w:val="24"/>
          <w:u w:val="single"/>
        </w:rPr>
      </w:pPr>
    </w:p>
    <w:p w14:paraId="2838A7B4" w14:textId="034127CD" w:rsidR="00FD602D" w:rsidRPr="0002035D" w:rsidRDefault="00AE6B12" w:rsidP="00961795">
      <w:pPr>
        <w:ind w:right="84"/>
        <w:jc w:val="center"/>
        <w:rPr>
          <w:color w:val="FF0000"/>
          <w:szCs w:val="24"/>
        </w:rPr>
      </w:pPr>
      <w:r w:rsidRPr="0002035D">
        <w:rPr>
          <w:i/>
          <w:iCs/>
        </w:rPr>
        <w:t>Health Insurance (Section 3C General Medical Services – Telehealth and Telephone Attendances) Amendment (Natural Disaster Exemption) Determination 2022</w:t>
      </w:r>
    </w:p>
    <w:p w14:paraId="052E97C1" w14:textId="77777777" w:rsidR="00164A69" w:rsidRPr="0002035D"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192CD30B" w:rsidR="00164A69" w:rsidRPr="0002035D"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02035D">
        <w:rPr>
          <w:color w:val="000000"/>
          <w:shd w:val="clear" w:color="auto" w:fill="FFFFFF"/>
        </w:rPr>
        <w:t>Subsection 3</w:t>
      </w:r>
      <w:proofErr w:type="gramStart"/>
      <w:r w:rsidRPr="0002035D">
        <w:rPr>
          <w:color w:val="000000"/>
          <w:shd w:val="clear" w:color="auto" w:fill="FFFFFF"/>
        </w:rPr>
        <w:t>C(</w:t>
      </w:r>
      <w:proofErr w:type="gramEnd"/>
      <w:r w:rsidRPr="0002035D">
        <w:rPr>
          <w:color w:val="000000"/>
          <w:shd w:val="clear" w:color="auto" w:fill="FFFFFF"/>
        </w:rPr>
        <w:t xml:space="preserve">1) of the </w:t>
      </w:r>
      <w:r w:rsidRPr="0002035D">
        <w:rPr>
          <w:i/>
          <w:color w:val="000000"/>
          <w:shd w:val="clear" w:color="auto" w:fill="FFFFFF"/>
        </w:rPr>
        <w:t>Health Insurance Act 1973</w:t>
      </w:r>
      <w:r w:rsidRPr="0002035D">
        <w:rPr>
          <w:color w:val="000000"/>
          <w:shd w:val="clear" w:color="auto" w:fill="FFFFFF"/>
        </w:rPr>
        <w:t xml:space="preserve"> (the Act) </w:t>
      </w:r>
      <w:r w:rsidR="00477C74" w:rsidRPr="0002035D">
        <w:rPr>
          <w:color w:val="000000"/>
          <w:shd w:val="clear" w:color="auto" w:fill="FFFFFF"/>
        </w:rPr>
        <w:t>provide</w:t>
      </w:r>
      <w:r w:rsidR="002E5708" w:rsidRPr="0002035D">
        <w:rPr>
          <w:color w:val="000000"/>
          <w:shd w:val="clear" w:color="auto" w:fill="FFFFFF"/>
        </w:rPr>
        <w:t>s</w:t>
      </w:r>
      <w:r w:rsidR="00477C74" w:rsidRPr="0002035D">
        <w:rPr>
          <w:color w:val="000000"/>
          <w:shd w:val="clear" w:color="auto" w:fill="FFFFFF"/>
        </w:rPr>
        <w:t xml:space="preserve"> that</w:t>
      </w:r>
      <w:r w:rsidRPr="0002035D">
        <w:rPr>
          <w:color w:val="000000"/>
          <w:shd w:val="clear" w:color="auto" w:fill="FFFFFF"/>
        </w:rPr>
        <w:t xml:space="preserve"> the Minister </w:t>
      </w:r>
      <w:r w:rsidR="00477C74" w:rsidRPr="0002035D">
        <w:rPr>
          <w:color w:val="000000"/>
          <w:shd w:val="clear" w:color="auto" w:fill="FFFFFF"/>
        </w:rPr>
        <w:t>may</w:t>
      </w:r>
      <w:r w:rsidRPr="0002035D">
        <w:rPr>
          <w:color w:val="000000"/>
          <w:shd w:val="clear" w:color="auto" w:fill="FFFFFF"/>
        </w:rPr>
        <w:t xml:space="preserve">, by legislative instrument, determine that a health service not specified in an item in the </w:t>
      </w:r>
      <w:r w:rsidR="00AE6B12" w:rsidRPr="0002035D">
        <w:rPr>
          <w:color w:val="000000"/>
          <w:shd w:val="clear" w:color="auto" w:fill="FFFFFF"/>
        </w:rPr>
        <w:t>general medical</w:t>
      </w:r>
      <w:r w:rsidRPr="0002035D">
        <w:rPr>
          <w:color w:val="000000"/>
          <w:shd w:val="clear" w:color="auto" w:fill="FFFFFF"/>
        </w:rPr>
        <w:t xml:space="preserve"> services table </w:t>
      </w:r>
      <w:r w:rsidR="00D01D5A" w:rsidRPr="0002035D">
        <w:rPr>
          <w:color w:val="000000"/>
          <w:shd w:val="clear" w:color="auto" w:fill="FFFFFF"/>
        </w:rPr>
        <w:t xml:space="preserve">(the Table) </w:t>
      </w:r>
      <w:r w:rsidRPr="0002035D">
        <w:rPr>
          <w:color w:val="000000"/>
          <w:shd w:val="clear" w:color="auto" w:fill="FFFFFF"/>
        </w:rPr>
        <w:t xml:space="preserve">shall, in specified circumstances and for specified statutory provisions, be treated as if it were specified in the </w:t>
      </w:r>
      <w:r w:rsidR="00D01D5A" w:rsidRPr="0002035D">
        <w:rPr>
          <w:color w:val="000000"/>
          <w:shd w:val="clear" w:color="auto" w:fill="FFFFFF"/>
        </w:rPr>
        <w:t xml:space="preserve">Table. </w:t>
      </w:r>
      <w:r w:rsidRPr="0002035D">
        <w:rPr>
          <w:color w:val="FF0000"/>
          <w:shd w:val="clear" w:color="auto" w:fill="FFFFFF"/>
        </w:rPr>
        <w:t xml:space="preserve">  </w:t>
      </w:r>
    </w:p>
    <w:p w14:paraId="7DB18649" w14:textId="77777777" w:rsidR="00841EDA" w:rsidRPr="0002035D"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7A9AED2C" w:rsidR="00050623" w:rsidRPr="0002035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02035D">
        <w:t xml:space="preserve">The </w:t>
      </w:r>
      <w:r w:rsidR="00D01D5A" w:rsidRPr="0002035D">
        <w:t>Table</w:t>
      </w:r>
      <w:r w:rsidRPr="0002035D">
        <w:t xml:space="preserve"> is set out in the regulations made under subsection 4</w:t>
      </w:r>
      <w:r w:rsidR="00AE6B12" w:rsidRPr="0002035D">
        <w:t>(1)</w:t>
      </w:r>
      <w:r w:rsidRPr="0002035D">
        <w:t xml:space="preserve"> of the Act.  The most recent version of the regulations is the</w:t>
      </w:r>
      <w:r w:rsidR="00AE6B12" w:rsidRPr="0002035D">
        <w:rPr>
          <w:color w:val="FF0000"/>
        </w:rPr>
        <w:t xml:space="preserve"> </w:t>
      </w:r>
      <w:r w:rsidR="00AE6B12" w:rsidRPr="0002035D">
        <w:rPr>
          <w:i/>
          <w:iCs/>
        </w:rPr>
        <w:t>Health Insurance (General Medical Services Table) Regulations 2021</w:t>
      </w:r>
      <w:r w:rsidR="00D01D5A" w:rsidRPr="0002035D">
        <w:t>.</w:t>
      </w:r>
      <w:r w:rsidRPr="0002035D">
        <w:t xml:space="preserve"> </w:t>
      </w:r>
    </w:p>
    <w:p w14:paraId="2E6FE463" w14:textId="77777777" w:rsidR="00050623" w:rsidRPr="0002035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02035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2035D">
        <w:t xml:space="preserve">This instrument relies on subsection 33(3) of the </w:t>
      </w:r>
      <w:r w:rsidRPr="0002035D">
        <w:rPr>
          <w:i/>
        </w:rPr>
        <w:t>Acts Interpretation Act 1901</w:t>
      </w:r>
      <w:r w:rsidRPr="0002035D">
        <w:t xml:space="preserve"> (AIA).  Subsection 33(3) of the AIA</w:t>
      </w:r>
      <w:r w:rsidRPr="0002035D">
        <w:rPr>
          <w:i/>
        </w:rPr>
        <w:t xml:space="preserve"> </w:t>
      </w:r>
      <w:r w:rsidRPr="0002035D">
        <w:t xml:space="preserve">provides that where an Act confers a power to make, grant or issue any instrument of a legislative or administrative character (including rules, </w:t>
      </w:r>
      <w:proofErr w:type="gramStart"/>
      <w:r w:rsidRPr="0002035D">
        <w:t>regulations</w:t>
      </w:r>
      <w:proofErr w:type="gramEnd"/>
      <w:r w:rsidRPr="0002035D">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02035D" w:rsidRDefault="008C5F1C" w:rsidP="00D33180">
      <w:pPr>
        <w:autoSpaceDE w:val="0"/>
        <w:autoSpaceDN w:val="0"/>
        <w:adjustRightInd w:val="0"/>
        <w:ind w:right="-483"/>
        <w:rPr>
          <w:szCs w:val="24"/>
        </w:rPr>
      </w:pPr>
    </w:p>
    <w:p w14:paraId="2412D12A" w14:textId="77777777" w:rsidR="00BB00BA" w:rsidRPr="0002035D" w:rsidRDefault="00A1739A" w:rsidP="00BB00BA">
      <w:pPr>
        <w:rPr>
          <w:b/>
          <w:szCs w:val="24"/>
          <w:lang w:val="en-US" w:eastAsia="en-US"/>
        </w:rPr>
      </w:pPr>
      <w:r w:rsidRPr="0002035D">
        <w:rPr>
          <w:b/>
          <w:szCs w:val="24"/>
          <w:lang w:val="en-US" w:eastAsia="en-US"/>
        </w:rPr>
        <w:t>Purpose</w:t>
      </w:r>
    </w:p>
    <w:p w14:paraId="304E564F" w14:textId="245DBF16" w:rsidR="00F372F7" w:rsidRPr="0002035D" w:rsidRDefault="00AE6B12" w:rsidP="00F372F7">
      <w:pPr>
        <w:shd w:val="clear" w:color="auto" w:fill="FFFFFF"/>
        <w:rPr>
          <w:color w:val="000000"/>
          <w:szCs w:val="24"/>
        </w:rPr>
      </w:pPr>
      <w:r w:rsidRPr="0002035D">
        <w:rPr>
          <w:color w:val="000000"/>
          <w:szCs w:val="24"/>
        </w:rPr>
        <w:t>Since 13 March 2020, the Australian Government has been providing temporary access to Medicare benefits for certain medical services to protect Australians during the coronavirus (COVID-19) pandemic. </w:t>
      </w:r>
      <w:r w:rsidR="00F372F7" w:rsidRPr="0002035D">
        <w:rPr>
          <w:color w:val="000000"/>
          <w:szCs w:val="24"/>
        </w:rPr>
        <w:t xml:space="preserve">From 1 January 2022, patient access to certain general practitioner, specialist and allied health telehealth and phone services was continued in the </w:t>
      </w:r>
      <w:r w:rsidR="00F372F7" w:rsidRPr="0002035D">
        <w:rPr>
          <w:i/>
          <w:iCs/>
          <w:color w:val="000000"/>
          <w:szCs w:val="24"/>
        </w:rPr>
        <w:t>Health Insurance (Section 3C General Medical Services – Telehealth and Telephone Attendances) Determination 2021</w:t>
      </w:r>
      <w:r w:rsidR="00F372F7" w:rsidRPr="0002035D">
        <w:rPr>
          <w:color w:val="000000"/>
          <w:szCs w:val="24"/>
        </w:rPr>
        <w:t xml:space="preserve"> (the Principal Determination).</w:t>
      </w:r>
    </w:p>
    <w:p w14:paraId="1DA09DF9" w14:textId="77777777" w:rsidR="00AE6B12" w:rsidRPr="0002035D" w:rsidRDefault="00AE6B12" w:rsidP="00AE6B12">
      <w:pPr>
        <w:shd w:val="clear" w:color="auto" w:fill="FFFFFF"/>
        <w:ind w:right="-483"/>
        <w:rPr>
          <w:color w:val="000000"/>
          <w:szCs w:val="24"/>
        </w:rPr>
      </w:pPr>
      <w:r w:rsidRPr="0002035D">
        <w:rPr>
          <w:color w:val="000000"/>
          <w:szCs w:val="24"/>
        </w:rPr>
        <w:t> </w:t>
      </w:r>
    </w:p>
    <w:p w14:paraId="35D9195F" w14:textId="77777777" w:rsidR="00AE6B12" w:rsidRPr="0002035D" w:rsidRDefault="00AE6B12" w:rsidP="00AE6B12">
      <w:pPr>
        <w:shd w:val="clear" w:color="auto" w:fill="FFFFFF"/>
        <w:rPr>
          <w:color w:val="000000"/>
          <w:szCs w:val="24"/>
        </w:rPr>
      </w:pPr>
      <w:r w:rsidRPr="0002035D">
        <w:rPr>
          <w:color w:val="000000"/>
          <w:szCs w:val="24"/>
        </w:rPr>
        <w:t>General practitioners (GPs) and other medical practitioners (OMPs) working in general practice can only perform these telehealth or phone services if they have an existing relationship with the patient. An existing relationship is defined as:</w:t>
      </w:r>
    </w:p>
    <w:p w14:paraId="64AF2907" w14:textId="245E9BB1" w:rsidR="00AE6B12" w:rsidRPr="0002035D" w:rsidRDefault="00AE6B12" w:rsidP="00AE6B12">
      <w:pPr>
        <w:shd w:val="clear" w:color="auto" w:fill="FFFFFF"/>
        <w:ind w:left="502" w:right="-483" w:hanging="360"/>
        <w:rPr>
          <w:color w:val="000000"/>
          <w:szCs w:val="24"/>
        </w:rPr>
      </w:pPr>
      <w:r w:rsidRPr="0002035D">
        <w:rPr>
          <w:rFonts w:ascii="Symbol" w:hAnsi="Symbol"/>
          <w:color w:val="000000"/>
          <w:szCs w:val="24"/>
        </w:rPr>
        <w:t>·</w:t>
      </w:r>
      <w:r w:rsidRPr="0002035D">
        <w:rPr>
          <w:color w:val="000000"/>
          <w:sz w:val="14"/>
          <w:szCs w:val="14"/>
        </w:rPr>
        <w:t>       </w:t>
      </w:r>
      <w:r w:rsidRPr="0002035D">
        <w:rPr>
          <w:color w:val="000000"/>
          <w:szCs w:val="24"/>
        </w:rPr>
        <w:t>the medical practitioner who performs the service has provided a face-to-face service to the patient in the last 12 months; or</w:t>
      </w:r>
    </w:p>
    <w:p w14:paraId="2EC5D161" w14:textId="364F3028" w:rsidR="00AE6B12" w:rsidRPr="0002035D" w:rsidRDefault="00AE6B12" w:rsidP="00AE6B12">
      <w:pPr>
        <w:shd w:val="clear" w:color="auto" w:fill="FFFFFF"/>
        <w:ind w:left="502" w:right="-483" w:hanging="360"/>
        <w:rPr>
          <w:color w:val="000000"/>
          <w:szCs w:val="24"/>
        </w:rPr>
      </w:pPr>
      <w:r w:rsidRPr="0002035D">
        <w:rPr>
          <w:rFonts w:ascii="Symbol" w:hAnsi="Symbol"/>
          <w:color w:val="000000"/>
          <w:szCs w:val="24"/>
        </w:rPr>
        <w:t>·</w:t>
      </w:r>
      <w:r w:rsidRPr="0002035D">
        <w:rPr>
          <w:color w:val="000000"/>
          <w:sz w:val="14"/>
          <w:szCs w:val="14"/>
        </w:rPr>
        <w:t>       </w:t>
      </w:r>
      <w:r w:rsidRPr="0002035D">
        <w:rPr>
          <w:color w:val="000000"/>
          <w:szCs w:val="24"/>
        </w:rPr>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75FE35ED" w14:textId="40EA6638" w:rsidR="00AE6B12" w:rsidRPr="0002035D" w:rsidRDefault="00AE6B12" w:rsidP="00AE6B12">
      <w:pPr>
        <w:shd w:val="clear" w:color="auto" w:fill="FFFFFF"/>
        <w:ind w:left="502" w:right="-483" w:hanging="360"/>
        <w:rPr>
          <w:color w:val="000000"/>
          <w:szCs w:val="24"/>
        </w:rPr>
      </w:pPr>
      <w:r w:rsidRPr="0002035D">
        <w:rPr>
          <w:rFonts w:ascii="Symbol" w:hAnsi="Symbol"/>
          <w:color w:val="000000"/>
          <w:szCs w:val="24"/>
        </w:rPr>
        <w:t>·</w:t>
      </w:r>
      <w:r w:rsidRPr="0002035D">
        <w:rPr>
          <w:color w:val="000000"/>
          <w:sz w:val="14"/>
          <w:szCs w:val="14"/>
        </w:rPr>
        <w:t>       </w:t>
      </w:r>
      <w:r w:rsidRPr="0002035D">
        <w:rPr>
          <w:color w:val="000000"/>
          <w:szCs w:val="24"/>
        </w:rPr>
        <w:t>the medical practitioner who performs the service is a participant in the Approved Medical Deputising Service (AMDS) program, and the AMDS provider that employs the medical practitioner has a formal agreement with a medical practice that has provided at least one face-to-face service to the patient in the last 12 months.</w:t>
      </w:r>
    </w:p>
    <w:p w14:paraId="3467AE13" w14:textId="77777777" w:rsidR="00AE6B12" w:rsidRPr="0002035D" w:rsidRDefault="00AE6B12" w:rsidP="00AE6B12">
      <w:pPr>
        <w:shd w:val="clear" w:color="auto" w:fill="FFFFFF"/>
        <w:rPr>
          <w:color w:val="000000"/>
          <w:szCs w:val="24"/>
        </w:rPr>
      </w:pPr>
      <w:r w:rsidRPr="0002035D">
        <w:rPr>
          <w:color w:val="000000"/>
          <w:szCs w:val="24"/>
        </w:rPr>
        <w:t> </w:t>
      </w:r>
    </w:p>
    <w:p w14:paraId="088DD4D0" w14:textId="142148E0" w:rsidR="00AE6B12" w:rsidRPr="0002035D" w:rsidRDefault="00AE6B12" w:rsidP="00AE6B12">
      <w:pPr>
        <w:shd w:val="clear" w:color="auto" w:fill="FFFFFF"/>
        <w:rPr>
          <w:color w:val="000000"/>
          <w:szCs w:val="24"/>
        </w:rPr>
      </w:pPr>
      <w:r w:rsidRPr="0002035D">
        <w:rPr>
          <w:color w:val="000000"/>
          <w:szCs w:val="24"/>
          <w:shd w:val="clear" w:color="auto" w:fill="FFFFFF"/>
        </w:rPr>
        <w:t xml:space="preserve">This requirement does not apply to a person who is under the age of 12 months, a person who is experiencing homelessness, a person who is required to quarantine or </w:t>
      </w:r>
      <w:r w:rsidRPr="0002035D">
        <w:rPr>
          <w:color w:val="000000"/>
          <w:szCs w:val="24"/>
          <w:shd w:val="clear" w:color="auto" w:fill="FFFFFF"/>
        </w:rPr>
        <w:lastRenderedPageBreak/>
        <w:t>isolate under a State or Territory Government public health order, or a person who receives the service from a medical practitioner located at an Aboriginal Medical Service or an Aboriginal Community Controlled Health Service.</w:t>
      </w:r>
    </w:p>
    <w:p w14:paraId="1CBB8F43" w14:textId="77777777" w:rsidR="00AE6B12" w:rsidRPr="0002035D" w:rsidRDefault="00AE6B12" w:rsidP="0039170C">
      <w:pPr>
        <w:ind w:right="-483"/>
        <w:rPr>
          <w:color w:val="FF0000"/>
          <w:szCs w:val="24"/>
        </w:rPr>
      </w:pPr>
    </w:p>
    <w:p w14:paraId="06477197" w14:textId="5DB8F42A" w:rsidR="007708B3" w:rsidRPr="0002035D" w:rsidRDefault="00AE6B12" w:rsidP="0039170C">
      <w:pPr>
        <w:ind w:right="-483"/>
        <w:rPr>
          <w:color w:val="FF0000"/>
          <w:szCs w:val="24"/>
        </w:rPr>
      </w:pPr>
      <w:r w:rsidRPr="0002035D">
        <w:rPr>
          <w:szCs w:val="24"/>
        </w:rPr>
        <w:t xml:space="preserve">The purpose of the </w:t>
      </w:r>
      <w:r w:rsidRPr="0002035D">
        <w:rPr>
          <w:i/>
          <w:iCs/>
        </w:rPr>
        <w:t>Health Insurance (Section 3C General Medical Services – Telehealth and Telephone Attendances) Amendment (Natural Disaster Exemption) Determination 2022</w:t>
      </w:r>
      <w:r w:rsidRPr="0002035D">
        <w:t xml:space="preserve"> </w:t>
      </w:r>
      <w:r w:rsidR="00F372F7" w:rsidRPr="0002035D">
        <w:t xml:space="preserve">(the Amendment Determination) </w:t>
      </w:r>
      <w:r w:rsidRPr="0002035D">
        <w:t>is</w:t>
      </w:r>
      <w:r w:rsidR="00F372F7" w:rsidRPr="0002035D">
        <w:t xml:space="preserve"> to a</w:t>
      </w:r>
      <w:r w:rsidR="00F372F7" w:rsidRPr="0002035D">
        <w:rPr>
          <w:color w:val="000000"/>
          <w:shd w:val="clear" w:color="auto" w:fill="FFFFFF"/>
        </w:rPr>
        <w:t xml:space="preserve">mend the Principal Determination to remove the requirement for patients to have an existing relationship with their medical practitioner to access a general practice telehealth or phone service if the patient is located </w:t>
      </w:r>
      <w:r w:rsidR="00F372F7" w:rsidRPr="0002035D">
        <w:rPr>
          <w:color w:val="000000"/>
          <w:szCs w:val="22"/>
        </w:rPr>
        <w:t>within a State or Territory local government area which is declared as a natural disaster area by a State or Territory Government.</w:t>
      </w:r>
    </w:p>
    <w:p w14:paraId="2412D131" w14:textId="27EF2D7D" w:rsidR="001865F8" w:rsidRPr="0002035D" w:rsidRDefault="00A1739A" w:rsidP="00D46EB9">
      <w:pPr>
        <w:shd w:val="clear" w:color="auto" w:fill="FFFFFF"/>
        <w:spacing w:before="100" w:beforeAutospacing="1"/>
        <w:rPr>
          <w:rFonts w:ascii="Helvetica Neue" w:hAnsi="Helvetica Neue"/>
          <w:szCs w:val="24"/>
          <w:lang w:val="en-US"/>
        </w:rPr>
      </w:pPr>
      <w:r w:rsidRPr="0002035D">
        <w:rPr>
          <w:b/>
        </w:rPr>
        <w:t>Consultation</w:t>
      </w:r>
    </w:p>
    <w:p w14:paraId="519E9A81" w14:textId="09C19D37" w:rsidR="007708B3" w:rsidRPr="0002035D" w:rsidRDefault="005B4B57" w:rsidP="002806A1">
      <w:pPr>
        <w:shd w:val="clear" w:color="auto" w:fill="FFFFFF"/>
        <w:rPr>
          <w:szCs w:val="24"/>
        </w:rPr>
      </w:pPr>
      <w:r w:rsidRPr="0002035D">
        <w:rPr>
          <w:szCs w:val="24"/>
        </w:rPr>
        <w:t xml:space="preserve">Targeted consultation regarding the emergency telehealth services in response to natural disasters </w:t>
      </w:r>
      <w:r w:rsidR="0003354E" w:rsidRPr="0002035D">
        <w:rPr>
          <w:szCs w:val="24"/>
        </w:rPr>
        <w:t xml:space="preserve">occurred </w:t>
      </w:r>
      <w:r w:rsidRPr="0002035D">
        <w:rPr>
          <w:szCs w:val="24"/>
        </w:rPr>
        <w:t>with key stakeholders, including the Australian Medical Association, Royal Australian College of General Practitioners, Australian College of Rural and Remote Medicine and the Rural Doctors’ Association of Australia, ahead of the Government’s commitment to the permanent retention of telehealth items introduced in response to COVID-19, agreed in the 2021-22 Mid-Year Economic and Fiscal Outlook. The unanticipated and rapid deterioration of infrastructure and significant impact of the 2022 East Coast Floods prompted approval of the relevant regulatory changes ahead of the 2022-23 Budget.</w:t>
      </w:r>
    </w:p>
    <w:p w14:paraId="02264A85" w14:textId="77777777" w:rsidR="007708B3" w:rsidRPr="0002035D" w:rsidRDefault="007708B3" w:rsidP="002806A1">
      <w:pPr>
        <w:shd w:val="clear" w:color="auto" w:fill="FFFFFF"/>
        <w:rPr>
          <w:color w:val="000000"/>
          <w:szCs w:val="24"/>
        </w:rPr>
      </w:pPr>
    </w:p>
    <w:p w14:paraId="2412D134" w14:textId="0626BCEB" w:rsidR="00967E51" w:rsidRPr="0002035D" w:rsidRDefault="00A1739A" w:rsidP="000337CB">
      <w:pPr>
        <w:rPr>
          <w:szCs w:val="24"/>
        </w:rPr>
      </w:pPr>
      <w:r w:rsidRPr="0002035D">
        <w:rPr>
          <w:szCs w:val="24"/>
        </w:rPr>
        <w:t xml:space="preserve">Details of the </w:t>
      </w:r>
      <w:r w:rsidR="005B4B57" w:rsidRPr="0002035D">
        <w:rPr>
          <w:szCs w:val="24"/>
        </w:rPr>
        <w:t xml:space="preserve">Amendment </w:t>
      </w:r>
      <w:r w:rsidR="00574E71" w:rsidRPr="0002035D">
        <w:rPr>
          <w:szCs w:val="24"/>
        </w:rPr>
        <w:t>Determination</w:t>
      </w:r>
      <w:r w:rsidRPr="0002035D">
        <w:rPr>
          <w:szCs w:val="24"/>
        </w:rPr>
        <w:t xml:space="preserve"> are set out in the </w:t>
      </w:r>
      <w:r w:rsidRPr="0002035D">
        <w:rPr>
          <w:szCs w:val="24"/>
          <w:u w:val="single"/>
        </w:rPr>
        <w:t>Attachment</w:t>
      </w:r>
      <w:r w:rsidRPr="0002035D">
        <w:rPr>
          <w:szCs w:val="24"/>
        </w:rPr>
        <w:t>.</w:t>
      </w:r>
    </w:p>
    <w:p w14:paraId="2412D135" w14:textId="6B693EE0" w:rsidR="006C138D" w:rsidRPr="0002035D" w:rsidRDefault="00297AD0" w:rsidP="006C138D">
      <w:pPr>
        <w:tabs>
          <w:tab w:val="left" w:pos="567"/>
        </w:tabs>
        <w:spacing w:before="240"/>
        <w:rPr>
          <w:szCs w:val="24"/>
        </w:rPr>
      </w:pPr>
      <w:r w:rsidRPr="0002035D">
        <w:rPr>
          <w:szCs w:val="24"/>
        </w:rPr>
        <w:t xml:space="preserve">The </w:t>
      </w:r>
      <w:r w:rsidR="005B4B57" w:rsidRPr="0002035D">
        <w:rPr>
          <w:szCs w:val="24"/>
        </w:rPr>
        <w:t xml:space="preserve">Amendment </w:t>
      </w:r>
      <w:r w:rsidR="00967E51" w:rsidRPr="0002035D">
        <w:rPr>
          <w:szCs w:val="24"/>
        </w:rPr>
        <w:t>Determination</w:t>
      </w:r>
      <w:r w:rsidRPr="0002035D">
        <w:rPr>
          <w:szCs w:val="24"/>
        </w:rPr>
        <w:t xml:space="preserve"> </w:t>
      </w:r>
      <w:r w:rsidR="007524B0" w:rsidRPr="0002035D">
        <w:rPr>
          <w:szCs w:val="24"/>
        </w:rPr>
        <w:t xml:space="preserve">commences </w:t>
      </w:r>
      <w:r w:rsidR="00C63FDC" w:rsidRPr="0002035D">
        <w:rPr>
          <w:szCs w:val="24"/>
        </w:rPr>
        <w:t xml:space="preserve">on </w:t>
      </w:r>
      <w:r w:rsidR="00B90135" w:rsidRPr="0002035D">
        <w:rPr>
          <w:szCs w:val="24"/>
        </w:rPr>
        <w:t>11 April 2022.</w:t>
      </w:r>
    </w:p>
    <w:p w14:paraId="2412D136" w14:textId="77777777" w:rsidR="00236DF2" w:rsidRPr="0002035D" w:rsidRDefault="00236DF2" w:rsidP="00574E71">
      <w:pPr>
        <w:rPr>
          <w:szCs w:val="24"/>
        </w:rPr>
      </w:pPr>
    </w:p>
    <w:p w14:paraId="2412D138" w14:textId="32867407" w:rsidR="00574E71" w:rsidRPr="0002035D" w:rsidRDefault="0002728B" w:rsidP="00DE07E4">
      <w:pPr>
        <w:spacing w:after="200" w:line="276" w:lineRule="auto"/>
        <w:rPr>
          <w:szCs w:val="24"/>
        </w:rPr>
      </w:pPr>
      <w:r w:rsidRPr="0002035D">
        <w:rPr>
          <w:szCs w:val="24"/>
        </w:rPr>
        <w:t>T</w:t>
      </w:r>
      <w:r w:rsidR="00574E71" w:rsidRPr="0002035D">
        <w:rPr>
          <w:szCs w:val="24"/>
        </w:rPr>
        <w:t xml:space="preserve">he </w:t>
      </w:r>
      <w:r w:rsidR="005B4B57" w:rsidRPr="0002035D">
        <w:rPr>
          <w:szCs w:val="24"/>
        </w:rPr>
        <w:t xml:space="preserve">Amendment </w:t>
      </w:r>
      <w:r w:rsidR="00574E71" w:rsidRPr="0002035D">
        <w:rPr>
          <w:szCs w:val="24"/>
        </w:rPr>
        <w:t xml:space="preserve">Determination is </w:t>
      </w:r>
      <w:r w:rsidR="004417A2" w:rsidRPr="0002035D">
        <w:rPr>
          <w:szCs w:val="24"/>
        </w:rPr>
        <w:t xml:space="preserve">a </w:t>
      </w:r>
      <w:r w:rsidR="00574E71" w:rsidRPr="0002035D">
        <w:rPr>
          <w:szCs w:val="24"/>
        </w:rPr>
        <w:t xml:space="preserve">legislative instrument for the purposes of the </w:t>
      </w:r>
      <w:r w:rsidR="00574E71" w:rsidRPr="0002035D">
        <w:rPr>
          <w:i/>
        </w:rPr>
        <w:t>Legislation Act 2003</w:t>
      </w:r>
      <w:r w:rsidR="00574E71" w:rsidRPr="0002035D">
        <w:rPr>
          <w:szCs w:val="24"/>
        </w:rPr>
        <w:t>.</w:t>
      </w:r>
    </w:p>
    <w:p w14:paraId="2412D139" w14:textId="77777777" w:rsidR="00A1739A" w:rsidRPr="0002035D" w:rsidRDefault="00A1739A" w:rsidP="000337CB">
      <w:pPr>
        <w:ind w:left="6663" w:hanging="3119"/>
        <w:rPr>
          <w:szCs w:val="24"/>
        </w:rPr>
      </w:pPr>
      <w:r w:rsidRPr="0002035D">
        <w:rPr>
          <w:szCs w:val="24"/>
        </w:rPr>
        <w:t xml:space="preserve">           </w:t>
      </w:r>
    </w:p>
    <w:p w14:paraId="2412D13A" w14:textId="77777777" w:rsidR="00A1739A" w:rsidRPr="0002035D" w:rsidRDefault="00A1739A" w:rsidP="000337CB">
      <w:pPr>
        <w:ind w:left="6663" w:hanging="3119"/>
        <w:rPr>
          <w:szCs w:val="24"/>
        </w:rPr>
      </w:pPr>
      <w:r w:rsidRPr="0002035D">
        <w:rPr>
          <w:szCs w:val="24"/>
          <w:u w:val="single"/>
        </w:rPr>
        <w:t>Authority</w:t>
      </w:r>
      <w:r w:rsidR="00967E51" w:rsidRPr="0002035D">
        <w:rPr>
          <w:szCs w:val="24"/>
        </w:rPr>
        <w:t xml:space="preserve">:     Subsection </w:t>
      </w:r>
      <w:r w:rsidRPr="0002035D">
        <w:rPr>
          <w:szCs w:val="24"/>
        </w:rPr>
        <w:t>3</w:t>
      </w:r>
      <w:proofErr w:type="gramStart"/>
      <w:r w:rsidR="00967E51" w:rsidRPr="0002035D">
        <w:rPr>
          <w:szCs w:val="24"/>
        </w:rPr>
        <w:t>C</w:t>
      </w:r>
      <w:r w:rsidRPr="0002035D">
        <w:rPr>
          <w:szCs w:val="24"/>
        </w:rPr>
        <w:t>(</w:t>
      </w:r>
      <w:proofErr w:type="gramEnd"/>
      <w:r w:rsidRPr="0002035D">
        <w:rPr>
          <w:szCs w:val="24"/>
        </w:rPr>
        <w:t xml:space="preserve">1) of the </w:t>
      </w:r>
    </w:p>
    <w:p w14:paraId="2412D13B" w14:textId="0596CD30" w:rsidR="00A1739A" w:rsidRPr="0002035D" w:rsidRDefault="00A1739A" w:rsidP="000337CB">
      <w:pPr>
        <w:tabs>
          <w:tab w:val="left" w:pos="4820"/>
        </w:tabs>
        <w:rPr>
          <w:szCs w:val="24"/>
        </w:rPr>
        <w:sectPr w:rsidR="00A1739A" w:rsidRPr="0002035D" w:rsidSect="00235B6C">
          <w:headerReference w:type="default" r:id="rId11"/>
          <w:pgSz w:w="11906" w:h="16838"/>
          <w:pgMar w:top="1440" w:right="1800" w:bottom="1135" w:left="1800" w:header="708" w:footer="708" w:gutter="0"/>
          <w:pgNumType w:start="1"/>
          <w:cols w:space="708"/>
          <w:docGrid w:linePitch="360"/>
        </w:sectPr>
      </w:pPr>
      <w:r w:rsidRPr="0002035D">
        <w:rPr>
          <w:i/>
          <w:szCs w:val="24"/>
        </w:rPr>
        <w:tab/>
        <w:t>Health Insurance Act 1973</w:t>
      </w:r>
    </w:p>
    <w:p w14:paraId="2412D13D" w14:textId="77777777" w:rsidR="006D5816" w:rsidRPr="0002035D" w:rsidRDefault="006D5816" w:rsidP="000337CB">
      <w:pPr>
        <w:pStyle w:val="BodyText"/>
        <w:jc w:val="right"/>
        <w:rPr>
          <w:szCs w:val="24"/>
        </w:rPr>
      </w:pPr>
      <w:r w:rsidRPr="0002035D">
        <w:rPr>
          <w:szCs w:val="24"/>
        </w:rPr>
        <w:lastRenderedPageBreak/>
        <w:t>ATTACHMENT</w:t>
      </w:r>
    </w:p>
    <w:p w14:paraId="2412D13E" w14:textId="77777777" w:rsidR="006D5816" w:rsidRPr="0002035D" w:rsidRDefault="006D5816" w:rsidP="000337CB">
      <w:pPr>
        <w:pStyle w:val="BodyText"/>
        <w:rPr>
          <w:szCs w:val="24"/>
          <w:u w:val="single"/>
        </w:rPr>
      </w:pPr>
    </w:p>
    <w:p w14:paraId="5B0C808A" w14:textId="41F4CC9E" w:rsidR="00215191" w:rsidRPr="0002035D" w:rsidRDefault="00A41364" w:rsidP="00186752">
      <w:pPr>
        <w:pStyle w:val="BodyText"/>
        <w:rPr>
          <w:i/>
          <w:iCs/>
          <w:color w:val="FF0000"/>
        </w:rPr>
      </w:pPr>
      <w:r w:rsidRPr="0002035D">
        <w:rPr>
          <w:szCs w:val="24"/>
        </w:rPr>
        <w:t xml:space="preserve">Details of the </w:t>
      </w:r>
      <w:r w:rsidR="00B90135" w:rsidRPr="0002035D">
        <w:rPr>
          <w:i/>
          <w:iCs/>
        </w:rPr>
        <w:t>Health Insurance (Section 3C General Medical Services – Telehealth and Telephone Attendances) Amendment (Natural Disaster Exemption) Determination 2022</w:t>
      </w:r>
    </w:p>
    <w:p w14:paraId="7BBEB147" w14:textId="720F9678" w:rsidR="00E70355" w:rsidRPr="0002035D" w:rsidRDefault="00E70355" w:rsidP="000337CB">
      <w:pPr>
        <w:pStyle w:val="BodyText"/>
        <w:rPr>
          <w:b w:val="0"/>
          <w:i/>
          <w:szCs w:val="24"/>
        </w:rPr>
      </w:pPr>
    </w:p>
    <w:p w14:paraId="2412D141" w14:textId="7C34D5F4" w:rsidR="00FE02C2" w:rsidRPr="0002035D" w:rsidRDefault="001B0111" w:rsidP="000337CB">
      <w:pPr>
        <w:pStyle w:val="BodyText"/>
        <w:rPr>
          <w:b w:val="0"/>
          <w:szCs w:val="24"/>
          <w:u w:val="single"/>
        </w:rPr>
      </w:pPr>
      <w:r w:rsidRPr="0002035D">
        <w:rPr>
          <w:b w:val="0"/>
          <w:szCs w:val="24"/>
          <w:u w:val="single"/>
        </w:rPr>
        <w:t>Section 1 – Name</w:t>
      </w:r>
    </w:p>
    <w:p w14:paraId="2412D142" w14:textId="77777777" w:rsidR="00FE02C2" w:rsidRPr="0002035D" w:rsidRDefault="00FE02C2" w:rsidP="000337CB">
      <w:pPr>
        <w:pStyle w:val="BodyText"/>
        <w:rPr>
          <w:b w:val="0"/>
          <w:szCs w:val="24"/>
          <w:u w:val="single"/>
        </w:rPr>
      </w:pPr>
    </w:p>
    <w:p w14:paraId="2412D144" w14:textId="42CE05E1" w:rsidR="00F83B6F" w:rsidRPr="0002035D" w:rsidRDefault="00BC7397" w:rsidP="00C67BC7">
      <w:pPr>
        <w:pStyle w:val="BodyText"/>
        <w:rPr>
          <w:color w:val="FF0000"/>
        </w:rPr>
      </w:pPr>
      <w:r w:rsidRPr="0002035D">
        <w:rPr>
          <w:b w:val="0"/>
          <w:szCs w:val="24"/>
        </w:rPr>
        <w:t>S</w:t>
      </w:r>
      <w:r w:rsidR="00FE02C2" w:rsidRPr="0002035D">
        <w:rPr>
          <w:b w:val="0"/>
          <w:szCs w:val="24"/>
        </w:rPr>
        <w:t xml:space="preserve">ection </w:t>
      </w:r>
      <w:r w:rsidRPr="0002035D">
        <w:rPr>
          <w:b w:val="0"/>
          <w:szCs w:val="24"/>
        </w:rPr>
        <w:t xml:space="preserve">1 </w:t>
      </w:r>
      <w:r w:rsidR="00FE02C2" w:rsidRPr="0002035D">
        <w:rPr>
          <w:b w:val="0"/>
          <w:szCs w:val="24"/>
        </w:rPr>
        <w:t>provides</w:t>
      </w:r>
      <w:r w:rsidR="008B683E" w:rsidRPr="0002035D">
        <w:rPr>
          <w:b w:val="0"/>
          <w:szCs w:val="24"/>
        </w:rPr>
        <w:t xml:space="preserve"> for the </w:t>
      </w:r>
      <w:r w:rsidR="00B90135" w:rsidRPr="0002035D">
        <w:rPr>
          <w:b w:val="0"/>
          <w:szCs w:val="24"/>
        </w:rPr>
        <w:t xml:space="preserve">Amendment </w:t>
      </w:r>
      <w:r w:rsidR="008B2094" w:rsidRPr="0002035D">
        <w:rPr>
          <w:b w:val="0"/>
          <w:szCs w:val="24"/>
        </w:rPr>
        <w:t>Determination</w:t>
      </w:r>
      <w:r w:rsidR="00FE02C2" w:rsidRPr="0002035D">
        <w:rPr>
          <w:b w:val="0"/>
          <w:szCs w:val="24"/>
        </w:rPr>
        <w:t xml:space="preserve"> to be referred to as </w:t>
      </w:r>
      <w:r w:rsidR="00B90135" w:rsidRPr="0002035D">
        <w:rPr>
          <w:b w:val="0"/>
          <w:i/>
          <w:iCs/>
          <w:szCs w:val="24"/>
        </w:rPr>
        <w:t>Health Insurance (Section 3C General Medical Services – Telehealth and Telephone Attendances) Amendment (Natural Disaster Exemption) Determination 2022</w:t>
      </w:r>
      <w:r w:rsidR="00B90135" w:rsidRPr="0002035D">
        <w:rPr>
          <w:b w:val="0"/>
          <w:szCs w:val="24"/>
        </w:rPr>
        <w:t>.</w:t>
      </w:r>
    </w:p>
    <w:p w14:paraId="68DAA207" w14:textId="77777777" w:rsidR="00FD602D" w:rsidRPr="0002035D" w:rsidRDefault="00FD602D" w:rsidP="00FD602D"/>
    <w:p w14:paraId="49D1E050" w14:textId="77777777" w:rsidR="007A4089" w:rsidRPr="0002035D" w:rsidRDefault="00FE02C2" w:rsidP="000337CB">
      <w:pPr>
        <w:pStyle w:val="BodyText"/>
        <w:rPr>
          <w:b w:val="0"/>
          <w:szCs w:val="24"/>
          <w:u w:val="single"/>
        </w:rPr>
      </w:pPr>
      <w:r w:rsidRPr="0002035D">
        <w:rPr>
          <w:b w:val="0"/>
          <w:szCs w:val="24"/>
          <w:u w:val="single"/>
        </w:rPr>
        <w:t xml:space="preserve">Section 2 – Commencement </w:t>
      </w:r>
    </w:p>
    <w:p w14:paraId="2DCE2ED0" w14:textId="77777777" w:rsidR="007A4089" w:rsidRPr="0002035D" w:rsidRDefault="007A4089" w:rsidP="000337CB">
      <w:pPr>
        <w:pStyle w:val="BodyText"/>
        <w:rPr>
          <w:b w:val="0"/>
          <w:szCs w:val="24"/>
          <w:u w:val="single"/>
        </w:rPr>
      </w:pPr>
    </w:p>
    <w:p w14:paraId="2412D148" w14:textId="03D191F7" w:rsidR="00510A4F" w:rsidRPr="0002035D" w:rsidRDefault="00510A4F" w:rsidP="000337CB">
      <w:pPr>
        <w:pStyle w:val="BodyText"/>
        <w:rPr>
          <w:b w:val="0"/>
          <w:color w:val="FF0000"/>
          <w:szCs w:val="24"/>
        </w:rPr>
      </w:pPr>
      <w:r w:rsidRPr="0002035D">
        <w:rPr>
          <w:b w:val="0"/>
          <w:szCs w:val="24"/>
        </w:rPr>
        <w:t xml:space="preserve">Section 2 </w:t>
      </w:r>
      <w:r w:rsidR="00404F11" w:rsidRPr="0002035D">
        <w:rPr>
          <w:b w:val="0"/>
          <w:szCs w:val="24"/>
        </w:rPr>
        <w:t>provides that the</w:t>
      </w:r>
      <w:r w:rsidR="00B90135" w:rsidRPr="0002035D">
        <w:rPr>
          <w:b w:val="0"/>
          <w:szCs w:val="24"/>
        </w:rPr>
        <w:t xml:space="preserve"> Amendment</w:t>
      </w:r>
      <w:r w:rsidR="00404F11" w:rsidRPr="0002035D">
        <w:rPr>
          <w:b w:val="0"/>
          <w:szCs w:val="24"/>
        </w:rPr>
        <w:t xml:space="preserve"> </w:t>
      </w:r>
      <w:r w:rsidR="008B2094" w:rsidRPr="0002035D">
        <w:rPr>
          <w:b w:val="0"/>
          <w:szCs w:val="24"/>
        </w:rPr>
        <w:t xml:space="preserve">Determination </w:t>
      </w:r>
      <w:r w:rsidR="00404F11" w:rsidRPr="0002035D">
        <w:rPr>
          <w:b w:val="0"/>
          <w:szCs w:val="24"/>
        </w:rPr>
        <w:t xml:space="preserve">commences </w:t>
      </w:r>
      <w:r w:rsidR="00C63FDC" w:rsidRPr="0002035D">
        <w:rPr>
          <w:b w:val="0"/>
          <w:szCs w:val="24"/>
        </w:rPr>
        <w:t xml:space="preserve">on </w:t>
      </w:r>
      <w:r w:rsidR="00B90135" w:rsidRPr="0002035D">
        <w:rPr>
          <w:b w:val="0"/>
          <w:szCs w:val="24"/>
        </w:rPr>
        <w:t>11 April 2022</w:t>
      </w:r>
      <w:r w:rsidR="00C63FDC" w:rsidRPr="0002035D">
        <w:rPr>
          <w:b w:val="0"/>
          <w:szCs w:val="24"/>
        </w:rPr>
        <w:t xml:space="preserve">. </w:t>
      </w:r>
    </w:p>
    <w:p w14:paraId="16C03200" w14:textId="77777777" w:rsidR="007E0017" w:rsidRPr="0002035D" w:rsidRDefault="007E0017" w:rsidP="000337CB">
      <w:pPr>
        <w:pStyle w:val="BodyText"/>
        <w:rPr>
          <w:b w:val="0"/>
          <w:szCs w:val="24"/>
        </w:rPr>
      </w:pPr>
    </w:p>
    <w:p w14:paraId="005D5660" w14:textId="77777777" w:rsidR="007A4089" w:rsidRPr="0002035D" w:rsidRDefault="00FE02C2" w:rsidP="000337CB">
      <w:pPr>
        <w:pStyle w:val="BodyText"/>
        <w:rPr>
          <w:b w:val="0"/>
          <w:szCs w:val="24"/>
          <w:u w:val="single"/>
        </w:rPr>
      </w:pPr>
      <w:r w:rsidRPr="0002035D">
        <w:rPr>
          <w:b w:val="0"/>
          <w:szCs w:val="24"/>
          <w:u w:val="single"/>
        </w:rPr>
        <w:t xml:space="preserve">Section 3 – </w:t>
      </w:r>
      <w:r w:rsidR="00E5798A" w:rsidRPr="0002035D">
        <w:rPr>
          <w:b w:val="0"/>
          <w:szCs w:val="24"/>
          <w:u w:val="single"/>
        </w:rPr>
        <w:t>Authority</w:t>
      </w:r>
    </w:p>
    <w:p w14:paraId="53BFA098" w14:textId="77777777" w:rsidR="007A4089" w:rsidRPr="0002035D" w:rsidRDefault="007A4089" w:rsidP="000337CB">
      <w:pPr>
        <w:pStyle w:val="BodyText"/>
        <w:rPr>
          <w:b w:val="0"/>
          <w:szCs w:val="24"/>
          <w:u w:val="single"/>
        </w:rPr>
      </w:pPr>
    </w:p>
    <w:p w14:paraId="2412D14B" w14:textId="2F1C1C14" w:rsidR="00FE02C2" w:rsidRPr="0002035D" w:rsidRDefault="00F83B6F" w:rsidP="000337CB">
      <w:pPr>
        <w:pStyle w:val="BodyText"/>
        <w:rPr>
          <w:b w:val="0"/>
        </w:rPr>
      </w:pPr>
      <w:r w:rsidRPr="0002035D">
        <w:rPr>
          <w:b w:val="0"/>
        </w:rPr>
        <w:t xml:space="preserve">Section 3 provides that the </w:t>
      </w:r>
      <w:r w:rsidR="00B90135" w:rsidRPr="0002035D">
        <w:rPr>
          <w:b w:val="0"/>
        </w:rPr>
        <w:t xml:space="preserve">Amendment </w:t>
      </w:r>
      <w:r w:rsidR="008B2094" w:rsidRPr="0002035D">
        <w:rPr>
          <w:b w:val="0"/>
          <w:szCs w:val="24"/>
        </w:rPr>
        <w:t xml:space="preserve">Determination </w:t>
      </w:r>
      <w:r w:rsidR="00E5798A" w:rsidRPr="0002035D">
        <w:rPr>
          <w:b w:val="0"/>
        </w:rPr>
        <w:t xml:space="preserve">is made under </w:t>
      </w:r>
      <w:r w:rsidR="00367440" w:rsidRPr="0002035D">
        <w:rPr>
          <w:b w:val="0"/>
        </w:rPr>
        <w:t xml:space="preserve">subsection </w:t>
      </w:r>
      <w:r w:rsidR="00E5798A" w:rsidRPr="0002035D">
        <w:rPr>
          <w:b w:val="0"/>
        </w:rPr>
        <w:t>3</w:t>
      </w:r>
      <w:proofErr w:type="gramStart"/>
      <w:r w:rsidR="00E5798A" w:rsidRPr="0002035D">
        <w:rPr>
          <w:b w:val="0"/>
        </w:rPr>
        <w:t>C(</w:t>
      </w:r>
      <w:proofErr w:type="gramEnd"/>
      <w:r w:rsidR="00E5798A" w:rsidRPr="0002035D">
        <w:rPr>
          <w:b w:val="0"/>
        </w:rPr>
        <w:t xml:space="preserve">1) of the </w:t>
      </w:r>
      <w:r w:rsidR="00E5798A" w:rsidRPr="0002035D">
        <w:rPr>
          <w:b w:val="0"/>
          <w:i/>
        </w:rPr>
        <w:t>Health Insurance Act 1973</w:t>
      </w:r>
      <w:r w:rsidR="00E5798A" w:rsidRPr="0002035D">
        <w:rPr>
          <w:b w:val="0"/>
        </w:rPr>
        <w:t>.</w:t>
      </w:r>
    </w:p>
    <w:p w14:paraId="0DBF1241" w14:textId="77777777" w:rsidR="00E70355" w:rsidRPr="0002035D" w:rsidRDefault="00E70355" w:rsidP="000337CB">
      <w:pPr>
        <w:pStyle w:val="BodyText"/>
        <w:rPr>
          <w:b w:val="0"/>
        </w:rPr>
      </w:pPr>
    </w:p>
    <w:p w14:paraId="20CBF84A" w14:textId="77777777" w:rsidR="00C63FDC" w:rsidRPr="0002035D" w:rsidRDefault="00C63FDC" w:rsidP="00C63FDC">
      <w:pPr>
        <w:pStyle w:val="BodyText"/>
        <w:rPr>
          <w:b w:val="0"/>
          <w:szCs w:val="24"/>
          <w:u w:val="single"/>
        </w:rPr>
      </w:pPr>
      <w:r w:rsidRPr="0002035D">
        <w:rPr>
          <w:b w:val="0"/>
          <w:szCs w:val="24"/>
          <w:u w:val="single"/>
        </w:rPr>
        <w:t>Section 4 – Schedules</w:t>
      </w:r>
    </w:p>
    <w:p w14:paraId="4C010161" w14:textId="77777777" w:rsidR="00C63FDC" w:rsidRPr="0002035D" w:rsidRDefault="00C63FDC" w:rsidP="00C63FDC">
      <w:pPr>
        <w:pStyle w:val="BodyText"/>
        <w:rPr>
          <w:b w:val="0"/>
          <w:szCs w:val="24"/>
          <w:u w:val="single"/>
        </w:rPr>
      </w:pPr>
    </w:p>
    <w:p w14:paraId="5D9EBF8D" w14:textId="05B4F055" w:rsidR="00C63FDC" w:rsidRPr="0002035D" w:rsidRDefault="00C63FDC" w:rsidP="00C63FDC">
      <w:pPr>
        <w:pStyle w:val="BodyText"/>
        <w:rPr>
          <w:b w:val="0"/>
          <w:szCs w:val="24"/>
        </w:rPr>
      </w:pPr>
      <w:r w:rsidRPr="0002035D">
        <w:rPr>
          <w:b w:val="0"/>
          <w:szCs w:val="24"/>
        </w:rPr>
        <w:t xml:space="preserve">Section 4 provides that each instrument that is specified in a Schedule to this </w:t>
      </w:r>
      <w:r w:rsidR="00B90135" w:rsidRPr="0002035D">
        <w:rPr>
          <w:b w:val="0"/>
          <w:szCs w:val="24"/>
        </w:rPr>
        <w:t xml:space="preserve">Amendment </w:t>
      </w:r>
      <w:r w:rsidRPr="0002035D">
        <w:rPr>
          <w:b w:val="0"/>
          <w:szCs w:val="24"/>
        </w:rPr>
        <w:t xml:space="preserve">Determination is amended or repealed as set out in the applicable items in the Schedule concerned, and any other item in a Schedule to this </w:t>
      </w:r>
      <w:r w:rsidR="00B90135" w:rsidRPr="0002035D">
        <w:rPr>
          <w:b w:val="0"/>
          <w:szCs w:val="24"/>
        </w:rPr>
        <w:t xml:space="preserve">Amendment </w:t>
      </w:r>
      <w:r w:rsidRPr="0002035D">
        <w:rPr>
          <w:b w:val="0"/>
          <w:szCs w:val="24"/>
        </w:rPr>
        <w:t>Determination has effect according to its terms.</w:t>
      </w:r>
    </w:p>
    <w:p w14:paraId="17D2CF69" w14:textId="77777777" w:rsidR="007E0017" w:rsidRPr="0002035D" w:rsidRDefault="007E0017" w:rsidP="00404F11">
      <w:pPr>
        <w:pStyle w:val="BodyText"/>
        <w:rPr>
          <w:b w:val="0"/>
          <w:szCs w:val="24"/>
        </w:rPr>
      </w:pPr>
    </w:p>
    <w:p w14:paraId="768D340E" w14:textId="77777777" w:rsidR="00C63FDC" w:rsidRPr="0002035D" w:rsidRDefault="00C63FDC" w:rsidP="00C63FDC">
      <w:pPr>
        <w:pStyle w:val="Header"/>
        <w:tabs>
          <w:tab w:val="num" w:pos="1080"/>
        </w:tabs>
        <w:rPr>
          <w:szCs w:val="24"/>
          <w:u w:val="single"/>
        </w:rPr>
      </w:pPr>
      <w:r w:rsidRPr="0002035D">
        <w:rPr>
          <w:szCs w:val="24"/>
          <w:u w:val="single"/>
        </w:rPr>
        <w:t>Schedule 1 – Amendments</w:t>
      </w:r>
    </w:p>
    <w:p w14:paraId="2212E577" w14:textId="77777777" w:rsidR="00C63FDC" w:rsidRPr="0002035D" w:rsidRDefault="00C63FDC" w:rsidP="00C63FDC">
      <w:pPr>
        <w:pStyle w:val="Header"/>
        <w:tabs>
          <w:tab w:val="num" w:pos="1080"/>
        </w:tabs>
        <w:rPr>
          <w:szCs w:val="24"/>
          <w:u w:val="single"/>
        </w:rPr>
      </w:pPr>
    </w:p>
    <w:p w14:paraId="371F01D6" w14:textId="75C6255A" w:rsidR="007708B3" w:rsidRPr="0002035D" w:rsidRDefault="00B90135" w:rsidP="00C63FDC">
      <w:pPr>
        <w:pStyle w:val="Header"/>
        <w:tabs>
          <w:tab w:val="num" w:pos="1080"/>
        </w:tabs>
        <w:rPr>
          <w:bCs/>
          <w:szCs w:val="24"/>
        </w:rPr>
      </w:pPr>
      <w:r w:rsidRPr="0002035D">
        <w:rPr>
          <w:bCs/>
          <w:i/>
          <w:iCs/>
          <w:szCs w:val="24"/>
        </w:rPr>
        <w:t>Health Insurance (Section 3C General Medical Services – Telehealth and Telephone Attendances) Determination 2021</w:t>
      </w:r>
    </w:p>
    <w:p w14:paraId="4D93E5F4" w14:textId="3DE9B003" w:rsidR="00B90135" w:rsidRPr="0002035D" w:rsidRDefault="00B90135" w:rsidP="00C63FDC">
      <w:pPr>
        <w:pStyle w:val="Header"/>
        <w:tabs>
          <w:tab w:val="num" w:pos="1080"/>
        </w:tabs>
        <w:rPr>
          <w:bCs/>
          <w:szCs w:val="24"/>
        </w:rPr>
      </w:pPr>
    </w:p>
    <w:p w14:paraId="49122BEB" w14:textId="4D9C0837" w:rsidR="00B90135" w:rsidRPr="0002035D" w:rsidRDefault="00B90135" w:rsidP="00C63FDC">
      <w:pPr>
        <w:pStyle w:val="Header"/>
        <w:tabs>
          <w:tab w:val="num" w:pos="1080"/>
        </w:tabs>
        <w:rPr>
          <w:color w:val="000000"/>
          <w:szCs w:val="22"/>
        </w:rPr>
      </w:pPr>
      <w:r w:rsidRPr="0002035D">
        <w:rPr>
          <w:b/>
          <w:szCs w:val="24"/>
        </w:rPr>
        <w:t>Amendment item 1</w:t>
      </w:r>
      <w:r w:rsidRPr="0002035D">
        <w:rPr>
          <w:bCs/>
          <w:szCs w:val="24"/>
        </w:rPr>
        <w:t xml:space="preserve"> repeals the definition for </w:t>
      </w:r>
      <w:r w:rsidRPr="0002035D">
        <w:rPr>
          <w:b/>
          <w:i/>
          <w:iCs/>
          <w:szCs w:val="24"/>
        </w:rPr>
        <w:t>person who is in a flood affected area</w:t>
      </w:r>
      <w:r w:rsidRPr="0002035D">
        <w:rPr>
          <w:bCs/>
          <w:szCs w:val="24"/>
        </w:rPr>
        <w:t xml:space="preserve"> and inserts the definition for </w:t>
      </w:r>
      <w:r w:rsidRPr="0002035D">
        <w:rPr>
          <w:b/>
          <w:bCs/>
          <w:i/>
          <w:iCs/>
          <w:color w:val="000000"/>
          <w:szCs w:val="22"/>
        </w:rPr>
        <w:t>person who is in a natural disaster affected area</w:t>
      </w:r>
      <w:r w:rsidRPr="0002035D">
        <w:rPr>
          <w:color w:val="000000"/>
          <w:szCs w:val="22"/>
        </w:rPr>
        <w:t>, which means a patient who, at the time of accessing the telehealth or telephone service, is located within a State or Territory local government area which is declared as a natural disaster area by a State or Territory Government.</w:t>
      </w:r>
    </w:p>
    <w:p w14:paraId="1D95077A" w14:textId="794C9F5F" w:rsidR="00AF3D51" w:rsidRPr="0002035D" w:rsidRDefault="00AF3D51" w:rsidP="00C63FDC">
      <w:pPr>
        <w:pStyle w:val="Header"/>
        <w:tabs>
          <w:tab w:val="num" w:pos="1080"/>
        </w:tabs>
        <w:rPr>
          <w:color w:val="000000"/>
          <w:szCs w:val="22"/>
        </w:rPr>
      </w:pPr>
    </w:p>
    <w:p w14:paraId="0B8AE75E" w14:textId="50816D6B" w:rsidR="00AF3D51" w:rsidRPr="0002035D" w:rsidRDefault="00AF3D51" w:rsidP="00C63FDC">
      <w:pPr>
        <w:pStyle w:val="Header"/>
        <w:tabs>
          <w:tab w:val="num" w:pos="1080"/>
        </w:tabs>
        <w:rPr>
          <w:szCs w:val="24"/>
        </w:rPr>
      </w:pPr>
      <w:r w:rsidRPr="0002035D">
        <w:rPr>
          <w:b/>
          <w:bCs/>
          <w:color w:val="000000"/>
          <w:szCs w:val="22"/>
        </w:rPr>
        <w:t>Amendment item 2</w:t>
      </w:r>
      <w:r w:rsidRPr="0002035D">
        <w:rPr>
          <w:color w:val="000000"/>
          <w:szCs w:val="22"/>
        </w:rPr>
        <w:t xml:space="preserve"> repeals and replaces subparagraph 7(6)(a)(vii) to provide a person who is in a natural disaster affected area as an exemption to the requirement for patients to have an existing relationship with the medical practitioner providing the service to access general practice telehealth and phone services.</w:t>
      </w:r>
    </w:p>
    <w:p w14:paraId="21DF9DDC" w14:textId="1767E1F1" w:rsidR="00331752" w:rsidRPr="0002035D" w:rsidRDefault="00331752">
      <w:pPr>
        <w:spacing w:after="200" w:line="276" w:lineRule="auto"/>
        <w:rPr>
          <w:szCs w:val="24"/>
        </w:rPr>
      </w:pPr>
      <w:r w:rsidRPr="0002035D">
        <w:rPr>
          <w:szCs w:val="24"/>
        </w:rPr>
        <w:br w:type="page"/>
      </w:r>
    </w:p>
    <w:p w14:paraId="2412D14E" w14:textId="632B4BE9" w:rsidR="00A17F2C" w:rsidRPr="0002035D" w:rsidRDefault="00A17F2C" w:rsidP="008D136F">
      <w:pPr>
        <w:pStyle w:val="Header"/>
        <w:tabs>
          <w:tab w:val="num" w:pos="1080"/>
        </w:tabs>
        <w:jc w:val="center"/>
        <w:rPr>
          <w:b/>
          <w:sz w:val="28"/>
          <w:szCs w:val="28"/>
        </w:rPr>
      </w:pPr>
      <w:r w:rsidRPr="0002035D">
        <w:rPr>
          <w:b/>
          <w:sz w:val="28"/>
          <w:szCs w:val="28"/>
        </w:rPr>
        <w:lastRenderedPageBreak/>
        <w:t>Statement of Compatibility with Human Rights</w:t>
      </w:r>
    </w:p>
    <w:p w14:paraId="2412D14F" w14:textId="77777777" w:rsidR="00A17F2C" w:rsidRPr="0002035D" w:rsidRDefault="00A17F2C" w:rsidP="000337CB">
      <w:pPr>
        <w:spacing w:before="120" w:after="120"/>
        <w:jc w:val="center"/>
        <w:rPr>
          <w:szCs w:val="24"/>
        </w:rPr>
      </w:pPr>
      <w:r w:rsidRPr="0002035D">
        <w:rPr>
          <w:i/>
          <w:szCs w:val="24"/>
        </w:rPr>
        <w:t>Prepared in accordance with Part 3 of the Human Rights (Parliamentary Scrutiny) Act 2011</w:t>
      </w:r>
    </w:p>
    <w:p w14:paraId="751DE726" w14:textId="77777777" w:rsidR="002A6C77" w:rsidRPr="0002035D" w:rsidRDefault="002A6C77" w:rsidP="000337CB">
      <w:pPr>
        <w:tabs>
          <w:tab w:val="left" w:pos="1418"/>
        </w:tabs>
        <w:ind w:left="851"/>
        <w:jc w:val="center"/>
        <w:rPr>
          <w:b/>
          <w:i/>
          <w:iCs/>
        </w:rPr>
      </w:pPr>
    </w:p>
    <w:p w14:paraId="3A52A4B2" w14:textId="50765B70" w:rsidR="00C6094D" w:rsidRPr="0002035D" w:rsidRDefault="00AF3D51" w:rsidP="007708B3">
      <w:pPr>
        <w:tabs>
          <w:tab w:val="left" w:pos="1418"/>
        </w:tabs>
        <w:jc w:val="center"/>
        <w:rPr>
          <w:i/>
        </w:rPr>
      </w:pPr>
      <w:r w:rsidRPr="0002035D">
        <w:rPr>
          <w:i/>
        </w:rPr>
        <w:t>Health Insurance (Section 3C General Medical Services – Telehealth and Telephone Attendances) Amendment (Natural Disaster Exemption) Determination 2022</w:t>
      </w:r>
    </w:p>
    <w:p w14:paraId="1BF56C38" w14:textId="77777777" w:rsidR="007708B3" w:rsidRPr="0002035D" w:rsidRDefault="007708B3" w:rsidP="000337CB">
      <w:pPr>
        <w:tabs>
          <w:tab w:val="left" w:pos="1418"/>
        </w:tabs>
        <w:ind w:left="851"/>
        <w:jc w:val="center"/>
        <w:rPr>
          <w:b/>
          <w:i/>
          <w:szCs w:val="24"/>
        </w:rPr>
      </w:pPr>
    </w:p>
    <w:p w14:paraId="2412D153" w14:textId="7AFD921D" w:rsidR="00A17F2C" w:rsidRPr="0002035D" w:rsidRDefault="00A17F2C" w:rsidP="000337CB">
      <w:pPr>
        <w:jc w:val="center"/>
        <w:rPr>
          <w:szCs w:val="24"/>
        </w:rPr>
      </w:pPr>
      <w:r w:rsidRPr="0002035D">
        <w:rPr>
          <w:szCs w:val="24"/>
        </w:rPr>
        <w:t xml:space="preserve">This </w:t>
      </w:r>
      <w:r w:rsidR="0046022A" w:rsidRPr="0002035D">
        <w:rPr>
          <w:szCs w:val="24"/>
        </w:rPr>
        <w:t>instrument</w:t>
      </w:r>
      <w:r w:rsidRPr="0002035D">
        <w:rPr>
          <w:szCs w:val="24"/>
        </w:rPr>
        <w:t xml:space="preserve"> is compatible with the human rights and freedoms recognised or declared in the international instruments listed in section 3 of the </w:t>
      </w:r>
      <w:r w:rsidRPr="0002035D">
        <w:rPr>
          <w:i/>
          <w:szCs w:val="24"/>
        </w:rPr>
        <w:t>Human Rights (Parliamentary Scrutiny) Act 2011</w:t>
      </w:r>
      <w:r w:rsidRPr="0002035D">
        <w:rPr>
          <w:szCs w:val="24"/>
        </w:rPr>
        <w:t>.</w:t>
      </w:r>
    </w:p>
    <w:p w14:paraId="7EDA9098" w14:textId="306A78E1" w:rsidR="006E6BBF" w:rsidRPr="0002035D" w:rsidRDefault="006E6BBF" w:rsidP="008734F5">
      <w:pPr>
        <w:spacing w:before="120" w:after="120"/>
        <w:rPr>
          <w:b/>
          <w:szCs w:val="24"/>
        </w:rPr>
      </w:pPr>
      <w:r w:rsidRPr="0002035D">
        <w:rPr>
          <w:b/>
          <w:szCs w:val="24"/>
        </w:rPr>
        <w:t xml:space="preserve">Overview of the </w:t>
      </w:r>
      <w:r w:rsidR="00B86A9F" w:rsidRPr="0002035D">
        <w:rPr>
          <w:b/>
          <w:szCs w:val="24"/>
        </w:rPr>
        <w:t>Determination</w:t>
      </w:r>
    </w:p>
    <w:p w14:paraId="34A1949E" w14:textId="77777777" w:rsidR="00F04577" w:rsidRPr="0002035D" w:rsidRDefault="00F04577" w:rsidP="00F04577">
      <w:pPr>
        <w:shd w:val="clear" w:color="auto" w:fill="FFFFFF"/>
        <w:rPr>
          <w:color w:val="000000"/>
          <w:szCs w:val="24"/>
        </w:rPr>
      </w:pPr>
      <w:r w:rsidRPr="0002035D">
        <w:rPr>
          <w:color w:val="000000"/>
          <w:szCs w:val="24"/>
        </w:rPr>
        <w:t xml:space="preserve">Since 13 March 2020, the Australian Government has been providing temporary access to Medicare benefits for certain medical services to protect Australians during the coronavirus (COVID-19) pandemic. From 1 January 2022, patient access to certain general practitioner, specialist and allied health telehealth and phone services was continued in the </w:t>
      </w:r>
      <w:r w:rsidRPr="0002035D">
        <w:rPr>
          <w:i/>
          <w:iCs/>
          <w:color w:val="000000"/>
          <w:szCs w:val="24"/>
        </w:rPr>
        <w:t>Health Insurance (Section 3C General Medical Services – Telehealth and Telephone Attendances) Determination 2021</w:t>
      </w:r>
      <w:r w:rsidRPr="0002035D">
        <w:rPr>
          <w:color w:val="000000"/>
          <w:szCs w:val="24"/>
        </w:rPr>
        <w:t xml:space="preserve"> (the Principal Determination).</w:t>
      </w:r>
    </w:p>
    <w:p w14:paraId="35CF3549" w14:textId="77777777" w:rsidR="00F04577" w:rsidRPr="0002035D" w:rsidRDefault="00F04577" w:rsidP="00F04577">
      <w:pPr>
        <w:shd w:val="clear" w:color="auto" w:fill="FFFFFF"/>
        <w:ind w:right="-483"/>
        <w:rPr>
          <w:color w:val="000000"/>
          <w:szCs w:val="24"/>
        </w:rPr>
      </w:pPr>
      <w:r w:rsidRPr="0002035D">
        <w:rPr>
          <w:color w:val="000000"/>
          <w:szCs w:val="24"/>
        </w:rPr>
        <w:t> </w:t>
      </w:r>
    </w:p>
    <w:p w14:paraId="693BFAB9" w14:textId="77777777" w:rsidR="00F04577" w:rsidRPr="0002035D" w:rsidRDefault="00F04577" w:rsidP="00F04577">
      <w:pPr>
        <w:shd w:val="clear" w:color="auto" w:fill="FFFFFF"/>
        <w:rPr>
          <w:color w:val="000000"/>
          <w:szCs w:val="24"/>
        </w:rPr>
      </w:pPr>
      <w:r w:rsidRPr="0002035D">
        <w:rPr>
          <w:color w:val="000000"/>
          <w:szCs w:val="24"/>
        </w:rPr>
        <w:t>General practitioners (GPs) and other medical practitioners (OMPs) working in general practice can only perform these telehealth or phone services if they have an existing relationship with the patient. An existing relationship is defined as:</w:t>
      </w:r>
    </w:p>
    <w:p w14:paraId="3D0E76CE" w14:textId="77777777" w:rsidR="00F04577" w:rsidRPr="0002035D" w:rsidRDefault="00F04577" w:rsidP="00F04577">
      <w:pPr>
        <w:shd w:val="clear" w:color="auto" w:fill="FFFFFF"/>
        <w:ind w:left="502" w:right="-483" w:hanging="360"/>
        <w:rPr>
          <w:color w:val="000000"/>
          <w:szCs w:val="24"/>
        </w:rPr>
      </w:pPr>
      <w:r w:rsidRPr="0002035D">
        <w:rPr>
          <w:rFonts w:ascii="Symbol" w:hAnsi="Symbol"/>
          <w:color w:val="000000"/>
          <w:szCs w:val="24"/>
        </w:rPr>
        <w:t>·</w:t>
      </w:r>
      <w:r w:rsidRPr="0002035D">
        <w:rPr>
          <w:color w:val="000000"/>
          <w:sz w:val="14"/>
          <w:szCs w:val="14"/>
        </w:rPr>
        <w:t>       </w:t>
      </w:r>
      <w:r w:rsidRPr="0002035D">
        <w:rPr>
          <w:color w:val="000000"/>
          <w:szCs w:val="24"/>
        </w:rPr>
        <w:t>the medical practitioner who performs the service has provided a face-to-face service to the patient in the last 12 months; or</w:t>
      </w:r>
    </w:p>
    <w:p w14:paraId="6EF09061" w14:textId="77777777" w:rsidR="00F04577" w:rsidRPr="0002035D" w:rsidRDefault="00F04577" w:rsidP="00F04577">
      <w:pPr>
        <w:shd w:val="clear" w:color="auto" w:fill="FFFFFF"/>
        <w:ind w:left="502" w:right="-483" w:hanging="360"/>
        <w:rPr>
          <w:color w:val="000000"/>
          <w:szCs w:val="24"/>
        </w:rPr>
      </w:pPr>
      <w:r w:rsidRPr="0002035D">
        <w:rPr>
          <w:rFonts w:ascii="Symbol" w:hAnsi="Symbol"/>
          <w:color w:val="000000"/>
          <w:szCs w:val="24"/>
        </w:rPr>
        <w:t>·</w:t>
      </w:r>
      <w:r w:rsidRPr="0002035D">
        <w:rPr>
          <w:color w:val="000000"/>
          <w:sz w:val="14"/>
          <w:szCs w:val="14"/>
        </w:rPr>
        <w:t>       </w:t>
      </w:r>
      <w:r w:rsidRPr="0002035D">
        <w:rPr>
          <w:color w:val="000000"/>
          <w:szCs w:val="24"/>
        </w:rPr>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1DDFC763" w14:textId="77777777" w:rsidR="00F04577" w:rsidRPr="0002035D" w:rsidRDefault="00F04577" w:rsidP="00F04577">
      <w:pPr>
        <w:shd w:val="clear" w:color="auto" w:fill="FFFFFF"/>
        <w:ind w:left="502" w:right="-483" w:hanging="360"/>
        <w:rPr>
          <w:color w:val="000000"/>
          <w:szCs w:val="24"/>
        </w:rPr>
      </w:pPr>
      <w:r w:rsidRPr="0002035D">
        <w:rPr>
          <w:rFonts w:ascii="Symbol" w:hAnsi="Symbol"/>
          <w:color w:val="000000"/>
          <w:szCs w:val="24"/>
        </w:rPr>
        <w:t>·</w:t>
      </w:r>
      <w:r w:rsidRPr="0002035D">
        <w:rPr>
          <w:color w:val="000000"/>
          <w:sz w:val="14"/>
          <w:szCs w:val="14"/>
        </w:rPr>
        <w:t>       </w:t>
      </w:r>
      <w:r w:rsidRPr="0002035D">
        <w:rPr>
          <w:color w:val="000000"/>
          <w:szCs w:val="24"/>
        </w:rPr>
        <w:t>the medical practitioner who performs the service is a participant in the Approved Medical Deputising Service (AMDS) program, and the AMDS provider that employs the medical practitioner has a formal agreement with a medical practice that has provided at least one face-to-face service to the patient in the last 12 months.</w:t>
      </w:r>
    </w:p>
    <w:p w14:paraId="2CF0D50B" w14:textId="77777777" w:rsidR="00F04577" w:rsidRPr="0002035D" w:rsidRDefault="00F04577" w:rsidP="00F04577">
      <w:pPr>
        <w:shd w:val="clear" w:color="auto" w:fill="FFFFFF"/>
        <w:rPr>
          <w:color w:val="000000"/>
          <w:szCs w:val="24"/>
        </w:rPr>
      </w:pPr>
      <w:r w:rsidRPr="0002035D">
        <w:rPr>
          <w:color w:val="000000"/>
          <w:szCs w:val="24"/>
        </w:rPr>
        <w:t> </w:t>
      </w:r>
    </w:p>
    <w:p w14:paraId="2E29C3B0" w14:textId="77777777" w:rsidR="00F04577" w:rsidRPr="0002035D" w:rsidRDefault="00F04577" w:rsidP="00F04577">
      <w:pPr>
        <w:shd w:val="clear" w:color="auto" w:fill="FFFFFF"/>
        <w:rPr>
          <w:color w:val="000000"/>
          <w:szCs w:val="24"/>
        </w:rPr>
      </w:pPr>
      <w:r w:rsidRPr="0002035D">
        <w:rPr>
          <w:color w:val="000000"/>
          <w:szCs w:val="24"/>
          <w:shd w:val="clear" w:color="auto" w:fill="FFFFFF"/>
        </w:rPr>
        <w:t>This requirement does not apply to a person who is under the age of 12 months, a person who is experiencing homelessness, a person who is required to quarantine or isolate under a State or Territory Government public health order, or a person who receives the service from a medical practitioner located at an Aboriginal Medical Service or an Aboriginal Community Controlled Health Service.</w:t>
      </w:r>
    </w:p>
    <w:p w14:paraId="134515BA" w14:textId="77777777" w:rsidR="00F04577" w:rsidRPr="0002035D" w:rsidRDefault="00F04577" w:rsidP="00F04577">
      <w:pPr>
        <w:ind w:right="-483"/>
        <w:rPr>
          <w:color w:val="FF0000"/>
          <w:szCs w:val="24"/>
        </w:rPr>
      </w:pPr>
    </w:p>
    <w:p w14:paraId="5F104528" w14:textId="5C5F2B6E" w:rsidR="00C67BC7" w:rsidRPr="0002035D" w:rsidRDefault="00F04577" w:rsidP="00F04577">
      <w:pPr>
        <w:ind w:right="-482"/>
        <w:rPr>
          <w:iCs/>
          <w:color w:val="FF0000"/>
        </w:rPr>
      </w:pPr>
      <w:r w:rsidRPr="0002035D">
        <w:rPr>
          <w:szCs w:val="24"/>
        </w:rPr>
        <w:t xml:space="preserve">The purpose of the </w:t>
      </w:r>
      <w:r w:rsidRPr="0002035D">
        <w:rPr>
          <w:i/>
          <w:iCs/>
        </w:rPr>
        <w:t>Health Insurance (Section 3C General Medical Services – Telehealth and Telephone Attendances) Amendment (Natural Disaster Exemption) Determination 2022</w:t>
      </w:r>
      <w:r w:rsidRPr="0002035D">
        <w:t xml:space="preserve"> (the Amendment Determination) is to a</w:t>
      </w:r>
      <w:r w:rsidRPr="0002035D">
        <w:rPr>
          <w:color w:val="000000"/>
          <w:shd w:val="clear" w:color="auto" w:fill="FFFFFF"/>
        </w:rPr>
        <w:t xml:space="preserve">mend the Principal Determination to remove the requirement for patients to have an existing relationship with their medical practitioner to access a general practice telehealth or phone service if the patient is located </w:t>
      </w:r>
      <w:r w:rsidRPr="0002035D">
        <w:rPr>
          <w:color w:val="000000"/>
          <w:szCs w:val="22"/>
        </w:rPr>
        <w:t>within a State or Territory local government area which is declared as a natural disaster area by a State or Territory Government.</w:t>
      </w:r>
    </w:p>
    <w:p w14:paraId="31515278" w14:textId="28FBF7FC" w:rsidR="007708B3" w:rsidRPr="0002035D" w:rsidRDefault="007708B3" w:rsidP="002A6C77">
      <w:pPr>
        <w:ind w:right="-482"/>
        <w:rPr>
          <w:iCs/>
        </w:rPr>
      </w:pPr>
    </w:p>
    <w:p w14:paraId="2412D15C" w14:textId="50D38E8B" w:rsidR="00A17F2C" w:rsidRPr="0002035D" w:rsidRDefault="00A17F2C" w:rsidP="002A6C77">
      <w:pPr>
        <w:ind w:right="-482"/>
        <w:rPr>
          <w:b/>
          <w:szCs w:val="24"/>
        </w:rPr>
      </w:pPr>
      <w:r w:rsidRPr="0002035D">
        <w:rPr>
          <w:b/>
          <w:szCs w:val="24"/>
        </w:rPr>
        <w:t>Human rights implications</w:t>
      </w:r>
    </w:p>
    <w:p w14:paraId="449665F0" w14:textId="2ED3F54B" w:rsidR="00806020" w:rsidRPr="0002035D" w:rsidRDefault="00806020" w:rsidP="00806020">
      <w:pPr>
        <w:spacing w:before="120" w:after="120"/>
        <w:rPr>
          <w:szCs w:val="24"/>
        </w:rPr>
      </w:pPr>
      <w:r w:rsidRPr="0002035D">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02035D" w:rsidRDefault="00A17F2C" w:rsidP="00806020">
      <w:pPr>
        <w:spacing w:before="120" w:after="120"/>
        <w:rPr>
          <w:i/>
          <w:szCs w:val="24"/>
        </w:rPr>
      </w:pPr>
      <w:r w:rsidRPr="0002035D">
        <w:rPr>
          <w:i/>
          <w:szCs w:val="24"/>
        </w:rPr>
        <w:lastRenderedPageBreak/>
        <w:t>The Right to Health</w:t>
      </w:r>
    </w:p>
    <w:p w14:paraId="2412D15F" w14:textId="77777777" w:rsidR="00A17F2C" w:rsidRPr="0002035D" w:rsidRDefault="00A17F2C" w:rsidP="000337CB">
      <w:pPr>
        <w:spacing w:before="120" w:after="120"/>
        <w:rPr>
          <w:szCs w:val="24"/>
        </w:rPr>
      </w:pPr>
      <w:r w:rsidRPr="0002035D">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02035D">
        <w:rPr>
          <w:szCs w:val="24"/>
        </w:rPr>
        <w:t>healthy, but</w:t>
      </w:r>
      <w:proofErr w:type="gramEnd"/>
      <w:r w:rsidRPr="0002035D">
        <w:rPr>
          <w:szCs w:val="24"/>
        </w:rPr>
        <w:t xml:space="preserve"> is a right to a system of health protection which provides equality of opportunity for people to enjoy the highest attainable level of health. </w:t>
      </w:r>
    </w:p>
    <w:p w14:paraId="2412D160" w14:textId="77777777" w:rsidR="00A17F2C" w:rsidRPr="0002035D" w:rsidRDefault="00A17F2C" w:rsidP="000337CB">
      <w:pPr>
        <w:spacing w:before="120" w:after="120"/>
        <w:rPr>
          <w:szCs w:val="24"/>
        </w:rPr>
      </w:pPr>
      <w:r w:rsidRPr="0002035D">
        <w:rPr>
          <w:szCs w:val="24"/>
        </w:rPr>
        <w:t xml:space="preserve">The Committee reports that the </w:t>
      </w:r>
      <w:r w:rsidRPr="0002035D">
        <w:rPr>
          <w:i/>
          <w:szCs w:val="24"/>
        </w:rPr>
        <w:t>‘highest attainable standard of health’</w:t>
      </w:r>
      <w:r w:rsidRPr="0002035D">
        <w:rPr>
          <w:szCs w:val="24"/>
        </w:rPr>
        <w:t xml:space="preserve"> </w:t>
      </w:r>
      <w:proofErr w:type="gramStart"/>
      <w:r w:rsidRPr="0002035D">
        <w:rPr>
          <w:szCs w:val="24"/>
        </w:rPr>
        <w:t>takes into account</w:t>
      </w:r>
      <w:proofErr w:type="gramEnd"/>
      <w:r w:rsidRPr="0002035D">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02035D" w:rsidRDefault="00A17F2C" w:rsidP="000337CB">
      <w:pPr>
        <w:spacing w:before="120" w:after="120"/>
        <w:rPr>
          <w:i/>
          <w:szCs w:val="24"/>
        </w:rPr>
      </w:pPr>
      <w:r w:rsidRPr="0002035D">
        <w:rPr>
          <w:i/>
          <w:szCs w:val="24"/>
        </w:rPr>
        <w:t xml:space="preserve">The Right to Social Security </w:t>
      </w:r>
    </w:p>
    <w:p w14:paraId="2412D162" w14:textId="77777777" w:rsidR="00A17F2C" w:rsidRPr="0002035D" w:rsidRDefault="00A17F2C" w:rsidP="000337CB">
      <w:pPr>
        <w:spacing w:before="120" w:after="120"/>
        <w:rPr>
          <w:szCs w:val="24"/>
        </w:rPr>
      </w:pPr>
      <w:r w:rsidRPr="0002035D">
        <w:rPr>
          <w:szCs w:val="24"/>
        </w:rPr>
        <w:t>The right to social security is contained in Article 9 of the ICESCR. It requires that a country must, within its maximum available resources, ensure access to a social security scheme that</w:t>
      </w:r>
      <w:r w:rsidR="00BA69CB" w:rsidRPr="0002035D">
        <w:rPr>
          <w:szCs w:val="24"/>
        </w:rPr>
        <w:t xml:space="preserve"> </w:t>
      </w:r>
      <w:r w:rsidRPr="0002035D">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2035D">
        <w:rPr>
          <w:szCs w:val="24"/>
        </w:rPr>
        <w:t>in an effort to</w:t>
      </w:r>
      <w:proofErr w:type="gramEnd"/>
      <w:r w:rsidRPr="0002035D">
        <w:rPr>
          <w:szCs w:val="24"/>
        </w:rPr>
        <w:t xml:space="preserve"> satisfy, as a matter of priority, this minimum obligation.</w:t>
      </w:r>
    </w:p>
    <w:p w14:paraId="66FC6343" w14:textId="78CFC98B" w:rsidR="00B612B5" w:rsidRPr="0002035D" w:rsidRDefault="00A17F2C" w:rsidP="000337CB">
      <w:pPr>
        <w:spacing w:before="120" w:after="120"/>
        <w:rPr>
          <w:szCs w:val="24"/>
        </w:rPr>
      </w:pPr>
      <w:r w:rsidRPr="0002035D">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02035D" w:rsidRDefault="00B612B5" w:rsidP="00B612B5">
      <w:pPr>
        <w:spacing w:before="120" w:after="120"/>
        <w:rPr>
          <w:szCs w:val="24"/>
        </w:rPr>
      </w:pPr>
      <w:r w:rsidRPr="0002035D">
        <w:rPr>
          <w:i/>
          <w:iCs/>
          <w:szCs w:val="24"/>
        </w:rPr>
        <w:t>The right of equality and non-discrimination</w:t>
      </w:r>
    </w:p>
    <w:p w14:paraId="01405BA5" w14:textId="6B9DB180" w:rsidR="00B612B5" w:rsidRPr="0002035D" w:rsidRDefault="00B612B5" w:rsidP="00B612B5">
      <w:pPr>
        <w:spacing w:before="120" w:after="120"/>
        <w:rPr>
          <w:szCs w:val="24"/>
        </w:rPr>
      </w:pPr>
      <w:r w:rsidRPr="0002035D">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02035D">
        <w:rPr>
          <w:szCs w:val="24"/>
        </w:rPr>
        <w:t>birth</w:t>
      </w:r>
      <w:proofErr w:type="gramEnd"/>
      <w:r w:rsidRPr="0002035D">
        <w:rPr>
          <w:szCs w:val="24"/>
        </w:rPr>
        <w:t xml:space="preserve"> or other status.</w:t>
      </w:r>
    </w:p>
    <w:p w14:paraId="2412D164" w14:textId="1BF78036" w:rsidR="00A17F2C" w:rsidRPr="0002035D" w:rsidRDefault="00A17F2C" w:rsidP="000337CB">
      <w:pPr>
        <w:spacing w:before="120" w:after="120"/>
        <w:rPr>
          <w:szCs w:val="24"/>
          <w:u w:val="single"/>
        </w:rPr>
      </w:pPr>
      <w:r w:rsidRPr="0002035D">
        <w:rPr>
          <w:szCs w:val="24"/>
          <w:u w:val="single"/>
        </w:rPr>
        <w:t xml:space="preserve">Analysis </w:t>
      </w:r>
    </w:p>
    <w:p w14:paraId="5CED5F70" w14:textId="51FAD41F" w:rsidR="0079191B" w:rsidRPr="0002035D" w:rsidRDefault="002A0321" w:rsidP="00302F5C">
      <w:pPr>
        <w:rPr>
          <w:szCs w:val="24"/>
        </w:rPr>
      </w:pPr>
      <w:r w:rsidRPr="0002035D">
        <w:rPr>
          <w:szCs w:val="24"/>
        </w:rPr>
        <w:t xml:space="preserve">This instrument advances the rights to health and social security and the right of equality and non-discrimination by </w:t>
      </w:r>
      <w:r w:rsidR="00AB1FF0" w:rsidRPr="0002035D">
        <w:rPr>
          <w:szCs w:val="24"/>
        </w:rPr>
        <w:t xml:space="preserve">ensuring that patients affected by natural disasters continue to have access to general practitioner telehealth and phone services even </w:t>
      </w:r>
      <w:r w:rsidR="0017547A" w:rsidRPr="0002035D">
        <w:rPr>
          <w:szCs w:val="24"/>
        </w:rPr>
        <w:t>in circumstances where</w:t>
      </w:r>
      <w:r w:rsidR="00AB1FF0" w:rsidRPr="0002035D">
        <w:rPr>
          <w:szCs w:val="24"/>
        </w:rPr>
        <w:t xml:space="preserve"> the medical practitioner providing the service does not have an existing relationship with the patient.</w:t>
      </w:r>
      <w:r w:rsidR="0039170C" w:rsidRPr="0002035D">
        <w:rPr>
          <w:szCs w:val="24"/>
        </w:rPr>
        <w:t xml:space="preserve"> </w:t>
      </w:r>
    </w:p>
    <w:p w14:paraId="2412D166" w14:textId="1973400E" w:rsidR="00A17F2C" w:rsidRPr="0002035D" w:rsidRDefault="00A17F2C" w:rsidP="004B7CB9">
      <w:pPr>
        <w:spacing w:before="120" w:after="120" w:line="276" w:lineRule="auto"/>
        <w:rPr>
          <w:rFonts w:eastAsia="Calibri"/>
          <w:b/>
          <w:szCs w:val="24"/>
          <w:lang w:eastAsia="en-US"/>
        </w:rPr>
      </w:pPr>
      <w:r w:rsidRPr="0002035D">
        <w:rPr>
          <w:rFonts w:eastAsia="Calibri"/>
          <w:b/>
          <w:szCs w:val="24"/>
          <w:lang w:eastAsia="en-US"/>
        </w:rPr>
        <w:t xml:space="preserve">Conclusion </w:t>
      </w:r>
    </w:p>
    <w:p w14:paraId="2412D167" w14:textId="5EBE7F35" w:rsidR="00A17F2C" w:rsidRPr="0002035D" w:rsidRDefault="006E6BBF" w:rsidP="000337CB">
      <w:pPr>
        <w:rPr>
          <w:color w:val="FF0000"/>
          <w:szCs w:val="24"/>
        </w:rPr>
      </w:pPr>
      <w:r w:rsidRPr="0002035D">
        <w:rPr>
          <w:szCs w:val="24"/>
        </w:rPr>
        <w:t xml:space="preserve">This </w:t>
      </w:r>
      <w:r w:rsidR="0046022A" w:rsidRPr="0002035D">
        <w:rPr>
          <w:szCs w:val="24"/>
        </w:rPr>
        <w:t>instrument</w:t>
      </w:r>
      <w:r w:rsidRPr="0002035D">
        <w:rPr>
          <w:szCs w:val="24"/>
        </w:rPr>
        <w:t xml:space="preserve"> </w:t>
      </w:r>
      <w:r w:rsidR="00F15284" w:rsidRPr="0002035D">
        <w:rPr>
          <w:szCs w:val="24"/>
        </w:rPr>
        <w:t>is compatible with human rights as it</w:t>
      </w:r>
      <w:r w:rsidR="00AB1FF0" w:rsidRPr="0002035D">
        <w:rPr>
          <w:szCs w:val="24"/>
        </w:rPr>
        <w:t xml:space="preserve"> advance</w:t>
      </w:r>
      <w:r w:rsidR="007C7403" w:rsidRPr="0002035D">
        <w:rPr>
          <w:szCs w:val="24"/>
        </w:rPr>
        <w:t xml:space="preserve">s the </w:t>
      </w:r>
      <w:r w:rsidR="00910EF6" w:rsidRPr="0002035D">
        <w:rPr>
          <w:szCs w:val="24"/>
        </w:rPr>
        <w:t>right to health</w:t>
      </w:r>
      <w:r w:rsidR="00AB1FF0" w:rsidRPr="0002035D">
        <w:rPr>
          <w:szCs w:val="24"/>
        </w:rPr>
        <w:t>,</w:t>
      </w:r>
      <w:r w:rsidR="00910EF6" w:rsidRPr="0002035D">
        <w:rPr>
          <w:szCs w:val="24"/>
        </w:rPr>
        <w:t xml:space="preserve"> the right to social security</w:t>
      </w:r>
      <w:r w:rsidR="00AB1FF0" w:rsidRPr="0002035D">
        <w:rPr>
          <w:szCs w:val="24"/>
        </w:rPr>
        <w:t xml:space="preserve"> and the right of equality and non-discrimination</w:t>
      </w:r>
      <w:r w:rsidR="00910EF6" w:rsidRPr="0002035D">
        <w:rPr>
          <w:szCs w:val="24"/>
        </w:rPr>
        <w:t>.</w:t>
      </w:r>
    </w:p>
    <w:p w14:paraId="2412D168" w14:textId="77777777" w:rsidR="00F15284" w:rsidRPr="0002035D" w:rsidRDefault="00F15284" w:rsidP="000337CB">
      <w:pPr>
        <w:rPr>
          <w:rFonts w:eastAsia="Calibri"/>
          <w:szCs w:val="24"/>
          <w:lang w:eastAsia="en-US"/>
        </w:rPr>
      </w:pPr>
    </w:p>
    <w:p w14:paraId="75A46380" w14:textId="77777777" w:rsidR="00C67BC7" w:rsidRPr="0002035D" w:rsidRDefault="00C67BC7" w:rsidP="000F2948">
      <w:pPr>
        <w:jc w:val="center"/>
        <w:rPr>
          <w:b/>
          <w:bCs/>
        </w:rPr>
      </w:pPr>
    </w:p>
    <w:p w14:paraId="77F4A0A1" w14:textId="77777777" w:rsidR="005B4B57" w:rsidRPr="0002035D" w:rsidRDefault="005B4B57" w:rsidP="002A0321">
      <w:pPr>
        <w:shd w:val="clear" w:color="auto" w:fill="FFFFFF"/>
        <w:spacing w:line="240" w:lineRule="atLeast"/>
        <w:ind w:right="-23"/>
        <w:jc w:val="center"/>
        <w:rPr>
          <w:b/>
          <w:bCs/>
          <w:szCs w:val="22"/>
        </w:rPr>
      </w:pPr>
    </w:p>
    <w:p w14:paraId="1FFDC16F" w14:textId="77777777" w:rsidR="005B4B57" w:rsidRPr="0002035D" w:rsidRDefault="005B4B57" w:rsidP="002A0321">
      <w:pPr>
        <w:shd w:val="clear" w:color="auto" w:fill="FFFFFF"/>
        <w:spacing w:line="240" w:lineRule="atLeast"/>
        <w:ind w:right="-23"/>
        <w:jc w:val="center"/>
        <w:rPr>
          <w:b/>
          <w:bCs/>
          <w:szCs w:val="22"/>
        </w:rPr>
      </w:pPr>
    </w:p>
    <w:p w14:paraId="474FCFEF" w14:textId="77777777" w:rsidR="005B4B57" w:rsidRPr="0002035D" w:rsidRDefault="005B4B57" w:rsidP="002A0321">
      <w:pPr>
        <w:shd w:val="clear" w:color="auto" w:fill="FFFFFF"/>
        <w:spacing w:line="240" w:lineRule="atLeast"/>
        <w:ind w:right="-23"/>
        <w:jc w:val="center"/>
        <w:rPr>
          <w:b/>
          <w:bCs/>
          <w:szCs w:val="22"/>
        </w:rPr>
      </w:pPr>
    </w:p>
    <w:p w14:paraId="385C2337" w14:textId="64F287C7" w:rsidR="002A0321" w:rsidRPr="0002035D" w:rsidRDefault="002A0321" w:rsidP="002A0321">
      <w:pPr>
        <w:shd w:val="clear" w:color="auto" w:fill="FFFFFF"/>
        <w:spacing w:line="240" w:lineRule="atLeast"/>
        <w:ind w:right="-23"/>
        <w:jc w:val="center"/>
        <w:rPr>
          <w:b/>
          <w:bCs/>
          <w:szCs w:val="22"/>
        </w:rPr>
      </w:pPr>
      <w:r w:rsidRPr="0002035D">
        <w:rPr>
          <w:b/>
          <w:bCs/>
          <w:szCs w:val="22"/>
        </w:rPr>
        <w:lastRenderedPageBreak/>
        <w:t>Travis Haslam</w:t>
      </w:r>
    </w:p>
    <w:p w14:paraId="41BFBB90" w14:textId="77777777" w:rsidR="002A0321" w:rsidRPr="0002035D" w:rsidRDefault="002A0321" w:rsidP="002A0321">
      <w:pPr>
        <w:shd w:val="clear" w:color="auto" w:fill="FFFFFF"/>
        <w:spacing w:line="240" w:lineRule="atLeast"/>
        <w:ind w:right="-23"/>
        <w:jc w:val="center"/>
        <w:rPr>
          <w:b/>
          <w:bCs/>
          <w:szCs w:val="22"/>
        </w:rPr>
      </w:pPr>
      <w:r w:rsidRPr="0002035D">
        <w:rPr>
          <w:b/>
          <w:bCs/>
          <w:szCs w:val="22"/>
        </w:rPr>
        <w:t>Acting First Assistant Secretary</w:t>
      </w:r>
    </w:p>
    <w:p w14:paraId="738B6132" w14:textId="77777777" w:rsidR="002A0321" w:rsidRPr="0002035D" w:rsidRDefault="002A0321" w:rsidP="002A0321">
      <w:pPr>
        <w:shd w:val="clear" w:color="auto" w:fill="FFFFFF"/>
        <w:spacing w:line="240" w:lineRule="atLeast"/>
        <w:ind w:right="-23"/>
        <w:jc w:val="center"/>
        <w:rPr>
          <w:b/>
          <w:bCs/>
          <w:szCs w:val="22"/>
        </w:rPr>
      </w:pPr>
      <w:r w:rsidRPr="0002035D">
        <w:rPr>
          <w:b/>
          <w:bCs/>
          <w:szCs w:val="22"/>
        </w:rPr>
        <w:t>Medical Benefits Division</w:t>
      </w:r>
    </w:p>
    <w:p w14:paraId="451CABDB" w14:textId="77777777" w:rsidR="002A0321" w:rsidRPr="0002035D" w:rsidRDefault="002A0321" w:rsidP="002A0321">
      <w:pPr>
        <w:shd w:val="clear" w:color="auto" w:fill="FFFFFF"/>
        <w:spacing w:line="240" w:lineRule="atLeast"/>
        <w:ind w:right="-23"/>
        <w:jc w:val="center"/>
        <w:rPr>
          <w:b/>
          <w:bCs/>
          <w:szCs w:val="22"/>
        </w:rPr>
      </w:pPr>
      <w:r w:rsidRPr="0002035D">
        <w:rPr>
          <w:b/>
          <w:bCs/>
          <w:szCs w:val="22"/>
        </w:rPr>
        <w:t>Health Resourcing Group</w:t>
      </w:r>
    </w:p>
    <w:p w14:paraId="2412D16E" w14:textId="53C0D61A" w:rsidR="00636C51" w:rsidRPr="00AB1FF0" w:rsidRDefault="002A0321" w:rsidP="00AB1FF0">
      <w:pPr>
        <w:shd w:val="clear" w:color="auto" w:fill="FFFFFF"/>
        <w:spacing w:line="240" w:lineRule="atLeast"/>
        <w:ind w:right="-23"/>
        <w:jc w:val="center"/>
        <w:rPr>
          <w:b/>
          <w:bCs/>
          <w:szCs w:val="22"/>
        </w:rPr>
      </w:pPr>
      <w:r w:rsidRPr="0002035D">
        <w:rPr>
          <w:b/>
          <w:bCs/>
          <w:szCs w:val="22"/>
        </w:rPr>
        <w:t>Department of Health</w:t>
      </w:r>
    </w:p>
    <w:sectPr w:rsidR="00636C51" w:rsidRPr="00AB1FF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F493" w14:textId="77777777" w:rsidR="006121E3" w:rsidRDefault="006121E3">
      <w:r>
        <w:separator/>
      </w:r>
    </w:p>
  </w:endnote>
  <w:endnote w:type="continuationSeparator" w:id="0">
    <w:p w14:paraId="7E11AA89" w14:textId="77777777" w:rsidR="006121E3" w:rsidRDefault="0061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DAA8A" w14:textId="77777777" w:rsidR="006121E3" w:rsidRDefault="006121E3">
      <w:r>
        <w:separator/>
      </w:r>
    </w:p>
  </w:footnote>
  <w:footnote w:type="continuationSeparator" w:id="0">
    <w:p w14:paraId="51FED083" w14:textId="77777777" w:rsidR="006121E3" w:rsidRDefault="0061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5D"/>
    <w:rsid w:val="000203B4"/>
    <w:rsid w:val="00021EFA"/>
    <w:rsid w:val="00024158"/>
    <w:rsid w:val="00024A1D"/>
    <w:rsid w:val="00025F64"/>
    <w:rsid w:val="0002704E"/>
    <w:rsid w:val="0002728B"/>
    <w:rsid w:val="00027830"/>
    <w:rsid w:val="000319EF"/>
    <w:rsid w:val="00033034"/>
    <w:rsid w:val="0003354E"/>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547A"/>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321"/>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4B57"/>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1E3"/>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37DA"/>
    <w:rsid w:val="00774454"/>
    <w:rsid w:val="00774ABF"/>
    <w:rsid w:val="00776E17"/>
    <w:rsid w:val="00780173"/>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1FF0"/>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6B12"/>
    <w:rsid w:val="00AE7A51"/>
    <w:rsid w:val="00AF134A"/>
    <w:rsid w:val="00AF3563"/>
    <w:rsid w:val="00AF3BCE"/>
    <w:rsid w:val="00AF3D51"/>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135"/>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4577"/>
    <w:rsid w:val="00F0546E"/>
    <w:rsid w:val="00F0625D"/>
    <w:rsid w:val="00F0672D"/>
    <w:rsid w:val="00F072E1"/>
    <w:rsid w:val="00F11185"/>
    <w:rsid w:val="00F11C57"/>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372F7"/>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47E5"/>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482434">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46513681">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PANTIC, Sandra</cp:lastModifiedBy>
  <cp:revision>13</cp:revision>
  <cp:lastPrinted>2019-09-23T06:46:00Z</cp:lastPrinted>
  <dcterms:created xsi:type="dcterms:W3CDTF">2022-03-23T05:39:00Z</dcterms:created>
  <dcterms:modified xsi:type="dcterms:W3CDTF">2022-04-07T06:45:00Z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