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69929" w14:textId="22F0B109" w:rsidR="004B1B0E" w:rsidRPr="0022726E" w:rsidRDefault="00054C4D" w:rsidP="004B1B0E">
      <w:pPr>
        <w:pStyle w:val="Heading6"/>
        <w:rPr>
          <w:b w:val="0"/>
          <w:sz w:val="24"/>
          <w:szCs w:val="24"/>
        </w:rPr>
      </w:pPr>
      <w:r w:rsidRPr="0022726E">
        <w:rPr>
          <w:noProof/>
        </w:rPr>
        <w:drawing>
          <wp:anchor distT="0" distB="0" distL="114300" distR="114300" simplePos="0" relativeHeight="251658240" behindDoc="0" locked="0" layoutInCell="1" allowOverlap="1" wp14:anchorId="3B12272D" wp14:editId="5E73FE53">
            <wp:simplePos x="0" y="0"/>
            <wp:positionH relativeFrom="margin">
              <wp:align>center</wp:align>
            </wp:positionH>
            <wp:positionV relativeFrom="margin">
              <wp:align>top</wp:align>
            </wp:positionV>
            <wp:extent cx="3542030" cy="746760"/>
            <wp:effectExtent l="0" t="0" r="1270" b="0"/>
            <wp:wrapSquare wrapText="bothSides"/>
            <wp:docPr id="3" name="Picture 3" descr="Australian Securities and Investmen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Securities and Investments Commiss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r w:rsidR="004B1B0E" w:rsidRPr="0022726E">
        <w:br/>
      </w:r>
      <w:r w:rsidR="004B1B0E" w:rsidRPr="0022726E">
        <w:rPr>
          <w:b w:val="0"/>
          <w:sz w:val="24"/>
          <w:szCs w:val="24"/>
        </w:rPr>
        <w:t xml:space="preserve">  </w:t>
      </w:r>
    </w:p>
    <w:p w14:paraId="3AD28B16" w14:textId="77777777" w:rsidR="00054C4D" w:rsidRPr="0022726E" w:rsidRDefault="00054C4D" w:rsidP="004B1B0E">
      <w:pPr>
        <w:spacing w:before="63" w:line="479" w:lineRule="auto"/>
        <w:jc w:val="center"/>
        <w:rPr>
          <w:b/>
          <w:color w:val="000000"/>
          <w:sz w:val="28"/>
        </w:rPr>
      </w:pPr>
    </w:p>
    <w:p w14:paraId="4FBBB757" w14:textId="77777777" w:rsidR="00054C4D" w:rsidRPr="0022726E" w:rsidRDefault="00054C4D" w:rsidP="00054C4D">
      <w:pPr>
        <w:spacing w:after="0"/>
        <w:jc w:val="center"/>
        <w:rPr>
          <w:b/>
          <w:sz w:val="24"/>
          <w:szCs w:val="24"/>
        </w:rPr>
      </w:pPr>
      <w:r w:rsidRPr="0022726E">
        <w:rPr>
          <w:b/>
          <w:sz w:val="24"/>
          <w:szCs w:val="24"/>
        </w:rPr>
        <w:t>Explanatory Statement</w:t>
      </w:r>
    </w:p>
    <w:p w14:paraId="6F755168" w14:textId="77777777" w:rsidR="00054C4D" w:rsidRPr="0022726E" w:rsidRDefault="00054C4D" w:rsidP="00054C4D">
      <w:pPr>
        <w:spacing w:after="0" w:line="260" w:lineRule="atLeast"/>
        <w:rPr>
          <w:rFonts w:eastAsia="Calibri"/>
          <w:sz w:val="24"/>
          <w:szCs w:val="24"/>
        </w:rPr>
      </w:pPr>
    </w:p>
    <w:p w14:paraId="02C0E398" w14:textId="2C06F4BE" w:rsidR="00054C4D" w:rsidRPr="0022726E" w:rsidRDefault="00054C4D" w:rsidP="00054C4D">
      <w:pPr>
        <w:spacing w:after="0" w:line="260" w:lineRule="atLeast"/>
        <w:jc w:val="center"/>
        <w:rPr>
          <w:rFonts w:eastAsia="Calibri"/>
          <w:b/>
          <w:i/>
          <w:sz w:val="24"/>
          <w:szCs w:val="24"/>
        </w:rPr>
      </w:pPr>
      <w:r w:rsidRPr="0022726E">
        <w:rPr>
          <w:rFonts w:eastAsia="Calibri"/>
          <w:b/>
          <w:i/>
          <w:sz w:val="24"/>
          <w:szCs w:val="24"/>
        </w:rPr>
        <w:t>ASIC Corporations (</w:t>
      </w:r>
      <w:r w:rsidR="0013623B" w:rsidRPr="0022726E">
        <w:rPr>
          <w:rFonts w:eastAsia="Calibri"/>
          <w:b/>
          <w:i/>
          <w:sz w:val="24"/>
          <w:szCs w:val="24"/>
        </w:rPr>
        <w:t xml:space="preserve">Product Intervention Order Extension - </w:t>
      </w:r>
      <w:r w:rsidR="00200D64" w:rsidRPr="0022726E">
        <w:rPr>
          <w:b/>
          <w:bCs/>
        </w:rPr>
        <w:t>Contracts for Difference</w:t>
      </w:r>
      <w:r w:rsidRPr="0022726E">
        <w:rPr>
          <w:rFonts w:eastAsia="Calibri"/>
          <w:b/>
          <w:i/>
          <w:sz w:val="24"/>
          <w:szCs w:val="24"/>
        </w:rPr>
        <w:t>) Instrument 202</w:t>
      </w:r>
      <w:r w:rsidR="00F370BD" w:rsidRPr="0022726E">
        <w:rPr>
          <w:rFonts w:eastAsia="Calibri"/>
          <w:b/>
          <w:i/>
          <w:sz w:val="24"/>
          <w:szCs w:val="24"/>
        </w:rPr>
        <w:t>2</w:t>
      </w:r>
      <w:r w:rsidRPr="0022726E">
        <w:rPr>
          <w:rFonts w:eastAsia="Calibri"/>
          <w:b/>
          <w:i/>
          <w:sz w:val="24"/>
          <w:szCs w:val="24"/>
        </w:rPr>
        <w:t>/</w:t>
      </w:r>
      <w:r w:rsidR="001962B3" w:rsidRPr="0022726E">
        <w:rPr>
          <w:rFonts w:eastAsia="Calibri"/>
          <w:b/>
          <w:i/>
          <w:sz w:val="24"/>
          <w:szCs w:val="24"/>
        </w:rPr>
        <w:t>259</w:t>
      </w:r>
    </w:p>
    <w:p w14:paraId="3CE7E568" w14:textId="231FDC7D" w:rsidR="00054C4D" w:rsidRPr="0022726E" w:rsidRDefault="00054C4D" w:rsidP="00054C4D">
      <w:pPr>
        <w:spacing w:before="240" w:after="0"/>
        <w:rPr>
          <w:sz w:val="24"/>
          <w:szCs w:val="24"/>
        </w:rPr>
      </w:pPr>
      <w:bookmarkStart w:id="0" w:name="BK_S3P1L1C1"/>
      <w:bookmarkEnd w:id="0"/>
      <w:r w:rsidRPr="0022726E">
        <w:rPr>
          <w:sz w:val="24"/>
          <w:szCs w:val="24"/>
        </w:rPr>
        <w:t>This is the Explanatory Statement for ASIC Corporations (</w:t>
      </w:r>
      <w:r w:rsidR="00393396" w:rsidRPr="0022726E">
        <w:t xml:space="preserve">Product Intervention Order Extension - </w:t>
      </w:r>
      <w:r w:rsidR="00200D64" w:rsidRPr="0022726E">
        <w:t>Contracts for Difference</w:t>
      </w:r>
      <w:r w:rsidRPr="0022726E">
        <w:rPr>
          <w:sz w:val="24"/>
          <w:szCs w:val="24"/>
        </w:rPr>
        <w:t>) Instrument 202</w:t>
      </w:r>
      <w:r w:rsidR="00181281" w:rsidRPr="0022726E">
        <w:rPr>
          <w:sz w:val="24"/>
          <w:szCs w:val="24"/>
        </w:rPr>
        <w:t>2</w:t>
      </w:r>
      <w:r w:rsidRPr="0022726E">
        <w:rPr>
          <w:sz w:val="24"/>
          <w:szCs w:val="24"/>
        </w:rPr>
        <w:t>/</w:t>
      </w:r>
      <w:r w:rsidR="001962B3" w:rsidRPr="0022726E">
        <w:rPr>
          <w:sz w:val="24"/>
          <w:szCs w:val="24"/>
        </w:rPr>
        <w:t>259</w:t>
      </w:r>
      <w:r w:rsidRPr="0022726E">
        <w:rPr>
          <w:sz w:val="24"/>
          <w:szCs w:val="24"/>
        </w:rPr>
        <w:t xml:space="preserve"> (the </w:t>
      </w:r>
      <w:r w:rsidRPr="0022726E">
        <w:rPr>
          <w:b/>
          <w:i/>
          <w:sz w:val="24"/>
          <w:szCs w:val="24"/>
        </w:rPr>
        <w:t>instrument</w:t>
      </w:r>
      <w:r w:rsidRPr="0022726E">
        <w:rPr>
          <w:sz w:val="24"/>
          <w:szCs w:val="24"/>
        </w:rPr>
        <w:t>).</w:t>
      </w:r>
    </w:p>
    <w:p w14:paraId="302FC9EB" w14:textId="59FD50C6" w:rsidR="00054C4D" w:rsidRPr="0022726E" w:rsidRDefault="00054C4D" w:rsidP="00054C4D">
      <w:pPr>
        <w:spacing w:before="240" w:after="0"/>
        <w:rPr>
          <w:sz w:val="24"/>
          <w:szCs w:val="24"/>
        </w:rPr>
      </w:pPr>
      <w:r w:rsidRPr="0022726E">
        <w:rPr>
          <w:sz w:val="24"/>
          <w:szCs w:val="24"/>
        </w:rPr>
        <w:t>The Explanatory Statement is approved by the Australian Securities and Investments</w:t>
      </w:r>
      <w:r w:rsidR="001F17EE" w:rsidRPr="0022726E">
        <w:rPr>
          <w:sz w:val="24"/>
          <w:szCs w:val="24"/>
        </w:rPr>
        <w:t xml:space="preserve"> </w:t>
      </w:r>
      <w:r w:rsidRPr="0022726E">
        <w:rPr>
          <w:sz w:val="24"/>
          <w:szCs w:val="24"/>
        </w:rPr>
        <w:t>Commission (</w:t>
      </w:r>
      <w:r w:rsidRPr="0022726E">
        <w:rPr>
          <w:b/>
          <w:i/>
          <w:sz w:val="24"/>
          <w:szCs w:val="24"/>
        </w:rPr>
        <w:t>ASIC</w:t>
      </w:r>
      <w:r w:rsidRPr="0022726E">
        <w:rPr>
          <w:sz w:val="24"/>
          <w:szCs w:val="24"/>
        </w:rPr>
        <w:t>).</w:t>
      </w:r>
    </w:p>
    <w:p w14:paraId="4021169E" w14:textId="368E6A86" w:rsidR="00054C4D" w:rsidRPr="0022726E" w:rsidRDefault="00054C4D" w:rsidP="00054C4D">
      <w:pPr>
        <w:spacing w:before="240" w:after="0"/>
        <w:rPr>
          <w:b/>
          <w:sz w:val="24"/>
          <w:szCs w:val="24"/>
        </w:rPr>
      </w:pPr>
      <w:r w:rsidRPr="0022726E">
        <w:rPr>
          <w:b/>
          <w:sz w:val="24"/>
          <w:szCs w:val="24"/>
        </w:rPr>
        <w:t>Summary</w:t>
      </w:r>
    </w:p>
    <w:p w14:paraId="31B536C8" w14:textId="36C22195" w:rsidR="000477AA" w:rsidRPr="0022726E" w:rsidRDefault="00054C4D" w:rsidP="00C10C75">
      <w:pPr>
        <w:pStyle w:val="LI-BodyTextParaa"/>
        <w:numPr>
          <w:ilvl w:val="0"/>
          <w:numId w:val="3"/>
        </w:numPr>
      </w:pPr>
      <w:bookmarkStart w:id="1" w:name="_Hlk23757589"/>
      <w:r w:rsidRPr="0022726E">
        <w:t>The instrument is a</w:t>
      </w:r>
      <w:r w:rsidR="00F370BD" w:rsidRPr="0022726E">
        <w:t xml:space="preserve"> declaration that </w:t>
      </w:r>
      <w:hyperlink r:id="rId13" w:history="1">
        <w:r w:rsidR="00F370BD" w:rsidRPr="0022726E">
          <w:rPr>
            <w:rStyle w:val="Hyperlink"/>
            <w:i/>
          </w:rPr>
          <w:t>ASIC Corporations (Product Intervention Order–Contracts for Difference) Instrument 2020/986</w:t>
        </w:r>
      </w:hyperlink>
      <w:r w:rsidR="00F370BD" w:rsidRPr="0022726E">
        <w:t xml:space="preserve"> (the </w:t>
      </w:r>
      <w:r w:rsidR="002D2832" w:rsidRPr="0022726E">
        <w:rPr>
          <w:b/>
          <w:bCs/>
          <w:i/>
          <w:iCs/>
        </w:rPr>
        <w:t>Principal Instrument</w:t>
      </w:r>
      <w:r w:rsidR="00F370BD" w:rsidRPr="0022726E">
        <w:t xml:space="preserve">), a </w:t>
      </w:r>
      <w:r w:rsidRPr="0022726E">
        <w:t xml:space="preserve">product intervention order made under subsection 1023D(3) of the </w:t>
      </w:r>
      <w:r w:rsidRPr="0022726E">
        <w:rPr>
          <w:i/>
        </w:rPr>
        <w:t xml:space="preserve">Corporations Act 2001 </w:t>
      </w:r>
      <w:r w:rsidRPr="0022726E">
        <w:t xml:space="preserve">(the </w:t>
      </w:r>
      <w:r w:rsidRPr="0022726E">
        <w:rPr>
          <w:b/>
          <w:i/>
        </w:rPr>
        <w:t>Act</w:t>
      </w:r>
      <w:r w:rsidRPr="0022726E">
        <w:t>)</w:t>
      </w:r>
      <w:r w:rsidR="00F370BD" w:rsidRPr="0022726E">
        <w:t xml:space="preserve">, remains in force </w:t>
      </w:r>
      <w:r w:rsidR="001E6501" w:rsidRPr="0022726E">
        <w:t>for the period ending at the end of</w:t>
      </w:r>
      <w:r w:rsidR="006D5561" w:rsidRPr="0022726E">
        <w:t xml:space="preserve"> </w:t>
      </w:r>
      <w:r w:rsidR="00B83EA8" w:rsidRPr="0022726E">
        <w:t>2</w:t>
      </w:r>
      <w:r w:rsidR="00077ABE" w:rsidRPr="0022726E">
        <w:t>3</w:t>
      </w:r>
      <w:r w:rsidR="00B83EA8" w:rsidRPr="0022726E">
        <w:t xml:space="preserve"> May</w:t>
      </w:r>
      <w:r w:rsidR="00CF4FB2" w:rsidRPr="0022726E">
        <w:t xml:space="preserve"> 2027</w:t>
      </w:r>
      <w:r w:rsidR="00CC2119" w:rsidRPr="0022726E">
        <w:t xml:space="preserve"> unless it is revoked earlier</w:t>
      </w:r>
      <w:r w:rsidRPr="0022726E">
        <w:t xml:space="preserve">. </w:t>
      </w:r>
      <w:r w:rsidR="000477AA" w:rsidRPr="0022726E">
        <w:t xml:space="preserve">The Principal Instrument commenced on 23 November 2020 and without this declaration </w:t>
      </w:r>
      <w:r w:rsidR="00AE7E36" w:rsidRPr="0022726E">
        <w:t xml:space="preserve">would </w:t>
      </w:r>
      <w:r w:rsidR="000477AA" w:rsidRPr="0022726E">
        <w:t xml:space="preserve">cease on </w:t>
      </w:r>
      <w:r w:rsidR="001860E7" w:rsidRPr="0022726E">
        <w:t xml:space="preserve">23 </w:t>
      </w:r>
      <w:r w:rsidR="00B83EA8" w:rsidRPr="0022726E">
        <w:t>May</w:t>
      </w:r>
      <w:r w:rsidR="000477AA" w:rsidRPr="0022726E">
        <w:t xml:space="preserve"> 2022</w:t>
      </w:r>
      <w:r w:rsidR="000A3E23" w:rsidRPr="0022726E">
        <w:t>,</w:t>
      </w:r>
      <w:r w:rsidR="000477AA" w:rsidRPr="0022726E">
        <w:t xml:space="preserve"> having remained in force for 18 months. </w:t>
      </w:r>
    </w:p>
    <w:p w14:paraId="692020E8" w14:textId="2C042B22" w:rsidR="00923FF0" w:rsidRPr="0022726E" w:rsidRDefault="00054C4D" w:rsidP="000477AA">
      <w:pPr>
        <w:pStyle w:val="LI-BodyTextParaa"/>
        <w:numPr>
          <w:ilvl w:val="0"/>
          <w:numId w:val="3"/>
        </w:numPr>
      </w:pPr>
      <w:r w:rsidRPr="0022726E">
        <w:t xml:space="preserve">The </w:t>
      </w:r>
      <w:r w:rsidR="002D2832" w:rsidRPr="0022726E">
        <w:t xml:space="preserve">Principal </w:t>
      </w:r>
      <w:r w:rsidR="00F370BD" w:rsidRPr="0022726E">
        <w:t>I</w:t>
      </w:r>
      <w:r w:rsidRPr="0022726E">
        <w:t xml:space="preserve">nstrument </w:t>
      </w:r>
      <w:r w:rsidR="00225897" w:rsidRPr="0022726E">
        <w:t>impose</w:t>
      </w:r>
      <w:r w:rsidR="00CD15AA" w:rsidRPr="0022726E">
        <w:t>s</w:t>
      </w:r>
      <w:r w:rsidR="00225897" w:rsidRPr="0022726E">
        <w:t xml:space="preserve"> certain conditions on</w:t>
      </w:r>
      <w:r w:rsidR="00952E1A" w:rsidRPr="0022726E">
        <w:t xml:space="preserve"> </w:t>
      </w:r>
      <w:r w:rsidR="000069F9" w:rsidRPr="0022726E">
        <w:t xml:space="preserve">specified </w:t>
      </w:r>
      <w:r w:rsidRPr="0022726E">
        <w:t xml:space="preserve">dealing in </w:t>
      </w:r>
      <w:proofErr w:type="gramStart"/>
      <w:r w:rsidRPr="0022726E">
        <w:t>over-the-counter</w:t>
      </w:r>
      <w:proofErr w:type="gramEnd"/>
      <w:r w:rsidRPr="0022726E">
        <w:t xml:space="preserve"> (</w:t>
      </w:r>
      <w:r w:rsidRPr="0022726E">
        <w:rPr>
          <w:b/>
          <w:i/>
        </w:rPr>
        <w:t>OTC</w:t>
      </w:r>
      <w:r w:rsidRPr="0022726E">
        <w:t>) contracts for difference (</w:t>
      </w:r>
      <w:proofErr w:type="spellStart"/>
      <w:r w:rsidRPr="0022726E">
        <w:rPr>
          <w:b/>
          <w:i/>
        </w:rPr>
        <w:t>CFD</w:t>
      </w:r>
      <w:r w:rsidR="000069F9" w:rsidRPr="0022726E">
        <w:rPr>
          <w:b/>
          <w:i/>
        </w:rPr>
        <w:t>s</w:t>
      </w:r>
      <w:proofErr w:type="spellEnd"/>
      <w:r w:rsidRPr="0022726E">
        <w:t>) in relation to retail clients</w:t>
      </w:r>
      <w:r w:rsidR="00AA00DA" w:rsidRPr="0022726E">
        <w:t xml:space="preserve"> and</w:t>
      </w:r>
      <w:r w:rsidR="000069F9" w:rsidRPr="0022726E">
        <w:t xml:space="preserve"> prohibits giving or offering </w:t>
      </w:r>
      <w:r w:rsidR="00225897" w:rsidRPr="0022726E">
        <w:t xml:space="preserve">specified </w:t>
      </w:r>
      <w:r w:rsidR="000069F9" w:rsidRPr="0022726E">
        <w:t>benefit</w:t>
      </w:r>
      <w:r w:rsidR="00225897" w:rsidRPr="0022726E">
        <w:t>s</w:t>
      </w:r>
      <w:r w:rsidR="000069F9" w:rsidRPr="0022726E">
        <w:t xml:space="preserve"> to retail clients or prospective retail clients in specified circumstances</w:t>
      </w:r>
      <w:r w:rsidRPr="0022726E">
        <w:t>.</w:t>
      </w:r>
    </w:p>
    <w:p w14:paraId="34780B02" w14:textId="213EB0C3" w:rsidR="00E902A4" w:rsidRDefault="00E902A4" w:rsidP="000477AA">
      <w:pPr>
        <w:pStyle w:val="LI-BodyTextParaa"/>
        <w:numPr>
          <w:ilvl w:val="0"/>
          <w:numId w:val="3"/>
        </w:numPr>
      </w:pPr>
      <w:r w:rsidRPr="0022726E">
        <w:t xml:space="preserve">Before </w:t>
      </w:r>
      <w:r w:rsidR="00F56DA2" w:rsidRPr="0022726E">
        <w:t xml:space="preserve">ASIC made </w:t>
      </w:r>
      <w:r w:rsidRPr="0022726E">
        <w:t>the instrument</w:t>
      </w:r>
      <w:r>
        <w:t xml:space="preserve">, </w:t>
      </w:r>
      <w:r w:rsidR="00AC2100">
        <w:t xml:space="preserve">ASIC provided a report to </w:t>
      </w:r>
      <w:r>
        <w:t>the Minister</w:t>
      </w:r>
      <w:r w:rsidR="005C4B84">
        <w:t xml:space="preserve"> </w:t>
      </w:r>
      <w:r w:rsidR="00AC2100">
        <w:t>under s1023H(3) of the Act</w:t>
      </w:r>
      <w:r w:rsidR="00777CEF">
        <w:t xml:space="preserve"> on whether the instrument should be made.</w:t>
      </w:r>
      <w:r w:rsidR="002A616D">
        <w:t xml:space="preserve"> </w:t>
      </w:r>
      <w:r w:rsidR="007D3B27">
        <w:t>The Minister</w:t>
      </w:r>
      <w:r w:rsidR="00AC2100">
        <w:t xml:space="preserve"> </w:t>
      </w:r>
      <w:r w:rsidR="005C4B84">
        <w:t>gave</w:t>
      </w:r>
      <w:r>
        <w:t xml:space="preserve"> </w:t>
      </w:r>
      <w:r w:rsidR="005C4B84">
        <w:t xml:space="preserve">his written </w:t>
      </w:r>
      <w:r>
        <w:t xml:space="preserve">approval </w:t>
      </w:r>
      <w:r w:rsidR="00F272F0">
        <w:t>under s</w:t>
      </w:r>
      <w:r w:rsidR="0056105E">
        <w:t xml:space="preserve">ubsection </w:t>
      </w:r>
      <w:r w:rsidR="00F272F0">
        <w:t xml:space="preserve">1023H(4) of the Act </w:t>
      </w:r>
      <w:r w:rsidR="005C4B84">
        <w:t xml:space="preserve">for ASIC </w:t>
      </w:r>
      <w:r>
        <w:t xml:space="preserve">to </w:t>
      </w:r>
      <w:r w:rsidR="00F272F0">
        <w:t>make the instrument.</w:t>
      </w:r>
      <w:r w:rsidR="00197009">
        <w:t xml:space="preserve"> </w:t>
      </w:r>
    </w:p>
    <w:p w14:paraId="2EC870AF" w14:textId="77777777" w:rsidR="00AE7E36" w:rsidRPr="00E46579" w:rsidRDefault="00AE7E36" w:rsidP="00AE7E36">
      <w:pPr>
        <w:pStyle w:val="LI-BodyTextNumbered"/>
        <w:keepNext/>
        <w:ind w:hanging="1134"/>
        <w:rPr>
          <w:b/>
        </w:rPr>
      </w:pPr>
      <w:r w:rsidRPr="00E46579">
        <w:rPr>
          <w:b/>
        </w:rPr>
        <w:t>Purpose of the instrument</w:t>
      </w:r>
    </w:p>
    <w:p w14:paraId="4F7DD8A1" w14:textId="173E1571" w:rsidR="00141ECF" w:rsidRPr="00AB31F0" w:rsidRDefault="00141ECF" w:rsidP="00ED1EBB">
      <w:pPr>
        <w:pStyle w:val="LI-BodyTextParaa"/>
        <w:numPr>
          <w:ilvl w:val="0"/>
          <w:numId w:val="3"/>
        </w:numPr>
        <w:rPr>
          <w:rStyle w:val="CommentReference"/>
          <w:sz w:val="24"/>
          <w:szCs w:val="24"/>
        </w:rPr>
      </w:pPr>
      <w:bookmarkStart w:id="2" w:name="_Hlk95914968"/>
      <w:r>
        <w:t xml:space="preserve">The purpose of this instrument is to </w:t>
      </w:r>
      <w:r w:rsidR="005C4B84">
        <w:t>declare under s</w:t>
      </w:r>
      <w:r w:rsidR="00AA3C0E">
        <w:t xml:space="preserve">ubsection </w:t>
      </w:r>
      <w:r w:rsidR="005C4B84">
        <w:t>1023H(1)(</w:t>
      </w:r>
      <w:r w:rsidR="005F1F69">
        <w:t>b</w:t>
      </w:r>
      <w:r w:rsidR="005C4B84">
        <w:t xml:space="preserve">) of the Act that </w:t>
      </w:r>
      <w:r>
        <w:t xml:space="preserve">the Principal Instrument </w:t>
      </w:r>
      <w:r w:rsidR="00E94FC4">
        <w:t xml:space="preserve">remains in force </w:t>
      </w:r>
      <w:r w:rsidR="00442944">
        <w:t>for the period ending at the end of</w:t>
      </w:r>
      <w:r w:rsidR="00E94FC4">
        <w:t xml:space="preserve"> </w:t>
      </w:r>
      <w:r w:rsidR="00B83EA8">
        <w:t>2</w:t>
      </w:r>
      <w:r w:rsidR="00077ABE">
        <w:t>3</w:t>
      </w:r>
      <w:r w:rsidR="00B83EA8">
        <w:t xml:space="preserve"> May</w:t>
      </w:r>
      <w:r w:rsidR="002306F0">
        <w:t xml:space="preserve"> 202</w:t>
      </w:r>
      <w:r w:rsidR="005146EC">
        <w:t>7</w:t>
      </w:r>
      <w:r w:rsidR="00CA77D1">
        <w:t>, unless it is revoked earlier</w:t>
      </w:r>
      <w:r w:rsidR="00E94FC4">
        <w:t xml:space="preserve">. </w:t>
      </w:r>
      <w:r w:rsidR="008E124B">
        <w:t xml:space="preserve">By doing so, the Principal Instrument can continue to reduce the risk of significant detriment to retail clients resulting from </w:t>
      </w:r>
      <w:proofErr w:type="spellStart"/>
      <w:r w:rsidR="008E124B">
        <w:t>CFDs</w:t>
      </w:r>
      <w:proofErr w:type="spellEnd"/>
      <w:r w:rsidR="008E124B">
        <w:t xml:space="preserve"> as follows: </w:t>
      </w:r>
      <w:r w:rsidR="008E124B" w:rsidDel="008E124B">
        <w:rPr>
          <w:rStyle w:val="CommentReference"/>
        </w:rPr>
        <w:t xml:space="preserve"> </w:t>
      </w:r>
    </w:p>
    <w:p w14:paraId="2B35CF3B" w14:textId="187D9C0A" w:rsidR="00141ECF" w:rsidRDefault="00AB31F0" w:rsidP="00AB31F0">
      <w:pPr>
        <w:pStyle w:val="LI-BodyTextParaa"/>
        <w:numPr>
          <w:ilvl w:val="1"/>
          <w:numId w:val="3"/>
        </w:numPr>
        <w:rPr>
          <w:color w:val="000000"/>
        </w:rPr>
      </w:pPr>
      <w:r>
        <w:rPr>
          <w:color w:val="000000"/>
        </w:rPr>
        <w:t>t</w:t>
      </w:r>
      <w:r w:rsidR="00141ECF">
        <w:rPr>
          <w:color w:val="000000"/>
        </w:rPr>
        <w:t xml:space="preserve">he leverage ratio limits set out in subsection 7(2) of the Principal Instrument reduce the size and speed of retail clients’ </w:t>
      </w:r>
      <w:proofErr w:type="spellStart"/>
      <w:r w:rsidR="00141ECF">
        <w:rPr>
          <w:color w:val="000000"/>
        </w:rPr>
        <w:t>CFD</w:t>
      </w:r>
      <w:proofErr w:type="spellEnd"/>
      <w:r w:rsidR="00141ECF">
        <w:rPr>
          <w:color w:val="000000"/>
        </w:rPr>
        <w:t xml:space="preserve"> losses by reducing </w:t>
      </w:r>
      <w:proofErr w:type="spellStart"/>
      <w:r w:rsidR="00141ECF">
        <w:rPr>
          <w:color w:val="000000"/>
        </w:rPr>
        <w:t>CFD</w:t>
      </w:r>
      <w:proofErr w:type="spellEnd"/>
      <w:r w:rsidR="00141ECF">
        <w:rPr>
          <w:color w:val="000000"/>
        </w:rPr>
        <w:t xml:space="preserve"> exposure and the sensitivity of </w:t>
      </w:r>
      <w:proofErr w:type="spellStart"/>
      <w:r w:rsidR="00141ECF">
        <w:rPr>
          <w:color w:val="000000"/>
        </w:rPr>
        <w:t>CFDs</w:t>
      </w:r>
      <w:proofErr w:type="spellEnd"/>
      <w:r w:rsidR="00141ECF">
        <w:rPr>
          <w:color w:val="000000"/>
        </w:rPr>
        <w:t xml:space="preserve"> to market </w:t>
      </w:r>
      <w:proofErr w:type="gramStart"/>
      <w:r w:rsidR="00141ECF">
        <w:rPr>
          <w:color w:val="000000"/>
        </w:rPr>
        <w:t>volatility;</w:t>
      </w:r>
      <w:proofErr w:type="gramEnd"/>
    </w:p>
    <w:p w14:paraId="4A5BDA15" w14:textId="69571BA6" w:rsidR="00141ECF" w:rsidRDefault="00574D51" w:rsidP="00AB31F0">
      <w:pPr>
        <w:pStyle w:val="LI-BodyTextParaa"/>
        <w:numPr>
          <w:ilvl w:val="1"/>
          <w:numId w:val="3"/>
        </w:numPr>
        <w:rPr>
          <w:color w:val="000000"/>
        </w:rPr>
      </w:pPr>
      <w:bookmarkStart w:id="3" w:name="_Hlk99401121"/>
      <w:r>
        <w:rPr>
          <w:color w:val="000000"/>
        </w:rPr>
        <w:t>the m</w:t>
      </w:r>
      <w:r w:rsidR="00141ECF">
        <w:rPr>
          <w:color w:val="000000"/>
        </w:rPr>
        <w:t xml:space="preserve">argin </w:t>
      </w:r>
      <w:proofErr w:type="gramStart"/>
      <w:r w:rsidR="00141ECF">
        <w:rPr>
          <w:color w:val="000000"/>
        </w:rPr>
        <w:t>close</w:t>
      </w:r>
      <w:proofErr w:type="gramEnd"/>
      <w:r w:rsidR="00141ECF">
        <w:rPr>
          <w:color w:val="000000"/>
        </w:rPr>
        <w:t xml:space="preserve"> out protection set out in subsection 7(3) of the Principal Instrument</w:t>
      </w:r>
      <w:r w:rsidR="00141ECF" w:rsidDel="00574D51">
        <w:rPr>
          <w:color w:val="000000"/>
        </w:rPr>
        <w:t xml:space="preserve"> </w:t>
      </w:r>
      <w:r w:rsidR="00141ECF">
        <w:rPr>
          <w:color w:val="000000"/>
        </w:rPr>
        <w:t>standardise</w:t>
      </w:r>
      <w:r w:rsidR="00B876F4">
        <w:rPr>
          <w:color w:val="000000"/>
        </w:rPr>
        <w:t>s</w:t>
      </w:r>
      <w:r w:rsidR="00141ECF">
        <w:rPr>
          <w:color w:val="000000"/>
        </w:rPr>
        <w:t xml:space="preserve"> a common risk management feature that acts as a circuit breaker to close out one or more of the open </w:t>
      </w:r>
      <w:proofErr w:type="spellStart"/>
      <w:r w:rsidR="00141ECF">
        <w:rPr>
          <w:color w:val="000000"/>
        </w:rPr>
        <w:t>CFDs</w:t>
      </w:r>
      <w:proofErr w:type="spellEnd"/>
      <w:r w:rsidR="00141ECF">
        <w:rPr>
          <w:color w:val="000000"/>
        </w:rPr>
        <w:t xml:space="preserve"> connected to a retail client’s </w:t>
      </w:r>
      <w:proofErr w:type="spellStart"/>
      <w:r w:rsidR="00141ECF">
        <w:rPr>
          <w:color w:val="000000"/>
        </w:rPr>
        <w:t>CFD</w:t>
      </w:r>
      <w:proofErr w:type="spellEnd"/>
      <w:r w:rsidR="00141ECF">
        <w:rPr>
          <w:color w:val="000000"/>
        </w:rPr>
        <w:t xml:space="preserve"> trading account in circumstances where the retail client has lost a substantial proportion of the funds in that trading account</w:t>
      </w:r>
      <w:bookmarkEnd w:id="3"/>
      <w:r w:rsidR="00141ECF">
        <w:rPr>
          <w:color w:val="000000"/>
        </w:rPr>
        <w:t>;</w:t>
      </w:r>
    </w:p>
    <w:p w14:paraId="40CA34B1" w14:textId="7FB79ED5" w:rsidR="00141ECF" w:rsidRDefault="00F56DA2" w:rsidP="00AB31F0">
      <w:pPr>
        <w:pStyle w:val="LI-BodyTextParaa"/>
        <w:numPr>
          <w:ilvl w:val="1"/>
          <w:numId w:val="3"/>
        </w:numPr>
        <w:rPr>
          <w:color w:val="000000"/>
        </w:rPr>
      </w:pPr>
      <w:bookmarkStart w:id="4" w:name="_Hlk99401178"/>
      <w:r>
        <w:rPr>
          <w:color w:val="000000"/>
        </w:rPr>
        <w:lastRenderedPageBreak/>
        <w:t>t</w:t>
      </w:r>
      <w:r w:rsidR="00574D51">
        <w:rPr>
          <w:color w:val="000000"/>
        </w:rPr>
        <w:t>he n</w:t>
      </w:r>
      <w:r w:rsidR="00141ECF">
        <w:rPr>
          <w:color w:val="000000"/>
        </w:rPr>
        <w:t xml:space="preserve">egative balance protection set out in subsection 7(5) of the </w:t>
      </w:r>
      <w:r w:rsidR="00BC4544">
        <w:rPr>
          <w:color w:val="000000"/>
        </w:rPr>
        <w:t>Principal I</w:t>
      </w:r>
      <w:r w:rsidR="00141ECF">
        <w:rPr>
          <w:color w:val="000000"/>
        </w:rPr>
        <w:t>nstrument standardise</w:t>
      </w:r>
      <w:r w:rsidR="00BC4544">
        <w:rPr>
          <w:color w:val="000000"/>
        </w:rPr>
        <w:t>s</w:t>
      </w:r>
      <w:r w:rsidR="00141ECF">
        <w:rPr>
          <w:color w:val="000000"/>
        </w:rPr>
        <w:t xml:space="preserve"> a risk management feature that protects retail clients by limiting their losses on </w:t>
      </w:r>
      <w:proofErr w:type="spellStart"/>
      <w:r w:rsidR="00141ECF">
        <w:rPr>
          <w:color w:val="000000"/>
        </w:rPr>
        <w:t>CFD</w:t>
      </w:r>
      <w:proofErr w:type="spellEnd"/>
      <w:r w:rsidR="00141ECF">
        <w:rPr>
          <w:color w:val="000000"/>
        </w:rPr>
        <w:t xml:space="preserve"> positions to the funds in their </w:t>
      </w:r>
      <w:proofErr w:type="spellStart"/>
      <w:r w:rsidR="00141ECF">
        <w:rPr>
          <w:color w:val="000000"/>
        </w:rPr>
        <w:t>CFD</w:t>
      </w:r>
      <w:proofErr w:type="spellEnd"/>
      <w:r w:rsidR="00141ECF">
        <w:rPr>
          <w:color w:val="000000"/>
        </w:rPr>
        <w:t xml:space="preserve"> trading account</w:t>
      </w:r>
      <w:bookmarkEnd w:id="4"/>
      <w:r w:rsidR="00141ECF">
        <w:rPr>
          <w:color w:val="000000"/>
        </w:rPr>
        <w:t>; and</w:t>
      </w:r>
    </w:p>
    <w:p w14:paraId="285434B5" w14:textId="11CD4592" w:rsidR="00141ECF" w:rsidRDefault="00574D51" w:rsidP="00AB31F0">
      <w:pPr>
        <w:pStyle w:val="LI-BodyTextParaa"/>
        <w:numPr>
          <w:ilvl w:val="1"/>
          <w:numId w:val="3"/>
        </w:numPr>
        <w:rPr>
          <w:color w:val="000000"/>
        </w:rPr>
      </w:pPr>
      <w:r>
        <w:rPr>
          <w:color w:val="000000"/>
        </w:rPr>
        <w:t>s</w:t>
      </w:r>
      <w:r w:rsidR="00141ECF">
        <w:rPr>
          <w:color w:val="000000"/>
        </w:rPr>
        <w:t xml:space="preserve">ection 6 of the </w:t>
      </w:r>
      <w:r w:rsidR="004A0AF5">
        <w:rPr>
          <w:color w:val="000000"/>
        </w:rPr>
        <w:t>Principal I</w:t>
      </w:r>
      <w:r w:rsidR="00141ECF">
        <w:rPr>
          <w:color w:val="000000"/>
        </w:rPr>
        <w:t xml:space="preserve">nstrument prohibits offering or giving specified inducements to retail clients and prospective retail clients </w:t>
      </w:r>
      <w:bookmarkStart w:id="5" w:name="_Hlk99401241"/>
      <w:r w:rsidR="00141ECF">
        <w:rPr>
          <w:color w:val="000000"/>
        </w:rPr>
        <w:t xml:space="preserve">that encourage higher trading volumes and can distract them from the risks of trading </w:t>
      </w:r>
      <w:proofErr w:type="spellStart"/>
      <w:r w:rsidR="00141ECF">
        <w:rPr>
          <w:color w:val="000000"/>
        </w:rPr>
        <w:t>CFDs</w:t>
      </w:r>
      <w:proofErr w:type="spellEnd"/>
      <w:r w:rsidR="00141ECF">
        <w:rPr>
          <w:color w:val="000000"/>
        </w:rPr>
        <w:t>, while not barring discounts of fees and costs that are offered to all retail clients and prospective retail clients</w:t>
      </w:r>
      <w:bookmarkEnd w:id="5"/>
      <w:r w:rsidR="00141ECF">
        <w:rPr>
          <w:color w:val="000000"/>
        </w:rPr>
        <w:t>.</w:t>
      </w:r>
    </w:p>
    <w:bookmarkEnd w:id="2"/>
    <w:p w14:paraId="7D9EE50F" w14:textId="46943151" w:rsidR="00AE7E36" w:rsidRPr="00A3304C" w:rsidRDefault="00AE7E36" w:rsidP="00AE7E36">
      <w:pPr>
        <w:spacing w:before="240" w:after="0"/>
        <w:rPr>
          <w:b/>
          <w:sz w:val="24"/>
          <w:szCs w:val="24"/>
        </w:rPr>
      </w:pPr>
      <w:r>
        <w:rPr>
          <w:b/>
          <w:sz w:val="24"/>
          <w:szCs w:val="24"/>
        </w:rPr>
        <w:t>Consultation</w:t>
      </w:r>
    </w:p>
    <w:p w14:paraId="53C65FB8" w14:textId="77777777" w:rsidR="00AE7E36" w:rsidRPr="00A3304C" w:rsidRDefault="00AE7E36" w:rsidP="00AE7E36">
      <w:pPr>
        <w:pStyle w:val="ListParagraph"/>
        <w:rPr>
          <w:sz w:val="24"/>
          <w:szCs w:val="24"/>
        </w:rPr>
      </w:pPr>
    </w:p>
    <w:p w14:paraId="7C52E5A4" w14:textId="39060CE5" w:rsidR="00AE7E36" w:rsidRPr="002164F8" w:rsidRDefault="00AE7E36" w:rsidP="00AE7E36">
      <w:pPr>
        <w:pStyle w:val="ListParagraph"/>
        <w:numPr>
          <w:ilvl w:val="0"/>
          <w:numId w:val="3"/>
        </w:numPr>
        <w:rPr>
          <w:sz w:val="24"/>
          <w:szCs w:val="24"/>
        </w:rPr>
      </w:pPr>
      <w:r w:rsidRPr="002731A5">
        <w:rPr>
          <w:sz w:val="24"/>
          <w:szCs w:val="24"/>
        </w:rPr>
        <w:t xml:space="preserve">On 18 October 2021, </w:t>
      </w:r>
      <w:r>
        <w:rPr>
          <w:sz w:val="24"/>
          <w:szCs w:val="24"/>
        </w:rPr>
        <w:t>ASIC</w:t>
      </w:r>
      <w:r w:rsidRPr="002731A5">
        <w:rPr>
          <w:sz w:val="24"/>
          <w:szCs w:val="24"/>
        </w:rPr>
        <w:t xml:space="preserve"> issued </w:t>
      </w:r>
      <w:r w:rsidR="00CE1318" w:rsidRPr="00E96B9E">
        <w:rPr>
          <w:sz w:val="24"/>
          <w:szCs w:val="24"/>
        </w:rPr>
        <w:t xml:space="preserve">Consultation Paper 348 </w:t>
      </w:r>
      <w:r w:rsidR="00CE1318" w:rsidRPr="00E96B9E">
        <w:rPr>
          <w:i/>
          <w:iCs/>
          <w:sz w:val="24"/>
          <w:szCs w:val="24"/>
        </w:rPr>
        <w:t xml:space="preserve">Extension of the </w:t>
      </w:r>
      <w:proofErr w:type="spellStart"/>
      <w:r w:rsidR="00CE1318" w:rsidRPr="00E96B9E">
        <w:rPr>
          <w:i/>
          <w:iCs/>
          <w:sz w:val="24"/>
          <w:szCs w:val="24"/>
        </w:rPr>
        <w:t>CFD</w:t>
      </w:r>
      <w:proofErr w:type="spellEnd"/>
      <w:r w:rsidR="00CE1318" w:rsidRPr="00E96B9E">
        <w:rPr>
          <w:i/>
          <w:iCs/>
          <w:sz w:val="24"/>
          <w:szCs w:val="24"/>
        </w:rPr>
        <w:t xml:space="preserve"> Product Intervention Order</w:t>
      </w:r>
      <w:r w:rsidRPr="002731A5">
        <w:rPr>
          <w:sz w:val="24"/>
          <w:szCs w:val="24"/>
        </w:rPr>
        <w:t xml:space="preserve"> (</w:t>
      </w:r>
      <w:r w:rsidRPr="00A55A79">
        <w:rPr>
          <w:b/>
          <w:i/>
          <w:sz w:val="24"/>
          <w:szCs w:val="24"/>
        </w:rPr>
        <w:t xml:space="preserve">CP </w:t>
      </w:r>
      <w:r w:rsidRPr="002164F8">
        <w:rPr>
          <w:b/>
          <w:i/>
          <w:sz w:val="24"/>
          <w:szCs w:val="24"/>
        </w:rPr>
        <w:t>348</w:t>
      </w:r>
      <w:r w:rsidRPr="002164F8">
        <w:rPr>
          <w:sz w:val="24"/>
          <w:szCs w:val="24"/>
        </w:rPr>
        <w:t xml:space="preserve">). In CP 348, ASIC </w:t>
      </w:r>
      <w:r w:rsidR="00A23686" w:rsidRPr="002164F8">
        <w:rPr>
          <w:sz w:val="24"/>
          <w:szCs w:val="24"/>
        </w:rPr>
        <w:t xml:space="preserve">set out its analysis of the impact of the Principal Instrument and </w:t>
      </w:r>
      <w:r w:rsidRPr="002164F8">
        <w:rPr>
          <w:sz w:val="24"/>
          <w:szCs w:val="24"/>
        </w:rPr>
        <w:t xml:space="preserve">proposed to extend </w:t>
      </w:r>
      <w:r w:rsidR="009A1DC3" w:rsidRPr="002164F8">
        <w:rPr>
          <w:sz w:val="24"/>
          <w:szCs w:val="24"/>
        </w:rPr>
        <w:t xml:space="preserve">the </w:t>
      </w:r>
      <w:r w:rsidR="00CE1318" w:rsidRPr="00E96B9E">
        <w:rPr>
          <w:sz w:val="24"/>
          <w:szCs w:val="24"/>
        </w:rPr>
        <w:t>Principal Instrument</w:t>
      </w:r>
      <w:r w:rsidRPr="002164F8">
        <w:rPr>
          <w:sz w:val="24"/>
          <w:szCs w:val="24"/>
        </w:rPr>
        <w:t xml:space="preserve"> until it is revoked or sunsets on 1 April 2031</w:t>
      </w:r>
      <w:r w:rsidR="00DA3321">
        <w:rPr>
          <w:i/>
          <w:iCs/>
          <w:sz w:val="24"/>
          <w:szCs w:val="24"/>
        </w:rPr>
        <w:t xml:space="preserve"> </w:t>
      </w:r>
      <w:r w:rsidRPr="002164F8">
        <w:rPr>
          <w:sz w:val="24"/>
          <w:szCs w:val="24"/>
        </w:rPr>
        <w:t>(</w:t>
      </w:r>
      <w:r w:rsidRPr="002164F8">
        <w:rPr>
          <w:b/>
          <w:i/>
          <w:iCs/>
          <w:sz w:val="24"/>
          <w:szCs w:val="24"/>
        </w:rPr>
        <w:t>CP 348 Extension Proposal</w:t>
      </w:r>
      <w:r w:rsidRPr="002164F8">
        <w:rPr>
          <w:b/>
          <w:sz w:val="24"/>
          <w:szCs w:val="24"/>
        </w:rPr>
        <w:t>).</w:t>
      </w:r>
      <w:r w:rsidR="00DA3321">
        <w:rPr>
          <w:b/>
          <w:sz w:val="24"/>
          <w:szCs w:val="24"/>
        </w:rPr>
        <w:t xml:space="preserve"> </w:t>
      </w:r>
      <w:r w:rsidR="00963EB6">
        <w:rPr>
          <w:bCs/>
          <w:sz w:val="24"/>
          <w:szCs w:val="24"/>
        </w:rPr>
        <w:t xml:space="preserve">CP 348 showed our analysis of significant improvements in </w:t>
      </w:r>
      <w:proofErr w:type="gramStart"/>
      <w:r w:rsidR="00963EB6">
        <w:rPr>
          <w:bCs/>
          <w:sz w:val="24"/>
          <w:szCs w:val="24"/>
        </w:rPr>
        <w:t>a number of</w:t>
      </w:r>
      <w:proofErr w:type="gramEnd"/>
      <w:r w:rsidR="00963EB6">
        <w:rPr>
          <w:bCs/>
          <w:sz w:val="24"/>
          <w:szCs w:val="24"/>
        </w:rPr>
        <w:t xml:space="preserve"> key metrics and indicators of retail client detriment from </w:t>
      </w:r>
      <w:proofErr w:type="spellStart"/>
      <w:r w:rsidR="00963EB6">
        <w:rPr>
          <w:bCs/>
          <w:sz w:val="24"/>
          <w:szCs w:val="24"/>
        </w:rPr>
        <w:t>CFD</w:t>
      </w:r>
      <w:proofErr w:type="spellEnd"/>
      <w:r w:rsidR="00963EB6">
        <w:rPr>
          <w:bCs/>
          <w:sz w:val="24"/>
          <w:szCs w:val="24"/>
        </w:rPr>
        <w:t xml:space="preserve"> trading following the implementation of the </w:t>
      </w:r>
      <w:proofErr w:type="spellStart"/>
      <w:r w:rsidR="00963EB6">
        <w:rPr>
          <w:bCs/>
          <w:sz w:val="24"/>
          <w:szCs w:val="24"/>
        </w:rPr>
        <w:t>CFD</w:t>
      </w:r>
      <w:proofErr w:type="spellEnd"/>
      <w:r w:rsidR="00963EB6">
        <w:rPr>
          <w:bCs/>
          <w:sz w:val="24"/>
          <w:szCs w:val="24"/>
        </w:rPr>
        <w:t xml:space="preserve"> Order. </w:t>
      </w:r>
    </w:p>
    <w:p w14:paraId="16D2BD38" w14:textId="078D82F3" w:rsidR="00356163" w:rsidRDefault="00200F7A" w:rsidP="00356163">
      <w:pPr>
        <w:pStyle w:val="LI-BodyTextParaa"/>
        <w:numPr>
          <w:ilvl w:val="0"/>
          <w:numId w:val="3"/>
        </w:numPr>
      </w:pPr>
      <w:r>
        <w:t xml:space="preserve">Among other things, </w:t>
      </w:r>
      <w:r w:rsidR="00356163">
        <w:t>ASIC sought feedback on:</w:t>
      </w:r>
    </w:p>
    <w:p w14:paraId="028FBFE8" w14:textId="223E46AF" w:rsidR="00356163" w:rsidRDefault="00200F7A" w:rsidP="00356163">
      <w:pPr>
        <w:pStyle w:val="LI-BodyTextParaa"/>
        <w:numPr>
          <w:ilvl w:val="1"/>
          <w:numId w:val="3"/>
        </w:numPr>
      </w:pPr>
      <w:r>
        <w:t>the</w:t>
      </w:r>
      <w:r w:rsidR="00356163">
        <w:t xml:space="preserve"> proposal to </w:t>
      </w:r>
      <w:r>
        <w:t xml:space="preserve">extend the Principal </w:t>
      </w:r>
      <w:proofErr w:type="gramStart"/>
      <w:r>
        <w:t>Instrument;</w:t>
      </w:r>
      <w:proofErr w:type="gramEnd"/>
    </w:p>
    <w:p w14:paraId="2DB1CA56" w14:textId="1AD1ED77" w:rsidR="00356163" w:rsidRDefault="00356163" w:rsidP="00356163">
      <w:pPr>
        <w:pStyle w:val="LI-BodyTextParaa"/>
        <w:numPr>
          <w:ilvl w:val="1"/>
          <w:numId w:val="3"/>
        </w:numPr>
      </w:pPr>
      <w:r>
        <w:t xml:space="preserve">the effectiveness of the Principal Instrument in reducing significant detriment to retail </w:t>
      </w:r>
      <w:proofErr w:type="gramStart"/>
      <w:r>
        <w:t>clients;</w:t>
      </w:r>
      <w:proofErr w:type="gramEnd"/>
    </w:p>
    <w:p w14:paraId="18AC198A" w14:textId="77777777" w:rsidR="00356163" w:rsidRDefault="00356163" w:rsidP="00356163">
      <w:pPr>
        <w:pStyle w:val="LI-BodyTextParaa"/>
        <w:numPr>
          <w:ilvl w:val="1"/>
          <w:numId w:val="3"/>
        </w:numPr>
      </w:pPr>
      <w:r>
        <w:t xml:space="preserve">the impact of the Principal Instrument on retail </w:t>
      </w:r>
      <w:proofErr w:type="gramStart"/>
      <w:r>
        <w:t>clients;</w:t>
      </w:r>
      <w:proofErr w:type="gramEnd"/>
    </w:p>
    <w:p w14:paraId="1D5C83E0" w14:textId="77777777" w:rsidR="00356163" w:rsidRDefault="00356163" w:rsidP="00356163">
      <w:pPr>
        <w:pStyle w:val="LI-BodyTextParaa"/>
        <w:numPr>
          <w:ilvl w:val="1"/>
          <w:numId w:val="3"/>
        </w:numPr>
      </w:pPr>
      <w:r>
        <w:t xml:space="preserve">the impact of the Principal Instrument on the business of </w:t>
      </w:r>
      <w:proofErr w:type="spellStart"/>
      <w:r>
        <w:t>CFD</w:t>
      </w:r>
      <w:proofErr w:type="spellEnd"/>
      <w:r>
        <w:t xml:space="preserve"> </w:t>
      </w:r>
      <w:proofErr w:type="gramStart"/>
      <w:r>
        <w:t>issuers;</w:t>
      </w:r>
      <w:proofErr w:type="gramEnd"/>
    </w:p>
    <w:p w14:paraId="013BD975" w14:textId="5AE554D4" w:rsidR="00356163" w:rsidRDefault="00200F7A" w:rsidP="00356163">
      <w:pPr>
        <w:pStyle w:val="LI-BodyTextParaa"/>
        <w:numPr>
          <w:ilvl w:val="1"/>
          <w:numId w:val="3"/>
        </w:numPr>
      </w:pPr>
      <w:r>
        <w:t>t</w:t>
      </w:r>
      <w:r w:rsidR="00356163">
        <w:t>he effects of the Principal Instrument on competition in the financial system; and</w:t>
      </w:r>
    </w:p>
    <w:p w14:paraId="70121001" w14:textId="2AF43DD5" w:rsidR="00356163" w:rsidRPr="00A01FF4" w:rsidRDefault="00200F7A" w:rsidP="00356163">
      <w:pPr>
        <w:pStyle w:val="LI-BodyTextParaa"/>
        <w:numPr>
          <w:ilvl w:val="1"/>
          <w:numId w:val="3"/>
        </w:numPr>
      </w:pPr>
      <w:r>
        <w:t>t</w:t>
      </w:r>
      <w:r w:rsidR="00356163">
        <w:t xml:space="preserve">he period of the proposed extension of the Principal Instrument. </w:t>
      </w:r>
    </w:p>
    <w:p w14:paraId="2F152B8C" w14:textId="2E9E2A32" w:rsidR="00E96B9E" w:rsidRDefault="00AE7E36" w:rsidP="00AE7E36">
      <w:pPr>
        <w:pStyle w:val="LI-BodyTextParaa"/>
        <w:numPr>
          <w:ilvl w:val="0"/>
          <w:numId w:val="3"/>
        </w:numPr>
      </w:pPr>
      <w:r w:rsidRPr="002164F8">
        <w:t xml:space="preserve">ASIC received </w:t>
      </w:r>
      <w:r w:rsidR="0013623B" w:rsidRPr="002164F8">
        <w:t xml:space="preserve">49 </w:t>
      </w:r>
      <w:r w:rsidRPr="002164F8">
        <w:t>submissions relating to the CP 348</w:t>
      </w:r>
      <w:r w:rsidRPr="002164F8" w:rsidDel="00C351D8">
        <w:t xml:space="preserve"> </w:t>
      </w:r>
      <w:r w:rsidRPr="002164F8">
        <w:t xml:space="preserve">Extension Proposal, including submissions from </w:t>
      </w:r>
      <w:r w:rsidR="00056925" w:rsidRPr="002164F8">
        <w:t>9</w:t>
      </w:r>
      <w:r w:rsidR="003E20D9" w:rsidRPr="002164F8">
        <w:t xml:space="preserve"> </w:t>
      </w:r>
      <w:proofErr w:type="spellStart"/>
      <w:r w:rsidRPr="002164F8">
        <w:t>CFD</w:t>
      </w:r>
      <w:proofErr w:type="spellEnd"/>
      <w:r w:rsidRPr="002164F8">
        <w:t xml:space="preserve"> </w:t>
      </w:r>
      <w:r w:rsidR="002D2670" w:rsidRPr="002164F8">
        <w:t>issuers</w:t>
      </w:r>
      <w:r w:rsidRPr="002164F8">
        <w:t>,</w:t>
      </w:r>
      <w:r w:rsidR="003E20D9" w:rsidRPr="002164F8">
        <w:t xml:space="preserve"> </w:t>
      </w:r>
      <w:r w:rsidR="00056925" w:rsidRPr="002164F8">
        <w:t xml:space="preserve">32 </w:t>
      </w:r>
      <w:proofErr w:type="spellStart"/>
      <w:r w:rsidR="00056925" w:rsidRPr="002164F8">
        <w:t>CFD</w:t>
      </w:r>
      <w:proofErr w:type="spellEnd"/>
      <w:r w:rsidR="00056925" w:rsidRPr="002164F8">
        <w:t xml:space="preserve"> investors, </w:t>
      </w:r>
      <w:r w:rsidR="003E20D9" w:rsidRPr="002164F8">
        <w:t>an</w:t>
      </w:r>
      <w:r w:rsidRPr="002164F8">
        <w:t xml:space="preserve"> industry bod</w:t>
      </w:r>
      <w:r w:rsidR="003E20D9" w:rsidRPr="002164F8">
        <w:t>y</w:t>
      </w:r>
      <w:r w:rsidR="00056925" w:rsidRPr="002164F8">
        <w:t xml:space="preserve"> representing some </w:t>
      </w:r>
      <w:proofErr w:type="spellStart"/>
      <w:r w:rsidR="00056925" w:rsidRPr="002164F8">
        <w:t>CFD</w:t>
      </w:r>
      <w:proofErr w:type="spellEnd"/>
      <w:r w:rsidR="00056925" w:rsidRPr="002164F8">
        <w:t xml:space="preserve"> issuers</w:t>
      </w:r>
      <w:r w:rsidRPr="002164F8">
        <w:t xml:space="preserve">, </w:t>
      </w:r>
      <w:r w:rsidR="00056925" w:rsidRPr="002164F8">
        <w:t>a</w:t>
      </w:r>
      <w:r w:rsidR="003E20D9" w:rsidRPr="002164F8">
        <w:t xml:space="preserve"> </w:t>
      </w:r>
      <w:r w:rsidRPr="002164F8">
        <w:t xml:space="preserve">consumer </w:t>
      </w:r>
      <w:r w:rsidR="00056925" w:rsidRPr="002164F8">
        <w:t>advocate</w:t>
      </w:r>
      <w:r w:rsidR="003E20D9" w:rsidRPr="002164F8">
        <w:t xml:space="preserve">, </w:t>
      </w:r>
      <w:r w:rsidR="00056925" w:rsidRPr="002164F8">
        <w:t>a stockbroker</w:t>
      </w:r>
      <w:r w:rsidR="003E20D9" w:rsidRPr="002164F8">
        <w:t xml:space="preserve"> and </w:t>
      </w:r>
      <w:r w:rsidR="00056925" w:rsidRPr="002164F8">
        <w:t>5 confidential submissions.</w:t>
      </w:r>
      <w:r w:rsidRPr="002164F8">
        <w:t xml:space="preserve"> </w:t>
      </w:r>
    </w:p>
    <w:p w14:paraId="5E7FF50D" w14:textId="77777777" w:rsidR="00200F7A" w:rsidRDefault="00200F7A" w:rsidP="00200F7A">
      <w:pPr>
        <w:pStyle w:val="LI-BodyTextParaa"/>
        <w:numPr>
          <w:ilvl w:val="0"/>
          <w:numId w:val="3"/>
        </w:numPr>
      </w:pPr>
      <w:r>
        <w:t>Most respondents did not support our proposal to extend the Principal Instrument, mainly opposing the leverage ratio limits in the Principal Instrument. Many suggested that the leverage ratio limits be removed, increased or that experienced retail investors be permitted to trade at higher leverage ratio limits. However, most respondents were supportive of the other measures in the Principal Instrument.</w:t>
      </w:r>
    </w:p>
    <w:p w14:paraId="6DE8E5FC" w14:textId="04C584CD" w:rsidR="00200F7A" w:rsidRDefault="00952BAA" w:rsidP="00200F7A">
      <w:pPr>
        <w:pStyle w:val="LI-BodyTextParaa"/>
        <w:numPr>
          <w:ilvl w:val="0"/>
          <w:numId w:val="3"/>
        </w:numPr>
      </w:pPr>
      <w:r>
        <w:t xml:space="preserve">Three </w:t>
      </w:r>
      <w:proofErr w:type="spellStart"/>
      <w:r w:rsidR="00200F7A">
        <w:t>CFD</w:t>
      </w:r>
      <w:proofErr w:type="spellEnd"/>
      <w:r w:rsidR="00200F7A">
        <w:t xml:space="preserve"> issuers supported extending the </w:t>
      </w:r>
      <w:proofErr w:type="spellStart"/>
      <w:r w:rsidR="00200F7A">
        <w:t>CFD</w:t>
      </w:r>
      <w:proofErr w:type="spellEnd"/>
      <w:r w:rsidR="00200F7A">
        <w:t xml:space="preserve"> Order, indicat</w:t>
      </w:r>
      <w:r w:rsidR="00F04517">
        <w:t>ing</w:t>
      </w:r>
      <w:r w:rsidR="00200F7A">
        <w:t xml:space="preserve"> it would provide regulatory certainty for the industry and clients. One </w:t>
      </w:r>
      <w:proofErr w:type="spellStart"/>
      <w:r w:rsidR="00200F7A">
        <w:t>CFD</w:t>
      </w:r>
      <w:proofErr w:type="spellEnd"/>
      <w:r w:rsidR="00200F7A">
        <w:t xml:space="preserve"> issuer noted that they have conducted an analysis demonstrating that higher leverage was not good for retail clients.</w:t>
      </w:r>
    </w:p>
    <w:p w14:paraId="1ACBF4D4" w14:textId="5F259BB9" w:rsidR="00200F7A" w:rsidRDefault="00200F7A" w:rsidP="00200F7A">
      <w:pPr>
        <w:pStyle w:val="LI-BodyTextParaa"/>
        <w:numPr>
          <w:ilvl w:val="0"/>
          <w:numId w:val="3"/>
        </w:numPr>
      </w:pPr>
      <w:r>
        <w:t xml:space="preserve">A consumer advocate, CHOICE, strongly supported the </w:t>
      </w:r>
      <w:proofErr w:type="spellStart"/>
      <w:r>
        <w:t>CFD</w:t>
      </w:r>
      <w:proofErr w:type="spellEnd"/>
      <w:r>
        <w:t xml:space="preserve"> Order being extended. CHOICE and a stockbroker further recommend that the sale of </w:t>
      </w:r>
      <w:proofErr w:type="spellStart"/>
      <w:r>
        <w:t>CFDs</w:t>
      </w:r>
      <w:proofErr w:type="spellEnd"/>
      <w:r>
        <w:t xml:space="preserve"> to retail clients be banned. </w:t>
      </w:r>
      <w:r w:rsidR="00952BAA">
        <w:t xml:space="preserve">Three of the five confidential submissions supported extending the </w:t>
      </w:r>
      <w:proofErr w:type="spellStart"/>
      <w:r w:rsidR="00952BAA">
        <w:t>CFD</w:t>
      </w:r>
      <w:proofErr w:type="spellEnd"/>
      <w:r w:rsidR="00952BAA">
        <w:t xml:space="preserve"> Order.</w:t>
      </w:r>
    </w:p>
    <w:p w14:paraId="49B75DFF" w14:textId="723DE770" w:rsidR="00CE1318" w:rsidRDefault="008E04BE" w:rsidP="00A01FF4">
      <w:pPr>
        <w:pStyle w:val="LI-BodyTextParaa"/>
        <w:numPr>
          <w:ilvl w:val="0"/>
          <w:numId w:val="3"/>
        </w:numPr>
      </w:pPr>
      <w:bookmarkStart w:id="6" w:name="_Hlk96003503"/>
      <w:r>
        <w:lastRenderedPageBreak/>
        <w:t xml:space="preserve">The </w:t>
      </w:r>
      <w:r w:rsidRPr="008E04BE">
        <w:t xml:space="preserve">submissions </w:t>
      </w:r>
      <w:r w:rsidR="00CE1318">
        <w:t xml:space="preserve">to CP 348 </w:t>
      </w:r>
      <w:r w:rsidRPr="008E04BE">
        <w:t xml:space="preserve">are publicly available on ASIC’s website, excluding confidential submissions. </w:t>
      </w:r>
    </w:p>
    <w:p w14:paraId="37D1CE78" w14:textId="6AB2DCF2" w:rsidR="00FE4E33" w:rsidRDefault="00CE1318" w:rsidP="00DB74EA">
      <w:pPr>
        <w:pStyle w:val="LI-BodyTextParaa"/>
        <w:numPr>
          <w:ilvl w:val="0"/>
          <w:numId w:val="3"/>
        </w:numPr>
      </w:pPr>
      <w:r w:rsidRPr="007B570C">
        <w:t xml:space="preserve">The </w:t>
      </w:r>
      <w:r w:rsidR="00A23686">
        <w:t>feedback</w:t>
      </w:r>
      <w:r w:rsidRPr="007B570C">
        <w:t xml:space="preserve"> to CP </w:t>
      </w:r>
      <w:r>
        <w:t>348</w:t>
      </w:r>
      <w:r w:rsidRPr="007B570C">
        <w:t xml:space="preserve"> </w:t>
      </w:r>
      <w:r w:rsidR="00A23686">
        <w:t>was</w:t>
      </w:r>
      <w:r w:rsidRPr="007B570C">
        <w:t xml:space="preserve"> </w:t>
      </w:r>
      <w:proofErr w:type="gramStart"/>
      <w:r>
        <w:t>taken into account</w:t>
      </w:r>
      <w:proofErr w:type="gramEnd"/>
      <w:r>
        <w:t xml:space="preserve"> when making the instrument</w:t>
      </w:r>
      <w:r w:rsidR="009B2582">
        <w:t xml:space="preserve">. Having considered the </w:t>
      </w:r>
      <w:r w:rsidR="00A23686">
        <w:t>consultation feedback</w:t>
      </w:r>
      <w:r w:rsidR="009B2582">
        <w:t xml:space="preserve"> and </w:t>
      </w:r>
      <w:r w:rsidR="00FB700C">
        <w:t xml:space="preserve">having analysed </w:t>
      </w:r>
      <w:r w:rsidR="00200F7A">
        <w:t xml:space="preserve">data from more than 60 </w:t>
      </w:r>
      <w:proofErr w:type="spellStart"/>
      <w:r w:rsidR="00200F7A">
        <w:t>CFD</w:t>
      </w:r>
      <w:proofErr w:type="spellEnd"/>
      <w:r w:rsidR="00200F7A">
        <w:t xml:space="preserve"> issuers to assess </w:t>
      </w:r>
      <w:r w:rsidR="00FB700C">
        <w:t>the impact of Principal Instrument</w:t>
      </w:r>
      <w:r w:rsidR="00A23686">
        <w:t>,</w:t>
      </w:r>
      <w:r w:rsidR="009B2582">
        <w:t xml:space="preserve"> ASIC </w:t>
      </w:r>
      <w:r w:rsidR="00152621">
        <w:t xml:space="preserve">is satisfied </w:t>
      </w:r>
      <w:r w:rsidR="009B2582">
        <w:t xml:space="preserve">that the Principal Instrument is operating efficiently and effectively and that it </w:t>
      </w:r>
      <w:r w:rsidR="00152621">
        <w:t xml:space="preserve">is appropriate to </w:t>
      </w:r>
      <w:r w:rsidR="009B2582">
        <w:t xml:space="preserve">declare under subsection 1023H(1) that the Principal Instrument remains in force </w:t>
      </w:r>
      <w:r w:rsidR="00152621">
        <w:t>for the period ending at the end of 2</w:t>
      </w:r>
      <w:r w:rsidR="00367A37">
        <w:t>3</w:t>
      </w:r>
      <w:r w:rsidR="00152621">
        <w:t xml:space="preserve"> May 2027, unless it is revoked earlier</w:t>
      </w:r>
      <w:r w:rsidR="00E62147">
        <w:t xml:space="preserve">. </w:t>
      </w:r>
      <w:r w:rsidR="00DA3321">
        <w:t xml:space="preserve"> </w:t>
      </w:r>
      <w:r w:rsidR="00581575">
        <w:t xml:space="preserve">Further details </w:t>
      </w:r>
      <w:r w:rsidR="00200F7A">
        <w:t xml:space="preserve">of </w:t>
      </w:r>
      <w:r w:rsidR="00D953CD">
        <w:t>ASIC’s analysis</w:t>
      </w:r>
      <w:r w:rsidR="00581575">
        <w:t xml:space="preserve"> and </w:t>
      </w:r>
      <w:r>
        <w:t xml:space="preserve">its </w:t>
      </w:r>
      <w:r w:rsidR="00581575">
        <w:t xml:space="preserve">response to the submissions are published in Report </w:t>
      </w:r>
      <w:r w:rsidR="008877F1">
        <w:t>724:</w:t>
      </w:r>
      <w:r w:rsidR="00581575">
        <w:t xml:space="preserve"> </w:t>
      </w:r>
      <w:r w:rsidR="00581575" w:rsidRPr="00DB74EA">
        <w:rPr>
          <w:i/>
          <w:iCs/>
        </w:rPr>
        <w:t xml:space="preserve">Response to submissions on CP 348 Extension of the </w:t>
      </w:r>
      <w:proofErr w:type="spellStart"/>
      <w:r w:rsidR="00581575" w:rsidRPr="00DB74EA">
        <w:rPr>
          <w:i/>
          <w:iCs/>
        </w:rPr>
        <w:t>CFD</w:t>
      </w:r>
      <w:proofErr w:type="spellEnd"/>
      <w:r w:rsidR="00581575" w:rsidRPr="00DB74EA">
        <w:rPr>
          <w:i/>
          <w:iCs/>
        </w:rPr>
        <w:t xml:space="preserve"> product intervention order. </w:t>
      </w:r>
      <w:r w:rsidR="00581575">
        <w:t xml:space="preserve"> </w:t>
      </w:r>
    </w:p>
    <w:bookmarkEnd w:id="6"/>
    <w:p w14:paraId="1AF5AD40" w14:textId="77777777" w:rsidR="00FE3851" w:rsidRPr="00B11C7D" w:rsidRDefault="00FE3851" w:rsidP="00FE3851">
      <w:pPr>
        <w:spacing w:before="240" w:after="0"/>
        <w:rPr>
          <w:b/>
          <w:i/>
          <w:sz w:val="24"/>
          <w:szCs w:val="24"/>
        </w:rPr>
      </w:pPr>
      <w:r>
        <w:rPr>
          <w:b/>
          <w:i/>
          <w:sz w:val="24"/>
          <w:szCs w:val="24"/>
        </w:rPr>
        <w:t>Estimate of regulatory compliance burden</w:t>
      </w:r>
    </w:p>
    <w:p w14:paraId="5E0424A0" w14:textId="77777777" w:rsidR="00FE3851" w:rsidRPr="00E96B9E" w:rsidRDefault="00FE3851" w:rsidP="005D412C">
      <w:pPr>
        <w:pStyle w:val="ListParagraph"/>
        <w:numPr>
          <w:ilvl w:val="0"/>
          <w:numId w:val="3"/>
        </w:numPr>
        <w:spacing w:before="240" w:after="0"/>
        <w:rPr>
          <w:sz w:val="24"/>
          <w:szCs w:val="24"/>
        </w:rPr>
      </w:pPr>
      <w:r w:rsidRPr="005D412C">
        <w:rPr>
          <w:sz w:val="24"/>
          <w:szCs w:val="24"/>
        </w:rPr>
        <w:t>ASIC has reviewed and assessed the performance of the Principal Instrument and found that it is achieving its objectives effectively and efficiently and that therefore a Regulatory Impact Statement is not required for this instrument to be extended (OBPR22-01709)</w:t>
      </w:r>
      <w:r w:rsidRPr="00E96B9E">
        <w:rPr>
          <w:sz w:val="24"/>
          <w:szCs w:val="24"/>
        </w:rPr>
        <w:t>.</w:t>
      </w:r>
    </w:p>
    <w:p w14:paraId="789DE50C" w14:textId="28830731" w:rsidR="00054C4D" w:rsidRPr="00054C4D" w:rsidRDefault="00054C4D" w:rsidP="00054C4D">
      <w:pPr>
        <w:spacing w:before="240" w:after="0"/>
        <w:rPr>
          <w:b/>
          <w:sz w:val="24"/>
          <w:szCs w:val="24"/>
        </w:rPr>
      </w:pPr>
      <w:r>
        <w:rPr>
          <w:b/>
          <w:sz w:val="24"/>
          <w:szCs w:val="24"/>
        </w:rPr>
        <w:t>Legislative authority</w:t>
      </w:r>
    </w:p>
    <w:bookmarkEnd w:id="1"/>
    <w:p w14:paraId="225DC97B" w14:textId="028B8575" w:rsidR="00054C4D" w:rsidRDefault="00054C4D" w:rsidP="00C10C75">
      <w:pPr>
        <w:pStyle w:val="ListParagraph"/>
        <w:numPr>
          <w:ilvl w:val="0"/>
          <w:numId w:val="3"/>
        </w:numPr>
        <w:spacing w:before="240" w:after="0"/>
        <w:rPr>
          <w:sz w:val="24"/>
          <w:szCs w:val="24"/>
        </w:rPr>
      </w:pPr>
      <w:r w:rsidRPr="00054C4D">
        <w:rPr>
          <w:sz w:val="24"/>
          <w:szCs w:val="24"/>
        </w:rPr>
        <w:t>The instrument is made under subsection 1023</w:t>
      </w:r>
      <w:r w:rsidR="00802495">
        <w:rPr>
          <w:sz w:val="24"/>
          <w:szCs w:val="24"/>
        </w:rPr>
        <w:t>H</w:t>
      </w:r>
      <w:r w:rsidRPr="00054C4D">
        <w:rPr>
          <w:sz w:val="24"/>
          <w:szCs w:val="24"/>
        </w:rPr>
        <w:t>(</w:t>
      </w:r>
      <w:r w:rsidR="00802495">
        <w:rPr>
          <w:sz w:val="24"/>
          <w:szCs w:val="24"/>
        </w:rPr>
        <w:t>1</w:t>
      </w:r>
      <w:r w:rsidRPr="00054C4D">
        <w:rPr>
          <w:sz w:val="24"/>
          <w:szCs w:val="24"/>
        </w:rPr>
        <w:t>) of the</w:t>
      </w:r>
      <w:r w:rsidR="00F370BD">
        <w:rPr>
          <w:sz w:val="24"/>
          <w:szCs w:val="24"/>
        </w:rPr>
        <w:t xml:space="preserve"> Act</w:t>
      </w:r>
      <w:r w:rsidRPr="00054C4D">
        <w:rPr>
          <w:sz w:val="24"/>
          <w:szCs w:val="24"/>
        </w:rPr>
        <w:t xml:space="preserve">. </w:t>
      </w:r>
    </w:p>
    <w:p w14:paraId="1A91893F" w14:textId="77777777" w:rsidR="00B76B44" w:rsidRPr="00054C4D" w:rsidRDefault="00B76B44" w:rsidP="00B76B44">
      <w:pPr>
        <w:pStyle w:val="ListParagraph"/>
        <w:spacing w:before="240" w:after="0"/>
        <w:rPr>
          <w:sz w:val="24"/>
          <w:szCs w:val="24"/>
        </w:rPr>
      </w:pPr>
    </w:p>
    <w:p w14:paraId="4A2220C5" w14:textId="58CF253A" w:rsidR="00C31157" w:rsidRPr="00C31157" w:rsidRDefault="008877F1" w:rsidP="00C31157">
      <w:pPr>
        <w:pStyle w:val="ListParagraph"/>
        <w:numPr>
          <w:ilvl w:val="0"/>
          <w:numId w:val="3"/>
        </w:numPr>
        <w:spacing w:before="240" w:after="0"/>
        <w:rPr>
          <w:sz w:val="24"/>
          <w:szCs w:val="24"/>
        </w:rPr>
      </w:pPr>
      <w:r w:rsidRPr="00A55A79">
        <w:rPr>
          <w:sz w:val="24"/>
          <w:szCs w:val="24"/>
        </w:rPr>
        <w:t xml:space="preserve">ASIC may, at any time before </w:t>
      </w:r>
      <w:r>
        <w:rPr>
          <w:sz w:val="24"/>
          <w:szCs w:val="24"/>
        </w:rPr>
        <w:t xml:space="preserve">a product intervention </w:t>
      </w:r>
      <w:r w:rsidRPr="00A55A79">
        <w:rPr>
          <w:sz w:val="24"/>
          <w:szCs w:val="24"/>
        </w:rPr>
        <w:t xml:space="preserve">order ceases to be in force, give the Minister a report on whether the declaration should be made. After considering the report, the Minister may give an approval in writing for the purposes of subsection </w:t>
      </w:r>
      <w:r>
        <w:rPr>
          <w:sz w:val="24"/>
          <w:szCs w:val="24"/>
        </w:rPr>
        <w:t>1023H</w:t>
      </w:r>
      <w:r w:rsidRPr="00A55A79">
        <w:rPr>
          <w:sz w:val="24"/>
          <w:szCs w:val="24"/>
        </w:rPr>
        <w:t>(1)</w:t>
      </w:r>
      <w:r w:rsidR="00C31157">
        <w:rPr>
          <w:sz w:val="24"/>
          <w:szCs w:val="24"/>
        </w:rPr>
        <w:t xml:space="preserve"> of the Act</w:t>
      </w:r>
      <w:r w:rsidRPr="00A55A79">
        <w:rPr>
          <w:sz w:val="24"/>
          <w:szCs w:val="24"/>
        </w:rPr>
        <w:t>.</w:t>
      </w:r>
    </w:p>
    <w:p w14:paraId="725BD0D8" w14:textId="77777777" w:rsidR="00C31157" w:rsidRDefault="00C31157" w:rsidP="00C31157">
      <w:pPr>
        <w:pStyle w:val="LI-BodyTextParaa"/>
        <w:numPr>
          <w:ilvl w:val="0"/>
          <w:numId w:val="3"/>
        </w:numPr>
      </w:pPr>
      <w:r>
        <w:t xml:space="preserve">Before ASIC made the instrument, ASIC provided a report to the Minister under s1023H(3) of the Act on whether the instrument should be made. The Minister gave his written approval under subsection 1023H(4) of the Act for ASIC to make the instrument. </w:t>
      </w:r>
    </w:p>
    <w:p w14:paraId="37508CB1" w14:textId="7F7F1A55" w:rsidR="00B76B44" w:rsidRDefault="00054C4D" w:rsidP="00C10C75">
      <w:pPr>
        <w:pStyle w:val="ListParagraph"/>
        <w:numPr>
          <w:ilvl w:val="0"/>
          <w:numId w:val="3"/>
        </w:numPr>
        <w:spacing w:before="240" w:after="0"/>
        <w:rPr>
          <w:sz w:val="24"/>
          <w:szCs w:val="24"/>
        </w:rPr>
      </w:pPr>
      <w:r w:rsidRPr="00054C4D">
        <w:rPr>
          <w:sz w:val="24"/>
          <w:szCs w:val="24"/>
        </w:rPr>
        <w:t>Under subsection 1023</w:t>
      </w:r>
      <w:r w:rsidR="00802495">
        <w:rPr>
          <w:sz w:val="24"/>
          <w:szCs w:val="24"/>
        </w:rPr>
        <w:t>H</w:t>
      </w:r>
      <w:r w:rsidRPr="00054C4D">
        <w:rPr>
          <w:sz w:val="24"/>
          <w:szCs w:val="24"/>
        </w:rPr>
        <w:t>(</w:t>
      </w:r>
      <w:r w:rsidR="00802495">
        <w:rPr>
          <w:sz w:val="24"/>
          <w:szCs w:val="24"/>
        </w:rPr>
        <w:t>1)</w:t>
      </w:r>
      <w:r w:rsidRPr="00054C4D">
        <w:rPr>
          <w:sz w:val="24"/>
          <w:szCs w:val="24"/>
        </w:rPr>
        <w:t xml:space="preserve"> of the Act, </w:t>
      </w:r>
      <w:r w:rsidR="00C44872" w:rsidRPr="00C44872">
        <w:rPr>
          <w:sz w:val="24"/>
          <w:szCs w:val="24"/>
        </w:rPr>
        <w:t>ASIC may, in accordance with an approval under subsection (4), by legislative instrument, declare that a product intervention order that is in force</w:t>
      </w:r>
      <w:r w:rsidRPr="00054C4D">
        <w:rPr>
          <w:sz w:val="24"/>
          <w:szCs w:val="24"/>
        </w:rPr>
        <w:t>:</w:t>
      </w:r>
    </w:p>
    <w:p w14:paraId="1C638775" w14:textId="77777777" w:rsidR="00B76B44" w:rsidRPr="00B76B44" w:rsidRDefault="00B76B44" w:rsidP="00B76B44">
      <w:pPr>
        <w:pStyle w:val="ListParagraph"/>
        <w:spacing w:before="240" w:after="0"/>
        <w:rPr>
          <w:sz w:val="24"/>
          <w:szCs w:val="24"/>
        </w:rPr>
      </w:pPr>
    </w:p>
    <w:p w14:paraId="47EB79BC" w14:textId="6251B2C9" w:rsidR="00054C4D" w:rsidRDefault="00C44872" w:rsidP="00C10C75">
      <w:pPr>
        <w:pStyle w:val="ListParagraph"/>
        <w:numPr>
          <w:ilvl w:val="1"/>
          <w:numId w:val="3"/>
        </w:numPr>
        <w:spacing w:before="240" w:after="0"/>
        <w:rPr>
          <w:sz w:val="24"/>
          <w:szCs w:val="24"/>
        </w:rPr>
      </w:pPr>
      <w:r w:rsidRPr="00C44872">
        <w:rPr>
          <w:sz w:val="24"/>
          <w:szCs w:val="24"/>
        </w:rPr>
        <w:t>remains in force until it is revoked</w:t>
      </w:r>
      <w:r w:rsidR="00054C4D" w:rsidRPr="00054C4D">
        <w:rPr>
          <w:sz w:val="24"/>
          <w:szCs w:val="24"/>
        </w:rPr>
        <w:t xml:space="preserve">; </w:t>
      </w:r>
      <w:r>
        <w:rPr>
          <w:sz w:val="24"/>
          <w:szCs w:val="24"/>
        </w:rPr>
        <w:t>or</w:t>
      </w:r>
    </w:p>
    <w:p w14:paraId="3714FBF1" w14:textId="77777777" w:rsidR="00B76B44" w:rsidRPr="00054C4D" w:rsidRDefault="00B76B44" w:rsidP="00B76B44">
      <w:pPr>
        <w:pStyle w:val="ListParagraph"/>
        <w:spacing w:before="240" w:after="0"/>
        <w:ind w:left="1440"/>
        <w:rPr>
          <w:sz w:val="24"/>
          <w:szCs w:val="24"/>
        </w:rPr>
      </w:pPr>
    </w:p>
    <w:p w14:paraId="5CB7AE8C" w14:textId="3397A136" w:rsidR="00382C57" w:rsidRDefault="00C44872" w:rsidP="00382C57">
      <w:pPr>
        <w:pStyle w:val="ListParagraph"/>
        <w:numPr>
          <w:ilvl w:val="1"/>
          <w:numId w:val="3"/>
        </w:numPr>
        <w:spacing w:before="240" w:after="0"/>
        <w:rPr>
          <w:sz w:val="24"/>
          <w:szCs w:val="24"/>
        </w:rPr>
      </w:pPr>
      <w:r w:rsidRPr="00C44872">
        <w:rPr>
          <w:sz w:val="24"/>
          <w:szCs w:val="24"/>
        </w:rPr>
        <w:t xml:space="preserve">remains in force for a specified </w:t>
      </w:r>
      <w:proofErr w:type="gramStart"/>
      <w:r w:rsidRPr="00C44872">
        <w:rPr>
          <w:sz w:val="24"/>
          <w:szCs w:val="24"/>
        </w:rPr>
        <w:t>period, unless</w:t>
      </w:r>
      <w:proofErr w:type="gramEnd"/>
      <w:r w:rsidRPr="00C44872">
        <w:rPr>
          <w:sz w:val="24"/>
          <w:szCs w:val="24"/>
        </w:rPr>
        <w:t xml:space="preserve"> it is revoked earlier</w:t>
      </w:r>
      <w:r w:rsidR="00382C57">
        <w:rPr>
          <w:sz w:val="24"/>
          <w:szCs w:val="24"/>
        </w:rPr>
        <w:t>.</w:t>
      </w:r>
    </w:p>
    <w:p w14:paraId="61D9B2B8" w14:textId="77777777" w:rsidR="00382C57" w:rsidRDefault="00382C57" w:rsidP="00056925">
      <w:pPr>
        <w:pStyle w:val="ListParagraph"/>
        <w:spacing w:before="240" w:after="0"/>
        <w:ind w:left="360"/>
        <w:rPr>
          <w:sz w:val="24"/>
          <w:szCs w:val="24"/>
        </w:rPr>
      </w:pPr>
    </w:p>
    <w:p w14:paraId="1645C7B1" w14:textId="5474AB1D" w:rsidR="00442274" w:rsidRPr="00C31157" w:rsidRDefault="00C44872" w:rsidP="00C31157">
      <w:pPr>
        <w:pStyle w:val="ListParagraph"/>
        <w:numPr>
          <w:ilvl w:val="0"/>
          <w:numId w:val="3"/>
        </w:numPr>
        <w:spacing w:before="240" w:after="0"/>
        <w:rPr>
          <w:sz w:val="24"/>
          <w:szCs w:val="24"/>
        </w:rPr>
      </w:pPr>
      <w:r w:rsidRPr="00A55A79">
        <w:rPr>
          <w:sz w:val="24"/>
          <w:szCs w:val="24"/>
        </w:rPr>
        <w:t>A declaration under this subsection has the effect of overriding any provisions in a product intervention order about the duration of the order: see subsection 1023G(3).</w:t>
      </w:r>
    </w:p>
    <w:p w14:paraId="021F7DA1" w14:textId="77777777" w:rsidR="00C31157" w:rsidRDefault="00C31157" w:rsidP="00C31157">
      <w:pPr>
        <w:pStyle w:val="ListParagraph"/>
        <w:spacing w:before="240" w:after="0"/>
        <w:ind w:left="360"/>
        <w:rPr>
          <w:sz w:val="24"/>
          <w:szCs w:val="24"/>
        </w:rPr>
      </w:pPr>
    </w:p>
    <w:p w14:paraId="4C14CD94" w14:textId="1D272768" w:rsidR="00054C4D" w:rsidRDefault="00054C4D" w:rsidP="00C10C75">
      <w:pPr>
        <w:pStyle w:val="ListParagraph"/>
        <w:numPr>
          <w:ilvl w:val="0"/>
          <w:numId w:val="3"/>
        </w:numPr>
        <w:spacing w:before="240" w:after="0"/>
        <w:rPr>
          <w:sz w:val="24"/>
          <w:szCs w:val="24"/>
        </w:rPr>
      </w:pPr>
      <w:r w:rsidRPr="00054C4D">
        <w:rPr>
          <w:sz w:val="24"/>
          <w:szCs w:val="24"/>
        </w:rPr>
        <w:t xml:space="preserve">The instrument is a disallowable legislative instrument. </w:t>
      </w:r>
    </w:p>
    <w:p w14:paraId="4410330C" w14:textId="77777777" w:rsidR="00A3304C" w:rsidRPr="00A3304C" w:rsidRDefault="00A3304C" w:rsidP="00A3304C">
      <w:pPr>
        <w:pStyle w:val="ListParagraph"/>
        <w:rPr>
          <w:sz w:val="24"/>
          <w:szCs w:val="24"/>
        </w:rPr>
      </w:pPr>
    </w:p>
    <w:p w14:paraId="333BEB66" w14:textId="499B2B13" w:rsidR="00B57DE1" w:rsidRDefault="00B57DE1" w:rsidP="00B57DE1">
      <w:pPr>
        <w:pStyle w:val="LI-BodyTextNumbered"/>
        <w:keepNext/>
        <w:ind w:hanging="1134"/>
        <w:rPr>
          <w:b/>
        </w:rPr>
      </w:pPr>
      <w:r w:rsidRPr="00E46579">
        <w:rPr>
          <w:b/>
        </w:rPr>
        <w:lastRenderedPageBreak/>
        <w:t>Operation of the instrument</w:t>
      </w:r>
    </w:p>
    <w:p w14:paraId="60D066F2" w14:textId="5C703162" w:rsidR="00B57DE1" w:rsidRPr="00B57DE1" w:rsidRDefault="00B57DE1" w:rsidP="00B57DE1">
      <w:pPr>
        <w:pStyle w:val="LI-BodyTextNumbered"/>
        <w:keepNext/>
        <w:ind w:hanging="1134"/>
        <w:rPr>
          <w:b/>
          <w:i/>
        </w:rPr>
      </w:pPr>
      <w:r>
        <w:rPr>
          <w:b/>
          <w:i/>
        </w:rPr>
        <w:t>Name</w:t>
      </w:r>
    </w:p>
    <w:p w14:paraId="3E45C784" w14:textId="2204D462" w:rsidR="00B57DE1" w:rsidRPr="00B57DE1" w:rsidRDefault="00B57DE1" w:rsidP="00C10C75">
      <w:pPr>
        <w:pStyle w:val="ListParagraph"/>
        <w:numPr>
          <w:ilvl w:val="0"/>
          <w:numId w:val="3"/>
        </w:numPr>
        <w:spacing w:before="240" w:after="0"/>
        <w:rPr>
          <w:sz w:val="24"/>
          <w:szCs w:val="24"/>
        </w:rPr>
      </w:pPr>
      <w:r>
        <w:rPr>
          <w:sz w:val="24"/>
          <w:szCs w:val="24"/>
        </w:rPr>
        <w:t xml:space="preserve">Section 1 of the instrument provides that the </w:t>
      </w:r>
      <w:r w:rsidRPr="00020F5A">
        <w:rPr>
          <w:sz w:val="24"/>
          <w:szCs w:val="24"/>
        </w:rPr>
        <w:t xml:space="preserve">instrument is the </w:t>
      </w:r>
      <w:r w:rsidRPr="00020F5A">
        <w:rPr>
          <w:i/>
          <w:sz w:val="24"/>
          <w:szCs w:val="24"/>
        </w:rPr>
        <w:t xml:space="preserve">ASIC Corporations </w:t>
      </w:r>
      <w:r w:rsidR="00B73BE8" w:rsidRPr="00020F5A">
        <w:rPr>
          <w:rFonts w:eastAsia="Calibri"/>
          <w:i/>
          <w:sz w:val="24"/>
          <w:szCs w:val="24"/>
        </w:rPr>
        <w:t xml:space="preserve">(Product Intervention Order Extension - </w:t>
      </w:r>
      <w:r w:rsidR="00B73BE8" w:rsidRPr="00020F5A">
        <w:rPr>
          <w:i/>
        </w:rPr>
        <w:t>Contracts for Difference</w:t>
      </w:r>
      <w:r w:rsidR="00B73BE8" w:rsidRPr="00020F5A">
        <w:t xml:space="preserve"> </w:t>
      </w:r>
      <w:r w:rsidR="00B73BE8" w:rsidRPr="00020F5A">
        <w:rPr>
          <w:rFonts w:eastAsia="Calibri"/>
          <w:i/>
          <w:sz w:val="24"/>
          <w:szCs w:val="24"/>
        </w:rPr>
        <w:t>)</w:t>
      </w:r>
      <w:r w:rsidR="00B73BE8" w:rsidRPr="00020F5A">
        <w:rPr>
          <w:rFonts w:eastAsia="Calibri"/>
          <w:b/>
          <w:i/>
          <w:sz w:val="24"/>
          <w:szCs w:val="24"/>
        </w:rPr>
        <w:t xml:space="preserve"> </w:t>
      </w:r>
      <w:r w:rsidRPr="00020F5A">
        <w:rPr>
          <w:i/>
          <w:sz w:val="24"/>
          <w:szCs w:val="24"/>
        </w:rPr>
        <w:t>Instrument 202</w:t>
      </w:r>
      <w:r w:rsidR="00F370BD" w:rsidRPr="00020F5A">
        <w:rPr>
          <w:i/>
          <w:sz w:val="24"/>
          <w:szCs w:val="24"/>
        </w:rPr>
        <w:t>2</w:t>
      </w:r>
      <w:r w:rsidR="0055436A" w:rsidRPr="00020F5A">
        <w:rPr>
          <w:i/>
          <w:sz w:val="24"/>
          <w:szCs w:val="24"/>
        </w:rPr>
        <w:t>/</w:t>
      </w:r>
      <w:r w:rsidR="00020F5A" w:rsidRPr="00020F5A">
        <w:rPr>
          <w:i/>
          <w:sz w:val="24"/>
          <w:szCs w:val="24"/>
        </w:rPr>
        <w:t>259</w:t>
      </w:r>
      <w:r w:rsidR="00493349" w:rsidRPr="00020F5A">
        <w:rPr>
          <w:iCs/>
          <w:sz w:val="24"/>
          <w:szCs w:val="24"/>
        </w:rPr>
        <w:t>.</w:t>
      </w:r>
    </w:p>
    <w:p w14:paraId="2C1C41E6" w14:textId="1CA68159" w:rsidR="00B57DE1" w:rsidRPr="00B57DE1" w:rsidRDefault="00B57DE1" w:rsidP="00B57DE1">
      <w:pPr>
        <w:pStyle w:val="LI-BodyTextNumbered"/>
        <w:keepNext/>
        <w:ind w:hanging="1134"/>
        <w:rPr>
          <w:b/>
          <w:i/>
        </w:rPr>
      </w:pPr>
      <w:r>
        <w:rPr>
          <w:b/>
          <w:i/>
        </w:rPr>
        <w:t>Commencement</w:t>
      </w:r>
    </w:p>
    <w:p w14:paraId="03D8D6A1" w14:textId="71637A83" w:rsidR="00D75D38" w:rsidRPr="00D75D38" w:rsidRDefault="009510C3" w:rsidP="00C10C75">
      <w:pPr>
        <w:pStyle w:val="ListParagraph"/>
        <w:numPr>
          <w:ilvl w:val="0"/>
          <w:numId w:val="3"/>
        </w:numPr>
        <w:spacing w:before="240" w:after="0"/>
        <w:rPr>
          <w:i/>
          <w:sz w:val="24"/>
          <w:szCs w:val="24"/>
        </w:rPr>
      </w:pPr>
      <w:r>
        <w:rPr>
          <w:sz w:val="24"/>
          <w:szCs w:val="24"/>
        </w:rPr>
        <w:t xml:space="preserve">Section 2 of the instrument provides that the instrument </w:t>
      </w:r>
      <w:r w:rsidRPr="009C59C9">
        <w:rPr>
          <w:sz w:val="24"/>
          <w:szCs w:val="24"/>
        </w:rPr>
        <w:t xml:space="preserve">commences on the day after </w:t>
      </w:r>
      <w:r w:rsidR="00D75D38" w:rsidRPr="00D75D38">
        <w:rPr>
          <w:sz w:val="24"/>
          <w:szCs w:val="24"/>
        </w:rPr>
        <w:t>it is registered on the Federal Register of Legislation.</w:t>
      </w:r>
    </w:p>
    <w:p w14:paraId="4BD8E3E4" w14:textId="77777777" w:rsidR="0032677D" w:rsidRPr="009510C3" w:rsidRDefault="0032677D" w:rsidP="0032677D">
      <w:pPr>
        <w:pStyle w:val="LI-BodyTextNumbered"/>
        <w:keepNext/>
        <w:ind w:hanging="1134"/>
        <w:rPr>
          <w:b/>
          <w:i/>
        </w:rPr>
      </w:pPr>
      <w:r>
        <w:rPr>
          <w:b/>
          <w:i/>
        </w:rPr>
        <w:t xml:space="preserve">Authority </w:t>
      </w:r>
    </w:p>
    <w:p w14:paraId="5AAB75D2" w14:textId="105FF37F" w:rsidR="0032677D" w:rsidRPr="009F7363" w:rsidRDefault="0032677D" w:rsidP="00C10C75">
      <w:pPr>
        <w:pStyle w:val="ListParagraph"/>
        <w:numPr>
          <w:ilvl w:val="0"/>
          <w:numId w:val="3"/>
        </w:numPr>
        <w:spacing w:before="240" w:after="0"/>
        <w:rPr>
          <w:sz w:val="24"/>
          <w:szCs w:val="24"/>
        </w:rPr>
      </w:pPr>
      <w:r>
        <w:rPr>
          <w:sz w:val="24"/>
          <w:szCs w:val="24"/>
        </w:rPr>
        <w:t>Section 3 of the instrument provides that the instrument is made under subsection 1023</w:t>
      </w:r>
      <w:r w:rsidR="00802495">
        <w:rPr>
          <w:sz w:val="24"/>
          <w:szCs w:val="24"/>
        </w:rPr>
        <w:t>H</w:t>
      </w:r>
      <w:r>
        <w:rPr>
          <w:sz w:val="24"/>
          <w:szCs w:val="24"/>
        </w:rPr>
        <w:t>(</w:t>
      </w:r>
      <w:r w:rsidR="00802495">
        <w:rPr>
          <w:sz w:val="24"/>
          <w:szCs w:val="24"/>
        </w:rPr>
        <w:t>1</w:t>
      </w:r>
      <w:r>
        <w:rPr>
          <w:sz w:val="24"/>
          <w:szCs w:val="24"/>
        </w:rPr>
        <w:t xml:space="preserve">) of the </w:t>
      </w:r>
      <w:r w:rsidR="00442274" w:rsidRPr="00A55A79">
        <w:rPr>
          <w:iCs/>
          <w:sz w:val="24"/>
          <w:szCs w:val="24"/>
        </w:rPr>
        <w:t>Act</w:t>
      </w:r>
      <w:r>
        <w:rPr>
          <w:i/>
          <w:sz w:val="24"/>
          <w:szCs w:val="24"/>
        </w:rPr>
        <w:t xml:space="preserve">. </w:t>
      </w:r>
    </w:p>
    <w:p w14:paraId="540F43D8" w14:textId="71EB6862" w:rsidR="009F7363" w:rsidRPr="009F7363" w:rsidRDefault="009F7363" w:rsidP="009F7363">
      <w:pPr>
        <w:spacing w:before="240" w:after="0"/>
        <w:rPr>
          <w:b/>
          <w:bCs/>
          <w:i/>
          <w:iCs/>
          <w:sz w:val="24"/>
          <w:szCs w:val="24"/>
        </w:rPr>
      </w:pPr>
      <w:r>
        <w:rPr>
          <w:b/>
          <w:bCs/>
          <w:i/>
          <w:iCs/>
          <w:sz w:val="24"/>
          <w:szCs w:val="24"/>
        </w:rPr>
        <w:t>Terms of declaration</w:t>
      </w:r>
    </w:p>
    <w:p w14:paraId="45E0D801" w14:textId="42B1F152" w:rsidR="00E50B40" w:rsidRPr="00452E97" w:rsidRDefault="009F7363" w:rsidP="009F7363">
      <w:pPr>
        <w:pStyle w:val="ListParagraph"/>
        <w:numPr>
          <w:ilvl w:val="0"/>
          <w:numId w:val="3"/>
        </w:numPr>
        <w:spacing w:before="240" w:after="0"/>
        <w:rPr>
          <w:sz w:val="24"/>
          <w:szCs w:val="24"/>
        </w:rPr>
      </w:pPr>
      <w:r w:rsidRPr="0015609F">
        <w:rPr>
          <w:sz w:val="24"/>
          <w:szCs w:val="24"/>
        </w:rPr>
        <w:t xml:space="preserve">Section 4 of the instrument provides that </w:t>
      </w:r>
      <w:r w:rsidR="00442274" w:rsidRPr="00452E97">
        <w:rPr>
          <w:sz w:val="24"/>
          <w:szCs w:val="24"/>
        </w:rPr>
        <w:t>the Principal Instrument</w:t>
      </w:r>
      <w:r w:rsidR="00442274" w:rsidRPr="00452E97">
        <w:rPr>
          <w:i/>
          <w:iCs/>
          <w:sz w:val="24"/>
          <w:szCs w:val="24"/>
        </w:rPr>
        <w:t xml:space="preserve"> </w:t>
      </w:r>
      <w:r w:rsidRPr="00452E97">
        <w:rPr>
          <w:sz w:val="24"/>
          <w:szCs w:val="24"/>
        </w:rPr>
        <w:t xml:space="preserve">remains in force </w:t>
      </w:r>
      <w:r w:rsidR="001E6501" w:rsidRPr="00452E97">
        <w:rPr>
          <w:sz w:val="24"/>
          <w:szCs w:val="24"/>
        </w:rPr>
        <w:t>for the period ending at the end of</w:t>
      </w:r>
      <w:r w:rsidRPr="00452E97">
        <w:rPr>
          <w:sz w:val="24"/>
          <w:szCs w:val="24"/>
        </w:rPr>
        <w:t xml:space="preserve"> </w:t>
      </w:r>
      <w:r w:rsidR="00ED05E5" w:rsidRPr="002F4FA1">
        <w:rPr>
          <w:sz w:val="24"/>
          <w:szCs w:val="24"/>
        </w:rPr>
        <w:t xml:space="preserve"> </w:t>
      </w:r>
      <w:r w:rsidR="00B83EA8" w:rsidRPr="002F4FA1">
        <w:rPr>
          <w:sz w:val="24"/>
          <w:szCs w:val="24"/>
        </w:rPr>
        <w:t>2</w:t>
      </w:r>
      <w:r w:rsidR="00077ABE">
        <w:rPr>
          <w:sz w:val="24"/>
          <w:szCs w:val="24"/>
        </w:rPr>
        <w:t>3</w:t>
      </w:r>
      <w:r w:rsidR="00B83EA8" w:rsidRPr="002F4FA1">
        <w:rPr>
          <w:sz w:val="24"/>
          <w:szCs w:val="24"/>
        </w:rPr>
        <w:t xml:space="preserve"> May</w:t>
      </w:r>
      <w:r w:rsidR="00CF4FB2" w:rsidRPr="002F4FA1">
        <w:rPr>
          <w:sz w:val="24"/>
          <w:szCs w:val="24"/>
        </w:rPr>
        <w:t xml:space="preserve"> 2027</w:t>
      </w:r>
      <w:r w:rsidR="001E6501" w:rsidRPr="002F4FA1">
        <w:rPr>
          <w:sz w:val="24"/>
          <w:szCs w:val="24"/>
        </w:rPr>
        <w:t>, unless it is revoked earlier</w:t>
      </w:r>
      <w:r w:rsidRPr="00452E97">
        <w:rPr>
          <w:sz w:val="24"/>
          <w:szCs w:val="24"/>
        </w:rPr>
        <w:t>.</w:t>
      </w:r>
      <w:r w:rsidRPr="00452E97">
        <w:rPr>
          <w:i/>
          <w:iCs/>
          <w:sz w:val="24"/>
          <w:szCs w:val="24"/>
        </w:rPr>
        <w:t xml:space="preserve"> </w:t>
      </w:r>
    </w:p>
    <w:p w14:paraId="389D8E5A" w14:textId="487FEAB0" w:rsidR="00805561" w:rsidRPr="00717EEB" w:rsidRDefault="00672977" w:rsidP="00805561">
      <w:pPr>
        <w:shd w:val="clear" w:color="auto" w:fill="FFFFFF"/>
        <w:spacing w:before="240" w:after="0"/>
        <w:rPr>
          <w:rFonts w:ascii="Calibri" w:hAnsi="Calibri" w:cs="Calibri"/>
          <w:b/>
          <w:bCs/>
          <w:color w:val="000000"/>
          <w:szCs w:val="22"/>
        </w:rPr>
      </w:pPr>
      <w:r w:rsidRPr="00717EEB">
        <w:rPr>
          <w:b/>
          <w:bCs/>
          <w:color w:val="000000"/>
          <w:sz w:val="24"/>
          <w:szCs w:val="24"/>
        </w:rPr>
        <w:t xml:space="preserve">Considerations relating to delegated </w:t>
      </w:r>
      <w:r w:rsidR="00805561" w:rsidRPr="00717EEB">
        <w:rPr>
          <w:b/>
          <w:bCs/>
          <w:color w:val="000000"/>
          <w:sz w:val="24"/>
          <w:szCs w:val="24"/>
        </w:rPr>
        <w:t>and primary legislation </w:t>
      </w:r>
    </w:p>
    <w:p w14:paraId="6B508B81" w14:textId="198E5534" w:rsidR="009C20BC" w:rsidRPr="00452E97" w:rsidRDefault="001673E3" w:rsidP="001673E3">
      <w:pPr>
        <w:pStyle w:val="ListParagraph"/>
        <w:numPr>
          <w:ilvl w:val="0"/>
          <w:numId w:val="3"/>
        </w:numPr>
        <w:spacing w:before="240" w:after="0"/>
        <w:rPr>
          <w:sz w:val="24"/>
          <w:szCs w:val="24"/>
        </w:rPr>
      </w:pPr>
      <w:r w:rsidRPr="001673E3">
        <w:rPr>
          <w:sz w:val="24"/>
          <w:szCs w:val="24"/>
        </w:rPr>
        <w:t xml:space="preserve">The effect of the instrument is to extend the operation of the Principal Instrument until </w:t>
      </w:r>
      <w:r w:rsidR="001E6501">
        <w:rPr>
          <w:sz w:val="24"/>
          <w:szCs w:val="24"/>
        </w:rPr>
        <w:t xml:space="preserve">the period ending at the end of </w:t>
      </w:r>
      <w:r w:rsidR="00B83EA8">
        <w:rPr>
          <w:sz w:val="24"/>
          <w:szCs w:val="24"/>
        </w:rPr>
        <w:t>2</w:t>
      </w:r>
      <w:r w:rsidR="00077ABE">
        <w:rPr>
          <w:sz w:val="24"/>
          <w:szCs w:val="24"/>
        </w:rPr>
        <w:t>3</w:t>
      </w:r>
      <w:r w:rsidR="00B83EA8">
        <w:rPr>
          <w:sz w:val="24"/>
          <w:szCs w:val="24"/>
        </w:rPr>
        <w:t xml:space="preserve"> May</w:t>
      </w:r>
      <w:r w:rsidR="00CF4FB2">
        <w:rPr>
          <w:sz w:val="24"/>
          <w:szCs w:val="24"/>
        </w:rPr>
        <w:t xml:space="preserve"> 2027</w:t>
      </w:r>
      <w:r w:rsidR="00152621">
        <w:rPr>
          <w:sz w:val="24"/>
          <w:szCs w:val="24"/>
        </w:rPr>
        <w:t>,</w:t>
      </w:r>
      <w:r w:rsidR="00554422">
        <w:rPr>
          <w:sz w:val="24"/>
          <w:szCs w:val="24"/>
        </w:rPr>
        <w:t xml:space="preserve"> unless it is revoked earlier</w:t>
      </w:r>
      <w:r w:rsidRPr="00FE3851">
        <w:rPr>
          <w:sz w:val="24"/>
          <w:szCs w:val="24"/>
        </w:rPr>
        <w:t xml:space="preserve">. </w:t>
      </w:r>
      <w:r w:rsidR="009C20BC" w:rsidRPr="005D412C">
        <w:rPr>
          <w:sz w:val="24"/>
          <w:szCs w:val="24"/>
        </w:rPr>
        <w:t>Although t</w:t>
      </w:r>
      <w:r w:rsidR="009C20BC" w:rsidRPr="003B4B62">
        <w:rPr>
          <w:sz w:val="24"/>
          <w:szCs w:val="24"/>
        </w:rPr>
        <w:t>he instrument does not itself modify or exempt per</w:t>
      </w:r>
      <w:r w:rsidR="009C20BC" w:rsidRPr="007E53A9">
        <w:rPr>
          <w:sz w:val="24"/>
          <w:szCs w:val="24"/>
        </w:rPr>
        <w:t>sons or entities from the operation of primary law</w:t>
      </w:r>
      <w:r w:rsidR="009C20BC" w:rsidRPr="007E59F8">
        <w:rPr>
          <w:sz w:val="24"/>
          <w:szCs w:val="24"/>
        </w:rPr>
        <w:t xml:space="preserve">, </w:t>
      </w:r>
      <w:r w:rsidR="00184B14" w:rsidRPr="003F3983">
        <w:rPr>
          <w:sz w:val="24"/>
          <w:szCs w:val="24"/>
        </w:rPr>
        <w:t xml:space="preserve">ASIC has </w:t>
      </w:r>
      <w:r w:rsidR="009C20BC" w:rsidRPr="0015609F">
        <w:rPr>
          <w:sz w:val="24"/>
          <w:szCs w:val="24"/>
        </w:rPr>
        <w:t xml:space="preserve">assessed </w:t>
      </w:r>
      <w:r w:rsidR="009C20BC" w:rsidRPr="002F4FA1">
        <w:rPr>
          <w:sz w:val="24"/>
          <w:szCs w:val="24"/>
        </w:rPr>
        <w:t>in consultation with Treasury</w:t>
      </w:r>
      <w:r w:rsidR="009C20BC" w:rsidRPr="00452E97">
        <w:rPr>
          <w:sz w:val="24"/>
          <w:szCs w:val="24"/>
        </w:rPr>
        <w:t xml:space="preserve">: </w:t>
      </w:r>
    </w:p>
    <w:p w14:paraId="2DEF9D07" w14:textId="3A0EF75D" w:rsidR="009C20BC" w:rsidRPr="001673E3" w:rsidRDefault="009C20BC" w:rsidP="009C20BC">
      <w:pPr>
        <w:pStyle w:val="ListParagraph"/>
        <w:numPr>
          <w:ilvl w:val="1"/>
          <w:numId w:val="3"/>
        </w:numPr>
        <w:spacing w:before="240" w:after="0"/>
        <w:rPr>
          <w:sz w:val="24"/>
          <w:szCs w:val="24"/>
        </w:rPr>
      </w:pPr>
      <w:r w:rsidRPr="001673E3">
        <w:rPr>
          <w:sz w:val="24"/>
          <w:szCs w:val="24"/>
        </w:rPr>
        <w:t xml:space="preserve">whether and why the extension of the measures in the Principal Instrument should be </w:t>
      </w:r>
      <w:r w:rsidR="001673E3" w:rsidRPr="001673E3">
        <w:rPr>
          <w:sz w:val="24"/>
          <w:szCs w:val="24"/>
        </w:rPr>
        <w:t>implemented</w:t>
      </w:r>
      <w:r w:rsidRPr="001673E3">
        <w:rPr>
          <w:sz w:val="24"/>
          <w:szCs w:val="24"/>
        </w:rPr>
        <w:t xml:space="preserve"> by </w:t>
      </w:r>
      <w:r w:rsidR="001673E3" w:rsidRPr="001673E3">
        <w:rPr>
          <w:sz w:val="24"/>
          <w:szCs w:val="24"/>
        </w:rPr>
        <w:t xml:space="preserve">legislative </w:t>
      </w:r>
      <w:r w:rsidRPr="001673E3">
        <w:rPr>
          <w:sz w:val="24"/>
          <w:szCs w:val="24"/>
        </w:rPr>
        <w:t xml:space="preserve">instrument </w:t>
      </w:r>
      <w:r w:rsidR="001673E3" w:rsidRPr="001673E3">
        <w:rPr>
          <w:sz w:val="24"/>
          <w:szCs w:val="24"/>
        </w:rPr>
        <w:t>made under subsection 1023H(1) of the Act as opposed to</w:t>
      </w:r>
      <w:r w:rsidR="00184B14" w:rsidRPr="001673E3">
        <w:rPr>
          <w:sz w:val="24"/>
          <w:szCs w:val="24"/>
        </w:rPr>
        <w:t xml:space="preserve"> amendment to primary legislation, </w:t>
      </w:r>
    </w:p>
    <w:p w14:paraId="19350157" w14:textId="218113DD" w:rsidR="009C20BC" w:rsidRPr="001673E3" w:rsidRDefault="00184B14" w:rsidP="009C20BC">
      <w:pPr>
        <w:pStyle w:val="ListParagraph"/>
        <w:numPr>
          <w:ilvl w:val="1"/>
          <w:numId w:val="3"/>
        </w:numPr>
        <w:spacing w:before="240" w:after="0"/>
        <w:rPr>
          <w:sz w:val="24"/>
          <w:szCs w:val="24"/>
        </w:rPr>
      </w:pPr>
      <w:r w:rsidRPr="001673E3">
        <w:rPr>
          <w:sz w:val="24"/>
          <w:szCs w:val="24"/>
        </w:rPr>
        <w:t>the appropriate duration of the extension of the Principal Instrument</w:t>
      </w:r>
      <w:r w:rsidR="009C20BC" w:rsidRPr="001673E3">
        <w:rPr>
          <w:sz w:val="24"/>
          <w:szCs w:val="24"/>
        </w:rPr>
        <w:t>;</w:t>
      </w:r>
      <w:r w:rsidRPr="001673E3">
        <w:rPr>
          <w:sz w:val="24"/>
          <w:szCs w:val="24"/>
        </w:rPr>
        <w:t xml:space="preserve"> and </w:t>
      </w:r>
    </w:p>
    <w:p w14:paraId="02D80037" w14:textId="44E62803" w:rsidR="00184B14" w:rsidRPr="001673E3" w:rsidRDefault="00184B14" w:rsidP="001673E3">
      <w:pPr>
        <w:pStyle w:val="ListParagraph"/>
        <w:numPr>
          <w:ilvl w:val="1"/>
          <w:numId w:val="3"/>
        </w:numPr>
        <w:spacing w:before="240" w:after="0"/>
        <w:rPr>
          <w:sz w:val="24"/>
          <w:szCs w:val="24"/>
        </w:rPr>
      </w:pPr>
      <w:r w:rsidRPr="001673E3">
        <w:rPr>
          <w:sz w:val="24"/>
          <w:szCs w:val="24"/>
        </w:rPr>
        <w:t xml:space="preserve">whether any amendments to primary legislation may be pursued in future. </w:t>
      </w:r>
    </w:p>
    <w:p w14:paraId="205CF6E6" w14:textId="77777777" w:rsidR="009C20BC" w:rsidRPr="001673E3" w:rsidRDefault="009C20BC" w:rsidP="009C20BC">
      <w:pPr>
        <w:pStyle w:val="ListParagraph"/>
        <w:spacing w:before="240" w:after="0"/>
        <w:ind w:left="360"/>
        <w:rPr>
          <w:sz w:val="24"/>
          <w:szCs w:val="24"/>
        </w:rPr>
      </w:pPr>
    </w:p>
    <w:p w14:paraId="1907C449" w14:textId="57722860" w:rsidR="0066088D" w:rsidRDefault="00FE3851" w:rsidP="009C20BC">
      <w:pPr>
        <w:pStyle w:val="ListParagraph"/>
        <w:numPr>
          <w:ilvl w:val="0"/>
          <w:numId w:val="3"/>
        </w:numPr>
        <w:spacing w:before="240" w:after="0"/>
        <w:rPr>
          <w:sz w:val="24"/>
          <w:szCs w:val="24"/>
        </w:rPr>
      </w:pPr>
      <w:r>
        <w:rPr>
          <w:sz w:val="24"/>
          <w:szCs w:val="24"/>
        </w:rPr>
        <w:t>ASIC considers that the measures in the Principal Instrument should be extended by the instrument because:</w:t>
      </w:r>
    </w:p>
    <w:p w14:paraId="309D1EF8" w14:textId="77777777" w:rsidR="0066088D" w:rsidRDefault="0066088D" w:rsidP="0066088D">
      <w:pPr>
        <w:pStyle w:val="ListParagraph"/>
        <w:spacing w:before="240" w:after="0"/>
        <w:ind w:left="360"/>
        <w:rPr>
          <w:sz w:val="24"/>
          <w:szCs w:val="24"/>
        </w:rPr>
      </w:pPr>
    </w:p>
    <w:p w14:paraId="2FCAAE66" w14:textId="76E05388" w:rsidR="007E59F8" w:rsidRDefault="005D412C" w:rsidP="007E59F8">
      <w:pPr>
        <w:pStyle w:val="ListParagraph"/>
        <w:numPr>
          <w:ilvl w:val="1"/>
          <w:numId w:val="3"/>
        </w:numPr>
        <w:spacing w:before="240" w:after="0"/>
        <w:rPr>
          <w:sz w:val="24"/>
          <w:szCs w:val="24"/>
        </w:rPr>
      </w:pPr>
      <w:r w:rsidRPr="003A660E">
        <w:rPr>
          <w:sz w:val="24"/>
          <w:szCs w:val="24"/>
        </w:rPr>
        <w:t>t</w:t>
      </w:r>
      <w:r w:rsidR="00B73BE8" w:rsidRPr="003A660E">
        <w:rPr>
          <w:sz w:val="24"/>
          <w:szCs w:val="24"/>
        </w:rPr>
        <w:t>he instrument</w:t>
      </w:r>
      <w:r w:rsidR="00C466EB" w:rsidRPr="00AB31F0">
        <w:rPr>
          <w:sz w:val="24"/>
          <w:szCs w:val="24"/>
        </w:rPr>
        <w:t xml:space="preserve"> </w:t>
      </w:r>
      <w:r w:rsidR="00043146" w:rsidRPr="00AB31F0">
        <w:rPr>
          <w:sz w:val="24"/>
          <w:szCs w:val="24"/>
        </w:rPr>
        <w:t>(</w:t>
      </w:r>
      <w:r w:rsidR="00C466EB" w:rsidRPr="00AB31F0">
        <w:rPr>
          <w:sz w:val="24"/>
          <w:szCs w:val="24"/>
        </w:rPr>
        <w:t xml:space="preserve">and </w:t>
      </w:r>
      <w:r w:rsidR="00152621">
        <w:rPr>
          <w:sz w:val="24"/>
          <w:szCs w:val="24"/>
        </w:rPr>
        <w:t xml:space="preserve">the </w:t>
      </w:r>
      <w:r w:rsidR="00C466EB" w:rsidRPr="00AB31F0">
        <w:rPr>
          <w:sz w:val="24"/>
          <w:szCs w:val="24"/>
        </w:rPr>
        <w:t>Principal Instrument</w:t>
      </w:r>
      <w:r w:rsidR="00043146" w:rsidRPr="002164F8">
        <w:rPr>
          <w:sz w:val="24"/>
          <w:szCs w:val="24"/>
        </w:rPr>
        <w:t>)</w:t>
      </w:r>
      <w:r w:rsidR="00B73BE8" w:rsidRPr="002164F8">
        <w:rPr>
          <w:sz w:val="24"/>
          <w:szCs w:val="24"/>
        </w:rPr>
        <w:t xml:space="preserve"> utilise</w:t>
      </w:r>
      <w:r w:rsidR="00152621">
        <w:rPr>
          <w:sz w:val="24"/>
          <w:szCs w:val="24"/>
        </w:rPr>
        <w:t>s</w:t>
      </w:r>
      <w:r w:rsidR="00B73BE8" w:rsidRPr="002164F8">
        <w:rPr>
          <w:sz w:val="24"/>
          <w:szCs w:val="24"/>
        </w:rPr>
        <w:t xml:space="preserve"> </w:t>
      </w:r>
      <w:r w:rsidR="0050186A" w:rsidRPr="00E96B9E">
        <w:rPr>
          <w:sz w:val="24"/>
          <w:szCs w:val="24"/>
        </w:rPr>
        <w:t xml:space="preserve">specific </w:t>
      </w:r>
      <w:r w:rsidR="00B73BE8" w:rsidRPr="00E96B9E">
        <w:rPr>
          <w:sz w:val="24"/>
          <w:szCs w:val="24"/>
        </w:rPr>
        <w:t xml:space="preserve">powers given </w:t>
      </w:r>
      <w:r w:rsidR="00043146" w:rsidRPr="00E96B9E">
        <w:rPr>
          <w:sz w:val="24"/>
          <w:szCs w:val="24"/>
        </w:rPr>
        <w:t xml:space="preserve">to ASIC </w:t>
      </w:r>
      <w:r w:rsidR="00B73BE8" w:rsidRPr="00200F7A">
        <w:rPr>
          <w:sz w:val="24"/>
          <w:szCs w:val="24"/>
        </w:rPr>
        <w:t xml:space="preserve">by Parliament that </w:t>
      </w:r>
      <w:r w:rsidR="00043146" w:rsidRPr="00C761EB">
        <w:rPr>
          <w:sz w:val="24"/>
          <w:szCs w:val="24"/>
        </w:rPr>
        <w:t xml:space="preserve">are intended to be used </w:t>
      </w:r>
      <w:r w:rsidR="00B73BE8" w:rsidRPr="007E59F8">
        <w:rPr>
          <w:sz w:val="24"/>
          <w:szCs w:val="24"/>
        </w:rPr>
        <w:t xml:space="preserve">proactively to reduce the risk of significant detriment to retail clients resulting from financial products. </w:t>
      </w:r>
      <w:r w:rsidR="007E59F8" w:rsidRPr="00FE3851">
        <w:rPr>
          <w:sz w:val="24"/>
          <w:szCs w:val="24"/>
        </w:rPr>
        <w:t xml:space="preserve">Commencing in April 2019, Part 7.9A of the Act sets out a framework and </w:t>
      </w:r>
      <w:r w:rsidR="007E59F8" w:rsidRPr="005D412C">
        <w:rPr>
          <w:sz w:val="24"/>
          <w:szCs w:val="24"/>
        </w:rPr>
        <w:t xml:space="preserve">the </w:t>
      </w:r>
      <w:r w:rsidR="007E59F8" w:rsidRPr="003B4B62">
        <w:rPr>
          <w:sz w:val="24"/>
          <w:szCs w:val="24"/>
        </w:rPr>
        <w:t>procedural requirements for ASIC to make, amend</w:t>
      </w:r>
      <w:r w:rsidR="007E59F8" w:rsidRPr="007E53A9">
        <w:rPr>
          <w:sz w:val="24"/>
          <w:szCs w:val="24"/>
        </w:rPr>
        <w:t>, extend</w:t>
      </w:r>
      <w:r w:rsidR="007E59F8" w:rsidRPr="00356DF0">
        <w:rPr>
          <w:sz w:val="24"/>
          <w:szCs w:val="24"/>
        </w:rPr>
        <w:t xml:space="preserve">, remake and revoke product intervention </w:t>
      </w:r>
      <w:proofErr w:type="gramStart"/>
      <w:r w:rsidR="007E59F8" w:rsidRPr="00356DF0">
        <w:rPr>
          <w:sz w:val="24"/>
          <w:szCs w:val="24"/>
        </w:rPr>
        <w:t>orders</w:t>
      </w:r>
      <w:r w:rsidR="007E59F8">
        <w:rPr>
          <w:sz w:val="24"/>
          <w:szCs w:val="24"/>
        </w:rPr>
        <w:t>;</w:t>
      </w:r>
      <w:proofErr w:type="gramEnd"/>
      <w:r w:rsidR="007E59F8" w:rsidRPr="007E53A9">
        <w:rPr>
          <w:sz w:val="24"/>
          <w:szCs w:val="24"/>
        </w:rPr>
        <w:t xml:space="preserve"> </w:t>
      </w:r>
    </w:p>
    <w:p w14:paraId="0D914B2F" w14:textId="77777777" w:rsidR="007E59F8" w:rsidRPr="003B4B62" w:rsidRDefault="007E59F8" w:rsidP="007E59F8">
      <w:pPr>
        <w:pStyle w:val="ListParagraph"/>
        <w:rPr>
          <w:sz w:val="24"/>
          <w:szCs w:val="24"/>
        </w:rPr>
      </w:pPr>
    </w:p>
    <w:p w14:paraId="19FE1288" w14:textId="429BD76F" w:rsidR="007E59F8" w:rsidRPr="003B4B62" w:rsidRDefault="007E59F8" w:rsidP="007E59F8">
      <w:pPr>
        <w:pStyle w:val="ListParagraph"/>
        <w:numPr>
          <w:ilvl w:val="1"/>
          <w:numId w:val="3"/>
        </w:numPr>
        <w:spacing w:before="240" w:after="0"/>
        <w:rPr>
          <w:sz w:val="24"/>
          <w:szCs w:val="24"/>
        </w:rPr>
      </w:pPr>
      <w:r>
        <w:rPr>
          <w:sz w:val="24"/>
          <w:szCs w:val="24"/>
        </w:rPr>
        <w:t>the instrument is a timely way of extending the Principal Instrument before it expires on 23 May 2022. A</w:t>
      </w:r>
      <w:r w:rsidRPr="00C961B2">
        <w:rPr>
          <w:sz w:val="24"/>
          <w:szCs w:val="24"/>
        </w:rPr>
        <w:t xml:space="preserve"> product intervention order may remain in force for up to 18 months and may be extended </w:t>
      </w:r>
      <w:r>
        <w:rPr>
          <w:sz w:val="24"/>
          <w:szCs w:val="24"/>
        </w:rPr>
        <w:t xml:space="preserve">by ASIC </w:t>
      </w:r>
      <w:r w:rsidRPr="00C961B2">
        <w:rPr>
          <w:sz w:val="24"/>
          <w:szCs w:val="24"/>
        </w:rPr>
        <w:t xml:space="preserve">with the Minister’s written approval, following a report to the Minister from ASIC on whether the extension should be </w:t>
      </w:r>
      <w:proofErr w:type="gramStart"/>
      <w:r w:rsidRPr="00C961B2">
        <w:rPr>
          <w:sz w:val="24"/>
          <w:szCs w:val="24"/>
        </w:rPr>
        <w:t>made</w:t>
      </w:r>
      <w:r>
        <w:rPr>
          <w:sz w:val="24"/>
          <w:szCs w:val="24"/>
        </w:rPr>
        <w:t>;</w:t>
      </w:r>
      <w:proofErr w:type="gramEnd"/>
    </w:p>
    <w:p w14:paraId="4319B7AF" w14:textId="77777777" w:rsidR="007E59F8" w:rsidRPr="003B4B62" w:rsidRDefault="007E59F8" w:rsidP="007E59F8">
      <w:pPr>
        <w:pStyle w:val="ListParagraph"/>
        <w:rPr>
          <w:sz w:val="24"/>
          <w:szCs w:val="24"/>
          <w:highlight w:val="yellow"/>
        </w:rPr>
      </w:pPr>
    </w:p>
    <w:p w14:paraId="4CA88AF7" w14:textId="77777777" w:rsidR="007E59F8" w:rsidRPr="003B4B62" w:rsidRDefault="007E59F8" w:rsidP="007E59F8">
      <w:pPr>
        <w:pStyle w:val="ListParagraph"/>
        <w:numPr>
          <w:ilvl w:val="1"/>
          <w:numId w:val="3"/>
        </w:numPr>
        <w:spacing w:before="240" w:after="0"/>
        <w:rPr>
          <w:sz w:val="24"/>
          <w:szCs w:val="24"/>
        </w:rPr>
      </w:pPr>
      <w:r w:rsidRPr="003B4B62">
        <w:rPr>
          <w:sz w:val="24"/>
          <w:szCs w:val="24"/>
        </w:rPr>
        <w:lastRenderedPageBreak/>
        <w:t>the measures in the Principal Instrument are technical in nature, apply to a single product class (</w:t>
      </w:r>
      <w:proofErr w:type="spellStart"/>
      <w:r w:rsidRPr="003B4B62">
        <w:rPr>
          <w:sz w:val="24"/>
          <w:szCs w:val="24"/>
        </w:rPr>
        <w:t>CFDs</w:t>
      </w:r>
      <w:proofErr w:type="spellEnd"/>
      <w:r w:rsidRPr="003B4B62">
        <w:rPr>
          <w:sz w:val="24"/>
          <w:szCs w:val="24"/>
        </w:rPr>
        <w:t xml:space="preserve">) and affect the issue of </w:t>
      </w:r>
      <w:proofErr w:type="spellStart"/>
      <w:r w:rsidRPr="003B4B62">
        <w:rPr>
          <w:sz w:val="24"/>
          <w:szCs w:val="24"/>
        </w:rPr>
        <w:t>CFDs</w:t>
      </w:r>
      <w:proofErr w:type="spellEnd"/>
      <w:r w:rsidRPr="003B4B62">
        <w:rPr>
          <w:sz w:val="24"/>
          <w:szCs w:val="24"/>
        </w:rPr>
        <w:t xml:space="preserve"> by approximately 60 Australian financial services licences </w:t>
      </w:r>
      <w:proofErr w:type="gramStart"/>
      <w:r w:rsidRPr="003B4B62">
        <w:rPr>
          <w:sz w:val="24"/>
          <w:szCs w:val="24"/>
        </w:rPr>
        <w:t>only</w:t>
      </w:r>
      <w:r>
        <w:rPr>
          <w:sz w:val="24"/>
          <w:szCs w:val="24"/>
        </w:rPr>
        <w:t>;</w:t>
      </w:r>
      <w:proofErr w:type="gramEnd"/>
    </w:p>
    <w:p w14:paraId="78E81020" w14:textId="77777777" w:rsidR="007E59F8" w:rsidRPr="00152621" w:rsidRDefault="007E59F8" w:rsidP="007E59F8">
      <w:pPr>
        <w:pStyle w:val="ListParagraph"/>
        <w:rPr>
          <w:sz w:val="24"/>
          <w:szCs w:val="24"/>
        </w:rPr>
      </w:pPr>
    </w:p>
    <w:p w14:paraId="6FAD957C" w14:textId="660F7B09" w:rsidR="00805561" w:rsidRPr="009B7C7A" w:rsidRDefault="007E59F8" w:rsidP="003F3983">
      <w:pPr>
        <w:pStyle w:val="ListParagraph"/>
        <w:numPr>
          <w:ilvl w:val="1"/>
          <w:numId w:val="3"/>
        </w:numPr>
        <w:spacing w:before="240" w:after="0"/>
        <w:rPr>
          <w:sz w:val="24"/>
          <w:szCs w:val="24"/>
        </w:rPr>
      </w:pPr>
      <w:r w:rsidRPr="009B7C7A">
        <w:rPr>
          <w:sz w:val="24"/>
          <w:szCs w:val="24"/>
        </w:rPr>
        <w:t xml:space="preserve">the product intervention powers in Part 7.9A of the Act allow ASIC to amend a product intervention order, should the need arise, to respond in a flexible and timely way to changes to product features, issuance and sales practices, consumer harm and international regulatory standards. Currently, the measures in the Principal Instrument are consistent with regulatory measures in force in major </w:t>
      </w:r>
      <w:proofErr w:type="spellStart"/>
      <w:r w:rsidRPr="009B7C7A">
        <w:rPr>
          <w:sz w:val="24"/>
          <w:szCs w:val="24"/>
        </w:rPr>
        <w:t>CFD</w:t>
      </w:r>
      <w:proofErr w:type="spellEnd"/>
      <w:r w:rsidRPr="009B7C7A">
        <w:rPr>
          <w:sz w:val="24"/>
          <w:szCs w:val="24"/>
        </w:rPr>
        <w:t xml:space="preserve"> markets.</w:t>
      </w:r>
    </w:p>
    <w:p w14:paraId="3FB33B00" w14:textId="77777777" w:rsidR="005E377C" w:rsidRPr="009B7C7A" w:rsidRDefault="005E377C" w:rsidP="005E377C">
      <w:pPr>
        <w:pStyle w:val="ListParagraph"/>
        <w:spacing w:before="240" w:after="0"/>
        <w:ind w:left="360"/>
        <w:rPr>
          <w:sz w:val="24"/>
          <w:szCs w:val="24"/>
        </w:rPr>
      </w:pPr>
    </w:p>
    <w:p w14:paraId="43888C04" w14:textId="686813B1" w:rsidR="001020C0" w:rsidRDefault="00C21D3C" w:rsidP="001020C0">
      <w:pPr>
        <w:pStyle w:val="ListParagraph"/>
        <w:numPr>
          <w:ilvl w:val="0"/>
          <w:numId w:val="3"/>
        </w:numPr>
        <w:spacing w:before="240" w:after="0"/>
        <w:rPr>
          <w:sz w:val="24"/>
          <w:szCs w:val="24"/>
        </w:rPr>
      </w:pPr>
      <w:r w:rsidRPr="001020C0">
        <w:rPr>
          <w:sz w:val="24"/>
          <w:szCs w:val="24"/>
        </w:rPr>
        <w:t>Following public consultation and h</w:t>
      </w:r>
      <w:r w:rsidR="007E59F8" w:rsidRPr="001020C0">
        <w:rPr>
          <w:sz w:val="24"/>
          <w:szCs w:val="24"/>
        </w:rPr>
        <w:t>aving assessed that the Principal Instrument is operating efficiently and effectively, ASIC consider</w:t>
      </w:r>
      <w:r w:rsidR="001C27AB" w:rsidRPr="001020C0">
        <w:rPr>
          <w:sz w:val="24"/>
          <w:szCs w:val="24"/>
        </w:rPr>
        <w:t>s</w:t>
      </w:r>
      <w:r w:rsidR="007E59F8" w:rsidRPr="001020C0">
        <w:rPr>
          <w:sz w:val="24"/>
          <w:szCs w:val="24"/>
        </w:rPr>
        <w:t xml:space="preserve"> it is appropriate for the instrument to declare that the Principal Instrument remain in force </w:t>
      </w:r>
      <w:r w:rsidR="001C27AB" w:rsidRPr="001020C0">
        <w:rPr>
          <w:sz w:val="24"/>
          <w:szCs w:val="24"/>
        </w:rPr>
        <w:t xml:space="preserve">for the period ending at the end of 23 May 2027, unless it is revoked earlier. </w:t>
      </w:r>
      <w:r w:rsidR="003F3983" w:rsidRPr="001020C0">
        <w:rPr>
          <w:sz w:val="24"/>
          <w:szCs w:val="24"/>
        </w:rPr>
        <w:t>This period</w:t>
      </w:r>
      <w:r w:rsidR="00AA00DA">
        <w:rPr>
          <w:sz w:val="24"/>
          <w:szCs w:val="24"/>
        </w:rPr>
        <w:t xml:space="preserve"> is appropriate because it</w:t>
      </w:r>
      <w:r w:rsidR="001020C0">
        <w:rPr>
          <w:sz w:val="24"/>
          <w:szCs w:val="24"/>
        </w:rPr>
        <w:t>:</w:t>
      </w:r>
      <w:r w:rsidR="003F3983" w:rsidRPr="001020C0">
        <w:rPr>
          <w:sz w:val="24"/>
          <w:szCs w:val="24"/>
        </w:rPr>
        <w:t xml:space="preserve"> </w:t>
      </w:r>
    </w:p>
    <w:p w14:paraId="18B38344" w14:textId="77777777" w:rsidR="001020C0" w:rsidRDefault="001020C0" w:rsidP="002F4FA1">
      <w:pPr>
        <w:pStyle w:val="ListParagraph"/>
        <w:spacing w:before="240" w:after="0"/>
        <w:ind w:left="360"/>
        <w:rPr>
          <w:sz w:val="24"/>
          <w:szCs w:val="24"/>
        </w:rPr>
      </w:pPr>
    </w:p>
    <w:p w14:paraId="19992AC9" w14:textId="4B605012" w:rsidR="00AA00DA" w:rsidRPr="002F4FA1" w:rsidRDefault="00AA00DA" w:rsidP="001020C0">
      <w:pPr>
        <w:pStyle w:val="ListParagraph"/>
        <w:numPr>
          <w:ilvl w:val="1"/>
          <w:numId w:val="3"/>
        </w:numPr>
        <w:spacing w:before="240" w:after="0"/>
        <w:rPr>
          <w:sz w:val="24"/>
          <w:szCs w:val="24"/>
        </w:rPr>
      </w:pPr>
      <w:r>
        <w:t xml:space="preserve">allows the Principal Instrument to </w:t>
      </w:r>
      <w:r w:rsidR="001020C0">
        <w:t xml:space="preserve">continue to </w:t>
      </w:r>
      <w:r>
        <w:t xml:space="preserve">operate to </w:t>
      </w:r>
      <w:r w:rsidR="001020C0">
        <w:t xml:space="preserve">reduce the risk of significant detriment to retail clients resulting from </w:t>
      </w:r>
      <w:proofErr w:type="spellStart"/>
      <w:proofErr w:type="gramStart"/>
      <w:r w:rsidR="001020C0">
        <w:t>CFDs</w:t>
      </w:r>
      <w:proofErr w:type="spellEnd"/>
      <w:r>
        <w:t>;</w:t>
      </w:r>
      <w:proofErr w:type="gramEnd"/>
      <w:r w:rsidR="001020C0">
        <w:t xml:space="preserve"> </w:t>
      </w:r>
    </w:p>
    <w:p w14:paraId="5B4B9935" w14:textId="77777777" w:rsidR="00AA00DA" w:rsidRPr="002F4FA1" w:rsidRDefault="00AA00DA" w:rsidP="002F4FA1">
      <w:pPr>
        <w:pStyle w:val="ListParagraph"/>
        <w:spacing w:before="240" w:after="0"/>
        <w:ind w:left="1080"/>
        <w:rPr>
          <w:sz w:val="24"/>
          <w:szCs w:val="24"/>
        </w:rPr>
      </w:pPr>
    </w:p>
    <w:p w14:paraId="6E2CA857" w14:textId="240B29B4" w:rsidR="001020C0" w:rsidRDefault="003F3983" w:rsidP="001020C0">
      <w:pPr>
        <w:pStyle w:val="ListParagraph"/>
        <w:numPr>
          <w:ilvl w:val="1"/>
          <w:numId w:val="3"/>
        </w:numPr>
        <w:spacing w:before="240" w:after="0"/>
        <w:rPr>
          <w:sz w:val="24"/>
          <w:szCs w:val="24"/>
        </w:rPr>
      </w:pPr>
      <w:r w:rsidRPr="001020C0">
        <w:rPr>
          <w:sz w:val="24"/>
          <w:szCs w:val="24"/>
        </w:rPr>
        <w:t xml:space="preserve">provides regulatory certainty for </w:t>
      </w:r>
      <w:proofErr w:type="spellStart"/>
      <w:r w:rsidRPr="001020C0">
        <w:rPr>
          <w:sz w:val="24"/>
          <w:szCs w:val="24"/>
        </w:rPr>
        <w:t>CFD</w:t>
      </w:r>
      <w:proofErr w:type="spellEnd"/>
      <w:r w:rsidRPr="001020C0">
        <w:rPr>
          <w:sz w:val="24"/>
          <w:szCs w:val="24"/>
        </w:rPr>
        <w:t xml:space="preserve"> issuers and retail </w:t>
      </w:r>
      <w:proofErr w:type="gramStart"/>
      <w:r w:rsidRPr="001020C0">
        <w:rPr>
          <w:sz w:val="24"/>
          <w:szCs w:val="24"/>
        </w:rPr>
        <w:t>clients</w:t>
      </w:r>
      <w:r w:rsidR="001020C0">
        <w:rPr>
          <w:sz w:val="24"/>
          <w:szCs w:val="24"/>
        </w:rPr>
        <w:t>;</w:t>
      </w:r>
      <w:proofErr w:type="gramEnd"/>
    </w:p>
    <w:p w14:paraId="34AAC3EF" w14:textId="6DFF1745" w:rsidR="001020C0" w:rsidRDefault="001020C0" w:rsidP="002F4FA1">
      <w:pPr>
        <w:pStyle w:val="ListParagraph"/>
        <w:spacing w:before="240" w:after="0"/>
        <w:ind w:left="1080"/>
        <w:rPr>
          <w:sz w:val="24"/>
          <w:szCs w:val="24"/>
        </w:rPr>
      </w:pPr>
      <w:r w:rsidRPr="001020C0">
        <w:rPr>
          <w:sz w:val="24"/>
          <w:szCs w:val="24"/>
        </w:rPr>
        <w:t xml:space="preserve"> </w:t>
      </w:r>
    </w:p>
    <w:p w14:paraId="19BBFABD" w14:textId="77777777" w:rsidR="001020C0" w:rsidRDefault="001020C0" w:rsidP="001020C0">
      <w:pPr>
        <w:pStyle w:val="ListParagraph"/>
        <w:numPr>
          <w:ilvl w:val="1"/>
          <w:numId w:val="3"/>
        </w:numPr>
        <w:spacing w:before="240" w:after="0"/>
        <w:rPr>
          <w:sz w:val="24"/>
          <w:szCs w:val="24"/>
        </w:rPr>
      </w:pPr>
      <w:r w:rsidRPr="001020C0">
        <w:rPr>
          <w:sz w:val="24"/>
          <w:szCs w:val="24"/>
        </w:rPr>
        <w:t>provides an adequate timeframe for consideration as to whether the protections should be extended further prior to the expiry of the Principal Instrument</w:t>
      </w:r>
      <w:r w:rsidR="00CF0A25" w:rsidRPr="001020C0">
        <w:rPr>
          <w:sz w:val="24"/>
          <w:szCs w:val="24"/>
        </w:rPr>
        <w:t xml:space="preserve"> and </w:t>
      </w:r>
    </w:p>
    <w:p w14:paraId="1D96F76C" w14:textId="77777777" w:rsidR="001020C0" w:rsidRDefault="001020C0" w:rsidP="002F4FA1">
      <w:pPr>
        <w:pStyle w:val="ListParagraph"/>
        <w:spacing w:before="240" w:after="0"/>
        <w:ind w:left="1080"/>
        <w:rPr>
          <w:sz w:val="24"/>
          <w:szCs w:val="24"/>
        </w:rPr>
      </w:pPr>
    </w:p>
    <w:p w14:paraId="167BB50C" w14:textId="1C3429D3" w:rsidR="001020C0" w:rsidRDefault="001020C0" w:rsidP="001020C0">
      <w:pPr>
        <w:pStyle w:val="ListParagraph"/>
        <w:numPr>
          <w:ilvl w:val="1"/>
          <w:numId w:val="3"/>
        </w:numPr>
        <w:spacing w:before="240" w:after="0"/>
        <w:rPr>
          <w:sz w:val="24"/>
          <w:szCs w:val="24"/>
        </w:rPr>
      </w:pPr>
      <w:r w:rsidRPr="001020C0">
        <w:rPr>
          <w:sz w:val="24"/>
          <w:szCs w:val="24"/>
        </w:rPr>
        <w:t xml:space="preserve">balances </w:t>
      </w:r>
      <w:r>
        <w:rPr>
          <w:sz w:val="24"/>
          <w:szCs w:val="24"/>
        </w:rPr>
        <w:t xml:space="preserve">the </w:t>
      </w:r>
      <w:r w:rsidR="003F3983" w:rsidRPr="001020C0">
        <w:rPr>
          <w:sz w:val="24"/>
          <w:szCs w:val="24"/>
        </w:rPr>
        <w:t xml:space="preserve">additional regulatory burden associated with more frequent data gathering and consultation on further extensions. </w:t>
      </w:r>
    </w:p>
    <w:p w14:paraId="1F042CC9" w14:textId="77777777" w:rsidR="001020C0" w:rsidRDefault="001020C0" w:rsidP="001020C0">
      <w:pPr>
        <w:pStyle w:val="ListParagraph"/>
        <w:spacing w:before="240" w:after="0"/>
        <w:ind w:left="360"/>
        <w:rPr>
          <w:sz w:val="24"/>
          <w:szCs w:val="24"/>
        </w:rPr>
      </w:pPr>
    </w:p>
    <w:p w14:paraId="4F6524D5" w14:textId="53CB4597" w:rsidR="003F3983" w:rsidRPr="001020C0" w:rsidRDefault="003F3983" w:rsidP="001020C0">
      <w:pPr>
        <w:pStyle w:val="ListParagraph"/>
        <w:numPr>
          <w:ilvl w:val="0"/>
          <w:numId w:val="3"/>
        </w:numPr>
        <w:spacing w:before="240" w:after="0"/>
        <w:rPr>
          <w:sz w:val="24"/>
          <w:szCs w:val="24"/>
        </w:rPr>
      </w:pPr>
      <w:r w:rsidRPr="001020C0">
        <w:rPr>
          <w:sz w:val="24"/>
          <w:szCs w:val="24"/>
        </w:rPr>
        <w:t>The Minister has considered and approved the duration of the extension provided for in the instrument</w:t>
      </w:r>
      <w:r w:rsidR="005146EC" w:rsidRPr="001020C0">
        <w:rPr>
          <w:sz w:val="24"/>
          <w:szCs w:val="24"/>
        </w:rPr>
        <w:t xml:space="preserve">, </w:t>
      </w:r>
      <w:r w:rsidR="001C27AB" w:rsidRPr="001020C0">
        <w:rPr>
          <w:sz w:val="24"/>
          <w:szCs w:val="24"/>
        </w:rPr>
        <w:t>to the end of 23 May 2027 unless revoked earlier</w:t>
      </w:r>
      <w:r w:rsidRPr="001020C0">
        <w:rPr>
          <w:sz w:val="24"/>
          <w:szCs w:val="24"/>
        </w:rPr>
        <w:t>.</w:t>
      </w:r>
    </w:p>
    <w:p w14:paraId="7378E2D7" w14:textId="77777777" w:rsidR="003F3983" w:rsidRPr="009B7C7A" w:rsidRDefault="003F3983" w:rsidP="005E0F90">
      <w:pPr>
        <w:pStyle w:val="ListParagraph"/>
        <w:spacing w:before="240" w:after="0"/>
        <w:ind w:left="360"/>
        <w:rPr>
          <w:sz w:val="24"/>
          <w:szCs w:val="24"/>
        </w:rPr>
      </w:pPr>
    </w:p>
    <w:p w14:paraId="4B847AB0" w14:textId="676EDAF6" w:rsidR="005E377C" w:rsidRPr="009B7C7A" w:rsidRDefault="005E377C" w:rsidP="004226A8">
      <w:pPr>
        <w:pStyle w:val="ListParagraph"/>
        <w:numPr>
          <w:ilvl w:val="0"/>
          <w:numId w:val="3"/>
        </w:numPr>
        <w:spacing w:before="240" w:after="0"/>
        <w:rPr>
          <w:sz w:val="24"/>
          <w:szCs w:val="24"/>
        </w:rPr>
      </w:pPr>
      <w:r w:rsidRPr="009B7C7A">
        <w:rPr>
          <w:sz w:val="24"/>
          <w:szCs w:val="24"/>
        </w:rPr>
        <w:t>It will be a matter for the Government and for Parliament as to whether any amendments to the Act may be made in future</w:t>
      </w:r>
      <w:r w:rsidR="00CF0A25" w:rsidRPr="009B7C7A">
        <w:rPr>
          <w:sz w:val="24"/>
          <w:szCs w:val="24"/>
        </w:rPr>
        <w:t xml:space="preserve"> to include the measures in the Principal Instrument</w:t>
      </w:r>
      <w:r w:rsidRPr="009B7C7A">
        <w:rPr>
          <w:sz w:val="24"/>
          <w:szCs w:val="24"/>
        </w:rPr>
        <w:t xml:space="preserve">. ASIC notes the Government’s commitment to consider the merits of making future amendments to the </w:t>
      </w:r>
      <w:r w:rsidR="00ED47F7" w:rsidRPr="009B7C7A">
        <w:rPr>
          <w:sz w:val="24"/>
          <w:szCs w:val="24"/>
        </w:rPr>
        <w:t>relevant enabling Acts and regulations</w:t>
      </w:r>
      <w:r w:rsidRPr="009B7C7A">
        <w:rPr>
          <w:sz w:val="24"/>
          <w:szCs w:val="24"/>
        </w:rPr>
        <w:t xml:space="preserve"> as part of its review process for </w:t>
      </w:r>
      <w:r w:rsidR="00FE3851" w:rsidRPr="009B7C7A">
        <w:rPr>
          <w:sz w:val="24"/>
          <w:szCs w:val="24"/>
        </w:rPr>
        <w:t xml:space="preserve">any </w:t>
      </w:r>
      <w:r w:rsidR="00ED47F7" w:rsidRPr="009B7C7A">
        <w:rPr>
          <w:sz w:val="24"/>
          <w:szCs w:val="24"/>
        </w:rPr>
        <w:t>delegated legislation</w:t>
      </w:r>
      <w:r w:rsidRPr="009B7C7A">
        <w:rPr>
          <w:sz w:val="24"/>
          <w:szCs w:val="24"/>
        </w:rPr>
        <w:t xml:space="preserve"> </w:t>
      </w:r>
      <w:r w:rsidR="00CF0A25" w:rsidRPr="009B7C7A">
        <w:rPr>
          <w:sz w:val="24"/>
          <w:szCs w:val="24"/>
        </w:rPr>
        <w:t xml:space="preserve">within the Treasury portfolio </w:t>
      </w:r>
      <w:r w:rsidRPr="009B7C7A">
        <w:rPr>
          <w:sz w:val="24"/>
          <w:szCs w:val="24"/>
        </w:rPr>
        <w:t>prior to its sunsetting.</w:t>
      </w:r>
    </w:p>
    <w:p w14:paraId="4DCB6F4C" w14:textId="77777777" w:rsidR="00952E1A" w:rsidRPr="00E57FC9" w:rsidRDefault="00952E1A" w:rsidP="00952E1A">
      <w:pPr>
        <w:spacing w:before="240" w:after="0"/>
        <w:rPr>
          <w:b/>
          <w:sz w:val="24"/>
          <w:szCs w:val="24"/>
        </w:rPr>
      </w:pPr>
      <w:r w:rsidRPr="00E57FC9">
        <w:rPr>
          <w:b/>
          <w:sz w:val="24"/>
          <w:szCs w:val="24"/>
        </w:rPr>
        <w:t xml:space="preserve">Statement of Compatibility with Human Rights  </w:t>
      </w:r>
    </w:p>
    <w:p w14:paraId="43C2B048" w14:textId="77777777" w:rsidR="00F35D02" w:rsidRDefault="00952E1A" w:rsidP="004F119D">
      <w:pPr>
        <w:pStyle w:val="LI-BodyTextParaa"/>
        <w:numPr>
          <w:ilvl w:val="0"/>
          <w:numId w:val="3"/>
        </w:numPr>
        <w:spacing w:after="160" w:line="259" w:lineRule="auto"/>
      </w:pPr>
      <w:bookmarkStart w:id="7" w:name="_Hlk36817707"/>
      <w:r w:rsidRPr="00E57FC9">
        <w:t xml:space="preserve">The Explanatory Statement for a disallowable legislative instrument must contain a Statement of Compatibility with Human Rights under subsection 9(1) of the </w:t>
      </w:r>
      <w:r w:rsidRPr="004F119D">
        <w:rPr>
          <w:i/>
          <w:iCs/>
        </w:rPr>
        <w:t>Human Rights (Parliamentary Scrutiny) Act 2011.</w:t>
      </w:r>
      <w:r w:rsidRPr="004F119D">
        <w:rPr>
          <w:iCs/>
        </w:rPr>
        <w:t xml:space="preserve"> </w:t>
      </w:r>
      <w:r w:rsidRPr="00E57FC9">
        <w:t xml:space="preserve">A Statement of Compatibility with Human Rights is </w:t>
      </w:r>
      <w:r w:rsidR="00111F6E">
        <w:t xml:space="preserve">set out </w:t>
      </w:r>
      <w:r w:rsidRPr="00E57FC9">
        <w:t xml:space="preserve">in </w:t>
      </w:r>
      <w:r w:rsidRPr="004F119D">
        <w:rPr>
          <w:u w:val="single"/>
        </w:rPr>
        <w:t xml:space="preserve">Attachment </w:t>
      </w:r>
      <w:r w:rsidR="007B570C">
        <w:rPr>
          <w:u w:val="single"/>
        </w:rPr>
        <w:t>A</w:t>
      </w:r>
      <w:r w:rsidRPr="00E57FC9">
        <w:t xml:space="preserve">. </w:t>
      </w:r>
    </w:p>
    <w:p w14:paraId="670FAAD3" w14:textId="3C5FD6DD" w:rsidR="00493349" w:rsidRPr="004F119D" w:rsidRDefault="00493349" w:rsidP="004F119D">
      <w:pPr>
        <w:pStyle w:val="LI-BodyTextParaa"/>
        <w:numPr>
          <w:ilvl w:val="0"/>
          <w:numId w:val="3"/>
        </w:numPr>
        <w:spacing w:after="160" w:line="259" w:lineRule="auto"/>
      </w:pPr>
      <w:r>
        <w:br w:type="page"/>
      </w:r>
    </w:p>
    <w:p w14:paraId="088279A2" w14:textId="6DA1D6FC" w:rsidR="00493349" w:rsidRPr="00952E1A" w:rsidRDefault="00493349" w:rsidP="00493349">
      <w:pPr>
        <w:spacing w:before="240" w:after="0"/>
        <w:ind w:left="567" w:hanging="567"/>
        <w:jc w:val="right"/>
        <w:rPr>
          <w:sz w:val="24"/>
          <w:szCs w:val="24"/>
          <w:u w:val="single"/>
        </w:rPr>
      </w:pPr>
      <w:r w:rsidRPr="00952E1A">
        <w:rPr>
          <w:sz w:val="24"/>
          <w:szCs w:val="24"/>
          <w:u w:val="single"/>
        </w:rPr>
        <w:lastRenderedPageBreak/>
        <w:t xml:space="preserve">Attachment </w:t>
      </w:r>
      <w:r>
        <w:rPr>
          <w:sz w:val="24"/>
          <w:szCs w:val="24"/>
          <w:u w:val="single"/>
        </w:rPr>
        <w:t>A</w:t>
      </w:r>
    </w:p>
    <w:bookmarkEnd w:id="7"/>
    <w:p w14:paraId="5EEDCA76" w14:textId="77777777" w:rsidR="00952E1A" w:rsidRPr="00952E1A" w:rsidRDefault="00952E1A" w:rsidP="00952E1A">
      <w:pPr>
        <w:spacing w:before="240" w:after="0"/>
        <w:ind w:left="567" w:hanging="567"/>
        <w:jc w:val="center"/>
        <w:rPr>
          <w:b/>
          <w:sz w:val="24"/>
          <w:szCs w:val="24"/>
        </w:rPr>
      </w:pPr>
      <w:r w:rsidRPr="00952E1A">
        <w:rPr>
          <w:b/>
          <w:sz w:val="24"/>
          <w:szCs w:val="24"/>
        </w:rPr>
        <w:t>Statement of Compatibility with Human Rights</w:t>
      </w:r>
    </w:p>
    <w:p w14:paraId="637D0112" w14:textId="77777777" w:rsidR="00952E1A" w:rsidRPr="00952E1A" w:rsidRDefault="00952E1A" w:rsidP="00952E1A">
      <w:pPr>
        <w:spacing w:before="240" w:after="0"/>
        <w:rPr>
          <w:iCs/>
          <w:sz w:val="24"/>
          <w:szCs w:val="24"/>
        </w:rPr>
      </w:pPr>
      <w:bookmarkStart w:id="8" w:name="_Hlk534286677"/>
    </w:p>
    <w:p w14:paraId="4D9EFCC9" w14:textId="77777777" w:rsidR="00952E1A" w:rsidRPr="00952E1A" w:rsidRDefault="00952E1A" w:rsidP="00952E1A">
      <w:pPr>
        <w:spacing w:before="240" w:after="0"/>
        <w:rPr>
          <w:iCs/>
          <w:sz w:val="24"/>
          <w:szCs w:val="24"/>
        </w:rPr>
      </w:pPr>
      <w:r w:rsidRPr="00952E1A">
        <w:rPr>
          <w:iCs/>
          <w:sz w:val="24"/>
          <w:szCs w:val="24"/>
        </w:rPr>
        <w:t xml:space="preserve">This Statement of Compatibility with Human Rights is prepared in accordance with Part 3 of </w:t>
      </w:r>
      <w:bookmarkStart w:id="9" w:name="_Hlk4054932"/>
      <w:r w:rsidRPr="00952E1A">
        <w:rPr>
          <w:iCs/>
          <w:sz w:val="24"/>
          <w:szCs w:val="24"/>
        </w:rPr>
        <w:t xml:space="preserve">the </w:t>
      </w:r>
      <w:r w:rsidRPr="00952E1A">
        <w:rPr>
          <w:i/>
          <w:iCs/>
          <w:sz w:val="24"/>
          <w:szCs w:val="24"/>
        </w:rPr>
        <w:t>Human Rights (Parliamentary Scrutiny) Act 2011</w:t>
      </w:r>
      <w:bookmarkEnd w:id="9"/>
      <w:r w:rsidRPr="00952E1A">
        <w:rPr>
          <w:iCs/>
          <w:sz w:val="24"/>
          <w:szCs w:val="24"/>
        </w:rPr>
        <w:t xml:space="preserve">.   </w:t>
      </w:r>
    </w:p>
    <w:p w14:paraId="67547E6A" w14:textId="59B14AF9" w:rsidR="00952E1A" w:rsidRPr="00952E1A" w:rsidRDefault="00952E1A" w:rsidP="00952E1A">
      <w:pPr>
        <w:spacing w:before="240" w:after="0"/>
        <w:rPr>
          <w:b/>
          <w:i/>
          <w:sz w:val="24"/>
          <w:szCs w:val="24"/>
        </w:rPr>
      </w:pPr>
      <w:r w:rsidRPr="00020F5A">
        <w:rPr>
          <w:b/>
          <w:i/>
          <w:sz w:val="24"/>
          <w:szCs w:val="24"/>
        </w:rPr>
        <w:t>ASIC Corporations (</w:t>
      </w:r>
      <w:r w:rsidR="00200D64" w:rsidRPr="00020F5A">
        <w:rPr>
          <w:b/>
          <w:bCs/>
          <w:i/>
          <w:iCs/>
        </w:rPr>
        <w:t xml:space="preserve">Product Intervention </w:t>
      </w:r>
      <w:r w:rsidR="00393396" w:rsidRPr="00020F5A">
        <w:rPr>
          <w:b/>
          <w:bCs/>
          <w:i/>
          <w:iCs/>
        </w:rPr>
        <w:t xml:space="preserve">Order </w:t>
      </w:r>
      <w:r w:rsidR="00200D64" w:rsidRPr="00020F5A">
        <w:rPr>
          <w:b/>
          <w:bCs/>
          <w:i/>
          <w:iCs/>
        </w:rPr>
        <w:t>Extension</w:t>
      </w:r>
      <w:r w:rsidR="00B73BE8" w:rsidRPr="00020F5A">
        <w:rPr>
          <w:b/>
          <w:bCs/>
          <w:i/>
          <w:iCs/>
        </w:rPr>
        <w:t xml:space="preserve"> – Contracts for </w:t>
      </w:r>
      <w:r w:rsidR="00393396" w:rsidRPr="00020F5A">
        <w:rPr>
          <w:b/>
          <w:bCs/>
          <w:i/>
          <w:iCs/>
        </w:rPr>
        <w:t>D</w:t>
      </w:r>
      <w:r w:rsidR="00B73BE8" w:rsidRPr="00020F5A">
        <w:rPr>
          <w:b/>
          <w:bCs/>
          <w:i/>
          <w:iCs/>
        </w:rPr>
        <w:t>ifference</w:t>
      </w:r>
      <w:r w:rsidR="00200D64" w:rsidRPr="00020F5A">
        <w:rPr>
          <w:b/>
          <w:bCs/>
          <w:i/>
          <w:iCs/>
        </w:rPr>
        <w:t>)</w:t>
      </w:r>
      <w:r w:rsidRPr="00020F5A">
        <w:rPr>
          <w:b/>
          <w:bCs/>
          <w:i/>
          <w:sz w:val="24"/>
          <w:szCs w:val="24"/>
        </w:rPr>
        <w:t xml:space="preserve"> Instrument</w:t>
      </w:r>
      <w:r w:rsidRPr="00020F5A">
        <w:rPr>
          <w:b/>
          <w:i/>
          <w:sz w:val="24"/>
          <w:szCs w:val="24"/>
        </w:rPr>
        <w:t xml:space="preserve"> 202</w:t>
      </w:r>
      <w:r w:rsidR="007B570C" w:rsidRPr="00020F5A">
        <w:rPr>
          <w:b/>
          <w:i/>
          <w:sz w:val="24"/>
          <w:szCs w:val="24"/>
        </w:rPr>
        <w:t>2</w:t>
      </w:r>
      <w:r w:rsidRPr="00020F5A">
        <w:rPr>
          <w:b/>
          <w:i/>
          <w:sz w:val="24"/>
          <w:szCs w:val="24"/>
        </w:rPr>
        <w:t>/</w:t>
      </w:r>
      <w:r w:rsidR="00020F5A" w:rsidRPr="00020F5A">
        <w:rPr>
          <w:b/>
          <w:i/>
          <w:sz w:val="24"/>
          <w:szCs w:val="24"/>
        </w:rPr>
        <w:t>259.</w:t>
      </w:r>
    </w:p>
    <w:p w14:paraId="2F8288B8" w14:textId="77777777" w:rsidR="00952E1A" w:rsidRPr="00952E1A" w:rsidRDefault="00952E1A" w:rsidP="00952E1A">
      <w:pPr>
        <w:spacing w:before="240" w:after="0"/>
        <w:ind w:left="567" w:hanging="567"/>
        <w:rPr>
          <w:sz w:val="24"/>
          <w:szCs w:val="24"/>
          <w:u w:val="single"/>
        </w:rPr>
      </w:pPr>
      <w:r w:rsidRPr="00952E1A">
        <w:rPr>
          <w:sz w:val="24"/>
          <w:szCs w:val="24"/>
          <w:u w:val="single"/>
        </w:rPr>
        <w:t>Overview</w:t>
      </w:r>
    </w:p>
    <w:p w14:paraId="3DC3B703" w14:textId="74422CAE" w:rsidR="00952E1A" w:rsidRPr="002B4A89" w:rsidRDefault="003A660E" w:rsidP="003A660E">
      <w:pPr>
        <w:spacing w:before="240" w:after="0"/>
        <w:ind w:left="567" w:hanging="567"/>
        <w:rPr>
          <w:sz w:val="24"/>
          <w:szCs w:val="24"/>
        </w:rPr>
      </w:pPr>
      <w:r>
        <w:rPr>
          <w:sz w:val="24"/>
          <w:szCs w:val="24"/>
        </w:rPr>
        <w:t>1.</w:t>
      </w:r>
      <w:r>
        <w:rPr>
          <w:sz w:val="24"/>
          <w:szCs w:val="24"/>
        </w:rPr>
        <w:tab/>
      </w:r>
      <w:r w:rsidR="001C0125" w:rsidRPr="002B4A89">
        <w:rPr>
          <w:sz w:val="24"/>
          <w:szCs w:val="24"/>
        </w:rPr>
        <w:t>Th</w:t>
      </w:r>
      <w:r w:rsidR="00442274">
        <w:rPr>
          <w:sz w:val="24"/>
          <w:szCs w:val="24"/>
        </w:rPr>
        <w:t>is</w:t>
      </w:r>
      <w:r w:rsidR="001C0125" w:rsidRPr="002B4A89">
        <w:rPr>
          <w:sz w:val="24"/>
          <w:szCs w:val="24"/>
        </w:rPr>
        <w:t xml:space="preserve"> instrument is a </w:t>
      </w:r>
      <w:r w:rsidR="00EC2312">
        <w:rPr>
          <w:sz w:val="24"/>
          <w:szCs w:val="24"/>
        </w:rPr>
        <w:t xml:space="preserve">declaration </w:t>
      </w:r>
      <w:r w:rsidR="001C0125" w:rsidRPr="002B4A89">
        <w:rPr>
          <w:sz w:val="24"/>
          <w:szCs w:val="24"/>
        </w:rPr>
        <w:t>made under subsection 1023</w:t>
      </w:r>
      <w:r w:rsidR="002B4A89" w:rsidRPr="002B4A89">
        <w:rPr>
          <w:sz w:val="24"/>
          <w:szCs w:val="24"/>
        </w:rPr>
        <w:t>H</w:t>
      </w:r>
      <w:r w:rsidR="001C0125" w:rsidRPr="002B4A89">
        <w:rPr>
          <w:sz w:val="24"/>
          <w:szCs w:val="24"/>
        </w:rPr>
        <w:t>(</w:t>
      </w:r>
      <w:r w:rsidR="002B4A89" w:rsidRPr="002B4A89">
        <w:rPr>
          <w:sz w:val="24"/>
          <w:szCs w:val="24"/>
        </w:rPr>
        <w:t>1</w:t>
      </w:r>
      <w:r w:rsidR="001C0125" w:rsidRPr="002B4A89">
        <w:rPr>
          <w:sz w:val="24"/>
          <w:szCs w:val="24"/>
        </w:rPr>
        <w:t xml:space="preserve">) of the Corporations Act 2001 (the </w:t>
      </w:r>
      <w:r w:rsidR="001C0125" w:rsidRPr="00A55A79">
        <w:rPr>
          <w:b/>
          <w:i/>
          <w:sz w:val="24"/>
          <w:szCs w:val="24"/>
        </w:rPr>
        <w:t>Act</w:t>
      </w:r>
      <w:r w:rsidR="001C0125" w:rsidRPr="002B4A89">
        <w:rPr>
          <w:sz w:val="24"/>
          <w:szCs w:val="24"/>
        </w:rPr>
        <w:t>)</w:t>
      </w:r>
      <w:r w:rsidR="00EC2312">
        <w:rPr>
          <w:sz w:val="24"/>
          <w:szCs w:val="24"/>
        </w:rPr>
        <w:t xml:space="preserve"> to extend a </w:t>
      </w:r>
      <w:r w:rsidR="00EC2312" w:rsidRPr="002B4A89">
        <w:rPr>
          <w:sz w:val="24"/>
          <w:szCs w:val="24"/>
        </w:rPr>
        <w:t>product intervention order</w:t>
      </w:r>
      <w:r>
        <w:rPr>
          <w:sz w:val="24"/>
          <w:szCs w:val="24"/>
        </w:rPr>
        <w:t xml:space="preserve"> so that it remains in force </w:t>
      </w:r>
      <w:r w:rsidR="00824C2C">
        <w:rPr>
          <w:sz w:val="24"/>
          <w:szCs w:val="24"/>
        </w:rPr>
        <w:t xml:space="preserve">for the period ending at the end of </w:t>
      </w:r>
      <w:r>
        <w:rPr>
          <w:sz w:val="24"/>
          <w:szCs w:val="24"/>
        </w:rPr>
        <w:t xml:space="preserve"> </w:t>
      </w:r>
      <w:r w:rsidR="00B83EA8">
        <w:rPr>
          <w:sz w:val="24"/>
          <w:szCs w:val="24"/>
        </w:rPr>
        <w:t>2</w:t>
      </w:r>
      <w:r w:rsidR="00077ABE">
        <w:rPr>
          <w:sz w:val="24"/>
          <w:szCs w:val="24"/>
        </w:rPr>
        <w:t>3</w:t>
      </w:r>
      <w:r w:rsidR="00B83EA8">
        <w:rPr>
          <w:sz w:val="24"/>
          <w:szCs w:val="24"/>
        </w:rPr>
        <w:t xml:space="preserve"> May</w:t>
      </w:r>
      <w:r w:rsidR="00CF4FB2">
        <w:rPr>
          <w:sz w:val="24"/>
          <w:szCs w:val="24"/>
        </w:rPr>
        <w:t xml:space="preserve"> 2027</w:t>
      </w:r>
      <w:r w:rsidR="00AA00DA">
        <w:rPr>
          <w:sz w:val="24"/>
          <w:szCs w:val="24"/>
        </w:rPr>
        <w:t>,</w:t>
      </w:r>
      <w:r w:rsidR="006A6B32">
        <w:rPr>
          <w:sz w:val="24"/>
          <w:szCs w:val="24"/>
        </w:rPr>
        <w:t xml:space="preserve"> unless </w:t>
      </w:r>
      <w:r>
        <w:rPr>
          <w:sz w:val="24"/>
          <w:szCs w:val="24"/>
        </w:rPr>
        <w:t>it is revoked</w:t>
      </w:r>
      <w:r w:rsidR="006A6B32">
        <w:rPr>
          <w:sz w:val="24"/>
          <w:szCs w:val="24"/>
        </w:rPr>
        <w:t xml:space="preserve"> earlier</w:t>
      </w:r>
      <w:r w:rsidR="001C0125" w:rsidRPr="002B4A89">
        <w:rPr>
          <w:sz w:val="24"/>
          <w:szCs w:val="24"/>
        </w:rPr>
        <w:t xml:space="preserve">. </w:t>
      </w:r>
      <w:r w:rsidR="00442274" w:rsidRPr="002B4A89">
        <w:rPr>
          <w:sz w:val="24"/>
          <w:szCs w:val="24"/>
        </w:rPr>
        <w:t>Th</w:t>
      </w:r>
      <w:r w:rsidR="00442274">
        <w:rPr>
          <w:sz w:val="24"/>
          <w:szCs w:val="24"/>
        </w:rPr>
        <w:t>is</w:t>
      </w:r>
      <w:r w:rsidR="00442274" w:rsidRPr="002B4A89">
        <w:rPr>
          <w:sz w:val="24"/>
          <w:szCs w:val="24"/>
        </w:rPr>
        <w:t xml:space="preserve"> </w:t>
      </w:r>
      <w:r w:rsidR="00EC2312">
        <w:rPr>
          <w:sz w:val="24"/>
          <w:szCs w:val="24"/>
        </w:rPr>
        <w:t>instrument</w:t>
      </w:r>
      <w:r w:rsidR="002B4A89" w:rsidRPr="002B4A89">
        <w:rPr>
          <w:sz w:val="24"/>
          <w:szCs w:val="24"/>
        </w:rPr>
        <w:t xml:space="preserve"> extends </w:t>
      </w:r>
      <w:r w:rsidR="002B4A89" w:rsidRPr="002B4A89">
        <w:rPr>
          <w:i/>
          <w:iCs/>
          <w:sz w:val="24"/>
          <w:szCs w:val="24"/>
        </w:rPr>
        <w:t>ASIC Corporations (Product Intervention Order–Contracts for Difference) Instrument 2020/986</w:t>
      </w:r>
      <w:r w:rsidR="002B4A89" w:rsidRPr="002B4A89">
        <w:rPr>
          <w:sz w:val="24"/>
          <w:szCs w:val="24"/>
        </w:rPr>
        <w:t xml:space="preserve"> </w:t>
      </w:r>
      <w:r w:rsidR="003727E9">
        <w:rPr>
          <w:sz w:val="24"/>
          <w:szCs w:val="24"/>
        </w:rPr>
        <w:t>(</w:t>
      </w:r>
      <w:r w:rsidR="003727E9" w:rsidRPr="00AB31F0">
        <w:rPr>
          <w:b/>
          <w:bCs/>
          <w:i/>
          <w:iCs/>
          <w:sz w:val="24"/>
          <w:szCs w:val="24"/>
        </w:rPr>
        <w:t>Principal Instrument</w:t>
      </w:r>
      <w:r w:rsidR="003727E9">
        <w:rPr>
          <w:sz w:val="24"/>
          <w:szCs w:val="24"/>
        </w:rPr>
        <w:t xml:space="preserve">) </w:t>
      </w:r>
      <w:r w:rsidR="002B4A89" w:rsidRPr="002B4A89">
        <w:rPr>
          <w:sz w:val="24"/>
          <w:szCs w:val="24"/>
        </w:rPr>
        <w:t>which</w:t>
      </w:r>
      <w:r w:rsidR="001C0125" w:rsidRPr="002B4A89">
        <w:rPr>
          <w:sz w:val="24"/>
          <w:szCs w:val="24"/>
        </w:rPr>
        <w:t xml:space="preserve"> </w:t>
      </w:r>
      <w:r w:rsidR="00225897" w:rsidRPr="002B4A89">
        <w:rPr>
          <w:sz w:val="24"/>
          <w:szCs w:val="24"/>
        </w:rPr>
        <w:t xml:space="preserve">imposes certain </w:t>
      </w:r>
      <w:r w:rsidR="001C0125" w:rsidRPr="002B4A89">
        <w:rPr>
          <w:sz w:val="24"/>
          <w:szCs w:val="24"/>
        </w:rPr>
        <w:t>condition</w:t>
      </w:r>
      <w:r w:rsidR="00225897" w:rsidRPr="002B4A89">
        <w:rPr>
          <w:sz w:val="24"/>
          <w:szCs w:val="24"/>
        </w:rPr>
        <w:t xml:space="preserve">s in relation to </w:t>
      </w:r>
      <w:r w:rsidR="001C0125" w:rsidRPr="002B4A89">
        <w:rPr>
          <w:rFonts w:eastAsia="Calibri"/>
          <w:lang w:eastAsia="en-US"/>
        </w:rPr>
        <w:t xml:space="preserve">specified </w:t>
      </w:r>
      <w:r w:rsidR="001C0125" w:rsidRPr="002B4A89">
        <w:rPr>
          <w:rFonts w:eastAsia="Calibri"/>
          <w:sz w:val="24"/>
          <w:szCs w:val="24"/>
          <w:lang w:eastAsia="en-US"/>
        </w:rPr>
        <w:t>dealing</w:t>
      </w:r>
      <w:r w:rsidR="00F03766" w:rsidRPr="002B4A89">
        <w:rPr>
          <w:rFonts w:eastAsia="Calibri"/>
          <w:sz w:val="24"/>
          <w:szCs w:val="24"/>
          <w:lang w:eastAsia="en-US"/>
        </w:rPr>
        <w:t>s</w:t>
      </w:r>
      <w:r w:rsidR="001C0125" w:rsidRPr="002B4A89">
        <w:rPr>
          <w:rFonts w:eastAsia="Calibri"/>
          <w:sz w:val="24"/>
          <w:szCs w:val="24"/>
          <w:lang w:eastAsia="en-US"/>
        </w:rPr>
        <w:t xml:space="preserve"> in </w:t>
      </w:r>
      <w:proofErr w:type="gramStart"/>
      <w:r w:rsidR="001C0125" w:rsidRPr="002B4A89">
        <w:rPr>
          <w:rFonts w:eastAsia="Calibri"/>
          <w:sz w:val="24"/>
          <w:szCs w:val="24"/>
          <w:lang w:eastAsia="en-US"/>
        </w:rPr>
        <w:t>over-the-counter</w:t>
      </w:r>
      <w:proofErr w:type="gramEnd"/>
      <w:r w:rsidR="001C0125" w:rsidRPr="002B4A89">
        <w:rPr>
          <w:rFonts w:eastAsia="Calibri"/>
          <w:sz w:val="24"/>
          <w:szCs w:val="24"/>
          <w:lang w:eastAsia="en-US"/>
        </w:rPr>
        <w:t xml:space="preserve"> (</w:t>
      </w:r>
      <w:r w:rsidR="001C0125" w:rsidRPr="00A55A79">
        <w:rPr>
          <w:rFonts w:eastAsia="Calibri"/>
          <w:b/>
          <w:i/>
          <w:sz w:val="24"/>
          <w:szCs w:val="24"/>
          <w:lang w:eastAsia="en-US"/>
        </w:rPr>
        <w:t>OTC</w:t>
      </w:r>
      <w:r w:rsidR="001C0125" w:rsidRPr="002B4A89">
        <w:rPr>
          <w:rFonts w:eastAsia="Calibri"/>
          <w:sz w:val="24"/>
          <w:szCs w:val="24"/>
          <w:lang w:eastAsia="en-US"/>
        </w:rPr>
        <w:t>) contracts for difference (</w:t>
      </w:r>
      <w:proofErr w:type="spellStart"/>
      <w:r w:rsidR="001C0125" w:rsidRPr="00A55A79">
        <w:rPr>
          <w:rFonts w:eastAsia="Calibri"/>
          <w:b/>
          <w:i/>
          <w:sz w:val="24"/>
          <w:szCs w:val="24"/>
          <w:lang w:eastAsia="en-US"/>
        </w:rPr>
        <w:t>CFD</w:t>
      </w:r>
      <w:r w:rsidR="001C0125" w:rsidRPr="002B4A89">
        <w:rPr>
          <w:rFonts w:eastAsia="Calibri"/>
          <w:lang w:eastAsia="en-US"/>
        </w:rPr>
        <w:t>s</w:t>
      </w:r>
      <w:proofErr w:type="spellEnd"/>
      <w:r w:rsidR="001C0125" w:rsidRPr="002B4A89">
        <w:rPr>
          <w:rFonts w:eastAsia="Calibri"/>
          <w:sz w:val="24"/>
          <w:szCs w:val="24"/>
          <w:lang w:eastAsia="en-US"/>
        </w:rPr>
        <w:t>) (a class of financial product) in relation to retail clients</w:t>
      </w:r>
      <w:r w:rsidR="00AA00DA">
        <w:rPr>
          <w:rFonts w:eastAsia="Calibri"/>
          <w:sz w:val="24"/>
          <w:szCs w:val="24"/>
          <w:lang w:eastAsia="en-US"/>
        </w:rPr>
        <w:t xml:space="preserve"> and</w:t>
      </w:r>
      <w:r w:rsidR="001C0125" w:rsidRPr="002B4A89">
        <w:rPr>
          <w:rFonts w:eastAsia="Calibri"/>
          <w:sz w:val="24"/>
          <w:szCs w:val="24"/>
          <w:lang w:eastAsia="en-US"/>
        </w:rPr>
        <w:t xml:space="preserve"> </w:t>
      </w:r>
      <w:r w:rsidR="001C0125" w:rsidRPr="002B4A89">
        <w:rPr>
          <w:sz w:val="24"/>
          <w:szCs w:val="24"/>
        </w:rPr>
        <w:t xml:space="preserve">prohibits giving or offering </w:t>
      </w:r>
      <w:r w:rsidR="00225897" w:rsidRPr="002B4A89">
        <w:rPr>
          <w:sz w:val="24"/>
          <w:szCs w:val="24"/>
        </w:rPr>
        <w:t xml:space="preserve">certain </w:t>
      </w:r>
      <w:r w:rsidR="001C0125" w:rsidRPr="002B4A89">
        <w:rPr>
          <w:sz w:val="24"/>
          <w:szCs w:val="24"/>
        </w:rPr>
        <w:t>benefit</w:t>
      </w:r>
      <w:r w:rsidR="00AA00DA">
        <w:rPr>
          <w:sz w:val="24"/>
          <w:szCs w:val="24"/>
        </w:rPr>
        <w:t>s</w:t>
      </w:r>
      <w:r w:rsidR="001C0125" w:rsidRPr="002B4A89">
        <w:rPr>
          <w:sz w:val="24"/>
          <w:szCs w:val="24"/>
        </w:rPr>
        <w:t xml:space="preserve"> to retail clients or prospective retail clients in specified circumstances</w:t>
      </w:r>
      <w:r w:rsidR="001C0125" w:rsidRPr="002B4A89">
        <w:rPr>
          <w:rFonts w:eastAsia="Calibri"/>
          <w:sz w:val="24"/>
          <w:szCs w:val="24"/>
          <w:lang w:eastAsia="en-US"/>
        </w:rPr>
        <w:t>.</w:t>
      </w:r>
    </w:p>
    <w:p w14:paraId="4EB34EE1" w14:textId="6C884851" w:rsidR="003A660E" w:rsidRDefault="003A660E" w:rsidP="003A660E">
      <w:pPr>
        <w:spacing w:before="240" w:after="0"/>
        <w:ind w:left="567" w:hanging="567"/>
        <w:rPr>
          <w:sz w:val="24"/>
          <w:szCs w:val="24"/>
        </w:rPr>
      </w:pPr>
      <w:r>
        <w:rPr>
          <w:sz w:val="24"/>
          <w:szCs w:val="24"/>
        </w:rPr>
        <w:t>2.</w:t>
      </w:r>
      <w:r>
        <w:rPr>
          <w:sz w:val="24"/>
          <w:szCs w:val="24"/>
        </w:rPr>
        <w:tab/>
      </w:r>
      <w:r w:rsidR="00AA00DA" w:rsidRPr="002B16CA">
        <w:rPr>
          <w:sz w:val="24"/>
          <w:szCs w:val="24"/>
        </w:rPr>
        <w:t>Before ASIC made the instrument, ASIC provided a report to the Minister under s</w:t>
      </w:r>
      <w:r w:rsidR="00FE7E22">
        <w:rPr>
          <w:sz w:val="24"/>
          <w:szCs w:val="24"/>
        </w:rPr>
        <w:t xml:space="preserve">ubsection </w:t>
      </w:r>
      <w:r w:rsidR="00AA00DA" w:rsidRPr="002B16CA">
        <w:rPr>
          <w:sz w:val="24"/>
          <w:szCs w:val="24"/>
        </w:rPr>
        <w:t xml:space="preserve">1023H(3) of the Act on whether the instrument should be made. </w:t>
      </w:r>
      <w:r w:rsidR="00AA00DA">
        <w:rPr>
          <w:sz w:val="24"/>
          <w:szCs w:val="24"/>
        </w:rPr>
        <w:t>T</w:t>
      </w:r>
      <w:r w:rsidRPr="00AB31F0">
        <w:rPr>
          <w:sz w:val="24"/>
          <w:szCs w:val="24"/>
        </w:rPr>
        <w:t>he Minister gave his written approval under subsection 1023H(4) of the Act for ASIC to make the instrument.</w:t>
      </w:r>
    </w:p>
    <w:p w14:paraId="11548039" w14:textId="361225BE" w:rsidR="003A660E" w:rsidRPr="00AB31F0" w:rsidRDefault="003A660E" w:rsidP="003A660E">
      <w:pPr>
        <w:spacing w:before="240" w:after="0"/>
        <w:ind w:left="567" w:hanging="567"/>
        <w:rPr>
          <w:sz w:val="24"/>
          <w:szCs w:val="24"/>
        </w:rPr>
      </w:pPr>
      <w:r>
        <w:rPr>
          <w:rFonts w:eastAsia="Calibri"/>
          <w:sz w:val="24"/>
          <w:szCs w:val="24"/>
          <w:lang w:eastAsia="en-US"/>
        </w:rPr>
        <w:t>3.</w:t>
      </w:r>
      <w:r>
        <w:rPr>
          <w:rFonts w:eastAsia="Calibri"/>
          <w:sz w:val="24"/>
          <w:szCs w:val="24"/>
          <w:lang w:eastAsia="en-US"/>
        </w:rPr>
        <w:tab/>
      </w:r>
      <w:r w:rsidRPr="003A660E">
        <w:rPr>
          <w:rFonts w:eastAsia="Calibri"/>
          <w:sz w:val="24"/>
          <w:szCs w:val="24"/>
          <w:lang w:eastAsia="en-US"/>
        </w:rPr>
        <w:t xml:space="preserve">By </w:t>
      </w:r>
      <w:r w:rsidR="00EC2312" w:rsidRPr="003A660E">
        <w:rPr>
          <w:rFonts w:eastAsia="Calibri"/>
          <w:sz w:val="24"/>
          <w:szCs w:val="24"/>
          <w:lang w:eastAsia="en-US"/>
        </w:rPr>
        <w:t>declar</w:t>
      </w:r>
      <w:r w:rsidRPr="003A660E">
        <w:rPr>
          <w:rFonts w:eastAsia="Calibri"/>
          <w:sz w:val="24"/>
          <w:szCs w:val="24"/>
          <w:lang w:eastAsia="en-US"/>
        </w:rPr>
        <w:t>ing</w:t>
      </w:r>
      <w:r w:rsidR="00EC2312" w:rsidRPr="003A660E">
        <w:rPr>
          <w:rFonts w:eastAsia="Calibri"/>
          <w:sz w:val="24"/>
          <w:szCs w:val="24"/>
          <w:lang w:eastAsia="en-US"/>
        </w:rPr>
        <w:t xml:space="preserve"> </w:t>
      </w:r>
      <w:r w:rsidRPr="00AB31F0">
        <w:rPr>
          <w:sz w:val="24"/>
          <w:szCs w:val="24"/>
        </w:rPr>
        <w:t xml:space="preserve">that the Principal Instrument remains in force </w:t>
      </w:r>
      <w:r w:rsidR="00824C2C">
        <w:rPr>
          <w:sz w:val="24"/>
          <w:szCs w:val="24"/>
        </w:rPr>
        <w:t xml:space="preserve">for the period ending at the end of </w:t>
      </w:r>
      <w:r w:rsidR="00CF4FB2">
        <w:rPr>
          <w:sz w:val="24"/>
          <w:szCs w:val="24"/>
        </w:rPr>
        <w:t xml:space="preserve"> </w:t>
      </w:r>
      <w:r w:rsidR="00B83EA8">
        <w:rPr>
          <w:sz w:val="24"/>
          <w:szCs w:val="24"/>
        </w:rPr>
        <w:t>2</w:t>
      </w:r>
      <w:r w:rsidR="00077ABE">
        <w:rPr>
          <w:sz w:val="24"/>
          <w:szCs w:val="24"/>
        </w:rPr>
        <w:t>3</w:t>
      </w:r>
      <w:r w:rsidR="00B83EA8">
        <w:rPr>
          <w:sz w:val="24"/>
          <w:szCs w:val="24"/>
        </w:rPr>
        <w:t xml:space="preserve"> May</w:t>
      </w:r>
      <w:r w:rsidR="00CF4FB2">
        <w:rPr>
          <w:sz w:val="24"/>
          <w:szCs w:val="24"/>
        </w:rPr>
        <w:t xml:space="preserve"> 2027</w:t>
      </w:r>
      <w:r w:rsidR="006A6B32">
        <w:rPr>
          <w:sz w:val="24"/>
          <w:szCs w:val="24"/>
        </w:rPr>
        <w:t>,</w:t>
      </w:r>
      <w:r w:rsidR="00AA00DA">
        <w:rPr>
          <w:sz w:val="24"/>
          <w:szCs w:val="24"/>
        </w:rPr>
        <w:t xml:space="preserve"> unless it is revoked earlier</w:t>
      </w:r>
      <w:r w:rsidRPr="00AB31F0">
        <w:rPr>
          <w:sz w:val="24"/>
          <w:szCs w:val="24"/>
        </w:rPr>
        <w:t>, the Principal Instrument can continue</w:t>
      </w:r>
      <w:r w:rsidR="00EC2312" w:rsidRPr="003A660E">
        <w:rPr>
          <w:rFonts w:eastAsia="Calibri"/>
          <w:sz w:val="24"/>
          <w:szCs w:val="24"/>
          <w:lang w:eastAsia="en-US"/>
        </w:rPr>
        <w:t xml:space="preserve"> to </w:t>
      </w:r>
      <w:r w:rsidR="00952E1A" w:rsidRPr="003A660E">
        <w:rPr>
          <w:rFonts w:eastAsia="Calibri"/>
          <w:sz w:val="24"/>
          <w:szCs w:val="24"/>
          <w:lang w:eastAsia="en-US"/>
        </w:rPr>
        <w:t xml:space="preserve">reduce the risk of significant detriment to retail clients resulting from OTC </w:t>
      </w:r>
      <w:proofErr w:type="spellStart"/>
      <w:r w:rsidR="00657C85" w:rsidRPr="003A660E">
        <w:rPr>
          <w:rFonts w:eastAsia="Calibri"/>
          <w:sz w:val="24"/>
          <w:szCs w:val="24"/>
          <w:lang w:eastAsia="en-US"/>
        </w:rPr>
        <w:t>CFDs</w:t>
      </w:r>
      <w:proofErr w:type="spellEnd"/>
      <w:r w:rsidR="00952E1A" w:rsidRPr="003A660E">
        <w:rPr>
          <w:rFonts w:eastAsia="Calibri"/>
          <w:sz w:val="24"/>
          <w:szCs w:val="24"/>
          <w:lang w:eastAsia="en-US"/>
        </w:rPr>
        <w:t>.</w:t>
      </w:r>
      <w:r w:rsidRPr="00AB31F0">
        <w:rPr>
          <w:sz w:val="24"/>
          <w:szCs w:val="24"/>
        </w:rPr>
        <w:t xml:space="preserve"> </w:t>
      </w:r>
    </w:p>
    <w:p w14:paraId="655D70A2" w14:textId="77777777" w:rsidR="00952E1A" w:rsidRPr="00952E1A" w:rsidRDefault="00952E1A" w:rsidP="001C0125">
      <w:pPr>
        <w:keepNext/>
        <w:spacing w:before="240" w:after="0"/>
        <w:ind w:left="567" w:hanging="567"/>
        <w:rPr>
          <w:sz w:val="24"/>
          <w:szCs w:val="24"/>
          <w:u w:val="single"/>
        </w:rPr>
      </w:pPr>
      <w:bookmarkStart w:id="10" w:name="_Hlk534286807"/>
      <w:bookmarkEnd w:id="8"/>
      <w:r w:rsidRPr="00952E1A">
        <w:rPr>
          <w:sz w:val="24"/>
          <w:szCs w:val="24"/>
          <w:u w:val="single"/>
        </w:rPr>
        <w:t>Assessment of human rights implications</w:t>
      </w:r>
    </w:p>
    <w:p w14:paraId="4CB6F16F" w14:textId="07C4F235" w:rsidR="00952E1A" w:rsidRPr="00952E1A" w:rsidRDefault="003A660E" w:rsidP="00952E1A">
      <w:pPr>
        <w:spacing w:before="240" w:after="0"/>
        <w:ind w:left="567" w:hanging="567"/>
        <w:rPr>
          <w:sz w:val="24"/>
          <w:szCs w:val="24"/>
        </w:rPr>
      </w:pPr>
      <w:r>
        <w:rPr>
          <w:sz w:val="24"/>
          <w:szCs w:val="24"/>
        </w:rPr>
        <w:t>4</w:t>
      </w:r>
      <w:r w:rsidR="00952E1A" w:rsidRPr="00952E1A">
        <w:rPr>
          <w:sz w:val="24"/>
          <w:szCs w:val="24"/>
        </w:rPr>
        <w:t>.</w:t>
      </w:r>
      <w:r w:rsidR="00952E1A" w:rsidRPr="00952E1A">
        <w:rPr>
          <w:sz w:val="24"/>
          <w:szCs w:val="24"/>
        </w:rPr>
        <w:tab/>
      </w:r>
      <w:bookmarkEnd w:id="10"/>
      <w:r w:rsidR="00574D51" w:rsidRPr="00952E1A">
        <w:rPr>
          <w:sz w:val="24"/>
          <w:szCs w:val="24"/>
        </w:rPr>
        <w:t>Th</w:t>
      </w:r>
      <w:r w:rsidR="00574D51">
        <w:rPr>
          <w:sz w:val="24"/>
          <w:szCs w:val="24"/>
        </w:rPr>
        <w:t>is</w:t>
      </w:r>
      <w:r w:rsidR="00574D51" w:rsidRPr="00952E1A">
        <w:rPr>
          <w:sz w:val="24"/>
          <w:szCs w:val="24"/>
        </w:rPr>
        <w:t xml:space="preserve"> </w:t>
      </w:r>
      <w:r w:rsidR="00952E1A" w:rsidRPr="00952E1A">
        <w:rPr>
          <w:sz w:val="24"/>
          <w:szCs w:val="24"/>
        </w:rPr>
        <w:t>instrument does not engage any of the applicable rights or freedoms.</w:t>
      </w:r>
    </w:p>
    <w:p w14:paraId="21590F76" w14:textId="77777777" w:rsidR="00952E1A" w:rsidRPr="00952E1A" w:rsidRDefault="00952E1A" w:rsidP="00952E1A">
      <w:pPr>
        <w:spacing w:before="240" w:after="0"/>
        <w:ind w:left="567" w:hanging="567"/>
        <w:rPr>
          <w:sz w:val="24"/>
          <w:szCs w:val="24"/>
          <w:u w:val="single"/>
        </w:rPr>
      </w:pPr>
      <w:r w:rsidRPr="00952E1A">
        <w:rPr>
          <w:sz w:val="24"/>
          <w:szCs w:val="24"/>
          <w:u w:val="single"/>
        </w:rPr>
        <w:t>Conclusion</w:t>
      </w:r>
    </w:p>
    <w:p w14:paraId="70B2D710" w14:textId="0F5538BB" w:rsidR="00952E1A" w:rsidRPr="00952E1A" w:rsidRDefault="003A660E" w:rsidP="00952E1A">
      <w:pPr>
        <w:spacing w:before="240" w:after="0"/>
        <w:ind w:left="567" w:hanging="567"/>
        <w:rPr>
          <w:sz w:val="24"/>
          <w:szCs w:val="24"/>
        </w:rPr>
      </w:pPr>
      <w:r>
        <w:rPr>
          <w:sz w:val="24"/>
          <w:szCs w:val="24"/>
        </w:rPr>
        <w:t>5</w:t>
      </w:r>
      <w:r w:rsidR="00952E1A" w:rsidRPr="00952E1A">
        <w:rPr>
          <w:sz w:val="24"/>
          <w:szCs w:val="24"/>
        </w:rPr>
        <w:t>.</w:t>
      </w:r>
      <w:r w:rsidR="00952E1A" w:rsidRPr="00952E1A">
        <w:rPr>
          <w:sz w:val="24"/>
          <w:szCs w:val="24"/>
        </w:rPr>
        <w:tab/>
      </w:r>
      <w:r w:rsidR="00574D51" w:rsidRPr="00056925">
        <w:rPr>
          <w:sz w:val="24"/>
          <w:szCs w:val="24"/>
        </w:rPr>
        <w:t>This instrument</w:t>
      </w:r>
      <w:r w:rsidR="001C0125">
        <w:rPr>
          <w:sz w:val="24"/>
          <w:szCs w:val="24"/>
        </w:rPr>
        <w:t xml:space="preserve"> </w:t>
      </w:r>
      <w:r w:rsidR="00952E1A" w:rsidRPr="00952E1A">
        <w:rPr>
          <w:sz w:val="24"/>
          <w:szCs w:val="24"/>
        </w:rPr>
        <w:t xml:space="preserve">is compatible with the human rights and freedoms recognised or declared in the international instruments listed in section 3 of </w:t>
      </w:r>
      <w:r w:rsidR="00952E1A" w:rsidRPr="00952E1A">
        <w:rPr>
          <w:iCs/>
          <w:sz w:val="24"/>
          <w:szCs w:val="24"/>
        </w:rPr>
        <w:t xml:space="preserve">the </w:t>
      </w:r>
      <w:r w:rsidR="00952E1A" w:rsidRPr="00952E1A">
        <w:rPr>
          <w:i/>
          <w:iCs/>
          <w:sz w:val="24"/>
          <w:szCs w:val="24"/>
        </w:rPr>
        <w:t>Human Rights (Parliamentary Scrutiny) Act 2011</w:t>
      </w:r>
      <w:r w:rsidR="00952E1A" w:rsidRPr="00952E1A">
        <w:rPr>
          <w:sz w:val="24"/>
          <w:szCs w:val="24"/>
        </w:rPr>
        <w:t>.</w:t>
      </w:r>
    </w:p>
    <w:sectPr w:rsidR="00952E1A" w:rsidRPr="00952E1A">
      <w:headerReference w:type="even" r:id="rId14"/>
      <w:headerReference w:type="default" r:id="rId15"/>
      <w:footerReference w:type="even" r:id="rId16"/>
      <w:footerReference w:type="default" r:id="rId17"/>
      <w:head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EBE4D" w14:textId="77777777" w:rsidR="00DC18EB" w:rsidRDefault="00DC18EB" w:rsidP="009B23BE">
      <w:pPr>
        <w:spacing w:after="0"/>
      </w:pPr>
      <w:r>
        <w:separator/>
      </w:r>
    </w:p>
  </w:endnote>
  <w:endnote w:type="continuationSeparator" w:id="0">
    <w:p w14:paraId="5CC3370A" w14:textId="77777777" w:rsidR="00DC18EB" w:rsidRDefault="00DC18EB" w:rsidP="009B23BE">
      <w:pPr>
        <w:spacing w:after="0"/>
      </w:pPr>
      <w:r>
        <w:continuationSeparator/>
      </w:r>
    </w:p>
  </w:endnote>
  <w:endnote w:type="continuationNotice" w:id="1">
    <w:p w14:paraId="0F0D7064" w14:textId="77777777" w:rsidR="00DC18EB" w:rsidRDefault="00DC18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56EB2" w14:textId="77777777" w:rsidR="00DC18EB" w:rsidRDefault="00DC1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720462CD" w14:textId="77777777" w:rsidR="00DC18EB" w:rsidRDefault="00DC18EB">
    <w:pPr>
      <w:pStyle w:val="Footer"/>
      <w:ind w:right="360"/>
    </w:pPr>
  </w:p>
  <w:p w14:paraId="2D4F3EE5" w14:textId="77777777" w:rsidR="00DC18EB" w:rsidRDefault="00DC18EB"/>
  <w:p w14:paraId="542CAABC" w14:textId="77777777" w:rsidR="00DC18EB" w:rsidRDefault="00DC18EB"/>
  <w:p w14:paraId="509EDC71" w14:textId="77777777" w:rsidR="00DC18EB" w:rsidRDefault="00DC18EB"/>
  <w:p w14:paraId="797BB556" w14:textId="77777777" w:rsidR="00DC18EB" w:rsidRDefault="00DC18EB"/>
  <w:p w14:paraId="19E89FBA" w14:textId="77777777" w:rsidR="00DC18EB" w:rsidRDefault="00DC18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FC545" w14:textId="6E7CA87D" w:rsidR="00DC18EB" w:rsidRDefault="00DC18EB">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8240" behindDoc="0" locked="1" layoutInCell="1" allowOverlap="1" wp14:anchorId="3985F314" wp14:editId="62CB1CA8">
              <wp:simplePos x="0" y="0"/>
              <wp:positionH relativeFrom="rightMargin">
                <wp:posOffset>-648335</wp:posOffset>
              </wp:positionH>
              <wp:positionV relativeFrom="paragraph">
                <wp:posOffset>36195</wp:posOffset>
              </wp:positionV>
              <wp:extent cx="657860" cy="158750"/>
              <wp:effectExtent l="1270" t="2540" r="0" b="63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714B7" w14:textId="77777777" w:rsidR="00DC18EB" w:rsidRPr="008F541E" w:rsidRDefault="00DC18EB" w:rsidP="00C63697">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Pr>
                              <w:rStyle w:val="PageNumber"/>
                              <w:rFonts w:ascii="Arial" w:hAnsi="Arial" w:cs="Arial"/>
                              <w:noProof/>
                              <w:color w:val="117DC7"/>
                              <w:sz w:val="16"/>
                              <w:szCs w:val="16"/>
                            </w:rPr>
                            <w:t>12</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85F314" id="_x0000_t202" coordsize="21600,21600" o:spt="202" path="m,l,21600r21600,l21600,xe">
              <v:stroke joinstyle="miter"/>
              <v:path gradientshapeok="t" o:connecttype="rect"/>
            </v:shapetype>
            <v:shape id="Text Box 12" o:spid="_x0000_s1026" type="#_x0000_t202" style="position:absolute;margin-left:-51.05pt;margin-top:2.85pt;width:51.8pt;height:12.5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" stroked="f">
              <v:textbox inset="0,0,0,0">
                <w:txbxContent>
                  <w:p w14:paraId="4B0714B7" w14:textId="77777777" w:rsidR="00DC18EB" w:rsidRPr="008F541E" w:rsidRDefault="00DC18EB" w:rsidP="00C63697">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Pr>
                        <w:rStyle w:val="PageNumber"/>
                        <w:rFonts w:ascii="Arial" w:hAnsi="Arial" w:cs="Arial"/>
                        <w:noProof/>
                        <w:color w:val="117DC7"/>
                        <w:sz w:val="16"/>
                        <w:szCs w:val="16"/>
                      </w:rPr>
                      <w:t>12</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CD91D" w14:textId="77777777" w:rsidR="00DC18EB" w:rsidRDefault="00DC18EB" w:rsidP="009B23BE">
      <w:pPr>
        <w:spacing w:after="0"/>
      </w:pPr>
      <w:r>
        <w:separator/>
      </w:r>
    </w:p>
  </w:footnote>
  <w:footnote w:type="continuationSeparator" w:id="0">
    <w:p w14:paraId="3243F347" w14:textId="77777777" w:rsidR="00DC18EB" w:rsidRDefault="00DC18EB" w:rsidP="009B23BE">
      <w:pPr>
        <w:spacing w:after="0"/>
      </w:pPr>
      <w:r>
        <w:continuationSeparator/>
      </w:r>
    </w:p>
  </w:footnote>
  <w:footnote w:type="continuationNotice" w:id="1">
    <w:p w14:paraId="5DBD0F5E" w14:textId="77777777" w:rsidR="00DC18EB" w:rsidRDefault="00DC18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C113" w14:textId="0E0850E5" w:rsidR="00DC18EB" w:rsidRDefault="00DC18EB"/>
  <w:p w14:paraId="0E30C09C" w14:textId="77777777" w:rsidR="00DC18EB" w:rsidRDefault="00DC18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6124" w14:textId="70142560" w:rsidR="00DC18EB" w:rsidRDefault="00DC18EB" w:rsidP="00E9544C">
    <w:pPr>
      <w:pStyle w:val="Footer"/>
      <w:jc w:val="right"/>
      <w:rPr>
        <w:color w:val="117DC7"/>
      </w:rPr>
    </w:pPr>
  </w:p>
  <w:p w14:paraId="46D0716D" w14:textId="77777777" w:rsidR="00DC18EB" w:rsidRDefault="00DC18E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6D86" w14:textId="14409E5F" w:rsidR="00DC18EB" w:rsidRDefault="00DC18EB">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1B6D2D"/>
    <w:multiLevelType w:val="hybridMultilevel"/>
    <w:tmpl w:val="3F0C2208"/>
    <w:lvl w:ilvl="0" w:tplc="3EAE1A4A">
      <w:start w:val="1"/>
      <w:numFmt w:val="decimal"/>
      <w:lvlText w:val="%1."/>
      <w:lvlJc w:val="left"/>
      <w:pPr>
        <w:ind w:left="36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A769B0"/>
    <w:multiLevelType w:val="hybridMultilevel"/>
    <w:tmpl w:val="22429344"/>
    <w:lvl w:ilvl="0" w:tplc="E3364E6E">
      <w:start w:val="1"/>
      <w:numFmt w:val="bullet"/>
      <w:pStyle w:val="Responsebullet"/>
      <w:lvlText w:val=""/>
      <w:lvlJc w:val="left"/>
      <w:pPr>
        <w:ind w:left="3952" w:hanging="360"/>
      </w:pPr>
      <w:rPr>
        <w:rFonts w:ascii="Symbol" w:hAnsi="Symbol" w:hint="default"/>
      </w:rPr>
    </w:lvl>
    <w:lvl w:ilvl="1" w:tplc="0C090003" w:tentative="1">
      <w:start w:val="1"/>
      <w:numFmt w:val="bullet"/>
      <w:lvlText w:val="o"/>
      <w:lvlJc w:val="left"/>
      <w:pPr>
        <w:ind w:left="4672" w:hanging="360"/>
      </w:pPr>
      <w:rPr>
        <w:rFonts w:ascii="Courier New" w:hAnsi="Courier New" w:cs="Courier New" w:hint="default"/>
      </w:rPr>
    </w:lvl>
    <w:lvl w:ilvl="2" w:tplc="0C090005" w:tentative="1">
      <w:start w:val="1"/>
      <w:numFmt w:val="bullet"/>
      <w:lvlText w:val=""/>
      <w:lvlJc w:val="left"/>
      <w:pPr>
        <w:ind w:left="5392" w:hanging="360"/>
      </w:pPr>
      <w:rPr>
        <w:rFonts w:ascii="Wingdings" w:hAnsi="Wingdings" w:hint="default"/>
      </w:rPr>
    </w:lvl>
    <w:lvl w:ilvl="3" w:tplc="0C090001" w:tentative="1">
      <w:start w:val="1"/>
      <w:numFmt w:val="bullet"/>
      <w:lvlText w:val=""/>
      <w:lvlJc w:val="left"/>
      <w:pPr>
        <w:ind w:left="6112" w:hanging="360"/>
      </w:pPr>
      <w:rPr>
        <w:rFonts w:ascii="Symbol" w:hAnsi="Symbol" w:hint="default"/>
      </w:rPr>
    </w:lvl>
    <w:lvl w:ilvl="4" w:tplc="0C090003" w:tentative="1">
      <w:start w:val="1"/>
      <w:numFmt w:val="bullet"/>
      <w:lvlText w:val="o"/>
      <w:lvlJc w:val="left"/>
      <w:pPr>
        <w:ind w:left="6832" w:hanging="360"/>
      </w:pPr>
      <w:rPr>
        <w:rFonts w:ascii="Courier New" w:hAnsi="Courier New" w:cs="Courier New" w:hint="default"/>
      </w:rPr>
    </w:lvl>
    <w:lvl w:ilvl="5" w:tplc="0C090005" w:tentative="1">
      <w:start w:val="1"/>
      <w:numFmt w:val="bullet"/>
      <w:lvlText w:val=""/>
      <w:lvlJc w:val="left"/>
      <w:pPr>
        <w:ind w:left="7552" w:hanging="360"/>
      </w:pPr>
      <w:rPr>
        <w:rFonts w:ascii="Wingdings" w:hAnsi="Wingdings" w:hint="default"/>
      </w:rPr>
    </w:lvl>
    <w:lvl w:ilvl="6" w:tplc="0C090001" w:tentative="1">
      <w:start w:val="1"/>
      <w:numFmt w:val="bullet"/>
      <w:lvlText w:val=""/>
      <w:lvlJc w:val="left"/>
      <w:pPr>
        <w:ind w:left="8272" w:hanging="360"/>
      </w:pPr>
      <w:rPr>
        <w:rFonts w:ascii="Symbol" w:hAnsi="Symbol" w:hint="default"/>
      </w:rPr>
    </w:lvl>
    <w:lvl w:ilvl="7" w:tplc="0C090003" w:tentative="1">
      <w:start w:val="1"/>
      <w:numFmt w:val="bullet"/>
      <w:lvlText w:val="o"/>
      <w:lvlJc w:val="left"/>
      <w:pPr>
        <w:ind w:left="8992" w:hanging="360"/>
      </w:pPr>
      <w:rPr>
        <w:rFonts w:ascii="Courier New" w:hAnsi="Courier New" w:cs="Courier New" w:hint="default"/>
      </w:rPr>
    </w:lvl>
    <w:lvl w:ilvl="8" w:tplc="0C090005" w:tentative="1">
      <w:start w:val="1"/>
      <w:numFmt w:val="bullet"/>
      <w:lvlText w:val=""/>
      <w:lvlJc w:val="left"/>
      <w:pPr>
        <w:ind w:left="9712" w:hanging="360"/>
      </w:pPr>
      <w:rPr>
        <w:rFonts w:ascii="Wingdings" w:hAnsi="Wingdings" w:hint="default"/>
      </w:rPr>
    </w:lvl>
  </w:abstractNum>
  <w:abstractNum w:abstractNumId="4" w15:restartNumberingAfterBreak="0">
    <w:nsid w:val="16945384"/>
    <w:multiLevelType w:val="hybridMultilevel"/>
    <w:tmpl w:val="18D4C79E"/>
    <w:lvl w:ilvl="0" w:tplc="3EAE1A4A">
      <w:start w:val="1"/>
      <w:numFmt w:val="decimal"/>
      <w:lvlText w:val="%1."/>
      <w:lvlJc w:val="left"/>
      <w:pPr>
        <w:ind w:left="720" w:hanging="360"/>
      </w:pPr>
      <w:rPr>
        <w:rFonts w:hint="default"/>
        <w:b w:val="0"/>
        <w:i w:val="0"/>
      </w:rPr>
    </w:lvl>
    <w:lvl w:ilvl="1" w:tplc="7A8A65C6">
      <w:start w:val="1"/>
      <w:numFmt w:val="lowerLetter"/>
      <w:lvlText w:val="(%2)"/>
      <w:lvlJc w:val="left"/>
      <w:pPr>
        <w:ind w:left="1440" w:hanging="360"/>
      </w:pPr>
      <w:rPr>
        <w:rFonts w:hint="default"/>
        <w:b w:val="0"/>
        <w:bCs/>
        <w:i w:val="0"/>
      </w:rPr>
    </w:lvl>
    <w:lvl w:ilvl="2" w:tplc="BA34EA80">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0C6808"/>
    <w:multiLevelType w:val="multilevel"/>
    <w:tmpl w:val="A044F19C"/>
    <w:lvl w:ilvl="0">
      <w:start w:val="1"/>
      <w:numFmt w:val="decimal"/>
      <w:pStyle w:val="BodyText"/>
      <w:lvlText w:val="%1"/>
      <w:lvlJc w:val="left"/>
      <w:pPr>
        <w:tabs>
          <w:tab w:val="num" w:pos="1134"/>
        </w:tabs>
        <w:ind w:left="1134"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15:restartNumberingAfterBreak="0">
    <w:nsid w:val="22A30338"/>
    <w:multiLevelType w:val="hybridMultilevel"/>
    <w:tmpl w:val="03BCA6B2"/>
    <w:lvl w:ilvl="0" w:tplc="7F42AEBA">
      <w:start w:val="1"/>
      <w:numFmt w:val="decimal"/>
      <w:lvlText w:val="%1."/>
      <w:lvlJc w:val="left"/>
      <w:pPr>
        <w:ind w:left="570" w:hanging="570"/>
      </w:pPr>
      <w:rPr>
        <w:rFonts w:hint="default"/>
      </w:rPr>
    </w:lvl>
    <w:lvl w:ilvl="1" w:tplc="9DA2E322">
      <w:start w:val="1"/>
      <w:numFmt w:val="lowerLetter"/>
      <w:lvlText w:val="(%2)"/>
      <w:lvlJc w:val="left"/>
      <w:pPr>
        <w:ind w:left="1080" w:hanging="360"/>
      </w:pPr>
      <w:rPr>
        <w:rFonts w:hint="default"/>
      </w:rPr>
    </w:lvl>
    <w:lvl w:ilvl="2" w:tplc="523A1016">
      <w:start w:val="1"/>
      <w:numFmt w:val="lowerRoman"/>
      <w:lvlText w:val="(%3)"/>
      <w:lvlJc w:val="left"/>
      <w:pPr>
        <w:ind w:left="1800" w:hanging="180"/>
      </w:pPr>
      <w:rPr>
        <w:rFonts w:hint="default"/>
      </w:rPr>
    </w:lvl>
    <w:lvl w:ilvl="3" w:tplc="0A8636B4">
      <w:start w:val="1"/>
      <w:numFmt w:val="upperLetter"/>
      <w:lvlText w:val="(%4)"/>
      <w:lvlJc w:val="left"/>
      <w:pPr>
        <w:ind w:left="2520" w:hanging="36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3651B9A"/>
    <w:multiLevelType w:val="hybridMultilevel"/>
    <w:tmpl w:val="D20C9232"/>
    <w:lvl w:ilvl="0" w:tplc="F056951E">
      <w:start w:val="1"/>
      <w:numFmt w:val="decimal"/>
      <w:lvlText w:val="%1."/>
      <w:lvlJc w:val="left"/>
      <w:pPr>
        <w:ind w:left="360" w:hanging="360"/>
      </w:pPr>
      <w:rPr>
        <w:b w:val="0"/>
        <w:bCs w:val="0"/>
        <w:i w:val="0"/>
        <w:iCs w:val="0"/>
      </w:rPr>
    </w:lvl>
    <w:lvl w:ilvl="1" w:tplc="19146420">
      <w:start w:val="1"/>
      <w:numFmt w:val="lowerLetter"/>
      <w:lvlText w:val="(%2)"/>
      <w:lvlJc w:val="left"/>
      <w:pPr>
        <w:ind w:left="1080" w:hanging="360"/>
      </w:pPr>
      <w:rPr>
        <w:rFonts w:hint="default"/>
        <w:b w:val="0"/>
        <w:bCs w:val="0"/>
        <w:sz w:val="18"/>
        <w:szCs w:val="18"/>
      </w:rPr>
    </w:lvl>
    <w:lvl w:ilvl="2" w:tplc="121E7D2A">
      <w:start w:val="1"/>
      <w:numFmt w:val="lowerRoman"/>
      <w:lvlText w:val="(%3)"/>
      <w:lvlJc w:val="left"/>
      <w:pPr>
        <w:ind w:left="1800" w:hanging="180"/>
      </w:pPr>
      <w:rPr>
        <w:rFonts w:hint="default"/>
        <w:b w:val="0"/>
        <w:bCs w:val="0"/>
      </w:rPr>
    </w:lvl>
    <w:lvl w:ilvl="3" w:tplc="BFACA46A">
      <w:start w:val="1"/>
      <w:numFmt w:val="upperLetter"/>
      <w:lvlText w:val="(%4)"/>
      <w:lvlJc w:val="left"/>
      <w:pPr>
        <w:ind w:left="2520" w:hanging="360"/>
      </w:pPr>
      <w:rPr>
        <w:rFonts w:hint="default"/>
      </w:r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15:restartNumberingAfterBreak="0">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E85F31"/>
    <w:multiLevelType w:val="hybridMultilevel"/>
    <w:tmpl w:val="53E83C72"/>
    <w:lvl w:ilvl="0" w:tplc="7A8A65C6">
      <w:start w:val="1"/>
      <w:numFmt w:val="lowerLetter"/>
      <w:lvlText w:val="(%1)"/>
      <w:lvlJc w:val="left"/>
      <w:pPr>
        <w:ind w:left="1440" w:hanging="360"/>
      </w:pPr>
      <w:rPr>
        <w:rFonts w:hint="default"/>
        <w:b w:val="0"/>
        <w:bCs/>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3C041993"/>
    <w:multiLevelType w:val="multilevel"/>
    <w:tmpl w:val="4680F51A"/>
    <w:name w:val="ASIC para nos"/>
    <w:lvl w:ilvl="0">
      <w:start w:val="1"/>
      <w:numFmt w:val="decimal"/>
      <w:lvlText w:val="%1"/>
      <w:lvlJc w:val="left"/>
      <w:pPr>
        <w:tabs>
          <w:tab w:val="num" w:pos="2693"/>
        </w:tabs>
        <w:ind w:left="2693" w:hanging="425"/>
      </w:pPr>
      <w:rPr>
        <w:rFonts w:hint="default"/>
        <w:sz w:val="22"/>
      </w:rPr>
    </w:lvl>
    <w:lvl w:ilvl="1">
      <w:start w:val="1"/>
      <w:numFmt w:val="decimal"/>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3" w15:restartNumberingAfterBreak="0">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C1642B"/>
    <w:multiLevelType w:val="hybridMultilevel"/>
    <w:tmpl w:val="42CAB630"/>
    <w:lvl w:ilvl="0" w:tplc="3EAE1A4A">
      <w:start w:val="1"/>
      <w:numFmt w:val="decimal"/>
      <w:lvlText w:val="%1."/>
      <w:lvlJc w:val="left"/>
      <w:pPr>
        <w:ind w:left="36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BC14F7E"/>
    <w:multiLevelType w:val="hybridMultilevel"/>
    <w:tmpl w:val="B904640E"/>
    <w:lvl w:ilvl="0" w:tplc="DB5E2A70">
      <w:start w:val="1"/>
      <w:numFmt w:val="bullet"/>
      <w:pStyle w:val="ListBullet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3A3D6B"/>
    <w:multiLevelType w:val="hybridMultilevel"/>
    <w:tmpl w:val="CB0038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2756F33"/>
    <w:multiLevelType w:val="hybridMultilevel"/>
    <w:tmpl w:val="76EE0A6E"/>
    <w:lvl w:ilvl="0" w:tplc="C700BE3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E365C4"/>
    <w:multiLevelType w:val="hybridMultilevel"/>
    <w:tmpl w:val="413E4FAA"/>
    <w:lvl w:ilvl="0" w:tplc="8E62C916">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0" w15:restartNumberingAfterBreak="0">
    <w:nsid w:val="799648A1"/>
    <w:multiLevelType w:val="hybridMultilevel"/>
    <w:tmpl w:val="B3322EAA"/>
    <w:lvl w:ilvl="0" w:tplc="3EAE1A4A">
      <w:start w:val="1"/>
      <w:numFmt w:val="decimal"/>
      <w:lvlText w:val="%1."/>
      <w:lvlJc w:val="left"/>
      <w:pPr>
        <w:ind w:left="360" w:hanging="360"/>
      </w:pPr>
      <w:rPr>
        <w:rFonts w:hint="default"/>
        <w:b w:val="0"/>
        <w:i w:val="0"/>
      </w:rPr>
    </w:lvl>
    <w:lvl w:ilvl="1" w:tplc="7A8A65C6">
      <w:start w:val="1"/>
      <w:numFmt w:val="lowerLetter"/>
      <w:lvlText w:val="(%2)"/>
      <w:lvlJc w:val="left"/>
      <w:pPr>
        <w:ind w:left="1080" w:hanging="360"/>
      </w:pPr>
      <w:rPr>
        <w:rFonts w:hint="default"/>
        <w:b w:val="0"/>
        <w:bCs/>
        <w:i w:val="0"/>
      </w:rPr>
    </w:lvl>
    <w:lvl w:ilvl="2" w:tplc="BA34EA80">
      <w:start w:val="1"/>
      <w:numFmt w:val="lowerRoman"/>
      <w:lvlText w:val="(%3)"/>
      <w:lvlJc w:val="righ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5"/>
  </w:num>
  <w:num w:numId="3">
    <w:abstractNumId w:val="20"/>
  </w:num>
  <w:num w:numId="4">
    <w:abstractNumId w:val="11"/>
  </w:num>
  <w:num w:numId="5">
    <w:abstractNumId w:val="6"/>
  </w:num>
  <w:num w:numId="6">
    <w:abstractNumId w:val="4"/>
  </w:num>
  <w:num w:numId="7">
    <w:abstractNumId w:val="10"/>
  </w:num>
  <w:num w:numId="8">
    <w:abstractNumId w:val="9"/>
  </w:num>
  <w:num w:numId="9">
    <w:abstractNumId w:val="18"/>
  </w:num>
  <w:num w:numId="10">
    <w:abstractNumId w:val="1"/>
  </w:num>
  <w:num w:numId="11">
    <w:abstractNumId w:val="17"/>
  </w:num>
  <w:num w:numId="12">
    <w:abstractNumId w:val="13"/>
  </w:num>
  <w:num w:numId="13">
    <w:abstractNumId w:val="15"/>
  </w:num>
  <w:num w:numId="14">
    <w:abstractNumId w:val="0"/>
  </w:num>
  <w:num w:numId="15">
    <w:abstractNumId w:val="3"/>
  </w:num>
  <w:num w:numId="16">
    <w:abstractNumId w:val="7"/>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4"/>
  </w:num>
  <w:num w:numId="24">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95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B0E"/>
    <w:rsid w:val="000034A1"/>
    <w:rsid w:val="000069F9"/>
    <w:rsid w:val="00010527"/>
    <w:rsid w:val="00015013"/>
    <w:rsid w:val="00020F5A"/>
    <w:rsid w:val="00021AD3"/>
    <w:rsid w:val="00022E9A"/>
    <w:rsid w:val="0003137F"/>
    <w:rsid w:val="00043146"/>
    <w:rsid w:val="00045560"/>
    <w:rsid w:val="000465A5"/>
    <w:rsid w:val="000477AA"/>
    <w:rsid w:val="00054C4D"/>
    <w:rsid w:val="0005633A"/>
    <w:rsid w:val="00056925"/>
    <w:rsid w:val="0006676D"/>
    <w:rsid w:val="00067A3F"/>
    <w:rsid w:val="00071385"/>
    <w:rsid w:val="00071D8E"/>
    <w:rsid w:val="00074A81"/>
    <w:rsid w:val="00076D94"/>
    <w:rsid w:val="00077ABE"/>
    <w:rsid w:val="000833B2"/>
    <w:rsid w:val="00086268"/>
    <w:rsid w:val="00086413"/>
    <w:rsid w:val="000A3E23"/>
    <w:rsid w:val="000C6873"/>
    <w:rsid w:val="000E21A2"/>
    <w:rsid w:val="000E4F05"/>
    <w:rsid w:val="000E786D"/>
    <w:rsid w:val="000F6245"/>
    <w:rsid w:val="001020C0"/>
    <w:rsid w:val="00103C5E"/>
    <w:rsid w:val="00105C9D"/>
    <w:rsid w:val="00106F06"/>
    <w:rsid w:val="001108FA"/>
    <w:rsid w:val="00110EB5"/>
    <w:rsid w:val="0011133F"/>
    <w:rsid w:val="00111F6E"/>
    <w:rsid w:val="00113E08"/>
    <w:rsid w:val="0011621F"/>
    <w:rsid w:val="001168B0"/>
    <w:rsid w:val="00126096"/>
    <w:rsid w:val="0013623B"/>
    <w:rsid w:val="00136ABC"/>
    <w:rsid w:val="00141ECF"/>
    <w:rsid w:val="00146C25"/>
    <w:rsid w:val="00152621"/>
    <w:rsid w:val="0015609F"/>
    <w:rsid w:val="001560E7"/>
    <w:rsid w:val="001661EC"/>
    <w:rsid w:val="001673E3"/>
    <w:rsid w:val="001703F2"/>
    <w:rsid w:val="001722E5"/>
    <w:rsid w:val="00174F08"/>
    <w:rsid w:val="00181281"/>
    <w:rsid w:val="00184B14"/>
    <w:rsid w:val="001860E7"/>
    <w:rsid w:val="0019200F"/>
    <w:rsid w:val="00194249"/>
    <w:rsid w:val="00194B75"/>
    <w:rsid w:val="001962B3"/>
    <w:rsid w:val="00197009"/>
    <w:rsid w:val="001A1BD3"/>
    <w:rsid w:val="001B76FC"/>
    <w:rsid w:val="001C0125"/>
    <w:rsid w:val="001C27AB"/>
    <w:rsid w:val="001C31DF"/>
    <w:rsid w:val="001C45E9"/>
    <w:rsid w:val="001C6040"/>
    <w:rsid w:val="001D6DD8"/>
    <w:rsid w:val="001E0A5C"/>
    <w:rsid w:val="001E1251"/>
    <w:rsid w:val="001E1DC7"/>
    <w:rsid w:val="001E4154"/>
    <w:rsid w:val="001E4E78"/>
    <w:rsid w:val="001E6067"/>
    <w:rsid w:val="001E6501"/>
    <w:rsid w:val="001F17EE"/>
    <w:rsid w:val="001F46D0"/>
    <w:rsid w:val="00200D64"/>
    <w:rsid w:val="00200F7A"/>
    <w:rsid w:val="00205DD8"/>
    <w:rsid w:val="002164F8"/>
    <w:rsid w:val="00221D75"/>
    <w:rsid w:val="002229EE"/>
    <w:rsid w:val="00224AD2"/>
    <w:rsid w:val="00224C0D"/>
    <w:rsid w:val="00225897"/>
    <w:rsid w:val="0022726E"/>
    <w:rsid w:val="002306F0"/>
    <w:rsid w:val="002400D2"/>
    <w:rsid w:val="002405D5"/>
    <w:rsid w:val="00250C7D"/>
    <w:rsid w:val="002525DD"/>
    <w:rsid w:val="00255FBC"/>
    <w:rsid w:val="00257BD5"/>
    <w:rsid w:val="00264689"/>
    <w:rsid w:val="002669B9"/>
    <w:rsid w:val="002678C1"/>
    <w:rsid w:val="00267F70"/>
    <w:rsid w:val="0027038D"/>
    <w:rsid w:val="002731A5"/>
    <w:rsid w:val="002751CB"/>
    <w:rsid w:val="00281D39"/>
    <w:rsid w:val="00282A06"/>
    <w:rsid w:val="00290B40"/>
    <w:rsid w:val="002A1E53"/>
    <w:rsid w:val="002A5280"/>
    <w:rsid w:val="002A616D"/>
    <w:rsid w:val="002A7548"/>
    <w:rsid w:val="002B16CA"/>
    <w:rsid w:val="002B4A89"/>
    <w:rsid w:val="002B4B4F"/>
    <w:rsid w:val="002C5D2B"/>
    <w:rsid w:val="002C60B5"/>
    <w:rsid w:val="002C66F1"/>
    <w:rsid w:val="002D070F"/>
    <w:rsid w:val="002D2670"/>
    <w:rsid w:val="002D2832"/>
    <w:rsid w:val="002F28F6"/>
    <w:rsid w:val="002F2B57"/>
    <w:rsid w:val="002F3595"/>
    <w:rsid w:val="002F4FA1"/>
    <w:rsid w:val="002F54B9"/>
    <w:rsid w:val="003068B6"/>
    <w:rsid w:val="00311BB8"/>
    <w:rsid w:val="003143FE"/>
    <w:rsid w:val="00317555"/>
    <w:rsid w:val="00317743"/>
    <w:rsid w:val="00320C71"/>
    <w:rsid w:val="00325C07"/>
    <w:rsid w:val="0032677D"/>
    <w:rsid w:val="00332696"/>
    <w:rsid w:val="00337934"/>
    <w:rsid w:val="00343134"/>
    <w:rsid w:val="00345C6F"/>
    <w:rsid w:val="003462B4"/>
    <w:rsid w:val="00351CFF"/>
    <w:rsid w:val="00356163"/>
    <w:rsid w:val="003607FC"/>
    <w:rsid w:val="003616A3"/>
    <w:rsid w:val="00367985"/>
    <w:rsid w:val="00367A37"/>
    <w:rsid w:val="003727E9"/>
    <w:rsid w:val="00374DE0"/>
    <w:rsid w:val="00376AD9"/>
    <w:rsid w:val="003822B8"/>
    <w:rsid w:val="00382C57"/>
    <w:rsid w:val="00383EBD"/>
    <w:rsid w:val="00385AE1"/>
    <w:rsid w:val="00386F1D"/>
    <w:rsid w:val="0039004C"/>
    <w:rsid w:val="00393396"/>
    <w:rsid w:val="003947BF"/>
    <w:rsid w:val="003A0801"/>
    <w:rsid w:val="003A660E"/>
    <w:rsid w:val="003B2D60"/>
    <w:rsid w:val="003B3F46"/>
    <w:rsid w:val="003B4B62"/>
    <w:rsid w:val="003C3310"/>
    <w:rsid w:val="003C4DAC"/>
    <w:rsid w:val="003C671E"/>
    <w:rsid w:val="003E0FE7"/>
    <w:rsid w:val="003E20D9"/>
    <w:rsid w:val="003E336E"/>
    <w:rsid w:val="003E72E8"/>
    <w:rsid w:val="003F072A"/>
    <w:rsid w:val="003F3983"/>
    <w:rsid w:val="003F6B17"/>
    <w:rsid w:val="00400263"/>
    <w:rsid w:val="00402206"/>
    <w:rsid w:val="00402780"/>
    <w:rsid w:val="004126DD"/>
    <w:rsid w:val="00412E36"/>
    <w:rsid w:val="00416DEA"/>
    <w:rsid w:val="00417235"/>
    <w:rsid w:val="00421D7C"/>
    <w:rsid w:val="004226A8"/>
    <w:rsid w:val="00433EC4"/>
    <w:rsid w:val="00442274"/>
    <w:rsid w:val="00442944"/>
    <w:rsid w:val="00442A14"/>
    <w:rsid w:val="00444281"/>
    <w:rsid w:val="00452E97"/>
    <w:rsid w:val="00454FC5"/>
    <w:rsid w:val="00457E72"/>
    <w:rsid w:val="00462820"/>
    <w:rsid w:val="0046581D"/>
    <w:rsid w:val="00472E85"/>
    <w:rsid w:val="00476E93"/>
    <w:rsid w:val="0048498B"/>
    <w:rsid w:val="00487300"/>
    <w:rsid w:val="00491AD0"/>
    <w:rsid w:val="00493349"/>
    <w:rsid w:val="004951FA"/>
    <w:rsid w:val="004A0AF5"/>
    <w:rsid w:val="004A1B38"/>
    <w:rsid w:val="004A480F"/>
    <w:rsid w:val="004A60E9"/>
    <w:rsid w:val="004B1741"/>
    <w:rsid w:val="004B1B0E"/>
    <w:rsid w:val="004C1AF7"/>
    <w:rsid w:val="004C2ADD"/>
    <w:rsid w:val="004C79FC"/>
    <w:rsid w:val="004D0B8E"/>
    <w:rsid w:val="004D6905"/>
    <w:rsid w:val="004E0ADB"/>
    <w:rsid w:val="004E2440"/>
    <w:rsid w:val="004E7E07"/>
    <w:rsid w:val="004F0EDD"/>
    <w:rsid w:val="004F119D"/>
    <w:rsid w:val="004F69D0"/>
    <w:rsid w:val="0050056F"/>
    <w:rsid w:val="0050186A"/>
    <w:rsid w:val="005146EC"/>
    <w:rsid w:val="00516850"/>
    <w:rsid w:val="005304BA"/>
    <w:rsid w:val="0053375D"/>
    <w:rsid w:val="00541E99"/>
    <w:rsid w:val="0054702C"/>
    <w:rsid w:val="0055436A"/>
    <w:rsid w:val="00554422"/>
    <w:rsid w:val="0056105E"/>
    <w:rsid w:val="00562873"/>
    <w:rsid w:val="00567D2F"/>
    <w:rsid w:val="005744E8"/>
    <w:rsid w:val="00574575"/>
    <w:rsid w:val="00574D51"/>
    <w:rsid w:val="00575724"/>
    <w:rsid w:val="005767BD"/>
    <w:rsid w:val="00581575"/>
    <w:rsid w:val="0058559C"/>
    <w:rsid w:val="005864FC"/>
    <w:rsid w:val="00591B6B"/>
    <w:rsid w:val="005A1B94"/>
    <w:rsid w:val="005A7643"/>
    <w:rsid w:val="005B1B72"/>
    <w:rsid w:val="005B3CA9"/>
    <w:rsid w:val="005B77FD"/>
    <w:rsid w:val="005C0B5E"/>
    <w:rsid w:val="005C4B11"/>
    <w:rsid w:val="005C4B84"/>
    <w:rsid w:val="005C6F92"/>
    <w:rsid w:val="005D3BB9"/>
    <w:rsid w:val="005D412C"/>
    <w:rsid w:val="005D4B93"/>
    <w:rsid w:val="005D627B"/>
    <w:rsid w:val="005E0F90"/>
    <w:rsid w:val="005E32F5"/>
    <w:rsid w:val="005E377C"/>
    <w:rsid w:val="005E75FA"/>
    <w:rsid w:val="005F1F69"/>
    <w:rsid w:val="005F1FF8"/>
    <w:rsid w:val="005F5B6C"/>
    <w:rsid w:val="0060343C"/>
    <w:rsid w:val="006048E7"/>
    <w:rsid w:val="00611522"/>
    <w:rsid w:val="00617D8C"/>
    <w:rsid w:val="00627B88"/>
    <w:rsid w:val="00635BAF"/>
    <w:rsid w:val="00644E1C"/>
    <w:rsid w:val="0064658A"/>
    <w:rsid w:val="00647A56"/>
    <w:rsid w:val="00654AC5"/>
    <w:rsid w:val="00656708"/>
    <w:rsid w:val="00656E11"/>
    <w:rsid w:val="00657C85"/>
    <w:rsid w:val="0066088D"/>
    <w:rsid w:val="00664100"/>
    <w:rsid w:val="00665AA3"/>
    <w:rsid w:val="00672977"/>
    <w:rsid w:val="006762E6"/>
    <w:rsid w:val="00676C5E"/>
    <w:rsid w:val="0068090A"/>
    <w:rsid w:val="00687948"/>
    <w:rsid w:val="00687E4A"/>
    <w:rsid w:val="006923DA"/>
    <w:rsid w:val="00697455"/>
    <w:rsid w:val="006A1C4C"/>
    <w:rsid w:val="006A448E"/>
    <w:rsid w:val="006A6B32"/>
    <w:rsid w:val="006B214F"/>
    <w:rsid w:val="006C328A"/>
    <w:rsid w:val="006C354A"/>
    <w:rsid w:val="006D5561"/>
    <w:rsid w:val="006E04E5"/>
    <w:rsid w:val="006E1561"/>
    <w:rsid w:val="006E2FE8"/>
    <w:rsid w:val="006F0203"/>
    <w:rsid w:val="006F1F4C"/>
    <w:rsid w:val="00703D2E"/>
    <w:rsid w:val="007043ED"/>
    <w:rsid w:val="00710C07"/>
    <w:rsid w:val="0071525D"/>
    <w:rsid w:val="00717EEB"/>
    <w:rsid w:val="007211AB"/>
    <w:rsid w:val="007251AA"/>
    <w:rsid w:val="0074054A"/>
    <w:rsid w:val="00741732"/>
    <w:rsid w:val="00741E1C"/>
    <w:rsid w:val="0074416B"/>
    <w:rsid w:val="00755961"/>
    <w:rsid w:val="007567FE"/>
    <w:rsid w:val="007573F6"/>
    <w:rsid w:val="00765977"/>
    <w:rsid w:val="0077416B"/>
    <w:rsid w:val="00776B58"/>
    <w:rsid w:val="00777CEF"/>
    <w:rsid w:val="007828FF"/>
    <w:rsid w:val="00786CDC"/>
    <w:rsid w:val="00793C3D"/>
    <w:rsid w:val="0079440D"/>
    <w:rsid w:val="007A22EF"/>
    <w:rsid w:val="007A47AA"/>
    <w:rsid w:val="007B570C"/>
    <w:rsid w:val="007B6EE4"/>
    <w:rsid w:val="007B774C"/>
    <w:rsid w:val="007C7979"/>
    <w:rsid w:val="007D0CE3"/>
    <w:rsid w:val="007D3B27"/>
    <w:rsid w:val="007E4DD0"/>
    <w:rsid w:val="007E53A9"/>
    <w:rsid w:val="007E59F8"/>
    <w:rsid w:val="007E63C3"/>
    <w:rsid w:val="007F6554"/>
    <w:rsid w:val="00802495"/>
    <w:rsid w:val="00805561"/>
    <w:rsid w:val="008069A6"/>
    <w:rsid w:val="008156E4"/>
    <w:rsid w:val="00821D94"/>
    <w:rsid w:val="00824C2C"/>
    <w:rsid w:val="00825515"/>
    <w:rsid w:val="00825AE0"/>
    <w:rsid w:val="00827568"/>
    <w:rsid w:val="00833CDB"/>
    <w:rsid w:val="00837F13"/>
    <w:rsid w:val="0084047A"/>
    <w:rsid w:val="0084136C"/>
    <w:rsid w:val="0084450F"/>
    <w:rsid w:val="00852876"/>
    <w:rsid w:val="00855003"/>
    <w:rsid w:val="008562C6"/>
    <w:rsid w:val="00873EFE"/>
    <w:rsid w:val="0087720B"/>
    <w:rsid w:val="00882AD2"/>
    <w:rsid w:val="008877F1"/>
    <w:rsid w:val="00896B6F"/>
    <w:rsid w:val="008A2237"/>
    <w:rsid w:val="008A642D"/>
    <w:rsid w:val="008B1582"/>
    <w:rsid w:val="008B1B28"/>
    <w:rsid w:val="008B496F"/>
    <w:rsid w:val="008B5628"/>
    <w:rsid w:val="008C3D60"/>
    <w:rsid w:val="008C54BD"/>
    <w:rsid w:val="008C5D75"/>
    <w:rsid w:val="008D27E8"/>
    <w:rsid w:val="008E04BE"/>
    <w:rsid w:val="008E124B"/>
    <w:rsid w:val="009051A5"/>
    <w:rsid w:val="00906806"/>
    <w:rsid w:val="009151DE"/>
    <w:rsid w:val="00922316"/>
    <w:rsid w:val="00923FF0"/>
    <w:rsid w:val="00924896"/>
    <w:rsid w:val="00930394"/>
    <w:rsid w:val="00936441"/>
    <w:rsid w:val="009442E0"/>
    <w:rsid w:val="00944571"/>
    <w:rsid w:val="00947CFC"/>
    <w:rsid w:val="009510C3"/>
    <w:rsid w:val="00952BAA"/>
    <w:rsid w:val="00952E1A"/>
    <w:rsid w:val="0096040B"/>
    <w:rsid w:val="00963DA5"/>
    <w:rsid w:val="00963EB6"/>
    <w:rsid w:val="0096431C"/>
    <w:rsid w:val="00966A9B"/>
    <w:rsid w:val="00970C78"/>
    <w:rsid w:val="00970FC0"/>
    <w:rsid w:val="00971C3B"/>
    <w:rsid w:val="00987943"/>
    <w:rsid w:val="00993AF7"/>
    <w:rsid w:val="009964A3"/>
    <w:rsid w:val="009A0114"/>
    <w:rsid w:val="009A1DC3"/>
    <w:rsid w:val="009B23BE"/>
    <w:rsid w:val="009B2582"/>
    <w:rsid w:val="009B7C7A"/>
    <w:rsid w:val="009C20BC"/>
    <w:rsid w:val="009C59C9"/>
    <w:rsid w:val="009D738E"/>
    <w:rsid w:val="009F3E99"/>
    <w:rsid w:val="009F71F0"/>
    <w:rsid w:val="009F7363"/>
    <w:rsid w:val="00A0187C"/>
    <w:rsid w:val="00A01FF4"/>
    <w:rsid w:val="00A12FC5"/>
    <w:rsid w:val="00A1335D"/>
    <w:rsid w:val="00A17647"/>
    <w:rsid w:val="00A2109D"/>
    <w:rsid w:val="00A22EBA"/>
    <w:rsid w:val="00A23686"/>
    <w:rsid w:val="00A24323"/>
    <w:rsid w:val="00A24410"/>
    <w:rsid w:val="00A24616"/>
    <w:rsid w:val="00A263BA"/>
    <w:rsid w:val="00A31953"/>
    <w:rsid w:val="00A3304C"/>
    <w:rsid w:val="00A36645"/>
    <w:rsid w:val="00A408E3"/>
    <w:rsid w:val="00A50084"/>
    <w:rsid w:val="00A50A0B"/>
    <w:rsid w:val="00A53D98"/>
    <w:rsid w:val="00A55392"/>
    <w:rsid w:val="00A55A79"/>
    <w:rsid w:val="00A55B9C"/>
    <w:rsid w:val="00A56235"/>
    <w:rsid w:val="00A746A1"/>
    <w:rsid w:val="00A74BEA"/>
    <w:rsid w:val="00A750C6"/>
    <w:rsid w:val="00A76F5C"/>
    <w:rsid w:val="00A9529A"/>
    <w:rsid w:val="00A9628B"/>
    <w:rsid w:val="00AA00DA"/>
    <w:rsid w:val="00AA1A12"/>
    <w:rsid w:val="00AA3C0E"/>
    <w:rsid w:val="00AB31F0"/>
    <w:rsid w:val="00AB35D9"/>
    <w:rsid w:val="00AB3807"/>
    <w:rsid w:val="00AC2100"/>
    <w:rsid w:val="00AE1900"/>
    <w:rsid w:val="00AE5E59"/>
    <w:rsid w:val="00AE7E36"/>
    <w:rsid w:val="00AF5BEF"/>
    <w:rsid w:val="00B11C7D"/>
    <w:rsid w:val="00B15C74"/>
    <w:rsid w:val="00B17021"/>
    <w:rsid w:val="00B26654"/>
    <w:rsid w:val="00B349D4"/>
    <w:rsid w:val="00B3575D"/>
    <w:rsid w:val="00B47C21"/>
    <w:rsid w:val="00B53494"/>
    <w:rsid w:val="00B57DE1"/>
    <w:rsid w:val="00B61CEE"/>
    <w:rsid w:val="00B63FD7"/>
    <w:rsid w:val="00B71850"/>
    <w:rsid w:val="00B72C3B"/>
    <w:rsid w:val="00B72DD5"/>
    <w:rsid w:val="00B73BE8"/>
    <w:rsid w:val="00B76B44"/>
    <w:rsid w:val="00B82C97"/>
    <w:rsid w:val="00B83EA8"/>
    <w:rsid w:val="00B876F4"/>
    <w:rsid w:val="00BA2FB4"/>
    <w:rsid w:val="00BC355D"/>
    <w:rsid w:val="00BC4544"/>
    <w:rsid w:val="00BC69A3"/>
    <w:rsid w:val="00BD5D9C"/>
    <w:rsid w:val="00BE06D8"/>
    <w:rsid w:val="00BF1B40"/>
    <w:rsid w:val="00BF402E"/>
    <w:rsid w:val="00BF4897"/>
    <w:rsid w:val="00BF62FE"/>
    <w:rsid w:val="00BF73ED"/>
    <w:rsid w:val="00BF79DF"/>
    <w:rsid w:val="00C10C75"/>
    <w:rsid w:val="00C122F2"/>
    <w:rsid w:val="00C12DEB"/>
    <w:rsid w:val="00C21D3C"/>
    <w:rsid w:val="00C25A1C"/>
    <w:rsid w:val="00C30329"/>
    <w:rsid w:val="00C30A25"/>
    <w:rsid w:val="00C31157"/>
    <w:rsid w:val="00C320BF"/>
    <w:rsid w:val="00C335D8"/>
    <w:rsid w:val="00C34DD3"/>
    <w:rsid w:val="00C351D8"/>
    <w:rsid w:val="00C40C4D"/>
    <w:rsid w:val="00C42B80"/>
    <w:rsid w:val="00C44872"/>
    <w:rsid w:val="00C44FE9"/>
    <w:rsid w:val="00C4531D"/>
    <w:rsid w:val="00C458AF"/>
    <w:rsid w:val="00C466EB"/>
    <w:rsid w:val="00C46CE4"/>
    <w:rsid w:val="00C51B56"/>
    <w:rsid w:val="00C6040E"/>
    <w:rsid w:val="00C62E51"/>
    <w:rsid w:val="00C63006"/>
    <w:rsid w:val="00C63697"/>
    <w:rsid w:val="00C64F71"/>
    <w:rsid w:val="00C742BB"/>
    <w:rsid w:val="00C7459B"/>
    <w:rsid w:val="00C753AE"/>
    <w:rsid w:val="00C761EB"/>
    <w:rsid w:val="00C81F1F"/>
    <w:rsid w:val="00C83D36"/>
    <w:rsid w:val="00C8637B"/>
    <w:rsid w:val="00C95300"/>
    <w:rsid w:val="00C961B2"/>
    <w:rsid w:val="00CA063B"/>
    <w:rsid w:val="00CA1812"/>
    <w:rsid w:val="00CA77D1"/>
    <w:rsid w:val="00CB166F"/>
    <w:rsid w:val="00CC2119"/>
    <w:rsid w:val="00CC2BDB"/>
    <w:rsid w:val="00CC2D5D"/>
    <w:rsid w:val="00CD15AA"/>
    <w:rsid w:val="00CD46F1"/>
    <w:rsid w:val="00CD7AF4"/>
    <w:rsid w:val="00CE1318"/>
    <w:rsid w:val="00CE56C2"/>
    <w:rsid w:val="00CE5BC9"/>
    <w:rsid w:val="00CF0A25"/>
    <w:rsid w:val="00CF4FB2"/>
    <w:rsid w:val="00CF5B63"/>
    <w:rsid w:val="00CF7E2B"/>
    <w:rsid w:val="00D00429"/>
    <w:rsid w:val="00D05DC3"/>
    <w:rsid w:val="00D07607"/>
    <w:rsid w:val="00D127BF"/>
    <w:rsid w:val="00D22675"/>
    <w:rsid w:val="00D23FB3"/>
    <w:rsid w:val="00D3505A"/>
    <w:rsid w:val="00D357F8"/>
    <w:rsid w:val="00D405E5"/>
    <w:rsid w:val="00D456E4"/>
    <w:rsid w:val="00D4722B"/>
    <w:rsid w:val="00D474BC"/>
    <w:rsid w:val="00D541B3"/>
    <w:rsid w:val="00D60399"/>
    <w:rsid w:val="00D606D2"/>
    <w:rsid w:val="00D63350"/>
    <w:rsid w:val="00D64608"/>
    <w:rsid w:val="00D72919"/>
    <w:rsid w:val="00D75D38"/>
    <w:rsid w:val="00D80E8E"/>
    <w:rsid w:val="00D85354"/>
    <w:rsid w:val="00D907BA"/>
    <w:rsid w:val="00D93C74"/>
    <w:rsid w:val="00D953CD"/>
    <w:rsid w:val="00DA14B2"/>
    <w:rsid w:val="00DA17E0"/>
    <w:rsid w:val="00DA3321"/>
    <w:rsid w:val="00DA386B"/>
    <w:rsid w:val="00DA4BF4"/>
    <w:rsid w:val="00DA70A3"/>
    <w:rsid w:val="00DB74EA"/>
    <w:rsid w:val="00DC18EB"/>
    <w:rsid w:val="00DC7705"/>
    <w:rsid w:val="00DD256E"/>
    <w:rsid w:val="00DD71AD"/>
    <w:rsid w:val="00DE1B1A"/>
    <w:rsid w:val="00DE21DC"/>
    <w:rsid w:val="00DF2536"/>
    <w:rsid w:val="00DF31AD"/>
    <w:rsid w:val="00E03019"/>
    <w:rsid w:val="00E0313F"/>
    <w:rsid w:val="00E051BB"/>
    <w:rsid w:val="00E10DB9"/>
    <w:rsid w:val="00E221FC"/>
    <w:rsid w:val="00E2363D"/>
    <w:rsid w:val="00E2437C"/>
    <w:rsid w:val="00E47475"/>
    <w:rsid w:val="00E50B40"/>
    <w:rsid w:val="00E5240B"/>
    <w:rsid w:val="00E53755"/>
    <w:rsid w:val="00E57FC9"/>
    <w:rsid w:val="00E61F40"/>
    <w:rsid w:val="00E62147"/>
    <w:rsid w:val="00E64E16"/>
    <w:rsid w:val="00E667CE"/>
    <w:rsid w:val="00E732C2"/>
    <w:rsid w:val="00E81259"/>
    <w:rsid w:val="00E856E2"/>
    <w:rsid w:val="00E87C06"/>
    <w:rsid w:val="00E902A4"/>
    <w:rsid w:val="00E94558"/>
    <w:rsid w:val="00E9492C"/>
    <w:rsid w:val="00E94FC4"/>
    <w:rsid w:val="00E9544C"/>
    <w:rsid w:val="00E96B9E"/>
    <w:rsid w:val="00E9705D"/>
    <w:rsid w:val="00EA2AEF"/>
    <w:rsid w:val="00EB112E"/>
    <w:rsid w:val="00EB1778"/>
    <w:rsid w:val="00EB458F"/>
    <w:rsid w:val="00EB52AE"/>
    <w:rsid w:val="00EB78BD"/>
    <w:rsid w:val="00EC2312"/>
    <w:rsid w:val="00EC329E"/>
    <w:rsid w:val="00EC39D6"/>
    <w:rsid w:val="00EC7864"/>
    <w:rsid w:val="00ED05E5"/>
    <w:rsid w:val="00ED1EBB"/>
    <w:rsid w:val="00ED47F7"/>
    <w:rsid w:val="00EE4566"/>
    <w:rsid w:val="00EE62AF"/>
    <w:rsid w:val="00F03766"/>
    <w:rsid w:val="00F04517"/>
    <w:rsid w:val="00F05BB6"/>
    <w:rsid w:val="00F07E75"/>
    <w:rsid w:val="00F13652"/>
    <w:rsid w:val="00F14B84"/>
    <w:rsid w:val="00F1536E"/>
    <w:rsid w:val="00F272F0"/>
    <w:rsid w:val="00F3407C"/>
    <w:rsid w:val="00F34C19"/>
    <w:rsid w:val="00F35D02"/>
    <w:rsid w:val="00F35DD0"/>
    <w:rsid w:val="00F36675"/>
    <w:rsid w:val="00F370BD"/>
    <w:rsid w:val="00F426BE"/>
    <w:rsid w:val="00F43CAE"/>
    <w:rsid w:val="00F47B6F"/>
    <w:rsid w:val="00F5275B"/>
    <w:rsid w:val="00F55C0E"/>
    <w:rsid w:val="00F56DA2"/>
    <w:rsid w:val="00F77335"/>
    <w:rsid w:val="00F823BE"/>
    <w:rsid w:val="00F85164"/>
    <w:rsid w:val="00F87D63"/>
    <w:rsid w:val="00F87FD5"/>
    <w:rsid w:val="00F91124"/>
    <w:rsid w:val="00F95EE9"/>
    <w:rsid w:val="00FA0745"/>
    <w:rsid w:val="00FA3474"/>
    <w:rsid w:val="00FA4FFC"/>
    <w:rsid w:val="00FA61C6"/>
    <w:rsid w:val="00FA6D5F"/>
    <w:rsid w:val="00FA7358"/>
    <w:rsid w:val="00FB011A"/>
    <w:rsid w:val="00FB0B96"/>
    <w:rsid w:val="00FB3422"/>
    <w:rsid w:val="00FB700C"/>
    <w:rsid w:val="00FB7913"/>
    <w:rsid w:val="00FC1BF1"/>
    <w:rsid w:val="00FC2290"/>
    <w:rsid w:val="00FC3043"/>
    <w:rsid w:val="00FC7F5B"/>
    <w:rsid w:val="00FD03F2"/>
    <w:rsid w:val="00FD3D6C"/>
    <w:rsid w:val="00FE3851"/>
    <w:rsid w:val="00FE4E33"/>
    <w:rsid w:val="00FE677D"/>
    <w:rsid w:val="00FE7E22"/>
    <w:rsid w:val="00FF268F"/>
    <w:rsid w:val="00FF55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9569"/>
    <o:shapelayout v:ext="edit">
      <o:idmap v:ext="edit" data="1"/>
    </o:shapelayout>
  </w:shapeDefaults>
  <w:decimalSymbol w:val="."/>
  <w:listSeparator w:val=","/>
  <w14:docId w14:val="3430649E"/>
  <w15:chartTrackingRefBased/>
  <w15:docId w15:val="{6A811A1A-85D6-4007-9BA9-49E76531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561"/>
    <w:pPr>
      <w:spacing w:after="240" w:line="240" w:lineRule="auto"/>
    </w:pPr>
    <w:rPr>
      <w:rFonts w:ascii="Times New Roman" w:eastAsia="Times New Roman" w:hAnsi="Times New Roman" w:cs="Times New Roman"/>
      <w:szCs w:val="20"/>
      <w:lang w:eastAsia="en-AU"/>
    </w:rPr>
  </w:style>
  <w:style w:type="paragraph" w:styleId="Heading1">
    <w:name w:val="heading 1"/>
    <w:basedOn w:val="Normal"/>
    <w:next w:val="BodyText"/>
    <w:link w:val="Heading1Char"/>
    <w:qFormat/>
    <w:rsid w:val="004B1B0E"/>
    <w:pPr>
      <w:keepNext/>
      <w:pageBreakBefore/>
      <w:numPr>
        <w:numId w:val="1"/>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qFormat/>
    <w:rsid w:val="00C10C75"/>
    <w:pPr>
      <w:keepNext/>
      <w:spacing w:before="720" w:after="0" w:line="280" w:lineRule="atLeast"/>
      <w:outlineLvl w:val="1"/>
    </w:pPr>
    <w:rPr>
      <w:rFonts w:ascii="Arial" w:hAnsi="Arial" w:cs="Arial"/>
      <w:b/>
      <w:sz w:val="28"/>
      <w:szCs w:val="28"/>
    </w:rPr>
  </w:style>
  <w:style w:type="paragraph" w:styleId="Heading3">
    <w:name w:val="heading 3"/>
    <w:basedOn w:val="Normal"/>
    <w:next w:val="BodyText"/>
    <w:link w:val="Heading3Char"/>
    <w:qFormat/>
    <w:rsid w:val="004B1B0E"/>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C10C75"/>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link w:val="Heading5Char"/>
    <w:qFormat/>
    <w:rsid w:val="00C10C75"/>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link w:val="Heading6Char"/>
    <w:unhideWhenUsed/>
    <w:qFormat/>
    <w:rsid w:val="004B1B0E"/>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link w:val="Heading7Char"/>
    <w:unhideWhenUsed/>
    <w:qFormat/>
    <w:rsid w:val="00C10C75"/>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1B0E"/>
    <w:rPr>
      <w:rFonts w:ascii="Arial" w:eastAsia="Times New Roman" w:hAnsi="Arial" w:cs="Arial"/>
      <w:b/>
      <w:kern w:val="28"/>
      <w:sz w:val="36"/>
      <w:szCs w:val="36"/>
      <w:lang w:eastAsia="en-AU"/>
    </w:rPr>
  </w:style>
  <w:style w:type="character" w:customStyle="1" w:styleId="Heading3Char">
    <w:name w:val="Heading 3 Char"/>
    <w:basedOn w:val="DefaultParagraphFont"/>
    <w:link w:val="Heading3"/>
    <w:rsid w:val="004B1B0E"/>
    <w:rPr>
      <w:rFonts w:ascii="Arial" w:eastAsia="Times New Roman" w:hAnsi="Arial" w:cs="Arial"/>
      <w:b/>
      <w:sz w:val="24"/>
      <w:szCs w:val="24"/>
      <w:lang w:eastAsia="en-AU"/>
    </w:rPr>
  </w:style>
  <w:style w:type="character" w:customStyle="1" w:styleId="Heading6Char">
    <w:name w:val="Heading 6 Char"/>
    <w:basedOn w:val="DefaultParagraphFont"/>
    <w:link w:val="Heading6"/>
    <w:rsid w:val="004B1B0E"/>
    <w:rPr>
      <w:rFonts w:ascii="Arial" w:eastAsia="Times New Roman" w:hAnsi="Arial" w:cs="Arial"/>
      <w:b/>
      <w:kern w:val="28"/>
      <w:sz w:val="36"/>
      <w:szCs w:val="36"/>
      <w:lang w:eastAsia="en-AU"/>
    </w:rPr>
  </w:style>
  <w:style w:type="paragraph" w:styleId="BodyText">
    <w:name w:val="Body Text"/>
    <w:basedOn w:val="Normal"/>
    <w:link w:val="BodyTextChar"/>
    <w:rsid w:val="004B1B0E"/>
    <w:pPr>
      <w:numPr>
        <w:numId w:val="2"/>
      </w:numPr>
      <w:spacing w:before="200" w:after="0" w:line="300" w:lineRule="atLeast"/>
    </w:pPr>
    <w:rPr>
      <w:szCs w:val="22"/>
    </w:rPr>
  </w:style>
  <w:style w:type="character" w:customStyle="1" w:styleId="BodyTextChar">
    <w:name w:val="Body Text Char"/>
    <w:basedOn w:val="DefaultParagraphFont"/>
    <w:link w:val="BodyText"/>
    <w:rsid w:val="004B1B0E"/>
    <w:rPr>
      <w:rFonts w:ascii="Times New Roman" w:eastAsia="Times New Roman" w:hAnsi="Times New Roman" w:cs="Times New Roman"/>
      <w:lang w:eastAsia="en-AU"/>
    </w:rPr>
  </w:style>
  <w:style w:type="paragraph" w:styleId="Footer">
    <w:name w:val="footer"/>
    <w:basedOn w:val="Normal"/>
    <w:link w:val="FooterChar"/>
    <w:rsid w:val="004B1B0E"/>
    <w:pPr>
      <w:tabs>
        <w:tab w:val="right" w:pos="9070"/>
      </w:tabs>
      <w:spacing w:after="0"/>
    </w:pPr>
    <w:rPr>
      <w:rFonts w:ascii="Arial" w:hAnsi="Arial"/>
      <w:sz w:val="16"/>
      <w:szCs w:val="16"/>
    </w:rPr>
  </w:style>
  <w:style w:type="character" w:customStyle="1" w:styleId="FooterChar">
    <w:name w:val="Footer Char"/>
    <w:basedOn w:val="DefaultParagraphFont"/>
    <w:link w:val="Footer"/>
    <w:rsid w:val="004B1B0E"/>
    <w:rPr>
      <w:rFonts w:ascii="Arial" w:eastAsia="Times New Roman" w:hAnsi="Arial" w:cs="Times New Roman"/>
      <w:sz w:val="16"/>
      <w:szCs w:val="16"/>
      <w:lang w:eastAsia="en-AU"/>
    </w:rPr>
  </w:style>
  <w:style w:type="character" w:styleId="PageNumber">
    <w:name w:val="page number"/>
    <w:basedOn w:val="DefaultParagraphFont"/>
    <w:rsid w:val="004B1B0E"/>
    <w:rPr>
      <w:b/>
      <w:sz w:val="20"/>
    </w:rPr>
  </w:style>
  <w:style w:type="paragraph" w:styleId="Header">
    <w:name w:val="header"/>
    <w:basedOn w:val="Normal"/>
    <w:link w:val="HeaderChar"/>
    <w:rsid w:val="004B1B0E"/>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rsid w:val="004B1B0E"/>
    <w:rPr>
      <w:rFonts w:ascii="Arial" w:eastAsia="Times New Roman" w:hAnsi="Arial" w:cs="Arial"/>
      <w:caps/>
      <w:color w:val="008291"/>
      <w:sz w:val="16"/>
      <w:szCs w:val="16"/>
      <w:lang w:eastAsia="en-AU"/>
    </w:rPr>
  </w:style>
  <w:style w:type="paragraph" w:customStyle="1" w:styleId="Bodytextplain">
    <w:name w:val="Body text plain"/>
    <w:basedOn w:val="BodyText"/>
    <w:link w:val="BodytextplainChar"/>
    <w:rsid w:val="004B1B0E"/>
    <w:pPr>
      <w:numPr>
        <w:numId w:val="0"/>
      </w:numPr>
      <w:ind w:left="2268"/>
    </w:pPr>
  </w:style>
  <w:style w:type="paragraph" w:customStyle="1" w:styleId="subparaa">
    <w:name w:val="sub para (a)"/>
    <w:basedOn w:val="BodyText"/>
    <w:rsid w:val="004B1B0E"/>
    <w:pPr>
      <w:numPr>
        <w:ilvl w:val="1"/>
      </w:numPr>
      <w:spacing w:before="100"/>
    </w:pPr>
  </w:style>
  <w:style w:type="paragraph" w:customStyle="1" w:styleId="Feedbackquestion">
    <w:name w:val="Feedback question"/>
    <w:basedOn w:val="Normal"/>
    <w:rsid w:val="004B1B0E"/>
    <w:pPr>
      <w:keepLines/>
      <w:numPr>
        <w:ilvl w:val="4"/>
        <w:numId w:val="1"/>
      </w:numPr>
      <w:pBdr>
        <w:left w:val="single" w:sz="6" w:space="2" w:color="117DC7"/>
      </w:pBdr>
      <w:spacing w:before="100" w:after="0" w:line="260" w:lineRule="atLeast"/>
    </w:pPr>
    <w:rPr>
      <w:rFonts w:ascii="Arial" w:hAnsi="Arial" w:cs="Arial"/>
      <w:sz w:val="20"/>
    </w:rPr>
  </w:style>
  <w:style w:type="paragraph" w:customStyle="1" w:styleId="Feedbacksubquestion">
    <w:name w:val="Feedback subquestion"/>
    <w:basedOn w:val="Feedbackquestion"/>
    <w:rsid w:val="004B1B0E"/>
    <w:pPr>
      <w:numPr>
        <w:ilvl w:val="5"/>
      </w:numPr>
    </w:pPr>
  </w:style>
  <w:style w:type="paragraph" w:customStyle="1" w:styleId="subsubparai">
    <w:name w:val="sub sub para (i)"/>
    <w:basedOn w:val="subparaa"/>
    <w:rsid w:val="004B1B0E"/>
    <w:pPr>
      <w:numPr>
        <w:ilvl w:val="2"/>
      </w:numPr>
    </w:pPr>
  </w:style>
  <w:style w:type="paragraph" w:customStyle="1" w:styleId="Proposaltext">
    <w:name w:val="Proposal text"/>
    <w:basedOn w:val="Bodytextplain"/>
    <w:rsid w:val="004B1B0E"/>
    <w:pPr>
      <w:numPr>
        <w:ilvl w:val="1"/>
        <w:numId w:val="1"/>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4B1B0E"/>
    <w:pPr>
      <w:numPr>
        <w:ilvl w:val="2"/>
      </w:numPr>
      <w:spacing w:before="100"/>
    </w:pPr>
  </w:style>
  <w:style w:type="paragraph" w:customStyle="1" w:styleId="Proposalsubsubpara">
    <w:name w:val="Proposal sub sub para"/>
    <w:basedOn w:val="Proposaltext"/>
    <w:rsid w:val="004B1B0E"/>
    <w:pPr>
      <w:numPr>
        <w:ilvl w:val="3"/>
      </w:numPr>
      <w:spacing w:before="100"/>
    </w:pPr>
  </w:style>
  <w:style w:type="paragraph" w:customStyle="1" w:styleId="sub3paraA">
    <w:name w:val="sub3para (A)"/>
    <w:basedOn w:val="subsubparai"/>
    <w:qFormat/>
    <w:rsid w:val="004B1B0E"/>
    <w:pPr>
      <w:numPr>
        <w:ilvl w:val="3"/>
      </w:numPr>
    </w:pPr>
  </w:style>
  <w:style w:type="paragraph" w:customStyle="1" w:styleId="sub4paraI">
    <w:name w:val="sub4para (I)"/>
    <w:basedOn w:val="subsubparai"/>
    <w:qFormat/>
    <w:rsid w:val="004B1B0E"/>
    <w:pPr>
      <w:numPr>
        <w:ilvl w:val="4"/>
      </w:numPr>
    </w:pPr>
  </w:style>
  <w:style w:type="paragraph" w:customStyle="1" w:styleId="Feedbacksubsubquestion">
    <w:name w:val="Feedback subsubquestion"/>
    <w:basedOn w:val="Feedbacksubquestion"/>
    <w:qFormat/>
    <w:rsid w:val="004B1B0E"/>
    <w:pPr>
      <w:numPr>
        <w:ilvl w:val="6"/>
      </w:numPr>
    </w:pPr>
  </w:style>
  <w:style w:type="paragraph" w:styleId="ListParagraph">
    <w:name w:val="List Paragraph"/>
    <w:aliases w:val="List Paragraph1,Footnote Sam,Issue Action POC,3,POCG Table Text,Dot pt,F5 List Paragraph,List Paragraph Char Char Char,Indicator Text,Colorful List - Accent 11,Numbered Para 1,Bullet 1,Bullet Points,List Paragraph2,MAIN CONTENT"/>
    <w:basedOn w:val="Normal"/>
    <w:uiPriority w:val="34"/>
    <w:qFormat/>
    <w:rsid w:val="004B1B0E"/>
    <w:pPr>
      <w:ind w:left="720"/>
      <w:contextualSpacing/>
    </w:pPr>
  </w:style>
  <w:style w:type="paragraph" w:customStyle="1" w:styleId="LI-BodyTextParaa">
    <w:name w:val="LI - Body Text Para (a)"/>
    <w:basedOn w:val="Normal"/>
    <w:link w:val="LI-BodyTextParaaChar"/>
    <w:rsid w:val="00054C4D"/>
    <w:pPr>
      <w:spacing w:before="240" w:after="0"/>
      <w:ind w:left="1701" w:hanging="567"/>
    </w:pPr>
    <w:rPr>
      <w:sz w:val="24"/>
      <w:szCs w:val="24"/>
    </w:rPr>
  </w:style>
  <w:style w:type="character" w:customStyle="1" w:styleId="LI-BodyTextParaaChar">
    <w:name w:val="LI - Body Text Para (a) Char"/>
    <w:link w:val="LI-BodyTextParaa"/>
    <w:rsid w:val="00054C4D"/>
    <w:rPr>
      <w:rFonts w:ascii="Times New Roman" w:eastAsia="Times New Roman" w:hAnsi="Times New Roman" w:cs="Times New Roman"/>
      <w:sz w:val="24"/>
      <w:szCs w:val="24"/>
      <w:lang w:eastAsia="en-AU"/>
    </w:rPr>
  </w:style>
  <w:style w:type="paragraph" w:customStyle="1" w:styleId="LI-BodyTextNumbered">
    <w:name w:val="LI - Body Text Numbered"/>
    <w:basedOn w:val="Normal"/>
    <w:link w:val="LI-BodyTextNumberedChar"/>
    <w:qFormat/>
    <w:rsid w:val="00B57DE1"/>
    <w:pPr>
      <w:spacing w:before="240" w:after="0"/>
      <w:ind w:left="1134" w:hanging="567"/>
    </w:pPr>
    <w:rPr>
      <w:sz w:val="24"/>
      <w:szCs w:val="24"/>
    </w:rPr>
  </w:style>
  <w:style w:type="character" w:customStyle="1" w:styleId="LI-BodyTextNumberedChar">
    <w:name w:val="LI - Body Text Numbered Char"/>
    <w:link w:val="LI-BodyTextNumbered"/>
    <w:rsid w:val="00B57DE1"/>
    <w:rPr>
      <w:rFonts w:ascii="Times New Roman" w:eastAsia="Times New Roman" w:hAnsi="Times New Roman" w:cs="Times New Roman"/>
      <w:sz w:val="24"/>
      <w:szCs w:val="24"/>
      <w:lang w:eastAsia="en-AU"/>
    </w:rPr>
  </w:style>
  <w:style w:type="paragraph" w:customStyle="1" w:styleId="LI-BodyTextUnnumbered">
    <w:name w:val="LI - Body Text Unnumbered"/>
    <w:basedOn w:val="Normal"/>
    <w:link w:val="LI-BodyTextUnnumberedChar"/>
    <w:rsid w:val="007B6EE4"/>
    <w:pPr>
      <w:spacing w:before="240" w:after="0"/>
      <w:ind w:left="1134"/>
    </w:pPr>
    <w:rPr>
      <w:sz w:val="24"/>
    </w:rPr>
  </w:style>
  <w:style w:type="character" w:customStyle="1" w:styleId="LI-BodyTextUnnumberedChar">
    <w:name w:val="LI - Body Text Unnumbered Char"/>
    <w:link w:val="LI-BodyTextUnnumbered"/>
    <w:rsid w:val="007B6EE4"/>
    <w:rPr>
      <w:rFonts w:ascii="Times New Roman" w:eastAsia="Times New Roman" w:hAnsi="Times New Roman" w:cs="Times New Roman"/>
      <w:sz w:val="24"/>
      <w:szCs w:val="20"/>
      <w:lang w:eastAsia="en-AU"/>
    </w:rPr>
  </w:style>
  <w:style w:type="paragraph" w:styleId="CommentText">
    <w:name w:val="annotation text"/>
    <w:basedOn w:val="Normal"/>
    <w:link w:val="CommentTextChar"/>
    <w:unhideWhenUsed/>
    <w:rsid w:val="00E47475"/>
    <w:rPr>
      <w:sz w:val="20"/>
    </w:rPr>
  </w:style>
  <w:style w:type="character" w:customStyle="1" w:styleId="CommentTextChar">
    <w:name w:val="Comment Text Char"/>
    <w:basedOn w:val="DefaultParagraphFont"/>
    <w:link w:val="CommentText"/>
    <w:rsid w:val="00E47475"/>
    <w:rPr>
      <w:rFonts w:ascii="Times New Roman" w:eastAsia="Times New Roman" w:hAnsi="Times New Roman" w:cs="Times New Roman"/>
      <w:sz w:val="20"/>
      <w:szCs w:val="20"/>
      <w:lang w:eastAsia="en-AU"/>
    </w:rPr>
  </w:style>
  <w:style w:type="character" w:styleId="CommentReference">
    <w:name w:val="annotation reference"/>
    <w:semiHidden/>
    <w:unhideWhenUsed/>
    <w:rsid w:val="00E47475"/>
    <w:rPr>
      <w:sz w:val="16"/>
      <w:szCs w:val="16"/>
    </w:rPr>
  </w:style>
  <w:style w:type="paragraph" w:styleId="BalloonText">
    <w:name w:val="Balloon Text"/>
    <w:basedOn w:val="Normal"/>
    <w:link w:val="BalloonTextChar"/>
    <w:semiHidden/>
    <w:unhideWhenUsed/>
    <w:rsid w:val="00E47475"/>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47475"/>
    <w:rPr>
      <w:rFonts w:ascii="Segoe UI" w:eastAsia="Times New Roman" w:hAnsi="Segoe UI" w:cs="Segoe UI"/>
      <w:sz w:val="18"/>
      <w:szCs w:val="18"/>
      <w:lang w:eastAsia="en-AU"/>
    </w:rPr>
  </w:style>
  <w:style w:type="paragraph" w:customStyle="1" w:styleId="LI-SectionNote">
    <w:name w:val="LI - Section Note"/>
    <w:basedOn w:val="Normal"/>
    <w:link w:val="LI-SectionNoteChar"/>
    <w:qFormat/>
    <w:rsid w:val="00E47475"/>
    <w:pPr>
      <w:spacing w:before="240" w:after="0"/>
      <w:ind w:left="2835" w:hanging="567"/>
    </w:pPr>
    <w:rPr>
      <w:sz w:val="18"/>
    </w:rPr>
  </w:style>
  <w:style w:type="character" w:customStyle="1" w:styleId="LI-SectionNoteChar">
    <w:name w:val="LI - Section Note Char"/>
    <w:basedOn w:val="DefaultParagraphFont"/>
    <w:link w:val="LI-SectionNote"/>
    <w:rsid w:val="00E47475"/>
    <w:rPr>
      <w:rFonts w:ascii="Times New Roman" w:eastAsia="Times New Roman" w:hAnsi="Times New Roman" w:cs="Times New Roman"/>
      <w:sz w:val="18"/>
      <w:szCs w:val="20"/>
      <w:lang w:eastAsia="en-AU"/>
    </w:rPr>
  </w:style>
  <w:style w:type="paragraph" w:customStyle="1" w:styleId="LI-Heading2">
    <w:name w:val="LI - Heading 2"/>
    <w:basedOn w:val="Normal"/>
    <w:next w:val="LI-BodyTextUnnumbered"/>
    <w:qFormat/>
    <w:rsid w:val="00EA2AEF"/>
    <w:pPr>
      <w:keepNext/>
      <w:keepLines/>
      <w:spacing w:before="360" w:after="0"/>
      <w:ind w:left="567" w:hanging="567"/>
      <w:outlineLvl w:val="1"/>
    </w:pPr>
    <w:rPr>
      <w:b/>
      <w:kern w:val="28"/>
      <w:sz w:val="24"/>
    </w:rPr>
  </w:style>
  <w:style w:type="paragraph" w:styleId="CommentSubject">
    <w:name w:val="annotation subject"/>
    <w:basedOn w:val="CommentText"/>
    <w:next w:val="CommentText"/>
    <w:link w:val="CommentSubjectChar"/>
    <w:uiPriority w:val="99"/>
    <w:semiHidden/>
    <w:unhideWhenUsed/>
    <w:rsid w:val="00D60399"/>
    <w:rPr>
      <w:b/>
      <w:bCs/>
    </w:rPr>
  </w:style>
  <w:style w:type="character" w:customStyle="1" w:styleId="CommentSubjectChar">
    <w:name w:val="Comment Subject Char"/>
    <w:basedOn w:val="CommentTextChar"/>
    <w:link w:val="CommentSubject"/>
    <w:uiPriority w:val="99"/>
    <w:semiHidden/>
    <w:rsid w:val="00D60399"/>
    <w:rPr>
      <w:rFonts w:ascii="Times New Roman" w:eastAsia="Times New Roman" w:hAnsi="Times New Roman" w:cs="Times New Roman"/>
      <w:b/>
      <w:bCs/>
      <w:sz w:val="20"/>
      <w:szCs w:val="20"/>
      <w:lang w:eastAsia="en-AU"/>
    </w:rPr>
  </w:style>
  <w:style w:type="character" w:customStyle="1" w:styleId="CharAmPartNo">
    <w:name w:val="CharAmPartNo"/>
    <w:basedOn w:val="DefaultParagraphFont"/>
    <w:uiPriority w:val="1"/>
    <w:semiHidden/>
    <w:qFormat/>
    <w:rsid w:val="00952E1A"/>
  </w:style>
  <w:style w:type="paragraph" w:customStyle="1" w:styleId="TLPNotebullet">
    <w:name w:val="TLPNote(bullet)"/>
    <w:basedOn w:val="Normal"/>
    <w:semiHidden/>
    <w:rsid w:val="00952E1A"/>
    <w:pPr>
      <w:numPr>
        <w:numId w:val="4"/>
      </w:numPr>
      <w:tabs>
        <w:tab w:val="clear" w:pos="2517"/>
        <w:tab w:val="left" w:pos="357"/>
      </w:tabs>
      <w:spacing w:before="60" w:after="0" w:line="198" w:lineRule="exact"/>
      <w:ind w:left="0" w:firstLine="0"/>
    </w:pPr>
    <w:rPr>
      <w:sz w:val="18"/>
    </w:rPr>
  </w:style>
  <w:style w:type="character" w:styleId="Hyperlink">
    <w:name w:val="Hyperlink"/>
    <w:uiPriority w:val="99"/>
    <w:rsid w:val="00416DEA"/>
    <w:rPr>
      <w:color w:val="0000FF"/>
      <w:u w:val="single"/>
    </w:rPr>
  </w:style>
  <w:style w:type="paragraph" w:styleId="FootnoteText">
    <w:name w:val="footnote text"/>
    <w:basedOn w:val="Normal"/>
    <w:link w:val="FootnoteTextChar"/>
    <w:uiPriority w:val="99"/>
    <w:unhideWhenUsed/>
    <w:rsid w:val="00CF7E2B"/>
    <w:pPr>
      <w:overflowPunct w:val="0"/>
      <w:autoSpaceDE w:val="0"/>
      <w:autoSpaceDN w:val="0"/>
      <w:adjustRightInd w:val="0"/>
      <w:spacing w:after="0"/>
      <w:textAlignment w:val="baseline"/>
    </w:pPr>
    <w:rPr>
      <w:sz w:val="20"/>
      <w:lang w:eastAsia="en-US"/>
    </w:rPr>
  </w:style>
  <w:style w:type="character" w:customStyle="1" w:styleId="FootnoteTextChar">
    <w:name w:val="Footnote Text Char"/>
    <w:basedOn w:val="DefaultParagraphFont"/>
    <w:link w:val="FootnoteText"/>
    <w:uiPriority w:val="99"/>
    <w:rsid w:val="00CF7E2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F7E2B"/>
    <w:rPr>
      <w:vertAlign w:val="superscript"/>
    </w:rPr>
  </w:style>
  <w:style w:type="table" w:styleId="GridTable4-Accent5">
    <w:name w:val="Grid Table 4 Accent 5"/>
    <w:basedOn w:val="TableNormal"/>
    <w:uiPriority w:val="49"/>
    <w:rsid w:val="00CF7E2B"/>
    <w:pPr>
      <w:spacing w:after="0" w:line="240" w:lineRule="auto"/>
    </w:pPr>
    <w:rPr>
      <w:rFonts w:ascii="Calibri" w:hAnsi="Calibri"/>
      <w:sz w:val="24"/>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on">
    <w:name w:val="Revision"/>
    <w:hidden/>
    <w:uiPriority w:val="99"/>
    <w:semiHidden/>
    <w:rsid w:val="007828FF"/>
    <w:pPr>
      <w:spacing w:after="0" w:line="240" w:lineRule="auto"/>
    </w:pPr>
    <w:rPr>
      <w:rFonts w:ascii="Times New Roman" w:eastAsia="Times New Roman" w:hAnsi="Times New Roman" w:cs="Times New Roman"/>
      <w:szCs w:val="20"/>
      <w:lang w:eastAsia="en-AU"/>
    </w:rPr>
  </w:style>
  <w:style w:type="paragraph" w:customStyle="1" w:styleId="tbltext">
    <w:name w:val="tbl text"/>
    <w:basedOn w:val="Normal"/>
    <w:link w:val="tbltextChar"/>
    <w:rsid w:val="00FC7F5B"/>
    <w:pPr>
      <w:widowControl w:val="0"/>
      <w:spacing w:before="120" w:after="0" w:line="240" w:lineRule="atLeast"/>
    </w:pPr>
    <w:rPr>
      <w:rFonts w:ascii="Arial" w:hAnsi="Arial" w:cs="Arial"/>
      <w:sz w:val="18"/>
      <w:szCs w:val="18"/>
    </w:rPr>
  </w:style>
  <w:style w:type="paragraph" w:customStyle="1" w:styleId="tablehead">
    <w:name w:val="table head"/>
    <w:basedOn w:val="Normal"/>
    <w:rsid w:val="00FC7F5B"/>
    <w:pPr>
      <w:keepNext/>
      <w:spacing w:before="120" w:after="0" w:line="240" w:lineRule="atLeast"/>
    </w:pPr>
    <w:rPr>
      <w:rFonts w:ascii="Arial" w:hAnsi="Arial" w:cs="Arial"/>
      <w:b/>
      <w:sz w:val="18"/>
      <w:szCs w:val="18"/>
    </w:rPr>
  </w:style>
  <w:style w:type="character" w:customStyle="1" w:styleId="Heading2Char">
    <w:name w:val="Heading 2 Char"/>
    <w:basedOn w:val="DefaultParagraphFont"/>
    <w:link w:val="Heading2"/>
    <w:rsid w:val="00C10C75"/>
    <w:rPr>
      <w:rFonts w:ascii="Arial" w:eastAsia="Times New Roman" w:hAnsi="Arial" w:cs="Arial"/>
      <w:b/>
      <w:sz w:val="28"/>
      <w:szCs w:val="28"/>
      <w:lang w:eastAsia="en-AU"/>
    </w:rPr>
  </w:style>
  <w:style w:type="character" w:customStyle="1" w:styleId="Heading4Char">
    <w:name w:val="Heading 4 Char"/>
    <w:basedOn w:val="DefaultParagraphFont"/>
    <w:link w:val="Heading4"/>
    <w:rsid w:val="00C10C75"/>
    <w:rPr>
      <w:rFonts w:ascii="Arial" w:eastAsia="Times New Roman" w:hAnsi="Arial" w:cs="Arial"/>
      <w:b/>
      <w:sz w:val="20"/>
      <w:lang w:eastAsia="en-AU"/>
    </w:rPr>
  </w:style>
  <w:style w:type="character" w:customStyle="1" w:styleId="Heading5Char">
    <w:name w:val="Heading 5 Char"/>
    <w:basedOn w:val="DefaultParagraphFont"/>
    <w:link w:val="Heading5"/>
    <w:rsid w:val="00C10C75"/>
    <w:rPr>
      <w:rFonts w:ascii="Arial" w:eastAsia="Times New Roman" w:hAnsi="Arial" w:cs="Arial"/>
      <w:i/>
      <w:sz w:val="20"/>
      <w:szCs w:val="20"/>
      <w:lang w:eastAsia="en-AU"/>
    </w:rPr>
  </w:style>
  <w:style w:type="character" w:customStyle="1" w:styleId="Heading7Char">
    <w:name w:val="Heading 7 Char"/>
    <w:basedOn w:val="DefaultParagraphFont"/>
    <w:link w:val="Heading7"/>
    <w:rsid w:val="00C10C75"/>
    <w:rPr>
      <w:rFonts w:ascii="Arial" w:eastAsia="Times New Roman" w:hAnsi="Arial" w:cs="Arial"/>
      <w:b/>
      <w:sz w:val="28"/>
      <w:szCs w:val="28"/>
      <w:lang w:eastAsia="en-AU"/>
    </w:rPr>
  </w:style>
  <w:style w:type="numbering" w:customStyle="1" w:styleId="NoList1">
    <w:name w:val="No List1"/>
    <w:next w:val="NoList"/>
    <w:uiPriority w:val="99"/>
    <w:semiHidden/>
    <w:unhideWhenUsed/>
    <w:rsid w:val="00C10C75"/>
  </w:style>
  <w:style w:type="paragraph" w:customStyle="1" w:styleId="sourcenotefullwidth">
    <w:name w:val="source note full width"/>
    <w:rsid w:val="00C10C75"/>
    <w:pPr>
      <w:spacing w:before="120" w:after="0" w:line="240" w:lineRule="auto"/>
    </w:pPr>
    <w:rPr>
      <w:rFonts w:ascii="Arial" w:eastAsia="Times New Roman" w:hAnsi="Arial" w:cs="Times New Roman"/>
      <w:sz w:val="16"/>
      <w:lang w:eastAsia="en-AU"/>
    </w:rPr>
  </w:style>
  <w:style w:type="paragraph" w:styleId="ListBullet">
    <w:name w:val="List Bullet"/>
    <w:basedOn w:val="Normal"/>
    <w:rsid w:val="00C10C75"/>
    <w:pPr>
      <w:numPr>
        <w:numId w:val="9"/>
      </w:numPr>
      <w:tabs>
        <w:tab w:val="clear" w:pos="1418"/>
        <w:tab w:val="num" w:pos="2694"/>
      </w:tabs>
      <w:spacing w:before="100" w:after="0" w:line="300" w:lineRule="atLeast"/>
      <w:ind w:left="2693" w:hanging="425"/>
    </w:pPr>
    <w:rPr>
      <w:szCs w:val="22"/>
    </w:rPr>
  </w:style>
  <w:style w:type="paragraph" w:customStyle="1" w:styleId="figuretitleindented">
    <w:name w:val="figure title indented"/>
    <w:basedOn w:val="figuretitlefullwidth"/>
    <w:rsid w:val="00C10C75"/>
    <w:pPr>
      <w:ind w:left="3260"/>
    </w:pPr>
  </w:style>
  <w:style w:type="paragraph" w:customStyle="1" w:styleId="figuretitlefullwidth">
    <w:name w:val="figure title full width"/>
    <w:basedOn w:val="tabletitlefullwidth"/>
    <w:next w:val="figuretext"/>
    <w:rsid w:val="00C10C75"/>
    <w:rPr>
      <w:szCs w:val="22"/>
    </w:rPr>
  </w:style>
  <w:style w:type="paragraph" w:customStyle="1" w:styleId="tabletitlefullwidth">
    <w:name w:val="table title full width"/>
    <w:basedOn w:val="Normal"/>
    <w:rsid w:val="00C10C75"/>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C10C75"/>
    <w:pPr>
      <w:widowControl w:val="0"/>
      <w:spacing w:after="0" w:line="240" w:lineRule="atLeast"/>
    </w:pPr>
    <w:rPr>
      <w:rFonts w:ascii="Arial" w:hAnsi="Arial" w:cs="Arial"/>
      <w:sz w:val="18"/>
      <w:szCs w:val="18"/>
    </w:rPr>
  </w:style>
  <w:style w:type="paragraph" w:styleId="ListBullet2">
    <w:name w:val="List Bullet 2"/>
    <w:basedOn w:val="Normal"/>
    <w:rsid w:val="00C10C75"/>
    <w:pPr>
      <w:numPr>
        <w:numId w:val="13"/>
      </w:numPr>
      <w:tabs>
        <w:tab w:val="clear" w:pos="851"/>
        <w:tab w:val="left" w:pos="3119"/>
      </w:tabs>
      <w:spacing w:before="100" w:after="0" w:line="300" w:lineRule="atLeast"/>
      <w:ind w:left="3118" w:hanging="425"/>
    </w:pPr>
  </w:style>
  <w:style w:type="paragraph" w:customStyle="1" w:styleId="tablebullet">
    <w:name w:val="table bullet"/>
    <w:basedOn w:val="Normal"/>
    <w:rsid w:val="00C10C75"/>
    <w:pPr>
      <w:widowControl w:val="0"/>
      <w:numPr>
        <w:numId w:val="8"/>
      </w:numPr>
      <w:spacing w:before="60" w:after="0" w:line="240" w:lineRule="atLeast"/>
    </w:pPr>
    <w:rPr>
      <w:rFonts w:ascii="Arial" w:hAnsi="Arial" w:cs="Arial"/>
      <w:sz w:val="18"/>
      <w:szCs w:val="18"/>
    </w:rPr>
  </w:style>
  <w:style w:type="paragraph" w:styleId="TOC1">
    <w:name w:val="toc 1"/>
    <w:basedOn w:val="Normal"/>
    <w:next w:val="Normal"/>
    <w:autoRedefine/>
    <w:uiPriority w:val="39"/>
    <w:rsid w:val="00C10C75"/>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C10C75"/>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C10C75"/>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C10C75"/>
    <w:pPr>
      <w:tabs>
        <w:tab w:val="right" w:leader="dot" w:pos="8364"/>
      </w:tabs>
      <w:spacing w:after="0"/>
      <w:ind w:left="1134" w:right="565"/>
    </w:pPr>
    <w:rPr>
      <w:rFonts w:ascii="Arial" w:hAnsi="Arial" w:cs="Arial"/>
      <w:noProof/>
      <w:sz w:val="18"/>
      <w:szCs w:val="18"/>
      <w:lang w:val="en-ZW"/>
    </w:rPr>
  </w:style>
  <w:style w:type="paragraph" w:customStyle="1" w:styleId="tabletitleindented">
    <w:name w:val="table title indented"/>
    <w:basedOn w:val="tabletitlefullwidth"/>
    <w:rsid w:val="00C10C75"/>
    <w:pPr>
      <w:ind w:left="3260"/>
    </w:pPr>
  </w:style>
  <w:style w:type="paragraph" w:customStyle="1" w:styleId="tabledash">
    <w:name w:val="table dash"/>
    <w:basedOn w:val="tablebullet"/>
    <w:rsid w:val="00C10C75"/>
    <w:pPr>
      <w:numPr>
        <w:numId w:val="10"/>
      </w:numPr>
    </w:pPr>
  </w:style>
  <w:style w:type="paragraph" w:customStyle="1" w:styleId="Tablebody">
    <w:name w:val="Table body"/>
    <w:basedOn w:val="Normal"/>
    <w:semiHidden/>
    <w:rsid w:val="00C10C75"/>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C10C75"/>
    <w:pPr>
      <w:keepNext w:val="0"/>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C10C75"/>
    <w:pPr>
      <w:keepNext/>
      <w:pBdr>
        <w:top w:val="single" w:sz="6" w:space="1" w:color="0072CE"/>
        <w:left w:val="single" w:sz="6" w:space="4" w:color="0072CE"/>
        <w:bottom w:val="single" w:sz="6" w:space="3" w:color="0072CE"/>
        <w:right w:val="single" w:sz="6" w:space="4" w:color="0072CE"/>
      </w:pBdr>
      <w:shd w:val="clear" w:color="auto" w:fill="0072CE"/>
      <w:spacing w:before="240" w:after="0"/>
      <w:ind w:left="2381" w:right="5613"/>
    </w:pPr>
    <w:rPr>
      <w:rFonts w:ascii="Arial" w:hAnsi="Arial" w:cs="Arial"/>
      <w:b/>
      <w:color w:val="FFFFFF"/>
      <w:sz w:val="20"/>
    </w:rPr>
  </w:style>
  <w:style w:type="paragraph" w:customStyle="1" w:styleId="KPtext">
    <w:name w:val="KP text"/>
    <w:basedOn w:val="KPbold"/>
    <w:rsid w:val="00C10C75"/>
    <w:rPr>
      <w:b w:val="0"/>
    </w:rPr>
  </w:style>
  <w:style w:type="paragraph" w:customStyle="1" w:styleId="KPbullet">
    <w:name w:val="KP bullet"/>
    <w:basedOn w:val="KPtext"/>
    <w:rsid w:val="00C10C75"/>
    <w:pPr>
      <w:numPr>
        <w:numId w:val="11"/>
      </w:numPr>
      <w:tabs>
        <w:tab w:val="clear" w:pos="2807"/>
        <w:tab w:val="left" w:pos="2665"/>
      </w:tabs>
      <w:spacing w:before="100"/>
      <w:ind w:left="2665" w:hanging="284"/>
    </w:pPr>
  </w:style>
  <w:style w:type="paragraph" w:customStyle="1" w:styleId="Note">
    <w:name w:val="Note"/>
    <w:basedOn w:val="BodyText"/>
    <w:next w:val="BodyText"/>
    <w:rsid w:val="00C10C75"/>
    <w:pPr>
      <w:numPr>
        <w:numId w:val="0"/>
      </w:numPr>
      <w:spacing w:line="240" w:lineRule="atLeast"/>
      <w:ind w:left="2693"/>
    </w:pPr>
    <w:rPr>
      <w:sz w:val="18"/>
    </w:rPr>
  </w:style>
  <w:style w:type="paragraph" w:customStyle="1" w:styleId="Feedbackhead">
    <w:name w:val="Feedback head"/>
    <w:basedOn w:val="KPhead"/>
    <w:next w:val="Feedbackquestion"/>
    <w:rsid w:val="00C10C75"/>
    <w:pPr>
      <w:pBdr>
        <w:left w:val="single" w:sz="6" w:space="2" w:color="0072CE"/>
        <w:bottom w:val="none" w:sz="0" w:space="0" w:color="auto"/>
        <w:right w:val="none" w:sz="0" w:space="0" w:color="auto"/>
      </w:pBdr>
      <w:shd w:val="clear" w:color="auto" w:fill="auto"/>
      <w:spacing w:before="200"/>
      <w:ind w:left="3232" w:right="4536"/>
    </w:pPr>
    <w:rPr>
      <w:b w:val="0"/>
      <w:i/>
      <w:color w:val="auto"/>
    </w:rPr>
  </w:style>
  <w:style w:type="paragraph" w:customStyle="1" w:styleId="DescriptorRG">
    <w:name w:val="Descriptor RG"/>
    <w:basedOn w:val="Normal"/>
    <w:next w:val="Normal"/>
    <w:rsid w:val="00C10C75"/>
    <w:pPr>
      <w:pBdr>
        <w:top w:val="single" w:sz="4" w:space="4" w:color="0072CE"/>
        <w:left w:val="single" w:sz="4" w:space="4" w:color="0072CE"/>
        <w:bottom w:val="single" w:sz="4" w:space="4" w:color="0072CE"/>
        <w:right w:val="single" w:sz="4" w:space="4" w:color="0072CE"/>
      </w:pBdr>
      <w:shd w:val="clear" w:color="auto" w:fill="0072CE"/>
      <w:spacing w:before="960"/>
      <w:ind w:left="2268"/>
    </w:pPr>
    <w:rPr>
      <w:rFonts w:ascii="Arial" w:hAnsi="Arial" w:cs="Arial"/>
      <w:caps/>
      <w:color w:val="FFFFFF"/>
      <w:sz w:val="28"/>
      <w:szCs w:val="28"/>
    </w:rPr>
  </w:style>
  <w:style w:type="paragraph" w:customStyle="1" w:styleId="DescriptorCP">
    <w:name w:val="Descriptor CP"/>
    <w:basedOn w:val="DescriptorRG"/>
    <w:next w:val="Normal"/>
    <w:rsid w:val="00C10C75"/>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C10C75"/>
    <w:pPr>
      <w:spacing w:line="260" w:lineRule="atLeast"/>
    </w:pPr>
    <w:rPr>
      <w:rFonts w:ascii="Arial" w:hAnsi="Arial" w:cs="Arial"/>
      <w:sz w:val="20"/>
      <w:szCs w:val="20"/>
    </w:rPr>
  </w:style>
  <w:style w:type="paragraph" w:customStyle="1" w:styleId="Frontbullet">
    <w:name w:val="Front bullet"/>
    <w:basedOn w:val="Fronttext"/>
    <w:rsid w:val="00C10C75"/>
    <w:pPr>
      <w:numPr>
        <w:ilvl w:val="5"/>
        <w:numId w:val="12"/>
      </w:numPr>
      <w:spacing w:before="120"/>
    </w:pPr>
  </w:style>
  <w:style w:type="paragraph" w:customStyle="1" w:styleId="Frontheading">
    <w:name w:val="Front heading"/>
    <w:basedOn w:val="Heading3"/>
    <w:next w:val="Fronttext"/>
    <w:rsid w:val="00C10C75"/>
    <w:pPr>
      <w:outlineLvl w:val="0"/>
    </w:pPr>
  </w:style>
  <w:style w:type="paragraph" w:customStyle="1" w:styleId="Blockquote">
    <w:name w:val="Block quote"/>
    <w:basedOn w:val="Bodytextplain"/>
    <w:rsid w:val="00C10C75"/>
    <w:pPr>
      <w:spacing w:before="100" w:line="240" w:lineRule="auto"/>
      <w:ind w:left="2693"/>
    </w:pPr>
    <w:rPr>
      <w:sz w:val="21"/>
      <w:szCs w:val="21"/>
    </w:rPr>
  </w:style>
  <w:style w:type="paragraph" w:customStyle="1" w:styleId="Proposalhead">
    <w:name w:val="Proposal head"/>
    <w:basedOn w:val="Bodytextplain"/>
    <w:next w:val="Proposaltext"/>
    <w:rsid w:val="00C10C75"/>
    <w:pPr>
      <w:keepNext/>
      <w:pBdr>
        <w:top w:val="single" w:sz="18" w:space="1" w:color="0072CE"/>
        <w:left w:val="single" w:sz="4" w:space="4" w:color="0072CE"/>
      </w:pBdr>
      <w:spacing w:line="240" w:lineRule="auto"/>
      <w:ind w:right="5812"/>
    </w:pPr>
    <w:rPr>
      <w:rFonts w:ascii="Arial" w:hAnsi="Arial" w:cs="Arial"/>
      <w:b/>
    </w:rPr>
  </w:style>
  <w:style w:type="paragraph" w:customStyle="1" w:styleId="Proposalnote">
    <w:name w:val="Proposal note"/>
    <w:basedOn w:val="Note"/>
    <w:rsid w:val="00C10C75"/>
    <w:pPr>
      <w:spacing w:before="100"/>
      <w:ind w:left="3119"/>
    </w:pPr>
    <w:rPr>
      <w:rFonts w:ascii="Arial" w:hAnsi="Arial" w:cs="Arial"/>
      <w:sz w:val="16"/>
      <w:szCs w:val="16"/>
    </w:rPr>
  </w:style>
  <w:style w:type="paragraph" w:customStyle="1" w:styleId="boxbullet">
    <w:name w:val="box bullet"/>
    <w:basedOn w:val="Frontbullet"/>
    <w:rsid w:val="00C10C75"/>
    <w:pPr>
      <w:numPr>
        <w:ilvl w:val="0"/>
        <w:numId w:val="14"/>
      </w:numPr>
      <w:spacing w:before="60"/>
    </w:pPr>
  </w:style>
  <w:style w:type="paragraph" w:customStyle="1" w:styleId="boxtext">
    <w:name w:val="box text"/>
    <w:basedOn w:val="Fronttext"/>
    <w:rsid w:val="00C10C75"/>
    <w:pPr>
      <w:spacing w:before="120"/>
      <w:ind w:left="0"/>
    </w:pPr>
  </w:style>
  <w:style w:type="paragraph" w:customStyle="1" w:styleId="sourcenoteindented">
    <w:name w:val="source note indented"/>
    <w:basedOn w:val="sourcenotefullwidth"/>
    <w:qFormat/>
    <w:rsid w:val="00C10C75"/>
    <w:pPr>
      <w:ind w:left="2268"/>
    </w:pPr>
  </w:style>
  <w:style w:type="paragraph" w:customStyle="1" w:styleId="tblnote">
    <w:name w:val="tbl note"/>
    <w:basedOn w:val="sourcenotefullwidth"/>
    <w:next w:val="tbltext"/>
    <w:qFormat/>
    <w:rsid w:val="00C10C75"/>
    <w:pPr>
      <w:ind w:left="170"/>
    </w:pPr>
  </w:style>
  <w:style w:type="paragraph" w:customStyle="1" w:styleId="tblProposalsubpara">
    <w:name w:val="tbl Proposal sub para"/>
    <w:basedOn w:val="tbltext"/>
    <w:qFormat/>
    <w:rsid w:val="00C10C75"/>
    <w:pPr>
      <w:ind w:left="885" w:hanging="425"/>
    </w:pPr>
  </w:style>
  <w:style w:type="paragraph" w:customStyle="1" w:styleId="tblProposalsubsubpara">
    <w:name w:val="tbl Proposal sub sub para"/>
    <w:basedOn w:val="tbltext"/>
    <w:qFormat/>
    <w:rsid w:val="00C10C75"/>
    <w:pPr>
      <w:ind w:left="1310" w:hanging="425"/>
    </w:pPr>
  </w:style>
  <w:style w:type="paragraph" w:customStyle="1" w:styleId="tblProposaltext">
    <w:name w:val="tbl Proposal text"/>
    <w:basedOn w:val="tbltext"/>
    <w:qFormat/>
    <w:rsid w:val="00C10C75"/>
    <w:pPr>
      <w:ind w:left="425" w:hanging="425"/>
    </w:pPr>
  </w:style>
  <w:style w:type="paragraph" w:customStyle="1" w:styleId="tblProposaltextnonumber">
    <w:name w:val="tbl Proposal text no number"/>
    <w:basedOn w:val="tbltext"/>
    <w:qFormat/>
    <w:rsid w:val="00C10C75"/>
    <w:pPr>
      <w:ind w:left="425"/>
    </w:pPr>
  </w:style>
  <w:style w:type="paragraph" w:customStyle="1" w:styleId="tblFeedbackquestion">
    <w:name w:val="tbl Feedback question"/>
    <w:basedOn w:val="Proposaltext"/>
    <w:qFormat/>
    <w:rsid w:val="00C10C75"/>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C10C75"/>
    <w:rPr>
      <w:sz w:val="16"/>
      <w:szCs w:val="16"/>
    </w:rPr>
  </w:style>
  <w:style w:type="paragraph" w:customStyle="1" w:styleId="tblFeedbacksubquestion">
    <w:name w:val="tbl Feedback subquestion"/>
    <w:basedOn w:val="tblProposalsubpara"/>
    <w:rsid w:val="00C10C75"/>
    <w:pPr>
      <w:ind w:left="964" w:hanging="340"/>
    </w:pPr>
  </w:style>
  <w:style w:type="paragraph" w:customStyle="1" w:styleId="tblFeedbacksubsubquestion">
    <w:name w:val="tbl Feedback subsubquestion"/>
    <w:basedOn w:val="tblProposalsubsubpara"/>
    <w:qFormat/>
    <w:rsid w:val="00C10C75"/>
    <w:pPr>
      <w:ind w:left="1304" w:hanging="340"/>
    </w:pPr>
  </w:style>
  <w:style w:type="paragraph" w:customStyle="1" w:styleId="TOCHeading1">
    <w:name w:val="TOC Heading1"/>
    <w:basedOn w:val="Heading1"/>
    <w:next w:val="Normal"/>
    <w:uiPriority w:val="39"/>
    <w:qFormat/>
    <w:rsid w:val="00C10C75"/>
    <w:pPr>
      <w:numPr>
        <w:numId w:val="0"/>
      </w:numPr>
      <w:spacing w:before="200" w:after="720" w:line="240" w:lineRule="auto"/>
    </w:pPr>
    <w:rPr>
      <w:kern w:val="0"/>
    </w:rPr>
  </w:style>
  <w:style w:type="paragraph" w:customStyle="1" w:styleId="Heading1nonumber">
    <w:name w:val="Heading 1 no number"/>
    <w:basedOn w:val="Heading1"/>
    <w:next w:val="Bodytextplain"/>
    <w:rsid w:val="00C10C75"/>
    <w:pPr>
      <w:numPr>
        <w:numId w:val="0"/>
      </w:numPr>
      <w:spacing w:after="720"/>
    </w:pPr>
  </w:style>
  <w:style w:type="paragraph" w:customStyle="1" w:styleId="Heading2noToC">
    <w:name w:val="Heading 2 no ToC"/>
    <w:basedOn w:val="Bodytextplain"/>
    <w:next w:val="Bodytextplain"/>
    <w:rsid w:val="00C10C75"/>
    <w:pPr>
      <w:keepNext/>
      <w:spacing w:before="720" w:line="280" w:lineRule="atLeast"/>
      <w:ind w:left="0"/>
      <w:outlineLvl w:val="1"/>
    </w:pPr>
    <w:rPr>
      <w:rFonts w:ascii="Arial" w:hAnsi="Arial" w:cs="Arial"/>
      <w:b/>
      <w:sz w:val="28"/>
      <w:szCs w:val="28"/>
    </w:rPr>
  </w:style>
  <w:style w:type="paragraph" w:customStyle="1" w:styleId="Heading2indented">
    <w:name w:val="Heading 2 indented"/>
    <w:basedOn w:val="Normal"/>
    <w:next w:val="Bodytextplain"/>
    <w:qFormat/>
    <w:rsid w:val="00C10C75"/>
    <w:pPr>
      <w:keepNext/>
      <w:spacing w:before="400" w:after="0" w:line="280" w:lineRule="atLeast"/>
      <w:ind w:left="2268"/>
      <w:outlineLvl w:val="1"/>
    </w:pPr>
    <w:rPr>
      <w:rFonts w:ascii="Arial" w:hAnsi="Arial" w:cs="Arial"/>
      <w:b/>
      <w:sz w:val="24"/>
      <w:szCs w:val="24"/>
    </w:rPr>
  </w:style>
  <w:style w:type="paragraph" w:customStyle="1" w:styleId="Frontmatternote">
    <w:name w:val="Front matter note"/>
    <w:basedOn w:val="tblnote"/>
    <w:qFormat/>
    <w:rsid w:val="00C10C75"/>
    <w:pPr>
      <w:spacing w:before="200"/>
      <w:ind w:left="2693"/>
    </w:pPr>
  </w:style>
  <w:style w:type="paragraph" w:customStyle="1" w:styleId="Responsehead">
    <w:name w:val="Response head"/>
    <w:basedOn w:val="Feedbackhead"/>
    <w:next w:val="Responsetext"/>
    <w:qFormat/>
    <w:rsid w:val="00C10C75"/>
    <w:pPr>
      <w:spacing w:before="400"/>
      <w:ind w:right="4309"/>
    </w:pPr>
  </w:style>
  <w:style w:type="paragraph" w:customStyle="1" w:styleId="Responsetext">
    <w:name w:val="Response text"/>
    <w:basedOn w:val="Responsehead"/>
    <w:qFormat/>
    <w:rsid w:val="00C10C75"/>
    <w:pPr>
      <w:keepNext w:val="0"/>
      <w:pBdr>
        <w:top w:val="none" w:sz="0" w:space="0" w:color="auto"/>
      </w:pBdr>
      <w:spacing w:before="100" w:line="260" w:lineRule="atLeast"/>
      <w:ind w:right="0"/>
    </w:pPr>
    <w:rPr>
      <w:i w:val="0"/>
    </w:rPr>
  </w:style>
  <w:style w:type="paragraph" w:customStyle="1" w:styleId="Responsebullet">
    <w:name w:val="Response bullet"/>
    <w:basedOn w:val="Responsetext"/>
    <w:qFormat/>
    <w:rsid w:val="00C10C75"/>
    <w:pPr>
      <w:numPr>
        <w:numId w:val="15"/>
      </w:numPr>
      <w:ind w:left="3572" w:hanging="340"/>
    </w:pPr>
  </w:style>
  <w:style w:type="paragraph" w:customStyle="1" w:styleId="tabletext">
    <w:name w:val="table text"/>
    <w:basedOn w:val="tablehead"/>
    <w:rsid w:val="00C10C75"/>
    <w:pPr>
      <w:keepNext w:val="0"/>
    </w:pPr>
    <w:rPr>
      <w:b w:val="0"/>
    </w:rPr>
  </w:style>
  <w:style w:type="paragraph" w:customStyle="1" w:styleId="StyleDescriptorRGBoldCustomColorRGB17125199">
    <w:name w:val="Style Descriptor RG + Bold Custom Color(RGB(17125199))"/>
    <w:basedOn w:val="DescriptorRG"/>
    <w:rsid w:val="00C10C75"/>
    <w:pPr>
      <w:shd w:val="clear" w:color="auto" w:fill="auto"/>
    </w:pPr>
    <w:rPr>
      <w:b/>
      <w:bCs/>
      <w:color w:val="0072CE"/>
    </w:rPr>
  </w:style>
  <w:style w:type="character" w:customStyle="1" w:styleId="tbltextChar">
    <w:name w:val="tbl text Char"/>
    <w:basedOn w:val="DefaultParagraphFont"/>
    <w:link w:val="tbltext"/>
    <w:rsid w:val="00C10C75"/>
    <w:rPr>
      <w:rFonts w:ascii="Arial" w:eastAsia="Times New Roman" w:hAnsi="Arial" w:cs="Arial"/>
      <w:sz w:val="18"/>
      <w:szCs w:val="18"/>
      <w:lang w:eastAsia="en-AU"/>
    </w:rPr>
  </w:style>
  <w:style w:type="character" w:customStyle="1" w:styleId="BodytextplainChar">
    <w:name w:val="Body text plain Char"/>
    <w:basedOn w:val="DefaultParagraphFont"/>
    <w:link w:val="Bodytextplain"/>
    <w:rsid w:val="00C10C75"/>
    <w:rPr>
      <w:rFonts w:ascii="Times New Roman" w:eastAsia="Times New Roman" w:hAnsi="Times New Roman" w:cs="Times New Roman"/>
      <w:lang w:eastAsia="en-AU"/>
    </w:rPr>
  </w:style>
  <w:style w:type="paragraph" w:customStyle="1" w:styleId="Default">
    <w:name w:val="Default"/>
    <w:rsid w:val="00C10C75"/>
    <w:pPr>
      <w:autoSpaceDE w:val="0"/>
      <w:autoSpaceDN w:val="0"/>
      <w:adjustRightInd w:val="0"/>
      <w:spacing w:after="0" w:line="240" w:lineRule="auto"/>
    </w:pPr>
    <w:rPr>
      <w:rFonts w:ascii="Arial" w:hAnsi="Arial" w:cs="Arial"/>
      <w:color w:val="000000"/>
      <w:sz w:val="24"/>
      <w:szCs w:val="24"/>
    </w:rPr>
  </w:style>
  <w:style w:type="table" w:customStyle="1" w:styleId="GridTable4-Accent11">
    <w:name w:val="Grid Table 4 - Accent 11"/>
    <w:basedOn w:val="TableNormal"/>
    <w:next w:val="GridTable4-Accent1"/>
    <w:uiPriority w:val="49"/>
    <w:rsid w:val="00C10C75"/>
    <w:pPr>
      <w:spacing w:after="0" w:line="240" w:lineRule="auto"/>
    </w:pPr>
    <w:rPr>
      <w:rFonts w:ascii="Calibri" w:hAnsi="Calibri"/>
      <w:sz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5Dark-Accent11">
    <w:name w:val="Grid Table 5 Dark - Accent 11"/>
    <w:basedOn w:val="TableNormal"/>
    <w:next w:val="GridTable5Dark-Accent1"/>
    <w:uiPriority w:val="50"/>
    <w:rsid w:val="00C10C75"/>
    <w:pPr>
      <w:spacing w:after="0" w:line="240" w:lineRule="auto"/>
    </w:pPr>
    <w:rPr>
      <w:rFonts w:ascii="Calibri" w:hAnsi="Calibri"/>
      <w:sz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character" w:styleId="UnresolvedMention">
    <w:name w:val="Unresolved Mention"/>
    <w:basedOn w:val="DefaultParagraphFont"/>
    <w:uiPriority w:val="99"/>
    <w:semiHidden/>
    <w:unhideWhenUsed/>
    <w:rsid w:val="00C10C75"/>
    <w:rPr>
      <w:color w:val="605E5C"/>
      <w:shd w:val="clear" w:color="auto" w:fill="E1DFDD"/>
    </w:rPr>
  </w:style>
  <w:style w:type="table" w:customStyle="1" w:styleId="GridTable5Dark-Accent111">
    <w:name w:val="Grid Table 5 Dark - Accent 111"/>
    <w:basedOn w:val="TableNormal"/>
    <w:next w:val="GridTable5Dark-Accent1"/>
    <w:uiPriority w:val="50"/>
    <w:rsid w:val="00C10C75"/>
    <w:pPr>
      <w:spacing w:after="0" w:line="240" w:lineRule="auto"/>
    </w:pPr>
    <w:rPr>
      <w:rFonts w:ascii="Calibri" w:eastAsia="Calibri" w:hAnsi="Calibri" w:cs="Times New Roman"/>
      <w:sz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styleId="EndnoteText">
    <w:name w:val="endnote text"/>
    <w:basedOn w:val="Normal"/>
    <w:link w:val="EndnoteTextChar"/>
    <w:uiPriority w:val="99"/>
    <w:semiHidden/>
    <w:unhideWhenUsed/>
    <w:rsid w:val="00C10C75"/>
    <w:pPr>
      <w:spacing w:after="0"/>
    </w:pPr>
    <w:rPr>
      <w:sz w:val="20"/>
    </w:rPr>
  </w:style>
  <w:style w:type="character" w:customStyle="1" w:styleId="EndnoteTextChar">
    <w:name w:val="Endnote Text Char"/>
    <w:basedOn w:val="DefaultParagraphFont"/>
    <w:link w:val="EndnoteText"/>
    <w:uiPriority w:val="99"/>
    <w:semiHidden/>
    <w:rsid w:val="00C10C75"/>
    <w:rPr>
      <w:rFonts w:ascii="Times New Roman" w:eastAsia="Times New Roman" w:hAnsi="Times New Roman" w:cs="Times New Roman"/>
      <w:sz w:val="20"/>
      <w:szCs w:val="20"/>
      <w:lang w:eastAsia="en-AU"/>
    </w:rPr>
  </w:style>
  <w:style w:type="character" w:styleId="EndnoteReference">
    <w:name w:val="endnote reference"/>
    <w:basedOn w:val="DefaultParagraphFont"/>
    <w:uiPriority w:val="99"/>
    <w:semiHidden/>
    <w:unhideWhenUsed/>
    <w:rsid w:val="00C10C75"/>
    <w:rPr>
      <w:vertAlign w:val="superscript"/>
    </w:rPr>
  </w:style>
  <w:style w:type="paragraph" w:customStyle="1" w:styleId="PIONHeading1">
    <w:name w:val="PION Heading 1"/>
    <w:basedOn w:val="Bodytextplain"/>
    <w:qFormat/>
    <w:rsid w:val="00C10C75"/>
    <w:pPr>
      <w:spacing w:after="480"/>
      <w:ind w:left="0"/>
      <w:jc w:val="center"/>
    </w:pPr>
    <w:rPr>
      <w:b/>
      <w:i/>
    </w:rPr>
  </w:style>
  <w:style w:type="paragraph" w:customStyle="1" w:styleId="PIONtitle">
    <w:name w:val="PION title"/>
    <w:basedOn w:val="Bodytextplain"/>
    <w:qFormat/>
    <w:rsid w:val="00C10C75"/>
    <w:pPr>
      <w:ind w:left="0"/>
      <w:jc w:val="center"/>
    </w:pPr>
    <w:rPr>
      <w:b/>
    </w:rPr>
  </w:style>
  <w:style w:type="paragraph" w:customStyle="1" w:styleId="PIONHeading2">
    <w:name w:val="PION Heading 2"/>
    <w:basedOn w:val="Bodytextplain"/>
    <w:qFormat/>
    <w:rsid w:val="00C10C75"/>
    <w:pPr>
      <w:spacing w:before="0"/>
      <w:ind w:left="0"/>
    </w:pPr>
  </w:style>
  <w:style w:type="paragraph" w:customStyle="1" w:styleId="PIONHeading3">
    <w:name w:val="PION Heading 3"/>
    <w:basedOn w:val="Bodytextplain"/>
    <w:qFormat/>
    <w:rsid w:val="00C10C75"/>
    <w:pPr>
      <w:ind w:left="0"/>
    </w:pPr>
    <w:rPr>
      <w:i/>
    </w:rPr>
  </w:style>
  <w:style w:type="paragraph" w:customStyle="1" w:styleId="PIONsubsubpara">
    <w:name w:val="PION sub subpara"/>
    <w:basedOn w:val="Bodytextplain"/>
    <w:qFormat/>
    <w:rsid w:val="00C10C75"/>
    <w:pPr>
      <w:ind w:left="0"/>
    </w:pPr>
  </w:style>
  <w:style w:type="character" w:customStyle="1" w:styleId="FollowedHyperlink1">
    <w:name w:val="FollowedHyperlink1"/>
    <w:basedOn w:val="DefaultParagraphFont"/>
    <w:uiPriority w:val="99"/>
    <w:semiHidden/>
    <w:unhideWhenUsed/>
    <w:rsid w:val="00C10C75"/>
    <w:rPr>
      <w:color w:val="800080"/>
      <w:u w:val="single"/>
    </w:rPr>
  </w:style>
  <w:style w:type="table" w:styleId="GridTable4-Accent1">
    <w:name w:val="Grid Table 4 Accent 1"/>
    <w:basedOn w:val="TableNormal"/>
    <w:uiPriority w:val="49"/>
    <w:rsid w:val="00C10C7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C10C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FollowedHyperlink">
    <w:name w:val="FollowedHyperlink"/>
    <w:basedOn w:val="DefaultParagraphFont"/>
    <w:uiPriority w:val="99"/>
    <w:semiHidden/>
    <w:unhideWhenUsed/>
    <w:rsid w:val="00C10C75"/>
    <w:rPr>
      <w:color w:val="954F72" w:themeColor="followedHyperlink"/>
      <w:u w:val="single"/>
    </w:rPr>
  </w:style>
  <w:style w:type="paragraph" w:customStyle="1" w:styleId="li-bodytextparaa0">
    <w:name w:val="li-bodytextparaa"/>
    <w:basedOn w:val="Normal"/>
    <w:rsid w:val="00141ECF"/>
    <w:pPr>
      <w:spacing w:before="100" w:beforeAutospacing="1" w:after="100" w:afterAutospacing="1"/>
    </w:pPr>
    <w:rPr>
      <w:sz w:val="24"/>
      <w:szCs w:val="24"/>
    </w:rPr>
  </w:style>
  <w:style w:type="paragraph" w:customStyle="1" w:styleId="LI-Title">
    <w:name w:val="LI - Title"/>
    <w:basedOn w:val="Normal"/>
    <w:next w:val="Normal"/>
    <w:qFormat/>
    <w:rsid w:val="00CD7AF4"/>
    <w:pPr>
      <w:pBdr>
        <w:top w:val="single" w:sz="4" w:space="1" w:color="auto"/>
      </w:pBdr>
      <w:spacing w:after="0"/>
    </w:pPr>
    <w:rPr>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564291">
      <w:bodyDiv w:val="1"/>
      <w:marLeft w:val="0"/>
      <w:marRight w:val="0"/>
      <w:marTop w:val="0"/>
      <w:marBottom w:val="0"/>
      <w:divBdr>
        <w:top w:val="none" w:sz="0" w:space="0" w:color="auto"/>
        <w:left w:val="none" w:sz="0" w:space="0" w:color="auto"/>
        <w:bottom w:val="none" w:sz="0" w:space="0" w:color="auto"/>
        <w:right w:val="none" w:sz="0" w:space="0" w:color="auto"/>
      </w:divBdr>
    </w:div>
    <w:div w:id="1491403137">
      <w:bodyDiv w:val="1"/>
      <w:marLeft w:val="0"/>
      <w:marRight w:val="0"/>
      <w:marTop w:val="0"/>
      <w:marBottom w:val="0"/>
      <w:divBdr>
        <w:top w:val="none" w:sz="0" w:space="0" w:color="auto"/>
        <w:left w:val="none" w:sz="0" w:space="0" w:color="auto"/>
        <w:bottom w:val="none" w:sz="0" w:space="0" w:color="auto"/>
        <w:right w:val="none" w:sz="0" w:space="0" w:color="auto"/>
      </w:divBdr>
    </w:div>
    <w:div w:id="1783987397">
      <w:bodyDiv w:val="1"/>
      <w:marLeft w:val="0"/>
      <w:marRight w:val="0"/>
      <w:marTop w:val="0"/>
      <w:marBottom w:val="0"/>
      <w:divBdr>
        <w:top w:val="none" w:sz="0" w:space="0" w:color="auto"/>
        <w:left w:val="none" w:sz="0" w:space="0" w:color="auto"/>
        <w:bottom w:val="none" w:sz="0" w:space="0" w:color="auto"/>
        <w:right w:val="none" w:sz="0" w:space="0" w:color="auto"/>
      </w:divBdr>
    </w:div>
    <w:div w:id="203518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au/Details/F2020L01338"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8553730CA91D834798DB405E6402B90A" ma:contentTypeVersion="21" ma:contentTypeDescription="" ma:contentTypeScope="" ma:versionID="3a351c2f5341750e06721667cb90902e">
  <xsd:schema xmlns:xsd="http://www.w3.org/2001/XMLSchema" xmlns:xs="http://www.w3.org/2001/XMLSchema" xmlns:p="http://schemas.microsoft.com/office/2006/metadata/properties" xmlns:ns2="da7a9ac0-bc47-4684-84e6-3a8e9ac80c12" xmlns:ns3="271d3771-bc5d-44c5-b742-4005bc4a40a2" xmlns:ns4="17f478ab-373e-4295-9ff0-9b833ad01319" targetNamespace="http://schemas.microsoft.com/office/2006/metadata/properties" ma:root="true" ma:fieldsID="e46e1b51cd4239432975bc7bc6ee89a9" ns2:_="" ns3:_="" ns4:_="">
    <xsd:import namespace="da7a9ac0-bc47-4684-84e6-3a8e9ac80c12"/>
    <xsd:import namespace="271d3771-bc5d-44c5-b742-4005bc4a40a2"/>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a5163a4e8efe40e9a2e7980f426fbdbd" minOccurs="0"/>
                <xsd:element ref="ns2:NotesLinks"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8"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1d3771-bc5d-44c5-b742-4005bc4a40a2"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c151ad35-5176-411b-9422-862921bc92dd}" ma:internalName="TaxCatchAll" ma:showField="CatchAllData" ma:web="271d3771-bc5d-44c5-b742-4005bc4a40a2">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c151ad35-5176-411b-9422-862921bc92dd}" ma:internalName="TaxCatchAllLabel" ma:readOnly="true" ma:showField="CatchAllDataLabel" ma:web="271d3771-bc5d-44c5-b742-4005bc4a40a2">
      <xsd:complexType>
        <xsd:complexContent>
          <xsd:extension base="dms:MultiChoiceLookup">
            <xsd:sequence>
              <xsd:element name="Value" type="dms:Lookup" maxOccurs="unbounded" minOccurs="0" nillable="true"/>
            </xsd:sequence>
          </xsd:extension>
        </xsd:complexContent>
      </xsd:complexType>
    </xsd:element>
    <xsd:element name="a5163a4e8efe40e9a2e7980f426fbdbd" ma:index="17" ma:taxonomy="true" ma:internalName="a5163a4e8efe40e9a2e7980f426fbdbd" ma:taxonomyFieldName="SecurityClassification" ma:displayName="Security Classification" ma:readOnly="false" ma:default="-1;#OFFICIAL - Sensitive|6eccc17f-024b-41b0-b6b1-faf98d2aff85" ma:fieldId="{a5163a4e-8efe-40e9-a2e7-980f426fbdbd}"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Number xmlns="da7a9ac0-bc47-4684-84e6-3a8e9ac80c12">R20210000722011</RecordNumber>
    <ObjectiveID xmlns="da7a9ac0-bc47-4684-84e6-3a8e9ac80c12"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TaxCatchAll xmlns="271d3771-bc5d-44c5-b742-4005bc4a40a2">
      <Value>48</Value>
    </TaxCatchAll>
    <a5163a4e8efe40e9a2e7980f426fbdbd xmlns="271d3771-bc5d-44c5-b742-4005bc4a40a2">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a5163a4e8efe40e9a2e7980f426fbdbd>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1552B-9E9F-4901-B6B3-B3C372D46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271d3771-bc5d-44c5-b742-4005bc4a40a2"/>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1EF602-334A-414D-822E-701BB6FC4D1F}">
  <ds:schemaRefs>
    <ds:schemaRef ds:uri="http://schemas.microsoft.com/sharepoint/v3/contenttype/forms"/>
  </ds:schemaRefs>
</ds:datastoreItem>
</file>

<file path=customXml/itemProps3.xml><?xml version="1.0" encoding="utf-8"?>
<ds:datastoreItem xmlns:ds="http://schemas.openxmlformats.org/officeDocument/2006/customXml" ds:itemID="{BCB5B197-B8A6-4E25-B076-7053025B2B5E}">
  <ds:schemaRefs>
    <ds:schemaRef ds:uri="http://purl.org/dc/terms/"/>
    <ds:schemaRef ds:uri="http://schemas.openxmlformats.org/package/2006/metadata/core-properties"/>
    <ds:schemaRef ds:uri="271d3771-bc5d-44c5-b742-4005bc4a40a2"/>
    <ds:schemaRef ds:uri="http://schemas.microsoft.com/office/2006/documentManagement/types"/>
    <ds:schemaRef ds:uri="http://schemas.microsoft.com/office/infopath/2007/PartnerControls"/>
    <ds:schemaRef ds:uri="http://purl.org/dc/elements/1.1/"/>
    <ds:schemaRef ds:uri="http://schemas.microsoft.com/office/2006/metadata/properties"/>
    <ds:schemaRef ds:uri="17f478ab-373e-4295-9ff0-9b833ad01319"/>
    <ds:schemaRef ds:uri="da7a9ac0-bc47-4684-84e6-3a8e9ac80c12"/>
    <ds:schemaRef ds:uri="http://www.w3.org/XML/1998/namespace"/>
    <ds:schemaRef ds:uri="http://purl.org/dc/dcmitype/"/>
  </ds:schemaRefs>
</ds:datastoreItem>
</file>

<file path=customXml/itemProps4.xml><?xml version="1.0" encoding="utf-8"?>
<ds:datastoreItem xmlns:ds="http://schemas.openxmlformats.org/officeDocument/2006/customXml" ds:itemID="{E1C91439-7465-41AE-8370-448C55F1DEF9}">
  <ds:schemaRefs>
    <ds:schemaRef ds:uri="http://schemas.microsoft.com/sharepoint/events"/>
  </ds:schemaRefs>
</ds:datastoreItem>
</file>

<file path=customXml/itemProps5.xml><?xml version="1.0" encoding="utf-8"?>
<ds:datastoreItem xmlns:ds="http://schemas.openxmlformats.org/officeDocument/2006/customXml" ds:itemID="{8FA4F80F-A947-473F-B436-14B6E4663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6304</TotalTime>
  <Pages>6</Pages>
  <Words>2086</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Templer</dc:creator>
  <cp:keywords/>
  <dc:description/>
  <cp:lastModifiedBy>Narelle Kane</cp:lastModifiedBy>
  <cp:revision>147</cp:revision>
  <cp:lastPrinted>2020-07-13T11:08:00Z</cp:lastPrinted>
  <dcterms:created xsi:type="dcterms:W3CDTF">2021-10-22T00:39:00Z</dcterms:created>
  <dcterms:modified xsi:type="dcterms:W3CDTF">2022-04-06T06:34:00Z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0x010100B5F685A1365F544391EF8C813B164F3A008553730CA91D834798DB405E6402B90A</vt:lpwstr>
  </property>
  <property fmtid="{D5CDD505-2E9C-101B-9397-08002B2CF9AE}" pid="3" name="SecurityClassification">
    <vt:lpwstr>48;#OFFICIAL - Sensitive|6eccc17f-024b-41b0-b6b1-faf98d2aff85</vt:lpwstr>
  </property>
  <property fmtid="{D5CDD505-2E9C-101B-9397-08002B2CF9AE}" pid="4" name="RecordPoint_WorkflowType">
    <vt:lpwstr>ActiveSubmitStub</vt:lpwstr>
  </property>
  <property fmtid="{D5CDD505-2E9C-101B-9397-08002B2CF9AE}" pid="5" name="RecordPoint_ActiveItemUniqueId">
    <vt:lpwstr>{0e93fb9b-cb7a-4b2e-b800-af4265fdc40b}</vt:lpwstr>
  </property>
  <property fmtid="{D5CDD505-2E9C-101B-9397-08002B2CF9AE}" pid="6" name="RecordPoint_ActiveItemWebId">
    <vt:lpwstr>{271d3771-bc5d-44c5-b742-4005bc4a40a2}</vt:lpwstr>
  </property>
  <property fmtid="{D5CDD505-2E9C-101B-9397-08002B2CF9AE}" pid="7" name="RecordPoint_ActiveItemSiteId">
    <vt:lpwstr>{7e0c2185-ddef-42fa-b41e-deab34af16fe}</vt:lpwstr>
  </property>
  <property fmtid="{D5CDD505-2E9C-101B-9397-08002B2CF9AE}" pid="8" name="RecordPoint_ActiveItemListId">
    <vt:lpwstr>{7a3dbc1e-4520-4203-99fc-8742ee31a232}</vt:lpwstr>
  </property>
  <property fmtid="{D5CDD505-2E9C-101B-9397-08002B2CF9AE}" pid="9" name="RecordPoint_RecordNumberSubmitted">
    <vt:lpwstr>R20210000722011</vt:lpwstr>
  </property>
  <property fmtid="{D5CDD505-2E9C-101B-9397-08002B2CF9AE}" pid="10" name="RecordPoint_SubmissionDate">
    <vt:lpwstr/>
  </property>
  <property fmtid="{D5CDD505-2E9C-101B-9397-08002B2CF9AE}" pid="11" name="RecordPoint_RecordFormat">
    <vt:lpwstr/>
  </property>
  <property fmtid="{D5CDD505-2E9C-101B-9397-08002B2CF9AE}" pid="12" name="RecordPoint_SubmissionCompleted">
    <vt:lpwstr>2022-04-05T18:31:26.0294820+10:00</vt:lpwstr>
  </property>
</Properties>
</file>