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1FDD2" w14:textId="6CF6819B" w:rsidR="0041338D" w:rsidRPr="00661F5D" w:rsidRDefault="0041338D" w:rsidP="0041338D">
      <w:pPr>
        <w:pStyle w:val="Title"/>
        <w:rPr>
          <w:szCs w:val="24"/>
        </w:rPr>
      </w:pPr>
      <w:r w:rsidRPr="00661F5D">
        <w:rPr>
          <w:szCs w:val="24"/>
        </w:rPr>
        <w:t xml:space="preserve">EXPLANATORY </w:t>
      </w:r>
      <w:r w:rsidR="00E657DC" w:rsidRPr="00661F5D">
        <w:rPr>
          <w:szCs w:val="24"/>
        </w:rPr>
        <w:t>STATEMENT</w:t>
      </w:r>
    </w:p>
    <w:p w14:paraId="1B352024" w14:textId="65F06F1D" w:rsidR="0041338D" w:rsidRPr="00661F5D" w:rsidRDefault="0041338D" w:rsidP="0041338D">
      <w:pPr>
        <w:rPr>
          <w:szCs w:val="24"/>
          <w:u w:val="single"/>
        </w:rPr>
      </w:pPr>
    </w:p>
    <w:p w14:paraId="156CF354" w14:textId="2EF74F21" w:rsidR="0041338D" w:rsidRPr="00661F5D" w:rsidRDefault="0041338D" w:rsidP="00BF5331">
      <w:pPr>
        <w:jc w:val="center"/>
        <w:rPr>
          <w:i/>
          <w:szCs w:val="24"/>
        </w:rPr>
      </w:pPr>
      <w:r w:rsidRPr="00661F5D">
        <w:rPr>
          <w:i/>
          <w:szCs w:val="24"/>
        </w:rPr>
        <w:t>Therapeutic Goods</w:t>
      </w:r>
      <w:r w:rsidR="008058FF" w:rsidRPr="00661F5D">
        <w:rPr>
          <w:i/>
          <w:szCs w:val="24"/>
        </w:rPr>
        <w:t xml:space="preserve"> (Charges)</w:t>
      </w:r>
      <w:r w:rsidRPr="00661F5D">
        <w:rPr>
          <w:i/>
          <w:szCs w:val="24"/>
        </w:rPr>
        <w:t xml:space="preserve"> Act 1989</w:t>
      </w:r>
    </w:p>
    <w:p w14:paraId="0FBFAC1E" w14:textId="1EEB06B5" w:rsidR="0041338D" w:rsidRPr="00661F5D" w:rsidRDefault="0041338D" w:rsidP="00C366FD">
      <w:pPr>
        <w:rPr>
          <w:i/>
          <w:szCs w:val="24"/>
        </w:rPr>
      </w:pPr>
    </w:p>
    <w:p w14:paraId="4621258A" w14:textId="11B4210A" w:rsidR="00BF0903" w:rsidRPr="00661F5D" w:rsidRDefault="0041338D" w:rsidP="00EF01DF">
      <w:pPr>
        <w:jc w:val="center"/>
        <w:rPr>
          <w:i/>
          <w:szCs w:val="24"/>
        </w:rPr>
      </w:pPr>
      <w:r w:rsidRPr="00661F5D">
        <w:rPr>
          <w:i/>
          <w:szCs w:val="24"/>
        </w:rPr>
        <w:t xml:space="preserve">Therapeutic Goods </w:t>
      </w:r>
      <w:r w:rsidR="00971E22" w:rsidRPr="00661F5D">
        <w:rPr>
          <w:i/>
          <w:szCs w:val="24"/>
        </w:rPr>
        <w:t xml:space="preserve">(Charges) </w:t>
      </w:r>
      <w:r w:rsidRPr="00661F5D">
        <w:rPr>
          <w:i/>
          <w:szCs w:val="24"/>
        </w:rPr>
        <w:t xml:space="preserve">Amendment </w:t>
      </w:r>
      <w:r w:rsidR="006C20B5" w:rsidRPr="00661F5D">
        <w:rPr>
          <w:i/>
          <w:szCs w:val="24"/>
        </w:rPr>
        <w:t>(202</w:t>
      </w:r>
      <w:r w:rsidR="00DD2900" w:rsidRPr="00661F5D">
        <w:rPr>
          <w:i/>
          <w:szCs w:val="24"/>
        </w:rPr>
        <w:t>2</w:t>
      </w:r>
      <w:r w:rsidR="006C20B5" w:rsidRPr="00661F5D">
        <w:rPr>
          <w:i/>
          <w:szCs w:val="24"/>
        </w:rPr>
        <w:t xml:space="preserve"> Measures No.</w:t>
      </w:r>
      <w:r w:rsidR="00E704B2" w:rsidRPr="00661F5D">
        <w:rPr>
          <w:i/>
          <w:szCs w:val="24"/>
        </w:rPr>
        <w:t xml:space="preserve"> </w:t>
      </w:r>
      <w:r w:rsidR="006C20B5" w:rsidRPr="00661F5D">
        <w:rPr>
          <w:i/>
          <w:szCs w:val="24"/>
        </w:rPr>
        <w:t xml:space="preserve">1) </w:t>
      </w:r>
      <w:r w:rsidRPr="00661F5D">
        <w:rPr>
          <w:i/>
          <w:szCs w:val="24"/>
        </w:rPr>
        <w:t xml:space="preserve">Regulations </w:t>
      </w:r>
      <w:r w:rsidR="00E05DB8" w:rsidRPr="00661F5D">
        <w:rPr>
          <w:i/>
          <w:szCs w:val="24"/>
        </w:rPr>
        <w:t>20</w:t>
      </w:r>
      <w:r w:rsidR="00BC3038" w:rsidRPr="00661F5D">
        <w:rPr>
          <w:i/>
          <w:szCs w:val="24"/>
        </w:rPr>
        <w:t>2</w:t>
      </w:r>
      <w:r w:rsidR="00DD2900" w:rsidRPr="00661F5D">
        <w:rPr>
          <w:i/>
          <w:szCs w:val="24"/>
        </w:rPr>
        <w:t>2</w:t>
      </w:r>
    </w:p>
    <w:p w14:paraId="4664246B" w14:textId="77777777" w:rsidR="00C1027E" w:rsidRPr="00661F5D" w:rsidRDefault="00C1027E" w:rsidP="0041338D">
      <w:pPr>
        <w:rPr>
          <w:szCs w:val="24"/>
        </w:rPr>
      </w:pPr>
    </w:p>
    <w:p w14:paraId="67D2C2C4" w14:textId="56EA9855" w:rsidR="00E657DC" w:rsidRPr="00661F5D" w:rsidRDefault="00E657DC" w:rsidP="0041338D">
      <w:pPr>
        <w:rPr>
          <w:szCs w:val="24"/>
        </w:rPr>
      </w:pPr>
      <w:r w:rsidRPr="00661F5D">
        <w:rPr>
          <w:szCs w:val="24"/>
        </w:rPr>
        <w:t>The instrument increases annual charges for therapeutic goods to support cost recovery.</w:t>
      </w:r>
    </w:p>
    <w:p w14:paraId="1AFF6E1E" w14:textId="77777777" w:rsidR="00E657DC" w:rsidRPr="00661F5D" w:rsidRDefault="00E657DC" w:rsidP="0041338D">
      <w:pPr>
        <w:rPr>
          <w:szCs w:val="24"/>
        </w:rPr>
      </w:pPr>
    </w:p>
    <w:p w14:paraId="6174E9F6" w14:textId="4D5F110E" w:rsidR="0041338D" w:rsidRPr="00661F5D" w:rsidRDefault="00971E22" w:rsidP="0041338D">
      <w:pPr>
        <w:rPr>
          <w:szCs w:val="24"/>
        </w:rPr>
      </w:pPr>
      <w:r w:rsidRPr="00661F5D">
        <w:rPr>
          <w:szCs w:val="24"/>
        </w:rPr>
        <w:t xml:space="preserve">The </w:t>
      </w:r>
      <w:r w:rsidR="0041338D" w:rsidRPr="00661F5D">
        <w:rPr>
          <w:i/>
          <w:szCs w:val="24"/>
        </w:rPr>
        <w:t xml:space="preserve">Therapeutic Goods </w:t>
      </w:r>
      <w:r w:rsidRPr="00661F5D">
        <w:rPr>
          <w:i/>
          <w:szCs w:val="24"/>
        </w:rPr>
        <w:t xml:space="preserve">(Charges) </w:t>
      </w:r>
      <w:r w:rsidR="0041338D" w:rsidRPr="00661F5D">
        <w:rPr>
          <w:i/>
          <w:szCs w:val="24"/>
        </w:rPr>
        <w:t>Act 1989</w:t>
      </w:r>
      <w:r w:rsidR="00D85909" w:rsidRPr="00661F5D">
        <w:rPr>
          <w:szCs w:val="24"/>
        </w:rPr>
        <w:t xml:space="preserve"> (the Act) </w:t>
      </w:r>
      <w:r w:rsidRPr="00661F5D">
        <w:rPr>
          <w:szCs w:val="24"/>
        </w:rPr>
        <w:t>imposes annual charges on the registration, listing and inclusion of therapeutic goods in the Australian Register of Therapeutic Goods (the Register), and on the licensing of manufacturers of therapeutic goods</w:t>
      </w:r>
      <w:r w:rsidR="00F668AC" w:rsidRPr="00661F5D">
        <w:rPr>
          <w:szCs w:val="24"/>
        </w:rPr>
        <w:t xml:space="preserve"> (other than medical devices)</w:t>
      </w:r>
      <w:r w:rsidRPr="00661F5D">
        <w:rPr>
          <w:szCs w:val="24"/>
        </w:rPr>
        <w:t xml:space="preserve">. The </w:t>
      </w:r>
      <w:r w:rsidR="0041338D" w:rsidRPr="00661F5D">
        <w:rPr>
          <w:szCs w:val="24"/>
        </w:rPr>
        <w:t xml:space="preserve">Therapeutic Goods Administration (the TGA), which is part of the Department of Health (the Department), is responsible for administering the Act. </w:t>
      </w:r>
    </w:p>
    <w:p w14:paraId="1845218F" w14:textId="77777777" w:rsidR="00971E22" w:rsidRPr="00661F5D" w:rsidRDefault="00971E22" w:rsidP="0041338D">
      <w:pPr>
        <w:rPr>
          <w:szCs w:val="24"/>
        </w:rPr>
      </w:pPr>
    </w:p>
    <w:p w14:paraId="2F251DFA" w14:textId="233A3FF6" w:rsidR="00971E22" w:rsidRPr="00661F5D" w:rsidRDefault="00971E22" w:rsidP="0041338D">
      <w:pPr>
        <w:rPr>
          <w:szCs w:val="24"/>
        </w:rPr>
      </w:pPr>
      <w:r w:rsidRPr="00661F5D">
        <w:rPr>
          <w:szCs w:val="24"/>
        </w:rPr>
        <w:t>Subsection 5(1) of the Act provides that the Governor-General may make regulations, not inconsistent with the Act, prescribing the amounts of charges. Subsection 5(2) of the Act provides in part that the regulations may prescribe d</w:t>
      </w:r>
      <w:r w:rsidR="00152DA8" w:rsidRPr="00661F5D">
        <w:rPr>
          <w:szCs w:val="24"/>
        </w:rPr>
        <w:t>ifferent charges in relation to</w:t>
      </w:r>
      <w:r w:rsidRPr="00661F5D">
        <w:rPr>
          <w:szCs w:val="24"/>
        </w:rPr>
        <w:t xml:space="preserve"> different classes of go</w:t>
      </w:r>
      <w:r w:rsidR="00152DA8" w:rsidRPr="00661F5D">
        <w:rPr>
          <w:szCs w:val="24"/>
        </w:rPr>
        <w:t>ods (including medical devices)</w:t>
      </w:r>
      <w:r w:rsidRPr="00661F5D">
        <w:rPr>
          <w:szCs w:val="24"/>
        </w:rPr>
        <w:t xml:space="preserve"> or, in the case of annual licensing charges, for different steps in the manufacture of therapeutic goods.</w:t>
      </w:r>
    </w:p>
    <w:p w14:paraId="3977F722" w14:textId="77777777" w:rsidR="003A6DC0" w:rsidRPr="00661F5D" w:rsidRDefault="003A6DC0" w:rsidP="0041338D">
      <w:pPr>
        <w:rPr>
          <w:szCs w:val="24"/>
        </w:rPr>
      </w:pPr>
    </w:p>
    <w:p w14:paraId="4A50ACE4" w14:textId="20E74C0A" w:rsidR="003A6DC0" w:rsidRPr="00661F5D" w:rsidRDefault="003A6DC0" w:rsidP="0041338D">
      <w:pPr>
        <w:rPr>
          <w:szCs w:val="24"/>
        </w:rPr>
      </w:pPr>
      <w:r w:rsidRPr="00661F5D">
        <w:rPr>
          <w:szCs w:val="24"/>
        </w:rPr>
        <w:t>Section 4 of the Act provides that annual charges of such amounts as are prescribed are payable in respect of therapeutic goods on the Register, as well as in respect of</w:t>
      </w:r>
      <w:r w:rsidR="008D1D41" w:rsidRPr="00661F5D">
        <w:rPr>
          <w:szCs w:val="24"/>
        </w:rPr>
        <w:t xml:space="preserve"> manufacturing licences and conformity assessment body determinations, that are in force at any time within a financial year. In addition, under subsection 4(1A) of the Act, where one or more therapeutic goods are “grouped” and each of the “grouped” therapeutic goods is covered by a single registration or listing number, a single annual charge as is prescribed will apply for maintaining all the registered or listed goods covered under the same group. </w:t>
      </w:r>
      <w:r w:rsidRPr="00661F5D">
        <w:rPr>
          <w:szCs w:val="24"/>
        </w:rPr>
        <w:t xml:space="preserve"> </w:t>
      </w:r>
    </w:p>
    <w:p w14:paraId="5D406BA4" w14:textId="77777777" w:rsidR="0041338D" w:rsidRPr="00661F5D" w:rsidRDefault="0041338D" w:rsidP="0041338D">
      <w:pPr>
        <w:rPr>
          <w:szCs w:val="24"/>
        </w:rPr>
      </w:pPr>
    </w:p>
    <w:p w14:paraId="5471C93E" w14:textId="6DFCB70E" w:rsidR="004B7343" w:rsidRPr="00661F5D" w:rsidRDefault="008D1D41" w:rsidP="00034802">
      <w:r w:rsidRPr="00661F5D">
        <w:t xml:space="preserve">The </w:t>
      </w:r>
      <w:r w:rsidR="00C143E7" w:rsidRPr="00661F5D">
        <w:t xml:space="preserve">main </w:t>
      </w:r>
      <w:r w:rsidRPr="00661F5D">
        <w:t xml:space="preserve">purpose of the </w:t>
      </w:r>
      <w:r w:rsidRPr="00661F5D">
        <w:rPr>
          <w:i/>
        </w:rPr>
        <w:t xml:space="preserve">Therapeutic Goods (Charges) Amendment </w:t>
      </w:r>
      <w:r w:rsidR="006C20B5" w:rsidRPr="00661F5D">
        <w:rPr>
          <w:i/>
        </w:rPr>
        <w:t>(202</w:t>
      </w:r>
      <w:r w:rsidR="00DD2900" w:rsidRPr="00661F5D">
        <w:rPr>
          <w:i/>
        </w:rPr>
        <w:t>2</w:t>
      </w:r>
      <w:r w:rsidR="006C20B5" w:rsidRPr="00661F5D">
        <w:rPr>
          <w:i/>
        </w:rPr>
        <w:t xml:space="preserve"> Measures No.</w:t>
      </w:r>
      <w:r w:rsidR="00D14634" w:rsidRPr="00661F5D">
        <w:rPr>
          <w:i/>
        </w:rPr>
        <w:t xml:space="preserve"> </w:t>
      </w:r>
      <w:r w:rsidR="006C20B5" w:rsidRPr="00661F5D">
        <w:rPr>
          <w:i/>
        </w:rPr>
        <w:t xml:space="preserve">1) </w:t>
      </w:r>
      <w:r w:rsidRPr="00661F5D">
        <w:rPr>
          <w:i/>
        </w:rPr>
        <w:t>Regulations 20</w:t>
      </w:r>
      <w:r w:rsidR="00BC3038" w:rsidRPr="00661F5D">
        <w:rPr>
          <w:i/>
        </w:rPr>
        <w:t>2</w:t>
      </w:r>
      <w:r w:rsidR="00DD2900" w:rsidRPr="00661F5D">
        <w:rPr>
          <w:i/>
        </w:rPr>
        <w:t>2</w:t>
      </w:r>
      <w:r w:rsidRPr="00661F5D">
        <w:t xml:space="preserve"> (the Regulations) is to amend the </w:t>
      </w:r>
      <w:r w:rsidRPr="00661F5D">
        <w:rPr>
          <w:i/>
        </w:rPr>
        <w:t>Therapeutic Goods (Charges) Regulations 2018</w:t>
      </w:r>
      <w:r w:rsidRPr="00661F5D">
        <w:t xml:space="preserve"> </w:t>
      </w:r>
      <w:r w:rsidR="00BC3038" w:rsidRPr="00661F5D">
        <w:t xml:space="preserve">(the Charges Regulations) </w:t>
      </w:r>
      <w:r w:rsidRPr="00661F5D">
        <w:t xml:space="preserve">to increase the annual charges set out in those regulations </w:t>
      </w:r>
      <w:r w:rsidR="00C143E7" w:rsidRPr="00661F5D">
        <w:t xml:space="preserve">for most products </w:t>
      </w:r>
      <w:r w:rsidRPr="00661F5D">
        <w:t xml:space="preserve">by </w:t>
      </w:r>
      <w:r w:rsidR="00DD2900" w:rsidRPr="00661F5D">
        <w:t>2.6</w:t>
      </w:r>
      <w:r w:rsidRPr="00661F5D">
        <w:t xml:space="preserve"> per cent, for the financial year 20</w:t>
      </w:r>
      <w:r w:rsidR="00D14634" w:rsidRPr="00661F5D">
        <w:t>2</w:t>
      </w:r>
      <w:r w:rsidR="00DD2900" w:rsidRPr="00661F5D">
        <w:t>2</w:t>
      </w:r>
      <w:r w:rsidRPr="00661F5D">
        <w:t>-2</w:t>
      </w:r>
      <w:r w:rsidR="00DD2900" w:rsidRPr="00661F5D">
        <w:t>3</w:t>
      </w:r>
      <w:r w:rsidRPr="00661F5D">
        <w:t>.</w:t>
      </w:r>
      <w:r w:rsidR="00322D15" w:rsidRPr="00661F5D">
        <w:t xml:space="preserve">  The Regulations complement the </w:t>
      </w:r>
      <w:r w:rsidR="00322D15" w:rsidRPr="00661F5D">
        <w:rPr>
          <w:i/>
          <w:iCs/>
        </w:rPr>
        <w:t>Therapeutic Goods Legislation Amendment (Fees</w:t>
      </w:r>
      <w:r w:rsidR="00095FD5" w:rsidRPr="00661F5D">
        <w:rPr>
          <w:i/>
          <w:iCs/>
        </w:rPr>
        <w:t xml:space="preserve"> and Other Measures</w:t>
      </w:r>
      <w:r w:rsidR="00322D15" w:rsidRPr="00661F5D">
        <w:rPr>
          <w:i/>
          <w:iCs/>
        </w:rPr>
        <w:t>) Regulations 202</w:t>
      </w:r>
      <w:r w:rsidR="00095FD5" w:rsidRPr="00661F5D">
        <w:rPr>
          <w:i/>
          <w:iCs/>
        </w:rPr>
        <w:t>2</w:t>
      </w:r>
      <w:r w:rsidR="00322D15" w:rsidRPr="00661F5D">
        <w:t xml:space="preserve"> which increase fees for therapeutic goods for 202</w:t>
      </w:r>
      <w:r w:rsidR="00095FD5" w:rsidRPr="00661F5D">
        <w:t>2</w:t>
      </w:r>
      <w:r w:rsidR="00322D15" w:rsidRPr="00661F5D">
        <w:t>-2</w:t>
      </w:r>
      <w:r w:rsidR="00095FD5" w:rsidRPr="00661F5D">
        <w:t>3</w:t>
      </w:r>
      <w:r w:rsidR="00322D15" w:rsidRPr="00661F5D">
        <w:t xml:space="preserve"> by the same rate.</w:t>
      </w:r>
      <w:r w:rsidR="005A4406" w:rsidRPr="00661F5D">
        <w:t xml:space="preserve"> </w:t>
      </w:r>
      <w:bookmarkStart w:id="0" w:name="_Hlk99540113"/>
      <w:r w:rsidR="000413D4" w:rsidRPr="00661F5D">
        <w:t xml:space="preserve">The implementation of the proposed increase through two separate instruments reflects that the </w:t>
      </w:r>
      <w:r w:rsidR="000413D4" w:rsidRPr="00661F5D">
        <w:rPr>
          <w:i/>
          <w:iCs/>
        </w:rPr>
        <w:t>Therapeutic Goods Legislation Amendment (Fees and Other Measures) Regulations 2022</w:t>
      </w:r>
      <w:r w:rsidR="000413D4" w:rsidRPr="00661F5D">
        <w:t xml:space="preserve"> amends the </w:t>
      </w:r>
      <w:r w:rsidR="000413D4" w:rsidRPr="00661F5D">
        <w:rPr>
          <w:i/>
          <w:iCs/>
        </w:rPr>
        <w:t>Therapeutic Goods Regulations 1990</w:t>
      </w:r>
      <w:r w:rsidR="000413D4" w:rsidRPr="00661F5D">
        <w:t xml:space="preserve"> and the </w:t>
      </w:r>
      <w:r w:rsidR="000413D4" w:rsidRPr="00661F5D">
        <w:rPr>
          <w:i/>
          <w:iCs/>
        </w:rPr>
        <w:t>Therapeutic Goods (Medical Devices) Regulations 2002</w:t>
      </w:r>
      <w:r w:rsidR="000413D4" w:rsidRPr="00661F5D">
        <w:t xml:space="preserve">, which are made under the </w:t>
      </w:r>
      <w:r w:rsidR="000413D4" w:rsidRPr="00661F5D">
        <w:rPr>
          <w:i/>
          <w:iCs/>
        </w:rPr>
        <w:t>Therapeutic Goods Act 1989</w:t>
      </w:r>
      <w:r w:rsidR="000413D4" w:rsidRPr="00661F5D">
        <w:t xml:space="preserve"> and, relevantly, impose fees for services, while the Charges Regulations are made under the </w:t>
      </w:r>
      <w:r w:rsidR="000413D4" w:rsidRPr="00661F5D">
        <w:rPr>
          <w:i/>
          <w:iCs/>
        </w:rPr>
        <w:t>Therapeutic Goods (Charges) Act 1989</w:t>
      </w:r>
      <w:r w:rsidR="000413D4" w:rsidRPr="00661F5D">
        <w:t xml:space="preserve"> (and impose taxes).</w:t>
      </w:r>
    </w:p>
    <w:bookmarkEnd w:id="0"/>
    <w:p w14:paraId="0CB47A71" w14:textId="77777777" w:rsidR="00152DA8" w:rsidRPr="00661F5D" w:rsidRDefault="00152DA8" w:rsidP="00034802"/>
    <w:p w14:paraId="42436316" w14:textId="2D70165A" w:rsidR="00695200" w:rsidRPr="00661F5D" w:rsidRDefault="00152DA8" w:rsidP="00034802">
      <w:r w:rsidRPr="00661F5D">
        <w:t>The increase appl</w:t>
      </w:r>
      <w:r w:rsidR="00E657DC" w:rsidRPr="00661F5D">
        <w:t>ies</w:t>
      </w:r>
      <w:r w:rsidRPr="00661F5D">
        <w:t xml:space="preserve"> to annual charges relating to the registration, listing or inclusion of therapeutic goods in the Register. This encompasses registered goods (including provisionally registered medicines), listed goods, biologicals and medical devices.</w:t>
      </w:r>
      <w:r w:rsidR="00695200" w:rsidRPr="00661F5D">
        <w:t xml:space="preserve"> </w:t>
      </w:r>
    </w:p>
    <w:p w14:paraId="2C461D4E" w14:textId="3EC6EADE" w:rsidR="000116AA" w:rsidRPr="00661F5D" w:rsidRDefault="000116AA" w:rsidP="0041338D">
      <w:pPr>
        <w:rPr>
          <w:szCs w:val="24"/>
        </w:rPr>
      </w:pPr>
    </w:p>
    <w:p w14:paraId="16CC6279" w14:textId="401648C5" w:rsidR="00F668AC" w:rsidRPr="00661F5D" w:rsidRDefault="008D1D41" w:rsidP="008D1D41">
      <w:r w:rsidRPr="00661F5D">
        <w:t xml:space="preserve">The </w:t>
      </w:r>
      <w:r w:rsidR="00095FD5" w:rsidRPr="00661F5D">
        <w:t>2</w:t>
      </w:r>
      <w:r w:rsidRPr="00661F5D">
        <w:t>.</w:t>
      </w:r>
      <w:r w:rsidR="00095FD5" w:rsidRPr="00661F5D">
        <w:t>6</w:t>
      </w:r>
      <w:r w:rsidRPr="00661F5D">
        <w:t xml:space="preserve"> per cent increase is based on an indexation formula used to calculate adjustments to TGA fees and charges in most previous years, and is based on the Australian Bureau of Statistics’ Wages Price Index (50 per cent) (in this cas</w:t>
      </w:r>
      <w:r w:rsidR="00D14634" w:rsidRPr="00661F5D">
        <w:t>e, for the year to September 202</w:t>
      </w:r>
      <w:r w:rsidR="00095FD5" w:rsidRPr="00661F5D">
        <w:t>1</w:t>
      </w:r>
      <w:r w:rsidRPr="00661F5D">
        <w:t>) and Consumer Price Index (50 per cent) (also for the same period).</w:t>
      </w:r>
      <w:r w:rsidR="00BD4B15" w:rsidRPr="00661F5D">
        <w:t xml:space="preserve"> </w:t>
      </w:r>
      <w:r w:rsidRPr="00661F5D">
        <w:t xml:space="preserve">This increase is in line with the TGA’s cost recovery model. </w:t>
      </w:r>
    </w:p>
    <w:p w14:paraId="2003AB14" w14:textId="77777777" w:rsidR="00C95559" w:rsidRPr="00661F5D" w:rsidRDefault="00C95559" w:rsidP="008D1D41"/>
    <w:p w14:paraId="73778433" w14:textId="77777777" w:rsidR="00095FD5" w:rsidRPr="00661F5D" w:rsidRDefault="00095FD5" w:rsidP="00095FD5">
      <w:pPr>
        <w:rPr>
          <w:szCs w:val="24"/>
        </w:rPr>
      </w:pPr>
    </w:p>
    <w:p w14:paraId="18DEFF66" w14:textId="0B8E5C9E" w:rsidR="0041338D" w:rsidRPr="00661F5D" w:rsidRDefault="0041338D" w:rsidP="0041338D">
      <w:pPr>
        <w:rPr>
          <w:szCs w:val="24"/>
        </w:rPr>
      </w:pPr>
      <w:r w:rsidRPr="00661F5D">
        <w:rPr>
          <w:szCs w:val="24"/>
        </w:rPr>
        <w:lastRenderedPageBreak/>
        <w:t xml:space="preserve">Details of the Regulations are set out in the </w:t>
      </w:r>
      <w:r w:rsidRPr="00661F5D">
        <w:rPr>
          <w:szCs w:val="24"/>
          <w:u w:val="single"/>
        </w:rPr>
        <w:t>Attachment</w:t>
      </w:r>
      <w:r w:rsidRPr="00661F5D">
        <w:rPr>
          <w:szCs w:val="24"/>
        </w:rPr>
        <w:t>.</w:t>
      </w:r>
    </w:p>
    <w:p w14:paraId="3DF8A4AA" w14:textId="77777777" w:rsidR="0041338D" w:rsidRPr="00661F5D" w:rsidRDefault="0041338D" w:rsidP="0041338D">
      <w:pPr>
        <w:rPr>
          <w:szCs w:val="24"/>
        </w:rPr>
      </w:pPr>
    </w:p>
    <w:p w14:paraId="46018D94" w14:textId="6F83CB86" w:rsidR="00E148C4" w:rsidRPr="00661F5D" w:rsidRDefault="0041338D" w:rsidP="0041338D">
      <w:pPr>
        <w:rPr>
          <w:szCs w:val="24"/>
        </w:rPr>
      </w:pPr>
      <w:r w:rsidRPr="00661F5D">
        <w:rPr>
          <w:szCs w:val="24"/>
        </w:rPr>
        <w:t xml:space="preserve">The Act specifies no conditions that need to be satisfied before the power to make the Regulations may be exercised. </w:t>
      </w:r>
    </w:p>
    <w:p w14:paraId="786F1508" w14:textId="77777777" w:rsidR="00E148C4" w:rsidRPr="00661F5D" w:rsidRDefault="00E148C4" w:rsidP="0041338D">
      <w:pPr>
        <w:rPr>
          <w:szCs w:val="24"/>
        </w:rPr>
      </w:pPr>
    </w:p>
    <w:p w14:paraId="06D1DD39" w14:textId="2CBE56B8" w:rsidR="0041338D" w:rsidRPr="00661F5D" w:rsidRDefault="0041338D" w:rsidP="0041338D">
      <w:pPr>
        <w:rPr>
          <w:szCs w:val="24"/>
        </w:rPr>
      </w:pPr>
      <w:r w:rsidRPr="00661F5D">
        <w:rPr>
          <w:szCs w:val="24"/>
        </w:rPr>
        <w:t xml:space="preserve">The Regulations </w:t>
      </w:r>
      <w:r w:rsidR="00E657DC" w:rsidRPr="00661F5D">
        <w:rPr>
          <w:szCs w:val="24"/>
        </w:rPr>
        <w:t>are</w:t>
      </w:r>
      <w:r w:rsidRPr="00661F5D">
        <w:rPr>
          <w:szCs w:val="24"/>
        </w:rPr>
        <w:t xml:space="preserve"> a legislative instrument for the purposes of the </w:t>
      </w:r>
      <w:r w:rsidRPr="00661F5D">
        <w:rPr>
          <w:i/>
          <w:szCs w:val="24"/>
        </w:rPr>
        <w:t>Legislation</w:t>
      </w:r>
      <w:r w:rsidRPr="00661F5D">
        <w:rPr>
          <w:szCs w:val="24"/>
        </w:rPr>
        <w:t xml:space="preserve"> </w:t>
      </w:r>
      <w:r w:rsidRPr="00661F5D">
        <w:rPr>
          <w:i/>
          <w:szCs w:val="24"/>
        </w:rPr>
        <w:t>Act 2003</w:t>
      </w:r>
      <w:r w:rsidRPr="00661F5D">
        <w:rPr>
          <w:szCs w:val="24"/>
        </w:rPr>
        <w:t>.</w:t>
      </w:r>
    </w:p>
    <w:p w14:paraId="3C208C34" w14:textId="77777777" w:rsidR="0041338D" w:rsidRPr="00661F5D" w:rsidRDefault="0041338D" w:rsidP="0041338D">
      <w:pPr>
        <w:rPr>
          <w:szCs w:val="24"/>
        </w:rPr>
      </w:pPr>
    </w:p>
    <w:p w14:paraId="47AF7F15" w14:textId="470D8CEE" w:rsidR="0041338D" w:rsidRPr="00661F5D" w:rsidRDefault="0041338D" w:rsidP="00916862">
      <w:pPr>
        <w:rPr>
          <w:szCs w:val="24"/>
        </w:rPr>
      </w:pPr>
      <w:r w:rsidRPr="00661F5D">
        <w:rPr>
          <w:szCs w:val="24"/>
        </w:rPr>
        <w:t xml:space="preserve">The Regulations commence </w:t>
      </w:r>
      <w:r w:rsidR="00DB066A" w:rsidRPr="00661F5D">
        <w:rPr>
          <w:szCs w:val="24"/>
        </w:rPr>
        <w:t>on 1 July 20</w:t>
      </w:r>
      <w:r w:rsidR="00BC3038" w:rsidRPr="00661F5D">
        <w:rPr>
          <w:szCs w:val="24"/>
        </w:rPr>
        <w:t>2</w:t>
      </w:r>
      <w:r w:rsidR="00095FD5" w:rsidRPr="00661F5D">
        <w:rPr>
          <w:szCs w:val="24"/>
        </w:rPr>
        <w:t>2</w:t>
      </w:r>
      <w:r w:rsidR="00AD6334" w:rsidRPr="00661F5D">
        <w:t xml:space="preserve">. </w:t>
      </w:r>
    </w:p>
    <w:p w14:paraId="32AB1A74" w14:textId="77777777" w:rsidR="0041338D" w:rsidRPr="00661F5D" w:rsidRDefault="0041338D" w:rsidP="0041338D">
      <w:pPr>
        <w:rPr>
          <w:szCs w:val="24"/>
        </w:rPr>
      </w:pPr>
    </w:p>
    <w:p w14:paraId="7B70B9D9" w14:textId="77777777" w:rsidR="00E657DC" w:rsidRPr="00661F5D" w:rsidRDefault="00E657DC" w:rsidP="00E657DC">
      <w:pPr>
        <w:rPr>
          <w:b/>
          <w:bCs/>
          <w:szCs w:val="24"/>
        </w:rPr>
      </w:pPr>
      <w:r w:rsidRPr="00661F5D">
        <w:rPr>
          <w:b/>
          <w:bCs/>
          <w:szCs w:val="24"/>
        </w:rPr>
        <w:t>Consultation</w:t>
      </w:r>
    </w:p>
    <w:p w14:paraId="1E9B779E" w14:textId="4284CB1C" w:rsidR="00E657DC" w:rsidRPr="00661F5D" w:rsidRDefault="00E657DC" w:rsidP="00E657DC">
      <w:pPr>
        <w:rPr>
          <w:szCs w:val="24"/>
        </w:rPr>
      </w:pPr>
      <w:r w:rsidRPr="00661F5D">
        <w:rPr>
          <w:szCs w:val="24"/>
        </w:rPr>
        <w:t xml:space="preserve">In relation to consultation, the TGA held bilateral meetings with 13 key industry representative bodies in December 2021 to consult on the proposed revision of TGA fees and charges for 2022-23. The industry bodies included Medicines Australia, the Generic and Biosimilar Medicines Association, AusBiotech, the Medical Technology Association of Australia, Consumer Healthcare Products Australia, Complementary Medicines Australia and Accord Australasia. A majority of the bodies indicated their support for the proposed 2.6 per cent increase. </w:t>
      </w:r>
    </w:p>
    <w:p w14:paraId="4D48A564" w14:textId="77777777" w:rsidR="00E657DC" w:rsidRPr="00661F5D" w:rsidRDefault="00E657DC" w:rsidP="00E657DC">
      <w:pPr>
        <w:rPr>
          <w:szCs w:val="24"/>
        </w:rPr>
      </w:pPr>
    </w:p>
    <w:p w14:paraId="76FDC19F" w14:textId="77777777" w:rsidR="00E657DC" w:rsidRPr="00661F5D" w:rsidRDefault="00E657DC" w:rsidP="00E657DC">
      <w:r w:rsidRPr="00661F5D">
        <w:rPr>
          <w:szCs w:val="24"/>
        </w:rPr>
        <w:t>The TGA also undertook public consultation to obtain broader stakeholder feedback, with a consultation paper released on the TGA website and submissions sought from 25 January 2022 to 7 March 2022.</w:t>
      </w:r>
      <w:r w:rsidRPr="00661F5D">
        <w:t xml:space="preserve"> 14 submissions were received, including ten from industry representative bodies, two from sponsors or manufacturers, one from a professional body and one from an individual. Of these:</w:t>
      </w:r>
    </w:p>
    <w:p w14:paraId="7FF9D7DC" w14:textId="77777777" w:rsidR="00E657DC" w:rsidRPr="00661F5D" w:rsidRDefault="00E657DC" w:rsidP="00E657DC">
      <w:pPr>
        <w:pStyle w:val="ListParagraph"/>
        <w:numPr>
          <w:ilvl w:val="0"/>
          <w:numId w:val="19"/>
        </w:numPr>
        <w:rPr>
          <w:szCs w:val="24"/>
        </w:rPr>
      </w:pPr>
      <w:r w:rsidRPr="00661F5D">
        <w:t>nine (including seven industry bodies) confirmed their support for the proposed increase;</w:t>
      </w:r>
    </w:p>
    <w:p w14:paraId="2EDB10BA" w14:textId="77777777" w:rsidR="00E657DC" w:rsidRPr="00661F5D" w:rsidRDefault="00E657DC" w:rsidP="00E657DC">
      <w:pPr>
        <w:pStyle w:val="ListParagraph"/>
        <w:numPr>
          <w:ilvl w:val="0"/>
          <w:numId w:val="19"/>
        </w:numPr>
        <w:rPr>
          <w:szCs w:val="24"/>
        </w:rPr>
      </w:pPr>
      <w:r w:rsidRPr="00661F5D">
        <w:t>three (including two industry bodies, the Optical Distributors &amp; Manufacturers Association of Australia Ltd and Assistive Technology Suppliers Australia) did not support the proposed increase, for a number of reasons including in particular the impact of COVID-19 and the impact on the costs of doing business;</w:t>
      </w:r>
    </w:p>
    <w:p w14:paraId="251D8883" w14:textId="77777777" w:rsidR="00E657DC" w:rsidRPr="00661F5D" w:rsidRDefault="00E657DC" w:rsidP="00E657DC">
      <w:pPr>
        <w:pStyle w:val="ListParagraph"/>
        <w:numPr>
          <w:ilvl w:val="0"/>
          <w:numId w:val="19"/>
        </w:numPr>
        <w:rPr>
          <w:szCs w:val="24"/>
        </w:rPr>
      </w:pPr>
      <w:r w:rsidRPr="00661F5D">
        <w:t>one did not object to the proposed increase; and</w:t>
      </w:r>
    </w:p>
    <w:p w14:paraId="790AD45D" w14:textId="77777777" w:rsidR="00E657DC" w:rsidRPr="00661F5D" w:rsidRDefault="00E657DC" w:rsidP="00E657DC">
      <w:pPr>
        <w:pStyle w:val="ListParagraph"/>
        <w:numPr>
          <w:ilvl w:val="0"/>
          <w:numId w:val="19"/>
        </w:numPr>
        <w:rPr>
          <w:szCs w:val="24"/>
        </w:rPr>
      </w:pPr>
      <w:r w:rsidRPr="00661F5D">
        <w:t>one proposed a higher (3.6 per cent) increase.</w:t>
      </w:r>
    </w:p>
    <w:p w14:paraId="6EBEF2CA" w14:textId="77777777" w:rsidR="0041338D" w:rsidRPr="00661F5D" w:rsidRDefault="0041338D" w:rsidP="0041338D">
      <w:pPr>
        <w:rPr>
          <w:szCs w:val="24"/>
        </w:rPr>
      </w:pPr>
    </w:p>
    <w:p w14:paraId="2E752240" w14:textId="6F7C8D49" w:rsidR="0041338D" w:rsidRPr="00661F5D" w:rsidRDefault="0041338D" w:rsidP="0041338D">
      <w:pPr>
        <w:ind w:left="5670" w:hanging="1134"/>
        <w:rPr>
          <w:szCs w:val="24"/>
        </w:rPr>
      </w:pPr>
      <w:r w:rsidRPr="00661F5D">
        <w:rPr>
          <w:szCs w:val="24"/>
          <w:u w:val="single"/>
        </w:rPr>
        <w:t>Authority:</w:t>
      </w:r>
      <w:r w:rsidRPr="00661F5D">
        <w:rPr>
          <w:szCs w:val="24"/>
        </w:rPr>
        <w:t xml:space="preserve"> </w:t>
      </w:r>
      <w:r w:rsidRPr="00661F5D">
        <w:rPr>
          <w:szCs w:val="24"/>
        </w:rPr>
        <w:tab/>
      </w:r>
      <w:r w:rsidR="00971E22" w:rsidRPr="00661F5D">
        <w:rPr>
          <w:szCs w:val="24"/>
        </w:rPr>
        <w:t>Subsection 5</w:t>
      </w:r>
      <w:r w:rsidRPr="00661F5D">
        <w:rPr>
          <w:szCs w:val="24"/>
        </w:rPr>
        <w:t xml:space="preserve">(1) of the </w:t>
      </w:r>
      <w:r w:rsidRPr="00661F5D">
        <w:rPr>
          <w:i/>
          <w:szCs w:val="24"/>
        </w:rPr>
        <w:t xml:space="preserve">Therapeutic Goods </w:t>
      </w:r>
      <w:r w:rsidR="00971E22" w:rsidRPr="00661F5D">
        <w:rPr>
          <w:i/>
          <w:szCs w:val="24"/>
        </w:rPr>
        <w:t xml:space="preserve">(Charges) </w:t>
      </w:r>
      <w:r w:rsidRPr="00661F5D">
        <w:rPr>
          <w:i/>
          <w:szCs w:val="24"/>
        </w:rPr>
        <w:t>Act 1989</w:t>
      </w:r>
    </w:p>
    <w:p w14:paraId="5EAFB642" w14:textId="77777777" w:rsidR="0041338D" w:rsidRPr="00661F5D" w:rsidRDefault="0041338D" w:rsidP="0041338D">
      <w:pPr>
        <w:ind w:left="5670" w:hanging="1134"/>
        <w:rPr>
          <w:szCs w:val="24"/>
        </w:rPr>
        <w:sectPr w:rsidR="0041338D" w:rsidRPr="00661F5D" w:rsidSect="008D4C93">
          <w:footerReference w:type="default" r:id="rId8"/>
          <w:footerReference w:type="first" r:id="rId9"/>
          <w:pgSz w:w="11906" w:h="16838" w:code="9"/>
          <w:pgMar w:top="993" w:right="1440" w:bottom="1304" w:left="1440" w:header="426" w:footer="709" w:gutter="0"/>
          <w:cols w:space="708"/>
          <w:titlePg/>
          <w:docGrid w:linePitch="360"/>
        </w:sectPr>
      </w:pPr>
    </w:p>
    <w:p w14:paraId="15EFE6FC" w14:textId="77777777" w:rsidR="0041338D" w:rsidRPr="00661F5D" w:rsidRDefault="0041338D" w:rsidP="0041338D">
      <w:pPr>
        <w:ind w:left="6237" w:firstLine="3"/>
        <w:jc w:val="right"/>
        <w:rPr>
          <w:b/>
          <w:szCs w:val="24"/>
          <w:u w:val="single"/>
        </w:rPr>
      </w:pPr>
      <w:r w:rsidRPr="00661F5D">
        <w:rPr>
          <w:b/>
          <w:szCs w:val="24"/>
          <w:u w:val="single"/>
        </w:rPr>
        <w:lastRenderedPageBreak/>
        <w:t>ATTACHMENT</w:t>
      </w:r>
    </w:p>
    <w:p w14:paraId="2F7CFF54" w14:textId="77777777" w:rsidR="0041338D" w:rsidRPr="00661F5D" w:rsidRDefault="0041338D" w:rsidP="0041338D">
      <w:pPr>
        <w:ind w:firstLine="3"/>
        <w:rPr>
          <w:b/>
          <w:szCs w:val="24"/>
        </w:rPr>
      </w:pPr>
    </w:p>
    <w:p w14:paraId="695C12AE" w14:textId="35CEE5FE" w:rsidR="0041338D" w:rsidRPr="00661F5D" w:rsidRDefault="0041338D" w:rsidP="0041338D">
      <w:pPr>
        <w:ind w:firstLine="3"/>
        <w:rPr>
          <w:b/>
          <w:i/>
          <w:caps/>
          <w:szCs w:val="24"/>
          <w:u w:val="single"/>
        </w:rPr>
      </w:pPr>
      <w:r w:rsidRPr="00661F5D">
        <w:rPr>
          <w:b/>
          <w:szCs w:val="24"/>
          <w:u w:val="single"/>
        </w:rPr>
        <w:t xml:space="preserve">Details of the </w:t>
      </w:r>
      <w:r w:rsidRPr="00661F5D">
        <w:rPr>
          <w:b/>
          <w:i/>
          <w:szCs w:val="24"/>
          <w:u w:val="single"/>
        </w:rPr>
        <w:t xml:space="preserve">Therapeutic Goods </w:t>
      </w:r>
      <w:r w:rsidR="00DB066A" w:rsidRPr="00661F5D">
        <w:rPr>
          <w:b/>
          <w:i/>
          <w:szCs w:val="24"/>
          <w:u w:val="single"/>
        </w:rPr>
        <w:t xml:space="preserve">(Charges) </w:t>
      </w:r>
      <w:r w:rsidRPr="00661F5D">
        <w:rPr>
          <w:b/>
          <w:i/>
          <w:szCs w:val="24"/>
          <w:u w:val="single"/>
        </w:rPr>
        <w:t xml:space="preserve">Amendment </w:t>
      </w:r>
      <w:r w:rsidR="008130B2" w:rsidRPr="00661F5D">
        <w:rPr>
          <w:b/>
          <w:i/>
          <w:szCs w:val="24"/>
          <w:u w:val="single"/>
        </w:rPr>
        <w:t>(202</w:t>
      </w:r>
      <w:r w:rsidR="00095FD5" w:rsidRPr="00661F5D">
        <w:rPr>
          <w:b/>
          <w:i/>
          <w:szCs w:val="24"/>
          <w:u w:val="single"/>
        </w:rPr>
        <w:t>2</w:t>
      </w:r>
      <w:r w:rsidR="008130B2" w:rsidRPr="00661F5D">
        <w:rPr>
          <w:b/>
          <w:i/>
          <w:szCs w:val="24"/>
          <w:u w:val="single"/>
        </w:rPr>
        <w:t xml:space="preserve"> Measures No.</w:t>
      </w:r>
      <w:r w:rsidR="00D14634" w:rsidRPr="00661F5D">
        <w:rPr>
          <w:b/>
          <w:i/>
          <w:szCs w:val="24"/>
          <w:u w:val="single"/>
        </w:rPr>
        <w:t xml:space="preserve"> </w:t>
      </w:r>
      <w:r w:rsidR="008130B2" w:rsidRPr="00661F5D">
        <w:rPr>
          <w:b/>
          <w:i/>
          <w:szCs w:val="24"/>
          <w:u w:val="single"/>
        </w:rPr>
        <w:t xml:space="preserve">1) </w:t>
      </w:r>
      <w:r w:rsidRPr="00661F5D">
        <w:rPr>
          <w:b/>
          <w:i/>
          <w:szCs w:val="24"/>
          <w:u w:val="single"/>
        </w:rPr>
        <w:t xml:space="preserve">Regulations </w:t>
      </w:r>
      <w:r w:rsidR="00E05DB8" w:rsidRPr="00661F5D">
        <w:rPr>
          <w:b/>
          <w:i/>
          <w:szCs w:val="24"/>
          <w:u w:val="single"/>
        </w:rPr>
        <w:t>20</w:t>
      </w:r>
      <w:r w:rsidR="00D14634" w:rsidRPr="00661F5D">
        <w:rPr>
          <w:b/>
          <w:i/>
          <w:szCs w:val="24"/>
          <w:u w:val="single"/>
        </w:rPr>
        <w:t>2</w:t>
      </w:r>
      <w:r w:rsidR="00095FD5" w:rsidRPr="00661F5D">
        <w:rPr>
          <w:b/>
          <w:i/>
          <w:szCs w:val="24"/>
          <w:u w:val="single"/>
        </w:rPr>
        <w:t>2</w:t>
      </w:r>
      <w:r w:rsidR="00D14634" w:rsidRPr="00661F5D">
        <w:rPr>
          <w:b/>
          <w:i/>
          <w:szCs w:val="24"/>
          <w:u w:val="single"/>
        </w:rPr>
        <w:t xml:space="preserve"> </w:t>
      </w:r>
    </w:p>
    <w:p w14:paraId="0C457CE6" w14:textId="77777777" w:rsidR="0041338D" w:rsidRPr="00661F5D" w:rsidRDefault="0041338D" w:rsidP="0041338D">
      <w:pPr>
        <w:ind w:firstLine="3"/>
        <w:rPr>
          <w:b/>
          <w:szCs w:val="24"/>
        </w:rPr>
      </w:pPr>
    </w:p>
    <w:p w14:paraId="60D5354E" w14:textId="77777777" w:rsidR="0041338D" w:rsidRPr="00661F5D" w:rsidRDefault="0041338D" w:rsidP="0041338D">
      <w:pPr>
        <w:ind w:firstLine="3"/>
        <w:rPr>
          <w:szCs w:val="24"/>
        </w:rPr>
      </w:pPr>
      <w:r w:rsidRPr="00661F5D">
        <w:rPr>
          <w:szCs w:val="24"/>
          <w:u w:val="single"/>
        </w:rPr>
        <w:t>Section 1 – Name</w:t>
      </w:r>
    </w:p>
    <w:p w14:paraId="6E6AE28D" w14:textId="62427690" w:rsidR="0041338D" w:rsidRPr="00661F5D" w:rsidRDefault="0041338D" w:rsidP="0041338D">
      <w:pPr>
        <w:ind w:firstLine="3"/>
        <w:rPr>
          <w:szCs w:val="24"/>
        </w:rPr>
      </w:pPr>
      <w:r w:rsidRPr="00661F5D">
        <w:rPr>
          <w:szCs w:val="24"/>
        </w:rPr>
        <w:t>This section provide</w:t>
      </w:r>
      <w:r w:rsidR="00E657DC" w:rsidRPr="00661F5D">
        <w:rPr>
          <w:szCs w:val="24"/>
        </w:rPr>
        <w:t>s</w:t>
      </w:r>
      <w:r w:rsidRPr="00661F5D">
        <w:rPr>
          <w:szCs w:val="24"/>
        </w:rPr>
        <w:t xml:space="preserve"> for the Regulations to be referred to as the </w:t>
      </w:r>
      <w:r w:rsidRPr="00661F5D">
        <w:rPr>
          <w:i/>
          <w:szCs w:val="24"/>
        </w:rPr>
        <w:t>Therapeutic Goods</w:t>
      </w:r>
      <w:r w:rsidR="00DB066A" w:rsidRPr="00661F5D">
        <w:rPr>
          <w:i/>
          <w:szCs w:val="24"/>
        </w:rPr>
        <w:t xml:space="preserve"> (Charges)</w:t>
      </w:r>
      <w:r w:rsidR="00D654EC" w:rsidRPr="00661F5D">
        <w:rPr>
          <w:i/>
          <w:szCs w:val="24"/>
        </w:rPr>
        <w:t xml:space="preserve"> </w:t>
      </w:r>
      <w:r w:rsidRPr="00661F5D">
        <w:rPr>
          <w:i/>
          <w:szCs w:val="24"/>
        </w:rPr>
        <w:t xml:space="preserve">Amendment </w:t>
      </w:r>
      <w:r w:rsidR="008130B2" w:rsidRPr="00661F5D">
        <w:rPr>
          <w:i/>
          <w:szCs w:val="24"/>
        </w:rPr>
        <w:t>(202</w:t>
      </w:r>
      <w:r w:rsidR="00095FD5" w:rsidRPr="00661F5D">
        <w:rPr>
          <w:i/>
          <w:szCs w:val="24"/>
        </w:rPr>
        <w:t>2</w:t>
      </w:r>
      <w:r w:rsidR="008130B2" w:rsidRPr="00661F5D">
        <w:rPr>
          <w:i/>
          <w:szCs w:val="24"/>
        </w:rPr>
        <w:t xml:space="preserve"> Measures No.</w:t>
      </w:r>
      <w:r w:rsidR="00D14634" w:rsidRPr="00661F5D">
        <w:rPr>
          <w:i/>
          <w:szCs w:val="24"/>
        </w:rPr>
        <w:t xml:space="preserve"> </w:t>
      </w:r>
      <w:r w:rsidR="008130B2" w:rsidRPr="00661F5D">
        <w:rPr>
          <w:i/>
          <w:szCs w:val="24"/>
        </w:rPr>
        <w:t xml:space="preserve">1) </w:t>
      </w:r>
      <w:r w:rsidRPr="00661F5D">
        <w:rPr>
          <w:i/>
          <w:szCs w:val="24"/>
        </w:rPr>
        <w:t>Regulations 20</w:t>
      </w:r>
      <w:r w:rsidR="00D14634" w:rsidRPr="00661F5D">
        <w:rPr>
          <w:i/>
          <w:szCs w:val="24"/>
        </w:rPr>
        <w:t>2</w:t>
      </w:r>
      <w:r w:rsidR="00095FD5" w:rsidRPr="00661F5D">
        <w:rPr>
          <w:i/>
          <w:szCs w:val="24"/>
        </w:rPr>
        <w:t>2</w:t>
      </w:r>
      <w:r w:rsidRPr="00661F5D">
        <w:rPr>
          <w:i/>
          <w:szCs w:val="24"/>
        </w:rPr>
        <w:t>.</w:t>
      </w:r>
    </w:p>
    <w:p w14:paraId="158226AC" w14:textId="77777777" w:rsidR="0041338D" w:rsidRPr="00661F5D" w:rsidRDefault="0041338D" w:rsidP="0041338D">
      <w:pPr>
        <w:ind w:firstLine="3"/>
        <w:rPr>
          <w:szCs w:val="24"/>
        </w:rPr>
      </w:pPr>
    </w:p>
    <w:p w14:paraId="3D125A3E" w14:textId="77777777" w:rsidR="0041338D" w:rsidRPr="00661F5D" w:rsidRDefault="0041338D" w:rsidP="0041338D">
      <w:pPr>
        <w:ind w:firstLine="3"/>
        <w:rPr>
          <w:b/>
          <w:szCs w:val="24"/>
        </w:rPr>
      </w:pPr>
      <w:r w:rsidRPr="00661F5D">
        <w:rPr>
          <w:szCs w:val="24"/>
          <w:u w:val="single"/>
        </w:rPr>
        <w:t>Section 2 – Commencement</w:t>
      </w:r>
    </w:p>
    <w:p w14:paraId="041CDA7D" w14:textId="565A4D23" w:rsidR="0041338D" w:rsidRPr="00661F5D" w:rsidRDefault="0041338D" w:rsidP="0041338D">
      <w:pPr>
        <w:ind w:firstLine="3"/>
        <w:rPr>
          <w:szCs w:val="24"/>
        </w:rPr>
      </w:pPr>
      <w:r w:rsidRPr="00661F5D">
        <w:rPr>
          <w:szCs w:val="24"/>
        </w:rPr>
        <w:t>This section provide</w:t>
      </w:r>
      <w:r w:rsidR="00E657DC" w:rsidRPr="00661F5D">
        <w:rPr>
          <w:szCs w:val="24"/>
        </w:rPr>
        <w:t>s</w:t>
      </w:r>
      <w:r w:rsidRPr="00661F5D">
        <w:rPr>
          <w:szCs w:val="24"/>
        </w:rPr>
        <w:t xml:space="preserve"> for the commencement of the Regulations </w:t>
      </w:r>
      <w:r w:rsidR="00953011" w:rsidRPr="00661F5D">
        <w:rPr>
          <w:szCs w:val="24"/>
        </w:rPr>
        <w:t xml:space="preserve">on </w:t>
      </w:r>
      <w:r w:rsidR="00DB066A" w:rsidRPr="00661F5D">
        <w:rPr>
          <w:szCs w:val="24"/>
        </w:rPr>
        <w:t>1 July 20</w:t>
      </w:r>
      <w:r w:rsidR="00BC3038" w:rsidRPr="00661F5D">
        <w:rPr>
          <w:szCs w:val="24"/>
        </w:rPr>
        <w:t>2</w:t>
      </w:r>
      <w:r w:rsidR="00095FD5" w:rsidRPr="00661F5D">
        <w:rPr>
          <w:szCs w:val="24"/>
        </w:rPr>
        <w:t>2</w:t>
      </w:r>
      <w:r w:rsidR="00953011" w:rsidRPr="00661F5D">
        <w:rPr>
          <w:szCs w:val="24"/>
        </w:rPr>
        <w:t>.</w:t>
      </w:r>
    </w:p>
    <w:p w14:paraId="61F69858" w14:textId="77777777" w:rsidR="0041338D" w:rsidRPr="00661F5D" w:rsidRDefault="0041338D" w:rsidP="0041338D">
      <w:pPr>
        <w:ind w:firstLine="3"/>
        <w:rPr>
          <w:szCs w:val="24"/>
        </w:rPr>
      </w:pPr>
    </w:p>
    <w:p w14:paraId="4C3F44E1" w14:textId="77777777" w:rsidR="0041338D" w:rsidRPr="00661F5D" w:rsidRDefault="0041338D" w:rsidP="0041338D">
      <w:pPr>
        <w:ind w:firstLine="3"/>
        <w:rPr>
          <w:szCs w:val="24"/>
          <w:u w:val="single"/>
        </w:rPr>
      </w:pPr>
      <w:r w:rsidRPr="00661F5D">
        <w:rPr>
          <w:szCs w:val="24"/>
          <w:u w:val="single"/>
        </w:rPr>
        <w:t xml:space="preserve">Section 3 – Authority </w:t>
      </w:r>
    </w:p>
    <w:p w14:paraId="32424E92" w14:textId="0DB90718" w:rsidR="0041338D" w:rsidRPr="00661F5D" w:rsidRDefault="0041338D" w:rsidP="0041338D">
      <w:pPr>
        <w:ind w:firstLine="3"/>
        <w:rPr>
          <w:szCs w:val="24"/>
        </w:rPr>
      </w:pPr>
      <w:r w:rsidRPr="00661F5D">
        <w:rPr>
          <w:szCs w:val="24"/>
        </w:rPr>
        <w:t>This section provide</w:t>
      </w:r>
      <w:r w:rsidR="00E657DC" w:rsidRPr="00661F5D">
        <w:rPr>
          <w:szCs w:val="24"/>
        </w:rPr>
        <w:t>s</w:t>
      </w:r>
      <w:r w:rsidRPr="00661F5D">
        <w:rPr>
          <w:szCs w:val="24"/>
        </w:rPr>
        <w:t xml:space="preserve"> that the Regulations are made under </w:t>
      </w:r>
      <w:r w:rsidR="00DB066A" w:rsidRPr="00661F5D">
        <w:rPr>
          <w:szCs w:val="24"/>
        </w:rPr>
        <w:t xml:space="preserve">the </w:t>
      </w:r>
      <w:r w:rsidRPr="00661F5D">
        <w:rPr>
          <w:i/>
          <w:szCs w:val="24"/>
        </w:rPr>
        <w:t>Therapeutic Goods</w:t>
      </w:r>
      <w:r w:rsidR="008058FF" w:rsidRPr="00661F5D">
        <w:rPr>
          <w:i/>
          <w:szCs w:val="24"/>
        </w:rPr>
        <w:t xml:space="preserve"> </w:t>
      </w:r>
      <w:r w:rsidR="00DB066A" w:rsidRPr="00661F5D">
        <w:rPr>
          <w:i/>
          <w:szCs w:val="24"/>
        </w:rPr>
        <w:t>(Charges)</w:t>
      </w:r>
      <w:r w:rsidRPr="00661F5D">
        <w:rPr>
          <w:i/>
          <w:szCs w:val="24"/>
        </w:rPr>
        <w:t xml:space="preserve"> Act 1989</w:t>
      </w:r>
      <w:r w:rsidRPr="00661F5D">
        <w:rPr>
          <w:szCs w:val="24"/>
        </w:rPr>
        <w:t>.</w:t>
      </w:r>
    </w:p>
    <w:p w14:paraId="34CD00EB" w14:textId="77777777" w:rsidR="0041338D" w:rsidRPr="00661F5D" w:rsidRDefault="0041338D" w:rsidP="0041338D">
      <w:pPr>
        <w:ind w:firstLine="3"/>
        <w:rPr>
          <w:szCs w:val="24"/>
          <w:u w:val="single"/>
        </w:rPr>
      </w:pPr>
    </w:p>
    <w:p w14:paraId="37A914F5" w14:textId="77777777" w:rsidR="0041338D" w:rsidRPr="00661F5D" w:rsidRDefault="0041338D" w:rsidP="0041338D">
      <w:pPr>
        <w:pStyle w:val="Heading1"/>
        <w:rPr>
          <w:b w:val="0"/>
          <w:szCs w:val="24"/>
          <w:u w:val="single"/>
        </w:rPr>
      </w:pPr>
      <w:r w:rsidRPr="00661F5D">
        <w:rPr>
          <w:b w:val="0"/>
          <w:szCs w:val="24"/>
          <w:u w:val="single"/>
        </w:rPr>
        <w:t>Section 4 – Schedules</w:t>
      </w:r>
    </w:p>
    <w:p w14:paraId="6C95CFD2" w14:textId="6C4F79EA" w:rsidR="0041338D" w:rsidRPr="00661F5D" w:rsidRDefault="00733CCF" w:rsidP="0041338D">
      <w:pPr>
        <w:pStyle w:val="Heading1"/>
        <w:rPr>
          <w:b w:val="0"/>
          <w:szCs w:val="24"/>
        </w:rPr>
      </w:pPr>
      <w:r w:rsidRPr="00661F5D">
        <w:rPr>
          <w:b w:val="0"/>
          <w:szCs w:val="24"/>
        </w:rPr>
        <w:t>This section provide</w:t>
      </w:r>
      <w:r w:rsidR="00E657DC" w:rsidRPr="00661F5D">
        <w:rPr>
          <w:b w:val="0"/>
          <w:szCs w:val="24"/>
        </w:rPr>
        <w:t>s</w:t>
      </w:r>
      <w:r w:rsidRPr="00661F5D">
        <w:rPr>
          <w:b w:val="0"/>
          <w:szCs w:val="24"/>
        </w:rPr>
        <w:t xml:space="preserve"> that e</w:t>
      </w:r>
      <w:r w:rsidR="0041338D" w:rsidRPr="00661F5D">
        <w:rPr>
          <w:b w:val="0"/>
          <w:szCs w:val="24"/>
        </w:rPr>
        <w:t xml:space="preserve">ach instrument that is specified in a Schedule to </w:t>
      </w:r>
      <w:r w:rsidR="00F25C22" w:rsidRPr="00661F5D">
        <w:rPr>
          <w:b w:val="0"/>
          <w:szCs w:val="24"/>
        </w:rPr>
        <w:t>the Regulations</w:t>
      </w:r>
      <w:r w:rsidR="0041338D" w:rsidRPr="00661F5D">
        <w:rPr>
          <w:b w:val="0"/>
          <w:szCs w:val="24"/>
        </w:rPr>
        <w:t xml:space="preserve"> is amended or repealed as set out in the applicable items in the Schedule concerned, and any other item in a Schedule to the Regulations has effect according to its terms. </w:t>
      </w:r>
    </w:p>
    <w:p w14:paraId="4A529CCE" w14:textId="77777777" w:rsidR="0041338D" w:rsidRPr="00661F5D" w:rsidRDefault="0041338D" w:rsidP="0041338D"/>
    <w:p w14:paraId="5E566BDE" w14:textId="77777777" w:rsidR="0041338D" w:rsidRPr="00661F5D" w:rsidRDefault="0041338D" w:rsidP="0041338D">
      <w:pPr>
        <w:rPr>
          <w:u w:val="single"/>
        </w:rPr>
      </w:pPr>
    </w:p>
    <w:p w14:paraId="3475061B" w14:textId="77777777" w:rsidR="0041338D" w:rsidRPr="00661F5D" w:rsidRDefault="0041338D" w:rsidP="0041338D">
      <w:pPr>
        <w:keepNext/>
        <w:rPr>
          <w:u w:val="single"/>
        </w:rPr>
      </w:pPr>
      <w:r w:rsidRPr="00661F5D">
        <w:rPr>
          <w:u w:val="single"/>
        </w:rPr>
        <w:t xml:space="preserve">Schedule 1 – Amendments </w:t>
      </w:r>
    </w:p>
    <w:p w14:paraId="65BB5BD6" w14:textId="77777777" w:rsidR="008B50FC" w:rsidRPr="00661F5D" w:rsidRDefault="008B50FC" w:rsidP="0041338D">
      <w:pPr>
        <w:keepNext/>
      </w:pPr>
    </w:p>
    <w:p w14:paraId="5FBF151B" w14:textId="7F2EE857" w:rsidR="0041338D" w:rsidRPr="00661F5D" w:rsidRDefault="0041338D" w:rsidP="0041338D">
      <w:pPr>
        <w:keepNext/>
        <w:rPr>
          <w:b/>
          <w:i/>
        </w:rPr>
      </w:pPr>
      <w:r w:rsidRPr="00661F5D">
        <w:rPr>
          <w:b/>
          <w:i/>
        </w:rPr>
        <w:t>Ther</w:t>
      </w:r>
      <w:r w:rsidR="00BE1798" w:rsidRPr="00661F5D">
        <w:rPr>
          <w:b/>
          <w:i/>
        </w:rPr>
        <w:t xml:space="preserve">apeutic Goods </w:t>
      </w:r>
      <w:r w:rsidR="00DB066A" w:rsidRPr="00661F5D">
        <w:rPr>
          <w:b/>
          <w:i/>
        </w:rPr>
        <w:t>(Charges) Regulations 2018</w:t>
      </w:r>
    </w:p>
    <w:p w14:paraId="40998A05" w14:textId="77777777" w:rsidR="0041338D" w:rsidRPr="00661F5D" w:rsidRDefault="0041338D" w:rsidP="0041338D">
      <w:pPr>
        <w:keepNext/>
      </w:pPr>
    </w:p>
    <w:p w14:paraId="62C8E82B" w14:textId="71B21AB0" w:rsidR="00E5637C" w:rsidRPr="00661F5D" w:rsidRDefault="0041338D" w:rsidP="00DB066A">
      <w:r w:rsidRPr="00661F5D">
        <w:rPr>
          <w:b/>
        </w:rPr>
        <w:t>Item</w:t>
      </w:r>
      <w:r w:rsidR="00737239" w:rsidRPr="00661F5D">
        <w:rPr>
          <w:b/>
        </w:rPr>
        <w:t>s</w:t>
      </w:r>
      <w:r w:rsidRPr="00661F5D">
        <w:rPr>
          <w:b/>
        </w:rPr>
        <w:t xml:space="preserve"> </w:t>
      </w:r>
      <w:r w:rsidR="004D1ACC" w:rsidRPr="00661F5D">
        <w:rPr>
          <w:b/>
        </w:rPr>
        <w:t>[</w:t>
      </w:r>
      <w:r w:rsidRPr="00661F5D">
        <w:rPr>
          <w:b/>
        </w:rPr>
        <w:t>1</w:t>
      </w:r>
      <w:r w:rsidR="004D1ACC" w:rsidRPr="00661F5D">
        <w:rPr>
          <w:b/>
        </w:rPr>
        <w:t>]</w:t>
      </w:r>
      <w:r w:rsidR="00095FD5" w:rsidRPr="00661F5D">
        <w:rPr>
          <w:b/>
        </w:rPr>
        <w:t>-</w:t>
      </w:r>
      <w:r w:rsidR="004D1ACC" w:rsidRPr="00661F5D">
        <w:rPr>
          <w:b/>
        </w:rPr>
        <w:t>[</w:t>
      </w:r>
      <w:r w:rsidR="008461C0" w:rsidRPr="00661F5D">
        <w:rPr>
          <w:b/>
        </w:rPr>
        <w:t>27</w:t>
      </w:r>
      <w:r w:rsidR="004D1ACC" w:rsidRPr="00661F5D">
        <w:rPr>
          <w:b/>
        </w:rPr>
        <w:t>]</w:t>
      </w:r>
      <w:r w:rsidR="000F3D78" w:rsidRPr="00661F5D">
        <w:rPr>
          <w:b/>
        </w:rPr>
        <w:t xml:space="preserve"> </w:t>
      </w:r>
    </w:p>
    <w:p w14:paraId="4BC14B16" w14:textId="40050457" w:rsidR="00E5637C" w:rsidRPr="00661F5D" w:rsidRDefault="00737239" w:rsidP="0041338D">
      <w:r w:rsidRPr="00661F5D">
        <w:t xml:space="preserve">These items amend each of the amounts of annual charges prescribed in the </w:t>
      </w:r>
      <w:r w:rsidRPr="00661F5D">
        <w:rPr>
          <w:i/>
        </w:rPr>
        <w:t>Therapeutic Goods (Charges) Regulations 2018</w:t>
      </w:r>
      <w:r w:rsidRPr="00661F5D">
        <w:t xml:space="preserve"> </w:t>
      </w:r>
      <w:r w:rsidR="001C0945" w:rsidRPr="00661F5D">
        <w:t xml:space="preserve">(the Charges Regulations) </w:t>
      </w:r>
      <w:r w:rsidRPr="00661F5D">
        <w:t xml:space="preserve">by </w:t>
      </w:r>
      <w:r w:rsidR="00095FD5" w:rsidRPr="00661F5D">
        <w:t>2.6</w:t>
      </w:r>
      <w:r w:rsidRPr="00661F5D">
        <w:t xml:space="preserve"> per cent, from 1 July 20</w:t>
      </w:r>
      <w:r w:rsidR="00BC3038" w:rsidRPr="00661F5D">
        <w:t>2</w:t>
      </w:r>
      <w:r w:rsidR="00095FD5" w:rsidRPr="00661F5D">
        <w:t>2</w:t>
      </w:r>
      <w:r w:rsidRPr="00661F5D">
        <w:t xml:space="preserve">. </w:t>
      </w:r>
    </w:p>
    <w:p w14:paraId="4CE82734" w14:textId="00E2DED5" w:rsidR="00D604ED" w:rsidRPr="00661F5D" w:rsidRDefault="00D604ED" w:rsidP="00D604ED"/>
    <w:p w14:paraId="1A8B4A2D" w14:textId="6CA96E0C" w:rsidR="00E657DC" w:rsidRPr="00661F5D" w:rsidRDefault="00E657DC">
      <w:pPr>
        <w:spacing w:after="200" w:line="276" w:lineRule="auto"/>
      </w:pPr>
      <w:r w:rsidRPr="00661F5D">
        <w:br w:type="page"/>
      </w:r>
    </w:p>
    <w:p w14:paraId="3D2918FD" w14:textId="77777777" w:rsidR="00E657DC" w:rsidRPr="00661F5D" w:rsidRDefault="00E657DC" w:rsidP="00E657DC">
      <w:pPr>
        <w:jc w:val="center"/>
        <w:rPr>
          <w:b/>
          <w:sz w:val="28"/>
          <w:szCs w:val="28"/>
        </w:rPr>
      </w:pPr>
      <w:r w:rsidRPr="00661F5D">
        <w:rPr>
          <w:b/>
          <w:sz w:val="28"/>
          <w:szCs w:val="28"/>
        </w:rPr>
        <w:lastRenderedPageBreak/>
        <w:t>Statement of Compatibility with Human Rights</w:t>
      </w:r>
    </w:p>
    <w:p w14:paraId="6CB07048" w14:textId="77777777" w:rsidR="00E657DC" w:rsidRPr="00661F5D" w:rsidRDefault="00E657DC" w:rsidP="00E657DC">
      <w:pPr>
        <w:rPr>
          <w:szCs w:val="24"/>
        </w:rPr>
      </w:pPr>
    </w:p>
    <w:p w14:paraId="47D07A35" w14:textId="77777777" w:rsidR="00E657DC" w:rsidRPr="00661F5D" w:rsidRDefault="00E657DC" w:rsidP="00E657DC">
      <w:pPr>
        <w:rPr>
          <w:szCs w:val="24"/>
        </w:rPr>
      </w:pPr>
      <w:r w:rsidRPr="00661F5D">
        <w:rPr>
          <w:szCs w:val="24"/>
        </w:rPr>
        <w:t xml:space="preserve">Prepared in accordance with Part 3 of the </w:t>
      </w:r>
      <w:r w:rsidRPr="00661F5D">
        <w:rPr>
          <w:i/>
          <w:szCs w:val="24"/>
        </w:rPr>
        <w:t>Human Rights (Parliamentary Scrutiny) Act 2011</w:t>
      </w:r>
    </w:p>
    <w:p w14:paraId="23ED2D6E" w14:textId="77777777" w:rsidR="00E657DC" w:rsidRPr="00661F5D" w:rsidRDefault="00E657DC" w:rsidP="00E657DC">
      <w:pPr>
        <w:rPr>
          <w:b/>
          <w:szCs w:val="24"/>
        </w:rPr>
      </w:pPr>
    </w:p>
    <w:p w14:paraId="5CF49732" w14:textId="03508784" w:rsidR="00E657DC" w:rsidRPr="00661F5D" w:rsidRDefault="00E657DC" w:rsidP="00E657DC">
      <w:pPr>
        <w:ind w:firstLine="3"/>
        <w:jc w:val="center"/>
        <w:rPr>
          <w:b/>
          <w:i/>
          <w:iCs/>
          <w:caps/>
          <w:szCs w:val="24"/>
        </w:rPr>
      </w:pPr>
      <w:r w:rsidRPr="00661F5D">
        <w:rPr>
          <w:b/>
          <w:i/>
          <w:iCs/>
          <w:szCs w:val="24"/>
        </w:rPr>
        <w:t xml:space="preserve">Therapeutic Goods (Charges) Amendment (2022 Measures No. 1) Regulations 2022 </w:t>
      </w:r>
    </w:p>
    <w:p w14:paraId="2E5948E2" w14:textId="77777777" w:rsidR="00E657DC" w:rsidRPr="00661F5D" w:rsidRDefault="00E657DC" w:rsidP="00E657DC">
      <w:pPr>
        <w:rPr>
          <w:szCs w:val="24"/>
        </w:rPr>
      </w:pPr>
    </w:p>
    <w:p w14:paraId="324DD946" w14:textId="65027C64" w:rsidR="00E657DC" w:rsidRPr="00661F5D" w:rsidRDefault="00E657DC" w:rsidP="00E657DC">
      <w:pPr>
        <w:rPr>
          <w:b/>
          <w:szCs w:val="24"/>
        </w:rPr>
      </w:pPr>
      <w:r w:rsidRPr="00661F5D">
        <w:rPr>
          <w:szCs w:val="24"/>
        </w:rPr>
        <w:t xml:space="preserve">The </w:t>
      </w:r>
      <w:r w:rsidRPr="00661F5D">
        <w:rPr>
          <w:i/>
          <w:szCs w:val="24"/>
        </w:rPr>
        <w:t xml:space="preserve">Therapeutic Goods (Charges) </w:t>
      </w:r>
      <w:r w:rsidR="00BF5331" w:rsidRPr="00661F5D">
        <w:rPr>
          <w:i/>
          <w:szCs w:val="24"/>
        </w:rPr>
        <w:t>Amendment</w:t>
      </w:r>
      <w:r w:rsidRPr="00661F5D">
        <w:rPr>
          <w:i/>
          <w:szCs w:val="24"/>
        </w:rPr>
        <w:t xml:space="preserve"> (2022 Measures No. 1) Regulations 2022 </w:t>
      </w:r>
      <w:r w:rsidRPr="00661F5D">
        <w:rPr>
          <w:szCs w:val="24"/>
        </w:rPr>
        <w:t xml:space="preserve">(the Regulations) are compatible with the human rights and freedoms recognised or declared in the international instruments listed in section 3 of the </w:t>
      </w:r>
      <w:r w:rsidRPr="00661F5D">
        <w:rPr>
          <w:i/>
          <w:szCs w:val="24"/>
        </w:rPr>
        <w:t>Human Rights (Parliamentary Scrutiny) Act 2011</w:t>
      </w:r>
      <w:r w:rsidRPr="00661F5D">
        <w:rPr>
          <w:szCs w:val="24"/>
        </w:rPr>
        <w:t>.</w:t>
      </w:r>
    </w:p>
    <w:p w14:paraId="6F951DBB" w14:textId="77777777" w:rsidR="00E657DC" w:rsidRPr="00661F5D" w:rsidRDefault="00E657DC" w:rsidP="00E657DC">
      <w:pPr>
        <w:rPr>
          <w:szCs w:val="24"/>
        </w:rPr>
      </w:pPr>
    </w:p>
    <w:p w14:paraId="46A27DD4" w14:textId="77777777" w:rsidR="00E657DC" w:rsidRPr="00661F5D" w:rsidRDefault="00E657DC" w:rsidP="00E657DC">
      <w:pPr>
        <w:rPr>
          <w:b/>
          <w:szCs w:val="24"/>
        </w:rPr>
      </w:pPr>
      <w:r w:rsidRPr="00661F5D">
        <w:rPr>
          <w:b/>
          <w:szCs w:val="24"/>
        </w:rPr>
        <w:t>Overview of the Legislative Instrument</w:t>
      </w:r>
    </w:p>
    <w:p w14:paraId="62C20142" w14:textId="47FD5EC6" w:rsidR="00E657DC" w:rsidRPr="00661F5D" w:rsidRDefault="00E657DC" w:rsidP="00E657DC">
      <w:pPr>
        <w:rPr>
          <w:szCs w:val="24"/>
        </w:rPr>
      </w:pPr>
      <w:r w:rsidRPr="00661F5D">
        <w:t xml:space="preserve">The Regulations are made under </w:t>
      </w:r>
      <w:r w:rsidR="00C1027E" w:rsidRPr="00661F5D">
        <w:rPr>
          <w:szCs w:val="24"/>
        </w:rPr>
        <w:t>s</w:t>
      </w:r>
      <w:r w:rsidRPr="00661F5D">
        <w:rPr>
          <w:szCs w:val="24"/>
        </w:rPr>
        <w:t xml:space="preserve">ubsection 5(1) of the </w:t>
      </w:r>
      <w:r w:rsidRPr="00661F5D">
        <w:rPr>
          <w:i/>
          <w:szCs w:val="24"/>
        </w:rPr>
        <w:t>Therapeutic Goods (Charges) Act 1989</w:t>
      </w:r>
      <w:r w:rsidRPr="00661F5D">
        <w:rPr>
          <w:szCs w:val="24"/>
        </w:rPr>
        <w:t xml:space="preserve"> (the Act). </w:t>
      </w:r>
      <w:r w:rsidRPr="00661F5D">
        <w:t xml:space="preserve">The main purpose of the Regulations is to amend the </w:t>
      </w:r>
      <w:r w:rsidRPr="00661F5D">
        <w:rPr>
          <w:i/>
        </w:rPr>
        <w:t>Therapeutic Goods (Charges) Regulations 2018</w:t>
      </w:r>
      <w:r w:rsidRPr="00661F5D">
        <w:t xml:space="preserve"> (the Charges Regulations) to increase the annual charges set out in those regulations for most products by </w:t>
      </w:r>
      <w:r w:rsidR="00BF5331" w:rsidRPr="00661F5D">
        <w:t>2.6</w:t>
      </w:r>
      <w:r w:rsidRPr="00661F5D">
        <w:t xml:space="preserve"> per cent, for the financial year 202</w:t>
      </w:r>
      <w:r w:rsidR="00BF5331" w:rsidRPr="00661F5D">
        <w:t>2</w:t>
      </w:r>
      <w:r w:rsidRPr="00661F5D">
        <w:t>-2</w:t>
      </w:r>
      <w:r w:rsidR="00BF5331" w:rsidRPr="00661F5D">
        <w:t>3</w:t>
      </w:r>
      <w:r w:rsidRPr="00661F5D">
        <w:t xml:space="preserve">. The Regulations complement the </w:t>
      </w:r>
      <w:r w:rsidRPr="00661F5D">
        <w:rPr>
          <w:i/>
          <w:iCs/>
        </w:rPr>
        <w:t>Therapeutic Goods Legislation Amendment (Fees</w:t>
      </w:r>
      <w:r w:rsidR="00BF5331" w:rsidRPr="00661F5D">
        <w:rPr>
          <w:i/>
          <w:iCs/>
        </w:rPr>
        <w:t xml:space="preserve"> and Other Measures</w:t>
      </w:r>
      <w:r w:rsidRPr="00661F5D">
        <w:rPr>
          <w:i/>
          <w:iCs/>
        </w:rPr>
        <w:t>) Regulations 202</w:t>
      </w:r>
      <w:r w:rsidR="00BF5331" w:rsidRPr="00661F5D">
        <w:rPr>
          <w:i/>
          <w:iCs/>
        </w:rPr>
        <w:t>2</w:t>
      </w:r>
      <w:r w:rsidR="00BF5331" w:rsidRPr="00661F5D">
        <w:t>,</w:t>
      </w:r>
      <w:r w:rsidRPr="00661F5D">
        <w:t xml:space="preserve"> which increase fees for therapeutic goods for 202</w:t>
      </w:r>
      <w:r w:rsidR="00BF5331" w:rsidRPr="00661F5D">
        <w:t>2</w:t>
      </w:r>
      <w:r w:rsidRPr="00661F5D">
        <w:t>-2</w:t>
      </w:r>
      <w:r w:rsidR="00BF5331" w:rsidRPr="00661F5D">
        <w:t>3</w:t>
      </w:r>
      <w:r w:rsidRPr="00661F5D">
        <w:t xml:space="preserve"> by the same rate.</w:t>
      </w:r>
    </w:p>
    <w:p w14:paraId="47B7399C" w14:textId="77777777" w:rsidR="00E657DC" w:rsidRPr="00661F5D" w:rsidRDefault="00E657DC" w:rsidP="00E657DC"/>
    <w:p w14:paraId="5B2A0071" w14:textId="1D67FCCE" w:rsidR="00E657DC" w:rsidRPr="00661F5D" w:rsidRDefault="00E657DC" w:rsidP="00E657DC">
      <w:r w:rsidRPr="00661F5D">
        <w:t xml:space="preserve">The increase applies </w:t>
      </w:r>
      <w:r w:rsidR="00BF5331" w:rsidRPr="00661F5D">
        <w:t xml:space="preserve">in particular </w:t>
      </w:r>
      <w:r w:rsidRPr="00661F5D">
        <w:t xml:space="preserve">to annual charges relating to the registration, listing or inclusion of therapeutic goods in the </w:t>
      </w:r>
      <w:r w:rsidR="00C1027E" w:rsidRPr="00661F5D">
        <w:t xml:space="preserve">Australian </w:t>
      </w:r>
      <w:r w:rsidRPr="00661F5D">
        <w:t>Register</w:t>
      </w:r>
      <w:r w:rsidR="00C1027E" w:rsidRPr="00661F5D">
        <w:t xml:space="preserve"> of Therapeutic Goods</w:t>
      </w:r>
      <w:r w:rsidRPr="00661F5D">
        <w:t xml:space="preserve">. This encompasses registered goods (including provisionally registered medicines), listed goods, biologicals and medical devices. </w:t>
      </w:r>
    </w:p>
    <w:p w14:paraId="755FE908" w14:textId="77777777" w:rsidR="00E657DC" w:rsidRPr="00661F5D" w:rsidRDefault="00E657DC" w:rsidP="00E657DC">
      <w:pPr>
        <w:rPr>
          <w:szCs w:val="24"/>
        </w:rPr>
      </w:pPr>
    </w:p>
    <w:p w14:paraId="7B7BCD04" w14:textId="5E29BAFA" w:rsidR="00E657DC" w:rsidRPr="00661F5D" w:rsidRDefault="00E657DC" w:rsidP="00E657DC">
      <w:r w:rsidRPr="00661F5D">
        <w:t xml:space="preserve">The </w:t>
      </w:r>
      <w:r w:rsidR="00BF5331" w:rsidRPr="00661F5D">
        <w:t>2.6</w:t>
      </w:r>
      <w:r w:rsidRPr="00661F5D">
        <w:t xml:space="preserve"> per cent increase is based on an indexation formula used to calculate adjustments to </w:t>
      </w:r>
      <w:r w:rsidR="00C1027E" w:rsidRPr="00661F5D">
        <w:rPr>
          <w:szCs w:val="24"/>
        </w:rPr>
        <w:t xml:space="preserve">Therapeutic Goods Administration </w:t>
      </w:r>
      <w:r w:rsidR="005D213F" w:rsidRPr="00661F5D">
        <w:rPr>
          <w:szCs w:val="24"/>
        </w:rPr>
        <w:t xml:space="preserve">(TGA) </w:t>
      </w:r>
      <w:r w:rsidRPr="00661F5D">
        <w:t>fees and charges in most previous years, and is based on the Australian Bureau of Statistics’ Wages Price Index (50 per cent) (in this case, for the year to September 202</w:t>
      </w:r>
      <w:r w:rsidR="00BF5331" w:rsidRPr="00661F5D">
        <w:t>1</w:t>
      </w:r>
      <w:r w:rsidRPr="00661F5D">
        <w:t xml:space="preserve">) and Consumer Price Index (50 per cent) (also for the same period). This increase is in line with the TGA’s cost recovery model. </w:t>
      </w:r>
    </w:p>
    <w:p w14:paraId="097B000A" w14:textId="77777777" w:rsidR="00E657DC" w:rsidRPr="00661F5D" w:rsidRDefault="00E657DC" w:rsidP="00E657DC">
      <w:pPr>
        <w:rPr>
          <w:b/>
          <w:szCs w:val="24"/>
        </w:rPr>
      </w:pPr>
    </w:p>
    <w:p w14:paraId="4EBD313C" w14:textId="77777777" w:rsidR="00E657DC" w:rsidRPr="00661F5D" w:rsidRDefault="00E657DC" w:rsidP="00E657DC">
      <w:pPr>
        <w:rPr>
          <w:b/>
          <w:szCs w:val="24"/>
        </w:rPr>
      </w:pPr>
      <w:r w:rsidRPr="00661F5D">
        <w:rPr>
          <w:b/>
          <w:szCs w:val="24"/>
        </w:rPr>
        <w:t>Human rights implications</w:t>
      </w:r>
    </w:p>
    <w:p w14:paraId="4B16AE14" w14:textId="77777777" w:rsidR="00E657DC" w:rsidRPr="00661F5D" w:rsidRDefault="00E657DC" w:rsidP="00E657DC">
      <w:r w:rsidRPr="00661F5D">
        <w:t>As the Regulations do not introduce any changes to the Charges Regulations other than to implement the changes outlined above, they do not engage any of the applicable rights or freedoms.</w:t>
      </w:r>
    </w:p>
    <w:p w14:paraId="40210298" w14:textId="77777777" w:rsidR="00E657DC" w:rsidRPr="00661F5D" w:rsidRDefault="00E657DC" w:rsidP="00E657DC">
      <w:pPr>
        <w:rPr>
          <w:b/>
          <w:szCs w:val="24"/>
        </w:rPr>
      </w:pPr>
    </w:p>
    <w:p w14:paraId="4D6D4614" w14:textId="77777777" w:rsidR="00E657DC" w:rsidRPr="00661F5D" w:rsidRDefault="00E657DC" w:rsidP="00E657DC">
      <w:pPr>
        <w:rPr>
          <w:b/>
          <w:szCs w:val="24"/>
        </w:rPr>
      </w:pPr>
      <w:r w:rsidRPr="00661F5D">
        <w:rPr>
          <w:b/>
          <w:szCs w:val="24"/>
        </w:rPr>
        <w:t>Conclusion</w:t>
      </w:r>
    </w:p>
    <w:p w14:paraId="74264454" w14:textId="77777777" w:rsidR="00E657DC" w:rsidRPr="00661F5D" w:rsidRDefault="00E657DC" w:rsidP="00E657DC">
      <w:pPr>
        <w:rPr>
          <w:szCs w:val="24"/>
        </w:rPr>
      </w:pPr>
      <w:r w:rsidRPr="00661F5D">
        <w:t>The Regulations are compatible with human rights as they do not raise any human rights issues</w:t>
      </w:r>
      <w:r w:rsidRPr="00661F5D">
        <w:rPr>
          <w:szCs w:val="24"/>
        </w:rPr>
        <w:t>.</w:t>
      </w:r>
    </w:p>
    <w:p w14:paraId="7B184D43" w14:textId="77777777" w:rsidR="00E657DC" w:rsidRPr="00661F5D" w:rsidRDefault="00E657DC" w:rsidP="00E657DC">
      <w:pPr>
        <w:rPr>
          <w:szCs w:val="24"/>
        </w:rPr>
      </w:pPr>
    </w:p>
    <w:p w14:paraId="6E590231" w14:textId="77777777" w:rsidR="00E657DC" w:rsidRPr="00AD3E28" w:rsidRDefault="00E657DC" w:rsidP="00E657DC">
      <w:pPr>
        <w:jc w:val="center"/>
      </w:pPr>
      <w:r w:rsidRPr="00661F5D">
        <w:rPr>
          <w:b/>
          <w:szCs w:val="24"/>
        </w:rPr>
        <w:t>Greg Hunt, Minister for Health and Aged Care</w:t>
      </w:r>
    </w:p>
    <w:p w14:paraId="3AEFB590" w14:textId="77777777" w:rsidR="00E657DC" w:rsidRDefault="00E657DC" w:rsidP="00D604ED"/>
    <w:p w14:paraId="115CD8C0" w14:textId="77777777" w:rsidR="001C0945" w:rsidRPr="006F5ED4" w:rsidRDefault="001C0945" w:rsidP="0041338D"/>
    <w:sectPr w:rsidR="001C0945" w:rsidRPr="006F5ED4" w:rsidSect="000B058F">
      <w:headerReference w:type="default" r:id="rId10"/>
      <w:footerReference w:type="first" r:id="rId11"/>
      <w:pgSz w:w="11906" w:h="16838"/>
      <w:pgMar w:top="1440" w:right="1440" w:bottom="1440" w:left="1440"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12195" w14:textId="77777777" w:rsidR="008D682C" w:rsidRDefault="008D682C">
      <w:r>
        <w:separator/>
      </w:r>
    </w:p>
  </w:endnote>
  <w:endnote w:type="continuationSeparator" w:id="0">
    <w:p w14:paraId="353FCEB9" w14:textId="77777777" w:rsidR="008D682C" w:rsidRDefault="008D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5892149"/>
      <w:docPartObj>
        <w:docPartGallery w:val="Page Numbers (Bottom of Page)"/>
        <w:docPartUnique/>
      </w:docPartObj>
    </w:sdtPr>
    <w:sdtEndPr>
      <w:rPr>
        <w:noProof/>
      </w:rPr>
    </w:sdtEndPr>
    <w:sdtContent>
      <w:p w14:paraId="05D54977" w14:textId="680FCD30" w:rsidR="008D4C93" w:rsidRDefault="008D4C93">
        <w:pPr>
          <w:pStyle w:val="Footer"/>
          <w:jc w:val="center"/>
        </w:pPr>
        <w:r>
          <w:fldChar w:fldCharType="begin"/>
        </w:r>
        <w:r>
          <w:instrText xml:space="preserve"> PAGE   \* MERGEFORMAT </w:instrText>
        </w:r>
        <w:r>
          <w:fldChar w:fldCharType="separate"/>
        </w:r>
        <w:r w:rsidR="00BD4B15">
          <w:rPr>
            <w:noProof/>
          </w:rPr>
          <w:t>2</w:t>
        </w:r>
        <w:r>
          <w:rPr>
            <w:noProof/>
          </w:rPr>
          <w:fldChar w:fldCharType="end"/>
        </w:r>
      </w:p>
    </w:sdtContent>
  </w:sdt>
  <w:p w14:paraId="62700C6E" w14:textId="77777777" w:rsidR="008D4C93" w:rsidRDefault="008D4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BE8D8" w14:textId="77777777" w:rsidR="008D4C93" w:rsidRDefault="008D4C93">
    <w:pPr>
      <w:pStyle w:val="Footer"/>
      <w:jc w:val="center"/>
    </w:pPr>
  </w:p>
  <w:p w14:paraId="5D3094B0" w14:textId="77777777" w:rsidR="008D4C93" w:rsidRDefault="008D4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033216"/>
      <w:docPartObj>
        <w:docPartGallery w:val="Page Numbers (Bottom of Page)"/>
        <w:docPartUnique/>
      </w:docPartObj>
    </w:sdtPr>
    <w:sdtEndPr>
      <w:rPr>
        <w:noProof/>
      </w:rPr>
    </w:sdtEndPr>
    <w:sdtContent>
      <w:p w14:paraId="5CD1AC8F" w14:textId="477A81DA" w:rsidR="008D4C93" w:rsidRDefault="008D4C93">
        <w:pPr>
          <w:pStyle w:val="Footer"/>
          <w:jc w:val="center"/>
        </w:pPr>
        <w:r>
          <w:fldChar w:fldCharType="begin"/>
        </w:r>
        <w:r>
          <w:instrText xml:space="preserve"> PAGE   \* MERGEFORMAT </w:instrText>
        </w:r>
        <w:r>
          <w:fldChar w:fldCharType="separate"/>
        </w:r>
        <w:r w:rsidR="00BD4B15">
          <w:rPr>
            <w:noProof/>
          </w:rPr>
          <w:t>3</w:t>
        </w:r>
        <w:r>
          <w:rPr>
            <w:noProof/>
          </w:rPr>
          <w:fldChar w:fldCharType="end"/>
        </w:r>
      </w:p>
    </w:sdtContent>
  </w:sdt>
  <w:p w14:paraId="72D5D8B1" w14:textId="77777777" w:rsidR="008D4C93" w:rsidRDefault="008D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483D3" w14:textId="77777777" w:rsidR="008D682C" w:rsidRDefault="008D682C">
      <w:r>
        <w:separator/>
      </w:r>
    </w:p>
  </w:footnote>
  <w:footnote w:type="continuationSeparator" w:id="0">
    <w:p w14:paraId="4FC1E103" w14:textId="77777777" w:rsidR="008D682C" w:rsidRDefault="008D6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52029" w14:textId="77777777" w:rsidR="008D4C93" w:rsidRDefault="008D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A22FD"/>
    <w:multiLevelType w:val="hybridMultilevel"/>
    <w:tmpl w:val="825207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373EF8"/>
    <w:multiLevelType w:val="hybridMultilevel"/>
    <w:tmpl w:val="ECD6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1C223C"/>
    <w:multiLevelType w:val="hybridMultilevel"/>
    <w:tmpl w:val="FFB4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3A23F6"/>
    <w:multiLevelType w:val="hybridMultilevel"/>
    <w:tmpl w:val="A98CDB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9" w15:restartNumberingAfterBreak="0">
    <w:nsid w:val="3CBD5839"/>
    <w:multiLevelType w:val="hybridMultilevel"/>
    <w:tmpl w:val="725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F9142E"/>
    <w:multiLevelType w:val="hybridMultilevel"/>
    <w:tmpl w:val="B0C8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815C47"/>
    <w:multiLevelType w:val="hybridMultilevel"/>
    <w:tmpl w:val="A40E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DF076F"/>
    <w:multiLevelType w:val="hybridMultilevel"/>
    <w:tmpl w:val="9E88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EF03897"/>
    <w:multiLevelType w:val="hybridMultilevel"/>
    <w:tmpl w:val="6850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ED0C02"/>
    <w:multiLevelType w:val="hybridMultilevel"/>
    <w:tmpl w:val="9046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6"/>
  </w:num>
  <w:num w:numId="5">
    <w:abstractNumId w:val="4"/>
  </w:num>
  <w:num w:numId="6">
    <w:abstractNumId w:val="1"/>
  </w:num>
  <w:num w:numId="7">
    <w:abstractNumId w:val="3"/>
  </w:num>
  <w:num w:numId="8">
    <w:abstractNumId w:val="10"/>
  </w:num>
  <w:num w:numId="9">
    <w:abstractNumId w:val="17"/>
  </w:num>
  <w:num w:numId="10">
    <w:abstractNumId w:val="15"/>
  </w:num>
  <w:num w:numId="11">
    <w:abstractNumId w:val="18"/>
  </w:num>
  <w:num w:numId="12">
    <w:abstractNumId w:val="5"/>
  </w:num>
  <w:num w:numId="13">
    <w:abstractNumId w:val="2"/>
  </w:num>
  <w:num w:numId="14">
    <w:abstractNumId w:val="16"/>
  </w:num>
  <w:num w:numId="15">
    <w:abstractNumId w:val="8"/>
  </w:num>
  <w:num w:numId="16">
    <w:abstractNumId w:val="14"/>
  </w:num>
  <w:num w:numId="17">
    <w:abstractNumId w:val="7"/>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2B7823-E80A-4D00-BFE4-D99344DC444D}"/>
    <w:docVar w:name="dgnword-eventsink" w:val="278907656"/>
  </w:docVars>
  <w:rsids>
    <w:rsidRoot w:val="0041338D"/>
    <w:rsid w:val="00000557"/>
    <w:rsid w:val="00002CEE"/>
    <w:rsid w:val="000033F2"/>
    <w:rsid w:val="000116AA"/>
    <w:rsid w:val="00012049"/>
    <w:rsid w:val="00017072"/>
    <w:rsid w:val="000248B4"/>
    <w:rsid w:val="0002768E"/>
    <w:rsid w:val="000329BC"/>
    <w:rsid w:val="00034802"/>
    <w:rsid w:val="000413D4"/>
    <w:rsid w:val="00042BE2"/>
    <w:rsid w:val="00042CAE"/>
    <w:rsid w:val="0005544D"/>
    <w:rsid w:val="00091646"/>
    <w:rsid w:val="00095FD5"/>
    <w:rsid w:val="000B058F"/>
    <w:rsid w:val="000B4B83"/>
    <w:rsid w:val="000D363D"/>
    <w:rsid w:val="000E2AB6"/>
    <w:rsid w:val="000E669C"/>
    <w:rsid w:val="000F11C2"/>
    <w:rsid w:val="000F29BA"/>
    <w:rsid w:val="000F3D78"/>
    <w:rsid w:val="000F69F0"/>
    <w:rsid w:val="000F6ECB"/>
    <w:rsid w:val="00101BCD"/>
    <w:rsid w:val="00106DBB"/>
    <w:rsid w:val="00110D1B"/>
    <w:rsid w:val="0011516F"/>
    <w:rsid w:val="001242D9"/>
    <w:rsid w:val="001325A4"/>
    <w:rsid w:val="00143EB0"/>
    <w:rsid w:val="001476FC"/>
    <w:rsid w:val="0015104E"/>
    <w:rsid w:val="00151D02"/>
    <w:rsid w:val="00152DA8"/>
    <w:rsid w:val="0015647E"/>
    <w:rsid w:val="0016352E"/>
    <w:rsid w:val="00163CF8"/>
    <w:rsid w:val="001823B4"/>
    <w:rsid w:val="00187BDB"/>
    <w:rsid w:val="0019262A"/>
    <w:rsid w:val="00193D5E"/>
    <w:rsid w:val="001A203E"/>
    <w:rsid w:val="001A35DE"/>
    <w:rsid w:val="001C0945"/>
    <w:rsid w:val="001D2366"/>
    <w:rsid w:val="001E1D6F"/>
    <w:rsid w:val="001F05E1"/>
    <w:rsid w:val="00203483"/>
    <w:rsid w:val="00204B60"/>
    <w:rsid w:val="00205A81"/>
    <w:rsid w:val="00234486"/>
    <w:rsid w:val="0024772F"/>
    <w:rsid w:val="00250C9A"/>
    <w:rsid w:val="00252192"/>
    <w:rsid w:val="002567A9"/>
    <w:rsid w:val="00256B7C"/>
    <w:rsid w:val="0026048F"/>
    <w:rsid w:val="00280029"/>
    <w:rsid w:val="00281FE5"/>
    <w:rsid w:val="00282135"/>
    <w:rsid w:val="002935EE"/>
    <w:rsid w:val="002A4AD3"/>
    <w:rsid w:val="002D440E"/>
    <w:rsid w:val="002E05C2"/>
    <w:rsid w:val="002E2DFF"/>
    <w:rsid w:val="002E5660"/>
    <w:rsid w:val="002F00C8"/>
    <w:rsid w:val="002F40B7"/>
    <w:rsid w:val="002F4217"/>
    <w:rsid w:val="002F5033"/>
    <w:rsid w:val="00305B39"/>
    <w:rsid w:val="00311704"/>
    <w:rsid w:val="003136CE"/>
    <w:rsid w:val="00320DF0"/>
    <w:rsid w:val="00322D15"/>
    <w:rsid w:val="00323C7F"/>
    <w:rsid w:val="003363BE"/>
    <w:rsid w:val="00345D59"/>
    <w:rsid w:val="003604EF"/>
    <w:rsid w:val="00371FD2"/>
    <w:rsid w:val="00374949"/>
    <w:rsid w:val="003916DC"/>
    <w:rsid w:val="003925F1"/>
    <w:rsid w:val="003944DB"/>
    <w:rsid w:val="003954EC"/>
    <w:rsid w:val="003A401D"/>
    <w:rsid w:val="003A5CAD"/>
    <w:rsid w:val="003A6DC0"/>
    <w:rsid w:val="003B2CAD"/>
    <w:rsid w:val="003B2F85"/>
    <w:rsid w:val="003D5D6C"/>
    <w:rsid w:val="003F19BC"/>
    <w:rsid w:val="004116A4"/>
    <w:rsid w:val="0041338D"/>
    <w:rsid w:val="00414943"/>
    <w:rsid w:val="00436C5B"/>
    <w:rsid w:val="00442B0A"/>
    <w:rsid w:val="00451B3B"/>
    <w:rsid w:val="00465DAE"/>
    <w:rsid w:val="00490B9D"/>
    <w:rsid w:val="00496C67"/>
    <w:rsid w:val="004A243C"/>
    <w:rsid w:val="004B7343"/>
    <w:rsid w:val="004C455B"/>
    <w:rsid w:val="004C5542"/>
    <w:rsid w:val="004C7AF5"/>
    <w:rsid w:val="004D06A0"/>
    <w:rsid w:val="004D1ACC"/>
    <w:rsid w:val="004E0397"/>
    <w:rsid w:val="004F6935"/>
    <w:rsid w:val="00500854"/>
    <w:rsid w:val="00504FB0"/>
    <w:rsid w:val="005103C1"/>
    <w:rsid w:val="00512FC6"/>
    <w:rsid w:val="00527FE7"/>
    <w:rsid w:val="005308D3"/>
    <w:rsid w:val="005339E4"/>
    <w:rsid w:val="00541708"/>
    <w:rsid w:val="00547420"/>
    <w:rsid w:val="005533BB"/>
    <w:rsid w:val="00554761"/>
    <w:rsid w:val="00567FDF"/>
    <w:rsid w:val="00575345"/>
    <w:rsid w:val="00585A4F"/>
    <w:rsid w:val="005907C6"/>
    <w:rsid w:val="0059452B"/>
    <w:rsid w:val="005A4406"/>
    <w:rsid w:val="005A6D92"/>
    <w:rsid w:val="005A745D"/>
    <w:rsid w:val="005A7535"/>
    <w:rsid w:val="005C0546"/>
    <w:rsid w:val="005C74F4"/>
    <w:rsid w:val="005D213F"/>
    <w:rsid w:val="005D7BDE"/>
    <w:rsid w:val="005E2691"/>
    <w:rsid w:val="005F5E2C"/>
    <w:rsid w:val="00604FC1"/>
    <w:rsid w:val="006254AA"/>
    <w:rsid w:val="00635907"/>
    <w:rsid w:val="00640254"/>
    <w:rsid w:val="0064146B"/>
    <w:rsid w:val="00644B63"/>
    <w:rsid w:val="00651E33"/>
    <w:rsid w:val="006532B3"/>
    <w:rsid w:val="00655077"/>
    <w:rsid w:val="00661F5D"/>
    <w:rsid w:val="00686A83"/>
    <w:rsid w:val="0068701B"/>
    <w:rsid w:val="00687312"/>
    <w:rsid w:val="00693711"/>
    <w:rsid w:val="00695200"/>
    <w:rsid w:val="0069699D"/>
    <w:rsid w:val="006C097B"/>
    <w:rsid w:val="006C121C"/>
    <w:rsid w:val="006C20B5"/>
    <w:rsid w:val="006C4112"/>
    <w:rsid w:val="006C4BF0"/>
    <w:rsid w:val="006C4E66"/>
    <w:rsid w:val="006E05EF"/>
    <w:rsid w:val="006E1D6F"/>
    <w:rsid w:val="006E2ECA"/>
    <w:rsid w:val="006E3D1F"/>
    <w:rsid w:val="006F03D0"/>
    <w:rsid w:val="006F46F3"/>
    <w:rsid w:val="006F5ED4"/>
    <w:rsid w:val="007065B4"/>
    <w:rsid w:val="007122B8"/>
    <w:rsid w:val="0071717E"/>
    <w:rsid w:val="007177F0"/>
    <w:rsid w:val="00725487"/>
    <w:rsid w:val="007312DD"/>
    <w:rsid w:val="00732FCA"/>
    <w:rsid w:val="00733CCF"/>
    <w:rsid w:val="007366DA"/>
    <w:rsid w:val="00737239"/>
    <w:rsid w:val="007469B6"/>
    <w:rsid w:val="00746DB3"/>
    <w:rsid w:val="00754156"/>
    <w:rsid w:val="00754871"/>
    <w:rsid w:val="0075701E"/>
    <w:rsid w:val="00764077"/>
    <w:rsid w:val="00764AB3"/>
    <w:rsid w:val="00784750"/>
    <w:rsid w:val="007A2CC4"/>
    <w:rsid w:val="007A51B9"/>
    <w:rsid w:val="007B09DA"/>
    <w:rsid w:val="007B654F"/>
    <w:rsid w:val="007D2AFA"/>
    <w:rsid w:val="007D4DB9"/>
    <w:rsid w:val="007D705A"/>
    <w:rsid w:val="007D7881"/>
    <w:rsid w:val="007E7A38"/>
    <w:rsid w:val="00804196"/>
    <w:rsid w:val="008058FF"/>
    <w:rsid w:val="00806788"/>
    <w:rsid w:val="00806B20"/>
    <w:rsid w:val="008130B2"/>
    <w:rsid w:val="00820BC1"/>
    <w:rsid w:val="00822F26"/>
    <w:rsid w:val="00836AC1"/>
    <w:rsid w:val="008412B0"/>
    <w:rsid w:val="00841C40"/>
    <w:rsid w:val="008445B8"/>
    <w:rsid w:val="00845E49"/>
    <w:rsid w:val="008461C0"/>
    <w:rsid w:val="00852E8D"/>
    <w:rsid w:val="00861F99"/>
    <w:rsid w:val="00873237"/>
    <w:rsid w:val="00873BE7"/>
    <w:rsid w:val="0087679A"/>
    <w:rsid w:val="00877AAB"/>
    <w:rsid w:val="0088253B"/>
    <w:rsid w:val="00884131"/>
    <w:rsid w:val="008A7BCE"/>
    <w:rsid w:val="008B50FC"/>
    <w:rsid w:val="008B7BA4"/>
    <w:rsid w:val="008C460B"/>
    <w:rsid w:val="008D1D41"/>
    <w:rsid w:val="008D2CEC"/>
    <w:rsid w:val="008D4C93"/>
    <w:rsid w:val="008D682C"/>
    <w:rsid w:val="008D6EE2"/>
    <w:rsid w:val="008E1B28"/>
    <w:rsid w:val="008E465E"/>
    <w:rsid w:val="008E5963"/>
    <w:rsid w:val="008E7BDA"/>
    <w:rsid w:val="008E7C3D"/>
    <w:rsid w:val="00900795"/>
    <w:rsid w:val="00903490"/>
    <w:rsid w:val="0090721C"/>
    <w:rsid w:val="00910617"/>
    <w:rsid w:val="00914B99"/>
    <w:rsid w:val="00916862"/>
    <w:rsid w:val="00936134"/>
    <w:rsid w:val="00945308"/>
    <w:rsid w:val="0095069D"/>
    <w:rsid w:val="00953011"/>
    <w:rsid w:val="0095456F"/>
    <w:rsid w:val="0096633B"/>
    <w:rsid w:val="00971E22"/>
    <w:rsid w:val="00981288"/>
    <w:rsid w:val="009873C3"/>
    <w:rsid w:val="00996A39"/>
    <w:rsid w:val="009A01D5"/>
    <w:rsid w:val="009A61C0"/>
    <w:rsid w:val="009A7C86"/>
    <w:rsid w:val="009B6FA0"/>
    <w:rsid w:val="009C1AB2"/>
    <w:rsid w:val="009D1A46"/>
    <w:rsid w:val="009E6605"/>
    <w:rsid w:val="009F309C"/>
    <w:rsid w:val="009F4BF4"/>
    <w:rsid w:val="00A07327"/>
    <w:rsid w:val="00A1653F"/>
    <w:rsid w:val="00A23B50"/>
    <w:rsid w:val="00A24A95"/>
    <w:rsid w:val="00A32BC3"/>
    <w:rsid w:val="00A36065"/>
    <w:rsid w:val="00A53EAF"/>
    <w:rsid w:val="00A77F25"/>
    <w:rsid w:val="00A82BF6"/>
    <w:rsid w:val="00A850FB"/>
    <w:rsid w:val="00A87BD7"/>
    <w:rsid w:val="00AB01DF"/>
    <w:rsid w:val="00AC2A9D"/>
    <w:rsid w:val="00AD0F6F"/>
    <w:rsid w:val="00AD4172"/>
    <w:rsid w:val="00AD50A1"/>
    <w:rsid w:val="00AD5F39"/>
    <w:rsid w:val="00AD6334"/>
    <w:rsid w:val="00AF100A"/>
    <w:rsid w:val="00AF2BE4"/>
    <w:rsid w:val="00B052AB"/>
    <w:rsid w:val="00B065FC"/>
    <w:rsid w:val="00B07D7E"/>
    <w:rsid w:val="00B10F91"/>
    <w:rsid w:val="00B15C6C"/>
    <w:rsid w:val="00B23945"/>
    <w:rsid w:val="00B32703"/>
    <w:rsid w:val="00B33467"/>
    <w:rsid w:val="00B4177A"/>
    <w:rsid w:val="00B76A6C"/>
    <w:rsid w:val="00B827E5"/>
    <w:rsid w:val="00B8667F"/>
    <w:rsid w:val="00BA1CB4"/>
    <w:rsid w:val="00BA3F96"/>
    <w:rsid w:val="00BA5490"/>
    <w:rsid w:val="00BB43A9"/>
    <w:rsid w:val="00BB7CD4"/>
    <w:rsid w:val="00BB7D2E"/>
    <w:rsid w:val="00BC3038"/>
    <w:rsid w:val="00BC588D"/>
    <w:rsid w:val="00BD4B15"/>
    <w:rsid w:val="00BE1798"/>
    <w:rsid w:val="00BE3C89"/>
    <w:rsid w:val="00BF0903"/>
    <w:rsid w:val="00BF5331"/>
    <w:rsid w:val="00BF5F36"/>
    <w:rsid w:val="00C0405E"/>
    <w:rsid w:val="00C1027E"/>
    <w:rsid w:val="00C10CD3"/>
    <w:rsid w:val="00C143E7"/>
    <w:rsid w:val="00C23819"/>
    <w:rsid w:val="00C338A8"/>
    <w:rsid w:val="00C366FD"/>
    <w:rsid w:val="00C7211E"/>
    <w:rsid w:val="00C73C30"/>
    <w:rsid w:val="00C74A4B"/>
    <w:rsid w:val="00C85181"/>
    <w:rsid w:val="00C920CB"/>
    <w:rsid w:val="00C95559"/>
    <w:rsid w:val="00CA0115"/>
    <w:rsid w:val="00CA0699"/>
    <w:rsid w:val="00CA26F1"/>
    <w:rsid w:val="00CA3EC4"/>
    <w:rsid w:val="00CA636A"/>
    <w:rsid w:val="00CB5EF4"/>
    <w:rsid w:val="00CD7B0A"/>
    <w:rsid w:val="00CE16ED"/>
    <w:rsid w:val="00CE38E2"/>
    <w:rsid w:val="00CE54E9"/>
    <w:rsid w:val="00CF26D0"/>
    <w:rsid w:val="00CF30F3"/>
    <w:rsid w:val="00D01B36"/>
    <w:rsid w:val="00D101A1"/>
    <w:rsid w:val="00D14634"/>
    <w:rsid w:val="00D169E5"/>
    <w:rsid w:val="00D32262"/>
    <w:rsid w:val="00D350C2"/>
    <w:rsid w:val="00D35161"/>
    <w:rsid w:val="00D4032F"/>
    <w:rsid w:val="00D50E40"/>
    <w:rsid w:val="00D566CA"/>
    <w:rsid w:val="00D604ED"/>
    <w:rsid w:val="00D64C9B"/>
    <w:rsid w:val="00D654EC"/>
    <w:rsid w:val="00D70FD3"/>
    <w:rsid w:val="00D85909"/>
    <w:rsid w:val="00D86574"/>
    <w:rsid w:val="00D87617"/>
    <w:rsid w:val="00D962DC"/>
    <w:rsid w:val="00DA5398"/>
    <w:rsid w:val="00DA562D"/>
    <w:rsid w:val="00DA6B70"/>
    <w:rsid w:val="00DA7162"/>
    <w:rsid w:val="00DB066A"/>
    <w:rsid w:val="00DB6989"/>
    <w:rsid w:val="00DD2900"/>
    <w:rsid w:val="00DF593B"/>
    <w:rsid w:val="00E05DB8"/>
    <w:rsid w:val="00E148C4"/>
    <w:rsid w:val="00E17110"/>
    <w:rsid w:val="00E205BC"/>
    <w:rsid w:val="00E2106D"/>
    <w:rsid w:val="00E2127D"/>
    <w:rsid w:val="00E22834"/>
    <w:rsid w:val="00E3041B"/>
    <w:rsid w:val="00E33BBA"/>
    <w:rsid w:val="00E3796A"/>
    <w:rsid w:val="00E42B37"/>
    <w:rsid w:val="00E44AB9"/>
    <w:rsid w:val="00E561F0"/>
    <w:rsid w:val="00E5637C"/>
    <w:rsid w:val="00E657DC"/>
    <w:rsid w:val="00E6603E"/>
    <w:rsid w:val="00E66D59"/>
    <w:rsid w:val="00E704B2"/>
    <w:rsid w:val="00E95858"/>
    <w:rsid w:val="00EA2A2A"/>
    <w:rsid w:val="00EB1AB3"/>
    <w:rsid w:val="00EC05C9"/>
    <w:rsid w:val="00EC1425"/>
    <w:rsid w:val="00EC5E0D"/>
    <w:rsid w:val="00EE3442"/>
    <w:rsid w:val="00EE3912"/>
    <w:rsid w:val="00EF01DF"/>
    <w:rsid w:val="00EF25B1"/>
    <w:rsid w:val="00F0681F"/>
    <w:rsid w:val="00F07026"/>
    <w:rsid w:val="00F07134"/>
    <w:rsid w:val="00F10285"/>
    <w:rsid w:val="00F147A3"/>
    <w:rsid w:val="00F20AE2"/>
    <w:rsid w:val="00F22BEB"/>
    <w:rsid w:val="00F23861"/>
    <w:rsid w:val="00F23B45"/>
    <w:rsid w:val="00F25C22"/>
    <w:rsid w:val="00F31287"/>
    <w:rsid w:val="00F33A79"/>
    <w:rsid w:val="00F36432"/>
    <w:rsid w:val="00F51811"/>
    <w:rsid w:val="00F51881"/>
    <w:rsid w:val="00F570B9"/>
    <w:rsid w:val="00F65D90"/>
    <w:rsid w:val="00F668AC"/>
    <w:rsid w:val="00F72EB7"/>
    <w:rsid w:val="00F93DF0"/>
    <w:rsid w:val="00F9599D"/>
    <w:rsid w:val="00F96922"/>
    <w:rsid w:val="00FA3810"/>
    <w:rsid w:val="00FA78EB"/>
    <w:rsid w:val="00FB1287"/>
    <w:rsid w:val="00FB5C42"/>
    <w:rsid w:val="00FB68E9"/>
    <w:rsid w:val="00FB6F6F"/>
    <w:rsid w:val="00FB7A29"/>
    <w:rsid w:val="00FD0F35"/>
    <w:rsid w:val="00FD75DF"/>
    <w:rsid w:val="00FE3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52CF"/>
  <w15:docId w15:val="{F64AAE58-A7FD-4E0C-A3AE-077594B3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semiHidden/>
    <w:unhideWhenUsed/>
    <w:rsid w:val="00442B0A"/>
    <w:rPr>
      <w:sz w:val="20"/>
    </w:rPr>
  </w:style>
  <w:style w:type="character" w:customStyle="1" w:styleId="CommentTextChar">
    <w:name w:val="Comment Text Char"/>
    <w:basedOn w:val="DefaultParagraphFont"/>
    <w:link w:val="CommentText"/>
    <w:uiPriority w:val="99"/>
    <w:semiHidden/>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57DF-0879-4042-94F4-F4A67DA2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PANTIC, Sandra</cp:lastModifiedBy>
  <cp:revision>3</cp:revision>
  <cp:lastPrinted>2018-10-24T05:18:00Z</cp:lastPrinted>
  <dcterms:created xsi:type="dcterms:W3CDTF">2022-04-01T02:15:00Z</dcterms:created>
  <dcterms:modified xsi:type="dcterms:W3CDTF">2022-04-11T02:44:00Z</dcterms:modified>
</cp:coreProperties>
</file>