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E4E17" w14:textId="6A151116" w:rsidR="00A62326" w:rsidRPr="002309E5" w:rsidRDefault="00A62326" w:rsidP="00A62326">
      <w:pPr>
        <w:jc w:val="center"/>
        <w:rPr>
          <w:b/>
          <w:sz w:val="28"/>
        </w:rPr>
      </w:pPr>
      <w:r w:rsidRPr="002309E5">
        <w:rPr>
          <w:b/>
          <w:sz w:val="28"/>
        </w:rPr>
        <w:t>EXPLANATORY STATEMENT</w:t>
      </w:r>
    </w:p>
    <w:p w14:paraId="59468B44" w14:textId="77777777" w:rsidR="00A62326" w:rsidRPr="00443B9C" w:rsidRDefault="00A62326" w:rsidP="00A62326">
      <w:pPr>
        <w:jc w:val="center"/>
        <w:rPr>
          <w:rFonts w:asciiTheme="minorHAnsi" w:hAnsiTheme="minorHAnsi"/>
        </w:rPr>
      </w:pPr>
      <w:r>
        <w:t>Issued by the authority of the Presiding Officers</w:t>
      </w:r>
    </w:p>
    <w:p w14:paraId="0259916A" w14:textId="77777777" w:rsidR="00A62326" w:rsidRPr="00443B9C" w:rsidRDefault="00A62326" w:rsidP="00A62326">
      <w:pPr>
        <w:jc w:val="center"/>
        <w:rPr>
          <w:rFonts w:asciiTheme="minorHAnsi" w:hAnsiTheme="minorHAnsi"/>
          <w:i/>
        </w:rPr>
      </w:pPr>
      <w:r>
        <w:rPr>
          <w:i/>
        </w:rPr>
        <w:t>Parliamentary Service Act 1999</w:t>
      </w:r>
    </w:p>
    <w:p w14:paraId="412C3D97" w14:textId="0F9F428C" w:rsidR="00A62326" w:rsidRPr="00443B9C" w:rsidRDefault="00A62326" w:rsidP="00A62326">
      <w:pPr>
        <w:jc w:val="center"/>
        <w:rPr>
          <w:rFonts w:asciiTheme="minorHAnsi" w:hAnsiTheme="minorHAnsi"/>
          <w:i/>
        </w:rPr>
      </w:pPr>
      <w:r w:rsidRPr="00443B9C">
        <w:rPr>
          <w:i/>
        </w:rPr>
        <w:t xml:space="preserve">Parliamentary Service Amendment (Independent Parliamentary Workplace Complaints Mechanism) Determination </w:t>
      </w:r>
      <w:r w:rsidRPr="00AC1F66">
        <w:rPr>
          <w:rFonts w:cs="Times New Roman"/>
          <w:i/>
        </w:rPr>
        <w:t>2022</w:t>
      </w:r>
    </w:p>
    <w:p w14:paraId="59439888" w14:textId="77777777" w:rsidR="00A62326" w:rsidRPr="002309E5" w:rsidRDefault="00A62326" w:rsidP="00443B9C">
      <w:pPr>
        <w:pStyle w:val="Heading1"/>
      </w:pPr>
      <w:r w:rsidRPr="002309E5">
        <w:t>Authority</w:t>
      </w:r>
    </w:p>
    <w:p w14:paraId="113F7F9D" w14:textId="029F9507" w:rsidR="00A62326" w:rsidRPr="002309E5" w:rsidRDefault="00A62326" w:rsidP="00443B9C">
      <w:r>
        <w:t xml:space="preserve">The Presiding Officers of the House of Representatives and the Senate make the </w:t>
      </w:r>
      <w:r>
        <w:rPr>
          <w:i/>
        </w:rPr>
        <w:t>Parliamentary Service Amendment (Independent Parliamentary Workplace Complaints Mechanism) Determination 2022</w:t>
      </w:r>
      <w:r w:rsidRPr="002309E5">
        <w:t xml:space="preserve"> (the </w:t>
      </w:r>
      <w:r w:rsidRPr="002309E5">
        <w:rPr>
          <w:b/>
        </w:rPr>
        <w:t>Amendment Determination</w:t>
      </w:r>
      <w:r w:rsidRPr="002309E5">
        <w:t xml:space="preserve">) under subsection 71(1) of the </w:t>
      </w:r>
      <w:r>
        <w:rPr>
          <w:i/>
        </w:rPr>
        <w:t>Parliamentary Service Act</w:t>
      </w:r>
      <w:r>
        <w:t xml:space="preserve"> </w:t>
      </w:r>
      <w:r w:rsidR="00F46812">
        <w:rPr>
          <w:i/>
        </w:rPr>
        <w:t>1999</w:t>
      </w:r>
      <w:r w:rsidR="00F46812" w:rsidRPr="00443B9C">
        <w:rPr>
          <w:i/>
        </w:rPr>
        <w:t xml:space="preserve"> </w:t>
      </w:r>
      <w:r w:rsidRPr="002309E5">
        <w:t xml:space="preserve">(the </w:t>
      </w:r>
      <w:r w:rsidRPr="002309E5">
        <w:rPr>
          <w:b/>
        </w:rPr>
        <w:t>Act</w:t>
      </w:r>
      <w:r w:rsidRPr="002309E5">
        <w:t>).</w:t>
      </w:r>
    </w:p>
    <w:p w14:paraId="4C0F5438" w14:textId="77777777" w:rsidR="00A62326" w:rsidRPr="002309E5" w:rsidRDefault="00A62326" w:rsidP="00443B9C">
      <w:pPr>
        <w:rPr>
          <w:rFonts w:asciiTheme="minorHAnsi" w:hAnsiTheme="minorHAnsi"/>
        </w:rPr>
      </w:pPr>
      <w:r w:rsidRPr="00443B9C">
        <w:rPr>
          <w:shd w:val="clear" w:color="auto" w:fill="FFFFFF"/>
        </w:rPr>
        <w:t>The </w:t>
      </w:r>
      <w:r w:rsidRPr="002309E5">
        <w:t>Act establishes</w:t>
      </w:r>
      <w:r w:rsidRPr="00443B9C">
        <w:rPr>
          <w:shd w:val="clear" w:color="auto" w:fill="FFFFFF"/>
        </w:rPr>
        <w:t xml:space="preserve"> the Parliamentary Service. </w:t>
      </w:r>
      <w:r w:rsidRPr="002309E5">
        <w:t xml:space="preserve">Subsection 71(1) of the Act provides that the Presiding Officers </w:t>
      </w:r>
      <w:r w:rsidRPr="00443B9C">
        <w:rPr>
          <w:shd w:val="clear" w:color="auto" w:fill="FFFFFF"/>
        </w:rPr>
        <w:t>may make determinations prescribing matters required or permitted by the Act to be prescribed, or necessary or convenient to be prescribed, for carrying out or giving effect to the Act.</w:t>
      </w:r>
      <w:r w:rsidRPr="002309E5">
        <w:t xml:space="preserve"> </w:t>
      </w:r>
      <w:r w:rsidRPr="00443B9C">
        <w:rPr>
          <w:shd w:val="clear" w:color="auto" w:fill="FFFFFF"/>
        </w:rPr>
        <w:t>Subsection 71(1) of the Act specifies that the Presiding Officers may make determinations after consulting the Parliamentary Service Commissioner (the </w:t>
      </w:r>
      <w:r w:rsidRPr="00443B9C">
        <w:rPr>
          <w:b/>
          <w:shd w:val="clear" w:color="auto" w:fill="FFFFFF"/>
        </w:rPr>
        <w:t>Commissioner</w:t>
      </w:r>
      <w:r w:rsidRPr="00443B9C">
        <w:rPr>
          <w:shd w:val="clear" w:color="auto" w:fill="FFFFFF"/>
        </w:rPr>
        <w:t>).</w:t>
      </w:r>
    </w:p>
    <w:p w14:paraId="031ECC4D" w14:textId="77777777" w:rsidR="00A62326" w:rsidRPr="002309E5" w:rsidRDefault="00A62326" w:rsidP="00443B9C">
      <w:pPr>
        <w:pStyle w:val="Heading1"/>
      </w:pPr>
      <w:r w:rsidRPr="002309E5">
        <w:t>Overview of the amendments</w:t>
      </w:r>
    </w:p>
    <w:p w14:paraId="4F906549" w14:textId="63B175E0" w:rsidR="00A62326" w:rsidRPr="002309E5" w:rsidRDefault="00A62326" w:rsidP="00443B9C">
      <w:pPr>
        <w:rPr>
          <w:i/>
        </w:rPr>
      </w:pPr>
      <w:r>
        <w:t xml:space="preserve">The main purpose of the Amendment Determination is to amend the </w:t>
      </w:r>
      <w:r>
        <w:rPr>
          <w:i/>
        </w:rPr>
        <w:t>Parliamentary Service Determination 2013</w:t>
      </w:r>
      <w:r>
        <w:t xml:space="preserve"> (the </w:t>
      </w:r>
      <w:r>
        <w:rPr>
          <w:b/>
        </w:rPr>
        <w:t>Determination</w:t>
      </w:r>
      <w:r>
        <w:t xml:space="preserve">) to expand the </w:t>
      </w:r>
      <w:r w:rsidRPr="002309E5">
        <w:t xml:space="preserve">functions </w:t>
      </w:r>
      <w:r>
        <w:t xml:space="preserve">conferred </w:t>
      </w:r>
      <w:r w:rsidRPr="002309E5">
        <w:t xml:space="preserve">on the Commissioner for the purposes of </w:t>
      </w:r>
      <w:r>
        <w:t xml:space="preserve">paragraph </w:t>
      </w:r>
      <w:r w:rsidRPr="002309E5">
        <w:t>40(1</w:t>
      </w:r>
      <w:proofErr w:type="gramStart"/>
      <w:r w:rsidRPr="002309E5">
        <w:t>)(</w:t>
      </w:r>
      <w:proofErr w:type="gramEnd"/>
      <w:r w:rsidRPr="002309E5">
        <w:t xml:space="preserve">d) of the Act. </w:t>
      </w:r>
      <w:r>
        <w:t>Paragraph</w:t>
      </w:r>
      <w:r w:rsidRPr="002309E5">
        <w:t xml:space="preserve"> 40(1</w:t>
      </w:r>
      <w:proofErr w:type="gramStart"/>
      <w:r w:rsidRPr="002309E5">
        <w:t>)(</w:t>
      </w:r>
      <w:proofErr w:type="gramEnd"/>
      <w:r w:rsidRPr="002309E5">
        <w:t xml:space="preserve">d) of the Act provides that the Commissioner’s functions include such other functions as are conferred on the Commissioner by the Act, the </w:t>
      </w:r>
      <w:r>
        <w:t>determinations</w:t>
      </w:r>
      <w:r w:rsidRPr="002309E5">
        <w:t xml:space="preserve"> or any other law. </w:t>
      </w:r>
    </w:p>
    <w:p w14:paraId="718A8E04" w14:textId="034FC333" w:rsidR="00A62326" w:rsidRPr="002309E5" w:rsidRDefault="00A62326" w:rsidP="00443B9C">
      <w:r w:rsidRPr="002309E5">
        <w:t xml:space="preserve">The Amendment Determination </w:t>
      </w:r>
      <w:r>
        <w:t>expands</w:t>
      </w:r>
      <w:r w:rsidRPr="002309E5">
        <w:t xml:space="preserve"> the functions conferred on the Commissioner to give effect to an independent parliamentary workplace complaints mechanism (the </w:t>
      </w:r>
      <w:r>
        <w:rPr>
          <w:b/>
        </w:rPr>
        <w:t>mechanism</w:t>
      </w:r>
      <w:r>
        <w:t xml:space="preserve">) for staff employed under the </w:t>
      </w:r>
      <w:r>
        <w:rPr>
          <w:i/>
        </w:rPr>
        <w:t xml:space="preserve">Members of Parliament (Staff) </w:t>
      </w:r>
      <w:r w:rsidRPr="002309E5">
        <w:rPr>
          <w:i/>
        </w:rPr>
        <w:t>Act 1984</w:t>
      </w:r>
      <w:r w:rsidRPr="002309E5">
        <w:t xml:space="preserve"> (</w:t>
      </w:r>
      <w:r w:rsidRPr="00AC1F66">
        <w:t>the</w:t>
      </w:r>
      <w:r>
        <w:rPr>
          <w:b/>
        </w:rPr>
        <w:t xml:space="preserve"> </w:t>
      </w:r>
      <w:r w:rsidRPr="002309E5">
        <w:rPr>
          <w:b/>
        </w:rPr>
        <w:t>MOP(S) Act</w:t>
      </w:r>
      <w:r w:rsidRPr="002309E5">
        <w:t xml:space="preserve">) and parliamentarians. </w:t>
      </w:r>
      <w:r>
        <w:t>The functions conferred on the Commissioner by section 112B of the Determination includ</w:t>
      </w:r>
      <w:r w:rsidR="00867333">
        <w:t>e</w:t>
      </w:r>
      <w:r>
        <w:t xml:space="preserve"> the functions</w:t>
      </w:r>
      <w:r w:rsidRPr="002309E5">
        <w:t xml:space="preserve"> to:</w:t>
      </w:r>
    </w:p>
    <w:p w14:paraId="6B7720E4" w14:textId="054FE6F8" w:rsidR="00A62326" w:rsidRPr="002309E5" w:rsidRDefault="00A62326" w:rsidP="00443B9C">
      <w:pPr>
        <w:pStyle w:val="ListParagraph"/>
      </w:pPr>
      <w:r w:rsidRPr="002309E5">
        <w:t xml:space="preserve">establish and maintain a mechanism able to </w:t>
      </w:r>
      <w:r>
        <w:t>review</w:t>
      </w:r>
      <w:r w:rsidRPr="00BC6D1B">
        <w:t xml:space="preserve"> and make recommendations</w:t>
      </w:r>
      <w:r>
        <w:t xml:space="preserve"> in relation to complaints about serious incidents involving MOP(S) Act employees and parliamentarians in the course of their work (the </w:t>
      </w:r>
      <w:r w:rsidRPr="00AC1F66">
        <w:rPr>
          <w:b/>
        </w:rPr>
        <w:t>workplace review function</w:t>
      </w:r>
      <w:r>
        <w:t>);</w:t>
      </w:r>
    </w:p>
    <w:p w14:paraId="5435CB54" w14:textId="24C11245" w:rsidR="00A62326" w:rsidRPr="002309E5" w:rsidRDefault="00A62326" w:rsidP="00443B9C">
      <w:pPr>
        <w:pStyle w:val="ListParagraph"/>
      </w:pPr>
      <w:r>
        <w:t xml:space="preserve">provide </w:t>
      </w:r>
      <w:r w:rsidRPr="00641B30">
        <w:t>trauma-informed support</w:t>
      </w:r>
      <w:r>
        <w:t xml:space="preserve"> services</w:t>
      </w:r>
      <w:r w:rsidRPr="00641B30">
        <w:t>, and early intervention and resolution</w:t>
      </w:r>
      <w:r w:rsidRPr="00641B30" w:rsidDel="00641B30">
        <w:t xml:space="preserve"> </w:t>
      </w:r>
      <w:r>
        <w:t xml:space="preserve">services (the </w:t>
      </w:r>
      <w:r w:rsidRPr="00385230">
        <w:rPr>
          <w:b/>
        </w:rPr>
        <w:t>support services</w:t>
      </w:r>
      <w:r>
        <w:t>)</w:t>
      </w:r>
      <w:r w:rsidRPr="002309E5">
        <w:t xml:space="preserve"> to MOP(S) Act employees and parliamentarians in relation to serious incidents and other work health and safety-related matters that occur in the course of </w:t>
      </w:r>
      <w:r>
        <w:t>those persons</w:t>
      </w:r>
      <w:r w:rsidRPr="002309E5">
        <w:t xml:space="preserve"> performing their duties as </w:t>
      </w:r>
      <w:r>
        <w:t>MOP(S)</w:t>
      </w:r>
      <w:r w:rsidRPr="002309E5">
        <w:t xml:space="preserve"> Act employees or parliamentarians;</w:t>
      </w:r>
      <w:r>
        <w:t xml:space="preserve"> and</w:t>
      </w:r>
    </w:p>
    <w:p w14:paraId="2EC64323" w14:textId="1DE6961E" w:rsidR="00A62326" w:rsidRPr="002309E5" w:rsidRDefault="00A62326" w:rsidP="00443B9C">
      <w:pPr>
        <w:pStyle w:val="ListParagraph"/>
      </w:pPr>
      <w:proofErr w:type="gramStart"/>
      <w:r>
        <w:t>provide</w:t>
      </w:r>
      <w:proofErr w:type="gramEnd"/>
      <w:r>
        <w:t xml:space="preserve"> </w:t>
      </w:r>
      <w:r w:rsidRPr="00995F4B">
        <w:t>education</w:t>
      </w:r>
      <w:r>
        <w:t xml:space="preserve"> and information in relation to the mechanism, serious incidents and other matters related to </w:t>
      </w:r>
      <w:r w:rsidRPr="002309E5">
        <w:t>work health and safety.</w:t>
      </w:r>
    </w:p>
    <w:p w14:paraId="070A6598" w14:textId="77777777" w:rsidR="00A62326" w:rsidRDefault="00A62326" w:rsidP="00A62326">
      <w:r>
        <w:t xml:space="preserve">The mechanism is operated under the name of the Parliamentary Workplace Support Service (the </w:t>
      </w:r>
      <w:r w:rsidRPr="00AC1F66">
        <w:rPr>
          <w:b/>
        </w:rPr>
        <w:t>PWSS</w:t>
      </w:r>
      <w:r>
        <w:t xml:space="preserve">). </w:t>
      </w:r>
    </w:p>
    <w:p w14:paraId="34E81D76" w14:textId="2607D303" w:rsidR="00A62326" w:rsidRDefault="00A62326" w:rsidP="00A62326">
      <w:r w:rsidRPr="002309E5">
        <w:t xml:space="preserve">The Amendment Determination </w:t>
      </w:r>
      <w:r>
        <w:t>expands the PWSS by:</w:t>
      </w:r>
    </w:p>
    <w:p w14:paraId="47BEF5E8" w14:textId="548EF662" w:rsidR="00A62326" w:rsidRPr="002309E5" w:rsidRDefault="00A62326" w:rsidP="00443B9C">
      <w:pPr>
        <w:pStyle w:val="ListParagraph"/>
      </w:pPr>
      <w:r>
        <w:t>permitting the PWSS to provide</w:t>
      </w:r>
      <w:r w:rsidRPr="002309E5">
        <w:t xml:space="preserve"> support </w:t>
      </w:r>
      <w:r>
        <w:t xml:space="preserve">services </w:t>
      </w:r>
      <w:r w:rsidRPr="002309E5">
        <w:t xml:space="preserve">and </w:t>
      </w:r>
      <w:r>
        <w:t xml:space="preserve">education to all Commonwealth parliamentary workplace participants in relation </w:t>
      </w:r>
      <w:r w:rsidR="00E03BC4">
        <w:t>a range of matters</w:t>
      </w:r>
      <w:r>
        <w:t xml:space="preserve"> connected with their duties;</w:t>
      </w:r>
      <w:r w:rsidR="00E40093">
        <w:t xml:space="preserve"> and</w:t>
      </w:r>
    </w:p>
    <w:p w14:paraId="29EB9F8E" w14:textId="469F3E44" w:rsidR="00A62326" w:rsidRPr="002548CE" w:rsidRDefault="00A62326" w:rsidP="00A62326">
      <w:pPr>
        <w:pStyle w:val="ListParagraph"/>
      </w:pPr>
      <w:proofErr w:type="gramStart"/>
      <w:r>
        <w:t>permitting</w:t>
      </w:r>
      <w:proofErr w:type="gramEnd"/>
      <w:r>
        <w:t xml:space="preserve"> historical complaints to be reviewed as part of the workplace review function.</w:t>
      </w:r>
    </w:p>
    <w:p w14:paraId="4F54C0E9" w14:textId="74899C84" w:rsidR="00A62326" w:rsidRDefault="00A62326" w:rsidP="00A62326">
      <w:r>
        <w:t>The PWSS has also been expanded through the creation of</w:t>
      </w:r>
      <w:r w:rsidRPr="00CD3FC2">
        <w:t xml:space="preserve"> a clear pathway for the PWSS to receive anonymous complaints, includ</w:t>
      </w:r>
      <w:r>
        <w:t>ing through a digital platform.</w:t>
      </w:r>
    </w:p>
    <w:p w14:paraId="2493BE51" w14:textId="17ADA5C4" w:rsidR="00FC4951" w:rsidRDefault="00FC4951" w:rsidP="00A62326">
      <w:r w:rsidRPr="002C72F3">
        <w:lastRenderedPageBreak/>
        <w:t>The Amendment Determ</w:t>
      </w:r>
      <w:r w:rsidR="00443B9C">
        <w:t xml:space="preserve">ination also clarifies that the </w:t>
      </w:r>
      <w:r w:rsidRPr="002C72F3">
        <w:t>PWSS</w:t>
      </w:r>
      <w:r w:rsidR="00443B9C">
        <w:t xml:space="preserve"> can</w:t>
      </w:r>
      <w:r w:rsidRPr="002C72F3">
        <w:t xml:space="preserve"> handle all allegations of sexual assault</w:t>
      </w:r>
      <w:r w:rsidR="00595AD9">
        <w:t>, assault, sexual harassment, harassment</w:t>
      </w:r>
      <w:r w:rsidR="00F90F71">
        <w:t xml:space="preserve">, bullying at work (within the meaning of the </w:t>
      </w:r>
      <w:r w:rsidR="00F90F71">
        <w:rPr>
          <w:i/>
        </w:rPr>
        <w:t xml:space="preserve">Fair Work Act 2009) </w:t>
      </w:r>
      <w:r w:rsidR="00F90F71">
        <w:t>or an instance of a person behaving unreasonably towards another person in a way that creates a risk to work health or safety. This clarification is</w:t>
      </w:r>
      <w:r w:rsidR="00203F6B" w:rsidRPr="002C72F3">
        <w:t xml:space="preserve"> to</w:t>
      </w:r>
      <w:r w:rsidRPr="002C72F3">
        <w:t xml:space="preserve"> </w:t>
      </w:r>
      <w:r w:rsidR="00203F6B" w:rsidRPr="002309E5">
        <w:t>ensure potential complainants are not dissuaded from making a complaint if they are unsure of whether the conduct is of a serious nature</w:t>
      </w:r>
      <w:r w:rsidR="00203F6B" w:rsidRPr="002C72F3">
        <w:t>.</w:t>
      </w:r>
    </w:p>
    <w:p w14:paraId="01797893" w14:textId="3EBE4617" w:rsidR="00A62326" w:rsidRDefault="00A62326" w:rsidP="00443B9C">
      <w:r w:rsidRPr="002309E5">
        <w:t xml:space="preserve">Further detail about the Amendment Determination is provided at </w:t>
      </w:r>
      <w:r w:rsidRPr="002309E5">
        <w:rPr>
          <w:u w:val="single"/>
        </w:rPr>
        <w:t>Attachment A</w:t>
      </w:r>
      <w:r w:rsidRPr="002309E5">
        <w:t xml:space="preserve"> to this explanatory statement.</w:t>
      </w:r>
    </w:p>
    <w:p w14:paraId="2C134F48" w14:textId="77777777" w:rsidR="00A62326" w:rsidRPr="00443B9C" w:rsidRDefault="00A62326" w:rsidP="00443B9C">
      <w:pPr>
        <w:pStyle w:val="Heading1"/>
        <w:rPr>
          <w:b w:val="0"/>
        </w:rPr>
      </w:pPr>
      <w:r w:rsidRPr="00F90F71">
        <w:t>Reasons</w:t>
      </w:r>
    </w:p>
    <w:p w14:paraId="7BD5599E" w14:textId="07EDB237" w:rsidR="00A62326" w:rsidRPr="002309E5" w:rsidRDefault="00A62326" w:rsidP="00A62326">
      <w:r w:rsidRPr="00467293">
        <w:t>The Amendment Determination is made</w:t>
      </w:r>
      <w:r w:rsidRPr="002309E5">
        <w:t xml:space="preserve"> in </w:t>
      </w:r>
      <w:r w:rsidRPr="00467293">
        <w:t xml:space="preserve">response to Recommendation 20 of the </w:t>
      </w:r>
      <w:r w:rsidRPr="00467293">
        <w:rPr>
          <w:i/>
        </w:rPr>
        <w:t xml:space="preserve">Report on the Independent Review into Commonwealth Parliamentary Workplaces </w:t>
      </w:r>
      <w:r w:rsidRPr="00467293">
        <w:t xml:space="preserve">conducted by </w:t>
      </w:r>
      <w:r w:rsidRPr="002309E5">
        <w:t>the Sex Discrimination Commissioner</w:t>
      </w:r>
      <w:r w:rsidRPr="00467293">
        <w:t>,</w:t>
      </w:r>
      <w:r w:rsidRPr="002309E5">
        <w:t xml:space="preserve"> Kate Jenkins </w:t>
      </w:r>
      <w:r>
        <w:t xml:space="preserve">(the </w:t>
      </w:r>
      <w:r>
        <w:rPr>
          <w:b/>
        </w:rPr>
        <w:t xml:space="preserve">Set the Standard </w:t>
      </w:r>
      <w:r w:rsidRPr="00AC1F66">
        <w:rPr>
          <w:b/>
        </w:rPr>
        <w:t>Report</w:t>
      </w:r>
      <w:r>
        <w:t>)</w:t>
      </w:r>
      <w:r w:rsidRPr="00467293">
        <w:t>.</w:t>
      </w:r>
      <w:r>
        <w:t xml:space="preserve"> Recommendation 20 has five elements:</w:t>
      </w:r>
    </w:p>
    <w:p w14:paraId="42DBED49" w14:textId="71392027" w:rsidR="00A62326" w:rsidRPr="00661480" w:rsidRDefault="00A62326" w:rsidP="00A62326">
      <w:pPr>
        <w:pStyle w:val="ListParagraph"/>
      </w:pPr>
      <w:r w:rsidRPr="00661480">
        <w:t xml:space="preserve">make </w:t>
      </w:r>
      <w:r>
        <w:t>[the PWSS]</w:t>
      </w:r>
      <w:r w:rsidRPr="00661480">
        <w:t xml:space="preserve"> available to all Commonwealth parliamentary workplace participants</w:t>
      </w:r>
      <w:r>
        <w:t>;</w:t>
      </w:r>
    </w:p>
    <w:p w14:paraId="0A2AD487" w14:textId="77777777" w:rsidR="00A62326" w:rsidRPr="00661480" w:rsidRDefault="00A62326" w:rsidP="00A62326">
      <w:pPr>
        <w:pStyle w:val="ListParagraph"/>
      </w:pPr>
      <w:r w:rsidRPr="00661480">
        <w:t>include all allegations of bullying, sexual harassment and sexual assault</w:t>
      </w:r>
      <w:r>
        <w:t>;</w:t>
      </w:r>
    </w:p>
    <w:p w14:paraId="2827EBB4" w14:textId="77777777" w:rsidR="00A62326" w:rsidRPr="00661480" w:rsidRDefault="00A62326" w:rsidP="00A62326">
      <w:pPr>
        <w:pStyle w:val="ListParagraph"/>
      </w:pPr>
      <w:r w:rsidRPr="00661480">
        <w:t>establish a clear pathway for anonymous reporting, including through a digital platform</w:t>
      </w:r>
      <w:r>
        <w:t>;</w:t>
      </w:r>
    </w:p>
    <w:p w14:paraId="1E8A15C2" w14:textId="77777777" w:rsidR="00A62326" w:rsidRPr="00661480" w:rsidRDefault="00A62326" w:rsidP="00A62326">
      <w:pPr>
        <w:pStyle w:val="ListParagraph"/>
      </w:pPr>
      <w:r w:rsidRPr="00661480">
        <w:t>publish additional information on what happens with anonymous and bystander disclosures</w:t>
      </w:r>
      <w:r>
        <w:t>; and</w:t>
      </w:r>
    </w:p>
    <w:p w14:paraId="32718440" w14:textId="77777777" w:rsidR="00A62326" w:rsidRDefault="00A62326" w:rsidP="00A62326">
      <w:pPr>
        <w:pStyle w:val="ListParagraph"/>
      </w:pPr>
      <w:proofErr w:type="gramStart"/>
      <w:r w:rsidRPr="00661480">
        <w:t>include</w:t>
      </w:r>
      <w:proofErr w:type="gramEnd"/>
      <w:r w:rsidRPr="00661480">
        <w:t xml:space="preserve"> </w:t>
      </w:r>
      <w:r>
        <w:t>[historical]</w:t>
      </w:r>
      <w:r w:rsidRPr="00661480">
        <w:t xml:space="preserve"> complaints of bullying, sexual harassment and sexual assault and those relating to people</w:t>
      </w:r>
      <w:r>
        <w:t xml:space="preserve"> who have left the workplace.</w:t>
      </w:r>
    </w:p>
    <w:p w14:paraId="47EB5DBF" w14:textId="6A0D79E6" w:rsidR="00A62326" w:rsidRDefault="00A62326" w:rsidP="00A62326">
      <w:r>
        <w:t xml:space="preserve">The Amendment Determination and other actions taken address each of these recommendations. </w:t>
      </w:r>
    </w:p>
    <w:p w14:paraId="2B7841B4" w14:textId="05662446" w:rsidR="00A62326" w:rsidRDefault="00A62326" w:rsidP="00A62326">
      <w:r>
        <w:t xml:space="preserve">The Amendment Determination does not expand the scope of the workplace review function to include complaints concerning the conduct of, or </w:t>
      </w:r>
      <w:r w:rsidRPr="002309E5">
        <w:t xml:space="preserve">complaints </w:t>
      </w:r>
      <w:r>
        <w:t>made by, persons other than</w:t>
      </w:r>
      <w:r w:rsidR="00743B66">
        <w:t>,</w:t>
      </w:r>
      <w:r w:rsidRPr="002309E5">
        <w:t xml:space="preserve"> </w:t>
      </w:r>
      <w:r w:rsidR="000D5C9B">
        <w:t>current or former</w:t>
      </w:r>
      <w:r w:rsidR="00743B66">
        <w:t>,</w:t>
      </w:r>
      <w:r w:rsidR="000D5C9B">
        <w:t xml:space="preserve"> </w:t>
      </w:r>
      <w:r w:rsidRPr="002309E5">
        <w:t xml:space="preserve">parliamentarians </w:t>
      </w:r>
      <w:r>
        <w:t>or</w:t>
      </w:r>
      <w:r w:rsidRPr="002309E5">
        <w:t xml:space="preserve"> MOP(S) Act employees</w:t>
      </w:r>
      <w:r>
        <w:t>. This approach reflects the need to maintain the PWSS’s high quality of service provision and to allow sufficient time to build the necessary</w:t>
      </w:r>
      <w:r w:rsidRPr="002309E5">
        <w:t xml:space="preserve"> arrangements </w:t>
      </w:r>
      <w:r>
        <w:t xml:space="preserve">with other workplaces in the parliamentary environment that have existing processes to manage workplace complaints, in order to avoid fragmentation and duplication for PWSS clients. </w:t>
      </w:r>
    </w:p>
    <w:p w14:paraId="3F7D5DA6" w14:textId="3EE08750" w:rsidR="00A62326" w:rsidRDefault="00A62326" w:rsidP="00A62326">
      <w:pPr>
        <w:rPr>
          <w:rFonts w:cs="Times New Roman"/>
        </w:rPr>
      </w:pPr>
      <w:r>
        <w:t>Other Commonwealth</w:t>
      </w:r>
      <w:r w:rsidRPr="002309E5">
        <w:t xml:space="preserve"> parliamentary </w:t>
      </w:r>
      <w:r>
        <w:t>workplaces participants can continue to access existing arrangements in their workplaces, as well as the expanded support services provided by the PWSS. This could include therapeutic supports and early intervention, and, on a voluntary basis, the PWSS facilitating the informal resolution (</w:t>
      </w:r>
      <w:proofErr w:type="spellStart"/>
      <w:r>
        <w:t>eg</w:t>
      </w:r>
      <w:proofErr w:type="spellEnd"/>
      <w:r>
        <w:t xml:space="preserve"> by assisting a client to raise an issue directly in the </w:t>
      </w:r>
      <w:r w:rsidRPr="002309E5">
        <w:t>workplace</w:t>
      </w:r>
      <w:r>
        <w:t>, facilitating informal discussion or conducting mediation).</w:t>
      </w:r>
    </w:p>
    <w:p w14:paraId="477E792E" w14:textId="1E6FE48F" w:rsidR="00A62326" w:rsidRDefault="00A62326" w:rsidP="00A62326">
      <w:pPr>
        <w:rPr>
          <w:rFonts w:cs="Times New Roman"/>
        </w:rPr>
      </w:pPr>
      <w:r>
        <w:rPr>
          <w:rFonts w:cs="Times New Roman"/>
        </w:rPr>
        <w:t xml:space="preserve">This approach recognises that the functions of the PWSS are not only to review </w:t>
      </w:r>
      <w:r w:rsidRPr="002309E5">
        <w:t xml:space="preserve">and </w:t>
      </w:r>
      <w:r>
        <w:rPr>
          <w:rFonts w:cs="Times New Roman"/>
        </w:rPr>
        <w:t>remedy individual incidents but to provide individuals with support, direct them to appropriate avenues for a remedy where available, and actively promote a safe and respectful parliamentary</w:t>
      </w:r>
      <w:r w:rsidRPr="002309E5">
        <w:t xml:space="preserve"> workplace</w:t>
      </w:r>
      <w:r>
        <w:rPr>
          <w:rFonts w:cs="Times New Roman"/>
        </w:rPr>
        <w:t xml:space="preserve">, particularly where a work health and safety risk has been identified. Where an issue can be more appropriately addressed by another body or service, the PWSS will support individuals to access that body or service. It is envisaged that the PWSS will enter into arrangements with appropriate bodies to facilitate the effective referral and resolution of such issues. </w:t>
      </w:r>
    </w:p>
    <w:p w14:paraId="59FBA550" w14:textId="7F28393C" w:rsidR="00A62326" w:rsidRDefault="00A62326" w:rsidP="00A62326">
      <w:r>
        <w:t>It is envisaged t</w:t>
      </w:r>
      <w:r w:rsidRPr="00803946">
        <w:t xml:space="preserve">he PWSS will continue to operate in </w:t>
      </w:r>
      <w:r>
        <w:t>this</w:t>
      </w:r>
      <w:r w:rsidRPr="00803946">
        <w:t xml:space="preserve"> capacity until the </w:t>
      </w:r>
      <w:r w:rsidR="000E0947" w:rsidRPr="00803946">
        <w:t xml:space="preserve">proposed </w:t>
      </w:r>
      <w:r w:rsidRPr="00803946">
        <w:t>establishment of the Independent Parl</w:t>
      </w:r>
      <w:r>
        <w:t xml:space="preserve">iamentary Standards Commission (see Recommendation 22 of the Set the Standard Report), which the Report proposed would incorporate the PWSS. </w:t>
      </w:r>
    </w:p>
    <w:p w14:paraId="2601D278" w14:textId="472B245E" w:rsidR="00A62326" w:rsidRDefault="00A62326" w:rsidP="00A62326">
      <w:r w:rsidRPr="00443B9C">
        <w:t>The scope of conduct the PWSS may review include</w:t>
      </w:r>
      <w:r w:rsidR="00E40093" w:rsidRPr="00443B9C">
        <w:t>s</w:t>
      </w:r>
      <w:r w:rsidRPr="00443B9C">
        <w:t xml:space="preserve"> all </w:t>
      </w:r>
      <w:r w:rsidR="005D6D81" w:rsidRPr="00443B9C">
        <w:t>serious incidents or misconduct</w:t>
      </w:r>
      <w:r w:rsidR="005547B4">
        <w:t xml:space="preserve"> involving MOP(S) Act employees and parliamentarians</w:t>
      </w:r>
      <w:r w:rsidR="00EA1EE8">
        <w:t xml:space="preserve"> </w:t>
      </w:r>
      <w:r w:rsidR="005D6D81">
        <w:t xml:space="preserve">- </w:t>
      </w:r>
      <w:r w:rsidR="00EA1EE8">
        <w:t xml:space="preserve">that is, </w:t>
      </w:r>
      <w:r w:rsidR="00EA1EE8" w:rsidRPr="00443B9C">
        <w:t>all</w:t>
      </w:r>
      <w:r w:rsidRPr="00443B9C">
        <w:t xml:space="preserve"> alleged incidents of bullying</w:t>
      </w:r>
      <w:r w:rsidR="00F90F71" w:rsidRPr="00443B9C">
        <w:t xml:space="preserve"> (within the meaning of the </w:t>
      </w:r>
      <w:r w:rsidR="00F90F71" w:rsidRPr="00443B9C">
        <w:rPr>
          <w:i/>
        </w:rPr>
        <w:t>Fair Work Act 2009)</w:t>
      </w:r>
      <w:r w:rsidRPr="00443B9C">
        <w:t>, assault, sexual assault, harassment and sexual harassment, and other unreasonable behaviour and conduct</w:t>
      </w:r>
      <w:r w:rsidR="00E40093" w:rsidRPr="00443B9C">
        <w:t xml:space="preserve"> that creates a risk to work health and safety</w:t>
      </w:r>
      <w:r w:rsidRPr="00443B9C">
        <w:t>.</w:t>
      </w:r>
      <w:r w:rsidR="00650B26" w:rsidRPr="00443B9C">
        <w:t xml:space="preserve"> Expanding the </w:t>
      </w:r>
      <w:r w:rsidR="00650B26" w:rsidRPr="00443B9C">
        <w:lastRenderedPageBreak/>
        <w:t xml:space="preserve">term </w:t>
      </w:r>
      <w:r w:rsidR="00650B26" w:rsidRPr="00443B9C">
        <w:rPr>
          <w:i/>
        </w:rPr>
        <w:t>serious incidents</w:t>
      </w:r>
      <w:r w:rsidR="00650B26" w:rsidRPr="00443B9C">
        <w:t xml:space="preserve"> to </w:t>
      </w:r>
      <w:r w:rsidR="00650B26" w:rsidRPr="00443B9C">
        <w:rPr>
          <w:i/>
        </w:rPr>
        <w:t>serious incidents or misconduct</w:t>
      </w:r>
      <w:r w:rsidR="00650B26" w:rsidRPr="00443B9C">
        <w:t xml:space="preserve"> ensures potential complainants are not dissuaded from making a complaint if they are unsure of whether the conduct is of a serious nature.</w:t>
      </w:r>
    </w:p>
    <w:p w14:paraId="60DA80C9" w14:textId="7D691452" w:rsidR="00274846" w:rsidRDefault="00274846" w:rsidP="00274846">
      <w:r w:rsidRPr="008B21EF">
        <w:t xml:space="preserve">The </w:t>
      </w:r>
      <w:r>
        <w:t>PWSS</w:t>
      </w:r>
      <w:r w:rsidRPr="008B21EF">
        <w:t xml:space="preserve"> </w:t>
      </w:r>
      <w:r>
        <w:t>has</w:t>
      </w:r>
      <w:r w:rsidRPr="008B21EF">
        <w:t xml:space="preserve"> appropriate </w:t>
      </w:r>
      <w:r>
        <w:t xml:space="preserve">support and referral </w:t>
      </w:r>
      <w:r w:rsidRPr="008B21EF">
        <w:t>procedures in place where the conduct alleged is criminal (</w:t>
      </w:r>
      <w:proofErr w:type="spellStart"/>
      <w:r>
        <w:t>eg</w:t>
      </w:r>
      <w:proofErr w:type="spellEnd"/>
      <w:r w:rsidRPr="008B21EF">
        <w:t xml:space="preserve"> sexual assault and assault).</w:t>
      </w:r>
      <w:r>
        <w:t xml:space="preserve"> </w:t>
      </w:r>
      <w:r w:rsidR="00200A87" w:rsidRPr="002D4434">
        <w:t xml:space="preserve">The </w:t>
      </w:r>
      <w:r w:rsidR="00200A87">
        <w:t>PWSS</w:t>
      </w:r>
      <w:r w:rsidR="00200A87" w:rsidRPr="002D4434">
        <w:t xml:space="preserve"> </w:t>
      </w:r>
      <w:r w:rsidR="00200A87">
        <w:t>will</w:t>
      </w:r>
      <w:r w:rsidR="00200A87" w:rsidRPr="002D4434">
        <w:t xml:space="preserve"> not </w:t>
      </w:r>
      <w:r w:rsidR="00200A87">
        <w:t xml:space="preserve">formally </w:t>
      </w:r>
      <w:r w:rsidR="00200A87" w:rsidRPr="002D4434">
        <w:t xml:space="preserve">review criminal allegations; where a workplace review has commenced but it becomes clear that the allegation is criminal in </w:t>
      </w:r>
      <w:r w:rsidR="00200A87" w:rsidRPr="00116FFF">
        <w:t xml:space="preserve">nature, the workplace review into that activity may need to cease so as not to interfere with the operation of the criminal justice system. It may be appropriate to consider a workplace review where the conduct is clearly a workplace matter with strong connections to employment. Such a review would not be an investigation into the criminal allegation and no findings would be made that a person has engaged in criminal conduct. </w:t>
      </w:r>
      <w:r w:rsidR="00200A87" w:rsidRPr="00116FFF">
        <w:rPr>
          <w:rFonts w:cs="Times New Roman"/>
        </w:rPr>
        <w:t>The power to make such findings is to be reserved to the courts.</w:t>
      </w:r>
      <w:r w:rsidR="00200A87">
        <w:rPr>
          <w:rFonts w:cs="Times New Roman"/>
        </w:rPr>
        <w:t xml:space="preserve"> </w:t>
      </w:r>
      <w:r w:rsidR="00200A87">
        <w:t>The review</w:t>
      </w:r>
      <w:r w:rsidR="00200A87" w:rsidRPr="002D4434">
        <w:t xml:space="preserve"> would consider whether the person has breached a workpl</w:t>
      </w:r>
      <w:r w:rsidR="00200A87" w:rsidRPr="00CE4778">
        <w:t xml:space="preserve">ace policy or the outline of the current duties and responsibilities of parliamentarians and their staff employed under the </w:t>
      </w:r>
      <w:r w:rsidR="00200A87">
        <w:t>MOPS</w:t>
      </w:r>
      <w:r w:rsidR="00200A87" w:rsidRPr="00D61466">
        <w:t xml:space="preserve"> Act</w:t>
      </w:r>
      <w:r w:rsidR="00200A87" w:rsidRPr="008B21EF">
        <w:t xml:space="preserve"> set out by the Minister</w:t>
      </w:r>
      <w:r w:rsidR="00200A87">
        <w:t xml:space="preserve"> for Finance</w:t>
      </w:r>
      <w:r w:rsidR="00200A87" w:rsidRPr="008B21EF">
        <w:t xml:space="preserve"> and communicated to </w:t>
      </w:r>
      <w:r w:rsidR="00200A87">
        <w:t>MOPS</w:t>
      </w:r>
      <w:r w:rsidR="00200A87" w:rsidRPr="008B21EF">
        <w:t xml:space="preserve"> </w:t>
      </w:r>
      <w:r w:rsidR="00200A87">
        <w:t>staff members</w:t>
      </w:r>
      <w:r w:rsidR="00200A87" w:rsidRPr="008B21EF">
        <w:t xml:space="preserve"> and parliamentarians</w:t>
      </w:r>
      <w:r w:rsidR="00200A87" w:rsidRPr="002D4434">
        <w:t xml:space="preserve">, and what action is necessary to protect the safety of other </w:t>
      </w:r>
      <w:r w:rsidR="00200A87">
        <w:t>employees</w:t>
      </w:r>
      <w:r w:rsidR="00200A87" w:rsidRPr="002D4434">
        <w:t>.</w:t>
      </w:r>
    </w:p>
    <w:p w14:paraId="448738DE" w14:textId="776C93EE" w:rsidR="00965096" w:rsidRDefault="00A62326" w:rsidP="00A62326">
      <w:r>
        <w:t>The PWSS will be able</w:t>
      </w:r>
      <w:r w:rsidR="000D54EA">
        <w:t xml:space="preserve"> </w:t>
      </w:r>
      <w:r>
        <w:t>to review complaints made by former</w:t>
      </w:r>
      <w:r w:rsidRPr="002309E5">
        <w:t xml:space="preserve"> parliamentarians</w:t>
      </w:r>
      <w:r>
        <w:t xml:space="preserve">, </w:t>
      </w:r>
      <w:r w:rsidR="005D6D81">
        <w:t xml:space="preserve">and </w:t>
      </w:r>
      <w:r>
        <w:t xml:space="preserve">complaints concerning former parliamentarians and </w:t>
      </w:r>
      <w:r w:rsidRPr="002309E5">
        <w:t xml:space="preserve">MOP(S) Act employees, </w:t>
      </w:r>
      <w:r w:rsidR="005D6D81">
        <w:t>irrespective of the time the conduct occurred (</w:t>
      </w:r>
      <w:proofErr w:type="spellStart"/>
      <w:r>
        <w:t>ie</w:t>
      </w:r>
      <w:proofErr w:type="spellEnd"/>
      <w:r>
        <w:t xml:space="preserve"> complaints concerning conduct that occurred prior to 18 May 2019</w:t>
      </w:r>
      <w:r w:rsidR="005D6D81">
        <w:t xml:space="preserve"> may be reviewed</w:t>
      </w:r>
      <w:r>
        <w:t xml:space="preserve">). </w:t>
      </w:r>
      <w:r w:rsidR="00965096">
        <w:t>The PWSS will assess whether a complaint warrants a formal review and, where it does so, to conduct a review, and make findings and recommendations in relation to the relevant conduct</w:t>
      </w:r>
      <w:r w:rsidR="008C5851">
        <w:t>.</w:t>
      </w:r>
    </w:p>
    <w:p w14:paraId="21A8E76F" w14:textId="488085E8" w:rsidR="008C5851" w:rsidRPr="00276F11" w:rsidRDefault="008C5851" w:rsidP="00A62326">
      <w:pPr>
        <w:rPr>
          <w:rFonts w:cs="Times New Roman"/>
        </w:rPr>
      </w:pPr>
      <w:r>
        <w:rPr>
          <w:rFonts w:cs="Times New Roman"/>
        </w:rPr>
        <w:t xml:space="preserve">A review will not be conducted of a complaint made by a person who was not a parliamentarian or MOP(S) Act employee at the time the serious incident or misconduct occurred. This reflects the fact that the review function is only available in relation to conduct that involves parliamentarians and MOP(S) Act employees. Other Commonwealth parliamentary workplace participants may access support services where appropriate. </w:t>
      </w:r>
    </w:p>
    <w:p w14:paraId="52D8DF5D" w14:textId="1BCECFA7" w:rsidR="00EA1EE8" w:rsidRPr="00AC1F66" w:rsidRDefault="005547B4" w:rsidP="00EA1EE8">
      <w:pPr>
        <w:rPr>
          <w:rFonts w:cs="Times New Roman"/>
        </w:rPr>
      </w:pPr>
      <w:r>
        <w:rPr>
          <w:rFonts w:cs="Times New Roman"/>
        </w:rPr>
        <w:t>Reports</w:t>
      </w:r>
      <w:r w:rsidR="00EA1EE8">
        <w:rPr>
          <w:rFonts w:cs="Times New Roman"/>
        </w:rPr>
        <w:t xml:space="preserve"> may be made to the PWSS anonymously, including through the PWSS website, and may be made by either the person affected by conduct or another person (</w:t>
      </w:r>
      <w:proofErr w:type="spellStart"/>
      <w:r w:rsidR="00EA1EE8">
        <w:rPr>
          <w:rFonts w:cs="Times New Roman"/>
        </w:rPr>
        <w:t>eg</w:t>
      </w:r>
      <w:proofErr w:type="spellEnd"/>
      <w:r w:rsidR="00EA1EE8">
        <w:rPr>
          <w:rFonts w:cs="Times New Roman"/>
        </w:rPr>
        <w:t xml:space="preserve"> a bystander). </w:t>
      </w:r>
      <w:r w:rsidR="00EA1EE8" w:rsidRPr="00803946">
        <w:rPr>
          <w:rFonts w:cs="Times New Roman"/>
        </w:rPr>
        <w:t>The information collected in anonymous reports will be reviewed by a case coordinator and treated seriously and confidentially. The level of information supplied in an anonymous report will impact what action will be taken.</w:t>
      </w:r>
    </w:p>
    <w:p w14:paraId="64FDC5CE" w14:textId="77777777" w:rsidR="00EA1EE8" w:rsidRDefault="00EA1EE8" w:rsidP="00EA1EE8">
      <w:pPr>
        <w:rPr>
          <w:rFonts w:cs="Times New Roman"/>
        </w:rPr>
      </w:pPr>
      <w:r>
        <w:rPr>
          <w:rFonts w:cs="Times New Roman"/>
        </w:rPr>
        <w:t xml:space="preserve">PWSS may conduct a preliminary assessment of complaints it receives. The PWSS may then decide that a complaint warrants a formal review. </w:t>
      </w:r>
      <w:r w:rsidRPr="008362A7">
        <w:rPr>
          <w:rFonts w:cs="Times New Roman"/>
        </w:rPr>
        <w:t>The PWSS may also decide that a formal review is not warranted</w:t>
      </w:r>
      <w:r>
        <w:rPr>
          <w:rFonts w:cs="Times New Roman"/>
        </w:rPr>
        <w:t>,</w:t>
      </w:r>
      <w:r w:rsidRPr="008362A7">
        <w:rPr>
          <w:rFonts w:cs="Times New Roman"/>
        </w:rPr>
        <w:t xml:space="preserve"> or it is otherwise impractical or u</w:t>
      </w:r>
      <w:r>
        <w:rPr>
          <w:rFonts w:cs="Times New Roman"/>
        </w:rPr>
        <w:t>ndesirable in the circumstances.</w:t>
      </w:r>
    </w:p>
    <w:p w14:paraId="62F15ED4" w14:textId="7339E796" w:rsidR="00A62326" w:rsidRDefault="00A62326" w:rsidP="00A62326">
      <w:r>
        <w:t>The review</w:t>
      </w:r>
      <w:r w:rsidRPr="002D4434">
        <w:t xml:space="preserve"> would consider whether the person has breached a workpl</w:t>
      </w:r>
      <w:r w:rsidRPr="00CE4778">
        <w:t>ace policy or</w:t>
      </w:r>
      <w:r w:rsidRPr="002309E5">
        <w:t xml:space="preserve"> the outline of the current duties and responsibilities of parliamentarians and their staff employe</w:t>
      </w:r>
      <w:r w:rsidRPr="00CE4778">
        <w:t xml:space="preserve">d under the </w:t>
      </w:r>
      <w:r w:rsidRPr="002309E5">
        <w:t xml:space="preserve">MOP(S) Act set out by the Minister for Finance and communicated to </w:t>
      </w:r>
      <w:r>
        <w:t>MOP(S)</w:t>
      </w:r>
      <w:r w:rsidRPr="008B21EF">
        <w:t xml:space="preserve"> </w:t>
      </w:r>
      <w:r>
        <w:t>Act employees</w:t>
      </w:r>
      <w:r w:rsidRPr="008B21EF">
        <w:t xml:space="preserve"> and parliamentarians</w:t>
      </w:r>
      <w:r w:rsidRPr="002D4434">
        <w:t xml:space="preserve">, and what action is necessary to protect the safety of other </w:t>
      </w:r>
      <w:r>
        <w:t>employees</w:t>
      </w:r>
      <w:r w:rsidRPr="002D4434">
        <w:t>.</w:t>
      </w:r>
      <w:r>
        <w:t xml:space="preserve"> </w:t>
      </w:r>
    </w:p>
    <w:p w14:paraId="60CFC7B3" w14:textId="76BC5A6A" w:rsidR="00A62326" w:rsidRPr="002309E5" w:rsidRDefault="00A62326" w:rsidP="00A62326">
      <w:r w:rsidRPr="002309E5">
        <w:t xml:space="preserve">Where a workplace review substantiates a breach of the duties and responsibilities and recommends proportionate action, it is expected that the </w:t>
      </w:r>
      <w:r>
        <w:t>relevant</w:t>
      </w:r>
      <w:r w:rsidRPr="002309E5">
        <w:t xml:space="preserve"> parliamentarian acts on the recommendation. The Determination prescribes a pathway for appropriate parliamentary action, facilitated by the Commissioner, where a parliamentarian fails to </w:t>
      </w:r>
      <w:r>
        <w:t>act on a recommendation</w:t>
      </w:r>
      <w:r w:rsidRPr="00723B9B">
        <w:t>.</w:t>
      </w:r>
      <w:r w:rsidRPr="002309E5">
        <w:t xml:space="preserve"> The Commissioner </w:t>
      </w:r>
      <w:r>
        <w:t>has</w:t>
      </w:r>
      <w:r w:rsidRPr="002309E5">
        <w:t xml:space="preserve"> no power to compel or sanction parliamentarians. The design of the Commissioner’s function in this way balances the need for accountability with respect for the </w:t>
      </w:r>
      <w:r>
        <w:t>P</w:t>
      </w:r>
      <w:r w:rsidRPr="00723B9B">
        <w:t>arliament</w:t>
      </w:r>
      <w:r w:rsidRPr="002309E5">
        <w:t xml:space="preserve">. Independence and certainty that there will be consequences for unacceptable behaviour in the workplace are critical to </w:t>
      </w:r>
      <w:r>
        <w:t>ensuring the PWSS</w:t>
      </w:r>
      <w:r w:rsidRPr="002309E5">
        <w:t xml:space="preserve"> is trusted and an environment in which people feel safe to report </w:t>
      </w:r>
      <w:r>
        <w:t>inappropriate conduct</w:t>
      </w:r>
      <w:r w:rsidR="00706D00">
        <w:t xml:space="preserve"> is maintained</w:t>
      </w:r>
      <w:r w:rsidRPr="002309E5">
        <w:t>.</w:t>
      </w:r>
    </w:p>
    <w:p w14:paraId="1E2D1252" w14:textId="5462371F" w:rsidR="00A62326" w:rsidRDefault="00A62326" w:rsidP="00A62326">
      <w:pPr>
        <w:rPr>
          <w:rFonts w:cs="Times New Roman"/>
        </w:rPr>
      </w:pPr>
      <w:r w:rsidRPr="002309E5">
        <w:t xml:space="preserve">While ongoing training for parliamentarians and their staff will remain the responsibility of the Department of Finance, the </w:t>
      </w:r>
      <w:r>
        <w:rPr>
          <w:rFonts w:cs="Times New Roman"/>
        </w:rPr>
        <w:t>PWSS</w:t>
      </w:r>
      <w:r w:rsidRPr="002309E5">
        <w:t xml:space="preserve"> will have a role in providing education </w:t>
      </w:r>
      <w:r>
        <w:rPr>
          <w:rFonts w:cs="Times New Roman"/>
        </w:rPr>
        <w:t xml:space="preserve">and information </w:t>
      </w:r>
      <w:r w:rsidRPr="002309E5">
        <w:t xml:space="preserve">where </w:t>
      </w:r>
      <w:r w:rsidRPr="002309E5">
        <w:lastRenderedPageBreak/>
        <w:t xml:space="preserve">there is a connection with the operation of the mechanism. Recognising this, the Amendment Determination provides for the education of people who are </w:t>
      </w:r>
      <w:r w:rsidRPr="00CE4778">
        <w:rPr>
          <w:rFonts w:cs="Times New Roman"/>
        </w:rPr>
        <w:t>Commonwealth parliamentary workplace participant</w:t>
      </w:r>
      <w:r>
        <w:rPr>
          <w:rFonts w:cs="Times New Roman"/>
        </w:rPr>
        <w:t>s</w:t>
      </w:r>
      <w:r w:rsidRPr="002309E5">
        <w:t xml:space="preserve">, in relation to the mechanism, </w:t>
      </w:r>
      <w:r w:rsidR="00E46E44" w:rsidRPr="00E46E44">
        <w:t xml:space="preserve">serious incidents </w:t>
      </w:r>
      <w:r w:rsidR="00E46E44" w:rsidRPr="00E46E44">
        <w:rPr>
          <w:rFonts w:cs="Times New Roman"/>
        </w:rPr>
        <w:t xml:space="preserve">or misconduct involving MOP(S) Act employees, parliamentarians, or both, </w:t>
      </w:r>
      <w:r w:rsidR="00E46E44">
        <w:rPr>
          <w:rFonts w:cs="Times New Roman"/>
        </w:rPr>
        <w:t xml:space="preserve">in the course of their work </w:t>
      </w:r>
      <w:r w:rsidRPr="002309E5">
        <w:t xml:space="preserve">and other matters </w:t>
      </w:r>
      <w:r w:rsidR="00B936AE" w:rsidRPr="002309E5">
        <w:t>relating</w:t>
      </w:r>
      <w:r w:rsidRPr="002309E5">
        <w:t xml:space="preserve"> to </w:t>
      </w:r>
      <w:r w:rsidR="00B936AE" w:rsidRPr="002309E5">
        <w:t>work health and safety</w:t>
      </w:r>
      <w:r>
        <w:rPr>
          <w:rFonts w:cs="Times New Roman"/>
        </w:rPr>
        <w:t xml:space="preserve">. </w:t>
      </w:r>
    </w:p>
    <w:p w14:paraId="2417BAAE" w14:textId="67BBF54A" w:rsidR="00706D00" w:rsidRDefault="00706D00" w:rsidP="002309E5">
      <w:pPr>
        <w:pStyle w:val="Heading1"/>
      </w:pPr>
      <w:r>
        <w:t>Consultation</w:t>
      </w:r>
    </w:p>
    <w:p w14:paraId="36775040" w14:textId="53E85576" w:rsidR="00706D00" w:rsidRPr="002309E5" w:rsidRDefault="00706D00" w:rsidP="00A62326">
      <w:r>
        <w:rPr>
          <w:rFonts w:cs="Times New Roman"/>
        </w:rPr>
        <w:t>The Parliamentary Service Commissioner was consulted during the preparation of the Amendment Determination</w:t>
      </w:r>
      <w:r w:rsidRPr="002309E5">
        <w:t xml:space="preserve">. </w:t>
      </w:r>
    </w:p>
    <w:p w14:paraId="422483AB" w14:textId="26FD223A" w:rsidR="00A62326" w:rsidRPr="002309E5" w:rsidRDefault="00A62326" w:rsidP="00C17D8F">
      <w:pPr>
        <w:pStyle w:val="Heading1"/>
      </w:pPr>
      <w:r w:rsidRPr="002309E5">
        <w:t>Regulatory impact assessment</w:t>
      </w:r>
    </w:p>
    <w:p w14:paraId="0DDC1396" w14:textId="2016A568" w:rsidR="00A62326" w:rsidRPr="002309E5" w:rsidRDefault="00A62326" w:rsidP="00A62326">
      <w:pPr>
        <w:rPr>
          <w:rFonts w:asciiTheme="minorHAnsi" w:hAnsiTheme="minorHAnsi"/>
        </w:rPr>
      </w:pPr>
      <w:r>
        <w:t xml:space="preserve">No regulation impact statement is required for the measures contained in the Amendment Determination. RIS reference ID: </w:t>
      </w:r>
      <w:r w:rsidRPr="00A55475">
        <w:rPr>
          <w:rFonts w:cs="Times New Roman"/>
        </w:rPr>
        <w:t>01533</w:t>
      </w:r>
      <w:r w:rsidRPr="002309E5">
        <w:t>.</w:t>
      </w:r>
    </w:p>
    <w:p w14:paraId="4EE81A83" w14:textId="77777777" w:rsidR="00A62326" w:rsidRPr="00C17D8F" w:rsidRDefault="00A62326" w:rsidP="00C17D8F">
      <w:pPr>
        <w:pStyle w:val="Heading1"/>
        <w:rPr>
          <w:b w:val="0"/>
        </w:rPr>
      </w:pPr>
      <w:r w:rsidRPr="002309E5">
        <w:t>Statement of compatibility with human rights</w:t>
      </w:r>
    </w:p>
    <w:p w14:paraId="394DF632" w14:textId="77777777" w:rsidR="00A62326" w:rsidRDefault="00A62326" w:rsidP="00A62326">
      <w:pPr>
        <w:keepNext/>
        <w:keepLines/>
      </w:pPr>
      <w:r>
        <w:t>S</w:t>
      </w:r>
      <w:r w:rsidRPr="00FB4437">
        <w:t xml:space="preserve">ubsection 9(1) of the </w:t>
      </w:r>
      <w:r w:rsidRPr="00FB4437">
        <w:rPr>
          <w:i/>
        </w:rPr>
        <w:t>Human Rights (Parliamentary Scrutiny) Act 2011</w:t>
      </w:r>
      <w:r w:rsidRPr="00FB4437">
        <w:t xml:space="preserve"> </w:t>
      </w:r>
      <w:r>
        <w:t xml:space="preserve">requires the rule-maker in relation to a legislative instrument to which section 42 (disallowance) of the </w:t>
      </w:r>
      <w:r>
        <w:rPr>
          <w:i/>
        </w:rPr>
        <w:t>Legislation Act 2003</w:t>
      </w:r>
      <w:r>
        <w:t xml:space="preserve"> applies to cause a statement of compatibility with human rights to be prepared in respect of that legislative instrument. </w:t>
      </w:r>
    </w:p>
    <w:p w14:paraId="7EEAB780" w14:textId="77777777" w:rsidR="00A62326" w:rsidRPr="00C17D8F" w:rsidRDefault="00A62326" w:rsidP="00A62326">
      <w:pPr>
        <w:rPr>
          <w:rFonts w:asciiTheme="minorHAnsi" w:hAnsiTheme="minorHAnsi"/>
        </w:rPr>
      </w:pPr>
      <w:r>
        <w:t xml:space="preserve">The statement of </w:t>
      </w:r>
      <w:r w:rsidRPr="009D2A4E">
        <w:rPr>
          <w:color w:val="000000" w:themeColor="text1"/>
        </w:rPr>
        <w:t xml:space="preserve">compatibility set out at </w:t>
      </w:r>
      <w:r w:rsidRPr="009D2A4E">
        <w:rPr>
          <w:color w:val="000000" w:themeColor="text1"/>
          <w:u w:val="single"/>
        </w:rPr>
        <w:t>Attachment B</w:t>
      </w:r>
      <w:r w:rsidRPr="009D2A4E">
        <w:rPr>
          <w:color w:val="000000" w:themeColor="text1"/>
        </w:rPr>
        <w:t xml:space="preserve"> has been prepared </w:t>
      </w:r>
      <w:r>
        <w:t>to meet that requirement.</w:t>
      </w:r>
    </w:p>
    <w:p w14:paraId="0D8E9374" w14:textId="77777777" w:rsidR="00A62326" w:rsidRDefault="00A62326" w:rsidP="00A62326">
      <w:pPr>
        <w:rPr>
          <w:b/>
        </w:rPr>
      </w:pPr>
      <w:r>
        <w:rPr>
          <w:b/>
        </w:rPr>
        <w:br w:type="page"/>
      </w:r>
    </w:p>
    <w:p w14:paraId="31BB76A0" w14:textId="77777777" w:rsidR="00A62326" w:rsidRPr="00C17D8F" w:rsidRDefault="00A62326" w:rsidP="00A62326">
      <w:pPr>
        <w:jc w:val="right"/>
        <w:rPr>
          <w:rFonts w:asciiTheme="minorHAnsi" w:hAnsiTheme="minorHAnsi"/>
          <w:b/>
        </w:rPr>
      </w:pPr>
      <w:r w:rsidRPr="00B47E52">
        <w:rPr>
          <w:b/>
        </w:rPr>
        <w:lastRenderedPageBreak/>
        <w:t>ATTACHMENT A</w:t>
      </w:r>
    </w:p>
    <w:p w14:paraId="7FC2956A" w14:textId="77777777" w:rsidR="00A62326" w:rsidRPr="00C17D8F" w:rsidRDefault="00A62326" w:rsidP="00A62326">
      <w:pPr>
        <w:rPr>
          <w:rFonts w:asciiTheme="minorHAnsi" w:hAnsiTheme="minorHAnsi"/>
          <w:b/>
          <w:sz w:val="26"/>
        </w:rPr>
      </w:pPr>
      <w:r w:rsidRPr="00496354">
        <w:rPr>
          <w:b/>
          <w:sz w:val="26"/>
        </w:rPr>
        <w:t>Notes on clauses</w:t>
      </w:r>
    </w:p>
    <w:p w14:paraId="66EAF3AC" w14:textId="77777777" w:rsidR="00A62326" w:rsidRPr="00C17D8F" w:rsidRDefault="00A62326" w:rsidP="00C17D8F">
      <w:pPr>
        <w:pStyle w:val="Heading1"/>
        <w:rPr>
          <w:b w:val="0"/>
        </w:rPr>
      </w:pPr>
      <w:r w:rsidRPr="00F90F71">
        <w:t>Operative clauses</w:t>
      </w:r>
    </w:p>
    <w:p w14:paraId="5E930A8A" w14:textId="77777777" w:rsidR="00A62326" w:rsidRPr="00C17D8F" w:rsidRDefault="00A62326" w:rsidP="00A62326">
      <w:pPr>
        <w:rPr>
          <w:rFonts w:asciiTheme="minorHAnsi" w:hAnsiTheme="minorHAnsi"/>
        </w:rPr>
      </w:pPr>
      <w:r>
        <w:rPr>
          <w:b/>
        </w:rPr>
        <w:t>Clause 1</w:t>
      </w:r>
      <w:r>
        <w:t xml:space="preserve"> sets out the name of the Amendment Determination.</w:t>
      </w:r>
    </w:p>
    <w:p w14:paraId="4A08300A" w14:textId="18649EA9" w:rsidR="00A62326" w:rsidRPr="002309E5" w:rsidRDefault="00A62326" w:rsidP="00A62326">
      <w:pPr>
        <w:rPr>
          <w:rFonts w:asciiTheme="minorHAnsi" w:hAnsiTheme="minorHAnsi"/>
        </w:rPr>
      </w:pPr>
      <w:r>
        <w:rPr>
          <w:b/>
        </w:rPr>
        <w:t>Clause 2</w:t>
      </w:r>
      <w:r>
        <w:t xml:space="preserve"> provides that the Amendment Determination commences on the day after </w:t>
      </w:r>
      <w:r>
        <w:rPr>
          <w:rFonts w:cs="Times New Roman"/>
        </w:rPr>
        <w:t>it is registered</w:t>
      </w:r>
      <w:r w:rsidRPr="002309E5">
        <w:t>.</w:t>
      </w:r>
    </w:p>
    <w:p w14:paraId="3727DCA8" w14:textId="77777777" w:rsidR="00A62326" w:rsidRPr="002309E5" w:rsidRDefault="00A62326" w:rsidP="00A62326">
      <w:pPr>
        <w:rPr>
          <w:rFonts w:asciiTheme="minorHAnsi" w:hAnsiTheme="minorHAnsi"/>
        </w:rPr>
      </w:pPr>
      <w:r>
        <w:rPr>
          <w:b/>
        </w:rPr>
        <w:t>Clause 3</w:t>
      </w:r>
      <w:r>
        <w:t xml:space="preserve"> specifies the authority for making the Amendment Determination</w:t>
      </w:r>
      <w:r>
        <w:rPr>
          <w:rFonts w:cs="Times New Roman"/>
        </w:rPr>
        <w:t xml:space="preserve"> under subsection 71(1) of the Act</w:t>
      </w:r>
      <w:r w:rsidRPr="002309E5">
        <w:t>.</w:t>
      </w:r>
    </w:p>
    <w:p w14:paraId="0F48D786" w14:textId="3FE6AC96" w:rsidR="00A62326" w:rsidRPr="002309E5" w:rsidRDefault="00A62326" w:rsidP="00A62326">
      <w:r w:rsidRPr="002309E5">
        <w:rPr>
          <w:b/>
        </w:rPr>
        <w:t>Clause 4</w:t>
      </w:r>
      <w:r>
        <w:t xml:space="preserve"> provides that </w:t>
      </w:r>
      <w:r>
        <w:rPr>
          <w:rFonts w:cs="Times New Roman"/>
        </w:rPr>
        <w:t>Schedule</w:t>
      </w:r>
      <w:r w:rsidRPr="002309E5">
        <w:t xml:space="preserve"> 1 </w:t>
      </w:r>
      <w:r>
        <w:rPr>
          <w:rFonts w:cs="Times New Roman"/>
        </w:rPr>
        <w:t>amends</w:t>
      </w:r>
      <w:r w:rsidRPr="002309E5">
        <w:t xml:space="preserve"> the Determination.</w:t>
      </w:r>
    </w:p>
    <w:p w14:paraId="7880F5E2" w14:textId="227B396E" w:rsidR="00A62326" w:rsidRDefault="00A62326" w:rsidP="00A62326">
      <w:pPr>
        <w:pStyle w:val="Heading1"/>
      </w:pPr>
      <w:r>
        <w:t>Item 1—</w:t>
      </w:r>
      <w:r w:rsidR="00897CB6">
        <w:t>Review</w:t>
      </w:r>
      <w:r>
        <w:t xml:space="preserve"> function </w:t>
      </w:r>
    </w:p>
    <w:p w14:paraId="34A73E13" w14:textId="0496566B" w:rsidR="00A62326" w:rsidRPr="004B170B" w:rsidRDefault="00A62326" w:rsidP="002309E5">
      <w:pPr>
        <w:pStyle w:val="Heading1"/>
      </w:pPr>
      <w:r w:rsidRPr="00C17D8F">
        <w:rPr>
          <w:b w:val="0"/>
          <w:sz w:val="22"/>
        </w:rPr>
        <w:t>Item 1 of Schedule 1 amends</w:t>
      </w:r>
      <w:r w:rsidRPr="004D433E">
        <w:t xml:space="preserve"> </w:t>
      </w:r>
      <w:r w:rsidRPr="002309E5">
        <w:rPr>
          <w:b w:val="0"/>
          <w:sz w:val="22"/>
        </w:rPr>
        <w:t xml:space="preserve">subparagraph </w:t>
      </w:r>
      <w:proofErr w:type="gramStart"/>
      <w:r w:rsidRPr="002309E5">
        <w:rPr>
          <w:b w:val="0"/>
          <w:sz w:val="22"/>
        </w:rPr>
        <w:t>112B(</w:t>
      </w:r>
      <w:proofErr w:type="gramEnd"/>
      <w:r w:rsidRPr="002309E5">
        <w:rPr>
          <w:b w:val="0"/>
          <w:sz w:val="22"/>
        </w:rPr>
        <w:t>1)(</w:t>
      </w:r>
      <w:r w:rsidRPr="00C17D8F">
        <w:rPr>
          <w:b w:val="0"/>
          <w:sz w:val="22"/>
        </w:rPr>
        <w:t>a</w:t>
      </w:r>
      <w:r w:rsidRPr="002309E5">
        <w:rPr>
          <w:b w:val="0"/>
          <w:sz w:val="22"/>
        </w:rPr>
        <w:t>)(</w:t>
      </w:r>
      <w:proofErr w:type="spellStart"/>
      <w:r w:rsidRPr="002309E5">
        <w:rPr>
          <w:b w:val="0"/>
          <w:sz w:val="22"/>
        </w:rPr>
        <w:t>i</w:t>
      </w:r>
      <w:proofErr w:type="spellEnd"/>
      <w:r w:rsidRPr="002309E5">
        <w:rPr>
          <w:b w:val="0"/>
          <w:sz w:val="22"/>
        </w:rPr>
        <w:t xml:space="preserve">) to </w:t>
      </w:r>
      <w:r w:rsidR="00897CB6" w:rsidRPr="00E40093">
        <w:rPr>
          <w:rFonts w:cstheme="minorBidi"/>
          <w:b w:val="0"/>
          <w:sz w:val="22"/>
        </w:rPr>
        <w:t>reflect</w:t>
      </w:r>
      <w:r w:rsidR="00897CB6" w:rsidRPr="00C17D8F">
        <w:rPr>
          <w:b w:val="0"/>
          <w:sz w:val="22"/>
        </w:rPr>
        <w:t xml:space="preserve"> the </w:t>
      </w:r>
      <w:r w:rsidR="00897CB6" w:rsidRPr="00E40093">
        <w:rPr>
          <w:rFonts w:cstheme="minorBidi"/>
          <w:b w:val="0"/>
          <w:sz w:val="22"/>
        </w:rPr>
        <w:t>change</w:t>
      </w:r>
      <w:r w:rsidR="00897CB6" w:rsidRPr="00C17D8F">
        <w:rPr>
          <w:b w:val="0"/>
          <w:sz w:val="22"/>
        </w:rPr>
        <w:t xml:space="preserve"> </w:t>
      </w:r>
      <w:r w:rsidR="00EE49DF" w:rsidRPr="00C17D8F">
        <w:rPr>
          <w:b w:val="0"/>
          <w:sz w:val="22"/>
        </w:rPr>
        <w:t>of</w:t>
      </w:r>
      <w:r w:rsidR="00897CB6" w:rsidRPr="00C17D8F">
        <w:rPr>
          <w:b w:val="0"/>
          <w:sz w:val="22"/>
        </w:rPr>
        <w:t xml:space="preserve"> </w:t>
      </w:r>
      <w:r w:rsidR="00897CB6" w:rsidRPr="00E40093">
        <w:rPr>
          <w:rFonts w:cstheme="minorBidi"/>
          <w:b w:val="0"/>
          <w:sz w:val="22"/>
        </w:rPr>
        <w:t xml:space="preserve">the </w:t>
      </w:r>
      <w:r w:rsidR="00EE49DF" w:rsidRPr="00E40093">
        <w:rPr>
          <w:rFonts w:cstheme="minorBidi"/>
          <w:b w:val="0"/>
          <w:sz w:val="22"/>
        </w:rPr>
        <w:t xml:space="preserve">defined </w:t>
      </w:r>
      <w:r w:rsidR="009E333E" w:rsidRPr="00E40093">
        <w:rPr>
          <w:rFonts w:cstheme="minorBidi"/>
          <w:b w:val="0"/>
          <w:sz w:val="22"/>
        </w:rPr>
        <w:t>term</w:t>
      </w:r>
      <w:r w:rsidRPr="002309E5">
        <w:rPr>
          <w:b w:val="0"/>
          <w:sz w:val="22"/>
        </w:rPr>
        <w:t xml:space="preserve"> </w:t>
      </w:r>
      <w:r w:rsidRPr="002309E5">
        <w:rPr>
          <w:b w:val="0"/>
          <w:i/>
          <w:sz w:val="22"/>
        </w:rPr>
        <w:t>serious incident</w:t>
      </w:r>
      <w:r w:rsidR="00897CB6" w:rsidRPr="00E40093">
        <w:rPr>
          <w:rFonts w:cstheme="minorBidi"/>
          <w:b w:val="0"/>
          <w:sz w:val="22"/>
        </w:rPr>
        <w:t xml:space="preserve"> to </w:t>
      </w:r>
      <w:r w:rsidR="00897CB6" w:rsidRPr="00E40093">
        <w:rPr>
          <w:rFonts w:cstheme="minorBidi"/>
          <w:b w:val="0"/>
          <w:i/>
          <w:sz w:val="22"/>
        </w:rPr>
        <w:t>serious incident or misconduct</w:t>
      </w:r>
      <w:r w:rsidR="00E40093" w:rsidRPr="00E40093">
        <w:rPr>
          <w:rFonts w:cstheme="minorBidi"/>
          <w:b w:val="0"/>
          <w:sz w:val="22"/>
        </w:rPr>
        <w:t>.</w:t>
      </w:r>
    </w:p>
    <w:p w14:paraId="64F5A275" w14:textId="77777777" w:rsidR="00E40093" w:rsidRPr="00C17D8F" w:rsidRDefault="00DC3D57" w:rsidP="00DC3D57">
      <w:r w:rsidRPr="00C17D8F">
        <w:t xml:space="preserve">This addresses Recommendation 20(b) of the Set the Standard Report, which recommended that the scope of the PWSS be expanded to include all allegations of bullying, sexual harassment and sexual assault. </w:t>
      </w:r>
    </w:p>
    <w:p w14:paraId="0BE59215" w14:textId="4D04CD74" w:rsidR="00DC3D57" w:rsidRPr="002309E5" w:rsidRDefault="00E40093" w:rsidP="00DC3D57">
      <w:r w:rsidRPr="00C17D8F">
        <w:t xml:space="preserve">Adding the word ‘misconduct’, in addition to ‘serious incident’, </w:t>
      </w:r>
      <w:r w:rsidR="00DA2F3C" w:rsidRPr="00C17D8F">
        <w:t xml:space="preserve">is intended to </w:t>
      </w:r>
      <w:r w:rsidR="006F4687" w:rsidRPr="00C17D8F">
        <w:t>clarif</w:t>
      </w:r>
      <w:r w:rsidR="00DA2F3C" w:rsidRPr="00C17D8F">
        <w:t>y</w:t>
      </w:r>
      <w:r w:rsidRPr="00C17D8F">
        <w:t xml:space="preserve"> that while </w:t>
      </w:r>
      <w:r w:rsidR="00DA2F3C" w:rsidRPr="00C17D8F">
        <w:t xml:space="preserve">all incidents of assault, sexual assault, harassment, sexual harassment, bullying (within the meaning of the </w:t>
      </w:r>
      <w:r w:rsidR="00DA2F3C" w:rsidRPr="00C17D8F">
        <w:rPr>
          <w:i/>
        </w:rPr>
        <w:t>Fair Work Act 2009)</w:t>
      </w:r>
      <w:r w:rsidR="00DA2F3C" w:rsidRPr="00C17D8F">
        <w:t>, and other unreasonable behaviour and conduct that creates a risk to work health and safety</w:t>
      </w:r>
      <w:r w:rsidRPr="00C17D8F">
        <w:t xml:space="preserve"> is of a serious nature</w:t>
      </w:r>
      <w:r w:rsidR="005774DA">
        <w:t xml:space="preserve"> </w:t>
      </w:r>
      <w:r w:rsidRPr="00C17D8F">
        <w:t xml:space="preserve">potential complainants should not be dissuaded from making a complaint </w:t>
      </w:r>
      <w:r w:rsidR="00DA2F3C" w:rsidRPr="00C17D8F">
        <w:t>about such conduct</w:t>
      </w:r>
      <w:r w:rsidR="008A5B90" w:rsidRPr="00C17D8F">
        <w:t xml:space="preserve">. This </w:t>
      </w:r>
      <w:r w:rsidR="00DC3D57" w:rsidRPr="00C17D8F">
        <w:t xml:space="preserve">addresses concerns raised in the Set the Standard Report that </w:t>
      </w:r>
      <w:r w:rsidR="0081069E" w:rsidRPr="00C17D8F">
        <w:t>‘</w:t>
      </w:r>
      <w:r w:rsidR="00DC3D57" w:rsidRPr="00C17D8F">
        <w:t xml:space="preserve">the term serious incident </w:t>
      </w:r>
      <w:r w:rsidR="0081069E" w:rsidRPr="00C17D8F">
        <w:t>imposes an unreasonably high threshold, which may in turn act as a barrier to reporting</w:t>
      </w:r>
      <w:r w:rsidR="00701C71" w:rsidRPr="00C17D8F">
        <w:t>’</w:t>
      </w:r>
      <w:r w:rsidR="0081069E" w:rsidRPr="00C17D8F">
        <w:t xml:space="preserve">, by clarifying that </w:t>
      </w:r>
      <w:r w:rsidR="00DA2F3C" w:rsidRPr="00C17D8F">
        <w:t xml:space="preserve">the conduct within the scope of the PWSS is in relation to serious incidents or </w:t>
      </w:r>
      <w:r w:rsidR="0081069E" w:rsidRPr="00C17D8F">
        <w:t>misconduct</w:t>
      </w:r>
      <w:r w:rsidR="00DA2F3C" w:rsidRPr="00C17D8F">
        <w:t>.</w:t>
      </w:r>
    </w:p>
    <w:p w14:paraId="5ECEFAC7" w14:textId="207CC1EB" w:rsidR="00897CB6" w:rsidRDefault="00897CB6" w:rsidP="00A62326">
      <w:pPr>
        <w:pStyle w:val="Heading1"/>
      </w:pPr>
      <w:r>
        <w:t xml:space="preserve">Item </w:t>
      </w:r>
      <w:r w:rsidR="00EE49DF">
        <w:t>2</w:t>
      </w:r>
      <w:r>
        <w:t>—Expansion of support services</w:t>
      </w:r>
    </w:p>
    <w:p w14:paraId="45777AD6" w14:textId="6B13E9B5" w:rsidR="00897CB6" w:rsidRPr="002309E5" w:rsidRDefault="00897CB6" w:rsidP="000A1015">
      <w:r>
        <w:t xml:space="preserve">Item </w:t>
      </w:r>
      <w:r w:rsidR="00EE49DF">
        <w:t>2</w:t>
      </w:r>
      <w:r>
        <w:t xml:space="preserve"> </w:t>
      </w:r>
      <w:r w:rsidR="00EE49DF">
        <w:t>of Schedule 1 repeals and replaces</w:t>
      </w:r>
      <w:r>
        <w:t xml:space="preserve"> subparagraph </w:t>
      </w:r>
      <w:proofErr w:type="gramStart"/>
      <w:r>
        <w:t>112B(</w:t>
      </w:r>
      <w:proofErr w:type="gramEnd"/>
      <w:r>
        <w:t xml:space="preserve">1)(a)(ii) to expand the support function of the PWSS to current or former </w:t>
      </w:r>
      <w:r w:rsidRPr="00CE4778">
        <w:rPr>
          <w:rFonts w:cs="Times New Roman"/>
        </w:rPr>
        <w:t>Commonwealth</w:t>
      </w:r>
      <w:r w:rsidRPr="002309E5">
        <w:t xml:space="preserve"> parliamentary workplace </w:t>
      </w:r>
      <w:r w:rsidRPr="00CE4778">
        <w:rPr>
          <w:rFonts w:cs="Times New Roman"/>
        </w:rPr>
        <w:t>participant</w:t>
      </w:r>
      <w:r>
        <w:rPr>
          <w:rFonts w:cs="Times New Roman"/>
        </w:rPr>
        <w:t xml:space="preserve">s. </w:t>
      </w:r>
    </w:p>
    <w:p w14:paraId="08F57959" w14:textId="550E7C1A" w:rsidR="00851526" w:rsidRPr="002309E5" w:rsidRDefault="00A62326" w:rsidP="00C17D8F">
      <w:r w:rsidRPr="002309E5">
        <w:t xml:space="preserve">The </w:t>
      </w:r>
      <w:r>
        <w:t xml:space="preserve">PWSS </w:t>
      </w:r>
      <w:r w:rsidRPr="00525E82">
        <w:t xml:space="preserve">may provide support services to a </w:t>
      </w:r>
      <w:r w:rsidRPr="002309E5">
        <w:t xml:space="preserve">Commonwealth parliamentary workplace participant in relation to </w:t>
      </w:r>
      <w:r w:rsidR="00851526" w:rsidRPr="002309E5">
        <w:t xml:space="preserve">serious incidents </w:t>
      </w:r>
      <w:r w:rsidR="00851526">
        <w:t>or misconduct</w:t>
      </w:r>
      <w:r w:rsidR="00EE49DF" w:rsidRPr="002309E5">
        <w:t xml:space="preserve"> a</w:t>
      </w:r>
      <w:r w:rsidR="00851526" w:rsidRPr="002309E5">
        <w:t>nd other matters relating to work health and safety</w:t>
      </w:r>
      <w:r w:rsidRPr="00F90F71">
        <w:t xml:space="preserve"> in the course of </w:t>
      </w:r>
      <w:r w:rsidR="00851526" w:rsidRPr="00F90F71">
        <w:t>performing</w:t>
      </w:r>
      <w:r w:rsidRPr="00F90F71">
        <w:t xml:space="preserve"> duties</w:t>
      </w:r>
      <w:r w:rsidR="00851526" w:rsidRPr="00274846">
        <w:t xml:space="preserve"> </w:t>
      </w:r>
      <w:r w:rsidR="00851526">
        <w:t>in a Commonwealth parliamentary workplace</w:t>
      </w:r>
      <w:r w:rsidR="008A5B90">
        <w:t>, or in</w:t>
      </w:r>
      <w:r w:rsidR="00701C71">
        <w:t xml:space="preserve"> the course of performing </w:t>
      </w:r>
      <w:r w:rsidR="008A5B90">
        <w:t xml:space="preserve">duties </w:t>
      </w:r>
      <w:r w:rsidR="008A5B90" w:rsidRPr="002309E5">
        <w:t xml:space="preserve">as a </w:t>
      </w:r>
      <w:r w:rsidR="008A5B90" w:rsidRPr="00F75924">
        <w:t>Commonwealth parliamentary workplace participant</w:t>
      </w:r>
      <w:r w:rsidR="00851526">
        <w:t>.</w:t>
      </w:r>
    </w:p>
    <w:p w14:paraId="1263CA0A" w14:textId="27BBC49F" w:rsidR="00A62326" w:rsidRPr="00525E82" w:rsidRDefault="00A62326" w:rsidP="00A62326">
      <w:pPr>
        <w:rPr>
          <w:rFonts w:cs="Times New Roman"/>
        </w:rPr>
      </w:pPr>
      <w:r>
        <w:rPr>
          <w:rFonts w:cs="Times New Roman"/>
        </w:rPr>
        <w:t>This broadens the scope of the previous support service that was confined to parliamentarians and MOP(S) Act employees</w:t>
      </w:r>
      <w:r w:rsidR="00851526">
        <w:rPr>
          <w:rFonts w:cs="Times New Roman"/>
        </w:rPr>
        <w:t>.</w:t>
      </w:r>
    </w:p>
    <w:p w14:paraId="194AAE10" w14:textId="5B0ED82F" w:rsidR="00A62326" w:rsidRDefault="00A62326" w:rsidP="00A62326">
      <w:pPr>
        <w:rPr>
          <w:rFonts w:cs="Times New Roman"/>
        </w:rPr>
      </w:pPr>
      <w:r>
        <w:rPr>
          <w:rFonts w:cs="Times New Roman"/>
        </w:rPr>
        <w:t xml:space="preserve">Support </w:t>
      </w:r>
      <w:r w:rsidRPr="00AC1F66">
        <w:rPr>
          <w:rFonts w:cs="Times New Roman"/>
        </w:rPr>
        <w:t xml:space="preserve">services could include </w:t>
      </w:r>
      <w:r>
        <w:rPr>
          <w:rFonts w:cs="Times New Roman"/>
        </w:rPr>
        <w:t>therapeutic</w:t>
      </w:r>
      <w:r w:rsidRPr="00AC1F66">
        <w:rPr>
          <w:rFonts w:cs="Times New Roman"/>
        </w:rPr>
        <w:t xml:space="preserve"> supports and, on a voluntary basis, the PWSS facilitating the informal resolution of complaints through assisting a client to raise an issue directly in the workplace, or otherwise facilitating discussions.</w:t>
      </w:r>
      <w:r>
        <w:rPr>
          <w:rFonts w:cs="Times New Roman"/>
        </w:rPr>
        <w:t xml:space="preserve"> The precise nature of the support available to a particular Commonwealth parliamentary workplace participant will depend on the nature of the issue in relation to which the participant has sought support.</w:t>
      </w:r>
    </w:p>
    <w:p w14:paraId="610459C7" w14:textId="02FF3C10" w:rsidR="00A62326" w:rsidRDefault="00A62326" w:rsidP="00A62326">
      <w:pPr>
        <w:rPr>
          <w:rFonts w:cs="Times New Roman"/>
        </w:rPr>
      </w:pPr>
      <w:r>
        <w:rPr>
          <w:rFonts w:cs="Times New Roman"/>
        </w:rPr>
        <w:t>Where an issue concerns or includes matters that can be more appropriately addressed by another body or service, the PWSS will support individuals to access that body or service. It is envisaged that the PWSS will enter into arrangements with appropriate bodies that have a role in Commonwealth parliamentary workplaces to facilitate the effective referral and resolution of such issues.</w:t>
      </w:r>
    </w:p>
    <w:p w14:paraId="7EF50972" w14:textId="3838F95F" w:rsidR="00A62326" w:rsidRDefault="00A62326" w:rsidP="00A62326">
      <w:pPr>
        <w:rPr>
          <w:rFonts w:cs="Times New Roman"/>
        </w:rPr>
      </w:pPr>
      <w:r>
        <w:rPr>
          <w:rFonts w:cs="Times New Roman"/>
        </w:rPr>
        <w:t xml:space="preserve">In relation to </w:t>
      </w:r>
      <w:r w:rsidR="00EE49DF">
        <w:rPr>
          <w:rFonts w:cs="Times New Roman"/>
        </w:rPr>
        <w:t>serious incidents or misconduct</w:t>
      </w:r>
      <w:r w:rsidR="00851526">
        <w:rPr>
          <w:rFonts w:cs="Times New Roman"/>
        </w:rPr>
        <w:t>,</w:t>
      </w:r>
      <w:r>
        <w:rPr>
          <w:rFonts w:cs="Times New Roman"/>
        </w:rPr>
        <w:t xml:space="preserve"> support services may be provided to a complainant, a respondent or another person while the complaint is being assessed, while a workplace review is underway, after a review is concluded or when a review is not conducted.</w:t>
      </w:r>
    </w:p>
    <w:p w14:paraId="197858AC" w14:textId="74D9EC75" w:rsidR="00A62326" w:rsidRDefault="00A62326" w:rsidP="00A62326">
      <w:pPr>
        <w:pStyle w:val="Heading1"/>
      </w:pPr>
      <w:r>
        <w:lastRenderedPageBreak/>
        <w:t xml:space="preserve">Items </w:t>
      </w:r>
      <w:r w:rsidR="00EE49DF">
        <w:t>3, 4</w:t>
      </w:r>
      <w:r>
        <w:t xml:space="preserve"> and </w:t>
      </w:r>
      <w:r w:rsidR="00EE49DF">
        <w:t>5</w:t>
      </w:r>
      <w:r>
        <w:t>—Education and information</w:t>
      </w:r>
    </w:p>
    <w:p w14:paraId="38EE7482" w14:textId="4D5B9134" w:rsidR="00A62326" w:rsidRDefault="00215C94" w:rsidP="00A62326">
      <w:pPr>
        <w:rPr>
          <w:rFonts w:cs="Times New Roman"/>
        </w:rPr>
      </w:pPr>
      <w:r>
        <w:t>Item</w:t>
      </w:r>
      <w:r w:rsidR="00A62326" w:rsidRPr="00C4396D">
        <w:rPr>
          <w:rFonts w:cs="Times New Roman"/>
        </w:rPr>
        <w:t xml:space="preserve"> 3 of Schedule 1</w:t>
      </w:r>
      <w:r w:rsidR="00A62326">
        <w:rPr>
          <w:rFonts w:cs="Times New Roman"/>
        </w:rPr>
        <w:t xml:space="preserve"> </w:t>
      </w:r>
      <w:r>
        <w:t>amends</w:t>
      </w:r>
      <w:r w:rsidR="00A62326">
        <w:rPr>
          <w:rFonts w:cs="Times New Roman"/>
        </w:rPr>
        <w:t xml:space="preserve"> paragraph</w:t>
      </w:r>
      <w:r w:rsidR="00A62326" w:rsidRPr="002309E5">
        <w:t xml:space="preserve"> </w:t>
      </w:r>
      <w:proofErr w:type="gramStart"/>
      <w:r w:rsidR="00A62326" w:rsidRPr="002309E5">
        <w:t>112B(</w:t>
      </w:r>
      <w:proofErr w:type="gramEnd"/>
      <w:r w:rsidR="00A62326" w:rsidRPr="002309E5">
        <w:t xml:space="preserve">1)(b) </w:t>
      </w:r>
      <w:r>
        <w:t>to expand</w:t>
      </w:r>
      <w:r w:rsidR="00A62326">
        <w:rPr>
          <w:rFonts w:cs="Times New Roman"/>
        </w:rPr>
        <w:t xml:space="preserve"> the Commissioner’s </w:t>
      </w:r>
      <w:r w:rsidR="00A62326" w:rsidRPr="002309E5">
        <w:t xml:space="preserve">function </w:t>
      </w:r>
      <w:r w:rsidR="00A62326">
        <w:rPr>
          <w:rFonts w:cs="Times New Roman"/>
        </w:rPr>
        <w:t>of providing</w:t>
      </w:r>
      <w:r w:rsidR="00A62326" w:rsidRPr="002309E5">
        <w:t xml:space="preserve"> education and information in relation to the </w:t>
      </w:r>
      <w:r w:rsidR="00A62326">
        <w:rPr>
          <w:rFonts w:cs="Times New Roman"/>
        </w:rPr>
        <w:t>PWSS</w:t>
      </w:r>
      <w:r w:rsidR="00A62326" w:rsidRPr="002309E5">
        <w:t xml:space="preserve"> and </w:t>
      </w:r>
      <w:r w:rsidR="00A62326">
        <w:rPr>
          <w:rFonts w:cs="Times New Roman"/>
        </w:rPr>
        <w:t xml:space="preserve">the matters it deals with. </w:t>
      </w:r>
      <w:r>
        <w:rPr>
          <w:rFonts w:cs="Times New Roman"/>
        </w:rPr>
        <w:t>This amendment expands</w:t>
      </w:r>
      <w:r w:rsidR="00A62326">
        <w:rPr>
          <w:rFonts w:cs="Times New Roman"/>
        </w:rPr>
        <w:t xml:space="preserve"> the scope of the Commissioner’s function to reflect the expanded scope of the PWSS</w:t>
      </w:r>
      <w:r w:rsidR="00EE49DF">
        <w:rPr>
          <w:rFonts w:cs="Times New Roman"/>
        </w:rPr>
        <w:t>, by</w:t>
      </w:r>
      <w:r>
        <w:rPr>
          <w:rFonts w:cs="Times New Roman"/>
        </w:rPr>
        <w:t xml:space="preserve"> allow</w:t>
      </w:r>
      <w:r w:rsidR="00EE49DF">
        <w:rPr>
          <w:rFonts w:cs="Times New Roman"/>
        </w:rPr>
        <w:t>ing</w:t>
      </w:r>
      <w:r>
        <w:rPr>
          <w:rFonts w:cs="Times New Roman"/>
        </w:rPr>
        <w:t xml:space="preserve"> education and information to be provided to Commonwealth parliamentary</w:t>
      </w:r>
      <w:r w:rsidR="00A62326">
        <w:rPr>
          <w:rFonts w:cs="Times New Roman"/>
        </w:rPr>
        <w:t xml:space="preserve"> workplace </w:t>
      </w:r>
      <w:r>
        <w:rPr>
          <w:rFonts w:cs="Times New Roman"/>
        </w:rPr>
        <w:t>participants</w:t>
      </w:r>
      <w:r w:rsidR="00A62326">
        <w:rPr>
          <w:rFonts w:cs="Times New Roman"/>
        </w:rPr>
        <w:t xml:space="preserve">. </w:t>
      </w:r>
    </w:p>
    <w:p w14:paraId="18D504EF" w14:textId="77777777" w:rsidR="00851526" w:rsidRDefault="00EE49DF" w:rsidP="000A1015">
      <w:r>
        <w:t xml:space="preserve">Item 4 of Schedule 1 </w:t>
      </w:r>
      <w:r w:rsidR="00851526">
        <w:t xml:space="preserve">amends subparagraph </w:t>
      </w:r>
      <w:proofErr w:type="gramStart"/>
      <w:r w:rsidR="00851526">
        <w:t>112B(</w:t>
      </w:r>
      <w:proofErr w:type="gramEnd"/>
      <w:r w:rsidR="00851526">
        <w:t xml:space="preserve">1)(b)(ii) </w:t>
      </w:r>
      <w:r w:rsidR="00851526" w:rsidRPr="00851526">
        <w:t xml:space="preserve">to reflect the change </w:t>
      </w:r>
      <w:r w:rsidR="009E333E">
        <w:t xml:space="preserve">of </w:t>
      </w:r>
      <w:r>
        <w:t>the defined</w:t>
      </w:r>
      <w:r>
        <w:rPr>
          <w:b/>
        </w:rPr>
        <w:t xml:space="preserve"> </w:t>
      </w:r>
      <w:r>
        <w:t xml:space="preserve">term </w:t>
      </w:r>
      <w:r>
        <w:rPr>
          <w:i/>
        </w:rPr>
        <w:t>serious incident</w:t>
      </w:r>
      <w:r>
        <w:t xml:space="preserve"> to </w:t>
      </w:r>
      <w:r>
        <w:rPr>
          <w:i/>
        </w:rPr>
        <w:t>serious incident or misconduct</w:t>
      </w:r>
      <w:r w:rsidR="00851526" w:rsidRPr="00851526">
        <w:t>.</w:t>
      </w:r>
      <w:r w:rsidR="00851526">
        <w:t xml:space="preserve"> </w:t>
      </w:r>
      <w:r w:rsidR="009F5DBA">
        <w:t xml:space="preserve">This subparagraph allows for education and information to be given to </w:t>
      </w:r>
      <w:r w:rsidR="009F5DBA">
        <w:rPr>
          <w:rFonts w:cs="Times New Roman"/>
        </w:rPr>
        <w:t xml:space="preserve">Commonwealth parliamentary workplace participants in relation to </w:t>
      </w:r>
      <w:r w:rsidR="009F5DBA" w:rsidRPr="00242A42">
        <w:t xml:space="preserve">serious incidents </w:t>
      </w:r>
      <w:r w:rsidR="009F5DBA">
        <w:t xml:space="preserve">or misconduct </w:t>
      </w:r>
      <w:r w:rsidR="009F5DBA" w:rsidRPr="00242A42">
        <w:t>involving MOP(S) Act employees, parliamentarians, or both, in the course of</w:t>
      </w:r>
      <w:r w:rsidR="009F5DBA">
        <w:t xml:space="preserve"> the</w:t>
      </w:r>
      <w:r w:rsidR="009F5DBA" w:rsidRPr="00242A42">
        <w:t xml:space="preserve"> MOP(S) Act employee</w:t>
      </w:r>
      <w:r w:rsidR="009F5DBA">
        <w:t xml:space="preserve"> or</w:t>
      </w:r>
      <w:r w:rsidR="009F5DBA" w:rsidRPr="00242A42">
        <w:t xml:space="preserve"> parliamentarian</w:t>
      </w:r>
      <w:r w:rsidR="009F5DBA">
        <w:t>’</w:t>
      </w:r>
      <w:r w:rsidR="009F5DBA" w:rsidRPr="00242A42">
        <w:t>s</w:t>
      </w:r>
      <w:r w:rsidR="009F5DBA">
        <w:t xml:space="preserve"> </w:t>
      </w:r>
      <w:r w:rsidR="009F5DBA" w:rsidRPr="00242A42">
        <w:t>work</w:t>
      </w:r>
      <w:r w:rsidR="009F5DBA">
        <w:t>.</w:t>
      </w:r>
    </w:p>
    <w:p w14:paraId="3F2B1526" w14:textId="7F421746" w:rsidR="00215C94" w:rsidRPr="002309E5" w:rsidRDefault="00215C94" w:rsidP="000A1015">
      <w:r>
        <w:t xml:space="preserve">Item </w:t>
      </w:r>
      <w:r w:rsidR="00BA2C09">
        <w:t>5</w:t>
      </w:r>
      <w:r>
        <w:t xml:space="preserve"> amends</w:t>
      </w:r>
      <w:r w:rsidRPr="00215C94">
        <w:t xml:space="preserve"> </w:t>
      </w:r>
      <w:r>
        <w:t xml:space="preserve">subparagraph 112B(1)(b)(iii) to ensure education and information can be given to </w:t>
      </w:r>
      <w:r>
        <w:rPr>
          <w:rFonts w:cs="Times New Roman"/>
        </w:rPr>
        <w:t xml:space="preserve">in relation to </w:t>
      </w:r>
      <w:r w:rsidRPr="002309E5">
        <w:t>matters relating to work health and safety</w:t>
      </w:r>
      <w:r>
        <w:t xml:space="preserve"> that may arise</w:t>
      </w:r>
      <w:r w:rsidRPr="00242A42">
        <w:t xml:space="preserve"> in the course of performing </w:t>
      </w:r>
      <w:r w:rsidR="00BA2C09">
        <w:t>duties in a Commonwealth parliamentary workplace</w:t>
      </w:r>
      <w:r w:rsidR="008A5B90">
        <w:t>, or in</w:t>
      </w:r>
      <w:r w:rsidR="00701C71">
        <w:t xml:space="preserve"> the course of performing </w:t>
      </w:r>
      <w:r w:rsidR="008A5B90">
        <w:t xml:space="preserve">duties as a </w:t>
      </w:r>
      <w:r w:rsidR="008A5B90" w:rsidRPr="00F75924">
        <w:t>Commonwealth parliamentary workplace participant</w:t>
      </w:r>
      <w:r w:rsidR="00BA2C09" w:rsidRPr="002309E5">
        <w:t>.</w:t>
      </w:r>
    </w:p>
    <w:p w14:paraId="2EF877A5" w14:textId="48B9A5F3" w:rsidR="00A62326" w:rsidRPr="002309E5" w:rsidRDefault="00A62326" w:rsidP="00A62326">
      <w:r>
        <w:rPr>
          <w:rFonts w:cs="Times New Roman"/>
        </w:rPr>
        <w:t>Ongoing training for parliamentarians and their staff will remain</w:t>
      </w:r>
      <w:r w:rsidRPr="002309E5">
        <w:t xml:space="preserve"> the </w:t>
      </w:r>
      <w:r>
        <w:rPr>
          <w:rFonts w:cs="Times New Roman"/>
        </w:rPr>
        <w:t>responsibility of other entities including</w:t>
      </w:r>
      <w:r w:rsidRPr="002309E5">
        <w:t xml:space="preserve"> the </w:t>
      </w:r>
      <w:r>
        <w:rPr>
          <w:rFonts w:cs="Times New Roman"/>
        </w:rPr>
        <w:t>Department</w:t>
      </w:r>
      <w:r w:rsidRPr="002309E5">
        <w:t xml:space="preserve"> of </w:t>
      </w:r>
      <w:r>
        <w:rPr>
          <w:rFonts w:cs="Times New Roman"/>
        </w:rPr>
        <w:t>Finance</w:t>
      </w:r>
      <w:r w:rsidRPr="002309E5">
        <w:t xml:space="preserve"> and </w:t>
      </w:r>
      <w:r>
        <w:rPr>
          <w:rFonts w:cs="Times New Roman"/>
        </w:rPr>
        <w:t xml:space="preserve">the relevant </w:t>
      </w:r>
      <w:r w:rsidRPr="002309E5">
        <w:t>parliamentarian</w:t>
      </w:r>
      <w:r>
        <w:rPr>
          <w:rFonts w:cs="Times New Roman"/>
        </w:rPr>
        <w:t>.</w:t>
      </w:r>
    </w:p>
    <w:p w14:paraId="141CFE86" w14:textId="2FBD058E" w:rsidR="00A62326" w:rsidRDefault="00A62326" w:rsidP="00A62326">
      <w:pPr>
        <w:pStyle w:val="Heading1"/>
      </w:pPr>
      <w:r>
        <w:t xml:space="preserve">Item </w:t>
      </w:r>
      <w:r w:rsidR="00BA2C09">
        <w:t>6</w:t>
      </w:r>
      <w:r>
        <w:t>—Limitations</w:t>
      </w:r>
    </w:p>
    <w:p w14:paraId="375D1340" w14:textId="61E0BBAE" w:rsidR="00A62326" w:rsidRDefault="00A62326" w:rsidP="00A62326">
      <w:pPr>
        <w:rPr>
          <w:rFonts w:cs="Times New Roman"/>
        </w:rPr>
      </w:pPr>
      <w:r w:rsidRPr="00C4396D">
        <w:rPr>
          <w:rFonts w:cs="Times New Roman"/>
        </w:rPr>
        <w:t xml:space="preserve">Item </w:t>
      </w:r>
      <w:r w:rsidR="00BA2C09">
        <w:rPr>
          <w:rFonts w:cs="Times New Roman"/>
        </w:rPr>
        <w:t>6</w:t>
      </w:r>
      <w:r w:rsidRPr="00C4396D">
        <w:rPr>
          <w:rFonts w:cs="Times New Roman"/>
        </w:rPr>
        <w:t xml:space="preserve"> of Schedule 1</w:t>
      </w:r>
      <w:r>
        <w:rPr>
          <w:rFonts w:cs="Times New Roman"/>
        </w:rPr>
        <w:t xml:space="preserve"> repeals subclauses </w:t>
      </w:r>
      <w:proofErr w:type="gramStart"/>
      <w:r>
        <w:rPr>
          <w:rFonts w:cs="Times New Roman"/>
        </w:rPr>
        <w:t>112B(</w:t>
      </w:r>
      <w:proofErr w:type="gramEnd"/>
      <w:r>
        <w:rPr>
          <w:rFonts w:cs="Times New Roman"/>
        </w:rPr>
        <w:t>2</w:t>
      </w:r>
      <w:r w:rsidR="00215C94">
        <w:rPr>
          <w:rFonts w:cs="Times New Roman"/>
        </w:rPr>
        <w:t>)</w:t>
      </w:r>
      <w:r w:rsidR="00BA2C09">
        <w:rPr>
          <w:rFonts w:cs="Times New Roman"/>
        </w:rPr>
        <w:t xml:space="preserve"> and</w:t>
      </w:r>
      <w:r>
        <w:rPr>
          <w:rFonts w:cs="Times New Roman"/>
        </w:rPr>
        <w:t xml:space="preserve"> (3) </w:t>
      </w:r>
      <w:r w:rsidR="00BA2C09">
        <w:rPr>
          <w:rFonts w:cs="Times New Roman"/>
        </w:rPr>
        <w:t>of the Determination</w:t>
      </w:r>
      <w:r w:rsidR="008C5851">
        <w:rPr>
          <w:rFonts w:cs="Times New Roman"/>
        </w:rPr>
        <w:t>.</w:t>
      </w:r>
      <w:r>
        <w:rPr>
          <w:rFonts w:cs="Times New Roman"/>
        </w:rPr>
        <w:t xml:space="preserve"> </w:t>
      </w:r>
    </w:p>
    <w:p w14:paraId="08B85D6A" w14:textId="77777777" w:rsidR="00A62326" w:rsidRPr="00494E84" w:rsidRDefault="00A62326" w:rsidP="00A62326">
      <w:pPr>
        <w:pStyle w:val="Heading2"/>
      </w:pPr>
      <w:r w:rsidRPr="00494E84">
        <w:t xml:space="preserve">The PWSS may </w:t>
      </w:r>
      <w:r w:rsidRPr="002309E5">
        <w:t xml:space="preserve">review </w:t>
      </w:r>
      <w:r w:rsidRPr="00494E84">
        <w:t xml:space="preserve">historical </w:t>
      </w:r>
      <w:r w:rsidRPr="002309E5">
        <w:t xml:space="preserve">complaints </w:t>
      </w:r>
    </w:p>
    <w:p w14:paraId="23E452D9" w14:textId="77777777" w:rsidR="00A62326" w:rsidRDefault="00A62326" w:rsidP="00A62326">
      <w:pPr>
        <w:rPr>
          <w:rFonts w:cs="Times New Roman"/>
        </w:rPr>
      </w:pPr>
      <w:r>
        <w:rPr>
          <w:rFonts w:cs="Times New Roman"/>
        </w:rPr>
        <w:t xml:space="preserve">Previous subclauses </w:t>
      </w:r>
      <w:proofErr w:type="gramStart"/>
      <w:r>
        <w:rPr>
          <w:rFonts w:cs="Times New Roman"/>
        </w:rPr>
        <w:t>112B(</w:t>
      </w:r>
      <w:proofErr w:type="gramEnd"/>
      <w:r>
        <w:rPr>
          <w:rFonts w:cs="Times New Roman"/>
        </w:rPr>
        <w:t>2) and (3) imposed limitations on the ability of the PWSS to review historical complaints, specifically complaints:</w:t>
      </w:r>
    </w:p>
    <w:p w14:paraId="094B102C" w14:textId="7BD780B2" w:rsidR="00A62326" w:rsidRPr="007A16C0" w:rsidRDefault="00A62326" w:rsidP="00A62326">
      <w:pPr>
        <w:pStyle w:val="ListParagraph"/>
      </w:pPr>
      <w:r w:rsidRPr="007A16C0">
        <w:t>about incident</w:t>
      </w:r>
      <w:r>
        <w:t>s</w:t>
      </w:r>
      <w:r w:rsidRPr="007A16C0">
        <w:t xml:space="preserve"> </w:t>
      </w:r>
      <w:r w:rsidRPr="002309E5">
        <w:t>that occurred before 18 May 2019</w:t>
      </w:r>
      <w:r>
        <w:t>;</w:t>
      </w:r>
    </w:p>
    <w:p w14:paraId="1FB82A73" w14:textId="6F33AF23" w:rsidR="00A62326" w:rsidRPr="007A16C0" w:rsidRDefault="00A62326" w:rsidP="00A62326">
      <w:pPr>
        <w:pStyle w:val="ListParagraph"/>
      </w:pPr>
      <w:r w:rsidRPr="002309E5">
        <w:t xml:space="preserve">made after the person who is the subject of the complaint </w:t>
      </w:r>
      <w:r>
        <w:t>had</w:t>
      </w:r>
      <w:r w:rsidRPr="002309E5">
        <w:t xml:space="preserve"> ceased to be a MOP(S) Act employee or parliamentarian</w:t>
      </w:r>
      <w:r w:rsidRPr="007A16C0">
        <w:t xml:space="preserve">; </w:t>
      </w:r>
      <w:r>
        <w:t>and</w:t>
      </w:r>
    </w:p>
    <w:p w14:paraId="774135AC" w14:textId="76A31970" w:rsidR="00A62326" w:rsidRPr="002309E5" w:rsidRDefault="00A62326" w:rsidP="00C17D8F">
      <w:pPr>
        <w:pStyle w:val="ListParagraph"/>
      </w:pPr>
      <w:proofErr w:type="gramStart"/>
      <w:r w:rsidRPr="002309E5">
        <w:t>made</w:t>
      </w:r>
      <w:proofErr w:type="gramEnd"/>
      <w:r w:rsidRPr="002309E5">
        <w:t xml:space="preserve"> by a person about </w:t>
      </w:r>
      <w:r>
        <w:t>an</w:t>
      </w:r>
      <w:r w:rsidRPr="002309E5">
        <w:t xml:space="preserve"> incident that occurred while the person was a parliamentarian, if the person has ceased to be a parliamentarian since the incident occurred.</w:t>
      </w:r>
    </w:p>
    <w:p w14:paraId="1BB4F4A8" w14:textId="6A13CCA7" w:rsidR="00A62326" w:rsidRPr="00CA5B01" w:rsidRDefault="00A62326" w:rsidP="00A62326">
      <w:pPr>
        <w:rPr>
          <w:rFonts w:cs="Times New Roman"/>
        </w:rPr>
      </w:pPr>
      <w:r>
        <w:rPr>
          <w:rFonts w:cs="Times New Roman"/>
        </w:rPr>
        <w:t>In accordance with Recommendation 20(e) of the Set the Standard Report</w:t>
      </w:r>
      <w:r w:rsidR="00FC3F54">
        <w:rPr>
          <w:rFonts w:cs="Times New Roman"/>
        </w:rPr>
        <w:t>,</w:t>
      </w:r>
      <w:r>
        <w:rPr>
          <w:rFonts w:cs="Times New Roman"/>
        </w:rPr>
        <w:t xml:space="preserve"> to permit the review of historical complaints, each of these limitations has been removed. </w:t>
      </w:r>
      <w:r w:rsidRPr="00CA5B01">
        <w:rPr>
          <w:rFonts w:cs="Times New Roman"/>
        </w:rPr>
        <w:t xml:space="preserve">The Report notes there are a number of </w:t>
      </w:r>
      <w:r>
        <w:rPr>
          <w:rFonts w:cs="Times New Roman"/>
        </w:rPr>
        <w:t>benefits to reviewing historical complaints, including that a review can provide</w:t>
      </w:r>
      <w:r w:rsidRPr="00CA5B01">
        <w:rPr>
          <w:rFonts w:cs="Times New Roman"/>
        </w:rPr>
        <w:t xml:space="preserve"> complainants with a mechanis</w:t>
      </w:r>
      <w:r>
        <w:rPr>
          <w:rFonts w:cs="Times New Roman"/>
        </w:rPr>
        <w:t xml:space="preserve">m to be heard and acknowledged, and </w:t>
      </w:r>
      <w:r w:rsidRPr="00CA5B01">
        <w:rPr>
          <w:rFonts w:cs="Times New Roman"/>
        </w:rPr>
        <w:t xml:space="preserve">addresses past trauma; </w:t>
      </w:r>
      <w:r>
        <w:rPr>
          <w:rFonts w:cs="Times New Roman"/>
        </w:rPr>
        <w:t xml:space="preserve">can </w:t>
      </w:r>
      <w:r w:rsidRPr="00CA5B01">
        <w:rPr>
          <w:rFonts w:cs="Times New Roman"/>
        </w:rPr>
        <w:t xml:space="preserve">provide some form of justice; and may act as a deterrent to those who could </w:t>
      </w:r>
      <w:r>
        <w:rPr>
          <w:rFonts w:cs="Times New Roman"/>
        </w:rPr>
        <w:t xml:space="preserve">otherwise </w:t>
      </w:r>
      <w:r w:rsidRPr="00CA5B01">
        <w:rPr>
          <w:rFonts w:cs="Times New Roman"/>
        </w:rPr>
        <w:t>engage in harmful behaviour.</w:t>
      </w:r>
    </w:p>
    <w:p w14:paraId="081A9D89" w14:textId="65519AEA" w:rsidR="00A62326" w:rsidRDefault="00A62326" w:rsidP="00A62326">
      <w:pPr>
        <w:rPr>
          <w:rFonts w:cs="Times New Roman"/>
        </w:rPr>
      </w:pPr>
      <w:r w:rsidRPr="00640C05">
        <w:rPr>
          <w:rFonts w:cs="Times New Roman"/>
        </w:rPr>
        <w:t xml:space="preserve">The PWSS will </w:t>
      </w:r>
      <w:r>
        <w:rPr>
          <w:rFonts w:cs="Times New Roman"/>
        </w:rPr>
        <w:t>have the</w:t>
      </w:r>
      <w:r w:rsidRPr="00640C05">
        <w:rPr>
          <w:rFonts w:cs="Times New Roman"/>
        </w:rPr>
        <w:t xml:space="preserve"> discretion to assess the circumstances of each individual complaint and </w:t>
      </w:r>
      <w:proofErr w:type="gramStart"/>
      <w:r w:rsidRPr="00640C05">
        <w:rPr>
          <w:rFonts w:cs="Times New Roman"/>
        </w:rPr>
        <w:t>advise</w:t>
      </w:r>
      <w:proofErr w:type="gramEnd"/>
      <w:r w:rsidRPr="00640C05">
        <w:rPr>
          <w:rFonts w:cs="Times New Roman"/>
        </w:rPr>
        <w:t xml:space="preserve"> as to what action may be taken along a graduated spectrum of resolution</w:t>
      </w:r>
      <w:r w:rsidR="00484479">
        <w:rPr>
          <w:rFonts w:cs="Times New Roman"/>
        </w:rPr>
        <w:t>.</w:t>
      </w:r>
      <w:r w:rsidRPr="00640C05">
        <w:rPr>
          <w:rFonts w:cs="Times New Roman"/>
        </w:rPr>
        <w:t xml:space="preserve"> </w:t>
      </w:r>
    </w:p>
    <w:p w14:paraId="5A648842" w14:textId="4C4ACAEF" w:rsidR="00484479" w:rsidRDefault="00484479" w:rsidP="00A62326">
      <w:pPr>
        <w:rPr>
          <w:rFonts w:cs="Times New Roman"/>
        </w:rPr>
      </w:pPr>
      <w:r>
        <w:rPr>
          <w:rFonts w:cs="Times New Roman"/>
        </w:rPr>
        <w:t xml:space="preserve">The ability to review a historical complaint will depend on the circumstances of the complaint and </w:t>
      </w:r>
      <w:r w:rsidR="005774DA">
        <w:rPr>
          <w:rFonts w:cs="Times New Roman"/>
        </w:rPr>
        <w:t xml:space="preserve">may </w:t>
      </w:r>
      <w:r>
        <w:rPr>
          <w:rFonts w:cs="Times New Roman"/>
        </w:rPr>
        <w:t>not be practicable in all cases. The PWSS will work with individual complainants to ensure they are aware of what they can expect from the complaints process.</w:t>
      </w:r>
    </w:p>
    <w:p w14:paraId="12046EA2" w14:textId="1D87F7F8" w:rsidR="00BA2C09" w:rsidRDefault="00BA2C09" w:rsidP="00BA2C09">
      <w:pPr>
        <w:pStyle w:val="Heading1"/>
      </w:pPr>
      <w:r>
        <w:t>Items 7, 8, 9, 10 and 11—Definitions</w:t>
      </w:r>
    </w:p>
    <w:p w14:paraId="4F14F439" w14:textId="716AA51A" w:rsidR="009E21D7" w:rsidRDefault="009E21D7" w:rsidP="009E21D7">
      <w:r>
        <w:rPr>
          <w:rFonts w:cs="Times New Roman"/>
        </w:rPr>
        <w:t>Items 7, 8, 9, 10 and 11 either insert, or repeal and replace, the definitions of a number of terms used in</w:t>
      </w:r>
      <w:r w:rsidRPr="00C4396D">
        <w:rPr>
          <w:rFonts w:cs="Times New Roman"/>
        </w:rPr>
        <w:t xml:space="preserve"> amended clause</w:t>
      </w:r>
      <w:r w:rsidRPr="002309E5">
        <w:t xml:space="preserve"> 112B</w:t>
      </w:r>
      <w:r>
        <w:rPr>
          <w:rFonts w:cs="Times New Roman"/>
        </w:rPr>
        <w:t xml:space="preserve">. </w:t>
      </w:r>
    </w:p>
    <w:p w14:paraId="71EA1176" w14:textId="77777777" w:rsidR="0006072F" w:rsidRDefault="0006072F" w:rsidP="000A1015">
      <w:pPr>
        <w:pStyle w:val="Heading2"/>
      </w:pPr>
      <w:r w:rsidRPr="0006072F">
        <w:lastRenderedPageBreak/>
        <w:t>Commonwealth parliamentary workplace</w:t>
      </w:r>
    </w:p>
    <w:p w14:paraId="3BACC524" w14:textId="6BA4910E" w:rsidR="0006072F" w:rsidRPr="0006072F" w:rsidRDefault="0006072F" w:rsidP="000A1015">
      <w:r>
        <w:rPr>
          <w:rFonts w:cs="Times New Roman"/>
        </w:rPr>
        <w:t xml:space="preserve">The first of these terms is </w:t>
      </w:r>
      <w:r w:rsidRPr="002309E5">
        <w:rPr>
          <w:i/>
        </w:rPr>
        <w:t>Commonwealth parliamentary workplace</w:t>
      </w:r>
      <w:r w:rsidRPr="002309E5">
        <w:t xml:space="preserve">. This definition includes </w:t>
      </w:r>
      <w:r>
        <w:rPr>
          <w:rFonts w:cs="Times New Roman"/>
        </w:rPr>
        <w:t>the</w:t>
      </w:r>
      <w:r w:rsidR="00BA2C09">
        <w:rPr>
          <w:rFonts w:cs="Times New Roman"/>
        </w:rPr>
        <w:t xml:space="preserve"> area defined as the Parliamentary</w:t>
      </w:r>
      <w:r>
        <w:rPr>
          <w:rFonts w:cs="Times New Roman"/>
        </w:rPr>
        <w:t xml:space="preserve"> precincts, as defined in subsection </w:t>
      </w:r>
      <w:r w:rsidRPr="002309E5">
        <w:t>3</w:t>
      </w:r>
      <w:r>
        <w:rPr>
          <w:rFonts w:cs="Times New Roman"/>
        </w:rPr>
        <w:t xml:space="preserve">(1) of the </w:t>
      </w:r>
      <w:r w:rsidRPr="00AC1F66">
        <w:rPr>
          <w:rFonts w:cs="Times New Roman"/>
          <w:i/>
        </w:rPr>
        <w:t>Parliamentary Precincts Act 1988</w:t>
      </w:r>
      <w:r>
        <w:rPr>
          <w:rFonts w:cs="Times New Roman"/>
        </w:rPr>
        <w:t xml:space="preserve">. These precincts include certain grounds around Parliament House. The definition of </w:t>
      </w:r>
      <w:r w:rsidRPr="002309E5">
        <w:rPr>
          <w:i/>
        </w:rPr>
        <w:t>Commonwealth parliamentary workplace</w:t>
      </w:r>
      <w:r w:rsidRPr="002309E5">
        <w:t xml:space="preserve"> also includes</w:t>
      </w:r>
      <w:r w:rsidRPr="0006072F">
        <w:t xml:space="preserve"> </w:t>
      </w:r>
      <w:r>
        <w:t xml:space="preserve">an office provided or made available under the </w:t>
      </w:r>
      <w:r>
        <w:rPr>
          <w:i/>
        </w:rPr>
        <w:t>Parliamentary Business Resources Act 2017</w:t>
      </w:r>
      <w:r>
        <w:t xml:space="preserve">. This may include an electorate office or a Commonwealth Parliamentary Office located in a capital city, as well as </w:t>
      </w:r>
      <w:r w:rsidR="00200D28">
        <w:t>other offices</w:t>
      </w:r>
      <w:r>
        <w:t xml:space="preserve"> used</w:t>
      </w:r>
      <w:r w:rsidRPr="002309E5">
        <w:t xml:space="preserve"> by </w:t>
      </w:r>
      <w:r w:rsidRPr="00C4396D">
        <w:rPr>
          <w:rFonts w:cs="Times New Roman"/>
        </w:rPr>
        <w:t>Commonwealth parliamentary workplace participant</w:t>
      </w:r>
      <w:r>
        <w:rPr>
          <w:rFonts w:cs="Times New Roman"/>
        </w:rPr>
        <w:t>s.</w:t>
      </w:r>
    </w:p>
    <w:p w14:paraId="6E13D7DB" w14:textId="77777777" w:rsidR="000C51C0" w:rsidRDefault="000C51C0" w:rsidP="000C51C0">
      <w:pPr>
        <w:pStyle w:val="Heading2"/>
      </w:pPr>
      <w:r>
        <w:t>Commonwealth parliamentary workplace participants</w:t>
      </w:r>
    </w:p>
    <w:p w14:paraId="30C213DA" w14:textId="1075DA33" w:rsidR="00A62326" w:rsidRPr="00893F73" w:rsidRDefault="00AD410C" w:rsidP="00A62326">
      <w:pPr>
        <w:rPr>
          <w:rFonts w:cs="Times New Roman"/>
        </w:rPr>
      </w:pPr>
      <w:r>
        <w:t>Item 7 of Schedule 1</w:t>
      </w:r>
      <w:r w:rsidR="0006072F">
        <w:t xml:space="preserve"> also defines</w:t>
      </w:r>
      <w:r w:rsidR="00A62326" w:rsidRPr="00C4396D">
        <w:rPr>
          <w:rFonts w:cs="Times New Roman"/>
        </w:rPr>
        <w:t xml:space="preserve"> </w:t>
      </w:r>
      <w:r w:rsidR="00A62326" w:rsidRPr="00AC1F66">
        <w:rPr>
          <w:rFonts w:cs="Times New Roman"/>
          <w:i/>
        </w:rPr>
        <w:t>Commonwealth parliamentary workplace participant</w:t>
      </w:r>
      <w:r w:rsidR="00A62326" w:rsidRPr="00C4396D">
        <w:rPr>
          <w:rFonts w:cs="Times New Roman"/>
        </w:rPr>
        <w:t xml:space="preserve">, which describes the class of persons who can access the </w:t>
      </w:r>
      <w:r w:rsidR="00A62326">
        <w:rPr>
          <w:rFonts w:cs="Times New Roman"/>
        </w:rPr>
        <w:t xml:space="preserve">expanded </w:t>
      </w:r>
      <w:r w:rsidR="00A62326" w:rsidRPr="00C4396D">
        <w:rPr>
          <w:rFonts w:cs="Times New Roman"/>
        </w:rPr>
        <w:t>PWSS support services. The following persons are Commonwealth parliamentary workplace participants who can access the support service:</w:t>
      </w:r>
    </w:p>
    <w:p w14:paraId="208056C2" w14:textId="3F45E332" w:rsidR="00A62326" w:rsidRDefault="00A62326" w:rsidP="00A62326">
      <w:pPr>
        <w:pStyle w:val="ListParagraph"/>
      </w:pPr>
      <w:r w:rsidRPr="002309E5">
        <w:t xml:space="preserve">MOP(S) Act </w:t>
      </w:r>
      <w:r>
        <w:t>employees;</w:t>
      </w:r>
    </w:p>
    <w:p w14:paraId="768D0BAB" w14:textId="77777777" w:rsidR="00A62326" w:rsidRDefault="00A62326" w:rsidP="00A62326">
      <w:pPr>
        <w:pStyle w:val="ListParagraph"/>
      </w:pPr>
      <w:r>
        <w:t>parliamentarians;</w:t>
      </w:r>
    </w:p>
    <w:p w14:paraId="1C058BFF" w14:textId="77777777" w:rsidR="00A62326" w:rsidRDefault="00A62326" w:rsidP="00A62326">
      <w:pPr>
        <w:pStyle w:val="ListParagraph"/>
      </w:pPr>
      <w:r>
        <w:t>Parliamentary Service employees;</w:t>
      </w:r>
    </w:p>
    <w:p w14:paraId="1BD86645" w14:textId="77777777" w:rsidR="00A62326" w:rsidRDefault="00A62326" w:rsidP="00A62326">
      <w:pPr>
        <w:pStyle w:val="ListParagraph"/>
      </w:pPr>
      <w:r>
        <w:t>COMCAR drivers;</w:t>
      </w:r>
    </w:p>
    <w:p w14:paraId="57D8141F" w14:textId="0CE983CB" w:rsidR="00A62326" w:rsidRDefault="00A62326" w:rsidP="00A62326">
      <w:pPr>
        <w:pStyle w:val="ListParagraph"/>
        <w:keepNext/>
      </w:pPr>
      <w:proofErr w:type="gramStart"/>
      <w:r>
        <w:t>any</w:t>
      </w:r>
      <w:proofErr w:type="gramEnd"/>
      <w:r>
        <w:t xml:space="preserve"> other person who works </w:t>
      </w:r>
      <w:r w:rsidR="000C51C0">
        <w:t xml:space="preserve">in a Commonwealth </w:t>
      </w:r>
      <w:r w:rsidR="00714BA4">
        <w:t>p</w:t>
      </w:r>
      <w:r w:rsidR="000C51C0">
        <w:t>arliamentary workplace.</w:t>
      </w:r>
    </w:p>
    <w:p w14:paraId="5C8CD25A" w14:textId="0FF2DE42" w:rsidR="00A62326" w:rsidRDefault="00A62326" w:rsidP="00A62326">
      <w:r>
        <w:t xml:space="preserve">The final limb of </w:t>
      </w:r>
      <w:r w:rsidRPr="002309E5">
        <w:t xml:space="preserve">this </w:t>
      </w:r>
      <w:r>
        <w:t xml:space="preserve">definition would include, for example, a Press Gallery journalist. </w:t>
      </w:r>
    </w:p>
    <w:p w14:paraId="216EA27C" w14:textId="04F268D6" w:rsidR="00A62326" w:rsidRDefault="00A62326" w:rsidP="00A62326">
      <w:r>
        <w:t xml:space="preserve">A </w:t>
      </w:r>
      <w:r w:rsidRPr="002309E5">
        <w:t xml:space="preserve">person </w:t>
      </w:r>
      <w:r>
        <w:t xml:space="preserve">may work in </w:t>
      </w:r>
      <w:r w:rsidR="0006072F">
        <w:t>a Commonwealth Parliamentary workplace</w:t>
      </w:r>
      <w:r>
        <w:t xml:space="preserve"> in any capacity, including as an unpaid volunteer. All such persons would </w:t>
      </w:r>
      <w:r w:rsidRPr="002309E5">
        <w:t xml:space="preserve">be able to </w:t>
      </w:r>
      <w:r>
        <w:t xml:space="preserve">access the expanded support service. </w:t>
      </w:r>
    </w:p>
    <w:p w14:paraId="2C5C3615" w14:textId="5CC107BF" w:rsidR="00A62326" w:rsidRPr="00C4396D" w:rsidRDefault="0006072F" w:rsidP="00A62326">
      <w:r>
        <w:t>Paragraph (d) of this definition is intended to have</w:t>
      </w:r>
      <w:r w:rsidR="00A62326">
        <w:t xml:space="preserve"> the </w:t>
      </w:r>
      <w:r>
        <w:t xml:space="preserve">effect that references to </w:t>
      </w:r>
      <w:r w:rsidR="00A62326">
        <w:t xml:space="preserve">the </w:t>
      </w:r>
      <w:r>
        <w:t>duties of</w:t>
      </w:r>
      <w:r w:rsidR="00A62326">
        <w:t xml:space="preserve"> COMCAR </w:t>
      </w:r>
      <w:r>
        <w:t xml:space="preserve">drivers </w:t>
      </w:r>
      <w:r w:rsidR="00B432BD">
        <w:t xml:space="preserve">are references to those duties that relate to </w:t>
      </w:r>
      <w:r w:rsidR="00714BA4" w:rsidRPr="00C17D8F">
        <w:rPr>
          <w:rFonts w:cs="Times New Roman"/>
        </w:rPr>
        <w:t>Commonwealth parliamentary workplace participants</w:t>
      </w:r>
      <w:r w:rsidR="00714BA4">
        <w:rPr>
          <w:rFonts w:cs="Times New Roman"/>
        </w:rPr>
        <w:t>.</w:t>
      </w:r>
      <w:r w:rsidR="00714BA4">
        <w:t xml:space="preserve"> </w:t>
      </w:r>
      <w:r w:rsidR="00A62326">
        <w:t>This reflects the fact that other clients do not have a connection to Commonwealth parliamentary workplaces and the functions of the PWSS.</w:t>
      </w:r>
    </w:p>
    <w:p w14:paraId="48325D24" w14:textId="326B1900" w:rsidR="00A62326" w:rsidRDefault="00A62326" w:rsidP="00A62326">
      <w:pPr>
        <w:pStyle w:val="Heading2"/>
      </w:pPr>
      <w:r w:rsidRPr="002309E5">
        <w:t>MOP(S) Act emp</w:t>
      </w:r>
      <w:r>
        <w:t>loyees</w:t>
      </w:r>
    </w:p>
    <w:p w14:paraId="4F2BFB7A" w14:textId="300992D2" w:rsidR="00A62326" w:rsidRPr="00C17D8F" w:rsidRDefault="00A62326" w:rsidP="00C17D8F">
      <w:pPr>
        <w:rPr>
          <w:rFonts w:asciiTheme="minorHAnsi" w:hAnsiTheme="minorHAnsi"/>
        </w:rPr>
      </w:pPr>
      <w:r>
        <w:rPr>
          <w:rFonts w:cs="Times New Roman"/>
        </w:rPr>
        <w:t>The</w:t>
      </w:r>
      <w:r w:rsidRPr="002309E5">
        <w:t xml:space="preserve"> term </w:t>
      </w:r>
      <w:r w:rsidRPr="00C17D8F">
        <w:rPr>
          <w:i/>
        </w:rPr>
        <w:t>MOP(S) Act employee</w:t>
      </w:r>
      <w:r w:rsidRPr="002309E5">
        <w:t xml:space="preserve"> </w:t>
      </w:r>
      <w:r>
        <w:rPr>
          <w:rFonts w:cs="Times New Roman"/>
        </w:rPr>
        <w:t xml:space="preserve">is expanded to include consultants engaged under Part II of the MOP(S) Act. The definition continues to include persons </w:t>
      </w:r>
      <w:r w:rsidRPr="002309E5">
        <w:t xml:space="preserve">employed under </w:t>
      </w:r>
      <w:r>
        <w:rPr>
          <w:rFonts w:cs="Times New Roman"/>
        </w:rPr>
        <w:t>Parts</w:t>
      </w:r>
      <w:r w:rsidRPr="002309E5">
        <w:t xml:space="preserve"> III </w:t>
      </w:r>
      <w:r>
        <w:rPr>
          <w:rFonts w:cs="Times New Roman"/>
        </w:rPr>
        <w:t>and</w:t>
      </w:r>
      <w:r w:rsidRPr="002309E5">
        <w:t xml:space="preserve"> IV of </w:t>
      </w:r>
      <w:r>
        <w:rPr>
          <w:rFonts w:cs="Times New Roman"/>
        </w:rPr>
        <w:t>that Act.</w:t>
      </w:r>
    </w:p>
    <w:p w14:paraId="655B6982" w14:textId="72FF515D" w:rsidR="00A62326" w:rsidRDefault="00A62326" w:rsidP="00A62326">
      <w:pPr>
        <w:pStyle w:val="Heading2"/>
      </w:pPr>
      <w:r w:rsidRPr="002309E5">
        <w:t>Parliamentarians</w:t>
      </w:r>
    </w:p>
    <w:p w14:paraId="7EEB9988" w14:textId="4C215A9D" w:rsidR="00A62326" w:rsidRDefault="00A62326" w:rsidP="00A62326">
      <w:pPr>
        <w:rPr>
          <w:rFonts w:cs="Times New Roman"/>
        </w:rPr>
      </w:pPr>
      <w:r>
        <w:rPr>
          <w:rFonts w:cs="Times New Roman"/>
        </w:rPr>
        <w:t>The definition of</w:t>
      </w:r>
      <w:r w:rsidRPr="002309E5">
        <w:t xml:space="preserve"> </w:t>
      </w:r>
      <w:r w:rsidRPr="00C17D8F">
        <w:rPr>
          <w:i/>
        </w:rPr>
        <w:t>parliamentarian</w:t>
      </w:r>
      <w:r w:rsidRPr="002309E5">
        <w:t xml:space="preserve"> </w:t>
      </w:r>
      <w:r>
        <w:rPr>
          <w:rFonts w:cs="Times New Roman"/>
        </w:rPr>
        <w:t>is expanded beyond members and senators to include other persons who act in similar roles to parliamentarians and are responsible for the engagement of MOP(S) Act employees. These additional classes of person are:</w:t>
      </w:r>
    </w:p>
    <w:p w14:paraId="53224059" w14:textId="77777777" w:rsidR="00AD410C" w:rsidRPr="002309E5" w:rsidRDefault="00AD410C" w:rsidP="00C17D8F">
      <w:pPr>
        <w:pStyle w:val="ListParagraph"/>
      </w:pPr>
      <w:proofErr w:type="gramStart"/>
      <w:r>
        <w:t>s</w:t>
      </w:r>
      <w:r w:rsidR="0006072F">
        <w:t>enior</w:t>
      </w:r>
      <w:proofErr w:type="gramEnd"/>
      <w:r w:rsidR="0006072F">
        <w:t xml:space="preserve"> office holders, within the meaning of the </w:t>
      </w:r>
      <w:r w:rsidR="0006072F" w:rsidRPr="00AD410C">
        <w:rPr>
          <w:i/>
        </w:rPr>
        <w:t>Parliamentary Business Resources Regulations 2017</w:t>
      </w:r>
      <w:r>
        <w:t>. This includes the President of the Senate, the Speaker</w:t>
      </w:r>
      <w:r w:rsidRPr="002309E5">
        <w:t xml:space="preserve"> of the House of Representatives</w:t>
      </w:r>
      <w:r>
        <w:t>, a Minister and the Leader or Deputy Leader of the Opposition in a House of the Parliament</w:t>
      </w:r>
      <w:r w:rsidR="0006072F" w:rsidRPr="002309E5">
        <w:t>;</w:t>
      </w:r>
      <w:r w:rsidRPr="002309E5">
        <w:t xml:space="preserve"> and</w:t>
      </w:r>
    </w:p>
    <w:p w14:paraId="19603AD7" w14:textId="0E08C0C0" w:rsidR="00A62326" w:rsidRDefault="00A62326" w:rsidP="00A62326">
      <w:pPr>
        <w:pStyle w:val="ListParagraph"/>
      </w:pPr>
      <w:r>
        <w:t>former Prime Ministers, who continue to be responsible for the employment of MOP(S) Act employees; and</w:t>
      </w:r>
    </w:p>
    <w:p w14:paraId="1BBDF857" w14:textId="77777777" w:rsidR="00A62326" w:rsidRPr="007008C9" w:rsidRDefault="00A62326" w:rsidP="00A62326">
      <w:pPr>
        <w:pStyle w:val="ListParagraph"/>
      </w:pPr>
      <w:proofErr w:type="gramStart"/>
      <w:r>
        <w:t>former</w:t>
      </w:r>
      <w:proofErr w:type="gramEnd"/>
      <w:r>
        <w:t xml:space="preserve"> parliamentarians during an election period—when the person is not a parliamentarian only because the relevant House is dissolved. These persons may continue to be entitled to remuneration and be responsible for the employment of MOP(S) Act employees (see section 49 of the </w:t>
      </w:r>
      <w:r>
        <w:rPr>
          <w:i/>
        </w:rPr>
        <w:t>Parliamentary Business Resources Act 2017</w:t>
      </w:r>
      <w:r>
        <w:t>).</w:t>
      </w:r>
    </w:p>
    <w:p w14:paraId="640B6767" w14:textId="77777777" w:rsidR="001C2F4B" w:rsidRDefault="001C2F4B" w:rsidP="000A1015">
      <w:r>
        <w:rPr>
          <w:b/>
          <w:i/>
        </w:rPr>
        <w:t>Serious incident or misconduct</w:t>
      </w:r>
    </w:p>
    <w:p w14:paraId="248AC8CA" w14:textId="0FF77F5A" w:rsidR="000C51C0" w:rsidRDefault="000C51C0" w:rsidP="000C51C0">
      <w:pPr>
        <w:rPr>
          <w:rFonts w:cs="Times New Roman"/>
        </w:rPr>
      </w:pPr>
      <w:r w:rsidRPr="00C4396D">
        <w:rPr>
          <w:rFonts w:cs="Times New Roman"/>
        </w:rPr>
        <w:t xml:space="preserve">Item </w:t>
      </w:r>
      <w:r w:rsidR="008D7A13">
        <w:rPr>
          <w:rFonts w:cs="Times New Roman"/>
        </w:rPr>
        <w:t>10 repeals the definition of</w:t>
      </w:r>
      <w:r w:rsidR="008D7A13" w:rsidRPr="002309E5">
        <w:t xml:space="preserve"> </w:t>
      </w:r>
      <w:r w:rsidR="008D7A13" w:rsidRPr="00C17D8F">
        <w:rPr>
          <w:i/>
        </w:rPr>
        <w:t>serious incident</w:t>
      </w:r>
      <w:r w:rsidR="008D7A13" w:rsidRPr="002309E5">
        <w:t xml:space="preserve"> </w:t>
      </w:r>
      <w:r w:rsidR="008D7A13">
        <w:rPr>
          <w:rFonts w:cs="Times New Roman"/>
        </w:rPr>
        <w:t>and item 11 introduces a new definition</w:t>
      </w:r>
      <w:r w:rsidRPr="00C4396D">
        <w:rPr>
          <w:rFonts w:cs="Times New Roman"/>
        </w:rPr>
        <w:t xml:space="preserve"> </w:t>
      </w:r>
      <w:r w:rsidR="008D7A13">
        <w:rPr>
          <w:rFonts w:cs="Times New Roman"/>
        </w:rPr>
        <w:t xml:space="preserve">of </w:t>
      </w:r>
      <w:r>
        <w:rPr>
          <w:rFonts w:cs="Times New Roman"/>
          <w:i/>
        </w:rPr>
        <w:t xml:space="preserve">serious </w:t>
      </w:r>
      <w:r w:rsidRPr="000C51C0">
        <w:rPr>
          <w:rFonts w:cs="Times New Roman"/>
          <w:i/>
        </w:rPr>
        <w:t>incident</w:t>
      </w:r>
      <w:r w:rsidRPr="000A1015">
        <w:rPr>
          <w:rFonts w:cs="Times New Roman"/>
          <w:i/>
        </w:rPr>
        <w:t xml:space="preserve"> or misconduct</w:t>
      </w:r>
      <w:r>
        <w:rPr>
          <w:rFonts w:cs="Times New Roman"/>
        </w:rPr>
        <w:t xml:space="preserve">. </w:t>
      </w:r>
      <w:r w:rsidR="008D7A13">
        <w:rPr>
          <w:rFonts w:cs="Times New Roman"/>
        </w:rPr>
        <w:t>S</w:t>
      </w:r>
      <w:r>
        <w:rPr>
          <w:rFonts w:cs="Times New Roman"/>
        </w:rPr>
        <w:t>erious incident or misconduct</w:t>
      </w:r>
      <w:r w:rsidR="008D7A13">
        <w:rPr>
          <w:rFonts w:cs="Times New Roman"/>
        </w:rPr>
        <w:t xml:space="preserve"> means</w:t>
      </w:r>
      <w:r>
        <w:rPr>
          <w:rFonts w:cs="Times New Roman"/>
        </w:rPr>
        <w:t>:</w:t>
      </w:r>
    </w:p>
    <w:p w14:paraId="7B45B636" w14:textId="1A8B6B4C" w:rsidR="00A62326" w:rsidRDefault="00A62326" w:rsidP="00A62326">
      <w:pPr>
        <w:pStyle w:val="ListParagraph"/>
      </w:pPr>
      <w:r>
        <w:lastRenderedPageBreak/>
        <w:t>a</w:t>
      </w:r>
      <w:r w:rsidRPr="002309E5">
        <w:t xml:space="preserve"> sexual assault</w:t>
      </w:r>
      <w:r>
        <w:t xml:space="preserve"> or</w:t>
      </w:r>
      <w:r w:rsidRPr="002309E5">
        <w:t xml:space="preserve"> assault</w:t>
      </w:r>
      <w:r>
        <w:t>;</w:t>
      </w:r>
    </w:p>
    <w:p w14:paraId="3C6C24BD" w14:textId="5A99BFDE" w:rsidR="00A62326" w:rsidRDefault="00A62326" w:rsidP="00A62326">
      <w:pPr>
        <w:pStyle w:val="ListParagraph"/>
      </w:pPr>
      <w:r w:rsidRPr="002309E5">
        <w:t>sexual harassment</w:t>
      </w:r>
      <w:r>
        <w:t>;</w:t>
      </w:r>
    </w:p>
    <w:p w14:paraId="1BCA2886" w14:textId="0451BE6E" w:rsidR="00A62326" w:rsidRDefault="00A62326" w:rsidP="00A62326">
      <w:pPr>
        <w:pStyle w:val="ListParagraph"/>
      </w:pPr>
      <w:r w:rsidRPr="002309E5">
        <w:t>harassment</w:t>
      </w:r>
      <w:r>
        <w:t>;</w:t>
      </w:r>
    </w:p>
    <w:p w14:paraId="3581698F" w14:textId="77777777" w:rsidR="00A62326" w:rsidRDefault="00A62326" w:rsidP="00A62326">
      <w:pPr>
        <w:pStyle w:val="ListParagraph"/>
      </w:pPr>
      <w:r>
        <w:t>bullying;</w:t>
      </w:r>
    </w:p>
    <w:p w14:paraId="73FEB5B8" w14:textId="222A72DE" w:rsidR="00A62326" w:rsidRPr="002309E5" w:rsidRDefault="009E21D7" w:rsidP="00C17D8F">
      <w:pPr>
        <w:pStyle w:val="ListParagraph"/>
      </w:pPr>
      <w:proofErr w:type="gramStart"/>
      <w:r>
        <w:t>an</w:t>
      </w:r>
      <w:proofErr w:type="gramEnd"/>
      <w:r>
        <w:t xml:space="preserve"> in</w:t>
      </w:r>
      <w:r w:rsidR="00701C71">
        <w:t>stance</w:t>
      </w:r>
      <w:r w:rsidRPr="002309E5">
        <w:t xml:space="preserve"> of a </w:t>
      </w:r>
      <w:r w:rsidR="00A62326" w:rsidRPr="002309E5">
        <w:t xml:space="preserve">person </w:t>
      </w:r>
      <w:r w:rsidRPr="002309E5">
        <w:t>behaving unreasonably towards</w:t>
      </w:r>
      <w:r w:rsidR="00A62326" w:rsidRPr="000F7498">
        <w:t xml:space="preserve"> another person </w:t>
      </w:r>
      <w:r w:rsidR="008D7A13">
        <w:t>where</w:t>
      </w:r>
      <w:r w:rsidR="008D7A13" w:rsidRPr="002309E5">
        <w:t xml:space="preserve"> that </w:t>
      </w:r>
      <w:r w:rsidR="008D7A13">
        <w:t xml:space="preserve">behaviour </w:t>
      </w:r>
      <w:r w:rsidR="000C51C0" w:rsidRPr="002309E5">
        <w:t>creates a risk to work health</w:t>
      </w:r>
      <w:r w:rsidR="00701C71">
        <w:t xml:space="preserve"> or</w:t>
      </w:r>
      <w:r w:rsidR="00701C71" w:rsidRPr="002309E5">
        <w:t xml:space="preserve"> </w:t>
      </w:r>
      <w:r w:rsidR="000C51C0" w:rsidRPr="002309E5">
        <w:t>safety</w:t>
      </w:r>
      <w:r w:rsidR="008D7A13">
        <w:t>.</w:t>
      </w:r>
    </w:p>
    <w:p w14:paraId="283B221C" w14:textId="58E17FF7" w:rsidR="00A62326" w:rsidRPr="00C4396D" w:rsidRDefault="00A62326" w:rsidP="00A62326">
      <w:pPr>
        <w:pStyle w:val="Heading1"/>
      </w:pPr>
      <w:r>
        <w:t xml:space="preserve">Items </w:t>
      </w:r>
      <w:r w:rsidR="008D7A13">
        <w:t>12, 13 and 14</w:t>
      </w:r>
      <w:r>
        <w:t>—Consequential amendments</w:t>
      </w:r>
    </w:p>
    <w:p w14:paraId="7F98462A" w14:textId="0C38E031" w:rsidR="00A62326" w:rsidRPr="0040339B" w:rsidRDefault="00A62326" w:rsidP="00A62326">
      <w:pPr>
        <w:rPr>
          <w:rFonts w:asciiTheme="minorHAnsi" w:hAnsiTheme="minorHAnsi"/>
        </w:rPr>
      </w:pPr>
      <w:r w:rsidRPr="00C17D8F">
        <w:t>Item</w:t>
      </w:r>
      <w:r w:rsidR="008D7A13" w:rsidRPr="00C17D8F">
        <w:t xml:space="preserve"> </w:t>
      </w:r>
      <w:r w:rsidR="008D7A13">
        <w:rPr>
          <w:rFonts w:cs="Times New Roman"/>
        </w:rPr>
        <w:t>12</w:t>
      </w:r>
      <w:r w:rsidRPr="00C17D8F">
        <w:t xml:space="preserve"> of Schedule 1</w:t>
      </w:r>
      <w:r w:rsidRPr="002309E5">
        <w:t xml:space="preserve"> </w:t>
      </w:r>
      <w:r w:rsidR="001C2F4B" w:rsidRPr="00C4396D">
        <w:rPr>
          <w:rFonts w:cs="Times New Roman"/>
        </w:rPr>
        <w:t>add</w:t>
      </w:r>
      <w:r w:rsidR="008D7A13">
        <w:rPr>
          <w:rFonts w:cs="Times New Roman"/>
        </w:rPr>
        <w:t>s</w:t>
      </w:r>
      <w:r w:rsidRPr="00C4396D">
        <w:rPr>
          <w:rFonts w:cs="Times New Roman"/>
        </w:rPr>
        <w:t xml:space="preserve"> the new definition</w:t>
      </w:r>
      <w:r>
        <w:rPr>
          <w:rFonts w:cs="Times New Roman"/>
        </w:rPr>
        <w:t>s</w:t>
      </w:r>
      <w:r w:rsidRPr="00C4396D">
        <w:rPr>
          <w:rFonts w:cs="Times New Roman"/>
        </w:rPr>
        <w:t xml:space="preserve"> of </w:t>
      </w:r>
      <w:r w:rsidRPr="00AC1F66">
        <w:rPr>
          <w:rFonts w:cs="Times New Roman"/>
          <w:i/>
        </w:rPr>
        <w:t>Commonwealth parli</w:t>
      </w:r>
      <w:r>
        <w:rPr>
          <w:rFonts w:cs="Times New Roman"/>
          <w:i/>
        </w:rPr>
        <w:t>amentary workplace</w:t>
      </w:r>
      <w:r w:rsidRPr="002309E5">
        <w:t xml:space="preserve"> </w:t>
      </w:r>
      <w:r w:rsidR="008D7A13">
        <w:rPr>
          <w:rFonts w:cs="Times New Roman"/>
        </w:rPr>
        <w:t xml:space="preserve">and </w:t>
      </w:r>
      <w:r w:rsidR="001C2F4B" w:rsidRPr="00AC1F66">
        <w:rPr>
          <w:rFonts w:cs="Times New Roman"/>
          <w:i/>
        </w:rPr>
        <w:t>Commonwealth parli</w:t>
      </w:r>
      <w:r w:rsidR="001C2F4B">
        <w:rPr>
          <w:rFonts w:cs="Times New Roman"/>
          <w:i/>
        </w:rPr>
        <w:t xml:space="preserve">amentary workplace </w:t>
      </w:r>
      <w:r>
        <w:rPr>
          <w:rFonts w:cs="Times New Roman"/>
          <w:i/>
        </w:rPr>
        <w:t>participant</w:t>
      </w:r>
      <w:r w:rsidRPr="00C4396D">
        <w:rPr>
          <w:rFonts w:cs="Times New Roman"/>
        </w:rPr>
        <w:t xml:space="preserve"> to the Dictionary in</w:t>
      </w:r>
      <w:r w:rsidRPr="002309E5">
        <w:t xml:space="preserve"> Schedule 1 to the </w:t>
      </w:r>
      <w:r w:rsidRPr="00C4396D">
        <w:rPr>
          <w:rFonts w:cs="Times New Roman"/>
        </w:rPr>
        <w:t>Determination.</w:t>
      </w:r>
    </w:p>
    <w:p w14:paraId="1E4464F3" w14:textId="317B8E59" w:rsidR="001C2F4B" w:rsidRPr="002309E5" w:rsidRDefault="00A62326" w:rsidP="000A1015">
      <w:r>
        <w:rPr>
          <w:rFonts w:cs="Times New Roman"/>
        </w:rPr>
        <w:t xml:space="preserve">Items </w:t>
      </w:r>
      <w:r w:rsidR="001B6ACF">
        <w:rPr>
          <w:rFonts w:cs="Times New Roman"/>
        </w:rPr>
        <w:t>13</w:t>
      </w:r>
      <w:r>
        <w:rPr>
          <w:rFonts w:cs="Times New Roman"/>
        </w:rPr>
        <w:t xml:space="preserve"> and </w:t>
      </w:r>
      <w:r w:rsidR="001B6ACF">
        <w:rPr>
          <w:rFonts w:cs="Times New Roman"/>
        </w:rPr>
        <w:t>14 repeal</w:t>
      </w:r>
      <w:r>
        <w:rPr>
          <w:rFonts w:cs="Times New Roman"/>
        </w:rPr>
        <w:t xml:space="preserve"> the </w:t>
      </w:r>
      <w:r w:rsidRPr="002309E5">
        <w:t xml:space="preserve">definition of </w:t>
      </w:r>
      <w:r w:rsidRPr="00C17D8F">
        <w:rPr>
          <w:i/>
        </w:rPr>
        <w:t>serious incident</w:t>
      </w:r>
      <w:r w:rsidR="001B6ACF" w:rsidRPr="002309E5">
        <w:t xml:space="preserve"> </w:t>
      </w:r>
      <w:r w:rsidR="001B6ACF">
        <w:rPr>
          <w:rFonts w:cs="Times New Roman"/>
        </w:rPr>
        <w:t xml:space="preserve">and insert the definition of </w:t>
      </w:r>
      <w:r w:rsidR="001B6ACF">
        <w:rPr>
          <w:rFonts w:cs="Times New Roman"/>
          <w:i/>
        </w:rPr>
        <w:t>serious incident and misconduct</w:t>
      </w:r>
      <w:r w:rsidR="001B6ACF" w:rsidRPr="002309E5">
        <w:t>.</w:t>
      </w:r>
    </w:p>
    <w:p w14:paraId="202410C6" w14:textId="70EB5563" w:rsidR="00A62326" w:rsidRDefault="00A62326" w:rsidP="00A62326">
      <w:pPr>
        <w:rPr>
          <w:rFonts w:cs="Times New Roman"/>
        </w:rPr>
      </w:pPr>
      <w:r>
        <w:rPr>
          <w:rFonts w:cs="Times New Roman"/>
        </w:rPr>
        <w:br w:type="page"/>
      </w:r>
    </w:p>
    <w:p w14:paraId="22A44B5B" w14:textId="77777777" w:rsidR="00A62326" w:rsidRPr="002309E5" w:rsidRDefault="00A62326" w:rsidP="00A62326">
      <w:pPr>
        <w:jc w:val="right"/>
        <w:rPr>
          <w:b/>
        </w:rPr>
      </w:pPr>
      <w:r w:rsidRPr="002309E5">
        <w:rPr>
          <w:b/>
        </w:rPr>
        <w:lastRenderedPageBreak/>
        <w:t>ATTACHMENT B</w:t>
      </w:r>
    </w:p>
    <w:p w14:paraId="13EBAA38" w14:textId="77777777" w:rsidR="00A62326" w:rsidRPr="00C17D8F" w:rsidRDefault="00A62326" w:rsidP="00A62326">
      <w:pPr>
        <w:jc w:val="center"/>
        <w:rPr>
          <w:rFonts w:asciiTheme="minorHAnsi" w:hAnsiTheme="minorHAnsi"/>
          <w:b/>
        </w:rPr>
      </w:pPr>
      <w:r>
        <w:rPr>
          <w:b/>
        </w:rPr>
        <w:t>Statement of Compatibility with Human Rights</w:t>
      </w:r>
    </w:p>
    <w:p w14:paraId="52EDD6BF" w14:textId="77777777" w:rsidR="00A62326" w:rsidRPr="00C17D8F" w:rsidRDefault="00A62326" w:rsidP="00A62326">
      <w:pPr>
        <w:jc w:val="center"/>
        <w:rPr>
          <w:rFonts w:asciiTheme="minorHAnsi" w:hAnsiTheme="minorHAnsi"/>
          <w:i/>
        </w:rPr>
      </w:pPr>
      <w:r>
        <w:rPr>
          <w:i/>
        </w:rPr>
        <w:t>Prepared in accordance with Part 3 of the Human Rights (Parliamentary Scrutiny) Act 2011</w:t>
      </w:r>
    </w:p>
    <w:p w14:paraId="09544444" w14:textId="6C582D3E" w:rsidR="00A62326" w:rsidRPr="002309E5" w:rsidRDefault="00A62326" w:rsidP="00A62326">
      <w:pPr>
        <w:jc w:val="center"/>
        <w:rPr>
          <w:rFonts w:asciiTheme="minorHAnsi" w:hAnsiTheme="minorHAnsi"/>
          <w:i/>
        </w:rPr>
      </w:pPr>
      <w:r>
        <w:rPr>
          <w:i/>
        </w:rPr>
        <w:t xml:space="preserve">Parliamentary Service Amendment (Independent Parliamentary Workplace Complaints Mechanism) Determination </w:t>
      </w:r>
      <w:r>
        <w:rPr>
          <w:rFonts w:cs="Times New Roman"/>
          <w:i/>
        </w:rPr>
        <w:t>2022</w:t>
      </w:r>
    </w:p>
    <w:p w14:paraId="00CBA73E" w14:textId="77777777" w:rsidR="00A62326" w:rsidRPr="00C17D8F" w:rsidRDefault="00A62326" w:rsidP="00C17D8F">
      <w:pPr>
        <w:pStyle w:val="Heading1"/>
        <w:rPr>
          <w:b w:val="0"/>
        </w:rPr>
      </w:pPr>
      <w:r w:rsidRPr="002309E5">
        <w:t>Overview of the Legislative Instrument</w:t>
      </w:r>
    </w:p>
    <w:p w14:paraId="1FDBB464" w14:textId="3A599033" w:rsidR="00A62326" w:rsidRPr="002309E5" w:rsidRDefault="00A62326" w:rsidP="00C17D8F">
      <w:pPr>
        <w:rPr>
          <w:i/>
        </w:rPr>
      </w:pPr>
      <w:r>
        <w:t xml:space="preserve">The main purpose of the </w:t>
      </w:r>
      <w:r w:rsidRPr="00C17D8F">
        <w:t xml:space="preserve">Amendment Determination </w:t>
      </w:r>
      <w:r w:rsidRPr="002309E5">
        <w:t xml:space="preserve">is to amend the </w:t>
      </w:r>
      <w:r>
        <w:rPr>
          <w:i/>
        </w:rPr>
        <w:t>Parliamentary Service Determination 2013</w:t>
      </w:r>
      <w:r>
        <w:t xml:space="preserve"> (the </w:t>
      </w:r>
      <w:r>
        <w:rPr>
          <w:b/>
        </w:rPr>
        <w:t>Determination</w:t>
      </w:r>
      <w:r>
        <w:t xml:space="preserve">) to expand the </w:t>
      </w:r>
      <w:r w:rsidRPr="002309E5">
        <w:t xml:space="preserve">functions </w:t>
      </w:r>
      <w:r>
        <w:t xml:space="preserve">conferred </w:t>
      </w:r>
      <w:r w:rsidRPr="002309E5">
        <w:t xml:space="preserve">on the Commissioner for the purposes of </w:t>
      </w:r>
      <w:r>
        <w:t>paragraph</w:t>
      </w:r>
      <w:r w:rsidRPr="002309E5">
        <w:t xml:space="preserve"> 40(1</w:t>
      </w:r>
      <w:proofErr w:type="gramStart"/>
      <w:r w:rsidRPr="002309E5">
        <w:t>)(</w:t>
      </w:r>
      <w:proofErr w:type="gramEnd"/>
      <w:r w:rsidRPr="002309E5">
        <w:t xml:space="preserve">d) of the Act. </w:t>
      </w:r>
      <w:r>
        <w:t>Paragraph</w:t>
      </w:r>
      <w:r w:rsidRPr="002309E5">
        <w:t xml:space="preserve"> 40(1</w:t>
      </w:r>
      <w:proofErr w:type="gramStart"/>
      <w:r w:rsidRPr="002309E5">
        <w:t>)(</w:t>
      </w:r>
      <w:proofErr w:type="gramEnd"/>
      <w:r w:rsidRPr="002309E5">
        <w:t xml:space="preserve">d) of the Act provides that the Commissioner’s functions include such other functions as are conferred on the Commissioner by the Act, the </w:t>
      </w:r>
      <w:r>
        <w:t>determinations</w:t>
      </w:r>
      <w:r w:rsidRPr="002309E5">
        <w:t xml:space="preserve"> or any other law. </w:t>
      </w:r>
    </w:p>
    <w:p w14:paraId="4AA42304" w14:textId="1795DAA9" w:rsidR="00A62326" w:rsidRPr="002309E5" w:rsidRDefault="00A62326" w:rsidP="00C17D8F">
      <w:r>
        <w:t>The Amendment Determination expands</w:t>
      </w:r>
      <w:r w:rsidRPr="002309E5">
        <w:t xml:space="preserve"> the functions conferred on the Commissioner to give effect to an independent parliamentary workplace complaints mechanism (the </w:t>
      </w:r>
      <w:r w:rsidRPr="002309E5">
        <w:rPr>
          <w:b/>
        </w:rPr>
        <w:t>mechanism</w:t>
      </w:r>
      <w:r>
        <w:t xml:space="preserve">) for staff employed under the </w:t>
      </w:r>
      <w:r>
        <w:rPr>
          <w:i/>
        </w:rPr>
        <w:t xml:space="preserve">Members of Parliament (Staff) </w:t>
      </w:r>
      <w:r w:rsidRPr="002309E5">
        <w:rPr>
          <w:i/>
        </w:rPr>
        <w:t>Act 1984</w:t>
      </w:r>
      <w:r w:rsidRPr="002309E5">
        <w:t xml:space="preserve"> (</w:t>
      </w:r>
      <w:r w:rsidRPr="00385230">
        <w:t>the</w:t>
      </w:r>
      <w:r>
        <w:rPr>
          <w:b/>
        </w:rPr>
        <w:t xml:space="preserve"> </w:t>
      </w:r>
      <w:r w:rsidRPr="002309E5">
        <w:rPr>
          <w:b/>
        </w:rPr>
        <w:t>MOP(S) Act</w:t>
      </w:r>
      <w:r w:rsidRPr="002309E5">
        <w:t xml:space="preserve">) and parliamentarians. </w:t>
      </w:r>
      <w:r>
        <w:t>The functions conferred on the Commissioner by section 112B of the Determination include the functions</w:t>
      </w:r>
      <w:r w:rsidRPr="002309E5">
        <w:t xml:space="preserve"> to:</w:t>
      </w:r>
    </w:p>
    <w:p w14:paraId="15E028C2" w14:textId="1E495E0F" w:rsidR="00A62326" w:rsidRPr="002309E5" w:rsidRDefault="00A62326" w:rsidP="00C17D8F">
      <w:pPr>
        <w:pStyle w:val="ListParagraph"/>
      </w:pPr>
      <w:r>
        <w:t>e</w:t>
      </w:r>
      <w:r w:rsidRPr="00BC6D1B">
        <w:t xml:space="preserve">stablish and maintain a mechanism able to </w:t>
      </w:r>
      <w:r>
        <w:t>review</w:t>
      </w:r>
      <w:r w:rsidRPr="00BC6D1B">
        <w:t xml:space="preserve"> and make recommendations</w:t>
      </w:r>
      <w:r>
        <w:t xml:space="preserve"> in relation to complaints about serious incidents involving MOP(S) Act employees and parliamentarians in the course of their work (the </w:t>
      </w:r>
      <w:r w:rsidRPr="00385230">
        <w:rPr>
          <w:b/>
        </w:rPr>
        <w:t>workplace review function</w:t>
      </w:r>
      <w:r>
        <w:t>);</w:t>
      </w:r>
    </w:p>
    <w:p w14:paraId="5388639B" w14:textId="3EE966F9" w:rsidR="00A62326" w:rsidRPr="002309E5" w:rsidRDefault="00A62326" w:rsidP="00C17D8F">
      <w:pPr>
        <w:pStyle w:val="ListParagraph"/>
      </w:pPr>
      <w:r>
        <w:t xml:space="preserve">provide </w:t>
      </w:r>
      <w:r w:rsidRPr="00641B30">
        <w:t>trauma-informed support</w:t>
      </w:r>
      <w:r>
        <w:t xml:space="preserve"> services</w:t>
      </w:r>
      <w:r w:rsidRPr="00641B30">
        <w:t>, and early intervention and resolution</w:t>
      </w:r>
      <w:r w:rsidRPr="00641B30" w:rsidDel="00641B30">
        <w:t xml:space="preserve"> </w:t>
      </w:r>
      <w:r>
        <w:t xml:space="preserve">services (the </w:t>
      </w:r>
      <w:r w:rsidRPr="00385230">
        <w:rPr>
          <w:b/>
        </w:rPr>
        <w:t>support services</w:t>
      </w:r>
      <w:r>
        <w:t>)</w:t>
      </w:r>
      <w:r w:rsidRPr="002309E5">
        <w:t xml:space="preserve"> to MOP(S) Act employees and parliamentarians in relation to serious incidents and other work health and safety-related matters</w:t>
      </w:r>
      <w:r>
        <w:t xml:space="preserve"> that occur in the course of those persons performing their duties as MOP(S) Act employees or parliamentarians; and</w:t>
      </w:r>
    </w:p>
    <w:p w14:paraId="326215F0" w14:textId="376339AB" w:rsidR="00A62326" w:rsidRDefault="00A62326" w:rsidP="00A62326">
      <w:pPr>
        <w:pStyle w:val="ListParagraph"/>
      </w:pPr>
      <w:proofErr w:type="gramStart"/>
      <w:r>
        <w:t>provide</w:t>
      </w:r>
      <w:proofErr w:type="gramEnd"/>
      <w:r>
        <w:t xml:space="preserve"> </w:t>
      </w:r>
      <w:r w:rsidRPr="00995F4B">
        <w:t>education</w:t>
      </w:r>
      <w:r>
        <w:t xml:space="preserve"> and information in relation to the mechanism, serious incidents and other matters related to </w:t>
      </w:r>
      <w:r w:rsidRPr="002309E5">
        <w:t>work health and safety</w:t>
      </w:r>
      <w:r>
        <w:t>.</w:t>
      </w:r>
    </w:p>
    <w:p w14:paraId="77F06FDA" w14:textId="77777777" w:rsidR="00A62326" w:rsidRDefault="00A62326" w:rsidP="00A62326">
      <w:r>
        <w:t xml:space="preserve">The mechanism is operated under the name of the Parliamentary Workplace Support Service (the </w:t>
      </w:r>
      <w:r w:rsidRPr="00385230">
        <w:rPr>
          <w:b/>
        </w:rPr>
        <w:t>PWSS</w:t>
      </w:r>
      <w:r>
        <w:t xml:space="preserve">). </w:t>
      </w:r>
    </w:p>
    <w:p w14:paraId="28A76047" w14:textId="77777777" w:rsidR="00D532E3" w:rsidRDefault="00D532E3" w:rsidP="00D532E3">
      <w:r>
        <w:t>The Amendment Determination expands the PWSS by:</w:t>
      </w:r>
    </w:p>
    <w:p w14:paraId="38254535" w14:textId="4A8A6DE2" w:rsidR="00D532E3" w:rsidRDefault="00D532E3" w:rsidP="00D532E3">
      <w:pPr>
        <w:pStyle w:val="ListParagraph"/>
      </w:pPr>
      <w:r>
        <w:t>permitting the PWSS to provide the support services and education to all Commonwealth parliamentary workplace par</w:t>
      </w:r>
      <w:r w:rsidR="008A5B90">
        <w:t xml:space="preserve">ticipants in relation a </w:t>
      </w:r>
      <w:r>
        <w:t>range of matters connected with their duties;</w:t>
      </w:r>
      <w:r w:rsidR="008A5B90">
        <w:t xml:space="preserve"> and</w:t>
      </w:r>
    </w:p>
    <w:p w14:paraId="63F03B9A" w14:textId="3AA1D1F0" w:rsidR="00A62326" w:rsidRPr="002309E5" w:rsidRDefault="00D532E3" w:rsidP="00C17D8F">
      <w:pPr>
        <w:pStyle w:val="ListParagraph"/>
      </w:pPr>
      <w:proofErr w:type="gramStart"/>
      <w:r>
        <w:t>where</w:t>
      </w:r>
      <w:proofErr w:type="gramEnd"/>
      <w:r>
        <w:t xml:space="preserve"> appropriate, permitting historical complaints to be reviewed as part of the workplace review function</w:t>
      </w:r>
      <w:r w:rsidRPr="002309E5">
        <w:t>.</w:t>
      </w:r>
    </w:p>
    <w:p w14:paraId="122B657B" w14:textId="77777777" w:rsidR="00A62326" w:rsidRPr="00F90F71" w:rsidRDefault="00A62326" w:rsidP="00C17D8F">
      <w:pPr>
        <w:pStyle w:val="Heading1"/>
      </w:pPr>
      <w:r w:rsidRPr="00F90F71">
        <w:t>Human rights implications</w:t>
      </w:r>
    </w:p>
    <w:p w14:paraId="25E0CDB1" w14:textId="31439F2A" w:rsidR="00A62326" w:rsidRPr="00C17D8F" w:rsidRDefault="00A62326" w:rsidP="00C17D8F">
      <w:pPr>
        <w:rPr>
          <w:rFonts w:asciiTheme="minorHAnsi" w:hAnsiTheme="minorHAnsi"/>
        </w:rPr>
      </w:pPr>
      <w:r w:rsidRPr="00C17D8F">
        <w:t xml:space="preserve">The determination does not introduce or abrogate any existing rights. Rather, by </w:t>
      </w:r>
      <w:r>
        <w:t xml:space="preserve">expanding </w:t>
      </w:r>
      <w:r w:rsidRPr="00C17D8F">
        <w:t xml:space="preserve">the </w:t>
      </w:r>
      <w:r>
        <w:t>scope of the PWSS</w:t>
      </w:r>
      <w:r w:rsidRPr="00C17D8F">
        <w:t xml:space="preserve">, it </w:t>
      </w:r>
      <w:r>
        <w:t>builds on</w:t>
      </w:r>
      <w:r w:rsidRPr="00C17D8F">
        <w:t xml:space="preserve"> and </w:t>
      </w:r>
      <w:r>
        <w:t>continues to support the ability of Commonwealth parliamentary workplace participants to</w:t>
      </w:r>
      <w:r w:rsidRPr="00C17D8F">
        <w:t xml:space="preserve"> seek support for</w:t>
      </w:r>
      <w:r>
        <w:t>,</w:t>
      </w:r>
      <w:r w:rsidRPr="00C17D8F">
        <w:t xml:space="preserve"> and </w:t>
      </w:r>
      <w:r>
        <w:t xml:space="preserve">the </w:t>
      </w:r>
      <w:r w:rsidRPr="00C17D8F">
        <w:t>review of</w:t>
      </w:r>
      <w:r>
        <w:t>,</w:t>
      </w:r>
      <w:r w:rsidRPr="00C17D8F">
        <w:t xml:space="preserve"> incidents</w:t>
      </w:r>
      <w:r>
        <w:t xml:space="preserve"> relating to a range of unreasonable or harmful conduct</w:t>
      </w:r>
      <w:r w:rsidRPr="00C17D8F">
        <w:t xml:space="preserve"> in the course of their work. It may therefore be seen to advance the enjoyment of certain rights, discussed below.</w:t>
      </w:r>
    </w:p>
    <w:p w14:paraId="3C3FC702" w14:textId="77777777" w:rsidR="00A62326" w:rsidRPr="00C17D8F" w:rsidRDefault="00A62326" w:rsidP="00C17D8F">
      <w:pPr>
        <w:pStyle w:val="Heading2"/>
        <w:rPr>
          <w:b w:val="0"/>
          <w:i w:val="0"/>
        </w:rPr>
      </w:pPr>
      <w:r w:rsidRPr="00C17D8F">
        <w:t>Rights to equality and non-discrimination</w:t>
      </w:r>
    </w:p>
    <w:p w14:paraId="75C26B0B" w14:textId="23653F1E" w:rsidR="00A62326" w:rsidRPr="00C17D8F" w:rsidRDefault="00A62326" w:rsidP="00C17D8F">
      <w:pPr>
        <w:rPr>
          <w:rFonts w:asciiTheme="minorHAnsi" w:hAnsiTheme="minorHAnsi"/>
        </w:rPr>
      </w:pPr>
      <w:r w:rsidRPr="00C17D8F">
        <w:t xml:space="preserve">The </w:t>
      </w:r>
      <w:r>
        <w:t>PWSS</w:t>
      </w:r>
      <w:r w:rsidRPr="00C17D8F">
        <w:t xml:space="preserve"> will provide support and review for </w:t>
      </w:r>
      <w:r>
        <w:t>a range of</w:t>
      </w:r>
      <w:r w:rsidRPr="00C17D8F">
        <w:t xml:space="preserve"> incidents, which are defined to include harassment. Harassment as defined in federal and state and territory discrimination laws generally means treating a person less favourably on the basis of a particular protected attribute, such as a person’s sex, race, disability, marital status, sexual orientation</w:t>
      </w:r>
      <w:r>
        <w:t xml:space="preserve"> or</w:t>
      </w:r>
      <w:r w:rsidRPr="00C17D8F">
        <w:t xml:space="preserve"> pregnancy</w:t>
      </w:r>
      <w:r>
        <w:t>.</w:t>
      </w:r>
      <w:r w:rsidRPr="00C17D8F">
        <w:t xml:space="preserve"> A number of treaties </w:t>
      </w:r>
      <w:r w:rsidRPr="00C17D8F">
        <w:lastRenderedPageBreak/>
        <w:t>create rights that explicitly or implicitly guarantee freedom from harassment on the basis of a protected attribute.</w:t>
      </w:r>
    </w:p>
    <w:p w14:paraId="3E918499" w14:textId="77777777" w:rsidR="00A62326" w:rsidRPr="00C17D8F" w:rsidRDefault="00A62326" w:rsidP="00C17D8F">
      <w:pPr>
        <w:rPr>
          <w:rFonts w:asciiTheme="minorHAnsi" w:hAnsiTheme="minorHAnsi"/>
        </w:rPr>
      </w:pPr>
      <w:r w:rsidRPr="00C17D8F">
        <w:t xml:space="preserve">Article 1 of the </w:t>
      </w:r>
      <w:r w:rsidRPr="00C17D8F">
        <w:rPr>
          <w:i/>
        </w:rPr>
        <w:t>International Covenant on Civil and Political Rights</w:t>
      </w:r>
      <w:r w:rsidRPr="00C17D8F">
        <w:t xml:space="preserve"> (</w:t>
      </w:r>
      <w:r>
        <w:t xml:space="preserve">the </w:t>
      </w:r>
      <w:r w:rsidRPr="00C17D8F">
        <w:rPr>
          <w:b/>
        </w:rPr>
        <w:t>ICCPR</w:t>
      </w:r>
      <w:r w:rsidRPr="00C17D8F">
        <w:t xml:space="preserve">) provides that all people have the right to freely pursue their economic, social and cultural development. Article 2 obliges State Parties to respect all people and guarantee them the rights contained in the Covenant irrespective of distinctions similar to those contained in legislative definitions of harassment. Article 3 obliges State Parties to guarantee men and women’s equal access to the rights contained in the Covenant. The </w:t>
      </w:r>
      <w:r w:rsidRPr="00C17D8F">
        <w:rPr>
          <w:i/>
        </w:rPr>
        <w:t>International Covenant on Economic, Social and Cultural Rights</w:t>
      </w:r>
      <w:r w:rsidRPr="00C17D8F">
        <w:t xml:space="preserve"> (</w:t>
      </w:r>
      <w:r>
        <w:t xml:space="preserve">the </w:t>
      </w:r>
      <w:r w:rsidRPr="00C17D8F">
        <w:rPr>
          <w:b/>
        </w:rPr>
        <w:t>ICESCR</w:t>
      </w:r>
      <w:r w:rsidRPr="00C17D8F">
        <w:t>) similarly provides that all people should be able to pursue their economic, social and cultural self-determination irrespective of distinctions.</w:t>
      </w:r>
    </w:p>
    <w:p w14:paraId="6F98C84E" w14:textId="77777777" w:rsidR="00A62326" w:rsidRPr="00C17D8F" w:rsidRDefault="00A62326" w:rsidP="00C17D8F">
      <w:pPr>
        <w:rPr>
          <w:rFonts w:asciiTheme="minorHAnsi" w:hAnsiTheme="minorHAnsi"/>
        </w:rPr>
      </w:pPr>
      <w:r w:rsidRPr="00C17D8F">
        <w:t xml:space="preserve">The </w:t>
      </w:r>
      <w:r w:rsidRPr="00C17D8F">
        <w:rPr>
          <w:i/>
        </w:rPr>
        <w:t>International Covenant on the Elimination of all Forms of Racial Discrimination</w:t>
      </w:r>
      <w:r w:rsidRPr="00C17D8F">
        <w:t xml:space="preserve"> (</w:t>
      </w:r>
      <w:r>
        <w:t xml:space="preserve">the </w:t>
      </w:r>
      <w:r w:rsidRPr="00C17D8F">
        <w:rPr>
          <w:b/>
        </w:rPr>
        <w:t>ICERD</w:t>
      </w:r>
      <w:r w:rsidRPr="00C17D8F">
        <w:t xml:space="preserve">), the </w:t>
      </w:r>
      <w:r w:rsidRPr="00C17D8F">
        <w:rPr>
          <w:i/>
        </w:rPr>
        <w:t>Convention on the Elimination of all Forms of Discrimination against Women</w:t>
      </w:r>
      <w:r w:rsidRPr="00C17D8F">
        <w:t xml:space="preserve"> (</w:t>
      </w:r>
      <w:r>
        <w:t xml:space="preserve">the </w:t>
      </w:r>
      <w:r w:rsidRPr="00C17D8F">
        <w:rPr>
          <w:b/>
        </w:rPr>
        <w:t>CEDAW</w:t>
      </w:r>
      <w:r w:rsidRPr="00C17D8F">
        <w:t xml:space="preserve">) and the </w:t>
      </w:r>
      <w:r w:rsidRPr="00C17D8F">
        <w:rPr>
          <w:i/>
        </w:rPr>
        <w:t>Convention on the Rights of Persons with Disabilities</w:t>
      </w:r>
      <w:r w:rsidRPr="00C17D8F">
        <w:t xml:space="preserve"> (</w:t>
      </w:r>
      <w:r>
        <w:t xml:space="preserve">the </w:t>
      </w:r>
      <w:r w:rsidRPr="00C17D8F">
        <w:rPr>
          <w:b/>
        </w:rPr>
        <w:t>CRPD</w:t>
      </w:r>
      <w:r w:rsidRPr="00C17D8F">
        <w:t>) each create rights that, by necessity, guarantee freedom from harassment on the basis of race, gender and disability respectively.</w:t>
      </w:r>
    </w:p>
    <w:p w14:paraId="534959A9" w14:textId="58A6D46B" w:rsidR="00A62326" w:rsidRPr="00C17D8F" w:rsidRDefault="00A62326" w:rsidP="00C17D8F">
      <w:pPr>
        <w:rPr>
          <w:rFonts w:asciiTheme="minorHAnsi" w:hAnsiTheme="minorHAnsi"/>
        </w:rPr>
      </w:pPr>
      <w:r w:rsidRPr="00C17D8F">
        <w:t xml:space="preserve">By providing support and an avenue for review of incidents of harassment in the workplace, the </w:t>
      </w:r>
      <w:r>
        <w:t>expanded PWSS</w:t>
      </w:r>
      <w:r w:rsidRPr="00C17D8F">
        <w:t xml:space="preserve"> assists in ensuring that the rights discussed above are upheld.</w:t>
      </w:r>
    </w:p>
    <w:p w14:paraId="40019604" w14:textId="77777777" w:rsidR="00A62326" w:rsidRPr="00C17D8F" w:rsidRDefault="00A62326" w:rsidP="00C17D8F">
      <w:pPr>
        <w:pStyle w:val="Heading2"/>
        <w:rPr>
          <w:b w:val="0"/>
          <w:i w:val="0"/>
        </w:rPr>
      </w:pPr>
      <w:r w:rsidRPr="00C17D8F">
        <w:t>The right to work</w:t>
      </w:r>
      <w:r w:rsidRPr="00723A4D">
        <w:t xml:space="preserve"> and rights in work</w:t>
      </w:r>
    </w:p>
    <w:p w14:paraId="17E4E754" w14:textId="77777777" w:rsidR="00A62326" w:rsidRPr="00C17D8F" w:rsidRDefault="00A62326" w:rsidP="00C17D8F">
      <w:r w:rsidRPr="00C17D8F">
        <w:t>Article 6 of the ICESCR recognises the right to work and the obligation of State Parties to implement measures that allow for full and productive employment under conditions that safeguard fundamental political and economic freedom to the individual. Article 7 of the ICESCR recognises the right of all people to just and favourable conditions of work, including ensuring in particular safe and healthy working conditions.</w:t>
      </w:r>
    </w:p>
    <w:p w14:paraId="438B4D1E" w14:textId="77777777" w:rsidR="00A62326" w:rsidRPr="00C17D8F" w:rsidRDefault="00A62326" w:rsidP="00C17D8F">
      <w:pPr>
        <w:rPr>
          <w:rFonts w:asciiTheme="minorHAnsi" w:hAnsiTheme="minorHAnsi"/>
        </w:rPr>
      </w:pPr>
      <w:r w:rsidRPr="00C17D8F">
        <w:t>Article 5 of the CERD recognises the right of all people, irrespective of race, to work and to just and favourable conditions of employment. Article 11 of the CEDAW provides that State Parties take all appropriate measures to eliminate discrimination against women in the field of employment in order to ensure equality in respect of rights, in particular the right to protection of health and safety in working conditions. Article 27 of the CRPD recognises the right of people with disabilities to work on an equal basis with others, including the right to work in an environment that is open, inclusive and accessible to persons with disabilities, and the obligation of State Parties to protect the rights of people with disabilities to just and favourable conditions of work, including safe and healthy working conditions.</w:t>
      </w:r>
    </w:p>
    <w:p w14:paraId="521A5C4D" w14:textId="33193A76" w:rsidR="00A62326" w:rsidRPr="00C17D8F" w:rsidRDefault="00A62326" w:rsidP="00C17D8F">
      <w:pPr>
        <w:rPr>
          <w:rFonts w:asciiTheme="minorHAnsi" w:hAnsiTheme="minorHAnsi"/>
        </w:rPr>
      </w:pPr>
      <w:r w:rsidRPr="00C17D8F">
        <w:t xml:space="preserve">By providing support and an avenue for review of </w:t>
      </w:r>
      <w:r>
        <w:t>a range of</w:t>
      </w:r>
      <w:r w:rsidRPr="00C17D8F">
        <w:t xml:space="preserve"> incidents, including harassment, in the course of employment, and ensuring more broadly that work health and safety obligations are met, the </w:t>
      </w:r>
      <w:r>
        <w:t>expanded PWSS</w:t>
      </w:r>
      <w:r w:rsidRPr="00C17D8F">
        <w:t xml:space="preserve"> will advance the enjoyment of full and productive employment under just and favourable conditions.</w:t>
      </w:r>
    </w:p>
    <w:p w14:paraId="5853DF19" w14:textId="77777777" w:rsidR="00A62326" w:rsidRDefault="00A62326" w:rsidP="00A62326">
      <w:pPr>
        <w:pStyle w:val="Heading2"/>
      </w:pPr>
      <w:r>
        <w:t>The right to privacy and reputation</w:t>
      </w:r>
    </w:p>
    <w:p w14:paraId="24A295DB" w14:textId="77777777" w:rsidR="00A62326" w:rsidRDefault="00A62326" w:rsidP="00A62326">
      <w:r>
        <w:t>Article 17 of the ICCPR provides that no person should be subjected to arbitrary or unlawful interference with their privacy, nor to unlawful attacks on their reputation, and that every person has the right to the protection of the law against such interference or attacks.</w:t>
      </w:r>
    </w:p>
    <w:p w14:paraId="0C5BA8E3" w14:textId="2A384392" w:rsidR="00A62326" w:rsidRPr="00AC1F66" w:rsidRDefault="00A62326" w:rsidP="00A62326">
      <w:r>
        <w:t xml:space="preserve">By providing an avenue for individuals to receive confidential support and, should they choose to, make anonymous complaints, the expanded PWSS will support the privacy of Commonwealth parliamentary workplace participants and the protection of reputation during the process of seeking advice and support. </w:t>
      </w:r>
    </w:p>
    <w:p w14:paraId="336AB407" w14:textId="77777777" w:rsidR="00A62326" w:rsidRDefault="00A62326" w:rsidP="00A62326">
      <w:pPr>
        <w:pStyle w:val="Heading2"/>
      </w:pPr>
      <w:r>
        <w:lastRenderedPageBreak/>
        <w:t>The right to freedom of expression</w:t>
      </w:r>
    </w:p>
    <w:p w14:paraId="1F8946CA" w14:textId="77777777" w:rsidR="00A62326" w:rsidRDefault="00A62326" w:rsidP="00A62326">
      <w:r>
        <w:t>Article 19 of the ICCPR recognises the right of all persons to hold opinions without interference and the right to freedom of expression.</w:t>
      </w:r>
    </w:p>
    <w:p w14:paraId="706D697A" w14:textId="77777777" w:rsidR="00A62326" w:rsidRDefault="00A62326" w:rsidP="00A62326">
      <w:r>
        <w:t>By providing an avenue for review of incidents relating to a range of unreasonable or harmful incidents, and acting as a deterrent to an environment that tolerates bullying and harassment, the PWSS will advance the ability of Commonwealth parliamentary workplace participants to freely express their opinions without fear of repercussions.</w:t>
      </w:r>
    </w:p>
    <w:p w14:paraId="30747312" w14:textId="77777777" w:rsidR="00A62326" w:rsidRDefault="00A62326" w:rsidP="00A62326">
      <w:pPr>
        <w:pStyle w:val="Heading2"/>
      </w:pPr>
      <w:r>
        <w:t>The right to an effective remedy</w:t>
      </w:r>
    </w:p>
    <w:p w14:paraId="7E6F35DA" w14:textId="77777777" w:rsidR="00A62326" w:rsidRDefault="00A62326" w:rsidP="00A62326">
      <w:r>
        <w:t>Article 3 of the ICCPR obliges State Parties to ensure that any persons whose rights or freedoms recognised under the Covenant are violated shall have an effective remedy, determined and enforced by a competent authority.</w:t>
      </w:r>
    </w:p>
    <w:p w14:paraId="0B71F4DE" w14:textId="4B84FCE6" w:rsidR="00A62326" w:rsidRPr="00AC1F66" w:rsidRDefault="00A62326" w:rsidP="00A62326">
      <w:pPr>
        <w:rPr>
          <w:b/>
          <w:i/>
        </w:rPr>
      </w:pPr>
      <w:r>
        <w:t xml:space="preserve">By providing an avenue for review of incidents that engage or support rights under the Covenant, the expanded PWSS will provide </w:t>
      </w:r>
      <w:r w:rsidR="003E554D">
        <w:t>Commonwealth parliamentary workplace participants</w:t>
      </w:r>
      <w:r>
        <w:t xml:space="preserve"> with an avenue to seek an effective administrative remedy.</w:t>
      </w:r>
    </w:p>
    <w:p w14:paraId="2DCBA81D" w14:textId="77777777" w:rsidR="00A62326" w:rsidRPr="00C17D8F" w:rsidRDefault="00A62326" w:rsidP="00C17D8F">
      <w:pPr>
        <w:pStyle w:val="Heading2"/>
        <w:rPr>
          <w:b w:val="0"/>
          <w:i w:val="0"/>
        </w:rPr>
      </w:pPr>
      <w:r w:rsidRPr="00C17D8F">
        <w:t>Participation in public life</w:t>
      </w:r>
    </w:p>
    <w:p w14:paraId="78FD349A" w14:textId="77777777" w:rsidR="00A62326" w:rsidRPr="00C17D8F" w:rsidRDefault="00A62326" w:rsidP="00C17D8F">
      <w:pPr>
        <w:rPr>
          <w:rFonts w:asciiTheme="minorHAnsi" w:hAnsiTheme="minorHAnsi"/>
        </w:rPr>
      </w:pPr>
      <w:r w:rsidRPr="00C17D8F">
        <w:t>Article 7 of the CEDAW obliges State Parties to eliminate discrimination against women in the political and public life of the country and in particular to ensure women are equally able to participate in the formulation and implementation of government policy. Article 29 of the CRPD obliges State Parties to ensure that people with disabilities can effectively and fully participate in political and public life on an equal basis with others</w:t>
      </w:r>
    </w:p>
    <w:p w14:paraId="24D7F082" w14:textId="3D6CC6E5" w:rsidR="00A62326" w:rsidRPr="00C17D8F" w:rsidRDefault="00A62326" w:rsidP="00C17D8F">
      <w:pPr>
        <w:rPr>
          <w:rFonts w:asciiTheme="minorHAnsi" w:hAnsiTheme="minorHAnsi"/>
        </w:rPr>
      </w:pPr>
      <w:r w:rsidRPr="00C17D8F">
        <w:t>Working as a MOP(S) Act employee or parliamentarian</w:t>
      </w:r>
      <w:r>
        <w:t>, and in Commonwealth parliamentary workplaces more generally,</w:t>
      </w:r>
      <w:r w:rsidRPr="00C17D8F">
        <w:t xml:space="preserve"> represents significant participation in the political and public life of the country and close involvement in policy-making. By promoting a safe and respectful workplace free </w:t>
      </w:r>
      <w:bookmarkStart w:id="0" w:name="_GoBack"/>
      <w:r w:rsidRPr="00C17D8F">
        <w:t xml:space="preserve">of harassment, the </w:t>
      </w:r>
      <w:r>
        <w:t>expanded PWSS</w:t>
      </w:r>
      <w:r w:rsidRPr="00C17D8F">
        <w:t xml:space="preserve"> will ensure that all people are able to participate in the political and public life of the country on an equal basis and to the best of their abilities.</w:t>
      </w:r>
    </w:p>
    <w:bookmarkEnd w:id="0"/>
    <w:p w14:paraId="0B3268BF" w14:textId="77777777" w:rsidR="00A62326" w:rsidRPr="00C17D8F" w:rsidRDefault="00A62326" w:rsidP="00C17D8F">
      <w:pPr>
        <w:pStyle w:val="Heading1"/>
      </w:pPr>
      <w:r w:rsidRPr="00C17D8F">
        <w:t>Conclusion</w:t>
      </w:r>
    </w:p>
    <w:p w14:paraId="27E91FBC" w14:textId="658BAAED" w:rsidR="00A62326" w:rsidRPr="00EF7E39" w:rsidRDefault="00A62326" w:rsidP="00A62326">
      <w:pPr>
        <w:rPr>
          <w:rFonts w:asciiTheme="minorHAnsi" w:hAnsiTheme="minorHAnsi"/>
          <w:b/>
        </w:rPr>
      </w:pPr>
      <w:r w:rsidRPr="00C17D8F">
        <w:t xml:space="preserve">The creation of a safe and respectful workplace free from harassment advances the enjoyment of the rights discussed above. The Amendment Determination is therefore compatible with human rights because it advances the protection of human rights. The Amendment Determination does not limit human rights any </w:t>
      </w:r>
      <w:r w:rsidR="00C17D8F">
        <w:t>further than previously limited.</w:t>
      </w:r>
    </w:p>
    <w:p w14:paraId="3573398D" w14:textId="77777777" w:rsidR="00692543" w:rsidRPr="00C17D8F" w:rsidRDefault="00692543"/>
    <w:sectPr w:rsidR="00692543" w:rsidRPr="00C17D8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BC646" w14:textId="77777777" w:rsidR="002309E5" w:rsidRDefault="002309E5">
      <w:pPr>
        <w:spacing w:after="0" w:line="240" w:lineRule="auto"/>
      </w:pPr>
      <w:r>
        <w:separator/>
      </w:r>
    </w:p>
  </w:endnote>
  <w:endnote w:type="continuationSeparator" w:id="0">
    <w:p w14:paraId="78956A6B" w14:textId="77777777" w:rsidR="002309E5" w:rsidRDefault="002309E5">
      <w:pPr>
        <w:spacing w:after="0" w:line="240" w:lineRule="auto"/>
      </w:pPr>
      <w:r>
        <w:continuationSeparator/>
      </w:r>
    </w:p>
  </w:endnote>
  <w:endnote w:type="continuationNotice" w:id="1">
    <w:p w14:paraId="55A113CA" w14:textId="77777777" w:rsidR="002309E5" w:rsidRDefault="00230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D1D93" w14:textId="77777777" w:rsidR="00B02D7A" w:rsidRDefault="00B02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6536C" w14:textId="77777777" w:rsidR="00B02D7A" w:rsidRDefault="00B02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F4BE6" w14:textId="77777777" w:rsidR="00B02D7A" w:rsidRDefault="00B02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1BE5C" w14:textId="77777777" w:rsidR="002309E5" w:rsidRDefault="002309E5">
      <w:pPr>
        <w:spacing w:after="0" w:line="240" w:lineRule="auto"/>
      </w:pPr>
      <w:r>
        <w:separator/>
      </w:r>
    </w:p>
  </w:footnote>
  <w:footnote w:type="continuationSeparator" w:id="0">
    <w:p w14:paraId="72BED214" w14:textId="77777777" w:rsidR="002309E5" w:rsidRDefault="002309E5">
      <w:pPr>
        <w:spacing w:after="0" w:line="240" w:lineRule="auto"/>
      </w:pPr>
      <w:r>
        <w:continuationSeparator/>
      </w:r>
    </w:p>
  </w:footnote>
  <w:footnote w:type="continuationNotice" w:id="1">
    <w:p w14:paraId="779C8737" w14:textId="77777777" w:rsidR="002309E5" w:rsidRDefault="002309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0E7D4" w14:textId="77777777" w:rsidR="00B02D7A" w:rsidRDefault="00B02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9C8A3" w14:textId="77777777" w:rsidR="00743F99" w:rsidRPr="00EF7E39" w:rsidRDefault="00743F99" w:rsidP="00E03BC4">
    <w:pPr>
      <w:pStyle w:val="Header"/>
      <w:jc w:val="cent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31566" w14:textId="77777777" w:rsidR="00B02D7A" w:rsidRDefault="00B02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6525F"/>
    <w:multiLevelType w:val="hybridMultilevel"/>
    <w:tmpl w:val="79D43A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5FBC704F"/>
    <w:multiLevelType w:val="hybridMultilevel"/>
    <w:tmpl w:val="CD061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736F17"/>
    <w:multiLevelType w:val="hybridMultilevel"/>
    <w:tmpl w:val="FD2AB67A"/>
    <w:lvl w:ilvl="0" w:tplc="DE4A5392">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D31D35"/>
    <w:multiLevelType w:val="hybridMultilevel"/>
    <w:tmpl w:val="6CAEE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CE2351"/>
    <w:multiLevelType w:val="hybridMultilevel"/>
    <w:tmpl w:val="4AC85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26"/>
    <w:rsid w:val="0002033C"/>
    <w:rsid w:val="00035E7F"/>
    <w:rsid w:val="00036BAC"/>
    <w:rsid w:val="00050629"/>
    <w:rsid w:val="0006072F"/>
    <w:rsid w:val="0006184B"/>
    <w:rsid w:val="00085731"/>
    <w:rsid w:val="00090140"/>
    <w:rsid w:val="00094926"/>
    <w:rsid w:val="0009785A"/>
    <w:rsid w:val="000A1015"/>
    <w:rsid w:val="000A5FBE"/>
    <w:rsid w:val="000C51C0"/>
    <w:rsid w:val="000D3CF1"/>
    <w:rsid w:val="000D54EA"/>
    <w:rsid w:val="000D5C9B"/>
    <w:rsid w:val="000E0947"/>
    <w:rsid w:val="000E4F40"/>
    <w:rsid w:val="00116FFF"/>
    <w:rsid w:val="001274D0"/>
    <w:rsid w:val="00145097"/>
    <w:rsid w:val="001475BC"/>
    <w:rsid w:val="00185EFF"/>
    <w:rsid w:val="00187A50"/>
    <w:rsid w:val="001B33AD"/>
    <w:rsid w:val="001B6ACF"/>
    <w:rsid w:val="001C2EC9"/>
    <w:rsid w:val="001C2F4B"/>
    <w:rsid w:val="001C4C67"/>
    <w:rsid w:val="001C7C86"/>
    <w:rsid w:val="001D2500"/>
    <w:rsid w:val="001D51B6"/>
    <w:rsid w:val="001F7E45"/>
    <w:rsid w:val="00200A87"/>
    <w:rsid w:val="00200D28"/>
    <w:rsid w:val="00203F6B"/>
    <w:rsid w:val="00205B81"/>
    <w:rsid w:val="002118E0"/>
    <w:rsid w:val="00215C94"/>
    <w:rsid w:val="00226B7F"/>
    <w:rsid w:val="002309E5"/>
    <w:rsid w:val="00234475"/>
    <w:rsid w:val="002431F7"/>
    <w:rsid w:val="00250EF0"/>
    <w:rsid w:val="00261A46"/>
    <w:rsid w:val="00274846"/>
    <w:rsid w:val="00276F11"/>
    <w:rsid w:val="00290EF0"/>
    <w:rsid w:val="00294311"/>
    <w:rsid w:val="002A0D6D"/>
    <w:rsid w:val="002A2324"/>
    <w:rsid w:val="002A5ABF"/>
    <w:rsid w:val="002C6B07"/>
    <w:rsid w:val="002C72F3"/>
    <w:rsid w:val="002D4434"/>
    <w:rsid w:val="002F10CA"/>
    <w:rsid w:val="002F475D"/>
    <w:rsid w:val="002F482B"/>
    <w:rsid w:val="00315DFE"/>
    <w:rsid w:val="00317A3E"/>
    <w:rsid w:val="0032244B"/>
    <w:rsid w:val="00323868"/>
    <w:rsid w:val="00324A72"/>
    <w:rsid w:val="00372D04"/>
    <w:rsid w:val="0037462D"/>
    <w:rsid w:val="0039046C"/>
    <w:rsid w:val="00391DF7"/>
    <w:rsid w:val="003935E4"/>
    <w:rsid w:val="003A4324"/>
    <w:rsid w:val="003B51B1"/>
    <w:rsid w:val="003B617F"/>
    <w:rsid w:val="003C2A07"/>
    <w:rsid w:val="003C2E39"/>
    <w:rsid w:val="003D5838"/>
    <w:rsid w:val="003E554D"/>
    <w:rsid w:val="00404AE2"/>
    <w:rsid w:val="00414819"/>
    <w:rsid w:val="0042092A"/>
    <w:rsid w:val="00421247"/>
    <w:rsid w:val="00441E30"/>
    <w:rsid w:val="00443B9C"/>
    <w:rsid w:val="00463479"/>
    <w:rsid w:val="00465336"/>
    <w:rsid w:val="00470F1E"/>
    <w:rsid w:val="004811F3"/>
    <w:rsid w:val="00484479"/>
    <w:rsid w:val="00486598"/>
    <w:rsid w:val="00490472"/>
    <w:rsid w:val="004924FE"/>
    <w:rsid w:val="00493C96"/>
    <w:rsid w:val="00496354"/>
    <w:rsid w:val="004B170B"/>
    <w:rsid w:val="004C587D"/>
    <w:rsid w:val="004D433E"/>
    <w:rsid w:val="004F223E"/>
    <w:rsid w:val="005066DE"/>
    <w:rsid w:val="00531F4C"/>
    <w:rsid w:val="00550762"/>
    <w:rsid w:val="005547B4"/>
    <w:rsid w:val="00565D97"/>
    <w:rsid w:val="005774DA"/>
    <w:rsid w:val="0057790C"/>
    <w:rsid w:val="00577E49"/>
    <w:rsid w:val="00582E9D"/>
    <w:rsid w:val="00595AD9"/>
    <w:rsid w:val="005D6D81"/>
    <w:rsid w:val="005D6F5F"/>
    <w:rsid w:val="00605DDB"/>
    <w:rsid w:val="00627CAB"/>
    <w:rsid w:val="00643BB3"/>
    <w:rsid w:val="00650B26"/>
    <w:rsid w:val="006537DB"/>
    <w:rsid w:val="006545EE"/>
    <w:rsid w:val="0067646C"/>
    <w:rsid w:val="00687516"/>
    <w:rsid w:val="00692543"/>
    <w:rsid w:val="006A7E6E"/>
    <w:rsid w:val="006B1689"/>
    <w:rsid w:val="006C0AC3"/>
    <w:rsid w:val="006C32CB"/>
    <w:rsid w:val="006F4687"/>
    <w:rsid w:val="00701C71"/>
    <w:rsid w:val="00706D00"/>
    <w:rsid w:val="00710ED3"/>
    <w:rsid w:val="00714BA4"/>
    <w:rsid w:val="00723B9B"/>
    <w:rsid w:val="00743B66"/>
    <w:rsid w:val="00743F99"/>
    <w:rsid w:val="0075099E"/>
    <w:rsid w:val="0076069D"/>
    <w:rsid w:val="007A149F"/>
    <w:rsid w:val="007B06C3"/>
    <w:rsid w:val="007B07AB"/>
    <w:rsid w:val="007B6429"/>
    <w:rsid w:val="007B750F"/>
    <w:rsid w:val="007C1627"/>
    <w:rsid w:val="007E3564"/>
    <w:rsid w:val="007E514A"/>
    <w:rsid w:val="0081069E"/>
    <w:rsid w:val="00813424"/>
    <w:rsid w:val="00841FC4"/>
    <w:rsid w:val="008427F1"/>
    <w:rsid w:val="00843190"/>
    <w:rsid w:val="00851526"/>
    <w:rsid w:val="0086383B"/>
    <w:rsid w:val="00867333"/>
    <w:rsid w:val="00867453"/>
    <w:rsid w:val="00873733"/>
    <w:rsid w:val="008760E9"/>
    <w:rsid w:val="008800C3"/>
    <w:rsid w:val="008847CB"/>
    <w:rsid w:val="00893167"/>
    <w:rsid w:val="00894501"/>
    <w:rsid w:val="00897CB6"/>
    <w:rsid w:val="008A1E61"/>
    <w:rsid w:val="008A5B90"/>
    <w:rsid w:val="008B21EF"/>
    <w:rsid w:val="008C2B7D"/>
    <w:rsid w:val="008C5851"/>
    <w:rsid w:val="008D2FFE"/>
    <w:rsid w:val="008D47A7"/>
    <w:rsid w:val="008D4A8E"/>
    <w:rsid w:val="008D7A13"/>
    <w:rsid w:val="008E6FBB"/>
    <w:rsid w:val="00906A92"/>
    <w:rsid w:val="0094436C"/>
    <w:rsid w:val="00946D27"/>
    <w:rsid w:val="00960B30"/>
    <w:rsid w:val="00964FE8"/>
    <w:rsid w:val="00965096"/>
    <w:rsid w:val="009715D6"/>
    <w:rsid w:val="00973726"/>
    <w:rsid w:val="00973CFF"/>
    <w:rsid w:val="009740AB"/>
    <w:rsid w:val="009A212B"/>
    <w:rsid w:val="009D2A4E"/>
    <w:rsid w:val="009E21D7"/>
    <w:rsid w:val="009E333E"/>
    <w:rsid w:val="009F5DBA"/>
    <w:rsid w:val="00A42A52"/>
    <w:rsid w:val="00A43039"/>
    <w:rsid w:val="00A50485"/>
    <w:rsid w:val="00A62326"/>
    <w:rsid w:val="00A66F0D"/>
    <w:rsid w:val="00A76F24"/>
    <w:rsid w:val="00AA19CE"/>
    <w:rsid w:val="00AA44A3"/>
    <w:rsid w:val="00AD410C"/>
    <w:rsid w:val="00AD4D7B"/>
    <w:rsid w:val="00AF1520"/>
    <w:rsid w:val="00B02D7A"/>
    <w:rsid w:val="00B11CF7"/>
    <w:rsid w:val="00B12A09"/>
    <w:rsid w:val="00B139B9"/>
    <w:rsid w:val="00B20268"/>
    <w:rsid w:val="00B21C16"/>
    <w:rsid w:val="00B309E9"/>
    <w:rsid w:val="00B432BD"/>
    <w:rsid w:val="00B47CB4"/>
    <w:rsid w:val="00B47E52"/>
    <w:rsid w:val="00B61935"/>
    <w:rsid w:val="00B642F9"/>
    <w:rsid w:val="00B66094"/>
    <w:rsid w:val="00B66A06"/>
    <w:rsid w:val="00B674D6"/>
    <w:rsid w:val="00B706CD"/>
    <w:rsid w:val="00B70B0F"/>
    <w:rsid w:val="00B765DD"/>
    <w:rsid w:val="00B842A5"/>
    <w:rsid w:val="00B936AE"/>
    <w:rsid w:val="00BA2398"/>
    <w:rsid w:val="00BA2C09"/>
    <w:rsid w:val="00BC4348"/>
    <w:rsid w:val="00BC6D1B"/>
    <w:rsid w:val="00BE55EE"/>
    <w:rsid w:val="00C05635"/>
    <w:rsid w:val="00C17D8F"/>
    <w:rsid w:val="00C2698D"/>
    <w:rsid w:val="00C274AC"/>
    <w:rsid w:val="00C342A9"/>
    <w:rsid w:val="00C37A3E"/>
    <w:rsid w:val="00C41C6A"/>
    <w:rsid w:val="00C600E8"/>
    <w:rsid w:val="00C662E3"/>
    <w:rsid w:val="00C767DD"/>
    <w:rsid w:val="00CA6CEB"/>
    <w:rsid w:val="00CB694A"/>
    <w:rsid w:val="00CC3569"/>
    <w:rsid w:val="00CD0490"/>
    <w:rsid w:val="00D042ED"/>
    <w:rsid w:val="00D07E5B"/>
    <w:rsid w:val="00D113DC"/>
    <w:rsid w:val="00D13C2C"/>
    <w:rsid w:val="00D3061A"/>
    <w:rsid w:val="00D30A7F"/>
    <w:rsid w:val="00D41E75"/>
    <w:rsid w:val="00D532E3"/>
    <w:rsid w:val="00D5482F"/>
    <w:rsid w:val="00D60EB2"/>
    <w:rsid w:val="00D76031"/>
    <w:rsid w:val="00D8735A"/>
    <w:rsid w:val="00D9786A"/>
    <w:rsid w:val="00DA2F3C"/>
    <w:rsid w:val="00DB6307"/>
    <w:rsid w:val="00DB74FD"/>
    <w:rsid w:val="00DC3D57"/>
    <w:rsid w:val="00DC49E7"/>
    <w:rsid w:val="00DD1FD3"/>
    <w:rsid w:val="00DE0F9B"/>
    <w:rsid w:val="00DE3809"/>
    <w:rsid w:val="00DE3F81"/>
    <w:rsid w:val="00DF3A30"/>
    <w:rsid w:val="00E03BC4"/>
    <w:rsid w:val="00E106CB"/>
    <w:rsid w:val="00E26416"/>
    <w:rsid w:val="00E2686B"/>
    <w:rsid w:val="00E33E43"/>
    <w:rsid w:val="00E36006"/>
    <w:rsid w:val="00E3774D"/>
    <w:rsid w:val="00E40093"/>
    <w:rsid w:val="00E46E44"/>
    <w:rsid w:val="00E84079"/>
    <w:rsid w:val="00EA1EE8"/>
    <w:rsid w:val="00EA4F7C"/>
    <w:rsid w:val="00EA6AD0"/>
    <w:rsid w:val="00EB1DF3"/>
    <w:rsid w:val="00EB6BB7"/>
    <w:rsid w:val="00ED4917"/>
    <w:rsid w:val="00EE3B7B"/>
    <w:rsid w:val="00EE49DF"/>
    <w:rsid w:val="00EE7FD3"/>
    <w:rsid w:val="00EF7E39"/>
    <w:rsid w:val="00F16F2C"/>
    <w:rsid w:val="00F3405D"/>
    <w:rsid w:val="00F42370"/>
    <w:rsid w:val="00F46812"/>
    <w:rsid w:val="00F56130"/>
    <w:rsid w:val="00F710E0"/>
    <w:rsid w:val="00F76298"/>
    <w:rsid w:val="00F90F71"/>
    <w:rsid w:val="00F95359"/>
    <w:rsid w:val="00F96990"/>
    <w:rsid w:val="00F978BE"/>
    <w:rsid w:val="00FC3F54"/>
    <w:rsid w:val="00FC4951"/>
    <w:rsid w:val="00FD4003"/>
    <w:rsid w:val="00FF15F1"/>
    <w:rsid w:val="00FF30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A88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9E5"/>
    <w:pPr>
      <w:spacing w:after="120"/>
    </w:pPr>
    <w:rPr>
      <w:rFonts w:ascii="Times New Roman" w:hAnsi="Times New Roman"/>
    </w:rPr>
  </w:style>
  <w:style w:type="paragraph" w:styleId="Heading1">
    <w:name w:val="heading 1"/>
    <w:basedOn w:val="Normal"/>
    <w:next w:val="Normal"/>
    <w:link w:val="Heading1Char"/>
    <w:uiPriority w:val="9"/>
    <w:qFormat/>
    <w:rsid w:val="00A62326"/>
    <w:pPr>
      <w:keepNext/>
      <w:spacing w:before="120"/>
      <w:outlineLvl w:val="0"/>
    </w:pPr>
    <w:rPr>
      <w:rFonts w:cs="Times New Roman"/>
      <w:b/>
      <w:sz w:val="24"/>
    </w:rPr>
  </w:style>
  <w:style w:type="paragraph" w:styleId="Heading2">
    <w:name w:val="heading 2"/>
    <w:basedOn w:val="Normal"/>
    <w:next w:val="Normal"/>
    <w:link w:val="Heading2Char"/>
    <w:uiPriority w:val="9"/>
    <w:unhideWhenUsed/>
    <w:qFormat/>
    <w:rsid w:val="00A62326"/>
    <w:pPr>
      <w:keepNext/>
      <w:outlineLvl w:val="1"/>
    </w:pPr>
    <w:rPr>
      <w:rFonts w:cs="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326"/>
    <w:rPr>
      <w:rFonts w:ascii="Times New Roman" w:hAnsi="Times New Roman" w:cs="Times New Roman"/>
      <w:b/>
      <w:sz w:val="24"/>
    </w:rPr>
  </w:style>
  <w:style w:type="character" w:customStyle="1" w:styleId="Heading2Char">
    <w:name w:val="Heading 2 Char"/>
    <w:basedOn w:val="DefaultParagraphFont"/>
    <w:link w:val="Heading2"/>
    <w:uiPriority w:val="9"/>
    <w:rsid w:val="00A62326"/>
    <w:rPr>
      <w:rFonts w:ascii="Times New Roman" w:hAnsi="Times New Roman" w:cs="Times New Roman"/>
      <w:b/>
      <w:i/>
    </w:rPr>
  </w:style>
  <w:style w:type="paragraph" w:styleId="Header">
    <w:name w:val="header"/>
    <w:basedOn w:val="Normal"/>
    <w:link w:val="HeaderChar"/>
    <w:uiPriority w:val="99"/>
    <w:unhideWhenUsed/>
    <w:rsid w:val="00A62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326"/>
    <w:rPr>
      <w:rFonts w:ascii="Times New Roman" w:hAnsi="Times New Roman"/>
    </w:rPr>
  </w:style>
  <w:style w:type="paragraph" w:styleId="ListParagraph">
    <w:name w:val="List Paragraph"/>
    <w:basedOn w:val="Normal"/>
    <w:uiPriority w:val="34"/>
    <w:qFormat/>
    <w:rsid w:val="002309E5"/>
    <w:pPr>
      <w:numPr>
        <w:numId w:val="1"/>
      </w:numPr>
      <w:ind w:left="714" w:hanging="357"/>
      <w:contextualSpacing/>
    </w:pPr>
    <w:rPr>
      <w:rFonts w:cs="Times New Roman"/>
    </w:rPr>
  </w:style>
  <w:style w:type="character" w:styleId="CommentReference">
    <w:name w:val="annotation reference"/>
    <w:basedOn w:val="DefaultParagraphFont"/>
    <w:uiPriority w:val="99"/>
    <w:semiHidden/>
    <w:unhideWhenUsed/>
    <w:rsid w:val="000D3CF1"/>
    <w:rPr>
      <w:sz w:val="16"/>
      <w:szCs w:val="16"/>
    </w:rPr>
  </w:style>
  <w:style w:type="paragraph" w:styleId="CommentText">
    <w:name w:val="annotation text"/>
    <w:basedOn w:val="Normal"/>
    <w:link w:val="CommentTextChar"/>
    <w:uiPriority w:val="99"/>
    <w:semiHidden/>
    <w:unhideWhenUsed/>
    <w:rsid w:val="000D3CF1"/>
    <w:pPr>
      <w:spacing w:line="240" w:lineRule="auto"/>
    </w:pPr>
    <w:rPr>
      <w:sz w:val="20"/>
      <w:szCs w:val="20"/>
    </w:rPr>
  </w:style>
  <w:style w:type="character" w:customStyle="1" w:styleId="CommentTextChar">
    <w:name w:val="Comment Text Char"/>
    <w:basedOn w:val="DefaultParagraphFont"/>
    <w:link w:val="CommentText"/>
    <w:uiPriority w:val="99"/>
    <w:semiHidden/>
    <w:rsid w:val="000D3CF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D3CF1"/>
    <w:rPr>
      <w:b/>
      <w:bCs/>
    </w:rPr>
  </w:style>
  <w:style w:type="character" w:customStyle="1" w:styleId="CommentSubjectChar">
    <w:name w:val="Comment Subject Char"/>
    <w:basedOn w:val="CommentTextChar"/>
    <w:link w:val="CommentSubject"/>
    <w:uiPriority w:val="99"/>
    <w:semiHidden/>
    <w:rsid w:val="000D3CF1"/>
    <w:rPr>
      <w:rFonts w:ascii="Times New Roman" w:hAnsi="Times New Roman"/>
      <w:b/>
      <w:bCs/>
      <w:sz w:val="20"/>
      <w:szCs w:val="20"/>
    </w:rPr>
  </w:style>
  <w:style w:type="paragraph" w:styleId="BalloonText">
    <w:name w:val="Balloon Text"/>
    <w:basedOn w:val="Normal"/>
    <w:link w:val="BalloonTextChar"/>
    <w:uiPriority w:val="99"/>
    <w:semiHidden/>
    <w:unhideWhenUsed/>
    <w:rsid w:val="000D3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CF1"/>
    <w:rPr>
      <w:rFonts w:ascii="Segoe UI" w:hAnsi="Segoe UI" w:cs="Segoe UI"/>
      <w:sz w:val="18"/>
      <w:szCs w:val="18"/>
    </w:rPr>
  </w:style>
  <w:style w:type="paragraph" w:styleId="Footer">
    <w:name w:val="footer"/>
    <w:basedOn w:val="Normal"/>
    <w:link w:val="FooterChar"/>
    <w:uiPriority w:val="99"/>
    <w:unhideWhenUsed/>
    <w:rsid w:val="000D3C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CF1"/>
    <w:rPr>
      <w:rFonts w:ascii="Times New Roman" w:hAnsi="Times New Roman"/>
    </w:rPr>
  </w:style>
  <w:style w:type="paragraph" w:styleId="Revision">
    <w:name w:val="Revision"/>
    <w:hidden/>
    <w:uiPriority w:val="99"/>
    <w:semiHidden/>
    <w:rsid w:val="00187A50"/>
    <w:pPr>
      <w:spacing w:after="0" w:line="240" w:lineRule="auto"/>
    </w:pPr>
    <w:rPr>
      <w:rFonts w:ascii="Times New Roman" w:hAnsi="Times New Roman"/>
    </w:rPr>
  </w:style>
  <w:style w:type="paragraph" w:customStyle="1" w:styleId="acthead5">
    <w:name w:val="acthead5"/>
    <w:basedOn w:val="Normal"/>
    <w:rsid w:val="002309E5"/>
    <w:pPr>
      <w:spacing w:before="100" w:beforeAutospacing="1" w:after="100" w:afterAutospacing="1" w:line="240" w:lineRule="auto"/>
    </w:pPr>
    <w:rPr>
      <w:rFonts w:eastAsia="Times New Roman" w:cs="Times New Roman"/>
      <w:sz w:val="24"/>
      <w:szCs w:val="24"/>
      <w:lang w:eastAsia="en-AU"/>
    </w:rPr>
  </w:style>
  <w:style w:type="character" w:customStyle="1" w:styleId="charsectno">
    <w:name w:val="charsectno"/>
    <w:basedOn w:val="DefaultParagraphFont"/>
    <w:rsid w:val="002309E5"/>
  </w:style>
  <w:style w:type="paragraph" w:customStyle="1" w:styleId="subsection">
    <w:name w:val="subsection"/>
    <w:basedOn w:val="Normal"/>
    <w:rsid w:val="002309E5"/>
    <w:pPr>
      <w:spacing w:before="100" w:beforeAutospacing="1" w:after="100" w:afterAutospacing="1" w:line="240" w:lineRule="auto"/>
    </w:pPr>
    <w:rPr>
      <w:rFonts w:eastAsia="Times New Roman" w:cs="Times New Roman"/>
      <w:sz w:val="24"/>
      <w:szCs w:val="24"/>
      <w:lang w:eastAsia="en-AU"/>
    </w:rPr>
  </w:style>
  <w:style w:type="paragraph" w:customStyle="1" w:styleId="paragraph">
    <w:name w:val="paragraph"/>
    <w:basedOn w:val="Normal"/>
    <w:rsid w:val="002309E5"/>
    <w:pPr>
      <w:spacing w:before="100" w:beforeAutospacing="1" w:after="100" w:afterAutospacing="1" w:line="240" w:lineRule="auto"/>
    </w:pPr>
    <w:rPr>
      <w:rFonts w:eastAsia="Times New Roman" w:cs="Times New Roman"/>
      <w:sz w:val="24"/>
      <w:szCs w:val="24"/>
      <w:lang w:eastAsia="en-AU"/>
    </w:rPr>
  </w:style>
  <w:style w:type="paragraph" w:customStyle="1" w:styleId="subsection2">
    <w:name w:val="subsection2"/>
    <w:basedOn w:val="Normal"/>
    <w:rsid w:val="002309E5"/>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semiHidden/>
    <w:unhideWhenUsed/>
    <w:rsid w:val="002309E5"/>
    <w:rPr>
      <w:color w:val="0000FF"/>
      <w:u w:val="single"/>
    </w:rPr>
  </w:style>
  <w:style w:type="paragraph" w:styleId="NormalWeb">
    <w:name w:val="Normal (Web)"/>
    <w:basedOn w:val="Normal"/>
    <w:uiPriority w:val="99"/>
    <w:semiHidden/>
    <w:unhideWhenUsed/>
    <w:rsid w:val="002309E5"/>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3367">
      <w:bodyDiv w:val="1"/>
      <w:marLeft w:val="0"/>
      <w:marRight w:val="0"/>
      <w:marTop w:val="0"/>
      <w:marBottom w:val="0"/>
      <w:divBdr>
        <w:top w:val="none" w:sz="0" w:space="0" w:color="auto"/>
        <w:left w:val="none" w:sz="0" w:space="0" w:color="auto"/>
        <w:bottom w:val="none" w:sz="0" w:space="0" w:color="auto"/>
        <w:right w:val="none" w:sz="0" w:space="0" w:color="auto"/>
      </w:divBdr>
    </w:div>
    <w:div w:id="50353292">
      <w:bodyDiv w:val="1"/>
      <w:marLeft w:val="0"/>
      <w:marRight w:val="0"/>
      <w:marTop w:val="0"/>
      <w:marBottom w:val="0"/>
      <w:divBdr>
        <w:top w:val="none" w:sz="0" w:space="0" w:color="auto"/>
        <w:left w:val="none" w:sz="0" w:space="0" w:color="auto"/>
        <w:bottom w:val="none" w:sz="0" w:space="0" w:color="auto"/>
        <w:right w:val="none" w:sz="0" w:space="0" w:color="auto"/>
      </w:divBdr>
    </w:div>
    <w:div w:id="96368393">
      <w:bodyDiv w:val="1"/>
      <w:marLeft w:val="0"/>
      <w:marRight w:val="0"/>
      <w:marTop w:val="0"/>
      <w:marBottom w:val="0"/>
      <w:divBdr>
        <w:top w:val="none" w:sz="0" w:space="0" w:color="auto"/>
        <w:left w:val="none" w:sz="0" w:space="0" w:color="auto"/>
        <w:bottom w:val="none" w:sz="0" w:space="0" w:color="auto"/>
        <w:right w:val="none" w:sz="0" w:space="0" w:color="auto"/>
      </w:divBdr>
    </w:div>
    <w:div w:id="590090752">
      <w:bodyDiv w:val="1"/>
      <w:marLeft w:val="0"/>
      <w:marRight w:val="0"/>
      <w:marTop w:val="0"/>
      <w:marBottom w:val="0"/>
      <w:divBdr>
        <w:top w:val="none" w:sz="0" w:space="0" w:color="auto"/>
        <w:left w:val="none" w:sz="0" w:space="0" w:color="auto"/>
        <w:bottom w:val="none" w:sz="0" w:space="0" w:color="auto"/>
        <w:right w:val="none" w:sz="0" w:space="0" w:color="auto"/>
      </w:divBdr>
    </w:div>
    <w:div w:id="738555915">
      <w:bodyDiv w:val="1"/>
      <w:marLeft w:val="0"/>
      <w:marRight w:val="0"/>
      <w:marTop w:val="0"/>
      <w:marBottom w:val="0"/>
      <w:divBdr>
        <w:top w:val="none" w:sz="0" w:space="0" w:color="auto"/>
        <w:left w:val="none" w:sz="0" w:space="0" w:color="auto"/>
        <w:bottom w:val="none" w:sz="0" w:space="0" w:color="auto"/>
        <w:right w:val="none" w:sz="0" w:space="0" w:color="auto"/>
      </w:divBdr>
    </w:div>
    <w:div w:id="841429011">
      <w:bodyDiv w:val="1"/>
      <w:marLeft w:val="0"/>
      <w:marRight w:val="0"/>
      <w:marTop w:val="0"/>
      <w:marBottom w:val="0"/>
      <w:divBdr>
        <w:top w:val="none" w:sz="0" w:space="0" w:color="auto"/>
        <w:left w:val="none" w:sz="0" w:space="0" w:color="auto"/>
        <w:bottom w:val="none" w:sz="0" w:space="0" w:color="auto"/>
        <w:right w:val="none" w:sz="0" w:space="0" w:color="auto"/>
      </w:divBdr>
    </w:div>
    <w:div w:id="866793789">
      <w:bodyDiv w:val="1"/>
      <w:marLeft w:val="0"/>
      <w:marRight w:val="0"/>
      <w:marTop w:val="0"/>
      <w:marBottom w:val="0"/>
      <w:divBdr>
        <w:top w:val="none" w:sz="0" w:space="0" w:color="auto"/>
        <w:left w:val="none" w:sz="0" w:space="0" w:color="auto"/>
        <w:bottom w:val="none" w:sz="0" w:space="0" w:color="auto"/>
        <w:right w:val="none" w:sz="0" w:space="0" w:color="auto"/>
      </w:divBdr>
    </w:div>
    <w:div w:id="879130291">
      <w:bodyDiv w:val="1"/>
      <w:marLeft w:val="0"/>
      <w:marRight w:val="0"/>
      <w:marTop w:val="0"/>
      <w:marBottom w:val="0"/>
      <w:divBdr>
        <w:top w:val="none" w:sz="0" w:space="0" w:color="auto"/>
        <w:left w:val="none" w:sz="0" w:space="0" w:color="auto"/>
        <w:bottom w:val="none" w:sz="0" w:space="0" w:color="auto"/>
        <w:right w:val="none" w:sz="0" w:space="0" w:color="auto"/>
      </w:divBdr>
    </w:div>
    <w:div w:id="1232502594">
      <w:bodyDiv w:val="1"/>
      <w:marLeft w:val="0"/>
      <w:marRight w:val="0"/>
      <w:marTop w:val="0"/>
      <w:marBottom w:val="0"/>
      <w:divBdr>
        <w:top w:val="none" w:sz="0" w:space="0" w:color="auto"/>
        <w:left w:val="none" w:sz="0" w:space="0" w:color="auto"/>
        <w:bottom w:val="none" w:sz="0" w:space="0" w:color="auto"/>
        <w:right w:val="none" w:sz="0" w:space="0" w:color="auto"/>
      </w:divBdr>
    </w:div>
    <w:div w:id="1432362196">
      <w:bodyDiv w:val="1"/>
      <w:marLeft w:val="0"/>
      <w:marRight w:val="0"/>
      <w:marTop w:val="0"/>
      <w:marBottom w:val="0"/>
      <w:divBdr>
        <w:top w:val="none" w:sz="0" w:space="0" w:color="auto"/>
        <w:left w:val="none" w:sz="0" w:space="0" w:color="auto"/>
        <w:bottom w:val="none" w:sz="0" w:space="0" w:color="auto"/>
        <w:right w:val="none" w:sz="0" w:space="0" w:color="auto"/>
      </w:divBdr>
    </w:div>
    <w:div w:id="1436945536">
      <w:bodyDiv w:val="1"/>
      <w:marLeft w:val="0"/>
      <w:marRight w:val="0"/>
      <w:marTop w:val="0"/>
      <w:marBottom w:val="0"/>
      <w:divBdr>
        <w:top w:val="none" w:sz="0" w:space="0" w:color="auto"/>
        <w:left w:val="none" w:sz="0" w:space="0" w:color="auto"/>
        <w:bottom w:val="none" w:sz="0" w:space="0" w:color="auto"/>
        <w:right w:val="none" w:sz="0" w:space="0" w:color="auto"/>
      </w:divBdr>
    </w:div>
    <w:div w:id="1815488585">
      <w:bodyDiv w:val="1"/>
      <w:marLeft w:val="0"/>
      <w:marRight w:val="0"/>
      <w:marTop w:val="0"/>
      <w:marBottom w:val="0"/>
      <w:divBdr>
        <w:top w:val="none" w:sz="0" w:space="0" w:color="auto"/>
        <w:left w:val="none" w:sz="0" w:space="0" w:color="auto"/>
        <w:bottom w:val="none" w:sz="0" w:space="0" w:color="auto"/>
        <w:right w:val="none" w:sz="0" w:space="0" w:color="auto"/>
      </w:divBdr>
    </w:div>
    <w:div w:id="1918241638">
      <w:bodyDiv w:val="1"/>
      <w:marLeft w:val="0"/>
      <w:marRight w:val="0"/>
      <w:marTop w:val="0"/>
      <w:marBottom w:val="0"/>
      <w:divBdr>
        <w:top w:val="none" w:sz="0" w:space="0" w:color="auto"/>
        <w:left w:val="none" w:sz="0" w:space="0" w:color="auto"/>
        <w:bottom w:val="none" w:sz="0" w:space="0" w:color="auto"/>
        <w:right w:val="none" w:sz="0" w:space="0" w:color="auto"/>
      </w:divBdr>
    </w:div>
    <w:div w:id="1949390945">
      <w:bodyDiv w:val="1"/>
      <w:marLeft w:val="0"/>
      <w:marRight w:val="0"/>
      <w:marTop w:val="0"/>
      <w:marBottom w:val="0"/>
      <w:divBdr>
        <w:top w:val="none" w:sz="0" w:space="0" w:color="auto"/>
        <w:left w:val="none" w:sz="0" w:space="0" w:color="auto"/>
        <w:bottom w:val="none" w:sz="0" w:space="0" w:color="auto"/>
        <w:right w:val="none" w:sz="0" w:space="0" w:color="auto"/>
      </w:divBdr>
    </w:div>
    <w:div w:id="1963612102">
      <w:bodyDiv w:val="1"/>
      <w:marLeft w:val="0"/>
      <w:marRight w:val="0"/>
      <w:marTop w:val="0"/>
      <w:marBottom w:val="0"/>
      <w:divBdr>
        <w:top w:val="none" w:sz="0" w:space="0" w:color="auto"/>
        <w:left w:val="none" w:sz="0" w:space="0" w:color="auto"/>
        <w:bottom w:val="none" w:sz="0" w:space="0" w:color="auto"/>
        <w:right w:val="none" w:sz="0" w:space="0" w:color="auto"/>
      </w:divBdr>
    </w:div>
    <w:div w:id="207685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PMCNotes xmlns="7b177a8e-f54e-48e4-9001-d701f1df7289" xsi:nil="true"/>
    <mc5611b894cf49d8aeeb8ebf39dc09bc xmlns="7b177a8e-f54e-48e4-9001-d701f1df728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7b177a8e-f54e-48e4-9001-d701f1df7289">
      <Terms xmlns="http://schemas.microsoft.com/office/infopath/2007/PartnerControls"/>
    </jd1c641577414dfdab1686c9d5d0dbd0>
    <ShareHubID xmlns="7b177a8e-f54e-48e4-9001-d701f1df7289">DOC22-91423</ShareHubID>
    <TaxCatchAll xmlns="7b177a8e-f54e-48e4-9001-d701f1df7289">
      <Value>10</Value>
      <Value>37</Value>
    </TaxCatchAll>
    <a7f0d5894973417fb6bbff31bedb6606 xmlns="7b177a8e-f54e-48e4-9001-d701f1df7289">
      <Terms xmlns="http://schemas.microsoft.com/office/infopath/2007/PartnerControls">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a7f0d5894973417fb6bbff31bedb6606>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744E34F194762841BC115BC91D2E75B8" ma:contentTypeVersion="12" ma:contentTypeDescription="ShareHub Document" ma:contentTypeScope="" ma:versionID="c2ae4cc3518ac56194161f47b87d52c6">
  <xsd:schema xmlns:xsd="http://www.w3.org/2001/XMLSchema" xmlns:xs="http://www.w3.org/2001/XMLSchema" xmlns:p="http://schemas.microsoft.com/office/2006/metadata/properties" xmlns:ns1="7b177a8e-f54e-48e4-9001-d701f1df7289" xmlns:ns3="685f9fda-bd71-4433-b331-92feb9553089" targetNamespace="http://schemas.microsoft.com/office/2006/metadata/properties" ma:root="true" ma:fieldsID="26c7b9d8df8511e2f4bc572fd3d16d1c" ns1:_="" ns3:_="">
    <xsd:import namespace="7b177a8e-f54e-48e4-9001-d701f1df728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a7f0d5894973417fb6bbff31bedb6606"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77a8e-f54e-48e4-9001-d701f1df728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a411638-f581-49b2-8608-76bad1c81f9c}" ma:internalName="TaxCatchAll" ma:showField="CatchAllData" ma:web="7b177a8e-f54e-48e4-9001-d701f1df72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a411638-f581-49b2-8608-76bad1c81f9c}" ma:internalName="TaxCatchAllLabel" ma:readOnly="true" ma:showField="CatchAllDataLabel" ma:web="7b177a8e-f54e-48e4-9001-d701f1df728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a7f0d5894973417fb6bbff31bedb6606" ma:index="17" nillable="true" ma:taxonomy="true" ma:internalName="a7f0d5894973417fb6bbff31bedb6606" ma:taxonomyFieldName="ESearchTags" ma:displayName="Tags" ma:fieldId="{a7f0d589-4973-417f-b6bb-ff31bedb6606}"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25807-9AC5-4820-AADF-295606F694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7dbc670-aca9-4bd7-b41c-fdec393ef73b"/>
    <ds:schemaRef ds:uri="http://purl.org/dc/terms/"/>
    <ds:schemaRef ds:uri="http://schemas.openxmlformats.org/package/2006/metadata/core-properties"/>
    <ds:schemaRef ds:uri="685f9fda-bd71-4433-b331-92feb9553089"/>
    <ds:schemaRef ds:uri="http://www.w3.org/XML/1998/namespace"/>
    <ds:schemaRef ds:uri="http://purl.org/dc/dcmitype/"/>
    <ds:schemaRef ds:uri="7b177a8e-f54e-48e4-9001-d701f1df7289"/>
  </ds:schemaRefs>
</ds:datastoreItem>
</file>

<file path=customXml/itemProps2.xml><?xml version="1.0" encoding="utf-8"?>
<ds:datastoreItem xmlns:ds="http://schemas.openxmlformats.org/officeDocument/2006/customXml" ds:itemID="{E0AEF7D4-9276-4317-9ABE-711070AAF76E}">
  <ds:schemaRefs>
    <ds:schemaRef ds:uri="http://schemas.openxmlformats.org/officeDocument/2006/bibliography"/>
  </ds:schemaRefs>
</ds:datastoreItem>
</file>

<file path=customXml/itemProps3.xml><?xml version="1.0" encoding="utf-8"?>
<ds:datastoreItem xmlns:ds="http://schemas.openxmlformats.org/officeDocument/2006/customXml" ds:itemID="{10DC7250-E887-4437-8FAF-AF5BDF5AF1E7}"/>
</file>

<file path=customXml/itemProps4.xml><?xml version="1.0" encoding="utf-8"?>
<ds:datastoreItem xmlns:ds="http://schemas.openxmlformats.org/officeDocument/2006/customXml" ds:itemID="{BE2F6BCA-7BB0-4A3A-BBAE-C340F106ADB3}"/>
</file>

<file path=docProps/app.xml><?xml version="1.0" encoding="utf-8"?>
<Properties xmlns="http://schemas.openxmlformats.org/officeDocument/2006/extended-properties" xmlns:vt="http://schemas.openxmlformats.org/officeDocument/2006/docPropsVTypes">
  <Template>Normal</Template>
  <TotalTime>0</TotalTime>
  <Pages>11</Pages>
  <Words>4714</Words>
  <Characters>26876</Characters>
  <Application>Microsoft Office Word</Application>
  <DocSecurity>0</DocSecurity>
  <Lines>223</Lines>
  <Paragraphs>63</Paragraphs>
  <ScaleCrop>false</ScaleCrop>
  <Company/>
  <LinksUpToDate>false</LinksUpToDate>
  <CharactersWithSpaces>31527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2022-04-11T09:21:00Z</dcterms:created>
  <dcterms:modified xsi:type="dcterms:W3CDTF">2022-04-11T09:22:00Z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earchTags">
    <vt:lpwstr>10;#Cabinet|84cba657-17c1-4642-9e59-a0df180c2be5</vt:lpwstr>
  </property>
  <property fmtid="{D5CDD505-2E9C-101B-9397-08002B2CF9AE}" pid="3" name="PMC.ESearch.TagGeneratedTime">
    <vt:lpwstr>2022-04-11T19:20:53</vt:lpwstr>
  </property>
  <property fmtid="{D5CDD505-2E9C-101B-9397-08002B2CF9AE}" pid="4" name="HPRMSecurityLevel">
    <vt:lpwstr>37;#OFFICIAL|11463c70-78df-4e3b-b0ff-f66cd3cb26ec</vt:lpwstr>
  </property>
  <property fmtid="{D5CDD505-2E9C-101B-9397-08002B2CF9AE}" pid="5" name="ContentTypeId">
    <vt:lpwstr>0x0101002825A64A6E1845A99A9D8EE8A5686ECB00744E34F194762841BC115BC91D2E75B8</vt:lpwstr>
  </property>
  <property fmtid="{D5CDD505-2E9C-101B-9397-08002B2CF9AE}" pid="6" name="of7aea3fc196472b8f307c95feae90f1">
    <vt:lpwstr>Protected|9d1e6530-271a-4fdf-bc88-184a8d43835a;Cabinet|84cba657-17c1-4642-9e59-a0df180c2be5</vt:lpwstr>
  </property>
  <property fmtid="{D5CDD505-2E9C-101B-9397-08002B2CF9AE}" pid="7" name="HPRMSecurityCaveat">
    <vt:lpwstr/>
  </property>
</Properties>
</file>