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6CD9E" w14:textId="77777777" w:rsidR="00C56FD6" w:rsidRPr="00DE776F" w:rsidRDefault="00C56FD6" w:rsidP="00C56FD6">
      <w:pPr>
        <w:spacing w:after="0" w:line="240" w:lineRule="auto"/>
        <w:jc w:val="center"/>
        <w:rPr>
          <w:b/>
        </w:rPr>
      </w:pPr>
      <w:r w:rsidRPr="00DE776F">
        <w:rPr>
          <w:b/>
        </w:rPr>
        <w:t>EXPLANATORY STATEMENT</w:t>
      </w:r>
    </w:p>
    <w:p w14:paraId="0E9AE5A4" w14:textId="77777777" w:rsidR="00C56FD6" w:rsidRPr="00DE776F" w:rsidRDefault="00C56FD6" w:rsidP="00C56FD6">
      <w:pPr>
        <w:spacing w:after="0" w:line="240" w:lineRule="auto"/>
        <w:jc w:val="center"/>
        <w:rPr>
          <w:b/>
        </w:rPr>
      </w:pPr>
    </w:p>
    <w:p w14:paraId="676883BE" w14:textId="77777777" w:rsidR="00C56FD6" w:rsidRPr="00DE776F" w:rsidRDefault="00C56FD6" w:rsidP="00C56FD6">
      <w:pPr>
        <w:spacing w:after="0" w:line="240" w:lineRule="auto"/>
        <w:jc w:val="center"/>
        <w:rPr>
          <w:b/>
          <w:i/>
        </w:rPr>
      </w:pPr>
      <w:r w:rsidRPr="00DE776F">
        <w:rPr>
          <w:b/>
          <w:i/>
        </w:rPr>
        <w:t>HEALTH INSURANCE ACT 1973</w:t>
      </w:r>
    </w:p>
    <w:p w14:paraId="2F92EE96" w14:textId="77777777" w:rsidR="00C56FD6" w:rsidRPr="00DE776F" w:rsidRDefault="00C56FD6" w:rsidP="00C56FD6">
      <w:pPr>
        <w:spacing w:after="0" w:line="240" w:lineRule="auto"/>
        <w:jc w:val="center"/>
        <w:rPr>
          <w:b/>
        </w:rPr>
      </w:pPr>
    </w:p>
    <w:p w14:paraId="185A1409" w14:textId="20FD8648" w:rsidR="009F6B8D" w:rsidRDefault="009140C0" w:rsidP="009C7623">
      <w:pPr>
        <w:spacing w:after="0" w:line="240" w:lineRule="auto"/>
        <w:jc w:val="center"/>
        <w:rPr>
          <w:b/>
          <w:i/>
        </w:rPr>
      </w:pPr>
      <w:bookmarkStart w:id="0" w:name="_Hlk86053712"/>
      <w:bookmarkStart w:id="1" w:name="_Hlk98757110"/>
      <w:r w:rsidRPr="009140C0">
        <w:rPr>
          <w:b/>
          <w:i/>
        </w:rPr>
        <w:t>Health Insurance (Accredited Pathology Laboratories—Approval) Amendment</w:t>
      </w:r>
    </w:p>
    <w:p w14:paraId="4A9E896E" w14:textId="21E01F2A" w:rsidR="009F6B8D" w:rsidRDefault="009140C0" w:rsidP="009C7623">
      <w:pPr>
        <w:spacing w:after="240" w:line="240" w:lineRule="auto"/>
        <w:jc w:val="center"/>
        <w:rPr>
          <w:rFonts w:cs="Times New Roman"/>
          <w:b/>
          <w:szCs w:val="24"/>
        </w:rPr>
      </w:pPr>
      <w:r w:rsidRPr="009140C0">
        <w:rPr>
          <w:b/>
          <w:i/>
        </w:rPr>
        <w:t>(Relevant Standards) Principles (No.</w:t>
      </w:r>
      <w:r w:rsidR="00920BF6">
        <w:rPr>
          <w:b/>
          <w:i/>
        </w:rPr>
        <w:t>1</w:t>
      </w:r>
      <w:r w:rsidRPr="009140C0">
        <w:rPr>
          <w:b/>
          <w:i/>
        </w:rPr>
        <w:t>) 202</w:t>
      </w:r>
      <w:bookmarkEnd w:id="0"/>
      <w:r w:rsidR="00920BF6">
        <w:rPr>
          <w:b/>
          <w:i/>
        </w:rPr>
        <w:t>2</w:t>
      </w:r>
    </w:p>
    <w:bookmarkEnd w:id="1"/>
    <w:p w14:paraId="17122760" w14:textId="6924FA2D" w:rsidR="00C56FD6" w:rsidRPr="002F7AF7" w:rsidRDefault="00C56FD6" w:rsidP="00C56FD6">
      <w:pPr>
        <w:spacing w:after="240" w:line="240" w:lineRule="auto"/>
        <w:jc w:val="both"/>
        <w:rPr>
          <w:rFonts w:cs="Times New Roman"/>
          <w:b/>
          <w:szCs w:val="24"/>
        </w:rPr>
      </w:pPr>
      <w:r w:rsidRPr="002F7AF7">
        <w:rPr>
          <w:rFonts w:cs="Times New Roman"/>
          <w:b/>
          <w:szCs w:val="24"/>
        </w:rPr>
        <w:t xml:space="preserve">Authority </w:t>
      </w:r>
    </w:p>
    <w:p w14:paraId="2E7D39DC" w14:textId="59403DE5" w:rsidR="00C56FD6" w:rsidRDefault="003A0387" w:rsidP="00C56FD6">
      <w:pPr>
        <w:spacing w:after="240" w:line="240" w:lineRule="auto"/>
        <w:rPr>
          <w:rFonts w:cs="Times New Roman"/>
          <w:szCs w:val="24"/>
        </w:rPr>
      </w:pPr>
      <w:r>
        <w:rPr>
          <w:rFonts w:cs="Times New Roman"/>
          <w:szCs w:val="24"/>
        </w:rPr>
        <w:t>Subs</w:t>
      </w:r>
      <w:r w:rsidR="00C56FD6" w:rsidRPr="002F7AF7">
        <w:rPr>
          <w:rFonts w:cs="Times New Roman"/>
          <w:szCs w:val="24"/>
        </w:rPr>
        <w:t>ection 23DNA</w:t>
      </w:r>
      <w:r>
        <w:rPr>
          <w:rFonts w:cs="Times New Roman"/>
          <w:szCs w:val="24"/>
        </w:rPr>
        <w:t>(1)</w:t>
      </w:r>
      <w:r w:rsidR="00C56FD6" w:rsidRPr="002F7AF7">
        <w:rPr>
          <w:rFonts w:cs="Times New Roman"/>
          <w:szCs w:val="24"/>
        </w:rPr>
        <w:t xml:space="preserve"> of the </w:t>
      </w:r>
      <w:r w:rsidR="00C56FD6" w:rsidRPr="002F7AF7">
        <w:rPr>
          <w:rFonts w:cs="Times New Roman"/>
          <w:i/>
          <w:szCs w:val="24"/>
        </w:rPr>
        <w:t>Health Insurance Act 1973</w:t>
      </w:r>
      <w:r w:rsidR="00C56FD6" w:rsidRPr="002F7AF7">
        <w:rPr>
          <w:rFonts w:cs="Times New Roman"/>
          <w:szCs w:val="24"/>
        </w:rPr>
        <w:t xml:space="preserve"> (the Act) provides for the Minister to determine the principles to be applied in exercising his or her powers under section 23DN of the Act to approve in principle, or refuse to approve, premises as an accredited pathology laboratory. The current principles determined under section 23DNA are the </w:t>
      </w:r>
      <w:r w:rsidR="00C56FD6" w:rsidRPr="002F7AF7">
        <w:rPr>
          <w:rFonts w:cs="Times New Roman"/>
          <w:i/>
          <w:szCs w:val="24"/>
        </w:rPr>
        <w:t xml:space="preserve">Health Insurance (Accredited Pathology Laboratories – Approval) Principles 2017 </w:t>
      </w:r>
      <w:r w:rsidR="00C56FD6" w:rsidRPr="002F7AF7">
        <w:rPr>
          <w:rFonts w:cs="Times New Roman"/>
          <w:szCs w:val="24"/>
        </w:rPr>
        <w:t xml:space="preserve">(the Principles).  </w:t>
      </w:r>
    </w:p>
    <w:p w14:paraId="4980CB39" w14:textId="77777777" w:rsidR="00EE4EB2" w:rsidRPr="006B0093" w:rsidRDefault="00EE4EB2" w:rsidP="006B0093">
      <w:pPr>
        <w:shd w:val="clear" w:color="auto" w:fill="FFFFFF"/>
        <w:spacing w:line="240" w:lineRule="auto"/>
        <w:rPr>
          <w:szCs w:val="24"/>
        </w:rPr>
      </w:pPr>
      <w:r w:rsidRPr="006B0093">
        <w:rPr>
          <w:szCs w:val="24"/>
        </w:rPr>
        <w:t>Under subsection 33(3) of the </w:t>
      </w:r>
      <w:r w:rsidRPr="006B0093">
        <w:rPr>
          <w:i/>
          <w:iCs/>
          <w:szCs w:val="24"/>
        </w:rPr>
        <w:t>Acts Interpretation Act 1901</w:t>
      </w:r>
      <w:r w:rsidRPr="006B0093">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18D3F" w14:textId="77777777" w:rsidR="007F3893" w:rsidRDefault="001671A6" w:rsidP="007F3893">
      <w:pPr>
        <w:spacing w:after="240" w:line="240" w:lineRule="auto"/>
        <w:rPr>
          <w:rFonts w:cs="Times New Roman"/>
          <w:b/>
          <w:bCs/>
          <w:szCs w:val="24"/>
        </w:rPr>
      </w:pPr>
      <w:r>
        <w:rPr>
          <w:rFonts w:cs="Times New Roman"/>
          <w:b/>
          <w:bCs/>
          <w:szCs w:val="24"/>
        </w:rPr>
        <w:t>Purpose</w:t>
      </w:r>
    </w:p>
    <w:p w14:paraId="418C5B05" w14:textId="109358D4" w:rsidR="00ED4D59" w:rsidRPr="009D3764" w:rsidRDefault="00406816" w:rsidP="00920BF6">
      <w:pPr>
        <w:spacing w:after="120" w:line="240" w:lineRule="auto"/>
      </w:pPr>
      <w:r>
        <w:rPr>
          <w:szCs w:val="24"/>
        </w:rPr>
        <w:t xml:space="preserve">The purpose of the </w:t>
      </w:r>
      <w:r w:rsidR="009140C0" w:rsidRPr="009F6B8D">
        <w:rPr>
          <w:i/>
          <w:iCs/>
          <w:szCs w:val="24"/>
        </w:rPr>
        <w:t xml:space="preserve">Health Insurance (Accredited Pathology Laboratories—Approval) </w:t>
      </w:r>
      <w:r w:rsidR="009140C0" w:rsidRPr="009D3764">
        <w:rPr>
          <w:i/>
          <w:iCs/>
          <w:szCs w:val="24"/>
        </w:rPr>
        <w:t>Amendment (Relevant Standards) Principles (No.</w:t>
      </w:r>
      <w:r w:rsidR="00920BF6" w:rsidRPr="009D3764">
        <w:rPr>
          <w:i/>
          <w:iCs/>
          <w:szCs w:val="24"/>
        </w:rPr>
        <w:t>1</w:t>
      </w:r>
      <w:r w:rsidR="009140C0" w:rsidRPr="009D3764">
        <w:rPr>
          <w:i/>
          <w:iCs/>
          <w:szCs w:val="24"/>
        </w:rPr>
        <w:t>) 202</w:t>
      </w:r>
      <w:r w:rsidR="00920BF6" w:rsidRPr="009D3764">
        <w:rPr>
          <w:i/>
          <w:iCs/>
          <w:szCs w:val="24"/>
        </w:rPr>
        <w:t>2</w:t>
      </w:r>
      <w:r w:rsidR="009140C0" w:rsidRPr="009D3764">
        <w:rPr>
          <w:i/>
          <w:szCs w:val="24"/>
        </w:rPr>
        <w:t xml:space="preserve"> </w:t>
      </w:r>
      <w:r w:rsidRPr="009D3764">
        <w:rPr>
          <w:szCs w:val="24"/>
        </w:rPr>
        <w:t xml:space="preserve">(the Amending </w:t>
      </w:r>
      <w:r w:rsidR="00ED4D59" w:rsidRPr="009D3764">
        <w:rPr>
          <w:szCs w:val="24"/>
        </w:rPr>
        <w:t>Instrument</w:t>
      </w:r>
      <w:r w:rsidRPr="009D3764">
        <w:rPr>
          <w:szCs w:val="24"/>
        </w:rPr>
        <w:t>) is to amend the Principles to incorporate the revised accreditation standard</w:t>
      </w:r>
      <w:r w:rsidR="00920BF6" w:rsidRPr="009D3764">
        <w:rPr>
          <w:szCs w:val="24"/>
        </w:rPr>
        <w:t xml:space="preserve"> titled </w:t>
      </w:r>
      <w:r w:rsidR="00ED4D59" w:rsidRPr="009D3764">
        <w:rPr>
          <w:i/>
          <w:iCs/>
        </w:rPr>
        <w:t xml:space="preserve">Requirements for </w:t>
      </w:r>
      <w:r w:rsidR="00920BF6" w:rsidRPr="009D3764">
        <w:rPr>
          <w:i/>
          <w:iCs/>
        </w:rPr>
        <w:t>the Retention of Laboratory Records and Diagnostic Material</w:t>
      </w:r>
      <w:r w:rsidR="00ED4D59" w:rsidRPr="009D3764">
        <w:rPr>
          <w:i/>
          <w:iCs/>
        </w:rPr>
        <w:t xml:space="preserve"> (</w:t>
      </w:r>
      <w:r w:rsidR="00920BF6" w:rsidRPr="009D3764">
        <w:rPr>
          <w:i/>
          <w:iCs/>
        </w:rPr>
        <w:t>Ninth</w:t>
      </w:r>
      <w:r w:rsidR="00ED4D59" w:rsidRPr="009D3764">
        <w:rPr>
          <w:i/>
          <w:iCs/>
        </w:rPr>
        <w:t xml:space="preserve"> Edition 202</w:t>
      </w:r>
      <w:r w:rsidR="00920BF6" w:rsidRPr="009D3764">
        <w:rPr>
          <w:i/>
          <w:iCs/>
        </w:rPr>
        <w:t>2</w:t>
      </w:r>
      <w:r w:rsidR="00ED4D59" w:rsidRPr="009D3764">
        <w:rPr>
          <w:i/>
          <w:iCs/>
        </w:rPr>
        <w:t>)</w:t>
      </w:r>
      <w:r w:rsidR="003D3A42">
        <w:t xml:space="preserve"> (the Retention Requirements)</w:t>
      </w:r>
      <w:r w:rsidR="00920BF6" w:rsidRPr="009D3764">
        <w:t>.</w:t>
      </w:r>
    </w:p>
    <w:p w14:paraId="0BB8971B" w14:textId="22DF04FF" w:rsidR="00081F5C" w:rsidRDefault="00081F5C" w:rsidP="00A73EF8">
      <w:pPr>
        <w:spacing w:after="0" w:line="240" w:lineRule="auto"/>
      </w:pPr>
      <w:r w:rsidRPr="009D3764">
        <w:t xml:space="preserve">In accordance with s 14 of the </w:t>
      </w:r>
      <w:r w:rsidRPr="009D3764">
        <w:rPr>
          <w:i/>
          <w:iCs/>
        </w:rPr>
        <w:t>Legislation Act 2003</w:t>
      </w:r>
      <w:r w:rsidRPr="009D3764">
        <w:t xml:space="preserve">, </w:t>
      </w:r>
      <w:r w:rsidR="00920BF6" w:rsidRPr="009D3764">
        <w:t xml:space="preserve">the </w:t>
      </w:r>
      <w:r w:rsidRPr="009D3764">
        <w:t>revised accreditation standard</w:t>
      </w:r>
      <w:r w:rsidR="00920BF6" w:rsidRPr="009D3764">
        <w:t xml:space="preserve"> is </w:t>
      </w:r>
      <w:r w:rsidRPr="009D3764">
        <w:t xml:space="preserve">not to be incorporated from time to time, but at the time of commencement of this </w:t>
      </w:r>
      <w:r w:rsidR="009F3739">
        <w:t>Amending Instrument</w:t>
      </w:r>
      <w:r w:rsidR="00E5035A">
        <w:t>.</w:t>
      </w:r>
      <w:r w:rsidR="009F3739">
        <w:t xml:space="preserve"> </w:t>
      </w:r>
    </w:p>
    <w:p w14:paraId="347DD367" w14:textId="77777777" w:rsidR="009F6B8D" w:rsidRPr="009D3764" w:rsidRDefault="009F6B8D" w:rsidP="00A73EF8">
      <w:pPr>
        <w:spacing w:after="0" w:line="240" w:lineRule="auto"/>
      </w:pPr>
    </w:p>
    <w:p w14:paraId="4B07ED8E" w14:textId="54704A7C" w:rsidR="00A73EF8" w:rsidRPr="009D3764" w:rsidRDefault="00A73EF8" w:rsidP="00A73EF8">
      <w:pPr>
        <w:spacing w:after="0" w:line="240" w:lineRule="auto"/>
      </w:pPr>
      <w:r w:rsidRPr="009D3764">
        <w:t xml:space="preserve">With the exception of some basic tests conducted by some medical practitioners within their own medical practice, </w:t>
      </w:r>
      <w:r w:rsidR="00DF201C" w:rsidRPr="009D3764">
        <w:t>M</w:t>
      </w:r>
      <w:r w:rsidRPr="009D3764">
        <w:t xml:space="preserve">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w:t>
      </w:r>
      <w:r w:rsidR="00920BF6" w:rsidRPr="009D3764">
        <w:t xml:space="preserve">accreditation </w:t>
      </w:r>
      <w:r w:rsidRPr="009D3764">
        <w:t>standards are met and maintained in pathology laboratories at which Medicare eligible pathology services can be provided.</w:t>
      </w:r>
    </w:p>
    <w:p w14:paraId="0A312B11" w14:textId="77777777" w:rsidR="00A73EF8" w:rsidRPr="009D3764" w:rsidRDefault="00A73EF8" w:rsidP="00A73EF8">
      <w:pPr>
        <w:spacing w:after="0" w:line="240" w:lineRule="auto"/>
      </w:pPr>
    </w:p>
    <w:p w14:paraId="1B4DF3C9" w14:textId="77777777" w:rsidR="00A73EF8" w:rsidRPr="009D3764" w:rsidRDefault="00A73EF8" w:rsidP="00A73EF8">
      <w:pPr>
        <w:spacing w:after="0" w:line="240" w:lineRule="auto"/>
      </w:pPr>
      <w:r w:rsidRPr="009D3764">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188E19DF" w14:textId="77777777" w:rsidR="00A73EF8" w:rsidRPr="009D3764" w:rsidRDefault="00A73EF8" w:rsidP="00A73EF8">
      <w:pPr>
        <w:spacing w:after="0" w:line="240" w:lineRule="auto"/>
      </w:pPr>
    </w:p>
    <w:p w14:paraId="1E834E2A" w14:textId="41D171FF" w:rsidR="00A73EF8" w:rsidRPr="009D3764" w:rsidRDefault="00A73EF8" w:rsidP="00A73EF8">
      <w:pPr>
        <w:spacing w:after="0" w:line="240" w:lineRule="auto"/>
      </w:pPr>
      <w:r w:rsidRPr="009D3764">
        <w:t xml:space="preserve">The Schedule to the Principles specifies accreditation materials that set out relevant </w:t>
      </w:r>
      <w:r w:rsidR="00BC4B23" w:rsidRPr="009D3764">
        <w:t xml:space="preserve">quality </w:t>
      </w:r>
      <w:r w:rsidRPr="009D3764">
        <w:t xml:space="preserve">standards against which applicants for accreditation are to be assessed. </w:t>
      </w:r>
      <w:r w:rsidR="00BC4B23" w:rsidRPr="009D3764">
        <w:t>The standards</w:t>
      </w:r>
      <w:r w:rsidRPr="009D3764">
        <w:t xml:space="preserve"> are developed and maintained by the</w:t>
      </w:r>
      <w:r w:rsidRPr="009D3764">
        <w:rPr>
          <w:szCs w:val="24"/>
        </w:rPr>
        <w:t xml:space="preserve"> National Pathology Accreditation Advisory Council (NPAAC) or endorsed by NPAAC as supplementary accreditation materials</w:t>
      </w:r>
      <w:r w:rsidRPr="009D3764">
        <w:t xml:space="preserve">. </w:t>
      </w:r>
      <w:r w:rsidR="00CB4E07" w:rsidRPr="009D3764">
        <w:t xml:space="preserve">NPAAC and the </w:t>
      </w:r>
      <w:r w:rsidR="00CB4E07" w:rsidRPr="009D3764">
        <w:lastRenderedPageBreak/>
        <w:t xml:space="preserve">National Pathology Accreditation Scheme are supported by the Australian Commission on Safety and Quality in Health Care </w:t>
      </w:r>
      <w:r w:rsidR="00E1644D" w:rsidRPr="009D3764">
        <w:t xml:space="preserve">(ACSQHC) </w:t>
      </w:r>
      <w:r w:rsidR="00CB4E07" w:rsidRPr="009D3764">
        <w:t>under an arrangement with the Department of Health. The Department of Health retain</w:t>
      </w:r>
      <w:r w:rsidR="00E1644D" w:rsidRPr="009D3764">
        <w:t>s</w:t>
      </w:r>
      <w:r w:rsidR="00CB4E07" w:rsidRPr="009D3764">
        <w:t xml:space="preserve"> policy and regulatory responsibilities related to pathology accreditation. </w:t>
      </w:r>
      <w:r w:rsidRPr="009D3764">
        <w:t xml:space="preserve">The accreditation process of pathology laboratories is administered by </w:t>
      </w:r>
      <w:r w:rsidR="00882AD4" w:rsidRPr="009D3764">
        <w:t>Services Australia</w:t>
      </w:r>
      <w:r w:rsidRPr="009D3764">
        <w:t>, while the National Association of Testing Authorities</w:t>
      </w:r>
      <w:r w:rsidR="00882AD4" w:rsidRPr="009D3764">
        <w:t>, Australia</w:t>
      </w:r>
      <w:r w:rsidRPr="009D3764">
        <w:t xml:space="preserve"> (NATA) is the current independent assessment body that conducts the accreditation assessment of pathology laboratories, in conjunction with the Royal College of Pathologists of Australasia, in accordance with the specified accreditation standards.</w:t>
      </w:r>
    </w:p>
    <w:p w14:paraId="246B7F86" w14:textId="77777777" w:rsidR="00A73EF8" w:rsidRPr="009D3764" w:rsidRDefault="00A73EF8" w:rsidP="00406816">
      <w:pPr>
        <w:spacing w:after="0" w:line="240" w:lineRule="auto"/>
        <w:rPr>
          <w:szCs w:val="24"/>
        </w:rPr>
      </w:pPr>
    </w:p>
    <w:p w14:paraId="1BC2EC19" w14:textId="7FC3804C" w:rsidR="00260F41" w:rsidRDefault="00406816" w:rsidP="00406816">
      <w:pPr>
        <w:spacing w:after="0" w:line="240" w:lineRule="auto"/>
        <w:rPr>
          <w:szCs w:val="24"/>
        </w:rPr>
      </w:pPr>
      <w:r w:rsidRPr="009D3764">
        <w:rPr>
          <w:szCs w:val="24"/>
        </w:rPr>
        <w:t>The</w:t>
      </w:r>
      <w:r w:rsidR="000D2747" w:rsidRPr="009D3764">
        <w:rPr>
          <w:szCs w:val="24"/>
        </w:rPr>
        <w:t xml:space="preserve"> revised accreditation standard follow</w:t>
      </w:r>
      <w:r w:rsidR="00DD1BA7" w:rsidRPr="009D3764">
        <w:rPr>
          <w:szCs w:val="24"/>
        </w:rPr>
        <w:t>s on</w:t>
      </w:r>
      <w:r w:rsidR="000D2747" w:rsidRPr="009D3764">
        <w:rPr>
          <w:szCs w:val="24"/>
        </w:rPr>
        <w:t xml:space="preserve"> from </w:t>
      </w:r>
      <w:r w:rsidR="002D5ABF" w:rsidRPr="009D3764">
        <w:rPr>
          <w:szCs w:val="24"/>
        </w:rPr>
        <w:t>NPAAC</w:t>
      </w:r>
      <w:r w:rsidR="000D2747" w:rsidRPr="009D3764">
        <w:rPr>
          <w:szCs w:val="24"/>
        </w:rPr>
        <w:t>’s</w:t>
      </w:r>
      <w:r w:rsidR="002D5ABF" w:rsidRPr="009D3764">
        <w:rPr>
          <w:szCs w:val="24"/>
        </w:rPr>
        <w:t xml:space="preserve"> </w:t>
      </w:r>
      <w:r w:rsidR="000D2747" w:rsidRPr="009D3764">
        <w:rPr>
          <w:szCs w:val="24"/>
        </w:rPr>
        <w:t xml:space="preserve">consideration of </w:t>
      </w:r>
      <w:r w:rsidR="0022330A" w:rsidRPr="009D3764">
        <w:rPr>
          <w:szCs w:val="24"/>
        </w:rPr>
        <w:t xml:space="preserve">quality </w:t>
      </w:r>
      <w:r w:rsidR="00260F41" w:rsidRPr="009D3764">
        <w:rPr>
          <w:szCs w:val="24"/>
        </w:rPr>
        <w:t xml:space="preserve">standards </w:t>
      </w:r>
      <w:r w:rsidR="00DD1BA7" w:rsidRPr="009D3764">
        <w:rPr>
          <w:szCs w:val="24"/>
        </w:rPr>
        <w:t>and</w:t>
      </w:r>
      <w:r w:rsidR="00260F41" w:rsidRPr="009D3764">
        <w:rPr>
          <w:szCs w:val="24"/>
        </w:rPr>
        <w:t xml:space="preserve"> </w:t>
      </w:r>
      <w:r w:rsidR="00DD1BA7" w:rsidRPr="009D3764">
        <w:rPr>
          <w:szCs w:val="24"/>
        </w:rPr>
        <w:t>is</w:t>
      </w:r>
      <w:r w:rsidR="00260F41" w:rsidRPr="009D3764">
        <w:rPr>
          <w:szCs w:val="24"/>
        </w:rPr>
        <w:t xml:space="preserve"> a result of the ongoing refinement of the pathology requirements that are aimed at ensuring best pathology practice</w:t>
      </w:r>
      <w:r w:rsidR="0022330A" w:rsidRPr="009D3764">
        <w:rPr>
          <w:szCs w:val="24"/>
        </w:rPr>
        <w:t xml:space="preserve"> and that support the therapeutics regulatory framework</w:t>
      </w:r>
      <w:r w:rsidR="00260F41" w:rsidRPr="009D3764">
        <w:rPr>
          <w:szCs w:val="24"/>
        </w:rPr>
        <w:t xml:space="preserve">. They should be read in conjunction with the pathology overarching standard titled the </w:t>
      </w:r>
      <w:r w:rsidR="00260F41" w:rsidRPr="009D3764">
        <w:rPr>
          <w:i/>
          <w:szCs w:val="24"/>
        </w:rPr>
        <w:t>Requirements for Medical Pathology Services</w:t>
      </w:r>
      <w:r w:rsidR="00260F41" w:rsidRPr="009D3764">
        <w:rPr>
          <w:szCs w:val="24"/>
        </w:rPr>
        <w:t>, which sets out the core elements of</w:t>
      </w:r>
      <w:r w:rsidR="00260F41">
        <w:rPr>
          <w:szCs w:val="24"/>
        </w:rPr>
        <w:t xml:space="preserve"> good laboratory practice, in addition to other materials that form the national pathology accreditation framework. This assists with the assurance of the quality of Australian pathology services.</w:t>
      </w:r>
    </w:p>
    <w:p w14:paraId="2D9BE417" w14:textId="42A491D9" w:rsidR="00260F41" w:rsidRDefault="00260F41" w:rsidP="00406816">
      <w:pPr>
        <w:spacing w:after="0" w:line="240" w:lineRule="auto"/>
        <w:rPr>
          <w:szCs w:val="24"/>
        </w:rPr>
      </w:pPr>
    </w:p>
    <w:p w14:paraId="06E1B3DB" w14:textId="77777777" w:rsidR="001E16A5" w:rsidRDefault="009F6B8D" w:rsidP="004B7B78">
      <w:pPr>
        <w:spacing w:line="240" w:lineRule="auto"/>
        <w:rPr>
          <w:b/>
          <w:bCs/>
          <w:i/>
          <w:iCs/>
        </w:rPr>
      </w:pPr>
      <w:r w:rsidRPr="004B7B78">
        <w:rPr>
          <w:b/>
          <w:bCs/>
          <w:i/>
          <w:iCs/>
        </w:rPr>
        <w:t xml:space="preserve">Requirements for the </w:t>
      </w:r>
      <w:r w:rsidR="00CB4E07" w:rsidRPr="004B7B78">
        <w:rPr>
          <w:b/>
          <w:bCs/>
          <w:i/>
          <w:iCs/>
        </w:rPr>
        <w:t>Retention of Laboratory Records and Diagnostic Material</w:t>
      </w:r>
      <w:r w:rsidRPr="004B7B78">
        <w:rPr>
          <w:b/>
          <w:bCs/>
          <w:i/>
          <w:iCs/>
        </w:rPr>
        <w:t xml:space="preserve"> (</w:t>
      </w:r>
      <w:r w:rsidR="00CB4E07" w:rsidRPr="004B7B78">
        <w:rPr>
          <w:b/>
          <w:bCs/>
          <w:i/>
          <w:iCs/>
        </w:rPr>
        <w:t xml:space="preserve">Ninth </w:t>
      </w:r>
      <w:r w:rsidRPr="004B7B78">
        <w:rPr>
          <w:b/>
          <w:bCs/>
          <w:i/>
          <w:iCs/>
        </w:rPr>
        <w:t>Edition 202</w:t>
      </w:r>
      <w:r w:rsidR="00CB4E07" w:rsidRPr="004B7B78">
        <w:rPr>
          <w:b/>
          <w:bCs/>
          <w:i/>
          <w:iCs/>
        </w:rPr>
        <w:t>2</w:t>
      </w:r>
      <w:r w:rsidRPr="004B7B78">
        <w:rPr>
          <w:b/>
          <w:bCs/>
          <w:i/>
          <w:iCs/>
        </w:rPr>
        <w:t>)</w:t>
      </w:r>
      <w:r w:rsidR="00D8275D" w:rsidRPr="004B7B78" w:rsidDel="00D8275D">
        <w:rPr>
          <w:b/>
          <w:bCs/>
          <w:i/>
          <w:iCs/>
        </w:rPr>
        <w:t xml:space="preserve"> </w:t>
      </w:r>
    </w:p>
    <w:p w14:paraId="677152FE" w14:textId="668E9471" w:rsidR="00DD1BA7" w:rsidRDefault="009F6B8D" w:rsidP="004B7B78">
      <w:pPr>
        <w:spacing w:line="240" w:lineRule="auto"/>
      </w:pPr>
      <w:r>
        <w:t>The</w:t>
      </w:r>
      <w:r w:rsidR="004B7B78">
        <w:t xml:space="preserve"> </w:t>
      </w:r>
      <w:r w:rsidR="003D3A42">
        <w:t>Retention Requirements</w:t>
      </w:r>
      <w:r w:rsidRPr="005835B0">
        <w:t xml:space="preserve"> </w:t>
      </w:r>
      <w:r>
        <w:t xml:space="preserve">is a </w:t>
      </w:r>
      <w:r w:rsidR="00DD1BA7">
        <w:t>revised</w:t>
      </w:r>
      <w:r>
        <w:t xml:space="preserve"> pathology accreditation standard that provides minimum best practice standards for </w:t>
      </w:r>
      <w:r w:rsidRPr="00311025">
        <w:t xml:space="preserve">laboratories </w:t>
      </w:r>
      <w:r w:rsidR="00DD1BA7">
        <w:t>on the minimum standards for the retention of laboratory records and materials. Laboratories may choose to exceed these minimum requirements based on their operations and practice.</w:t>
      </w:r>
    </w:p>
    <w:p w14:paraId="7D7E1F26" w14:textId="6621E0FD" w:rsidR="009F6B8D" w:rsidRDefault="00E1644D" w:rsidP="009F6B8D">
      <w:pPr>
        <w:tabs>
          <w:tab w:val="left" w:pos="3261"/>
        </w:tabs>
        <w:spacing w:after="240" w:line="240" w:lineRule="auto"/>
        <w:rPr>
          <w:rFonts w:cs="Times New Roman"/>
          <w:szCs w:val="24"/>
        </w:rPr>
      </w:pPr>
      <w:r>
        <w:rPr>
          <w:rFonts w:cs="Times New Roman"/>
          <w:szCs w:val="24"/>
        </w:rPr>
        <w:t xml:space="preserve">In response to concerns raised by some laboratories experiencing issues with the retention and storage of </w:t>
      </w:r>
      <w:r w:rsidRPr="009D3764">
        <w:rPr>
          <w:rFonts w:cs="Times New Roman"/>
          <w:szCs w:val="24"/>
        </w:rPr>
        <w:t xml:space="preserve">COVID positive specimens, an amendment to the Retention Requirements has been made to reduce the retention period for COVID positive specimens to one week during the continued COVID-19 pandemic period. This measure is to support the continued operation of pathology laboratories during the high demand for services, limited workforce and storage capacity issues. In addition to the change in retention period for COVID positive specimens, other minor editorial amendments have been made </w:t>
      </w:r>
      <w:r w:rsidR="00A74174">
        <w:rPr>
          <w:rFonts w:cs="Times New Roman"/>
          <w:szCs w:val="24"/>
        </w:rPr>
        <w:t xml:space="preserve">to reflect that the document is the ninth edition of the Retention Standards and to </w:t>
      </w:r>
      <w:r w:rsidRPr="009D3764">
        <w:rPr>
          <w:rFonts w:cs="Times New Roman"/>
          <w:szCs w:val="24"/>
        </w:rPr>
        <w:t xml:space="preserve">acknowledge the </w:t>
      </w:r>
      <w:r w:rsidR="00A74174">
        <w:rPr>
          <w:rFonts w:cs="Times New Roman"/>
          <w:szCs w:val="24"/>
        </w:rPr>
        <w:t xml:space="preserve">role of the </w:t>
      </w:r>
      <w:r w:rsidR="002412ED">
        <w:rPr>
          <w:rFonts w:cs="Times New Roman"/>
          <w:szCs w:val="24"/>
        </w:rPr>
        <w:t>ACSQHC</w:t>
      </w:r>
      <w:r w:rsidR="00AC7681">
        <w:rPr>
          <w:rFonts w:cs="Times New Roman"/>
          <w:szCs w:val="24"/>
        </w:rPr>
        <w:t>,</w:t>
      </w:r>
      <w:r w:rsidRPr="009D3764">
        <w:rPr>
          <w:rFonts w:cs="Times New Roman"/>
          <w:szCs w:val="24"/>
        </w:rPr>
        <w:t xml:space="preserve"> </w:t>
      </w:r>
      <w:r w:rsidR="00A74174">
        <w:rPr>
          <w:rFonts w:cs="Times New Roman"/>
          <w:szCs w:val="24"/>
        </w:rPr>
        <w:t>including</w:t>
      </w:r>
      <w:r w:rsidR="00A74174" w:rsidRPr="00A74174">
        <w:rPr>
          <w:rFonts w:cs="Times New Roman"/>
          <w:szCs w:val="24"/>
        </w:rPr>
        <w:t xml:space="preserve"> </w:t>
      </w:r>
      <w:r w:rsidRPr="009D3764">
        <w:rPr>
          <w:rFonts w:cs="Times New Roman"/>
          <w:szCs w:val="24"/>
        </w:rPr>
        <w:t>as the contact organisation for any queries in relation to the standard.</w:t>
      </w:r>
    </w:p>
    <w:p w14:paraId="25C698AC" w14:textId="77777777" w:rsidR="002761E0" w:rsidRPr="00005736" w:rsidRDefault="002761E0" w:rsidP="002761E0">
      <w:pPr>
        <w:spacing w:line="240" w:lineRule="auto"/>
      </w:pPr>
      <w:r>
        <w:t>Any subsequent changes or replacement to the above standards documents will not apply unless further amendments are made to the Principles.</w:t>
      </w:r>
    </w:p>
    <w:p w14:paraId="72C2581F" w14:textId="15C8B839" w:rsidR="001E16A5" w:rsidRDefault="00E1644D" w:rsidP="001E16A5">
      <w:pPr>
        <w:rPr>
          <w:rFonts w:cs="Calibri"/>
        </w:rPr>
      </w:pPr>
      <w:r>
        <w:rPr>
          <w:szCs w:val="24"/>
        </w:rPr>
        <w:t>A copy</w:t>
      </w:r>
      <w:r w:rsidR="00797289">
        <w:rPr>
          <w:szCs w:val="24"/>
        </w:rPr>
        <w:t xml:space="preserve"> of </w:t>
      </w:r>
      <w:r>
        <w:rPr>
          <w:szCs w:val="24"/>
        </w:rPr>
        <w:t xml:space="preserve">the </w:t>
      </w:r>
      <w:r w:rsidR="00797289">
        <w:rPr>
          <w:szCs w:val="24"/>
        </w:rPr>
        <w:t xml:space="preserve">pathology accreditation material listed in the Schedule to the Principles </w:t>
      </w:r>
      <w:r>
        <w:rPr>
          <w:szCs w:val="24"/>
        </w:rPr>
        <w:t>is</w:t>
      </w:r>
      <w:r w:rsidR="00797289">
        <w:rPr>
          <w:szCs w:val="24"/>
        </w:rPr>
        <w:t xml:space="preserve"> published on the</w:t>
      </w:r>
      <w:bookmarkStart w:id="2" w:name="_Hlk99963649"/>
      <w:bookmarkStart w:id="3" w:name="_Hlk98929035"/>
      <w:r w:rsidR="00AC7681">
        <w:rPr>
          <w:szCs w:val="24"/>
        </w:rPr>
        <w:t xml:space="preserve"> </w:t>
      </w:r>
      <w:r>
        <w:rPr>
          <w:szCs w:val="24"/>
        </w:rPr>
        <w:t>ACSQHC pathology</w:t>
      </w:r>
      <w:r w:rsidR="00797289">
        <w:rPr>
          <w:szCs w:val="24"/>
        </w:rPr>
        <w:t xml:space="preserve"> web</w:t>
      </w:r>
      <w:r>
        <w:rPr>
          <w:szCs w:val="24"/>
        </w:rPr>
        <w:t>page</w:t>
      </w:r>
      <w:r w:rsidR="00797289">
        <w:rPr>
          <w:szCs w:val="24"/>
        </w:rPr>
        <w:t xml:space="preserve"> and can be accessed</w:t>
      </w:r>
      <w:r w:rsidR="006A1145">
        <w:rPr>
          <w:szCs w:val="24"/>
        </w:rPr>
        <w:t xml:space="preserve"> </w:t>
      </w:r>
      <w:r w:rsidR="008A3D31">
        <w:rPr>
          <w:szCs w:val="24"/>
        </w:rPr>
        <w:t xml:space="preserve">readily and </w:t>
      </w:r>
      <w:r w:rsidR="006A1145">
        <w:rPr>
          <w:szCs w:val="24"/>
        </w:rPr>
        <w:t>free of charge</w:t>
      </w:r>
      <w:r w:rsidR="00797289">
        <w:rPr>
          <w:szCs w:val="24"/>
        </w:rPr>
        <w:t xml:space="preserve"> </w:t>
      </w:r>
      <w:bookmarkEnd w:id="2"/>
      <w:bookmarkEnd w:id="3"/>
      <w:r w:rsidR="001E16A5" w:rsidRPr="001E16A5">
        <w:t>from the NPAAC’s website, maintained by the Department of Health (</w:t>
      </w:r>
      <w:hyperlink r:id="rId7" w:history="1">
        <w:r w:rsidR="001E16A5" w:rsidRPr="001E16A5">
          <w:rPr>
            <w:rStyle w:val="Hyperlink"/>
          </w:rPr>
          <w:t>http://www.health.gov.au/npaac</w:t>
        </w:r>
      </w:hyperlink>
      <w:r w:rsidR="001E16A5" w:rsidRPr="001E16A5">
        <w:t>), or the Australian Commission on Safety and Quality in Health Care’s pathology webpage (</w:t>
      </w:r>
      <w:hyperlink r:id="rId8" w:anchor="national-pathology-accreditation-standards" w:history="1">
        <w:r w:rsidR="001E16A5" w:rsidRPr="001E16A5">
          <w:rPr>
            <w:rStyle w:val="Hyperlink"/>
          </w:rPr>
          <w:t>https://www.safetyandquality.gov.au/national-pathology-accreditation-scheme/resources#national-pathology-accreditation-standards</w:t>
        </w:r>
      </w:hyperlink>
      <w:r w:rsidR="001E16A5" w:rsidRPr="001E16A5">
        <w:t>).</w:t>
      </w:r>
    </w:p>
    <w:p w14:paraId="3403078E" w14:textId="492AD74B" w:rsidR="001E16A5" w:rsidRDefault="001E16A5">
      <w:pPr>
        <w:spacing w:after="160" w:line="259" w:lineRule="auto"/>
      </w:pPr>
      <w:r>
        <w:br w:type="page"/>
      </w:r>
    </w:p>
    <w:p w14:paraId="0B922B6C" w14:textId="77777777" w:rsidR="00797289" w:rsidRDefault="00797289" w:rsidP="00797289">
      <w:pPr>
        <w:spacing w:after="0" w:line="240" w:lineRule="auto"/>
      </w:pPr>
    </w:p>
    <w:p w14:paraId="21DB2E5E" w14:textId="77777777" w:rsidR="00C56FD6" w:rsidRPr="002F7AF7" w:rsidRDefault="00C56FD6" w:rsidP="00C56FD6">
      <w:pPr>
        <w:jc w:val="both"/>
        <w:rPr>
          <w:rFonts w:cs="Times New Roman"/>
          <w:b/>
          <w:bCs/>
          <w:szCs w:val="24"/>
        </w:rPr>
      </w:pPr>
      <w:r w:rsidRPr="002F7AF7">
        <w:rPr>
          <w:rFonts w:cs="Times New Roman"/>
          <w:b/>
          <w:bCs/>
          <w:szCs w:val="24"/>
        </w:rPr>
        <w:t>Consultation</w:t>
      </w:r>
    </w:p>
    <w:p w14:paraId="0B7DD01F" w14:textId="71A35B6B" w:rsidR="001E16A5" w:rsidRDefault="009E1680" w:rsidP="009E1680">
      <w:pPr>
        <w:tabs>
          <w:tab w:val="left" w:pos="3261"/>
        </w:tabs>
        <w:spacing w:after="240" w:line="240" w:lineRule="auto"/>
        <w:rPr>
          <w:rFonts w:cs="Times New Roman"/>
          <w:szCs w:val="24"/>
        </w:rPr>
      </w:pPr>
      <w:r w:rsidRPr="00AF428B">
        <w:rPr>
          <w:rFonts w:cs="Times New Roman"/>
          <w:szCs w:val="24"/>
        </w:rPr>
        <w:t xml:space="preserve">The </w:t>
      </w:r>
      <w:r w:rsidR="00DA1256">
        <w:rPr>
          <w:rFonts w:cs="Times New Roman"/>
          <w:szCs w:val="24"/>
        </w:rPr>
        <w:t xml:space="preserve">ninth edition of the </w:t>
      </w:r>
      <w:r w:rsidRPr="00AF428B">
        <w:rPr>
          <w:rFonts w:cs="Times New Roman"/>
          <w:szCs w:val="24"/>
        </w:rPr>
        <w:t xml:space="preserve">Retention Requirements is in response to concerns raised by </w:t>
      </w:r>
      <w:r w:rsidR="001E16A5">
        <w:rPr>
          <w:rFonts w:cs="Times New Roman"/>
          <w:szCs w:val="24"/>
        </w:rPr>
        <w:t>some pathology</w:t>
      </w:r>
      <w:r w:rsidRPr="00AF428B">
        <w:rPr>
          <w:rFonts w:cs="Times New Roman"/>
          <w:szCs w:val="24"/>
        </w:rPr>
        <w:t xml:space="preserve"> laboratories </w:t>
      </w:r>
      <w:r w:rsidR="001E16A5">
        <w:rPr>
          <w:rFonts w:cs="Times New Roman"/>
          <w:szCs w:val="24"/>
        </w:rPr>
        <w:t>with being able to</w:t>
      </w:r>
      <w:r w:rsidRPr="00AF428B">
        <w:rPr>
          <w:rFonts w:cs="Times New Roman"/>
          <w:szCs w:val="24"/>
        </w:rPr>
        <w:t xml:space="preserve"> meet the current retention requirements that apply to COVID positive specimens. </w:t>
      </w:r>
      <w:r w:rsidRPr="000B1CA1">
        <w:rPr>
          <w:rFonts w:cs="Times New Roman"/>
          <w:szCs w:val="24"/>
        </w:rPr>
        <w:t xml:space="preserve">The amendment </w:t>
      </w:r>
      <w:r w:rsidR="009660FC">
        <w:rPr>
          <w:rFonts w:cs="Times New Roman"/>
          <w:szCs w:val="24"/>
        </w:rPr>
        <w:t xml:space="preserve">reduces the retention period for COVID positive specimens from the usual applicable retention time for microbiology specimens during the COVID response period. This </w:t>
      </w:r>
      <w:r w:rsidRPr="000B1CA1">
        <w:rPr>
          <w:rFonts w:cs="Times New Roman"/>
          <w:szCs w:val="24"/>
        </w:rPr>
        <w:t xml:space="preserve">is expected to </w:t>
      </w:r>
      <w:r w:rsidR="009660FC">
        <w:rPr>
          <w:rFonts w:cs="Times New Roman"/>
          <w:szCs w:val="24"/>
        </w:rPr>
        <w:t>allow</w:t>
      </w:r>
      <w:r w:rsidRPr="000B1CA1">
        <w:rPr>
          <w:rFonts w:cs="Times New Roman"/>
          <w:szCs w:val="24"/>
        </w:rPr>
        <w:t xml:space="preserve"> laboratories that perform COVID testing</w:t>
      </w:r>
      <w:r w:rsidR="009660FC">
        <w:rPr>
          <w:rFonts w:cs="Times New Roman"/>
          <w:szCs w:val="24"/>
        </w:rPr>
        <w:t xml:space="preserve"> to be able to meet the accreditation standards for storage during a period of high volumes of tests</w:t>
      </w:r>
      <w:r w:rsidRPr="000B1CA1">
        <w:rPr>
          <w:rFonts w:cs="Times New Roman"/>
          <w:szCs w:val="24"/>
        </w:rPr>
        <w:t>.</w:t>
      </w:r>
      <w:r w:rsidR="001E16A5">
        <w:rPr>
          <w:rFonts w:cs="Times New Roman"/>
          <w:szCs w:val="24"/>
        </w:rPr>
        <w:t xml:space="preserve"> </w:t>
      </w:r>
    </w:p>
    <w:p w14:paraId="5FECF325" w14:textId="20FA5B1D" w:rsidR="00DC02E3" w:rsidRPr="00200859" w:rsidRDefault="001E16A5" w:rsidP="00DC02E3">
      <w:pPr>
        <w:tabs>
          <w:tab w:val="left" w:pos="3261"/>
        </w:tabs>
        <w:spacing w:after="240" w:line="240" w:lineRule="auto"/>
        <w:rPr>
          <w:rFonts w:cs="Times New Roman"/>
          <w:vanish/>
          <w:specVanish/>
        </w:rPr>
      </w:pPr>
      <w:r>
        <w:rPr>
          <w:rFonts w:cs="Times New Roman"/>
        </w:rPr>
        <w:t xml:space="preserve">The </w:t>
      </w:r>
      <w:r w:rsidR="002412ED">
        <w:rPr>
          <w:rFonts w:cs="Times New Roman"/>
        </w:rPr>
        <w:t>ACSQHC</w:t>
      </w:r>
      <w:r>
        <w:rPr>
          <w:rFonts w:cs="Times New Roman"/>
        </w:rPr>
        <w:t xml:space="preserve">, who has administrative responsibilities to support the work of NPAAC, has advised that broader </w:t>
      </w:r>
      <w:r w:rsidR="009660FC">
        <w:rPr>
          <w:rFonts w:cs="Times New Roman"/>
        </w:rPr>
        <w:t xml:space="preserve">public </w:t>
      </w:r>
      <w:r>
        <w:rPr>
          <w:rFonts w:cs="Times New Roman"/>
        </w:rPr>
        <w:t>consultation with pathology stakeholders was not considered necessary for this amendment given it was</w:t>
      </w:r>
      <w:r w:rsidR="00944FF2">
        <w:rPr>
          <w:rFonts w:cs="Times New Roman"/>
        </w:rPr>
        <w:t xml:space="preserve"> </w:t>
      </w:r>
      <w:r w:rsidR="009660FC">
        <w:rPr>
          <w:rFonts w:cs="Times New Roman"/>
        </w:rPr>
        <w:t xml:space="preserve">recommended by and </w:t>
      </w:r>
      <w:r w:rsidR="00944FF2">
        <w:rPr>
          <w:rFonts w:cs="Times New Roman"/>
        </w:rPr>
        <w:t>done in consultation with NPAAC</w:t>
      </w:r>
      <w:r w:rsidR="009660FC">
        <w:rPr>
          <w:rFonts w:cs="Times New Roman"/>
        </w:rPr>
        <w:t>. NPAAC, as the ministerially appointed pathology expert committee has a</w:t>
      </w:r>
      <w:r w:rsidR="00944FF2">
        <w:rPr>
          <w:rFonts w:cs="Times New Roman"/>
        </w:rPr>
        <w:t xml:space="preserve"> broad</w:t>
      </w:r>
      <w:r w:rsidR="009660FC">
        <w:rPr>
          <w:rFonts w:cs="Times New Roman"/>
        </w:rPr>
        <w:t xml:space="preserve"> </w:t>
      </w:r>
      <w:r w:rsidR="00944FF2">
        <w:rPr>
          <w:rFonts w:cs="Times New Roman"/>
        </w:rPr>
        <w:t xml:space="preserve">membership </w:t>
      </w:r>
      <w:r w:rsidR="009660FC">
        <w:rPr>
          <w:rFonts w:cs="Times New Roman"/>
        </w:rPr>
        <w:t>of key pathology sector stakeholders</w:t>
      </w:r>
      <w:r w:rsidR="00944FF2">
        <w:rPr>
          <w:rFonts w:cs="Times New Roman"/>
        </w:rPr>
        <w:t xml:space="preserve">. </w:t>
      </w:r>
      <w:r w:rsidR="009660FC">
        <w:rPr>
          <w:rFonts w:cs="Times New Roman"/>
        </w:rPr>
        <w:t xml:space="preserve">Additionally, the amendment to the accreditation standard was </w:t>
      </w:r>
      <w:r>
        <w:rPr>
          <w:rFonts w:cs="Times New Roman"/>
        </w:rPr>
        <w:t xml:space="preserve">in response to concerns raised by the pathology sector and </w:t>
      </w:r>
      <w:r w:rsidR="009660FC">
        <w:rPr>
          <w:rFonts w:cs="Times New Roman"/>
        </w:rPr>
        <w:t>the aim was</w:t>
      </w:r>
      <w:r>
        <w:rPr>
          <w:rFonts w:cs="Times New Roman"/>
        </w:rPr>
        <w:t xml:space="preserve"> to implement timely change</w:t>
      </w:r>
      <w:r w:rsidR="002412ED">
        <w:rPr>
          <w:rFonts w:cs="Times New Roman"/>
        </w:rPr>
        <w:t>.</w:t>
      </w:r>
      <w:r>
        <w:rPr>
          <w:rFonts w:cs="Times New Roman"/>
        </w:rPr>
        <w:t xml:space="preserve"> </w:t>
      </w:r>
      <w:r w:rsidR="00DC02E3">
        <w:rPr>
          <w:rFonts w:cs="Times New Roman"/>
        </w:rPr>
        <w:t>The independent accrediting body for the accreditation of pathology laboratories, NATA was consulted on the proposed revised retention period for COVID positive specimens. There was no objection to the proposed change.</w:t>
      </w:r>
    </w:p>
    <w:p w14:paraId="0684EE6E" w14:textId="77777777" w:rsidR="009660FC" w:rsidRDefault="009660FC" w:rsidP="0021697A">
      <w:pPr>
        <w:spacing w:after="0" w:line="240" w:lineRule="auto"/>
      </w:pPr>
    </w:p>
    <w:p w14:paraId="2086CBAD" w14:textId="77777777" w:rsidR="009660FC" w:rsidRDefault="009660FC" w:rsidP="0021697A">
      <w:pPr>
        <w:spacing w:after="0" w:line="240" w:lineRule="auto"/>
      </w:pPr>
    </w:p>
    <w:p w14:paraId="1EAC88E8" w14:textId="34BBB7CC" w:rsidR="009E1680" w:rsidRPr="009660FC" w:rsidRDefault="00AF428B" w:rsidP="0021697A">
      <w:pPr>
        <w:spacing w:after="0" w:line="240" w:lineRule="auto"/>
        <w:rPr>
          <w:vanish/>
          <w:specVanish/>
        </w:rPr>
      </w:pPr>
      <w:r>
        <w:t xml:space="preserve">This </w:t>
      </w:r>
      <w:r w:rsidR="007D2CC8" w:rsidRPr="009D3764">
        <w:rPr>
          <w:szCs w:val="24"/>
        </w:rPr>
        <w:t>Amending Instrument</w:t>
      </w:r>
      <w:r w:rsidR="007D2CC8">
        <w:t xml:space="preserve"> </w:t>
      </w:r>
      <w:r>
        <w:t>commences on the day after it has been registered.</w:t>
      </w:r>
    </w:p>
    <w:p w14:paraId="2B21B63D" w14:textId="6E407905" w:rsidR="00AF428B" w:rsidRDefault="009660FC" w:rsidP="0021697A">
      <w:pPr>
        <w:spacing w:after="0" w:line="240" w:lineRule="auto"/>
      </w:pPr>
      <w:r>
        <w:t xml:space="preserve"> </w:t>
      </w:r>
    </w:p>
    <w:p w14:paraId="3A6FB877" w14:textId="77777777" w:rsidR="009660FC" w:rsidRDefault="009660FC" w:rsidP="0021697A">
      <w:pPr>
        <w:spacing w:after="0" w:line="240" w:lineRule="auto"/>
      </w:pPr>
    </w:p>
    <w:p w14:paraId="3007961E" w14:textId="329C819F" w:rsidR="00797289" w:rsidRDefault="00797289" w:rsidP="00797289">
      <w:pPr>
        <w:spacing w:after="0" w:line="240" w:lineRule="auto"/>
      </w:pPr>
      <w:r>
        <w:t>Th</w:t>
      </w:r>
      <w:r w:rsidR="007D2CC8">
        <w:t xml:space="preserve">e </w:t>
      </w:r>
      <w:r w:rsidR="007D2CC8" w:rsidRPr="009D3764">
        <w:rPr>
          <w:szCs w:val="24"/>
        </w:rPr>
        <w:t>Amending Instrument</w:t>
      </w:r>
      <w:r w:rsidR="007D2CC8" w:rsidDel="00AF428B">
        <w:t xml:space="preserve"> </w:t>
      </w:r>
      <w:r>
        <w:t xml:space="preserve">is a legislative instrument for the purposes of the </w:t>
      </w:r>
      <w:r w:rsidRPr="007B4F75">
        <w:rPr>
          <w:i/>
        </w:rPr>
        <w:t>Legislative Instruments Act 2003</w:t>
      </w:r>
      <w:r>
        <w:t>.</w:t>
      </w:r>
    </w:p>
    <w:p w14:paraId="2E16CCB3" w14:textId="77777777" w:rsidR="00797289" w:rsidRDefault="00797289" w:rsidP="00797289">
      <w:pPr>
        <w:spacing w:after="0" w:line="240" w:lineRule="auto"/>
      </w:pPr>
    </w:p>
    <w:p w14:paraId="3BB7B3AA" w14:textId="1DC56525" w:rsidR="00797289" w:rsidRDefault="00797289" w:rsidP="00797289">
      <w:pPr>
        <w:spacing w:after="0" w:line="240" w:lineRule="auto"/>
      </w:pPr>
      <w:r w:rsidRPr="00774197">
        <w:t xml:space="preserve">Details of the legislative instrument are set out in </w:t>
      </w:r>
      <w:r w:rsidRPr="00FF3E1E">
        <w:rPr>
          <w:u w:val="single"/>
        </w:rPr>
        <w:t>Attachment A</w:t>
      </w:r>
      <w:r w:rsidRPr="00774197">
        <w:t xml:space="preserve">. </w:t>
      </w:r>
    </w:p>
    <w:p w14:paraId="38C609B1" w14:textId="206EAF8F" w:rsidR="008F2F01" w:rsidRDefault="008F2F01" w:rsidP="00797289">
      <w:pPr>
        <w:spacing w:after="0" w:line="240" w:lineRule="auto"/>
      </w:pPr>
    </w:p>
    <w:p w14:paraId="5DC21371" w14:textId="77777777" w:rsidR="007813B1" w:rsidRPr="0029587B" w:rsidRDefault="007813B1" w:rsidP="00797289">
      <w:pPr>
        <w:spacing w:after="0" w:line="240" w:lineRule="auto"/>
        <w:rPr>
          <w:rFonts w:cs="Times New Roman"/>
          <w:szCs w:val="24"/>
        </w:rPr>
      </w:pPr>
    </w:p>
    <w:p w14:paraId="2894110E" w14:textId="3F58BFAD" w:rsidR="00C56FD6" w:rsidRPr="00595E73" w:rsidRDefault="00C56FD6" w:rsidP="00C56FD6">
      <w:pPr>
        <w:spacing w:line="240" w:lineRule="auto"/>
        <w:jc w:val="right"/>
        <w:rPr>
          <w:rFonts w:cs="Times New Roman"/>
          <w:b/>
          <w:vanish/>
          <w:szCs w:val="24"/>
          <w:specVanish/>
        </w:rPr>
      </w:pPr>
      <w:r w:rsidRPr="002F7AF7">
        <w:rPr>
          <w:rFonts w:cs="Times New Roman"/>
          <w:szCs w:val="24"/>
        </w:rPr>
        <w:br w:type="page"/>
      </w:r>
      <w:r w:rsidRPr="002F7AF7">
        <w:rPr>
          <w:rFonts w:cs="Times New Roman"/>
          <w:b/>
          <w:szCs w:val="24"/>
        </w:rPr>
        <w:lastRenderedPageBreak/>
        <w:t>ATTACHMENT</w:t>
      </w:r>
      <w:r w:rsidR="00591687">
        <w:rPr>
          <w:rFonts w:cs="Times New Roman"/>
          <w:b/>
          <w:szCs w:val="24"/>
        </w:rPr>
        <w:t xml:space="preserve"> A</w:t>
      </w:r>
    </w:p>
    <w:p w14:paraId="17D6F0A4" w14:textId="0824B164" w:rsidR="00480990" w:rsidRDefault="00595E73" w:rsidP="00C56FD6">
      <w:pPr>
        <w:spacing w:after="0" w:line="240" w:lineRule="auto"/>
        <w:rPr>
          <w:rFonts w:cs="Times New Roman"/>
          <w:b/>
          <w:i/>
          <w:szCs w:val="24"/>
        </w:rPr>
      </w:pPr>
      <w:r>
        <w:rPr>
          <w:rFonts w:cs="Times New Roman"/>
          <w:b/>
          <w:i/>
          <w:szCs w:val="24"/>
        </w:rPr>
        <w:t xml:space="preserve"> </w:t>
      </w:r>
    </w:p>
    <w:p w14:paraId="02B5ED00" w14:textId="77777777" w:rsidR="00FA5E10" w:rsidRDefault="00FA5E10" w:rsidP="00C56FD6">
      <w:pPr>
        <w:spacing w:after="0" w:line="240" w:lineRule="auto"/>
        <w:rPr>
          <w:rFonts w:cs="Times New Roman"/>
          <w:b/>
          <w:i/>
          <w:szCs w:val="24"/>
        </w:rPr>
      </w:pPr>
    </w:p>
    <w:p w14:paraId="16CCC2CC" w14:textId="3801136C" w:rsidR="0066581F" w:rsidRPr="002F7AF7" w:rsidRDefault="00964D64" w:rsidP="00C56FD6">
      <w:pPr>
        <w:spacing w:after="0" w:line="240" w:lineRule="auto"/>
        <w:rPr>
          <w:rFonts w:cs="Times New Roman"/>
          <w:b/>
          <w:i/>
          <w:szCs w:val="24"/>
        </w:rPr>
      </w:pPr>
      <w:r>
        <w:rPr>
          <w:rFonts w:cs="Times New Roman"/>
          <w:b/>
          <w:i/>
          <w:szCs w:val="24"/>
        </w:rPr>
        <w:t xml:space="preserve">Details of the </w:t>
      </w:r>
      <w:r w:rsidR="0066581F" w:rsidRPr="0066581F">
        <w:rPr>
          <w:rFonts w:cs="Times New Roman"/>
          <w:b/>
          <w:i/>
          <w:szCs w:val="24"/>
        </w:rPr>
        <w:t>Health Insurance (Accredited Pathology Laboratories—Approval) Amendment (Relevant Standards) Principles (No.</w:t>
      </w:r>
      <w:r w:rsidR="00E4187A">
        <w:rPr>
          <w:rFonts w:cs="Times New Roman"/>
          <w:b/>
          <w:i/>
          <w:szCs w:val="24"/>
        </w:rPr>
        <w:t>1</w:t>
      </w:r>
      <w:r w:rsidR="0066581F" w:rsidRPr="0066581F">
        <w:rPr>
          <w:rFonts w:cs="Times New Roman"/>
          <w:b/>
          <w:i/>
          <w:szCs w:val="24"/>
        </w:rPr>
        <w:t>) 202</w:t>
      </w:r>
      <w:r w:rsidR="00E4187A">
        <w:rPr>
          <w:rFonts w:cs="Times New Roman"/>
          <w:b/>
          <w:i/>
          <w:szCs w:val="24"/>
        </w:rPr>
        <w:t>2</w:t>
      </w:r>
    </w:p>
    <w:p w14:paraId="4A9818FD" w14:textId="77777777" w:rsidR="00D605D3" w:rsidRPr="002F7AF7" w:rsidRDefault="00D605D3" w:rsidP="00C56FD6">
      <w:pPr>
        <w:spacing w:after="0" w:line="240" w:lineRule="auto"/>
        <w:rPr>
          <w:rFonts w:cs="Times New Roman"/>
          <w:b/>
          <w:i/>
          <w:color w:val="C00000"/>
          <w:szCs w:val="24"/>
        </w:rPr>
      </w:pPr>
    </w:p>
    <w:p w14:paraId="39EC6BEB" w14:textId="77777777" w:rsidR="00492691" w:rsidRPr="00DD4B08" w:rsidRDefault="00492691" w:rsidP="00492691">
      <w:pPr>
        <w:spacing w:after="0" w:line="240" w:lineRule="auto"/>
        <w:rPr>
          <w:b/>
        </w:rPr>
      </w:pPr>
      <w:r w:rsidRPr="00DD4B08">
        <w:rPr>
          <w:b/>
        </w:rPr>
        <w:t>1.  Name of legislative instrument</w:t>
      </w:r>
    </w:p>
    <w:p w14:paraId="3DF4E067" w14:textId="77777777" w:rsidR="00492691" w:rsidRDefault="00492691" w:rsidP="00492691">
      <w:pPr>
        <w:spacing w:after="0" w:line="240" w:lineRule="auto"/>
      </w:pPr>
    </w:p>
    <w:p w14:paraId="76519493" w14:textId="4018B00A" w:rsidR="00492691" w:rsidRPr="00191342" w:rsidRDefault="00492691" w:rsidP="00492691">
      <w:pPr>
        <w:spacing w:after="0" w:line="240" w:lineRule="auto"/>
        <w:rPr>
          <w:i/>
        </w:rPr>
      </w:pPr>
      <w:r>
        <w:t xml:space="preserve">Section 1 provides that the title of the legislative instrument is the </w:t>
      </w:r>
      <w:r w:rsidR="0066581F" w:rsidRPr="005F6624">
        <w:rPr>
          <w:bCs/>
          <w:i/>
        </w:rPr>
        <w:t>Health Insurance (Accredited Pathology Laboratories—Approval) Amendment (Relevant Standards) Principles (No.</w:t>
      </w:r>
      <w:r w:rsidR="009E1680">
        <w:rPr>
          <w:bCs/>
          <w:i/>
        </w:rPr>
        <w:t>1</w:t>
      </w:r>
      <w:r w:rsidR="0066581F" w:rsidRPr="005F6624">
        <w:rPr>
          <w:bCs/>
          <w:i/>
        </w:rPr>
        <w:t>) 202</w:t>
      </w:r>
      <w:r w:rsidR="009E1680">
        <w:rPr>
          <w:bCs/>
          <w:i/>
        </w:rPr>
        <w:t>2</w:t>
      </w:r>
      <w:r w:rsidR="0066581F" w:rsidRPr="005F6624">
        <w:rPr>
          <w:bCs/>
          <w:i/>
        </w:rPr>
        <w:t xml:space="preserve"> </w:t>
      </w:r>
      <w:r w:rsidRPr="008437FA">
        <w:t>(the Amend</w:t>
      </w:r>
      <w:r>
        <w:t>ing</w:t>
      </w:r>
      <w:r w:rsidRPr="008437FA">
        <w:t xml:space="preserve"> Instrument)</w:t>
      </w:r>
      <w:r>
        <w:rPr>
          <w:i/>
        </w:rPr>
        <w:t>.</w:t>
      </w:r>
    </w:p>
    <w:p w14:paraId="32BDBE58" w14:textId="77777777" w:rsidR="00492691" w:rsidRDefault="00492691" w:rsidP="00492691">
      <w:pPr>
        <w:spacing w:after="0" w:line="240" w:lineRule="auto"/>
        <w:rPr>
          <w:i/>
          <w:color w:val="C00000"/>
        </w:rPr>
      </w:pPr>
    </w:p>
    <w:p w14:paraId="343C0206" w14:textId="77777777" w:rsidR="00492691" w:rsidRDefault="00492691" w:rsidP="00492691">
      <w:pPr>
        <w:spacing w:after="0" w:line="240" w:lineRule="auto"/>
        <w:rPr>
          <w:b/>
        </w:rPr>
      </w:pPr>
      <w:r>
        <w:rPr>
          <w:b/>
        </w:rPr>
        <w:t>2.  Commencement</w:t>
      </w:r>
    </w:p>
    <w:p w14:paraId="7D2661AA" w14:textId="77777777" w:rsidR="00492691" w:rsidRPr="00342302" w:rsidRDefault="00492691" w:rsidP="00492691">
      <w:pPr>
        <w:spacing w:after="0" w:line="240" w:lineRule="auto"/>
      </w:pPr>
    </w:p>
    <w:p w14:paraId="24769D69" w14:textId="1851B7CC" w:rsidR="00492691" w:rsidRDefault="00492691" w:rsidP="00492691">
      <w:pPr>
        <w:spacing w:after="0" w:line="240" w:lineRule="auto"/>
      </w:pPr>
      <w:r>
        <w:t xml:space="preserve">Subsection 2(1) provides </w:t>
      </w:r>
      <w:r w:rsidR="00E4187A">
        <w:t xml:space="preserve">that </w:t>
      </w:r>
      <w:r w:rsidR="00AF428B">
        <w:t>the</w:t>
      </w:r>
      <w:r w:rsidR="00E4187A">
        <w:t xml:space="preserve"> Amending Instrument</w:t>
      </w:r>
      <w:r>
        <w:t xml:space="preserve"> commence</w:t>
      </w:r>
      <w:r w:rsidR="00E4187A">
        <w:t>s</w:t>
      </w:r>
      <w:r>
        <w:t xml:space="preserve"> </w:t>
      </w:r>
      <w:r w:rsidR="00E4187A">
        <w:t xml:space="preserve">on the </w:t>
      </w:r>
      <w:r w:rsidR="00AF428B">
        <w:t xml:space="preserve">day after </w:t>
      </w:r>
      <w:r w:rsidR="00E4187A">
        <w:t xml:space="preserve">it </w:t>
      </w:r>
      <w:r w:rsidR="00AF428B">
        <w:t>is registered</w:t>
      </w:r>
      <w:r w:rsidR="00E4187A">
        <w:t xml:space="preserve"> on the Federal Register of Legislation</w:t>
      </w:r>
      <w:r w:rsidR="00AF428B">
        <w:t xml:space="preserve">. </w:t>
      </w:r>
    </w:p>
    <w:p w14:paraId="1204D9B1" w14:textId="77777777" w:rsidR="00FA5E10" w:rsidRDefault="00FA5E10" w:rsidP="00492691">
      <w:pPr>
        <w:spacing w:after="0" w:line="240" w:lineRule="auto"/>
        <w:rPr>
          <w:b/>
        </w:rPr>
      </w:pPr>
    </w:p>
    <w:p w14:paraId="758193AB" w14:textId="77777777" w:rsidR="00492691" w:rsidRDefault="00492691" w:rsidP="00492691">
      <w:pPr>
        <w:spacing w:after="0" w:line="240" w:lineRule="auto"/>
        <w:rPr>
          <w:b/>
        </w:rPr>
      </w:pPr>
      <w:r>
        <w:rPr>
          <w:b/>
        </w:rPr>
        <w:t>3.  Authority</w:t>
      </w:r>
    </w:p>
    <w:p w14:paraId="070AEEC0" w14:textId="77777777" w:rsidR="00492691" w:rsidRPr="00342302" w:rsidRDefault="00492691" w:rsidP="00492691">
      <w:pPr>
        <w:spacing w:after="0" w:line="240" w:lineRule="auto"/>
      </w:pPr>
    </w:p>
    <w:p w14:paraId="4975F751" w14:textId="164C0C51" w:rsidR="00492691" w:rsidRPr="006D3055" w:rsidRDefault="00492691" w:rsidP="00492691">
      <w:pPr>
        <w:spacing w:after="0" w:line="240" w:lineRule="auto"/>
      </w:pPr>
      <w:r>
        <w:t xml:space="preserve">Section 3 provides for the authority for the </w:t>
      </w:r>
      <w:r w:rsidR="0000652F">
        <w:t xml:space="preserve">Amending </w:t>
      </w:r>
      <w:r>
        <w:t xml:space="preserve">Instrument and that it is made under subsection 23DNA(1) of the </w:t>
      </w:r>
      <w:r>
        <w:rPr>
          <w:i/>
        </w:rPr>
        <w:t xml:space="preserve">Health Insurance Act 1973 </w:t>
      </w:r>
      <w:r>
        <w:t>(the Act).</w:t>
      </w:r>
    </w:p>
    <w:p w14:paraId="4D9DC7C6" w14:textId="77777777" w:rsidR="00492691" w:rsidRDefault="00492691" w:rsidP="00492691">
      <w:pPr>
        <w:spacing w:after="0" w:line="240" w:lineRule="auto"/>
      </w:pPr>
    </w:p>
    <w:p w14:paraId="3905DF9B" w14:textId="77777777" w:rsidR="00492691" w:rsidRDefault="00492691" w:rsidP="00492691">
      <w:pPr>
        <w:spacing w:after="0" w:line="240" w:lineRule="auto"/>
      </w:pPr>
      <w:r>
        <w:t xml:space="preserve">Subsection 33(3) of the </w:t>
      </w:r>
      <w:r>
        <w:rPr>
          <w:i/>
        </w:rPr>
        <w:t xml:space="preserve">Acts Interpretation Act 1901 </w:t>
      </w:r>
      <w: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br/>
      </w:r>
    </w:p>
    <w:p w14:paraId="31600DA2" w14:textId="023D947C" w:rsidR="00492691" w:rsidRPr="00295C7F" w:rsidRDefault="00492691" w:rsidP="00492691">
      <w:pPr>
        <w:spacing w:after="0" w:line="240" w:lineRule="auto"/>
        <w:rPr>
          <w:b/>
        </w:rPr>
      </w:pPr>
      <w:r w:rsidRPr="008437FA">
        <w:rPr>
          <w:b/>
        </w:rPr>
        <w:t>4</w:t>
      </w:r>
      <w:r w:rsidRPr="00295C7F">
        <w:rPr>
          <w:b/>
        </w:rPr>
        <w:t>.  Schedule</w:t>
      </w:r>
      <w:r w:rsidR="00EB4FC8">
        <w:rPr>
          <w:b/>
        </w:rPr>
        <w:t>s</w:t>
      </w:r>
    </w:p>
    <w:p w14:paraId="4CF7CEE7" w14:textId="77777777" w:rsidR="00492691" w:rsidRPr="00295C7F" w:rsidRDefault="00492691" w:rsidP="00492691">
      <w:pPr>
        <w:spacing w:after="0" w:line="240" w:lineRule="auto"/>
      </w:pPr>
    </w:p>
    <w:p w14:paraId="59C93F98" w14:textId="2D04EC59" w:rsidR="00492691" w:rsidRPr="00295C7F" w:rsidRDefault="00492691" w:rsidP="00492691">
      <w:pPr>
        <w:spacing w:after="0" w:line="240" w:lineRule="auto"/>
      </w:pPr>
      <w:r w:rsidRPr="00295C7F">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18999598" w14:textId="77777777" w:rsidR="00492691" w:rsidRPr="00295C7F" w:rsidRDefault="00492691" w:rsidP="00492691">
      <w:pPr>
        <w:spacing w:after="0" w:line="240" w:lineRule="auto"/>
      </w:pPr>
    </w:p>
    <w:p w14:paraId="570CA6DC" w14:textId="30EBCBA7" w:rsidR="00492691" w:rsidRPr="00295C7F" w:rsidRDefault="00492691" w:rsidP="00492691">
      <w:pPr>
        <w:spacing w:after="0" w:line="240" w:lineRule="auto"/>
      </w:pPr>
      <w:r w:rsidRPr="00295C7F">
        <w:t xml:space="preserve">There is one Schedule in the instrument. This Schedule provides for </w:t>
      </w:r>
      <w:r>
        <w:t xml:space="preserve">the amendments to the Principles commencing on </w:t>
      </w:r>
      <w:r w:rsidR="009E1680">
        <w:t>the day after this instrument is registered on the Federal Register of Legislation</w:t>
      </w:r>
      <w:r>
        <w:t>.</w:t>
      </w:r>
    </w:p>
    <w:p w14:paraId="1B6A1A12" w14:textId="77777777" w:rsidR="00492691" w:rsidRPr="00295C7F" w:rsidRDefault="00492691" w:rsidP="00492691">
      <w:pPr>
        <w:spacing w:after="0" w:line="240" w:lineRule="auto"/>
      </w:pPr>
    </w:p>
    <w:p w14:paraId="7A300449" w14:textId="631D20B2" w:rsidR="00492691" w:rsidRDefault="00492691" w:rsidP="00492691">
      <w:pPr>
        <w:spacing w:after="0" w:line="240" w:lineRule="auto"/>
      </w:pPr>
      <w:r w:rsidRPr="008437FA">
        <w:rPr>
          <w:b/>
        </w:rPr>
        <w:t>Schedule 1</w:t>
      </w:r>
    </w:p>
    <w:p w14:paraId="1F216300" w14:textId="77777777" w:rsidR="00492691" w:rsidRDefault="00492691" w:rsidP="00492691">
      <w:pPr>
        <w:spacing w:after="0" w:line="240" w:lineRule="auto"/>
        <w:rPr>
          <w:i/>
        </w:rPr>
      </w:pPr>
    </w:p>
    <w:p w14:paraId="5EDFC1DA" w14:textId="0ADABDA6" w:rsidR="00492691" w:rsidRPr="005819AE" w:rsidRDefault="00492691" w:rsidP="00492691">
      <w:pPr>
        <w:spacing w:after="0" w:line="240" w:lineRule="auto"/>
        <w:rPr>
          <w:i/>
        </w:rPr>
      </w:pPr>
      <w:r w:rsidRPr="005819AE">
        <w:rPr>
          <w:i/>
        </w:rPr>
        <w:t>Health Insurance (Accredited Pathology Laboratories – Approval) Principles 2017</w:t>
      </w:r>
      <w:r>
        <w:rPr>
          <w:i/>
        </w:rPr>
        <w:t xml:space="preserve"> </w:t>
      </w:r>
      <w:r w:rsidRPr="005819AE">
        <w:t>(the Principles)</w:t>
      </w:r>
      <w:r>
        <w:rPr>
          <w:i/>
        </w:rPr>
        <w:t xml:space="preserve"> </w:t>
      </w:r>
    </w:p>
    <w:p w14:paraId="491CB3A4" w14:textId="77777777" w:rsidR="00492691" w:rsidRDefault="00492691" w:rsidP="00492691">
      <w:pPr>
        <w:spacing w:after="0" w:line="240" w:lineRule="auto"/>
      </w:pPr>
    </w:p>
    <w:p w14:paraId="6D24868C" w14:textId="77777777" w:rsidR="00492691" w:rsidRDefault="00492691" w:rsidP="00492691">
      <w:pPr>
        <w:spacing w:after="0" w:line="240" w:lineRule="auto"/>
        <w:rPr>
          <w:b/>
        </w:rPr>
      </w:pPr>
      <w:r>
        <w:rPr>
          <w:b/>
        </w:rPr>
        <w:t>Item 1</w:t>
      </w:r>
    </w:p>
    <w:p w14:paraId="2D4A9F3F" w14:textId="77777777" w:rsidR="00492691" w:rsidRDefault="00492691" w:rsidP="00492691">
      <w:pPr>
        <w:spacing w:after="0" w:line="240" w:lineRule="auto"/>
        <w:rPr>
          <w:b/>
        </w:rPr>
      </w:pPr>
    </w:p>
    <w:p w14:paraId="22CC0D6E" w14:textId="04AA3BE3" w:rsidR="00492691" w:rsidRDefault="00492691" w:rsidP="00492691">
      <w:pPr>
        <w:spacing w:after="0" w:line="240" w:lineRule="auto"/>
        <w:rPr>
          <w:i/>
        </w:rPr>
      </w:pPr>
      <w:r w:rsidRPr="00AF428B">
        <w:t xml:space="preserve">Item 1 repeals the </w:t>
      </w:r>
      <w:r w:rsidR="00DC2548">
        <w:t xml:space="preserve">accreditation </w:t>
      </w:r>
      <w:r w:rsidRPr="00AF428B">
        <w:t xml:space="preserve">standard listed in Item </w:t>
      </w:r>
      <w:r w:rsidR="00EB4FC8" w:rsidRPr="00AF428B">
        <w:t>21</w:t>
      </w:r>
      <w:r w:rsidRPr="00AF428B">
        <w:t xml:space="preserve"> of the </w:t>
      </w:r>
      <w:r w:rsidR="00E4187A">
        <w:t>t</w:t>
      </w:r>
      <w:r w:rsidRPr="00AF428B">
        <w:t xml:space="preserve">able </w:t>
      </w:r>
      <w:r w:rsidR="00E4187A">
        <w:t xml:space="preserve">in Schedule 1 of the Principles </w:t>
      </w:r>
      <w:r w:rsidRPr="00AF428B">
        <w:t xml:space="preserve">and substitutes it with </w:t>
      </w:r>
      <w:r w:rsidR="00EB4FC8" w:rsidRPr="00AF428B">
        <w:t>a revised</w:t>
      </w:r>
      <w:r w:rsidRPr="00AF428B">
        <w:t xml:space="preserve"> </w:t>
      </w:r>
      <w:r w:rsidR="00DC2548">
        <w:t xml:space="preserve">accreditation </w:t>
      </w:r>
      <w:r w:rsidRPr="00AF428B">
        <w:t xml:space="preserve">standard </w:t>
      </w:r>
      <w:r w:rsidR="005360FE" w:rsidRPr="00AF428B">
        <w:t xml:space="preserve">for the </w:t>
      </w:r>
      <w:r w:rsidR="00EB4FC8" w:rsidRPr="00AF428B">
        <w:t>retention of laboratory records and diagnostic materials</w:t>
      </w:r>
      <w:r w:rsidRPr="00AF428B">
        <w:t xml:space="preserve"> titled “</w:t>
      </w:r>
      <w:r w:rsidRPr="00AF428B">
        <w:rPr>
          <w:i/>
        </w:rPr>
        <w:t xml:space="preserve">Requirements for </w:t>
      </w:r>
      <w:r w:rsidR="00EB4FC8" w:rsidRPr="00AF428B">
        <w:rPr>
          <w:i/>
        </w:rPr>
        <w:t>the Retention of Laboratory Records and Diagnostic Material</w:t>
      </w:r>
      <w:r w:rsidRPr="00AF428B">
        <w:rPr>
          <w:i/>
        </w:rPr>
        <w:t xml:space="preserve"> (</w:t>
      </w:r>
      <w:r w:rsidR="00EB4FC8" w:rsidRPr="00AF428B">
        <w:rPr>
          <w:i/>
        </w:rPr>
        <w:t>Ninth</w:t>
      </w:r>
      <w:r w:rsidR="005360FE" w:rsidRPr="00AF428B">
        <w:rPr>
          <w:i/>
        </w:rPr>
        <w:t xml:space="preserve"> </w:t>
      </w:r>
      <w:r w:rsidRPr="00AF428B">
        <w:rPr>
          <w:i/>
        </w:rPr>
        <w:t>Edition 20</w:t>
      </w:r>
      <w:r w:rsidR="005360FE" w:rsidRPr="00AF428B">
        <w:rPr>
          <w:i/>
        </w:rPr>
        <w:t>2</w:t>
      </w:r>
      <w:r w:rsidR="00EB4FC8" w:rsidRPr="00AF428B">
        <w:rPr>
          <w:i/>
        </w:rPr>
        <w:t>2</w:t>
      </w:r>
      <w:r w:rsidRPr="00AF428B">
        <w:rPr>
          <w:i/>
        </w:rPr>
        <w:t>)”.</w:t>
      </w:r>
    </w:p>
    <w:p w14:paraId="2E52CFEB" w14:textId="77777777" w:rsidR="007210A2" w:rsidRDefault="007210A2" w:rsidP="00492691">
      <w:pPr>
        <w:spacing w:after="0" w:line="240" w:lineRule="auto"/>
        <w:rPr>
          <w:b/>
          <w:bCs/>
          <w:iCs/>
        </w:rPr>
      </w:pPr>
      <w:bookmarkStart w:id="4" w:name="_Hlk98929616"/>
    </w:p>
    <w:p w14:paraId="3B094326" w14:textId="77777777" w:rsidR="007210A2" w:rsidRDefault="007210A2" w:rsidP="00492691">
      <w:pPr>
        <w:spacing w:after="0" w:line="240" w:lineRule="auto"/>
        <w:rPr>
          <w:b/>
          <w:bCs/>
          <w:iCs/>
        </w:rPr>
      </w:pPr>
    </w:p>
    <w:p w14:paraId="78EC8075" w14:textId="77777777" w:rsidR="007210A2" w:rsidRDefault="007210A2" w:rsidP="00492691">
      <w:pPr>
        <w:spacing w:after="0" w:line="240" w:lineRule="auto"/>
        <w:rPr>
          <w:b/>
          <w:bCs/>
          <w:iCs/>
        </w:rPr>
      </w:pPr>
    </w:p>
    <w:p w14:paraId="7CC32779" w14:textId="60500569" w:rsidR="005146D7" w:rsidRDefault="005146D7" w:rsidP="00492691">
      <w:pPr>
        <w:spacing w:after="0" w:line="240" w:lineRule="auto"/>
        <w:rPr>
          <w:b/>
          <w:bCs/>
          <w:iCs/>
        </w:rPr>
      </w:pPr>
      <w:r>
        <w:rPr>
          <w:b/>
          <w:bCs/>
          <w:iCs/>
        </w:rPr>
        <w:t>Item 2</w:t>
      </w:r>
    </w:p>
    <w:p w14:paraId="14A5588F" w14:textId="3C7769CE" w:rsidR="005146D7" w:rsidRPr="005146D7" w:rsidRDefault="005146D7" w:rsidP="00492691">
      <w:pPr>
        <w:spacing w:after="0" w:line="240" w:lineRule="auto"/>
        <w:rPr>
          <w:iCs/>
        </w:rPr>
      </w:pPr>
    </w:p>
    <w:bookmarkEnd w:id="4"/>
    <w:p w14:paraId="7F12D345" w14:textId="5101EFFA" w:rsidR="00455775" w:rsidRDefault="00455775" w:rsidP="00FA5E10">
      <w:pPr>
        <w:spacing w:line="240" w:lineRule="auto"/>
        <w:rPr>
          <w:rFonts w:cs="Calibri"/>
        </w:rPr>
      </w:pPr>
      <w:r>
        <w:t xml:space="preserve">Item 2 repeals the note at the end of the table at item 1 of Schedule 1 of the Principles and substitutes it with </w:t>
      </w:r>
      <w:r>
        <w:rPr>
          <w:i/>
          <w:iCs/>
        </w:rPr>
        <w:t>“The documents mentioned could in 2022 be viewed on NPAAC’s website, maintained by the Department of Health, or the Australian Commission on Safety and Quality in Health Care’s pathology webpage</w:t>
      </w:r>
      <w:r w:rsidR="00C11A79">
        <w:rPr>
          <w:i/>
          <w:iCs/>
        </w:rPr>
        <w:t>.</w:t>
      </w:r>
      <w:r>
        <w:t>”.</w:t>
      </w:r>
    </w:p>
    <w:p w14:paraId="207335F8" w14:textId="5F2017D7" w:rsidR="00FA5E10" w:rsidRPr="00BF564A" w:rsidRDefault="00FA5E10">
      <w:pPr>
        <w:spacing w:after="160" w:line="259" w:lineRule="auto"/>
        <w:rPr>
          <w:rFonts w:cs="Times New Roman"/>
          <w:b/>
          <w:vanish/>
          <w:szCs w:val="24"/>
          <w:specVanish/>
        </w:rPr>
      </w:pPr>
      <w:r>
        <w:rPr>
          <w:rFonts w:cs="Times New Roman"/>
          <w:b/>
          <w:szCs w:val="24"/>
        </w:rPr>
        <w:br w:type="page"/>
      </w:r>
    </w:p>
    <w:p w14:paraId="6D3F8A50" w14:textId="566F2CBB" w:rsidR="00E4187A" w:rsidRPr="00AA7773" w:rsidRDefault="00BF564A">
      <w:pPr>
        <w:spacing w:after="160" w:line="259" w:lineRule="auto"/>
        <w:rPr>
          <w:rFonts w:cs="Times New Roman"/>
          <w:b/>
          <w:szCs w:val="24"/>
        </w:rPr>
      </w:pPr>
      <w:r>
        <w:rPr>
          <w:rFonts w:cs="Times New Roman"/>
          <w:b/>
          <w:szCs w:val="24"/>
        </w:rPr>
        <w:t xml:space="preserve"> </w:t>
      </w:r>
    </w:p>
    <w:p w14:paraId="39825ED4" w14:textId="503CABA0" w:rsidR="00C56FD6" w:rsidRPr="002F7AF7" w:rsidRDefault="00C56FD6" w:rsidP="00C56FD6">
      <w:pPr>
        <w:spacing w:before="360" w:after="120"/>
        <w:jc w:val="center"/>
        <w:rPr>
          <w:rFonts w:cs="Times New Roman"/>
          <w:b/>
          <w:szCs w:val="24"/>
        </w:rPr>
      </w:pPr>
      <w:r w:rsidRPr="002F7AF7">
        <w:rPr>
          <w:rFonts w:cs="Times New Roman"/>
          <w:b/>
          <w:szCs w:val="24"/>
        </w:rPr>
        <w:t>Statement of Compatibility with Human Rights</w:t>
      </w:r>
    </w:p>
    <w:p w14:paraId="597CD0B1" w14:textId="77777777" w:rsidR="00C56FD6" w:rsidRPr="002F7AF7" w:rsidRDefault="00C56FD6" w:rsidP="00C56FD6">
      <w:pPr>
        <w:spacing w:after="0" w:line="240" w:lineRule="auto"/>
        <w:jc w:val="center"/>
        <w:rPr>
          <w:rFonts w:cs="Times New Roman"/>
          <w:i/>
          <w:szCs w:val="24"/>
        </w:rPr>
      </w:pPr>
      <w:r w:rsidRPr="002F7AF7">
        <w:rPr>
          <w:rFonts w:cs="Times New Roman"/>
          <w:i/>
          <w:szCs w:val="24"/>
        </w:rPr>
        <w:t xml:space="preserve">Prepared in accordance with Part 3 of the </w:t>
      </w:r>
    </w:p>
    <w:p w14:paraId="245F02CD" w14:textId="77777777" w:rsidR="00C56FD6" w:rsidRPr="002F7AF7" w:rsidRDefault="00C56FD6" w:rsidP="00C56FD6">
      <w:pPr>
        <w:spacing w:after="0" w:line="240" w:lineRule="auto"/>
        <w:jc w:val="center"/>
        <w:rPr>
          <w:rFonts w:cs="Times New Roman"/>
          <w:szCs w:val="24"/>
        </w:rPr>
      </w:pPr>
      <w:r w:rsidRPr="002F7AF7">
        <w:rPr>
          <w:rFonts w:cs="Times New Roman"/>
          <w:i/>
          <w:szCs w:val="24"/>
        </w:rPr>
        <w:t>Human Rights (Parliamentary Scrutiny) Act 2011</w:t>
      </w:r>
      <w:r w:rsidRPr="002F7AF7">
        <w:rPr>
          <w:rFonts w:cs="Times New Roman"/>
          <w:i/>
          <w:szCs w:val="24"/>
        </w:rPr>
        <w:br/>
      </w:r>
    </w:p>
    <w:p w14:paraId="1DB7B402" w14:textId="0E5863D4" w:rsidR="0066581F" w:rsidRPr="00630FE7" w:rsidRDefault="0066581F" w:rsidP="00C56FD6">
      <w:pPr>
        <w:spacing w:before="120" w:after="120" w:line="240" w:lineRule="auto"/>
        <w:jc w:val="center"/>
        <w:rPr>
          <w:b/>
          <w:i/>
          <w:iCs/>
        </w:rPr>
      </w:pPr>
      <w:r w:rsidRPr="0066581F">
        <w:rPr>
          <w:rFonts w:cs="Times New Roman"/>
          <w:b/>
          <w:i/>
          <w:iCs/>
          <w:szCs w:val="24"/>
        </w:rPr>
        <w:t>Health Insurance (Accredited Pathology Laboratories—Approval) Amendment (Relevant Standards) Principles (No.</w:t>
      </w:r>
      <w:r w:rsidR="00EB4FC8">
        <w:rPr>
          <w:rFonts w:cs="Times New Roman"/>
          <w:b/>
          <w:i/>
          <w:iCs/>
          <w:szCs w:val="24"/>
        </w:rPr>
        <w:t>1</w:t>
      </w:r>
      <w:r w:rsidRPr="0066581F">
        <w:rPr>
          <w:rFonts w:cs="Times New Roman"/>
          <w:b/>
          <w:i/>
          <w:iCs/>
          <w:szCs w:val="24"/>
        </w:rPr>
        <w:t>) 202</w:t>
      </w:r>
      <w:r w:rsidR="00EB4FC8">
        <w:rPr>
          <w:rFonts w:cs="Times New Roman"/>
          <w:b/>
          <w:i/>
          <w:iCs/>
          <w:szCs w:val="24"/>
        </w:rPr>
        <w:t>2</w:t>
      </w:r>
    </w:p>
    <w:p w14:paraId="1D02ABEB" w14:textId="19DD30F9" w:rsidR="00C56FD6" w:rsidRPr="002F7AF7" w:rsidRDefault="00C56FD6" w:rsidP="00C56FD6">
      <w:pPr>
        <w:spacing w:before="120" w:after="120" w:line="240" w:lineRule="auto"/>
        <w:jc w:val="center"/>
        <w:rPr>
          <w:rFonts w:cs="Times New Roman"/>
          <w:szCs w:val="24"/>
        </w:rPr>
      </w:pPr>
      <w:r w:rsidRPr="002F7AF7">
        <w:rPr>
          <w:rFonts w:cs="Times New Roman"/>
          <w:szCs w:val="24"/>
        </w:rPr>
        <w:t xml:space="preserve">This Legislative Instrument is compatible with the human rights and freedoms recognised or declared in the international instruments listed in section 3 of the </w:t>
      </w:r>
      <w:r w:rsidRPr="002F7AF7">
        <w:rPr>
          <w:rFonts w:cs="Times New Roman"/>
          <w:i/>
          <w:szCs w:val="24"/>
        </w:rPr>
        <w:t>Human Rights (Parliamentary Scrutiny) Act 2011</w:t>
      </w:r>
      <w:r w:rsidRPr="002F7AF7">
        <w:rPr>
          <w:rFonts w:cs="Times New Roman"/>
          <w:szCs w:val="24"/>
        </w:rPr>
        <w:t>.</w:t>
      </w:r>
    </w:p>
    <w:p w14:paraId="0A8A0EF2" w14:textId="77777777" w:rsidR="00C56FD6" w:rsidRPr="002F7AF7" w:rsidRDefault="00C56FD6" w:rsidP="00C56FD6">
      <w:pPr>
        <w:spacing w:after="120"/>
        <w:jc w:val="both"/>
        <w:rPr>
          <w:rFonts w:cs="Times New Roman"/>
          <w:b/>
          <w:szCs w:val="24"/>
        </w:rPr>
      </w:pPr>
      <w:r w:rsidRPr="002F7AF7">
        <w:rPr>
          <w:rFonts w:cs="Times New Roman"/>
          <w:b/>
          <w:szCs w:val="24"/>
        </w:rPr>
        <w:t>Overview of the Legislative Instrument</w:t>
      </w:r>
    </w:p>
    <w:p w14:paraId="63E5CFE8" w14:textId="167FE4CC" w:rsidR="000E010D" w:rsidRPr="00A440B1" w:rsidRDefault="000E010D" w:rsidP="000E010D">
      <w:pPr>
        <w:spacing w:before="120" w:after="120" w:line="240" w:lineRule="auto"/>
      </w:pPr>
      <w:r w:rsidRPr="00A440B1">
        <w:t xml:space="preserve">This Legislative Instrument </w:t>
      </w:r>
      <w:r w:rsidR="00E4187A">
        <w:t>amends</w:t>
      </w:r>
      <w:r w:rsidRPr="00A440B1">
        <w:t xml:space="preserve"> the </w:t>
      </w:r>
      <w:r w:rsidRPr="00A440B1">
        <w:rPr>
          <w:i/>
        </w:rPr>
        <w:t>Health Insurance (Accredited Pathology Laborato</w:t>
      </w:r>
      <w:r>
        <w:rPr>
          <w:i/>
        </w:rPr>
        <w:t>ries – Approval) Principles 2017</w:t>
      </w:r>
      <w:r w:rsidRPr="00A440B1">
        <w:rPr>
          <w:i/>
        </w:rPr>
        <w:t xml:space="preserve"> </w:t>
      </w:r>
      <w:r w:rsidRPr="00630FE7">
        <w:rPr>
          <w:iCs/>
        </w:rPr>
        <w:t>(</w:t>
      </w:r>
      <w:r>
        <w:t>‘</w:t>
      </w:r>
      <w:r w:rsidRPr="00A440B1">
        <w:t>Principles</w:t>
      </w:r>
      <w:r>
        <w:t>’)</w:t>
      </w:r>
      <w:r w:rsidRPr="00A440B1">
        <w:t xml:space="preserve"> to incorporate</w:t>
      </w:r>
      <w:r w:rsidR="005360FE">
        <w:t xml:space="preserve"> </w:t>
      </w:r>
      <w:r w:rsidR="00EB4FC8">
        <w:t xml:space="preserve">a </w:t>
      </w:r>
      <w:r w:rsidRPr="00A440B1">
        <w:t>revised version</w:t>
      </w:r>
      <w:r>
        <w:t xml:space="preserve"> </w:t>
      </w:r>
      <w:r w:rsidRPr="00A440B1">
        <w:t xml:space="preserve">of </w:t>
      </w:r>
      <w:r w:rsidR="00AF01C7" w:rsidRPr="008979CE">
        <w:t>National Pathology Accreditation Advisory Council (NPAAC)</w:t>
      </w:r>
      <w:r w:rsidR="00AF01C7">
        <w:t xml:space="preserve"> </w:t>
      </w:r>
      <w:r w:rsidRPr="00A440B1">
        <w:t xml:space="preserve">accreditation </w:t>
      </w:r>
      <w:r>
        <w:t>standard</w:t>
      </w:r>
      <w:r w:rsidRPr="00A440B1">
        <w:t xml:space="preserve"> currently listed in Schedule 1 </w:t>
      </w:r>
      <w:r>
        <w:t>of</w:t>
      </w:r>
      <w:r w:rsidRPr="00A440B1">
        <w:t xml:space="preserve"> the Principles</w:t>
      </w:r>
      <w:r>
        <w:t>, namely the -</w:t>
      </w:r>
    </w:p>
    <w:p w14:paraId="77498835" w14:textId="78BFEFDF" w:rsidR="005360FE" w:rsidRDefault="005360FE" w:rsidP="00EB4FC8">
      <w:pPr>
        <w:widowControl w:val="0"/>
        <w:numPr>
          <w:ilvl w:val="1"/>
          <w:numId w:val="10"/>
        </w:numPr>
        <w:tabs>
          <w:tab w:val="left" w:pos="1134"/>
        </w:tabs>
        <w:adjustRightInd w:val="0"/>
        <w:spacing w:before="120" w:after="0" w:line="240" w:lineRule="auto"/>
        <w:ind w:left="1134" w:hanging="567"/>
        <w:textAlignment w:val="baseline"/>
      </w:pPr>
      <w:r>
        <w:t xml:space="preserve">Requirements for </w:t>
      </w:r>
      <w:r w:rsidR="00EB4FC8">
        <w:t>the Retention of Laboratory Records and Diagnostic Material</w:t>
      </w:r>
      <w:r>
        <w:t xml:space="preserve"> (</w:t>
      </w:r>
      <w:r w:rsidR="00EB4FC8">
        <w:t>Ninth</w:t>
      </w:r>
      <w:r>
        <w:t xml:space="preserve"> Edition 202</w:t>
      </w:r>
      <w:r w:rsidR="00EB4FC8">
        <w:t>2</w:t>
      </w:r>
      <w:r>
        <w:t>).</w:t>
      </w:r>
    </w:p>
    <w:p w14:paraId="7C7919B2" w14:textId="77777777" w:rsidR="005360FE" w:rsidRPr="00ED4D59" w:rsidRDefault="005360FE" w:rsidP="005360FE">
      <w:pPr>
        <w:widowControl w:val="0"/>
        <w:tabs>
          <w:tab w:val="left" w:pos="1134"/>
        </w:tabs>
        <w:adjustRightInd w:val="0"/>
        <w:spacing w:before="120" w:after="0" w:line="240" w:lineRule="auto"/>
        <w:ind w:left="1134"/>
        <w:textAlignment w:val="baseline"/>
      </w:pPr>
    </w:p>
    <w:p w14:paraId="405A30EC" w14:textId="4FBCC37A" w:rsidR="00422D6D" w:rsidRPr="00A440B1" w:rsidRDefault="00422D6D" w:rsidP="00422D6D">
      <w:pPr>
        <w:spacing w:line="240" w:lineRule="auto"/>
      </w:pPr>
      <w:r>
        <w:t xml:space="preserve">The </w:t>
      </w:r>
      <w:r w:rsidR="00FE214D">
        <w:t xml:space="preserve">Principles are made by the </w:t>
      </w:r>
      <w:r>
        <w:t xml:space="preserve">Minister </w:t>
      </w:r>
      <w:r w:rsidRPr="00A440B1">
        <w:t xml:space="preserve">under </w:t>
      </w:r>
      <w:r w:rsidR="00E4187A">
        <w:t>sub</w:t>
      </w:r>
      <w:r>
        <w:t>s</w:t>
      </w:r>
      <w:r w:rsidRPr="00A440B1">
        <w:t>ection 23DN</w:t>
      </w:r>
      <w:r w:rsidR="00D94434">
        <w:t>A(1)</w:t>
      </w:r>
      <w:r w:rsidRPr="00A440B1">
        <w:t xml:space="preserve"> of </w:t>
      </w:r>
      <w:r w:rsidR="00E4187A">
        <w:t xml:space="preserve">the </w:t>
      </w:r>
      <w:r w:rsidR="00E4187A">
        <w:rPr>
          <w:i/>
          <w:iCs/>
        </w:rPr>
        <w:t xml:space="preserve">Health Insurance Act 1973 </w:t>
      </w:r>
      <w:r w:rsidR="00E4187A">
        <w:t>(</w:t>
      </w:r>
      <w:r w:rsidRPr="00A440B1">
        <w:t>the Act</w:t>
      </w:r>
      <w:r w:rsidR="00E4187A">
        <w:t>)</w:t>
      </w:r>
      <w:r w:rsidRPr="00A440B1">
        <w:t xml:space="preserve"> </w:t>
      </w:r>
      <w:r w:rsidR="00FE214D">
        <w:t xml:space="preserve">and applied in exercising the Minister’s powers </w:t>
      </w:r>
      <w:r w:rsidRPr="00A440B1">
        <w:t>to approve in principle, or refuse to approve, premises as an ac</w:t>
      </w:r>
      <w:r>
        <w:t xml:space="preserve">credited pathology laboratory. </w:t>
      </w:r>
    </w:p>
    <w:p w14:paraId="5F139716" w14:textId="77777777" w:rsidR="00422D6D" w:rsidRDefault="00422D6D" w:rsidP="00422D6D">
      <w:pPr>
        <w:spacing w:line="240" w:lineRule="auto"/>
      </w:pPr>
      <w:r>
        <w:t>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D982087" w14:textId="77777777" w:rsidR="00422D6D" w:rsidRDefault="00422D6D" w:rsidP="00422D6D">
      <w:pPr>
        <w:spacing w:line="240" w:lineRule="auto"/>
      </w:pPr>
      <w:r>
        <w:t xml:space="preserve">The Principles set out the criteria for different categories of accredited pathology laboratories and specify the standards that must be met as part of the accreditation assessment for each category of laboratory and kinds of services provided in that laboratory. </w:t>
      </w:r>
      <w:r w:rsidRPr="00E2362A">
        <w:t>The overarching objectives of the Principles include promoting the delivery of reliable test results and reducing the risk of misdiagnosis in the provision of pathology services.</w:t>
      </w:r>
    </w:p>
    <w:p w14:paraId="2024A659" w14:textId="19782E6A" w:rsidR="00422D6D" w:rsidRDefault="00422D6D" w:rsidP="00422D6D">
      <w:pPr>
        <w:spacing w:line="240" w:lineRule="auto"/>
      </w:pPr>
      <w:r>
        <w:t xml:space="preserve">The Schedule to the Principles specifies accreditation materials that set out relevant standards against which applicants for accreditation are to be assessed. These documents are developed and maintained by </w:t>
      </w:r>
      <w:r w:rsidRPr="008979CE">
        <w:t>NPAAC</w:t>
      </w:r>
      <w:r>
        <w:t xml:space="preserve"> or endorsed by NPAAC as supplementary accreditation materials. The accreditation process of pathology laboratories is administered by the Department of Human Services, while the National Association of Testing Authorities (NATA) is </w:t>
      </w:r>
      <w:r w:rsidR="00D94434">
        <w:t xml:space="preserve">currently </w:t>
      </w:r>
      <w:r>
        <w:t>the recognised independent assessment body that conducts the accreditation assessment of pathology laboratories, in conjunction with the Royal College of Pathologists of Australasia.</w:t>
      </w:r>
    </w:p>
    <w:p w14:paraId="7D3C3D34" w14:textId="057F800A" w:rsidR="004C3152" w:rsidRPr="00C11A79" w:rsidRDefault="004C3152" w:rsidP="00C11A79">
      <w:pPr>
        <w:rPr>
          <w:rFonts w:cs="Calibri"/>
        </w:rPr>
      </w:pPr>
      <w:r w:rsidRPr="00E2362A">
        <w:t xml:space="preserve">The review of these pathology accreditation standards is part of the ongoing process of refining the pathology accreditation requirements to maintain their currency and to ensure </w:t>
      </w:r>
      <w:r w:rsidRPr="00E2362A">
        <w:lastRenderedPageBreak/>
        <w:t>they reflect contemporary clinical best practice</w:t>
      </w:r>
      <w:r w:rsidR="00EB4FC8" w:rsidRPr="00E2362A">
        <w:t xml:space="preserve"> and to be responsive to operational requirements for the pathology sector</w:t>
      </w:r>
      <w:r w:rsidRPr="00E2362A">
        <w:t>.</w:t>
      </w:r>
      <w:r>
        <w:t xml:space="preserve"> They should be read in conjunction with the </w:t>
      </w:r>
      <w:r w:rsidRPr="00C43173">
        <w:t xml:space="preserve">NPAAC overarching document, the </w:t>
      </w:r>
      <w:bookmarkStart w:id="5" w:name="_Hlk98484538"/>
      <w:r w:rsidRPr="00C43173">
        <w:rPr>
          <w:i/>
        </w:rPr>
        <w:t>Requirements for Medical Pathology Services</w:t>
      </w:r>
      <w:r w:rsidR="0041258D">
        <w:rPr>
          <w:i/>
        </w:rPr>
        <w:t xml:space="preserve"> </w:t>
      </w:r>
      <w:bookmarkEnd w:id="5"/>
      <w:r>
        <w:t>which sets</w:t>
      </w:r>
      <w:r w:rsidRPr="00C43173">
        <w:t xml:space="preserve"> out </w:t>
      </w:r>
      <w:r>
        <w:t xml:space="preserve">the core </w:t>
      </w:r>
      <w:r w:rsidRPr="00C43173">
        <w:t>elements of good laboratory practice</w:t>
      </w:r>
      <w:r>
        <w:t xml:space="preserve">, in addition to the other materials that form the national pathology accreditation framework. Copies of the pathology accreditation materials </w:t>
      </w:r>
      <w:r w:rsidR="00C11A79">
        <w:t xml:space="preserve">are published and can be accessed from </w:t>
      </w:r>
      <w:r w:rsidR="00C11A79" w:rsidRPr="00C11A79">
        <w:t>NPAAC’s website, maintained by the Department of Health (</w:t>
      </w:r>
      <w:hyperlink r:id="rId9" w:history="1">
        <w:r w:rsidR="00C11A79" w:rsidRPr="00C11A79">
          <w:rPr>
            <w:rStyle w:val="Hyperlink"/>
          </w:rPr>
          <w:t>http://www.health.gov.au/npaac</w:t>
        </w:r>
      </w:hyperlink>
      <w:r w:rsidR="00C11A79" w:rsidRPr="00C11A79">
        <w:t>), or the Australian Commission on Safety and Quality in Health Care’s pathology webpage (</w:t>
      </w:r>
      <w:hyperlink r:id="rId10" w:anchor="national-pathology-accreditation-standards" w:history="1">
        <w:r w:rsidR="00C11A79" w:rsidRPr="00C11A79">
          <w:rPr>
            <w:rStyle w:val="Hyperlink"/>
          </w:rPr>
          <w:t>https://www.safetyandquality.gov.au/national-pathology-accreditation-scheme/resources#national-pathology-accreditation-standards</w:t>
        </w:r>
      </w:hyperlink>
      <w:r w:rsidR="00C11A79" w:rsidRPr="00C11A79">
        <w:t>).</w:t>
      </w:r>
    </w:p>
    <w:p w14:paraId="7BB41ACB" w14:textId="60AF504C" w:rsidR="00C56FD6" w:rsidRDefault="00C56FD6" w:rsidP="00C56FD6">
      <w:pPr>
        <w:spacing w:line="240" w:lineRule="auto"/>
        <w:rPr>
          <w:rFonts w:cs="Times New Roman"/>
          <w:szCs w:val="24"/>
        </w:rPr>
      </w:pPr>
      <w:r w:rsidRPr="001A47B6">
        <w:rPr>
          <w:rFonts w:cs="Times New Roman"/>
          <w:szCs w:val="24"/>
        </w:rPr>
        <w:t>The pathology accreditation standards are aimed at assuring the quality of Australian pathology services.</w:t>
      </w:r>
    </w:p>
    <w:p w14:paraId="4774E00C" w14:textId="77777777" w:rsidR="00C56FD6" w:rsidRPr="002F7AF7" w:rsidRDefault="00C56FD6" w:rsidP="00C56FD6">
      <w:pPr>
        <w:spacing w:line="240" w:lineRule="auto"/>
        <w:rPr>
          <w:rFonts w:cs="Times New Roman"/>
          <w:szCs w:val="24"/>
        </w:rPr>
      </w:pPr>
      <w:r w:rsidRPr="002F7AF7">
        <w:rPr>
          <w:rFonts w:cs="Times New Roman"/>
          <w:b/>
          <w:szCs w:val="24"/>
        </w:rPr>
        <w:t>Human rights implications</w:t>
      </w:r>
    </w:p>
    <w:p w14:paraId="72BC9D5C" w14:textId="3078A8E1" w:rsidR="00E40343" w:rsidRDefault="00E40343" w:rsidP="004C3152">
      <w:pPr>
        <w:spacing w:before="120" w:line="240" w:lineRule="auto"/>
        <w:rPr>
          <w:color w:val="000000"/>
          <w:shd w:val="clear" w:color="auto" w:fill="FFFFFF"/>
        </w:rPr>
      </w:pPr>
      <w:r>
        <w:rPr>
          <w:color w:val="000000"/>
          <w:shd w:val="clear" w:color="auto" w:fill="FFFFFF"/>
        </w:rPr>
        <w:t xml:space="preserve">This instrument engages </w:t>
      </w:r>
      <w:r w:rsidRPr="001A47B6">
        <w:rPr>
          <w:color w:val="000000"/>
          <w:shd w:val="clear" w:color="auto" w:fill="FFFFFF"/>
        </w:rPr>
        <w:t>Articles 9 and 12 of the International Covenant on Economic Social and Cultural Rights (ICESCR),</w:t>
      </w:r>
      <w:r>
        <w:rPr>
          <w:color w:val="000000"/>
          <w:shd w:val="clear" w:color="auto" w:fill="FFFFFF"/>
        </w:rPr>
        <w:t xml:space="preserve"> specifically the rights to health and social security.</w:t>
      </w:r>
    </w:p>
    <w:p w14:paraId="62E17873" w14:textId="77777777" w:rsidR="00E40343" w:rsidRPr="00E40343" w:rsidRDefault="00E40343" w:rsidP="00E40343">
      <w:pPr>
        <w:shd w:val="clear" w:color="auto" w:fill="FFFFFF"/>
        <w:spacing w:before="120" w:after="120" w:line="240" w:lineRule="auto"/>
        <w:rPr>
          <w:rFonts w:eastAsia="Times New Roman" w:cs="Times New Roman"/>
          <w:color w:val="000000"/>
          <w:szCs w:val="24"/>
          <w:lang w:eastAsia="en-AU"/>
        </w:rPr>
      </w:pPr>
      <w:r w:rsidRPr="00E40343">
        <w:rPr>
          <w:rFonts w:eastAsia="Times New Roman" w:cs="Times New Roman"/>
          <w:i/>
          <w:iCs/>
          <w:color w:val="000000"/>
          <w:szCs w:val="24"/>
          <w:lang w:eastAsia="en-AU"/>
        </w:rPr>
        <w:t>The Right to Health</w:t>
      </w:r>
    </w:p>
    <w:p w14:paraId="7ED6C238" w14:textId="28D82C98" w:rsidR="00E40343" w:rsidRPr="00E40343" w:rsidRDefault="00E40343" w:rsidP="00E40343">
      <w:pPr>
        <w:shd w:val="clear" w:color="auto" w:fill="FFFFFF"/>
        <w:spacing w:before="120" w:after="120" w:line="240" w:lineRule="auto"/>
        <w:rPr>
          <w:rFonts w:eastAsia="Times New Roman" w:cs="Times New Roman"/>
          <w:color w:val="000000"/>
          <w:szCs w:val="24"/>
          <w:lang w:eastAsia="en-AU"/>
        </w:rPr>
      </w:pPr>
      <w:r w:rsidRPr="00E40343">
        <w:rPr>
          <w:rFonts w:eastAsia="Times New Roman" w:cs="Times New Roman"/>
          <w:color w:val="000000"/>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00EB4FC8" w:rsidRPr="00E40343">
        <w:rPr>
          <w:rFonts w:eastAsia="Times New Roman" w:cs="Times New Roman"/>
          <w:color w:val="000000"/>
          <w:szCs w:val="24"/>
          <w:lang w:eastAsia="en-AU"/>
        </w:rPr>
        <w:t>healthy but</w:t>
      </w:r>
      <w:r w:rsidRPr="00E40343">
        <w:rPr>
          <w:rFonts w:eastAsia="Times New Roman" w:cs="Times New Roman"/>
          <w:color w:val="000000"/>
          <w:szCs w:val="24"/>
          <w:lang w:eastAsia="en-AU"/>
        </w:rPr>
        <w:t xml:space="preserve"> is a right to a system of health protection which provides equality of opportunity for people to enjoy the highest attainable level of health.</w:t>
      </w:r>
    </w:p>
    <w:p w14:paraId="0FE5D482" w14:textId="789FCCFB" w:rsidR="00E40343" w:rsidRPr="00E40343" w:rsidRDefault="00E40343" w:rsidP="00E40343">
      <w:pPr>
        <w:shd w:val="clear" w:color="auto" w:fill="FFFFFF"/>
        <w:spacing w:before="120" w:after="120" w:line="240" w:lineRule="auto"/>
        <w:rPr>
          <w:rFonts w:eastAsia="Times New Roman" w:cs="Times New Roman"/>
          <w:color w:val="000000"/>
          <w:szCs w:val="24"/>
          <w:lang w:eastAsia="en-AU"/>
        </w:rPr>
      </w:pPr>
      <w:r w:rsidRPr="00E40343">
        <w:rPr>
          <w:rFonts w:eastAsia="Times New Roman" w:cs="Times New Roman"/>
          <w:color w:val="000000"/>
          <w:szCs w:val="24"/>
          <w:lang w:eastAsia="en-AU"/>
        </w:rPr>
        <w:t>The Committee reports that the</w:t>
      </w:r>
      <w:r w:rsidR="00EB4FC8">
        <w:rPr>
          <w:rFonts w:eastAsia="Times New Roman" w:cs="Times New Roman"/>
          <w:color w:val="000000"/>
          <w:szCs w:val="24"/>
          <w:lang w:eastAsia="en-AU"/>
        </w:rPr>
        <w:t xml:space="preserve"> </w:t>
      </w:r>
      <w:r w:rsidRPr="00E40343">
        <w:rPr>
          <w:rFonts w:eastAsia="Times New Roman" w:cs="Times New Roman"/>
          <w:i/>
          <w:iCs/>
          <w:color w:val="000000"/>
          <w:szCs w:val="24"/>
          <w:lang w:eastAsia="en-AU"/>
        </w:rPr>
        <w:t>‘highest attainable standard of health’</w:t>
      </w:r>
      <w:r w:rsidR="00EB4FC8">
        <w:rPr>
          <w:rFonts w:eastAsia="Times New Roman" w:cs="Times New Roman"/>
          <w:color w:val="000000"/>
          <w:szCs w:val="24"/>
          <w:lang w:eastAsia="en-AU"/>
        </w:rPr>
        <w:t xml:space="preserve"> </w:t>
      </w:r>
      <w:r w:rsidRPr="00E40343">
        <w:rPr>
          <w:rFonts w:eastAsia="Times New Roman" w:cs="Times New Roman"/>
          <w:color w:val="000000"/>
          <w:szCs w:val="24"/>
          <w:lang w:eastAsia="en-AU"/>
        </w:rPr>
        <w:t>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E40343" w:rsidRDefault="00E40343" w:rsidP="00E40343">
      <w:pPr>
        <w:shd w:val="clear" w:color="auto" w:fill="FFFFFF"/>
        <w:spacing w:before="120" w:after="120" w:line="240" w:lineRule="auto"/>
        <w:rPr>
          <w:rFonts w:eastAsia="Times New Roman" w:cs="Times New Roman"/>
          <w:color w:val="000000"/>
          <w:szCs w:val="24"/>
          <w:lang w:eastAsia="en-AU"/>
        </w:rPr>
      </w:pPr>
      <w:r w:rsidRPr="00E40343">
        <w:rPr>
          <w:rFonts w:eastAsia="Times New Roman" w:cs="Times New Roman"/>
          <w:i/>
          <w:iCs/>
          <w:color w:val="000000"/>
          <w:szCs w:val="24"/>
          <w:lang w:eastAsia="en-AU"/>
        </w:rPr>
        <w:t>The Right to Social Security</w:t>
      </w:r>
    </w:p>
    <w:p w14:paraId="14391752" w14:textId="77777777" w:rsidR="00E40343" w:rsidRPr="00E40343" w:rsidRDefault="00E40343" w:rsidP="00E40343">
      <w:pPr>
        <w:shd w:val="clear" w:color="auto" w:fill="FFFFFF"/>
        <w:spacing w:before="120" w:after="120" w:line="240" w:lineRule="auto"/>
        <w:rPr>
          <w:rFonts w:eastAsia="Times New Roman" w:cs="Times New Roman"/>
          <w:color w:val="000000"/>
          <w:szCs w:val="24"/>
          <w:lang w:eastAsia="en-AU"/>
        </w:rPr>
      </w:pPr>
      <w:r w:rsidRPr="00E40343">
        <w:rPr>
          <w:rFonts w:eastAsia="Times New Roman" w:cs="Times New Roman"/>
          <w:color w:val="000000"/>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D40630D" w14:textId="77777777" w:rsidR="00E40343" w:rsidRPr="00E40343" w:rsidRDefault="00E40343" w:rsidP="00E40343">
      <w:pPr>
        <w:shd w:val="clear" w:color="auto" w:fill="FFFFFF"/>
        <w:spacing w:before="120" w:after="120" w:line="240" w:lineRule="auto"/>
        <w:rPr>
          <w:rFonts w:eastAsia="Times New Roman" w:cs="Times New Roman"/>
          <w:color w:val="000000"/>
          <w:szCs w:val="24"/>
          <w:lang w:eastAsia="en-AU"/>
        </w:rPr>
      </w:pPr>
      <w:r w:rsidRPr="00E40343">
        <w:rPr>
          <w:rFonts w:eastAsia="Times New Roman" w:cs="Times New Roman"/>
          <w:color w:val="000000"/>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BE76BCC" w14:textId="6BBAD70C" w:rsidR="00E40343" w:rsidRPr="00E40343" w:rsidRDefault="00E40343" w:rsidP="004C3152">
      <w:pPr>
        <w:spacing w:before="120" w:line="240" w:lineRule="auto"/>
      </w:pPr>
      <w:r>
        <w:rPr>
          <w:i/>
          <w:iCs/>
        </w:rPr>
        <w:t xml:space="preserve">Analysis </w:t>
      </w:r>
    </w:p>
    <w:p w14:paraId="27C1FB03" w14:textId="4DE86EB7" w:rsidR="004C3152" w:rsidRDefault="004C3152" w:rsidP="004C3152">
      <w:pPr>
        <w:spacing w:before="120" w:line="240" w:lineRule="auto"/>
      </w:pPr>
      <w:r>
        <w:t xml:space="preserve">The Legislative Instrument </w:t>
      </w:r>
      <w:r w:rsidR="00E40343">
        <w:t xml:space="preserve">advances the right to health and the right to social security by ensuring appropriate accreditation </w:t>
      </w:r>
      <w:r w:rsidR="005812A0">
        <w:t>requirements</w:t>
      </w:r>
      <w:r w:rsidR="00E40343">
        <w:t xml:space="preserve"> </w:t>
      </w:r>
      <w:r w:rsidR="005812A0">
        <w:t>are in place to</w:t>
      </w:r>
      <w:r w:rsidR="00E40343">
        <w:t xml:space="preserve"> </w:t>
      </w:r>
      <w:r>
        <w:t>maintain access</w:t>
      </w:r>
      <w:r w:rsidR="002603A8">
        <w:t xml:space="preserve"> to</w:t>
      </w:r>
      <w:r>
        <w:t xml:space="preserve"> quality, safe, clinically relevant and cost-effective Medicare eligible pathology services.</w:t>
      </w:r>
    </w:p>
    <w:p w14:paraId="1BD56CEA" w14:textId="45951872" w:rsidR="003B6A0D" w:rsidRDefault="003B6A0D" w:rsidP="003B6A0D">
      <w:pPr>
        <w:spacing w:before="120" w:line="240" w:lineRule="auto"/>
      </w:pPr>
      <w:r>
        <w:rPr>
          <w:rFonts w:cs="Times New Roman"/>
          <w:szCs w:val="24"/>
        </w:rPr>
        <w:lastRenderedPageBreak/>
        <w:t xml:space="preserve">The revised </w:t>
      </w:r>
      <w:r w:rsidR="007A2AD5">
        <w:rPr>
          <w:iCs/>
        </w:rPr>
        <w:t>accreditation standard set</w:t>
      </w:r>
      <w:r w:rsidR="006A4458">
        <w:rPr>
          <w:iCs/>
        </w:rPr>
        <w:t>s</w:t>
      </w:r>
      <w:r w:rsidR="007A2AD5">
        <w:rPr>
          <w:iCs/>
        </w:rPr>
        <w:t xml:space="preserve"> out minimum acceptable standards for good laboratory practice,</w:t>
      </w:r>
      <w:r>
        <w:rPr>
          <w:rFonts w:cs="Times New Roman"/>
          <w:szCs w:val="24"/>
        </w:rPr>
        <w:t xml:space="preserve"> so that patient access is not affected whilst still maintaining appropriate requirements for </w:t>
      </w:r>
      <w:r>
        <w:t xml:space="preserve">quality, safe, clinically relevant and cost-effective Medicare eligible pathology services.  </w:t>
      </w:r>
    </w:p>
    <w:p w14:paraId="57C75D35" w14:textId="351B48B0" w:rsidR="004C3152" w:rsidRPr="00A440B1" w:rsidRDefault="004C3152" w:rsidP="004C3152">
      <w:pPr>
        <w:spacing w:line="240" w:lineRule="auto"/>
      </w:pPr>
      <w:r w:rsidRPr="00A440B1">
        <w:t xml:space="preserve">The revision of </w:t>
      </w:r>
      <w:r>
        <w:t>pathology accreditation</w:t>
      </w:r>
      <w:r w:rsidRPr="00A440B1">
        <w:t xml:space="preserve"> </w:t>
      </w:r>
      <w:r>
        <w:t>standards</w:t>
      </w:r>
      <w:r w:rsidRPr="00A440B1">
        <w:t xml:space="preserve"> is part of the ongoing process of refining accreditation requirements to maintain their currency and to ensure they reflect contemporary clinical best practice</w:t>
      </w:r>
      <w:r>
        <w:t xml:space="preserve"> </w:t>
      </w:r>
      <w:r w:rsidRPr="00FB4C54">
        <w:t>and with a comprehensive format</w:t>
      </w:r>
      <w:r>
        <w:t xml:space="preserve">. </w:t>
      </w:r>
      <w:r w:rsidRPr="00A440B1">
        <w:t>This helps assure the quality of Australian pathology services.</w:t>
      </w:r>
      <w:r>
        <w:t xml:space="preserve"> </w:t>
      </w:r>
    </w:p>
    <w:p w14:paraId="57860BB8" w14:textId="77777777" w:rsidR="00C56FD6" w:rsidRPr="002F7AF7" w:rsidRDefault="00C56FD6" w:rsidP="00C56FD6">
      <w:pPr>
        <w:spacing w:line="240" w:lineRule="auto"/>
        <w:rPr>
          <w:rFonts w:cs="Times New Roman"/>
          <w:b/>
          <w:szCs w:val="24"/>
        </w:rPr>
      </w:pPr>
      <w:r w:rsidRPr="002F7AF7">
        <w:rPr>
          <w:rFonts w:cs="Times New Roman"/>
          <w:b/>
          <w:szCs w:val="24"/>
        </w:rPr>
        <w:t>Conclusion</w:t>
      </w:r>
    </w:p>
    <w:p w14:paraId="4C7C6C35" w14:textId="4C33B062" w:rsidR="00C56FD6" w:rsidRDefault="00C56FD6" w:rsidP="00C56FD6">
      <w:pPr>
        <w:spacing w:line="240" w:lineRule="auto"/>
        <w:rPr>
          <w:rFonts w:cs="Times New Roman"/>
          <w:szCs w:val="24"/>
        </w:rPr>
      </w:pPr>
      <w:r w:rsidRPr="002F7AF7">
        <w:rPr>
          <w:rFonts w:cs="Times New Roman"/>
          <w:szCs w:val="24"/>
        </w:rPr>
        <w:t xml:space="preserve">This Legislative Instrument is compatible with human rights as it </w:t>
      </w:r>
      <w:r w:rsidR="00E40343">
        <w:rPr>
          <w:rFonts w:cs="Times New Roman"/>
          <w:szCs w:val="24"/>
        </w:rPr>
        <w:t xml:space="preserve">advances the right to health and the right to social security. </w:t>
      </w:r>
    </w:p>
    <w:p w14:paraId="76026A74" w14:textId="77777777" w:rsidR="009F6C4E" w:rsidRPr="002F7AF7" w:rsidRDefault="009F6C4E" w:rsidP="00C56FD6">
      <w:pPr>
        <w:spacing w:line="240" w:lineRule="auto"/>
        <w:rPr>
          <w:rFonts w:cs="Times New Roman"/>
          <w:szCs w:val="24"/>
        </w:rPr>
      </w:pPr>
    </w:p>
    <w:p w14:paraId="05833184" w14:textId="6953588B" w:rsidR="00C56FD6" w:rsidRPr="002F7AF7" w:rsidRDefault="00EB4FC8" w:rsidP="00C56FD6">
      <w:pPr>
        <w:spacing w:after="0" w:line="240" w:lineRule="auto"/>
        <w:jc w:val="center"/>
        <w:rPr>
          <w:rFonts w:cs="Times New Roman"/>
          <w:b/>
          <w:szCs w:val="24"/>
        </w:rPr>
      </w:pPr>
      <w:r>
        <w:rPr>
          <w:rFonts w:cs="Times New Roman"/>
          <w:b/>
          <w:szCs w:val="24"/>
        </w:rPr>
        <w:t>Renaye Lucchese</w:t>
      </w:r>
    </w:p>
    <w:p w14:paraId="150F3F71" w14:textId="3D78BB3E" w:rsidR="00C56FD6" w:rsidRDefault="00C56FD6" w:rsidP="00C56FD6">
      <w:pPr>
        <w:spacing w:after="0" w:line="240" w:lineRule="auto"/>
        <w:jc w:val="center"/>
        <w:rPr>
          <w:rFonts w:cs="Times New Roman"/>
          <w:b/>
          <w:szCs w:val="24"/>
        </w:rPr>
      </w:pPr>
      <w:r w:rsidRPr="002F7AF7">
        <w:rPr>
          <w:rFonts w:cs="Times New Roman"/>
          <w:b/>
          <w:szCs w:val="24"/>
        </w:rPr>
        <w:t>Assistant Secretary</w:t>
      </w:r>
    </w:p>
    <w:p w14:paraId="265DFE5D" w14:textId="79D43559" w:rsidR="00C56FD6" w:rsidRDefault="00C56FD6" w:rsidP="00C56FD6">
      <w:pPr>
        <w:spacing w:after="0" w:line="240" w:lineRule="auto"/>
        <w:jc w:val="center"/>
        <w:rPr>
          <w:rFonts w:cs="Times New Roman"/>
          <w:b/>
          <w:szCs w:val="24"/>
        </w:rPr>
      </w:pPr>
      <w:r w:rsidRPr="002F7AF7">
        <w:rPr>
          <w:rFonts w:cs="Times New Roman"/>
          <w:b/>
          <w:szCs w:val="24"/>
        </w:rPr>
        <w:t>Medical Benefits Division</w:t>
      </w:r>
    </w:p>
    <w:p w14:paraId="5D0FA219" w14:textId="367BF0A7" w:rsidR="00AE5F2D" w:rsidRDefault="00AE5F2D" w:rsidP="00C56FD6">
      <w:pPr>
        <w:spacing w:after="0" w:line="240" w:lineRule="auto"/>
        <w:jc w:val="center"/>
        <w:rPr>
          <w:rFonts w:cs="Times New Roman"/>
          <w:b/>
          <w:szCs w:val="24"/>
        </w:rPr>
      </w:pPr>
      <w:r>
        <w:rPr>
          <w:rFonts w:cs="Times New Roman"/>
          <w:b/>
          <w:szCs w:val="24"/>
        </w:rPr>
        <w:t>Health Resourcing Group</w:t>
      </w:r>
    </w:p>
    <w:p w14:paraId="714DBE38" w14:textId="7EA3F2EA" w:rsidR="00280050" w:rsidRPr="0062020B" w:rsidRDefault="004C3152" w:rsidP="0062020B">
      <w:pPr>
        <w:spacing w:after="0" w:line="240" w:lineRule="auto"/>
        <w:jc w:val="center"/>
        <w:rPr>
          <w:rFonts w:cs="Times New Roman"/>
          <w:szCs w:val="24"/>
        </w:rPr>
      </w:pPr>
      <w:r>
        <w:rPr>
          <w:rFonts w:cs="Times New Roman"/>
          <w:b/>
          <w:szCs w:val="24"/>
        </w:rPr>
        <w:t xml:space="preserve">Department of Health </w:t>
      </w:r>
    </w:p>
    <w:sectPr w:rsidR="00280050" w:rsidRPr="00620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6820F" w14:textId="77777777" w:rsidR="00340797" w:rsidRDefault="00340797" w:rsidP="00340797">
      <w:pPr>
        <w:spacing w:after="0" w:line="240" w:lineRule="auto"/>
      </w:pPr>
      <w:r>
        <w:separator/>
      </w:r>
    </w:p>
  </w:endnote>
  <w:endnote w:type="continuationSeparator" w:id="0">
    <w:p w14:paraId="430AC8BA" w14:textId="77777777" w:rsidR="00340797" w:rsidRDefault="00340797"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CCFCD" w14:textId="77777777" w:rsidR="00340797" w:rsidRDefault="00340797" w:rsidP="00340797">
      <w:pPr>
        <w:spacing w:after="0" w:line="240" w:lineRule="auto"/>
      </w:pPr>
      <w:r>
        <w:separator/>
      </w:r>
    </w:p>
  </w:footnote>
  <w:footnote w:type="continuationSeparator" w:id="0">
    <w:p w14:paraId="0ACC3692" w14:textId="77777777" w:rsidR="00340797" w:rsidRDefault="00340797" w:rsidP="0034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54927"/>
    <w:multiLevelType w:val="hybridMultilevel"/>
    <w:tmpl w:val="1D72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54A45"/>
    <w:multiLevelType w:val="multilevel"/>
    <w:tmpl w:val="08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23250B58"/>
    <w:multiLevelType w:val="hybridMultilevel"/>
    <w:tmpl w:val="CE089B1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A7148"/>
    <w:multiLevelType w:val="multilevel"/>
    <w:tmpl w:val="4C3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A5E92"/>
    <w:multiLevelType w:val="multilevel"/>
    <w:tmpl w:val="AB9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93B82"/>
    <w:multiLevelType w:val="hybridMultilevel"/>
    <w:tmpl w:val="98B4D3A4"/>
    <w:lvl w:ilvl="0" w:tplc="0C090001">
      <w:start w:val="1"/>
      <w:numFmt w:val="bullet"/>
      <w:lvlText w:val=""/>
      <w:lvlJc w:val="left"/>
      <w:pPr>
        <w:ind w:left="783" w:hanging="360"/>
      </w:pPr>
      <w:rPr>
        <w:rFonts w:ascii="Symbol" w:hAnsi="Symbol" w:hint="default"/>
      </w:rPr>
    </w:lvl>
    <w:lvl w:ilvl="1" w:tplc="C414B8A6">
      <w:numFmt w:val="bullet"/>
      <w:lvlText w:val="•"/>
      <w:lvlJc w:val="left"/>
      <w:pPr>
        <w:ind w:left="1563" w:hanging="420"/>
      </w:pPr>
      <w:rPr>
        <w:rFonts w:ascii="Times New Roman" w:eastAsia="Times New Roman" w:hAnsi="Times New Roman" w:cs="Times New Roman"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3A2BE7"/>
    <w:multiLevelType w:val="hybridMultilevel"/>
    <w:tmpl w:val="088E77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516729"/>
    <w:multiLevelType w:val="hybridMultilevel"/>
    <w:tmpl w:val="121639EC"/>
    <w:lvl w:ilvl="0" w:tplc="0C090001">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042F5D"/>
    <w:multiLevelType w:val="hybridMultilevel"/>
    <w:tmpl w:val="5E38068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024B0"/>
    <w:multiLevelType w:val="hybridMultilevel"/>
    <w:tmpl w:val="275C7B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3"/>
  </w:num>
  <w:num w:numId="5">
    <w:abstractNumId w:val="5"/>
  </w:num>
  <w:num w:numId="6">
    <w:abstractNumId w:val="13"/>
  </w:num>
  <w:num w:numId="7">
    <w:abstractNumId w:val="10"/>
  </w:num>
  <w:num w:numId="8">
    <w:abstractNumId w:val="14"/>
  </w:num>
  <w:num w:numId="9">
    <w:abstractNumId w:val="9"/>
  </w:num>
  <w:num w:numId="10">
    <w:abstractNumId w:val="4"/>
  </w:num>
  <w:num w:numId="11">
    <w:abstractNumId w:val="8"/>
  </w:num>
  <w:num w:numId="12">
    <w:abstractNumId w:val="2"/>
  </w:num>
  <w:num w:numId="13">
    <w:abstractNumId w:val="12"/>
  </w:num>
  <w:num w:numId="14">
    <w:abstractNumId w:val="6"/>
  </w:num>
  <w:num w:numId="15">
    <w:abstractNumId w:val="1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00652F"/>
    <w:rsid w:val="00020E24"/>
    <w:rsid w:val="0002326F"/>
    <w:rsid w:val="00023F5B"/>
    <w:rsid w:val="00031BED"/>
    <w:rsid w:val="00040528"/>
    <w:rsid w:val="00050E92"/>
    <w:rsid w:val="00056231"/>
    <w:rsid w:val="00063C43"/>
    <w:rsid w:val="000715BA"/>
    <w:rsid w:val="000733C3"/>
    <w:rsid w:val="00081F5C"/>
    <w:rsid w:val="0008573F"/>
    <w:rsid w:val="000878B6"/>
    <w:rsid w:val="000933E0"/>
    <w:rsid w:val="000A13F5"/>
    <w:rsid w:val="000A1CE4"/>
    <w:rsid w:val="000A3911"/>
    <w:rsid w:val="000A665E"/>
    <w:rsid w:val="000A6662"/>
    <w:rsid w:val="000B0D63"/>
    <w:rsid w:val="000B1CA1"/>
    <w:rsid w:val="000B6E07"/>
    <w:rsid w:val="000C2B6B"/>
    <w:rsid w:val="000D0D53"/>
    <w:rsid w:val="000D2747"/>
    <w:rsid w:val="000E010D"/>
    <w:rsid w:val="000E0ED1"/>
    <w:rsid w:val="000E7D1A"/>
    <w:rsid w:val="000F3EAB"/>
    <w:rsid w:val="000F76F1"/>
    <w:rsid w:val="0010125A"/>
    <w:rsid w:val="001100EE"/>
    <w:rsid w:val="00111639"/>
    <w:rsid w:val="00133EE4"/>
    <w:rsid w:val="0014249A"/>
    <w:rsid w:val="00151ABC"/>
    <w:rsid w:val="0016550F"/>
    <w:rsid w:val="001671A6"/>
    <w:rsid w:val="001827E4"/>
    <w:rsid w:val="00184AE6"/>
    <w:rsid w:val="00190B26"/>
    <w:rsid w:val="001A47B6"/>
    <w:rsid w:val="001A7736"/>
    <w:rsid w:val="001B33D3"/>
    <w:rsid w:val="001B464E"/>
    <w:rsid w:val="001D79E6"/>
    <w:rsid w:val="001E16A5"/>
    <w:rsid w:val="001E478D"/>
    <w:rsid w:val="001F1537"/>
    <w:rsid w:val="001F30DB"/>
    <w:rsid w:val="001F5FBD"/>
    <w:rsid w:val="0021697A"/>
    <w:rsid w:val="0022330A"/>
    <w:rsid w:val="0022383D"/>
    <w:rsid w:val="002374E9"/>
    <w:rsid w:val="002412ED"/>
    <w:rsid w:val="00256BDC"/>
    <w:rsid w:val="002603A8"/>
    <w:rsid w:val="00260F41"/>
    <w:rsid w:val="00261680"/>
    <w:rsid w:val="002709B1"/>
    <w:rsid w:val="002761E0"/>
    <w:rsid w:val="00280050"/>
    <w:rsid w:val="0029587B"/>
    <w:rsid w:val="002A01C4"/>
    <w:rsid w:val="002A0883"/>
    <w:rsid w:val="002A6959"/>
    <w:rsid w:val="002C74DF"/>
    <w:rsid w:val="002D213C"/>
    <w:rsid w:val="002D5ABF"/>
    <w:rsid w:val="002E09B1"/>
    <w:rsid w:val="00304932"/>
    <w:rsid w:val="003212F1"/>
    <w:rsid w:val="003230D4"/>
    <w:rsid w:val="00325B07"/>
    <w:rsid w:val="00327FD5"/>
    <w:rsid w:val="0033402A"/>
    <w:rsid w:val="00334103"/>
    <w:rsid w:val="00334868"/>
    <w:rsid w:val="00340797"/>
    <w:rsid w:val="0034227D"/>
    <w:rsid w:val="003603DA"/>
    <w:rsid w:val="00364677"/>
    <w:rsid w:val="00365B0C"/>
    <w:rsid w:val="00367DBB"/>
    <w:rsid w:val="00375785"/>
    <w:rsid w:val="00384DD9"/>
    <w:rsid w:val="0039348C"/>
    <w:rsid w:val="00396383"/>
    <w:rsid w:val="003A01DC"/>
    <w:rsid w:val="003A0387"/>
    <w:rsid w:val="003A5493"/>
    <w:rsid w:val="003A5F2E"/>
    <w:rsid w:val="003B6A0D"/>
    <w:rsid w:val="003C5CB2"/>
    <w:rsid w:val="003D3A42"/>
    <w:rsid w:val="003E1A42"/>
    <w:rsid w:val="003F218F"/>
    <w:rsid w:val="00406816"/>
    <w:rsid w:val="0041258D"/>
    <w:rsid w:val="00422D6D"/>
    <w:rsid w:val="00455775"/>
    <w:rsid w:val="004604A8"/>
    <w:rsid w:val="0046788C"/>
    <w:rsid w:val="00480990"/>
    <w:rsid w:val="00492691"/>
    <w:rsid w:val="004A0D7A"/>
    <w:rsid w:val="004B7B78"/>
    <w:rsid w:val="004C3152"/>
    <w:rsid w:val="005146D7"/>
    <w:rsid w:val="005201CC"/>
    <w:rsid w:val="00525573"/>
    <w:rsid w:val="005360FE"/>
    <w:rsid w:val="00541EC8"/>
    <w:rsid w:val="00542E7D"/>
    <w:rsid w:val="00553CEF"/>
    <w:rsid w:val="00561605"/>
    <w:rsid w:val="005714E9"/>
    <w:rsid w:val="005812A0"/>
    <w:rsid w:val="005826B2"/>
    <w:rsid w:val="00583EDE"/>
    <w:rsid w:val="00591687"/>
    <w:rsid w:val="00593F54"/>
    <w:rsid w:val="00595E73"/>
    <w:rsid w:val="005A25E3"/>
    <w:rsid w:val="005C5608"/>
    <w:rsid w:val="005D2883"/>
    <w:rsid w:val="005D30C7"/>
    <w:rsid w:val="005E4890"/>
    <w:rsid w:val="005F25C2"/>
    <w:rsid w:val="005F29F7"/>
    <w:rsid w:val="005F6624"/>
    <w:rsid w:val="006024AF"/>
    <w:rsid w:val="00603087"/>
    <w:rsid w:val="006127A9"/>
    <w:rsid w:val="00616BF9"/>
    <w:rsid w:val="0062020B"/>
    <w:rsid w:val="00621240"/>
    <w:rsid w:val="00630FE7"/>
    <w:rsid w:val="006347E2"/>
    <w:rsid w:val="00636E96"/>
    <w:rsid w:val="006403C6"/>
    <w:rsid w:val="0065530F"/>
    <w:rsid w:val="0066297C"/>
    <w:rsid w:val="0066581F"/>
    <w:rsid w:val="00670F70"/>
    <w:rsid w:val="0068534C"/>
    <w:rsid w:val="006A1145"/>
    <w:rsid w:val="006A21BE"/>
    <w:rsid w:val="006A4458"/>
    <w:rsid w:val="006A77DC"/>
    <w:rsid w:val="006B0093"/>
    <w:rsid w:val="006C4AF4"/>
    <w:rsid w:val="006D2D08"/>
    <w:rsid w:val="006E4BC6"/>
    <w:rsid w:val="006E5542"/>
    <w:rsid w:val="006E6772"/>
    <w:rsid w:val="006E7F89"/>
    <w:rsid w:val="00704B69"/>
    <w:rsid w:val="00710E0C"/>
    <w:rsid w:val="007210A2"/>
    <w:rsid w:val="007469FE"/>
    <w:rsid w:val="00753817"/>
    <w:rsid w:val="00762D04"/>
    <w:rsid w:val="00775A5E"/>
    <w:rsid w:val="007805F0"/>
    <w:rsid w:val="007813B1"/>
    <w:rsid w:val="007847F1"/>
    <w:rsid w:val="00797289"/>
    <w:rsid w:val="007A2AD5"/>
    <w:rsid w:val="007A69AB"/>
    <w:rsid w:val="007B17B6"/>
    <w:rsid w:val="007B5FF0"/>
    <w:rsid w:val="007B626F"/>
    <w:rsid w:val="007B7DD7"/>
    <w:rsid w:val="007C3CF1"/>
    <w:rsid w:val="007D298C"/>
    <w:rsid w:val="007D2CC8"/>
    <w:rsid w:val="007D7D1A"/>
    <w:rsid w:val="007E67C3"/>
    <w:rsid w:val="007E7784"/>
    <w:rsid w:val="007F1223"/>
    <w:rsid w:val="007F3893"/>
    <w:rsid w:val="0080222C"/>
    <w:rsid w:val="008112A0"/>
    <w:rsid w:val="00832727"/>
    <w:rsid w:val="008604F5"/>
    <w:rsid w:val="0086631A"/>
    <w:rsid w:val="00882AD4"/>
    <w:rsid w:val="008919CB"/>
    <w:rsid w:val="008931E2"/>
    <w:rsid w:val="008937B1"/>
    <w:rsid w:val="008A3D31"/>
    <w:rsid w:val="008C3CDE"/>
    <w:rsid w:val="008D2D41"/>
    <w:rsid w:val="008D5668"/>
    <w:rsid w:val="008D779F"/>
    <w:rsid w:val="008E2F87"/>
    <w:rsid w:val="008F2272"/>
    <w:rsid w:val="008F2F01"/>
    <w:rsid w:val="009026F6"/>
    <w:rsid w:val="00903BC2"/>
    <w:rsid w:val="00905FD3"/>
    <w:rsid w:val="00906877"/>
    <w:rsid w:val="009140C0"/>
    <w:rsid w:val="00920BF6"/>
    <w:rsid w:val="0092396D"/>
    <w:rsid w:val="00933BEC"/>
    <w:rsid w:val="00944FF2"/>
    <w:rsid w:val="00955133"/>
    <w:rsid w:val="0096181F"/>
    <w:rsid w:val="00964D64"/>
    <w:rsid w:val="009660FC"/>
    <w:rsid w:val="00967826"/>
    <w:rsid w:val="00984062"/>
    <w:rsid w:val="00986929"/>
    <w:rsid w:val="0099275F"/>
    <w:rsid w:val="009944D8"/>
    <w:rsid w:val="009971FE"/>
    <w:rsid w:val="009A3298"/>
    <w:rsid w:val="009B1C28"/>
    <w:rsid w:val="009C431A"/>
    <w:rsid w:val="009C4E27"/>
    <w:rsid w:val="009C7623"/>
    <w:rsid w:val="009D2843"/>
    <w:rsid w:val="009D3764"/>
    <w:rsid w:val="009E1680"/>
    <w:rsid w:val="009E1758"/>
    <w:rsid w:val="009F3739"/>
    <w:rsid w:val="009F4535"/>
    <w:rsid w:val="009F6B8D"/>
    <w:rsid w:val="009F6C4E"/>
    <w:rsid w:val="009F6FA6"/>
    <w:rsid w:val="00A02818"/>
    <w:rsid w:val="00A20250"/>
    <w:rsid w:val="00A2043F"/>
    <w:rsid w:val="00A26D91"/>
    <w:rsid w:val="00A30B21"/>
    <w:rsid w:val="00A40A00"/>
    <w:rsid w:val="00A43D53"/>
    <w:rsid w:val="00A46DAB"/>
    <w:rsid w:val="00A4737C"/>
    <w:rsid w:val="00A51604"/>
    <w:rsid w:val="00A51FDC"/>
    <w:rsid w:val="00A5250B"/>
    <w:rsid w:val="00A666F4"/>
    <w:rsid w:val="00A72267"/>
    <w:rsid w:val="00A73EF8"/>
    <w:rsid w:val="00A74174"/>
    <w:rsid w:val="00A75D86"/>
    <w:rsid w:val="00A77683"/>
    <w:rsid w:val="00A901F3"/>
    <w:rsid w:val="00AA343F"/>
    <w:rsid w:val="00AA7773"/>
    <w:rsid w:val="00AB5EE6"/>
    <w:rsid w:val="00AC7681"/>
    <w:rsid w:val="00AD2BA6"/>
    <w:rsid w:val="00AE5F2D"/>
    <w:rsid w:val="00AF01C7"/>
    <w:rsid w:val="00AF150D"/>
    <w:rsid w:val="00AF428B"/>
    <w:rsid w:val="00B13349"/>
    <w:rsid w:val="00B25D15"/>
    <w:rsid w:val="00B26BB8"/>
    <w:rsid w:val="00B51C8F"/>
    <w:rsid w:val="00B51D4A"/>
    <w:rsid w:val="00B54247"/>
    <w:rsid w:val="00B61323"/>
    <w:rsid w:val="00B82B37"/>
    <w:rsid w:val="00B9356F"/>
    <w:rsid w:val="00B94AAD"/>
    <w:rsid w:val="00BC4B23"/>
    <w:rsid w:val="00BD1B86"/>
    <w:rsid w:val="00BF14DC"/>
    <w:rsid w:val="00BF564A"/>
    <w:rsid w:val="00C01BDE"/>
    <w:rsid w:val="00C04902"/>
    <w:rsid w:val="00C11A79"/>
    <w:rsid w:val="00C56FD6"/>
    <w:rsid w:val="00C93249"/>
    <w:rsid w:val="00C94FDE"/>
    <w:rsid w:val="00CB4E07"/>
    <w:rsid w:val="00CC6F87"/>
    <w:rsid w:val="00CD3CD8"/>
    <w:rsid w:val="00CD79B8"/>
    <w:rsid w:val="00CF04B1"/>
    <w:rsid w:val="00CF3E5F"/>
    <w:rsid w:val="00D02263"/>
    <w:rsid w:val="00D029D7"/>
    <w:rsid w:val="00D04455"/>
    <w:rsid w:val="00D07DD4"/>
    <w:rsid w:val="00D46FBC"/>
    <w:rsid w:val="00D5015B"/>
    <w:rsid w:val="00D605D3"/>
    <w:rsid w:val="00D8275D"/>
    <w:rsid w:val="00D94434"/>
    <w:rsid w:val="00DA1256"/>
    <w:rsid w:val="00DA2376"/>
    <w:rsid w:val="00DA55A6"/>
    <w:rsid w:val="00DA5830"/>
    <w:rsid w:val="00DB0C20"/>
    <w:rsid w:val="00DC02E3"/>
    <w:rsid w:val="00DC2548"/>
    <w:rsid w:val="00DC37AA"/>
    <w:rsid w:val="00DC3CFA"/>
    <w:rsid w:val="00DD1BA7"/>
    <w:rsid w:val="00DD228D"/>
    <w:rsid w:val="00DD2612"/>
    <w:rsid w:val="00DD44E0"/>
    <w:rsid w:val="00DE3CC8"/>
    <w:rsid w:val="00DF201C"/>
    <w:rsid w:val="00DF26C0"/>
    <w:rsid w:val="00DF52E0"/>
    <w:rsid w:val="00DF5F4B"/>
    <w:rsid w:val="00DF7D5E"/>
    <w:rsid w:val="00E05941"/>
    <w:rsid w:val="00E117AA"/>
    <w:rsid w:val="00E1644D"/>
    <w:rsid w:val="00E21429"/>
    <w:rsid w:val="00E2362A"/>
    <w:rsid w:val="00E26423"/>
    <w:rsid w:val="00E31C29"/>
    <w:rsid w:val="00E40343"/>
    <w:rsid w:val="00E40EE3"/>
    <w:rsid w:val="00E4187A"/>
    <w:rsid w:val="00E5035A"/>
    <w:rsid w:val="00E55D97"/>
    <w:rsid w:val="00E62E6F"/>
    <w:rsid w:val="00E75263"/>
    <w:rsid w:val="00E805D2"/>
    <w:rsid w:val="00E903A8"/>
    <w:rsid w:val="00E9702E"/>
    <w:rsid w:val="00EB4FC8"/>
    <w:rsid w:val="00EC26F2"/>
    <w:rsid w:val="00EC2ECA"/>
    <w:rsid w:val="00ED1EF3"/>
    <w:rsid w:val="00ED4D59"/>
    <w:rsid w:val="00EE4EB2"/>
    <w:rsid w:val="00EF1111"/>
    <w:rsid w:val="00EF2215"/>
    <w:rsid w:val="00F0710D"/>
    <w:rsid w:val="00F14D6C"/>
    <w:rsid w:val="00F33020"/>
    <w:rsid w:val="00F335C3"/>
    <w:rsid w:val="00F456B9"/>
    <w:rsid w:val="00F46F48"/>
    <w:rsid w:val="00F7090D"/>
    <w:rsid w:val="00F70CDF"/>
    <w:rsid w:val="00F75F79"/>
    <w:rsid w:val="00F9408E"/>
    <w:rsid w:val="00FA3159"/>
    <w:rsid w:val="00FA3404"/>
    <w:rsid w:val="00FA40F7"/>
    <w:rsid w:val="00FA4F4A"/>
    <w:rsid w:val="00FA5E10"/>
    <w:rsid w:val="00FB3C4A"/>
    <w:rsid w:val="00FC1381"/>
    <w:rsid w:val="00FC2C8D"/>
    <w:rsid w:val="00FC3105"/>
    <w:rsid w:val="00FD0ACC"/>
    <w:rsid w:val="00FE214D"/>
    <w:rsid w:val="00FE2A23"/>
    <w:rsid w:val="00FE5744"/>
    <w:rsid w:val="00FE5DAE"/>
    <w:rsid w:val="00FF4F43"/>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6"/>
    <w:pPr>
      <w:spacing w:after="200" w:line="276" w:lineRule="auto"/>
    </w:pPr>
    <w:rPr>
      <w:rFonts w:cstheme="minorBidi"/>
      <w:szCs w:val="22"/>
    </w:rPr>
  </w:style>
  <w:style w:type="paragraph" w:styleId="Heading2">
    <w:name w:val="heading 2"/>
    <w:basedOn w:val="Normal"/>
    <w:next w:val="Normal"/>
    <w:link w:val="Heading2Char"/>
    <w:uiPriority w:val="9"/>
    <w:semiHidden/>
    <w:unhideWhenUsed/>
    <w:qFormat/>
    <w:rsid w:val="00802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E5542"/>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nhideWhenUsed/>
    <w:rsid w:val="007847F1"/>
    <w:rPr>
      <w:sz w:val="16"/>
      <w:szCs w:val="16"/>
    </w:rPr>
  </w:style>
  <w:style w:type="paragraph" w:styleId="CommentText">
    <w:name w:val="annotation text"/>
    <w:basedOn w:val="Normal"/>
    <w:link w:val="CommentTextChar"/>
    <w:unhideWhenUsed/>
    <w:rsid w:val="007847F1"/>
    <w:pPr>
      <w:spacing w:line="240" w:lineRule="auto"/>
    </w:pPr>
    <w:rPr>
      <w:sz w:val="20"/>
      <w:szCs w:val="20"/>
    </w:rPr>
  </w:style>
  <w:style w:type="character" w:customStyle="1" w:styleId="CommentTextChar">
    <w:name w:val="Comment Text Char"/>
    <w:basedOn w:val="DefaultParagraphFont"/>
    <w:link w:val="CommentText"/>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styleId="UnresolvedMention">
    <w:name w:val="Unresolved Mention"/>
    <w:basedOn w:val="DefaultParagraphFont"/>
    <w:uiPriority w:val="99"/>
    <w:semiHidden/>
    <w:unhideWhenUsed/>
    <w:rsid w:val="009026F6"/>
    <w:rPr>
      <w:color w:val="605E5C"/>
      <w:shd w:val="clear" w:color="auto" w:fill="E1DFDD"/>
    </w:rPr>
  </w:style>
  <w:style w:type="character" w:styleId="FollowedHyperlink">
    <w:name w:val="FollowedHyperlink"/>
    <w:basedOn w:val="DefaultParagraphFont"/>
    <w:uiPriority w:val="99"/>
    <w:semiHidden/>
    <w:unhideWhenUsed/>
    <w:rsid w:val="00B54247"/>
    <w:rPr>
      <w:color w:val="954F72" w:themeColor="followedHyperlink"/>
      <w:u w:val="single"/>
    </w:rPr>
  </w:style>
  <w:style w:type="character" w:customStyle="1" w:styleId="Heading4Char">
    <w:name w:val="Heading 4 Char"/>
    <w:basedOn w:val="DefaultParagraphFont"/>
    <w:link w:val="Heading4"/>
    <w:uiPriority w:val="9"/>
    <w:rsid w:val="006E5542"/>
    <w:rPr>
      <w:rFonts w:eastAsia="Times New Roman"/>
      <w:b/>
      <w:bCs/>
      <w:lang w:eastAsia="en-AU"/>
    </w:rPr>
  </w:style>
  <w:style w:type="character" w:styleId="Emphasis">
    <w:name w:val="Emphasis"/>
    <w:basedOn w:val="DefaultParagraphFont"/>
    <w:uiPriority w:val="20"/>
    <w:qFormat/>
    <w:rsid w:val="006E5542"/>
    <w:rPr>
      <w:i/>
      <w:iCs/>
    </w:rPr>
  </w:style>
  <w:style w:type="paragraph" w:styleId="NormalWeb">
    <w:name w:val="Normal (Web)"/>
    <w:basedOn w:val="Normal"/>
    <w:uiPriority w:val="99"/>
    <w:unhideWhenUsed/>
    <w:rsid w:val="006E5542"/>
    <w:pPr>
      <w:spacing w:before="100" w:beforeAutospacing="1" w:after="100" w:afterAutospacing="1" w:line="240" w:lineRule="auto"/>
    </w:pPr>
    <w:rPr>
      <w:rFonts w:eastAsia="Times New Roman" w:cs="Times New Roman"/>
      <w:szCs w:val="24"/>
      <w:lang w:eastAsia="en-AU"/>
    </w:rPr>
  </w:style>
  <w:style w:type="paragraph" w:customStyle="1" w:styleId="TableText">
    <w:name w:val="TableText"/>
    <w:basedOn w:val="Normal"/>
    <w:qFormat/>
    <w:rsid w:val="009E1680"/>
    <w:pPr>
      <w:spacing w:before="120" w:after="120" w:line="240" w:lineRule="auto"/>
    </w:pPr>
    <w:rPr>
      <w:rFonts w:ascii="Century Gothic" w:eastAsiaTheme="majorEastAsia" w:hAnsi="Century Gothic" w:cs="Arial"/>
      <w:bCs/>
      <w:sz w:val="20"/>
      <w:szCs w:val="20"/>
    </w:rPr>
  </w:style>
  <w:style w:type="character" w:customStyle="1" w:styleId="Heading2Char">
    <w:name w:val="Heading 2 Char"/>
    <w:basedOn w:val="DefaultParagraphFont"/>
    <w:link w:val="Heading2"/>
    <w:uiPriority w:val="9"/>
    <w:semiHidden/>
    <w:rsid w:val="0080222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275D"/>
    <w:pPr>
      <w:spacing w:after="0" w:line="240" w:lineRule="auto"/>
    </w:pPr>
    <w:rPr>
      <w:rFonts w:cstheme="minorBidi"/>
      <w:szCs w:val="22"/>
    </w:rPr>
  </w:style>
  <w:style w:type="paragraph" w:customStyle="1" w:styleId="ItemHead">
    <w:name w:val="ItemHead"/>
    <w:aliases w:val="ih"/>
    <w:basedOn w:val="Normal"/>
    <w:next w:val="Normal"/>
    <w:rsid w:val="00561605"/>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BoxNote">
    <w:name w:val="BoxNote"/>
    <w:aliases w:val="bn"/>
    <w:basedOn w:val="Normal"/>
    <w:qFormat/>
    <w:rsid w:val="000A665E"/>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szCs w:val="20"/>
      <w:lang w:eastAsia="en-AU"/>
    </w:rPr>
  </w:style>
  <w:style w:type="paragraph" w:styleId="Footer">
    <w:name w:val="footer"/>
    <w:basedOn w:val="Normal"/>
    <w:link w:val="FooterChar"/>
    <w:uiPriority w:val="99"/>
    <w:unhideWhenUsed/>
    <w:rsid w:val="0034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79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20689">
      <w:bodyDiv w:val="1"/>
      <w:marLeft w:val="0"/>
      <w:marRight w:val="0"/>
      <w:marTop w:val="0"/>
      <w:marBottom w:val="0"/>
      <w:divBdr>
        <w:top w:val="none" w:sz="0" w:space="0" w:color="auto"/>
        <w:left w:val="none" w:sz="0" w:space="0" w:color="auto"/>
        <w:bottom w:val="none" w:sz="0" w:space="0" w:color="auto"/>
        <w:right w:val="none" w:sz="0" w:space="0" w:color="auto"/>
      </w:divBdr>
    </w:div>
    <w:div w:id="190535312">
      <w:bodyDiv w:val="1"/>
      <w:marLeft w:val="0"/>
      <w:marRight w:val="0"/>
      <w:marTop w:val="0"/>
      <w:marBottom w:val="0"/>
      <w:divBdr>
        <w:top w:val="none" w:sz="0" w:space="0" w:color="auto"/>
        <w:left w:val="none" w:sz="0" w:space="0" w:color="auto"/>
        <w:bottom w:val="none" w:sz="0" w:space="0" w:color="auto"/>
        <w:right w:val="none" w:sz="0" w:space="0" w:color="auto"/>
      </w:divBdr>
    </w:div>
    <w:div w:id="195894359">
      <w:bodyDiv w:val="1"/>
      <w:marLeft w:val="0"/>
      <w:marRight w:val="0"/>
      <w:marTop w:val="0"/>
      <w:marBottom w:val="0"/>
      <w:divBdr>
        <w:top w:val="none" w:sz="0" w:space="0" w:color="auto"/>
        <w:left w:val="none" w:sz="0" w:space="0" w:color="auto"/>
        <w:bottom w:val="none" w:sz="0" w:space="0" w:color="auto"/>
        <w:right w:val="none" w:sz="0" w:space="0" w:color="auto"/>
      </w:divBdr>
    </w:div>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342778708">
      <w:bodyDiv w:val="1"/>
      <w:marLeft w:val="0"/>
      <w:marRight w:val="0"/>
      <w:marTop w:val="0"/>
      <w:marBottom w:val="0"/>
      <w:divBdr>
        <w:top w:val="none" w:sz="0" w:space="0" w:color="auto"/>
        <w:left w:val="none" w:sz="0" w:space="0" w:color="auto"/>
        <w:bottom w:val="none" w:sz="0" w:space="0" w:color="auto"/>
        <w:right w:val="none" w:sz="0" w:space="0" w:color="auto"/>
      </w:divBdr>
    </w:div>
    <w:div w:id="491722388">
      <w:bodyDiv w:val="1"/>
      <w:marLeft w:val="0"/>
      <w:marRight w:val="0"/>
      <w:marTop w:val="0"/>
      <w:marBottom w:val="0"/>
      <w:divBdr>
        <w:top w:val="none" w:sz="0" w:space="0" w:color="auto"/>
        <w:left w:val="none" w:sz="0" w:space="0" w:color="auto"/>
        <w:bottom w:val="none" w:sz="0" w:space="0" w:color="auto"/>
        <w:right w:val="none" w:sz="0" w:space="0" w:color="auto"/>
      </w:divBdr>
    </w:div>
    <w:div w:id="831873885">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 w:id="1305697001">
      <w:bodyDiv w:val="1"/>
      <w:marLeft w:val="0"/>
      <w:marRight w:val="0"/>
      <w:marTop w:val="0"/>
      <w:marBottom w:val="0"/>
      <w:divBdr>
        <w:top w:val="none" w:sz="0" w:space="0" w:color="auto"/>
        <w:left w:val="none" w:sz="0" w:space="0" w:color="auto"/>
        <w:bottom w:val="none" w:sz="0" w:space="0" w:color="auto"/>
        <w:right w:val="none" w:sz="0" w:space="0" w:color="auto"/>
      </w:divBdr>
    </w:div>
    <w:div w:id="1650085705">
      <w:bodyDiv w:val="1"/>
      <w:marLeft w:val="0"/>
      <w:marRight w:val="0"/>
      <w:marTop w:val="0"/>
      <w:marBottom w:val="0"/>
      <w:divBdr>
        <w:top w:val="none" w:sz="0" w:space="0" w:color="auto"/>
        <w:left w:val="none" w:sz="0" w:space="0" w:color="auto"/>
        <w:bottom w:val="none" w:sz="0" w:space="0" w:color="auto"/>
        <w:right w:val="none" w:sz="0" w:space="0" w:color="auto"/>
      </w:divBdr>
    </w:div>
    <w:div w:id="1725372096">
      <w:bodyDiv w:val="1"/>
      <w:marLeft w:val="0"/>
      <w:marRight w:val="0"/>
      <w:marTop w:val="0"/>
      <w:marBottom w:val="0"/>
      <w:divBdr>
        <w:top w:val="none" w:sz="0" w:space="0" w:color="auto"/>
        <w:left w:val="none" w:sz="0" w:space="0" w:color="auto"/>
        <w:bottom w:val="none" w:sz="0" w:space="0" w:color="auto"/>
        <w:right w:val="none" w:sz="0" w:space="0" w:color="auto"/>
      </w:divBdr>
    </w:div>
    <w:div w:id="20699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national-pathology-accreditation-scheme/resources" TargetMode="External"/><Relationship Id="rId3" Type="http://schemas.openxmlformats.org/officeDocument/2006/relationships/settings" Target="settings.xml"/><Relationship Id="rId7" Type="http://schemas.openxmlformats.org/officeDocument/2006/relationships/hyperlink" Target="http://www.health.gov.au/npa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afetyandquality.gov.au/national-pathology-accreditation-scheme/resources" TargetMode="External"/><Relationship Id="rId4" Type="http://schemas.openxmlformats.org/officeDocument/2006/relationships/webSettings" Target="webSettings.xml"/><Relationship Id="rId9" Type="http://schemas.openxmlformats.org/officeDocument/2006/relationships/hyperlink" Target="http://www.health.gov.au/npa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PANTIC, Sandra</cp:lastModifiedBy>
  <cp:revision>4</cp:revision>
  <cp:lastPrinted>2022-04-13T04:57:00Z</cp:lastPrinted>
  <dcterms:created xsi:type="dcterms:W3CDTF">2022-04-14T04:16:00Z</dcterms:created>
  <dcterms:modified xsi:type="dcterms:W3CDTF">2022-04-19T03:30:00Z</dcterms:modified>
</cp:coreProperties>
</file>