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DAF3F" w14:textId="77777777" w:rsidR="00C76FB6" w:rsidRPr="00175BC0" w:rsidRDefault="00C76FB6" w:rsidP="00C76FB6">
      <w:pPr>
        <w:rPr>
          <w:sz w:val="28"/>
        </w:rPr>
      </w:pPr>
      <w:r w:rsidRPr="00175BC0">
        <w:rPr>
          <w:noProof/>
          <w:lang w:eastAsia="en-AU"/>
        </w:rPr>
        <w:drawing>
          <wp:inline distT="0" distB="0" distL="0" distR="0" wp14:anchorId="4A0F4104" wp14:editId="463E0F3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608E0F3" w14:textId="77777777" w:rsidR="00C76FB6" w:rsidRPr="00175BC0" w:rsidRDefault="00C76FB6" w:rsidP="00C76FB6">
      <w:pPr>
        <w:rPr>
          <w:sz w:val="19"/>
        </w:rPr>
      </w:pPr>
    </w:p>
    <w:p w14:paraId="0DAA94AF" w14:textId="6FCF251E" w:rsidR="00C76FB6" w:rsidRPr="00175BC0" w:rsidRDefault="0058003D" w:rsidP="00C76FB6">
      <w:pPr>
        <w:pStyle w:val="Title"/>
        <w:spacing w:before="0"/>
        <w:rPr>
          <w:rFonts w:ascii="Times New Roman" w:hAnsi="Times New Roman" w:cs="Times New Roman"/>
        </w:rPr>
      </w:pPr>
      <w:r w:rsidRPr="00175BC0">
        <w:rPr>
          <w:rFonts w:ascii="Times New Roman" w:hAnsi="Times New Roman" w:cs="Times New Roman"/>
        </w:rPr>
        <w:t xml:space="preserve">Health Insurance (Quality Assurance Activity </w:t>
      </w:r>
      <w:r w:rsidRPr="00175BC0">
        <w:rPr>
          <w:rFonts w:ascii="Times New Roman" w:hAnsi="Times New Roman" w:cs="Times New Roman"/>
          <w:i/>
          <w:iCs/>
        </w:rPr>
        <w:t xml:space="preserve">– </w:t>
      </w:r>
      <w:r w:rsidRPr="00175BC0">
        <w:rPr>
          <w:rFonts w:ascii="Times New Roman" w:hAnsi="Times New Roman" w:cs="Times New Roman"/>
          <w:iCs/>
        </w:rPr>
        <w:t xml:space="preserve">Australian and New Zealand Audit of Surgical Mortality) </w:t>
      </w:r>
      <w:r w:rsidR="00C76FB6" w:rsidRPr="00175BC0">
        <w:rPr>
          <w:rFonts w:ascii="Times New Roman" w:hAnsi="Times New Roman" w:cs="Times New Roman"/>
          <w:lang w:val="en-US"/>
        </w:rPr>
        <w:t>Declaration 202</w:t>
      </w:r>
      <w:r w:rsidR="00A35179" w:rsidRPr="00175BC0">
        <w:rPr>
          <w:rFonts w:ascii="Times New Roman" w:hAnsi="Times New Roman" w:cs="Times New Roman"/>
          <w:lang w:val="en-US"/>
        </w:rPr>
        <w:t>2</w:t>
      </w:r>
    </w:p>
    <w:p w14:paraId="6416BF36" w14:textId="76F71FDC" w:rsidR="00C76FB6" w:rsidRPr="00175BC0" w:rsidRDefault="00C76FB6" w:rsidP="00C76FB6">
      <w:pPr>
        <w:pStyle w:val="SignCoverPageStart"/>
        <w:spacing w:before="240"/>
        <w:ind w:right="91"/>
        <w:rPr>
          <w:szCs w:val="22"/>
        </w:rPr>
      </w:pPr>
      <w:r w:rsidRPr="00175BC0">
        <w:rPr>
          <w:szCs w:val="22"/>
        </w:rPr>
        <w:t>I, PAUL KELLY, delegate for the Minister for Health</w:t>
      </w:r>
      <w:r w:rsidR="00485D52" w:rsidRPr="00175BC0">
        <w:rPr>
          <w:szCs w:val="22"/>
        </w:rPr>
        <w:t xml:space="preserve"> and Aged Care</w:t>
      </w:r>
      <w:r w:rsidRPr="00175BC0">
        <w:rPr>
          <w:szCs w:val="22"/>
        </w:rPr>
        <w:t xml:space="preserve">, make the following declaration under </w:t>
      </w:r>
      <w:r w:rsidRPr="00175BC0">
        <w:t xml:space="preserve">section 124X of the </w:t>
      </w:r>
      <w:r w:rsidRPr="00175BC0">
        <w:rPr>
          <w:i/>
        </w:rPr>
        <w:t>Health Insurance Act 1973</w:t>
      </w:r>
      <w:r w:rsidRPr="00175BC0">
        <w:t>.</w:t>
      </w:r>
    </w:p>
    <w:p w14:paraId="57B258F3" w14:textId="5BABE5E7" w:rsidR="00C76FB6" w:rsidRPr="00175BC0" w:rsidRDefault="00C76FB6" w:rsidP="00C76FB6">
      <w:pPr>
        <w:keepNext/>
        <w:spacing w:before="300" w:line="240" w:lineRule="atLeast"/>
        <w:ind w:right="397"/>
        <w:jc w:val="both"/>
        <w:rPr>
          <w:szCs w:val="22"/>
        </w:rPr>
      </w:pPr>
      <w:r w:rsidRPr="00175BC0">
        <w:rPr>
          <w:szCs w:val="22"/>
        </w:rPr>
        <w:t>Date</w:t>
      </w:r>
      <w:r w:rsidR="00E10316" w:rsidRPr="00175BC0">
        <w:rPr>
          <w:szCs w:val="22"/>
        </w:rPr>
        <w:t>d</w:t>
      </w:r>
      <w:r w:rsidR="00357637" w:rsidRPr="00175BC0">
        <w:rPr>
          <w:szCs w:val="22"/>
        </w:rPr>
        <w:t xml:space="preserve"> </w:t>
      </w:r>
      <w:r w:rsidRPr="00175BC0">
        <w:rPr>
          <w:szCs w:val="22"/>
        </w:rPr>
        <w:t xml:space="preserve">  </w:t>
      </w:r>
      <w:r w:rsidR="00357637" w:rsidRPr="00175BC0">
        <w:rPr>
          <w:szCs w:val="22"/>
        </w:rPr>
        <w:t xml:space="preserve">    </w:t>
      </w:r>
      <w:r w:rsidR="00175BC0">
        <w:rPr>
          <w:szCs w:val="22"/>
        </w:rPr>
        <w:t xml:space="preserve">12 </w:t>
      </w:r>
      <w:r w:rsidR="00A35179" w:rsidRPr="00175BC0">
        <w:rPr>
          <w:szCs w:val="22"/>
        </w:rPr>
        <w:t>April</w:t>
      </w:r>
      <w:r w:rsidRPr="00175BC0">
        <w:rPr>
          <w:szCs w:val="22"/>
        </w:rPr>
        <w:t xml:space="preserve"> 202</w:t>
      </w:r>
      <w:r w:rsidR="00A35179" w:rsidRPr="00175BC0">
        <w:rPr>
          <w:szCs w:val="22"/>
        </w:rPr>
        <w:t>2</w:t>
      </w:r>
      <w:r w:rsidRPr="00175BC0">
        <w:rPr>
          <w:szCs w:val="22"/>
        </w:rPr>
        <w:tab/>
      </w:r>
    </w:p>
    <w:p w14:paraId="700B566A" w14:textId="6AC7A734" w:rsidR="00C76FB6" w:rsidRPr="00175BC0" w:rsidRDefault="000B5A9C" w:rsidP="00C76FB6">
      <w:pPr>
        <w:keepNext/>
        <w:tabs>
          <w:tab w:val="left" w:pos="3402"/>
        </w:tabs>
        <w:spacing w:before="1440" w:line="300" w:lineRule="atLeast"/>
        <w:ind w:right="397"/>
        <w:rPr>
          <w:b/>
          <w:szCs w:val="22"/>
        </w:rPr>
      </w:pPr>
      <w:r w:rsidRPr="00175BC0">
        <w:rPr>
          <w:szCs w:val="22"/>
        </w:rPr>
        <w:t>Professor</w:t>
      </w:r>
      <w:r w:rsidR="00C76FB6" w:rsidRPr="00175BC0">
        <w:rPr>
          <w:szCs w:val="22"/>
        </w:rPr>
        <w:t xml:space="preserve"> Paul Kelly</w:t>
      </w:r>
    </w:p>
    <w:p w14:paraId="7DFF0F2C" w14:textId="40E0303A" w:rsidR="00C76FB6" w:rsidRPr="00175BC0" w:rsidRDefault="00C76FB6" w:rsidP="00C76FB6">
      <w:pPr>
        <w:spacing w:line="300" w:lineRule="atLeast"/>
        <w:ind w:right="397"/>
        <w:outlineLvl w:val="0"/>
      </w:pPr>
      <w:r w:rsidRPr="00175BC0">
        <w:t>Chief Medical Officer</w:t>
      </w:r>
    </w:p>
    <w:p w14:paraId="3CF61620" w14:textId="77777777" w:rsidR="00C76FB6" w:rsidRPr="00175BC0" w:rsidRDefault="00C76FB6" w:rsidP="00C76FB6">
      <w:pPr>
        <w:pStyle w:val="SignCoverPageEnd"/>
        <w:ind w:right="91"/>
        <w:rPr>
          <w:sz w:val="22"/>
        </w:rPr>
      </w:pPr>
      <w:r w:rsidRPr="00175BC0">
        <w:rPr>
          <w:sz w:val="22"/>
        </w:rPr>
        <w:t>Department of Health</w:t>
      </w:r>
    </w:p>
    <w:p w14:paraId="47BBAF4D" w14:textId="77777777" w:rsidR="00C76FB6" w:rsidRPr="00175BC0" w:rsidRDefault="00C76FB6" w:rsidP="00C76FB6"/>
    <w:p w14:paraId="06410979" w14:textId="77777777" w:rsidR="00C76FB6" w:rsidRPr="00175BC0" w:rsidRDefault="00C76FB6" w:rsidP="00C76FB6"/>
    <w:p w14:paraId="08151B09" w14:textId="77777777" w:rsidR="00C76FB6" w:rsidRPr="00175BC0" w:rsidRDefault="00C76FB6" w:rsidP="00C76FB6"/>
    <w:p w14:paraId="2CBAE4F7" w14:textId="77777777" w:rsidR="00C76FB6" w:rsidRPr="00175BC0" w:rsidRDefault="00C76FB6" w:rsidP="00C76FB6">
      <w:pPr>
        <w:sectPr w:rsidR="00C76FB6" w:rsidRPr="00175BC0" w:rsidSect="00C76FB6">
          <w:headerReference w:type="even" r:id="rId8"/>
          <w:headerReference w:type="default" r:id="rId9"/>
          <w:footerReference w:type="even" r:id="rId10"/>
          <w:footerReference w:type="default" r:id="rId11"/>
          <w:footerReference w:type="first" r:id="rId12"/>
          <w:pgSz w:w="11907" w:h="16839" w:code="9"/>
          <w:pgMar w:top="1843" w:right="1797" w:bottom="1440" w:left="1797" w:header="720" w:footer="989" w:gutter="0"/>
          <w:pgNumType w:start="1"/>
          <w:cols w:space="708"/>
          <w:titlePg/>
          <w:docGrid w:linePitch="360"/>
        </w:sectPr>
      </w:pPr>
    </w:p>
    <w:p w14:paraId="18EE9027" w14:textId="77777777" w:rsidR="00C76FB6" w:rsidRPr="00175BC0" w:rsidRDefault="00C76FB6" w:rsidP="00C76FB6">
      <w:pPr>
        <w:outlineLvl w:val="0"/>
        <w:rPr>
          <w:noProof/>
          <w:sz w:val="36"/>
        </w:rPr>
      </w:pPr>
      <w:r w:rsidRPr="00175BC0">
        <w:rPr>
          <w:sz w:val="36"/>
        </w:rPr>
        <w:lastRenderedPageBreak/>
        <w:t>Contents</w:t>
      </w:r>
      <w:r w:rsidRPr="00175BC0">
        <w:rPr>
          <w:rFonts w:eastAsia="Times New Roman" w:cs="Times New Roman"/>
          <w:kern w:val="28"/>
          <w:sz w:val="18"/>
          <w:lang w:eastAsia="en-AU"/>
        </w:rPr>
        <w:fldChar w:fldCharType="begin" w:fldLock="1"/>
      </w:r>
      <w:r w:rsidRPr="00175BC0">
        <w:instrText xml:space="preserve"> TOC \o "1-9" </w:instrText>
      </w:r>
      <w:r w:rsidRPr="00175BC0">
        <w:rPr>
          <w:rFonts w:eastAsia="Times New Roman" w:cs="Times New Roman"/>
          <w:kern w:val="28"/>
          <w:sz w:val="18"/>
          <w:lang w:eastAsia="en-AU"/>
        </w:rPr>
        <w:fldChar w:fldCharType="separate"/>
      </w:r>
    </w:p>
    <w:p w14:paraId="131CF965" w14:textId="32FAE330" w:rsidR="00C76FB6" w:rsidRPr="00175BC0" w:rsidRDefault="004F7B25" w:rsidP="00C76FB6">
      <w:pPr>
        <w:pStyle w:val="TOC6"/>
        <w:rPr>
          <w:noProof/>
        </w:rPr>
      </w:pPr>
      <w:r w:rsidRPr="00175BC0">
        <w:rPr>
          <w:noProof/>
        </w:rPr>
        <w:t>Part 1—</w:t>
      </w:r>
      <w:r w:rsidRPr="00175BC0">
        <w:rPr>
          <w:noProof/>
        </w:rPr>
        <w:tab/>
        <w:t xml:space="preserve"> </w:t>
      </w:r>
      <w:r w:rsidR="00C76FB6" w:rsidRPr="00175BC0">
        <w:rPr>
          <w:noProof/>
        </w:rPr>
        <w:t>Preliminary</w:t>
      </w:r>
      <w:r w:rsidR="00C76FB6" w:rsidRPr="00175BC0">
        <w:rPr>
          <w:noProof/>
        </w:rPr>
        <w:tab/>
        <w:t>1</w:t>
      </w:r>
    </w:p>
    <w:p w14:paraId="59984745" w14:textId="77777777" w:rsidR="00C76FB6" w:rsidRPr="00175BC0" w:rsidRDefault="00C76FB6" w:rsidP="00C76FB6">
      <w:pPr>
        <w:pStyle w:val="TOC5"/>
        <w:rPr>
          <w:rFonts w:asciiTheme="minorHAnsi" w:eastAsiaTheme="minorEastAsia" w:hAnsiTheme="minorHAnsi" w:cstheme="minorBidi"/>
          <w:noProof/>
          <w:kern w:val="0"/>
          <w:sz w:val="22"/>
          <w:szCs w:val="22"/>
        </w:rPr>
      </w:pPr>
      <w:r w:rsidRPr="00175BC0">
        <w:rPr>
          <w:noProof/>
        </w:rPr>
        <w:t>1  Name</w:t>
      </w:r>
      <w:r w:rsidRPr="00175BC0">
        <w:rPr>
          <w:noProof/>
        </w:rPr>
        <w:tab/>
      </w:r>
      <w:r w:rsidRPr="00175BC0">
        <w:rPr>
          <w:noProof/>
        </w:rPr>
        <w:fldChar w:fldCharType="begin" w:fldLock="1"/>
      </w:r>
      <w:r w:rsidRPr="00175BC0">
        <w:rPr>
          <w:noProof/>
        </w:rPr>
        <w:instrText xml:space="preserve"> PAGEREF _Toc40440727 \h </w:instrText>
      </w:r>
      <w:r w:rsidRPr="00175BC0">
        <w:rPr>
          <w:noProof/>
        </w:rPr>
      </w:r>
      <w:r w:rsidRPr="00175BC0">
        <w:rPr>
          <w:noProof/>
        </w:rPr>
        <w:fldChar w:fldCharType="separate"/>
      </w:r>
      <w:r w:rsidRPr="00175BC0">
        <w:rPr>
          <w:noProof/>
        </w:rPr>
        <w:t>1</w:t>
      </w:r>
      <w:r w:rsidRPr="00175BC0">
        <w:rPr>
          <w:noProof/>
        </w:rPr>
        <w:fldChar w:fldCharType="end"/>
      </w:r>
    </w:p>
    <w:p w14:paraId="41F30905" w14:textId="77777777" w:rsidR="00C76FB6" w:rsidRPr="00175BC0" w:rsidRDefault="00C76FB6" w:rsidP="00C76FB6">
      <w:pPr>
        <w:pStyle w:val="TOC5"/>
        <w:rPr>
          <w:rFonts w:asciiTheme="minorHAnsi" w:eastAsiaTheme="minorEastAsia" w:hAnsiTheme="minorHAnsi" w:cstheme="minorBidi"/>
          <w:noProof/>
          <w:kern w:val="0"/>
          <w:sz w:val="22"/>
          <w:szCs w:val="22"/>
        </w:rPr>
      </w:pPr>
      <w:r w:rsidRPr="00175BC0">
        <w:rPr>
          <w:noProof/>
        </w:rPr>
        <w:t>2  Commencement</w:t>
      </w:r>
      <w:r w:rsidRPr="00175BC0">
        <w:rPr>
          <w:noProof/>
        </w:rPr>
        <w:tab/>
      </w:r>
      <w:r w:rsidRPr="00175BC0">
        <w:rPr>
          <w:noProof/>
        </w:rPr>
        <w:fldChar w:fldCharType="begin" w:fldLock="1"/>
      </w:r>
      <w:r w:rsidRPr="00175BC0">
        <w:rPr>
          <w:noProof/>
        </w:rPr>
        <w:instrText xml:space="preserve"> PAGEREF _Toc40440728 \h </w:instrText>
      </w:r>
      <w:r w:rsidRPr="00175BC0">
        <w:rPr>
          <w:noProof/>
        </w:rPr>
      </w:r>
      <w:r w:rsidRPr="00175BC0">
        <w:rPr>
          <w:noProof/>
        </w:rPr>
        <w:fldChar w:fldCharType="separate"/>
      </w:r>
      <w:r w:rsidRPr="00175BC0">
        <w:rPr>
          <w:noProof/>
        </w:rPr>
        <w:t>1</w:t>
      </w:r>
      <w:r w:rsidRPr="00175BC0">
        <w:rPr>
          <w:noProof/>
        </w:rPr>
        <w:fldChar w:fldCharType="end"/>
      </w:r>
    </w:p>
    <w:p w14:paraId="23ADCE53" w14:textId="77777777" w:rsidR="00C76FB6" w:rsidRPr="00175BC0" w:rsidRDefault="00C76FB6" w:rsidP="00C76FB6">
      <w:pPr>
        <w:pStyle w:val="TOC5"/>
        <w:rPr>
          <w:rFonts w:asciiTheme="minorHAnsi" w:eastAsiaTheme="minorEastAsia" w:hAnsiTheme="minorHAnsi" w:cstheme="minorBidi"/>
          <w:noProof/>
          <w:kern w:val="0"/>
          <w:sz w:val="22"/>
          <w:szCs w:val="22"/>
        </w:rPr>
      </w:pPr>
      <w:r w:rsidRPr="00175BC0">
        <w:rPr>
          <w:noProof/>
        </w:rPr>
        <w:t>3  Authority</w:t>
      </w:r>
      <w:r w:rsidRPr="00175BC0">
        <w:rPr>
          <w:noProof/>
        </w:rPr>
        <w:tab/>
      </w:r>
      <w:r w:rsidRPr="00175BC0">
        <w:rPr>
          <w:noProof/>
        </w:rPr>
        <w:fldChar w:fldCharType="begin" w:fldLock="1"/>
      </w:r>
      <w:r w:rsidRPr="00175BC0">
        <w:rPr>
          <w:noProof/>
        </w:rPr>
        <w:instrText xml:space="preserve"> PAGEREF _Toc40440729 \h </w:instrText>
      </w:r>
      <w:r w:rsidRPr="00175BC0">
        <w:rPr>
          <w:noProof/>
        </w:rPr>
      </w:r>
      <w:r w:rsidRPr="00175BC0">
        <w:rPr>
          <w:noProof/>
        </w:rPr>
        <w:fldChar w:fldCharType="separate"/>
      </w:r>
      <w:r w:rsidRPr="00175BC0">
        <w:rPr>
          <w:noProof/>
        </w:rPr>
        <w:t>1</w:t>
      </w:r>
      <w:r w:rsidRPr="00175BC0">
        <w:rPr>
          <w:noProof/>
        </w:rPr>
        <w:fldChar w:fldCharType="end"/>
      </w:r>
    </w:p>
    <w:p w14:paraId="5DD100E5" w14:textId="77777777" w:rsidR="00C76FB6" w:rsidRPr="00175BC0" w:rsidRDefault="00C76FB6" w:rsidP="00C76FB6">
      <w:pPr>
        <w:pStyle w:val="TOC5"/>
        <w:rPr>
          <w:noProof/>
        </w:rPr>
      </w:pPr>
      <w:r w:rsidRPr="00175BC0">
        <w:rPr>
          <w:noProof/>
        </w:rPr>
        <w:t xml:space="preserve">4  Repeal </w:t>
      </w:r>
      <w:r w:rsidRPr="00175BC0">
        <w:rPr>
          <w:noProof/>
        </w:rPr>
        <w:tab/>
      </w:r>
      <w:r w:rsidRPr="00175BC0">
        <w:rPr>
          <w:noProof/>
        </w:rPr>
        <w:fldChar w:fldCharType="begin" w:fldLock="1"/>
      </w:r>
      <w:r w:rsidRPr="00175BC0">
        <w:rPr>
          <w:noProof/>
        </w:rPr>
        <w:instrText xml:space="preserve"> PAGEREF _Toc40440730 \h </w:instrText>
      </w:r>
      <w:r w:rsidRPr="00175BC0">
        <w:rPr>
          <w:noProof/>
        </w:rPr>
      </w:r>
      <w:r w:rsidRPr="00175BC0">
        <w:rPr>
          <w:noProof/>
        </w:rPr>
        <w:fldChar w:fldCharType="separate"/>
      </w:r>
      <w:r w:rsidRPr="00175BC0">
        <w:rPr>
          <w:noProof/>
        </w:rPr>
        <w:t>1</w:t>
      </w:r>
      <w:r w:rsidRPr="00175BC0">
        <w:rPr>
          <w:noProof/>
        </w:rPr>
        <w:fldChar w:fldCharType="end"/>
      </w:r>
    </w:p>
    <w:p w14:paraId="361C3A9E" w14:textId="77777777" w:rsidR="00C76FB6" w:rsidRPr="00175BC0" w:rsidRDefault="00C76FB6" w:rsidP="00C76FB6">
      <w:pPr>
        <w:pStyle w:val="TOC5"/>
        <w:rPr>
          <w:rFonts w:asciiTheme="minorHAnsi" w:eastAsiaTheme="minorEastAsia" w:hAnsiTheme="minorHAnsi" w:cstheme="minorBidi"/>
          <w:noProof/>
          <w:kern w:val="0"/>
          <w:sz w:val="22"/>
          <w:szCs w:val="22"/>
        </w:rPr>
      </w:pPr>
      <w:r w:rsidRPr="00175BC0">
        <w:rPr>
          <w:noProof/>
        </w:rPr>
        <w:t>5  Schedule</w:t>
      </w:r>
      <w:r w:rsidRPr="00175BC0">
        <w:rPr>
          <w:noProof/>
        </w:rPr>
        <w:tab/>
      </w:r>
      <w:r w:rsidRPr="00175BC0">
        <w:rPr>
          <w:noProof/>
        </w:rPr>
        <w:fldChar w:fldCharType="begin" w:fldLock="1"/>
      </w:r>
      <w:r w:rsidRPr="00175BC0">
        <w:rPr>
          <w:noProof/>
        </w:rPr>
        <w:instrText xml:space="preserve"> PAGEREF _Toc40440731 \h </w:instrText>
      </w:r>
      <w:r w:rsidRPr="00175BC0">
        <w:rPr>
          <w:noProof/>
        </w:rPr>
      </w:r>
      <w:r w:rsidRPr="00175BC0">
        <w:rPr>
          <w:noProof/>
        </w:rPr>
        <w:fldChar w:fldCharType="separate"/>
      </w:r>
      <w:r w:rsidRPr="00175BC0">
        <w:rPr>
          <w:noProof/>
        </w:rPr>
        <w:t>1</w:t>
      </w:r>
      <w:r w:rsidRPr="00175BC0">
        <w:rPr>
          <w:noProof/>
        </w:rPr>
        <w:fldChar w:fldCharType="end"/>
      </w:r>
    </w:p>
    <w:p w14:paraId="740188AD" w14:textId="5F422667" w:rsidR="00C76FB6" w:rsidRPr="00175BC0" w:rsidRDefault="00C76FB6" w:rsidP="00C76FB6">
      <w:pPr>
        <w:pStyle w:val="TOC6"/>
        <w:rPr>
          <w:noProof/>
        </w:rPr>
      </w:pPr>
      <w:r w:rsidRPr="00175BC0">
        <w:rPr>
          <w:noProof/>
        </w:rPr>
        <w:t xml:space="preserve">Schedule 1— Description of </w:t>
      </w:r>
      <w:r w:rsidR="00634267" w:rsidRPr="00175BC0">
        <w:rPr>
          <w:noProof/>
        </w:rPr>
        <w:t>Q</w:t>
      </w:r>
      <w:r w:rsidRPr="00175BC0">
        <w:rPr>
          <w:noProof/>
        </w:rPr>
        <w:t xml:space="preserve">uality </w:t>
      </w:r>
      <w:r w:rsidR="00634267" w:rsidRPr="00175BC0">
        <w:rPr>
          <w:noProof/>
        </w:rPr>
        <w:t>A</w:t>
      </w:r>
      <w:r w:rsidRPr="00175BC0">
        <w:rPr>
          <w:noProof/>
        </w:rPr>
        <w:t xml:space="preserve">ssurance </w:t>
      </w:r>
      <w:r w:rsidR="00634267" w:rsidRPr="00175BC0">
        <w:rPr>
          <w:noProof/>
        </w:rPr>
        <w:t>A</w:t>
      </w:r>
      <w:r w:rsidRPr="00175BC0">
        <w:rPr>
          <w:noProof/>
        </w:rPr>
        <w:t>ctivity</w:t>
      </w:r>
      <w:r w:rsidRPr="00175BC0">
        <w:rPr>
          <w:noProof/>
        </w:rPr>
        <w:tab/>
      </w:r>
      <w:r w:rsidRPr="00175BC0">
        <w:rPr>
          <w:noProof/>
        </w:rPr>
        <w:fldChar w:fldCharType="begin" w:fldLock="1"/>
      </w:r>
      <w:r w:rsidRPr="00175BC0">
        <w:rPr>
          <w:noProof/>
        </w:rPr>
        <w:instrText xml:space="preserve"> PAGEREF _Toc40440732 \h </w:instrText>
      </w:r>
      <w:r w:rsidRPr="00175BC0">
        <w:rPr>
          <w:noProof/>
        </w:rPr>
      </w:r>
      <w:r w:rsidRPr="00175BC0">
        <w:rPr>
          <w:noProof/>
        </w:rPr>
        <w:fldChar w:fldCharType="separate"/>
      </w:r>
      <w:r w:rsidRPr="00175BC0">
        <w:rPr>
          <w:noProof/>
        </w:rPr>
        <w:t>2</w:t>
      </w:r>
      <w:r w:rsidRPr="00175BC0">
        <w:rPr>
          <w:noProof/>
        </w:rPr>
        <w:fldChar w:fldCharType="end"/>
      </w:r>
    </w:p>
    <w:p w14:paraId="79E54769" w14:textId="77777777" w:rsidR="00C76FB6" w:rsidRPr="00175BC0" w:rsidRDefault="00C76FB6" w:rsidP="00C76FB6">
      <w:pPr>
        <w:pStyle w:val="TOC5"/>
        <w:rPr>
          <w:rFonts w:asciiTheme="minorHAnsi" w:eastAsiaTheme="minorEastAsia" w:hAnsiTheme="minorHAnsi" w:cstheme="minorBidi"/>
          <w:noProof/>
          <w:kern w:val="0"/>
          <w:sz w:val="22"/>
          <w:szCs w:val="22"/>
        </w:rPr>
      </w:pPr>
      <w:r w:rsidRPr="00175BC0">
        <w:rPr>
          <w:noProof/>
        </w:rPr>
        <w:t xml:space="preserve">1  Name of activity </w:t>
      </w:r>
      <w:r w:rsidRPr="00175BC0">
        <w:rPr>
          <w:noProof/>
        </w:rPr>
        <w:tab/>
        <w:t>2</w:t>
      </w:r>
    </w:p>
    <w:p w14:paraId="6BF17D01" w14:textId="77777777" w:rsidR="00C76FB6" w:rsidRPr="00175BC0" w:rsidRDefault="00C76FB6" w:rsidP="00C76FB6">
      <w:pPr>
        <w:pStyle w:val="TOC5"/>
        <w:rPr>
          <w:rFonts w:asciiTheme="minorHAnsi" w:eastAsiaTheme="minorEastAsia" w:hAnsiTheme="minorHAnsi" w:cstheme="minorBidi"/>
          <w:noProof/>
          <w:kern w:val="0"/>
          <w:sz w:val="22"/>
          <w:szCs w:val="22"/>
        </w:rPr>
      </w:pPr>
      <w:r w:rsidRPr="00175BC0">
        <w:rPr>
          <w:noProof/>
        </w:rPr>
        <w:t>2  Description of activity</w:t>
      </w:r>
      <w:r w:rsidRPr="00175BC0">
        <w:rPr>
          <w:noProof/>
        </w:rPr>
        <w:tab/>
        <w:t>2</w:t>
      </w:r>
    </w:p>
    <w:p w14:paraId="2A5584ED" w14:textId="77777777" w:rsidR="00C76FB6" w:rsidRPr="00175BC0" w:rsidRDefault="00C76FB6" w:rsidP="00C76FB6">
      <w:pPr>
        <w:rPr>
          <w:noProof/>
          <w:lang w:eastAsia="en-AU"/>
        </w:rPr>
      </w:pPr>
    </w:p>
    <w:p w14:paraId="2DD951CA" w14:textId="77777777" w:rsidR="00C76FB6" w:rsidRPr="00175BC0" w:rsidRDefault="00C76FB6" w:rsidP="00C76FB6">
      <w:pPr>
        <w:pStyle w:val="TOC5"/>
        <w:ind w:left="0" w:firstLine="0"/>
      </w:pPr>
      <w:r w:rsidRPr="00175BC0">
        <w:fldChar w:fldCharType="end"/>
      </w:r>
    </w:p>
    <w:p w14:paraId="0523761F" w14:textId="77777777" w:rsidR="00C76FB6" w:rsidRPr="00175BC0" w:rsidRDefault="00C76FB6" w:rsidP="00C76FB6">
      <w:pPr>
        <w:outlineLvl w:val="0"/>
        <w:rPr>
          <w:sz w:val="20"/>
        </w:rPr>
      </w:pPr>
    </w:p>
    <w:p w14:paraId="3C773E88" w14:textId="77777777" w:rsidR="00C76FB6" w:rsidRPr="00175BC0" w:rsidRDefault="00C76FB6" w:rsidP="00C76FB6">
      <w:pPr>
        <w:sectPr w:rsidR="00C76FB6" w:rsidRPr="00175BC0" w:rsidSect="0089375A">
          <w:headerReference w:type="even" r:id="rId13"/>
          <w:headerReference w:type="default" r:id="rId14"/>
          <w:footerReference w:type="even" r:id="rId15"/>
          <w:footerReference w:type="default" r:id="rId16"/>
          <w:headerReference w:type="first" r:id="rId17"/>
          <w:pgSz w:w="11907" w:h="16839"/>
          <w:pgMar w:top="2099" w:right="1797" w:bottom="1440" w:left="1797" w:header="720" w:footer="709" w:gutter="0"/>
          <w:pgNumType w:fmt="lowerRoman" w:start="1"/>
          <w:cols w:space="708"/>
          <w:docGrid w:linePitch="360"/>
        </w:sectPr>
      </w:pPr>
    </w:p>
    <w:p w14:paraId="45A6B4E2" w14:textId="77777777" w:rsidR="00C76FB6" w:rsidRPr="00175BC0" w:rsidRDefault="00C76FB6" w:rsidP="00C76FB6">
      <w:pPr>
        <w:pStyle w:val="ActHead6"/>
      </w:pPr>
      <w:bookmarkStart w:id="1" w:name="_Toc40440727"/>
      <w:r w:rsidRPr="00175BC0">
        <w:lastRenderedPageBreak/>
        <w:t>Part 1— Preliminary</w:t>
      </w:r>
    </w:p>
    <w:p w14:paraId="277614E6" w14:textId="5DEB0B19" w:rsidR="00C76FB6" w:rsidRPr="00175BC0" w:rsidRDefault="00C76FB6" w:rsidP="00C76FB6">
      <w:pPr>
        <w:pStyle w:val="ActHead5"/>
      </w:pPr>
      <w:r w:rsidRPr="00175BC0">
        <w:t>1  Name</w:t>
      </w:r>
      <w:bookmarkEnd w:id="1"/>
    </w:p>
    <w:p w14:paraId="780C8A60" w14:textId="78DDCB5A" w:rsidR="00C76FB6" w:rsidRPr="00175BC0" w:rsidRDefault="00C76FB6" w:rsidP="004039CE">
      <w:pPr>
        <w:pStyle w:val="subsection"/>
        <w:tabs>
          <w:tab w:val="clear" w:pos="1021"/>
        </w:tabs>
        <w:ind w:firstLine="0"/>
      </w:pPr>
      <w:r w:rsidRPr="00175BC0">
        <w:t xml:space="preserve">This instrument is the </w:t>
      </w:r>
      <w:bookmarkStart w:id="2" w:name="BKCheck15B_3"/>
      <w:bookmarkEnd w:id="2"/>
      <w:r w:rsidR="0058003D" w:rsidRPr="00175BC0">
        <w:rPr>
          <w:i/>
          <w:iCs/>
        </w:rPr>
        <w:t xml:space="preserve">Health Insurance (Quality Assurance Activity – Australian and New Zealand Audit of Surgical Mortality) </w:t>
      </w:r>
      <w:r w:rsidR="0058003D" w:rsidRPr="00175BC0">
        <w:rPr>
          <w:i/>
          <w:iCs/>
          <w:lang w:val="en-US"/>
        </w:rPr>
        <w:t>Declaration 2022</w:t>
      </w:r>
      <w:r w:rsidRPr="00175BC0">
        <w:rPr>
          <w:i/>
        </w:rPr>
        <w:t>.</w:t>
      </w:r>
    </w:p>
    <w:p w14:paraId="14258861" w14:textId="1BEBE7DF" w:rsidR="00C76FB6" w:rsidRPr="00175BC0" w:rsidRDefault="00C76FB6" w:rsidP="00C76FB6">
      <w:pPr>
        <w:pStyle w:val="ActHead5"/>
      </w:pPr>
      <w:bookmarkStart w:id="3" w:name="_Toc40440728"/>
      <w:r w:rsidRPr="00175BC0">
        <w:t>2  Commencement</w:t>
      </w:r>
      <w:bookmarkEnd w:id="3"/>
    </w:p>
    <w:p w14:paraId="7EED9C52" w14:textId="5476B79D" w:rsidR="00C76FB6" w:rsidRPr="00175BC0" w:rsidRDefault="00C76FB6" w:rsidP="004039CE">
      <w:pPr>
        <w:pStyle w:val="subsection"/>
        <w:tabs>
          <w:tab w:val="clear" w:pos="1021"/>
        </w:tabs>
        <w:ind w:firstLine="0"/>
      </w:pPr>
      <w:r w:rsidRPr="00175BC0">
        <w:t>(1)</w:t>
      </w:r>
      <w:r w:rsidRPr="00175BC0">
        <w:tab/>
        <w:t>Each provision of this instrument specified in column 1 of the table</w:t>
      </w:r>
      <w:r w:rsidR="00BD1AFC" w:rsidRPr="00175BC0">
        <w:t xml:space="preserve"> </w:t>
      </w:r>
      <w:r w:rsidRPr="00175BC0">
        <w:t>commences, or is taken to have commenced, in accordance with column 2 of the table. Any other statement in column 2 has effect according to its terms.</w:t>
      </w:r>
    </w:p>
    <w:p w14:paraId="7C92E0A2" w14:textId="77777777" w:rsidR="00C76FB6" w:rsidRPr="00175BC0" w:rsidRDefault="00C76FB6" w:rsidP="00C76FB6">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76FB6" w:rsidRPr="00175BC0" w14:paraId="5EF81447" w14:textId="77777777" w:rsidTr="00D90F25">
        <w:trPr>
          <w:tblHeader/>
        </w:trPr>
        <w:tc>
          <w:tcPr>
            <w:tcW w:w="8364" w:type="dxa"/>
            <w:gridSpan w:val="3"/>
            <w:tcBorders>
              <w:top w:val="single" w:sz="12" w:space="0" w:color="auto"/>
              <w:bottom w:val="single" w:sz="6" w:space="0" w:color="auto"/>
            </w:tcBorders>
            <w:shd w:val="clear" w:color="auto" w:fill="auto"/>
            <w:hideMark/>
          </w:tcPr>
          <w:p w14:paraId="29C0A7F4" w14:textId="77777777" w:rsidR="00C76FB6" w:rsidRPr="00175BC0" w:rsidRDefault="00C76FB6" w:rsidP="00D90F25">
            <w:pPr>
              <w:pStyle w:val="TableHeading"/>
            </w:pPr>
            <w:r w:rsidRPr="00175BC0">
              <w:t>Commencement information</w:t>
            </w:r>
          </w:p>
        </w:tc>
      </w:tr>
      <w:tr w:rsidR="00C76FB6" w:rsidRPr="00175BC0" w14:paraId="0457BF16" w14:textId="77777777" w:rsidTr="00D90F25">
        <w:trPr>
          <w:tblHeader/>
        </w:trPr>
        <w:tc>
          <w:tcPr>
            <w:tcW w:w="2127" w:type="dxa"/>
            <w:tcBorders>
              <w:top w:val="single" w:sz="6" w:space="0" w:color="auto"/>
              <w:bottom w:val="single" w:sz="6" w:space="0" w:color="auto"/>
            </w:tcBorders>
            <w:shd w:val="clear" w:color="auto" w:fill="auto"/>
            <w:hideMark/>
          </w:tcPr>
          <w:p w14:paraId="6E2EE36C" w14:textId="77777777" w:rsidR="00C76FB6" w:rsidRPr="00175BC0" w:rsidRDefault="00C76FB6" w:rsidP="00D90F25">
            <w:pPr>
              <w:pStyle w:val="TableHeading"/>
            </w:pPr>
            <w:r w:rsidRPr="00175BC0">
              <w:t>Column 1</w:t>
            </w:r>
          </w:p>
        </w:tc>
        <w:tc>
          <w:tcPr>
            <w:tcW w:w="4394" w:type="dxa"/>
            <w:tcBorders>
              <w:top w:val="single" w:sz="6" w:space="0" w:color="auto"/>
              <w:bottom w:val="single" w:sz="6" w:space="0" w:color="auto"/>
            </w:tcBorders>
            <w:shd w:val="clear" w:color="auto" w:fill="auto"/>
            <w:hideMark/>
          </w:tcPr>
          <w:p w14:paraId="17D79B33" w14:textId="77777777" w:rsidR="00C76FB6" w:rsidRPr="00175BC0" w:rsidRDefault="00C76FB6" w:rsidP="00D90F25">
            <w:pPr>
              <w:pStyle w:val="TableHeading"/>
            </w:pPr>
            <w:r w:rsidRPr="00175BC0">
              <w:t>Column 2</w:t>
            </w:r>
          </w:p>
        </w:tc>
        <w:tc>
          <w:tcPr>
            <w:tcW w:w="1843" w:type="dxa"/>
            <w:tcBorders>
              <w:top w:val="single" w:sz="6" w:space="0" w:color="auto"/>
              <w:bottom w:val="single" w:sz="6" w:space="0" w:color="auto"/>
            </w:tcBorders>
            <w:shd w:val="clear" w:color="auto" w:fill="auto"/>
            <w:hideMark/>
          </w:tcPr>
          <w:p w14:paraId="4569BBD5" w14:textId="77777777" w:rsidR="00C76FB6" w:rsidRPr="00175BC0" w:rsidRDefault="00C76FB6" w:rsidP="00D90F25">
            <w:pPr>
              <w:pStyle w:val="TableHeading"/>
            </w:pPr>
            <w:r w:rsidRPr="00175BC0">
              <w:t>Column 3</w:t>
            </w:r>
          </w:p>
        </w:tc>
      </w:tr>
      <w:tr w:rsidR="00C76FB6" w:rsidRPr="00175BC0" w14:paraId="198AF4ED" w14:textId="77777777" w:rsidTr="00D90F25">
        <w:trPr>
          <w:tblHeader/>
        </w:trPr>
        <w:tc>
          <w:tcPr>
            <w:tcW w:w="2127" w:type="dxa"/>
            <w:tcBorders>
              <w:top w:val="single" w:sz="6" w:space="0" w:color="auto"/>
              <w:bottom w:val="single" w:sz="12" w:space="0" w:color="auto"/>
            </w:tcBorders>
            <w:shd w:val="clear" w:color="auto" w:fill="auto"/>
            <w:hideMark/>
          </w:tcPr>
          <w:p w14:paraId="354A6744" w14:textId="77777777" w:rsidR="00C76FB6" w:rsidRPr="00175BC0" w:rsidRDefault="00C76FB6" w:rsidP="00D90F25">
            <w:pPr>
              <w:pStyle w:val="TableHeading"/>
            </w:pPr>
            <w:r w:rsidRPr="00175BC0">
              <w:t>Provisions</w:t>
            </w:r>
          </w:p>
        </w:tc>
        <w:tc>
          <w:tcPr>
            <w:tcW w:w="4394" w:type="dxa"/>
            <w:tcBorders>
              <w:top w:val="single" w:sz="6" w:space="0" w:color="auto"/>
              <w:bottom w:val="single" w:sz="12" w:space="0" w:color="auto"/>
            </w:tcBorders>
            <w:shd w:val="clear" w:color="auto" w:fill="auto"/>
            <w:hideMark/>
          </w:tcPr>
          <w:p w14:paraId="02685EFE" w14:textId="77777777" w:rsidR="00C76FB6" w:rsidRPr="00175BC0" w:rsidRDefault="00C76FB6" w:rsidP="00D90F25">
            <w:pPr>
              <w:pStyle w:val="TableHeading"/>
            </w:pPr>
            <w:r w:rsidRPr="00175BC0">
              <w:t>Commencement</w:t>
            </w:r>
          </w:p>
        </w:tc>
        <w:tc>
          <w:tcPr>
            <w:tcW w:w="1843" w:type="dxa"/>
            <w:tcBorders>
              <w:top w:val="single" w:sz="6" w:space="0" w:color="auto"/>
              <w:bottom w:val="single" w:sz="12" w:space="0" w:color="auto"/>
            </w:tcBorders>
            <w:shd w:val="clear" w:color="auto" w:fill="auto"/>
            <w:hideMark/>
          </w:tcPr>
          <w:p w14:paraId="7910EE18" w14:textId="77777777" w:rsidR="00C76FB6" w:rsidRPr="00175BC0" w:rsidRDefault="00C76FB6" w:rsidP="00D90F25">
            <w:pPr>
              <w:pStyle w:val="TableHeading"/>
            </w:pPr>
            <w:r w:rsidRPr="00175BC0">
              <w:t>Date/Details</w:t>
            </w:r>
          </w:p>
        </w:tc>
      </w:tr>
      <w:tr w:rsidR="00C76FB6" w:rsidRPr="00175BC0" w14:paraId="5D2919C8" w14:textId="77777777" w:rsidTr="00D90F25">
        <w:tc>
          <w:tcPr>
            <w:tcW w:w="2127" w:type="dxa"/>
            <w:tcBorders>
              <w:top w:val="single" w:sz="12" w:space="0" w:color="auto"/>
              <w:bottom w:val="single" w:sz="12" w:space="0" w:color="auto"/>
            </w:tcBorders>
            <w:shd w:val="clear" w:color="auto" w:fill="auto"/>
            <w:hideMark/>
          </w:tcPr>
          <w:p w14:paraId="02E2E95D" w14:textId="77777777" w:rsidR="00C76FB6" w:rsidRPr="00175BC0" w:rsidRDefault="00C76FB6" w:rsidP="00D90F25">
            <w:pPr>
              <w:pStyle w:val="Tabletext"/>
              <w:rPr>
                <w:i/>
              </w:rPr>
            </w:pPr>
            <w:r w:rsidRPr="00175BC0">
              <w:t>1.  The whole of this instrument</w:t>
            </w:r>
          </w:p>
        </w:tc>
        <w:tc>
          <w:tcPr>
            <w:tcW w:w="4394" w:type="dxa"/>
            <w:tcBorders>
              <w:top w:val="single" w:sz="12" w:space="0" w:color="auto"/>
              <w:bottom w:val="single" w:sz="12" w:space="0" w:color="auto"/>
            </w:tcBorders>
            <w:shd w:val="clear" w:color="auto" w:fill="auto"/>
            <w:hideMark/>
          </w:tcPr>
          <w:p w14:paraId="561F5047" w14:textId="77777777" w:rsidR="00C76FB6" w:rsidRPr="00175BC0" w:rsidRDefault="00C76FB6" w:rsidP="00D90F25">
            <w:pPr>
              <w:pStyle w:val="Tabletext"/>
            </w:pPr>
            <w:r w:rsidRPr="00175BC0">
              <w:t>The day after this instrument is registered.</w:t>
            </w:r>
          </w:p>
        </w:tc>
        <w:tc>
          <w:tcPr>
            <w:tcW w:w="1843" w:type="dxa"/>
            <w:tcBorders>
              <w:top w:val="single" w:sz="12" w:space="0" w:color="auto"/>
              <w:bottom w:val="single" w:sz="12" w:space="0" w:color="auto"/>
            </w:tcBorders>
            <w:shd w:val="clear" w:color="auto" w:fill="auto"/>
          </w:tcPr>
          <w:p w14:paraId="0A57962E" w14:textId="77777777" w:rsidR="00C76FB6" w:rsidRPr="00175BC0" w:rsidRDefault="00C76FB6" w:rsidP="00D90F25">
            <w:pPr>
              <w:pStyle w:val="Tabletext"/>
              <w:rPr>
                <w:i/>
              </w:rPr>
            </w:pPr>
          </w:p>
        </w:tc>
      </w:tr>
    </w:tbl>
    <w:p w14:paraId="0CCEFAE8" w14:textId="77777777" w:rsidR="00C76FB6" w:rsidRPr="00175BC0" w:rsidRDefault="00C76FB6" w:rsidP="004039CE">
      <w:pPr>
        <w:pStyle w:val="notetext"/>
        <w:ind w:left="567" w:hanging="567"/>
      </w:pPr>
      <w:r w:rsidRPr="00175BC0">
        <w:rPr>
          <w:snapToGrid w:val="0"/>
          <w:lang w:eastAsia="en-US"/>
        </w:rPr>
        <w:t>Note:</w:t>
      </w:r>
      <w:r w:rsidRPr="00175BC0">
        <w:rPr>
          <w:snapToGrid w:val="0"/>
          <w:lang w:eastAsia="en-US"/>
        </w:rPr>
        <w:tab/>
        <w:t>This table relates only to the provisions of this instrument</w:t>
      </w:r>
      <w:r w:rsidRPr="00175BC0">
        <w:t xml:space="preserve"> </w:t>
      </w:r>
      <w:r w:rsidRPr="00175BC0">
        <w:rPr>
          <w:snapToGrid w:val="0"/>
          <w:lang w:eastAsia="en-US"/>
        </w:rPr>
        <w:t>as originally made. It will not be amended to deal with any later amendments of this instrument.</w:t>
      </w:r>
    </w:p>
    <w:p w14:paraId="7B7C434F" w14:textId="1A854120" w:rsidR="00C76FB6" w:rsidRPr="00175BC0" w:rsidRDefault="00C76FB6" w:rsidP="004039CE">
      <w:pPr>
        <w:pStyle w:val="subsection"/>
        <w:tabs>
          <w:tab w:val="clear" w:pos="1021"/>
        </w:tabs>
        <w:ind w:firstLine="0"/>
      </w:pPr>
      <w:r w:rsidRPr="00175BC0">
        <w:t>(2)</w:t>
      </w:r>
      <w:r w:rsidRPr="00175BC0">
        <w:tab/>
        <w:t>Any information in column 3 of the table is not part of this instrument. Information may be inserted in this column, or information in it may be edited, in any published version of this instrument.</w:t>
      </w:r>
    </w:p>
    <w:p w14:paraId="692F3445" w14:textId="4A62E9A4" w:rsidR="00C76FB6" w:rsidRPr="00175BC0" w:rsidRDefault="00C76FB6" w:rsidP="00C76FB6">
      <w:pPr>
        <w:pStyle w:val="ActHead5"/>
      </w:pPr>
      <w:bookmarkStart w:id="4" w:name="_Toc40440729"/>
      <w:r w:rsidRPr="00175BC0">
        <w:t>3  Authority</w:t>
      </w:r>
      <w:bookmarkEnd w:id="4"/>
    </w:p>
    <w:p w14:paraId="52F51D99" w14:textId="46F86837" w:rsidR="00C76FB6" w:rsidRPr="00175BC0" w:rsidRDefault="00C76FB6" w:rsidP="004039CE">
      <w:pPr>
        <w:pStyle w:val="subsection"/>
        <w:ind w:firstLine="0"/>
      </w:pPr>
      <w:r w:rsidRPr="00175BC0">
        <w:t xml:space="preserve">This </w:t>
      </w:r>
      <w:r w:rsidR="00AB0879" w:rsidRPr="00175BC0">
        <w:t xml:space="preserve">instrument </w:t>
      </w:r>
      <w:r w:rsidRPr="00175BC0">
        <w:t>is made under subsection 124X(1) of the</w:t>
      </w:r>
      <w:r w:rsidR="007465F3" w:rsidRPr="00175BC0">
        <w:t xml:space="preserve"> </w:t>
      </w:r>
      <w:r w:rsidRPr="00175BC0">
        <w:rPr>
          <w:i/>
        </w:rPr>
        <w:t>Health Insurance Act 1973</w:t>
      </w:r>
      <w:r w:rsidRPr="00175BC0">
        <w:t>.</w:t>
      </w:r>
    </w:p>
    <w:p w14:paraId="207D4AF4" w14:textId="77777777" w:rsidR="00C76FB6" w:rsidRPr="00175BC0" w:rsidRDefault="00C76FB6" w:rsidP="00C76FB6">
      <w:pPr>
        <w:pStyle w:val="ActHead5"/>
      </w:pPr>
      <w:bookmarkStart w:id="5" w:name="_Toc454781205"/>
      <w:bookmarkStart w:id="6" w:name="_Toc40440731"/>
      <w:r w:rsidRPr="00175BC0">
        <w:t>4  Repeal</w:t>
      </w:r>
    </w:p>
    <w:p w14:paraId="01B13A5A" w14:textId="77777777" w:rsidR="00C76FB6" w:rsidRPr="00175BC0" w:rsidRDefault="00C76FB6" w:rsidP="00C76FB6"/>
    <w:p w14:paraId="07183BA8" w14:textId="77777777" w:rsidR="00C76FB6" w:rsidRPr="00175BC0" w:rsidRDefault="00C76FB6" w:rsidP="004039CE">
      <w:pPr>
        <w:ind w:left="1134"/>
      </w:pPr>
      <w:r w:rsidRPr="00175BC0">
        <w:t xml:space="preserve">This instrument is repealed when it ceases to be in force in accordance with subsection 124X(4) of the </w:t>
      </w:r>
      <w:r w:rsidRPr="00175BC0">
        <w:rPr>
          <w:i/>
          <w:iCs/>
        </w:rPr>
        <w:t>Health Insurance Act 1973</w:t>
      </w:r>
      <w:r w:rsidRPr="00175BC0">
        <w:t>.</w:t>
      </w:r>
    </w:p>
    <w:p w14:paraId="47B54EE9" w14:textId="1D8C6D8F" w:rsidR="00C76FB6" w:rsidRPr="00175BC0" w:rsidRDefault="00C76FB6" w:rsidP="00C76FB6">
      <w:pPr>
        <w:pStyle w:val="ActHead5"/>
      </w:pPr>
      <w:r w:rsidRPr="00175BC0">
        <w:t>5  Schedule</w:t>
      </w:r>
      <w:bookmarkEnd w:id="5"/>
      <w:bookmarkEnd w:id="6"/>
    </w:p>
    <w:p w14:paraId="11A117EE" w14:textId="772C380B" w:rsidR="00C76FB6" w:rsidRPr="00175BC0" w:rsidRDefault="00C76FB6" w:rsidP="004039CE">
      <w:pPr>
        <w:pStyle w:val="subsection"/>
        <w:ind w:firstLine="0"/>
      </w:pPr>
      <w:r w:rsidRPr="00175BC0">
        <w:t xml:space="preserve">The quality assurance activity described in the Schedule to this </w:t>
      </w:r>
      <w:r w:rsidR="0086159C" w:rsidRPr="00175BC0">
        <w:t xml:space="preserve">declaration </w:t>
      </w:r>
      <w:r w:rsidRPr="00175BC0">
        <w:t>is, to the extent that the quality assurance activity relates to health services provided in Australia,</w:t>
      </w:r>
      <w:r w:rsidRPr="00175BC0" w:rsidDel="00B91FC9">
        <w:t xml:space="preserve"> </w:t>
      </w:r>
      <w:r w:rsidRPr="00175BC0">
        <w:t xml:space="preserve">declared to be a quality assurance activity to which Part VC of the </w:t>
      </w:r>
      <w:r w:rsidRPr="00175BC0">
        <w:rPr>
          <w:i/>
        </w:rPr>
        <w:t>Health Insurance Act 1973</w:t>
      </w:r>
      <w:r w:rsidRPr="00175BC0">
        <w:t xml:space="preserve"> applies.</w:t>
      </w:r>
    </w:p>
    <w:p w14:paraId="6C1FC11A" w14:textId="77777777" w:rsidR="00C76FB6" w:rsidRPr="00175BC0" w:rsidRDefault="00C76FB6" w:rsidP="00C76FB6">
      <w:pPr>
        <w:pStyle w:val="subsection"/>
      </w:pPr>
    </w:p>
    <w:p w14:paraId="193FF2C4" w14:textId="46D83932" w:rsidR="00C76FB6" w:rsidRPr="00175BC0" w:rsidRDefault="00C76FB6" w:rsidP="00C76FB6">
      <w:pPr>
        <w:spacing w:line="240" w:lineRule="auto"/>
        <w:rPr>
          <w:rFonts w:eastAsia="Times New Roman" w:cs="Times New Roman"/>
          <w:lang w:eastAsia="en-AU"/>
        </w:rPr>
      </w:pPr>
      <w:r w:rsidRPr="00175BC0">
        <w:br w:type="page"/>
      </w:r>
    </w:p>
    <w:p w14:paraId="45510778" w14:textId="25CE4018" w:rsidR="00C76FB6" w:rsidRPr="00175BC0" w:rsidRDefault="00C76FB6" w:rsidP="00C76FB6">
      <w:pPr>
        <w:pStyle w:val="ActHead6"/>
        <w:rPr>
          <w:rFonts w:ascii="Times New Roman" w:hAnsi="Times New Roman"/>
        </w:rPr>
      </w:pPr>
      <w:bookmarkStart w:id="7" w:name="_Toc40440732"/>
      <w:r w:rsidRPr="00175BC0">
        <w:rPr>
          <w:rFonts w:ascii="Times New Roman" w:hAnsi="Times New Roman"/>
        </w:rPr>
        <w:lastRenderedPageBreak/>
        <w:t xml:space="preserve">Schedule 1— Description of </w:t>
      </w:r>
      <w:r w:rsidR="00634267" w:rsidRPr="00175BC0">
        <w:rPr>
          <w:rFonts w:ascii="Times New Roman" w:hAnsi="Times New Roman"/>
        </w:rPr>
        <w:t>Q</w:t>
      </w:r>
      <w:r w:rsidRPr="00175BC0">
        <w:rPr>
          <w:rFonts w:ascii="Times New Roman" w:hAnsi="Times New Roman"/>
        </w:rPr>
        <w:t xml:space="preserve">uality </w:t>
      </w:r>
      <w:r w:rsidR="00634267" w:rsidRPr="00175BC0">
        <w:rPr>
          <w:rFonts w:ascii="Times New Roman" w:hAnsi="Times New Roman"/>
        </w:rPr>
        <w:t>A</w:t>
      </w:r>
      <w:r w:rsidRPr="00175BC0">
        <w:rPr>
          <w:rFonts w:ascii="Times New Roman" w:hAnsi="Times New Roman"/>
        </w:rPr>
        <w:t xml:space="preserve">ssurance </w:t>
      </w:r>
      <w:r w:rsidR="00634267" w:rsidRPr="00175BC0">
        <w:rPr>
          <w:rFonts w:ascii="Times New Roman" w:hAnsi="Times New Roman"/>
        </w:rPr>
        <w:t>A</w:t>
      </w:r>
      <w:r w:rsidRPr="00175BC0">
        <w:rPr>
          <w:rFonts w:ascii="Times New Roman" w:hAnsi="Times New Roman"/>
        </w:rPr>
        <w:t>ctivity</w:t>
      </w:r>
      <w:bookmarkEnd w:id="7"/>
    </w:p>
    <w:p w14:paraId="50985E42" w14:textId="77777777" w:rsidR="00C76FB6" w:rsidRPr="00175BC0" w:rsidRDefault="00C76FB6" w:rsidP="00C76FB6">
      <w:pPr>
        <w:rPr>
          <w:rFonts w:eastAsia="Times New Roman" w:cs="Times New Roman"/>
          <w:b/>
          <w:kern w:val="28"/>
          <w:sz w:val="24"/>
          <w:lang w:eastAsia="en-AU"/>
        </w:rPr>
      </w:pPr>
    </w:p>
    <w:p w14:paraId="0064F7C0" w14:textId="10979EE8" w:rsidR="00C76FB6" w:rsidRPr="00175BC0" w:rsidRDefault="00C76FB6" w:rsidP="00C76FB6">
      <w:pPr>
        <w:rPr>
          <w:rFonts w:eastAsia="Times New Roman" w:cs="Times New Roman"/>
          <w:b/>
          <w:kern w:val="28"/>
          <w:sz w:val="24"/>
          <w:lang w:eastAsia="en-AU"/>
        </w:rPr>
      </w:pPr>
      <w:bookmarkStart w:id="8" w:name="_Toc224716706"/>
      <w:bookmarkStart w:id="9" w:name="_Toc356814665"/>
      <w:bookmarkStart w:id="10" w:name="_Toc211660228"/>
      <w:bookmarkStart w:id="11" w:name="_Toc211660714"/>
      <w:bookmarkStart w:id="12" w:name="_Toc211660883"/>
      <w:bookmarkStart w:id="13" w:name="_Toc211663005"/>
      <w:bookmarkStart w:id="14" w:name="_Toc211663849"/>
      <w:bookmarkStart w:id="15" w:name="_Toc211663876"/>
      <w:bookmarkStart w:id="16" w:name="_Toc211664001"/>
      <w:bookmarkStart w:id="17" w:name="_Toc211664366"/>
      <w:r w:rsidRPr="00175BC0">
        <w:rPr>
          <w:rFonts w:eastAsia="Times New Roman" w:cs="Times New Roman"/>
          <w:b/>
          <w:bCs/>
          <w:kern w:val="28"/>
          <w:sz w:val="24"/>
          <w:lang w:eastAsia="en-AU"/>
        </w:rPr>
        <w:t>1</w:t>
      </w:r>
      <w:r w:rsidR="00143A5C" w:rsidRPr="00175BC0">
        <w:rPr>
          <w:rFonts w:eastAsia="Times New Roman" w:cs="Times New Roman"/>
          <w:b/>
          <w:bCs/>
          <w:kern w:val="28"/>
          <w:sz w:val="24"/>
          <w:lang w:eastAsia="en-AU"/>
        </w:rPr>
        <w:t xml:space="preserve">  </w:t>
      </w:r>
      <w:bookmarkEnd w:id="8"/>
      <w:bookmarkEnd w:id="9"/>
      <w:r w:rsidRPr="00175BC0">
        <w:rPr>
          <w:rFonts w:eastAsia="Times New Roman" w:cs="Times New Roman"/>
          <w:b/>
          <w:bCs/>
          <w:kern w:val="28"/>
          <w:sz w:val="24"/>
          <w:lang w:eastAsia="en-AU"/>
        </w:rPr>
        <w:t>Name of activity</w:t>
      </w:r>
      <w:r w:rsidRPr="00175BC0">
        <w:rPr>
          <w:rFonts w:eastAsia="Times New Roman" w:cs="Times New Roman"/>
          <w:b/>
          <w:bCs/>
          <w:kern w:val="28"/>
          <w:sz w:val="24"/>
          <w:lang w:eastAsia="en-AU"/>
        </w:rPr>
        <w:br/>
      </w:r>
    </w:p>
    <w:p w14:paraId="3C813833" w14:textId="3E3647BD" w:rsidR="00C76FB6" w:rsidRPr="00175BC0" w:rsidRDefault="009B6975" w:rsidP="00CC4443">
      <w:pPr>
        <w:ind w:left="284"/>
        <w:rPr>
          <w:rFonts w:eastAsia="Times New Roman" w:cs="Times New Roman"/>
          <w:kern w:val="28"/>
          <w:szCs w:val="22"/>
          <w:lang w:eastAsia="en-AU"/>
        </w:rPr>
      </w:pPr>
      <w:r w:rsidRPr="00175BC0">
        <w:rPr>
          <w:rFonts w:eastAsia="Times New Roman" w:cs="Times New Roman"/>
          <w:kern w:val="28"/>
          <w:szCs w:val="22"/>
          <w:lang w:eastAsia="en-AU"/>
        </w:rPr>
        <w:t xml:space="preserve">Australian </w:t>
      </w:r>
      <w:r w:rsidR="00CC4443" w:rsidRPr="00175BC0">
        <w:rPr>
          <w:rFonts w:eastAsia="Times New Roman" w:cs="Times New Roman"/>
          <w:bCs/>
          <w:kern w:val="28"/>
          <w:szCs w:val="22"/>
          <w:lang w:val="en-US" w:eastAsia="en-AU"/>
        </w:rPr>
        <w:t>and New Zealand Audit of Surgical Mortality</w:t>
      </w:r>
      <w:r w:rsidR="00CC4443" w:rsidRPr="00175BC0">
        <w:rPr>
          <w:rFonts w:eastAsia="Times New Roman" w:cs="Times New Roman"/>
          <w:kern w:val="28"/>
          <w:szCs w:val="22"/>
          <w:lang w:val="en-US" w:eastAsia="en-AU"/>
        </w:rPr>
        <w:t xml:space="preserve"> </w:t>
      </w:r>
      <w:r w:rsidRPr="00175BC0">
        <w:rPr>
          <w:rFonts w:eastAsia="Times New Roman" w:cs="Times New Roman"/>
          <w:kern w:val="28"/>
          <w:szCs w:val="22"/>
          <w:lang w:val="en-US" w:eastAsia="en-AU"/>
        </w:rPr>
        <w:t>(</w:t>
      </w:r>
      <w:r w:rsidR="00CC4443" w:rsidRPr="00175BC0">
        <w:rPr>
          <w:lang w:val="en-US"/>
        </w:rPr>
        <w:t>ANZASM</w:t>
      </w:r>
      <w:r w:rsidRPr="00175BC0">
        <w:rPr>
          <w:rFonts w:eastAsia="Times New Roman" w:cs="Times New Roman"/>
          <w:kern w:val="28"/>
          <w:szCs w:val="22"/>
          <w:lang w:val="en-US" w:eastAsia="en-AU"/>
        </w:rPr>
        <w:t>)</w:t>
      </w:r>
      <w:r w:rsidR="007E296B" w:rsidRPr="00175BC0">
        <w:rPr>
          <w:rFonts w:eastAsia="Times New Roman" w:cs="Times New Roman"/>
          <w:kern w:val="28"/>
          <w:szCs w:val="22"/>
          <w:lang w:eastAsia="en-AU"/>
        </w:rPr>
        <w:t xml:space="preserve">. </w:t>
      </w:r>
    </w:p>
    <w:p w14:paraId="4455BFE4" w14:textId="77777777" w:rsidR="00C76FB6" w:rsidRPr="00175BC0" w:rsidRDefault="00C76FB6" w:rsidP="00CC4443">
      <w:pPr>
        <w:ind w:left="284"/>
        <w:rPr>
          <w:rFonts w:eastAsia="Times New Roman" w:cs="Times New Roman"/>
          <w:b/>
          <w:kern w:val="28"/>
          <w:sz w:val="24"/>
          <w:lang w:eastAsia="en-AU"/>
        </w:rPr>
      </w:pPr>
    </w:p>
    <w:p w14:paraId="28AF5B02" w14:textId="747D93AF" w:rsidR="00C76FB6" w:rsidRPr="00175BC0" w:rsidRDefault="00C76FB6" w:rsidP="00C76FB6">
      <w:pPr>
        <w:rPr>
          <w:rFonts w:eastAsia="Times New Roman" w:cs="Times New Roman"/>
          <w:b/>
          <w:kern w:val="28"/>
          <w:sz w:val="24"/>
          <w:lang w:eastAsia="en-AU"/>
        </w:rPr>
      </w:pPr>
      <w:r w:rsidRPr="00175BC0">
        <w:rPr>
          <w:rFonts w:eastAsia="Times New Roman" w:cs="Times New Roman"/>
          <w:b/>
          <w:kern w:val="28"/>
          <w:sz w:val="24"/>
          <w:lang w:eastAsia="en-AU"/>
        </w:rPr>
        <w:t>2</w:t>
      </w:r>
      <w:r w:rsidR="00143A5C" w:rsidRPr="00175BC0">
        <w:rPr>
          <w:rFonts w:eastAsia="Times New Roman" w:cs="Times New Roman"/>
          <w:b/>
          <w:kern w:val="28"/>
          <w:sz w:val="24"/>
          <w:lang w:eastAsia="en-AU"/>
        </w:rPr>
        <w:t xml:space="preserve">  </w:t>
      </w:r>
      <w:r w:rsidRPr="00175BC0">
        <w:rPr>
          <w:rFonts w:eastAsia="Times New Roman" w:cs="Times New Roman"/>
          <w:b/>
          <w:kern w:val="28"/>
          <w:sz w:val="24"/>
          <w:lang w:eastAsia="en-AU"/>
        </w:rPr>
        <w:t>Description of activity</w:t>
      </w:r>
    </w:p>
    <w:p w14:paraId="51004713" w14:textId="12B391C0" w:rsidR="00BD4650" w:rsidRPr="00175BC0" w:rsidRDefault="00BD4650" w:rsidP="004039CE">
      <w:pPr>
        <w:autoSpaceDE w:val="0"/>
        <w:autoSpaceDN w:val="0"/>
        <w:spacing w:after="40" w:line="240" w:lineRule="auto"/>
        <w:rPr>
          <w:color w:val="000000"/>
          <w:shd w:val="clear" w:color="auto" w:fill="FFFFFF"/>
        </w:rPr>
      </w:pPr>
      <w:bookmarkStart w:id="18" w:name="_Hlk89872818"/>
      <w:bookmarkEnd w:id="10"/>
      <w:bookmarkEnd w:id="11"/>
      <w:bookmarkEnd w:id="12"/>
      <w:bookmarkEnd w:id="13"/>
      <w:bookmarkEnd w:id="14"/>
      <w:bookmarkEnd w:id="15"/>
      <w:bookmarkEnd w:id="16"/>
      <w:bookmarkEnd w:id="17"/>
    </w:p>
    <w:p w14:paraId="07E7FD3C" w14:textId="77777777" w:rsidR="003B3A98" w:rsidRPr="00175BC0" w:rsidRDefault="003B3A98" w:rsidP="003B3A98">
      <w:pPr>
        <w:autoSpaceDE w:val="0"/>
        <w:autoSpaceDN w:val="0"/>
        <w:spacing w:after="40" w:line="240" w:lineRule="auto"/>
        <w:ind w:left="284"/>
        <w:rPr>
          <w:color w:val="000000"/>
          <w:shd w:val="clear" w:color="auto" w:fill="FFFFFF"/>
        </w:rPr>
      </w:pPr>
      <w:bookmarkStart w:id="19" w:name="_Hlk98938349"/>
      <w:r w:rsidRPr="00175BC0">
        <w:rPr>
          <w:color w:val="000000"/>
          <w:shd w:val="clear" w:color="auto" w:fill="FFFFFF"/>
        </w:rPr>
        <w:t>The ANZASM provides a self-reporting and hospital or health-system based notification of death system for surgeons, anaesthetists and radiologists relating to patient deaths occurring in a hospital where:</w:t>
      </w:r>
    </w:p>
    <w:p w14:paraId="69EA9314" w14:textId="77777777" w:rsidR="003B3A98" w:rsidRPr="00175BC0" w:rsidRDefault="003B3A98" w:rsidP="003B3A98">
      <w:pPr>
        <w:autoSpaceDE w:val="0"/>
        <w:autoSpaceDN w:val="0"/>
        <w:spacing w:after="40" w:line="240" w:lineRule="auto"/>
        <w:ind w:left="567"/>
        <w:rPr>
          <w:color w:val="000000"/>
          <w:shd w:val="clear" w:color="auto" w:fill="FFFFFF"/>
        </w:rPr>
      </w:pPr>
      <w:r w:rsidRPr="00175BC0">
        <w:rPr>
          <w:color w:val="000000"/>
          <w:shd w:val="clear" w:color="auto" w:fill="FFFFFF"/>
        </w:rPr>
        <w:t xml:space="preserve">(a) the patient was under the care of a surgeon (surgical admissions), whether or not an operation was performed; or </w:t>
      </w:r>
    </w:p>
    <w:p w14:paraId="67194D84" w14:textId="77777777" w:rsidR="003B3A98" w:rsidRPr="00175BC0" w:rsidRDefault="003B3A98" w:rsidP="003B3A98">
      <w:pPr>
        <w:autoSpaceDE w:val="0"/>
        <w:autoSpaceDN w:val="0"/>
        <w:spacing w:after="40" w:line="240" w:lineRule="auto"/>
        <w:ind w:left="567"/>
        <w:rPr>
          <w:color w:val="000000"/>
          <w:shd w:val="clear" w:color="auto" w:fill="FFFFFF"/>
        </w:rPr>
      </w:pPr>
      <w:r w:rsidRPr="00175BC0">
        <w:rPr>
          <w:color w:val="000000"/>
          <w:shd w:val="clear" w:color="auto" w:fill="FFFFFF"/>
        </w:rPr>
        <w:t>(b) the patient was under the care of a physician (medical and non-surgical admission) and there was surgical intervention.</w:t>
      </w:r>
    </w:p>
    <w:p w14:paraId="301318CB" w14:textId="77777777" w:rsidR="003B3A98" w:rsidRPr="00175BC0" w:rsidRDefault="003B3A98" w:rsidP="0058003D">
      <w:pPr>
        <w:autoSpaceDE w:val="0"/>
        <w:autoSpaceDN w:val="0"/>
        <w:spacing w:after="40" w:line="240" w:lineRule="auto"/>
        <w:ind w:left="284"/>
        <w:rPr>
          <w:color w:val="000000"/>
          <w:shd w:val="clear" w:color="auto" w:fill="FFFFFF"/>
        </w:rPr>
      </w:pPr>
    </w:p>
    <w:p w14:paraId="645252AD" w14:textId="7C5DA86B" w:rsidR="0058003D" w:rsidRPr="00175BC0" w:rsidRDefault="0058003D" w:rsidP="0058003D">
      <w:pPr>
        <w:autoSpaceDE w:val="0"/>
        <w:autoSpaceDN w:val="0"/>
        <w:spacing w:after="40" w:line="240" w:lineRule="auto"/>
        <w:ind w:left="284"/>
        <w:rPr>
          <w:color w:val="000000"/>
          <w:shd w:val="clear" w:color="auto" w:fill="FFFFFF"/>
        </w:rPr>
      </w:pPr>
      <w:r w:rsidRPr="00175BC0">
        <w:rPr>
          <w:color w:val="000000"/>
          <w:shd w:val="clear" w:color="auto" w:fill="FFFFFF"/>
        </w:rPr>
        <w:t xml:space="preserve">The ANZASM comprises a group of regionally based surgical mortality audits, being the: </w:t>
      </w:r>
    </w:p>
    <w:p w14:paraId="453AAAE9" w14:textId="1A938730" w:rsidR="0058003D" w:rsidRPr="00175BC0" w:rsidRDefault="0058003D" w:rsidP="00A8680E">
      <w:pPr>
        <w:autoSpaceDE w:val="0"/>
        <w:autoSpaceDN w:val="0"/>
        <w:spacing w:after="40" w:line="240" w:lineRule="auto"/>
        <w:ind w:left="567"/>
        <w:rPr>
          <w:color w:val="000000"/>
          <w:shd w:val="clear" w:color="auto" w:fill="FFFFFF"/>
        </w:rPr>
      </w:pPr>
      <w:r w:rsidRPr="00175BC0">
        <w:rPr>
          <w:color w:val="000000"/>
          <w:shd w:val="clear" w:color="auto" w:fill="FFFFFF"/>
        </w:rPr>
        <w:t xml:space="preserve">(a)  </w:t>
      </w:r>
      <w:r w:rsidR="00A8680E" w:rsidRPr="00175BC0">
        <w:rPr>
          <w:color w:val="000000"/>
          <w:shd w:val="clear" w:color="auto" w:fill="FFFFFF"/>
        </w:rPr>
        <w:t>Australian Capital Territory Audit of Surgical Mortality</w:t>
      </w:r>
      <w:r w:rsidRPr="00175BC0">
        <w:rPr>
          <w:color w:val="000000"/>
          <w:shd w:val="clear" w:color="auto" w:fill="FFFFFF"/>
        </w:rPr>
        <w:t xml:space="preserve">; </w:t>
      </w:r>
    </w:p>
    <w:p w14:paraId="0F4BDF02" w14:textId="6732F47C" w:rsidR="00A8680E" w:rsidRPr="00175BC0" w:rsidRDefault="0058003D" w:rsidP="00A8680E">
      <w:pPr>
        <w:autoSpaceDE w:val="0"/>
        <w:autoSpaceDN w:val="0"/>
        <w:spacing w:after="40" w:line="240" w:lineRule="auto"/>
        <w:ind w:left="567"/>
        <w:rPr>
          <w:color w:val="000000"/>
          <w:shd w:val="clear" w:color="auto" w:fill="FFFFFF"/>
        </w:rPr>
      </w:pPr>
      <w:r w:rsidRPr="00175BC0">
        <w:rPr>
          <w:color w:val="000000"/>
          <w:shd w:val="clear" w:color="auto" w:fill="FFFFFF"/>
        </w:rPr>
        <w:t xml:space="preserve">(b)  </w:t>
      </w:r>
      <w:r w:rsidR="0047370E" w:rsidRPr="00175BC0">
        <w:rPr>
          <w:rFonts w:eastAsia="Times New Roman" w:cs="Times New Roman"/>
          <w:kern w:val="28"/>
          <w:szCs w:val="22"/>
          <w:lang w:eastAsia="en-AU"/>
        </w:rPr>
        <w:t xml:space="preserve">New South Wales’ (NSW) </w:t>
      </w:r>
      <w:r w:rsidR="00A8680E" w:rsidRPr="00175BC0">
        <w:rPr>
          <w:color w:val="000000"/>
          <w:shd w:val="clear" w:color="auto" w:fill="FFFFFF"/>
        </w:rPr>
        <w:t>Collaborative Hospitals Audit of Surgical Mortality</w:t>
      </w:r>
      <w:r w:rsidR="0047370E" w:rsidRPr="00175BC0">
        <w:rPr>
          <w:color w:val="000000"/>
          <w:shd w:val="clear" w:color="auto" w:fill="FFFFFF"/>
        </w:rPr>
        <w:t>;</w:t>
      </w:r>
    </w:p>
    <w:p w14:paraId="1536DCCC" w14:textId="71034A24" w:rsidR="0058003D" w:rsidRPr="00175BC0" w:rsidRDefault="0058003D" w:rsidP="00A8680E">
      <w:pPr>
        <w:autoSpaceDE w:val="0"/>
        <w:autoSpaceDN w:val="0"/>
        <w:spacing w:after="40" w:line="240" w:lineRule="auto"/>
        <w:ind w:left="567"/>
        <w:rPr>
          <w:color w:val="000000"/>
          <w:shd w:val="clear" w:color="auto" w:fill="FFFFFF"/>
        </w:rPr>
      </w:pPr>
      <w:r w:rsidRPr="00175BC0">
        <w:rPr>
          <w:color w:val="000000"/>
          <w:shd w:val="clear" w:color="auto" w:fill="FFFFFF"/>
        </w:rPr>
        <w:t xml:space="preserve">(c)  </w:t>
      </w:r>
      <w:r w:rsidR="00A8680E" w:rsidRPr="00175BC0">
        <w:rPr>
          <w:color w:val="000000"/>
          <w:shd w:val="clear" w:color="auto" w:fill="FFFFFF"/>
        </w:rPr>
        <w:t xml:space="preserve">Northern Territory Audit of Surgical Mortality; </w:t>
      </w:r>
    </w:p>
    <w:p w14:paraId="098B2A96" w14:textId="77777777" w:rsidR="00A8680E" w:rsidRPr="00175BC0" w:rsidRDefault="0058003D" w:rsidP="00A8680E">
      <w:pPr>
        <w:autoSpaceDE w:val="0"/>
        <w:autoSpaceDN w:val="0"/>
        <w:spacing w:after="40" w:line="240" w:lineRule="auto"/>
        <w:ind w:left="567"/>
        <w:rPr>
          <w:color w:val="000000"/>
          <w:shd w:val="clear" w:color="auto" w:fill="FFFFFF"/>
        </w:rPr>
      </w:pPr>
      <w:r w:rsidRPr="00175BC0">
        <w:rPr>
          <w:color w:val="000000"/>
          <w:shd w:val="clear" w:color="auto" w:fill="FFFFFF"/>
        </w:rPr>
        <w:t xml:space="preserve">(d)  </w:t>
      </w:r>
      <w:r w:rsidR="00A8680E" w:rsidRPr="00175BC0">
        <w:rPr>
          <w:color w:val="000000"/>
          <w:shd w:val="clear" w:color="auto" w:fill="FFFFFF"/>
        </w:rPr>
        <w:t xml:space="preserve">Queensland Audit of Surgical Mortality; </w:t>
      </w:r>
    </w:p>
    <w:p w14:paraId="19ACE6E0" w14:textId="77777777" w:rsidR="00A8680E" w:rsidRPr="00175BC0" w:rsidRDefault="0058003D" w:rsidP="00A8680E">
      <w:pPr>
        <w:autoSpaceDE w:val="0"/>
        <w:autoSpaceDN w:val="0"/>
        <w:spacing w:after="40" w:line="240" w:lineRule="auto"/>
        <w:ind w:left="567"/>
        <w:rPr>
          <w:color w:val="000000"/>
          <w:shd w:val="clear" w:color="auto" w:fill="FFFFFF"/>
        </w:rPr>
      </w:pPr>
      <w:r w:rsidRPr="00175BC0">
        <w:rPr>
          <w:color w:val="000000"/>
          <w:shd w:val="clear" w:color="auto" w:fill="FFFFFF"/>
        </w:rPr>
        <w:t xml:space="preserve">(e)  </w:t>
      </w:r>
      <w:r w:rsidR="00A8680E" w:rsidRPr="00175BC0">
        <w:rPr>
          <w:color w:val="000000"/>
          <w:shd w:val="clear" w:color="auto" w:fill="FFFFFF"/>
        </w:rPr>
        <w:t xml:space="preserve">South Australian Audit of Surgical Mortality; </w:t>
      </w:r>
    </w:p>
    <w:p w14:paraId="688B0B3C" w14:textId="23E3C96C" w:rsidR="0058003D" w:rsidRPr="00175BC0" w:rsidRDefault="0058003D" w:rsidP="00A8680E">
      <w:pPr>
        <w:autoSpaceDE w:val="0"/>
        <w:autoSpaceDN w:val="0"/>
        <w:spacing w:after="40" w:line="240" w:lineRule="auto"/>
        <w:ind w:left="567"/>
        <w:rPr>
          <w:color w:val="000000"/>
          <w:shd w:val="clear" w:color="auto" w:fill="FFFFFF"/>
        </w:rPr>
      </w:pPr>
      <w:r w:rsidRPr="00175BC0">
        <w:rPr>
          <w:color w:val="000000"/>
          <w:shd w:val="clear" w:color="auto" w:fill="FFFFFF"/>
        </w:rPr>
        <w:t xml:space="preserve">(f)  </w:t>
      </w:r>
      <w:r w:rsidR="00A8680E" w:rsidRPr="00175BC0">
        <w:rPr>
          <w:color w:val="000000"/>
          <w:shd w:val="clear" w:color="auto" w:fill="FFFFFF"/>
        </w:rPr>
        <w:t xml:space="preserve">Tasmanian Audit of Surgical Mortality; </w:t>
      </w:r>
    </w:p>
    <w:p w14:paraId="393AEF70" w14:textId="1AF0D484" w:rsidR="0058003D" w:rsidRPr="00175BC0" w:rsidRDefault="0058003D" w:rsidP="00A8680E">
      <w:pPr>
        <w:autoSpaceDE w:val="0"/>
        <w:autoSpaceDN w:val="0"/>
        <w:spacing w:after="40" w:line="240" w:lineRule="auto"/>
        <w:ind w:left="567"/>
        <w:rPr>
          <w:color w:val="000000"/>
          <w:shd w:val="clear" w:color="auto" w:fill="FFFFFF"/>
        </w:rPr>
      </w:pPr>
      <w:r w:rsidRPr="00175BC0">
        <w:rPr>
          <w:color w:val="000000"/>
          <w:shd w:val="clear" w:color="auto" w:fill="FFFFFF"/>
        </w:rPr>
        <w:t xml:space="preserve">(g)  </w:t>
      </w:r>
      <w:bookmarkStart w:id="20" w:name="_Hlk98935302"/>
      <w:r w:rsidR="00A8680E" w:rsidRPr="00175BC0">
        <w:rPr>
          <w:color w:val="000000"/>
          <w:shd w:val="clear" w:color="auto" w:fill="FFFFFF"/>
        </w:rPr>
        <w:t>Victorian Audit of Surgical Mortality (</w:t>
      </w:r>
      <w:bookmarkEnd w:id="20"/>
      <w:r w:rsidR="00A8680E" w:rsidRPr="00175BC0">
        <w:rPr>
          <w:color w:val="000000"/>
          <w:shd w:val="clear" w:color="auto" w:fill="FFFFFF"/>
        </w:rPr>
        <w:t xml:space="preserve">VASM); </w:t>
      </w:r>
      <w:r w:rsidRPr="00175BC0">
        <w:rPr>
          <w:color w:val="000000"/>
          <w:shd w:val="clear" w:color="auto" w:fill="FFFFFF"/>
        </w:rPr>
        <w:t xml:space="preserve">and </w:t>
      </w:r>
    </w:p>
    <w:p w14:paraId="1CE19011" w14:textId="6DC3CE2B" w:rsidR="00BD4650" w:rsidRPr="00175BC0" w:rsidRDefault="0058003D" w:rsidP="00A8680E">
      <w:pPr>
        <w:autoSpaceDE w:val="0"/>
        <w:autoSpaceDN w:val="0"/>
        <w:spacing w:after="40" w:line="240" w:lineRule="auto"/>
        <w:ind w:left="567"/>
        <w:rPr>
          <w:color w:val="000000"/>
          <w:shd w:val="clear" w:color="auto" w:fill="FFFFFF"/>
        </w:rPr>
      </w:pPr>
      <w:r w:rsidRPr="00175BC0">
        <w:rPr>
          <w:color w:val="000000"/>
          <w:shd w:val="clear" w:color="auto" w:fill="FFFFFF"/>
        </w:rPr>
        <w:t xml:space="preserve">(h)  </w:t>
      </w:r>
      <w:r w:rsidR="00A8680E" w:rsidRPr="00175BC0">
        <w:rPr>
          <w:color w:val="000000"/>
          <w:shd w:val="clear" w:color="auto" w:fill="FFFFFF"/>
        </w:rPr>
        <w:t>Western Australian Audit of Surgical Mortality</w:t>
      </w:r>
      <w:r w:rsidRPr="00175BC0">
        <w:rPr>
          <w:color w:val="000000"/>
          <w:shd w:val="clear" w:color="auto" w:fill="FFFFFF"/>
        </w:rPr>
        <w:t>.</w:t>
      </w:r>
    </w:p>
    <w:bookmarkEnd w:id="19"/>
    <w:p w14:paraId="1460A83B" w14:textId="55CC148D" w:rsidR="00BD4650" w:rsidRPr="00175BC0" w:rsidRDefault="00BD4650" w:rsidP="00A8680E">
      <w:pPr>
        <w:autoSpaceDE w:val="0"/>
        <w:autoSpaceDN w:val="0"/>
        <w:spacing w:after="40" w:line="240" w:lineRule="auto"/>
        <w:ind w:left="284"/>
        <w:rPr>
          <w:color w:val="000000"/>
          <w:shd w:val="clear" w:color="auto" w:fill="FFFFFF"/>
        </w:rPr>
      </w:pPr>
    </w:p>
    <w:p w14:paraId="2C75308C" w14:textId="77777777" w:rsidR="0098297C" w:rsidRPr="00175BC0" w:rsidRDefault="0098297C" w:rsidP="0098297C">
      <w:pPr>
        <w:autoSpaceDE w:val="0"/>
        <w:autoSpaceDN w:val="0"/>
        <w:spacing w:after="40" w:line="240" w:lineRule="auto"/>
        <w:ind w:left="284"/>
        <w:rPr>
          <w:color w:val="000000"/>
          <w:shd w:val="clear" w:color="auto" w:fill="FFFFFF"/>
        </w:rPr>
      </w:pPr>
      <w:bookmarkStart w:id="21" w:name="_Hlk98934992"/>
      <w:r w:rsidRPr="00175BC0">
        <w:rPr>
          <w:color w:val="000000"/>
          <w:shd w:val="clear" w:color="auto" w:fill="FFFFFF"/>
        </w:rPr>
        <w:t xml:space="preserve">The ANZASM includes, but is not limited to: </w:t>
      </w:r>
    </w:p>
    <w:p w14:paraId="26D43BDC" w14:textId="77777777" w:rsidR="0098297C" w:rsidRPr="00175BC0" w:rsidRDefault="0098297C" w:rsidP="00C57A78">
      <w:pPr>
        <w:autoSpaceDE w:val="0"/>
        <w:autoSpaceDN w:val="0"/>
        <w:spacing w:after="40" w:line="240" w:lineRule="auto"/>
        <w:ind w:left="567"/>
        <w:rPr>
          <w:color w:val="000000"/>
          <w:shd w:val="clear" w:color="auto" w:fill="FFFFFF"/>
        </w:rPr>
      </w:pPr>
      <w:r w:rsidRPr="00175BC0">
        <w:rPr>
          <w:color w:val="000000"/>
          <w:shd w:val="clear" w:color="auto" w:fill="FFFFFF"/>
        </w:rPr>
        <w:t xml:space="preserve">(a) notification of death by surgeon, radiologist or anaesthetist, hospital or health system; </w:t>
      </w:r>
    </w:p>
    <w:p w14:paraId="370927F6" w14:textId="77777777" w:rsidR="0098297C" w:rsidRPr="00175BC0" w:rsidRDefault="0098297C" w:rsidP="00C57A78">
      <w:pPr>
        <w:autoSpaceDE w:val="0"/>
        <w:autoSpaceDN w:val="0"/>
        <w:spacing w:after="40" w:line="240" w:lineRule="auto"/>
        <w:ind w:left="567"/>
        <w:rPr>
          <w:color w:val="000000"/>
          <w:shd w:val="clear" w:color="auto" w:fill="FFFFFF"/>
        </w:rPr>
      </w:pPr>
      <w:r w:rsidRPr="00175BC0">
        <w:rPr>
          <w:color w:val="000000"/>
          <w:shd w:val="clear" w:color="auto" w:fill="FFFFFF"/>
        </w:rPr>
        <w:t xml:space="preserve">(b) completion and review of relevant case form; </w:t>
      </w:r>
    </w:p>
    <w:p w14:paraId="754ED551" w14:textId="77777777" w:rsidR="0098297C" w:rsidRPr="00175BC0" w:rsidRDefault="0098297C" w:rsidP="00C57A78">
      <w:pPr>
        <w:autoSpaceDE w:val="0"/>
        <w:autoSpaceDN w:val="0"/>
        <w:spacing w:after="40" w:line="240" w:lineRule="auto"/>
        <w:ind w:left="567"/>
        <w:rPr>
          <w:color w:val="000000"/>
          <w:shd w:val="clear" w:color="auto" w:fill="FFFFFF"/>
        </w:rPr>
      </w:pPr>
      <w:r w:rsidRPr="00175BC0">
        <w:rPr>
          <w:color w:val="000000"/>
          <w:shd w:val="clear" w:color="auto" w:fill="FFFFFF"/>
        </w:rPr>
        <w:t xml:space="preserve">(c) report to reporting surgeon, anaesthetist or radiologist by assessing surgeon; </w:t>
      </w:r>
    </w:p>
    <w:p w14:paraId="6C5A732B" w14:textId="77777777" w:rsidR="0098297C" w:rsidRPr="00175BC0" w:rsidRDefault="0098297C" w:rsidP="00C57A78">
      <w:pPr>
        <w:autoSpaceDE w:val="0"/>
        <w:autoSpaceDN w:val="0"/>
        <w:spacing w:after="40" w:line="240" w:lineRule="auto"/>
        <w:ind w:left="567"/>
        <w:rPr>
          <w:color w:val="000000"/>
          <w:shd w:val="clear" w:color="auto" w:fill="FFFFFF"/>
        </w:rPr>
      </w:pPr>
      <w:r w:rsidRPr="00175BC0">
        <w:rPr>
          <w:color w:val="000000"/>
          <w:shd w:val="clear" w:color="auto" w:fill="FFFFFF"/>
        </w:rPr>
        <w:t xml:space="preserve">(d) public reporting on aggregated data; </w:t>
      </w:r>
    </w:p>
    <w:p w14:paraId="65012471" w14:textId="77777777" w:rsidR="0098297C" w:rsidRPr="00175BC0" w:rsidRDefault="0098297C" w:rsidP="00C57A78">
      <w:pPr>
        <w:autoSpaceDE w:val="0"/>
        <w:autoSpaceDN w:val="0"/>
        <w:spacing w:after="40" w:line="240" w:lineRule="auto"/>
        <w:ind w:left="567"/>
        <w:rPr>
          <w:color w:val="000000"/>
          <w:shd w:val="clear" w:color="auto" w:fill="FFFFFF"/>
        </w:rPr>
      </w:pPr>
      <w:r w:rsidRPr="00175BC0">
        <w:rPr>
          <w:color w:val="000000"/>
          <w:shd w:val="clear" w:color="auto" w:fill="FFFFFF"/>
        </w:rPr>
        <w:t xml:space="preserve">(e) strategic and national review by the ANZASM Steering Committee; and </w:t>
      </w:r>
    </w:p>
    <w:p w14:paraId="77DFEB93" w14:textId="2508EC2C" w:rsidR="0098297C" w:rsidRPr="00175BC0" w:rsidRDefault="0098297C" w:rsidP="00C57A78">
      <w:pPr>
        <w:autoSpaceDE w:val="0"/>
        <w:autoSpaceDN w:val="0"/>
        <w:spacing w:after="40" w:line="240" w:lineRule="auto"/>
        <w:ind w:left="567"/>
        <w:rPr>
          <w:color w:val="000000"/>
          <w:shd w:val="clear" w:color="auto" w:fill="FFFFFF"/>
        </w:rPr>
      </w:pPr>
      <w:r w:rsidRPr="00175BC0">
        <w:rPr>
          <w:color w:val="000000"/>
          <w:shd w:val="clear" w:color="auto" w:fill="FFFFFF"/>
        </w:rPr>
        <w:t xml:space="preserve">(f) the making of recommendations and monitoring of the implementation of those recommendations </w:t>
      </w:r>
      <w:r w:rsidR="003B3A98" w:rsidRPr="00175BC0">
        <w:rPr>
          <w:color w:val="000000"/>
          <w:shd w:val="clear" w:color="auto" w:fill="FFFFFF"/>
        </w:rPr>
        <w:t xml:space="preserve">(including by the Victorian Perioperative Consultative Council (VPCC) </w:t>
      </w:r>
      <w:r w:rsidRPr="00175BC0">
        <w:rPr>
          <w:color w:val="000000"/>
          <w:shd w:val="clear" w:color="auto" w:fill="FFFFFF"/>
        </w:rPr>
        <w:t>in respect of the ANZASM in accordance with its functions under Division</w:t>
      </w:r>
      <w:r w:rsidR="003B3A98" w:rsidRPr="00175BC0">
        <w:rPr>
          <w:color w:val="000000"/>
          <w:shd w:val="clear" w:color="auto" w:fill="FFFFFF"/>
        </w:rPr>
        <w:t> </w:t>
      </w:r>
      <w:r w:rsidRPr="00175BC0">
        <w:rPr>
          <w:color w:val="000000"/>
          <w:shd w:val="clear" w:color="auto" w:fill="FFFFFF"/>
        </w:rPr>
        <w:t>2 of Part</w:t>
      </w:r>
      <w:r w:rsidR="003B3A98" w:rsidRPr="00175BC0">
        <w:rPr>
          <w:color w:val="000000"/>
          <w:shd w:val="clear" w:color="auto" w:fill="FFFFFF"/>
        </w:rPr>
        <w:t> </w:t>
      </w:r>
      <w:r w:rsidRPr="00175BC0">
        <w:rPr>
          <w:color w:val="000000"/>
          <w:shd w:val="clear" w:color="auto" w:fill="FFFFFF"/>
        </w:rPr>
        <w:t xml:space="preserve">4 of the </w:t>
      </w:r>
      <w:r w:rsidRPr="00175BC0">
        <w:rPr>
          <w:i/>
          <w:iCs/>
          <w:color w:val="000000"/>
          <w:shd w:val="clear" w:color="auto" w:fill="FFFFFF"/>
        </w:rPr>
        <w:t xml:space="preserve">Public Health and Wellbeing Act 2008 </w:t>
      </w:r>
      <w:r w:rsidRPr="00175BC0">
        <w:rPr>
          <w:color w:val="000000"/>
          <w:shd w:val="clear" w:color="auto" w:fill="FFFFFF"/>
        </w:rPr>
        <w:t xml:space="preserve">(Vic)). </w:t>
      </w:r>
    </w:p>
    <w:p w14:paraId="645D4F26" w14:textId="77777777" w:rsidR="0098297C" w:rsidRPr="00175BC0" w:rsidRDefault="0098297C" w:rsidP="0098297C">
      <w:pPr>
        <w:autoSpaceDE w:val="0"/>
        <w:autoSpaceDN w:val="0"/>
        <w:spacing w:after="40" w:line="240" w:lineRule="auto"/>
        <w:ind w:left="284"/>
        <w:rPr>
          <w:color w:val="000000"/>
          <w:shd w:val="clear" w:color="auto" w:fill="FFFFFF"/>
        </w:rPr>
      </w:pPr>
    </w:p>
    <w:p w14:paraId="7A38B685" w14:textId="77777777" w:rsidR="00AD4088" w:rsidRPr="00175BC0" w:rsidRDefault="00AD4088" w:rsidP="00AD4088">
      <w:pPr>
        <w:autoSpaceDE w:val="0"/>
        <w:autoSpaceDN w:val="0"/>
        <w:spacing w:after="40" w:line="240" w:lineRule="auto"/>
        <w:ind w:left="284"/>
        <w:rPr>
          <w:color w:val="000000"/>
          <w:shd w:val="clear" w:color="auto" w:fill="FFFFFF"/>
        </w:rPr>
      </w:pPr>
      <w:r w:rsidRPr="00175BC0">
        <w:rPr>
          <w:color w:val="000000"/>
          <w:shd w:val="clear" w:color="auto" w:fill="FFFFFF"/>
        </w:rPr>
        <w:t xml:space="preserve">The ANZASM is managed by the Royal Australasian College of Surgeons (RACS). Each of the regionally based audits is under the governance of the ANZASM, </w:t>
      </w:r>
      <w:bookmarkStart w:id="22" w:name="_Hlk98933550"/>
      <w:r w:rsidRPr="00175BC0">
        <w:rPr>
          <w:color w:val="000000"/>
          <w:shd w:val="clear" w:color="auto" w:fill="FFFFFF"/>
        </w:rPr>
        <w:t>with the exception of the Collaborative Hospitals Audit of Surgical Mortality which is managed by the NSW Clinical Excellence Commission and is co-governed in collaboration with RACS</w:t>
      </w:r>
      <w:bookmarkEnd w:id="22"/>
      <w:r w:rsidRPr="00175BC0">
        <w:rPr>
          <w:color w:val="000000"/>
          <w:shd w:val="clear" w:color="auto" w:fill="FFFFFF"/>
        </w:rPr>
        <w:t>.</w:t>
      </w:r>
    </w:p>
    <w:p w14:paraId="6CBF161B" w14:textId="77777777" w:rsidR="00AD4088" w:rsidRPr="00175BC0" w:rsidRDefault="00AD4088" w:rsidP="00AD4088">
      <w:pPr>
        <w:autoSpaceDE w:val="0"/>
        <w:autoSpaceDN w:val="0"/>
        <w:spacing w:after="40" w:line="240" w:lineRule="auto"/>
        <w:ind w:left="284"/>
        <w:rPr>
          <w:color w:val="000000"/>
          <w:shd w:val="clear" w:color="auto" w:fill="FFFFFF"/>
        </w:rPr>
      </w:pPr>
    </w:p>
    <w:p w14:paraId="5B22A0EB" w14:textId="75F3F7FF" w:rsidR="00BD4650" w:rsidRPr="00175BC0" w:rsidRDefault="00A8680E" w:rsidP="005204E8">
      <w:pPr>
        <w:autoSpaceDE w:val="0"/>
        <w:autoSpaceDN w:val="0"/>
        <w:spacing w:after="40" w:line="240" w:lineRule="auto"/>
        <w:ind w:left="284"/>
        <w:rPr>
          <w:color w:val="000000"/>
          <w:shd w:val="clear" w:color="auto" w:fill="FFFFFF"/>
        </w:rPr>
      </w:pPr>
      <w:r w:rsidRPr="00175BC0">
        <w:rPr>
          <w:color w:val="000000"/>
        </w:rPr>
        <w:t>The VASM includes the participation of the VPCC</w:t>
      </w:r>
      <w:r w:rsidRPr="00175BC0">
        <w:rPr>
          <w:color w:val="000000"/>
          <w:shd w:val="clear" w:color="auto" w:fill="FFFFFF"/>
        </w:rPr>
        <w:t xml:space="preserve"> </w:t>
      </w:r>
      <w:bookmarkEnd w:id="21"/>
      <w:r w:rsidR="004170A7" w:rsidRPr="00175BC0">
        <w:rPr>
          <w:color w:val="000000"/>
          <w:shd w:val="clear" w:color="auto" w:fill="FFFFFF"/>
        </w:rPr>
        <w:t xml:space="preserve">as established under the </w:t>
      </w:r>
      <w:r w:rsidR="004170A7" w:rsidRPr="00175BC0">
        <w:rPr>
          <w:i/>
          <w:iCs/>
          <w:color w:val="000000"/>
          <w:shd w:val="clear" w:color="auto" w:fill="FFFFFF"/>
        </w:rPr>
        <w:t xml:space="preserve">Public Health and Wellbeing Act 2008 </w:t>
      </w:r>
      <w:r w:rsidR="004170A7" w:rsidRPr="00175BC0">
        <w:rPr>
          <w:color w:val="000000"/>
          <w:shd w:val="clear" w:color="auto" w:fill="FFFFFF"/>
        </w:rPr>
        <w:t xml:space="preserve">(Vic) and </w:t>
      </w:r>
      <w:r w:rsidR="004170A7" w:rsidRPr="00175BC0">
        <w:rPr>
          <w:i/>
          <w:iCs/>
          <w:color w:val="000000"/>
          <w:shd w:val="clear" w:color="auto" w:fill="FFFFFF"/>
        </w:rPr>
        <w:t xml:space="preserve">Public Health and Wellbeing Regulations 2019 </w:t>
      </w:r>
      <w:r w:rsidR="004170A7" w:rsidRPr="00175BC0">
        <w:rPr>
          <w:color w:val="000000"/>
          <w:shd w:val="clear" w:color="auto" w:fill="FFFFFF"/>
        </w:rPr>
        <w:t xml:space="preserve">(Vic). </w:t>
      </w:r>
      <w:r w:rsidR="004170A7" w:rsidRPr="00175BC0">
        <w:rPr>
          <w:color w:val="000000"/>
          <w:shd w:val="clear" w:color="auto" w:fill="FFFFFF"/>
        </w:rPr>
        <w:lastRenderedPageBreak/>
        <w:t xml:space="preserve">The VASM may share documents and information related to individual mortality cases which the VASM considers requires multidisciplinary review, and anaesthetic-related mortality cases with the VPCC. The means by which documents and information </w:t>
      </w:r>
      <w:r w:rsidR="00792D29" w:rsidRPr="00175BC0">
        <w:rPr>
          <w:color w:val="000000"/>
          <w:shd w:val="clear" w:color="auto" w:fill="FFFFFF"/>
        </w:rPr>
        <w:t>are</w:t>
      </w:r>
      <w:r w:rsidR="004170A7" w:rsidRPr="00175BC0">
        <w:rPr>
          <w:color w:val="000000"/>
          <w:shd w:val="clear" w:color="auto" w:fill="FFFFFF"/>
        </w:rPr>
        <w:t xml:space="preserve"> shared between the VASM and VPCC is determined and revised by these bodies as required. The VPCC may make recommendations in respect of those documents and information, and monitor the implementation of those recommendations in accordance with its functions under Division 2 of Part 4 of the </w:t>
      </w:r>
      <w:r w:rsidR="004170A7" w:rsidRPr="00175BC0">
        <w:rPr>
          <w:i/>
          <w:iCs/>
          <w:color w:val="000000"/>
          <w:shd w:val="clear" w:color="auto" w:fill="FFFFFF"/>
        </w:rPr>
        <w:t xml:space="preserve">Public Health and Wellbeing Act 2008 </w:t>
      </w:r>
      <w:r w:rsidR="004170A7" w:rsidRPr="00175BC0">
        <w:rPr>
          <w:color w:val="000000"/>
          <w:shd w:val="clear" w:color="auto" w:fill="FFFFFF"/>
        </w:rPr>
        <w:t>(Vic).</w:t>
      </w:r>
    </w:p>
    <w:p w14:paraId="13388557" w14:textId="0368ACD3" w:rsidR="005204E8" w:rsidRPr="00175BC0" w:rsidRDefault="005204E8" w:rsidP="00A8680E">
      <w:pPr>
        <w:autoSpaceDE w:val="0"/>
        <w:autoSpaceDN w:val="0"/>
        <w:spacing w:after="40" w:line="240" w:lineRule="auto"/>
        <w:ind w:left="284"/>
        <w:rPr>
          <w:color w:val="000000"/>
          <w:shd w:val="clear" w:color="auto" w:fill="FFFFFF"/>
        </w:rPr>
      </w:pPr>
    </w:p>
    <w:p w14:paraId="20B6445F" w14:textId="1B031228" w:rsidR="00BD4650" w:rsidRPr="00175BC0" w:rsidRDefault="00E12125" w:rsidP="00A8680E">
      <w:pPr>
        <w:autoSpaceDE w:val="0"/>
        <w:autoSpaceDN w:val="0"/>
        <w:spacing w:after="40" w:line="240" w:lineRule="auto"/>
        <w:ind w:left="284"/>
        <w:rPr>
          <w:color w:val="000000"/>
          <w:shd w:val="clear" w:color="auto" w:fill="FFFFFF"/>
        </w:rPr>
      </w:pPr>
      <w:bookmarkStart w:id="23" w:name="_Hlk98935100"/>
      <w:bookmarkStart w:id="24" w:name="_Hlk98932395"/>
      <w:r w:rsidRPr="00175BC0">
        <w:rPr>
          <w:color w:val="000000"/>
          <w:shd w:val="clear" w:color="auto" w:fill="FFFFFF"/>
        </w:rPr>
        <w:t xml:space="preserve">In other regions, where there is no similar functioning committee as the VPCC, the process is to manage information under the respective Audit of Surgical Mortality Committee that would have representation from </w:t>
      </w:r>
      <w:r w:rsidR="003B3A98" w:rsidRPr="00175BC0">
        <w:rPr>
          <w:color w:val="000000"/>
          <w:shd w:val="clear" w:color="auto" w:fill="FFFFFF"/>
        </w:rPr>
        <w:t xml:space="preserve">the respective State or Territory </w:t>
      </w:r>
      <w:r w:rsidRPr="00175BC0">
        <w:rPr>
          <w:color w:val="000000"/>
          <w:shd w:val="clear" w:color="auto" w:fill="FFFFFF"/>
        </w:rPr>
        <w:t>Department of Health.</w:t>
      </w:r>
      <w:r w:rsidR="0047370E" w:rsidRPr="00175BC0">
        <w:rPr>
          <w:color w:val="000000"/>
          <w:shd w:val="clear" w:color="auto" w:fill="FFFFFF"/>
        </w:rPr>
        <w:t xml:space="preserve"> </w:t>
      </w:r>
      <w:bookmarkEnd w:id="23"/>
      <w:r w:rsidR="0047370E" w:rsidRPr="00175BC0">
        <w:rPr>
          <w:color w:val="000000"/>
          <w:shd w:val="clear" w:color="auto" w:fill="FFFFFF"/>
        </w:rPr>
        <w:t xml:space="preserve">Cases that are </w:t>
      </w:r>
      <w:bookmarkStart w:id="25" w:name="_Hlk98934936"/>
      <w:r w:rsidR="0047370E" w:rsidRPr="00175BC0">
        <w:rPr>
          <w:color w:val="000000"/>
          <w:shd w:val="clear" w:color="auto" w:fill="FFFFFF"/>
        </w:rPr>
        <w:t>prioritised for further multidisciplinary clinical review (</w:t>
      </w:r>
      <w:r w:rsidR="0035295B" w:rsidRPr="00175BC0">
        <w:rPr>
          <w:color w:val="000000"/>
          <w:shd w:val="clear" w:color="auto" w:fill="FFFFFF"/>
        </w:rPr>
        <w:t xml:space="preserve">such </w:t>
      </w:r>
      <w:r w:rsidR="003B3A98" w:rsidRPr="00175BC0">
        <w:rPr>
          <w:color w:val="000000"/>
          <w:shd w:val="clear" w:color="auto" w:fill="FFFFFF"/>
        </w:rPr>
        <w:t>as those that are</w:t>
      </w:r>
      <w:r w:rsidR="0035295B" w:rsidRPr="00175BC0">
        <w:rPr>
          <w:color w:val="000000"/>
          <w:shd w:val="clear" w:color="auto" w:fill="FFFFFF"/>
        </w:rPr>
        <w:t xml:space="preserve"> </w:t>
      </w:r>
      <w:r w:rsidR="0047370E" w:rsidRPr="00175BC0">
        <w:rPr>
          <w:color w:val="000000"/>
          <w:shd w:val="clear" w:color="auto" w:fill="FFFFFF"/>
        </w:rPr>
        <w:t>anaesthetic-related, involve transfers, have serious clinical management issues or those assessed as preventable deaths</w:t>
      </w:r>
      <w:r w:rsidR="0035295B" w:rsidRPr="00175BC0">
        <w:rPr>
          <w:color w:val="000000"/>
          <w:shd w:val="clear" w:color="auto" w:fill="FFFFFF"/>
        </w:rPr>
        <w:t>)</w:t>
      </w:r>
      <w:r w:rsidR="0047370E" w:rsidRPr="00175BC0">
        <w:rPr>
          <w:color w:val="000000"/>
          <w:shd w:val="clear" w:color="auto" w:fill="FFFFFF"/>
        </w:rPr>
        <w:t xml:space="preserve"> are input into a Registry held by the respective Department of Health. </w:t>
      </w:r>
      <w:bookmarkStart w:id="26" w:name="_Hlk98935047"/>
      <w:bookmarkEnd w:id="25"/>
      <w:r w:rsidR="0047370E" w:rsidRPr="00175BC0">
        <w:rPr>
          <w:color w:val="000000"/>
          <w:shd w:val="clear" w:color="auto" w:fill="FFFFFF"/>
        </w:rPr>
        <w:t>The Registry operates similar to the VPCC and receives cases for hospital review from various different sources</w:t>
      </w:r>
      <w:r w:rsidR="0047370E" w:rsidRPr="00175BC0">
        <w:rPr>
          <w:rFonts w:asciiTheme="minorHAnsi" w:eastAsia="Times New Roman" w:hAnsiTheme="minorHAnsi" w:cstheme="minorHAnsi"/>
          <w:szCs w:val="22"/>
        </w:rPr>
        <w:t xml:space="preserve"> </w:t>
      </w:r>
      <w:r w:rsidR="0047370E" w:rsidRPr="00175BC0">
        <w:rPr>
          <w:color w:val="000000"/>
          <w:shd w:val="clear" w:color="auto" w:fill="FFFFFF"/>
        </w:rPr>
        <w:t>including the coroner, mortality and morbidity reports from health services, private hospitals, complaints, clinicians, other registries and other health organisations.</w:t>
      </w:r>
      <w:bookmarkEnd w:id="24"/>
      <w:bookmarkEnd w:id="26"/>
    </w:p>
    <w:p w14:paraId="0B69B812" w14:textId="6E38DB4E" w:rsidR="00BD4650" w:rsidRPr="00175BC0" w:rsidRDefault="00BD4650" w:rsidP="00A8680E">
      <w:pPr>
        <w:autoSpaceDE w:val="0"/>
        <w:autoSpaceDN w:val="0"/>
        <w:spacing w:after="40" w:line="240" w:lineRule="auto"/>
        <w:ind w:left="284"/>
        <w:rPr>
          <w:color w:val="000000"/>
          <w:shd w:val="clear" w:color="auto" w:fill="FFFFFF"/>
        </w:rPr>
      </w:pPr>
    </w:p>
    <w:p w14:paraId="777B31EC" w14:textId="1E385AF2" w:rsidR="00A8680E" w:rsidRPr="004039CE" w:rsidRDefault="00A8680E" w:rsidP="00A8680E">
      <w:pPr>
        <w:autoSpaceDE w:val="0"/>
        <w:autoSpaceDN w:val="0"/>
        <w:spacing w:after="40" w:line="240" w:lineRule="auto"/>
        <w:ind w:left="284"/>
        <w:rPr>
          <w:color w:val="000000"/>
          <w:shd w:val="clear" w:color="auto" w:fill="FFFFFF"/>
        </w:rPr>
      </w:pPr>
      <w:r w:rsidRPr="00175BC0">
        <w:rPr>
          <w:color w:val="000000"/>
          <w:shd w:val="clear" w:color="auto" w:fill="FFFFFF"/>
        </w:rPr>
        <w:t>ANZASM is a component of the RACS Continuing Professional Development Scheme.</w:t>
      </w:r>
    </w:p>
    <w:bookmarkEnd w:id="18"/>
    <w:p w14:paraId="3C19C862" w14:textId="77777777" w:rsidR="00C76FB6" w:rsidRDefault="00C76FB6" w:rsidP="00A8680E">
      <w:pPr>
        <w:ind w:left="284" w:hanging="141"/>
      </w:pPr>
    </w:p>
    <w:sectPr w:rsidR="00C76FB6" w:rsidSect="00E10316">
      <w:headerReference w:type="even" r:id="rId18"/>
      <w:headerReference w:type="default" r:id="rId19"/>
      <w:footerReference w:type="even" r:id="rId20"/>
      <w:footerReference w:type="default" r:id="rId21"/>
      <w:pgSz w:w="11907" w:h="16839" w:code="9"/>
      <w:pgMar w:top="2234" w:right="1797" w:bottom="1440" w:left="1701"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3B4C1" w14:textId="77777777" w:rsidR="00631121" w:rsidRDefault="00631121" w:rsidP="000B5A9C">
      <w:pPr>
        <w:spacing w:line="240" w:lineRule="auto"/>
      </w:pPr>
      <w:r>
        <w:separator/>
      </w:r>
    </w:p>
  </w:endnote>
  <w:endnote w:type="continuationSeparator" w:id="0">
    <w:p w14:paraId="5BA0E6EC" w14:textId="77777777" w:rsidR="00631121" w:rsidRDefault="00631121" w:rsidP="000B5A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A75D3" w14:textId="77777777" w:rsidR="00E732C1" w:rsidRPr="00E33C1C" w:rsidRDefault="00175BC0"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732C1" w14:paraId="033059E3" w14:textId="77777777" w:rsidTr="00B33709">
      <w:tc>
        <w:tcPr>
          <w:tcW w:w="709" w:type="dxa"/>
          <w:tcBorders>
            <w:top w:val="nil"/>
            <w:left w:val="nil"/>
            <w:bottom w:val="nil"/>
            <w:right w:val="nil"/>
          </w:tcBorders>
        </w:tcPr>
        <w:p w14:paraId="74F6ED46" w14:textId="77777777" w:rsidR="00E732C1" w:rsidRDefault="000B5A9C"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3FF99D87" w14:textId="60044132" w:rsidR="00E732C1" w:rsidRPr="004E1307" w:rsidRDefault="000B5A9C"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F7C62">
            <w:rPr>
              <w:b/>
              <w:bCs/>
              <w:i/>
              <w:noProof/>
              <w:sz w:val="18"/>
              <w:lang w:val="en-US"/>
            </w:rPr>
            <w:t>Error! Use the Home tab to apply ShortT to the text that you want to appear here.</w:t>
          </w:r>
          <w:r w:rsidRPr="004E1307">
            <w:rPr>
              <w:i/>
              <w:sz w:val="18"/>
            </w:rPr>
            <w:fldChar w:fldCharType="end"/>
          </w:r>
        </w:p>
      </w:tc>
      <w:tc>
        <w:tcPr>
          <w:tcW w:w="1383" w:type="dxa"/>
          <w:tcBorders>
            <w:top w:val="nil"/>
            <w:left w:val="nil"/>
            <w:bottom w:val="nil"/>
            <w:right w:val="nil"/>
          </w:tcBorders>
        </w:tcPr>
        <w:p w14:paraId="661D0AB3" w14:textId="77777777" w:rsidR="00E732C1" w:rsidRDefault="00175BC0" w:rsidP="00A369E3">
          <w:pPr>
            <w:spacing w:line="0" w:lineRule="atLeast"/>
            <w:jc w:val="right"/>
            <w:rPr>
              <w:sz w:val="18"/>
            </w:rPr>
          </w:pPr>
        </w:p>
      </w:tc>
    </w:tr>
    <w:tr w:rsidR="00E732C1" w14:paraId="010D2D1D"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0F4F94F" w14:textId="77777777" w:rsidR="00E732C1" w:rsidRDefault="00175BC0" w:rsidP="00A369E3">
          <w:pPr>
            <w:jc w:val="right"/>
            <w:rPr>
              <w:sz w:val="18"/>
            </w:rPr>
          </w:pPr>
        </w:p>
      </w:tc>
    </w:tr>
  </w:tbl>
  <w:p w14:paraId="71885AD1" w14:textId="77777777" w:rsidR="00E732C1" w:rsidRPr="00ED79B6" w:rsidRDefault="00175BC0"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3DDA4" w14:textId="77777777" w:rsidR="00E732C1" w:rsidRPr="00E33C1C" w:rsidRDefault="00175BC0"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8"/>
      <w:gridCol w:w="6255"/>
      <w:gridCol w:w="700"/>
    </w:tblGrid>
    <w:tr w:rsidR="00E732C1" w14:paraId="0FF447BC" w14:textId="77777777" w:rsidTr="00A369E3">
      <w:tc>
        <w:tcPr>
          <w:tcW w:w="1384" w:type="dxa"/>
          <w:tcBorders>
            <w:top w:val="nil"/>
            <w:left w:val="nil"/>
            <w:bottom w:val="nil"/>
            <w:right w:val="nil"/>
          </w:tcBorders>
        </w:tcPr>
        <w:p w14:paraId="436A9D2B" w14:textId="77777777" w:rsidR="00E732C1" w:rsidRDefault="00175BC0" w:rsidP="00A369E3">
          <w:pPr>
            <w:spacing w:line="0" w:lineRule="atLeast"/>
            <w:rPr>
              <w:sz w:val="18"/>
            </w:rPr>
          </w:pPr>
        </w:p>
      </w:tc>
      <w:tc>
        <w:tcPr>
          <w:tcW w:w="6379" w:type="dxa"/>
          <w:tcBorders>
            <w:top w:val="nil"/>
            <w:left w:val="nil"/>
            <w:bottom w:val="nil"/>
            <w:right w:val="nil"/>
          </w:tcBorders>
        </w:tcPr>
        <w:p w14:paraId="6C1C4420" w14:textId="3F2A76C4" w:rsidR="00E732C1" w:rsidRDefault="000B5A9C"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F7C62">
            <w:rPr>
              <w:b/>
              <w:bCs/>
              <w:i/>
              <w:noProof/>
              <w:sz w:val="18"/>
              <w:lang w:val="en-US"/>
            </w:rPr>
            <w:t>Error! Use the Home tab to apply ShortT to the text that you want to appear here.</w:t>
          </w:r>
          <w:r w:rsidRPr="004E1307">
            <w:rPr>
              <w:i/>
              <w:sz w:val="18"/>
            </w:rPr>
            <w:fldChar w:fldCharType="end"/>
          </w:r>
        </w:p>
      </w:tc>
      <w:tc>
        <w:tcPr>
          <w:tcW w:w="709" w:type="dxa"/>
          <w:tcBorders>
            <w:top w:val="nil"/>
            <w:left w:val="nil"/>
            <w:bottom w:val="nil"/>
            <w:right w:val="nil"/>
          </w:tcBorders>
        </w:tcPr>
        <w:p w14:paraId="136E77BD" w14:textId="77777777" w:rsidR="00E732C1" w:rsidRDefault="000B5A9C"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E732C1" w14:paraId="6103EEBB"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970A202" w14:textId="77777777" w:rsidR="00E732C1" w:rsidRDefault="00175BC0" w:rsidP="00A369E3">
          <w:pPr>
            <w:rPr>
              <w:sz w:val="18"/>
            </w:rPr>
          </w:pPr>
        </w:p>
      </w:tc>
    </w:tr>
  </w:tbl>
  <w:p w14:paraId="6EEA6B20" w14:textId="77777777" w:rsidR="00E732C1" w:rsidRPr="00ED79B6" w:rsidRDefault="00175BC0"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2F641" w14:textId="77777777" w:rsidR="00E732C1" w:rsidRPr="00E33C1C" w:rsidRDefault="00175BC0"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E732C1" w14:paraId="4AFF0BF8" w14:textId="77777777" w:rsidTr="00B33709">
      <w:tc>
        <w:tcPr>
          <w:tcW w:w="1384" w:type="dxa"/>
          <w:tcBorders>
            <w:top w:val="nil"/>
            <w:left w:val="nil"/>
            <w:bottom w:val="nil"/>
            <w:right w:val="nil"/>
          </w:tcBorders>
        </w:tcPr>
        <w:p w14:paraId="39EDC221" w14:textId="77777777" w:rsidR="00E732C1" w:rsidRDefault="00175BC0" w:rsidP="00A369E3">
          <w:pPr>
            <w:spacing w:line="0" w:lineRule="atLeast"/>
            <w:rPr>
              <w:sz w:val="18"/>
            </w:rPr>
          </w:pPr>
        </w:p>
      </w:tc>
      <w:tc>
        <w:tcPr>
          <w:tcW w:w="6379" w:type="dxa"/>
          <w:tcBorders>
            <w:top w:val="nil"/>
            <w:left w:val="nil"/>
            <w:bottom w:val="nil"/>
            <w:right w:val="nil"/>
          </w:tcBorders>
        </w:tcPr>
        <w:p w14:paraId="713D2D66" w14:textId="77777777" w:rsidR="00E732C1" w:rsidRDefault="00175BC0" w:rsidP="00A369E3">
          <w:pPr>
            <w:spacing w:line="0" w:lineRule="atLeast"/>
            <w:jc w:val="center"/>
            <w:rPr>
              <w:sz w:val="18"/>
            </w:rPr>
          </w:pPr>
        </w:p>
      </w:tc>
      <w:tc>
        <w:tcPr>
          <w:tcW w:w="709" w:type="dxa"/>
          <w:tcBorders>
            <w:top w:val="nil"/>
            <w:left w:val="nil"/>
            <w:bottom w:val="nil"/>
            <w:right w:val="nil"/>
          </w:tcBorders>
        </w:tcPr>
        <w:p w14:paraId="530391D9" w14:textId="77777777" w:rsidR="00E732C1" w:rsidRDefault="00175BC0" w:rsidP="00A369E3">
          <w:pPr>
            <w:spacing w:line="0" w:lineRule="atLeast"/>
            <w:jc w:val="right"/>
            <w:rPr>
              <w:sz w:val="18"/>
            </w:rPr>
          </w:pPr>
        </w:p>
      </w:tc>
    </w:tr>
  </w:tbl>
  <w:p w14:paraId="357B16A4" w14:textId="77777777" w:rsidR="00E732C1" w:rsidRPr="00ED79B6" w:rsidRDefault="00175BC0"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AA9F3" w14:textId="77777777" w:rsidR="00E732C1" w:rsidRPr="002B0EA5" w:rsidRDefault="00175BC0" w:rsidP="0089375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732C1" w14:paraId="7D55524A" w14:textId="77777777" w:rsidTr="0089375A">
      <w:tc>
        <w:tcPr>
          <w:tcW w:w="365" w:type="pct"/>
        </w:tcPr>
        <w:p w14:paraId="6B16A691" w14:textId="77777777" w:rsidR="00E732C1" w:rsidRDefault="000B5A9C" w:rsidP="0089375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Pr>
        <w:p w14:paraId="5F00F9F7" w14:textId="5A10C70D" w:rsidR="00E732C1" w:rsidRDefault="000B5A9C" w:rsidP="0089375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F7C62">
            <w:rPr>
              <w:b/>
              <w:bCs/>
              <w:i/>
              <w:noProof/>
              <w:sz w:val="18"/>
              <w:lang w:val="en-US"/>
            </w:rPr>
            <w:t>Error! Use the Home tab to apply ShortT to the text that you want to appear here.</w:t>
          </w:r>
          <w:r w:rsidRPr="004E1307">
            <w:rPr>
              <w:i/>
              <w:sz w:val="18"/>
            </w:rPr>
            <w:fldChar w:fldCharType="end"/>
          </w:r>
        </w:p>
      </w:tc>
      <w:tc>
        <w:tcPr>
          <w:tcW w:w="947" w:type="pct"/>
        </w:tcPr>
        <w:p w14:paraId="43826B25" w14:textId="77777777" w:rsidR="00E732C1" w:rsidRDefault="00175BC0" w:rsidP="0089375A">
          <w:pPr>
            <w:spacing w:line="0" w:lineRule="atLeast"/>
            <w:jc w:val="right"/>
            <w:rPr>
              <w:sz w:val="18"/>
            </w:rPr>
          </w:pPr>
        </w:p>
      </w:tc>
    </w:tr>
    <w:tr w:rsidR="00E732C1" w14:paraId="1857AB09" w14:textId="77777777" w:rsidTr="0089375A">
      <w:tc>
        <w:tcPr>
          <w:tcW w:w="5000" w:type="pct"/>
          <w:gridSpan w:val="3"/>
        </w:tcPr>
        <w:p w14:paraId="4D42D7A5" w14:textId="77777777" w:rsidR="00E732C1" w:rsidRDefault="00175BC0" w:rsidP="0089375A">
          <w:pPr>
            <w:jc w:val="right"/>
            <w:rPr>
              <w:sz w:val="18"/>
            </w:rPr>
          </w:pPr>
        </w:p>
      </w:tc>
    </w:tr>
  </w:tbl>
  <w:p w14:paraId="764946CB" w14:textId="77777777" w:rsidR="00E732C1" w:rsidRPr="00ED79B6" w:rsidRDefault="00175BC0" w:rsidP="0089375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03B72" w14:textId="77777777" w:rsidR="00E732C1" w:rsidRPr="002B0EA5" w:rsidRDefault="00175BC0" w:rsidP="0089375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E732C1" w14:paraId="34F45CF9" w14:textId="77777777" w:rsidTr="0089375A">
      <w:tc>
        <w:tcPr>
          <w:tcW w:w="947" w:type="pct"/>
        </w:tcPr>
        <w:p w14:paraId="78D54779" w14:textId="77777777" w:rsidR="00E732C1" w:rsidRDefault="00175BC0" w:rsidP="0089375A">
          <w:pPr>
            <w:spacing w:line="0" w:lineRule="atLeast"/>
            <w:rPr>
              <w:sz w:val="18"/>
            </w:rPr>
          </w:pPr>
        </w:p>
      </w:tc>
      <w:tc>
        <w:tcPr>
          <w:tcW w:w="3688" w:type="pct"/>
        </w:tcPr>
        <w:p w14:paraId="2923DC9A" w14:textId="6D2C8E90" w:rsidR="00E732C1" w:rsidRPr="001A3958" w:rsidRDefault="0058003D" w:rsidP="006E3A95">
          <w:pPr>
            <w:spacing w:line="0" w:lineRule="atLeast"/>
            <w:jc w:val="center"/>
            <w:rPr>
              <w:i/>
              <w:sz w:val="18"/>
            </w:rPr>
          </w:pPr>
          <w:bookmarkStart w:id="0" w:name="_Hlk98922121"/>
          <w:r w:rsidRPr="0058003D">
            <w:rPr>
              <w:i/>
              <w:iCs/>
              <w:sz w:val="18"/>
            </w:rPr>
            <w:t>Health Insurance (Quality Assurance Activity – Australian and New Zealand Audit of Surgical Mortality)</w:t>
          </w:r>
          <w:r w:rsidR="009B6975" w:rsidRPr="009B6975">
            <w:rPr>
              <w:i/>
              <w:sz w:val="18"/>
            </w:rPr>
            <w:t xml:space="preserve"> </w:t>
          </w:r>
          <w:r w:rsidR="009B6975" w:rsidRPr="009B6975">
            <w:rPr>
              <w:i/>
              <w:sz w:val="18"/>
              <w:lang w:val="en-US"/>
            </w:rPr>
            <w:t>Declaration 2022</w:t>
          </w:r>
          <w:bookmarkEnd w:id="0"/>
        </w:p>
      </w:tc>
      <w:tc>
        <w:tcPr>
          <w:tcW w:w="365" w:type="pct"/>
        </w:tcPr>
        <w:p w14:paraId="5FD2CC4C" w14:textId="77777777" w:rsidR="00E732C1" w:rsidRDefault="000B5A9C" w:rsidP="0089375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E732C1" w14:paraId="0A732008" w14:textId="77777777" w:rsidTr="0089375A">
      <w:tc>
        <w:tcPr>
          <w:tcW w:w="5000" w:type="pct"/>
          <w:gridSpan w:val="3"/>
        </w:tcPr>
        <w:p w14:paraId="1D9F7C60" w14:textId="77777777" w:rsidR="00E732C1" w:rsidRDefault="00175BC0" w:rsidP="0089375A">
          <w:pPr>
            <w:rPr>
              <w:sz w:val="18"/>
            </w:rPr>
          </w:pPr>
        </w:p>
      </w:tc>
    </w:tr>
  </w:tbl>
  <w:p w14:paraId="7DA08C5F" w14:textId="77777777" w:rsidR="00E732C1" w:rsidRPr="00ED79B6" w:rsidRDefault="00175BC0" w:rsidP="0089375A">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1F857" w14:textId="77777777" w:rsidR="00E732C1" w:rsidRPr="002B0EA5" w:rsidRDefault="00175BC0" w:rsidP="0089375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732C1" w14:paraId="54577590" w14:textId="77777777" w:rsidTr="0089375A">
      <w:tc>
        <w:tcPr>
          <w:tcW w:w="365" w:type="pct"/>
        </w:tcPr>
        <w:p w14:paraId="54C0E411" w14:textId="77777777" w:rsidR="00E732C1" w:rsidRDefault="000B5A9C" w:rsidP="0089375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6FA3E70" w14:textId="77777777" w:rsidR="00E732C1" w:rsidRPr="001A3958" w:rsidRDefault="000B5A9C" w:rsidP="0093646D">
          <w:pPr>
            <w:pStyle w:val="Footer"/>
            <w:jc w:val="center"/>
            <w:rPr>
              <w:i/>
              <w:sz w:val="18"/>
              <w:szCs w:val="18"/>
            </w:rPr>
          </w:pPr>
          <w:r w:rsidRPr="006E3A95">
            <w:rPr>
              <w:i/>
              <w:sz w:val="18"/>
              <w:szCs w:val="18"/>
              <w:lang w:val="en-US"/>
            </w:rPr>
            <w:t>Health Insurance (</w:t>
          </w:r>
          <w:r w:rsidRPr="006E3A95">
            <w:rPr>
              <w:i/>
              <w:sz w:val="18"/>
              <w:szCs w:val="18"/>
            </w:rPr>
            <w:t xml:space="preserve">Quality Assurance Activity </w:t>
          </w:r>
          <w:r w:rsidRPr="006E3A95">
            <w:rPr>
              <w:i/>
              <w:iCs/>
              <w:sz w:val="18"/>
              <w:szCs w:val="18"/>
            </w:rPr>
            <w:t xml:space="preserve">– Top End Health Service Peer Review Clinical Audits </w:t>
          </w:r>
          <w:r w:rsidRPr="006E3A95">
            <w:rPr>
              <w:i/>
              <w:sz w:val="18"/>
              <w:szCs w:val="18"/>
              <w:lang w:val="en-US"/>
            </w:rPr>
            <w:t>of Surgical Mortalities and Morbidities) Declaration 2020</w:t>
          </w:r>
        </w:p>
      </w:tc>
      <w:tc>
        <w:tcPr>
          <w:tcW w:w="947" w:type="pct"/>
        </w:tcPr>
        <w:p w14:paraId="493A157F" w14:textId="77777777" w:rsidR="00E732C1" w:rsidRDefault="00175BC0" w:rsidP="0089375A">
          <w:pPr>
            <w:spacing w:line="0" w:lineRule="atLeast"/>
            <w:jc w:val="right"/>
            <w:rPr>
              <w:sz w:val="18"/>
            </w:rPr>
          </w:pPr>
        </w:p>
      </w:tc>
    </w:tr>
    <w:tr w:rsidR="00E732C1" w14:paraId="2986EABC" w14:textId="77777777" w:rsidTr="0089375A">
      <w:tc>
        <w:tcPr>
          <w:tcW w:w="5000" w:type="pct"/>
          <w:gridSpan w:val="3"/>
        </w:tcPr>
        <w:p w14:paraId="3A45F9A4" w14:textId="77777777" w:rsidR="00E732C1" w:rsidRDefault="00175BC0" w:rsidP="0089375A">
          <w:pPr>
            <w:jc w:val="right"/>
            <w:rPr>
              <w:sz w:val="18"/>
            </w:rPr>
          </w:pPr>
        </w:p>
      </w:tc>
    </w:tr>
  </w:tbl>
  <w:p w14:paraId="37E80630" w14:textId="77777777" w:rsidR="00E732C1" w:rsidRPr="00ED79B6" w:rsidRDefault="00175BC0" w:rsidP="0089375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B0633" w14:textId="77777777" w:rsidR="00E732C1" w:rsidRPr="002B0EA5" w:rsidRDefault="00175BC0" w:rsidP="0089375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6202"/>
      <w:gridCol w:w="614"/>
    </w:tblGrid>
    <w:tr w:rsidR="00E732C1" w14:paraId="462BBFA6" w14:textId="77777777" w:rsidTr="0089375A">
      <w:tc>
        <w:tcPr>
          <w:tcW w:w="947" w:type="pct"/>
        </w:tcPr>
        <w:p w14:paraId="37299703" w14:textId="77777777" w:rsidR="00E732C1" w:rsidRDefault="00175BC0" w:rsidP="0089375A">
          <w:pPr>
            <w:spacing w:line="0" w:lineRule="atLeast"/>
            <w:rPr>
              <w:sz w:val="18"/>
            </w:rPr>
          </w:pPr>
        </w:p>
      </w:tc>
      <w:tc>
        <w:tcPr>
          <w:tcW w:w="3688" w:type="pct"/>
        </w:tcPr>
        <w:p w14:paraId="519328AD" w14:textId="229FF2A6" w:rsidR="00E732C1" w:rsidRPr="001A3958" w:rsidRDefault="0058003D" w:rsidP="00EF6407">
          <w:pPr>
            <w:pStyle w:val="Footer"/>
            <w:jc w:val="center"/>
            <w:rPr>
              <w:i/>
              <w:sz w:val="18"/>
              <w:szCs w:val="18"/>
            </w:rPr>
          </w:pPr>
          <w:r w:rsidRPr="0058003D">
            <w:rPr>
              <w:i/>
              <w:iCs/>
              <w:sz w:val="18"/>
            </w:rPr>
            <w:t xml:space="preserve">Health Insurance (Quality Assurance Activity – Australian and New Zealand Audit of Surgical Mortality) </w:t>
          </w:r>
          <w:r w:rsidRPr="0058003D">
            <w:rPr>
              <w:i/>
              <w:iCs/>
              <w:sz w:val="18"/>
              <w:lang w:val="en-US"/>
            </w:rPr>
            <w:t>Declaration 2022</w:t>
          </w:r>
        </w:p>
      </w:tc>
      <w:tc>
        <w:tcPr>
          <w:tcW w:w="365" w:type="pct"/>
        </w:tcPr>
        <w:p w14:paraId="158C65D8" w14:textId="77777777" w:rsidR="00E732C1" w:rsidRDefault="000B5A9C" w:rsidP="0089375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E732C1" w14:paraId="759113B1" w14:textId="77777777" w:rsidTr="0089375A">
      <w:tc>
        <w:tcPr>
          <w:tcW w:w="5000" w:type="pct"/>
          <w:gridSpan w:val="3"/>
        </w:tcPr>
        <w:p w14:paraId="17641547" w14:textId="77777777" w:rsidR="00E732C1" w:rsidRDefault="00175BC0" w:rsidP="0089375A">
          <w:pPr>
            <w:rPr>
              <w:sz w:val="18"/>
            </w:rPr>
          </w:pPr>
        </w:p>
      </w:tc>
    </w:tr>
  </w:tbl>
  <w:p w14:paraId="59AD5167" w14:textId="77777777" w:rsidR="00E732C1" w:rsidRPr="00ED79B6" w:rsidRDefault="00175BC0" w:rsidP="0089375A">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62E7E" w14:textId="77777777" w:rsidR="00631121" w:rsidRDefault="00631121" w:rsidP="000B5A9C">
      <w:pPr>
        <w:spacing w:line="240" w:lineRule="auto"/>
      </w:pPr>
      <w:r>
        <w:separator/>
      </w:r>
    </w:p>
  </w:footnote>
  <w:footnote w:type="continuationSeparator" w:id="0">
    <w:p w14:paraId="07889453" w14:textId="77777777" w:rsidR="00631121" w:rsidRDefault="00631121" w:rsidP="000B5A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BA0BA" w14:textId="77777777" w:rsidR="00E732C1" w:rsidRPr="005F1388" w:rsidRDefault="00175BC0"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2C239" w14:textId="77777777" w:rsidR="00E732C1" w:rsidRPr="005F1388" w:rsidRDefault="00175BC0"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C16C5" w14:textId="77777777" w:rsidR="00E732C1" w:rsidRPr="00ED79B6" w:rsidRDefault="00175BC0" w:rsidP="0089375A">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D1EDD" w14:textId="77777777" w:rsidR="00E732C1" w:rsidRPr="00ED79B6" w:rsidRDefault="00175BC0" w:rsidP="0089375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38139" w14:textId="77777777" w:rsidR="00E732C1" w:rsidRPr="00ED79B6" w:rsidRDefault="00175BC0"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39401" w14:textId="77777777" w:rsidR="00E732C1" w:rsidRDefault="00175BC0" w:rsidP="00715914">
    <w:pPr>
      <w:rPr>
        <w:sz w:val="20"/>
      </w:rPr>
    </w:pPr>
  </w:p>
  <w:p w14:paraId="6CD1DEA6" w14:textId="77777777" w:rsidR="00E732C1" w:rsidRDefault="00175BC0" w:rsidP="00715914">
    <w:pPr>
      <w:rPr>
        <w:sz w:val="20"/>
      </w:rPr>
    </w:pPr>
  </w:p>
  <w:p w14:paraId="4A5782E9" w14:textId="77777777" w:rsidR="00E732C1" w:rsidRPr="007A1328" w:rsidRDefault="00175BC0" w:rsidP="00715914">
    <w:pPr>
      <w:rPr>
        <w:sz w:val="20"/>
      </w:rPr>
    </w:pPr>
  </w:p>
  <w:p w14:paraId="1A46012F" w14:textId="77777777" w:rsidR="00E732C1" w:rsidRPr="007A1328" w:rsidRDefault="00175BC0" w:rsidP="00715914">
    <w:pPr>
      <w:rPr>
        <w:b/>
        <w:sz w:val="24"/>
      </w:rPr>
    </w:pPr>
  </w:p>
  <w:p w14:paraId="0AA82811" w14:textId="77777777" w:rsidR="00E732C1" w:rsidRPr="007A1328" w:rsidRDefault="00175BC0"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B5B53" w14:textId="77777777" w:rsidR="00E732C1" w:rsidRPr="007A1328" w:rsidRDefault="00175BC0" w:rsidP="00715914">
    <w:pPr>
      <w:jc w:val="right"/>
      <w:rPr>
        <w:sz w:val="20"/>
      </w:rPr>
    </w:pPr>
  </w:p>
  <w:p w14:paraId="58FB3F37" w14:textId="77777777" w:rsidR="00E732C1" w:rsidRPr="007A1328" w:rsidRDefault="00175BC0" w:rsidP="00715914">
    <w:pPr>
      <w:jc w:val="right"/>
      <w:rPr>
        <w:sz w:val="20"/>
      </w:rPr>
    </w:pPr>
  </w:p>
  <w:p w14:paraId="39B5066F" w14:textId="77777777" w:rsidR="00E732C1" w:rsidRPr="007A1328" w:rsidRDefault="00175BC0" w:rsidP="00715914">
    <w:pPr>
      <w:jc w:val="right"/>
      <w:rPr>
        <w:sz w:val="20"/>
      </w:rPr>
    </w:pPr>
  </w:p>
  <w:p w14:paraId="70C4A7EA" w14:textId="77777777" w:rsidR="00E732C1" w:rsidRPr="007A1328" w:rsidRDefault="00175BC0" w:rsidP="00715914">
    <w:pPr>
      <w:jc w:val="right"/>
      <w:rPr>
        <w:b/>
        <w:sz w:val="24"/>
      </w:rPr>
    </w:pPr>
  </w:p>
  <w:p w14:paraId="436AA2CF" w14:textId="77777777" w:rsidR="00E732C1" w:rsidRPr="007A1328" w:rsidRDefault="00175BC0"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45CCC0"/>
    <w:multiLevelType w:val="hybridMultilevel"/>
    <w:tmpl w:val="48873E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9D544B"/>
    <w:multiLevelType w:val="hybridMultilevel"/>
    <w:tmpl w:val="D03AED18"/>
    <w:lvl w:ilvl="0" w:tplc="0C090017">
      <w:start w:val="1"/>
      <w:numFmt w:val="lowerLetter"/>
      <w:lvlText w:val="%1)"/>
      <w:lvlJc w:val="left"/>
      <w:pPr>
        <w:ind w:left="1154" w:hanging="360"/>
      </w:pPr>
      <w:rPr>
        <w:rFonts w:hint="default"/>
      </w:rPr>
    </w:lvl>
    <w:lvl w:ilvl="1" w:tplc="0C090003">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 w15:restartNumberingAfterBreak="0">
    <w:nsid w:val="23D01017"/>
    <w:multiLevelType w:val="hybridMultilevel"/>
    <w:tmpl w:val="CCBA7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3A4B42"/>
    <w:multiLevelType w:val="hybridMultilevel"/>
    <w:tmpl w:val="B4080B08"/>
    <w:lvl w:ilvl="0" w:tplc="5DD073AA">
      <w:start w:val="1"/>
      <w:numFmt w:val="lowerRoman"/>
      <w:lvlText w:val="(%1)"/>
      <w:lvlJc w:val="right"/>
      <w:pPr>
        <w:ind w:left="720" w:hanging="360"/>
      </w:pPr>
      <w:rPr>
        <w:rFonts w:ascii="Times New Roman" w:hAnsi="Times New Roman" w:cs="Times New Roman" w:hint="default"/>
      </w:rPr>
    </w:lvl>
    <w:lvl w:ilvl="1" w:tplc="0C090019">
      <w:start w:val="1"/>
      <w:numFmt w:val="lowerLetter"/>
      <w:lvlText w:val="%2."/>
      <w:lvlJc w:val="left"/>
      <w:pPr>
        <w:ind w:left="1440" w:hanging="360"/>
      </w:pPr>
    </w:lvl>
    <w:lvl w:ilvl="2" w:tplc="F0D6003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904E99"/>
    <w:multiLevelType w:val="hybridMultilevel"/>
    <w:tmpl w:val="B48C087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3D6F14"/>
    <w:multiLevelType w:val="hybridMultilevel"/>
    <w:tmpl w:val="35FA3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8546D9"/>
    <w:multiLevelType w:val="hybridMultilevel"/>
    <w:tmpl w:val="5888C9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E453BA6"/>
    <w:multiLevelType w:val="hybridMultilevel"/>
    <w:tmpl w:val="399A3D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CD744AA"/>
    <w:multiLevelType w:val="hybridMultilevel"/>
    <w:tmpl w:val="C8747F38"/>
    <w:lvl w:ilvl="0" w:tplc="0C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D382275"/>
    <w:multiLevelType w:val="hybridMultilevel"/>
    <w:tmpl w:val="15F80FB6"/>
    <w:lvl w:ilvl="0" w:tplc="0C090017">
      <w:start w:val="1"/>
      <w:numFmt w:val="lowerLetter"/>
      <w:lvlText w:val="%1)"/>
      <w:lvlJc w:val="left"/>
      <w:pPr>
        <w:ind w:left="1514" w:hanging="360"/>
      </w:pPr>
      <w:rPr>
        <w:rFont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abstractNumId w:val="3"/>
  </w:num>
  <w:num w:numId="2">
    <w:abstractNumId w:val="9"/>
  </w:num>
  <w:num w:numId="3">
    <w:abstractNumId w:val="1"/>
  </w:num>
  <w:num w:numId="4">
    <w:abstractNumId w:val="5"/>
  </w:num>
  <w:num w:numId="5">
    <w:abstractNumId w:val="0"/>
  </w:num>
  <w:num w:numId="6">
    <w:abstractNumId w:val="8"/>
  </w:num>
  <w:num w:numId="7">
    <w:abstractNumId w:val="4"/>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lename" w:val="EQR\EQR\82152485\1"/>
  </w:docVars>
  <w:rsids>
    <w:rsidRoot w:val="00C76FB6"/>
    <w:rsid w:val="0008556C"/>
    <w:rsid w:val="000B5A9C"/>
    <w:rsid w:val="00114046"/>
    <w:rsid w:val="001200A6"/>
    <w:rsid w:val="0013274C"/>
    <w:rsid w:val="00143A5C"/>
    <w:rsid w:val="00175BC0"/>
    <w:rsid w:val="001E1BB8"/>
    <w:rsid w:val="001E38A5"/>
    <w:rsid w:val="0026105C"/>
    <w:rsid w:val="002C1268"/>
    <w:rsid w:val="002C4C49"/>
    <w:rsid w:val="002F7BA1"/>
    <w:rsid w:val="0035295B"/>
    <w:rsid w:val="00357637"/>
    <w:rsid w:val="003755F3"/>
    <w:rsid w:val="00385382"/>
    <w:rsid w:val="003959BE"/>
    <w:rsid w:val="003B3A98"/>
    <w:rsid w:val="003D47B3"/>
    <w:rsid w:val="003D7B34"/>
    <w:rsid w:val="00402103"/>
    <w:rsid w:val="004039CE"/>
    <w:rsid w:val="004122FF"/>
    <w:rsid w:val="004170A7"/>
    <w:rsid w:val="00444C21"/>
    <w:rsid w:val="0047370E"/>
    <w:rsid w:val="00485D52"/>
    <w:rsid w:val="004F7B25"/>
    <w:rsid w:val="005010FD"/>
    <w:rsid w:val="005204E8"/>
    <w:rsid w:val="0058003D"/>
    <w:rsid w:val="005A2E02"/>
    <w:rsid w:val="005A2E28"/>
    <w:rsid w:val="005B7B3F"/>
    <w:rsid w:val="005E6C3C"/>
    <w:rsid w:val="00603F45"/>
    <w:rsid w:val="00610B23"/>
    <w:rsid w:val="00613AB7"/>
    <w:rsid w:val="00631121"/>
    <w:rsid w:val="00632472"/>
    <w:rsid w:val="00634267"/>
    <w:rsid w:val="006A7E35"/>
    <w:rsid w:val="006B40EA"/>
    <w:rsid w:val="006B6CA5"/>
    <w:rsid w:val="006D5B36"/>
    <w:rsid w:val="006F1BDD"/>
    <w:rsid w:val="0070055C"/>
    <w:rsid w:val="00711B52"/>
    <w:rsid w:val="0071693B"/>
    <w:rsid w:val="0073604A"/>
    <w:rsid w:val="007465F3"/>
    <w:rsid w:val="00784730"/>
    <w:rsid w:val="00792D29"/>
    <w:rsid w:val="007C31F1"/>
    <w:rsid w:val="007D3E80"/>
    <w:rsid w:val="007E1600"/>
    <w:rsid w:val="007E296B"/>
    <w:rsid w:val="007E430C"/>
    <w:rsid w:val="007F443D"/>
    <w:rsid w:val="0086159C"/>
    <w:rsid w:val="00863325"/>
    <w:rsid w:val="008858DA"/>
    <w:rsid w:val="00894875"/>
    <w:rsid w:val="008A5114"/>
    <w:rsid w:val="008A6384"/>
    <w:rsid w:val="008E19D4"/>
    <w:rsid w:val="00921898"/>
    <w:rsid w:val="00952E59"/>
    <w:rsid w:val="0098297C"/>
    <w:rsid w:val="009B6975"/>
    <w:rsid w:val="009C1E89"/>
    <w:rsid w:val="009F7C62"/>
    <w:rsid w:val="00A02B0A"/>
    <w:rsid w:val="00A3190C"/>
    <w:rsid w:val="00A35179"/>
    <w:rsid w:val="00A8680E"/>
    <w:rsid w:val="00AA12FB"/>
    <w:rsid w:val="00AB0879"/>
    <w:rsid w:val="00AD4088"/>
    <w:rsid w:val="00AF55F8"/>
    <w:rsid w:val="00B1379B"/>
    <w:rsid w:val="00B231D9"/>
    <w:rsid w:val="00B251BC"/>
    <w:rsid w:val="00B44341"/>
    <w:rsid w:val="00B53545"/>
    <w:rsid w:val="00BC7F60"/>
    <w:rsid w:val="00BD0215"/>
    <w:rsid w:val="00BD1AFC"/>
    <w:rsid w:val="00BD4650"/>
    <w:rsid w:val="00BF3436"/>
    <w:rsid w:val="00C0363D"/>
    <w:rsid w:val="00C21BB4"/>
    <w:rsid w:val="00C25311"/>
    <w:rsid w:val="00C2708F"/>
    <w:rsid w:val="00C44028"/>
    <w:rsid w:val="00C57A78"/>
    <w:rsid w:val="00C6046F"/>
    <w:rsid w:val="00C616DE"/>
    <w:rsid w:val="00C70C3A"/>
    <w:rsid w:val="00C76FB6"/>
    <w:rsid w:val="00C77D70"/>
    <w:rsid w:val="00C85ACE"/>
    <w:rsid w:val="00CC4443"/>
    <w:rsid w:val="00CD3022"/>
    <w:rsid w:val="00CD6444"/>
    <w:rsid w:val="00CD78EA"/>
    <w:rsid w:val="00D264F2"/>
    <w:rsid w:val="00D36203"/>
    <w:rsid w:val="00D435A2"/>
    <w:rsid w:val="00D46F42"/>
    <w:rsid w:val="00D63B3F"/>
    <w:rsid w:val="00D81A5A"/>
    <w:rsid w:val="00DA4B7B"/>
    <w:rsid w:val="00DB1EB6"/>
    <w:rsid w:val="00DE01F5"/>
    <w:rsid w:val="00E10316"/>
    <w:rsid w:val="00E12125"/>
    <w:rsid w:val="00E36240"/>
    <w:rsid w:val="00E5342E"/>
    <w:rsid w:val="00E84B2C"/>
    <w:rsid w:val="00E96798"/>
    <w:rsid w:val="00F139A4"/>
    <w:rsid w:val="00F46233"/>
    <w:rsid w:val="00F81DDA"/>
    <w:rsid w:val="00FD075C"/>
    <w:rsid w:val="00FF7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D949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76FB6"/>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6F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tHead5">
    <w:name w:val="ActHead 5"/>
    <w:aliases w:val="s"/>
    <w:basedOn w:val="Normal"/>
    <w:next w:val="subsection"/>
    <w:qFormat/>
    <w:rsid w:val="00C76FB6"/>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C76FB6"/>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subsection">
    <w:name w:val="subsection"/>
    <w:aliases w:val="ss,Subsection"/>
    <w:basedOn w:val="Normal"/>
    <w:link w:val="subsectionChar"/>
    <w:rsid w:val="00C76FB6"/>
    <w:pPr>
      <w:tabs>
        <w:tab w:val="right" w:pos="1021"/>
      </w:tabs>
      <w:spacing w:before="180" w:line="240" w:lineRule="auto"/>
      <w:ind w:left="1134" w:hanging="1134"/>
    </w:pPr>
    <w:rPr>
      <w:rFonts w:eastAsia="Times New Roman" w:cs="Times New Roman"/>
      <w:lang w:eastAsia="en-AU"/>
    </w:rPr>
  </w:style>
  <w:style w:type="paragraph" w:styleId="Header">
    <w:name w:val="header"/>
    <w:basedOn w:val="Normal"/>
    <w:link w:val="HeaderChar"/>
    <w:unhideWhenUsed/>
    <w:rsid w:val="00C76FB6"/>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C76FB6"/>
    <w:rPr>
      <w:rFonts w:ascii="Times New Roman" w:eastAsia="Times New Roman" w:hAnsi="Times New Roman" w:cs="Times New Roman"/>
      <w:sz w:val="16"/>
      <w:szCs w:val="20"/>
      <w:lang w:eastAsia="en-AU"/>
    </w:rPr>
  </w:style>
  <w:style w:type="paragraph" w:customStyle="1" w:styleId="notetext">
    <w:name w:val="note(text)"/>
    <w:aliases w:val="n"/>
    <w:basedOn w:val="Normal"/>
    <w:link w:val="notetextChar"/>
    <w:rsid w:val="00C76FB6"/>
    <w:pPr>
      <w:spacing w:before="122" w:line="198" w:lineRule="exact"/>
      <w:ind w:left="1985" w:hanging="851"/>
    </w:pPr>
    <w:rPr>
      <w:rFonts w:eastAsia="Times New Roman" w:cs="Times New Roman"/>
      <w:sz w:val="18"/>
      <w:lang w:eastAsia="en-AU"/>
    </w:rPr>
  </w:style>
  <w:style w:type="paragraph" w:customStyle="1" w:styleId="Tabletext">
    <w:name w:val="Tabletext"/>
    <w:aliases w:val="tt"/>
    <w:basedOn w:val="Normal"/>
    <w:rsid w:val="00C76FB6"/>
    <w:pPr>
      <w:spacing w:before="60" w:line="240" w:lineRule="atLeast"/>
    </w:pPr>
    <w:rPr>
      <w:rFonts w:eastAsia="Times New Roman" w:cs="Times New Roman"/>
      <w:sz w:val="20"/>
      <w:lang w:eastAsia="en-AU"/>
    </w:rPr>
  </w:style>
  <w:style w:type="paragraph" w:styleId="TOC5">
    <w:name w:val="toc 5"/>
    <w:basedOn w:val="Normal"/>
    <w:next w:val="Normal"/>
    <w:uiPriority w:val="39"/>
    <w:unhideWhenUsed/>
    <w:rsid w:val="00C76FB6"/>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C76FB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Footer">
    <w:name w:val="footer"/>
    <w:link w:val="FooterChar"/>
    <w:rsid w:val="00C76FB6"/>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C76FB6"/>
    <w:rPr>
      <w:rFonts w:ascii="Times New Roman" w:eastAsia="Times New Roman" w:hAnsi="Times New Roman" w:cs="Times New Roman"/>
      <w:szCs w:val="24"/>
      <w:lang w:eastAsia="en-AU"/>
    </w:rPr>
  </w:style>
  <w:style w:type="table" w:styleId="TableGrid">
    <w:name w:val="Table Grid"/>
    <w:basedOn w:val="TableNormal"/>
    <w:uiPriority w:val="59"/>
    <w:rsid w:val="00C76FB6"/>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C76FB6"/>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C76FB6"/>
    <w:pPr>
      <w:pBdr>
        <w:top w:val="single" w:sz="4" w:space="1" w:color="auto"/>
      </w:pBdr>
      <w:spacing w:before="360"/>
      <w:ind w:right="397"/>
      <w:jc w:val="both"/>
    </w:pPr>
    <w:rPr>
      <w:rFonts w:eastAsia="Times New Roman" w:cs="Times New Roman"/>
      <w:lang w:eastAsia="en-AU"/>
    </w:rPr>
  </w:style>
  <w:style w:type="paragraph" w:customStyle="1" w:styleId="TableHeading">
    <w:name w:val="TableHeading"/>
    <w:aliases w:val="th"/>
    <w:basedOn w:val="Normal"/>
    <w:next w:val="Tabletext"/>
    <w:rsid w:val="00C76FB6"/>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C76FB6"/>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C76FB6"/>
    <w:rPr>
      <w:rFonts w:ascii="Times New Roman" w:eastAsia="Times New Roman" w:hAnsi="Times New Roman" w:cs="Times New Roman"/>
      <w:sz w:val="18"/>
      <w:szCs w:val="20"/>
      <w:lang w:eastAsia="en-AU"/>
    </w:rPr>
  </w:style>
  <w:style w:type="paragraph" w:styleId="Title">
    <w:name w:val="Title"/>
    <w:basedOn w:val="Normal"/>
    <w:next w:val="Normal"/>
    <w:link w:val="TitleChar"/>
    <w:qFormat/>
    <w:rsid w:val="00C76FB6"/>
    <w:pPr>
      <w:autoSpaceDE w:val="0"/>
      <w:autoSpaceDN w:val="0"/>
      <w:spacing w:before="480" w:line="240" w:lineRule="auto"/>
    </w:pPr>
    <w:rPr>
      <w:rFonts w:ascii="Arial" w:eastAsia="MS Mincho" w:hAnsi="Arial" w:cs="Arial"/>
      <w:b/>
      <w:bCs/>
      <w:sz w:val="40"/>
      <w:szCs w:val="40"/>
    </w:rPr>
  </w:style>
  <w:style w:type="character" w:customStyle="1" w:styleId="TitleChar">
    <w:name w:val="Title Char"/>
    <w:basedOn w:val="DefaultParagraphFont"/>
    <w:link w:val="Title"/>
    <w:rsid w:val="00C76FB6"/>
    <w:rPr>
      <w:rFonts w:ascii="Arial" w:eastAsia="MS Mincho" w:hAnsi="Arial" w:cs="Arial"/>
      <w:b/>
      <w:bCs/>
      <w:sz w:val="40"/>
      <w:szCs w:val="40"/>
    </w:rPr>
  </w:style>
  <w:style w:type="paragraph" w:styleId="ListParagraph">
    <w:name w:val="List Paragraph"/>
    <w:basedOn w:val="Normal"/>
    <w:uiPriority w:val="34"/>
    <w:qFormat/>
    <w:rsid w:val="00C76FB6"/>
    <w:pPr>
      <w:ind w:left="720"/>
      <w:contextualSpacing/>
    </w:pPr>
  </w:style>
  <w:style w:type="character" w:styleId="CommentReference">
    <w:name w:val="annotation reference"/>
    <w:basedOn w:val="DefaultParagraphFont"/>
    <w:uiPriority w:val="99"/>
    <w:semiHidden/>
    <w:unhideWhenUsed/>
    <w:rsid w:val="005A2E02"/>
    <w:rPr>
      <w:sz w:val="16"/>
      <w:szCs w:val="16"/>
    </w:rPr>
  </w:style>
  <w:style w:type="paragraph" w:styleId="CommentText">
    <w:name w:val="annotation text"/>
    <w:basedOn w:val="Normal"/>
    <w:link w:val="CommentTextChar"/>
    <w:uiPriority w:val="99"/>
    <w:semiHidden/>
    <w:unhideWhenUsed/>
    <w:rsid w:val="005A2E02"/>
    <w:pPr>
      <w:spacing w:line="240" w:lineRule="auto"/>
    </w:pPr>
    <w:rPr>
      <w:sz w:val="20"/>
    </w:rPr>
  </w:style>
  <w:style w:type="character" w:customStyle="1" w:styleId="CommentTextChar">
    <w:name w:val="Comment Text Char"/>
    <w:basedOn w:val="DefaultParagraphFont"/>
    <w:link w:val="CommentText"/>
    <w:uiPriority w:val="99"/>
    <w:semiHidden/>
    <w:rsid w:val="005A2E0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A2E02"/>
    <w:rPr>
      <w:b/>
      <w:bCs/>
    </w:rPr>
  </w:style>
  <w:style w:type="character" w:customStyle="1" w:styleId="CommentSubjectChar">
    <w:name w:val="Comment Subject Char"/>
    <w:basedOn w:val="CommentTextChar"/>
    <w:link w:val="CommentSubject"/>
    <w:uiPriority w:val="99"/>
    <w:semiHidden/>
    <w:rsid w:val="005A2E02"/>
    <w:rPr>
      <w:rFonts w:ascii="Times New Roman" w:hAnsi="Times New Roman"/>
      <w:b/>
      <w:bCs/>
      <w:sz w:val="20"/>
      <w:szCs w:val="20"/>
    </w:rPr>
  </w:style>
  <w:style w:type="paragraph" w:styleId="BalloonText">
    <w:name w:val="Balloon Text"/>
    <w:basedOn w:val="Normal"/>
    <w:link w:val="BalloonTextChar"/>
    <w:uiPriority w:val="99"/>
    <w:semiHidden/>
    <w:unhideWhenUsed/>
    <w:rsid w:val="005A2E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E02"/>
    <w:rPr>
      <w:rFonts w:ascii="Segoe UI" w:hAnsi="Segoe UI" w:cs="Segoe UI"/>
      <w:sz w:val="18"/>
      <w:szCs w:val="18"/>
    </w:rPr>
  </w:style>
  <w:style w:type="paragraph" w:styleId="Revision">
    <w:name w:val="Revision"/>
    <w:hidden/>
    <w:uiPriority w:val="99"/>
    <w:semiHidden/>
    <w:rsid w:val="00613AB7"/>
    <w:pPr>
      <w:spacing w:after="0" w:line="240"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58283">
      <w:bodyDiv w:val="1"/>
      <w:marLeft w:val="0"/>
      <w:marRight w:val="0"/>
      <w:marTop w:val="0"/>
      <w:marBottom w:val="0"/>
      <w:divBdr>
        <w:top w:val="none" w:sz="0" w:space="0" w:color="auto"/>
        <w:left w:val="none" w:sz="0" w:space="0" w:color="auto"/>
        <w:bottom w:val="none" w:sz="0" w:space="0" w:color="auto"/>
        <w:right w:val="none" w:sz="0" w:space="0" w:color="auto"/>
      </w:divBdr>
    </w:div>
    <w:div w:id="182800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2021-12-09T06:05:00Z</dcterms:created>
  <dcterms:modified xsi:type="dcterms:W3CDTF">2022-04-13T00:09:00Z</dcterms:modified>
</cp:coreProperties>
</file>