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9BAC02" w14:textId="140EAB52" w:rsidR="00017141" w:rsidRPr="00017141" w:rsidRDefault="00017141" w:rsidP="00BD02D0">
      <w:pPr>
        <w:spacing w:after="240" w:line="259" w:lineRule="auto"/>
        <w:ind w:left="720"/>
        <w:rPr>
          <w:rFonts w:ascii="Times New Roman" w:eastAsia="Calibri" w:hAnsi="Times New Roman"/>
          <w:b/>
          <w:sz w:val="28"/>
          <w:szCs w:val="28"/>
        </w:rPr>
      </w:pPr>
      <w:bookmarkStart w:id="0" w:name="_GoBack"/>
      <w:bookmarkEnd w:id="0"/>
      <w:r w:rsidRPr="00017141">
        <w:rPr>
          <w:rFonts w:ascii="Times New Roman" w:eastAsia="Calibri" w:hAnsi="Times New Roman"/>
          <w:b/>
          <w:sz w:val="28"/>
          <w:szCs w:val="28"/>
        </w:rPr>
        <w:t>EXPLANATORY STATEMENT</w:t>
      </w:r>
    </w:p>
    <w:p w14:paraId="3834CFA0" w14:textId="77777777" w:rsidR="00DA2AA1" w:rsidRPr="00BF6A36" w:rsidRDefault="00DA2AA1" w:rsidP="00BD02D0">
      <w:pPr>
        <w:spacing w:after="240" w:line="259" w:lineRule="auto"/>
        <w:ind w:left="720"/>
        <w:rPr>
          <w:rFonts w:ascii="Times New Roman" w:eastAsia="Calibri" w:hAnsi="Times New Roman"/>
          <w:sz w:val="24"/>
        </w:rPr>
      </w:pPr>
      <w:r w:rsidRPr="00C46410">
        <w:rPr>
          <w:rFonts w:ascii="Times New Roman" w:eastAsia="Calibri" w:hAnsi="Times New Roman"/>
          <w:sz w:val="24"/>
        </w:rPr>
        <w:t>Issued by authority of the AUSTRAC CEO</w:t>
      </w:r>
    </w:p>
    <w:p w14:paraId="5D0DF0EF" w14:textId="77777777" w:rsidR="00DA2AA1" w:rsidRPr="00C1088D" w:rsidRDefault="00DA2AA1" w:rsidP="00BD02D0">
      <w:pPr>
        <w:spacing w:after="240" w:line="259" w:lineRule="auto"/>
        <w:ind w:left="720"/>
        <w:rPr>
          <w:rFonts w:ascii="Times New Roman" w:eastAsia="Calibri" w:hAnsi="Times New Roman"/>
          <w:i/>
          <w:sz w:val="24"/>
        </w:rPr>
      </w:pPr>
      <w:r w:rsidRPr="00C1088D">
        <w:rPr>
          <w:rFonts w:ascii="Times New Roman" w:eastAsia="Calibri" w:hAnsi="Times New Roman"/>
          <w:i/>
          <w:sz w:val="24"/>
        </w:rPr>
        <w:t>Anti-Money Laundering and Counter-Terrorism Financing Act 2006</w:t>
      </w:r>
    </w:p>
    <w:p w14:paraId="7AE0E96C" w14:textId="4F55F293" w:rsidR="00DA2AA1" w:rsidRPr="00C46410" w:rsidRDefault="00DA2AA1" w:rsidP="00BD02D0">
      <w:pPr>
        <w:spacing w:after="240" w:line="259" w:lineRule="auto"/>
        <w:ind w:left="720"/>
        <w:rPr>
          <w:rFonts w:ascii="Times New Roman" w:eastAsia="Calibri" w:hAnsi="Times New Roman"/>
          <w:i/>
          <w:sz w:val="24"/>
        </w:rPr>
      </w:pPr>
      <w:r w:rsidRPr="00C46410">
        <w:rPr>
          <w:rFonts w:ascii="Times New Roman" w:eastAsia="Calibri" w:hAnsi="Times New Roman"/>
          <w:i/>
          <w:sz w:val="24"/>
        </w:rPr>
        <w:t>Anti-Money Laundering and Counter-Terrorism Financing Rules Amendment Instrument 202</w:t>
      </w:r>
      <w:r w:rsidR="0097440E">
        <w:rPr>
          <w:rFonts w:ascii="Times New Roman" w:eastAsia="Calibri" w:hAnsi="Times New Roman"/>
          <w:i/>
          <w:sz w:val="24"/>
        </w:rPr>
        <w:t>2</w:t>
      </w:r>
      <w:r w:rsidRPr="00C46410">
        <w:rPr>
          <w:rFonts w:ascii="Times New Roman" w:eastAsia="Calibri" w:hAnsi="Times New Roman"/>
          <w:i/>
          <w:sz w:val="24"/>
        </w:rPr>
        <w:t xml:space="preserve"> (No.</w:t>
      </w:r>
      <w:r w:rsidR="00E97BA9">
        <w:rPr>
          <w:rFonts w:ascii="Times New Roman" w:eastAsia="Calibri" w:hAnsi="Times New Roman"/>
          <w:i/>
          <w:sz w:val="24"/>
        </w:rPr>
        <w:t xml:space="preserve"> </w:t>
      </w:r>
      <w:r w:rsidR="0097440E">
        <w:rPr>
          <w:rFonts w:ascii="Times New Roman" w:eastAsia="Calibri" w:hAnsi="Times New Roman"/>
          <w:i/>
          <w:sz w:val="24"/>
        </w:rPr>
        <w:t>1</w:t>
      </w:r>
      <w:r w:rsidR="00AE3182" w:rsidRPr="00C46410">
        <w:rPr>
          <w:rFonts w:ascii="Times New Roman" w:eastAsia="Calibri" w:hAnsi="Times New Roman"/>
          <w:i/>
          <w:sz w:val="24"/>
        </w:rPr>
        <w:t>)</w:t>
      </w:r>
    </w:p>
    <w:p w14:paraId="02072A80" w14:textId="358F5200" w:rsidR="00017141" w:rsidRPr="00C46410" w:rsidRDefault="004F00BC" w:rsidP="00BD02D0">
      <w:pPr>
        <w:spacing w:after="160" w:line="259" w:lineRule="auto"/>
        <w:ind w:left="720"/>
        <w:rPr>
          <w:rFonts w:ascii="Times New Roman" w:eastAsia="Calibri" w:hAnsi="Times New Roman"/>
          <w:sz w:val="24"/>
        </w:rPr>
      </w:pPr>
      <w:r w:rsidRPr="00C46410">
        <w:rPr>
          <w:rFonts w:ascii="Times New Roman" w:eastAsia="Calibri" w:hAnsi="Times New Roman"/>
          <w:b/>
          <w:bCs/>
          <w:sz w:val="24"/>
        </w:rPr>
        <w:t>AUTHORITY</w:t>
      </w:r>
    </w:p>
    <w:p w14:paraId="688A0299" w14:textId="0DAA7B04" w:rsidR="00017141" w:rsidRPr="006D7DED" w:rsidRDefault="00017141" w:rsidP="00BD02D0">
      <w:pPr>
        <w:spacing w:after="160" w:line="259" w:lineRule="auto"/>
        <w:ind w:left="720"/>
        <w:rPr>
          <w:rFonts w:ascii="Times New Roman" w:eastAsia="Calibri" w:hAnsi="Times New Roman"/>
          <w:iCs/>
          <w:sz w:val="24"/>
        </w:rPr>
      </w:pPr>
      <w:r w:rsidRPr="006D7DED">
        <w:rPr>
          <w:rFonts w:ascii="Times New Roman" w:eastAsia="Calibri" w:hAnsi="Times New Roman"/>
          <w:sz w:val="24"/>
        </w:rPr>
        <w:t>Section 229 of the </w:t>
      </w:r>
      <w:r w:rsidRPr="006D7DED">
        <w:rPr>
          <w:rFonts w:ascii="Times New Roman" w:eastAsia="Calibri" w:hAnsi="Times New Roman"/>
          <w:i/>
          <w:iCs/>
          <w:sz w:val="24"/>
        </w:rPr>
        <w:t xml:space="preserve">Anti-Money Laundering and Counter-Terrorism Financing Act 2006 </w:t>
      </w:r>
      <w:r w:rsidRPr="006D7DED">
        <w:rPr>
          <w:rFonts w:ascii="Times New Roman" w:eastAsia="Calibri" w:hAnsi="Times New Roman"/>
          <w:sz w:val="24"/>
        </w:rPr>
        <w:t>(</w:t>
      </w:r>
      <w:r w:rsidRPr="006D7DED">
        <w:rPr>
          <w:rFonts w:ascii="Times New Roman" w:eastAsia="Calibri" w:hAnsi="Times New Roman"/>
          <w:b/>
          <w:sz w:val="24"/>
        </w:rPr>
        <w:t>AML/CTF Act</w:t>
      </w:r>
      <w:r w:rsidRPr="006D7DED">
        <w:rPr>
          <w:rFonts w:ascii="Times New Roman" w:eastAsia="Calibri" w:hAnsi="Times New Roman"/>
          <w:sz w:val="24"/>
        </w:rPr>
        <w:t xml:space="preserve">) provides that the AUSTRAC CEO may, by legislative instrument, make </w:t>
      </w:r>
      <w:r w:rsidR="00DA2AA1" w:rsidRPr="006D7DED">
        <w:rPr>
          <w:rFonts w:ascii="Times New Roman" w:eastAsia="Calibri" w:hAnsi="Times New Roman"/>
          <w:sz w:val="24"/>
        </w:rPr>
        <w:t xml:space="preserve">Anti-Money Laundering and Counter-Terrorism Financing </w:t>
      </w:r>
      <w:r w:rsidR="00733D11" w:rsidRPr="006D7DED">
        <w:rPr>
          <w:rFonts w:ascii="Times New Roman" w:eastAsia="Calibri" w:hAnsi="Times New Roman"/>
          <w:sz w:val="24"/>
        </w:rPr>
        <w:t>R</w:t>
      </w:r>
      <w:r w:rsidRPr="006D7DED">
        <w:rPr>
          <w:rFonts w:ascii="Times New Roman" w:eastAsia="Calibri" w:hAnsi="Times New Roman"/>
          <w:sz w:val="24"/>
        </w:rPr>
        <w:t>ules</w:t>
      </w:r>
      <w:r w:rsidR="00DA2AA1" w:rsidRPr="006D7DED">
        <w:rPr>
          <w:rFonts w:ascii="Times New Roman" w:eastAsia="Calibri" w:hAnsi="Times New Roman"/>
          <w:sz w:val="24"/>
        </w:rPr>
        <w:t xml:space="preserve"> (</w:t>
      </w:r>
      <w:r w:rsidR="00DA2AA1" w:rsidRPr="006D7DED">
        <w:rPr>
          <w:rFonts w:ascii="Times New Roman" w:eastAsia="Calibri" w:hAnsi="Times New Roman"/>
          <w:b/>
          <w:sz w:val="24"/>
        </w:rPr>
        <w:t>AML/CTF Rules</w:t>
      </w:r>
      <w:r w:rsidR="00DA2AA1" w:rsidRPr="006D7DED">
        <w:rPr>
          <w:rFonts w:ascii="Times New Roman" w:eastAsia="Calibri" w:hAnsi="Times New Roman"/>
          <w:sz w:val="24"/>
        </w:rPr>
        <w:t>)</w:t>
      </w:r>
      <w:r w:rsidRPr="006D7DED">
        <w:rPr>
          <w:rFonts w:ascii="Times New Roman" w:eastAsia="Calibri" w:hAnsi="Times New Roman"/>
          <w:sz w:val="24"/>
        </w:rPr>
        <w:t>.</w:t>
      </w:r>
      <w:r w:rsidR="00DA2AA1" w:rsidRPr="006D7DED">
        <w:rPr>
          <w:rFonts w:ascii="Times New Roman" w:eastAsia="Calibri" w:hAnsi="Times New Roman"/>
          <w:sz w:val="24"/>
        </w:rPr>
        <w:t xml:space="preserve"> The AML/CTF Rules are set out in the </w:t>
      </w:r>
      <w:r w:rsidR="00DA2AA1" w:rsidRPr="006D7DED">
        <w:rPr>
          <w:rFonts w:ascii="Times New Roman" w:eastAsia="Calibri" w:hAnsi="Times New Roman"/>
          <w:i/>
          <w:sz w:val="24"/>
        </w:rPr>
        <w:t>Anti-Money Laundering and Counter-Terrorism Financing Rules Instrument 2007 (No. 1)</w:t>
      </w:r>
      <w:r w:rsidR="00DA2AA1" w:rsidRPr="006D7DED">
        <w:rPr>
          <w:rFonts w:ascii="Times New Roman" w:eastAsia="Calibri" w:hAnsi="Times New Roman"/>
          <w:sz w:val="24"/>
        </w:rPr>
        <w:t>.</w:t>
      </w:r>
    </w:p>
    <w:p w14:paraId="758BC837" w14:textId="164B0A3B" w:rsidR="004F00BC" w:rsidRPr="00BF6A36" w:rsidRDefault="009B309E" w:rsidP="00BD02D0">
      <w:pPr>
        <w:spacing w:after="160" w:line="259" w:lineRule="auto"/>
        <w:ind w:left="720"/>
        <w:rPr>
          <w:rFonts w:ascii="Times New Roman" w:eastAsia="Calibri" w:hAnsi="Times New Roman"/>
          <w:b/>
          <w:caps/>
          <w:sz w:val="24"/>
        </w:rPr>
      </w:pPr>
      <w:r w:rsidRPr="00C46410">
        <w:rPr>
          <w:rFonts w:ascii="Times New Roman" w:eastAsia="Calibri" w:hAnsi="Times New Roman"/>
          <w:b/>
          <w:caps/>
          <w:sz w:val="24"/>
        </w:rPr>
        <w:t>Purpose and operation of the instrument</w:t>
      </w:r>
    </w:p>
    <w:p w14:paraId="21E9EE3D" w14:textId="25C09257" w:rsidR="00017141" w:rsidRPr="00BC6A40" w:rsidRDefault="00DA2AA1" w:rsidP="00BD02D0">
      <w:pPr>
        <w:spacing w:after="160" w:line="259" w:lineRule="auto"/>
        <w:ind w:left="720"/>
        <w:rPr>
          <w:rFonts w:ascii="Times New Roman" w:eastAsia="Calibri" w:hAnsi="Times New Roman"/>
          <w:sz w:val="24"/>
        </w:rPr>
      </w:pPr>
      <w:r w:rsidRPr="00BC6A40">
        <w:rPr>
          <w:rFonts w:ascii="Times New Roman" w:eastAsia="Calibri" w:hAnsi="Times New Roman"/>
          <w:sz w:val="24"/>
        </w:rPr>
        <w:t xml:space="preserve">The </w:t>
      </w:r>
      <w:r w:rsidRPr="00BC6A40">
        <w:rPr>
          <w:rFonts w:ascii="Times New Roman" w:eastAsia="Calibri" w:hAnsi="Times New Roman"/>
          <w:i/>
          <w:sz w:val="24"/>
        </w:rPr>
        <w:t xml:space="preserve">Anti-Money Laundering and Counter-Terrorism Financing Rules Amendment Instrument 2021 (No. </w:t>
      </w:r>
      <w:r w:rsidR="00ED6819">
        <w:rPr>
          <w:rFonts w:ascii="Times New Roman" w:eastAsia="Calibri" w:hAnsi="Times New Roman"/>
          <w:i/>
          <w:sz w:val="24"/>
        </w:rPr>
        <w:t>3</w:t>
      </w:r>
      <w:r w:rsidRPr="00BC6A40">
        <w:rPr>
          <w:rFonts w:ascii="Times New Roman" w:eastAsia="Calibri" w:hAnsi="Times New Roman"/>
          <w:i/>
          <w:sz w:val="24"/>
        </w:rPr>
        <w:t xml:space="preserve">) </w:t>
      </w:r>
      <w:r w:rsidRPr="00BC6A40">
        <w:rPr>
          <w:rFonts w:ascii="Times New Roman" w:eastAsia="Calibri" w:hAnsi="Times New Roman"/>
          <w:sz w:val="24"/>
        </w:rPr>
        <w:t xml:space="preserve">(the </w:t>
      </w:r>
      <w:r w:rsidRPr="00BC6A40">
        <w:rPr>
          <w:rFonts w:ascii="Times New Roman" w:eastAsia="Calibri" w:hAnsi="Times New Roman"/>
          <w:b/>
          <w:sz w:val="24"/>
        </w:rPr>
        <w:t>Amendment Instrument</w:t>
      </w:r>
      <w:r w:rsidRPr="00BC6A40">
        <w:rPr>
          <w:rFonts w:ascii="Times New Roman" w:eastAsia="Calibri" w:hAnsi="Times New Roman"/>
          <w:sz w:val="24"/>
        </w:rPr>
        <w:t>)</w:t>
      </w:r>
      <w:r w:rsidRPr="00BC6A40">
        <w:rPr>
          <w:rFonts w:ascii="Times New Roman" w:eastAsia="Calibri" w:hAnsi="Times New Roman"/>
          <w:i/>
          <w:sz w:val="24"/>
        </w:rPr>
        <w:t xml:space="preserve"> </w:t>
      </w:r>
      <w:r w:rsidRPr="00BC6A40">
        <w:rPr>
          <w:rFonts w:ascii="Times New Roman" w:eastAsia="Calibri" w:hAnsi="Times New Roman"/>
          <w:sz w:val="24"/>
        </w:rPr>
        <w:t xml:space="preserve">is </w:t>
      </w:r>
      <w:r w:rsidR="00017141" w:rsidRPr="00BC6A40">
        <w:rPr>
          <w:rFonts w:ascii="Times New Roman" w:eastAsia="Calibri" w:hAnsi="Times New Roman"/>
          <w:sz w:val="24"/>
        </w:rPr>
        <w:t xml:space="preserve">a legislative instrument for the purposes of the </w:t>
      </w:r>
      <w:r w:rsidR="00017141" w:rsidRPr="00BC6A40">
        <w:rPr>
          <w:rFonts w:ascii="Times New Roman" w:eastAsia="Calibri" w:hAnsi="Times New Roman"/>
          <w:i/>
          <w:sz w:val="24"/>
        </w:rPr>
        <w:t>Legislation Act 2003</w:t>
      </w:r>
      <w:r w:rsidR="00017141" w:rsidRPr="00BC6A40">
        <w:rPr>
          <w:rFonts w:ascii="Times New Roman" w:eastAsia="Calibri" w:hAnsi="Times New Roman"/>
          <w:sz w:val="24"/>
        </w:rPr>
        <w:t xml:space="preserve">. </w:t>
      </w:r>
    </w:p>
    <w:p w14:paraId="2630780F" w14:textId="20439307" w:rsidR="004F00BC" w:rsidRPr="00BC6A40" w:rsidRDefault="004F00BC" w:rsidP="00BD02D0">
      <w:pPr>
        <w:spacing w:after="160" w:line="259" w:lineRule="auto"/>
        <w:ind w:left="720"/>
        <w:rPr>
          <w:rFonts w:ascii="Times New Roman" w:eastAsia="Calibri" w:hAnsi="Times New Roman"/>
          <w:sz w:val="24"/>
        </w:rPr>
      </w:pPr>
      <w:r w:rsidRPr="00BC6A40">
        <w:rPr>
          <w:rFonts w:ascii="Times New Roman" w:eastAsia="Calibri" w:hAnsi="Times New Roman"/>
          <w:sz w:val="24"/>
        </w:rPr>
        <w:t xml:space="preserve">Details of the </w:t>
      </w:r>
      <w:r w:rsidR="00DA2AA1" w:rsidRPr="00BC6A40">
        <w:rPr>
          <w:rFonts w:ascii="Times New Roman" w:eastAsia="Calibri" w:hAnsi="Times New Roman"/>
          <w:sz w:val="24"/>
        </w:rPr>
        <w:t xml:space="preserve">Amendment Instrument </w:t>
      </w:r>
      <w:r w:rsidRPr="00BC6A40">
        <w:rPr>
          <w:rFonts w:ascii="Times New Roman" w:eastAsia="Calibri" w:hAnsi="Times New Roman"/>
          <w:sz w:val="24"/>
        </w:rPr>
        <w:t xml:space="preserve">are set out in </w:t>
      </w:r>
      <w:r w:rsidRPr="00BC6A40">
        <w:rPr>
          <w:rFonts w:ascii="Times New Roman" w:eastAsia="Calibri" w:hAnsi="Times New Roman"/>
          <w:sz w:val="24"/>
          <w:u w:val="single"/>
        </w:rPr>
        <w:t>Attachment A.</w:t>
      </w:r>
    </w:p>
    <w:p w14:paraId="2C7A8DEC" w14:textId="1A7E0836" w:rsidR="004F00BC" w:rsidRPr="003B5048" w:rsidRDefault="004F00BC" w:rsidP="00BD02D0">
      <w:pPr>
        <w:spacing w:after="160" w:line="259" w:lineRule="auto"/>
        <w:ind w:left="720"/>
        <w:rPr>
          <w:rFonts w:ascii="Times New Roman" w:eastAsia="Calibri" w:hAnsi="Times New Roman"/>
          <w:sz w:val="24"/>
        </w:rPr>
      </w:pPr>
      <w:r w:rsidRPr="00BC6A40">
        <w:rPr>
          <w:rFonts w:ascii="Times New Roman" w:eastAsia="Calibri" w:hAnsi="Times New Roman"/>
          <w:sz w:val="24"/>
        </w:rPr>
        <w:t xml:space="preserve">A Statement of Compatibility with Human Rights (the </w:t>
      </w:r>
      <w:r w:rsidRPr="00BC6A40">
        <w:rPr>
          <w:rFonts w:ascii="Times New Roman" w:eastAsia="Calibri" w:hAnsi="Times New Roman"/>
          <w:b/>
          <w:sz w:val="24"/>
        </w:rPr>
        <w:t>Statement</w:t>
      </w:r>
      <w:r w:rsidRPr="00BC6A40">
        <w:rPr>
          <w:rFonts w:ascii="Times New Roman" w:eastAsia="Calibri" w:hAnsi="Times New Roman"/>
          <w:sz w:val="24"/>
        </w:rPr>
        <w:t xml:space="preserve">) </w:t>
      </w:r>
      <w:r w:rsidR="00DA2AA1" w:rsidRPr="00BC6A40">
        <w:rPr>
          <w:rFonts w:ascii="Times New Roman" w:eastAsia="Calibri" w:hAnsi="Times New Roman"/>
          <w:sz w:val="24"/>
        </w:rPr>
        <w:t xml:space="preserve">is at </w:t>
      </w:r>
      <w:r w:rsidR="00DA2AA1" w:rsidRPr="00BC6A40">
        <w:rPr>
          <w:rFonts w:ascii="Times New Roman" w:eastAsia="Calibri" w:hAnsi="Times New Roman"/>
          <w:sz w:val="24"/>
          <w:u w:val="single"/>
        </w:rPr>
        <w:t xml:space="preserve">Attachment </w:t>
      </w:r>
      <w:r w:rsidR="00DA2AA1" w:rsidRPr="00E97BA9">
        <w:rPr>
          <w:rFonts w:ascii="Times New Roman" w:eastAsia="Calibri" w:hAnsi="Times New Roman"/>
          <w:sz w:val="24"/>
          <w:u w:val="single"/>
        </w:rPr>
        <w:t>B</w:t>
      </w:r>
      <w:r w:rsidR="00DA2AA1" w:rsidRPr="003B5048">
        <w:rPr>
          <w:rFonts w:ascii="Times New Roman" w:eastAsia="Calibri" w:hAnsi="Times New Roman"/>
          <w:sz w:val="24"/>
        </w:rPr>
        <w:t xml:space="preserve">. The Statement </w:t>
      </w:r>
      <w:r w:rsidR="00AE3182">
        <w:rPr>
          <w:rFonts w:ascii="Times New Roman" w:eastAsia="Calibri" w:hAnsi="Times New Roman"/>
          <w:sz w:val="24"/>
        </w:rPr>
        <w:t>was</w:t>
      </w:r>
      <w:r w:rsidRPr="003B5048">
        <w:rPr>
          <w:rFonts w:ascii="Times New Roman" w:eastAsia="Calibri" w:hAnsi="Times New Roman"/>
          <w:sz w:val="24"/>
        </w:rPr>
        <w:t xml:space="preserve"> completed in accordance with the </w:t>
      </w:r>
      <w:r w:rsidRPr="003B5048">
        <w:rPr>
          <w:rFonts w:ascii="Times New Roman" w:eastAsia="Calibri" w:hAnsi="Times New Roman"/>
          <w:i/>
          <w:iCs/>
          <w:sz w:val="24"/>
        </w:rPr>
        <w:t>Human Rights (Parliamentary Scrutiny) Act 2011. </w:t>
      </w:r>
      <w:r w:rsidRPr="00E75C18">
        <w:rPr>
          <w:rFonts w:ascii="Times New Roman" w:eastAsia="Calibri" w:hAnsi="Times New Roman"/>
          <w:sz w:val="24"/>
        </w:rPr>
        <w:t xml:space="preserve">The overall assessment is that the </w:t>
      </w:r>
      <w:r w:rsidR="00DA2AA1" w:rsidRPr="00E75C18">
        <w:rPr>
          <w:rFonts w:ascii="Times New Roman" w:eastAsia="Calibri" w:hAnsi="Times New Roman"/>
          <w:sz w:val="24"/>
        </w:rPr>
        <w:t>Amendment Instrument</w:t>
      </w:r>
      <w:r w:rsidR="001C55AA" w:rsidRPr="00E75C18">
        <w:rPr>
          <w:rFonts w:ascii="Times New Roman" w:eastAsia="Calibri" w:hAnsi="Times New Roman"/>
          <w:sz w:val="24"/>
        </w:rPr>
        <w:t xml:space="preserve"> </w:t>
      </w:r>
      <w:r w:rsidR="00DA2AA1" w:rsidRPr="00E75C18">
        <w:rPr>
          <w:rFonts w:ascii="Times New Roman" w:eastAsia="Calibri" w:hAnsi="Times New Roman"/>
          <w:sz w:val="24"/>
        </w:rPr>
        <w:t xml:space="preserve">is </w:t>
      </w:r>
      <w:r w:rsidR="001C55AA" w:rsidRPr="00E75C18">
        <w:rPr>
          <w:rFonts w:ascii="Times New Roman" w:eastAsia="Calibri" w:hAnsi="Times New Roman"/>
          <w:sz w:val="24"/>
        </w:rPr>
        <w:t>compatible with them.</w:t>
      </w:r>
      <w:r w:rsidRPr="003B5048">
        <w:rPr>
          <w:rFonts w:ascii="Times New Roman" w:eastAsia="Calibri" w:hAnsi="Times New Roman"/>
          <w:sz w:val="24"/>
        </w:rPr>
        <w:t xml:space="preserve"> </w:t>
      </w:r>
    </w:p>
    <w:p w14:paraId="7F67CB67" w14:textId="05610210" w:rsidR="004F00BC" w:rsidRDefault="004F00BC" w:rsidP="00BD02D0">
      <w:pPr>
        <w:spacing w:after="160" w:line="259" w:lineRule="auto"/>
        <w:ind w:left="720"/>
        <w:rPr>
          <w:rFonts w:ascii="Times New Roman" w:eastAsia="Calibri" w:hAnsi="Times New Roman"/>
          <w:b/>
          <w:sz w:val="24"/>
        </w:rPr>
      </w:pPr>
      <w:r w:rsidRPr="003B5048">
        <w:rPr>
          <w:rFonts w:ascii="Times New Roman" w:eastAsia="Calibri" w:hAnsi="Times New Roman"/>
          <w:b/>
          <w:sz w:val="24"/>
        </w:rPr>
        <w:t>Background</w:t>
      </w:r>
    </w:p>
    <w:p w14:paraId="6AD1789E" w14:textId="2640A473" w:rsidR="0097440E" w:rsidRPr="00273B1A" w:rsidRDefault="00E80931" w:rsidP="00BD02D0">
      <w:pPr>
        <w:tabs>
          <w:tab w:val="left" w:pos="360"/>
          <w:tab w:val="left" w:pos="1080"/>
          <w:tab w:val="left" w:pos="3600"/>
        </w:tabs>
        <w:ind w:left="720"/>
        <w:rPr>
          <w:rFonts w:ascii="Times New Roman" w:hAnsi="Times New Roman"/>
          <w:b/>
          <w:i/>
          <w:sz w:val="24"/>
        </w:rPr>
      </w:pPr>
      <w:r>
        <w:rPr>
          <w:rFonts w:ascii="Times New Roman" w:hAnsi="Times New Roman"/>
          <w:b/>
          <w:i/>
          <w:sz w:val="24"/>
        </w:rPr>
        <w:t>A</w:t>
      </w:r>
      <w:r w:rsidR="0097440E" w:rsidRPr="00273B1A">
        <w:rPr>
          <w:rFonts w:ascii="Times New Roman" w:hAnsi="Times New Roman"/>
          <w:b/>
          <w:i/>
          <w:sz w:val="24"/>
        </w:rPr>
        <w:t>mendment to Chapter 10 implementing changes to the</w:t>
      </w:r>
      <w:r w:rsidR="0097440E" w:rsidRPr="00273B1A">
        <w:rPr>
          <w:rFonts w:ascii="Times New Roman" w:hAnsi="Times New Roman"/>
          <w:b/>
          <w:sz w:val="24"/>
        </w:rPr>
        <w:t xml:space="preserve"> </w:t>
      </w:r>
      <w:r w:rsidR="0097440E" w:rsidRPr="00273B1A">
        <w:rPr>
          <w:rFonts w:ascii="Times New Roman" w:hAnsi="Times New Roman"/>
          <w:b/>
          <w:i/>
          <w:sz w:val="24"/>
        </w:rPr>
        <w:t xml:space="preserve">National Consumer Protection Framework for Online Wagering </w:t>
      </w:r>
      <w:r w:rsidR="0097440E" w:rsidRPr="00273B1A">
        <w:rPr>
          <w:rFonts w:ascii="Times New Roman" w:hAnsi="Times New Roman"/>
          <w:b/>
          <w:sz w:val="24"/>
        </w:rPr>
        <w:t>(</w:t>
      </w:r>
      <w:r w:rsidR="0097440E" w:rsidRPr="00273B1A">
        <w:rPr>
          <w:rFonts w:ascii="Times New Roman" w:hAnsi="Times New Roman"/>
          <w:b/>
          <w:i/>
          <w:sz w:val="24"/>
        </w:rPr>
        <w:t>the National Framework</w:t>
      </w:r>
      <w:r w:rsidR="0097440E" w:rsidRPr="00273B1A">
        <w:rPr>
          <w:rFonts w:ascii="Times New Roman" w:hAnsi="Times New Roman"/>
          <w:b/>
          <w:sz w:val="24"/>
        </w:rPr>
        <w:t>)</w:t>
      </w:r>
    </w:p>
    <w:p w14:paraId="010D3AD1" w14:textId="77777777" w:rsidR="0097440E" w:rsidRPr="005C4572" w:rsidRDefault="0097440E" w:rsidP="00BD02D0">
      <w:pPr>
        <w:numPr>
          <w:ilvl w:val="0"/>
          <w:numId w:val="16"/>
        </w:numPr>
        <w:tabs>
          <w:tab w:val="clear" w:pos="720"/>
          <w:tab w:val="num" w:pos="1287"/>
        </w:tabs>
        <w:autoSpaceDE w:val="0"/>
        <w:autoSpaceDN w:val="0"/>
        <w:adjustRightInd w:val="0"/>
        <w:spacing w:before="240"/>
        <w:ind w:left="1287" w:hanging="567"/>
        <w:rPr>
          <w:rFonts w:ascii="Times New Roman" w:hAnsi="Times New Roman"/>
          <w:sz w:val="24"/>
        </w:rPr>
      </w:pPr>
      <w:r w:rsidRPr="005C4572">
        <w:rPr>
          <w:rFonts w:ascii="Times New Roman" w:hAnsi="Times New Roman"/>
          <w:sz w:val="24"/>
        </w:rPr>
        <w:t xml:space="preserve">The Commonwealth, </w:t>
      </w:r>
      <w:r>
        <w:rPr>
          <w:rFonts w:ascii="Times New Roman" w:hAnsi="Times New Roman"/>
          <w:sz w:val="24"/>
        </w:rPr>
        <w:t>St</w:t>
      </w:r>
      <w:r w:rsidRPr="005C4572">
        <w:rPr>
          <w:rFonts w:ascii="Times New Roman" w:hAnsi="Times New Roman"/>
          <w:sz w:val="24"/>
        </w:rPr>
        <w:t xml:space="preserve">ate and </w:t>
      </w:r>
      <w:r>
        <w:rPr>
          <w:rFonts w:ascii="Times New Roman" w:hAnsi="Times New Roman"/>
          <w:sz w:val="24"/>
        </w:rPr>
        <w:t>T</w:t>
      </w:r>
      <w:r w:rsidRPr="005C4572">
        <w:rPr>
          <w:rFonts w:ascii="Times New Roman" w:hAnsi="Times New Roman"/>
          <w:sz w:val="24"/>
        </w:rPr>
        <w:t xml:space="preserve">erritory governments are responsible for implementing the National Framework. Amongst other matters, the National Framework addresses the </w:t>
      </w:r>
      <w:r>
        <w:rPr>
          <w:rFonts w:ascii="Times New Roman" w:hAnsi="Times New Roman"/>
          <w:sz w:val="24"/>
        </w:rPr>
        <w:t>timeframe in which online wagering providers are required to verify their customers’ identity</w:t>
      </w:r>
      <w:r w:rsidRPr="005C4572">
        <w:rPr>
          <w:rFonts w:ascii="Times New Roman" w:hAnsi="Times New Roman"/>
          <w:sz w:val="24"/>
        </w:rPr>
        <w:t xml:space="preserve">. </w:t>
      </w:r>
    </w:p>
    <w:p w14:paraId="73960950" w14:textId="77777777" w:rsidR="0097440E" w:rsidRPr="005C4572" w:rsidRDefault="0097440E" w:rsidP="00BD02D0">
      <w:pPr>
        <w:numPr>
          <w:ilvl w:val="0"/>
          <w:numId w:val="16"/>
        </w:numPr>
        <w:tabs>
          <w:tab w:val="clear" w:pos="720"/>
          <w:tab w:val="num" w:pos="1287"/>
        </w:tabs>
        <w:autoSpaceDE w:val="0"/>
        <w:autoSpaceDN w:val="0"/>
        <w:adjustRightInd w:val="0"/>
        <w:spacing w:before="240"/>
        <w:ind w:left="1287" w:hanging="567"/>
        <w:rPr>
          <w:rFonts w:ascii="Times New Roman" w:hAnsi="Times New Roman"/>
          <w:sz w:val="24"/>
        </w:rPr>
      </w:pPr>
      <w:r w:rsidRPr="005C4572">
        <w:rPr>
          <w:rFonts w:ascii="Times New Roman" w:hAnsi="Times New Roman"/>
          <w:sz w:val="24"/>
        </w:rPr>
        <w:t xml:space="preserve">In February 2019, </w:t>
      </w:r>
      <w:r w:rsidRPr="00583FDE">
        <w:rPr>
          <w:rFonts w:ascii="Times New Roman" w:hAnsi="Times New Roman"/>
          <w:sz w:val="24"/>
        </w:rPr>
        <w:t xml:space="preserve">the period within which reporting entities are required to carry out the applicable identification procedure in relation to online </w:t>
      </w:r>
      <w:r>
        <w:rPr>
          <w:rFonts w:ascii="Times New Roman" w:hAnsi="Times New Roman"/>
          <w:sz w:val="24"/>
        </w:rPr>
        <w:t>gambling accounts</w:t>
      </w:r>
      <w:r w:rsidRPr="00583FDE">
        <w:rPr>
          <w:rFonts w:ascii="Times New Roman" w:hAnsi="Times New Roman"/>
          <w:sz w:val="24"/>
        </w:rPr>
        <w:t xml:space="preserve"> </w:t>
      </w:r>
      <w:r>
        <w:rPr>
          <w:rFonts w:ascii="Times New Roman" w:hAnsi="Times New Roman"/>
          <w:sz w:val="24"/>
        </w:rPr>
        <w:t xml:space="preserve">was </w:t>
      </w:r>
      <w:r w:rsidRPr="005C4572">
        <w:rPr>
          <w:rFonts w:ascii="Times New Roman" w:hAnsi="Times New Roman"/>
          <w:sz w:val="24"/>
        </w:rPr>
        <w:t xml:space="preserve">reduced from 90 days to 14 days through an amendment to Part 10.4 of the AML/CTF Rules. This change was made with a view to further reducing the period to 72 hours, following a 12-month review. </w:t>
      </w:r>
    </w:p>
    <w:p w14:paraId="5DF03467" w14:textId="77777777" w:rsidR="0097440E" w:rsidRDefault="0097440E" w:rsidP="00BD02D0">
      <w:pPr>
        <w:numPr>
          <w:ilvl w:val="0"/>
          <w:numId w:val="16"/>
        </w:numPr>
        <w:tabs>
          <w:tab w:val="clear" w:pos="720"/>
          <w:tab w:val="num" w:pos="1287"/>
        </w:tabs>
        <w:autoSpaceDE w:val="0"/>
        <w:autoSpaceDN w:val="0"/>
        <w:adjustRightInd w:val="0"/>
        <w:spacing w:before="240"/>
        <w:ind w:left="1287" w:hanging="567"/>
        <w:rPr>
          <w:rFonts w:ascii="Times New Roman" w:hAnsi="Times New Roman"/>
          <w:sz w:val="24"/>
        </w:rPr>
      </w:pPr>
      <w:r w:rsidRPr="005C4572">
        <w:rPr>
          <w:rFonts w:ascii="Times New Roman" w:hAnsi="Times New Roman"/>
          <w:sz w:val="24"/>
        </w:rPr>
        <w:t xml:space="preserve">The 12-month review was undertaken, including consultation with the </w:t>
      </w:r>
      <w:r>
        <w:rPr>
          <w:rFonts w:ascii="Times New Roman" w:hAnsi="Times New Roman"/>
          <w:sz w:val="24"/>
        </w:rPr>
        <w:t>o</w:t>
      </w:r>
      <w:r w:rsidRPr="005C4572">
        <w:rPr>
          <w:rFonts w:ascii="Times New Roman" w:hAnsi="Times New Roman"/>
          <w:sz w:val="24"/>
        </w:rPr>
        <w:t xml:space="preserve">nline wagering industry, academia, the community sector, the financial sector, consumers, and the broader community. Commonwealth, </w:t>
      </w:r>
      <w:r>
        <w:rPr>
          <w:rFonts w:ascii="Times New Roman" w:hAnsi="Times New Roman"/>
          <w:sz w:val="24"/>
        </w:rPr>
        <w:t>S</w:t>
      </w:r>
      <w:r w:rsidRPr="005C4572">
        <w:rPr>
          <w:rFonts w:ascii="Times New Roman" w:hAnsi="Times New Roman"/>
          <w:sz w:val="24"/>
        </w:rPr>
        <w:t xml:space="preserve">tate </w:t>
      </w:r>
      <w:r w:rsidRPr="005C4572">
        <w:rPr>
          <w:rFonts w:ascii="Times New Roman" w:hAnsi="Times New Roman"/>
          <w:sz w:val="24"/>
        </w:rPr>
        <w:lastRenderedPageBreak/>
        <w:t xml:space="preserve">and </w:t>
      </w:r>
      <w:r>
        <w:rPr>
          <w:rFonts w:ascii="Times New Roman" w:hAnsi="Times New Roman"/>
          <w:sz w:val="24"/>
        </w:rPr>
        <w:t>T</w:t>
      </w:r>
      <w:r w:rsidRPr="005C4572">
        <w:rPr>
          <w:rFonts w:ascii="Times New Roman" w:hAnsi="Times New Roman"/>
          <w:sz w:val="24"/>
        </w:rPr>
        <w:t>erritory ministers responsible for gambling have now agreed to further reduce the customer verification period from 14 days to 72 hours.</w:t>
      </w:r>
    </w:p>
    <w:p w14:paraId="63173FD6" w14:textId="77777777" w:rsidR="0097440E" w:rsidRDefault="0097440E" w:rsidP="00BD02D0">
      <w:pPr>
        <w:numPr>
          <w:ilvl w:val="0"/>
          <w:numId w:val="16"/>
        </w:numPr>
        <w:tabs>
          <w:tab w:val="clear" w:pos="720"/>
          <w:tab w:val="num" w:pos="1287"/>
        </w:tabs>
        <w:autoSpaceDE w:val="0"/>
        <w:autoSpaceDN w:val="0"/>
        <w:adjustRightInd w:val="0"/>
        <w:spacing w:before="240"/>
        <w:ind w:left="1287" w:hanging="567"/>
        <w:rPr>
          <w:rFonts w:ascii="Times New Roman" w:hAnsi="Times New Roman"/>
          <w:sz w:val="24"/>
        </w:rPr>
      </w:pPr>
      <w:r w:rsidRPr="004506FF">
        <w:rPr>
          <w:rFonts w:ascii="Times New Roman" w:hAnsi="Times New Roman"/>
          <w:sz w:val="24"/>
        </w:rPr>
        <w:t xml:space="preserve">Part 10.4 of the AML/CTF Rules sets out the special circumstances that justify carrying out the applicable </w:t>
      </w:r>
      <w:r>
        <w:rPr>
          <w:rFonts w:ascii="Times New Roman" w:hAnsi="Times New Roman"/>
          <w:sz w:val="24"/>
        </w:rPr>
        <w:t xml:space="preserve">customer </w:t>
      </w:r>
      <w:r w:rsidRPr="004506FF">
        <w:rPr>
          <w:rFonts w:ascii="Times New Roman" w:hAnsi="Times New Roman"/>
          <w:sz w:val="24"/>
        </w:rPr>
        <w:t>identification procedure after commencement of the provision of online gambling services.</w:t>
      </w:r>
    </w:p>
    <w:p w14:paraId="0DF8EE94" w14:textId="77777777" w:rsidR="0097440E" w:rsidRDefault="0097440E" w:rsidP="00BD02D0">
      <w:pPr>
        <w:numPr>
          <w:ilvl w:val="0"/>
          <w:numId w:val="16"/>
        </w:numPr>
        <w:tabs>
          <w:tab w:val="clear" w:pos="720"/>
          <w:tab w:val="num" w:pos="1287"/>
        </w:tabs>
        <w:autoSpaceDE w:val="0"/>
        <w:autoSpaceDN w:val="0"/>
        <w:adjustRightInd w:val="0"/>
        <w:spacing w:before="240"/>
        <w:ind w:left="1287" w:hanging="567"/>
        <w:rPr>
          <w:rFonts w:ascii="Times New Roman" w:hAnsi="Times New Roman"/>
          <w:sz w:val="24"/>
        </w:rPr>
      </w:pPr>
      <w:r>
        <w:rPr>
          <w:rFonts w:ascii="Times New Roman" w:hAnsi="Times New Roman"/>
          <w:sz w:val="24"/>
        </w:rPr>
        <w:t xml:space="preserve">Where the special circumstances apply, paragraph 10.4.4 sets out the period in which the reporting entity is required to carry out the applicable customer identification procedure, in relation to online gambling services. </w:t>
      </w:r>
    </w:p>
    <w:p w14:paraId="21E56495" w14:textId="6C91D682" w:rsidR="0097440E" w:rsidRDefault="0097440E" w:rsidP="00BD02D0">
      <w:pPr>
        <w:numPr>
          <w:ilvl w:val="0"/>
          <w:numId w:val="16"/>
        </w:numPr>
        <w:tabs>
          <w:tab w:val="clear" w:pos="720"/>
          <w:tab w:val="num" w:pos="1287"/>
        </w:tabs>
        <w:autoSpaceDE w:val="0"/>
        <w:autoSpaceDN w:val="0"/>
        <w:adjustRightInd w:val="0"/>
        <w:spacing w:before="240"/>
        <w:ind w:left="1287" w:hanging="567"/>
        <w:rPr>
          <w:rFonts w:ascii="Times New Roman" w:hAnsi="Times New Roman"/>
          <w:sz w:val="24"/>
        </w:rPr>
      </w:pPr>
      <w:r>
        <w:rPr>
          <w:rFonts w:ascii="Times New Roman" w:hAnsi="Times New Roman"/>
          <w:sz w:val="24"/>
        </w:rPr>
        <w:t xml:space="preserve"> </w:t>
      </w:r>
      <w:r w:rsidRPr="00FD5B62">
        <w:rPr>
          <w:rFonts w:ascii="Times New Roman" w:hAnsi="Times New Roman"/>
          <w:sz w:val="24"/>
        </w:rPr>
        <w:t>Th</w:t>
      </w:r>
      <w:r>
        <w:rPr>
          <w:rFonts w:ascii="Times New Roman" w:hAnsi="Times New Roman"/>
          <w:sz w:val="24"/>
        </w:rPr>
        <w:t>is</w:t>
      </w:r>
      <w:r w:rsidRPr="00FD5B62">
        <w:rPr>
          <w:rFonts w:ascii="Times New Roman" w:hAnsi="Times New Roman"/>
          <w:sz w:val="24"/>
        </w:rPr>
        <w:t xml:space="preserve"> </w:t>
      </w:r>
      <w:r w:rsidR="00E80931">
        <w:rPr>
          <w:rFonts w:ascii="Times New Roman" w:hAnsi="Times New Roman"/>
          <w:sz w:val="24"/>
        </w:rPr>
        <w:t>Instrument</w:t>
      </w:r>
      <w:r w:rsidRPr="00FD5B62">
        <w:rPr>
          <w:rFonts w:ascii="Times New Roman" w:hAnsi="Times New Roman"/>
          <w:sz w:val="24"/>
        </w:rPr>
        <w:t xml:space="preserve"> reduce</w:t>
      </w:r>
      <w:r>
        <w:rPr>
          <w:rFonts w:ascii="Times New Roman" w:hAnsi="Times New Roman"/>
          <w:sz w:val="24"/>
        </w:rPr>
        <w:t>s</w:t>
      </w:r>
      <w:r w:rsidRPr="00FD5B62">
        <w:rPr>
          <w:rFonts w:ascii="Times New Roman" w:hAnsi="Times New Roman"/>
          <w:sz w:val="24"/>
        </w:rPr>
        <w:t xml:space="preserve"> </w:t>
      </w:r>
      <w:r>
        <w:rPr>
          <w:rFonts w:ascii="Times New Roman" w:hAnsi="Times New Roman"/>
          <w:sz w:val="24"/>
        </w:rPr>
        <w:t xml:space="preserve">the </w:t>
      </w:r>
      <w:r w:rsidRPr="00FD5B62">
        <w:rPr>
          <w:rFonts w:ascii="Times New Roman" w:hAnsi="Times New Roman"/>
          <w:sz w:val="24"/>
        </w:rPr>
        <w:t xml:space="preserve">period </w:t>
      </w:r>
      <w:r>
        <w:rPr>
          <w:rFonts w:ascii="Times New Roman" w:hAnsi="Times New Roman"/>
          <w:sz w:val="24"/>
        </w:rPr>
        <w:t xml:space="preserve">within which a reporting entity is required to carry out the applicable customer identification procedure in relation to online gambling accounts </w:t>
      </w:r>
      <w:r w:rsidRPr="00FD5B62">
        <w:rPr>
          <w:rFonts w:ascii="Times New Roman" w:hAnsi="Times New Roman"/>
          <w:sz w:val="24"/>
        </w:rPr>
        <w:t xml:space="preserve">from </w:t>
      </w:r>
      <w:r>
        <w:rPr>
          <w:rFonts w:ascii="Times New Roman" w:hAnsi="Times New Roman"/>
          <w:sz w:val="24"/>
        </w:rPr>
        <w:t>14</w:t>
      </w:r>
      <w:r w:rsidRPr="00FD5B62">
        <w:rPr>
          <w:rFonts w:ascii="Times New Roman" w:hAnsi="Times New Roman"/>
          <w:sz w:val="24"/>
        </w:rPr>
        <w:t xml:space="preserve"> days to </w:t>
      </w:r>
      <w:r>
        <w:rPr>
          <w:rFonts w:ascii="Times New Roman" w:hAnsi="Times New Roman"/>
          <w:sz w:val="24"/>
        </w:rPr>
        <w:t>72 hours</w:t>
      </w:r>
      <w:r w:rsidRPr="00FD5B62">
        <w:rPr>
          <w:rFonts w:ascii="Times New Roman" w:hAnsi="Times New Roman"/>
          <w:sz w:val="24"/>
        </w:rPr>
        <w:t xml:space="preserve"> </w:t>
      </w:r>
      <w:r>
        <w:rPr>
          <w:rFonts w:ascii="Times New Roman" w:hAnsi="Times New Roman"/>
          <w:sz w:val="24"/>
        </w:rPr>
        <w:t>as part of</w:t>
      </w:r>
      <w:r w:rsidRPr="00FD5B62">
        <w:rPr>
          <w:rFonts w:ascii="Times New Roman" w:hAnsi="Times New Roman"/>
          <w:sz w:val="24"/>
        </w:rPr>
        <w:t xml:space="preserve"> </w:t>
      </w:r>
      <w:r>
        <w:rPr>
          <w:rFonts w:ascii="Times New Roman" w:hAnsi="Times New Roman"/>
          <w:sz w:val="24"/>
        </w:rPr>
        <w:t xml:space="preserve">the </w:t>
      </w:r>
      <w:r w:rsidRPr="00FD5B62">
        <w:rPr>
          <w:rFonts w:ascii="Times New Roman" w:hAnsi="Times New Roman"/>
          <w:sz w:val="24"/>
        </w:rPr>
        <w:t>implement</w:t>
      </w:r>
      <w:r>
        <w:rPr>
          <w:rFonts w:ascii="Times New Roman" w:hAnsi="Times New Roman"/>
          <w:sz w:val="24"/>
        </w:rPr>
        <w:t xml:space="preserve">ation of </w:t>
      </w:r>
      <w:r w:rsidRPr="00FD5B62">
        <w:rPr>
          <w:rFonts w:ascii="Times New Roman" w:hAnsi="Times New Roman"/>
          <w:sz w:val="24"/>
        </w:rPr>
        <w:t>the National Framework</w:t>
      </w:r>
      <w:r>
        <w:rPr>
          <w:rFonts w:ascii="Times New Roman" w:hAnsi="Times New Roman"/>
          <w:sz w:val="24"/>
        </w:rPr>
        <w:t>.</w:t>
      </w:r>
    </w:p>
    <w:p w14:paraId="089E184B" w14:textId="5EFBCC19" w:rsidR="003E329A" w:rsidRDefault="0097440E" w:rsidP="00BD02D0">
      <w:pPr>
        <w:numPr>
          <w:ilvl w:val="0"/>
          <w:numId w:val="16"/>
        </w:numPr>
        <w:tabs>
          <w:tab w:val="clear" w:pos="720"/>
          <w:tab w:val="num" w:pos="1287"/>
        </w:tabs>
        <w:autoSpaceDE w:val="0"/>
        <w:autoSpaceDN w:val="0"/>
        <w:adjustRightInd w:val="0"/>
        <w:spacing w:before="240"/>
        <w:ind w:left="1287" w:hanging="567"/>
        <w:rPr>
          <w:rFonts w:ascii="Times New Roman" w:hAnsi="Times New Roman"/>
          <w:sz w:val="24"/>
        </w:rPr>
      </w:pPr>
      <w:r w:rsidRPr="006A59D0">
        <w:rPr>
          <w:rFonts w:ascii="Times New Roman" w:hAnsi="Times New Roman"/>
          <w:sz w:val="24"/>
        </w:rPr>
        <w:t>The amendment to Chapter 10 take</w:t>
      </w:r>
      <w:r>
        <w:rPr>
          <w:rFonts w:ascii="Times New Roman" w:hAnsi="Times New Roman"/>
          <w:sz w:val="24"/>
        </w:rPr>
        <w:t>s</w:t>
      </w:r>
      <w:r w:rsidRPr="006A59D0">
        <w:rPr>
          <w:rFonts w:ascii="Times New Roman" w:hAnsi="Times New Roman"/>
          <w:sz w:val="24"/>
        </w:rPr>
        <w:t xml:space="preserve"> effect on </w:t>
      </w:r>
      <w:r>
        <w:rPr>
          <w:rFonts w:ascii="Times New Roman" w:hAnsi="Times New Roman"/>
          <w:sz w:val="24"/>
        </w:rPr>
        <w:t>2 May 2022</w:t>
      </w:r>
      <w:r w:rsidRPr="006A59D0">
        <w:rPr>
          <w:rFonts w:ascii="Times New Roman" w:hAnsi="Times New Roman"/>
          <w:sz w:val="24"/>
        </w:rPr>
        <w:t xml:space="preserve">. </w:t>
      </w:r>
      <w:r>
        <w:rPr>
          <w:rFonts w:ascii="Times New Roman" w:hAnsi="Times New Roman"/>
          <w:sz w:val="24"/>
        </w:rPr>
        <w:t xml:space="preserve">Reporting entities that commence to provide online gambling services to a customer on or after that date will be required to carry out the </w:t>
      </w:r>
      <w:r w:rsidRPr="004506FF">
        <w:rPr>
          <w:rFonts w:ascii="Times New Roman" w:hAnsi="Times New Roman"/>
          <w:sz w:val="24"/>
        </w:rPr>
        <w:t xml:space="preserve">applicable </w:t>
      </w:r>
      <w:r>
        <w:rPr>
          <w:rFonts w:ascii="Times New Roman" w:hAnsi="Times New Roman"/>
          <w:sz w:val="24"/>
        </w:rPr>
        <w:t xml:space="preserve">customer </w:t>
      </w:r>
      <w:r w:rsidRPr="004506FF">
        <w:rPr>
          <w:rFonts w:ascii="Times New Roman" w:hAnsi="Times New Roman"/>
          <w:sz w:val="24"/>
        </w:rPr>
        <w:t>identification procedure</w:t>
      </w:r>
      <w:r>
        <w:rPr>
          <w:rFonts w:ascii="Times New Roman" w:hAnsi="Times New Roman"/>
          <w:sz w:val="24"/>
        </w:rPr>
        <w:t xml:space="preserve"> within 72 hours of opening the account in the name of the customer. Where a reporting entity commenced to provide online gambling services to a customer before that date, the specified period remains 14 days.</w:t>
      </w:r>
    </w:p>
    <w:p w14:paraId="7CD1B6F1" w14:textId="77777777" w:rsidR="00C74573" w:rsidRDefault="00C74573" w:rsidP="00BD02D0">
      <w:pPr>
        <w:autoSpaceDE w:val="0"/>
        <w:autoSpaceDN w:val="0"/>
        <w:adjustRightInd w:val="0"/>
        <w:spacing w:before="240"/>
        <w:ind w:left="720"/>
        <w:rPr>
          <w:rFonts w:ascii="Times New Roman" w:hAnsi="Times New Roman"/>
          <w:sz w:val="24"/>
        </w:rPr>
      </w:pPr>
    </w:p>
    <w:p w14:paraId="5EC3C7EA" w14:textId="5665BA2D" w:rsidR="00E06A26" w:rsidRPr="00C74573" w:rsidRDefault="00C74573" w:rsidP="00BD02D0">
      <w:pPr>
        <w:tabs>
          <w:tab w:val="left" w:pos="360"/>
          <w:tab w:val="left" w:pos="1080"/>
          <w:tab w:val="left" w:pos="3600"/>
        </w:tabs>
        <w:ind w:left="720"/>
        <w:rPr>
          <w:rFonts w:ascii="Times New Roman" w:hAnsi="Times New Roman"/>
          <w:b/>
          <w:i/>
          <w:sz w:val="24"/>
        </w:rPr>
      </w:pPr>
      <w:r w:rsidRPr="00C74573">
        <w:rPr>
          <w:rFonts w:ascii="Times New Roman" w:hAnsi="Times New Roman"/>
          <w:b/>
          <w:i/>
          <w:sz w:val="24"/>
        </w:rPr>
        <w:t xml:space="preserve">Addition of </w:t>
      </w:r>
      <w:r w:rsidR="00E06A26" w:rsidRPr="00C74573">
        <w:rPr>
          <w:rFonts w:ascii="Times New Roman" w:hAnsi="Times New Roman"/>
          <w:b/>
          <w:i/>
          <w:sz w:val="24"/>
        </w:rPr>
        <w:t>Chapter 81 exempting financial institutions from registration obligations when offering digital currency exchange services</w:t>
      </w:r>
    </w:p>
    <w:p w14:paraId="17D957F1" w14:textId="77777777" w:rsidR="00E06A26" w:rsidRPr="00E06A26" w:rsidRDefault="00E06A26" w:rsidP="00BD02D0">
      <w:pPr>
        <w:numPr>
          <w:ilvl w:val="0"/>
          <w:numId w:val="16"/>
        </w:numPr>
        <w:tabs>
          <w:tab w:val="clear" w:pos="720"/>
          <w:tab w:val="num" w:pos="1287"/>
        </w:tabs>
        <w:autoSpaceDE w:val="0"/>
        <w:autoSpaceDN w:val="0"/>
        <w:adjustRightInd w:val="0"/>
        <w:spacing w:before="240"/>
        <w:ind w:left="1287" w:hanging="567"/>
        <w:rPr>
          <w:rFonts w:ascii="Times New Roman" w:hAnsi="Times New Roman"/>
          <w:sz w:val="24"/>
        </w:rPr>
      </w:pPr>
      <w:r w:rsidRPr="00E06A26">
        <w:rPr>
          <w:rFonts w:ascii="Times New Roman" w:hAnsi="Times New Roman"/>
          <w:sz w:val="24"/>
        </w:rPr>
        <w:t xml:space="preserve">In December 2017, the </w:t>
      </w:r>
      <w:r w:rsidRPr="00C74573">
        <w:rPr>
          <w:rFonts w:ascii="Times New Roman" w:hAnsi="Times New Roman"/>
          <w:i/>
          <w:sz w:val="24"/>
        </w:rPr>
        <w:t>Anti-Money Laundering and Counter-Terrorism Financing Amendment Act 2017</w:t>
      </w:r>
      <w:r w:rsidRPr="00E06A26">
        <w:rPr>
          <w:rFonts w:ascii="Times New Roman" w:hAnsi="Times New Roman"/>
          <w:sz w:val="24"/>
        </w:rPr>
        <w:t xml:space="preserve"> (</w:t>
      </w:r>
      <w:r w:rsidRPr="00C74573">
        <w:rPr>
          <w:rFonts w:ascii="Times New Roman" w:hAnsi="Times New Roman"/>
          <w:b/>
          <w:sz w:val="24"/>
        </w:rPr>
        <w:t>Phase 1 reforms</w:t>
      </w:r>
      <w:r w:rsidRPr="00E06A26">
        <w:rPr>
          <w:rFonts w:ascii="Times New Roman" w:hAnsi="Times New Roman"/>
          <w:sz w:val="24"/>
        </w:rPr>
        <w:t>) was passed by Parliament. The Act introduced a range of changes to the AML/CTF Act and expanded the scope of the AML/CTF regime to include regulation of digital currency exchange (</w:t>
      </w:r>
      <w:r w:rsidRPr="00C74573">
        <w:rPr>
          <w:rFonts w:ascii="Times New Roman" w:hAnsi="Times New Roman"/>
          <w:b/>
          <w:sz w:val="24"/>
        </w:rPr>
        <w:t>DCE</w:t>
      </w:r>
      <w:r w:rsidRPr="00E06A26">
        <w:rPr>
          <w:rFonts w:ascii="Times New Roman" w:hAnsi="Times New Roman"/>
          <w:sz w:val="24"/>
        </w:rPr>
        <w:t xml:space="preserve">) service providers. </w:t>
      </w:r>
    </w:p>
    <w:p w14:paraId="080F7CAA" w14:textId="559D0646" w:rsidR="00E06A26" w:rsidRPr="00E06A26" w:rsidRDefault="00E06A26" w:rsidP="00BD02D0">
      <w:pPr>
        <w:numPr>
          <w:ilvl w:val="0"/>
          <w:numId w:val="16"/>
        </w:numPr>
        <w:tabs>
          <w:tab w:val="clear" w:pos="720"/>
          <w:tab w:val="num" w:pos="1287"/>
        </w:tabs>
        <w:autoSpaceDE w:val="0"/>
        <w:autoSpaceDN w:val="0"/>
        <w:adjustRightInd w:val="0"/>
        <w:spacing w:before="240"/>
        <w:ind w:left="1287" w:hanging="567"/>
        <w:rPr>
          <w:rFonts w:ascii="Times New Roman" w:hAnsi="Times New Roman"/>
          <w:sz w:val="24"/>
        </w:rPr>
      </w:pPr>
      <w:r w:rsidRPr="00E06A26">
        <w:rPr>
          <w:rFonts w:ascii="Times New Roman" w:hAnsi="Times New Roman"/>
          <w:sz w:val="24"/>
        </w:rPr>
        <w:t>As regulated entities, DCE service providers must enrol as  reporting entities on the Reporting Entities Roll (</w:t>
      </w:r>
      <w:r w:rsidRPr="00C74573">
        <w:rPr>
          <w:rFonts w:ascii="Times New Roman" w:hAnsi="Times New Roman"/>
          <w:b/>
          <w:sz w:val="24"/>
        </w:rPr>
        <w:t>RER</w:t>
      </w:r>
      <w:r w:rsidRPr="00E06A26">
        <w:rPr>
          <w:rFonts w:ascii="Times New Roman" w:hAnsi="Times New Roman"/>
          <w:sz w:val="24"/>
        </w:rPr>
        <w:t>) and regis</w:t>
      </w:r>
      <w:r w:rsidR="00C74573">
        <w:rPr>
          <w:rFonts w:ascii="Times New Roman" w:hAnsi="Times New Roman"/>
          <w:sz w:val="24"/>
        </w:rPr>
        <w:t xml:space="preserve">ter on the DCE register under subsection </w:t>
      </w:r>
      <w:r w:rsidRPr="00E06A26">
        <w:rPr>
          <w:rFonts w:ascii="Times New Roman" w:hAnsi="Times New Roman"/>
          <w:sz w:val="24"/>
        </w:rPr>
        <w:t xml:space="preserve">76A(1) of the AML/CTF Act. The registration requirement for DCE providers is modelled on the prohibition imposed by subsections 74(1), (1A) and (1B) of the AML/CTF Act that persons not registered on the Remittance Sector Register must not provide remittance services. </w:t>
      </w:r>
    </w:p>
    <w:p w14:paraId="552E3D81" w14:textId="77777777" w:rsidR="00E06A26" w:rsidRPr="00E06A26" w:rsidRDefault="00E06A26" w:rsidP="00BD02D0">
      <w:pPr>
        <w:numPr>
          <w:ilvl w:val="0"/>
          <w:numId w:val="16"/>
        </w:numPr>
        <w:tabs>
          <w:tab w:val="clear" w:pos="720"/>
          <w:tab w:val="num" w:pos="1287"/>
        </w:tabs>
        <w:autoSpaceDE w:val="0"/>
        <w:autoSpaceDN w:val="0"/>
        <w:adjustRightInd w:val="0"/>
        <w:spacing w:before="240"/>
        <w:ind w:left="1287" w:hanging="567"/>
        <w:rPr>
          <w:rFonts w:ascii="Times New Roman" w:hAnsi="Times New Roman"/>
          <w:sz w:val="24"/>
        </w:rPr>
      </w:pPr>
      <w:r w:rsidRPr="00E06A26">
        <w:rPr>
          <w:rFonts w:ascii="Times New Roman" w:hAnsi="Times New Roman"/>
          <w:sz w:val="24"/>
        </w:rPr>
        <w:t>The Revised Explanatory Memorandum (</w:t>
      </w:r>
      <w:r w:rsidRPr="00C74573">
        <w:rPr>
          <w:rFonts w:ascii="Times New Roman" w:hAnsi="Times New Roman"/>
          <w:b/>
          <w:sz w:val="24"/>
        </w:rPr>
        <w:t>EM</w:t>
      </w:r>
      <w:r w:rsidRPr="00E06A26">
        <w:rPr>
          <w:rFonts w:ascii="Times New Roman" w:hAnsi="Times New Roman"/>
          <w:sz w:val="24"/>
        </w:rPr>
        <w:t xml:space="preserve">) for the Phase 1 reforms expressly provides, at paragraph 36 under Part 2, “Financial institutions providing a digital currency exchange service under item 50A will … not be required to register on the Digital Currency Exchange Register … however financial institutions will be subject to the other relevant obligations of the AML/CTF Act when providing this designated service.” </w:t>
      </w:r>
    </w:p>
    <w:p w14:paraId="69FA5D18" w14:textId="77777777" w:rsidR="00E06A26" w:rsidRPr="00E06A26" w:rsidRDefault="00E06A26" w:rsidP="00BD02D0">
      <w:pPr>
        <w:numPr>
          <w:ilvl w:val="0"/>
          <w:numId w:val="16"/>
        </w:numPr>
        <w:tabs>
          <w:tab w:val="clear" w:pos="720"/>
          <w:tab w:val="num" w:pos="1287"/>
        </w:tabs>
        <w:autoSpaceDE w:val="0"/>
        <w:autoSpaceDN w:val="0"/>
        <w:adjustRightInd w:val="0"/>
        <w:spacing w:before="240"/>
        <w:ind w:left="1287" w:hanging="567"/>
        <w:rPr>
          <w:rFonts w:ascii="Times New Roman" w:hAnsi="Times New Roman"/>
          <w:sz w:val="24"/>
        </w:rPr>
      </w:pPr>
      <w:r w:rsidRPr="00E06A26">
        <w:rPr>
          <w:rFonts w:ascii="Times New Roman" w:hAnsi="Times New Roman"/>
          <w:sz w:val="24"/>
        </w:rPr>
        <w:lastRenderedPageBreak/>
        <w:t xml:space="preserve">Under s 247(4) of the AML/CTF Act, the AML/CTF Rules may provide that a specified provision of the AML/CTF Act does not apply to a designated service that is provided in circumstances specified in the AML/CTF Rules. </w:t>
      </w:r>
    </w:p>
    <w:p w14:paraId="1F84A49A" w14:textId="0EB988B9" w:rsidR="00E06A26" w:rsidRPr="0097440E" w:rsidRDefault="00C74573" w:rsidP="00BD02D0">
      <w:pPr>
        <w:numPr>
          <w:ilvl w:val="0"/>
          <w:numId w:val="16"/>
        </w:numPr>
        <w:tabs>
          <w:tab w:val="clear" w:pos="720"/>
          <w:tab w:val="num" w:pos="1287"/>
        </w:tabs>
        <w:autoSpaceDE w:val="0"/>
        <w:autoSpaceDN w:val="0"/>
        <w:adjustRightInd w:val="0"/>
        <w:spacing w:before="240"/>
        <w:ind w:left="1287" w:hanging="567"/>
        <w:rPr>
          <w:rFonts w:ascii="Times New Roman" w:hAnsi="Times New Roman"/>
          <w:sz w:val="24"/>
        </w:rPr>
      </w:pPr>
      <w:r>
        <w:rPr>
          <w:rFonts w:ascii="Times New Roman" w:hAnsi="Times New Roman"/>
          <w:sz w:val="24"/>
        </w:rPr>
        <w:t>This Instrument</w:t>
      </w:r>
      <w:r w:rsidR="00E06A26" w:rsidRPr="00E06A26">
        <w:rPr>
          <w:rFonts w:ascii="Times New Roman" w:hAnsi="Times New Roman"/>
          <w:sz w:val="24"/>
        </w:rPr>
        <w:t xml:space="preserve"> will implement the undertaking set out in the EM by removing the requirement for financial institutions to register on the Digital Currency Exchange Register. </w:t>
      </w:r>
      <w:r>
        <w:rPr>
          <w:rFonts w:ascii="Times New Roman" w:hAnsi="Times New Roman"/>
          <w:sz w:val="24"/>
        </w:rPr>
        <w:t>C</w:t>
      </w:r>
      <w:r w:rsidR="00E06A26" w:rsidRPr="00E06A26">
        <w:rPr>
          <w:rFonts w:ascii="Times New Roman" w:hAnsi="Times New Roman"/>
          <w:sz w:val="24"/>
        </w:rPr>
        <w:t xml:space="preserve">hapter </w:t>
      </w:r>
      <w:r>
        <w:rPr>
          <w:rFonts w:ascii="Times New Roman" w:hAnsi="Times New Roman"/>
          <w:sz w:val="24"/>
        </w:rPr>
        <w:t xml:space="preserve">81 </w:t>
      </w:r>
      <w:r w:rsidR="00E06A26" w:rsidRPr="00E06A26">
        <w:rPr>
          <w:rFonts w:ascii="Times New Roman" w:hAnsi="Times New Roman"/>
          <w:sz w:val="24"/>
        </w:rPr>
        <w:t>will not exempt financial institutions from any other provision or obligation of the AML/CTF Act including reporting obligations and the requirement to be enrolled on the Reporting Entities Roll.</w:t>
      </w:r>
    </w:p>
    <w:p w14:paraId="541E8AD2" w14:textId="6FC74155" w:rsidR="00017141" w:rsidRPr="00C46410" w:rsidRDefault="009B309E" w:rsidP="00BD02D0">
      <w:pPr>
        <w:spacing w:before="360" w:after="160" w:line="259" w:lineRule="auto"/>
        <w:ind w:left="720"/>
        <w:rPr>
          <w:rFonts w:ascii="Times New Roman" w:eastAsia="Calibri" w:hAnsi="Times New Roman"/>
          <w:b/>
          <w:caps/>
          <w:sz w:val="24"/>
        </w:rPr>
      </w:pPr>
      <w:r w:rsidRPr="00C46410">
        <w:rPr>
          <w:rFonts w:ascii="Times New Roman" w:eastAsia="Calibri" w:hAnsi="Times New Roman"/>
          <w:b/>
          <w:caps/>
          <w:sz w:val="24"/>
        </w:rPr>
        <w:t>Consultation</w:t>
      </w:r>
    </w:p>
    <w:p w14:paraId="20C5CE16" w14:textId="2FBDB4D9" w:rsidR="0058710C" w:rsidRDefault="0058710C" w:rsidP="00617C83">
      <w:pPr>
        <w:numPr>
          <w:ilvl w:val="0"/>
          <w:numId w:val="16"/>
        </w:numPr>
        <w:tabs>
          <w:tab w:val="clear" w:pos="720"/>
          <w:tab w:val="num" w:pos="1287"/>
        </w:tabs>
        <w:autoSpaceDE w:val="0"/>
        <w:autoSpaceDN w:val="0"/>
        <w:adjustRightInd w:val="0"/>
        <w:spacing w:before="240"/>
        <w:ind w:left="1287" w:hanging="567"/>
        <w:rPr>
          <w:rFonts w:ascii="Times New Roman" w:hAnsi="Times New Roman"/>
          <w:sz w:val="24"/>
        </w:rPr>
      </w:pPr>
      <w:r w:rsidRPr="00617C83">
        <w:rPr>
          <w:rFonts w:ascii="Times New Roman" w:hAnsi="Times New Roman"/>
          <w:sz w:val="24"/>
        </w:rPr>
        <w:t xml:space="preserve">Draft AML/CTF Rules were released on </w:t>
      </w:r>
      <w:r w:rsidR="006B1869" w:rsidRPr="00617C83">
        <w:rPr>
          <w:rFonts w:ascii="Times New Roman" w:hAnsi="Times New Roman"/>
          <w:sz w:val="24"/>
        </w:rPr>
        <w:t>11 March 2022</w:t>
      </w:r>
      <w:r w:rsidRPr="00617C83">
        <w:rPr>
          <w:rFonts w:ascii="Times New Roman" w:hAnsi="Times New Roman"/>
          <w:sz w:val="24"/>
        </w:rPr>
        <w:t xml:space="preserve"> for a </w:t>
      </w:r>
      <w:r w:rsidR="00507CCA" w:rsidRPr="00617C83">
        <w:rPr>
          <w:rFonts w:ascii="Times New Roman" w:hAnsi="Times New Roman"/>
          <w:sz w:val="24"/>
        </w:rPr>
        <w:t>four</w:t>
      </w:r>
      <w:r w:rsidRPr="00617C83">
        <w:rPr>
          <w:rFonts w:ascii="Times New Roman" w:hAnsi="Times New Roman"/>
          <w:sz w:val="24"/>
        </w:rPr>
        <w:t>-week period of public consultation. Ongoing consultation with industry</w:t>
      </w:r>
      <w:r w:rsidR="008320A3" w:rsidRPr="00617C83">
        <w:rPr>
          <w:rFonts w:ascii="Times New Roman" w:hAnsi="Times New Roman"/>
          <w:sz w:val="24"/>
        </w:rPr>
        <w:t xml:space="preserve"> </w:t>
      </w:r>
      <w:r w:rsidRPr="00617C83">
        <w:rPr>
          <w:rFonts w:ascii="Times New Roman" w:hAnsi="Times New Roman"/>
          <w:sz w:val="24"/>
        </w:rPr>
        <w:t>was undertaken</w:t>
      </w:r>
      <w:r w:rsidR="008320A3" w:rsidRPr="00617C83">
        <w:rPr>
          <w:rFonts w:ascii="Times New Roman" w:hAnsi="Times New Roman"/>
          <w:sz w:val="24"/>
        </w:rPr>
        <w:t xml:space="preserve"> following the public consultation period</w:t>
      </w:r>
      <w:r w:rsidRPr="00617C83">
        <w:rPr>
          <w:rFonts w:ascii="Times New Roman" w:hAnsi="Times New Roman"/>
          <w:sz w:val="24"/>
        </w:rPr>
        <w:t>.</w:t>
      </w:r>
    </w:p>
    <w:p w14:paraId="1BCFABD2" w14:textId="0458C26F" w:rsidR="00617C83" w:rsidRDefault="00617C83" w:rsidP="00617C83">
      <w:pPr>
        <w:autoSpaceDE w:val="0"/>
        <w:autoSpaceDN w:val="0"/>
        <w:adjustRightInd w:val="0"/>
        <w:spacing w:before="240"/>
        <w:ind w:left="720"/>
        <w:rPr>
          <w:rFonts w:ascii="Times New Roman" w:hAnsi="Times New Roman"/>
          <w:b/>
          <w:sz w:val="24"/>
        </w:rPr>
      </w:pPr>
      <w:r w:rsidRPr="00617C83">
        <w:rPr>
          <w:rFonts w:ascii="Times New Roman" w:hAnsi="Times New Roman"/>
          <w:b/>
          <w:sz w:val="24"/>
        </w:rPr>
        <w:t>SUNSETTING</w:t>
      </w:r>
    </w:p>
    <w:p w14:paraId="5C27C934" w14:textId="0C4E834F" w:rsidR="00617C83" w:rsidRPr="00617C83" w:rsidRDefault="00617C83" w:rsidP="00617C83">
      <w:pPr>
        <w:numPr>
          <w:ilvl w:val="0"/>
          <w:numId w:val="16"/>
        </w:numPr>
        <w:tabs>
          <w:tab w:val="clear" w:pos="720"/>
          <w:tab w:val="num" w:pos="1287"/>
        </w:tabs>
        <w:autoSpaceDE w:val="0"/>
        <w:autoSpaceDN w:val="0"/>
        <w:adjustRightInd w:val="0"/>
        <w:spacing w:before="240"/>
        <w:ind w:left="1287" w:hanging="567"/>
        <w:rPr>
          <w:rFonts w:ascii="Times New Roman" w:hAnsi="Times New Roman"/>
          <w:sz w:val="24"/>
        </w:rPr>
      </w:pPr>
      <w:r>
        <w:rPr>
          <w:rFonts w:ascii="Times New Roman" w:hAnsi="Times New Roman"/>
          <w:sz w:val="24"/>
        </w:rPr>
        <w:t xml:space="preserve">Under item 6 of Regulation 12 of the </w:t>
      </w:r>
      <w:r w:rsidRPr="00E81996">
        <w:rPr>
          <w:rFonts w:ascii="Times New Roman" w:hAnsi="Times New Roman"/>
          <w:i/>
          <w:sz w:val="24"/>
        </w:rPr>
        <w:t>Legislation (Exemptions and Other Matters) Regulation 2015</w:t>
      </w:r>
      <w:r>
        <w:rPr>
          <w:rFonts w:ascii="Times New Roman" w:hAnsi="Times New Roman"/>
          <w:sz w:val="24"/>
        </w:rPr>
        <w:t xml:space="preserve"> this Instrument is not subject to sunsetting.</w:t>
      </w:r>
    </w:p>
    <w:p w14:paraId="1BD50BEE" w14:textId="45F32D3F" w:rsidR="00017141" w:rsidRPr="00C46410" w:rsidRDefault="009B309E" w:rsidP="00BD02D0">
      <w:pPr>
        <w:spacing w:before="360" w:after="160" w:line="259" w:lineRule="auto"/>
        <w:ind w:left="720"/>
        <w:rPr>
          <w:rFonts w:ascii="Times New Roman" w:eastAsia="Calibri" w:hAnsi="Times New Roman"/>
          <w:b/>
          <w:caps/>
          <w:sz w:val="24"/>
        </w:rPr>
      </w:pPr>
      <w:r w:rsidRPr="00C46410">
        <w:rPr>
          <w:rFonts w:ascii="Times New Roman" w:eastAsia="Calibri" w:hAnsi="Times New Roman"/>
          <w:b/>
          <w:caps/>
          <w:sz w:val="24"/>
        </w:rPr>
        <w:t xml:space="preserve">Regulation impact statement </w:t>
      </w:r>
    </w:p>
    <w:p w14:paraId="02122FAE" w14:textId="4650891F" w:rsidR="00A05511" w:rsidRPr="00617C83" w:rsidRDefault="002F62ED" w:rsidP="00617C83">
      <w:pPr>
        <w:numPr>
          <w:ilvl w:val="0"/>
          <w:numId w:val="16"/>
        </w:numPr>
        <w:tabs>
          <w:tab w:val="clear" w:pos="720"/>
          <w:tab w:val="num" w:pos="1287"/>
        </w:tabs>
        <w:autoSpaceDE w:val="0"/>
        <w:autoSpaceDN w:val="0"/>
        <w:adjustRightInd w:val="0"/>
        <w:spacing w:before="240"/>
        <w:ind w:left="1287" w:hanging="567"/>
        <w:rPr>
          <w:rFonts w:ascii="Times New Roman" w:hAnsi="Times New Roman"/>
          <w:sz w:val="24"/>
        </w:rPr>
      </w:pPr>
      <w:r w:rsidRPr="00617C83">
        <w:rPr>
          <w:rFonts w:ascii="Times New Roman" w:hAnsi="Times New Roman"/>
          <w:sz w:val="24"/>
        </w:rPr>
        <w:t xml:space="preserve">The Office of Best Practice </w:t>
      </w:r>
      <w:r w:rsidR="00C46410" w:rsidRPr="00617C83">
        <w:rPr>
          <w:rFonts w:ascii="Times New Roman" w:hAnsi="Times New Roman"/>
          <w:sz w:val="24"/>
        </w:rPr>
        <w:t xml:space="preserve">and </w:t>
      </w:r>
      <w:r w:rsidRPr="00617C83">
        <w:rPr>
          <w:rFonts w:ascii="Times New Roman" w:hAnsi="Times New Roman"/>
          <w:sz w:val="24"/>
        </w:rPr>
        <w:t xml:space="preserve">Regulation has advised that a Regulatory Impact Statement is not required as the amendments to the AML/CTF Rules </w:t>
      </w:r>
      <w:r w:rsidR="00044B95" w:rsidRPr="00617C83">
        <w:rPr>
          <w:rFonts w:ascii="Times New Roman" w:hAnsi="Times New Roman"/>
          <w:sz w:val="24"/>
        </w:rPr>
        <w:t>are unlikely to have a more than minor regulatory impact.</w:t>
      </w:r>
    </w:p>
    <w:p w14:paraId="57377164" w14:textId="77777777" w:rsidR="00017141" w:rsidRPr="00733D11" w:rsidRDefault="00017141" w:rsidP="00BD02D0">
      <w:pPr>
        <w:spacing w:line="276" w:lineRule="auto"/>
        <w:ind w:left="720"/>
        <w:rPr>
          <w:rFonts w:ascii="Times New Roman" w:eastAsia="Calibri" w:hAnsi="Times New Roman"/>
          <w:sz w:val="24"/>
          <w:szCs w:val="22"/>
        </w:rPr>
      </w:pPr>
    </w:p>
    <w:p w14:paraId="46C5B318" w14:textId="77777777" w:rsidR="009B309E" w:rsidRPr="0060668C" w:rsidRDefault="009B309E" w:rsidP="00BD02D0">
      <w:pPr>
        <w:spacing w:after="160" w:line="360" w:lineRule="auto"/>
        <w:ind w:left="720"/>
        <w:rPr>
          <w:rFonts w:ascii="Times New Roman" w:eastAsia="Calibri" w:hAnsi="Times New Roman"/>
          <w:b/>
          <w:caps/>
          <w:sz w:val="24"/>
          <w:u w:val="single"/>
        </w:rPr>
      </w:pPr>
      <w:r w:rsidRPr="00733D11">
        <w:rPr>
          <w:rFonts w:ascii="Times New Roman" w:eastAsia="Calibri" w:hAnsi="Times New Roman"/>
          <w:b/>
          <w:caps/>
          <w:sz w:val="24"/>
        </w:rPr>
        <w:br w:type="page"/>
      </w:r>
      <w:r w:rsidRPr="0060668C">
        <w:rPr>
          <w:rFonts w:ascii="Times New Roman" w:eastAsia="Calibri" w:hAnsi="Times New Roman"/>
          <w:b/>
          <w:caps/>
          <w:sz w:val="24"/>
          <w:u w:val="single"/>
        </w:rPr>
        <w:lastRenderedPageBreak/>
        <w:t>ATTACHMENT A</w:t>
      </w:r>
    </w:p>
    <w:p w14:paraId="3DA72700" w14:textId="77777777" w:rsidR="00B04F55" w:rsidRDefault="00B04F55" w:rsidP="00BD02D0">
      <w:pPr>
        <w:spacing w:before="240"/>
        <w:ind w:left="720"/>
        <w:rPr>
          <w:rFonts w:ascii="Times New Roman" w:hAnsi="Times New Roman"/>
          <w:b/>
          <w:sz w:val="24"/>
        </w:rPr>
      </w:pPr>
    </w:p>
    <w:p w14:paraId="27035FD6" w14:textId="0FCBBFC3" w:rsidR="00B04F55" w:rsidRPr="00C1088D" w:rsidRDefault="00B04F55" w:rsidP="00BD02D0">
      <w:pPr>
        <w:spacing w:before="240" w:after="160" w:line="259" w:lineRule="auto"/>
        <w:ind w:left="720"/>
        <w:rPr>
          <w:rFonts w:ascii="Times New Roman" w:eastAsia="Calibri" w:hAnsi="Times New Roman"/>
          <w:b/>
          <w:i/>
          <w:sz w:val="24"/>
        </w:rPr>
      </w:pPr>
      <w:r w:rsidRPr="00BF6A36">
        <w:rPr>
          <w:rFonts w:ascii="Times New Roman" w:eastAsia="Calibri" w:hAnsi="Times New Roman"/>
          <w:b/>
          <w:i/>
          <w:sz w:val="24"/>
        </w:rPr>
        <w:t>Anti-Money Laundering and Counter-Terrorism Financing Rules Amendment Instrument 20</w:t>
      </w:r>
      <w:r w:rsidR="005C28B5" w:rsidRPr="00BF6A36">
        <w:rPr>
          <w:rFonts w:ascii="Times New Roman" w:eastAsia="Calibri" w:hAnsi="Times New Roman"/>
          <w:b/>
          <w:i/>
          <w:sz w:val="24"/>
        </w:rPr>
        <w:t>2</w:t>
      </w:r>
      <w:r w:rsidR="006B1869">
        <w:rPr>
          <w:rFonts w:ascii="Times New Roman" w:eastAsia="Calibri" w:hAnsi="Times New Roman"/>
          <w:b/>
          <w:i/>
          <w:sz w:val="24"/>
        </w:rPr>
        <w:t>2</w:t>
      </w:r>
      <w:r w:rsidRPr="00C1088D">
        <w:rPr>
          <w:rFonts w:ascii="Times New Roman" w:eastAsia="Calibri" w:hAnsi="Times New Roman"/>
          <w:b/>
          <w:i/>
          <w:sz w:val="24"/>
        </w:rPr>
        <w:t xml:space="preserve"> (No. </w:t>
      </w:r>
      <w:r w:rsidR="006B1869">
        <w:rPr>
          <w:rFonts w:ascii="Times New Roman" w:eastAsia="Calibri" w:hAnsi="Times New Roman"/>
          <w:b/>
          <w:i/>
          <w:sz w:val="24"/>
        </w:rPr>
        <w:t>1</w:t>
      </w:r>
      <w:r w:rsidRPr="00C1088D">
        <w:rPr>
          <w:rFonts w:ascii="Times New Roman" w:eastAsia="Calibri" w:hAnsi="Times New Roman"/>
          <w:b/>
          <w:i/>
          <w:sz w:val="24"/>
        </w:rPr>
        <w:t xml:space="preserve">) </w:t>
      </w:r>
    </w:p>
    <w:p w14:paraId="19C4B0D8" w14:textId="77777777" w:rsidR="00C46410" w:rsidRPr="00BF6A36" w:rsidRDefault="00C46410" w:rsidP="00BD02D0">
      <w:pPr>
        <w:spacing w:before="240" w:line="259" w:lineRule="auto"/>
        <w:ind w:left="720"/>
        <w:rPr>
          <w:rFonts w:ascii="Times New Roman" w:hAnsi="Times New Roman"/>
          <w:b/>
          <w:sz w:val="24"/>
        </w:rPr>
      </w:pPr>
      <w:r w:rsidRPr="00BF6A36">
        <w:rPr>
          <w:rFonts w:ascii="Times New Roman" w:hAnsi="Times New Roman"/>
          <w:b/>
          <w:sz w:val="24"/>
        </w:rPr>
        <w:t>Section 1—Name</w:t>
      </w:r>
    </w:p>
    <w:p w14:paraId="110DBB82" w14:textId="7686CCAC" w:rsidR="00B04F55" w:rsidRPr="0060668C" w:rsidRDefault="00B04F55" w:rsidP="00BD02D0">
      <w:pPr>
        <w:autoSpaceDE w:val="0"/>
        <w:autoSpaceDN w:val="0"/>
        <w:adjustRightInd w:val="0"/>
        <w:spacing w:before="240" w:line="259" w:lineRule="auto"/>
        <w:ind w:left="720"/>
        <w:rPr>
          <w:rFonts w:ascii="Times New Roman" w:hAnsi="Times New Roman"/>
          <w:sz w:val="24"/>
        </w:rPr>
      </w:pPr>
      <w:r w:rsidRPr="0060668C">
        <w:rPr>
          <w:rFonts w:ascii="Times New Roman" w:hAnsi="Times New Roman"/>
          <w:sz w:val="24"/>
        </w:rPr>
        <w:t xml:space="preserve">This section </w:t>
      </w:r>
      <w:r w:rsidR="00206C4A" w:rsidRPr="0060668C">
        <w:rPr>
          <w:rFonts w:ascii="Times New Roman" w:hAnsi="Times New Roman"/>
          <w:sz w:val="24"/>
        </w:rPr>
        <w:t>provides that the name of the Instrument is</w:t>
      </w:r>
      <w:r w:rsidRPr="0060668C">
        <w:rPr>
          <w:rFonts w:ascii="Times New Roman" w:hAnsi="Times New Roman"/>
          <w:sz w:val="24"/>
        </w:rPr>
        <w:t xml:space="preserve"> the </w:t>
      </w:r>
      <w:r w:rsidRPr="0060668C">
        <w:rPr>
          <w:rFonts w:ascii="Times New Roman" w:hAnsi="Times New Roman"/>
          <w:i/>
          <w:sz w:val="24"/>
        </w:rPr>
        <w:t>Anti-Money Laundering and Counter-Terrorism Financing Rules Amendment Instrument 20</w:t>
      </w:r>
      <w:r w:rsidR="005C28B5" w:rsidRPr="0060668C">
        <w:rPr>
          <w:rFonts w:ascii="Times New Roman" w:hAnsi="Times New Roman"/>
          <w:i/>
          <w:sz w:val="24"/>
        </w:rPr>
        <w:t>2</w:t>
      </w:r>
      <w:r w:rsidR="006B1869">
        <w:rPr>
          <w:rFonts w:ascii="Times New Roman" w:hAnsi="Times New Roman"/>
          <w:i/>
          <w:sz w:val="24"/>
        </w:rPr>
        <w:t>2</w:t>
      </w:r>
      <w:r w:rsidRPr="0060668C">
        <w:rPr>
          <w:rFonts w:ascii="Times New Roman" w:hAnsi="Times New Roman"/>
          <w:i/>
          <w:sz w:val="24"/>
        </w:rPr>
        <w:t xml:space="preserve"> (No. </w:t>
      </w:r>
      <w:r w:rsidR="006B1869">
        <w:rPr>
          <w:rFonts w:ascii="Times New Roman" w:hAnsi="Times New Roman"/>
          <w:i/>
          <w:sz w:val="24"/>
        </w:rPr>
        <w:t>1</w:t>
      </w:r>
      <w:r w:rsidRPr="0060668C">
        <w:rPr>
          <w:rFonts w:ascii="Times New Roman" w:hAnsi="Times New Roman"/>
          <w:sz w:val="24"/>
        </w:rPr>
        <w:t>).</w:t>
      </w:r>
    </w:p>
    <w:p w14:paraId="53188F4B" w14:textId="77777777" w:rsidR="00C46410" w:rsidRPr="00BF6A36" w:rsidRDefault="00C46410" w:rsidP="00BD02D0">
      <w:pPr>
        <w:spacing w:before="240" w:line="259" w:lineRule="auto"/>
        <w:ind w:left="720"/>
        <w:rPr>
          <w:rFonts w:ascii="Times New Roman" w:hAnsi="Times New Roman"/>
          <w:b/>
          <w:sz w:val="24"/>
        </w:rPr>
      </w:pPr>
      <w:r w:rsidRPr="00BF6A36">
        <w:rPr>
          <w:rFonts w:ascii="Times New Roman" w:hAnsi="Times New Roman"/>
          <w:b/>
          <w:sz w:val="24"/>
        </w:rPr>
        <w:t>Section 2—Commencement</w:t>
      </w:r>
    </w:p>
    <w:p w14:paraId="0F7EB19E" w14:textId="3963D53D" w:rsidR="00206C4A" w:rsidRPr="0060668C" w:rsidRDefault="00B04F55" w:rsidP="00BD02D0">
      <w:pPr>
        <w:autoSpaceDE w:val="0"/>
        <w:autoSpaceDN w:val="0"/>
        <w:adjustRightInd w:val="0"/>
        <w:spacing w:before="240" w:line="259" w:lineRule="auto"/>
        <w:ind w:left="720"/>
        <w:rPr>
          <w:rFonts w:ascii="Times New Roman" w:hAnsi="Times New Roman"/>
          <w:sz w:val="24"/>
        </w:rPr>
      </w:pPr>
      <w:r w:rsidRPr="0060668C">
        <w:rPr>
          <w:rFonts w:ascii="Times New Roman" w:hAnsi="Times New Roman"/>
          <w:sz w:val="24"/>
        </w:rPr>
        <w:t>This section</w:t>
      </w:r>
      <w:r w:rsidR="00BF6A36">
        <w:rPr>
          <w:rFonts w:ascii="Times New Roman" w:hAnsi="Times New Roman"/>
          <w:sz w:val="24"/>
        </w:rPr>
        <w:t xml:space="preserve"> provides for the commencement of each provision in the Instrument, as set out in the table in subsection 2(</w:t>
      </w:r>
      <w:r w:rsidR="004076E6">
        <w:rPr>
          <w:rFonts w:ascii="Times New Roman" w:hAnsi="Times New Roman"/>
          <w:sz w:val="24"/>
        </w:rPr>
        <w:t>1</w:t>
      </w:r>
      <w:r w:rsidR="00BF6A36">
        <w:rPr>
          <w:rFonts w:ascii="Times New Roman" w:hAnsi="Times New Roman"/>
          <w:sz w:val="24"/>
        </w:rPr>
        <w:t>).</w:t>
      </w:r>
      <w:r w:rsidRPr="0060668C">
        <w:rPr>
          <w:rFonts w:ascii="Times New Roman" w:hAnsi="Times New Roman"/>
          <w:sz w:val="24"/>
        </w:rPr>
        <w:t xml:space="preserve"> </w:t>
      </w:r>
    </w:p>
    <w:p w14:paraId="46D42776" w14:textId="750C6D36" w:rsidR="00B04F55" w:rsidRPr="0060668C" w:rsidRDefault="00206C4A" w:rsidP="00BD02D0">
      <w:pPr>
        <w:autoSpaceDE w:val="0"/>
        <w:autoSpaceDN w:val="0"/>
        <w:adjustRightInd w:val="0"/>
        <w:spacing w:before="240"/>
        <w:ind w:left="720"/>
        <w:rPr>
          <w:rFonts w:ascii="Times New Roman" w:hAnsi="Times New Roman"/>
          <w:sz w:val="24"/>
        </w:rPr>
      </w:pPr>
      <w:r w:rsidRPr="0060668C">
        <w:rPr>
          <w:rFonts w:ascii="Times New Roman" w:hAnsi="Times New Roman"/>
          <w:sz w:val="24"/>
        </w:rPr>
        <w:t xml:space="preserve">The </w:t>
      </w:r>
      <w:r w:rsidR="00BF6A36">
        <w:rPr>
          <w:rFonts w:ascii="Times New Roman" w:hAnsi="Times New Roman"/>
          <w:sz w:val="24"/>
        </w:rPr>
        <w:t>amendments in Schedule 1 commence</w:t>
      </w:r>
      <w:r w:rsidR="00B04F55" w:rsidRPr="0060668C">
        <w:rPr>
          <w:rFonts w:ascii="Times New Roman" w:hAnsi="Times New Roman"/>
          <w:sz w:val="24"/>
        </w:rPr>
        <w:t xml:space="preserve"> </w:t>
      </w:r>
      <w:r w:rsidRPr="0060668C">
        <w:rPr>
          <w:rFonts w:ascii="Times New Roman" w:hAnsi="Times New Roman"/>
          <w:sz w:val="24"/>
        </w:rPr>
        <w:t xml:space="preserve">on </w:t>
      </w:r>
      <w:r w:rsidR="00960B38">
        <w:rPr>
          <w:rFonts w:ascii="Times New Roman" w:hAnsi="Times New Roman"/>
          <w:sz w:val="24"/>
        </w:rPr>
        <w:t>2 May 2022</w:t>
      </w:r>
      <w:r w:rsidR="00B04F55" w:rsidRPr="0060668C">
        <w:rPr>
          <w:rFonts w:ascii="Times New Roman" w:hAnsi="Times New Roman"/>
          <w:sz w:val="24"/>
        </w:rPr>
        <w:t>.</w:t>
      </w:r>
      <w:r w:rsidR="00960B38">
        <w:rPr>
          <w:rFonts w:ascii="Times New Roman" w:hAnsi="Times New Roman"/>
          <w:sz w:val="24"/>
        </w:rPr>
        <w:t xml:space="preserve"> </w:t>
      </w:r>
      <w:r w:rsidR="00960B38" w:rsidRPr="0060668C">
        <w:rPr>
          <w:rFonts w:ascii="Times New Roman" w:hAnsi="Times New Roman"/>
          <w:sz w:val="24"/>
        </w:rPr>
        <w:t xml:space="preserve">The </w:t>
      </w:r>
      <w:r w:rsidR="00960B38">
        <w:rPr>
          <w:rFonts w:ascii="Times New Roman" w:hAnsi="Times New Roman"/>
          <w:sz w:val="24"/>
        </w:rPr>
        <w:t>amendments in Schedule 2 commence</w:t>
      </w:r>
      <w:r w:rsidR="00960B38" w:rsidRPr="0060668C">
        <w:rPr>
          <w:rFonts w:ascii="Times New Roman" w:hAnsi="Times New Roman"/>
          <w:sz w:val="24"/>
        </w:rPr>
        <w:t xml:space="preserve"> on </w:t>
      </w:r>
      <w:r w:rsidR="00960B38">
        <w:rPr>
          <w:rFonts w:ascii="Times New Roman" w:hAnsi="Times New Roman"/>
          <w:sz w:val="24"/>
        </w:rPr>
        <w:t>the day after registration</w:t>
      </w:r>
      <w:r w:rsidR="00960B38" w:rsidRPr="0060668C">
        <w:rPr>
          <w:rFonts w:ascii="Times New Roman" w:hAnsi="Times New Roman"/>
          <w:sz w:val="24"/>
        </w:rPr>
        <w:t>.</w:t>
      </w:r>
    </w:p>
    <w:p w14:paraId="5D7815ED" w14:textId="77777777" w:rsidR="00C46410" w:rsidRPr="00BF6A36" w:rsidRDefault="00C46410" w:rsidP="00BD02D0">
      <w:pPr>
        <w:spacing w:before="240" w:line="259" w:lineRule="auto"/>
        <w:ind w:left="720"/>
        <w:rPr>
          <w:rFonts w:ascii="Times New Roman" w:hAnsi="Times New Roman"/>
          <w:b/>
          <w:sz w:val="24"/>
        </w:rPr>
      </w:pPr>
      <w:r w:rsidRPr="00BF6A36">
        <w:rPr>
          <w:rFonts w:ascii="Times New Roman" w:hAnsi="Times New Roman"/>
          <w:b/>
          <w:sz w:val="24"/>
        </w:rPr>
        <w:t>Section 3—Authority</w:t>
      </w:r>
    </w:p>
    <w:p w14:paraId="546271B3" w14:textId="31ABE998" w:rsidR="00B04F55" w:rsidRPr="0060108F" w:rsidRDefault="00B04F55" w:rsidP="00BD02D0">
      <w:pPr>
        <w:autoSpaceDE w:val="0"/>
        <w:autoSpaceDN w:val="0"/>
        <w:adjustRightInd w:val="0"/>
        <w:spacing w:before="240" w:line="259" w:lineRule="auto"/>
        <w:ind w:left="720"/>
        <w:rPr>
          <w:rFonts w:ascii="Times New Roman" w:hAnsi="Times New Roman"/>
          <w:sz w:val="24"/>
        </w:rPr>
      </w:pPr>
      <w:r w:rsidRPr="0060668C">
        <w:rPr>
          <w:rFonts w:ascii="Times New Roman" w:hAnsi="Times New Roman"/>
          <w:sz w:val="24"/>
        </w:rPr>
        <w:t>This section</w:t>
      </w:r>
      <w:r w:rsidR="00BF6A36">
        <w:rPr>
          <w:rFonts w:ascii="Times New Roman" w:hAnsi="Times New Roman"/>
          <w:sz w:val="24"/>
        </w:rPr>
        <w:t xml:space="preserve"> provides that the Instrument is made under section 229 of the </w:t>
      </w:r>
      <w:r w:rsidR="00BF6A36">
        <w:rPr>
          <w:rFonts w:ascii="Times New Roman" w:hAnsi="Times New Roman"/>
          <w:i/>
          <w:sz w:val="24"/>
        </w:rPr>
        <w:t>Anti-Money Laundering and Counter-Terrorism Financing Act 2006</w:t>
      </w:r>
      <w:r w:rsidR="00BF6A36">
        <w:rPr>
          <w:rFonts w:ascii="Times New Roman" w:hAnsi="Times New Roman"/>
          <w:sz w:val="24"/>
        </w:rPr>
        <w:t xml:space="preserve">. </w:t>
      </w:r>
    </w:p>
    <w:p w14:paraId="2FD24FAA" w14:textId="77777777" w:rsidR="00C46410" w:rsidRPr="00BF6A36" w:rsidRDefault="00C46410" w:rsidP="00BD02D0">
      <w:pPr>
        <w:autoSpaceDE w:val="0"/>
        <w:autoSpaceDN w:val="0"/>
        <w:adjustRightInd w:val="0"/>
        <w:spacing w:before="240" w:line="259" w:lineRule="auto"/>
        <w:ind w:left="720"/>
        <w:rPr>
          <w:rFonts w:ascii="Times New Roman" w:hAnsi="Times New Roman"/>
          <w:b/>
          <w:sz w:val="24"/>
        </w:rPr>
      </w:pPr>
      <w:r w:rsidRPr="00BF6A36">
        <w:rPr>
          <w:rFonts w:ascii="Times New Roman" w:hAnsi="Times New Roman"/>
          <w:b/>
          <w:sz w:val="24"/>
        </w:rPr>
        <w:t>Section 4—Schedules</w:t>
      </w:r>
    </w:p>
    <w:p w14:paraId="4FDB3BAD" w14:textId="588F28C1" w:rsidR="00206C4A" w:rsidRPr="0060108F" w:rsidRDefault="00206C4A" w:rsidP="00BD02D0">
      <w:pPr>
        <w:autoSpaceDE w:val="0"/>
        <w:autoSpaceDN w:val="0"/>
        <w:adjustRightInd w:val="0"/>
        <w:spacing w:before="240" w:line="259" w:lineRule="auto"/>
        <w:ind w:left="720"/>
        <w:rPr>
          <w:rFonts w:ascii="Times New Roman" w:hAnsi="Times New Roman"/>
          <w:sz w:val="24"/>
        </w:rPr>
      </w:pPr>
      <w:r w:rsidRPr="0060108F">
        <w:rPr>
          <w:rFonts w:ascii="Times New Roman" w:hAnsi="Times New Roman"/>
          <w:sz w:val="24"/>
        </w:rPr>
        <w:t xml:space="preserve">This section provides that the </w:t>
      </w:r>
      <w:r w:rsidR="00BF6A36">
        <w:rPr>
          <w:rFonts w:ascii="Times New Roman" w:hAnsi="Times New Roman"/>
          <w:sz w:val="24"/>
        </w:rPr>
        <w:t>i</w:t>
      </w:r>
      <w:r w:rsidRPr="0060108F">
        <w:rPr>
          <w:rFonts w:ascii="Times New Roman" w:hAnsi="Times New Roman"/>
          <w:sz w:val="24"/>
        </w:rPr>
        <w:t>nstrument specified in Schedule 1 is amended as set out in the applicable items in that Schedule.</w:t>
      </w:r>
    </w:p>
    <w:p w14:paraId="031E5818" w14:textId="77777777" w:rsidR="00C46410" w:rsidRPr="00BF6A36" w:rsidRDefault="00C46410" w:rsidP="00BD02D0">
      <w:pPr>
        <w:spacing w:before="240" w:line="259" w:lineRule="auto"/>
        <w:ind w:left="720"/>
        <w:rPr>
          <w:rFonts w:ascii="Times New Roman" w:hAnsi="Times New Roman"/>
          <w:b/>
          <w:sz w:val="24"/>
        </w:rPr>
      </w:pPr>
      <w:r w:rsidRPr="00BF6A36">
        <w:rPr>
          <w:rFonts w:ascii="Times New Roman" w:hAnsi="Times New Roman"/>
          <w:b/>
          <w:sz w:val="24"/>
        </w:rPr>
        <w:t>Schedule 1—Amendments</w:t>
      </w:r>
    </w:p>
    <w:p w14:paraId="07457E47" w14:textId="4BA23FA7" w:rsidR="00206C4A" w:rsidRPr="0060108F" w:rsidRDefault="00206C4A" w:rsidP="00BD02D0">
      <w:pPr>
        <w:spacing w:before="240" w:line="259" w:lineRule="auto"/>
        <w:ind w:left="720"/>
        <w:rPr>
          <w:rFonts w:ascii="Times New Roman" w:hAnsi="Times New Roman"/>
          <w:b/>
          <w:sz w:val="24"/>
        </w:rPr>
      </w:pPr>
      <w:r w:rsidRPr="0060108F">
        <w:rPr>
          <w:rFonts w:ascii="Times New Roman" w:hAnsi="Times New Roman"/>
          <w:i/>
          <w:sz w:val="24"/>
        </w:rPr>
        <w:t xml:space="preserve">Anti-Money Laundering and Counter-Terrorism Financing Rules Instrument 2007 (No. </w:t>
      </w:r>
      <w:r w:rsidR="007F18B0">
        <w:rPr>
          <w:rFonts w:ascii="Times New Roman" w:hAnsi="Times New Roman"/>
          <w:i/>
          <w:sz w:val="24"/>
        </w:rPr>
        <w:t>1</w:t>
      </w:r>
      <w:r w:rsidR="005C28B5" w:rsidRPr="0060108F">
        <w:rPr>
          <w:rFonts w:ascii="Times New Roman" w:hAnsi="Times New Roman"/>
          <w:i/>
          <w:sz w:val="24"/>
        </w:rPr>
        <w:t>)</w:t>
      </w:r>
    </w:p>
    <w:p w14:paraId="31A4E642" w14:textId="77777777" w:rsidR="00B04F55" w:rsidRPr="0060108F" w:rsidRDefault="00B04F55" w:rsidP="00BD02D0">
      <w:pPr>
        <w:keepNext/>
        <w:spacing w:before="240"/>
        <w:ind w:left="720"/>
        <w:rPr>
          <w:rFonts w:ascii="Times New Roman" w:hAnsi="Times New Roman"/>
          <w:b/>
          <w:sz w:val="24"/>
        </w:rPr>
      </w:pPr>
      <w:r w:rsidRPr="0060108F">
        <w:rPr>
          <w:rFonts w:ascii="Times New Roman" w:hAnsi="Times New Roman"/>
          <w:b/>
          <w:sz w:val="24"/>
        </w:rPr>
        <w:t>Notes on items</w:t>
      </w:r>
    </w:p>
    <w:p w14:paraId="77ED2EEC" w14:textId="27002095" w:rsidR="00C46410" w:rsidRPr="00BF6A36" w:rsidRDefault="00C46410" w:rsidP="00BD02D0">
      <w:pPr>
        <w:keepNext/>
        <w:spacing w:before="240" w:line="259" w:lineRule="auto"/>
        <w:ind w:left="720"/>
        <w:rPr>
          <w:rFonts w:ascii="Times New Roman" w:hAnsi="Times New Roman"/>
          <w:b/>
          <w:sz w:val="24"/>
        </w:rPr>
      </w:pPr>
      <w:r w:rsidRPr="00BF6A36">
        <w:rPr>
          <w:rFonts w:ascii="Times New Roman" w:hAnsi="Times New Roman"/>
          <w:b/>
          <w:sz w:val="24"/>
        </w:rPr>
        <w:t>Item 1—</w:t>
      </w:r>
      <w:r w:rsidR="00BF6A36" w:rsidRPr="00BF6A36">
        <w:rPr>
          <w:rFonts w:ascii="Times New Roman" w:hAnsi="Times New Roman"/>
          <w:b/>
          <w:sz w:val="24"/>
        </w:rPr>
        <w:t xml:space="preserve">Chapter </w:t>
      </w:r>
      <w:r w:rsidR="005D51E4">
        <w:rPr>
          <w:rFonts w:ascii="Times New Roman" w:hAnsi="Times New Roman"/>
          <w:b/>
          <w:sz w:val="24"/>
        </w:rPr>
        <w:t>10</w:t>
      </w:r>
    </w:p>
    <w:p w14:paraId="53F1E365" w14:textId="5B47F069" w:rsidR="00B04F55" w:rsidRDefault="00B04F55" w:rsidP="00BD02D0">
      <w:pPr>
        <w:autoSpaceDE w:val="0"/>
        <w:autoSpaceDN w:val="0"/>
        <w:adjustRightInd w:val="0"/>
        <w:spacing w:before="240" w:line="259" w:lineRule="auto"/>
        <w:ind w:left="720"/>
        <w:rPr>
          <w:rFonts w:ascii="Times New Roman" w:hAnsi="Times New Roman"/>
          <w:sz w:val="24"/>
        </w:rPr>
      </w:pPr>
      <w:r w:rsidRPr="0060108F">
        <w:rPr>
          <w:rFonts w:ascii="Times New Roman" w:hAnsi="Times New Roman"/>
          <w:sz w:val="24"/>
        </w:rPr>
        <w:t xml:space="preserve">This item </w:t>
      </w:r>
      <w:r w:rsidR="001D23A8">
        <w:rPr>
          <w:rFonts w:ascii="Times New Roman" w:hAnsi="Times New Roman"/>
          <w:sz w:val="24"/>
        </w:rPr>
        <w:t>substitutes</w:t>
      </w:r>
      <w:r w:rsidR="004076E6">
        <w:rPr>
          <w:rFonts w:ascii="Times New Roman" w:hAnsi="Times New Roman"/>
          <w:sz w:val="24"/>
        </w:rPr>
        <w:t xml:space="preserve"> </w:t>
      </w:r>
      <w:r w:rsidR="004B5627" w:rsidRPr="0060108F">
        <w:rPr>
          <w:rFonts w:ascii="Times New Roman" w:hAnsi="Times New Roman"/>
          <w:sz w:val="24"/>
        </w:rPr>
        <w:t xml:space="preserve">a new </w:t>
      </w:r>
      <w:r w:rsidR="00662DA7">
        <w:rPr>
          <w:rFonts w:ascii="Times New Roman" w:hAnsi="Times New Roman"/>
          <w:sz w:val="24"/>
        </w:rPr>
        <w:t>paragraph 10.4.4</w:t>
      </w:r>
      <w:r w:rsidR="004076E6">
        <w:rPr>
          <w:rFonts w:ascii="Times New Roman" w:hAnsi="Times New Roman"/>
          <w:sz w:val="24"/>
        </w:rPr>
        <w:t xml:space="preserve"> </w:t>
      </w:r>
      <w:r w:rsidR="00E251AF">
        <w:rPr>
          <w:rFonts w:ascii="Times New Roman" w:hAnsi="Times New Roman"/>
          <w:sz w:val="24"/>
        </w:rPr>
        <w:t>in</w:t>
      </w:r>
      <w:r w:rsidR="002F525A" w:rsidRPr="0060108F">
        <w:rPr>
          <w:rFonts w:ascii="Times New Roman" w:hAnsi="Times New Roman"/>
          <w:sz w:val="24"/>
        </w:rPr>
        <w:t xml:space="preserve"> the AML/CTF Rules.</w:t>
      </w:r>
    </w:p>
    <w:p w14:paraId="71DEDEDB" w14:textId="60D5B15D" w:rsidR="001D23A8" w:rsidRDefault="001D23A8" w:rsidP="00BD02D0">
      <w:pPr>
        <w:autoSpaceDE w:val="0"/>
        <w:autoSpaceDN w:val="0"/>
        <w:adjustRightInd w:val="0"/>
        <w:spacing w:before="240" w:line="259" w:lineRule="auto"/>
        <w:ind w:left="720"/>
        <w:rPr>
          <w:rFonts w:ascii="Times New Roman" w:hAnsi="Times New Roman"/>
          <w:sz w:val="24"/>
        </w:rPr>
      </w:pPr>
      <w:r>
        <w:rPr>
          <w:rFonts w:ascii="Times New Roman" w:hAnsi="Times New Roman"/>
          <w:sz w:val="24"/>
        </w:rPr>
        <w:t xml:space="preserve">Paragraph 10.4.4 provides that the period in which the customer is to be verified </w:t>
      </w:r>
      <w:r w:rsidR="0059594F">
        <w:rPr>
          <w:rFonts w:ascii="Times New Roman" w:hAnsi="Times New Roman"/>
          <w:sz w:val="24"/>
        </w:rPr>
        <w:t xml:space="preserve">by the reporting entity </w:t>
      </w:r>
      <w:r>
        <w:rPr>
          <w:rFonts w:ascii="Times New Roman" w:hAnsi="Times New Roman"/>
          <w:sz w:val="24"/>
        </w:rPr>
        <w:t>is 72 hours commencing from when the account is opened.</w:t>
      </w:r>
    </w:p>
    <w:p w14:paraId="6E17691A" w14:textId="50CC39AB" w:rsidR="001D23A8" w:rsidRPr="00BF6A36" w:rsidRDefault="001D23A8" w:rsidP="00BD02D0">
      <w:pPr>
        <w:spacing w:before="240" w:line="259" w:lineRule="auto"/>
        <w:ind w:left="720"/>
        <w:rPr>
          <w:rFonts w:ascii="Times New Roman" w:hAnsi="Times New Roman"/>
          <w:b/>
          <w:sz w:val="24"/>
        </w:rPr>
      </w:pPr>
      <w:r w:rsidRPr="00BF6A36">
        <w:rPr>
          <w:rFonts w:ascii="Times New Roman" w:hAnsi="Times New Roman"/>
          <w:b/>
          <w:sz w:val="24"/>
        </w:rPr>
        <w:t xml:space="preserve">Schedule </w:t>
      </w:r>
      <w:r>
        <w:rPr>
          <w:rFonts w:ascii="Times New Roman" w:hAnsi="Times New Roman"/>
          <w:b/>
          <w:sz w:val="24"/>
        </w:rPr>
        <w:t>2</w:t>
      </w:r>
      <w:r w:rsidRPr="00BF6A36">
        <w:rPr>
          <w:rFonts w:ascii="Times New Roman" w:hAnsi="Times New Roman"/>
          <w:b/>
          <w:sz w:val="24"/>
        </w:rPr>
        <w:t>—Amendments</w:t>
      </w:r>
    </w:p>
    <w:p w14:paraId="1327F5D2" w14:textId="77777777" w:rsidR="001D23A8" w:rsidRPr="0060108F" w:rsidRDefault="001D23A8" w:rsidP="00BD02D0">
      <w:pPr>
        <w:spacing w:before="240" w:line="259" w:lineRule="auto"/>
        <w:ind w:left="720"/>
        <w:rPr>
          <w:rFonts w:ascii="Times New Roman" w:hAnsi="Times New Roman"/>
          <w:b/>
          <w:sz w:val="24"/>
        </w:rPr>
      </w:pPr>
      <w:r w:rsidRPr="0060108F">
        <w:rPr>
          <w:rFonts w:ascii="Times New Roman" w:hAnsi="Times New Roman"/>
          <w:i/>
          <w:sz w:val="24"/>
        </w:rPr>
        <w:t xml:space="preserve">Anti-Money Laundering and Counter-Terrorism Financing Rules Instrument 2007 (No. </w:t>
      </w:r>
      <w:r>
        <w:rPr>
          <w:rFonts w:ascii="Times New Roman" w:hAnsi="Times New Roman"/>
          <w:i/>
          <w:sz w:val="24"/>
        </w:rPr>
        <w:t>1</w:t>
      </w:r>
      <w:r w:rsidRPr="0060108F">
        <w:rPr>
          <w:rFonts w:ascii="Times New Roman" w:hAnsi="Times New Roman"/>
          <w:i/>
          <w:sz w:val="24"/>
        </w:rPr>
        <w:t>)</w:t>
      </w:r>
    </w:p>
    <w:p w14:paraId="7F0E3800" w14:textId="77777777" w:rsidR="001D23A8" w:rsidRPr="0060108F" w:rsidRDefault="001D23A8" w:rsidP="00BD02D0">
      <w:pPr>
        <w:keepNext/>
        <w:spacing w:before="240"/>
        <w:ind w:left="720"/>
        <w:rPr>
          <w:rFonts w:ascii="Times New Roman" w:hAnsi="Times New Roman"/>
          <w:b/>
          <w:sz w:val="24"/>
        </w:rPr>
      </w:pPr>
      <w:r w:rsidRPr="0060108F">
        <w:rPr>
          <w:rFonts w:ascii="Times New Roman" w:hAnsi="Times New Roman"/>
          <w:b/>
          <w:sz w:val="24"/>
        </w:rPr>
        <w:lastRenderedPageBreak/>
        <w:t>Notes on items</w:t>
      </w:r>
    </w:p>
    <w:p w14:paraId="5F875979" w14:textId="130E14C4" w:rsidR="001D23A8" w:rsidRPr="00BF6A36" w:rsidRDefault="001D23A8" w:rsidP="00BD02D0">
      <w:pPr>
        <w:keepNext/>
        <w:spacing w:before="240" w:line="259" w:lineRule="auto"/>
        <w:ind w:left="720"/>
        <w:rPr>
          <w:rFonts w:ascii="Times New Roman" w:hAnsi="Times New Roman"/>
          <w:b/>
          <w:sz w:val="24"/>
        </w:rPr>
      </w:pPr>
      <w:r w:rsidRPr="00BF6A36">
        <w:rPr>
          <w:rFonts w:ascii="Times New Roman" w:hAnsi="Times New Roman"/>
          <w:b/>
          <w:sz w:val="24"/>
        </w:rPr>
        <w:t xml:space="preserve">Item 1—Chapter </w:t>
      </w:r>
      <w:r>
        <w:rPr>
          <w:rFonts w:ascii="Times New Roman" w:hAnsi="Times New Roman"/>
          <w:b/>
          <w:sz w:val="24"/>
        </w:rPr>
        <w:t>81</w:t>
      </w:r>
    </w:p>
    <w:p w14:paraId="096C4F01" w14:textId="0257EE7A" w:rsidR="00C52C1F" w:rsidRDefault="00C52C1F" w:rsidP="00BD02D0">
      <w:pPr>
        <w:autoSpaceDE w:val="0"/>
        <w:autoSpaceDN w:val="0"/>
        <w:adjustRightInd w:val="0"/>
        <w:spacing w:before="240" w:line="259" w:lineRule="auto"/>
        <w:ind w:left="720"/>
        <w:rPr>
          <w:rFonts w:ascii="Times New Roman" w:hAnsi="Times New Roman"/>
          <w:sz w:val="24"/>
        </w:rPr>
      </w:pPr>
      <w:r w:rsidRPr="0060108F">
        <w:rPr>
          <w:rFonts w:ascii="Times New Roman" w:hAnsi="Times New Roman"/>
          <w:sz w:val="24"/>
        </w:rPr>
        <w:t xml:space="preserve">This item </w:t>
      </w:r>
      <w:r w:rsidR="00101C26">
        <w:rPr>
          <w:rFonts w:ascii="Times New Roman" w:hAnsi="Times New Roman"/>
          <w:sz w:val="24"/>
        </w:rPr>
        <w:t>inserts</w:t>
      </w:r>
      <w:r w:rsidRPr="0060108F">
        <w:rPr>
          <w:rFonts w:ascii="Times New Roman" w:hAnsi="Times New Roman"/>
          <w:sz w:val="24"/>
        </w:rPr>
        <w:t xml:space="preserve"> a new </w:t>
      </w:r>
      <w:r w:rsidR="00577307">
        <w:rPr>
          <w:rFonts w:ascii="Times New Roman" w:hAnsi="Times New Roman"/>
          <w:sz w:val="24"/>
        </w:rPr>
        <w:t>chapter, Chapter 8</w:t>
      </w:r>
      <w:r w:rsidR="00BD02D0">
        <w:rPr>
          <w:rFonts w:ascii="Times New Roman" w:hAnsi="Times New Roman"/>
          <w:sz w:val="24"/>
        </w:rPr>
        <w:t>1</w:t>
      </w:r>
      <w:r w:rsidR="00101C26">
        <w:rPr>
          <w:rFonts w:ascii="Times New Roman" w:hAnsi="Times New Roman"/>
          <w:sz w:val="24"/>
        </w:rPr>
        <w:t xml:space="preserve"> </w:t>
      </w:r>
      <w:r w:rsidRPr="0060108F">
        <w:rPr>
          <w:rFonts w:ascii="Times New Roman" w:hAnsi="Times New Roman"/>
          <w:sz w:val="24"/>
        </w:rPr>
        <w:t>of the AML/CTF Rules.</w:t>
      </w:r>
    </w:p>
    <w:p w14:paraId="6D2DC682" w14:textId="131163E7" w:rsidR="006F0637" w:rsidRDefault="0013441F" w:rsidP="00BD02D0">
      <w:pPr>
        <w:pStyle w:val="Item"/>
        <w:ind w:left="720"/>
        <w:rPr>
          <w:sz w:val="24"/>
          <w:szCs w:val="24"/>
        </w:rPr>
      </w:pPr>
      <w:r>
        <w:rPr>
          <w:sz w:val="24"/>
          <w:szCs w:val="22"/>
        </w:rPr>
        <w:t xml:space="preserve">Paragraph </w:t>
      </w:r>
      <w:r w:rsidR="006F0637">
        <w:rPr>
          <w:sz w:val="24"/>
          <w:szCs w:val="22"/>
        </w:rPr>
        <w:t>8</w:t>
      </w:r>
      <w:r w:rsidR="00BD02D0">
        <w:rPr>
          <w:sz w:val="24"/>
          <w:szCs w:val="22"/>
        </w:rPr>
        <w:t>1</w:t>
      </w:r>
      <w:r w:rsidR="006F0637">
        <w:rPr>
          <w:sz w:val="24"/>
          <w:szCs w:val="22"/>
        </w:rPr>
        <w:t>.1 provides that Chapter 8</w:t>
      </w:r>
      <w:r w:rsidR="00BD02D0">
        <w:rPr>
          <w:sz w:val="24"/>
          <w:szCs w:val="22"/>
        </w:rPr>
        <w:t>1</w:t>
      </w:r>
      <w:r w:rsidR="006F0637">
        <w:rPr>
          <w:sz w:val="24"/>
          <w:szCs w:val="22"/>
        </w:rPr>
        <w:t xml:space="preserve"> is </w:t>
      </w:r>
      <w:r w:rsidR="00E92CBB">
        <w:rPr>
          <w:sz w:val="24"/>
          <w:szCs w:val="22"/>
        </w:rPr>
        <w:t xml:space="preserve">made </w:t>
      </w:r>
      <w:r w:rsidR="006F0637">
        <w:rPr>
          <w:sz w:val="24"/>
          <w:szCs w:val="22"/>
        </w:rPr>
        <w:t xml:space="preserve">for the purposes of </w:t>
      </w:r>
      <w:r w:rsidR="00BD02D0">
        <w:rPr>
          <w:sz w:val="24"/>
          <w:szCs w:val="24"/>
        </w:rPr>
        <w:t>subsection 247(4)</w:t>
      </w:r>
      <w:r w:rsidR="006F0637" w:rsidRPr="00160C07">
        <w:rPr>
          <w:sz w:val="24"/>
          <w:szCs w:val="24"/>
        </w:rPr>
        <w:t xml:space="preserve"> of the AML/CTF Act</w:t>
      </w:r>
      <w:r w:rsidR="006F0637">
        <w:rPr>
          <w:sz w:val="24"/>
          <w:szCs w:val="24"/>
        </w:rPr>
        <w:t>.</w:t>
      </w:r>
    </w:p>
    <w:p w14:paraId="16CE459F" w14:textId="6AA0C9FE" w:rsidR="006F0637" w:rsidRPr="000C7ED6" w:rsidRDefault="006F0637" w:rsidP="00BD02D0">
      <w:pPr>
        <w:pStyle w:val="Item"/>
        <w:ind w:left="720"/>
        <w:rPr>
          <w:sz w:val="24"/>
          <w:szCs w:val="22"/>
        </w:rPr>
      </w:pPr>
      <w:r w:rsidRPr="000C7ED6">
        <w:rPr>
          <w:sz w:val="24"/>
          <w:szCs w:val="22"/>
        </w:rPr>
        <w:t>Paragraph 8</w:t>
      </w:r>
      <w:r w:rsidR="00BD02D0" w:rsidRPr="000C7ED6">
        <w:rPr>
          <w:sz w:val="24"/>
          <w:szCs w:val="22"/>
        </w:rPr>
        <w:t>1</w:t>
      </w:r>
      <w:r w:rsidRPr="000C7ED6">
        <w:rPr>
          <w:sz w:val="24"/>
          <w:szCs w:val="22"/>
        </w:rPr>
        <w:t xml:space="preserve">.2 </w:t>
      </w:r>
      <w:r w:rsidR="000B7574" w:rsidRPr="000C7ED6">
        <w:rPr>
          <w:sz w:val="24"/>
          <w:szCs w:val="22"/>
        </w:rPr>
        <w:t xml:space="preserve">specifies </w:t>
      </w:r>
      <w:r w:rsidR="00BD02D0" w:rsidRPr="000C7ED6">
        <w:rPr>
          <w:sz w:val="24"/>
          <w:szCs w:val="22"/>
        </w:rPr>
        <w:t>that Part 6A of the AML/CTF Act does not apply if a financial institution that is already enrolled on the reporting entity roll provides a designated service that is of the kind described in item 50A of Table 1 in subsection 6(2) of the Act</w:t>
      </w:r>
      <w:r w:rsidR="000B7574" w:rsidRPr="000C7ED6">
        <w:rPr>
          <w:sz w:val="24"/>
          <w:szCs w:val="22"/>
        </w:rPr>
        <w:t>.</w:t>
      </w:r>
    </w:p>
    <w:p w14:paraId="799A0639" w14:textId="150C4EE2" w:rsidR="0059594F" w:rsidRDefault="00666B66" w:rsidP="000C7ED6">
      <w:pPr>
        <w:pStyle w:val="Item"/>
        <w:ind w:left="720"/>
        <w:rPr>
          <w:sz w:val="24"/>
          <w:szCs w:val="22"/>
        </w:rPr>
      </w:pPr>
      <w:r w:rsidRPr="000C7ED6">
        <w:rPr>
          <w:sz w:val="24"/>
          <w:szCs w:val="22"/>
        </w:rPr>
        <w:t xml:space="preserve">Paragraph 81.3 defines the terms ‘financial institution’, ‘Reporting Entity’ and </w:t>
      </w:r>
      <w:r w:rsidR="000C7ED6" w:rsidRPr="000C7ED6">
        <w:rPr>
          <w:sz w:val="24"/>
          <w:szCs w:val="22"/>
        </w:rPr>
        <w:t>‘Reporting Entity Roll’ for the purposes of Chapter 81.</w:t>
      </w:r>
    </w:p>
    <w:p w14:paraId="057C8523" w14:textId="77777777" w:rsidR="00666B66" w:rsidRPr="000C7ED6" w:rsidRDefault="0059594F" w:rsidP="000C7ED6">
      <w:pPr>
        <w:pStyle w:val="Item"/>
        <w:ind w:left="720"/>
        <w:rPr>
          <w:sz w:val="24"/>
          <w:szCs w:val="22"/>
        </w:rPr>
      </w:pPr>
      <w:r>
        <w:rPr>
          <w:sz w:val="24"/>
          <w:szCs w:val="22"/>
        </w:rPr>
        <w:br w:type="page"/>
      </w:r>
    </w:p>
    <w:p w14:paraId="2DBE56F4" w14:textId="14F2A643" w:rsidR="00684A1B" w:rsidRDefault="00684A1B" w:rsidP="00BD02D0">
      <w:pPr>
        <w:keepNext/>
        <w:spacing w:before="240" w:line="259" w:lineRule="auto"/>
        <w:ind w:left="720"/>
        <w:rPr>
          <w:rFonts w:ascii="Times New Roman" w:hAnsi="Times New Roman"/>
          <w:b/>
        </w:rPr>
      </w:pPr>
    </w:p>
    <w:p w14:paraId="19974919" w14:textId="77777777" w:rsidR="004A1634" w:rsidRPr="004A1634" w:rsidRDefault="004A1634" w:rsidP="00BD02D0">
      <w:pPr>
        <w:ind w:left="720"/>
        <w:rPr>
          <w:lang w:eastAsia="en-AU"/>
        </w:rPr>
      </w:pPr>
    </w:p>
    <w:p w14:paraId="1C4487B8" w14:textId="68C33B45" w:rsidR="009B309E" w:rsidRPr="009A29DA" w:rsidRDefault="009B309E" w:rsidP="00BD02D0">
      <w:pPr>
        <w:spacing w:after="160" w:line="360" w:lineRule="auto"/>
        <w:ind w:left="720"/>
        <w:rPr>
          <w:rFonts w:ascii="Times New Roman" w:eastAsia="Calibri" w:hAnsi="Times New Roman"/>
          <w:b/>
          <w:caps/>
          <w:sz w:val="24"/>
          <w:u w:val="single"/>
        </w:rPr>
      </w:pPr>
      <w:r w:rsidRPr="009A29DA">
        <w:rPr>
          <w:rFonts w:ascii="Times New Roman" w:eastAsia="Calibri" w:hAnsi="Times New Roman"/>
          <w:b/>
          <w:caps/>
          <w:sz w:val="24"/>
          <w:u w:val="single"/>
        </w:rPr>
        <w:t>ATTACHMENT B</w:t>
      </w:r>
    </w:p>
    <w:p w14:paraId="4AF4F136" w14:textId="77777777" w:rsidR="00733D11" w:rsidRDefault="00733D11" w:rsidP="00BD02D0">
      <w:pPr>
        <w:spacing w:after="160" w:line="360" w:lineRule="auto"/>
        <w:ind w:left="720"/>
        <w:rPr>
          <w:rFonts w:ascii="Times New Roman" w:eastAsia="Calibri" w:hAnsi="Times New Roman"/>
          <w:b/>
          <w:caps/>
          <w:sz w:val="24"/>
        </w:rPr>
      </w:pPr>
    </w:p>
    <w:p w14:paraId="0505F18F" w14:textId="4BCB2270" w:rsidR="00017141" w:rsidRPr="00017141" w:rsidRDefault="00017141" w:rsidP="00BD02D0">
      <w:pPr>
        <w:spacing w:after="160" w:line="360" w:lineRule="auto"/>
        <w:ind w:left="720"/>
        <w:rPr>
          <w:rFonts w:ascii="Times New Roman" w:eastAsia="Calibri" w:hAnsi="Times New Roman"/>
          <w:b/>
          <w:caps/>
          <w:sz w:val="24"/>
        </w:rPr>
      </w:pPr>
      <w:r w:rsidRPr="00017141">
        <w:rPr>
          <w:rFonts w:ascii="Times New Roman" w:eastAsia="Calibri" w:hAnsi="Times New Roman"/>
          <w:b/>
          <w:caps/>
          <w:sz w:val="24"/>
        </w:rPr>
        <w:t>Statement of Compatibility with Human Rights</w:t>
      </w:r>
    </w:p>
    <w:p w14:paraId="5010A176" w14:textId="77777777" w:rsidR="00017141" w:rsidRPr="00D54B98" w:rsidRDefault="00017141" w:rsidP="00BD02D0">
      <w:pPr>
        <w:spacing w:after="160" w:line="360" w:lineRule="auto"/>
        <w:ind w:left="720"/>
        <w:rPr>
          <w:rFonts w:ascii="Times New Roman" w:eastAsia="Calibri" w:hAnsi="Times New Roman"/>
          <w:sz w:val="24"/>
        </w:rPr>
      </w:pPr>
      <w:r w:rsidRPr="00D54B98">
        <w:rPr>
          <w:rFonts w:ascii="Times New Roman" w:eastAsia="Calibri" w:hAnsi="Times New Roman"/>
          <w:i/>
          <w:iCs/>
          <w:sz w:val="24"/>
        </w:rPr>
        <w:t>Prepared in accordance with Part 3 of the Human Rights (Parliamentary Scrutiny) Act 2011</w:t>
      </w:r>
    </w:p>
    <w:p w14:paraId="290F13A5" w14:textId="77777777" w:rsidR="00017141" w:rsidRPr="00D54B98" w:rsidRDefault="00017141" w:rsidP="00BD02D0">
      <w:pPr>
        <w:spacing w:after="160" w:line="360" w:lineRule="auto"/>
        <w:ind w:left="720"/>
        <w:rPr>
          <w:rFonts w:ascii="Times New Roman" w:eastAsia="Calibri" w:hAnsi="Times New Roman"/>
          <w:b/>
          <w:i/>
          <w:sz w:val="24"/>
        </w:rPr>
      </w:pPr>
      <w:r w:rsidRPr="00D54B98">
        <w:rPr>
          <w:rFonts w:ascii="Times New Roman" w:eastAsia="Calibri" w:hAnsi="Times New Roman"/>
          <w:b/>
          <w:i/>
          <w:sz w:val="24"/>
        </w:rPr>
        <w:t xml:space="preserve">Australian Human Rights Commission Regulations 2019 </w:t>
      </w:r>
    </w:p>
    <w:p w14:paraId="42716A5F" w14:textId="7B503024" w:rsidR="00017141" w:rsidRPr="00D54B98" w:rsidRDefault="00017141" w:rsidP="00BD02D0">
      <w:pPr>
        <w:spacing w:after="160" w:line="259" w:lineRule="auto"/>
        <w:ind w:left="720"/>
        <w:rPr>
          <w:rFonts w:ascii="Times New Roman" w:eastAsia="Calibri" w:hAnsi="Times New Roman"/>
          <w:sz w:val="24"/>
        </w:rPr>
      </w:pPr>
      <w:r w:rsidRPr="00D54B98">
        <w:rPr>
          <w:rFonts w:ascii="Times New Roman" w:eastAsia="Calibri" w:hAnsi="Times New Roman"/>
          <w:sz w:val="24"/>
        </w:rPr>
        <w:t>This Disallowable Legislative Instrument</w:t>
      </w:r>
      <w:r w:rsidR="00BF6A36">
        <w:rPr>
          <w:rFonts w:ascii="Times New Roman" w:eastAsia="Calibri" w:hAnsi="Times New Roman"/>
          <w:sz w:val="24"/>
        </w:rPr>
        <w:t xml:space="preserve"> (the </w:t>
      </w:r>
      <w:r w:rsidR="00BF6A36" w:rsidRPr="00D54B98">
        <w:rPr>
          <w:rFonts w:ascii="Times New Roman" w:eastAsia="Calibri" w:hAnsi="Times New Roman"/>
          <w:b/>
          <w:sz w:val="24"/>
        </w:rPr>
        <w:t>Instrument</w:t>
      </w:r>
      <w:r w:rsidR="00BF6A36">
        <w:rPr>
          <w:rFonts w:ascii="Times New Roman" w:eastAsia="Calibri" w:hAnsi="Times New Roman"/>
          <w:sz w:val="24"/>
        </w:rPr>
        <w:t>)</w:t>
      </w:r>
      <w:r w:rsidRPr="00D54B98">
        <w:rPr>
          <w:rFonts w:ascii="Times New Roman" w:eastAsia="Calibri" w:hAnsi="Times New Roman"/>
          <w:sz w:val="24"/>
        </w:rPr>
        <w:t xml:space="preserve"> is compatible with the human rights and freedoms recognised or declared in the international instruments listed in section 3 of the </w:t>
      </w:r>
      <w:r w:rsidRPr="00D54B98">
        <w:rPr>
          <w:rFonts w:ascii="Times New Roman" w:eastAsia="Calibri" w:hAnsi="Times New Roman"/>
          <w:i/>
          <w:sz w:val="24"/>
        </w:rPr>
        <w:t>Human Rights (Parliamentary Scrutiny) Act 2011</w:t>
      </w:r>
      <w:r w:rsidRPr="00D54B98">
        <w:rPr>
          <w:rFonts w:ascii="Times New Roman" w:eastAsia="Calibri" w:hAnsi="Times New Roman"/>
          <w:sz w:val="24"/>
        </w:rPr>
        <w:t>.</w:t>
      </w:r>
    </w:p>
    <w:p w14:paraId="140A98A7" w14:textId="5003C4FF" w:rsidR="00017141" w:rsidRPr="00BC5456" w:rsidRDefault="00017141" w:rsidP="00BD02D0">
      <w:pPr>
        <w:spacing w:after="160" w:line="360" w:lineRule="auto"/>
        <w:ind w:left="720"/>
        <w:rPr>
          <w:rFonts w:ascii="Times New Roman" w:eastAsia="Calibri" w:hAnsi="Times New Roman"/>
          <w:b/>
          <w:sz w:val="24"/>
        </w:rPr>
      </w:pPr>
      <w:r w:rsidRPr="00BC5456">
        <w:rPr>
          <w:rFonts w:ascii="Times New Roman" w:eastAsia="Calibri" w:hAnsi="Times New Roman"/>
          <w:b/>
          <w:sz w:val="24"/>
        </w:rPr>
        <w:t>Overview of the Instrument</w:t>
      </w:r>
    </w:p>
    <w:p w14:paraId="3FDC1475" w14:textId="34BCFE08" w:rsidR="005C4DD2" w:rsidRPr="005C4DD2" w:rsidRDefault="005C4DD2" w:rsidP="005C4DD2">
      <w:pPr>
        <w:spacing w:after="160" w:line="259" w:lineRule="auto"/>
        <w:ind w:left="720"/>
        <w:rPr>
          <w:rFonts w:ascii="Times New Roman" w:eastAsia="Calibri" w:hAnsi="Times New Roman"/>
          <w:sz w:val="24"/>
        </w:rPr>
      </w:pPr>
      <w:r w:rsidRPr="005C4DD2">
        <w:rPr>
          <w:rFonts w:ascii="Times New Roman" w:eastAsia="Calibri" w:hAnsi="Times New Roman"/>
          <w:sz w:val="24"/>
        </w:rPr>
        <w:t xml:space="preserve">Part 10.4 of the </w:t>
      </w:r>
      <w:r w:rsidR="005F54C0" w:rsidRPr="005F54C0">
        <w:rPr>
          <w:rFonts w:ascii="Times New Roman" w:eastAsia="Calibri" w:hAnsi="Times New Roman"/>
          <w:i/>
          <w:sz w:val="24"/>
        </w:rPr>
        <w:t>Anti-Money Laundering and Counter-Terrorism Financing Rules Instrument 2007</w:t>
      </w:r>
      <w:r w:rsidR="005F54C0">
        <w:rPr>
          <w:rFonts w:ascii="Times New Roman" w:eastAsia="Calibri" w:hAnsi="Times New Roman"/>
          <w:sz w:val="24"/>
        </w:rPr>
        <w:t xml:space="preserve"> (</w:t>
      </w:r>
      <w:r w:rsidRPr="005F54C0">
        <w:rPr>
          <w:rFonts w:ascii="Times New Roman" w:eastAsia="Calibri" w:hAnsi="Times New Roman"/>
          <w:b/>
          <w:sz w:val="24"/>
        </w:rPr>
        <w:t>AML/CTF Rules</w:t>
      </w:r>
      <w:r w:rsidR="005F54C0">
        <w:rPr>
          <w:rFonts w:ascii="Times New Roman" w:eastAsia="Calibri" w:hAnsi="Times New Roman"/>
          <w:sz w:val="24"/>
        </w:rPr>
        <w:t>)</w:t>
      </w:r>
      <w:r w:rsidRPr="005C4DD2">
        <w:rPr>
          <w:rFonts w:ascii="Times New Roman" w:eastAsia="Calibri" w:hAnsi="Times New Roman"/>
          <w:sz w:val="24"/>
        </w:rPr>
        <w:t xml:space="preserve"> sets out the special circumstances that allow an online gambling services provider to carry out the applicable customer identification procedure after commencement of the provision of online gambling services.</w:t>
      </w:r>
    </w:p>
    <w:p w14:paraId="79099016" w14:textId="74DC5BBF" w:rsidR="005C4DD2" w:rsidRPr="005C4DD2" w:rsidRDefault="005C4DD2" w:rsidP="005C4DD2">
      <w:pPr>
        <w:spacing w:after="160" w:line="259" w:lineRule="auto"/>
        <w:ind w:left="720"/>
        <w:rPr>
          <w:rFonts w:ascii="Times New Roman" w:eastAsia="Calibri" w:hAnsi="Times New Roman"/>
          <w:sz w:val="24"/>
        </w:rPr>
      </w:pPr>
      <w:r w:rsidRPr="005C4DD2">
        <w:rPr>
          <w:rFonts w:ascii="Times New Roman" w:eastAsia="Calibri" w:hAnsi="Times New Roman"/>
          <w:sz w:val="24"/>
        </w:rPr>
        <w:t xml:space="preserve">Paragraph 10.4.4 of the AML/CTF Rules currently requires reporting entities to carry out the applicable customer identification procedure in relation to online gambling services within 14 days of when an account is opened in the name of the customer. The </w:t>
      </w:r>
      <w:r>
        <w:rPr>
          <w:rFonts w:ascii="Times New Roman" w:eastAsia="Calibri" w:hAnsi="Times New Roman"/>
          <w:sz w:val="24"/>
        </w:rPr>
        <w:t>Instrument</w:t>
      </w:r>
      <w:r w:rsidRPr="005C4DD2">
        <w:rPr>
          <w:rFonts w:ascii="Times New Roman" w:eastAsia="Calibri" w:hAnsi="Times New Roman"/>
          <w:sz w:val="24"/>
        </w:rPr>
        <w:t xml:space="preserve"> reduces this period to 72 hours.</w:t>
      </w:r>
    </w:p>
    <w:p w14:paraId="2BD92EEE" w14:textId="21397E22" w:rsidR="005C4DD2" w:rsidRDefault="005C4DD2" w:rsidP="005C4DD2">
      <w:pPr>
        <w:spacing w:after="160" w:line="259" w:lineRule="auto"/>
        <w:ind w:left="720"/>
        <w:rPr>
          <w:rFonts w:ascii="Times New Roman" w:eastAsia="Calibri" w:hAnsi="Times New Roman"/>
          <w:sz w:val="24"/>
        </w:rPr>
      </w:pPr>
      <w:r w:rsidRPr="005C4DD2">
        <w:rPr>
          <w:rFonts w:ascii="Times New Roman" w:eastAsia="Calibri" w:hAnsi="Times New Roman"/>
          <w:sz w:val="24"/>
        </w:rPr>
        <w:t xml:space="preserve">The </w:t>
      </w:r>
      <w:r>
        <w:rPr>
          <w:rFonts w:ascii="Times New Roman" w:eastAsia="Calibri" w:hAnsi="Times New Roman"/>
          <w:sz w:val="24"/>
        </w:rPr>
        <w:t>Instrument also adds</w:t>
      </w:r>
      <w:r w:rsidRPr="005C4DD2">
        <w:rPr>
          <w:rFonts w:ascii="Times New Roman" w:eastAsia="Calibri" w:hAnsi="Times New Roman"/>
          <w:sz w:val="24"/>
        </w:rPr>
        <w:t xml:space="preserve"> Chapter 81 </w:t>
      </w:r>
      <w:r>
        <w:rPr>
          <w:rFonts w:ascii="Times New Roman" w:eastAsia="Calibri" w:hAnsi="Times New Roman"/>
          <w:sz w:val="24"/>
        </w:rPr>
        <w:t>to</w:t>
      </w:r>
      <w:r w:rsidRPr="005C4DD2">
        <w:rPr>
          <w:rFonts w:ascii="Times New Roman" w:eastAsia="Calibri" w:hAnsi="Times New Roman"/>
          <w:sz w:val="24"/>
        </w:rPr>
        <w:t xml:space="preserve"> implement the undertaking set out in the Revised Explanatory Memorandum to the </w:t>
      </w:r>
      <w:r w:rsidRPr="005F54C0">
        <w:rPr>
          <w:rFonts w:ascii="Times New Roman" w:eastAsia="Calibri" w:hAnsi="Times New Roman"/>
          <w:i/>
          <w:sz w:val="24"/>
        </w:rPr>
        <w:t>Anti-Money Laundering and Counter-Terrorism Financing Amendment Act 2017</w:t>
      </w:r>
      <w:r w:rsidRPr="005C4DD2">
        <w:rPr>
          <w:rFonts w:ascii="Times New Roman" w:eastAsia="Calibri" w:hAnsi="Times New Roman"/>
          <w:sz w:val="24"/>
        </w:rPr>
        <w:t xml:space="preserve"> by removing the requirement for financial institutions to register on the Digital Currency Exchange Register.</w:t>
      </w:r>
    </w:p>
    <w:p w14:paraId="601F3F0F" w14:textId="5BECF0A7" w:rsidR="00606CF2" w:rsidRPr="00D54B98" w:rsidRDefault="009B309E" w:rsidP="005C4DD2">
      <w:pPr>
        <w:spacing w:after="160" w:line="360" w:lineRule="auto"/>
        <w:ind w:left="720"/>
        <w:rPr>
          <w:rFonts w:ascii="Times New Roman" w:eastAsia="Calibri" w:hAnsi="Times New Roman"/>
          <w:b/>
          <w:sz w:val="24"/>
        </w:rPr>
      </w:pPr>
      <w:r w:rsidRPr="00D54B98">
        <w:rPr>
          <w:rFonts w:ascii="Times New Roman" w:eastAsia="Calibri" w:hAnsi="Times New Roman"/>
          <w:b/>
          <w:sz w:val="24"/>
        </w:rPr>
        <w:t>Human rights implications</w:t>
      </w:r>
    </w:p>
    <w:p w14:paraId="289424C1" w14:textId="77777777" w:rsidR="00606CF2" w:rsidRPr="00D54B98" w:rsidRDefault="00C34C45" w:rsidP="00BD02D0">
      <w:pPr>
        <w:spacing w:after="160" w:line="259" w:lineRule="auto"/>
        <w:ind w:left="720"/>
        <w:rPr>
          <w:rFonts w:ascii="Times New Roman" w:hAnsi="Times New Roman"/>
          <w:sz w:val="24"/>
        </w:rPr>
      </w:pPr>
      <w:r w:rsidRPr="00D54B98">
        <w:rPr>
          <w:rFonts w:ascii="Times New Roman" w:hAnsi="Times New Roman"/>
          <w:sz w:val="24"/>
        </w:rPr>
        <w:t xml:space="preserve">The </w:t>
      </w:r>
      <w:r w:rsidRPr="00D54B98">
        <w:rPr>
          <w:rFonts w:ascii="Times New Roman" w:hAnsi="Times New Roman"/>
          <w:i/>
          <w:sz w:val="24"/>
        </w:rPr>
        <w:t>Human Rights (Parliamentary Scrutiny) Act 2011</w:t>
      </w:r>
      <w:r w:rsidRPr="00D54B98">
        <w:rPr>
          <w:rFonts w:ascii="Times New Roman" w:hAnsi="Times New Roman"/>
          <w:sz w:val="24"/>
        </w:rPr>
        <w:t xml:space="preserve"> requires that Statements of Compatibility must be made by the rule-maker with regard to disallowable legislative instruments, and must contain an assessment of whether the legislative instrument is compatible with the rights and freedoms recognised in the seven core international human rights treaties that Australia has ratified.</w:t>
      </w:r>
    </w:p>
    <w:p w14:paraId="4F109626" w14:textId="0DC840DD" w:rsidR="004A3E2A" w:rsidRPr="003E329A" w:rsidRDefault="007E0112" w:rsidP="004A3E2A">
      <w:pPr>
        <w:spacing w:before="240" w:after="160"/>
        <w:ind w:left="720"/>
        <w:contextualSpacing/>
        <w:rPr>
          <w:rFonts w:ascii="Times New Roman" w:hAnsi="Times New Roman"/>
          <w:sz w:val="24"/>
          <w:lang w:eastAsia="en-AU"/>
        </w:rPr>
      </w:pPr>
      <w:r w:rsidRPr="007E0112">
        <w:rPr>
          <w:rFonts w:ascii="Times New Roman" w:hAnsi="Times New Roman"/>
          <w:sz w:val="24"/>
          <w:lang w:eastAsia="en-AU"/>
        </w:rPr>
        <w:lastRenderedPageBreak/>
        <w:t xml:space="preserve">This </w:t>
      </w:r>
      <w:r w:rsidR="005F54C0">
        <w:rPr>
          <w:rFonts w:ascii="Times New Roman" w:hAnsi="Times New Roman"/>
          <w:sz w:val="24"/>
          <w:lang w:eastAsia="en-AU"/>
        </w:rPr>
        <w:t>Instrument</w:t>
      </w:r>
      <w:r w:rsidRPr="007E0112">
        <w:rPr>
          <w:rFonts w:ascii="Times New Roman" w:hAnsi="Times New Roman"/>
          <w:sz w:val="24"/>
          <w:lang w:eastAsia="en-AU"/>
        </w:rPr>
        <w:t xml:space="preserve"> does not engage any of the applicable rights or freedoms, including the right to privacy </w:t>
      </w:r>
      <w:r w:rsidR="004A3E2A" w:rsidRPr="007E0112">
        <w:rPr>
          <w:rFonts w:ascii="Times New Roman" w:hAnsi="Times New Roman"/>
          <w:sz w:val="24"/>
          <w:lang w:eastAsia="en-AU"/>
        </w:rPr>
        <w:t xml:space="preserve">articulated in Article 17 of the </w:t>
      </w:r>
      <w:r w:rsidR="004A3E2A" w:rsidRPr="004A3E2A">
        <w:rPr>
          <w:rFonts w:ascii="Times New Roman" w:hAnsi="Times New Roman"/>
          <w:i/>
          <w:sz w:val="24"/>
          <w:lang w:eastAsia="en-AU"/>
        </w:rPr>
        <w:t>International Covenant on Civil and Political Rights</w:t>
      </w:r>
      <w:r w:rsidR="004A3E2A" w:rsidRPr="007E0112">
        <w:rPr>
          <w:rFonts w:ascii="Times New Roman" w:hAnsi="Times New Roman"/>
          <w:sz w:val="24"/>
          <w:lang w:eastAsia="en-AU"/>
        </w:rPr>
        <w:t>.</w:t>
      </w:r>
    </w:p>
    <w:p w14:paraId="5037ECFC" w14:textId="4105AF79" w:rsidR="007E0112" w:rsidRPr="007E0112" w:rsidRDefault="007E0112" w:rsidP="007E0112">
      <w:pPr>
        <w:spacing w:before="240" w:after="160"/>
        <w:ind w:left="720"/>
        <w:contextualSpacing/>
        <w:rPr>
          <w:rFonts w:ascii="Times New Roman" w:hAnsi="Times New Roman"/>
          <w:sz w:val="24"/>
          <w:lang w:eastAsia="en-AU"/>
        </w:rPr>
      </w:pPr>
      <w:r w:rsidRPr="007E0112">
        <w:rPr>
          <w:rFonts w:ascii="Times New Roman" w:hAnsi="Times New Roman"/>
          <w:sz w:val="24"/>
          <w:lang w:eastAsia="en-AU"/>
        </w:rPr>
        <w:t xml:space="preserve"> </w:t>
      </w:r>
    </w:p>
    <w:p w14:paraId="0C8B4F6D" w14:textId="0B58F359" w:rsidR="007E0112" w:rsidRDefault="007E0112" w:rsidP="007E0112">
      <w:pPr>
        <w:spacing w:before="240" w:after="160"/>
        <w:ind w:left="720"/>
        <w:contextualSpacing/>
        <w:rPr>
          <w:rFonts w:ascii="Times New Roman" w:hAnsi="Times New Roman"/>
          <w:sz w:val="24"/>
          <w:lang w:eastAsia="en-AU"/>
        </w:rPr>
      </w:pPr>
      <w:r w:rsidRPr="007E0112">
        <w:rPr>
          <w:rFonts w:ascii="Times New Roman" w:hAnsi="Times New Roman"/>
          <w:sz w:val="24"/>
          <w:lang w:eastAsia="en-AU"/>
        </w:rPr>
        <w:t xml:space="preserve">While reporting entities are required to collect personal information about certain customers when carrying out applicable customer identification procedures under the </w:t>
      </w:r>
      <w:r w:rsidRPr="005F54C0">
        <w:rPr>
          <w:rFonts w:ascii="Times New Roman" w:hAnsi="Times New Roman"/>
          <w:i/>
          <w:sz w:val="24"/>
          <w:lang w:eastAsia="en-AU"/>
        </w:rPr>
        <w:t>Anti-Money Laundering and Counter-Terrorism Financing Act 2006 (Cth)</w:t>
      </w:r>
      <w:r w:rsidRPr="007E0112">
        <w:rPr>
          <w:rFonts w:ascii="Times New Roman" w:hAnsi="Times New Roman"/>
          <w:sz w:val="24"/>
          <w:lang w:eastAsia="en-AU"/>
        </w:rPr>
        <w:t xml:space="preserve"> (</w:t>
      </w:r>
      <w:r w:rsidRPr="005F54C0">
        <w:rPr>
          <w:rFonts w:ascii="Times New Roman" w:hAnsi="Times New Roman"/>
          <w:b/>
          <w:sz w:val="24"/>
          <w:lang w:eastAsia="en-AU"/>
        </w:rPr>
        <w:t>AML/CTF Act</w:t>
      </w:r>
      <w:r w:rsidRPr="007E0112">
        <w:rPr>
          <w:rFonts w:ascii="Times New Roman" w:hAnsi="Times New Roman"/>
          <w:sz w:val="24"/>
          <w:lang w:eastAsia="en-AU"/>
        </w:rPr>
        <w:t xml:space="preserve">) and the AML/CTF Rules, this proposed amendment does not amend the existing requirements in relation to the types of information collected about customers. The </w:t>
      </w:r>
      <w:r w:rsidR="004A3E2A">
        <w:rPr>
          <w:rFonts w:ascii="Times New Roman" w:hAnsi="Times New Roman"/>
          <w:sz w:val="24"/>
          <w:lang w:eastAsia="en-AU"/>
        </w:rPr>
        <w:t>Instrument</w:t>
      </w:r>
      <w:r w:rsidRPr="007E0112">
        <w:rPr>
          <w:rFonts w:ascii="Times New Roman" w:hAnsi="Times New Roman"/>
          <w:sz w:val="24"/>
          <w:lang w:eastAsia="en-AU"/>
        </w:rPr>
        <w:t xml:space="preserve"> merely reduces the period for carrying out customer verification in relation to online gambling accounts to implement one of the consumer protection measures from the National Consumer Protection Framework for Online Wagering. </w:t>
      </w:r>
    </w:p>
    <w:p w14:paraId="6E7C4424" w14:textId="77777777" w:rsidR="004A3E2A" w:rsidRPr="007E0112" w:rsidRDefault="004A3E2A" w:rsidP="007E0112">
      <w:pPr>
        <w:spacing w:before="240" w:after="160"/>
        <w:ind w:left="720"/>
        <w:contextualSpacing/>
        <w:rPr>
          <w:rFonts w:ascii="Times New Roman" w:hAnsi="Times New Roman"/>
          <w:sz w:val="24"/>
          <w:lang w:eastAsia="en-AU"/>
        </w:rPr>
      </w:pPr>
    </w:p>
    <w:p w14:paraId="5772ADD6" w14:textId="36FCE59F" w:rsidR="007E0112" w:rsidRDefault="007E0112" w:rsidP="007E0112">
      <w:pPr>
        <w:spacing w:before="240" w:after="160"/>
        <w:ind w:left="720"/>
        <w:contextualSpacing/>
        <w:rPr>
          <w:rFonts w:ascii="Times New Roman" w:hAnsi="Times New Roman"/>
          <w:sz w:val="24"/>
          <w:lang w:eastAsia="en-AU"/>
        </w:rPr>
      </w:pPr>
      <w:r w:rsidRPr="007E0112">
        <w:rPr>
          <w:rFonts w:ascii="Times New Roman" w:hAnsi="Times New Roman"/>
          <w:sz w:val="24"/>
          <w:lang w:eastAsia="en-AU"/>
        </w:rPr>
        <w:t>Reporting entities collect personal information for customer verification purposes to comply with the requirement of the AML/CTF Act to mitigate and manage the risk of money laundering and financing of terrorism when providing designated services. The collection of personal information is therefore not an arbitrary or unlawful interference with privacy. Furthermore, the collection is necessary, reasonable, and proportionate to achieving the legitimate object of the AML/CTF Act.</w:t>
      </w:r>
    </w:p>
    <w:p w14:paraId="1F01C9D9" w14:textId="77777777" w:rsidR="004A3E2A" w:rsidRPr="007E0112" w:rsidRDefault="004A3E2A" w:rsidP="007E0112">
      <w:pPr>
        <w:spacing w:before="240" w:after="160"/>
        <w:ind w:left="720"/>
        <w:contextualSpacing/>
        <w:rPr>
          <w:rFonts w:ascii="Times New Roman" w:hAnsi="Times New Roman"/>
          <w:sz w:val="24"/>
          <w:lang w:eastAsia="en-AU"/>
        </w:rPr>
      </w:pPr>
    </w:p>
    <w:p w14:paraId="0B5DF4F8" w14:textId="77777777" w:rsidR="007F18B0" w:rsidRPr="003B5048" w:rsidRDefault="007F18B0" w:rsidP="00BD02D0">
      <w:pPr>
        <w:spacing w:after="160" w:line="259" w:lineRule="auto"/>
        <w:ind w:left="720"/>
        <w:rPr>
          <w:rFonts w:ascii="Times New Roman" w:eastAsia="Calibri" w:hAnsi="Times New Roman"/>
          <w:b/>
          <w:sz w:val="24"/>
        </w:rPr>
      </w:pPr>
    </w:p>
    <w:p w14:paraId="1F1FC570" w14:textId="33835E43" w:rsidR="00B94668" w:rsidRDefault="00B94668" w:rsidP="00BD02D0">
      <w:pPr>
        <w:ind w:left="720"/>
        <w:rPr>
          <w:rFonts w:ascii="Times New Roman" w:hAnsi="Times New Roman"/>
          <w:sz w:val="24"/>
        </w:rPr>
      </w:pPr>
    </w:p>
    <w:p w14:paraId="51C40289" w14:textId="41058B6E" w:rsidR="00A97B24" w:rsidRDefault="00A97B24" w:rsidP="00BD02D0">
      <w:pPr>
        <w:ind w:left="720"/>
        <w:rPr>
          <w:rFonts w:ascii="Times New Roman" w:hAnsi="Times New Roman"/>
          <w:sz w:val="24"/>
        </w:rPr>
      </w:pPr>
    </w:p>
    <w:p w14:paraId="0CC2C538" w14:textId="6E574BD2" w:rsidR="00A97B24" w:rsidRPr="00BC6A40" w:rsidRDefault="00C85B0D" w:rsidP="00BD02D0">
      <w:pPr>
        <w:ind w:left="720"/>
        <w:rPr>
          <w:rFonts w:ascii="Times New Roman" w:hAnsi="Times New Roman"/>
          <w:sz w:val="24"/>
        </w:rPr>
      </w:pPr>
      <w:r>
        <w:rPr>
          <w:rFonts w:ascii="Times New Roman" w:hAnsi="Times New Roman"/>
          <w:sz w:val="24"/>
        </w:rPr>
        <w:t>[signed]</w:t>
      </w:r>
    </w:p>
    <w:p w14:paraId="0F0D2B36" w14:textId="5E7A9129" w:rsidR="009B309E" w:rsidRPr="00BC6A40" w:rsidRDefault="009B309E" w:rsidP="00BD02D0">
      <w:pPr>
        <w:ind w:left="720"/>
        <w:rPr>
          <w:rFonts w:ascii="Times New Roman" w:hAnsi="Times New Roman"/>
          <w:sz w:val="24"/>
        </w:rPr>
      </w:pPr>
      <w:r w:rsidRPr="00BC6A40">
        <w:rPr>
          <w:rFonts w:ascii="Times New Roman" w:hAnsi="Times New Roman"/>
          <w:sz w:val="24"/>
        </w:rPr>
        <w:t>Nicole Rose PSM</w:t>
      </w:r>
    </w:p>
    <w:p w14:paraId="073F635A" w14:textId="77777777" w:rsidR="009B309E" w:rsidRPr="00BC6A40" w:rsidRDefault="009B309E" w:rsidP="00BD02D0">
      <w:pPr>
        <w:ind w:left="720"/>
        <w:rPr>
          <w:rFonts w:ascii="Times New Roman" w:hAnsi="Times New Roman"/>
          <w:sz w:val="24"/>
        </w:rPr>
      </w:pPr>
      <w:r w:rsidRPr="00BC6A40">
        <w:rPr>
          <w:rFonts w:ascii="Times New Roman" w:hAnsi="Times New Roman"/>
          <w:sz w:val="24"/>
        </w:rPr>
        <w:t>Chief Executive Officer</w:t>
      </w:r>
    </w:p>
    <w:p w14:paraId="25D33808" w14:textId="77777777" w:rsidR="009B309E" w:rsidRPr="00BC6A40" w:rsidRDefault="009B309E" w:rsidP="00BD02D0">
      <w:pPr>
        <w:ind w:left="720"/>
        <w:rPr>
          <w:rFonts w:ascii="Times New Roman" w:hAnsi="Times New Roman"/>
          <w:sz w:val="24"/>
        </w:rPr>
      </w:pPr>
      <w:r w:rsidRPr="00BC6A40">
        <w:rPr>
          <w:rFonts w:ascii="Times New Roman" w:hAnsi="Times New Roman"/>
          <w:sz w:val="24"/>
        </w:rPr>
        <w:t>Australian Transaction Reports and Analysis Centre</w:t>
      </w:r>
    </w:p>
    <w:sectPr w:rsidR="009B309E" w:rsidRPr="00BC6A40" w:rsidSect="007A53C1">
      <w:footerReference w:type="even" r:id="rId8"/>
      <w:footerReference w:type="default" r:id="rId9"/>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F540EF" w14:textId="77777777" w:rsidR="00C029B0" w:rsidRDefault="00C029B0">
      <w:r>
        <w:separator/>
      </w:r>
    </w:p>
  </w:endnote>
  <w:endnote w:type="continuationSeparator" w:id="0">
    <w:p w14:paraId="1787E0BE" w14:textId="77777777" w:rsidR="00C029B0" w:rsidRDefault="00C02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4BEE1" w14:textId="77777777" w:rsidR="00860B5B" w:rsidRDefault="00860B5B" w:rsidP="003F25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4EB9ADF" w14:textId="77777777" w:rsidR="00860B5B" w:rsidRDefault="00860B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D0745" w14:textId="5A78D543" w:rsidR="00860B5B" w:rsidRPr="007A53C1" w:rsidRDefault="00860B5B" w:rsidP="003F250A">
    <w:pPr>
      <w:pStyle w:val="Footer"/>
      <w:framePr w:wrap="around" w:vAnchor="text" w:hAnchor="margin" w:xAlign="center" w:y="1"/>
      <w:rPr>
        <w:rStyle w:val="PageNumber"/>
        <w:rFonts w:ascii="Times New Roman" w:hAnsi="Times New Roman"/>
      </w:rPr>
    </w:pPr>
    <w:r w:rsidRPr="007A53C1">
      <w:rPr>
        <w:rStyle w:val="PageNumber"/>
        <w:rFonts w:ascii="Times New Roman" w:hAnsi="Times New Roman"/>
      </w:rPr>
      <w:fldChar w:fldCharType="begin"/>
    </w:r>
    <w:r w:rsidRPr="007A53C1">
      <w:rPr>
        <w:rStyle w:val="PageNumber"/>
        <w:rFonts w:ascii="Times New Roman" w:hAnsi="Times New Roman"/>
      </w:rPr>
      <w:instrText xml:space="preserve">PAGE  </w:instrText>
    </w:r>
    <w:r w:rsidRPr="007A53C1">
      <w:rPr>
        <w:rStyle w:val="PageNumber"/>
        <w:rFonts w:ascii="Times New Roman" w:hAnsi="Times New Roman"/>
      </w:rPr>
      <w:fldChar w:fldCharType="separate"/>
    </w:r>
    <w:r w:rsidR="00C76EDA">
      <w:rPr>
        <w:rStyle w:val="PageNumber"/>
        <w:rFonts w:ascii="Times New Roman" w:hAnsi="Times New Roman"/>
        <w:noProof/>
      </w:rPr>
      <w:t>1</w:t>
    </w:r>
    <w:r w:rsidRPr="007A53C1">
      <w:rPr>
        <w:rStyle w:val="PageNumber"/>
        <w:rFonts w:ascii="Times New Roman" w:hAnsi="Times New Roman"/>
      </w:rPr>
      <w:fldChar w:fldCharType="end"/>
    </w:r>
  </w:p>
  <w:p w14:paraId="1D4C9A6A" w14:textId="77777777" w:rsidR="00860B5B" w:rsidRPr="007A53C1" w:rsidRDefault="00860B5B" w:rsidP="003B7524">
    <w:pPr>
      <w:pStyle w:val="Footer"/>
      <w:jc w:val="right"/>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D81FC" w14:textId="77777777" w:rsidR="00C029B0" w:rsidRDefault="00C029B0">
      <w:r>
        <w:separator/>
      </w:r>
    </w:p>
  </w:footnote>
  <w:footnote w:type="continuationSeparator" w:id="0">
    <w:p w14:paraId="18DA4490" w14:textId="77777777" w:rsidR="00C029B0" w:rsidRDefault="00C029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18D1"/>
    <w:multiLevelType w:val="hybridMultilevel"/>
    <w:tmpl w:val="DA8CD8D0"/>
    <w:lvl w:ilvl="0" w:tplc="E85EDFBC">
      <w:start w:val="1"/>
      <w:numFmt w:val="lowerLetter"/>
      <w:lvlText w:val="(%1)"/>
      <w:lvlJc w:val="left"/>
      <w:pPr>
        <w:ind w:left="1988" w:hanging="570"/>
      </w:pPr>
      <w:rPr>
        <w:rFonts w:hint="default"/>
      </w:rPr>
    </w:lvl>
    <w:lvl w:ilvl="1" w:tplc="0C090019">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 w15:restartNumberingAfterBreak="0">
    <w:nsid w:val="1B3B4CE9"/>
    <w:multiLevelType w:val="hybridMultilevel"/>
    <w:tmpl w:val="DA8CD8D0"/>
    <w:lvl w:ilvl="0" w:tplc="E85EDFBC">
      <w:start w:val="1"/>
      <w:numFmt w:val="lowerLetter"/>
      <w:lvlText w:val="(%1)"/>
      <w:lvlJc w:val="left"/>
      <w:pPr>
        <w:ind w:left="1988" w:hanging="570"/>
      </w:pPr>
      <w:rPr>
        <w:rFonts w:hint="default"/>
      </w:rPr>
    </w:lvl>
    <w:lvl w:ilvl="1" w:tplc="0C090019">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 w15:restartNumberingAfterBreak="0">
    <w:nsid w:val="26BE7BAC"/>
    <w:multiLevelType w:val="hybridMultilevel"/>
    <w:tmpl w:val="82441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FC397F"/>
    <w:multiLevelType w:val="hybridMultilevel"/>
    <w:tmpl w:val="F766CC2E"/>
    <w:lvl w:ilvl="0" w:tplc="0C090001">
      <w:start w:val="1"/>
      <w:numFmt w:val="bullet"/>
      <w:lvlText w:val=""/>
      <w:lvlJc w:val="left"/>
      <w:pPr>
        <w:ind w:left="720" w:hanging="360"/>
      </w:pPr>
      <w:rPr>
        <w:rFonts w:ascii="Symbol" w:hAnsi="Symbol" w:hint="default"/>
        <w:color w:val="00000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A2E304C"/>
    <w:multiLevelType w:val="hybridMultilevel"/>
    <w:tmpl w:val="65CE0744"/>
    <w:lvl w:ilvl="0" w:tplc="29BA0E3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32F1976"/>
    <w:multiLevelType w:val="hybridMultilevel"/>
    <w:tmpl w:val="65CE0744"/>
    <w:lvl w:ilvl="0" w:tplc="29BA0E3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4C67765"/>
    <w:multiLevelType w:val="hybridMultilevel"/>
    <w:tmpl w:val="DA8CD8D0"/>
    <w:lvl w:ilvl="0" w:tplc="E85EDFBC">
      <w:start w:val="1"/>
      <w:numFmt w:val="lowerLetter"/>
      <w:lvlText w:val="(%1)"/>
      <w:lvlJc w:val="left"/>
      <w:pPr>
        <w:ind w:left="1988" w:hanging="570"/>
      </w:pPr>
      <w:rPr>
        <w:rFonts w:hint="default"/>
      </w:rPr>
    </w:lvl>
    <w:lvl w:ilvl="1" w:tplc="0C090019">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7" w15:restartNumberingAfterBreak="0">
    <w:nsid w:val="5732736A"/>
    <w:multiLevelType w:val="hybridMultilevel"/>
    <w:tmpl w:val="FE3CE1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8B67EA5"/>
    <w:multiLevelType w:val="hybridMultilevel"/>
    <w:tmpl w:val="DA8CD8D0"/>
    <w:lvl w:ilvl="0" w:tplc="E85EDFBC">
      <w:start w:val="1"/>
      <w:numFmt w:val="lowerLetter"/>
      <w:lvlText w:val="(%1)"/>
      <w:lvlJc w:val="left"/>
      <w:pPr>
        <w:ind w:left="1988" w:hanging="570"/>
      </w:pPr>
      <w:rPr>
        <w:rFonts w:hint="default"/>
      </w:rPr>
    </w:lvl>
    <w:lvl w:ilvl="1" w:tplc="0C090019">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9" w15:restartNumberingAfterBreak="0">
    <w:nsid w:val="5FE80D0D"/>
    <w:multiLevelType w:val="hybridMultilevel"/>
    <w:tmpl w:val="25BE4860"/>
    <w:lvl w:ilvl="0" w:tplc="78ACFE64">
      <w:start w:val="1"/>
      <w:numFmt w:val="decimal"/>
      <w:lvlText w:val="%1."/>
      <w:lvlJc w:val="left"/>
      <w:pPr>
        <w:tabs>
          <w:tab w:val="num" w:pos="720"/>
        </w:tabs>
        <w:ind w:left="720" w:hanging="360"/>
      </w:pPr>
      <w:rPr>
        <w:rFonts w:hint="default"/>
        <w:b w:val="0"/>
        <w:i w:val="0"/>
        <w:sz w:val="24"/>
        <w:szCs w:val="24"/>
      </w:rPr>
    </w:lvl>
    <w:lvl w:ilvl="1" w:tplc="FC107410">
      <w:start w:val="1"/>
      <w:numFmt w:val="lowerLetter"/>
      <w:lvlText w:val="(%2)"/>
      <w:lvlJc w:val="left"/>
      <w:pPr>
        <w:tabs>
          <w:tab w:val="num" w:pos="1080"/>
        </w:tabs>
        <w:ind w:left="1250" w:hanging="170"/>
      </w:pPr>
      <w:rPr>
        <w:rFonts w:hint="default"/>
        <w:sz w:val="24"/>
        <w:szCs w:val="24"/>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616E069F"/>
    <w:multiLevelType w:val="hybridMultilevel"/>
    <w:tmpl w:val="DA8CD8D0"/>
    <w:lvl w:ilvl="0" w:tplc="E85EDFBC">
      <w:start w:val="1"/>
      <w:numFmt w:val="lowerLetter"/>
      <w:lvlText w:val="(%1)"/>
      <w:lvlJc w:val="left"/>
      <w:pPr>
        <w:ind w:left="1988" w:hanging="570"/>
      </w:pPr>
      <w:rPr>
        <w:rFonts w:hint="default"/>
      </w:rPr>
    </w:lvl>
    <w:lvl w:ilvl="1" w:tplc="0C090019">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1" w15:restartNumberingAfterBreak="0">
    <w:nsid w:val="6AE65171"/>
    <w:multiLevelType w:val="hybridMultilevel"/>
    <w:tmpl w:val="D3D4E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1AD3B17"/>
    <w:multiLevelType w:val="hybridMultilevel"/>
    <w:tmpl w:val="65CE0744"/>
    <w:lvl w:ilvl="0" w:tplc="29BA0E3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8A64D45"/>
    <w:multiLevelType w:val="hybridMultilevel"/>
    <w:tmpl w:val="9B966D8C"/>
    <w:lvl w:ilvl="0" w:tplc="79A4F224">
      <w:start w:val="1"/>
      <w:numFmt w:val="decimal"/>
      <w:lvlText w:val="%1."/>
      <w:lvlJc w:val="left"/>
      <w:pPr>
        <w:ind w:left="360" w:hanging="360"/>
      </w:pPr>
      <w:rPr>
        <w:color w:val="00000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7C692AEE"/>
    <w:multiLevelType w:val="hybridMultilevel"/>
    <w:tmpl w:val="3446BBBA"/>
    <w:lvl w:ilvl="0" w:tplc="0C090001">
      <w:start w:val="1"/>
      <w:numFmt w:val="bullet"/>
      <w:lvlText w:val=""/>
      <w:lvlJc w:val="left"/>
      <w:pPr>
        <w:ind w:left="720" w:hanging="360"/>
      </w:pPr>
      <w:rPr>
        <w:rFonts w:ascii="Symbol" w:hAnsi="Symbol" w:hint="default"/>
        <w:color w:val="00000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E3E69DE"/>
    <w:multiLevelType w:val="hybridMultilevel"/>
    <w:tmpl w:val="DA8CD8D0"/>
    <w:lvl w:ilvl="0" w:tplc="E85EDFBC">
      <w:start w:val="1"/>
      <w:numFmt w:val="lowerLetter"/>
      <w:lvlText w:val="(%1)"/>
      <w:lvlJc w:val="left"/>
      <w:pPr>
        <w:ind w:left="1988" w:hanging="570"/>
      </w:pPr>
      <w:rPr>
        <w:rFonts w:hint="default"/>
      </w:rPr>
    </w:lvl>
    <w:lvl w:ilvl="1" w:tplc="0C090019">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num w:numId="1">
    <w:abstractNumId w:val="13"/>
  </w:num>
  <w:num w:numId="2">
    <w:abstractNumId w:val="3"/>
  </w:num>
  <w:num w:numId="3">
    <w:abstractNumId w:val="14"/>
  </w:num>
  <w:num w:numId="4">
    <w:abstractNumId w:val="15"/>
  </w:num>
  <w:num w:numId="5">
    <w:abstractNumId w:val="0"/>
  </w:num>
  <w:num w:numId="6">
    <w:abstractNumId w:val="1"/>
  </w:num>
  <w:num w:numId="7">
    <w:abstractNumId w:val="10"/>
  </w:num>
  <w:num w:numId="8">
    <w:abstractNumId w:val="6"/>
  </w:num>
  <w:num w:numId="9">
    <w:abstractNumId w:val="8"/>
  </w:num>
  <w:num w:numId="10">
    <w:abstractNumId w:val="2"/>
  </w:num>
  <w:num w:numId="11">
    <w:abstractNumId w:val="5"/>
  </w:num>
  <w:num w:numId="12">
    <w:abstractNumId w:val="4"/>
  </w:num>
  <w:num w:numId="13">
    <w:abstractNumId w:val="12"/>
  </w:num>
  <w:num w:numId="14">
    <w:abstractNumId w:val="7"/>
  </w:num>
  <w:num w:numId="15">
    <w:abstractNumId w:val="11"/>
  </w:num>
  <w:num w:numId="16">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7524"/>
    <w:rsid w:val="0000129C"/>
    <w:rsid w:val="00002D59"/>
    <w:rsid w:val="000041E4"/>
    <w:rsid w:val="00004237"/>
    <w:rsid w:val="00005185"/>
    <w:rsid w:val="00005C87"/>
    <w:rsid w:val="0001158F"/>
    <w:rsid w:val="00011BFD"/>
    <w:rsid w:val="00013686"/>
    <w:rsid w:val="00017141"/>
    <w:rsid w:val="0001730D"/>
    <w:rsid w:val="000217EC"/>
    <w:rsid w:val="00021CB1"/>
    <w:rsid w:val="000222A4"/>
    <w:rsid w:val="00024783"/>
    <w:rsid w:val="00024980"/>
    <w:rsid w:val="00024C66"/>
    <w:rsid w:val="00027747"/>
    <w:rsid w:val="0003033B"/>
    <w:rsid w:val="00031690"/>
    <w:rsid w:val="00033B8D"/>
    <w:rsid w:val="00035748"/>
    <w:rsid w:val="00035795"/>
    <w:rsid w:val="000358DA"/>
    <w:rsid w:val="00035AF4"/>
    <w:rsid w:val="00035CF9"/>
    <w:rsid w:val="00037327"/>
    <w:rsid w:val="00042863"/>
    <w:rsid w:val="000430D4"/>
    <w:rsid w:val="00044B95"/>
    <w:rsid w:val="00050B40"/>
    <w:rsid w:val="00050CE5"/>
    <w:rsid w:val="00051713"/>
    <w:rsid w:val="00053A7A"/>
    <w:rsid w:val="00053D86"/>
    <w:rsid w:val="000552BF"/>
    <w:rsid w:val="000572EA"/>
    <w:rsid w:val="00057C98"/>
    <w:rsid w:val="0006328D"/>
    <w:rsid w:val="00064B1E"/>
    <w:rsid w:val="000673A4"/>
    <w:rsid w:val="00072759"/>
    <w:rsid w:val="00075472"/>
    <w:rsid w:val="0008191B"/>
    <w:rsid w:val="00083A52"/>
    <w:rsid w:val="000851F0"/>
    <w:rsid w:val="000869B9"/>
    <w:rsid w:val="000926BD"/>
    <w:rsid w:val="00092891"/>
    <w:rsid w:val="0009363E"/>
    <w:rsid w:val="000942AF"/>
    <w:rsid w:val="0009570F"/>
    <w:rsid w:val="00095CB4"/>
    <w:rsid w:val="000961DD"/>
    <w:rsid w:val="00097839"/>
    <w:rsid w:val="000A0109"/>
    <w:rsid w:val="000A1B36"/>
    <w:rsid w:val="000A25BE"/>
    <w:rsid w:val="000A448C"/>
    <w:rsid w:val="000A71FF"/>
    <w:rsid w:val="000B07C2"/>
    <w:rsid w:val="000B3A73"/>
    <w:rsid w:val="000B3D22"/>
    <w:rsid w:val="000B4EE1"/>
    <w:rsid w:val="000B7574"/>
    <w:rsid w:val="000B7D16"/>
    <w:rsid w:val="000C048B"/>
    <w:rsid w:val="000C26E9"/>
    <w:rsid w:val="000C3669"/>
    <w:rsid w:val="000C4CBB"/>
    <w:rsid w:val="000C4DEC"/>
    <w:rsid w:val="000C5E2A"/>
    <w:rsid w:val="000C7ED6"/>
    <w:rsid w:val="000D0E25"/>
    <w:rsid w:val="000D13F2"/>
    <w:rsid w:val="000D143A"/>
    <w:rsid w:val="000D180A"/>
    <w:rsid w:val="000D1DA2"/>
    <w:rsid w:val="000D261E"/>
    <w:rsid w:val="000D4F84"/>
    <w:rsid w:val="000D658D"/>
    <w:rsid w:val="000E22B7"/>
    <w:rsid w:val="000E63EE"/>
    <w:rsid w:val="000F0AA0"/>
    <w:rsid w:val="00100A29"/>
    <w:rsid w:val="00100E9D"/>
    <w:rsid w:val="00101C26"/>
    <w:rsid w:val="00101CDF"/>
    <w:rsid w:val="0010234E"/>
    <w:rsid w:val="00106221"/>
    <w:rsid w:val="0010649D"/>
    <w:rsid w:val="00112B9E"/>
    <w:rsid w:val="001138C2"/>
    <w:rsid w:val="00114B13"/>
    <w:rsid w:val="00115CA1"/>
    <w:rsid w:val="001161BA"/>
    <w:rsid w:val="00116245"/>
    <w:rsid w:val="001212F7"/>
    <w:rsid w:val="00121FC3"/>
    <w:rsid w:val="00122D9B"/>
    <w:rsid w:val="00131A1D"/>
    <w:rsid w:val="00133529"/>
    <w:rsid w:val="0013429C"/>
    <w:rsid w:val="0013441F"/>
    <w:rsid w:val="00134CA6"/>
    <w:rsid w:val="00135E20"/>
    <w:rsid w:val="001369B9"/>
    <w:rsid w:val="00136AE5"/>
    <w:rsid w:val="00142343"/>
    <w:rsid w:val="00142983"/>
    <w:rsid w:val="001434AB"/>
    <w:rsid w:val="00143BAA"/>
    <w:rsid w:val="00146670"/>
    <w:rsid w:val="00146C29"/>
    <w:rsid w:val="001475BE"/>
    <w:rsid w:val="00151851"/>
    <w:rsid w:val="00151CE0"/>
    <w:rsid w:val="0015491C"/>
    <w:rsid w:val="00156041"/>
    <w:rsid w:val="0015621A"/>
    <w:rsid w:val="00156C39"/>
    <w:rsid w:val="00157B80"/>
    <w:rsid w:val="00160041"/>
    <w:rsid w:val="001602B8"/>
    <w:rsid w:val="001625EF"/>
    <w:rsid w:val="00162CC7"/>
    <w:rsid w:val="00163115"/>
    <w:rsid w:val="001663D5"/>
    <w:rsid w:val="0017034F"/>
    <w:rsid w:val="00173D1C"/>
    <w:rsid w:val="00190C40"/>
    <w:rsid w:val="00193377"/>
    <w:rsid w:val="001941DA"/>
    <w:rsid w:val="00194C14"/>
    <w:rsid w:val="0019595E"/>
    <w:rsid w:val="001970B1"/>
    <w:rsid w:val="00197E8A"/>
    <w:rsid w:val="001A03E1"/>
    <w:rsid w:val="001A11DA"/>
    <w:rsid w:val="001A25CB"/>
    <w:rsid w:val="001A58BA"/>
    <w:rsid w:val="001A63E8"/>
    <w:rsid w:val="001B005E"/>
    <w:rsid w:val="001B3A61"/>
    <w:rsid w:val="001B679A"/>
    <w:rsid w:val="001B6FCC"/>
    <w:rsid w:val="001B7562"/>
    <w:rsid w:val="001B7DCC"/>
    <w:rsid w:val="001C001A"/>
    <w:rsid w:val="001C2371"/>
    <w:rsid w:val="001C37C9"/>
    <w:rsid w:val="001C55AA"/>
    <w:rsid w:val="001C57DA"/>
    <w:rsid w:val="001C5B36"/>
    <w:rsid w:val="001C5B6B"/>
    <w:rsid w:val="001C60F1"/>
    <w:rsid w:val="001C6C6F"/>
    <w:rsid w:val="001C734E"/>
    <w:rsid w:val="001D022F"/>
    <w:rsid w:val="001D23A8"/>
    <w:rsid w:val="001D3034"/>
    <w:rsid w:val="001D3559"/>
    <w:rsid w:val="001D3968"/>
    <w:rsid w:val="001D3C6E"/>
    <w:rsid w:val="001D5E25"/>
    <w:rsid w:val="001D5F12"/>
    <w:rsid w:val="001D6003"/>
    <w:rsid w:val="001D63FB"/>
    <w:rsid w:val="001E005B"/>
    <w:rsid w:val="001E23BF"/>
    <w:rsid w:val="001E2728"/>
    <w:rsid w:val="001E4D8A"/>
    <w:rsid w:val="001E52A5"/>
    <w:rsid w:val="001F108A"/>
    <w:rsid w:val="001F165F"/>
    <w:rsid w:val="001F396D"/>
    <w:rsid w:val="001F4CE5"/>
    <w:rsid w:val="002027D7"/>
    <w:rsid w:val="0020292C"/>
    <w:rsid w:val="002041BC"/>
    <w:rsid w:val="00205D35"/>
    <w:rsid w:val="00205D9F"/>
    <w:rsid w:val="00206C4A"/>
    <w:rsid w:val="0020702F"/>
    <w:rsid w:val="00207A4E"/>
    <w:rsid w:val="00207D34"/>
    <w:rsid w:val="00210C12"/>
    <w:rsid w:val="002222BA"/>
    <w:rsid w:val="002227A8"/>
    <w:rsid w:val="00226A90"/>
    <w:rsid w:val="00231302"/>
    <w:rsid w:val="00232C59"/>
    <w:rsid w:val="00234EE9"/>
    <w:rsid w:val="002358FE"/>
    <w:rsid w:val="00236988"/>
    <w:rsid w:val="00237735"/>
    <w:rsid w:val="00241858"/>
    <w:rsid w:val="00243298"/>
    <w:rsid w:val="00243B31"/>
    <w:rsid w:val="00243C97"/>
    <w:rsid w:val="00244D95"/>
    <w:rsid w:val="00246666"/>
    <w:rsid w:val="00247043"/>
    <w:rsid w:val="002475AC"/>
    <w:rsid w:val="002526C4"/>
    <w:rsid w:val="00252A86"/>
    <w:rsid w:val="00252D90"/>
    <w:rsid w:val="0025603C"/>
    <w:rsid w:val="00256A5A"/>
    <w:rsid w:val="002570AB"/>
    <w:rsid w:val="00261776"/>
    <w:rsid w:val="002632D9"/>
    <w:rsid w:val="00263EDA"/>
    <w:rsid w:val="002700FC"/>
    <w:rsid w:val="00270F89"/>
    <w:rsid w:val="00272368"/>
    <w:rsid w:val="0027417D"/>
    <w:rsid w:val="002748A5"/>
    <w:rsid w:val="00276CC0"/>
    <w:rsid w:val="00285066"/>
    <w:rsid w:val="00285882"/>
    <w:rsid w:val="00291994"/>
    <w:rsid w:val="00292115"/>
    <w:rsid w:val="002948D1"/>
    <w:rsid w:val="0029686B"/>
    <w:rsid w:val="002A02FC"/>
    <w:rsid w:val="002A0A5F"/>
    <w:rsid w:val="002A2BE8"/>
    <w:rsid w:val="002A4E4A"/>
    <w:rsid w:val="002A5004"/>
    <w:rsid w:val="002A6852"/>
    <w:rsid w:val="002A6B5F"/>
    <w:rsid w:val="002B0655"/>
    <w:rsid w:val="002B0D2D"/>
    <w:rsid w:val="002B4D5C"/>
    <w:rsid w:val="002C10AE"/>
    <w:rsid w:val="002C2936"/>
    <w:rsid w:val="002C3BD6"/>
    <w:rsid w:val="002C5045"/>
    <w:rsid w:val="002C6AC2"/>
    <w:rsid w:val="002C7537"/>
    <w:rsid w:val="002C75DD"/>
    <w:rsid w:val="002C76AE"/>
    <w:rsid w:val="002D123A"/>
    <w:rsid w:val="002D18EA"/>
    <w:rsid w:val="002D6746"/>
    <w:rsid w:val="002D67A4"/>
    <w:rsid w:val="002D7A9B"/>
    <w:rsid w:val="002E5D55"/>
    <w:rsid w:val="002E74AC"/>
    <w:rsid w:val="002F38AD"/>
    <w:rsid w:val="002F4E2A"/>
    <w:rsid w:val="002F525A"/>
    <w:rsid w:val="002F62ED"/>
    <w:rsid w:val="003017CC"/>
    <w:rsid w:val="00301D3F"/>
    <w:rsid w:val="00303AFD"/>
    <w:rsid w:val="00304398"/>
    <w:rsid w:val="0030476E"/>
    <w:rsid w:val="00304ACF"/>
    <w:rsid w:val="00304F89"/>
    <w:rsid w:val="00304F91"/>
    <w:rsid w:val="0030571B"/>
    <w:rsid w:val="00306189"/>
    <w:rsid w:val="00306D9E"/>
    <w:rsid w:val="0030748F"/>
    <w:rsid w:val="003112C7"/>
    <w:rsid w:val="00313FAF"/>
    <w:rsid w:val="00314530"/>
    <w:rsid w:val="00316294"/>
    <w:rsid w:val="003206F6"/>
    <w:rsid w:val="0032216B"/>
    <w:rsid w:val="00322542"/>
    <w:rsid w:val="00322DBF"/>
    <w:rsid w:val="00324521"/>
    <w:rsid w:val="00324BFE"/>
    <w:rsid w:val="00325102"/>
    <w:rsid w:val="00326047"/>
    <w:rsid w:val="00326E01"/>
    <w:rsid w:val="00327A8D"/>
    <w:rsid w:val="00330292"/>
    <w:rsid w:val="00330393"/>
    <w:rsid w:val="003340DB"/>
    <w:rsid w:val="00337B46"/>
    <w:rsid w:val="00341E53"/>
    <w:rsid w:val="00344E15"/>
    <w:rsid w:val="00345884"/>
    <w:rsid w:val="00345CA1"/>
    <w:rsid w:val="0034729E"/>
    <w:rsid w:val="00353910"/>
    <w:rsid w:val="003559A1"/>
    <w:rsid w:val="00356306"/>
    <w:rsid w:val="003568F8"/>
    <w:rsid w:val="00360349"/>
    <w:rsid w:val="00363F21"/>
    <w:rsid w:val="00365FD7"/>
    <w:rsid w:val="003676D9"/>
    <w:rsid w:val="003747EE"/>
    <w:rsid w:val="00375A0F"/>
    <w:rsid w:val="00384116"/>
    <w:rsid w:val="003911F4"/>
    <w:rsid w:val="003912AD"/>
    <w:rsid w:val="003932F4"/>
    <w:rsid w:val="00393952"/>
    <w:rsid w:val="00393D2A"/>
    <w:rsid w:val="00394650"/>
    <w:rsid w:val="00394850"/>
    <w:rsid w:val="003975CF"/>
    <w:rsid w:val="003A0C67"/>
    <w:rsid w:val="003A1795"/>
    <w:rsid w:val="003A3B0B"/>
    <w:rsid w:val="003A49E8"/>
    <w:rsid w:val="003A73B8"/>
    <w:rsid w:val="003B2DDD"/>
    <w:rsid w:val="003B4F88"/>
    <w:rsid w:val="003B5048"/>
    <w:rsid w:val="003B7524"/>
    <w:rsid w:val="003C0500"/>
    <w:rsid w:val="003C1A25"/>
    <w:rsid w:val="003C43B6"/>
    <w:rsid w:val="003C57E7"/>
    <w:rsid w:val="003D1772"/>
    <w:rsid w:val="003D672A"/>
    <w:rsid w:val="003D7390"/>
    <w:rsid w:val="003D75BA"/>
    <w:rsid w:val="003D7A85"/>
    <w:rsid w:val="003D7BC9"/>
    <w:rsid w:val="003E07F4"/>
    <w:rsid w:val="003E13D0"/>
    <w:rsid w:val="003E22BE"/>
    <w:rsid w:val="003E2DC9"/>
    <w:rsid w:val="003E329A"/>
    <w:rsid w:val="003E43EC"/>
    <w:rsid w:val="003E6AA6"/>
    <w:rsid w:val="003F12F1"/>
    <w:rsid w:val="003F166D"/>
    <w:rsid w:val="003F16C9"/>
    <w:rsid w:val="003F250A"/>
    <w:rsid w:val="003F2F59"/>
    <w:rsid w:val="003F55FC"/>
    <w:rsid w:val="003F5ADD"/>
    <w:rsid w:val="003F623E"/>
    <w:rsid w:val="00402D9E"/>
    <w:rsid w:val="0040415D"/>
    <w:rsid w:val="00404190"/>
    <w:rsid w:val="0040525D"/>
    <w:rsid w:val="004062DD"/>
    <w:rsid w:val="004065F6"/>
    <w:rsid w:val="004076E6"/>
    <w:rsid w:val="00407EE4"/>
    <w:rsid w:val="00410457"/>
    <w:rsid w:val="00412303"/>
    <w:rsid w:val="004132BB"/>
    <w:rsid w:val="00413391"/>
    <w:rsid w:val="00413620"/>
    <w:rsid w:val="0041386C"/>
    <w:rsid w:val="0041387C"/>
    <w:rsid w:val="0041480B"/>
    <w:rsid w:val="004171CA"/>
    <w:rsid w:val="00420679"/>
    <w:rsid w:val="00420F02"/>
    <w:rsid w:val="0042132D"/>
    <w:rsid w:val="004253AB"/>
    <w:rsid w:val="004255A4"/>
    <w:rsid w:val="00425876"/>
    <w:rsid w:val="00426515"/>
    <w:rsid w:val="00426675"/>
    <w:rsid w:val="00430DA3"/>
    <w:rsid w:val="00430E99"/>
    <w:rsid w:val="00431575"/>
    <w:rsid w:val="004321FD"/>
    <w:rsid w:val="00433B24"/>
    <w:rsid w:val="00433C9D"/>
    <w:rsid w:val="00435A0B"/>
    <w:rsid w:val="0043626D"/>
    <w:rsid w:val="004379C6"/>
    <w:rsid w:val="004404EC"/>
    <w:rsid w:val="00442AD4"/>
    <w:rsid w:val="00442CFC"/>
    <w:rsid w:val="004444B7"/>
    <w:rsid w:val="00445B35"/>
    <w:rsid w:val="004479B7"/>
    <w:rsid w:val="00451459"/>
    <w:rsid w:val="004516ED"/>
    <w:rsid w:val="004521B8"/>
    <w:rsid w:val="004571E2"/>
    <w:rsid w:val="00460652"/>
    <w:rsid w:val="00460BA8"/>
    <w:rsid w:val="00460E86"/>
    <w:rsid w:val="004619BB"/>
    <w:rsid w:val="00464460"/>
    <w:rsid w:val="004661D5"/>
    <w:rsid w:val="004671D0"/>
    <w:rsid w:val="00474718"/>
    <w:rsid w:val="00474DE4"/>
    <w:rsid w:val="00475F7C"/>
    <w:rsid w:val="004760F8"/>
    <w:rsid w:val="0048013E"/>
    <w:rsid w:val="0048014C"/>
    <w:rsid w:val="004811E8"/>
    <w:rsid w:val="00482B80"/>
    <w:rsid w:val="004849C5"/>
    <w:rsid w:val="00484BF4"/>
    <w:rsid w:val="004851BD"/>
    <w:rsid w:val="00486E49"/>
    <w:rsid w:val="0048754E"/>
    <w:rsid w:val="004878CA"/>
    <w:rsid w:val="0049116B"/>
    <w:rsid w:val="00492927"/>
    <w:rsid w:val="0049443F"/>
    <w:rsid w:val="004A034C"/>
    <w:rsid w:val="004A1634"/>
    <w:rsid w:val="004A2AEF"/>
    <w:rsid w:val="004A3E2A"/>
    <w:rsid w:val="004A3E59"/>
    <w:rsid w:val="004A473A"/>
    <w:rsid w:val="004A47D4"/>
    <w:rsid w:val="004A49A4"/>
    <w:rsid w:val="004A4CD9"/>
    <w:rsid w:val="004B06CC"/>
    <w:rsid w:val="004B06F0"/>
    <w:rsid w:val="004B17CA"/>
    <w:rsid w:val="004B231F"/>
    <w:rsid w:val="004B264D"/>
    <w:rsid w:val="004B37C0"/>
    <w:rsid w:val="004B3BB2"/>
    <w:rsid w:val="004B3D32"/>
    <w:rsid w:val="004B5627"/>
    <w:rsid w:val="004B71F7"/>
    <w:rsid w:val="004C1454"/>
    <w:rsid w:val="004C42D1"/>
    <w:rsid w:val="004D1BEF"/>
    <w:rsid w:val="004D29B8"/>
    <w:rsid w:val="004D3937"/>
    <w:rsid w:val="004D4B9B"/>
    <w:rsid w:val="004D6131"/>
    <w:rsid w:val="004E2FA0"/>
    <w:rsid w:val="004E3315"/>
    <w:rsid w:val="004F00BC"/>
    <w:rsid w:val="004F566E"/>
    <w:rsid w:val="004F6865"/>
    <w:rsid w:val="005039C9"/>
    <w:rsid w:val="00504315"/>
    <w:rsid w:val="00504EFC"/>
    <w:rsid w:val="005063DE"/>
    <w:rsid w:val="00506FF0"/>
    <w:rsid w:val="005073C6"/>
    <w:rsid w:val="00507CCA"/>
    <w:rsid w:val="00507EC4"/>
    <w:rsid w:val="005107A4"/>
    <w:rsid w:val="005114F2"/>
    <w:rsid w:val="005117CC"/>
    <w:rsid w:val="0051246A"/>
    <w:rsid w:val="00512702"/>
    <w:rsid w:val="00512DE8"/>
    <w:rsid w:val="005132E2"/>
    <w:rsid w:val="00514F91"/>
    <w:rsid w:val="00515AE5"/>
    <w:rsid w:val="00515F66"/>
    <w:rsid w:val="00517752"/>
    <w:rsid w:val="00521F8E"/>
    <w:rsid w:val="0052299B"/>
    <w:rsid w:val="00523442"/>
    <w:rsid w:val="00524990"/>
    <w:rsid w:val="00525E3E"/>
    <w:rsid w:val="00527C66"/>
    <w:rsid w:val="005300D6"/>
    <w:rsid w:val="00531FCB"/>
    <w:rsid w:val="005352F5"/>
    <w:rsid w:val="00535FD4"/>
    <w:rsid w:val="0054012A"/>
    <w:rsid w:val="00540572"/>
    <w:rsid w:val="00541242"/>
    <w:rsid w:val="00542129"/>
    <w:rsid w:val="005432EB"/>
    <w:rsid w:val="00543C45"/>
    <w:rsid w:val="00543FD3"/>
    <w:rsid w:val="0054466C"/>
    <w:rsid w:val="0054647D"/>
    <w:rsid w:val="005467A0"/>
    <w:rsid w:val="005472C1"/>
    <w:rsid w:val="005474A0"/>
    <w:rsid w:val="005516F3"/>
    <w:rsid w:val="005522D5"/>
    <w:rsid w:val="00554C4D"/>
    <w:rsid w:val="00555A1B"/>
    <w:rsid w:val="0055701C"/>
    <w:rsid w:val="00560220"/>
    <w:rsid w:val="0056172E"/>
    <w:rsid w:val="005635A2"/>
    <w:rsid w:val="00564C8E"/>
    <w:rsid w:val="00565748"/>
    <w:rsid w:val="00570274"/>
    <w:rsid w:val="00570B58"/>
    <w:rsid w:val="00570F9B"/>
    <w:rsid w:val="00571128"/>
    <w:rsid w:val="005723CF"/>
    <w:rsid w:val="00573FB1"/>
    <w:rsid w:val="00575F3B"/>
    <w:rsid w:val="00577307"/>
    <w:rsid w:val="00577445"/>
    <w:rsid w:val="0058089B"/>
    <w:rsid w:val="00580BF2"/>
    <w:rsid w:val="00582944"/>
    <w:rsid w:val="00583869"/>
    <w:rsid w:val="0058606F"/>
    <w:rsid w:val="0058695A"/>
    <w:rsid w:val="0058710C"/>
    <w:rsid w:val="00592027"/>
    <w:rsid w:val="0059487B"/>
    <w:rsid w:val="0059594F"/>
    <w:rsid w:val="00596868"/>
    <w:rsid w:val="005A36E3"/>
    <w:rsid w:val="005A3C8A"/>
    <w:rsid w:val="005A3F83"/>
    <w:rsid w:val="005A489D"/>
    <w:rsid w:val="005A7812"/>
    <w:rsid w:val="005B003B"/>
    <w:rsid w:val="005B0550"/>
    <w:rsid w:val="005B43BF"/>
    <w:rsid w:val="005B52F4"/>
    <w:rsid w:val="005B548D"/>
    <w:rsid w:val="005B5AD3"/>
    <w:rsid w:val="005B5D9A"/>
    <w:rsid w:val="005B64EA"/>
    <w:rsid w:val="005B6807"/>
    <w:rsid w:val="005B69DB"/>
    <w:rsid w:val="005B7452"/>
    <w:rsid w:val="005C0442"/>
    <w:rsid w:val="005C0E87"/>
    <w:rsid w:val="005C28B5"/>
    <w:rsid w:val="005C3227"/>
    <w:rsid w:val="005C4DD2"/>
    <w:rsid w:val="005C51C8"/>
    <w:rsid w:val="005C60A5"/>
    <w:rsid w:val="005C77BF"/>
    <w:rsid w:val="005D07B2"/>
    <w:rsid w:val="005D1AAB"/>
    <w:rsid w:val="005D4012"/>
    <w:rsid w:val="005D4A0E"/>
    <w:rsid w:val="005D51C8"/>
    <w:rsid w:val="005D51E4"/>
    <w:rsid w:val="005D58B2"/>
    <w:rsid w:val="005D59E2"/>
    <w:rsid w:val="005D650F"/>
    <w:rsid w:val="005D67E7"/>
    <w:rsid w:val="005D7052"/>
    <w:rsid w:val="005E5849"/>
    <w:rsid w:val="005E5E7F"/>
    <w:rsid w:val="005E600A"/>
    <w:rsid w:val="005E7F24"/>
    <w:rsid w:val="005F2719"/>
    <w:rsid w:val="005F2F3D"/>
    <w:rsid w:val="005F4536"/>
    <w:rsid w:val="005F54C0"/>
    <w:rsid w:val="005F5E52"/>
    <w:rsid w:val="005F5F9C"/>
    <w:rsid w:val="005F6A22"/>
    <w:rsid w:val="005F7110"/>
    <w:rsid w:val="0060028C"/>
    <w:rsid w:val="0060108F"/>
    <w:rsid w:val="006032DC"/>
    <w:rsid w:val="00603BC5"/>
    <w:rsid w:val="00604416"/>
    <w:rsid w:val="00604EF2"/>
    <w:rsid w:val="00605791"/>
    <w:rsid w:val="0060668C"/>
    <w:rsid w:val="00606CF2"/>
    <w:rsid w:val="00607A71"/>
    <w:rsid w:val="00611827"/>
    <w:rsid w:val="00612BA5"/>
    <w:rsid w:val="006138A7"/>
    <w:rsid w:val="00613E6B"/>
    <w:rsid w:val="00617B8E"/>
    <w:rsid w:val="00617C83"/>
    <w:rsid w:val="00617ECA"/>
    <w:rsid w:val="00621D05"/>
    <w:rsid w:val="00624DF2"/>
    <w:rsid w:val="00625479"/>
    <w:rsid w:val="006262A1"/>
    <w:rsid w:val="00626E80"/>
    <w:rsid w:val="00627996"/>
    <w:rsid w:val="00627C0B"/>
    <w:rsid w:val="0063048E"/>
    <w:rsid w:val="00631254"/>
    <w:rsid w:val="00631371"/>
    <w:rsid w:val="00633ACE"/>
    <w:rsid w:val="00633BBF"/>
    <w:rsid w:val="006361B8"/>
    <w:rsid w:val="00637851"/>
    <w:rsid w:val="00640917"/>
    <w:rsid w:val="00640C28"/>
    <w:rsid w:val="00642710"/>
    <w:rsid w:val="006469CC"/>
    <w:rsid w:val="00647174"/>
    <w:rsid w:val="006474D5"/>
    <w:rsid w:val="00650E63"/>
    <w:rsid w:val="006552E8"/>
    <w:rsid w:val="006568C2"/>
    <w:rsid w:val="00656B01"/>
    <w:rsid w:val="00657A4D"/>
    <w:rsid w:val="006613BC"/>
    <w:rsid w:val="00661BFE"/>
    <w:rsid w:val="00662190"/>
    <w:rsid w:val="00662796"/>
    <w:rsid w:val="00662DA7"/>
    <w:rsid w:val="00666B66"/>
    <w:rsid w:val="00673BD1"/>
    <w:rsid w:val="006757A9"/>
    <w:rsid w:val="006760CB"/>
    <w:rsid w:val="006825A8"/>
    <w:rsid w:val="00682BAA"/>
    <w:rsid w:val="00682BC5"/>
    <w:rsid w:val="00684A1B"/>
    <w:rsid w:val="00684C5B"/>
    <w:rsid w:val="00685865"/>
    <w:rsid w:val="00685FBE"/>
    <w:rsid w:val="006867FD"/>
    <w:rsid w:val="00686BF3"/>
    <w:rsid w:val="006906D3"/>
    <w:rsid w:val="006A0527"/>
    <w:rsid w:val="006A21D1"/>
    <w:rsid w:val="006A262A"/>
    <w:rsid w:val="006A400D"/>
    <w:rsid w:val="006A44F1"/>
    <w:rsid w:val="006A5671"/>
    <w:rsid w:val="006B0CA0"/>
    <w:rsid w:val="006B1285"/>
    <w:rsid w:val="006B1869"/>
    <w:rsid w:val="006B2808"/>
    <w:rsid w:val="006B3A2F"/>
    <w:rsid w:val="006B520D"/>
    <w:rsid w:val="006C1ED7"/>
    <w:rsid w:val="006C3F77"/>
    <w:rsid w:val="006C6AC0"/>
    <w:rsid w:val="006D0503"/>
    <w:rsid w:val="006D1068"/>
    <w:rsid w:val="006D1560"/>
    <w:rsid w:val="006D1794"/>
    <w:rsid w:val="006D1C08"/>
    <w:rsid w:val="006D41AF"/>
    <w:rsid w:val="006D4D8A"/>
    <w:rsid w:val="006D7DED"/>
    <w:rsid w:val="006E438F"/>
    <w:rsid w:val="006E51E2"/>
    <w:rsid w:val="006E5F4D"/>
    <w:rsid w:val="006E645F"/>
    <w:rsid w:val="006E65FD"/>
    <w:rsid w:val="006E6DFF"/>
    <w:rsid w:val="006F0637"/>
    <w:rsid w:val="006F4E28"/>
    <w:rsid w:val="006F5D16"/>
    <w:rsid w:val="0070191D"/>
    <w:rsid w:val="0070277B"/>
    <w:rsid w:val="007030C7"/>
    <w:rsid w:val="007037F4"/>
    <w:rsid w:val="00703DE2"/>
    <w:rsid w:val="0070408F"/>
    <w:rsid w:val="00704289"/>
    <w:rsid w:val="00706BE4"/>
    <w:rsid w:val="007102B3"/>
    <w:rsid w:val="007103FF"/>
    <w:rsid w:val="00710EA7"/>
    <w:rsid w:val="00712840"/>
    <w:rsid w:val="00712D1D"/>
    <w:rsid w:val="00713311"/>
    <w:rsid w:val="00713353"/>
    <w:rsid w:val="00715DED"/>
    <w:rsid w:val="007202F1"/>
    <w:rsid w:val="00720D25"/>
    <w:rsid w:val="00722B4C"/>
    <w:rsid w:val="00722E42"/>
    <w:rsid w:val="00723200"/>
    <w:rsid w:val="007242D1"/>
    <w:rsid w:val="00725474"/>
    <w:rsid w:val="00730049"/>
    <w:rsid w:val="007301BE"/>
    <w:rsid w:val="00731178"/>
    <w:rsid w:val="00731CAB"/>
    <w:rsid w:val="00733D11"/>
    <w:rsid w:val="00734A7A"/>
    <w:rsid w:val="007350B4"/>
    <w:rsid w:val="00736E51"/>
    <w:rsid w:val="007402D2"/>
    <w:rsid w:val="00740E05"/>
    <w:rsid w:val="00743DDD"/>
    <w:rsid w:val="007442E3"/>
    <w:rsid w:val="00745E6D"/>
    <w:rsid w:val="007466A5"/>
    <w:rsid w:val="00746C4A"/>
    <w:rsid w:val="00747409"/>
    <w:rsid w:val="00747548"/>
    <w:rsid w:val="007506AC"/>
    <w:rsid w:val="00752598"/>
    <w:rsid w:val="00753207"/>
    <w:rsid w:val="00753E95"/>
    <w:rsid w:val="00760411"/>
    <w:rsid w:val="00761556"/>
    <w:rsid w:val="00765492"/>
    <w:rsid w:val="0076566A"/>
    <w:rsid w:val="00766E95"/>
    <w:rsid w:val="00774219"/>
    <w:rsid w:val="00775723"/>
    <w:rsid w:val="00775BBE"/>
    <w:rsid w:val="00776474"/>
    <w:rsid w:val="00777624"/>
    <w:rsid w:val="00780E18"/>
    <w:rsid w:val="0078172D"/>
    <w:rsid w:val="00781EFF"/>
    <w:rsid w:val="00784906"/>
    <w:rsid w:val="00785B2D"/>
    <w:rsid w:val="00786207"/>
    <w:rsid w:val="007868DF"/>
    <w:rsid w:val="00787D9C"/>
    <w:rsid w:val="00791450"/>
    <w:rsid w:val="007929FC"/>
    <w:rsid w:val="00794DB6"/>
    <w:rsid w:val="00797E4D"/>
    <w:rsid w:val="007A4967"/>
    <w:rsid w:val="007A53C1"/>
    <w:rsid w:val="007A7979"/>
    <w:rsid w:val="007B0B01"/>
    <w:rsid w:val="007B0ECA"/>
    <w:rsid w:val="007B174A"/>
    <w:rsid w:val="007B1B95"/>
    <w:rsid w:val="007B404C"/>
    <w:rsid w:val="007C1E79"/>
    <w:rsid w:val="007C52B3"/>
    <w:rsid w:val="007C6B20"/>
    <w:rsid w:val="007C7671"/>
    <w:rsid w:val="007D0554"/>
    <w:rsid w:val="007D0816"/>
    <w:rsid w:val="007D191E"/>
    <w:rsid w:val="007D1961"/>
    <w:rsid w:val="007D1A54"/>
    <w:rsid w:val="007D2DBB"/>
    <w:rsid w:val="007D32B1"/>
    <w:rsid w:val="007D3E7B"/>
    <w:rsid w:val="007D52F8"/>
    <w:rsid w:val="007D57F7"/>
    <w:rsid w:val="007D5F87"/>
    <w:rsid w:val="007D6927"/>
    <w:rsid w:val="007D7E86"/>
    <w:rsid w:val="007E0112"/>
    <w:rsid w:val="007E08A2"/>
    <w:rsid w:val="007E2861"/>
    <w:rsid w:val="007E2D73"/>
    <w:rsid w:val="007E32CD"/>
    <w:rsid w:val="007E53E1"/>
    <w:rsid w:val="007E6720"/>
    <w:rsid w:val="007E67BF"/>
    <w:rsid w:val="007E7D66"/>
    <w:rsid w:val="007F18B0"/>
    <w:rsid w:val="007F2F0F"/>
    <w:rsid w:val="007F550C"/>
    <w:rsid w:val="007F6190"/>
    <w:rsid w:val="007F6303"/>
    <w:rsid w:val="007F7874"/>
    <w:rsid w:val="00800032"/>
    <w:rsid w:val="00800383"/>
    <w:rsid w:val="00800465"/>
    <w:rsid w:val="00800B66"/>
    <w:rsid w:val="008017F2"/>
    <w:rsid w:val="008018B5"/>
    <w:rsid w:val="00801D69"/>
    <w:rsid w:val="00802A94"/>
    <w:rsid w:val="00803999"/>
    <w:rsid w:val="00805867"/>
    <w:rsid w:val="0080636F"/>
    <w:rsid w:val="00807BFF"/>
    <w:rsid w:val="00813180"/>
    <w:rsid w:val="00813373"/>
    <w:rsid w:val="008156AC"/>
    <w:rsid w:val="008158AC"/>
    <w:rsid w:val="0081645F"/>
    <w:rsid w:val="008169EF"/>
    <w:rsid w:val="00816F93"/>
    <w:rsid w:val="0082090C"/>
    <w:rsid w:val="008211B5"/>
    <w:rsid w:val="00821DE1"/>
    <w:rsid w:val="00822A17"/>
    <w:rsid w:val="00822B6C"/>
    <w:rsid w:val="008257C6"/>
    <w:rsid w:val="008275EE"/>
    <w:rsid w:val="008320A3"/>
    <w:rsid w:val="00832FD7"/>
    <w:rsid w:val="00833CEC"/>
    <w:rsid w:val="0083420B"/>
    <w:rsid w:val="008344D1"/>
    <w:rsid w:val="00834E6A"/>
    <w:rsid w:val="00836D05"/>
    <w:rsid w:val="00842441"/>
    <w:rsid w:val="008429C5"/>
    <w:rsid w:val="0084370A"/>
    <w:rsid w:val="00844BEE"/>
    <w:rsid w:val="00846965"/>
    <w:rsid w:val="00847D82"/>
    <w:rsid w:val="00850188"/>
    <w:rsid w:val="00850EFB"/>
    <w:rsid w:val="00851AE0"/>
    <w:rsid w:val="00851B71"/>
    <w:rsid w:val="00853BDB"/>
    <w:rsid w:val="00853EB5"/>
    <w:rsid w:val="00854825"/>
    <w:rsid w:val="00854C0D"/>
    <w:rsid w:val="00854FDF"/>
    <w:rsid w:val="00856FD6"/>
    <w:rsid w:val="00860109"/>
    <w:rsid w:val="00860B5B"/>
    <w:rsid w:val="00862CF5"/>
    <w:rsid w:val="00862E9E"/>
    <w:rsid w:val="008634E5"/>
    <w:rsid w:val="00866A85"/>
    <w:rsid w:val="00870E6D"/>
    <w:rsid w:val="00871EB9"/>
    <w:rsid w:val="008759D0"/>
    <w:rsid w:val="00881FF0"/>
    <w:rsid w:val="0088590B"/>
    <w:rsid w:val="008908C3"/>
    <w:rsid w:val="00890E98"/>
    <w:rsid w:val="008929D0"/>
    <w:rsid w:val="00893479"/>
    <w:rsid w:val="00893E97"/>
    <w:rsid w:val="008944A3"/>
    <w:rsid w:val="00896697"/>
    <w:rsid w:val="008A1912"/>
    <w:rsid w:val="008A4E5F"/>
    <w:rsid w:val="008A5AE5"/>
    <w:rsid w:val="008A602F"/>
    <w:rsid w:val="008A6095"/>
    <w:rsid w:val="008A68C3"/>
    <w:rsid w:val="008B14C4"/>
    <w:rsid w:val="008B2491"/>
    <w:rsid w:val="008B4637"/>
    <w:rsid w:val="008B5AA2"/>
    <w:rsid w:val="008C002C"/>
    <w:rsid w:val="008C3631"/>
    <w:rsid w:val="008C3CEA"/>
    <w:rsid w:val="008C67CA"/>
    <w:rsid w:val="008D00E8"/>
    <w:rsid w:val="008D0498"/>
    <w:rsid w:val="008D0E3B"/>
    <w:rsid w:val="008D128E"/>
    <w:rsid w:val="008D1D16"/>
    <w:rsid w:val="008D24F5"/>
    <w:rsid w:val="008D25B6"/>
    <w:rsid w:val="008D2782"/>
    <w:rsid w:val="008E016D"/>
    <w:rsid w:val="008E09CA"/>
    <w:rsid w:val="008E4A3B"/>
    <w:rsid w:val="008E4D07"/>
    <w:rsid w:val="008E7F86"/>
    <w:rsid w:val="008F238F"/>
    <w:rsid w:val="008F36B9"/>
    <w:rsid w:val="008F5EA5"/>
    <w:rsid w:val="008F6EB6"/>
    <w:rsid w:val="00900F7E"/>
    <w:rsid w:val="00901510"/>
    <w:rsid w:val="00901A26"/>
    <w:rsid w:val="00903128"/>
    <w:rsid w:val="00903A21"/>
    <w:rsid w:val="00906E18"/>
    <w:rsid w:val="009103AC"/>
    <w:rsid w:val="009143FB"/>
    <w:rsid w:val="00915C8B"/>
    <w:rsid w:val="0091656F"/>
    <w:rsid w:val="00920455"/>
    <w:rsid w:val="00922EA2"/>
    <w:rsid w:val="00923554"/>
    <w:rsid w:val="00923713"/>
    <w:rsid w:val="0093152C"/>
    <w:rsid w:val="00935459"/>
    <w:rsid w:val="009413B8"/>
    <w:rsid w:val="009430AC"/>
    <w:rsid w:val="0094470E"/>
    <w:rsid w:val="009451CB"/>
    <w:rsid w:val="00945CFF"/>
    <w:rsid w:val="009471D1"/>
    <w:rsid w:val="0094760B"/>
    <w:rsid w:val="00951A7D"/>
    <w:rsid w:val="0095227F"/>
    <w:rsid w:val="009531E4"/>
    <w:rsid w:val="00955AF7"/>
    <w:rsid w:val="00956137"/>
    <w:rsid w:val="0096018A"/>
    <w:rsid w:val="00960B38"/>
    <w:rsid w:val="00961209"/>
    <w:rsid w:val="00961CA2"/>
    <w:rsid w:val="00961E2A"/>
    <w:rsid w:val="00962024"/>
    <w:rsid w:val="0096237A"/>
    <w:rsid w:val="00965575"/>
    <w:rsid w:val="009671EF"/>
    <w:rsid w:val="00972512"/>
    <w:rsid w:val="0097268A"/>
    <w:rsid w:val="0097373B"/>
    <w:rsid w:val="0097440E"/>
    <w:rsid w:val="00976AF8"/>
    <w:rsid w:val="00977E50"/>
    <w:rsid w:val="009808DB"/>
    <w:rsid w:val="00980BB2"/>
    <w:rsid w:val="00981803"/>
    <w:rsid w:val="009823D3"/>
    <w:rsid w:val="00983976"/>
    <w:rsid w:val="0098428C"/>
    <w:rsid w:val="00986F88"/>
    <w:rsid w:val="00987A3A"/>
    <w:rsid w:val="00992FA8"/>
    <w:rsid w:val="00995FE6"/>
    <w:rsid w:val="009A05A7"/>
    <w:rsid w:val="009A188F"/>
    <w:rsid w:val="009A29DA"/>
    <w:rsid w:val="009A5B10"/>
    <w:rsid w:val="009A70D8"/>
    <w:rsid w:val="009A7C0B"/>
    <w:rsid w:val="009B18E1"/>
    <w:rsid w:val="009B309E"/>
    <w:rsid w:val="009B30D9"/>
    <w:rsid w:val="009B3D69"/>
    <w:rsid w:val="009B6097"/>
    <w:rsid w:val="009B66AA"/>
    <w:rsid w:val="009B74C3"/>
    <w:rsid w:val="009C2AEA"/>
    <w:rsid w:val="009C4EAC"/>
    <w:rsid w:val="009C6D37"/>
    <w:rsid w:val="009C6DD3"/>
    <w:rsid w:val="009C7626"/>
    <w:rsid w:val="009D1541"/>
    <w:rsid w:val="009D1CD1"/>
    <w:rsid w:val="009D20F2"/>
    <w:rsid w:val="009D4EDA"/>
    <w:rsid w:val="009D7365"/>
    <w:rsid w:val="009E0B1E"/>
    <w:rsid w:val="009E2403"/>
    <w:rsid w:val="009E3615"/>
    <w:rsid w:val="009E3ABB"/>
    <w:rsid w:val="009E3AD0"/>
    <w:rsid w:val="009E3D62"/>
    <w:rsid w:val="009F1526"/>
    <w:rsid w:val="009F24E4"/>
    <w:rsid w:val="009F55D4"/>
    <w:rsid w:val="009F7B8D"/>
    <w:rsid w:val="00A0370A"/>
    <w:rsid w:val="00A040D4"/>
    <w:rsid w:val="00A046E3"/>
    <w:rsid w:val="00A04F48"/>
    <w:rsid w:val="00A05511"/>
    <w:rsid w:val="00A15988"/>
    <w:rsid w:val="00A15D25"/>
    <w:rsid w:val="00A15FD8"/>
    <w:rsid w:val="00A20C58"/>
    <w:rsid w:val="00A220EF"/>
    <w:rsid w:val="00A247CD"/>
    <w:rsid w:val="00A265DF"/>
    <w:rsid w:val="00A3206B"/>
    <w:rsid w:val="00A3220B"/>
    <w:rsid w:val="00A33486"/>
    <w:rsid w:val="00A33736"/>
    <w:rsid w:val="00A3493F"/>
    <w:rsid w:val="00A35354"/>
    <w:rsid w:val="00A364BC"/>
    <w:rsid w:val="00A40D24"/>
    <w:rsid w:val="00A41DC2"/>
    <w:rsid w:val="00A42783"/>
    <w:rsid w:val="00A427FE"/>
    <w:rsid w:val="00A42967"/>
    <w:rsid w:val="00A434EF"/>
    <w:rsid w:val="00A435EB"/>
    <w:rsid w:val="00A44FB5"/>
    <w:rsid w:val="00A45F3B"/>
    <w:rsid w:val="00A477FB"/>
    <w:rsid w:val="00A52F00"/>
    <w:rsid w:val="00A55140"/>
    <w:rsid w:val="00A55530"/>
    <w:rsid w:val="00A55E30"/>
    <w:rsid w:val="00A56A87"/>
    <w:rsid w:val="00A57F33"/>
    <w:rsid w:val="00A629AC"/>
    <w:rsid w:val="00A66647"/>
    <w:rsid w:val="00A66E81"/>
    <w:rsid w:val="00A673EB"/>
    <w:rsid w:val="00A67B86"/>
    <w:rsid w:val="00A70225"/>
    <w:rsid w:val="00A70400"/>
    <w:rsid w:val="00A72496"/>
    <w:rsid w:val="00A72603"/>
    <w:rsid w:val="00A73A2F"/>
    <w:rsid w:val="00A743E1"/>
    <w:rsid w:val="00A76C79"/>
    <w:rsid w:val="00A80293"/>
    <w:rsid w:val="00A810CD"/>
    <w:rsid w:val="00A8111F"/>
    <w:rsid w:val="00A81A7B"/>
    <w:rsid w:val="00A825E5"/>
    <w:rsid w:val="00A82F52"/>
    <w:rsid w:val="00A83001"/>
    <w:rsid w:val="00A83FE8"/>
    <w:rsid w:val="00A84F00"/>
    <w:rsid w:val="00A91296"/>
    <w:rsid w:val="00A920E5"/>
    <w:rsid w:val="00A92202"/>
    <w:rsid w:val="00A93FC1"/>
    <w:rsid w:val="00A969F6"/>
    <w:rsid w:val="00A97B24"/>
    <w:rsid w:val="00AA0188"/>
    <w:rsid w:val="00AA28B4"/>
    <w:rsid w:val="00AA6218"/>
    <w:rsid w:val="00AA6A5E"/>
    <w:rsid w:val="00AB3147"/>
    <w:rsid w:val="00AB4A86"/>
    <w:rsid w:val="00AC2B2D"/>
    <w:rsid w:val="00AC3AA5"/>
    <w:rsid w:val="00AC4DF8"/>
    <w:rsid w:val="00AC4EFE"/>
    <w:rsid w:val="00AC605B"/>
    <w:rsid w:val="00AC6B48"/>
    <w:rsid w:val="00AD08E1"/>
    <w:rsid w:val="00AD12F4"/>
    <w:rsid w:val="00AD168B"/>
    <w:rsid w:val="00AD1949"/>
    <w:rsid w:val="00AE0609"/>
    <w:rsid w:val="00AE0E61"/>
    <w:rsid w:val="00AE10CB"/>
    <w:rsid w:val="00AE23BF"/>
    <w:rsid w:val="00AE3182"/>
    <w:rsid w:val="00AE52B2"/>
    <w:rsid w:val="00AE63D5"/>
    <w:rsid w:val="00AE7619"/>
    <w:rsid w:val="00AF361F"/>
    <w:rsid w:val="00AF543F"/>
    <w:rsid w:val="00AF6BAB"/>
    <w:rsid w:val="00B00638"/>
    <w:rsid w:val="00B024FE"/>
    <w:rsid w:val="00B0398F"/>
    <w:rsid w:val="00B04F55"/>
    <w:rsid w:val="00B05B5F"/>
    <w:rsid w:val="00B06115"/>
    <w:rsid w:val="00B0751C"/>
    <w:rsid w:val="00B12DE7"/>
    <w:rsid w:val="00B12E5F"/>
    <w:rsid w:val="00B14265"/>
    <w:rsid w:val="00B142A8"/>
    <w:rsid w:val="00B14DFD"/>
    <w:rsid w:val="00B165C0"/>
    <w:rsid w:val="00B177C9"/>
    <w:rsid w:val="00B20C44"/>
    <w:rsid w:val="00B21FD1"/>
    <w:rsid w:val="00B235C2"/>
    <w:rsid w:val="00B26413"/>
    <w:rsid w:val="00B268B2"/>
    <w:rsid w:val="00B26FEF"/>
    <w:rsid w:val="00B3042A"/>
    <w:rsid w:val="00B304FD"/>
    <w:rsid w:val="00B3179F"/>
    <w:rsid w:val="00B319D0"/>
    <w:rsid w:val="00B35542"/>
    <w:rsid w:val="00B414A6"/>
    <w:rsid w:val="00B41C9C"/>
    <w:rsid w:val="00B42965"/>
    <w:rsid w:val="00B45933"/>
    <w:rsid w:val="00B45F8C"/>
    <w:rsid w:val="00B4677F"/>
    <w:rsid w:val="00B47D6F"/>
    <w:rsid w:val="00B51AAC"/>
    <w:rsid w:val="00B52D72"/>
    <w:rsid w:val="00B53805"/>
    <w:rsid w:val="00B572B0"/>
    <w:rsid w:val="00B647FD"/>
    <w:rsid w:val="00B65DF4"/>
    <w:rsid w:val="00B66083"/>
    <w:rsid w:val="00B7008F"/>
    <w:rsid w:val="00B70663"/>
    <w:rsid w:val="00B75210"/>
    <w:rsid w:val="00B76175"/>
    <w:rsid w:val="00B77480"/>
    <w:rsid w:val="00B804DA"/>
    <w:rsid w:val="00B85A4C"/>
    <w:rsid w:val="00B85D0F"/>
    <w:rsid w:val="00B8667B"/>
    <w:rsid w:val="00B907A6"/>
    <w:rsid w:val="00B925C6"/>
    <w:rsid w:val="00B936F6"/>
    <w:rsid w:val="00B94373"/>
    <w:rsid w:val="00B94668"/>
    <w:rsid w:val="00B950C0"/>
    <w:rsid w:val="00B95901"/>
    <w:rsid w:val="00B96862"/>
    <w:rsid w:val="00B969D5"/>
    <w:rsid w:val="00BA0C4A"/>
    <w:rsid w:val="00BA11F5"/>
    <w:rsid w:val="00BA1275"/>
    <w:rsid w:val="00BA2CFE"/>
    <w:rsid w:val="00BA3130"/>
    <w:rsid w:val="00BA6B2D"/>
    <w:rsid w:val="00BA7E86"/>
    <w:rsid w:val="00BB186F"/>
    <w:rsid w:val="00BB454B"/>
    <w:rsid w:val="00BB57CE"/>
    <w:rsid w:val="00BB59CE"/>
    <w:rsid w:val="00BB6C62"/>
    <w:rsid w:val="00BB6FC8"/>
    <w:rsid w:val="00BC0846"/>
    <w:rsid w:val="00BC0F96"/>
    <w:rsid w:val="00BC1C66"/>
    <w:rsid w:val="00BC221B"/>
    <w:rsid w:val="00BC451A"/>
    <w:rsid w:val="00BC5456"/>
    <w:rsid w:val="00BC6A40"/>
    <w:rsid w:val="00BC71EB"/>
    <w:rsid w:val="00BD02D0"/>
    <w:rsid w:val="00BD06AD"/>
    <w:rsid w:val="00BD07E8"/>
    <w:rsid w:val="00BD14DB"/>
    <w:rsid w:val="00BD2466"/>
    <w:rsid w:val="00BD3813"/>
    <w:rsid w:val="00BE0002"/>
    <w:rsid w:val="00BE3197"/>
    <w:rsid w:val="00BE3D82"/>
    <w:rsid w:val="00BE509D"/>
    <w:rsid w:val="00BF0E87"/>
    <w:rsid w:val="00BF295D"/>
    <w:rsid w:val="00BF4F6F"/>
    <w:rsid w:val="00BF5792"/>
    <w:rsid w:val="00BF6A36"/>
    <w:rsid w:val="00BF7EAB"/>
    <w:rsid w:val="00C00D41"/>
    <w:rsid w:val="00C011CA"/>
    <w:rsid w:val="00C0291D"/>
    <w:rsid w:val="00C029B0"/>
    <w:rsid w:val="00C039F5"/>
    <w:rsid w:val="00C049C9"/>
    <w:rsid w:val="00C07A56"/>
    <w:rsid w:val="00C1088D"/>
    <w:rsid w:val="00C12640"/>
    <w:rsid w:val="00C13200"/>
    <w:rsid w:val="00C13686"/>
    <w:rsid w:val="00C1446B"/>
    <w:rsid w:val="00C14E21"/>
    <w:rsid w:val="00C15AD7"/>
    <w:rsid w:val="00C16F20"/>
    <w:rsid w:val="00C21C37"/>
    <w:rsid w:val="00C2613B"/>
    <w:rsid w:val="00C32017"/>
    <w:rsid w:val="00C320D4"/>
    <w:rsid w:val="00C32255"/>
    <w:rsid w:val="00C3257C"/>
    <w:rsid w:val="00C33980"/>
    <w:rsid w:val="00C33C4F"/>
    <w:rsid w:val="00C34C45"/>
    <w:rsid w:val="00C35234"/>
    <w:rsid w:val="00C3543E"/>
    <w:rsid w:val="00C35547"/>
    <w:rsid w:val="00C37EE6"/>
    <w:rsid w:val="00C40447"/>
    <w:rsid w:val="00C406E5"/>
    <w:rsid w:val="00C40751"/>
    <w:rsid w:val="00C40AA3"/>
    <w:rsid w:val="00C40CB3"/>
    <w:rsid w:val="00C44C32"/>
    <w:rsid w:val="00C44F54"/>
    <w:rsid w:val="00C46410"/>
    <w:rsid w:val="00C47BCA"/>
    <w:rsid w:val="00C47FFC"/>
    <w:rsid w:val="00C50A36"/>
    <w:rsid w:val="00C52C1F"/>
    <w:rsid w:val="00C53B7B"/>
    <w:rsid w:val="00C562F5"/>
    <w:rsid w:val="00C5647C"/>
    <w:rsid w:val="00C57C3B"/>
    <w:rsid w:val="00C6204F"/>
    <w:rsid w:val="00C64858"/>
    <w:rsid w:val="00C66A1A"/>
    <w:rsid w:val="00C672BC"/>
    <w:rsid w:val="00C67BBA"/>
    <w:rsid w:val="00C70146"/>
    <w:rsid w:val="00C74573"/>
    <w:rsid w:val="00C74DF5"/>
    <w:rsid w:val="00C76EDA"/>
    <w:rsid w:val="00C813A6"/>
    <w:rsid w:val="00C822A4"/>
    <w:rsid w:val="00C83B9B"/>
    <w:rsid w:val="00C83C74"/>
    <w:rsid w:val="00C85B0D"/>
    <w:rsid w:val="00C85E03"/>
    <w:rsid w:val="00C86384"/>
    <w:rsid w:val="00C87509"/>
    <w:rsid w:val="00C878B0"/>
    <w:rsid w:val="00C91A7C"/>
    <w:rsid w:val="00C9657D"/>
    <w:rsid w:val="00CA0D07"/>
    <w:rsid w:val="00CA1878"/>
    <w:rsid w:val="00CA215F"/>
    <w:rsid w:val="00CA239D"/>
    <w:rsid w:val="00CA3485"/>
    <w:rsid w:val="00CA497D"/>
    <w:rsid w:val="00CB020A"/>
    <w:rsid w:val="00CB12E9"/>
    <w:rsid w:val="00CB2871"/>
    <w:rsid w:val="00CB2E92"/>
    <w:rsid w:val="00CB3BA0"/>
    <w:rsid w:val="00CB3DC6"/>
    <w:rsid w:val="00CB435E"/>
    <w:rsid w:val="00CB5002"/>
    <w:rsid w:val="00CB5B8C"/>
    <w:rsid w:val="00CB5CDA"/>
    <w:rsid w:val="00CB6711"/>
    <w:rsid w:val="00CB675F"/>
    <w:rsid w:val="00CC054E"/>
    <w:rsid w:val="00CC0775"/>
    <w:rsid w:val="00CC34D4"/>
    <w:rsid w:val="00CC3776"/>
    <w:rsid w:val="00CC5DDC"/>
    <w:rsid w:val="00CD1629"/>
    <w:rsid w:val="00CD4FA5"/>
    <w:rsid w:val="00CD5822"/>
    <w:rsid w:val="00CD7CBE"/>
    <w:rsid w:val="00CE05AD"/>
    <w:rsid w:val="00CE2AEB"/>
    <w:rsid w:val="00CE3A3D"/>
    <w:rsid w:val="00CE3E37"/>
    <w:rsid w:val="00CE3FFF"/>
    <w:rsid w:val="00CE532B"/>
    <w:rsid w:val="00CE7678"/>
    <w:rsid w:val="00CE7F16"/>
    <w:rsid w:val="00CF081A"/>
    <w:rsid w:val="00CF3A4F"/>
    <w:rsid w:val="00CF684B"/>
    <w:rsid w:val="00D008C3"/>
    <w:rsid w:val="00D01CB0"/>
    <w:rsid w:val="00D035FD"/>
    <w:rsid w:val="00D071F3"/>
    <w:rsid w:val="00D07AC3"/>
    <w:rsid w:val="00D1119E"/>
    <w:rsid w:val="00D13DE2"/>
    <w:rsid w:val="00D13F7F"/>
    <w:rsid w:val="00D14754"/>
    <w:rsid w:val="00D16B20"/>
    <w:rsid w:val="00D1765D"/>
    <w:rsid w:val="00D17CB5"/>
    <w:rsid w:val="00D202CE"/>
    <w:rsid w:val="00D214A0"/>
    <w:rsid w:val="00D21F50"/>
    <w:rsid w:val="00D25D42"/>
    <w:rsid w:val="00D26799"/>
    <w:rsid w:val="00D300A2"/>
    <w:rsid w:val="00D30F52"/>
    <w:rsid w:val="00D318F4"/>
    <w:rsid w:val="00D330B3"/>
    <w:rsid w:val="00D335F0"/>
    <w:rsid w:val="00D34049"/>
    <w:rsid w:val="00D342EB"/>
    <w:rsid w:val="00D35C24"/>
    <w:rsid w:val="00D36795"/>
    <w:rsid w:val="00D37860"/>
    <w:rsid w:val="00D37C18"/>
    <w:rsid w:val="00D426F8"/>
    <w:rsid w:val="00D4382C"/>
    <w:rsid w:val="00D447B2"/>
    <w:rsid w:val="00D44977"/>
    <w:rsid w:val="00D44DEA"/>
    <w:rsid w:val="00D456F1"/>
    <w:rsid w:val="00D4591E"/>
    <w:rsid w:val="00D52BF2"/>
    <w:rsid w:val="00D548E2"/>
    <w:rsid w:val="00D54B98"/>
    <w:rsid w:val="00D5606C"/>
    <w:rsid w:val="00D569FC"/>
    <w:rsid w:val="00D575BF"/>
    <w:rsid w:val="00D62B18"/>
    <w:rsid w:val="00D62BC3"/>
    <w:rsid w:val="00D62E3F"/>
    <w:rsid w:val="00D631C4"/>
    <w:rsid w:val="00D65393"/>
    <w:rsid w:val="00D656CC"/>
    <w:rsid w:val="00D70C84"/>
    <w:rsid w:val="00D71B84"/>
    <w:rsid w:val="00D72E28"/>
    <w:rsid w:val="00D7416B"/>
    <w:rsid w:val="00D74443"/>
    <w:rsid w:val="00D763EF"/>
    <w:rsid w:val="00D808DA"/>
    <w:rsid w:val="00D80A79"/>
    <w:rsid w:val="00D80B64"/>
    <w:rsid w:val="00D831F7"/>
    <w:rsid w:val="00D852BA"/>
    <w:rsid w:val="00D92A32"/>
    <w:rsid w:val="00D932DB"/>
    <w:rsid w:val="00D94888"/>
    <w:rsid w:val="00DA141C"/>
    <w:rsid w:val="00DA2AA1"/>
    <w:rsid w:val="00DA5511"/>
    <w:rsid w:val="00DA6249"/>
    <w:rsid w:val="00DA6BA2"/>
    <w:rsid w:val="00DA6E85"/>
    <w:rsid w:val="00DA7965"/>
    <w:rsid w:val="00DB2BA3"/>
    <w:rsid w:val="00DB317D"/>
    <w:rsid w:val="00DB32A9"/>
    <w:rsid w:val="00DB46BA"/>
    <w:rsid w:val="00DB59B1"/>
    <w:rsid w:val="00DB626B"/>
    <w:rsid w:val="00DB62BE"/>
    <w:rsid w:val="00DB6EF1"/>
    <w:rsid w:val="00DB7E90"/>
    <w:rsid w:val="00DC0D48"/>
    <w:rsid w:val="00DC3F5A"/>
    <w:rsid w:val="00DC410E"/>
    <w:rsid w:val="00DC5399"/>
    <w:rsid w:val="00DC6773"/>
    <w:rsid w:val="00DC73ED"/>
    <w:rsid w:val="00DD029B"/>
    <w:rsid w:val="00DD17DD"/>
    <w:rsid w:val="00DD3A09"/>
    <w:rsid w:val="00DD464C"/>
    <w:rsid w:val="00DD4AD5"/>
    <w:rsid w:val="00DD5873"/>
    <w:rsid w:val="00DE08BE"/>
    <w:rsid w:val="00DE43EB"/>
    <w:rsid w:val="00DE4563"/>
    <w:rsid w:val="00DE4DCD"/>
    <w:rsid w:val="00DE6A9B"/>
    <w:rsid w:val="00DE7AA1"/>
    <w:rsid w:val="00DE7DBA"/>
    <w:rsid w:val="00DF0101"/>
    <w:rsid w:val="00DF3630"/>
    <w:rsid w:val="00E00882"/>
    <w:rsid w:val="00E02648"/>
    <w:rsid w:val="00E0274B"/>
    <w:rsid w:val="00E04E5B"/>
    <w:rsid w:val="00E0591C"/>
    <w:rsid w:val="00E064BE"/>
    <w:rsid w:val="00E06A12"/>
    <w:rsid w:val="00E06A26"/>
    <w:rsid w:val="00E07FA9"/>
    <w:rsid w:val="00E108DB"/>
    <w:rsid w:val="00E11F78"/>
    <w:rsid w:val="00E1250A"/>
    <w:rsid w:val="00E1267D"/>
    <w:rsid w:val="00E13361"/>
    <w:rsid w:val="00E15115"/>
    <w:rsid w:val="00E157F5"/>
    <w:rsid w:val="00E1765C"/>
    <w:rsid w:val="00E22266"/>
    <w:rsid w:val="00E2277B"/>
    <w:rsid w:val="00E2389C"/>
    <w:rsid w:val="00E251AF"/>
    <w:rsid w:val="00E266EA"/>
    <w:rsid w:val="00E32833"/>
    <w:rsid w:val="00E32F27"/>
    <w:rsid w:val="00E33030"/>
    <w:rsid w:val="00E33BDF"/>
    <w:rsid w:val="00E34D58"/>
    <w:rsid w:val="00E36D58"/>
    <w:rsid w:val="00E454F8"/>
    <w:rsid w:val="00E45F28"/>
    <w:rsid w:val="00E462B0"/>
    <w:rsid w:val="00E53131"/>
    <w:rsid w:val="00E5533D"/>
    <w:rsid w:val="00E567C6"/>
    <w:rsid w:val="00E600DC"/>
    <w:rsid w:val="00E61D36"/>
    <w:rsid w:val="00E635EC"/>
    <w:rsid w:val="00E64F1D"/>
    <w:rsid w:val="00E66000"/>
    <w:rsid w:val="00E67FF6"/>
    <w:rsid w:val="00E72232"/>
    <w:rsid w:val="00E75C18"/>
    <w:rsid w:val="00E773B9"/>
    <w:rsid w:val="00E80931"/>
    <w:rsid w:val="00E83DF0"/>
    <w:rsid w:val="00E90EF9"/>
    <w:rsid w:val="00E9115C"/>
    <w:rsid w:val="00E912AF"/>
    <w:rsid w:val="00E92CBB"/>
    <w:rsid w:val="00E93F84"/>
    <w:rsid w:val="00E943AE"/>
    <w:rsid w:val="00E94B56"/>
    <w:rsid w:val="00E961FB"/>
    <w:rsid w:val="00E97BA9"/>
    <w:rsid w:val="00EA1048"/>
    <w:rsid w:val="00EA32FC"/>
    <w:rsid w:val="00EA5F4F"/>
    <w:rsid w:val="00EA774E"/>
    <w:rsid w:val="00EB1C10"/>
    <w:rsid w:val="00EB51D0"/>
    <w:rsid w:val="00EB5A54"/>
    <w:rsid w:val="00EB5C57"/>
    <w:rsid w:val="00EB5F44"/>
    <w:rsid w:val="00EB6E3B"/>
    <w:rsid w:val="00EC4A44"/>
    <w:rsid w:val="00EC51D6"/>
    <w:rsid w:val="00EC58C8"/>
    <w:rsid w:val="00EC638E"/>
    <w:rsid w:val="00ED0231"/>
    <w:rsid w:val="00ED1D2A"/>
    <w:rsid w:val="00ED38BE"/>
    <w:rsid w:val="00ED6819"/>
    <w:rsid w:val="00ED6C78"/>
    <w:rsid w:val="00ED7333"/>
    <w:rsid w:val="00EE04A8"/>
    <w:rsid w:val="00EE3472"/>
    <w:rsid w:val="00EE7D92"/>
    <w:rsid w:val="00EF1910"/>
    <w:rsid w:val="00EF197E"/>
    <w:rsid w:val="00EF1BAE"/>
    <w:rsid w:val="00EF30D3"/>
    <w:rsid w:val="00EF3F73"/>
    <w:rsid w:val="00EF7964"/>
    <w:rsid w:val="00F00884"/>
    <w:rsid w:val="00F021D4"/>
    <w:rsid w:val="00F02FC6"/>
    <w:rsid w:val="00F0383E"/>
    <w:rsid w:val="00F03C63"/>
    <w:rsid w:val="00F053E4"/>
    <w:rsid w:val="00F06A0F"/>
    <w:rsid w:val="00F10923"/>
    <w:rsid w:val="00F15258"/>
    <w:rsid w:val="00F17295"/>
    <w:rsid w:val="00F21CB2"/>
    <w:rsid w:val="00F228A0"/>
    <w:rsid w:val="00F22D44"/>
    <w:rsid w:val="00F239B5"/>
    <w:rsid w:val="00F24D4D"/>
    <w:rsid w:val="00F2653B"/>
    <w:rsid w:val="00F26ECE"/>
    <w:rsid w:val="00F30B06"/>
    <w:rsid w:val="00F30D1C"/>
    <w:rsid w:val="00F35A73"/>
    <w:rsid w:val="00F3660E"/>
    <w:rsid w:val="00F36D4C"/>
    <w:rsid w:val="00F3748B"/>
    <w:rsid w:val="00F43694"/>
    <w:rsid w:val="00F43D4C"/>
    <w:rsid w:val="00F44835"/>
    <w:rsid w:val="00F44C21"/>
    <w:rsid w:val="00F45001"/>
    <w:rsid w:val="00F474CA"/>
    <w:rsid w:val="00F47B4B"/>
    <w:rsid w:val="00F53284"/>
    <w:rsid w:val="00F55412"/>
    <w:rsid w:val="00F55C52"/>
    <w:rsid w:val="00F62A16"/>
    <w:rsid w:val="00F65A0D"/>
    <w:rsid w:val="00F72014"/>
    <w:rsid w:val="00F7392E"/>
    <w:rsid w:val="00F74E13"/>
    <w:rsid w:val="00F76DE0"/>
    <w:rsid w:val="00F7776E"/>
    <w:rsid w:val="00F81405"/>
    <w:rsid w:val="00F82B9F"/>
    <w:rsid w:val="00F83A54"/>
    <w:rsid w:val="00F83DEF"/>
    <w:rsid w:val="00F8508D"/>
    <w:rsid w:val="00F85165"/>
    <w:rsid w:val="00F86738"/>
    <w:rsid w:val="00F90296"/>
    <w:rsid w:val="00F905A2"/>
    <w:rsid w:val="00F910C0"/>
    <w:rsid w:val="00F927A7"/>
    <w:rsid w:val="00F92905"/>
    <w:rsid w:val="00FA17AB"/>
    <w:rsid w:val="00FA1EEF"/>
    <w:rsid w:val="00FA2372"/>
    <w:rsid w:val="00FA4351"/>
    <w:rsid w:val="00FA45DE"/>
    <w:rsid w:val="00FA4A39"/>
    <w:rsid w:val="00FA5793"/>
    <w:rsid w:val="00FA5799"/>
    <w:rsid w:val="00FA7AE1"/>
    <w:rsid w:val="00FB3096"/>
    <w:rsid w:val="00FB5536"/>
    <w:rsid w:val="00FC34E7"/>
    <w:rsid w:val="00FC3DE0"/>
    <w:rsid w:val="00FC3E55"/>
    <w:rsid w:val="00FC42B9"/>
    <w:rsid w:val="00FC480D"/>
    <w:rsid w:val="00FC504D"/>
    <w:rsid w:val="00FC6595"/>
    <w:rsid w:val="00FC730B"/>
    <w:rsid w:val="00FD0BB4"/>
    <w:rsid w:val="00FD3177"/>
    <w:rsid w:val="00FD557A"/>
    <w:rsid w:val="00FD5727"/>
    <w:rsid w:val="00FD5819"/>
    <w:rsid w:val="00FD6954"/>
    <w:rsid w:val="00FE31BF"/>
    <w:rsid w:val="00FE38AB"/>
    <w:rsid w:val="00FE415A"/>
    <w:rsid w:val="00FE5A97"/>
    <w:rsid w:val="00FE78D3"/>
    <w:rsid w:val="00FF299A"/>
    <w:rsid w:val="00FF3C57"/>
    <w:rsid w:val="00FF525E"/>
    <w:rsid w:val="00FF7D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F47F62"/>
  <w15:docId w15:val="{D9B1A4E2-8787-4765-930B-B285905E4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867"/>
    <w:rPr>
      <w:rFonts w:ascii="CG Omega" w:hAnsi="CG Omega"/>
      <w:sz w:val="22"/>
      <w:szCs w:val="24"/>
      <w:lang w:eastAsia="en-US"/>
    </w:rPr>
  </w:style>
  <w:style w:type="paragraph" w:styleId="Heading1">
    <w:name w:val="heading 1"/>
    <w:basedOn w:val="Normal"/>
    <w:next w:val="Normal"/>
    <w:link w:val="Heading1Char"/>
    <w:qFormat/>
    <w:rsid w:val="001A03E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DB32A9"/>
    <w:pPr>
      <w:keepNext/>
      <w:keepLines/>
      <w:spacing w:before="200"/>
      <w:outlineLvl w:val="1"/>
    </w:pPr>
    <w:rPr>
      <w:rFonts w:ascii="Times New Roman" w:hAnsi="Times New Roman"/>
      <w:b/>
      <w:bCs/>
      <w:color w:val="4F81BD"/>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B7524"/>
    <w:pPr>
      <w:numPr>
        <w:ilvl w:val="12"/>
      </w:numPr>
      <w:spacing w:before="240"/>
    </w:pPr>
    <w:rPr>
      <w:rFonts w:ascii="Times New Roman" w:hAnsi="Times New Roman"/>
      <w:sz w:val="24"/>
      <w:szCs w:val="20"/>
      <w:lang w:eastAsia="en-AU"/>
    </w:rPr>
  </w:style>
  <w:style w:type="paragraph" w:customStyle="1" w:styleId="StyleLeft349cmRight-011cm">
    <w:name w:val="Style Left:  3.49 cm Right:  -0.11 cm"/>
    <w:basedOn w:val="Normal"/>
    <w:rsid w:val="003B7524"/>
    <w:pPr>
      <w:ind w:left="1979" w:right="1701"/>
    </w:pPr>
    <w:rPr>
      <w:rFonts w:ascii="Times New Roman" w:hAnsi="Times New Roman"/>
      <w:sz w:val="24"/>
      <w:szCs w:val="20"/>
      <w:lang w:eastAsia="en-AU"/>
    </w:rPr>
  </w:style>
  <w:style w:type="paragraph" w:styleId="Footer">
    <w:name w:val="footer"/>
    <w:basedOn w:val="Normal"/>
    <w:rsid w:val="003B7524"/>
    <w:pPr>
      <w:tabs>
        <w:tab w:val="center" w:pos="4153"/>
        <w:tab w:val="right" w:pos="8306"/>
      </w:tabs>
    </w:pPr>
  </w:style>
  <w:style w:type="character" w:styleId="PageNumber">
    <w:name w:val="page number"/>
    <w:basedOn w:val="DefaultParagraphFont"/>
    <w:rsid w:val="003B7524"/>
  </w:style>
  <w:style w:type="paragraph" w:customStyle="1" w:styleId="Default1">
    <w:name w:val="Default1"/>
    <w:basedOn w:val="Normal"/>
    <w:next w:val="Normal"/>
    <w:rsid w:val="003B7524"/>
    <w:pPr>
      <w:autoSpaceDE w:val="0"/>
      <w:autoSpaceDN w:val="0"/>
      <w:adjustRightInd w:val="0"/>
      <w:spacing w:after="240"/>
    </w:pPr>
    <w:rPr>
      <w:rFonts w:ascii="Times New Roman" w:hAnsi="Times New Roman"/>
      <w:sz w:val="24"/>
      <w:lang w:eastAsia="en-AU"/>
    </w:rPr>
  </w:style>
  <w:style w:type="paragraph" w:styleId="Header">
    <w:name w:val="header"/>
    <w:aliases w:val="h"/>
    <w:basedOn w:val="Normal"/>
    <w:link w:val="HeaderChar"/>
    <w:uiPriority w:val="99"/>
    <w:rsid w:val="003B7524"/>
    <w:pPr>
      <w:tabs>
        <w:tab w:val="center" w:pos="4153"/>
        <w:tab w:val="right" w:pos="8306"/>
      </w:tabs>
    </w:pPr>
  </w:style>
  <w:style w:type="paragraph" w:styleId="BalloonText">
    <w:name w:val="Balloon Text"/>
    <w:basedOn w:val="Normal"/>
    <w:semiHidden/>
    <w:rsid w:val="00146C29"/>
    <w:rPr>
      <w:rFonts w:ascii="Tahoma" w:hAnsi="Tahoma" w:cs="Tahoma"/>
      <w:sz w:val="16"/>
      <w:szCs w:val="16"/>
    </w:rPr>
  </w:style>
  <w:style w:type="character" w:styleId="CommentReference">
    <w:name w:val="annotation reference"/>
    <w:uiPriority w:val="99"/>
    <w:semiHidden/>
    <w:rsid w:val="0009363E"/>
    <w:rPr>
      <w:sz w:val="16"/>
      <w:szCs w:val="16"/>
    </w:rPr>
  </w:style>
  <w:style w:type="paragraph" w:styleId="CommentText">
    <w:name w:val="annotation text"/>
    <w:basedOn w:val="Normal"/>
    <w:link w:val="CommentTextChar"/>
    <w:uiPriority w:val="99"/>
    <w:semiHidden/>
    <w:rsid w:val="0009363E"/>
    <w:rPr>
      <w:sz w:val="20"/>
      <w:szCs w:val="20"/>
    </w:rPr>
  </w:style>
  <w:style w:type="paragraph" w:styleId="CommentSubject">
    <w:name w:val="annotation subject"/>
    <w:basedOn w:val="CommentText"/>
    <w:next w:val="CommentText"/>
    <w:semiHidden/>
    <w:rsid w:val="0009363E"/>
    <w:rPr>
      <w:b/>
      <w:bCs/>
    </w:rPr>
  </w:style>
  <w:style w:type="paragraph" w:customStyle="1" w:styleId="Default">
    <w:name w:val="Default"/>
    <w:rsid w:val="00F7392E"/>
    <w:pPr>
      <w:autoSpaceDE w:val="0"/>
      <w:autoSpaceDN w:val="0"/>
      <w:adjustRightInd w:val="0"/>
    </w:pPr>
    <w:rPr>
      <w:color w:val="000000"/>
      <w:sz w:val="24"/>
      <w:szCs w:val="24"/>
    </w:rPr>
  </w:style>
  <w:style w:type="character" w:styleId="Hyperlink">
    <w:name w:val="Hyperlink"/>
    <w:rsid w:val="004D1BEF"/>
    <w:rPr>
      <w:color w:val="0000FF"/>
      <w:u w:val="single"/>
    </w:rPr>
  </w:style>
  <w:style w:type="paragraph" w:styleId="ListParagraph">
    <w:name w:val="List Paragraph"/>
    <w:aliases w:val="Dot Point Lvl 1,TOC style,lp1,Bullet OSM,Proposal Bullet List,Recommendation,List Paragraph1,List Paragraph11,List Paragraph111,L,F5 List Paragraph,Dot pt,CV text,Medium Grid 1 - Accent 21,Numbered Paragraph,No Spacing1,列出段落,FooterText"/>
    <w:basedOn w:val="Normal"/>
    <w:link w:val="ListParagraphChar"/>
    <w:uiPriority w:val="34"/>
    <w:qFormat/>
    <w:rsid w:val="00433B24"/>
    <w:pPr>
      <w:ind w:left="720"/>
    </w:pPr>
  </w:style>
  <w:style w:type="character" w:customStyle="1" w:styleId="CommentTextChar">
    <w:name w:val="Comment Text Char"/>
    <w:link w:val="CommentText"/>
    <w:semiHidden/>
    <w:rsid w:val="00190C40"/>
    <w:rPr>
      <w:rFonts w:ascii="CG Omega" w:hAnsi="CG Omega"/>
      <w:lang w:eastAsia="en-US"/>
    </w:rPr>
  </w:style>
  <w:style w:type="character" w:customStyle="1" w:styleId="Heading2Char">
    <w:name w:val="Heading 2 Char"/>
    <w:link w:val="Heading2"/>
    <w:uiPriority w:val="9"/>
    <w:rsid w:val="00DB32A9"/>
    <w:rPr>
      <w:b/>
      <w:bCs/>
      <w:color w:val="4F81BD"/>
      <w:sz w:val="26"/>
      <w:szCs w:val="26"/>
    </w:rPr>
  </w:style>
  <w:style w:type="table" w:styleId="TableGrid">
    <w:name w:val="Table Grid"/>
    <w:basedOn w:val="TableNormal"/>
    <w:rsid w:val="00DB32A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525E3E"/>
    <w:rPr>
      <w:color w:val="800080"/>
      <w:u w:val="single"/>
    </w:rPr>
  </w:style>
  <w:style w:type="character" w:customStyle="1" w:styleId="HeaderChar">
    <w:name w:val="Header Char"/>
    <w:aliases w:val="h Char"/>
    <w:link w:val="Header"/>
    <w:uiPriority w:val="99"/>
    <w:rsid w:val="00800032"/>
    <w:rPr>
      <w:rFonts w:ascii="CG Omega" w:hAnsi="CG Omega"/>
      <w:sz w:val="22"/>
      <w:szCs w:val="24"/>
      <w:lang w:eastAsia="en-US"/>
    </w:rPr>
  </w:style>
  <w:style w:type="paragraph" w:customStyle="1" w:styleId="TableText">
    <w:name w:val="TableText"/>
    <w:basedOn w:val="Normal"/>
    <w:qFormat/>
    <w:rsid w:val="00114B13"/>
    <w:pPr>
      <w:spacing w:before="120" w:after="120"/>
    </w:pPr>
    <w:rPr>
      <w:rFonts w:ascii="Arial" w:hAnsi="Arial" w:cs="Arial"/>
      <w:bCs/>
      <w:sz w:val="20"/>
      <w:szCs w:val="20"/>
    </w:rPr>
  </w:style>
  <w:style w:type="paragraph" w:styleId="Revision">
    <w:name w:val="Revision"/>
    <w:hidden/>
    <w:uiPriority w:val="99"/>
    <w:semiHidden/>
    <w:rsid w:val="006E645F"/>
    <w:rPr>
      <w:rFonts w:ascii="CG Omega" w:hAnsi="CG Omega"/>
      <w:sz w:val="22"/>
      <w:szCs w:val="24"/>
      <w:lang w:eastAsia="en-US"/>
    </w:rPr>
  </w:style>
  <w:style w:type="character" w:customStyle="1" w:styleId="Heading1Char">
    <w:name w:val="Heading 1 Char"/>
    <w:link w:val="Heading1"/>
    <w:rsid w:val="001A03E1"/>
    <w:rPr>
      <w:rFonts w:ascii="Cambria" w:eastAsia="Times New Roman" w:hAnsi="Cambria" w:cs="Times New Roman"/>
      <w:b/>
      <w:bCs/>
      <w:kern w:val="32"/>
      <w:sz w:val="32"/>
      <w:szCs w:val="32"/>
      <w:lang w:eastAsia="en-US"/>
    </w:rPr>
  </w:style>
  <w:style w:type="character" w:customStyle="1" w:styleId="CommentTextChar1">
    <w:name w:val="Comment Text Char1"/>
    <w:uiPriority w:val="99"/>
    <w:semiHidden/>
    <w:rsid w:val="001A03E1"/>
    <w:rPr>
      <w:sz w:val="20"/>
      <w:szCs w:val="20"/>
    </w:rPr>
  </w:style>
  <w:style w:type="paragraph" w:customStyle="1" w:styleId="paragraph0">
    <w:name w:val="paragraph"/>
    <w:basedOn w:val="Normal"/>
    <w:rsid w:val="004671D0"/>
    <w:pPr>
      <w:spacing w:before="100" w:beforeAutospacing="1" w:after="100" w:afterAutospacing="1"/>
    </w:pPr>
    <w:rPr>
      <w:rFonts w:ascii="Times New Roman" w:hAnsi="Times New Roman"/>
      <w:sz w:val="24"/>
      <w:lang w:eastAsia="en-AU"/>
    </w:rPr>
  </w:style>
  <w:style w:type="paragraph" w:customStyle="1" w:styleId="ItemHead">
    <w:name w:val="ItemHead"/>
    <w:aliases w:val="ih"/>
    <w:basedOn w:val="Normal"/>
    <w:next w:val="Normal"/>
    <w:rsid w:val="00684A1B"/>
    <w:pPr>
      <w:keepNext/>
      <w:keepLines/>
      <w:spacing w:before="220"/>
      <w:ind w:left="709" w:hanging="709"/>
    </w:pPr>
    <w:rPr>
      <w:rFonts w:ascii="Arial" w:hAnsi="Arial"/>
      <w:b/>
      <w:kern w:val="28"/>
      <w:sz w:val="24"/>
      <w:szCs w:val="20"/>
      <w:lang w:eastAsia="en-AU"/>
    </w:rPr>
  </w:style>
  <w:style w:type="character" w:customStyle="1" w:styleId="ListParagraphChar">
    <w:name w:val="List Paragraph Char"/>
    <w:aliases w:val="Dot Point Lvl 1 Char,TOC style Char,lp1 Char,Bullet OSM Char,Proposal Bullet List Char,Recommendation Char,List Paragraph1 Char,List Paragraph11 Char,List Paragraph111 Char,L Char,F5 List Paragraph Char,Dot pt Char,CV text Char"/>
    <w:link w:val="ListParagraph"/>
    <w:uiPriority w:val="34"/>
    <w:locked/>
    <w:rsid w:val="00AD08E1"/>
    <w:rPr>
      <w:rFonts w:ascii="CG Omega" w:hAnsi="CG Omega"/>
      <w:sz w:val="22"/>
      <w:szCs w:val="24"/>
      <w:lang w:eastAsia="en-US"/>
    </w:rPr>
  </w:style>
  <w:style w:type="paragraph" w:customStyle="1" w:styleId="Item">
    <w:name w:val="Item"/>
    <w:aliases w:val="i"/>
    <w:basedOn w:val="Normal"/>
    <w:next w:val="ItemHead"/>
    <w:rsid w:val="0013441F"/>
    <w:pPr>
      <w:keepLines/>
      <w:spacing w:before="80"/>
      <w:ind w:left="709"/>
    </w:pPr>
    <w:rPr>
      <w:rFonts w:ascii="Times New Roman" w:hAnsi="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01934">
      <w:bodyDiv w:val="1"/>
      <w:marLeft w:val="0"/>
      <w:marRight w:val="0"/>
      <w:marTop w:val="0"/>
      <w:marBottom w:val="0"/>
      <w:divBdr>
        <w:top w:val="none" w:sz="0" w:space="0" w:color="auto"/>
        <w:left w:val="none" w:sz="0" w:space="0" w:color="auto"/>
        <w:bottom w:val="none" w:sz="0" w:space="0" w:color="auto"/>
        <w:right w:val="none" w:sz="0" w:space="0" w:color="auto"/>
      </w:divBdr>
    </w:div>
    <w:div w:id="144856074">
      <w:bodyDiv w:val="1"/>
      <w:marLeft w:val="0"/>
      <w:marRight w:val="0"/>
      <w:marTop w:val="0"/>
      <w:marBottom w:val="0"/>
      <w:divBdr>
        <w:top w:val="none" w:sz="0" w:space="0" w:color="auto"/>
        <w:left w:val="none" w:sz="0" w:space="0" w:color="auto"/>
        <w:bottom w:val="none" w:sz="0" w:space="0" w:color="auto"/>
        <w:right w:val="none" w:sz="0" w:space="0" w:color="auto"/>
      </w:divBdr>
    </w:div>
    <w:div w:id="268126803">
      <w:bodyDiv w:val="1"/>
      <w:marLeft w:val="0"/>
      <w:marRight w:val="0"/>
      <w:marTop w:val="0"/>
      <w:marBottom w:val="0"/>
      <w:divBdr>
        <w:top w:val="none" w:sz="0" w:space="0" w:color="auto"/>
        <w:left w:val="none" w:sz="0" w:space="0" w:color="auto"/>
        <w:bottom w:val="none" w:sz="0" w:space="0" w:color="auto"/>
        <w:right w:val="none" w:sz="0" w:space="0" w:color="auto"/>
      </w:divBdr>
    </w:div>
    <w:div w:id="327440870">
      <w:bodyDiv w:val="1"/>
      <w:marLeft w:val="0"/>
      <w:marRight w:val="0"/>
      <w:marTop w:val="0"/>
      <w:marBottom w:val="0"/>
      <w:divBdr>
        <w:top w:val="none" w:sz="0" w:space="0" w:color="auto"/>
        <w:left w:val="none" w:sz="0" w:space="0" w:color="auto"/>
        <w:bottom w:val="none" w:sz="0" w:space="0" w:color="auto"/>
        <w:right w:val="none" w:sz="0" w:space="0" w:color="auto"/>
      </w:divBdr>
    </w:div>
    <w:div w:id="1297375660">
      <w:bodyDiv w:val="1"/>
      <w:marLeft w:val="0"/>
      <w:marRight w:val="0"/>
      <w:marTop w:val="0"/>
      <w:marBottom w:val="0"/>
      <w:divBdr>
        <w:top w:val="none" w:sz="0" w:space="0" w:color="auto"/>
        <w:left w:val="none" w:sz="0" w:space="0" w:color="auto"/>
        <w:bottom w:val="none" w:sz="0" w:space="0" w:color="auto"/>
        <w:right w:val="none" w:sz="0" w:space="0" w:color="auto"/>
      </w:divBdr>
    </w:div>
    <w:div w:id="1364942763">
      <w:bodyDiv w:val="1"/>
      <w:marLeft w:val="0"/>
      <w:marRight w:val="0"/>
      <w:marTop w:val="0"/>
      <w:marBottom w:val="0"/>
      <w:divBdr>
        <w:top w:val="none" w:sz="0" w:space="0" w:color="auto"/>
        <w:left w:val="none" w:sz="0" w:space="0" w:color="auto"/>
        <w:bottom w:val="none" w:sz="0" w:space="0" w:color="auto"/>
        <w:right w:val="none" w:sz="0" w:space="0" w:color="auto"/>
      </w:divBdr>
    </w:div>
    <w:div w:id="1506900722">
      <w:bodyDiv w:val="1"/>
      <w:marLeft w:val="0"/>
      <w:marRight w:val="0"/>
      <w:marTop w:val="0"/>
      <w:marBottom w:val="0"/>
      <w:divBdr>
        <w:top w:val="none" w:sz="0" w:space="0" w:color="auto"/>
        <w:left w:val="none" w:sz="0" w:space="0" w:color="auto"/>
        <w:bottom w:val="none" w:sz="0" w:space="0" w:color="auto"/>
        <w:right w:val="none" w:sz="0" w:space="0" w:color="auto"/>
      </w:divBdr>
    </w:div>
    <w:div w:id="1544056451">
      <w:bodyDiv w:val="1"/>
      <w:marLeft w:val="0"/>
      <w:marRight w:val="0"/>
      <w:marTop w:val="0"/>
      <w:marBottom w:val="0"/>
      <w:divBdr>
        <w:top w:val="none" w:sz="0" w:space="0" w:color="auto"/>
        <w:left w:val="none" w:sz="0" w:space="0" w:color="auto"/>
        <w:bottom w:val="none" w:sz="0" w:space="0" w:color="auto"/>
        <w:right w:val="none" w:sz="0" w:space="0" w:color="auto"/>
      </w:divBdr>
    </w:div>
    <w:div w:id="1561791439">
      <w:bodyDiv w:val="1"/>
      <w:marLeft w:val="0"/>
      <w:marRight w:val="0"/>
      <w:marTop w:val="0"/>
      <w:marBottom w:val="0"/>
      <w:divBdr>
        <w:top w:val="none" w:sz="0" w:space="0" w:color="auto"/>
        <w:left w:val="none" w:sz="0" w:space="0" w:color="auto"/>
        <w:bottom w:val="none" w:sz="0" w:space="0" w:color="auto"/>
        <w:right w:val="none" w:sz="0" w:space="0" w:color="auto"/>
      </w:divBdr>
    </w:div>
    <w:div w:id="1677001127">
      <w:bodyDiv w:val="1"/>
      <w:marLeft w:val="0"/>
      <w:marRight w:val="0"/>
      <w:marTop w:val="0"/>
      <w:marBottom w:val="0"/>
      <w:divBdr>
        <w:top w:val="none" w:sz="0" w:space="0" w:color="auto"/>
        <w:left w:val="none" w:sz="0" w:space="0" w:color="auto"/>
        <w:bottom w:val="none" w:sz="0" w:space="0" w:color="auto"/>
        <w:right w:val="none" w:sz="0" w:space="0" w:color="auto"/>
      </w:divBdr>
    </w:div>
    <w:div w:id="204479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AFEF0-1D65-4495-8145-3634DDBFE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1655</Words>
  <Characters>9440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AUSTRAC</Company>
  <LinksUpToDate>false</LinksUpToDate>
  <CharactersWithSpaces>11073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pjohns</dc:creator>
  <cp:lastModifiedBy>Hugh Dixon</cp:lastModifiedBy>
  <cp:revision>2</cp:revision>
  <cp:lastPrinted>2021-06-15T03:26:00Z</cp:lastPrinted>
  <dcterms:created xsi:type="dcterms:W3CDTF">2022-04-28T05:26:00Z</dcterms:created>
  <dcterms:modified xsi:type="dcterms:W3CDTF">2022-04-28T05:26:00Z</dcterms:modified>
</cp:coreProperties>
</file>