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rsidP="005B4056">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E63143" w:rsidP="00D16D78">
      <w:pPr>
        <w:keepNext/>
        <w:jc w:val="center"/>
        <w:outlineLvl w:val="0"/>
        <w:rPr>
          <w:rFonts w:ascii="Times New Roman" w:hAnsi="Times New Roman"/>
          <w:b/>
          <w:caps/>
          <w:sz w:val="26"/>
        </w:rPr>
      </w:pPr>
      <w:r>
        <w:rPr>
          <w:rFonts w:ascii="Times New Roman" w:hAnsi="Times New Roman"/>
          <w:b/>
          <w:caps/>
          <w:sz w:val="26"/>
        </w:rPr>
        <w:t>ACUTE LYMPHOBLASTIC LEUKAEMIA</w:t>
      </w:r>
      <w:r w:rsidR="00602589">
        <w:rPr>
          <w:rFonts w:ascii="Times New Roman" w:hAnsi="Times New Roman"/>
          <w:b/>
          <w:caps/>
          <w:sz w:val="26"/>
        </w:rPr>
        <w:t>/LYMPHOBLASTIC LYMPHOMA</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602589">
        <w:rPr>
          <w:rFonts w:ascii="Times New Roman" w:hAnsi="Times New Roman"/>
          <w:b/>
          <w:sz w:val="26"/>
          <w:szCs w:val="26"/>
        </w:rPr>
        <w:t>59</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E63143">
        <w:rPr>
          <w:rFonts w:ascii="Times New Roman" w:hAnsi="Times New Roman"/>
          <w:b/>
          <w:sz w:val="26"/>
          <w:szCs w:val="26"/>
        </w:rPr>
        <w:t>2022</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E63143">
        <w:rPr>
          <w:rFonts w:ascii="Times New Roman" w:hAnsi="Times New Roman"/>
          <w:b/>
          <w:i/>
        </w:rPr>
        <w:t>acute lymphoblastic leukaemia</w:t>
      </w:r>
      <w:r w:rsidR="00602589">
        <w:rPr>
          <w:rFonts w:ascii="Times New Roman" w:hAnsi="Times New Roman"/>
          <w:b/>
          <w:i/>
        </w:rPr>
        <w:t>/lymphoblastic lymphoma</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602589">
        <w:rPr>
          <w:rFonts w:ascii="Times New Roman" w:hAnsi="Times New Roman"/>
        </w:rPr>
        <w:t>59</w:t>
      </w:r>
      <w:r w:rsidR="009C0264">
        <w:rPr>
          <w:rFonts w:ascii="Times New Roman" w:hAnsi="Times New Roman"/>
        </w:rPr>
        <w:t xml:space="preserve"> of </w:t>
      </w:r>
      <w:r w:rsidR="00602589">
        <w:rPr>
          <w:rFonts w:ascii="Times New Roman" w:hAnsi="Times New Roman"/>
        </w:rPr>
        <w:t>2022</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E63143">
        <w:rPr>
          <w:rFonts w:ascii="Times New Roman" w:hAnsi="Times New Roman"/>
          <w:b/>
        </w:rPr>
        <w:t>acute lymphoblastic leukaemia/</w:t>
      </w:r>
      <w:r w:rsidR="00602589">
        <w:rPr>
          <w:rFonts w:ascii="Times New Roman" w:hAnsi="Times New Roman"/>
          <w:b/>
        </w:rPr>
        <w:t>lymphoblastic lymphoma</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602589">
        <w:rPr>
          <w:rFonts w:ascii="Times New Roman" w:hAnsi="Times New Roman"/>
        </w:rPr>
        <w:t>59</w:t>
      </w:r>
      <w:r w:rsidR="00AB7114">
        <w:rPr>
          <w:rFonts w:ascii="Times New Roman" w:hAnsi="Times New Roman"/>
        </w:rPr>
        <w:t xml:space="preserve"> of </w:t>
      </w:r>
      <w:r w:rsidR="00602589">
        <w:rPr>
          <w:rFonts w:ascii="Times New Roman" w:hAnsi="Times New Roman"/>
        </w:rPr>
        <w:t>2022</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E63143">
        <w:rPr>
          <w:rFonts w:ascii="Times New Roman" w:hAnsi="Times New Roman"/>
          <w:b/>
        </w:rPr>
        <w:t>acute lymphoblastic leukaemia/</w:t>
      </w:r>
      <w:r w:rsidR="00602589">
        <w:rPr>
          <w:rFonts w:ascii="Times New Roman" w:hAnsi="Times New Roman"/>
          <w:b/>
        </w:rPr>
        <w:t>lymphoblastic lymphoma</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602589">
        <w:rPr>
          <w:rFonts w:ascii="Times New Roman" w:hAnsi="Times New Roman"/>
        </w:rPr>
        <w:t>33</w:t>
      </w:r>
      <w:r w:rsidR="003C02B4">
        <w:rPr>
          <w:rFonts w:ascii="Times New Roman" w:hAnsi="Times New Roman"/>
        </w:rPr>
        <w:t xml:space="preserve"> of </w:t>
      </w:r>
      <w:r w:rsidR="009C0264">
        <w:rPr>
          <w:rFonts w:ascii="Times New Roman" w:hAnsi="Times New Roman"/>
        </w:rPr>
        <w:t>20</w:t>
      </w:r>
      <w:r w:rsidR="00602589">
        <w:rPr>
          <w:rFonts w:ascii="Times New Roman" w:hAnsi="Times New Roman"/>
        </w:rPr>
        <w:t>2</w:t>
      </w:r>
      <w:r w:rsidR="009C0264">
        <w:rPr>
          <w:rFonts w:ascii="Times New Roman" w:hAnsi="Times New Roman"/>
        </w:rPr>
        <w:t>1</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602589">
        <w:rPr>
          <w:rFonts w:ascii="Times New Roman" w:hAnsi="Times New Roman"/>
        </w:rPr>
        <w:t>2021L00215</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E63143" w:rsidP="00321527">
      <w:pPr>
        <w:numPr>
          <w:ilvl w:val="0"/>
          <w:numId w:val="32"/>
        </w:numPr>
        <w:spacing w:after="120"/>
        <w:ind w:left="924" w:hanging="357"/>
        <w:jc w:val="both"/>
        <w:rPr>
          <w:rFonts w:ascii="Times New Roman" w:hAnsi="Times New Roman"/>
        </w:rPr>
      </w:pPr>
      <w:r>
        <w:rPr>
          <w:rFonts w:ascii="Times New Roman" w:hAnsi="Times New Roman"/>
        </w:rPr>
        <w:t xml:space="preserve">inserting a </w:t>
      </w:r>
      <w:r w:rsidR="00602589">
        <w:rPr>
          <w:rFonts w:ascii="Times New Roman" w:hAnsi="Times New Roman"/>
        </w:rPr>
        <w:t>definition of '8-hour time-weighted average</w:t>
      </w:r>
      <w:r w:rsidR="00321527">
        <w:rPr>
          <w:rFonts w:ascii="Times New Roman" w:hAnsi="Times New Roman"/>
        </w:rPr>
        <w:t xml:space="preserve">' in </w:t>
      </w:r>
      <w:r w:rsidR="00602589">
        <w:rPr>
          <w:rFonts w:ascii="Times New Roman" w:hAnsi="Times New Roman"/>
        </w:rPr>
        <w:t xml:space="preserve">the </w:t>
      </w:r>
      <w:r w:rsidR="00321527">
        <w:rPr>
          <w:rFonts w:ascii="Times New Roman" w:hAnsi="Times New Roman"/>
        </w:rPr>
        <w:t>Schedule</w:t>
      </w:r>
      <w:r w:rsidR="00602589">
        <w:rPr>
          <w:rFonts w:ascii="Times New Roman" w:hAnsi="Times New Roman"/>
        </w:rPr>
        <w:t xml:space="preserve"> </w:t>
      </w:r>
      <w:r w:rsidR="00E61B5B">
        <w:rPr>
          <w:rFonts w:ascii="Times New Roman" w:hAnsi="Times New Roman"/>
        </w:rPr>
        <w:t> </w:t>
      </w:r>
      <w:r w:rsidR="00321527">
        <w:rPr>
          <w:rFonts w:ascii="Times New Roman" w:hAnsi="Times New Roman"/>
        </w:rPr>
        <w:t>1</w:t>
      </w:r>
      <w:r w:rsidR="00E61B5B">
        <w:rPr>
          <w:rFonts w:ascii="Times New Roman" w:hAnsi="Times New Roman"/>
        </w:rPr>
        <w:t> </w:t>
      </w:r>
      <w:r w:rsidR="00321527">
        <w:rPr>
          <w:rFonts w:ascii="Times New Roman" w:hAnsi="Times New Roman"/>
        </w:rPr>
        <w:t>–</w:t>
      </w:r>
      <w:r w:rsidR="00E61B5B">
        <w:rPr>
          <w:rFonts w:ascii="Times New Roman" w:hAnsi="Times New Roman"/>
        </w:rPr>
        <w:t> </w:t>
      </w:r>
      <w:r w:rsidR="00321527">
        <w:rPr>
          <w:rFonts w:ascii="Times New Roman" w:hAnsi="Times New Roman"/>
        </w:rPr>
        <w:t>Dictionary</w:t>
      </w:r>
      <w:r>
        <w:rPr>
          <w:rFonts w:ascii="Times New Roman" w:hAnsi="Times New Roman"/>
        </w:rPr>
        <w:t>; and</w:t>
      </w:r>
    </w:p>
    <w:p w:rsidR="00602589" w:rsidRPr="00321527" w:rsidRDefault="00E63143" w:rsidP="00602589">
      <w:pPr>
        <w:numPr>
          <w:ilvl w:val="0"/>
          <w:numId w:val="32"/>
        </w:numPr>
        <w:spacing w:after="120"/>
        <w:ind w:left="924" w:hanging="357"/>
        <w:jc w:val="both"/>
        <w:rPr>
          <w:rFonts w:ascii="Times New Roman" w:hAnsi="Times New Roman"/>
        </w:rPr>
      </w:pPr>
      <w:proofErr w:type="gramStart"/>
      <w:r>
        <w:rPr>
          <w:rFonts w:ascii="Times New Roman" w:hAnsi="Times New Roman"/>
        </w:rPr>
        <w:t>inserting</w:t>
      </w:r>
      <w:proofErr w:type="gramEnd"/>
      <w:r>
        <w:rPr>
          <w:rFonts w:ascii="Times New Roman" w:hAnsi="Times New Roman"/>
        </w:rPr>
        <w:t xml:space="preserve"> a </w:t>
      </w:r>
      <w:r w:rsidR="00602589">
        <w:rPr>
          <w:rFonts w:ascii="Times New Roman" w:hAnsi="Times New Roman"/>
        </w:rPr>
        <w:t>note to the definition of 'being exposed to benzene as specified' in the Schedule 1 – Dictionary.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w:t>
      </w:r>
      <w:r w:rsidR="00602589">
        <w:rPr>
          <w:rFonts w:ascii="Times New Roman" w:hAnsi="Times New Roman"/>
        </w:rPr>
        <w:t xml:space="preserve">an investigation in relation to the definition </w:t>
      </w:r>
      <w:r w:rsidR="00E63143">
        <w:rPr>
          <w:rFonts w:ascii="Times New Roman" w:hAnsi="Times New Roman"/>
        </w:rPr>
        <w:t>of '</w:t>
      </w:r>
      <w:r w:rsidR="00602589">
        <w:rPr>
          <w:rFonts w:ascii="Times New Roman" w:hAnsi="Times New Roman"/>
        </w:rPr>
        <w:t>8-hour time-weighted average</w:t>
      </w:r>
      <w:r w:rsidR="00CA60AC">
        <w:rPr>
          <w:rFonts w:ascii="Times New Roman" w:hAnsi="Times New Roman"/>
        </w:rPr>
        <w:t xml:space="preserve"> (TWA)</w:t>
      </w:r>
      <w:r w:rsidR="00E63143">
        <w:rPr>
          <w:rFonts w:ascii="Times New Roman" w:hAnsi="Times New Roman"/>
        </w:rPr>
        <w:t>'</w:t>
      </w:r>
      <w:r w:rsidR="00602589">
        <w:rPr>
          <w:rFonts w:ascii="Times New Roman" w:hAnsi="Times New Roman"/>
        </w:rPr>
        <w:t xml:space="preserve"> </w:t>
      </w:r>
      <w:r w:rsidR="00E63143">
        <w:rPr>
          <w:rFonts w:ascii="Times New Roman" w:hAnsi="Times New Roman"/>
        </w:rPr>
        <w:t>in</w:t>
      </w:r>
      <w:r w:rsidR="00C25062">
        <w:rPr>
          <w:rFonts w:ascii="Times New Roman" w:hAnsi="Times New Roman"/>
        </w:rPr>
        <w:t xml:space="preserve"> </w:t>
      </w:r>
      <w:r w:rsidR="00E63143">
        <w:rPr>
          <w:rFonts w:ascii="Times New Roman" w:hAnsi="Times New Roman"/>
        </w:rPr>
        <w:t>acute lymphoblastic leukaemia/</w:t>
      </w:r>
      <w:r w:rsidR="00602589">
        <w:rPr>
          <w:rFonts w:ascii="Times New Roman" w:hAnsi="Times New Roman"/>
        </w:rPr>
        <w:t>lymphoblastic lymphoma</w:t>
      </w:r>
      <w:r>
        <w:rPr>
          <w:rFonts w:ascii="Times New Roman" w:hAnsi="Times New Roman"/>
        </w:rPr>
        <w:t xml:space="preserve"> in the Government Notices Gazette of </w:t>
      </w:r>
      <w:r w:rsidR="00602589">
        <w:rPr>
          <w:rFonts w:ascii="Times New Roman" w:hAnsi="Times New Roman"/>
        </w:rPr>
        <w:t>4 May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602589">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C25062">
        <w:rPr>
          <w:rFonts w:ascii="Times New Roman" w:hAnsi="Times New Roman"/>
        </w:rPr>
        <w:t xml:space="preserve">to </w:t>
      </w:r>
      <w:r w:rsidR="00602589">
        <w:rPr>
          <w:rFonts w:ascii="Times New Roman" w:hAnsi="Times New Roman"/>
        </w:rPr>
        <w:t xml:space="preserve">the </w:t>
      </w:r>
      <w:r w:rsidR="00CA60AC">
        <w:rPr>
          <w:rFonts w:ascii="Times New Roman" w:hAnsi="Times New Roman"/>
        </w:rPr>
        <w:t>definition of '</w:t>
      </w:r>
      <w:r w:rsidR="00602589">
        <w:rPr>
          <w:rFonts w:ascii="Times New Roman" w:hAnsi="Times New Roman"/>
        </w:rPr>
        <w:t>8-hour time-weighted average</w:t>
      </w:r>
      <w:r w:rsidR="00CA60AC">
        <w:rPr>
          <w:rFonts w:ascii="Times New Roman" w:hAnsi="Times New Roman"/>
        </w:rPr>
        <w:t xml:space="preserve"> (TWA)' in</w:t>
      </w:r>
      <w:r w:rsidR="00C25062">
        <w:rPr>
          <w:rFonts w:ascii="Times New Roman" w:hAnsi="Times New Roman"/>
        </w:rPr>
        <w:t xml:space="preserve"> </w:t>
      </w:r>
      <w:r w:rsidR="00CA60AC">
        <w:rPr>
          <w:rFonts w:ascii="Times New Roman" w:hAnsi="Times New Roman"/>
        </w:rPr>
        <w:t>acute lymphoblastic leukaemia</w:t>
      </w:r>
      <w:r w:rsidR="00602589">
        <w:rPr>
          <w:rFonts w:ascii="Times New Roman" w:hAnsi="Times New Roman"/>
        </w:rPr>
        <w:t>/lymphoblastic lymphoma</w:t>
      </w:r>
      <w:r>
        <w:rPr>
          <w:rFonts w:ascii="Times New Roman" w:hAnsi="Times New Roman"/>
        </w:rPr>
        <w:t xml:space="preserve"> as advertised in the Government Notices Gazette of </w:t>
      </w:r>
      <w:r w:rsidR="00602589">
        <w:rPr>
          <w:rFonts w:ascii="Times New Roman" w:hAnsi="Times New Roman"/>
        </w:rPr>
        <w:t>4 May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602589">
        <w:rPr>
          <w:rFonts w:ascii="Times New Roman" w:hAnsi="Times New Roman"/>
          <w:b/>
          <w:szCs w:val="24"/>
        </w:rPr>
        <w:t>t Statement of Principles No. 59 of 2022</w:t>
      </w:r>
    </w:p>
    <w:p w:rsidR="006E342E" w:rsidRDefault="00477FB8" w:rsidP="00CA60AC">
      <w:pPr>
        <w:spacing w:before="120" w:after="120"/>
        <w:ind w:left="3969" w:hanging="3969"/>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A60AC">
        <w:rPr>
          <w:rFonts w:ascii="Times New Roman" w:hAnsi="Times New Roman"/>
          <w:b/>
          <w:szCs w:val="24"/>
        </w:rPr>
        <w:t>Acute lymphoblastic leukaemia</w:t>
      </w:r>
      <w:r w:rsidR="00602589">
        <w:rPr>
          <w:rFonts w:ascii="Times New Roman" w:hAnsi="Times New Roman"/>
          <w:b/>
          <w:szCs w:val="24"/>
        </w:rPr>
        <w:t>/lymphoblastic lymphoma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CA60AC">
        <w:rPr>
          <w:rFonts w:ascii="Times New Roman" w:hAnsi="Times New Roman"/>
          <w:szCs w:val="24"/>
        </w:rPr>
        <w:t>acute lymphoblastic leukaemia/</w:t>
      </w:r>
      <w:r w:rsidR="00602589">
        <w:rPr>
          <w:rFonts w:ascii="Times New Roman" w:hAnsi="Times New Roman"/>
          <w:szCs w:val="24"/>
        </w:rPr>
        <w:t>lymphoblastic lymphoma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602589">
        <w:rPr>
          <w:rFonts w:ascii="Times New Roman" w:hAnsi="Times New Roman"/>
          <w:szCs w:val="24"/>
        </w:rPr>
        <w:t xml:space="preserve"> and</w:t>
      </w:r>
    </w:p>
    <w:p w:rsidR="006E342E" w:rsidRPr="00602589" w:rsidRDefault="00602589" w:rsidP="00602589">
      <w:pPr>
        <w:numPr>
          <w:ilvl w:val="0"/>
          <w:numId w:val="24"/>
        </w:numPr>
        <w:spacing w:before="120" w:after="120"/>
        <w:jc w:val="both"/>
        <w:rPr>
          <w:rFonts w:ascii="Times New Roman" w:hAnsi="Times New Roman"/>
          <w:szCs w:val="24"/>
        </w:rPr>
      </w:pPr>
      <w:proofErr w:type="gramStart"/>
      <w:r>
        <w:rPr>
          <w:rFonts w:ascii="Times New Roman" w:hAnsi="Times New Roman"/>
          <w:szCs w:val="24"/>
        </w:rPr>
        <w:t>amends</w:t>
      </w:r>
      <w:proofErr w:type="gramEnd"/>
      <w:r>
        <w:rPr>
          <w:rFonts w:ascii="Times New Roman" w:hAnsi="Times New Roman"/>
          <w:szCs w:val="24"/>
        </w:rPr>
        <w:t xml:space="preserve"> Instrument No. 33 of 2021</w:t>
      </w:r>
      <w:r w:rsidR="00A87D6F">
        <w:rPr>
          <w:rFonts w:ascii="Times New Roman" w:hAnsi="Times New Roman"/>
          <w:szCs w:val="24"/>
        </w:rPr>
        <w:t xml:space="preserve"> </w:t>
      </w:r>
      <w:r>
        <w:rPr>
          <w:rFonts w:ascii="Times New Roman" w:hAnsi="Times New Roman"/>
          <w:szCs w:val="24"/>
        </w:rPr>
        <w:t>to ensure it better reflects</w:t>
      </w:r>
      <w:r w:rsidR="00477FB8" w:rsidRPr="00602589">
        <w:rPr>
          <w:rFonts w:ascii="Times New Roman" w:hAnsi="Times New Roman"/>
          <w:szCs w:val="24"/>
        </w:rPr>
        <w:t xml:space="preserve"> the available sound medical-scientific evidence concerning </w:t>
      </w:r>
      <w:r w:rsidR="00CA60AC">
        <w:rPr>
          <w:rFonts w:ascii="Times New Roman" w:hAnsi="Times New Roman"/>
          <w:szCs w:val="24"/>
        </w:rPr>
        <w:t>acute lymphoblastic leukaemia</w:t>
      </w:r>
      <w:r w:rsidRPr="00602589">
        <w:rPr>
          <w:rFonts w:ascii="Times New Roman" w:hAnsi="Times New Roman"/>
          <w:szCs w:val="24"/>
        </w:rPr>
        <w:t>/</w:t>
      </w:r>
      <w:bookmarkStart w:id="1" w:name="_GoBack"/>
      <w:bookmarkEnd w:id="1"/>
      <w:r w:rsidRPr="00602589">
        <w:rPr>
          <w:rFonts w:ascii="Times New Roman" w:hAnsi="Times New Roman"/>
          <w:szCs w:val="24"/>
        </w:rPr>
        <w:t>lymphoblastic lymphoma</w:t>
      </w:r>
      <w:r w:rsidR="00477FB8" w:rsidRPr="00602589">
        <w:rPr>
          <w:rFonts w:ascii="Times New Roman" w:hAnsi="Times New Roman"/>
          <w:szCs w:val="24"/>
        </w:rPr>
        <w:t xml:space="preserve">.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A60AC">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A60A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A7DEC"/>
    <w:rsid w:val="00321527"/>
    <w:rsid w:val="00337342"/>
    <w:rsid w:val="003C02B4"/>
    <w:rsid w:val="004057A0"/>
    <w:rsid w:val="00455E3B"/>
    <w:rsid w:val="00477FB8"/>
    <w:rsid w:val="0050406F"/>
    <w:rsid w:val="00580732"/>
    <w:rsid w:val="005A0226"/>
    <w:rsid w:val="005B4056"/>
    <w:rsid w:val="00602589"/>
    <w:rsid w:val="006030CA"/>
    <w:rsid w:val="006E342E"/>
    <w:rsid w:val="006E445B"/>
    <w:rsid w:val="00710EB0"/>
    <w:rsid w:val="00835635"/>
    <w:rsid w:val="008748B0"/>
    <w:rsid w:val="009C0264"/>
    <w:rsid w:val="00A770CB"/>
    <w:rsid w:val="00A805C6"/>
    <w:rsid w:val="00A87D6F"/>
    <w:rsid w:val="00A9572B"/>
    <w:rsid w:val="00AB7114"/>
    <w:rsid w:val="00AF4E74"/>
    <w:rsid w:val="00C25062"/>
    <w:rsid w:val="00C57F86"/>
    <w:rsid w:val="00CA60AC"/>
    <w:rsid w:val="00D16D78"/>
    <w:rsid w:val="00D83A44"/>
    <w:rsid w:val="00DC1EAC"/>
    <w:rsid w:val="00E04235"/>
    <w:rsid w:val="00E61B5B"/>
    <w:rsid w:val="00E63143"/>
    <w:rsid w:val="00EB35E7"/>
    <w:rsid w:val="00EF5DD1"/>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FEA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2022-04-29T02:25:00Z</dcterms:created>
  <dcterms:modified xsi:type="dcterms:W3CDTF">2022-04-29T05:34:00Z</dcterms:modified>
</cp:coreProperties>
</file>