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097CA" w14:textId="4C90443B" w:rsidR="00F15472" w:rsidRPr="009A4D20" w:rsidRDefault="1D720B21" w:rsidP="005E4ED6">
      <w:pPr>
        <w:pStyle w:val="LDClauseHeading"/>
        <w:spacing w:before="0"/>
        <w:rPr>
          <w:rFonts w:cs="Arial"/>
        </w:rPr>
      </w:pPr>
      <w:r w:rsidRPr="009A4D20">
        <w:rPr>
          <w:rFonts w:cs="Arial"/>
        </w:rPr>
        <w:t>Explanatory Statement</w:t>
      </w:r>
    </w:p>
    <w:p w14:paraId="1C0509C8" w14:textId="77777777" w:rsidR="00194982" w:rsidRPr="009A4D20" w:rsidRDefault="4999F034" w:rsidP="005E4ED6">
      <w:pPr>
        <w:pStyle w:val="Hcl"/>
        <w:ind w:left="0" w:firstLine="0"/>
      </w:pPr>
      <w:r w:rsidRPr="009A4D20">
        <w:t xml:space="preserve">Civil Aviation Safety Regulations </w:t>
      </w:r>
      <w:r w:rsidR="2E5FC29C" w:rsidRPr="009A4D20">
        <w:t>1998</w:t>
      </w:r>
    </w:p>
    <w:p w14:paraId="5DCA5B3E" w14:textId="145EE566" w:rsidR="00853E3E" w:rsidRPr="009A4D20" w:rsidRDefault="00853E3E" w:rsidP="00853E3E">
      <w:pPr>
        <w:pStyle w:val="Hcl"/>
        <w:ind w:left="0" w:firstLine="0"/>
      </w:pPr>
      <w:r w:rsidRPr="009A4D20">
        <w:t>CASA EX41/22 – Amendment of CASA EX82/21 – Instrument (No. 1) 2022</w:t>
      </w:r>
    </w:p>
    <w:p w14:paraId="4A9DE1D3" w14:textId="7572F2EF" w:rsidR="00A827E1" w:rsidRPr="009A4D20" w:rsidRDefault="1D720B21" w:rsidP="005E4ED6">
      <w:pPr>
        <w:spacing w:before="360"/>
        <w:rPr>
          <w:rFonts w:ascii="Times New Roman" w:hAnsi="Times New Roman"/>
          <w:b/>
          <w:bCs/>
        </w:rPr>
      </w:pPr>
      <w:r w:rsidRPr="009A4D20">
        <w:rPr>
          <w:rFonts w:ascii="Times New Roman" w:hAnsi="Times New Roman"/>
          <w:b/>
          <w:bCs/>
        </w:rPr>
        <w:t>Purpose</w:t>
      </w:r>
    </w:p>
    <w:p w14:paraId="0EF390CA" w14:textId="62C50684" w:rsidR="001B0736" w:rsidRPr="009A4D20" w:rsidRDefault="78633451" w:rsidP="005E4ED6">
      <w:pPr>
        <w:rPr>
          <w:rFonts w:ascii="Times New Roman" w:hAnsi="Times New Roman"/>
        </w:rPr>
      </w:pPr>
      <w:r w:rsidRPr="009A4D20">
        <w:rPr>
          <w:rFonts w:ascii="Times New Roman" w:hAnsi="Times New Roman"/>
        </w:rPr>
        <w:t xml:space="preserve">The purpose of </w:t>
      </w:r>
      <w:r w:rsidR="00002A1C" w:rsidRPr="009A4D20">
        <w:rPr>
          <w:i/>
          <w:iCs/>
        </w:rPr>
        <w:t>CASA EX41/22 – Amendment of CASA EX82/21 – Instrument (No. 1) 2022</w:t>
      </w:r>
      <w:r w:rsidR="00002A1C" w:rsidRPr="009A4D20">
        <w:t xml:space="preserve"> (the </w:t>
      </w:r>
      <w:r w:rsidR="00002A1C" w:rsidRPr="009A4D20">
        <w:rPr>
          <w:b/>
          <w:bCs/>
          <w:i/>
          <w:iCs/>
        </w:rPr>
        <w:t>exemptions instrument</w:t>
      </w:r>
      <w:r w:rsidR="00002A1C" w:rsidRPr="009A4D20">
        <w:t xml:space="preserve">) </w:t>
      </w:r>
      <w:r w:rsidRPr="009A4D20">
        <w:rPr>
          <w:rFonts w:ascii="Times New Roman" w:hAnsi="Times New Roman"/>
        </w:rPr>
        <w:t>is</w:t>
      </w:r>
      <w:r w:rsidR="00CF61C4" w:rsidRPr="009A4D20">
        <w:rPr>
          <w:rFonts w:ascii="Times New Roman" w:hAnsi="Times New Roman"/>
        </w:rPr>
        <w:t xml:space="preserve"> princi</w:t>
      </w:r>
      <w:r w:rsidR="0095211C" w:rsidRPr="009A4D20">
        <w:rPr>
          <w:rFonts w:ascii="Times New Roman" w:hAnsi="Times New Roman"/>
        </w:rPr>
        <w:t>pa</w:t>
      </w:r>
      <w:r w:rsidR="00CF61C4" w:rsidRPr="009A4D20">
        <w:rPr>
          <w:rFonts w:ascii="Times New Roman" w:hAnsi="Times New Roman"/>
        </w:rPr>
        <w:t>lly</w:t>
      </w:r>
      <w:r w:rsidRPr="009A4D20">
        <w:rPr>
          <w:rFonts w:ascii="Times New Roman" w:hAnsi="Times New Roman"/>
        </w:rPr>
        <w:t xml:space="preserve"> to </w:t>
      </w:r>
      <w:r w:rsidR="1413F428" w:rsidRPr="009A4D20">
        <w:rPr>
          <w:rFonts w:ascii="Times New Roman" w:hAnsi="Times New Roman"/>
        </w:rPr>
        <w:t xml:space="preserve">insert </w:t>
      </w:r>
      <w:r w:rsidR="003935B9" w:rsidRPr="009A4D20">
        <w:rPr>
          <w:rFonts w:ascii="Times New Roman" w:hAnsi="Times New Roman"/>
        </w:rPr>
        <w:t>2</w:t>
      </w:r>
      <w:r w:rsidR="49968474" w:rsidRPr="009A4D20">
        <w:rPr>
          <w:rFonts w:ascii="Times New Roman" w:hAnsi="Times New Roman"/>
        </w:rPr>
        <w:t xml:space="preserve"> </w:t>
      </w:r>
      <w:r w:rsidR="1413F428" w:rsidRPr="009A4D20">
        <w:rPr>
          <w:rFonts w:ascii="Times New Roman" w:hAnsi="Times New Roman"/>
        </w:rPr>
        <w:t xml:space="preserve">additional </w:t>
      </w:r>
      <w:r w:rsidR="003935B9" w:rsidRPr="009A4D20">
        <w:rPr>
          <w:rFonts w:ascii="Times New Roman" w:hAnsi="Times New Roman"/>
        </w:rPr>
        <w:t xml:space="preserve">exemptions </w:t>
      </w:r>
      <w:r w:rsidR="001B0736" w:rsidRPr="009A4D20">
        <w:rPr>
          <w:rFonts w:ascii="Times New Roman" w:hAnsi="Times New Roman"/>
        </w:rPr>
        <w:t>in</w:t>
      </w:r>
      <w:r w:rsidR="49968474" w:rsidRPr="009A4D20">
        <w:rPr>
          <w:rFonts w:ascii="Times New Roman" w:hAnsi="Times New Roman"/>
        </w:rPr>
        <w:t>to</w:t>
      </w:r>
      <w:r w:rsidR="2E392686" w:rsidRPr="009A4D20">
        <w:rPr>
          <w:rFonts w:ascii="Times New Roman" w:hAnsi="Times New Roman"/>
        </w:rPr>
        <w:t xml:space="preserve"> </w:t>
      </w:r>
      <w:r w:rsidR="001B0736" w:rsidRPr="009A4D20">
        <w:rPr>
          <w:i/>
        </w:rPr>
        <w:t>CASA EX82/21 – Part 119 of CASR – Supplementary Exemptions and Directions Instrument 2021</w:t>
      </w:r>
      <w:r w:rsidR="001B0736" w:rsidRPr="009A4D20">
        <w:t xml:space="preserve"> </w:t>
      </w:r>
      <w:r w:rsidR="001B0736" w:rsidRPr="009A4D20">
        <w:rPr>
          <w:iCs/>
        </w:rPr>
        <w:t>(</w:t>
      </w:r>
      <w:r w:rsidR="001B0736" w:rsidRPr="009A4D20">
        <w:rPr>
          <w:b/>
          <w:bCs/>
          <w:i/>
        </w:rPr>
        <w:t>CASA EX82/21</w:t>
      </w:r>
      <w:r w:rsidR="001B0736" w:rsidRPr="009A4D20">
        <w:rPr>
          <w:iCs/>
        </w:rPr>
        <w:t xml:space="preserve"> </w:t>
      </w:r>
      <w:r w:rsidR="009B1EBC" w:rsidRPr="009A4D20">
        <w:rPr>
          <w:rFonts w:ascii="Times New Roman" w:hAnsi="Times New Roman"/>
        </w:rPr>
        <w:t xml:space="preserve">or </w:t>
      </w:r>
      <w:r w:rsidR="009B1EBC" w:rsidRPr="009A4D20">
        <w:t xml:space="preserve">the </w:t>
      </w:r>
      <w:r w:rsidR="009B1EBC" w:rsidRPr="009A4D20">
        <w:rPr>
          <w:b/>
          <w:bCs/>
          <w:i/>
          <w:iCs/>
        </w:rPr>
        <w:t>principal exemptions instrument</w:t>
      </w:r>
      <w:r w:rsidR="54EC24F9" w:rsidRPr="009A4D20">
        <w:rPr>
          <w:rFonts w:ascii="Times New Roman" w:hAnsi="Times New Roman"/>
        </w:rPr>
        <w:t>)</w:t>
      </w:r>
      <w:r w:rsidR="1A7D86D9" w:rsidRPr="009A4D20">
        <w:rPr>
          <w:rFonts w:ascii="Times New Roman" w:hAnsi="Times New Roman"/>
        </w:rPr>
        <w:t xml:space="preserve">. </w:t>
      </w:r>
      <w:r w:rsidR="54EC24F9" w:rsidRPr="009A4D20">
        <w:rPr>
          <w:rFonts w:ascii="Times New Roman" w:hAnsi="Times New Roman"/>
        </w:rPr>
        <w:t>CASA</w:t>
      </w:r>
      <w:r w:rsidR="002C1F2A" w:rsidRPr="009A4D20">
        <w:rPr>
          <w:rFonts w:ascii="Times New Roman" w:hAnsi="Times New Roman"/>
        </w:rPr>
        <w:t> </w:t>
      </w:r>
      <w:r w:rsidR="54EC24F9" w:rsidRPr="009A4D20">
        <w:rPr>
          <w:rFonts w:ascii="Times New Roman" w:hAnsi="Times New Roman"/>
        </w:rPr>
        <w:t>EX8</w:t>
      </w:r>
      <w:r w:rsidR="001B0736" w:rsidRPr="009A4D20">
        <w:rPr>
          <w:rFonts w:ascii="Times New Roman" w:hAnsi="Times New Roman"/>
        </w:rPr>
        <w:t>2</w:t>
      </w:r>
      <w:r w:rsidR="54EC24F9" w:rsidRPr="009A4D20">
        <w:rPr>
          <w:rFonts w:ascii="Times New Roman" w:hAnsi="Times New Roman"/>
        </w:rPr>
        <w:t xml:space="preserve">/21 </w:t>
      </w:r>
      <w:r w:rsidR="182AE19D" w:rsidRPr="009A4D20">
        <w:rPr>
          <w:rFonts w:ascii="Times New Roman" w:hAnsi="Times New Roman"/>
        </w:rPr>
        <w:t xml:space="preserve">makes a number of </w:t>
      </w:r>
      <w:r w:rsidR="2E392686" w:rsidRPr="009A4D20">
        <w:rPr>
          <w:rFonts w:ascii="Times New Roman" w:hAnsi="Times New Roman"/>
        </w:rPr>
        <w:t>exemptions</w:t>
      </w:r>
      <w:r w:rsidR="00F73E0E" w:rsidRPr="009A4D20">
        <w:rPr>
          <w:rFonts w:ascii="Times New Roman" w:hAnsi="Times New Roman"/>
        </w:rPr>
        <w:t xml:space="preserve"> and directions</w:t>
      </w:r>
      <w:r w:rsidR="28EAFB9B" w:rsidRPr="009A4D20">
        <w:rPr>
          <w:rFonts w:ascii="Times New Roman" w:hAnsi="Times New Roman"/>
        </w:rPr>
        <w:t xml:space="preserve"> </w:t>
      </w:r>
      <w:r w:rsidR="00F73E0E" w:rsidRPr="009A4D20">
        <w:rPr>
          <w:rFonts w:ascii="Times New Roman" w:hAnsi="Times New Roman"/>
        </w:rPr>
        <w:t>relating to</w:t>
      </w:r>
      <w:r w:rsidR="28EAFB9B" w:rsidRPr="009A4D20">
        <w:rPr>
          <w:rFonts w:ascii="Times New Roman" w:hAnsi="Times New Roman"/>
        </w:rPr>
        <w:t xml:space="preserve"> </w:t>
      </w:r>
      <w:r w:rsidR="00665369" w:rsidRPr="009A4D20">
        <w:rPr>
          <w:rFonts w:ascii="Times New Roman" w:hAnsi="Times New Roman"/>
        </w:rPr>
        <w:t>Part</w:t>
      </w:r>
      <w:r w:rsidR="001B0736" w:rsidRPr="009A4D20">
        <w:rPr>
          <w:rFonts w:ascii="Times New Roman" w:hAnsi="Times New Roman"/>
        </w:rPr>
        <w:t xml:space="preserve"> 119</w:t>
      </w:r>
      <w:r w:rsidR="00665369" w:rsidRPr="009A4D20">
        <w:rPr>
          <w:rFonts w:ascii="Times New Roman" w:hAnsi="Times New Roman"/>
        </w:rPr>
        <w:t xml:space="preserve"> of </w:t>
      </w:r>
      <w:r w:rsidR="68622CCB" w:rsidRPr="009A4D20">
        <w:rPr>
          <w:rFonts w:ascii="Times New Roman" w:hAnsi="Times New Roman"/>
        </w:rPr>
        <w:t xml:space="preserve">the </w:t>
      </w:r>
      <w:r w:rsidR="00665369" w:rsidRPr="009A4D20">
        <w:rPr>
          <w:rFonts w:ascii="Times New Roman" w:hAnsi="Times New Roman"/>
          <w:i/>
          <w:iCs/>
        </w:rPr>
        <w:t>C</w:t>
      </w:r>
      <w:r w:rsidR="55AA9777" w:rsidRPr="009A4D20">
        <w:rPr>
          <w:rFonts w:ascii="Times New Roman" w:hAnsi="Times New Roman"/>
          <w:i/>
          <w:iCs/>
        </w:rPr>
        <w:t>ivil Aviation Safety Regulations</w:t>
      </w:r>
      <w:r w:rsidR="008E7E07" w:rsidRPr="009A4D20">
        <w:rPr>
          <w:rFonts w:ascii="Times New Roman" w:hAnsi="Times New Roman"/>
          <w:i/>
          <w:iCs/>
        </w:rPr>
        <w:t xml:space="preserve"> </w:t>
      </w:r>
      <w:r w:rsidR="55AA9777" w:rsidRPr="009A4D20">
        <w:rPr>
          <w:rFonts w:ascii="Times New Roman" w:hAnsi="Times New Roman"/>
          <w:i/>
          <w:iCs/>
        </w:rPr>
        <w:t>1998</w:t>
      </w:r>
      <w:r w:rsidR="65A9140B" w:rsidRPr="009A4D20">
        <w:rPr>
          <w:rFonts w:ascii="Times New Roman" w:hAnsi="Times New Roman"/>
        </w:rPr>
        <w:t xml:space="preserve"> (</w:t>
      </w:r>
      <w:r w:rsidR="65A9140B" w:rsidRPr="009A4D20">
        <w:rPr>
          <w:rFonts w:ascii="Times New Roman" w:hAnsi="Times New Roman"/>
          <w:b/>
          <w:bCs/>
          <w:i/>
          <w:iCs/>
        </w:rPr>
        <w:t>CASR</w:t>
      </w:r>
      <w:r w:rsidR="65A9140B" w:rsidRPr="009A4D20">
        <w:rPr>
          <w:rFonts w:ascii="Times New Roman" w:hAnsi="Times New Roman"/>
        </w:rPr>
        <w:t>)</w:t>
      </w:r>
      <w:r w:rsidR="00191A0C" w:rsidRPr="009A4D20">
        <w:rPr>
          <w:rFonts w:ascii="Times New Roman" w:hAnsi="Times New Roman"/>
        </w:rPr>
        <w:t xml:space="preserve">. Part 119 of CASR is one of CASA’s </w:t>
      </w:r>
      <w:r w:rsidR="0006358D" w:rsidRPr="009A4D20">
        <w:rPr>
          <w:rFonts w:ascii="Times New Roman" w:hAnsi="Times New Roman"/>
        </w:rPr>
        <w:t xml:space="preserve">recent </w:t>
      </w:r>
      <w:r w:rsidR="00191A0C" w:rsidRPr="009A4D20">
        <w:rPr>
          <w:rFonts w:ascii="Times New Roman" w:hAnsi="Times New Roman"/>
        </w:rPr>
        <w:t>Flight Operations Regulations that commence</w:t>
      </w:r>
      <w:r w:rsidR="0006358D" w:rsidRPr="009A4D20">
        <w:rPr>
          <w:rFonts w:ascii="Times New Roman" w:hAnsi="Times New Roman"/>
        </w:rPr>
        <w:t>d</w:t>
      </w:r>
      <w:r w:rsidR="00191A0C" w:rsidRPr="009A4D20">
        <w:rPr>
          <w:rFonts w:ascii="Times New Roman" w:hAnsi="Times New Roman"/>
        </w:rPr>
        <w:t xml:space="preserve"> on 2 December 2021.</w:t>
      </w:r>
    </w:p>
    <w:p w14:paraId="6D872076" w14:textId="73F54BC5" w:rsidR="00A22725" w:rsidRPr="009A4D20" w:rsidRDefault="00A22725" w:rsidP="00A22725">
      <w:pPr>
        <w:pStyle w:val="LDBodytext"/>
      </w:pPr>
    </w:p>
    <w:p w14:paraId="612698C3" w14:textId="103133AB" w:rsidR="00A22725" w:rsidRPr="009A4D20" w:rsidRDefault="00A22725" w:rsidP="00A22725">
      <w:pPr>
        <w:rPr>
          <w:rFonts w:ascii="Times New Roman" w:hAnsi="Times New Roman"/>
        </w:rPr>
      </w:pPr>
      <w:r w:rsidRPr="009A4D20">
        <w:rPr>
          <w:rFonts w:ascii="Times New Roman" w:hAnsi="Times New Roman"/>
        </w:rPr>
        <w:t>Unintended consequences have been identified in relation to</w:t>
      </w:r>
      <w:r w:rsidR="009D7FD3" w:rsidRPr="009A4D20">
        <w:rPr>
          <w:rFonts w:ascii="Times New Roman" w:hAnsi="Times New Roman"/>
        </w:rPr>
        <w:t>:</w:t>
      </w:r>
      <w:r w:rsidRPr="009A4D20">
        <w:rPr>
          <w:rFonts w:ascii="Times New Roman" w:hAnsi="Times New Roman"/>
        </w:rPr>
        <w:t xml:space="preserve"> (a) whether an AOC is required for certain aircraft operations that, previously, were considered to be private operations; and (b) whether </w:t>
      </w:r>
      <w:r w:rsidR="000A0C16" w:rsidRPr="009A4D20">
        <w:rPr>
          <w:rFonts w:ascii="Times New Roman" w:hAnsi="Times New Roman"/>
        </w:rPr>
        <w:t>certain leasing or “</w:t>
      </w:r>
      <w:r w:rsidRPr="009A4D20">
        <w:rPr>
          <w:rFonts w:ascii="Times New Roman" w:hAnsi="Times New Roman"/>
        </w:rPr>
        <w:t>cross-hire</w:t>
      </w:r>
      <w:r w:rsidR="000A0C16" w:rsidRPr="009A4D20">
        <w:rPr>
          <w:rFonts w:ascii="Times New Roman" w:hAnsi="Times New Roman"/>
        </w:rPr>
        <w:t>”</w:t>
      </w:r>
      <w:r w:rsidRPr="009A4D20">
        <w:rPr>
          <w:rFonts w:ascii="Times New Roman" w:hAnsi="Times New Roman"/>
        </w:rPr>
        <w:t xml:space="preserve"> arrangements, where the operator is not the registered operator of a relevant aircraft, may continue.</w:t>
      </w:r>
    </w:p>
    <w:p w14:paraId="0A080CC3" w14:textId="71DE555A" w:rsidR="00581BFC" w:rsidRPr="009A4D20" w:rsidRDefault="00581BFC" w:rsidP="00581BFC">
      <w:pPr>
        <w:pStyle w:val="LDBodytext"/>
      </w:pPr>
    </w:p>
    <w:p w14:paraId="560A1A72" w14:textId="77777777" w:rsidR="00581BFC" w:rsidRPr="009A4D20" w:rsidRDefault="00581BFC" w:rsidP="00581BFC">
      <w:pPr>
        <w:rPr>
          <w:rFonts w:ascii="Times New Roman" w:hAnsi="Times New Roman"/>
          <w:b/>
          <w:bCs/>
        </w:rPr>
      </w:pPr>
      <w:r w:rsidRPr="009A4D20">
        <w:rPr>
          <w:rFonts w:ascii="Times New Roman" w:hAnsi="Times New Roman"/>
          <w:b/>
          <w:bCs/>
        </w:rPr>
        <w:t>Legislation — exemptions</w:t>
      </w:r>
    </w:p>
    <w:p w14:paraId="5CA57089" w14:textId="77777777" w:rsidR="00581BFC" w:rsidRPr="009A4D20" w:rsidRDefault="00581BFC" w:rsidP="00581BFC">
      <w:pPr>
        <w:pStyle w:val="BodyText"/>
        <w:rPr>
          <w:rFonts w:ascii="Times New Roman" w:hAnsi="Times New Roman"/>
        </w:rPr>
      </w:pPr>
      <w:r w:rsidRPr="009A4D20">
        <w:rPr>
          <w:rFonts w:ascii="Times New Roman" w:hAnsi="Times New Roman"/>
        </w:rPr>
        <w:t xml:space="preserve">Section 98 of the Act empowers the Governor-General to make regulations for the </w:t>
      </w:r>
      <w:r w:rsidRPr="009A4D20">
        <w:rPr>
          <w:rFonts w:ascii="Times New Roman" w:hAnsi="Times New Roman"/>
          <w:i/>
          <w:iCs/>
        </w:rPr>
        <w:t>Civil Aviation Act 1988</w:t>
      </w:r>
      <w:r w:rsidRPr="009A4D20">
        <w:rPr>
          <w:rFonts w:ascii="Times New Roman" w:hAnsi="Times New Roman"/>
        </w:rPr>
        <w:t xml:space="preserve"> (the </w:t>
      </w:r>
      <w:r w:rsidRPr="009A4D20">
        <w:rPr>
          <w:rFonts w:ascii="Times New Roman" w:hAnsi="Times New Roman"/>
          <w:b/>
          <w:bCs/>
          <w:i/>
          <w:iCs/>
        </w:rPr>
        <w:t>Act</w:t>
      </w:r>
      <w:r w:rsidRPr="009A4D20">
        <w:rPr>
          <w:rFonts w:ascii="Times New Roman" w:hAnsi="Times New Roman"/>
        </w:rPr>
        <w:t>) and the safety of air navigation.</w:t>
      </w:r>
    </w:p>
    <w:p w14:paraId="51DB31E7" w14:textId="77777777" w:rsidR="00581BFC" w:rsidRPr="009A4D20" w:rsidRDefault="00581BFC" w:rsidP="00581BFC">
      <w:pPr>
        <w:pStyle w:val="BodyText"/>
        <w:rPr>
          <w:rFonts w:ascii="Times New Roman" w:hAnsi="Times New Roman"/>
        </w:rPr>
      </w:pPr>
    </w:p>
    <w:p w14:paraId="6116479A" w14:textId="1E095468" w:rsidR="00581BFC" w:rsidRPr="009A4D20" w:rsidRDefault="00581BFC" w:rsidP="00581BFC">
      <w:pPr>
        <w:rPr>
          <w:rFonts w:ascii="Times New Roman" w:hAnsi="Times New Roman"/>
        </w:rPr>
      </w:pPr>
      <w:r w:rsidRPr="009A4D20">
        <w:rPr>
          <w:rFonts w:ascii="Times New Roman" w:hAnsi="Times New Roman"/>
        </w:rPr>
        <w:t>Subpart 11.F of CASR deals with exemptions. Under subregulation 11.160 (1), and for subsection 98 (5A) of the Act, CASA may, by instrument, grant an exemption from a provision of CASR in relation to a matter mentioned in subsection</w:t>
      </w:r>
      <w:r w:rsidR="002C1F2A" w:rsidRPr="009A4D20">
        <w:rPr>
          <w:rFonts w:ascii="Times New Roman" w:hAnsi="Times New Roman"/>
        </w:rPr>
        <w:t xml:space="preserve"> </w:t>
      </w:r>
      <w:r w:rsidRPr="009A4D20">
        <w:rPr>
          <w:rFonts w:ascii="Times New Roman" w:hAnsi="Times New Roman"/>
        </w:rPr>
        <w:t>98 (5A). Subsection</w:t>
      </w:r>
      <w:r w:rsidR="00E1534D" w:rsidRPr="009A4D20">
        <w:rPr>
          <w:rFonts w:ascii="Times New Roman" w:hAnsi="Times New Roman"/>
        </w:rPr>
        <w:t> </w:t>
      </w:r>
      <w:r w:rsidRPr="009A4D20">
        <w:rPr>
          <w:rFonts w:ascii="Times New Roman" w:hAnsi="Times New Roman"/>
        </w:rPr>
        <w:t>98 (5A) matters are, in effect, those affecting the safety, airworthiness or design of aircraft.</w:t>
      </w:r>
    </w:p>
    <w:p w14:paraId="2EC5D33C" w14:textId="77777777" w:rsidR="00581BFC" w:rsidRPr="009A4D20" w:rsidRDefault="00581BFC" w:rsidP="00581BFC">
      <w:pPr>
        <w:pStyle w:val="LDClauseHeading"/>
        <w:keepNext w:val="0"/>
        <w:spacing w:before="0" w:after="0"/>
        <w:ind w:left="0" w:firstLine="0"/>
        <w:rPr>
          <w:rFonts w:ascii="Times New Roman" w:hAnsi="Times New Roman"/>
          <w:b w:val="0"/>
          <w:sz w:val="22"/>
          <w:szCs w:val="22"/>
        </w:rPr>
      </w:pPr>
    </w:p>
    <w:p w14:paraId="2DFC6952" w14:textId="2A098C53" w:rsidR="000A0C16" w:rsidRPr="009A4D20" w:rsidRDefault="00581BFC" w:rsidP="00581BFC">
      <w:pPr>
        <w:pStyle w:val="LDBodytext"/>
      </w:pPr>
      <w:r w:rsidRPr="009A4D20">
        <w:t>Under subregulation 11.160 (2), an exemption may be granted to a person or a class of persons. Under subregulation 11.160 (3), CASA may grant an exemption on application, or on its own initiative. Under subregulation 11.170 (3), for an application for an exemption, CASA must regard as paramount the preservation of</w:t>
      </w:r>
      <w:r w:rsidR="00D72BB0" w:rsidRPr="009A4D20">
        <w:t xml:space="preserve"> an acceptable level of safety.</w:t>
      </w:r>
    </w:p>
    <w:p w14:paraId="781E11D3" w14:textId="77777777" w:rsidR="000A0C16" w:rsidRPr="009A4D20" w:rsidRDefault="000A0C16" w:rsidP="00581BFC">
      <w:pPr>
        <w:pStyle w:val="LDBodytext"/>
      </w:pPr>
    </w:p>
    <w:p w14:paraId="76457B09" w14:textId="47613AEB" w:rsidR="00581BFC" w:rsidRPr="009A4D20" w:rsidRDefault="00581BFC" w:rsidP="00581BFC">
      <w:pPr>
        <w:pStyle w:val="LDBodytext"/>
      </w:pPr>
      <w:r w:rsidRPr="009A4D20">
        <w:t>For making a decision on its own initiative, CASA is guided by the requirement in subsection 9A (1) of the Act that in exercising its powers and functions CASA must regard the safety of air navigation as the most important consideration.</w:t>
      </w:r>
    </w:p>
    <w:p w14:paraId="628E0B18" w14:textId="77777777" w:rsidR="00581BFC" w:rsidRPr="009A4D20" w:rsidRDefault="00581BFC" w:rsidP="00581BFC">
      <w:pPr>
        <w:pStyle w:val="LDClauseHeading"/>
        <w:keepNext w:val="0"/>
        <w:spacing w:before="0" w:after="0"/>
        <w:ind w:left="0" w:firstLine="0"/>
        <w:rPr>
          <w:rFonts w:ascii="Times New Roman" w:hAnsi="Times New Roman"/>
          <w:b w:val="0"/>
          <w:sz w:val="22"/>
          <w:szCs w:val="22"/>
        </w:rPr>
      </w:pPr>
    </w:p>
    <w:p w14:paraId="7E4C7740" w14:textId="6A1E1AA2" w:rsidR="00581BFC" w:rsidRPr="009A4D20" w:rsidRDefault="00581BFC" w:rsidP="00581BFC">
      <w:pPr>
        <w:rPr>
          <w:rFonts w:ascii="Times New Roman" w:hAnsi="Times New Roman"/>
        </w:rPr>
      </w:pPr>
      <w:r w:rsidRPr="009A4D20">
        <w:rPr>
          <w:rFonts w:ascii="Times New Roman" w:hAnsi="Times New Roman"/>
        </w:rPr>
        <w:t>Under regulation 11.205, CASA may impose conditions on an exemption if this is necessary in the interests of the safety of air navigation. Under regulation 11.210, it is a strict liability offence not to comply with the obligations imposed by a condition. Under regulation 11.225, CASA must, as soon as practicable, publish on the internet details of all exemptions under Subpart 11.F</w:t>
      </w:r>
      <w:r w:rsidR="00D72BB0" w:rsidRPr="009A4D20">
        <w:rPr>
          <w:rFonts w:ascii="Times New Roman" w:hAnsi="Times New Roman"/>
        </w:rPr>
        <w:t xml:space="preserve"> of CASR</w:t>
      </w:r>
      <w:r w:rsidRPr="009A4D20">
        <w:rPr>
          <w:rFonts w:ascii="Times New Roman" w:hAnsi="Times New Roman"/>
        </w:rPr>
        <w:t>.</w:t>
      </w:r>
    </w:p>
    <w:p w14:paraId="5687C2CB" w14:textId="77777777" w:rsidR="00581BFC" w:rsidRPr="009A4D20" w:rsidRDefault="00581BFC" w:rsidP="00581BFC">
      <w:pPr>
        <w:pStyle w:val="LDBodytext"/>
      </w:pPr>
    </w:p>
    <w:p w14:paraId="3148B8FE" w14:textId="77777777" w:rsidR="00581BFC" w:rsidRPr="009A4D20" w:rsidRDefault="00581BFC" w:rsidP="00581BFC">
      <w:pPr>
        <w:rPr>
          <w:rFonts w:ascii="Times New Roman" w:hAnsi="Times New Roman"/>
        </w:rPr>
      </w:pPr>
      <w:r w:rsidRPr="009A4D20">
        <w:rPr>
          <w:rFonts w:ascii="Times New Roman" w:hAnsi="Times New Roman"/>
        </w:rPr>
        <w:t>Under subregulation 11.230 (1), an exemption may remain in force for 3 years or for a shorter period specified in the instrument.</w:t>
      </w:r>
    </w:p>
    <w:p w14:paraId="4DEDBA8B" w14:textId="77777777" w:rsidR="00581BFC" w:rsidRPr="009A4D20" w:rsidRDefault="00581BFC" w:rsidP="00581BFC">
      <w:pPr>
        <w:pStyle w:val="LDBodytext"/>
      </w:pPr>
    </w:p>
    <w:p w14:paraId="797D4697" w14:textId="6BF38EF7" w:rsidR="00581BFC" w:rsidRPr="009A4D20" w:rsidRDefault="00581BFC" w:rsidP="001D2DFD">
      <w:r w:rsidRPr="009A4D20">
        <w:rPr>
          <w:rFonts w:ascii="Times New Roman" w:hAnsi="Times New Roman"/>
        </w:rPr>
        <w:t>Under subregulation 11.230 (3), an exemption, in force in relation to a particular aircraft owned by a particular person, ceases to be in force when the aircraft ceases to be owned by that person. Under regulation 11.235, an exemption is not transferable (as between operators, aircraft, etc.).</w:t>
      </w:r>
    </w:p>
    <w:p w14:paraId="6FE04A8C" w14:textId="40A3C66D" w:rsidR="00862B8B" w:rsidRPr="009A4D20" w:rsidRDefault="00862B8B" w:rsidP="00AA0BB2">
      <w:pPr>
        <w:pStyle w:val="LDBodytext"/>
        <w:keepNext/>
        <w:rPr>
          <w:b/>
          <w:bCs/>
        </w:rPr>
      </w:pPr>
      <w:r w:rsidRPr="009A4D20">
        <w:rPr>
          <w:b/>
          <w:bCs/>
        </w:rPr>
        <w:lastRenderedPageBreak/>
        <w:t>Background</w:t>
      </w:r>
    </w:p>
    <w:p w14:paraId="660012F2" w14:textId="273D71C1" w:rsidR="00DF276A" w:rsidRPr="009A4D20" w:rsidRDefault="00DF276A" w:rsidP="00862B8B">
      <w:pPr>
        <w:pStyle w:val="LDBodytext"/>
        <w:rPr>
          <w:bCs/>
        </w:rPr>
      </w:pPr>
    </w:p>
    <w:p w14:paraId="4522C6EA" w14:textId="77777777" w:rsidR="00DF276A" w:rsidRPr="009A4D20" w:rsidRDefault="00DF276A" w:rsidP="00B024FD">
      <w:pPr>
        <w:pStyle w:val="LDBodytext"/>
        <w:rPr>
          <w:rFonts w:ascii="Arial" w:hAnsi="Arial" w:cs="Arial"/>
          <w:sz w:val="22"/>
          <w:szCs w:val="22"/>
        </w:rPr>
      </w:pPr>
      <w:r w:rsidRPr="009A4D20">
        <w:rPr>
          <w:rFonts w:ascii="Arial" w:hAnsi="Arial" w:cs="Arial"/>
          <w:sz w:val="22"/>
          <w:szCs w:val="22"/>
        </w:rPr>
        <w:t>First exemption</w:t>
      </w:r>
    </w:p>
    <w:p w14:paraId="1560A37E" w14:textId="1CA11137" w:rsidR="008A612B" w:rsidRPr="009A4D20" w:rsidRDefault="00B024FD" w:rsidP="00B024FD">
      <w:pPr>
        <w:pStyle w:val="LDBodytext"/>
      </w:pPr>
      <w:r w:rsidRPr="009A4D20">
        <w:t>The</w:t>
      </w:r>
      <w:r w:rsidR="009D3B88" w:rsidRPr="009A4D20">
        <w:t xml:space="preserve"> first </w:t>
      </w:r>
      <w:r w:rsidRPr="009A4D20">
        <w:t xml:space="preserve">exemption </w:t>
      </w:r>
      <w:r w:rsidR="009D3B88" w:rsidRPr="009A4D20">
        <w:t>is</w:t>
      </w:r>
      <w:r w:rsidRPr="009A4D20">
        <w:t xml:space="preserve"> designed to relieve certain </w:t>
      </w:r>
      <w:r w:rsidR="00516AC7" w:rsidRPr="009A4D20">
        <w:t>aircraft operators</w:t>
      </w:r>
      <w:r w:rsidR="00C370AE" w:rsidRPr="009A4D20">
        <w:t xml:space="preserve"> who, immediately before 2 December</w:t>
      </w:r>
      <w:r w:rsidR="00516AC7" w:rsidRPr="009A4D20">
        <w:t xml:space="preserve"> </w:t>
      </w:r>
      <w:r w:rsidR="00C370AE" w:rsidRPr="009A4D20">
        <w:t>2021</w:t>
      </w:r>
      <w:r w:rsidR="007D2A0C" w:rsidRPr="009A4D20">
        <w:t xml:space="preserve">, </w:t>
      </w:r>
      <w:r w:rsidR="00B13403" w:rsidRPr="009A4D20">
        <w:t xml:space="preserve">did </w:t>
      </w:r>
      <w:r w:rsidR="00B13403" w:rsidRPr="009A4D20">
        <w:rPr>
          <w:b/>
          <w:bCs/>
        </w:rPr>
        <w:t>not</w:t>
      </w:r>
      <w:r w:rsidR="00B13403" w:rsidRPr="009A4D20">
        <w:t xml:space="preserve"> hold an AOC</w:t>
      </w:r>
      <w:r w:rsidR="0036603E" w:rsidRPr="009A4D20">
        <w:t xml:space="preserve"> authorising passenger</w:t>
      </w:r>
      <w:r w:rsidR="001467DC" w:rsidRPr="009A4D20">
        <w:t xml:space="preserve"> </w:t>
      </w:r>
      <w:r w:rsidR="0036603E" w:rsidRPr="009A4D20">
        <w:t>carriage</w:t>
      </w:r>
      <w:r w:rsidR="006279E3" w:rsidRPr="009A4D20">
        <w:t xml:space="preserve">, </w:t>
      </w:r>
      <w:r w:rsidR="00DC74D2" w:rsidRPr="009A4D20">
        <w:t>but</w:t>
      </w:r>
      <w:r w:rsidR="006279E3" w:rsidRPr="009A4D20">
        <w:t xml:space="preserve"> who </w:t>
      </w:r>
      <w:r w:rsidR="00806C34" w:rsidRPr="009A4D20">
        <w:t xml:space="preserve">had reasonably </w:t>
      </w:r>
      <w:r w:rsidR="007D2A0C" w:rsidRPr="009A4D20">
        <w:t xml:space="preserve">considered </w:t>
      </w:r>
      <w:r w:rsidR="00806C34" w:rsidRPr="009A4D20">
        <w:t>that they were</w:t>
      </w:r>
      <w:r w:rsidR="007D2A0C" w:rsidRPr="009A4D20">
        <w:t xml:space="preserve"> conducting private operations</w:t>
      </w:r>
      <w:r w:rsidR="00954EAF" w:rsidRPr="009A4D20">
        <w:t xml:space="preserve"> </w:t>
      </w:r>
      <w:r w:rsidR="00DC74D2" w:rsidRPr="009A4D20">
        <w:t xml:space="preserve">carrying </w:t>
      </w:r>
      <w:r w:rsidR="00716CD6" w:rsidRPr="009A4D20">
        <w:t>non</w:t>
      </w:r>
      <w:r w:rsidR="00D72BB0" w:rsidRPr="009A4D20">
        <w:noBreakHyphen/>
      </w:r>
      <w:r w:rsidR="00716CD6" w:rsidRPr="009A4D20">
        <w:t xml:space="preserve">paying </w:t>
      </w:r>
      <w:r w:rsidR="00954EAF" w:rsidRPr="009A4D20">
        <w:t>passengers on board the aircraft</w:t>
      </w:r>
      <w:r w:rsidR="007D2A0C" w:rsidRPr="009A4D20">
        <w:t xml:space="preserve">, </w:t>
      </w:r>
      <w:r w:rsidR="00516AC7" w:rsidRPr="009A4D20">
        <w:t>from the obligation</w:t>
      </w:r>
      <w:r w:rsidR="00D04076" w:rsidRPr="009A4D20">
        <w:t xml:space="preserve"> under Part 119 of CASR</w:t>
      </w:r>
      <w:r w:rsidR="00516AC7" w:rsidRPr="009A4D20">
        <w:t xml:space="preserve"> to obtain an air operator’s certificate (</w:t>
      </w:r>
      <w:r w:rsidR="00516AC7" w:rsidRPr="009A4D20">
        <w:rPr>
          <w:b/>
          <w:bCs/>
          <w:i/>
          <w:iCs/>
        </w:rPr>
        <w:t>AOC</w:t>
      </w:r>
      <w:r w:rsidR="00516AC7" w:rsidRPr="009A4D20">
        <w:t>)</w:t>
      </w:r>
      <w:r w:rsidR="00DF276A" w:rsidRPr="009A4D20">
        <w:t>,</w:t>
      </w:r>
      <w:r w:rsidR="00516AC7" w:rsidRPr="009A4D20">
        <w:t xml:space="preserve"> </w:t>
      </w:r>
      <w:r w:rsidR="007D2A0C" w:rsidRPr="009A4D20">
        <w:t xml:space="preserve">and </w:t>
      </w:r>
      <w:r w:rsidR="001C00B2" w:rsidRPr="009A4D20">
        <w:t xml:space="preserve">from </w:t>
      </w:r>
      <w:r w:rsidR="00C824FE" w:rsidRPr="009A4D20">
        <w:t xml:space="preserve">the duty </w:t>
      </w:r>
      <w:r w:rsidR="007D2A0C" w:rsidRPr="009A4D20">
        <w:t xml:space="preserve">to </w:t>
      </w:r>
      <w:r w:rsidR="00516AC7" w:rsidRPr="009A4D20">
        <w:t xml:space="preserve">otherwise </w:t>
      </w:r>
      <w:r w:rsidR="007D2A0C" w:rsidRPr="009A4D20">
        <w:t>comply with the</w:t>
      </w:r>
      <w:r w:rsidR="00FE20DF" w:rsidRPr="009A4D20">
        <w:t xml:space="preserve"> other</w:t>
      </w:r>
      <w:r w:rsidR="007D2A0C" w:rsidRPr="009A4D20">
        <w:t xml:space="preserve"> requirements of </w:t>
      </w:r>
      <w:r w:rsidR="00FE20DF" w:rsidRPr="009A4D20">
        <w:t xml:space="preserve">the provisions in </w:t>
      </w:r>
      <w:r w:rsidR="007D2A0C" w:rsidRPr="009A4D20">
        <w:t>Pa</w:t>
      </w:r>
      <w:r w:rsidR="00C824FE" w:rsidRPr="009A4D20">
        <w:t>r</w:t>
      </w:r>
      <w:r w:rsidR="007D2A0C" w:rsidRPr="009A4D20">
        <w:t>t 119</w:t>
      </w:r>
      <w:r w:rsidR="00C824FE" w:rsidRPr="009A4D20">
        <w:t>.</w:t>
      </w:r>
    </w:p>
    <w:p w14:paraId="3FFA95A1" w14:textId="266B1BFC" w:rsidR="00A44D1D" w:rsidRPr="009A4D20" w:rsidRDefault="00A44D1D" w:rsidP="00B024FD">
      <w:pPr>
        <w:pStyle w:val="LDBodytext"/>
      </w:pPr>
    </w:p>
    <w:p w14:paraId="3B5EB259" w14:textId="0E15E097" w:rsidR="00A44D1D" w:rsidRPr="009A4D20" w:rsidRDefault="00A44D1D" w:rsidP="00A44D1D">
      <w:pPr>
        <w:pStyle w:val="LDBodytext"/>
      </w:pPr>
      <w:r w:rsidRPr="009A4D20">
        <w:t>The instructions for, and the drafting of, Part 119 of CASR, and the definitions associated with Australian air transport operations, were not intended to require many of the affected operators to hold an Australian air transport AOC. Considerable feedback from relevant industry has drawn CASA’s attention to this anomaly.</w:t>
      </w:r>
    </w:p>
    <w:p w14:paraId="3AECC7D0" w14:textId="77777777" w:rsidR="00A44D1D" w:rsidRPr="009A4D20" w:rsidRDefault="00A44D1D" w:rsidP="00A44D1D">
      <w:pPr>
        <w:pStyle w:val="LDBodytext"/>
      </w:pPr>
    </w:p>
    <w:p w14:paraId="28BA5B58" w14:textId="77777777" w:rsidR="00A44D1D" w:rsidRPr="009A4D20" w:rsidRDefault="00A44D1D" w:rsidP="00A44D1D">
      <w:pPr>
        <w:pStyle w:val="LDBodytext"/>
      </w:pPr>
      <w:r w:rsidRPr="009A4D20">
        <w:t>With the benefit of the exemption, as private operators engaged in private operations with non-paying passengers on board the aircraft, the relevant operators will only be obliged to comply with the requirements of Part 91 of CASR. This will provide time for CASA to further consult the aviation industry regarding possible changes to Part 119 or to the definitions associated with Australian air transport operations.</w:t>
      </w:r>
    </w:p>
    <w:p w14:paraId="63324CF0" w14:textId="77777777" w:rsidR="008A612B" w:rsidRPr="009A4D20" w:rsidRDefault="008A612B" w:rsidP="00B024FD">
      <w:pPr>
        <w:pStyle w:val="LDBodytext"/>
      </w:pPr>
    </w:p>
    <w:p w14:paraId="62D48D93" w14:textId="13C0E407" w:rsidR="00A30A15" w:rsidRPr="009A4D20" w:rsidRDefault="005A7E30" w:rsidP="00B024FD">
      <w:pPr>
        <w:pStyle w:val="LDBodytext"/>
      </w:pPr>
      <w:r w:rsidRPr="009A4D20">
        <w:t xml:space="preserve">Immediately before 2 December 2021, </w:t>
      </w:r>
      <w:r w:rsidR="00397EEA" w:rsidRPr="009A4D20">
        <w:t>subparagraph 2</w:t>
      </w:r>
      <w:r w:rsidR="00D72BB0" w:rsidRPr="009A4D20">
        <w:t> </w:t>
      </w:r>
      <w:r w:rsidR="00397EEA" w:rsidRPr="009A4D20">
        <w:t>(7)</w:t>
      </w:r>
      <w:r w:rsidR="00E3484C" w:rsidRPr="009A4D20">
        <w:t> </w:t>
      </w:r>
      <w:r w:rsidR="000E10A5" w:rsidRPr="009A4D20">
        <w:t>(d)</w:t>
      </w:r>
      <w:r w:rsidR="00E3484C" w:rsidRPr="009A4D20">
        <w:t> </w:t>
      </w:r>
      <w:r w:rsidR="000E10A5" w:rsidRPr="009A4D20">
        <w:t xml:space="preserve">(v) of </w:t>
      </w:r>
      <w:r w:rsidRPr="009A4D20">
        <w:t xml:space="preserve">the </w:t>
      </w:r>
      <w:r w:rsidRPr="009A4D20">
        <w:rPr>
          <w:i/>
          <w:iCs/>
        </w:rPr>
        <w:t>Civil Aviation Regulations 1988</w:t>
      </w:r>
      <w:r w:rsidRPr="009A4D20">
        <w:t xml:space="preserve"> (</w:t>
      </w:r>
      <w:r w:rsidRPr="009A4D20">
        <w:rPr>
          <w:b/>
          <w:bCs/>
          <w:i/>
          <w:iCs/>
        </w:rPr>
        <w:t>CAR</w:t>
      </w:r>
      <w:r w:rsidRPr="009A4D20">
        <w:t>)</w:t>
      </w:r>
      <w:r w:rsidR="0022056D" w:rsidRPr="009A4D20">
        <w:t xml:space="preserve"> </w:t>
      </w:r>
      <w:r w:rsidR="00D17C6F" w:rsidRPr="009A4D20">
        <w:t xml:space="preserve">relevantly </w:t>
      </w:r>
      <w:r w:rsidR="0022056D" w:rsidRPr="009A4D20">
        <w:t xml:space="preserve">provided that an aircraft </w:t>
      </w:r>
      <w:r w:rsidR="00F32065" w:rsidRPr="009A4D20">
        <w:t>flying or operating for the purposes of, or in the course of</w:t>
      </w:r>
      <w:r w:rsidR="00954EAF" w:rsidRPr="009A4D20">
        <w:t>, “</w:t>
      </w:r>
      <w:r w:rsidR="00F32065" w:rsidRPr="009A4D20">
        <w:t>the carriage of persons</w:t>
      </w:r>
      <w:r w:rsidR="00580234" w:rsidRPr="009A4D20">
        <w:t>…</w:t>
      </w:r>
      <w:r w:rsidR="0066079E" w:rsidRPr="009A4D20">
        <w:t xml:space="preserve"> without </w:t>
      </w:r>
      <w:r w:rsidR="00580234" w:rsidRPr="009A4D20">
        <w:t xml:space="preserve">a </w:t>
      </w:r>
      <w:r w:rsidR="0066079E" w:rsidRPr="009A4D20">
        <w:t>charge for the carriage being made</w:t>
      </w:r>
      <w:r w:rsidR="00580234" w:rsidRPr="009A4D20">
        <w:t>… shall be taken to be</w:t>
      </w:r>
      <w:r w:rsidR="00A11B1E" w:rsidRPr="009A4D20">
        <w:t xml:space="preserve"> employed in private operations”.</w:t>
      </w:r>
    </w:p>
    <w:p w14:paraId="290F4F97" w14:textId="4B6D19D7" w:rsidR="00A300E2" w:rsidRPr="009A4D20" w:rsidRDefault="00A300E2" w:rsidP="00B024FD">
      <w:pPr>
        <w:pStyle w:val="LDBodytext"/>
      </w:pPr>
    </w:p>
    <w:p w14:paraId="1CA88F45" w14:textId="77777777" w:rsidR="0098491E" w:rsidRPr="009A4D20" w:rsidRDefault="0076326F" w:rsidP="00B024FD">
      <w:pPr>
        <w:pStyle w:val="LDBodytext"/>
      </w:pPr>
      <w:r w:rsidRPr="009A4D20">
        <w:t xml:space="preserve">On and after 2 December 2021, </w:t>
      </w:r>
      <w:r w:rsidR="00EA728A" w:rsidRPr="009A4D20">
        <w:t xml:space="preserve">under the CASR Dictionary, </w:t>
      </w:r>
      <w:r w:rsidRPr="009A4D20">
        <w:t xml:space="preserve">an aircraft is </w:t>
      </w:r>
      <w:r w:rsidRPr="009A4D20">
        <w:rPr>
          <w:b/>
          <w:i/>
        </w:rPr>
        <w:t>employed in private operations</w:t>
      </w:r>
      <w:r w:rsidRPr="009A4D20">
        <w:t xml:space="preserve"> if the aircraft is used to conduct an operation that is a private operation.</w:t>
      </w:r>
      <w:r w:rsidR="00EA728A" w:rsidRPr="009A4D20">
        <w:t xml:space="preserve"> Under the Dictionary, </w:t>
      </w:r>
      <w:r w:rsidR="00BD0869" w:rsidRPr="009A4D20">
        <w:t xml:space="preserve">an operation of an aircraft is a </w:t>
      </w:r>
      <w:r w:rsidR="00BD0869" w:rsidRPr="009A4D20">
        <w:rPr>
          <w:b/>
          <w:bCs/>
          <w:i/>
          <w:iCs/>
        </w:rPr>
        <w:t>private operation</w:t>
      </w:r>
      <w:r w:rsidR="00BD0869" w:rsidRPr="009A4D20">
        <w:t xml:space="preserve"> if the operation is</w:t>
      </w:r>
      <w:r w:rsidR="00B523D8" w:rsidRPr="009A4D20">
        <w:t>, relevantly,</w:t>
      </w:r>
      <w:r w:rsidR="00BD0869" w:rsidRPr="009A4D20">
        <w:t xml:space="preserve"> </w:t>
      </w:r>
      <w:r w:rsidR="00BD0869" w:rsidRPr="009A4D20">
        <w:rPr>
          <w:b/>
          <w:bCs/>
        </w:rPr>
        <w:t>not</w:t>
      </w:r>
      <w:r w:rsidR="00BD0869" w:rsidRPr="009A4D20">
        <w:t xml:space="preserve"> </w:t>
      </w:r>
      <w:r w:rsidR="00B523D8" w:rsidRPr="009A4D20">
        <w:t>“</w:t>
      </w:r>
      <w:r w:rsidR="00BD0869" w:rsidRPr="009A4D20">
        <w:t>(a) an operation that is required to be conducted under the authority of an AOC under Part 119</w:t>
      </w:r>
      <w:r w:rsidR="00EA728A" w:rsidRPr="009A4D20">
        <w:t>…</w:t>
      </w:r>
      <w:r w:rsidR="00B523D8" w:rsidRPr="009A4D20">
        <w:t>”.</w:t>
      </w:r>
    </w:p>
    <w:p w14:paraId="009FB268" w14:textId="77777777" w:rsidR="0098491E" w:rsidRPr="009A4D20" w:rsidRDefault="0098491E" w:rsidP="00B024FD">
      <w:pPr>
        <w:pStyle w:val="LDBodytext"/>
      </w:pPr>
    </w:p>
    <w:p w14:paraId="35B834AA" w14:textId="33D76BBB" w:rsidR="001C3E2B" w:rsidRPr="009A4D20" w:rsidRDefault="00E2347E" w:rsidP="00E31A89">
      <w:pPr>
        <w:pStyle w:val="LDBodytext"/>
      </w:pPr>
      <w:r w:rsidRPr="009A4D20">
        <w:t>Under</w:t>
      </w:r>
      <w:r w:rsidR="00B93E5C" w:rsidRPr="009A4D20">
        <w:t xml:space="preserve"> subsection 27</w:t>
      </w:r>
      <w:r w:rsidR="00E3484C" w:rsidRPr="009A4D20">
        <w:t> </w:t>
      </w:r>
      <w:r w:rsidR="00B93E5C" w:rsidRPr="009A4D20">
        <w:t>(2) of the</w:t>
      </w:r>
      <w:r w:rsidR="00CC4AFA" w:rsidRPr="009A4D20">
        <w:t xml:space="preserve"> </w:t>
      </w:r>
      <w:r w:rsidR="00B93E5C" w:rsidRPr="009A4D20">
        <w:t>Act,</w:t>
      </w:r>
      <w:r w:rsidR="00BD0869" w:rsidRPr="009A4D20">
        <w:t xml:space="preserve"> </w:t>
      </w:r>
      <w:r w:rsidR="00580075" w:rsidRPr="009A4D20">
        <w:t>“[e]xcept as authorised by an AOC…</w:t>
      </w:r>
      <w:r w:rsidR="001C3E2B" w:rsidRPr="009A4D20">
        <w:t xml:space="preserve">: </w:t>
      </w:r>
      <w:r w:rsidR="00580075" w:rsidRPr="009A4D20">
        <w:t>(a)</w:t>
      </w:r>
      <w:r w:rsidR="001C3E2B" w:rsidRPr="009A4D20">
        <w:t xml:space="preserve"> an aircraft shall not fly into or out of Australian territory; and (b) an aircraft shall not operate in Australian territory; and (c) an Australian aircraft shall not operate outside Australian territory”.</w:t>
      </w:r>
      <w:r w:rsidR="00470B51" w:rsidRPr="009A4D20">
        <w:t xml:space="preserve"> Under subsection 27</w:t>
      </w:r>
      <w:r w:rsidR="00E3484C" w:rsidRPr="009A4D20">
        <w:t> </w:t>
      </w:r>
      <w:r w:rsidR="00470B51" w:rsidRPr="009A4D20">
        <w:t>(9), subsection</w:t>
      </w:r>
      <w:r w:rsidR="00101810" w:rsidRPr="009A4D20">
        <w:t xml:space="preserve"> </w:t>
      </w:r>
      <w:r w:rsidR="00026CB4" w:rsidRPr="009A4D20">
        <w:t>27</w:t>
      </w:r>
      <w:r w:rsidR="00E3484C" w:rsidRPr="009A4D20">
        <w:t> </w:t>
      </w:r>
      <w:r w:rsidR="00470B51" w:rsidRPr="009A4D20">
        <w:t>(2) applies only to the flying or operation</w:t>
      </w:r>
      <w:r w:rsidR="001906D2" w:rsidRPr="009A4D20">
        <w:t xml:space="preserve"> of an aircraft </w:t>
      </w:r>
      <w:r w:rsidR="00FA5B22" w:rsidRPr="009A4D20">
        <w:t>“</w:t>
      </w:r>
      <w:r w:rsidR="001906D2" w:rsidRPr="009A4D20">
        <w:t>for such purposes as are prescribed”.</w:t>
      </w:r>
    </w:p>
    <w:p w14:paraId="4963875D" w14:textId="13D86ACC" w:rsidR="001C3E2B" w:rsidRPr="009A4D20" w:rsidRDefault="001C3E2B" w:rsidP="00B024FD">
      <w:pPr>
        <w:pStyle w:val="LDBodytext"/>
      </w:pPr>
    </w:p>
    <w:p w14:paraId="7085DEFF" w14:textId="6A4CB315" w:rsidR="001906D2" w:rsidRPr="009A4D20" w:rsidRDefault="00C075DB" w:rsidP="00B024FD">
      <w:pPr>
        <w:pStyle w:val="LDBodytext"/>
      </w:pPr>
      <w:r w:rsidRPr="009A4D20">
        <w:t xml:space="preserve">Under regulation 119.030 of CASR, for </w:t>
      </w:r>
      <w:r w:rsidR="00215498" w:rsidRPr="009A4D20">
        <w:t>the purposes of subsection 27</w:t>
      </w:r>
      <w:r w:rsidR="00E1534D" w:rsidRPr="009A4D20">
        <w:t> </w:t>
      </w:r>
      <w:r w:rsidR="00215498" w:rsidRPr="009A4D20">
        <w:t xml:space="preserve">(9) of the Act, the flying or operating of an aeroplane for an </w:t>
      </w:r>
      <w:r w:rsidR="00215498" w:rsidRPr="009A4D20">
        <w:rPr>
          <w:b/>
          <w:bCs/>
          <w:i/>
          <w:iCs/>
        </w:rPr>
        <w:t xml:space="preserve">Australian </w:t>
      </w:r>
      <w:r w:rsidR="00D83DCA" w:rsidRPr="009A4D20">
        <w:rPr>
          <w:b/>
          <w:bCs/>
          <w:i/>
          <w:iCs/>
        </w:rPr>
        <w:t>air transport operation</w:t>
      </w:r>
      <w:r w:rsidR="00D83DCA" w:rsidRPr="009A4D20">
        <w:t xml:space="preserve"> is a prescribed purpose.</w:t>
      </w:r>
    </w:p>
    <w:p w14:paraId="2A298D18" w14:textId="6697B1B1" w:rsidR="00D83DCA" w:rsidRPr="009A4D20" w:rsidRDefault="00D83DCA" w:rsidP="00B024FD">
      <w:pPr>
        <w:pStyle w:val="LDBodytext"/>
      </w:pPr>
    </w:p>
    <w:p w14:paraId="5A700DC0" w14:textId="710630EB" w:rsidR="00D83DCA" w:rsidRPr="009A4D20" w:rsidRDefault="00C06BAA" w:rsidP="006F6F45">
      <w:pPr>
        <w:pStyle w:val="LDBodytext"/>
      </w:pPr>
      <w:r w:rsidRPr="009A4D20">
        <w:t xml:space="preserve">Under </w:t>
      </w:r>
      <w:r w:rsidR="006372CF" w:rsidRPr="009A4D20">
        <w:t>regulation 119.010</w:t>
      </w:r>
      <w:r w:rsidR="00405A6F" w:rsidRPr="009A4D20">
        <w:t xml:space="preserve"> of CASR</w:t>
      </w:r>
      <w:r w:rsidR="006372CF" w:rsidRPr="009A4D20">
        <w:t xml:space="preserve">, an </w:t>
      </w:r>
      <w:r w:rsidR="008859DC" w:rsidRPr="009A4D20">
        <w:t>operation</w:t>
      </w:r>
      <w:r w:rsidR="006372CF" w:rsidRPr="009A4D20">
        <w:t xml:space="preserve"> is an </w:t>
      </w:r>
      <w:r w:rsidR="008859DC" w:rsidRPr="009A4D20">
        <w:t>Australian</w:t>
      </w:r>
      <w:r w:rsidR="006372CF" w:rsidRPr="009A4D20">
        <w:t xml:space="preserve"> air </w:t>
      </w:r>
      <w:r w:rsidR="008859DC" w:rsidRPr="009A4D20">
        <w:t>transport</w:t>
      </w:r>
      <w:r w:rsidR="006372CF" w:rsidRPr="009A4D20">
        <w:t xml:space="preserve"> operation</w:t>
      </w:r>
      <w:r w:rsidR="00EA3698" w:rsidRPr="009A4D20">
        <w:t xml:space="preserve"> if the operation is </w:t>
      </w:r>
      <w:r w:rsidR="008A1E7B" w:rsidRPr="009A4D20">
        <w:t xml:space="preserve">an air transport operation conducted by an </w:t>
      </w:r>
      <w:r w:rsidR="004B5332" w:rsidRPr="009A4D20">
        <w:t>Australian</w:t>
      </w:r>
      <w:r w:rsidR="008A1E7B" w:rsidRPr="009A4D20">
        <w:t xml:space="preserve"> </w:t>
      </w:r>
      <w:r w:rsidR="004B5332" w:rsidRPr="009A4D20">
        <w:t>operator</w:t>
      </w:r>
      <w:r w:rsidR="008A1E7B" w:rsidRPr="009A4D20">
        <w:t xml:space="preserve"> using a registered aeroplane or rotorcraft</w:t>
      </w:r>
      <w:r w:rsidR="004B5332" w:rsidRPr="009A4D20">
        <w:t>.</w:t>
      </w:r>
    </w:p>
    <w:p w14:paraId="083E8610" w14:textId="77777777" w:rsidR="00F504E8" w:rsidRPr="009A4D20" w:rsidRDefault="00F504E8" w:rsidP="00B024FD">
      <w:pPr>
        <w:pStyle w:val="LDBodytext"/>
      </w:pPr>
    </w:p>
    <w:p w14:paraId="1EE8B4DE" w14:textId="54721B19" w:rsidR="00E725BA" w:rsidRPr="009A4D20" w:rsidRDefault="00AD0E01" w:rsidP="00285822">
      <w:pPr>
        <w:pStyle w:val="LDBodytext"/>
      </w:pPr>
      <w:r w:rsidRPr="009A4D20">
        <w:t xml:space="preserve">Under </w:t>
      </w:r>
      <w:r w:rsidR="00E725BA" w:rsidRPr="009A4D20">
        <w:t>clause</w:t>
      </w:r>
      <w:r w:rsidRPr="009A4D20">
        <w:t xml:space="preserve"> 3 in Part 2 of the CASR Dictionary</w:t>
      </w:r>
      <w:r w:rsidR="00285822" w:rsidRPr="009A4D20">
        <w:t>, a</w:t>
      </w:r>
      <w:r w:rsidRPr="009A4D20">
        <w:t xml:space="preserve">n </w:t>
      </w:r>
      <w:r w:rsidRPr="009A4D20">
        <w:rPr>
          <w:b/>
          <w:i/>
        </w:rPr>
        <w:t>air transport operation</w:t>
      </w:r>
      <w:r w:rsidRPr="009A4D20">
        <w:t xml:space="preserve"> is</w:t>
      </w:r>
      <w:r w:rsidR="00285822" w:rsidRPr="009A4D20">
        <w:t>, relevantly,</w:t>
      </w:r>
      <w:r w:rsidRPr="009A4D20">
        <w:t xml:space="preserve"> a passenger transport operation that</w:t>
      </w:r>
      <w:r w:rsidR="006E20CF" w:rsidRPr="009A4D20">
        <w:t xml:space="preserve"> “</w:t>
      </w:r>
      <w:r w:rsidRPr="009A4D20">
        <w:t>(a)</w:t>
      </w:r>
      <w:r w:rsidR="00285822" w:rsidRPr="009A4D20">
        <w:t xml:space="preserve"> </w:t>
      </w:r>
      <w:r w:rsidRPr="009A4D20">
        <w:t>is conducted for hire or reward</w:t>
      </w:r>
      <w:r w:rsidR="00E725BA" w:rsidRPr="009A4D20">
        <w:t>”.</w:t>
      </w:r>
    </w:p>
    <w:p w14:paraId="2C619B76" w14:textId="77777777" w:rsidR="00E725BA" w:rsidRPr="009A4D20" w:rsidRDefault="00E725BA" w:rsidP="00285822">
      <w:pPr>
        <w:pStyle w:val="LDBodytext"/>
      </w:pPr>
    </w:p>
    <w:p w14:paraId="07988DED" w14:textId="5381DA5D" w:rsidR="00E725BA" w:rsidRPr="009A4D20" w:rsidRDefault="00BB478C" w:rsidP="00285822">
      <w:pPr>
        <w:pStyle w:val="LDBodytext"/>
      </w:pPr>
      <w:r w:rsidRPr="009A4D20">
        <w:t>The expression “for hire or reward” is not defined</w:t>
      </w:r>
      <w:r w:rsidR="00C31626" w:rsidRPr="009A4D20">
        <w:t xml:space="preserve"> but it is considered that it may well have a broader meaning than</w:t>
      </w:r>
      <w:r w:rsidR="00746FB0" w:rsidRPr="009A4D20">
        <w:t xml:space="preserve"> the </w:t>
      </w:r>
      <w:r w:rsidR="00F7072E" w:rsidRPr="009A4D20">
        <w:t xml:space="preserve">CAR </w:t>
      </w:r>
      <w:r w:rsidR="00746FB0" w:rsidRPr="009A4D20">
        <w:t>expression “without a charge…</w:t>
      </w:r>
      <w:r w:rsidR="005D30A7" w:rsidRPr="009A4D20">
        <w:t xml:space="preserve"> </w:t>
      </w:r>
      <w:r w:rsidR="00746FB0" w:rsidRPr="009A4D20">
        <w:t>being made”.</w:t>
      </w:r>
    </w:p>
    <w:p w14:paraId="4EE3B249" w14:textId="1022DADF" w:rsidR="00CC094E" w:rsidRPr="009A4D20" w:rsidRDefault="00CC094E" w:rsidP="00285822">
      <w:pPr>
        <w:pStyle w:val="LDBodytext"/>
      </w:pPr>
    </w:p>
    <w:p w14:paraId="6D457570" w14:textId="01581A64" w:rsidR="00CC094E" w:rsidRPr="009A4D20" w:rsidRDefault="00CC094E" w:rsidP="00CC094E">
      <w:pPr>
        <w:pStyle w:val="LDBodytext"/>
      </w:pPr>
      <w:r w:rsidRPr="009A4D20">
        <w:lastRenderedPageBreak/>
        <w:t xml:space="preserve">Under clause 75 in Part 2 of the CASR Dictionary, a </w:t>
      </w:r>
      <w:r w:rsidRPr="009A4D20">
        <w:rPr>
          <w:b/>
          <w:i/>
        </w:rPr>
        <w:t>passenger transport operation</w:t>
      </w:r>
      <w:r w:rsidRPr="009A4D20">
        <w:t xml:space="preserve"> does </w:t>
      </w:r>
      <w:r w:rsidRPr="009A4D20">
        <w:rPr>
          <w:i/>
          <w:iCs/>
        </w:rPr>
        <w:t>not</w:t>
      </w:r>
      <w:r w:rsidRPr="009A4D20">
        <w:t xml:space="preserve">, relevantly, include the operation of an aircraft where </w:t>
      </w:r>
      <w:r w:rsidRPr="009A4D20">
        <w:rPr>
          <w:i/>
          <w:iCs/>
        </w:rPr>
        <w:t>the registered operator</w:t>
      </w:r>
      <w:r w:rsidRPr="009A4D20">
        <w:t xml:space="preserve"> of an aircraft is </w:t>
      </w:r>
      <w:r w:rsidRPr="009A4D20">
        <w:rPr>
          <w:i/>
          <w:iCs/>
        </w:rPr>
        <w:t>an individual</w:t>
      </w:r>
      <w:r w:rsidRPr="009A4D20">
        <w:t xml:space="preserve"> and the operation either</w:t>
      </w:r>
      <w:r w:rsidR="007D6667" w:rsidRPr="009A4D20">
        <w:t>:</w:t>
      </w:r>
      <w:r w:rsidRPr="009A4D20">
        <w:t xml:space="preserve"> (a) involves the carriage of that individual and does </w:t>
      </w:r>
      <w:r w:rsidRPr="009A4D20">
        <w:rPr>
          <w:i/>
          <w:iCs/>
        </w:rPr>
        <w:t>not</w:t>
      </w:r>
      <w:r w:rsidRPr="009A4D20">
        <w:t xml:space="preserve"> also involve the carriage of other passengers; </w:t>
      </w:r>
      <w:r w:rsidRPr="009A4D20">
        <w:rPr>
          <w:i/>
          <w:iCs/>
        </w:rPr>
        <w:t>or</w:t>
      </w:r>
      <w:r w:rsidRPr="009A4D20">
        <w:t xml:space="preserve"> (b) </w:t>
      </w:r>
      <w:r w:rsidRPr="009A4D20">
        <w:rPr>
          <w:i/>
          <w:iCs/>
        </w:rPr>
        <w:t>involves the carriage of that individual, and</w:t>
      </w:r>
      <w:r w:rsidRPr="009A4D20">
        <w:t xml:space="preserve"> </w:t>
      </w:r>
      <w:r w:rsidRPr="009A4D20">
        <w:rPr>
          <w:i/>
          <w:iCs/>
        </w:rPr>
        <w:t>involves the carriage of other passengers, and for which no payment or reward is made</w:t>
      </w:r>
      <w:r w:rsidRPr="009A4D20">
        <w:t xml:space="preserve"> or given in relation to the carriage of the other passengers.</w:t>
      </w:r>
    </w:p>
    <w:p w14:paraId="1CB73F7A" w14:textId="77777777" w:rsidR="00CC094E" w:rsidRPr="009A4D20" w:rsidRDefault="00CC094E" w:rsidP="00CC094E">
      <w:pPr>
        <w:pStyle w:val="LDBodytext"/>
      </w:pPr>
    </w:p>
    <w:p w14:paraId="3D0AF37A" w14:textId="75BFFD63" w:rsidR="00CC094E" w:rsidRPr="009A4D20" w:rsidRDefault="00CC094E" w:rsidP="00CC094E">
      <w:pPr>
        <w:pStyle w:val="LDBodytext"/>
      </w:pPr>
      <w:r w:rsidRPr="009A4D20">
        <w:t>Th</w:t>
      </w:r>
      <w:r w:rsidR="00445CA5" w:rsidRPr="009A4D20">
        <w:t>us,</w:t>
      </w:r>
      <w:r w:rsidR="003E354A" w:rsidRPr="009A4D20">
        <w:t xml:space="preserve"> a </w:t>
      </w:r>
      <w:r w:rsidRPr="009A4D20">
        <w:t xml:space="preserve">person who is not the registered operator of the aircraft would not be </w:t>
      </w:r>
      <w:r w:rsidR="003E354A" w:rsidRPr="009A4D20">
        <w:t>covered</w:t>
      </w:r>
      <w:r w:rsidRPr="009A4D20">
        <w:t xml:space="preserve"> by the exclusion, nor would a corporate entity who is the registered operator of the aircraft.</w:t>
      </w:r>
    </w:p>
    <w:p w14:paraId="5DD65179" w14:textId="0200716B" w:rsidR="00F7072E" w:rsidRPr="009A4D20" w:rsidRDefault="00F7072E" w:rsidP="00285822">
      <w:pPr>
        <w:pStyle w:val="LDBodytext"/>
      </w:pPr>
    </w:p>
    <w:p w14:paraId="2E249479" w14:textId="0B7A7AC9" w:rsidR="00214E02" w:rsidRPr="009A4D20" w:rsidRDefault="00F7072E" w:rsidP="00285822">
      <w:pPr>
        <w:pStyle w:val="LDBodytext"/>
      </w:pPr>
      <w:r w:rsidRPr="009A4D20">
        <w:t xml:space="preserve">The </w:t>
      </w:r>
      <w:r w:rsidR="003E354A" w:rsidRPr="009A4D20">
        <w:t xml:space="preserve">unintended </w:t>
      </w:r>
      <w:r w:rsidRPr="009A4D20">
        <w:t>consequence</w:t>
      </w:r>
      <w:r w:rsidR="003E354A" w:rsidRPr="009A4D20">
        <w:t xml:space="preserve"> of these provisions</w:t>
      </w:r>
      <w:r w:rsidRPr="009A4D20">
        <w:t xml:space="preserve"> is that </w:t>
      </w:r>
      <w:r w:rsidR="000C3957" w:rsidRPr="009A4D20">
        <w:t xml:space="preserve">many </w:t>
      </w:r>
      <w:r w:rsidR="006F3DAB" w:rsidRPr="009A4D20">
        <w:t>passenger</w:t>
      </w:r>
      <w:r w:rsidR="003E354A" w:rsidRPr="009A4D20">
        <w:t>-</w:t>
      </w:r>
      <w:r w:rsidR="006F3DAB" w:rsidRPr="009A4D20">
        <w:t xml:space="preserve">carrying </w:t>
      </w:r>
      <w:r w:rsidR="000940F0" w:rsidRPr="009A4D20">
        <w:t>operations that</w:t>
      </w:r>
      <w:r w:rsidR="006F3DAB" w:rsidRPr="009A4D20">
        <w:t>,</w:t>
      </w:r>
      <w:r w:rsidR="00832BBD" w:rsidRPr="009A4D20">
        <w:t xml:space="preserve"> before 2 December 2021</w:t>
      </w:r>
      <w:r w:rsidR="006F3DAB" w:rsidRPr="009A4D20">
        <w:t>,</w:t>
      </w:r>
      <w:r w:rsidR="00832BBD" w:rsidRPr="009A4D20">
        <w:t xml:space="preserve"> were considered to be private </w:t>
      </w:r>
      <w:r w:rsidR="006F3DAB" w:rsidRPr="009A4D20">
        <w:t>operations not</w:t>
      </w:r>
      <w:r w:rsidR="00832BBD" w:rsidRPr="009A4D20">
        <w:t xml:space="preserve"> requiring an AOC </w:t>
      </w:r>
      <w:r w:rsidR="006F3DAB" w:rsidRPr="009A4D20">
        <w:t>because</w:t>
      </w:r>
      <w:r w:rsidR="00832BBD" w:rsidRPr="009A4D20">
        <w:t xml:space="preserve"> they </w:t>
      </w:r>
      <w:r w:rsidR="006F3DAB" w:rsidRPr="009A4D20">
        <w:t>were</w:t>
      </w:r>
      <w:r w:rsidR="00832BBD" w:rsidRPr="009A4D20">
        <w:t xml:space="preserve"> considered to be </w:t>
      </w:r>
      <w:r w:rsidR="003E1933" w:rsidRPr="009A4D20">
        <w:t>“</w:t>
      </w:r>
      <w:r w:rsidR="006F3DAB" w:rsidRPr="009A4D20">
        <w:t xml:space="preserve">without </w:t>
      </w:r>
      <w:r w:rsidR="003E354A" w:rsidRPr="009A4D20">
        <w:t xml:space="preserve">a </w:t>
      </w:r>
      <w:r w:rsidR="006F3DAB" w:rsidRPr="009A4D20">
        <w:t>charge</w:t>
      </w:r>
      <w:r w:rsidR="003E1933" w:rsidRPr="009A4D20">
        <w:t>… being made”, may</w:t>
      </w:r>
      <w:r w:rsidR="005E199E" w:rsidRPr="009A4D20">
        <w:t>, on and after 2 December 2021,</w:t>
      </w:r>
      <w:r w:rsidR="003E1933" w:rsidRPr="009A4D20">
        <w:t xml:space="preserve"> legally have become</w:t>
      </w:r>
      <w:r w:rsidR="005E199E" w:rsidRPr="009A4D20">
        <w:t xml:space="preserve"> Australian air transport operations because they could be construed as involving a “reward”, in its widest sense, for the aircraft operator.</w:t>
      </w:r>
    </w:p>
    <w:p w14:paraId="32EAB1FA" w14:textId="77777777" w:rsidR="00214E02" w:rsidRPr="009A4D20" w:rsidRDefault="00214E02" w:rsidP="00285822">
      <w:pPr>
        <w:pStyle w:val="LDBodytext"/>
      </w:pPr>
    </w:p>
    <w:p w14:paraId="182FFD4E" w14:textId="74C534E7" w:rsidR="00A153E7" w:rsidRPr="009A4D20" w:rsidRDefault="001019B2" w:rsidP="00BB7AF9">
      <w:pPr>
        <w:pStyle w:val="LDBodytext"/>
      </w:pPr>
      <w:r w:rsidRPr="009A4D20">
        <w:t>For example</w:t>
      </w:r>
      <w:r w:rsidR="000F256F" w:rsidRPr="009A4D20">
        <w:t xml:space="preserve">, </w:t>
      </w:r>
      <w:r w:rsidR="003E0E74" w:rsidRPr="009A4D20">
        <w:t>a maintenance organisation</w:t>
      </w:r>
      <w:r w:rsidR="00EB47D2" w:rsidRPr="009A4D20">
        <w:t xml:space="preserve"> (an individual)</w:t>
      </w:r>
      <w:r w:rsidR="003E0E74" w:rsidRPr="009A4D20">
        <w:t xml:space="preserve"> that is the registered operator of an aircraft</w:t>
      </w:r>
      <w:r w:rsidR="00EF0EEC" w:rsidRPr="009A4D20">
        <w:t>,</w:t>
      </w:r>
      <w:r w:rsidR="003E0E74" w:rsidRPr="009A4D20">
        <w:t xml:space="preserve"> </w:t>
      </w:r>
      <w:r w:rsidR="005E2CDA" w:rsidRPr="009A4D20">
        <w:t xml:space="preserve">and which, before 2 December 2021, did not hold an AOC, </w:t>
      </w:r>
      <w:r w:rsidR="00EF0EEC" w:rsidRPr="009A4D20">
        <w:t>may</w:t>
      </w:r>
      <w:r w:rsidR="000F256F" w:rsidRPr="009A4D20">
        <w:t xml:space="preserve"> carry aircraft </w:t>
      </w:r>
      <w:r w:rsidR="00EF0EEC" w:rsidRPr="009A4D20">
        <w:t>maintenance engineers</w:t>
      </w:r>
      <w:r w:rsidR="000F256F" w:rsidRPr="009A4D20">
        <w:t xml:space="preserve"> to a remote location to </w:t>
      </w:r>
      <w:r w:rsidR="00EF0EEC" w:rsidRPr="009A4D20">
        <w:t>service or repair</w:t>
      </w:r>
      <w:r w:rsidR="000F256F" w:rsidRPr="009A4D20">
        <w:t xml:space="preserve"> an aircraft</w:t>
      </w:r>
      <w:r w:rsidR="00EF0EEC" w:rsidRPr="009A4D20">
        <w:t xml:space="preserve">. Clearly, the maintenance organisation will be paid for the work of its engineers, giving rise to </w:t>
      </w:r>
      <w:r w:rsidR="00214E02" w:rsidRPr="009A4D20">
        <w:t>the possibility that the operation has been conducted for “reward’ and hence, as a passenger-carrying operation, require</w:t>
      </w:r>
      <w:r w:rsidR="00D92B1A" w:rsidRPr="009A4D20">
        <w:t>s</w:t>
      </w:r>
      <w:r w:rsidR="00214E02" w:rsidRPr="009A4D20">
        <w:t xml:space="preserve"> the operator to hold an AOC and comply with Part 119 of CASR.</w:t>
      </w:r>
    </w:p>
    <w:p w14:paraId="43529527" w14:textId="77777777" w:rsidR="00A153E7" w:rsidRPr="009A4D20" w:rsidRDefault="00A153E7" w:rsidP="00BB7AF9">
      <w:pPr>
        <w:pStyle w:val="LDBodytext"/>
      </w:pPr>
    </w:p>
    <w:p w14:paraId="06CEFA4D" w14:textId="7D82A65B" w:rsidR="00A153E7" w:rsidRPr="009A4D20" w:rsidRDefault="004D2E0F" w:rsidP="00BB7AF9">
      <w:pPr>
        <w:pStyle w:val="LDBodytext"/>
      </w:pPr>
      <w:r w:rsidRPr="009A4D20">
        <w:t>There are other examples</w:t>
      </w:r>
      <w:r w:rsidR="005B6A0D" w:rsidRPr="009A4D20">
        <w:t>, including</w:t>
      </w:r>
      <w:r w:rsidR="00BB7AF9" w:rsidRPr="009A4D20">
        <w:t>: c</w:t>
      </w:r>
      <w:r w:rsidR="00985C5B" w:rsidRPr="009A4D20">
        <w:t>arriage</w:t>
      </w:r>
      <w:r w:rsidR="00D92B1A" w:rsidRPr="009A4D20">
        <w:t xml:space="preserve"> of passengers</w:t>
      </w:r>
      <w:r w:rsidR="007150AB" w:rsidRPr="009A4D20">
        <w:t>,</w:t>
      </w:r>
      <w:r w:rsidR="00985C5B" w:rsidRPr="009A4D20">
        <w:t xml:space="preserve"> </w:t>
      </w:r>
      <w:r w:rsidR="007150AB" w:rsidRPr="009A4D20">
        <w:t>by an aircraft operator</w:t>
      </w:r>
      <w:r w:rsidR="005E34EB" w:rsidRPr="009A4D20">
        <w:t xml:space="preserve"> who is an individual and the registered operator of the aircraft, and</w:t>
      </w:r>
      <w:r w:rsidR="0025097F" w:rsidRPr="009A4D20">
        <w:t xml:space="preserve"> who, before 2 December 2021, was not required to hold an AOC</w:t>
      </w:r>
      <w:r w:rsidR="00D92B1A" w:rsidRPr="009A4D20">
        <w:t xml:space="preserve"> for passenger</w:t>
      </w:r>
      <w:r w:rsidR="00003808" w:rsidRPr="009A4D20">
        <w:t xml:space="preserve"> </w:t>
      </w:r>
      <w:r w:rsidR="00D92B1A" w:rsidRPr="009A4D20">
        <w:t>carriage</w:t>
      </w:r>
      <w:r w:rsidR="0025097F" w:rsidRPr="009A4D20">
        <w:t>,</w:t>
      </w:r>
      <w:r w:rsidR="007150AB" w:rsidRPr="009A4D20">
        <w:t xml:space="preserve"> </w:t>
      </w:r>
      <w:r w:rsidR="00D92B1A" w:rsidRPr="009A4D20">
        <w:t>where the purpose</w:t>
      </w:r>
      <w:r w:rsidR="00F7395F" w:rsidRPr="009A4D20">
        <w:t xml:space="preserve"> </w:t>
      </w:r>
      <w:r w:rsidR="001C6272" w:rsidRPr="009A4D20">
        <w:t>was</w:t>
      </w:r>
      <w:r w:rsidR="00F7395F" w:rsidRPr="009A4D20">
        <w:t xml:space="preserve"> </w:t>
      </w:r>
      <w:r w:rsidRPr="009A4D20">
        <w:t>to inspect</w:t>
      </w:r>
      <w:r w:rsidR="007150AB" w:rsidRPr="009A4D20">
        <w:t xml:space="preserve"> </w:t>
      </w:r>
      <w:r w:rsidRPr="009A4D20">
        <w:t>rural land</w:t>
      </w:r>
      <w:r w:rsidR="009F2657" w:rsidRPr="009A4D20">
        <w:t xml:space="preserve"> for sale</w:t>
      </w:r>
      <w:r w:rsidR="001C6272" w:rsidRPr="009A4D20">
        <w:t>,</w:t>
      </w:r>
      <w:r w:rsidRPr="009A4D20">
        <w:t xml:space="preserve"> </w:t>
      </w:r>
      <w:r w:rsidR="001C6272" w:rsidRPr="009A4D20">
        <w:t>where the land was</w:t>
      </w:r>
      <w:r w:rsidRPr="009A4D20">
        <w:t xml:space="preserve"> owned by the </w:t>
      </w:r>
      <w:r w:rsidR="00F7395F" w:rsidRPr="009A4D20">
        <w:t xml:space="preserve">aircraft </w:t>
      </w:r>
      <w:r w:rsidRPr="009A4D20">
        <w:t>operator</w:t>
      </w:r>
      <w:r w:rsidR="001C6272" w:rsidRPr="009A4D20">
        <w:t>, or the aircraft operator was the agent for the sale;</w:t>
      </w:r>
      <w:r w:rsidR="00BB7AF9" w:rsidRPr="009A4D20">
        <w:t xml:space="preserve"> carriage, by a</w:t>
      </w:r>
      <w:r w:rsidR="001C644D" w:rsidRPr="009A4D20">
        <w:t xml:space="preserve"> similar kind of</w:t>
      </w:r>
      <w:r w:rsidR="00BB7AF9" w:rsidRPr="009A4D20">
        <w:t xml:space="preserve"> aircraft operator</w:t>
      </w:r>
      <w:r w:rsidR="001C6272" w:rsidRPr="009A4D20">
        <w:t xml:space="preserve"> without an AOC</w:t>
      </w:r>
      <w:r w:rsidR="00BB7AF9" w:rsidRPr="009A4D20">
        <w:t xml:space="preserve">, of passengers to work </w:t>
      </w:r>
      <w:r w:rsidR="005B6A0D" w:rsidRPr="009A4D20">
        <w:t>i</w:t>
      </w:r>
      <w:r w:rsidR="00BB7AF9" w:rsidRPr="009A4D20">
        <w:t xml:space="preserve">n regional areas </w:t>
      </w:r>
      <w:r w:rsidR="005B6A0D" w:rsidRPr="009A4D20">
        <w:t>in commercial enterprises owned by the aircraft operator</w:t>
      </w:r>
      <w:r w:rsidR="001C644D" w:rsidRPr="009A4D20">
        <w:t xml:space="preserve"> or owned by others </w:t>
      </w:r>
      <w:r w:rsidR="0086315C" w:rsidRPr="009A4D20">
        <w:t>contracting with the aircraft operator</w:t>
      </w:r>
      <w:r w:rsidR="005B6A0D" w:rsidRPr="009A4D20">
        <w:t>.</w:t>
      </w:r>
      <w:r w:rsidR="00EE0251" w:rsidRPr="009A4D20">
        <w:t xml:space="preserve"> Th</w:t>
      </w:r>
      <w:r w:rsidR="0025097F" w:rsidRPr="009A4D20">
        <w:t xml:space="preserve">ese kinds of operations </w:t>
      </w:r>
      <w:r w:rsidR="00EE0251" w:rsidRPr="009A4D20">
        <w:t xml:space="preserve">might be construed as involving an ultimate reward for the aircraft operator, </w:t>
      </w:r>
      <w:r w:rsidR="00A153E7" w:rsidRPr="009A4D20">
        <w:t>thereby require the holding of an AOC</w:t>
      </w:r>
      <w:r w:rsidR="00325D97" w:rsidRPr="009A4D20">
        <w:t>,</w:t>
      </w:r>
      <w:r w:rsidR="00A153E7" w:rsidRPr="009A4D20">
        <w:t xml:space="preserve"> in contradistinction to the position as it was immediately before 2 December 2021.</w:t>
      </w:r>
    </w:p>
    <w:p w14:paraId="39A119DB" w14:textId="77777777" w:rsidR="00A153E7" w:rsidRPr="009A4D20" w:rsidRDefault="00A153E7" w:rsidP="00BB7AF9">
      <w:pPr>
        <w:pStyle w:val="LDBodytext"/>
      </w:pPr>
    </w:p>
    <w:p w14:paraId="0CDCA5D9" w14:textId="4FF2F3AA" w:rsidR="00764AAF" w:rsidRPr="009A4D20" w:rsidRDefault="00764AAF" w:rsidP="00285822">
      <w:pPr>
        <w:pStyle w:val="LDBodytext"/>
      </w:pPr>
      <w:r w:rsidRPr="009A4D20">
        <w:t>Detailed discussions with the aviation industry on the appropriate safety controls for these kinds of operations need to be held before CASA determines an enduring policy.</w:t>
      </w:r>
    </w:p>
    <w:p w14:paraId="7E824FA1" w14:textId="77777777" w:rsidR="00764AAF" w:rsidRPr="009A4D20" w:rsidRDefault="00764AAF" w:rsidP="00285822">
      <w:pPr>
        <w:pStyle w:val="LDBodytext"/>
      </w:pPr>
    </w:p>
    <w:p w14:paraId="534113AD" w14:textId="47F4F7C8" w:rsidR="002F3F9E" w:rsidRPr="009A4D20" w:rsidRDefault="00764AAF" w:rsidP="00285822">
      <w:pPr>
        <w:pStyle w:val="LDBodytext"/>
      </w:pPr>
      <w:r w:rsidRPr="009A4D20">
        <w:t xml:space="preserve">While steps are taken to consult with the industry, </w:t>
      </w:r>
      <w:r w:rsidR="00AE2D61" w:rsidRPr="009A4D20">
        <w:t xml:space="preserve">develop drafting instructions, and draft </w:t>
      </w:r>
      <w:r w:rsidR="00306C1D" w:rsidRPr="009A4D20">
        <w:t>regulatory</w:t>
      </w:r>
      <w:r w:rsidR="00AE2D61" w:rsidRPr="009A4D20">
        <w:t xml:space="preserve"> amendments</w:t>
      </w:r>
      <w:r w:rsidR="00F4439E" w:rsidRPr="009A4D20">
        <w:t>,</w:t>
      </w:r>
      <w:r w:rsidR="00AE2D61" w:rsidRPr="009A4D20">
        <w:t xml:space="preserve"> to </w:t>
      </w:r>
      <w:r w:rsidR="00F4439E" w:rsidRPr="009A4D20">
        <w:t xml:space="preserve">appropriately </w:t>
      </w:r>
      <w:r w:rsidR="00006C4E" w:rsidRPr="009A4D20">
        <w:t>address the issue</w:t>
      </w:r>
      <w:r w:rsidR="009E41CC" w:rsidRPr="009A4D20">
        <w:t xml:space="preserve"> </w:t>
      </w:r>
      <w:r w:rsidR="002F3F9E" w:rsidRPr="009A4D20">
        <w:t xml:space="preserve">by </w:t>
      </w:r>
      <w:r w:rsidR="00EF026B" w:rsidRPr="009A4D20">
        <w:t>not later than</w:t>
      </w:r>
      <w:r w:rsidR="00F4439E" w:rsidRPr="009A4D20">
        <w:t xml:space="preserve"> the end of 1 June 2023 (when the exemption is expressed to expire)</w:t>
      </w:r>
      <w:r w:rsidR="00AE2D61" w:rsidRPr="009A4D20">
        <w:t xml:space="preserve">, the </w:t>
      </w:r>
      <w:r w:rsidR="002F3F9E" w:rsidRPr="009A4D20">
        <w:t>exemption</w:t>
      </w:r>
      <w:r w:rsidR="00AE2D61" w:rsidRPr="009A4D20">
        <w:t xml:space="preserve"> is necessary to preserve the </w:t>
      </w:r>
      <w:r w:rsidR="00306C1D" w:rsidRPr="009A4D20">
        <w:t>pre-2 December 2021 status quo for the relevant operators</w:t>
      </w:r>
      <w:r w:rsidR="00F4439E" w:rsidRPr="009A4D20">
        <w:t xml:space="preserve"> until then.</w:t>
      </w:r>
    </w:p>
    <w:p w14:paraId="2F922054" w14:textId="6194C69E" w:rsidR="00CB2DD1" w:rsidRPr="009A4D20" w:rsidRDefault="00CB2DD1" w:rsidP="00285822">
      <w:pPr>
        <w:pStyle w:val="LDBodytext"/>
      </w:pPr>
    </w:p>
    <w:p w14:paraId="23949516" w14:textId="1BD28661" w:rsidR="00CB2DD1" w:rsidRPr="009A4D20" w:rsidRDefault="00CB2DD1" w:rsidP="00285822">
      <w:pPr>
        <w:pStyle w:val="LDBodytext"/>
      </w:pPr>
      <w:r w:rsidRPr="009A4D20">
        <w:t>The exemption is subject to safety conditions</w:t>
      </w:r>
      <w:r w:rsidR="00732525" w:rsidRPr="009A4D20">
        <w:t>. Thus, if</w:t>
      </w:r>
      <w:r w:rsidR="00221131" w:rsidRPr="009A4D20">
        <w:t>, immediately before 2 December 2021,</w:t>
      </w:r>
      <w:r w:rsidR="00732525" w:rsidRPr="009A4D20">
        <w:t xml:space="preserve"> </w:t>
      </w:r>
      <w:r w:rsidR="0081717F" w:rsidRPr="009A4D20">
        <w:t>aeroplane weight and</w:t>
      </w:r>
      <w:r w:rsidR="00732525" w:rsidRPr="009A4D20">
        <w:t xml:space="preserve"> performance </w:t>
      </w:r>
      <w:r w:rsidR="00A8147E" w:rsidRPr="009A4D20">
        <w:t>requirements under Civil Aviation Order</w:t>
      </w:r>
      <w:r w:rsidR="00910F70" w:rsidRPr="009A4D20">
        <w:t xml:space="preserve"> (</w:t>
      </w:r>
      <w:r w:rsidR="00910F70" w:rsidRPr="009A4D20">
        <w:rPr>
          <w:b/>
          <w:bCs/>
          <w:i/>
          <w:iCs/>
        </w:rPr>
        <w:t>CAO</w:t>
      </w:r>
      <w:r w:rsidR="00910F70" w:rsidRPr="009A4D20">
        <w:t>)</w:t>
      </w:r>
      <w:r w:rsidR="00A8147E" w:rsidRPr="009A4D20">
        <w:t xml:space="preserve"> 20.7.1B</w:t>
      </w:r>
      <w:r w:rsidR="00732525" w:rsidRPr="009A4D20">
        <w:t xml:space="preserve"> applied to the aircraft</w:t>
      </w:r>
      <w:r w:rsidR="00910F70" w:rsidRPr="009A4D20">
        <w:t>, or if the aircraft was one described in CAO</w:t>
      </w:r>
      <w:r w:rsidR="00297467" w:rsidRPr="009A4D20">
        <w:t> </w:t>
      </w:r>
      <w:r w:rsidR="00910F70" w:rsidRPr="009A4D20">
        <w:t>20.7.4,</w:t>
      </w:r>
      <w:r w:rsidR="001822E8" w:rsidRPr="009A4D20">
        <w:t xml:space="preserve"> the aircraft must comply with</w:t>
      </w:r>
      <w:r w:rsidR="00FF6880" w:rsidRPr="009A4D20">
        <w:t xml:space="preserve"> the most </w:t>
      </w:r>
      <w:r w:rsidR="00E905DF" w:rsidRPr="009A4D20">
        <w:t>restrictive</w:t>
      </w:r>
      <w:r w:rsidR="00FF6880" w:rsidRPr="009A4D20">
        <w:t xml:space="preserve"> combination of th</w:t>
      </w:r>
      <w:r w:rsidR="00273A7F" w:rsidRPr="009A4D20">
        <w:t>e</w:t>
      </w:r>
      <w:r w:rsidR="00FF6880" w:rsidRPr="009A4D20">
        <w:t xml:space="preserve"> </w:t>
      </w:r>
      <w:r w:rsidR="00E905DF" w:rsidRPr="009A4D20">
        <w:t>requirements</w:t>
      </w:r>
      <w:r w:rsidR="00273A7F" w:rsidRPr="009A4D20">
        <w:t xml:space="preserve"> imposed</w:t>
      </w:r>
      <w:r w:rsidR="001B5F91" w:rsidRPr="009A4D20">
        <w:t xml:space="preserve"> by the</w:t>
      </w:r>
      <w:r w:rsidR="002646D6" w:rsidRPr="009A4D20">
        <w:t xml:space="preserve"> relevantly applicable</w:t>
      </w:r>
      <w:r w:rsidR="001B5F91" w:rsidRPr="009A4D20">
        <w:t xml:space="preserve"> respective CAOs </w:t>
      </w:r>
      <w:r w:rsidR="00AE216A" w:rsidRPr="009A4D20">
        <w:t>(</w:t>
      </w:r>
      <w:r w:rsidR="001B5F91" w:rsidRPr="009A4D20">
        <w:t>as if they</w:t>
      </w:r>
      <w:r w:rsidR="00AE216A" w:rsidRPr="009A4D20">
        <w:t xml:space="preserve"> applied and</w:t>
      </w:r>
      <w:r w:rsidR="001B5F91" w:rsidRPr="009A4D20">
        <w:t xml:space="preserve"> continued to apply</w:t>
      </w:r>
      <w:r w:rsidR="00AE216A" w:rsidRPr="009A4D20">
        <w:t>),</w:t>
      </w:r>
      <w:r w:rsidR="00FF6880" w:rsidRPr="009A4D20">
        <w:t xml:space="preserve"> and the performance </w:t>
      </w:r>
      <w:r w:rsidR="00E905DF" w:rsidRPr="009A4D20">
        <w:t>requirements</w:t>
      </w:r>
      <w:r w:rsidR="00FF6880" w:rsidRPr="009A4D20">
        <w:t xml:space="preserve"> under </w:t>
      </w:r>
      <w:r w:rsidR="0081717F" w:rsidRPr="009A4D20">
        <w:t>Subpart 91.</w:t>
      </w:r>
      <w:r w:rsidR="00E905DF" w:rsidRPr="009A4D20">
        <w:t>F o</w:t>
      </w:r>
      <w:r w:rsidR="0081717F" w:rsidRPr="009A4D20">
        <w:t>f CASR</w:t>
      </w:r>
      <w:r w:rsidR="00A55BB8" w:rsidRPr="009A4D20">
        <w:t xml:space="preserve"> (Australian aircraft performance requirements).</w:t>
      </w:r>
    </w:p>
    <w:p w14:paraId="4EC315FD" w14:textId="77777777" w:rsidR="002F3F9E" w:rsidRPr="009A4D20" w:rsidRDefault="002F3F9E" w:rsidP="00285822">
      <w:pPr>
        <w:pStyle w:val="LDBodytext"/>
      </w:pPr>
    </w:p>
    <w:p w14:paraId="7B9E9B23" w14:textId="018357E7" w:rsidR="0071720F" w:rsidRPr="009A4D20" w:rsidRDefault="00AE216A" w:rsidP="00AA0BB2">
      <w:pPr>
        <w:pStyle w:val="LDBodytext"/>
        <w:keepNext/>
      </w:pPr>
      <w:r w:rsidRPr="009A4D20">
        <w:lastRenderedPageBreak/>
        <w:t xml:space="preserve">The </w:t>
      </w:r>
      <w:r w:rsidR="004C76BE" w:rsidRPr="009A4D20">
        <w:t>aeroplanes subject to these safety conditions are</w:t>
      </w:r>
      <w:r w:rsidR="004B0997" w:rsidRPr="009A4D20">
        <w:t xml:space="preserve"> the following</w:t>
      </w:r>
      <w:r w:rsidR="004C76BE" w:rsidRPr="009A4D20">
        <w:t>:</w:t>
      </w:r>
    </w:p>
    <w:p w14:paraId="71B4DAAE" w14:textId="42363335" w:rsidR="004B0997" w:rsidRPr="009A4D20" w:rsidRDefault="004B0997" w:rsidP="00AA0BB2">
      <w:pPr>
        <w:pStyle w:val="LDBodytext"/>
        <w:keepNext/>
      </w:pPr>
    </w:p>
    <w:p w14:paraId="0C82A97C" w14:textId="3F1DB5C7" w:rsidR="004B0997" w:rsidRPr="009A4D20" w:rsidRDefault="004B0997" w:rsidP="00285822">
      <w:pPr>
        <w:pStyle w:val="LDBodytext"/>
      </w:pPr>
      <w:r w:rsidRPr="009A4D20">
        <w:t>For CAO 20.7.1B:</w:t>
      </w:r>
    </w:p>
    <w:p w14:paraId="61FD165E" w14:textId="413C1CFA" w:rsidR="004B0997" w:rsidRPr="009A4D20" w:rsidRDefault="004B0997" w:rsidP="00AA0BB2">
      <w:pPr>
        <w:pStyle w:val="ldp1a1"/>
        <w:shd w:val="clear" w:color="auto" w:fill="FFFFFF"/>
        <w:tabs>
          <w:tab w:val="left" w:pos="1134"/>
        </w:tabs>
        <w:spacing w:before="60" w:beforeAutospacing="0" w:after="60" w:afterAutospacing="0"/>
        <w:ind w:left="1134" w:hanging="397"/>
        <w:rPr>
          <w:color w:val="000000"/>
        </w:rPr>
      </w:pPr>
      <w:r w:rsidRPr="009A4D20">
        <w:rPr>
          <w:color w:val="000000"/>
        </w:rPr>
        <w:t>(a)</w:t>
      </w:r>
      <w:r w:rsidR="008831CA" w:rsidRPr="009A4D20">
        <w:rPr>
          <w:color w:val="000000"/>
        </w:rPr>
        <w:tab/>
      </w:r>
      <w:r w:rsidRPr="009A4D20">
        <w:rPr>
          <w:color w:val="000000"/>
        </w:rPr>
        <w:t>all aeroplanes driven by 2 or more jet engines having a maximum take</w:t>
      </w:r>
      <w:r w:rsidR="008831CA" w:rsidRPr="009A4D20">
        <w:rPr>
          <w:color w:val="000000"/>
        </w:rPr>
        <w:t>-</w:t>
      </w:r>
      <w:r w:rsidRPr="009A4D20">
        <w:rPr>
          <w:color w:val="000000"/>
        </w:rPr>
        <w:t>off weight in excess of 2 722 kg;</w:t>
      </w:r>
    </w:p>
    <w:p w14:paraId="454FEC7D" w14:textId="3A3073F8" w:rsidR="004B0997" w:rsidRPr="009A4D20" w:rsidRDefault="004B0997" w:rsidP="00AA0BB2">
      <w:pPr>
        <w:pStyle w:val="ldp1a1"/>
        <w:shd w:val="clear" w:color="auto" w:fill="FFFFFF"/>
        <w:tabs>
          <w:tab w:val="left" w:pos="1134"/>
        </w:tabs>
        <w:spacing w:before="60" w:beforeAutospacing="0" w:after="60" w:afterAutospacing="0"/>
        <w:ind w:left="1134" w:hanging="397"/>
        <w:rPr>
          <w:color w:val="000000"/>
        </w:rPr>
      </w:pPr>
      <w:r w:rsidRPr="009A4D20">
        <w:rPr>
          <w:color w:val="000000"/>
        </w:rPr>
        <w:t>(b)</w:t>
      </w:r>
      <w:r w:rsidR="008831CA" w:rsidRPr="009A4D20">
        <w:rPr>
          <w:color w:val="000000"/>
        </w:rPr>
        <w:tab/>
      </w:r>
      <w:r w:rsidRPr="009A4D20">
        <w:rPr>
          <w:color w:val="000000"/>
        </w:rPr>
        <w:t>all aeroplanes driven by 2 or more turbine propeller engines having a maximum take-off weight in excess of 5 700 kg;</w:t>
      </w:r>
    </w:p>
    <w:p w14:paraId="2630572C" w14:textId="6FDDC011" w:rsidR="004B0997" w:rsidRPr="009A4D20" w:rsidRDefault="004B0997" w:rsidP="00AA0BB2">
      <w:pPr>
        <w:pStyle w:val="ldp1a1"/>
        <w:shd w:val="clear" w:color="auto" w:fill="FFFFFF"/>
        <w:tabs>
          <w:tab w:val="left" w:pos="1134"/>
        </w:tabs>
        <w:spacing w:before="60" w:beforeAutospacing="0" w:after="60" w:afterAutospacing="0"/>
        <w:ind w:left="1134" w:hanging="397"/>
        <w:rPr>
          <w:color w:val="000000"/>
        </w:rPr>
      </w:pPr>
      <w:r w:rsidRPr="009A4D20">
        <w:rPr>
          <w:color w:val="000000"/>
        </w:rPr>
        <w:t>(c)</w:t>
      </w:r>
      <w:r w:rsidR="008831CA" w:rsidRPr="009A4D20">
        <w:rPr>
          <w:color w:val="000000"/>
        </w:rPr>
        <w:tab/>
      </w:r>
      <w:r w:rsidRPr="009A4D20">
        <w:rPr>
          <w:color w:val="000000"/>
        </w:rPr>
        <w:t>all new types of aeroplanes first registered in Australia after 1 June 1963, driven by 2 or more piston engines and having a maximum take-off weight in excess of 5 700 kg.</w:t>
      </w:r>
    </w:p>
    <w:p w14:paraId="7B951352" w14:textId="4C17EF3A" w:rsidR="004B0997" w:rsidRPr="009A4D20" w:rsidRDefault="004B0997" w:rsidP="00E31A89">
      <w:pPr>
        <w:pStyle w:val="ldp1a1"/>
        <w:shd w:val="clear" w:color="auto" w:fill="FFFFFF"/>
        <w:spacing w:before="60" w:beforeAutospacing="0" w:after="60" w:afterAutospacing="0"/>
      </w:pPr>
      <w:r w:rsidRPr="009A4D20">
        <w:rPr>
          <w:color w:val="000000"/>
        </w:rPr>
        <w:t>And for CAO 20.7.4, the following:</w:t>
      </w:r>
    </w:p>
    <w:p w14:paraId="219199FA" w14:textId="291E3740" w:rsidR="0071720F" w:rsidRPr="009A4D20" w:rsidRDefault="0071720F" w:rsidP="00AA0BB2">
      <w:pPr>
        <w:pStyle w:val="ldp1a1"/>
        <w:shd w:val="clear" w:color="auto" w:fill="FFFFFF"/>
        <w:tabs>
          <w:tab w:val="left" w:pos="1134"/>
        </w:tabs>
        <w:spacing w:before="60" w:beforeAutospacing="0" w:after="60" w:afterAutospacing="0"/>
        <w:ind w:left="1134" w:hanging="397"/>
        <w:rPr>
          <w:color w:val="000000"/>
        </w:rPr>
      </w:pPr>
      <w:r w:rsidRPr="009A4D20">
        <w:rPr>
          <w:color w:val="000000"/>
        </w:rPr>
        <w:t>(a)</w:t>
      </w:r>
      <w:r w:rsidR="008831CA" w:rsidRPr="009A4D20">
        <w:rPr>
          <w:color w:val="000000"/>
        </w:rPr>
        <w:tab/>
      </w:r>
      <w:r w:rsidRPr="009A4D20">
        <w:rPr>
          <w:color w:val="000000"/>
        </w:rPr>
        <w:t>propeller-driven aeroplanes having a maximum take-off weight not in excess of 5 700 kg;</w:t>
      </w:r>
    </w:p>
    <w:p w14:paraId="56A3C47D" w14:textId="64D35CBC" w:rsidR="00325D97" w:rsidRPr="009A4D20" w:rsidRDefault="0071720F" w:rsidP="00AA0BB2">
      <w:pPr>
        <w:pStyle w:val="ldp1a1"/>
        <w:shd w:val="clear" w:color="auto" w:fill="FFFFFF"/>
        <w:tabs>
          <w:tab w:val="left" w:pos="1134"/>
        </w:tabs>
        <w:spacing w:before="60" w:beforeAutospacing="0" w:after="0" w:afterAutospacing="0"/>
        <w:ind w:left="1134" w:hanging="397"/>
        <w:rPr>
          <w:color w:val="000000"/>
        </w:rPr>
      </w:pPr>
      <w:r w:rsidRPr="009A4D20">
        <w:rPr>
          <w:color w:val="000000"/>
        </w:rPr>
        <w:t>(b)</w:t>
      </w:r>
      <w:r w:rsidR="008831CA" w:rsidRPr="009A4D20">
        <w:rPr>
          <w:color w:val="000000"/>
        </w:rPr>
        <w:tab/>
      </w:r>
      <w:r w:rsidRPr="009A4D20">
        <w:rPr>
          <w:color w:val="000000"/>
        </w:rPr>
        <w:t>jet-engined aeroplanes having a maximum take-off weight not in excess of 2 722 kg</w:t>
      </w:r>
      <w:r w:rsidR="004B0997" w:rsidRPr="009A4D20">
        <w:rPr>
          <w:color w:val="000000"/>
        </w:rPr>
        <w:t>.</w:t>
      </w:r>
    </w:p>
    <w:p w14:paraId="2FFDBCB9" w14:textId="77777777" w:rsidR="00103995" w:rsidRPr="009A4D20" w:rsidRDefault="00103995" w:rsidP="00285822">
      <w:pPr>
        <w:pStyle w:val="LDBodytext"/>
      </w:pPr>
    </w:p>
    <w:p w14:paraId="6F73B3AD" w14:textId="3B97ED64" w:rsidR="00DB7A41" w:rsidRPr="009A4D20" w:rsidRDefault="00306C1D" w:rsidP="00285822">
      <w:pPr>
        <w:pStyle w:val="LDBodytext"/>
      </w:pPr>
      <w:r w:rsidRPr="009A4D20">
        <w:t>No material question of aviation safety arises because</w:t>
      </w:r>
      <w:r w:rsidR="00AE2D61" w:rsidRPr="009A4D20">
        <w:t xml:space="preserve"> </w:t>
      </w:r>
      <w:r w:rsidRPr="009A4D20">
        <w:t xml:space="preserve">the </w:t>
      </w:r>
      <w:r w:rsidR="00461BFB" w:rsidRPr="009A4D20">
        <w:t>operations</w:t>
      </w:r>
      <w:r w:rsidRPr="009A4D20">
        <w:t xml:space="preserve"> </w:t>
      </w:r>
      <w:r w:rsidR="00461BFB" w:rsidRPr="009A4D20">
        <w:t xml:space="preserve">in </w:t>
      </w:r>
      <w:r w:rsidRPr="009A4D20">
        <w:t>question were</w:t>
      </w:r>
      <w:r w:rsidR="00461BFB" w:rsidRPr="009A4D20">
        <w:t xml:space="preserve"> </w:t>
      </w:r>
      <w:r w:rsidR="00AB05AC" w:rsidRPr="009A4D20">
        <w:t xml:space="preserve">those that </w:t>
      </w:r>
      <w:r w:rsidR="00461BFB" w:rsidRPr="009A4D20">
        <w:t>up to 2 De</w:t>
      </w:r>
      <w:r w:rsidR="00573E27" w:rsidRPr="009A4D20">
        <w:t>ce</w:t>
      </w:r>
      <w:r w:rsidR="00461BFB" w:rsidRPr="009A4D20">
        <w:t xml:space="preserve">mber 2021 </w:t>
      </w:r>
      <w:r w:rsidR="00A17BA6" w:rsidRPr="009A4D20">
        <w:t>were</w:t>
      </w:r>
      <w:r w:rsidR="00EC020A" w:rsidRPr="009A4D20">
        <w:t xml:space="preserve"> actually being </w:t>
      </w:r>
      <w:r w:rsidR="00DC74D2" w:rsidRPr="009A4D20">
        <w:t>conducted by</w:t>
      </w:r>
      <w:r w:rsidR="00EC020A" w:rsidRPr="009A4D20">
        <w:t xml:space="preserve"> the relevant class of </w:t>
      </w:r>
      <w:r w:rsidR="00222E83" w:rsidRPr="009A4D20">
        <w:t>operators</w:t>
      </w:r>
      <w:r w:rsidR="00A17BA6" w:rsidRPr="009A4D20">
        <w:t xml:space="preserve"> </w:t>
      </w:r>
      <w:r w:rsidR="00222E83" w:rsidRPr="009A4D20">
        <w:t xml:space="preserve">and were </w:t>
      </w:r>
      <w:r w:rsidR="00573E27" w:rsidRPr="009A4D20">
        <w:t>regarded as</w:t>
      </w:r>
      <w:r w:rsidR="00461BFB" w:rsidRPr="009A4D20">
        <w:t xml:space="preserve"> </w:t>
      </w:r>
      <w:r w:rsidR="009E41CC" w:rsidRPr="009A4D20">
        <w:t xml:space="preserve">involving a </w:t>
      </w:r>
      <w:r w:rsidR="002F3F9E" w:rsidRPr="009A4D20">
        <w:t>l</w:t>
      </w:r>
      <w:r w:rsidR="009E41CC" w:rsidRPr="009A4D20">
        <w:t>evel of aviation safety that was at least acceptable (within the meaning of regulation 11.160).</w:t>
      </w:r>
    </w:p>
    <w:p w14:paraId="35269919" w14:textId="77777777" w:rsidR="00DB7A41" w:rsidRPr="009A4D20" w:rsidRDefault="00DB7A41" w:rsidP="00285822">
      <w:pPr>
        <w:pStyle w:val="LDBodytext"/>
      </w:pPr>
    </w:p>
    <w:p w14:paraId="6E4C0105" w14:textId="104FD894" w:rsidR="009E41CC" w:rsidRPr="009A4D20" w:rsidRDefault="008F72D7" w:rsidP="00285822">
      <w:pPr>
        <w:pStyle w:val="LDBodytext"/>
      </w:pPr>
      <w:r w:rsidRPr="009A4D20">
        <w:t>The exemption</w:t>
      </w:r>
      <w:r w:rsidR="001242D3" w:rsidRPr="009A4D20">
        <w:t xml:space="preserve"> is</w:t>
      </w:r>
      <w:r w:rsidR="005243D6" w:rsidRPr="009A4D20">
        <w:t>, in effect,</w:t>
      </w:r>
      <w:r w:rsidR="001242D3" w:rsidRPr="009A4D20">
        <w:t xml:space="preserve"> a </w:t>
      </w:r>
      <w:r w:rsidR="002248B3" w:rsidRPr="009A4D20">
        <w:t xml:space="preserve">temporary </w:t>
      </w:r>
      <w:r w:rsidR="001242D3" w:rsidRPr="009A4D20">
        <w:t>grandfathering measure and</w:t>
      </w:r>
      <w:r w:rsidRPr="009A4D20">
        <w:t xml:space="preserve"> </w:t>
      </w:r>
      <w:r w:rsidR="001242D3" w:rsidRPr="009A4D20">
        <w:t>only applies</w:t>
      </w:r>
      <w:r w:rsidRPr="009A4D20">
        <w:t xml:space="preserve"> to operators who </w:t>
      </w:r>
      <w:r w:rsidR="001242D3" w:rsidRPr="009A4D20">
        <w:t xml:space="preserve">immediately before 2 December 2021 </w:t>
      </w:r>
      <w:r w:rsidRPr="009A4D20">
        <w:t xml:space="preserve">were </w:t>
      </w:r>
      <w:r w:rsidR="001242D3" w:rsidRPr="009A4D20">
        <w:t>already</w:t>
      </w:r>
      <w:r w:rsidRPr="009A4D20">
        <w:t xml:space="preserve"> </w:t>
      </w:r>
      <w:r w:rsidR="001242D3" w:rsidRPr="009A4D20">
        <w:t>engaged in conducting the relevant operations.</w:t>
      </w:r>
    </w:p>
    <w:p w14:paraId="6C35DA52" w14:textId="77777777" w:rsidR="009E41CC" w:rsidRPr="009A4D20" w:rsidRDefault="009E41CC" w:rsidP="00285822">
      <w:pPr>
        <w:pStyle w:val="LDBodytext"/>
      </w:pPr>
    </w:p>
    <w:p w14:paraId="44B5ED06" w14:textId="77777777" w:rsidR="00DF276A" w:rsidRPr="009A4D20" w:rsidRDefault="00DF276A" w:rsidP="00B024FD">
      <w:pPr>
        <w:pStyle w:val="LDBodytext"/>
        <w:rPr>
          <w:rFonts w:ascii="Arial" w:hAnsi="Arial" w:cs="Arial"/>
          <w:sz w:val="22"/>
          <w:szCs w:val="22"/>
        </w:rPr>
      </w:pPr>
      <w:r w:rsidRPr="009A4D20">
        <w:rPr>
          <w:rFonts w:ascii="Arial" w:hAnsi="Arial" w:cs="Arial"/>
          <w:sz w:val="22"/>
          <w:szCs w:val="22"/>
        </w:rPr>
        <w:t>Second exemption</w:t>
      </w:r>
    </w:p>
    <w:p w14:paraId="4E49C507" w14:textId="1EF4B7DE" w:rsidR="008A43C7" w:rsidRPr="009A4D20" w:rsidRDefault="00C64FB2" w:rsidP="00B024FD">
      <w:pPr>
        <w:pStyle w:val="LDBodytext"/>
      </w:pPr>
      <w:r w:rsidRPr="009A4D20">
        <w:t>The second exempt</w:t>
      </w:r>
      <w:r w:rsidR="001C3F81" w:rsidRPr="009A4D20">
        <w:t xml:space="preserve">ion is designed to relieve </w:t>
      </w:r>
      <w:r w:rsidR="00901D2C" w:rsidRPr="009A4D20">
        <w:t xml:space="preserve">Australian air </w:t>
      </w:r>
      <w:r w:rsidR="009D0136" w:rsidRPr="009A4D20">
        <w:t>transport</w:t>
      </w:r>
      <w:r w:rsidR="00901D2C" w:rsidRPr="009A4D20">
        <w:t xml:space="preserve"> operators</w:t>
      </w:r>
      <w:r w:rsidR="00035C32" w:rsidRPr="009A4D20">
        <w:t>,</w:t>
      </w:r>
      <w:r w:rsidR="00901D2C" w:rsidRPr="009A4D20">
        <w:t xml:space="preserve"> </w:t>
      </w:r>
      <w:r w:rsidR="001C3F81" w:rsidRPr="009A4D20">
        <w:t xml:space="preserve">who </w:t>
      </w:r>
      <w:r w:rsidR="00F43E11" w:rsidRPr="009A4D20">
        <w:t>hold AOCs</w:t>
      </w:r>
      <w:r w:rsidR="00A27B27" w:rsidRPr="009A4D20">
        <w:t xml:space="preserve"> for </w:t>
      </w:r>
      <w:r w:rsidR="00DD4112" w:rsidRPr="009A4D20">
        <w:t>medical transport operations</w:t>
      </w:r>
      <w:r w:rsidR="00671171" w:rsidRPr="009A4D20">
        <w:t xml:space="preserve"> and </w:t>
      </w:r>
      <w:r w:rsidR="00DD4112" w:rsidRPr="009A4D20">
        <w:t>non-scheduled transport operations</w:t>
      </w:r>
      <w:r w:rsidR="006815ED" w:rsidRPr="009A4D20">
        <w:t xml:space="preserve">, </w:t>
      </w:r>
      <w:r w:rsidR="00F43E11" w:rsidRPr="009A4D20">
        <w:t xml:space="preserve">from the obligation to also be the </w:t>
      </w:r>
      <w:r w:rsidR="00546509" w:rsidRPr="009A4D20">
        <w:t>registered</w:t>
      </w:r>
      <w:r w:rsidR="00F43E11" w:rsidRPr="009A4D20">
        <w:t xml:space="preserve"> operator of the aircraft</w:t>
      </w:r>
      <w:r w:rsidR="00546509" w:rsidRPr="009A4D20">
        <w:t xml:space="preserve"> </w:t>
      </w:r>
      <w:r w:rsidR="008A43C7" w:rsidRPr="009A4D20">
        <w:t>if: the operation is an Australian air transport operation in an aircraft for which the relevant operator is not also the registered operator</w:t>
      </w:r>
      <w:r w:rsidR="001E424A" w:rsidRPr="009A4D20">
        <w:t>,</w:t>
      </w:r>
      <w:r w:rsidR="008A43C7" w:rsidRPr="009A4D20">
        <w:t xml:space="preserve"> or the holder of an approval under regulation 119.025 </w:t>
      </w:r>
      <w:r w:rsidR="00405A6F" w:rsidRPr="009A4D20">
        <w:t xml:space="preserve">of CASR </w:t>
      </w:r>
      <w:r w:rsidR="008A43C7" w:rsidRPr="009A4D20">
        <w:t>for subparagraph 119.080 (1) (h) (ii)</w:t>
      </w:r>
      <w:r w:rsidR="00405A6F" w:rsidRPr="009A4D20">
        <w:t xml:space="preserve"> of CASR</w:t>
      </w:r>
      <w:r w:rsidR="008A43C7" w:rsidRPr="009A4D20">
        <w:t>; and</w:t>
      </w:r>
      <w:r w:rsidR="001E424A" w:rsidRPr="009A4D20">
        <w:t xml:space="preserve"> </w:t>
      </w:r>
      <w:r w:rsidR="008A43C7" w:rsidRPr="009A4D20">
        <w:t>the relevant aircraft does not conduct scheduled air transport operations.</w:t>
      </w:r>
      <w:r w:rsidR="009B6BBD" w:rsidRPr="009A4D20">
        <w:t xml:space="preserve"> (</w:t>
      </w:r>
      <w:r w:rsidR="00D951F9" w:rsidRPr="009A4D20">
        <w:t xml:space="preserve">Under subparagraph 119.080 (1) (h) (ii), </w:t>
      </w:r>
      <w:r w:rsidR="006906EB" w:rsidRPr="009A4D20">
        <w:t xml:space="preserve">a </w:t>
      </w:r>
      <w:r w:rsidR="00D951F9" w:rsidRPr="009A4D20">
        <w:t>CASA</w:t>
      </w:r>
      <w:r w:rsidR="006906EB" w:rsidRPr="009A4D20">
        <w:t xml:space="preserve"> approval may relieve a relevant operator from the obligation to also be the registered operator of the relevant aircraft.)</w:t>
      </w:r>
    </w:p>
    <w:p w14:paraId="0A2232AD" w14:textId="77777777" w:rsidR="005A0220" w:rsidRPr="009A4D20" w:rsidRDefault="005A0220" w:rsidP="00B024FD">
      <w:pPr>
        <w:pStyle w:val="LDBodytext"/>
      </w:pPr>
    </w:p>
    <w:p w14:paraId="78D3BF9A" w14:textId="4E296D8B" w:rsidR="00C64FB2" w:rsidRPr="009A4D20" w:rsidRDefault="007C0A30" w:rsidP="00B024FD">
      <w:pPr>
        <w:pStyle w:val="LDBodytext"/>
      </w:pPr>
      <w:r w:rsidRPr="009A4D20">
        <w:t xml:space="preserve">These are operators who </w:t>
      </w:r>
      <w:r w:rsidR="0048207F" w:rsidRPr="009A4D20">
        <w:t>participate in</w:t>
      </w:r>
      <w:r w:rsidRPr="009A4D20">
        <w:t xml:space="preserve"> what are</w:t>
      </w:r>
      <w:r w:rsidR="00180DEB" w:rsidRPr="009A4D20">
        <w:t xml:space="preserve"> colloquially</w:t>
      </w:r>
      <w:r w:rsidRPr="009A4D20">
        <w:t xml:space="preserve"> described as </w:t>
      </w:r>
      <w:r w:rsidR="00180DEB" w:rsidRPr="009A4D20">
        <w:t>“</w:t>
      </w:r>
      <w:r w:rsidRPr="009A4D20">
        <w:t>cross-hire</w:t>
      </w:r>
      <w:r w:rsidR="00180DEB" w:rsidRPr="009A4D20">
        <w:t>”</w:t>
      </w:r>
      <w:r w:rsidRPr="009A4D20">
        <w:t xml:space="preserve"> arrangements in which they </w:t>
      </w:r>
      <w:r w:rsidR="00180DEB" w:rsidRPr="009A4D20">
        <w:t xml:space="preserve">lease or </w:t>
      </w:r>
      <w:r w:rsidRPr="009A4D20">
        <w:t xml:space="preserve">hire the relevant aircraft from </w:t>
      </w:r>
      <w:r w:rsidR="00A2070C" w:rsidRPr="009A4D20">
        <w:t>an</w:t>
      </w:r>
      <w:r w:rsidRPr="009A4D20">
        <w:t xml:space="preserve"> operator who is the registered operator</w:t>
      </w:r>
      <w:r w:rsidR="001669BF" w:rsidRPr="009A4D20">
        <w:t xml:space="preserve"> </w:t>
      </w:r>
      <w:r w:rsidR="00A2070C" w:rsidRPr="009A4D20">
        <w:t xml:space="preserve">of the aircraft </w:t>
      </w:r>
      <w:r w:rsidR="001669BF" w:rsidRPr="009A4D20">
        <w:t>but who is not operating the aircraft.</w:t>
      </w:r>
    </w:p>
    <w:p w14:paraId="2C878739" w14:textId="665B71A4" w:rsidR="0096139E" w:rsidRPr="009A4D20" w:rsidRDefault="0096139E" w:rsidP="00B024FD">
      <w:pPr>
        <w:pStyle w:val="LDBodytext"/>
      </w:pPr>
    </w:p>
    <w:p w14:paraId="02B74B7F" w14:textId="3B915247" w:rsidR="004E371B" w:rsidRPr="009A4D20" w:rsidRDefault="00D07D10" w:rsidP="00B024FD">
      <w:pPr>
        <w:pStyle w:val="LDBodytext"/>
      </w:pPr>
      <w:r w:rsidRPr="009A4D20">
        <w:t xml:space="preserve">Under </w:t>
      </w:r>
      <w:r w:rsidR="001544BC" w:rsidRPr="009A4D20">
        <w:t>paragraph 28BA</w:t>
      </w:r>
      <w:r w:rsidR="00DC37C9" w:rsidRPr="009A4D20">
        <w:t> </w:t>
      </w:r>
      <w:r w:rsidR="001544BC" w:rsidRPr="009A4D20">
        <w:t>(1)</w:t>
      </w:r>
      <w:r w:rsidR="00DC37C9" w:rsidRPr="009A4D20">
        <w:t> </w:t>
      </w:r>
      <w:r w:rsidR="001544BC" w:rsidRPr="009A4D20">
        <w:t>(b) of the Act,</w:t>
      </w:r>
      <w:r w:rsidR="00F7303B" w:rsidRPr="009A4D20">
        <w:t xml:space="preserve"> an AOC has effect subject to any conditions specified in</w:t>
      </w:r>
      <w:r w:rsidR="00991995" w:rsidRPr="009A4D20">
        <w:t xml:space="preserve"> the regulations</w:t>
      </w:r>
      <w:r w:rsidR="00E1630B" w:rsidRPr="009A4D20">
        <w:t xml:space="preserve">. </w:t>
      </w:r>
    </w:p>
    <w:p w14:paraId="146B6E13" w14:textId="77777777" w:rsidR="004E371B" w:rsidRPr="009A4D20" w:rsidRDefault="004E371B" w:rsidP="00B024FD">
      <w:pPr>
        <w:pStyle w:val="LDBodytext"/>
      </w:pPr>
    </w:p>
    <w:p w14:paraId="7B38A867" w14:textId="60549B57" w:rsidR="00E1630B" w:rsidRPr="009A4D20" w:rsidRDefault="004E371B" w:rsidP="00B024FD">
      <w:pPr>
        <w:pStyle w:val="LDBodytext"/>
      </w:pPr>
      <w:r w:rsidRPr="009A4D20">
        <w:t>On and from 2 December 2021, u</w:t>
      </w:r>
      <w:r w:rsidR="00E1630B" w:rsidRPr="009A4D20">
        <w:t>nder paragraph 119.080</w:t>
      </w:r>
      <w:r w:rsidR="00DC37C9" w:rsidRPr="009A4D20">
        <w:t> </w:t>
      </w:r>
      <w:r w:rsidR="00E91EFB" w:rsidRPr="009A4D20">
        <w:t>(1)</w:t>
      </w:r>
      <w:r w:rsidR="00DC37C9" w:rsidRPr="009A4D20">
        <w:t> </w:t>
      </w:r>
      <w:r w:rsidR="00E91EFB" w:rsidRPr="009A4D20">
        <w:t>(h)</w:t>
      </w:r>
      <w:r w:rsidR="00175CC5" w:rsidRPr="009A4D20">
        <w:t>, for the purposes of paragraph 28BA</w:t>
      </w:r>
      <w:r w:rsidR="00DC37C9" w:rsidRPr="009A4D20">
        <w:t> </w:t>
      </w:r>
      <w:r w:rsidR="00175CC5" w:rsidRPr="009A4D20">
        <w:t>(1)</w:t>
      </w:r>
      <w:r w:rsidR="00DC37C9" w:rsidRPr="009A4D20">
        <w:t> </w:t>
      </w:r>
      <w:r w:rsidR="00175CC5" w:rsidRPr="009A4D20">
        <w:t xml:space="preserve">(b), </w:t>
      </w:r>
      <w:r w:rsidR="00CC5BB2" w:rsidRPr="009A4D20">
        <w:t>it is a condition on an Australian air transport AOC that, for each</w:t>
      </w:r>
      <w:r w:rsidR="0068688C" w:rsidRPr="009A4D20">
        <w:t xml:space="preserve"> registered aircraft operated by the operator under the AOC</w:t>
      </w:r>
      <w:r w:rsidR="00F401A0" w:rsidRPr="009A4D20">
        <w:t>, the operator must be the registered operator of the aircraft, or hold an approval</w:t>
      </w:r>
      <w:r w:rsidR="00BF06E9" w:rsidRPr="009A4D20">
        <w:t xml:space="preserve"> under regulation</w:t>
      </w:r>
      <w:r w:rsidR="00405A6F" w:rsidRPr="009A4D20">
        <w:t xml:space="preserve"> </w:t>
      </w:r>
      <w:r w:rsidR="00BF06E9" w:rsidRPr="009A4D20">
        <w:t>119.025</w:t>
      </w:r>
      <w:r w:rsidR="00214CF0" w:rsidRPr="009A4D20">
        <w:t xml:space="preserve"> for the </w:t>
      </w:r>
      <w:r w:rsidR="00292C62" w:rsidRPr="009A4D20">
        <w:t xml:space="preserve">intended </w:t>
      </w:r>
      <w:r w:rsidR="00214CF0" w:rsidRPr="009A4D20">
        <w:t>operation of the aircraft.</w:t>
      </w:r>
    </w:p>
    <w:p w14:paraId="55926825" w14:textId="6CB2354C" w:rsidR="000B764E" w:rsidRPr="009A4D20" w:rsidRDefault="000B764E" w:rsidP="00B024FD">
      <w:pPr>
        <w:pStyle w:val="LDBodytext"/>
      </w:pPr>
    </w:p>
    <w:p w14:paraId="0BB386FE" w14:textId="7889B334" w:rsidR="000B764E" w:rsidRPr="009A4D20" w:rsidRDefault="000B764E" w:rsidP="00B024FD">
      <w:pPr>
        <w:pStyle w:val="LDBodytext"/>
      </w:pPr>
      <w:r w:rsidRPr="009A4D20">
        <w:t>This requirement</w:t>
      </w:r>
      <w:r w:rsidR="00A50AD1" w:rsidRPr="009A4D20">
        <w:t xml:space="preserve"> inadvertently affects existing cross-hire arrangements that were lawful before 2 December 2021</w:t>
      </w:r>
      <w:r w:rsidR="00471F07" w:rsidRPr="009A4D20">
        <w:t xml:space="preserve"> because there was no equivalent of</w:t>
      </w:r>
      <w:r w:rsidR="00E91EFB" w:rsidRPr="009A4D20">
        <w:t xml:space="preserve"> paragraph 119.080</w:t>
      </w:r>
      <w:r w:rsidR="00DC37C9" w:rsidRPr="009A4D20">
        <w:t> </w:t>
      </w:r>
      <w:r w:rsidR="00E91EFB" w:rsidRPr="009A4D20">
        <w:t>(1)</w:t>
      </w:r>
      <w:r w:rsidR="00DC37C9" w:rsidRPr="009A4D20">
        <w:t> </w:t>
      </w:r>
      <w:r w:rsidR="00E91EFB" w:rsidRPr="009A4D20">
        <w:t>(h)</w:t>
      </w:r>
      <w:r w:rsidR="000A05B5" w:rsidRPr="009A4D20">
        <w:t xml:space="preserve"> but would now require specific CASA approvals.</w:t>
      </w:r>
      <w:r w:rsidR="003E20E2" w:rsidRPr="009A4D20">
        <w:t xml:space="preserve"> P</w:t>
      </w:r>
      <w:r w:rsidR="00BB006F" w:rsidRPr="009A4D20">
        <w:t>aragraph</w:t>
      </w:r>
      <w:r w:rsidR="003E20E2" w:rsidRPr="009A4D20">
        <w:t xml:space="preserve"> 119.080</w:t>
      </w:r>
      <w:r w:rsidR="00DC37C9" w:rsidRPr="009A4D20">
        <w:t> </w:t>
      </w:r>
      <w:r w:rsidR="003E20E2" w:rsidRPr="009A4D20">
        <w:t>(1)</w:t>
      </w:r>
      <w:r w:rsidR="00DC37C9" w:rsidRPr="009A4D20">
        <w:t> </w:t>
      </w:r>
      <w:r w:rsidR="003E20E2" w:rsidRPr="009A4D20">
        <w:t>(h)</w:t>
      </w:r>
      <w:r w:rsidR="00BB006F" w:rsidRPr="009A4D20">
        <w:t xml:space="preserve"> is, </w:t>
      </w:r>
      <w:r w:rsidR="00BB006F" w:rsidRPr="009A4D20">
        <w:lastRenderedPageBreak/>
        <w:t>therefore, exempted from, along with</w:t>
      </w:r>
      <w:r w:rsidR="00D1664B" w:rsidRPr="009A4D20">
        <w:t xml:space="preserve"> the effect of the offence provision in regulation</w:t>
      </w:r>
      <w:r w:rsidR="00DC37C9" w:rsidRPr="009A4D20">
        <w:t> </w:t>
      </w:r>
      <w:r w:rsidR="00D1664B" w:rsidRPr="009A4D20">
        <w:t xml:space="preserve">119.060 </w:t>
      </w:r>
      <w:r w:rsidR="00405A6F" w:rsidRPr="009A4D20">
        <w:t xml:space="preserve">of CASR </w:t>
      </w:r>
      <w:r w:rsidR="00D1664B" w:rsidRPr="009A4D20">
        <w:t>in relation to the paragraph.</w:t>
      </w:r>
    </w:p>
    <w:p w14:paraId="165A78D3" w14:textId="77777777" w:rsidR="00E1630B" w:rsidRPr="009A4D20" w:rsidRDefault="00E1630B" w:rsidP="00B024FD">
      <w:pPr>
        <w:pStyle w:val="LDBodytext"/>
      </w:pPr>
    </w:p>
    <w:p w14:paraId="025E6AC2" w14:textId="55ACD3D1" w:rsidR="00734BA5" w:rsidRPr="009A4D20" w:rsidRDefault="00DC0785" w:rsidP="00B024FD">
      <w:pPr>
        <w:pStyle w:val="LDBodytext"/>
      </w:pPr>
      <w:r w:rsidRPr="009A4D20">
        <w:t xml:space="preserve">The exemption is subject to the condition that </w:t>
      </w:r>
      <w:r w:rsidR="00B94B5B" w:rsidRPr="009A4D20">
        <w:t>the</w:t>
      </w:r>
      <w:r w:rsidR="00554131" w:rsidRPr="009A4D20">
        <w:t xml:space="preserve"> exposition of the </w:t>
      </w:r>
      <w:r w:rsidR="00B94B5B" w:rsidRPr="009A4D20">
        <w:t>oper</w:t>
      </w:r>
      <w:r w:rsidR="00C313EC" w:rsidRPr="009A4D20">
        <w:t>a</w:t>
      </w:r>
      <w:r w:rsidR="00B94B5B" w:rsidRPr="009A4D20">
        <w:t>tor</w:t>
      </w:r>
      <w:r w:rsidR="00DC37C9" w:rsidRPr="009A4D20">
        <w:t>,</w:t>
      </w:r>
      <w:r w:rsidR="00C313EC" w:rsidRPr="009A4D20">
        <w:t xml:space="preserve"> who is not the registered operator</w:t>
      </w:r>
      <w:r w:rsidR="00DC37C9" w:rsidRPr="009A4D20">
        <w:t>,</w:t>
      </w:r>
      <w:r w:rsidR="00C313EC" w:rsidRPr="009A4D20">
        <w:t xml:space="preserve"> </w:t>
      </w:r>
      <w:r w:rsidR="00BA753E" w:rsidRPr="009A4D20">
        <w:t xml:space="preserve">must </w:t>
      </w:r>
      <w:r w:rsidR="00554131" w:rsidRPr="009A4D20">
        <w:t>contain</w:t>
      </w:r>
      <w:r w:rsidR="006D19FB" w:rsidRPr="009A4D20">
        <w:t xml:space="preserve"> procedures to ensure </w:t>
      </w:r>
      <w:r w:rsidR="00C814D5" w:rsidRPr="009A4D20">
        <w:t>that</w:t>
      </w:r>
      <w:r w:rsidR="00FD7CDB" w:rsidRPr="009A4D20">
        <w:t xml:space="preserve"> </w:t>
      </w:r>
      <w:r w:rsidR="008C1AC3" w:rsidRPr="009A4D20">
        <w:t xml:space="preserve">if the use of the relevant aircraft does </w:t>
      </w:r>
      <w:r w:rsidR="008C1AC3" w:rsidRPr="009A4D20">
        <w:rPr>
          <w:i/>
          <w:iCs/>
        </w:rPr>
        <w:t xml:space="preserve">not </w:t>
      </w:r>
      <w:r w:rsidR="008C1AC3" w:rsidRPr="009A4D20">
        <w:t xml:space="preserve">constitute a significant change for the </w:t>
      </w:r>
      <w:r w:rsidR="00D12DB3" w:rsidRPr="009A4D20">
        <w:t>operator</w:t>
      </w:r>
      <w:r w:rsidR="008C1AC3" w:rsidRPr="009A4D20">
        <w:t xml:space="preserve"> (</w:t>
      </w:r>
      <w:r w:rsidR="00D12DB3" w:rsidRPr="009A4D20">
        <w:t>if it did, CASA approval of the change would be required under regulation 119.090</w:t>
      </w:r>
      <w:r w:rsidR="00405A6F" w:rsidRPr="009A4D20">
        <w:t xml:space="preserve"> of CASR</w:t>
      </w:r>
      <w:r w:rsidR="00D12DB3" w:rsidRPr="009A4D20">
        <w:t>)</w:t>
      </w:r>
      <w:r w:rsidR="00C814D5" w:rsidRPr="009A4D20">
        <w:t xml:space="preserve"> the</w:t>
      </w:r>
      <w:r w:rsidR="00D12DB3" w:rsidRPr="009A4D20">
        <w:t>n the</w:t>
      </w:r>
      <w:r w:rsidR="00C814D5" w:rsidRPr="009A4D20">
        <w:t xml:space="preserve"> </w:t>
      </w:r>
      <w:r w:rsidR="00F60B0F" w:rsidRPr="009A4D20">
        <w:t xml:space="preserve">aircraft </w:t>
      </w:r>
      <w:r w:rsidR="00D12DB3" w:rsidRPr="009A4D20">
        <w:t xml:space="preserve">must be </w:t>
      </w:r>
      <w:r w:rsidR="00F60B0F" w:rsidRPr="009A4D20">
        <w:t xml:space="preserve">safely integrated by the operator into its </w:t>
      </w:r>
      <w:r w:rsidR="004E744F" w:rsidRPr="009A4D20">
        <w:t>operations</w:t>
      </w:r>
      <w:r w:rsidR="00515FDA" w:rsidRPr="009A4D20">
        <w:t xml:space="preserve"> in terms of differences, training</w:t>
      </w:r>
      <w:r w:rsidR="00F60B0F" w:rsidRPr="009A4D20">
        <w:t xml:space="preserve"> and</w:t>
      </w:r>
      <w:r w:rsidR="00515FDA" w:rsidRPr="009A4D20">
        <w:t xml:space="preserve"> competency</w:t>
      </w:r>
      <w:r w:rsidR="00333A95" w:rsidRPr="009A4D20">
        <w:t>, and</w:t>
      </w:r>
      <w:r w:rsidR="00F60B0F" w:rsidRPr="009A4D20">
        <w:t xml:space="preserve"> </w:t>
      </w:r>
      <w:r w:rsidR="00333A95" w:rsidRPr="009A4D20">
        <w:t>that airworthiness</w:t>
      </w:r>
      <w:r w:rsidR="00FB28CB" w:rsidRPr="009A4D20">
        <w:t>, maintenance</w:t>
      </w:r>
      <w:r w:rsidR="006A100D" w:rsidRPr="009A4D20">
        <w:t xml:space="preserve"> and safety requirements are met</w:t>
      </w:r>
      <w:r w:rsidR="00734BA5" w:rsidRPr="009A4D20">
        <w:t xml:space="preserve"> for the operator’s operations.</w:t>
      </w:r>
    </w:p>
    <w:p w14:paraId="41E55E2E" w14:textId="77777777" w:rsidR="00554131" w:rsidRPr="009A4D20" w:rsidRDefault="00554131" w:rsidP="00B024FD">
      <w:pPr>
        <w:pStyle w:val="LDBodytext"/>
      </w:pPr>
    </w:p>
    <w:p w14:paraId="78EFBE71" w14:textId="57E105FD" w:rsidR="00F67B94" w:rsidRPr="009A4D20" w:rsidRDefault="00F67B94" w:rsidP="00F67B94">
      <w:pPr>
        <w:pStyle w:val="LDBodytext"/>
      </w:pPr>
      <w:r w:rsidRPr="009A4D20">
        <w:t>While steps are taken to develop drafting instructions, and to draft regulatory amendments, to appropriately overcome this problem by not later than the end of 1</w:t>
      </w:r>
      <w:r w:rsidR="00C40E79" w:rsidRPr="009A4D20">
        <w:t> </w:t>
      </w:r>
      <w:r w:rsidRPr="009A4D20">
        <w:t>December 2024 (when the exemption is expressed to expire), the exemption is necessary to preserve the pre-2 December 2021 status quo for the relevant operators until then.</w:t>
      </w:r>
    </w:p>
    <w:p w14:paraId="67E5E0D8" w14:textId="77777777" w:rsidR="00F67B94" w:rsidRPr="009A4D20" w:rsidRDefault="00F67B94" w:rsidP="00191A0C">
      <w:pPr>
        <w:pStyle w:val="LDBodytext"/>
      </w:pPr>
    </w:p>
    <w:p w14:paraId="2D23FC53" w14:textId="4E7ADD55" w:rsidR="00654C7E" w:rsidRPr="009A4D20" w:rsidRDefault="00F67B94" w:rsidP="00191A0C">
      <w:pPr>
        <w:pStyle w:val="LDBodytext"/>
      </w:pPr>
      <w:r w:rsidRPr="009A4D20">
        <w:t>No material question of aviation safety arises because the operations in questions were, up to 2 December 2021, regarded as involving a level of aviation safety that was at least acceptable (within the meaning of regulation 11.160).</w:t>
      </w:r>
    </w:p>
    <w:p w14:paraId="61D29D47" w14:textId="77777777" w:rsidR="00654C7E" w:rsidRPr="009A4D20" w:rsidRDefault="00654C7E" w:rsidP="00191A0C">
      <w:pPr>
        <w:pStyle w:val="LDBodytext"/>
      </w:pPr>
    </w:p>
    <w:p w14:paraId="256A2CC5" w14:textId="60913F6E" w:rsidR="00654C7E" w:rsidRPr="009A4D20" w:rsidRDefault="00320E89" w:rsidP="00191A0C">
      <w:pPr>
        <w:pStyle w:val="LDBodytext"/>
      </w:pPr>
      <w:r w:rsidRPr="009A4D20">
        <w:t xml:space="preserve">The operations of new operators are similarly considered as likely to involve a level of aviation safety that </w:t>
      </w:r>
      <w:r w:rsidR="007E76C5" w:rsidRPr="009A4D20">
        <w:t>is</w:t>
      </w:r>
      <w:r w:rsidRPr="009A4D20">
        <w:t xml:space="preserve"> at least acceptable</w:t>
      </w:r>
      <w:r w:rsidR="007E76C5" w:rsidRPr="009A4D20">
        <w:t xml:space="preserve"> by virtue of t</w:t>
      </w:r>
      <w:r w:rsidR="00654C7E" w:rsidRPr="009A4D20">
        <w:t>h</w:t>
      </w:r>
      <w:r w:rsidR="007E76C5" w:rsidRPr="009A4D20">
        <w:t>e impact of the conditions mentioned above and</w:t>
      </w:r>
      <w:r w:rsidRPr="009A4D20">
        <w:t xml:space="preserve"> </w:t>
      </w:r>
      <w:r w:rsidR="00654C7E" w:rsidRPr="009A4D20">
        <w:t>regulations relating to exposition content, responsibilities of key personnel and maintenance requirements.</w:t>
      </w:r>
    </w:p>
    <w:p w14:paraId="7E7DA544" w14:textId="77777777" w:rsidR="00C11DB9" w:rsidRPr="009A4D20" w:rsidRDefault="00C11DB9" w:rsidP="00EA457A">
      <w:pPr>
        <w:pStyle w:val="LDBodytext"/>
      </w:pPr>
    </w:p>
    <w:p w14:paraId="492D84C2" w14:textId="77777777" w:rsidR="00C25CBD" w:rsidRPr="009A4D20" w:rsidRDefault="00C25CBD" w:rsidP="00C25CBD">
      <w:pPr>
        <w:shd w:val="clear" w:color="auto" w:fill="FFFFFF"/>
        <w:tabs>
          <w:tab w:val="clear" w:pos="567"/>
        </w:tabs>
        <w:overflowPunct/>
        <w:autoSpaceDE/>
        <w:autoSpaceDN/>
        <w:adjustRightInd/>
        <w:textAlignment w:val="auto"/>
        <w:rPr>
          <w:rFonts w:ascii="Times New Roman" w:hAnsi="Times New Roman"/>
          <w:color w:val="201F1E"/>
          <w:lang w:eastAsia="en-AU"/>
        </w:rPr>
      </w:pPr>
      <w:r w:rsidRPr="00C25CBD">
        <w:rPr>
          <w:rFonts w:ascii="Times New Roman" w:hAnsi="Times New Roman"/>
          <w:b/>
          <w:bCs/>
          <w:color w:val="201F1E"/>
          <w:bdr w:val="none" w:sz="0" w:space="0" w:color="auto" w:frame="1"/>
          <w:lang w:eastAsia="en-AU"/>
        </w:rPr>
        <w:t>Description of the new exemptions</w:t>
      </w:r>
    </w:p>
    <w:p w14:paraId="724AD599" w14:textId="77777777" w:rsidR="00C25CBD" w:rsidRPr="00C25CBD" w:rsidRDefault="00C25CBD" w:rsidP="00C25CBD">
      <w:pPr>
        <w:shd w:val="clear" w:color="auto" w:fill="FFFFFF"/>
        <w:tabs>
          <w:tab w:val="clear" w:pos="567"/>
        </w:tabs>
        <w:overflowPunct/>
        <w:autoSpaceDE/>
        <w:autoSpaceDN/>
        <w:adjustRightInd/>
        <w:textAlignment w:val="auto"/>
        <w:rPr>
          <w:rFonts w:ascii="Segoe UI" w:hAnsi="Segoe UI" w:cs="Segoe UI"/>
          <w:color w:val="000000" w:themeColor="text1"/>
          <w:lang w:eastAsia="en-AU"/>
        </w:rPr>
      </w:pPr>
      <w:r w:rsidRPr="00C25CBD">
        <w:rPr>
          <w:rFonts w:ascii="Times New Roman" w:hAnsi="Times New Roman"/>
          <w:color w:val="000000" w:themeColor="text1"/>
          <w:bdr w:val="none" w:sz="0" w:space="0" w:color="auto" w:frame="1"/>
          <w:lang w:eastAsia="en-AU"/>
        </w:rPr>
        <w:t>Further details of the exemptions instrument are set out in Appendix 1.</w:t>
      </w:r>
    </w:p>
    <w:p w14:paraId="3BF14798" w14:textId="60699975" w:rsidR="00C25CBD" w:rsidRPr="00C25CBD" w:rsidRDefault="00C25CBD" w:rsidP="00C25CBD">
      <w:pPr>
        <w:shd w:val="clear" w:color="auto" w:fill="FFFFFF"/>
        <w:tabs>
          <w:tab w:val="clear" w:pos="567"/>
        </w:tabs>
        <w:overflowPunct/>
        <w:autoSpaceDE/>
        <w:autoSpaceDN/>
        <w:adjustRightInd/>
        <w:textAlignment w:val="auto"/>
        <w:rPr>
          <w:rFonts w:ascii="Times New Roman" w:hAnsi="Times New Roman"/>
          <w:color w:val="000000" w:themeColor="text1"/>
          <w:lang w:eastAsia="en-AU"/>
        </w:rPr>
      </w:pPr>
    </w:p>
    <w:p w14:paraId="3254532F" w14:textId="40841CE9" w:rsidR="00C25CBD" w:rsidRPr="009A4D20" w:rsidRDefault="00C25CBD" w:rsidP="00C25CBD">
      <w:pPr>
        <w:shd w:val="clear" w:color="auto" w:fill="FFFFFF"/>
        <w:tabs>
          <w:tab w:val="clear" w:pos="567"/>
        </w:tabs>
        <w:overflowPunct/>
        <w:autoSpaceDE/>
        <w:autoSpaceDN/>
        <w:adjustRightInd/>
        <w:textAlignment w:val="auto"/>
        <w:rPr>
          <w:rFonts w:ascii="Times New Roman" w:hAnsi="Times New Roman"/>
          <w:color w:val="000000" w:themeColor="text1"/>
          <w:lang w:eastAsia="en-AU"/>
        </w:rPr>
      </w:pPr>
      <w:r w:rsidRPr="00C25CBD">
        <w:rPr>
          <w:rFonts w:ascii="Times New Roman" w:hAnsi="Times New Roman"/>
          <w:color w:val="000000" w:themeColor="text1"/>
          <w:bdr w:val="none" w:sz="0" w:space="0" w:color="auto" w:frame="1"/>
          <w:lang w:eastAsia="en-AU"/>
        </w:rPr>
        <w:t>These include a minor technical amendment to correct the misleading heading in S</w:t>
      </w:r>
      <w:r w:rsidRPr="00C25CBD">
        <w:rPr>
          <w:rFonts w:ascii="Times New Roman" w:hAnsi="Times New Roman"/>
          <w:i/>
          <w:iCs/>
          <w:color w:val="000000" w:themeColor="text1"/>
          <w:bdr w:val="none" w:sz="0" w:space="0" w:color="auto" w:frame="1"/>
          <w:lang w:eastAsia="en-AU"/>
        </w:rPr>
        <w:t>ection 6B     Retention of historical flight crew member records</w:t>
      </w:r>
      <w:r w:rsidR="008D42D5" w:rsidRPr="009A4D20">
        <w:rPr>
          <w:rFonts w:ascii="Times New Roman" w:hAnsi="Times New Roman"/>
          <w:i/>
          <w:iCs/>
          <w:color w:val="000000" w:themeColor="text1"/>
          <w:bdr w:val="none" w:sz="0" w:space="0" w:color="auto" w:frame="1"/>
          <w:lang w:eastAsia="en-AU"/>
        </w:rPr>
        <w:t> —</w:t>
      </w:r>
      <w:r w:rsidRPr="00C25CBD">
        <w:rPr>
          <w:rFonts w:ascii="Times New Roman" w:hAnsi="Times New Roman"/>
          <w:i/>
          <w:iCs/>
          <w:color w:val="000000" w:themeColor="text1"/>
          <w:bdr w:val="none" w:sz="0" w:space="0" w:color="auto" w:frame="1"/>
          <w:lang w:eastAsia="en-AU"/>
        </w:rPr>
        <w:t xml:space="preserve"> direction</w:t>
      </w:r>
      <w:r w:rsidR="008D42D5" w:rsidRPr="009A4D20">
        <w:rPr>
          <w:rFonts w:ascii="Times New Roman" w:hAnsi="Times New Roman"/>
          <w:i/>
          <w:iCs/>
          <w:color w:val="000000" w:themeColor="text1"/>
          <w:bdr w:val="none" w:sz="0" w:space="0" w:color="auto" w:frame="1"/>
          <w:lang w:eastAsia="en-AU"/>
        </w:rPr>
        <w:t xml:space="preserve"> </w:t>
      </w:r>
      <w:r w:rsidRPr="00C25CBD">
        <w:rPr>
          <w:rFonts w:ascii="Times New Roman" w:hAnsi="Times New Roman"/>
          <w:color w:val="000000" w:themeColor="text1"/>
          <w:bdr w:val="none" w:sz="0" w:space="0" w:color="auto" w:frame="1"/>
          <w:lang w:eastAsia="en-AU"/>
        </w:rPr>
        <w:t>of the principal exemptions instrument. The records referred to in the existing subsection</w:t>
      </w:r>
      <w:r w:rsidR="008D42D5" w:rsidRPr="009A4D20">
        <w:rPr>
          <w:rFonts w:ascii="Times New Roman" w:hAnsi="Times New Roman"/>
          <w:color w:val="000000" w:themeColor="text1"/>
          <w:bdr w:val="none" w:sz="0" w:space="0" w:color="auto" w:frame="1"/>
          <w:lang w:eastAsia="en-AU"/>
        </w:rPr>
        <w:t> </w:t>
      </w:r>
      <w:r w:rsidRPr="00C25CBD">
        <w:rPr>
          <w:rFonts w:ascii="Times New Roman" w:hAnsi="Times New Roman"/>
          <w:color w:val="000000" w:themeColor="text1"/>
          <w:bdr w:val="none" w:sz="0" w:space="0" w:color="auto" w:frame="1"/>
          <w:lang w:eastAsia="en-AU"/>
        </w:rPr>
        <w:t>6B</w:t>
      </w:r>
      <w:r w:rsidR="008D42D5" w:rsidRPr="009A4D20">
        <w:rPr>
          <w:rFonts w:ascii="Times New Roman" w:hAnsi="Times New Roman"/>
          <w:color w:val="000000" w:themeColor="text1"/>
          <w:bdr w:val="none" w:sz="0" w:space="0" w:color="auto" w:frame="1"/>
          <w:lang w:eastAsia="en-AU"/>
        </w:rPr>
        <w:t> </w:t>
      </w:r>
      <w:r w:rsidRPr="00C25CBD">
        <w:rPr>
          <w:rFonts w:ascii="Times New Roman" w:hAnsi="Times New Roman"/>
          <w:color w:val="000000" w:themeColor="text1"/>
          <w:bdr w:val="none" w:sz="0" w:space="0" w:color="auto" w:frame="1"/>
          <w:lang w:eastAsia="en-AU"/>
        </w:rPr>
        <w:t>(2)</w:t>
      </w:r>
      <w:r w:rsidR="008D42D5" w:rsidRPr="009A4D20">
        <w:rPr>
          <w:rFonts w:ascii="Times New Roman" w:hAnsi="Times New Roman"/>
          <w:color w:val="000000" w:themeColor="text1"/>
          <w:bdr w:val="none" w:sz="0" w:space="0" w:color="auto" w:frame="1"/>
          <w:lang w:eastAsia="en-AU"/>
        </w:rPr>
        <w:t xml:space="preserve"> </w:t>
      </w:r>
      <w:r w:rsidRPr="009A4D20">
        <w:rPr>
          <w:rFonts w:ascii="Times New Roman" w:hAnsi="Times New Roman"/>
          <w:color w:val="000000" w:themeColor="text1"/>
          <w:bdr w:val="none" w:sz="0" w:space="0" w:color="auto" w:frame="1"/>
          <w:lang w:eastAsia="en-AU"/>
        </w:rPr>
        <w:t>are not limited to flight crew member operational details,</w:t>
      </w:r>
      <w:r w:rsidR="00275186" w:rsidRPr="009A4D20">
        <w:rPr>
          <w:rFonts w:ascii="Times New Roman" w:hAnsi="Times New Roman"/>
          <w:color w:val="000000" w:themeColor="text1"/>
          <w:bdr w:val="none" w:sz="0" w:space="0" w:color="auto" w:frame="1"/>
          <w:lang w:eastAsia="en-AU"/>
        </w:rPr>
        <w:t xml:space="preserve"> </w:t>
      </w:r>
      <w:r w:rsidRPr="009A4D20">
        <w:rPr>
          <w:rFonts w:ascii="Times New Roman" w:hAnsi="Times New Roman"/>
          <w:color w:val="000000" w:themeColor="text1"/>
          <w:bdr w:val="none" w:sz="0" w:space="0" w:color="auto" w:frame="1"/>
          <w:lang w:eastAsia="en-AU"/>
        </w:rPr>
        <w:t>but also include, for example</w:t>
      </w:r>
      <w:r w:rsidRPr="00C25CBD">
        <w:rPr>
          <w:rFonts w:ascii="Times New Roman" w:hAnsi="Times New Roman"/>
          <w:color w:val="000000" w:themeColor="text1"/>
          <w:bdr w:val="none" w:sz="0" w:space="0" w:color="auto" w:frame="1"/>
          <w:lang w:eastAsia="en-AU"/>
        </w:rPr>
        <w:t>, other operational details, landing sites, and aircraft leasing arrangements.</w:t>
      </w:r>
      <w:r w:rsidR="008D42D5" w:rsidRPr="009A4D20">
        <w:rPr>
          <w:rFonts w:ascii="Times New Roman" w:hAnsi="Times New Roman"/>
          <w:color w:val="000000" w:themeColor="text1"/>
          <w:bdr w:val="none" w:sz="0" w:space="0" w:color="auto" w:frame="1"/>
          <w:lang w:eastAsia="en-AU"/>
        </w:rPr>
        <w:t xml:space="preserve"> </w:t>
      </w:r>
      <w:r w:rsidRPr="009A4D20">
        <w:rPr>
          <w:rFonts w:ascii="Times New Roman" w:hAnsi="Times New Roman"/>
          <w:color w:val="000000" w:themeColor="text1"/>
          <w:bdr w:val="none" w:sz="0" w:space="0" w:color="auto" w:frame="1"/>
          <w:lang w:eastAsia="en-AU"/>
        </w:rPr>
        <w:t>Hence, the reference to “flight crew members” only is deleted.</w:t>
      </w:r>
    </w:p>
    <w:p w14:paraId="6807F80E" w14:textId="0C82D623" w:rsidR="00C25CBD" w:rsidRPr="009A4D20" w:rsidRDefault="00C25CBD" w:rsidP="00C25CBD">
      <w:pPr>
        <w:shd w:val="clear" w:color="auto" w:fill="FFFFFF"/>
        <w:tabs>
          <w:tab w:val="clear" w:pos="567"/>
        </w:tabs>
        <w:overflowPunct/>
        <w:autoSpaceDE/>
        <w:autoSpaceDN/>
        <w:adjustRightInd/>
        <w:textAlignment w:val="auto"/>
        <w:rPr>
          <w:rFonts w:ascii="Times New Roman" w:hAnsi="Times New Roman"/>
          <w:color w:val="000000" w:themeColor="text1"/>
          <w:lang w:eastAsia="en-AU"/>
        </w:rPr>
      </w:pPr>
    </w:p>
    <w:p w14:paraId="14C423F4" w14:textId="77777777" w:rsidR="00C25CBD" w:rsidRPr="00C25CBD" w:rsidRDefault="00C25CBD" w:rsidP="00C25CBD">
      <w:pPr>
        <w:shd w:val="clear" w:color="auto" w:fill="FFFFFF"/>
        <w:tabs>
          <w:tab w:val="clear" w:pos="567"/>
        </w:tabs>
        <w:overflowPunct/>
        <w:autoSpaceDE/>
        <w:autoSpaceDN/>
        <w:adjustRightInd/>
        <w:textAlignment w:val="auto"/>
        <w:rPr>
          <w:rFonts w:ascii="Segoe UI" w:hAnsi="Segoe UI" w:cs="Segoe UI"/>
          <w:color w:val="000000" w:themeColor="text1"/>
          <w:lang w:eastAsia="en-AU"/>
        </w:rPr>
      </w:pPr>
      <w:r w:rsidRPr="00C25CBD">
        <w:rPr>
          <w:rFonts w:ascii="Times New Roman" w:hAnsi="Times New Roman"/>
          <w:color w:val="000000" w:themeColor="text1"/>
          <w:bdr w:val="none" w:sz="0" w:space="0" w:color="auto" w:frame="1"/>
          <w:lang w:eastAsia="en-AU"/>
        </w:rPr>
        <w:t>Another minor technical amendment is to enable a Table of Contents for the principal exemptions instrument to be prepared.</w:t>
      </w:r>
    </w:p>
    <w:p w14:paraId="43A40C93" w14:textId="77777777" w:rsidR="00C25CBD" w:rsidRPr="009A4D20" w:rsidRDefault="00C25CBD" w:rsidP="005E4ED6">
      <w:pPr>
        <w:pStyle w:val="BodyText"/>
        <w:rPr>
          <w:rFonts w:ascii="Times New Roman" w:hAnsi="Times New Roman"/>
          <w:b/>
          <w:bCs/>
          <w:i/>
          <w:iCs/>
        </w:rPr>
      </w:pPr>
    </w:p>
    <w:p w14:paraId="5DC39BBF" w14:textId="352E5C68" w:rsidR="00B131F2" w:rsidRPr="009A4D20" w:rsidRDefault="060E376F" w:rsidP="005E4ED6">
      <w:pPr>
        <w:pStyle w:val="BodyText"/>
        <w:rPr>
          <w:rFonts w:ascii="Times New Roman" w:hAnsi="Times New Roman"/>
          <w:b/>
          <w:bCs/>
        </w:rPr>
      </w:pPr>
      <w:r w:rsidRPr="009A4D20">
        <w:rPr>
          <w:rFonts w:ascii="Times New Roman" w:hAnsi="Times New Roman"/>
          <w:b/>
          <w:bCs/>
          <w:i/>
          <w:iCs/>
        </w:rPr>
        <w:t>L</w:t>
      </w:r>
      <w:r w:rsidR="16F84D7E" w:rsidRPr="009A4D20">
        <w:rPr>
          <w:rFonts w:ascii="Times New Roman" w:hAnsi="Times New Roman"/>
          <w:b/>
          <w:bCs/>
          <w:i/>
          <w:iCs/>
        </w:rPr>
        <w:t>egislation Act 2003</w:t>
      </w:r>
      <w:r w:rsidR="672AF95F" w:rsidRPr="009A4D20">
        <w:rPr>
          <w:rFonts w:ascii="Times New Roman" w:hAnsi="Times New Roman"/>
          <w:b/>
          <w:bCs/>
        </w:rPr>
        <w:t xml:space="preserve"> (the </w:t>
      </w:r>
      <w:r w:rsidR="672AF95F" w:rsidRPr="009A4D20">
        <w:rPr>
          <w:rFonts w:ascii="Times New Roman" w:hAnsi="Times New Roman"/>
          <w:b/>
          <w:bCs/>
          <w:i/>
          <w:iCs/>
        </w:rPr>
        <w:t>LA</w:t>
      </w:r>
      <w:r w:rsidR="672AF95F" w:rsidRPr="009A4D20">
        <w:rPr>
          <w:rFonts w:ascii="Times New Roman" w:hAnsi="Times New Roman"/>
          <w:b/>
          <w:bCs/>
        </w:rPr>
        <w:t>)</w:t>
      </w:r>
    </w:p>
    <w:p w14:paraId="37352773" w14:textId="653291FF" w:rsidR="001B1541" w:rsidRPr="009A4D20" w:rsidRDefault="50E51066" w:rsidP="005E4ED6">
      <w:pPr>
        <w:pStyle w:val="BodyText"/>
        <w:rPr>
          <w:rFonts w:ascii="Times New Roman" w:hAnsi="Times New Roman"/>
        </w:rPr>
      </w:pPr>
      <w:r w:rsidRPr="009A4D20">
        <w:rPr>
          <w:rFonts w:ascii="Times New Roman" w:hAnsi="Times New Roman"/>
        </w:rPr>
        <w:t xml:space="preserve">The </w:t>
      </w:r>
      <w:r w:rsidR="009E3282" w:rsidRPr="009A4D20">
        <w:rPr>
          <w:rFonts w:ascii="Times New Roman" w:hAnsi="Times New Roman"/>
        </w:rPr>
        <w:t xml:space="preserve">exemptions </w:t>
      </w:r>
      <w:r w:rsidRPr="009A4D20">
        <w:rPr>
          <w:rFonts w:ascii="Times New Roman" w:hAnsi="Times New Roman"/>
        </w:rPr>
        <w:t>in th</w:t>
      </w:r>
      <w:r w:rsidR="009E3282" w:rsidRPr="009A4D20">
        <w:rPr>
          <w:rFonts w:ascii="Times New Roman" w:hAnsi="Times New Roman"/>
        </w:rPr>
        <w:t>e</w:t>
      </w:r>
      <w:r w:rsidRPr="009A4D20">
        <w:rPr>
          <w:rFonts w:ascii="Times New Roman" w:hAnsi="Times New Roman"/>
        </w:rPr>
        <w:t xml:space="preserve"> instrument </w:t>
      </w:r>
      <w:r w:rsidR="5899A1D0" w:rsidRPr="009A4D20">
        <w:rPr>
          <w:rFonts w:ascii="Times New Roman" w:hAnsi="Times New Roman"/>
        </w:rPr>
        <w:t xml:space="preserve">are for the safe navigation and operation of aircraft and apply to </w:t>
      </w:r>
      <w:r w:rsidR="1E502D1F" w:rsidRPr="009A4D20">
        <w:rPr>
          <w:rFonts w:ascii="Times New Roman" w:hAnsi="Times New Roman"/>
        </w:rPr>
        <w:t>classes of persons</w:t>
      </w:r>
      <w:r w:rsidR="5899A1D0" w:rsidRPr="009A4D20">
        <w:rPr>
          <w:rFonts w:ascii="Times New Roman" w:hAnsi="Times New Roman"/>
        </w:rPr>
        <w:t xml:space="preserve">. </w:t>
      </w:r>
      <w:r w:rsidR="6834310A" w:rsidRPr="009A4D20">
        <w:rPr>
          <w:rFonts w:ascii="Times New Roman" w:hAnsi="Times New Roman"/>
        </w:rPr>
        <w:t>The instrument is</w:t>
      </w:r>
      <w:r w:rsidR="009E3282" w:rsidRPr="009A4D20">
        <w:rPr>
          <w:rFonts w:ascii="Times New Roman" w:hAnsi="Times New Roman"/>
        </w:rPr>
        <w:t>, therefore,</w:t>
      </w:r>
      <w:r w:rsidR="6834310A" w:rsidRPr="009A4D20">
        <w:rPr>
          <w:rFonts w:ascii="Times New Roman" w:hAnsi="Times New Roman"/>
        </w:rPr>
        <w:t xml:space="preserve"> a </w:t>
      </w:r>
      <w:r w:rsidR="5899A1D0" w:rsidRPr="009A4D20">
        <w:rPr>
          <w:rFonts w:ascii="Times New Roman" w:hAnsi="Times New Roman"/>
        </w:rPr>
        <w:t xml:space="preserve">legislative instrument </w:t>
      </w:r>
      <w:r w:rsidR="72685155" w:rsidRPr="009A4D20">
        <w:rPr>
          <w:rFonts w:ascii="Times New Roman" w:hAnsi="Times New Roman"/>
        </w:rPr>
        <w:t xml:space="preserve">under </w:t>
      </w:r>
      <w:r w:rsidR="38E190AF" w:rsidRPr="009A4D20">
        <w:rPr>
          <w:rFonts w:ascii="Times New Roman" w:hAnsi="Times New Roman"/>
        </w:rPr>
        <w:t xml:space="preserve">the </w:t>
      </w:r>
      <w:r w:rsidR="752B2133" w:rsidRPr="009A4D20">
        <w:rPr>
          <w:rFonts w:ascii="Times New Roman" w:hAnsi="Times New Roman"/>
        </w:rPr>
        <w:t>Act</w:t>
      </w:r>
      <w:r w:rsidR="5C61FB61" w:rsidRPr="009A4D20">
        <w:rPr>
          <w:rFonts w:ascii="Times New Roman" w:hAnsi="Times New Roman"/>
        </w:rPr>
        <w:t xml:space="preserve"> </w:t>
      </w:r>
      <w:r w:rsidR="3E5AD882" w:rsidRPr="009A4D20">
        <w:rPr>
          <w:rFonts w:ascii="Times New Roman" w:hAnsi="Times New Roman"/>
        </w:rPr>
        <w:t xml:space="preserve">and the </w:t>
      </w:r>
      <w:r w:rsidR="38E190AF" w:rsidRPr="009A4D20">
        <w:rPr>
          <w:rFonts w:ascii="Times New Roman" w:hAnsi="Times New Roman"/>
        </w:rPr>
        <w:t xml:space="preserve">LA </w:t>
      </w:r>
      <w:r w:rsidR="4C1602BB" w:rsidRPr="009A4D20">
        <w:rPr>
          <w:rFonts w:ascii="Times New Roman" w:hAnsi="Times New Roman"/>
        </w:rPr>
        <w:t>and</w:t>
      </w:r>
      <w:r w:rsidR="11AA314B" w:rsidRPr="009A4D20">
        <w:rPr>
          <w:rFonts w:ascii="Times New Roman" w:hAnsi="Times New Roman"/>
        </w:rPr>
        <w:t xml:space="preserve"> </w:t>
      </w:r>
      <w:r w:rsidR="65C60D83" w:rsidRPr="009A4D20">
        <w:rPr>
          <w:rFonts w:ascii="Times New Roman" w:hAnsi="Times New Roman"/>
        </w:rPr>
        <w:t>subject to registration, and tabling and disallowance in the Parliament, under sections 15G, and 38 and 42, of the</w:t>
      </w:r>
      <w:r w:rsidR="7996C1D7" w:rsidRPr="009A4D20">
        <w:rPr>
          <w:rFonts w:ascii="Times New Roman" w:hAnsi="Times New Roman"/>
        </w:rPr>
        <w:t xml:space="preserve"> </w:t>
      </w:r>
      <w:r w:rsidR="65C60D83" w:rsidRPr="009A4D20">
        <w:rPr>
          <w:rFonts w:ascii="Times New Roman" w:hAnsi="Times New Roman"/>
        </w:rPr>
        <w:t>LA.</w:t>
      </w:r>
    </w:p>
    <w:p w14:paraId="4AF4B76C" w14:textId="5B8237D6" w:rsidR="008B1456" w:rsidRPr="009A4D20" w:rsidRDefault="008B1456" w:rsidP="005E4ED6">
      <w:pPr>
        <w:pStyle w:val="BodyText"/>
        <w:rPr>
          <w:rFonts w:ascii="Times New Roman" w:hAnsi="Times New Roman"/>
        </w:rPr>
      </w:pPr>
    </w:p>
    <w:p w14:paraId="5D1FB949" w14:textId="77777777" w:rsidR="007A7895" w:rsidRPr="009A4D20" w:rsidRDefault="007A7895" w:rsidP="008B1456">
      <w:pPr>
        <w:rPr>
          <w:b/>
          <w:bCs/>
        </w:rPr>
      </w:pPr>
      <w:r w:rsidRPr="009A4D20">
        <w:rPr>
          <w:b/>
          <w:bCs/>
        </w:rPr>
        <w:t>Sunsetting</w:t>
      </w:r>
    </w:p>
    <w:p w14:paraId="656DE357" w14:textId="45931D93" w:rsidR="008B1456" w:rsidRPr="009A4D20" w:rsidRDefault="008B1456" w:rsidP="008B1456">
      <w:r w:rsidRPr="009A4D20">
        <w:t>As the instrument relates to aviation safety and is made under CASR, that means that Part</w:t>
      </w:r>
      <w:r w:rsidR="00DC616F" w:rsidRPr="009A4D20">
        <w:t xml:space="preserve"> </w:t>
      </w:r>
      <w:r w:rsidRPr="009A4D20">
        <w:t>4 of Chapter</w:t>
      </w:r>
      <w:r w:rsidR="00DC616F" w:rsidRPr="009A4D20">
        <w:t xml:space="preserve"> </w:t>
      </w:r>
      <w:r w:rsidRPr="009A4D20">
        <w:t xml:space="preserve">3 of the LA (the sunsetting provisions) does not apply to the instrument (as per item 15 of the table in section 12 of the </w:t>
      </w:r>
      <w:r w:rsidRPr="009A4D20">
        <w:rPr>
          <w:i/>
          <w:iCs/>
        </w:rPr>
        <w:t>Legislation (Exemptions and Other Matters) Regulation</w:t>
      </w:r>
      <w:r w:rsidR="00DC616F" w:rsidRPr="009A4D20">
        <w:rPr>
          <w:i/>
          <w:iCs/>
        </w:rPr>
        <w:t xml:space="preserve"> </w:t>
      </w:r>
      <w:r w:rsidRPr="009A4D20">
        <w:rPr>
          <w:i/>
          <w:iCs/>
        </w:rPr>
        <w:t>2015</w:t>
      </w:r>
      <w:r w:rsidRPr="009A4D20">
        <w:t>). The instrument deals with aviation safety matters that, once identified, require a risk response or treatment plan. Generally speaking, item</w:t>
      </w:r>
      <w:r w:rsidR="00DC616F" w:rsidRPr="009A4D20">
        <w:t> </w:t>
      </w:r>
      <w:r w:rsidRPr="009A4D20">
        <w:t xml:space="preserve">15, when invoked, is necessary in order to ensure that, in the interests of aviation </w:t>
      </w:r>
      <w:r w:rsidRPr="009A4D20">
        <w:lastRenderedPageBreak/>
        <w:t>safety, a relevant instrument has enduring effect, certainty and clarity for aviation operators</w:t>
      </w:r>
      <w:r w:rsidR="005044BC" w:rsidRPr="009A4D20">
        <w:t>,</w:t>
      </w:r>
      <w:r w:rsidRPr="009A4D20">
        <w:t xml:space="preserve"> both domestic and international.</w:t>
      </w:r>
    </w:p>
    <w:p w14:paraId="43B76E00" w14:textId="77777777" w:rsidR="008B1456" w:rsidRPr="009A4D20" w:rsidRDefault="008B1456" w:rsidP="008B1456"/>
    <w:p w14:paraId="6F03D754" w14:textId="37E267D8" w:rsidR="008B1456" w:rsidRPr="009A4D20" w:rsidRDefault="008B1456" w:rsidP="008B1456">
      <w:r w:rsidRPr="009A4D20">
        <w:t>In this case, the instrument amends the principal exemptions instrument and is almost immediately spent and repealed in accordance with the automatic repeal provisions in Subdivision A in Division 1 of Part 3 of Chapter 3 of the LA. The principal exemptions instrument is itself repealed at the end of 1 December 2024 by virtue of the terms of paragraph 2</w:t>
      </w:r>
      <w:r w:rsidR="00DC616F" w:rsidRPr="009A4D20">
        <w:t> </w:t>
      </w:r>
      <w:r w:rsidRPr="009A4D20">
        <w:t>(b) of the principal exemptions instrument. Thus, in practice, no sunsetting avoidance issues arise</w:t>
      </w:r>
      <w:r w:rsidR="00B61DE7" w:rsidRPr="009A4D20">
        <w:t xml:space="preserve"> and there is no impact on parliamentary oversight</w:t>
      </w:r>
      <w:r w:rsidRPr="009A4D20">
        <w:t>.</w:t>
      </w:r>
    </w:p>
    <w:p w14:paraId="2755E6D2" w14:textId="77777777" w:rsidR="00275186" w:rsidRPr="009A4D20" w:rsidRDefault="00275186" w:rsidP="00275186">
      <w:pPr>
        <w:pStyle w:val="LDBodytext"/>
      </w:pPr>
    </w:p>
    <w:p w14:paraId="6243DE24" w14:textId="77777777" w:rsidR="00D07FEB" w:rsidRPr="009A4D20" w:rsidRDefault="00D07FEB" w:rsidP="00275186">
      <w:pPr>
        <w:shd w:val="clear" w:color="auto" w:fill="FFFFFF"/>
        <w:tabs>
          <w:tab w:val="clear" w:pos="567"/>
        </w:tabs>
        <w:overflowPunct/>
        <w:autoSpaceDE/>
        <w:autoSpaceDN/>
        <w:adjustRightInd/>
        <w:textAlignment w:val="auto"/>
        <w:rPr>
          <w:rFonts w:ascii="Times New Roman" w:hAnsi="Times New Roman"/>
          <w:color w:val="000000"/>
          <w:lang w:eastAsia="en-AU"/>
        </w:rPr>
      </w:pPr>
      <w:r w:rsidRPr="009A4D20">
        <w:rPr>
          <w:rFonts w:ascii="Times New Roman" w:hAnsi="Times New Roman"/>
          <w:b/>
          <w:bCs/>
          <w:color w:val="000000"/>
          <w:lang w:eastAsia="en-AU"/>
        </w:rPr>
        <w:t>Incorporations by reference</w:t>
      </w:r>
    </w:p>
    <w:p w14:paraId="0B1F9271" w14:textId="7B7ADA44" w:rsidR="00D07FEB" w:rsidRPr="009A4D20" w:rsidRDefault="00D07FEB" w:rsidP="00D07FEB">
      <w:pPr>
        <w:shd w:val="clear" w:color="auto" w:fill="FFFFFF"/>
        <w:tabs>
          <w:tab w:val="clear" w:pos="567"/>
        </w:tabs>
        <w:overflowPunct/>
        <w:autoSpaceDE/>
        <w:autoSpaceDN/>
        <w:adjustRightInd/>
        <w:textAlignment w:val="auto"/>
        <w:rPr>
          <w:rFonts w:ascii="Times New Roman" w:hAnsi="Times New Roman"/>
          <w:color w:val="000000"/>
          <w:lang w:eastAsia="en-AU"/>
        </w:rPr>
      </w:pPr>
      <w:r w:rsidRPr="009A4D20">
        <w:rPr>
          <w:rFonts w:ascii="Times New Roman" w:hAnsi="Times New Roman"/>
          <w:color w:val="000000"/>
          <w:lang w:eastAsia="en-AU"/>
        </w:rPr>
        <w:t xml:space="preserve">Under subsection 98 (5D) of the Act, the </w:t>
      </w:r>
      <w:r w:rsidR="00865E37" w:rsidRPr="009A4D20">
        <w:rPr>
          <w:rFonts w:ascii="Times New Roman" w:hAnsi="Times New Roman"/>
          <w:color w:val="000000"/>
          <w:lang w:eastAsia="en-AU"/>
        </w:rPr>
        <w:t>exemption instrument</w:t>
      </w:r>
      <w:r w:rsidRPr="009A4D20">
        <w:rPr>
          <w:rFonts w:ascii="Times New Roman" w:hAnsi="Times New Roman"/>
          <w:color w:val="000000"/>
          <w:lang w:eastAsia="en-AU"/>
        </w:rPr>
        <w:t xml:space="preserve"> may apply, adopt or incorporate any matter contained in any instrument or other writing. A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w:t>
      </w:r>
    </w:p>
    <w:p w14:paraId="33145771" w14:textId="2E6B63E4" w:rsidR="00F713B4" w:rsidRPr="009A4D20" w:rsidRDefault="00F713B4" w:rsidP="00F713B4">
      <w:pPr>
        <w:pStyle w:val="LDBodytext"/>
        <w:rPr>
          <w:lang w:eastAsia="en-AU"/>
        </w:rPr>
      </w:pPr>
    </w:p>
    <w:p w14:paraId="5541B36B" w14:textId="1FB33FA1" w:rsidR="00D07FEB" w:rsidRPr="009A4D20" w:rsidRDefault="00D07FEB" w:rsidP="00D07FEB">
      <w:pPr>
        <w:shd w:val="clear" w:color="auto" w:fill="FFFFFF"/>
        <w:tabs>
          <w:tab w:val="clear" w:pos="567"/>
        </w:tabs>
        <w:overflowPunct/>
        <w:autoSpaceDE/>
        <w:autoSpaceDN/>
        <w:adjustRightInd/>
        <w:textAlignment w:val="auto"/>
        <w:rPr>
          <w:rFonts w:ascii="Times New Roman" w:hAnsi="Times New Roman"/>
          <w:color w:val="000000"/>
          <w:lang w:eastAsia="en-AU"/>
        </w:rPr>
      </w:pPr>
      <w:r w:rsidRPr="009A4D20">
        <w:rPr>
          <w:rFonts w:ascii="Times New Roman" w:hAnsi="Times New Roman"/>
          <w:color w:val="000000"/>
          <w:lang w:eastAsia="en-AU"/>
        </w:rPr>
        <w:t>Under paragraph 15J (2) (c) of the LA, the Explanatory Statement must contain a description of the incorporated documents and indicate how they may be obtained.</w:t>
      </w:r>
    </w:p>
    <w:p w14:paraId="05F0E4E5" w14:textId="27D537C6" w:rsidR="00D07FEB" w:rsidRPr="009A4D20" w:rsidRDefault="00D07FEB" w:rsidP="00D07FEB">
      <w:pPr>
        <w:shd w:val="clear" w:color="auto" w:fill="FFFFFF"/>
        <w:tabs>
          <w:tab w:val="clear" w:pos="567"/>
        </w:tabs>
        <w:overflowPunct/>
        <w:autoSpaceDE/>
        <w:autoSpaceDN/>
        <w:adjustRightInd/>
        <w:textAlignment w:val="auto"/>
        <w:rPr>
          <w:rFonts w:ascii="Times New Roman" w:hAnsi="Times New Roman"/>
          <w:color w:val="000000"/>
          <w:lang w:eastAsia="en-AU"/>
        </w:rPr>
      </w:pPr>
    </w:p>
    <w:tbl>
      <w:tblPr>
        <w:tblW w:w="5000" w:type="pct"/>
        <w:shd w:val="clear" w:color="auto" w:fill="FFFFFF"/>
        <w:tblCellMar>
          <w:left w:w="0" w:type="dxa"/>
          <w:right w:w="0" w:type="dxa"/>
        </w:tblCellMar>
        <w:tblLook w:val="04A0" w:firstRow="1" w:lastRow="0" w:firstColumn="1" w:lastColumn="0" w:noHBand="0" w:noVBand="1"/>
      </w:tblPr>
      <w:tblGrid>
        <w:gridCol w:w="1777"/>
        <w:gridCol w:w="2424"/>
        <w:gridCol w:w="2182"/>
        <w:gridCol w:w="2102"/>
      </w:tblGrid>
      <w:tr w:rsidR="00E82E42" w:rsidRPr="009A4D20" w14:paraId="0B3BC2BB" w14:textId="77777777" w:rsidTr="00D07FEB">
        <w:trPr>
          <w:tblHeader/>
        </w:trPr>
        <w:tc>
          <w:tcPr>
            <w:tcW w:w="19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89DFDD" w14:textId="77777777" w:rsidR="00D07FEB" w:rsidRPr="009A4D20" w:rsidRDefault="00D07FEB" w:rsidP="00D07FEB">
            <w:pPr>
              <w:shd w:val="clear" w:color="auto" w:fill="FFFFFF"/>
              <w:tabs>
                <w:tab w:val="clear" w:pos="567"/>
              </w:tabs>
              <w:overflowPunct/>
              <w:autoSpaceDE/>
              <w:autoSpaceDN/>
              <w:adjustRightInd/>
              <w:textAlignment w:val="auto"/>
              <w:rPr>
                <w:rFonts w:ascii="Times New Roman" w:hAnsi="Times New Roman"/>
                <w:color w:val="000000"/>
                <w:lang w:eastAsia="en-AU"/>
              </w:rPr>
            </w:pPr>
            <w:bookmarkStart w:id="0" w:name="_Hlk85021921"/>
            <w:r w:rsidRPr="009A4D20">
              <w:rPr>
                <w:rFonts w:ascii="Times New Roman" w:hAnsi="Times New Roman"/>
                <w:b/>
                <w:bCs/>
                <w:color w:val="000000"/>
                <w:lang w:eastAsia="en-AU"/>
              </w:rPr>
              <w:t>Document</w:t>
            </w:r>
            <w:bookmarkEnd w:id="0"/>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55DDD61" w14:textId="77777777" w:rsidR="00D07FEB" w:rsidRPr="009A4D20" w:rsidRDefault="00D07FEB" w:rsidP="00D07FEB">
            <w:pPr>
              <w:shd w:val="clear" w:color="auto" w:fill="FFFFFF"/>
              <w:tabs>
                <w:tab w:val="clear" w:pos="567"/>
              </w:tabs>
              <w:overflowPunct/>
              <w:autoSpaceDE/>
              <w:autoSpaceDN/>
              <w:adjustRightInd/>
              <w:textAlignment w:val="auto"/>
              <w:rPr>
                <w:rFonts w:ascii="Times New Roman" w:hAnsi="Times New Roman"/>
                <w:color w:val="000000"/>
                <w:lang w:eastAsia="en-AU"/>
              </w:rPr>
            </w:pPr>
            <w:r w:rsidRPr="009A4D20">
              <w:rPr>
                <w:rFonts w:ascii="Times New Roman" w:hAnsi="Times New Roman"/>
                <w:b/>
                <w:bCs/>
                <w:color w:val="000000"/>
                <w:lang w:eastAsia="en-AU"/>
              </w:rPr>
              <w:t>Description</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D029FA4" w14:textId="77777777" w:rsidR="00D07FEB" w:rsidRPr="009A4D20" w:rsidRDefault="00D07FEB" w:rsidP="00D07FEB">
            <w:pPr>
              <w:shd w:val="clear" w:color="auto" w:fill="FFFFFF"/>
              <w:tabs>
                <w:tab w:val="clear" w:pos="567"/>
              </w:tabs>
              <w:overflowPunct/>
              <w:autoSpaceDE/>
              <w:autoSpaceDN/>
              <w:adjustRightInd/>
              <w:textAlignment w:val="auto"/>
              <w:rPr>
                <w:rFonts w:ascii="Times New Roman" w:hAnsi="Times New Roman"/>
                <w:color w:val="000000"/>
                <w:lang w:eastAsia="en-AU"/>
              </w:rPr>
            </w:pPr>
            <w:r w:rsidRPr="009A4D20">
              <w:rPr>
                <w:rFonts w:ascii="Times New Roman" w:hAnsi="Times New Roman"/>
                <w:b/>
                <w:bCs/>
                <w:color w:val="000000"/>
                <w:lang w:eastAsia="en-AU"/>
              </w:rPr>
              <w:t>Manner of incorporation</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8B32267" w14:textId="77777777" w:rsidR="00D07FEB" w:rsidRPr="009A4D20" w:rsidRDefault="00D07FEB" w:rsidP="00D07FEB">
            <w:pPr>
              <w:shd w:val="clear" w:color="auto" w:fill="FFFFFF"/>
              <w:tabs>
                <w:tab w:val="clear" w:pos="567"/>
              </w:tabs>
              <w:overflowPunct/>
              <w:autoSpaceDE/>
              <w:autoSpaceDN/>
              <w:adjustRightInd/>
              <w:textAlignment w:val="auto"/>
              <w:rPr>
                <w:rFonts w:ascii="Times New Roman" w:hAnsi="Times New Roman"/>
                <w:color w:val="000000"/>
                <w:lang w:eastAsia="en-AU"/>
              </w:rPr>
            </w:pPr>
            <w:r w:rsidRPr="009A4D20">
              <w:rPr>
                <w:rFonts w:ascii="Times New Roman" w:hAnsi="Times New Roman"/>
                <w:b/>
                <w:bCs/>
                <w:color w:val="000000"/>
                <w:lang w:eastAsia="en-AU"/>
              </w:rPr>
              <w:t>Source</w:t>
            </w:r>
          </w:p>
        </w:tc>
      </w:tr>
      <w:tr w:rsidR="00E82E42" w:rsidRPr="009A4D20" w14:paraId="010263AF" w14:textId="77777777" w:rsidTr="00E31A89">
        <w:trPr>
          <w:trHeight w:val="60"/>
        </w:trPr>
        <w:tc>
          <w:tcPr>
            <w:tcW w:w="1985"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0EAA3669" w14:textId="603986D8" w:rsidR="00D07FEB" w:rsidRPr="009A4D20" w:rsidRDefault="00DA5DEF" w:rsidP="00AA0BB2">
            <w:pPr>
              <w:shd w:val="clear" w:color="auto" w:fill="FFFFFF"/>
              <w:tabs>
                <w:tab w:val="clear" w:pos="567"/>
              </w:tabs>
              <w:overflowPunct/>
              <w:autoSpaceDE/>
              <w:autoSpaceDN/>
              <w:adjustRightInd/>
              <w:spacing w:before="60" w:after="60"/>
              <w:textAlignment w:val="auto"/>
              <w:rPr>
                <w:rFonts w:ascii="Times New Roman" w:hAnsi="Times New Roman"/>
                <w:color w:val="000000"/>
                <w:lang w:eastAsia="en-AU"/>
              </w:rPr>
            </w:pPr>
            <w:r w:rsidRPr="009A4D20">
              <w:rPr>
                <w:rFonts w:ascii="Times New Roman" w:hAnsi="Times New Roman"/>
                <w:color w:val="000000"/>
                <w:lang w:eastAsia="en-AU"/>
              </w:rPr>
              <w:t>Subpart 91.F of CASR</w:t>
            </w:r>
          </w:p>
        </w:tc>
        <w:tc>
          <w:tcPr>
            <w:tcW w:w="2835" w:type="dxa"/>
            <w:tcBorders>
              <w:top w:val="nil"/>
              <w:left w:val="nil"/>
              <w:bottom w:val="nil"/>
              <w:right w:val="single" w:sz="8" w:space="0" w:color="auto"/>
            </w:tcBorders>
            <w:shd w:val="clear" w:color="auto" w:fill="FFFFFF"/>
            <w:tcMar>
              <w:top w:w="0" w:type="dxa"/>
              <w:left w:w="108" w:type="dxa"/>
              <w:bottom w:w="0" w:type="dxa"/>
              <w:right w:w="108" w:type="dxa"/>
            </w:tcMar>
            <w:hideMark/>
          </w:tcPr>
          <w:p w14:paraId="6721CCC2" w14:textId="107E810E" w:rsidR="00EC70DC" w:rsidRPr="009A4D20" w:rsidRDefault="00DA5DEF" w:rsidP="00AA0BB2">
            <w:pPr>
              <w:shd w:val="clear" w:color="auto" w:fill="FFFFFF"/>
              <w:tabs>
                <w:tab w:val="clear" w:pos="567"/>
              </w:tabs>
              <w:overflowPunct/>
              <w:autoSpaceDE/>
              <w:autoSpaceDN/>
              <w:adjustRightInd/>
              <w:spacing w:before="60" w:after="60"/>
              <w:textAlignment w:val="auto"/>
              <w:rPr>
                <w:rFonts w:ascii="Times New Roman" w:hAnsi="Times New Roman"/>
                <w:lang w:eastAsia="en-AU"/>
              </w:rPr>
            </w:pPr>
            <w:r w:rsidRPr="009A4D20">
              <w:rPr>
                <w:rFonts w:ascii="Times New Roman" w:hAnsi="Times New Roman"/>
                <w:color w:val="000000"/>
                <w:lang w:eastAsia="en-AU"/>
              </w:rPr>
              <w:t>This legislation</w:t>
            </w:r>
            <w:r w:rsidR="00E82E42" w:rsidRPr="009A4D20">
              <w:rPr>
                <w:rFonts w:ascii="Times New Roman" w:hAnsi="Times New Roman"/>
                <w:color w:val="000000"/>
                <w:lang w:eastAsia="en-AU"/>
              </w:rPr>
              <w:t xml:space="preserve"> prescribes certain aircraft performance standards</w:t>
            </w:r>
            <w:r w:rsidR="00DC616F" w:rsidRPr="009A4D20">
              <w:rPr>
                <w:rFonts w:ascii="Times New Roman" w:hAnsi="Times New Roman"/>
                <w:color w:val="000000"/>
                <w:lang w:eastAsia="en-AU"/>
              </w:rPr>
              <w:t>.</w:t>
            </w:r>
          </w:p>
        </w:tc>
        <w:tc>
          <w:tcPr>
            <w:tcW w:w="2410" w:type="dxa"/>
            <w:tcBorders>
              <w:top w:val="nil"/>
              <w:left w:val="nil"/>
              <w:bottom w:val="nil"/>
              <w:right w:val="single" w:sz="8" w:space="0" w:color="auto"/>
            </w:tcBorders>
            <w:shd w:val="clear" w:color="auto" w:fill="FFFFFF"/>
            <w:tcMar>
              <w:top w:w="0" w:type="dxa"/>
              <w:left w:w="108" w:type="dxa"/>
              <w:bottom w:w="0" w:type="dxa"/>
              <w:right w:w="108" w:type="dxa"/>
            </w:tcMar>
            <w:hideMark/>
          </w:tcPr>
          <w:p w14:paraId="16B92D2F" w14:textId="165993B8" w:rsidR="00D07FEB" w:rsidRPr="009A4D20" w:rsidRDefault="00D07FEB" w:rsidP="00AA0BB2">
            <w:pPr>
              <w:shd w:val="clear" w:color="auto" w:fill="FFFFFF"/>
              <w:tabs>
                <w:tab w:val="clear" w:pos="567"/>
              </w:tabs>
              <w:overflowPunct/>
              <w:autoSpaceDE/>
              <w:autoSpaceDN/>
              <w:adjustRightInd/>
              <w:spacing w:before="60" w:after="60"/>
              <w:textAlignment w:val="auto"/>
              <w:rPr>
                <w:rFonts w:ascii="Times New Roman" w:hAnsi="Times New Roman"/>
                <w:color w:val="000000"/>
                <w:lang w:eastAsia="en-AU"/>
              </w:rPr>
            </w:pPr>
            <w:r w:rsidRPr="009A4D20">
              <w:rPr>
                <w:rFonts w:ascii="Times New Roman" w:hAnsi="Times New Roman"/>
                <w:color w:val="000000"/>
                <w:lang w:eastAsia="en-AU"/>
              </w:rPr>
              <w:t>As in force from time to time</w:t>
            </w:r>
            <w:r w:rsidR="00065862" w:rsidRPr="009A4D20">
              <w:rPr>
                <w:rFonts w:ascii="Times New Roman" w:hAnsi="Times New Roman"/>
                <w:color w:val="000000"/>
                <w:lang w:eastAsia="en-AU"/>
              </w:rPr>
              <w:t>.</w:t>
            </w:r>
          </w:p>
        </w:tc>
        <w:tc>
          <w:tcPr>
            <w:tcW w:w="2410" w:type="dxa"/>
            <w:tcBorders>
              <w:top w:val="nil"/>
              <w:left w:val="nil"/>
              <w:bottom w:val="nil"/>
              <w:right w:val="single" w:sz="8" w:space="0" w:color="auto"/>
            </w:tcBorders>
            <w:shd w:val="clear" w:color="auto" w:fill="FFFFFF"/>
            <w:tcMar>
              <w:top w:w="0" w:type="dxa"/>
              <w:left w:w="108" w:type="dxa"/>
              <w:bottom w:w="0" w:type="dxa"/>
              <w:right w:w="108" w:type="dxa"/>
            </w:tcMar>
            <w:hideMark/>
          </w:tcPr>
          <w:p w14:paraId="59071D78" w14:textId="4B14A54B" w:rsidR="00D07FEB" w:rsidRPr="009A4D20" w:rsidRDefault="00D07FEB" w:rsidP="00AA0BB2">
            <w:pPr>
              <w:shd w:val="clear" w:color="auto" w:fill="FFFFFF"/>
              <w:tabs>
                <w:tab w:val="clear" w:pos="567"/>
              </w:tabs>
              <w:overflowPunct/>
              <w:autoSpaceDE/>
              <w:autoSpaceDN/>
              <w:adjustRightInd/>
              <w:spacing w:before="60" w:after="60"/>
              <w:textAlignment w:val="auto"/>
              <w:rPr>
                <w:rFonts w:ascii="Times New Roman" w:hAnsi="Times New Roman"/>
                <w:color w:val="000000"/>
                <w:lang w:eastAsia="en-AU"/>
              </w:rPr>
            </w:pPr>
            <w:r w:rsidRPr="009A4D20">
              <w:rPr>
                <w:rFonts w:ascii="Times New Roman" w:hAnsi="Times New Roman"/>
                <w:color w:val="000000"/>
                <w:lang w:eastAsia="en-AU"/>
              </w:rPr>
              <w:t>This document is</w:t>
            </w:r>
            <w:r w:rsidR="00E82E42" w:rsidRPr="009A4D20">
              <w:rPr>
                <w:rFonts w:ascii="Times New Roman" w:hAnsi="Times New Roman"/>
                <w:color w:val="000000"/>
                <w:lang w:eastAsia="en-AU"/>
              </w:rPr>
              <w:t xml:space="preserve"> available on the Federal</w:t>
            </w:r>
            <w:r w:rsidR="00402B7C" w:rsidRPr="009A4D20">
              <w:rPr>
                <w:rFonts w:ascii="Times New Roman" w:hAnsi="Times New Roman"/>
                <w:color w:val="000000"/>
                <w:lang w:eastAsia="en-AU"/>
              </w:rPr>
              <w:t xml:space="preserve"> Register of</w:t>
            </w:r>
            <w:r w:rsidR="00E82E42" w:rsidRPr="009A4D20">
              <w:rPr>
                <w:rFonts w:ascii="Times New Roman" w:hAnsi="Times New Roman"/>
                <w:color w:val="000000"/>
                <w:lang w:eastAsia="en-AU"/>
              </w:rPr>
              <w:t xml:space="preserve"> Legislation</w:t>
            </w:r>
            <w:r w:rsidR="00402B7C" w:rsidRPr="009A4D20">
              <w:rPr>
                <w:rFonts w:ascii="Times New Roman" w:hAnsi="Times New Roman"/>
                <w:color w:val="000000"/>
                <w:lang w:eastAsia="en-AU"/>
              </w:rPr>
              <w:t>.</w:t>
            </w:r>
          </w:p>
        </w:tc>
      </w:tr>
      <w:tr w:rsidR="005E15A8" w:rsidRPr="009A4D20" w14:paraId="16C7A5F8" w14:textId="77777777" w:rsidTr="00E31A89">
        <w:trPr>
          <w:trHeight w:val="60"/>
        </w:trPr>
        <w:tc>
          <w:tcPr>
            <w:tcW w:w="1985"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14:paraId="469EA8CC" w14:textId="5B4A5B6F" w:rsidR="005E15A8" w:rsidRPr="009A4D20" w:rsidRDefault="005E15A8" w:rsidP="00AA0BB2">
            <w:pPr>
              <w:shd w:val="clear" w:color="auto" w:fill="FFFFFF"/>
              <w:tabs>
                <w:tab w:val="clear" w:pos="567"/>
              </w:tabs>
              <w:overflowPunct/>
              <w:autoSpaceDE/>
              <w:autoSpaceDN/>
              <w:adjustRightInd/>
              <w:spacing w:before="60" w:after="60"/>
              <w:textAlignment w:val="auto"/>
              <w:rPr>
                <w:rFonts w:ascii="Times New Roman" w:hAnsi="Times New Roman"/>
                <w:color w:val="000000"/>
                <w:lang w:eastAsia="en-AU"/>
              </w:rPr>
            </w:pPr>
            <w:r w:rsidRPr="009A4D20">
              <w:rPr>
                <w:rFonts w:ascii="Times New Roman" w:hAnsi="Times New Roman"/>
                <w:color w:val="000000"/>
                <w:lang w:eastAsia="en-AU"/>
              </w:rPr>
              <w:t>CAO 20.7.1B</w:t>
            </w:r>
          </w:p>
        </w:tc>
        <w:tc>
          <w:tcPr>
            <w:tcW w:w="2835" w:type="dxa"/>
            <w:tcBorders>
              <w:top w:val="nil"/>
              <w:left w:val="nil"/>
              <w:bottom w:val="nil"/>
              <w:right w:val="single" w:sz="8" w:space="0" w:color="auto"/>
            </w:tcBorders>
            <w:shd w:val="clear" w:color="auto" w:fill="FFFFFF"/>
            <w:tcMar>
              <w:top w:w="0" w:type="dxa"/>
              <w:left w:w="108" w:type="dxa"/>
              <w:bottom w:w="0" w:type="dxa"/>
              <w:right w:w="108" w:type="dxa"/>
            </w:tcMar>
          </w:tcPr>
          <w:p w14:paraId="4FBE7F43" w14:textId="6029B852" w:rsidR="00720816" w:rsidRPr="009A4D20" w:rsidRDefault="00065862" w:rsidP="00AA0BB2">
            <w:pPr>
              <w:shd w:val="clear" w:color="auto" w:fill="FFFFFF"/>
              <w:tabs>
                <w:tab w:val="clear" w:pos="567"/>
              </w:tabs>
              <w:overflowPunct/>
              <w:autoSpaceDE/>
              <w:autoSpaceDN/>
              <w:adjustRightInd/>
              <w:spacing w:before="60" w:after="60"/>
              <w:textAlignment w:val="auto"/>
              <w:rPr>
                <w:rFonts w:ascii="Times New Roman" w:hAnsi="Times New Roman"/>
                <w:lang w:eastAsia="en-AU"/>
              </w:rPr>
            </w:pPr>
            <w:r w:rsidRPr="009A4D20">
              <w:rPr>
                <w:rFonts w:ascii="Times New Roman" w:hAnsi="Times New Roman"/>
                <w:color w:val="000000"/>
                <w:lang w:eastAsia="en-AU"/>
              </w:rPr>
              <w:t>This legislation prescribed aeroplane weight and performance limitations for certain specified aeroplanes.</w:t>
            </w:r>
          </w:p>
        </w:tc>
        <w:tc>
          <w:tcPr>
            <w:tcW w:w="2410" w:type="dxa"/>
            <w:tcBorders>
              <w:top w:val="nil"/>
              <w:left w:val="nil"/>
              <w:bottom w:val="nil"/>
              <w:right w:val="single" w:sz="8" w:space="0" w:color="auto"/>
            </w:tcBorders>
            <w:shd w:val="clear" w:color="auto" w:fill="FFFFFF"/>
            <w:tcMar>
              <w:top w:w="0" w:type="dxa"/>
              <w:left w:w="108" w:type="dxa"/>
              <w:bottom w:w="0" w:type="dxa"/>
              <w:right w:w="108" w:type="dxa"/>
            </w:tcMar>
          </w:tcPr>
          <w:p w14:paraId="5A250F6B" w14:textId="48BBC161" w:rsidR="005E15A8" w:rsidRPr="009A4D20" w:rsidRDefault="00065862" w:rsidP="00AA0BB2">
            <w:pPr>
              <w:shd w:val="clear" w:color="auto" w:fill="FFFFFF"/>
              <w:tabs>
                <w:tab w:val="clear" w:pos="567"/>
              </w:tabs>
              <w:overflowPunct/>
              <w:autoSpaceDE/>
              <w:autoSpaceDN/>
              <w:adjustRightInd/>
              <w:spacing w:before="60" w:after="60"/>
              <w:textAlignment w:val="auto"/>
              <w:rPr>
                <w:rFonts w:ascii="Times New Roman" w:hAnsi="Times New Roman"/>
                <w:color w:val="000000"/>
                <w:lang w:eastAsia="en-AU"/>
              </w:rPr>
            </w:pPr>
            <w:r w:rsidRPr="009A4D20">
              <w:rPr>
                <w:rFonts w:ascii="Times New Roman" w:hAnsi="Times New Roman"/>
                <w:color w:val="000000"/>
                <w:lang w:eastAsia="en-AU"/>
              </w:rPr>
              <w:t>As in force immediately before 2 December 2021.</w:t>
            </w:r>
          </w:p>
        </w:tc>
        <w:tc>
          <w:tcPr>
            <w:tcW w:w="2410" w:type="dxa"/>
            <w:tcBorders>
              <w:top w:val="nil"/>
              <w:left w:val="nil"/>
              <w:bottom w:val="nil"/>
              <w:right w:val="single" w:sz="8" w:space="0" w:color="auto"/>
            </w:tcBorders>
            <w:shd w:val="clear" w:color="auto" w:fill="FFFFFF"/>
            <w:tcMar>
              <w:top w:w="0" w:type="dxa"/>
              <w:left w:w="108" w:type="dxa"/>
              <w:bottom w:w="0" w:type="dxa"/>
              <w:right w:w="108" w:type="dxa"/>
            </w:tcMar>
          </w:tcPr>
          <w:p w14:paraId="5ACD7328" w14:textId="31BB3BAE" w:rsidR="005E15A8" w:rsidRPr="009A4D20" w:rsidRDefault="00065862" w:rsidP="00AA0BB2">
            <w:pPr>
              <w:shd w:val="clear" w:color="auto" w:fill="FFFFFF"/>
              <w:tabs>
                <w:tab w:val="clear" w:pos="567"/>
              </w:tabs>
              <w:overflowPunct/>
              <w:autoSpaceDE/>
              <w:autoSpaceDN/>
              <w:adjustRightInd/>
              <w:spacing w:before="60" w:after="60"/>
              <w:textAlignment w:val="auto"/>
              <w:rPr>
                <w:rFonts w:ascii="Times New Roman" w:hAnsi="Times New Roman"/>
                <w:color w:val="000000"/>
                <w:lang w:eastAsia="en-AU"/>
              </w:rPr>
            </w:pPr>
            <w:r w:rsidRPr="009A4D20">
              <w:rPr>
                <w:rFonts w:ascii="Times New Roman" w:hAnsi="Times New Roman"/>
                <w:color w:val="000000"/>
                <w:lang w:eastAsia="en-AU"/>
              </w:rPr>
              <w:t>This document is available on the Federal Register of Legislation.</w:t>
            </w:r>
          </w:p>
        </w:tc>
      </w:tr>
      <w:tr w:rsidR="005E15A8" w:rsidRPr="009A4D20" w14:paraId="2F1AD7E6" w14:textId="77777777" w:rsidTr="00D07FEB">
        <w:trPr>
          <w:trHeight w:val="60"/>
        </w:trPr>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1ED43B8" w14:textId="5D3AB757" w:rsidR="005E15A8" w:rsidRPr="009A4D20" w:rsidRDefault="00065862" w:rsidP="00AA0BB2">
            <w:pPr>
              <w:shd w:val="clear" w:color="auto" w:fill="FFFFFF"/>
              <w:tabs>
                <w:tab w:val="clear" w:pos="567"/>
              </w:tabs>
              <w:overflowPunct/>
              <w:autoSpaceDE/>
              <w:autoSpaceDN/>
              <w:adjustRightInd/>
              <w:spacing w:before="60" w:after="60"/>
              <w:textAlignment w:val="auto"/>
              <w:rPr>
                <w:rFonts w:ascii="Times New Roman" w:hAnsi="Times New Roman"/>
                <w:color w:val="000000"/>
                <w:lang w:eastAsia="en-AU"/>
              </w:rPr>
            </w:pPr>
            <w:r w:rsidRPr="009A4D20">
              <w:rPr>
                <w:rFonts w:ascii="Times New Roman" w:hAnsi="Times New Roman"/>
                <w:color w:val="000000"/>
                <w:lang w:eastAsia="en-AU"/>
              </w:rPr>
              <w:t>CAO 20.7.4</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64BD61D" w14:textId="3B911182" w:rsidR="00720816" w:rsidRPr="009A4D20" w:rsidRDefault="00065862" w:rsidP="00AA0BB2">
            <w:pPr>
              <w:shd w:val="clear" w:color="auto" w:fill="FFFFFF"/>
              <w:tabs>
                <w:tab w:val="clear" w:pos="567"/>
              </w:tabs>
              <w:overflowPunct/>
              <w:autoSpaceDE/>
              <w:autoSpaceDN/>
              <w:adjustRightInd/>
              <w:spacing w:before="60" w:after="60"/>
              <w:textAlignment w:val="auto"/>
              <w:rPr>
                <w:rFonts w:ascii="Times New Roman" w:hAnsi="Times New Roman"/>
                <w:lang w:eastAsia="en-AU"/>
              </w:rPr>
            </w:pPr>
            <w:r w:rsidRPr="009A4D20">
              <w:rPr>
                <w:rFonts w:ascii="Times New Roman" w:hAnsi="Times New Roman"/>
                <w:color w:val="000000"/>
                <w:lang w:eastAsia="en-AU"/>
              </w:rPr>
              <w:t>This legislation prescribed aeroplane weight and performance limitations for certain specified aeroplanes.</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6620270" w14:textId="3283E8EF" w:rsidR="005E15A8" w:rsidRPr="009A4D20" w:rsidRDefault="00065862" w:rsidP="00AA0BB2">
            <w:pPr>
              <w:shd w:val="clear" w:color="auto" w:fill="FFFFFF"/>
              <w:tabs>
                <w:tab w:val="clear" w:pos="567"/>
              </w:tabs>
              <w:overflowPunct/>
              <w:autoSpaceDE/>
              <w:autoSpaceDN/>
              <w:adjustRightInd/>
              <w:spacing w:before="60" w:after="60"/>
              <w:textAlignment w:val="auto"/>
              <w:rPr>
                <w:rFonts w:ascii="Times New Roman" w:hAnsi="Times New Roman"/>
                <w:color w:val="000000"/>
                <w:lang w:eastAsia="en-AU"/>
              </w:rPr>
            </w:pPr>
            <w:r w:rsidRPr="009A4D20">
              <w:rPr>
                <w:rFonts w:ascii="Times New Roman" w:hAnsi="Times New Roman"/>
                <w:color w:val="000000"/>
                <w:lang w:eastAsia="en-AU"/>
              </w:rPr>
              <w:t>As in force immediately before 2 December 2021.</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9042560" w14:textId="76ED5C46" w:rsidR="005E15A8" w:rsidRPr="009A4D20" w:rsidRDefault="00065862" w:rsidP="00AA0BB2">
            <w:pPr>
              <w:shd w:val="clear" w:color="auto" w:fill="FFFFFF"/>
              <w:tabs>
                <w:tab w:val="clear" w:pos="567"/>
              </w:tabs>
              <w:overflowPunct/>
              <w:autoSpaceDE/>
              <w:autoSpaceDN/>
              <w:adjustRightInd/>
              <w:spacing w:before="60" w:after="60"/>
              <w:textAlignment w:val="auto"/>
              <w:rPr>
                <w:rFonts w:ascii="Times New Roman" w:hAnsi="Times New Roman"/>
                <w:color w:val="000000"/>
                <w:lang w:eastAsia="en-AU"/>
              </w:rPr>
            </w:pPr>
            <w:r w:rsidRPr="009A4D20">
              <w:rPr>
                <w:rFonts w:ascii="Times New Roman" w:hAnsi="Times New Roman"/>
                <w:color w:val="000000"/>
                <w:lang w:eastAsia="en-AU"/>
              </w:rPr>
              <w:t>This document is available on the Federal Register of Legislation.</w:t>
            </w:r>
          </w:p>
        </w:tc>
      </w:tr>
    </w:tbl>
    <w:p w14:paraId="73ED5FB7" w14:textId="77777777" w:rsidR="00DA70AF" w:rsidRPr="009A4D20" w:rsidRDefault="00DA70AF" w:rsidP="005E4ED6">
      <w:pPr>
        <w:pStyle w:val="BodyText"/>
        <w:rPr>
          <w:rFonts w:ascii="Times New Roman" w:hAnsi="Times New Roman"/>
        </w:rPr>
      </w:pPr>
    </w:p>
    <w:p w14:paraId="2C16B9F2" w14:textId="77777777" w:rsidR="00845B45" w:rsidRPr="009A4D20" w:rsidRDefault="00487302" w:rsidP="000604B7">
      <w:pPr>
        <w:pStyle w:val="LDBodytext"/>
        <w:keepNext/>
        <w:rPr>
          <w:b/>
        </w:rPr>
      </w:pPr>
      <w:r w:rsidRPr="009A4D20">
        <w:rPr>
          <w:b/>
        </w:rPr>
        <w:t>Consultation</w:t>
      </w:r>
    </w:p>
    <w:p w14:paraId="0FC7E379" w14:textId="00D98D7F" w:rsidR="00845B45" w:rsidRPr="009A4D20" w:rsidRDefault="00845B45" w:rsidP="005E4ED6">
      <w:pPr>
        <w:pStyle w:val="LDBodytext"/>
        <w:rPr>
          <w:bCs/>
          <w:iCs/>
        </w:rPr>
      </w:pPr>
      <w:r w:rsidRPr="009A4D20">
        <w:rPr>
          <w:bCs/>
          <w:iCs/>
        </w:rPr>
        <w:t>Under section 16 of the Act, in performing its functions and exercising its powers</w:t>
      </w:r>
      <w:r w:rsidR="00565B01" w:rsidRPr="009A4D20">
        <w:rPr>
          <w:bCs/>
          <w:iCs/>
        </w:rPr>
        <w:t>,</w:t>
      </w:r>
      <w:r w:rsidRPr="009A4D20">
        <w:rPr>
          <w:bCs/>
          <w:iCs/>
        </w:rPr>
        <w:t xml:space="preserve"> CASA must consult government, industrial, commercial consumer and other relevant bodies and organisations </w:t>
      </w:r>
      <w:r w:rsidR="00D61600" w:rsidRPr="009A4D20">
        <w:rPr>
          <w:bCs/>
          <w:iCs/>
        </w:rPr>
        <w:t>as far as</w:t>
      </w:r>
      <w:r w:rsidRPr="009A4D20">
        <w:rPr>
          <w:bCs/>
          <w:iCs/>
        </w:rPr>
        <w:t xml:space="preserve"> CASA considers such consultation to be appropriate.</w:t>
      </w:r>
    </w:p>
    <w:p w14:paraId="5B4EFD51" w14:textId="77777777" w:rsidR="00845B45" w:rsidRPr="009A4D20" w:rsidRDefault="00845B45" w:rsidP="005E4ED6">
      <w:pPr>
        <w:pStyle w:val="BodyText"/>
        <w:rPr>
          <w:rFonts w:ascii="Times New Roman" w:hAnsi="Times New Roman"/>
          <w:bCs/>
        </w:rPr>
      </w:pPr>
    </w:p>
    <w:p w14:paraId="2D2D8C1D" w14:textId="524B2B11" w:rsidR="00845B45" w:rsidRPr="009A4D20" w:rsidRDefault="00845B45" w:rsidP="005E4ED6">
      <w:pPr>
        <w:pStyle w:val="LDBodytext"/>
      </w:pPr>
      <w:r w:rsidRPr="009A4D20">
        <w:rPr>
          <w:bCs/>
          <w:iCs/>
        </w:rPr>
        <w:t>Under section 17 of the LA, b</w:t>
      </w:r>
      <w:r w:rsidRPr="009A4D20">
        <w:t>efore a legislative instrument is made, CASA must be satisfied that it has undertaken any consultation it considers appropriate and practicable in order to draw on relevant expertise and involve persons likely to be affected by the proposals.</w:t>
      </w:r>
    </w:p>
    <w:p w14:paraId="0D33D7A4" w14:textId="77777777" w:rsidR="00845B45" w:rsidRPr="009A4D20" w:rsidRDefault="00845B45" w:rsidP="005E4ED6">
      <w:pPr>
        <w:pStyle w:val="BodyText"/>
        <w:rPr>
          <w:rFonts w:ascii="Times New Roman" w:hAnsi="Times New Roman"/>
          <w:bCs/>
        </w:rPr>
      </w:pPr>
    </w:p>
    <w:p w14:paraId="404D7B3F" w14:textId="46947704" w:rsidR="003646F4" w:rsidRPr="009A4D20" w:rsidRDefault="10AE91E1" w:rsidP="005E4ED6">
      <w:pPr>
        <w:pStyle w:val="BodyText"/>
        <w:ind w:right="-284"/>
        <w:rPr>
          <w:rFonts w:ascii="Times New Roman" w:hAnsi="Times New Roman"/>
        </w:rPr>
      </w:pPr>
      <w:r w:rsidRPr="009A4D20">
        <w:rPr>
          <w:rFonts w:ascii="Times New Roman" w:hAnsi="Times New Roman"/>
        </w:rPr>
        <w:lastRenderedPageBreak/>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w:t>
      </w:r>
      <w:r w:rsidR="1593EB7F" w:rsidRPr="009A4D20">
        <w:rPr>
          <w:rFonts w:ascii="Times New Roman" w:hAnsi="Times New Roman"/>
        </w:rPr>
        <w:t>, where possible,</w:t>
      </w:r>
      <w:r w:rsidRPr="009A4D20">
        <w:rPr>
          <w:rFonts w:ascii="Times New Roman" w:hAnsi="Times New Roman"/>
        </w:rPr>
        <w:t xml:space="preserve"> in an appropriate way with those parts of the aviation industry most likely to avail themselves of, or be affected by, an exemption so that they may have the opportunity to comment on the possible or likely terms, scope and appropriateness of the exemption.</w:t>
      </w:r>
    </w:p>
    <w:p w14:paraId="03D721D5" w14:textId="476748F1" w:rsidR="00AE6A37" w:rsidRPr="009A4D20" w:rsidRDefault="00AE6A37" w:rsidP="005E4ED6">
      <w:pPr>
        <w:pStyle w:val="BodyText"/>
        <w:ind w:right="-284"/>
        <w:rPr>
          <w:rFonts w:ascii="Times New Roman" w:hAnsi="Times New Roman"/>
        </w:rPr>
      </w:pPr>
    </w:p>
    <w:p w14:paraId="0D6B5DA9" w14:textId="7A939AAC" w:rsidR="00B131F2" w:rsidRPr="009A4D20" w:rsidRDefault="005F41F2" w:rsidP="005E4ED6">
      <w:pPr>
        <w:pStyle w:val="BodyText"/>
        <w:ind w:right="-284"/>
        <w:rPr>
          <w:rFonts w:ascii="Times New Roman" w:hAnsi="Times New Roman"/>
        </w:rPr>
      </w:pPr>
      <w:r w:rsidRPr="009A4D20">
        <w:rPr>
          <w:rFonts w:ascii="Times New Roman" w:hAnsi="Times New Roman"/>
        </w:rPr>
        <w:t xml:space="preserve">For the </w:t>
      </w:r>
      <w:r w:rsidRPr="009A4D20">
        <w:rPr>
          <w:b/>
          <w:bCs/>
          <w:i/>
          <w:iCs/>
        </w:rPr>
        <w:t>principal exemptions instrument</w:t>
      </w:r>
      <w:r w:rsidRPr="009A4D20">
        <w:rPr>
          <w:bCs/>
          <w:iCs/>
        </w:rPr>
        <w:t>,</w:t>
      </w:r>
      <w:r w:rsidRPr="009A4D20">
        <w:rPr>
          <w:rFonts w:ascii="Times New Roman" w:hAnsi="Times New Roman"/>
        </w:rPr>
        <w:t xml:space="preserve"> </w:t>
      </w:r>
      <w:r w:rsidR="0081637E" w:rsidRPr="009A4D20">
        <w:rPr>
          <w:rFonts w:ascii="Times New Roman" w:hAnsi="Times New Roman"/>
        </w:rPr>
        <w:t xml:space="preserve">CASA consulted the aviation community </w:t>
      </w:r>
      <w:r w:rsidR="00B45689" w:rsidRPr="009A4D20">
        <w:rPr>
          <w:rFonts w:ascii="Times New Roman" w:hAnsi="Times New Roman"/>
        </w:rPr>
        <w:t>in June</w:t>
      </w:r>
      <w:r w:rsidR="00D36634" w:rsidRPr="009A4D20">
        <w:rPr>
          <w:rFonts w:ascii="Times New Roman" w:hAnsi="Times New Roman"/>
        </w:rPr>
        <w:t> </w:t>
      </w:r>
      <w:r w:rsidR="00B45689" w:rsidRPr="009A4D20">
        <w:rPr>
          <w:rFonts w:ascii="Times New Roman" w:hAnsi="Times New Roman"/>
        </w:rPr>
        <w:t xml:space="preserve">2020 </w:t>
      </w:r>
      <w:r w:rsidR="002470F0" w:rsidRPr="009A4D20">
        <w:rPr>
          <w:rFonts w:ascii="Times New Roman" w:hAnsi="Times New Roman"/>
        </w:rPr>
        <w:t>when it published</w:t>
      </w:r>
      <w:r w:rsidR="00E23B57" w:rsidRPr="009A4D20">
        <w:rPr>
          <w:rFonts w:ascii="Times New Roman" w:hAnsi="Times New Roman"/>
        </w:rPr>
        <w:t>, and sought comments on,</w:t>
      </w:r>
      <w:r w:rsidR="002470F0" w:rsidRPr="009A4D20">
        <w:rPr>
          <w:rFonts w:ascii="Times New Roman" w:hAnsi="Times New Roman"/>
        </w:rPr>
        <w:t xml:space="preserve"> its policy proposals </w:t>
      </w:r>
      <w:r w:rsidR="00E23B57" w:rsidRPr="009A4D20">
        <w:rPr>
          <w:rFonts w:ascii="Times New Roman" w:hAnsi="Times New Roman"/>
        </w:rPr>
        <w:t>that ultimately gave rise to</w:t>
      </w:r>
      <w:r w:rsidR="002470F0" w:rsidRPr="009A4D20">
        <w:rPr>
          <w:rFonts w:ascii="Times New Roman" w:hAnsi="Times New Roman"/>
        </w:rPr>
        <w:t xml:space="preserve"> the exemptions</w:t>
      </w:r>
      <w:r w:rsidR="00C84452" w:rsidRPr="009A4D20">
        <w:rPr>
          <w:rFonts w:ascii="Times New Roman" w:hAnsi="Times New Roman"/>
        </w:rPr>
        <w:t xml:space="preserve"> and </w:t>
      </w:r>
      <w:r w:rsidR="00E23B57" w:rsidRPr="009A4D20">
        <w:rPr>
          <w:rFonts w:ascii="Times New Roman" w:hAnsi="Times New Roman"/>
        </w:rPr>
        <w:t>directions instrument</w:t>
      </w:r>
      <w:r w:rsidR="002470F0" w:rsidRPr="009A4D20">
        <w:rPr>
          <w:rFonts w:ascii="Times New Roman" w:hAnsi="Times New Roman"/>
        </w:rPr>
        <w:t xml:space="preserve">. A </w:t>
      </w:r>
      <w:r w:rsidR="00874168" w:rsidRPr="009A4D20">
        <w:rPr>
          <w:rFonts w:ascii="Times New Roman" w:hAnsi="Times New Roman"/>
        </w:rPr>
        <w:t>summary of the consultation feedback and CASA’s disposition of comments received was published</w:t>
      </w:r>
      <w:r w:rsidR="00E23B57" w:rsidRPr="009A4D20">
        <w:rPr>
          <w:rFonts w:ascii="Times New Roman" w:hAnsi="Times New Roman"/>
        </w:rPr>
        <w:t xml:space="preserve"> on the CASA website</w:t>
      </w:r>
      <w:r w:rsidR="00874168" w:rsidRPr="009A4D20">
        <w:rPr>
          <w:rFonts w:ascii="Times New Roman" w:hAnsi="Times New Roman"/>
        </w:rPr>
        <w:t xml:space="preserve"> in December 202</w:t>
      </w:r>
      <w:r w:rsidR="00B463B7" w:rsidRPr="009A4D20">
        <w:rPr>
          <w:rFonts w:ascii="Times New Roman" w:hAnsi="Times New Roman"/>
        </w:rPr>
        <w:t>0.</w:t>
      </w:r>
    </w:p>
    <w:p w14:paraId="21467A07" w14:textId="77777777" w:rsidR="00726A3B" w:rsidRPr="009A4D20" w:rsidRDefault="00726A3B" w:rsidP="005E4ED6">
      <w:pPr>
        <w:pStyle w:val="BodyText"/>
        <w:ind w:right="-284"/>
        <w:rPr>
          <w:rFonts w:ascii="Times New Roman" w:hAnsi="Times New Roman"/>
        </w:rPr>
      </w:pPr>
    </w:p>
    <w:p w14:paraId="154CA73F" w14:textId="4E15D877" w:rsidR="00B131F2" w:rsidRPr="009A4D20" w:rsidRDefault="00726A3B" w:rsidP="005E4ED6">
      <w:pPr>
        <w:pStyle w:val="BodyText"/>
        <w:ind w:right="-284"/>
        <w:rPr>
          <w:rFonts w:ascii="Times New Roman" w:hAnsi="Times New Roman"/>
        </w:rPr>
      </w:pPr>
      <w:r w:rsidRPr="009A4D20">
        <w:rPr>
          <w:rFonts w:ascii="Times New Roman" w:hAnsi="Times New Roman"/>
        </w:rPr>
        <w:t xml:space="preserve">In addition, </w:t>
      </w:r>
      <w:r w:rsidR="003D2695" w:rsidRPr="009A4D20">
        <w:rPr>
          <w:rFonts w:ascii="Times New Roman" w:hAnsi="Times New Roman"/>
        </w:rPr>
        <w:t xml:space="preserve">for </w:t>
      </w:r>
      <w:r w:rsidR="005F41F2" w:rsidRPr="009A4D20">
        <w:rPr>
          <w:rFonts w:ascii="Times New Roman" w:hAnsi="Times New Roman"/>
        </w:rPr>
        <w:t xml:space="preserve">the </w:t>
      </w:r>
      <w:r w:rsidR="005F41F2" w:rsidRPr="009A4D20">
        <w:rPr>
          <w:b/>
          <w:bCs/>
          <w:i/>
          <w:iCs/>
        </w:rPr>
        <w:t>principal exemptions instrument</w:t>
      </w:r>
      <w:r w:rsidR="003D2695" w:rsidRPr="009A4D20">
        <w:rPr>
          <w:rFonts w:ascii="Times New Roman" w:hAnsi="Times New Roman"/>
        </w:rPr>
        <w:t xml:space="preserve">, from </w:t>
      </w:r>
      <w:r w:rsidR="00DE3DF1" w:rsidRPr="009A4D20">
        <w:rPr>
          <w:rFonts w:ascii="Times New Roman" w:hAnsi="Times New Roman"/>
        </w:rPr>
        <w:t>16 July</w:t>
      </w:r>
      <w:r w:rsidR="003D2695" w:rsidRPr="009A4D20">
        <w:rPr>
          <w:rFonts w:ascii="Times New Roman" w:hAnsi="Times New Roman"/>
        </w:rPr>
        <w:t xml:space="preserve"> to 6 August 2021, CASA consulted the aviation community by providing descriptions of the exemptions and directions to the Implementation Technical Working Group (</w:t>
      </w:r>
      <w:r w:rsidR="003D2695" w:rsidRPr="009A4D20">
        <w:rPr>
          <w:rFonts w:ascii="Times New Roman" w:hAnsi="Times New Roman"/>
          <w:b/>
          <w:i/>
        </w:rPr>
        <w:t>TWG</w:t>
      </w:r>
      <w:r w:rsidR="003D2695" w:rsidRPr="009A4D20">
        <w:rPr>
          <w:rFonts w:ascii="Times New Roman" w:hAnsi="Times New Roman"/>
        </w:rPr>
        <w:t>) of the Aviation Safety Advisory Panel (</w:t>
      </w:r>
      <w:r w:rsidR="003D2695" w:rsidRPr="009A4D20">
        <w:rPr>
          <w:rFonts w:ascii="Times New Roman" w:hAnsi="Times New Roman"/>
          <w:b/>
          <w:bCs/>
          <w:i/>
          <w:iCs/>
        </w:rPr>
        <w:t>ASAP</w:t>
      </w:r>
      <w:r w:rsidR="003D2695" w:rsidRPr="009A4D20">
        <w:rPr>
          <w:rFonts w:ascii="Times New Roman" w:hAnsi="Times New Roman"/>
        </w:rPr>
        <w:t>) for comment</w:t>
      </w:r>
      <w:r w:rsidRPr="009A4D20">
        <w:rPr>
          <w:rFonts w:ascii="Times New Roman" w:hAnsi="Times New Roman"/>
        </w:rPr>
        <w:t>.</w:t>
      </w:r>
      <w:r w:rsidR="0081637E" w:rsidRPr="009A4D20">
        <w:rPr>
          <w:rFonts w:ascii="Times New Roman" w:hAnsi="Times New Roman"/>
        </w:rPr>
        <w:t xml:space="preserve"> </w:t>
      </w:r>
      <w:r w:rsidR="00EE5AEC" w:rsidRPr="009A4D20">
        <w:rPr>
          <w:rFonts w:ascii="Times New Roman" w:hAnsi="Times New Roman"/>
        </w:rPr>
        <w:t xml:space="preserve">The </w:t>
      </w:r>
      <w:r w:rsidR="007B646B" w:rsidRPr="009A4D20">
        <w:rPr>
          <w:rFonts w:ascii="Times New Roman" w:hAnsi="Times New Roman"/>
        </w:rPr>
        <w:t>ASAP is the primary advisory body through which CASA directs its engagement with industry and seeks input on current and future regulatory and associated policy approaches.</w:t>
      </w:r>
    </w:p>
    <w:p w14:paraId="334BC895" w14:textId="77777777" w:rsidR="00E4420C" w:rsidRPr="009A4D20" w:rsidRDefault="00E4420C" w:rsidP="005E4ED6">
      <w:pPr>
        <w:pStyle w:val="BodyText"/>
        <w:ind w:right="-284"/>
        <w:rPr>
          <w:rFonts w:ascii="Times New Roman" w:hAnsi="Times New Roman"/>
        </w:rPr>
      </w:pPr>
    </w:p>
    <w:p w14:paraId="73D5B569" w14:textId="3DEA350A" w:rsidR="00E4420C" w:rsidRPr="009A4D20" w:rsidRDefault="2A0B3D01" w:rsidP="005E4ED6">
      <w:pPr>
        <w:pStyle w:val="BodyText"/>
        <w:ind w:right="-284"/>
        <w:rPr>
          <w:rFonts w:ascii="Times New Roman" w:hAnsi="Times New Roman"/>
        </w:rPr>
      </w:pPr>
      <w:r w:rsidRPr="009A4D20">
        <w:rPr>
          <w:rFonts w:ascii="Times New Roman" w:hAnsi="Times New Roman"/>
        </w:rPr>
        <w:t>CASA considered all TWG input</w:t>
      </w:r>
      <w:r w:rsidR="003D6234" w:rsidRPr="009A4D20">
        <w:rPr>
          <w:rFonts w:ascii="Times New Roman" w:hAnsi="Times New Roman"/>
        </w:rPr>
        <w:t xml:space="preserve">, and has also received and considered additional input provided directly by </w:t>
      </w:r>
      <w:r w:rsidR="00336F8E" w:rsidRPr="009A4D20">
        <w:rPr>
          <w:rFonts w:ascii="Times New Roman" w:hAnsi="Times New Roman"/>
        </w:rPr>
        <w:t xml:space="preserve">affected </w:t>
      </w:r>
      <w:r w:rsidR="00C626C5" w:rsidRPr="009A4D20">
        <w:rPr>
          <w:rFonts w:ascii="Times New Roman" w:hAnsi="Times New Roman"/>
        </w:rPr>
        <w:t>operators,</w:t>
      </w:r>
      <w:r w:rsidRPr="009A4D20">
        <w:rPr>
          <w:rFonts w:ascii="Times New Roman" w:hAnsi="Times New Roman"/>
        </w:rPr>
        <w:t xml:space="preserve"> in finalising </w:t>
      </w:r>
      <w:r w:rsidR="00C626C5" w:rsidRPr="009A4D20">
        <w:rPr>
          <w:rFonts w:ascii="Times New Roman" w:hAnsi="Times New Roman"/>
        </w:rPr>
        <w:t>th</w:t>
      </w:r>
      <w:r w:rsidR="001D6739" w:rsidRPr="009A4D20">
        <w:rPr>
          <w:rFonts w:ascii="Times New Roman" w:hAnsi="Times New Roman"/>
        </w:rPr>
        <w:t xml:space="preserve">e new </w:t>
      </w:r>
      <w:r w:rsidR="00336F8E" w:rsidRPr="009A4D20">
        <w:rPr>
          <w:rFonts w:ascii="Times New Roman" w:hAnsi="Times New Roman"/>
        </w:rPr>
        <w:t xml:space="preserve">exemptions </w:t>
      </w:r>
      <w:r w:rsidRPr="009A4D20">
        <w:rPr>
          <w:rFonts w:ascii="Times New Roman" w:hAnsi="Times New Roman"/>
        </w:rPr>
        <w:t>instrument</w:t>
      </w:r>
      <w:r w:rsidR="001D6739" w:rsidRPr="009A4D20">
        <w:rPr>
          <w:rFonts w:ascii="Times New Roman" w:hAnsi="Times New Roman"/>
        </w:rPr>
        <w:t xml:space="preserve"> when it was realised that the 2 matters mentioned above </w:t>
      </w:r>
      <w:r w:rsidR="00336F8E" w:rsidRPr="009A4D20">
        <w:rPr>
          <w:rFonts w:ascii="Times New Roman" w:hAnsi="Times New Roman"/>
        </w:rPr>
        <w:t>required additional exemptions</w:t>
      </w:r>
      <w:r w:rsidR="001D6739" w:rsidRPr="009A4D20">
        <w:rPr>
          <w:rFonts w:ascii="Times New Roman" w:hAnsi="Times New Roman"/>
        </w:rPr>
        <w:t>.</w:t>
      </w:r>
      <w:r w:rsidR="005F41F2" w:rsidRPr="009A4D20">
        <w:rPr>
          <w:rFonts w:ascii="Times New Roman" w:hAnsi="Times New Roman"/>
        </w:rPr>
        <w:t xml:space="preserve"> CASA</w:t>
      </w:r>
      <w:r w:rsidRPr="009A4D20">
        <w:rPr>
          <w:rFonts w:ascii="Times New Roman" w:hAnsi="Times New Roman"/>
        </w:rPr>
        <w:t xml:space="preserve"> advised the TWG of its responses and comments regarding all input from the TWG</w:t>
      </w:r>
      <w:r w:rsidR="005F41F2" w:rsidRPr="009A4D20">
        <w:rPr>
          <w:rFonts w:ascii="Times New Roman" w:hAnsi="Times New Roman"/>
        </w:rPr>
        <w:t>, and considers that no further consultation is necessary or appropriate</w:t>
      </w:r>
      <w:r w:rsidRPr="009A4D20">
        <w:rPr>
          <w:rFonts w:ascii="Times New Roman" w:hAnsi="Times New Roman"/>
        </w:rPr>
        <w:t>.</w:t>
      </w:r>
    </w:p>
    <w:p w14:paraId="1B431011" w14:textId="77777777" w:rsidR="0081637E" w:rsidRPr="009A4D20" w:rsidRDefault="0081637E" w:rsidP="005E4ED6">
      <w:pPr>
        <w:pStyle w:val="BodyText"/>
        <w:ind w:right="-284"/>
        <w:rPr>
          <w:rFonts w:ascii="Times New Roman" w:hAnsi="Times New Roman"/>
        </w:rPr>
      </w:pPr>
    </w:p>
    <w:p w14:paraId="322B04EE" w14:textId="77777777" w:rsidR="00196951" w:rsidRPr="009A4D20" w:rsidRDefault="00196951" w:rsidP="00D5653C">
      <w:pPr>
        <w:pStyle w:val="LDBodytext"/>
        <w:rPr>
          <w:b/>
        </w:rPr>
      </w:pPr>
      <w:r w:rsidRPr="009A4D20">
        <w:rPr>
          <w:b/>
        </w:rPr>
        <w:t>Office of Best Practice Regulation (</w:t>
      </w:r>
      <w:r w:rsidRPr="009A4D20">
        <w:rPr>
          <w:b/>
          <w:i/>
        </w:rPr>
        <w:t>OBPR</w:t>
      </w:r>
      <w:r w:rsidRPr="009A4D20">
        <w:rPr>
          <w:b/>
        </w:rPr>
        <w:t>)</w:t>
      </w:r>
    </w:p>
    <w:p w14:paraId="095F7132" w14:textId="2457BDCA" w:rsidR="007920B4" w:rsidRPr="009A4D20" w:rsidRDefault="007920B4" w:rsidP="00D5653C">
      <w:pPr>
        <w:pStyle w:val="PlainText"/>
        <w:rPr>
          <w:rFonts w:ascii="Times New Roman" w:hAnsi="Times New Roman" w:cs="Times New Roman"/>
          <w:sz w:val="24"/>
        </w:rPr>
      </w:pPr>
      <w:r w:rsidRPr="009A4D20">
        <w:rPr>
          <w:rFonts w:ascii="Times New Roman" w:hAnsi="Times New Roman" w:cs="Times New Roman"/>
          <w:sz w:val="24"/>
        </w:rPr>
        <w:t>A Regulation Impact Statement (</w:t>
      </w:r>
      <w:r w:rsidRPr="009A4D20">
        <w:rPr>
          <w:rFonts w:ascii="Times New Roman" w:hAnsi="Times New Roman" w:cs="Times New Roman"/>
          <w:b/>
          <w:i/>
          <w:sz w:val="24"/>
        </w:rPr>
        <w:t>RIS</w:t>
      </w:r>
      <w:r w:rsidRPr="009A4D20">
        <w:rPr>
          <w:rFonts w:ascii="Times New Roman" w:hAnsi="Times New Roman" w:cs="Times New Roman"/>
          <w:sz w:val="24"/>
        </w:rPr>
        <w:t>) is not required because the instrument</w:t>
      </w:r>
      <w:r w:rsidR="00D36634" w:rsidRPr="009A4D20">
        <w:rPr>
          <w:rFonts w:ascii="Times New Roman" w:hAnsi="Times New Roman" w:cs="Times New Roman"/>
          <w:sz w:val="24"/>
        </w:rPr>
        <w:t xml:space="preserve"> i</w:t>
      </w:r>
      <w:r w:rsidRPr="009A4D20">
        <w:rPr>
          <w:rFonts w:ascii="Times New Roman" w:hAnsi="Times New Roman" w:cs="Times New Roman"/>
          <w:sz w:val="24"/>
        </w:rPr>
        <w:t>s covered by a standing agreement between CASA and OBPR under which a RIS is not required for Exemption or Direction instruments (OBPR id: 14507).</w:t>
      </w:r>
    </w:p>
    <w:p w14:paraId="5518B0B2" w14:textId="2F3F6CFD" w:rsidR="00113CBC" w:rsidRPr="009A4D20" w:rsidRDefault="00113CBC" w:rsidP="00D5653C">
      <w:pPr>
        <w:pStyle w:val="PlainText"/>
        <w:rPr>
          <w:rFonts w:ascii="Times New Roman" w:hAnsi="Times New Roman" w:cs="Times New Roman"/>
          <w:sz w:val="24"/>
        </w:rPr>
      </w:pPr>
    </w:p>
    <w:p w14:paraId="03764D0C" w14:textId="77777777" w:rsidR="00113CBC" w:rsidRPr="009A4D20" w:rsidRDefault="00113CBC" w:rsidP="00113CBC">
      <w:pPr>
        <w:pStyle w:val="LDBodytext"/>
        <w:rPr>
          <w:b/>
          <w:bCs/>
        </w:rPr>
      </w:pPr>
      <w:r w:rsidRPr="009A4D20">
        <w:rPr>
          <w:b/>
          <w:bCs/>
        </w:rPr>
        <w:t>Sector risk, economic and cost impact</w:t>
      </w:r>
    </w:p>
    <w:p w14:paraId="6C768A5E" w14:textId="47597B66" w:rsidR="00113CBC" w:rsidRPr="009A4D20" w:rsidRDefault="00113CBC" w:rsidP="00113CBC">
      <w:pPr>
        <w:rPr>
          <w:rFonts w:ascii="Times New Roman" w:hAnsi="Times New Roman"/>
        </w:rPr>
      </w:pPr>
      <w:r w:rsidRPr="009A4D20">
        <w:rPr>
          <w:rFonts w:ascii="Times New Roman" w:hAnsi="Times New Roman"/>
        </w:rPr>
        <w:t>Subsection</w:t>
      </w:r>
      <w:r w:rsidR="00CC2167" w:rsidRPr="009A4D20">
        <w:rPr>
          <w:rFonts w:ascii="Times New Roman" w:hAnsi="Times New Roman"/>
        </w:rPr>
        <w:t xml:space="preserve"> </w:t>
      </w:r>
      <w:r w:rsidRPr="009A4D20">
        <w:rPr>
          <w:rFonts w:ascii="Times New Roman" w:hAnsi="Times New Roman"/>
        </w:rPr>
        <w:t>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1AA71D28" w14:textId="77777777" w:rsidR="00113CBC" w:rsidRPr="009A4D20" w:rsidRDefault="00113CBC" w:rsidP="00AA0BB2">
      <w:pPr>
        <w:pStyle w:val="ldp1a1"/>
        <w:shd w:val="clear" w:color="auto" w:fill="FFFFFF"/>
        <w:tabs>
          <w:tab w:val="left" w:pos="1134"/>
        </w:tabs>
        <w:spacing w:before="0" w:beforeAutospacing="0" w:after="60" w:afterAutospacing="0"/>
        <w:ind w:left="1134" w:hanging="397"/>
      </w:pPr>
      <w:r w:rsidRPr="009A4D20">
        <w:t>(a)</w:t>
      </w:r>
      <w:r w:rsidRPr="009A4D20">
        <w:tab/>
        <w:t>consider the economic and cost impact on individuals, businesses and the community of the standards; and</w:t>
      </w:r>
    </w:p>
    <w:p w14:paraId="18163551" w14:textId="77777777" w:rsidR="00113CBC" w:rsidRPr="009A4D20" w:rsidRDefault="00113CBC" w:rsidP="00AA0BB2">
      <w:pPr>
        <w:pStyle w:val="ldp1a1"/>
        <w:shd w:val="clear" w:color="auto" w:fill="FFFFFF"/>
        <w:tabs>
          <w:tab w:val="left" w:pos="1134"/>
        </w:tabs>
        <w:spacing w:before="60" w:beforeAutospacing="0" w:after="0" w:afterAutospacing="0"/>
        <w:ind w:left="1134" w:hanging="397"/>
      </w:pPr>
      <w:r w:rsidRPr="009A4D20">
        <w:t>(b)</w:t>
      </w:r>
      <w:r w:rsidRPr="009A4D20">
        <w:tab/>
        <w:t>take into account the differing risks associated with different industry sectors.</w:t>
      </w:r>
    </w:p>
    <w:p w14:paraId="2708173B" w14:textId="77777777" w:rsidR="00113CBC" w:rsidRPr="009A4D20" w:rsidRDefault="00113CBC" w:rsidP="00113CBC">
      <w:pPr>
        <w:rPr>
          <w:rFonts w:ascii="Times New Roman" w:hAnsi="Times New Roman"/>
        </w:rPr>
      </w:pPr>
    </w:p>
    <w:p w14:paraId="7C6FEBC0" w14:textId="77777777" w:rsidR="00113CBC" w:rsidRPr="009A4D20" w:rsidRDefault="00113CBC" w:rsidP="00113CBC">
      <w:pPr>
        <w:rPr>
          <w:rFonts w:ascii="Times New Roman" w:hAnsi="Times New Roman"/>
          <w:lang w:val="en-US"/>
        </w:rPr>
      </w:pPr>
      <w:r w:rsidRPr="009A4D20">
        <w:rPr>
          <w:rFonts w:ascii="Times New Roman" w:hAnsi="Times New Roman"/>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6CB4233A" w14:textId="77777777" w:rsidR="00113CBC" w:rsidRPr="009A4D20" w:rsidRDefault="00113CBC" w:rsidP="00113CBC">
      <w:pPr>
        <w:pStyle w:val="LDBodytext"/>
        <w:rPr>
          <w:lang w:val="en-US"/>
        </w:rPr>
      </w:pPr>
    </w:p>
    <w:p w14:paraId="76CE10BD" w14:textId="088D853A" w:rsidR="004F1E8E" w:rsidRPr="009A4D20" w:rsidRDefault="00113CBC" w:rsidP="009B1BF7">
      <w:pPr>
        <w:pStyle w:val="LDBodytext"/>
        <w:keepNext/>
      </w:pPr>
      <w:r w:rsidRPr="009A4D20">
        <w:lastRenderedPageBreak/>
        <w:t xml:space="preserve">In terms of economic and cost impacts for section 9A (3) of the Act, the exemption instrument would facilitate the </w:t>
      </w:r>
      <w:r w:rsidR="004F1E8E" w:rsidRPr="009A4D20">
        <w:t xml:space="preserve">continued conduct of </w:t>
      </w:r>
      <w:r w:rsidR="00A951B4" w:rsidRPr="009A4D20">
        <w:t>particular operations.</w:t>
      </w:r>
    </w:p>
    <w:p w14:paraId="383CAE6E" w14:textId="56446412" w:rsidR="00A951B4" w:rsidRPr="009A4D20" w:rsidRDefault="00A951B4" w:rsidP="00C804CA">
      <w:pPr>
        <w:pStyle w:val="LDBodytext"/>
      </w:pPr>
    </w:p>
    <w:p w14:paraId="26DA7FB2" w14:textId="4EDFC35B" w:rsidR="00E5422F" w:rsidRPr="009A4D20" w:rsidRDefault="00A951B4" w:rsidP="00E5422F">
      <w:pPr>
        <w:pStyle w:val="Default"/>
      </w:pPr>
      <w:r w:rsidRPr="009A4D20">
        <w:rPr>
          <w:rFonts w:eastAsia="Calibri"/>
        </w:rPr>
        <w:t>Without the exemptions instrument, aircraft operations that were being safely conducted before 2 December 2021 would be precluded from continuing</w:t>
      </w:r>
      <w:r w:rsidR="00663A83" w:rsidRPr="009A4D20">
        <w:rPr>
          <w:rFonts w:eastAsia="Calibri"/>
        </w:rPr>
        <w:t xml:space="preserve"> without </w:t>
      </w:r>
      <w:r w:rsidR="004E1EB6" w:rsidRPr="009A4D20">
        <w:rPr>
          <w:rFonts w:eastAsia="Calibri"/>
        </w:rPr>
        <w:t>obtaining</w:t>
      </w:r>
      <w:r w:rsidR="00C0445C" w:rsidRPr="009A4D20">
        <w:rPr>
          <w:rFonts w:eastAsia="Calibri"/>
        </w:rPr>
        <w:t xml:space="preserve"> an AOC or</w:t>
      </w:r>
      <w:r w:rsidR="00663A83" w:rsidRPr="009A4D20">
        <w:rPr>
          <w:rFonts w:eastAsia="Calibri"/>
        </w:rPr>
        <w:t xml:space="preserve"> a relevant CASA approval</w:t>
      </w:r>
      <w:r w:rsidRPr="009A4D20">
        <w:rPr>
          <w:rFonts w:eastAsia="Calibri"/>
        </w:rPr>
        <w:t xml:space="preserve">. </w:t>
      </w:r>
      <w:r w:rsidR="00663A83" w:rsidRPr="009A4D20">
        <w:rPr>
          <w:rFonts w:eastAsia="Calibri"/>
        </w:rPr>
        <w:t xml:space="preserve">Thus, the exemptions will have the effect of </w:t>
      </w:r>
      <w:r w:rsidR="00F6013F" w:rsidRPr="009A4D20">
        <w:t xml:space="preserve">lowering </w:t>
      </w:r>
      <w:r w:rsidR="00E5422F" w:rsidRPr="009A4D20">
        <w:t xml:space="preserve">some </w:t>
      </w:r>
      <w:r w:rsidR="00F6013F" w:rsidRPr="009A4D20">
        <w:t>costs for industry</w:t>
      </w:r>
      <w:r w:rsidR="00E5422F" w:rsidRPr="009A4D20">
        <w:t xml:space="preserve"> that might otherwise have arisen.</w:t>
      </w:r>
    </w:p>
    <w:p w14:paraId="663DE7BA" w14:textId="77777777" w:rsidR="00E5422F" w:rsidRPr="009A4D20" w:rsidRDefault="00E5422F" w:rsidP="00E5422F">
      <w:pPr>
        <w:pStyle w:val="Default"/>
      </w:pPr>
    </w:p>
    <w:p w14:paraId="46FB981A" w14:textId="795668F3" w:rsidR="00E5422F" w:rsidRPr="009A4D20" w:rsidRDefault="00F6013F" w:rsidP="00E5422F">
      <w:pPr>
        <w:pStyle w:val="Default"/>
      </w:pPr>
      <w:r w:rsidRPr="009A4D20">
        <w:t>The instrument will particularly impact, in a positive way, on the categories of non</w:t>
      </w:r>
      <w:r w:rsidR="003C0810" w:rsidRPr="009A4D20">
        <w:noBreakHyphen/>
      </w:r>
      <w:r w:rsidRPr="009A4D20">
        <w:t>scheduled air transport operations and medical transport operations conducted by Australian air transport operators.</w:t>
      </w:r>
    </w:p>
    <w:p w14:paraId="51070925" w14:textId="77777777" w:rsidR="00E5422F" w:rsidRPr="009A4D20" w:rsidRDefault="00E5422F" w:rsidP="00E5422F">
      <w:pPr>
        <w:pStyle w:val="Default"/>
      </w:pPr>
    </w:p>
    <w:p w14:paraId="249777C0" w14:textId="3D0702E6" w:rsidR="00F6013F" w:rsidRPr="009A4D20" w:rsidRDefault="00F6013F" w:rsidP="0037359A">
      <w:pPr>
        <w:pStyle w:val="Default"/>
      </w:pPr>
      <w:r w:rsidRPr="009A4D20">
        <w:t>It is not anticipated there will be any negative environmental impacts as a result of this exemption, compared to the baseline that existed on 1 December 2021, since the exemption is enabling a continuation of existing practices.</w:t>
      </w:r>
    </w:p>
    <w:p w14:paraId="60004593" w14:textId="77777777" w:rsidR="006D70C4" w:rsidRPr="009A4D20" w:rsidRDefault="006D70C4" w:rsidP="00A951B4">
      <w:pPr>
        <w:pStyle w:val="Default"/>
        <w:rPr>
          <w:rFonts w:eastAsia="Calibri"/>
        </w:rPr>
      </w:pPr>
    </w:p>
    <w:p w14:paraId="5D859CFB" w14:textId="215B2601" w:rsidR="00527CAA" w:rsidRPr="009A4D20" w:rsidRDefault="006D70C4" w:rsidP="00527CAA">
      <w:pPr>
        <w:pStyle w:val="Default"/>
        <w:rPr>
          <w:rFonts w:eastAsia="Calibri"/>
        </w:rPr>
      </w:pPr>
      <w:r w:rsidRPr="009A4D20">
        <w:rPr>
          <w:rFonts w:eastAsia="Calibri"/>
        </w:rPr>
        <w:t xml:space="preserve">There is no </w:t>
      </w:r>
      <w:r w:rsidR="0028545C" w:rsidRPr="009A4D20">
        <w:rPr>
          <w:rFonts w:eastAsia="Calibri"/>
        </w:rPr>
        <w:t xml:space="preserve">significant </w:t>
      </w:r>
      <w:r w:rsidRPr="009A4D20">
        <w:rPr>
          <w:rFonts w:eastAsia="Calibri"/>
        </w:rPr>
        <w:t>differential sector risk</w:t>
      </w:r>
      <w:r w:rsidR="0028545C" w:rsidRPr="009A4D20">
        <w:rPr>
          <w:rFonts w:eastAsia="Calibri"/>
        </w:rPr>
        <w:t xml:space="preserve"> arising from the exemptions instrument whose </w:t>
      </w:r>
      <w:r w:rsidR="00FE7006" w:rsidRPr="009A4D20">
        <w:rPr>
          <w:rFonts w:eastAsia="Calibri"/>
        </w:rPr>
        <w:t>purpose</w:t>
      </w:r>
      <w:r w:rsidR="0028545C" w:rsidRPr="009A4D20">
        <w:rPr>
          <w:rFonts w:eastAsia="Calibri"/>
        </w:rPr>
        <w:t xml:space="preserve"> is to preserve a</w:t>
      </w:r>
      <w:r w:rsidR="00FE7006" w:rsidRPr="009A4D20">
        <w:rPr>
          <w:rFonts w:eastAsia="Calibri"/>
        </w:rPr>
        <w:t xml:space="preserve"> pre-2 December 2021 status quo that was and is considered to offer an acceptable level of aviation safety.</w:t>
      </w:r>
    </w:p>
    <w:p w14:paraId="18BFEDF1" w14:textId="77777777" w:rsidR="00A951B4" w:rsidRPr="009A4D20" w:rsidRDefault="00A951B4" w:rsidP="003C0810">
      <w:pPr>
        <w:pStyle w:val="LDBodytext"/>
      </w:pPr>
    </w:p>
    <w:p w14:paraId="741C3B18" w14:textId="77F95F08" w:rsidR="00113CBC" w:rsidRPr="009A4D20" w:rsidRDefault="00094281" w:rsidP="00113CBC">
      <w:pPr>
        <w:pStyle w:val="LDBodytext"/>
        <w:rPr>
          <w:b/>
          <w:bCs/>
        </w:rPr>
      </w:pPr>
      <w:r w:rsidRPr="009A4D20">
        <w:rPr>
          <w:b/>
          <w:bCs/>
        </w:rPr>
        <w:t>R</w:t>
      </w:r>
      <w:r w:rsidR="00113CBC" w:rsidRPr="009A4D20">
        <w:rPr>
          <w:b/>
          <w:bCs/>
        </w:rPr>
        <w:t>egional</w:t>
      </w:r>
      <w:r w:rsidRPr="009A4D20">
        <w:rPr>
          <w:b/>
          <w:bCs/>
        </w:rPr>
        <w:t xml:space="preserve"> and remote Australia </w:t>
      </w:r>
      <w:r w:rsidR="00113CBC" w:rsidRPr="009A4D20">
        <w:rPr>
          <w:b/>
          <w:bCs/>
        </w:rPr>
        <w:t>impacts</w:t>
      </w:r>
    </w:p>
    <w:p w14:paraId="051A89E9" w14:textId="7E782E2D" w:rsidR="00094281" w:rsidRPr="009A4D20" w:rsidRDefault="00113CBC" w:rsidP="00113CBC">
      <w:pPr>
        <w:pStyle w:val="LDBodytext"/>
        <w:rPr>
          <w:color w:val="000000"/>
          <w:lang w:eastAsia="en-AU"/>
        </w:rPr>
      </w:pPr>
      <w:r w:rsidRPr="009A4D20">
        <w:t>The Minister’s Statement of Expectations states: “I expect that CASA will:… (b) fully consider the impact of new regulations on general aviation, with a particular focus on regional and remote Australia. All Explanatory Statements drafted by CASA for subordinate legislation should identify the impact on the various categories of operations as well as on communities in regional and remote Australia served by those operations and how these impacts have been considered.”</w:t>
      </w:r>
    </w:p>
    <w:p w14:paraId="59846863" w14:textId="1A0FBE78" w:rsidR="002B5C94" w:rsidRPr="009A4D20" w:rsidRDefault="002B5C94" w:rsidP="00113CBC">
      <w:pPr>
        <w:pStyle w:val="LDBodytext"/>
        <w:rPr>
          <w:color w:val="000000"/>
          <w:lang w:eastAsia="en-AU"/>
        </w:rPr>
      </w:pPr>
    </w:p>
    <w:p w14:paraId="72957852" w14:textId="1B05C39A" w:rsidR="002B5C94" w:rsidRPr="009A4D20" w:rsidRDefault="002B5C94" w:rsidP="002B5C94">
      <w:pPr>
        <w:pStyle w:val="Default"/>
      </w:pPr>
      <w:r w:rsidRPr="009A4D20">
        <w:t xml:space="preserve">The exemption related to private operations involving passenger-carrying flights is expected to </w:t>
      </w:r>
      <w:r w:rsidR="00B947ED" w:rsidRPr="009A4D20">
        <w:t xml:space="preserve">have a </w:t>
      </w:r>
      <w:r w:rsidRPr="009A4D20">
        <w:t xml:space="preserve">neutral </w:t>
      </w:r>
      <w:r w:rsidR="00B947ED" w:rsidRPr="009A4D20">
        <w:t>impact</w:t>
      </w:r>
      <w:r w:rsidR="00A9292C" w:rsidRPr="009A4D20">
        <w:t xml:space="preserve"> </w:t>
      </w:r>
      <w:r w:rsidRPr="009A4D20">
        <w:t>in regional and remote communities</w:t>
      </w:r>
      <w:r w:rsidR="00A9292C" w:rsidRPr="009A4D20">
        <w:t>. While</w:t>
      </w:r>
      <w:r w:rsidRPr="009A4D20">
        <w:t xml:space="preserve"> affected operators will avoid the cost of obtaining and maintaining an Australian air transport AOC, if the operators did hold this AOC they would be able to provide increased transportation services to their local regional and remote communities if this </w:t>
      </w:r>
      <w:r w:rsidR="00EE10D7" w:rsidRPr="009A4D20">
        <w:t>were</w:t>
      </w:r>
      <w:r w:rsidRPr="009A4D20">
        <w:t xml:space="preserve"> appropriate for their business model.</w:t>
      </w:r>
    </w:p>
    <w:p w14:paraId="690ABB49" w14:textId="77777777" w:rsidR="002B5C94" w:rsidRPr="009A4D20" w:rsidRDefault="002B5C94" w:rsidP="00113CBC">
      <w:pPr>
        <w:pStyle w:val="LDBodytext"/>
      </w:pPr>
    </w:p>
    <w:p w14:paraId="0A7906F0" w14:textId="3D87D6DF" w:rsidR="00527CAA" w:rsidRPr="009A4D20" w:rsidRDefault="00527CAA" w:rsidP="0037359A">
      <w:pPr>
        <w:pStyle w:val="Default"/>
      </w:pPr>
      <w:r w:rsidRPr="009A4D20">
        <w:t>The exemption</w:t>
      </w:r>
      <w:r w:rsidR="0003070A" w:rsidRPr="009A4D20">
        <w:t xml:space="preserve"> concerning cross-hiring</w:t>
      </w:r>
      <w:r w:rsidRPr="009A4D20">
        <w:t xml:space="preserve"> is expected to have a positive benefit for regional and remote communities because operators based in these areas have a smaller aircraft fleet to draw on in their local area, and</w:t>
      </w:r>
      <w:r w:rsidR="00094281" w:rsidRPr="009A4D20">
        <w:t xml:space="preserve"> the exemptions will</w:t>
      </w:r>
      <w:r w:rsidRPr="009A4D20">
        <w:t xml:space="preserve"> enabl</w:t>
      </w:r>
      <w:r w:rsidR="00094281" w:rsidRPr="009A4D20">
        <w:t>e</w:t>
      </w:r>
      <w:r w:rsidRPr="009A4D20">
        <w:t xml:space="preserve"> the more flexible usage of available aircraft without CASA’s formal involvement</w:t>
      </w:r>
      <w:r w:rsidR="007011EB" w:rsidRPr="009A4D20">
        <w:t>. This will result in</w:t>
      </w:r>
      <w:r w:rsidRPr="009A4D20">
        <w:t xml:space="preserve"> benefits </w:t>
      </w:r>
      <w:r w:rsidR="007011EB" w:rsidRPr="009A4D20">
        <w:t xml:space="preserve">to operators and communities </w:t>
      </w:r>
      <w:r w:rsidRPr="009A4D20">
        <w:t>by reducing the likelihood of cancelled flights and services.</w:t>
      </w:r>
    </w:p>
    <w:p w14:paraId="51C26B5E" w14:textId="77777777" w:rsidR="00196951" w:rsidRPr="009A4D20" w:rsidRDefault="00196951" w:rsidP="00D5653C">
      <w:pPr>
        <w:pStyle w:val="BodyText"/>
        <w:ind w:right="-284"/>
        <w:rPr>
          <w:rFonts w:ascii="Times New Roman" w:hAnsi="Times New Roman"/>
        </w:rPr>
      </w:pPr>
    </w:p>
    <w:p w14:paraId="2179841A" w14:textId="5937C565" w:rsidR="00672B98" w:rsidRPr="009A4D20" w:rsidRDefault="00672B98" w:rsidP="00D5653C">
      <w:pPr>
        <w:pStyle w:val="LDBodytext"/>
        <w:rPr>
          <w:b/>
        </w:rPr>
      </w:pPr>
      <w:r w:rsidRPr="009A4D20">
        <w:rPr>
          <w:b/>
        </w:rPr>
        <w:t>Statement of Compatibility with Human Rights</w:t>
      </w:r>
    </w:p>
    <w:p w14:paraId="554EBD96" w14:textId="19D08CDB" w:rsidR="00594CEA" w:rsidRPr="009A4D20" w:rsidRDefault="009F2AC3" w:rsidP="005E4ED6">
      <w:pPr>
        <w:pStyle w:val="Default"/>
        <w:rPr>
          <w:rFonts w:eastAsia="Calibri"/>
        </w:rPr>
      </w:pPr>
      <w:r w:rsidRPr="009A4D20">
        <w:rPr>
          <w:iCs/>
          <w:color w:val="auto"/>
        </w:rPr>
        <w:t xml:space="preserve">The Statement in Appendix 1 is prepared in accordance with Part 3 of the </w:t>
      </w:r>
      <w:r w:rsidRPr="009A4D20">
        <w:rPr>
          <w:i/>
          <w:iCs/>
          <w:color w:val="auto"/>
        </w:rPr>
        <w:t>Human Rights (Parliamentary Scrutiny) Act 2011</w:t>
      </w:r>
      <w:r w:rsidRPr="009A4D20">
        <w:rPr>
          <w:iCs/>
          <w:color w:val="auto"/>
        </w:rPr>
        <w:t xml:space="preserve">. </w:t>
      </w:r>
      <w:r w:rsidRPr="009A4D20">
        <w:rPr>
          <w:color w:val="auto"/>
        </w:rPr>
        <w:t>The exemption instrument is compatible with human rights: with its aviation safety focus, it promotes both the right to life, and the right to safe and healthy working conditions, and it does so in a way that is</w:t>
      </w:r>
      <w:r w:rsidRPr="009A4D20">
        <w:rPr>
          <w:rFonts w:eastAsia="Calibri"/>
        </w:rPr>
        <w:t xml:space="preserve"> reasonable, necessary and proportionate</w:t>
      </w:r>
      <w:r w:rsidR="00EF1BC8" w:rsidRPr="009A4D20">
        <w:rPr>
          <w:rFonts w:eastAsia="Calibri"/>
        </w:rPr>
        <w:t xml:space="preserve"> </w:t>
      </w:r>
      <w:r w:rsidR="00EF1BC8" w:rsidRPr="009A4D20">
        <w:rPr>
          <w:rFonts w:eastAsia="Calibri"/>
          <w:color w:val="auto"/>
        </w:rPr>
        <w:t>in the context of aviation safety</w:t>
      </w:r>
      <w:r w:rsidR="00EF1BC8" w:rsidRPr="009A4D20">
        <w:rPr>
          <w:rFonts w:eastAsia="Calibri"/>
        </w:rPr>
        <w:t>.</w:t>
      </w:r>
    </w:p>
    <w:p w14:paraId="54411D5F" w14:textId="77777777" w:rsidR="00594CEA" w:rsidRPr="009A4D20" w:rsidRDefault="00594CEA" w:rsidP="005E4ED6">
      <w:pPr>
        <w:pStyle w:val="Default"/>
        <w:rPr>
          <w:rFonts w:eastAsia="Calibri"/>
        </w:rPr>
      </w:pPr>
    </w:p>
    <w:p w14:paraId="171D620D" w14:textId="3245F1FA" w:rsidR="009F2AC3" w:rsidRPr="009A4D20" w:rsidRDefault="00BB2CBA" w:rsidP="005E4ED6">
      <w:pPr>
        <w:pStyle w:val="Default"/>
        <w:rPr>
          <w:rFonts w:eastAsia="Calibri"/>
        </w:rPr>
      </w:pPr>
      <w:r w:rsidRPr="009A4D20">
        <w:rPr>
          <w:rFonts w:eastAsia="Calibri"/>
        </w:rPr>
        <w:t xml:space="preserve">Without the exemptions instrument, aircraft operations that </w:t>
      </w:r>
      <w:r w:rsidR="0066468F" w:rsidRPr="009A4D20">
        <w:rPr>
          <w:rFonts w:eastAsia="Calibri"/>
        </w:rPr>
        <w:t xml:space="preserve">were being safely </w:t>
      </w:r>
      <w:r w:rsidR="00AD1A77" w:rsidRPr="009A4D20">
        <w:rPr>
          <w:rFonts w:eastAsia="Calibri"/>
        </w:rPr>
        <w:t xml:space="preserve">conducted </w:t>
      </w:r>
      <w:r w:rsidR="00777B94" w:rsidRPr="009A4D20">
        <w:rPr>
          <w:rFonts w:eastAsia="Calibri"/>
        </w:rPr>
        <w:t xml:space="preserve">before 2 </w:t>
      </w:r>
      <w:r w:rsidR="0066468F" w:rsidRPr="009A4D20">
        <w:rPr>
          <w:rFonts w:eastAsia="Calibri"/>
        </w:rPr>
        <w:t>December</w:t>
      </w:r>
      <w:r w:rsidR="00777B94" w:rsidRPr="009A4D20">
        <w:rPr>
          <w:rFonts w:eastAsia="Calibri"/>
        </w:rPr>
        <w:t xml:space="preserve"> 20</w:t>
      </w:r>
      <w:r w:rsidR="006A2C82" w:rsidRPr="009A4D20">
        <w:rPr>
          <w:rFonts w:eastAsia="Calibri"/>
        </w:rPr>
        <w:t>21</w:t>
      </w:r>
      <w:r w:rsidR="00777B94" w:rsidRPr="009A4D20">
        <w:rPr>
          <w:rFonts w:eastAsia="Calibri"/>
        </w:rPr>
        <w:t xml:space="preserve"> would be precluded from continuing</w:t>
      </w:r>
      <w:r w:rsidR="001D2DFD" w:rsidRPr="009A4D20">
        <w:rPr>
          <w:rFonts w:eastAsia="Calibri"/>
        </w:rPr>
        <w:t xml:space="preserve">. </w:t>
      </w:r>
      <w:r w:rsidR="000864A2" w:rsidRPr="009A4D20">
        <w:rPr>
          <w:rFonts w:eastAsia="Calibri"/>
        </w:rPr>
        <w:t xml:space="preserve">The immediacy </w:t>
      </w:r>
      <w:r w:rsidR="00936277" w:rsidRPr="009A4D20">
        <w:rPr>
          <w:rFonts w:eastAsia="Calibri"/>
        </w:rPr>
        <w:t xml:space="preserve">in the impact </w:t>
      </w:r>
      <w:r w:rsidR="000864A2" w:rsidRPr="009A4D20">
        <w:rPr>
          <w:rFonts w:eastAsia="Calibri"/>
        </w:rPr>
        <w:t xml:space="preserve">of this rule change, and the volume of operators affected, were </w:t>
      </w:r>
      <w:r w:rsidR="0066468F" w:rsidRPr="009A4D20">
        <w:rPr>
          <w:rFonts w:eastAsia="Calibri"/>
        </w:rPr>
        <w:t xml:space="preserve">unintended </w:t>
      </w:r>
      <w:r w:rsidR="0066468F" w:rsidRPr="009A4D20">
        <w:rPr>
          <w:rFonts w:eastAsia="Calibri"/>
        </w:rPr>
        <w:lastRenderedPageBreak/>
        <w:t>consequence</w:t>
      </w:r>
      <w:r w:rsidR="00E37B32" w:rsidRPr="009A4D20">
        <w:rPr>
          <w:rFonts w:eastAsia="Calibri"/>
        </w:rPr>
        <w:t>s</w:t>
      </w:r>
      <w:r w:rsidR="0066468F" w:rsidRPr="009A4D20">
        <w:rPr>
          <w:rFonts w:eastAsia="Calibri"/>
        </w:rPr>
        <w:t xml:space="preserve"> of </w:t>
      </w:r>
      <w:r w:rsidR="00C04DE7" w:rsidRPr="009A4D20">
        <w:rPr>
          <w:rFonts w:eastAsia="Calibri"/>
        </w:rPr>
        <w:t>provisions in Part 119 of CASR</w:t>
      </w:r>
      <w:r w:rsidR="006A2C82" w:rsidRPr="009A4D20">
        <w:rPr>
          <w:rFonts w:eastAsia="Calibri"/>
        </w:rPr>
        <w:t xml:space="preserve"> </w:t>
      </w:r>
      <w:r w:rsidR="00936277" w:rsidRPr="009A4D20">
        <w:rPr>
          <w:rFonts w:eastAsia="Calibri"/>
        </w:rPr>
        <w:t>and were</w:t>
      </w:r>
      <w:r w:rsidR="006A2C82" w:rsidRPr="009A4D20">
        <w:rPr>
          <w:rFonts w:eastAsia="Calibri"/>
        </w:rPr>
        <w:t xml:space="preserve"> inadvertent effects not previously recognised</w:t>
      </w:r>
      <w:r w:rsidR="0066468F" w:rsidRPr="009A4D20">
        <w:rPr>
          <w:rFonts w:eastAsia="Calibri"/>
        </w:rPr>
        <w:t>.</w:t>
      </w:r>
    </w:p>
    <w:p w14:paraId="7244E371" w14:textId="77777777" w:rsidR="00E601AC" w:rsidRPr="009A4D20" w:rsidRDefault="00E601AC" w:rsidP="005E4ED6">
      <w:pPr>
        <w:pStyle w:val="BodyText"/>
        <w:ind w:right="-284"/>
        <w:rPr>
          <w:rFonts w:ascii="Times New Roman" w:hAnsi="Times New Roman"/>
        </w:rPr>
      </w:pPr>
    </w:p>
    <w:p w14:paraId="2AC91A4E" w14:textId="77777777" w:rsidR="00F15472" w:rsidRPr="009A4D20" w:rsidRDefault="00F15472" w:rsidP="00AA0BB2">
      <w:pPr>
        <w:pStyle w:val="LDBodytext"/>
        <w:keepNext/>
        <w:rPr>
          <w:b/>
        </w:rPr>
      </w:pPr>
      <w:r w:rsidRPr="009A4D20">
        <w:rPr>
          <w:b/>
        </w:rPr>
        <w:t>Commencement and making</w:t>
      </w:r>
    </w:p>
    <w:p w14:paraId="0002E1A8" w14:textId="0536E2CB" w:rsidR="00F15472" w:rsidRPr="009A4D20" w:rsidRDefault="00F15472" w:rsidP="005E4ED6">
      <w:pPr>
        <w:pStyle w:val="LDMinuteParagraph"/>
        <w:spacing w:after="0"/>
        <w:ind w:right="-142"/>
        <w:rPr>
          <w:rFonts w:ascii="Times New Roman" w:hAnsi="Times New Roman"/>
          <w:szCs w:val="24"/>
        </w:rPr>
      </w:pPr>
      <w:r w:rsidRPr="009A4D20">
        <w:rPr>
          <w:rFonts w:ascii="Times New Roman" w:hAnsi="Times New Roman"/>
          <w:szCs w:val="24"/>
        </w:rPr>
        <w:t>The</w:t>
      </w:r>
      <w:r w:rsidR="002F4D4A" w:rsidRPr="009A4D20">
        <w:rPr>
          <w:rFonts w:ascii="Times New Roman" w:hAnsi="Times New Roman"/>
          <w:szCs w:val="24"/>
        </w:rPr>
        <w:t xml:space="preserve"> instrument</w:t>
      </w:r>
      <w:r w:rsidRPr="009A4D20">
        <w:rPr>
          <w:rFonts w:ascii="Times New Roman" w:hAnsi="Times New Roman"/>
          <w:szCs w:val="24"/>
        </w:rPr>
        <w:t xml:space="preserve"> commences on</w:t>
      </w:r>
      <w:r w:rsidR="000E5E74" w:rsidRPr="009A4D20">
        <w:rPr>
          <w:rFonts w:ascii="Times New Roman" w:hAnsi="Times New Roman"/>
          <w:szCs w:val="24"/>
        </w:rPr>
        <w:t xml:space="preserve"> </w:t>
      </w:r>
      <w:r w:rsidR="00BC33B8" w:rsidRPr="009A4D20">
        <w:t>the day after it is registered</w:t>
      </w:r>
      <w:r w:rsidR="005F41F2" w:rsidRPr="009A4D20">
        <w:rPr>
          <w:rFonts w:ascii="Times New Roman" w:hAnsi="Times New Roman"/>
          <w:szCs w:val="24"/>
        </w:rPr>
        <w:t>.</w:t>
      </w:r>
    </w:p>
    <w:p w14:paraId="19C449A1" w14:textId="77777777" w:rsidR="0098521D" w:rsidRPr="009A4D20" w:rsidRDefault="0098521D" w:rsidP="005E4ED6">
      <w:pPr>
        <w:pStyle w:val="BodyText"/>
        <w:ind w:right="-284"/>
        <w:rPr>
          <w:rFonts w:ascii="Times New Roman" w:hAnsi="Times New Roman"/>
        </w:rPr>
      </w:pPr>
    </w:p>
    <w:p w14:paraId="525CB7EE" w14:textId="6DDF5763" w:rsidR="00883091" w:rsidRPr="009A4D20" w:rsidRDefault="00F15472" w:rsidP="00AA0BB2">
      <w:pPr>
        <w:ind w:right="-1"/>
      </w:pPr>
      <w:r w:rsidRPr="009A4D20">
        <w:rPr>
          <w:rFonts w:ascii="Times New Roman" w:hAnsi="Times New Roman"/>
        </w:rPr>
        <w:t xml:space="preserve">The </w:t>
      </w:r>
      <w:r w:rsidR="00902016" w:rsidRPr="009A4D20">
        <w:rPr>
          <w:rFonts w:ascii="Times New Roman" w:hAnsi="Times New Roman"/>
        </w:rPr>
        <w:t>instrument</w:t>
      </w:r>
      <w:r w:rsidRPr="009A4D20">
        <w:rPr>
          <w:rFonts w:ascii="Times New Roman" w:hAnsi="Times New Roman"/>
        </w:rPr>
        <w:t xml:space="preserve"> has been made by the</w:t>
      </w:r>
      <w:r w:rsidR="004C0696" w:rsidRPr="009A4D20">
        <w:rPr>
          <w:rFonts w:ascii="Times New Roman" w:hAnsi="Times New Roman"/>
        </w:rPr>
        <w:t xml:space="preserve"> </w:t>
      </w:r>
      <w:r w:rsidRPr="009A4D20">
        <w:rPr>
          <w:rFonts w:ascii="Times New Roman" w:hAnsi="Times New Roman"/>
        </w:rPr>
        <w:t>Director of Aviation Safety, on behalf of CASA, in accordance with subsection 73 (2) of the Act.</w:t>
      </w:r>
      <w:bookmarkStart w:id="1" w:name="_Hlk50986491"/>
      <w:bookmarkStart w:id="2" w:name="_Hlk51247664"/>
    </w:p>
    <w:p w14:paraId="51A1424D" w14:textId="0A683852" w:rsidR="00883091" w:rsidRPr="009A4D20" w:rsidRDefault="00883091" w:rsidP="00883091">
      <w:pPr>
        <w:pStyle w:val="LDClauseHeading"/>
        <w:keepNext w:val="0"/>
        <w:pageBreakBefore/>
        <w:tabs>
          <w:tab w:val="clear" w:pos="737"/>
        </w:tabs>
        <w:spacing w:before="0"/>
        <w:ind w:left="0" w:firstLine="0"/>
        <w:jc w:val="right"/>
        <w:rPr>
          <w:rFonts w:cs="Arial"/>
        </w:rPr>
      </w:pPr>
      <w:r w:rsidRPr="009A4D20">
        <w:rPr>
          <w:rFonts w:cs="Arial"/>
        </w:rPr>
        <w:lastRenderedPageBreak/>
        <w:t>Appendix 1</w:t>
      </w:r>
    </w:p>
    <w:p w14:paraId="5773306B" w14:textId="64CA5070" w:rsidR="00883091" w:rsidRPr="009A4D20" w:rsidRDefault="00883091" w:rsidP="00883091">
      <w:pPr>
        <w:pStyle w:val="LDBodytext"/>
      </w:pPr>
    </w:p>
    <w:p w14:paraId="43B2FBA6" w14:textId="77777777" w:rsidR="00121DC0" w:rsidRPr="009A4D20" w:rsidRDefault="00121DC0" w:rsidP="00121DC0">
      <w:pPr>
        <w:pStyle w:val="LDDescription"/>
        <w:ind w:right="-1"/>
      </w:pPr>
      <w:bookmarkStart w:id="3" w:name="_Hlk38268511"/>
      <w:r w:rsidRPr="009A4D20">
        <w:t>CASA EX41/22 – Amendment of CASA EX82/21 – Instrument (No. 1) 2022</w:t>
      </w:r>
    </w:p>
    <w:bookmarkEnd w:id="3"/>
    <w:p w14:paraId="446CDF07" w14:textId="77777777" w:rsidR="00121DC0" w:rsidRPr="009A4D20" w:rsidRDefault="00121DC0" w:rsidP="00121DC0">
      <w:pPr>
        <w:pStyle w:val="LDClauseHeading"/>
        <w:tabs>
          <w:tab w:val="center" w:pos="4252"/>
        </w:tabs>
        <w:outlineLvl w:val="0"/>
      </w:pPr>
      <w:r w:rsidRPr="009A4D20">
        <w:t>1</w:t>
      </w:r>
      <w:r w:rsidRPr="009A4D20">
        <w:tab/>
        <w:t>Name</w:t>
      </w:r>
    </w:p>
    <w:p w14:paraId="1FB4F393" w14:textId="45141E8C" w:rsidR="00121DC0" w:rsidRPr="009A4D20" w:rsidRDefault="00121DC0" w:rsidP="00121DC0">
      <w:pPr>
        <w:pStyle w:val="LDClause"/>
        <w:ind w:right="-143"/>
      </w:pPr>
      <w:r w:rsidRPr="009A4D20">
        <w:tab/>
      </w:r>
      <w:r w:rsidRPr="009A4D20">
        <w:tab/>
        <w:t>This section names the instrument.</w:t>
      </w:r>
    </w:p>
    <w:p w14:paraId="7BF114AF" w14:textId="77777777" w:rsidR="00121DC0" w:rsidRPr="009A4D20" w:rsidRDefault="00121DC0" w:rsidP="00121DC0">
      <w:pPr>
        <w:pStyle w:val="LDClauseHeading"/>
        <w:tabs>
          <w:tab w:val="center" w:pos="4252"/>
        </w:tabs>
        <w:outlineLvl w:val="0"/>
      </w:pPr>
      <w:r w:rsidRPr="009A4D20">
        <w:t>2</w:t>
      </w:r>
      <w:r w:rsidRPr="009A4D20">
        <w:tab/>
        <w:t>Commencement</w:t>
      </w:r>
    </w:p>
    <w:p w14:paraId="6AB365F2" w14:textId="325792FD" w:rsidR="00121DC0" w:rsidRPr="009A4D20" w:rsidRDefault="00121DC0" w:rsidP="00121DC0">
      <w:pPr>
        <w:pStyle w:val="LDClause"/>
      </w:pPr>
      <w:r w:rsidRPr="009A4D20">
        <w:tab/>
      </w:r>
      <w:r w:rsidRPr="009A4D20">
        <w:tab/>
      </w:r>
      <w:r w:rsidR="00202033" w:rsidRPr="009A4D20">
        <w:t>Under this section, the</w:t>
      </w:r>
      <w:r w:rsidRPr="009A4D20">
        <w:t xml:space="preserve"> instrument commences on </w:t>
      </w:r>
      <w:bookmarkStart w:id="4" w:name="_Hlk101870165"/>
      <w:r w:rsidRPr="009A4D20">
        <w:t>the day after it is registered</w:t>
      </w:r>
      <w:bookmarkEnd w:id="4"/>
      <w:r w:rsidRPr="009A4D20">
        <w:t>.</w:t>
      </w:r>
    </w:p>
    <w:p w14:paraId="7F5AF629" w14:textId="77777777" w:rsidR="00121DC0" w:rsidRPr="009A4D20" w:rsidRDefault="00121DC0" w:rsidP="00121DC0">
      <w:pPr>
        <w:pStyle w:val="LDClauseHeading"/>
      </w:pPr>
      <w:r w:rsidRPr="009A4D20">
        <w:t>3</w:t>
      </w:r>
      <w:r w:rsidRPr="009A4D20">
        <w:tab/>
        <w:t>Amendment of CASA EX82/21</w:t>
      </w:r>
    </w:p>
    <w:p w14:paraId="5FA28FC2" w14:textId="387EA644" w:rsidR="00121DC0" w:rsidRPr="009A4D20" w:rsidRDefault="00121DC0" w:rsidP="00121DC0">
      <w:pPr>
        <w:pStyle w:val="LDClause"/>
        <w:ind w:right="-143"/>
        <w:rPr>
          <w:iCs/>
        </w:rPr>
      </w:pPr>
      <w:r w:rsidRPr="009A4D20">
        <w:tab/>
      </w:r>
      <w:r w:rsidRPr="009A4D20">
        <w:tab/>
      </w:r>
      <w:r w:rsidR="00202033" w:rsidRPr="009A4D20">
        <w:t xml:space="preserve">Under this section, </w:t>
      </w:r>
      <w:r w:rsidRPr="009A4D20">
        <w:t xml:space="preserve">Schedule 1 amends </w:t>
      </w:r>
      <w:r w:rsidR="00202033" w:rsidRPr="009A4D20">
        <w:rPr>
          <w:iCs/>
        </w:rPr>
        <w:t>CASA EX82/21 or the principal exemptions instrument</w:t>
      </w:r>
      <w:r w:rsidRPr="009A4D20">
        <w:rPr>
          <w:iCs/>
        </w:rPr>
        <w:t>.</w:t>
      </w:r>
    </w:p>
    <w:p w14:paraId="7A71F1E5" w14:textId="77777777" w:rsidR="00121DC0" w:rsidRPr="009A4D20" w:rsidRDefault="00121DC0" w:rsidP="00121DC0">
      <w:pPr>
        <w:pStyle w:val="LDScheduleheading"/>
        <w:keepNext w:val="0"/>
        <w:spacing w:before="240"/>
        <w:rPr>
          <w:iCs/>
        </w:rPr>
      </w:pPr>
      <w:r w:rsidRPr="009A4D20">
        <w:t>Schedule 1</w:t>
      </w:r>
      <w:r w:rsidRPr="009A4D20">
        <w:tab/>
        <w:t>Amendments</w:t>
      </w:r>
    </w:p>
    <w:p w14:paraId="0059D807" w14:textId="77777777" w:rsidR="00121DC0" w:rsidRPr="009A4D20" w:rsidRDefault="00121DC0" w:rsidP="00121DC0">
      <w:pPr>
        <w:pStyle w:val="LDAmendHeading"/>
        <w:keepNext w:val="0"/>
        <w:spacing w:before="120"/>
      </w:pPr>
      <w:r w:rsidRPr="009A4D20">
        <w:t>[1]</w:t>
      </w:r>
      <w:r w:rsidRPr="009A4D20">
        <w:tab/>
        <w:t>After section 3</w:t>
      </w:r>
    </w:p>
    <w:p w14:paraId="11C14582" w14:textId="3489310A" w:rsidR="00121DC0" w:rsidRPr="009A4D20" w:rsidRDefault="00202033" w:rsidP="00121DC0">
      <w:pPr>
        <w:pStyle w:val="LDAmendInstruction"/>
        <w:rPr>
          <w:i w:val="0"/>
          <w:iCs/>
        </w:rPr>
      </w:pPr>
      <w:r w:rsidRPr="009A4D20">
        <w:rPr>
          <w:i w:val="0"/>
          <w:iCs/>
        </w:rPr>
        <w:t xml:space="preserve">This amendment makes provision for future tables of contents </w:t>
      </w:r>
      <w:r w:rsidR="00292E18" w:rsidRPr="009A4D20">
        <w:rPr>
          <w:i w:val="0"/>
          <w:iCs/>
        </w:rPr>
        <w:t>to assist readers of the principal exemptions instrument when it is compiled to include the instrument. Such a table is not a formal part of the instrument.</w:t>
      </w:r>
    </w:p>
    <w:p w14:paraId="74219B7D" w14:textId="77777777" w:rsidR="00696851" w:rsidRPr="009A4D20" w:rsidRDefault="00696851" w:rsidP="00696851">
      <w:pPr>
        <w:pStyle w:val="LDAmendHeading"/>
        <w:keepNext w:val="0"/>
        <w:spacing w:before="120"/>
      </w:pPr>
      <w:r w:rsidRPr="009A4D20">
        <w:t>[2]</w:t>
      </w:r>
      <w:r w:rsidRPr="009A4D20">
        <w:tab/>
        <w:t>Section 6, the heading</w:t>
      </w:r>
    </w:p>
    <w:p w14:paraId="3E2DF924" w14:textId="3E483D4D" w:rsidR="00696851" w:rsidRPr="009A4D20" w:rsidRDefault="00696851" w:rsidP="00AA0BB2">
      <w:pPr>
        <w:pStyle w:val="LDAmendInstruction"/>
        <w:ind w:left="720"/>
      </w:pPr>
      <w:r w:rsidRPr="009A4D20">
        <w:rPr>
          <w:i w:val="0"/>
          <w:iCs/>
        </w:rPr>
        <w:t>This section replaces the existing heading for section 6.</w:t>
      </w:r>
    </w:p>
    <w:p w14:paraId="5EA5CF6A" w14:textId="4060CAB4" w:rsidR="00121DC0" w:rsidRPr="009A4D20" w:rsidRDefault="00121DC0" w:rsidP="00121DC0">
      <w:pPr>
        <w:pStyle w:val="LDAmendHeading"/>
        <w:keepNext w:val="0"/>
        <w:spacing w:before="120"/>
      </w:pPr>
      <w:r w:rsidRPr="009A4D20">
        <w:t>[</w:t>
      </w:r>
      <w:r w:rsidR="00696851" w:rsidRPr="009A4D20">
        <w:t>3</w:t>
      </w:r>
      <w:r w:rsidRPr="009A4D20">
        <w:t>]</w:t>
      </w:r>
      <w:r w:rsidRPr="009A4D20">
        <w:tab/>
        <w:t>Part 3, before section 7</w:t>
      </w:r>
    </w:p>
    <w:p w14:paraId="66A83625" w14:textId="08903A16" w:rsidR="00121DC0" w:rsidRPr="009A4D20" w:rsidRDefault="00292E18" w:rsidP="0037359A">
      <w:pPr>
        <w:pStyle w:val="LDAmendInstruction"/>
        <w:ind w:left="720"/>
        <w:rPr>
          <w:i w:val="0"/>
          <w:iCs/>
        </w:rPr>
      </w:pPr>
      <w:r w:rsidRPr="009A4D20">
        <w:rPr>
          <w:i w:val="0"/>
          <w:iCs/>
        </w:rPr>
        <w:t xml:space="preserve">This section inserts a new section 7AA, </w:t>
      </w:r>
      <w:r w:rsidR="00121DC0" w:rsidRPr="009A4D20">
        <w:rPr>
          <w:i w:val="0"/>
          <w:iCs/>
        </w:rPr>
        <w:t>Certain air transport operations (business) — exemption</w:t>
      </w:r>
      <w:r w:rsidRPr="009A4D20">
        <w:rPr>
          <w:i w:val="0"/>
          <w:iCs/>
        </w:rPr>
        <w:t>.</w:t>
      </w:r>
    </w:p>
    <w:p w14:paraId="41D9BA21" w14:textId="2B9CFB6A" w:rsidR="00121DC0" w:rsidRPr="009A4D20" w:rsidRDefault="00121DC0" w:rsidP="0037359A">
      <w:pPr>
        <w:pStyle w:val="LDClause"/>
      </w:pPr>
      <w:r w:rsidRPr="009A4D20">
        <w:tab/>
        <w:t>(1)</w:t>
      </w:r>
      <w:r w:rsidRPr="009A4D20">
        <w:tab/>
      </w:r>
      <w:r w:rsidR="00292E18" w:rsidRPr="009A4D20">
        <w:t xml:space="preserve">Under this subsection, an </w:t>
      </w:r>
      <w:r w:rsidRPr="009A4D20">
        <w:rPr>
          <w:b/>
          <w:bCs/>
          <w:i/>
          <w:iCs/>
        </w:rPr>
        <w:t>operator</w:t>
      </w:r>
      <w:r w:rsidRPr="009A4D20">
        <w:t xml:space="preserve"> </w:t>
      </w:r>
      <w:r w:rsidR="00292E18" w:rsidRPr="009A4D20">
        <w:t>is defined</w:t>
      </w:r>
      <w:r w:rsidR="00AD0A44" w:rsidRPr="009A4D20">
        <w:t xml:space="preserve"> to </w:t>
      </w:r>
      <w:r w:rsidRPr="009A4D20">
        <w:t>mean a person, organisation or enterprise, who:</w:t>
      </w:r>
    </w:p>
    <w:p w14:paraId="58C64985" w14:textId="77777777" w:rsidR="00121DC0" w:rsidRPr="009A4D20" w:rsidRDefault="00121DC0" w:rsidP="00AA0BB2">
      <w:pPr>
        <w:pStyle w:val="ldp1a1"/>
        <w:shd w:val="clear" w:color="auto" w:fill="FFFFFF"/>
        <w:tabs>
          <w:tab w:val="left" w:pos="1134"/>
        </w:tabs>
        <w:spacing w:before="60" w:beforeAutospacing="0" w:after="60" w:afterAutospacing="0"/>
        <w:ind w:left="1134" w:hanging="397"/>
      </w:pPr>
      <w:r w:rsidRPr="009A4D20">
        <w:t>(a)</w:t>
      </w:r>
      <w:r w:rsidRPr="009A4D20">
        <w:tab/>
        <w:t>as at the end of 1 December 2021, was engaged in aircraft operations involving the carriage of passengers on board the aircraft; and</w:t>
      </w:r>
    </w:p>
    <w:p w14:paraId="49FF62BC" w14:textId="77777777" w:rsidR="00121DC0" w:rsidRPr="009A4D20" w:rsidRDefault="00121DC0" w:rsidP="00AA0BB2">
      <w:pPr>
        <w:pStyle w:val="ldp1a1"/>
        <w:shd w:val="clear" w:color="auto" w:fill="FFFFFF"/>
        <w:tabs>
          <w:tab w:val="left" w:pos="1134"/>
        </w:tabs>
        <w:spacing w:before="60" w:beforeAutospacing="0" w:after="60" w:afterAutospacing="0"/>
        <w:ind w:left="1134" w:hanging="397"/>
      </w:pPr>
      <w:r w:rsidRPr="009A4D20">
        <w:t>(b)</w:t>
      </w:r>
      <w:r w:rsidRPr="009A4D20">
        <w:tab/>
        <w:t>immediately before 2 December 2021, for the purpose of the carriage:</w:t>
      </w:r>
    </w:p>
    <w:p w14:paraId="657BA3F5" w14:textId="5C4D2EC9" w:rsidR="00121DC0" w:rsidRPr="009A4D20" w:rsidRDefault="00121DC0" w:rsidP="00AA0BB2">
      <w:pPr>
        <w:pStyle w:val="i"/>
        <w:ind w:left="1559" w:hanging="1105"/>
      </w:pPr>
      <w:r w:rsidRPr="009A4D20">
        <w:tab/>
        <w:t>(</w:t>
      </w:r>
      <w:proofErr w:type="spellStart"/>
      <w:r w:rsidRPr="009A4D20">
        <w:t>i</w:t>
      </w:r>
      <w:proofErr w:type="spellEnd"/>
      <w:r w:rsidRPr="009A4D20">
        <w:t>)</w:t>
      </w:r>
      <w:r w:rsidRPr="009A4D20">
        <w:tab/>
        <w:t>did not hold an AOC authorising the carriage of passengers in regular public transport operations, charter operations or aerial work (air ambulance) operations; and</w:t>
      </w:r>
    </w:p>
    <w:p w14:paraId="534DC9CA" w14:textId="1808B53B" w:rsidR="00121DC0" w:rsidRPr="009A4D20" w:rsidRDefault="00121DC0" w:rsidP="00AA0BB2">
      <w:pPr>
        <w:pStyle w:val="i"/>
        <w:ind w:left="1559" w:hanging="1105"/>
      </w:pPr>
      <w:r w:rsidRPr="009A4D20">
        <w:tab/>
        <w:t>(ii)</w:t>
      </w:r>
      <w:r w:rsidRPr="009A4D20">
        <w:tab/>
        <w:t>did not hold an AOC solely because subparagraph 2 (7) (d) (v) of CAR was reasonably taken to apply to the carriage of passengers.</w:t>
      </w:r>
    </w:p>
    <w:p w14:paraId="6A4337C7" w14:textId="52FBE71E" w:rsidR="00121DC0" w:rsidRPr="009A4D20" w:rsidRDefault="00AD0A44" w:rsidP="0037359A">
      <w:pPr>
        <w:pStyle w:val="LDAmendInstruction"/>
        <w:ind w:left="720"/>
        <w:rPr>
          <w:i w:val="0"/>
          <w:iCs/>
        </w:rPr>
      </w:pPr>
      <w:r w:rsidRPr="009A4D20">
        <w:rPr>
          <w:i w:val="0"/>
          <w:iCs/>
        </w:rPr>
        <w:t>A Note explains that i</w:t>
      </w:r>
      <w:r w:rsidR="00121DC0" w:rsidRPr="009A4D20">
        <w:rPr>
          <w:i w:val="0"/>
          <w:iCs/>
        </w:rPr>
        <w:t>f, before 2 December 2021, subparagraph 2 (7) (d) (v) of CAR was reasonably taken to apply to the carriage of passengers, the operation was considered to be a private operation not requiring an AOC.</w:t>
      </w:r>
    </w:p>
    <w:p w14:paraId="2FBFAEA0" w14:textId="44CBF262" w:rsidR="00121DC0" w:rsidRPr="009A4D20" w:rsidRDefault="00D614FE" w:rsidP="0037359A">
      <w:pPr>
        <w:pStyle w:val="LDAmendInstruction"/>
        <w:ind w:left="720"/>
        <w:rPr>
          <w:i w:val="0"/>
          <w:iCs/>
        </w:rPr>
      </w:pPr>
      <w:r w:rsidRPr="009A4D20">
        <w:rPr>
          <w:i w:val="0"/>
          <w:iCs/>
        </w:rPr>
        <w:t>A second Note explains that the effect of the definition is that the</w:t>
      </w:r>
      <w:r w:rsidR="00121DC0" w:rsidRPr="009A4D20">
        <w:rPr>
          <w:i w:val="0"/>
          <w:iCs/>
        </w:rPr>
        <w:t xml:space="preserve"> exemption instrument does not apply to an operator who, immediately before 2 December 2021, held an AOC authorising the carriage of passengers in regular public transport operations, charter operations or aerial work (air ambulance) operations.</w:t>
      </w:r>
    </w:p>
    <w:p w14:paraId="679B0817" w14:textId="7C594F58" w:rsidR="00121DC0" w:rsidRPr="009A4D20" w:rsidRDefault="00121DC0" w:rsidP="00121DC0">
      <w:pPr>
        <w:pStyle w:val="LDClause"/>
      </w:pPr>
      <w:r w:rsidRPr="009A4D20">
        <w:tab/>
        <w:t>(2)</w:t>
      </w:r>
      <w:r w:rsidRPr="009A4D20">
        <w:tab/>
      </w:r>
      <w:r w:rsidR="00D614FE" w:rsidRPr="009A4D20">
        <w:t>Under this subsection,</w:t>
      </w:r>
      <w:r w:rsidR="005A3096" w:rsidRPr="009A4D20">
        <w:t xml:space="preserve"> a</w:t>
      </w:r>
      <w:r w:rsidRPr="009A4D20">
        <w:t>n operator</w:t>
      </w:r>
      <w:r w:rsidR="005A3096" w:rsidRPr="009A4D20">
        <w:t>, as defined,</w:t>
      </w:r>
      <w:r w:rsidRPr="009A4D20">
        <w:t xml:space="preserve"> is exempted from compliance with </w:t>
      </w:r>
      <w:r w:rsidR="005A3096" w:rsidRPr="009A4D20">
        <w:t>all of</w:t>
      </w:r>
      <w:r w:rsidRPr="009A4D20">
        <w:t xml:space="preserve"> Part 119 of CASR.</w:t>
      </w:r>
    </w:p>
    <w:p w14:paraId="41923DA3" w14:textId="71B02C5D" w:rsidR="00121DC0" w:rsidRPr="009A4D20" w:rsidRDefault="005A3096" w:rsidP="0037359A">
      <w:pPr>
        <w:pStyle w:val="LDAmendInstruction"/>
        <w:ind w:left="720"/>
        <w:rPr>
          <w:i w:val="0"/>
          <w:iCs/>
        </w:rPr>
      </w:pPr>
      <w:r w:rsidRPr="009A4D20">
        <w:rPr>
          <w:i w:val="0"/>
          <w:iCs/>
        </w:rPr>
        <w:lastRenderedPageBreak/>
        <w:t>A Note explains that i</w:t>
      </w:r>
      <w:r w:rsidR="00121DC0" w:rsidRPr="009A4D20">
        <w:rPr>
          <w:i w:val="0"/>
          <w:iCs/>
        </w:rPr>
        <w:t>f an aircraft operation is exempted from Part 119 of CASR, Parts 121, 133 and 135 of CASR consequentially do not apply to the operation.</w:t>
      </w:r>
    </w:p>
    <w:p w14:paraId="2253638B" w14:textId="67193540" w:rsidR="00121DC0" w:rsidRPr="009A4D20" w:rsidRDefault="00121DC0" w:rsidP="00121DC0">
      <w:pPr>
        <w:pStyle w:val="LDClause"/>
        <w:rPr>
          <w:iCs/>
        </w:rPr>
      </w:pPr>
      <w:r w:rsidRPr="009A4D20">
        <w:tab/>
        <w:t>(3)</w:t>
      </w:r>
      <w:r w:rsidRPr="009A4D20">
        <w:tab/>
      </w:r>
      <w:r w:rsidR="001644F2" w:rsidRPr="009A4D20">
        <w:t>Under this subsection, t</w:t>
      </w:r>
      <w:r w:rsidRPr="009A4D20">
        <w:t xml:space="preserve">he exemption under subsection (2) is subject to </w:t>
      </w:r>
      <w:r w:rsidRPr="009A4D20">
        <w:rPr>
          <w:iCs/>
        </w:rPr>
        <w:t>conditions</w:t>
      </w:r>
      <w:r w:rsidR="008D0B15" w:rsidRPr="009A4D20">
        <w:rPr>
          <w:iCs/>
        </w:rPr>
        <w:t>.</w:t>
      </w:r>
    </w:p>
    <w:p w14:paraId="47B5BE59" w14:textId="7D436C50" w:rsidR="0059710F" w:rsidRPr="009A4D20" w:rsidRDefault="008D0B15" w:rsidP="0037359A">
      <w:pPr>
        <w:pStyle w:val="LDClause"/>
        <w:ind w:left="720" w:firstLine="0"/>
      </w:pPr>
      <w:r w:rsidRPr="009A4D20">
        <w:rPr>
          <w:iCs/>
        </w:rPr>
        <w:t xml:space="preserve">Thus, for </w:t>
      </w:r>
      <w:r w:rsidR="00121DC0" w:rsidRPr="009A4D20">
        <w:t>an aeroplane to which CAO 20.7.1B applied immediately before 2 December 2021, each flight of the aeroplane must comply with the most restrictive combination of requirements that apply to the aeroplane under</w:t>
      </w:r>
      <w:r w:rsidR="0059710F" w:rsidRPr="009A4D20">
        <w:t xml:space="preserve"> </w:t>
      </w:r>
      <w:r w:rsidR="00121DC0" w:rsidRPr="009A4D20">
        <w:t>Subpart 91.F — Performance of CASR, as in force from time to time</w:t>
      </w:r>
      <w:r w:rsidR="00735146" w:rsidRPr="009A4D20">
        <w:t>,</w:t>
      </w:r>
      <w:r w:rsidR="00121DC0" w:rsidRPr="009A4D20">
        <w:t xml:space="preserve"> and</w:t>
      </w:r>
      <w:r w:rsidR="0059710F" w:rsidRPr="009A4D20">
        <w:t xml:space="preserve"> </w:t>
      </w:r>
      <w:r w:rsidR="00121DC0" w:rsidRPr="009A4D20">
        <w:t>CAO</w:t>
      </w:r>
      <w:r w:rsidR="00CC2167" w:rsidRPr="009A4D20">
        <w:t> </w:t>
      </w:r>
      <w:r w:rsidR="00121DC0" w:rsidRPr="009A4D20">
        <w:t>20.7.1B as if CAO 20.7.1B, as in force immediately before 2 December 2021, continued to apply to the aeroplane</w:t>
      </w:r>
      <w:r w:rsidR="0059710F" w:rsidRPr="009A4D20">
        <w:t>.</w:t>
      </w:r>
    </w:p>
    <w:p w14:paraId="3E61AD3F" w14:textId="4CE89352" w:rsidR="00121DC0" w:rsidRPr="009A4D20" w:rsidRDefault="00667BCA" w:rsidP="0037359A">
      <w:pPr>
        <w:pStyle w:val="LDClause"/>
        <w:ind w:left="720" w:firstLine="0"/>
      </w:pPr>
      <w:r w:rsidRPr="009A4D20">
        <w:t>Also, f</w:t>
      </w:r>
      <w:r w:rsidR="0059710F" w:rsidRPr="009A4D20">
        <w:t>or</w:t>
      </w:r>
      <w:r w:rsidRPr="009A4D20">
        <w:t xml:space="preserve"> </w:t>
      </w:r>
      <w:r w:rsidR="00121DC0" w:rsidRPr="009A4D20">
        <w:t>each flight of an aeroplane that is one of the following:</w:t>
      </w:r>
    </w:p>
    <w:p w14:paraId="4440285F" w14:textId="1E9F2722" w:rsidR="00121DC0" w:rsidRPr="009A4D20" w:rsidRDefault="00215AB1" w:rsidP="00AA0BB2">
      <w:pPr>
        <w:pStyle w:val="ldp1a1"/>
        <w:shd w:val="clear" w:color="auto" w:fill="FFFFFF"/>
        <w:tabs>
          <w:tab w:val="left" w:pos="1134"/>
        </w:tabs>
        <w:spacing w:before="60" w:beforeAutospacing="0" w:after="60" w:afterAutospacing="0"/>
        <w:ind w:left="1134" w:hanging="397"/>
      </w:pPr>
      <w:r w:rsidRPr="009A4D20">
        <w:tab/>
      </w:r>
      <w:r w:rsidR="00121DC0" w:rsidRPr="009A4D20">
        <w:t>a propeller-driven aeroplane having a maximum take-off weight not in excess of 5 700 kg;</w:t>
      </w:r>
    </w:p>
    <w:p w14:paraId="6C59A039" w14:textId="3D4E7D98" w:rsidR="00121DC0" w:rsidRPr="009A4D20" w:rsidRDefault="00215AB1" w:rsidP="00AA0BB2">
      <w:pPr>
        <w:pStyle w:val="ldp1a1"/>
        <w:shd w:val="clear" w:color="auto" w:fill="FFFFFF"/>
        <w:tabs>
          <w:tab w:val="left" w:pos="1134"/>
        </w:tabs>
        <w:spacing w:before="60" w:beforeAutospacing="0" w:after="60" w:afterAutospacing="0"/>
        <w:ind w:left="1134" w:hanging="397"/>
      </w:pPr>
      <w:r w:rsidRPr="009A4D20">
        <w:tab/>
      </w:r>
      <w:r w:rsidR="00121DC0" w:rsidRPr="009A4D20">
        <w:t>a jet-engined aeroplane having a maximum take-off weight not in excess of 2 722 kg</w:t>
      </w:r>
      <w:r w:rsidR="00B937B6" w:rsidRPr="009A4D20">
        <w:t>,</w:t>
      </w:r>
    </w:p>
    <w:p w14:paraId="1ED5CBDF" w14:textId="1A1D241F" w:rsidR="009C46FB" w:rsidRPr="009A4D20" w:rsidRDefault="00121DC0" w:rsidP="0037359A">
      <w:pPr>
        <w:pStyle w:val="LDClause"/>
        <w:ind w:left="720" w:firstLine="0"/>
      </w:pPr>
      <w:r w:rsidRPr="009A4D20">
        <w:t>the aeroplane must comply with the most restrictive combination of requirements that apply to the aeroplane under</w:t>
      </w:r>
      <w:r w:rsidR="00667BCA" w:rsidRPr="009A4D20">
        <w:t xml:space="preserve"> </w:t>
      </w:r>
      <w:r w:rsidRPr="009A4D20">
        <w:t>Subpart 91.F — Performance of CASR, as in force from time to time</w:t>
      </w:r>
      <w:r w:rsidR="00735146" w:rsidRPr="009A4D20">
        <w:t>,</w:t>
      </w:r>
      <w:r w:rsidRPr="009A4D20">
        <w:t xml:space="preserve"> and</w:t>
      </w:r>
      <w:r w:rsidR="00667BCA" w:rsidRPr="009A4D20">
        <w:t xml:space="preserve"> </w:t>
      </w:r>
      <w:r w:rsidRPr="009A4D20">
        <w:t>subsections 3 to 10, inclusive, of CAO</w:t>
      </w:r>
      <w:r w:rsidR="00CC2167" w:rsidRPr="009A4D20">
        <w:t> </w:t>
      </w:r>
      <w:r w:rsidRPr="009A4D20">
        <w:t>20.7.4, as if these subsections, as in force immediately before 2 December 2021, applied to the aeroplane immediately before 2 December 2021, and continue to apply.</w:t>
      </w:r>
    </w:p>
    <w:p w14:paraId="20703E4B" w14:textId="44143074" w:rsidR="00121DC0" w:rsidRPr="009A4D20" w:rsidRDefault="00121DC0" w:rsidP="00121DC0">
      <w:pPr>
        <w:pStyle w:val="LDClause"/>
      </w:pPr>
      <w:r w:rsidRPr="009A4D20">
        <w:tab/>
        <w:t>(4)</w:t>
      </w:r>
      <w:r w:rsidRPr="009A4D20">
        <w:tab/>
      </w:r>
      <w:r w:rsidR="009C46FB" w:rsidRPr="009A4D20">
        <w:t>Under this subsection,</w:t>
      </w:r>
      <w:r w:rsidR="00DF4D84" w:rsidRPr="009A4D20">
        <w:t xml:space="preserve"> section 7AA </w:t>
      </w:r>
      <w:r w:rsidRPr="009A4D20">
        <w:t>ceases to have effect at the end of 1 June 2023.</w:t>
      </w:r>
    </w:p>
    <w:p w14:paraId="1C3F791C" w14:textId="3DAFC6FE" w:rsidR="00D639F2" w:rsidRPr="009A4D20" w:rsidRDefault="00D639F2" w:rsidP="00D639F2">
      <w:pPr>
        <w:pStyle w:val="LDAmendHeading"/>
        <w:keepNext w:val="0"/>
        <w:spacing w:before="120"/>
      </w:pPr>
      <w:r w:rsidRPr="009A4D20">
        <w:t>[2]</w:t>
      </w:r>
      <w:r w:rsidRPr="009A4D20">
        <w:tab/>
        <w:t>Part 3, before section 7 (continued)</w:t>
      </w:r>
    </w:p>
    <w:p w14:paraId="0D127F31" w14:textId="70619A09" w:rsidR="00121DC0" w:rsidRPr="009A4D20" w:rsidRDefault="00D639F2" w:rsidP="0037359A">
      <w:pPr>
        <w:pStyle w:val="LDAmendInstruction"/>
        <w:rPr>
          <w:i w:val="0"/>
          <w:iCs/>
        </w:rPr>
      </w:pPr>
      <w:r w:rsidRPr="009A4D20">
        <w:rPr>
          <w:i w:val="0"/>
          <w:iCs/>
        </w:rPr>
        <w:t>This section inserts a new</w:t>
      </w:r>
      <w:r w:rsidR="00C60709" w:rsidRPr="009A4D20">
        <w:rPr>
          <w:i w:val="0"/>
          <w:iCs/>
        </w:rPr>
        <w:t xml:space="preserve"> section </w:t>
      </w:r>
      <w:r w:rsidR="00121DC0" w:rsidRPr="009A4D20">
        <w:rPr>
          <w:i w:val="0"/>
          <w:iCs/>
        </w:rPr>
        <w:t>7AB</w:t>
      </w:r>
      <w:r w:rsidR="00C60709" w:rsidRPr="009A4D20">
        <w:rPr>
          <w:i w:val="0"/>
          <w:iCs/>
        </w:rPr>
        <w:t xml:space="preserve">, </w:t>
      </w:r>
      <w:r w:rsidR="00121DC0" w:rsidRPr="009A4D20">
        <w:rPr>
          <w:i w:val="0"/>
          <w:iCs/>
        </w:rPr>
        <w:t>Certain air transport operations</w:t>
      </w:r>
      <w:r w:rsidR="004618EB" w:rsidRPr="009A4D20">
        <w:rPr>
          <w:i w:val="0"/>
          <w:iCs/>
        </w:rPr>
        <w:t xml:space="preserve"> (</w:t>
      </w:r>
      <w:r w:rsidR="00261C18" w:rsidRPr="009A4D20">
        <w:rPr>
          <w:i w:val="0"/>
          <w:iCs/>
        </w:rPr>
        <w:t>c</w:t>
      </w:r>
      <w:r w:rsidR="00121DC0" w:rsidRPr="009A4D20">
        <w:rPr>
          <w:i w:val="0"/>
          <w:iCs/>
        </w:rPr>
        <w:t>ross</w:t>
      </w:r>
      <w:r w:rsidR="00261C18" w:rsidRPr="009A4D20">
        <w:rPr>
          <w:i w:val="0"/>
          <w:iCs/>
        </w:rPr>
        <w:noBreakHyphen/>
      </w:r>
      <w:r w:rsidR="00121DC0" w:rsidRPr="009A4D20">
        <w:rPr>
          <w:i w:val="0"/>
          <w:iCs/>
        </w:rPr>
        <w:t>hiring</w:t>
      </w:r>
      <w:r w:rsidR="004618EB" w:rsidRPr="009A4D20">
        <w:rPr>
          <w:i w:val="0"/>
          <w:iCs/>
        </w:rPr>
        <w:t>) —</w:t>
      </w:r>
      <w:r w:rsidR="00121DC0" w:rsidRPr="009A4D20">
        <w:rPr>
          <w:i w:val="0"/>
          <w:iCs/>
        </w:rPr>
        <w:t xml:space="preserve"> exemption</w:t>
      </w:r>
      <w:r w:rsidR="00C60709" w:rsidRPr="009A4D20">
        <w:rPr>
          <w:i w:val="0"/>
          <w:iCs/>
        </w:rPr>
        <w:t>.</w:t>
      </w:r>
    </w:p>
    <w:p w14:paraId="0AC581B4" w14:textId="77777777" w:rsidR="00BF5316" w:rsidRPr="009A4D20" w:rsidRDefault="00121DC0" w:rsidP="00BF5316">
      <w:pPr>
        <w:pStyle w:val="LDClause"/>
      </w:pPr>
      <w:r w:rsidRPr="009A4D20">
        <w:tab/>
        <w:t>(1)</w:t>
      </w:r>
      <w:r w:rsidRPr="009A4D20">
        <w:tab/>
      </w:r>
      <w:r w:rsidR="00C60709" w:rsidRPr="009A4D20">
        <w:t xml:space="preserve">Under this subsection, </w:t>
      </w:r>
      <w:r w:rsidR="00490556" w:rsidRPr="009A4D20">
        <w:t xml:space="preserve">section 7AB applies to </w:t>
      </w:r>
      <w:r w:rsidRPr="009A4D20">
        <w:t xml:space="preserve">an Australian air transport operator (the </w:t>
      </w:r>
      <w:r w:rsidRPr="009A4D20">
        <w:rPr>
          <w:b/>
          <w:bCs/>
          <w:i/>
          <w:iCs/>
        </w:rPr>
        <w:t>relevant operator</w:t>
      </w:r>
      <w:r w:rsidRPr="009A4D20">
        <w:t>) who conducts</w:t>
      </w:r>
      <w:r w:rsidR="00B937B6" w:rsidRPr="009A4D20">
        <w:t xml:space="preserve"> </w:t>
      </w:r>
      <w:r w:rsidRPr="009A4D20">
        <w:t>a medical transport operation; or</w:t>
      </w:r>
      <w:r w:rsidR="00B937B6" w:rsidRPr="009A4D20">
        <w:t xml:space="preserve"> </w:t>
      </w:r>
      <w:r w:rsidRPr="009A4D20">
        <w:t>a non-scheduled air transport operation</w:t>
      </w:r>
      <w:r w:rsidR="00BF5316" w:rsidRPr="009A4D20">
        <w:t xml:space="preserve"> but only if:</w:t>
      </w:r>
    </w:p>
    <w:p w14:paraId="7AF00E88" w14:textId="6B5F45A0" w:rsidR="00BF5316" w:rsidRPr="009A4D20" w:rsidRDefault="00BF5316" w:rsidP="00AA0BB2">
      <w:pPr>
        <w:pStyle w:val="ldp1a1"/>
        <w:shd w:val="clear" w:color="auto" w:fill="FFFFFF"/>
        <w:tabs>
          <w:tab w:val="left" w:pos="1134"/>
        </w:tabs>
        <w:spacing w:before="60" w:beforeAutospacing="0" w:after="60" w:afterAutospacing="0"/>
        <w:ind w:left="1134" w:hanging="397"/>
        <w:rPr>
          <w:iCs/>
        </w:rPr>
      </w:pPr>
      <w:r w:rsidRPr="009A4D20">
        <w:tab/>
      </w:r>
      <w:bookmarkStart w:id="5" w:name="_Hlk101945024"/>
      <w:r w:rsidR="00121DC0" w:rsidRPr="009A4D20">
        <w:rPr>
          <w:iCs/>
        </w:rPr>
        <w:t>the operation is an Australian air transport operation (</w:t>
      </w:r>
      <w:r w:rsidR="00121DC0" w:rsidRPr="009A4D20">
        <w:rPr>
          <w:b/>
          <w:bCs/>
          <w:i/>
        </w:rPr>
        <w:t>relevant operations</w:t>
      </w:r>
      <w:r w:rsidR="00121DC0" w:rsidRPr="009A4D20">
        <w:rPr>
          <w:iCs/>
        </w:rPr>
        <w:t xml:space="preserve">) in an aircraft (the </w:t>
      </w:r>
      <w:r w:rsidR="00121DC0" w:rsidRPr="009A4D20">
        <w:rPr>
          <w:b/>
          <w:bCs/>
          <w:i/>
        </w:rPr>
        <w:t>relevant aircraft</w:t>
      </w:r>
      <w:r w:rsidR="00121DC0" w:rsidRPr="009A4D20">
        <w:rPr>
          <w:iCs/>
        </w:rPr>
        <w:t>) for which the relevant operator is not also the registered operator or the holder of an approval under regulation</w:t>
      </w:r>
      <w:r w:rsidR="00CC2167" w:rsidRPr="009A4D20">
        <w:rPr>
          <w:iCs/>
        </w:rPr>
        <w:t> </w:t>
      </w:r>
      <w:r w:rsidR="00121DC0" w:rsidRPr="009A4D20">
        <w:rPr>
          <w:iCs/>
        </w:rPr>
        <w:t>119.025 for subparagraph 119.080 (1) (h) (ii); and</w:t>
      </w:r>
    </w:p>
    <w:p w14:paraId="615CC1C4" w14:textId="2178D862" w:rsidR="00121DC0" w:rsidRPr="009A4D20" w:rsidRDefault="00121DC0" w:rsidP="00AA0BB2">
      <w:pPr>
        <w:pStyle w:val="ldp1a1"/>
        <w:shd w:val="clear" w:color="auto" w:fill="FFFFFF"/>
        <w:tabs>
          <w:tab w:val="left" w:pos="1134"/>
        </w:tabs>
        <w:spacing w:before="60" w:beforeAutospacing="0" w:after="60" w:afterAutospacing="0"/>
        <w:ind w:left="1134" w:hanging="397"/>
        <w:rPr>
          <w:iCs/>
        </w:rPr>
      </w:pPr>
      <w:r w:rsidRPr="009A4D20">
        <w:rPr>
          <w:iCs/>
        </w:rPr>
        <w:tab/>
        <w:t>the relevant aircraft does not conduct scheduled air transport operations.</w:t>
      </w:r>
    </w:p>
    <w:bookmarkEnd w:id="5"/>
    <w:p w14:paraId="3E8255E5" w14:textId="22F68181" w:rsidR="00121DC0" w:rsidRPr="009A4D20" w:rsidRDefault="00121DC0" w:rsidP="00121DC0">
      <w:pPr>
        <w:pStyle w:val="LDClause"/>
      </w:pPr>
      <w:r w:rsidRPr="009A4D20">
        <w:tab/>
        <w:t>(2)</w:t>
      </w:r>
      <w:r w:rsidRPr="009A4D20">
        <w:tab/>
      </w:r>
      <w:r w:rsidR="0016193E" w:rsidRPr="009A4D20">
        <w:t>Under this subsection, t</w:t>
      </w:r>
      <w:r w:rsidRPr="009A4D20">
        <w:t>he relevant operator is exempted from the following for the conduct of relevant operations in the relevant aircraft:</w:t>
      </w:r>
    </w:p>
    <w:p w14:paraId="2925F5EE" w14:textId="77777777" w:rsidR="00121DC0" w:rsidRPr="009A4D20" w:rsidRDefault="00121DC0" w:rsidP="00121DC0">
      <w:pPr>
        <w:pStyle w:val="LDP1a0"/>
      </w:pPr>
      <w:r w:rsidRPr="009A4D20">
        <w:t>(a)</w:t>
      </w:r>
      <w:r w:rsidRPr="009A4D20">
        <w:tab/>
        <w:t>paragraph 119.080 (1) (h);</w:t>
      </w:r>
    </w:p>
    <w:p w14:paraId="4A69E169" w14:textId="1134C05B" w:rsidR="00121DC0" w:rsidRPr="009A4D20" w:rsidRDefault="00121DC0" w:rsidP="00121DC0">
      <w:pPr>
        <w:pStyle w:val="LDP1a0"/>
      </w:pPr>
      <w:r w:rsidRPr="009A4D20">
        <w:t>(b)</w:t>
      </w:r>
      <w:r w:rsidRPr="009A4D20">
        <w:tab/>
        <w:t>regulation 119.060</w:t>
      </w:r>
      <w:r w:rsidR="0016193E" w:rsidRPr="009A4D20">
        <w:t xml:space="preserve"> (the offence </w:t>
      </w:r>
      <w:r w:rsidR="0057140A" w:rsidRPr="009A4D20">
        <w:t>provision</w:t>
      </w:r>
      <w:r w:rsidR="0016193E" w:rsidRPr="009A4D20">
        <w:t>)</w:t>
      </w:r>
      <w:r w:rsidRPr="009A4D20">
        <w:t xml:space="preserve"> but only in relation to paragraph</w:t>
      </w:r>
      <w:r w:rsidR="00CC2167" w:rsidRPr="009A4D20">
        <w:t> </w:t>
      </w:r>
      <w:r w:rsidRPr="009A4D20">
        <w:t>119.080 (1) (h).</w:t>
      </w:r>
    </w:p>
    <w:p w14:paraId="400FB556" w14:textId="2FC416E9" w:rsidR="0016193E" w:rsidRPr="009A4D20" w:rsidRDefault="0016193E" w:rsidP="0037359A">
      <w:pPr>
        <w:pStyle w:val="LDAmendInstruction"/>
        <w:rPr>
          <w:i w:val="0"/>
          <w:iCs/>
        </w:rPr>
      </w:pPr>
      <w:r w:rsidRPr="009A4D20">
        <w:rPr>
          <w:i w:val="0"/>
          <w:iCs/>
        </w:rPr>
        <w:t xml:space="preserve">A Note explains that </w:t>
      </w:r>
      <w:r w:rsidR="007A4EF0" w:rsidRPr="009A4D20">
        <w:rPr>
          <w:i w:val="0"/>
          <w:iCs/>
        </w:rPr>
        <w:t xml:space="preserve">paragraph </w:t>
      </w:r>
      <w:r w:rsidR="009B6BD8" w:rsidRPr="009A4D20">
        <w:rPr>
          <w:i w:val="0"/>
          <w:iCs/>
        </w:rPr>
        <w:t>119.080 (1) (h)</w:t>
      </w:r>
      <w:r w:rsidRPr="009A4D20">
        <w:rPr>
          <w:i w:val="0"/>
          <w:iCs/>
        </w:rPr>
        <w:t xml:space="preserve"> imposes an AOC condition that Australian air transport operators must be the registered operators of the relevant aircraft. “Cross-hiring” is a colloquial term to describe </w:t>
      </w:r>
      <w:r w:rsidR="00E10BDF" w:rsidRPr="009A4D20">
        <w:rPr>
          <w:i w:val="0"/>
          <w:iCs/>
        </w:rPr>
        <w:t>some common</w:t>
      </w:r>
      <w:r w:rsidRPr="009A4D20">
        <w:rPr>
          <w:i w:val="0"/>
          <w:iCs/>
        </w:rPr>
        <w:t xml:space="preserve"> circumstances in which </w:t>
      </w:r>
      <w:bookmarkStart w:id="6" w:name="_Hlk101944798"/>
      <w:r w:rsidRPr="009A4D20">
        <w:rPr>
          <w:i w:val="0"/>
          <w:iCs/>
        </w:rPr>
        <w:t>the relevant aircraft operator is not also the registered operator</w:t>
      </w:r>
      <w:bookmarkEnd w:id="6"/>
      <w:r w:rsidRPr="009A4D20">
        <w:rPr>
          <w:i w:val="0"/>
          <w:iCs/>
        </w:rPr>
        <w:t>.</w:t>
      </w:r>
    </w:p>
    <w:p w14:paraId="5AF94BF0" w14:textId="2DAFC6ED" w:rsidR="00121DC0" w:rsidRPr="009A4D20" w:rsidRDefault="00121DC0" w:rsidP="00121DC0">
      <w:pPr>
        <w:pStyle w:val="LDClause"/>
      </w:pPr>
      <w:r w:rsidRPr="009A4D20">
        <w:tab/>
        <w:t>(3)</w:t>
      </w:r>
      <w:r w:rsidRPr="009A4D20">
        <w:tab/>
      </w:r>
      <w:r w:rsidR="009B6BD8" w:rsidRPr="009A4D20">
        <w:t>Under this subsection, t</w:t>
      </w:r>
      <w:r w:rsidRPr="009A4D20">
        <w:t>he exemptions under subsection (2) are subject to the condition that the relevant operator’s exposition must contain procedures to ensure that the requirements expressed in subsection (4) are complied with.</w:t>
      </w:r>
    </w:p>
    <w:p w14:paraId="28E32B61" w14:textId="77777777" w:rsidR="00121DC0" w:rsidRPr="009A4D20" w:rsidRDefault="00121DC0" w:rsidP="00121DC0">
      <w:pPr>
        <w:pStyle w:val="LDClause"/>
      </w:pPr>
      <w:r w:rsidRPr="009A4D20">
        <w:lastRenderedPageBreak/>
        <w:tab/>
        <w:t>(4)</w:t>
      </w:r>
      <w:r w:rsidRPr="009A4D20">
        <w:tab/>
        <w:t>For subsection (3):</w:t>
      </w:r>
    </w:p>
    <w:p w14:paraId="2E03DF03" w14:textId="77777777" w:rsidR="00121DC0" w:rsidRPr="009A4D20" w:rsidRDefault="00121DC0" w:rsidP="00121DC0">
      <w:pPr>
        <w:pStyle w:val="LDP1a0"/>
      </w:pPr>
      <w:r w:rsidRPr="009A4D20">
        <w:t>(a)</w:t>
      </w:r>
      <w:r w:rsidRPr="009A4D20">
        <w:tab/>
        <w:t>if the relevant operator’s use of the relevant aircraft in a relevant operation does not require CASA’s approval under regulation 119.090 (Application for approval of significant changes), including as a consequence of the exemptions in section 7 of this instrument — the relevant operator must:</w:t>
      </w:r>
    </w:p>
    <w:p w14:paraId="658F4776" w14:textId="10AFB6CC" w:rsidR="00121DC0" w:rsidRPr="009A4D20" w:rsidRDefault="00121DC0" w:rsidP="00121DC0">
      <w:pPr>
        <w:pStyle w:val="LDP2i"/>
        <w:ind w:left="1559" w:hanging="1105"/>
      </w:pPr>
      <w:r w:rsidRPr="009A4D20">
        <w:tab/>
        <w:t>(i)</w:t>
      </w:r>
      <w:r w:rsidRPr="009A4D20">
        <w:tab/>
        <w:t>before any such use, assess any differences between the relevant aircraft and other aircraft being used by the operator; and</w:t>
      </w:r>
    </w:p>
    <w:p w14:paraId="44B55DBF" w14:textId="77777777" w:rsidR="00121DC0" w:rsidRPr="009A4D20" w:rsidRDefault="00121DC0" w:rsidP="00121DC0">
      <w:pPr>
        <w:pStyle w:val="LDP2i"/>
        <w:ind w:left="1559" w:hanging="1105"/>
      </w:pPr>
      <w:r w:rsidRPr="009A4D20">
        <w:tab/>
        <w:t>(ii)</w:t>
      </w:r>
      <w:r w:rsidRPr="009A4D20">
        <w:tab/>
        <w:t>determine whether additional training or competency assessment is required for any member of the operational safety-critical personnel before the relevant aircraft is used in a relevant operation; and</w:t>
      </w:r>
    </w:p>
    <w:p w14:paraId="7CDA4718" w14:textId="77777777" w:rsidR="00121DC0" w:rsidRPr="009A4D20" w:rsidRDefault="00121DC0" w:rsidP="00121DC0">
      <w:pPr>
        <w:pStyle w:val="LDP2i"/>
        <w:ind w:left="1559" w:hanging="1105"/>
      </w:pPr>
      <w:r w:rsidRPr="009A4D20">
        <w:tab/>
        <w:t>(iii)</w:t>
      </w:r>
      <w:r w:rsidRPr="009A4D20">
        <w:tab/>
        <w:t>if additional training or competency assessment is so required — ensure that the relevant training or assessment or both is completed before the relevant aircraft is used in a relevant operation; and</w:t>
      </w:r>
    </w:p>
    <w:p w14:paraId="5CE65456" w14:textId="77777777" w:rsidR="00121DC0" w:rsidRPr="009A4D20" w:rsidRDefault="00121DC0" w:rsidP="00121DC0">
      <w:pPr>
        <w:pStyle w:val="LDP1a0"/>
      </w:pPr>
      <w:r w:rsidRPr="009A4D20">
        <w:t>(b)</w:t>
      </w:r>
      <w:r w:rsidRPr="009A4D20">
        <w:tab/>
        <w:t>before the relevant aircraft is used in a relevant operation, the relevant operator must:</w:t>
      </w:r>
    </w:p>
    <w:p w14:paraId="0B3E4162" w14:textId="77777777" w:rsidR="00121DC0" w:rsidRPr="009A4D20" w:rsidRDefault="00121DC0" w:rsidP="00121DC0">
      <w:pPr>
        <w:pStyle w:val="LDP2i"/>
        <w:ind w:left="1559" w:hanging="1105"/>
      </w:pPr>
      <w:r w:rsidRPr="009A4D20">
        <w:tab/>
        <w:t>(i)</w:t>
      </w:r>
      <w:r w:rsidRPr="009A4D20">
        <w:tab/>
        <w:t>be fully aware of the continuing airworthiness and maintenance status of the aircraft insofar as they are relevant to the operator’s use of the aircraft; and</w:t>
      </w:r>
    </w:p>
    <w:p w14:paraId="6E5F13C8" w14:textId="77777777" w:rsidR="00121DC0" w:rsidRPr="009A4D20" w:rsidRDefault="00121DC0" w:rsidP="00121DC0">
      <w:pPr>
        <w:pStyle w:val="LDP2i"/>
        <w:ind w:left="1559" w:hanging="1105"/>
      </w:pPr>
      <w:r w:rsidRPr="009A4D20">
        <w:tab/>
        <w:t>(ii)</w:t>
      </w:r>
      <w:r w:rsidRPr="009A4D20">
        <w:tab/>
        <w:t>ensure that the aircraft complies with the safety requirements of the regulations for the operation; and</w:t>
      </w:r>
    </w:p>
    <w:p w14:paraId="5086CEED" w14:textId="77777777" w:rsidR="00121DC0" w:rsidRPr="009A4D20" w:rsidRDefault="00121DC0" w:rsidP="00121DC0">
      <w:pPr>
        <w:pStyle w:val="LDP1a0"/>
      </w:pPr>
      <w:r w:rsidRPr="009A4D20">
        <w:t>(c)</w:t>
      </w:r>
      <w:r w:rsidRPr="009A4D20">
        <w:tab/>
        <w:t>the relevant operator must ensure that the arrangements between the operator and the registered operator for managing the continuing airworthiness of the relevant aircraft during the operator’s use of it are recorded in the exposition.</w:t>
      </w:r>
    </w:p>
    <w:p w14:paraId="407CC87B" w14:textId="0605454B" w:rsidR="00121DC0" w:rsidRPr="009A4D20" w:rsidRDefault="00121DC0" w:rsidP="00AA0BB2">
      <w:pPr>
        <w:pStyle w:val="LDClause"/>
      </w:pPr>
      <w:r w:rsidRPr="009A4D20">
        <w:tab/>
        <w:t>(5)</w:t>
      </w:r>
      <w:r w:rsidRPr="009A4D20">
        <w:tab/>
      </w:r>
      <w:r w:rsidR="007A572E" w:rsidRPr="009A4D20">
        <w:t>Under this subsection,</w:t>
      </w:r>
      <w:r w:rsidR="00A55490" w:rsidRPr="009A4D20">
        <w:t xml:space="preserve"> section 7AB</w:t>
      </w:r>
      <w:r w:rsidRPr="009A4D20">
        <w:t xml:space="preserve"> ceases to have effect at the end of 1</w:t>
      </w:r>
      <w:r w:rsidR="00A55490" w:rsidRPr="009A4D20">
        <w:t> </w:t>
      </w:r>
      <w:r w:rsidRPr="009A4D20">
        <w:t>December 2024.</w:t>
      </w:r>
    </w:p>
    <w:bookmarkEnd w:id="1"/>
    <w:bookmarkEnd w:id="2"/>
    <w:p w14:paraId="02032DEE" w14:textId="6958EA5B" w:rsidR="00F15472" w:rsidRPr="009A4D20" w:rsidRDefault="00F15472" w:rsidP="005E4ED6">
      <w:pPr>
        <w:pStyle w:val="LDClauseHeading"/>
        <w:keepNext w:val="0"/>
        <w:pageBreakBefore/>
        <w:tabs>
          <w:tab w:val="clear" w:pos="737"/>
        </w:tabs>
        <w:spacing w:before="0"/>
        <w:ind w:left="0" w:firstLine="0"/>
        <w:jc w:val="right"/>
        <w:rPr>
          <w:rFonts w:cs="Arial"/>
        </w:rPr>
      </w:pPr>
      <w:r w:rsidRPr="009A4D20">
        <w:rPr>
          <w:rFonts w:cs="Arial"/>
        </w:rPr>
        <w:lastRenderedPageBreak/>
        <w:t xml:space="preserve">Appendix </w:t>
      </w:r>
      <w:r w:rsidR="00883091" w:rsidRPr="009A4D20">
        <w:rPr>
          <w:rFonts w:cs="Arial"/>
        </w:rPr>
        <w:t>2</w:t>
      </w:r>
    </w:p>
    <w:p w14:paraId="4F05B3DD" w14:textId="77777777" w:rsidR="00F15472" w:rsidRPr="009A4D20" w:rsidRDefault="00F15472" w:rsidP="005E4ED6">
      <w:pPr>
        <w:spacing w:before="360" w:after="120"/>
        <w:jc w:val="center"/>
        <w:rPr>
          <w:rFonts w:ascii="Arial" w:hAnsi="Arial" w:cs="Arial"/>
          <w:b/>
        </w:rPr>
      </w:pPr>
      <w:r w:rsidRPr="009A4D20">
        <w:rPr>
          <w:rFonts w:ascii="Arial" w:hAnsi="Arial" w:cs="Arial"/>
          <w:b/>
        </w:rPr>
        <w:t>Statement of Compatibility with Human Rights</w:t>
      </w:r>
    </w:p>
    <w:p w14:paraId="28D20C2A" w14:textId="3127D1EB" w:rsidR="00F15472" w:rsidRPr="009A4D20" w:rsidRDefault="00F15472" w:rsidP="005E4ED6">
      <w:pPr>
        <w:spacing w:before="120" w:after="120"/>
        <w:jc w:val="center"/>
        <w:rPr>
          <w:rFonts w:ascii="Times New Roman" w:hAnsi="Times New Roman"/>
          <w:i/>
        </w:rPr>
      </w:pPr>
      <w:r w:rsidRPr="009A4D20">
        <w:rPr>
          <w:rFonts w:ascii="Times New Roman" w:hAnsi="Times New Roman"/>
          <w:i/>
        </w:rPr>
        <w:t>Prepared in accordance with Part 3 of the</w:t>
      </w:r>
      <w:r w:rsidRPr="009A4D20">
        <w:rPr>
          <w:rFonts w:ascii="Times New Roman" w:hAnsi="Times New Roman"/>
          <w:i/>
        </w:rPr>
        <w:br/>
        <w:t>Human Rights (Parliamentary Scrutiny) Act 2011</w:t>
      </w:r>
    </w:p>
    <w:p w14:paraId="5FACF524" w14:textId="77777777" w:rsidR="00034F94" w:rsidRPr="009A4D20" w:rsidRDefault="00034F94" w:rsidP="005E4ED6">
      <w:pPr>
        <w:pStyle w:val="LDBodytext"/>
      </w:pPr>
    </w:p>
    <w:p w14:paraId="0229937C" w14:textId="3D6FF858" w:rsidR="00877499" w:rsidRPr="009A4D20" w:rsidRDefault="00877499" w:rsidP="00877499">
      <w:pPr>
        <w:pStyle w:val="Hcl"/>
        <w:ind w:left="0" w:firstLine="0"/>
      </w:pPr>
      <w:r w:rsidRPr="009A4D20">
        <w:t>CASA EX41/22 – Amendment of CASA EX82/21 – Instrument (No. 1) 2022</w:t>
      </w:r>
    </w:p>
    <w:p w14:paraId="7547B6F0" w14:textId="77777777" w:rsidR="00F15472" w:rsidRPr="009A4D20" w:rsidRDefault="00F15472" w:rsidP="005E4ED6">
      <w:pPr>
        <w:spacing w:before="280" w:after="540"/>
        <w:jc w:val="center"/>
        <w:rPr>
          <w:rFonts w:ascii="Times New Roman" w:hAnsi="Times New Roman"/>
        </w:rPr>
      </w:pPr>
      <w:r w:rsidRPr="009A4D20">
        <w:rPr>
          <w:rFonts w:ascii="Times New Roman" w:hAnsi="Times New Roman"/>
        </w:rPr>
        <w:t xml:space="preserve">This legislative instrument is compatible with the human rights and freedoms recognised or declared in the international instruments listed in section 3 of the </w:t>
      </w:r>
      <w:r w:rsidRPr="009A4D20">
        <w:rPr>
          <w:rFonts w:ascii="Times New Roman" w:hAnsi="Times New Roman"/>
          <w:i/>
        </w:rPr>
        <w:t>Human Rights (Parliamentary Scrutiny) Act 2011</w:t>
      </w:r>
      <w:r w:rsidRPr="009A4D20">
        <w:rPr>
          <w:rFonts w:ascii="Times New Roman" w:hAnsi="Times New Roman"/>
        </w:rPr>
        <w:t>.</w:t>
      </w:r>
    </w:p>
    <w:p w14:paraId="5B420847" w14:textId="4E312807" w:rsidR="00F15472" w:rsidRPr="009A4D20" w:rsidRDefault="1D720B21" w:rsidP="005E4ED6">
      <w:pPr>
        <w:jc w:val="both"/>
        <w:rPr>
          <w:rFonts w:ascii="Times New Roman" w:hAnsi="Times New Roman"/>
          <w:b/>
        </w:rPr>
      </w:pPr>
      <w:r w:rsidRPr="009A4D20">
        <w:rPr>
          <w:rFonts w:ascii="Times New Roman" w:hAnsi="Times New Roman"/>
          <w:b/>
          <w:bCs/>
        </w:rPr>
        <w:t>Overview of the legislative instrument</w:t>
      </w:r>
    </w:p>
    <w:p w14:paraId="40F56DFB" w14:textId="77777777" w:rsidR="00081505" w:rsidRPr="009A4D20" w:rsidRDefault="00081505" w:rsidP="00081505">
      <w:pPr>
        <w:rPr>
          <w:rFonts w:ascii="Times New Roman" w:hAnsi="Times New Roman"/>
        </w:rPr>
      </w:pPr>
      <w:bookmarkStart w:id="7" w:name="_Hlk39478321"/>
      <w:r w:rsidRPr="009A4D20">
        <w:rPr>
          <w:rFonts w:ascii="Times New Roman" w:hAnsi="Times New Roman"/>
        </w:rPr>
        <w:t xml:space="preserve">The purpose of </w:t>
      </w:r>
      <w:r w:rsidRPr="009A4D20">
        <w:rPr>
          <w:i/>
          <w:iCs/>
        </w:rPr>
        <w:t>CASA EX41/22 – Amendment of CASA EX82/21 – Instrument (No. 1) 2022</w:t>
      </w:r>
      <w:r w:rsidRPr="009A4D20">
        <w:t xml:space="preserve"> (the </w:t>
      </w:r>
      <w:r w:rsidRPr="009A4D20">
        <w:rPr>
          <w:b/>
          <w:bCs/>
          <w:i/>
          <w:iCs/>
        </w:rPr>
        <w:t>exemptions instrument</w:t>
      </w:r>
      <w:r w:rsidRPr="009A4D20">
        <w:t xml:space="preserve">) </w:t>
      </w:r>
      <w:r w:rsidRPr="009A4D20">
        <w:rPr>
          <w:rFonts w:ascii="Times New Roman" w:hAnsi="Times New Roman"/>
        </w:rPr>
        <w:t xml:space="preserve">is principally to insert 2 additional exemptions into </w:t>
      </w:r>
      <w:r w:rsidRPr="009A4D20">
        <w:rPr>
          <w:i/>
        </w:rPr>
        <w:t>CASA EX82/21 – Part 119 of CASR – Supplementary Exemptions and Directions Instrument 2021</w:t>
      </w:r>
      <w:r w:rsidRPr="009A4D20">
        <w:t xml:space="preserve"> </w:t>
      </w:r>
      <w:r w:rsidRPr="009A4D20">
        <w:rPr>
          <w:iCs/>
        </w:rPr>
        <w:t>(</w:t>
      </w:r>
      <w:r w:rsidRPr="009A4D20">
        <w:rPr>
          <w:b/>
          <w:bCs/>
          <w:i/>
        </w:rPr>
        <w:t>CASA EX82/21</w:t>
      </w:r>
      <w:r w:rsidRPr="009A4D20">
        <w:rPr>
          <w:iCs/>
        </w:rPr>
        <w:t xml:space="preserve"> </w:t>
      </w:r>
      <w:r w:rsidRPr="009A4D20">
        <w:rPr>
          <w:rFonts w:ascii="Times New Roman" w:hAnsi="Times New Roman"/>
        </w:rPr>
        <w:t xml:space="preserve">or </w:t>
      </w:r>
      <w:r w:rsidRPr="009A4D20">
        <w:t xml:space="preserve">the </w:t>
      </w:r>
      <w:r w:rsidRPr="009A4D20">
        <w:rPr>
          <w:b/>
          <w:bCs/>
          <w:i/>
          <w:iCs/>
        </w:rPr>
        <w:t>principal exemptions instrument</w:t>
      </w:r>
      <w:r w:rsidRPr="009A4D20">
        <w:rPr>
          <w:rFonts w:ascii="Times New Roman" w:hAnsi="Times New Roman"/>
        </w:rPr>
        <w:t xml:space="preserve">). CASA EX82/21 makes a number of exemptions and directions relating to Part 119 of the </w:t>
      </w:r>
      <w:r w:rsidRPr="009A4D20">
        <w:rPr>
          <w:rFonts w:ascii="Times New Roman" w:hAnsi="Times New Roman"/>
          <w:i/>
          <w:iCs/>
        </w:rPr>
        <w:t>Civil Aviation Safety Regulations 1998</w:t>
      </w:r>
      <w:r w:rsidRPr="009A4D20">
        <w:rPr>
          <w:rFonts w:ascii="Times New Roman" w:hAnsi="Times New Roman"/>
        </w:rPr>
        <w:t xml:space="preserve"> (</w:t>
      </w:r>
      <w:r w:rsidRPr="009A4D20">
        <w:rPr>
          <w:rFonts w:ascii="Times New Roman" w:hAnsi="Times New Roman"/>
          <w:b/>
          <w:bCs/>
          <w:i/>
          <w:iCs/>
        </w:rPr>
        <w:t>CASR</w:t>
      </w:r>
      <w:r w:rsidRPr="009A4D20">
        <w:rPr>
          <w:rFonts w:ascii="Times New Roman" w:hAnsi="Times New Roman"/>
        </w:rPr>
        <w:t>). Part 119 of CASR is one of CASA’s recent Flight Operations Regulations that commenced on 2 December 2021.</w:t>
      </w:r>
    </w:p>
    <w:p w14:paraId="2288FA25" w14:textId="77777777" w:rsidR="00081505" w:rsidRPr="009A4D20" w:rsidRDefault="00081505" w:rsidP="00081505">
      <w:pPr>
        <w:pStyle w:val="LDBodytext"/>
      </w:pPr>
    </w:p>
    <w:p w14:paraId="7BF12D9D" w14:textId="0D7D8C6F" w:rsidR="00081505" w:rsidRPr="009A4D20" w:rsidRDefault="00081505" w:rsidP="00081505">
      <w:pPr>
        <w:rPr>
          <w:rFonts w:ascii="Times New Roman" w:hAnsi="Times New Roman"/>
        </w:rPr>
      </w:pPr>
      <w:r w:rsidRPr="009A4D20">
        <w:rPr>
          <w:rFonts w:ascii="Times New Roman" w:hAnsi="Times New Roman"/>
        </w:rPr>
        <w:t>Unintended consequences have been identified in relation to</w:t>
      </w:r>
      <w:r w:rsidR="00285CD3" w:rsidRPr="009A4D20">
        <w:rPr>
          <w:rFonts w:ascii="Times New Roman" w:hAnsi="Times New Roman"/>
        </w:rPr>
        <w:t>:</w:t>
      </w:r>
      <w:r w:rsidRPr="009A4D20">
        <w:rPr>
          <w:rFonts w:ascii="Times New Roman" w:hAnsi="Times New Roman"/>
        </w:rPr>
        <w:t xml:space="preserve"> (a) whether an AOC is required for certain aircraft operations that, previously, were considered to be private operations; and (b) whether certain leasing or “cross-hire” arrangements, where the operator is not the registered operator of a relevant aircraft, may continue.</w:t>
      </w:r>
    </w:p>
    <w:p w14:paraId="0B0CE15B" w14:textId="77777777" w:rsidR="007C0D1D" w:rsidRPr="009A4D20" w:rsidRDefault="007C0D1D" w:rsidP="00883091">
      <w:pPr>
        <w:pStyle w:val="LDBodytext"/>
      </w:pPr>
    </w:p>
    <w:p w14:paraId="027DB446" w14:textId="77777777" w:rsidR="00A63D2B" w:rsidRPr="009A4D20" w:rsidRDefault="00A63D2B" w:rsidP="000604B7">
      <w:pPr>
        <w:keepNext/>
        <w:rPr>
          <w:rFonts w:ascii="Times New Roman" w:hAnsi="Times New Roman"/>
          <w:b/>
          <w:bCs/>
          <w:lang w:eastAsia="en-AU"/>
        </w:rPr>
      </w:pPr>
      <w:r w:rsidRPr="009A4D20">
        <w:rPr>
          <w:rFonts w:ascii="Times New Roman" w:hAnsi="Times New Roman"/>
          <w:b/>
          <w:bCs/>
          <w:lang w:eastAsia="en-AU"/>
        </w:rPr>
        <w:t>Human rights implications</w:t>
      </w:r>
    </w:p>
    <w:p w14:paraId="222EB632" w14:textId="77777777" w:rsidR="00BE3A82" w:rsidRPr="009A4D20" w:rsidRDefault="00BE3A82" w:rsidP="000604B7">
      <w:pPr>
        <w:pStyle w:val="BodyText"/>
        <w:keepNext/>
        <w:rPr>
          <w:rFonts w:ascii="Times New Roman" w:hAnsi="Times New Roman"/>
          <w:lang w:eastAsia="en-AU"/>
        </w:rPr>
      </w:pPr>
      <w:r w:rsidRPr="009A4D20">
        <w:rPr>
          <w:rFonts w:ascii="Times New Roman" w:hAnsi="Times New Roman"/>
        </w:rPr>
        <w:t xml:space="preserve">The legislative instrument engages with the following human rights and freedoms recognised or declared in the international instruments listed in section 3 of the </w:t>
      </w:r>
      <w:r w:rsidRPr="009A4D20">
        <w:rPr>
          <w:rFonts w:ascii="Times New Roman" w:hAnsi="Times New Roman"/>
          <w:i/>
          <w:iCs/>
        </w:rPr>
        <w:t>Human Rights (Parliamentary Scrutiny) Act 2011</w:t>
      </w:r>
      <w:r w:rsidRPr="009A4D20">
        <w:rPr>
          <w:rFonts w:ascii="Times New Roman" w:hAnsi="Times New Roman"/>
          <w:lang w:eastAsia="en-AU"/>
        </w:rPr>
        <w:t>:</w:t>
      </w:r>
    </w:p>
    <w:p w14:paraId="751069F0" w14:textId="5B8EAB58" w:rsidR="00BE3A82" w:rsidRPr="009A4D20" w:rsidRDefault="00BE3A82" w:rsidP="00497E4F">
      <w:pPr>
        <w:pStyle w:val="ListParagraph"/>
        <w:numPr>
          <w:ilvl w:val="0"/>
          <w:numId w:val="13"/>
        </w:numPr>
        <w:tabs>
          <w:tab w:val="clear" w:pos="567"/>
        </w:tabs>
        <w:overflowPunct/>
        <w:autoSpaceDE/>
        <w:autoSpaceDN/>
        <w:adjustRightInd/>
        <w:spacing w:before="60"/>
        <w:ind w:left="714" w:hanging="357"/>
        <w:contextualSpacing w:val="0"/>
        <w:textAlignment w:val="auto"/>
        <w:rPr>
          <w:rFonts w:ascii="Times New Roman" w:hAnsi="Times New Roman"/>
          <w:lang w:eastAsia="en-AU"/>
        </w:rPr>
      </w:pPr>
      <w:r w:rsidRPr="009A4D20">
        <w:rPr>
          <w:rFonts w:ascii="Times New Roman" w:hAnsi="Times New Roman"/>
          <w:lang w:eastAsia="en-AU"/>
        </w:rPr>
        <w:t>the right to life under Article 6 of the International Covenant on Civil and Political Rights</w:t>
      </w:r>
    </w:p>
    <w:p w14:paraId="11BD0ADC" w14:textId="2481304E" w:rsidR="00BE3A82" w:rsidRPr="009A4D20" w:rsidRDefault="00BE3A82" w:rsidP="005E4ED6">
      <w:pPr>
        <w:pStyle w:val="ListParagraph"/>
        <w:numPr>
          <w:ilvl w:val="0"/>
          <w:numId w:val="13"/>
        </w:numPr>
        <w:tabs>
          <w:tab w:val="clear" w:pos="567"/>
        </w:tabs>
        <w:overflowPunct/>
        <w:autoSpaceDE/>
        <w:autoSpaceDN/>
        <w:adjustRightInd/>
        <w:ind w:left="720"/>
        <w:textAlignment w:val="auto"/>
        <w:rPr>
          <w:rFonts w:ascii="Times New Roman" w:hAnsi="Times New Roman"/>
        </w:rPr>
      </w:pPr>
      <w:r w:rsidRPr="009A4D20">
        <w:rPr>
          <w:rFonts w:ascii="Times New Roman" w:hAnsi="Times New Roman"/>
          <w:lang w:eastAsia="en-AU"/>
        </w:rPr>
        <w:t>the right to safe and healthy working conditions under Article 7 of the International Covenant on Economic, Social and Cultural Rights</w:t>
      </w:r>
      <w:r w:rsidR="00285CD3" w:rsidRPr="009A4D20">
        <w:rPr>
          <w:rFonts w:ascii="Times New Roman" w:hAnsi="Times New Roman"/>
          <w:lang w:eastAsia="en-AU"/>
        </w:rPr>
        <w:t>.</w:t>
      </w:r>
    </w:p>
    <w:p w14:paraId="665720B4" w14:textId="77777777" w:rsidR="007C0D1D" w:rsidRPr="009A4D20" w:rsidRDefault="007C0D1D" w:rsidP="004E3E79">
      <w:pPr>
        <w:pStyle w:val="ListParagraph"/>
        <w:tabs>
          <w:tab w:val="clear" w:pos="567"/>
        </w:tabs>
        <w:overflowPunct/>
        <w:autoSpaceDE/>
        <w:autoSpaceDN/>
        <w:adjustRightInd/>
        <w:ind w:left="0"/>
        <w:textAlignment w:val="auto"/>
        <w:rPr>
          <w:rFonts w:ascii="Times New Roman" w:hAnsi="Times New Roman"/>
        </w:rPr>
      </w:pPr>
    </w:p>
    <w:p w14:paraId="441878F2" w14:textId="7440BC90" w:rsidR="00226FE0" w:rsidRPr="009A4D20" w:rsidRDefault="007C0D1D" w:rsidP="007C0D1D">
      <w:pPr>
        <w:rPr>
          <w:lang w:eastAsia="en-AU"/>
        </w:rPr>
      </w:pPr>
      <w:r w:rsidRPr="009A4D20">
        <w:t xml:space="preserve">The </w:t>
      </w:r>
      <w:r w:rsidR="00A35F80" w:rsidRPr="009A4D20">
        <w:t xml:space="preserve">exemption </w:t>
      </w:r>
      <w:r w:rsidR="00FF4B3E" w:rsidRPr="009A4D20">
        <w:t>instrument</w:t>
      </w:r>
      <w:r w:rsidRPr="009A4D20">
        <w:t xml:space="preserve"> may engage these rights. This engagement is in the context of CASA’s statutory purpose. </w:t>
      </w:r>
      <w:r w:rsidRPr="009A4D20">
        <w:rPr>
          <w:lang w:eastAsia="en-AU"/>
        </w:rPr>
        <w:t xml:space="preserve">The aim of CASA and its regulatory framework </w:t>
      </w:r>
      <w:r w:rsidR="004E3E79" w:rsidRPr="009A4D20">
        <w:rPr>
          <w:lang w:eastAsia="en-AU"/>
        </w:rPr>
        <w:t xml:space="preserve">is </w:t>
      </w:r>
      <w:r w:rsidRPr="009A4D20">
        <w:rPr>
          <w:lang w:eastAsia="en-AU"/>
        </w:rPr>
        <w:t>to uphold aviation safety by prescribing the conduct of individuals and organisations involved in civil aviation operations, including flight operations. It is, therefore, a threshold requirement for all CASA legislative instruments that they preserve, promote and enhance aviation safety.</w:t>
      </w:r>
    </w:p>
    <w:p w14:paraId="57231304" w14:textId="77777777" w:rsidR="00226FE0" w:rsidRPr="009A4D20" w:rsidRDefault="00226FE0" w:rsidP="007C0D1D">
      <w:pPr>
        <w:rPr>
          <w:lang w:eastAsia="en-AU"/>
        </w:rPr>
      </w:pPr>
    </w:p>
    <w:p w14:paraId="282E62F5" w14:textId="77777777" w:rsidR="00643A03" w:rsidRPr="009A4D20" w:rsidRDefault="00643A03" w:rsidP="00643A03">
      <w:pPr>
        <w:pStyle w:val="Default"/>
        <w:rPr>
          <w:rFonts w:eastAsia="Calibri"/>
        </w:rPr>
      </w:pPr>
      <w:r w:rsidRPr="009A4D20">
        <w:rPr>
          <w:rFonts w:eastAsia="Calibri"/>
        </w:rPr>
        <w:t>Without the exemptions instrument, aircraft operations that were being safely conducted before 2 December 2021 would be precluded from continuing. The immediacy in the impact of this rule change, and the volume of operators affected, were an</w:t>
      </w:r>
      <w:r w:rsidRPr="009A4D20" w:rsidDel="000864A2">
        <w:rPr>
          <w:rFonts w:eastAsia="Calibri"/>
        </w:rPr>
        <w:t xml:space="preserve"> </w:t>
      </w:r>
      <w:r w:rsidRPr="009A4D20">
        <w:rPr>
          <w:rFonts w:eastAsia="Calibri"/>
        </w:rPr>
        <w:t>unintended consequence of provisions in Part 119 of CASR and were inadvertent effects not previously recognised.</w:t>
      </w:r>
    </w:p>
    <w:p w14:paraId="432B4F8E" w14:textId="77777777" w:rsidR="00226FE0" w:rsidRPr="009A4D20" w:rsidRDefault="00226FE0" w:rsidP="007C0D1D">
      <w:pPr>
        <w:rPr>
          <w:lang w:eastAsia="en-AU"/>
        </w:rPr>
      </w:pPr>
    </w:p>
    <w:p w14:paraId="44576F3B" w14:textId="77777777" w:rsidR="00A63D2B" w:rsidRPr="009A4D20" w:rsidRDefault="00A63D2B" w:rsidP="00AA0BB2">
      <w:pPr>
        <w:pStyle w:val="LDBodytext"/>
        <w:keepNext/>
        <w:rPr>
          <w:b/>
        </w:rPr>
      </w:pPr>
      <w:r w:rsidRPr="009A4D20">
        <w:rPr>
          <w:b/>
        </w:rPr>
        <w:lastRenderedPageBreak/>
        <w:t>Human rights implications</w:t>
      </w:r>
    </w:p>
    <w:p w14:paraId="2F068E8A" w14:textId="394BFA87" w:rsidR="000B3B2B" w:rsidRPr="009A4D20" w:rsidRDefault="000B3B2B" w:rsidP="005E4ED6">
      <w:pPr>
        <w:pStyle w:val="BodyText"/>
        <w:rPr>
          <w:rFonts w:ascii="Times New Roman" w:hAnsi="Times New Roman"/>
        </w:rPr>
      </w:pPr>
      <w:r w:rsidRPr="009A4D20">
        <w:rPr>
          <w:rFonts w:ascii="Times New Roman" w:hAnsi="Times New Roman"/>
        </w:rPr>
        <w:t xml:space="preserve">This legislative instrument is compatible with human rights and to the extent that it may engage certain rights it does so in a way that promotes the right to life and promotes safe and healthy working conditions on board relevant aircraft. These measures are considered to be </w:t>
      </w:r>
      <w:r w:rsidRPr="009A4D20">
        <w:rPr>
          <w:rFonts w:ascii="Times New Roman" w:eastAsia="Calibri" w:hAnsi="Times New Roman"/>
        </w:rPr>
        <w:t>reasonable, necessary and proportionate in the interests of aviation safety</w:t>
      </w:r>
      <w:r w:rsidRPr="009A4D20">
        <w:rPr>
          <w:rFonts w:ascii="Times New Roman" w:hAnsi="Times New Roman"/>
        </w:rPr>
        <w:t>.</w:t>
      </w:r>
    </w:p>
    <w:p w14:paraId="2EC3FB07" w14:textId="77777777" w:rsidR="00A63D2B" w:rsidRPr="009A4D20" w:rsidRDefault="00A63D2B" w:rsidP="005E4ED6">
      <w:pPr>
        <w:pStyle w:val="BodyText"/>
        <w:rPr>
          <w:rFonts w:ascii="Times New Roman" w:hAnsi="Times New Roman"/>
        </w:rPr>
      </w:pPr>
    </w:p>
    <w:p w14:paraId="2F821010" w14:textId="77777777" w:rsidR="00A63D2B" w:rsidRPr="009A4D20" w:rsidRDefault="00A63D2B" w:rsidP="005E4ED6">
      <w:pPr>
        <w:jc w:val="both"/>
        <w:rPr>
          <w:rFonts w:ascii="Times New Roman" w:hAnsi="Times New Roman"/>
          <w:b/>
        </w:rPr>
      </w:pPr>
      <w:r w:rsidRPr="009A4D20">
        <w:rPr>
          <w:rFonts w:ascii="Times New Roman" w:hAnsi="Times New Roman"/>
          <w:b/>
        </w:rPr>
        <w:t>Conclusion</w:t>
      </w:r>
    </w:p>
    <w:p w14:paraId="2BAF0B75" w14:textId="077BE7A3" w:rsidR="00A63D2B" w:rsidRPr="009A4D20" w:rsidRDefault="00A63D2B" w:rsidP="005E4ED6">
      <w:pPr>
        <w:pStyle w:val="BodyText"/>
        <w:rPr>
          <w:rFonts w:ascii="Times New Roman" w:hAnsi="Times New Roman"/>
        </w:rPr>
      </w:pPr>
      <w:r w:rsidRPr="009A4D20">
        <w:rPr>
          <w:rFonts w:ascii="Times New Roman" w:hAnsi="Times New Roman"/>
        </w:rPr>
        <w:t>This legislative instrument is compatible with human rights</w:t>
      </w:r>
      <w:r w:rsidR="001423C5" w:rsidRPr="009A4D20">
        <w:rPr>
          <w:rFonts w:ascii="Times New Roman" w:hAnsi="Times New Roman"/>
        </w:rPr>
        <w:t>.</w:t>
      </w:r>
    </w:p>
    <w:p w14:paraId="01F72CC8" w14:textId="7E5EFC7E" w:rsidR="00A63D2B" w:rsidRDefault="00A63D2B" w:rsidP="005E4ED6">
      <w:pPr>
        <w:tabs>
          <w:tab w:val="left" w:pos="4820"/>
        </w:tabs>
        <w:spacing w:before="480"/>
        <w:jc w:val="center"/>
        <w:rPr>
          <w:rFonts w:ascii="Times New Roman" w:hAnsi="Times New Roman"/>
          <w:b/>
          <w:bCs/>
          <w:lang w:eastAsia="en-AU"/>
        </w:rPr>
      </w:pPr>
      <w:r w:rsidRPr="009A4D20">
        <w:rPr>
          <w:rFonts w:ascii="Times New Roman" w:hAnsi="Times New Roman"/>
          <w:b/>
          <w:bCs/>
        </w:rPr>
        <w:t>Civil Aviation Safety Authority</w:t>
      </w:r>
      <w:bookmarkEnd w:id="7"/>
    </w:p>
    <w:sectPr w:rsidR="00A63D2B" w:rsidSect="0087565B">
      <w:headerReference w:type="even" r:id="rId8"/>
      <w:headerReference w:type="default" r:id="rId9"/>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68CA2" w14:textId="77777777" w:rsidR="00247B85" w:rsidRDefault="00247B85">
      <w:r>
        <w:separator/>
      </w:r>
    </w:p>
  </w:endnote>
  <w:endnote w:type="continuationSeparator" w:id="0">
    <w:p w14:paraId="1F4C68A1" w14:textId="77777777" w:rsidR="00247B85" w:rsidRDefault="00247B85">
      <w:r>
        <w:continuationSeparator/>
      </w:r>
    </w:p>
  </w:endnote>
  <w:endnote w:type="continuationNotice" w:id="1">
    <w:p w14:paraId="07952BC3" w14:textId="77777777" w:rsidR="00247B85" w:rsidRDefault="00247B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7B76F" w14:textId="77777777" w:rsidR="00247B85" w:rsidRDefault="00247B85">
      <w:r>
        <w:separator/>
      </w:r>
    </w:p>
  </w:footnote>
  <w:footnote w:type="continuationSeparator" w:id="0">
    <w:p w14:paraId="2D9EF0E0" w14:textId="77777777" w:rsidR="00247B85" w:rsidRDefault="00247B85">
      <w:r>
        <w:continuationSeparator/>
      </w:r>
    </w:p>
  </w:footnote>
  <w:footnote w:type="continuationNotice" w:id="1">
    <w:p w14:paraId="15337CA9" w14:textId="77777777" w:rsidR="00247B85" w:rsidRDefault="00247B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AF45" w14:textId="3BBD5CA6" w:rsidR="001F6763" w:rsidRPr="00DE500D" w:rsidRDefault="001A15F6">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2E4A40">
          <w:rPr>
            <w:rFonts w:ascii="Times New Roman" w:hAnsi="Times New Roman"/>
            <w:noProof/>
          </w:rPr>
          <w:t>5</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E03"/>
    <w:multiLevelType w:val="hybridMultilevel"/>
    <w:tmpl w:val="46F0BE74"/>
    <w:lvl w:ilvl="0" w:tplc="CC02DF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BD2B0B"/>
    <w:multiLevelType w:val="hybridMultilevel"/>
    <w:tmpl w:val="143E137A"/>
    <w:lvl w:ilvl="0" w:tplc="A286798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5E1F7B"/>
    <w:multiLevelType w:val="hybridMultilevel"/>
    <w:tmpl w:val="4602304E"/>
    <w:lvl w:ilvl="0" w:tplc="09847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03483E"/>
    <w:multiLevelType w:val="hybridMultilevel"/>
    <w:tmpl w:val="4EE4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91B5E62"/>
    <w:multiLevelType w:val="hybridMultilevel"/>
    <w:tmpl w:val="5E101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C10AEC"/>
    <w:multiLevelType w:val="hybridMultilevel"/>
    <w:tmpl w:val="6BA87774"/>
    <w:lvl w:ilvl="0" w:tplc="8C42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E868AF"/>
    <w:multiLevelType w:val="hybridMultilevel"/>
    <w:tmpl w:val="0CF69D64"/>
    <w:lvl w:ilvl="0" w:tplc="93FA4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FB7A4C"/>
    <w:multiLevelType w:val="hybridMultilevel"/>
    <w:tmpl w:val="78B40CB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D042F9"/>
    <w:multiLevelType w:val="hybridMultilevel"/>
    <w:tmpl w:val="09BEF734"/>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15:restartNumberingAfterBreak="0">
    <w:nsid w:val="40C74509"/>
    <w:multiLevelType w:val="hybridMultilevel"/>
    <w:tmpl w:val="D54A00E2"/>
    <w:lvl w:ilvl="0" w:tplc="82D0E9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A9314D"/>
    <w:multiLevelType w:val="hybridMultilevel"/>
    <w:tmpl w:val="B296AA30"/>
    <w:lvl w:ilvl="0" w:tplc="59B4B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5"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751404"/>
    <w:multiLevelType w:val="hybridMultilevel"/>
    <w:tmpl w:val="326A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BD87481"/>
    <w:multiLevelType w:val="hybridMultilevel"/>
    <w:tmpl w:val="28FC9DB0"/>
    <w:lvl w:ilvl="0" w:tplc="9F52A1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C936984"/>
    <w:multiLevelType w:val="hybridMultilevel"/>
    <w:tmpl w:val="175A35B8"/>
    <w:lvl w:ilvl="0" w:tplc="5C42CC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A46AB0"/>
    <w:multiLevelType w:val="hybridMultilevel"/>
    <w:tmpl w:val="3CE4522A"/>
    <w:lvl w:ilvl="0" w:tplc="BC20C2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537D53"/>
    <w:multiLevelType w:val="hybridMultilevel"/>
    <w:tmpl w:val="52282A9A"/>
    <w:lvl w:ilvl="0" w:tplc="3F10A1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9776202"/>
    <w:multiLevelType w:val="hybridMultilevel"/>
    <w:tmpl w:val="D7321A7C"/>
    <w:lvl w:ilvl="0" w:tplc="C31231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5" w15:restartNumberingAfterBreak="0">
    <w:nsid w:val="67C11EC4"/>
    <w:multiLevelType w:val="hybridMultilevel"/>
    <w:tmpl w:val="FB1E2F54"/>
    <w:lvl w:ilvl="0" w:tplc="B0D8E0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940E69"/>
    <w:multiLevelType w:val="hybridMultilevel"/>
    <w:tmpl w:val="9DA08CF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8E7162"/>
    <w:multiLevelType w:val="multilevel"/>
    <w:tmpl w:val="351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16170C"/>
    <w:multiLevelType w:val="hybridMultilevel"/>
    <w:tmpl w:val="3EBCFC8C"/>
    <w:lvl w:ilvl="0" w:tplc="82D822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0"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C91056"/>
    <w:multiLevelType w:val="hybridMultilevel"/>
    <w:tmpl w:val="D7B4B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F246C3A"/>
    <w:multiLevelType w:val="hybridMultilevel"/>
    <w:tmpl w:val="9F3C5C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abstractNumId w:val="13"/>
  </w:num>
  <w:num w:numId="2">
    <w:abstractNumId w:val="27"/>
  </w:num>
  <w:num w:numId="3">
    <w:abstractNumId w:val="3"/>
  </w:num>
  <w:num w:numId="4">
    <w:abstractNumId w:val="25"/>
  </w:num>
  <w:num w:numId="5">
    <w:abstractNumId w:val="12"/>
  </w:num>
  <w:num w:numId="6">
    <w:abstractNumId w:val="16"/>
  </w:num>
  <w:num w:numId="7">
    <w:abstractNumId w:val="19"/>
  </w:num>
  <w:num w:numId="8">
    <w:abstractNumId w:val="40"/>
  </w:num>
  <w:num w:numId="9">
    <w:abstractNumId w:val="39"/>
  </w:num>
  <w:num w:numId="10">
    <w:abstractNumId w:val="34"/>
  </w:num>
  <w:num w:numId="11">
    <w:abstractNumId w:val="24"/>
  </w:num>
  <w:num w:numId="12">
    <w:abstractNumId w:val="9"/>
  </w:num>
  <w:num w:numId="13">
    <w:abstractNumId w:val="15"/>
  </w:num>
  <w:num w:numId="14">
    <w:abstractNumId w:val="17"/>
  </w:num>
  <w:num w:numId="15">
    <w:abstractNumId w:val="42"/>
  </w:num>
  <w:num w:numId="16">
    <w:abstractNumId w:val="21"/>
  </w:num>
  <w:num w:numId="17">
    <w:abstractNumId w:val="1"/>
  </w:num>
  <w:num w:numId="18">
    <w:abstractNumId w:val="8"/>
  </w:num>
  <w:num w:numId="19">
    <w:abstractNumId w:val="18"/>
  </w:num>
  <w:num w:numId="20">
    <w:abstractNumId w:val="30"/>
  </w:num>
  <w:num w:numId="21">
    <w:abstractNumId w:val="43"/>
  </w:num>
  <w:num w:numId="22">
    <w:abstractNumId w:val="6"/>
  </w:num>
  <w:num w:numId="23">
    <w:abstractNumId w:val="37"/>
  </w:num>
  <w:num w:numId="24">
    <w:abstractNumId w:val="26"/>
  </w:num>
  <w:num w:numId="25">
    <w:abstractNumId w:val="35"/>
  </w:num>
  <w:num w:numId="26">
    <w:abstractNumId w:val="29"/>
  </w:num>
  <w:num w:numId="27">
    <w:abstractNumId w:val="22"/>
  </w:num>
  <w:num w:numId="28">
    <w:abstractNumId w:val="32"/>
  </w:num>
  <w:num w:numId="29">
    <w:abstractNumId w:val="10"/>
  </w:num>
  <w:num w:numId="30">
    <w:abstractNumId w:val="11"/>
  </w:num>
  <w:num w:numId="31">
    <w:abstractNumId w:val="4"/>
  </w:num>
  <w:num w:numId="32">
    <w:abstractNumId w:val="33"/>
  </w:num>
  <w:num w:numId="33">
    <w:abstractNumId w:val="0"/>
  </w:num>
  <w:num w:numId="34">
    <w:abstractNumId w:val="31"/>
  </w:num>
  <w:num w:numId="35">
    <w:abstractNumId w:val="28"/>
  </w:num>
  <w:num w:numId="36">
    <w:abstractNumId w:val="23"/>
  </w:num>
  <w:num w:numId="37">
    <w:abstractNumId w:val="38"/>
  </w:num>
  <w:num w:numId="38">
    <w:abstractNumId w:val="5"/>
  </w:num>
  <w:num w:numId="39">
    <w:abstractNumId w:val="36"/>
  </w:num>
  <w:num w:numId="40">
    <w:abstractNumId w:val="20"/>
  </w:num>
  <w:num w:numId="41">
    <w:abstractNumId w:val="14"/>
  </w:num>
  <w:num w:numId="42">
    <w:abstractNumId w:val="7"/>
  </w:num>
  <w:num w:numId="43">
    <w:abstractNumId w:val="2"/>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CC6"/>
    <w:rsid w:val="00000DB1"/>
    <w:rsid w:val="00001E83"/>
    <w:rsid w:val="00002A1C"/>
    <w:rsid w:val="00003205"/>
    <w:rsid w:val="00003633"/>
    <w:rsid w:val="00003808"/>
    <w:rsid w:val="00004406"/>
    <w:rsid w:val="00005F9F"/>
    <w:rsid w:val="00006C4E"/>
    <w:rsid w:val="00007763"/>
    <w:rsid w:val="00007CEA"/>
    <w:rsid w:val="00010886"/>
    <w:rsid w:val="00010B13"/>
    <w:rsid w:val="00011C42"/>
    <w:rsid w:val="00012826"/>
    <w:rsid w:val="00013353"/>
    <w:rsid w:val="000137D3"/>
    <w:rsid w:val="000138B2"/>
    <w:rsid w:val="000147FA"/>
    <w:rsid w:val="00014B80"/>
    <w:rsid w:val="00015467"/>
    <w:rsid w:val="0001581C"/>
    <w:rsid w:val="00015E9A"/>
    <w:rsid w:val="00016A72"/>
    <w:rsid w:val="00016D95"/>
    <w:rsid w:val="0001723C"/>
    <w:rsid w:val="0002084A"/>
    <w:rsid w:val="000210E3"/>
    <w:rsid w:val="00022455"/>
    <w:rsid w:val="00022831"/>
    <w:rsid w:val="00022E39"/>
    <w:rsid w:val="00024D0C"/>
    <w:rsid w:val="00025ED8"/>
    <w:rsid w:val="000267B6"/>
    <w:rsid w:val="00026CB4"/>
    <w:rsid w:val="00026D3D"/>
    <w:rsid w:val="0003070A"/>
    <w:rsid w:val="00030EA6"/>
    <w:rsid w:val="000313A5"/>
    <w:rsid w:val="0003246D"/>
    <w:rsid w:val="00032650"/>
    <w:rsid w:val="0003466A"/>
    <w:rsid w:val="00034685"/>
    <w:rsid w:val="00034A50"/>
    <w:rsid w:val="00034F94"/>
    <w:rsid w:val="00035911"/>
    <w:rsid w:val="00035C32"/>
    <w:rsid w:val="00035CDF"/>
    <w:rsid w:val="00036A46"/>
    <w:rsid w:val="00036CB4"/>
    <w:rsid w:val="00037A65"/>
    <w:rsid w:val="00040382"/>
    <w:rsid w:val="00040E9D"/>
    <w:rsid w:val="000411BB"/>
    <w:rsid w:val="00041A34"/>
    <w:rsid w:val="00041C40"/>
    <w:rsid w:val="00042032"/>
    <w:rsid w:val="00042982"/>
    <w:rsid w:val="00043497"/>
    <w:rsid w:val="00043570"/>
    <w:rsid w:val="00045AED"/>
    <w:rsid w:val="00046C22"/>
    <w:rsid w:val="000507F7"/>
    <w:rsid w:val="00051561"/>
    <w:rsid w:val="00053356"/>
    <w:rsid w:val="000533BB"/>
    <w:rsid w:val="000541B8"/>
    <w:rsid w:val="00055046"/>
    <w:rsid w:val="00055160"/>
    <w:rsid w:val="00055749"/>
    <w:rsid w:val="00056B4E"/>
    <w:rsid w:val="000604B7"/>
    <w:rsid w:val="00060731"/>
    <w:rsid w:val="00060741"/>
    <w:rsid w:val="00060822"/>
    <w:rsid w:val="00061641"/>
    <w:rsid w:val="000621C3"/>
    <w:rsid w:val="000627C8"/>
    <w:rsid w:val="00062905"/>
    <w:rsid w:val="0006358D"/>
    <w:rsid w:val="000649EA"/>
    <w:rsid w:val="00064A49"/>
    <w:rsid w:val="00065309"/>
    <w:rsid w:val="00065862"/>
    <w:rsid w:val="0006627B"/>
    <w:rsid w:val="0006636F"/>
    <w:rsid w:val="000675E0"/>
    <w:rsid w:val="00067D91"/>
    <w:rsid w:val="00070628"/>
    <w:rsid w:val="00070ED6"/>
    <w:rsid w:val="0007169F"/>
    <w:rsid w:val="0007298C"/>
    <w:rsid w:val="00074211"/>
    <w:rsid w:val="00074414"/>
    <w:rsid w:val="000753DC"/>
    <w:rsid w:val="000755D1"/>
    <w:rsid w:val="00075A43"/>
    <w:rsid w:val="00077A9F"/>
    <w:rsid w:val="00077EDB"/>
    <w:rsid w:val="000800F9"/>
    <w:rsid w:val="00081505"/>
    <w:rsid w:val="00081FA0"/>
    <w:rsid w:val="00082CCA"/>
    <w:rsid w:val="000864A2"/>
    <w:rsid w:val="0008780D"/>
    <w:rsid w:val="00087E12"/>
    <w:rsid w:val="00091791"/>
    <w:rsid w:val="00092E6A"/>
    <w:rsid w:val="00093A08"/>
    <w:rsid w:val="000940F0"/>
    <w:rsid w:val="00094281"/>
    <w:rsid w:val="0009556A"/>
    <w:rsid w:val="000960ED"/>
    <w:rsid w:val="00097A59"/>
    <w:rsid w:val="000A05B5"/>
    <w:rsid w:val="000A0C16"/>
    <w:rsid w:val="000A118F"/>
    <w:rsid w:val="000A3B77"/>
    <w:rsid w:val="000A50C5"/>
    <w:rsid w:val="000A68E5"/>
    <w:rsid w:val="000A6E0F"/>
    <w:rsid w:val="000A7CC1"/>
    <w:rsid w:val="000A7E72"/>
    <w:rsid w:val="000A7EB9"/>
    <w:rsid w:val="000B3546"/>
    <w:rsid w:val="000B3865"/>
    <w:rsid w:val="000B3B2B"/>
    <w:rsid w:val="000B452B"/>
    <w:rsid w:val="000B4EB0"/>
    <w:rsid w:val="000B5749"/>
    <w:rsid w:val="000B58BA"/>
    <w:rsid w:val="000B5C6B"/>
    <w:rsid w:val="000B649F"/>
    <w:rsid w:val="000B6DA1"/>
    <w:rsid w:val="000B764E"/>
    <w:rsid w:val="000B7CE3"/>
    <w:rsid w:val="000B7F08"/>
    <w:rsid w:val="000C071E"/>
    <w:rsid w:val="000C0FB8"/>
    <w:rsid w:val="000C1E23"/>
    <w:rsid w:val="000C2832"/>
    <w:rsid w:val="000C366A"/>
    <w:rsid w:val="000C3957"/>
    <w:rsid w:val="000C398B"/>
    <w:rsid w:val="000C49EA"/>
    <w:rsid w:val="000C4BD8"/>
    <w:rsid w:val="000C7A26"/>
    <w:rsid w:val="000D2BCF"/>
    <w:rsid w:val="000D3614"/>
    <w:rsid w:val="000D3ACA"/>
    <w:rsid w:val="000D7514"/>
    <w:rsid w:val="000D7F62"/>
    <w:rsid w:val="000E0606"/>
    <w:rsid w:val="000E10A5"/>
    <w:rsid w:val="000E130B"/>
    <w:rsid w:val="000E1F8D"/>
    <w:rsid w:val="000E2632"/>
    <w:rsid w:val="000E2E9F"/>
    <w:rsid w:val="000E2EDF"/>
    <w:rsid w:val="000E47E9"/>
    <w:rsid w:val="000E5E74"/>
    <w:rsid w:val="000E7062"/>
    <w:rsid w:val="000E7541"/>
    <w:rsid w:val="000F1625"/>
    <w:rsid w:val="000F17F6"/>
    <w:rsid w:val="000F256F"/>
    <w:rsid w:val="000F2723"/>
    <w:rsid w:val="000F3710"/>
    <w:rsid w:val="000F49D4"/>
    <w:rsid w:val="000F60E6"/>
    <w:rsid w:val="000F69D6"/>
    <w:rsid w:val="000F6F99"/>
    <w:rsid w:val="000F7299"/>
    <w:rsid w:val="000F7AC6"/>
    <w:rsid w:val="00101810"/>
    <w:rsid w:val="001019B2"/>
    <w:rsid w:val="00102102"/>
    <w:rsid w:val="001027B6"/>
    <w:rsid w:val="0010297C"/>
    <w:rsid w:val="00102BC4"/>
    <w:rsid w:val="001033D3"/>
    <w:rsid w:val="00103995"/>
    <w:rsid w:val="001040D9"/>
    <w:rsid w:val="00104DC7"/>
    <w:rsid w:val="001058FC"/>
    <w:rsid w:val="00106725"/>
    <w:rsid w:val="00107E10"/>
    <w:rsid w:val="00107FFB"/>
    <w:rsid w:val="0011025C"/>
    <w:rsid w:val="0011089A"/>
    <w:rsid w:val="001117BC"/>
    <w:rsid w:val="00111F03"/>
    <w:rsid w:val="00111F45"/>
    <w:rsid w:val="00112B87"/>
    <w:rsid w:val="00113CBC"/>
    <w:rsid w:val="0011480D"/>
    <w:rsid w:val="00116240"/>
    <w:rsid w:val="0012048F"/>
    <w:rsid w:val="00121DC0"/>
    <w:rsid w:val="00122A90"/>
    <w:rsid w:val="00122E03"/>
    <w:rsid w:val="00123610"/>
    <w:rsid w:val="0012366F"/>
    <w:rsid w:val="00123FD4"/>
    <w:rsid w:val="001242D3"/>
    <w:rsid w:val="0012571E"/>
    <w:rsid w:val="00125B49"/>
    <w:rsid w:val="00126497"/>
    <w:rsid w:val="001313BF"/>
    <w:rsid w:val="0013376A"/>
    <w:rsid w:val="0013404B"/>
    <w:rsid w:val="001344AA"/>
    <w:rsid w:val="00135FE2"/>
    <w:rsid w:val="001370D8"/>
    <w:rsid w:val="00137848"/>
    <w:rsid w:val="001416F8"/>
    <w:rsid w:val="001421CA"/>
    <w:rsid w:val="001423C5"/>
    <w:rsid w:val="0014268C"/>
    <w:rsid w:val="001428D7"/>
    <w:rsid w:val="00144110"/>
    <w:rsid w:val="001467DC"/>
    <w:rsid w:val="00147014"/>
    <w:rsid w:val="00147111"/>
    <w:rsid w:val="00147A8F"/>
    <w:rsid w:val="001519BF"/>
    <w:rsid w:val="00152AF9"/>
    <w:rsid w:val="001530A9"/>
    <w:rsid w:val="001544BC"/>
    <w:rsid w:val="0015612A"/>
    <w:rsid w:val="00156ED8"/>
    <w:rsid w:val="001600FA"/>
    <w:rsid w:val="0016073F"/>
    <w:rsid w:val="0016193E"/>
    <w:rsid w:val="001644F2"/>
    <w:rsid w:val="00164E34"/>
    <w:rsid w:val="0016598B"/>
    <w:rsid w:val="00165C94"/>
    <w:rsid w:val="00165E5D"/>
    <w:rsid w:val="00166943"/>
    <w:rsid w:val="001669BF"/>
    <w:rsid w:val="00167A8B"/>
    <w:rsid w:val="00167F3C"/>
    <w:rsid w:val="0017091E"/>
    <w:rsid w:val="001710EA"/>
    <w:rsid w:val="00171C84"/>
    <w:rsid w:val="00171CBE"/>
    <w:rsid w:val="0017339A"/>
    <w:rsid w:val="001739E5"/>
    <w:rsid w:val="0017422C"/>
    <w:rsid w:val="001756DE"/>
    <w:rsid w:val="00175C40"/>
    <w:rsid w:val="00175CC5"/>
    <w:rsid w:val="00175FFD"/>
    <w:rsid w:val="0018073D"/>
    <w:rsid w:val="00180DEB"/>
    <w:rsid w:val="001822E8"/>
    <w:rsid w:val="00182CB3"/>
    <w:rsid w:val="00182FC5"/>
    <w:rsid w:val="00184EA3"/>
    <w:rsid w:val="00185D1A"/>
    <w:rsid w:val="00185F18"/>
    <w:rsid w:val="00186A77"/>
    <w:rsid w:val="001875AA"/>
    <w:rsid w:val="001906D2"/>
    <w:rsid w:val="001915ED"/>
    <w:rsid w:val="00191A0C"/>
    <w:rsid w:val="00191D1F"/>
    <w:rsid w:val="00192345"/>
    <w:rsid w:val="001936AC"/>
    <w:rsid w:val="001948F3"/>
    <w:rsid w:val="00194982"/>
    <w:rsid w:val="00194C1C"/>
    <w:rsid w:val="0019631A"/>
    <w:rsid w:val="00196951"/>
    <w:rsid w:val="0019733E"/>
    <w:rsid w:val="001978F5"/>
    <w:rsid w:val="001A04AD"/>
    <w:rsid w:val="001A0C48"/>
    <w:rsid w:val="001A15F6"/>
    <w:rsid w:val="001A3C7F"/>
    <w:rsid w:val="001A4B5A"/>
    <w:rsid w:val="001A4BF8"/>
    <w:rsid w:val="001A506B"/>
    <w:rsid w:val="001A565C"/>
    <w:rsid w:val="001A6500"/>
    <w:rsid w:val="001B014F"/>
    <w:rsid w:val="001B0736"/>
    <w:rsid w:val="001B0B74"/>
    <w:rsid w:val="001B1541"/>
    <w:rsid w:val="001B1E51"/>
    <w:rsid w:val="001B2932"/>
    <w:rsid w:val="001B2E5D"/>
    <w:rsid w:val="001B3A55"/>
    <w:rsid w:val="001B5F91"/>
    <w:rsid w:val="001B6A86"/>
    <w:rsid w:val="001B6ADD"/>
    <w:rsid w:val="001C00B2"/>
    <w:rsid w:val="001C0A45"/>
    <w:rsid w:val="001C0C00"/>
    <w:rsid w:val="001C0CD8"/>
    <w:rsid w:val="001C2401"/>
    <w:rsid w:val="001C3E2B"/>
    <w:rsid w:val="001C3F81"/>
    <w:rsid w:val="001C4CBE"/>
    <w:rsid w:val="001C4F02"/>
    <w:rsid w:val="001C6272"/>
    <w:rsid w:val="001C644D"/>
    <w:rsid w:val="001C6A4E"/>
    <w:rsid w:val="001C7216"/>
    <w:rsid w:val="001C737A"/>
    <w:rsid w:val="001C7889"/>
    <w:rsid w:val="001C7FC0"/>
    <w:rsid w:val="001D185E"/>
    <w:rsid w:val="001D205B"/>
    <w:rsid w:val="001D2DFD"/>
    <w:rsid w:val="001D4AB7"/>
    <w:rsid w:val="001D4E78"/>
    <w:rsid w:val="001D522A"/>
    <w:rsid w:val="001D54A3"/>
    <w:rsid w:val="001D6739"/>
    <w:rsid w:val="001E09F4"/>
    <w:rsid w:val="001E2147"/>
    <w:rsid w:val="001E2227"/>
    <w:rsid w:val="001E424A"/>
    <w:rsid w:val="001E6EB3"/>
    <w:rsid w:val="001F08D6"/>
    <w:rsid w:val="001F19FC"/>
    <w:rsid w:val="001F1D5C"/>
    <w:rsid w:val="001F1F38"/>
    <w:rsid w:val="001F245C"/>
    <w:rsid w:val="001F248A"/>
    <w:rsid w:val="001F6763"/>
    <w:rsid w:val="001F6812"/>
    <w:rsid w:val="001F6E08"/>
    <w:rsid w:val="002003CA"/>
    <w:rsid w:val="002016B5"/>
    <w:rsid w:val="00201F34"/>
    <w:rsid w:val="00202033"/>
    <w:rsid w:val="002020B7"/>
    <w:rsid w:val="00202374"/>
    <w:rsid w:val="00205BE7"/>
    <w:rsid w:val="0020678C"/>
    <w:rsid w:val="002110B1"/>
    <w:rsid w:val="002113D6"/>
    <w:rsid w:val="00212C4B"/>
    <w:rsid w:val="00212DC3"/>
    <w:rsid w:val="00213A51"/>
    <w:rsid w:val="002149D1"/>
    <w:rsid w:val="00214C18"/>
    <w:rsid w:val="00214CF0"/>
    <w:rsid w:val="00214E02"/>
    <w:rsid w:val="002150FC"/>
    <w:rsid w:val="00215498"/>
    <w:rsid w:val="00215AB1"/>
    <w:rsid w:val="0022022E"/>
    <w:rsid w:val="0022056D"/>
    <w:rsid w:val="00221131"/>
    <w:rsid w:val="002220C7"/>
    <w:rsid w:val="00222E83"/>
    <w:rsid w:val="002230BD"/>
    <w:rsid w:val="002248B3"/>
    <w:rsid w:val="002258D3"/>
    <w:rsid w:val="0022668C"/>
    <w:rsid w:val="00226FE0"/>
    <w:rsid w:val="00231B7C"/>
    <w:rsid w:val="00233306"/>
    <w:rsid w:val="00233B7C"/>
    <w:rsid w:val="00233E61"/>
    <w:rsid w:val="00234ED2"/>
    <w:rsid w:val="002350CF"/>
    <w:rsid w:val="00236271"/>
    <w:rsid w:val="00236904"/>
    <w:rsid w:val="00236966"/>
    <w:rsid w:val="00237723"/>
    <w:rsid w:val="00240BAB"/>
    <w:rsid w:val="002419B6"/>
    <w:rsid w:val="00242604"/>
    <w:rsid w:val="002426E8"/>
    <w:rsid w:val="00243DED"/>
    <w:rsid w:val="00244039"/>
    <w:rsid w:val="002470F0"/>
    <w:rsid w:val="002472BB"/>
    <w:rsid w:val="00247744"/>
    <w:rsid w:val="00247B1B"/>
    <w:rsid w:val="00247B85"/>
    <w:rsid w:val="00250892"/>
    <w:rsid w:val="0025097F"/>
    <w:rsid w:val="0025118A"/>
    <w:rsid w:val="00251B76"/>
    <w:rsid w:val="00251EF4"/>
    <w:rsid w:val="00254488"/>
    <w:rsid w:val="00254E78"/>
    <w:rsid w:val="00254FE9"/>
    <w:rsid w:val="00256136"/>
    <w:rsid w:val="00257C34"/>
    <w:rsid w:val="00257E0B"/>
    <w:rsid w:val="00261C18"/>
    <w:rsid w:val="00262E5A"/>
    <w:rsid w:val="002632D8"/>
    <w:rsid w:val="00264287"/>
    <w:rsid w:val="002646D6"/>
    <w:rsid w:val="00265628"/>
    <w:rsid w:val="0026718E"/>
    <w:rsid w:val="00267CC1"/>
    <w:rsid w:val="0027240C"/>
    <w:rsid w:val="00272DFF"/>
    <w:rsid w:val="00273A7F"/>
    <w:rsid w:val="00273B3C"/>
    <w:rsid w:val="002748AC"/>
    <w:rsid w:val="00274D07"/>
    <w:rsid w:val="00275186"/>
    <w:rsid w:val="00280C18"/>
    <w:rsid w:val="002835F9"/>
    <w:rsid w:val="0028527D"/>
    <w:rsid w:val="0028545C"/>
    <w:rsid w:val="00285822"/>
    <w:rsid w:val="00285CD3"/>
    <w:rsid w:val="002860B9"/>
    <w:rsid w:val="002877C6"/>
    <w:rsid w:val="0028780A"/>
    <w:rsid w:val="0029076F"/>
    <w:rsid w:val="00291FED"/>
    <w:rsid w:val="00292C62"/>
    <w:rsid w:val="00292E18"/>
    <w:rsid w:val="00293BB6"/>
    <w:rsid w:val="00293DFE"/>
    <w:rsid w:val="0029424C"/>
    <w:rsid w:val="00294282"/>
    <w:rsid w:val="00294790"/>
    <w:rsid w:val="002949B9"/>
    <w:rsid w:val="00295588"/>
    <w:rsid w:val="0029689B"/>
    <w:rsid w:val="00297255"/>
    <w:rsid w:val="00297467"/>
    <w:rsid w:val="00297E57"/>
    <w:rsid w:val="002A06D3"/>
    <w:rsid w:val="002A118D"/>
    <w:rsid w:val="002A1419"/>
    <w:rsid w:val="002A1E89"/>
    <w:rsid w:val="002A28F1"/>
    <w:rsid w:val="002A37BA"/>
    <w:rsid w:val="002A3B5D"/>
    <w:rsid w:val="002A3C18"/>
    <w:rsid w:val="002A5299"/>
    <w:rsid w:val="002A64BF"/>
    <w:rsid w:val="002A6CA3"/>
    <w:rsid w:val="002A6ECC"/>
    <w:rsid w:val="002A7C0E"/>
    <w:rsid w:val="002B010B"/>
    <w:rsid w:val="002B2524"/>
    <w:rsid w:val="002B3410"/>
    <w:rsid w:val="002B4062"/>
    <w:rsid w:val="002B417A"/>
    <w:rsid w:val="002B5C94"/>
    <w:rsid w:val="002B5F8D"/>
    <w:rsid w:val="002B644D"/>
    <w:rsid w:val="002B6535"/>
    <w:rsid w:val="002B6899"/>
    <w:rsid w:val="002B69CA"/>
    <w:rsid w:val="002C04B9"/>
    <w:rsid w:val="002C0EA2"/>
    <w:rsid w:val="002C0F30"/>
    <w:rsid w:val="002C183B"/>
    <w:rsid w:val="002C1D34"/>
    <w:rsid w:val="002C1F2A"/>
    <w:rsid w:val="002C457D"/>
    <w:rsid w:val="002C48B8"/>
    <w:rsid w:val="002C4D33"/>
    <w:rsid w:val="002C7C89"/>
    <w:rsid w:val="002C7E6E"/>
    <w:rsid w:val="002D0790"/>
    <w:rsid w:val="002D2763"/>
    <w:rsid w:val="002D2A2D"/>
    <w:rsid w:val="002D3638"/>
    <w:rsid w:val="002D3F30"/>
    <w:rsid w:val="002D4107"/>
    <w:rsid w:val="002D43B2"/>
    <w:rsid w:val="002D5C0E"/>
    <w:rsid w:val="002D6EB6"/>
    <w:rsid w:val="002D7026"/>
    <w:rsid w:val="002D71D4"/>
    <w:rsid w:val="002E023A"/>
    <w:rsid w:val="002E2282"/>
    <w:rsid w:val="002E292F"/>
    <w:rsid w:val="002E41D4"/>
    <w:rsid w:val="002E42DF"/>
    <w:rsid w:val="002E4A40"/>
    <w:rsid w:val="002E4C70"/>
    <w:rsid w:val="002E4E23"/>
    <w:rsid w:val="002E6045"/>
    <w:rsid w:val="002E61C2"/>
    <w:rsid w:val="002E7A9D"/>
    <w:rsid w:val="002F2D5F"/>
    <w:rsid w:val="002F3F9E"/>
    <w:rsid w:val="002F4B13"/>
    <w:rsid w:val="002F4D4A"/>
    <w:rsid w:val="002F5F5D"/>
    <w:rsid w:val="002F6BA2"/>
    <w:rsid w:val="002F70BA"/>
    <w:rsid w:val="002F71C4"/>
    <w:rsid w:val="003000EF"/>
    <w:rsid w:val="00301B8D"/>
    <w:rsid w:val="003068D0"/>
    <w:rsid w:val="00306C1D"/>
    <w:rsid w:val="00306D80"/>
    <w:rsid w:val="00307147"/>
    <w:rsid w:val="003109E4"/>
    <w:rsid w:val="003118B6"/>
    <w:rsid w:val="00312128"/>
    <w:rsid w:val="0031248A"/>
    <w:rsid w:val="003128EF"/>
    <w:rsid w:val="00312F15"/>
    <w:rsid w:val="0031393C"/>
    <w:rsid w:val="00317738"/>
    <w:rsid w:val="00320B06"/>
    <w:rsid w:val="00320B0F"/>
    <w:rsid w:val="00320E89"/>
    <w:rsid w:val="003224BD"/>
    <w:rsid w:val="003231EC"/>
    <w:rsid w:val="003235AA"/>
    <w:rsid w:val="003235E1"/>
    <w:rsid w:val="003236F2"/>
    <w:rsid w:val="003237F2"/>
    <w:rsid w:val="00323E12"/>
    <w:rsid w:val="003246CB"/>
    <w:rsid w:val="00324A5B"/>
    <w:rsid w:val="00325792"/>
    <w:rsid w:val="00325808"/>
    <w:rsid w:val="00325D97"/>
    <w:rsid w:val="00332A6C"/>
    <w:rsid w:val="003335A2"/>
    <w:rsid w:val="00333A95"/>
    <w:rsid w:val="00333DF9"/>
    <w:rsid w:val="003342A8"/>
    <w:rsid w:val="003358F6"/>
    <w:rsid w:val="00336E3A"/>
    <w:rsid w:val="00336F8E"/>
    <w:rsid w:val="00337224"/>
    <w:rsid w:val="003372FB"/>
    <w:rsid w:val="003402E6"/>
    <w:rsid w:val="00340712"/>
    <w:rsid w:val="0034240C"/>
    <w:rsid w:val="00342B33"/>
    <w:rsid w:val="003438AF"/>
    <w:rsid w:val="00343AFC"/>
    <w:rsid w:val="00343F53"/>
    <w:rsid w:val="00344148"/>
    <w:rsid w:val="003453A3"/>
    <w:rsid w:val="00345DA7"/>
    <w:rsid w:val="00345F67"/>
    <w:rsid w:val="003472DA"/>
    <w:rsid w:val="00347736"/>
    <w:rsid w:val="0034794E"/>
    <w:rsid w:val="0035064D"/>
    <w:rsid w:val="00350749"/>
    <w:rsid w:val="00351CF1"/>
    <w:rsid w:val="00351E93"/>
    <w:rsid w:val="00351F1A"/>
    <w:rsid w:val="00353F15"/>
    <w:rsid w:val="0035535D"/>
    <w:rsid w:val="0035563F"/>
    <w:rsid w:val="00355A26"/>
    <w:rsid w:val="00357241"/>
    <w:rsid w:val="00361140"/>
    <w:rsid w:val="003614EC"/>
    <w:rsid w:val="00361803"/>
    <w:rsid w:val="003625B5"/>
    <w:rsid w:val="00363D44"/>
    <w:rsid w:val="003646F4"/>
    <w:rsid w:val="0036487A"/>
    <w:rsid w:val="0036603E"/>
    <w:rsid w:val="00366577"/>
    <w:rsid w:val="003668C8"/>
    <w:rsid w:val="0037070B"/>
    <w:rsid w:val="00370B9C"/>
    <w:rsid w:val="00371B1D"/>
    <w:rsid w:val="00371C2C"/>
    <w:rsid w:val="00372AD9"/>
    <w:rsid w:val="00372CA1"/>
    <w:rsid w:val="0037359A"/>
    <w:rsid w:val="0037388B"/>
    <w:rsid w:val="00375DDB"/>
    <w:rsid w:val="0037617F"/>
    <w:rsid w:val="00380F91"/>
    <w:rsid w:val="00381968"/>
    <w:rsid w:val="0038196E"/>
    <w:rsid w:val="00381B8D"/>
    <w:rsid w:val="003823A1"/>
    <w:rsid w:val="00382B0A"/>
    <w:rsid w:val="00382E6D"/>
    <w:rsid w:val="00385426"/>
    <w:rsid w:val="00386ED3"/>
    <w:rsid w:val="003902D9"/>
    <w:rsid w:val="003903D8"/>
    <w:rsid w:val="00392DA5"/>
    <w:rsid w:val="003935B9"/>
    <w:rsid w:val="003937B9"/>
    <w:rsid w:val="00395991"/>
    <w:rsid w:val="00397CBF"/>
    <w:rsid w:val="00397EEA"/>
    <w:rsid w:val="003A085F"/>
    <w:rsid w:val="003A0D12"/>
    <w:rsid w:val="003A1A0C"/>
    <w:rsid w:val="003A2C34"/>
    <w:rsid w:val="003A3C7C"/>
    <w:rsid w:val="003A49AB"/>
    <w:rsid w:val="003A4BCF"/>
    <w:rsid w:val="003A52DD"/>
    <w:rsid w:val="003A5769"/>
    <w:rsid w:val="003A5977"/>
    <w:rsid w:val="003A681B"/>
    <w:rsid w:val="003A6DEB"/>
    <w:rsid w:val="003A7E5C"/>
    <w:rsid w:val="003B113F"/>
    <w:rsid w:val="003B259D"/>
    <w:rsid w:val="003B2D09"/>
    <w:rsid w:val="003B4886"/>
    <w:rsid w:val="003B4B10"/>
    <w:rsid w:val="003B5D0D"/>
    <w:rsid w:val="003B7EAB"/>
    <w:rsid w:val="003B7FB3"/>
    <w:rsid w:val="003C010A"/>
    <w:rsid w:val="003C0810"/>
    <w:rsid w:val="003C0B82"/>
    <w:rsid w:val="003C1E3F"/>
    <w:rsid w:val="003C25F6"/>
    <w:rsid w:val="003C3015"/>
    <w:rsid w:val="003C36D0"/>
    <w:rsid w:val="003C528F"/>
    <w:rsid w:val="003C5318"/>
    <w:rsid w:val="003C537F"/>
    <w:rsid w:val="003C5BE5"/>
    <w:rsid w:val="003C6D99"/>
    <w:rsid w:val="003C71B1"/>
    <w:rsid w:val="003C71D7"/>
    <w:rsid w:val="003C79F2"/>
    <w:rsid w:val="003D2695"/>
    <w:rsid w:val="003D33FF"/>
    <w:rsid w:val="003D37BE"/>
    <w:rsid w:val="003D3A0A"/>
    <w:rsid w:val="003D3EF8"/>
    <w:rsid w:val="003D4005"/>
    <w:rsid w:val="003D5B11"/>
    <w:rsid w:val="003D6234"/>
    <w:rsid w:val="003D6C94"/>
    <w:rsid w:val="003D6D7B"/>
    <w:rsid w:val="003E0426"/>
    <w:rsid w:val="003E0E74"/>
    <w:rsid w:val="003E0F77"/>
    <w:rsid w:val="003E1083"/>
    <w:rsid w:val="003E15A0"/>
    <w:rsid w:val="003E1933"/>
    <w:rsid w:val="003E20E2"/>
    <w:rsid w:val="003E25BD"/>
    <w:rsid w:val="003E354A"/>
    <w:rsid w:val="003E4C3A"/>
    <w:rsid w:val="003E5E58"/>
    <w:rsid w:val="003E685B"/>
    <w:rsid w:val="003E7863"/>
    <w:rsid w:val="003E7AD5"/>
    <w:rsid w:val="003E7C40"/>
    <w:rsid w:val="003F0897"/>
    <w:rsid w:val="003F0C2D"/>
    <w:rsid w:val="003F1CE7"/>
    <w:rsid w:val="003F23D8"/>
    <w:rsid w:val="003F31CC"/>
    <w:rsid w:val="003F39B1"/>
    <w:rsid w:val="003F4408"/>
    <w:rsid w:val="003F646A"/>
    <w:rsid w:val="003F6830"/>
    <w:rsid w:val="003F6A81"/>
    <w:rsid w:val="003F723A"/>
    <w:rsid w:val="00402119"/>
    <w:rsid w:val="00402B7C"/>
    <w:rsid w:val="00405562"/>
    <w:rsid w:val="004056B8"/>
    <w:rsid w:val="00405A6F"/>
    <w:rsid w:val="00405C77"/>
    <w:rsid w:val="0040637E"/>
    <w:rsid w:val="00406E53"/>
    <w:rsid w:val="004100BE"/>
    <w:rsid w:val="004103DE"/>
    <w:rsid w:val="0041139F"/>
    <w:rsid w:val="00412AB1"/>
    <w:rsid w:val="004142C1"/>
    <w:rsid w:val="004144E5"/>
    <w:rsid w:val="004146BD"/>
    <w:rsid w:val="00416CA5"/>
    <w:rsid w:val="004173E9"/>
    <w:rsid w:val="004174CA"/>
    <w:rsid w:val="00424BF4"/>
    <w:rsid w:val="00426700"/>
    <w:rsid w:val="004268F6"/>
    <w:rsid w:val="00426CD8"/>
    <w:rsid w:val="004272C6"/>
    <w:rsid w:val="004303FA"/>
    <w:rsid w:val="0043141E"/>
    <w:rsid w:val="00431F00"/>
    <w:rsid w:val="0043264F"/>
    <w:rsid w:val="00432E63"/>
    <w:rsid w:val="004337CE"/>
    <w:rsid w:val="00433B8E"/>
    <w:rsid w:val="00434D5A"/>
    <w:rsid w:val="00434E91"/>
    <w:rsid w:val="004352FB"/>
    <w:rsid w:val="00435589"/>
    <w:rsid w:val="00435656"/>
    <w:rsid w:val="00436704"/>
    <w:rsid w:val="00436837"/>
    <w:rsid w:val="004369E9"/>
    <w:rsid w:val="004372E6"/>
    <w:rsid w:val="00437324"/>
    <w:rsid w:val="004375A7"/>
    <w:rsid w:val="0044009D"/>
    <w:rsid w:val="00440302"/>
    <w:rsid w:val="00441DC7"/>
    <w:rsid w:val="00444508"/>
    <w:rsid w:val="0044530D"/>
    <w:rsid w:val="00445CA5"/>
    <w:rsid w:val="00446494"/>
    <w:rsid w:val="00451398"/>
    <w:rsid w:val="00452B1E"/>
    <w:rsid w:val="004551EB"/>
    <w:rsid w:val="00455202"/>
    <w:rsid w:val="0045602C"/>
    <w:rsid w:val="00456059"/>
    <w:rsid w:val="004567B3"/>
    <w:rsid w:val="00456890"/>
    <w:rsid w:val="004607B5"/>
    <w:rsid w:val="004618EB"/>
    <w:rsid w:val="00461BFB"/>
    <w:rsid w:val="00461C5C"/>
    <w:rsid w:val="00461E20"/>
    <w:rsid w:val="00463CE7"/>
    <w:rsid w:val="004642DB"/>
    <w:rsid w:val="0046510E"/>
    <w:rsid w:val="00466804"/>
    <w:rsid w:val="00467779"/>
    <w:rsid w:val="004707ED"/>
    <w:rsid w:val="00470B51"/>
    <w:rsid w:val="00470FCF"/>
    <w:rsid w:val="00470FE3"/>
    <w:rsid w:val="00471EF8"/>
    <w:rsid w:val="00471F07"/>
    <w:rsid w:val="00473E1B"/>
    <w:rsid w:val="00474DB4"/>
    <w:rsid w:val="00475DF8"/>
    <w:rsid w:val="00475EC3"/>
    <w:rsid w:val="00476B90"/>
    <w:rsid w:val="00480770"/>
    <w:rsid w:val="00480771"/>
    <w:rsid w:val="00481388"/>
    <w:rsid w:val="0048144D"/>
    <w:rsid w:val="0048207F"/>
    <w:rsid w:val="004821AB"/>
    <w:rsid w:val="00483C14"/>
    <w:rsid w:val="00484341"/>
    <w:rsid w:val="0048576F"/>
    <w:rsid w:val="00485920"/>
    <w:rsid w:val="00485E5D"/>
    <w:rsid w:val="00486443"/>
    <w:rsid w:val="00486E67"/>
    <w:rsid w:val="00486E96"/>
    <w:rsid w:val="00487302"/>
    <w:rsid w:val="00490556"/>
    <w:rsid w:val="00491AE3"/>
    <w:rsid w:val="00492881"/>
    <w:rsid w:val="0049389B"/>
    <w:rsid w:val="004943CB"/>
    <w:rsid w:val="00494BBD"/>
    <w:rsid w:val="00496B8E"/>
    <w:rsid w:val="0049715C"/>
    <w:rsid w:val="00497E4F"/>
    <w:rsid w:val="00497F1E"/>
    <w:rsid w:val="004A05BD"/>
    <w:rsid w:val="004A0A39"/>
    <w:rsid w:val="004A2242"/>
    <w:rsid w:val="004A2525"/>
    <w:rsid w:val="004A3B69"/>
    <w:rsid w:val="004A502E"/>
    <w:rsid w:val="004A5BF6"/>
    <w:rsid w:val="004A601F"/>
    <w:rsid w:val="004A651B"/>
    <w:rsid w:val="004A6B72"/>
    <w:rsid w:val="004A6FD7"/>
    <w:rsid w:val="004A7302"/>
    <w:rsid w:val="004B029C"/>
    <w:rsid w:val="004B02BA"/>
    <w:rsid w:val="004B0997"/>
    <w:rsid w:val="004B13E6"/>
    <w:rsid w:val="004B355D"/>
    <w:rsid w:val="004B3C8E"/>
    <w:rsid w:val="004B5332"/>
    <w:rsid w:val="004B59D9"/>
    <w:rsid w:val="004B6528"/>
    <w:rsid w:val="004B6939"/>
    <w:rsid w:val="004C0696"/>
    <w:rsid w:val="004C146B"/>
    <w:rsid w:val="004C1670"/>
    <w:rsid w:val="004C227D"/>
    <w:rsid w:val="004C2576"/>
    <w:rsid w:val="004C2E34"/>
    <w:rsid w:val="004C3D19"/>
    <w:rsid w:val="004C76BE"/>
    <w:rsid w:val="004D0AD6"/>
    <w:rsid w:val="004D2E0F"/>
    <w:rsid w:val="004D2ED2"/>
    <w:rsid w:val="004D363A"/>
    <w:rsid w:val="004D58BE"/>
    <w:rsid w:val="004D6BAC"/>
    <w:rsid w:val="004D73F7"/>
    <w:rsid w:val="004D7E04"/>
    <w:rsid w:val="004D7EA3"/>
    <w:rsid w:val="004E1383"/>
    <w:rsid w:val="004E1EB6"/>
    <w:rsid w:val="004E2A4D"/>
    <w:rsid w:val="004E371B"/>
    <w:rsid w:val="004E3BD8"/>
    <w:rsid w:val="004E3E79"/>
    <w:rsid w:val="004E4B92"/>
    <w:rsid w:val="004E68E2"/>
    <w:rsid w:val="004E6989"/>
    <w:rsid w:val="004E744F"/>
    <w:rsid w:val="004F007E"/>
    <w:rsid w:val="004F0359"/>
    <w:rsid w:val="004F09BF"/>
    <w:rsid w:val="004F1205"/>
    <w:rsid w:val="004F1E8E"/>
    <w:rsid w:val="004F24BE"/>
    <w:rsid w:val="004F25FF"/>
    <w:rsid w:val="004F2E88"/>
    <w:rsid w:val="004F32BA"/>
    <w:rsid w:val="004F351D"/>
    <w:rsid w:val="004F4928"/>
    <w:rsid w:val="004F7996"/>
    <w:rsid w:val="005005E3"/>
    <w:rsid w:val="00500BB9"/>
    <w:rsid w:val="00500BD7"/>
    <w:rsid w:val="00502CF6"/>
    <w:rsid w:val="005037DC"/>
    <w:rsid w:val="00503B3B"/>
    <w:rsid w:val="005044BC"/>
    <w:rsid w:val="00504AD0"/>
    <w:rsid w:val="00505BEF"/>
    <w:rsid w:val="00513FA0"/>
    <w:rsid w:val="00515CF3"/>
    <w:rsid w:val="00515FDA"/>
    <w:rsid w:val="00516AC7"/>
    <w:rsid w:val="00516E03"/>
    <w:rsid w:val="00517C49"/>
    <w:rsid w:val="00517DB1"/>
    <w:rsid w:val="00520295"/>
    <w:rsid w:val="005214A6"/>
    <w:rsid w:val="00521713"/>
    <w:rsid w:val="00522135"/>
    <w:rsid w:val="00522B65"/>
    <w:rsid w:val="00523101"/>
    <w:rsid w:val="005233B4"/>
    <w:rsid w:val="005243D6"/>
    <w:rsid w:val="00525061"/>
    <w:rsid w:val="00525CA4"/>
    <w:rsid w:val="00527070"/>
    <w:rsid w:val="0052798E"/>
    <w:rsid w:val="00527CAA"/>
    <w:rsid w:val="00530009"/>
    <w:rsid w:val="005300FF"/>
    <w:rsid w:val="0053048A"/>
    <w:rsid w:val="00531862"/>
    <w:rsid w:val="00531B00"/>
    <w:rsid w:val="00533193"/>
    <w:rsid w:val="00533D49"/>
    <w:rsid w:val="005349BA"/>
    <w:rsid w:val="00534CB6"/>
    <w:rsid w:val="00534FE2"/>
    <w:rsid w:val="00535498"/>
    <w:rsid w:val="00536088"/>
    <w:rsid w:val="00540992"/>
    <w:rsid w:val="00540BF4"/>
    <w:rsid w:val="00541D33"/>
    <w:rsid w:val="005433AD"/>
    <w:rsid w:val="005443DB"/>
    <w:rsid w:val="00544525"/>
    <w:rsid w:val="00544A24"/>
    <w:rsid w:val="0054577B"/>
    <w:rsid w:val="00546509"/>
    <w:rsid w:val="005477DE"/>
    <w:rsid w:val="00547F63"/>
    <w:rsid w:val="00551954"/>
    <w:rsid w:val="00551E20"/>
    <w:rsid w:val="005527A2"/>
    <w:rsid w:val="00552BE3"/>
    <w:rsid w:val="005532B3"/>
    <w:rsid w:val="00553F7A"/>
    <w:rsid w:val="00554131"/>
    <w:rsid w:val="0055487B"/>
    <w:rsid w:val="00554908"/>
    <w:rsid w:val="00554FED"/>
    <w:rsid w:val="00555D83"/>
    <w:rsid w:val="00556645"/>
    <w:rsid w:val="00556B77"/>
    <w:rsid w:val="00556D70"/>
    <w:rsid w:val="00556D7B"/>
    <w:rsid w:val="00557748"/>
    <w:rsid w:val="005608E4"/>
    <w:rsid w:val="00561037"/>
    <w:rsid w:val="00561412"/>
    <w:rsid w:val="005622ED"/>
    <w:rsid w:val="00562C0B"/>
    <w:rsid w:val="0056477D"/>
    <w:rsid w:val="00564F63"/>
    <w:rsid w:val="00565B01"/>
    <w:rsid w:val="005666D8"/>
    <w:rsid w:val="00566BC5"/>
    <w:rsid w:val="005679FD"/>
    <w:rsid w:val="00567E05"/>
    <w:rsid w:val="0057053A"/>
    <w:rsid w:val="00570A2C"/>
    <w:rsid w:val="00570FDC"/>
    <w:rsid w:val="0057140A"/>
    <w:rsid w:val="005721FE"/>
    <w:rsid w:val="00573314"/>
    <w:rsid w:val="00573E27"/>
    <w:rsid w:val="00576C30"/>
    <w:rsid w:val="00577620"/>
    <w:rsid w:val="00577D54"/>
    <w:rsid w:val="00580075"/>
    <w:rsid w:val="00580234"/>
    <w:rsid w:val="005812E6"/>
    <w:rsid w:val="00581BFC"/>
    <w:rsid w:val="00582922"/>
    <w:rsid w:val="00582FEC"/>
    <w:rsid w:val="00584908"/>
    <w:rsid w:val="00585EAA"/>
    <w:rsid w:val="00586DDF"/>
    <w:rsid w:val="00586DE4"/>
    <w:rsid w:val="005873C8"/>
    <w:rsid w:val="00591F19"/>
    <w:rsid w:val="0059226E"/>
    <w:rsid w:val="00592EDE"/>
    <w:rsid w:val="00593649"/>
    <w:rsid w:val="00594CEA"/>
    <w:rsid w:val="00595823"/>
    <w:rsid w:val="00595E2D"/>
    <w:rsid w:val="0059710F"/>
    <w:rsid w:val="00597C08"/>
    <w:rsid w:val="005A0220"/>
    <w:rsid w:val="005A028B"/>
    <w:rsid w:val="005A0524"/>
    <w:rsid w:val="005A1ED5"/>
    <w:rsid w:val="005A2AE9"/>
    <w:rsid w:val="005A3096"/>
    <w:rsid w:val="005A3280"/>
    <w:rsid w:val="005A459C"/>
    <w:rsid w:val="005A62A4"/>
    <w:rsid w:val="005A7E30"/>
    <w:rsid w:val="005B0126"/>
    <w:rsid w:val="005B0140"/>
    <w:rsid w:val="005B034E"/>
    <w:rsid w:val="005B047B"/>
    <w:rsid w:val="005B068B"/>
    <w:rsid w:val="005B1056"/>
    <w:rsid w:val="005B1756"/>
    <w:rsid w:val="005B18ED"/>
    <w:rsid w:val="005B1F27"/>
    <w:rsid w:val="005B257E"/>
    <w:rsid w:val="005B3751"/>
    <w:rsid w:val="005B3B9B"/>
    <w:rsid w:val="005B3BF0"/>
    <w:rsid w:val="005B5280"/>
    <w:rsid w:val="005B5FFC"/>
    <w:rsid w:val="005B6263"/>
    <w:rsid w:val="005B6A0D"/>
    <w:rsid w:val="005B72C9"/>
    <w:rsid w:val="005C1BEF"/>
    <w:rsid w:val="005C2285"/>
    <w:rsid w:val="005C239E"/>
    <w:rsid w:val="005C4271"/>
    <w:rsid w:val="005C43E0"/>
    <w:rsid w:val="005C6937"/>
    <w:rsid w:val="005C7863"/>
    <w:rsid w:val="005D0C6B"/>
    <w:rsid w:val="005D12C9"/>
    <w:rsid w:val="005D196C"/>
    <w:rsid w:val="005D30A7"/>
    <w:rsid w:val="005D6B65"/>
    <w:rsid w:val="005D6F55"/>
    <w:rsid w:val="005D766B"/>
    <w:rsid w:val="005D7A01"/>
    <w:rsid w:val="005E0773"/>
    <w:rsid w:val="005E092B"/>
    <w:rsid w:val="005E15A8"/>
    <w:rsid w:val="005E199E"/>
    <w:rsid w:val="005E1A04"/>
    <w:rsid w:val="005E250B"/>
    <w:rsid w:val="005E2BA1"/>
    <w:rsid w:val="005E2CDA"/>
    <w:rsid w:val="005E34EB"/>
    <w:rsid w:val="005E4D0D"/>
    <w:rsid w:val="005E4DF4"/>
    <w:rsid w:val="005E4ED6"/>
    <w:rsid w:val="005E70E1"/>
    <w:rsid w:val="005F18F0"/>
    <w:rsid w:val="005F2160"/>
    <w:rsid w:val="005F24D7"/>
    <w:rsid w:val="005F27BE"/>
    <w:rsid w:val="005F3FAC"/>
    <w:rsid w:val="005F4059"/>
    <w:rsid w:val="005F41F2"/>
    <w:rsid w:val="005F623B"/>
    <w:rsid w:val="005F63CD"/>
    <w:rsid w:val="005F6CD9"/>
    <w:rsid w:val="005F7920"/>
    <w:rsid w:val="005FAB71"/>
    <w:rsid w:val="00605E7D"/>
    <w:rsid w:val="006063D5"/>
    <w:rsid w:val="006079E5"/>
    <w:rsid w:val="0061099E"/>
    <w:rsid w:val="006109DD"/>
    <w:rsid w:val="00610E66"/>
    <w:rsid w:val="00612062"/>
    <w:rsid w:val="006129FA"/>
    <w:rsid w:val="00612DDB"/>
    <w:rsid w:val="00615A68"/>
    <w:rsid w:val="00615D04"/>
    <w:rsid w:val="00621165"/>
    <w:rsid w:val="00621729"/>
    <w:rsid w:val="00621B3D"/>
    <w:rsid w:val="0062346F"/>
    <w:rsid w:val="0062376D"/>
    <w:rsid w:val="00624E45"/>
    <w:rsid w:val="00624ECD"/>
    <w:rsid w:val="0062528F"/>
    <w:rsid w:val="0062541C"/>
    <w:rsid w:val="00626594"/>
    <w:rsid w:val="00626A04"/>
    <w:rsid w:val="006279E3"/>
    <w:rsid w:val="006309AF"/>
    <w:rsid w:val="00631042"/>
    <w:rsid w:val="0063189E"/>
    <w:rsid w:val="00631BBA"/>
    <w:rsid w:val="00632BA0"/>
    <w:rsid w:val="00633B9C"/>
    <w:rsid w:val="006340A0"/>
    <w:rsid w:val="00634B9A"/>
    <w:rsid w:val="006361BF"/>
    <w:rsid w:val="006367F8"/>
    <w:rsid w:val="006372CF"/>
    <w:rsid w:val="00637861"/>
    <w:rsid w:val="00640430"/>
    <w:rsid w:val="00641533"/>
    <w:rsid w:val="00641B0E"/>
    <w:rsid w:val="00641B1E"/>
    <w:rsid w:val="00642009"/>
    <w:rsid w:val="00643A03"/>
    <w:rsid w:val="00643D96"/>
    <w:rsid w:val="00643EE2"/>
    <w:rsid w:val="006455DE"/>
    <w:rsid w:val="00646118"/>
    <w:rsid w:val="00646592"/>
    <w:rsid w:val="00646609"/>
    <w:rsid w:val="006467CB"/>
    <w:rsid w:val="006468BF"/>
    <w:rsid w:val="0064751B"/>
    <w:rsid w:val="00651CF1"/>
    <w:rsid w:val="00652E3B"/>
    <w:rsid w:val="00654728"/>
    <w:rsid w:val="00654C7E"/>
    <w:rsid w:val="00656FED"/>
    <w:rsid w:val="00657652"/>
    <w:rsid w:val="0065771E"/>
    <w:rsid w:val="00657BAA"/>
    <w:rsid w:val="0066079E"/>
    <w:rsid w:val="006615A1"/>
    <w:rsid w:val="00661FA6"/>
    <w:rsid w:val="0066260B"/>
    <w:rsid w:val="00663841"/>
    <w:rsid w:val="006639FA"/>
    <w:rsid w:val="00663A39"/>
    <w:rsid w:val="00663A83"/>
    <w:rsid w:val="0066468F"/>
    <w:rsid w:val="00664B8C"/>
    <w:rsid w:val="00665369"/>
    <w:rsid w:val="00665F76"/>
    <w:rsid w:val="0066656B"/>
    <w:rsid w:val="0066681A"/>
    <w:rsid w:val="00667BCA"/>
    <w:rsid w:val="00667E90"/>
    <w:rsid w:val="00670B2C"/>
    <w:rsid w:val="00671171"/>
    <w:rsid w:val="006723B3"/>
    <w:rsid w:val="00672B98"/>
    <w:rsid w:val="00676727"/>
    <w:rsid w:val="00677514"/>
    <w:rsid w:val="0067775F"/>
    <w:rsid w:val="00677897"/>
    <w:rsid w:val="00677FE6"/>
    <w:rsid w:val="00680733"/>
    <w:rsid w:val="006815ED"/>
    <w:rsid w:val="00681E76"/>
    <w:rsid w:val="006827C8"/>
    <w:rsid w:val="00684547"/>
    <w:rsid w:val="0068467D"/>
    <w:rsid w:val="0068688C"/>
    <w:rsid w:val="00687D1C"/>
    <w:rsid w:val="006906EB"/>
    <w:rsid w:val="00690928"/>
    <w:rsid w:val="00690CED"/>
    <w:rsid w:val="0069156F"/>
    <w:rsid w:val="00693F01"/>
    <w:rsid w:val="00694B0A"/>
    <w:rsid w:val="00695EBB"/>
    <w:rsid w:val="00695F02"/>
    <w:rsid w:val="00696851"/>
    <w:rsid w:val="00696E4C"/>
    <w:rsid w:val="00696F72"/>
    <w:rsid w:val="00697826"/>
    <w:rsid w:val="006979A5"/>
    <w:rsid w:val="006A100D"/>
    <w:rsid w:val="006A1C77"/>
    <w:rsid w:val="006A1D98"/>
    <w:rsid w:val="006A2973"/>
    <w:rsid w:val="006A2C82"/>
    <w:rsid w:val="006A619C"/>
    <w:rsid w:val="006A6EEF"/>
    <w:rsid w:val="006B0A50"/>
    <w:rsid w:val="006B1336"/>
    <w:rsid w:val="006B1B98"/>
    <w:rsid w:val="006B1DAB"/>
    <w:rsid w:val="006B27EF"/>
    <w:rsid w:val="006B531E"/>
    <w:rsid w:val="006B5F2D"/>
    <w:rsid w:val="006B66CE"/>
    <w:rsid w:val="006C1824"/>
    <w:rsid w:val="006C1E78"/>
    <w:rsid w:val="006C1EDB"/>
    <w:rsid w:val="006C28A3"/>
    <w:rsid w:val="006C293D"/>
    <w:rsid w:val="006C2F95"/>
    <w:rsid w:val="006C3341"/>
    <w:rsid w:val="006C3DEA"/>
    <w:rsid w:val="006C4A2A"/>
    <w:rsid w:val="006C5184"/>
    <w:rsid w:val="006C58C7"/>
    <w:rsid w:val="006D01BB"/>
    <w:rsid w:val="006D1571"/>
    <w:rsid w:val="006D19FB"/>
    <w:rsid w:val="006D23A5"/>
    <w:rsid w:val="006D3874"/>
    <w:rsid w:val="006D605B"/>
    <w:rsid w:val="006D68B8"/>
    <w:rsid w:val="006D70C4"/>
    <w:rsid w:val="006D7AB0"/>
    <w:rsid w:val="006D7D0C"/>
    <w:rsid w:val="006E1492"/>
    <w:rsid w:val="006E20CF"/>
    <w:rsid w:val="006E2210"/>
    <w:rsid w:val="006E2642"/>
    <w:rsid w:val="006E2F37"/>
    <w:rsid w:val="006E5DD3"/>
    <w:rsid w:val="006E64D9"/>
    <w:rsid w:val="006E7488"/>
    <w:rsid w:val="006F06DF"/>
    <w:rsid w:val="006F3034"/>
    <w:rsid w:val="006F3119"/>
    <w:rsid w:val="006F33AD"/>
    <w:rsid w:val="006F3429"/>
    <w:rsid w:val="006F3DAB"/>
    <w:rsid w:val="006F49AD"/>
    <w:rsid w:val="006F4B71"/>
    <w:rsid w:val="006F6584"/>
    <w:rsid w:val="006F6602"/>
    <w:rsid w:val="006F6F45"/>
    <w:rsid w:val="006F7240"/>
    <w:rsid w:val="006F7291"/>
    <w:rsid w:val="007004BB"/>
    <w:rsid w:val="00700DA7"/>
    <w:rsid w:val="00700FFD"/>
    <w:rsid w:val="007011EB"/>
    <w:rsid w:val="007014CA"/>
    <w:rsid w:val="00702806"/>
    <w:rsid w:val="007043D5"/>
    <w:rsid w:val="0070445E"/>
    <w:rsid w:val="007044C1"/>
    <w:rsid w:val="00704512"/>
    <w:rsid w:val="00706280"/>
    <w:rsid w:val="0070654E"/>
    <w:rsid w:val="00706F77"/>
    <w:rsid w:val="00707D73"/>
    <w:rsid w:val="0071031B"/>
    <w:rsid w:val="0071098E"/>
    <w:rsid w:val="0071261B"/>
    <w:rsid w:val="007136B1"/>
    <w:rsid w:val="007148C0"/>
    <w:rsid w:val="007150AB"/>
    <w:rsid w:val="007151A5"/>
    <w:rsid w:val="00715473"/>
    <w:rsid w:val="007165F3"/>
    <w:rsid w:val="00716CD6"/>
    <w:rsid w:val="0071720F"/>
    <w:rsid w:val="0071725D"/>
    <w:rsid w:val="00717870"/>
    <w:rsid w:val="00717B27"/>
    <w:rsid w:val="00720816"/>
    <w:rsid w:val="00721438"/>
    <w:rsid w:val="00721F14"/>
    <w:rsid w:val="00723850"/>
    <w:rsid w:val="007263D0"/>
    <w:rsid w:val="00726A3B"/>
    <w:rsid w:val="00730929"/>
    <w:rsid w:val="007315E4"/>
    <w:rsid w:val="007320F0"/>
    <w:rsid w:val="00732525"/>
    <w:rsid w:val="00732647"/>
    <w:rsid w:val="00734BA5"/>
    <w:rsid w:val="00735146"/>
    <w:rsid w:val="00736558"/>
    <w:rsid w:val="00736945"/>
    <w:rsid w:val="0073701C"/>
    <w:rsid w:val="007372D7"/>
    <w:rsid w:val="00737753"/>
    <w:rsid w:val="007379AF"/>
    <w:rsid w:val="00741F08"/>
    <w:rsid w:val="00742BE9"/>
    <w:rsid w:val="007430F7"/>
    <w:rsid w:val="0074517F"/>
    <w:rsid w:val="007465DA"/>
    <w:rsid w:val="00746FB0"/>
    <w:rsid w:val="007472C1"/>
    <w:rsid w:val="00747B16"/>
    <w:rsid w:val="00750B2A"/>
    <w:rsid w:val="00751864"/>
    <w:rsid w:val="00754F6A"/>
    <w:rsid w:val="007550A8"/>
    <w:rsid w:val="00756CCE"/>
    <w:rsid w:val="007570F5"/>
    <w:rsid w:val="0076035A"/>
    <w:rsid w:val="00761F11"/>
    <w:rsid w:val="00762AC5"/>
    <w:rsid w:val="0076326F"/>
    <w:rsid w:val="007635D5"/>
    <w:rsid w:val="00764AAF"/>
    <w:rsid w:val="0076546F"/>
    <w:rsid w:val="00766056"/>
    <w:rsid w:val="00766224"/>
    <w:rsid w:val="00767237"/>
    <w:rsid w:val="00767B33"/>
    <w:rsid w:val="00767F43"/>
    <w:rsid w:val="00770436"/>
    <w:rsid w:val="00774113"/>
    <w:rsid w:val="00776A89"/>
    <w:rsid w:val="007770A5"/>
    <w:rsid w:val="00777A32"/>
    <w:rsid w:val="00777B94"/>
    <w:rsid w:val="00777BFF"/>
    <w:rsid w:val="00782038"/>
    <w:rsid w:val="00783FD1"/>
    <w:rsid w:val="007842EC"/>
    <w:rsid w:val="007845BA"/>
    <w:rsid w:val="007856C1"/>
    <w:rsid w:val="00785B60"/>
    <w:rsid w:val="007863CA"/>
    <w:rsid w:val="007863EE"/>
    <w:rsid w:val="007871C5"/>
    <w:rsid w:val="00791084"/>
    <w:rsid w:val="00791C86"/>
    <w:rsid w:val="007920B4"/>
    <w:rsid w:val="00794987"/>
    <w:rsid w:val="007952BC"/>
    <w:rsid w:val="0079536A"/>
    <w:rsid w:val="00795A57"/>
    <w:rsid w:val="007961A8"/>
    <w:rsid w:val="007961FD"/>
    <w:rsid w:val="00796BF0"/>
    <w:rsid w:val="007A0128"/>
    <w:rsid w:val="007A0284"/>
    <w:rsid w:val="007A1161"/>
    <w:rsid w:val="007A1AD5"/>
    <w:rsid w:val="007A2DD3"/>
    <w:rsid w:val="007A30E3"/>
    <w:rsid w:val="007A3595"/>
    <w:rsid w:val="007A3FDE"/>
    <w:rsid w:val="007A4B1F"/>
    <w:rsid w:val="007A4EF0"/>
    <w:rsid w:val="007A52AD"/>
    <w:rsid w:val="007A572E"/>
    <w:rsid w:val="007A5A1D"/>
    <w:rsid w:val="007A5AB4"/>
    <w:rsid w:val="007A60A7"/>
    <w:rsid w:val="007A671B"/>
    <w:rsid w:val="007A7895"/>
    <w:rsid w:val="007B23C1"/>
    <w:rsid w:val="007B30C7"/>
    <w:rsid w:val="007B5027"/>
    <w:rsid w:val="007B627E"/>
    <w:rsid w:val="007B646B"/>
    <w:rsid w:val="007B6DA4"/>
    <w:rsid w:val="007B7342"/>
    <w:rsid w:val="007C0A30"/>
    <w:rsid w:val="007C0D1D"/>
    <w:rsid w:val="007C16EA"/>
    <w:rsid w:val="007C218D"/>
    <w:rsid w:val="007C219C"/>
    <w:rsid w:val="007C233D"/>
    <w:rsid w:val="007C3996"/>
    <w:rsid w:val="007C3A85"/>
    <w:rsid w:val="007C3E8A"/>
    <w:rsid w:val="007C41CC"/>
    <w:rsid w:val="007C437E"/>
    <w:rsid w:val="007C48AE"/>
    <w:rsid w:val="007C58FF"/>
    <w:rsid w:val="007C6104"/>
    <w:rsid w:val="007D06C7"/>
    <w:rsid w:val="007D13DC"/>
    <w:rsid w:val="007D1EF6"/>
    <w:rsid w:val="007D2557"/>
    <w:rsid w:val="007D2A0C"/>
    <w:rsid w:val="007D3408"/>
    <w:rsid w:val="007D3BAE"/>
    <w:rsid w:val="007D6667"/>
    <w:rsid w:val="007D6ACC"/>
    <w:rsid w:val="007D6F5D"/>
    <w:rsid w:val="007D6FC2"/>
    <w:rsid w:val="007D6FFC"/>
    <w:rsid w:val="007D7E0A"/>
    <w:rsid w:val="007E1353"/>
    <w:rsid w:val="007E199F"/>
    <w:rsid w:val="007E1CA1"/>
    <w:rsid w:val="007E258F"/>
    <w:rsid w:val="007E2691"/>
    <w:rsid w:val="007E3758"/>
    <w:rsid w:val="007E69ED"/>
    <w:rsid w:val="007E6CD9"/>
    <w:rsid w:val="007E6E5D"/>
    <w:rsid w:val="007E76C5"/>
    <w:rsid w:val="007E7BC0"/>
    <w:rsid w:val="007F1B16"/>
    <w:rsid w:val="007F1BC6"/>
    <w:rsid w:val="007F1DB6"/>
    <w:rsid w:val="007F235F"/>
    <w:rsid w:val="007F2385"/>
    <w:rsid w:val="007F241D"/>
    <w:rsid w:val="007F2F29"/>
    <w:rsid w:val="007F3148"/>
    <w:rsid w:val="007F3B22"/>
    <w:rsid w:val="007F4241"/>
    <w:rsid w:val="007F55D0"/>
    <w:rsid w:val="007F6C60"/>
    <w:rsid w:val="007F7908"/>
    <w:rsid w:val="007F7FCE"/>
    <w:rsid w:val="00800AF8"/>
    <w:rsid w:val="00800D7E"/>
    <w:rsid w:val="00801501"/>
    <w:rsid w:val="0080414C"/>
    <w:rsid w:val="008051C0"/>
    <w:rsid w:val="0080539E"/>
    <w:rsid w:val="008064CD"/>
    <w:rsid w:val="00806767"/>
    <w:rsid w:val="00806C34"/>
    <w:rsid w:val="00807B77"/>
    <w:rsid w:val="00810C28"/>
    <w:rsid w:val="0081155F"/>
    <w:rsid w:val="00811FC6"/>
    <w:rsid w:val="00812257"/>
    <w:rsid w:val="008141E8"/>
    <w:rsid w:val="00814429"/>
    <w:rsid w:val="00814617"/>
    <w:rsid w:val="0081523E"/>
    <w:rsid w:val="00815452"/>
    <w:rsid w:val="00815785"/>
    <w:rsid w:val="0081600E"/>
    <w:rsid w:val="0081637E"/>
    <w:rsid w:val="0081717F"/>
    <w:rsid w:val="0081724A"/>
    <w:rsid w:val="0081725E"/>
    <w:rsid w:val="008178DA"/>
    <w:rsid w:val="008216A3"/>
    <w:rsid w:val="00822900"/>
    <w:rsid w:val="00823C65"/>
    <w:rsid w:val="008252E7"/>
    <w:rsid w:val="00827DB5"/>
    <w:rsid w:val="00830AEC"/>
    <w:rsid w:val="00830AF1"/>
    <w:rsid w:val="00831D6C"/>
    <w:rsid w:val="00832AD0"/>
    <w:rsid w:val="00832BBD"/>
    <w:rsid w:val="008344FB"/>
    <w:rsid w:val="008346EA"/>
    <w:rsid w:val="008348C5"/>
    <w:rsid w:val="0083517C"/>
    <w:rsid w:val="00836535"/>
    <w:rsid w:val="00837D29"/>
    <w:rsid w:val="008402B9"/>
    <w:rsid w:val="008439C3"/>
    <w:rsid w:val="008440B2"/>
    <w:rsid w:val="00844F52"/>
    <w:rsid w:val="0084550E"/>
    <w:rsid w:val="00845B45"/>
    <w:rsid w:val="008460EC"/>
    <w:rsid w:val="00847E5C"/>
    <w:rsid w:val="008516B4"/>
    <w:rsid w:val="00851C25"/>
    <w:rsid w:val="00851F50"/>
    <w:rsid w:val="00851FAE"/>
    <w:rsid w:val="008521DC"/>
    <w:rsid w:val="00853110"/>
    <w:rsid w:val="00853E3E"/>
    <w:rsid w:val="00853E96"/>
    <w:rsid w:val="008557F6"/>
    <w:rsid w:val="00855F49"/>
    <w:rsid w:val="0085615D"/>
    <w:rsid w:val="00857CBD"/>
    <w:rsid w:val="008618F6"/>
    <w:rsid w:val="00862B8B"/>
    <w:rsid w:val="0086315C"/>
    <w:rsid w:val="008639FE"/>
    <w:rsid w:val="008641A5"/>
    <w:rsid w:val="00864336"/>
    <w:rsid w:val="0086476E"/>
    <w:rsid w:val="00864CC1"/>
    <w:rsid w:val="00865403"/>
    <w:rsid w:val="00865C71"/>
    <w:rsid w:val="00865D84"/>
    <w:rsid w:val="00865E37"/>
    <w:rsid w:val="00866DE3"/>
    <w:rsid w:val="008704AA"/>
    <w:rsid w:val="0087094C"/>
    <w:rsid w:val="00870EE6"/>
    <w:rsid w:val="00871C3D"/>
    <w:rsid w:val="00871ECF"/>
    <w:rsid w:val="00872E2D"/>
    <w:rsid w:val="00874168"/>
    <w:rsid w:val="0087481C"/>
    <w:rsid w:val="0087565B"/>
    <w:rsid w:val="00877499"/>
    <w:rsid w:val="00877732"/>
    <w:rsid w:val="00877F0A"/>
    <w:rsid w:val="008826BA"/>
    <w:rsid w:val="0088304D"/>
    <w:rsid w:val="00883091"/>
    <w:rsid w:val="008831CA"/>
    <w:rsid w:val="008852DC"/>
    <w:rsid w:val="008859DC"/>
    <w:rsid w:val="0088604C"/>
    <w:rsid w:val="0088713F"/>
    <w:rsid w:val="0088748B"/>
    <w:rsid w:val="008876B7"/>
    <w:rsid w:val="0089111F"/>
    <w:rsid w:val="00892889"/>
    <w:rsid w:val="00892928"/>
    <w:rsid w:val="00892D43"/>
    <w:rsid w:val="00893143"/>
    <w:rsid w:val="00893D88"/>
    <w:rsid w:val="00896B72"/>
    <w:rsid w:val="00896BF8"/>
    <w:rsid w:val="00896C26"/>
    <w:rsid w:val="008A0D8D"/>
    <w:rsid w:val="008A0E2F"/>
    <w:rsid w:val="008A18FE"/>
    <w:rsid w:val="008A1E7B"/>
    <w:rsid w:val="008A2850"/>
    <w:rsid w:val="008A28F1"/>
    <w:rsid w:val="008A300F"/>
    <w:rsid w:val="008A43C7"/>
    <w:rsid w:val="008A567A"/>
    <w:rsid w:val="008A612B"/>
    <w:rsid w:val="008A622F"/>
    <w:rsid w:val="008A6853"/>
    <w:rsid w:val="008A7CC8"/>
    <w:rsid w:val="008B1456"/>
    <w:rsid w:val="008B2480"/>
    <w:rsid w:val="008B3382"/>
    <w:rsid w:val="008B355A"/>
    <w:rsid w:val="008B4C2E"/>
    <w:rsid w:val="008B5640"/>
    <w:rsid w:val="008B6784"/>
    <w:rsid w:val="008C1AC3"/>
    <w:rsid w:val="008C1F35"/>
    <w:rsid w:val="008C459F"/>
    <w:rsid w:val="008C47AF"/>
    <w:rsid w:val="008C4D17"/>
    <w:rsid w:val="008C6149"/>
    <w:rsid w:val="008C61B8"/>
    <w:rsid w:val="008C6695"/>
    <w:rsid w:val="008C67AE"/>
    <w:rsid w:val="008C7876"/>
    <w:rsid w:val="008C7BC7"/>
    <w:rsid w:val="008D0B15"/>
    <w:rsid w:val="008D42D5"/>
    <w:rsid w:val="008D431F"/>
    <w:rsid w:val="008D51D3"/>
    <w:rsid w:val="008D58E7"/>
    <w:rsid w:val="008E33DC"/>
    <w:rsid w:val="008E3A0F"/>
    <w:rsid w:val="008E3FF1"/>
    <w:rsid w:val="008E527F"/>
    <w:rsid w:val="008E658C"/>
    <w:rsid w:val="008E6A91"/>
    <w:rsid w:val="008E708F"/>
    <w:rsid w:val="008E7E07"/>
    <w:rsid w:val="008F08EC"/>
    <w:rsid w:val="008F13D9"/>
    <w:rsid w:val="008F159E"/>
    <w:rsid w:val="008F18FB"/>
    <w:rsid w:val="008F31D4"/>
    <w:rsid w:val="008F4717"/>
    <w:rsid w:val="008F6756"/>
    <w:rsid w:val="008F72D7"/>
    <w:rsid w:val="008F733A"/>
    <w:rsid w:val="008F7FBA"/>
    <w:rsid w:val="00900B43"/>
    <w:rsid w:val="00900E00"/>
    <w:rsid w:val="00901D2C"/>
    <w:rsid w:val="00902016"/>
    <w:rsid w:val="00902D53"/>
    <w:rsid w:val="00904AE6"/>
    <w:rsid w:val="00904D51"/>
    <w:rsid w:val="009058BF"/>
    <w:rsid w:val="0090623A"/>
    <w:rsid w:val="00906644"/>
    <w:rsid w:val="009078C2"/>
    <w:rsid w:val="00907BFA"/>
    <w:rsid w:val="00910510"/>
    <w:rsid w:val="00910F70"/>
    <w:rsid w:val="00914222"/>
    <w:rsid w:val="00914301"/>
    <w:rsid w:val="00914D70"/>
    <w:rsid w:val="00915113"/>
    <w:rsid w:val="009159A2"/>
    <w:rsid w:val="0091681D"/>
    <w:rsid w:val="0091684D"/>
    <w:rsid w:val="00917169"/>
    <w:rsid w:val="009176F2"/>
    <w:rsid w:val="00920D2B"/>
    <w:rsid w:val="009222A7"/>
    <w:rsid w:val="0092322C"/>
    <w:rsid w:val="0092407A"/>
    <w:rsid w:val="00924257"/>
    <w:rsid w:val="00924E49"/>
    <w:rsid w:val="009256E8"/>
    <w:rsid w:val="00925CF6"/>
    <w:rsid w:val="00925D96"/>
    <w:rsid w:val="00927A46"/>
    <w:rsid w:val="0093200C"/>
    <w:rsid w:val="00932AE2"/>
    <w:rsid w:val="00932B92"/>
    <w:rsid w:val="009356A1"/>
    <w:rsid w:val="0093591D"/>
    <w:rsid w:val="00935C5F"/>
    <w:rsid w:val="00936277"/>
    <w:rsid w:val="009400A4"/>
    <w:rsid w:val="0094212E"/>
    <w:rsid w:val="009436FD"/>
    <w:rsid w:val="00943A04"/>
    <w:rsid w:val="00944482"/>
    <w:rsid w:val="00944C7C"/>
    <w:rsid w:val="00944EB6"/>
    <w:rsid w:val="00945AA3"/>
    <w:rsid w:val="00946CEC"/>
    <w:rsid w:val="0095042D"/>
    <w:rsid w:val="00951D77"/>
    <w:rsid w:val="0095211C"/>
    <w:rsid w:val="009521F5"/>
    <w:rsid w:val="0095277F"/>
    <w:rsid w:val="00952DF5"/>
    <w:rsid w:val="009536E0"/>
    <w:rsid w:val="009547ED"/>
    <w:rsid w:val="00954EAF"/>
    <w:rsid w:val="00960B0C"/>
    <w:rsid w:val="0096139E"/>
    <w:rsid w:val="00961FD3"/>
    <w:rsid w:val="00962AEA"/>
    <w:rsid w:val="00962CEC"/>
    <w:rsid w:val="009640AA"/>
    <w:rsid w:val="0096436C"/>
    <w:rsid w:val="00964C37"/>
    <w:rsid w:val="0096537F"/>
    <w:rsid w:val="00965F01"/>
    <w:rsid w:val="0096609D"/>
    <w:rsid w:val="00966F5D"/>
    <w:rsid w:val="0096714A"/>
    <w:rsid w:val="00967A08"/>
    <w:rsid w:val="00967D7D"/>
    <w:rsid w:val="00970287"/>
    <w:rsid w:val="009713EE"/>
    <w:rsid w:val="00972691"/>
    <w:rsid w:val="00973EE7"/>
    <w:rsid w:val="00974677"/>
    <w:rsid w:val="00974AD1"/>
    <w:rsid w:val="00976D78"/>
    <w:rsid w:val="00982C64"/>
    <w:rsid w:val="00983500"/>
    <w:rsid w:val="00983CE9"/>
    <w:rsid w:val="0098491E"/>
    <w:rsid w:val="009851E7"/>
    <w:rsid w:val="0098521D"/>
    <w:rsid w:val="009859B0"/>
    <w:rsid w:val="00985C5B"/>
    <w:rsid w:val="00991995"/>
    <w:rsid w:val="0099429A"/>
    <w:rsid w:val="009947E5"/>
    <w:rsid w:val="009950C9"/>
    <w:rsid w:val="00996A8B"/>
    <w:rsid w:val="009971AB"/>
    <w:rsid w:val="009973A2"/>
    <w:rsid w:val="00997833"/>
    <w:rsid w:val="009A14D8"/>
    <w:rsid w:val="009A1B13"/>
    <w:rsid w:val="009A1DEC"/>
    <w:rsid w:val="009A20E4"/>
    <w:rsid w:val="009A2339"/>
    <w:rsid w:val="009A3001"/>
    <w:rsid w:val="009A3803"/>
    <w:rsid w:val="009A4D20"/>
    <w:rsid w:val="009A4E15"/>
    <w:rsid w:val="009A529F"/>
    <w:rsid w:val="009A58C5"/>
    <w:rsid w:val="009A60A2"/>
    <w:rsid w:val="009A649F"/>
    <w:rsid w:val="009B00CB"/>
    <w:rsid w:val="009B02C8"/>
    <w:rsid w:val="009B0A29"/>
    <w:rsid w:val="009B142C"/>
    <w:rsid w:val="009B1BF7"/>
    <w:rsid w:val="009B1EBC"/>
    <w:rsid w:val="009B2DAA"/>
    <w:rsid w:val="009B3BD1"/>
    <w:rsid w:val="009B47B8"/>
    <w:rsid w:val="009B48B1"/>
    <w:rsid w:val="009B5189"/>
    <w:rsid w:val="009B5502"/>
    <w:rsid w:val="009B5906"/>
    <w:rsid w:val="009B6BBD"/>
    <w:rsid w:val="009B6BD8"/>
    <w:rsid w:val="009B77F0"/>
    <w:rsid w:val="009B7DBD"/>
    <w:rsid w:val="009B7E64"/>
    <w:rsid w:val="009C0971"/>
    <w:rsid w:val="009C1C50"/>
    <w:rsid w:val="009C284D"/>
    <w:rsid w:val="009C46FB"/>
    <w:rsid w:val="009C4CB3"/>
    <w:rsid w:val="009C5900"/>
    <w:rsid w:val="009C5BC9"/>
    <w:rsid w:val="009D0136"/>
    <w:rsid w:val="009D1228"/>
    <w:rsid w:val="009D1687"/>
    <w:rsid w:val="009D1CEA"/>
    <w:rsid w:val="009D24B5"/>
    <w:rsid w:val="009D2A6B"/>
    <w:rsid w:val="009D3B88"/>
    <w:rsid w:val="009D50CE"/>
    <w:rsid w:val="009D549B"/>
    <w:rsid w:val="009D5C44"/>
    <w:rsid w:val="009D7FD3"/>
    <w:rsid w:val="009E1744"/>
    <w:rsid w:val="009E20A5"/>
    <w:rsid w:val="009E3282"/>
    <w:rsid w:val="009E3D72"/>
    <w:rsid w:val="009E41CC"/>
    <w:rsid w:val="009E4DCF"/>
    <w:rsid w:val="009E614C"/>
    <w:rsid w:val="009E6431"/>
    <w:rsid w:val="009E6A96"/>
    <w:rsid w:val="009F1BE1"/>
    <w:rsid w:val="009F2657"/>
    <w:rsid w:val="009F2AC3"/>
    <w:rsid w:val="009F3416"/>
    <w:rsid w:val="009F368D"/>
    <w:rsid w:val="009F3823"/>
    <w:rsid w:val="009F3EFC"/>
    <w:rsid w:val="009F41AD"/>
    <w:rsid w:val="009F4816"/>
    <w:rsid w:val="009F6EA4"/>
    <w:rsid w:val="009F7042"/>
    <w:rsid w:val="00A016C4"/>
    <w:rsid w:val="00A01724"/>
    <w:rsid w:val="00A02592"/>
    <w:rsid w:val="00A02957"/>
    <w:rsid w:val="00A0444B"/>
    <w:rsid w:val="00A04731"/>
    <w:rsid w:val="00A06A8C"/>
    <w:rsid w:val="00A103AE"/>
    <w:rsid w:val="00A10655"/>
    <w:rsid w:val="00A10801"/>
    <w:rsid w:val="00A11B1E"/>
    <w:rsid w:val="00A12704"/>
    <w:rsid w:val="00A1281F"/>
    <w:rsid w:val="00A13048"/>
    <w:rsid w:val="00A137C5"/>
    <w:rsid w:val="00A153E7"/>
    <w:rsid w:val="00A15CF4"/>
    <w:rsid w:val="00A1600A"/>
    <w:rsid w:val="00A16F24"/>
    <w:rsid w:val="00A17BA6"/>
    <w:rsid w:val="00A17EFC"/>
    <w:rsid w:val="00A201A6"/>
    <w:rsid w:val="00A204B9"/>
    <w:rsid w:val="00A2070C"/>
    <w:rsid w:val="00A208DD"/>
    <w:rsid w:val="00A21B0B"/>
    <w:rsid w:val="00A226D3"/>
    <w:rsid w:val="00A22725"/>
    <w:rsid w:val="00A22F52"/>
    <w:rsid w:val="00A2314F"/>
    <w:rsid w:val="00A23605"/>
    <w:rsid w:val="00A238C1"/>
    <w:rsid w:val="00A24703"/>
    <w:rsid w:val="00A24AC3"/>
    <w:rsid w:val="00A250A6"/>
    <w:rsid w:val="00A257D6"/>
    <w:rsid w:val="00A260B3"/>
    <w:rsid w:val="00A26AB4"/>
    <w:rsid w:val="00A26DBA"/>
    <w:rsid w:val="00A2747C"/>
    <w:rsid w:val="00A27B27"/>
    <w:rsid w:val="00A300E2"/>
    <w:rsid w:val="00A30989"/>
    <w:rsid w:val="00A30A15"/>
    <w:rsid w:val="00A30E46"/>
    <w:rsid w:val="00A31427"/>
    <w:rsid w:val="00A31471"/>
    <w:rsid w:val="00A344D3"/>
    <w:rsid w:val="00A34B5C"/>
    <w:rsid w:val="00A34BA6"/>
    <w:rsid w:val="00A35051"/>
    <w:rsid w:val="00A35806"/>
    <w:rsid w:val="00A35842"/>
    <w:rsid w:val="00A35F80"/>
    <w:rsid w:val="00A36A25"/>
    <w:rsid w:val="00A37DDC"/>
    <w:rsid w:val="00A40C5E"/>
    <w:rsid w:val="00A410F9"/>
    <w:rsid w:val="00A4211C"/>
    <w:rsid w:val="00A42719"/>
    <w:rsid w:val="00A44594"/>
    <w:rsid w:val="00A44D1D"/>
    <w:rsid w:val="00A44D37"/>
    <w:rsid w:val="00A45165"/>
    <w:rsid w:val="00A46518"/>
    <w:rsid w:val="00A46A24"/>
    <w:rsid w:val="00A4729A"/>
    <w:rsid w:val="00A47524"/>
    <w:rsid w:val="00A5050D"/>
    <w:rsid w:val="00A50A5E"/>
    <w:rsid w:val="00A50AD1"/>
    <w:rsid w:val="00A5335F"/>
    <w:rsid w:val="00A53FE8"/>
    <w:rsid w:val="00A55490"/>
    <w:rsid w:val="00A55BB8"/>
    <w:rsid w:val="00A575EB"/>
    <w:rsid w:val="00A57DAF"/>
    <w:rsid w:val="00A60E82"/>
    <w:rsid w:val="00A61570"/>
    <w:rsid w:val="00A623C3"/>
    <w:rsid w:val="00A628EA"/>
    <w:rsid w:val="00A63D2B"/>
    <w:rsid w:val="00A64060"/>
    <w:rsid w:val="00A6467E"/>
    <w:rsid w:val="00A649D6"/>
    <w:rsid w:val="00A66375"/>
    <w:rsid w:val="00A70317"/>
    <w:rsid w:val="00A70BDA"/>
    <w:rsid w:val="00A70C87"/>
    <w:rsid w:val="00A71CFA"/>
    <w:rsid w:val="00A727D9"/>
    <w:rsid w:val="00A72877"/>
    <w:rsid w:val="00A77CD5"/>
    <w:rsid w:val="00A8147E"/>
    <w:rsid w:val="00A81DA4"/>
    <w:rsid w:val="00A827E1"/>
    <w:rsid w:val="00A847DF"/>
    <w:rsid w:val="00A84A61"/>
    <w:rsid w:val="00A84A88"/>
    <w:rsid w:val="00A8509A"/>
    <w:rsid w:val="00A850B7"/>
    <w:rsid w:val="00A87417"/>
    <w:rsid w:val="00A879D7"/>
    <w:rsid w:val="00A9048C"/>
    <w:rsid w:val="00A90598"/>
    <w:rsid w:val="00A907D7"/>
    <w:rsid w:val="00A9292C"/>
    <w:rsid w:val="00A92A5C"/>
    <w:rsid w:val="00A92BC7"/>
    <w:rsid w:val="00A93906"/>
    <w:rsid w:val="00A93C8E"/>
    <w:rsid w:val="00A94221"/>
    <w:rsid w:val="00A94B2C"/>
    <w:rsid w:val="00A94F2F"/>
    <w:rsid w:val="00A951B4"/>
    <w:rsid w:val="00AA0A0C"/>
    <w:rsid w:val="00AA0BB2"/>
    <w:rsid w:val="00AA13CC"/>
    <w:rsid w:val="00AA1F0D"/>
    <w:rsid w:val="00AA24D3"/>
    <w:rsid w:val="00AA2A81"/>
    <w:rsid w:val="00AA2F35"/>
    <w:rsid w:val="00AA379B"/>
    <w:rsid w:val="00AA5BD1"/>
    <w:rsid w:val="00AA60F9"/>
    <w:rsid w:val="00AA70AC"/>
    <w:rsid w:val="00AA76A4"/>
    <w:rsid w:val="00AA76A7"/>
    <w:rsid w:val="00AA7EC9"/>
    <w:rsid w:val="00AB0410"/>
    <w:rsid w:val="00AB05AC"/>
    <w:rsid w:val="00AB11DB"/>
    <w:rsid w:val="00AB35F4"/>
    <w:rsid w:val="00AB4998"/>
    <w:rsid w:val="00AB4BD5"/>
    <w:rsid w:val="00AC01D5"/>
    <w:rsid w:val="00AC0919"/>
    <w:rsid w:val="00AC27A1"/>
    <w:rsid w:val="00AC2ACD"/>
    <w:rsid w:val="00AC341B"/>
    <w:rsid w:val="00AC3C5A"/>
    <w:rsid w:val="00AC458E"/>
    <w:rsid w:val="00AC4C1B"/>
    <w:rsid w:val="00AC5883"/>
    <w:rsid w:val="00AC74C5"/>
    <w:rsid w:val="00AD03D2"/>
    <w:rsid w:val="00AD0A44"/>
    <w:rsid w:val="00AD0E01"/>
    <w:rsid w:val="00AD10C7"/>
    <w:rsid w:val="00AD1A77"/>
    <w:rsid w:val="00AD2C23"/>
    <w:rsid w:val="00AD3C07"/>
    <w:rsid w:val="00AD55B8"/>
    <w:rsid w:val="00AD5E35"/>
    <w:rsid w:val="00AD60BA"/>
    <w:rsid w:val="00AE00B6"/>
    <w:rsid w:val="00AE0484"/>
    <w:rsid w:val="00AE0F92"/>
    <w:rsid w:val="00AE216A"/>
    <w:rsid w:val="00AE253A"/>
    <w:rsid w:val="00AE2D61"/>
    <w:rsid w:val="00AE33EA"/>
    <w:rsid w:val="00AE4436"/>
    <w:rsid w:val="00AE5BB7"/>
    <w:rsid w:val="00AE6A37"/>
    <w:rsid w:val="00AE7405"/>
    <w:rsid w:val="00AE7507"/>
    <w:rsid w:val="00AF0DC8"/>
    <w:rsid w:val="00AF15C8"/>
    <w:rsid w:val="00AF2A2D"/>
    <w:rsid w:val="00AF5674"/>
    <w:rsid w:val="00AF663E"/>
    <w:rsid w:val="00AF7058"/>
    <w:rsid w:val="00AF7C89"/>
    <w:rsid w:val="00B00547"/>
    <w:rsid w:val="00B01D01"/>
    <w:rsid w:val="00B020DA"/>
    <w:rsid w:val="00B024FD"/>
    <w:rsid w:val="00B0312D"/>
    <w:rsid w:val="00B03D22"/>
    <w:rsid w:val="00B047D2"/>
    <w:rsid w:val="00B05398"/>
    <w:rsid w:val="00B0578D"/>
    <w:rsid w:val="00B06037"/>
    <w:rsid w:val="00B06AE2"/>
    <w:rsid w:val="00B06ECA"/>
    <w:rsid w:val="00B074E6"/>
    <w:rsid w:val="00B1002B"/>
    <w:rsid w:val="00B106A0"/>
    <w:rsid w:val="00B10EF9"/>
    <w:rsid w:val="00B11BAB"/>
    <w:rsid w:val="00B11BC6"/>
    <w:rsid w:val="00B11D80"/>
    <w:rsid w:val="00B11DBD"/>
    <w:rsid w:val="00B131F2"/>
    <w:rsid w:val="00B13403"/>
    <w:rsid w:val="00B13523"/>
    <w:rsid w:val="00B14ED4"/>
    <w:rsid w:val="00B165D4"/>
    <w:rsid w:val="00B16E9B"/>
    <w:rsid w:val="00B17457"/>
    <w:rsid w:val="00B1797A"/>
    <w:rsid w:val="00B214CD"/>
    <w:rsid w:val="00B21B83"/>
    <w:rsid w:val="00B22DF0"/>
    <w:rsid w:val="00B255CD"/>
    <w:rsid w:val="00B2708E"/>
    <w:rsid w:val="00B2789E"/>
    <w:rsid w:val="00B30311"/>
    <w:rsid w:val="00B30689"/>
    <w:rsid w:val="00B30B8D"/>
    <w:rsid w:val="00B319D4"/>
    <w:rsid w:val="00B32493"/>
    <w:rsid w:val="00B336B7"/>
    <w:rsid w:val="00B3398E"/>
    <w:rsid w:val="00B33A9D"/>
    <w:rsid w:val="00B34262"/>
    <w:rsid w:val="00B356BE"/>
    <w:rsid w:val="00B36CC3"/>
    <w:rsid w:val="00B37E23"/>
    <w:rsid w:val="00B40843"/>
    <w:rsid w:val="00B41538"/>
    <w:rsid w:val="00B4263A"/>
    <w:rsid w:val="00B427C7"/>
    <w:rsid w:val="00B44B9B"/>
    <w:rsid w:val="00B44C86"/>
    <w:rsid w:val="00B45689"/>
    <w:rsid w:val="00B459A6"/>
    <w:rsid w:val="00B4605E"/>
    <w:rsid w:val="00B463B7"/>
    <w:rsid w:val="00B470A0"/>
    <w:rsid w:val="00B51A87"/>
    <w:rsid w:val="00B523D8"/>
    <w:rsid w:val="00B54D78"/>
    <w:rsid w:val="00B550F9"/>
    <w:rsid w:val="00B56336"/>
    <w:rsid w:val="00B564A2"/>
    <w:rsid w:val="00B61A30"/>
    <w:rsid w:val="00B61DE7"/>
    <w:rsid w:val="00B636FA"/>
    <w:rsid w:val="00B64F85"/>
    <w:rsid w:val="00B65966"/>
    <w:rsid w:val="00B659BD"/>
    <w:rsid w:val="00B66A5E"/>
    <w:rsid w:val="00B66C5E"/>
    <w:rsid w:val="00B700EE"/>
    <w:rsid w:val="00B7029C"/>
    <w:rsid w:val="00B70A8F"/>
    <w:rsid w:val="00B72151"/>
    <w:rsid w:val="00B7216F"/>
    <w:rsid w:val="00B72419"/>
    <w:rsid w:val="00B72A05"/>
    <w:rsid w:val="00B72EA7"/>
    <w:rsid w:val="00B73130"/>
    <w:rsid w:val="00B73F39"/>
    <w:rsid w:val="00B76185"/>
    <w:rsid w:val="00B76BC1"/>
    <w:rsid w:val="00B76CF2"/>
    <w:rsid w:val="00B77538"/>
    <w:rsid w:val="00B7760E"/>
    <w:rsid w:val="00B77F18"/>
    <w:rsid w:val="00B80139"/>
    <w:rsid w:val="00B80620"/>
    <w:rsid w:val="00B81253"/>
    <w:rsid w:val="00B813E5"/>
    <w:rsid w:val="00B8182C"/>
    <w:rsid w:val="00B81DD7"/>
    <w:rsid w:val="00B82A07"/>
    <w:rsid w:val="00B83AFE"/>
    <w:rsid w:val="00B84780"/>
    <w:rsid w:val="00B85043"/>
    <w:rsid w:val="00B85126"/>
    <w:rsid w:val="00B85232"/>
    <w:rsid w:val="00B85940"/>
    <w:rsid w:val="00B859AB"/>
    <w:rsid w:val="00B86A72"/>
    <w:rsid w:val="00B8767F"/>
    <w:rsid w:val="00B87754"/>
    <w:rsid w:val="00B90FCD"/>
    <w:rsid w:val="00B9299F"/>
    <w:rsid w:val="00B931A9"/>
    <w:rsid w:val="00B937B6"/>
    <w:rsid w:val="00B93A57"/>
    <w:rsid w:val="00B93DF9"/>
    <w:rsid w:val="00B93E5C"/>
    <w:rsid w:val="00B947ED"/>
    <w:rsid w:val="00B94B5B"/>
    <w:rsid w:val="00B97453"/>
    <w:rsid w:val="00B97CD9"/>
    <w:rsid w:val="00BA0A44"/>
    <w:rsid w:val="00BA1892"/>
    <w:rsid w:val="00BA2455"/>
    <w:rsid w:val="00BA2A63"/>
    <w:rsid w:val="00BA2DF0"/>
    <w:rsid w:val="00BA3090"/>
    <w:rsid w:val="00BA332B"/>
    <w:rsid w:val="00BA57F6"/>
    <w:rsid w:val="00BA580A"/>
    <w:rsid w:val="00BA598C"/>
    <w:rsid w:val="00BA5A69"/>
    <w:rsid w:val="00BA65BD"/>
    <w:rsid w:val="00BA7008"/>
    <w:rsid w:val="00BA73AF"/>
    <w:rsid w:val="00BA753E"/>
    <w:rsid w:val="00BA7968"/>
    <w:rsid w:val="00BA79D6"/>
    <w:rsid w:val="00BA7B9B"/>
    <w:rsid w:val="00BB006F"/>
    <w:rsid w:val="00BB1183"/>
    <w:rsid w:val="00BB154B"/>
    <w:rsid w:val="00BB1B7C"/>
    <w:rsid w:val="00BB1EDF"/>
    <w:rsid w:val="00BB2CBA"/>
    <w:rsid w:val="00BB337E"/>
    <w:rsid w:val="00BB3CA9"/>
    <w:rsid w:val="00BB478C"/>
    <w:rsid w:val="00BB5C43"/>
    <w:rsid w:val="00BB613E"/>
    <w:rsid w:val="00BB62F6"/>
    <w:rsid w:val="00BB6995"/>
    <w:rsid w:val="00BB7552"/>
    <w:rsid w:val="00BB781A"/>
    <w:rsid w:val="00BB7AF9"/>
    <w:rsid w:val="00BC0C6F"/>
    <w:rsid w:val="00BC1391"/>
    <w:rsid w:val="00BC139D"/>
    <w:rsid w:val="00BC164F"/>
    <w:rsid w:val="00BC2494"/>
    <w:rsid w:val="00BC2975"/>
    <w:rsid w:val="00BC33B8"/>
    <w:rsid w:val="00BC3C76"/>
    <w:rsid w:val="00BC4841"/>
    <w:rsid w:val="00BC68DC"/>
    <w:rsid w:val="00BC6D88"/>
    <w:rsid w:val="00BC7C38"/>
    <w:rsid w:val="00BD0031"/>
    <w:rsid w:val="00BD0869"/>
    <w:rsid w:val="00BD25A4"/>
    <w:rsid w:val="00BD40EE"/>
    <w:rsid w:val="00BD50C3"/>
    <w:rsid w:val="00BD60B7"/>
    <w:rsid w:val="00BD6197"/>
    <w:rsid w:val="00BD68DA"/>
    <w:rsid w:val="00BD6BDA"/>
    <w:rsid w:val="00BD6C1B"/>
    <w:rsid w:val="00BD6FE3"/>
    <w:rsid w:val="00BE06EB"/>
    <w:rsid w:val="00BE0BB9"/>
    <w:rsid w:val="00BE16DA"/>
    <w:rsid w:val="00BE18F4"/>
    <w:rsid w:val="00BE3130"/>
    <w:rsid w:val="00BE3A82"/>
    <w:rsid w:val="00BE50A7"/>
    <w:rsid w:val="00BE5E63"/>
    <w:rsid w:val="00BF06E9"/>
    <w:rsid w:val="00BF0B6E"/>
    <w:rsid w:val="00BF1698"/>
    <w:rsid w:val="00BF3FF7"/>
    <w:rsid w:val="00BF5316"/>
    <w:rsid w:val="00BF5620"/>
    <w:rsid w:val="00BF6839"/>
    <w:rsid w:val="00BF6ECF"/>
    <w:rsid w:val="00C02977"/>
    <w:rsid w:val="00C0445C"/>
    <w:rsid w:val="00C0454A"/>
    <w:rsid w:val="00C04DE7"/>
    <w:rsid w:val="00C04E42"/>
    <w:rsid w:val="00C06BAA"/>
    <w:rsid w:val="00C071F6"/>
    <w:rsid w:val="00C075DB"/>
    <w:rsid w:val="00C10F70"/>
    <w:rsid w:val="00C118BB"/>
    <w:rsid w:val="00C11DB9"/>
    <w:rsid w:val="00C12993"/>
    <w:rsid w:val="00C12A49"/>
    <w:rsid w:val="00C1388B"/>
    <w:rsid w:val="00C13E2C"/>
    <w:rsid w:val="00C14058"/>
    <w:rsid w:val="00C140FA"/>
    <w:rsid w:val="00C14B20"/>
    <w:rsid w:val="00C1570B"/>
    <w:rsid w:val="00C15C5D"/>
    <w:rsid w:val="00C15C8D"/>
    <w:rsid w:val="00C16780"/>
    <w:rsid w:val="00C21625"/>
    <w:rsid w:val="00C21C2F"/>
    <w:rsid w:val="00C22DCC"/>
    <w:rsid w:val="00C22E2B"/>
    <w:rsid w:val="00C2397C"/>
    <w:rsid w:val="00C25CBD"/>
    <w:rsid w:val="00C31143"/>
    <w:rsid w:val="00C313EC"/>
    <w:rsid w:val="00C3150A"/>
    <w:rsid w:val="00C31626"/>
    <w:rsid w:val="00C318C1"/>
    <w:rsid w:val="00C32BFF"/>
    <w:rsid w:val="00C32C0E"/>
    <w:rsid w:val="00C33272"/>
    <w:rsid w:val="00C34EB3"/>
    <w:rsid w:val="00C3654A"/>
    <w:rsid w:val="00C36BE3"/>
    <w:rsid w:val="00C370AE"/>
    <w:rsid w:val="00C37319"/>
    <w:rsid w:val="00C40E79"/>
    <w:rsid w:val="00C4153B"/>
    <w:rsid w:val="00C41DC2"/>
    <w:rsid w:val="00C43A67"/>
    <w:rsid w:val="00C4578B"/>
    <w:rsid w:val="00C45AF7"/>
    <w:rsid w:val="00C46DDC"/>
    <w:rsid w:val="00C50123"/>
    <w:rsid w:val="00C509BD"/>
    <w:rsid w:val="00C52B73"/>
    <w:rsid w:val="00C52E49"/>
    <w:rsid w:val="00C5402B"/>
    <w:rsid w:val="00C5684E"/>
    <w:rsid w:val="00C56EED"/>
    <w:rsid w:val="00C60709"/>
    <w:rsid w:val="00C608AA"/>
    <w:rsid w:val="00C624F5"/>
    <w:rsid w:val="00C62571"/>
    <w:rsid w:val="00C626C5"/>
    <w:rsid w:val="00C6281C"/>
    <w:rsid w:val="00C630FB"/>
    <w:rsid w:val="00C632EC"/>
    <w:rsid w:val="00C6356C"/>
    <w:rsid w:val="00C63806"/>
    <w:rsid w:val="00C63D06"/>
    <w:rsid w:val="00C646FB"/>
    <w:rsid w:val="00C6495D"/>
    <w:rsid w:val="00C64EFB"/>
    <w:rsid w:val="00C64FB2"/>
    <w:rsid w:val="00C65E6F"/>
    <w:rsid w:val="00C670C6"/>
    <w:rsid w:val="00C7438D"/>
    <w:rsid w:val="00C7495B"/>
    <w:rsid w:val="00C7498B"/>
    <w:rsid w:val="00C75259"/>
    <w:rsid w:val="00C76982"/>
    <w:rsid w:val="00C804CA"/>
    <w:rsid w:val="00C80DA0"/>
    <w:rsid w:val="00C812B2"/>
    <w:rsid w:val="00C814D5"/>
    <w:rsid w:val="00C818E4"/>
    <w:rsid w:val="00C824FE"/>
    <w:rsid w:val="00C82B4B"/>
    <w:rsid w:val="00C82EFB"/>
    <w:rsid w:val="00C83607"/>
    <w:rsid w:val="00C8389B"/>
    <w:rsid w:val="00C840B3"/>
    <w:rsid w:val="00C84452"/>
    <w:rsid w:val="00C844A3"/>
    <w:rsid w:val="00C853F3"/>
    <w:rsid w:val="00C87B62"/>
    <w:rsid w:val="00C90DA1"/>
    <w:rsid w:val="00C911C2"/>
    <w:rsid w:val="00C91618"/>
    <w:rsid w:val="00C92BE2"/>
    <w:rsid w:val="00C93FE8"/>
    <w:rsid w:val="00C97B85"/>
    <w:rsid w:val="00CA057B"/>
    <w:rsid w:val="00CA05AB"/>
    <w:rsid w:val="00CA05C5"/>
    <w:rsid w:val="00CA0ECE"/>
    <w:rsid w:val="00CA160F"/>
    <w:rsid w:val="00CA19D9"/>
    <w:rsid w:val="00CA3906"/>
    <w:rsid w:val="00CA409A"/>
    <w:rsid w:val="00CA57BD"/>
    <w:rsid w:val="00CA6991"/>
    <w:rsid w:val="00CA6FD6"/>
    <w:rsid w:val="00CB0FE3"/>
    <w:rsid w:val="00CB1A3F"/>
    <w:rsid w:val="00CB2571"/>
    <w:rsid w:val="00CB2D55"/>
    <w:rsid w:val="00CB2DD1"/>
    <w:rsid w:val="00CB3228"/>
    <w:rsid w:val="00CB408E"/>
    <w:rsid w:val="00CB44F5"/>
    <w:rsid w:val="00CB5894"/>
    <w:rsid w:val="00CB5A01"/>
    <w:rsid w:val="00CB6B2B"/>
    <w:rsid w:val="00CC0294"/>
    <w:rsid w:val="00CC0617"/>
    <w:rsid w:val="00CC094E"/>
    <w:rsid w:val="00CC19F6"/>
    <w:rsid w:val="00CC2167"/>
    <w:rsid w:val="00CC2A3C"/>
    <w:rsid w:val="00CC4AFA"/>
    <w:rsid w:val="00CC5BB2"/>
    <w:rsid w:val="00CC633A"/>
    <w:rsid w:val="00CC7D7D"/>
    <w:rsid w:val="00CD0840"/>
    <w:rsid w:val="00CD15CA"/>
    <w:rsid w:val="00CD19E2"/>
    <w:rsid w:val="00CD46C9"/>
    <w:rsid w:val="00CD493B"/>
    <w:rsid w:val="00CD536E"/>
    <w:rsid w:val="00CD654F"/>
    <w:rsid w:val="00CD6E90"/>
    <w:rsid w:val="00CD6FDE"/>
    <w:rsid w:val="00CE05F0"/>
    <w:rsid w:val="00CE2087"/>
    <w:rsid w:val="00CE262D"/>
    <w:rsid w:val="00CE30F2"/>
    <w:rsid w:val="00CE3F5E"/>
    <w:rsid w:val="00CE4CF1"/>
    <w:rsid w:val="00CE7578"/>
    <w:rsid w:val="00CF0BEE"/>
    <w:rsid w:val="00CF1000"/>
    <w:rsid w:val="00CF1CE9"/>
    <w:rsid w:val="00CF337F"/>
    <w:rsid w:val="00CF35A0"/>
    <w:rsid w:val="00CF3D50"/>
    <w:rsid w:val="00CF5D5E"/>
    <w:rsid w:val="00CF61C4"/>
    <w:rsid w:val="00CF6651"/>
    <w:rsid w:val="00CF66AA"/>
    <w:rsid w:val="00D0043B"/>
    <w:rsid w:val="00D04076"/>
    <w:rsid w:val="00D041C0"/>
    <w:rsid w:val="00D04466"/>
    <w:rsid w:val="00D0736B"/>
    <w:rsid w:val="00D073BE"/>
    <w:rsid w:val="00D07CFC"/>
    <w:rsid w:val="00D07D10"/>
    <w:rsid w:val="00D07FEB"/>
    <w:rsid w:val="00D11CED"/>
    <w:rsid w:val="00D11F7B"/>
    <w:rsid w:val="00D12DAF"/>
    <w:rsid w:val="00D12DB3"/>
    <w:rsid w:val="00D13BA6"/>
    <w:rsid w:val="00D14697"/>
    <w:rsid w:val="00D15B7F"/>
    <w:rsid w:val="00D15BFF"/>
    <w:rsid w:val="00D1664B"/>
    <w:rsid w:val="00D17C6F"/>
    <w:rsid w:val="00D234FC"/>
    <w:rsid w:val="00D23E0F"/>
    <w:rsid w:val="00D24AE0"/>
    <w:rsid w:val="00D252B5"/>
    <w:rsid w:val="00D25D68"/>
    <w:rsid w:val="00D274B2"/>
    <w:rsid w:val="00D30A6B"/>
    <w:rsid w:val="00D312CD"/>
    <w:rsid w:val="00D31E8C"/>
    <w:rsid w:val="00D324C7"/>
    <w:rsid w:val="00D341A6"/>
    <w:rsid w:val="00D3494A"/>
    <w:rsid w:val="00D360D1"/>
    <w:rsid w:val="00D3628D"/>
    <w:rsid w:val="00D3636E"/>
    <w:rsid w:val="00D36634"/>
    <w:rsid w:val="00D36B32"/>
    <w:rsid w:val="00D37C23"/>
    <w:rsid w:val="00D37D2F"/>
    <w:rsid w:val="00D40616"/>
    <w:rsid w:val="00D42235"/>
    <w:rsid w:val="00D42BA9"/>
    <w:rsid w:val="00D43FD9"/>
    <w:rsid w:val="00D46070"/>
    <w:rsid w:val="00D46DC1"/>
    <w:rsid w:val="00D479FB"/>
    <w:rsid w:val="00D51583"/>
    <w:rsid w:val="00D52167"/>
    <w:rsid w:val="00D5263A"/>
    <w:rsid w:val="00D5321F"/>
    <w:rsid w:val="00D5369E"/>
    <w:rsid w:val="00D5412A"/>
    <w:rsid w:val="00D5412C"/>
    <w:rsid w:val="00D54FC1"/>
    <w:rsid w:val="00D5653C"/>
    <w:rsid w:val="00D56BC3"/>
    <w:rsid w:val="00D57478"/>
    <w:rsid w:val="00D60208"/>
    <w:rsid w:val="00D61249"/>
    <w:rsid w:val="00D614FE"/>
    <w:rsid w:val="00D61600"/>
    <w:rsid w:val="00D61ED8"/>
    <w:rsid w:val="00D62405"/>
    <w:rsid w:val="00D6298F"/>
    <w:rsid w:val="00D62F10"/>
    <w:rsid w:val="00D631BA"/>
    <w:rsid w:val="00D639F2"/>
    <w:rsid w:val="00D67121"/>
    <w:rsid w:val="00D70401"/>
    <w:rsid w:val="00D70728"/>
    <w:rsid w:val="00D70F88"/>
    <w:rsid w:val="00D7292C"/>
    <w:rsid w:val="00D72BB0"/>
    <w:rsid w:val="00D7325D"/>
    <w:rsid w:val="00D741A0"/>
    <w:rsid w:val="00D7657C"/>
    <w:rsid w:val="00D802E3"/>
    <w:rsid w:val="00D81199"/>
    <w:rsid w:val="00D82DCF"/>
    <w:rsid w:val="00D82FB8"/>
    <w:rsid w:val="00D83DCA"/>
    <w:rsid w:val="00D84210"/>
    <w:rsid w:val="00D84776"/>
    <w:rsid w:val="00D84B83"/>
    <w:rsid w:val="00D8571E"/>
    <w:rsid w:val="00D90867"/>
    <w:rsid w:val="00D90A82"/>
    <w:rsid w:val="00D90C5B"/>
    <w:rsid w:val="00D90E94"/>
    <w:rsid w:val="00D916E4"/>
    <w:rsid w:val="00D91A18"/>
    <w:rsid w:val="00D91B40"/>
    <w:rsid w:val="00D92B1A"/>
    <w:rsid w:val="00D93C5D"/>
    <w:rsid w:val="00D940D6"/>
    <w:rsid w:val="00D951F9"/>
    <w:rsid w:val="00D95397"/>
    <w:rsid w:val="00D955DE"/>
    <w:rsid w:val="00D95C6A"/>
    <w:rsid w:val="00D97629"/>
    <w:rsid w:val="00D97E58"/>
    <w:rsid w:val="00DA131F"/>
    <w:rsid w:val="00DA27E3"/>
    <w:rsid w:val="00DA2A28"/>
    <w:rsid w:val="00DA2D98"/>
    <w:rsid w:val="00DA34B2"/>
    <w:rsid w:val="00DA441C"/>
    <w:rsid w:val="00DA54B5"/>
    <w:rsid w:val="00DA587F"/>
    <w:rsid w:val="00DA5DEF"/>
    <w:rsid w:val="00DA616F"/>
    <w:rsid w:val="00DA677C"/>
    <w:rsid w:val="00DA6F6E"/>
    <w:rsid w:val="00DA70AF"/>
    <w:rsid w:val="00DA748C"/>
    <w:rsid w:val="00DB13CF"/>
    <w:rsid w:val="00DB2011"/>
    <w:rsid w:val="00DB5F6E"/>
    <w:rsid w:val="00DB78BF"/>
    <w:rsid w:val="00DB7A41"/>
    <w:rsid w:val="00DC00EE"/>
    <w:rsid w:val="00DC0785"/>
    <w:rsid w:val="00DC0ADF"/>
    <w:rsid w:val="00DC0B05"/>
    <w:rsid w:val="00DC0FD8"/>
    <w:rsid w:val="00DC259A"/>
    <w:rsid w:val="00DC2FEB"/>
    <w:rsid w:val="00DC3109"/>
    <w:rsid w:val="00DC37C9"/>
    <w:rsid w:val="00DC3BE5"/>
    <w:rsid w:val="00DC59AA"/>
    <w:rsid w:val="00DC616F"/>
    <w:rsid w:val="00DC67C2"/>
    <w:rsid w:val="00DC74D2"/>
    <w:rsid w:val="00DC79D0"/>
    <w:rsid w:val="00DD2058"/>
    <w:rsid w:val="00DD2186"/>
    <w:rsid w:val="00DD26CC"/>
    <w:rsid w:val="00DD3090"/>
    <w:rsid w:val="00DD3E99"/>
    <w:rsid w:val="00DD4112"/>
    <w:rsid w:val="00DD4FAC"/>
    <w:rsid w:val="00DD5813"/>
    <w:rsid w:val="00DD5E59"/>
    <w:rsid w:val="00DD6F83"/>
    <w:rsid w:val="00DD7872"/>
    <w:rsid w:val="00DE0F2A"/>
    <w:rsid w:val="00DE1198"/>
    <w:rsid w:val="00DE2AFA"/>
    <w:rsid w:val="00DE3740"/>
    <w:rsid w:val="00DE3D04"/>
    <w:rsid w:val="00DE3DF1"/>
    <w:rsid w:val="00DE499D"/>
    <w:rsid w:val="00DE500D"/>
    <w:rsid w:val="00DF0906"/>
    <w:rsid w:val="00DF0A85"/>
    <w:rsid w:val="00DF2501"/>
    <w:rsid w:val="00DF276A"/>
    <w:rsid w:val="00DF2A1B"/>
    <w:rsid w:val="00DF2B5C"/>
    <w:rsid w:val="00DF4D84"/>
    <w:rsid w:val="00DF4EB9"/>
    <w:rsid w:val="00DF64D2"/>
    <w:rsid w:val="00DF7CE0"/>
    <w:rsid w:val="00E004CE"/>
    <w:rsid w:val="00E020E8"/>
    <w:rsid w:val="00E026FF"/>
    <w:rsid w:val="00E02C05"/>
    <w:rsid w:val="00E036A2"/>
    <w:rsid w:val="00E0442A"/>
    <w:rsid w:val="00E05A42"/>
    <w:rsid w:val="00E06862"/>
    <w:rsid w:val="00E10030"/>
    <w:rsid w:val="00E10BDF"/>
    <w:rsid w:val="00E12020"/>
    <w:rsid w:val="00E12463"/>
    <w:rsid w:val="00E12490"/>
    <w:rsid w:val="00E12F38"/>
    <w:rsid w:val="00E138E3"/>
    <w:rsid w:val="00E1534D"/>
    <w:rsid w:val="00E1567D"/>
    <w:rsid w:val="00E1630B"/>
    <w:rsid w:val="00E16CFE"/>
    <w:rsid w:val="00E20EA4"/>
    <w:rsid w:val="00E2347E"/>
    <w:rsid w:val="00E23B57"/>
    <w:rsid w:val="00E255A3"/>
    <w:rsid w:val="00E30277"/>
    <w:rsid w:val="00E305AE"/>
    <w:rsid w:val="00E31A89"/>
    <w:rsid w:val="00E31DF1"/>
    <w:rsid w:val="00E3237D"/>
    <w:rsid w:val="00E32C55"/>
    <w:rsid w:val="00E3484C"/>
    <w:rsid w:val="00E364D8"/>
    <w:rsid w:val="00E36A50"/>
    <w:rsid w:val="00E37B32"/>
    <w:rsid w:val="00E40A4F"/>
    <w:rsid w:val="00E41D2E"/>
    <w:rsid w:val="00E4209D"/>
    <w:rsid w:val="00E42306"/>
    <w:rsid w:val="00E427C1"/>
    <w:rsid w:val="00E4411C"/>
    <w:rsid w:val="00E4420C"/>
    <w:rsid w:val="00E45A6F"/>
    <w:rsid w:val="00E46557"/>
    <w:rsid w:val="00E46B7C"/>
    <w:rsid w:val="00E51EB5"/>
    <w:rsid w:val="00E52727"/>
    <w:rsid w:val="00E528D7"/>
    <w:rsid w:val="00E52B5F"/>
    <w:rsid w:val="00E53ABD"/>
    <w:rsid w:val="00E5422F"/>
    <w:rsid w:val="00E54575"/>
    <w:rsid w:val="00E549FD"/>
    <w:rsid w:val="00E56329"/>
    <w:rsid w:val="00E601AC"/>
    <w:rsid w:val="00E60DB6"/>
    <w:rsid w:val="00E6108E"/>
    <w:rsid w:val="00E610E1"/>
    <w:rsid w:val="00E61880"/>
    <w:rsid w:val="00E62F62"/>
    <w:rsid w:val="00E63105"/>
    <w:rsid w:val="00E63717"/>
    <w:rsid w:val="00E652FC"/>
    <w:rsid w:val="00E6565D"/>
    <w:rsid w:val="00E6651C"/>
    <w:rsid w:val="00E6687D"/>
    <w:rsid w:val="00E67D1C"/>
    <w:rsid w:val="00E67F3C"/>
    <w:rsid w:val="00E7164C"/>
    <w:rsid w:val="00E725BA"/>
    <w:rsid w:val="00E731E0"/>
    <w:rsid w:val="00E73396"/>
    <w:rsid w:val="00E739D7"/>
    <w:rsid w:val="00E74C1F"/>
    <w:rsid w:val="00E81F57"/>
    <w:rsid w:val="00E82597"/>
    <w:rsid w:val="00E82E42"/>
    <w:rsid w:val="00E83263"/>
    <w:rsid w:val="00E83E2A"/>
    <w:rsid w:val="00E867B9"/>
    <w:rsid w:val="00E86B73"/>
    <w:rsid w:val="00E87EBF"/>
    <w:rsid w:val="00E904B2"/>
    <w:rsid w:val="00E905DF"/>
    <w:rsid w:val="00E915EB"/>
    <w:rsid w:val="00E91B5F"/>
    <w:rsid w:val="00E91D7A"/>
    <w:rsid w:val="00E91EFB"/>
    <w:rsid w:val="00E9282E"/>
    <w:rsid w:val="00E92877"/>
    <w:rsid w:val="00E94D10"/>
    <w:rsid w:val="00E95855"/>
    <w:rsid w:val="00E960BA"/>
    <w:rsid w:val="00E97970"/>
    <w:rsid w:val="00EA3213"/>
    <w:rsid w:val="00EA3245"/>
    <w:rsid w:val="00EA3698"/>
    <w:rsid w:val="00EA37BF"/>
    <w:rsid w:val="00EA457A"/>
    <w:rsid w:val="00EA4F6B"/>
    <w:rsid w:val="00EA5254"/>
    <w:rsid w:val="00EA60E5"/>
    <w:rsid w:val="00EA6794"/>
    <w:rsid w:val="00EA728A"/>
    <w:rsid w:val="00EA7576"/>
    <w:rsid w:val="00EB0465"/>
    <w:rsid w:val="00EB1EB8"/>
    <w:rsid w:val="00EB1EEE"/>
    <w:rsid w:val="00EB2033"/>
    <w:rsid w:val="00EB34E4"/>
    <w:rsid w:val="00EB47D2"/>
    <w:rsid w:val="00EB62BC"/>
    <w:rsid w:val="00EB7F22"/>
    <w:rsid w:val="00EC020A"/>
    <w:rsid w:val="00EC05A4"/>
    <w:rsid w:val="00EC107D"/>
    <w:rsid w:val="00EC1B73"/>
    <w:rsid w:val="00EC2A52"/>
    <w:rsid w:val="00EC30DD"/>
    <w:rsid w:val="00EC3360"/>
    <w:rsid w:val="00EC48EB"/>
    <w:rsid w:val="00EC4FE9"/>
    <w:rsid w:val="00EC5D18"/>
    <w:rsid w:val="00EC6CF1"/>
    <w:rsid w:val="00EC6EFA"/>
    <w:rsid w:val="00EC70DC"/>
    <w:rsid w:val="00ED38A8"/>
    <w:rsid w:val="00ED5266"/>
    <w:rsid w:val="00EE0251"/>
    <w:rsid w:val="00EE10D7"/>
    <w:rsid w:val="00EE1556"/>
    <w:rsid w:val="00EE1B54"/>
    <w:rsid w:val="00EE21D5"/>
    <w:rsid w:val="00EE26EE"/>
    <w:rsid w:val="00EE3BF2"/>
    <w:rsid w:val="00EE4D35"/>
    <w:rsid w:val="00EE5622"/>
    <w:rsid w:val="00EE5AEC"/>
    <w:rsid w:val="00EE67A7"/>
    <w:rsid w:val="00EE6B3A"/>
    <w:rsid w:val="00EE6C54"/>
    <w:rsid w:val="00EE70EB"/>
    <w:rsid w:val="00EE7465"/>
    <w:rsid w:val="00EF0204"/>
    <w:rsid w:val="00EF026B"/>
    <w:rsid w:val="00EF08D3"/>
    <w:rsid w:val="00EF0EEC"/>
    <w:rsid w:val="00EF1BC8"/>
    <w:rsid w:val="00EF269A"/>
    <w:rsid w:val="00EF378E"/>
    <w:rsid w:val="00EF38F1"/>
    <w:rsid w:val="00EF5603"/>
    <w:rsid w:val="00EF66B1"/>
    <w:rsid w:val="00EF7666"/>
    <w:rsid w:val="00EF7DF2"/>
    <w:rsid w:val="00EF7EDC"/>
    <w:rsid w:val="00F00710"/>
    <w:rsid w:val="00F00E34"/>
    <w:rsid w:val="00F014E8"/>
    <w:rsid w:val="00F01A12"/>
    <w:rsid w:val="00F03ED0"/>
    <w:rsid w:val="00F0469F"/>
    <w:rsid w:val="00F05DCB"/>
    <w:rsid w:val="00F072B4"/>
    <w:rsid w:val="00F07906"/>
    <w:rsid w:val="00F07955"/>
    <w:rsid w:val="00F07E11"/>
    <w:rsid w:val="00F10FF6"/>
    <w:rsid w:val="00F125C3"/>
    <w:rsid w:val="00F12A0B"/>
    <w:rsid w:val="00F13B45"/>
    <w:rsid w:val="00F15472"/>
    <w:rsid w:val="00F154A2"/>
    <w:rsid w:val="00F154D7"/>
    <w:rsid w:val="00F20204"/>
    <w:rsid w:val="00F20783"/>
    <w:rsid w:val="00F23009"/>
    <w:rsid w:val="00F23DE5"/>
    <w:rsid w:val="00F269D4"/>
    <w:rsid w:val="00F26FDF"/>
    <w:rsid w:val="00F27211"/>
    <w:rsid w:val="00F278D9"/>
    <w:rsid w:val="00F3061F"/>
    <w:rsid w:val="00F30AFF"/>
    <w:rsid w:val="00F31A8D"/>
    <w:rsid w:val="00F31D77"/>
    <w:rsid w:val="00F31DB5"/>
    <w:rsid w:val="00F32065"/>
    <w:rsid w:val="00F3359D"/>
    <w:rsid w:val="00F336E1"/>
    <w:rsid w:val="00F348BB"/>
    <w:rsid w:val="00F34C92"/>
    <w:rsid w:val="00F367A8"/>
    <w:rsid w:val="00F37332"/>
    <w:rsid w:val="00F37970"/>
    <w:rsid w:val="00F379B2"/>
    <w:rsid w:val="00F401A0"/>
    <w:rsid w:val="00F40AA8"/>
    <w:rsid w:val="00F40B63"/>
    <w:rsid w:val="00F42CDE"/>
    <w:rsid w:val="00F430DD"/>
    <w:rsid w:val="00F436DF"/>
    <w:rsid w:val="00F43E11"/>
    <w:rsid w:val="00F4439E"/>
    <w:rsid w:val="00F445DE"/>
    <w:rsid w:val="00F44AFD"/>
    <w:rsid w:val="00F44DF1"/>
    <w:rsid w:val="00F45FBC"/>
    <w:rsid w:val="00F4621D"/>
    <w:rsid w:val="00F466C2"/>
    <w:rsid w:val="00F470A7"/>
    <w:rsid w:val="00F47E99"/>
    <w:rsid w:val="00F47F2C"/>
    <w:rsid w:val="00F500B0"/>
    <w:rsid w:val="00F5042E"/>
    <w:rsid w:val="00F504E8"/>
    <w:rsid w:val="00F50D31"/>
    <w:rsid w:val="00F52DEF"/>
    <w:rsid w:val="00F53B6C"/>
    <w:rsid w:val="00F5444A"/>
    <w:rsid w:val="00F54F21"/>
    <w:rsid w:val="00F572CA"/>
    <w:rsid w:val="00F6013F"/>
    <w:rsid w:val="00F6019F"/>
    <w:rsid w:val="00F60260"/>
    <w:rsid w:val="00F6058C"/>
    <w:rsid w:val="00F60B0F"/>
    <w:rsid w:val="00F60C0F"/>
    <w:rsid w:val="00F62C2F"/>
    <w:rsid w:val="00F64536"/>
    <w:rsid w:val="00F65ED0"/>
    <w:rsid w:val="00F66C27"/>
    <w:rsid w:val="00F66DC0"/>
    <w:rsid w:val="00F67B94"/>
    <w:rsid w:val="00F7040D"/>
    <w:rsid w:val="00F7072E"/>
    <w:rsid w:val="00F70EE4"/>
    <w:rsid w:val="00F713B4"/>
    <w:rsid w:val="00F72C83"/>
    <w:rsid w:val="00F7303B"/>
    <w:rsid w:val="00F7395F"/>
    <w:rsid w:val="00F73E0E"/>
    <w:rsid w:val="00F73FCD"/>
    <w:rsid w:val="00F74035"/>
    <w:rsid w:val="00F7433F"/>
    <w:rsid w:val="00F75441"/>
    <w:rsid w:val="00F75EFA"/>
    <w:rsid w:val="00F768F5"/>
    <w:rsid w:val="00F77208"/>
    <w:rsid w:val="00F804FA"/>
    <w:rsid w:val="00F808A5"/>
    <w:rsid w:val="00F816A3"/>
    <w:rsid w:val="00F8201F"/>
    <w:rsid w:val="00F83EB4"/>
    <w:rsid w:val="00F84774"/>
    <w:rsid w:val="00F84C57"/>
    <w:rsid w:val="00F84DB5"/>
    <w:rsid w:val="00F8531F"/>
    <w:rsid w:val="00F85539"/>
    <w:rsid w:val="00F860BA"/>
    <w:rsid w:val="00F86A58"/>
    <w:rsid w:val="00F86D88"/>
    <w:rsid w:val="00F875D2"/>
    <w:rsid w:val="00F900AE"/>
    <w:rsid w:val="00F9162D"/>
    <w:rsid w:val="00F9173C"/>
    <w:rsid w:val="00F9217B"/>
    <w:rsid w:val="00F92C44"/>
    <w:rsid w:val="00F92DE8"/>
    <w:rsid w:val="00F9316F"/>
    <w:rsid w:val="00F94088"/>
    <w:rsid w:val="00F96137"/>
    <w:rsid w:val="00F96570"/>
    <w:rsid w:val="00FA085C"/>
    <w:rsid w:val="00FA1AB5"/>
    <w:rsid w:val="00FA234B"/>
    <w:rsid w:val="00FA2F2F"/>
    <w:rsid w:val="00FA3642"/>
    <w:rsid w:val="00FA3F30"/>
    <w:rsid w:val="00FA4490"/>
    <w:rsid w:val="00FA4ED5"/>
    <w:rsid w:val="00FA5326"/>
    <w:rsid w:val="00FA5B22"/>
    <w:rsid w:val="00FA705F"/>
    <w:rsid w:val="00FA7465"/>
    <w:rsid w:val="00FB0DB3"/>
    <w:rsid w:val="00FB1DD5"/>
    <w:rsid w:val="00FB26C0"/>
    <w:rsid w:val="00FB28CB"/>
    <w:rsid w:val="00FB290E"/>
    <w:rsid w:val="00FB2AD9"/>
    <w:rsid w:val="00FB30B2"/>
    <w:rsid w:val="00FB3129"/>
    <w:rsid w:val="00FB4266"/>
    <w:rsid w:val="00FB5ABF"/>
    <w:rsid w:val="00FB677D"/>
    <w:rsid w:val="00FB6809"/>
    <w:rsid w:val="00FB79C7"/>
    <w:rsid w:val="00FC37C7"/>
    <w:rsid w:val="00FC58C9"/>
    <w:rsid w:val="00FC6257"/>
    <w:rsid w:val="00FC741C"/>
    <w:rsid w:val="00FD0BFD"/>
    <w:rsid w:val="00FD1B65"/>
    <w:rsid w:val="00FD36B5"/>
    <w:rsid w:val="00FD4651"/>
    <w:rsid w:val="00FD5D2A"/>
    <w:rsid w:val="00FD69F6"/>
    <w:rsid w:val="00FD6B25"/>
    <w:rsid w:val="00FD6D55"/>
    <w:rsid w:val="00FD6FCD"/>
    <w:rsid w:val="00FD7CDB"/>
    <w:rsid w:val="00FE03E0"/>
    <w:rsid w:val="00FE058D"/>
    <w:rsid w:val="00FE09F8"/>
    <w:rsid w:val="00FE100D"/>
    <w:rsid w:val="00FE1A78"/>
    <w:rsid w:val="00FE20DF"/>
    <w:rsid w:val="00FE229D"/>
    <w:rsid w:val="00FE3E72"/>
    <w:rsid w:val="00FE57B6"/>
    <w:rsid w:val="00FE584A"/>
    <w:rsid w:val="00FE5966"/>
    <w:rsid w:val="00FE6D4B"/>
    <w:rsid w:val="00FE7006"/>
    <w:rsid w:val="00FF2277"/>
    <w:rsid w:val="00FF38AF"/>
    <w:rsid w:val="00FF4B3E"/>
    <w:rsid w:val="00FF4FC6"/>
    <w:rsid w:val="00FF5EDD"/>
    <w:rsid w:val="00FF6880"/>
    <w:rsid w:val="00FF6EA5"/>
    <w:rsid w:val="01078403"/>
    <w:rsid w:val="01D8EDAB"/>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B0824C"/>
  <w15:docId w15:val="{92D1196E-9F05-48FF-9014-AB76AE72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qFormat/>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iPriority w:val="99"/>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Definition">
    <w:name w:val="Definition"/>
    <w:aliases w:val="dd"/>
    <w:basedOn w:val="Normal"/>
    <w:rsid w:val="0076326F"/>
    <w:pPr>
      <w:tabs>
        <w:tab w:val="clear" w:pos="567"/>
      </w:tabs>
      <w:overflowPunct/>
      <w:autoSpaceDE/>
      <w:autoSpaceDN/>
      <w:adjustRightInd/>
      <w:spacing w:before="180"/>
      <w:ind w:left="1134"/>
      <w:textAlignment w:val="auto"/>
    </w:pPr>
    <w:rPr>
      <w:rFonts w:ascii="Times New Roman" w:hAnsi="Times New Roman"/>
      <w:sz w:val="22"/>
      <w:szCs w:val="20"/>
      <w:lang w:eastAsia="en-AU"/>
    </w:rPr>
  </w:style>
  <w:style w:type="paragraph" w:customStyle="1" w:styleId="ldp1a1">
    <w:name w:val="ldp1a"/>
    <w:basedOn w:val="Normal"/>
    <w:rsid w:val="0071720F"/>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36845188">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05145716">
      <w:bodyDiv w:val="1"/>
      <w:marLeft w:val="0"/>
      <w:marRight w:val="0"/>
      <w:marTop w:val="0"/>
      <w:marBottom w:val="0"/>
      <w:divBdr>
        <w:top w:val="none" w:sz="0" w:space="0" w:color="auto"/>
        <w:left w:val="none" w:sz="0" w:space="0" w:color="auto"/>
        <w:bottom w:val="none" w:sz="0" w:space="0" w:color="auto"/>
        <w:right w:val="none" w:sz="0" w:space="0" w:color="auto"/>
      </w:divBdr>
    </w:div>
    <w:div w:id="205684096">
      <w:bodyDiv w:val="1"/>
      <w:marLeft w:val="0"/>
      <w:marRight w:val="0"/>
      <w:marTop w:val="0"/>
      <w:marBottom w:val="0"/>
      <w:divBdr>
        <w:top w:val="none" w:sz="0" w:space="0" w:color="auto"/>
        <w:left w:val="none" w:sz="0" w:space="0" w:color="auto"/>
        <w:bottom w:val="none" w:sz="0" w:space="0" w:color="auto"/>
        <w:right w:val="none" w:sz="0" w:space="0" w:color="auto"/>
      </w:divBdr>
    </w:div>
    <w:div w:id="240262254">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537161903">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1CFF69-B578-4B96-9641-5759DBA42D71}">
  <ds:schemaRefs>
    <ds:schemaRef ds:uri="http://schemas.openxmlformats.org/officeDocument/2006/bibliography"/>
  </ds:schemaRefs>
</ds:datastoreItem>
</file>

<file path=customXml/itemProps2.xml><?xml version="1.0" encoding="utf-8"?>
<ds:datastoreItem xmlns:ds="http://schemas.openxmlformats.org/officeDocument/2006/customXml" ds:itemID="{128E96C2-AE70-4124-B41A-6B30845194ED}"/>
</file>

<file path=customXml/itemProps3.xml><?xml version="1.0" encoding="utf-8"?>
<ds:datastoreItem xmlns:ds="http://schemas.openxmlformats.org/officeDocument/2006/customXml" ds:itemID="{A74B2F3E-ED3C-4C40-B2E4-72831770541E}"/>
</file>

<file path=customXml/itemProps4.xml><?xml version="1.0" encoding="utf-8"?>
<ds:datastoreItem xmlns:ds="http://schemas.openxmlformats.org/officeDocument/2006/customXml" ds:itemID="{CD4AF6AA-91BB-4F8E-8E84-361356AA2CFF}"/>
</file>

<file path=docProps/app.xml><?xml version="1.0" encoding="utf-8"?>
<Properties xmlns="http://schemas.openxmlformats.org/officeDocument/2006/extended-properties" xmlns:vt="http://schemas.openxmlformats.org/officeDocument/2006/docPropsVTypes">
  <Template>Normal.dotm</Template>
  <TotalTime>1</TotalTime>
  <Pages>14</Pages>
  <Words>5210</Words>
  <Characters>29700</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CASA EX41/22 – Explanatory Statement</vt:lpstr>
    </vt:vector>
  </TitlesOfParts>
  <Company>Civil Aviation Safety Authority</Company>
  <LinksUpToDate>false</LinksUpToDate>
  <CharactersWithSpaces>34841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EX41/22 – Explanatory Statement</dc:title>
  <dc:subject>Amendment of CASA EX82/21 – Instrument (No. 1) 2022</dc:subject>
  <dc:creator>Civil Aviation Safety Authority</dc:creator>
  <cp:lastModifiedBy>Spesyvy, Nadia</cp:lastModifiedBy>
  <cp:revision>2</cp:revision>
  <cp:lastPrinted>2021-04-01T17:34:00Z</cp:lastPrinted>
  <dcterms:created xsi:type="dcterms:W3CDTF">2022-05-02T04:00:00Z</dcterms:created>
  <dcterms:modified xsi:type="dcterms:W3CDTF">2022-05-02T04:00:00Z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