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E8567D" w14:paraId="1464544B" w14:textId="77777777" w:rsidTr="00A22E0D">
        <w:tc>
          <w:tcPr>
            <w:tcW w:w="4661" w:type="dxa"/>
          </w:tcPr>
          <w:p w14:paraId="14645448" w14:textId="382FEC66" w:rsidR="00672FD6" w:rsidRPr="00822733" w:rsidRDefault="00291416" w:rsidP="0002756A">
            <w:pPr>
              <w:rPr>
                <w:b/>
                <w:sz w:val="32"/>
                <w:szCs w:val="32"/>
              </w:rPr>
            </w:pPr>
            <w:r>
              <w:rPr>
                <w:b/>
                <w:sz w:val="32"/>
                <w:szCs w:val="32"/>
              </w:rPr>
              <w:t>AASB</w:t>
            </w:r>
            <w:r w:rsidR="0002756A">
              <w:rPr>
                <w:b/>
                <w:sz w:val="32"/>
                <w:szCs w:val="32"/>
              </w:rPr>
              <w:t xml:space="preserve"> </w:t>
            </w:r>
            <w:r w:rsidR="00262C85">
              <w:rPr>
                <w:b/>
                <w:sz w:val="32"/>
                <w:szCs w:val="32"/>
              </w:rPr>
              <w:t>Standard</w:t>
            </w:r>
          </w:p>
        </w:tc>
        <w:tc>
          <w:tcPr>
            <w:tcW w:w="4661" w:type="dxa"/>
          </w:tcPr>
          <w:p w14:paraId="14645449" w14:textId="0D684CFD" w:rsidR="00090A6F" w:rsidRPr="00E8567D" w:rsidRDefault="001C1F06">
            <w:pPr>
              <w:pStyle w:val="CoverNumber"/>
            </w:pPr>
            <w:r>
              <w:t xml:space="preserve">AASB </w:t>
            </w:r>
            <w:r w:rsidR="00262C85">
              <w:t>202</w:t>
            </w:r>
            <w:r w:rsidR="00E07BFC">
              <w:t>2</w:t>
            </w:r>
            <w:r w:rsidR="00262C85">
              <w:t>-</w:t>
            </w:r>
            <w:r w:rsidR="00EF4C87">
              <w:t>3</w:t>
            </w:r>
          </w:p>
          <w:p w14:paraId="1464544A" w14:textId="6057A283" w:rsidR="00090A6F" w:rsidRPr="00E8567D" w:rsidRDefault="00C116AF" w:rsidP="00066BC5">
            <w:pPr>
              <w:pStyle w:val="CoverDate"/>
            </w:pPr>
            <w:bookmarkStart w:id="0" w:name="DocDate"/>
            <w:r>
              <w:t>May</w:t>
            </w:r>
            <w:r w:rsidR="004D46F9" w:rsidRPr="00E8567D">
              <w:t xml:space="preserve"> </w:t>
            </w:r>
            <w:r w:rsidR="00EC0D2C">
              <w:t>20</w:t>
            </w:r>
            <w:r w:rsidR="00387E3D">
              <w:t>2</w:t>
            </w:r>
            <w:r w:rsidR="00EC0D2C">
              <w:t>2</w:t>
            </w:r>
            <w:bookmarkEnd w:id="0"/>
          </w:p>
        </w:tc>
      </w:tr>
    </w:tbl>
    <w:p w14:paraId="1464544C" w14:textId="0722D5C1" w:rsidR="008561BE" w:rsidRPr="00F9696E" w:rsidRDefault="00194960" w:rsidP="00A95EB1">
      <w:pPr>
        <w:pStyle w:val="CoverTitle"/>
        <w:jc w:val="left"/>
      </w:pPr>
      <w:bookmarkStart w:id="1" w:name="_Hlk88827507"/>
      <w:bookmarkStart w:id="2" w:name="DocTitle"/>
      <w:r w:rsidRPr="00194960">
        <w:t xml:space="preserve">Amendments </w:t>
      </w:r>
      <w:r w:rsidR="00057F8A">
        <w:t>t</w:t>
      </w:r>
      <w:r w:rsidRPr="00194960">
        <w:t xml:space="preserve">o Australian Accounting Standards – Illustrative Examples </w:t>
      </w:r>
      <w:r>
        <w:t>for</w:t>
      </w:r>
      <w:r w:rsidRPr="00194960">
        <w:t xml:space="preserve"> Not-</w:t>
      </w:r>
      <w:r w:rsidR="00627CA7">
        <w:t>f</w:t>
      </w:r>
      <w:r w:rsidRPr="00194960">
        <w:t xml:space="preserve">or-Profit Entities </w:t>
      </w:r>
      <w:r w:rsidR="00B72ED1">
        <w:t>a</w:t>
      </w:r>
      <w:r w:rsidRPr="00194960">
        <w:t xml:space="preserve">ccompanying </w:t>
      </w:r>
      <w:r w:rsidR="00082881" w:rsidRPr="00A95EB1">
        <w:t xml:space="preserve">AASB </w:t>
      </w:r>
      <w:bookmarkEnd w:id="1"/>
      <w:bookmarkEnd w:id="2"/>
      <w:r w:rsidR="00082881" w:rsidRPr="00A95EB1">
        <w:t>15</w:t>
      </w:r>
    </w:p>
    <w:p w14:paraId="1464544F" w14:textId="44F373D6" w:rsidR="002C0D2E" w:rsidRPr="0017603E" w:rsidRDefault="008B643A" w:rsidP="0006790B">
      <w:pPr>
        <w:pStyle w:val="CoverTitle"/>
        <w:widowControl w:val="0"/>
        <w:suppressAutoHyphens/>
        <w:spacing w:before="0" w:after="0"/>
        <w:jc w:val="left"/>
        <w:outlineLvl w:val="0"/>
        <w:rPr>
          <w:sz w:val="40"/>
          <w:szCs w:val="40"/>
        </w:rPr>
        <w:sectPr w:rsidR="002C0D2E" w:rsidRPr="0017603E" w:rsidSect="00D74C6A">
          <w:pgSz w:w="11907" w:h="16840" w:code="9"/>
          <w:pgMar w:top="1418" w:right="1418" w:bottom="1418" w:left="1418" w:header="709" w:footer="709" w:gutter="0"/>
          <w:paperSrc w:first="7" w:other="7"/>
          <w:cols w:space="720"/>
        </w:sectPr>
      </w:pPr>
      <w:r w:rsidRPr="0017603E">
        <w:rPr>
          <w:noProof/>
          <w:sz w:val="40"/>
          <w:szCs w:val="40"/>
        </w:rPr>
        <w:drawing>
          <wp:anchor distT="0" distB="0" distL="114300" distR="114300" simplePos="0" relativeHeight="251658240" behindDoc="0" locked="1" layoutInCell="1" allowOverlap="1" wp14:anchorId="14645660" wp14:editId="40DA64BF">
            <wp:simplePos x="0" y="0"/>
            <wp:positionH relativeFrom="margin">
              <wp:posOffset>0</wp:posOffset>
            </wp:positionH>
            <wp:positionV relativeFrom="margin">
              <wp:align>bottom</wp:align>
            </wp:positionV>
            <wp:extent cx="1677600" cy="1332000"/>
            <wp:effectExtent l="0" t="0" r="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DF9" w:rsidRPr="0017603E">
        <w:rPr>
          <w:sz w:val="40"/>
          <w:szCs w:val="40"/>
        </w:rPr>
        <w:t>[</w:t>
      </w:r>
      <w:bookmarkStart w:id="3" w:name="AmendingNos"/>
      <w:r w:rsidR="00006DF9" w:rsidRPr="0017603E">
        <w:rPr>
          <w:sz w:val="40"/>
          <w:szCs w:val="40"/>
        </w:rPr>
        <w:t>AASB 1</w:t>
      </w:r>
      <w:r w:rsidR="00576EB9">
        <w:rPr>
          <w:sz w:val="40"/>
          <w:szCs w:val="40"/>
        </w:rPr>
        <w:t>5</w:t>
      </w:r>
      <w:bookmarkEnd w:id="3"/>
      <w:r w:rsidR="00AA7D01" w:rsidRPr="0017603E">
        <w:rPr>
          <w:sz w:val="40"/>
          <w:szCs w:val="40"/>
        </w:rPr>
        <w:t>]</w:t>
      </w:r>
    </w:p>
    <w:p w14:paraId="0BC61986" w14:textId="77777777" w:rsidR="00DB08BB" w:rsidRPr="0000292B" w:rsidRDefault="00DB08BB" w:rsidP="00DB08BB">
      <w:pPr>
        <w:pStyle w:val="Heading1"/>
      </w:pPr>
      <w:r w:rsidRPr="0000292B">
        <w:lastRenderedPageBreak/>
        <w:t xml:space="preserve">Obtaining a </w:t>
      </w:r>
      <w:r>
        <w:t>c</w:t>
      </w:r>
      <w:r w:rsidRPr="0000292B">
        <w:t xml:space="preserve">opy of this </w:t>
      </w:r>
      <w:r>
        <w:t>Accounting Standard</w:t>
      </w:r>
    </w:p>
    <w:p w14:paraId="49CDDD01" w14:textId="77777777" w:rsidR="00DB08BB" w:rsidRPr="0000292B" w:rsidRDefault="00DB08BB" w:rsidP="00DB08BB">
      <w:pPr>
        <w:spacing w:after="200"/>
      </w:pPr>
      <w:r w:rsidRPr="0000292B">
        <w:t xml:space="preserve">This </w:t>
      </w:r>
      <w:r>
        <w:t>Standard</w:t>
      </w:r>
      <w:r w:rsidRPr="0000292B">
        <w:t xml:space="preserve"> is available o</w:t>
      </w:r>
      <w:r>
        <w:t>n the AASB website: www.aasb.gov</w:t>
      </w:r>
      <w:r w:rsidRPr="0000292B">
        <w:t>.au.</w:t>
      </w:r>
    </w:p>
    <w:p w14:paraId="79A45975" w14:textId="77777777" w:rsidR="00DB08BB" w:rsidRPr="0000292B" w:rsidRDefault="00DB08BB" w:rsidP="00DB08BB">
      <w:r w:rsidRPr="0000292B">
        <w:t>Australian Accounting Standards Board</w:t>
      </w:r>
    </w:p>
    <w:p w14:paraId="3108E580" w14:textId="77777777" w:rsidR="00DB08BB" w:rsidRPr="0000292B" w:rsidRDefault="00DB08BB" w:rsidP="00DB08BB">
      <w:r>
        <w:t>PO Box 204</w:t>
      </w:r>
    </w:p>
    <w:p w14:paraId="3D592D0D" w14:textId="77777777" w:rsidR="00DB08BB" w:rsidRPr="0000292B" w:rsidRDefault="00DB08BB" w:rsidP="00DB08BB">
      <w:r>
        <w:t>Collins Street West</w:t>
      </w:r>
    </w:p>
    <w:p w14:paraId="2122257D" w14:textId="77777777" w:rsidR="00DB08BB" w:rsidRPr="0000292B" w:rsidRDefault="00DB08BB" w:rsidP="00DB08BB">
      <w:r>
        <w:t>Victoria   8007</w:t>
      </w:r>
    </w:p>
    <w:p w14:paraId="3604F71D" w14:textId="77777777" w:rsidR="00DB08BB" w:rsidRDefault="00DB08BB" w:rsidP="00DB08BB">
      <w:pPr>
        <w:pStyle w:val="CoverContact"/>
        <w:spacing w:after="200"/>
      </w:pPr>
      <w:r w:rsidRPr="0000292B">
        <w:t>AUSTRALIA</w:t>
      </w:r>
    </w:p>
    <w:p w14:paraId="7788F10B" w14:textId="77777777" w:rsidR="00DB08BB" w:rsidRDefault="00DB08BB" w:rsidP="00DB08BB">
      <w:pPr>
        <w:pStyle w:val="CoverContact"/>
      </w:pPr>
      <w:r>
        <w:t>Phone:</w:t>
      </w:r>
      <w:r>
        <w:tab/>
        <w:t>(03) 9617 7600</w:t>
      </w:r>
    </w:p>
    <w:p w14:paraId="5B942735" w14:textId="77777777" w:rsidR="00DB08BB" w:rsidRDefault="00DB08BB" w:rsidP="00DB08BB">
      <w:pPr>
        <w:pStyle w:val="CoverContact"/>
      </w:pPr>
      <w:r>
        <w:t>E-mail:</w:t>
      </w:r>
      <w:r>
        <w:tab/>
        <w:t>standard@aasb.gov</w:t>
      </w:r>
      <w:r w:rsidRPr="00C5022C">
        <w:t>.au</w:t>
      </w:r>
    </w:p>
    <w:p w14:paraId="5DB111F7" w14:textId="77777777" w:rsidR="00DB08BB" w:rsidRPr="00E96D45" w:rsidRDefault="00DB08BB" w:rsidP="00DB08BB">
      <w:pPr>
        <w:pStyle w:val="CoverContact"/>
        <w:spacing w:after="240"/>
      </w:pPr>
      <w:r>
        <w:t>Website:</w:t>
      </w:r>
      <w:r>
        <w:tab/>
        <w:t>www.aasb.gov.au</w:t>
      </w:r>
    </w:p>
    <w:p w14:paraId="6D0B1847" w14:textId="77777777" w:rsidR="00DB08BB" w:rsidRPr="0000292B" w:rsidRDefault="00DB08BB" w:rsidP="00DB08BB">
      <w:pPr>
        <w:pStyle w:val="Heading1"/>
      </w:pPr>
      <w:r w:rsidRPr="0000292B">
        <w:t>Other enquiries</w:t>
      </w:r>
    </w:p>
    <w:p w14:paraId="5DAF5D0B" w14:textId="77777777" w:rsidR="00DB08BB" w:rsidRPr="0000292B" w:rsidRDefault="00DB08BB" w:rsidP="00DB08BB">
      <w:pPr>
        <w:pStyle w:val="CoverContact"/>
      </w:pPr>
      <w:r w:rsidRPr="0000292B">
        <w:t>Phone:</w:t>
      </w:r>
      <w:r w:rsidRPr="0000292B">
        <w:tab/>
        <w:t xml:space="preserve">(03) </w:t>
      </w:r>
      <w:r w:rsidRPr="00B82F15">
        <w:t>9617</w:t>
      </w:r>
      <w:r w:rsidRPr="0000292B">
        <w:t xml:space="preserve"> 7600</w:t>
      </w:r>
    </w:p>
    <w:p w14:paraId="2B915593" w14:textId="77777777" w:rsidR="00DB08BB" w:rsidRPr="0000292B" w:rsidRDefault="00DB08BB" w:rsidP="00DB08BB">
      <w:pPr>
        <w:pStyle w:val="CoverContact"/>
      </w:pPr>
      <w:r>
        <w:t>E-mail:</w:t>
      </w:r>
      <w:r>
        <w:tab/>
        <w:t>standard@aasb.gov</w:t>
      </w:r>
      <w:r w:rsidRPr="0000292B">
        <w:t>.au</w:t>
      </w:r>
    </w:p>
    <w:p w14:paraId="1464545A" w14:textId="77777777" w:rsidR="006C154B" w:rsidRDefault="006C154B" w:rsidP="007A5DD9">
      <w:pPr>
        <w:pStyle w:val="Default"/>
        <w:spacing w:before="7440"/>
        <w:jc w:val="both"/>
        <w:rPr>
          <w:sz w:val="19"/>
          <w:szCs w:val="19"/>
        </w:rPr>
      </w:pPr>
      <w:r w:rsidRPr="00766E15">
        <w:rPr>
          <w:sz w:val="19"/>
          <w:szCs w:val="19"/>
        </w:rPr>
        <w:t xml:space="preserve">COPYRIGHT </w:t>
      </w:r>
    </w:p>
    <w:p w14:paraId="1464545C" w14:textId="5030B7EB" w:rsidR="006C154B" w:rsidRPr="00766E15" w:rsidRDefault="00950C3C" w:rsidP="007A5DD9">
      <w:pPr>
        <w:pStyle w:val="Default"/>
        <w:spacing w:before="100" w:after="100"/>
        <w:jc w:val="both"/>
        <w:rPr>
          <w:sz w:val="20"/>
          <w:szCs w:val="20"/>
        </w:rPr>
      </w:pPr>
      <w:r>
        <w:rPr>
          <w:sz w:val="20"/>
          <w:szCs w:val="20"/>
        </w:rPr>
        <w:t>© Commonwealth of Australia 20</w:t>
      </w:r>
      <w:r w:rsidR="007F4020">
        <w:rPr>
          <w:sz w:val="20"/>
          <w:szCs w:val="20"/>
        </w:rPr>
        <w:t>2</w:t>
      </w:r>
      <w:r w:rsidR="00387E3D">
        <w:rPr>
          <w:sz w:val="20"/>
          <w:szCs w:val="20"/>
        </w:rPr>
        <w:t>2</w:t>
      </w:r>
      <w:r w:rsidR="006C154B" w:rsidRPr="00766E15">
        <w:rPr>
          <w:sz w:val="20"/>
          <w:szCs w:val="20"/>
        </w:rPr>
        <w:t xml:space="preserve"> </w:t>
      </w:r>
    </w:p>
    <w:p w14:paraId="1464545E" w14:textId="47316BA5" w:rsidR="00687ABD" w:rsidRPr="00766E15" w:rsidRDefault="006C154B" w:rsidP="007A5DD9">
      <w:pPr>
        <w:pStyle w:val="Default"/>
        <w:spacing w:after="200"/>
        <w:jc w:val="both"/>
        <w:rPr>
          <w:sz w:val="19"/>
          <w:szCs w:val="19"/>
        </w:rPr>
      </w:pPr>
      <w:r w:rsidRPr="00766E15">
        <w:rPr>
          <w:sz w:val="19"/>
          <w:szCs w:val="19"/>
        </w:rPr>
        <w:t xml:space="preserve">This work is copyright. </w:t>
      </w:r>
      <w:r w:rsidR="00687ABD" w:rsidRPr="00766E15">
        <w:rPr>
          <w:sz w:val="19"/>
          <w:szCs w:val="19"/>
        </w:rPr>
        <w:t xml:space="preserve">Apart from any use as permitted under the </w:t>
      </w:r>
      <w:r w:rsidR="00687ABD" w:rsidRPr="009C60B1">
        <w:rPr>
          <w:i/>
          <w:iCs/>
          <w:sz w:val="19"/>
          <w:szCs w:val="19"/>
        </w:rPr>
        <w:t>Copyright Act 1968</w:t>
      </w:r>
      <w:r w:rsidR="00687ABD" w:rsidRPr="00766E15">
        <w:rPr>
          <w:sz w:val="19"/>
          <w:szCs w:val="19"/>
        </w:rPr>
        <w:t xml:space="preserve">, no part may be reproduced by any process without prior written permission. Requests and enquiries concerning reproduction and rights should be addressed to The National Director, Australian Accounting Standards Board, PO Box 204, Collins Street West, Victoria 8007. </w:t>
      </w:r>
    </w:p>
    <w:p w14:paraId="226B4FB9" w14:textId="77777777" w:rsidR="006C154B" w:rsidRDefault="006C154B" w:rsidP="00687ABD">
      <w:pPr>
        <w:pStyle w:val="Default"/>
        <w:rPr>
          <w:sz w:val="19"/>
          <w:szCs w:val="19"/>
        </w:rPr>
      </w:pPr>
      <w:r w:rsidRPr="00766E15">
        <w:rPr>
          <w:sz w:val="19"/>
          <w:szCs w:val="19"/>
        </w:rPr>
        <w:t xml:space="preserve">ISSN </w:t>
      </w:r>
      <w:r w:rsidR="001C1F06">
        <w:rPr>
          <w:sz w:val="19"/>
          <w:szCs w:val="19"/>
        </w:rPr>
        <w:t>1036</w:t>
      </w:r>
      <w:r w:rsidR="00AB6501">
        <w:rPr>
          <w:sz w:val="19"/>
          <w:szCs w:val="19"/>
        </w:rPr>
        <w:t>-</w:t>
      </w:r>
      <w:r w:rsidR="001C1F06">
        <w:rPr>
          <w:sz w:val="19"/>
          <w:szCs w:val="19"/>
        </w:rPr>
        <w:t>4803</w:t>
      </w:r>
    </w:p>
    <w:p w14:paraId="14645460" w14:textId="688A7304" w:rsidR="006C154B" w:rsidRPr="00766E15" w:rsidRDefault="006C154B" w:rsidP="00687ABD">
      <w:pPr>
        <w:pStyle w:val="Default"/>
        <w:rPr>
          <w:sz w:val="19"/>
          <w:szCs w:val="19"/>
        </w:rPr>
        <w:sectPr w:rsidR="006C154B" w:rsidRPr="00766E15" w:rsidSect="00D74C6A">
          <w:footerReference w:type="default" r:id="rId15"/>
          <w:pgSz w:w="11907" w:h="16840" w:code="9"/>
          <w:pgMar w:top="1418" w:right="1418" w:bottom="1418" w:left="1418" w:header="709" w:footer="709" w:gutter="0"/>
          <w:paperSrc w:first="7" w:other="7"/>
          <w:cols w:space="720"/>
        </w:sectPr>
      </w:pPr>
    </w:p>
    <w:p w14:paraId="14645499" w14:textId="77777777" w:rsidR="00090A6F" w:rsidRPr="00766E15" w:rsidRDefault="005655CE" w:rsidP="00011EC4">
      <w:pPr>
        <w:pStyle w:val="ConvSectionTitle"/>
      </w:pPr>
      <w:r w:rsidRPr="00766E15">
        <w:lastRenderedPageBreak/>
        <w:t>Contents</w:t>
      </w:r>
    </w:p>
    <w:p w14:paraId="1464549A" w14:textId="77777777" w:rsidR="00090A6F" w:rsidRPr="00766E15" w:rsidRDefault="00091F8B" w:rsidP="00012BBC">
      <w:pPr>
        <w:pStyle w:val="ContentsCapsPlain"/>
        <w:spacing w:before="400"/>
      </w:pPr>
      <w:r w:rsidRPr="00766E15">
        <w:t>PREFACE</w:t>
      </w:r>
    </w:p>
    <w:p w14:paraId="1464549B" w14:textId="3E60ABEA" w:rsidR="003730F5" w:rsidRDefault="003730F5" w:rsidP="003730F5">
      <w:pPr>
        <w:pStyle w:val="ContentsCapsBold"/>
        <w:rPr>
          <w:iCs/>
        </w:rPr>
      </w:pPr>
      <w:r>
        <w:rPr>
          <w:iCs/>
        </w:rPr>
        <w:t>ACCOUNTING STANDARD</w:t>
      </w:r>
    </w:p>
    <w:p w14:paraId="1464549C" w14:textId="477E52DC" w:rsidR="00090A6F" w:rsidRPr="005647AD" w:rsidRDefault="00291416" w:rsidP="004729AD">
      <w:pPr>
        <w:pStyle w:val="ContentsCapsBold"/>
        <w:spacing w:after="200"/>
        <w:rPr>
          <w:i/>
          <w:iCs/>
        </w:rPr>
      </w:pPr>
      <w:bookmarkStart w:id="4" w:name="_Hlk100574991"/>
      <w:r w:rsidRPr="00A95EB1">
        <w:t>AASB </w:t>
      </w:r>
      <w:r w:rsidR="003730F5" w:rsidRPr="00A95EB1">
        <w:t>20</w:t>
      </w:r>
      <w:r w:rsidR="00D21BA1" w:rsidRPr="00A95EB1">
        <w:t>2</w:t>
      </w:r>
      <w:r w:rsidR="002A4D91" w:rsidRPr="00A95EB1">
        <w:t>2</w:t>
      </w:r>
      <w:r w:rsidR="003730F5" w:rsidRPr="00A95EB1">
        <w:t>-</w:t>
      </w:r>
      <w:r w:rsidR="003E34CC">
        <w:t>3</w:t>
      </w:r>
      <w:r w:rsidR="00B766A3" w:rsidRPr="00C83762">
        <w:rPr>
          <w:i/>
          <w:iCs/>
        </w:rPr>
        <w:t xml:space="preserve"> </w:t>
      </w:r>
      <w:r w:rsidR="00746A9B" w:rsidRPr="00746A9B">
        <w:rPr>
          <w:i/>
          <w:iCs/>
        </w:rPr>
        <w:t>AMENDMENTS TO AUSTRALIAN ACCOUNTING STANDARDS –</w:t>
      </w:r>
      <w:r w:rsidR="00AA41A3">
        <w:rPr>
          <w:i/>
          <w:iCs/>
        </w:rPr>
        <w:t xml:space="preserve"> </w:t>
      </w:r>
      <w:r w:rsidR="000C3B5B" w:rsidRPr="000C3B5B">
        <w:rPr>
          <w:i/>
          <w:iCs/>
        </w:rPr>
        <w:t xml:space="preserve">ILLUSTRATIVE EXAMPLES FOR NOT-FOR-PROFIT ENTITIES ACCOMPANYING </w:t>
      </w:r>
      <w:r w:rsidR="000C3B5B">
        <w:rPr>
          <w:i/>
          <w:iCs/>
        </w:rPr>
        <w:t>AASB 15</w:t>
      </w:r>
      <w:bookmarkEnd w:id="4"/>
    </w:p>
    <w:p w14:paraId="1464549E" w14:textId="4C756334" w:rsidR="00090A6F" w:rsidRPr="00766E15" w:rsidRDefault="00FF79F3" w:rsidP="00B320F4">
      <w:pPr>
        <w:pStyle w:val="ContentsParaHead"/>
      </w:pPr>
      <w:r>
        <w:t xml:space="preserve">from </w:t>
      </w:r>
      <w:r w:rsidR="00257417">
        <w:t>paragraph</w:t>
      </w:r>
    </w:p>
    <w:p w14:paraId="1464549F" w14:textId="749F1C00" w:rsidR="00090A6F" w:rsidRPr="00766E15" w:rsidRDefault="00091F8B" w:rsidP="00ED2C9D">
      <w:pPr>
        <w:pStyle w:val="ContentsLevel1"/>
        <w:ind w:right="-1"/>
        <w:jc w:val="both"/>
        <w:rPr>
          <w:b/>
        </w:rPr>
      </w:pPr>
      <w:bookmarkStart w:id="5" w:name="TOCRange"/>
      <w:r w:rsidRPr="00766E15">
        <w:rPr>
          <w:b/>
        </w:rPr>
        <w:t>OBJECTIVE</w:t>
      </w:r>
      <w:r w:rsidRPr="00766E15">
        <w:rPr>
          <w:b/>
        </w:rPr>
        <w:tab/>
      </w:r>
      <w:r w:rsidR="0053716C">
        <w:rPr>
          <w:b/>
        </w:rPr>
        <w:t>1</w:t>
      </w:r>
    </w:p>
    <w:p w14:paraId="146454A0" w14:textId="4ABCA952" w:rsidR="00090A6F" w:rsidRPr="00BA4572" w:rsidRDefault="00091F8B" w:rsidP="00ED2C9D">
      <w:pPr>
        <w:pStyle w:val="ContentsLevel1"/>
        <w:ind w:right="-1"/>
        <w:jc w:val="both"/>
        <w:rPr>
          <w:b/>
        </w:rPr>
      </w:pPr>
      <w:r w:rsidRPr="00766E15">
        <w:rPr>
          <w:b/>
        </w:rPr>
        <w:t>APPLICATION</w:t>
      </w:r>
      <w:r w:rsidRPr="00766E15">
        <w:rPr>
          <w:b/>
        </w:rPr>
        <w:tab/>
      </w:r>
      <w:r w:rsidR="0053716C">
        <w:rPr>
          <w:b/>
        </w:rPr>
        <w:t>2</w:t>
      </w:r>
    </w:p>
    <w:p w14:paraId="146454A1" w14:textId="40898130" w:rsidR="00B22B93" w:rsidRDefault="00091F8B" w:rsidP="00BD0981">
      <w:pPr>
        <w:pStyle w:val="ContentsLevel1"/>
        <w:ind w:left="0" w:right="0" w:firstLine="0"/>
        <w:rPr>
          <w:b/>
        </w:rPr>
      </w:pPr>
      <w:r w:rsidRPr="00766E15">
        <w:rPr>
          <w:b/>
        </w:rPr>
        <w:t xml:space="preserve">AMENDMENTS TO </w:t>
      </w:r>
      <w:r w:rsidR="00640852">
        <w:rPr>
          <w:b/>
        </w:rPr>
        <w:t xml:space="preserve">AUSTRALIAN ILLUSTRATIVE EXAMPLES </w:t>
      </w:r>
      <w:r w:rsidR="00182E9F">
        <w:rPr>
          <w:b/>
        </w:rPr>
        <w:t xml:space="preserve">FOR NOT-FOR-PROFIT </w:t>
      </w:r>
      <w:r w:rsidR="001B7F1B">
        <w:rPr>
          <w:b/>
        </w:rPr>
        <w:br/>
      </w:r>
      <w:r w:rsidR="00182E9F">
        <w:rPr>
          <w:b/>
        </w:rPr>
        <w:t xml:space="preserve">ENTITIES ACCOMPANYING </w:t>
      </w:r>
      <w:r w:rsidR="00291416">
        <w:rPr>
          <w:b/>
        </w:rPr>
        <w:t>AASB </w:t>
      </w:r>
      <w:r w:rsidR="00ED2C9D">
        <w:rPr>
          <w:b/>
        </w:rPr>
        <w:t>15</w:t>
      </w:r>
      <w:r w:rsidR="001A5218" w:rsidRPr="00766E15">
        <w:rPr>
          <w:b/>
        </w:rPr>
        <w:tab/>
      </w:r>
      <w:r w:rsidR="00E455B1">
        <w:rPr>
          <w:b/>
        </w:rPr>
        <w:t>4</w:t>
      </w:r>
    </w:p>
    <w:p w14:paraId="146454A3" w14:textId="762DE4AD" w:rsidR="00090A6F" w:rsidRDefault="00E71850" w:rsidP="00ED2C9D">
      <w:pPr>
        <w:pStyle w:val="ContentsLevel1"/>
        <w:ind w:right="-1"/>
        <w:jc w:val="both"/>
        <w:rPr>
          <w:b/>
        </w:rPr>
      </w:pPr>
      <w:r w:rsidRPr="00766E15">
        <w:rPr>
          <w:b/>
        </w:rPr>
        <w:t>COMMENCEMENT OF THE LEGISLATIVE INSTRUMENT</w:t>
      </w:r>
      <w:r w:rsidRPr="00766E15">
        <w:rPr>
          <w:b/>
        </w:rPr>
        <w:tab/>
      </w:r>
      <w:bookmarkStart w:id="6" w:name="ContentsMarker"/>
      <w:bookmarkEnd w:id="6"/>
      <w:r w:rsidR="00E455B1">
        <w:rPr>
          <w:b/>
        </w:rPr>
        <w:t>5</w:t>
      </w:r>
    </w:p>
    <w:p w14:paraId="614083BA" w14:textId="1FC8177F" w:rsidR="00ED2C9D" w:rsidRDefault="00ED2C9D" w:rsidP="0050773C">
      <w:pPr>
        <w:pStyle w:val="ContentsLevel1"/>
        <w:ind w:right="566"/>
        <w:jc w:val="both"/>
        <w:rPr>
          <w:b/>
        </w:rPr>
      </w:pPr>
    </w:p>
    <w:p w14:paraId="5A3A21ED" w14:textId="77777777" w:rsidR="009B349A" w:rsidRDefault="009B349A" w:rsidP="0050773C">
      <w:pPr>
        <w:pStyle w:val="ContentsLevel1"/>
        <w:ind w:right="566"/>
        <w:jc w:val="both"/>
        <w:rPr>
          <w:b/>
        </w:rPr>
      </w:pPr>
    </w:p>
    <w:p w14:paraId="77532ED2" w14:textId="7F972D2B" w:rsidR="00ED2C9D" w:rsidRPr="00766E15" w:rsidRDefault="00ED2C9D" w:rsidP="0050773C">
      <w:pPr>
        <w:pStyle w:val="ContentsLevel1"/>
        <w:ind w:right="566"/>
        <w:jc w:val="both"/>
        <w:rPr>
          <w:b/>
        </w:rPr>
      </w:pPr>
      <w:r>
        <w:rPr>
          <w:b/>
        </w:rPr>
        <w:t>BASIS FOR CONCLUSIONS</w:t>
      </w:r>
    </w:p>
    <w:bookmarkEnd w:id="5"/>
    <w:p w14:paraId="146454A6" w14:textId="5829150F" w:rsidR="00A84268" w:rsidRPr="0000292B" w:rsidRDefault="00A84268" w:rsidP="00FF238E">
      <w:pPr>
        <w:pStyle w:val="ContentsBox"/>
        <w:spacing w:before="480"/>
        <w:ind w:right="-1"/>
      </w:pPr>
      <w:r w:rsidRPr="00173210">
        <w:t xml:space="preserve">Australian Accounting Standard </w:t>
      </w:r>
      <w:r w:rsidR="00291416">
        <w:t>AASB</w:t>
      </w:r>
      <w:r w:rsidR="00FA5449">
        <w:t xml:space="preserve"> </w:t>
      </w:r>
      <w:r w:rsidR="004B0CB3">
        <w:t>202</w:t>
      </w:r>
      <w:r w:rsidR="00554D91">
        <w:t>2</w:t>
      </w:r>
      <w:r w:rsidR="00173210">
        <w:t>-</w:t>
      </w:r>
      <w:r w:rsidR="003E34CC">
        <w:t>3</w:t>
      </w:r>
      <w:r w:rsidR="00173210">
        <w:t xml:space="preserve"> </w:t>
      </w:r>
      <w:r w:rsidR="001E487F" w:rsidRPr="001E487F">
        <w:rPr>
          <w:i/>
        </w:rPr>
        <w:t xml:space="preserve">Amendments to Australian Accounting Standards – </w:t>
      </w:r>
      <w:r w:rsidR="00FB2A75" w:rsidRPr="00FB2A75">
        <w:rPr>
          <w:i/>
        </w:rPr>
        <w:t xml:space="preserve">Illustrative </w:t>
      </w:r>
      <w:bookmarkStart w:id="7" w:name="_Hlk100573440"/>
      <w:r w:rsidR="00FB2A75" w:rsidRPr="00FB2A75">
        <w:rPr>
          <w:i/>
        </w:rPr>
        <w:t xml:space="preserve">Examples for Not-for-Profit Entities accompanying AASB </w:t>
      </w:r>
      <w:bookmarkEnd w:id="7"/>
      <w:r w:rsidR="00FB2A75" w:rsidRPr="00FB2A75">
        <w:rPr>
          <w:i/>
        </w:rPr>
        <w:t xml:space="preserve">15 </w:t>
      </w:r>
      <w:r w:rsidR="0050773C">
        <w:t xml:space="preserve">is set out </w:t>
      </w:r>
      <w:r w:rsidR="001C55C6" w:rsidRPr="00FF044B">
        <w:t>in</w:t>
      </w:r>
      <w:r w:rsidR="0050773C" w:rsidRPr="00FF044B">
        <w:t xml:space="preserve"> </w:t>
      </w:r>
      <w:r w:rsidR="001C55C6" w:rsidRPr="00A95EB1">
        <w:t>paragraphs</w:t>
      </w:r>
      <w:r w:rsidR="00212F24" w:rsidRPr="00A95EB1">
        <w:t xml:space="preserve"> </w:t>
      </w:r>
      <w:r w:rsidR="004B4D60" w:rsidRPr="00A95EB1">
        <w:t xml:space="preserve">1 </w:t>
      </w:r>
      <w:r w:rsidRPr="00A95EB1">
        <w:t xml:space="preserve">– </w:t>
      </w:r>
      <w:r w:rsidR="00E455B1">
        <w:t>5</w:t>
      </w:r>
      <w:r w:rsidRPr="00A95EB1">
        <w:t>.</w:t>
      </w:r>
      <w:r w:rsidRPr="00FF044B">
        <w:t xml:space="preserve">  All the</w:t>
      </w:r>
      <w:r w:rsidRPr="00173210">
        <w:t xml:space="preserve"> paragraphs have equal authority.</w:t>
      </w:r>
    </w:p>
    <w:p w14:paraId="5067806C" w14:textId="367AE98B" w:rsidR="00090A6F" w:rsidRDefault="00090A6F" w:rsidP="006C4C6D">
      <w:pPr>
        <w:tabs>
          <w:tab w:val="left" w:pos="559"/>
        </w:tabs>
      </w:pPr>
    </w:p>
    <w:p w14:paraId="245E4267" w14:textId="77777777" w:rsidR="0029754D" w:rsidRPr="006C4C6D" w:rsidRDefault="0029754D" w:rsidP="006C4C6D">
      <w:pPr>
        <w:tabs>
          <w:tab w:val="left" w:pos="559"/>
        </w:tabs>
        <w:sectPr w:rsidR="0029754D" w:rsidRPr="006C4C6D" w:rsidSect="00D74C6A">
          <w:footerReference w:type="default" r:id="rId16"/>
          <w:pgSz w:w="11907" w:h="16840" w:code="9"/>
          <w:pgMar w:top="1418" w:right="1418" w:bottom="1418" w:left="1418" w:header="709" w:footer="709" w:gutter="0"/>
          <w:paperSrc w:first="7" w:other="7"/>
          <w:cols w:space="720"/>
        </w:sectPr>
      </w:pPr>
    </w:p>
    <w:p w14:paraId="146454A9" w14:textId="77777777" w:rsidR="00090A6F" w:rsidRPr="00291416" w:rsidRDefault="001B3593" w:rsidP="00011EC4">
      <w:pPr>
        <w:pStyle w:val="ConvSectionTitle"/>
        <w:rPr>
          <w:i/>
          <w:iCs/>
        </w:rPr>
      </w:pPr>
      <w:r>
        <w:lastRenderedPageBreak/>
        <w:t>Preface</w:t>
      </w:r>
    </w:p>
    <w:p w14:paraId="146454AA" w14:textId="634DB635" w:rsidR="002750A1" w:rsidRPr="000275FA" w:rsidRDefault="001B3593" w:rsidP="000275FA">
      <w:pPr>
        <w:pStyle w:val="IASBSectionTitle1NonInd"/>
      </w:pPr>
      <w:bookmarkStart w:id="8" w:name="ArisingNo"/>
      <w:bookmarkEnd w:id="8"/>
      <w:r>
        <w:t xml:space="preserve">Standards amended by </w:t>
      </w:r>
      <w:r w:rsidR="007E7771">
        <w:t xml:space="preserve">AASB </w:t>
      </w:r>
      <w:r w:rsidR="009C0F93">
        <w:t>2022</w:t>
      </w:r>
      <w:r>
        <w:t>-</w:t>
      </w:r>
      <w:r w:rsidR="00546CAB">
        <w:t>3</w:t>
      </w:r>
    </w:p>
    <w:p w14:paraId="146454AB" w14:textId="09C386BD" w:rsidR="004F6399" w:rsidRDefault="00196B08" w:rsidP="00196B08">
      <w:pPr>
        <w:pStyle w:val="NoNumPlain1"/>
      </w:pPr>
      <w:r w:rsidRPr="00766E15">
        <w:t>This</w:t>
      </w:r>
      <w:r w:rsidDel="00AC51A5">
        <w:t xml:space="preserve"> </w:t>
      </w:r>
      <w:r>
        <w:t xml:space="preserve">Standard makes amendments to </w:t>
      </w:r>
      <w:r w:rsidR="00071983">
        <w:t>t</w:t>
      </w:r>
      <w:r w:rsidR="007E6224" w:rsidRPr="007E6224">
        <w:t xml:space="preserve">he </w:t>
      </w:r>
      <w:r w:rsidR="007E6224" w:rsidRPr="0006790B">
        <w:t xml:space="preserve">Australian </w:t>
      </w:r>
      <w:r w:rsidR="00625923" w:rsidRPr="0006790B">
        <w:t>i</w:t>
      </w:r>
      <w:r w:rsidR="007E6224" w:rsidRPr="0006790B">
        <w:t xml:space="preserve">llustrative </w:t>
      </w:r>
      <w:r w:rsidR="00625923" w:rsidRPr="0006790B">
        <w:t>e</w:t>
      </w:r>
      <w:r w:rsidR="007E6224" w:rsidRPr="0006790B">
        <w:t xml:space="preserve">xamples for </w:t>
      </w:r>
      <w:r w:rsidR="00625923" w:rsidRPr="0006790B">
        <w:t>n</w:t>
      </w:r>
      <w:r w:rsidR="007E6224" w:rsidRPr="0006790B">
        <w:t>ot-for-</w:t>
      </w:r>
      <w:r w:rsidR="00625923" w:rsidRPr="0006790B">
        <w:t>p</w:t>
      </w:r>
      <w:r w:rsidR="007E6224" w:rsidRPr="0006790B">
        <w:t xml:space="preserve">rofit </w:t>
      </w:r>
      <w:r w:rsidR="00625923" w:rsidRPr="0006790B">
        <w:t>e</w:t>
      </w:r>
      <w:r w:rsidR="007E6224" w:rsidRPr="0006790B">
        <w:t>ntities</w:t>
      </w:r>
      <w:r w:rsidR="007E6224" w:rsidRPr="007E6224">
        <w:t xml:space="preserve"> accompanying AASB</w:t>
      </w:r>
      <w:r w:rsidR="004D5C36">
        <w:t> </w:t>
      </w:r>
      <w:r w:rsidR="007E6224" w:rsidRPr="007E6224">
        <w:t xml:space="preserve">15 </w:t>
      </w:r>
      <w:r w:rsidR="007E6224" w:rsidRPr="00071983">
        <w:rPr>
          <w:i/>
          <w:iCs/>
        </w:rPr>
        <w:t>Revenue from Contracts with Customers</w:t>
      </w:r>
      <w:r w:rsidR="007E6224" w:rsidRPr="007E6224">
        <w:t xml:space="preserve"> (</w:t>
      </w:r>
      <w:r w:rsidR="007E6224" w:rsidRPr="009C60B1">
        <w:t>December 2014</w:t>
      </w:r>
      <w:r w:rsidR="009C0F93" w:rsidDel="000148B5">
        <w:t>)</w:t>
      </w:r>
      <w:r w:rsidRPr="00802967">
        <w:t>.</w:t>
      </w:r>
      <w:r>
        <w:t xml:space="preserve"> </w:t>
      </w:r>
    </w:p>
    <w:p w14:paraId="146454AC" w14:textId="05DFDF29" w:rsidR="00DD0736" w:rsidRPr="000275FA" w:rsidRDefault="00DD0736" w:rsidP="00311A66">
      <w:pPr>
        <w:pStyle w:val="IASBSectionTitle1NonInd"/>
      </w:pPr>
      <w:r w:rsidRPr="000275FA">
        <w:t xml:space="preserve">Main features </w:t>
      </w:r>
      <w:r w:rsidR="00804966">
        <w:t>of this Standard</w:t>
      </w:r>
    </w:p>
    <w:p w14:paraId="146454AD" w14:textId="77777777" w:rsidR="00DD0736" w:rsidRPr="00766E15" w:rsidRDefault="00DD0736" w:rsidP="0006519C">
      <w:pPr>
        <w:pStyle w:val="IASBSectionTitle2Ind"/>
      </w:pPr>
      <w:r w:rsidRPr="00766E15">
        <w:t>Main requirements</w:t>
      </w:r>
    </w:p>
    <w:p w14:paraId="3BD12238" w14:textId="0ACFEBBF" w:rsidR="00244A17" w:rsidRPr="00913ED6" w:rsidRDefault="007A7222">
      <w:pPr>
        <w:pStyle w:val="NoNumPlain1"/>
      </w:pPr>
      <w:r>
        <w:t xml:space="preserve">This Standard </w:t>
      </w:r>
      <w:r w:rsidR="00773A3C">
        <w:rPr>
          <w:szCs w:val="19"/>
        </w:rPr>
        <w:t xml:space="preserve">adds </w:t>
      </w:r>
      <w:r w:rsidR="00773A3C" w:rsidRPr="004A24A9">
        <w:rPr>
          <w:szCs w:val="19"/>
        </w:rPr>
        <w:t xml:space="preserve">Illustrative Example </w:t>
      </w:r>
      <w:r w:rsidR="00773A3C">
        <w:rPr>
          <w:szCs w:val="19"/>
        </w:rPr>
        <w:t>7A</w:t>
      </w:r>
      <w:r w:rsidR="00773A3C" w:rsidRPr="004A24A9">
        <w:rPr>
          <w:szCs w:val="19"/>
        </w:rPr>
        <w:t xml:space="preserve"> </w:t>
      </w:r>
      <w:r w:rsidR="005C3EDC">
        <w:t>to</w:t>
      </w:r>
      <w:r w:rsidR="00613CB9">
        <w:rPr>
          <w:szCs w:val="19"/>
        </w:rPr>
        <w:t xml:space="preserve"> </w:t>
      </w:r>
      <w:r w:rsidR="002A4B2B">
        <w:rPr>
          <w:szCs w:val="19"/>
        </w:rPr>
        <w:t xml:space="preserve">the examples attached to </w:t>
      </w:r>
      <w:r w:rsidR="00C1336B">
        <w:rPr>
          <w:szCs w:val="19"/>
        </w:rPr>
        <w:t xml:space="preserve">AASB 15 </w:t>
      </w:r>
      <w:r w:rsidR="00C1336B" w:rsidRPr="004A24A9">
        <w:rPr>
          <w:szCs w:val="19"/>
        </w:rPr>
        <w:t xml:space="preserve">to clarify </w:t>
      </w:r>
      <w:r w:rsidR="002A4B2B">
        <w:rPr>
          <w:szCs w:val="19"/>
        </w:rPr>
        <w:t xml:space="preserve">the </w:t>
      </w:r>
      <w:r w:rsidR="00C1336B" w:rsidRPr="004A24A9">
        <w:rPr>
          <w:szCs w:val="19"/>
        </w:rPr>
        <w:t>accounting for upfront fees</w:t>
      </w:r>
      <w:r w:rsidR="00613CB9">
        <w:rPr>
          <w:szCs w:val="19"/>
        </w:rPr>
        <w:t xml:space="preserve">. </w:t>
      </w:r>
      <w:r w:rsidR="00AC51A5">
        <w:t>The</w:t>
      </w:r>
      <w:r w:rsidR="00A03BA0" w:rsidRPr="00A03BA0">
        <w:t xml:space="preserve"> amendments do not change the requirements of AASB 15</w:t>
      </w:r>
      <w:r w:rsidR="00B20DCC">
        <w:t xml:space="preserve">. </w:t>
      </w:r>
      <w:r w:rsidR="006476BB">
        <w:t>The amendments are relevant only to not-for-profit entities.</w:t>
      </w:r>
    </w:p>
    <w:p w14:paraId="146454B5" w14:textId="77777777" w:rsidR="0069165E" w:rsidRPr="00766E15" w:rsidRDefault="0069165E" w:rsidP="0006519C">
      <w:pPr>
        <w:pStyle w:val="IASBSectionTitle2Ind"/>
      </w:pPr>
      <w:r w:rsidRPr="00766E15">
        <w:t>Application date</w:t>
      </w:r>
    </w:p>
    <w:p w14:paraId="146454B6" w14:textId="6FDA7BAC" w:rsidR="00F237E9" w:rsidRPr="00766E15" w:rsidRDefault="00994A75" w:rsidP="001B3593">
      <w:pPr>
        <w:pStyle w:val="IASBNormal"/>
      </w:pPr>
      <w:r w:rsidRPr="00AC51A5">
        <w:t>This Standard</w:t>
      </w:r>
      <w:r>
        <w:t xml:space="preserve"> applies</w:t>
      </w:r>
      <w:r w:rsidR="001A058E" w:rsidRPr="00766E15">
        <w:t xml:space="preserve"> to </w:t>
      </w:r>
      <w:r w:rsidR="00823694">
        <w:t>annual</w:t>
      </w:r>
      <w:r w:rsidR="00CB0185" w:rsidRPr="00766E15">
        <w:t xml:space="preserve"> periods beginning on or after</w:t>
      </w:r>
      <w:r w:rsidR="006206CC">
        <w:t xml:space="preserve"> </w:t>
      </w:r>
      <w:r w:rsidR="001A6ABE" w:rsidRPr="009C60B1">
        <w:t>1 July 2022</w:t>
      </w:r>
      <w:r w:rsidR="00CB0185" w:rsidRPr="00C1336B">
        <w:t>,</w:t>
      </w:r>
      <w:r w:rsidR="00CB0185" w:rsidRPr="00766E15">
        <w:t xml:space="preserve"> with earl</w:t>
      </w:r>
      <w:r w:rsidR="00CB0185">
        <w:t>ier</w:t>
      </w:r>
      <w:r w:rsidR="00CB0185" w:rsidRPr="00766E15">
        <w:t xml:space="preserve"> </w:t>
      </w:r>
      <w:r w:rsidR="00CB0185">
        <w:t>application</w:t>
      </w:r>
      <w:r w:rsidR="00CB0185" w:rsidRPr="00766E15">
        <w:t xml:space="preserve"> permitted</w:t>
      </w:r>
      <w:r w:rsidR="001A6ABE">
        <w:t>.</w:t>
      </w:r>
    </w:p>
    <w:p w14:paraId="146454B7" w14:textId="086AFE1C" w:rsidR="006345E2" w:rsidRDefault="006345E2">
      <w:pPr>
        <w:jc w:val="left"/>
      </w:pPr>
    </w:p>
    <w:p w14:paraId="146454B8" w14:textId="77777777" w:rsidR="006345E2" w:rsidRPr="00766E15" w:rsidRDefault="006345E2" w:rsidP="00906F8D">
      <w:pPr>
        <w:jc w:val="left"/>
        <w:sectPr w:rsidR="006345E2" w:rsidRPr="00766E15" w:rsidSect="00D74C6A">
          <w:footerReference w:type="default" r:id="rId17"/>
          <w:headerReference w:type="first" r:id="rId18"/>
          <w:footerReference w:type="first" r:id="rId19"/>
          <w:pgSz w:w="11907" w:h="16840" w:code="9"/>
          <w:pgMar w:top="1418" w:right="1418" w:bottom="1418" w:left="1418" w:header="709" w:footer="709" w:gutter="0"/>
          <w:paperSrc w:first="7" w:other="7"/>
          <w:cols w:space="720"/>
          <w:docGrid w:linePitch="65"/>
        </w:sectPr>
      </w:pPr>
    </w:p>
    <w:p w14:paraId="146454B9" w14:textId="299DA9D5" w:rsidR="00994A75" w:rsidRPr="00994A75" w:rsidRDefault="00994A75" w:rsidP="00BD0981">
      <w:pPr>
        <w:pStyle w:val="ConvSectionTitle"/>
      </w:pPr>
      <w:bookmarkStart w:id="9" w:name="TOCStart"/>
      <w:bookmarkEnd w:id="9"/>
      <w:r w:rsidRPr="00766E15">
        <w:lastRenderedPageBreak/>
        <w:t xml:space="preserve">Accounting Standard </w:t>
      </w:r>
      <w:r>
        <w:t>AASB </w:t>
      </w:r>
      <w:r w:rsidR="009C0F93" w:rsidRPr="00766E15">
        <w:t>20</w:t>
      </w:r>
      <w:r w:rsidR="009C0F93">
        <w:t>22</w:t>
      </w:r>
      <w:r w:rsidRPr="00766E15">
        <w:t>-</w:t>
      </w:r>
      <w:r w:rsidR="00546CAB">
        <w:t>3</w:t>
      </w:r>
    </w:p>
    <w:p w14:paraId="146454BA" w14:textId="458501CA" w:rsidR="001B3593" w:rsidRDefault="001B3593" w:rsidP="00270378">
      <w:pPr>
        <w:pStyle w:val="BodyText"/>
        <w:rPr>
          <w:lang w:eastAsia="en-AU"/>
        </w:rPr>
      </w:pPr>
      <w:r w:rsidRPr="001B3593">
        <w:rPr>
          <w:lang w:eastAsia="en-AU"/>
        </w:rPr>
        <w:t xml:space="preserve">The </w:t>
      </w:r>
      <w:r>
        <w:rPr>
          <w:lang w:eastAsia="en-AU"/>
        </w:rPr>
        <w:t xml:space="preserve">Australian Accounting Standards Board makes Accounting Standard AASB </w:t>
      </w:r>
      <w:r w:rsidR="009C0F93">
        <w:rPr>
          <w:lang w:eastAsia="en-AU"/>
        </w:rPr>
        <w:t>2022</w:t>
      </w:r>
      <w:r>
        <w:rPr>
          <w:lang w:eastAsia="en-AU"/>
        </w:rPr>
        <w:t>-</w:t>
      </w:r>
      <w:r w:rsidR="00546CAB">
        <w:rPr>
          <w:lang w:eastAsia="en-AU"/>
        </w:rPr>
        <w:t>3</w:t>
      </w:r>
      <w:r>
        <w:rPr>
          <w:lang w:eastAsia="en-AU"/>
        </w:rPr>
        <w:t xml:space="preserve"> </w:t>
      </w:r>
      <w:r w:rsidR="00BE2728" w:rsidRPr="00BE2728">
        <w:rPr>
          <w:i/>
          <w:lang w:eastAsia="en-AU"/>
        </w:rPr>
        <w:t xml:space="preserve">Amendments to Australian Accounting Standards – </w:t>
      </w:r>
      <w:r w:rsidR="00DF7B78" w:rsidRPr="00240BDF">
        <w:rPr>
          <w:i/>
        </w:rPr>
        <w:t>Illustrative Examples for Not-for-Profit Entities accompanying AASB 15</w:t>
      </w:r>
      <w:r w:rsidR="00177F98">
        <w:rPr>
          <w:i/>
        </w:rPr>
        <w:t xml:space="preserve"> </w:t>
      </w:r>
      <w:r>
        <w:rPr>
          <w:lang w:eastAsia="en-AU"/>
        </w:rPr>
        <w:t>under section</w:t>
      </w:r>
      <w:r w:rsidR="00994A75">
        <w:rPr>
          <w:lang w:eastAsia="en-AU"/>
        </w:rPr>
        <w:t> </w:t>
      </w:r>
      <w:r>
        <w:rPr>
          <w:lang w:eastAsia="en-AU"/>
        </w:rPr>
        <w:t xml:space="preserve">334 of the </w:t>
      </w:r>
      <w:r w:rsidRPr="00CB0185">
        <w:rPr>
          <w:i/>
          <w:lang w:eastAsia="en-AU"/>
        </w:rPr>
        <w:t>Corporations Act 2001</w:t>
      </w:r>
      <w:r>
        <w:rPr>
          <w:lang w:eastAsia="en-AU"/>
        </w:rPr>
        <w:t>.</w:t>
      </w:r>
    </w:p>
    <w:p w14:paraId="146454BB" w14:textId="343E2BD2" w:rsidR="001B3593" w:rsidRDefault="00891D88" w:rsidP="00BD0981">
      <w:pPr>
        <w:pStyle w:val="BodyText"/>
        <w:spacing w:after="0"/>
        <w:jc w:val="right"/>
        <w:rPr>
          <w:lang w:eastAsia="en-AU"/>
        </w:rPr>
      </w:pPr>
      <w:r>
        <w:rPr>
          <w:lang w:eastAsia="en-AU"/>
        </w:rPr>
        <w:t>Keith Kendall</w:t>
      </w:r>
    </w:p>
    <w:p w14:paraId="146454BC" w14:textId="0116C766" w:rsidR="001B3593" w:rsidRDefault="00B75059" w:rsidP="009C60B1">
      <w:pPr>
        <w:pStyle w:val="BodyText"/>
        <w:tabs>
          <w:tab w:val="right" w:pos="9071"/>
        </w:tabs>
        <w:jc w:val="left"/>
        <w:rPr>
          <w:lang w:eastAsia="en-AU"/>
        </w:rPr>
      </w:pPr>
      <w:r>
        <w:rPr>
          <w:lang w:eastAsia="en-AU"/>
        </w:rPr>
        <w:t>Dated</w:t>
      </w:r>
      <w:r w:rsidR="001B73CF">
        <w:rPr>
          <w:lang w:eastAsia="en-AU"/>
        </w:rPr>
        <w:t xml:space="preserve"> 3 May 2022</w:t>
      </w:r>
      <w:r w:rsidR="000839FB">
        <w:rPr>
          <w:lang w:eastAsia="en-AU"/>
        </w:rPr>
        <w:tab/>
      </w:r>
      <w:r w:rsidR="001B3593">
        <w:rPr>
          <w:lang w:eastAsia="en-AU"/>
        </w:rPr>
        <w:t>Chair – AASB</w:t>
      </w:r>
    </w:p>
    <w:p w14:paraId="146454BE" w14:textId="64B59D33" w:rsidR="00994A75" w:rsidRPr="00766E15" w:rsidRDefault="00994A75" w:rsidP="00994A75">
      <w:pPr>
        <w:pStyle w:val="ConvSectionTitle"/>
        <w:spacing w:after="0"/>
      </w:pPr>
      <w:r w:rsidRPr="00766E15">
        <w:t xml:space="preserve">Accounting Standard </w:t>
      </w:r>
      <w:r>
        <w:t>AASB </w:t>
      </w:r>
      <w:r w:rsidR="00E12939" w:rsidRPr="00766E15">
        <w:t>2</w:t>
      </w:r>
      <w:r w:rsidR="00E12939">
        <w:t>022</w:t>
      </w:r>
      <w:r w:rsidRPr="00766E15">
        <w:t>-</w:t>
      </w:r>
      <w:r w:rsidR="00546CAB">
        <w:t>3</w:t>
      </w:r>
    </w:p>
    <w:p w14:paraId="146454BF" w14:textId="4C40F008" w:rsidR="00270378" w:rsidRDefault="00240BDF" w:rsidP="00270378">
      <w:pPr>
        <w:pStyle w:val="ConvSectionTitle"/>
        <w:spacing w:before="0" w:after="0"/>
        <w:rPr>
          <w:i/>
        </w:rPr>
      </w:pPr>
      <w:r w:rsidRPr="00240BDF">
        <w:rPr>
          <w:i/>
        </w:rPr>
        <w:t xml:space="preserve">Amendments to Australian </w:t>
      </w:r>
      <w:r w:rsidR="000123C0">
        <w:rPr>
          <w:i/>
        </w:rPr>
        <w:t xml:space="preserve">Accounting Standards – </w:t>
      </w:r>
      <w:r w:rsidRPr="00240BDF">
        <w:rPr>
          <w:i/>
        </w:rPr>
        <w:t xml:space="preserve">Illustrative Examples for Not-for-Profit Entities accompanying AASB 15 </w:t>
      </w:r>
    </w:p>
    <w:p w14:paraId="146454C0" w14:textId="77777777" w:rsidR="00BA5A1C" w:rsidRPr="00270378" w:rsidRDefault="00BA5A1C" w:rsidP="00270378">
      <w:pPr>
        <w:pStyle w:val="IASBSectionTitle1NonInd"/>
      </w:pPr>
      <w:r w:rsidRPr="00766E15">
        <w:t>Objective</w:t>
      </w:r>
    </w:p>
    <w:p w14:paraId="0DE75A33" w14:textId="257F143C" w:rsidR="003E6E5D" w:rsidRDefault="00ED5174" w:rsidP="000E214B">
      <w:pPr>
        <w:pStyle w:val="NumPlain1"/>
        <w:shd w:val="clear" w:color="auto" w:fill="FFFFFF"/>
        <w:tabs>
          <w:tab w:val="clear" w:pos="510"/>
        </w:tabs>
        <w:spacing w:before="120" w:after="120"/>
      </w:pPr>
      <w:r w:rsidRPr="00766E15">
        <w:t>Th</w:t>
      </w:r>
      <w:r w:rsidR="00290804">
        <w:t>is Standard amend</w:t>
      </w:r>
      <w:r w:rsidR="00B0482E">
        <w:t xml:space="preserve">s </w:t>
      </w:r>
      <w:r w:rsidR="00437134">
        <w:t xml:space="preserve">Australian </w:t>
      </w:r>
      <w:r w:rsidR="002F4365">
        <w:t>i</w:t>
      </w:r>
      <w:r w:rsidR="00437134">
        <w:t xml:space="preserve">llustrative </w:t>
      </w:r>
      <w:r w:rsidR="00E41005">
        <w:t>e</w:t>
      </w:r>
      <w:r w:rsidR="00437134">
        <w:t xml:space="preserve">xamples for </w:t>
      </w:r>
      <w:r w:rsidR="00E41005">
        <w:t>n</w:t>
      </w:r>
      <w:r w:rsidR="00437134">
        <w:t>ot-for-</w:t>
      </w:r>
      <w:r w:rsidR="00E41005">
        <w:t>p</w:t>
      </w:r>
      <w:r w:rsidR="00437134">
        <w:t xml:space="preserve">rofit </w:t>
      </w:r>
      <w:r w:rsidR="00E41005">
        <w:t>e</w:t>
      </w:r>
      <w:r w:rsidR="00437134">
        <w:t xml:space="preserve">ntities accompanying AASB 15 </w:t>
      </w:r>
      <w:r w:rsidR="00437134" w:rsidRPr="00CC7B7B">
        <w:rPr>
          <w:i/>
          <w:iCs/>
        </w:rPr>
        <w:t>Revenue from Contracts with Customers</w:t>
      </w:r>
      <w:r w:rsidR="00437134">
        <w:t xml:space="preserve"> (December 2014) to </w:t>
      </w:r>
      <w:r w:rsidR="00961473">
        <w:t>illustrate</w:t>
      </w:r>
      <w:r w:rsidR="00437134">
        <w:t xml:space="preserve"> how AASB 15 applies </w:t>
      </w:r>
      <w:r w:rsidR="00961473">
        <w:t xml:space="preserve">to </w:t>
      </w:r>
      <w:r w:rsidR="00455A46">
        <w:t xml:space="preserve">the </w:t>
      </w:r>
      <w:r w:rsidR="00961473">
        <w:t>recognition and measurement of upfront fees</w:t>
      </w:r>
      <w:r w:rsidR="003E6E5D">
        <w:t>.</w:t>
      </w:r>
      <w:r w:rsidR="00455A46">
        <w:t xml:space="preserve"> </w:t>
      </w:r>
      <w:r w:rsidR="00455A46" w:rsidRPr="00A03BA0">
        <w:t>The amendments do not change the requirements of AASB 15</w:t>
      </w:r>
      <w:r w:rsidR="00455A46">
        <w:t>.</w:t>
      </w:r>
    </w:p>
    <w:p w14:paraId="4D4571A8" w14:textId="77777777" w:rsidR="002B3FA7" w:rsidRPr="0000292B" w:rsidRDefault="002B3FA7" w:rsidP="002B3FA7">
      <w:pPr>
        <w:pStyle w:val="Heading2"/>
      </w:pPr>
      <w:r w:rsidRPr="0000292B">
        <w:t>Application</w:t>
      </w:r>
    </w:p>
    <w:p w14:paraId="7C26107F" w14:textId="30C464A1" w:rsidR="002B3FA7" w:rsidRPr="00920B8B" w:rsidRDefault="002B3FA7" w:rsidP="000E214B">
      <w:pPr>
        <w:pStyle w:val="NumPlain1"/>
        <w:shd w:val="clear" w:color="auto" w:fill="FFFFFF"/>
        <w:tabs>
          <w:tab w:val="clear" w:pos="510"/>
        </w:tabs>
        <w:spacing w:before="120" w:after="120"/>
      </w:pPr>
      <w:r w:rsidRPr="00920B8B">
        <w:t>The amendments set out in this Standard apply to entities and financial statements in acc</w:t>
      </w:r>
      <w:r>
        <w:t xml:space="preserve">ordance with the application of </w:t>
      </w:r>
      <w:r w:rsidR="00455A46">
        <w:t xml:space="preserve">AASB 15 </w:t>
      </w:r>
      <w:r w:rsidRPr="00920B8B">
        <w:t xml:space="preserve">set out in AASB 1057 </w:t>
      </w:r>
      <w:r w:rsidRPr="00920B8B">
        <w:rPr>
          <w:i/>
        </w:rPr>
        <w:t>Application of Australian Accounting Standards</w:t>
      </w:r>
      <w:r w:rsidRPr="00870A13">
        <w:t>.</w:t>
      </w:r>
    </w:p>
    <w:p w14:paraId="5B53C980" w14:textId="41840FFC" w:rsidR="002B3FA7" w:rsidRDefault="5ACDB469" w:rsidP="0D0DD40B">
      <w:pPr>
        <w:pStyle w:val="NumPlain1"/>
        <w:shd w:val="clear" w:color="auto" w:fill="FFFFFF" w:themeFill="background1"/>
        <w:tabs>
          <w:tab w:val="clear" w:pos="510"/>
        </w:tabs>
        <w:spacing w:before="120" w:after="120"/>
      </w:pPr>
      <w:r>
        <w:t xml:space="preserve">This Standard applies to annual periods </w:t>
      </w:r>
      <w:fldSimple w:instr=" REF ApplyText \* charformat \* MERGEFORMAT " w:fldLock="1">
        <w:r>
          <w:t>beginning</w:t>
        </w:r>
      </w:fldSimple>
      <w:r>
        <w:t xml:space="preserve"> on or after </w:t>
      </w:r>
      <w:r w:rsidR="063311F9">
        <w:t>1 July 2022</w:t>
      </w:r>
      <w:r>
        <w:t>.</w:t>
      </w:r>
      <w:r w:rsidR="4C4A1C1F">
        <w:t xml:space="preserve"> Earlier application of this Standard is permitted.</w:t>
      </w:r>
    </w:p>
    <w:p w14:paraId="0CD41552" w14:textId="55219A7C" w:rsidR="00DE766E" w:rsidRDefault="00DE766E" w:rsidP="00DE766E">
      <w:pPr>
        <w:pStyle w:val="Heading2"/>
      </w:pPr>
      <w:r>
        <w:t xml:space="preserve">Amendments to </w:t>
      </w:r>
      <w:r w:rsidRPr="00817EF1">
        <w:rPr>
          <w:iCs w:val="0"/>
        </w:rPr>
        <w:t xml:space="preserve">Australian </w:t>
      </w:r>
      <w:r w:rsidR="003C2CA0">
        <w:rPr>
          <w:iCs w:val="0"/>
        </w:rPr>
        <w:t>i</w:t>
      </w:r>
      <w:r w:rsidRPr="00817EF1">
        <w:rPr>
          <w:iCs w:val="0"/>
        </w:rPr>
        <w:t xml:space="preserve">llustrative </w:t>
      </w:r>
      <w:r w:rsidR="003C2CA0">
        <w:rPr>
          <w:iCs w:val="0"/>
        </w:rPr>
        <w:t>e</w:t>
      </w:r>
      <w:r w:rsidRPr="00817EF1">
        <w:rPr>
          <w:iCs w:val="0"/>
        </w:rPr>
        <w:t xml:space="preserve">xamples for </w:t>
      </w:r>
      <w:r w:rsidR="003C2CA0">
        <w:rPr>
          <w:iCs w:val="0"/>
        </w:rPr>
        <w:t>n</w:t>
      </w:r>
      <w:r w:rsidRPr="00817EF1">
        <w:rPr>
          <w:iCs w:val="0"/>
        </w:rPr>
        <w:t>ot-for-</w:t>
      </w:r>
      <w:r w:rsidR="003C2CA0">
        <w:rPr>
          <w:iCs w:val="0"/>
        </w:rPr>
        <w:t>p</w:t>
      </w:r>
      <w:r w:rsidRPr="00817EF1">
        <w:rPr>
          <w:iCs w:val="0"/>
        </w:rPr>
        <w:t xml:space="preserve">rofit </w:t>
      </w:r>
      <w:r w:rsidR="00182E9F">
        <w:rPr>
          <w:iCs w:val="0"/>
        </w:rPr>
        <w:t>e</w:t>
      </w:r>
      <w:r w:rsidRPr="00817EF1">
        <w:rPr>
          <w:iCs w:val="0"/>
        </w:rPr>
        <w:t>ntities accompanying</w:t>
      </w:r>
      <w:r w:rsidRPr="002D2EEE">
        <w:rPr>
          <w:i/>
        </w:rPr>
        <w:t xml:space="preserve"> </w:t>
      </w:r>
      <w:r>
        <w:t xml:space="preserve">AASB 15 </w:t>
      </w:r>
      <w:r w:rsidRPr="00C406D3">
        <w:rPr>
          <w:i/>
          <w:iCs w:val="0"/>
        </w:rPr>
        <w:t>Revenue from Contracts with Customers</w:t>
      </w:r>
    </w:p>
    <w:p w14:paraId="3F42A8C1" w14:textId="55156B6F" w:rsidR="00DE766E" w:rsidRDefault="00DE766E" w:rsidP="27DC3EBB">
      <w:pPr>
        <w:pStyle w:val="NumPlain1"/>
        <w:shd w:val="clear" w:color="auto" w:fill="FFFFFF" w:themeFill="background1"/>
        <w:tabs>
          <w:tab w:val="clear" w:pos="510"/>
        </w:tabs>
        <w:spacing w:before="120" w:after="120"/>
      </w:pPr>
      <w:r>
        <w:t>Paragraph IE</w:t>
      </w:r>
      <w:r w:rsidR="00C01430">
        <w:t>4A</w:t>
      </w:r>
      <w:r w:rsidR="00383BC0">
        <w:t>, a heading</w:t>
      </w:r>
      <w:r>
        <w:t xml:space="preserve"> and Example </w:t>
      </w:r>
      <w:r w:rsidR="00687174">
        <w:t>7A</w:t>
      </w:r>
      <w:r>
        <w:t xml:space="preserve"> are added to the Australian </w:t>
      </w:r>
      <w:r w:rsidR="00545C35">
        <w:t>i</w:t>
      </w:r>
      <w:r w:rsidR="00267B75">
        <w:t xml:space="preserve">llustrative </w:t>
      </w:r>
      <w:r w:rsidR="00545C35">
        <w:t>e</w:t>
      </w:r>
      <w:r w:rsidR="00267B75">
        <w:t>xamples</w:t>
      </w:r>
      <w:r>
        <w:t xml:space="preserve"> for </w:t>
      </w:r>
      <w:r w:rsidR="00545C35">
        <w:t>n</w:t>
      </w:r>
      <w:r w:rsidR="00267B75">
        <w:t>ot</w:t>
      </w:r>
      <w:r>
        <w:t>-for-</w:t>
      </w:r>
      <w:r w:rsidR="00545C35">
        <w:t>p</w:t>
      </w:r>
      <w:r w:rsidR="00267B75">
        <w:t xml:space="preserve">rofit </w:t>
      </w:r>
      <w:r w:rsidR="00545C35">
        <w:t>e</w:t>
      </w:r>
      <w:r w:rsidR="00267B75">
        <w:t>ntities</w:t>
      </w:r>
      <w:r>
        <w:t xml:space="preserve"> accompanying AASB 15 as follows:</w:t>
      </w:r>
    </w:p>
    <w:p w14:paraId="6738ECF5" w14:textId="77777777" w:rsidR="00DE766E" w:rsidRPr="0020757E" w:rsidRDefault="00DE766E" w:rsidP="00DE766E">
      <w:pPr>
        <w:pStyle w:val="IASBSectionTitle1NonInd"/>
        <w:ind w:left="782"/>
      </w:pPr>
      <w:r w:rsidRPr="00E04B0C">
        <w:rPr>
          <w:bCs/>
          <w:szCs w:val="26"/>
        </w:rPr>
        <w:t>Accounting for upfront fees (paragraphs F5</w:t>
      </w:r>
      <w:r w:rsidRPr="00E04B0C">
        <w:rPr>
          <w:bCs/>
        </w:rPr>
        <w:t>–</w:t>
      </w:r>
      <w:r w:rsidRPr="00E04B0C">
        <w:rPr>
          <w:bCs/>
          <w:szCs w:val="26"/>
        </w:rPr>
        <w:t>F27)</w:t>
      </w:r>
    </w:p>
    <w:p w14:paraId="0DE74F65" w14:textId="6BEC629C" w:rsidR="00DE766E" w:rsidRPr="008C78AA" w:rsidRDefault="00DE766E" w:rsidP="00BD0981">
      <w:pPr>
        <w:pStyle w:val="NumPlain1"/>
        <w:numPr>
          <w:ilvl w:val="0"/>
          <w:numId w:val="0"/>
        </w:numPr>
        <w:shd w:val="clear" w:color="auto" w:fill="FFFFFF"/>
        <w:spacing w:before="120" w:after="120"/>
        <w:ind w:left="1564" w:hanging="782"/>
      </w:pPr>
      <w:r>
        <w:t>IE</w:t>
      </w:r>
      <w:r w:rsidR="00BF36B1">
        <w:t>4A</w:t>
      </w:r>
      <w:r>
        <w:tab/>
      </w:r>
      <w:r w:rsidRPr="008C78AA">
        <w:t xml:space="preserve">Example </w:t>
      </w:r>
      <w:r w:rsidR="0053136B">
        <w:t>7A</w:t>
      </w:r>
      <w:r w:rsidRPr="008C78AA">
        <w:t xml:space="preserve"> illustrate</w:t>
      </w:r>
      <w:r>
        <w:t>s</w:t>
      </w:r>
      <w:r w:rsidRPr="008C78AA">
        <w:t xml:space="preserve"> application of the requirements of AASB 15 to transactions where a</w:t>
      </w:r>
      <w:r w:rsidR="003C594D">
        <w:t xml:space="preserve"> not-for-profit </w:t>
      </w:r>
      <w:r w:rsidRPr="008C78AA">
        <w:t>entity charge</w:t>
      </w:r>
      <w:r>
        <w:t>s</w:t>
      </w:r>
      <w:r w:rsidRPr="008C78AA">
        <w:t xml:space="preserve"> upfront fees to customers or members as part of the goods and services offered. </w:t>
      </w:r>
      <w:r w:rsidR="00D968B9">
        <w:t xml:space="preserve">The following are examples of upfront </w:t>
      </w:r>
      <w:r w:rsidRPr="008C78AA">
        <w:t>fees:</w:t>
      </w:r>
    </w:p>
    <w:p w14:paraId="7DDD87BD" w14:textId="425A36BA" w:rsidR="00DE766E" w:rsidRPr="008C78AA" w:rsidRDefault="00DE766E" w:rsidP="000E214B">
      <w:pPr>
        <w:numPr>
          <w:ilvl w:val="0"/>
          <w:numId w:val="28"/>
        </w:numPr>
        <w:shd w:val="clear" w:color="auto" w:fill="FFFFFF"/>
        <w:spacing w:before="120" w:after="120"/>
        <w:ind w:left="2347" w:hanging="782"/>
        <w:rPr>
          <w:rFonts w:ascii="Arial" w:hAnsi="Arial"/>
          <w:sz w:val="18"/>
        </w:rPr>
      </w:pPr>
      <w:r w:rsidRPr="008C78AA">
        <w:t xml:space="preserve">joining fees at clubs and membership </w:t>
      </w:r>
      <w:proofErr w:type="gramStart"/>
      <w:r w:rsidRPr="008C78AA">
        <w:t>bodies</w:t>
      </w:r>
      <w:r w:rsidR="00AD33BB">
        <w:t>;</w:t>
      </w:r>
      <w:proofErr w:type="gramEnd"/>
    </w:p>
    <w:p w14:paraId="36AD6AC0" w14:textId="4F77699D" w:rsidR="00DE766E" w:rsidRPr="008C78AA" w:rsidRDefault="00DE766E" w:rsidP="000E214B">
      <w:pPr>
        <w:numPr>
          <w:ilvl w:val="0"/>
          <w:numId w:val="28"/>
        </w:numPr>
        <w:shd w:val="clear" w:color="auto" w:fill="FFFFFF"/>
        <w:spacing w:before="120" w:after="120"/>
        <w:ind w:left="2347" w:hanging="782"/>
        <w:rPr>
          <w:rFonts w:ascii="Arial" w:hAnsi="Arial"/>
          <w:sz w:val="18"/>
        </w:rPr>
      </w:pPr>
      <w:r w:rsidRPr="008C78AA">
        <w:t>enrolment fees at schools</w:t>
      </w:r>
      <w:r w:rsidR="00AD33BB">
        <w:t>;</w:t>
      </w:r>
      <w:r w:rsidR="006F7403">
        <w:t xml:space="preserve"> and</w:t>
      </w:r>
    </w:p>
    <w:p w14:paraId="35E522CA" w14:textId="225D8F8B" w:rsidR="00DE766E" w:rsidRPr="008C78AA" w:rsidRDefault="00DE766E" w:rsidP="000E214B">
      <w:pPr>
        <w:numPr>
          <w:ilvl w:val="0"/>
          <w:numId w:val="28"/>
        </w:numPr>
        <w:shd w:val="clear" w:color="auto" w:fill="FFFFFF"/>
        <w:spacing w:before="120" w:after="120"/>
        <w:ind w:left="2347" w:hanging="782"/>
        <w:rPr>
          <w:rFonts w:ascii="Arial" w:hAnsi="Arial"/>
          <w:sz w:val="18"/>
        </w:rPr>
      </w:pPr>
      <w:r w:rsidRPr="008C78AA">
        <w:t xml:space="preserve">other establishment or set-up fees where the fee is paid </w:t>
      </w:r>
      <w:r w:rsidR="003845A3">
        <w:t>at or near</w:t>
      </w:r>
      <w:r w:rsidR="00A50877">
        <w:t xml:space="preserve"> contract inception</w:t>
      </w:r>
      <w:r w:rsidRPr="008C78AA">
        <w:t xml:space="preserve"> and the customer can renew the contract each year without paying an additional fee.</w:t>
      </w:r>
      <w:r w:rsidRPr="008C78AA">
        <w:rPr>
          <w:rFonts w:ascii="Arial" w:hAnsi="Arial"/>
          <w:sz w:val="18"/>
        </w:rPr>
        <w:t xml:space="preserve"> </w:t>
      </w:r>
    </w:p>
    <w:p w14:paraId="6B0D7953" w14:textId="77777777" w:rsidR="00687B2A" w:rsidRDefault="00DE766E" w:rsidP="00BD0981">
      <w:pPr>
        <w:spacing w:after="240"/>
        <w:ind w:left="1565"/>
      </w:pPr>
      <w:r w:rsidRPr="008C78AA">
        <w:t xml:space="preserve">Where the goods or services to which the upfront fee relates are in the scope of AASB 15, the recognition of the upfront fee </w:t>
      </w:r>
      <w:r w:rsidR="00504F06">
        <w:t xml:space="preserve">as revenue </w:t>
      </w:r>
      <w:r w:rsidRPr="008C78AA">
        <w:t xml:space="preserve">depends on whether the payment of the fee </w:t>
      </w:r>
      <w:r w:rsidR="004B49F9">
        <w:t>relates to</w:t>
      </w:r>
      <w:r w:rsidRPr="008C78AA">
        <w:t xml:space="preserve"> a transfer of distinct goods or services to the customer </w:t>
      </w:r>
      <w:r w:rsidR="00A17800">
        <w:t>that</w:t>
      </w:r>
      <w:r w:rsidRPr="008C78AA">
        <w:t xml:space="preserve"> </w:t>
      </w:r>
      <w:r w:rsidR="00504F06">
        <w:t xml:space="preserve">meets </w:t>
      </w:r>
      <w:r w:rsidRPr="008C78AA">
        <w:t xml:space="preserve">the definition of a performance obligation. </w:t>
      </w:r>
      <w:r w:rsidR="00A17800">
        <w:t xml:space="preserve">In many cases, </w:t>
      </w:r>
      <w:r w:rsidR="000A34A5">
        <w:t xml:space="preserve">even though a non-refundable upfront fee relates to the activity that </w:t>
      </w:r>
      <w:r w:rsidR="00EE7C06">
        <w:t>an entity is required to undertake to fulfil the contract, that activity</w:t>
      </w:r>
      <w:r w:rsidR="00B34C1B">
        <w:t xml:space="preserve"> may be an administrative task </w:t>
      </w:r>
      <w:r w:rsidR="00E8742E">
        <w:t xml:space="preserve">that </w:t>
      </w:r>
      <w:r w:rsidR="00B34C1B">
        <w:t xml:space="preserve">does </w:t>
      </w:r>
      <w:r w:rsidR="00EE7C06">
        <w:t xml:space="preserve">not necessarily result in the transfer of a promised good or service to the customer. </w:t>
      </w:r>
    </w:p>
    <w:p w14:paraId="7DA82AD8" w14:textId="77777777" w:rsidR="00687B2A" w:rsidRDefault="00687B2A">
      <w:pPr>
        <w:jc w:val="left"/>
      </w:pPr>
      <w:r>
        <w:br w:type="page"/>
      </w:r>
    </w:p>
    <w:p w14:paraId="4CF376CF" w14:textId="6FFA94B8" w:rsidR="00937A09" w:rsidRPr="00DB5887" w:rsidRDefault="00937A09" w:rsidP="000D48E1">
      <w:pPr>
        <w:keepNext/>
        <w:pBdr>
          <w:top w:val="single" w:sz="4" w:space="5" w:color="auto"/>
          <w:left w:val="single" w:sz="4" w:space="4" w:color="auto"/>
          <w:bottom w:val="single" w:sz="4" w:space="7" w:color="auto"/>
          <w:right w:val="single" w:sz="4" w:space="4" w:color="auto"/>
          <w:between w:val="single" w:sz="4" w:space="5" w:color="auto"/>
        </w:pBdr>
        <w:spacing w:after="60"/>
        <w:ind w:left="782"/>
        <w:rPr>
          <w:b/>
        </w:rPr>
      </w:pPr>
      <w:r w:rsidRPr="004E48FD">
        <w:rPr>
          <w:b/>
        </w:rPr>
        <w:lastRenderedPageBreak/>
        <w:t xml:space="preserve">Example </w:t>
      </w:r>
      <w:r>
        <w:rPr>
          <w:b/>
        </w:rPr>
        <w:t>7A</w:t>
      </w:r>
      <w:r w:rsidRPr="004E48FD">
        <w:rPr>
          <w:b/>
        </w:rPr>
        <w:t>—</w:t>
      </w:r>
      <w:r>
        <w:rPr>
          <w:b/>
        </w:rPr>
        <w:t>Upfront fee charged by an organisation</w:t>
      </w:r>
    </w:p>
    <w:p w14:paraId="6D2BE9D0" w14:textId="0EF821F0"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782"/>
      </w:pPr>
      <w:r w:rsidRPr="00937A09">
        <w:t xml:space="preserve">An organisation offers enrolment </w:t>
      </w:r>
      <w:r w:rsidR="001853C3" w:rsidRPr="00937A09">
        <w:t xml:space="preserve">to prospective clients </w:t>
      </w:r>
      <w:r w:rsidRPr="00937A09">
        <w:t xml:space="preserve">for the services it provides. Upon accepting an offer of enrolment, the prospective client must pay an upfront fee (sometimes referred to as an ‘acceptance fee’, ‘entry fee’ or ‘enrolment fee’). The enrolment form sets out the following terms and conditions relevant to the fee: </w:t>
      </w:r>
    </w:p>
    <w:p w14:paraId="48B5B724" w14:textId="02661C4E" w:rsidR="00937A09" w:rsidRPr="00937A09" w:rsidRDefault="00937A09" w:rsidP="000D48E1">
      <w:pPr>
        <w:pBdr>
          <w:top w:val="single" w:sz="4" w:space="5" w:color="auto"/>
          <w:left w:val="single" w:sz="4" w:space="4" w:color="auto"/>
          <w:bottom w:val="single" w:sz="4" w:space="7" w:color="auto"/>
          <w:right w:val="single" w:sz="4" w:space="4" w:color="auto"/>
        </w:pBdr>
        <w:ind w:left="1139" w:hanging="357"/>
      </w:pPr>
      <w:r w:rsidRPr="00937A09">
        <w:t xml:space="preserve">• </w:t>
      </w:r>
      <w:r w:rsidR="00055BCD">
        <w:tab/>
      </w:r>
      <w:r w:rsidRPr="00937A09">
        <w:t xml:space="preserve">upon payment of the fee, future service is guaranteed for the client to commence in the agreed-upon year and </w:t>
      </w:r>
      <w:r w:rsidR="00AE2104">
        <w:t xml:space="preserve">on an </w:t>
      </w:r>
      <w:r w:rsidR="00C36134">
        <w:t xml:space="preserve">ongoing </w:t>
      </w:r>
      <w:proofErr w:type="gramStart"/>
      <w:r w:rsidR="00C36134">
        <w:t>basis;</w:t>
      </w:r>
      <w:proofErr w:type="gramEnd"/>
    </w:p>
    <w:p w14:paraId="7E3FBAD0" w14:textId="31F0A5F3" w:rsidR="00937A09" w:rsidRPr="00937A09" w:rsidRDefault="00937A09" w:rsidP="000E214B">
      <w:pPr>
        <w:pStyle w:val="ListParagraph"/>
        <w:numPr>
          <w:ilvl w:val="0"/>
          <w:numId w:val="31"/>
        </w:numPr>
        <w:pBdr>
          <w:top w:val="single" w:sz="4" w:space="5" w:color="auto"/>
          <w:bottom w:val="single" w:sz="4" w:space="7" w:color="auto"/>
        </w:pBdr>
        <w:spacing w:after="0"/>
      </w:pPr>
      <w:r w:rsidRPr="00937A09">
        <w:t xml:space="preserve">the fee is non-refundable and non-transferable; and </w:t>
      </w:r>
    </w:p>
    <w:p w14:paraId="6DEEBC7D" w14:textId="4A5D37F4"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1139" w:hanging="357"/>
      </w:pPr>
      <w:r w:rsidRPr="00937A09">
        <w:t xml:space="preserve">• </w:t>
      </w:r>
      <w:r w:rsidR="00055BCD">
        <w:tab/>
      </w:r>
      <w:r w:rsidRPr="00937A09">
        <w:t>the fee is not offset against any future fees</w:t>
      </w:r>
      <w:r w:rsidR="005B795E">
        <w:t xml:space="preserve"> that are charged </w:t>
      </w:r>
      <w:r w:rsidR="00A613D5">
        <w:t xml:space="preserve">on </w:t>
      </w:r>
      <w:r w:rsidR="00700598">
        <w:t>an ongoing basis for continued access to the services</w:t>
      </w:r>
      <w:r w:rsidRPr="00937A09">
        <w:t>.</w:t>
      </w:r>
    </w:p>
    <w:p w14:paraId="7AC1FC38" w14:textId="48EB86D6"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782"/>
      </w:pPr>
      <w:r w:rsidRPr="00937A09">
        <w:t xml:space="preserve">The analysis below sets out the process followed by </w:t>
      </w:r>
      <w:r w:rsidR="003C594D">
        <w:t>not-for-profit</w:t>
      </w:r>
      <w:r w:rsidRPr="00937A09">
        <w:t xml:space="preserve"> entities in determining the accounting treatment for upfront fees charged. The process does not specifically discuss any </w:t>
      </w:r>
      <w:proofErr w:type="gramStart"/>
      <w:r w:rsidRPr="00937A09">
        <w:t>particular fee</w:t>
      </w:r>
      <w:proofErr w:type="gramEnd"/>
      <w:r w:rsidRPr="00937A09">
        <w:t xml:space="preserve"> and </w:t>
      </w:r>
      <w:r w:rsidR="003A2669">
        <w:t xml:space="preserve">is applied in the context of </w:t>
      </w:r>
      <w:r w:rsidRPr="00937A09">
        <w:t xml:space="preserve">the relevant facts and circumstances </w:t>
      </w:r>
      <w:r w:rsidR="003A2669">
        <w:t xml:space="preserve">of an </w:t>
      </w:r>
      <w:r w:rsidRPr="00937A09">
        <w:t xml:space="preserve">entity’s upfront fees. Note: the term customer </w:t>
      </w:r>
      <w:r w:rsidR="003A2669">
        <w:t xml:space="preserve">is </w:t>
      </w:r>
      <w:r w:rsidRPr="00937A09">
        <w:t xml:space="preserve">used in the analysis to </w:t>
      </w:r>
      <w:r w:rsidR="003A2669">
        <w:t xml:space="preserve">cover </w:t>
      </w:r>
      <w:r w:rsidRPr="00937A09">
        <w:t xml:space="preserve">all counterparties to </w:t>
      </w:r>
      <w:r w:rsidR="001761A2">
        <w:t xml:space="preserve">an </w:t>
      </w:r>
      <w:r w:rsidRPr="00937A09">
        <w:t>agreement, for example members</w:t>
      </w:r>
      <w:r w:rsidR="00B5097D">
        <w:t xml:space="preserve"> </w:t>
      </w:r>
      <w:r w:rsidR="001761A2">
        <w:t xml:space="preserve">or </w:t>
      </w:r>
      <w:r w:rsidRPr="00937A09">
        <w:t>students.</w:t>
      </w:r>
    </w:p>
    <w:p w14:paraId="7EF5F770" w14:textId="77777777" w:rsidR="00937A09" w:rsidRPr="00937A09" w:rsidRDefault="00937A09" w:rsidP="00311A66">
      <w:pPr>
        <w:keepNext/>
        <w:pBdr>
          <w:top w:val="single" w:sz="4" w:space="5" w:color="auto"/>
          <w:left w:val="single" w:sz="4" w:space="4" w:color="auto"/>
          <w:bottom w:val="single" w:sz="4" w:space="7" w:color="auto"/>
          <w:right w:val="single" w:sz="4" w:space="4" w:color="auto"/>
        </w:pBdr>
        <w:spacing w:after="100"/>
        <w:ind w:left="782"/>
        <w:rPr>
          <w:u w:val="single"/>
        </w:rPr>
      </w:pPr>
      <w:r w:rsidRPr="00937A09">
        <w:rPr>
          <w:u w:val="single"/>
        </w:rPr>
        <w:t xml:space="preserve">Analysis </w:t>
      </w:r>
    </w:p>
    <w:p w14:paraId="3D2270B5" w14:textId="77777777" w:rsidR="00937A09" w:rsidRPr="00937A09" w:rsidRDefault="00937A09" w:rsidP="00311A66">
      <w:pPr>
        <w:keepNext/>
        <w:pBdr>
          <w:top w:val="single" w:sz="4" w:space="5" w:color="auto"/>
          <w:left w:val="single" w:sz="4" w:space="4" w:color="auto"/>
          <w:bottom w:val="single" w:sz="4" w:space="7" w:color="auto"/>
          <w:right w:val="single" w:sz="4" w:space="4" w:color="auto"/>
        </w:pBdr>
        <w:spacing w:after="100"/>
        <w:ind w:left="782"/>
        <w:rPr>
          <w:i/>
          <w:iCs/>
        </w:rPr>
      </w:pPr>
      <w:r w:rsidRPr="00937A09">
        <w:rPr>
          <w:i/>
          <w:iCs/>
        </w:rPr>
        <w:t xml:space="preserve">Is the contract within the scope of AASB 15 </w:t>
      </w:r>
      <w:r w:rsidRPr="00937A09">
        <w:t>Revenue from Contracts with Customers</w:t>
      </w:r>
      <w:r w:rsidRPr="00937A09">
        <w:rPr>
          <w:i/>
          <w:iCs/>
        </w:rPr>
        <w:t>?</w:t>
      </w:r>
    </w:p>
    <w:p w14:paraId="6D4AB4AE" w14:textId="44DCDC05"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782"/>
      </w:pPr>
      <w:r w:rsidRPr="00937A09">
        <w:t>The entity first considers whether the agreement with the customer is within the scope of AASB 15, by referring to AASB 15 paragraphs 9</w:t>
      </w:r>
      <w:r w:rsidR="00EE6AE1">
        <w:t>–</w:t>
      </w:r>
      <w:r w:rsidRPr="00937A09">
        <w:t>21 and F5</w:t>
      </w:r>
      <w:r w:rsidR="00D534AD">
        <w:t>–</w:t>
      </w:r>
      <w:r w:rsidR="001253D5">
        <w:t>F</w:t>
      </w:r>
      <w:r w:rsidRPr="00937A09">
        <w:t>19 to determine whether there is a contract with a customer:</w:t>
      </w:r>
    </w:p>
    <w:p w14:paraId="66026AC0" w14:textId="31C765F4" w:rsidR="00937A09" w:rsidRPr="00937A09" w:rsidRDefault="00937A09" w:rsidP="000D48E1">
      <w:pPr>
        <w:pBdr>
          <w:top w:val="single" w:sz="4" w:space="5" w:color="auto"/>
          <w:left w:val="single" w:sz="4" w:space="4" w:color="auto"/>
          <w:bottom w:val="single" w:sz="4" w:space="7" w:color="auto"/>
          <w:right w:val="single" w:sz="4" w:space="4" w:color="auto"/>
        </w:pBdr>
        <w:ind w:left="1139" w:hanging="357"/>
      </w:pPr>
      <w:r w:rsidRPr="00937A09">
        <w:t xml:space="preserve">• </w:t>
      </w:r>
      <w:r w:rsidR="008D241F">
        <w:tab/>
      </w:r>
      <w:r w:rsidRPr="00937A09">
        <w:t>Is there a customer who has promised consideration in exchange for goods or services from the entity</w:t>
      </w:r>
      <w:r w:rsidR="00611B23">
        <w:t xml:space="preserve"> and </w:t>
      </w:r>
      <w:r w:rsidR="00AB5C8D">
        <w:t>is the promise to transfer good</w:t>
      </w:r>
      <w:r w:rsidR="001761A2">
        <w:t>s</w:t>
      </w:r>
      <w:r w:rsidR="00AB5C8D">
        <w:t xml:space="preserve"> or service</w:t>
      </w:r>
      <w:r w:rsidR="001761A2">
        <w:t>s</w:t>
      </w:r>
      <w:r w:rsidR="00AB5C8D">
        <w:t xml:space="preserve"> sufficiently specific</w:t>
      </w:r>
      <w:r w:rsidRPr="00937A09">
        <w:t>? (AASB 15</w:t>
      </w:r>
      <w:r w:rsidR="00B11BE9">
        <w:t xml:space="preserve">, paragraphs </w:t>
      </w:r>
      <w:r w:rsidRPr="00937A09">
        <w:t>9</w:t>
      </w:r>
      <w:r w:rsidR="00CA478C">
        <w:t>, Aus9.1</w:t>
      </w:r>
      <w:r w:rsidR="00B11BE9">
        <w:t xml:space="preserve"> and</w:t>
      </w:r>
      <w:r w:rsidRPr="00937A09">
        <w:t xml:space="preserve"> F</w:t>
      </w:r>
      <w:r w:rsidR="000652B5">
        <w:t>5</w:t>
      </w:r>
      <w:r w:rsidR="00313CBE">
        <w:t>–</w:t>
      </w:r>
      <w:r w:rsidRPr="00937A09">
        <w:t>F7)</w:t>
      </w:r>
    </w:p>
    <w:p w14:paraId="05C62531" w14:textId="7A38E393" w:rsidR="00937A09" w:rsidRPr="00937A09" w:rsidRDefault="00937A09" w:rsidP="000D48E1">
      <w:pPr>
        <w:pBdr>
          <w:top w:val="single" w:sz="4" w:space="5" w:color="auto"/>
          <w:left w:val="single" w:sz="4" w:space="4" w:color="auto"/>
          <w:bottom w:val="single" w:sz="4" w:space="7" w:color="auto"/>
          <w:right w:val="single" w:sz="4" w:space="4" w:color="auto"/>
        </w:pBdr>
        <w:ind w:left="1139" w:hanging="357"/>
      </w:pPr>
      <w:r w:rsidRPr="00937A09">
        <w:t xml:space="preserve">• </w:t>
      </w:r>
      <w:r w:rsidR="008D241F">
        <w:tab/>
      </w:r>
      <w:r w:rsidRPr="00937A09">
        <w:t xml:space="preserve">Is there a </w:t>
      </w:r>
      <w:r w:rsidR="00A16AE6">
        <w:t>written</w:t>
      </w:r>
      <w:r w:rsidR="00585379">
        <w:t xml:space="preserve">, </w:t>
      </w:r>
      <w:proofErr w:type="gramStart"/>
      <w:r w:rsidR="00585379">
        <w:t>oral</w:t>
      </w:r>
      <w:proofErr w:type="gramEnd"/>
      <w:r w:rsidR="00A16AE6">
        <w:t xml:space="preserve"> or implied </w:t>
      </w:r>
      <w:r w:rsidRPr="00937A09">
        <w:t xml:space="preserve">agreement, </w:t>
      </w:r>
      <w:r w:rsidR="001761A2">
        <w:t xml:space="preserve">such as </w:t>
      </w:r>
      <w:r w:rsidRPr="00937A09">
        <w:t xml:space="preserve">an application form or other </w:t>
      </w:r>
      <w:r w:rsidR="0098583E">
        <w:t>document</w:t>
      </w:r>
      <w:r w:rsidRPr="00937A09">
        <w:t>? (AASB 15</w:t>
      </w:r>
      <w:r w:rsidR="00B11BE9">
        <w:t>, paragraphs 1</w:t>
      </w:r>
      <w:r w:rsidRPr="00937A09">
        <w:t>0</w:t>
      </w:r>
      <w:r w:rsidR="00B11BE9">
        <w:t xml:space="preserve"> and</w:t>
      </w:r>
      <w:r w:rsidRPr="00937A09">
        <w:t xml:space="preserve"> F8</w:t>
      </w:r>
      <w:r w:rsidR="00315E05">
        <w:t>–</w:t>
      </w:r>
      <w:r w:rsidRPr="00937A09">
        <w:t>F9)</w:t>
      </w:r>
    </w:p>
    <w:p w14:paraId="1D8D6952" w14:textId="39B482CA"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1139" w:hanging="357"/>
      </w:pPr>
      <w:r w:rsidRPr="00937A09">
        <w:t xml:space="preserve">• </w:t>
      </w:r>
      <w:r w:rsidR="008D241F">
        <w:tab/>
      </w:r>
      <w:r w:rsidRPr="00937A09">
        <w:t xml:space="preserve">Does the agreement create enforceable rights and obligations </w:t>
      </w:r>
      <w:r w:rsidR="00585379">
        <w:t xml:space="preserve">for the parties? For example, could </w:t>
      </w:r>
      <w:r w:rsidRPr="00937A09">
        <w:t xml:space="preserve">the customer either enforce the agreement or </w:t>
      </w:r>
      <w:r w:rsidR="00585379">
        <w:t xml:space="preserve">obtain other </w:t>
      </w:r>
      <w:r w:rsidRPr="00937A09">
        <w:t>remedy under Australian law if the promised service was not delivered? (AASB 15</w:t>
      </w:r>
      <w:r w:rsidR="00B11BE9">
        <w:t xml:space="preserve">, paragraphs </w:t>
      </w:r>
      <w:r w:rsidRPr="00937A09">
        <w:t>10</w:t>
      </w:r>
      <w:r w:rsidR="00B11BE9">
        <w:t xml:space="preserve"> and</w:t>
      </w:r>
      <w:r w:rsidRPr="00937A09">
        <w:t xml:space="preserve"> F10</w:t>
      </w:r>
      <w:r w:rsidR="0078268E">
        <w:t>–</w:t>
      </w:r>
      <w:r w:rsidRPr="00937A09">
        <w:t>F18</w:t>
      </w:r>
      <w:r w:rsidR="00C43B0D">
        <w:t>)</w:t>
      </w:r>
    </w:p>
    <w:p w14:paraId="1F0DE549" w14:textId="1761D3A9"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782"/>
      </w:pPr>
      <w:r w:rsidRPr="00937A09">
        <w:t>In many cases where there will be an ongoing relationship with the customer following payment of the upfront fee</w:t>
      </w:r>
      <w:r w:rsidR="00611745">
        <w:t>,</w:t>
      </w:r>
      <w:r w:rsidRPr="00937A09">
        <w:t xml:space="preserve"> </w:t>
      </w:r>
      <w:r w:rsidR="00611745">
        <w:t xml:space="preserve">such as </w:t>
      </w:r>
      <w:r w:rsidRPr="00937A09">
        <w:t>annual fees to access a service</w:t>
      </w:r>
      <w:r w:rsidR="00611745">
        <w:t>,</w:t>
      </w:r>
      <w:r w:rsidRPr="00937A09">
        <w:t xml:space="preserve"> revenue </w:t>
      </w:r>
      <w:r w:rsidR="00611745">
        <w:t xml:space="preserve">would be recognised in accordance with </w:t>
      </w:r>
      <w:r w:rsidRPr="00937A09">
        <w:t xml:space="preserve">AASB 15. </w:t>
      </w:r>
      <w:r w:rsidR="00CA3616" w:rsidRPr="00937A09">
        <w:t xml:space="preserve">If </w:t>
      </w:r>
      <w:r w:rsidRPr="00937A09">
        <w:t xml:space="preserve">multiple agreements are in place, for example </w:t>
      </w:r>
      <w:r w:rsidR="00CA3616">
        <w:t xml:space="preserve">an </w:t>
      </w:r>
      <w:r w:rsidRPr="00937A09">
        <w:t xml:space="preserve">agreement for </w:t>
      </w:r>
      <w:r w:rsidR="00CA3616">
        <w:t xml:space="preserve">a </w:t>
      </w:r>
      <w:r w:rsidRPr="00937A09">
        <w:t>joining fee and a separate agreement for the annual membership fee</w:t>
      </w:r>
      <w:r w:rsidR="00CA3616">
        <w:t>,</w:t>
      </w:r>
      <w:r w:rsidRPr="00937A09">
        <w:t xml:space="preserve"> then the guidance </w:t>
      </w:r>
      <w:r w:rsidR="00F82B5F">
        <w:t>in paragraph 17 of</w:t>
      </w:r>
      <w:r w:rsidRPr="00937A09">
        <w:t xml:space="preserve"> AASB 15 should be considered in relation to </w:t>
      </w:r>
      <w:r w:rsidR="00611745">
        <w:t xml:space="preserve">combining the agreements </w:t>
      </w:r>
      <w:r w:rsidRPr="00937A09">
        <w:t>for accounting purposes.</w:t>
      </w:r>
    </w:p>
    <w:p w14:paraId="7321DDAF" w14:textId="66A5A69A" w:rsidR="00937A09" w:rsidRPr="00937A09" w:rsidRDefault="00937A09" w:rsidP="00311A66">
      <w:pPr>
        <w:keepNext/>
        <w:pBdr>
          <w:top w:val="single" w:sz="4" w:space="5" w:color="auto"/>
          <w:left w:val="single" w:sz="4" w:space="4" w:color="auto"/>
          <w:bottom w:val="single" w:sz="4" w:space="7" w:color="auto"/>
          <w:right w:val="single" w:sz="4" w:space="4" w:color="auto"/>
        </w:pBdr>
        <w:spacing w:after="100"/>
        <w:ind w:left="782"/>
      </w:pPr>
      <w:r w:rsidRPr="00937A09">
        <w:rPr>
          <w:i/>
          <w:iCs/>
        </w:rPr>
        <w:t xml:space="preserve">What are the performance obligations in the contract, and </w:t>
      </w:r>
      <w:r w:rsidR="003C22F9">
        <w:rPr>
          <w:i/>
          <w:iCs/>
        </w:rPr>
        <w:t>are the activities associated with</w:t>
      </w:r>
      <w:r w:rsidRPr="00937A09">
        <w:rPr>
          <w:i/>
          <w:iCs/>
        </w:rPr>
        <w:t xml:space="preserve"> the non-refundable upfront fee one of </w:t>
      </w:r>
      <w:r w:rsidR="00B3210A">
        <w:rPr>
          <w:i/>
          <w:iCs/>
        </w:rPr>
        <w:t>these performance obligations</w:t>
      </w:r>
      <w:r w:rsidRPr="00937A09">
        <w:rPr>
          <w:i/>
          <w:iCs/>
        </w:rPr>
        <w:t>?</w:t>
      </w:r>
    </w:p>
    <w:p w14:paraId="75427D4E" w14:textId="77777777" w:rsidR="00937A09" w:rsidRPr="00937A09" w:rsidRDefault="00937A09" w:rsidP="00311A66">
      <w:pPr>
        <w:keepNext/>
        <w:pBdr>
          <w:top w:val="single" w:sz="4" w:space="5" w:color="auto"/>
          <w:left w:val="single" w:sz="4" w:space="4" w:color="auto"/>
          <w:bottom w:val="single" w:sz="4" w:space="7" w:color="auto"/>
          <w:right w:val="single" w:sz="4" w:space="4" w:color="auto"/>
        </w:pBdr>
        <w:spacing w:after="100"/>
        <w:ind w:left="782"/>
      </w:pPr>
      <w:r w:rsidRPr="00937A09">
        <w:t>The entity considers the guidance on:</w:t>
      </w:r>
    </w:p>
    <w:p w14:paraId="12CE078F" w14:textId="1F01B4B1" w:rsidR="00937A09" w:rsidRPr="00937A09" w:rsidRDefault="00937A09" w:rsidP="000D48E1">
      <w:pPr>
        <w:pBdr>
          <w:top w:val="single" w:sz="4" w:space="5" w:color="auto"/>
          <w:left w:val="single" w:sz="4" w:space="4" w:color="auto"/>
          <w:bottom w:val="single" w:sz="4" w:space="7" w:color="auto"/>
          <w:right w:val="single" w:sz="4" w:space="4" w:color="auto"/>
        </w:pBdr>
        <w:ind w:left="1139" w:hanging="357"/>
      </w:pPr>
      <w:r w:rsidRPr="00937A09">
        <w:t xml:space="preserve">• </w:t>
      </w:r>
      <w:r w:rsidR="00CB2331">
        <w:tab/>
      </w:r>
      <w:r w:rsidRPr="00937A09">
        <w:t>accounting for non-refundable fees in AASB 15</w:t>
      </w:r>
      <w:r w:rsidR="00F82B5F">
        <w:t xml:space="preserve">, paragraphs </w:t>
      </w:r>
      <w:r w:rsidRPr="00937A09">
        <w:t>B48</w:t>
      </w:r>
      <w:r w:rsidR="00003AB9">
        <w:t>–</w:t>
      </w:r>
      <w:r w:rsidR="00F82B5F">
        <w:t>B</w:t>
      </w:r>
      <w:r w:rsidRPr="00937A09">
        <w:t>51</w:t>
      </w:r>
      <w:r w:rsidR="00CB2331">
        <w:t>;</w:t>
      </w:r>
      <w:r w:rsidRPr="00937A09">
        <w:t xml:space="preserve"> and</w:t>
      </w:r>
    </w:p>
    <w:p w14:paraId="0504B3EC" w14:textId="568578F0" w:rsidR="00937A09" w:rsidRPr="00937A09" w:rsidRDefault="00937A09" w:rsidP="000D48E1">
      <w:pPr>
        <w:pBdr>
          <w:top w:val="single" w:sz="4" w:space="5" w:color="auto"/>
          <w:left w:val="single" w:sz="4" w:space="4" w:color="auto"/>
          <w:bottom w:val="single" w:sz="4" w:space="7" w:color="auto"/>
          <w:right w:val="single" w:sz="4" w:space="4" w:color="auto"/>
        </w:pBdr>
        <w:ind w:left="1139" w:hanging="357"/>
      </w:pPr>
      <w:r w:rsidRPr="00937A09">
        <w:t xml:space="preserve">• </w:t>
      </w:r>
      <w:r w:rsidR="00CB2331">
        <w:tab/>
      </w:r>
      <w:r w:rsidRPr="00937A09">
        <w:t>identifying performance obligations in AASB 15</w:t>
      </w:r>
      <w:r w:rsidR="00F82B5F">
        <w:t xml:space="preserve">, paragraphs </w:t>
      </w:r>
      <w:r w:rsidRPr="00937A09">
        <w:t>22</w:t>
      </w:r>
      <w:r w:rsidR="00EC4F15">
        <w:t>–</w:t>
      </w:r>
      <w:r w:rsidRPr="00937A09">
        <w:t>30 and F20</w:t>
      </w:r>
      <w:r w:rsidR="00EC4F15">
        <w:t>–</w:t>
      </w:r>
      <w:proofErr w:type="gramStart"/>
      <w:r w:rsidRPr="00937A09">
        <w:t>F27</w:t>
      </w:r>
      <w:r w:rsidR="00AF59AA">
        <w:t>;</w:t>
      </w:r>
      <w:proofErr w:type="gramEnd"/>
    </w:p>
    <w:p w14:paraId="20771657" w14:textId="77777777" w:rsidR="00937A09" w:rsidRPr="00937A09" w:rsidRDefault="00937A09" w:rsidP="000D48E1">
      <w:pPr>
        <w:pBdr>
          <w:top w:val="single" w:sz="4" w:space="5" w:color="auto"/>
          <w:left w:val="single" w:sz="4" w:space="4" w:color="auto"/>
          <w:bottom w:val="single" w:sz="4" w:space="7" w:color="auto"/>
          <w:right w:val="single" w:sz="4" w:space="4" w:color="auto"/>
        </w:pBdr>
        <w:spacing w:before="100" w:after="100"/>
        <w:ind w:left="782"/>
      </w:pPr>
      <w:r w:rsidRPr="00937A09">
        <w:t>to determine whether the upfront fee relates to the transfer of a good or service separate to the provision of services in the future.</w:t>
      </w:r>
    </w:p>
    <w:p w14:paraId="639730CD" w14:textId="101B5FB3" w:rsidR="00ED113C" w:rsidRDefault="00937A09" w:rsidP="000D48E1">
      <w:pPr>
        <w:pBdr>
          <w:top w:val="single" w:sz="4" w:space="5" w:color="auto"/>
          <w:left w:val="single" w:sz="4" w:space="4" w:color="auto"/>
          <w:bottom w:val="single" w:sz="4" w:space="7" w:color="auto"/>
          <w:right w:val="single" w:sz="4" w:space="4" w:color="auto"/>
        </w:pBdr>
        <w:spacing w:after="100"/>
        <w:ind w:left="782"/>
      </w:pPr>
      <w:r w:rsidRPr="00937A09">
        <w:t xml:space="preserve">In performing this analysis, the entity </w:t>
      </w:r>
      <w:r w:rsidR="00EB07FC">
        <w:t xml:space="preserve">notes </w:t>
      </w:r>
      <w:r w:rsidRPr="00937A09">
        <w:t>that performance obligations do not include activities that an entity must undertake to fulfil a contract (</w:t>
      </w:r>
      <w:proofErr w:type="spellStart"/>
      <w:proofErr w:type="gramStart"/>
      <w:r w:rsidR="00C43B0D">
        <w:t>eg</w:t>
      </w:r>
      <w:proofErr w:type="spellEnd"/>
      <w:proofErr w:type="gramEnd"/>
      <w:r w:rsidR="00C43B0D">
        <w:t xml:space="preserve"> </w:t>
      </w:r>
      <w:r w:rsidRPr="00937A09">
        <w:t xml:space="preserve">setting up a customer on the system, printing membership cards </w:t>
      </w:r>
      <w:r w:rsidR="00184288">
        <w:t>and similar</w:t>
      </w:r>
      <w:r w:rsidRPr="00937A09">
        <w:t>) unless those activities transfer a good or service to the customer (AASB 15</w:t>
      </w:r>
      <w:r w:rsidR="004B37E4">
        <w:t xml:space="preserve">, paragraph </w:t>
      </w:r>
      <w:r w:rsidRPr="00937A09">
        <w:t xml:space="preserve">25). The non-refundable fee might cover internal administrative activities </w:t>
      </w:r>
      <w:r w:rsidR="00F563C0">
        <w:t xml:space="preserve">that </w:t>
      </w:r>
      <w:r w:rsidRPr="00937A09">
        <w:t>enable the entity to provide future services to the customer</w:t>
      </w:r>
      <w:r w:rsidR="001D4920">
        <w:t>. However,</w:t>
      </w:r>
      <w:r w:rsidRPr="00937A09">
        <w:t xml:space="preserve"> these activities do not transfer a promised good or service to the customer separate from the provision of future services and</w:t>
      </w:r>
      <w:r w:rsidRPr="00937A09" w:rsidDel="00A969D6">
        <w:t xml:space="preserve"> </w:t>
      </w:r>
      <w:r w:rsidRPr="00937A09">
        <w:t xml:space="preserve">therefore </w:t>
      </w:r>
      <w:r w:rsidR="00641827">
        <w:t>do not satisfy</w:t>
      </w:r>
      <w:r w:rsidRPr="00937A09">
        <w:t xml:space="preserve"> a separate performance obligation (AASB</w:t>
      </w:r>
      <w:r w:rsidR="004D5C36">
        <w:t> </w:t>
      </w:r>
      <w:r w:rsidRPr="00937A09">
        <w:t>15</w:t>
      </w:r>
      <w:r w:rsidR="004B37E4">
        <w:t xml:space="preserve">, paragraph </w:t>
      </w:r>
      <w:r w:rsidRPr="00937A09">
        <w:t>B</w:t>
      </w:r>
      <w:r w:rsidR="003C290F">
        <w:t>51</w:t>
      </w:r>
      <w:r w:rsidRPr="00937A09">
        <w:t xml:space="preserve">). If this is the case, the entity concludes that the non-refundable upfront fee </w:t>
      </w:r>
      <w:r w:rsidR="00300CDC">
        <w:t xml:space="preserve">– </w:t>
      </w:r>
      <w:r w:rsidR="007508EB">
        <w:t>to the exten</w:t>
      </w:r>
      <w:r w:rsidR="00522B78">
        <w:t>t</w:t>
      </w:r>
      <w:r w:rsidR="007508EB">
        <w:t xml:space="preserve"> it </w:t>
      </w:r>
      <w:r w:rsidR="00622AAD">
        <w:t xml:space="preserve">relates to the internal </w:t>
      </w:r>
      <w:r w:rsidR="008D4FAF">
        <w:t xml:space="preserve">administrative services </w:t>
      </w:r>
      <w:r w:rsidR="00300CDC">
        <w:t xml:space="preserve">– </w:t>
      </w:r>
      <w:r w:rsidRPr="00937A09">
        <w:t xml:space="preserve">does not represent a </w:t>
      </w:r>
      <w:r w:rsidR="006C357B">
        <w:t xml:space="preserve">payment for a </w:t>
      </w:r>
      <w:r w:rsidR="004C0780">
        <w:t>separate</w:t>
      </w:r>
      <w:r w:rsidR="004C0780" w:rsidRPr="00937A09">
        <w:t xml:space="preserve"> </w:t>
      </w:r>
      <w:r w:rsidRPr="00937A09">
        <w:t>performance obligation but is in substance an advance payment for future services.</w:t>
      </w:r>
      <w:r w:rsidR="008D4FAF">
        <w:t xml:space="preserve"> </w:t>
      </w:r>
    </w:p>
    <w:p w14:paraId="13A0C486" w14:textId="45F35F6F" w:rsidR="00937A09" w:rsidRPr="00937A09" w:rsidRDefault="00394F2C" w:rsidP="000D48E1">
      <w:pPr>
        <w:pBdr>
          <w:top w:val="single" w:sz="4" w:space="5" w:color="auto"/>
          <w:left w:val="single" w:sz="4" w:space="4" w:color="auto"/>
          <w:bottom w:val="single" w:sz="4" w:space="7" w:color="auto"/>
          <w:right w:val="single" w:sz="4" w:space="4" w:color="auto"/>
        </w:pBdr>
        <w:spacing w:after="100"/>
        <w:ind w:left="782"/>
      </w:pPr>
      <w:r>
        <w:t xml:space="preserve">In </w:t>
      </w:r>
      <w:r w:rsidR="0092005F">
        <w:t xml:space="preserve">other </w:t>
      </w:r>
      <w:r>
        <w:t>circumstances</w:t>
      </w:r>
      <w:r w:rsidR="0092005F">
        <w:t>,</w:t>
      </w:r>
      <w:r>
        <w:t xml:space="preserve"> </w:t>
      </w:r>
      <w:r w:rsidR="0092005F">
        <w:t xml:space="preserve">some or all </w:t>
      </w:r>
      <w:r>
        <w:t xml:space="preserve">of the upfront </w:t>
      </w:r>
      <w:proofErr w:type="gramStart"/>
      <w:r>
        <w:t>fee</w:t>
      </w:r>
      <w:proofErr w:type="gramEnd"/>
      <w:r>
        <w:t xml:space="preserve"> </w:t>
      </w:r>
      <w:r w:rsidR="00491F57">
        <w:t xml:space="preserve">may </w:t>
      </w:r>
      <w:r w:rsidR="00CB07CD">
        <w:t>relate to a separate performance obligation</w:t>
      </w:r>
      <w:r w:rsidR="0092005F">
        <w:t xml:space="preserve"> or obligations</w:t>
      </w:r>
      <w:r w:rsidR="009D03CF">
        <w:t xml:space="preserve">, whether </w:t>
      </w:r>
      <w:r w:rsidR="00A53E6E">
        <w:t xml:space="preserve">satisfied at or near </w:t>
      </w:r>
      <w:r w:rsidR="00654EDD">
        <w:t>contract inception</w:t>
      </w:r>
      <w:r w:rsidR="00A77981">
        <w:t xml:space="preserve"> or otherwise</w:t>
      </w:r>
      <w:r w:rsidR="00B07349">
        <w:t>.</w:t>
      </w:r>
    </w:p>
    <w:p w14:paraId="19A01602" w14:textId="77777777" w:rsidR="00937A09" w:rsidRPr="00937A09" w:rsidRDefault="00937A09" w:rsidP="00311A66">
      <w:pPr>
        <w:keepNext/>
        <w:pBdr>
          <w:top w:val="single" w:sz="4" w:space="5" w:color="auto"/>
          <w:left w:val="single" w:sz="4" w:space="4" w:color="auto"/>
          <w:bottom w:val="single" w:sz="4" w:space="7" w:color="auto"/>
          <w:right w:val="single" w:sz="4" w:space="4" w:color="auto"/>
        </w:pBdr>
        <w:spacing w:after="100"/>
        <w:ind w:left="782"/>
      </w:pPr>
      <w:r w:rsidRPr="00937A09">
        <w:rPr>
          <w:i/>
          <w:iCs/>
        </w:rPr>
        <w:t>How is the revenue for the upfront fee recognised?</w:t>
      </w:r>
    </w:p>
    <w:p w14:paraId="2D790F96" w14:textId="6F6A0442" w:rsidR="00937A09" w:rsidRPr="00937A09" w:rsidRDefault="00AE13F8" w:rsidP="000D48E1">
      <w:pPr>
        <w:pBdr>
          <w:top w:val="single" w:sz="4" w:space="5" w:color="auto"/>
          <w:left w:val="single" w:sz="4" w:space="4" w:color="auto"/>
          <w:bottom w:val="single" w:sz="4" w:space="7" w:color="auto"/>
          <w:right w:val="single" w:sz="4" w:space="4" w:color="auto"/>
        </w:pBdr>
        <w:spacing w:after="100"/>
        <w:ind w:left="782"/>
      </w:pPr>
      <w:r>
        <w:t>Where the activity does not result in a transfer of a good or service to the customer</w:t>
      </w:r>
      <w:r w:rsidR="00F05586">
        <w:t xml:space="preserve"> that </w:t>
      </w:r>
      <w:r w:rsidR="00EF4850">
        <w:t xml:space="preserve">satisfies </w:t>
      </w:r>
      <w:r w:rsidR="001E5A14">
        <w:t>a separate performance obligation</w:t>
      </w:r>
      <w:r>
        <w:t xml:space="preserve"> and </w:t>
      </w:r>
      <w:r w:rsidR="000F033F">
        <w:t>the up</w:t>
      </w:r>
      <w:r w:rsidR="008A3040">
        <w:t xml:space="preserve">front fee </w:t>
      </w:r>
      <w:r>
        <w:t>is an advance payment for performance obligations to be satisfied in the future, t</w:t>
      </w:r>
      <w:r w:rsidR="00937A09" w:rsidRPr="00937A09">
        <w:t xml:space="preserve">he upfront fee is recognised as revenue as these future services are provided, </w:t>
      </w:r>
      <w:r w:rsidR="00EF4850">
        <w:t xml:space="preserve">that is, </w:t>
      </w:r>
      <w:r w:rsidR="00937A09" w:rsidRPr="00937A09">
        <w:t xml:space="preserve">over the period in which the performance obligation is satisfied. If the entity has charged the non-refundable fee in part as compensation for costs incurred in setting up a contract (or other </w:t>
      </w:r>
      <w:r w:rsidR="002B60BD" w:rsidRPr="00937A09">
        <w:t>administrati</w:t>
      </w:r>
      <w:r w:rsidR="002B60BD">
        <w:t>ve</w:t>
      </w:r>
      <w:r w:rsidR="002B60BD" w:rsidRPr="00937A09">
        <w:t xml:space="preserve"> </w:t>
      </w:r>
      <w:r w:rsidR="00937A09" w:rsidRPr="00937A09">
        <w:t xml:space="preserve">tasks) and those setup </w:t>
      </w:r>
      <w:r w:rsidR="00937A09" w:rsidRPr="00937A09">
        <w:lastRenderedPageBreak/>
        <w:t>activities are not a separate performance obligation, they should be disregarded when measuring progress towards completion of the services (AASB 15</w:t>
      </w:r>
      <w:r w:rsidR="00EC23A7">
        <w:t xml:space="preserve">, paragraph </w:t>
      </w:r>
      <w:r w:rsidR="00937A09" w:rsidRPr="00937A09">
        <w:t>B51). The revenue recognition period will extend beyond the initial contractual period if the entity grants the customer the option to renew the contract and that option provides the customer with a material right (</w:t>
      </w:r>
      <w:proofErr w:type="spellStart"/>
      <w:proofErr w:type="gramStart"/>
      <w:r w:rsidR="00E265E3">
        <w:t>eg</w:t>
      </w:r>
      <w:proofErr w:type="spellEnd"/>
      <w:proofErr w:type="gramEnd"/>
      <w:r w:rsidR="00E265E3">
        <w:t xml:space="preserve"> </w:t>
      </w:r>
      <w:r w:rsidR="00937A09" w:rsidRPr="00937A09">
        <w:t>no requirement to pay a further joining fee on renewal) (AASB 15</w:t>
      </w:r>
      <w:r w:rsidR="00EC23A7">
        <w:t>, paragraph</w:t>
      </w:r>
      <w:r w:rsidR="00EF4850">
        <w:t>s</w:t>
      </w:r>
      <w:r w:rsidR="00EC23A7">
        <w:t xml:space="preserve"> </w:t>
      </w:r>
      <w:r w:rsidR="004E7B14">
        <w:t xml:space="preserve">B40 and </w:t>
      </w:r>
      <w:r w:rsidR="00937A09" w:rsidRPr="00937A09">
        <w:t xml:space="preserve">B49). Annual fees charged to access the services will be recognised as revenue </w:t>
      </w:r>
      <w:r w:rsidR="00E84CD3">
        <w:t>over</w:t>
      </w:r>
      <w:r w:rsidR="00937A09" w:rsidRPr="00937A09">
        <w:t xml:space="preserve"> the period </w:t>
      </w:r>
      <w:r w:rsidR="00B25CAA">
        <w:t>that</w:t>
      </w:r>
      <w:r w:rsidR="00937A09" w:rsidRPr="00937A09">
        <w:t xml:space="preserve"> the service</w:t>
      </w:r>
      <w:r w:rsidR="00B25CAA">
        <w:t>s are provided</w:t>
      </w:r>
      <w:r w:rsidR="00937A09" w:rsidRPr="00937A09">
        <w:t>.</w:t>
      </w:r>
    </w:p>
    <w:p w14:paraId="3FB337DF" w14:textId="5B45379A" w:rsidR="0092005F" w:rsidRPr="00937A09" w:rsidRDefault="0092005F" w:rsidP="0092005F">
      <w:pPr>
        <w:pBdr>
          <w:top w:val="single" w:sz="4" w:space="5" w:color="auto"/>
          <w:left w:val="single" w:sz="4" w:space="4" w:color="auto"/>
          <w:bottom w:val="single" w:sz="4" w:space="7" w:color="auto"/>
          <w:right w:val="single" w:sz="4" w:space="4" w:color="auto"/>
        </w:pBdr>
        <w:spacing w:after="100"/>
        <w:ind w:left="782"/>
      </w:pPr>
      <w:r>
        <w:t xml:space="preserve">In the circumstances where </w:t>
      </w:r>
      <w:r w:rsidR="00EF4850">
        <w:t xml:space="preserve">some or </w:t>
      </w:r>
      <w:proofErr w:type="gramStart"/>
      <w:r w:rsidR="00EF4850">
        <w:t>all</w:t>
      </w:r>
      <w:r>
        <w:t xml:space="preserve"> of</w:t>
      </w:r>
      <w:proofErr w:type="gramEnd"/>
      <w:r>
        <w:t xml:space="preserve"> the upfront fee relates to a separate performance obligation</w:t>
      </w:r>
      <w:r w:rsidR="00EF4850">
        <w:t xml:space="preserve"> or obligations</w:t>
      </w:r>
      <w:r>
        <w:t xml:space="preserve">, the </w:t>
      </w:r>
      <w:r w:rsidR="00EF4850">
        <w:t xml:space="preserve">relevant </w:t>
      </w:r>
      <w:r>
        <w:t>portion of the upfront fee is recognised as revenue when the separate performance obligation</w:t>
      </w:r>
      <w:r w:rsidR="00EF4850">
        <w:t>s</w:t>
      </w:r>
      <w:r>
        <w:t xml:space="preserve"> </w:t>
      </w:r>
      <w:r w:rsidR="00EF4850">
        <w:t xml:space="preserve">are </w:t>
      </w:r>
      <w:r>
        <w:t>satisfied.</w:t>
      </w:r>
    </w:p>
    <w:p w14:paraId="1857C490" w14:textId="77777777" w:rsidR="00937A09" w:rsidRPr="00937A09" w:rsidRDefault="00937A09" w:rsidP="00311A66">
      <w:pPr>
        <w:keepNext/>
        <w:pBdr>
          <w:top w:val="single" w:sz="4" w:space="5" w:color="auto"/>
          <w:left w:val="single" w:sz="4" w:space="4" w:color="auto"/>
          <w:bottom w:val="single" w:sz="4" w:space="7" w:color="auto"/>
          <w:right w:val="single" w:sz="4" w:space="4" w:color="auto"/>
        </w:pBdr>
        <w:spacing w:after="100"/>
        <w:ind w:left="782"/>
        <w:rPr>
          <w:u w:val="single"/>
        </w:rPr>
      </w:pPr>
      <w:r w:rsidRPr="00937A09">
        <w:rPr>
          <w:u w:val="single"/>
        </w:rPr>
        <w:t>Accounting treatment</w:t>
      </w:r>
    </w:p>
    <w:p w14:paraId="7A1C7E55" w14:textId="31AFD107"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782"/>
      </w:pPr>
      <w:r w:rsidRPr="00937A09">
        <w:t>The organisation applies AASB 15 paragraphs 9</w:t>
      </w:r>
      <w:r w:rsidR="009661CF">
        <w:t>–</w:t>
      </w:r>
      <w:r w:rsidRPr="00937A09">
        <w:t>21 and F5</w:t>
      </w:r>
      <w:r w:rsidR="001644C6">
        <w:t>–</w:t>
      </w:r>
      <w:r w:rsidRPr="00937A09">
        <w:t xml:space="preserve">F19 and concludes that the agreement is within the scope of AASB 15, as: </w:t>
      </w:r>
    </w:p>
    <w:p w14:paraId="322781A9" w14:textId="06205F38" w:rsidR="00937A09" w:rsidRPr="00937A09" w:rsidRDefault="00937A09" w:rsidP="000D48E1">
      <w:pPr>
        <w:pBdr>
          <w:top w:val="single" w:sz="4" w:space="5" w:color="auto"/>
          <w:left w:val="single" w:sz="4" w:space="4" w:color="auto"/>
          <w:bottom w:val="single" w:sz="4" w:space="7" w:color="auto"/>
          <w:right w:val="single" w:sz="4" w:space="4" w:color="auto"/>
        </w:pBdr>
        <w:ind w:left="1139" w:hanging="357"/>
      </w:pPr>
      <w:r w:rsidRPr="00937A09">
        <w:t>•</w:t>
      </w:r>
      <w:r w:rsidR="00650805">
        <w:tab/>
      </w:r>
      <w:r w:rsidRPr="00937A09">
        <w:t>there is a customer – the client – who has promised consideration in exchange for future services (an ordinary activity of the organisation) to be provided to a specified recipient (</w:t>
      </w:r>
      <w:r w:rsidR="00CB3F1E">
        <w:t>AAS</w:t>
      </w:r>
      <w:r w:rsidR="003E414A">
        <w:t>B</w:t>
      </w:r>
      <w:r w:rsidR="00CB3F1E">
        <w:t xml:space="preserve"> 15</w:t>
      </w:r>
      <w:r w:rsidR="00BC051C">
        <w:t>,</w:t>
      </w:r>
      <w:r w:rsidRPr="00937A09">
        <w:t xml:space="preserve"> paragraphs 6</w:t>
      </w:r>
      <w:r w:rsidR="00C211A9">
        <w:t xml:space="preserve"> and</w:t>
      </w:r>
      <w:r w:rsidRPr="00937A09">
        <w:t xml:space="preserve"> F6</w:t>
      </w:r>
      <w:r w:rsidR="00B36E3E">
        <w:t>–</w:t>
      </w:r>
      <w:r w:rsidRPr="00937A09">
        <w:t xml:space="preserve">F7); </w:t>
      </w:r>
      <w:r w:rsidR="000B63A6">
        <w:t>and</w:t>
      </w:r>
    </w:p>
    <w:p w14:paraId="77003F28" w14:textId="5C968C06"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1139" w:hanging="357"/>
      </w:pPr>
      <w:r w:rsidRPr="00937A09">
        <w:t>•</w:t>
      </w:r>
      <w:r w:rsidR="00650805">
        <w:tab/>
      </w:r>
      <w:r w:rsidRPr="00937A09">
        <w:t>a contract exists, as</w:t>
      </w:r>
      <w:r w:rsidR="00A43D51">
        <w:t xml:space="preserve"> </w:t>
      </w:r>
      <w:r w:rsidRPr="00937A09">
        <w:t>there is a written agreement (</w:t>
      </w:r>
      <w:r w:rsidR="00712E22">
        <w:t>AASB 15</w:t>
      </w:r>
      <w:r w:rsidR="003A6C6D">
        <w:t>,</w:t>
      </w:r>
      <w:r w:rsidRPr="00937A09">
        <w:t xml:space="preserve"> paragraphs 10</w:t>
      </w:r>
      <w:r w:rsidR="000B63A6">
        <w:t xml:space="preserve"> and</w:t>
      </w:r>
      <w:r w:rsidRPr="00937A09">
        <w:t xml:space="preserve"> F8</w:t>
      </w:r>
      <w:r w:rsidR="00B36E3E">
        <w:t>–</w:t>
      </w:r>
      <w:r w:rsidRPr="00937A09">
        <w:t xml:space="preserve">F9) </w:t>
      </w:r>
      <w:r w:rsidR="00F90BEC">
        <w:t xml:space="preserve">that </w:t>
      </w:r>
      <w:r w:rsidRPr="00937A09">
        <w:t xml:space="preserve">creates enforceable rights and obligations for the client to receive services in the agreed-upon years. Despite the fee being non-refundable, the client </w:t>
      </w:r>
      <w:r w:rsidR="00A877C2">
        <w:t>could</w:t>
      </w:r>
      <w:r w:rsidRPr="00937A09">
        <w:t xml:space="preserve"> either enforce the agreement or </w:t>
      </w:r>
      <w:r w:rsidR="000B63A6">
        <w:t xml:space="preserve">obtain </w:t>
      </w:r>
      <w:r w:rsidRPr="00937A09">
        <w:t>remedy under Australia</w:t>
      </w:r>
      <w:r w:rsidR="000B63A6">
        <w:t>n</w:t>
      </w:r>
      <w:r w:rsidRPr="00937A09">
        <w:t xml:space="preserve"> law if the </w:t>
      </w:r>
      <w:r w:rsidR="00B25CAA">
        <w:t>organisation</w:t>
      </w:r>
      <w:r w:rsidRPr="00937A09">
        <w:t xml:space="preserve"> did not provide services in the agreed-upon years (</w:t>
      </w:r>
      <w:r w:rsidR="00EF6AE9">
        <w:t>AASB 15</w:t>
      </w:r>
      <w:r w:rsidR="00BC051C">
        <w:t>,</w:t>
      </w:r>
      <w:r w:rsidRPr="00937A09">
        <w:t xml:space="preserve"> paragraphs 10</w:t>
      </w:r>
      <w:r w:rsidR="000B63A6">
        <w:t xml:space="preserve"> and</w:t>
      </w:r>
      <w:r w:rsidRPr="00937A09">
        <w:t xml:space="preserve"> F10</w:t>
      </w:r>
      <w:r w:rsidR="00B36E3E">
        <w:t>–</w:t>
      </w:r>
      <w:r w:rsidRPr="00937A09">
        <w:t>F18).</w:t>
      </w:r>
    </w:p>
    <w:p w14:paraId="5F83C9D4" w14:textId="052E5ACA" w:rsidR="00937A09" w:rsidRPr="00937A09" w:rsidRDefault="00937A09" w:rsidP="000D48E1">
      <w:pPr>
        <w:pBdr>
          <w:top w:val="single" w:sz="4" w:space="5" w:color="auto"/>
          <w:left w:val="single" w:sz="4" w:space="4" w:color="auto"/>
          <w:bottom w:val="single" w:sz="4" w:space="7" w:color="auto"/>
          <w:right w:val="single" w:sz="4" w:space="4" w:color="auto"/>
        </w:pBdr>
        <w:spacing w:after="100"/>
        <w:ind w:left="782"/>
      </w:pPr>
      <w:r w:rsidRPr="00937A09">
        <w:t>The organisation considers the guidance on accounting for non-refundable fees in AASB 15 paragraphs B48</w:t>
      </w:r>
      <w:r w:rsidR="00CF111E">
        <w:t>–</w:t>
      </w:r>
      <w:r w:rsidRPr="00937A09">
        <w:t>B51 and refers to paragraphs 22</w:t>
      </w:r>
      <w:r w:rsidR="00023E44">
        <w:t>–</w:t>
      </w:r>
      <w:r w:rsidRPr="00937A09">
        <w:t>30 and F20</w:t>
      </w:r>
      <w:r w:rsidR="00023E44">
        <w:t>–</w:t>
      </w:r>
      <w:r w:rsidRPr="00937A09">
        <w:t>F27 to assess whether the upfront fee relates to the transfer of a good or service separate to the provision of services in the future.</w:t>
      </w:r>
    </w:p>
    <w:p w14:paraId="37E69A94" w14:textId="643AE31F" w:rsidR="00937A09" w:rsidRDefault="00937A09" w:rsidP="000D48E1">
      <w:pPr>
        <w:pBdr>
          <w:top w:val="single" w:sz="4" w:space="5" w:color="auto"/>
          <w:left w:val="single" w:sz="4" w:space="4" w:color="auto"/>
          <w:bottom w:val="single" w:sz="4" w:space="7" w:color="auto"/>
          <w:right w:val="single" w:sz="4" w:space="4" w:color="auto"/>
        </w:pBdr>
        <w:spacing w:after="100"/>
        <w:ind w:left="782"/>
      </w:pPr>
      <w:r w:rsidRPr="00937A09">
        <w:t xml:space="preserve">The organisation concludes that the non-refundable upfront fee does not </w:t>
      </w:r>
      <w:r w:rsidR="009F1E57">
        <w:t xml:space="preserve">relate to </w:t>
      </w:r>
      <w:r w:rsidR="00433DBC">
        <w:t xml:space="preserve">an </w:t>
      </w:r>
      <w:r w:rsidR="00994575">
        <w:t xml:space="preserve">activity that </w:t>
      </w:r>
      <w:r w:rsidRPr="00937A09">
        <w:t>represent</w:t>
      </w:r>
      <w:r w:rsidR="008A3CDD">
        <w:t>s</w:t>
      </w:r>
      <w:r w:rsidRPr="00937A09">
        <w:t xml:space="preserve"> a </w:t>
      </w:r>
      <w:r w:rsidR="004E4BAE">
        <w:t>separate</w:t>
      </w:r>
      <w:r w:rsidR="004E4BAE" w:rsidRPr="00937A09">
        <w:t xml:space="preserve"> </w:t>
      </w:r>
      <w:r w:rsidRPr="00937A09">
        <w:t>performance obligation (</w:t>
      </w:r>
      <w:r w:rsidR="00FC261A">
        <w:t>AASB 15,</w:t>
      </w:r>
      <w:r w:rsidR="00FC261A" w:rsidRPr="00937A09">
        <w:t xml:space="preserve"> </w:t>
      </w:r>
      <w:r w:rsidRPr="00937A09">
        <w:t>paragraph 25),</w:t>
      </w:r>
      <w:r w:rsidR="00BA6936">
        <w:t xml:space="preserve"> </w:t>
      </w:r>
      <w:r w:rsidR="00E265E3">
        <w:t xml:space="preserve">and </w:t>
      </w:r>
      <w:r w:rsidR="00EF6AE9">
        <w:t xml:space="preserve">therefore the fee is included in the consideration </w:t>
      </w:r>
      <w:r w:rsidR="00EC7010">
        <w:t>for the performance obligation(s)</w:t>
      </w:r>
      <w:r w:rsidR="006926B4">
        <w:t xml:space="preserve"> in the agreement (to provide future services)</w:t>
      </w:r>
      <w:r w:rsidR="00077F6B">
        <w:t>.</w:t>
      </w:r>
      <w:r w:rsidRPr="00937A09" w:rsidDel="00123E1A">
        <w:t xml:space="preserve"> </w:t>
      </w:r>
      <w:r w:rsidR="006B03A5">
        <w:t>T</w:t>
      </w:r>
      <w:r w:rsidR="002B6B5F">
        <w:t xml:space="preserve">he upfront fee </w:t>
      </w:r>
      <w:r w:rsidRPr="00937A09">
        <w:t xml:space="preserve">is </w:t>
      </w:r>
      <w:r w:rsidR="00813620">
        <w:t xml:space="preserve">treated as an advance payment for future services and is </w:t>
      </w:r>
      <w:r w:rsidRPr="00937A09">
        <w:t xml:space="preserve">recognised as revenue </w:t>
      </w:r>
      <w:r w:rsidR="00C50C56">
        <w:t xml:space="preserve">over the period of </w:t>
      </w:r>
      <w:r w:rsidR="00C91AC4">
        <w:t xml:space="preserve">the </w:t>
      </w:r>
      <w:r w:rsidR="00C50C56">
        <w:t>ongoing services</w:t>
      </w:r>
      <w:r w:rsidR="00A13D8D">
        <w:t xml:space="preserve"> </w:t>
      </w:r>
      <w:r w:rsidRPr="00937A09">
        <w:t>(</w:t>
      </w:r>
      <w:r w:rsidR="00FC261A">
        <w:t>AASB 15,</w:t>
      </w:r>
      <w:r w:rsidR="00FC261A" w:rsidRPr="00937A09">
        <w:t xml:space="preserve"> </w:t>
      </w:r>
      <w:r w:rsidRPr="00937A09">
        <w:t>paragraphs 30 and B49).</w:t>
      </w:r>
    </w:p>
    <w:p w14:paraId="2B303059" w14:textId="77777777" w:rsidR="00264BDB" w:rsidRPr="004E48FD" w:rsidRDefault="00264BDB" w:rsidP="00DE766E">
      <w:pPr>
        <w:spacing w:after="100"/>
        <w:ind w:left="1276"/>
      </w:pPr>
    </w:p>
    <w:p w14:paraId="2A3413BB" w14:textId="77777777" w:rsidR="002B3FA7" w:rsidRDefault="002B3FA7" w:rsidP="002B3FA7">
      <w:pPr>
        <w:pStyle w:val="Heading2"/>
      </w:pPr>
      <w:r>
        <w:t>Commencement of the legislative instrument</w:t>
      </w:r>
    </w:p>
    <w:p w14:paraId="2AE5BA56" w14:textId="747C3DE0" w:rsidR="002B3FA7" w:rsidRDefault="002B3FA7" w:rsidP="000E214B">
      <w:pPr>
        <w:pStyle w:val="NumPlain1"/>
        <w:shd w:val="clear" w:color="auto" w:fill="FFFFFF"/>
        <w:tabs>
          <w:tab w:val="clear" w:pos="510"/>
        </w:tabs>
        <w:spacing w:before="120" w:after="120"/>
      </w:pPr>
      <w:r w:rsidRPr="00273B7F">
        <w:t>For legal purposes, this legislative instrument commences on</w:t>
      </w:r>
      <w:r w:rsidR="0036667E">
        <w:t xml:space="preserve"> </w:t>
      </w:r>
      <w:r w:rsidR="00313DC0">
        <w:t>30 June</w:t>
      </w:r>
      <w:r w:rsidR="0036667E">
        <w:t xml:space="preserve"> 2022</w:t>
      </w:r>
      <w:r w:rsidRPr="00273B7F">
        <w:t>.</w:t>
      </w:r>
    </w:p>
    <w:p w14:paraId="7C441AE5" w14:textId="77777777" w:rsidR="004B0CB3" w:rsidRDefault="004B0CB3" w:rsidP="00B320F4">
      <w:pPr>
        <w:pStyle w:val="NumIEPlain1"/>
        <w:numPr>
          <w:ilvl w:val="0"/>
          <w:numId w:val="0"/>
        </w:numPr>
        <w:spacing w:after="0"/>
      </w:pPr>
    </w:p>
    <w:p w14:paraId="55617B07" w14:textId="20B93572" w:rsidR="00333FCE" w:rsidRDefault="00333FCE" w:rsidP="009C60B1">
      <w:pPr>
        <w:pStyle w:val="NumIEPlain1"/>
        <w:numPr>
          <w:ilvl w:val="0"/>
          <w:numId w:val="0"/>
        </w:numPr>
        <w:spacing w:after="0"/>
        <w:sectPr w:rsidR="00333FCE" w:rsidSect="006365B0">
          <w:headerReference w:type="default" r:id="rId20"/>
          <w:footerReference w:type="default" r:id="rId21"/>
          <w:headerReference w:type="first" r:id="rId22"/>
          <w:footerReference w:type="first" r:id="rId23"/>
          <w:pgSz w:w="11907" w:h="16840" w:code="9"/>
          <w:pgMar w:top="1418" w:right="1418" w:bottom="1418" w:left="1418" w:header="709" w:footer="709" w:gutter="0"/>
          <w:paperSrc w:first="7" w:other="7"/>
          <w:cols w:space="720"/>
        </w:sectPr>
      </w:pPr>
    </w:p>
    <w:p w14:paraId="2B528952" w14:textId="77777777" w:rsidR="002446BD" w:rsidRDefault="002446BD" w:rsidP="002446BD">
      <w:pPr>
        <w:pStyle w:val="ConvSectionTitle"/>
        <w:jc w:val="both"/>
      </w:pPr>
      <w:r w:rsidRPr="003766A0">
        <w:lastRenderedPageBreak/>
        <w:t>Basis for Conclusions</w:t>
      </w:r>
    </w:p>
    <w:p w14:paraId="186ACEDB" w14:textId="4862C011" w:rsidR="002446BD" w:rsidRPr="003766A0" w:rsidRDefault="002446BD" w:rsidP="002446BD">
      <w:pPr>
        <w:pStyle w:val="AppendixNote"/>
        <w:spacing w:before="100" w:after="100"/>
      </w:pPr>
      <w:r w:rsidRPr="003766A0">
        <w:t>This Basis for Conclusions accompanies, but is not part of, AASB</w:t>
      </w:r>
      <w:r w:rsidR="00C4688D">
        <w:t xml:space="preserve"> </w:t>
      </w:r>
      <w:r>
        <w:rPr>
          <w:iCs w:val="0"/>
        </w:rPr>
        <w:t>202</w:t>
      </w:r>
      <w:r w:rsidR="00421F01">
        <w:rPr>
          <w:iCs w:val="0"/>
        </w:rPr>
        <w:t>2</w:t>
      </w:r>
      <w:r>
        <w:rPr>
          <w:iCs w:val="0"/>
        </w:rPr>
        <w:t>-</w:t>
      </w:r>
      <w:r w:rsidR="00546CAB">
        <w:rPr>
          <w:iCs w:val="0"/>
        </w:rPr>
        <w:t>3</w:t>
      </w:r>
      <w:r w:rsidRPr="003766A0">
        <w:rPr>
          <w:iCs w:val="0"/>
        </w:rPr>
        <w:t xml:space="preserve"> </w:t>
      </w:r>
      <w:r w:rsidR="0044106E" w:rsidRPr="0044106E">
        <w:rPr>
          <w:i w:val="0"/>
          <w:iCs w:val="0"/>
          <w:lang w:eastAsia="en-AU"/>
        </w:rPr>
        <w:t>Amendments to Australian Accounting Standards – Illustrative Examples for Not-for-Profit Entities accompanying AASB 15</w:t>
      </w:r>
      <w:r w:rsidRPr="003766A0">
        <w:rPr>
          <w:i w:val="0"/>
        </w:rPr>
        <w:t>.</w:t>
      </w:r>
    </w:p>
    <w:p w14:paraId="548E66A6" w14:textId="77777777" w:rsidR="002446BD" w:rsidRPr="003766A0" w:rsidRDefault="002446BD" w:rsidP="002446BD">
      <w:pPr>
        <w:pStyle w:val="IASBSectionTitle1NonInd"/>
        <w:jc w:val="both"/>
      </w:pPr>
      <w:r w:rsidRPr="003766A0">
        <w:t>Introduction</w:t>
      </w:r>
    </w:p>
    <w:p w14:paraId="7604C5E5" w14:textId="5EFA1383" w:rsidR="002446BD" w:rsidRPr="003766A0" w:rsidRDefault="002446BD" w:rsidP="000E214B">
      <w:pPr>
        <w:pStyle w:val="NumBC1"/>
        <w:numPr>
          <w:ilvl w:val="0"/>
          <w:numId w:val="24"/>
        </w:numPr>
        <w:ind w:left="782" w:hanging="782"/>
      </w:pPr>
      <w:r w:rsidRPr="003766A0">
        <w:rPr>
          <w:iCs/>
        </w:rPr>
        <w:t>This Basis for Conclusions summarises the Australian Accounting Standards Board’s considerations in</w:t>
      </w:r>
      <w:r w:rsidRPr="003766A0">
        <w:t xml:space="preserve"> reaching the conclusions in this </w:t>
      </w:r>
      <w:r w:rsidR="00661072">
        <w:t>Standard</w:t>
      </w:r>
      <w:r w:rsidRPr="003766A0">
        <w:t xml:space="preserve">. It sets out the reasons why the Board developed the </w:t>
      </w:r>
      <w:r w:rsidR="00661072">
        <w:t>Standard</w:t>
      </w:r>
      <w:r w:rsidRPr="003766A0">
        <w:t xml:space="preserve">, the approach taken to developing the </w:t>
      </w:r>
      <w:r w:rsidR="00D44131">
        <w:t>Standard</w:t>
      </w:r>
      <w:r w:rsidRPr="003766A0">
        <w:t xml:space="preserve"> and the bases for the key decisions made. In making decisions, individual Board members gave greater weight to some factors than to others. </w:t>
      </w:r>
    </w:p>
    <w:p w14:paraId="541209A6" w14:textId="3ACB5EE8" w:rsidR="00FB730B" w:rsidRPr="00EF7B9C" w:rsidRDefault="002446BD" w:rsidP="00EF7B9C">
      <w:pPr>
        <w:pStyle w:val="IASBSectionTitle1NonInd"/>
        <w:jc w:val="both"/>
        <w:rPr>
          <w:iCs/>
        </w:rPr>
      </w:pPr>
      <w:r w:rsidRPr="003766A0">
        <w:t xml:space="preserve">Reasons for </w:t>
      </w:r>
      <w:r w:rsidR="001C19FF">
        <w:t>issuing this Standard</w:t>
      </w:r>
    </w:p>
    <w:p w14:paraId="28A14EBE" w14:textId="118AC430" w:rsidR="00554DE5" w:rsidRPr="00554DE5" w:rsidRDefault="00554DE5" w:rsidP="000E214B">
      <w:pPr>
        <w:pStyle w:val="NumBC1"/>
        <w:numPr>
          <w:ilvl w:val="0"/>
          <w:numId w:val="24"/>
        </w:numPr>
        <w:ind w:left="782" w:hanging="782"/>
      </w:pPr>
      <w:r w:rsidRPr="00554DE5">
        <w:t xml:space="preserve">The </w:t>
      </w:r>
      <w:r w:rsidR="00373BEE">
        <w:t>Board</w:t>
      </w:r>
      <w:r w:rsidRPr="00554DE5">
        <w:t xml:space="preserve"> considered comments from stakeholders in the not-for-profit sector following the implementation of AASB 15 </w:t>
      </w:r>
      <w:r w:rsidRPr="00554DE5">
        <w:rPr>
          <w:i/>
          <w:iCs/>
        </w:rPr>
        <w:t>Revenue from Contracts with Customers</w:t>
      </w:r>
      <w:r w:rsidRPr="00554DE5">
        <w:t xml:space="preserve"> and AASB 1058 </w:t>
      </w:r>
      <w:r w:rsidRPr="00554DE5">
        <w:rPr>
          <w:i/>
          <w:iCs/>
        </w:rPr>
        <w:t>Income of Not-for-Profit Entities</w:t>
      </w:r>
      <w:r w:rsidRPr="00554DE5">
        <w:t xml:space="preserve">. Some stakeholders were concerned that the analysis and accounting treatment set out in the cash scholarship endowment example in Illustrative Example 3A </w:t>
      </w:r>
      <w:r w:rsidR="00C4688D">
        <w:t xml:space="preserve">accompanying </w:t>
      </w:r>
      <w:r w:rsidRPr="00554DE5">
        <w:t xml:space="preserve">AASB 1058 potentially </w:t>
      </w:r>
      <w:r w:rsidR="00704FAF" w:rsidRPr="00554DE5">
        <w:t xml:space="preserve">was </w:t>
      </w:r>
      <w:r w:rsidRPr="00554DE5">
        <w:t>unclear</w:t>
      </w:r>
      <w:r w:rsidR="008D1255">
        <w:t xml:space="preserve"> and may lead</w:t>
      </w:r>
      <w:r w:rsidR="004B6C29">
        <w:t xml:space="preserve"> to diversity in </w:t>
      </w:r>
      <w:r w:rsidR="00C91AC4">
        <w:t>the recognition of financial liabilities</w:t>
      </w:r>
      <w:r w:rsidRPr="00554DE5">
        <w:t>.</w:t>
      </w:r>
    </w:p>
    <w:p w14:paraId="146E37E0" w14:textId="207126DF" w:rsidR="0085481D" w:rsidRDefault="009B3675" w:rsidP="000E214B">
      <w:pPr>
        <w:pStyle w:val="NumBC1"/>
        <w:numPr>
          <w:ilvl w:val="0"/>
          <w:numId w:val="24"/>
        </w:numPr>
        <w:ind w:left="782" w:hanging="782"/>
      </w:pPr>
      <w:r>
        <w:t>Stakeholders also noted concerns about the diversity of practice in accounting for upfront fees received by not-for-profit entities</w:t>
      </w:r>
      <w:r w:rsidR="00673FFD">
        <w:t xml:space="preserve"> recognised as revenue within the scope of AASB 15.</w:t>
      </w:r>
    </w:p>
    <w:p w14:paraId="31ABECE4" w14:textId="12DB2598" w:rsidR="00673FFD" w:rsidRPr="002414CC" w:rsidRDefault="00011B72" w:rsidP="000E214B">
      <w:pPr>
        <w:pStyle w:val="NumBC1"/>
        <w:numPr>
          <w:ilvl w:val="0"/>
          <w:numId w:val="24"/>
        </w:numPr>
        <w:ind w:left="782" w:hanging="782"/>
      </w:pPr>
      <w:r>
        <w:rPr>
          <w:szCs w:val="19"/>
        </w:rPr>
        <w:t>The Board noted feedback from not-for-profit private sector stakeholders</w:t>
      </w:r>
      <w:r w:rsidRPr="000101DD">
        <w:t xml:space="preserve"> </w:t>
      </w:r>
      <w:r>
        <w:t>that,</w:t>
      </w:r>
      <w:r w:rsidRPr="00F04162">
        <w:t xml:space="preserve"> despite having the accounting policy choice to initially measure right-of-use assets arising under concessionary leases at cost</w:t>
      </w:r>
      <w:r w:rsidR="00313C1A">
        <w:t xml:space="preserve"> under AASB</w:t>
      </w:r>
      <w:r w:rsidR="009C1862">
        <w:t> </w:t>
      </w:r>
      <w:r w:rsidR="00313C1A">
        <w:t>16</w:t>
      </w:r>
      <w:r w:rsidR="00D374C8">
        <w:t xml:space="preserve"> </w:t>
      </w:r>
      <w:r w:rsidR="00D374C8" w:rsidRPr="009C1862">
        <w:rPr>
          <w:i/>
          <w:iCs/>
        </w:rPr>
        <w:t>Leases</w:t>
      </w:r>
      <w:r w:rsidR="00D374C8">
        <w:t xml:space="preserve"> </w:t>
      </w:r>
      <w:r w:rsidR="00313C1A">
        <w:t xml:space="preserve">as amended by </w:t>
      </w:r>
      <w:r w:rsidR="005B4D32">
        <w:t>AASB 2018</w:t>
      </w:r>
      <w:r w:rsidR="00BB1797">
        <w:t>-8</w:t>
      </w:r>
      <w:r w:rsidR="008D5CF6" w:rsidRPr="008D5CF6">
        <w:t xml:space="preserve"> </w:t>
      </w:r>
      <w:r w:rsidR="008D5CF6" w:rsidRPr="008D5CF6">
        <w:rPr>
          <w:i/>
          <w:iCs/>
        </w:rPr>
        <w:t>Amendments to Australian Accounting Standards – Right-of-Use Assets of Not-for-Profit Entities</w:t>
      </w:r>
      <w:r w:rsidRPr="00F04162">
        <w:t xml:space="preserve">, </w:t>
      </w:r>
      <w:r>
        <w:rPr>
          <w:szCs w:val="19"/>
        </w:rPr>
        <w:t>uncertainty exists whether fair value information needs to be obtained for such right-of-use assets.</w:t>
      </w:r>
      <w:r w:rsidR="005032BA">
        <w:rPr>
          <w:szCs w:val="19"/>
        </w:rPr>
        <w:t xml:space="preserve"> (</w:t>
      </w:r>
      <w:r w:rsidR="005032BA" w:rsidRPr="00584919">
        <w:rPr>
          <w:szCs w:val="19"/>
        </w:rPr>
        <w:t>For ease of reference in this Basis for Conclusions, ‘concessionary leases’ refers to leases that have significantly below-market terms and conditions principally to enable the entity to further its objectives</w:t>
      </w:r>
      <w:r w:rsidR="005032BA">
        <w:rPr>
          <w:szCs w:val="19"/>
        </w:rPr>
        <w:t>.)</w:t>
      </w:r>
    </w:p>
    <w:p w14:paraId="0C8F5584" w14:textId="48DCCD04" w:rsidR="002414CC" w:rsidRPr="00240E46" w:rsidRDefault="00C12229" w:rsidP="000E214B">
      <w:pPr>
        <w:pStyle w:val="NumBC1"/>
        <w:numPr>
          <w:ilvl w:val="0"/>
          <w:numId w:val="24"/>
        </w:numPr>
        <w:ind w:left="782" w:hanging="782"/>
      </w:pPr>
      <w:r>
        <w:rPr>
          <w:szCs w:val="19"/>
        </w:rPr>
        <w:t xml:space="preserve">To address </w:t>
      </w:r>
      <w:r w:rsidR="00892979">
        <w:rPr>
          <w:szCs w:val="19"/>
        </w:rPr>
        <w:t xml:space="preserve">the feedback received, the Board </w:t>
      </w:r>
      <w:r w:rsidR="00A32495">
        <w:rPr>
          <w:szCs w:val="19"/>
        </w:rPr>
        <w:t>propose</w:t>
      </w:r>
      <w:r w:rsidR="00C8444B">
        <w:rPr>
          <w:szCs w:val="19"/>
        </w:rPr>
        <w:t>d</w:t>
      </w:r>
      <w:r w:rsidR="00A32495">
        <w:rPr>
          <w:szCs w:val="19"/>
        </w:rPr>
        <w:t xml:space="preserve"> </w:t>
      </w:r>
      <w:r w:rsidR="00A745C1">
        <w:rPr>
          <w:szCs w:val="19"/>
        </w:rPr>
        <w:t xml:space="preserve">amendments to </w:t>
      </w:r>
      <w:r w:rsidR="00491CCD">
        <w:rPr>
          <w:szCs w:val="19"/>
        </w:rPr>
        <w:t xml:space="preserve">the </w:t>
      </w:r>
      <w:r w:rsidR="00A745C1">
        <w:rPr>
          <w:szCs w:val="19"/>
        </w:rPr>
        <w:t>illustrative examples in AASB 15 and AASB 1058</w:t>
      </w:r>
      <w:r w:rsidR="000735E8">
        <w:rPr>
          <w:szCs w:val="19"/>
        </w:rPr>
        <w:t>.</w:t>
      </w:r>
      <w:r w:rsidR="004156EF">
        <w:rPr>
          <w:szCs w:val="19"/>
        </w:rPr>
        <w:t xml:space="preserve"> The Board also</w:t>
      </w:r>
      <w:r w:rsidR="004156EF" w:rsidRPr="004156EF">
        <w:rPr>
          <w:szCs w:val="19"/>
        </w:rPr>
        <w:t xml:space="preserve"> propose</w:t>
      </w:r>
      <w:r w:rsidR="00C32B93">
        <w:rPr>
          <w:szCs w:val="19"/>
        </w:rPr>
        <w:t>d</w:t>
      </w:r>
      <w:r w:rsidR="004156EF" w:rsidRPr="004156EF">
        <w:rPr>
          <w:szCs w:val="19"/>
        </w:rPr>
        <w:t xml:space="preserve"> to retain the accounting policy choice to initially measure right-of-use assets arising under concessionary leases at cost on an ongoing basis, to provide certainty to not</w:t>
      </w:r>
      <w:r w:rsidR="004156EF">
        <w:rPr>
          <w:szCs w:val="19"/>
        </w:rPr>
        <w:t>-</w:t>
      </w:r>
      <w:r w:rsidR="004156EF" w:rsidRPr="004156EF">
        <w:rPr>
          <w:szCs w:val="19"/>
        </w:rPr>
        <w:t>for-profit private sector lessees</w:t>
      </w:r>
      <w:r w:rsidR="000735E8">
        <w:rPr>
          <w:szCs w:val="19"/>
        </w:rPr>
        <w:t>.</w:t>
      </w:r>
    </w:p>
    <w:p w14:paraId="16D90B9C" w14:textId="22824EAE" w:rsidR="00824AE9" w:rsidRDefault="005032BA" w:rsidP="000E214B">
      <w:pPr>
        <w:pStyle w:val="NumBC1"/>
        <w:numPr>
          <w:ilvl w:val="0"/>
          <w:numId w:val="24"/>
        </w:numPr>
        <w:ind w:left="782" w:hanging="782"/>
      </w:pPr>
      <w:r>
        <w:t>The Board decided to proceed with some of the propo</w:t>
      </w:r>
      <w:r w:rsidR="00E310BF">
        <w:t>sed amendments, as set out in this Standard. This Basis for Conclusions sets out the due process followed and the Board’s conclusions in determining the amendments to be included in the Standard.</w:t>
      </w:r>
    </w:p>
    <w:p w14:paraId="1AB135C2" w14:textId="590D04D0" w:rsidR="00D3275F" w:rsidRPr="00EF7B9C" w:rsidRDefault="00AE6474" w:rsidP="00D3275F">
      <w:pPr>
        <w:pStyle w:val="IASBSectionTitle1NonInd"/>
        <w:jc w:val="both"/>
        <w:rPr>
          <w:iCs/>
        </w:rPr>
      </w:pPr>
      <w:r>
        <w:t>Issue of ED 3</w:t>
      </w:r>
      <w:r w:rsidR="001538C9">
        <w:t xml:space="preserve">18 </w:t>
      </w:r>
      <w:r w:rsidR="00A7294B" w:rsidRPr="00A95EB1">
        <w:rPr>
          <w:i/>
        </w:rPr>
        <w:t xml:space="preserve">Illustrative Examples for Income of Not-for-Profit Entities and Right-of-Use Assets arising under Concessionary </w:t>
      </w:r>
      <w:r w:rsidR="00A7294B" w:rsidRPr="00A95EB1">
        <w:rPr>
          <w:i/>
          <w:iCs/>
        </w:rPr>
        <w:t>Leases</w:t>
      </w:r>
    </w:p>
    <w:p w14:paraId="5CB677DA" w14:textId="77777777" w:rsidR="007F6B45" w:rsidRPr="00882A4C" w:rsidRDefault="007F6B45" w:rsidP="000E214B">
      <w:pPr>
        <w:numPr>
          <w:ilvl w:val="0"/>
          <w:numId w:val="24"/>
        </w:numPr>
        <w:spacing w:before="100" w:after="100"/>
        <w:ind w:left="782" w:hanging="782"/>
        <w:rPr>
          <w:i/>
        </w:rPr>
      </w:pPr>
      <w:r w:rsidRPr="00882A4C">
        <w:rPr>
          <w:iCs/>
        </w:rPr>
        <w:t xml:space="preserve">The Board’s proposals with respect to the amendments finalised in this Standard were exposed for public comment in </w:t>
      </w:r>
      <w:r>
        <w:rPr>
          <w:iCs/>
        </w:rPr>
        <w:t>January</w:t>
      </w:r>
      <w:r w:rsidRPr="00882A4C">
        <w:rPr>
          <w:iCs/>
        </w:rPr>
        <w:t xml:space="preserve"> 202</w:t>
      </w:r>
      <w:r>
        <w:rPr>
          <w:iCs/>
        </w:rPr>
        <w:t>2</w:t>
      </w:r>
      <w:r w:rsidRPr="00882A4C">
        <w:rPr>
          <w:iCs/>
        </w:rPr>
        <w:t xml:space="preserve"> through Exposure Draft E</w:t>
      </w:r>
      <w:r>
        <w:rPr>
          <w:iCs/>
        </w:rPr>
        <w:t xml:space="preserve">D </w:t>
      </w:r>
      <w:r>
        <w:t xml:space="preserve">318 </w:t>
      </w:r>
      <w:r w:rsidRPr="00C066C2">
        <w:rPr>
          <w:i/>
          <w:iCs/>
        </w:rPr>
        <w:t>Illustrative Examples for Income of Not-for-Profit Entities and Right-of-Use Assets arising under Concessionary Leases</w:t>
      </w:r>
      <w:r>
        <w:rPr>
          <w:i/>
          <w:iCs/>
        </w:rPr>
        <w:t>.</w:t>
      </w:r>
    </w:p>
    <w:p w14:paraId="5F20BEAF" w14:textId="77777777" w:rsidR="007F6B45" w:rsidRPr="00D3275F" w:rsidRDefault="007F6B45" w:rsidP="000E214B">
      <w:pPr>
        <w:numPr>
          <w:ilvl w:val="0"/>
          <w:numId w:val="24"/>
        </w:numPr>
        <w:spacing w:before="100" w:after="100"/>
        <w:ind w:left="782" w:hanging="782"/>
      </w:pPr>
      <w:r w:rsidRPr="00882A4C">
        <w:rPr>
          <w:iCs/>
        </w:rPr>
        <w:t>The significant issues considered by the Board in developing ED 31</w:t>
      </w:r>
      <w:r>
        <w:rPr>
          <w:iCs/>
        </w:rPr>
        <w:t>8</w:t>
      </w:r>
      <w:r w:rsidRPr="00882A4C">
        <w:rPr>
          <w:iCs/>
        </w:rPr>
        <w:t xml:space="preserve"> are addressed in the following sections.</w:t>
      </w:r>
    </w:p>
    <w:p w14:paraId="1B6811AB" w14:textId="46113C70" w:rsidR="00D3275F" w:rsidRPr="00EF7B9C" w:rsidRDefault="00D3275F" w:rsidP="00D3275F">
      <w:pPr>
        <w:pStyle w:val="IASBSectionTitle2Ind"/>
        <w:rPr>
          <w:bCs/>
          <w:szCs w:val="26"/>
        </w:rPr>
      </w:pPr>
      <w:bookmarkStart w:id="10" w:name="_Hlk100669625"/>
      <w:r w:rsidRPr="00765ABF">
        <w:t>Income of not-for-profit entities</w:t>
      </w:r>
      <w:bookmarkEnd w:id="10"/>
    </w:p>
    <w:p w14:paraId="4F982430" w14:textId="2FDE7386" w:rsidR="00D3275F" w:rsidRPr="00554DE5" w:rsidRDefault="00EB6A26" w:rsidP="000E214B">
      <w:pPr>
        <w:pStyle w:val="NumBC1"/>
        <w:numPr>
          <w:ilvl w:val="0"/>
          <w:numId w:val="24"/>
        </w:numPr>
        <w:ind w:left="782" w:hanging="782"/>
      </w:pPr>
      <w:r>
        <w:t xml:space="preserve">In developing </w:t>
      </w:r>
      <w:r w:rsidR="00BD4D88">
        <w:t>ED 318, the Board considered</w:t>
      </w:r>
      <w:r w:rsidR="00D3275F" w:rsidRPr="00554DE5">
        <w:t xml:space="preserve"> </w:t>
      </w:r>
      <w:r w:rsidR="001D7C71">
        <w:t>comments from</w:t>
      </w:r>
      <w:r w:rsidR="00D3275F" w:rsidRPr="00554DE5">
        <w:t xml:space="preserve"> stakeholders that </w:t>
      </w:r>
      <w:r w:rsidR="002923F6">
        <w:t>Illustrative E</w:t>
      </w:r>
      <w:r w:rsidR="00D3275F">
        <w:t>xample</w:t>
      </w:r>
      <w:r w:rsidR="00D3275F" w:rsidRPr="00554DE5">
        <w:t xml:space="preserve"> </w:t>
      </w:r>
      <w:r w:rsidR="001D7C71">
        <w:t>3A</w:t>
      </w:r>
      <w:r w:rsidR="00D3275F" w:rsidRPr="00554DE5">
        <w:t xml:space="preserve"> </w:t>
      </w:r>
      <w:r w:rsidR="009879F3">
        <w:t xml:space="preserve">in AASB 1058 </w:t>
      </w:r>
      <w:r w:rsidR="00D3275F" w:rsidRPr="00554DE5">
        <w:t xml:space="preserve">may lead to diversity in </w:t>
      </w:r>
      <w:r w:rsidR="000B65D1">
        <w:t>the recognition of financial liabilities</w:t>
      </w:r>
      <w:r w:rsidR="000B65D1" w:rsidRPr="00554DE5">
        <w:t xml:space="preserve"> </w:t>
      </w:r>
      <w:r w:rsidR="00D3275F" w:rsidRPr="00554DE5">
        <w:t xml:space="preserve">as it does not explain </w:t>
      </w:r>
      <w:r w:rsidR="000B65D1">
        <w:t xml:space="preserve">adequately </w:t>
      </w:r>
      <w:r w:rsidR="00D3275F" w:rsidRPr="00554DE5">
        <w:t xml:space="preserve">whether </w:t>
      </w:r>
      <w:r w:rsidR="00D3275F">
        <w:t xml:space="preserve">recognition of </w:t>
      </w:r>
      <w:r w:rsidR="00D3275F" w:rsidRPr="00554DE5">
        <w:t xml:space="preserve">a financial liability is </w:t>
      </w:r>
      <w:r w:rsidR="00D3275F">
        <w:t xml:space="preserve">required </w:t>
      </w:r>
      <w:r w:rsidR="00D3275F" w:rsidRPr="00554DE5">
        <w:t xml:space="preserve">for any funding received </w:t>
      </w:r>
      <w:r w:rsidR="00D3275F">
        <w:t xml:space="preserve">by an entity </w:t>
      </w:r>
      <w:r w:rsidR="00D3275F" w:rsidRPr="00554DE5">
        <w:t xml:space="preserve">that is </w:t>
      </w:r>
      <w:r w:rsidR="00D3275F">
        <w:t>subsequently</w:t>
      </w:r>
      <w:r w:rsidR="00D3275F" w:rsidRPr="00554DE5">
        <w:t xml:space="preserve"> directed to other recipients and income recognised for the portion retained.</w:t>
      </w:r>
    </w:p>
    <w:p w14:paraId="7F486727" w14:textId="5484BF3D" w:rsidR="00167A4C" w:rsidRDefault="00633C98" w:rsidP="000E214B">
      <w:pPr>
        <w:pStyle w:val="NumBC1"/>
        <w:numPr>
          <w:ilvl w:val="0"/>
          <w:numId w:val="24"/>
        </w:numPr>
        <w:ind w:left="782" w:hanging="782"/>
      </w:pPr>
      <w:r>
        <w:t>The Board</w:t>
      </w:r>
      <w:r w:rsidR="00554DE5" w:rsidRPr="00554DE5">
        <w:t xml:space="preserve"> also noted concerns about the diversity of practice in accounting for upfront fees received by not-for-profit entities. Where the </w:t>
      </w:r>
      <w:r w:rsidR="003139E9">
        <w:t>not-for-profit</w:t>
      </w:r>
      <w:r w:rsidR="00554DE5" w:rsidRPr="00554DE5">
        <w:t xml:space="preserve"> entity recognised revenue within the scope of AASB 15 and a non-refundable upfront payment is charged to the customer, AASB 15 paragraphs 22–30, B48–B51 and F20–F27 require an entity to assess whether the upfront fees relate to the transfer of a </w:t>
      </w:r>
      <w:r w:rsidR="00C72693">
        <w:t xml:space="preserve">promised </w:t>
      </w:r>
      <w:r w:rsidR="00554DE5" w:rsidRPr="00554DE5">
        <w:t xml:space="preserve">good or service. If </w:t>
      </w:r>
      <w:r w:rsidR="00C72693">
        <w:t xml:space="preserve">the upfront fees do relate to a </w:t>
      </w:r>
      <w:r w:rsidR="00554DE5" w:rsidRPr="00554DE5">
        <w:t xml:space="preserve">transfer of goods or services, revenue is recognised over the </w:t>
      </w:r>
      <w:r w:rsidR="00C72693">
        <w:t xml:space="preserve">time </w:t>
      </w:r>
      <w:r w:rsidR="00554DE5" w:rsidRPr="00554DE5">
        <w:t xml:space="preserve">the service </w:t>
      </w:r>
      <w:r w:rsidR="00C72693">
        <w:t xml:space="preserve">or goods are </w:t>
      </w:r>
      <w:r w:rsidR="00554DE5" w:rsidRPr="00554DE5">
        <w:t>provided rather than on receipt of the funds.</w:t>
      </w:r>
    </w:p>
    <w:p w14:paraId="3E464D3B" w14:textId="6FBD33EB" w:rsidR="00554DE5" w:rsidRPr="00D3275F" w:rsidRDefault="00554DE5" w:rsidP="000E214B">
      <w:pPr>
        <w:pStyle w:val="NumBC1"/>
        <w:numPr>
          <w:ilvl w:val="0"/>
          <w:numId w:val="24"/>
        </w:numPr>
        <w:ind w:left="782" w:hanging="782"/>
      </w:pPr>
      <w:r w:rsidRPr="00554DE5">
        <w:lastRenderedPageBreak/>
        <w:t>Stakeholders raised this issue from the perspective of diversity in practice, where</w:t>
      </w:r>
      <w:r w:rsidR="00167A4C">
        <w:t xml:space="preserve"> </w:t>
      </w:r>
      <w:r w:rsidRPr="00554DE5">
        <w:t xml:space="preserve">some entities are deferring revenue (and recognising a contract liability in accordance with AASB 15) and other entities are continuing to recognise </w:t>
      </w:r>
      <w:r w:rsidR="00C72693">
        <w:t xml:space="preserve">revenue </w:t>
      </w:r>
      <w:r w:rsidRPr="00554DE5">
        <w:t xml:space="preserve">on receipt </w:t>
      </w:r>
      <w:r w:rsidR="00C72693">
        <w:t>of</w:t>
      </w:r>
      <w:r w:rsidRPr="00554DE5">
        <w:t xml:space="preserve"> fees which, prima facie, look very similar.</w:t>
      </w:r>
      <w:r w:rsidR="00167A4C">
        <w:t xml:space="preserve"> </w:t>
      </w:r>
      <w:r w:rsidRPr="00554DE5">
        <w:t xml:space="preserve">Stakeholders also </w:t>
      </w:r>
      <w:r w:rsidR="00C72693">
        <w:t xml:space="preserve">indicated </w:t>
      </w:r>
      <w:r w:rsidRPr="00554DE5">
        <w:t xml:space="preserve">that the principle of deferral is confusing to boards, management committees, members and other users as the amounts received are not refundable. Stakeholders requested further guidance to clarify the principle and why </w:t>
      </w:r>
      <w:r w:rsidRPr="00D3275F">
        <w:t>a contract liability is recognised when the funds will never be repaid.</w:t>
      </w:r>
    </w:p>
    <w:p w14:paraId="0F28226A" w14:textId="7C3DE2C6" w:rsidR="00554DE5" w:rsidRPr="009E36C8" w:rsidRDefault="2E3D5457" w:rsidP="000E214B">
      <w:pPr>
        <w:pStyle w:val="NumBC1"/>
        <w:numPr>
          <w:ilvl w:val="0"/>
          <w:numId w:val="24"/>
        </w:numPr>
        <w:ind w:left="782" w:hanging="782"/>
      </w:pPr>
      <w:r>
        <w:t xml:space="preserve">The </w:t>
      </w:r>
      <w:r w:rsidR="702B9AB6">
        <w:t>Board</w:t>
      </w:r>
      <w:r>
        <w:t xml:space="preserve"> considered the stakeholder comments and assessed the feedback with reference </w:t>
      </w:r>
      <w:r w:rsidR="79F5F81C">
        <w:t xml:space="preserve">to the </w:t>
      </w:r>
      <w:r w:rsidR="79F5F81C" w:rsidRPr="5CFBC39E">
        <w:rPr>
          <w:i/>
          <w:iCs/>
        </w:rPr>
        <w:t xml:space="preserve">AASB </w:t>
      </w:r>
      <w:r w:rsidRPr="5CFBC39E">
        <w:rPr>
          <w:i/>
          <w:iCs/>
        </w:rPr>
        <w:t>Not-for-Profit Entity Standard-Setting Framework</w:t>
      </w:r>
      <w:r>
        <w:t xml:space="preserve">. Whilst the original conclusions in Illustrative Example 3A in AASB 1058 are appropriate, the </w:t>
      </w:r>
      <w:r w:rsidR="53DB40A4">
        <w:t>Board</w:t>
      </w:r>
      <w:r>
        <w:t xml:space="preserve"> propose</w:t>
      </w:r>
      <w:r w:rsidR="24DD50C9">
        <w:t>d</w:t>
      </w:r>
      <w:r>
        <w:t xml:space="preserve"> </w:t>
      </w:r>
      <w:r w:rsidR="79F5F81C">
        <w:t xml:space="preserve">amending </w:t>
      </w:r>
      <w:r>
        <w:t xml:space="preserve">the example to clarify the conclusion </w:t>
      </w:r>
      <w:r w:rsidR="79F5F81C">
        <w:t xml:space="preserve">further </w:t>
      </w:r>
      <w:r>
        <w:t>and add</w:t>
      </w:r>
      <w:r w:rsidR="79F5F81C">
        <w:t>ing</w:t>
      </w:r>
      <w:r>
        <w:t xml:space="preserve"> </w:t>
      </w:r>
      <w:r w:rsidR="11840D2B">
        <w:t xml:space="preserve">an </w:t>
      </w:r>
      <w:r>
        <w:t xml:space="preserve">additional example </w:t>
      </w:r>
      <w:r w:rsidR="79F5F81C">
        <w:t xml:space="preserve">to illustrate </w:t>
      </w:r>
      <w:r w:rsidR="63D26E98">
        <w:t xml:space="preserve">a </w:t>
      </w:r>
      <w:r>
        <w:t xml:space="preserve">contrasting scenario. The </w:t>
      </w:r>
      <w:r w:rsidR="53DB40A4">
        <w:t>Board</w:t>
      </w:r>
      <w:r>
        <w:t xml:space="preserve"> also propose</w:t>
      </w:r>
      <w:r w:rsidR="7953EF6A">
        <w:t>d</w:t>
      </w:r>
      <w:r>
        <w:t xml:space="preserve"> add</w:t>
      </w:r>
      <w:r w:rsidR="79F5F81C">
        <w:t>ing</w:t>
      </w:r>
      <w:r>
        <w:t xml:space="preserve"> </w:t>
      </w:r>
      <w:r w:rsidR="63D26E98">
        <w:t xml:space="preserve">an </w:t>
      </w:r>
      <w:r>
        <w:t xml:space="preserve">additional illustrative example to AASB 15 </w:t>
      </w:r>
      <w:r w:rsidR="1031FD91">
        <w:t xml:space="preserve">(Example 7A) </w:t>
      </w:r>
      <w:r>
        <w:t xml:space="preserve">to address the issues </w:t>
      </w:r>
      <w:r w:rsidR="79F5F81C">
        <w:t xml:space="preserve">that </w:t>
      </w:r>
      <w:r>
        <w:t xml:space="preserve">stakeholders raised </w:t>
      </w:r>
      <w:r w:rsidR="6318E437">
        <w:t>regard</w:t>
      </w:r>
      <w:r w:rsidR="79F5F81C">
        <w:t>ing</w:t>
      </w:r>
      <w:r w:rsidR="6318E437">
        <w:t xml:space="preserve"> </w:t>
      </w:r>
      <w:r>
        <w:t xml:space="preserve">upfront fees received </w:t>
      </w:r>
      <w:r w:rsidR="79F5F81C">
        <w:t xml:space="preserve">that are </w:t>
      </w:r>
      <w:r>
        <w:t xml:space="preserve">in the scope of AASB 15. The </w:t>
      </w:r>
      <w:r w:rsidR="53DB40A4">
        <w:t>Board</w:t>
      </w:r>
      <w:r>
        <w:t xml:space="preserve"> </w:t>
      </w:r>
      <w:r w:rsidR="7BEBAF5C">
        <w:t>did not</w:t>
      </w:r>
      <w:r>
        <w:t xml:space="preserve"> propose amendments to AASB 15 and AASB 1058 </w:t>
      </w:r>
      <w:proofErr w:type="gramStart"/>
      <w:r>
        <w:t>in regard to</w:t>
      </w:r>
      <w:proofErr w:type="gramEnd"/>
      <w:r>
        <w:t xml:space="preserve"> other comments received from stakeholders and </w:t>
      </w:r>
      <w:r w:rsidR="2CD5AA6D">
        <w:t xml:space="preserve">decided to </w:t>
      </w:r>
      <w:r>
        <w:t xml:space="preserve">consider </w:t>
      </w:r>
      <w:r w:rsidR="2CD5AA6D">
        <w:t xml:space="preserve">that </w:t>
      </w:r>
      <w:r>
        <w:t>feedback in the forthcoming post-implementation review of AASB 1058 and guidance</w:t>
      </w:r>
      <w:r w:rsidR="4B6BD24E">
        <w:t xml:space="preserve"> for not-for-profit entities</w:t>
      </w:r>
      <w:r>
        <w:t xml:space="preserve"> in AASB</w:t>
      </w:r>
      <w:r w:rsidR="6129193E">
        <w:t> </w:t>
      </w:r>
      <w:r>
        <w:t xml:space="preserve">15. The </w:t>
      </w:r>
      <w:r w:rsidR="2CD5AA6D">
        <w:t xml:space="preserve">Board </w:t>
      </w:r>
      <w:r w:rsidR="79F5F81C">
        <w:t>also</w:t>
      </w:r>
      <w:r>
        <w:t xml:space="preserve"> </w:t>
      </w:r>
      <w:r w:rsidR="2CD5AA6D">
        <w:t>decided to</w:t>
      </w:r>
      <w:r>
        <w:t xml:space="preserve"> provide further educational material to assist with </w:t>
      </w:r>
      <w:r w:rsidR="774DD3B6">
        <w:t xml:space="preserve">the </w:t>
      </w:r>
      <w:r>
        <w:t>application of these Standards.</w:t>
      </w:r>
    </w:p>
    <w:p w14:paraId="63DF107A" w14:textId="41F7DECD" w:rsidR="002446BD" w:rsidRDefault="009A591F" w:rsidP="009C60B1">
      <w:pPr>
        <w:pStyle w:val="IASBSectionTitle2Ind"/>
      </w:pPr>
      <w:r w:rsidRPr="007D0BB2">
        <w:t>Initial measurement of right-of-use assets arising under concessionary leases</w:t>
      </w:r>
    </w:p>
    <w:p w14:paraId="14F085D9" w14:textId="37E0CFEB" w:rsidR="0054363B" w:rsidRPr="00824AE9" w:rsidRDefault="0054363B" w:rsidP="000E214B">
      <w:pPr>
        <w:pStyle w:val="NumBC1"/>
        <w:numPr>
          <w:ilvl w:val="0"/>
          <w:numId w:val="24"/>
        </w:numPr>
        <w:ind w:left="782" w:hanging="782"/>
        <w:rPr>
          <w:szCs w:val="19"/>
        </w:rPr>
      </w:pPr>
      <w:bookmarkStart w:id="11" w:name="_Ref87967602"/>
      <w:r w:rsidRPr="00965935">
        <w:rPr>
          <w:szCs w:val="19"/>
        </w:rPr>
        <w:t>When the Board issued AASB 2018-8</w:t>
      </w:r>
      <w:r w:rsidRPr="00C36076">
        <w:t xml:space="preserve"> </w:t>
      </w:r>
      <w:r w:rsidRPr="00965935">
        <w:rPr>
          <w:i/>
          <w:iCs/>
          <w:szCs w:val="19"/>
        </w:rPr>
        <w:t>Amendments to Australian Accounting Standards – Right-of-Use Assets of Not-for-Profit Entities</w:t>
      </w:r>
      <w:r w:rsidRPr="00965935">
        <w:rPr>
          <w:szCs w:val="19"/>
        </w:rPr>
        <w:t xml:space="preserve">, it intended to reassess the accounting policy choice in AASB 16 </w:t>
      </w:r>
      <w:r w:rsidRPr="00965935">
        <w:rPr>
          <w:i/>
          <w:iCs/>
          <w:szCs w:val="19"/>
        </w:rPr>
        <w:t>Leases</w:t>
      </w:r>
      <w:r w:rsidRPr="00965935">
        <w:rPr>
          <w:szCs w:val="19"/>
        </w:rPr>
        <w:t xml:space="preserve"> paragraphs Aus25.1–Aus25.2 for the initial measurement of right-of-use assets arising under concessionary leases at cost or</w:t>
      </w:r>
      <w:r>
        <w:rPr>
          <w:szCs w:val="19"/>
        </w:rPr>
        <w:t xml:space="preserve"> </w:t>
      </w:r>
      <w:r w:rsidRPr="00965935">
        <w:rPr>
          <w:szCs w:val="19"/>
        </w:rPr>
        <w:t xml:space="preserve">fair value when </w:t>
      </w:r>
      <w:r>
        <w:rPr>
          <w:szCs w:val="19"/>
        </w:rPr>
        <w:t xml:space="preserve">it </w:t>
      </w:r>
      <w:r w:rsidR="00C721B8">
        <w:rPr>
          <w:szCs w:val="19"/>
        </w:rPr>
        <w:t xml:space="preserve">had </w:t>
      </w:r>
      <w:r>
        <w:rPr>
          <w:szCs w:val="19"/>
        </w:rPr>
        <w:t xml:space="preserve">finalised two other projects </w:t>
      </w:r>
      <w:r w:rsidRPr="00965935">
        <w:rPr>
          <w:szCs w:val="19"/>
        </w:rPr>
        <w:t xml:space="preserve">(as noted in paragraph BC10 </w:t>
      </w:r>
      <w:r w:rsidR="00C721B8">
        <w:rPr>
          <w:szCs w:val="19"/>
        </w:rPr>
        <w:t xml:space="preserve">to </w:t>
      </w:r>
      <w:r w:rsidRPr="00965935">
        <w:rPr>
          <w:szCs w:val="19"/>
        </w:rPr>
        <w:t>AASB 2018-8</w:t>
      </w:r>
      <w:r w:rsidR="00C721B8">
        <w:rPr>
          <w:szCs w:val="19"/>
        </w:rPr>
        <w:t>, which accompanies versions of</w:t>
      </w:r>
      <w:r w:rsidRPr="00965935">
        <w:rPr>
          <w:szCs w:val="19"/>
        </w:rPr>
        <w:t xml:space="preserve"> AASB 16</w:t>
      </w:r>
      <w:r w:rsidR="00C721B8">
        <w:rPr>
          <w:szCs w:val="19"/>
        </w:rPr>
        <w:t xml:space="preserve"> that incorporate those amendments</w:t>
      </w:r>
      <w:r w:rsidRPr="00965935">
        <w:rPr>
          <w:szCs w:val="19"/>
        </w:rPr>
        <w:t>)</w:t>
      </w:r>
      <w:r>
        <w:rPr>
          <w:szCs w:val="19"/>
        </w:rPr>
        <w:t xml:space="preserve">. The two projects were the Not-for-Profit Private Sector Financial Reporting Framework project and the project to provide </w:t>
      </w:r>
      <w:r w:rsidRPr="00965935">
        <w:rPr>
          <w:szCs w:val="19"/>
        </w:rPr>
        <w:t xml:space="preserve">further guidance to assist not-for-profit entities </w:t>
      </w:r>
      <w:r>
        <w:rPr>
          <w:szCs w:val="19"/>
        </w:rPr>
        <w:t xml:space="preserve">in </w:t>
      </w:r>
      <w:r w:rsidR="00E73737">
        <w:rPr>
          <w:szCs w:val="19"/>
        </w:rPr>
        <w:t xml:space="preserve">measuring the </w:t>
      </w:r>
      <w:r w:rsidRPr="00965935">
        <w:rPr>
          <w:szCs w:val="19"/>
        </w:rPr>
        <w:t>fair valu</w:t>
      </w:r>
      <w:r w:rsidR="00E73737">
        <w:rPr>
          <w:szCs w:val="19"/>
        </w:rPr>
        <w:t>e of</w:t>
      </w:r>
      <w:r w:rsidRPr="00965935">
        <w:rPr>
          <w:szCs w:val="19"/>
        </w:rPr>
        <w:t xml:space="preserve"> right-of-use assets</w:t>
      </w:r>
      <w:bookmarkEnd w:id="11"/>
      <w:r w:rsidRPr="00965935">
        <w:rPr>
          <w:szCs w:val="19"/>
        </w:rPr>
        <w:t>.</w:t>
      </w:r>
    </w:p>
    <w:p w14:paraId="6A4B815D" w14:textId="77777777" w:rsidR="0054363B" w:rsidRPr="009C60B1" w:rsidRDefault="0054363B" w:rsidP="009C60B1">
      <w:pPr>
        <w:pStyle w:val="IASBSectionTitle2Ind"/>
        <w:rPr>
          <w:b w:val="0"/>
          <w:bCs/>
          <w:sz w:val="22"/>
          <w:szCs w:val="22"/>
        </w:rPr>
      </w:pPr>
      <w:r w:rsidRPr="009C60B1">
        <w:rPr>
          <w:sz w:val="22"/>
          <w:szCs w:val="22"/>
        </w:rPr>
        <w:t>Not-for-profit private sector lessees</w:t>
      </w:r>
    </w:p>
    <w:p w14:paraId="6DAEBB14" w14:textId="1B7F13E8" w:rsidR="0054363B" w:rsidRDefault="3D11E4B5" w:rsidP="000E214B">
      <w:pPr>
        <w:pStyle w:val="NumBC1"/>
        <w:numPr>
          <w:ilvl w:val="0"/>
          <w:numId w:val="24"/>
        </w:numPr>
        <w:ind w:left="782" w:hanging="782"/>
      </w:pPr>
      <w:r>
        <w:t>The Board noted feedback from not-for-profit private sector stakeholders</w:t>
      </w:r>
      <w:r w:rsidR="15B22540">
        <w:t xml:space="preserve"> </w:t>
      </w:r>
      <w:r w:rsidR="64EF0E7E">
        <w:t>that</w:t>
      </w:r>
      <w:r w:rsidR="61C20BFC">
        <w:t xml:space="preserve">, despite having the accounting policy choice to initially measure right-of-use assets arising under concessionary leases at cost, </w:t>
      </w:r>
      <w:r w:rsidR="00C721B8">
        <w:t xml:space="preserve">uncertainty exists whether </w:t>
      </w:r>
      <w:r w:rsidR="7AEE93FD">
        <w:t xml:space="preserve">fair value information </w:t>
      </w:r>
      <w:r w:rsidR="00C721B8">
        <w:t xml:space="preserve">needs to be obtained for </w:t>
      </w:r>
      <w:r w:rsidR="06634056">
        <w:t>such right-of-use assets</w:t>
      </w:r>
      <w:r w:rsidR="2FE55C3F">
        <w:t xml:space="preserve">. This </w:t>
      </w:r>
      <w:r w:rsidR="0897A596">
        <w:t xml:space="preserve">uncertainty exists </w:t>
      </w:r>
      <w:r w:rsidR="67B2B1FA">
        <w:t>because</w:t>
      </w:r>
      <w:r w:rsidR="1D2ED532">
        <w:t xml:space="preserve"> </w:t>
      </w:r>
      <w:r w:rsidR="12D15912">
        <w:t>it is unclear</w:t>
      </w:r>
      <w:r w:rsidR="378AA4D2">
        <w:t xml:space="preserve"> whether</w:t>
      </w:r>
      <w:r w:rsidR="77F8DE46">
        <w:t xml:space="preserve"> the Board </w:t>
      </w:r>
      <w:r w:rsidR="378AA4D2">
        <w:t>would</w:t>
      </w:r>
      <w:r w:rsidR="64A03E21">
        <w:t xml:space="preserve"> </w:t>
      </w:r>
      <w:r w:rsidR="0897A596">
        <w:t xml:space="preserve">be </w:t>
      </w:r>
      <w:r w:rsidR="7BBE403C">
        <w:t xml:space="preserve">likely </w:t>
      </w:r>
      <w:r w:rsidR="0897A596">
        <w:t>to</w:t>
      </w:r>
      <w:r w:rsidR="7BBE403C">
        <w:t xml:space="preserve"> </w:t>
      </w:r>
      <w:r w:rsidR="64A03E21">
        <w:t>require retrospective application of the initial fair value requirement</w:t>
      </w:r>
      <w:r w:rsidR="28772372">
        <w:t xml:space="preserve"> if</w:t>
      </w:r>
      <w:r w:rsidR="062B2769">
        <w:t xml:space="preserve"> </w:t>
      </w:r>
      <w:r w:rsidR="5AED301B">
        <w:t xml:space="preserve">it decides </w:t>
      </w:r>
      <w:r w:rsidR="0897A596">
        <w:t xml:space="preserve">in the future </w:t>
      </w:r>
      <w:r w:rsidR="5AED301B">
        <w:t xml:space="preserve">to remove the accounting policy choice to initially measure </w:t>
      </w:r>
      <w:r w:rsidR="44F306AD">
        <w:t xml:space="preserve">such </w:t>
      </w:r>
      <w:r w:rsidR="49BDA5D5">
        <w:t>right-of-use assets</w:t>
      </w:r>
      <w:r w:rsidR="63DAFCE2">
        <w:t xml:space="preserve"> at cost.</w:t>
      </w:r>
      <w:r w:rsidR="4F463891">
        <w:t xml:space="preserve"> </w:t>
      </w:r>
      <w:r w:rsidR="52D4CC6E">
        <w:t>Stakeholders commented that i</w:t>
      </w:r>
      <w:r w:rsidR="4F463891">
        <w:t xml:space="preserve">f retrospective application was </w:t>
      </w:r>
      <w:r w:rsidR="52D4CC6E">
        <w:t>required</w:t>
      </w:r>
      <w:r w:rsidR="4F463891">
        <w:t xml:space="preserve">, the collection of </w:t>
      </w:r>
      <w:r w:rsidR="2B64B790">
        <w:t xml:space="preserve">fair value </w:t>
      </w:r>
      <w:r w:rsidR="4F463891">
        <w:t xml:space="preserve">information for </w:t>
      </w:r>
      <w:r w:rsidR="790C7F06">
        <w:t xml:space="preserve">historical </w:t>
      </w:r>
      <w:r w:rsidR="52D4CC6E">
        <w:t xml:space="preserve">concessionary </w:t>
      </w:r>
      <w:r w:rsidR="4F463891">
        <w:t>leases</w:t>
      </w:r>
      <w:r w:rsidR="059D8C53">
        <w:t>, particularly those leases that have been in place for a significant period,</w:t>
      </w:r>
      <w:r w:rsidR="4F463891">
        <w:t xml:space="preserve"> would be costly and time consuming</w:t>
      </w:r>
      <w:r w:rsidR="06D4C08C">
        <w:t>.</w:t>
      </w:r>
      <w:r w:rsidR="09E08E8A">
        <w:t xml:space="preserve"> A</w:t>
      </w:r>
      <w:r w:rsidR="0054363B">
        <w:t>t its November 2021 meeting</w:t>
      </w:r>
      <w:r w:rsidR="58979AF4">
        <w:t>,</w:t>
      </w:r>
      <w:r w:rsidR="5E09353F">
        <w:t xml:space="preserve"> </w:t>
      </w:r>
      <w:r w:rsidR="0054363B">
        <w:t xml:space="preserve">the Board </w:t>
      </w:r>
      <w:r w:rsidR="5E09353F">
        <w:t>discussed</w:t>
      </w:r>
      <w:r w:rsidR="0054363B">
        <w:t xml:space="preserve"> the initial measurement requirement</w:t>
      </w:r>
      <w:r w:rsidR="0897A596">
        <w:t>s</w:t>
      </w:r>
      <w:r w:rsidR="0054363B">
        <w:t xml:space="preserve"> </w:t>
      </w:r>
      <w:r w:rsidR="0897A596">
        <w:t xml:space="preserve">for </w:t>
      </w:r>
      <w:r w:rsidR="0054363B">
        <w:t xml:space="preserve">concessionary right-of-use assets </w:t>
      </w:r>
      <w:r w:rsidR="0897A596">
        <w:t xml:space="preserve">with a view </w:t>
      </w:r>
      <w:r w:rsidR="0054363B">
        <w:t xml:space="preserve">to </w:t>
      </w:r>
      <w:r w:rsidR="0897A596">
        <w:t xml:space="preserve">providing </w:t>
      </w:r>
      <w:r w:rsidR="0054363B">
        <w:t xml:space="preserve">certainty to not-for-profit private sector lessees. </w:t>
      </w:r>
      <w:bookmarkStart w:id="12" w:name="_Hlk84938843"/>
    </w:p>
    <w:p w14:paraId="634BD67D" w14:textId="1D437A1D" w:rsidR="0054363B" w:rsidRDefault="0054363B" w:rsidP="000E214B">
      <w:pPr>
        <w:pStyle w:val="NumBC1"/>
        <w:numPr>
          <w:ilvl w:val="0"/>
          <w:numId w:val="24"/>
        </w:numPr>
        <w:ind w:left="782" w:hanging="782"/>
      </w:pPr>
      <w:bookmarkStart w:id="13" w:name="_Ref87971907"/>
      <w:bookmarkEnd w:id="12"/>
      <w:r>
        <w:t xml:space="preserve">The Board acknowledged that, conceptually, requiring right-of use assets arising </w:t>
      </w:r>
      <w:r w:rsidR="003D36EE">
        <w:t xml:space="preserve">under </w:t>
      </w:r>
      <w:r>
        <w:t xml:space="preserve">concessionary leases to be initially measured at fair value </w:t>
      </w:r>
      <w:r w:rsidR="00C4500C">
        <w:t>is</w:t>
      </w:r>
      <w:r>
        <w:t xml:space="preserve"> consistent with the accounting treatment applied to other assets acquired </w:t>
      </w:r>
      <w:r w:rsidR="00B2501B">
        <w:t xml:space="preserve">on </w:t>
      </w:r>
      <w:r>
        <w:t>below-market terms and conditions and better</w:t>
      </w:r>
      <w:r w:rsidR="008409AF">
        <w:t xml:space="preserve"> reflects</w:t>
      </w:r>
      <w:r>
        <w:t xml:space="preserve"> the value of the right-of-use asset obtained by the lessee </w:t>
      </w:r>
      <w:r w:rsidR="00B2501B">
        <w:t xml:space="preserve">in </w:t>
      </w:r>
      <w:r>
        <w:t>its financial position and financial performance. However, the Board considered that the costs required to obtain the fair value of such right-of-use assets would outweigh the benefits for not-for-profit private sector entities. This is because:</w:t>
      </w:r>
      <w:bookmarkEnd w:id="13"/>
    </w:p>
    <w:p w14:paraId="6F706CB9" w14:textId="1DD2DBFF" w:rsidR="0054363B" w:rsidRDefault="0054363B" w:rsidP="000E214B">
      <w:pPr>
        <w:pStyle w:val="NumBC1"/>
        <w:numPr>
          <w:ilvl w:val="0"/>
          <w:numId w:val="30"/>
        </w:numPr>
        <w:ind w:left="1564" w:hanging="782"/>
      </w:pPr>
      <w:r>
        <w:t xml:space="preserve">many not-for-profit private sector entities may not have the knowledge and experience in applying the principles of AASB 13 </w:t>
      </w:r>
      <w:r w:rsidRPr="5CFBC39E">
        <w:rPr>
          <w:i/>
          <w:iCs/>
        </w:rPr>
        <w:t>Fair Value Measurement</w:t>
      </w:r>
      <w:r>
        <w:t xml:space="preserve"> because they generally do not measure non-financial assets at fair value. The cost and effort required to understand </w:t>
      </w:r>
      <w:r w:rsidR="445FD5D9">
        <w:t xml:space="preserve">and apply </w:t>
      </w:r>
      <w:r>
        <w:t xml:space="preserve">AASB 13 requirements for the one-off purpose of initially recognising a </w:t>
      </w:r>
      <w:r w:rsidR="445FD5D9">
        <w:t xml:space="preserve">right-of-use asset under a </w:t>
      </w:r>
      <w:r>
        <w:t xml:space="preserve">concessionary lease might be considered </w:t>
      </w:r>
      <w:proofErr w:type="gramStart"/>
      <w:r>
        <w:t>unjustified;</w:t>
      </w:r>
      <w:proofErr w:type="gramEnd"/>
    </w:p>
    <w:p w14:paraId="4707E3F3" w14:textId="67D2AF49" w:rsidR="0054363B" w:rsidRDefault="116B3459" w:rsidP="0D0DD40B">
      <w:pPr>
        <w:pStyle w:val="NumBC1"/>
        <w:numPr>
          <w:ilvl w:val="0"/>
          <w:numId w:val="30"/>
        </w:numPr>
        <w:ind w:left="1564" w:hanging="782"/>
      </w:pPr>
      <w:r>
        <w:t xml:space="preserve">some stakeholders have commented that the disclosures required </w:t>
      </w:r>
      <w:r w:rsidR="715C47DC">
        <w:t>by</w:t>
      </w:r>
      <w:r>
        <w:t xml:space="preserve"> AASB 16</w:t>
      </w:r>
      <w:r w:rsidR="15D20B77">
        <w:t>,</w:t>
      </w:r>
      <w:r>
        <w:t xml:space="preserve"> </w:t>
      </w:r>
      <w:r w:rsidR="70BE8951">
        <w:t xml:space="preserve">including </w:t>
      </w:r>
      <w:r w:rsidR="4EC1CD4A">
        <w:t xml:space="preserve">the requirements in </w:t>
      </w:r>
      <w:r w:rsidR="75DEA5EA">
        <w:t xml:space="preserve">AASB 16 </w:t>
      </w:r>
      <w:r>
        <w:t>paragraphs Aus59.1─Aus59.2</w:t>
      </w:r>
      <w:r w:rsidR="15D20B77">
        <w:t>,</w:t>
      </w:r>
      <w:r>
        <w:t xml:space="preserve"> appear to provide </w:t>
      </w:r>
      <w:r w:rsidR="247105FC">
        <w:t xml:space="preserve">sufficient </w:t>
      </w:r>
      <w:r>
        <w:t xml:space="preserve">information to users of financial statements about concessionary leases </w:t>
      </w:r>
      <w:r w:rsidR="515B8821">
        <w:t xml:space="preserve">for them </w:t>
      </w:r>
      <w:r>
        <w:t xml:space="preserve">to understand the effects </w:t>
      </w:r>
      <w:r w:rsidR="56988348">
        <w:t xml:space="preserve">of the leases </w:t>
      </w:r>
      <w:r>
        <w:t xml:space="preserve">on the financial position, financial </w:t>
      </w:r>
      <w:proofErr w:type="gramStart"/>
      <w:r>
        <w:t>performance</w:t>
      </w:r>
      <w:proofErr w:type="gramEnd"/>
      <w:r>
        <w:t xml:space="preserve"> and cash flow</w:t>
      </w:r>
      <w:r w:rsidR="515B8821">
        <w:t>s</w:t>
      </w:r>
      <w:r>
        <w:t xml:space="preserve"> of the entity, in the absence of fair value information; and</w:t>
      </w:r>
    </w:p>
    <w:p w14:paraId="14C0CD1A" w14:textId="387486F8" w:rsidR="0054363B" w:rsidRPr="00B156B1" w:rsidRDefault="68C3598B" w:rsidP="0D0DD40B">
      <w:pPr>
        <w:pStyle w:val="NumBC1"/>
        <w:numPr>
          <w:ilvl w:val="0"/>
          <w:numId w:val="30"/>
        </w:numPr>
        <w:ind w:left="1564" w:hanging="782"/>
      </w:pPr>
      <w:r>
        <w:t xml:space="preserve">some stakeholders have commented that recognising income resulting from initially measuring such right-of-use assets at fair value, and the subsequent amortisation of the right-of-use assets, might not meet the information needs of users of financial statements. </w:t>
      </w:r>
      <w:r w:rsidR="5FD34A8D">
        <w:t xml:space="preserve">This might particularly be the case </w:t>
      </w:r>
      <w:r w:rsidR="5FD34A8D">
        <w:lastRenderedPageBreak/>
        <w:t>when</w:t>
      </w:r>
      <w:r>
        <w:t xml:space="preserve"> a user is more interested in the entity’s expenses that need to be funded rather than the value of an asset consumed during the financial period that would not need to be funded. </w:t>
      </w:r>
    </w:p>
    <w:p w14:paraId="43892088" w14:textId="6B7AEE35" w:rsidR="0054363B" w:rsidRPr="00A0396D" w:rsidRDefault="116B3459" w:rsidP="0D0DD40B">
      <w:pPr>
        <w:pStyle w:val="NumBC1"/>
        <w:numPr>
          <w:ilvl w:val="0"/>
          <w:numId w:val="24"/>
        </w:numPr>
        <w:ind w:left="782" w:hanging="782"/>
      </w:pPr>
      <w:bookmarkStart w:id="14" w:name="_Ref87971909"/>
      <w:r>
        <w:t xml:space="preserve">Therefore, </w:t>
      </w:r>
      <w:r w:rsidR="7E57F817">
        <w:t>having regard to</w:t>
      </w:r>
      <w:r>
        <w:t xml:space="preserve"> the </w:t>
      </w:r>
      <w:r w:rsidRPr="5CFBC39E">
        <w:rPr>
          <w:i/>
          <w:iCs/>
        </w:rPr>
        <w:t>AASB Not-for-Profit Entity Standard-Setting Framework</w:t>
      </w:r>
      <w:r>
        <w:t xml:space="preserve">, the Board decided to </w:t>
      </w:r>
      <w:r w:rsidR="6793F520">
        <w:t xml:space="preserve">propose retaining </w:t>
      </w:r>
      <w:r>
        <w:t xml:space="preserve">the accounting policy choice in AASB 16 paragraphs Aus25.1–Aus25.2 on </w:t>
      </w:r>
      <w:r w:rsidR="12434622">
        <w:t>an ongoing bas</w:t>
      </w:r>
      <w:r w:rsidR="36AC6B72">
        <w:t>is</w:t>
      </w:r>
      <w:r w:rsidR="120BF7B7">
        <w:t xml:space="preserve"> (</w:t>
      </w:r>
      <w:proofErr w:type="spellStart"/>
      <w:proofErr w:type="gramStart"/>
      <w:r w:rsidR="6793F520">
        <w:t>ie</w:t>
      </w:r>
      <w:proofErr w:type="spellEnd"/>
      <w:proofErr w:type="gramEnd"/>
      <w:r w:rsidR="6793F520">
        <w:t xml:space="preserve"> </w:t>
      </w:r>
      <w:r w:rsidR="59F96858">
        <w:t>with no plan to reconsider the accounting policy choice</w:t>
      </w:r>
      <w:r w:rsidR="120BF7B7">
        <w:t>)</w:t>
      </w:r>
      <w:r>
        <w:t xml:space="preserve"> for not-for-profit private sector lessees to elect to initially measure a class of concessionary right-of-use assets at cost or fair value.</w:t>
      </w:r>
      <w:bookmarkEnd w:id="14"/>
    </w:p>
    <w:p w14:paraId="7EB1E32F" w14:textId="77777777" w:rsidR="0054363B" w:rsidRPr="00A0396D" w:rsidRDefault="0054363B" w:rsidP="009C60B1">
      <w:pPr>
        <w:pStyle w:val="IASBSectionTitle2Ind"/>
        <w:rPr>
          <w:szCs w:val="19"/>
        </w:rPr>
      </w:pPr>
      <w:r w:rsidRPr="00A0396D">
        <w:rPr>
          <w:sz w:val="22"/>
          <w:szCs w:val="22"/>
        </w:rPr>
        <w:t>Not-for-profit public sector lessees</w:t>
      </w:r>
    </w:p>
    <w:p w14:paraId="096583DB" w14:textId="68743378" w:rsidR="0054363B" w:rsidRPr="00A0396D" w:rsidRDefault="00A55D77" w:rsidP="000E214B">
      <w:pPr>
        <w:pStyle w:val="NumBC1"/>
        <w:numPr>
          <w:ilvl w:val="0"/>
          <w:numId w:val="24"/>
        </w:numPr>
        <w:ind w:left="782" w:hanging="782"/>
        <w:rPr>
          <w:szCs w:val="19"/>
        </w:rPr>
      </w:pPr>
      <w:r w:rsidRPr="00A0396D">
        <w:rPr>
          <w:szCs w:val="19"/>
        </w:rPr>
        <w:t>Regarding</w:t>
      </w:r>
      <w:r w:rsidR="0054363B" w:rsidRPr="00A0396D">
        <w:rPr>
          <w:szCs w:val="19"/>
        </w:rPr>
        <w:t xml:space="preserve"> not-for-profit public sector lessees, the Board considered that </w:t>
      </w:r>
      <w:r w:rsidRPr="00A0396D">
        <w:rPr>
          <w:szCs w:val="19"/>
        </w:rPr>
        <w:t>a</w:t>
      </w:r>
      <w:r w:rsidR="0054363B" w:rsidRPr="00A0396D">
        <w:rPr>
          <w:szCs w:val="19"/>
        </w:rPr>
        <w:t xml:space="preserve"> decision about the initial measurement of right-of-use assets arising </w:t>
      </w:r>
      <w:r w:rsidR="00AE4C74" w:rsidRPr="00A0396D">
        <w:rPr>
          <w:szCs w:val="19"/>
        </w:rPr>
        <w:t xml:space="preserve">under </w:t>
      </w:r>
      <w:r w:rsidR="0054363B" w:rsidRPr="00A0396D">
        <w:rPr>
          <w:szCs w:val="19"/>
        </w:rPr>
        <w:t xml:space="preserve">concessionary leases </w:t>
      </w:r>
      <w:r w:rsidR="00E01284">
        <w:rPr>
          <w:szCs w:val="19"/>
        </w:rPr>
        <w:t xml:space="preserve">should </w:t>
      </w:r>
      <w:r w:rsidR="0054363B" w:rsidRPr="00A0396D">
        <w:rPr>
          <w:szCs w:val="19"/>
        </w:rPr>
        <w:t>be deferred until additional guidance on how to measure the fair value of such right-of-u</w:t>
      </w:r>
      <w:r w:rsidRPr="00A0396D">
        <w:rPr>
          <w:szCs w:val="19"/>
        </w:rPr>
        <w:t>s</w:t>
      </w:r>
      <w:r w:rsidR="0054363B" w:rsidRPr="00A0396D">
        <w:rPr>
          <w:szCs w:val="19"/>
        </w:rPr>
        <w:t xml:space="preserve">e assets is </w:t>
      </w:r>
      <w:r w:rsidR="00C15680" w:rsidRPr="00A0396D">
        <w:rPr>
          <w:szCs w:val="19"/>
        </w:rPr>
        <w:t>discussed</w:t>
      </w:r>
      <w:r w:rsidR="0054363B" w:rsidRPr="00A0396D">
        <w:rPr>
          <w:szCs w:val="19"/>
        </w:rPr>
        <w:t xml:space="preserve">. </w:t>
      </w:r>
    </w:p>
    <w:p w14:paraId="58D66BA9" w14:textId="4693A60F" w:rsidR="0054363B" w:rsidRPr="00A0396D" w:rsidRDefault="0054363B" w:rsidP="000E214B">
      <w:pPr>
        <w:pStyle w:val="NumBC1"/>
        <w:numPr>
          <w:ilvl w:val="0"/>
          <w:numId w:val="24"/>
        </w:numPr>
        <w:ind w:left="782" w:hanging="782"/>
        <w:rPr>
          <w:szCs w:val="19"/>
        </w:rPr>
      </w:pPr>
      <w:r w:rsidRPr="00A0396D">
        <w:rPr>
          <w:szCs w:val="19"/>
        </w:rPr>
        <w:t>The Board decided to consider outcomes of the concessionary leases part of the IPSASB’s current Leases project and the Board’s Exposure Draft propos</w:t>
      </w:r>
      <w:r w:rsidR="00904EA3" w:rsidRPr="00A0396D">
        <w:rPr>
          <w:szCs w:val="19"/>
        </w:rPr>
        <w:t>ing</w:t>
      </w:r>
      <w:r w:rsidRPr="00A0396D">
        <w:rPr>
          <w:szCs w:val="19"/>
        </w:rPr>
        <w:t xml:space="preserve"> modifications to AASB 13 for not-for-profit public sector entities before </w:t>
      </w:r>
      <w:r w:rsidR="007639CE" w:rsidRPr="00A0396D">
        <w:rPr>
          <w:szCs w:val="19"/>
        </w:rPr>
        <w:t>reconsidering the application of fair value for concessionary leases in the</w:t>
      </w:r>
      <w:r w:rsidR="000B1B75" w:rsidRPr="00A0396D">
        <w:rPr>
          <w:szCs w:val="19"/>
        </w:rPr>
        <w:t xml:space="preserve"> not-for-profit</w:t>
      </w:r>
      <w:r w:rsidR="007639CE" w:rsidRPr="00A0396D">
        <w:rPr>
          <w:szCs w:val="19"/>
        </w:rPr>
        <w:t xml:space="preserve"> public sector</w:t>
      </w:r>
      <w:r w:rsidRPr="00A0396D">
        <w:rPr>
          <w:szCs w:val="19"/>
        </w:rPr>
        <w:t>.</w:t>
      </w:r>
    </w:p>
    <w:p w14:paraId="6311934B" w14:textId="2A87CCB8" w:rsidR="006365B0" w:rsidRPr="00A0396D" w:rsidRDefault="0054363B" w:rsidP="000E214B">
      <w:pPr>
        <w:pStyle w:val="NumBC1"/>
        <w:numPr>
          <w:ilvl w:val="0"/>
          <w:numId w:val="24"/>
        </w:numPr>
        <w:ind w:left="782" w:hanging="782"/>
      </w:pPr>
      <w:r>
        <w:t xml:space="preserve">The Board noted concerns raised by public sector stakeholders regarding the difficulty of measuring the fair value of historical concessionary leases. However, the Board </w:t>
      </w:r>
      <w:r w:rsidR="00396E6C">
        <w:t xml:space="preserve">decided not to </w:t>
      </w:r>
      <w:r w:rsidR="00A37386">
        <w:t xml:space="preserve">propose </w:t>
      </w:r>
      <w:r w:rsidR="00035EA1">
        <w:t>grandfather</w:t>
      </w:r>
      <w:r w:rsidR="00A37386">
        <w:t>ing</w:t>
      </w:r>
      <w:r w:rsidR="00035EA1">
        <w:t xml:space="preserve"> concessionary leases currently in place from a possible future fair value requirement </w:t>
      </w:r>
      <w:r w:rsidR="00F41192">
        <w:t xml:space="preserve">at this time but to </w:t>
      </w:r>
      <w:r w:rsidR="00396E6C">
        <w:t xml:space="preserve">consider grandfathering </w:t>
      </w:r>
      <w:r w:rsidR="00F41192">
        <w:t>if in the future</w:t>
      </w:r>
      <w:r w:rsidR="00035EA1">
        <w:t xml:space="preserve"> </w:t>
      </w:r>
      <w:r w:rsidR="0067224B">
        <w:t xml:space="preserve">it considers removing </w:t>
      </w:r>
      <w:r w:rsidR="00035EA1">
        <w:t>the accounting policy choice to initially measure right-of-use assets arising under concessionary leases at</w:t>
      </w:r>
      <w:r>
        <w:t xml:space="preserve"> cost. </w:t>
      </w:r>
    </w:p>
    <w:p w14:paraId="6F4DBD3A" w14:textId="4884301B" w:rsidR="008D317A" w:rsidRDefault="008D317A" w:rsidP="00A95EB1">
      <w:pPr>
        <w:pStyle w:val="Heading2"/>
      </w:pPr>
      <w:r>
        <w:t xml:space="preserve">Finalisation of </w:t>
      </w:r>
      <w:r w:rsidR="00F41192">
        <w:t xml:space="preserve">the </w:t>
      </w:r>
      <w:r>
        <w:t>ED 31</w:t>
      </w:r>
      <w:r w:rsidR="00D247A4">
        <w:t>8</w:t>
      </w:r>
      <w:r>
        <w:t xml:space="preserve"> proposals</w:t>
      </w:r>
    </w:p>
    <w:p w14:paraId="7530EC14" w14:textId="66636772" w:rsidR="00D247A4" w:rsidRDefault="00F41192" w:rsidP="000E214B">
      <w:pPr>
        <w:pStyle w:val="NumBC1"/>
        <w:numPr>
          <w:ilvl w:val="0"/>
          <w:numId w:val="24"/>
        </w:numPr>
        <w:ind w:left="782" w:hanging="782"/>
      </w:pPr>
      <w:r>
        <w:t xml:space="preserve">The Board received nine formal comment letters in response to ED 318. </w:t>
      </w:r>
      <w:r w:rsidR="00CC7B7B" w:rsidRPr="00A95EB1">
        <w:t>Following the</w:t>
      </w:r>
      <w:r w:rsidR="00CC7B7B">
        <w:t xml:space="preserve"> consultation period</w:t>
      </w:r>
      <w:r w:rsidR="007A06DE">
        <w:t xml:space="preserve">, and after considering the comments received, the Board decided </w:t>
      </w:r>
      <w:r w:rsidR="00E069D4">
        <w:t xml:space="preserve">to proceed </w:t>
      </w:r>
      <w:r w:rsidR="0067769E">
        <w:t>with issuing this Standard, with some changes from the proposals in ED 318.</w:t>
      </w:r>
    </w:p>
    <w:p w14:paraId="301DFEF1" w14:textId="39338FEF" w:rsidR="00240E46" w:rsidRPr="00A95EB1" w:rsidRDefault="00240E46" w:rsidP="00A95EB1">
      <w:pPr>
        <w:pStyle w:val="IASBSectionTitle2Ind"/>
        <w:rPr>
          <w:szCs w:val="26"/>
        </w:rPr>
      </w:pPr>
      <w:r w:rsidRPr="00765ABF">
        <w:t>Income of not-for-profit entities</w:t>
      </w:r>
    </w:p>
    <w:p w14:paraId="7E8C0242" w14:textId="517B85DE" w:rsidR="00A41B7B" w:rsidRPr="001361DF" w:rsidRDefault="005509D9" w:rsidP="000E214B">
      <w:pPr>
        <w:pStyle w:val="NumBC1"/>
        <w:numPr>
          <w:ilvl w:val="0"/>
          <w:numId w:val="24"/>
        </w:numPr>
        <w:ind w:left="782" w:hanging="782"/>
      </w:pPr>
      <w:bookmarkStart w:id="15" w:name="_Ref97549869"/>
      <w:r>
        <w:t>The feedback received indicated that</w:t>
      </w:r>
      <w:r w:rsidR="004E0BE0">
        <w:t>,</w:t>
      </w:r>
      <w:r w:rsidR="00B86193">
        <w:t xml:space="preserve"> whilst </w:t>
      </w:r>
      <w:bookmarkEnd w:id="15"/>
      <w:r w:rsidR="00503C00">
        <w:t xml:space="preserve">respondents to ED 318 </w:t>
      </w:r>
      <w:r w:rsidR="00B86193">
        <w:t>did not raise concerns</w:t>
      </w:r>
      <w:r w:rsidR="00DF277F">
        <w:t xml:space="preserve"> with the illustrated application of </w:t>
      </w:r>
      <w:r w:rsidR="00F41192">
        <w:t xml:space="preserve">the </w:t>
      </w:r>
      <w:r w:rsidR="00DF277F">
        <w:t xml:space="preserve">recognition and measurement requirements in the </w:t>
      </w:r>
      <w:r w:rsidR="00503C00">
        <w:t>proposed amendment</w:t>
      </w:r>
      <w:r w:rsidR="004F7F67">
        <w:t>s</w:t>
      </w:r>
      <w:r w:rsidR="00503C00">
        <w:t xml:space="preserve"> to </w:t>
      </w:r>
      <w:r w:rsidR="00CD2AD3">
        <w:t xml:space="preserve">the illustrative examples in </w:t>
      </w:r>
      <w:r w:rsidR="00503C00">
        <w:t>AASB 15</w:t>
      </w:r>
      <w:r w:rsidR="007B1AE8">
        <w:t>, some o</w:t>
      </w:r>
      <w:r w:rsidR="00EF78DF">
        <w:t>f the</w:t>
      </w:r>
      <w:r w:rsidR="00503C00">
        <w:t xml:space="preserve"> respondents </w:t>
      </w:r>
      <w:r w:rsidR="00F41192">
        <w:t xml:space="preserve">suggested </w:t>
      </w:r>
      <w:r w:rsidR="00522B4A">
        <w:t xml:space="preserve">that the proposed </w:t>
      </w:r>
      <w:r w:rsidR="00285D3B">
        <w:t>Illustrative E</w:t>
      </w:r>
      <w:r w:rsidR="00522B4A">
        <w:t>xample</w:t>
      </w:r>
      <w:r w:rsidR="00285D3B">
        <w:t xml:space="preserve"> 7A</w:t>
      </w:r>
      <w:r w:rsidR="00522B4A">
        <w:t xml:space="preserve"> is </w:t>
      </w:r>
      <w:r w:rsidR="00F2311C">
        <w:t xml:space="preserve">too generic and </w:t>
      </w:r>
      <w:r w:rsidR="00503C00">
        <w:t xml:space="preserve">recommended that any changes </w:t>
      </w:r>
      <w:r w:rsidR="0042086C">
        <w:t>be dealt with as part of the forthcoming</w:t>
      </w:r>
      <w:r w:rsidR="00C067BF">
        <w:t xml:space="preserve"> </w:t>
      </w:r>
      <w:r w:rsidR="005076F3">
        <w:t>p</w:t>
      </w:r>
      <w:r w:rsidR="00666594">
        <w:t>ost</w:t>
      </w:r>
      <w:r w:rsidR="00D8036E">
        <w:t>-</w:t>
      </w:r>
      <w:r w:rsidR="005076F3">
        <w:t>i</w:t>
      </w:r>
      <w:r w:rsidR="00666594">
        <w:t xml:space="preserve">mplementation </w:t>
      </w:r>
      <w:r w:rsidR="005076F3" w:rsidRPr="001361DF">
        <w:t>r</w:t>
      </w:r>
      <w:r w:rsidR="00666594" w:rsidRPr="001361DF">
        <w:t>eview</w:t>
      </w:r>
      <w:r w:rsidR="00336C58" w:rsidRPr="001361DF">
        <w:t xml:space="preserve"> of the</w:t>
      </w:r>
      <w:r w:rsidR="00091D2F" w:rsidRPr="001361DF">
        <w:t xml:space="preserve"> guidance for not-for-profit entities in AASB 15</w:t>
      </w:r>
      <w:r w:rsidR="0042086C" w:rsidRPr="001361DF">
        <w:t xml:space="preserve">. </w:t>
      </w:r>
      <w:r w:rsidR="00091D2F" w:rsidRPr="001361DF">
        <w:t>The Board</w:t>
      </w:r>
      <w:r w:rsidR="00037300" w:rsidRPr="001361DF">
        <w:t xml:space="preserve"> considered this feedback </w:t>
      </w:r>
      <w:r w:rsidR="000E51C7" w:rsidRPr="001361DF">
        <w:t xml:space="preserve">and noted that </w:t>
      </w:r>
      <w:r w:rsidR="0024694F" w:rsidRPr="001361DF">
        <w:t xml:space="preserve">the </w:t>
      </w:r>
      <w:r w:rsidR="000C5A61" w:rsidRPr="001361DF">
        <w:t xml:space="preserve">example is intended to assist not-for-profit entities </w:t>
      </w:r>
      <w:r w:rsidR="00397922" w:rsidRPr="001361DF">
        <w:t>with limited resources in the application of AASB</w:t>
      </w:r>
      <w:r w:rsidR="00D20EA7" w:rsidRPr="001361DF">
        <w:t> </w:t>
      </w:r>
      <w:r w:rsidR="00397922" w:rsidRPr="001361DF">
        <w:t xml:space="preserve">15 requirements. The Board therefore </w:t>
      </w:r>
      <w:r w:rsidR="00037300" w:rsidRPr="001361DF">
        <w:t xml:space="preserve">decided to add the </w:t>
      </w:r>
      <w:r w:rsidR="00570535" w:rsidRPr="001361DF">
        <w:t xml:space="preserve">proposed </w:t>
      </w:r>
      <w:r w:rsidR="0044180D" w:rsidRPr="001361DF">
        <w:t>I</w:t>
      </w:r>
      <w:r w:rsidR="00037300" w:rsidRPr="001361DF">
        <w:t xml:space="preserve">llustrative </w:t>
      </w:r>
      <w:r w:rsidR="0044180D" w:rsidRPr="001361DF">
        <w:t>E</w:t>
      </w:r>
      <w:r w:rsidR="00037300" w:rsidRPr="001361DF">
        <w:t>xample 7A to AASB</w:t>
      </w:r>
      <w:r w:rsidR="00D20EA7" w:rsidRPr="001361DF">
        <w:t> </w:t>
      </w:r>
      <w:r w:rsidR="00037300" w:rsidRPr="001361DF">
        <w:t>15</w:t>
      </w:r>
      <w:r w:rsidR="00570535" w:rsidRPr="001361DF">
        <w:t>,</w:t>
      </w:r>
      <w:r w:rsidR="00037300" w:rsidRPr="001361DF">
        <w:t xml:space="preserve"> </w:t>
      </w:r>
      <w:r w:rsidR="00570535" w:rsidRPr="001361DF">
        <w:t>incorporating</w:t>
      </w:r>
      <w:r w:rsidR="00626015" w:rsidRPr="001361DF">
        <w:t xml:space="preserve"> some editorial improvements </w:t>
      </w:r>
      <w:r w:rsidR="00262F46" w:rsidRPr="001361DF">
        <w:t>suggested by the respondents</w:t>
      </w:r>
      <w:r w:rsidR="00240E46" w:rsidRPr="001361DF">
        <w:t>.</w:t>
      </w:r>
    </w:p>
    <w:p w14:paraId="3462EE7F" w14:textId="0ACB8106" w:rsidR="00E4099A" w:rsidRDefault="6BD99051" w:rsidP="000E214B">
      <w:pPr>
        <w:pStyle w:val="NumBC1"/>
        <w:numPr>
          <w:ilvl w:val="0"/>
          <w:numId w:val="24"/>
        </w:numPr>
        <w:ind w:left="782" w:hanging="782"/>
      </w:pPr>
      <w:r>
        <w:t xml:space="preserve">Most </w:t>
      </w:r>
      <w:r w:rsidR="14B3B149">
        <w:t xml:space="preserve">respondents to ED 318 did not support the proposed amendment to AASB 1058 Illustrative </w:t>
      </w:r>
      <w:r w:rsidR="1473BD54">
        <w:t>E</w:t>
      </w:r>
      <w:r w:rsidR="14B3B149">
        <w:t>xample 3</w:t>
      </w:r>
      <w:r w:rsidR="3AA1C0C5">
        <w:t>,</w:t>
      </w:r>
      <w:r w:rsidR="14B3B149">
        <w:t xml:space="preserve"> </w:t>
      </w:r>
      <w:r w:rsidR="3AA1C0C5">
        <w:t>noting their</w:t>
      </w:r>
      <w:r w:rsidR="14B3B149">
        <w:t xml:space="preserve"> concerns with the</w:t>
      </w:r>
      <w:r w:rsidR="75C087F3">
        <w:t xml:space="preserve"> potential impact of the</w:t>
      </w:r>
      <w:r w:rsidR="14B3B149">
        <w:t xml:space="preserve"> illustrated scenario and accounting analysis</w:t>
      </w:r>
      <w:r w:rsidR="51E87A51">
        <w:t xml:space="preserve"> </w:t>
      </w:r>
      <w:r w:rsidR="75C087F3">
        <w:t>on current practice</w:t>
      </w:r>
      <w:r w:rsidR="14B3B149">
        <w:t xml:space="preserve">. </w:t>
      </w:r>
      <w:proofErr w:type="gramStart"/>
      <w:r w:rsidR="3AA1C0C5">
        <w:t>A majority</w:t>
      </w:r>
      <w:r w:rsidR="14B3B149">
        <w:t xml:space="preserve"> of</w:t>
      </w:r>
      <w:proofErr w:type="gramEnd"/>
      <w:r w:rsidR="14B3B149">
        <w:t xml:space="preserve"> the respondents </w:t>
      </w:r>
      <w:r w:rsidR="3AA1C0C5">
        <w:t xml:space="preserve">indicated </w:t>
      </w:r>
      <w:r w:rsidR="0678CBA1">
        <w:t>the amendments</w:t>
      </w:r>
      <w:r w:rsidR="14B3B149">
        <w:t xml:space="preserve"> were not desirable at </w:t>
      </w:r>
      <w:r w:rsidR="0678CBA1">
        <w:t>this</w:t>
      </w:r>
      <w:r w:rsidR="14B3B149">
        <w:t xml:space="preserve"> time and recommended considering any amendments as part of </w:t>
      </w:r>
      <w:r w:rsidR="176B7369">
        <w:t>the forthcoming post-implementation review of AASB</w:t>
      </w:r>
      <w:r w:rsidR="1372D6D4">
        <w:t> </w:t>
      </w:r>
      <w:r w:rsidR="176B7369">
        <w:t>1058</w:t>
      </w:r>
      <w:r w:rsidR="14B3B149">
        <w:t>.</w:t>
      </w:r>
      <w:r w:rsidR="6DCBAC23">
        <w:t xml:space="preserve"> </w:t>
      </w:r>
      <w:r w:rsidR="42DD58D1">
        <w:t xml:space="preserve">After considering the feedback from stakeholders, the Board </w:t>
      </w:r>
      <w:r w:rsidR="398A56EE">
        <w:t xml:space="preserve">decided </w:t>
      </w:r>
      <w:r w:rsidR="68B58CF5">
        <w:t xml:space="preserve">to </w:t>
      </w:r>
      <w:r w:rsidR="755107AA">
        <w:t>retain Illustrative Example 3 in AASB 1058 without any amendment</w:t>
      </w:r>
      <w:r w:rsidR="7F8E7FC9">
        <w:t xml:space="preserve"> and to consider any </w:t>
      </w:r>
      <w:r w:rsidR="2604CDB5">
        <w:t>changes</w:t>
      </w:r>
      <w:r w:rsidR="7F8E7FC9">
        <w:t xml:space="preserve"> as part of th</w:t>
      </w:r>
      <w:r w:rsidR="30000AA1">
        <w:t>e post-implementation review</w:t>
      </w:r>
      <w:r w:rsidR="68B58CF5">
        <w:t>.</w:t>
      </w:r>
    </w:p>
    <w:p w14:paraId="7517F66B" w14:textId="7EA5225A" w:rsidR="009578E2" w:rsidRDefault="009578E2" w:rsidP="00A95EB1">
      <w:pPr>
        <w:pStyle w:val="IASBSectionTitle2Ind"/>
      </w:pPr>
      <w:r w:rsidRPr="007D0BB2">
        <w:t>Initial measurement of right-of-use assets arising under concessionary leases</w:t>
      </w:r>
    </w:p>
    <w:p w14:paraId="6B2E6F06" w14:textId="3C2181D2" w:rsidR="00BF3322" w:rsidRDefault="0042086C" w:rsidP="000E214B">
      <w:pPr>
        <w:pStyle w:val="NumBC1"/>
        <w:numPr>
          <w:ilvl w:val="0"/>
          <w:numId w:val="24"/>
        </w:numPr>
        <w:ind w:left="782" w:hanging="782"/>
      </w:pPr>
      <w:r>
        <w:t>Almost all</w:t>
      </w:r>
      <w:r w:rsidR="00461AE8">
        <w:t xml:space="preserve"> </w:t>
      </w:r>
      <w:r>
        <w:t xml:space="preserve">respondents agreed with the </w:t>
      </w:r>
      <w:r w:rsidR="00663173">
        <w:t xml:space="preserve">Board’s </w:t>
      </w:r>
      <w:r>
        <w:t xml:space="preserve">decision </w:t>
      </w:r>
      <w:r w:rsidR="00C9693A">
        <w:t xml:space="preserve">to retain the accounting policy choice in AASB 16 paragraphs Aus25.1-Aus25.2 </w:t>
      </w:r>
      <w:r w:rsidR="008A22F4">
        <w:t xml:space="preserve">on an ongoing basis for </w:t>
      </w:r>
      <w:r w:rsidR="009228D0">
        <w:t xml:space="preserve">not-for-profit private sector lessees to elect to </w:t>
      </w:r>
      <w:r w:rsidR="004820D5">
        <w:t>initial</w:t>
      </w:r>
      <w:r w:rsidR="009228D0">
        <w:t xml:space="preserve">ly </w:t>
      </w:r>
      <w:r w:rsidR="004820D5">
        <w:t>measure</w:t>
      </w:r>
      <w:r w:rsidR="00BF3322">
        <w:t xml:space="preserve"> a class</w:t>
      </w:r>
      <w:r w:rsidR="004820D5">
        <w:t xml:space="preserve"> of </w:t>
      </w:r>
      <w:r w:rsidR="000C6BFA">
        <w:t>right-of-use</w:t>
      </w:r>
      <w:r>
        <w:t xml:space="preserve"> assets arising </w:t>
      </w:r>
      <w:r w:rsidR="004820D5">
        <w:t>under</w:t>
      </w:r>
      <w:r>
        <w:t xml:space="preserve"> concessionary leases </w:t>
      </w:r>
      <w:r w:rsidR="00BF3322">
        <w:t xml:space="preserve">at cost or </w:t>
      </w:r>
      <w:r w:rsidR="0051789E">
        <w:t xml:space="preserve">at </w:t>
      </w:r>
      <w:r w:rsidR="00BF3322">
        <w:t>fair value</w:t>
      </w:r>
      <w:r w:rsidR="007B34B8">
        <w:t>.</w:t>
      </w:r>
    </w:p>
    <w:p w14:paraId="1B360DB9" w14:textId="5006307A" w:rsidR="0067769E" w:rsidRDefault="00C93D26" w:rsidP="000E214B">
      <w:pPr>
        <w:pStyle w:val="NumBC1"/>
        <w:numPr>
          <w:ilvl w:val="0"/>
          <w:numId w:val="24"/>
        </w:numPr>
        <w:ind w:left="782" w:hanging="782"/>
      </w:pPr>
      <w:r>
        <w:t xml:space="preserve">The Board noted that </w:t>
      </w:r>
      <w:r w:rsidR="00314CA5">
        <w:t>s</w:t>
      </w:r>
      <w:r w:rsidR="00AE4D82">
        <w:t xml:space="preserve">ome feedback received disagreed </w:t>
      </w:r>
      <w:r w:rsidR="0042086C">
        <w:t xml:space="preserve">with the decision to </w:t>
      </w:r>
      <w:r w:rsidR="0056326E">
        <w:t>consider</w:t>
      </w:r>
      <w:r w:rsidR="0042086C">
        <w:t xml:space="preserve"> </w:t>
      </w:r>
      <w:r w:rsidR="00836E80">
        <w:t xml:space="preserve">outcomes of the concessionary leases part of the IPSASB’s current Leases project and the Board’s </w:t>
      </w:r>
      <w:r w:rsidR="000B2B41">
        <w:t>proposals in</w:t>
      </w:r>
      <w:r w:rsidR="00836E80">
        <w:t xml:space="preserve"> Exposure Draft</w:t>
      </w:r>
      <w:r w:rsidR="0051789E">
        <w:t xml:space="preserve"> ED</w:t>
      </w:r>
      <w:r w:rsidR="00552D9D">
        <w:t> </w:t>
      </w:r>
      <w:r w:rsidR="000B2B41">
        <w:t xml:space="preserve">320 </w:t>
      </w:r>
      <w:r w:rsidR="00892AC2" w:rsidRPr="5CFBC39E">
        <w:rPr>
          <w:i/>
          <w:iCs/>
        </w:rPr>
        <w:t xml:space="preserve">Fair Value Measurement of Non-Financial Assets of Not-for-Profit Public Sector Entities </w:t>
      </w:r>
      <w:r w:rsidR="00836E80">
        <w:t>before reconsidering the application of fair value for concessionary leases in the not-for</w:t>
      </w:r>
      <w:r w:rsidR="00892AC2">
        <w:t>-</w:t>
      </w:r>
      <w:r w:rsidR="00836E80">
        <w:t>profit public sector.</w:t>
      </w:r>
      <w:r w:rsidR="00834980">
        <w:t xml:space="preserve"> </w:t>
      </w:r>
      <w:r w:rsidR="001628A7">
        <w:t>The Board acknowledged stakeholders’ concern</w:t>
      </w:r>
      <w:r w:rsidR="0051789E">
        <w:t>s</w:t>
      </w:r>
      <w:r w:rsidR="001628A7">
        <w:t xml:space="preserve"> </w:t>
      </w:r>
      <w:r w:rsidR="00DA7AEA">
        <w:t xml:space="preserve">regarding the difficulty of measuring the fair value of historical concessionary leases when developing </w:t>
      </w:r>
      <w:r w:rsidR="0051789E">
        <w:t xml:space="preserve">the </w:t>
      </w:r>
      <w:r w:rsidR="00DA7AEA">
        <w:t>ED 318 proposals</w:t>
      </w:r>
      <w:r w:rsidR="0051789E">
        <w:t>.</w:t>
      </w:r>
      <w:r w:rsidR="00AE4A70">
        <w:t xml:space="preserve"> </w:t>
      </w:r>
      <w:r w:rsidR="0051789E">
        <w:t xml:space="preserve">The Board concluded </w:t>
      </w:r>
      <w:r w:rsidR="00AE4A70">
        <w:t xml:space="preserve">that </w:t>
      </w:r>
      <w:r w:rsidR="0051789E">
        <w:t>it is still appropriate to defer</w:t>
      </w:r>
      <w:r w:rsidR="00893779">
        <w:t xml:space="preserve"> a decision about the initial measurement of right-of-use assets arising under concessionary leases </w:t>
      </w:r>
      <w:r w:rsidR="00E53B15">
        <w:t>for</w:t>
      </w:r>
      <w:r w:rsidR="00CB2C40">
        <w:t xml:space="preserve"> </w:t>
      </w:r>
      <w:r w:rsidR="00CB2C40">
        <w:lastRenderedPageBreak/>
        <w:t xml:space="preserve">not-for-profit public sector </w:t>
      </w:r>
      <w:r w:rsidR="00F226B5">
        <w:t>lessees</w:t>
      </w:r>
      <w:r w:rsidR="00CB2C40">
        <w:t xml:space="preserve"> </w:t>
      </w:r>
      <w:r w:rsidR="00893779">
        <w:t>until additional guidance on how to measure the fair value of such right-of-use assets is discussed</w:t>
      </w:r>
      <w:r w:rsidR="00344119">
        <w:t>.</w:t>
      </w:r>
    </w:p>
    <w:p w14:paraId="42D0F8E9" w14:textId="70F1F14E" w:rsidR="00C403ED" w:rsidRDefault="00344119" w:rsidP="000E214B">
      <w:pPr>
        <w:pStyle w:val="NumBC1"/>
        <w:numPr>
          <w:ilvl w:val="0"/>
          <w:numId w:val="24"/>
        </w:numPr>
        <w:ind w:left="782" w:hanging="782"/>
      </w:pPr>
      <w:r>
        <w:t>Accordingly, a</w:t>
      </w:r>
      <w:r w:rsidR="000129CE">
        <w:t xml:space="preserve">fter considering the feedback to ED 318, </w:t>
      </w:r>
      <w:r w:rsidR="00461AE8">
        <w:t>the</w:t>
      </w:r>
      <w:r w:rsidR="0086666B">
        <w:t xml:space="preserve"> Board decided to proceed with </w:t>
      </w:r>
      <w:r w:rsidR="00BF6914">
        <w:t xml:space="preserve">the </w:t>
      </w:r>
      <w:r w:rsidR="0086666B">
        <w:t>proposals in ED 318</w:t>
      </w:r>
      <w:r w:rsidR="006D01E5">
        <w:t xml:space="preserve"> to</w:t>
      </w:r>
      <w:r w:rsidR="0086666B">
        <w:t xml:space="preserve"> retain the accounting policy choice on an ongoing basis for not-for-profit private sector lessees</w:t>
      </w:r>
      <w:r>
        <w:t xml:space="preserve"> and </w:t>
      </w:r>
      <w:r w:rsidR="0086666B">
        <w:t xml:space="preserve">to defer consideration of the accounting policy choice for not-for-profit public sector lessees until the Board decides on any additional guidance for measuring the fair value of </w:t>
      </w:r>
      <w:r w:rsidR="007A550D">
        <w:t xml:space="preserve">right-of-use </w:t>
      </w:r>
      <w:r w:rsidR="0086666B">
        <w:t xml:space="preserve">assets under concessionary leases. This decision would be made after considering the outcomes of the concessionary leases part of the IPSASB’s current Leases project and the Board’s ED 320. </w:t>
      </w:r>
    </w:p>
    <w:p w14:paraId="79E01D21" w14:textId="70DDBA6B" w:rsidR="00D5668D" w:rsidRPr="00D5668D" w:rsidRDefault="00D5668D" w:rsidP="00A95EB1">
      <w:pPr>
        <w:keepNext/>
        <w:keepLines/>
        <w:spacing w:before="240" w:after="200"/>
        <w:jc w:val="left"/>
        <w:outlineLvl w:val="1"/>
        <w:rPr>
          <w:rFonts w:ascii="Arial" w:hAnsi="Arial" w:cs="Arial"/>
          <w:b/>
          <w:sz w:val="26"/>
        </w:rPr>
      </w:pPr>
      <w:r w:rsidRPr="00D5668D">
        <w:rPr>
          <w:rFonts w:ascii="Arial" w:hAnsi="Arial" w:cs="Arial"/>
          <w:b/>
          <w:sz w:val="26"/>
        </w:rPr>
        <w:t>Effective date</w:t>
      </w:r>
    </w:p>
    <w:p w14:paraId="25CA671D" w14:textId="69A624A4" w:rsidR="00D5668D" w:rsidRPr="00D5668D" w:rsidRDefault="00D5668D" w:rsidP="000E214B">
      <w:pPr>
        <w:pStyle w:val="NumBC1"/>
        <w:numPr>
          <w:ilvl w:val="0"/>
          <w:numId w:val="24"/>
        </w:numPr>
        <w:ind w:left="782" w:hanging="782"/>
      </w:pPr>
      <w:r w:rsidRPr="00D5668D">
        <w:t xml:space="preserve">The Board confirmed that the amendments would be effective for annual periods </w:t>
      </w:r>
      <w:r w:rsidR="00A73E7F">
        <w:t xml:space="preserve">beginning </w:t>
      </w:r>
      <w:r w:rsidR="00B3261A">
        <w:t xml:space="preserve">on or after </w:t>
      </w:r>
      <w:r w:rsidR="00A73E7F">
        <w:t>1 July 2022</w:t>
      </w:r>
      <w:r w:rsidRPr="00D5668D">
        <w:t>, with earlier application permitted, as proposed in ED 31</w:t>
      </w:r>
      <w:r w:rsidR="00A73E7F">
        <w:t>8</w:t>
      </w:r>
      <w:r w:rsidRPr="00D5668D">
        <w:t>.</w:t>
      </w:r>
    </w:p>
    <w:p w14:paraId="3601BE43" w14:textId="77777777" w:rsidR="001316C7" w:rsidRPr="001403B5" w:rsidRDefault="001316C7" w:rsidP="00A95EB1">
      <w:pPr>
        <w:pStyle w:val="NumBC1"/>
        <w:numPr>
          <w:ilvl w:val="0"/>
          <w:numId w:val="0"/>
        </w:numPr>
        <w:rPr>
          <w:szCs w:val="19"/>
        </w:rPr>
      </w:pPr>
    </w:p>
    <w:sectPr w:rsidR="001316C7" w:rsidRPr="001403B5" w:rsidSect="005420ED">
      <w:footerReference w:type="default" r:id="rId24"/>
      <w:footnotePr>
        <w:numRestart w:val="eachSect"/>
      </w:footnotePr>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8097" w14:textId="77777777" w:rsidR="00D34470" w:rsidRDefault="00D34470">
      <w:r>
        <w:separator/>
      </w:r>
    </w:p>
  </w:endnote>
  <w:endnote w:type="continuationSeparator" w:id="0">
    <w:p w14:paraId="38FFC139" w14:textId="77777777" w:rsidR="00D34470" w:rsidRDefault="00D34470">
      <w:r>
        <w:continuationSeparator/>
      </w:r>
    </w:p>
  </w:endnote>
  <w:endnote w:type="continuationNotice" w:id="1">
    <w:p w14:paraId="2DB4C46F" w14:textId="77777777" w:rsidR="00D34470" w:rsidRDefault="00D34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670" w14:textId="44D1B2B1" w:rsidR="001F0900" w:rsidRPr="004D46F9" w:rsidRDefault="008474F3" w:rsidP="004D46F9">
    <w:pPr>
      <w:pStyle w:val="Footer"/>
      <w:rPr>
        <w:b/>
      </w:rPr>
    </w:pPr>
    <w:r>
      <w:rPr>
        <w:b/>
      </w:rPr>
      <w:t>AASB 2022-</w:t>
    </w:r>
    <w:r w:rsidR="00274E8C">
      <w:rPr>
        <w:b/>
      </w:rPr>
      <w:t>3</w:t>
    </w:r>
    <w:r w:rsidR="001F0900">
      <w:rPr>
        <w:b/>
      </w:rPr>
      <w:tab/>
    </w:r>
    <w:r w:rsidR="001F0900">
      <w:fldChar w:fldCharType="begin"/>
    </w:r>
    <w:r w:rsidR="001F0900">
      <w:instrText>PAGE</w:instrText>
    </w:r>
    <w:r w:rsidR="001F0900">
      <w:fldChar w:fldCharType="separate"/>
    </w:r>
    <w:r w:rsidR="00D8211F">
      <w:rPr>
        <w:noProof/>
      </w:rPr>
      <w:t>2</w:t>
    </w:r>
    <w:r w:rsidR="001F0900">
      <w:fldChar w:fldCharType="end"/>
    </w:r>
    <w:r w:rsidR="001F0900">
      <w:tab/>
    </w:r>
    <w:r w:rsidR="001F0900">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672" w14:textId="7EEED0E6" w:rsidR="001F0900" w:rsidRPr="004D46F9" w:rsidRDefault="001651D9" w:rsidP="004D46F9">
    <w:pPr>
      <w:pStyle w:val="Footer"/>
      <w:rPr>
        <w:b/>
      </w:rPr>
    </w:pPr>
    <w:r>
      <w:rPr>
        <w:b/>
      </w:rPr>
      <w:t>AASB 2022-3</w:t>
    </w:r>
    <w:r w:rsidR="001F0900">
      <w:rPr>
        <w:b/>
      </w:rPr>
      <w:tab/>
    </w:r>
    <w:r w:rsidR="001F0900">
      <w:fldChar w:fldCharType="begin"/>
    </w:r>
    <w:r w:rsidR="001F0900">
      <w:instrText>PAGE</w:instrText>
    </w:r>
    <w:r w:rsidR="001F0900">
      <w:fldChar w:fldCharType="separate"/>
    </w:r>
    <w:r w:rsidR="00D8211F">
      <w:rPr>
        <w:noProof/>
      </w:rPr>
      <w:t>6</w:t>
    </w:r>
    <w:r w:rsidR="001F0900">
      <w:fldChar w:fldCharType="end"/>
    </w:r>
    <w:r w:rsidR="001F0900">
      <w:tab/>
    </w:r>
    <w:r w:rsidR="001F0900">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673" w14:textId="57FDCE6F" w:rsidR="001F0900" w:rsidRDefault="00ED296D">
    <w:pPr>
      <w:pStyle w:val="Footer"/>
      <w:rPr>
        <w:b/>
      </w:rPr>
    </w:pPr>
    <w:r>
      <w:rPr>
        <w:b/>
      </w:rPr>
      <w:t>AASB 2022-</w:t>
    </w:r>
    <w:r w:rsidR="00274E8C">
      <w:rPr>
        <w:b/>
      </w:rPr>
      <w:t>3</w:t>
    </w:r>
    <w:r w:rsidR="001F0900">
      <w:rPr>
        <w:b/>
      </w:rPr>
      <w:tab/>
    </w:r>
    <w:r w:rsidR="001F0900">
      <w:fldChar w:fldCharType="begin"/>
    </w:r>
    <w:r w:rsidR="001F0900">
      <w:instrText>PAGE</w:instrText>
    </w:r>
    <w:r w:rsidR="001F0900">
      <w:fldChar w:fldCharType="separate"/>
    </w:r>
    <w:r w:rsidR="00D8211F">
      <w:rPr>
        <w:noProof/>
      </w:rPr>
      <w:t>7</w:t>
    </w:r>
    <w:r w:rsidR="001F0900">
      <w:fldChar w:fldCharType="end"/>
    </w:r>
    <w:r w:rsidR="001F0900">
      <w:tab/>
    </w:r>
    <w:r w:rsidR="001F0900">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675" w14:textId="77777777" w:rsidR="001F0900" w:rsidRDefault="001F09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679" w14:textId="7FFB0D81" w:rsidR="001F0900" w:rsidRDefault="00ED296D" w:rsidP="00801CE1">
    <w:pPr>
      <w:pStyle w:val="Footer"/>
      <w:rPr>
        <w:b/>
      </w:rPr>
    </w:pPr>
    <w:r>
      <w:rPr>
        <w:b/>
      </w:rPr>
      <w:t>AASB 2022-</w:t>
    </w:r>
    <w:r w:rsidR="00274E8C">
      <w:rPr>
        <w:b/>
      </w:rPr>
      <w:t>3</w:t>
    </w:r>
    <w:r w:rsidR="001F0900">
      <w:rPr>
        <w:b/>
      </w:rPr>
      <w:tab/>
    </w:r>
    <w:r w:rsidR="001F0900">
      <w:fldChar w:fldCharType="begin"/>
    </w:r>
    <w:r w:rsidR="001F0900">
      <w:instrText>PAGE</w:instrText>
    </w:r>
    <w:r w:rsidR="001F0900">
      <w:fldChar w:fldCharType="separate"/>
    </w:r>
    <w:r w:rsidR="00D8211F">
      <w:rPr>
        <w:noProof/>
      </w:rPr>
      <w:t>11</w:t>
    </w:r>
    <w:r w:rsidR="001F0900">
      <w:fldChar w:fldCharType="end"/>
    </w:r>
    <w:r w:rsidR="001F0900">
      <w:tab/>
    </w:r>
    <w:r w:rsidR="001F0900">
      <w:rPr>
        <w:b/>
      </w:rPr>
      <w:t>STANDARD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67B" w14:textId="77777777" w:rsidR="001F0900" w:rsidRDefault="001F09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18D" w14:textId="4AC36CAE" w:rsidR="00020F39" w:rsidRDefault="00ED296D" w:rsidP="00801CE1">
    <w:pPr>
      <w:pStyle w:val="Footer"/>
      <w:rPr>
        <w:b/>
      </w:rPr>
    </w:pPr>
    <w:r>
      <w:rPr>
        <w:b/>
      </w:rPr>
      <w:t>AASB 2022-</w:t>
    </w:r>
    <w:r w:rsidR="00274E8C">
      <w:rPr>
        <w:b/>
      </w:rPr>
      <w:t>3</w:t>
    </w:r>
    <w:r w:rsidR="009218F4">
      <w:rPr>
        <w:b/>
      </w:rPr>
      <w:tab/>
    </w:r>
    <w:r w:rsidR="009218F4">
      <w:fldChar w:fldCharType="begin"/>
    </w:r>
    <w:r w:rsidR="009218F4">
      <w:instrText>PAGE</w:instrText>
    </w:r>
    <w:r w:rsidR="009218F4">
      <w:fldChar w:fldCharType="separate"/>
    </w:r>
    <w:r w:rsidR="009218F4">
      <w:rPr>
        <w:noProof/>
      </w:rPr>
      <w:t>23</w:t>
    </w:r>
    <w:r w:rsidR="009218F4">
      <w:fldChar w:fldCharType="end"/>
    </w:r>
    <w:r w:rsidR="009218F4">
      <w:tab/>
    </w:r>
    <w:r w:rsidR="009218F4">
      <w:rPr>
        <w:b/>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98BC" w14:textId="77777777" w:rsidR="00D34470" w:rsidRDefault="00D34470">
      <w:r>
        <w:separator/>
      </w:r>
    </w:p>
  </w:footnote>
  <w:footnote w:type="continuationSeparator" w:id="0">
    <w:p w14:paraId="4EECD59C" w14:textId="77777777" w:rsidR="00D34470" w:rsidRDefault="00D34470">
      <w:r>
        <w:continuationSeparator/>
      </w:r>
    </w:p>
  </w:footnote>
  <w:footnote w:type="continuationNotice" w:id="1">
    <w:p w14:paraId="1613AB81" w14:textId="77777777" w:rsidR="00D34470" w:rsidRDefault="00D34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674" w14:textId="77777777" w:rsidR="001F0900" w:rsidRDefault="001F0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A8FB" w14:textId="43F11884" w:rsidR="001F0900" w:rsidRPr="00EF4C87" w:rsidRDefault="001F0900" w:rsidP="00EF4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67A" w14:textId="77777777" w:rsidR="001F0900" w:rsidRDefault="001F0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8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AAA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44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B0B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58D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2CB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4A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42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62F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1" w15:restartNumberingAfterBreak="0">
    <w:nsid w:val="03F92581"/>
    <w:multiLevelType w:val="multilevel"/>
    <w:tmpl w:val="AD5ABFF2"/>
    <w:numStyleLink w:val="AASBSubNumbers"/>
  </w:abstractNum>
  <w:abstractNum w:abstractNumId="1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0958B2"/>
    <w:multiLevelType w:val="multilevel"/>
    <w:tmpl w:val="028AB2EE"/>
    <w:lvl w:ilvl="0">
      <w:start w:val="1"/>
      <w:numFmt w:val="decimal"/>
      <w:pStyle w:val="NumCPlain1"/>
      <w:lvlText w:val="C%1"/>
      <w:lvlJc w:val="left"/>
      <w:pPr>
        <w:ind w:left="782" w:hanging="782"/>
      </w:pPr>
      <w:rPr>
        <w:rFonts w:hint="default"/>
      </w:rPr>
    </w:lvl>
    <w:lvl w:ilvl="1">
      <w:start w:val="1"/>
      <w:numFmt w:val="lowerLetter"/>
      <w:pStyle w:val="NumCPlain2"/>
      <w:lvlText w:val="(%2)"/>
      <w:lvlJc w:val="left"/>
      <w:pPr>
        <w:ind w:left="1565" w:hanging="783"/>
      </w:pPr>
      <w:rPr>
        <w:rFonts w:hint="default"/>
      </w:rPr>
    </w:lvl>
    <w:lvl w:ilvl="2">
      <w:start w:val="1"/>
      <w:numFmt w:val="lowerRoman"/>
      <w:pStyle w:val="NumCPlain3"/>
      <w:lvlText w:val="(%3)"/>
      <w:lvlJc w:val="left"/>
      <w:pPr>
        <w:ind w:left="2347" w:hanging="782"/>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15:restartNumberingAfterBreak="0">
    <w:nsid w:val="07393DCE"/>
    <w:multiLevelType w:val="multilevel"/>
    <w:tmpl w:val="7ED89036"/>
    <w:lvl w:ilvl="0">
      <w:start w:val="1"/>
      <w:numFmt w:val="decimal"/>
      <w:pStyle w:val="NumberPara1"/>
      <w:lvlText w:val="%1"/>
      <w:lvlJc w:val="left"/>
      <w:pPr>
        <w:tabs>
          <w:tab w:val="num" w:pos="510"/>
        </w:tabs>
        <w:ind w:left="782" w:hanging="78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Para2"/>
      <w:lvlText w:val="(%2)"/>
      <w:lvlJc w:val="left"/>
      <w:pPr>
        <w:tabs>
          <w:tab w:val="num" w:pos="937"/>
        </w:tabs>
        <w:ind w:left="937" w:hanging="511"/>
      </w:pPr>
      <w:rPr>
        <w:rFonts w:hint="default"/>
      </w:rPr>
    </w:lvl>
    <w:lvl w:ilvl="2">
      <w:start w:val="1"/>
      <w:numFmt w:val="lowerRoman"/>
      <w:pStyle w:val="NumberPara3"/>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 w15:restartNumberingAfterBreak="0">
    <w:nsid w:val="093159A0"/>
    <w:multiLevelType w:val="multilevel"/>
    <w:tmpl w:val="2716D1DC"/>
    <w:numStyleLink w:val="IssueList"/>
  </w:abstractNum>
  <w:abstractNum w:abstractNumId="16" w15:restartNumberingAfterBreak="0">
    <w:nsid w:val="09606B65"/>
    <w:multiLevelType w:val="multilevel"/>
    <w:tmpl w:val="EE9C98C8"/>
    <w:numStyleLink w:val="DNos"/>
  </w:abstractNum>
  <w:abstractNum w:abstractNumId="17" w15:restartNumberingAfterBreak="0">
    <w:nsid w:val="16D066CE"/>
    <w:multiLevelType w:val="hybridMultilevel"/>
    <w:tmpl w:val="8C82BEB2"/>
    <w:lvl w:ilvl="0" w:tplc="7BFCFAF8">
      <w:numFmt w:val="bullet"/>
      <w:lvlText w:val="•"/>
      <w:lvlJc w:val="left"/>
      <w:pPr>
        <w:ind w:left="1142" w:hanging="360"/>
      </w:pPr>
      <w:rPr>
        <w:rFonts w:ascii="Times New Roman" w:eastAsia="Times New Roman" w:hAnsi="Times New Roman" w:cs="Times New Roman"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8"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9" w15:restartNumberingAfterBreak="0">
    <w:nsid w:val="24E64954"/>
    <w:multiLevelType w:val="multilevel"/>
    <w:tmpl w:val="7612EE52"/>
    <w:lvl w:ilvl="0">
      <w:start w:val="1"/>
      <w:numFmt w:val="decimal"/>
      <w:pStyle w:val="NumBC1"/>
      <w:lvlText w:val="BC%1"/>
      <w:lvlJc w:val="left"/>
      <w:pPr>
        <w:ind w:left="782" w:hanging="782"/>
      </w:pPr>
      <w:rPr>
        <w:rFonts w:hint="default"/>
        <w:b w:val="0"/>
        <w:bCs w:val="0"/>
        <w:i w:val="0"/>
        <w:u w:val="none"/>
      </w:rPr>
    </w:lvl>
    <w:lvl w:ilvl="1">
      <w:start w:val="1"/>
      <w:numFmt w:val="lowerLetter"/>
      <w:pStyle w:val="NumBC2"/>
      <w:lvlText w:val="(%2)"/>
      <w:lvlJc w:val="left"/>
      <w:pPr>
        <w:ind w:left="1281" w:hanging="499"/>
      </w:pPr>
      <w:rPr>
        <w:rFonts w:hint="default"/>
        <w:b w:val="0"/>
        <w:bCs w:val="0"/>
        <w:u w:val="none"/>
      </w:rPr>
    </w:lvl>
    <w:lvl w:ilvl="2">
      <w:start w:val="1"/>
      <w:numFmt w:val="lowerRoman"/>
      <w:pStyle w:val="NumBC3"/>
      <w:lvlText w:val="(%3)"/>
      <w:lvlJc w:val="left"/>
      <w:pPr>
        <w:ind w:left="2063" w:hanging="782"/>
      </w:pPr>
      <w:rPr>
        <w:rFonts w:hint="default"/>
        <w:b w:val="0"/>
        <w:bCs w:val="0"/>
        <w:u w:val="none"/>
      </w:rPr>
    </w:lvl>
    <w:lvl w:ilvl="3">
      <w:start w:val="1"/>
      <w:numFmt w:val="upperLetter"/>
      <w:pStyle w:val="NumBC4"/>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20"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87842C3"/>
    <w:multiLevelType w:val="hybridMultilevel"/>
    <w:tmpl w:val="59323F78"/>
    <w:lvl w:ilvl="0" w:tplc="1D4EBE58">
      <w:start w:val="1"/>
      <w:numFmt w:val="decimal"/>
      <w:lvlText w:val="BC%1"/>
      <w:lvlJc w:val="left"/>
      <w:pPr>
        <w:ind w:left="1211"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3" w15:restartNumberingAfterBreak="0">
    <w:nsid w:val="2A7A35E2"/>
    <w:multiLevelType w:val="multilevel"/>
    <w:tmpl w:val="AD5ABFF2"/>
    <w:styleLink w:val="AASBSubNumbers"/>
    <w:lvl w:ilvl="0">
      <w:start w:val="1"/>
      <w:numFmt w:val="none"/>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24"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6" w15:restartNumberingAfterBreak="0">
    <w:nsid w:val="340F5C5B"/>
    <w:multiLevelType w:val="hybridMultilevel"/>
    <w:tmpl w:val="2A1825F0"/>
    <w:lvl w:ilvl="0" w:tplc="D1A8CA40">
      <w:start w:val="1"/>
      <w:numFmt w:val="decimal"/>
      <w:pStyle w:val="StandardparaH"/>
      <w:lvlText w:val="H%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D10E72"/>
    <w:multiLevelType w:val="multilevel"/>
    <w:tmpl w:val="55C27396"/>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0"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542243"/>
    <w:multiLevelType w:val="multilevel"/>
    <w:tmpl w:val="7ED89036"/>
    <w:styleLink w:val="NumberedParas"/>
    <w:lvl w:ilvl="0">
      <w:start w:val="1"/>
      <w:numFmt w:val="decimal"/>
      <w:pStyle w:val="NumPlain1"/>
      <w:lvlText w:val="%1"/>
      <w:lvlJc w:val="left"/>
      <w:pPr>
        <w:tabs>
          <w:tab w:val="num" w:pos="510"/>
        </w:tabs>
        <w:ind w:left="782" w:hanging="78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Plain2"/>
      <w:lvlText w:val="(%2)"/>
      <w:lvlJc w:val="left"/>
      <w:pPr>
        <w:tabs>
          <w:tab w:val="num" w:pos="937"/>
        </w:tabs>
        <w:ind w:left="937"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2" w15:restartNumberingAfterBreak="0">
    <w:nsid w:val="67090E87"/>
    <w:multiLevelType w:val="hybridMultilevel"/>
    <w:tmpl w:val="2716D1DC"/>
    <w:styleLink w:val="IssueList"/>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3"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1A2571"/>
    <w:multiLevelType w:val="hybridMultilevel"/>
    <w:tmpl w:val="071AEF0C"/>
    <w:lvl w:ilvl="0" w:tplc="5DD8AEC0">
      <w:start w:val="1"/>
      <w:numFmt w:val="lowerLetter"/>
      <w:lvlText w:val="(%1)"/>
      <w:lvlJc w:val="left"/>
      <w:pPr>
        <w:ind w:left="1142" w:hanging="360"/>
      </w:pPr>
      <w:rPr>
        <w:rFonts w:ascii="Times New Roman" w:hAnsi="Times New Roman" w:cs="Times New Roman" w:hint="default"/>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5"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36" w15:restartNumberingAfterBreak="0">
    <w:nsid w:val="6DB87ADF"/>
    <w:multiLevelType w:val="hybridMultilevel"/>
    <w:tmpl w:val="2C8ECA30"/>
    <w:lvl w:ilvl="0" w:tplc="2FCC0402">
      <w:start w:val="1"/>
      <w:numFmt w:val="lowerLetter"/>
      <w:lvlText w:val="(%1)"/>
      <w:lvlJc w:val="left"/>
      <w:pPr>
        <w:ind w:left="1142" w:hanging="360"/>
      </w:pPr>
      <w:rPr>
        <w:rFonts w:hint="default"/>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7"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EB195B"/>
    <w:multiLevelType w:val="hybridMultilevel"/>
    <w:tmpl w:val="BE425E6A"/>
    <w:lvl w:ilvl="0" w:tplc="8CE6CD8C">
      <w:start w:val="1"/>
      <w:numFmt w:val="bullet"/>
      <w:pStyle w:val="ListParagraph"/>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9" w15:restartNumberingAfterBreak="0">
    <w:nsid w:val="795F71F4"/>
    <w:multiLevelType w:val="multilevel"/>
    <w:tmpl w:val="4AC27B8A"/>
    <w:numStyleLink w:val="IENos"/>
  </w:abstractNum>
  <w:num w:numId="1" w16cid:durableId="523639117">
    <w:abstractNumId w:val="37"/>
  </w:num>
  <w:num w:numId="2" w16cid:durableId="903292415">
    <w:abstractNumId w:val="18"/>
  </w:num>
  <w:num w:numId="3" w16cid:durableId="526452479">
    <w:abstractNumId w:val="35"/>
  </w:num>
  <w:num w:numId="4" w16cid:durableId="1140030664">
    <w:abstractNumId w:val="20"/>
  </w:num>
  <w:num w:numId="5" w16cid:durableId="502597750">
    <w:abstractNumId w:val="23"/>
  </w:num>
  <w:num w:numId="6" w16cid:durableId="356859598">
    <w:abstractNumId w:val="11"/>
  </w:num>
  <w:num w:numId="7" w16cid:durableId="2069724600">
    <w:abstractNumId w:val="10"/>
  </w:num>
  <w:num w:numId="8" w16cid:durableId="2147121722">
    <w:abstractNumId w:val="27"/>
  </w:num>
  <w:num w:numId="9" w16cid:durableId="1763723055">
    <w:abstractNumId w:val="30"/>
  </w:num>
  <w:num w:numId="10" w16cid:durableId="1638292577">
    <w:abstractNumId w:val="29"/>
  </w:num>
  <w:num w:numId="11" w16cid:durableId="134838409">
    <w:abstractNumId w:val="13"/>
  </w:num>
  <w:num w:numId="12" w16cid:durableId="1032732021">
    <w:abstractNumId w:val="25"/>
  </w:num>
  <w:num w:numId="13" w16cid:durableId="695422224">
    <w:abstractNumId w:val="16"/>
  </w:num>
  <w:num w:numId="14" w16cid:durableId="1410270649">
    <w:abstractNumId w:val="33"/>
  </w:num>
  <w:num w:numId="15" w16cid:durableId="1223904484">
    <w:abstractNumId w:val="38"/>
  </w:num>
  <w:num w:numId="16" w16cid:durableId="584731107">
    <w:abstractNumId w:val="24"/>
  </w:num>
  <w:num w:numId="17" w16cid:durableId="2078672820">
    <w:abstractNumId w:val="19"/>
  </w:num>
  <w:num w:numId="18" w16cid:durableId="1415933407">
    <w:abstractNumId w:val="22"/>
  </w:num>
  <w:num w:numId="19" w16cid:durableId="597181143">
    <w:abstractNumId w:val="39"/>
  </w:num>
  <w:num w:numId="20" w16cid:durableId="1660696647">
    <w:abstractNumId w:val="28"/>
  </w:num>
  <w:num w:numId="21" w16cid:durableId="1544749898">
    <w:abstractNumId w:val="12"/>
  </w:num>
  <w:num w:numId="22" w16cid:durableId="1960214221">
    <w:abstractNumId w:val="31"/>
  </w:num>
  <w:num w:numId="23" w16cid:durableId="1466510735">
    <w:abstractNumId w:val="14"/>
  </w:num>
  <w:num w:numId="24" w16cid:durableId="250356275">
    <w:abstractNumId w:val="21"/>
  </w:num>
  <w:num w:numId="25" w16cid:durableId="1872498656">
    <w:abstractNumId w:val="32"/>
  </w:num>
  <w:num w:numId="26" w16cid:durableId="319239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623923">
    <w:abstractNumId w:val="15"/>
  </w:num>
  <w:num w:numId="28" w16cid:durableId="13117518">
    <w:abstractNumId w:val="34"/>
  </w:num>
  <w:num w:numId="29" w16cid:durableId="1732846509">
    <w:abstractNumId w:val="26"/>
  </w:num>
  <w:num w:numId="30" w16cid:durableId="1697390274">
    <w:abstractNumId w:val="36"/>
  </w:num>
  <w:num w:numId="31" w16cid:durableId="1632709753">
    <w:abstractNumId w:val="17"/>
  </w:num>
  <w:num w:numId="32" w16cid:durableId="1358776886">
    <w:abstractNumId w:val="9"/>
  </w:num>
  <w:num w:numId="33" w16cid:durableId="780688118">
    <w:abstractNumId w:val="7"/>
  </w:num>
  <w:num w:numId="34" w16cid:durableId="1661155526">
    <w:abstractNumId w:val="6"/>
  </w:num>
  <w:num w:numId="35" w16cid:durableId="1368988713">
    <w:abstractNumId w:val="5"/>
  </w:num>
  <w:num w:numId="36" w16cid:durableId="2089106364">
    <w:abstractNumId w:val="4"/>
  </w:num>
  <w:num w:numId="37" w16cid:durableId="1708794466">
    <w:abstractNumId w:val="8"/>
  </w:num>
  <w:num w:numId="38" w16cid:durableId="835654355">
    <w:abstractNumId w:val="3"/>
  </w:num>
  <w:num w:numId="39" w16cid:durableId="1792284402">
    <w:abstractNumId w:val="2"/>
  </w:num>
  <w:num w:numId="40" w16cid:durableId="1987392293">
    <w:abstractNumId w:val="1"/>
  </w:num>
  <w:num w:numId="41" w16cid:durableId="143008343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82"/>
  <w:doNotHyphenateCaps/>
  <w:drawingGridHorizontalSpacing w:val="24"/>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tbAwNzQzsDQxNjRU0lEKTi0uzszPAykwqQUAMjsbYSwAAAA="/>
  </w:docVars>
  <w:rsids>
    <w:rsidRoot w:val="00797EB5"/>
    <w:rsid w:val="00000537"/>
    <w:rsid w:val="00000651"/>
    <w:rsid w:val="00000791"/>
    <w:rsid w:val="000008AD"/>
    <w:rsid w:val="00001301"/>
    <w:rsid w:val="00001AC3"/>
    <w:rsid w:val="00001C99"/>
    <w:rsid w:val="00001FF0"/>
    <w:rsid w:val="00002325"/>
    <w:rsid w:val="0000292B"/>
    <w:rsid w:val="00002B81"/>
    <w:rsid w:val="00003636"/>
    <w:rsid w:val="00003AB9"/>
    <w:rsid w:val="00003DBE"/>
    <w:rsid w:val="000041D1"/>
    <w:rsid w:val="00005118"/>
    <w:rsid w:val="00006AD4"/>
    <w:rsid w:val="00006DF9"/>
    <w:rsid w:val="00006E9E"/>
    <w:rsid w:val="000079B2"/>
    <w:rsid w:val="000101DD"/>
    <w:rsid w:val="00010915"/>
    <w:rsid w:val="00010987"/>
    <w:rsid w:val="00011433"/>
    <w:rsid w:val="00011447"/>
    <w:rsid w:val="00011912"/>
    <w:rsid w:val="00011B72"/>
    <w:rsid w:val="00011EC4"/>
    <w:rsid w:val="000123C0"/>
    <w:rsid w:val="000127DD"/>
    <w:rsid w:val="000129CE"/>
    <w:rsid w:val="00012BBC"/>
    <w:rsid w:val="00012C2E"/>
    <w:rsid w:val="00012FE6"/>
    <w:rsid w:val="00013089"/>
    <w:rsid w:val="000133BF"/>
    <w:rsid w:val="00013404"/>
    <w:rsid w:val="0001414B"/>
    <w:rsid w:val="000148B5"/>
    <w:rsid w:val="00014C1B"/>
    <w:rsid w:val="00015147"/>
    <w:rsid w:val="00016674"/>
    <w:rsid w:val="0001727A"/>
    <w:rsid w:val="00020267"/>
    <w:rsid w:val="000208F0"/>
    <w:rsid w:val="00020DDE"/>
    <w:rsid w:val="00020F39"/>
    <w:rsid w:val="000210D3"/>
    <w:rsid w:val="0002225A"/>
    <w:rsid w:val="00022BCC"/>
    <w:rsid w:val="000236B4"/>
    <w:rsid w:val="00023BF1"/>
    <w:rsid w:val="00023E44"/>
    <w:rsid w:val="00024075"/>
    <w:rsid w:val="00024823"/>
    <w:rsid w:val="00024B42"/>
    <w:rsid w:val="000252CA"/>
    <w:rsid w:val="00026167"/>
    <w:rsid w:val="0002621E"/>
    <w:rsid w:val="00026B32"/>
    <w:rsid w:val="000271B1"/>
    <w:rsid w:val="0002756A"/>
    <w:rsid w:val="000275FA"/>
    <w:rsid w:val="000276F1"/>
    <w:rsid w:val="00027780"/>
    <w:rsid w:val="000277A1"/>
    <w:rsid w:val="000279BC"/>
    <w:rsid w:val="00027D9A"/>
    <w:rsid w:val="00027E8B"/>
    <w:rsid w:val="00027F41"/>
    <w:rsid w:val="000300BA"/>
    <w:rsid w:val="00030109"/>
    <w:rsid w:val="00030165"/>
    <w:rsid w:val="000305D4"/>
    <w:rsid w:val="00030BF5"/>
    <w:rsid w:val="0003184A"/>
    <w:rsid w:val="00031E3C"/>
    <w:rsid w:val="00032C5B"/>
    <w:rsid w:val="00033E0B"/>
    <w:rsid w:val="000347C3"/>
    <w:rsid w:val="00035279"/>
    <w:rsid w:val="00035525"/>
    <w:rsid w:val="00035EA1"/>
    <w:rsid w:val="000362DD"/>
    <w:rsid w:val="00036898"/>
    <w:rsid w:val="0003692E"/>
    <w:rsid w:val="00036FEB"/>
    <w:rsid w:val="00037300"/>
    <w:rsid w:val="0003768A"/>
    <w:rsid w:val="000379C2"/>
    <w:rsid w:val="00037C9F"/>
    <w:rsid w:val="00037D44"/>
    <w:rsid w:val="000406F0"/>
    <w:rsid w:val="00041196"/>
    <w:rsid w:val="000411A3"/>
    <w:rsid w:val="00041B60"/>
    <w:rsid w:val="00041D53"/>
    <w:rsid w:val="0004277E"/>
    <w:rsid w:val="00043245"/>
    <w:rsid w:val="00043BA8"/>
    <w:rsid w:val="000443C8"/>
    <w:rsid w:val="0004455B"/>
    <w:rsid w:val="000450BD"/>
    <w:rsid w:val="000454D7"/>
    <w:rsid w:val="00045D6D"/>
    <w:rsid w:val="0004696A"/>
    <w:rsid w:val="0004721C"/>
    <w:rsid w:val="00047865"/>
    <w:rsid w:val="00050BA8"/>
    <w:rsid w:val="0005109E"/>
    <w:rsid w:val="00051306"/>
    <w:rsid w:val="00051627"/>
    <w:rsid w:val="000517C7"/>
    <w:rsid w:val="000525E5"/>
    <w:rsid w:val="00052678"/>
    <w:rsid w:val="00052AF4"/>
    <w:rsid w:val="000540BB"/>
    <w:rsid w:val="00054F3A"/>
    <w:rsid w:val="0005512F"/>
    <w:rsid w:val="000556AB"/>
    <w:rsid w:val="00055918"/>
    <w:rsid w:val="00055A45"/>
    <w:rsid w:val="00055BCD"/>
    <w:rsid w:val="000566C5"/>
    <w:rsid w:val="000569E5"/>
    <w:rsid w:val="00056C7B"/>
    <w:rsid w:val="00057119"/>
    <w:rsid w:val="00057449"/>
    <w:rsid w:val="0005745A"/>
    <w:rsid w:val="00057771"/>
    <w:rsid w:val="00057824"/>
    <w:rsid w:val="00057F8A"/>
    <w:rsid w:val="0006152F"/>
    <w:rsid w:val="00061CBA"/>
    <w:rsid w:val="000624FE"/>
    <w:rsid w:val="000625F2"/>
    <w:rsid w:val="000630EB"/>
    <w:rsid w:val="00063261"/>
    <w:rsid w:val="00063A97"/>
    <w:rsid w:val="00063C04"/>
    <w:rsid w:val="0006519C"/>
    <w:rsid w:val="000652B5"/>
    <w:rsid w:val="000653AD"/>
    <w:rsid w:val="00066BA3"/>
    <w:rsid w:val="00066BC5"/>
    <w:rsid w:val="00066C9B"/>
    <w:rsid w:val="0006790B"/>
    <w:rsid w:val="00067B06"/>
    <w:rsid w:val="00067CBE"/>
    <w:rsid w:val="00067D9B"/>
    <w:rsid w:val="000703A9"/>
    <w:rsid w:val="000703CE"/>
    <w:rsid w:val="0007056F"/>
    <w:rsid w:val="000706E1"/>
    <w:rsid w:val="000706F0"/>
    <w:rsid w:val="00071983"/>
    <w:rsid w:val="00071A14"/>
    <w:rsid w:val="000723DE"/>
    <w:rsid w:val="00072412"/>
    <w:rsid w:val="00072CDC"/>
    <w:rsid w:val="00072CDD"/>
    <w:rsid w:val="000730CA"/>
    <w:rsid w:val="00073282"/>
    <w:rsid w:val="000735E8"/>
    <w:rsid w:val="00074133"/>
    <w:rsid w:val="0007485C"/>
    <w:rsid w:val="00074D71"/>
    <w:rsid w:val="00074EBE"/>
    <w:rsid w:val="00075681"/>
    <w:rsid w:val="0007623A"/>
    <w:rsid w:val="00076B40"/>
    <w:rsid w:val="00077155"/>
    <w:rsid w:val="00077940"/>
    <w:rsid w:val="00077E04"/>
    <w:rsid w:val="00077F6B"/>
    <w:rsid w:val="000803F4"/>
    <w:rsid w:val="000810E5"/>
    <w:rsid w:val="000812F8"/>
    <w:rsid w:val="0008181B"/>
    <w:rsid w:val="00081B8B"/>
    <w:rsid w:val="000824EA"/>
    <w:rsid w:val="00082881"/>
    <w:rsid w:val="00082C7F"/>
    <w:rsid w:val="000837B4"/>
    <w:rsid w:val="000839FB"/>
    <w:rsid w:val="00083B10"/>
    <w:rsid w:val="00084612"/>
    <w:rsid w:val="00084E20"/>
    <w:rsid w:val="00084FD0"/>
    <w:rsid w:val="00085372"/>
    <w:rsid w:val="00085499"/>
    <w:rsid w:val="00085D82"/>
    <w:rsid w:val="00085FB5"/>
    <w:rsid w:val="00086954"/>
    <w:rsid w:val="00086C71"/>
    <w:rsid w:val="00086E71"/>
    <w:rsid w:val="000874A6"/>
    <w:rsid w:val="0008777C"/>
    <w:rsid w:val="0009030F"/>
    <w:rsid w:val="00090347"/>
    <w:rsid w:val="0009048B"/>
    <w:rsid w:val="00090A6F"/>
    <w:rsid w:val="000910A8"/>
    <w:rsid w:val="000916F8"/>
    <w:rsid w:val="00091ADC"/>
    <w:rsid w:val="00091D2F"/>
    <w:rsid w:val="00091F8B"/>
    <w:rsid w:val="0009214D"/>
    <w:rsid w:val="000929CE"/>
    <w:rsid w:val="00092BC6"/>
    <w:rsid w:val="00092C02"/>
    <w:rsid w:val="00093662"/>
    <w:rsid w:val="00093780"/>
    <w:rsid w:val="0009395A"/>
    <w:rsid w:val="00093F5F"/>
    <w:rsid w:val="00094DB2"/>
    <w:rsid w:val="00095418"/>
    <w:rsid w:val="000956AD"/>
    <w:rsid w:val="0009597D"/>
    <w:rsid w:val="00095B00"/>
    <w:rsid w:val="00096027"/>
    <w:rsid w:val="00097308"/>
    <w:rsid w:val="0009731A"/>
    <w:rsid w:val="000A048A"/>
    <w:rsid w:val="000A09D2"/>
    <w:rsid w:val="000A0B6E"/>
    <w:rsid w:val="000A11A3"/>
    <w:rsid w:val="000A1DFF"/>
    <w:rsid w:val="000A2626"/>
    <w:rsid w:val="000A2784"/>
    <w:rsid w:val="000A2980"/>
    <w:rsid w:val="000A2B2A"/>
    <w:rsid w:val="000A34A5"/>
    <w:rsid w:val="000A4B11"/>
    <w:rsid w:val="000A4E63"/>
    <w:rsid w:val="000A502D"/>
    <w:rsid w:val="000A53D0"/>
    <w:rsid w:val="000A56F7"/>
    <w:rsid w:val="000A59CA"/>
    <w:rsid w:val="000A5D11"/>
    <w:rsid w:val="000A70B8"/>
    <w:rsid w:val="000A751E"/>
    <w:rsid w:val="000A7648"/>
    <w:rsid w:val="000B0128"/>
    <w:rsid w:val="000B1B75"/>
    <w:rsid w:val="000B1E40"/>
    <w:rsid w:val="000B1EDD"/>
    <w:rsid w:val="000B2113"/>
    <w:rsid w:val="000B2451"/>
    <w:rsid w:val="000B289C"/>
    <w:rsid w:val="000B2B41"/>
    <w:rsid w:val="000B3735"/>
    <w:rsid w:val="000B38CD"/>
    <w:rsid w:val="000B39BD"/>
    <w:rsid w:val="000B3A81"/>
    <w:rsid w:val="000B3F46"/>
    <w:rsid w:val="000B40B5"/>
    <w:rsid w:val="000B4871"/>
    <w:rsid w:val="000B4A93"/>
    <w:rsid w:val="000B5E27"/>
    <w:rsid w:val="000B6141"/>
    <w:rsid w:val="000B63A6"/>
    <w:rsid w:val="000B65D1"/>
    <w:rsid w:val="000B6AA2"/>
    <w:rsid w:val="000B6DE6"/>
    <w:rsid w:val="000B733C"/>
    <w:rsid w:val="000B779C"/>
    <w:rsid w:val="000C024F"/>
    <w:rsid w:val="000C0791"/>
    <w:rsid w:val="000C0CD3"/>
    <w:rsid w:val="000C2286"/>
    <w:rsid w:val="000C2C75"/>
    <w:rsid w:val="000C2F0C"/>
    <w:rsid w:val="000C3B5B"/>
    <w:rsid w:val="000C3C09"/>
    <w:rsid w:val="000C3E3D"/>
    <w:rsid w:val="000C3EB0"/>
    <w:rsid w:val="000C411F"/>
    <w:rsid w:val="000C47E1"/>
    <w:rsid w:val="000C48B3"/>
    <w:rsid w:val="000C4D89"/>
    <w:rsid w:val="000C50CD"/>
    <w:rsid w:val="000C50F2"/>
    <w:rsid w:val="000C57D9"/>
    <w:rsid w:val="000C5A61"/>
    <w:rsid w:val="000C5F7B"/>
    <w:rsid w:val="000C6128"/>
    <w:rsid w:val="000C63E0"/>
    <w:rsid w:val="000C6BAC"/>
    <w:rsid w:val="000C6BFA"/>
    <w:rsid w:val="000C6E17"/>
    <w:rsid w:val="000C71FC"/>
    <w:rsid w:val="000C74C4"/>
    <w:rsid w:val="000C7BFB"/>
    <w:rsid w:val="000D011C"/>
    <w:rsid w:val="000D0903"/>
    <w:rsid w:val="000D0B77"/>
    <w:rsid w:val="000D0F7A"/>
    <w:rsid w:val="000D1426"/>
    <w:rsid w:val="000D1E7F"/>
    <w:rsid w:val="000D255F"/>
    <w:rsid w:val="000D2861"/>
    <w:rsid w:val="000D2CF1"/>
    <w:rsid w:val="000D48E1"/>
    <w:rsid w:val="000D4994"/>
    <w:rsid w:val="000D49DA"/>
    <w:rsid w:val="000D56CB"/>
    <w:rsid w:val="000D5EF8"/>
    <w:rsid w:val="000D6809"/>
    <w:rsid w:val="000D6E2C"/>
    <w:rsid w:val="000D7B40"/>
    <w:rsid w:val="000D7C11"/>
    <w:rsid w:val="000D7E40"/>
    <w:rsid w:val="000E0A93"/>
    <w:rsid w:val="000E135E"/>
    <w:rsid w:val="000E17DD"/>
    <w:rsid w:val="000E1B12"/>
    <w:rsid w:val="000E1D9D"/>
    <w:rsid w:val="000E214B"/>
    <w:rsid w:val="000E2D8C"/>
    <w:rsid w:val="000E31C3"/>
    <w:rsid w:val="000E379E"/>
    <w:rsid w:val="000E3B30"/>
    <w:rsid w:val="000E4403"/>
    <w:rsid w:val="000E46FC"/>
    <w:rsid w:val="000E4C80"/>
    <w:rsid w:val="000E4E41"/>
    <w:rsid w:val="000E4EF3"/>
    <w:rsid w:val="000E51C7"/>
    <w:rsid w:val="000E580F"/>
    <w:rsid w:val="000E5DA7"/>
    <w:rsid w:val="000E5DF2"/>
    <w:rsid w:val="000E687B"/>
    <w:rsid w:val="000E6F22"/>
    <w:rsid w:val="000E7163"/>
    <w:rsid w:val="000E73B9"/>
    <w:rsid w:val="000E7C99"/>
    <w:rsid w:val="000F033F"/>
    <w:rsid w:val="000F16CD"/>
    <w:rsid w:val="000F1946"/>
    <w:rsid w:val="000F1EC3"/>
    <w:rsid w:val="000F21E9"/>
    <w:rsid w:val="000F251D"/>
    <w:rsid w:val="000F39E2"/>
    <w:rsid w:val="000F4431"/>
    <w:rsid w:val="000F4D48"/>
    <w:rsid w:val="000F505A"/>
    <w:rsid w:val="000F563D"/>
    <w:rsid w:val="000F5761"/>
    <w:rsid w:val="000F5DC0"/>
    <w:rsid w:val="000F62C3"/>
    <w:rsid w:val="000F64CC"/>
    <w:rsid w:val="000F673D"/>
    <w:rsid w:val="000F6AB8"/>
    <w:rsid w:val="000F6AC0"/>
    <w:rsid w:val="000F6B23"/>
    <w:rsid w:val="000F6DB3"/>
    <w:rsid w:val="000F71C3"/>
    <w:rsid w:val="000F720C"/>
    <w:rsid w:val="000F72B0"/>
    <w:rsid w:val="000F75D5"/>
    <w:rsid w:val="000F7AF9"/>
    <w:rsid w:val="001000EC"/>
    <w:rsid w:val="00100557"/>
    <w:rsid w:val="00100B4F"/>
    <w:rsid w:val="00101E85"/>
    <w:rsid w:val="00102C3A"/>
    <w:rsid w:val="00103180"/>
    <w:rsid w:val="00103AC4"/>
    <w:rsid w:val="00103B07"/>
    <w:rsid w:val="0010409F"/>
    <w:rsid w:val="00104376"/>
    <w:rsid w:val="0010475F"/>
    <w:rsid w:val="0010480E"/>
    <w:rsid w:val="001049FF"/>
    <w:rsid w:val="00104AFE"/>
    <w:rsid w:val="00105010"/>
    <w:rsid w:val="0010580F"/>
    <w:rsid w:val="0010667D"/>
    <w:rsid w:val="0010667F"/>
    <w:rsid w:val="00106E32"/>
    <w:rsid w:val="00107095"/>
    <w:rsid w:val="00107258"/>
    <w:rsid w:val="0010737D"/>
    <w:rsid w:val="001074A9"/>
    <w:rsid w:val="00107F9E"/>
    <w:rsid w:val="00110745"/>
    <w:rsid w:val="00110B96"/>
    <w:rsid w:val="00110D63"/>
    <w:rsid w:val="0011141D"/>
    <w:rsid w:val="001115DF"/>
    <w:rsid w:val="001116A1"/>
    <w:rsid w:val="001126A4"/>
    <w:rsid w:val="00113385"/>
    <w:rsid w:val="00113A08"/>
    <w:rsid w:val="00113ACF"/>
    <w:rsid w:val="00113AD4"/>
    <w:rsid w:val="00114CEA"/>
    <w:rsid w:val="001162C5"/>
    <w:rsid w:val="0011658C"/>
    <w:rsid w:val="001176ED"/>
    <w:rsid w:val="00117E0D"/>
    <w:rsid w:val="001202D0"/>
    <w:rsid w:val="00120651"/>
    <w:rsid w:val="001206CF"/>
    <w:rsid w:val="00120A64"/>
    <w:rsid w:val="00122978"/>
    <w:rsid w:val="00122D2F"/>
    <w:rsid w:val="00122E48"/>
    <w:rsid w:val="0012317A"/>
    <w:rsid w:val="0012399D"/>
    <w:rsid w:val="00123E1A"/>
    <w:rsid w:val="00124986"/>
    <w:rsid w:val="00124D54"/>
    <w:rsid w:val="00124E77"/>
    <w:rsid w:val="001253D5"/>
    <w:rsid w:val="001258D3"/>
    <w:rsid w:val="00125CEA"/>
    <w:rsid w:val="001263CB"/>
    <w:rsid w:val="00126406"/>
    <w:rsid w:val="00127168"/>
    <w:rsid w:val="00127257"/>
    <w:rsid w:val="00130726"/>
    <w:rsid w:val="00130961"/>
    <w:rsid w:val="00130ECA"/>
    <w:rsid w:val="00131559"/>
    <w:rsid w:val="001316C7"/>
    <w:rsid w:val="001318DB"/>
    <w:rsid w:val="00131AF1"/>
    <w:rsid w:val="00132437"/>
    <w:rsid w:val="001336E0"/>
    <w:rsid w:val="00133A76"/>
    <w:rsid w:val="001341FC"/>
    <w:rsid w:val="0013480C"/>
    <w:rsid w:val="001349EF"/>
    <w:rsid w:val="00134A43"/>
    <w:rsid w:val="00134E62"/>
    <w:rsid w:val="00135F1D"/>
    <w:rsid w:val="001361DF"/>
    <w:rsid w:val="00136A7B"/>
    <w:rsid w:val="00136E2B"/>
    <w:rsid w:val="00137484"/>
    <w:rsid w:val="001378E3"/>
    <w:rsid w:val="00137947"/>
    <w:rsid w:val="00137957"/>
    <w:rsid w:val="001379FE"/>
    <w:rsid w:val="00137A41"/>
    <w:rsid w:val="00137D53"/>
    <w:rsid w:val="00140320"/>
    <w:rsid w:val="00140376"/>
    <w:rsid w:val="001403B5"/>
    <w:rsid w:val="00140B38"/>
    <w:rsid w:val="00140BCE"/>
    <w:rsid w:val="00140E0B"/>
    <w:rsid w:val="00141169"/>
    <w:rsid w:val="00141242"/>
    <w:rsid w:val="001417DE"/>
    <w:rsid w:val="00141C3A"/>
    <w:rsid w:val="00141DD0"/>
    <w:rsid w:val="0014281B"/>
    <w:rsid w:val="00142A2C"/>
    <w:rsid w:val="0014379B"/>
    <w:rsid w:val="00143837"/>
    <w:rsid w:val="00143A10"/>
    <w:rsid w:val="00144B7A"/>
    <w:rsid w:val="00144FB2"/>
    <w:rsid w:val="001450CD"/>
    <w:rsid w:val="00146F7C"/>
    <w:rsid w:val="0014720C"/>
    <w:rsid w:val="0014757A"/>
    <w:rsid w:val="00147855"/>
    <w:rsid w:val="00147E63"/>
    <w:rsid w:val="00150D88"/>
    <w:rsid w:val="00151D59"/>
    <w:rsid w:val="001524E2"/>
    <w:rsid w:val="001526C0"/>
    <w:rsid w:val="00152EC1"/>
    <w:rsid w:val="001534CC"/>
    <w:rsid w:val="001536C2"/>
    <w:rsid w:val="001538C9"/>
    <w:rsid w:val="00153BC2"/>
    <w:rsid w:val="00153C6A"/>
    <w:rsid w:val="00154080"/>
    <w:rsid w:val="00154308"/>
    <w:rsid w:val="00154318"/>
    <w:rsid w:val="001547D9"/>
    <w:rsid w:val="001551C7"/>
    <w:rsid w:val="001558DD"/>
    <w:rsid w:val="00155BDC"/>
    <w:rsid w:val="00155C9B"/>
    <w:rsid w:val="0015629B"/>
    <w:rsid w:val="00156302"/>
    <w:rsid w:val="001571AB"/>
    <w:rsid w:val="00157404"/>
    <w:rsid w:val="00160096"/>
    <w:rsid w:val="001601EF"/>
    <w:rsid w:val="00161D18"/>
    <w:rsid w:val="001628A7"/>
    <w:rsid w:val="00162967"/>
    <w:rsid w:val="0016346B"/>
    <w:rsid w:val="00163720"/>
    <w:rsid w:val="00163C3B"/>
    <w:rsid w:val="0016412F"/>
    <w:rsid w:val="001644C6"/>
    <w:rsid w:val="00164788"/>
    <w:rsid w:val="00164AA6"/>
    <w:rsid w:val="00164CBC"/>
    <w:rsid w:val="00164DBA"/>
    <w:rsid w:val="001651D9"/>
    <w:rsid w:val="001652BB"/>
    <w:rsid w:val="001662B8"/>
    <w:rsid w:val="00166390"/>
    <w:rsid w:val="00166B33"/>
    <w:rsid w:val="00167752"/>
    <w:rsid w:val="00167A4C"/>
    <w:rsid w:val="00170B2D"/>
    <w:rsid w:val="00171A28"/>
    <w:rsid w:val="00171F51"/>
    <w:rsid w:val="00173210"/>
    <w:rsid w:val="00173401"/>
    <w:rsid w:val="001735E4"/>
    <w:rsid w:val="0017365E"/>
    <w:rsid w:val="00173981"/>
    <w:rsid w:val="001739B4"/>
    <w:rsid w:val="00174F08"/>
    <w:rsid w:val="00175AB0"/>
    <w:rsid w:val="0017603E"/>
    <w:rsid w:val="001761A2"/>
    <w:rsid w:val="001761C6"/>
    <w:rsid w:val="0017621D"/>
    <w:rsid w:val="00176552"/>
    <w:rsid w:val="001767E1"/>
    <w:rsid w:val="00177693"/>
    <w:rsid w:val="00177B00"/>
    <w:rsid w:val="00177DB5"/>
    <w:rsid w:val="00177F98"/>
    <w:rsid w:val="001802C2"/>
    <w:rsid w:val="001807E4"/>
    <w:rsid w:val="001809DB"/>
    <w:rsid w:val="0018122E"/>
    <w:rsid w:val="00181725"/>
    <w:rsid w:val="00182312"/>
    <w:rsid w:val="00182E9F"/>
    <w:rsid w:val="00184030"/>
    <w:rsid w:val="00184288"/>
    <w:rsid w:val="00184C4D"/>
    <w:rsid w:val="00185255"/>
    <w:rsid w:val="001853C3"/>
    <w:rsid w:val="00185479"/>
    <w:rsid w:val="001864D4"/>
    <w:rsid w:val="0018662A"/>
    <w:rsid w:val="001869CD"/>
    <w:rsid w:val="00186C0A"/>
    <w:rsid w:val="00186C9C"/>
    <w:rsid w:val="00186E00"/>
    <w:rsid w:val="001872B9"/>
    <w:rsid w:val="00187A0D"/>
    <w:rsid w:val="00187E2A"/>
    <w:rsid w:val="00190545"/>
    <w:rsid w:val="00190B06"/>
    <w:rsid w:val="001911F3"/>
    <w:rsid w:val="00191675"/>
    <w:rsid w:val="0019190E"/>
    <w:rsid w:val="00191A21"/>
    <w:rsid w:val="00191D16"/>
    <w:rsid w:val="00192504"/>
    <w:rsid w:val="0019283F"/>
    <w:rsid w:val="0019286F"/>
    <w:rsid w:val="00192E8C"/>
    <w:rsid w:val="00194827"/>
    <w:rsid w:val="00194960"/>
    <w:rsid w:val="00194E41"/>
    <w:rsid w:val="00195013"/>
    <w:rsid w:val="00195449"/>
    <w:rsid w:val="001962C5"/>
    <w:rsid w:val="001968D9"/>
    <w:rsid w:val="00196B08"/>
    <w:rsid w:val="00196C3F"/>
    <w:rsid w:val="00196F30"/>
    <w:rsid w:val="001971AB"/>
    <w:rsid w:val="00197632"/>
    <w:rsid w:val="001A01C4"/>
    <w:rsid w:val="001A0308"/>
    <w:rsid w:val="001A058E"/>
    <w:rsid w:val="001A0852"/>
    <w:rsid w:val="001A0892"/>
    <w:rsid w:val="001A0D4F"/>
    <w:rsid w:val="001A0E9F"/>
    <w:rsid w:val="001A0EBB"/>
    <w:rsid w:val="001A1044"/>
    <w:rsid w:val="001A17FB"/>
    <w:rsid w:val="001A18EF"/>
    <w:rsid w:val="001A1E4C"/>
    <w:rsid w:val="001A3819"/>
    <w:rsid w:val="001A4559"/>
    <w:rsid w:val="001A462F"/>
    <w:rsid w:val="001A5218"/>
    <w:rsid w:val="001A58CC"/>
    <w:rsid w:val="001A5F93"/>
    <w:rsid w:val="001A60E3"/>
    <w:rsid w:val="001A6ABE"/>
    <w:rsid w:val="001A6D0F"/>
    <w:rsid w:val="001A7001"/>
    <w:rsid w:val="001A7135"/>
    <w:rsid w:val="001A7827"/>
    <w:rsid w:val="001A7915"/>
    <w:rsid w:val="001A7D45"/>
    <w:rsid w:val="001B0F18"/>
    <w:rsid w:val="001B1447"/>
    <w:rsid w:val="001B1558"/>
    <w:rsid w:val="001B1ACA"/>
    <w:rsid w:val="001B1F6F"/>
    <w:rsid w:val="001B2930"/>
    <w:rsid w:val="001B33A5"/>
    <w:rsid w:val="001B3558"/>
    <w:rsid w:val="001B3593"/>
    <w:rsid w:val="001B4AF4"/>
    <w:rsid w:val="001B510E"/>
    <w:rsid w:val="001B6C97"/>
    <w:rsid w:val="001B73CF"/>
    <w:rsid w:val="001B74BD"/>
    <w:rsid w:val="001B7501"/>
    <w:rsid w:val="001B7D90"/>
    <w:rsid w:val="001B7F1B"/>
    <w:rsid w:val="001C072B"/>
    <w:rsid w:val="001C0ADA"/>
    <w:rsid w:val="001C0AFA"/>
    <w:rsid w:val="001C0CAC"/>
    <w:rsid w:val="001C1467"/>
    <w:rsid w:val="001C14BF"/>
    <w:rsid w:val="001C19FF"/>
    <w:rsid w:val="001C1F06"/>
    <w:rsid w:val="001C225F"/>
    <w:rsid w:val="001C277B"/>
    <w:rsid w:val="001C2A5B"/>
    <w:rsid w:val="001C2B10"/>
    <w:rsid w:val="001C3336"/>
    <w:rsid w:val="001C33F4"/>
    <w:rsid w:val="001C3CB4"/>
    <w:rsid w:val="001C3F33"/>
    <w:rsid w:val="001C3FF3"/>
    <w:rsid w:val="001C41C8"/>
    <w:rsid w:val="001C4391"/>
    <w:rsid w:val="001C4BBC"/>
    <w:rsid w:val="001C4EEA"/>
    <w:rsid w:val="001C55C6"/>
    <w:rsid w:val="001C5DAD"/>
    <w:rsid w:val="001C7B9A"/>
    <w:rsid w:val="001D028E"/>
    <w:rsid w:val="001D1927"/>
    <w:rsid w:val="001D1FE7"/>
    <w:rsid w:val="001D2481"/>
    <w:rsid w:val="001D2C30"/>
    <w:rsid w:val="001D3373"/>
    <w:rsid w:val="001D35CC"/>
    <w:rsid w:val="001D38E7"/>
    <w:rsid w:val="001D42AC"/>
    <w:rsid w:val="001D44E7"/>
    <w:rsid w:val="001D4920"/>
    <w:rsid w:val="001D5848"/>
    <w:rsid w:val="001D5C31"/>
    <w:rsid w:val="001D5CA2"/>
    <w:rsid w:val="001D5D3A"/>
    <w:rsid w:val="001D6CC7"/>
    <w:rsid w:val="001D6DDD"/>
    <w:rsid w:val="001D7164"/>
    <w:rsid w:val="001D7531"/>
    <w:rsid w:val="001D7C71"/>
    <w:rsid w:val="001D7D68"/>
    <w:rsid w:val="001E002B"/>
    <w:rsid w:val="001E0045"/>
    <w:rsid w:val="001E0771"/>
    <w:rsid w:val="001E0895"/>
    <w:rsid w:val="001E2531"/>
    <w:rsid w:val="001E2C37"/>
    <w:rsid w:val="001E3A8D"/>
    <w:rsid w:val="001E3F34"/>
    <w:rsid w:val="001E4385"/>
    <w:rsid w:val="001E44DD"/>
    <w:rsid w:val="001E487F"/>
    <w:rsid w:val="001E4A43"/>
    <w:rsid w:val="001E5690"/>
    <w:rsid w:val="001E5A14"/>
    <w:rsid w:val="001E5D78"/>
    <w:rsid w:val="001E6123"/>
    <w:rsid w:val="001E6B0E"/>
    <w:rsid w:val="001E6BAD"/>
    <w:rsid w:val="001E7F39"/>
    <w:rsid w:val="001F0900"/>
    <w:rsid w:val="001F0F94"/>
    <w:rsid w:val="001F0FEA"/>
    <w:rsid w:val="001F106D"/>
    <w:rsid w:val="001F1418"/>
    <w:rsid w:val="001F1650"/>
    <w:rsid w:val="001F1F9C"/>
    <w:rsid w:val="001F30CA"/>
    <w:rsid w:val="001F3611"/>
    <w:rsid w:val="001F3E95"/>
    <w:rsid w:val="001F43A0"/>
    <w:rsid w:val="001F47EF"/>
    <w:rsid w:val="001F4C4E"/>
    <w:rsid w:val="001F4ECE"/>
    <w:rsid w:val="001F50D3"/>
    <w:rsid w:val="001F5269"/>
    <w:rsid w:val="001F56FC"/>
    <w:rsid w:val="001F63FE"/>
    <w:rsid w:val="001F73AE"/>
    <w:rsid w:val="001F774F"/>
    <w:rsid w:val="001F78DF"/>
    <w:rsid w:val="001F7F00"/>
    <w:rsid w:val="002003EC"/>
    <w:rsid w:val="002008E0"/>
    <w:rsid w:val="0020169A"/>
    <w:rsid w:val="00201AAC"/>
    <w:rsid w:val="00201D9E"/>
    <w:rsid w:val="0020220D"/>
    <w:rsid w:val="00202407"/>
    <w:rsid w:val="00202F6F"/>
    <w:rsid w:val="00203679"/>
    <w:rsid w:val="00203978"/>
    <w:rsid w:val="00203C32"/>
    <w:rsid w:val="00203E61"/>
    <w:rsid w:val="00204479"/>
    <w:rsid w:val="00204ED7"/>
    <w:rsid w:val="0020592D"/>
    <w:rsid w:val="00205FB2"/>
    <w:rsid w:val="00206855"/>
    <w:rsid w:val="0020757E"/>
    <w:rsid w:val="00207F22"/>
    <w:rsid w:val="002113C7"/>
    <w:rsid w:val="00211A36"/>
    <w:rsid w:val="00211C24"/>
    <w:rsid w:val="00212219"/>
    <w:rsid w:val="0021226B"/>
    <w:rsid w:val="002124E1"/>
    <w:rsid w:val="00212C50"/>
    <w:rsid w:val="00212F24"/>
    <w:rsid w:val="00214B17"/>
    <w:rsid w:val="00215146"/>
    <w:rsid w:val="00215EA9"/>
    <w:rsid w:val="002166DB"/>
    <w:rsid w:val="00217132"/>
    <w:rsid w:val="00217307"/>
    <w:rsid w:val="00217906"/>
    <w:rsid w:val="00220109"/>
    <w:rsid w:val="0022022E"/>
    <w:rsid w:val="00220BEA"/>
    <w:rsid w:val="00220C3F"/>
    <w:rsid w:val="00220D0A"/>
    <w:rsid w:val="00220EFE"/>
    <w:rsid w:val="00221D31"/>
    <w:rsid w:val="00221ED8"/>
    <w:rsid w:val="002225F6"/>
    <w:rsid w:val="00222CB0"/>
    <w:rsid w:val="00223B94"/>
    <w:rsid w:val="00224F84"/>
    <w:rsid w:val="00225110"/>
    <w:rsid w:val="002251E6"/>
    <w:rsid w:val="002270F0"/>
    <w:rsid w:val="00227BF4"/>
    <w:rsid w:val="002308F6"/>
    <w:rsid w:val="00230A8A"/>
    <w:rsid w:val="002317D8"/>
    <w:rsid w:val="00231821"/>
    <w:rsid w:val="00232EE1"/>
    <w:rsid w:val="0023375B"/>
    <w:rsid w:val="00234321"/>
    <w:rsid w:val="00235521"/>
    <w:rsid w:val="00235618"/>
    <w:rsid w:val="002356FE"/>
    <w:rsid w:val="00235AC0"/>
    <w:rsid w:val="00235DC5"/>
    <w:rsid w:val="00236498"/>
    <w:rsid w:val="002369AF"/>
    <w:rsid w:val="00236B11"/>
    <w:rsid w:val="00236F77"/>
    <w:rsid w:val="00236FDF"/>
    <w:rsid w:val="002408B9"/>
    <w:rsid w:val="00240BDF"/>
    <w:rsid w:val="00240C74"/>
    <w:rsid w:val="00240E46"/>
    <w:rsid w:val="0024111D"/>
    <w:rsid w:val="002412B9"/>
    <w:rsid w:val="002414CC"/>
    <w:rsid w:val="00243564"/>
    <w:rsid w:val="00243811"/>
    <w:rsid w:val="00243DB4"/>
    <w:rsid w:val="00243E6C"/>
    <w:rsid w:val="002443AD"/>
    <w:rsid w:val="002446BD"/>
    <w:rsid w:val="00244A17"/>
    <w:rsid w:val="0024605A"/>
    <w:rsid w:val="00246292"/>
    <w:rsid w:val="002468EA"/>
    <w:rsid w:val="0024694F"/>
    <w:rsid w:val="002473A0"/>
    <w:rsid w:val="002477CB"/>
    <w:rsid w:val="00247D26"/>
    <w:rsid w:val="00250233"/>
    <w:rsid w:val="002507C0"/>
    <w:rsid w:val="00250A54"/>
    <w:rsid w:val="00250F5D"/>
    <w:rsid w:val="00250FD4"/>
    <w:rsid w:val="002512F6"/>
    <w:rsid w:val="0025150D"/>
    <w:rsid w:val="002518A1"/>
    <w:rsid w:val="002518CC"/>
    <w:rsid w:val="00251A5E"/>
    <w:rsid w:val="00252F9F"/>
    <w:rsid w:val="002533C3"/>
    <w:rsid w:val="002534E3"/>
    <w:rsid w:val="002537C2"/>
    <w:rsid w:val="00253B37"/>
    <w:rsid w:val="00253CDB"/>
    <w:rsid w:val="00253E28"/>
    <w:rsid w:val="00254B16"/>
    <w:rsid w:val="002550BF"/>
    <w:rsid w:val="002552E8"/>
    <w:rsid w:val="00255EFB"/>
    <w:rsid w:val="00256238"/>
    <w:rsid w:val="00257417"/>
    <w:rsid w:val="002574CE"/>
    <w:rsid w:val="0025799D"/>
    <w:rsid w:val="00257A3C"/>
    <w:rsid w:val="00257E6F"/>
    <w:rsid w:val="0026213D"/>
    <w:rsid w:val="0026222B"/>
    <w:rsid w:val="00262A52"/>
    <w:rsid w:val="00262C85"/>
    <w:rsid w:val="00262F46"/>
    <w:rsid w:val="002631F9"/>
    <w:rsid w:val="00263C87"/>
    <w:rsid w:val="0026403D"/>
    <w:rsid w:val="00264BDB"/>
    <w:rsid w:val="00265099"/>
    <w:rsid w:val="002656B6"/>
    <w:rsid w:val="00265D03"/>
    <w:rsid w:val="00265EB1"/>
    <w:rsid w:val="00266412"/>
    <w:rsid w:val="002665E5"/>
    <w:rsid w:val="002669D2"/>
    <w:rsid w:val="0026709A"/>
    <w:rsid w:val="0026779B"/>
    <w:rsid w:val="00267B75"/>
    <w:rsid w:val="00270378"/>
    <w:rsid w:val="0027046E"/>
    <w:rsid w:val="00270647"/>
    <w:rsid w:val="002709A2"/>
    <w:rsid w:val="002710A1"/>
    <w:rsid w:val="002711CD"/>
    <w:rsid w:val="00271EC0"/>
    <w:rsid w:val="00271F58"/>
    <w:rsid w:val="002720ED"/>
    <w:rsid w:val="00272327"/>
    <w:rsid w:val="00272957"/>
    <w:rsid w:val="0027296D"/>
    <w:rsid w:val="002729D3"/>
    <w:rsid w:val="00272A7F"/>
    <w:rsid w:val="00272ACF"/>
    <w:rsid w:val="002732AF"/>
    <w:rsid w:val="00273751"/>
    <w:rsid w:val="00274E8C"/>
    <w:rsid w:val="002750A1"/>
    <w:rsid w:val="00275325"/>
    <w:rsid w:val="00275389"/>
    <w:rsid w:val="00275E14"/>
    <w:rsid w:val="00275ECD"/>
    <w:rsid w:val="00276287"/>
    <w:rsid w:val="00276BC5"/>
    <w:rsid w:val="00276C34"/>
    <w:rsid w:val="00277845"/>
    <w:rsid w:val="0028086D"/>
    <w:rsid w:val="00280C26"/>
    <w:rsid w:val="00280CED"/>
    <w:rsid w:val="00281005"/>
    <w:rsid w:val="002811CD"/>
    <w:rsid w:val="00281200"/>
    <w:rsid w:val="00282392"/>
    <w:rsid w:val="00283482"/>
    <w:rsid w:val="00283DB3"/>
    <w:rsid w:val="00284062"/>
    <w:rsid w:val="00284F90"/>
    <w:rsid w:val="002855BA"/>
    <w:rsid w:val="002858B3"/>
    <w:rsid w:val="00285AAB"/>
    <w:rsid w:val="00285D3B"/>
    <w:rsid w:val="00285DD0"/>
    <w:rsid w:val="0028603F"/>
    <w:rsid w:val="0028606C"/>
    <w:rsid w:val="002864AA"/>
    <w:rsid w:val="00286861"/>
    <w:rsid w:val="0028751E"/>
    <w:rsid w:val="00287A22"/>
    <w:rsid w:val="00287A4C"/>
    <w:rsid w:val="002900F7"/>
    <w:rsid w:val="00290777"/>
    <w:rsid w:val="00290804"/>
    <w:rsid w:val="00290946"/>
    <w:rsid w:val="002910B7"/>
    <w:rsid w:val="00291416"/>
    <w:rsid w:val="002918B1"/>
    <w:rsid w:val="002923F6"/>
    <w:rsid w:val="002929FC"/>
    <w:rsid w:val="00292D40"/>
    <w:rsid w:val="00293DEF"/>
    <w:rsid w:val="0029435C"/>
    <w:rsid w:val="00294446"/>
    <w:rsid w:val="00294FB3"/>
    <w:rsid w:val="00295E0B"/>
    <w:rsid w:val="00295F69"/>
    <w:rsid w:val="002963A8"/>
    <w:rsid w:val="002963BE"/>
    <w:rsid w:val="0029647E"/>
    <w:rsid w:val="00296CF8"/>
    <w:rsid w:val="0029754D"/>
    <w:rsid w:val="00297B3D"/>
    <w:rsid w:val="00297C44"/>
    <w:rsid w:val="00297F71"/>
    <w:rsid w:val="002A0E28"/>
    <w:rsid w:val="002A201D"/>
    <w:rsid w:val="002A2880"/>
    <w:rsid w:val="002A2E7E"/>
    <w:rsid w:val="002A3371"/>
    <w:rsid w:val="002A3779"/>
    <w:rsid w:val="002A3E85"/>
    <w:rsid w:val="002A42C8"/>
    <w:rsid w:val="002A4748"/>
    <w:rsid w:val="002A4AA6"/>
    <w:rsid w:val="002A4B2B"/>
    <w:rsid w:val="002A4BBC"/>
    <w:rsid w:val="002A4D91"/>
    <w:rsid w:val="002A54C4"/>
    <w:rsid w:val="002A5C71"/>
    <w:rsid w:val="002A646E"/>
    <w:rsid w:val="002A65B9"/>
    <w:rsid w:val="002A6660"/>
    <w:rsid w:val="002A6E39"/>
    <w:rsid w:val="002A6EF1"/>
    <w:rsid w:val="002A70C6"/>
    <w:rsid w:val="002A78DF"/>
    <w:rsid w:val="002A7DA3"/>
    <w:rsid w:val="002A7EDA"/>
    <w:rsid w:val="002B1081"/>
    <w:rsid w:val="002B14BB"/>
    <w:rsid w:val="002B16C4"/>
    <w:rsid w:val="002B1D4B"/>
    <w:rsid w:val="002B1F55"/>
    <w:rsid w:val="002B2216"/>
    <w:rsid w:val="002B248A"/>
    <w:rsid w:val="002B30EA"/>
    <w:rsid w:val="002B330A"/>
    <w:rsid w:val="002B3ED8"/>
    <w:rsid w:val="002B3FA7"/>
    <w:rsid w:val="002B4174"/>
    <w:rsid w:val="002B4A0F"/>
    <w:rsid w:val="002B51C7"/>
    <w:rsid w:val="002B5336"/>
    <w:rsid w:val="002B564B"/>
    <w:rsid w:val="002B5830"/>
    <w:rsid w:val="002B59B1"/>
    <w:rsid w:val="002B60BD"/>
    <w:rsid w:val="002B6306"/>
    <w:rsid w:val="002B6309"/>
    <w:rsid w:val="002B6B5F"/>
    <w:rsid w:val="002B6C2C"/>
    <w:rsid w:val="002B7803"/>
    <w:rsid w:val="002B7913"/>
    <w:rsid w:val="002B7B0F"/>
    <w:rsid w:val="002C0049"/>
    <w:rsid w:val="002C0290"/>
    <w:rsid w:val="002C05CC"/>
    <w:rsid w:val="002C0D2E"/>
    <w:rsid w:val="002C0E20"/>
    <w:rsid w:val="002C1514"/>
    <w:rsid w:val="002C1F4B"/>
    <w:rsid w:val="002C2F61"/>
    <w:rsid w:val="002C4591"/>
    <w:rsid w:val="002C50EF"/>
    <w:rsid w:val="002C518F"/>
    <w:rsid w:val="002C5505"/>
    <w:rsid w:val="002C5F54"/>
    <w:rsid w:val="002C736E"/>
    <w:rsid w:val="002C7557"/>
    <w:rsid w:val="002D010C"/>
    <w:rsid w:val="002D0179"/>
    <w:rsid w:val="002D087C"/>
    <w:rsid w:val="002D0AA2"/>
    <w:rsid w:val="002D1B04"/>
    <w:rsid w:val="002D247D"/>
    <w:rsid w:val="002D2DB1"/>
    <w:rsid w:val="002D2EEE"/>
    <w:rsid w:val="002D40A2"/>
    <w:rsid w:val="002D47FA"/>
    <w:rsid w:val="002D523D"/>
    <w:rsid w:val="002D53BB"/>
    <w:rsid w:val="002D6050"/>
    <w:rsid w:val="002D71E9"/>
    <w:rsid w:val="002D7730"/>
    <w:rsid w:val="002D78D1"/>
    <w:rsid w:val="002D7D6E"/>
    <w:rsid w:val="002E2629"/>
    <w:rsid w:val="002E2764"/>
    <w:rsid w:val="002E2DCC"/>
    <w:rsid w:val="002E3A33"/>
    <w:rsid w:val="002E4267"/>
    <w:rsid w:val="002E4A50"/>
    <w:rsid w:val="002E4C12"/>
    <w:rsid w:val="002E4C73"/>
    <w:rsid w:val="002E5588"/>
    <w:rsid w:val="002E5A0D"/>
    <w:rsid w:val="002E5AA6"/>
    <w:rsid w:val="002E6490"/>
    <w:rsid w:val="002E783C"/>
    <w:rsid w:val="002F0095"/>
    <w:rsid w:val="002F00DF"/>
    <w:rsid w:val="002F068E"/>
    <w:rsid w:val="002F0EB8"/>
    <w:rsid w:val="002F130D"/>
    <w:rsid w:val="002F1490"/>
    <w:rsid w:val="002F1567"/>
    <w:rsid w:val="002F199C"/>
    <w:rsid w:val="002F1CBC"/>
    <w:rsid w:val="002F1CD0"/>
    <w:rsid w:val="002F1D12"/>
    <w:rsid w:val="002F1D4B"/>
    <w:rsid w:val="002F2AB9"/>
    <w:rsid w:val="002F2BFD"/>
    <w:rsid w:val="002F397A"/>
    <w:rsid w:val="002F3A37"/>
    <w:rsid w:val="002F4365"/>
    <w:rsid w:val="002F49A4"/>
    <w:rsid w:val="002F4A3E"/>
    <w:rsid w:val="002F4C70"/>
    <w:rsid w:val="002F4DEF"/>
    <w:rsid w:val="002F515E"/>
    <w:rsid w:val="002F56DB"/>
    <w:rsid w:val="002F68FE"/>
    <w:rsid w:val="002F7DF3"/>
    <w:rsid w:val="003003D4"/>
    <w:rsid w:val="00300CDC"/>
    <w:rsid w:val="00301347"/>
    <w:rsid w:val="00301A78"/>
    <w:rsid w:val="00301BAD"/>
    <w:rsid w:val="0030304E"/>
    <w:rsid w:val="0030388E"/>
    <w:rsid w:val="003039CF"/>
    <w:rsid w:val="003039E8"/>
    <w:rsid w:val="0030407D"/>
    <w:rsid w:val="0030446F"/>
    <w:rsid w:val="00304618"/>
    <w:rsid w:val="00306292"/>
    <w:rsid w:val="00306C42"/>
    <w:rsid w:val="00307875"/>
    <w:rsid w:val="00307CBF"/>
    <w:rsid w:val="00307F26"/>
    <w:rsid w:val="0031016A"/>
    <w:rsid w:val="00310C29"/>
    <w:rsid w:val="00311132"/>
    <w:rsid w:val="003112DC"/>
    <w:rsid w:val="003115EF"/>
    <w:rsid w:val="00311921"/>
    <w:rsid w:val="00311A66"/>
    <w:rsid w:val="00311DE3"/>
    <w:rsid w:val="00312234"/>
    <w:rsid w:val="003123A5"/>
    <w:rsid w:val="003127BB"/>
    <w:rsid w:val="0031290F"/>
    <w:rsid w:val="00312991"/>
    <w:rsid w:val="00312B54"/>
    <w:rsid w:val="00312E8F"/>
    <w:rsid w:val="00313580"/>
    <w:rsid w:val="003139E9"/>
    <w:rsid w:val="00313C1A"/>
    <w:rsid w:val="00313CBE"/>
    <w:rsid w:val="00313DC0"/>
    <w:rsid w:val="003140A6"/>
    <w:rsid w:val="0031472C"/>
    <w:rsid w:val="00314CA5"/>
    <w:rsid w:val="0031591B"/>
    <w:rsid w:val="00315E05"/>
    <w:rsid w:val="003161B2"/>
    <w:rsid w:val="00316A8F"/>
    <w:rsid w:val="00317B8F"/>
    <w:rsid w:val="00317CBF"/>
    <w:rsid w:val="00317FE7"/>
    <w:rsid w:val="00320486"/>
    <w:rsid w:val="00320941"/>
    <w:rsid w:val="00320F04"/>
    <w:rsid w:val="00320F81"/>
    <w:rsid w:val="00321F4C"/>
    <w:rsid w:val="003220F2"/>
    <w:rsid w:val="00323C2E"/>
    <w:rsid w:val="00324B4C"/>
    <w:rsid w:val="00324C38"/>
    <w:rsid w:val="003251D8"/>
    <w:rsid w:val="00325281"/>
    <w:rsid w:val="0032580A"/>
    <w:rsid w:val="00325B5A"/>
    <w:rsid w:val="00325B70"/>
    <w:rsid w:val="0032682D"/>
    <w:rsid w:val="00326999"/>
    <w:rsid w:val="003269B4"/>
    <w:rsid w:val="00326A65"/>
    <w:rsid w:val="00326B98"/>
    <w:rsid w:val="00326FC0"/>
    <w:rsid w:val="00327008"/>
    <w:rsid w:val="003304AF"/>
    <w:rsid w:val="0033146B"/>
    <w:rsid w:val="00331F97"/>
    <w:rsid w:val="00333745"/>
    <w:rsid w:val="003339A5"/>
    <w:rsid w:val="00333FCE"/>
    <w:rsid w:val="0033424A"/>
    <w:rsid w:val="00334ABA"/>
    <w:rsid w:val="00334ADA"/>
    <w:rsid w:val="00334BE6"/>
    <w:rsid w:val="00334FF1"/>
    <w:rsid w:val="00335164"/>
    <w:rsid w:val="003352B0"/>
    <w:rsid w:val="0033570E"/>
    <w:rsid w:val="0033581C"/>
    <w:rsid w:val="00335D00"/>
    <w:rsid w:val="00335FFB"/>
    <w:rsid w:val="00336137"/>
    <w:rsid w:val="00336C58"/>
    <w:rsid w:val="003375B3"/>
    <w:rsid w:val="003375F7"/>
    <w:rsid w:val="00337807"/>
    <w:rsid w:val="0033790E"/>
    <w:rsid w:val="00340944"/>
    <w:rsid w:val="00340DFA"/>
    <w:rsid w:val="003419CA"/>
    <w:rsid w:val="0034291B"/>
    <w:rsid w:val="00342936"/>
    <w:rsid w:val="00342EF2"/>
    <w:rsid w:val="00342F49"/>
    <w:rsid w:val="0034317E"/>
    <w:rsid w:val="00343857"/>
    <w:rsid w:val="00343870"/>
    <w:rsid w:val="00343CC4"/>
    <w:rsid w:val="00344119"/>
    <w:rsid w:val="003447D5"/>
    <w:rsid w:val="00344A91"/>
    <w:rsid w:val="00345869"/>
    <w:rsid w:val="0034608C"/>
    <w:rsid w:val="003461A4"/>
    <w:rsid w:val="00346578"/>
    <w:rsid w:val="003467DD"/>
    <w:rsid w:val="00346845"/>
    <w:rsid w:val="003473D4"/>
    <w:rsid w:val="003474E0"/>
    <w:rsid w:val="0035062E"/>
    <w:rsid w:val="00350A6B"/>
    <w:rsid w:val="00351865"/>
    <w:rsid w:val="003521B4"/>
    <w:rsid w:val="00352A02"/>
    <w:rsid w:val="00352C64"/>
    <w:rsid w:val="00353113"/>
    <w:rsid w:val="003537FE"/>
    <w:rsid w:val="00353A1A"/>
    <w:rsid w:val="00354B47"/>
    <w:rsid w:val="00354F09"/>
    <w:rsid w:val="0035512A"/>
    <w:rsid w:val="00355167"/>
    <w:rsid w:val="003557D8"/>
    <w:rsid w:val="00355B02"/>
    <w:rsid w:val="00357165"/>
    <w:rsid w:val="003571EF"/>
    <w:rsid w:val="0035728A"/>
    <w:rsid w:val="003573E0"/>
    <w:rsid w:val="00357526"/>
    <w:rsid w:val="00357CB2"/>
    <w:rsid w:val="00360407"/>
    <w:rsid w:val="003611FD"/>
    <w:rsid w:val="00361F69"/>
    <w:rsid w:val="00362313"/>
    <w:rsid w:val="003626C9"/>
    <w:rsid w:val="00362BFA"/>
    <w:rsid w:val="00362C96"/>
    <w:rsid w:val="00362D14"/>
    <w:rsid w:val="0036360F"/>
    <w:rsid w:val="00363C4F"/>
    <w:rsid w:val="00363F3F"/>
    <w:rsid w:val="003645E4"/>
    <w:rsid w:val="0036465A"/>
    <w:rsid w:val="0036469D"/>
    <w:rsid w:val="0036479C"/>
    <w:rsid w:val="00364A66"/>
    <w:rsid w:val="00364B30"/>
    <w:rsid w:val="00365525"/>
    <w:rsid w:val="00365B91"/>
    <w:rsid w:val="00365F92"/>
    <w:rsid w:val="003663E7"/>
    <w:rsid w:val="0036667E"/>
    <w:rsid w:val="00366A14"/>
    <w:rsid w:val="00366A8F"/>
    <w:rsid w:val="00366E55"/>
    <w:rsid w:val="00366FC5"/>
    <w:rsid w:val="00367070"/>
    <w:rsid w:val="0036712C"/>
    <w:rsid w:val="00367DC9"/>
    <w:rsid w:val="0037005D"/>
    <w:rsid w:val="003709DC"/>
    <w:rsid w:val="00370CC3"/>
    <w:rsid w:val="00371778"/>
    <w:rsid w:val="00371B0B"/>
    <w:rsid w:val="003727B2"/>
    <w:rsid w:val="00372A1C"/>
    <w:rsid w:val="00372A23"/>
    <w:rsid w:val="003730F5"/>
    <w:rsid w:val="00373279"/>
    <w:rsid w:val="00373339"/>
    <w:rsid w:val="00373378"/>
    <w:rsid w:val="00373ADD"/>
    <w:rsid w:val="00373BEE"/>
    <w:rsid w:val="00374466"/>
    <w:rsid w:val="00374D5C"/>
    <w:rsid w:val="00375132"/>
    <w:rsid w:val="003753C5"/>
    <w:rsid w:val="00375878"/>
    <w:rsid w:val="003761E9"/>
    <w:rsid w:val="00376B4F"/>
    <w:rsid w:val="0037746E"/>
    <w:rsid w:val="00377B8D"/>
    <w:rsid w:val="00380065"/>
    <w:rsid w:val="00380F3B"/>
    <w:rsid w:val="00381735"/>
    <w:rsid w:val="003825BC"/>
    <w:rsid w:val="00382796"/>
    <w:rsid w:val="00383381"/>
    <w:rsid w:val="00383955"/>
    <w:rsid w:val="00383BC0"/>
    <w:rsid w:val="003845A3"/>
    <w:rsid w:val="00384A88"/>
    <w:rsid w:val="00384DA2"/>
    <w:rsid w:val="00385147"/>
    <w:rsid w:val="0038529E"/>
    <w:rsid w:val="00385D67"/>
    <w:rsid w:val="00386692"/>
    <w:rsid w:val="003870E7"/>
    <w:rsid w:val="003872AD"/>
    <w:rsid w:val="00387366"/>
    <w:rsid w:val="003877AB"/>
    <w:rsid w:val="0038799F"/>
    <w:rsid w:val="00387BF2"/>
    <w:rsid w:val="00387E3D"/>
    <w:rsid w:val="0039009E"/>
    <w:rsid w:val="00390622"/>
    <w:rsid w:val="003907E2"/>
    <w:rsid w:val="003916E6"/>
    <w:rsid w:val="003919DB"/>
    <w:rsid w:val="003921DE"/>
    <w:rsid w:val="00392244"/>
    <w:rsid w:val="0039260C"/>
    <w:rsid w:val="00392724"/>
    <w:rsid w:val="00392747"/>
    <w:rsid w:val="00392A91"/>
    <w:rsid w:val="00392B9E"/>
    <w:rsid w:val="00392B9F"/>
    <w:rsid w:val="00393890"/>
    <w:rsid w:val="00393DFB"/>
    <w:rsid w:val="003949CA"/>
    <w:rsid w:val="00394F2C"/>
    <w:rsid w:val="00395911"/>
    <w:rsid w:val="00395AF3"/>
    <w:rsid w:val="0039686B"/>
    <w:rsid w:val="00396E6C"/>
    <w:rsid w:val="00397267"/>
    <w:rsid w:val="00397683"/>
    <w:rsid w:val="00397922"/>
    <w:rsid w:val="00397A4B"/>
    <w:rsid w:val="00397D05"/>
    <w:rsid w:val="00397E7D"/>
    <w:rsid w:val="003A164C"/>
    <w:rsid w:val="003A17EF"/>
    <w:rsid w:val="003A2161"/>
    <w:rsid w:val="003A2184"/>
    <w:rsid w:val="003A24BD"/>
    <w:rsid w:val="003A260D"/>
    <w:rsid w:val="003A2669"/>
    <w:rsid w:val="003A31BB"/>
    <w:rsid w:val="003A3FF1"/>
    <w:rsid w:val="003A488F"/>
    <w:rsid w:val="003A491C"/>
    <w:rsid w:val="003A5A94"/>
    <w:rsid w:val="003A5B62"/>
    <w:rsid w:val="003A5D7D"/>
    <w:rsid w:val="003A5EA5"/>
    <w:rsid w:val="003A649E"/>
    <w:rsid w:val="003A6C6D"/>
    <w:rsid w:val="003A77B1"/>
    <w:rsid w:val="003A7EFE"/>
    <w:rsid w:val="003B008C"/>
    <w:rsid w:val="003B0CAA"/>
    <w:rsid w:val="003B0E71"/>
    <w:rsid w:val="003B164D"/>
    <w:rsid w:val="003B1B8F"/>
    <w:rsid w:val="003B1E82"/>
    <w:rsid w:val="003B1FE8"/>
    <w:rsid w:val="003B201F"/>
    <w:rsid w:val="003B21BE"/>
    <w:rsid w:val="003B2790"/>
    <w:rsid w:val="003B3AA0"/>
    <w:rsid w:val="003B3C1A"/>
    <w:rsid w:val="003B3C3C"/>
    <w:rsid w:val="003B592F"/>
    <w:rsid w:val="003B5E6D"/>
    <w:rsid w:val="003B6633"/>
    <w:rsid w:val="003B6898"/>
    <w:rsid w:val="003B7781"/>
    <w:rsid w:val="003B7FA7"/>
    <w:rsid w:val="003C0A71"/>
    <w:rsid w:val="003C0EE7"/>
    <w:rsid w:val="003C21FD"/>
    <w:rsid w:val="003C22F9"/>
    <w:rsid w:val="003C2682"/>
    <w:rsid w:val="003C2886"/>
    <w:rsid w:val="003C290F"/>
    <w:rsid w:val="003C2A8E"/>
    <w:rsid w:val="003C2BCC"/>
    <w:rsid w:val="003C2CA0"/>
    <w:rsid w:val="003C38F1"/>
    <w:rsid w:val="003C3CD1"/>
    <w:rsid w:val="003C3F42"/>
    <w:rsid w:val="003C3F52"/>
    <w:rsid w:val="003C4137"/>
    <w:rsid w:val="003C4B3D"/>
    <w:rsid w:val="003C4E8E"/>
    <w:rsid w:val="003C527F"/>
    <w:rsid w:val="003C539C"/>
    <w:rsid w:val="003C5776"/>
    <w:rsid w:val="003C58EA"/>
    <w:rsid w:val="003C594D"/>
    <w:rsid w:val="003C5A7C"/>
    <w:rsid w:val="003C6910"/>
    <w:rsid w:val="003C698D"/>
    <w:rsid w:val="003C6D4E"/>
    <w:rsid w:val="003D0578"/>
    <w:rsid w:val="003D0722"/>
    <w:rsid w:val="003D0BCE"/>
    <w:rsid w:val="003D0E10"/>
    <w:rsid w:val="003D1902"/>
    <w:rsid w:val="003D1DD4"/>
    <w:rsid w:val="003D2494"/>
    <w:rsid w:val="003D27F4"/>
    <w:rsid w:val="003D2936"/>
    <w:rsid w:val="003D314F"/>
    <w:rsid w:val="003D3178"/>
    <w:rsid w:val="003D36EE"/>
    <w:rsid w:val="003D3D7F"/>
    <w:rsid w:val="003D41A0"/>
    <w:rsid w:val="003D4A07"/>
    <w:rsid w:val="003D520D"/>
    <w:rsid w:val="003D524C"/>
    <w:rsid w:val="003D53C5"/>
    <w:rsid w:val="003D5EBA"/>
    <w:rsid w:val="003D65B9"/>
    <w:rsid w:val="003D6FD6"/>
    <w:rsid w:val="003D7185"/>
    <w:rsid w:val="003D7E16"/>
    <w:rsid w:val="003E0258"/>
    <w:rsid w:val="003E0A68"/>
    <w:rsid w:val="003E11CB"/>
    <w:rsid w:val="003E1900"/>
    <w:rsid w:val="003E1A30"/>
    <w:rsid w:val="003E1C62"/>
    <w:rsid w:val="003E2161"/>
    <w:rsid w:val="003E2214"/>
    <w:rsid w:val="003E264C"/>
    <w:rsid w:val="003E2BDB"/>
    <w:rsid w:val="003E2EF2"/>
    <w:rsid w:val="003E2F7E"/>
    <w:rsid w:val="003E34CC"/>
    <w:rsid w:val="003E39FA"/>
    <w:rsid w:val="003E3E64"/>
    <w:rsid w:val="003E414A"/>
    <w:rsid w:val="003E54A3"/>
    <w:rsid w:val="003E5725"/>
    <w:rsid w:val="003E5A91"/>
    <w:rsid w:val="003E6537"/>
    <w:rsid w:val="003E658C"/>
    <w:rsid w:val="003E6923"/>
    <w:rsid w:val="003E6CE9"/>
    <w:rsid w:val="003E6D00"/>
    <w:rsid w:val="003E6E5D"/>
    <w:rsid w:val="003E7371"/>
    <w:rsid w:val="003E7457"/>
    <w:rsid w:val="003E7B7D"/>
    <w:rsid w:val="003E7F22"/>
    <w:rsid w:val="003F03BB"/>
    <w:rsid w:val="003F040E"/>
    <w:rsid w:val="003F0541"/>
    <w:rsid w:val="003F1055"/>
    <w:rsid w:val="003F1160"/>
    <w:rsid w:val="003F18A9"/>
    <w:rsid w:val="003F1AD0"/>
    <w:rsid w:val="003F1EED"/>
    <w:rsid w:val="003F2047"/>
    <w:rsid w:val="003F2DE2"/>
    <w:rsid w:val="003F315B"/>
    <w:rsid w:val="003F3207"/>
    <w:rsid w:val="003F3214"/>
    <w:rsid w:val="003F33FC"/>
    <w:rsid w:val="003F3599"/>
    <w:rsid w:val="003F4C27"/>
    <w:rsid w:val="003F4D66"/>
    <w:rsid w:val="003F4DAC"/>
    <w:rsid w:val="003F4F78"/>
    <w:rsid w:val="003F6282"/>
    <w:rsid w:val="003F7B23"/>
    <w:rsid w:val="003F7EDB"/>
    <w:rsid w:val="003F7F89"/>
    <w:rsid w:val="00400157"/>
    <w:rsid w:val="00400661"/>
    <w:rsid w:val="00400CCA"/>
    <w:rsid w:val="00401227"/>
    <w:rsid w:val="00401585"/>
    <w:rsid w:val="00401681"/>
    <w:rsid w:val="00401D22"/>
    <w:rsid w:val="00401ECA"/>
    <w:rsid w:val="00402617"/>
    <w:rsid w:val="0040269F"/>
    <w:rsid w:val="00402A65"/>
    <w:rsid w:val="00403612"/>
    <w:rsid w:val="00403A4F"/>
    <w:rsid w:val="00404230"/>
    <w:rsid w:val="004045BC"/>
    <w:rsid w:val="00404D26"/>
    <w:rsid w:val="00405175"/>
    <w:rsid w:val="004053E8"/>
    <w:rsid w:val="004059E6"/>
    <w:rsid w:val="00405A5B"/>
    <w:rsid w:val="004066A9"/>
    <w:rsid w:val="00406AB7"/>
    <w:rsid w:val="00406AED"/>
    <w:rsid w:val="00407214"/>
    <w:rsid w:val="004073CC"/>
    <w:rsid w:val="004100CD"/>
    <w:rsid w:val="00410F14"/>
    <w:rsid w:val="004114C5"/>
    <w:rsid w:val="004119B0"/>
    <w:rsid w:val="00411E91"/>
    <w:rsid w:val="00412556"/>
    <w:rsid w:val="00412779"/>
    <w:rsid w:val="00412841"/>
    <w:rsid w:val="0041287F"/>
    <w:rsid w:val="0041372B"/>
    <w:rsid w:val="004139F7"/>
    <w:rsid w:val="00413D52"/>
    <w:rsid w:val="0041424C"/>
    <w:rsid w:val="004143FE"/>
    <w:rsid w:val="004150BD"/>
    <w:rsid w:val="004151B2"/>
    <w:rsid w:val="00415400"/>
    <w:rsid w:val="004156EF"/>
    <w:rsid w:val="004158BB"/>
    <w:rsid w:val="00415C83"/>
    <w:rsid w:val="0041766A"/>
    <w:rsid w:val="004202BF"/>
    <w:rsid w:val="0042086C"/>
    <w:rsid w:val="0042124E"/>
    <w:rsid w:val="00421986"/>
    <w:rsid w:val="00421F01"/>
    <w:rsid w:val="00422326"/>
    <w:rsid w:val="00422A36"/>
    <w:rsid w:val="00422ACE"/>
    <w:rsid w:val="00422D5E"/>
    <w:rsid w:val="00422E4D"/>
    <w:rsid w:val="004237C1"/>
    <w:rsid w:val="00424A92"/>
    <w:rsid w:val="00424D6B"/>
    <w:rsid w:val="00426284"/>
    <w:rsid w:val="00426876"/>
    <w:rsid w:val="00426938"/>
    <w:rsid w:val="00426A08"/>
    <w:rsid w:val="00426C44"/>
    <w:rsid w:val="0042703C"/>
    <w:rsid w:val="0042715E"/>
    <w:rsid w:val="00427612"/>
    <w:rsid w:val="00430AA1"/>
    <w:rsid w:val="0043180C"/>
    <w:rsid w:val="004334EB"/>
    <w:rsid w:val="00433DBC"/>
    <w:rsid w:val="00434D86"/>
    <w:rsid w:val="00434F6F"/>
    <w:rsid w:val="004351C1"/>
    <w:rsid w:val="00435659"/>
    <w:rsid w:val="00435D40"/>
    <w:rsid w:val="004361D2"/>
    <w:rsid w:val="0043672A"/>
    <w:rsid w:val="00436A2D"/>
    <w:rsid w:val="00437134"/>
    <w:rsid w:val="00437C4F"/>
    <w:rsid w:val="0044106E"/>
    <w:rsid w:val="004412CD"/>
    <w:rsid w:val="0044180D"/>
    <w:rsid w:val="0044198F"/>
    <w:rsid w:val="00442A9A"/>
    <w:rsid w:val="00442DF4"/>
    <w:rsid w:val="00442E52"/>
    <w:rsid w:val="00443315"/>
    <w:rsid w:val="0044333E"/>
    <w:rsid w:val="004439BD"/>
    <w:rsid w:val="00443A04"/>
    <w:rsid w:val="004442F4"/>
    <w:rsid w:val="004445E5"/>
    <w:rsid w:val="00445368"/>
    <w:rsid w:val="004454B3"/>
    <w:rsid w:val="004455F9"/>
    <w:rsid w:val="00445F2C"/>
    <w:rsid w:val="0044702C"/>
    <w:rsid w:val="00447617"/>
    <w:rsid w:val="00447A45"/>
    <w:rsid w:val="00447BEE"/>
    <w:rsid w:val="00447DC3"/>
    <w:rsid w:val="00450B46"/>
    <w:rsid w:val="00450C33"/>
    <w:rsid w:val="00451340"/>
    <w:rsid w:val="00451859"/>
    <w:rsid w:val="004519CA"/>
    <w:rsid w:val="004521DC"/>
    <w:rsid w:val="00452870"/>
    <w:rsid w:val="00452E5B"/>
    <w:rsid w:val="0045345F"/>
    <w:rsid w:val="00453FD9"/>
    <w:rsid w:val="004542EF"/>
    <w:rsid w:val="00454347"/>
    <w:rsid w:val="00454407"/>
    <w:rsid w:val="004545A2"/>
    <w:rsid w:val="0045523A"/>
    <w:rsid w:val="0045532B"/>
    <w:rsid w:val="00455606"/>
    <w:rsid w:val="00455A46"/>
    <w:rsid w:val="00455C72"/>
    <w:rsid w:val="00456DFF"/>
    <w:rsid w:val="004606D0"/>
    <w:rsid w:val="00460FBB"/>
    <w:rsid w:val="00461752"/>
    <w:rsid w:val="00461A61"/>
    <w:rsid w:val="00461AE8"/>
    <w:rsid w:val="00461C8B"/>
    <w:rsid w:val="00461F1F"/>
    <w:rsid w:val="004627C5"/>
    <w:rsid w:val="004632EB"/>
    <w:rsid w:val="00463892"/>
    <w:rsid w:val="00463DF7"/>
    <w:rsid w:val="00464D6E"/>
    <w:rsid w:val="004652FB"/>
    <w:rsid w:val="00465B7B"/>
    <w:rsid w:val="004661D9"/>
    <w:rsid w:val="0046691A"/>
    <w:rsid w:val="004671CD"/>
    <w:rsid w:val="0046761A"/>
    <w:rsid w:val="00467ADA"/>
    <w:rsid w:val="00467EE6"/>
    <w:rsid w:val="00470083"/>
    <w:rsid w:val="004701F9"/>
    <w:rsid w:val="004702E5"/>
    <w:rsid w:val="004704E3"/>
    <w:rsid w:val="0047092D"/>
    <w:rsid w:val="00470CE9"/>
    <w:rsid w:val="004714E8"/>
    <w:rsid w:val="004717E3"/>
    <w:rsid w:val="004722EA"/>
    <w:rsid w:val="004722EB"/>
    <w:rsid w:val="00472661"/>
    <w:rsid w:val="004729AD"/>
    <w:rsid w:val="00473316"/>
    <w:rsid w:val="00473BA6"/>
    <w:rsid w:val="00473BCF"/>
    <w:rsid w:val="004741F4"/>
    <w:rsid w:val="0047455E"/>
    <w:rsid w:val="00474BCA"/>
    <w:rsid w:val="00475B94"/>
    <w:rsid w:val="00475DFF"/>
    <w:rsid w:val="004765B2"/>
    <w:rsid w:val="0047683E"/>
    <w:rsid w:val="00477CB3"/>
    <w:rsid w:val="00477F81"/>
    <w:rsid w:val="004800DF"/>
    <w:rsid w:val="00480D99"/>
    <w:rsid w:val="0048118E"/>
    <w:rsid w:val="0048155F"/>
    <w:rsid w:val="00481DFE"/>
    <w:rsid w:val="004820D5"/>
    <w:rsid w:val="00482515"/>
    <w:rsid w:val="00482EEB"/>
    <w:rsid w:val="004840F7"/>
    <w:rsid w:val="00484A5F"/>
    <w:rsid w:val="00485F80"/>
    <w:rsid w:val="00485FEF"/>
    <w:rsid w:val="00486CA7"/>
    <w:rsid w:val="00486CE7"/>
    <w:rsid w:val="00487566"/>
    <w:rsid w:val="00487CF6"/>
    <w:rsid w:val="00490AFD"/>
    <w:rsid w:val="004917D0"/>
    <w:rsid w:val="00491CCD"/>
    <w:rsid w:val="00491F57"/>
    <w:rsid w:val="00491FE0"/>
    <w:rsid w:val="00492A24"/>
    <w:rsid w:val="00493BF5"/>
    <w:rsid w:val="00493FCC"/>
    <w:rsid w:val="004947D1"/>
    <w:rsid w:val="00494BFB"/>
    <w:rsid w:val="004951E8"/>
    <w:rsid w:val="00495308"/>
    <w:rsid w:val="0049551B"/>
    <w:rsid w:val="004959DA"/>
    <w:rsid w:val="004961F8"/>
    <w:rsid w:val="00496966"/>
    <w:rsid w:val="0049726F"/>
    <w:rsid w:val="0049750B"/>
    <w:rsid w:val="00497741"/>
    <w:rsid w:val="00497A27"/>
    <w:rsid w:val="00497ECA"/>
    <w:rsid w:val="004A0403"/>
    <w:rsid w:val="004A0762"/>
    <w:rsid w:val="004A0C55"/>
    <w:rsid w:val="004A1938"/>
    <w:rsid w:val="004A1C23"/>
    <w:rsid w:val="004A24A9"/>
    <w:rsid w:val="004A3B14"/>
    <w:rsid w:val="004A3CC2"/>
    <w:rsid w:val="004A417F"/>
    <w:rsid w:val="004A47CB"/>
    <w:rsid w:val="004A481C"/>
    <w:rsid w:val="004A4A6F"/>
    <w:rsid w:val="004A4CA5"/>
    <w:rsid w:val="004A4EAA"/>
    <w:rsid w:val="004A55ED"/>
    <w:rsid w:val="004A5A5D"/>
    <w:rsid w:val="004A6E3F"/>
    <w:rsid w:val="004A6ED9"/>
    <w:rsid w:val="004A7692"/>
    <w:rsid w:val="004A7B10"/>
    <w:rsid w:val="004A7BCF"/>
    <w:rsid w:val="004A7E44"/>
    <w:rsid w:val="004B017D"/>
    <w:rsid w:val="004B038C"/>
    <w:rsid w:val="004B06C0"/>
    <w:rsid w:val="004B0CB3"/>
    <w:rsid w:val="004B1B0B"/>
    <w:rsid w:val="004B2DD0"/>
    <w:rsid w:val="004B2E60"/>
    <w:rsid w:val="004B3257"/>
    <w:rsid w:val="004B37E4"/>
    <w:rsid w:val="004B45DD"/>
    <w:rsid w:val="004B4969"/>
    <w:rsid w:val="004B49F9"/>
    <w:rsid w:val="004B4D60"/>
    <w:rsid w:val="004B528A"/>
    <w:rsid w:val="004B55BB"/>
    <w:rsid w:val="004B64FF"/>
    <w:rsid w:val="004B6C29"/>
    <w:rsid w:val="004B71C3"/>
    <w:rsid w:val="004B736C"/>
    <w:rsid w:val="004C0037"/>
    <w:rsid w:val="004C0223"/>
    <w:rsid w:val="004C02C2"/>
    <w:rsid w:val="004C0716"/>
    <w:rsid w:val="004C0780"/>
    <w:rsid w:val="004C0A3F"/>
    <w:rsid w:val="004C14F1"/>
    <w:rsid w:val="004C2273"/>
    <w:rsid w:val="004C45C6"/>
    <w:rsid w:val="004C520D"/>
    <w:rsid w:val="004C546D"/>
    <w:rsid w:val="004C5631"/>
    <w:rsid w:val="004C5687"/>
    <w:rsid w:val="004C58D9"/>
    <w:rsid w:val="004C5BDE"/>
    <w:rsid w:val="004C68F1"/>
    <w:rsid w:val="004C77A1"/>
    <w:rsid w:val="004C77BF"/>
    <w:rsid w:val="004D10B5"/>
    <w:rsid w:val="004D1324"/>
    <w:rsid w:val="004D1680"/>
    <w:rsid w:val="004D16EE"/>
    <w:rsid w:val="004D1946"/>
    <w:rsid w:val="004D1C91"/>
    <w:rsid w:val="004D1D56"/>
    <w:rsid w:val="004D1F24"/>
    <w:rsid w:val="004D2DDC"/>
    <w:rsid w:val="004D359D"/>
    <w:rsid w:val="004D3809"/>
    <w:rsid w:val="004D3A9C"/>
    <w:rsid w:val="004D3B92"/>
    <w:rsid w:val="004D401F"/>
    <w:rsid w:val="004D46F9"/>
    <w:rsid w:val="004D4859"/>
    <w:rsid w:val="004D4D1C"/>
    <w:rsid w:val="004D56E9"/>
    <w:rsid w:val="004D5BFD"/>
    <w:rsid w:val="004D5C36"/>
    <w:rsid w:val="004D6276"/>
    <w:rsid w:val="004D688F"/>
    <w:rsid w:val="004D6BEA"/>
    <w:rsid w:val="004D703A"/>
    <w:rsid w:val="004E060A"/>
    <w:rsid w:val="004E07E6"/>
    <w:rsid w:val="004E0B0E"/>
    <w:rsid w:val="004E0B2F"/>
    <w:rsid w:val="004E0BE0"/>
    <w:rsid w:val="004E0CCE"/>
    <w:rsid w:val="004E0DD8"/>
    <w:rsid w:val="004E153A"/>
    <w:rsid w:val="004E1918"/>
    <w:rsid w:val="004E214F"/>
    <w:rsid w:val="004E29C2"/>
    <w:rsid w:val="004E2E6A"/>
    <w:rsid w:val="004E3316"/>
    <w:rsid w:val="004E3511"/>
    <w:rsid w:val="004E358F"/>
    <w:rsid w:val="004E37F0"/>
    <w:rsid w:val="004E382C"/>
    <w:rsid w:val="004E4BAE"/>
    <w:rsid w:val="004E540C"/>
    <w:rsid w:val="004E5945"/>
    <w:rsid w:val="004E597B"/>
    <w:rsid w:val="004E5E90"/>
    <w:rsid w:val="004E658B"/>
    <w:rsid w:val="004E759F"/>
    <w:rsid w:val="004E7AD0"/>
    <w:rsid w:val="004E7B14"/>
    <w:rsid w:val="004E7BFB"/>
    <w:rsid w:val="004F02CB"/>
    <w:rsid w:val="004F082A"/>
    <w:rsid w:val="004F08ED"/>
    <w:rsid w:val="004F0985"/>
    <w:rsid w:val="004F18A8"/>
    <w:rsid w:val="004F1CEC"/>
    <w:rsid w:val="004F2717"/>
    <w:rsid w:val="004F29D7"/>
    <w:rsid w:val="004F3138"/>
    <w:rsid w:val="004F36F9"/>
    <w:rsid w:val="004F4693"/>
    <w:rsid w:val="004F4814"/>
    <w:rsid w:val="004F4818"/>
    <w:rsid w:val="004F49DA"/>
    <w:rsid w:val="004F4A9A"/>
    <w:rsid w:val="004F4AD8"/>
    <w:rsid w:val="004F55FE"/>
    <w:rsid w:val="004F5EE1"/>
    <w:rsid w:val="004F6064"/>
    <w:rsid w:val="004F6399"/>
    <w:rsid w:val="004F6A16"/>
    <w:rsid w:val="004F7445"/>
    <w:rsid w:val="004F7768"/>
    <w:rsid w:val="004F7F67"/>
    <w:rsid w:val="00500173"/>
    <w:rsid w:val="005005B0"/>
    <w:rsid w:val="00500E0D"/>
    <w:rsid w:val="00500E80"/>
    <w:rsid w:val="00500FA6"/>
    <w:rsid w:val="0050108A"/>
    <w:rsid w:val="00501127"/>
    <w:rsid w:val="005014D7"/>
    <w:rsid w:val="005027D3"/>
    <w:rsid w:val="00502A89"/>
    <w:rsid w:val="00502B3F"/>
    <w:rsid w:val="00502F0D"/>
    <w:rsid w:val="005032BA"/>
    <w:rsid w:val="00503804"/>
    <w:rsid w:val="00503C00"/>
    <w:rsid w:val="00503C96"/>
    <w:rsid w:val="00503CEE"/>
    <w:rsid w:val="00504025"/>
    <w:rsid w:val="005045D1"/>
    <w:rsid w:val="00504F06"/>
    <w:rsid w:val="005051C9"/>
    <w:rsid w:val="00505565"/>
    <w:rsid w:val="00505649"/>
    <w:rsid w:val="00505CF8"/>
    <w:rsid w:val="005066AC"/>
    <w:rsid w:val="00507654"/>
    <w:rsid w:val="005076F3"/>
    <w:rsid w:val="0050773C"/>
    <w:rsid w:val="00510137"/>
    <w:rsid w:val="0051066E"/>
    <w:rsid w:val="00510C45"/>
    <w:rsid w:val="005110EC"/>
    <w:rsid w:val="005115D5"/>
    <w:rsid w:val="00511882"/>
    <w:rsid w:val="00511A30"/>
    <w:rsid w:val="00511C34"/>
    <w:rsid w:val="00511F38"/>
    <w:rsid w:val="0051260D"/>
    <w:rsid w:val="00512708"/>
    <w:rsid w:val="00512883"/>
    <w:rsid w:val="00512B4E"/>
    <w:rsid w:val="0051339E"/>
    <w:rsid w:val="005134B0"/>
    <w:rsid w:val="005140EA"/>
    <w:rsid w:val="005149DB"/>
    <w:rsid w:val="00515081"/>
    <w:rsid w:val="00516052"/>
    <w:rsid w:val="005166B2"/>
    <w:rsid w:val="00516FE5"/>
    <w:rsid w:val="0051715E"/>
    <w:rsid w:val="0051789E"/>
    <w:rsid w:val="0052043A"/>
    <w:rsid w:val="00521356"/>
    <w:rsid w:val="005213A9"/>
    <w:rsid w:val="005219EF"/>
    <w:rsid w:val="00521A81"/>
    <w:rsid w:val="00521BDB"/>
    <w:rsid w:val="0052225D"/>
    <w:rsid w:val="00522B4A"/>
    <w:rsid w:val="00522B78"/>
    <w:rsid w:val="00523709"/>
    <w:rsid w:val="00523AD4"/>
    <w:rsid w:val="0052479C"/>
    <w:rsid w:val="005251EC"/>
    <w:rsid w:val="00525767"/>
    <w:rsid w:val="005257BE"/>
    <w:rsid w:val="00525CD7"/>
    <w:rsid w:val="00525D48"/>
    <w:rsid w:val="005261A3"/>
    <w:rsid w:val="0052744B"/>
    <w:rsid w:val="00531235"/>
    <w:rsid w:val="0053136B"/>
    <w:rsid w:val="00531B82"/>
    <w:rsid w:val="00531CE4"/>
    <w:rsid w:val="005320BA"/>
    <w:rsid w:val="005331B2"/>
    <w:rsid w:val="005337C2"/>
    <w:rsid w:val="00533DB8"/>
    <w:rsid w:val="00533EE6"/>
    <w:rsid w:val="0053452C"/>
    <w:rsid w:val="00534A79"/>
    <w:rsid w:val="00535005"/>
    <w:rsid w:val="00535EC5"/>
    <w:rsid w:val="005363D3"/>
    <w:rsid w:val="00536554"/>
    <w:rsid w:val="005369C2"/>
    <w:rsid w:val="00536E8C"/>
    <w:rsid w:val="00536F4D"/>
    <w:rsid w:val="0053716C"/>
    <w:rsid w:val="0053758A"/>
    <w:rsid w:val="0053764A"/>
    <w:rsid w:val="00537B68"/>
    <w:rsid w:val="005405E8"/>
    <w:rsid w:val="0054063D"/>
    <w:rsid w:val="005420ED"/>
    <w:rsid w:val="00542BEA"/>
    <w:rsid w:val="00542FB1"/>
    <w:rsid w:val="0054363B"/>
    <w:rsid w:val="005446F8"/>
    <w:rsid w:val="00544AF9"/>
    <w:rsid w:val="00544D1B"/>
    <w:rsid w:val="00544F77"/>
    <w:rsid w:val="00545208"/>
    <w:rsid w:val="00545C35"/>
    <w:rsid w:val="00546060"/>
    <w:rsid w:val="00546C2D"/>
    <w:rsid w:val="00546C74"/>
    <w:rsid w:val="00546CAB"/>
    <w:rsid w:val="00547153"/>
    <w:rsid w:val="00547224"/>
    <w:rsid w:val="005473A9"/>
    <w:rsid w:val="00547598"/>
    <w:rsid w:val="0055040E"/>
    <w:rsid w:val="005509D9"/>
    <w:rsid w:val="005515A6"/>
    <w:rsid w:val="0055166C"/>
    <w:rsid w:val="005518E3"/>
    <w:rsid w:val="00551C73"/>
    <w:rsid w:val="00552B7D"/>
    <w:rsid w:val="00552BE9"/>
    <w:rsid w:val="00552D9D"/>
    <w:rsid w:val="00553244"/>
    <w:rsid w:val="00553C7E"/>
    <w:rsid w:val="00553F55"/>
    <w:rsid w:val="005540CB"/>
    <w:rsid w:val="00554719"/>
    <w:rsid w:val="005547C2"/>
    <w:rsid w:val="00554B2F"/>
    <w:rsid w:val="00554C6B"/>
    <w:rsid w:val="00554D91"/>
    <w:rsid w:val="00554DE5"/>
    <w:rsid w:val="00555185"/>
    <w:rsid w:val="0055567A"/>
    <w:rsid w:val="00555A72"/>
    <w:rsid w:val="00556564"/>
    <w:rsid w:val="005567FA"/>
    <w:rsid w:val="00556ADD"/>
    <w:rsid w:val="0055749A"/>
    <w:rsid w:val="00560300"/>
    <w:rsid w:val="00561BA5"/>
    <w:rsid w:val="00561F3A"/>
    <w:rsid w:val="005622CC"/>
    <w:rsid w:val="0056274D"/>
    <w:rsid w:val="00562ADD"/>
    <w:rsid w:val="00562C39"/>
    <w:rsid w:val="0056326E"/>
    <w:rsid w:val="0056357A"/>
    <w:rsid w:val="005635D8"/>
    <w:rsid w:val="00563B30"/>
    <w:rsid w:val="00563C22"/>
    <w:rsid w:val="00564148"/>
    <w:rsid w:val="005647AD"/>
    <w:rsid w:val="0056494E"/>
    <w:rsid w:val="005655CE"/>
    <w:rsid w:val="00565DF2"/>
    <w:rsid w:val="00566207"/>
    <w:rsid w:val="00566286"/>
    <w:rsid w:val="005668C2"/>
    <w:rsid w:val="00566C3C"/>
    <w:rsid w:val="00566F05"/>
    <w:rsid w:val="005677B3"/>
    <w:rsid w:val="0056794A"/>
    <w:rsid w:val="00567A4F"/>
    <w:rsid w:val="00567DBB"/>
    <w:rsid w:val="005704A4"/>
    <w:rsid w:val="00570535"/>
    <w:rsid w:val="0057064B"/>
    <w:rsid w:val="00570E24"/>
    <w:rsid w:val="00570FF0"/>
    <w:rsid w:val="00571B17"/>
    <w:rsid w:val="00571C8A"/>
    <w:rsid w:val="00571FA3"/>
    <w:rsid w:val="0057233F"/>
    <w:rsid w:val="00572462"/>
    <w:rsid w:val="00572AD8"/>
    <w:rsid w:val="00572ED2"/>
    <w:rsid w:val="00573253"/>
    <w:rsid w:val="005735BA"/>
    <w:rsid w:val="005740B3"/>
    <w:rsid w:val="005741E0"/>
    <w:rsid w:val="00574454"/>
    <w:rsid w:val="005744D3"/>
    <w:rsid w:val="0057478C"/>
    <w:rsid w:val="00575862"/>
    <w:rsid w:val="00576EB9"/>
    <w:rsid w:val="00577065"/>
    <w:rsid w:val="00577099"/>
    <w:rsid w:val="005775F0"/>
    <w:rsid w:val="00577C3F"/>
    <w:rsid w:val="0058004D"/>
    <w:rsid w:val="00580A7B"/>
    <w:rsid w:val="00580BC4"/>
    <w:rsid w:val="00581118"/>
    <w:rsid w:val="005816D8"/>
    <w:rsid w:val="00581DDD"/>
    <w:rsid w:val="00582020"/>
    <w:rsid w:val="00582947"/>
    <w:rsid w:val="005840D4"/>
    <w:rsid w:val="005841E2"/>
    <w:rsid w:val="00585379"/>
    <w:rsid w:val="0058574F"/>
    <w:rsid w:val="0058587E"/>
    <w:rsid w:val="00586CE3"/>
    <w:rsid w:val="00587A01"/>
    <w:rsid w:val="00590051"/>
    <w:rsid w:val="00590295"/>
    <w:rsid w:val="00590601"/>
    <w:rsid w:val="00590CF5"/>
    <w:rsid w:val="00590E57"/>
    <w:rsid w:val="00590F1F"/>
    <w:rsid w:val="0059116C"/>
    <w:rsid w:val="0059257A"/>
    <w:rsid w:val="005934A9"/>
    <w:rsid w:val="0059368A"/>
    <w:rsid w:val="0059545A"/>
    <w:rsid w:val="00595D8A"/>
    <w:rsid w:val="00596280"/>
    <w:rsid w:val="00596530"/>
    <w:rsid w:val="005977FE"/>
    <w:rsid w:val="005A0413"/>
    <w:rsid w:val="005A083C"/>
    <w:rsid w:val="005A0920"/>
    <w:rsid w:val="005A0943"/>
    <w:rsid w:val="005A0ABE"/>
    <w:rsid w:val="005A2155"/>
    <w:rsid w:val="005A2514"/>
    <w:rsid w:val="005A3A42"/>
    <w:rsid w:val="005A42AA"/>
    <w:rsid w:val="005A4CC4"/>
    <w:rsid w:val="005A5B55"/>
    <w:rsid w:val="005A5DD3"/>
    <w:rsid w:val="005A6820"/>
    <w:rsid w:val="005A6A6C"/>
    <w:rsid w:val="005A6AC0"/>
    <w:rsid w:val="005A6AC7"/>
    <w:rsid w:val="005A79E8"/>
    <w:rsid w:val="005B0AAA"/>
    <w:rsid w:val="005B0CC9"/>
    <w:rsid w:val="005B0E10"/>
    <w:rsid w:val="005B127D"/>
    <w:rsid w:val="005B1305"/>
    <w:rsid w:val="005B146F"/>
    <w:rsid w:val="005B155C"/>
    <w:rsid w:val="005B285A"/>
    <w:rsid w:val="005B2BE1"/>
    <w:rsid w:val="005B2DC3"/>
    <w:rsid w:val="005B378F"/>
    <w:rsid w:val="005B3B4C"/>
    <w:rsid w:val="005B4D32"/>
    <w:rsid w:val="005B50EE"/>
    <w:rsid w:val="005B55CF"/>
    <w:rsid w:val="005B569D"/>
    <w:rsid w:val="005B5F2C"/>
    <w:rsid w:val="005B634E"/>
    <w:rsid w:val="005B6C51"/>
    <w:rsid w:val="005B6C56"/>
    <w:rsid w:val="005B6CED"/>
    <w:rsid w:val="005B7016"/>
    <w:rsid w:val="005B774C"/>
    <w:rsid w:val="005B795E"/>
    <w:rsid w:val="005B7DFD"/>
    <w:rsid w:val="005B7FDD"/>
    <w:rsid w:val="005C02FE"/>
    <w:rsid w:val="005C0479"/>
    <w:rsid w:val="005C19B0"/>
    <w:rsid w:val="005C1A3D"/>
    <w:rsid w:val="005C1CD6"/>
    <w:rsid w:val="005C295B"/>
    <w:rsid w:val="005C38DB"/>
    <w:rsid w:val="005C3AEC"/>
    <w:rsid w:val="005C3B3C"/>
    <w:rsid w:val="005C3D6D"/>
    <w:rsid w:val="005C3EDC"/>
    <w:rsid w:val="005C40BA"/>
    <w:rsid w:val="005C4168"/>
    <w:rsid w:val="005C47C8"/>
    <w:rsid w:val="005C547B"/>
    <w:rsid w:val="005C6005"/>
    <w:rsid w:val="005C7311"/>
    <w:rsid w:val="005C7468"/>
    <w:rsid w:val="005C74EE"/>
    <w:rsid w:val="005D02A8"/>
    <w:rsid w:val="005D04FD"/>
    <w:rsid w:val="005D09B6"/>
    <w:rsid w:val="005D0F41"/>
    <w:rsid w:val="005D2B7C"/>
    <w:rsid w:val="005D389B"/>
    <w:rsid w:val="005D3C4A"/>
    <w:rsid w:val="005D544B"/>
    <w:rsid w:val="005D5566"/>
    <w:rsid w:val="005D5568"/>
    <w:rsid w:val="005D55FF"/>
    <w:rsid w:val="005D5799"/>
    <w:rsid w:val="005D57BD"/>
    <w:rsid w:val="005D5E5D"/>
    <w:rsid w:val="005D5EAC"/>
    <w:rsid w:val="005D64B6"/>
    <w:rsid w:val="005D6897"/>
    <w:rsid w:val="005D70C7"/>
    <w:rsid w:val="005D71C3"/>
    <w:rsid w:val="005D75D8"/>
    <w:rsid w:val="005D78F0"/>
    <w:rsid w:val="005E05ED"/>
    <w:rsid w:val="005E0E03"/>
    <w:rsid w:val="005E0E55"/>
    <w:rsid w:val="005E116A"/>
    <w:rsid w:val="005E184F"/>
    <w:rsid w:val="005E26A7"/>
    <w:rsid w:val="005E275A"/>
    <w:rsid w:val="005E2BC1"/>
    <w:rsid w:val="005E3044"/>
    <w:rsid w:val="005E329B"/>
    <w:rsid w:val="005E489D"/>
    <w:rsid w:val="005E52A0"/>
    <w:rsid w:val="005E57D7"/>
    <w:rsid w:val="005E5D53"/>
    <w:rsid w:val="005E61F6"/>
    <w:rsid w:val="005E668A"/>
    <w:rsid w:val="005E6869"/>
    <w:rsid w:val="005E68A2"/>
    <w:rsid w:val="005E6BE4"/>
    <w:rsid w:val="005E7317"/>
    <w:rsid w:val="005E7DC9"/>
    <w:rsid w:val="005F0077"/>
    <w:rsid w:val="005F129C"/>
    <w:rsid w:val="005F136A"/>
    <w:rsid w:val="005F177A"/>
    <w:rsid w:val="005F1F3A"/>
    <w:rsid w:val="005F26F6"/>
    <w:rsid w:val="005F2F68"/>
    <w:rsid w:val="005F398F"/>
    <w:rsid w:val="005F3CEA"/>
    <w:rsid w:val="005F40B7"/>
    <w:rsid w:val="005F5122"/>
    <w:rsid w:val="005F5229"/>
    <w:rsid w:val="005F6177"/>
    <w:rsid w:val="005F61A4"/>
    <w:rsid w:val="005F686B"/>
    <w:rsid w:val="005F6A9F"/>
    <w:rsid w:val="005F6D49"/>
    <w:rsid w:val="005F78C6"/>
    <w:rsid w:val="005F79FB"/>
    <w:rsid w:val="005F7EE0"/>
    <w:rsid w:val="0060019B"/>
    <w:rsid w:val="00600673"/>
    <w:rsid w:val="00600DAF"/>
    <w:rsid w:val="00601050"/>
    <w:rsid w:val="006011D2"/>
    <w:rsid w:val="006020E4"/>
    <w:rsid w:val="00602261"/>
    <w:rsid w:val="0060245A"/>
    <w:rsid w:val="006030CB"/>
    <w:rsid w:val="0060361A"/>
    <w:rsid w:val="00603A79"/>
    <w:rsid w:val="00603E66"/>
    <w:rsid w:val="006043B1"/>
    <w:rsid w:val="00604548"/>
    <w:rsid w:val="00604C13"/>
    <w:rsid w:val="00605623"/>
    <w:rsid w:val="00605C46"/>
    <w:rsid w:val="00605C6C"/>
    <w:rsid w:val="00605F7C"/>
    <w:rsid w:val="0060603D"/>
    <w:rsid w:val="0060671B"/>
    <w:rsid w:val="006068A7"/>
    <w:rsid w:val="00606BB3"/>
    <w:rsid w:val="00607C88"/>
    <w:rsid w:val="00607F9D"/>
    <w:rsid w:val="0061088A"/>
    <w:rsid w:val="00610C4C"/>
    <w:rsid w:val="00611745"/>
    <w:rsid w:val="00611B23"/>
    <w:rsid w:val="00612180"/>
    <w:rsid w:val="00613565"/>
    <w:rsid w:val="00613CB9"/>
    <w:rsid w:val="00614665"/>
    <w:rsid w:val="00614E47"/>
    <w:rsid w:val="006161D9"/>
    <w:rsid w:val="006167A2"/>
    <w:rsid w:val="006169C6"/>
    <w:rsid w:val="00617993"/>
    <w:rsid w:val="006179A3"/>
    <w:rsid w:val="00620354"/>
    <w:rsid w:val="006206CC"/>
    <w:rsid w:val="00620C45"/>
    <w:rsid w:val="00620FCC"/>
    <w:rsid w:val="0062141A"/>
    <w:rsid w:val="00621828"/>
    <w:rsid w:val="00621988"/>
    <w:rsid w:val="006219B6"/>
    <w:rsid w:val="00621BD4"/>
    <w:rsid w:val="0062289E"/>
    <w:rsid w:val="0062299D"/>
    <w:rsid w:val="00622AAD"/>
    <w:rsid w:val="00622DD1"/>
    <w:rsid w:val="006231AA"/>
    <w:rsid w:val="006238BB"/>
    <w:rsid w:val="0062392A"/>
    <w:rsid w:val="00623B08"/>
    <w:rsid w:val="0062447E"/>
    <w:rsid w:val="0062535A"/>
    <w:rsid w:val="00625923"/>
    <w:rsid w:val="00626015"/>
    <w:rsid w:val="006262AD"/>
    <w:rsid w:val="00626B1A"/>
    <w:rsid w:val="00626DC2"/>
    <w:rsid w:val="00626FAC"/>
    <w:rsid w:val="0062734E"/>
    <w:rsid w:val="00627CA7"/>
    <w:rsid w:val="00630285"/>
    <w:rsid w:val="006304EA"/>
    <w:rsid w:val="00630752"/>
    <w:rsid w:val="00631050"/>
    <w:rsid w:val="00632649"/>
    <w:rsid w:val="0063268C"/>
    <w:rsid w:val="00632991"/>
    <w:rsid w:val="00633718"/>
    <w:rsid w:val="00633C98"/>
    <w:rsid w:val="006345E2"/>
    <w:rsid w:val="00635C5E"/>
    <w:rsid w:val="006365B0"/>
    <w:rsid w:val="0063690A"/>
    <w:rsid w:val="00637E51"/>
    <w:rsid w:val="0064005D"/>
    <w:rsid w:val="006402F2"/>
    <w:rsid w:val="00640738"/>
    <w:rsid w:val="00640852"/>
    <w:rsid w:val="00640930"/>
    <w:rsid w:val="00641282"/>
    <w:rsid w:val="006413ED"/>
    <w:rsid w:val="00641827"/>
    <w:rsid w:val="00641E4B"/>
    <w:rsid w:val="00641F6D"/>
    <w:rsid w:val="00642917"/>
    <w:rsid w:val="00643057"/>
    <w:rsid w:val="0064356C"/>
    <w:rsid w:val="006439E7"/>
    <w:rsid w:val="00643A69"/>
    <w:rsid w:val="00644280"/>
    <w:rsid w:val="0064449F"/>
    <w:rsid w:val="00644FB9"/>
    <w:rsid w:val="006452F4"/>
    <w:rsid w:val="00645CB8"/>
    <w:rsid w:val="006463D1"/>
    <w:rsid w:val="006468A9"/>
    <w:rsid w:val="00646DF5"/>
    <w:rsid w:val="006476BB"/>
    <w:rsid w:val="0064779A"/>
    <w:rsid w:val="006501C4"/>
    <w:rsid w:val="006504AE"/>
    <w:rsid w:val="006506C1"/>
    <w:rsid w:val="00650805"/>
    <w:rsid w:val="00651F92"/>
    <w:rsid w:val="00652233"/>
    <w:rsid w:val="00652858"/>
    <w:rsid w:val="006528E7"/>
    <w:rsid w:val="006529A7"/>
    <w:rsid w:val="00652DF8"/>
    <w:rsid w:val="006530FA"/>
    <w:rsid w:val="006540D3"/>
    <w:rsid w:val="00654409"/>
    <w:rsid w:val="0065453F"/>
    <w:rsid w:val="00654993"/>
    <w:rsid w:val="00654EDD"/>
    <w:rsid w:val="00656055"/>
    <w:rsid w:val="00656065"/>
    <w:rsid w:val="0065660D"/>
    <w:rsid w:val="00656926"/>
    <w:rsid w:val="00656BA8"/>
    <w:rsid w:val="00657C2D"/>
    <w:rsid w:val="00660982"/>
    <w:rsid w:val="0066103A"/>
    <w:rsid w:val="00661072"/>
    <w:rsid w:val="00661CFD"/>
    <w:rsid w:val="00661FD3"/>
    <w:rsid w:val="00662259"/>
    <w:rsid w:val="00663173"/>
    <w:rsid w:val="0066362D"/>
    <w:rsid w:val="00663CD4"/>
    <w:rsid w:val="00663DE8"/>
    <w:rsid w:val="0066410A"/>
    <w:rsid w:val="0066411C"/>
    <w:rsid w:val="00664225"/>
    <w:rsid w:val="00664507"/>
    <w:rsid w:val="006646DD"/>
    <w:rsid w:val="006647AC"/>
    <w:rsid w:val="00665A94"/>
    <w:rsid w:val="006662EB"/>
    <w:rsid w:val="00666572"/>
    <w:rsid w:val="00666594"/>
    <w:rsid w:val="00666A15"/>
    <w:rsid w:val="00667237"/>
    <w:rsid w:val="006672C5"/>
    <w:rsid w:val="00667F80"/>
    <w:rsid w:val="0067083F"/>
    <w:rsid w:val="00670C09"/>
    <w:rsid w:val="006717F4"/>
    <w:rsid w:val="00671A29"/>
    <w:rsid w:val="0067224B"/>
    <w:rsid w:val="00672872"/>
    <w:rsid w:val="00672FD6"/>
    <w:rsid w:val="00673A62"/>
    <w:rsid w:val="00673FFD"/>
    <w:rsid w:val="006743BF"/>
    <w:rsid w:val="00674407"/>
    <w:rsid w:val="006744BA"/>
    <w:rsid w:val="006751FA"/>
    <w:rsid w:val="00675951"/>
    <w:rsid w:val="006759E0"/>
    <w:rsid w:val="00676485"/>
    <w:rsid w:val="00676B28"/>
    <w:rsid w:val="00676D53"/>
    <w:rsid w:val="00676EDA"/>
    <w:rsid w:val="0067769E"/>
    <w:rsid w:val="006776DD"/>
    <w:rsid w:val="0068001D"/>
    <w:rsid w:val="00680C58"/>
    <w:rsid w:val="00681AF3"/>
    <w:rsid w:val="006822B7"/>
    <w:rsid w:val="00683F39"/>
    <w:rsid w:val="00684308"/>
    <w:rsid w:val="00684CE3"/>
    <w:rsid w:val="00684D83"/>
    <w:rsid w:val="00685B2A"/>
    <w:rsid w:val="00685CAC"/>
    <w:rsid w:val="0068601B"/>
    <w:rsid w:val="0068653F"/>
    <w:rsid w:val="0068707E"/>
    <w:rsid w:val="00687174"/>
    <w:rsid w:val="006878FF"/>
    <w:rsid w:val="00687ABD"/>
    <w:rsid w:val="00687B2A"/>
    <w:rsid w:val="00690674"/>
    <w:rsid w:val="006911BC"/>
    <w:rsid w:val="0069165E"/>
    <w:rsid w:val="00691C73"/>
    <w:rsid w:val="0069216D"/>
    <w:rsid w:val="006926B4"/>
    <w:rsid w:val="00694339"/>
    <w:rsid w:val="00694E2F"/>
    <w:rsid w:val="00694F3C"/>
    <w:rsid w:val="006953FF"/>
    <w:rsid w:val="00695401"/>
    <w:rsid w:val="0069590A"/>
    <w:rsid w:val="00696429"/>
    <w:rsid w:val="00696D04"/>
    <w:rsid w:val="00696FA1"/>
    <w:rsid w:val="00697328"/>
    <w:rsid w:val="006975B4"/>
    <w:rsid w:val="006A0013"/>
    <w:rsid w:val="006A031E"/>
    <w:rsid w:val="006A070A"/>
    <w:rsid w:val="006A094B"/>
    <w:rsid w:val="006A0C26"/>
    <w:rsid w:val="006A0C6A"/>
    <w:rsid w:val="006A0DBA"/>
    <w:rsid w:val="006A0E42"/>
    <w:rsid w:val="006A1962"/>
    <w:rsid w:val="006A2366"/>
    <w:rsid w:val="006A31D7"/>
    <w:rsid w:val="006A360B"/>
    <w:rsid w:val="006A3AE9"/>
    <w:rsid w:val="006A40E5"/>
    <w:rsid w:val="006A457D"/>
    <w:rsid w:val="006A4977"/>
    <w:rsid w:val="006A4AAC"/>
    <w:rsid w:val="006A5C5D"/>
    <w:rsid w:val="006A6003"/>
    <w:rsid w:val="006A76B8"/>
    <w:rsid w:val="006A7944"/>
    <w:rsid w:val="006A7E2B"/>
    <w:rsid w:val="006A7F27"/>
    <w:rsid w:val="006B03A5"/>
    <w:rsid w:val="006B052F"/>
    <w:rsid w:val="006B075A"/>
    <w:rsid w:val="006B075C"/>
    <w:rsid w:val="006B07A0"/>
    <w:rsid w:val="006B0C75"/>
    <w:rsid w:val="006B0CD6"/>
    <w:rsid w:val="006B166C"/>
    <w:rsid w:val="006B2123"/>
    <w:rsid w:val="006B26D4"/>
    <w:rsid w:val="006B2927"/>
    <w:rsid w:val="006B2C39"/>
    <w:rsid w:val="006B39A1"/>
    <w:rsid w:val="006B4422"/>
    <w:rsid w:val="006B4D4E"/>
    <w:rsid w:val="006B4D6D"/>
    <w:rsid w:val="006B516B"/>
    <w:rsid w:val="006B5BF5"/>
    <w:rsid w:val="006B5C2F"/>
    <w:rsid w:val="006B6046"/>
    <w:rsid w:val="006B65CD"/>
    <w:rsid w:val="006B6B98"/>
    <w:rsid w:val="006B7745"/>
    <w:rsid w:val="006C014C"/>
    <w:rsid w:val="006C0364"/>
    <w:rsid w:val="006C0929"/>
    <w:rsid w:val="006C0C78"/>
    <w:rsid w:val="006C0C7B"/>
    <w:rsid w:val="006C0E06"/>
    <w:rsid w:val="006C1373"/>
    <w:rsid w:val="006C154B"/>
    <w:rsid w:val="006C1D4B"/>
    <w:rsid w:val="006C2E37"/>
    <w:rsid w:val="006C357B"/>
    <w:rsid w:val="006C4693"/>
    <w:rsid w:val="006C4C6D"/>
    <w:rsid w:val="006C59DD"/>
    <w:rsid w:val="006C641A"/>
    <w:rsid w:val="006C6942"/>
    <w:rsid w:val="006C743D"/>
    <w:rsid w:val="006D01E5"/>
    <w:rsid w:val="006D041B"/>
    <w:rsid w:val="006D055E"/>
    <w:rsid w:val="006D134A"/>
    <w:rsid w:val="006D1D2D"/>
    <w:rsid w:val="006D24E9"/>
    <w:rsid w:val="006D254D"/>
    <w:rsid w:val="006D266E"/>
    <w:rsid w:val="006D336F"/>
    <w:rsid w:val="006D4700"/>
    <w:rsid w:val="006D4A57"/>
    <w:rsid w:val="006D4FF7"/>
    <w:rsid w:val="006D5620"/>
    <w:rsid w:val="006D6BC6"/>
    <w:rsid w:val="006D7679"/>
    <w:rsid w:val="006D77A5"/>
    <w:rsid w:val="006E0A4B"/>
    <w:rsid w:val="006E0D31"/>
    <w:rsid w:val="006E0DC3"/>
    <w:rsid w:val="006E0E0F"/>
    <w:rsid w:val="006E1578"/>
    <w:rsid w:val="006E15BD"/>
    <w:rsid w:val="006E1AB5"/>
    <w:rsid w:val="006E1C38"/>
    <w:rsid w:val="006E1D59"/>
    <w:rsid w:val="006E1E62"/>
    <w:rsid w:val="006E20EE"/>
    <w:rsid w:val="006E2C39"/>
    <w:rsid w:val="006E31BC"/>
    <w:rsid w:val="006E3CA3"/>
    <w:rsid w:val="006E462F"/>
    <w:rsid w:val="006E4CE3"/>
    <w:rsid w:val="006E5195"/>
    <w:rsid w:val="006E5312"/>
    <w:rsid w:val="006E5480"/>
    <w:rsid w:val="006E6FC5"/>
    <w:rsid w:val="006F058D"/>
    <w:rsid w:val="006F06C8"/>
    <w:rsid w:val="006F11EF"/>
    <w:rsid w:val="006F12D4"/>
    <w:rsid w:val="006F1AAC"/>
    <w:rsid w:val="006F2C33"/>
    <w:rsid w:val="006F4D50"/>
    <w:rsid w:val="006F5735"/>
    <w:rsid w:val="006F5900"/>
    <w:rsid w:val="006F5ACD"/>
    <w:rsid w:val="006F5BDC"/>
    <w:rsid w:val="006F665E"/>
    <w:rsid w:val="006F7023"/>
    <w:rsid w:val="006F73BF"/>
    <w:rsid w:val="006F7403"/>
    <w:rsid w:val="006F7D43"/>
    <w:rsid w:val="00700598"/>
    <w:rsid w:val="00700848"/>
    <w:rsid w:val="00701A5E"/>
    <w:rsid w:val="007020FD"/>
    <w:rsid w:val="0070214F"/>
    <w:rsid w:val="0070254F"/>
    <w:rsid w:val="00703577"/>
    <w:rsid w:val="007039B6"/>
    <w:rsid w:val="00704663"/>
    <w:rsid w:val="00704AEA"/>
    <w:rsid w:val="00704BFA"/>
    <w:rsid w:val="00704DBB"/>
    <w:rsid w:val="00704FAF"/>
    <w:rsid w:val="007065E8"/>
    <w:rsid w:val="00706B10"/>
    <w:rsid w:val="007076A9"/>
    <w:rsid w:val="00710231"/>
    <w:rsid w:val="007113BC"/>
    <w:rsid w:val="00712086"/>
    <w:rsid w:val="00712E22"/>
    <w:rsid w:val="00713931"/>
    <w:rsid w:val="00713C98"/>
    <w:rsid w:val="00714340"/>
    <w:rsid w:val="00714786"/>
    <w:rsid w:val="007147DB"/>
    <w:rsid w:val="007154DA"/>
    <w:rsid w:val="00715581"/>
    <w:rsid w:val="007156CE"/>
    <w:rsid w:val="007157F6"/>
    <w:rsid w:val="00715C65"/>
    <w:rsid w:val="00715E6A"/>
    <w:rsid w:val="0071627B"/>
    <w:rsid w:val="00716782"/>
    <w:rsid w:val="00716BC1"/>
    <w:rsid w:val="00717510"/>
    <w:rsid w:val="0071773F"/>
    <w:rsid w:val="00720993"/>
    <w:rsid w:val="00720AA0"/>
    <w:rsid w:val="007219F7"/>
    <w:rsid w:val="00721AEA"/>
    <w:rsid w:val="007223BF"/>
    <w:rsid w:val="00722569"/>
    <w:rsid w:val="00723236"/>
    <w:rsid w:val="007233DB"/>
    <w:rsid w:val="00723635"/>
    <w:rsid w:val="00724EED"/>
    <w:rsid w:val="007250CE"/>
    <w:rsid w:val="007261BB"/>
    <w:rsid w:val="00726CEA"/>
    <w:rsid w:val="00726CEF"/>
    <w:rsid w:val="007272D3"/>
    <w:rsid w:val="007307C3"/>
    <w:rsid w:val="00731DB0"/>
    <w:rsid w:val="007321C8"/>
    <w:rsid w:val="00732228"/>
    <w:rsid w:val="00732E39"/>
    <w:rsid w:val="0073311A"/>
    <w:rsid w:val="007331A5"/>
    <w:rsid w:val="007333C2"/>
    <w:rsid w:val="007336F7"/>
    <w:rsid w:val="007338C2"/>
    <w:rsid w:val="0073434C"/>
    <w:rsid w:val="007347F4"/>
    <w:rsid w:val="00734FA6"/>
    <w:rsid w:val="007358CF"/>
    <w:rsid w:val="00735D36"/>
    <w:rsid w:val="00736297"/>
    <w:rsid w:val="007366A8"/>
    <w:rsid w:val="0073691A"/>
    <w:rsid w:val="0073697D"/>
    <w:rsid w:val="00736E63"/>
    <w:rsid w:val="007370B1"/>
    <w:rsid w:val="007374EF"/>
    <w:rsid w:val="0073769A"/>
    <w:rsid w:val="00737714"/>
    <w:rsid w:val="00737759"/>
    <w:rsid w:val="00737773"/>
    <w:rsid w:val="00740280"/>
    <w:rsid w:val="007405BC"/>
    <w:rsid w:val="00740A32"/>
    <w:rsid w:val="00740E83"/>
    <w:rsid w:val="007417C4"/>
    <w:rsid w:val="00741C4A"/>
    <w:rsid w:val="00742710"/>
    <w:rsid w:val="00742E4B"/>
    <w:rsid w:val="00742E9F"/>
    <w:rsid w:val="00743346"/>
    <w:rsid w:val="00743349"/>
    <w:rsid w:val="00743B43"/>
    <w:rsid w:val="00743BB5"/>
    <w:rsid w:val="007440B4"/>
    <w:rsid w:val="007441B7"/>
    <w:rsid w:val="00745307"/>
    <w:rsid w:val="007455F0"/>
    <w:rsid w:val="0074571C"/>
    <w:rsid w:val="00746664"/>
    <w:rsid w:val="00746A9B"/>
    <w:rsid w:val="00750363"/>
    <w:rsid w:val="007504A7"/>
    <w:rsid w:val="007507CE"/>
    <w:rsid w:val="007508EB"/>
    <w:rsid w:val="00751A9C"/>
    <w:rsid w:val="00751F6A"/>
    <w:rsid w:val="00752099"/>
    <w:rsid w:val="0075216A"/>
    <w:rsid w:val="00752332"/>
    <w:rsid w:val="007523D1"/>
    <w:rsid w:val="007525A4"/>
    <w:rsid w:val="00752637"/>
    <w:rsid w:val="007530C3"/>
    <w:rsid w:val="007536DF"/>
    <w:rsid w:val="0075381C"/>
    <w:rsid w:val="00753DE4"/>
    <w:rsid w:val="007548D8"/>
    <w:rsid w:val="00754AD9"/>
    <w:rsid w:val="00754EEB"/>
    <w:rsid w:val="007552A5"/>
    <w:rsid w:val="007553E9"/>
    <w:rsid w:val="007554ED"/>
    <w:rsid w:val="007555B7"/>
    <w:rsid w:val="007555CA"/>
    <w:rsid w:val="007557E9"/>
    <w:rsid w:val="00755E40"/>
    <w:rsid w:val="00756FF6"/>
    <w:rsid w:val="00757745"/>
    <w:rsid w:val="00760452"/>
    <w:rsid w:val="0076127E"/>
    <w:rsid w:val="00761B65"/>
    <w:rsid w:val="0076255A"/>
    <w:rsid w:val="007626C0"/>
    <w:rsid w:val="007639CE"/>
    <w:rsid w:val="00764613"/>
    <w:rsid w:val="00764969"/>
    <w:rsid w:val="00764EFC"/>
    <w:rsid w:val="00765ABD"/>
    <w:rsid w:val="00765ABF"/>
    <w:rsid w:val="00765CD2"/>
    <w:rsid w:val="00766E15"/>
    <w:rsid w:val="0077038C"/>
    <w:rsid w:val="00770537"/>
    <w:rsid w:val="007707C1"/>
    <w:rsid w:val="00770846"/>
    <w:rsid w:val="00770A27"/>
    <w:rsid w:val="00770ED8"/>
    <w:rsid w:val="00770FC0"/>
    <w:rsid w:val="007713C0"/>
    <w:rsid w:val="00771982"/>
    <w:rsid w:val="00772020"/>
    <w:rsid w:val="00772A48"/>
    <w:rsid w:val="00772F04"/>
    <w:rsid w:val="007735A7"/>
    <w:rsid w:val="007737AE"/>
    <w:rsid w:val="00773A3C"/>
    <w:rsid w:val="007744CF"/>
    <w:rsid w:val="00774A5B"/>
    <w:rsid w:val="00774D11"/>
    <w:rsid w:val="0077527D"/>
    <w:rsid w:val="00775CC6"/>
    <w:rsid w:val="00777318"/>
    <w:rsid w:val="00777D98"/>
    <w:rsid w:val="00777EC1"/>
    <w:rsid w:val="0078019C"/>
    <w:rsid w:val="00780E4C"/>
    <w:rsid w:val="0078116B"/>
    <w:rsid w:val="0078134E"/>
    <w:rsid w:val="0078268E"/>
    <w:rsid w:val="007826C4"/>
    <w:rsid w:val="00782E1A"/>
    <w:rsid w:val="00783420"/>
    <w:rsid w:val="007838FF"/>
    <w:rsid w:val="00783A97"/>
    <w:rsid w:val="00783CD5"/>
    <w:rsid w:val="00785861"/>
    <w:rsid w:val="00785924"/>
    <w:rsid w:val="00785ADD"/>
    <w:rsid w:val="00786451"/>
    <w:rsid w:val="00786CDA"/>
    <w:rsid w:val="007877DC"/>
    <w:rsid w:val="00787B4A"/>
    <w:rsid w:val="00790944"/>
    <w:rsid w:val="00790C9C"/>
    <w:rsid w:val="00791960"/>
    <w:rsid w:val="00791BA5"/>
    <w:rsid w:val="00791FDB"/>
    <w:rsid w:val="00792977"/>
    <w:rsid w:val="00793BB1"/>
    <w:rsid w:val="00794436"/>
    <w:rsid w:val="007947B5"/>
    <w:rsid w:val="00794D1D"/>
    <w:rsid w:val="0079578B"/>
    <w:rsid w:val="00795A50"/>
    <w:rsid w:val="00795D35"/>
    <w:rsid w:val="00795F94"/>
    <w:rsid w:val="00796E7D"/>
    <w:rsid w:val="007970EE"/>
    <w:rsid w:val="0079773D"/>
    <w:rsid w:val="00797D62"/>
    <w:rsid w:val="00797EB5"/>
    <w:rsid w:val="007A06DE"/>
    <w:rsid w:val="007A0CCA"/>
    <w:rsid w:val="007A1F90"/>
    <w:rsid w:val="007A24ED"/>
    <w:rsid w:val="007A2DA6"/>
    <w:rsid w:val="007A3229"/>
    <w:rsid w:val="007A3694"/>
    <w:rsid w:val="007A3993"/>
    <w:rsid w:val="007A3C8E"/>
    <w:rsid w:val="007A4136"/>
    <w:rsid w:val="007A426A"/>
    <w:rsid w:val="007A4711"/>
    <w:rsid w:val="007A4814"/>
    <w:rsid w:val="007A49C3"/>
    <w:rsid w:val="007A4D09"/>
    <w:rsid w:val="007A4EB9"/>
    <w:rsid w:val="007A537D"/>
    <w:rsid w:val="007A550D"/>
    <w:rsid w:val="007A5DD9"/>
    <w:rsid w:val="007A5E61"/>
    <w:rsid w:val="007A621D"/>
    <w:rsid w:val="007A68C7"/>
    <w:rsid w:val="007A6921"/>
    <w:rsid w:val="007A6BC3"/>
    <w:rsid w:val="007A7222"/>
    <w:rsid w:val="007A7524"/>
    <w:rsid w:val="007A787B"/>
    <w:rsid w:val="007A7C2D"/>
    <w:rsid w:val="007A7CC6"/>
    <w:rsid w:val="007B0418"/>
    <w:rsid w:val="007B1AE8"/>
    <w:rsid w:val="007B1D12"/>
    <w:rsid w:val="007B1FA7"/>
    <w:rsid w:val="007B2369"/>
    <w:rsid w:val="007B2C1A"/>
    <w:rsid w:val="007B3416"/>
    <w:rsid w:val="007B34B8"/>
    <w:rsid w:val="007B37FB"/>
    <w:rsid w:val="007B3987"/>
    <w:rsid w:val="007B3CDB"/>
    <w:rsid w:val="007B4206"/>
    <w:rsid w:val="007B4320"/>
    <w:rsid w:val="007B47F1"/>
    <w:rsid w:val="007B50A2"/>
    <w:rsid w:val="007B6409"/>
    <w:rsid w:val="007B67B0"/>
    <w:rsid w:val="007C02C2"/>
    <w:rsid w:val="007C04A4"/>
    <w:rsid w:val="007C06AF"/>
    <w:rsid w:val="007C1A7F"/>
    <w:rsid w:val="007C1EB1"/>
    <w:rsid w:val="007C2D07"/>
    <w:rsid w:val="007C31D0"/>
    <w:rsid w:val="007C3253"/>
    <w:rsid w:val="007C345C"/>
    <w:rsid w:val="007C381C"/>
    <w:rsid w:val="007C443E"/>
    <w:rsid w:val="007C47C2"/>
    <w:rsid w:val="007C48D1"/>
    <w:rsid w:val="007C4ACC"/>
    <w:rsid w:val="007C4C6D"/>
    <w:rsid w:val="007C51EA"/>
    <w:rsid w:val="007C5A31"/>
    <w:rsid w:val="007C5C66"/>
    <w:rsid w:val="007C5EA5"/>
    <w:rsid w:val="007C6FF3"/>
    <w:rsid w:val="007D0706"/>
    <w:rsid w:val="007D0BB2"/>
    <w:rsid w:val="007D0FFF"/>
    <w:rsid w:val="007D134A"/>
    <w:rsid w:val="007D1D33"/>
    <w:rsid w:val="007D2061"/>
    <w:rsid w:val="007D2184"/>
    <w:rsid w:val="007D23E1"/>
    <w:rsid w:val="007D2444"/>
    <w:rsid w:val="007D3428"/>
    <w:rsid w:val="007D355D"/>
    <w:rsid w:val="007D3E00"/>
    <w:rsid w:val="007D42E3"/>
    <w:rsid w:val="007D44AC"/>
    <w:rsid w:val="007D4743"/>
    <w:rsid w:val="007D4D4A"/>
    <w:rsid w:val="007D4DB7"/>
    <w:rsid w:val="007D5371"/>
    <w:rsid w:val="007D59A9"/>
    <w:rsid w:val="007D6A5D"/>
    <w:rsid w:val="007D7EAB"/>
    <w:rsid w:val="007E02CC"/>
    <w:rsid w:val="007E0709"/>
    <w:rsid w:val="007E0C8D"/>
    <w:rsid w:val="007E195B"/>
    <w:rsid w:val="007E20FE"/>
    <w:rsid w:val="007E2400"/>
    <w:rsid w:val="007E276F"/>
    <w:rsid w:val="007E2B86"/>
    <w:rsid w:val="007E2BC2"/>
    <w:rsid w:val="007E2FCE"/>
    <w:rsid w:val="007E3E0A"/>
    <w:rsid w:val="007E4145"/>
    <w:rsid w:val="007E49A3"/>
    <w:rsid w:val="007E4EAF"/>
    <w:rsid w:val="007E50E5"/>
    <w:rsid w:val="007E5FA9"/>
    <w:rsid w:val="007E6224"/>
    <w:rsid w:val="007E6CB0"/>
    <w:rsid w:val="007E6CF8"/>
    <w:rsid w:val="007E6E38"/>
    <w:rsid w:val="007E7356"/>
    <w:rsid w:val="007E75EF"/>
    <w:rsid w:val="007E7771"/>
    <w:rsid w:val="007E77F6"/>
    <w:rsid w:val="007F0036"/>
    <w:rsid w:val="007F0FB8"/>
    <w:rsid w:val="007F106E"/>
    <w:rsid w:val="007F1710"/>
    <w:rsid w:val="007F1B0A"/>
    <w:rsid w:val="007F1D3D"/>
    <w:rsid w:val="007F272C"/>
    <w:rsid w:val="007F2867"/>
    <w:rsid w:val="007F2D86"/>
    <w:rsid w:val="007F3642"/>
    <w:rsid w:val="007F39B0"/>
    <w:rsid w:val="007F39B3"/>
    <w:rsid w:val="007F4020"/>
    <w:rsid w:val="007F4253"/>
    <w:rsid w:val="007F521E"/>
    <w:rsid w:val="007F677C"/>
    <w:rsid w:val="007F6B45"/>
    <w:rsid w:val="007F6E54"/>
    <w:rsid w:val="007F6E64"/>
    <w:rsid w:val="007F6E6F"/>
    <w:rsid w:val="007F6F67"/>
    <w:rsid w:val="007F72CF"/>
    <w:rsid w:val="007F77A7"/>
    <w:rsid w:val="0080007A"/>
    <w:rsid w:val="0080051E"/>
    <w:rsid w:val="008012FB"/>
    <w:rsid w:val="00801CD5"/>
    <w:rsid w:val="00801CE1"/>
    <w:rsid w:val="00801DC9"/>
    <w:rsid w:val="008021B9"/>
    <w:rsid w:val="0080250A"/>
    <w:rsid w:val="00802967"/>
    <w:rsid w:val="00802E28"/>
    <w:rsid w:val="00803F71"/>
    <w:rsid w:val="00803F7B"/>
    <w:rsid w:val="00804563"/>
    <w:rsid w:val="00804966"/>
    <w:rsid w:val="008049F8"/>
    <w:rsid w:val="00804E8D"/>
    <w:rsid w:val="00805250"/>
    <w:rsid w:val="008053E3"/>
    <w:rsid w:val="00805DCD"/>
    <w:rsid w:val="00806481"/>
    <w:rsid w:val="00806F18"/>
    <w:rsid w:val="00806F40"/>
    <w:rsid w:val="008078C8"/>
    <w:rsid w:val="00807A53"/>
    <w:rsid w:val="00807DF2"/>
    <w:rsid w:val="00810984"/>
    <w:rsid w:val="008114B2"/>
    <w:rsid w:val="00811916"/>
    <w:rsid w:val="00811ECA"/>
    <w:rsid w:val="008123A1"/>
    <w:rsid w:val="00812467"/>
    <w:rsid w:val="00812637"/>
    <w:rsid w:val="00812670"/>
    <w:rsid w:val="00812C85"/>
    <w:rsid w:val="00813227"/>
    <w:rsid w:val="00813271"/>
    <w:rsid w:val="008133A4"/>
    <w:rsid w:val="00813620"/>
    <w:rsid w:val="008145A5"/>
    <w:rsid w:val="00814717"/>
    <w:rsid w:val="00814FFF"/>
    <w:rsid w:val="008152BD"/>
    <w:rsid w:val="00815FE7"/>
    <w:rsid w:val="0081608B"/>
    <w:rsid w:val="008170FB"/>
    <w:rsid w:val="00817BA3"/>
    <w:rsid w:val="00817EF1"/>
    <w:rsid w:val="00820794"/>
    <w:rsid w:val="0082104B"/>
    <w:rsid w:val="008226AA"/>
    <w:rsid w:val="00822733"/>
    <w:rsid w:val="00822BBA"/>
    <w:rsid w:val="00822F9E"/>
    <w:rsid w:val="00823694"/>
    <w:rsid w:val="0082372F"/>
    <w:rsid w:val="0082459B"/>
    <w:rsid w:val="00824AE9"/>
    <w:rsid w:val="00825AB1"/>
    <w:rsid w:val="00825FD2"/>
    <w:rsid w:val="00826343"/>
    <w:rsid w:val="008264AF"/>
    <w:rsid w:val="00826673"/>
    <w:rsid w:val="00826EAB"/>
    <w:rsid w:val="008279F4"/>
    <w:rsid w:val="00827B78"/>
    <w:rsid w:val="00827E74"/>
    <w:rsid w:val="00830249"/>
    <w:rsid w:val="008304B3"/>
    <w:rsid w:val="008306DC"/>
    <w:rsid w:val="0083142D"/>
    <w:rsid w:val="00831497"/>
    <w:rsid w:val="00831D46"/>
    <w:rsid w:val="008323E9"/>
    <w:rsid w:val="008324BC"/>
    <w:rsid w:val="0083293F"/>
    <w:rsid w:val="008329BB"/>
    <w:rsid w:val="00832A8A"/>
    <w:rsid w:val="00832E92"/>
    <w:rsid w:val="00832EE5"/>
    <w:rsid w:val="00833FBC"/>
    <w:rsid w:val="008340EF"/>
    <w:rsid w:val="008344A7"/>
    <w:rsid w:val="00834933"/>
    <w:rsid w:val="0083495B"/>
    <w:rsid w:val="00834980"/>
    <w:rsid w:val="00834FDB"/>
    <w:rsid w:val="00835B4D"/>
    <w:rsid w:val="008361A4"/>
    <w:rsid w:val="008366E0"/>
    <w:rsid w:val="00836C29"/>
    <w:rsid w:val="00836E80"/>
    <w:rsid w:val="0083746A"/>
    <w:rsid w:val="0083779A"/>
    <w:rsid w:val="00837B4F"/>
    <w:rsid w:val="008409AF"/>
    <w:rsid w:val="00841322"/>
    <w:rsid w:val="00841F89"/>
    <w:rsid w:val="008420BC"/>
    <w:rsid w:val="00842721"/>
    <w:rsid w:val="0084328C"/>
    <w:rsid w:val="00843912"/>
    <w:rsid w:val="00843935"/>
    <w:rsid w:val="0084404E"/>
    <w:rsid w:val="00844A83"/>
    <w:rsid w:val="00844AB8"/>
    <w:rsid w:val="00844B7C"/>
    <w:rsid w:val="008459E8"/>
    <w:rsid w:val="00846207"/>
    <w:rsid w:val="008462BD"/>
    <w:rsid w:val="008468CA"/>
    <w:rsid w:val="00846D60"/>
    <w:rsid w:val="008474F3"/>
    <w:rsid w:val="00847965"/>
    <w:rsid w:val="00847A71"/>
    <w:rsid w:val="00850622"/>
    <w:rsid w:val="008508EE"/>
    <w:rsid w:val="00851297"/>
    <w:rsid w:val="0085162F"/>
    <w:rsid w:val="00851A97"/>
    <w:rsid w:val="00851F3E"/>
    <w:rsid w:val="00852F3E"/>
    <w:rsid w:val="00852FEB"/>
    <w:rsid w:val="0085481D"/>
    <w:rsid w:val="00854F10"/>
    <w:rsid w:val="008561BE"/>
    <w:rsid w:val="00856732"/>
    <w:rsid w:val="00856A86"/>
    <w:rsid w:val="0085718D"/>
    <w:rsid w:val="008573CF"/>
    <w:rsid w:val="008574E4"/>
    <w:rsid w:val="0085766B"/>
    <w:rsid w:val="00860D4A"/>
    <w:rsid w:val="00861529"/>
    <w:rsid w:val="00861A07"/>
    <w:rsid w:val="00861EBF"/>
    <w:rsid w:val="00862384"/>
    <w:rsid w:val="00862983"/>
    <w:rsid w:val="0086328E"/>
    <w:rsid w:val="0086352B"/>
    <w:rsid w:val="00863596"/>
    <w:rsid w:val="008635E3"/>
    <w:rsid w:val="00864393"/>
    <w:rsid w:val="00864808"/>
    <w:rsid w:val="00864ADE"/>
    <w:rsid w:val="00865512"/>
    <w:rsid w:val="0086590E"/>
    <w:rsid w:val="0086648C"/>
    <w:rsid w:val="0086666B"/>
    <w:rsid w:val="00866709"/>
    <w:rsid w:val="00866C72"/>
    <w:rsid w:val="0086734B"/>
    <w:rsid w:val="008674E6"/>
    <w:rsid w:val="008675D7"/>
    <w:rsid w:val="0086775C"/>
    <w:rsid w:val="00867FB0"/>
    <w:rsid w:val="008705B8"/>
    <w:rsid w:val="00870871"/>
    <w:rsid w:val="00870ECE"/>
    <w:rsid w:val="008711E6"/>
    <w:rsid w:val="00871497"/>
    <w:rsid w:val="00871A12"/>
    <w:rsid w:val="00872914"/>
    <w:rsid w:val="008732DF"/>
    <w:rsid w:val="00873517"/>
    <w:rsid w:val="00873F25"/>
    <w:rsid w:val="00874A52"/>
    <w:rsid w:val="00874B08"/>
    <w:rsid w:val="00876B7F"/>
    <w:rsid w:val="00876C11"/>
    <w:rsid w:val="00876FCF"/>
    <w:rsid w:val="0087729E"/>
    <w:rsid w:val="008773ED"/>
    <w:rsid w:val="008777E6"/>
    <w:rsid w:val="00877FE0"/>
    <w:rsid w:val="008803A2"/>
    <w:rsid w:val="008817D1"/>
    <w:rsid w:val="00881BBE"/>
    <w:rsid w:val="00881FC2"/>
    <w:rsid w:val="008824D7"/>
    <w:rsid w:val="0088274F"/>
    <w:rsid w:val="00882A4C"/>
    <w:rsid w:val="00883611"/>
    <w:rsid w:val="0088531E"/>
    <w:rsid w:val="00885D28"/>
    <w:rsid w:val="008874DA"/>
    <w:rsid w:val="008878F9"/>
    <w:rsid w:val="00890B25"/>
    <w:rsid w:val="0089170F"/>
    <w:rsid w:val="00891D88"/>
    <w:rsid w:val="0089234A"/>
    <w:rsid w:val="00892598"/>
    <w:rsid w:val="008926C9"/>
    <w:rsid w:val="00892979"/>
    <w:rsid w:val="00892AC2"/>
    <w:rsid w:val="00893614"/>
    <w:rsid w:val="00893779"/>
    <w:rsid w:val="008937D9"/>
    <w:rsid w:val="00894556"/>
    <w:rsid w:val="008945B3"/>
    <w:rsid w:val="00894766"/>
    <w:rsid w:val="00894C4F"/>
    <w:rsid w:val="008956F9"/>
    <w:rsid w:val="00895809"/>
    <w:rsid w:val="00895AC5"/>
    <w:rsid w:val="00895BBE"/>
    <w:rsid w:val="00895DC3"/>
    <w:rsid w:val="00896796"/>
    <w:rsid w:val="00897E6E"/>
    <w:rsid w:val="008A040F"/>
    <w:rsid w:val="008A0411"/>
    <w:rsid w:val="008A0708"/>
    <w:rsid w:val="008A0923"/>
    <w:rsid w:val="008A1139"/>
    <w:rsid w:val="008A14E6"/>
    <w:rsid w:val="008A16EB"/>
    <w:rsid w:val="008A22F4"/>
    <w:rsid w:val="008A2C13"/>
    <w:rsid w:val="008A2E9E"/>
    <w:rsid w:val="008A3040"/>
    <w:rsid w:val="008A32CC"/>
    <w:rsid w:val="008A3A6F"/>
    <w:rsid w:val="008A3A7D"/>
    <w:rsid w:val="008A3CDD"/>
    <w:rsid w:val="008A3E34"/>
    <w:rsid w:val="008A413F"/>
    <w:rsid w:val="008A47E6"/>
    <w:rsid w:val="008A4A54"/>
    <w:rsid w:val="008A5306"/>
    <w:rsid w:val="008A53A4"/>
    <w:rsid w:val="008A53AE"/>
    <w:rsid w:val="008A58F5"/>
    <w:rsid w:val="008A60D5"/>
    <w:rsid w:val="008A6182"/>
    <w:rsid w:val="008A6516"/>
    <w:rsid w:val="008A679C"/>
    <w:rsid w:val="008A67C8"/>
    <w:rsid w:val="008A6D0C"/>
    <w:rsid w:val="008A77A2"/>
    <w:rsid w:val="008B0657"/>
    <w:rsid w:val="008B0DEF"/>
    <w:rsid w:val="008B0EB8"/>
    <w:rsid w:val="008B13D3"/>
    <w:rsid w:val="008B1BF3"/>
    <w:rsid w:val="008B1D94"/>
    <w:rsid w:val="008B286D"/>
    <w:rsid w:val="008B2D48"/>
    <w:rsid w:val="008B3289"/>
    <w:rsid w:val="008B38F1"/>
    <w:rsid w:val="008B3C8B"/>
    <w:rsid w:val="008B3E5F"/>
    <w:rsid w:val="008B4583"/>
    <w:rsid w:val="008B4C8D"/>
    <w:rsid w:val="008B4DDA"/>
    <w:rsid w:val="008B5B53"/>
    <w:rsid w:val="008B643A"/>
    <w:rsid w:val="008B69E8"/>
    <w:rsid w:val="008B713D"/>
    <w:rsid w:val="008B7287"/>
    <w:rsid w:val="008B7B05"/>
    <w:rsid w:val="008B7B61"/>
    <w:rsid w:val="008B7CE7"/>
    <w:rsid w:val="008C01F2"/>
    <w:rsid w:val="008C0635"/>
    <w:rsid w:val="008C0672"/>
    <w:rsid w:val="008C07DF"/>
    <w:rsid w:val="008C08B5"/>
    <w:rsid w:val="008C0D39"/>
    <w:rsid w:val="008C1611"/>
    <w:rsid w:val="008C1A31"/>
    <w:rsid w:val="008C1B72"/>
    <w:rsid w:val="008C1C3A"/>
    <w:rsid w:val="008C1C4A"/>
    <w:rsid w:val="008C2300"/>
    <w:rsid w:val="008C25BD"/>
    <w:rsid w:val="008C2B6A"/>
    <w:rsid w:val="008C31A6"/>
    <w:rsid w:val="008C3782"/>
    <w:rsid w:val="008C37BE"/>
    <w:rsid w:val="008C44E9"/>
    <w:rsid w:val="008C4B29"/>
    <w:rsid w:val="008C4BB8"/>
    <w:rsid w:val="008C4D17"/>
    <w:rsid w:val="008C4D78"/>
    <w:rsid w:val="008C50A3"/>
    <w:rsid w:val="008C513F"/>
    <w:rsid w:val="008C51A2"/>
    <w:rsid w:val="008C53A8"/>
    <w:rsid w:val="008C5A73"/>
    <w:rsid w:val="008C5DB3"/>
    <w:rsid w:val="008C60B1"/>
    <w:rsid w:val="008C665A"/>
    <w:rsid w:val="008C6892"/>
    <w:rsid w:val="008C6BD0"/>
    <w:rsid w:val="008C761D"/>
    <w:rsid w:val="008D022C"/>
    <w:rsid w:val="008D02A7"/>
    <w:rsid w:val="008D04BD"/>
    <w:rsid w:val="008D0CFE"/>
    <w:rsid w:val="008D1255"/>
    <w:rsid w:val="008D1DAC"/>
    <w:rsid w:val="008D1E26"/>
    <w:rsid w:val="008D1F66"/>
    <w:rsid w:val="008D212D"/>
    <w:rsid w:val="008D2304"/>
    <w:rsid w:val="008D241F"/>
    <w:rsid w:val="008D26BC"/>
    <w:rsid w:val="008D2EBD"/>
    <w:rsid w:val="008D317A"/>
    <w:rsid w:val="008D33E9"/>
    <w:rsid w:val="008D3486"/>
    <w:rsid w:val="008D3BA0"/>
    <w:rsid w:val="008D4FAF"/>
    <w:rsid w:val="008D5265"/>
    <w:rsid w:val="008D5807"/>
    <w:rsid w:val="008D5C9A"/>
    <w:rsid w:val="008D5CF6"/>
    <w:rsid w:val="008D6133"/>
    <w:rsid w:val="008D619C"/>
    <w:rsid w:val="008D6E77"/>
    <w:rsid w:val="008D75F7"/>
    <w:rsid w:val="008D78A0"/>
    <w:rsid w:val="008D7F06"/>
    <w:rsid w:val="008E05BB"/>
    <w:rsid w:val="008E0AA3"/>
    <w:rsid w:val="008E1448"/>
    <w:rsid w:val="008E2749"/>
    <w:rsid w:val="008E27C3"/>
    <w:rsid w:val="008E2A27"/>
    <w:rsid w:val="008E2B9E"/>
    <w:rsid w:val="008E2FFA"/>
    <w:rsid w:val="008E40B5"/>
    <w:rsid w:val="008E4956"/>
    <w:rsid w:val="008E4BC4"/>
    <w:rsid w:val="008E4D70"/>
    <w:rsid w:val="008E5110"/>
    <w:rsid w:val="008E5340"/>
    <w:rsid w:val="008E56A0"/>
    <w:rsid w:val="008E5931"/>
    <w:rsid w:val="008E5D7E"/>
    <w:rsid w:val="008E6411"/>
    <w:rsid w:val="008E6EC2"/>
    <w:rsid w:val="008E7054"/>
    <w:rsid w:val="008E7564"/>
    <w:rsid w:val="008E7A46"/>
    <w:rsid w:val="008E7F13"/>
    <w:rsid w:val="008E7FD9"/>
    <w:rsid w:val="008F04B0"/>
    <w:rsid w:val="008F089C"/>
    <w:rsid w:val="008F0960"/>
    <w:rsid w:val="008F0A81"/>
    <w:rsid w:val="008F0EE7"/>
    <w:rsid w:val="008F18B4"/>
    <w:rsid w:val="008F2C80"/>
    <w:rsid w:val="008F2D9E"/>
    <w:rsid w:val="008F3EBA"/>
    <w:rsid w:val="008F4AC5"/>
    <w:rsid w:val="008F4B2D"/>
    <w:rsid w:val="008F5373"/>
    <w:rsid w:val="008F56C3"/>
    <w:rsid w:val="008F5963"/>
    <w:rsid w:val="008F5D4A"/>
    <w:rsid w:val="008F60B5"/>
    <w:rsid w:val="008F64A8"/>
    <w:rsid w:val="008F68BD"/>
    <w:rsid w:val="008F68F8"/>
    <w:rsid w:val="008F6C38"/>
    <w:rsid w:val="008F6F27"/>
    <w:rsid w:val="008F73F2"/>
    <w:rsid w:val="008F7900"/>
    <w:rsid w:val="008F795C"/>
    <w:rsid w:val="008F7AB3"/>
    <w:rsid w:val="008F7EDF"/>
    <w:rsid w:val="00902834"/>
    <w:rsid w:val="009042B0"/>
    <w:rsid w:val="00904CCF"/>
    <w:rsid w:val="00904EA3"/>
    <w:rsid w:val="00904FC1"/>
    <w:rsid w:val="009051D5"/>
    <w:rsid w:val="00905589"/>
    <w:rsid w:val="00906F8D"/>
    <w:rsid w:val="0090736B"/>
    <w:rsid w:val="00910857"/>
    <w:rsid w:val="00911356"/>
    <w:rsid w:val="00911358"/>
    <w:rsid w:val="00911459"/>
    <w:rsid w:val="00911517"/>
    <w:rsid w:val="00911A0A"/>
    <w:rsid w:val="00911B54"/>
    <w:rsid w:val="00912D09"/>
    <w:rsid w:val="00912FA5"/>
    <w:rsid w:val="00913C31"/>
    <w:rsid w:val="009143CE"/>
    <w:rsid w:val="00914BB5"/>
    <w:rsid w:val="00915774"/>
    <w:rsid w:val="00915F15"/>
    <w:rsid w:val="009167AE"/>
    <w:rsid w:val="00917D31"/>
    <w:rsid w:val="00917D9C"/>
    <w:rsid w:val="00917DEE"/>
    <w:rsid w:val="0092005F"/>
    <w:rsid w:val="009211CE"/>
    <w:rsid w:val="009218F4"/>
    <w:rsid w:val="0092193C"/>
    <w:rsid w:val="009228D0"/>
    <w:rsid w:val="00923261"/>
    <w:rsid w:val="0092434F"/>
    <w:rsid w:val="0092442B"/>
    <w:rsid w:val="009245D7"/>
    <w:rsid w:val="0092470F"/>
    <w:rsid w:val="00924E87"/>
    <w:rsid w:val="009256B7"/>
    <w:rsid w:val="00925C2D"/>
    <w:rsid w:val="0092604B"/>
    <w:rsid w:val="009270C4"/>
    <w:rsid w:val="009300BB"/>
    <w:rsid w:val="0093046A"/>
    <w:rsid w:val="009304A5"/>
    <w:rsid w:val="009305BF"/>
    <w:rsid w:val="00930F6D"/>
    <w:rsid w:val="009322BD"/>
    <w:rsid w:val="00932514"/>
    <w:rsid w:val="009327DE"/>
    <w:rsid w:val="00932E7F"/>
    <w:rsid w:val="00932FF3"/>
    <w:rsid w:val="00933B7F"/>
    <w:rsid w:val="00933E75"/>
    <w:rsid w:val="00933FDC"/>
    <w:rsid w:val="00935085"/>
    <w:rsid w:val="009355F7"/>
    <w:rsid w:val="00935763"/>
    <w:rsid w:val="00936B5D"/>
    <w:rsid w:val="0093715D"/>
    <w:rsid w:val="009371A1"/>
    <w:rsid w:val="0093745F"/>
    <w:rsid w:val="00937818"/>
    <w:rsid w:val="00937A09"/>
    <w:rsid w:val="00937AD3"/>
    <w:rsid w:val="0094035B"/>
    <w:rsid w:val="00940895"/>
    <w:rsid w:val="00940950"/>
    <w:rsid w:val="00941254"/>
    <w:rsid w:val="009414CB"/>
    <w:rsid w:val="00941937"/>
    <w:rsid w:val="00941CDB"/>
    <w:rsid w:val="00942356"/>
    <w:rsid w:val="00942793"/>
    <w:rsid w:val="00942DC7"/>
    <w:rsid w:val="00943281"/>
    <w:rsid w:val="00943654"/>
    <w:rsid w:val="00943C53"/>
    <w:rsid w:val="00944959"/>
    <w:rsid w:val="00945A57"/>
    <w:rsid w:val="00946922"/>
    <w:rsid w:val="00947E5A"/>
    <w:rsid w:val="0095014C"/>
    <w:rsid w:val="0095029C"/>
    <w:rsid w:val="009502F2"/>
    <w:rsid w:val="00950360"/>
    <w:rsid w:val="00950C3C"/>
    <w:rsid w:val="00951480"/>
    <w:rsid w:val="00952348"/>
    <w:rsid w:val="00953515"/>
    <w:rsid w:val="009536C2"/>
    <w:rsid w:val="00953D03"/>
    <w:rsid w:val="00953D4E"/>
    <w:rsid w:val="009545F8"/>
    <w:rsid w:val="0095463C"/>
    <w:rsid w:val="00954B18"/>
    <w:rsid w:val="00954CA2"/>
    <w:rsid w:val="00954F6B"/>
    <w:rsid w:val="009552D2"/>
    <w:rsid w:val="009553D1"/>
    <w:rsid w:val="00955400"/>
    <w:rsid w:val="0095558E"/>
    <w:rsid w:val="009555FB"/>
    <w:rsid w:val="009556F7"/>
    <w:rsid w:val="00955FAC"/>
    <w:rsid w:val="00956346"/>
    <w:rsid w:val="009566AD"/>
    <w:rsid w:val="009566D1"/>
    <w:rsid w:val="00956826"/>
    <w:rsid w:val="00956F00"/>
    <w:rsid w:val="009570E0"/>
    <w:rsid w:val="0095736C"/>
    <w:rsid w:val="009578E2"/>
    <w:rsid w:val="00957987"/>
    <w:rsid w:val="00957B40"/>
    <w:rsid w:val="009606AF"/>
    <w:rsid w:val="009612B1"/>
    <w:rsid w:val="00961473"/>
    <w:rsid w:val="00961568"/>
    <w:rsid w:val="0096163C"/>
    <w:rsid w:val="00961E19"/>
    <w:rsid w:val="00962259"/>
    <w:rsid w:val="009636FD"/>
    <w:rsid w:val="009641DB"/>
    <w:rsid w:val="009646AC"/>
    <w:rsid w:val="00964A3E"/>
    <w:rsid w:val="00964D44"/>
    <w:rsid w:val="009661B0"/>
    <w:rsid w:val="009661CF"/>
    <w:rsid w:val="00966AD6"/>
    <w:rsid w:val="00967060"/>
    <w:rsid w:val="0096748A"/>
    <w:rsid w:val="00967EFA"/>
    <w:rsid w:val="0097036F"/>
    <w:rsid w:val="00970C7A"/>
    <w:rsid w:val="00970FF6"/>
    <w:rsid w:val="0097151E"/>
    <w:rsid w:val="00972199"/>
    <w:rsid w:val="009721DB"/>
    <w:rsid w:val="00972BFA"/>
    <w:rsid w:val="009736B5"/>
    <w:rsid w:val="00974206"/>
    <w:rsid w:val="00974326"/>
    <w:rsid w:val="009743B6"/>
    <w:rsid w:val="00974E84"/>
    <w:rsid w:val="00974F29"/>
    <w:rsid w:val="00974F9C"/>
    <w:rsid w:val="00975716"/>
    <w:rsid w:val="009765EA"/>
    <w:rsid w:val="009767AA"/>
    <w:rsid w:val="00976DE7"/>
    <w:rsid w:val="00977943"/>
    <w:rsid w:val="0098099D"/>
    <w:rsid w:val="009824F8"/>
    <w:rsid w:val="0098277E"/>
    <w:rsid w:val="00982A46"/>
    <w:rsid w:val="00983613"/>
    <w:rsid w:val="009847EC"/>
    <w:rsid w:val="009854EF"/>
    <w:rsid w:val="009856E9"/>
    <w:rsid w:val="0098572C"/>
    <w:rsid w:val="0098583E"/>
    <w:rsid w:val="00985D05"/>
    <w:rsid w:val="009865F0"/>
    <w:rsid w:val="00986A5C"/>
    <w:rsid w:val="0098774E"/>
    <w:rsid w:val="009879F3"/>
    <w:rsid w:val="00987B39"/>
    <w:rsid w:val="009901C4"/>
    <w:rsid w:val="009901FA"/>
    <w:rsid w:val="009904FC"/>
    <w:rsid w:val="0099055F"/>
    <w:rsid w:val="00991E9B"/>
    <w:rsid w:val="009927EE"/>
    <w:rsid w:val="0099372B"/>
    <w:rsid w:val="00993871"/>
    <w:rsid w:val="00994254"/>
    <w:rsid w:val="009942FD"/>
    <w:rsid w:val="00994575"/>
    <w:rsid w:val="00994A75"/>
    <w:rsid w:val="00994DF7"/>
    <w:rsid w:val="009965BA"/>
    <w:rsid w:val="00997913"/>
    <w:rsid w:val="00997D7D"/>
    <w:rsid w:val="009A0AE1"/>
    <w:rsid w:val="009A0D8F"/>
    <w:rsid w:val="009A10B7"/>
    <w:rsid w:val="009A122A"/>
    <w:rsid w:val="009A1C6A"/>
    <w:rsid w:val="009A30CD"/>
    <w:rsid w:val="009A357B"/>
    <w:rsid w:val="009A3A98"/>
    <w:rsid w:val="009A3B5D"/>
    <w:rsid w:val="009A3F38"/>
    <w:rsid w:val="009A4118"/>
    <w:rsid w:val="009A43BB"/>
    <w:rsid w:val="009A4E1A"/>
    <w:rsid w:val="009A4E6C"/>
    <w:rsid w:val="009A5172"/>
    <w:rsid w:val="009A591F"/>
    <w:rsid w:val="009A5BF3"/>
    <w:rsid w:val="009A5E07"/>
    <w:rsid w:val="009A62C4"/>
    <w:rsid w:val="009A6FCC"/>
    <w:rsid w:val="009A71A2"/>
    <w:rsid w:val="009A7C86"/>
    <w:rsid w:val="009B043A"/>
    <w:rsid w:val="009B1AD4"/>
    <w:rsid w:val="009B228B"/>
    <w:rsid w:val="009B24AD"/>
    <w:rsid w:val="009B25BF"/>
    <w:rsid w:val="009B32C9"/>
    <w:rsid w:val="009B349A"/>
    <w:rsid w:val="009B3675"/>
    <w:rsid w:val="009B3C8B"/>
    <w:rsid w:val="009B3EB0"/>
    <w:rsid w:val="009B44F0"/>
    <w:rsid w:val="009B5535"/>
    <w:rsid w:val="009B6139"/>
    <w:rsid w:val="009B6397"/>
    <w:rsid w:val="009B6535"/>
    <w:rsid w:val="009B6BBD"/>
    <w:rsid w:val="009B6D30"/>
    <w:rsid w:val="009B71A3"/>
    <w:rsid w:val="009B76F5"/>
    <w:rsid w:val="009B7706"/>
    <w:rsid w:val="009C066F"/>
    <w:rsid w:val="009C0F34"/>
    <w:rsid w:val="009C0F93"/>
    <w:rsid w:val="009C1266"/>
    <w:rsid w:val="009C1431"/>
    <w:rsid w:val="009C1862"/>
    <w:rsid w:val="009C1FA2"/>
    <w:rsid w:val="009C2479"/>
    <w:rsid w:val="009C25BC"/>
    <w:rsid w:val="009C2D6D"/>
    <w:rsid w:val="009C300A"/>
    <w:rsid w:val="009C3E60"/>
    <w:rsid w:val="009C4751"/>
    <w:rsid w:val="009C513B"/>
    <w:rsid w:val="009C544E"/>
    <w:rsid w:val="009C5862"/>
    <w:rsid w:val="009C5A2C"/>
    <w:rsid w:val="009C5B7D"/>
    <w:rsid w:val="009C60B1"/>
    <w:rsid w:val="009C62D7"/>
    <w:rsid w:val="009C66D0"/>
    <w:rsid w:val="009C736B"/>
    <w:rsid w:val="009C76AA"/>
    <w:rsid w:val="009C7CCC"/>
    <w:rsid w:val="009C7CE5"/>
    <w:rsid w:val="009C7E26"/>
    <w:rsid w:val="009D00FA"/>
    <w:rsid w:val="009D0153"/>
    <w:rsid w:val="009D03CF"/>
    <w:rsid w:val="009D06F8"/>
    <w:rsid w:val="009D0820"/>
    <w:rsid w:val="009D1456"/>
    <w:rsid w:val="009D2B64"/>
    <w:rsid w:val="009D3189"/>
    <w:rsid w:val="009D3734"/>
    <w:rsid w:val="009D3CD1"/>
    <w:rsid w:val="009D3D31"/>
    <w:rsid w:val="009D432B"/>
    <w:rsid w:val="009D4F3B"/>
    <w:rsid w:val="009D50D3"/>
    <w:rsid w:val="009D519C"/>
    <w:rsid w:val="009D5A8A"/>
    <w:rsid w:val="009D67AA"/>
    <w:rsid w:val="009D6920"/>
    <w:rsid w:val="009D69F0"/>
    <w:rsid w:val="009D6C58"/>
    <w:rsid w:val="009D6D59"/>
    <w:rsid w:val="009D715D"/>
    <w:rsid w:val="009D73F1"/>
    <w:rsid w:val="009D7896"/>
    <w:rsid w:val="009E010F"/>
    <w:rsid w:val="009E0DC9"/>
    <w:rsid w:val="009E0EC5"/>
    <w:rsid w:val="009E1193"/>
    <w:rsid w:val="009E1363"/>
    <w:rsid w:val="009E14C0"/>
    <w:rsid w:val="009E1851"/>
    <w:rsid w:val="009E20B6"/>
    <w:rsid w:val="009E26F2"/>
    <w:rsid w:val="009E2A9C"/>
    <w:rsid w:val="009E3265"/>
    <w:rsid w:val="009E36C8"/>
    <w:rsid w:val="009E36DF"/>
    <w:rsid w:val="009E3A9A"/>
    <w:rsid w:val="009E3ABB"/>
    <w:rsid w:val="009E3FB9"/>
    <w:rsid w:val="009E44DE"/>
    <w:rsid w:val="009E4ABC"/>
    <w:rsid w:val="009E5032"/>
    <w:rsid w:val="009E513E"/>
    <w:rsid w:val="009E53A9"/>
    <w:rsid w:val="009E5552"/>
    <w:rsid w:val="009E5AD8"/>
    <w:rsid w:val="009E5DEB"/>
    <w:rsid w:val="009E5EB3"/>
    <w:rsid w:val="009E7039"/>
    <w:rsid w:val="009E7940"/>
    <w:rsid w:val="009E7CD2"/>
    <w:rsid w:val="009E7E78"/>
    <w:rsid w:val="009F02E1"/>
    <w:rsid w:val="009F0498"/>
    <w:rsid w:val="009F0742"/>
    <w:rsid w:val="009F077D"/>
    <w:rsid w:val="009F0B7B"/>
    <w:rsid w:val="009F1908"/>
    <w:rsid w:val="009F1E57"/>
    <w:rsid w:val="009F24F7"/>
    <w:rsid w:val="009F27E7"/>
    <w:rsid w:val="009F292F"/>
    <w:rsid w:val="009F29BB"/>
    <w:rsid w:val="009F2BC5"/>
    <w:rsid w:val="009F2C73"/>
    <w:rsid w:val="009F4273"/>
    <w:rsid w:val="009F49BB"/>
    <w:rsid w:val="009F4A50"/>
    <w:rsid w:val="009F5AC7"/>
    <w:rsid w:val="009F610F"/>
    <w:rsid w:val="009F6707"/>
    <w:rsid w:val="009F6BCD"/>
    <w:rsid w:val="009F6EC5"/>
    <w:rsid w:val="009F7A2E"/>
    <w:rsid w:val="00A0084E"/>
    <w:rsid w:val="00A00EFE"/>
    <w:rsid w:val="00A01C66"/>
    <w:rsid w:val="00A020C0"/>
    <w:rsid w:val="00A02CA5"/>
    <w:rsid w:val="00A02EFA"/>
    <w:rsid w:val="00A03187"/>
    <w:rsid w:val="00A03555"/>
    <w:rsid w:val="00A0396D"/>
    <w:rsid w:val="00A03BA0"/>
    <w:rsid w:val="00A0400F"/>
    <w:rsid w:val="00A045AB"/>
    <w:rsid w:val="00A04D8E"/>
    <w:rsid w:val="00A05041"/>
    <w:rsid w:val="00A05576"/>
    <w:rsid w:val="00A05F59"/>
    <w:rsid w:val="00A0651D"/>
    <w:rsid w:val="00A06B17"/>
    <w:rsid w:val="00A100EE"/>
    <w:rsid w:val="00A108E4"/>
    <w:rsid w:val="00A10A57"/>
    <w:rsid w:val="00A1192A"/>
    <w:rsid w:val="00A11A79"/>
    <w:rsid w:val="00A124B0"/>
    <w:rsid w:val="00A12ABF"/>
    <w:rsid w:val="00A131C7"/>
    <w:rsid w:val="00A131E3"/>
    <w:rsid w:val="00A13D8D"/>
    <w:rsid w:val="00A13F4B"/>
    <w:rsid w:val="00A13F82"/>
    <w:rsid w:val="00A146CB"/>
    <w:rsid w:val="00A14C62"/>
    <w:rsid w:val="00A15383"/>
    <w:rsid w:val="00A15D71"/>
    <w:rsid w:val="00A15EDA"/>
    <w:rsid w:val="00A160D1"/>
    <w:rsid w:val="00A16664"/>
    <w:rsid w:val="00A16AE6"/>
    <w:rsid w:val="00A170D9"/>
    <w:rsid w:val="00A174E2"/>
    <w:rsid w:val="00A17800"/>
    <w:rsid w:val="00A17A54"/>
    <w:rsid w:val="00A223DD"/>
    <w:rsid w:val="00A22605"/>
    <w:rsid w:val="00A226A3"/>
    <w:rsid w:val="00A22E0D"/>
    <w:rsid w:val="00A237DE"/>
    <w:rsid w:val="00A239A3"/>
    <w:rsid w:val="00A24A56"/>
    <w:rsid w:val="00A24CD6"/>
    <w:rsid w:val="00A24CDA"/>
    <w:rsid w:val="00A252FC"/>
    <w:rsid w:val="00A2652C"/>
    <w:rsid w:val="00A26B9C"/>
    <w:rsid w:val="00A26D01"/>
    <w:rsid w:val="00A300C2"/>
    <w:rsid w:val="00A3022B"/>
    <w:rsid w:val="00A31D2A"/>
    <w:rsid w:val="00A3214C"/>
    <w:rsid w:val="00A32495"/>
    <w:rsid w:val="00A32AFB"/>
    <w:rsid w:val="00A33732"/>
    <w:rsid w:val="00A33A97"/>
    <w:rsid w:val="00A345CD"/>
    <w:rsid w:val="00A348DB"/>
    <w:rsid w:val="00A34958"/>
    <w:rsid w:val="00A35EA6"/>
    <w:rsid w:val="00A360B7"/>
    <w:rsid w:val="00A368C1"/>
    <w:rsid w:val="00A36A2B"/>
    <w:rsid w:val="00A36BF8"/>
    <w:rsid w:val="00A36E76"/>
    <w:rsid w:val="00A37386"/>
    <w:rsid w:val="00A378D1"/>
    <w:rsid w:val="00A40413"/>
    <w:rsid w:val="00A40FEB"/>
    <w:rsid w:val="00A41073"/>
    <w:rsid w:val="00A413BE"/>
    <w:rsid w:val="00A41A11"/>
    <w:rsid w:val="00A41B7B"/>
    <w:rsid w:val="00A41C98"/>
    <w:rsid w:val="00A41ED3"/>
    <w:rsid w:val="00A42FBD"/>
    <w:rsid w:val="00A430E9"/>
    <w:rsid w:val="00A43341"/>
    <w:rsid w:val="00A43798"/>
    <w:rsid w:val="00A43A94"/>
    <w:rsid w:val="00A43D51"/>
    <w:rsid w:val="00A44724"/>
    <w:rsid w:val="00A44AC6"/>
    <w:rsid w:val="00A453F7"/>
    <w:rsid w:val="00A45C3D"/>
    <w:rsid w:val="00A4657B"/>
    <w:rsid w:val="00A465DC"/>
    <w:rsid w:val="00A471FF"/>
    <w:rsid w:val="00A47AB5"/>
    <w:rsid w:val="00A47B3C"/>
    <w:rsid w:val="00A47E08"/>
    <w:rsid w:val="00A47F95"/>
    <w:rsid w:val="00A47FA2"/>
    <w:rsid w:val="00A503EF"/>
    <w:rsid w:val="00A50574"/>
    <w:rsid w:val="00A50877"/>
    <w:rsid w:val="00A51A7E"/>
    <w:rsid w:val="00A52281"/>
    <w:rsid w:val="00A52870"/>
    <w:rsid w:val="00A53211"/>
    <w:rsid w:val="00A53E6E"/>
    <w:rsid w:val="00A54166"/>
    <w:rsid w:val="00A54291"/>
    <w:rsid w:val="00A542AF"/>
    <w:rsid w:val="00A54539"/>
    <w:rsid w:val="00A54544"/>
    <w:rsid w:val="00A55A09"/>
    <w:rsid w:val="00A55B7A"/>
    <w:rsid w:val="00A55D77"/>
    <w:rsid w:val="00A55F4F"/>
    <w:rsid w:val="00A56BED"/>
    <w:rsid w:val="00A56D79"/>
    <w:rsid w:val="00A5749E"/>
    <w:rsid w:val="00A60035"/>
    <w:rsid w:val="00A60FDE"/>
    <w:rsid w:val="00A611E6"/>
    <w:rsid w:val="00A612B0"/>
    <w:rsid w:val="00A613D5"/>
    <w:rsid w:val="00A614AB"/>
    <w:rsid w:val="00A61945"/>
    <w:rsid w:val="00A61F32"/>
    <w:rsid w:val="00A6267F"/>
    <w:rsid w:val="00A63464"/>
    <w:rsid w:val="00A6351F"/>
    <w:rsid w:val="00A63CDE"/>
    <w:rsid w:val="00A640A7"/>
    <w:rsid w:val="00A65C3B"/>
    <w:rsid w:val="00A661D4"/>
    <w:rsid w:val="00A665EA"/>
    <w:rsid w:val="00A67D4C"/>
    <w:rsid w:val="00A70043"/>
    <w:rsid w:val="00A70A7A"/>
    <w:rsid w:val="00A70B4E"/>
    <w:rsid w:val="00A72026"/>
    <w:rsid w:val="00A721DC"/>
    <w:rsid w:val="00A7294B"/>
    <w:rsid w:val="00A73575"/>
    <w:rsid w:val="00A73943"/>
    <w:rsid w:val="00A73B27"/>
    <w:rsid w:val="00A73E7F"/>
    <w:rsid w:val="00A7459D"/>
    <w:rsid w:val="00A745C1"/>
    <w:rsid w:val="00A748BA"/>
    <w:rsid w:val="00A748E5"/>
    <w:rsid w:val="00A74995"/>
    <w:rsid w:val="00A749EF"/>
    <w:rsid w:val="00A751E4"/>
    <w:rsid w:val="00A75200"/>
    <w:rsid w:val="00A75528"/>
    <w:rsid w:val="00A7612C"/>
    <w:rsid w:val="00A76372"/>
    <w:rsid w:val="00A764B5"/>
    <w:rsid w:val="00A771B4"/>
    <w:rsid w:val="00A775A2"/>
    <w:rsid w:val="00A77981"/>
    <w:rsid w:val="00A8003C"/>
    <w:rsid w:val="00A80840"/>
    <w:rsid w:val="00A80FAE"/>
    <w:rsid w:val="00A812BF"/>
    <w:rsid w:val="00A82605"/>
    <w:rsid w:val="00A82625"/>
    <w:rsid w:val="00A8283D"/>
    <w:rsid w:val="00A82ADC"/>
    <w:rsid w:val="00A82B1C"/>
    <w:rsid w:val="00A82DD0"/>
    <w:rsid w:val="00A83862"/>
    <w:rsid w:val="00A8389C"/>
    <w:rsid w:val="00A838E1"/>
    <w:rsid w:val="00A83AFD"/>
    <w:rsid w:val="00A83F1E"/>
    <w:rsid w:val="00A8425C"/>
    <w:rsid w:val="00A84268"/>
    <w:rsid w:val="00A845BC"/>
    <w:rsid w:val="00A84755"/>
    <w:rsid w:val="00A8486C"/>
    <w:rsid w:val="00A84AB1"/>
    <w:rsid w:val="00A84C51"/>
    <w:rsid w:val="00A857AE"/>
    <w:rsid w:val="00A86971"/>
    <w:rsid w:val="00A86EDD"/>
    <w:rsid w:val="00A870B2"/>
    <w:rsid w:val="00A877C2"/>
    <w:rsid w:val="00A87802"/>
    <w:rsid w:val="00A90029"/>
    <w:rsid w:val="00A9035D"/>
    <w:rsid w:val="00A90ABD"/>
    <w:rsid w:val="00A916A1"/>
    <w:rsid w:val="00A9199C"/>
    <w:rsid w:val="00A924FE"/>
    <w:rsid w:val="00A92868"/>
    <w:rsid w:val="00A9351F"/>
    <w:rsid w:val="00A948A2"/>
    <w:rsid w:val="00A959AF"/>
    <w:rsid w:val="00A95EB1"/>
    <w:rsid w:val="00A964EB"/>
    <w:rsid w:val="00A96702"/>
    <w:rsid w:val="00A96976"/>
    <w:rsid w:val="00A969D6"/>
    <w:rsid w:val="00A97EB2"/>
    <w:rsid w:val="00AA002D"/>
    <w:rsid w:val="00AA0BB8"/>
    <w:rsid w:val="00AA1224"/>
    <w:rsid w:val="00AA14A9"/>
    <w:rsid w:val="00AA153A"/>
    <w:rsid w:val="00AA157E"/>
    <w:rsid w:val="00AA19E9"/>
    <w:rsid w:val="00AA1A1B"/>
    <w:rsid w:val="00AA1C5C"/>
    <w:rsid w:val="00AA1D58"/>
    <w:rsid w:val="00AA2AE8"/>
    <w:rsid w:val="00AA3648"/>
    <w:rsid w:val="00AA419D"/>
    <w:rsid w:val="00AA41A3"/>
    <w:rsid w:val="00AA4242"/>
    <w:rsid w:val="00AA4693"/>
    <w:rsid w:val="00AA5120"/>
    <w:rsid w:val="00AA5277"/>
    <w:rsid w:val="00AA538B"/>
    <w:rsid w:val="00AA57D7"/>
    <w:rsid w:val="00AA5F2C"/>
    <w:rsid w:val="00AA5F41"/>
    <w:rsid w:val="00AA5F9B"/>
    <w:rsid w:val="00AA60FA"/>
    <w:rsid w:val="00AA670B"/>
    <w:rsid w:val="00AA6C42"/>
    <w:rsid w:val="00AA6F39"/>
    <w:rsid w:val="00AA6F55"/>
    <w:rsid w:val="00AA763B"/>
    <w:rsid w:val="00AA78D1"/>
    <w:rsid w:val="00AA7D01"/>
    <w:rsid w:val="00AB0186"/>
    <w:rsid w:val="00AB0477"/>
    <w:rsid w:val="00AB04B5"/>
    <w:rsid w:val="00AB07D2"/>
    <w:rsid w:val="00AB0DFF"/>
    <w:rsid w:val="00AB1293"/>
    <w:rsid w:val="00AB282D"/>
    <w:rsid w:val="00AB37C6"/>
    <w:rsid w:val="00AB3862"/>
    <w:rsid w:val="00AB38E8"/>
    <w:rsid w:val="00AB4A20"/>
    <w:rsid w:val="00AB4A41"/>
    <w:rsid w:val="00AB5252"/>
    <w:rsid w:val="00AB5763"/>
    <w:rsid w:val="00AB5C8D"/>
    <w:rsid w:val="00AB5DD2"/>
    <w:rsid w:val="00AB60AC"/>
    <w:rsid w:val="00AB6501"/>
    <w:rsid w:val="00AB66B2"/>
    <w:rsid w:val="00AB6F73"/>
    <w:rsid w:val="00AB780A"/>
    <w:rsid w:val="00AB7A51"/>
    <w:rsid w:val="00AC18B3"/>
    <w:rsid w:val="00AC1BB4"/>
    <w:rsid w:val="00AC2497"/>
    <w:rsid w:val="00AC2540"/>
    <w:rsid w:val="00AC2733"/>
    <w:rsid w:val="00AC2FB4"/>
    <w:rsid w:val="00AC3021"/>
    <w:rsid w:val="00AC368B"/>
    <w:rsid w:val="00AC40C7"/>
    <w:rsid w:val="00AC4315"/>
    <w:rsid w:val="00AC4BEA"/>
    <w:rsid w:val="00AC4C2F"/>
    <w:rsid w:val="00AC51A5"/>
    <w:rsid w:val="00AC58DB"/>
    <w:rsid w:val="00AC761E"/>
    <w:rsid w:val="00AC77B3"/>
    <w:rsid w:val="00AC797B"/>
    <w:rsid w:val="00AD10B4"/>
    <w:rsid w:val="00AD1A41"/>
    <w:rsid w:val="00AD1BAC"/>
    <w:rsid w:val="00AD1D68"/>
    <w:rsid w:val="00AD239A"/>
    <w:rsid w:val="00AD2F94"/>
    <w:rsid w:val="00AD33BB"/>
    <w:rsid w:val="00AD35FC"/>
    <w:rsid w:val="00AD37C9"/>
    <w:rsid w:val="00AD4004"/>
    <w:rsid w:val="00AD42DA"/>
    <w:rsid w:val="00AD5333"/>
    <w:rsid w:val="00AD627E"/>
    <w:rsid w:val="00AD6A9F"/>
    <w:rsid w:val="00AD771C"/>
    <w:rsid w:val="00AD7C60"/>
    <w:rsid w:val="00AE0393"/>
    <w:rsid w:val="00AE060B"/>
    <w:rsid w:val="00AE13F8"/>
    <w:rsid w:val="00AE1711"/>
    <w:rsid w:val="00AE2104"/>
    <w:rsid w:val="00AE2670"/>
    <w:rsid w:val="00AE29DE"/>
    <w:rsid w:val="00AE32F8"/>
    <w:rsid w:val="00AE3A17"/>
    <w:rsid w:val="00AE3DBB"/>
    <w:rsid w:val="00AE3E4F"/>
    <w:rsid w:val="00AE42D1"/>
    <w:rsid w:val="00AE4A70"/>
    <w:rsid w:val="00AE4C74"/>
    <w:rsid w:val="00AE4D82"/>
    <w:rsid w:val="00AE5111"/>
    <w:rsid w:val="00AE5342"/>
    <w:rsid w:val="00AE5509"/>
    <w:rsid w:val="00AE5909"/>
    <w:rsid w:val="00AE5BE8"/>
    <w:rsid w:val="00AE61AD"/>
    <w:rsid w:val="00AE6474"/>
    <w:rsid w:val="00AE6DFC"/>
    <w:rsid w:val="00AF00C1"/>
    <w:rsid w:val="00AF0718"/>
    <w:rsid w:val="00AF0FCF"/>
    <w:rsid w:val="00AF12FC"/>
    <w:rsid w:val="00AF1383"/>
    <w:rsid w:val="00AF1AA7"/>
    <w:rsid w:val="00AF20BB"/>
    <w:rsid w:val="00AF2401"/>
    <w:rsid w:val="00AF318F"/>
    <w:rsid w:val="00AF3787"/>
    <w:rsid w:val="00AF45B0"/>
    <w:rsid w:val="00AF4B1D"/>
    <w:rsid w:val="00AF59AA"/>
    <w:rsid w:val="00AF5BAE"/>
    <w:rsid w:val="00AF5DF4"/>
    <w:rsid w:val="00AF6053"/>
    <w:rsid w:val="00AF61B8"/>
    <w:rsid w:val="00AF62DD"/>
    <w:rsid w:val="00AF759A"/>
    <w:rsid w:val="00AF75B1"/>
    <w:rsid w:val="00AF7A84"/>
    <w:rsid w:val="00AF7DB2"/>
    <w:rsid w:val="00AF7EB6"/>
    <w:rsid w:val="00B0047F"/>
    <w:rsid w:val="00B00F40"/>
    <w:rsid w:val="00B0116F"/>
    <w:rsid w:val="00B01246"/>
    <w:rsid w:val="00B0135F"/>
    <w:rsid w:val="00B015D2"/>
    <w:rsid w:val="00B0162A"/>
    <w:rsid w:val="00B02408"/>
    <w:rsid w:val="00B024FC"/>
    <w:rsid w:val="00B0297E"/>
    <w:rsid w:val="00B02A4E"/>
    <w:rsid w:val="00B038DE"/>
    <w:rsid w:val="00B03DD2"/>
    <w:rsid w:val="00B046C0"/>
    <w:rsid w:val="00B0482E"/>
    <w:rsid w:val="00B0514A"/>
    <w:rsid w:val="00B052B5"/>
    <w:rsid w:val="00B059EF"/>
    <w:rsid w:val="00B05C86"/>
    <w:rsid w:val="00B06210"/>
    <w:rsid w:val="00B06594"/>
    <w:rsid w:val="00B07349"/>
    <w:rsid w:val="00B102DC"/>
    <w:rsid w:val="00B10447"/>
    <w:rsid w:val="00B110AD"/>
    <w:rsid w:val="00B11336"/>
    <w:rsid w:val="00B113A0"/>
    <w:rsid w:val="00B114B8"/>
    <w:rsid w:val="00B118EA"/>
    <w:rsid w:val="00B11A14"/>
    <w:rsid w:val="00B11BE9"/>
    <w:rsid w:val="00B11C71"/>
    <w:rsid w:val="00B125BD"/>
    <w:rsid w:val="00B12AF7"/>
    <w:rsid w:val="00B12B5C"/>
    <w:rsid w:val="00B12C85"/>
    <w:rsid w:val="00B1329D"/>
    <w:rsid w:val="00B135B5"/>
    <w:rsid w:val="00B13B9F"/>
    <w:rsid w:val="00B14179"/>
    <w:rsid w:val="00B1472E"/>
    <w:rsid w:val="00B14747"/>
    <w:rsid w:val="00B14FC9"/>
    <w:rsid w:val="00B152AA"/>
    <w:rsid w:val="00B1531E"/>
    <w:rsid w:val="00B1604A"/>
    <w:rsid w:val="00B1628C"/>
    <w:rsid w:val="00B163E4"/>
    <w:rsid w:val="00B16904"/>
    <w:rsid w:val="00B16BB0"/>
    <w:rsid w:val="00B17307"/>
    <w:rsid w:val="00B175F0"/>
    <w:rsid w:val="00B176BF"/>
    <w:rsid w:val="00B17807"/>
    <w:rsid w:val="00B17F9D"/>
    <w:rsid w:val="00B20DCC"/>
    <w:rsid w:val="00B21403"/>
    <w:rsid w:val="00B21A68"/>
    <w:rsid w:val="00B220D1"/>
    <w:rsid w:val="00B22833"/>
    <w:rsid w:val="00B22B93"/>
    <w:rsid w:val="00B23227"/>
    <w:rsid w:val="00B236B9"/>
    <w:rsid w:val="00B23FC4"/>
    <w:rsid w:val="00B240D3"/>
    <w:rsid w:val="00B2423E"/>
    <w:rsid w:val="00B2501B"/>
    <w:rsid w:val="00B250C8"/>
    <w:rsid w:val="00B25CAA"/>
    <w:rsid w:val="00B2602D"/>
    <w:rsid w:val="00B26727"/>
    <w:rsid w:val="00B26CE7"/>
    <w:rsid w:val="00B26F4B"/>
    <w:rsid w:val="00B271BA"/>
    <w:rsid w:val="00B30BD3"/>
    <w:rsid w:val="00B30E13"/>
    <w:rsid w:val="00B31C83"/>
    <w:rsid w:val="00B31DD6"/>
    <w:rsid w:val="00B320F4"/>
    <w:rsid w:val="00B3210A"/>
    <w:rsid w:val="00B32362"/>
    <w:rsid w:val="00B323E6"/>
    <w:rsid w:val="00B3261A"/>
    <w:rsid w:val="00B32EFA"/>
    <w:rsid w:val="00B32F3C"/>
    <w:rsid w:val="00B33B2B"/>
    <w:rsid w:val="00B33BAD"/>
    <w:rsid w:val="00B3429E"/>
    <w:rsid w:val="00B34C1B"/>
    <w:rsid w:val="00B36E3E"/>
    <w:rsid w:val="00B375DB"/>
    <w:rsid w:val="00B37824"/>
    <w:rsid w:val="00B37B32"/>
    <w:rsid w:val="00B40C3D"/>
    <w:rsid w:val="00B41A05"/>
    <w:rsid w:val="00B41C49"/>
    <w:rsid w:val="00B41EE4"/>
    <w:rsid w:val="00B4274D"/>
    <w:rsid w:val="00B429EB"/>
    <w:rsid w:val="00B4311E"/>
    <w:rsid w:val="00B4329A"/>
    <w:rsid w:val="00B43EEB"/>
    <w:rsid w:val="00B43F74"/>
    <w:rsid w:val="00B44050"/>
    <w:rsid w:val="00B447A3"/>
    <w:rsid w:val="00B44903"/>
    <w:rsid w:val="00B45613"/>
    <w:rsid w:val="00B46833"/>
    <w:rsid w:val="00B472B8"/>
    <w:rsid w:val="00B476AA"/>
    <w:rsid w:val="00B47725"/>
    <w:rsid w:val="00B47CE2"/>
    <w:rsid w:val="00B5002E"/>
    <w:rsid w:val="00B5097D"/>
    <w:rsid w:val="00B509EC"/>
    <w:rsid w:val="00B519EE"/>
    <w:rsid w:val="00B520D7"/>
    <w:rsid w:val="00B52D9D"/>
    <w:rsid w:val="00B5404D"/>
    <w:rsid w:val="00B54943"/>
    <w:rsid w:val="00B55ADF"/>
    <w:rsid w:val="00B567B1"/>
    <w:rsid w:val="00B56B9A"/>
    <w:rsid w:val="00B56D68"/>
    <w:rsid w:val="00B571AF"/>
    <w:rsid w:val="00B57648"/>
    <w:rsid w:val="00B60434"/>
    <w:rsid w:val="00B608FE"/>
    <w:rsid w:val="00B611D4"/>
    <w:rsid w:val="00B61A91"/>
    <w:rsid w:val="00B61C49"/>
    <w:rsid w:val="00B61C68"/>
    <w:rsid w:val="00B6209E"/>
    <w:rsid w:val="00B625DB"/>
    <w:rsid w:val="00B632E0"/>
    <w:rsid w:val="00B64F9B"/>
    <w:rsid w:val="00B652E2"/>
    <w:rsid w:val="00B663F6"/>
    <w:rsid w:val="00B663FF"/>
    <w:rsid w:val="00B66571"/>
    <w:rsid w:val="00B665DF"/>
    <w:rsid w:val="00B6697B"/>
    <w:rsid w:val="00B66A9D"/>
    <w:rsid w:val="00B66CBB"/>
    <w:rsid w:val="00B66F6F"/>
    <w:rsid w:val="00B67691"/>
    <w:rsid w:val="00B677E8"/>
    <w:rsid w:val="00B6782C"/>
    <w:rsid w:val="00B67FB3"/>
    <w:rsid w:val="00B7005B"/>
    <w:rsid w:val="00B71372"/>
    <w:rsid w:val="00B715DA"/>
    <w:rsid w:val="00B71666"/>
    <w:rsid w:val="00B71862"/>
    <w:rsid w:val="00B72075"/>
    <w:rsid w:val="00B720D5"/>
    <w:rsid w:val="00B724CD"/>
    <w:rsid w:val="00B72ED1"/>
    <w:rsid w:val="00B72ED4"/>
    <w:rsid w:val="00B72FBD"/>
    <w:rsid w:val="00B73BFC"/>
    <w:rsid w:val="00B73D5B"/>
    <w:rsid w:val="00B74237"/>
    <w:rsid w:val="00B742EA"/>
    <w:rsid w:val="00B74D24"/>
    <w:rsid w:val="00B75059"/>
    <w:rsid w:val="00B7536C"/>
    <w:rsid w:val="00B755EC"/>
    <w:rsid w:val="00B75693"/>
    <w:rsid w:val="00B760BB"/>
    <w:rsid w:val="00B7661E"/>
    <w:rsid w:val="00B766A3"/>
    <w:rsid w:val="00B76E3C"/>
    <w:rsid w:val="00B77762"/>
    <w:rsid w:val="00B80270"/>
    <w:rsid w:val="00B8048E"/>
    <w:rsid w:val="00B8053C"/>
    <w:rsid w:val="00B80A3C"/>
    <w:rsid w:val="00B81A7F"/>
    <w:rsid w:val="00B82181"/>
    <w:rsid w:val="00B8219B"/>
    <w:rsid w:val="00B82DF7"/>
    <w:rsid w:val="00B82F15"/>
    <w:rsid w:val="00B83034"/>
    <w:rsid w:val="00B83388"/>
    <w:rsid w:val="00B83896"/>
    <w:rsid w:val="00B83A27"/>
    <w:rsid w:val="00B841D7"/>
    <w:rsid w:val="00B844EF"/>
    <w:rsid w:val="00B84B28"/>
    <w:rsid w:val="00B84EB0"/>
    <w:rsid w:val="00B85F2E"/>
    <w:rsid w:val="00B86193"/>
    <w:rsid w:val="00B86B31"/>
    <w:rsid w:val="00B86E42"/>
    <w:rsid w:val="00B875CC"/>
    <w:rsid w:val="00B87D54"/>
    <w:rsid w:val="00B90A33"/>
    <w:rsid w:val="00B90AB2"/>
    <w:rsid w:val="00B90C57"/>
    <w:rsid w:val="00B90F4A"/>
    <w:rsid w:val="00B91455"/>
    <w:rsid w:val="00B916C6"/>
    <w:rsid w:val="00B91E03"/>
    <w:rsid w:val="00B91FE3"/>
    <w:rsid w:val="00B92326"/>
    <w:rsid w:val="00B930A2"/>
    <w:rsid w:val="00B93399"/>
    <w:rsid w:val="00B9394A"/>
    <w:rsid w:val="00B93DCC"/>
    <w:rsid w:val="00B93ED1"/>
    <w:rsid w:val="00B94218"/>
    <w:rsid w:val="00B944CE"/>
    <w:rsid w:val="00B947DB"/>
    <w:rsid w:val="00B952AE"/>
    <w:rsid w:val="00B955EA"/>
    <w:rsid w:val="00B95A1A"/>
    <w:rsid w:val="00B9673C"/>
    <w:rsid w:val="00B9694F"/>
    <w:rsid w:val="00B96EEA"/>
    <w:rsid w:val="00B97CAD"/>
    <w:rsid w:val="00BA0278"/>
    <w:rsid w:val="00BA1232"/>
    <w:rsid w:val="00BA1478"/>
    <w:rsid w:val="00BA154D"/>
    <w:rsid w:val="00BA1A47"/>
    <w:rsid w:val="00BA1AA4"/>
    <w:rsid w:val="00BA1C87"/>
    <w:rsid w:val="00BA29EA"/>
    <w:rsid w:val="00BA35BD"/>
    <w:rsid w:val="00BA3809"/>
    <w:rsid w:val="00BA3AB4"/>
    <w:rsid w:val="00BA3B24"/>
    <w:rsid w:val="00BA4572"/>
    <w:rsid w:val="00BA4622"/>
    <w:rsid w:val="00BA5A1C"/>
    <w:rsid w:val="00BA5A91"/>
    <w:rsid w:val="00BA5B8B"/>
    <w:rsid w:val="00BA5BCA"/>
    <w:rsid w:val="00BA5D41"/>
    <w:rsid w:val="00BA5EAF"/>
    <w:rsid w:val="00BA68C5"/>
    <w:rsid w:val="00BA6936"/>
    <w:rsid w:val="00BA7BB6"/>
    <w:rsid w:val="00BA7DC0"/>
    <w:rsid w:val="00BB0212"/>
    <w:rsid w:val="00BB04CF"/>
    <w:rsid w:val="00BB0580"/>
    <w:rsid w:val="00BB0AED"/>
    <w:rsid w:val="00BB0F3C"/>
    <w:rsid w:val="00BB1797"/>
    <w:rsid w:val="00BB182C"/>
    <w:rsid w:val="00BB2E01"/>
    <w:rsid w:val="00BB3C78"/>
    <w:rsid w:val="00BB4472"/>
    <w:rsid w:val="00BB499A"/>
    <w:rsid w:val="00BB4A14"/>
    <w:rsid w:val="00BB4C15"/>
    <w:rsid w:val="00BB4C9F"/>
    <w:rsid w:val="00BB5998"/>
    <w:rsid w:val="00BB75A2"/>
    <w:rsid w:val="00BB7EC5"/>
    <w:rsid w:val="00BC051C"/>
    <w:rsid w:val="00BC0794"/>
    <w:rsid w:val="00BC0D5D"/>
    <w:rsid w:val="00BC1852"/>
    <w:rsid w:val="00BC2327"/>
    <w:rsid w:val="00BC297A"/>
    <w:rsid w:val="00BC29EC"/>
    <w:rsid w:val="00BC324C"/>
    <w:rsid w:val="00BC3E2F"/>
    <w:rsid w:val="00BC4A70"/>
    <w:rsid w:val="00BC4B9D"/>
    <w:rsid w:val="00BC4EB7"/>
    <w:rsid w:val="00BC5557"/>
    <w:rsid w:val="00BC57A3"/>
    <w:rsid w:val="00BC5BCC"/>
    <w:rsid w:val="00BC5D02"/>
    <w:rsid w:val="00BC5D72"/>
    <w:rsid w:val="00BC649F"/>
    <w:rsid w:val="00BC6EF3"/>
    <w:rsid w:val="00BC7B5C"/>
    <w:rsid w:val="00BC7BD8"/>
    <w:rsid w:val="00BD0981"/>
    <w:rsid w:val="00BD1005"/>
    <w:rsid w:val="00BD179B"/>
    <w:rsid w:val="00BD17BD"/>
    <w:rsid w:val="00BD22BF"/>
    <w:rsid w:val="00BD2620"/>
    <w:rsid w:val="00BD29F3"/>
    <w:rsid w:val="00BD327C"/>
    <w:rsid w:val="00BD33F1"/>
    <w:rsid w:val="00BD4D88"/>
    <w:rsid w:val="00BD5C2D"/>
    <w:rsid w:val="00BD5E98"/>
    <w:rsid w:val="00BD6478"/>
    <w:rsid w:val="00BD6531"/>
    <w:rsid w:val="00BD6705"/>
    <w:rsid w:val="00BD6F63"/>
    <w:rsid w:val="00BD766E"/>
    <w:rsid w:val="00BD7E75"/>
    <w:rsid w:val="00BE00D9"/>
    <w:rsid w:val="00BE0944"/>
    <w:rsid w:val="00BE1374"/>
    <w:rsid w:val="00BE16C2"/>
    <w:rsid w:val="00BE2254"/>
    <w:rsid w:val="00BE26BE"/>
    <w:rsid w:val="00BE2728"/>
    <w:rsid w:val="00BE2A8D"/>
    <w:rsid w:val="00BE2CAC"/>
    <w:rsid w:val="00BE2F68"/>
    <w:rsid w:val="00BE38FC"/>
    <w:rsid w:val="00BE40AE"/>
    <w:rsid w:val="00BE65F9"/>
    <w:rsid w:val="00BE6AA6"/>
    <w:rsid w:val="00BE7139"/>
    <w:rsid w:val="00BE78CF"/>
    <w:rsid w:val="00BE7A4F"/>
    <w:rsid w:val="00BF2067"/>
    <w:rsid w:val="00BF2977"/>
    <w:rsid w:val="00BF3322"/>
    <w:rsid w:val="00BF354B"/>
    <w:rsid w:val="00BF36B1"/>
    <w:rsid w:val="00BF6257"/>
    <w:rsid w:val="00BF668C"/>
    <w:rsid w:val="00BF6914"/>
    <w:rsid w:val="00BF6AB4"/>
    <w:rsid w:val="00BF6D66"/>
    <w:rsid w:val="00BF732C"/>
    <w:rsid w:val="00BF787F"/>
    <w:rsid w:val="00BF7E05"/>
    <w:rsid w:val="00BF7FED"/>
    <w:rsid w:val="00C00337"/>
    <w:rsid w:val="00C0076A"/>
    <w:rsid w:val="00C00B50"/>
    <w:rsid w:val="00C01430"/>
    <w:rsid w:val="00C01904"/>
    <w:rsid w:val="00C02076"/>
    <w:rsid w:val="00C02833"/>
    <w:rsid w:val="00C02E14"/>
    <w:rsid w:val="00C02F30"/>
    <w:rsid w:val="00C032D8"/>
    <w:rsid w:val="00C03309"/>
    <w:rsid w:val="00C0396B"/>
    <w:rsid w:val="00C03C7B"/>
    <w:rsid w:val="00C03DEB"/>
    <w:rsid w:val="00C03EBF"/>
    <w:rsid w:val="00C04124"/>
    <w:rsid w:val="00C04406"/>
    <w:rsid w:val="00C047AE"/>
    <w:rsid w:val="00C04AD5"/>
    <w:rsid w:val="00C04BB5"/>
    <w:rsid w:val="00C04BED"/>
    <w:rsid w:val="00C04BF0"/>
    <w:rsid w:val="00C04EED"/>
    <w:rsid w:val="00C05566"/>
    <w:rsid w:val="00C055BD"/>
    <w:rsid w:val="00C05727"/>
    <w:rsid w:val="00C05DE6"/>
    <w:rsid w:val="00C067BF"/>
    <w:rsid w:val="00C06A6A"/>
    <w:rsid w:val="00C06E04"/>
    <w:rsid w:val="00C06EBB"/>
    <w:rsid w:val="00C06F1A"/>
    <w:rsid w:val="00C0742A"/>
    <w:rsid w:val="00C10B0E"/>
    <w:rsid w:val="00C10B28"/>
    <w:rsid w:val="00C11226"/>
    <w:rsid w:val="00C11548"/>
    <w:rsid w:val="00C116AF"/>
    <w:rsid w:val="00C1176A"/>
    <w:rsid w:val="00C11985"/>
    <w:rsid w:val="00C12229"/>
    <w:rsid w:val="00C129AE"/>
    <w:rsid w:val="00C12A5E"/>
    <w:rsid w:val="00C12C78"/>
    <w:rsid w:val="00C12CE2"/>
    <w:rsid w:val="00C1336B"/>
    <w:rsid w:val="00C14A34"/>
    <w:rsid w:val="00C14B38"/>
    <w:rsid w:val="00C15680"/>
    <w:rsid w:val="00C16249"/>
    <w:rsid w:val="00C162A3"/>
    <w:rsid w:val="00C16624"/>
    <w:rsid w:val="00C16CD8"/>
    <w:rsid w:val="00C16F3C"/>
    <w:rsid w:val="00C17059"/>
    <w:rsid w:val="00C1718D"/>
    <w:rsid w:val="00C20C04"/>
    <w:rsid w:val="00C20C40"/>
    <w:rsid w:val="00C20FCB"/>
    <w:rsid w:val="00C2115C"/>
    <w:rsid w:val="00C211A9"/>
    <w:rsid w:val="00C21AC3"/>
    <w:rsid w:val="00C224BD"/>
    <w:rsid w:val="00C225AA"/>
    <w:rsid w:val="00C22F92"/>
    <w:rsid w:val="00C23F35"/>
    <w:rsid w:val="00C24879"/>
    <w:rsid w:val="00C25011"/>
    <w:rsid w:val="00C25183"/>
    <w:rsid w:val="00C259C1"/>
    <w:rsid w:val="00C26991"/>
    <w:rsid w:val="00C271AB"/>
    <w:rsid w:val="00C30C9D"/>
    <w:rsid w:val="00C30E86"/>
    <w:rsid w:val="00C326CC"/>
    <w:rsid w:val="00C32949"/>
    <w:rsid w:val="00C32B93"/>
    <w:rsid w:val="00C32DD4"/>
    <w:rsid w:val="00C33B10"/>
    <w:rsid w:val="00C341A0"/>
    <w:rsid w:val="00C3493B"/>
    <w:rsid w:val="00C3540C"/>
    <w:rsid w:val="00C354DA"/>
    <w:rsid w:val="00C35F80"/>
    <w:rsid w:val="00C36134"/>
    <w:rsid w:val="00C36398"/>
    <w:rsid w:val="00C36C50"/>
    <w:rsid w:val="00C37458"/>
    <w:rsid w:val="00C403ED"/>
    <w:rsid w:val="00C40499"/>
    <w:rsid w:val="00C406D3"/>
    <w:rsid w:val="00C40E01"/>
    <w:rsid w:val="00C41508"/>
    <w:rsid w:val="00C41B28"/>
    <w:rsid w:val="00C41D19"/>
    <w:rsid w:val="00C41EB1"/>
    <w:rsid w:val="00C43779"/>
    <w:rsid w:val="00C438DD"/>
    <w:rsid w:val="00C43B0D"/>
    <w:rsid w:val="00C43C9F"/>
    <w:rsid w:val="00C43CD1"/>
    <w:rsid w:val="00C44881"/>
    <w:rsid w:val="00C4500C"/>
    <w:rsid w:val="00C45020"/>
    <w:rsid w:val="00C455B4"/>
    <w:rsid w:val="00C45730"/>
    <w:rsid w:val="00C45834"/>
    <w:rsid w:val="00C45EFE"/>
    <w:rsid w:val="00C46437"/>
    <w:rsid w:val="00C4688D"/>
    <w:rsid w:val="00C472CD"/>
    <w:rsid w:val="00C4750B"/>
    <w:rsid w:val="00C47A1D"/>
    <w:rsid w:val="00C47CCF"/>
    <w:rsid w:val="00C5022C"/>
    <w:rsid w:val="00C50576"/>
    <w:rsid w:val="00C50C30"/>
    <w:rsid w:val="00C50C56"/>
    <w:rsid w:val="00C51419"/>
    <w:rsid w:val="00C51479"/>
    <w:rsid w:val="00C51DAF"/>
    <w:rsid w:val="00C521C6"/>
    <w:rsid w:val="00C529BE"/>
    <w:rsid w:val="00C52E5F"/>
    <w:rsid w:val="00C52F53"/>
    <w:rsid w:val="00C5363F"/>
    <w:rsid w:val="00C53661"/>
    <w:rsid w:val="00C53B3C"/>
    <w:rsid w:val="00C53DAD"/>
    <w:rsid w:val="00C54702"/>
    <w:rsid w:val="00C552FD"/>
    <w:rsid w:val="00C55C3E"/>
    <w:rsid w:val="00C55CDC"/>
    <w:rsid w:val="00C55D8E"/>
    <w:rsid w:val="00C56A1B"/>
    <w:rsid w:val="00C56D12"/>
    <w:rsid w:val="00C57D7D"/>
    <w:rsid w:val="00C60469"/>
    <w:rsid w:val="00C6091E"/>
    <w:rsid w:val="00C60B71"/>
    <w:rsid w:val="00C613DF"/>
    <w:rsid w:val="00C617B1"/>
    <w:rsid w:val="00C619E5"/>
    <w:rsid w:val="00C61A53"/>
    <w:rsid w:val="00C622DA"/>
    <w:rsid w:val="00C6264C"/>
    <w:rsid w:val="00C62731"/>
    <w:rsid w:val="00C62847"/>
    <w:rsid w:val="00C62FBE"/>
    <w:rsid w:val="00C6314F"/>
    <w:rsid w:val="00C63573"/>
    <w:rsid w:val="00C64607"/>
    <w:rsid w:val="00C64787"/>
    <w:rsid w:val="00C64E54"/>
    <w:rsid w:val="00C65120"/>
    <w:rsid w:val="00C652ED"/>
    <w:rsid w:val="00C65AB9"/>
    <w:rsid w:val="00C66852"/>
    <w:rsid w:val="00C6685B"/>
    <w:rsid w:val="00C67E3C"/>
    <w:rsid w:val="00C67F89"/>
    <w:rsid w:val="00C7034F"/>
    <w:rsid w:val="00C70495"/>
    <w:rsid w:val="00C712D9"/>
    <w:rsid w:val="00C7153F"/>
    <w:rsid w:val="00C718FB"/>
    <w:rsid w:val="00C71C3F"/>
    <w:rsid w:val="00C721B8"/>
    <w:rsid w:val="00C72693"/>
    <w:rsid w:val="00C735CD"/>
    <w:rsid w:val="00C73876"/>
    <w:rsid w:val="00C75745"/>
    <w:rsid w:val="00C7603C"/>
    <w:rsid w:val="00C76254"/>
    <w:rsid w:val="00C762D8"/>
    <w:rsid w:val="00C7669A"/>
    <w:rsid w:val="00C76772"/>
    <w:rsid w:val="00C76F83"/>
    <w:rsid w:val="00C77CC4"/>
    <w:rsid w:val="00C80974"/>
    <w:rsid w:val="00C809A4"/>
    <w:rsid w:val="00C816AB"/>
    <w:rsid w:val="00C81941"/>
    <w:rsid w:val="00C82404"/>
    <w:rsid w:val="00C82DCB"/>
    <w:rsid w:val="00C83148"/>
    <w:rsid w:val="00C83762"/>
    <w:rsid w:val="00C83C40"/>
    <w:rsid w:val="00C84145"/>
    <w:rsid w:val="00C8444B"/>
    <w:rsid w:val="00C84C83"/>
    <w:rsid w:val="00C85E17"/>
    <w:rsid w:val="00C860FE"/>
    <w:rsid w:val="00C8687B"/>
    <w:rsid w:val="00C87133"/>
    <w:rsid w:val="00C8736D"/>
    <w:rsid w:val="00C901C2"/>
    <w:rsid w:val="00C9045C"/>
    <w:rsid w:val="00C91AC4"/>
    <w:rsid w:val="00C91D06"/>
    <w:rsid w:val="00C937DE"/>
    <w:rsid w:val="00C937EB"/>
    <w:rsid w:val="00C93AAA"/>
    <w:rsid w:val="00C93D26"/>
    <w:rsid w:val="00C94042"/>
    <w:rsid w:val="00C94113"/>
    <w:rsid w:val="00C944FF"/>
    <w:rsid w:val="00C947D4"/>
    <w:rsid w:val="00C94FF2"/>
    <w:rsid w:val="00C95911"/>
    <w:rsid w:val="00C95D8A"/>
    <w:rsid w:val="00C9693A"/>
    <w:rsid w:val="00C96A23"/>
    <w:rsid w:val="00C96B81"/>
    <w:rsid w:val="00C96C39"/>
    <w:rsid w:val="00CA069F"/>
    <w:rsid w:val="00CA06FD"/>
    <w:rsid w:val="00CA0C2D"/>
    <w:rsid w:val="00CA168A"/>
    <w:rsid w:val="00CA252E"/>
    <w:rsid w:val="00CA2A72"/>
    <w:rsid w:val="00CA3616"/>
    <w:rsid w:val="00CA38D1"/>
    <w:rsid w:val="00CA3F02"/>
    <w:rsid w:val="00CA41D7"/>
    <w:rsid w:val="00CA4445"/>
    <w:rsid w:val="00CA478C"/>
    <w:rsid w:val="00CA4860"/>
    <w:rsid w:val="00CA4A93"/>
    <w:rsid w:val="00CA4F24"/>
    <w:rsid w:val="00CA53B8"/>
    <w:rsid w:val="00CA5C4A"/>
    <w:rsid w:val="00CA60E8"/>
    <w:rsid w:val="00CA61C5"/>
    <w:rsid w:val="00CA6643"/>
    <w:rsid w:val="00CA675E"/>
    <w:rsid w:val="00CA6ABC"/>
    <w:rsid w:val="00CA7D61"/>
    <w:rsid w:val="00CA7F11"/>
    <w:rsid w:val="00CB0185"/>
    <w:rsid w:val="00CB01E4"/>
    <w:rsid w:val="00CB036F"/>
    <w:rsid w:val="00CB07CD"/>
    <w:rsid w:val="00CB0CF4"/>
    <w:rsid w:val="00CB15B5"/>
    <w:rsid w:val="00CB1B8C"/>
    <w:rsid w:val="00CB2331"/>
    <w:rsid w:val="00CB25B8"/>
    <w:rsid w:val="00CB2C40"/>
    <w:rsid w:val="00CB3D23"/>
    <w:rsid w:val="00CB3E12"/>
    <w:rsid w:val="00CB3EBE"/>
    <w:rsid w:val="00CB3F16"/>
    <w:rsid w:val="00CB3F1E"/>
    <w:rsid w:val="00CB5250"/>
    <w:rsid w:val="00CB57DA"/>
    <w:rsid w:val="00CB58C5"/>
    <w:rsid w:val="00CB5DD3"/>
    <w:rsid w:val="00CB6311"/>
    <w:rsid w:val="00CB6360"/>
    <w:rsid w:val="00CB6882"/>
    <w:rsid w:val="00CB6B1F"/>
    <w:rsid w:val="00CB719A"/>
    <w:rsid w:val="00CB778C"/>
    <w:rsid w:val="00CC0126"/>
    <w:rsid w:val="00CC0559"/>
    <w:rsid w:val="00CC0635"/>
    <w:rsid w:val="00CC18D1"/>
    <w:rsid w:val="00CC1DF4"/>
    <w:rsid w:val="00CC1EFD"/>
    <w:rsid w:val="00CC2633"/>
    <w:rsid w:val="00CC363B"/>
    <w:rsid w:val="00CC3BB1"/>
    <w:rsid w:val="00CC498E"/>
    <w:rsid w:val="00CC49EA"/>
    <w:rsid w:val="00CC4B74"/>
    <w:rsid w:val="00CC4C6F"/>
    <w:rsid w:val="00CC588F"/>
    <w:rsid w:val="00CC5D25"/>
    <w:rsid w:val="00CC5DA2"/>
    <w:rsid w:val="00CC5E47"/>
    <w:rsid w:val="00CC5FD1"/>
    <w:rsid w:val="00CC66C3"/>
    <w:rsid w:val="00CC6A31"/>
    <w:rsid w:val="00CC6FCD"/>
    <w:rsid w:val="00CC72F9"/>
    <w:rsid w:val="00CC7B7B"/>
    <w:rsid w:val="00CC7E73"/>
    <w:rsid w:val="00CD0360"/>
    <w:rsid w:val="00CD0A88"/>
    <w:rsid w:val="00CD0B4D"/>
    <w:rsid w:val="00CD0E37"/>
    <w:rsid w:val="00CD10A2"/>
    <w:rsid w:val="00CD17CA"/>
    <w:rsid w:val="00CD1C5B"/>
    <w:rsid w:val="00CD259E"/>
    <w:rsid w:val="00CD2698"/>
    <w:rsid w:val="00CD2AD3"/>
    <w:rsid w:val="00CD2D06"/>
    <w:rsid w:val="00CD300E"/>
    <w:rsid w:val="00CD32D7"/>
    <w:rsid w:val="00CD35A8"/>
    <w:rsid w:val="00CD3CD9"/>
    <w:rsid w:val="00CD4DF8"/>
    <w:rsid w:val="00CD4FF5"/>
    <w:rsid w:val="00CD56AF"/>
    <w:rsid w:val="00CD5D1C"/>
    <w:rsid w:val="00CD5E23"/>
    <w:rsid w:val="00CD5F68"/>
    <w:rsid w:val="00CD607A"/>
    <w:rsid w:val="00CD60F1"/>
    <w:rsid w:val="00CD666F"/>
    <w:rsid w:val="00CD6806"/>
    <w:rsid w:val="00CD6834"/>
    <w:rsid w:val="00CD6DDC"/>
    <w:rsid w:val="00CD73CF"/>
    <w:rsid w:val="00CD75AE"/>
    <w:rsid w:val="00CD7B44"/>
    <w:rsid w:val="00CD7B69"/>
    <w:rsid w:val="00CD7C3F"/>
    <w:rsid w:val="00CE006E"/>
    <w:rsid w:val="00CE0714"/>
    <w:rsid w:val="00CE1096"/>
    <w:rsid w:val="00CE1A47"/>
    <w:rsid w:val="00CE1E51"/>
    <w:rsid w:val="00CE1EAD"/>
    <w:rsid w:val="00CE1F73"/>
    <w:rsid w:val="00CE25F3"/>
    <w:rsid w:val="00CE2ACE"/>
    <w:rsid w:val="00CE2F8C"/>
    <w:rsid w:val="00CE3219"/>
    <w:rsid w:val="00CE3662"/>
    <w:rsid w:val="00CE3992"/>
    <w:rsid w:val="00CE3D63"/>
    <w:rsid w:val="00CE3D70"/>
    <w:rsid w:val="00CE3DA7"/>
    <w:rsid w:val="00CE3E3F"/>
    <w:rsid w:val="00CE4800"/>
    <w:rsid w:val="00CE4F0E"/>
    <w:rsid w:val="00CE4F34"/>
    <w:rsid w:val="00CE501E"/>
    <w:rsid w:val="00CE601A"/>
    <w:rsid w:val="00CE6414"/>
    <w:rsid w:val="00CF0B4E"/>
    <w:rsid w:val="00CF0C0A"/>
    <w:rsid w:val="00CF0DD3"/>
    <w:rsid w:val="00CF0ED2"/>
    <w:rsid w:val="00CF111E"/>
    <w:rsid w:val="00CF1548"/>
    <w:rsid w:val="00CF1A1F"/>
    <w:rsid w:val="00CF1AC7"/>
    <w:rsid w:val="00CF21FE"/>
    <w:rsid w:val="00CF29C3"/>
    <w:rsid w:val="00CF2C46"/>
    <w:rsid w:val="00CF3097"/>
    <w:rsid w:val="00CF493F"/>
    <w:rsid w:val="00CF509E"/>
    <w:rsid w:val="00CF56E5"/>
    <w:rsid w:val="00CF5E2C"/>
    <w:rsid w:val="00CF68EF"/>
    <w:rsid w:val="00CF75CA"/>
    <w:rsid w:val="00CF7B67"/>
    <w:rsid w:val="00D0014C"/>
    <w:rsid w:val="00D00FD5"/>
    <w:rsid w:val="00D01561"/>
    <w:rsid w:val="00D03420"/>
    <w:rsid w:val="00D0351E"/>
    <w:rsid w:val="00D04051"/>
    <w:rsid w:val="00D0451D"/>
    <w:rsid w:val="00D04C29"/>
    <w:rsid w:val="00D04D58"/>
    <w:rsid w:val="00D05A52"/>
    <w:rsid w:val="00D070DD"/>
    <w:rsid w:val="00D074A9"/>
    <w:rsid w:val="00D074C9"/>
    <w:rsid w:val="00D10028"/>
    <w:rsid w:val="00D10267"/>
    <w:rsid w:val="00D103A1"/>
    <w:rsid w:val="00D103F1"/>
    <w:rsid w:val="00D10BB2"/>
    <w:rsid w:val="00D1161F"/>
    <w:rsid w:val="00D119B3"/>
    <w:rsid w:val="00D11F2B"/>
    <w:rsid w:val="00D121BB"/>
    <w:rsid w:val="00D1227B"/>
    <w:rsid w:val="00D138D0"/>
    <w:rsid w:val="00D13BC3"/>
    <w:rsid w:val="00D1475E"/>
    <w:rsid w:val="00D14C4E"/>
    <w:rsid w:val="00D157B7"/>
    <w:rsid w:val="00D16162"/>
    <w:rsid w:val="00D16796"/>
    <w:rsid w:val="00D17D56"/>
    <w:rsid w:val="00D20BE7"/>
    <w:rsid w:val="00D20EA7"/>
    <w:rsid w:val="00D2164D"/>
    <w:rsid w:val="00D21BA1"/>
    <w:rsid w:val="00D21CEA"/>
    <w:rsid w:val="00D22137"/>
    <w:rsid w:val="00D2295F"/>
    <w:rsid w:val="00D22BEA"/>
    <w:rsid w:val="00D22CD9"/>
    <w:rsid w:val="00D2334C"/>
    <w:rsid w:val="00D237D4"/>
    <w:rsid w:val="00D2458B"/>
    <w:rsid w:val="00D247A4"/>
    <w:rsid w:val="00D24823"/>
    <w:rsid w:val="00D253FB"/>
    <w:rsid w:val="00D254AC"/>
    <w:rsid w:val="00D25F25"/>
    <w:rsid w:val="00D276AF"/>
    <w:rsid w:val="00D27CE7"/>
    <w:rsid w:val="00D30768"/>
    <w:rsid w:val="00D309AF"/>
    <w:rsid w:val="00D30D44"/>
    <w:rsid w:val="00D30F94"/>
    <w:rsid w:val="00D3109C"/>
    <w:rsid w:val="00D314A7"/>
    <w:rsid w:val="00D3163C"/>
    <w:rsid w:val="00D3189B"/>
    <w:rsid w:val="00D31A3E"/>
    <w:rsid w:val="00D32132"/>
    <w:rsid w:val="00D3275F"/>
    <w:rsid w:val="00D3277C"/>
    <w:rsid w:val="00D32849"/>
    <w:rsid w:val="00D32F99"/>
    <w:rsid w:val="00D33755"/>
    <w:rsid w:val="00D33DD3"/>
    <w:rsid w:val="00D33F3B"/>
    <w:rsid w:val="00D33FB1"/>
    <w:rsid w:val="00D34470"/>
    <w:rsid w:val="00D34CB9"/>
    <w:rsid w:val="00D35518"/>
    <w:rsid w:val="00D35C28"/>
    <w:rsid w:val="00D35C6C"/>
    <w:rsid w:val="00D36B40"/>
    <w:rsid w:val="00D36D99"/>
    <w:rsid w:val="00D374C8"/>
    <w:rsid w:val="00D37A66"/>
    <w:rsid w:val="00D40670"/>
    <w:rsid w:val="00D40FA3"/>
    <w:rsid w:val="00D4172B"/>
    <w:rsid w:val="00D419E6"/>
    <w:rsid w:val="00D41ABD"/>
    <w:rsid w:val="00D41BB7"/>
    <w:rsid w:val="00D42BF9"/>
    <w:rsid w:val="00D43309"/>
    <w:rsid w:val="00D43917"/>
    <w:rsid w:val="00D4406D"/>
    <w:rsid w:val="00D44131"/>
    <w:rsid w:val="00D447D3"/>
    <w:rsid w:val="00D448CD"/>
    <w:rsid w:val="00D4534A"/>
    <w:rsid w:val="00D45469"/>
    <w:rsid w:val="00D456BB"/>
    <w:rsid w:val="00D45856"/>
    <w:rsid w:val="00D45D4D"/>
    <w:rsid w:val="00D4622F"/>
    <w:rsid w:val="00D46686"/>
    <w:rsid w:val="00D474CC"/>
    <w:rsid w:val="00D477C9"/>
    <w:rsid w:val="00D50330"/>
    <w:rsid w:val="00D503E7"/>
    <w:rsid w:val="00D509BF"/>
    <w:rsid w:val="00D50E31"/>
    <w:rsid w:val="00D51703"/>
    <w:rsid w:val="00D51D3B"/>
    <w:rsid w:val="00D51E52"/>
    <w:rsid w:val="00D51FE3"/>
    <w:rsid w:val="00D52086"/>
    <w:rsid w:val="00D52485"/>
    <w:rsid w:val="00D534AD"/>
    <w:rsid w:val="00D549CC"/>
    <w:rsid w:val="00D54F5C"/>
    <w:rsid w:val="00D55642"/>
    <w:rsid w:val="00D5668D"/>
    <w:rsid w:val="00D56A9A"/>
    <w:rsid w:val="00D56E69"/>
    <w:rsid w:val="00D57037"/>
    <w:rsid w:val="00D5717E"/>
    <w:rsid w:val="00D5750F"/>
    <w:rsid w:val="00D576E6"/>
    <w:rsid w:val="00D606AF"/>
    <w:rsid w:val="00D61143"/>
    <w:rsid w:val="00D6125B"/>
    <w:rsid w:val="00D614FE"/>
    <w:rsid w:val="00D62482"/>
    <w:rsid w:val="00D62BF7"/>
    <w:rsid w:val="00D63670"/>
    <w:rsid w:val="00D642EF"/>
    <w:rsid w:val="00D646AF"/>
    <w:rsid w:val="00D6475A"/>
    <w:rsid w:val="00D648B5"/>
    <w:rsid w:val="00D64907"/>
    <w:rsid w:val="00D6526B"/>
    <w:rsid w:val="00D65E51"/>
    <w:rsid w:val="00D66366"/>
    <w:rsid w:val="00D663B6"/>
    <w:rsid w:val="00D66534"/>
    <w:rsid w:val="00D66A57"/>
    <w:rsid w:val="00D66C57"/>
    <w:rsid w:val="00D66F02"/>
    <w:rsid w:val="00D67336"/>
    <w:rsid w:val="00D67A65"/>
    <w:rsid w:val="00D67AD7"/>
    <w:rsid w:val="00D67CA3"/>
    <w:rsid w:val="00D67CDD"/>
    <w:rsid w:val="00D703FC"/>
    <w:rsid w:val="00D70B85"/>
    <w:rsid w:val="00D717E6"/>
    <w:rsid w:val="00D72781"/>
    <w:rsid w:val="00D72957"/>
    <w:rsid w:val="00D72DFF"/>
    <w:rsid w:val="00D7331A"/>
    <w:rsid w:val="00D73768"/>
    <w:rsid w:val="00D73C08"/>
    <w:rsid w:val="00D74038"/>
    <w:rsid w:val="00D744B4"/>
    <w:rsid w:val="00D749EC"/>
    <w:rsid w:val="00D74C6A"/>
    <w:rsid w:val="00D74DEB"/>
    <w:rsid w:val="00D750BB"/>
    <w:rsid w:val="00D75377"/>
    <w:rsid w:val="00D753B6"/>
    <w:rsid w:val="00D756F4"/>
    <w:rsid w:val="00D7598D"/>
    <w:rsid w:val="00D76522"/>
    <w:rsid w:val="00D76BD7"/>
    <w:rsid w:val="00D76CB2"/>
    <w:rsid w:val="00D76EF0"/>
    <w:rsid w:val="00D76F4D"/>
    <w:rsid w:val="00D8036E"/>
    <w:rsid w:val="00D80EAC"/>
    <w:rsid w:val="00D81353"/>
    <w:rsid w:val="00D81655"/>
    <w:rsid w:val="00D8211F"/>
    <w:rsid w:val="00D83331"/>
    <w:rsid w:val="00D83BB8"/>
    <w:rsid w:val="00D83CA5"/>
    <w:rsid w:val="00D83CF1"/>
    <w:rsid w:val="00D83D1E"/>
    <w:rsid w:val="00D84240"/>
    <w:rsid w:val="00D84C8F"/>
    <w:rsid w:val="00D8683D"/>
    <w:rsid w:val="00D86FE3"/>
    <w:rsid w:val="00D8701C"/>
    <w:rsid w:val="00D87498"/>
    <w:rsid w:val="00D91908"/>
    <w:rsid w:val="00D91D33"/>
    <w:rsid w:val="00D92D7C"/>
    <w:rsid w:val="00D942EB"/>
    <w:rsid w:val="00D94ECC"/>
    <w:rsid w:val="00D95245"/>
    <w:rsid w:val="00D95381"/>
    <w:rsid w:val="00D95B3D"/>
    <w:rsid w:val="00D9623C"/>
    <w:rsid w:val="00D965C2"/>
    <w:rsid w:val="00D966B4"/>
    <w:rsid w:val="00D968B9"/>
    <w:rsid w:val="00D96A64"/>
    <w:rsid w:val="00D96D43"/>
    <w:rsid w:val="00D96D72"/>
    <w:rsid w:val="00D96FC5"/>
    <w:rsid w:val="00DA0494"/>
    <w:rsid w:val="00DA0F3C"/>
    <w:rsid w:val="00DA14C5"/>
    <w:rsid w:val="00DA168E"/>
    <w:rsid w:val="00DA20C6"/>
    <w:rsid w:val="00DA29E8"/>
    <w:rsid w:val="00DA2A7B"/>
    <w:rsid w:val="00DA344E"/>
    <w:rsid w:val="00DA41B8"/>
    <w:rsid w:val="00DA43E3"/>
    <w:rsid w:val="00DA50E0"/>
    <w:rsid w:val="00DA52D2"/>
    <w:rsid w:val="00DA6A97"/>
    <w:rsid w:val="00DA6BED"/>
    <w:rsid w:val="00DA791B"/>
    <w:rsid w:val="00DA7AEA"/>
    <w:rsid w:val="00DB008E"/>
    <w:rsid w:val="00DB00CD"/>
    <w:rsid w:val="00DB08BB"/>
    <w:rsid w:val="00DB10DC"/>
    <w:rsid w:val="00DB1910"/>
    <w:rsid w:val="00DB1B51"/>
    <w:rsid w:val="00DB1D55"/>
    <w:rsid w:val="00DB26D1"/>
    <w:rsid w:val="00DB2876"/>
    <w:rsid w:val="00DB3252"/>
    <w:rsid w:val="00DB430D"/>
    <w:rsid w:val="00DB4CB1"/>
    <w:rsid w:val="00DB5089"/>
    <w:rsid w:val="00DB6BB0"/>
    <w:rsid w:val="00DB7431"/>
    <w:rsid w:val="00DB75BD"/>
    <w:rsid w:val="00DB7DD3"/>
    <w:rsid w:val="00DC03AE"/>
    <w:rsid w:val="00DC076A"/>
    <w:rsid w:val="00DC0DF7"/>
    <w:rsid w:val="00DC0F23"/>
    <w:rsid w:val="00DC1AAB"/>
    <w:rsid w:val="00DC2915"/>
    <w:rsid w:val="00DC2D3F"/>
    <w:rsid w:val="00DC2F41"/>
    <w:rsid w:val="00DC35FF"/>
    <w:rsid w:val="00DC3A03"/>
    <w:rsid w:val="00DC3BA8"/>
    <w:rsid w:val="00DC413C"/>
    <w:rsid w:val="00DC53E7"/>
    <w:rsid w:val="00DC6A42"/>
    <w:rsid w:val="00DC6D1E"/>
    <w:rsid w:val="00DC6D20"/>
    <w:rsid w:val="00DC7197"/>
    <w:rsid w:val="00DC7535"/>
    <w:rsid w:val="00DC7B85"/>
    <w:rsid w:val="00DC7BCD"/>
    <w:rsid w:val="00DC7E1B"/>
    <w:rsid w:val="00DD0736"/>
    <w:rsid w:val="00DD0763"/>
    <w:rsid w:val="00DD0DDE"/>
    <w:rsid w:val="00DD1AC8"/>
    <w:rsid w:val="00DD1DDC"/>
    <w:rsid w:val="00DD2047"/>
    <w:rsid w:val="00DD2448"/>
    <w:rsid w:val="00DD2817"/>
    <w:rsid w:val="00DD28EF"/>
    <w:rsid w:val="00DD29CE"/>
    <w:rsid w:val="00DD37BE"/>
    <w:rsid w:val="00DD3E6B"/>
    <w:rsid w:val="00DD42DE"/>
    <w:rsid w:val="00DD477A"/>
    <w:rsid w:val="00DD4C61"/>
    <w:rsid w:val="00DD4F2B"/>
    <w:rsid w:val="00DD4FD4"/>
    <w:rsid w:val="00DD561A"/>
    <w:rsid w:val="00DD59F7"/>
    <w:rsid w:val="00DD5CD2"/>
    <w:rsid w:val="00DD6275"/>
    <w:rsid w:val="00DD64A4"/>
    <w:rsid w:val="00DD6ADC"/>
    <w:rsid w:val="00DD6D38"/>
    <w:rsid w:val="00DD7045"/>
    <w:rsid w:val="00DD7B84"/>
    <w:rsid w:val="00DD7CC2"/>
    <w:rsid w:val="00DD7E7A"/>
    <w:rsid w:val="00DE0397"/>
    <w:rsid w:val="00DE11C6"/>
    <w:rsid w:val="00DE165F"/>
    <w:rsid w:val="00DE1C0E"/>
    <w:rsid w:val="00DE2088"/>
    <w:rsid w:val="00DE2FAB"/>
    <w:rsid w:val="00DE2FFB"/>
    <w:rsid w:val="00DE3295"/>
    <w:rsid w:val="00DE35B3"/>
    <w:rsid w:val="00DE376A"/>
    <w:rsid w:val="00DE3C1B"/>
    <w:rsid w:val="00DE4130"/>
    <w:rsid w:val="00DE4190"/>
    <w:rsid w:val="00DE4FAB"/>
    <w:rsid w:val="00DE50D2"/>
    <w:rsid w:val="00DE5835"/>
    <w:rsid w:val="00DE5AE8"/>
    <w:rsid w:val="00DE5CE4"/>
    <w:rsid w:val="00DE699F"/>
    <w:rsid w:val="00DE766E"/>
    <w:rsid w:val="00DE7E0B"/>
    <w:rsid w:val="00DF02CB"/>
    <w:rsid w:val="00DF050C"/>
    <w:rsid w:val="00DF064B"/>
    <w:rsid w:val="00DF0675"/>
    <w:rsid w:val="00DF06B0"/>
    <w:rsid w:val="00DF0ECA"/>
    <w:rsid w:val="00DF11DC"/>
    <w:rsid w:val="00DF1484"/>
    <w:rsid w:val="00DF1F5B"/>
    <w:rsid w:val="00DF2629"/>
    <w:rsid w:val="00DF277F"/>
    <w:rsid w:val="00DF28B0"/>
    <w:rsid w:val="00DF390A"/>
    <w:rsid w:val="00DF39E3"/>
    <w:rsid w:val="00DF3B32"/>
    <w:rsid w:val="00DF3CE2"/>
    <w:rsid w:val="00DF3F8D"/>
    <w:rsid w:val="00DF48CB"/>
    <w:rsid w:val="00DF4D93"/>
    <w:rsid w:val="00DF546A"/>
    <w:rsid w:val="00DF5BF6"/>
    <w:rsid w:val="00DF6452"/>
    <w:rsid w:val="00DF6D25"/>
    <w:rsid w:val="00DF6DD2"/>
    <w:rsid w:val="00DF7954"/>
    <w:rsid w:val="00DF79EA"/>
    <w:rsid w:val="00DF7B78"/>
    <w:rsid w:val="00E00AB3"/>
    <w:rsid w:val="00E00F14"/>
    <w:rsid w:val="00E01284"/>
    <w:rsid w:val="00E016C7"/>
    <w:rsid w:val="00E01E73"/>
    <w:rsid w:val="00E02118"/>
    <w:rsid w:val="00E02AA7"/>
    <w:rsid w:val="00E02D82"/>
    <w:rsid w:val="00E02E58"/>
    <w:rsid w:val="00E033B7"/>
    <w:rsid w:val="00E039B5"/>
    <w:rsid w:val="00E039F0"/>
    <w:rsid w:val="00E03B26"/>
    <w:rsid w:val="00E03E03"/>
    <w:rsid w:val="00E03F28"/>
    <w:rsid w:val="00E04396"/>
    <w:rsid w:val="00E04B0C"/>
    <w:rsid w:val="00E04D4D"/>
    <w:rsid w:val="00E05153"/>
    <w:rsid w:val="00E05C6E"/>
    <w:rsid w:val="00E05DDF"/>
    <w:rsid w:val="00E06055"/>
    <w:rsid w:val="00E069D4"/>
    <w:rsid w:val="00E06C2F"/>
    <w:rsid w:val="00E06C6B"/>
    <w:rsid w:val="00E07097"/>
    <w:rsid w:val="00E07AC2"/>
    <w:rsid w:val="00E07BFC"/>
    <w:rsid w:val="00E1000C"/>
    <w:rsid w:val="00E1053D"/>
    <w:rsid w:val="00E10E69"/>
    <w:rsid w:val="00E11AB9"/>
    <w:rsid w:val="00E11BA7"/>
    <w:rsid w:val="00E11E48"/>
    <w:rsid w:val="00E12939"/>
    <w:rsid w:val="00E135BF"/>
    <w:rsid w:val="00E13CE6"/>
    <w:rsid w:val="00E14BA1"/>
    <w:rsid w:val="00E14F43"/>
    <w:rsid w:val="00E15728"/>
    <w:rsid w:val="00E16253"/>
    <w:rsid w:val="00E170FA"/>
    <w:rsid w:val="00E175C9"/>
    <w:rsid w:val="00E17EE9"/>
    <w:rsid w:val="00E21224"/>
    <w:rsid w:val="00E21ABE"/>
    <w:rsid w:val="00E21C33"/>
    <w:rsid w:val="00E22CD7"/>
    <w:rsid w:val="00E24399"/>
    <w:rsid w:val="00E244C6"/>
    <w:rsid w:val="00E24C45"/>
    <w:rsid w:val="00E24DD8"/>
    <w:rsid w:val="00E251E0"/>
    <w:rsid w:val="00E255C0"/>
    <w:rsid w:val="00E26157"/>
    <w:rsid w:val="00E26297"/>
    <w:rsid w:val="00E26430"/>
    <w:rsid w:val="00E265E3"/>
    <w:rsid w:val="00E266F6"/>
    <w:rsid w:val="00E2729F"/>
    <w:rsid w:val="00E274C6"/>
    <w:rsid w:val="00E2781A"/>
    <w:rsid w:val="00E27C92"/>
    <w:rsid w:val="00E30ABF"/>
    <w:rsid w:val="00E30D4C"/>
    <w:rsid w:val="00E3103E"/>
    <w:rsid w:val="00E310BF"/>
    <w:rsid w:val="00E312DB"/>
    <w:rsid w:val="00E31878"/>
    <w:rsid w:val="00E31DCC"/>
    <w:rsid w:val="00E32559"/>
    <w:rsid w:val="00E32E05"/>
    <w:rsid w:val="00E33936"/>
    <w:rsid w:val="00E3417A"/>
    <w:rsid w:val="00E34438"/>
    <w:rsid w:val="00E34B2C"/>
    <w:rsid w:val="00E35550"/>
    <w:rsid w:val="00E3654C"/>
    <w:rsid w:val="00E369EE"/>
    <w:rsid w:val="00E378A5"/>
    <w:rsid w:val="00E37F16"/>
    <w:rsid w:val="00E37F17"/>
    <w:rsid w:val="00E405E3"/>
    <w:rsid w:val="00E4099A"/>
    <w:rsid w:val="00E40C29"/>
    <w:rsid w:val="00E41005"/>
    <w:rsid w:val="00E41096"/>
    <w:rsid w:val="00E412F8"/>
    <w:rsid w:val="00E4130A"/>
    <w:rsid w:val="00E41399"/>
    <w:rsid w:val="00E41457"/>
    <w:rsid w:val="00E42781"/>
    <w:rsid w:val="00E4384C"/>
    <w:rsid w:val="00E43F55"/>
    <w:rsid w:val="00E440F0"/>
    <w:rsid w:val="00E44546"/>
    <w:rsid w:val="00E45302"/>
    <w:rsid w:val="00E455B1"/>
    <w:rsid w:val="00E458B7"/>
    <w:rsid w:val="00E459DE"/>
    <w:rsid w:val="00E45D69"/>
    <w:rsid w:val="00E46988"/>
    <w:rsid w:val="00E469C2"/>
    <w:rsid w:val="00E46B3F"/>
    <w:rsid w:val="00E46CD5"/>
    <w:rsid w:val="00E4786F"/>
    <w:rsid w:val="00E47CFA"/>
    <w:rsid w:val="00E47FF7"/>
    <w:rsid w:val="00E50026"/>
    <w:rsid w:val="00E50112"/>
    <w:rsid w:val="00E512CD"/>
    <w:rsid w:val="00E512FC"/>
    <w:rsid w:val="00E51F21"/>
    <w:rsid w:val="00E526CF"/>
    <w:rsid w:val="00E52946"/>
    <w:rsid w:val="00E52BFA"/>
    <w:rsid w:val="00E52C8D"/>
    <w:rsid w:val="00E5358D"/>
    <w:rsid w:val="00E537D5"/>
    <w:rsid w:val="00E537DC"/>
    <w:rsid w:val="00E53A48"/>
    <w:rsid w:val="00E53B15"/>
    <w:rsid w:val="00E54060"/>
    <w:rsid w:val="00E5594C"/>
    <w:rsid w:val="00E559E8"/>
    <w:rsid w:val="00E56C19"/>
    <w:rsid w:val="00E572D3"/>
    <w:rsid w:val="00E5781A"/>
    <w:rsid w:val="00E5794B"/>
    <w:rsid w:val="00E6006D"/>
    <w:rsid w:val="00E60B2C"/>
    <w:rsid w:val="00E61A91"/>
    <w:rsid w:val="00E61D06"/>
    <w:rsid w:val="00E61F97"/>
    <w:rsid w:val="00E62F4E"/>
    <w:rsid w:val="00E63081"/>
    <w:rsid w:val="00E63279"/>
    <w:rsid w:val="00E63587"/>
    <w:rsid w:val="00E64C1D"/>
    <w:rsid w:val="00E64D7D"/>
    <w:rsid w:val="00E656D7"/>
    <w:rsid w:val="00E6624F"/>
    <w:rsid w:val="00E662D9"/>
    <w:rsid w:val="00E66692"/>
    <w:rsid w:val="00E66994"/>
    <w:rsid w:val="00E66A24"/>
    <w:rsid w:val="00E66A8A"/>
    <w:rsid w:val="00E66D3F"/>
    <w:rsid w:val="00E674BD"/>
    <w:rsid w:val="00E67E17"/>
    <w:rsid w:val="00E707CE"/>
    <w:rsid w:val="00E7089B"/>
    <w:rsid w:val="00E708ED"/>
    <w:rsid w:val="00E71850"/>
    <w:rsid w:val="00E7241B"/>
    <w:rsid w:val="00E72593"/>
    <w:rsid w:val="00E72D2C"/>
    <w:rsid w:val="00E730FC"/>
    <w:rsid w:val="00E73737"/>
    <w:rsid w:val="00E739F6"/>
    <w:rsid w:val="00E73BFC"/>
    <w:rsid w:val="00E73ECE"/>
    <w:rsid w:val="00E74698"/>
    <w:rsid w:val="00E74727"/>
    <w:rsid w:val="00E74BD5"/>
    <w:rsid w:val="00E750CA"/>
    <w:rsid w:val="00E7592A"/>
    <w:rsid w:val="00E75C22"/>
    <w:rsid w:val="00E75E07"/>
    <w:rsid w:val="00E76301"/>
    <w:rsid w:val="00E76CCC"/>
    <w:rsid w:val="00E77179"/>
    <w:rsid w:val="00E77DA8"/>
    <w:rsid w:val="00E77EC6"/>
    <w:rsid w:val="00E801EE"/>
    <w:rsid w:val="00E80647"/>
    <w:rsid w:val="00E80BED"/>
    <w:rsid w:val="00E8110B"/>
    <w:rsid w:val="00E81EA6"/>
    <w:rsid w:val="00E82B3E"/>
    <w:rsid w:val="00E83128"/>
    <w:rsid w:val="00E8337D"/>
    <w:rsid w:val="00E839DA"/>
    <w:rsid w:val="00E83FC2"/>
    <w:rsid w:val="00E8407B"/>
    <w:rsid w:val="00E846DF"/>
    <w:rsid w:val="00E84CD3"/>
    <w:rsid w:val="00E8525E"/>
    <w:rsid w:val="00E8567D"/>
    <w:rsid w:val="00E85C4D"/>
    <w:rsid w:val="00E85FBC"/>
    <w:rsid w:val="00E8610F"/>
    <w:rsid w:val="00E86243"/>
    <w:rsid w:val="00E86F13"/>
    <w:rsid w:val="00E8742E"/>
    <w:rsid w:val="00E8765F"/>
    <w:rsid w:val="00E877FF"/>
    <w:rsid w:val="00E87ED4"/>
    <w:rsid w:val="00E9064A"/>
    <w:rsid w:val="00E90667"/>
    <w:rsid w:val="00E90B4F"/>
    <w:rsid w:val="00E915E3"/>
    <w:rsid w:val="00E91FD7"/>
    <w:rsid w:val="00E92375"/>
    <w:rsid w:val="00E92C82"/>
    <w:rsid w:val="00E931DD"/>
    <w:rsid w:val="00E93897"/>
    <w:rsid w:val="00E93927"/>
    <w:rsid w:val="00E93EB4"/>
    <w:rsid w:val="00E943B1"/>
    <w:rsid w:val="00E947EC"/>
    <w:rsid w:val="00E94B36"/>
    <w:rsid w:val="00E94DA2"/>
    <w:rsid w:val="00E95883"/>
    <w:rsid w:val="00E95963"/>
    <w:rsid w:val="00E95B61"/>
    <w:rsid w:val="00E95E6E"/>
    <w:rsid w:val="00E963B5"/>
    <w:rsid w:val="00E968FE"/>
    <w:rsid w:val="00E96CC3"/>
    <w:rsid w:val="00E96D45"/>
    <w:rsid w:val="00E96E8C"/>
    <w:rsid w:val="00E971DC"/>
    <w:rsid w:val="00E97B4B"/>
    <w:rsid w:val="00E97BD9"/>
    <w:rsid w:val="00EA001F"/>
    <w:rsid w:val="00EA0528"/>
    <w:rsid w:val="00EA1A4E"/>
    <w:rsid w:val="00EA1D7C"/>
    <w:rsid w:val="00EA2C95"/>
    <w:rsid w:val="00EA3432"/>
    <w:rsid w:val="00EA353E"/>
    <w:rsid w:val="00EA3587"/>
    <w:rsid w:val="00EA3983"/>
    <w:rsid w:val="00EA3F02"/>
    <w:rsid w:val="00EA44A0"/>
    <w:rsid w:val="00EA48B1"/>
    <w:rsid w:val="00EA4A20"/>
    <w:rsid w:val="00EA4CE2"/>
    <w:rsid w:val="00EA5019"/>
    <w:rsid w:val="00EA626B"/>
    <w:rsid w:val="00EA796E"/>
    <w:rsid w:val="00EA7AEA"/>
    <w:rsid w:val="00EB07FC"/>
    <w:rsid w:val="00EB08C9"/>
    <w:rsid w:val="00EB1327"/>
    <w:rsid w:val="00EB13BA"/>
    <w:rsid w:val="00EB1C6A"/>
    <w:rsid w:val="00EB3151"/>
    <w:rsid w:val="00EB4197"/>
    <w:rsid w:val="00EB41CB"/>
    <w:rsid w:val="00EB42EA"/>
    <w:rsid w:val="00EB4756"/>
    <w:rsid w:val="00EB4934"/>
    <w:rsid w:val="00EB5461"/>
    <w:rsid w:val="00EB5900"/>
    <w:rsid w:val="00EB599F"/>
    <w:rsid w:val="00EB5D3E"/>
    <w:rsid w:val="00EB683A"/>
    <w:rsid w:val="00EB6949"/>
    <w:rsid w:val="00EB6A26"/>
    <w:rsid w:val="00EB79D0"/>
    <w:rsid w:val="00EC0D2C"/>
    <w:rsid w:val="00EC1CCB"/>
    <w:rsid w:val="00EC23A7"/>
    <w:rsid w:val="00EC2A7F"/>
    <w:rsid w:val="00EC332C"/>
    <w:rsid w:val="00EC3356"/>
    <w:rsid w:val="00EC3386"/>
    <w:rsid w:val="00EC377E"/>
    <w:rsid w:val="00EC4AFD"/>
    <w:rsid w:val="00EC4C1A"/>
    <w:rsid w:val="00EC4F15"/>
    <w:rsid w:val="00EC5117"/>
    <w:rsid w:val="00EC5185"/>
    <w:rsid w:val="00EC582B"/>
    <w:rsid w:val="00EC59A9"/>
    <w:rsid w:val="00EC5DBA"/>
    <w:rsid w:val="00EC67B1"/>
    <w:rsid w:val="00EC6A35"/>
    <w:rsid w:val="00EC7010"/>
    <w:rsid w:val="00EC743D"/>
    <w:rsid w:val="00EC7D90"/>
    <w:rsid w:val="00ED0067"/>
    <w:rsid w:val="00ED06E4"/>
    <w:rsid w:val="00ED0922"/>
    <w:rsid w:val="00ED113C"/>
    <w:rsid w:val="00ED1EFE"/>
    <w:rsid w:val="00ED25AC"/>
    <w:rsid w:val="00ED263E"/>
    <w:rsid w:val="00ED296D"/>
    <w:rsid w:val="00ED2C9D"/>
    <w:rsid w:val="00ED2DE9"/>
    <w:rsid w:val="00ED385D"/>
    <w:rsid w:val="00ED395E"/>
    <w:rsid w:val="00ED3F7A"/>
    <w:rsid w:val="00ED4554"/>
    <w:rsid w:val="00ED5174"/>
    <w:rsid w:val="00ED6A43"/>
    <w:rsid w:val="00ED6A74"/>
    <w:rsid w:val="00ED6AD8"/>
    <w:rsid w:val="00ED6C79"/>
    <w:rsid w:val="00ED6DC0"/>
    <w:rsid w:val="00ED742F"/>
    <w:rsid w:val="00EE04CA"/>
    <w:rsid w:val="00EE1178"/>
    <w:rsid w:val="00EE2353"/>
    <w:rsid w:val="00EE2509"/>
    <w:rsid w:val="00EE2914"/>
    <w:rsid w:val="00EE2D3C"/>
    <w:rsid w:val="00EE3D03"/>
    <w:rsid w:val="00EE4E01"/>
    <w:rsid w:val="00EE52D9"/>
    <w:rsid w:val="00EE53BD"/>
    <w:rsid w:val="00EE5EE3"/>
    <w:rsid w:val="00EE5F4E"/>
    <w:rsid w:val="00EE6AE1"/>
    <w:rsid w:val="00EE708F"/>
    <w:rsid w:val="00EE740D"/>
    <w:rsid w:val="00EE79B8"/>
    <w:rsid w:val="00EE7C06"/>
    <w:rsid w:val="00EF020F"/>
    <w:rsid w:val="00EF1203"/>
    <w:rsid w:val="00EF131B"/>
    <w:rsid w:val="00EF1488"/>
    <w:rsid w:val="00EF14F3"/>
    <w:rsid w:val="00EF1B71"/>
    <w:rsid w:val="00EF1B80"/>
    <w:rsid w:val="00EF291A"/>
    <w:rsid w:val="00EF3317"/>
    <w:rsid w:val="00EF377A"/>
    <w:rsid w:val="00EF3D50"/>
    <w:rsid w:val="00EF4850"/>
    <w:rsid w:val="00EF48FC"/>
    <w:rsid w:val="00EF4BC6"/>
    <w:rsid w:val="00EF4C87"/>
    <w:rsid w:val="00EF4FBC"/>
    <w:rsid w:val="00EF5B08"/>
    <w:rsid w:val="00EF5C75"/>
    <w:rsid w:val="00EF6AE9"/>
    <w:rsid w:val="00EF77B6"/>
    <w:rsid w:val="00EF78DF"/>
    <w:rsid w:val="00EF7B9C"/>
    <w:rsid w:val="00F00C9B"/>
    <w:rsid w:val="00F00E2C"/>
    <w:rsid w:val="00F0250B"/>
    <w:rsid w:val="00F02533"/>
    <w:rsid w:val="00F02710"/>
    <w:rsid w:val="00F02AE6"/>
    <w:rsid w:val="00F03227"/>
    <w:rsid w:val="00F03263"/>
    <w:rsid w:val="00F033E8"/>
    <w:rsid w:val="00F03991"/>
    <w:rsid w:val="00F03CF3"/>
    <w:rsid w:val="00F04162"/>
    <w:rsid w:val="00F041C1"/>
    <w:rsid w:val="00F05586"/>
    <w:rsid w:val="00F05B76"/>
    <w:rsid w:val="00F05BA8"/>
    <w:rsid w:val="00F05C7D"/>
    <w:rsid w:val="00F06EEC"/>
    <w:rsid w:val="00F0753A"/>
    <w:rsid w:val="00F07A25"/>
    <w:rsid w:val="00F07B96"/>
    <w:rsid w:val="00F10A27"/>
    <w:rsid w:val="00F10C51"/>
    <w:rsid w:val="00F10D75"/>
    <w:rsid w:val="00F12080"/>
    <w:rsid w:val="00F122BB"/>
    <w:rsid w:val="00F125D4"/>
    <w:rsid w:val="00F12AF9"/>
    <w:rsid w:val="00F12DA4"/>
    <w:rsid w:val="00F135B0"/>
    <w:rsid w:val="00F13C5A"/>
    <w:rsid w:val="00F13F78"/>
    <w:rsid w:val="00F14BDB"/>
    <w:rsid w:val="00F14EA3"/>
    <w:rsid w:val="00F15136"/>
    <w:rsid w:val="00F15437"/>
    <w:rsid w:val="00F15838"/>
    <w:rsid w:val="00F15990"/>
    <w:rsid w:val="00F16BC7"/>
    <w:rsid w:val="00F2093D"/>
    <w:rsid w:val="00F2098E"/>
    <w:rsid w:val="00F2139B"/>
    <w:rsid w:val="00F21728"/>
    <w:rsid w:val="00F21C95"/>
    <w:rsid w:val="00F226B5"/>
    <w:rsid w:val="00F22AF2"/>
    <w:rsid w:val="00F22D2B"/>
    <w:rsid w:val="00F2311C"/>
    <w:rsid w:val="00F237E9"/>
    <w:rsid w:val="00F244D6"/>
    <w:rsid w:val="00F2485B"/>
    <w:rsid w:val="00F24ABC"/>
    <w:rsid w:val="00F2677A"/>
    <w:rsid w:val="00F26B02"/>
    <w:rsid w:val="00F26D9F"/>
    <w:rsid w:val="00F2704C"/>
    <w:rsid w:val="00F27D29"/>
    <w:rsid w:val="00F30023"/>
    <w:rsid w:val="00F3034D"/>
    <w:rsid w:val="00F30B47"/>
    <w:rsid w:val="00F315A4"/>
    <w:rsid w:val="00F31D9B"/>
    <w:rsid w:val="00F3261D"/>
    <w:rsid w:val="00F326D0"/>
    <w:rsid w:val="00F32D13"/>
    <w:rsid w:val="00F32FCA"/>
    <w:rsid w:val="00F33424"/>
    <w:rsid w:val="00F33426"/>
    <w:rsid w:val="00F33ABC"/>
    <w:rsid w:val="00F34675"/>
    <w:rsid w:val="00F34A3D"/>
    <w:rsid w:val="00F352DC"/>
    <w:rsid w:val="00F35578"/>
    <w:rsid w:val="00F35C73"/>
    <w:rsid w:val="00F35FCE"/>
    <w:rsid w:val="00F36186"/>
    <w:rsid w:val="00F36994"/>
    <w:rsid w:val="00F3738A"/>
    <w:rsid w:val="00F37E25"/>
    <w:rsid w:val="00F40047"/>
    <w:rsid w:val="00F40642"/>
    <w:rsid w:val="00F40D3B"/>
    <w:rsid w:val="00F41192"/>
    <w:rsid w:val="00F41254"/>
    <w:rsid w:val="00F41457"/>
    <w:rsid w:val="00F42430"/>
    <w:rsid w:val="00F42464"/>
    <w:rsid w:val="00F424C9"/>
    <w:rsid w:val="00F427ED"/>
    <w:rsid w:val="00F43D0E"/>
    <w:rsid w:val="00F44317"/>
    <w:rsid w:val="00F44712"/>
    <w:rsid w:val="00F449B3"/>
    <w:rsid w:val="00F44C78"/>
    <w:rsid w:val="00F44D15"/>
    <w:rsid w:val="00F453CE"/>
    <w:rsid w:val="00F457FF"/>
    <w:rsid w:val="00F462CD"/>
    <w:rsid w:val="00F47559"/>
    <w:rsid w:val="00F47845"/>
    <w:rsid w:val="00F50B2A"/>
    <w:rsid w:val="00F51092"/>
    <w:rsid w:val="00F51137"/>
    <w:rsid w:val="00F5187A"/>
    <w:rsid w:val="00F5256D"/>
    <w:rsid w:val="00F52D17"/>
    <w:rsid w:val="00F53160"/>
    <w:rsid w:val="00F534D9"/>
    <w:rsid w:val="00F53656"/>
    <w:rsid w:val="00F54314"/>
    <w:rsid w:val="00F54887"/>
    <w:rsid w:val="00F5498F"/>
    <w:rsid w:val="00F54D40"/>
    <w:rsid w:val="00F556C7"/>
    <w:rsid w:val="00F55750"/>
    <w:rsid w:val="00F55EAB"/>
    <w:rsid w:val="00F56039"/>
    <w:rsid w:val="00F5619D"/>
    <w:rsid w:val="00F563C0"/>
    <w:rsid w:val="00F5644F"/>
    <w:rsid w:val="00F5672F"/>
    <w:rsid w:val="00F567BA"/>
    <w:rsid w:val="00F56D53"/>
    <w:rsid w:val="00F57375"/>
    <w:rsid w:val="00F57BB6"/>
    <w:rsid w:val="00F60A2D"/>
    <w:rsid w:val="00F60C18"/>
    <w:rsid w:val="00F61BEF"/>
    <w:rsid w:val="00F622E0"/>
    <w:rsid w:val="00F63354"/>
    <w:rsid w:val="00F63441"/>
    <w:rsid w:val="00F6351E"/>
    <w:rsid w:val="00F63A4D"/>
    <w:rsid w:val="00F64C15"/>
    <w:rsid w:val="00F65263"/>
    <w:rsid w:val="00F65456"/>
    <w:rsid w:val="00F654A1"/>
    <w:rsid w:val="00F66261"/>
    <w:rsid w:val="00F66B41"/>
    <w:rsid w:val="00F66D8B"/>
    <w:rsid w:val="00F67B48"/>
    <w:rsid w:val="00F67E35"/>
    <w:rsid w:val="00F702DD"/>
    <w:rsid w:val="00F704FF"/>
    <w:rsid w:val="00F7138C"/>
    <w:rsid w:val="00F72855"/>
    <w:rsid w:val="00F72F69"/>
    <w:rsid w:val="00F736D5"/>
    <w:rsid w:val="00F7458F"/>
    <w:rsid w:val="00F74E81"/>
    <w:rsid w:val="00F7538F"/>
    <w:rsid w:val="00F753D2"/>
    <w:rsid w:val="00F756B5"/>
    <w:rsid w:val="00F758AF"/>
    <w:rsid w:val="00F75979"/>
    <w:rsid w:val="00F75FC3"/>
    <w:rsid w:val="00F76519"/>
    <w:rsid w:val="00F76783"/>
    <w:rsid w:val="00F7694F"/>
    <w:rsid w:val="00F77A1E"/>
    <w:rsid w:val="00F80268"/>
    <w:rsid w:val="00F80554"/>
    <w:rsid w:val="00F80E9D"/>
    <w:rsid w:val="00F82030"/>
    <w:rsid w:val="00F820F7"/>
    <w:rsid w:val="00F82A0E"/>
    <w:rsid w:val="00F82B5F"/>
    <w:rsid w:val="00F82BA5"/>
    <w:rsid w:val="00F8342A"/>
    <w:rsid w:val="00F837C9"/>
    <w:rsid w:val="00F838E7"/>
    <w:rsid w:val="00F83C6F"/>
    <w:rsid w:val="00F83F7F"/>
    <w:rsid w:val="00F842DC"/>
    <w:rsid w:val="00F848CE"/>
    <w:rsid w:val="00F84BA1"/>
    <w:rsid w:val="00F84C88"/>
    <w:rsid w:val="00F84DA3"/>
    <w:rsid w:val="00F84E3A"/>
    <w:rsid w:val="00F84F83"/>
    <w:rsid w:val="00F851E3"/>
    <w:rsid w:val="00F85A9C"/>
    <w:rsid w:val="00F86E7D"/>
    <w:rsid w:val="00F86EBB"/>
    <w:rsid w:val="00F870A4"/>
    <w:rsid w:val="00F904D9"/>
    <w:rsid w:val="00F90BEC"/>
    <w:rsid w:val="00F91627"/>
    <w:rsid w:val="00F9167A"/>
    <w:rsid w:val="00F917B1"/>
    <w:rsid w:val="00F92914"/>
    <w:rsid w:val="00F92E72"/>
    <w:rsid w:val="00F92F49"/>
    <w:rsid w:val="00F931C6"/>
    <w:rsid w:val="00F93BE1"/>
    <w:rsid w:val="00F94606"/>
    <w:rsid w:val="00F947B8"/>
    <w:rsid w:val="00F9490A"/>
    <w:rsid w:val="00F94C9C"/>
    <w:rsid w:val="00F94E95"/>
    <w:rsid w:val="00F958A9"/>
    <w:rsid w:val="00F96113"/>
    <w:rsid w:val="00F96180"/>
    <w:rsid w:val="00F9696E"/>
    <w:rsid w:val="00F970FB"/>
    <w:rsid w:val="00F971A6"/>
    <w:rsid w:val="00F97354"/>
    <w:rsid w:val="00FA07D0"/>
    <w:rsid w:val="00FA0CEE"/>
    <w:rsid w:val="00FA181B"/>
    <w:rsid w:val="00FA3AB2"/>
    <w:rsid w:val="00FA49E8"/>
    <w:rsid w:val="00FA4B2F"/>
    <w:rsid w:val="00FA4FAD"/>
    <w:rsid w:val="00FA5449"/>
    <w:rsid w:val="00FA64BA"/>
    <w:rsid w:val="00FA6D55"/>
    <w:rsid w:val="00FA798B"/>
    <w:rsid w:val="00FB07A1"/>
    <w:rsid w:val="00FB092E"/>
    <w:rsid w:val="00FB0CE6"/>
    <w:rsid w:val="00FB0F03"/>
    <w:rsid w:val="00FB1464"/>
    <w:rsid w:val="00FB1DAE"/>
    <w:rsid w:val="00FB24BC"/>
    <w:rsid w:val="00FB266A"/>
    <w:rsid w:val="00FB2A75"/>
    <w:rsid w:val="00FB39B8"/>
    <w:rsid w:val="00FB39CB"/>
    <w:rsid w:val="00FB41A3"/>
    <w:rsid w:val="00FB4255"/>
    <w:rsid w:val="00FB511D"/>
    <w:rsid w:val="00FB57F1"/>
    <w:rsid w:val="00FB5AB2"/>
    <w:rsid w:val="00FB60E8"/>
    <w:rsid w:val="00FB68F6"/>
    <w:rsid w:val="00FB6E3B"/>
    <w:rsid w:val="00FB7259"/>
    <w:rsid w:val="00FB730B"/>
    <w:rsid w:val="00FB7549"/>
    <w:rsid w:val="00FB7683"/>
    <w:rsid w:val="00FB7A06"/>
    <w:rsid w:val="00FC00D7"/>
    <w:rsid w:val="00FC0558"/>
    <w:rsid w:val="00FC0C8F"/>
    <w:rsid w:val="00FC0CEF"/>
    <w:rsid w:val="00FC0D20"/>
    <w:rsid w:val="00FC0FB1"/>
    <w:rsid w:val="00FC1472"/>
    <w:rsid w:val="00FC1AB9"/>
    <w:rsid w:val="00FC1B5D"/>
    <w:rsid w:val="00FC1B7C"/>
    <w:rsid w:val="00FC1F93"/>
    <w:rsid w:val="00FC2148"/>
    <w:rsid w:val="00FC2254"/>
    <w:rsid w:val="00FC25A3"/>
    <w:rsid w:val="00FC261A"/>
    <w:rsid w:val="00FC2EAD"/>
    <w:rsid w:val="00FC30DA"/>
    <w:rsid w:val="00FC3F78"/>
    <w:rsid w:val="00FC40EB"/>
    <w:rsid w:val="00FC46AF"/>
    <w:rsid w:val="00FC54B8"/>
    <w:rsid w:val="00FC54F0"/>
    <w:rsid w:val="00FC569C"/>
    <w:rsid w:val="00FC5851"/>
    <w:rsid w:val="00FC590E"/>
    <w:rsid w:val="00FC5DF4"/>
    <w:rsid w:val="00FC600C"/>
    <w:rsid w:val="00FC62A2"/>
    <w:rsid w:val="00FC64EE"/>
    <w:rsid w:val="00FC67BE"/>
    <w:rsid w:val="00FC695E"/>
    <w:rsid w:val="00FC6C57"/>
    <w:rsid w:val="00FC6CAA"/>
    <w:rsid w:val="00FC6F3B"/>
    <w:rsid w:val="00FC73E0"/>
    <w:rsid w:val="00FC772C"/>
    <w:rsid w:val="00FD01A0"/>
    <w:rsid w:val="00FD0ADD"/>
    <w:rsid w:val="00FD0BB1"/>
    <w:rsid w:val="00FD1430"/>
    <w:rsid w:val="00FD18E2"/>
    <w:rsid w:val="00FD1AB9"/>
    <w:rsid w:val="00FD3157"/>
    <w:rsid w:val="00FD3242"/>
    <w:rsid w:val="00FD3DC6"/>
    <w:rsid w:val="00FD3F5B"/>
    <w:rsid w:val="00FD45E8"/>
    <w:rsid w:val="00FD55ED"/>
    <w:rsid w:val="00FD5DDD"/>
    <w:rsid w:val="00FD5E15"/>
    <w:rsid w:val="00FD6567"/>
    <w:rsid w:val="00FD7340"/>
    <w:rsid w:val="00FD73D4"/>
    <w:rsid w:val="00FE115F"/>
    <w:rsid w:val="00FE1A5A"/>
    <w:rsid w:val="00FE1DA0"/>
    <w:rsid w:val="00FE1DCB"/>
    <w:rsid w:val="00FE2537"/>
    <w:rsid w:val="00FE48F5"/>
    <w:rsid w:val="00FE4C3E"/>
    <w:rsid w:val="00FE59EC"/>
    <w:rsid w:val="00FE5D30"/>
    <w:rsid w:val="00FE6DBB"/>
    <w:rsid w:val="00FE70FC"/>
    <w:rsid w:val="00FE7D04"/>
    <w:rsid w:val="00FF00C8"/>
    <w:rsid w:val="00FF0344"/>
    <w:rsid w:val="00FF03CB"/>
    <w:rsid w:val="00FF044B"/>
    <w:rsid w:val="00FF0691"/>
    <w:rsid w:val="00FF0E7D"/>
    <w:rsid w:val="00FF155F"/>
    <w:rsid w:val="00FF21A7"/>
    <w:rsid w:val="00FF22E4"/>
    <w:rsid w:val="00FF22F0"/>
    <w:rsid w:val="00FF2302"/>
    <w:rsid w:val="00FF238E"/>
    <w:rsid w:val="00FF25C4"/>
    <w:rsid w:val="00FF27D7"/>
    <w:rsid w:val="00FF29C7"/>
    <w:rsid w:val="00FF2B31"/>
    <w:rsid w:val="00FF2D51"/>
    <w:rsid w:val="00FF2DD7"/>
    <w:rsid w:val="00FF34AC"/>
    <w:rsid w:val="00FF37C3"/>
    <w:rsid w:val="00FF3983"/>
    <w:rsid w:val="00FF4544"/>
    <w:rsid w:val="00FF4BC9"/>
    <w:rsid w:val="00FF5041"/>
    <w:rsid w:val="00FF5CF6"/>
    <w:rsid w:val="00FF5F6A"/>
    <w:rsid w:val="00FF66EC"/>
    <w:rsid w:val="00FF7981"/>
    <w:rsid w:val="00FF79F3"/>
    <w:rsid w:val="01080EEF"/>
    <w:rsid w:val="01361502"/>
    <w:rsid w:val="023E4970"/>
    <w:rsid w:val="02EBB64D"/>
    <w:rsid w:val="02FB9F59"/>
    <w:rsid w:val="037A3D9D"/>
    <w:rsid w:val="03993CB4"/>
    <w:rsid w:val="0501D433"/>
    <w:rsid w:val="0596E75C"/>
    <w:rsid w:val="059D8C53"/>
    <w:rsid w:val="05E86F0B"/>
    <w:rsid w:val="062099B1"/>
    <w:rsid w:val="062B2769"/>
    <w:rsid w:val="063311F9"/>
    <w:rsid w:val="06634056"/>
    <w:rsid w:val="0678CBA1"/>
    <w:rsid w:val="06D4C08C"/>
    <w:rsid w:val="0779478E"/>
    <w:rsid w:val="079A73E1"/>
    <w:rsid w:val="0897A596"/>
    <w:rsid w:val="089FDA9C"/>
    <w:rsid w:val="08EC3D4F"/>
    <w:rsid w:val="09E08E8A"/>
    <w:rsid w:val="0A88EF3A"/>
    <w:rsid w:val="0C353BCB"/>
    <w:rsid w:val="0D0DD40B"/>
    <w:rsid w:val="0D2E8B28"/>
    <w:rsid w:val="0D80D6B9"/>
    <w:rsid w:val="1031FD91"/>
    <w:rsid w:val="1133D520"/>
    <w:rsid w:val="116B3459"/>
    <w:rsid w:val="11840D2B"/>
    <w:rsid w:val="11D106F7"/>
    <w:rsid w:val="120BF7B7"/>
    <w:rsid w:val="12434622"/>
    <w:rsid w:val="12D15912"/>
    <w:rsid w:val="1372D6D4"/>
    <w:rsid w:val="1473BD54"/>
    <w:rsid w:val="14820F19"/>
    <w:rsid w:val="14902431"/>
    <w:rsid w:val="14B3B149"/>
    <w:rsid w:val="1508C8D0"/>
    <w:rsid w:val="15B22540"/>
    <w:rsid w:val="15D20B77"/>
    <w:rsid w:val="164307C9"/>
    <w:rsid w:val="170664FF"/>
    <w:rsid w:val="1716E505"/>
    <w:rsid w:val="176B7369"/>
    <w:rsid w:val="186F5B7C"/>
    <w:rsid w:val="196FE5B0"/>
    <w:rsid w:val="1A0F7356"/>
    <w:rsid w:val="1B7A2D61"/>
    <w:rsid w:val="1D2ED532"/>
    <w:rsid w:val="1D3CDC46"/>
    <w:rsid w:val="1D8EBC95"/>
    <w:rsid w:val="1DFEC057"/>
    <w:rsid w:val="1EC1B70C"/>
    <w:rsid w:val="1F1D03FD"/>
    <w:rsid w:val="1F30E64C"/>
    <w:rsid w:val="1FA23887"/>
    <w:rsid w:val="21E219C1"/>
    <w:rsid w:val="220513EF"/>
    <w:rsid w:val="22C77234"/>
    <w:rsid w:val="23B04EA5"/>
    <w:rsid w:val="247105FC"/>
    <w:rsid w:val="24DD50C9"/>
    <w:rsid w:val="2540500D"/>
    <w:rsid w:val="2604CDB5"/>
    <w:rsid w:val="260FEDD3"/>
    <w:rsid w:val="261F69A9"/>
    <w:rsid w:val="279391A5"/>
    <w:rsid w:val="27DC3EBB"/>
    <w:rsid w:val="28772372"/>
    <w:rsid w:val="290E9A9D"/>
    <w:rsid w:val="291F1812"/>
    <w:rsid w:val="2AA304A3"/>
    <w:rsid w:val="2B64B790"/>
    <w:rsid w:val="2C43B1CA"/>
    <w:rsid w:val="2CA70E90"/>
    <w:rsid w:val="2CD5AA6D"/>
    <w:rsid w:val="2CFAAB85"/>
    <w:rsid w:val="2CFB093C"/>
    <w:rsid w:val="2DC0ECBC"/>
    <w:rsid w:val="2E2D4B42"/>
    <w:rsid w:val="2E3D5457"/>
    <w:rsid w:val="2EB6F77E"/>
    <w:rsid w:val="2FE55C3F"/>
    <w:rsid w:val="30000AA1"/>
    <w:rsid w:val="30229E96"/>
    <w:rsid w:val="31BB78B0"/>
    <w:rsid w:val="3293FC80"/>
    <w:rsid w:val="34490D60"/>
    <w:rsid w:val="34BEC5B4"/>
    <w:rsid w:val="34E1CAF8"/>
    <w:rsid w:val="36AC6B72"/>
    <w:rsid w:val="378AA4D2"/>
    <w:rsid w:val="3937CB49"/>
    <w:rsid w:val="396F5487"/>
    <w:rsid w:val="398A56EE"/>
    <w:rsid w:val="3994D909"/>
    <w:rsid w:val="39ADCADF"/>
    <w:rsid w:val="3A150493"/>
    <w:rsid w:val="3A1F46AB"/>
    <w:rsid w:val="3A6C5FCF"/>
    <w:rsid w:val="3A95FB8D"/>
    <w:rsid w:val="3AA1C0C5"/>
    <w:rsid w:val="3B01722A"/>
    <w:rsid w:val="3D11E4B5"/>
    <w:rsid w:val="3FFB9CEA"/>
    <w:rsid w:val="40340719"/>
    <w:rsid w:val="42DD58D1"/>
    <w:rsid w:val="43F5D2C6"/>
    <w:rsid w:val="445FD5D9"/>
    <w:rsid w:val="44F306AD"/>
    <w:rsid w:val="45D849B0"/>
    <w:rsid w:val="46654722"/>
    <w:rsid w:val="46884E16"/>
    <w:rsid w:val="47FE538C"/>
    <w:rsid w:val="49BDA5D5"/>
    <w:rsid w:val="4A3D68C2"/>
    <w:rsid w:val="4A639E95"/>
    <w:rsid w:val="4B6BD24E"/>
    <w:rsid w:val="4B734BB1"/>
    <w:rsid w:val="4B9FBDBB"/>
    <w:rsid w:val="4C4A1C1F"/>
    <w:rsid w:val="4D7E05AA"/>
    <w:rsid w:val="4E62B3F4"/>
    <w:rsid w:val="4E837566"/>
    <w:rsid w:val="4EC1CD4A"/>
    <w:rsid w:val="4EE17F1E"/>
    <w:rsid w:val="4F29490D"/>
    <w:rsid w:val="4F463891"/>
    <w:rsid w:val="4FEA1885"/>
    <w:rsid w:val="514AFE3B"/>
    <w:rsid w:val="515B8821"/>
    <w:rsid w:val="51E87A51"/>
    <w:rsid w:val="51FB11B8"/>
    <w:rsid w:val="5227DC53"/>
    <w:rsid w:val="5276563F"/>
    <w:rsid w:val="52D4CC6E"/>
    <w:rsid w:val="53DB40A4"/>
    <w:rsid w:val="53EB50F4"/>
    <w:rsid w:val="5438F243"/>
    <w:rsid w:val="54575367"/>
    <w:rsid w:val="5487CA7E"/>
    <w:rsid w:val="54E083DF"/>
    <w:rsid w:val="54FA1EBA"/>
    <w:rsid w:val="550C0707"/>
    <w:rsid w:val="5608316D"/>
    <w:rsid w:val="5667938A"/>
    <w:rsid w:val="56988348"/>
    <w:rsid w:val="586AAB73"/>
    <w:rsid w:val="58979AF4"/>
    <w:rsid w:val="591F1A9C"/>
    <w:rsid w:val="59F96858"/>
    <w:rsid w:val="5ACDB469"/>
    <w:rsid w:val="5AED301B"/>
    <w:rsid w:val="5B25244E"/>
    <w:rsid w:val="5B3AAEFF"/>
    <w:rsid w:val="5CFBC39E"/>
    <w:rsid w:val="5E09353F"/>
    <w:rsid w:val="5E519288"/>
    <w:rsid w:val="5E6D3DF3"/>
    <w:rsid w:val="5FD34A8D"/>
    <w:rsid w:val="600D1851"/>
    <w:rsid w:val="606FC45C"/>
    <w:rsid w:val="60CBDB2D"/>
    <w:rsid w:val="60CE1D16"/>
    <w:rsid w:val="6129193E"/>
    <w:rsid w:val="614E5585"/>
    <w:rsid w:val="61C20BFC"/>
    <w:rsid w:val="6298D63D"/>
    <w:rsid w:val="6318E437"/>
    <w:rsid w:val="63D26E98"/>
    <w:rsid w:val="63DAFCE2"/>
    <w:rsid w:val="642EC8F4"/>
    <w:rsid w:val="64A03E21"/>
    <w:rsid w:val="64EF0E7E"/>
    <w:rsid w:val="663E0133"/>
    <w:rsid w:val="664CBF2C"/>
    <w:rsid w:val="67021FA2"/>
    <w:rsid w:val="673B41EC"/>
    <w:rsid w:val="6793F520"/>
    <w:rsid w:val="67B2B1FA"/>
    <w:rsid w:val="68B58CF5"/>
    <w:rsid w:val="68C3598B"/>
    <w:rsid w:val="6A894FCE"/>
    <w:rsid w:val="6AE720AD"/>
    <w:rsid w:val="6BD99051"/>
    <w:rsid w:val="6DCBAC23"/>
    <w:rsid w:val="6F26C962"/>
    <w:rsid w:val="6F319F77"/>
    <w:rsid w:val="702B9AB6"/>
    <w:rsid w:val="70BE8951"/>
    <w:rsid w:val="715C47DC"/>
    <w:rsid w:val="7179C719"/>
    <w:rsid w:val="755107AA"/>
    <w:rsid w:val="75C087F3"/>
    <w:rsid w:val="75DEA5EA"/>
    <w:rsid w:val="75E006AF"/>
    <w:rsid w:val="767652EA"/>
    <w:rsid w:val="7716D380"/>
    <w:rsid w:val="774DD3B6"/>
    <w:rsid w:val="77A6F443"/>
    <w:rsid w:val="77F8DE46"/>
    <w:rsid w:val="7855FF5B"/>
    <w:rsid w:val="790C7F06"/>
    <w:rsid w:val="7953EF6A"/>
    <w:rsid w:val="7978AC74"/>
    <w:rsid w:val="79F5F81C"/>
    <w:rsid w:val="7AEE93FD"/>
    <w:rsid w:val="7BBE403C"/>
    <w:rsid w:val="7BEBAF5C"/>
    <w:rsid w:val="7D88CEFA"/>
    <w:rsid w:val="7E57F817"/>
    <w:rsid w:val="7F8E7FC9"/>
    <w:rsid w:val="7FB40D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45448"/>
  <w15:docId w15:val="{F688F54C-220D-433B-8337-2FEB4953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5"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B60"/>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FE5D30"/>
    <w:pPr>
      <w:pBdr>
        <w:bottom w:val="none" w:sz="0" w:space="0" w:color="auto"/>
      </w:pBdr>
      <w:ind w:left="782"/>
    </w:pPr>
  </w:style>
  <w:style w:type="paragraph" w:customStyle="1" w:styleId="Heading4Indent1">
    <w:name w:val="Heading 4 Indent1"/>
    <w:basedOn w:val="Heading4"/>
    <w:next w:val="Normal"/>
    <w:rsid w:val="00FE5D30"/>
    <w:pPr>
      <w:ind w:left="782"/>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uiPriority w:val="99"/>
    <w:rsid w:val="00737714"/>
    <w:rPr>
      <w:color w:val="0000FF"/>
      <w:u w:val="single"/>
    </w:rPr>
  </w:style>
  <w:style w:type="paragraph" w:customStyle="1" w:styleId="NumPlainA">
    <w:name w:val="Num PlainA"/>
    <w:basedOn w:val="Normal"/>
    <w:qFormat/>
    <w:rsid w:val="00580BC4"/>
    <w:pPr>
      <w:numPr>
        <w:numId w:val="4"/>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067B06"/>
    <w:pPr>
      <w:numPr>
        <w:numId w:val="26"/>
      </w:numPr>
      <w:spacing w:before="100" w:after="100"/>
    </w:pPr>
  </w:style>
  <w:style w:type="paragraph" w:customStyle="1" w:styleId="NumPlain2">
    <w:name w:val="Num Plain2"/>
    <w:basedOn w:val="NumPlain1"/>
    <w:uiPriority w:val="2"/>
    <w:qFormat/>
    <w:rsid w:val="00067B0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Id w:val="11"/>
      </w:numPr>
    </w:pPr>
  </w:style>
  <w:style w:type="paragraph" w:customStyle="1" w:styleId="Bullet1">
    <w:name w:val="Bullet1"/>
    <w:basedOn w:val="Normal"/>
    <w:qFormat/>
    <w:rsid w:val="00580BC4"/>
    <w:pPr>
      <w:numPr>
        <w:numId w:val="3"/>
      </w:numPr>
      <w:spacing w:before="100" w:after="100"/>
    </w:pPr>
  </w:style>
  <w:style w:type="paragraph" w:customStyle="1" w:styleId="Bullet2">
    <w:name w:val="Bullet2"/>
    <w:basedOn w:val="Normal"/>
    <w:rsid w:val="00972BFA"/>
    <w:pPr>
      <w:numPr>
        <w:ilvl w:val="1"/>
        <w:numId w:val="3"/>
      </w:numPr>
      <w:spacing w:after="200"/>
    </w:pPr>
  </w:style>
  <w:style w:type="paragraph" w:customStyle="1" w:styleId="Bullet3">
    <w:name w:val="Bullet3"/>
    <w:basedOn w:val="Normal"/>
    <w:rsid w:val="00972BFA"/>
    <w:pPr>
      <w:numPr>
        <w:ilvl w:val="2"/>
        <w:numId w:val="3"/>
      </w:numPr>
      <w:spacing w:after="200"/>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3"/>
      </w:numPr>
      <w:spacing w:after="200"/>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1"/>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C0037"/>
    <w:pPr>
      <w:numPr>
        <w:numId w:val="17"/>
      </w:numPr>
      <w:spacing w:before="100" w:after="100"/>
    </w:pPr>
  </w:style>
  <w:style w:type="paragraph" w:customStyle="1" w:styleId="NumBC2">
    <w:name w:val="Num BC2"/>
    <w:basedOn w:val="NumBC1"/>
    <w:rsid w:val="004B71C3"/>
    <w:pPr>
      <w:numPr>
        <w:ilvl w:val="1"/>
      </w:numPr>
    </w:pPr>
  </w:style>
  <w:style w:type="paragraph" w:customStyle="1" w:styleId="NumBC3">
    <w:name w:val="Num BC3"/>
    <w:basedOn w:val="NumBC2"/>
    <w:rsid w:val="004B71C3"/>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2"/>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ind w:left="0" w:firstLine="0"/>
    </w:pPr>
  </w:style>
  <w:style w:type="paragraph" w:customStyle="1" w:styleId="SubNumPlain2">
    <w:name w:val="SubNum Plain2"/>
    <w:basedOn w:val="PlainHanging2"/>
    <w:qFormat/>
    <w:rsid w:val="00A96702"/>
    <w:pPr>
      <w:numPr>
        <w:ilvl w:val="1"/>
        <w:numId w:val="6"/>
      </w:numPr>
    </w:pPr>
  </w:style>
  <w:style w:type="paragraph" w:customStyle="1" w:styleId="SubNumPlain3">
    <w:name w:val="SubNum Plain3"/>
    <w:basedOn w:val="PlainHanging3"/>
    <w:qFormat/>
    <w:rsid w:val="00A96702"/>
    <w:pPr>
      <w:numPr>
        <w:ilvl w:val="2"/>
        <w:numId w:val="6"/>
      </w:numPr>
    </w:pPr>
  </w:style>
  <w:style w:type="paragraph" w:customStyle="1" w:styleId="SubNumPlain4">
    <w:name w:val="SubNum Plain4"/>
    <w:basedOn w:val="PlainHanging4"/>
    <w:qFormat/>
    <w:rsid w:val="00A96702"/>
    <w:pPr>
      <w:numPr>
        <w:ilvl w:val="3"/>
        <w:numId w:val="6"/>
      </w:numPr>
    </w:pPr>
  </w:style>
  <w:style w:type="paragraph" w:customStyle="1" w:styleId="SubNumBold1">
    <w:name w:val="SubNum Bold1"/>
    <w:basedOn w:val="BoldHanging1"/>
    <w:qFormat/>
    <w:rsid w:val="00A96702"/>
    <w:pPr>
      <w:numPr>
        <w:numId w:val="7"/>
      </w:numPr>
    </w:pPr>
  </w:style>
  <w:style w:type="paragraph" w:customStyle="1" w:styleId="SubNumBold2">
    <w:name w:val="SubNum Bold2"/>
    <w:basedOn w:val="BoldHanging2"/>
    <w:qFormat/>
    <w:rsid w:val="00A96702"/>
    <w:pPr>
      <w:numPr>
        <w:ilvl w:val="1"/>
        <w:numId w:val="7"/>
      </w:numPr>
    </w:pPr>
  </w:style>
  <w:style w:type="paragraph" w:customStyle="1" w:styleId="SubNumBold3">
    <w:name w:val="SubNum Bold3"/>
    <w:basedOn w:val="BoldHanging3"/>
    <w:qFormat/>
    <w:rsid w:val="00A96702"/>
    <w:pPr>
      <w:numPr>
        <w:ilvl w:val="2"/>
        <w:numId w:val="7"/>
      </w:numPr>
    </w:pPr>
  </w:style>
  <w:style w:type="paragraph" w:customStyle="1" w:styleId="SubNumBold4">
    <w:name w:val="SubNum Bold4"/>
    <w:basedOn w:val="BoldHanging4"/>
    <w:qFormat/>
    <w:rsid w:val="00A96702"/>
    <w:pPr>
      <w:numPr>
        <w:ilvl w:val="3"/>
        <w:numId w:val="7"/>
      </w:numPr>
    </w:pPr>
  </w:style>
  <w:style w:type="numbering" w:customStyle="1" w:styleId="AASBSubNumbers">
    <w:name w:val="AASB SubNumbers"/>
    <w:uiPriority w:val="99"/>
    <w:rsid w:val="00A96702"/>
    <w:pPr>
      <w:numPr>
        <w:numId w:val="5"/>
      </w:numPr>
    </w:pPr>
  </w:style>
  <w:style w:type="numbering" w:customStyle="1" w:styleId="AASBSubNumbersBold">
    <w:name w:val="AASB SubNumbers Bold"/>
    <w:uiPriority w:val="99"/>
    <w:rsid w:val="00A96702"/>
    <w:pPr>
      <w:numPr>
        <w:numId w:val="7"/>
      </w:numPr>
    </w:pPr>
  </w:style>
  <w:style w:type="character" w:customStyle="1" w:styleId="NumPlain1Char">
    <w:name w:val="Num Plain1 Char"/>
    <w:basedOn w:val="DefaultParagraphFont"/>
    <w:link w:val="NumPlain1"/>
    <w:uiPriority w:val="2"/>
    <w:rsid w:val="00067B06"/>
    <w:rPr>
      <w:sz w:val="19"/>
      <w:lang w:eastAsia="en-US"/>
    </w:rPr>
  </w:style>
  <w:style w:type="character" w:customStyle="1" w:styleId="FooterChar">
    <w:name w:val="Footer Char"/>
    <w:basedOn w:val="DefaultParagraphFont"/>
    <w:link w:val="Footer"/>
    <w:rsid w:val="00E05DDF"/>
    <w:rPr>
      <w:sz w:val="19"/>
      <w:lang w:eastAsia="en-US"/>
    </w:rPr>
  </w:style>
  <w:style w:type="character" w:customStyle="1" w:styleId="AppendixNoChar">
    <w:name w:val="AppendixNo Char"/>
    <w:basedOn w:val="DefaultParagraphFont"/>
    <w:link w:val="AppendixNo"/>
    <w:rsid w:val="00E1000C"/>
    <w:rPr>
      <w:rFonts w:ascii="Arial" w:hAnsi="Arial"/>
      <w:b/>
      <w:sz w:val="26"/>
      <w:szCs w:val="28"/>
      <w:lang w:eastAsia="en-US"/>
    </w:rPr>
  </w:style>
  <w:style w:type="paragraph" w:customStyle="1" w:styleId="IASBSectionTitle1NonInd">
    <w:name w:val="IASB Section Title 1 NonInd"/>
    <w:basedOn w:val="Normal"/>
    <w:link w:val="IASBSectionTitle1NonIndChar"/>
    <w:uiPriority w:val="8"/>
    <w:rsid w:val="00D6526B"/>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D6526B"/>
    <w:rPr>
      <w:rFonts w:ascii="Arial" w:hAnsi="Arial" w:cs="Arial"/>
      <w:b/>
      <w:sz w:val="26"/>
      <w:lang w:eastAsia="en-US"/>
    </w:rPr>
  </w:style>
  <w:style w:type="paragraph" w:customStyle="1" w:styleId="NumFPlain1">
    <w:name w:val="Num F Plain1"/>
    <w:basedOn w:val="NumPlain1"/>
    <w:qFormat/>
    <w:rsid w:val="00AA5277"/>
    <w:pPr>
      <w:numPr>
        <w:numId w:val="8"/>
      </w:numPr>
    </w:pPr>
  </w:style>
  <w:style w:type="paragraph" w:customStyle="1" w:styleId="NumFPlain2">
    <w:name w:val="Num F Plain2"/>
    <w:basedOn w:val="NumFPlain1"/>
    <w:qFormat/>
    <w:rsid w:val="00067B06"/>
    <w:pPr>
      <w:numPr>
        <w:ilvl w:val="1"/>
      </w:numPr>
    </w:pPr>
  </w:style>
  <w:style w:type="paragraph" w:customStyle="1" w:styleId="NumFPlain3">
    <w:name w:val="Num F Plain3"/>
    <w:basedOn w:val="NumFPlain2"/>
    <w:qFormat/>
    <w:rsid w:val="00067B06"/>
    <w:pPr>
      <w:numPr>
        <w:ilvl w:val="2"/>
      </w:numPr>
    </w:pPr>
  </w:style>
  <w:style w:type="paragraph" w:customStyle="1" w:styleId="IASBSectionTitle2Ind">
    <w:name w:val="IASB Section Title 2 Ind"/>
    <w:basedOn w:val="Normal"/>
    <w:uiPriority w:val="8"/>
    <w:rsid w:val="00354B47"/>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uiPriority w:val="99"/>
    <w:rsid w:val="00354B47"/>
    <w:rPr>
      <w:vertAlign w:val="superscript"/>
    </w:rPr>
  </w:style>
  <w:style w:type="character" w:customStyle="1" w:styleId="FootnoteTextChar">
    <w:name w:val="Footnote Text Char"/>
    <w:basedOn w:val="DefaultParagraphFont"/>
    <w:link w:val="FootnoteText"/>
    <w:uiPriority w:val="5"/>
    <w:rsid w:val="00354B47"/>
    <w:rPr>
      <w:sz w:val="16"/>
      <w:lang w:eastAsia="en-US"/>
    </w:rPr>
  </w:style>
  <w:style w:type="character" w:styleId="CommentReference">
    <w:name w:val="annotation reference"/>
    <w:basedOn w:val="DefaultParagraphFont"/>
    <w:uiPriority w:val="5"/>
    <w:rsid w:val="00354B47"/>
    <w:rPr>
      <w:sz w:val="16"/>
      <w:szCs w:val="16"/>
    </w:rPr>
  </w:style>
  <w:style w:type="paragraph" w:styleId="CommentText">
    <w:name w:val="annotation text"/>
    <w:basedOn w:val="Normal"/>
    <w:link w:val="CommentTextChar"/>
    <w:uiPriority w:val="99"/>
    <w:rsid w:val="00354B47"/>
    <w:pPr>
      <w:jc w:val="left"/>
    </w:pPr>
    <w:rPr>
      <w:sz w:val="20"/>
    </w:rPr>
  </w:style>
  <w:style w:type="character" w:customStyle="1" w:styleId="CommentTextChar">
    <w:name w:val="Comment Text Char"/>
    <w:basedOn w:val="DefaultParagraphFont"/>
    <w:link w:val="CommentText"/>
    <w:uiPriority w:val="99"/>
    <w:rsid w:val="00354B47"/>
    <w:rPr>
      <w:lang w:eastAsia="en-US"/>
    </w:rPr>
  </w:style>
  <w:style w:type="paragraph" w:styleId="BalloonText">
    <w:name w:val="Balloon Text"/>
    <w:basedOn w:val="Normal"/>
    <w:link w:val="BalloonTextChar"/>
    <w:rsid w:val="00354B47"/>
    <w:rPr>
      <w:rFonts w:ascii="Tahoma" w:hAnsi="Tahoma" w:cs="Tahoma"/>
      <w:sz w:val="16"/>
      <w:szCs w:val="16"/>
    </w:rPr>
  </w:style>
  <w:style w:type="character" w:customStyle="1" w:styleId="BalloonTextChar">
    <w:name w:val="Balloon Text Char"/>
    <w:basedOn w:val="DefaultParagraphFont"/>
    <w:link w:val="BalloonText"/>
    <w:rsid w:val="00354B47"/>
    <w:rPr>
      <w:rFonts w:ascii="Tahoma" w:hAnsi="Tahoma" w:cs="Tahoma"/>
      <w:sz w:val="16"/>
      <w:szCs w:val="16"/>
      <w:lang w:eastAsia="en-US"/>
    </w:rPr>
  </w:style>
  <w:style w:type="character" w:customStyle="1" w:styleId="Heading1Char">
    <w:name w:val="Heading 1 Char"/>
    <w:basedOn w:val="DefaultParagraphFont"/>
    <w:link w:val="Heading1"/>
    <w:rsid w:val="004B71C3"/>
    <w:rPr>
      <w:rFonts w:ascii="Arial" w:hAnsi="Arial" w:cs="Arial"/>
      <w:b/>
      <w:bCs/>
      <w:sz w:val="26"/>
      <w:szCs w:val="32"/>
      <w:lang w:eastAsia="en-US"/>
    </w:rPr>
  </w:style>
  <w:style w:type="paragraph" w:styleId="CommentSubject">
    <w:name w:val="annotation subject"/>
    <w:basedOn w:val="CommentText"/>
    <w:next w:val="CommentText"/>
    <w:link w:val="CommentSubjectChar"/>
    <w:rsid w:val="00A857AE"/>
    <w:pPr>
      <w:jc w:val="both"/>
    </w:pPr>
    <w:rPr>
      <w:b/>
      <w:bCs/>
    </w:rPr>
  </w:style>
  <w:style w:type="character" w:customStyle="1" w:styleId="CommentSubjectChar">
    <w:name w:val="Comment Subject Char"/>
    <w:basedOn w:val="CommentTextChar"/>
    <w:link w:val="CommentSubject"/>
    <w:rsid w:val="00A857AE"/>
    <w:rPr>
      <w:b/>
      <w:bCs/>
      <w:lang w:eastAsia="en-US"/>
    </w:rPr>
  </w:style>
  <w:style w:type="table" w:customStyle="1" w:styleId="TableGrid1">
    <w:name w:val="Table Grid1"/>
    <w:basedOn w:val="TableNormal"/>
    <w:next w:val="TableGrid"/>
    <w:uiPriority w:val="59"/>
    <w:rsid w:val="00E2781A"/>
    <w:tblPr/>
  </w:style>
  <w:style w:type="paragraph" w:customStyle="1" w:styleId="NumBPlain1">
    <w:name w:val="Num B Plain 1"/>
    <w:basedOn w:val="Normal"/>
    <w:qFormat/>
    <w:rsid w:val="00C47A1D"/>
    <w:pPr>
      <w:spacing w:after="240"/>
    </w:pPr>
  </w:style>
  <w:style w:type="paragraph" w:customStyle="1" w:styleId="NumBPlain2">
    <w:name w:val="Num B Plain 2"/>
    <w:basedOn w:val="NumBPlain1"/>
    <w:qFormat/>
    <w:rsid w:val="00E2781A"/>
    <w:pPr>
      <w:numPr>
        <w:ilvl w:val="1"/>
      </w:numPr>
      <w:ind w:left="1564" w:hanging="782"/>
    </w:pPr>
  </w:style>
  <w:style w:type="paragraph" w:customStyle="1" w:styleId="NumBPlain3">
    <w:name w:val="Num B Plain 3"/>
    <w:basedOn w:val="NumBPlain2"/>
    <w:qFormat/>
    <w:rsid w:val="00E2781A"/>
    <w:pPr>
      <w:numPr>
        <w:ilvl w:val="2"/>
      </w:numPr>
      <w:ind w:left="2347" w:hanging="782"/>
    </w:pPr>
  </w:style>
  <w:style w:type="table" w:styleId="TableGrid10">
    <w:name w:val="Table Grid 1"/>
    <w:basedOn w:val="TableNormal"/>
    <w:rsid w:val="00E278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4C0037"/>
    <w:pPr>
      <w:numPr>
        <w:numId w:val="9"/>
      </w:numPr>
      <w:spacing w:after="100"/>
    </w:pPr>
  </w:style>
  <w:style w:type="paragraph" w:customStyle="1" w:styleId="NumIEPlain2">
    <w:name w:val="Num IE Plain 2"/>
    <w:basedOn w:val="NumIEPlain1"/>
    <w:qFormat/>
    <w:rsid w:val="009865F0"/>
    <w:pPr>
      <w:numPr>
        <w:ilvl w:val="1"/>
      </w:numPr>
    </w:pPr>
  </w:style>
  <w:style w:type="paragraph" w:customStyle="1" w:styleId="NumIEPlain3">
    <w:name w:val="Num IE Plain 3"/>
    <w:basedOn w:val="NumIEPlain2"/>
    <w:qFormat/>
    <w:rsid w:val="009865F0"/>
    <w:pPr>
      <w:numPr>
        <w:ilvl w:val="2"/>
      </w:numPr>
    </w:pPr>
  </w:style>
  <w:style w:type="paragraph" w:customStyle="1" w:styleId="IASBSectionTitle3Ind">
    <w:name w:val="IASB Section Title 3 Ind"/>
    <w:basedOn w:val="Normal"/>
    <w:uiPriority w:val="8"/>
    <w:rsid w:val="00346578"/>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46578"/>
    <w:pPr>
      <w:keepNext/>
      <w:keepLines/>
      <w:spacing w:before="300" w:after="200"/>
      <w:ind w:left="782"/>
      <w:jc w:val="left"/>
      <w:outlineLvl w:val="3"/>
    </w:pPr>
    <w:rPr>
      <w:rFonts w:ascii="Arial" w:hAnsi="Arial" w:cs="Arial"/>
      <w:i/>
      <w:sz w:val="22"/>
    </w:rPr>
  </w:style>
  <w:style w:type="character" w:customStyle="1" w:styleId="HeaderChar">
    <w:name w:val="Header Char"/>
    <w:link w:val="Header"/>
    <w:uiPriority w:val="99"/>
    <w:rsid w:val="006B052F"/>
    <w:rPr>
      <w:sz w:val="19"/>
      <w:lang w:eastAsia="en-US"/>
    </w:rPr>
  </w:style>
  <w:style w:type="paragraph" w:customStyle="1" w:styleId="IASBNormal">
    <w:name w:val="IASB Normal"/>
    <w:link w:val="IASBNormalChar"/>
    <w:uiPriority w:val="8"/>
    <w:rsid w:val="006B052F"/>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6B052F"/>
    <w:rPr>
      <w:sz w:val="19"/>
      <w:lang w:eastAsia="en-US"/>
    </w:rPr>
  </w:style>
  <w:style w:type="paragraph" w:styleId="ListParagraph">
    <w:name w:val="List Paragraph"/>
    <w:basedOn w:val="Normal"/>
    <w:uiPriority w:val="34"/>
    <w:qFormat/>
    <w:rsid w:val="007F6E64"/>
    <w:pPr>
      <w:numPr>
        <w:numId w:val="15"/>
      </w:numPr>
      <w:pBdr>
        <w:left w:val="single" w:sz="4" w:space="4" w:color="auto"/>
        <w:right w:val="single" w:sz="4" w:space="4" w:color="auto"/>
      </w:pBdr>
      <w:spacing w:after="100"/>
      <w:contextualSpacing/>
      <w:jc w:val="left"/>
    </w:pPr>
  </w:style>
  <w:style w:type="character" w:customStyle="1" w:styleId="Heading2Char">
    <w:name w:val="Heading 2 Char"/>
    <w:basedOn w:val="DefaultParagraphFont"/>
    <w:link w:val="Heading2"/>
    <w:rsid w:val="003D41A0"/>
    <w:rPr>
      <w:rFonts w:ascii="Arial" w:hAnsi="Arial" w:cs="Arial"/>
      <w:b/>
      <w:iCs/>
      <w:sz w:val="26"/>
      <w:szCs w:val="28"/>
      <w:lang w:eastAsia="en-US"/>
    </w:rPr>
  </w:style>
  <w:style w:type="numbering" w:customStyle="1" w:styleId="AASBNumbers">
    <w:name w:val="AASB Numbers"/>
    <w:uiPriority w:val="99"/>
    <w:rsid w:val="003D41A0"/>
    <w:pPr>
      <w:numPr>
        <w:numId w:val="10"/>
      </w:numPr>
    </w:pPr>
  </w:style>
  <w:style w:type="paragraph" w:customStyle="1" w:styleId="NumAG3">
    <w:name w:val="Num AG3"/>
    <w:basedOn w:val="Normal"/>
    <w:rsid w:val="003D41A0"/>
    <w:pPr>
      <w:tabs>
        <w:tab w:val="num" w:pos="1871"/>
      </w:tabs>
      <w:spacing w:after="200" w:line="200" w:lineRule="exact"/>
      <w:ind w:left="1871" w:hanging="624"/>
      <w:jc w:val="left"/>
    </w:pPr>
    <w:rPr>
      <w:sz w:val="20"/>
    </w:rPr>
  </w:style>
  <w:style w:type="paragraph" w:customStyle="1" w:styleId="NumCPlain1">
    <w:name w:val="Num C Plain 1"/>
    <w:basedOn w:val="Normal"/>
    <w:qFormat/>
    <w:rsid w:val="00847965"/>
    <w:pPr>
      <w:numPr>
        <w:numId w:val="11"/>
      </w:numPr>
      <w:spacing w:before="100" w:after="100"/>
    </w:pPr>
  </w:style>
  <w:style w:type="paragraph" w:customStyle="1" w:styleId="NumCPlain2">
    <w:name w:val="Num C Plain 2"/>
    <w:basedOn w:val="NumCPlain1"/>
    <w:qFormat/>
    <w:rsid w:val="004237C1"/>
    <w:pPr>
      <w:numPr>
        <w:ilvl w:val="1"/>
      </w:numPr>
    </w:pPr>
  </w:style>
  <w:style w:type="paragraph" w:customStyle="1" w:styleId="NumCPlain3">
    <w:name w:val="Num C Plain 3"/>
    <w:basedOn w:val="NumCPlain2"/>
    <w:qFormat/>
    <w:rsid w:val="00235AC0"/>
    <w:pPr>
      <w:numPr>
        <w:ilvl w:val="2"/>
      </w:numPr>
    </w:pPr>
  </w:style>
  <w:style w:type="paragraph" w:customStyle="1" w:styleId="DLevel1">
    <w:name w:val="DLevel 1"/>
    <w:basedOn w:val="Normal"/>
    <w:uiPriority w:val="1"/>
    <w:qFormat/>
    <w:rsid w:val="0055166C"/>
    <w:pPr>
      <w:numPr>
        <w:numId w:val="13"/>
      </w:numPr>
      <w:spacing w:after="200" w:line="200" w:lineRule="exact"/>
      <w:jc w:val="left"/>
    </w:pPr>
    <w:rPr>
      <w:sz w:val="20"/>
    </w:rPr>
  </w:style>
  <w:style w:type="paragraph" w:customStyle="1" w:styleId="DLevel2">
    <w:name w:val="DLevel 2"/>
    <w:basedOn w:val="Normal"/>
    <w:uiPriority w:val="1"/>
    <w:qFormat/>
    <w:rsid w:val="0055166C"/>
    <w:pPr>
      <w:numPr>
        <w:ilvl w:val="1"/>
        <w:numId w:val="13"/>
      </w:numPr>
      <w:spacing w:after="200" w:line="200" w:lineRule="exact"/>
      <w:jc w:val="left"/>
    </w:pPr>
    <w:rPr>
      <w:sz w:val="20"/>
    </w:rPr>
  </w:style>
  <w:style w:type="paragraph" w:customStyle="1" w:styleId="DLevel3">
    <w:name w:val="DLevel 3"/>
    <w:basedOn w:val="Normal"/>
    <w:uiPriority w:val="1"/>
    <w:qFormat/>
    <w:rsid w:val="0055166C"/>
    <w:pPr>
      <w:numPr>
        <w:ilvl w:val="2"/>
        <w:numId w:val="13"/>
      </w:numPr>
      <w:spacing w:after="200" w:line="200" w:lineRule="exact"/>
      <w:jc w:val="left"/>
    </w:pPr>
    <w:rPr>
      <w:sz w:val="20"/>
    </w:rPr>
  </w:style>
  <w:style w:type="numbering" w:customStyle="1" w:styleId="DNos">
    <w:name w:val="DNos"/>
    <w:uiPriority w:val="99"/>
    <w:rsid w:val="0055166C"/>
    <w:pPr>
      <w:numPr>
        <w:numId w:val="12"/>
      </w:numPr>
    </w:pPr>
  </w:style>
  <w:style w:type="paragraph" w:customStyle="1" w:styleId="AmendmentInstruction">
    <w:name w:val="AmendmentInstruction"/>
    <w:qFormat/>
    <w:rsid w:val="0055166C"/>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ConvSectionTitle">
    <w:name w:val="Conv Section Title"/>
    <w:basedOn w:val="IASBSectionTitle1NonInd"/>
    <w:uiPriority w:val="9"/>
    <w:qFormat/>
    <w:rsid w:val="00D66534"/>
    <w:pPr>
      <w:pBdr>
        <w:bottom w:val="none" w:sz="0" w:space="0" w:color="auto"/>
      </w:pBdr>
    </w:pPr>
  </w:style>
  <w:style w:type="paragraph" w:customStyle="1" w:styleId="AppendixBPara">
    <w:name w:val="AppendixB Para"/>
    <w:basedOn w:val="Normal"/>
    <w:qFormat/>
    <w:rsid w:val="00D66534"/>
    <w:pPr>
      <w:numPr>
        <w:numId w:val="14"/>
      </w:numPr>
      <w:spacing w:before="100"/>
    </w:pPr>
  </w:style>
  <w:style w:type="paragraph" w:customStyle="1" w:styleId="IEText">
    <w:name w:val="IE Text"/>
    <w:basedOn w:val="Normal"/>
    <w:qFormat/>
    <w:rsid w:val="003D1902"/>
    <w:pPr>
      <w:pBdr>
        <w:top w:val="single" w:sz="4" w:space="5" w:color="auto"/>
        <w:left w:val="single" w:sz="4" w:space="4" w:color="auto"/>
        <w:bottom w:val="single" w:sz="4" w:space="7" w:color="auto"/>
        <w:right w:val="single" w:sz="4" w:space="4" w:color="auto"/>
      </w:pBdr>
      <w:spacing w:after="100"/>
      <w:ind w:left="782"/>
      <w:jc w:val="left"/>
    </w:pPr>
  </w:style>
  <w:style w:type="paragraph" w:customStyle="1" w:styleId="NumDPlain1">
    <w:name w:val="Num D Plain 1"/>
    <w:basedOn w:val="Normal"/>
    <w:qFormat/>
    <w:rsid w:val="00235618"/>
    <w:pPr>
      <w:numPr>
        <w:numId w:val="16"/>
      </w:numPr>
      <w:spacing w:after="240"/>
      <w:jc w:val="left"/>
    </w:pPr>
  </w:style>
  <w:style w:type="paragraph" w:customStyle="1" w:styleId="NumDPlain2">
    <w:name w:val="Num D Plain 2"/>
    <w:basedOn w:val="NumDPlain1"/>
    <w:qFormat/>
    <w:rsid w:val="00235618"/>
    <w:pPr>
      <w:numPr>
        <w:ilvl w:val="1"/>
      </w:numPr>
    </w:pPr>
  </w:style>
  <w:style w:type="paragraph" w:customStyle="1" w:styleId="NumDPlain3">
    <w:name w:val="Num D Plain 3"/>
    <w:basedOn w:val="NumDPlain2"/>
    <w:qFormat/>
    <w:rsid w:val="00235618"/>
    <w:pPr>
      <w:numPr>
        <w:ilvl w:val="2"/>
      </w:numPr>
    </w:pPr>
  </w:style>
  <w:style w:type="paragraph" w:customStyle="1" w:styleId="PlainNumHang1">
    <w:name w:val="Plain Num Hang 1"/>
    <w:basedOn w:val="Normal"/>
    <w:qFormat/>
    <w:rsid w:val="00235618"/>
    <w:pPr>
      <w:spacing w:after="240"/>
      <w:ind w:left="782" w:hanging="782"/>
      <w:jc w:val="left"/>
    </w:pPr>
  </w:style>
  <w:style w:type="character" w:styleId="PlaceholderText">
    <w:name w:val="Placeholder Text"/>
    <w:basedOn w:val="DefaultParagraphFont"/>
    <w:uiPriority w:val="99"/>
    <w:semiHidden/>
    <w:rsid w:val="00235618"/>
    <w:rPr>
      <w:color w:val="808080"/>
    </w:rPr>
  </w:style>
  <w:style w:type="paragraph" w:styleId="Revision">
    <w:name w:val="Revision"/>
    <w:hidden/>
    <w:uiPriority w:val="99"/>
    <w:semiHidden/>
    <w:rsid w:val="00C44881"/>
    <w:rPr>
      <w:sz w:val="19"/>
      <w:lang w:eastAsia="en-US"/>
    </w:rPr>
  </w:style>
  <w:style w:type="paragraph" w:customStyle="1" w:styleId="IE1">
    <w:name w:val="IE1"/>
    <w:basedOn w:val="Normal"/>
    <w:uiPriority w:val="1"/>
    <w:qFormat/>
    <w:rsid w:val="00BA5A1C"/>
    <w:pPr>
      <w:numPr>
        <w:numId w:val="19"/>
      </w:numPr>
      <w:spacing w:after="200" w:line="200" w:lineRule="exact"/>
      <w:jc w:val="left"/>
    </w:pPr>
    <w:rPr>
      <w:sz w:val="20"/>
    </w:rPr>
  </w:style>
  <w:style w:type="paragraph" w:customStyle="1" w:styleId="IE2">
    <w:name w:val="IE2"/>
    <w:basedOn w:val="Normal"/>
    <w:uiPriority w:val="1"/>
    <w:qFormat/>
    <w:rsid w:val="00BA5A1C"/>
    <w:pPr>
      <w:numPr>
        <w:ilvl w:val="1"/>
        <w:numId w:val="19"/>
      </w:numPr>
      <w:spacing w:after="200" w:line="200" w:lineRule="exact"/>
      <w:jc w:val="left"/>
    </w:pPr>
    <w:rPr>
      <w:sz w:val="20"/>
    </w:rPr>
  </w:style>
  <w:style w:type="paragraph" w:customStyle="1" w:styleId="IE3">
    <w:name w:val="IE3"/>
    <w:basedOn w:val="Normal"/>
    <w:uiPriority w:val="1"/>
    <w:qFormat/>
    <w:rsid w:val="00BA5A1C"/>
    <w:pPr>
      <w:numPr>
        <w:ilvl w:val="2"/>
        <w:numId w:val="19"/>
      </w:numPr>
      <w:spacing w:after="200" w:line="200" w:lineRule="exact"/>
      <w:jc w:val="left"/>
    </w:pPr>
    <w:rPr>
      <w:sz w:val="20"/>
    </w:rPr>
  </w:style>
  <w:style w:type="numbering" w:customStyle="1" w:styleId="IENos">
    <w:name w:val="IENos"/>
    <w:uiPriority w:val="99"/>
    <w:rsid w:val="00BA5A1C"/>
    <w:pPr>
      <w:numPr>
        <w:numId w:val="18"/>
      </w:numPr>
    </w:pPr>
  </w:style>
  <w:style w:type="paragraph" w:customStyle="1" w:styleId="Default">
    <w:name w:val="Default"/>
    <w:rsid w:val="006C154B"/>
    <w:pPr>
      <w:autoSpaceDE w:val="0"/>
      <w:autoSpaceDN w:val="0"/>
      <w:adjustRightInd w:val="0"/>
    </w:pPr>
    <w:rPr>
      <w:color w:val="000000"/>
      <w:sz w:val="24"/>
      <w:szCs w:val="24"/>
    </w:rPr>
  </w:style>
  <w:style w:type="paragraph" w:customStyle="1" w:styleId="Ig">
    <w:name w:val="Ig"/>
    <w:basedOn w:val="NumFPlain1"/>
    <w:rsid w:val="00941CDB"/>
  </w:style>
  <w:style w:type="paragraph" w:customStyle="1" w:styleId="NumBPlain10">
    <w:name w:val="Num B Plain1"/>
    <w:basedOn w:val="NumFPlain1"/>
    <w:rsid w:val="00897E6E"/>
  </w:style>
  <w:style w:type="paragraph" w:customStyle="1" w:styleId="TableRow">
    <w:name w:val="TableRow"/>
    <w:basedOn w:val="Normal"/>
    <w:uiPriority w:val="5"/>
    <w:qFormat/>
    <w:rsid w:val="0062141A"/>
    <w:pPr>
      <w:spacing w:before="60" w:after="60"/>
      <w:jc w:val="left"/>
    </w:pPr>
    <w:rPr>
      <w:sz w:val="24"/>
      <w:szCs w:val="24"/>
      <w:lang w:eastAsia="en-AU"/>
    </w:rPr>
  </w:style>
  <w:style w:type="paragraph" w:styleId="EndnoteText">
    <w:name w:val="endnote text"/>
    <w:basedOn w:val="Normal"/>
    <w:link w:val="EndnoteTextChar"/>
    <w:uiPriority w:val="5"/>
    <w:unhideWhenUsed/>
    <w:rsid w:val="00DD4F2B"/>
    <w:pPr>
      <w:jc w:val="left"/>
    </w:pPr>
    <w:rPr>
      <w:sz w:val="20"/>
    </w:rPr>
  </w:style>
  <w:style w:type="character" w:customStyle="1" w:styleId="EndnoteTextChar">
    <w:name w:val="Endnote Text Char"/>
    <w:basedOn w:val="DefaultParagraphFont"/>
    <w:link w:val="EndnoteText"/>
    <w:uiPriority w:val="5"/>
    <w:rsid w:val="00DD4F2B"/>
    <w:rPr>
      <w:lang w:eastAsia="en-US"/>
    </w:rPr>
  </w:style>
  <w:style w:type="character" w:styleId="EndnoteReference">
    <w:name w:val="endnote reference"/>
    <w:basedOn w:val="DefaultParagraphFont"/>
    <w:uiPriority w:val="5"/>
    <w:semiHidden/>
    <w:unhideWhenUsed/>
    <w:rsid w:val="00836C29"/>
    <w:rPr>
      <w:vertAlign w:val="superscript"/>
    </w:rPr>
  </w:style>
  <w:style w:type="paragraph" w:customStyle="1" w:styleId="Style1">
    <w:name w:val="Style1"/>
    <w:basedOn w:val="Normal"/>
    <w:rsid w:val="0028606C"/>
    <w:pPr>
      <w:numPr>
        <w:numId w:val="20"/>
      </w:numPr>
      <w:spacing w:after="100"/>
    </w:pPr>
    <w:rPr>
      <w:rFonts w:eastAsia="Arial Unicode MS" w:cs="Arial Unicode MS"/>
      <w:color w:val="000000"/>
      <w:szCs w:val="19"/>
      <w:u w:color="000000"/>
      <w:lang w:eastAsia="en-GB"/>
    </w:rPr>
  </w:style>
  <w:style w:type="paragraph" w:customStyle="1" w:styleId="Style3">
    <w:name w:val="Style3"/>
    <w:basedOn w:val="Style1"/>
    <w:rsid w:val="0028606C"/>
    <w:pPr>
      <w:numPr>
        <w:ilvl w:val="1"/>
      </w:numPr>
    </w:pPr>
    <w:rPr>
      <w:rFonts w:ascii="Times" w:hAnsi="Times" w:cs="Times"/>
    </w:rPr>
  </w:style>
  <w:style w:type="paragraph" w:customStyle="1" w:styleId="IEHeading">
    <w:name w:val="IE Heading"/>
    <w:basedOn w:val="Normal"/>
    <w:next w:val="IEText"/>
    <w:qFormat/>
    <w:rsid w:val="0042703C"/>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JournalEntry">
    <w:name w:val="Journal Entry"/>
    <w:basedOn w:val="IEText"/>
    <w:rsid w:val="0042703C"/>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42703C"/>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42703C"/>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334ADA"/>
    <w:pPr>
      <w:numPr>
        <w:numId w:val="21"/>
      </w:numPr>
      <w:spacing w:after="100"/>
    </w:pPr>
    <w:rPr>
      <w:szCs w:val="19"/>
    </w:rPr>
  </w:style>
  <w:style w:type="paragraph" w:styleId="NormalWeb">
    <w:name w:val="Normal (Web)"/>
    <w:basedOn w:val="Normal"/>
    <w:uiPriority w:val="99"/>
    <w:semiHidden/>
    <w:rsid w:val="00334ADA"/>
    <w:pPr>
      <w:spacing w:after="240"/>
      <w:jc w:val="left"/>
    </w:pPr>
    <w:rPr>
      <w:sz w:val="24"/>
      <w:szCs w:val="24"/>
      <w:lang w:eastAsia="en-AU"/>
    </w:rPr>
  </w:style>
  <w:style w:type="paragraph" w:customStyle="1" w:styleId="HeaderFooter">
    <w:name w:val="Header &amp; Footer"/>
    <w:rsid w:val="00187A0D"/>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nhideWhenUsed/>
    <w:rsid w:val="00270378"/>
    <w:pPr>
      <w:spacing w:after="120"/>
    </w:pPr>
  </w:style>
  <w:style w:type="character" w:customStyle="1" w:styleId="BodyTextChar">
    <w:name w:val="Body Text Char"/>
    <w:basedOn w:val="DefaultParagraphFont"/>
    <w:link w:val="BodyText"/>
    <w:rsid w:val="00270378"/>
    <w:rPr>
      <w:sz w:val="19"/>
      <w:lang w:eastAsia="en-US"/>
    </w:rPr>
  </w:style>
  <w:style w:type="paragraph" w:customStyle="1" w:styleId="BoldNumHang1">
    <w:name w:val="Bold Num Hang 1"/>
    <w:basedOn w:val="PlainNumHang1"/>
    <w:qFormat/>
    <w:rsid w:val="002B3FA7"/>
    <w:pPr>
      <w:jc w:val="both"/>
    </w:pPr>
    <w:rPr>
      <w:b/>
    </w:rPr>
  </w:style>
  <w:style w:type="paragraph" w:customStyle="1" w:styleId="NumberPara1">
    <w:name w:val="Number Para 1"/>
    <w:basedOn w:val="Normal"/>
    <w:uiPriority w:val="2"/>
    <w:qFormat/>
    <w:rsid w:val="007557E9"/>
    <w:pPr>
      <w:numPr>
        <w:numId w:val="23"/>
      </w:numPr>
      <w:spacing w:after="240"/>
      <w:jc w:val="left"/>
    </w:pPr>
    <w:rPr>
      <w:sz w:val="24"/>
      <w:szCs w:val="24"/>
      <w:lang w:eastAsia="en-AU"/>
    </w:rPr>
  </w:style>
  <w:style w:type="paragraph" w:customStyle="1" w:styleId="NumberPara2">
    <w:name w:val="Number Para 2"/>
    <w:basedOn w:val="NumberPara1"/>
    <w:uiPriority w:val="2"/>
    <w:qFormat/>
    <w:rsid w:val="007557E9"/>
    <w:pPr>
      <w:numPr>
        <w:ilvl w:val="1"/>
      </w:numPr>
    </w:pPr>
  </w:style>
  <w:style w:type="paragraph" w:customStyle="1" w:styleId="NumberPara3">
    <w:name w:val="Number Para 3"/>
    <w:basedOn w:val="NumberPara2"/>
    <w:uiPriority w:val="2"/>
    <w:qFormat/>
    <w:rsid w:val="007557E9"/>
    <w:pPr>
      <w:numPr>
        <w:ilvl w:val="2"/>
      </w:numPr>
    </w:pPr>
  </w:style>
  <w:style w:type="numbering" w:customStyle="1" w:styleId="NumberedParas">
    <w:name w:val="Numbered Paras"/>
    <w:uiPriority w:val="99"/>
    <w:rsid w:val="007557E9"/>
    <w:pPr>
      <w:numPr>
        <w:numId w:val="22"/>
      </w:numPr>
    </w:pPr>
  </w:style>
  <w:style w:type="paragraph" w:customStyle="1" w:styleId="IASBSectionTitle3NonInd">
    <w:name w:val="IASB Section Title 3 NonInd"/>
    <w:basedOn w:val="Normal"/>
    <w:rsid w:val="002446BD"/>
    <w:pPr>
      <w:keepNext/>
      <w:keepLines/>
      <w:spacing w:before="300" w:after="200"/>
      <w:jc w:val="left"/>
    </w:pPr>
    <w:rPr>
      <w:rFonts w:ascii="Arial" w:hAnsi="Arial" w:cs="Arial"/>
      <w:b/>
      <w:sz w:val="22"/>
      <w:lang w:val="en-US"/>
    </w:rPr>
  </w:style>
  <w:style w:type="paragraph" w:customStyle="1" w:styleId="xxmsonormal">
    <w:name w:val="x_x_msonormal"/>
    <w:basedOn w:val="Normal"/>
    <w:rsid w:val="008B0EB8"/>
    <w:pPr>
      <w:spacing w:before="100" w:beforeAutospacing="1" w:after="100" w:afterAutospacing="1"/>
      <w:jc w:val="left"/>
    </w:pPr>
    <w:rPr>
      <w:sz w:val="24"/>
      <w:szCs w:val="24"/>
      <w:lang w:eastAsia="en-AU"/>
    </w:rPr>
  </w:style>
  <w:style w:type="character" w:styleId="UnresolvedMention">
    <w:name w:val="Unresolved Mention"/>
    <w:basedOn w:val="DefaultParagraphFont"/>
    <w:uiPriority w:val="99"/>
    <w:unhideWhenUsed/>
    <w:rsid w:val="009A4118"/>
    <w:rPr>
      <w:color w:val="605E5C"/>
      <w:shd w:val="clear" w:color="auto" w:fill="E1DFDD"/>
    </w:rPr>
  </w:style>
  <w:style w:type="character" w:styleId="Mention">
    <w:name w:val="Mention"/>
    <w:basedOn w:val="DefaultParagraphFont"/>
    <w:uiPriority w:val="99"/>
    <w:unhideWhenUsed/>
    <w:rsid w:val="009A4118"/>
    <w:rPr>
      <w:color w:val="2B579A"/>
      <w:shd w:val="clear" w:color="auto" w:fill="E1DFDD"/>
    </w:rPr>
  </w:style>
  <w:style w:type="paragraph" w:styleId="Title">
    <w:name w:val="Title"/>
    <w:basedOn w:val="Normal"/>
    <w:next w:val="Normal"/>
    <w:link w:val="TitleChar"/>
    <w:rsid w:val="003959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95911"/>
    <w:rPr>
      <w:rFonts w:asciiTheme="majorHAnsi" w:eastAsiaTheme="majorEastAsia" w:hAnsiTheme="majorHAnsi" w:cstheme="majorBidi"/>
      <w:spacing w:val="-10"/>
      <w:kern w:val="28"/>
      <w:sz w:val="56"/>
      <w:szCs w:val="56"/>
      <w:lang w:eastAsia="en-US"/>
    </w:rPr>
  </w:style>
  <w:style w:type="paragraph" w:customStyle="1" w:styleId="ParaIndent">
    <w:name w:val="ParaIndent"/>
    <w:basedOn w:val="Normal"/>
    <w:qFormat/>
    <w:rsid w:val="00C65120"/>
    <w:pPr>
      <w:spacing w:after="240" w:line="240" w:lineRule="exact"/>
      <w:ind w:left="709"/>
      <w:jc w:val="left"/>
    </w:pPr>
    <w:rPr>
      <w:sz w:val="24"/>
    </w:rPr>
  </w:style>
  <w:style w:type="paragraph" w:customStyle="1" w:styleId="IssueHeading">
    <w:name w:val="IssueHeading"/>
    <w:basedOn w:val="Normal"/>
    <w:next w:val="Normal"/>
    <w:uiPriority w:val="7"/>
    <w:qFormat/>
    <w:rsid w:val="00C65120"/>
    <w:pPr>
      <w:keepNext/>
      <w:spacing w:after="240" w:line="240" w:lineRule="exact"/>
      <w:ind w:left="709"/>
      <w:jc w:val="left"/>
    </w:pPr>
    <w:rPr>
      <w:sz w:val="24"/>
      <w:u w:val="single"/>
    </w:rPr>
  </w:style>
  <w:style w:type="numbering" w:customStyle="1" w:styleId="IssueList">
    <w:name w:val="IssueList"/>
    <w:uiPriority w:val="99"/>
    <w:rsid w:val="00C65120"/>
    <w:pPr>
      <w:numPr>
        <w:numId w:val="25"/>
      </w:numPr>
    </w:pPr>
  </w:style>
  <w:style w:type="paragraph" w:customStyle="1" w:styleId="StandardparaH">
    <w:name w:val="Standard para H"/>
    <w:basedOn w:val="Normal"/>
    <w:uiPriority w:val="1"/>
    <w:qFormat/>
    <w:rsid w:val="0054363B"/>
    <w:pPr>
      <w:numPr>
        <w:numId w:val="29"/>
      </w:numPr>
      <w:tabs>
        <w:tab w:val="left" w:pos="720"/>
      </w:tabs>
      <w:spacing w:before="100" w:after="100"/>
      <w:jc w:val="left"/>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2566">
      <w:bodyDiv w:val="1"/>
      <w:marLeft w:val="0"/>
      <w:marRight w:val="0"/>
      <w:marTop w:val="0"/>
      <w:marBottom w:val="0"/>
      <w:divBdr>
        <w:top w:val="none" w:sz="0" w:space="0" w:color="auto"/>
        <w:left w:val="none" w:sz="0" w:space="0" w:color="auto"/>
        <w:bottom w:val="none" w:sz="0" w:space="0" w:color="auto"/>
        <w:right w:val="none" w:sz="0" w:space="0" w:color="auto"/>
      </w:divBdr>
    </w:div>
    <w:div w:id="656688226">
      <w:bodyDiv w:val="1"/>
      <w:marLeft w:val="0"/>
      <w:marRight w:val="0"/>
      <w:marTop w:val="0"/>
      <w:marBottom w:val="0"/>
      <w:divBdr>
        <w:top w:val="none" w:sz="0" w:space="0" w:color="auto"/>
        <w:left w:val="none" w:sz="0" w:space="0" w:color="auto"/>
        <w:bottom w:val="none" w:sz="0" w:space="0" w:color="auto"/>
        <w:right w:val="none" w:sz="0" w:space="0" w:color="auto"/>
      </w:divBdr>
    </w:div>
    <w:div w:id="726804786">
      <w:bodyDiv w:val="1"/>
      <w:marLeft w:val="0"/>
      <w:marRight w:val="0"/>
      <w:marTop w:val="0"/>
      <w:marBottom w:val="0"/>
      <w:divBdr>
        <w:top w:val="none" w:sz="0" w:space="0" w:color="auto"/>
        <w:left w:val="none" w:sz="0" w:space="0" w:color="auto"/>
        <w:bottom w:val="none" w:sz="0" w:space="0" w:color="auto"/>
        <w:right w:val="none" w:sz="0" w:space="0" w:color="auto"/>
      </w:divBdr>
    </w:div>
    <w:div w:id="762802662">
      <w:bodyDiv w:val="1"/>
      <w:marLeft w:val="0"/>
      <w:marRight w:val="0"/>
      <w:marTop w:val="0"/>
      <w:marBottom w:val="0"/>
      <w:divBdr>
        <w:top w:val="none" w:sz="0" w:space="0" w:color="auto"/>
        <w:left w:val="none" w:sz="0" w:space="0" w:color="auto"/>
        <w:bottom w:val="none" w:sz="0" w:space="0" w:color="auto"/>
        <w:right w:val="none" w:sz="0" w:space="0" w:color="auto"/>
      </w:divBdr>
    </w:div>
    <w:div w:id="820466749">
      <w:bodyDiv w:val="1"/>
      <w:marLeft w:val="0"/>
      <w:marRight w:val="0"/>
      <w:marTop w:val="0"/>
      <w:marBottom w:val="0"/>
      <w:divBdr>
        <w:top w:val="none" w:sz="0" w:space="0" w:color="auto"/>
        <w:left w:val="none" w:sz="0" w:space="0" w:color="auto"/>
        <w:bottom w:val="none" w:sz="0" w:space="0" w:color="auto"/>
        <w:right w:val="none" w:sz="0" w:space="0" w:color="auto"/>
      </w:divBdr>
    </w:div>
    <w:div w:id="1063337014">
      <w:bodyDiv w:val="1"/>
      <w:marLeft w:val="0"/>
      <w:marRight w:val="0"/>
      <w:marTop w:val="0"/>
      <w:marBottom w:val="0"/>
      <w:divBdr>
        <w:top w:val="none" w:sz="0" w:space="0" w:color="auto"/>
        <w:left w:val="none" w:sz="0" w:space="0" w:color="auto"/>
        <w:bottom w:val="none" w:sz="0" w:space="0" w:color="auto"/>
        <w:right w:val="none" w:sz="0" w:space="0" w:color="auto"/>
      </w:divBdr>
    </w:div>
    <w:div w:id="1158112782">
      <w:bodyDiv w:val="1"/>
      <w:marLeft w:val="0"/>
      <w:marRight w:val="0"/>
      <w:marTop w:val="0"/>
      <w:marBottom w:val="0"/>
      <w:divBdr>
        <w:top w:val="none" w:sz="0" w:space="0" w:color="auto"/>
        <w:left w:val="none" w:sz="0" w:space="0" w:color="auto"/>
        <w:bottom w:val="none" w:sz="0" w:space="0" w:color="auto"/>
        <w:right w:val="none" w:sz="0" w:space="0" w:color="auto"/>
      </w:divBdr>
    </w:div>
    <w:div w:id="1272397387">
      <w:bodyDiv w:val="1"/>
      <w:marLeft w:val="0"/>
      <w:marRight w:val="0"/>
      <w:marTop w:val="0"/>
      <w:marBottom w:val="0"/>
      <w:divBdr>
        <w:top w:val="none" w:sz="0" w:space="0" w:color="auto"/>
        <w:left w:val="none" w:sz="0" w:space="0" w:color="auto"/>
        <w:bottom w:val="none" w:sz="0" w:space="0" w:color="auto"/>
        <w:right w:val="none" w:sz="0" w:space="0" w:color="auto"/>
      </w:divBdr>
    </w:div>
    <w:div w:id="1522744909">
      <w:bodyDiv w:val="1"/>
      <w:marLeft w:val="0"/>
      <w:marRight w:val="0"/>
      <w:marTop w:val="0"/>
      <w:marBottom w:val="0"/>
      <w:divBdr>
        <w:top w:val="none" w:sz="0" w:space="0" w:color="auto"/>
        <w:left w:val="none" w:sz="0" w:space="0" w:color="auto"/>
        <w:bottom w:val="none" w:sz="0" w:space="0" w:color="auto"/>
        <w:right w:val="none" w:sz="0" w:space="0" w:color="auto"/>
      </w:divBdr>
    </w:div>
    <w:div w:id="1579024710">
      <w:bodyDiv w:val="1"/>
      <w:marLeft w:val="0"/>
      <w:marRight w:val="0"/>
      <w:marTop w:val="0"/>
      <w:marBottom w:val="0"/>
      <w:divBdr>
        <w:top w:val="none" w:sz="0" w:space="0" w:color="auto"/>
        <w:left w:val="none" w:sz="0" w:space="0" w:color="auto"/>
        <w:bottom w:val="none" w:sz="0" w:space="0" w:color="auto"/>
        <w:right w:val="none" w:sz="0" w:space="0" w:color="auto"/>
      </w:divBdr>
    </w:div>
    <w:div w:id="1628051815">
      <w:bodyDiv w:val="1"/>
      <w:marLeft w:val="0"/>
      <w:marRight w:val="0"/>
      <w:marTop w:val="0"/>
      <w:marBottom w:val="0"/>
      <w:divBdr>
        <w:top w:val="none" w:sz="0" w:space="0" w:color="auto"/>
        <w:left w:val="none" w:sz="0" w:space="0" w:color="auto"/>
        <w:bottom w:val="none" w:sz="0" w:space="0" w:color="auto"/>
        <w:right w:val="none" w:sz="0" w:space="0" w:color="auto"/>
      </w:divBdr>
    </w:div>
    <w:div w:id="1681003943">
      <w:bodyDiv w:val="1"/>
      <w:marLeft w:val="0"/>
      <w:marRight w:val="0"/>
      <w:marTop w:val="0"/>
      <w:marBottom w:val="0"/>
      <w:divBdr>
        <w:top w:val="none" w:sz="0" w:space="0" w:color="auto"/>
        <w:left w:val="none" w:sz="0" w:space="0" w:color="auto"/>
        <w:bottom w:val="none" w:sz="0" w:space="0" w:color="auto"/>
        <w:right w:val="none" w:sz="0" w:space="0" w:color="auto"/>
      </w:divBdr>
    </w:div>
    <w:div w:id="1690644545">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1809593055">
      <w:bodyDiv w:val="1"/>
      <w:marLeft w:val="0"/>
      <w:marRight w:val="0"/>
      <w:marTop w:val="0"/>
      <w:marBottom w:val="0"/>
      <w:divBdr>
        <w:top w:val="none" w:sz="0" w:space="0" w:color="auto"/>
        <w:left w:val="none" w:sz="0" w:space="0" w:color="auto"/>
        <w:bottom w:val="none" w:sz="0" w:space="0" w:color="auto"/>
        <w:right w:val="none" w:sz="0" w:space="0" w:color="auto"/>
      </w:divBdr>
    </w:div>
    <w:div w:id="19027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ASB AUASB Doc" ma:contentTypeID="0x0101005D166743AF667142AE4C423E78D357B8009763AD052C75174CA62908DFABF5F774" ma:contentTypeVersion="3" ma:contentTypeDescription="" ma:contentTypeScope="" ma:versionID="6020663515fa0b519032564ec2354205">
  <xsd:schema xmlns:xsd="http://www.w3.org/2001/XMLSchema" xmlns:xs="http://www.w3.org/2001/XMLSchema" xmlns:p="http://schemas.microsoft.com/office/2006/metadata/properties" xmlns:ns1="http://schemas.microsoft.com/sharepoint/v3" xmlns:ns2="3f4bcce7-ac1a-4c9d-aa3e-7e77695652db" xmlns:ns3="47e576cf-618c-45c9-99ef-ab7e8b777e43" targetNamespace="http://schemas.microsoft.com/office/2006/metadata/properties" ma:root="true" ma:fieldsID="aff4867a5ba70b811cfdf7aa1cd4a09e" ns1:_="" ns2:_="" ns3:_="">
    <xsd:import namespace="http://schemas.microsoft.com/sharepoint/v3"/>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3" nillable="true" ma:taxonomy="true" ma:internalName="i68dcda424604f4b8ece99fc3619f00c" ma:taxonomyFieldName="Term" ma:displayName="Term" ma:default="" ma:fieldId="{268dcda4-2460-4f4b-8ece-99fc3619f00c}" ma:sspId="f2c20519-bfb4-4138-a21e-2e6ee8209940" ma:termSetId="e3959d5c-1f58-4126-9a54-523d5369149b" ma:anchorId="c93fbd10-6fe6-4e0a-9328-8a186cf900e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TaxCatchAll xmlns="3f4bcce7-ac1a-4c9d-aa3e-7e77695652db">
      <Value>110</Value>
      <Value>114</Value>
      <Value>80</Value>
      <Value>142</Value>
      <Value>32</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Exposure Draft</TermName>
          <TermId xmlns="http://schemas.microsoft.com/office/infopath/2007/PartnerControls">1cd4d789-fce1-4c28-a618-a55e8f3e5919</TermId>
        </TermInfo>
      </Terms>
    </i68dcda424604f4b8ece99fc3619f00c>
    <_dlc_DocId xmlns="3f4bcce7-ac1a-4c9d-aa3e-7e77695652db">PRDOC-1792883373-2</_dlc_DocId>
    <_dlc_DocIdUrl xmlns="3f4bcce7-ac1a-4c9d-aa3e-7e77695652db">
      <Url>http://hub.aasb.gov.au/sites/stand/AASB15/_layouts/15/DocIdRedir.aspx?ID=PRDOC-1792883373-2</Url>
      <Description>PRDOC-1792883373-2</Description>
    </_dlc_DocIdUrl>
    <V3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0da5c63-8548-4ac8-9616-83b0f373280e" ContentTypeId="0x0101" PreviousValue="false"/>
</file>

<file path=customXml/itemProps1.xml><?xml version="1.0" encoding="utf-8"?>
<ds:datastoreItem xmlns:ds="http://schemas.openxmlformats.org/officeDocument/2006/customXml" ds:itemID="{15F80D7F-8BAE-4031-BCAE-BF6F46D3C423}">
  <ds:schemaRefs>
    <ds:schemaRef ds:uri="http://schemas.microsoft.com/sharepoint/events"/>
  </ds:schemaRefs>
</ds:datastoreItem>
</file>

<file path=customXml/itemProps2.xml><?xml version="1.0" encoding="utf-8"?>
<ds:datastoreItem xmlns:ds="http://schemas.openxmlformats.org/officeDocument/2006/customXml" ds:itemID="{1CD18450-0C61-4560-8DBA-0241CDA3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07BFD-8B23-4D8F-9559-DE8A70FDB764}">
  <ds:schemaRefs>
    <ds:schemaRef ds:uri="http://schemas.microsoft.com/office/2006/metadata/customXsn"/>
  </ds:schemaRefs>
</ds:datastoreItem>
</file>

<file path=customXml/itemProps4.xml><?xml version="1.0" encoding="utf-8"?>
<ds:datastoreItem xmlns:ds="http://schemas.openxmlformats.org/officeDocument/2006/customXml" ds:itemID="{913D0946-6EAB-4278-AF83-35B09BE2C6C4}">
  <ds:schemaRefs>
    <ds:schemaRef ds:uri="http://schemas.microsoft.com/office/2006/metadata/properties"/>
    <ds:schemaRef ds:uri="http://schemas.microsoft.com/office/infopath/2007/PartnerControls"/>
    <ds:schemaRef ds:uri="3f4bcce7-ac1a-4c9d-aa3e-7e77695652db"/>
    <ds:schemaRef ds:uri="47e576cf-618c-45c9-99ef-ab7e8b777e43"/>
    <ds:schemaRef ds:uri="http://schemas.microsoft.com/sharepoint/v3"/>
  </ds:schemaRefs>
</ds:datastoreItem>
</file>

<file path=customXml/itemProps5.xml><?xml version="1.0" encoding="utf-8"?>
<ds:datastoreItem xmlns:ds="http://schemas.openxmlformats.org/officeDocument/2006/customXml" ds:itemID="{BCE47B62-BBDF-4395-BD3B-6E3EBB7E2B71}">
  <ds:schemaRefs>
    <ds:schemaRef ds:uri="http://schemas.openxmlformats.org/officeDocument/2006/bibliography"/>
  </ds:schemaRefs>
</ds:datastoreItem>
</file>

<file path=customXml/itemProps6.xml><?xml version="1.0" encoding="utf-8"?>
<ds:datastoreItem xmlns:ds="http://schemas.openxmlformats.org/officeDocument/2006/customXml" ds:itemID="{A9422AFA-41C4-4529-8FFD-CD46298977C7}">
  <ds:schemaRefs>
    <ds:schemaRef ds:uri="http://schemas.microsoft.com/sharepoint/v3/contenttype/forms"/>
  </ds:schemaRefs>
</ds:datastoreItem>
</file>

<file path=customXml/itemProps7.xml><?xml version="1.0" encoding="utf-8"?>
<ds:datastoreItem xmlns:ds="http://schemas.openxmlformats.org/officeDocument/2006/customXml" ds:itemID="{D5E04368-B2C2-4970-88D5-B207BDDB8B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4070</Words>
  <Characters>22897</Characters>
  <Application>Microsoft Office Word</Application>
  <DocSecurity>0</DocSecurity>
  <Lines>190</Lines>
  <Paragraphs>53</Paragraphs>
  <ScaleCrop>false</ScaleCrop>
  <Company>Australian Accounting Standards Board</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 2022-3</dc:title>
  <dc:subject/>
  <dc:creator>.</dc:creator>
  <cp:keywords/>
  <cp:lastModifiedBy>Andrew Tomich</cp:lastModifiedBy>
  <cp:revision>32</cp:revision>
  <cp:lastPrinted>2022-04-20T16:59:00Z</cp:lastPrinted>
  <dcterms:created xsi:type="dcterms:W3CDTF">2022-04-20T16:29:00Z</dcterms:created>
  <dcterms:modified xsi:type="dcterms:W3CDTF">2022-05-05T04:45:00Z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0x0101005D166743AF667142AE4C423E78D357B8009763AD052C75174CA62908DFABF5F774</vt:lpwstr>
  </property>
  <property fmtid="{D5CDD505-2E9C-101B-9397-08002B2CF9AE}" pid="3" name="TaxKeyword">
    <vt:lpwstr>110;#AASB 15 Revenue from Licences|acf344ff-78a6-4c34-a52f-759940d8a4c3;#80;#Licences|f853e20a-4091-4972-90aa-a4033947bce2;#114;#Revenue|1125ca89-6a39-41b4-bcb9-c39ada887380;#32;#Revenue of not-for-profit entities|5c2fb2b0-ef0d-4604-a735-7380d017e9a2</vt:lpwstr>
  </property>
  <property fmtid="{D5CDD505-2E9C-101B-9397-08002B2CF9AE}" pid="4" name="Term">
    <vt:lpwstr>142;#Exposure Draft|1cd4d789-fce1-4c28-a618-a55e8f3e5919</vt:lpwstr>
  </property>
  <property fmtid="{D5CDD505-2E9C-101B-9397-08002B2CF9AE}" pid="5" name="_dlc_DocIdItemGuid">
    <vt:lpwstr>f9fd53d4-6cd5-4550-b916-cf24b97fc074</vt:lpwstr>
  </property>
</Properties>
</file>