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6379" w14:textId="77777777" w:rsidR="00280050" w:rsidRPr="00E40F4A" w:rsidRDefault="00E40F4A" w:rsidP="00E40F4A">
      <w:pPr>
        <w:jc w:val="center"/>
        <w:rPr>
          <w:b/>
        </w:rPr>
      </w:pPr>
      <w:r w:rsidRPr="00E40F4A">
        <w:rPr>
          <w:b/>
        </w:rPr>
        <w:t>EXPLANATORY STATEMENT</w:t>
      </w:r>
    </w:p>
    <w:p w14:paraId="395E1650" w14:textId="77777777" w:rsidR="00E40F4A" w:rsidRPr="00E40F4A" w:rsidRDefault="00E40F4A" w:rsidP="00E40F4A">
      <w:pPr>
        <w:jc w:val="center"/>
        <w:rPr>
          <w:i/>
        </w:rPr>
      </w:pPr>
      <w:r w:rsidRPr="00E40F4A">
        <w:rPr>
          <w:i/>
        </w:rPr>
        <w:t>National Health Act 1953</w:t>
      </w:r>
    </w:p>
    <w:p w14:paraId="4A412065" w14:textId="6D29B57A" w:rsidR="00564885" w:rsidRPr="009B6894" w:rsidRDefault="00564885" w:rsidP="00564885">
      <w:pPr>
        <w:jc w:val="center"/>
        <w:rPr>
          <w:b/>
          <w:i/>
        </w:rPr>
      </w:pPr>
      <w:r w:rsidRPr="000178C6">
        <w:rPr>
          <w:b/>
          <w:i/>
        </w:rPr>
        <w:t>National Health</w:t>
      </w:r>
      <w:bookmarkStart w:id="0" w:name="BK_S1P1L3C16"/>
      <w:bookmarkEnd w:id="0"/>
      <w:r w:rsidRPr="000178C6">
        <w:rPr>
          <w:b/>
          <w:i/>
        </w:rPr>
        <w:t xml:space="preserve"> (Pharmaceutical Benefits) (Pharmacist Substitution of Medicines without Prescription </w:t>
      </w:r>
      <w:r w:rsidRPr="009B6894">
        <w:rPr>
          <w:b/>
          <w:i/>
        </w:rPr>
        <w:t xml:space="preserve">during Shortages) </w:t>
      </w:r>
      <w:r>
        <w:rPr>
          <w:b/>
          <w:i/>
        </w:rPr>
        <w:t xml:space="preserve">Amendment (No. </w:t>
      </w:r>
      <w:r w:rsidR="00070ADD" w:rsidRPr="00106E5B">
        <w:rPr>
          <w:b/>
          <w:i/>
        </w:rPr>
        <w:t>2</w:t>
      </w:r>
      <w:r>
        <w:rPr>
          <w:b/>
          <w:i/>
        </w:rPr>
        <w:t xml:space="preserve">) </w:t>
      </w:r>
      <w:r w:rsidRPr="009B6894">
        <w:rPr>
          <w:b/>
          <w:i/>
        </w:rPr>
        <w:t>Determination 202</w:t>
      </w:r>
      <w:r>
        <w:rPr>
          <w:b/>
          <w:i/>
        </w:rPr>
        <w:t>2</w:t>
      </w:r>
    </w:p>
    <w:p w14:paraId="5D6A5F98" w14:textId="544ADA4C" w:rsidR="00564885" w:rsidRPr="004143D3" w:rsidRDefault="00564885" w:rsidP="00564885">
      <w:pPr>
        <w:spacing w:before="120" w:after="0"/>
        <w:jc w:val="center"/>
        <w:rPr>
          <w:b/>
        </w:rPr>
      </w:pPr>
      <w:r w:rsidRPr="004143D3">
        <w:rPr>
          <w:b/>
        </w:rPr>
        <w:t xml:space="preserve">PB </w:t>
      </w:r>
      <w:r w:rsidR="00106E5B" w:rsidRPr="004143D3">
        <w:rPr>
          <w:b/>
        </w:rPr>
        <w:t>42</w:t>
      </w:r>
      <w:r w:rsidRPr="004143D3">
        <w:rPr>
          <w:b/>
        </w:rPr>
        <w:t xml:space="preserve"> of 2022</w:t>
      </w:r>
    </w:p>
    <w:p w14:paraId="0C3822F9" w14:textId="77777777" w:rsidR="00E40F4A" w:rsidRDefault="00E40F4A">
      <w:pPr>
        <w:rPr>
          <w:b/>
        </w:rPr>
      </w:pPr>
      <w:r>
        <w:rPr>
          <w:b/>
        </w:rPr>
        <w:t>Authority</w:t>
      </w:r>
    </w:p>
    <w:p w14:paraId="60A24F2C" w14:textId="77777777" w:rsidR="00471807" w:rsidRDefault="000178C6" w:rsidP="001F14BD">
      <w:pPr>
        <w:pStyle w:val="subsection"/>
        <w:shd w:val="clear" w:color="auto" w:fill="FFFFFF"/>
        <w:spacing w:before="0" w:beforeAutospacing="0" w:after="160" w:afterAutospacing="0"/>
        <w:rPr>
          <w:color w:val="000000"/>
        </w:rPr>
      </w:pPr>
      <w:r w:rsidRPr="001F14BD">
        <w:t xml:space="preserve">Subsection 89A(3) of the </w:t>
      </w:r>
      <w:r w:rsidRPr="001F14BD">
        <w:rPr>
          <w:i/>
        </w:rPr>
        <w:t>National Health Act</w:t>
      </w:r>
      <w:r w:rsidR="00045087" w:rsidRPr="001F14BD">
        <w:rPr>
          <w:i/>
        </w:rPr>
        <w:t xml:space="preserve"> 1953</w:t>
      </w:r>
      <w:r w:rsidRPr="001F14BD">
        <w:t xml:space="preserve"> (the Act) provides that </w:t>
      </w:r>
      <w:r w:rsidRPr="001F14BD">
        <w:rPr>
          <w:color w:val="000000"/>
        </w:rPr>
        <w:t>the Minister may, by legislative instrument, determine the pharmaceutical benefits that may be supplied by an approved pharmacist without a prescription, and the conditions that must be satisfied when making a supply of those pharmaceutical benefits.</w:t>
      </w:r>
      <w:r w:rsidR="00EE2197">
        <w:rPr>
          <w:color w:val="000000"/>
        </w:rPr>
        <w:t xml:space="preserve"> </w:t>
      </w:r>
    </w:p>
    <w:p w14:paraId="28FF1153" w14:textId="77777777" w:rsidR="00E40F4A" w:rsidRDefault="00E40F4A">
      <w:pPr>
        <w:rPr>
          <w:b/>
        </w:rPr>
      </w:pPr>
      <w:r>
        <w:rPr>
          <w:b/>
        </w:rPr>
        <w:t>Purpose</w:t>
      </w:r>
    </w:p>
    <w:p w14:paraId="3264E849" w14:textId="2E5E2CFE" w:rsidR="00E57338" w:rsidRDefault="009361E9" w:rsidP="00E57338">
      <w:r w:rsidRPr="009361E9">
        <w:t xml:space="preserve">The purpose of the </w:t>
      </w:r>
      <w:r w:rsidRPr="009361E9">
        <w:rPr>
          <w:i/>
        </w:rPr>
        <w:t xml:space="preserve">National Health (Pharmaceutical Benefits) (Pharmacist Substitution of Medicines without Prescription during Shortages) </w:t>
      </w:r>
      <w:r w:rsidR="00E57338">
        <w:rPr>
          <w:i/>
        </w:rPr>
        <w:t xml:space="preserve">Amendment (No. </w:t>
      </w:r>
      <w:r w:rsidR="00070ADD" w:rsidRPr="00106E5B">
        <w:rPr>
          <w:i/>
        </w:rPr>
        <w:t>2</w:t>
      </w:r>
      <w:r w:rsidR="00E57338">
        <w:rPr>
          <w:i/>
        </w:rPr>
        <w:t xml:space="preserve">) </w:t>
      </w:r>
      <w:r w:rsidRPr="009361E9">
        <w:rPr>
          <w:i/>
        </w:rPr>
        <w:t>Determination 202</w:t>
      </w:r>
      <w:r w:rsidR="00753BBD">
        <w:rPr>
          <w:i/>
        </w:rPr>
        <w:t>2</w:t>
      </w:r>
      <w:r>
        <w:rPr>
          <w:i/>
        </w:rPr>
        <w:t xml:space="preserve"> </w:t>
      </w:r>
      <w:r w:rsidR="00EE2197">
        <w:t>(</w:t>
      </w:r>
      <w:r w:rsidR="00E57338">
        <w:t>Amendment</w:t>
      </w:r>
      <w:r w:rsidR="00EE2197">
        <w:t xml:space="preserve"> Determination) </w:t>
      </w:r>
      <w:r w:rsidRPr="009361E9">
        <w:t>is</w:t>
      </w:r>
      <w:r w:rsidR="00EE2197">
        <w:t> </w:t>
      </w:r>
      <w:r w:rsidRPr="009361E9">
        <w:t>to</w:t>
      </w:r>
      <w:r w:rsidR="00E57338">
        <w:rPr>
          <w:iCs/>
        </w:rPr>
        <w:t xml:space="preserve"> amend the</w:t>
      </w:r>
      <w:r w:rsidR="00E57338">
        <w:rPr>
          <w:i/>
        </w:rPr>
        <w:t xml:space="preserve"> </w:t>
      </w:r>
      <w:r w:rsidR="00E57338" w:rsidRPr="009361E9">
        <w:rPr>
          <w:i/>
        </w:rPr>
        <w:t>National Health (Pharmaceutical Benefits) (Pharmacist Substitution of Medicines without Prescription during Shortages) Determination 202</w:t>
      </w:r>
      <w:r w:rsidR="00E57338">
        <w:rPr>
          <w:i/>
        </w:rPr>
        <w:t xml:space="preserve">1 </w:t>
      </w:r>
      <w:r w:rsidR="00E57338">
        <w:t>(</w:t>
      </w:r>
      <w:r w:rsidR="00F66BB9" w:rsidRPr="000F14B4">
        <w:t>Principal</w:t>
      </w:r>
      <w:r w:rsidR="00F66BB9">
        <w:t xml:space="preserve"> </w:t>
      </w:r>
      <w:r w:rsidR="00E57338">
        <w:t xml:space="preserve">Determination) to </w:t>
      </w:r>
      <w:r w:rsidR="00070ADD">
        <w:t xml:space="preserve">implement the </w:t>
      </w:r>
      <w:r w:rsidR="00847AFC">
        <w:t>Therapeutic Goods Administration (TGA)</w:t>
      </w:r>
      <w:r w:rsidR="00070ADD">
        <w:t xml:space="preserve"> decision to revoke pharmacist substitution</w:t>
      </w:r>
      <w:r w:rsidR="00AE0A1E">
        <w:t xml:space="preserve"> </w:t>
      </w:r>
      <w:r w:rsidR="00070ADD">
        <w:t>of</w:t>
      </w:r>
      <w:r w:rsidR="00AF3167">
        <w:t xml:space="preserve"> </w:t>
      </w:r>
      <w:r w:rsidR="00847AFC">
        <w:t xml:space="preserve">some </w:t>
      </w:r>
      <w:r w:rsidR="00AF3167">
        <w:t>benefits</w:t>
      </w:r>
      <w:r w:rsidR="00AE0A1E">
        <w:t xml:space="preserve">. </w:t>
      </w:r>
    </w:p>
    <w:p w14:paraId="2539FC71" w14:textId="4D17BF73" w:rsidR="00807D2E" w:rsidRDefault="003510EA" w:rsidP="003510EA">
      <w:pPr>
        <w:spacing w:after="0"/>
      </w:pPr>
      <w:r>
        <w:t xml:space="preserve">The </w:t>
      </w:r>
      <w:r w:rsidR="00F66BB9">
        <w:t xml:space="preserve">Principal </w:t>
      </w:r>
      <w:r>
        <w:t xml:space="preserve">Determination permits an </w:t>
      </w:r>
      <w:r w:rsidRPr="00CE6A67">
        <w:t>approved pharmacist</w:t>
      </w:r>
      <w:r>
        <w:t xml:space="preserve"> </w:t>
      </w:r>
      <w:r w:rsidRPr="00EE2197">
        <w:t>to supply a su</w:t>
      </w:r>
      <w:r>
        <w:t>bstitute pharmaceutical benefit when the pharmaceutical benefit prescribed for the patient is the subject of a TGA Serious Scarcity Substitution Instrument (SSSI).</w:t>
      </w:r>
      <w:r w:rsidR="002D6A9B">
        <w:t xml:space="preserve"> </w:t>
      </w:r>
      <w:r w:rsidR="00106E5B">
        <w:t xml:space="preserve">The Principal Determination incorporated the TGA arrangements to permit pharmacist substitution of products, tocilizumab 162 mg in 0.9 ml single use </w:t>
      </w:r>
      <w:r w:rsidR="00106E5B" w:rsidRPr="00070ADD">
        <w:t xml:space="preserve">pre-filled </w:t>
      </w:r>
      <w:r w:rsidR="00106E5B">
        <w:t xml:space="preserve">syringe and single use pre-filled pen </w:t>
      </w:r>
      <w:r w:rsidR="002B59DE">
        <w:t xml:space="preserve">in </w:t>
      </w:r>
      <w:r w:rsidR="00106E5B">
        <w:t xml:space="preserve">brands Actemra </w:t>
      </w:r>
      <w:r w:rsidR="00106E5B" w:rsidRPr="00070ADD">
        <w:t>Subcutaneous Injection</w:t>
      </w:r>
      <w:r w:rsidR="00106E5B">
        <w:t xml:space="preserve"> and </w:t>
      </w:r>
      <w:r w:rsidR="00106E5B" w:rsidRPr="00070ADD">
        <w:t>Actemra</w:t>
      </w:r>
      <w:r w:rsidR="00807D2E">
        <w:t> </w:t>
      </w:r>
      <w:r w:rsidR="00106E5B" w:rsidRPr="00070ADD">
        <w:t>ACTPen</w:t>
      </w:r>
      <w:r w:rsidR="00106E5B">
        <w:t xml:space="preserve"> and tablet containing estradiol valerate in 1 mg and 2 mg </w:t>
      </w:r>
      <w:r w:rsidR="002B59DE">
        <w:t xml:space="preserve">strengths </w:t>
      </w:r>
      <w:r w:rsidR="004339BA">
        <w:t>in</w:t>
      </w:r>
      <w:r w:rsidR="00106E5B">
        <w:t xml:space="preserve"> brands Progynova and Zumenon. </w:t>
      </w:r>
    </w:p>
    <w:p w14:paraId="68F0FDCC" w14:textId="77777777" w:rsidR="00807D2E" w:rsidRDefault="00807D2E" w:rsidP="003510EA">
      <w:pPr>
        <w:spacing w:after="0"/>
      </w:pPr>
    </w:p>
    <w:p w14:paraId="11B4C56D" w14:textId="231878EB" w:rsidR="0085565E" w:rsidRDefault="00106E5B" w:rsidP="003510EA">
      <w:pPr>
        <w:spacing w:after="0"/>
      </w:pPr>
      <w:r>
        <w:t>The TGA revoked the SSSI for tocilizumab on 30 April 2022 and</w:t>
      </w:r>
      <w:r w:rsidR="002B59DE">
        <w:t xml:space="preserve"> </w:t>
      </w:r>
      <w:r w:rsidR="00807D2E">
        <w:t xml:space="preserve">the </w:t>
      </w:r>
      <w:r w:rsidR="004339BA">
        <w:t>SSSI</w:t>
      </w:r>
      <w:r>
        <w:t xml:space="preserve"> for estradiol valerate on 1 May 2022 </w:t>
      </w:r>
      <w:r w:rsidR="0085565E">
        <w:t xml:space="preserve">following the resolution of </w:t>
      </w:r>
      <w:r>
        <w:t xml:space="preserve">shortages </w:t>
      </w:r>
      <w:r w:rsidR="00AC658D">
        <w:t xml:space="preserve">of </w:t>
      </w:r>
      <w:r w:rsidR="00153A0B" w:rsidRPr="00153A0B">
        <w:t>tocilizumab 162 mg in 0.</w:t>
      </w:r>
      <w:r w:rsidR="00847AFC">
        <w:t> </w:t>
      </w:r>
      <w:r w:rsidR="00153A0B" w:rsidRPr="00153A0B">
        <w:t xml:space="preserve"> ml single use pre-filled syringe in the brand Actemra Subcutaneous Injection, tocilizumab</w:t>
      </w:r>
      <w:r w:rsidR="00153A0B">
        <w:t xml:space="preserve"> </w:t>
      </w:r>
      <w:r w:rsidR="00153A0B" w:rsidRPr="00153A0B">
        <w:t xml:space="preserve">single use pre-filled pen in the brand Actemra ACTPen and tablet containing estradiol valerate in </w:t>
      </w:r>
      <w:r w:rsidR="00153A0B">
        <w:t xml:space="preserve">strengths </w:t>
      </w:r>
      <w:r w:rsidR="00153A0B" w:rsidRPr="00153A0B">
        <w:t>1 mg and 2</w:t>
      </w:r>
      <w:r w:rsidR="00153A0B">
        <w:t> </w:t>
      </w:r>
      <w:r w:rsidR="00153A0B" w:rsidRPr="00153A0B">
        <w:t xml:space="preserve">mg </w:t>
      </w:r>
      <w:r w:rsidR="00153A0B">
        <w:t>and brand Progynova</w:t>
      </w:r>
      <w:r>
        <w:t xml:space="preserve">. </w:t>
      </w:r>
      <w:r w:rsidR="0085565E">
        <w:t xml:space="preserve">Following this change, </w:t>
      </w:r>
      <w:r w:rsidR="002B59DE">
        <w:t>approved pharmacist</w:t>
      </w:r>
      <w:r w:rsidR="0085565E">
        <w:t>s</w:t>
      </w:r>
      <w:r w:rsidR="002B59DE">
        <w:t xml:space="preserve"> </w:t>
      </w:r>
      <w:r w:rsidR="0085565E">
        <w:t xml:space="preserve">are </w:t>
      </w:r>
      <w:r w:rsidR="002B59DE">
        <w:t xml:space="preserve">no longer permitted to supply </w:t>
      </w:r>
      <w:r w:rsidR="00807D2E">
        <w:t>the nominated</w:t>
      </w:r>
      <w:r w:rsidR="002B59DE">
        <w:t xml:space="preserve"> substitute pharmaceutical benefit</w:t>
      </w:r>
      <w:r w:rsidR="00807D2E">
        <w:t>s</w:t>
      </w:r>
      <w:r w:rsidR="002B59DE">
        <w:t xml:space="preserve"> </w:t>
      </w:r>
      <w:r w:rsidR="00807D2E">
        <w:t>in place</w:t>
      </w:r>
      <w:r w:rsidR="002B59DE">
        <w:t xml:space="preserve"> of </w:t>
      </w:r>
      <w:r w:rsidR="00807D2E">
        <w:t>the</w:t>
      </w:r>
      <w:r w:rsidR="002B59DE">
        <w:t xml:space="preserve"> prescribed pharmaceutical benefit</w:t>
      </w:r>
      <w:r w:rsidR="00807D2E">
        <w:t>s</w:t>
      </w:r>
      <w:r w:rsidR="0085565E">
        <w:t xml:space="preserve"> without a prescription</w:t>
      </w:r>
      <w:r w:rsidR="002B59DE">
        <w:t>.</w:t>
      </w:r>
      <w:r w:rsidR="00807D2E">
        <w:t xml:space="preserve"> </w:t>
      </w:r>
      <w:r w:rsidR="00F11AD5">
        <w:t xml:space="preserve">The Amendment Determination </w:t>
      </w:r>
      <w:r w:rsidR="002B59DE">
        <w:t>implement</w:t>
      </w:r>
      <w:r w:rsidR="0085565E">
        <w:t>s</w:t>
      </w:r>
      <w:r w:rsidR="002B59DE">
        <w:t xml:space="preserve"> the </w:t>
      </w:r>
      <w:r w:rsidR="0085565E">
        <w:t xml:space="preserve">TGA </w:t>
      </w:r>
      <w:r w:rsidR="002B59DE">
        <w:t xml:space="preserve">amendments to </w:t>
      </w:r>
      <w:r w:rsidR="0085565E">
        <w:t>PBS subsidy arrangements</w:t>
      </w:r>
      <w:r w:rsidR="002B59DE">
        <w:t xml:space="preserve">. </w:t>
      </w:r>
    </w:p>
    <w:p w14:paraId="1BB3582E" w14:textId="77777777" w:rsidR="0085565E" w:rsidRDefault="0085565E" w:rsidP="003510EA">
      <w:pPr>
        <w:spacing w:after="0"/>
      </w:pPr>
    </w:p>
    <w:p w14:paraId="026DCC0B" w14:textId="5F069C9F" w:rsidR="00747A99" w:rsidRDefault="00AC658D" w:rsidP="003510EA">
      <w:pPr>
        <w:spacing w:after="0"/>
      </w:pPr>
      <w:r>
        <w:t xml:space="preserve">Patients will continue to be able to access </w:t>
      </w:r>
      <w:r w:rsidR="0085565E" w:rsidRPr="0085565E">
        <w:t>tocilizumab 162 mg in 0.9 ml single use pre-filled syringe</w:t>
      </w:r>
      <w:r w:rsidR="0085565E">
        <w:t xml:space="preserve">, </w:t>
      </w:r>
      <w:r w:rsidR="0085565E" w:rsidRPr="0085565E">
        <w:t xml:space="preserve">tocilizumab single use pre-filled pen </w:t>
      </w:r>
      <w:r w:rsidR="0085565E">
        <w:t xml:space="preserve">and </w:t>
      </w:r>
      <w:r w:rsidR="0085565E" w:rsidRPr="0085565E">
        <w:t xml:space="preserve">tablet containing estradiol valerate in strengths 1 mg and 2 mg </w:t>
      </w:r>
      <w:r>
        <w:t xml:space="preserve">at </w:t>
      </w:r>
      <w:r w:rsidR="00C633A2">
        <w:t xml:space="preserve">PBS </w:t>
      </w:r>
      <w:r>
        <w:t>subsidised prices.</w:t>
      </w:r>
    </w:p>
    <w:p w14:paraId="240AAE8A" w14:textId="77777777" w:rsidR="004B3851" w:rsidRDefault="004B3851" w:rsidP="003510EA">
      <w:pPr>
        <w:spacing w:after="0"/>
      </w:pPr>
    </w:p>
    <w:p w14:paraId="0327E123" w14:textId="6E627DA1" w:rsidR="00C76D6F" w:rsidRDefault="00C76D6F" w:rsidP="00C76D6F">
      <w:r>
        <w:t xml:space="preserve">The </w:t>
      </w:r>
      <w:r w:rsidR="00F66BB9">
        <w:t xml:space="preserve">Principal </w:t>
      </w:r>
      <w:r>
        <w:t>Determination will be re</w:t>
      </w:r>
      <w:r>
        <w:noBreakHyphen/>
        <w:t xml:space="preserve">made or revoked, as appropriate, each time the </w:t>
      </w:r>
      <w:r w:rsidR="00A36BBE">
        <w:t xml:space="preserve">Therapeutic Goods Administration (TGA) </w:t>
      </w:r>
      <w:r>
        <w:t>issues or rescinds a SSSI in respect of a PBS listed drug.</w:t>
      </w:r>
    </w:p>
    <w:p w14:paraId="2054753F" w14:textId="12B7BEDC" w:rsidR="00C86737" w:rsidRPr="00786242" w:rsidRDefault="009361E9" w:rsidP="00786242">
      <w:r w:rsidRPr="00786242">
        <w:t xml:space="preserve">The </w:t>
      </w:r>
      <w:r w:rsidR="00F66BB9">
        <w:t>Amend</w:t>
      </w:r>
      <w:r w:rsidR="004B3DDF">
        <w:t>ment</w:t>
      </w:r>
      <w:r w:rsidR="00F66BB9">
        <w:t xml:space="preserve"> </w:t>
      </w:r>
      <w:r w:rsidRPr="00786242">
        <w:t>Determination commences on</w:t>
      </w:r>
      <w:r w:rsidR="00C86737" w:rsidRPr="00786242">
        <w:t xml:space="preserve"> </w:t>
      </w:r>
      <w:r w:rsidR="002A6522">
        <w:rPr>
          <w:rFonts w:eastAsia="Times New Roman"/>
          <w:b/>
          <w:bCs/>
        </w:rPr>
        <w:t>20</w:t>
      </w:r>
      <w:r w:rsidR="008E4E94" w:rsidRPr="000841DA">
        <w:rPr>
          <w:rFonts w:eastAsia="Times New Roman"/>
          <w:b/>
          <w:bCs/>
        </w:rPr>
        <w:t xml:space="preserve"> </w:t>
      </w:r>
      <w:r w:rsidR="000F14B4">
        <w:rPr>
          <w:rFonts w:eastAsia="Times New Roman"/>
          <w:b/>
          <w:bCs/>
        </w:rPr>
        <w:t>May</w:t>
      </w:r>
      <w:r w:rsidR="008E4E94" w:rsidRPr="000841DA">
        <w:rPr>
          <w:rFonts w:eastAsia="Times New Roman"/>
          <w:b/>
          <w:bCs/>
        </w:rPr>
        <w:t xml:space="preserve"> 2022</w:t>
      </w:r>
      <w:r w:rsidR="00C86737" w:rsidRPr="008E4E94">
        <w:t>.</w:t>
      </w:r>
    </w:p>
    <w:p w14:paraId="6322B864" w14:textId="5BCF2206" w:rsidR="009361E9" w:rsidRDefault="00C86737" w:rsidP="00786242">
      <w:r w:rsidRPr="00786242">
        <w:t>T</w:t>
      </w:r>
      <w:r w:rsidR="009361E9" w:rsidRPr="00786242">
        <w:t xml:space="preserve">he </w:t>
      </w:r>
      <w:r w:rsidR="00F66BB9">
        <w:t>Amend</w:t>
      </w:r>
      <w:r w:rsidR="004B3DDF">
        <w:t>ment</w:t>
      </w:r>
      <w:r w:rsidR="00F66BB9">
        <w:t xml:space="preserve"> </w:t>
      </w:r>
      <w:r w:rsidR="009361E9" w:rsidRPr="00786242">
        <w:t>Determination is a legislative instrument for the purposes of the </w:t>
      </w:r>
      <w:r w:rsidR="009361E9" w:rsidRPr="003432BC">
        <w:rPr>
          <w:i/>
        </w:rPr>
        <w:t>Legislation</w:t>
      </w:r>
      <w:r w:rsidR="001A16BA">
        <w:rPr>
          <w:i/>
        </w:rPr>
        <w:t> </w:t>
      </w:r>
      <w:r w:rsidR="009361E9" w:rsidRPr="003432BC">
        <w:rPr>
          <w:i/>
        </w:rPr>
        <w:t>Act</w:t>
      </w:r>
      <w:r w:rsidR="001A16BA">
        <w:rPr>
          <w:i/>
        </w:rPr>
        <w:t> </w:t>
      </w:r>
      <w:r w:rsidR="009361E9" w:rsidRPr="003432BC">
        <w:rPr>
          <w:i/>
        </w:rPr>
        <w:t>2003</w:t>
      </w:r>
      <w:r w:rsidR="009361E9" w:rsidRPr="00786242">
        <w:t>.</w:t>
      </w:r>
    </w:p>
    <w:p w14:paraId="774FBE69" w14:textId="5400561B" w:rsidR="001907A9" w:rsidRDefault="001907A9" w:rsidP="00786242">
      <w:r w:rsidRPr="00786242">
        <w:t>A provision-by-provision description of the</w:t>
      </w:r>
      <w:r>
        <w:t xml:space="preserve"> Amendment</w:t>
      </w:r>
      <w:r w:rsidRPr="00786242">
        <w:t xml:space="preserve"> Determination is contained in </w:t>
      </w:r>
      <w:r>
        <w:t xml:space="preserve">the </w:t>
      </w:r>
      <w:r w:rsidRPr="00786242">
        <w:t>Attachment.</w:t>
      </w:r>
    </w:p>
    <w:p w14:paraId="2BF42752" w14:textId="77777777" w:rsidR="007E1768" w:rsidRPr="00786242" w:rsidRDefault="007E1768" w:rsidP="00786242"/>
    <w:p w14:paraId="5B5E1C1F" w14:textId="77777777" w:rsidR="00E40F4A" w:rsidRDefault="00E40F4A">
      <w:pPr>
        <w:rPr>
          <w:b/>
        </w:rPr>
      </w:pPr>
      <w:r>
        <w:rPr>
          <w:b/>
        </w:rPr>
        <w:lastRenderedPageBreak/>
        <w:t>Consultation</w:t>
      </w:r>
    </w:p>
    <w:p w14:paraId="0476B556" w14:textId="631FC600" w:rsidR="00476CDE" w:rsidRDefault="00476CDE" w:rsidP="00476CDE">
      <w:r>
        <w:t>The Amendment Determination reflects the intention of consultation</w:t>
      </w:r>
      <w:r w:rsidR="009F7518">
        <w:t xml:space="preserve"> with the TGA</w:t>
      </w:r>
      <w:r>
        <w:t xml:space="preserve">. </w:t>
      </w:r>
    </w:p>
    <w:p w14:paraId="077B3A9B" w14:textId="558C9C25" w:rsidR="00F21BFF" w:rsidRPr="003D78E8" w:rsidRDefault="00F21BFF" w:rsidP="00F21BFF">
      <w:pPr>
        <w:autoSpaceDE w:val="0"/>
        <w:autoSpaceDN w:val="0"/>
        <w:adjustRightInd w:val="0"/>
        <w:rPr>
          <w:bCs/>
          <w:iCs/>
        </w:rPr>
      </w:pPr>
      <w:r w:rsidRPr="003D78E8">
        <w:rPr>
          <w:bCs/>
          <w:iCs/>
        </w:rPr>
        <w:t>No additional consultation with experts w</w:t>
      </w:r>
      <w:r>
        <w:rPr>
          <w:bCs/>
          <w:iCs/>
        </w:rPr>
        <w:t>as</w:t>
      </w:r>
      <w:r w:rsidRPr="003D78E8">
        <w:rPr>
          <w:bCs/>
          <w:iCs/>
        </w:rPr>
        <w:t xml:space="preserve"> undertaken regarding this determination because </w:t>
      </w:r>
      <w:r>
        <w:rPr>
          <w:bCs/>
          <w:iCs/>
        </w:rPr>
        <w:t>consultation with the TGA and the affected responsible persons</w:t>
      </w:r>
      <w:r w:rsidRPr="003D78E8">
        <w:rPr>
          <w:bCs/>
          <w:iCs/>
        </w:rPr>
        <w:t xml:space="preserve"> drew on the knowledge of persons with relevant expertise.</w:t>
      </w:r>
    </w:p>
    <w:p w14:paraId="1D840B07" w14:textId="77777777" w:rsidR="00F21BFF" w:rsidRDefault="00F21BFF" w:rsidP="00F21BFF">
      <w:pPr>
        <w:autoSpaceDE w:val="0"/>
        <w:autoSpaceDN w:val="0"/>
        <w:adjustRightInd w:val="0"/>
      </w:pPr>
    </w:p>
    <w:p w14:paraId="66FCB366" w14:textId="77777777" w:rsidR="00F21BFF" w:rsidRDefault="00F21BFF" w:rsidP="00476CDE"/>
    <w:p w14:paraId="3146B839" w14:textId="510A74EF" w:rsidR="005B1E28" w:rsidRDefault="005B1E28" w:rsidP="000F14B4">
      <w:pPr>
        <w:rPr>
          <w:color w:val="000000"/>
        </w:rPr>
      </w:pPr>
    </w:p>
    <w:p w14:paraId="1934D542" w14:textId="1AE6160D" w:rsidR="007B2DF0" w:rsidRDefault="007B2DF0" w:rsidP="000F14B4">
      <w:pPr>
        <w:rPr>
          <w:color w:val="000000"/>
        </w:rPr>
      </w:pPr>
    </w:p>
    <w:p w14:paraId="07E8B8BC" w14:textId="0603A6C5" w:rsidR="007B2DF0" w:rsidRDefault="007B2DF0" w:rsidP="000F14B4">
      <w:pPr>
        <w:rPr>
          <w:color w:val="000000"/>
        </w:rPr>
      </w:pPr>
    </w:p>
    <w:p w14:paraId="552175F5" w14:textId="7FB72027" w:rsidR="007B2DF0" w:rsidRDefault="007B2DF0" w:rsidP="000F14B4">
      <w:pPr>
        <w:rPr>
          <w:color w:val="000000"/>
        </w:rPr>
      </w:pPr>
    </w:p>
    <w:p w14:paraId="2F596471" w14:textId="136F08AA" w:rsidR="007B2DF0" w:rsidRDefault="007B2DF0" w:rsidP="000F14B4">
      <w:pPr>
        <w:rPr>
          <w:color w:val="000000"/>
        </w:rPr>
      </w:pPr>
    </w:p>
    <w:p w14:paraId="25AC0B6B" w14:textId="543EE169" w:rsidR="007B2DF0" w:rsidRDefault="007B2DF0" w:rsidP="000F14B4">
      <w:pPr>
        <w:rPr>
          <w:color w:val="000000"/>
        </w:rPr>
      </w:pPr>
    </w:p>
    <w:p w14:paraId="0B5A554F" w14:textId="23877B36" w:rsidR="007B2DF0" w:rsidRDefault="007B2DF0" w:rsidP="000F14B4">
      <w:pPr>
        <w:rPr>
          <w:color w:val="000000"/>
        </w:rPr>
      </w:pPr>
    </w:p>
    <w:p w14:paraId="1F8E9359" w14:textId="3BB770CF" w:rsidR="007B2DF0" w:rsidRDefault="007B2DF0" w:rsidP="000F14B4">
      <w:pPr>
        <w:rPr>
          <w:color w:val="000000"/>
        </w:rPr>
      </w:pPr>
    </w:p>
    <w:p w14:paraId="076F86E0" w14:textId="5C95F266" w:rsidR="007B2DF0" w:rsidRDefault="007B2DF0" w:rsidP="000F14B4">
      <w:pPr>
        <w:rPr>
          <w:color w:val="000000"/>
        </w:rPr>
      </w:pPr>
    </w:p>
    <w:p w14:paraId="7F8127A4" w14:textId="18DAB0B2" w:rsidR="007B2DF0" w:rsidRDefault="007B2DF0" w:rsidP="000F14B4">
      <w:pPr>
        <w:rPr>
          <w:color w:val="000000"/>
        </w:rPr>
      </w:pPr>
    </w:p>
    <w:p w14:paraId="18B968B8" w14:textId="1BF31C55" w:rsidR="007B2DF0" w:rsidRDefault="007B2DF0" w:rsidP="000F14B4">
      <w:pPr>
        <w:rPr>
          <w:color w:val="000000"/>
        </w:rPr>
      </w:pPr>
    </w:p>
    <w:p w14:paraId="5892B947" w14:textId="0FDAAED0" w:rsidR="007B2DF0" w:rsidRDefault="007B2DF0" w:rsidP="000F14B4">
      <w:pPr>
        <w:rPr>
          <w:color w:val="000000"/>
        </w:rPr>
      </w:pPr>
    </w:p>
    <w:p w14:paraId="5371291E" w14:textId="37434FA5" w:rsidR="007B2DF0" w:rsidRDefault="007B2DF0" w:rsidP="000F14B4">
      <w:pPr>
        <w:rPr>
          <w:color w:val="000000"/>
        </w:rPr>
      </w:pPr>
    </w:p>
    <w:p w14:paraId="2C534E6D" w14:textId="12F46B24" w:rsidR="007B2DF0" w:rsidRDefault="007B2DF0" w:rsidP="000F14B4">
      <w:pPr>
        <w:rPr>
          <w:color w:val="000000"/>
        </w:rPr>
      </w:pPr>
    </w:p>
    <w:p w14:paraId="45BEF8C1" w14:textId="4A59D230" w:rsidR="007B2DF0" w:rsidRDefault="007B2DF0" w:rsidP="000F14B4">
      <w:pPr>
        <w:rPr>
          <w:color w:val="000000"/>
        </w:rPr>
      </w:pPr>
    </w:p>
    <w:p w14:paraId="72E15F9D" w14:textId="4B1E049E" w:rsidR="007B2DF0" w:rsidRDefault="007B2DF0" w:rsidP="000F14B4">
      <w:pPr>
        <w:rPr>
          <w:color w:val="000000"/>
        </w:rPr>
      </w:pPr>
    </w:p>
    <w:p w14:paraId="59A40188" w14:textId="03DB99F9" w:rsidR="007B2DF0" w:rsidRDefault="007B2DF0" w:rsidP="000F14B4">
      <w:pPr>
        <w:rPr>
          <w:color w:val="000000"/>
        </w:rPr>
      </w:pPr>
    </w:p>
    <w:p w14:paraId="1AAE9796" w14:textId="36FA1CD3" w:rsidR="007B2DF0" w:rsidRDefault="007B2DF0" w:rsidP="000F14B4">
      <w:pPr>
        <w:rPr>
          <w:color w:val="000000"/>
        </w:rPr>
      </w:pPr>
    </w:p>
    <w:p w14:paraId="3430A17F" w14:textId="48B04C9E" w:rsidR="007B2DF0" w:rsidRDefault="007B2DF0" w:rsidP="000F14B4">
      <w:pPr>
        <w:rPr>
          <w:color w:val="000000"/>
        </w:rPr>
      </w:pPr>
    </w:p>
    <w:p w14:paraId="2E782E2E" w14:textId="539059F3" w:rsidR="007B2DF0" w:rsidRDefault="007B2DF0" w:rsidP="000F14B4">
      <w:pPr>
        <w:rPr>
          <w:color w:val="000000"/>
        </w:rPr>
      </w:pPr>
    </w:p>
    <w:p w14:paraId="63D7A4CE" w14:textId="62DA5165" w:rsidR="007B2DF0" w:rsidRDefault="007B2DF0" w:rsidP="000F14B4">
      <w:pPr>
        <w:rPr>
          <w:color w:val="000000"/>
        </w:rPr>
      </w:pPr>
    </w:p>
    <w:p w14:paraId="6C71725F" w14:textId="573D88D1" w:rsidR="007B2DF0" w:rsidRDefault="007B2DF0" w:rsidP="000F14B4">
      <w:pPr>
        <w:rPr>
          <w:color w:val="000000"/>
        </w:rPr>
      </w:pPr>
    </w:p>
    <w:p w14:paraId="6EB69FC0" w14:textId="6F1B832E" w:rsidR="007B2DF0" w:rsidRDefault="007B2DF0" w:rsidP="000F14B4">
      <w:pPr>
        <w:rPr>
          <w:color w:val="000000"/>
        </w:rPr>
      </w:pPr>
    </w:p>
    <w:p w14:paraId="0D84746C" w14:textId="2D731EB0" w:rsidR="007B2DF0" w:rsidRDefault="007B2DF0" w:rsidP="000F14B4">
      <w:pPr>
        <w:rPr>
          <w:color w:val="000000"/>
        </w:rPr>
      </w:pPr>
    </w:p>
    <w:p w14:paraId="346D1C68" w14:textId="58E78CC9" w:rsidR="007B2DF0" w:rsidRDefault="007B2DF0" w:rsidP="000F14B4">
      <w:pPr>
        <w:rPr>
          <w:color w:val="000000"/>
        </w:rPr>
      </w:pPr>
    </w:p>
    <w:p w14:paraId="4610CE0A" w14:textId="0DBD395E" w:rsidR="007B2DF0" w:rsidRDefault="007B2DF0" w:rsidP="000F14B4">
      <w:pPr>
        <w:rPr>
          <w:color w:val="000000"/>
        </w:rPr>
      </w:pPr>
    </w:p>
    <w:p w14:paraId="2F4E758F" w14:textId="7000C171" w:rsidR="007B2DF0" w:rsidRDefault="007B2DF0" w:rsidP="000F14B4">
      <w:pPr>
        <w:rPr>
          <w:color w:val="000000"/>
        </w:rPr>
      </w:pPr>
    </w:p>
    <w:p w14:paraId="4D151B59" w14:textId="04726DFB" w:rsidR="009F7518" w:rsidRDefault="009F7518" w:rsidP="000F14B4">
      <w:pPr>
        <w:rPr>
          <w:b/>
        </w:rPr>
      </w:pPr>
    </w:p>
    <w:p w14:paraId="3EFCD14F" w14:textId="46CB8A43" w:rsidR="001907A9" w:rsidRDefault="001907A9" w:rsidP="001907A9">
      <w:pPr>
        <w:jc w:val="right"/>
        <w:rPr>
          <w:b/>
        </w:rPr>
      </w:pPr>
      <w:r>
        <w:rPr>
          <w:b/>
        </w:rPr>
        <w:lastRenderedPageBreak/>
        <w:t>ATTACHMENT</w:t>
      </w:r>
      <w:r w:rsidR="008C6BED">
        <w:rPr>
          <w:b/>
        </w:rPr>
        <w:t xml:space="preserve"> A</w:t>
      </w:r>
    </w:p>
    <w:p w14:paraId="270C488C" w14:textId="345929D4" w:rsidR="001907A9" w:rsidRPr="009B6894" w:rsidRDefault="001907A9" w:rsidP="001907A9">
      <w:pPr>
        <w:rPr>
          <w:b/>
        </w:rPr>
      </w:pPr>
      <w:r>
        <w:rPr>
          <w:b/>
        </w:rPr>
        <w:t>Details</w:t>
      </w:r>
      <w:r w:rsidRPr="009B6894">
        <w:rPr>
          <w:b/>
        </w:rPr>
        <w:t xml:space="preserve"> of the </w:t>
      </w:r>
      <w:r w:rsidRPr="00445B25">
        <w:rPr>
          <w:b/>
          <w:i/>
        </w:rPr>
        <w:t>National Health (Pharmaceutical Benefits) (Pharmacist Substitution of Medicines without Prescription during Shortages)</w:t>
      </w:r>
      <w:r>
        <w:rPr>
          <w:b/>
          <w:i/>
        </w:rPr>
        <w:t xml:space="preserve"> Amendment (No. </w:t>
      </w:r>
      <w:r w:rsidR="00C2363A" w:rsidRPr="00106E5B">
        <w:rPr>
          <w:b/>
          <w:i/>
        </w:rPr>
        <w:t>2</w:t>
      </w:r>
      <w:r>
        <w:rPr>
          <w:b/>
          <w:i/>
        </w:rPr>
        <w:t>)</w:t>
      </w:r>
      <w:r w:rsidRPr="00445B25">
        <w:rPr>
          <w:b/>
          <w:i/>
        </w:rPr>
        <w:t xml:space="preserve"> Determination 202</w:t>
      </w:r>
      <w:r>
        <w:rPr>
          <w:b/>
          <w:i/>
        </w:rPr>
        <w:t>2</w:t>
      </w:r>
    </w:p>
    <w:p w14:paraId="1D47F402" w14:textId="77777777" w:rsidR="001907A9" w:rsidRPr="009B6894" w:rsidRDefault="001907A9" w:rsidP="001907A9">
      <w:pPr>
        <w:rPr>
          <w:b/>
        </w:rPr>
      </w:pPr>
      <w:r w:rsidRPr="009B6894">
        <w:rPr>
          <w:b/>
        </w:rPr>
        <w:t>Section 1</w:t>
      </w:r>
      <w:r w:rsidRPr="009B6894">
        <w:rPr>
          <w:b/>
        </w:rPr>
        <w:tab/>
        <w:t>Name</w:t>
      </w:r>
    </w:p>
    <w:p w14:paraId="6C68BFB3" w14:textId="5E43C07B" w:rsidR="001907A9" w:rsidRPr="009B6894" w:rsidRDefault="001907A9" w:rsidP="001907A9">
      <w:pPr>
        <w:rPr>
          <w:i/>
        </w:rPr>
      </w:pPr>
      <w:r w:rsidRPr="009B6894">
        <w:t xml:space="preserve">This section provides </w:t>
      </w:r>
      <w:r>
        <w:t xml:space="preserve">that the name of the Amendment Determination is the </w:t>
      </w:r>
      <w:r w:rsidRPr="009B6894">
        <w:rPr>
          <w:i/>
        </w:rPr>
        <w:t xml:space="preserve">National Health (Pharmaceutical Benefits) (Pharmacist Substitution of Medicines without Prescription during Shortages) </w:t>
      </w:r>
      <w:r>
        <w:rPr>
          <w:i/>
        </w:rPr>
        <w:t xml:space="preserve">Amendment (No. </w:t>
      </w:r>
      <w:r w:rsidR="00C2363A" w:rsidRPr="00106E5B">
        <w:rPr>
          <w:i/>
        </w:rPr>
        <w:t>2</w:t>
      </w:r>
      <w:r>
        <w:rPr>
          <w:i/>
        </w:rPr>
        <w:t xml:space="preserve">) </w:t>
      </w:r>
      <w:r w:rsidRPr="009B6894">
        <w:rPr>
          <w:i/>
        </w:rPr>
        <w:t>Determination 202</w:t>
      </w:r>
      <w:r>
        <w:rPr>
          <w:i/>
        </w:rPr>
        <w:t>2</w:t>
      </w:r>
      <w:r w:rsidRPr="009B6894">
        <w:rPr>
          <w:i/>
        </w:rPr>
        <w:t>.</w:t>
      </w:r>
    </w:p>
    <w:p w14:paraId="098F211B" w14:textId="205E0354" w:rsidR="001907A9" w:rsidRDefault="001907A9" w:rsidP="001907A9">
      <w:pPr>
        <w:rPr>
          <w:b/>
        </w:rPr>
      </w:pPr>
      <w:r w:rsidRPr="009B6894">
        <w:t xml:space="preserve">This section also provides that the instrument may be cited as PB </w:t>
      </w:r>
      <w:r w:rsidR="00106E5B">
        <w:t>42</w:t>
      </w:r>
      <w:r w:rsidRPr="009B6894">
        <w:t xml:space="preserve"> of 202</w:t>
      </w:r>
      <w:r>
        <w:t>2</w:t>
      </w:r>
      <w:r w:rsidRPr="009B6894">
        <w:t>.</w:t>
      </w:r>
    </w:p>
    <w:p w14:paraId="52F5ABA6" w14:textId="77777777" w:rsidR="001907A9" w:rsidRDefault="001907A9" w:rsidP="001907A9">
      <w:pPr>
        <w:rPr>
          <w:b/>
        </w:rPr>
      </w:pPr>
      <w:r>
        <w:rPr>
          <w:b/>
        </w:rPr>
        <w:t>Section 2</w:t>
      </w:r>
      <w:r>
        <w:rPr>
          <w:b/>
        </w:rPr>
        <w:tab/>
        <w:t>Commencement</w:t>
      </w:r>
    </w:p>
    <w:p w14:paraId="35C6EAE7" w14:textId="72110095" w:rsidR="001907A9" w:rsidRDefault="001907A9" w:rsidP="001907A9">
      <w:pPr>
        <w:rPr>
          <w:b/>
        </w:rPr>
      </w:pPr>
      <w:r w:rsidRPr="00621B3F">
        <w:t xml:space="preserve">This section provides that the </w:t>
      </w:r>
      <w:r>
        <w:t xml:space="preserve">Amendment </w:t>
      </w:r>
      <w:r w:rsidRPr="00621B3F">
        <w:t xml:space="preserve">Determination commences </w:t>
      </w:r>
      <w:r>
        <w:t xml:space="preserve">on </w:t>
      </w:r>
      <w:r w:rsidR="002A6522">
        <w:t>20</w:t>
      </w:r>
      <w:r>
        <w:t xml:space="preserve"> May 2022.</w:t>
      </w:r>
    </w:p>
    <w:p w14:paraId="2B2E7377" w14:textId="77777777" w:rsidR="001907A9" w:rsidRDefault="001907A9" w:rsidP="001907A9">
      <w:pPr>
        <w:rPr>
          <w:b/>
        </w:rPr>
      </w:pPr>
      <w:r>
        <w:rPr>
          <w:b/>
        </w:rPr>
        <w:t>Section 3</w:t>
      </w:r>
      <w:r>
        <w:rPr>
          <w:b/>
        </w:rPr>
        <w:tab/>
        <w:t>Authority</w:t>
      </w:r>
    </w:p>
    <w:p w14:paraId="30106403" w14:textId="77777777" w:rsidR="001907A9" w:rsidRPr="00621B3F" w:rsidRDefault="001907A9" w:rsidP="001907A9">
      <w:r w:rsidRPr="00621B3F">
        <w:t xml:space="preserve">This section provides that the </w:t>
      </w:r>
      <w:r>
        <w:t xml:space="preserve">Amendment </w:t>
      </w:r>
      <w:r w:rsidRPr="00621B3F">
        <w:t xml:space="preserve">Determination is made under subsection 89A(3) of the </w:t>
      </w:r>
      <w:r w:rsidRPr="00621B3F">
        <w:rPr>
          <w:i/>
        </w:rPr>
        <w:t>National</w:t>
      </w:r>
      <w:r>
        <w:rPr>
          <w:i/>
        </w:rPr>
        <w:t> </w:t>
      </w:r>
      <w:r w:rsidRPr="00621B3F">
        <w:rPr>
          <w:i/>
        </w:rPr>
        <w:t>Health</w:t>
      </w:r>
      <w:r>
        <w:rPr>
          <w:i/>
        </w:rPr>
        <w:t> </w:t>
      </w:r>
      <w:r w:rsidRPr="00621B3F">
        <w:rPr>
          <w:i/>
        </w:rPr>
        <w:t>Act</w:t>
      </w:r>
      <w:r>
        <w:rPr>
          <w:i/>
        </w:rPr>
        <w:t> </w:t>
      </w:r>
      <w:r w:rsidRPr="00621B3F">
        <w:rPr>
          <w:i/>
        </w:rPr>
        <w:t>1953</w:t>
      </w:r>
      <w:r w:rsidRPr="00621B3F">
        <w:t>.</w:t>
      </w:r>
    </w:p>
    <w:p w14:paraId="7FD9A160" w14:textId="77777777" w:rsidR="001907A9" w:rsidRDefault="001907A9" w:rsidP="001907A9">
      <w:pPr>
        <w:rPr>
          <w:b/>
        </w:rPr>
      </w:pPr>
      <w:r>
        <w:rPr>
          <w:b/>
        </w:rPr>
        <w:t>Section 4</w:t>
      </w:r>
      <w:r>
        <w:rPr>
          <w:b/>
        </w:rPr>
        <w:tab/>
        <w:t xml:space="preserve"> Schedules </w:t>
      </w:r>
    </w:p>
    <w:p w14:paraId="5B10DB5B" w14:textId="77777777" w:rsidR="001907A9" w:rsidRPr="004839D9" w:rsidRDefault="001907A9" w:rsidP="001907A9">
      <w:r w:rsidRPr="004839D9">
        <w:t xml:space="preserve">This section </w:t>
      </w:r>
      <w:r>
        <w:t xml:space="preserve">provides that each instrument that is specified in a Schedule to this instrument is amended or repealed as set out in the applicable items </w:t>
      </w:r>
      <w:r w:rsidRPr="00083F48">
        <w:t xml:space="preserve">in the Schedule concerned, and any other item in a Schedule to </w:t>
      </w:r>
      <w:r>
        <w:t>this instrument</w:t>
      </w:r>
      <w:r w:rsidRPr="00083F48">
        <w:t xml:space="preserve"> has effect according to its terms</w:t>
      </w:r>
      <w:r w:rsidRPr="004839D9">
        <w:t>.</w:t>
      </w:r>
    </w:p>
    <w:p w14:paraId="30BC1916" w14:textId="77777777" w:rsidR="001907A9" w:rsidRDefault="001907A9" w:rsidP="001907A9">
      <w:pPr>
        <w:ind w:left="1440" w:hanging="1440"/>
        <w:rPr>
          <w:b/>
        </w:rPr>
      </w:pPr>
      <w:r>
        <w:rPr>
          <w:b/>
        </w:rPr>
        <w:t>Schedule 1 - Amendments</w:t>
      </w:r>
    </w:p>
    <w:p w14:paraId="3B1B3177" w14:textId="77777777" w:rsidR="001907A9" w:rsidRDefault="001907A9" w:rsidP="001907A9">
      <w:pPr>
        <w:rPr>
          <w:b/>
          <w:i/>
          <w:iCs/>
          <w:sz w:val="22"/>
          <w:szCs w:val="22"/>
        </w:rPr>
      </w:pPr>
      <w:r w:rsidRPr="00850762">
        <w:rPr>
          <w:b/>
          <w:i/>
          <w:iCs/>
          <w:sz w:val="22"/>
          <w:szCs w:val="22"/>
        </w:rPr>
        <w:t>National Health (Pharmaceutical Benefits) (Pharmacist Substitution of Medicines without Prescription during Shortages) Determination 2021</w:t>
      </w:r>
    </w:p>
    <w:p w14:paraId="1D457F38" w14:textId="48D6B8CD" w:rsidR="001907A9" w:rsidRPr="00850762" w:rsidRDefault="001907A9" w:rsidP="001907A9">
      <w:pPr>
        <w:rPr>
          <w:b/>
          <w:sz w:val="22"/>
          <w:szCs w:val="22"/>
        </w:rPr>
      </w:pPr>
      <w:r w:rsidRPr="00850762">
        <w:rPr>
          <w:b/>
          <w:sz w:val="22"/>
          <w:szCs w:val="22"/>
        </w:rPr>
        <w:t xml:space="preserve">Item 1 – Subsection 5(8) </w:t>
      </w:r>
    </w:p>
    <w:p w14:paraId="0F807B3B" w14:textId="4356C0E9" w:rsidR="00A571B3" w:rsidRPr="00A571B3" w:rsidRDefault="001907A9" w:rsidP="00A571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This item </w:t>
      </w:r>
      <w:r w:rsidR="00C2363A">
        <w:rPr>
          <w:bCs/>
          <w:sz w:val="22"/>
          <w:szCs w:val="22"/>
        </w:rPr>
        <w:t xml:space="preserve">repeals </w:t>
      </w:r>
      <w:r w:rsidR="004B3851">
        <w:rPr>
          <w:bCs/>
          <w:sz w:val="22"/>
          <w:szCs w:val="22"/>
        </w:rPr>
        <w:t>four</w:t>
      </w:r>
      <w:r>
        <w:rPr>
          <w:bCs/>
          <w:sz w:val="22"/>
          <w:szCs w:val="22"/>
        </w:rPr>
        <w:t xml:space="preserve"> items </w:t>
      </w:r>
      <w:r w:rsidR="00A571B3">
        <w:rPr>
          <w:bCs/>
          <w:sz w:val="22"/>
          <w:szCs w:val="22"/>
        </w:rPr>
        <w:t>from</w:t>
      </w:r>
      <w:r>
        <w:rPr>
          <w:bCs/>
          <w:sz w:val="22"/>
          <w:szCs w:val="22"/>
        </w:rPr>
        <w:t xml:space="preserve"> the table at subsection 5(8) of the </w:t>
      </w:r>
      <w:bookmarkStart w:id="1" w:name="_Hlk103601448"/>
      <w:r w:rsidRPr="00850762">
        <w:rPr>
          <w:bCs/>
          <w:i/>
          <w:iCs/>
          <w:sz w:val="22"/>
          <w:szCs w:val="22"/>
        </w:rPr>
        <w:t>National Health (Pharmaceutical Benefits) (Pharmacist Substitution of Medicines without Prescription during Shortages) Determination 2021</w:t>
      </w:r>
      <w:bookmarkEnd w:id="1"/>
      <w:r>
        <w:rPr>
          <w:bCs/>
          <w:sz w:val="22"/>
          <w:szCs w:val="22"/>
        </w:rPr>
        <w:t>: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411"/>
        <w:gridCol w:w="3969"/>
        <w:gridCol w:w="4065"/>
      </w:tblGrid>
      <w:tr w:rsidR="00A571B3" w14:paraId="6F3ECC7D" w14:textId="77777777" w:rsidTr="00A571B3">
        <w:tc>
          <w:tcPr>
            <w:tcW w:w="411" w:type="dxa"/>
          </w:tcPr>
          <w:p w14:paraId="096ADB3D" w14:textId="77777777" w:rsidR="00A571B3" w:rsidRDefault="00A571B3" w:rsidP="00A571B3">
            <w:pPr>
              <w:spacing w:after="38" w:line="248" w:lineRule="auto"/>
              <w:ind w:right="39"/>
            </w:pPr>
          </w:p>
        </w:tc>
        <w:tc>
          <w:tcPr>
            <w:tcW w:w="3969" w:type="dxa"/>
          </w:tcPr>
          <w:p w14:paraId="7FEB4D4D" w14:textId="4921DEE7" w:rsidR="00A571B3" w:rsidRPr="001B037F" w:rsidRDefault="00A571B3" w:rsidP="00A571B3">
            <w:pPr>
              <w:tabs>
                <w:tab w:val="left" w:pos="3544"/>
              </w:tabs>
              <w:rPr>
                <w:b/>
                <w:bCs/>
              </w:rPr>
            </w:pP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>Column 1</w:t>
            </w: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br/>
              <w:t>Prescribed pharmaceutical benefit</w:t>
            </w:r>
          </w:p>
          <w:p w14:paraId="636960B7" w14:textId="77777777" w:rsidR="00A571B3" w:rsidRPr="00DF641C" w:rsidRDefault="00A571B3" w:rsidP="00A571B3">
            <w:pPr>
              <w:spacing w:after="38" w:line="248" w:lineRule="auto"/>
              <w:ind w:right="39"/>
              <w:rPr>
                <w:color w:val="000000"/>
              </w:rPr>
            </w:pPr>
          </w:p>
        </w:tc>
        <w:tc>
          <w:tcPr>
            <w:tcW w:w="4065" w:type="dxa"/>
          </w:tcPr>
          <w:p w14:paraId="01016FFF" w14:textId="77777777" w:rsidR="00A571B3" w:rsidRDefault="00A571B3" w:rsidP="00A571B3">
            <w:pPr>
              <w:tabs>
                <w:tab w:val="left" w:pos="3544"/>
              </w:tabs>
              <w:rPr>
                <w:b/>
                <w:bCs/>
              </w:rPr>
            </w:pPr>
            <w:r>
              <w:rPr>
                <w:b/>
                <w:bCs/>
              </w:rPr>
              <w:t>Column 2</w:t>
            </w:r>
          </w:p>
          <w:p w14:paraId="5CB0371A" w14:textId="65BD34F6" w:rsidR="00A571B3" w:rsidRPr="0086353C" w:rsidRDefault="00A571B3" w:rsidP="00A571B3">
            <w:pPr>
              <w:spacing w:after="38" w:line="248" w:lineRule="auto"/>
              <w:ind w:right="39"/>
              <w:rPr>
                <w:color w:val="000000"/>
              </w:rPr>
            </w:pPr>
            <w:r>
              <w:rPr>
                <w:b/>
                <w:bCs/>
              </w:rPr>
              <w:t>Substitute pharmaceutical benefit</w:t>
            </w:r>
          </w:p>
        </w:tc>
      </w:tr>
      <w:tr w:rsidR="00A571B3" w14:paraId="5CC43D9D" w14:textId="77777777" w:rsidTr="00A571B3">
        <w:tc>
          <w:tcPr>
            <w:tcW w:w="411" w:type="dxa"/>
          </w:tcPr>
          <w:p w14:paraId="4F043CFB" w14:textId="77777777" w:rsidR="00A571B3" w:rsidRPr="00A571B3" w:rsidRDefault="00A571B3" w:rsidP="00F55767">
            <w:pPr>
              <w:spacing w:after="38" w:line="248" w:lineRule="auto"/>
              <w:ind w:right="39"/>
              <w:rPr>
                <w:b/>
                <w:bCs/>
              </w:rPr>
            </w:pPr>
            <w:bookmarkStart w:id="2" w:name="_Hlk102720988"/>
            <w:r w:rsidRPr="00A571B3"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70A44C03" w14:textId="77777777" w:rsidR="00A571B3" w:rsidRDefault="00A571B3" w:rsidP="00F55767">
            <w:pPr>
              <w:spacing w:after="38" w:line="248" w:lineRule="auto"/>
              <w:ind w:right="39"/>
            </w:pPr>
            <w:r w:rsidRPr="00DF641C">
              <w:rPr>
                <w:color w:val="000000"/>
              </w:rPr>
              <w:t>Listed drug: Tocilizumab</w:t>
            </w:r>
          </w:p>
        </w:tc>
        <w:tc>
          <w:tcPr>
            <w:tcW w:w="4065" w:type="dxa"/>
          </w:tcPr>
          <w:p w14:paraId="6A04FF55" w14:textId="77777777" w:rsidR="00A571B3" w:rsidRDefault="00A571B3" w:rsidP="00F55767">
            <w:pPr>
              <w:spacing w:after="38" w:line="248" w:lineRule="auto"/>
              <w:ind w:right="39"/>
            </w:pPr>
            <w:r w:rsidRPr="0086353C">
              <w:rPr>
                <w:color w:val="000000"/>
              </w:rPr>
              <w:t>Listed drug: Tocilizumab</w:t>
            </w:r>
          </w:p>
        </w:tc>
      </w:tr>
      <w:tr w:rsidR="00A571B3" w14:paraId="7B6F14F9" w14:textId="77777777" w:rsidTr="00A571B3">
        <w:tc>
          <w:tcPr>
            <w:tcW w:w="411" w:type="dxa"/>
          </w:tcPr>
          <w:p w14:paraId="6F7C92CA" w14:textId="77777777" w:rsidR="00A571B3" w:rsidRDefault="00A571B3" w:rsidP="00F55767">
            <w:pPr>
              <w:spacing w:after="38" w:line="248" w:lineRule="auto"/>
              <w:ind w:right="39"/>
            </w:pPr>
          </w:p>
        </w:tc>
        <w:tc>
          <w:tcPr>
            <w:tcW w:w="3969" w:type="dxa"/>
          </w:tcPr>
          <w:p w14:paraId="191838A9" w14:textId="77777777" w:rsidR="00A571B3" w:rsidRDefault="00A571B3" w:rsidP="00F55767">
            <w:pPr>
              <w:spacing w:after="38" w:line="248" w:lineRule="auto"/>
              <w:ind w:right="39"/>
            </w:pPr>
            <w:r w:rsidRPr="00DF641C">
              <w:rPr>
                <w:color w:val="000000"/>
              </w:rPr>
              <w:t>Form: Injection 162 mg in 0.9 mL single use pre</w:t>
            </w:r>
            <w:r w:rsidRPr="00DF641C">
              <w:rPr>
                <w:color w:val="000000"/>
              </w:rPr>
              <w:noBreakHyphen/>
              <w:t>filled syringe</w:t>
            </w:r>
          </w:p>
        </w:tc>
        <w:tc>
          <w:tcPr>
            <w:tcW w:w="4065" w:type="dxa"/>
          </w:tcPr>
          <w:p w14:paraId="514266D0" w14:textId="77777777" w:rsidR="00A571B3" w:rsidRDefault="00A571B3" w:rsidP="00F55767">
            <w:pPr>
              <w:spacing w:after="38" w:line="248" w:lineRule="auto"/>
              <w:ind w:right="39"/>
            </w:pPr>
            <w:r w:rsidRPr="0086353C">
              <w:rPr>
                <w:color w:val="000000"/>
              </w:rPr>
              <w:t>Form: Injection 162 mg in 0.9 mL single use pre</w:t>
            </w:r>
            <w:r w:rsidRPr="0086353C">
              <w:rPr>
                <w:color w:val="000000"/>
              </w:rPr>
              <w:noBreakHyphen/>
              <w:t>filled pen</w:t>
            </w:r>
          </w:p>
        </w:tc>
      </w:tr>
      <w:tr w:rsidR="00A571B3" w14:paraId="58AC8B4C" w14:textId="77777777" w:rsidTr="00A571B3">
        <w:tc>
          <w:tcPr>
            <w:tcW w:w="411" w:type="dxa"/>
          </w:tcPr>
          <w:p w14:paraId="6F84855F" w14:textId="77777777" w:rsidR="00A571B3" w:rsidRDefault="00A571B3" w:rsidP="00F55767">
            <w:pPr>
              <w:spacing w:after="38" w:line="248" w:lineRule="auto"/>
              <w:ind w:right="39"/>
            </w:pPr>
          </w:p>
        </w:tc>
        <w:tc>
          <w:tcPr>
            <w:tcW w:w="3969" w:type="dxa"/>
          </w:tcPr>
          <w:p w14:paraId="49FD8386" w14:textId="77777777" w:rsidR="00A571B3" w:rsidRDefault="00A571B3" w:rsidP="00F55767">
            <w:pPr>
              <w:spacing w:after="38" w:line="248" w:lineRule="auto"/>
              <w:ind w:right="39"/>
            </w:pPr>
            <w:r w:rsidRPr="00DF641C">
              <w:rPr>
                <w:color w:val="000000"/>
              </w:rPr>
              <w:t>Manner of administration: Injection</w:t>
            </w:r>
          </w:p>
        </w:tc>
        <w:tc>
          <w:tcPr>
            <w:tcW w:w="4065" w:type="dxa"/>
          </w:tcPr>
          <w:p w14:paraId="1DAB88D1" w14:textId="77777777" w:rsidR="00A571B3" w:rsidRDefault="00A571B3" w:rsidP="00F55767">
            <w:pPr>
              <w:spacing w:after="38" w:line="248" w:lineRule="auto"/>
              <w:ind w:right="39"/>
            </w:pPr>
            <w:r w:rsidRPr="0086353C">
              <w:rPr>
                <w:color w:val="000000"/>
              </w:rPr>
              <w:t>Manner of administration: Injection</w:t>
            </w:r>
          </w:p>
        </w:tc>
      </w:tr>
      <w:tr w:rsidR="00A571B3" w14:paraId="422DBD04" w14:textId="77777777" w:rsidTr="00A571B3">
        <w:tc>
          <w:tcPr>
            <w:tcW w:w="411" w:type="dxa"/>
          </w:tcPr>
          <w:p w14:paraId="6E68C67C" w14:textId="77777777" w:rsidR="00A571B3" w:rsidRDefault="00A571B3" w:rsidP="00F55767">
            <w:pPr>
              <w:spacing w:after="38" w:line="248" w:lineRule="auto"/>
              <w:ind w:right="39"/>
            </w:pPr>
          </w:p>
        </w:tc>
        <w:tc>
          <w:tcPr>
            <w:tcW w:w="3969" w:type="dxa"/>
          </w:tcPr>
          <w:p w14:paraId="4493881F" w14:textId="77777777" w:rsidR="00A571B3" w:rsidRDefault="00A571B3" w:rsidP="00F55767">
            <w:pPr>
              <w:spacing w:after="38" w:line="248" w:lineRule="auto"/>
              <w:ind w:right="39"/>
            </w:pPr>
            <w:r w:rsidRPr="00DF641C">
              <w:rPr>
                <w:color w:val="000000"/>
              </w:rPr>
              <w:t>Brand: Actemra Subcutaneous Injection</w:t>
            </w:r>
          </w:p>
        </w:tc>
        <w:tc>
          <w:tcPr>
            <w:tcW w:w="4065" w:type="dxa"/>
          </w:tcPr>
          <w:p w14:paraId="6AD9D783" w14:textId="77777777" w:rsidR="00A571B3" w:rsidRDefault="00A571B3" w:rsidP="00F55767">
            <w:pPr>
              <w:spacing w:after="38" w:line="248" w:lineRule="auto"/>
              <w:ind w:right="39"/>
            </w:pPr>
            <w:r w:rsidRPr="0086353C">
              <w:rPr>
                <w:color w:val="000000"/>
              </w:rPr>
              <w:t>Brand: Actemra ACTPen</w:t>
            </w:r>
          </w:p>
        </w:tc>
      </w:tr>
      <w:bookmarkEnd w:id="2"/>
      <w:tr w:rsidR="00A571B3" w14:paraId="4BAF5925" w14:textId="77777777" w:rsidTr="00A571B3">
        <w:tc>
          <w:tcPr>
            <w:tcW w:w="411" w:type="dxa"/>
          </w:tcPr>
          <w:p w14:paraId="58541C2D" w14:textId="77777777" w:rsidR="00A571B3" w:rsidRPr="00A571B3" w:rsidRDefault="00A571B3" w:rsidP="00F55767">
            <w:pPr>
              <w:spacing w:after="38" w:line="248" w:lineRule="auto"/>
              <w:ind w:right="39"/>
              <w:rPr>
                <w:b/>
                <w:bCs/>
              </w:rPr>
            </w:pPr>
            <w:r w:rsidRPr="00A571B3">
              <w:rPr>
                <w:b/>
                <w:bCs/>
              </w:rPr>
              <w:t>2</w:t>
            </w:r>
          </w:p>
        </w:tc>
        <w:tc>
          <w:tcPr>
            <w:tcW w:w="3969" w:type="dxa"/>
          </w:tcPr>
          <w:p w14:paraId="2DC9CEC1" w14:textId="77777777" w:rsidR="00A571B3" w:rsidRDefault="00A571B3" w:rsidP="00F55767">
            <w:pPr>
              <w:spacing w:after="38" w:line="248" w:lineRule="auto"/>
              <w:ind w:right="39"/>
            </w:pPr>
            <w:r w:rsidRPr="00B60362">
              <w:rPr>
                <w:color w:val="000000"/>
              </w:rPr>
              <w:t>Listed drug: Tocilizumab</w:t>
            </w:r>
          </w:p>
        </w:tc>
        <w:tc>
          <w:tcPr>
            <w:tcW w:w="4065" w:type="dxa"/>
          </w:tcPr>
          <w:p w14:paraId="320D84E0" w14:textId="77777777" w:rsidR="00A571B3" w:rsidRDefault="00A571B3" w:rsidP="00F55767">
            <w:pPr>
              <w:spacing w:after="38" w:line="248" w:lineRule="auto"/>
              <w:ind w:right="39"/>
            </w:pPr>
            <w:r w:rsidRPr="00623643">
              <w:rPr>
                <w:color w:val="000000"/>
              </w:rPr>
              <w:t>Listed drug: Tocilizumab</w:t>
            </w:r>
          </w:p>
        </w:tc>
      </w:tr>
      <w:tr w:rsidR="00A571B3" w14:paraId="0B4C06CA" w14:textId="77777777" w:rsidTr="00A571B3">
        <w:tc>
          <w:tcPr>
            <w:tcW w:w="411" w:type="dxa"/>
          </w:tcPr>
          <w:p w14:paraId="20FBBD21" w14:textId="77777777" w:rsidR="00A571B3" w:rsidRDefault="00A571B3" w:rsidP="00F55767">
            <w:pPr>
              <w:spacing w:after="38" w:line="248" w:lineRule="auto"/>
              <w:ind w:right="39"/>
            </w:pPr>
          </w:p>
        </w:tc>
        <w:tc>
          <w:tcPr>
            <w:tcW w:w="3969" w:type="dxa"/>
          </w:tcPr>
          <w:p w14:paraId="749368E9" w14:textId="77777777" w:rsidR="00A571B3" w:rsidRDefault="00A571B3" w:rsidP="00F55767">
            <w:pPr>
              <w:spacing w:after="38" w:line="248" w:lineRule="auto"/>
              <w:ind w:right="39"/>
            </w:pPr>
            <w:r w:rsidRPr="00B60362">
              <w:rPr>
                <w:color w:val="000000"/>
              </w:rPr>
              <w:t>Form: Injection 162 mg in 0.9 mL single use pre</w:t>
            </w:r>
            <w:r w:rsidRPr="00B60362">
              <w:rPr>
                <w:color w:val="000000"/>
              </w:rPr>
              <w:noBreakHyphen/>
              <w:t>filled pen</w:t>
            </w:r>
          </w:p>
        </w:tc>
        <w:tc>
          <w:tcPr>
            <w:tcW w:w="4065" w:type="dxa"/>
          </w:tcPr>
          <w:p w14:paraId="562CAF40" w14:textId="77777777" w:rsidR="00A571B3" w:rsidRDefault="00A571B3" w:rsidP="00F55767">
            <w:pPr>
              <w:spacing w:after="38" w:line="248" w:lineRule="auto"/>
              <w:ind w:right="39"/>
            </w:pPr>
            <w:r w:rsidRPr="00623643">
              <w:rPr>
                <w:color w:val="000000"/>
              </w:rPr>
              <w:t>Form: Injection 162 mg in 0.9 mL single use pre</w:t>
            </w:r>
            <w:r w:rsidRPr="00623643">
              <w:rPr>
                <w:color w:val="000000"/>
              </w:rPr>
              <w:noBreakHyphen/>
              <w:t>filled syringe</w:t>
            </w:r>
          </w:p>
        </w:tc>
      </w:tr>
      <w:tr w:rsidR="00A571B3" w14:paraId="140A0FA2" w14:textId="77777777" w:rsidTr="00A571B3">
        <w:tc>
          <w:tcPr>
            <w:tcW w:w="411" w:type="dxa"/>
          </w:tcPr>
          <w:p w14:paraId="7EAD335E" w14:textId="77777777" w:rsidR="00A571B3" w:rsidRDefault="00A571B3" w:rsidP="00F55767">
            <w:pPr>
              <w:spacing w:after="38" w:line="248" w:lineRule="auto"/>
              <w:ind w:right="39"/>
            </w:pPr>
          </w:p>
        </w:tc>
        <w:tc>
          <w:tcPr>
            <w:tcW w:w="3969" w:type="dxa"/>
          </w:tcPr>
          <w:p w14:paraId="5598A1FF" w14:textId="77777777" w:rsidR="00A571B3" w:rsidRDefault="00A571B3" w:rsidP="00F55767">
            <w:pPr>
              <w:spacing w:after="38" w:line="248" w:lineRule="auto"/>
              <w:ind w:right="39"/>
            </w:pPr>
            <w:r w:rsidRPr="00B60362">
              <w:rPr>
                <w:color w:val="000000"/>
              </w:rPr>
              <w:t>Manner of administration: Injection</w:t>
            </w:r>
          </w:p>
        </w:tc>
        <w:tc>
          <w:tcPr>
            <w:tcW w:w="4065" w:type="dxa"/>
          </w:tcPr>
          <w:p w14:paraId="5B8B8F6C" w14:textId="77777777" w:rsidR="00A571B3" w:rsidRDefault="00A571B3" w:rsidP="00F55767">
            <w:pPr>
              <w:spacing w:after="38" w:line="248" w:lineRule="auto"/>
              <w:ind w:right="39"/>
            </w:pPr>
            <w:r w:rsidRPr="00623643">
              <w:rPr>
                <w:color w:val="000000"/>
              </w:rPr>
              <w:t>Manner of administration: Injection</w:t>
            </w:r>
          </w:p>
        </w:tc>
      </w:tr>
      <w:tr w:rsidR="00A571B3" w14:paraId="16C25285" w14:textId="77777777" w:rsidTr="00A571B3">
        <w:tc>
          <w:tcPr>
            <w:tcW w:w="411" w:type="dxa"/>
          </w:tcPr>
          <w:p w14:paraId="610674D2" w14:textId="77777777" w:rsidR="00A571B3" w:rsidRDefault="00A571B3" w:rsidP="00F55767">
            <w:pPr>
              <w:spacing w:after="38" w:line="248" w:lineRule="auto"/>
              <w:ind w:right="39"/>
            </w:pPr>
          </w:p>
        </w:tc>
        <w:tc>
          <w:tcPr>
            <w:tcW w:w="3969" w:type="dxa"/>
          </w:tcPr>
          <w:p w14:paraId="4FBC7441" w14:textId="77777777" w:rsidR="00A571B3" w:rsidRDefault="00A571B3" w:rsidP="00F55767">
            <w:pPr>
              <w:spacing w:after="38" w:line="248" w:lineRule="auto"/>
              <w:ind w:right="39"/>
            </w:pPr>
            <w:r w:rsidRPr="00B60362">
              <w:rPr>
                <w:color w:val="000000"/>
              </w:rPr>
              <w:t>Brand: Actemra ACTPen</w:t>
            </w:r>
          </w:p>
        </w:tc>
        <w:tc>
          <w:tcPr>
            <w:tcW w:w="4065" w:type="dxa"/>
          </w:tcPr>
          <w:p w14:paraId="0BC4C4E6" w14:textId="77777777" w:rsidR="00A571B3" w:rsidRDefault="00A571B3" w:rsidP="00F55767">
            <w:pPr>
              <w:spacing w:after="38" w:line="248" w:lineRule="auto"/>
              <w:ind w:right="39"/>
            </w:pPr>
            <w:r w:rsidRPr="00623643">
              <w:rPr>
                <w:color w:val="000000"/>
              </w:rPr>
              <w:t>Brand: Actemra Subcutaneous Injection</w:t>
            </w:r>
          </w:p>
        </w:tc>
      </w:tr>
      <w:tr w:rsidR="00A571B3" w14:paraId="5BA56037" w14:textId="77777777" w:rsidTr="00A571B3">
        <w:tc>
          <w:tcPr>
            <w:tcW w:w="411" w:type="dxa"/>
          </w:tcPr>
          <w:p w14:paraId="11D22A0A" w14:textId="77777777" w:rsidR="00A571B3" w:rsidRPr="00A571B3" w:rsidRDefault="00A571B3" w:rsidP="00F55767">
            <w:pPr>
              <w:spacing w:after="38" w:line="248" w:lineRule="auto"/>
              <w:ind w:right="39"/>
              <w:rPr>
                <w:b/>
                <w:bCs/>
              </w:rPr>
            </w:pPr>
            <w:r w:rsidRPr="00A571B3">
              <w:rPr>
                <w:b/>
                <w:bCs/>
              </w:rPr>
              <w:t>3</w:t>
            </w:r>
          </w:p>
        </w:tc>
        <w:tc>
          <w:tcPr>
            <w:tcW w:w="3969" w:type="dxa"/>
          </w:tcPr>
          <w:p w14:paraId="46A3763B" w14:textId="77777777" w:rsidR="00A571B3" w:rsidRDefault="00A571B3" w:rsidP="00F55767">
            <w:pPr>
              <w:spacing w:after="38" w:line="248" w:lineRule="auto"/>
              <w:ind w:right="39"/>
            </w:pPr>
            <w:r w:rsidRPr="000861AE">
              <w:rPr>
                <w:color w:val="000000"/>
              </w:rPr>
              <w:t>Listed drug: Estradiol</w:t>
            </w:r>
          </w:p>
        </w:tc>
        <w:tc>
          <w:tcPr>
            <w:tcW w:w="4065" w:type="dxa"/>
          </w:tcPr>
          <w:p w14:paraId="07FBA2E8" w14:textId="77777777" w:rsidR="00A571B3" w:rsidRDefault="00A571B3" w:rsidP="00F55767">
            <w:pPr>
              <w:spacing w:after="38" w:line="248" w:lineRule="auto"/>
              <w:ind w:right="39"/>
            </w:pPr>
            <w:r w:rsidRPr="007759C2">
              <w:rPr>
                <w:color w:val="000000"/>
              </w:rPr>
              <w:t>Listed drug: Estradiol</w:t>
            </w:r>
          </w:p>
        </w:tc>
      </w:tr>
      <w:tr w:rsidR="00A571B3" w14:paraId="3EB93A0A" w14:textId="77777777" w:rsidTr="00A571B3">
        <w:tc>
          <w:tcPr>
            <w:tcW w:w="411" w:type="dxa"/>
          </w:tcPr>
          <w:p w14:paraId="72691830" w14:textId="77777777" w:rsidR="00A571B3" w:rsidRDefault="00A571B3" w:rsidP="00F55767">
            <w:pPr>
              <w:spacing w:after="38" w:line="248" w:lineRule="auto"/>
              <w:ind w:right="39"/>
            </w:pPr>
          </w:p>
        </w:tc>
        <w:tc>
          <w:tcPr>
            <w:tcW w:w="3969" w:type="dxa"/>
          </w:tcPr>
          <w:p w14:paraId="44D1CD18" w14:textId="77777777" w:rsidR="00A571B3" w:rsidRDefault="00A571B3" w:rsidP="00F55767">
            <w:pPr>
              <w:spacing w:after="38" w:line="248" w:lineRule="auto"/>
              <w:ind w:right="39"/>
            </w:pPr>
            <w:r w:rsidRPr="000861AE">
              <w:rPr>
                <w:color w:val="000000"/>
              </w:rPr>
              <w:t>Form: Tablet containing estradiol valerate 1 mg</w:t>
            </w:r>
          </w:p>
        </w:tc>
        <w:tc>
          <w:tcPr>
            <w:tcW w:w="4065" w:type="dxa"/>
          </w:tcPr>
          <w:p w14:paraId="3FB5DBAC" w14:textId="77777777" w:rsidR="00A571B3" w:rsidRDefault="00A571B3" w:rsidP="00F55767">
            <w:pPr>
              <w:spacing w:after="38" w:line="248" w:lineRule="auto"/>
              <w:ind w:right="39"/>
            </w:pPr>
            <w:r w:rsidRPr="007759C2">
              <w:rPr>
                <w:color w:val="000000"/>
              </w:rPr>
              <w:t>Form: Tablet 2 mg</w:t>
            </w:r>
          </w:p>
        </w:tc>
      </w:tr>
      <w:tr w:rsidR="00A571B3" w14:paraId="6746A439" w14:textId="77777777" w:rsidTr="00A571B3">
        <w:tc>
          <w:tcPr>
            <w:tcW w:w="411" w:type="dxa"/>
          </w:tcPr>
          <w:p w14:paraId="62F46254" w14:textId="77777777" w:rsidR="00A571B3" w:rsidRDefault="00A571B3" w:rsidP="00F55767">
            <w:pPr>
              <w:spacing w:after="38" w:line="248" w:lineRule="auto"/>
              <w:ind w:right="39"/>
            </w:pPr>
          </w:p>
        </w:tc>
        <w:tc>
          <w:tcPr>
            <w:tcW w:w="3969" w:type="dxa"/>
          </w:tcPr>
          <w:p w14:paraId="546D2268" w14:textId="77777777" w:rsidR="00A571B3" w:rsidRDefault="00A571B3" w:rsidP="00F55767">
            <w:pPr>
              <w:spacing w:after="38" w:line="248" w:lineRule="auto"/>
              <w:ind w:right="39"/>
            </w:pPr>
            <w:r w:rsidRPr="000861AE">
              <w:rPr>
                <w:color w:val="000000"/>
              </w:rPr>
              <w:t>Manner of administration: Oral</w:t>
            </w:r>
          </w:p>
        </w:tc>
        <w:tc>
          <w:tcPr>
            <w:tcW w:w="4065" w:type="dxa"/>
          </w:tcPr>
          <w:p w14:paraId="79CDCD37" w14:textId="77777777" w:rsidR="00A571B3" w:rsidRDefault="00A571B3" w:rsidP="00F55767">
            <w:pPr>
              <w:spacing w:after="38" w:line="248" w:lineRule="auto"/>
              <w:ind w:right="39"/>
            </w:pPr>
            <w:r w:rsidRPr="007759C2">
              <w:rPr>
                <w:color w:val="000000"/>
              </w:rPr>
              <w:t>Manner of administration: Oral</w:t>
            </w:r>
          </w:p>
        </w:tc>
      </w:tr>
      <w:tr w:rsidR="00A571B3" w14:paraId="43C78D1E" w14:textId="77777777" w:rsidTr="00A571B3">
        <w:tc>
          <w:tcPr>
            <w:tcW w:w="411" w:type="dxa"/>
          </w:tcPr>
          <w:p w14:paraId="1C17189E" w14:textId="77777777" w:rsidR="00A571B3" w:rsidRDefault="00A571B3" w:rsidP="00F55767">
            <w:pPr>
              <w:spacing w:after="38" w:line="248" w:lineRule="auto"/>
              <w:ind w:right="39"/>
            </w:pPr>
          </w:p>
        </w:tc>
        <w:tc>
          <w:tcPr>
            <w:tcW w:w="3969" w:type="dxa"/>
          </w:tcPr>
          <w:p w14:paraId="3D182D2E" w14:textId="77777777" w:rsidR="00A571B3" w:rsidRDefault="00A571B3" w:rsidP="00F55767">
            <w:pPr>
              <w:spacing w:after="38" w:line="248" w:lineRule="auto"/>
              <w:ind w:right="39"/>
            </w:pPr>
            <w:r w:rsidRPr="000861AE">
              <w:rPr>
                <w:color w:val="000000"/>
              </w:rPr>
              <w:t>Brand: Progynova</w:t>
            </w:r>
          </w:p>
        </w:tc>
        <w:tc>
          <w:tcPr>
            <w:tcW w:w="4065" w:type="dxa"/>
          </w:tcPr>
          <w:p w14:paraId="638A17FF" w14:textId="77777777" w:rsidR="00A571B3" w:rsidRDefault="00A571B3" w:rsidP="00F55767">
            <w:pPr>
              <w:spacing w:after="38" w:line="248" w:lineRule="auto"/>
              <w:ind w:right="39"/>
            </w:pPr>
            <w:r w:rsidRPr="007759C2">
              <w:rPr>
                <w:color w:val="000000"/>
              </w:rPr>
              <w:t>Brand: Zumenon</w:t>
            </w:r>
          </w:p>
        </w:tc>
      </w:tr>
      <w:tr w:rsidR="00A571B3" w14:paraId="6EBADFFA" w14:textId="77777777" w:rsidTr="00A571B3">
        <w:tc>
          <w:tcPr>
            <w:tcW w:w="411" w:type="dxa"/>
          </w:tcPr>
          <w:p w14:paraId="597D9EEC" w14:textId="77777777" w:rsidR="00A571B3" w:rsidRPr="00A571B3" w:rsidRDefault="00A571B3" w:rsidP="00F55767">
            <w:pPr>
              <w:spacing w:after="38" w:line="248" w:lineRule="auto"/>
              <w:ind w:right="39"/>
              <w:rPr>
                <w:b/>
                <w:bCs/>
              </w:rPr>
            </w:pPr>
            <w:r w:rsidRPr="00A571B3">
              <w:rPr>
                <w:b/>
                <w:bCs/>
              </w:rPr>
              <w:t>4</w:t>
            </w:r>
          </w:p>
        </w:tc>
        <w:tc>
          <w:tcPr>
            <w:tcW w:w="3969" w:type="dxa"/>
          </w:tcPr>
          <w:p w14:paraId="4346BA92" w14:textId="77777777" w:rsidR="00A571B3" w:rsidRDefault="00A571B3" w:rsidP="00F55767">
            <w:pPr>
              <w:spacing w:after="38" w:line="248" w:lineRule="auto"/>
              <w:ind w:right="39"/>
            </w:pPr>
            <w:r w:rsidRPr="004C498C">
              <w:rPr>
                <w:color w:val="000000"/>
              </w:rPr>
              <w:t>Listed drug: Estradiol</w:t>
            </w:r>
          </w:p>
        </w:tc>
        <w:tc>
          <w:tcPr>
            <w:tcW w:w="4065" w:type="dxa"/>
          </w:tcPr>
          <w:p w14:paraId="0B705007" w14:textId="77777777" w:rsidR="00A571B3" w:rsidRDefault="00A571B3" w:rsidP="00F55767">
            <w:pPr>
              <w:spacing w:after="38" w:line="248" w:lineRule="auto"/>
              <w:ind w:right="39"/>
            </w:pPr>
            <w:r w:rsidRPr="00B20667">
              <w:rPr>
                <w:color w:val="000000"/>
              </w:rPr>
              <w:t>Listed drug: Estradiol</w:t>
            </w:r>
          </w:p>
        </w:tc>
      </w:tr>
      <w:tr w:rsidR="00A571B3" w14:paraId="1DC3C145" w14:textId="77777777" w:rsidTr="00A571B3">
        <w:tc>
          <w:tcPr>
            <w:tcW w:w="411" w:type="dxa"/>
          </w:tcPr>
          <w:p w14:paraId="122F65F2" w14:textId="5F878358" w:rsidR="00A571B3" w:rsidRDefault="00A571B3" w:rsidP="00F55767">
            <w:pPr>
              <w:spacing w:after="38" w:line="248" w:lineRule="auto"/>
              <w:ind w:right="39"/>
            </w:pPr>
          </w:p>
        </w:tc>
        <w:tc>
          <w:tcPr>
            <w:tcW w:w="3969" w:type="dxa"/>
          </w:tcPr>
          <w:p w14:paraId="3F66AC96" w14:textId="77777777" w:rsidR="00A571B3" w:rsidRDefault="00A571B3" w:rsidP="00F55767">
            <w:pPr>
              <w:spacing w:after="38" w:line="248" w:lineRule="auto"/>
              <w:ind w:right="39"/>
            </w:pPr>
            <w:r w:rsidRPr="004C498C">
              <w:rPr>
                <w:color w:val="000000"/>
              </w:rPr>
              <w:t>Form: Tablet containing estradiol valerate 2 mg</w:t>
            </w:r>
          </w:p>
        </w:tc>
        <w:tc>
          <w:tcPr>
            <w:tcW w:w="4065" w:type="dxa"/>
          </w:tcPr>
          <w:p w14:paraId="60F7CEC2" w14:textId="77777777" w:rsidR="00A571B3" w:rsidRDefault="00A571B3" w:rsidP="00F55767">
            <w:pPr>
              <w:spacing w:after="38" w:line="248" w:lineRule="auto"/>
              <w:ind w:right="39"/>
            </w:pPr>
            <w:r w:rsidRPr="00B20667">
              <w:rPr>
                <w:color w:val="000000"/>
              </w:rPr>
              <w:t>Form: Tablet 2 mg</w:t>
            </w:r>
          </w:p>
        </w:tc>
      </w:tr>
      <w:tr w:rsidR="00A571B3" w14:paraId="5E2BA288" w14:textId="77777777" w:rsidTr="00A571B3">
        <w:tc>
          <w:tcPr>
            <w:tcW w:w="411" w:type="dxa"/>
          </w:tcPr>
          <w:p w14:paraId="79DA30E8" w14:textId="77777777" w:rsidR="00A571B3" w:rsidRDefault="00A571B3" w:rsidP="00F55767">
            <w:pPr>
              <w:spacing w:after="38" w:line="248" w:lineRule="auto"/>
              <w:ind w:right="39"/>
            </w:pPr>
          </w:p>
        </w:tc>
        <w:tc>
          <w:tcPr>
            <w:tcW w:w="3969" w:type="dxa"/>
          </w:tcPr>
          <w:p w14:paraId="42932101" w14:textId="77777777" w:rsidR="00A571B3" w:rsidRDefault="00A571B3" w:rsidP="00F55767">
            <w:pPr>
              <w:spacing w:after="38" w:line="248" w:lineRule="auto"/>
              <w:ind w:right="39"/>
            </w:pPr>
            <w:r w:rsidRPr="004C498C">
              <w:rPr>
                <w:color w:val="000000"/>
              </w:rPr>
              <w:t>Manner of administration: Oral</w:t>
            </w:r>
          </w:p>
        </w:tc>
        <w:tc>
          <w:tcPr>
            <w:tcW w:w="4065" w:type="dxa"/>
          </w:tcPr>
          <w:p w14:paraId="2165EC6C" w14:textId="77777777" w:rsidR="00A571B3" w:rsidRDefault="00A571B3" w:rsidP="00F55767">
            <w:pPr>
              <w:spacing w:after="38" w:line="248" w:lineRule="auto"/>
              <w:ind w:right="39"/>
            </w:pPr>
            <w:r w:rsidRPr="00B20667">
              <w:rPr>
                <w:color w:val="000000"/>
              </w:rPr>
              <w:t>Manner of administration: Oral</w:t>
            </w:r>
          </w:p>
        </w:tc>
      </w:tr>
      <w:tr w:rsidR="00A571B3" w14:paraId="2297031B" w14:textId="77777777" w:rsidTr="00A571B3">
        <w:tc>
          <w:tcPr>
            <w:tcW w:w="411" w:type="dxa"/>
          </w:tcPr>
          <w:p w14:paraId="4B071731" w14:textId="77777777" w:rsidR="00A571B3" w:rsidRDefault="00A571B3" w:rsidP="00F55767">
            <w:pPr>
              <w:spacing w:after="38" w:line="248" w:lineRule="auto"/>
              <w:ind w:right="39"/>
            </w:pPr>
          </w:p>
        </w:tc>
        <w:tc>
          <w:tcPr>
            <w:tcW w:w="3969" w:type="dxa"/>
          </w:tcPr>
          <w:p w14:paraId="6A11A032" w14:textId="77777777" w:rsidR="00A571B3" w:rsidRDefault="00A571B3" w:rsidP="00F55767">
            <w:pPr>
              <w:spacing w:after="38" w:line="248" w:lineRule="auto"/>
              <w:ind w:right="39"/>
            </w:pPr>
            <w:r w:rsidRPr="004C498C">
              <w:rPr>
                <w:color w:val="000000"/>
              </w:rPr>
              <w:t>Brand: Progynova</w:t>
            </w:r>
          </w:p>
        </w:tc>
        <w:tc>
          <w:tcPr>
            <w:tcW w:w="4065" w:type="dxa"/>
          </w:tcPr>
          <w:p w14:paraId="413B7F7F" w14:textId="77777777" w:rsidR="00A571B3" w:rsidRDefault="00A571B3" w:rsidP="00F55767">
            <w:pPr>
              <w:spacing w:after="38" w:line="248" w:lineRule="auto"/>
              <w:ind w:right="39"/>
            </w:pPr>
            <w:r w:rsidRPr="00B20667">
              <w:rPr>
                <w:color w:val="000000"/>
              </w:rPr>
              <w:t>Brand: Zumenon</w:t>
            </w:r>
          </w:p>
        </w:tc>
      </w:tr>
    </w:tbl>
    <w:p w14:paraId="313EBDD9" w14:textId="3938F7C7" w:rsidR="00E40F4A" w:rsidRDefault="004143D3" w:rsidP="007E1768">
      <w:pPr>
        <w:jc w:val="center"/>
        <w:rPr>
          <w:rFonts w:eastAsia="Times New Roman"/>
          <w:b/>
          <w:bCs/>
          <w:color w:val="000000"/>
          <w:sz w:val="28"/>
          <w:szCs w:val="28"/>
          <w:lang w:eastAsia="en-AU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AU"/>
        </w:rPr>
        <w:br w:type="page"/>
      </w:r>
      <w:r w:rsidR="00E40F4A" w:rsidRPr="00864119">
        <w:rPr>
          <w:rFonts w:eastAsia="Times New Roman"/>
          <w:b/>
          <w:bCs/>
          <w:color w:val="000000"/>
          <w:sz w:val="28"/>
          <w:szCs w:val="28"/>
          <w:lang w:eastAsia="en-AU"/>
        </w:rPr>
        <w:lastRenderedPageBreak/>
        <w:t>Statement of Compatibility with Human Rights</w:t>
      </w:r>
    </w:p>
    <w:p w14:paraId="4F05FE3B" w14:textId="77777777" w:rsidR="00E40F4A" w:rsidRPr="00864119" w:rsidRDefault="00E40F4A" w:rsidP="001467A9">
      <w:pPr>
        <w:shd w:val="clear" w:color="auto" w:fill="FFFFFF"/>
        <w:spacing w:before="120" w:after="120" w:line="240" w:lineRule="auto"/>
        <w:rPr>
          <w:rFonts w:eastAsia="Times New Roman"/>
          <w:color w:val="000000"/>
          <w:lang w:eastAsia="en-AU"/>
        </w:rPr>
      </w:pPr>
      <w:r w:rsidRPr="00864119">
        <w:rPr>
          <w:rFonts w:eastAsia="Times New Roman"/>
          <w:i/>
          <w:iCs/>
          <w:color w:val="000000"/>
          <w:lang w:eastAsia="en-AU"/>
        </w:rPr>
        <w:t xml:space="preserve">Prepared in accordance with </w:t>
      </w:r>
      <w:r w:rsidR="005E3B12">
        <w:rPr>
          <w:rFonts w:eastAsia="Times New Roman"/>
          <w:i/>
          <w:iCs/>
          <w:color w:val="000000"/>
          <w:lang w:eastAsia="en-AU"/>
        </w:rPr>
        <w:t>Part 3</w:t>
      </w:r>
      <w:r w:rsidRPr="00864119">
        <w:rPr>
          <w:rFonts w:eastAsia="Times New Roman"/>
          <w:i/>
          <w:iCs/>
          <w:color w:val="000000"/>
          <w:lang w:eastAsia="en-AU"/>
        </w:rPr>
        <w:t xml:space="preserve"> of the Human Rights (Parliamentary Scrutiny) Act 2011</w:t>
      </w:r>
    </w:p>
    <w:p w14:paraId="33F6F374" w14:textId="1216E481" w:rsidR="001467A9" w:rsidRPr="001467A9" w:rsidRDefault="00E40F4A" w:rsidP="000F14B4">
      <w:pPr>
        <w:jc w:val="center"/>
        <w:rPr>
          <w:b/>
          <w:i/>
        </w:rPr>
      </w:pPr>
      <w:r w:rsidRPr="001467A9">
        <w:rPr>
          <w:b/>
          <w:i/>
        </w:rPr>
        <w:t>National Health (Pharmaceutical Benefits) (Pharmacist Substitution of Medicines without Prescription during Shortages)</w:t>
      </w:r>
      <w:r w:rsidR="003E1213">
        <w:rPr>
          <w:b/>
          <w:i/>
        </w:rPr>
        <w:t xml:space="preserve"> Amendment (No. </w:t>
      </w:r>
      <w:r w:rsidR="00C2363A" w:rsidRPr="00106E5B">
        <w:rPr>
          <w:b/>
          <w:i/>
        </w:rPr>
        <w:t>2</w:t>
      </w:r>
      <w:r w:rsidR="003E1213">
        <w:rPr>
          <w:b/>
          <w:i/>
        </w:rPr>
        <w:t>)</w:t>
      </w:r>
      <w:r w:rsidRPr="001467A9">
        <w:rPr>
          <w:b/>
          <w:i/>
        </w:rPr>
        <w:t xml:space="preserve"> Determination 202</w:t>
      </w:r>
      <w:r w:rsidR="000C5058">
        <w:rPr>
          <w:b/>
          <w:i/>
        </w:rPr>
        <w:t>2</w:t>
      </w:r>
    </w:p>
    <w:p w14:paraId="5A7E4869" w14:textId="2FC8B79A" w:rsidR="001467A9" w:rsidRPr="00864119" w:rsidRDefault="001467A9" w:rsidP="000B143E">
      <w:pPr>
        <w:shd w:val="clear" w:color="auto" w:fill="FFFFFF"/>
        <w:spacing w:after="120" w:line="240" w:lineRule="auto"/>
        <w:rPr>
          <w:rFonts w:eastAsia="Times New Roman"/>
          <w:color w:val="000000"/>
          <w:lang w:eastAsia="en-AU"/>
        </w:rPr>
      </w:pPr>
      <w:r w:rsidRPr="00864119">
        <w:rPr>
          <w:rFonts w:eastAsia="Times New Roman"/>
          <w:color w:val="000000"/>
          <w:lang w:eastAsia="en-AU"/>
        </w:rPr>
        <w:t xml:space="preserve">This </w:t>
      </w:r>
      <w:r w:rsidR="005E3B12">
        <w:rPr>
          <w:rFonts w:eastAsia="Times New Roman"/>
          <w:color w:val="000000"/>
          <w:lang w:eastAsia="en-AU"/>
        </w:rPr>
        <w:t xml:space="preserve">Disallowable </w:t>
      </w:r>
      <w:r w:rsidRPr="00864119">
        <w:rPr>
          <w:rFonts w:eastAsia="Times New Roman"/>
          <w:color w:val="000000"/>
          <w:lang w:eastAsia="en-AU"/>
        </w:rPr>
        <w:t>legislative instrument is compatible with the human rights and freedoms recognised or declared in the international instruments listed in section 3 of the </w:t>
      </w:r>
      <w:r w:rsidRPr="00864119">
        <w:rPr>
          <w:rFonts w:eastAsia="Times New Roman"/>
          <w:i/>
          <w:iCs/>
          <w:color w:val="000000"/>
          <w:lang w:eastAsia="en-AU"/>
        </w:rPr>
        <w:t>Human Rights (Parliamentary Scrutiny) Act 2011</w:t>
      </w:r>
      <w:r w:rsidRPr="00864119">
        <w:rPr>
          <w:rFonts w:eastAsia="Times New Roman"/>
          <w:color w:val="000000"/>
          <w:lang w:eastAsia="en-AU"/>
        </w:rPr>
        <w:t>.</w:t>
      </w:r>
      <w:r w:rsidRPr="00864119">
        <w:rPr>
          <w:rFonts w:eastAsia="Times New Roman"/>
          <w:color w:val="000000"/>
          <w:sz w:val="20"/>
          <w:szCs w:val="20"/>
          <w:lang w:eastAsia="en-AU"/>
        </w:rPr>
        <w:t> </w:t>
      </w:r>
    </w:p>
    <w:p w14:paraId="39ACC5A0" w14:textId="32380506" w:rsidR="001467A9" w:rsidRDefault="001467A9" w:rsidP="001467A9">
      <w:pPr>
        <w:shd w:val="clear" w:color="auto" w:fill="FFFFFF"/>
        <w:spacing w:after="120" w:line="240" w:lineRule="auto"/>
        <w:jc w:val="both"/>
        <w:rPr>
          <w:rFonts w:eastAsia="Times New Roman"/>
          <w:b/>
          <w:bCs/>
          <w:color w:val="000000"/>
          <w:lang w:eastAsia="en-AU"/>
        </w:rPr>
      </w:pPr>
      <w:r w:rsidRPr="00864119">
        <w:rPr>
          <w:rFonts w:eastAsia="Times New Roman"/>
          <w:b/>
          <w:bCs/>
          <w:color w:val="000000"/>
          <w:lang w:eastAsia="en-AU"/>
        </w:rPr>
        <w:t xml:space="preserve">Overview of the </w:t>
      </w:r>
      <w:r w:rsidR="005E3B12">
        <w:rPr>
          <w:rFonts w:eastAsia="Times New Roman"/>
          <w:b/>
          <w:bCs/>
          <w:color w:val="000000"/>
          <w:lang w:eastAsia="en-AU"/>
        </w:rPr>
        <w:t xml:space="preserve">Disallowable </w:t>
      </w:r>
      <w:r w:rsidRPr="00864119">
        <w:rPr>
          <w:rFonts w:eastAsia="Times New Roman"/>
          <w:b/>
          <w:bCs/>
          <w:color w:val="000000"/>
          <w:lang w:eastAsia="en-AU"/>
        </w:rPr>
        <w:t>Legislative Instrument</w:t>
      </w:r>
    </w:p>
    <w:p w14:paraId="789D8346" w14:textId="46DC98C6" w:rsidR="007B2DF0" w:rsidRDefault="003E1213" w:rsidP="007B2DF0">
      <w:pPr>
        <w:spacing w:after="0"/>
      </w:pPr>
      <w:r w:rsidRPr="009361E9">
        <w:t>The purpose of the</w:t>
      </w:r>
      <w:r>
        <w:t xml:space="preserve"> </w:t>
      </w:r>
      <w:r w:rsidRPr="009361E9">
        <w:rPr>
          <w:i/>
        </w:rPr>
        <w:t>National Health (Pharmaceutical Benefits) (Pharmacist Substitution of Medicines without Prescription during Shortages)</w:t>
      </w:r>
      <w:r>
        <w:rPr>
          <w:i/>
        </w:rPr>
        <w:t xml:space="preserve"> Amendment (No. </w:t>
      </w:r>
      <w:r w:rsidR="00C2363A" w:rsidRPr="00106E5B">
        <w:rPr>
          <w:i/>
        </w:rPr>
        <w:t>2</w:t>
      </w:r>
      <w:r>
        <w:rPr>
          <w:i/>
        </w:rPr>
        <w:t>)</w:t>
      </w:r>
      <w:r w:rsidRPr="009361E9">
        <w:rPr>
          <w:i/>
        </w:rPr>
        <w:t xml:space="preserve"> Determination 202</w:t>
      </w:r>
      <w:r w:rsidR="000C6E0C">
        <w:rPr>
          <w:i/>
        </w:rPr>
        <w:t>2</w:t>
      </w:r>
      <w:r>
        <w:rPr>
          <w:i/>
        </w:rPr>
        <w:t xml:space="preserve"> </w:t>
      </w:r>
      <w:r>
        <w:rPr>
          <w:iCs/>
        </w:rPr>
        <w:t>(Amendment Determination) is to amend the</w:t>
      </w:r>
      <w:r>
        <w:rPr>
          <w:i/>
        </w:rPr>
        <w:t xml:space="preserve"> </w:t>
      </w:r>
      <w:r w:rsidRPr="009361E9">
        <w:rPr>
          <w:i/>
        </w:rPr>
        <w:t>National Health (Pharmaceutical Benefits) (Pharmacist Substitution of Medicines without Prescription during Shortages) Determination 202</w:t>
      </w:r>
      <w:r>
        <w:rPr>
          <w:i/>
        </w:rPr>
        <w:t xml:space="preserve">1 </w:t>
      </w:r>
      <w:r>
        <w:t>(</w:t>
      </w:r>
      <w:r w:rsidR="005B1E28">
        <w:t xml:space="preserve">Principal </w:t>
      </w:r>
      <w:r>
        <w:t xml:space="preserve">Determination) to </w:t>
      </w:r>
      <w:r w:rsidR="00F21BFF">
        <w:t xml:space="preserve">revoke </w:t>
      </w:r>
      <w:r w:rsidR="00C633A2">
        <w:t xml:space="preserve">pharmacist </w:t>
      </w:r>
      <w:r w:rsidR="001703B7">
        <w:t xml:space="preserve">substitution of specified </w:t>
      </w:r>
      <w:r>
        <w:t>pharmaceutical benefits</w:t>
      </w:r>
      <w:r w:rsidR="001703B7">
        <w:t xml:space="preserve"> as they are no longer subject to </w:t>
      </w:r>
      <w:r w:rsidR="001703B7" w:rsidRPr="00C2363A">
        <w:t>Therapeutic Goods Administration (TGA) Serious</w:t>
      </w:r>
      <w:r w:rsidR="00C633A2">
        <w:t> </w:t>
      </w:r>
      <w:r w:rsidR="001703B7" w:rsidRPr="00C2363A">
        <w:t>Scarcity Substitution Instrument</w:t>
      </w:r>
      <w:r w:rsidR="001703B7">
        <w:t>s</w:t>
      </w:r>
      <w:r w:rsidR="001703B7" w:rsidRPr="00C2363A">
        <w:t xml:space="preserve"> (SSSI</w:t>
      </w:r>
      <w:r w:rsidR="001703B7">
        <w:t>s</w:t>
      </w:r>
      <w:r w:rsidR="001703B7" w:rsidRPr="00C2363A">
        <w:t>)</w:t>
      </w:r>
      <w:r w:rsidR="001703B7">
        <w:t>.</w:t>
      </w:r>
      <w:r>
        <w:t xml:space="preserve"> </w:t>
      </w:r>
      <w:r w:rsidR="00C2363A">
        <w:t>This reflects the resolution of</w:t>
      </w:r>
      <w:r w:rsidR="002C645C">
        <w:t xml:space="preserve"> </w:t>
      </w:r>
      <w:r w:rsidR="00C2363A">
        <w:t>shortages</w:t>
      </w:r>
      <w:r w:rsidR="002C645C">
        <w:t xml:space="preserve"> of </w:t>
      </w:r>
      <w:bookmarkStart w:id="3" w:name="_Hlk103245883"/>
      <w:r w:rsidR="001703B7">
        <w:t xml:space="preserve">tocilizumab 162 mg in 0.9 ml single use </w:t>
      </w:r>
      <w:r w:rsidR="001703B7" w:rsidRPr="00070ADD">
        <w:t xml:space="preserve">pre-filled </w:t>
      </w:r>
      <w:r w:rsidR="001703B7">
        <w:t>syringe</w:t>
      </w:r>
      <w:r w:rsidR="00C633A2">
        <w:t xml:space="preserve"> in the brand </w:t>
      </w:r>
      <w:r w:rsidR="00C633A2" w:rsidRPr="00C633A2">
        <w:t>Actemra Subcutaneous Injection</w:t>
      </w:r>
      <w:r w:rsidR="00C633A2">
        <w:t>, tocilizumab</w:t>
      </w:r>
      <w:r w:rsidR="004C45BD">
        <w:t xml:space="preserve"> </w:t>
      </w:r>
      <w:r w:rsidR="001703B7">
        <w:t xml:space="preserve">single use pre-filled pen in </w:t>
      </w:r>
      <w:r w:rsidR="00C633A2">
        <w:t xml:space="preserve">the </w:t>
      </w:r>
      <w:r w:rsidR="001703B7">
        <w:t xml:space="preserve">brand </w:t>
      </w:r>
      <w:r w:rsidR="001703B7" w:rsidRPr="00070ADD">
        <w:t>Actemra ACTPen</w:t>
      </w:r>
      <w:r w:rsidR="001703B7">
        <w:t xml:space="preserve"> and tablet containing estradiol valerate in 1 mg and 2 mg strengths </w:t>
      </w:r>
      <w:r w:rsidR="004143D3">
        <w:t xml:space="preserve">in the </w:t>
      </w:r>
      <w:r w:rsidR="001703B7">
        <w:t>brand Progynova</w:t>
      </w:r>
      <w:bookmarkEnd w:id="3"/>
      <w:r w:rsidR="001703B7">
        <w:t xml:space="preserve">. </w:t>
      </w:r>
    </w:p>
    <w:p w14:paraId="27D55117" w14:textId="77777777" w:rsidR="007B2DF0" w:rsidRDefault="007B2DF0" w:rsidP="007B2DF0">
      <w:pPr>
        <w:spacing w:after="0"/>
      </w:pPr>
    </w:p>
    <w:p w14:paraId="296E9149" w14:textId="77777777" w:rsidR="007B2DF0" w:rsidRDefault="003E1213" w:rsidP="007B2DF0">
      <w:pPr>
        <w:spacing w:after="0"/>
      </w:pPr>
      <w:r w:rsidRPr="00864119">
        <w:rPr>
          <w:rFonts w:eastAsia="Times New Roman"/>
          <w:b/>
          <w:bCs/>
          <w:color w:val="000000"/>
          <w:lang w:eastAsia="en-AU"/>
        </w:rPr>
        <w:t>Human rights implications</w:t>
      </w:r>
    </w:p>
    <w:p w14:paraId="52D15382" w14:textId="77777777" w:rsidR="007B2DF0" w:rsidRDefault="007B2DF0" w:rsidP="007B2DF0">
      <w:pPr>
        <w:spacing w:after="0"/>
      </w:pPr>
    </w:p>
    <w:p w14:paraId="0B149831" w14:textId="77777777" w:rsidR="007B2DF0" w:rsidRDefault="003E1213" w:rsidP="007B2DF0">
      <w:pPr>
        <w:spacing w:after="0"/>
      </w:pPr>
      <w:r w:rsidRPr="00864119">
        <w:rPr>
          <w:rFonts w:eastAsia="Times New Roman"/>
          <w:color w:val="000000"/>
          <w:lang w:val="en-GB" w:eastAsia="en-AU"/>
        </w:rPr>
        <w:t xml:space="preserve">The </w:t>
      </w:r>
      <w:r>
        <w:rPr>
          <w:rFonts w:eastAsia="Times New Roman"/>
          <w:color w:val="000000"/>
          <w:lang w:val="en-GB" w:eastAsia="en-AU"/>
        </w:rPr>
        <w:t xml:space="preserve">Amendment </w:t>
      </w:r>
      <w:r w:rsidRPr="00864119">
        <w:rPr>
          <w:rFonts w:eastAsia="Times New Roman"/>
          <w:color w:val="000000"/>
          <w:lang w:val="en-GB" w:eastAsia="en-AU"/>
        </w:rPr>
        <w:t xml:space="preserve">Determination engages Article 12 of the International Covenant on Economic, Social and Cultural Rights (ICESCR). The </w:t>
      </w:r>
      <w:r>
        <w:rPr>
          <w:rFonts w:eastAsia="Times New Roman"/>
          <w:color w:val="000000"/>
          <w:lang w:val="en-GB" w:eastAsia="en-AU"/>
        </w:rPr>
        <w:t xml:space="preserve">Amendment </w:t>
      </w:r>
      <w:r w:rsidRPr="00864119">
        <w:rPr>
          <w:rFonts w:eastAsia="Times New Roman"/>
          <w:color w:val="000000"/>
          <w:lang w:val="en-GB" w:eastAsia="en-AU"/>
        </w:rPr>
        <w:t>Determination assists in the progressive realisation by all appropriate means of the right of everyone to the enjoyment of the highest attainable standard of physical and mental health.</w:t>
      </w:r>
    </w:p>
    <w:p w14:paraId="39CC7352" w14:textId="77777777" w:rsidR="007B2DF0" w:rsidRDefault="007B2DF0" w:rsidP="007B2DF0">
      <w:pPr>
        <w:spacing w:after="0"/>
      </w:pPr>
    </w:p>
    <w:p w14:paraId="52FF362E" w14:textId="77777777" w:rsidR="007B2DF0" w:rsidRDefault="003E1213" w:rsidP="007B2DF0">
      <w:pPr>
        <w:spacing w:after="0"/>
      </w:pPr>
      <w:r w:rsidRPr="00864119">
        <w:rPr>
          <w:rFonts w:eastAsia="Times New Roman"/>
          <w:color w:val="000000"/>
          <w:lang w:val="en-GB" w:eastAsia="en-AU"/>
        </w:rPr>
        <w:t xml:space="preserve">The Pharmaceutical Benefits Scheme (PBS) is a benefit scheme which assists with providing subsidised access for people to medicines. This is a positive and supportive step towards attaining the highest standard of health for all Australians. Efficient operational arrangements for </w:t>
      </w:r>
      <w:r>
        <w:rPr>
          <w:rFonts w:eastAsia="Times New Roman"/>
          <w:color w:val="000000"/>
          <w:lang w:val="en-GB" w:eastAsia="en-AU"/>
        </w:rPr>
        <w:t xml:space="preserve">the </w:t>
      </w:r>
      <w:r w:rsidRPr="00864119">
        <w:rPr>
          <w:rFonts w:eastAsia="Times New Roman"/>
          <w:color w:val="000000"/>
          <w:lang w:val="en-GB" w:eastAsia="en-AU"/>
        </w:rPr>
        <w:t xml:space="preserve">PBS support effective administration of the scheme. The </w:t>
      </w:r>
      <w:r>
        <w:rPr>
          <w:rFonts w:eastAsia="Times New Roman"/>
          <w:color w:val="000000"/>
          <w:lang w:val="en-GB" w:eastAsia="en-AU"/>
        </w:rPr>
        <w:t xml:space="preserve">Amendment </w:t>
      </w:r>
      <w:r w:rsidRPr="00864119">
        <w:rPr>
          <w:rFonts w:eastAsia="Times New Roman"/>
          <w:color w:val="000000"/>
          <w:lang w:val="en-GB" w:eastAsia="en-AU"/>
        </w:rPr>
        <w:t>Determination assists in the progressive realisation by all appropriate means of the right of everyone to the enjoyment of the highest attainable standard of physical and mental health</w:t>
      </w:r>
      <w:r>
        <w:rPr>
          <w:rFonts w:eastAsia="Times New Roman"/>
          <w:color w:val="000000"/>
          <w:lang w:val="en-GB" w:eastAsia="en-AU"/>
        </w:rPr>
        <w:t xml:space="preserve"> by ensuring that patients have continued access to </w:t>
      </w:r>
      <w:r w:rsidR="00344B45">
        <w:rPr>
          <w:rFonts w:eastAsia="Times New Roman"/>
          <w:color w:val="000000"/>
          <w:lang w:val="en-GB" w:eastAsia="en-AU"/>
        </w:rPr>
        <w:t>their medicines while their supply is disrupted</w:t>
      </w:r>
      <w:r w:rsidRPr="00864119">
        <w:rPr>
          <w:rFonts w:eastAsia="Times New Roman"/>
          <w:color w:val="000000"/>
          <w:lang w:val="en-GB" w:eastAsia="en-AU"/>
        </w:rPr>
        <w:t>.</w:t>
      </w:r>
    </w:p>
    <w:p w14:paraId="4067EBE2" w14:textId="77777777" w:rsidR="007B2DF0" w:rsidRDefault="007B2DF0" w:rsidP="007B2DF0">
      <w:pPr>
        <w:spacing w:after="0"/>
      </w:pPr>
    </w:p>
    <w:p w14:paraId="629E629C" w14:textId="23320774" w:rsidR="007B2DF0" w:rsidRDefault="001703B7" w:rsidP="007B2DF0">
      <w:pPr>
        <w:spacing w:after="0"/>
        <w:rPr>
          <w:rFonts w:eastAsia="Times New Roman"/>
          <w:color w:val="000000"/>
          <w:lang w:val="en-GB" w:eastAsia="en-AU"/>
        </w:rPr>
      </w:pPr>
      <w:r>
        <w:rPr>
          <w:rFonts w:eastAsia="Times New Roman"/>
          <w:color w:val="000000"/>
          <w:lang w:val="en-GB" w:eastAsia="en-AU"/>
        </w:rPr>
        <w:t xml:space="preserve">The </w:t>
      </w:r>
      <w:r w:rsidR="00BB7E7B">
        <w:rPr>
          <w:rFonts w:eastAsia="Times New Roman"/>
          <w:color w:val="000000"/>
          <w:lang w:val="en-GB" w:eastAsia="en-AU"/>
        </w:rPr>
        <w:t xml:space="preserve">Amendment </w:t>
      </w:r>
      <w:r>
        <w:rPr>
          <w:rFonts w:eastAsia="Times New Roman"/>
          <w:color w:val="000000"/>
          <w:lang w:val="en-GB" w:eastAsia="en-AU"/>
        </w:rPr>
        <w:t>Determination do</w:t>
      </w:r>
      <w:r w:rsidR="004143D3">
        <w:rPr>
          <w:rFonts w:eastAsia="Times New Roman"/>
          <w:color w:val="000000"/>
          <w:lang w:val="en-GB" w:eastAsia="en-AU"/>
        </w:rPr>
        <w:t>es</w:t>
      </w:r>
      <w:r>
        <w:rPr>
          <w:rFonts w:eastAsia="Times New Roman"/>
          <w:color w:val="000000"/>
          <w:lang w:val="en-GB" w:eastAsia="en-AU"/>
        </w:rPr>
        <w:t xml:space="preserve"> not impact equitable access to medicines </w:t>
      </w:r>
      <w:r w:rsidR="004C45BD">
        <w:rPr>
          <w:rFonts w:eastAsia="Times New Roman"/>
          <w:color w:val="000000"/>
          <w:lang w:val="en-GB" w:eastAsia="en-AU"/>
        </w:rPr>
        <w:t xml:space="preserve">as </w:t>
      </w:r>
      <w:r w:rsidR="004C45BD" w:rsidRPr="004143D3">
        <w:t>tocilizumab</w:t>
      </w:r>
      <w:r w:rsidR="004143D3" w:rsidRPr="004143D3">
        <w:rPr>
          <w:rFonts w:eastAsia="Times New Roman"/>
          <w:color w:val="000000"/>
          <w:lang w:val="en-GB" w:eastAsia="en-AU"/>
        </w:rPr>
        <w:t xml:space="preserve"> 162 mg in 0.9 ml single use pre-filled syringe, tocilizumab single use pre-filled pen and tablet containing estradiol valerate in 1 mg and 2 mg strengths </w:t>
      </w:r>
      <w:r w:rsidR="004143D3">
        <w:rPr>
          <w:rFonts w:eastAsia="Times New Roman"/>
          <w:color w:val="000000"/>
          <w:lang w:val="en-GB" w:eastAsia="en-AU"/>
        </w:rPr>
        <w:t>continue to be available at PBS subsidised prices.</w:t>
      </w:r>
    </w:p>
    <w:p w14:paraId="54E7BCC0" w14:textId="77777777" w:rsidR="007B2DF0" w:rsidRDefault="007B2DF0" w:rsidP="007B2DF0">
      <w:pPr>
        <w:spacing w:after="0"/>
        <w:rPr>
          <w:rFonts w:eastAsia="Times New Roman"/>
          <w:color w:val="000000"/>
          <w:lang w:val="en-GB" w:eastAsia="en-AU"/>
        </w:rPr>
      </w:pPr>
    </w:p>
    <w:p w14:paraId="2BFE632F" w14:textId="77777777" w:rsidR="007B2DF0" w:rsidRDefault="003E1213" w:rsidP="004C45BD">
      <w:pPr>
        <w:keepNext/>
        <w:keepLines/>
        <w:spacing w:after="0"/>
      </w:pPr>
      <w:r w:rsidRPr="00864119">
        <w:rPr>
          <w:rFonts w:eastAsia="Times New Roman"/>
          <w:b/>
          <w:bCs/>
          <w:color w:val="000000"/>
          <w:lang w:eastAsia="en-AU"/>
        </w:rPr>
        <w:t>Conclusion</w:t>
      </w:r>
    </w:p>
    <w:p w14:paraId="6F9A5024" w14:textId="2A6CD399" w:rsidR="003E1213" w:rsidRPr="007B2DF0" w:rsidRDefault="003E1213" w:rsidP="004C45BD">
      <w:pPr>
        <w:keepNext/>
        <w:keepLines/>
        <w:spacing w:after="0"/>
      </w:pPr>
      <w:r w:rsidRPr="00864119">
        <w:rPr>
          <w:rFonts w:eastAsia="Times New Roman"/>
          <w:color w:val="000000"/>
          <w:lang w:eastAsia="en-AU"/>
        </w:rPr>
        <w:t xml:space="preserve">The </w:t>
      </w:r>
      <w:r>
        <w:rPr>
          <w:rFonts w:eastAsia="Times New Roman"/>
          <w:color w:val="000000"/>
          <w:lang w:eastAsia="en-AU"/>
        </w:rPr>
        <w:t xml:space="preserve">Amendment </w:t>
      </w:r>
      <w:r w:rsidRPr="00864119">
        <w:rPr>
          <w:rFonts w:eastAsia="Times New Roman"/>
          <w:color w:val="000000"/>
          <w:lang w:eastAsia="en-AU"/>
        </w:rPr>
        <w:t xml:space="preserve">Determination is compatible with human rights, as </w:t>
      </w:r>
      <w:r w:rsidRPr="005164BC">
        <w:rPr>
          <w:rFonts w:eastAsia="Times New Roman"/>
          <w:color w:val="000000"/>
          <w:lang w:eastAsia="en-AU"/>
        </w:rPr>
        <w:t>it promotes the protection of human rights.</w:t>
      </w:r>
    </w:p>
    <w:p w14:paraId="2F4AA8BA" w14:textId="77777777" w:rsidR="00385450" w:rsidRDefault="00385450" w:rsidP="00C633A2">
      <w:pPr>
        <w:keepNext/>
        <w:keepLines/>
        <w:shd w:val="clear" w:color="auto" w:fill="FFFFFF"/>
        <w:spacing w:before="120" w:after="240" w:line="240" w:lineRule="auto"/>
        <w:rPr>
          <w:rFonts w:eastAsia="Times New Roman"/>
          <w:color w:val="000000"/>
          <w:lang w:eastAsia="en-AU"/>
        </w:rPr>
      </w:pPr>
    </w:p>
    <w:p w14:paraId="6CDB5D93" w14:textId="77777777" w:rsidR="0083142B" w:rsidRPr="00864119" w:rsidRDefault="0083142B" w:rsidP="00C633A2">
      <w:pPr>
        <w:keepNext/>
        <w:keepLines/>
        <w:shd w:val="clear" w:color="auto" w:fill="FFFFFF"/>
        <w:spacing w:before="120" w:after="240" w:line="240" w:lineRule="auto"/>
        <w:rPr>
          <w:rFonts w:eastAsia="Times New Roman"/>
          <w:color w:val="000000"/>
          <w:lang w:eastAsia="en-AU"/>
        </w:rPr>
      </w:pPr>
    </w:p>
    <w:p w14:paraId="0BF24597" w14:textId="54596162" w:rsidR="00E46E86" w:rsidRPr="00A01F21" w:rsidRDefault="002B0FE2" w:rsidP="004143D3">
      <w:pPr>
        <w:keepNext/>
        <w:keepLines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en-AU"/>
        </w:rPr>
      </w:pPr>
      <w:r>
        <w:rPr>
          <w:rFonts w:eastAsia="Times New Roman"/>
          <w:b/>
          <w:bCs/>
          <w:color w:val="000000"/>
          <w:lang w:eastAsia="en-AU"/>
        </w:rPr>
        <w:t>Nikolai Tsyganov</w:t>
      </w:r>
    </w:p>
    <w:p w14:paraId="686471FE" w14:textId="7EC76EB3" w:rsidR="001467A9" w:rsidRDefault="00152A81" w:rsidP="004143D3">
      <w:pPr>
        <w:keepNext/>
        <w:keepLines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en-AU"/>
        </w:rPr>
      </w:pPr>
      <w:r>
        <w:rPr>
          <w:rFonts w:eastAsia="Times New Roman"/>
          <w:b/>
          <w:bCs/>
          <w:color w:val="000000"/>
          <w:lang w:eastAsia="en-AU"/>
        </w:rPr>
        <w:t xml:space="preserve">Acting </w:t>
      </w:r>
      <w:r w:rsidR="001467A9" w:rsidRPr="00864119">
        <w:rPr>
          <w:rFonts w:eastAsia="Times New Roman"/>
          <w:b/>
          <w:bCs/>
          <w:color w:val="000000"/>
          <w:lang w:eastAsia="en-AU"/>
        </w:rPr>
        <w:t>Assistant Secretary</w:t>
      </w:r>
    </w:p>
    <w:p w14:paraId="707609B1" w14:textId="77777777" w:rsidR="00301412" w:rsidRPr="00301412" w:rsidRDefault="00301412" w:rsidP="004143D3">
      <w:pPr>
        <w:keepNext/>
        <w:keepLines/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en-AU"/>
        </w:rPr>
      </w:pPr>
      <w:r w:rsidRPr="00301412">
        <w:rPr>
          <w:b/>
          <w:szCs w:val="22"/>
        </w:rPr>
        <w:t>Pricing and PBS Policy Branch</w:t>
      </w:r>
    </w:p>
    <w:p w14:paraId="7B5EC522" w14:textId="77777777" w:rsidR="001467A9" w:rsidRPr="00864119" w:rsidRDefault="001467A9" w:rsidP="004143D3">
      <w:pPr>
        <w:keepNext/>
        <w:keepLines/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en-AU"/>
        </w:rPr>
      </w:pPr>
      <w:r w:rsidRPr="00864119">
        <w:rPr>
          <w:rFonts w:eastAsia="Times New Roman"/>
          <w:b/>
          <w:bCs/>
          <w:color w:val="000000"/>
          <w:lang w:eastAsia="en-AU"/>
        </w:rPr>
        <w:t>Technology Assessment and Access Division</w:t>
      </w:r>
    </w:p>
    <w:p w14:paraId="7DBD90AD" w14:textId="77777777" w:rsidR="00E40F4A" w:rsidRPr="00E40F4A" w:rsidRDefault="001467A9" w:rsidP="0085565E">
      <w:pPr>
        <w:keepNext/>
        <w:keepLines/>
        <w:jc w:val="center"/>
        <w:rPr>
          <w:b/>
        </w:rPr>
      </w:pPr>
      <w:r w:rsidRPr="00864119">
        <w:rPr>
          <w:rFonts w:eastAsia="Times New Roman"/>
          <w:b/>
          <w:bCs/>
          <w:color w:val="000000"/>
          <w:lang w:eastAsia="en-AU"/>
        </w:rPr>
        <w:t>Department of Health</w:t>
      </w:r>
    </w:p>
    <w:sectPr w:rsidR="00E40F4A" w:rsidRPr="00E40F4A" w:rsidSect="003E1213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D00"/>
    <w:multiLevelType w:val="hybridMultilevel"/>
    <w:tmpl w:val="F57E9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51"/>
    <w:multiLevelType w:val="multilevel"/>
    <w:tmpl w:val="9746F7E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" w15:restartNumberingAfterBreak="0">
    <w:nsid w:val="131252D1"/>
    <w:multiLevelType w:val="hybridMultilevel"/>
    <w:tmpl w:val="AAE6B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645BD"/>
    <w:multiLevelType w:val="multilevel"/>
    <w:tmpl w:val="9746F7E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85"/>
        </w:tabs>
        <w:ind w:left="78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210"/>
        </w:tabs>
        <w:ind w:left="1210" w:hanging="425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636"/>
        </w:tabs>
        <w:ind w:left="163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061"/>
        </w:tabs>
        <w:ind w:left="206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486"/>
        </w:tabs>
        <w:ind w:left="248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911"/>
        </w:tabs>
        <w:ind w:left="291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336"/>
        </w:tabs>
        <w:ind w:left="333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762"/>
        </w:tabs>
        <w:ind w:left="3762" w:hanging="426"/>
      </w:pPr>
      <w:rPr>
        <w:rFonts w:hint="default"/>
        <w:b w:val="0"/>
        <w:i w:val="0"/>
      </w:rPr>
    </w:lvl>
  </w:abstractNum>
  <w:abstractNum w:abstractNumId="4" w15:restartNumberingAfterBreak="0">
    <w:nsid w:val="28934A6B"/>
    <w:multiLevelType w:val="multilevel"/>
    <w:tmpl w:val="D494DAF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5" w15:restartNumberingAfterBreak="0">
    <w:nsid w:val="3AF802B4"/>
    <w:multiLevelType w:val="hybridMultilevel"/>
    <w:tmpl w:val="C4162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7B53"/>
    <w:multiLevelType w:val="hybridMultilevel"/>
    <w:tmpl w:val="C8482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926B9B"/>
    <w:multiLevelType w:val="hybridMultilevel"/>
    <w:tmpl w:val="4218114A"/>
    <w:lvl w:ilvl="0" w:tplc="276A5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112F8"/>
    <w:multiLevelType w:val="hybridMultilevel"/>
    <w:tmpl w:val="1C925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BDE489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4A"/>
    <w:rsid w:val="000178C6"/>
    <w:rsid w:val="00035DB3"/>
    <w:rsid w:val="00045087"/>
    <w:rsid w:val="00070ADD"/>
    <w:rsid w:val="0008113A"/>
    <w:rsid w:val="000841DA"/>
    <w:rsid w:val="000B143E"/>
    <w:rsid w:val="000B6444"/>
    <w:rsid w:val="000C5058"/>
    <w:rsid w:val="000C6E0C"/>
    <w:rsid w:val="000F14B4"/>
    <w:rsid w:val="00106E5B"/>
    <w:rsid w:val="001467A9"/>
    <w:rsid w:val="00152A81"/>
    <w:rsid w:val="00153A0B"/>
    <w:rsid w:val="00160276"/>
    <w:rsid w:val="001703B7"/>
    <w:rsid w:val="001907A9"/>
    <w:rsid w:val="001A16BA"/>
    <w:rsid w:val="001A749C"/>
    <w:rsid w:val="001B037F"/>
    <w:rsid w:val="001C33BD"/>
    <w:rsid w:val="001C7FED"/>
    <w:rsid w:val="001E3AC6"/>
    <w:rsid w:val="001F14BD"/>
    <w:rsid w:val="001F3A90"/>
    <w:rsid w:val="00211037"/>
    <w:rsid w:val="00243F7D"/>
    <w:rsid w:val="00253FFC"/>
    <w:rsid w:val="002578C6"/>
    <w:rsid w:val="00274EED"/>
    <w:rsid w:val="00280050"/>
    <w:rsid w:val="002806EA"/>
    <w:rsid w:val="002A6522"/>
    <w:rsid w:val="002B0FE2"/>
    <w:rsid w:val="002B59DE"/>
    <w:rsid w:val="002C645C"/>
    <w:rsid w:val="002D6A9B"/>
    <w:rsid w:val="00300DC2"/>
    <w:rsid w:val="00301412"/>
    <w:rsid w:val="0030249B"/>
    <w:rsid w:val="00310F09"/>
    <w:rsid w:val="00327976"/>
    <w:rsid w:val="003432BC"/>
    <w:rsid w:val="00343BFB"/>
    <w:rsid w:val="00344B45"/>
    <w:rsid w:val="003510EA"/>
    <w:rsid w:val="00372527"/>
    <w:rsid w:val="00384616"/>
    <w:rsid w:val="00385450"/>
    <w:rsid w:val="003A6AC5"/>
    <w:rsid w:val="003B2A6B"/>
    <w:rsid w:val="003E1213"/>
    <w:rsid w:val="003F7B97"/>
    <w:rsid w:val="004014A5"/>
    <w:rsid w:val="004143D3"/>
    <w:rsid w:val="004339BA"/>
    <w:rsid w:val="00443C53"/>
    <w:rsid w:val="00445B25"/>
    <w:rsid w:val="00471807"/>
    <w:rsid w:val="00476CDE"/>
    <w:rsid w:val="004839D9"/>
    <w:rsid w:val="004B3851"/>
    <w:rsid w:val="004B3DDF"/>
    <w:rsid w:val="004C45BD"/>
    <w:rsid w:val="004F3F3C"/>
    <w:rsid w:val="00543EAF"/>
    <w:rsid w:val="00564885"/>
    <w:rsid w:val="005B1E28"/>
    <w:rsid w:val="005B3B3C"/>
    <w:rsid w:val="005D54C9"/>
    <w:rsid w:val="005E3B12"/>
    <w:rsid w:val="005F4FBD"/>
    <w:rsid w:val="006002BC"/>
    <w:rsid w:val="0060108B"/>
    <w:rsid w:val="0061061D"/>
    <w:rsid w:val="00616766"/>
    <w:rsid w:val="006173D7"/>
    <w:rsid w:val="00621B3F"/>
    <w:rsid w:val="0063175E"/>
    <w:rsid w:val="006403D3"/>
    <w:rsid w:val="00646D07"/>
    <w:rsid w:val="006758BD"/>
    <w:rsid w:val="006D45BE"/>
    <w:rsid w:val="006E35FD"/>
    <w:rsid w:val="006F214C"/>
    <w:rsid w:val="006F66B9"/>
    <w:rsid w:val="006F6B64"/>
    <w:rsid w:val="007028A4"/>
    <w:rsid w:val="00711112"/>
    <w:rsid w:val="00714197"/>
    <w:rsid w:val="00720CAC"/>
    <w:rsid w:val="00743D39"/>
    <w:rsid w:val="00747A99"/>
    <w:rsid w:val="00753BBD"/>
    <w:rsid w:val="00762CEF"/>
    <w:rsid w:val="007744A6"/>
    <w:rsid w:val="00786242"/>
    <w:rsid w:val="007B1D3C"/>
    <w:rsid w:val="007B2DF0"/>
    <w:rsid w:val="007D32C3"/>
    <w:rsid w:val="007E1768"/>
    <w:rsid w:val="00807D2E"/>
    <w:rsid w:val="0083142B"/>
    <w:rsid w:val="00840737"/>
    <w:rsid w:val="00847AFC"/>
    <w:rsid w:val="0085161E"/>
    <w:rsid w:val="0085565E"/>
    <w:rsid w:val="0086024F"/>
    <w:rsid w:val="008632B4"/>
    <w:rsid w:val="00884F80"/>
    <w:rsid w:val="00892E09"/>
    <w:rsid w:val="008C6BED"/>
    <w:rsid w:val="008E4E94"/>
    <w:rsid w:val="008F2077"/>
    <w:rsid w:val="008F2874"/>
    <w:rsid w:val="0090018B"/>
    <w:rsid w:val="009014E4"/>
    <w:rsid w:val="00917136"/>
    <w:rsid w:val="00921C80"/>
    <w:rsid w:val="00931BC1"/>
    <w:rsid w:val="009361E9"/>
    <w:rsid w:val="0095679E"/>
    <w:rsid w:val="00983DB8"/>
    <w:rsid w:val="009B6894"/>
    <w:rsid w:val="009D4A36"/>
    <w:rsid w:val="009F7518"/>
    <w:rsid w:val="00A01F21"/>
    <w:rsid w:val="00A36BBE"/>
    <w:rsid w:val="00A42977"/>
    <w:rsid w:val="00A571B3"/>
    <w:rsid w:val="00A633CC"/>
    <w:rsid w:val="00A83AA2"/>
    <w:rsid w:val="00AB20CA"/>
    <w:rsid w:val="00AC35BB"/>
    <w:rsid w:val="00AC658D"/>
    <w:rsid w:val="00AC6788"/>
    <w:rsid w:val="00AC6855"/>
    <w:rsid w:val="00AC708D"/>
    <w:rsid w:val="00AD1BF7"/>
    <w:rsid w:val="00AD5670"/>
    <w:rsid w:val="00AE0A1E"/>
    <w:rsid w:val="00AE36A6"/>
    <w:rsid w:val="00AF0C66"/>
    <w:rsid w:val="00AF3167"/>
    <w:rsid w:val="00B0771A"/>
    <w:rsid w:val="00B4213E"/>
    <w:rsid w:val="00BB7E7B"/>
    <w:rsid w:val="00BC605C"/>
    <w:rsid w:val="00BD60E4"/>
    <w:rsid w:val="00C2363A"/>
    <w:rsid w:val="00C40B0B"/>
    <w:rsid w:val="00C57245"/>
    <w:rsid w:val="00C6233E"/>
    <w:rsid w:val="00C633A2"/>
    <w:rsid w:val="00C76D6F"/>
    <w:rsid w:val="00C86737"/>
    <w:rsid w:val="00CA2A22"/>
    <w:rsid w:val="00CA4C1F"/>
    <w:rsid w:val="00CC37D0"/>
    <w:rsid w:val="00CC7BCF"/>
    <w:rsid w:val="00CE6A67"/>
    <w:rsid w:val="00CF5C54"/>
    <w:rsid w:val="00D928F7"/>
    <w:rsid w:val="00DC08F2"/>
    <w:rsid w:val="00DC295C"/>
    <w:rsid w:val="00DC6B96"/>
    <w:rsid w:val="00DE3134"/>
    <w:rsid w:val="00E061E4"/>
    <w:rsid w:val="00E24F4D"/>
    <w:rsid w:val="00E25B39"/>
    <w:rsid w:val="00E40F4A"/>
    <w:rsid w:val="00E46E86"/>
    <w:rsid w:val="00E57338"/>
    <w:rsid w:val="00E60D4B"/>
    <w:rsid w:val="00E75245"/>
    <w:rsid w:val="00EE2197"/>
    <w:rsid w:val="00F01CCF"/>
    <w:rsid w:val="00F11AD5"/>
    <w:rsid w:val="00F14D6C"/>
    <w:rsid w:val="00F21BFF"/>
    <w:rsid w:val="00F44003"/>
    <w:rsid w:val="00F555FF"/>
    <w:rsid w:val="00F66BB9"/>
    <w:rsid w:val="00F77461"/>
    <w:rsid w:val="00F81011"/>
    <w:rsid w:val="00F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2E4F"/>
  <w15:docId w15:val="{1D114EB0-8B67-445F-9B33-30A4B3D1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basedOn w:val="Normal"/>
    <w:rsid w:val="000178C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paragraph">
    <w:name w:val="paragraph"/>
    <w:basedOn w:val="Normal"/>
    <w:rsid w:val="000178C6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ListParagraph">
    <w:name w:val="List Paragraph"/>
    <w:basedOn w:val="Normal"/>
    <w:uiPriority w:val="34"/>
    <w:qFormat/>
    <w:rsid w:val="00300DC2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1F1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1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1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4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BD"/>
    <w:rPr>
      <w:rFonts w:ascii="Tahoma" w:hAnsi="Tahoma" w:cs="Tahoma"/>
      <w:sz w:val="16"/>
      <w:szCs w:val="16"/>
    </w:rPr>
  </w:style>
  <w:style w:type="paragraph" w:customStyle="1" w:styleId="Dot1">
    <w:name w:val="Dot1"/>
    <w:aliases w:val="DOT"/>
    <w:basedOn w:val="Normal"/>
    <w:link w:val="Dot1Char"/>
    <w:uiPriority w:val="2"/>
    <w:qFormat/>
    <w:rsid w:val="00F555FF"/>
    <w:pPr>
      <w:numPr>
        <w:ilvl w:val="1"/>
        <w:numId w:val="2"/>
      </w:numPr>
      <w:spacing w:after="140" w:line="280" w:lineRule="atLeast"/>
    </w:pPr>
    <w:rPr>
      <w:rFonts w:ascii="Arial" w:eastAsia="Times New Roman" w:hAnsi="Arial" w:cs="Arial"/>
      <w:sz w:val="22"/>
      <w:szCs w:val="22"/>
      <w:lang w:eastAsia="en-AU"/>
    </w:rPr>
  </w:style>
  <w:style w:type="character" w:customStyle="1" w:styleId="Dot1Char">
    <w:name w:val="Dot1 Char"/>
    <w:aliases w:val="DOT Char"/>
    <w:basedOn w:val="DefaultParagraphFont"/>
    <w:link w:val="Dot1"/>
    <w:uiPriority w:val="2"/>
    <w:rsid w:val="00F555FF"/>
    <w:rPr>
      <w:rFonts w:ascii="Arial" w:eastAsia="Times New Roman" w:hAnsi="Arial" w:cs="Arial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E24F4D"/>
    <w:pPr>
      <w:spacing w:after="0" w:line="240" w:lineRule="auto"/>
    </w:pPr>
  </w:style>
  <w:style w:type="paragraph" w:customStyle="1" w:styleId="CharCharCharChar">
    <w:name w:val="Char Char Char Char"/>
    <w:basedOn w:val="Normal"/>
    <w:rsid w:val="00917136"/>
    <w:pPr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CharCharCharChar0">
    <w:name w:val="Char Char Char Char"/>
    <w:basedOn w:val="Normal"/>
    <w:rsid w:val="00B4213E"/>
    <w:pPr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Tabletext">
    <w:name w:val="Tabletext"/>
    <w:aliases w:val="tt"/>
    <w:basedOn w:val="Normal"/>
    <w:rsid w:val="00F91DA2"/>
    <w:pPr>
      <w:spacing w:before="60" w:after="0" w:line="240" w:lineRule="atLeast"/>
    </w:pPr>
    <w:rPr>
      <w:rFonts w:eastAsia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CA4C1F"/>
    <w:rPr>
      <w:color w:val="0000FF"/>
      <w:u w:val="single"/>
    </w:rPr>
  </w:style>
  <w:style w:type="table" w:styleId="TableGrid">
    <w:name w:val="Table Grid"/>
    <w:basedOn w:val="TableNormal"/>
    <w:uiPriority w:val="39"/>
    <w:rsid w:val="001B037F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ug-name">
    <w:name w:val="drug-name"/>
    <w:basedOn w:val="DefaultParagraphFont"/>
    <w:rsid w:val="001B037F"/>
  </w:style>
  <w:style w:type="character" w:customStyle="1" w:styleId="form-strength">
    <w:name w:val="form-strength"/>
    <w:basedOn w:val="DefaultParagraphFont"/>
    <w:rsid w:val="001B037F"/>
  </w:style>
  <w:style w:type="character" w:styleId="UnresolvedMention">
    <w:name w:val="Unresolved Mention"/>
    <w:basedOn w:val="DefaultParagraphFont"/>
    <w:uiPriority w:val="99"/>
    <w:semiHidden/>
    <w:unhideWhenUsed/>
    <w:rsid w:val="0043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14A6-14D3-42F4-8DCA-E5E97B6D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Benham, Christine</dc:creator>
  <cp:lastModifiedBy>DHILLON, Rav</cp:lastModifiedBy>
  <cp:revision>13</cp:revision>
  <cp:lastPrinted>2021-08-11T04:20:00Z</cp:lastPrinted>
  <dcterms:created xsi:type="dcterms:W3CDTF">2022-05-05T23:20:00Z</dcterms:created>
  <dcterms:modified xsi:type="dcterms:W3CDTF">2022-05-17T22:57:00Z</dcterms:modified>
</cp:coreProperties>
</file>