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ED4F9" w14:textId="77777777" w:rsidR="00BE1BAD" w:rsidRPr="00F248D6" w:rsidRDefault="00BE1BAD" w:rsidP="0052392E">
      <w:pPr>
        <w:spacing w:before="0" w:after="0"/>
        <w:jc w:val="center"/>
        <w:rPr>
          <w:b/>
          <w:sz w:val="22"/>
          <w:szCs w:val="22"/>
          <w:u w:val="single"/>
        </w:rPr>
      </w:pPr>
      <w:r w:rsidRPr="00F248D6">
        <w:rPr>
          <w:b/>
          <w:sz w:val="22"/>
          <w:szCs w:val="22"/>
          <w:u w:val="single"/>
        </w:rPr>
        <w:t>EXPLANATORY STATEMENT</w:t>
      </w:r>
    </w:p>
    <w:p w14:paraId="2C1D0024" w14:textId="77777777" w:rsidR="0052392E" w:rsidRPr="00F248D6" w:rsidRDefault="0052392E" w:rsidP="0052392E">
      <w:pPr>
        <w:spacing w:before="0" w:after="0"/>
        <w:jc w:val="center"/>
        <w:rPr>
          <w:i/>
          <w:sz w:val="22"/>
          <w:szCs w:val="22"/>
        </w:rPr>
      </w:pPr>
    </w:p>
    <w:p w14:paraId="6F9B3AF2" w14:textId="77777777" w:rsidR="00BE1BAD" w:rsidRPr="00F248D6" w:rsidRDefault="00BE1BAD" w:rsidP="0052392E">
      <w:pPr>
        <w:spacing w:before="0" w:after="0"/>
        <w:jc w:val="center"/>
        <w:rPr>
          <w:i/>
          <w:sz w:val="22"/>
          <w:szCs w:val="22"/>
        </w:rPr>
      </w:pPr>
      <w:r w:rsidRPr="00F248D6">
        <w:rPr>
          <w:i/>
          <w:sz w:val="22"/>
          <w:szCs w:val="22"/>
        </w:rPr>
        <w:t>Therapeutic Goods Act 1989</w:t>
      </w:r>
    </w:p>
    <w:p w14:paraId="313135E6" w14:textId="77777777" w:rsidR="0052392E" w:rsidRPr="00F248D6" w:rsidRDefault="0052392E" w:rsidP="0052392E">
      <w:pPr>
        <w:spacing w:before="0" w:after="0"/>
        <w:jc w:val="center"/>
        <w:rPr>
          <w:i/>
          <w:sz w:val="22"/>
          <w:szCs w:val="22"/>
        </w:rPr>
      </w:pPr>
    </w:p>
    <w:p w14:paraId="47ED8641" w14:textId="2D6D897F" w:rsidR="00BE1BAD" w:rsidRPr="00F248D6" w:rsidRDefault="00BE1BAD" w:rsidP="0052392E">
      <w:pPr>
        <w:spacing w:before="0" w:after="0"/>
        <w:jc w:val="center"/>
        <w:rPr>
          <w:i/>
          <w:sz w:val="22"/>
          <w:szCs w:val="22"/>
        </w:rPr>
      </w:pPr>
      <w:r w:rsidRPr="00F248D6">
        <w:rPr>
          <w:i/>
          <w:sz w:val="22"/>
          <w:szCs w:val="22"/>
        </w:rPr>
        <w:t>Poisons Standard</w:t>
      </w:r>
      <w:r w:rsidR="00683B5D" w:rsidRPr="00F248D6">
        <w:rPr>
          <w:i/>
          <w:sz w:val="22"/>
          <w:szCs w:val="22"/>
        </w:rPr>
        <w:t xml:space="preserve"> </w:t>
      </w:r>
      <w:r w:rsidR="00E94104" w:rsidRPr="00F248D6">
        <w:rPr>
          <w:i/>
          <w:sz w:val="22"/>
          <w:szCs w:val="22"/>
        </w:rPr>
        <w:t>June 2022</w:t>
      </w:r>
    </w:p>
    <w:p w14:paraId="7E445350" w14:textId="77777777" w:rsidR="0052392E" w:rsidRPr="00F248D6" w:rsidRDefault="0052392E" w:rsidP="0052392E">
      <w:pPr>
        <w:spacing w:before="0" w:after="0"/>
        <w:jc w:val="center"/>
        <w:rPr>
          <w:sz w:val="22"/>
          <w:szCs w:val="22"/>
        </w:rPr>
      </w:pPr>
    </w:p>
    <w:p w14:paraId="1E3D0CE4" w14:textId="4FFB4FC3" w:rsidR="00BE1BAD" w:rsidRPr="00F248D6" w:rsidRDefault="00BE1BAD" w:rsidP="004813C1">
      <w:pPr>
        <w:spacing w:before="0" w:after="0"/>
        <w:rPr>
          <w:sz w:val="22"/>
          <w:szCs w:val="22"/>
        </w:rPr>
      </w:pPr>
      <w:r w:rsidRPr="00F248D6">
        <w:rPr>
          <w:sz w:val="22"/>
          <w:szCs w:val="22"/>
        </w:rPr>
        <w:t xml:space="preserve">The </w:t>
      </w:r>
      <w:r w:rsidRPr="00F248D6">
        <w:rPr>
          <w:i/>
          <w:sz w:val="22"/>
          <w:szCs w:val="22"/>
        </w:rPr>
        <w:t>Therapeutic Goods Act 1989</w:t>
      </w:r>
      <w:r w:rsidRPr="00F248D6">
        <w:rPr>
          <w:sz w:val="22"/>
          <w:szCs w:val="22"/>
        </w:rPr>
        <w:t xml:space="preserve"> (“the Act”) provides for the establishment and maintenance of a national system of controls for the quality, safety, </w:t>
      </w:r>
      <w:proofErr w:type="gramStart"/>
      <w:r w:rsidRPr="00F248D6">
        <w:rPr>
          <w:sz w:val="22"/>
          <w:szCs w:val="22"/>
        </w:rPr>
        <w:t>efficacy</w:t>
      </w:r>
      <w:proofErr w:type="gramEnd"/>
      <w:r w:rsidRPr="00F248D6">
        <w:rPr>
          <w:sz w:val="22"/>
          <w:szCs w:val="22"/>
        </w:rPr>
        <w:t xml:space="preserve"> and timely availability of therapeutic goods that are used in, or exported from, Australia.</w:t>
      </w:r>
      <w:r w:rsidR="0052392E" w:rsidRPr="00F248D6">
        <w:rPr>
          <w:sz w:val="22"/>
          <w:szCs w:val="22"/>
        </w:rPr>
        <w:t xml:space="preserve"> </w:t>
      </w:r>
      <w:r w:rsidRPr="00F248D6">
        <w:rPr>
          <w:sz w:val="22"/>
          <w:szCs w:val="22"/>
        </w:rPr>
        <w:t>The Act also provides a framework for State and Territory governments to adopt a uniform approach to control the availability and accessibility, and to ensure the safe handling, of medicines and poisons in Australia. The Act is administered by the Therapeutic Goods Administration (“the TGA”)</w:t>
      </w:r>
      <w:r w:rsidR="00622BC3" w:rsidRPr="00F248D6">
        <w:rPr>
          <w:sz w:val="22"/>
          <w:szCs w:val="22"/>
        </w:rPr>
        <w:t xml:space="preserve"> </w:t>
      </w:r>
      <w:r w:rsidRPr="00F248D6">
        <w:rPr>
          <w:sz w:val="22"/>
          <w:szCs w:val="22"/>
        </w:rPr>
        <w:t>within the Australian Government Department of Health.</w:t>
      </w:r>
    </w:p>
    <w:p w14:paraId="27243ECD" w14:textId="77777777" w:rsidR="004813C1" w:rsidRPr="00F248D6" w:rsidRDefault="004813C1" w:rsidP="004813C1">
      <w:pPr>
        <w:autoSpaceDE w:val="0"/>
        <w:autoSpaceDN w:val="0"/>
        <w:adjustRightInd w:val="0"/>
        <w:spacing w:before="0" w:after="0"/>
        <w:rPr>
          <w:rFonts w:eastAsiaTheme="minorHAnsi"/>
          <w:color w:val="000000"/>
          <w:sz w:val="22"/>
          <w:szCs w:val="22"/>
          <w:lang w:val="en-AU"/>
        </w:rPr>
      </w:pPr>
    </w:p>
    <w:p w14:paraId="348A0C40" w14:textId="00D8FDB4" w:rsidR="00BE1BAD" w:rsidRPr="00F248D6" w:rsidRDefault="00BE1BAD" w:rsidP="004813C1">
      <w:pPr>
        <w:autoSpaceDE w:val="0"/>
        <w:autoSpaceDN w:val="0"/>
        <w:adjustRightInd w:val="0"/>
        <w:spacing w:before="0" w:after="0"/>
        <w:rPr>
          <w:rFonts w:eastAsiaTheme="minorHAnsi"/>
          <w:color w:val="000000"/>
          <w:sz w:val="22"/>
          <w:szCs w:val="22"/>
          <w:lang w:val="en-AU"/>
        </w:rPr>
      </w:pPr>
      <w:r w:rsidRPr="00F248D6">
        <w:rPr>
          <w:rFonts w:eastAsiaTheme="minorHAnsi"/>
          <w:color w:val="000000"/>
          <w:sz w:val="22"/>
          <w:szCs w:val="22"/>
          <w:lang w:val="en-AU"/>
        </w:rPr>
        <w:t>Part 6-3 of the Act (sections 52AA to 52EC) provides the basis for a uniform system of access controls for goods containing scheduled substances. The scheduling of substances allows restrictions to be placed on their supply to the public, in the interests of public health and safety. The scheduling of substances is aimed at minimising the risks of poisoning from, and the misuse or abuse of, scheduled substances.</w:t>
      </w:r>
    </w:p>
    <w:p w14:paraId="2F04BB8F" w14:textId="77777777" w:rsidR="004813C1" w:rsidRPr="00F248D6" w:rsidRDefault="004813C1" w:rsidP="004813C1">
      <w:pPr>
        <w:autoSpaceDE w:val="0"/>
        <w:autoSpaceDN w:val="0"/>
        <w:adjustRightInd w:val="0"/>
        <w:spacing w:before="0" w:after="0"/>
        <w:rPr>
          <w:rFonts w:eastAsiaTheme="minorHAnsi"/>
          <w:color w:val="000000"/>
          <w:sz w:val="22"/>
          <w:szCs w:val="22"/>
          <w:lang w:val="en-AU"/>
        </w:rPr>
      </w:pPr>
    </w:p>
    <w:p w14:paraId="639C1B4A" w14:textId="47324FFD" w:rsidR="00BE1BAD" w:rsidRPr="00F248D6" w:rsidRDefault="00BE1BAD" w:rsidP="004813C1">
      <w:pPr>
        <w:autoSpaceDE w:val="0"/>
        <w:autoSpaceDN w:val="0"/>
        <w:adjustRightInd w:val="0"/>
        <w:spacing w:before="0" w:after="0"/>
        <w:rPr>
          <w:rFonts w:eastAsiaTheme="minorHAnsi"/>
          <w:color w:val="000000"/>
          <w:sz w:val="22"/>
          <w:szCs w:val="22"/>
          <w:lang w:val="en-AU"/>
        </w:rPr>
      </w:pPr>
      <w:r w:rsidRPr="00F248D6">
        <w:rPr>
          <w:rFonts w:eastAsiaTheme="minorHAnsi"/>
          <w:color w:val="000000"/>
          <w:sz w:val="22"/>
          <w:szCs w:val="22"/>
          <w:lang w:val="en-AU"/>
        </w:rPr>
        <w:t>Subsection 52</w:t>
      </w:r>
      <w:proofErr w:type="gramStart"/>
      <w:r w:rsidRPr="00F248D6">
        <w:rPr>
          <w:rFonts w:eastAsiaTheme="minorHAnsi"/>
          <w:color w:val="000000"/>
          <w:sz w:val="22"/>
          <w:szCs w:val="22"/>
          <w:lang w:val="en-AU"/>
        </w:rPr>
        <w:t>D(</w:t>
      </w:r>
      <w:proofErr w:type="gramEnd"/>
      <w:r w:rsidRPr="00F248D6">
        <w:rPr>
          <w:rFonts w:eastAsiaTheme="minorHAnsi"/>
          <w:color w:val="000000"/>
          <w:sz w:val="22"/>
          <w:szCs w:val="22"/>
          <w:lang w:val="en-AU"/>
        </w:rPr>
        <w:t>2) of the Act empowers the Secretary to amend the current Poisons Standard or to prepare a document (“a new Poisons Standard”) that includes schedules containing the names or descriptions of substances, in substitution for the current Poisons Standard.</w:t>
      </w:r>
    </w:p>
    <w:p w14:paraId="76CFC484" w14:textId="77777777" w:rsidR="004813C1" w:rsidRPr="00F248D6" w:rsidRDefault="004813C1" w:rsidP="004813C1">
      <w:pPr>
        <w:autoSpaceDE w:val="0"/>
        <w:autoSpaceDN w:val="0"/>
        <w:adjustRightInd w:val="0"/>
        <w:spacing w:before="0" w:after="0"/>
        <w:rPr>
          <w:rFonts w:eastAsiaTheme="minorHAnsi"/>
          <w:color w:val="000000"/>
          <w:sz w:val="22"/>
          <w:szCs w:val="22"/>
          <w:lang w:val="en-AU"/>
        </w:rPr>
      </w:pPr>
    </w:p>
    <w:p w14:paraId="1BB2E59B" w14:textId="77777777" w:rsidR="00BE1BAD" w:rsidRPr="00F248D6" w:rsidRDefault="00BE1BAD" w:rsidP="004813C1">
      <w:pPr>
        <w:autoSpaceDE w:val="0"/>
        <w:autoSpaceDN w:val="0"/>
        <w:adjustRightInd w:val="0"/>
        <w:spacing w:before="0" w:after="0"/>
        <w:rPr>
          <w:rFonts w:eastAsiaTheme="minorHAnsi"/>
          <w:color w:val="000000"/>
          <w:sz w:val="22"/>
          <w:szCs w:val="22"/>
          <w:lang w:val="en-AU"/>
        </w:rPr>
      </w:pPr>
      <w:r w:rsidRPr="00F248D6">
        <w:rPr>
          <w:rFonts w:eastAsiaTheme="minorHAnsi"/>
          <w:color w:val="000000"/>
          <w:sz w:val="22"/>
          <w:szCs w:val="22"/>
          <w:lang w:val="en-AU"/>
        </w:rPr>
        <w:t>The Poisons Standard reflects decisions of the Secretary or a delegate of the Secretary regarding the classification of medicines and poisons into the different Schedules, signifying the degree of risk and the control recommended to be exercised over their availability to the public.</w:t>
      </w:r>
    </w:p>
    <w:p w14:paraId="391F2348" w14:textId="77777777" w:rsidR="004813C1" w:rsidRPr="00F248D6" w:rsidRDefault="004813C1" w:rsidP="004813C1">
      <w:pPr>
        <w:autoSpaceDE w:val="0"/>
        <w:autoSpaceDN w:val="0"/>
        <w:adjustRightInd w:val="0"/>
        <w:spacing w:before="0" w:after="0"/>
        <w:rPr>
          <w:rFonts w:eastAsiaTheme="minorHAnsi"/>
          <w:color w:val="000000"/>
          <w:sz w:val="22"/>
          <w:szCs w:val="22"/>
          <w:lang w:val="en-AU"/>
        </w:rPr>
      </w:pPr>
    </w:p>
    <w:p w14:paraId="7A994EEE" w14:textId="77777777" w:rsidR="00BE1BAD" w:rsidRPr="00F248D6" w:rsidRDefault="00BE1BAD" w:rsidP="004813C1">
      <w:pPr>
        <w:autoSpaceDE w:val="0"/>
        <w:autoSpaceDN w:val="0"/>
        <w:adjustRightInd w:val="0"/>
        <w:spacing w:before="0" w:after="0"/>
        <w:rPr>
          <w:rFonts w:eastAsiaTheme="minorHAnsi"/>
          <w:color w:val="000000"/>
          <w:sz w:val="22"/>
          <w:szCs w:val="22"/>
          <w:lang w:val="en-AU"/>
        </w:rPr>
      </w:pPr>
      <w:r w:rsidRPr="00F248D6">
        <w:rPr>
          <w:rFonts w:eastAsiaTheme="minorHAnsi"/>
          <w:color w:val="000000"/>
          <w:sz w:val="22"/>
          <w:szCs w:val="22"/>
          <w:lang w:val="en-AU"/>
        </w:rPr>
        <w:t>The Act establishes two expert advisory committees, the Advisory Committee on Medicines Scheduling (“ACMS”) (section 52B of the Act refers) and the Advisory Committee on Chemicals Scheduling (“ACCS”) (section 52C of the Act refers), which provide advice and make recommendations to the Secretary on matters relating to medicines and chemicals scheduling decisions.</w:t>
      </w:r>
    </w:p>
    <w:p w14:paraId="6675EF21" w14:textId="77777777" w:rsidR="004813C1" w:rsidRPr="00F248D6" w:rsidRDefault="004813C1" w:rsidP="004813C1">
      <w:pPr>
        <w:autoSpaceDE w:val="0"/>
        <w:autoSpaceDN w:val="0"/>
        <w:adjustRightInd w:val="0"/>
        <w:spacing w:before="0" w:after="0"/>
        <w:rPr>
          <w:rFonts w:eastAsiaTheme="minorHAnsi"/>
          <w:color w:val="000000"/>
          <w:sz w:val="22"/>
          <w:szCs w:val="22"/>
          <w:lang w:val="en-AU"/>
        </w:rPr>
      </w:pPr>
    </w:p>
    <w:p w14:paraId="5563A9C4" w14:textId="1F89921F" w:rsidR="00BE1BAD" w:rsidRPr="00F248D6" w:rsidRDefault="00BE1BAD" w:rsidP="004813C1">
      <w:pPr>
        <w:autoSpaceDE w:val="0"/>
        <w:autoSpaceDN w:val="0"/>
        <w:adjustRightInd w:val="0"/>
        <w:spacing w:before="0" w:after="0"/>
        <w:rPr>
          <w:rFonts w:eastAsiaTheme="minorHAnsi"/>
          <w:color w:val="000000"/>
          <w:sz w:val="22"/>
          <w:szCs w:val="22"/>
          <w:lang w:val="en-AU"/>
        </w:rPr>
      </w:pPr>
      <w:r w:rsidRPr="00F248D6">
        <w:rPr>
          <w:rFonts w:eastAsiaTheme="minorHAnsi"/>
          <w:color w:val="000000"/>
          <w:sz w:val="22"/>
          <w:szCs w:val="22"/>
          <w:lang w:val="en-AU"/>
        </w:rPr>
        <w:t xml:space="preserve">The Schedules contained in the Poisons Standard are </w:t>
      </w:r>
      <w:r w:rsidR="00DC0937" w:rsidRPr="00F248D6">
        <w:rPr>
          <w:rFonts w:eastAsiaTheme="minorHAnsi"/>
          <w:color w:val="000000"/>
          <w:sz w:val="22"/>
          <w:szCs w:val="22"/>
          <w:lang w:val="en-AU"/>
        </w:rPr>
        <w:t xml:space="preserve">incorporated by reference </w:t>
      </w:r>
      <w:r w:rsidRPr="00F248D6">
        <w:rPr>
          <w:rFonts w:eastAsiaTheme="minorHAnsi"/>
          <w:color w:val="000000"/>
          <w:sz w:val="22"/>
          <w:szCs w:val="22"/>
          <w:lang w:val="en-AU"/>
        </w:rPr>
        <w:t>under State and Territory legislation for regulatory purposes. This enables restrictions to be placed on the supply of scheduled substances to the public, according to the degree of risk associated with the substances and the level of control recommended over their availability, in the interest of public health and safety.</w:t>
      </w:r>
    </w:p>
    <w:p w14:paraId="6B74A9CE" w14:textId="77777777" w:rsidR="004813C1" w:rsidRPr="00F248D6" w:rsidRDefault="004813C1" w:rsidP="004813C1">
      <w:pPr>
        <w:autoSpaceDE w:val="0"/>
        <w:autoSpaceDN w:val="0"/>
        <w:adjustRightInd w:val="0"/>
        <w:spacing w:before="0" w:after="0"/>
        <w:rPr>
          <w:rFonts w:eastAsiaTheme="minorHAnsi"/>
          <w:color w:val="000000"/>
          <w:sz w:val="22"/>
          <w:szCs w:val="22"/>
          <w:lang w:val="en-AU"/>
        </w:rPr>
      </w:pPr>
    </w:p>
    <w:p w14:paraId="75A3295C" w14:textId="49617B26" w:rsidR="00BE1BAD" w:rsidRPr="00F248D6" w:rsidRDefault="00DC0937" w:rsidP="004813C1">
      <w:pPr>
        <w:autoSpaceDE w:val="0"/>
        <w:autoSpaceDN w:val="0"/>
        <w:adjustRightInd w:val="0"/>
        <w:spacing w:before="0" w:after="0"/>
        <w:rPr>
          <w:rFonts w:eastAsiaTheme="minorHAnsi"/>
          <w:color w:val="000000"/>
          <w:sz w:val="22"/>
          <w:szCs w:val="22"/>
          <w:lang w:val="en-AU"/>
        </w:rPr>
      </w:pPr>
      <w:r w:rsidRPr="00F248D6">
        <w:rPr>
          <w:rFonts w:eastAsiaTheme="minorHAnsi"/>
          <w:color w:val="000000"/>
          <w:sz w:val="22"/>
          <w:szCs w:val="22"/>
          <w:lang w:val="en-AU"/>
        </w:rPr>
        <w:t>Similarly, t</w:t>
      </w:r>
      <w:r w:rsidR="00BE1BAD" w:rsidRPr="00F248D6">
        <w:rPr>
          <w:rFonts w:eastAsiaTheme="minorHAnsi"/>
          <w:color w:val="000000"/>
          <w:sz w:val="22"/>
          <w:szCs w:val="22"/>
          <w:lang w:val="en-AU"/>
        </w:rPr>
        <w:t xml:space="preserve">he Commonwealth </w:t>
      </w:r>
      <w:proofErr w:type="gramStart"/>
      <w:r w:rsidR="00BE1BAD" w:rsidRPr="00F248D6">
        <w:rPr>
          <w:rFonts w:eastAsiaTheme="minorHAnsi"/>
          <w:color w:val="000000"/>
          <w:sz w:val="22"/>
          <w:szCs w:val="22"/>
          <w:lang w:val="en-AU"/>
        </w:rPr>
        <w:t>takes into account</w:t>
      </w:r>
      <w:proofErr w:type="gramEnd"/>
      <w:r w:rsidR="00BE1BAD" w:rsidRPr="00F248D6">
        <w:rPr>
          <w:rFonts w:eastAsiaTheme="minorHAnsi"/>
          <w:color w:val="000000"/>
          <w:sz w:val="22"/>
          <w:szCs w:val="22"/>
          <w:lang w:val="en-AU"/>
        </w:rPr>
        <w:t xml:space="preserve"> the scheduling and classification of substances in the Poisons Standard for regulatory and enforcement purposes under the Act. For example, the Act prohibits the publication or broadcasting of advertisements to consumers about prescription medicines containing substances included in Schedule 4 or Schedule 8 to the Poisons Standard, or over-the-counter medicines containing substances included in Schedule 3 and not included in Appendix H of the Poisons Standard. The advertising of substances included in Schedule 9 or Schedule 10 </w:t>
      </w:r>
      <w:r w:rsidR="00CF2FA8" w:rsidRPr="00F248D6">
        <w:rPr>
          <w:rFonts w:eastAsiaTheme="minorHAnsi"/>
          <w:color w:val="000000"/>
          <w:sz w:val="22"/>
          <w:szCs w:val="22"/>
          <w:lang w:val="en-AU"/>
        </w:rPr>
        <w:t xml:space="preserve">to </w:t>
      </w:r>
      <w:r w:rsidR="00BE1BAD" w:rsidRPr="00F248D6">
        <w:rPr>
          <w:rFonts w:eastAsiaTheme="minorHAnsi"/>
          <w:color w:val="000000"/>
          <w:sz w:val="22"/>
          <w:szCs w:val="22"/>
          <w:lang w:val="en-AU"/>
        </w:rPr>
        <w:t>the Poisons Standard is also prohibited.</w:t>
      </w:r>
    </w:p>
    <w:p w14:paraId="0F76B36C" w14:textId="77777777" w:rsidR="004813C1" w:rsidRPr="00F248D6" w:rsidRDefault="004813C1" w:rsidP="004813C1">
      <w:pPr>
        <w:autoSpaceDE w:val="0"/>
        <w:autoSpaceDN w:val="0"/>
        <w:adjustRightInd w:val="0"/>
        <w:spacing w:before="0" w:after="0"/>
        <w:rPr>
          <w:rFonts w:eastAsiaTheme="minorHAnsi"/>
          <w:color w:val="000000"/>
          <w:sz w:val="22"/>
          <w:szCs w:val="22"/>
          <w:lang w:val="en-AU"/>
        </w:rPr>
      </w:pPr>
    </w:p>
    <w:p w14:paraId="57CDF998" w14:textId="3BBE2B0F" w:rsidR="00BE1BAD" w:rsidRPr="00F248D6" w:rsidRDefault="00BE1BAD" w:rsidP="0052392E">
      <w:pPr>
        <w:keepLines/>
        <w:autoSpaceDE w:val="0"/>
        <w:autoSpaceDN w:val="0"/>
        <w:adjustRightInd w:val="0"/>
        <w:spacing w:before="0" w:after="0"/>
        <w:rPr>
          <w:rFonts w:eastAsiaTheme="minorHAnsi"/>
          <w:color w:val="000000"/>
          <w:sz w:val="22"/>
          <w:szCs w:val="22"/>
          <w:lang w:val="en-AU"/>
        </w:rPr>
      </w:pPr>
      <w:r w:rsidRPr="00F248D6">
        <w:rPr>
          <w:rFonts w:eastAsiaTheme="minorHAnsi"/>
          <w:color w:val="000000"/>
          <w:sz w:val="22"/>
          <w:szCs w:val="22"/>
          <w:lang w:val="en-AU"/>
        </w:rPr>
        <w:lastRenderedPageBreak/>
        <w:t>The Scheduling Policy Framework (“the SPF”) provides guidance on whether a decision concerning the scheduling of substances under the Poisons Standard would benefit from being referred to ACMS or ACCS for advice. A copy of the SPF can be found at</w:t>
      </w:r>
      <w:r w:rsidR="00B041B3" w:rsidRPr="00F248D6">
        <w:rPr>
          <w:rFonts w:eastAsiaTheme="minorHAnsi"/>
          <w:color w:val="000000"/>
          <w:sz w:val="22"/>
          <w:szCs w:val="22"/>
          <w:lang w:val="en-AU"/>
        </w:rPr>
        <w:t>:</w:t>
      </w:r>
      <w:r w:rsidRPr="00F248D6">
        <w:rPr>
          <w:rFonts w:eastAsiaTheme="minorHAnsi"/>
          <w:color w:val="000000"/>
          <w:sz w:val="22"/>
          <w:szCs w:val="22"/>
          <w:lang w:val="en-AU"/>
        </w:rPr>
        <w:t xml:space="preserve"> </w:t>
      </w:r>
      <w:r w:rsidR="004329E0" w:rsidRPr="00F248D6">
        <w:rPr>
          <w:rFonts w:eastAsiaTheme="minorHAnsi"/>
          <w:sz w:val="22"/>
          <w:szCs w:val="22"/>
          <w:lang w:val="en-AU"/>
        </w:rPr>
        <w:t>https://www.tga.gov.au/publication/ahmac-scheduling-policy-framework-medicines-and-chemicals</w:t>
      </w:r>
      <w:r w:rsidRPr="00F248D6">
        <w:rPr>
          <w:rFonts w:eastAsiaTheme="minorHAnsi"/>
          <w:color w:val="000000"/>
          <w:sz w:val="22"/>
          <w:szCs w:val="22"/>
          <w:lang w:val="en-AU"/>
        </w:rPr>
        <w:t>.</w:t>
      </w:r>
    </w:p>
    <w:p w14:paraId="13ED2160" w14:textId="77777777" w:rsidR="004813C1" w:rsidRPr="00F248D6" w:rsidRDefault="004813C1" w:rsidP="004813C1">
      <w:pPr>
        <w:autoSpaceDE w:val="0"/>
        <w:autoSpaceDN w:val="0"/>
        <w:adjustRightInd w:val="0"/>
        <w:spacing w:before="0" w:after="0"/>
        <w:rPr>
          <w:rFonts w:eastAsiaTheme="minorHAnsi"/>
          <w:color w:val="000000"/>
          <w:sz w:val="22"/>
          <w:szCs w:val="22"/>
          <w:lang w:val="en-AU"/>
        </w:rPr>
      </w:pPr>
    </w:p>
    <w:p w14:paraId="630262A9" w14:textId="36E1973A" w:rsidR="0065490C" w:rsidRPr="00F248D6" w:rsidRDefault="003F6727" w:rsidP="0006454C">
      <w:pPr>
        <w:autoSpaceDE w:val="0"/>
        <w:autoSpaceDN w:val="0"/>
        <w:adjustRightInd w:val="0"/>
        <w:spacing w:before="0" w:after="0"/>
        <w:rPr>
          <w:rFonts w:eastAsiaTheme="minorHAnsi"/>
          <w:sz w:val="22"/>
          <w:szCs w:val="22"/>
          <w:lang w:val="en-AU"/>
        </w:rPr>
      </w:pPr>
      <w:r w:rsidRPr="00F248D6">
        <w:rPr>
          <w:rFonts w:eastAsiaTheme="minorHAnsi"/>
          <w:color w:val="000000"/>
          <w:sz w:val="22"/>
          <w:szCs w:val="22"/>
          <w:lang w:val="en-AU"/>
        </w:rPr>
        <w:t xml:space="preserve">The purpose of this instrument is to make a new Poisons Standard, the </w:t>
      </w:r>
      <w:r w:rsidRPr="00F248D6">
        <w:rPr>
          <w:rFonts w:eastAsiaTheme="minorHAnsi"/>
          <w:i/>
          <w:color w:val="000000"/>
          <w:sz w:val="22"/>
          <w:szCs w:val="22"/>
          <w:lang w:val="en-AU"/>
        </w:rPr>
        <w:t xml:space="preserve">Poisons Standard </w:t>
      </w:r>
      <w:r w:rsidR="00E94104" w:rsidRPr="00F248D6">
        <w:rPr>
          <w:rFonts w:eastAsiaTheme="minorHAnsi"/>
          <w:i/>
          <w:color w:val="000000"/>
          <w:sz w:val="22"/>
          <w:szCs w:val="22"/>
          <w:lang w:val="en-AU"/>
        </w:rPr>
        <w:t>June</w:t>
      </w:r>
      <w:r w:rsidR="009A3F38" w:rsidRPr="00F248D6">
        <w:rPr>
          <w:rFonts w:eastAsiaTheme="minorHAnsi"/>
          <w:i/>
          <w:color w:val="000000"/>
          <w:sz w:val="22"/>
          <w:szCs w:val="22"/>
          <w:lang w:val="en-AU"/>
        </w:rPr>
        <w:t xml:space="preserve"> </w:t>
      </w:r>
      <w:r w:rsidRPr="00F248D6">
        <w:rPr>
          <w:rFonts w:eastAsiaTheme="minorHAnsi"/>
          <w:i/>
          <w:color w:val="000000"/>
          <w:sz w:val="22"/>
          <w:szCs w:val="22"/>
          <w:lang w:val="en-AU"/>
        </w:rPr>
        <w:t>202</w:t>
      </w:r>
      <w:r w:rsidR="007601B2" w:rsidRPr="00F248D6">
        <w:rPr>
          <w:rFonts w:eastAsiaTheme="minorHAnsi"/>
          <w:i/>
          <w:color w:val="000000"/>
          <w:sz w:val="22"/>
          <w:szCs w:val="22"/>
          <w:lang w:val="en-AU"/>
        </w:rPr>
        <w:t>2</w:t>
      </w:r>
      <w:r w:rsidRPr="00F248D6">
        <w:rPr>
          <w:rFonts w:eastAsiaTheme="minorHAnsi"/>
          <w:color w:val="000000"/>
          <w:sz w:val="22"/>
          <w:szCs w:val="22"/>
          <w:lang w:val="en-AU"/>
        </w:rPr>
        <w:t xml:space="preserve">, in substitution for the previous Poisons Standard, the </w:t>
      </w:r>
      <w:r w:rsidRPr="00F248D6">
        <w:rPr>
          <w:rFonts w:eastAsiaTheme="minorHAnsi"/>
          <w:i/>
          <w:color w:val="000000"/>
          <w:sz w:val="22"/>
          <w:szCs w:val="22"/>
          <w:lang w:val="en-AU"/>
        </w:rPr>
        <w:t xml:space="preserve">Poisons Standard </w:t>
      </w:r>
      <w:r w:rsidR="00E94104" w:rsidRPr="00F248D6">
        <w:rPr>
          <w:rFonts w:eastAsiaTheme="minorHAnsi"/>
          <w:i/>
          <w:color w:val="000000"/>
          <w:sz w:val="22"/>
          <w:szCs w:val="22"/>
          <w:lang w:val="en-AU"/>
        </w:rPr>
        <w:t>February</w:t>
      </w:r>
      <w:r w:rsidR="007319B6" w:rsidRPr="00F248D6">
        <w:rPr>
          <w:rFonts w:eastAsiaTheme="minorHAnsi"/>
          <w:i/>
          <w:color w:val="000000"/>
          <w:sz w:val="22"/>
          <w:szCs w:val="22"/>
          <w:lang w:val="en-AU"/>
        </w:rPr>
        <w:t xml:space="preserve"> 202</w:t>
      </w:r>
      <w:r w:rsidR="00E94104" w:rsidRPr="00F248D6">
        <w:rPr>
          <w:rFonts w:eastAsiaTheme="minorHAnsi"/>
          <w:i/>
          <w:color w:val="000000"/>
          <w:sz w:val="22"/>
          <w:szCs w:val="22"/>
          <w:lang w:val="en-AU"/>
        </w:rPr>
        <w:t>2</w:t>
      </w:r>
      <w:r w:rsidR="00D62A78" w:rsidRPr="00F248D6">
        <w:rPr>
          <w:rFonts w:eastAsiaTheme="minorHAnsi"/>
          <w:color w:val="000000"/>
          <w:sz w:val="22"/>
          <w:szCs w:val="22"/>
          <w:lang w:val="en-AU"/>
        </w:rPr>
        <w:t>.</w:t>
      </w:r>
      <w:r w:rsidR="00B3433A" w:rsidRPr="00F248D6">
        <w:rPr>
          <w:rFonts w:eastAsiaTheme="minorHAnsi"/>
          <w:i/>
          <w:color w:val="000000"/>
          <w:sz w:val="22"/>
          <w:szCs w:val="22"/>
          <w:lang w:val="en-AU"/>
        </w:rPr>
        <w:t xml:space="preserve"> </w:t>
      </w:r>
      <w:r w:rsidR="000104DC" w:rsidRPr="00F248D6">
        <w:rPr>
          <w:rFonts w:eastAsiaTheme="minorHAnsi"/>
          <w:sz w:val="22"/>
          <w:szCs w:val="22"/>
          <w:lang w:val="en-AU"/>
        </w:rPr>
        <w:t xml:space="preserve">The </w:t>
      </w:r>
      <w:r w:rsidR="000104DC" w:rsidRPr="00F248D6">
        <w:rPr>
          <w:rFonts w:eastAsiaTheme="minorHAnsi"/>
          <w:i/>
          <w:sz w:val="22"/>
          <w:szCs w:val="22"/>
          <w:lang w:val="en-AU"/>
        </w:rPr>
        <w:t xml:space="preserve">Poisons Standard </w:t>
      </w:r>
      <w:r w:rsidR="00E94104" w:rsidRPr="00F248D6">
        <w:rPr>
          <w:rFonts w:eastAsiaTheme="minorHAnsi"/>
          <w:i/>
          <w:sz w:val="22"/>
          <w:szCs w:val="22"/>
          <w:lang w:val="en-AU"/>
        </w:rPr>
        <w:t>June</w:t>
      </w:r>
      <w:r w:rsidR="000B1021" w:rsidRPr="00F248D6">
        <w:rPr>
          <w:rFonts w:eastAsiaTheme="minorHAnsi"/>
          <w:i/>
          <w:sz w:val="22"/>
          <w:szCs w:val="22"/>
          <w:lang w:val="en-AU"/>
        </w:rPr>
        <w:t xml:space="preserve"> </w:t>
      </w:r>
      <w:r w:rsidR="000104DC" w:rsidRPr="00F248D6">
        <w:rPr>
          <w:rFonts w:eastAsiaTheme="minorHAnsi"/>
          <w:i/>
          <w:sz w:val="22"/>
          <w:szCs w:val="22"/>
          <w:lang w:val="en-AU"/>
        </w:rPr>
        <w:t>202</w:t>
      </w:r>
      <w:r w:rsidR="007601B2" w:rsidRPr="00F248D6">
        <w:rPr>
          <w:rFonts w:eastAsiaTheme="minorHAnsi"/>
          <w:i/>
          <w:sz w:val="22"/>
          <w:szCs w:val="22"/>
          <w:lang w:val="en-AU"/>
        </w:rPr>
        <w:t>2</w:t>
      </w:r>
      <w:r w:rsidR="000104DC" w:rsidRPr="00F248D6">
        <w:rPr>
          <w:rFonts w:eastAsiaTheme="minorHAnsi"/>
          <w:sz w:val="22"/>
          <w:szCs w:val="22"/>
          <w:lang w:val="en-AU"/>
        </w:rPr>
        <w:t xml:space="preserve"> </w:t>
      </w:r>
      <w:r w:rsidR="00D62A78" w:rsidRPr="00F248D6">
        <w:rPr>
          <w:rFonts w:eastAsiaTheme="minorHAnsi"/>
          <w:sz w:val="22"/>
          <w:szCs w:val="22"/>
          <w:lang w:val="en-AU"/>
        </w:rPr>
        <w:t>repeals and replaces</w:t>
      </w:r>
      <w:r w:rsidR="000104DC" w:rsidRPr="00F248D6">
        <w:rPr>
          <w:rFonts w:eastAsiaTheme="minorHAnsi"/>
          <w:sz w:val="22"/>
          <w:szCs w:val="22"/>
          <w:lang w:val="en-AU"/>
        </w:rPr>
        <w:t xml:space="preserve"> the </w:t>
      </w:r>
      <w:r w:rsidR="000104DC" w:rsidRPr="00F248D6">
        <w:rPr>
          <w:rFonts w:eastAsiaTheme="minorHAnsi"/>
          <w:i/>
          <w:sz w:val="22"/>
          <w:szCs w:val="22"/>
          <w:lang w:val="en-AU"/>
        </w:rPr>
        <w:t xml:space="preserve">Poisons Standard </w:t>
      </w:r>
      <w:r w:rsidR="00E94104" w:rsidRPr="00F248D6">
        <w:rPr>
          <w:rFonts w:eastAsiaTheme="minorHAnsi"/>
          <w:i/>
          <w:sz w:val="22"/>
          <w:szCs w:val="22"/>
          <w:lang w:val="en-AU"/>
        </w:rPr>
        <w:t>February</w:t>
      </w:r>
      <w:r w:rsidR="00C87FE7" w:rsidRPr="00F248D6">
        <w:rPr>
          <w:rFonts w:eastAsiaTheme="minorHAnsi"/>
          <w:i/>
          <w:sz w:val="22"/>
          <w:szCs w:val="22"/>
          <w:lang w:val="en-AU"/>
        </w:rPr>
        <w:t xml:space="preserve"> </w:t>
      </w:r>
      <w:r w:rsidR="007319B6" w:rsidRPr="00F248D6">
        <w:rPr>
          <w:rFonts w:eastAsiaTheme="minorHAnsi"/>
          <w:i/>
          <w:sz w:val="22"/>
          <w:szCs w:val="22"/>
          <w:lang w:val="en-AU"/>
        </w:rPr>
        <w:t>202</w:t>
      </w:r>
      <w:r w:rsidR="00E94104" w:rsidRPr="00F248D6">
        <w:rPr>
          <w:rFonts w:eastAsiaTheme="minorHAnsi"/>
          <w:i/>
          <w:sz w:val="22"/>
          <w:szCs w:val="22"/>
          <w:lang w:val="en-AU"/>
        </w:rPr>
        <w:t>2</w:t>
      </w:r>
      <w:r w:rsidR="00DC0937" w:rsidRPr="00F248D6">
        <w:rPr>
          <w:rFonts w:eastAsiaTheme="minorHAnsi"/>
          <w:sz w:val="22"/>
          <w:szCs w:val="22"/>
          <w:lang w:val="en-AU"/>
        </w:rPr>
        <w:t>,</w:t>
      </w:r>
      <w:r w:rsidR="00D62A78" w:rsidRPr="00F248D6">
        <w:rPr>
          <w:rFonts w:eastAsiaTheme="minorHAnsi"/>
          <w:sz w:val="22"/>
          <w:szCs w:val="22"/>
          <w:lang w:val="en-AU"/>
        </w:rPr>
        <w:t xml:space="preserve"> </w:t>
      </w:r>
      <w:r w:rsidR="00861D2B" w:rsidRPr="00F248D6">
        <w:rPr>
          <w:rFonts w:eastAsiaTheme="minorHAnsi"/>
          <w:sz w:val="22"/>
          <w:szCs w:val="22"/>
          <w:lang w:val="en-AU"/>
        </w:rPr>
        <w:t xml:space="preserve">principally </w:t>
      </w:r>
      <w:r w:rsidR="00D62A78" w:rsidRPr="00F248D6">
        <w:rPr>
          <w:rFonts w:eastAsiaTheme="minorHAnsi"/>
          <w:sz w:val="22"/>
          <w:szCs w:val="22"/>
          <w:lang w:val="en-AU"/>
        </w:rPr>
        <w:t xml:space="preserve">to incorporate </w:t>
      </w:r>
      <w:proofErr w:type="gramStart"/>
      <w:r w:rsidR="00D62A78" w:rsidRPr="00F248D6">
        <w:rPr>
          <w:rFonts w:eastAsiaTheme="minorHAnsi"/>
          <w:sz w:val="22"/>
          <w:szCs w:val="22"/>
          <w:lang w:val="en-AU"/>
        </w:rPr>
        <w:t>a number of</w:t>
      </w:r>
      <w:proofErr w:type="gramEnd"/>
      <w:r w:rsidR="00D62A78" w:rsidRPr="00F248D6">
        <w:rPr>
          <w:rFonts w:eastAsiaTheme="minorHAnsi"/>
          <w:sz w:val="22"/>
          <w:szCs w:val="22"/>
          <w:lang w:val="en-AU"/>
        </w:rPr>
        <w:t xml:space="preserve"> </w:t>
      </w:r>
      <w:r w:rsidR="00861D2B" w:rsidRPr="00F248D6">
        <w:rPr>
          <w:rFonts w:eastAsiaTheme="minorHAnsi"/>
          <w:sz w:val="22"/>
          <w:szCs w:val="22"/>
          <w:lang w:val="en-AU"/>
        </w:rPr>
        <w:t>changes to existing entries</w:t>
      </w:r>
      <w:r w:rsidR="00D62A78" w:rsidRPr="00F248D6">
        <w:rPr>
          <w:rFonts w:eastAsiaTheme="minorHAnsi"/>
          <w:sz w:val="22"/>
          <w:szCs w:val="22"/>
          <w:lang w:val="en-AU"/>
        </w:rPr>
        <w:t>,</w:t>
      </w:r>
      <w:r w:rsidR="00861D2B" w:rsidRPr="00F248D6">
        <w:rPr>
          <w:rFonts w:eastAsiaTheme="minorHAnsi"/>
          <w:sz w:val="22"/>
          <w:szCs w:val="22"/>
          <w:lang w:val="en-AU"/>
        </w:rPr>
        <w:t xml:space="preserve"> and </w:t>
      </w:r>
      <w:r w:rsidR="00D62A78" w:rsidRPr="00F248D6">
        <w:rPr>
          <w:rFonts w:eastAsiaTheme="minorHAnsi"/>
          <w:sz w:val="22"/>
          <w:szCs w:val="22"/>
          <w:lang w:val="en-AU"/>
        </w:rPr>
        <w:t xml:space="preserve">to include </w:t>
      </w:r>
      <w:r w:rsidR="00861D2B" w:rsidRPr="00F248D6">
        <w:rPr>
          <w:rFonts w:eastAsiaTheme="minorHAnsi"/>
          <w:sz w:val="22"/>
          <w:szCs w:val="22"/>
          <w:lang w:val="en-AU"/>
        </w:rPr>
        <w:t xml:space="preserve">a number of specified substances in the Poisons Standard for the first </w:t>
      </w:r>
      <w:r w:rsidR="009C1EA0" w:rsidRPr="00F248D6">
        <w:rPr>
          <w:rFonts w:eastAsiaTheme="minorHAnsi"/>
          <w:sz w:val="22"/>
          <w:szCs w:val="22"/>
          <w:lang w:val="en-AU"/>
        </w:rPr>
        <w:t>time. A</w:t>
      </w:r>
      <w:r w:rsidR="004176FC" w:rsidRPr="00F248D6">
        <w:rPr>
          <w:rFonts w:eastAsiaTheme="minorHAnsi"/>
          <w:sz w:val="22"/>
          <w:szCs w:val="22"/>
          <w:lang w:val="en-AU"/>
        </w:rPr>
        <w:t xml:space="preserve"> number of these changes were made following the provision of advice from the ACCS or the ACMS, in accordance with the procedures set out in Subdivision 3D.2 of Part 6 of the </w:t>
      </w:r>
      <w:r w:rsidR="004176FC" w:rsidRPr="00F248D6">
        <w:rPr>
          <w:rFonts w:eastAsiaTheme="minorHAnsi"/>
          <w:i/>
          <w:sz w:val="22"/>
          <w:szCs w:val="22"/>
          <w:lang w:val="en-AU"/>
        </w:rPr>
        <w:t>Therapeutic Goods Regulations 1990</w:t>
      </w:r>
      <w:r w:rsidR="004176FC" w:rsidRPr="00F248D6">
        <w:rPr>
          <w:rFonts w:eastAsiaTheme="minorHAnsi"/>
          <w:sz w:val="22"/>
          <w:szCs w:val="22"/>
          <w:lang w:val="en-AU"/>
        </w:rPr>
        <w:t xml:space="preserve"> for amending the Poisons Standard when a proposed amendment is referred to an expert advisory committee.</w:t>
      </w:r>
    </w:p>
    <w:p w14:paraId="7DC18BAE" w14:textId="5023845C" w:rsidR="007319B6" w:rsidRPr="00F248D6" w:rsidRDefault="00D71A4F" w:rsidP="00A3074B">
      <w:pPr>
        <w:rPr>
          <w:rFonts w:eastAsiaTheme="minorHAnsi"/>
          <w:sz w:val="22"/>
          <w:szCs w:val="22"/>
          <w:lang w:val="en-AU"/>
        </w:rPr>
      </w:pPr>
      <w:r w:rsidRPr="00F248D6">
        <w:rPr>
          <w:rFonts w:eastAsiaTheme="minorHAnsi"/>
          <w:sz w:val="22"/>
          <w:szCs w:val="22"/>
          <w:lang w:val="en-AU"/>
        </w:rPr>
        <w:t xml:space="preserve">Public comment was invited in relation to the proposed amendments that were </w:t>
      </w:r>
      <w:r w:rsidR="00957A23" w:rsidRPr="00F248D6">
        <w:rPr>
          <w:rFonts w:eastAsiaTheme="minorHAnsi"/>
          <w:sz w:val="22"/>
          <w:szCs w:val="22"/>
          <w:lang w:val="en-AU"/>
        </w:rPr>
        <w:t xml:space="preserve">referred to the </w:t>
      </w:r>
      <w:r w:rsidR="008D3DA2" w:rsidRPr="00F248D6">
        <w:rPr>
          <w:rFonts w:eastAsiaTheme="minorHAnsi"/>
          <w:sz w:val="22"/>
          <w:szCs w:val="22"/>
          <w:lang w:val="en-AU"/>
        </w:rPr>
        <w:t>June</w:t>
      </w:r>
      <w:r w:rsidR="00AB5748" w:rsidRPr="00F248D6">
        <w:rPr>
          <w:rFonts w:eastAsiaTheme="minorHAnsi"/>
          <w:sz w:val="22"/>
          <w:szCs w:val="22"/>
          <w:lang w:val="en-AU"/>
        </w:rPr>
        <w:t xml:space="preserve"> 202</w:t>
      </w:r>
      <w:r w:rsidR="008D3DA2" w:rsidRPr="00F248D6">
        <w:rPr>
          <w:rFonts w:eastAsiaTheme="minorHAnsi"/>
          <w:sz w:val="22"/>
          <w:szCs w:val="22"/>
          <w:lang w:val="en-AU"/>
        </w:rPr>
        <w:t>1</w:t>
      </w:r>
      <w:r w:rsidR="00AB5748" w:rsidRPr="00F248D6">
        <w:rPr>
          <w:rFonts w:eastAsiaTheme="minorHAnsi"/>
          <w:sz w:val="22"/>
          <w:szCs w:val="22"/>
          <w:lang w:val="en-AU"/>
        </w:rPr>
        <w:t xml:space="preserve"> AC</w:t>
      </w:r>
      <w:r w:rsidR="00AC799E" w:rsidRPr="00F248D6">
        <w:rPr>
          <w:rFonts w:eastAsiaTheme="minorHAnsi"/>
          <w:sz w:val="22"/>
          <w:szCs w:val="22"/>
          <w:lang w:val="en-AU"/>
        </w:rPr>
        <w:t>C</w:t>
      </w:r>
      <w:r w:rsidR="00AB5748" w:rsidRPr="00F248D6">
        <w:rPr>
          <w:rFonts w:eastAsiaTheme="minorHAnsi"/>
          <w:sz w:val="22"/>
          <w:szCs w:val="22"/>
          <w:lang w:val="en-AU"/>
        </w:rPr>
        <w:t>S</w:t>
      </w:r>
      <w:r w:rsidR="00E94104" w:rsidRPr="00F248D6">
        <w:rPr>
          <w:rFonts w:eastAsiaTheme="minorHAnsi"/>
          <w:sz w:val="22"/>
          <w:szCs w:val="22"/>
          <w:lang w:val="en-AU"/>
        </w:rPr>
        <w:t xml:space="preserve"> and </w:t>
      </w:r>
      <w:r w:rsidR="007319B6" w:rsidRPr="00F248D6">
        <w:rPr>
          <w:rFonts w:eastAsiaTheme="minorHAnsi"/>
          <w:sz w:val="22"/>
          <w:szCs w:val="22"/>
          <w:lang w:val="en-AU"/>
        </w:rPr>
        <w:t>Joint ACMS-ACCS</w:t>
      </w:r>
      <w:r w:rsidR="008D3DA2" w:rsidRPr="00F248D6">
        <w:rPr>
          <w:rFonts w:eastAsiaTheme="minorHAnsi"/>
          <w:sz w:val="22"/>
          <w:szCs w:val="22"/>
          <w:lang w:val="en-AU"/>
        </w:rPr>
        <w:t xml:space="preserve"> </w:t>
      </w:r>
      <w:r w:rsidR="00AB5748" w:rsidRPr="00F248D6">
        <w:rPr>
          <w:rFonts w:eastAsiaTheme="minorHAnsi"/>
          <w:sz w:val="22"/>
          <w:szCs w:val="22"/>
          <w:lang w:val="en-AU"/>
        </w:rPr>
        <w:t>meetings</w:t>
      </w:r>
      <w:r w:rsidR="009772DA" w:rsidRPr="00F248D6">
        <w:rPr>
          <w:rFonts w:eastAsiaTheme="minorHAnsi"/>
          <w:sz w:val="22"/>
          <w:szCs w:val="22"/>
          <w:lang w:val="en-AU"/>
        </w:rPr>
        <w:t>,</w:t>
      </w:r>
      <w:r w:rsidR="009955B3" w:rsidRPr="00F248D6">
        <w:rPr>
          <w:rFonts w:eastAsiaTheme="minorHAnsi"/>
          <w:sz w:val="22"/>
          <w:szCs w:val="22"/>
          <w:lang w:val="en-AU"/>
        </w:rPr>
        <w:t xml:space="preserve"> and </w:t>
      </w:r>
      <w:r w:rsidR="009772DA" w:rsidRPr="00F248D6">
        <w:rPr>
          <w:rFonts w:eastAsiaTheme="minorHAnsi"/>
          <w:sz w:val="22"/>
          <w:szCs w:val="22"/>
          <w:lang w:val="en-AU"/>
        </w:rPr>
        <w:t xml:space="preserve">the </w:t>
      </w:r>
      <w:r w:rsidR="009955B3" w:rsidRPr="00F248D6">
        <w:rPr>
          <w:rFonts w:eastAsiaTheme="minorHAnsi"/>
          <w:sz w:val="22"/>
          <w:szCs w:val="22"/>
          <w:lang w:val="en-AU"/>
        </w:rPr>
        <w:t>November 2021 ACMS and Joint ACMS-ACCS meetings</w:t>
      </w:r>
      <w:r w:rsidR="007319B6" w:rsidRPr="00F248D6">
        <w:rPr>
          <w:rFonts w:eastAsiaTheme="minorHAnsi"/>
          <w:sz w:val="22"/>
          <w:szCs w:val="22"/>
          <w:lang w:val="en-AU"/>
        </w:rPr>
        <w:t>, as follows:</w:t>
      </w:r>
    </w:p>
    <w:p w14:paraId="558DD1A4" w14:textId="09198752" w:rsidR="007319B6" w:rsidRPr="00F248D6" w:rsidRDefault="00473EA2" w:rsidP="00333056">
      <w:pPr>
        <w:pStyle w:val="ListParagraph"/>
        <w:rPr>
          <w:sz w:val="22"/>
          <w:szCs w:val="22"/>
        </w:rPr>
      </w:pPr>
      <w:r w:rsidRPr="00F248D6">
        <w:rPr>
          <w:sz w:val="22"/>
          <w:szCs w:val="22"/>
        </w:rPr>
        <w:t>an invitation to comment in relation to</w:t>
      </w:r>
      <w:r w:rsidRPr="00F248D6">
        <w:t xml:space="preserve"> </w:t>
      </w:r>
      <w:r w:rsidR="002176A8" w:rsidRPr="00F248D6">
        <w:rPr>
          <w:sz w:val="22"/>
          <w:szCs w:val="22"/>
        </w:rPr>
        <w:t>lead acetates</w:t>
      </w:r>
      <w:r w:rsidR="00FC6700" w:rsidRPr="00F248D6">
        <w:rPr>
          <w:sz w:val="22"/>
          <w:szCs w:val="22"/>
        </w:rPr>
        <w:t xml:space="preserve"> and 6-methoxy-N2-methyl-2,3-pyridinediamine</w:t>
      </w:r>
      <w:r w:rsidR="00396C63" w:rsidRPr="00F248D6">
        <w:rPr>
          <w:sz w:val="22"/>
          <w:szCs w:val="22"/>
        </w:rPr>
        <w:t xml:space="preserve"> was published on the TGA website on</w:t>
      </w:r>
      <w:r w:rsidR="002176A8" w:rsidRPr="00F248D6">
        <w:rPr>
          <w:sz w:val="22"/>
          <w:szCs w:val="22"/>
        </w:rPr>
        <w:t xml:space="preserve"> </w:t>
      </w:r>
      <w:hyperlink r:id="rId8" w:history="1">
        <w:r w:rsidR="0060398B" w:rsidRPr="00F248D6">
          <w:rPr>
            <w:rStyle w:val="Hyperlink"/>
            <w:sz w:val="22"/>
            <w:szCs w:val="22"/>
          </w:rPr>
          <w:t>4</w:t>
        </w:r>
        <w:r w:rsidR="002176A8" w:rsidRPr="00F248D6">
          <w:rPr>
            <w:rStyle w:val="Hyperlink"/>
            <w:sz w:val="22"/>
            <w:szCs w:val="22"/>
          </w:rPr>
          <w:t xml:space="preserve"> May 2021</w:t>
        </w:r>
      </w:hyperlink>
      <w:r w:rsidR="00396C63" w:rsidRPr="00F248D6">
        <w:rPr>
          <w:sz w:val="22"/>
          <w:szCs w:val="22"/>
        </w:rPr>
        <w:t xml:space="preserve">, with a closing date of </w:t>
      </w:r>
      <w:r w:rsidR="002176A8" w:rsidRPr="00F248D6">
        <w:rPr>
          <w:sz w:val="22"/>
          <w:szCs w:val="22"/>
        </w:rPr>
        <w:t>4 June</w:t>
      </w:r>
      <w:r w:rsidR="00E45955" w:rsidRPr="00F248D6">
        <w:rPr>
          <w:sz w:val="22"/>
          <w:szCs w:val="22"/>
        </w:rPr>
        <w:t xml:space="preserve"> </w:t>
      </w:r>
      <w:r w:rsidR="00396C63" w:rsidRPr="00F248D6">
        <w:rPr>
          <w:sz w:val="22"/>
          <w:szCs w:val="22"/>
        </w:rPr>
        <w:t>202</w:t>
      </w:r>
      <w:r w:rsidR="008736FD" w:rsidRPr="00F248D6">
        <w:rPr>
          <w:sz w:val="22"/>
          <w:szCs w:val="22"/>
        </w:rPr>
        <w:t>1</w:t>
      </w:r>
      <w:r w:rsidR="00396C63" w:rsidRPr="00F248D6">
        <w:rPr>
          <w:sz w:val="22"/>
          <w:szCs w:val="22"/>
        </w:rPr>
        <w:t>.</w:t>
      </w:r>
      <w:r w:rsidR="00333056" w:rsidRPr="00F248D6">
        <w:rPr>
          <w:sz w:val="22"/>
          <w:szCs w:val="22"/>
        </w:rPr>
        <w:t xml:space="preserve"> A further invitation to comment in relation to th</w:t>
      </w:r>
      <w:r w:rsidR="00FC6700" w:rsidRPr="00F248D6">
        <w:rPr>
          <w:sz w:val="22"/>
          <w:szCs w:val="22"/>
        </w:rPr>
        <w:t>ese</w:t>
      </w:r>
      <w:r w:rsidR="00333056" w:rsidRPr="00F248D6">
        <w:rPr>
          <w:sz w:val="22"/>
          <w:szCs w:val="22"/>
        </w:rPr>
        <w:t xml:space="preserve"> proposal</w:t>
      </w:r>
      <w:r w:rsidR="00FC6700" w:rsidRPr="00F248D6">
        <w:rPr>
          <w:sz w:val="22"/>
          <w:szCs w:val="22"/>
        </w:rPr>
        <w:t>s</w:t>
      </w:r>
      <w:r w:rsidR="00333056" w:rsidRPr="00F248D6">
        <w:rPr>
          <w:sz w:val="22"/>
          <w:szCs w:val="22"/>
        </w:rPr>
        <w:t xml:space="preserve"> </w:t>
      </w:r>
      <w:r w:rsidR="00436BE5" w:rsidRPr="00F248D6">
        <w:rPr>
          <w:sz w:val="22"/>
          <w:szCs w:val="22"/>
        </w:rPr>
        <w:t>was</w:t>
      </w:r>
      <w:r w:rsidR="00333056" w:rsidRPr="00F248D6">
        <w:rPr>
          <w:sz w:val="22"/>
          <w:szCs w:val="22"/>
        </w:rPr>
        <w:t xml:space="preserve"> published on</w:t>
      </w:r>
      <w:r w:rsidR="008736FD" w:rsidRPr="00F248D6">
        <w:rPr>
          <w:sz w:val="22"/>
          <w:szCs w:val="22"/>
        </w:rPr>
        <w:t xml:space="preserve"> </w:t>
      </w:r>
      <w:hyperlink r:id="rId9" w:history="1">
        <w:r w:rsidR="00FC6700" w:rsidRPr="00F248D6">
          <w:rPr>
            <w:rStyle w:val="Hyperlink"/>
            <w:sz w:val="22"/>
            <w:szCs w:val="22"/>
          </w:rPr>
          <w:t>1</w:t>
        </w:r>
        <w:r w:rsidR="00D551E7" w:rsidRPr="00F248D6">
          <w:rPr>
            <w:rStyle w:val="Hyperlink"/>
            <w:sz w:val="22"/>
            <w:szCs w:val="22"/>
          </w:rPr>
          <w:t>3</w:t>
        </w:r>
        <w:r w:rsidR="00FC6700" w:rsidRPr="00F248D6">
          <w:rPr>
            <w:rStyle w:val="Hyperlink"/>
            <w:sz w:val="22"/>
            <w:szCs w:val="22"/>
          </w:rPr>
          <w:t xml:space="preserve"> October 2021</w:t>
        </w:r>
      </w:hyperlink>
      <w:r w:rsidR="00333056" w:rsidRPr="00F248D6">
        <w:rPr>
          <w:sz w:val="22"/>
          <w:szCs w:val="22"/>
        </w:rPr>
        <w:t xml:space="preserve">, with a closing date of </w:t>
      </w:r>
      <w:r w:rsidR="00AC799E" w:rsidRPr="00F248D6">
        <w:rPr>
          <w:sz w:val="22"/>
          <w:szCs w:val="22"/>
        </w:rPr>
        <w:t>1</w:t>
      </w:r>
      <w:r w:rsidR="00FC6700" w:rsidRPr="00F248D6">
        <w:rPr>
          <w:sz w:val="22"/>
          <w:szCs w:val="22"/>
        </w:rPr>
        <w:t>1</w:t>
      </w:r>
      <w:r w:rsidR="00031606" w:rsidRPr="00F248D6">
        <w:rPr>
          <w:sz w:val="22"/>
          <w:szCs w:val="22"/>
        </w:rPr>
        <w:t> </w:t>
      </w:r>
      <w:r w:rsidR="00AC799E" w:rsidRPr="00F248D6">
        <w:rPr>
          <w:sz w:val="22"/>
          <w:szCs w:val="22"/>
        </w:rPr>
        <w:t>November 202</w:t>
      </w:r>
      <w:r w:rsidR="008736FD" w:rsidRPr="00F248D6">
        <w:rPr>
          <w:sz w:val="22"/>
          <w:szCs w:val="22"/>
        </w:rPr>
        <w:t>1</w:t>
      </w:r>
      <w:r w:rsidR="00AC799E" w:rsidRPr="00F248D6">
        <w:rPr>
          <w:sz w:val="22"/>
          <w:szCs w:val="22"/>
        </w:rPr>
        <w:t>;</w:t>
      </w:r>
    </w:p>
    <w:p w14:paraId="1027E9D0" w14:textId="097F08AF" w:rsidR="008736FD" w:rsidRPr="00F248D6" w:rsidRDefault="00AC799E" w:rsidP="00AC799E">
      <w:pPr>
        <w:pStyle w:val="ListParagraph"/>
        <w:rPr>
          <w:sz w:val="22"/>
          <w:szCs w:val="22"/>
        </w:rPr>
      </w:pPr>
      <w:r w:rsidRPr="00F248D6">
        <w:rPr>
          <w:sz w:val="22"/>
          <w:szCs w:val="22"/>
        </w:rPr>
        <w:t xml:space="preserve">an invitation to comment in relation to </w:t>
      </w:r>
      <w:r w:rsidR="00FC6700" w:rsidRPr="00F248D6">
        <w:rPr>
          <w:sz w:val="22"/>
          <w:szCs w:val="22"/>
        </w:rPr>
        <w:t xml:space="preserve">sodium nitrite </w:t>
      </w:r>
      <w:r w:rsidRPr="00F248D6">
        <w:rPr>
          <w:sz w:val="22"/>
          <w:szCs w:val="22"/>
        </w:rPr>
        <w:t>was published on the TGA website on</w:t>
      </w:r>
      <w:r w:rsidR="008736FD" w:rsidRPr="00F248D6">
        <w:rPr>
          <w:sz w:val="22"/>
          <w:szCs w:val="22"/>
        </w:rPr>
        <w:t xml:space="preserve"> </w:t>
      </w:r>
      <w:hyperlink r:id="rId10" w:history="1">
        <w:r w:rsidR="00845AC2" w:rsidRPr="00F248D6">
          <w:rPr>
            <w:rStyle w:val="Hyperlink"/>
            <w:sz w:val="22"/>
            <w:szCs w:val="22"/>
          </w:rPr>
          <w:t>2</w:t>
        </w:r>
        <w:r w:rsidR="001602EA" w:rsidRPr="00F248D6">
          <w:rPr>
            <w:rStyle w:val="Hyperlink"/>
            <w:sz w:val="22"/>
            <w:szCs w:val="22"/>
          </w:rPr>
          <w:t>7</w:t>
        </w:r>
        <w:r w:rsidR="00845AC2" w:rsidRPr="00F248D6">
          <w:rPr>
            <w:rStyle w:val="Hyperlink"/>
            <w:sz w:val="22"/>
            <w:szCs w:val="22"/>
          </w:rPr>
          <w:t xml:space="preserve"> April 2021</w:t>
        </w:r>
      </w:hyperlink>
      <w:r w:rsidRPr="00F248D6">
        <w:rPr>
          <w:sz w:val="22"/>
          <w:szCs w:val="22"/>
        </w:rPr>
        <w:t xml:space="preserve">, with a closing date of </w:t>
      </w:r>
      <w:r w:rsidR="008736FD" w:rsidRPr="00F248D6">
        <w:rPr>
          <w:sz w:val="22"/>
          <w:szCs w:val="22"/>
        </w:rPr>
        <w:t>27 May</w:t>
      </w:r>
      <w:r w:rsidRPr="00F248D6">
        <w:rPr>
          <w:sz w:val="22"/>
          <w:szCs w:val="22"/>
        </w:rPr>
        <w:t xml:space="preserve"> 2021. A further invitation to comment in relation to th</w:t>
      </w:r>
      <w:r w:rsidR="00035E1C" w:rsidRPr="00F248D6">
        <w:rPr>
          <w:sz w:val="22"/>
          <w:szCs w:val="22"/>
        </w:rPr>
        <w:t>is</w:t>
      </w:r>
      <w:r w:rsidRPr="00F248D6">
        <w:rPr>
          <w:sz w:val="22"/>
          <w:szCs w:val="22"/>
        </w:rPr>
        <w:t xml:space="preserve"> proposal was published on</w:t>
      </w:r>
      <w:r w:rsidR="008736FD" w:rsidRPr="00F248D6">
        <w:rPr>
          <w:sz w:val="22"/>
          <w:szCs w:val="22"/>
        </w:rPr>
        <w:t xml:space="preserve"> </w:t>
      </w:r>
      <w:hyperlink r:id="rId11" w:history="1">
        <w:r w:rsidR="00FC6700" w:rsidRPr="00F248D6">
          <w:rPr>
            <w:rStyle w:val="Hyperlink"/>
            <w:sz w:val="22"/>
            <w:szCs w:val="22"/>
          </w:rPr>
          <w:t>12 October 2021</w:t>
        </w:r>
      </w:hyperlink>
      <w:r w:rsidRPr="00F248D6">
        <w:rPr>
          <w:sz w:val="22"/>
          <w:szCs w:val="22"/>
        </w:rPr>
        <w:t>, with a closing date of 1</w:t>
      </w:r>
      <w:r w:rsidR="008736FD" w:rsidRPr="00F248D6">
        <w:rPr>
          <w:sz w:val="22"/>
          <w:szCs w:val="22"/>
        </w:rPr>
        <w:t>1</w:t>
      </w:r>
      <w:r w:rsidR="00031606" w:rsidRPr="00F248D6">
        <w:rPr>
          <w:sz w:val="22"/>
          <w:szCs w:val="22"/>
        </w:rPr>
        <w:t> </w:t>
      </w:r>
      <w:r w:rsidR="008736FD" w:rsidRPr="00F248D6">
        <w:rPr>
          <w:sz w:val="22"/>
          <w:szCs w:val="22"/>
        </w:rPr>
        <w:t>November</w:t>
      </w:r>
      <w:r w:rsidRPr="00F248D6">
        <w:rPr>
          <w:sz w:val="22"/>
          <w:szCs w:val="22"/>
        </w:rPr>
        <w:t xml:space="preserve"> 2021</w:t>
      </w:r>
      <w:r w:rsidR="008736FD" w:rsidRPr="00F248D6">
        <w:rPr>
          <w:sz w:val="22"/>
          <w:szCs w:val="22"/>
        </w:rPr>
        <w:t xml:space="preserve">; </w:t>
      </w:r>
      <w:r w:rsidR="009772DA" w:rsidRPr="00F248D6">
        <w:rPr>
          <w:sz w:val="22"/>
          <w:szCs w:val="22"/>
        </w:rPr>
        <w:t>and</w:t>
      </w:r>
    </w:p>
    <w:p w14:paraId="3883850F" w14:textId="697CD460" w:rsidR="009955B3" w:rsidRPr="00F248D6" w:rsidRDefault="009955B3" w:rsidP="00AC799E">
      <w:pPr>
        <w:pStyle w:val="ListParagraph"/>
        <w:rPr>
          <w:sz w:val="22"/>
          <w:szCs w:val="22"/>
        </w:rPr>
      </w:pPr>
      <w:r w:rsidRPr="00F248D6">
        <w:rPr>
          <w:sz w:val="22"/>
          <w:szCs w:val="22"/>
        </w:rPr>
        <w:t xml:space="preserve">an invitation to comment in relation to </w:t>
      </w:r>
      <w:proofErr w:type="spellStart"/>
      <w:r w:rsidRPr="00F248D6">
        <w:rPr>
          <w:sz w:val="22"/>
          <w:szCs w:val="22"/>
        </w:rPr>
        <w:t>astodrimer</w:t>
      </w:r>
      <w:proofErr w:type="spellEnd"/>
      <w:r w:rsidRPr="00F248D6">
        <w:rPr>
          <w:sz w:val="22"/>
          <w:szCs w:val="22"/>
        </w:rPr>
        <w:t xml:space="preserve"> sodium, flurbiprofen and cis-jasmone was published on the TGA website on </w:t>
      </w:r>
      <w:hyperlink r:id="rId12" w:history="1">
        <w:r w:rsidRPr="00F248D6">
          <w:rPr>
            <w:rStyle w:val="Hyperlink"/>
            <w:sz w:val="22"/>
            <w:szCs w:val="22"/>
          </w:rPr>
          <w:t>6 September 2021</w:t>
        </w:r>
      </w:hyperlink>
      <w:r w:rsidRPr="00F248D6">
        <w:rPr>
          <w:sz w:val="22"/>
          <w:szCs w:val="22"/>
        </w:rPr>
        <w:t>, with a closing date of 7</w:t>
      </w:r>
      <w:r w:rsidR="00E26C01" w:rsidRPr="00F248D6">
        <w:rPr>
          <w:sz w:val="22"/>
          <w:szCs w:val="22"/>
        </w:rPr>
        <w:t> </w:t>
      </w:r>
      <w:r w:rsidRPr="00F248D6">
        <w:rPr>
          <w:sz w:val="22"/>
          <w:szCs w:val="22"/>
        </w:rPr>
        <w:t xml:space="preserve">October 2021. A further invitation to comment in relation to these proposals was published on </w:t>
      </w:r>
      <w:hyperlink r:id="rId13" w:history="1">
        <w:r w:rsidRPr="00F248D6">
          <w:rPr>
            <w:rStyle w:val="Hyperlink"/>
            <w:sz w:val="22"/>
            <w:szCs w:val="22"/>
          </w:rPr>
          <w:t>10 March 2022</w:t>
        </w:r>
      </w:hyperlink>
      <w:r w:rsidRPr="00F248D6">
        <w:rPr>
          <w:sz w:val="22"/>
          <w:szCs w:val="22"/>
        </w:rPr>
        <w:t>, with a closing date of 11 April 2022.</w:t>
      </w:r>
    </w:p>
    <w:p w14:paraId="40DBA5C4" w14:textId="3DB2028E" w:rsidR="00A3074B" w:rsidRPr="00F248D6" w:rsidRDefault="00647CCB" w:rsidP="008D3DA2">
      <w:pPr>
        <w:rPr>
          <w:rFonts w:eastAsiaTheme="minorHAnsi"/>
          <w:sz w:val="22"/>
          <w:szCs w:val="22"/>
          <w:lang w:val="en-AU"/>
        </w:rPr>
      </w:pPr>
      <w:r w:rsidRPr="00F248D6">
        <w:rPr>
          <w:sz w:val="22"/>
          <w:szCs w:val="22"/>
        </w:rPr>
        <w:t>T</w:t>
      </w:r>
      <w:r w:rsidR="00342BEE" w:rsidRPr="00F248D6">
        <w:rPr>
          <w:rFonts w:eastAsiaTheme="minorHAnsi"/>
          <w:sz w:val="22"/>
          <w:szCs w:val="22"/>
          <w:lang w:val="en-AU"/>
        </w:rPr>
        <w:t xml:space="preserve">he final </w:t>
      </w:r>
      <w:r w:rsidR="00A3074B" w:rsidRPr="00F248D6">
        <w:rPr>
          <w:rFonts w:eastAsiaTheme="minorHAnsi"/>
          <w:sz w:val="22"/>
          <w:szCs w:val="22"/>
          <w:lang w:val="en-AU"/>
        </w:rPr>
        <w:t>decisions</w:t>
      </w:r>
      <w:r w:rsidR="00342BEE" w:rsidRPr="00F248D6">
        <w:rPr>
          <w:rFonts w:eastAsiaTheme="minorHAnsi"/>
          <w:sz w:val="22"/>
          <w:szCs w:val="22"/>
          <w:lang w:val="en-AU"/>
        </w:rPr>
        <w:t xml:space="preserve"> </w:t>
      </w:r>
      <w:r w:rsidR="002124BD" w:rsidRPr="00F248D6">
        <w:rPr>
          <w:rFonts w:eastAsiaTheme="minorHAnsi"/>
          <w:sz w:val="22"/>
          <w:szCs w:val="22"/>
          <w:lang w:val="en-AU"/>
        </w:rPr>
        <w:t xml:space="preserve">in relation to </w:t>
      </w:r>
      <w:r w:rsidR="00FC6700" w:rsidRPr="00F248D6">
        <w:rPr>
          <w:sz w:val="22"/>
          <w:szCs w:val="22"/>
        </w:rPr>
        <w:t>lead acetates and 6-methoxy-N2-methyl-2,3-pyridinediamine</w:t>
      </w:r>
      <w:r w:rsidR="00436BE5" w:rsidRPr="00F248D6">
        <w:rPr>
          <w:sz w:val="22"/>
          <w:szCs w:val="22"/>
        </w:rPr>
        <w:t xml:space="preserve"> </w:t>
      </w:r>
      <w:r w:rsidR="00342BEE" w:rsidRPr="00F248D6">
        <w:rPr>
          <w:rFonts w:eastAsiaTheme="minorHAnsi"/>
          <w:sz w:val="22"/>
          <w:szCs w:val="22"/>
          <w:lang w:val="en-AU"/>
        </w:rPr>
        <w:t xml:space="preserve">were published on the TGA website </w:t>
      </w:r>
      <w:r w:rsidR="008D3DA2" w:rsidRPr="00F248D6">
        <w:rPr>
          <w:rFonts w:eastAsiaTheme="minorHAnsi"/>
          <w:sz w:val="22"/>
          <w:szCs w:val="22"/>
          <w:lang w:val="en-AU"/>
        </w:rPr>
        <w:t xml:space="preserve">on </w:t>
      </w:r>
      <w:hyperlink r:id="rId14" w:history="1">
        <w:r w:rsidR="00D905DC" w:rsidRPr="00F248D6">
          <w:rPr>
            <w:rStyle w:val="Hyperlink"/>
            <w:rFonts w:eastAsiaTheme="minorHAnsi"/>
            <w:sz w:val="22"/>
            <w:szCs w:val="22"/>
            <w:lang w:val="en-AU"/>
          </w:rPr>
          <w:t>20</w:t>
        </w:r>
        <w:r w:rsidR="008D3DA2" w:rsidRPr="00F248D6">
          <w:rPr>
            <w:rStyle w:val="Hyperlink"/>
            <w:rFonts w:eastAsiaTheme="minorHAnsi"/>
            <w:sz w:val="22"/>
            <w:szCs w:val="22"/>
            <w:lang w:val="en-AU"/>
          </w:rPr>
          <w:t xml:space="preserve"> December 2021</w:t>
        </w:r>
      </w:hyperlink>
      <w:r w:rsidR="00FC6700" w:rsidRPr="00F248D6">
        <w:rPr>
          <w:rFonts w:eastAsiaTheme="minorHAnsi"/>
          <w:sz w:val="22"/>
          <w:szCs w:val="22"/>
          <w:lang w:val="en-AU"/>
        </w:rPr>
        <w:t xml:space="preserve">. The final decision in relation to sodium nitrite was published on the TGA website on </w:t>
      </w:r>
      <w:hyperlink r:id="rId15" w:history="1">
        <w:r w:rsidR="00FC6700" w:rsidRPr="00F248D6">
          <w:rPr>
            <w:rStyle w:val="Hyperlink"/>
            <w:rFonts w:eastAsiaTheme="minorHAnsi"/>
            <w:sz w:val="22"/>
            <w:szCs w:val="22"/>
            <w:lang w:val="en-AU"/>
          </w:rPr>
          <w:t>19 January 2022</w:t>
        </w:r>
      </w:hyperlink>
      <w:r w:rsidR="00436BE5" w:rsidRPr="00F248D6">
        <w:rPr>
          <w:rFonts w:eastAsiaTheme="minorHAnsi"/>
          <w:sz w:val="22"/>
          <w:szCs w:val="22"/>
          <w:lang w:val="en-AU"/>
        </w:rPr>
        <w:t>.</w:t>
      </w:r>
      <w:r w:rsidR="000C5E7F" w:rsidRPr="00F248D6">
        <w:rPr>
          <w:rFonts w:eastAsiaTheme="minorHAnsi"/>
          <w:sz w:val="22"/>
          <w:szCs w:val="22"/>
          <w:lang w:val="en-AU"/>
        </w:rPr>
        <w:t xml:space="preserve"> The final decisions in relation to </w:t>
      </w:r>
      <w:proofErr w:type="spellStart"/>
      <w:r w:rsidR="000C5E7F" w:rsidRPr="00F248D6">
        <w:rPr>
          <w:rFonts w:eastAsiaTheme="minorHAnsi"/>
          <w:sz w:val="22"/>
          <w:szCs w:val="22"/>
          <w:lang w:val="en-AU"/>
        </w:rPr>
        <w:t>astodrimer</w:t>
      </w:r>
      <w:proofErr w:type="spellEnd"/>
      <w:r w:rsidR="000C5E7F" w:rsidRPr="00F248D6">
        <w:rPr>
          <w:rFonts w:eastAsiaTheme="minorHAnsi"/>
          <w:sz w:val="22"/>
          <w:szCs w:val="22"/>
          <w:lang w:val="en-AU"/>
        </w:rPr>
        <w:t xml:space="preserve"> sodium, flurbiprofen and cis-jasmone were published on the TGA website on</w:t>
      </w:r>
      <w:r w:rsidR="00577341" w:rsidRPr="00F248D6">
        <w:rPr>
          <w:rFonts w:eastAsiaTheme="minorHAnsi"/>
          <w:sz w:val="22"/>
          <w:szCs w:val="22"/>
          <w:lang w:val="en-AU"/>
        </w:rPr>
        <w:t xml:space="preserve"> </w:t>
      </w:r>
      <w:hyperlink r:id="rId16" w:history="1">
        <w:r w:rsidR="00577341" w:rsidRPr="00F248D6">
          <w:rPr>
            <w:rStyle w:val="Hyperlink"/>
            <w:rFonts w:eastAsiaTheme="minorHAnsi"/>
            <w:sz w:val="22"/>
            <w:szCs w:val="22"/>
            <w:lang w:val="en-AU"/>
          </w:rPr>
          <w:t>23</w:t>
        </w:r>
        <w:r w:rsidR="000C5E7F" w:rsidRPr="00F248D6">
          <w:rPr>
            <w:rStyle w:val="Hyperlink"/>
            <w:rFonts w:eastAsiaTheme="minorHAnsi"/>
            <w:sz w:val="22"/>
            <w:szCs w:val="22"/>
            <w:lang w:val="en-AU"/>
          </w:rPr>
          <w:t xml:space="preserve"> M</w:t>
        </w:r>
        <w:r w:rsidR="00577341" w:rsidRPr="00F248D6">
          <w:rPr>
            <w:rStyle w:val="Hyperlink"/>
            <w:rFonts w:eastAsiaTheme="minorHAnsi"/>
            <w:sz w:val="22"/>
            <w:szCs w:val="22"/>
            <w:lang w:val="en-AU"/>
          </w:rPr>
          <w:t>ay</w:t>
        </w:r>
        <w:r w:rsidR="000C5E7F" w:rsidRPr="00F248D6">
          <w:rPr>
            <w:rStyle w:val="Hyperlink"/>
            <w:rFonts w:eastAsiaTheme="minorHAnsi"/>
            <w:sz w:val="22"/>
            <w:szCs w:val="22"/>
            <w:lang w:val="en-AU"/>
          </w:rPr>
          <w:t xml:space="preserve"> 2022</w:t>
        </w:r>
      </w:hyperlink>
      <w:r w:rsidR="000C5E7F" w:rsidRPr="00F248D6">
        <w:rPr>
          <w:rFonts w:eastAsiaTheme="minorHAnsi"/>
          <w:sz w:val="22"/>
          <w:szCs w:val="22"/>
          <w:lang w:val="en-AU"/>
        </w:rPr>
        <w:t>.</w:t>
      </w:r>
    </w:p>
    <w:p w14:paraId="2D9D72BC" w14:textId="0DB7340F" w:rsidR="0006454C" w:rsidRPr="00F248D6" w:rsidRDefault="00FB394B" w:rsidP="0006454C">
      <w:pPr>
        <w:spacing w:after="0"/>
        <w:rPr>
          <w:sz w:val="22"/>
          <w:szCs w:val="22"/>
        </w:rPr>
      </w:pPr>
      <w:r w:rsidRPr="00F248D6">
        <w:rPr>
          <w:rFonts w:eastAsiaTheme="minorHAnsi"/>
          <w:sz w:val="22"/>
          <w:szCs w:val="22"/>
          <w:lang w:val="en-AU"/>
        </w:rPr>
        <w:t xml:space="preserve">The </w:t>
      </w:r>
      <w:r w:rsidRPr="00F248D6">
        <w:rPr>
          <w:rFonts w:eastAsiaTheme="minorHAnsi"/>
          <w:i/>
          <w:sz w:val="22"/>
          <w:szCs w:val="22"/>
          <w:lang w:val="en-AU"/>
        </w:rPr>
        <w:t xml:space="preserve">Poisons Standard </w:t>
      </w:r>
      <w:r w:rsidR="00E87AA0" w:rsidRPr="00F248D6">
        <w:rPr>
          <w:rFonts w:eastAsiaTheme="minorHAnsi"/>
          <w:i/>
          <w:sz w:val="22"/>
          <w:szCs w:val="22"/>
          <w:lang w:val="en-AU"/>
        </w:rPr>
        <w:t xml:space="preserve">June </w:t>
      </w:r>
      <w:r w:rsidRPr="00F248D6">
        <w:rPr>
          <w:rFonts w:eastAsiaTheme="minorHAnsi"/>
          <w:i/>
          <w:sz w:val="22"/>
          <w:szCs w:val="22"/>
          <w:lang w:val="en-AU"/>
        </w:rPr>
        <w:t>2022</w:t>
      </w:r>
      <w:r w:rsidRPr="00F248D6">
        <w:rPr>
          <w:rFonts w:eastAsiaTheme="minorHAnsi"/>
          <w:sz w:val="22"/>
          <w:szCs w:val="22"/>
          <w:lang w:val="en-AU"/>
        </w:rPr>
        <w:t xml:space="preserve"> </w:t>
      </w:r>
      <w:r w:rsidRPr="00F248D6">
        <w:rPr>
          <w:rFonts w:eastAsiaTheme="minorHAnsi"/>
          <w:sz w:val="22"/>
          <w:szCs w:val="22"/>
        </w:rPr>
        <w:t xml:space="preserve">also incorporates </w:t>
      </w:r>
      <w:r w:rsidR="00C81086" w:rsidRPr="00F248D6">
        <w:rPr>
          <w:rFonts w:eastAsiaTheme="minorHAnsi"/>
          <w:sz w:val="22"/>
          <w:szCs w:val="22"/>
        </w:rPr>
        <w:t>s</w:t>
      </w:r>
      <w:r w:rsidR="00445A54" w:rsidRPr="00F248D6">
        <w:rPr>
          <w:rFonts w:eastAsiaTheme="minorHAnsi"/>
          <w:sz w:val="22"/>
          <w:szCs w:val="22"/>
        </w:rPr>
        <w:t>even</w:t>
      </w:r>
      <w:r w:rsidRPr="00F248D6">
        <w:rPr>
          <w:rFonts w:eastAsiaTheme="minorHAnsi"/>
          <w:sz w:val="22"/>
          <w:szCs w:val="22"/>
        </w:rPr>
        <w:t xml:space="preserve"> new substances </w:t>
      </w:r>
      <w:r w:rsidR="00B9269D" w:rsidRPr="00F248D6">
        <w:rPr>
          <w:rFonts w:eastAsiaTheme="minorHAnsi"/>
          <w:sz w:val="22"/>
          <w:szCs w:val="22"/>
        </w:rPr>
        <w:t>in</w:t>
      </w:r>
      <w:r w:rsidRPr="00F248D6">
        <w:rPr>
          <w:rFonts w:eastAsiaTheme="minorHAnsi"/>
          <w:sz w:val="22"/>
          <w:szCs w:val="22"/>
        </w:rPr>
        <w:t xml:space="preserve"> the Poisons Standard for the first time</w:t>
      </w:r>
      <w:r w:rsidRPr="00F248D6">
        <w:rPr>
          <w:rFonts w:eastAsiaTheme="minorHAnsi"/>
          <w:sz w:val="22"/>
          <w:szCs w:val="22"/>
          <w:lang w:val="en-AU"/>
        </w:rPr>
        <w:t xml:space="preserve">, including specific entries for </w:t>
      </w:r>
      <w:proofErr w:type="spellStart"/>
      <w:r w:rsidR="00706D4D" w:rsidRPr="00F248D6">
        <w:rPr>
          <w:rFonts w:eastAsiaTheme="minorHAnsi"/>
          <w:sz w:val="22"/>
          <w:szCs w:val="22"/>
          <w:lang w:val="en-AU"/>
        </w:rPr>
        <w:t>belzutifan</w:t>
      </w:r>
      <w:proofErr w:type="spellEnd"/>
      <w:r w:rsidR="00706D4D" w:rsidRPr="00F248D6">
        <w:rPr>
          <w:rFonts w:eastAsiaTheme="minorHAnsi"/>
          <w:sz w:val="22"/>
          <w:szCs w:val="22"/>
          <w:lang w:val="en-AU"/>
        </w:rPr>
        <w:t xml:space="preserve">, diroximel fumarate, </w:t>
      </w:r>
      <w:proofErr w:type="spellStart"/>
      <w:r w:rsidR="00445A54" w:rsidRPr="00F248D6">
        <w:rPr>
          <w:rFonts w:eastAsiaTheme="minorHAnsi"/>
          <w:sz w:val="22"/>
          <w:szCs w:val="22"/>
          <w:lang w:val="en-AU"/>
        </w:rPr>
        <w:t>enfortumab</w:t>
      </w:r>
      <w:proofErr w:type="spellEnd"/>
      <w:r w:rsidR="00445A54" w:rsidRPr="00F248D6">
        <w:rPr>
          <w:rFonts w:eastAsiaTheme="minorHAnsi"/>
          <w:sz w:val="22"/>
          <w:szCs w:val="22"/>
          <w:lang w:val="en-AU"/>
        </w:rPr>
        <w:t xml:space="preserve"> </w:t>
      </w:r>
      <w:proofErr w:type="spellStart"/>
      <w:r w:rsidR="00445A54" w:rsidRPr="00F248D6">
        <w:rPr>
          <w:rFonts w:eastAsiaTheme="minorHAnsi"/>
          <w:sz w:val="22"/>
          <w:szCs w:val="22"/>
          <w:lang w:val="en-AU"/>
        </w:rPr>
        <w:t>vedotin</w:t>
      </w:r>
      <w:proofErr w:type="spellEnd"/>
      <w:r w:rsidR="00445A54" w:rsidRPr="00F248D6">
        <w:rPr>
          <w:rFonts w:eastAsiaTheme="minorHAnsi"/>
          <w:sz w:val="22"/>
          <w:szCs w:val="22"/>
          <w:lang w:val="en-AU"/>
        </w:rPr>
        <w:t xml:space="preserve">, </w:t>
      </w:r>
      <w:r w:rsidR="00706D4D" w:rsidRPr="00F248D6">
        <w:rPr>
          <w:rFonts w:eastAsiaTheme="minorHAnsi"/>
          <w:sz w:val="22"/>
          <w:szCs w:val="22"/>
          <w:lang w:val="en-AU"/>
        </w:rPr>
        <w:t xml:space="preserve">lurbinectedin, </w:t>
      </w:r>
      <w:proofErr w:type="spellStart"/>
      <w:r w:rsidR="00706D4D" w:rsidRPr="00F248D6">
        <w:rPr>
          <w:rFonts w:eastAsiaTheme="minorHAnsi"/>
          <w:sz w:val="22"/>
          <w:szCs w:val="22"/>
          <w:lang w:val="en-AU"/>
        </w:rPr>
        <w:t>mavacamten</w:t>
      </w:r>
      <w:proofErr w:type="spellEnd"/>
      <w:r w:rsidR="00706D4D" w:rsidRPr="00F248D6">
        <w:rPr>
          <w:rFonts w:eastAsiaTheme="minorHAnsi"/>
          <w:sz w:val="22"/>
          <w:szCs w:val="22"/>
          <w:lang w:val="en-AU"/>
        </w:rPr>
        <w:t xml:space="preserve">, ponatinib, </w:t>
      </w:r>
      <w:r w:rsidR="00C81086" w:rsidRPr="00F248D6">
        <w:rPr>
          <w:rFonts w:eastAsiaTheme="minorHAnsi"/>
          <w:sz w:val="22"/>
          <w:szCs w:val="22"/>
          <w:lang w:val="en-AU"/>
        </w:rPr>
        <w:t>and</w:t>
      </w:r>
      <w:r w:rsidR="00706D4D" w:rsidRPr="00F248D6">
        <w:rPr>
          <w:rFonts w:eastAsiaTheme="minorHAnsi"/>
          <w:sz w:val="22"/>
          <w:szCs w:val="22"/>
          <w:lang w:val="en-AU"/>
        </w:rPr>
        <w:t xml:space="preserve"> </w:t>
      </w:r>
      <w:proofErr w:type="spellStart"/>
      <w:r w:rsidR="00706D4D" w:rsidRPr="00F248D6">
        <w:rPr>
          <w:rFonts w:eastAsiaTheme="minorHAnsi"/>
          <w:sz w:val="22"/>
          <w:szCs w:val="22"/>
          <w:lang w:val="en-AU"/>
        </w:rPr>
        <w:t>somapacitan</w:t>
      </w:r>
      <w:proofErr w:type="spellEnd"/>
      <w:r w:rsidR="00706D4D" w:rsidRPr="00F248D6">
        <w:rPr>
          <w:rFonts w:eastAsiaTheme="minorHAnsi"/>
          <w:sz w:val="22"/>
          <w:szCs w:val="22"/>
          <w:lang w:val="en-AU"/>
        </w:rPr>
        <w:t xml:space="preserve"> </w:t>
      </w:r>
      <w:r w:rsidRPr="00F248D6">
        <w:rPr>
          <w:rFonts w:eastAsiaTheme="minorHAnsi"/>
          <w:sz w:val="22"/>
          <w:szCs w:val="22"/>
          <w:lang w:val="en-AU"/>
        </w:rPr>
        <w:t>in Schedule 4</w:t>
      </w:r>
      <w:r w:rsidR="00447F08" w:rsidRPr="00F248D6">
        <w:rPr>
          <w:rFonts w:eastAsiaTheme="minorHAnsi"/>
          <w:sz w:val="22"/>
          <w:szCs w:val="22"/>
          <w:lang w:val="en-AU"/>
        </w:rPr>
        <w:t>, as New Chemical Entities (NCE</w:t>
      </w:r>
      <w:r w:rsidR="009A1164" w:rsidRPr="00F248D6">
        <w:rPr>
          <w:rFonts w:eastAsiaTheme="minorHAnsi"/>
          <w:sz w:val="22"/>
          <w:szCs w:val="22"/>
          <w:lang w:val="en-AU"/>
        </w:rPr>
        <w:t>s</w:t>
      </w:r>
      <w:r w:rsidR="00447F08" w:rsidRPr="00F248D6">
        <w:rPr>
          <w:rFonts w:eastAsiaTheme="minorHAnsi"/>
          <w:sz w:val="22"/>
          <w:szCs w:val="22"/>
          <w:lang w:val="en-AU"/>
        </w:rPr>
        <w:t>)</w:t>
      </w:r>
      <w:r w:rsidR="00B9269D" w:rsidRPr="00F248D6">
        <w:rPr>
          <w:rFonts w:eastAsiaTheme="minorHAnsi"/>
          <w:sz w:val="22"/>
          <w:szCs w:val="22"/>
          <w:lang w:val="en-AU"/>
        </w:rPr>
        <w:t xml:space="preserve">. </w:t>
      </w:r>
      <w:r w:rsidR="00C81086" w:rsidRPr="00F248D6">
        <w:rPr>
          <w:rFonts w:eastAsiaTheme="minorHAnsi"/>
          <w:sz w:val="22"/>
          <w:szCs w:val="22"/>
          <w:lang w:val="en-AU"/>
        </w:rPr>
        <w:t xml:space="preserve">Five COVID-19 treatments are </w:t>
      </w:r>
      <w:r w:rsidR="009772DA" w:rsidRPr="00F248D6">
        <w:rPr>
          <w:rFonts w:eastAsiaTheme="minorHAnsi"/>
          <w:sz w:val="22"/>
          <w:szCs w:val="22"/>
          <w:lang w:val="en-AU"/>
        </w:rPr>
        <w:t xml:space="preserve">also </w:t>
      </w:r>
      <w:r w:rsidR="00C81086" w:rsidRPr="00F248D6">
        <w:rPr>
          <w:rFonts w:eastAsiaTheme="minorHAnsi"/>
          <w:sz w:val="22"/>
          <w:szCs w:val="22"/>
          <w:lang w:val="en-AU"/>
        </w:rPr>
        <w:t>incorporated into the Poisons Standard for the first time</w:t>
      </w:r>
      <w:r w:rsidR="009772DA" w:rsidRPr="00F248D6">
        <w:rPr>
          <w:rFonts w:eastAsiaTheme="minorHAnsi"/>
          <w:sz w:val="22"/>
          <w:szCs w:val="22"/>
          <w:lang w:val="en-AU"/>
        </w:rPr>
        <w:t>,</w:t>
      </w:r>
      <w:r w:rsidR="00C81086" w:rsidRPr="00F248D6">
        <w:rPr>
          <w:rFonts w:eastAsiaTheme="minorHAnsi"/>
          <w:sz w:val="22"/>
          <w:szCs w:val="22"/>
          <w:lang w:val="en-AU"/>
        </w:rPr>
        <w:t xml:space="preserve"> having previously be</w:t>
      </w:r>
      <w:r w:rsidR="00E26C01" w:rsidRPr="00F248D6">
        <w:rPr>
          <w:rFonts w:eastAsiaTheme="minorHAnsi"/>
          <w:sz w:val="22"/>
          <w:szCs w:val="22"/>
          <w:lang w:val="en-AU"/>
        </w:rPr>
        <w:t>en</w:t>
      </w:r>
      <w:r w:rsidR="00C81086" w:rsidRPr="00F248D6">
        <w:rPr>
          <w:rFonts w:eastAsiaTheme="minorHAnsi"/>
          <w:sz w:val="22"/>
          <w:szCs w:val="22"/>
          <w:lang w:val="en-AU"/>
        </w:rPr>
        <w:t xml:space="preserve"> captured under the group entry for monoclonal antibodies</w:t>
      </w:r>
      <w:r w:rsidR="009772DA" w:rsidRPr="00F248D6">
        <w:rPr>
          <w:rFonts w:eastAsiaTheme="minorHAnsi"/>
          <w:sz w:val="22"/>
          <w:szCs w:val="22"/>
          <w:lang w:val="en-AU"/>
        </w:rPr>
        <w:t>:</w:t>
      </w:r>
      <w:r w:rsidR="00C81086" w:rsidRPr="00F248D6">
        <w:rPr>
          <w:rFonts w:eastAsiaTheme="minorHAnsi"/>
          <w:sz w:val="22"/>
          <w:szCs w:val="22"/>
          <w:lang w:val="en-AU"/>
        </w:rPr>
        <w:t xml:space="preserve"> </w:t>
      </w:r>
      <w:proofErr w:type="spellStart"/>
      <w:r w:rsidR="00C81086" w:rsidRPr="00F248D6">
        <w:rPr>
          <w:rFonts w:eastAsiaTheme="minorHAnsi"/>
          <w:sz w:val="22"/>
          <w:szCs w:val="22"/>
          <w:lang w:val="en-AU"/>
        </w:rPr>
        <w:t>casirivimab</w:t>
      </w:r>
      <w:proofErr w:type="spellEnd"/>
      <w:r w:rsidR="00C81086" w:rsidRPr="00F248D6">
        <w:rPr>
          <w:rFonts w:eastAsiaTheme="minorHAnsi"/>
          <w:sz w:val="22"/>
          <w:szCs w:val="22"/>
          <w:lang w:val="en-AU"/>
        </w:rPr>
        <w:t xml:space="preserve">, </w:t>
      </w:r>
      <w:proofErr w:type="spellStart"/>
      <w:r w:rsidR="00C81086" w:rsidRPr="00F248D6">
        <w:rPr>
          <w:rFonts w:eastAsiaTheme="minorHAnsi"/>
          <w:sz w:val="22"/>
          <w:szCs w:val="22"/>
          <w:lang w:val="en-AU"/>
        </w:rPr>
        <w:t>cilgavmab</w:t>
      </w:r>
      <w:proofErr w:type="spellEnd"/>
      <w:r w:rsidR="00C81086" w:rsidRPr="00F248D6">
        <w:rPr>
          <w:rFonts w:eastAsiaTheme="minorHAnsi"/>
          <w:sz w:val="22"/>
          <w:szCs w:val="22"/>
          <w:lang w:val="en-AU"/>
        </w:rPr>
        <w:t xml:space="preserve">, </w:t>
      </w:r>
      <w:proofErr w:type="spellStart"/>
      <w:r w:rsidR="00C81086" w:rsidRPr="00F248D6">
        <w:rPr>
          <w:rFonts w:eastAsiaTheme="minorHAnsi"/>
          <w:sz w:val="22"/>
          <w:szCs w:val="22"/>
          <w:lang w:val="en-AU"/>
        </w:rPr>
        <w:t>imdevimab</w:t>
      </w:r>
      <w:proofErr w:type="spellEnd"/>
      <w:r w:rsidR="00C81086" w:rsidRPr="00F248D6">
        <w:rPr>
          <w:rFonts w:eastAsiaTheme="minorHAnsi"/>
          <w:sz w:val="22"/>
          <w:szCs w:val="22"/>
          <w:lang w:val="en-AU"/>
        </w:rPr>
        <w:t xml:space="preserve">, </w:t>
      </w:r>
      <w:proofErr w:type="spellStart"/>
      <w:r w:rsidR="00C81086" w:rsidRPr="00F248D6">
        <w:rPr>
          <w:rFonts w:eastAsiaTheme="minorHAnsi"/>
          <w:sz w:val="22"/>
          <w:szCs w:val="22"/>
          <w:lang w:val="en-AU"/>
        </w:rPr>
        <w:t>regdanvimab</w:t>
      </w:r>
      <w:proofErr w:type="spellEnd"/>
      <w:r w:rsidR="00C81086" w:rsidRPr="00F248D6">
        <w:rPr>
          <w:rFonts w:eastAsiaTheme="minorHAnsi"/>
          <w:sz w:val="22"/>
          <w:szCs w:val="22"/>
          <w:lang w:val="en-AU"/>
        </w:rPr>
        <w:t xml:space="preserve"> and </w:t>
      </w:r>
      <w:proofErr w:type="spellStart"/>
      <w:r w:rsidR="00C81086" w:rsidRPr="00F248D6">
        <w:rPr>
          <w:rFonts w:eastAsiaTheme="minorHAnsi"/>
          <w:sz w:val="22"/>
          <w:szCs w:val="22"/>
          <w:lang w:val="en-AU"/>
        </w:rPr>
        <w:t>tixagevimab</w:t>
      </w:r>
      <w:proofErr w:type="spellEnd"/>
      <w:r w:rsidR="00C81086" w:rsidRPr="00F248D6">
        <w:rPr>
          <w:rFonts w:eastAsiaTheme="minorHAnsi"/>
          <w:sz w:val="22"/>
          <w:szCs w:val="22"/>
          <w:lang w:val="en-AU"/>
        </w:rPr>
        <w:t xml:space="preserve">. In addition, </w:t>
      </w:r>
      <w:proofErr w:type="spellStart"/>
      <w:r w:rsidR="00706D4D" w:rsidRPr="00F248D6">
        <w:rPr>
          <w:sz w:val="22"/>
          <w:szCs w:val="22"/>
        </w:rPr>
        <w:t>dimpropyridaz</w:t>
      </w:r>
      <w:proofErr w:type="spellEnd"/>
      <w:r w:rsidR="00706D4D" w:rsidRPr="00F248D6">
        <w:rPr>
          <w:sz w:val="22"/>
          <w:szCs w:val="22"/>
        </w:rPr>
        <w:t xml:space="preserve"> and </w:t>
      </w:r>
      <w:proofErr w:type="spellStart"/>
      <w:r w:rsidR="00706D4D" w:rsidRPr="00F248D6">
        <w:rPr>
          <w:sz w:val="22"/>
          <w:szCs w:val="22"/>
        </w:rPr>
        <w:t>inpyrfluxam</w:t>
      </w:r>
      <w:proofErr w:type="spellEnd"/>
      <w:r w:rsidR="00C81086" w:rsidRPr="00F248D6">
        <w:rPr>
          <w:sz w:val="22"/>
          <w:szCs w:val="22"/>
        </w:rPr>
        <w:t xml:space="preserve"> are also incorporated in the Poisons Standard for the first time</w:t>
      </w:r>
      <w:r w:rsidR="00447F08" w:rsidRPr="00F248D6">
        <w:rPr>
          <w:sz w:val="22"/>
          <w:szCs w:val="22"/>
        </w:rPr>
        <w:t xml:space="preserve"> as delegate only decisions</w:t>
      </w:r>
      <w:r w:rsidR="009A1164" w:rsidRPr="00F248D6">
        <w:rPr>
          <w:sz w:val="22"/>
          <w:szCs w:val="22"/>
        </w:rPr>
        <w:t>. A</w:t>
      </w:r>
      <w:r w:rsidR="00C81086" w:rsidRPr="00F248D6">
        <w:rPr>
          <w:sz w:val="22"/>
          <w:szCs w:val="22"/>
        </w:rPr>
        <w:t xml:space="preserve">mendments to the existing entries for </w:t>
      </w:r>
      <w:proofErr w:type="spellStart"/>
      <w:r w:rsidR="00C81086" w:rsidRPr="00F248D6">
        <w:rPr>
          <w:sz w:val="22"/>
          <w:szCs w:val="22"/>
        </w:rPr>
        <w:t>aminocyclopyrachlor</w:t>
      </w:r>
      <w:proofErr w:type="spellEnd"/>
      <w:r w:rsidR="00C81086" w:rsidRPr="00F248D6">
        <w:rPr>
          <w:sz w:val="22"/>
          <w:szCs w:val="22"/>
        </w:rPr>
        <w:t xml:space="preserve"> and iron compounds</w:t>
      </w:r>
      <w:r w:rsidR="009772DA" w:rsidRPr="00F248D6">
        <w:rPr>
          <w:sz w:val="22"/>
          <w:szCs w:val="22"/>
        </w:rPr>
        <w:t xml:space="preserve"> are also incorporated</w:t>
      </w:r>
      <w:r w:rsidR="009A1164" w:rsidRPr="00F248D6">
        <w:rPr>
          <w:sz w:val="22"/>
          <w:szCs w:val="22"/>
        </w:rPr>
        <w:t>,</w:t>
      </w:r>
      <w:r w:rsidR="00447F08" w:rsidRPr="00F248D6">
        <w:rPr>
          <w:sz w:val="22"/>
          <w:szCs w:val="22"/>
        </w:rPr>
        <w:t xml:space="preserve"> as delegate only decisions.</w:t>
      </w:r>
    </w:p>
    <w:p w14:paraId="283E8B75" w14:textId="7E4F98DD" w:rsidR="002F7A29" w:rsidRPr="00F248D6" w:rsidRDefault="002F7A29" w:rsidP="0006454C">
      <w:pPr>
        <w:spacing w:after="0"/>
        <w:rPr>
          <w:sz w:val="22"/>
          <w:szCs w:val="22"/>
        </w:rPr>
      </w:pPr>
      <w:r w:rsidRPr="00F248D6">
        <w:rPr>
          <w:sz w:val="22"/>
          <w:szCs w:val="22"/>
        </w:rPr>
        <w:t>Notification of amendments to the Poisons Standard in relation NCEs</w:t>
      </w:r>
      <w:r w:rsidR="00447F08" w:rsidRPr="00F248D6">
        <w:rPr>
          <w:sz w:val="22"/>
          <w:szCs w:val="22"/>
        </w:rPr>
        <w:t xml:space="preserve"> </w:t>
      </w:r>
      <w:r w:rsidRPr="00F248D6">
        <w:rPr>
          <w:sz w:val="22"/>
          <w:szCs w:val="22"/>
        </w:rPr>
        <w:t xml:space="preserve">and final decisions (without interim decision) made pursuant to regulation 42ZCZU (delegate-only decisions) were published on the TGA website on </w:t>
      </w:r>
      <w:hyperlink r:id="rId17" w:history="1">
        <w:r w:rsidR="00527CF7" w:rsidRPr="00F248D6">
          <w:rPr>
            <w:rStyle w:val="Hyperlink"/>
            <w:sz w:val="22"/>
            <w:szCs w:val="22"/>
          </w:rPr>
          <w:t>13 April</w:t>
        </w:r>
        <w:r w:rsidR="0070361B" w:rsidRPr="00F248D6">
          <w:rPr>
            <w:rStyle w:val="Hyperlink"/>
            <w:sz w:val="22"/>
            <w:szCs w:val="22"/>
          </w:rPr>
          <w:t xml:space="preserve"> 2022</w:t>
        </w:r>
      </w:hyperlink>
      <w:r w:rsidRPr="00F248D6">
        <w:rPr>
          <w:sz w:val="22"/>
          <w:szCs w:val="22"/>
        </w:rPr>
        <w:t>.</w:t>
      </w:r>
    </w:p>
    <w:p w14:paraId="7AE7D058" w14:textId="113D6098" w:rsidR="0006454C" w:rsidRPr="00F248D6" w:rsidRDefault="0006454C" w:rsidP="009D09A6">
      <w:pPr>
        <w:spacing w:after="0"/>
        <w:rPr>
          <w:rFonts w:eastAsiaTheme="minorHAnsi"/>
          <w:sz w:val="22"/>
          <w:szCs w:val="22"/>
          <w:lang w:val="en-AU"/>
        </w:rPr>
      </w:pPr>
      <w:r w:rsidRPr="00F248D6">
        <w:rPr>
          <w:rFonts w:eastAsiaTheme="minorHAnsi"/>
          <w:sz w:val="22"/>
          <w:szCs w:val="22"/>
          <w:lang w:val="en-AU"/>
        </w:rPr>
        <w:t>A f</w:t>
      </w:r>
      <w:r w:rsidR="000F0360" w:rsidRPr="00F248D6">
        <w:rPr>
          <w:rFonts w:eastAsiaTheme="minorHAnsi"/>
          <w:sz w:val="22"/>
          <w:szCs w:val="22"/>
          <w:lang w:val="en-AU"/>
        </w:rPr>
        <w:t>urther minor amendmen</w:t>
      </w:r>
      <w:r w:rsidR="000E4994" w:rsidRPr="00F248D6">
        <w:rPr>
          <w:rFonts w:eastAsiaTheme="minorHAnsi"/>
          <w:sz w:val="22"/>
          <w:szCs w:val="22"/>
          <w:lang w:val="en-AU"/>
        </w:rPr>
        <w:t>t</w:t>
      </w:r>
      <w:r w:rsidR="00AD0F2A" w:rsidRPr="00F248D6">
        <w:rPr>
          <w:rFonts w:eastAsiaTheme="minorHAnsi"/>
          <w:sz w:val="22"/>
          <w:szCs w:val="22"/>
          <w:lang w:val="en-AU"/>
        </w:rPr>
        <w:t xml:space="preserve"> </w:t>
      </w:r>
      <w:r w:rsidR="00C90ACB" w:rsidRPr="00F248D6">
        <w:rPr>
          <w:rFonts w:eastAsiaTheme="minorHAnsi"/>
          <w:sz w:val="22"/>
          <w:szCs w:val="22"/>
          <w:lang w:val="en-AU"/>
        </w:rPr>
        <w:t xml:space="preserve">with respect to the presentation of </w:t>
      </w:r>
      <w:proofErr w:type="spellStart"/>
      <w:r w:rsidR="00C90ACB" w:rsidRPr="00F248D6">
        <w:rPr>
          <w:rFonts w:eastAsiaTheme="minorHAnsi"/>
          <w:sz w:val="22"/>
          <w:szCs w:val="22"/>
          <w:lang w:val="en-AU"/>
        </w:rPr>
        <w:t>debitterised</w:t>
      </w:r>
      <w:proofErr w:type="spellEnd"/>
      <w:r w:rsidR="00C90ACB" w:rsidRPr="00F248D6">
        <w:rPr>
          <w:rFonts w:eastAsiaTheme="minorHAnsi"/>
          <w:sz w:val="22"/>
          <w:szCs w:val="22"/>
          <w:lang w:val="en-AU"/>
        </w:rPr>
        <w:t xml:space="preserve"> neem seed oil </w:t>
      </w:r>
      <w:r w:rsidR="000F0360" w:rsidRPr="00F248D6">
        <w:rPr>
          <w:rFonts w:eastAsiaTheme="minorHAnsi"/>
          <w:sz w:val="22"/>
          <w:szCs w:val="22"/>
          <w:lang w:val="en-AU"/>
        </w:rPr>
        <w:t>ha</w:t>
      </w:r>
      <w:r w:rsidR="00C90ACB" w:rsidRPr="00F248D6">
        <w:rPr>
          <w:rFonts w:eastAsiaTheme="minorHAnsi"/>
          <w:sz w:val="22"/>
          <w:szCs w:val="22"/>
          <w:lang w:val="en-AU"/>
        </w:rPr>
        <w:t>s</w:t>
      </w:r>
      <w:r w:rsidR="000F0360" w:rsidRPr="00F248D6">
        <w:rPr>
          <w:rFonts w:eastAsiaTheme="minorHAnsi"/>
          <w:sz w:val="22"/>
          <w:szCs w:val="22"/>
          <w:lang w:val="en-AU"/>
        </w:rPr>
        <w:t xml:space="preserve"> </w:t>
      </w:r>
      <w:r w:rsidRPr="00F248D6">
        <w:rPr>
          <w:rFonts w:eastAsiaTheme="minorHAnsi"/>
          <w:sz w:val="22"/>
          <w:szCs w:val="22"/>
          <w:lang w:val="en-AU"/>
        </w:rPr>
        <w:t xml:space="preserve">also </w:t>
      </w:r>
      <w:r w:rsidR="000F0360" w:rsidRPr="00F248D6">
        <w:rPr>
          <w:rFonts w:eastAsiaTheme="minorHAnsi"/>
          <w:sz w:val="22"/>
          <w:szCs w:val="22"/>
          <w:lang w:val="en-AU"/>
        </w:rPr>
        <w:t xml:space="preserve">been incorporated in the </w:t>
      </w:r>
      <w:r w:rsidR="000F0360" w:rsidRPr="00F248D6">
        <w:rPr>
          <w:rFonts w:eastAsiaTheme="minorHAnsi"/>
          <w:i/>
          <w:sz w:val="22"/>
          <w:szCs w:val="22"/>
          <w:lang w:val="en-AU"/>
        </w:rPr>
        <w:t>Poisons Standard</w:t>
      </w:r>
      <w:r w:rsidR="00706D4D" w:rsidRPr="00F248D6">
        <w:rPr>
          <w:rFonts w:eastAsiaTheme="minorHAnsi"/>
          <w:i/>
          <w:sz w:val="22"/>
          <w:szCs w:val="22"/>
          <w:lang w:val="en-AU"/>
        </w:rPr>
        <w:t xml:space="preserve"> June</w:t>
      </w:r>
      <w:r w:rsidR="000F0360" w:rsidRPr="00F248D6">
        <w:rPr>
          <w:rFonts w:eastAsiaTheme="minorHAnsi"/>
          <w:i/>
          <w:sz w:val="22"/>
          <w:szCs w:val="22"/>
          <w:lang w:val="en-AU"/>
        </w:rPr>
        <w:t xml:space="preserve"> 202</w:t>
      </w:r>
      <w:r w:rsidR="008D3DA2" w:rsidRPr="00F248D6">
        <w:rPr>
          <w:rFonts w:eastAsiaTheme="minorHAnsi"/>
          <w:i/>
          <w:sz w:val="22"/>
          <w:szCs w:val="22"/>
          <w:lang w:val="en-AU"/>
        </w:rPr>
        <w:t>2</w:t>
      </w:r>
      <w:r w:rsidR="00AE5E6C" w:rsidRPr="00F248D6">
        <w:rPr>
          <w:rFonts w:eastAsiaTheme="minorHAnsi"/>
          <w:sz w:val="22"/>
          <w:szCs w:val="22"/>
          <w:lang w:val="en-AU"/>
        </w:rPr>
        <w:t xml:space="preserve"> to</w:t>
      </w:r>
      <w:r w:rsidRPr="00F248D6">
        <w:rPr>
          <w:rFonts w:eastAsiaTheme="minorHAnsi"/>
          <w:sz w:val="22"/>
          <w:szCs w:val="22"/>
          <w:lang w:val="en-AU"/>
        </w:rPr>
        <w:t xml:space="preserve"> improve consistency</w:t>
      </w:r>
      <w:r w:rsidR="00C90ACB" w:rsidRPr="00F248D6">
        <w:rPr>
          <w:rFonts w:eastAsiaTheme="minorHAnsi"/>
          <w:sz w:val="22"/>
          <w:szCs w:val="22"/>
          <w:lang w:val="en-AU"/>
        </w:rPr>
        <w:t>.</w:t>
      </w:r>
    </w:p>
    <w:p w14:paraId="0F2E8DC2" w14:textId="02E54078" w:rsidR="002C290C" w:rsidRPr="00F248D6" w:rsidRDefault="002C290C" w:rsidP="0006454C">
      <w:pPr>
        <w:rPr>
          <w:rFonts w:eastAsiaTheme="minorHAnsi"/>
          <w:sz w:val="22"/>
          <w:szCs w:val="22"/>
          <w:lang w:val="en-AU"/>
        </w:rPr>
      </w:pPr>
      <w:r w:rsidRPr="00F248D6">
        <w:rPr>
          <w:rFonts w:eastAsiaTheme="minorHAnsi"/>
          <w:sz w:val="22"/>
          <w:szCs w:val="22"/>
        </w:rPr>
        <w:lastRenderedPageBreak/>
        <w:t xml:space="preserve">The decisions to </w:t>
      </w:r>
      <w:r w:rsidR="0006454C" w:rsidRPr="00F248D6">
        <w:rPr>
          <w:rFonts w:eastAsiaTheme="minorHAnsi"/>
          <w:sz w:val="22"/>
          <w:szCs w:val="22"/>
        </w:rPr>
        <w:t xml:space="preserve">incorporate new substances in the Poisons Standard for the first time, and to </w:t>
      </w:r>
      <w:r w:rsidRPr="00F248D6">
        <w:rPr>
          <w:rFonts w:eastAsiaTheme="minorHAnsi"/>
          <w:sz w:val="22"/>
          <w:szCs w:val="22"/>
        </w:rPr>
        <w:t xml:space="preserve">make minor </w:t>
      </w:r>
      <w:r w:rsidR="0006454C" w:rsidRPr="00F248D6">
        <w:rPr>
          <w:rFonts w:eastAsiaTheme="minorHAnsi"/>
          <w:sz w:val="22"/>
          <w:szCs w:val="22"/>
        </w:rPr>
        <w:t xml:space="preserve">amendments and </w:t>
      </w:r>
      <w:r w:rsidRPr="00F248D6">
        <w:rPr>
          <w:rFonts w:eastAsiaTheme="minorHAnsi"/>
          <w:sz w:val="22"/>
          <w:szCs w:val="22"/>
        </w:rPr>
        <w:t>corrections</w:t>
      </w:r>
      <w:r w:rsidR="00C51863" w:rsidRPr="00F248D6">
        <w:rPr>
          <w:rFonts w:eastAsiaTheme="minorHAnsi"/>
          <w:sz w:val="22"/>
          <w:szCs w:val="22"/>
        </w:rPr>
        <w:t>,</w:t>
      </w:r>
      <w:r w:rsidR="00D910A4" w:rsidRPr="00F248D6">
        <w:rPr>
          <w:rFonts w:eastAsiaTheme="minorHAnsi"/>
          <w:sz w:val="22"/>
          <w:szCs w:val="22"/>
        </w:rPr>
        <w:t xml:space="preserve"> </w:t>
      </w:r>
      <w:r w:rsidRPr="00F248D6">
        <w:rPr>
          <w:rFonts w:eastAsiaTheme="minorHAnsi"/>
          <w:sz w:val="22"/>
          <w:szCs w:val="22"/>
        </w:rPr>
        <w:t>were</w:t>
      </w:r>
      <w:r w:rsidR="00667343" w:rsidRPr="00F248D6">
        <w:rPr>
          <w:rFonts w:eastAsiaTheme="minorHAnsi"/>
          <w:sz w:val="22"/>
          <w:szCs w:val="22"/>
        </w:rPr>
        <w:t xml:space="preserve"> made as</w:t>
      </w:r>
      <w:r w:rsidRPr="00F248D6">
        <w:rPr>
          <w:rFonts w:eastAsiaTheme="minorHAnsi"/>
          <w:sz w:val="22"/>
          <w:szCs w:val="22"/>
        </w:rPr>
        <w:t xml:space="preserve"> delegate-only decisions in accordance with the SPF.</w:t>
      </w:r>
      <w:r w:rsidR="00130AA6" w:rsidRPr="00F248D6">
        <w:rPr>
          <w:rFonts w:eastAsiaTheme="minorHAnsi"/>
          <w:sz w:val="22"/>
          <w:szCs w:val="22"/>
        </w:rPr>
        <w:t xml:space="preserve"> </w:t>
      </w:r>
      <w:r w:rsidRPr="00F248D6">
        <w:rPr>
          <w:rFonts w:eastAsiaTheme="minorHAnsi"/>
          <w:sz w:val="22"/>
          <w:szCs w:val="22"/>
        </w:rPr>
        <w:t>These were considered sufficiently straightforward and did not require public consultation.</w:t>
      </w:r>
    </w:p>
    <w:p w14:paraId="55C4FDBC" w14:textId="0314808A" w:rsidR="00BC648F" w:rsidRPr="00F248D6" w:rsidRDefault="00BC648F" w:rsidP="00BC648F">
      <w:pPr>
        <w:rPr>
          <w:rFonts w:eastAsiaTheme="minorHAnsi"/>
          <w:sz w:val="22"/>
          <w:szCs w:val="22"/>
          <w:lang w:val="en-AU"/>
        </w:rPr>
      </w:pPr>
      <w:r w:rsidRPr="00F248D6">
        <w:rPr>
          <w:rFonts w:eastAsiaTheme="minorHAnsi"/>
          <w:sz w:val="22"/>
          <w:szCs w:val="22"/>
          <w:lang w:val="en-AU"/>
        </w:rPr>
        <w:t xml:space="preserve">The </w:t>
      </w:r>
      <w:r w:rsidR="004E70F4" w:rsidRPr="00F248D6">
        <w:rPr>
          <w:rFonts w:eastAsiaTheme="minorHAnsi"/>
          <w:i/>
          <w:sz w:val="22"/>
          <w:szCs w:val="22"/>
          <w:lang w:val="en-AU"/>
        </w:rPr>
        <w:t xml:space="preserve">Poisons Standard </w:t>
      </w:r>
      <w:r w:rsidR="00E94104" w:rsidRPr="00F248D6">
        <w:rPr>
          <w:rFonts w:eastAsiaTheme="minorHAnsi"/>
          <w:i/>
          <w:sz w:val="22"/>
          <w:szCs w:val="22"/>
          <w:lang w:val="en-AU"/>
        </w:rPr>
        <w:t>June</w:t>
      </w:r>
      <w:r w:rsidR="0016323D" w:rsidRPr="00F248D6">
        <w:rPr>
          <w:rFonts w:eastAsiaTheme="minorHAnsi"/>
          <w:i/>
          <w:sz w:val="22"/>
          <w:szCs w:val="22"/>
          <w:lang w:val="en-AU"/>
        </w:rPr>
        <w:t xml:space="preserve"> 2022</w:t>
      </w:r>
      <w:r w:rsidR="00DA6D2F" w:rsidRPr="00F248D6">
        <w:rPr>
          <w:rFonts w:eastAsiaTheme="minorHAnsi"/>
          <w:i/>
          <w:sz w:val="22"/>
          <w:szCs w:val="22"/>
          <w:lang w:val="en-AU"/>
        </w:rPr>
        <w:t xml:space="preserve"> </w:t>
      </w:r>
      <w:r w:rsidRPr="00F248D6">
        <w:rPr>
          <w:rFonts w:eastAsiaTheme="minorHAnsi"/>
          <w:sz w:val="22"/>
          <w:szCs w:val="22"/>
          <w:lang w:val="en-AU"/>
        </w:rPr>
        <w:t xml:space="preserve">is a legislative instrument for the purposes of the </w:t>
      </w:r>
      <w:r w:rsidRPr="00F248D6">
        <w:rPr>
          <w:rFonts w:eastAsiaTheme="minorHAnsi"/>
          <w:i/>
          <w:sz w:val="22"/>
          <w:szCs w:val="22"/>
          <w:lang w:val="en-AU"/>
        </w:rPr>
        <w:t>Legislation Act 2003</w:t>
      </w:r>
      <w:r w:rsidRPr="00F248D6">
        <w:rPr>
          <w:rFonts w:eastAsiaTheme="minorHAnsi"/>
          <w:sz w:val="22"/>
          <w:szCs w:val="22"/>
          <w:lang w:val="en-AU"/>
        </w:rPr>
        <w:t>.</w:t>
      </w:r>
      <w:r w:rsidR="0072604D" w:rsidRPr="00F248D6">
        <w:rPr>
          <w:rFonts w:eastAsiaTheme="minorHAnsi"/>
          <w:sz w:val="22"/>
          <w:szCs w:val="22"/>
          <w:lang w:val="en-AU"/>
        </w:rPr>
        <w:t xml:space="preserve"> </w:t>
      </w:r>
      <w:r w:rsidRPr="00F248D6">
        <w:rPr>
          <w:rFonts w:eastAsiaTheme="minorHAnsi"/>
          <w:sz w:val="22"/>
          <w:szCs w:val="22"/>
          <w:lang w:val="en-AU"/>
        </w:rPr>
        <w:t xml:space="preserve">However, section 42 of the </w:t>
      </w:r>
      <w:r w:rsidRPr="00F248D6">
        <w:rPr>
          <w:rFonts w:eastAsiaTheme="minorHAnsi"/>
          <w:i/>
          <w:sz w:val="22"/>
          <w:szCs w:val="22"/>
          <w:lang w:val="en-AU"/>
        </w:rPr>
        <w:t>L</w:t>
      </w:r>
      <w:r w:rsidR="0056728C" w:rsidRPr="00F248D6">
        <w:rPr>
          <w:rFonts w:eastAsiaTheme="minorHAnsi"/>
          <w:i/>
          <w:sz w:val="22"/>
          <w:szCs w:val="22"/>
          <w:lang w:val="en-AU"/>
        </w:rPr>
        <w:t xml:space="preserve">egislation </w:t>
      </w:r>
      <w:r w:rsidRPr="00F248D6">
        <w:rPr>
          <w:rFonts w:eastAsiaTheme="minorHAnsi"/>
          <w:i/>
          <w:sz w:val="22"/>
          <w:szCs w:val="22"/>
          <w:lang w:val="en-AU"/>
        </w:rPr>
        <w:t>A</w:t>
      </w:r>
      <w:r w:rsidR="0056728C" w:rsidRPr="00F248D6">
        <w:rPr>
          <w:rFonts w:eastAsiaTheme="minorHAnsi"/>
          <w:i/>
          <w:sz w:val="22"/>
          <w:szCs w:val="22"/>
          <w:lang w:val="en-AU"/>
        </w:rPr>
        <w:t>ct 2003</w:t>
      </w:r>
      <w:r w:rsidRPr="00F248D6">
        <w:rPr>
          <w:rFonts w:eastAsiaTheme="minorHAnsi"/>
          <w:sz w:val="22"/>
          <w:szCs w:val="22"/>
          <w:lang w:val="en-AU"/>
        </w:rPr>
        <w:t xml:space="preserve"> </w:t>
      </w:r>
      <w:r w:rsidR="004B672A" w:rsidRPr="00F248D6">
        <w:rPr>
          <w:rFonts w:eastAsiaTheme="minorHAnsi"/>
          <w:sz w:val="22"/>
          <w:szCs w:val="22"/>
          <w:lang w:val="en-AU"/>
        </w:rPr>
        <w:t xml:space="preserve">relating to </w:t>
      </w:r>
      <w:r w:rsidR="00E774B6" w:rsidRPr="00F248D6">
        <w:rPr>
          <w:rFonts w:eastAsiaTheme="minorHAnsi"/>
          <w:sz w:val="22"/>
          <w:szCs w:val="22"/>
          <w:lang w:val="en-AU"/>
        </w:rPr>
        <w:t xml:space="preserve">disallowance </w:t>
      </w:r>
      <w:r w:rsidRPr="00F248D6">
        <w:rPr>
          <w:rFonts w:eastAsiaTheme="minorHAnsi"/>
          <w:sz w:val="22"/>
          <w:szCs w:val="22"/>
          <w:lang w:val="en-AU"/>
        </w:rPr>
        <w:t>does not apply (</w:t>
      </w:r>
      <w:r w:rsidR="00E80292" w:rsidRPr="00F248D6">
        <w:rPr>
          <w:rFonts w:eastAsiaTheme="minorHAnsi"/>
          <w:sz w:val="22"/>
          <w:szCs w:val="22"/>
          <w:lang w:val="en-AU"/>
        </w:rPr>
        <w:t>s</w:t>
      </w:r>
      <w:r w:rsidRPr="00F248D6">
        <w:rPr>
          <w:rFonts w:eastAsiaTheme="minorHAnsi"/>
          <w:sz w:val="22"/>
          <w:szCs w:val="22"/>
          <w:lang w:val="en-AU"/>
        </w:rPr>
        <w:t>ubsection 52D(4A) of the Act</w:t>
      </w:r>
      <w:r w:rsidR="00C1609C" w:rsidRPr="00F248D6">
        <w:rPr>
          <w:rFonts w:eastAsiaTheme="minorHAnsi"/>
          <w:sz w:val="22"/>
          <w:szCs w:val="22"/>
          <w:lang w:val="en-AU"/>
        </w:rPr>
        <w:t xml:space="preserve"> refers</w:t>
      </w:r>
      <w:r w:rsidRPr="00F248D6">
        <w:rPr>
          <w:rFonts w:eastAsiaTheme="minorHAnsi"/>
          <w:sz w:val="22"/>
          <w:szCs w:val="22"/>
          <w:lang w:val="en-AU"/>
        </w:rPr>
        <w:t xml:space="preserve">). As </w:t>
      </w:r>
      <w:r w:rsidR="00C1609C" w:rsidRPr="00F248D6">
        <w:rPr>
          <w:rFonts w:eastAsiaTheme="minorHAnsi"/>
          <w:sz w:val="22"/>
          <w:szCs w:val="22"/>
          <w:lang w:val="en-AU"/>
        </w:rPr>
        <w:t xml:space="preserve">the </w:t>
      </w:r>
      <w:r w:rsidR="00C1609C" w:rsidRPr="00F248D6">
        <w:rPr>
          <w:rFonts w:eastAsiaTheme="minorHAnsi"/>
          <w:i/>
          <w:iCs/>
          <w:sz w:val="22"/>
          <w:szCs w:val="22"/>
          <w:lang w:val="en-AU"/>
        </w:rPr>
        <w:t xml:space="preserve">Poisons Standard </w:t>
      </w:r>
      <w:r w:rsidR="00E94104" w:rsidRPr="00F248D6">
        <w:rPr>
          <w:rFonts w:eastAsiaTheme="minorHAnsi"/>
          <w:i/>
          <w:iCs/>
          <w:sz w:val="22"/>
          <w:szCs w:val="22"/>
          <w:lang w:val="en-AU"/>
        </w:rPr>
        <w:t>June</w:t>
      </w:r>
      <w:r w:rsidR="0016323D" w:rsidRPr="00F248D6">
        <w:rPr>
          <w:rFonts w:eastAsiaTheme="minorHAnsi"/>
          <w:i/>
          <w:iCs/>
          <w:sz w:val="22"/>
          <w:szCs w:val="22"/>
          <w:lang w:val="en-AU"/>
        </w:rPr>
        <w:t xml:space="preserve"> 2022</w:t>
      </w:r>
      <w:r w:rsidR="00C1609C" w:rsidRPr="00F248D6">
        <w:rPr>
          <w:rFonts w:eastAsiaTheme="minorHAnsi"/>
          <w:sz w:val="22"/>
          <w:szCs w:val="22"/>
          <w:lang w:val="en-AU"/>
        </w:rPr>
        <w:t xml:space="preserve"> is not disallowable</w:t>
      </w:r>
      <w:r w:rsidRPr="00F248D6">
        <w:rPr>
          <w:rFonts w:eastAsiaTheme="minorHAnsi"/>
          <w:sz w:val="22"/>
          <w:szCs w:val="22"/>
          <w:lang w:val="en-AU"/>
        </w:rPr>
        <w:t xml:space="preserve">, subsection 9(1) of the </w:t>
      </w:r>
      <w:r w:rsidRPr="00F248D6">
        <w:rPr>
          <w:rFonts w:eastAsiaTheme="minorHAnsi"/>
          <w:i/>
          <w:sz w:val="22"/>
          <w:szCs w:val="22"/>
          <w:lang w:val="en-AU"/>
        </w:rPr>
        <w:t>Human Rights (Parliamentary Scrutiny) Act 2011</w:t>
      </w:r>
      <w:r w:rsidRPr="00F248D6">
        <w:rPr>
          <w:rFonts w:eastAsiaTheme="minorHAnsi"/>
          <w:sz w:val="22"/>
          <w:szCs w:val="22"/>
          <w:lang w:val="en-AU"/>
        </w:rPr>
        <w:t xml:space="preserve"> does not require that </w:t>
      </w:r>
      <w:r w:rsidR="00E774B6" w:rsidRPr="00F248D6">
        <w:rPr>
          <w:rFonts w:eastAsiaTheme="minorHAnsi"/>
          <w:sz w:val="22"/>
          <w:szCs w:val="22"/>
          <w:lang w:val="en-AU"/>
        </w:rPr>
        <w:t xml:space="preserve">the instrument </w:t>
      </w:r>
      <w:r w:rsidRPr="00F248D6">
        <w:rPr>
          <w:rFonts w:eastAsiaTheme="minorHAnsi"/>
          <w:sz w:val="22"/>
          <w:szCs w:val="22"/>
          <w:lang w:val="en-AU"/>
        </w:rPr>
        <w:t>be accompanied by a statement of compatibility with the human rights recognised under that Act.</w:t>
      </w:r>
    </w:p>
    <w:p w14:paraId="6335599B" w14:textId="43C7E4D7" w:rsidR="00C1609C" w:rsidRPr="00F248D6" w:rsidRDefault="00C1609C" w:rsidP="00BC648F">
      <w:pPr>
        <w:rPr>
          <w:sz w:val="22"/>
          <w:szCs w:val="22"/>
        </w:rPr>
      </w:pPr>
      <w:r w:rsidRPr="00F248D6">
        <w:rPr>
          <w:sz w:val="22"/>
          <w:szCs w:val="22"/>
        </w:rPr>
        <w:t xml:space="preserve">In providing that disallowance does not apply to an instrument made under paragraphs 52D(2)(a) or (b) of the Act, subsection 52D(4A) of the Act appropriately </w:t>
      </w:r>
      <w:proofErr w:type="spellStart"/>
      <w:r w:rsidRPr="00F248D6">
        <w:rPr>
          <w:sz w:val="22"/>
          <w:szCs w:val="22"/>
        </w:rPr>
        <w:t>recognises</w:t>
      </w:r>
      <w:proofErr w:type="spellEnd"/>
      <w:r w:rsidRPr="00F248D6">
        <w:rPr>
          <w:sz w:val="22"/>
          <w:szCs w:val="22"/>
        </w:rPr>
        <w:t xml:space="preserve"> that instruments made under these paragraphs form part of an intergovernmental scheme, which should not be subject to unilateral disallowance by the Commonwealth Parliament, consistent with section 44 of the Legislation Act. Under this scheme, the current Poisons Standard principally provides a set of recommendations to the states and territories as to the appropriate level of controls that should apply to medicines and poisons. </w:t>
      </w:r>
    </w:p>
    <w:p w14:paraId="5FCF6E0F" w14:textId="59C11648" w:rsidR="00C1609C" w:rsidRPr="00F248D6" w:rsidRDefault="00C1609C" w:rsidP="00BC648F">
      <w:pPr>
        <w:rPr>
          <w:sz w:val="22"/>
          <w:szCs w:val="22"/>
        </w:rPr>
      </w:pPr>
      <w:r w:rsidRPr="00F248D6">
        <w:rPr>
          <w:sz w:val="22"/>
          <w:szCs w:val="22"/>
        </w:rPr>
        <w:t xml:space="preserve">The </w:t>
      </w:r>
      <w:r w:rsidR="009C1EA0" w:rsidRPr="00F248D6">
        <w:rPr>
          <w:sz w:val="22"/>
          <w:szCs w:val="22"/>
        </w:rPr>
        <w:t>s</w:t>
      </w:r>
      <w:r w:rsidRPr="00F248D6">
        <w:rPr>
          <w:sz w:val="22"/>
          <w:szCs w:val="22"/>
        </w:rPr>
        <w:t xml:space="preserve">tates and </w:t>
      </w:r>
      <w:r w:rsidR="009C1EA0" w:rsidRPr="00F248D6">
        <w:rPr>
          <w:sz w:val="22"/>
          <w:szCs w:val="22"/>
        </w:rPr>
        <w:t>t</w:t>
      </w:r>
      <w:r w:rsidRPr="00F248D6">
        <w:rPr>
          <w:sz w:val="22"/>
          <w:szCs w:val="22"/>
        </w:rPr>
        <w:t>erritories regulate such substances by electing to apply the current Poisons Standard as a law within their own jurisdiction.</w:t>
      </w:r>
      <w:r w:rsidR="008F17B2" w:rsidRPr="00F248D6">
        <w:rPr>
          <w:sz w:val="22"/>
          <w:szCs w:val="22"/>
        </w:rPr>
        <w:t xml:space="preserve"> </w:t>
      </w:r>
      <w:r w:rsidRPr="00F248D6">
        <w:rPr>
          <w:sz w:val="22"/>
          <w:szCs w:val="22"/>
        </w:rPr>
        <w:t xml:space="preserve">In this way, the current Poisons Standard does not have direct </w:t>
      </w:r>
      <w:proofErr w:type="gramStart"/>
      <w:r w:rsidRPr="00F248D6">
        <w:rPr>
          <w:sz w:val="22"/>
          <w:szCs w:val="22"/>
        </w:rPr>
        <w:t>application in its own right</w:t>
      </w:r>
      <w:proofErr w:type="gramEnd"/>
      <w:r w:rsidRPr="00F248D6">
        <w:rPr>
          <w:sz w:val="22"/>
          <w:szCs w:val="22"/>
        </w:rPr>
        <w:t xml:space="preserve">. If the current Poisons Standard was to be subject to disallowance, this would impact the current uniform system of restrictions in Australia relating to the supply of scheduled </w:t>
      </w:r>
      <w:proofErr w:type="gramStart"/>
      <w:r w:rsidRPr="00F248D6">
        <w:rPr>
          <w:sz w:val="22"/>
          <w:szCs w:val="22"/>
        </w:rPr>
        <w:t>substances, and</w:t>
      </w:r>
      <w:proofErr w:type="gramEnd"/>
      <w:r w:rsidR="008F17B2" w:rsidRPr="00F248D6">
        <w:rPr>
          <w:sz w:val="22"/>
          <w:szCs w:val="22"/>
        </w:rPr>
        <w:t xml:space="preserve"> would</w:t>
      </w:r>
      <w:r w:rsidRPr="00F248D6">
        <w:rPr>
          <w:sz w:val="22"/>
          <w:szCs w:val="22"/>
        </w:rPr>
        <w:t xml:space="preserve"> lead to confusion and different approaches across different </w:t>
      </w:r>
      <w:r w:rsidR="009C1EA0" w:rsidRPr="00F248D6">
        <w:rPr>
          <w:sz w:val="22"/>
          <w:szCs w:val="22"/>
        </w:rPr>
        <w:t>s</w:t>
      </w:r>
      <w:r w:rsidRPr="00F248D6">
        <w:rPr>
          <w:sz w:val="22"/>
          <w:szCs w:val="22"/>
        </w:rPr>
        <w:t xml:space="preserve">tates and </w:t>
      </w:r>
      <w:r w:rsidR="009C1EA0" w:rsidRPr="00F248D6">
        <w:rPr>
          <w:sz w:val="22"/>
          <w:szCs w:val="22"/>
        </w:rPr>
        <w:t>t</w:t>
      </w:r>
      <w:r w:rsidRPr="00F248D6">
        <w:rPr>
          <w:sz w:val="22"/>
          <w:szCs w:val="22"/>
        </w:rPr>
        <w:t>erritories with respect to their handling, storage, possession and supply</w:t>
      </w:r>
      <w:r w:rsidR="008F17B2" w:rsidRPr="00F248D6">
        <w:rPr>
          <w:sz w:val="22"/>
          <w:szCs w:val="22"/>
        </w:rPr>
        <w:t xml:space="preserve"> of scheduled substances</w:t>
      </w:r>
      <w:r w:rsidRPr="00F248D6">
        <w:rPr>
          <w:sz w:val="22"/>
          <w:szCs w:val="22"/>
        </w:rPr>
        <w:t>.</w:t>
      </w:r>
    </w:p>
    <w:p w14:paraId="21C428DC" w14:textId="4ABEABE7" w:rsidR="00C1609C" w:rsidRPr="00F248D6" w:rsidRDefault="00C1609C" w:rsidP="00474A00">
      <w:pPr>
        <w:rPr>
          <w:rFonts w:eastAsiaTheme="minorHAnsi"/>
          <w:sz w:val="22"/>
          <w:szCs w:val="22"/>
          <w:lang w:val="en-AU"/>
        </w:rPr>
      </w:pPr>
      <w:r w:rsidRPr="00F248D6">
        <w:rPr>
          <w:sz w:val="22"/>
          <w:szCs w:val="22"/>
        </w:rPr>
        <w:t>Further, as inclusion of new medicines in the current Poisons Standard is often a consequence of the granting of marketing approval of new medicines under the Act, it is likely that disallowance would also lead to delays for Australian patients in accessing new and effective treatments.</w:t>
      </w:r>
    </w:p>
    <w:p w14:paraId="014702FF" w14:textId="79260520" w:rsidR="00BE1BAD" w:rsidRPr="00130AA6" w:rsidRDefault="00BC648F" w:rsidP="00971403">
      <w:pPr>
        <w:spacing w:before="0" w:after="0"/>
        <w:rPr>
          <w:sz w:val="22"/>
          <w:szCs w:val="22"/>
        </w:rPr>
      </w:pPr>
      <w:r w:rsidRPr="00F248D6">
        <w:rPr>
          <w:rFonts w:eastAsiaTheme="minorHAnsi"/>
          <w:sz w:val="22"/>
          <w:szCs w:val="22"/>
          <w:lang w:val="en-AU"/>
        </w:rPr>
        <w:t xml:space="preserve">The </w:t>
      </w:r>
      <w:r w:rsidR="007773F8" w:rsidRPr="00F248D6">
        <w:rPr>
          <w:rFonts w:eastAsiaTheme="minorHAnsi"/>
          <w:i/>
          <w:sz w:val="22"/>
          <w:szCs w:val="22"/>
          <w:lang w:val="en-AU"/>
        </w:rPr>
        <w:t xml:space="preserve">Poisons Standard </w:t>
      </w:r>
      <w:r w:rsidR="00E94104" w:rsidRPr="00F248D6">
        <w:rPr>
          <w:rFonts w:eastAsiaTheme="minorHAnsi"/>
          <w:i/>
          <w:sz w:val="22"/>
          <w:szCs w:val="22"/>
          <w:lang w:val="en-AU"/>
        </w:rPr>
        <w:t>June</w:t>
      </w:r>
      <w:r w:rsidR="00DA6D2F" w:rsidRPr="00F248D6">
        <w:rPr>
          <w:rFonts w:eastAsiaTheme="minorHAnsi"/>
          <w:i/>
          <w:sz w:val="22"/>
          <w:szCs w:val="22"/>
          <w:lang w:val="en-AU"/>
        </w:rPr>
        <w:t xml:space="preserve"> 202</w:t>
      </w:r>
      <w:r w:rsidR="008D3DA2" w:rsidRPr="00F248D6">
        <w:rPr>
          <w:rFonts w:eastAsiaTheme="minorHAnsi"/>
          <w:i/>
          <w:sz w:val="22"/>
          <w:szCs w:val="22"/>
          <w:lang w:val="en-AU"/>
        </w:rPr>
        <w:t>2</w:t>
      </w:r>
      <w:r w:rsidRPr="00F248D6">
        <w:rPr>
          <w:rFonts w:eastAsiaTheme="minorHAnsi"/>
          <w:sz w:val="22"/>
          <w:szCs w:val="22"/>
          <w:lang w:val="en-AU"/>
        </w:rPr>
        <w:t xml:space="preserve"> commences on 1 </w:t>
      </w:r>
      <w:r w:rsidR="00E94104" w:rsidRPr="00F248D6">
        <w:rPr>
          <w:rFonts w:eastAsiaTheme="minorHAnsi"/>
          <w:sz w:val="22"/>
          <w:szCs w:val="22"/>
          <w:lang w:val="en-AU"/>
        </w:rPr>
        <w:t>June</w:t>
      </w:r>
      <w:r w:rsidR="00DA6D2F" w:rsidRPr="00F248D6">
        <w:rPr>
          <w:rFonts w:eastAsiaTheme="minorHAnsi"/>
          <w:sz w:val="22"/>
          <w:szCs w:val="22"/>
          <w:lang w:val="en-AU"/>
        </w:rPr>
        <w:t xml:space="preserve"> 202</w:t>
      </w:r>
      <w:r w:rsidR="008D3DA2" w:rsidRPr="00F248D6">
        <w:rPr>
          <w:rFonts w:eastAsiaTheme="minorHAnsi"/>
          <w:sz w:val="22"/>
          <w:szCs w:val="22"/>
          <w:lang w:val="en-AU"/>
        </w:rPr>
        <w:t>2</w:t>
      </w:r>
      <w:r w:rsidRPr="00F248D6">
        <w:rPr>
          <w:rFonts w:eastAsiaTheme="minorHAnsi"/>
          <w:sz w:val="22"/>
          <w:szCs w:val="22"/>
          <w:lang w:val="en-AU"/>
        </w:rPr>
        <w:t>.</w:t>
      </w:r>
    </w:p>
    <w:sectPr w:rsidR="00BE1BAD" w:rsidRPr="00130AA6" w:rsidSect="00872BB1">
      <w:footerReference w:type="default" r:id="rId18"/>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CFF2D" w14:textId="77777777" w:rsidR="003F08D4" w:rsidRDefault="003F08D4" w:rsidP="00002885">
      <w:r>
        <w:separator/>
      </w:r>
    </w:p>
  </w:endnote>
  <w:endnote w:type="continuationSeparator" w:id="0">
    <w:p w14:paraId="01423D3C" w14:textId="77777777" w:rsidR="003F08D4" w:rsidRDefault="003F08D4"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240664"/>
      <w:docPartObj>
        <w:docPartGallery w:val="Page Numbers (Bottom of Page)"/>
        <w:docPartUnique/>
      </w:docPartObj>
    </w:sdtPr>
    <w:sdtEndPr>
      <w:rPr>
        <w:noProof/>
        <w:sz w:val="22"/>
        <w:szCs w:val="22"/>
      </w:rPr>
    </w:sdtEndPr>
    <w:sdtContent>
      <w:p w14:paraId="66A852E3" w14:textId="31FB1EE3" w:rsidR="001D49AC" w:rsidRPr="00B041B3" w:rsidRDefault="001D49AC">
        <w:pPr>
          <w:pStyle w:val="Footer"/>
          <w:jc w:val="right"/>
          <w:rPr>
            <w:sz w:val="22"/>
            <w:szCs w:val="22"/>
          </w:rPr>
        </w:pPr>
        <w:r w:rsidRPr="00B041B3">
          <w:rPr>
            <w:sz w:val="22"/>
            <w:szCs w:val="22"/>
          </w:rPr>
          <w:fldChar w:fldCharType="begin"/>
        </w:r>
        <w:r w:rsidRPr="00B041B3">
          <w:rPr>
            <w:sz w:val="22"/>
            <w:szCs w:val="22"/>
          </w:rPr>
          <w:instrText xml:space="preserve"> PAGE   \* MERGEFORMAT </w:instrText>
        </w:r>
        <w:r w:rsidRPr="00B041B3">
          <w:rPr>
            <w:sz w:val="22"/>
            <w:szCs w:val="22"/>
          </w:rPr>
          <w:fldChar w:fldCharType="separate"/>
        </w:r>
        <w:r w:rsidR="00FF79C8">
          <w:rPr>
            <w:noProof/>
            <w:sz w:val="22"/>
            <w:szCs w:val="22"/>
          </w:rPr>
          <w:t>1</w:t>
        </w:r>
        <w:r w:rsidRPr="00B041B3">
          <w:rPr>
            <w:noProof/>
            <w:sz w:val="22"/>
            <w:szCs w:val="22"/>
          </w:rPr>
          <w:fldChar w:fldCharType="end"/>
        </w:r>
      </w:p>
    </w:sdtContent>
  </w:sdt>
  <w:p w14:paraId="6280C8BF"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0858D" w14:textId="77777777" w:rsidR="003F08D4" w:rsidRDefault="003F08D4" w:rsidP="00002885">
      <w:r>
        <w:separator/>
      </w:r>
    </w:p>
  </w:footnote>
  <w:footnote w:type="continuationSeparator" w:id="0">
    <w:p w14:paraId="3CB42343" w14:textId="77777777" w:rsidR="003F08D4" w:rsidRDefault="003F08D4"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156D"/>
    <w:multiLevelType w:val="hybridMultilevel"/>
    <w:tmpl w:val="3EF25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42CB8"/>
    <w:multiLevelType w:val="hybridMultilevel"/>
    <w:tmpl w:val="81A06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5D1A09"/>
    <w:multiLevelType w:val="hybridMultilevel"/>
    <w:tmpl w:val="1F4AA0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2CD34958"/>
    <w:multiLevelType w:val="hybridMultilevel"/>
    <w:tmpl w:val="118E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7E3C61"/>
    <w:multiLevelType w:val="hybridMultilevel"/>
    <w:tmpl w:val="491C1ADC"/>
    <w:lvl w:ilvl="0" w:tplc="B076168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07308C"/>
    <w:multiLevelType w:val="hybridMultilevel"/>
    <w:tmpl w:val="3C641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14666A3"/>
    <w:multiLevelType w:val="hybridMultilevel"/>
    <w:tmpl w:val="B5609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372DD4"/>
    <w:multiLevelType w:val="hybridMultilevel"/>
    <w:tmpl w:val="9ED62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F77EBE"/>
    <w:multiLevelType w:val="hybridMultilevel"/>
    <w:tmpl w:val="2BFCB0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32"/>
  </w:num>
  <w:num w:numId="3">
    <w:abstractNumId w:val="37"/>
  </w:num>
  <w:num w:numId="4">
    <w:abstractNumId w:val="18"/>
  </w:num>
  <w:num w:numId="5">
    <w:abstractNumId w:val="9"/>
  </w:num>
  <w:num w:numId="6">
    <w:abstractNumId w:val="42"/>
  </w:num>
  <w:num w:numId="7">
    <w:abstractNumId w:val="19"/>
  </w:num>
  <w:num w:numId="8">
    <w:abstractNumId w:val="35"/>
  </w:num>
  <w:num w:numId="9">
    <w:abstractNumId w:val="27"/>
  </w:num>
  <w:num w:numId="10">
    <w:abstractNumId w:val="2"/>
  </w:num>
  <w:num w:numId="11">
    <w:abstractNumId w:val="43"/>
  </w:num>
  <w:num w:numId="12">
    <w:abstractNumId w:val="10"/>
  </w:num>
  <w:num w:numId="13">
    <w:abstractNumId w:val="29"/>
  </w:num>
  <w:num w:numId="14">
    <w:abstractNumId w:val="33"/>
  </w:num>
  <w:num w:numId="15">
    <w:abstractNumId w:val="46"/>
  </w:num>
  <w:num w:numId="16">
    <w:abstractNumId w:val="31"/>
  </w:num>
  <w:num w:numId="17">
    <w:abstractNumId w:val="20"/>
  </w:num>
  <w:num w:numId="18">
    <w:abstractNumId w:val="1"/>
  </w:num>
  <w:num w:numId="19">
    <w:abstractNumId w:val="40"/>
  </w:num>
  <w:num w:numId="20">
    <w:abstractNumId w:val="4"/>
  </w:num>
  <w:num w:numId="21">
    <w:abstractNumId w:val="16"/>
  </w:num>
  <w:num w:numId="22">
    <w:abstractNumId w:val="45"/>
  </w:num>
  <w:num w:numId="23">
    <w:abstractNumId w:val="41"/>
  </w:num>
  <w:num w:numId="24">
    <w:abstractNumId w:val="21"/>
  </w:num>
  <w:num w:numId="25">
    <w:abstractNumId w:val="25"/>
  </w:num>
  <w:num w:numId="26">
    <w:abstractNumId w:val="39"/>
  </w:num>
  <w:num w:numId="27">
    <w:abstractNumId w:val="13"/>
  </w:num>
  <w:num w:numId="28">
    <w:abstractNumId w:val="3"/>
  </w:num>
  <w:num w:numId="29">
    <w:abstractNumId w:val="5"/>
    <w:lvlOverride w:ilvl="0"/>
    <w:lvlOverride w:ilvl="1">
      <w:startOverride w:val="1"/>
    </w:lvlOverride>
    <w:lvlOverride w:ilvl="2"/>
    <w:lvlOverride w:ilvl="3"/>
    <w:lvlOverride w:ilvl="4"/>
    <w:lvlOverride w:ilvl="5"/>
    <w:lvlOverride w:ilvl="6"/>
    <w:lvlOverride w:ilvl="7"/>
    <w:lvlOverride w:ilvl="8"/>
  </w:num>
  <w:num w:numId="30">
    <w:abstractNumId w:val="44"/>
  </w:num>
  <w:num w:numId="31">
    <w:abstractNumId w:val="38"/>
  </w:num>
  <w:num w:numId="32">
    <w:abstractNumId w:val="23"/>
  </w:num>
  <w:num w:numId="33">
    <w:abstractNumId w:val="17"/>
  </w:num>
  <w:num w:numId="34">
    <w:abstractNumId w:val="11"/>
  </w:num>
  <w:num w:numId="35">
    <w:abstractNumId w:val="6"/>
  </w:num>
  <w:num w:numId="36">
    <w:abstractNumId w:val="24"/>
  </w:num>
  <w:num w:numId="37">
    <w:abstractNumId w:val="36"/>
  </w:num>
  <w:num w:numId="38">
    <w:abstractNumId w:val="14"/>
  </w:num>
  <w:num w:numId="39">
    <w:abstractNumId w:val="15"/>
  </w:num>
  <w:num w:numId="40">
    <w:abstractNumId w:val="8"/>
  </w:num>
  <w:num w:numId="41">
    <w:abstractNumId w:val="0"/>
  </w:num>
  <w:num w:numId="42">
    <w:abstractNumId w:val="12"/>
  </w:num>
  <w:num w:numId="43">
    <w:abstractNumId w:val="28"/>
  </w:num>
  <w:num w:numId="44">
    <w:abstractNumId w:val="8"/>
  </w:num>
  <w:num w:numId="45">
    <w:abstractNumId w:val="7"/>
  </w:num>
  <w:num w:numId="46">
    <w:abstractNumId w:val="8"/>
  </w:num>
  <w:num w:numId="47">
    <w:abstractNumId w:val="22"/>
  </w:num>
  <w:num w:numId="48">
    <w:abstractNumId w:val="26"/>
  </w:num>
  <w:num w:numId="49">
    <w:abstractNumId w:val="8"/>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CD"/>
    <w:rsid w:val="000014DC"/>
    <w:rsid w:val="00002787"/>
    <w:rsid w:val="00002885"/>
    <w:rsid w:val="000031D3"/>
    <w:rsid w:val="00003F40"/>
    <w:rsid w:val="0000449D"/>
    <w:rsid w:val="00004B55"/>
    <w:rsid w:val="00007D7E"/>
    <w:rsid w:val="000104DC"/>
    <w:rsid w:val="00011147"/>
    <w:rsid w:val="00011923"/>
    <w:rsid w:val="00013101"/>
    <w:rsid w:val="0001344B"/>
    <w:rsid w:val="0001557A"/>
    <w:rsid w:val="00015D91"/>
    <w:rsid w:val="00015F7D"/>
    <w:rsid w:val="000163D5"/>
    <w:rsid w:val="00016497"/>
    <w:rsid w:val="00020B01"/>
    <w:rsid w:val="0002378A"/>
    <w:rsid w:val="000239E4"/>
    <w:rsid w:val="000245BC"/>
    <w:rsid w:val="00024635"/>
    <w:rsid w:val="00024DBC"/>
    <w:rsid w:val="00031606"/>
    <w:rsid w:val="00035E1C"/>
    <w:rsid w:val="000408EE"/>
    <w:rsid w:val="00040E21"/>
    <w:rsid w:val="000410C1"/>
    <w:rsid w:val="000416AC"/>
    <w:rsid w:val="00044A0E"/>
    <w:rsid w:val="00045C74"/>
    <w:rsid w:val="000461D2"/>
    <w:rsid w:val="00046350"/>
    <w:rsid w:val="0004679E"/>
    <w:rsid w:val="00046B6D"/>
    <w:rsid w:val="00047A51"/>
    <w:rsid w:val="00050AFE"/>
    <w:rsid w:val="00050EB5"/>
    <w:rsid w:val="000547AB"/>
    <w:rsid w:val="000549E7"/>
    <w:rsid w:val="00057A65"/>
    <w:rsid w:val="00060D54"/>
    <w:rsid w:val="00060F25"/>
    <w:rsid w:val="000611B6"/>
    <w:rsid w:val="00061FF7"/>
    <w:rsid w:val="00062513"/>
    <w:rsid w:val="0006454C"/>
    <w:rsid w:val="00065A55"/>
    <w:rsid w:val="00067854"/>
    <w:rsid w:val="000723FA"/>
    <w:rsid w:val="000810CF"/>
    <w:rsid w:val="00083426"/>
    <w:rsid w:val="00083B34"/>
    <w:rsid w:val="000856CE"/>
    <w:rsid w:val="00085CAB"/>
    <w:rsid w:val="00085F57"/>
    <w:rsid w:val="0008693E"/>
    <w:rsid w:val="00086A92"/>
    <w:rsid w:val="0009060C"/>
    <w:rsid w:val="00090731"/>
    <w:rsid w:val="0009240B"/>
    <w:rsid w:val="00094186"/>
    <w:rsid w:val="00096CF4"/>
    <w:rsid w:val="00097388"/>
    <w:rsid w:val="000A1AE9"/>
    <w:rsid w:val="000A26F2"/>
    <w:rsid w:val="000A30D2"/>
    <w:rsid w:val="000A433D"/>
    <w:rsid w:val="000A54E1"/>
    <w:rsid w:val="000A6132"/>
    <w:rsid w:val="000A665B"/>
    <w:rsid w:val="000B1021"/>
    <w:rsid w:val="000B5294"/>
    <w:rsid w:val="000C0B6E"/>
    <w:rsid w:val="000C1920"/>
    <w:rsid w:val="000C1F50"/>
    <w:rsid w:val="000C2B11"/>
    <w:rsid w:val="000C5E7F"/>
    <w:rsid w:val="000C6AC7"/>
    <w:rsid w:val="000C7419"/>
    <w:rsid w:val="000D0790"/>
    <w:rsid w:val="000D07F2"/>
    <w:rsid w:val="000D084B"/>
    <w:rsid w:val="000D1217"/>
    <w:rsid w:val="000D5884"/>
    <w:rsid w:val="000D589B"/>
    <w:rsid w:val="000D5B0D"/>
    <w:rsid w:val="000D5C26"/>
    <w:rsid w:val="000D6E73"/>
    <w:rsid w:val="000D7D58"/>
    <w:rsid w:val="000E065B"/>
    <w:rsid w:val="000E10D0"/>
    <w:rsid w:val="000E1A37"/>
    <w:rsid w:val="000E1CF6"/>
    <w:rsid w:val="000E1D7F"/>
    <w:rsid w:val="000E2752"/>
    <w:rsid w:val="000E3A76"/>
    <w:rsid w:val="000E4994"/>
    <w:rsid w:val="000E4F33"/>
    <w:rsid w:val="000F0360"/>
    <w:rsid w:val="000F10CF"/>
    <w:rsid w:val="000F4187"/>
    <w:rsid w:val="000F46C6"/>
    <w:rsid w:val="000F4DCD"/>
    <w:rsid w:val="000F5B73"/>
    <w:rsid w:val="000F66E3"/>
    <w:rsid w:val="000F7064"/>
    <w:rsid w:val="00101113"/>
    <w:rsid w:val="00103637"/>
    <w:rsid w:val="00107427"/>
    <w:rsid w:val="001075FB"/>
    <w:rsid w:val="00107A47"/>
    <w:rsid w:val="001100E5"/>
    <w:rsid w:val="0011193B"/>
    <w:rsid w:val="00112C17"/>
    <w:rsid w:val="001147B1"/>
    <w:rsid w:val="0011569B"/>
    <w:rsid w:val="00115C3B"/>
    <w:rsid w:val="00117231"/>
    <w:rsid w:val="001178E6"/>
    <w:rsid w:val="00121869"/>
    <w:rsid w:val="00121FBA"/>
    <w:rsid w:val="001226D3"/>
    <w:rsid w:val="001247BF"/>
    <w:rsid w:val="00124BDD"/>
    <w:rsid w:val="00125761"/>
    <w:rsid w:val="001263E3"/>
    <w:rsid w:val="00130AA6"/>
    <w:rsid w:val="00130D2A"/>
    <w:rsid w:val="00131841"/>
    <w:rsid w:val="00133E6E"/>
    <w:rsid w:val="00136ECD"/>
    <w:rsid w:val="0013744B"/>
    <w:rsid w:val="00137A4D"/>
    <w:rsid w:val="0014023B"/>
    <w:rsid w:val="00140CDD"/>
    <w:rsid w:val="001467F6"/>
    <w:rsid w:val="0015058D"/>
    <w:rsid w:val="00150B6E"/>
    <w:rsid w:val="00150E5B"/>
    <w:rsid w:val="0015115A"/>
    <w:rsid w:val="00152DCA"/>
    <w:rsid w:val="00154877"/>
    <w:rsid w:val="00154F69"/>
    <w:rsid w:val="001602EA"/>
    <w:rsid w:val="00160B52"/>
    <w:rsid w:val="00160DD7"/>
    <w:rsid w:val="00161FAA"/>
    <w:rsid w:val="0016323D"/>
    <w:rsid w:val="00164241"/>
    <w:rsid w:val="001642AC"/>
    <w:rsid w:val="00164EBF"/>
    <w:rsid w:val="00165B12"/>
    <w:rsid w:val="00166DC2"/>
    <w:rsid w:val="001671AC"/>
    <w:rsid w:val="00172349"/>
    <w:rsid w:val="001723CD"/>
    <w:rsid w:val="00172990"/>
    <w:rsid w:val="0017322A"/>
    <w:rsid w:val="0017679F"/>
    <w:rsid w:val="00177A6A"/>
    <w:rsid w:val="00177D93"/>
    <w:rsid w:val="001816D7"/>
    <w:rsid w:val="00182A66"/>
    <w:rsid w:val="0018373F"/>
    <w:rsid w:val="0018447A"/>
    <w:rsid w:val="00184ED7"/>
    <w:rsid w:val="0018702E"/>
    <w:rsid w:val="001903C0"/>
    <w:rsid w:val="00190733"/>
    <w:rsid w:val="0019081A"/>
    <w:rsid w:val="00192452"/>
    <w:rsid w:val="00192D23"/>
    <w:rsid w:val="00195B6C"/>
    <w:rsid w:val="001963A6"/>
    <w:rsid w:val="001A0B13"/>
    <w:rsid w:val="001A14BD"/>
    <w:rsid w:val="001A153E"/>
    <w:rsid w:val="001A19B6"/>
    <w:rsid w:val="001A1BAA"/>
    <w:rsid w:val="001A1DA8"/>
    <w:rsid w:val="001A2F53"/>
    <w:rsid w:val="001A7ABF"/>
    <w:rsid w:val="001B16FE"/>
    <w:rsid w:val="001B1A51"/>
    <w:rsid w:val="001B25B0"/>
    <w:rsid w:val="001B2819"/>
    <w:rsid w:val="001B75A2"/>
    <w:rsid w:val="001B79E5"/>
    <w:rsid w:val="001C0CF6"/>
    <w:rsid w:val="001C2836"/>
    <w:rsid w:val="001C28B3"/>
    <w:rsid w:val="001C57FA"/>
    <w:rsid w:val="001C5ED4"/>
    <w:rsid w:val="001C6BB5"/>
    <w:rsid w:val="001D0B9A"/>
    <w:rsid w:val="001D29E7"/>
    <w:rsid w:val="001D49AC"/>
    <w:rsid w:val="001D5F61"/>
    <w:rsid w:val="001E0522"/>
    <w:rsid w:val="001E16D6"/>
    <w:rsid w:val="001E298A"/>
    <w:rsid w:val="001E2BA3"/>
    <w:rsid w:val="001E3F97"/>
    <w:rsid w:val="001E5AF0"/>
    <w:rsid w:val="001E7A9B"/>
    <w:rsid w:val="001F27E3"/>
    <w:rsid w:val="001F2A71"/>
    <w:rsid w:val="001F75C8"/>
    <w:rsid w:val="00200784"/>
    <w:rsid w:val="00200F2D"/>
    <w:rsid w:val="002021F7"/>
    <w:rsid w:val="00202E44"/>
    <w:rsid w:val="00202F89"/>
    <w:rsid w:val="00203D86"/>
    <w:rsid w:val="00204AB8"/>
    <w:rsid w:val="00204EE1"/>
    <w:rsid w:val="0020549C"/>
    <w:rsid w:val="00206991"/>
    <w:rsid w:val="002112E6"/>
    <w:rsid w:val="002124BD"/>
    <w:rsid w:val="00213C33"/>
    <w:rsid w:val="00214730"/>
    <w:rsid w:val="00215813"/>
    <w:rsid w:val="00215AA8"/>
    <w:rsid w:val="00215C67"/>
    <w:rsid w:val="002167F3"/>
    <w:rsid w:val="002173F5"/>
    <w:rsid w:val="002176A8"/>
    <w:rsid w:val="0021794A"/>
    <w:rsid w:val="00220C09"/>
    <w:rsid w:val="00220D4B"/>
    <w:rsid w:val="002244F4"/>
    <w:rsid w:val="00227CFA"/>
    <w:rsid w:val="002305C1"/>
    <w:rsid w:val="00231DF6"/>
    <w:rsid w:val="0023235D"/>
    <w:rsid w:val="00235B34"/>
    <w:rsid w:val="00237639"/>
    <w:rsid w:val="00240A4C"/>
    <w:rsid w:val="00240DB3"/>
    <w:rsid w:val="00243C25"/>
    <w:rsid w:val="00245C64"/>
    <w:rsid w:val="002472DF"/>
    <w:rsid w:val="00250856"/>
    <w:rsid w:val="0025421D"/>
    <w:rsid w:val="00255241"/>
    <w:rsid w:val="00260771"/>
    <w:rsid w:val="00260B7A"/>
    <w:rsid w:val="002617D0"/>
    <w:rsid w:val="0026204F"/>
    <w:rsid w:val="0026226E"/>
    <w:rsid w:val="00262A88"/>
    <w:rsid w:val="00272213"/>
    <w:rsid w:val="00272528"/>
    <w:rsid w:val="00273A55"/>
    <w:rsid w:val="00274950"/>
    <w:rsid w:val="00277672"/>
    <w:rsid w:val="00280FDD"/>
    <w:rsid w:val="00281B78"/>
    <w:rsid w:val="00281CCF"/>
    <w:rsid w:val="00283416"/>
    <w:rsid w:val="00283679"/>
    <w:rsid w:val="00283C62"/>
    <w:rsid w:val="00285BC5"/>
    <w:rsid w:val="00286EC0"/>
    <w:rsid w:val="00290C61"/>
    <w:rsid w:val="00290E42"/>
    <w:rsid w:val="00291283"/>
    <w:rsid w:val="0029179C"/>
    <w:rsid w:val="00294AC9"/>
    <w:rsid w:val="0029630A"/>
    <w:rsid w:val="00296A3C"/>
    <w:rsid w:val="002A1999"/>
    <w:rsid w:val="002A1A5D"/>
    <w:rsid w:val="002A39A8"/>
    <w:rsid w:val="002A39B3"/>
    <w:rsid w:val="002A5D82"/>
    <w:rsid w:val="002B1352"/>
    <w:rsid w:val="002B1B8E"/>
    <w:rsid w:val="002B3DF4"/>
    <w:rsid w:val="002B61BD"/>
    <w:rsid w:val="002C1F13"/>
    <w:rsid w:val="002C290C"/>
    <w:rsid w:val="002C2A05"/>
    <w:rsid w:val="002C3D2F"/>
    <w:rsid w:val="002C6882"/>
    <w:rsid w:val="002C7B90"/>
    <w:rsid w:val="002C7D01"/>
    <w:rsid w:val="002D1B66"/>
    <w:rsid w:val="002D3F55"/>
    <w:rsid w:val="002D4673"/>
    <w:rsid w:val="002D7553"/>
    <w:rsid w:val="002E232E"/>
    <w:rsid w:val="002E2BD8"/>
    <w:rsid w:val="002E4A7A"/>
    <w:rsid w:val="002E7354"/>
    <w:rsid w:val="002F3F6D"/>
    <w:rsid w:val="002F73CA"/>
    <w:rsid w:val="002F74C7"/>
    <w:rsid w:val="002F7A29"/>
    <w:rsid w:val="00300AA5"/>
    <w:rsid w:val="00300D5F"/>
    <w:rsid w:val="003034DA"/>
    <w:rsid w:val="0030383A"/>
    <w:rsid w:val="00304309"/>
    <w:rsid w:val="003053BD"/>
    <w:rsid w:val="00305CB9"/>
    <w:rsid w:val="003101C1"/>
    <w:rsid w:val="00313AAD"/>
    <w:rsid w:val="00317537"/>
    <w:rsid w:val="0032031E"/>
    <w:rsid w:val="00321DB4"/>
    <w:rsid w:val="00321EB9"/>
    <w:rsid w:val="003300BD"/>
    <w:rsid w:val="00330DF9"/>
    <w:rsid w:val="0033255C"/>
    <w:rsid w:val="00333056"/>
    <w:rsid w:val="00334356"/>
    <w:rsid w:val="00335590"/>
    <w:rsid w:val="00337BC6"/>
    <w:rsid w:val="003404D7"/>
    <w:rsid w:val="00341179"/>
    <w:rsid w:val="00341482"/>
    <w:rsid w:val="003415EF"/>
    <w:rsid w:val="00342BEE"/>
    <w:rsid w:val="003431F9"/>
    <w:rsid w:val="0034329C"/>
    <w:rsid w:val="003466A5"/>
    <w:rsid w:val="00346FBD"/>
    <w:rsid w:val="00350A18"/>
    <w:rsid w:val="00350AD4"/>
    <w:rsid w:val="00351233"/>
    <w:rsid w:val="0035375C"/>
    <w:rsid w:val="00354012"/>
    <w:rsid w:val="00357276"/>
    <w:rsid w:val="003572D8"/>
    <w:rsid w:val="00357B5C"/>
    <w:rsid w:val="00362F90"/>
    <w:rsid w:val="00366B0C"/>
    <w:rsid w:val="0036743D"/>
    <w:rsid w:val="003715A7"/>
    <w:rsid w:val="00372064"/>
    <w:rsid w:val="00373423"/>
    <w:rsid w:val="00374974"/>
    <w:rsid w:val="00377830"/>
    <w:rsid w:val="00377F14"/>
    <w:rsid w:val="003806A8"/>
    <w:rsid w:val="003829DB"/>
    <w:rsid w:val="00383160"/>
    <w:rsid w:val="00384D93"/>
    <w:rsid w:val="003855C2"/>
    <w:rsid w:val="00385F15"/>
    <w:rsid w:val="00391669"/>
    <w:rsid w:val="00391AB4"/>
    <w:rsid w:val="00395482"/>
    <w:rsid w:val="00396C63"/>
    <w:rsid w:val="0039705F"/>
    <w:rsid w:val="003A0B49"/>
    <w:rsid w:val="003A1DE0"/>
    <w:rsid w:val="003A2DB0"/>
    <w:rsid w:val="003A342F"/>
    <w:rsid w:val="003A3C28"/>
    <w:rsid w:val="003A7270"/>
    <w:rsid w:val="003B2E72"/>
    <w:rsid w:val="003B4519"/>
    <w:rsid w:val="003B5A6F"/>
    <w:rsid w:val="003B704E"/>
    <w:rsid w:val="003C083C"/>
    <w:rsid w:val="003C0849"/>
    <w:rsid w:val="003C176C"/>
    <w:rsid w:val="003C2E82"/>
    <w:rsid w:val="003C33DB"/>
    <w:rsid w:val="003C3801"/>
    <w:rsid w:val="003C493F"/>
    <w:rsid w:val="003C5E79"/>
    <w:rsid w:val="003C68EC"/>
    <w:rsid w:val="003C761E"/>
    <w:rsid w:val="003C777B"/>
    <w:rsid w:val="003D2B5B"/>
    <w:rsid w:val="003D34C8"/>
    <w:rsid w:val="003D3A8B"/>
    <w:rsid w:val="003D5C29"/>
    <w:rsid w:val="003D6ADB"/>
    <w:rsid w:val="003E1ECD"/>
    <w:rsid w:val="003E3086"/>
    <w:rsid w:val="003E3876"/>
    <w:rsid w:val="003E3BFC"/>
    <w:rsid w:val="003E7057"/>
    <w:rsid w:val="003E7B33"/>
    <w:rsid w:val="003F08D4"/>
    <w:rsid w:val="003F4B87"/>
    <w:rsid w:val="003F596A"/>
    <w:rsid w:val="003F6727"/>
    <w:rsid w:val="003F692D"/>
    <w:rsid w:val="003F73B6"/>
    <w:rsid w:val="003F7446"/>
    <w:rsid w:val="004022F0"/>
    <w:rsid w:val="00403C13"/>
    <w:rsid w:val="00405296"/>
    <w:rsid w:val="00406039"/>
    <w:rsid w:val="00410E46"/>
    <w:rsid w:val="0041139F"/>
    <w:rsid w:val="00414125"/>
    <w:rsid w:val="004148D3"/>
    <w:rsid w:val="0041679E"/>
    <w:rsid w:val="00417260"/>
    <w:rsid w:val="004176E8"/>
    <w:rsid w:val="004176FC"/>
    <w:rsid w:val="00420580"/>
    <w:rsid w:val="004215C5"/>
    <w:rsid w:val="00421ACA"/>
    <w:rsid w:val="0042243B"/>
    <w:rsid w:val="004252A3"/>
    <w:rsid w:val="0042581B"/>
    <w:rsid w:val="00426846"/>
    <w:rsid w:val="00426FB6"/>
    <w:rsid w:val="00427401"/>
    <w:rsid w:val="00431392"/>
    <w:rsid w:val="004320B6"/>
    <w:rsid w:val="004329E0"/>
    <w:rsid w:val="00433C18"/>
    <w:rsid w:val="00435D1D"/>
    <w:rsid w:val="00436BE5"/>
    <w:rsid w:val="00436D9A"/>
    <w:rsid w:val="00436FDA"/>
    <w:rsid w:val="004414F1"/>
    <w:rsid w:val="00441682"/>
    <w:rsid w:val="0044168C"/>
    <w:rsid w:val="004422DD"/>
    <w:rsid w:val="0044300D"/>
    <w:rsid w:val="004444EF"/>
    <w:rsid w:val="00445A54"/>
    <w:rsid w:val="00445AED"/>
    <w:rsid w:val="00445E7E"/>
    <w:rsid w:val="004478F7"/>
    <w:rsid w:val="00447F08"/>
    <w:rsid w:val="0045372C"/>
    <w:rsid w:val="00454A9A"/>
    <w:rsid w:val="0045536F"/>
    <w:rsid w:val="00455694"/>
    <w:rsid w:val="0045683A"/>
    <w:rsid w:val="004606E2"/>
    <w:rsid w:val="0046332D"/>
    <w:rsid w:val="004658E5"/>
    <w:rsid w:val="00467B32"/>
    <w:rsid w:val="004725C5"/>
    <w:rsid w:val="00472B86"/>
    <w:rsid w:val="00473EA2"/>
    <w:rsid w:val="0047404B"/>
    <w:rsid w:val="00474A00"/>
    <w:rsid w:val="00474C57"/>
    <w:rsid w:val="00474D0F"/>
    <w:rsid w:val="004810C1"/>
    <w:rsid w:val="004813C1"/>
    <w:rsid w:val="004819F8"/>
    <w:rsid w:val="00481CFC"/>
    <w:rsid w:val="00483395"/>
    <w:rsid w:val="00483783"/>
    <w:rsid w:val="00483982"/>
    <w:rsid w:val="00484116"/>
    <w:rsid w:val="00484CED"/>
    <w:rsid w:val="00490962"/>
    <w:rsid w:val="00492DE4"/>
    <w:rsid w:val="00494D06"/>
    <w:rsid w:val="004952FA"/>
    <w:rsid w:val="004A031A"/>
    <w:rsid w:val="004A0446"/>
    <w:rsid w:val="004A07F9"/>
    <w:rsid w:val="004A3596"/>
    <w:rsid w:val="004A465D"/>
    <w:rsid w:val="004A4C08"/>
    <w:rsid w:val="004A5607"/>
    <w:rsid w:val="004B5EB7"/>
    <w:rsid w:val="004B5F4D"/>
    <w:rsid w:val="004B672A"/>
    <w:rsid w:val="004B7029"/>
    <w:rsid w:val="004C252D"/>
    <w:rsid w:val="004C39ED"/>
    <w:rsid w:val="004C4F67"/>
    <w:rsid w:val="004C6F14"/>
    <w:rsid w:val="004D3F55"/>
    <w:rsid w:val="004D69B3"/>
    <w:rsid w:val="004E19E1"/>
    <w:rsid w:val="004E2835"/>
    <w:rsid w:val="004E2B2A"/>
    <w:rsid w:val="004E3EF7"/>
    <w:rsid w:val="004E43B8"/>
    <w:rsid w:val="004E4891"/>
    <w:rsid w:val="004E4ABE"/>
    <w:rsid w:val="004E661C"/>
    <w:rsid w:val="004E6EDE"/>
    <w:rsid w:val="004E70F4"/>
    <w:rsid w:val="004F03F3"/>
    <w:rsid w:val="004F2DF2"/>
    <w:rsid w:val="004F3884"/>
    <w:rsid w:val="004F47AC"/>
    <w:rsid w:val="004F5620"/>
    <w:rsid w:val="004F6243"/>
    <w:rsid w:val="004F70AF"/>
    <w:rsid w:val="00500BCA"/>
    <w:rsid w:val="00501333"/>
    <w:rsid w:val="00502625"/>
    <w:rsid w:val="00503FCA"/>
    <w:rsid w:val="0050504B"/>
    <w:rsid w:val="0050787F"/>
    <w:rsid w:val="00507EF5"/>
    <w:rsid w:val="00510AE8"/>
    <w:rsid w:val="00510AF0"/>
    <w:rsid w:val="00513ADE"/>
    <w:rsid w:val="0051444C"/>
    <w:rsid w:val="005166A2"/>
    <w:rsid w:val="005177AA"/>
    <w:rsid w:val="005219A0"/>
    <w:rsid w:val="00522854"/>
    <w:rsid w:val="0052392E"/>
    <w:rsid w:val="005275E7"/>
    <w:rsid w:val="00527CF7"/>
    <w:rsid w:val="0053185D"/>
    <w:rsid w:val="00532734"/>
    <w:rsid w:val="005329BF"/>
    <w:rsid w:val="00533303"/>
    <w:rsid w:val="0053481F"/>
    <w:rsid w:val="00535D66"/>
    <w:rsid w:val="00541816"/>
    <w:rsid w:val="00541F83"/>
    <w:rsid w:val="005442AA"/>
    <w:rsid w:val="00544A86"/>
    <w:rsid w:val="0054577E"/>
    <w:rsid w:val="00546A59"/>
    <w:rsid w:val="00547C35"/>
    <w:rsid w:val="00556156"/>
    <w:rsid w:val="0055736A"/>
    <w:rsid w:val="00562CF6"/>
    <w:rsid w:val="005633F0"/>
    <w:rsid w:val="005640CE"/>
    <w:rsid w:val="005648B1"/>
    <w:rsid w:val="0056728C"/>
    <w:rsid w:val="005708F5"/>
    <w:rsid w:val="00571A7E"/>
    <w:rsid w:val="00571CFB"/>
    <w:rsid w:val="00571FE7"/>
    <w:rsid w:val="00573390"/>
    <w:rsid w:val="0057652A"/>
    <w:rsid w:val="00577341"/>
    <w:rsid w:val="00577AB0"/>
    <w:rsid w:val="0058128A"/>
    <w:rsid w:val="0058183B"/>
    <w:rsid w:val="00581F00"/>
    <w:rsid w:val="00582C07"/>
    <w:rsid w:val="00583271"/>
    <w:rsid w:val="005834A3"/>
    <w:rsid w:val="005841EF"/>
    <w:rsid w:val="005856C2"/>
    <w:rsid w:val="005859B8"/>
    <w:rsid w:val="00585A4E"/>
    <w:rsid w:val="005863AE"/>
    <w:rsid w:val="00586D23"/>
    <w:rsid w:val="005A0235"/>
    <w:rsid w:val="005A0442"/>
    <w:rsid w:val="005A3441"/>
    <w:rsid w:val="005A48DF"/>
    <w:rsid w:val="005A5956"/>
    <w:rsid w:val="005A6755"/>
    <w:rsid w:val="005B105A"/>
    <w:rsid w:val="005B4DF8"/>
    <w:rsid w:val="005B740C"/>
    <w:rsid w:val="005B78B8"/>
    <w:rsid w:val="005C0632"/>
    <w:rsid w:val="005C14D8"/>
    <w:rsid w:val="005C2846"/>
    <w:rsid w:val="005C291D"/>
    <w:rsid w:val="005C5A61"/>
    <w:rsid w:val="005C5F22"/>
    <w:rsid w:val="005C63C4"/>
    <w:rsid w:val="005D1D1A"/>
    <w:rsid w:val="005D31AD"/>
    <w:rsid w:val="005D5CC9"/>
    <w:rsid w:val="005E1EEC"/>
    <w:rsid w:val="005E407F"/>
    <w:rsid w:val="005E781E"/>
    <w:rsid w:val="005F03F6"/>
    <w:rsid w:val="005F11D2"/>
    <w:rsid w:val="005F18DC"/>
    <w:rsid w:val="005F19BF"/>
    <w:rsid w:val="005F28D9"/>
    <w:rsid w:val="005F329C"/>
    <w:rsid w:val="005F3E4F"/>
    <w:rsid w:val="005F5BB1"/>
    <w:rsid w:val="005F6EB5"/>
    <w:rsid w:val="005F7CD3"/>
    <w:rsid w:val="006027E8"/>
    <w:rsid w:val="00602BC0"/>
    <w:rsid w:val="00602F6C"/>
    <w:rsid w:val="0060398B"/>
    <w:rsid w:val="00606156"/>
    <w:rsid w:val="00610662"/>
    <w:rsid w:val="00610B80"/>
    <w:rsid w:val="00610B92"/>
    <w:rsid w:val="00613493"/>
    <w:rsid w:val="006168B4"/>
    <w:rsid w:val="00617BC2"/>
    <w:rsid w:val="006208B0"/>
    <w:rsid w:val="00622BC3"/>
    <w:rsid w:val="00624509"/>
    <w:rsid w:val="00626D35"/>
    <w:rsid w:val="00633E42"/>
    <w:rsid w:val="00635828"/>
    <w:rsid w:val="00637558"/>
    <w:rsid w:val="00641497"/>
    <w:rsid w:val="00642AAD"/>
    <w:rsid w:val="006449FF"/>
    <w:rsid w:val="00646A14"/>
    <w:rsid w:val="00647CCB"/>
    <w:rsid w:val="006516DC"/>
    <w:rsid w:val="00652C3D"/>
    <w:rsid w:val="00652DD6"/>
    <w:rsid w:val="00653930"/>
    <w:rsid w:val="00654054"/>
    <w:rsid w:val="006540F8"/>
    <w:rsid w:val="00654789"/>
    <w:rsid w:val="0065490C"/>
    <w:rsid w:val="00656296"/>
    <w:rsid w:val="00656D45"/>
    <w:rsid w:val="006619F5"/>
    <w:rsid w:val="006625B0"/>
    <w:rsid w:val="00662680"/>
    <w:rsid w:val="006627BE"/>
    <w:rsid w:val="006634B6"/>
    <w:rsid w:val="00667343"/>
    <w:rsid w:val="006675BC"/>
    <w:rsid w:val="00667949"/>
    <w:rsid w:val="00671009"/>
    <w:rsid w:val="0067367E"/>
    <w:rsid w:val="00677858"/>
    <w:rsid w:val="0068178C"/>
    <w:rsid w:val="00683B5D"/>
    <w:rsid w:val="00684FFC"/>
    <w:rsid w:val="00685771"/>
    <w:rsid w:val="00686402"/>
    <w:rsid w:val="006905DE"/>
    <w:rsid w:val="00690EE6"/>
    <w:rsid w:val="00691169"/>
    <w:rsid w:val="00691AC4"/>
    <w:rsid w:val="00692F5F"/>
    <w:rsid w:val="006930BB"/>
    <w:rsid w:val="00695182"/>
    <w:rsid w:val="00695B5A"/>
    <w:rsid w:val="00695CBE"/>
    <w:rsid w:val="0069607D"/>
    <w:rsid w:val="006A1710"/>
    <w:rsid w:val="006A17A3"/>
    <w:rsid w:val="006A5826"/>
    <w:rsid w:val="006A5A26"/>
    <w:rsid w:val="006B061E"/>
    <w:rsid w:val="006B19FA"/>
    <w:rsid w:val="006B2294"/>
    <w:rsid w:val="006B277A"/>
    <w:rsid w:val="006B4940"/>
    <w:rsid w:val="006B6955"/>
    <w:rsid w:val="006B7E6E"/>
    <w:rsid w:val="006B7EBA"/>
    <w:rsid w:val="006C079A"/>
    <w:rsid w:val="006C08A2"/>
    <w:rsid w:val="006C1E8F"/>
    <w:rsid w:val="006C4875"/>
    <w:rsid w:val="006C5047"/>
    <w:rsid w:val="006C5FB1"/>
    <w:rsid w:val="006C7F3A"/>
    <w:rsid w:val="006D0E55"/>
    <w:rsid w:val="006D2DC2"/>
    <w:rsid w:val="006D5BBC"/>
    <w:rsid w:val="006E0D8F"/>
    <w:rsid w:val="006E2CB7"/>
    <w:rsid w:val="006E5047"/>
    <w:rsid w:val="006F0BDB"/>
    <w:rsid w:val="006F3284"/>
    <w:rsid w:val="006F3D65"/>
    <w:rsid w:val="006F6B94"/>
    <w:rsid w:val="00701DAD"/>
    <w:rsid w:val="0070361B"/>
    <w:rsid w:val="00705A13"/>
    <w:rsid w:val="00705C26"/>
    <w:rsid w:val="00706D4D"/>
    <w:rsid w:val="007105C1"/>
    <w:rsid w:val="00712B43"/>
    <w:rsid w:val="0071553E"/>
    <w:rsid w:val="00716C96"/>
    <w:rsid w:val="00716CBF"/>
    <w:rsid w:val="00716F32"/>
    <w:rsid w:val="00717271"/>
    <w:rsid w:val="00717E89"/>
    <w:rsid w:val="0072074A"/>
    <w:rsid w:val="00721624"/>
    <w:rsid w:val="00722370"/>
    <w:rsid w:val="00724A06"/>
    <w:rsid w:val="0072604D"/>
    <w:rsid w:val="007264AE"/>
    <w:rsid w:val="0072684E"/>
    <w:rsid w:val="0073060A"/>
    <w:rsid w:val="00731991"/>
    <w:rsid w:val="007319B6"/>
    <w:rsid w:val="00731D65"/>
    <w:rsid w:val="007325EE"/>
    <w:rsid w:val="007347C7"/>
    <w:rsid w:val="00735FBD"/>
    <w:rsid w:val="007363BC"/>
    <w:rsid w:val="0073750C"/>
    <w:rsid w:val="00741A10"/>
    <w:rsid w:val="00741A40"/>
    <w:rsid w:val="00742626"/>
    <w:rsid w:val="00751790"/>
    <w:rsid w:val="007523CC"/>
    <w:rsid w:val="00752865"/>
    <w:rsid w:val="00754033"/>
    <w:rsid w:val="00754F99"/>
    <w:rsid w:val="007558A1"/>
    <w:rsid w:val="007601B2"/>
    <w:rsid w:val="00766E05"/>
    <w:rsid w:val="00767D63"/>
    <w:rsid w:val="00770349"/>
    <w:rsid w:val="00774020"/>
    <w:rsid w:val="007764BA"/>
    <w:rsid w:val="007773F8"/>
    <w:rsid w:val="007812DD"/>
    <w:rsid w:val="00786F66"/>
    <w:rsid w:val="00790061"/>
    <w:rsid w:val="007905DA"/>
    <w:rsid w:val="00790B6A"/>
    <w:rsid w:val="007A12FB"/>
    <w:rsid w:val="007A1CE0"/>
    <w:rsid w:val="007A2F37"/>
    <w:rsid w:val="007A5CFE"/>
    <w:rsid w:val="007A7E1A"/>
    <w:rsid w:val="007B0E29"/>
    <w:rsid w:val="007B1199"/>
    <w:rsid w:val="007B739B"/>
    <w:rsid w:val="007B7932"/>
    <w:rsid w:val="007C21EE"/>
    <w:rsid w:val="007C4E7D"/>
    <w:rsid w:val="007C4FD6"/>
    <w:rsid w:val="007C618D"/>
    <w:rsid w:val="007C61F5"/>
    <w:rsid w:val="007C7B86"/>
    <w:rsid w:val="007D1171"/>
    <w:rsid w:val="007D2DAE"/>
    <w:rsid w:val="007D7863"/>
    <w:rsid w:val="007E000E"/>
    <w:rsid w:val="007E0D0A"/>
    <w:rsid w:val="007E10C5"/>
    <w:rsid w:val="007E171B"/>
    <w:rsid w:val="007E3722"/>
    <w:rsid w:val="007E37CC"/>
    <w:rsid w:val="007E542E"/>
    <w:rsid w:val="007E78F5"/>
    <w:rsid w:val="007E79C6"/>
    <w:rsid w:val="007F05BA"/>
    <w:rsid w:val="007F0B79"/>
    <w:rsid w:val="007F0F8D"/>
    <w:rsid w:val="007F2131"/>
    <w:rsid w:val="007F2B19"/>
    <w:rsid w:val="007F408B"/>
    <w:rsid w:val="007F499A"/>
    <w:rsid w:val="007F4E20"/>
    <w:rsid w:val="007F5859"/>
    <w:rsid w:val="007F5B3D"/>
    <w:rsid w:val="008006B0"/>
    <w:rsid w:val="008037F0"/>
    <w:rsid w:val="008068F0"/>
    <w:rsid w:val="00807F12"/>
    <w:rsid w:val="00810B6E"/>
    <w:rsid w:val="008114DC"/>
    <w:rsid w:val="008137C2"/>
    <w:rsid w:val="00815138"/>
    <w:rsid w:val="0081650B"/>
    <w:rsid w:val="00816F19"/>
    <w:rsid w:val="008201C1"/>
    <w:rsid w:val="00820F33"/>
    <w:rsid w:val="00822447"/>
    <w:rsid w:val="0082407F"/>
    <w:rsid w:val="008245CD"/>
    <w:rsid w:val="00824745"/>
    <w:rsid w:val="0082509D"/>
    <w:rsid w:val="0083123D"/>
    <w:rsid w:val="008312A8"/>
    <w:rsid w:val="00833D23"/>
    <w:rsid w:val="00835112"/>
    <w:rsid w:val="00835916"/>
    <w:rsid w:val="008373D9"/>
    <w:rsid w:val="00840E77"/>
    <w:rsid w:val="00841ED0"/>
    <w:rsid w:val="0084263E"/>
    <w:rsid w:val="00844FE2"/>
    <w:rsid w:val="00845076"/>
    <w:rsid w:val="00845A49"/>
    <w:rsid w:val="00845AC2"/>
    <w:rsid w:val="0085088D"/>
    <w:rsid w:val="00851C12"/>
    <w:rsid w:val="00854598"/>
    <w:rsid w:val="00854D98"/>
    <w:rsid w:val="00857707"/>
    <w:rsid w:val="00861D2B"/>
    <w:rsid w:val="0086453E"/>
    <w:rsid w:val="008656F5"/>
    <w:rsid w:val="0086586C"/>
    <w:rsid w:val="00865A56"/>
    <w:rsid w:val="00870648"/>
    <w:rsid w:val="0087140C"/>
    <w:rsid w:val="00871A22"/>
    <w:rsid w:val="008727FA"/>
    <w:rsid w:val="00872BB1"/>
    <w:rsid w:val="008736FD"/>
    <w:rsid w:val="00873E9D"/>
    <w:rsid w:val="008745CB"/>
    <w:rsid w:val="00875363"/>
    <w:rsid w:val="00876201"/>
    <w:rsid w:val="00881F00"/>
    <w:rsid w:val="00884E9E"/>
    <w:rsid w:val="00884F67"/>
    <w:rsid w:val="008850E3"/>
    <w:rsid w:val="0088614A"/>
    <w:rsid w:val="00887CE2"/>
    <w:rsid w:val="00891014"/>
    <w:rsid w:val="00894F11"/>
    <w:rsid w:val="008957C7"/>
    <w:rsid w:val="00896121"/>
    <w:rsid w:val="00896BD9"/>
    <w:rsid w:val="00897C3E"/>
    <w:rsid w:val="008A04B5"/>
    <w:rsid w:val="008A0C55"/>
    <w:rsid w:val="008A2541"/>
    <w:rsid w:val="008A5DAD"/>
    <w:rsid w:val="008B45FD"/>
    <w:rsid w:val="008B674D"/>
    <w:rsid w:val="008B6C25"/>
    <w:rsid w:val="008C018C"/>
    <w:rsid w:val="008C10EC"/>
    <w:rsid w:val="008C17E6"/>
    <w:rsid w:val="008C3C3D"/>
    <w:rsid w:val="008C5740"/>
    <w:rsid w:val="008D02D1"/>
    <w:rsid w:val="008D22F6"/>
    <w:rsid w:val="008D28A9"/>
    <w:rsid w:val="008D2D5D"/>
    <w:rsid w:val="008D3A8C"/>
    <w:rsid w:val="008D3C37"/>
    <w:rsid w:val="008D3DA2"/>
    <w:rsid w:val="008D543F"/>
    <w:rsid w:val="008D73F1"/>
    <w:rsid w:val="008E0492"/>
    <w:rsid w:val="008E2B60"/>
    <w:rsid w:val="008E45A8"/>
    <w:rsid w:val="008E4A1A"/>
    <w:rsid w:val="008E5AE6"/>
    <w:rsid w:val="008F0EF8"/>
    <w:rsid w:val="008F0FEE"/>
    <w:rsid w:val="008F17B2"/>
    <w:rsid w:val="008F1C3D"/>
    <w:rsid w:val="008F2166"/>
    <w:rsid w:val="008F286C"/>
    <w:rsid w:val="008F4CC4"/>
    <w:rsid w:val="008F6969"/>
    <w:rsid w:val="00901014"/>
    <w:rsid w:val="00906B0F"/>
    <w:rsid w:val="0091081B"/>
    <w:rsid w:val="00910872"/>
    <w:rsid w:val="00913421"/>
    <w:rsid w:val="00916BAB"/>
    <w:rsid w:val="00925AEA"/>
    <w:rsid w:val="00931C29"/>
    <w:rsid w:val="00931D18"/>
    <w:rsid w:val="00932ED1"/>
    <w:rsid w:val="009345CC"/>
    <w:rsid w:val="00941B78"/>
    <w:rsid w:val="00941F86"/>
    <w:rsid w:val="00942C8E"/>
    <w:rsid w:val="009454E9"/>
    <w:rsid w:val="009466E7"/>
    <w:rsid w:val="00951EF4"/>
    <w:rsid w:val="00953019"/>
    <w:rsid w:val="009536A9"/>
    <w:rsid w:val="009536FA"/>
    <w:rsid w:val="0095670F"/>
    <w:rsid w:val="0095778D"/>
    <w:rsid w:val="00957A23"/>
    <w:rsid w:val="00957D58"/>
    <w:rsid w:val="0096156F"/>
    <w:rsid w:val="00963E74"/>
    <w:rsid w:val="009640DD"/>
    <w:rsid w:val="009701C7"/>
    <w:rsid w:val="00971403"/>
    <w:rsid w:val="00971D37"/>
    <w:rsid w:val="00972DC4"/>
    <w:rsid w:val="0097365A"/>
    <w:rsid w:val="00974E0D"/>
    <w:rsid w:val="00975799"/>
    <w:rsid w:val="00975E7E"/>
    <w:rsid w:val="00976823"/>
    <w:rsid w:val="009772DA"/>
    <w:rsid w:val="00977DE7"/>
    <w:rsid w:val="00980DDF"/>
    <w:rsid w:val="0098198A"/>
    <w:rsid w:val="009844AE"/>
    <w:rsid w:val="0098658A"/>
    <w:rsid w:val="00987018"/>
    <w:rsid w:val="00987D93"/>
    <w:rsid w:val="00992167"/>
    <w:rsid w:val="0099353E"/>
    <w:rsid w:val="0099359D"/>
    <w:rsid w:val="009955B3"/>
    <w:rsid w:val="00997B7D"/>
    <w:rsid w:val="009A09FA"/>
    <w:rsid w:val="009A0C5C"/>
    <w:rsid w:val="009A1164"/>
    <w:rsid w:val="009A3F38"/>
    <w:rsid w:val="009A4070"/>
    <w:rsid w:val="009A5873"/>
    <w:rsid w:val="009B0616"/>
    <w:rsid w:val="009B06E4"/>
    <w:rsid w:val="009B31E1"/>
    <w:rsid w:val="009B3927"/>
    <w:rsid w:val="009B4CAD"/>
    <w:rsid w:val="009C0FFC"/>
    <w:rsid w:val="009C1EA0"/>
    <w:rsid w:val="009C5BCF"/>
    <w:rsid w:val="009C691B"/>
    <w:rsid w:val="009C6D2D"/>
    <w:rsid w:val="009C6FD8"/>
    <w:rsid w:val="009C7D27"/>
    <w:rsid w:val="009D00A7"/>
    <w:rsid w:val="009D032D"/>
    <w:rsid w:val="009D09A6"/>
    <w:rsid w:val="009D12ED"/>
    <w:rsid w:val="009D1BAB"/>
    <w:rsid w:val="009D3CF9"/>
    <w:rsid w:val="009D3F95"/>
    <w:rsid w:val="009D4397"/>
    <w:rsid w:val="009E081B"/>
    <w:rsid w:val="009E0D0D"/>
    <w:rsid w:val="009E3E4C"/>
    <w:rsid w:val="009E4F47"/>
    <w:rsid w:val="009E71A8"/>
    <w:rsid w:val="009F098A"/>
    <w:rsid w:val="009F155A"/>
    <w:rsid w:val="009F2D80"/>
    <w:rsid w:val="009F37AA"/>
    <w:rsid w:val="00A01AD4"/>
    <w:rsid w:val="00A02ADD"/>
    <w:rsid w:val="00A0380A"/>
    <w:rsid w:val="00A04082"/>
    <w:rsid w:val="00A04832"/>
    <w:rsid w:val="00A0521D"/>
    <w:rsid w:val="00A07769"/>
    <w:rsid w:val="00A10F60"/>
    <w:rsid w:val="00A11262"/>
    <w:rsid w:val="00A11302"/>
    <w:rsid w:val="00A14B3A"/>
    <w:rsid w:val="00A152AC"/>
    <w:rsid w:val="00A15577"/>
    <w:rsid w:val="00A15A43"/>
    <w:rsid w:val="00A16144"/>
    <w:rsid w:val="00A17A67"/>
    <w:rsid w:val="00A21AD4"/>
    <w:rsid w:val="00A23DF3"/>
    <w:rsid w:val="00A25937"/>
    <w:rsid w:val="00A3074B"/>
    <w:rsid w:val="00A311AA"/>
    <w:rsid w:val="00A31E23"/>
    <w:rsid w:val="00A34F15"/>
    <w:rsid w:val="00A3775D"/>
    <w:rsid w:val="00A3794D"/>
    <w:rsid w:val="00A37D4C"/>
    <w:rsid w:val="00A40129"/>
    <w:rsid w:val="00A40290"/>
    <w:rsid w:val="00A41B89"/>
    <w:rsid w:val="00A45D17"/>
    <w:rsid w:val="00A45F20"/>
    <w:rsid w:val="00A46295"/>
    <w:rsid w:val="00A5277E"/>
    <w:rsid w:val="00A56047"/>
    <w:rsid w:val="00A561CC"/>
    <w:rsid w:val="00A62109"/>
    <w:rsid w:val="00A63D13"/>
    <w:rsid w:val="00A64083"/>
    <w:rsid w:val="00A66966"/>
    <w:rsid w:val="00A669E6"/>
    <w:rsid w:val="00A673ED"/>
    <w:rsid w:val="00A67B2D"/>
    <w:rsid w:val="00A70C7F"/>
    <w:rsid w:val="00A70D69"/>
    <w:rsid w:val="00A72D44"/>
    <w:rsid w:val="00A7379F"/>
    <w:rsid w:val="00A739CD"/>
    <w:rsid w:val="00A73D19"/>
    <w:rsid w:val="00A742FD"/>
    <w:rsid w:val="00A74D60"/>
    <w:rsid w:val="00A752CC"/>
    <w:rsid w:val="00A83B2B"/>
    <w:rsid w:val="00A933EE"/>
    <w:rsid w:val="00A93D87"/>
    <w:rsid w:val="00A95B55"/>
    <w:rsid w:val="00A96765"/>
    <w:rsid w:val="00A97C8E"/>
    <w:rsid w:val="00AA015E"/>
    <w:rsid w:val="00AA184B"/>
    <w:rsid w:val="00AA24BD"/>
    <w:rsid w:val="00AA2FAB"/>
    <w:rsid w:val="00AA41BA"/>
    <w:rsid w:val="00AA6D39"/>
    <w:rsid w:val="00AB2971"/>
    <w:rsid w:val="00AB5748"/>
    <w:rsid w:val="00AB70C7"/>
    <w:rsid w:val="00AB742C"/>
    <w:rsid w:val="00AB759E"/>
    <w:rsid w:val="00AB7BEE"/>
    <w:rsid w:val="00AC4C20"/>
    <w:rsid w:val="00AC68E0"/>
    <w:rsid w:val="00AC799E"/>
    <w:rsid w:val="00AD0D97"/>
    <w:rsid w:val="00AD0F2A"/>
    <w:rsid w:val="00AD4080"/>
    <w:rsid w:val="00AD4AED"/>
    <w:rsid w:val="00AD5706"/>
    <w:rsid w:val="00AE511D"/>
    <w:rsid w:val="00AE5A2F"/>
    <w:rsid w:val="00AE5AAE"/>
    <w:rsid w:val="00AE5E6C"/>
    <w:rsid w:val="00AE6F29"/>
    <w:rsid w:val="00AE769C"/>
    <w:rsid w:val="00AF0581"/>
    <w:rsid w:val="00AF08DE"/>
    <w:rsid w:val="00AF11E9"/>
    <w:rsid w:val="00AF2751"/>
    <w:rsid w:val="00AF4F78"/>
    <w:rsid w:val="00AF678D"/>
    <w:rsid w:val="00AF7ED4"/>
    <w:rsid w:val="00B01BF2"/>
    <w:rsid w:val="00B03BC0"/>
    <w:rsid w:val="00B03D28"/>
    <w:rsid w:val="00B04122"/>
    <w:rsid w:val="00B041B3"/>
    <w:rsid w:val="00B04B79"/>
    <w:rsid w:val="00B04DCD"/>
    <w:rsid w:val="00B07029"/>
    <w:rsid w:val="00B070F8"/>
    <w:rsid w:val="00B12ACE"/>
    <w:rsid w:val="00B1398E"/>
    <w:rsid w:val="00B14675"/>
    <w:rsid w:val="00B1468C"/>
    <w:rsid w:val="00B147AF"/>
    <w:rsid w:val="00B14BDC"/>
    <w:rsid w:val="00B14F7C"/>
    <w:rsid w:val="00B2083B"/>
    <w:rsid w:val="00B21732"/>
    <w:rsid w:val="00B2406E"/>
    <w:rsid w:val="00B26F74"/>
    <w:rsid w:val="00B31770"/>
    <w:rsid w:val="00B32E0B"/>
    <w:rsid w:val="00B3433A"/>
    <w:rsid w:val="00B343C1"/>
    <w:rsid w:val="00B349EE"/>
    <w:rsid w:val="00B350FA"/>
    <w:rsid w:val="00B35A14"/>
    <w:rsid w:val="00B400C8"/>
    <w:rsid w:val="00B40F3E"/>
    <w:rsid w:val="00B42556"/>
    <w:rsid w:val="00B43E10"/>
    <w:rsid w:val="00B47D2D"/>
    <w:rsid w:val="00B51989"/>
    <w:rsid w:val="00B55E28"/>
    <w:rsid w:val="00B55FA4"/>
    <w:rsid w:val="00B57924"/>
    <w:rsid w:val="00B60F34"/>
    <w:rsid w:val="00B612C5"/>
    <w:rsid w:val="00B61E27"/>
    <w:rsid w:val="00B65036"/>
    <w:rsid w:val="00B65A54"/>
    <w:rsid w:val="00B66709"/>
    <w:rsid w:val="00B67DB3"/>
    <w:rsid w:val="00B67F11"/>
    <w:rsid w:val="00B71566"/>
    <w:rsid w:val="00B716DF"/>
    <w:rsid w:val="00B7255E"/>
    <w:rsid w:val="00B73FA6"/>
    <w:rsid w:val="00B744FA"/>
    <w:rsid w:val="00B74DB2"/>
    <w:rsid w:val="00B8213A"/>
    <w:rsid w:val="00B8369D"/>
    <w:rsid w:val="00B83D7D"/>
    <w:rsid w:val="00B846D4"/>
    <w:rsid w:val="00B84C7F"/>
    <w:rsid w:val="00B85810"/>
    <w:rsid w:val="00B9062C"/>
    <w:rsid w:val="00B90ED1"/>
    <w:rsid w:val="00B914EF"/>
    <w:rsid w:val="00B91DCF"/>
    <w:rsid w:val="00B922C5"/>
    <w:rsid w:val="00B92384"/>
    <w:rsid w:val="00B9269D"/>
    <w:rsid w:val="00B93877"/>
    <w:rsid w:val="00B95B78"/>
    <w:rsid w:val="00B97687"/>
    <w:rsid w:val="00B97A05"/>
    <w:rsid w:val="00BA0A9C"/>
    <w:rsid w:val="00BA1809"/>
    <w:rsid w:val="00BA427A"/>
    <w:rsid w:val="00BA7B0F"/>
    <w:rsid w:val="00BB061C"/>
    <w:rsid w:val="00BB1719"/>
    <w:rsid w:val="00BB2A8F"/>
    <w:rsid w:val="00BB37F5"/>
    <w:rsid w:val="00BB3EC1"/>
    <w:rsid w:val="00BB5C25"/>
    <w:rsid w:val="00BB6CE0"/>
    <w:rsid w:val="00BB770B"/>
    <w:rsid w:val="00BC0581"/>
    <w:rsid w:val="00BC211B"/>
    <w:rsid w:val="00BC3E69"/>
    <w:rsid w:val="00BC6257"/>
    <w:rsid w:val="00BC648F"/>
    <w:rsid w:val="00BC6C9E"/>
    <w:rsid w:val="00BC7D0A"/>
    <w:rsid w:val="00BD08E3"/>
    <w:rsid w:val="00BD25C3"/>
    <w:rsid w:val="00BD5174"/>
    <w:rsid w:val="00BD70E4"/>
    <w:rsid w:val="00BD7292"/>
    <w:rsid w:val="00BE1BAD"/>
    <w:rsid w:val="00BE2C22"/>
    <w:rsid w:val="00BE3859"/>
    <w:rsid w:val="00BE4750"/>
    <w:rsid w:val="00BE4B04"/>
    <w:rsid w:val="00BE64EA"/>
    <w:rsid w:val="00BE6C5A"/>
    <w:rsid w:val="00BE7D9A"/>
    <w:rsid w:val="00BF02AC"/>
    <w:rsid w:val="00BF0358"/>
    <w:rsid w:val="00BF12D8"/>
    <w:rsid w:val="00BF2E43"/>
    <w:rsid w:val="00BF5186"/>
    <w:rsid w:val="00BF51CE"/>
    <w:rsid w:val="00BF5B86"/>
    <w:rsid w:val="00C00573"/>
    <w:rsid w:val="00C01184"/>
    <w:rsid w:val="00C03383"/>
    <w:rsid w:val="00C05015"/>
    <w:rsid w:val="00C0681E"/>
    <w:rsid w:val="00C06E4C"/>
    <w:rsid w:val="00C07BCB"/>
    <w:rsid w:val="00C07F29"/>
    <w:rsid w:val="00C122E7"/>
    <w:rsid w:val="00C1277C"/>
    <w:rsid w:val="00C130B0"/>
    <w:rsid w:val="00C15631"/>
    <w:rsid w:val="00C1609C"/>
    <w:rsid w:val="00C1765E"/>
    <w:rsid w:val="00C21B5F"/>
    <w:rsid w:val="00C23676"/>
    <w:rsid w:val="00C268A7"/>
    <w:rsid w:val="00C27263"/>
    <w:rsid w:val="00C35036"/>
    <w:rsid w:val="00C37534"/>
    <w:rsid w:val="00C41CB7"/>
    <w:rsid w:val="00C422FE"/>
    <w:rsid w:val="00C42E97"/>
    <w:rsid w:val="00C439EC"/>
    <w:rsid w:val="00C44B89"/>
    <w:rsid w:val="00C46096"/>
    <w:rsid w:val="00C5094E"/>
    <w:rsid w:val="00C51863"/>
    <w:rsid w:val="00C55D64"/>
    <w:rsid w:val="00C5697D"/>
    <w:rsid w:val="00C5761D"/>
    <w:rsid w:val="00C57A06"/>
    <w:rsid w:val="00C614B5"/>
    <w:rsid w:val="00C62668"/>
    <w:rsid w:val="00C62E4A"/>
    <w:rsid w:val="00C6436A"/>
    <w:rsid w:val="00C643FC"/>
    <w:rsid w:val="00C645BC"/>
    <w:rsid w:val="00C67E84"/>
    <w:rsid w:val="00C731D6"/>
    <w:rsid w:val="00C73228"/>
    <w:rsid w:val="00C80322"/>
    <w:rsid w:val="00C81086"/>
    <w:rsid w:val="00C81712"/>
    <w:rsid w:val="00C849E9"/>
    <w:rsid w:val="00C87FE7"/>
    <w:rsid w:val="00C90ACB"/>
    <w:rsid w:val="00C91ADA"/>
    <w:rsid w:val="00C91FAA"/>
    <w:rsid w:val="00C9448C"/>
    <w:rsid w:val="00C94C5D"/>
    <w:rsid w:val="00C95A45"/>
    <w:rsid w:val="00CA004A"/>
    <w:rsid w:val="00CA200C"/>
    <w:rsid w:val="00CA35D9"/>
    <w:rsid w:val="00CA3B73"/>
    <w:rsid w:val="00CA5D73"/>
    <w:rsid w:val="00CA7590"/>
    <w:rsid w:val="00CA786D"/>
    <w:rsid w:val="00CB053D"/>
    <w:rsid w:val="00CB1879"/>
    <w:rsid w:val="00CB2767"/>
    <w:rsid w:val="00CB2C04"/>
    <w:rsid w:val="00CB46EF"/>
    <w:rsid w:val="00CB4ECE"/>
    <w:rsid w:val="00CB69F3"/>
    <w:rsid w:val="00CC3465"/>
    <w:rsid w:val="00CC3DD4"/>
    <w:rsid w:val="00CC4206"/>
    <w:rsid w:val="00CC76E0"/>
    <w:rsid w:val="00CD116B"/>
    <w:rsid w:val="00CD15B8"/>
    <w:rsid w:val="00CD213A"/>
    <w:rsid w:val="00CD7DDE"/>
    <w:rsid w:val="00CE19E3"/>
    <w:rsid w:val="00CE2276"/>
    <w:rsid w:val="00CE23C1"/>
    <w:rsid w:val="00CE3BFF"/>
    <w:rsid w:val="00CE4FD2"/>
    <w:rsid w:val="00CE7CE9"/>
    <w:rsid w:val="00CF004A"/>
    <w:rsid w:val="00CF08F8"/>
    <w:rsid w:val="00CF2137"/>
    <w:rsid w:val="00CF2FA8"/>
    <w:rsid w:val="00CF30D4"/>
    <w:rsid w:val="00CF3212"/>
    <w:rsid w:val="00CF46CD"/>
    <w:rsid w:val="00CF53E0"/>
    <w:rsid w:val="00CF763E"/>
    <w:rsid w:val="00D00159"/>
    <w:rsid w:val="00D01F8F"/>
    <w:rsid w:val="00D0429E"/>
    <w:rsid w:val="00D04864"/>
    <w:rsid w:val="00D055BE"/>
    <w:rsid w:val="00D05716"/>
    <w:rsid w:val="00D115AD"/>
    <w:rsid w:val="00D11BCB"/>
    <w:rsid w:val="00D12DE6"/>
    <w:rsid w:val="00D134F3"/>
    <w:rsid w:val="00D142C6"/>
    <w:rsid w:val="00D14ABC"/>
    <w:rsid w:val="00D15560"/>
    <w:rsid w:val="00D16A1C"/>
    <w:rsid w:val="00D17162"/>
    <w:rsid w:val="00D17AEF"/>
    <w:rsid w:val="00D20DAC"/>
    <w:rsid w:val="00D217F3"/>
    <w:rsid w:val="00D21E56"/>
    <w:rsid w:val="00D21EF3"/>
    <w:rsid w:val="00D21F88"/>
    <w:rsid w:val="00D2671C"/>
    <w:rsid w:val="00D26DAA"/>
    <w:rsid w:val="00D27BDA"/>
    <w:rsid w:val="00D308CE"/>
    <w:rsid w:val="00D320D7"/>
    <w:rsid w:val="00D36DE0"/>
    <w:rsid w:val="00D414FA"/>
    <w:rsid w:val="00D41FF8"/>
    <w:rsid w:val="00D430D5"/>
    <w:rsid w:val="00D45EC3"/>
    <w:rsid w:val="00D46429"/>
    <w:rsid w:val="00D4703A"/>
    <w:rsid w:val="00D476B4"/>
    <w:rsid w:val="00D47DB6"/>
    <w:rsid w:val="00D51092"/>
    <w:rsid w:val="00D5187C"/>
    <w:rsid w:val="00D51DE7"/>
    <w:rsid w:val="00D52C10"/>
    <w:rsid w:val="00D54FCC"/>
    <w:rsid w:val="00D551E7"/>
    <w:rsid w:val="00D558AC"/>
    <w:rsid w:val="00D55F68"/>
    <w:rsid w:val="00D5607F"/>
    <w:rsid w:val="00D60302"/>
    <w:rsid w:val="00D61187"/>
    <w:rsid w:val="00D62A78"/>
    <w:rsid w:val="00D63D34"/>
    <w:rsid w:val="00D6470C"/>
    <w:rsid w:val="00D64960"/>
    <w:rsid w:val="00D71601"/>
    <w:rsid w:val="00D71A4F"/>
    <w:rsid w:val="00D72E47"/>
    <w:rsid w:val="00D73DC3"/>
    <w:rsid w:val="00D746C8"/>
    <w:rsid w:val="00D74E66"/>
    <w:rsid w:val="00D74EC5"/>
    <w:rsid w:val="00D772C3"/>
    <w:rsid w:val="00D80BCB"/>
    <w:rsid w:val="00D80CB9"/>
    <w:rsid w:val="00D81969"/>
    <w:rsid w:val="00D905DC"/>
    <w:rsid w:val="00D9082D"/>
    <w:rsid w:val="00D910A4"/>
    <w:rsid w:val="00D9364C"/>
    <w:rsid w:val="00D93FF8"/>
    <w:rsid w:val="00D9412B"/>
    <w:rsid w:val="00D95079"/>
    <w:rsid w:val="00D95F25"/>
    <w:rsid w:val="00D9666F"/>
    <w:rsid w:val="00D967AC"/>
    <w:rsid w:val="00DA44CD"/>
    <w:rsid w:val="00DA4825"/>
    <w:rsid w:val="00DA6D2F"/>
    <w:rsid w:val="00DA73DF"/>
    <w:rsid w:val="00DB25D2"/>
    <w:rsid w:val="00DB2B36"/>
    <w:rsid w:val="00DB7345"/>
    <w:rsid w:val="00DC05AF"/>
    <w:rsid w:val="00DC0937"/>
    <w:rsid w:val="00DC0D00"/>
    <w:rsid w:val="00DC141F"/>
    <w:rsid w:val="00DC2E45"/>
    <w:rsid w:val="00DC4984"/>
    <w:rsid w:val="00DC4BA9"/>
    <w:rsid w:val="00DD0506"/>
    <w:rsid w:val="00DD288C"/>
    <w:rsid w:val="00DD392C"/>
    <w:rsid w:val="00DD5528"/>
    <w:rsid w:val="00DD5B84"/>
    <w:rsid w:val="00DD769D"/>
    <w:rsid w:val="00DE08F0"/>
    <w:rsid w:val="00DE0A79"/>
    <w:rsid w:val="00DE1363"/>
    <w:rsid w:val="00DE1713"/>
    <w:rsid w:val="00DE508A"/>
    <w:rsid w:val="00DE5858"/>
    <w:rsid w:val="00DE7E47"/>
    <w:rsid w:val="00DF0A80"/>
    <w:rsid w:val="00DF11F0"/>
    <w:rsid w:val="00DF3F6E"/>
    <w:rsid w:val="00DF70A4"/>
    <w:rsid w:val="00E00574"/>
    <w:rsid w:val="00E011F8"/>
    <w:rsid w:val="00E01223"/>
    <w:rsid w:val="00E01B71"/>
    <w:rsid w:val="00E01C7A"/>
    <w:rsid w:val="00E03815"/>
    <w:rsid w:val="00E046EC"/>
    <w:rsid w:val="00E04D54"/>
    <w:rsid w:val="00E05A0A"/>
    <w:rsid w:val="00E05E02"/>
    <w:rsid w:val="00E06DC2"/>
    <w:rsid w:val="00E10EE3"/>
    <w:rsid w:val="00E16607"/>
    <w:rsid w:val="00E172FE"/>
    <w:rsid w:val="00E17C39"/>
    <w:rsid w:val="00E20BDE"/>
    <w:rsid w:val="00E24610"/>
    <w:rsid w:val="00E24C18"/>
    <w:rsid w:val="00E26C01"/>
    <w:rsid w:val="00E27834"/>
    <w:rsid w:val="00E303FB"/>
    <w:rsid w:val="00E32B5E"/>
    <w:rsid w:val="00E344E2"/>
    <w:rsid w:val="00E356ED"/>
    <w:rsid w:val="00E36723"/>
    <w:rsid w:val="00E374B7"/>
    <w:rsid w:val="00E4331C"/>
    <w:rsid w:val="00E43AFC"/>
    <w:rsid w:val="00E4549E"/>
    <w:rsid w:val="00E45955"/>
    <w:rsid w:val="00E51EC9"/>
    <w:rsid w:val="00E5263A"/>
    <w:rsid w:val="00E53D6D"/>
    <w:rsid w:val="00E54684"/>
    <w:rsid w:val="00E56164"/>
    <w:rsid w:val="00E562EA"/>
    <w:rsid w:val="00E56DEF"/>
    <w:rsid w:val="00E5782F"/>
    <w:rsid w:val="00E64E0D"/>
    <w:rsid w:val="00E65C42"/>
    <w:rsid w:val="00E663CF"/>
    <w:rsid w:val="00E70991"/>
    <w:rsid w:val="00E715EB"/>
    <w:rsid w:val="00E71819"/>
    <w:rsid w:val="00E71ABD"/>
    <w:rsid w:val="00E71B69"/>
    <w:rsid w:val="00E71EB8"/>
    <w:rsid w:val="00E73C48"/>
    <w:rsid w:val="00E74E20"/>
    <w:rsid w:val="00E74E9D"/>
    <w:rsid w:val="00E75D40"/>
    <w:rsid w:val="00E7619F"/>
    <w:rsid w:val="00E767BF"/>
    <w:rsid w:val="00E76F77"/>
    <w:rsid w:val="00E774B6"/>
    <w:rsid w:val="00E800CA"/>
    <w:rsid w:val="00E80292"/>
    <w:rsid w:val="00E80D6C"/>
    <w:rsid w:val="00E812D4"/>
    <w:rsid w:val="00E84809"/>
    <w:rsid w:val="00E86933"/>
    <w:rsid w:val="00E87AA0"/>
    <w:rsid w:val="00E90B1F"/>
    <w:rsid w:val="00E9250B"/>
    <w:rsid w:val="00E925D0"/>
    <w:rsid w:val="00E92DCA"/>
    <w:rsid w:val="00E93155"/>
    <w:rsid w:val="00E939F5"/>
    <w:rsid w:val="00E94104"/>
    <w:rsid w:val="00E96CA2"/>
    <w:rsid w:val="00E96F43"/>
    <w:rsid w:val="00E9736D"/>
    <w:rsid w:val="00E97424"/>
    <w:rsid w:val="00EA065A"/>
    <w:rsid w:val="00EA296E"/>
    <w:rsid w:val="00EA3EB9"/>
    <w:rsid w:val="00EA4ACC"/>
    <w:rsid w:val="00EA5236"/>
    <w:rsid w:val="00EA69F9"/>
    <w:rsid w:val="00EA7920"/>
    <w:rsid w:val="00EA797E"/>
    <w:rsid w:val="00EB0B37"/>
    <w:rsid w:val="00EB25FB"/>
    <w:rsid w:val="00EB573E"/>
    <w:rsid w:val="00EB69DE"/>
    <w:rsid w:val="00EB6EA7"/>
    <w:rsid w:val="00EC0AAA"/>
    <w:rsid w:val="00EC2144"/>
    <w:rsid w:val="00EC7C04"/>
    <w:rsid w:val="00ED3C23"/>
    <w:rsid w:val="00ED3DD7"/>
    <w:rsid w:val="00ED4603"/>
    <w:rsid w:val="00ED46A4"/>
    <w:rsid w:val="00ED7CA0"/>
    <w:rsid w:val="00EE35A4"/>
    <w:rsid w:val="00EE5E9B"/>
    <w:rsid w:val="00EF0A4D"/>
    <w:rsid w:val="00EF2557"/>
    <w:rsid w:val="00EF4B08"/>
    <w:rsid w:val="00EF4C3B"/>
    <w:rsid w:val="00EF68C1"/>
    <w:rsid w:val="00EF6D47"/>
    <w:rsid w:val="00EF6DC9"/>
    <w:rsid w:val="00EF7158"/>
    <w:rsid w:val="00F005FD"/>
    <w:rsid w:val="00F06843"/>
    <w:rsid w:val="00F10F62"/>
    <w:rsid w:val="00F12898"/>
    <w:rsid w:val="00F14136"/>
    <w:rsid w:val="00F148D3"/>
    <w:rsid w:val="00F14E11"/>
    <w:rsid w:val="00F15F2D"/>
    <w:rsid w:val="00F172C7"/>
    <w:rsid w:val="00F178D3"/>
    <w:rsid w:val="00F22B96"/>
    <w:rsid w:val="00F248D6"/>
    <w:rsid w:val="00F25789"/>
    <w:rsid w:val="00F268AF"/>
    <w:rsid w:val="00F44088"/>
    <w:rsid w:val="00F45316"/>
    <w:rsid w:val="00F461CE"/>
    <w:rsid w:val="00F46EEC"/>
    <w:rsid w:val="00F47DA1"/>
    <w:rsid w:val="00F5028D"/>
    <w:rsid w:val="00F50F84"/>
    <w:rsid w:val="00F514A6"/>
    <w:rsid w:val="00F52208"/>
    <w:rsid w:val="00F53CEB"/>
    <w:rsid w:val="00F553A9"/>
    <w:rsid w:val="00F562D3"/>
    <w:rsid w:val="00F63C7A"/>
    <w:rsid w:val="00F64F80"/>
    <w:rsid w:val="00F700C6"/>
    <w:rsid w:val="00F7033A"/>
    <w:rsid w:val="00F716F9"/>
    <w:rsid w:val="00F71948"/>
    <w:rsid w:val="00F721AC"/>
    <w:rsid w:val="00F72CDE"/>
    <w:rsid w:val="00F743AC"/>
    <w:rsid w:val="00F7539B"/>
    <w:rsid w:val="00F772D9"/>
    <w:rsid w:val="00F8056E"/>
    <w:rsid w:val="00F8140B"/>
    <w:rsid w:val="00F81E5C"/>
    <w:rsid w:val="00F826B8"/>
    <w:rsid w:val="00F84A17"/>
    <w:rsid w:val="00F870FA"/>
    <w:rsid w:val="00F874A3"/>
    <w:rsid w:val="00F90D94"/>
    <w:rsid w:val="00F94C31"/>
    <w:rsid w:val="00F9518D"/>
    <w:rsid w:val="00F95F17"/>
    <w:rsid w:val="00FA41FC"/>
    <w:rsid w:val="00FA5900"/>
    <w:rsid w:val="00FA7893"/>
    <w:rsid w:val="00FB0777"/>
    <w:rsid w:val="00FB1B8B"/>
    <w:rsid w:val="00FB1BCD"/>
    <w:rsid w:val="00FB394B"/>
    <w:rsid w:val="00FB3FA0"/>
    <w:rsid w:val="00FB7236"/>
    <w:rsid w:val="00FC116A"/>
    <w:rsid w:val="00FC312C"/>
    <w:rsid w:val="00FC3BA0"/>
    <w:rsid w:val="00FC51D8"/>
    <w:rsid w:val="00FC60F7"/>
    <w:rsid w:val="00FC6700"/>
    <w:rsid w:val="00FD00DD"/>
    <w:rsid w:val="00FD04C0"/>
    <w:rsid w:val="00FD0C58"/>
    <w:rsid w:val="00FD2129"/>
    <w:rsid w:val="00FD490F"/>
    <w:rsid w:val="00FD49A5"/>
    <w:rsid w:val="00FD4F3B"/>
    <w:rsid w:val="00FD76BB"/>
    <w:rsid w:val="00FE19ED"/>
    <w:rsid w:val="00FE5B25"/>
    <w:rsid w:val="00FF09BF"/>
    <w:rsid w:val="00FF2658"/>
    <w:rsid w:val="00FF2736"/>
    <w:rsid w:val="00FF52FB"/>
    <w:rsid w:val="00FF5948"/>
    <w:rsid w:val="00FF6B3F"/>
    <w:rsid w:val="00FF755C"/>
    <w:rsid w:val="00FF75C1"/>
    <w:rsid w:val="00FF75DF"/>
    <w:rsid w:val="00FF79C8"/>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E16A9F"/>
  <w15:docId w15:val="{592FB6E7-E11E-49C5-BD2C-B6BD4693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40"/>
      </w:numPr>
      <w:autoSpaceDE w:val="0"/>
      <w:autoSpaceDN w:val="0"/>
      <w:adjustRightInd w:val="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unhideWhenUsed/>
    <w:rsid w:val="00DB7345"/>
    <w:rPr>
      <w:sz w:val="20"/>
      <w:szCs w:val="20"/>
    </w:rPr>
  </w:style>
  <w:style w:type="character" w:customStyle="1" w:styleId="CommentTextChar">
    <w:name w:val="Comment Text Char"/>
    <w:basedOn w:val="DefaultParagraphFont"/>
    <w:link w:val="CommentText"/>
    <w:uiPriority w:val="99"/>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 w:type="character" w:styleId="UnresolvedMention">
    <w:name w:val="Unresolved Mention"/>
    <w:basedOn w:val="DefaultParagraphFont"/>
    <w:uiPriority w:val="99"/>
    <w:semiHidden/>
    <w:unhideWhenUsed/>
    <w:rsid w:val="000E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3912">
      <w:bodyDiv w:val="1"/>
      <w:marLeft w:val="0"/>
      <w:marRight w:val="0"/>
      <w:marTop w:val="0"/>
      <w:marBottom w:val="0"/>
      <w:divBdr>
        <w:top w:val="none" w:sz="0" w:space="0" w:color="auto"/>
        <w:left w:val="none" w:sz="0" w:space="0" w:color="auto"/>
        <w:bottom w:val="none" w:sz="0" w:space="0" w:color="auto"/>
        <w:right w:val="none" w:sz="0" w:space="0" w:color="auto"/>
      </w:divBdr>
    </w:div>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consultation-invitation/consultation-proposed-amendments-poisons-standard-accs-31-june-2021" TargetMode="External"/><Relationship Id="rId13" Type="http://schemas.openxmlformats.org/officeDocument/2006/relationships/hyperlink" Target="https://www.tga.gov.au/scheduling-decision-interim/notice-interim-decisions-proposed-amendments-poisons-standard-acms-36-accs-32-joint-acms-accs-29-november-202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ga.gov.au/consultation-invitation/consultation-proposed-amendments-poisons-standard-accs-acms-and-joint-accsacms-meetings-november-2021" TargetMode="External"/><Relationship Id="rId17" Type="http://schemas.openxmlformats.org/officeDocument/2006/relationships/hyperlink" Target="https://www.tga.gov.au/scheduling-decision-final/notification-amendments-poisons-standard-relation-delegate-only-final-decisions-and-new-chemical-entities-nces-april-2022" TargetMode="External"/><Relationship Id="rId2" Type="http://schemas.openxmlformats.org/officeDocument/2006/relationships/numbering" Target="numbering.xml"/><Relationship Id="rId16" Type="http://schemas.openxmlformats.org/officeDocument/2006/relationships/hyperlink" Target="https://search.tga.gov.au/s/redirect?collection=tga-websites-web&amp;url=https%3A%2F%2Fwww.tga.gov.au%2Fsites%2Fdefault%2Ffiles%2Fnotice-final-decisions-amend-or-not-amend-current-poisons-standard-acms-36-joint-acms-accs-29-accs-32.docx&amp;auth=Bo6MrF6B38YSmYHvcLv3nA&amp;profile=_default&amp;rank=6&amp;query=Flurbiprofen+-archive%3AArchiv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scheduling-decision-interim/notice-interim-decisions-proposed-amendments-poisons-standard-sodium-nitrite-june-2021" TargetMode="External"/><Relationship Id="rId5" Type="http://schemas.openxmlformats.org/officeDocument/2006/relationships/webSettings" Target="webSettings.xml"/><Relationship Id="rId15" Type="http://schemas.openxmlformats.org/officeDocument/2006/relationships/hyperlink" Target="https://www.tga.gov.au/scheduling-decision-final/notice-final-decision-amend-or-not-amend-current-poisons-standard-relation-sodium-nitrite" TargetMode="External"/><Relationship Id="rId10" Type="http://schemas.openxmlformats.org/officeDocument/2006/relationships/hyperlink" Target="https://www.tga.gov.au/consultation-invitation/consultation-proposed-amendments-poisons-standard-sodium-nitrite-joint-acmsaccs-28-june-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ga.gov.au/scheduling-decision-interim/notice-interim-decisions-proposed-amendments-poisons-standard-accs-31-june-2021" TargetMode="External"/><Relationship Id="rId14" Type="http://schemas.openxmlformats.org/officeDocument/2006/relationships/hyperlink" Target="https://www.tga.gov.au/scheduling-decision-final/notice-final-decisions-amend-or-not-amend-current-poisons-standard-acms-34-joint-acms-accs-28-accs-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4C537A7-F6E7-4DD7-AED2-253013DE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Muhunthan</dc:creator>
  <cp:keywords/>
  <dc:description/>
  <cp:lastModifiedBy>ALLEN, Donna</cp:lastModifiedBy>
  <cp:revision>3</cp:revision>
  <cp:lastPrinted>2017-12-06T00:35:00Z</cp:lastPrinted>
  <dcterms:created xsi:type="dcterms:W3CDTF">2022-05-31T00:45:00Z</dcterms:created>
  <dcterms:modified xsi:type="dcterms:W3CDTF">2022-05-31T00:47:00Z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