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390BC" w14:textId="77777777" w:rsidR="00FB640B" w:rsidRPr="008B24C8" w:rsidRDefault="0057002B" w:rsidP="00BB0CF2">
      <w:pPr>
        <w:pStyle w:val="ESTitleHeader"/>
      </w:pPr>
      <w:r w:rsidRPr="008B24C8">
        <w:t>EXPLANATORY STATEMENT</w:t>
      </w:r>
    </w:p>
    <w:p w14:paraId="4B946592" w14:textId="5FEAD860" w:rsidR="0057002B" w:rsidRPr="008B24C8" w:rsidRDefault="0057002B" w:rsidP="00BB0CF2">
      <w:pPr>
        <w:pStyle w:val="ESTitleDecisionMaker"/>
      </w:pPr>
      <w:r w:rsidRPr="008B24C8">
        <w:t xml:space="preserve">Issued by authority of the </w:t>
      </w:r>
      <w:r w:rsidR="00C87217">
        <w:t xml:space="preserve">Minister for </w:t>
      </w:r>
      <w:r w:rsidR="00F4261C">
        <w:t xml:space="preserve">Immigration, Citizenship </w:t>
      </w:r>
      <w:r w:rsidR="009716CD">
        <w:t xml:space="preserve">and </w:t>
      </w:r>
      <w:r w:rsidR="00F4261C">
        <w:t>Multicultural Affairs</w:t>
      </w:r>
    </w:p>
    <w:p w14:paraId="170973C0" w14:textId="2C4774E5" w:rsidR="0057002B" w:rsidRPr="008B24C8" w:rsidRDefault="00375307" w:rsidP="00BB0CF2">
      <w:pPr>
        <w:pStyle w:val="ESTitleEnablingLegislation"/>
      </w:pPr>
      <w:r>
        <w:t>Migration Regulations </w:t>
      </w:r>
      <w:r w:rsidR="00F4261C">
        <w:t>1994</w:t>
      </w:r>
    </w:p>
    <w:p w14:paraId="60AA3AD4" w14:textId="2E69C1DC" w:rsidR="0057002B" w:rsidRPr="00F4261C" w:rsidRDefault="00F4261C" w:rsidP="00BB0CF2">
      <w:pPr>
        <w:pStyle w:val="ESTitleInstrumentName"/>
        <w:rPr>
          <w:b w:val="0"/>
          <w:i w:val="0"/>
        </w:rPr>
      </w:pPr>
      <w:r>
        <w:t>Migration (Arrangements for Refugee and Humanitarian (C</w:t>
      </w:r>
      <w:r w:rsidR="00375307">
        <w:t xml:space="preserve">lass XB) visas) </w:t>
      </w:r>
      <w:r w:rsidR="00173822">
        <w:t xml:space="preserve">Amendment </w:t>
      </w:r>
      <w:r w:rsidR="00CF7604">
        <w:t>Instrument </w:t>
      </w:r>
      <w:r w:rsidR="00375307">
        <w:t>(LIN </w:t>
      </w:r>
      <w:r>
        <w:t>22/060)</w:t>
      </w:r>
      <w:r w:rsidR="00375307">
        <w:t> </w:t>
      </w:r>
      <w:r>
        <w:t>2022</w:t>
      </w:r>
      <w:bookmarkStart w:id="0" w:name="_GoBack"/>
      <w:bookmarkEnd w:id="0"/>
    </w:p>
    <w:p w14:paraId="76053E35" w14:textId="33DBED29" w:rsidR="0057002B" w:rsidRPr="008B24C8" w:rsidRDefault="0057002B" w:rsidP="002D167E">
      <w:pPr>
        <w:pStyle w:val="ESPara"/>
      </w:pPr>
      <w:r w:rsidRPr="008B24C8">
        <w:t>The inst</w:t>
      </w:r>
      <w:r w:rsidR="0072798A">
        <w:t xml:space="preserve">rument, Departmental reference LIN 22/060, is made under </w:t>
      </w:r>
      <w:proofErr w:type="spellStart"/>
      <w:r w:rsidR="0072798A">
        <w:t>subregulation</w:t>
      </w:r>
      <w:proofErr w:type="spellEnd"/>
      <w:r w:rsidR="00375307">
        <w:t> </w:t>
      </w:r>
      <w:r w:rsidR="0072798A">
        <w:t xml:space="preserve">2.07(5) </w:t>
      </w:r>
      <w:r w:rsidRPr="008B24C8">
        <w:t xml:space="preserve">of the </w:t>
      </w:r>
      <w:r w:rsidRPr="008B24C8">
        <w:rPr>
          <w:i/>
        </w:rPr>
        <w:t>Migration Regulations</w:t>
      </w:r>
      <w:r w:rsidR="00375307">
        <w:rPr>
          <w:i/>
        </w:rPr>
        <w:t> </w:t>
      </w:r>
      <w:r w:rsidRPr="008B24C8">
        <w:rPr>
          <w:i/>
        </w:rPr>
        <w:t>1994</w:t>
      </w:r>
      <w:r w:rsidR="0072798A">
        <w:t xml:space="preserve"> (the Regulations)</w:t>
      </w:r>
      <w:r w:rsidR="00375307">
        <w:t>.</w:t>
      </w:r>
    </w:p>
    <w:p w14:paraId="4230616D" w14:textId="02F72170" w:rsidR="00EA12C9" w:rsidRPr="008B24C8" w:rsidRDefault="00EA12C9" w:rsidP="002D167E">
      <w:pPr>
        <w:pStyle w:val="ESPara"/>
      </w:pPr>
      <w:r w:rsidRPr="008B24C8">
        <w:t xml:space="preserve">The instrument </w:t>
      </w:r>
      <w:r w:rsidR="0072798A">
        <w:t xml:space="preserve">amends </w:t>
      </w:r>
      <w:r w:rsidR="0072798A">
        <w:rPr>
          <w:i/>
        </w:rPr>
        <w:t>Migration (Arrangements for Protection, Refugee and Humanitarian Visas</w:t>
      </w:r>
      <w:r w:rsidR="00EF1618">
        <w:rPr>
          <w:i/>
        </w:rPr>
        <w:t>)</w:t>
      </w:r>
      <w:r w:rsidR="0072798A">
        <w:rPr>
          <w:i/>
        </w:rPr>
        <w:t xml:space="preserve"> Instrument 2020</w:t>
      </w:r>
      <w:r w:rsidR="0072798A">
        <w:t xml:space="preserve"> (LIN 20/169)</w:t>
      </w:r>
      <w:r w:rsidR="00B75478">
        <w:t xml:space="preserve"> </w:t>
      </w:r>
      <w:r w:rsidRPr="008B24C8">
        <w:t xml:space="preserve">in accordance with subsection 33(3) of the </w:t>
      </w:r>
      <w:r w:rsidR="000E176A">
        <w:rPr>
          <w:i/>
        </w:rPr>
        <w:t>Acts Interpretation Act </w:t>
      </w:r>
      <w:r w:rsidRPr="008B24C8">
        <w:rPr>
          <w:i/>
        </w:rPr>
        <w:t>1901</w:t>
      </w:r>
      <w:r w:rsidR="00BD598E" w:rsidRPr="008B24C8">
        <w:rPr>
          <w:i/>
        </w:rPr>
        <w:t xml:space="preserve"> </w:t>
      </w:r>
      <w:r w:rsidR="00BD598E" w:rsidRPr="008B24C8">
        <w:t>(the Acts Interpretation Act)</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375307">
        <w:t>.</w:t>
      </w:r>
    </w:p>
    <w:p w14:paraId="55167B46" w14:textId="1017820B" w:rsidR="00BD598E" w:rsidRPr="008B24C8" w:rsidRDefault="0072798A" w:rsidP="002D167E">
      <w:pPr>
        <w:pStyle w:val="ESPara"/>
      </w:pPr>
      <w:r>
        <w:t xml:space="preserve">The </w:t>
      </w:r>
      <w:r w:rsidR="004442E7">
        <w:t>instrument commences on 10 June</w:t>
      </w:r>
      <w:r w:rsidR="00375307">
        <w:t> </w:t>
      </w:r>
      <w:r>
        <w:t>2022</w:t>
      </w:r>
      <w:r w:rsidR="00AA4557">
        <w:t>, and i</w:t>
      </w:r>
      <w:r w:rsidR="00BD598E" w:rsidRPr="008B24C8">
        <w:t xml:space="preserve">s a </w:t>
      </w:r>
      <w:r w:rsidR="00AA4557">
        <w:t>legislative</w:t>
      </w:r>
      <w:r w:rsidR="00BD598E" w:rsidRPr="008B24C8">
        <w:t xml:space="preserve"> instrument for </w:t>
      </w:r>
      <w:r w:rsidR="00B75478">
        <w:t xml:space="preserve">the </w:t>
      </w:r>
      <w:r w:rsidR="000E176A">
        <w:rPr>
          <w:i/>
        </w:rPr>
        <w:t>Legislation Act </w:t>
      </w:r>
      <w:r w:rsidR="00100DFC">
        <w:rPr>
          <w:i/>
        </w:rPr>
        <w:t>2003</w:t>
      </w:r>
      <w:r w:rsidR="00100DFC">
        <w:t xml:space="preserve"> (the Legislation Act)</w:t>
      </w:r>
      <w:r w:rsidR="00375307">
        <w:t>.</w:t>
      </w:r>
    </w:p>
    <w:p w14:paraId="5A83FCC0" w14:textId="41BC27D4" w:rsidR="00EA12C9" w:rsidRPr="00BB0CF2" w:rsidRDefault="00BD598E" w:rsidP="00100DFC">
      <w:pPr>
        <w:pStyle w:val="ESHeading"/>
        <w:rPr>
          <w:color w:val="FF0000"/>
        </w:rPr>
      </w:pPr>
      <w:r w:rsidRPr="008B24C8">
        <w:t>Purpose</w:t>
      </w:r>
    </w:p>
    <w:p w14:paraId="394F384E" w14:textId="34D300B0" w:rsidR="00A752EC" w:rsidRDefault="000E176A" w:rsidP="00C961A1">
      <w:pPr>
        <w:pStyle w:val="ESPara"/>
      </w:pPr>
      <w:r>
        <w:t>The purpose of th</w:t>
      </w:r>
      <w:r w:rsidR="000B36FD">
        <w:t>e</w:t>
      </w:r>
      <w:r>
        <w:t xml:space="preserve"> instrument is to </w:t>
      </w:r>
      <w:r w:rsidR="009B6E7F">
        <w:t xml:space="preserve">update the approved </w:t>
      </w:r>
      <w:r w:rsidR="005C1CFC">
        <w:t xml:space="preserve">place and manner for making an application for </w:t>
      </w:r>
      <w:r w:rsidR="003E62B9">
        <w:t>Refugee and Humanitarian (Class XB) visa (Class XB visa)</w:t>
      </w:r>
      <w:r w:rsidR="009D45D3">
        <w:t>.</w:t>
      </w:r>
      <w:r w:rsidR="007960B7">
        <w:t xml:space="preserve"> </w:t>
      </w:r>
      <w:r w:rsidR="009D45D3">
        <w:t xml:space="preserve"> The Class XB visa includes the </w:t>
      </w:r>
      <w:r w:rsidR="007960B7">
        <w:t>Subclass</w:t>
      </w:r>
      <w:r w:rsidR="009D45D3">
        <w:t> </w:t>
      </w:r>
      <w:r w:rsidR="007960B7">
        <w:t>200 (Refugee)</w:t>
      </w:r>
      <w:r w:rsidR="009D45D3">
        <w:t xml:space="preserve"> visa</w:t>
      </w:r>
      <w:r w:rsidR="007960B7">
        <w:t xml:space="preserve">, </w:t>
      </w:r>
      <w:r w:rsidR="009D45D3">
        <w:t>Subclass</w:t>
      </w:r>
      <w:r w:rsidR="00375307">
        <w:t> </w:t>
      </w:r>
      <w:r w:rsidR="007960B7">
        <w:t>201 (In-country Special Humanitarian)</w:t>
      </w:r>
      <w:r w:rsidR="009D45D3">
        <w:t xml:space="preserve"> visa</w:t>
      </w:r>
      <w:r w:rsidR="007960B7">
        <w:t xml:space="preserve">, </w:t>
      </w:r>
      <w:r w:rsidR="009D45D3">
        <w:t>Subclass </w:t>
      </w:r>
      <w:r w:rsidR="007960B7">
        <w:t>202 (Global Special Humanitarian)</w:t>
      </w:r>
      <w:r w:rsidR="009D45D3">
        <w:t xml:space="preserve"> visa</w:t>
      </w:r>
      <w:r w:rsidR="007960B7">
        <w:t xml:space="preserve">, </w:t>
      </w:r>
      <w:r w:rsidR="009D45D3">
        <w:t>Subclass </w:t>
      </w:r>
      <w:r w:rsidR="007960B7">
        <w:t>203 (Emergency Rescue)</w:t>
      </w:r>
      <w:r w:rsidR="009D45D3">
        <w:t xml:space="preserve"> visa</w:t>
      </w:r>
      <w:r w:rsidR="007960B7">
        <w:t xml:space="preserve"> and </w:t>
      </w:r>
      <w:r w:rsidR="009D45D3">
        <w:t>the Subclass </w:t>
      </w:r>
      <w:r w:rsidR="007960B7">
        <w:t>204 (Wom</w:t>
      </w:r>
      <w:r w:rsidR="00375307">
        <w:t>a</w:t>
      </w:r>
      <w:r w:rsidR="007960B7">
        <w:t>n at Risk) visa.</w:t>
      </w:r>
    </w:p>
    <w:p w14:paraId="113D2F00" w14:textId="7D69A5B2" w:rsidR="00C961A1" w:rsidRDefault="005C1CFC" w:rsidP="00C961A1">
      <w:pPr>
        <w:pStyle w:val="ESPara"/>
      </w:pPr>
      <w:r>
        <w:t xml:space="preserve">Previously, </w:t>
      </w:r>
      <w:r w:rsidR="00920C59">
        <w:t xml:space="preserve">certain </w:t>
      </w:r>
      <w:r>
        <w:t>applicant</w:t>
      </w:r>
      <w:r w:rsidR="00920C59">
        <w:t>s</w:t>
      </w:r>
      <w:r>
        <w:t xml:space="preserve"> for a </w:t>
      </w:r>
      <w:r w:rsidR="003E62B9">
        <w:t>Class XB</w:t>
      </w:r>
      <w:r>
        <w:t xml:space="preserve"> visa could </w:t>
      </w:r>
      <w:r w:rsidR="00C14C34">
        <w:t xml:space="preserve">lodge </w:t>
      </w:r>
      <w:r>
        <w:t xml:space="preserve">their application by courier service </w:t>
      </w:r>
      <w:r w:rsidR="00C14C34">
        <w:t>at</w:t>
      </w:r>
      <w:r>
        <w:t xml:space="preserve"> the Special Humanitarian Processing Cent</w:t>
      </w:r>
      <w:r w:rsidR="00F365B6">
        <w:t>re</w:t>
      </w:r>
      <w:r w:rsidR="00711DEF">
        <w:t xml:space="preserve"> on Lee Street</w:t>
      </w:r>
      <w:r>
        <w:t xml:space="preserve">.  </w:t>
      </w:r>
      <w:r w:rsidR="000F6C3E">
        <w:t xml:space="preserve">As the Lee Street office </w:t>
      </w:r>
      <w:r w:rsidR="00711DEF">
        <w:t xml:space="preserve">will be vacated </w:t>
      </w:r>
      <w:r w:rsidR="000F6C3E">
        <w:t>at the end of June</w:t>
      </w:r>
      <w:r w:rsidR="00375307">
        <w:t> </w:t>
      </w:r>
      <w:r w:rsidR="000F6C3E">
        <w:t>2022, t</w:t>
      </w:r>
      <w:r>
        <w:t xml:space="preserve">his instrument removes the option to </w:t>
      </w:r>
      <w:r w:rsidR="00C14C34">
        <w:t xml:space="preserve">lodge </w:t>
      </w:r>
      <w:r w:rsidR="003E62B9">
        <w:t>Class XB</w:t>
      </w:r>
      <w:r>
        <w:t xml:space="preserve"> visa application</w:t>
      </w:r>
      <w:r w:rsidR="00C14C34">
        <w:t>s</w:t>
      </w:r>
      <w:r>
        <w:t xml:space="preserve"> </w:t>
      </w:r>
      <w:r w:rsidR="00C14C34">
        <w:t xml:space="preserve">at </w:t>
      </w:r>
      <w:r w:rsidR="000B36FD">
        <w:t>that location</w:t>
      </w:r>
      <w:r>
        <w:t>.</w:t>
      </w:r>
    </w:p>
    <w:p w14:paraId="0633F5D8" w14:textId="78BA28C6" w:rsidR="007D6C54" w:rsidRDefault="00920C59" w:rsidP="00C961A1">
      <w:pPr>
        <w:pStyle w:val="ESPara"/>
      </w:pPr>
      <w:r>
        <w:t>R</w:t>
      </w:r>
      <w:r w:rsidR="00F365B6">
        <w:t xml:space="preserve">emoving the direct courier option </w:t>
      </w:r>
      <w:r w:rsidR="000337A4">
        <w:t xml:space="preserve">also </w:t>
      </w:r>
      <w:r w:rsidR="007D6C54">
        <w:t>align</w:t>
      </w:r>
      <w:r>
        <w:t>s</w:t>
      </w:r>
      <w:r w:rsidR="007D6C54">
        <w:t xml:space="preserve"> with Departmental client service practice</w:t>
      </w:r>
      <w:r w:rsidR="00A752EC">
        <w:t xml:space="preserve"> for </w:t>
      </w:r>
      <w:r w:rsidR="000337A4">
        <w:t xml:space="preserve">other </w:t>
      </w:r>
      <w:r w:rsidR="00A752EC">
        <w:t>visa applications</w:t>
      </w:r>
      <w:r w:rsidR="00375307">
        <w:t>.</w:t>
      </w:r>
    </w:p>
    <w:p w14:paraId="31AAE1F0" w14:textId="77777777" w:rsidR="008B24C8" w:rsidRDefault="008B24C8" w:rsidP="00100DFC">
      <w:pPr>
        <w:pStyle w:val="ESHeading"/>
      </w:pPr>
      <w:r w:rsidRPr="008B24C8">
        <w:t>Consultation</w:t>
      </w:r>
    </w:p>
    <w:p w14:paraId="74662887" w14:textId="1AF313B0" w:rsidR="00C37699" w:rsidRDefault="005C1CFC" w:rsidP="00C37699">
      <w:pPr>
        <w:pStyle w:val="ESPara"/>
      </w:pPr>
      <w:r>
        <w:t>No consultation was undertaken as the amendments do not substantially alter existing arrangements.  This accords with subsection</w:t>
      </w:r>
      <w:r w:rsidR="00375307">
        <w:t> </w:t>
      </w:r>
      <w:r>
        <w:t>17(1) of the Legislation Act.</w:t>
      </w:r>
    </w:p>
    <w:p w14:paraId="3DF8582B" w14:textId="1043A335" w:rsidR="008B24C8" w:rsidRPr="008B24C8" w:rsidRDefault="008B24C8" w:rsidP="002D167E">
      <w:pPr>
        <w:pStyle w:val="ESPara"/>
      </w:pPr>
      <w:r w:rsidRPr="008B24C8">
        <w:t>The Office of Best Practice Regulation (OBPR) was consulted and considered that the instrument dealt with m</w:t>
      </w:r>
      <w:r>
        <w:t xml:space="preserve">atters of a </w:t>
      </w:r>
      <w:r w:rsidRPr="00C60190">
        <w:t>minor</w:t>
      </w:r>
      <w:r w:rsidRPr="008B24C8">
        <w:t xml:space="preserve"> nature and no regulatory impact statement was required.  </w:t>
      </w:r>
      <w:r w:rsidR="00C37699">
        <w:t>The OBPR reference number is</w:t>
      </w:r>
      <w:r w:rsidR="00375307">
        <w:t> </w:t>
      </w:r>
      <w:r w:rsidR="00C37699">
        <w:t>22-01831.</w:t>
      </w:r>
    </w:p>
    <w:p w14:paraId="776D32FB" w14:textId="77777777" w:rsidR="00AA4557" w:rsidRDefault="00464080" w:rsidP="00100DFC">
      <w:pPr>
        <w:pStyle w:val="ESHeading"/>
      </w:pPr>
      <w:r>
        <w:t>Details</w:t>
      </w:r>
      <w:r w:rsidR="00AA4557">
        <w:t xml:space="preserve"> of the instrument</w:t>
      </w:r>
    </w:p>
    <w:p w14:paraId="5D1E1E86" w14:textId="77777777" w:rsidR="00AA4557" w:rsidRDefault="00AA4557" w:rsidP="002D167E">
      <w:pPr>
        <w:pStyle w:val="ESPara"/>
      </w:pPr>
      <w:r>
        <w:t>Section 1 sets out</w:t>
      </w:r>
      <w:r w:rsidR="00E03DCC">
        <w:t xml:space="preserve"> the name of the instrument. </w:t>
      </w:r>
    </w:p>
    <w:p w14:paraId="6785DBDC" w14:textId="6EC7B7AA" w:rsidR="00AA4557" w:rsidRDefault="00AA4557" w:rsidP="002D167E">
      <w:pPr>
        <w:pStyle w:val="ESPara"/>
      </w:pPr>
      <w:r>
        <w:lastRenderedPageBreak/>
        <w:t xml:space="preserve">Section 2 provides for the commencement of the instrument on </w:t>
      </w:r>
      <w:r w:rsidR="0072798A">
        <w:t>10 June</w:t>
      </w:r>
      <w:r w:rsidR="00375307">
        <w:t> </w:t>
      </w:r>
      <w:r w:rsidR="0072798A">
        <w:t>2022</w:t>
      </w:r>
      <w:r>
        <w:t>.</w:t>
      </w:r>
    </w:p>
    <w:p w14:paraId="580D07FC" w14:textId="36F6860E" w:rsidR="00036B9E" w:rsidRDefault="00AA4F77" w:rsidP="00AA4F77">
      <w:pPr>
        <w:pStyle w:val="ESPara"/>
      </w:pPr>
      <w:r>
        <w:t xml:space="preserve">Section 3 </w:t>
      </w:r>
      <w:r w:rsidR="004442E7">
        <w:t>provides that LIN </w:t>
      </w:r>
      <w:r w:rsidR="00036B9E">
        <w:t>20/169 is amended as set out in Schedule 1</w:t>
      </w:r>
      <w:r w:rsidR="006A5CBF">
        <w:t xml:space="preserve"> to the instrument</w:t>
      </w:r>
      <w:r w:rsidR="00036B9E">
        <w:t>.</w:t>
      </w:r>
    </w:p>
    <w:p w14:paraId="1F4AD9AA" w14:textId="24CBEA87" w:rsidR="00C961A1" w:rsidRDefault="00036B9E" w:rsidP="00C961A1">
      <w:pPr>
        <w:pStyle w:val="ESPara"/>
      </w:pPr>
      <w:r>
        <w:t xml:space="preserve">Item 1 of Schedule 1 omits </w:t>
      </w:r>
      <w:r w:rsidR="00920C59">
        <w:t xml:space="preserve">paragraph (b) of column 3 of item 1 of the table in section 8.  </w:t>
      </w:r>
      <w:r>
        <w:t xml:space="preserve">This removes the </w:t>
      </w:r>
      <w:r w:rsidR="000164E9">
        <w:t xml:space="preserve">option to submit a </w:t>
      </w:r>
      <w:r w:rsidR="003E62B9">
        <w:t>Class XB</w:t>
      </w:r>
      <w:r w:rsidR="000164E9">
        <w:t xml:space="preserve"> visa application by courier </w:t>
      </w:r>
      <w:r w:rsidR="00F365B6">
        <w:t xml:space="preserve">directly to </w:t>
      </w:r>
      <w:r w:rsidR="00C14C34">
        <w:t xml:space="preserve">the Special Humanitarian Processing Centre, Department of Home Affairs, Level 3, </w:t>
      </w:r>
      <w:proofErr w:type="gramStart"/>
      <w:r w:rsidR="00C14C34">
        <w:t>26</w:t>
      </w:r>
      <w:proofErr w:type="gramEnd"/>
      <w:r w:rsidR="00C14C34">
        <w:t xml:space="preserve"> Lee Street, Sydney</w:t>
      </w:r>
      <w:r w:rsidR="000164E9">
        <w:t>.</w:t>
      </w:r>
      <w:r w:rsidR="00F365B6">
        <w:t xml:space="preserve">  As the Special Humanitarian Processing Centre’s post office box will remain operational, </w:t>
      </w:r>
      <w:r w:rsidR="007406D1">
        <w:t xml:space="preserve">an applicant </w:t>
      </w:r>
      <w:r w:rsidR="007D6C54">
        <w:t xml:space="preserve">will still be able to lodge </w:t>
      </w:r>
      <w:r w:rsidR="007406D1">
        <w:t>by courier to the post office box address specified in LIN 20/169</w:t>
      </w:r>
      <w:r w:rsidR="007406D1" w:rsidRPr="007406D1">
        <w:t xml:space="preserve"> </w:t>
      </w:r>
      <w:r w:rsidR="007406D1">
        <w:t>for Class</w:t>
      </w:r>
      <w:r w:rsidR="00375307">
        <w:t xml:space="preserve"> </w:t>
      </w:r>
      <w:r w:rsidR="007406D1">
        <w:t xml:space="preserve">XB </w:t>
      </w:r>
      <w:r w:rsidR="00C14C34">
        <w:t>applications</w:t>
      </w:r>
      <w:r w:rsidR="007406D1">
        <w:t>, if they</w:t>
      </w:r>
      <w:r w:rsidR="00F365B6">
        <w:t xml:space="preserve"> </w:t>
      </w:r>
      <w:r w:rsidR="007D6C54">
        <w:t>us</w:t>
      </w:r>
      <w:r w:rsidR="007406D1">
        <w:t>e</w:t>
      </w:r>
      <w:r w:rsidR="007D6C54">
        <w:t xml:space="preserve"> </w:t>
      </w:r>
      <w:r w:rsidR="007406D1">
        <w:t xml:space="preserve">a courier </w:t>
      </w:r>
      <w:r w:rsidR="007D6C54">
        <w:t>service affiliated with Australia Post.</w:t>
      </w:r>
    </w:p>
    <w:p w14:paraId="76FF5D2F" w14:textId="32F64591" w:rsidR="007A1AA5" w:rsidRDefault="00C961A1" w:rsidP="00C961A1">
      <w:pPr>
        <w:pStyle w:val="ESPara"/>
      </w:pPr>
      <w:r>
        <w:t>This change affects</w:t>
      </w:r>
      <w:r w:rsidR="0052019A">
        <w:t xml:space="preserve"> applicants whose entry to Australia has been proposed in accordance with form 681 or form 1417.  </w:t>
      </w:r>
      <w:r w:rsidR="0093199D">
        <w:t>In practice, t</w:t>
      </w:r>
      <w:r w:rsidR="0052019A" w:rsidRPr="0052019A">
        <w:t>hese</w:t>
      </w:r>
      <w:r w:rsidR="0052019A">
        <w:t xml:space="preserve"> are applicants </w:t>
      </w:r>
      <w:r w:rsidR="00B80F6A">
        <w:t>for</w:t>
      </w:r>
      <w:r w:rsidR="00AA226F">
        <w:t xml:space="preserve"> a </w:t>
      </w:r>
      <w:r w:rsidR="00441E18">
        <w:t>Class XB</w:t>
      </w:r>
      <w:r w:rsidR="00AA226F">
        <w:t xml:space="preserve"> visa</w:t>
      </w:r>
      <w:r w:rsidR="007A1AA5" w:rsidRPr="00D9331C">
        <w:t xml:space="preserve"> </w:t>
      </w:r>
      <w:r w:rsidR="00AA226F">
        <w:t>who</w:t>
      </w:r>
      <w:r w:rsidR="007A1AA5">
        <w:t>:</w:t>
      </w:r>
    </w:p>
    <w:p w14:paraId="7A738314" w14:textId="69D42F6E" w:rsidR="00494B79" w:rsidRPr="009E39EA" w:rsidRDefault="00A20055" w:rsidP="00C41A05">
      <w:pPr>
        <w:pStyle w:val="ESPara"/>
        <w:numPr>
          <w:ilvl w:val="0"/>
          <w:numId w:val="5"/>
        </w:numPr>
      </w:pPr>
      <w:r w:rsidRPr="009E39EA">
        <w:t>are proposed for entry by</w:t>
      </w:r>
      <w:r w:rsidR="007A1AA5" w:rsidRPr="009E39EA">
        <w:t xml:space="preserve"> </w:t>
      </w:r>
      <w:r w:rsidR="00B80F6A" w:rsidRPr="009E39EA">
        <w:t xml:space="preserve">an Australian citizen, an Australian permanent </w:t>
      </w:r>
      <w:r w:rsidR="007A63AE" w:rsidRPr="009E39EA">
        <w:t>resident, an</w:t>
      </w:r>
      <w:r w:rsidR="007406D1" w:rsidRPr="009E39EA">
        <w:t xml:space="preserve"> eligible New Zealand citizen</w:t>
      </w:r>
      <w:r w:rsidR="009E39EA" w:rsidRPr="009E39EA">
        <w:t xml:space="preserve">, </w:t>
      </w:r>
      <w:r w:rsidR="00494B79" w:rsidRPr="009E39EA">
        <w:t>a body operating in Australia</w:t>
      </w:r>
      <w:r w:rsidR="009E39EA" w:rsidRPr="009E39EA">
        <w:t>, or an approved proposing organisation; or</w:t>
      </w:r>
    </w:p>
    <w:p w14:paraId="5A6425FE" w14:textId="5BCFAD8D" w:rsidR="007A1AA5" w:rsidRPr="009E39EA" w:rsidRDefault="00494B79" w:rsidP="00404AE0">
      <w:pPr>
        <w:pStyle w:val="ESPara"/>
        <w:numPr>
          <w:ilvl w:val="0"/>
          <w:numId w:val="5"/>
        </w:numPr>
      </w:pPr>
      <w:proofErr w:type="gramStart"/>
      <w:r w:rsidRPr="009E39EA">
        <w:t>are</w:t>
      </w:r>
      <w:proofErr w:type="gramEnd"/>
      <w:r w:rsidRPr="009E39EA">
        <w:t xml:space="preserve"> </w:t>
      </w:r>
      <w:r w:rsidR="00404AE0" w:rsidRPr="009E39EA">
        <w:t>proposed for humanitarian entry by an Australian citizen or Australian permanent resident who holds or held</w:t>
      </w:r>
      <w:r w:rsidRPr="009E39EA">
        <w:t xml:space="preserve"> a</w:t>
      </w:r>
      <w:r w:rsidR="009E39EA" w:rsidRPr="009E39EA">
        <w:t xml:space="preserve"> Class XB visa, Protection (Class XA) visa or Resolution of Status (</w:t>
      </w:r>
      <w:r w:rsidR="00375307">
        <w:t>Class </w:t>
      </w:r>
      <w:r w:rsidR="009E39EA" w:rsidRPr="009E39EA">
        <w:t xml:space="preserve">CD) visa, </w:t>
      </w:r>
      <w:r w:rsidR="00404AE0" w:rsidRPr="009E39EA">
        <w:t>and are a member of the immediate family of their proposer</w:t>
      </w:r>
      <w:r w:rsidR="009E39EA">
        <w:t>.</w:t>
      </w:r>
    </w:p>
    <w:p w14:paraId="6ADEFCF6" w14:textId="73337E35" w:rsidR="00AA4557" w:rsidRPr="00AA4557" w:rsidRDefault="004F064F" w:rsidP="00100DFC">
      <w:pPr>
        <w:pStyle w:val="ESHeading"/>
      </w:pPr>
      <w:r>
        <w:t>Parliamentary scrutiny etc.</w:t>
      </w:r>
    </w:p>
    <w:p w14:paraId="6FFFD9DA" w14:textId="6E1B8B49" w:rsidR="00EA672B" w:rsidRDefault="00E03DCC" w:rsidP="002D167E">
      <w:pPr>
        <w:pStyle w:val="ESPara"/>
      </w:pPr>
      <w:r>
        <w:t>The instrument is exempt from disallowance under section 42 of the Le</w:t>
      </w:r>
      <w:r w:rsidR="00EA672B">
        <w:t xml:space="preserve">gislation Act.  This is because </w:t>
      </w:r>
      <w:r w:rsidR="000164E9">
        <w:t>instruments made under Part</w:t>
      </w:r>
      <w:r w:rsidR="00375307">
        <w:t> </w:t>
      </w:r>
      <w:r w:rsidR="000164E9">
        <w:t>2 and Schedule</w:t>
      </w:r>
      <w:r w:rsidR="00375307">
        <w:t> </w:t>
      </w:r>
      <w:r w:rsidR="000164E9">
        <w:t xml:space="preserve">1 to the Regulations are </w:t>
      </w:r>
      <w:r w:rsidR="00B80366">
        <w:t xml:space="preserve">prescribed as </w:t>
      </w:r>
      <w:r w:rsidR="000164E9">
        <w:t xml:space="preserve">exempt </w:t>
      </w:r>
      <w:r w:rsidR="00B80366">
        <w:t xml:space="preserve">by </w:t>
      </w:r>
      <w:r w:rsidR="000164E9">
        <w:t>section</w:t>
      </w:r>
      <w:r w:rsidR="00375307">
        <w:t> </w:t>
      </w:r>
      <w:r w:rsidR="000164E9">
        <w:t xml:space="preserve">10 of the </w:t>
      </w:r>
      <w:r w:rsidR="000164E9">
        <w:rPr>
          <w:i/>
        </w:rPr>
        <w:t>Legislation (Exemptions and Other Matters) Regulation</w:t>
      </w:r>
      <w:r w:rsidR="00375307">
        <w:rPr>
          <w:i/>
        </w:rPr>
        <w:t> </w:t>
      </w:r>
      <w:r w:rsidR="000164E9">
        <w:rPr>
          <w:i/>
        </w:rPr>
        <w:t>2015</w:t>
      </w:r>
      <w:r w:rsidR="000164E9">
        <w:t>.</w:t>
      </w:r>
    </w:p>
    <w:p w14:paraId="45557C20" w14:textId="27ED7394" w:rsidR="00EA672B" w:rsidRDefault="00EA672B" w:rsidP="002D167E">
      <w:pPr>
        <w:pStyle w:val="ESPara"/>
      </w:pPr>
      <w:r>
        <w:t>The instrument is appropriate to be exempt from disallowance as it concerns matters of an administrative nature.  Updating legislative instruments that specify administrative matters allows for consistent internal management of the migration policy framework</w:t>
      </w:r>
      <w:r w:rsidR="000337A4">
        <w:t xml:space="preserve"> in accordance with Departmental resources and </w:t>
      </w:r>
      <w:r w:rsidR="00B80366">
        <w:t>arrangements</w:t>
      </w:r>
      <w:r>
        <w:t>.</w:t>
      </w:r>
    </w:p>
    <w:p w14:paraId="7B87C23F" w14:textId="353C70AE" w:rsidR="00B75478" w:rsidRDefault="00B75478" w:rsidP="002D167E">
      <w:pPr>
        <w:pStyle w:val="ESPara"/>
      </w:pPr>
      <w:r w:rsidRPr="00B75478">
        <w:t xml:space="preserve">The </w:t>
      </w:r>
      <w:r>
        <w:t>instrument was made by</w:t>
      </w:r>
      <w:r w:rsidR="00EA672B">
        <w:t xml:space="preserve"> a delegate of the Minister in accordance with </w:t>
      </w:r>
      <w:proofErr w:type="spellStart"/>
      <w:r w:rsidR="00EA672B">
        <w:t>subregulation</w:t>
      </w:r>
      <w:proofErr w:type="spellEnd"/>
      <w:r w:rsidR="00375307">
        <w:t> </w:t>
      </w:r>
      <w:r w:rsidR="00EA672B">
        <w:t>2.07(5)</w:t>
      </w:r>
      <w:r w:rsidR="000E176A">
        <w:t xml:space="preserve"> of the Regulations.</w:t>
      </w:r>
    </w:p>
    <w:p w14:paraId="4B1D2155" w14:textId="03DCDA05" w:rsidR="00915032" w:rsidRPr="00C87217" w:rsidRDefault="00915032" w:rsidP="00C87217">
      <w:pPr>
        <w:rPr>
          <w:rFonts w:ascii="Times New Roman" w:hAnsi="Times New Roman" w:cs="Times New Roman"/>
        </w:rPr>
      </w:pPr>
    </w:p>
    <w:sectPr w:rsidR="00915032" w:rsidRPr="00C87217" w:rsidSect="004F5CE4">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9B27F" w14:textId="77777777" w:rsidR="00425401" w:rsidRDefault="00425401" w:rsidP="00425401">
      <w:pPr>
        <w:spacing w:after="0" w:line="240" w:lineRule="auto"/>
      </w:pPr>
      <w:r>
        <w:separator/>
      </w:r>
    </w:p>
  </w:endnote>
  <w:endnote w:type="continuationSeparator" w:id="0">
    <w:p w14:paraId="4761CF14" w14:textId="77777777" w:rsidR="00425401" w:rsidRDefault="00425401" w:rsidP="0042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644C" w14:textId="710D7576" w:rsidR="00425401" w:rsidRPr="00425401" w:rsidRDefault="00425401" w:rsidP="00425401">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60FCC" w14:textId="77777777" w:rsidR="00425401" w:rsidRDefault="00425401" w:rsidP="00425401">
      <w:pPr>
        <w:spacing w:after="0" w:line="240" w:lineRule="auto"/>
      </w:pPr>
      <w:r>
        <w:separator/>
      </w:r>
    </w:p>
  </w:footnote>
  <w:footnote w:type="continuationSeparator" w:id="0">
    <w:p w14:paraId="0AD89AF1" w14:textId="77777777" w:rsidR="00425401" w:rsidRDefault="00425401" w:rsidP="00425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6097C"/>
    <w:multiLevelType w:val="hybridMultilevel"/>
    <w:tmpl w:val="20A6FE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6E04BB"/>
    <w:multiLevelType w:val="hybridMultilevel"/>
    <w:tmpl w:val="4762C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8A"/>
    <w:rsid w:val="000164E9"/>
    <w:rsid w:val="000337A4"/>
    <w:rsid w:val="00036B9E"/>
    <w:rsid w:val="00077125"/>
    <w:rsid w:val="00077511"/>
    <w:rsid w:val="000B36FD"/>
    <w:rsid w:val="000D014F"/>
    <w:rsid w:val="000E176A"/>
    <w:rsid w:val="000F6C3E"/>
    <w:rsid w:val="00100DFC"/>
    <w:rsid w:val="00112F06"/>
    <w:rsid w:val="0012729D"/>
    <w:rsid w:val="00173822"/>
    <w:rsid w:val="0019164E"/>
    <w:rsid w:val="0019172C"/>
    <w:rsid w:val="002402E0"/>
    <w:rsid w:val="002610B0"/>
    <w:rsid w:val="002630BE"/>
    <w:rsid w:val="002A16F1"/>
    <w:rsid w:val="002D167E"/>
    <w:rsid w:val="00367ECC"/>
    <w:rsid w:val="00375307"/>
    <w:rsid w:val="003E62B9"/>
    <w:rsid w:val="00404AE0"/>
    <w:rsid w:val="00414E7E"/>
    <w:rsid w:val="00425401"/>
    <w:rsid w:val="00441E18"/>
    <w:rsid w:val="004442E7"/>
    <w:rsid w:val="00457D4A"/>
    <w:rsid w:val="00464080"/>
    <w:rsid w:val="00492C81"/>
    <w:rsid w:val="00494B79"/>
    <w:rsid w:val="004F064F"/>
    <w:rsid w:val="004F5CE4"/>
    <w:rsid w:val="0052019A"/>
    <w:rsid w:val="00523B56"/>
    <w:rsid w:val="00560B24"/>
    <w:rsid w:val="0057002B"/>
    <w:rsid w:val="005A3733"/>
    <w:rsid w:val="005B7008"/>
    <w:rsid w:val="005C1CFC"/>
    <w:rsid w:val="00604E06"/>
    <w:rsid w:val="006A5CBF"/>
    <w:rsid w:val="006B3D2B"/>
    <w:rsid w:val="00711DEF"/>
    <w:rsid w:val="0072798A"/>
    <w:rsid w:val="007406D1"/>
    <w:rsid w:val="007473D8"/>
    <w:rsid w:val="007512CC"/>
    <w:rsid w:val="007960B7"/>
    <w:rsid w:val="007A1AA5"/>
    <w:rsid w:val="007A63AE"/>
    <w:rsid w:val="007D6C54"/>
    <w:rsid w:val="007E4691"/>
    <w:rsid w:val="0087294E"/>
    <w:rsid w:val="0087576D"/>
    <w:rsid w:val="00880F95"/>
    <w:rsid w:val="0088407D"/>
    <w:rsid w:val="008B24C8"/>
    <w:rsid w:val="008F3752"/>
    <w:rsid w:val="00911033"/>
    <w:rsid w:val="00915032"/>
    <w:rsid w:val="00920C59"/>
    <w:rsid w:val="0093199D"/>
    <w:rsid w:val="009713EF"/>
    <w:rsid w:val="009716CD"/>
    <w:rsid w:val="00992277"/>
    <w:rsid w:val="009B42EE"/>
    <w:rsid w:val="009B6E7F"/>
    <w:rsid w:val="009D45D3"/>
    <w:rsid w:val="009D7503"/>
    <w:rsid w:val="009E36BA"/>
    <w:rsid w:val="009E39EA"/>
    <w:rsid w:val="009F206D"/>
    <w:rsid w:val="00A20055"/>
    <w:rsid w:val="00A36601"/>
    <w:rsid w:val="00A752EC"/>
    <w:rsid w:val="00AA226F"/>
    <w:rsid w:val="00AA4557"/>
    <w:rsid w:val="00AA4F77"/>
    <w:rsid w:val="00B135B2"/>
    <w:rsid w:val="00B445D9"/>
    <w:rsid w:val="00B65A06"/>
    <w:rsid w:val="00B67A47"/>
    <w:rsid w:val="00B72F4D"/>
    <w:rsid w:val="00B75478"/>
    <w:rsid w:val="00B80366"/>
    <w:rsid w:val="00B80F6A"/>
    <w:rsid w:val="00BB0430"/>
    <w:rsid w:val="00BB0CF2"/>
    <w:rsid w:val="00BD598E"/>
    <w:rsid w:val="00BE3E7F"/>
    <w:rsid w:val="00C0637D"/>
    <w:rsid w:val="00C14C34"/>
    <w:rsid w:val="00C27E46"/>
    <w:rsid w:val="00C37699"/>
    <w:rsid w:val="00C41A05"/>
    <w:rsid w:val="00C57CC5"/>
    <w:rsid w:val="00C60190"/>
    <w:rsid w:val="00C72B0F"/>
    <w:rsid w:val="00C81A5E"/>
    <w:rsid w:val="00C87217"/>
    <w:rsid w:val="00C930F2"/>
    <w:rsid w:val="00C961A1"/>
    <w:rsid w:val="00CF7604"/>
    <w:rsid w:val="00D40E1E"/>
    <w:rsid w:val="00D50D48"/>
    <w:rsid w:val="00D62924"/>
    <w:rsid w:val="00D9331C"/>
    <w:rsid w:val="00E03DCC"/>
    <w:rsid w:val="00E45FE2"/>
    <w:rsid w:val="00E71073"/>
    <w:rsid w:val="00EA12C9"/>
    <w:rsid w:val="00EA672B"/>
    <w:rsid w:val="00EF1618"/>
    <w:rsid w:val="00F05CA0"/>
    <w:rsid w:val="00F25576"/>
    <w:rsid w:val="00F365B6"/>
    <w:rsid w:val="00F4261C"/>
    <w:rsid w:val="00F72A53"/>
    <w:rsid w:val="00FE0FEE"/>
    <w:rsid w:val="00FE2E84"/>
    <w:rsid w:val="00FE6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D56F"/>
  <w15:chartTrackingRefBased/>
  <w15:docId w15:val="{F9B7C93C-9810-4862-B5B5-AEBCF6E1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72798A"/>
    <w:rPr>
      <w:sz w:val="16"/>
      <w:szCs w:val="16"/>
    </w:rPr>
  </w:style>
  <w:style w:type="paragraph" w:styleId="CommentText">
    <w:name w:val="annotation text"/>
    <w:basedOn w:val="Normal"/>
    <w:link w:val="CommentTextChar"/>
    <w:uiPriority w:val="99"/>
    <w:unhideWhenUsed/>
    <w:rsid w:val="0072798A"/>
    <w:pPr>
      <w:spacing w:line="240" w:lineRule="auto"/>
    </w:pPr>
    <w:rPr>
      <w:sz w:val="20"/>
      <w:szCs w:val="20"/>
    </w:rPr>
  </w:style>
  <w:style w:type="character" w:customStyle="1" w:styleId="CommentTextChar">
    <w:name w:val="Comment Text Char"/>
    <w:basedOn w:val="DefaultParagraphFont"/>
    <w:link w:val="CommentText"/>
    <w:uiPriority w:val="99"/>
    <w:rsid w:val="0072798A"/>
    <w:rPr>
      <w:sz w:val="20"/>
      <w:szCs w:val="20"/>
    </w:rPr>
  </w:style>
  <w:style w:type="paragraph" w:styleId="CommentSubject">
    <w:name w:val="annotation subject"/>
    <w:basedOn w:val="CommentText"/>
    <w:next w:val="CommentText"/>
    <w:link w:val="CommentSubjectChar"/>
    <w:uiPriority w:val="99"/>
    <w:semiHidden/>
    <w:unhideWhenUsed/>
    <w:rsid w:val="0072798A"/>
    <w:rPr>
      <w:b/>
      <w:bCs/>
    </w:rPr>
  </w:style>
  <w:style w:type="character" w:customStyle="1" w:styleId="CommentSubjectChar">
    <w:name w:val="Comment Subject Char"/>
    <w:basedOn w:val="CommentTextChar"/>
    <w:link w:val="CommentSubject"/>
    <w:uiPriority w:val="99"/>
    <w:semiHidden/>
    <w:rsid w:val="0072798A"/>
    <w:rPr>
      <w:b/>
      <w:bCs/>
      <w:sz w:val="20"/>
      <w:szCs w:val="20"/>
    </w:rPr>
  </w:style>
  <w:style w:type="paragraph" w:styleId="BalloonText">
    <w:name w:val="Balloon Text"/>
    <w:basedOn w:val="Normal"/>
    <w:link w:val="BalloonTextChar"/>
    <w:uiPriority w:val="99"/>
    <w:semiHidden/>
    <w:unhideWhenUsed/>
    <w:rsid w:val="0072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98A"/>
    <w:rPr>
      <w:rFonts w:ascii="Segoe UI" w:hAnsi="Segoe UI" w:cs="Segoe UI"/>
      <w:sz w:val="18"/>
      <w:szCs w:val="18"/>
    </w:rPr>
  </w:style>
  <w:style w:type="character" w:styleId="Hyperlink">
    <w:name w:val="Hyperlink"/>
    <w:basedOn w:val="DefaultParagraphFont"/>
    <w:uiPriority w:val="99"/>
    <w:semiHidden/>
    <w:unhideWhenUsed/>
    <w:rsid w:val="00EF1618"/>
    <w:rPr>
      <w:color w:val="0000FF"/>
      <w:u w:val="single"/>
    </w:rPr>
  </w:style>
  <w:style w:type="paragraph" w:styleId="Revision">
    <w:name w:val="Revision"/>
    <w:hidden/>
    <w:uiPriority w:val="99"/>
    <w:semiHidden/>
    <w:rsid w:val="00D9331C"/>
    <w:pPr>
      <w:spacing w:after="0" w:line="240" w:lineRule="auto"/>
    </w:pPr>
  </w:style>
  <w:style w:type="paragraph" w:styleId="Header">
    <w:name w:val="header"/>
    <w:basedOn w:val="Normal"/>
    <w:link w:val="HeaderChar"/>
    <w:uiPriority w:val="99"/>
    <w:unhideWhenUsed/>
    <w:rsid w:val="00425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401"/>
  </w:style>
  <w:style w:type="paragraph" w:styleId="Footer">
    <w:name w:val="footer"/>
    <w:basedOn w:val="Normal"/>
    <w:link w:val="FooterChar"/>
    <w:uiPriority w:val="99"/>
    <w:unhideWhenUsed/>
    <w:rsid w:val="00425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82GK\AppData\Local\Microsoft\Windows\INetCache\Content.Outlook\QDEY48SF\ES%20template%20211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4CB21-7D1F-4E57-8AC3-E4007FC6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211208</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CORBY</dc:creator>
  <cp:keywords/>
  <dc:description/>
  <cp:lastModifiedBy>Catriona CORBY</cp:lastModifiedBy>
  <cp:revision>4</cp:revision>
  <dcterms:created xsi:type="dcterms:W3CDTF">2022-06-06T04:49:00Z</dcterms:created>
  <dcterms:modified xsi:type="dcterms:W3CDTF">2022-06-07T23:59:00Z</dcterms:modified>
</cp:coreProperties>
</file>