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CBBC5" w14:textId="77777777" w:rsidR="007231B2" w:rsidRPr="00E17963" w:rsidRDefault="007231B2" w:rsidP="007231B2">
      <w:pPr>
        <w:jc w:val="center"/>
        <w:rPr>
          <w:rFonts w:ascii="Times New Roman" w:hAnsi="Times New Roman"/>
          <w:b/>
          <w:szCs w:val="24"/>
          <w:u w:val="single"/>
        </w:rPr>
      </w:pPr>
      <w:r w:rsidRPr="00E17963">
        <w:rPr>
          <w:rFonts w:ascii="Times New Roman" w:hAnsi="Times New Roman"/>
          <w:b/>
          <w:szCs w:val="24"/>
          <w:u w:val="single"/>
        </w:rPr>
        <w:t>EXPLANATORY STATEMENT</w:t>
      </w:r>
    </w:p>
    <w:p w14:paraId="061C5AB3" w14:textId="77777777" w:rsidR="007231B2" w:rsidRPr="00E17963" w:rsidRDefault="007231B2" w:rsidP="007231B2">
      <w:pPr>
        <w:rPr>
          <w:rFonts w:ascii="Times New Roman" w:hAnsi="Times New Roman"/>
          <w:b/>
          <w:szCs w:val="24"/>
        </w:rPr>
      </w:pPr>
    </w:p>
    <w:p w14:paraId="08D0283F" w14:textId="77777777" w:rsidR="007231B2" w:rsidRPr="00E17963" w:rsidRDefault="007231B2" w:rsidP="007231B2">
      <w:pPr>
        <w:jc w:val="center"/>
        <w:rPr>
          <w:rFonts w:ascii="Times New Roman" w:hAnsi="Times New Roman"/>
          <w:sz w:val="22"/>
          <w:szCs w:val="22"/>
          <w:u w:val="single"/>
        </w:rPr>
      </w:pPr>
      <w:r w:rsidRPr="00E17963">
        <w:rPr>
          <w:rFonts w:ascii="Times New Roman" w:hAnsi="Times New Roman"/>
          <w:i/>
          <w:sz w:val="22"/>
          <w:szCs w:val="22"/>
        </w:rPr>
        <w:t>Therapeutic Goods Act 1989</w:t>
      </w:r>
    </w:p>
    <w:p w14:paraId="34A4BA9A" w14:textId="77777777" w:rsidR="007231B2" w:rsidRPr="00E17963" w:rsidRDefault="007231B2" w:rsidP="007231B2">
      <w:pPr>
        <w:rPr>
          <w:rFonts w:ascii="Times New Roman" w:hAnsi="Times New Roman"/>
          <w:sz w:val="22"/>
          <w:szCs w:val="22"/>
          <w:u w:val="single"/>
        </w:rPr>
      </w:pPr>
    </w:p>
    <w:p w14:paraId="2E9764E3" w14:textId="5E19D922" w:rsidR="002757A6" w:rsidRPr="00E17963" w:rsidRDefault="00CD6487" w:rsidP="007231B2">
      <w:pPr>
        <w:jc w:val="center"/>
        <w:rPr>
          <w:rFonts w:ascii="Times New Roman" w:hAnsi="Times New Roman"/>
          <w:i/>
          <w:sz w:val="22"/>
          <w:szCs w:val="22"/>
        </w:rPr>
      </w:pPr>
      <w:bookmarkStart w:id="0" w:name="_Hlk86061206"/>
      <w:r w:rsidRPr="00E17963">
        <w:rPr>
          <w:rFonts w:ascii="Times New Roman" w:hAnsi="Times New Roman"/>
          <w:i/>
          <w:sz w:val="22"/>
          <w:szCs w:val="22"/>
        </w:rPr>
        <w:t>Therapeutic Goods (</w:t>
      </w:r>
      <w:bookmarkStart w:id="1" w:name="_Hlk85533196"/>
      <w:r w:rsidR="005C529F" w:rsidRPr="00E17963">
        <w:rPr>
          <w:rFonts w:ascii="Times New Roman" w:hAnsi="Times New Roman"/>
          <w:i/>
          <w:sz w:val="22"/>
          <w:szCs w:val="22"/>
        </w:rPr>
        <w:t>Prescription</w:t>
      </w:r>
      <w:r w:rsidR="004B7DFF" w:rsidRPr="00E17963">
        <w:rPr>
          <w:rFonts w:ascii="Times New Roman" w:hAnsi="Times New Roman"/>
          <w:i/>
          <w:sz w:val="22"/>
          <w:szCs w:val="22"/>
        </w:rPr>
        <w:t xml:space="preserve"> </w:t>
      </w:r>
      <w:r w:rsidRPr="00E17963">
        <w:rPr>
          <w:rFonts w:ascii="Times New Roman" w:hAnsi="Times New Roman"/>
          <w:i/>
          <w:sz w:val="22"/>
          <w:szCs w:val="22"/>
        </w:rPr>
        <w:t>Medicines—</w:t>
      </w:r>
      <w:r w:rsidR="00912C71" w:rsidRPr="00E17963">
        <w:rPr>
          <w:rFonts w:ascii="Times New Roman" w:hAnsi="Times New Roman"/>
          <w:i/>
          <w:sz w:val="22"/>
          <w:szCs w:val="22"/>
        </w:rPr>
        <w:t xml:space="preserve">Kind of </w:t>
      </w:r>
      <w:r w:rsidRPr="00E17963">
        <w:rPr>
          <w:rFonts w:ascii="Times New Roman" w:hAnsi="Times New Roman"/>
          <w:i/>
          <w:sz w:val="22"/>
          <w:szCs w:val="22"/>
        </w:rPr>
        <w:t xml:space="preserve">Information </w:t>
      </w:r>
      <w:r w:rsidR="005E71BE" w:rsidRPr="00E17963">
        <w:rPr>
          <w:rFonts w:ascii="Times New Roman" w:hAnsi="Times New Roman"/>
          <w:i/>
          <w:sz w:val="22"/>
          <w:szCs w:val="22"/>
        </w:rPr>
        <w:t xml:space="preserve">that Must </w:t>
      </w:r>
      <w:r w:rsidRPr="00E17963">
        <w:rPr>
          <w:rFonts w:ascii="Times New Roman" w:hAnsi="Times New Roman"/>
          <w:i/>
          <w:sz w:val="22"/>
          <w:szCs w:val="22"/>
        </w:rPr>
        <w:t>Accompany</w:t>
      </w:r>
      <w:r w:rsidR="005E71BE" w:rsidRPr="00E17963">
        <w:rPr>
          <w:rFonts w:ascii="Times New Roman" w:hAnsi="Times New Roman"/>
          <w:i/>
          <w:sz w:val="22"/>
          <w:szCs w:val="22"/>
        </w:rPr>
        <w:t xml:space="preserve"> </w:t>
      </w:r>
      <w:r w:rsidRPr="00E17963">
        <w:rPr>
          <w:rFonts w:ascii="Times New Roman" w:hAnsi="Times New Roman"/>
          <w:i/>
          <w:sz w:val="22"/>
          <w:szCs w:val="22"/>
        </w:rPr>
        <w:t>Application for Registration) Determination 20</w:t>
      </w:r>
      <w:r w:rsidR="005C529F" w:rsidRPr="00E17963">
        <w:rPr>
          <w:rFonts w:ascii="Times New Roman" w:hAnsi="Times New Roman"/>
          <w:i/>
          <w:sz w:val="22"/>
          <w:szCs w:val="22"/>
        </w:rPr>
        <w:t>2</w:t>
      </w:r>
      <w:r w:rsidR="00796E4B" w:rsidRPr="00E17963">
        <w:rPr>
          <w:rFonts w:ascii="Times New Roman" w:hAnsi="Times New Roman"/>
          <w:i/>
          <w:sz w:val="22"/>
          <w:szCs w:val="22"/>
        </w:rPr>
        <w:t>2</w:t>
      </w:r>
      <w:bookmarkEnd w:id="1"/>
    </w:p>
    <w:bookmarkEnd w:id="0"/>
    <w:p w14:paraId="01062220" w14:textId="77777777" w:rsidR="00CD6487" w:rsidRPr="00E17963" w:rsidRDefault="00CD6487" w:rsidP="007231B2">
      <w:pPr>
        <w:jc w:val="center"/>
        <w:rPr>
          <w:rFonts w:ascii="Times New Roman" w:hAnsi="Times New Roman"/>
          <w:b/>
          <w:sz w:val="22"/>
          <w:szCs w:val="22"/>
        </w:rPr>
      </w:pPr>
    </w:p>
    <w:p w14:paraId="399E49BC" w14:textId="17444276" w:rsidR="007231B2" w:rsidRPr="00E17963" w:rsidRDefault="005C529F" w:rsidP="007231B2">
      <w:pPr>
        <w:autoSpaceDE w:val="0"/>
        <w:autoSpaceDN w:val="0"/>
        <w:adjustRightInd w:val="0"/>
        <w:rPr>
          <w:rFonts w:ascii="Times New Roman" w:hAnsi="Times New Roman"/>
          <w:sz w:val="22"/>
          <w:szCs w:val="22"/>
        </w:rPr>
      </w:pPr>
      <w:r w:rsidRPr="00E17963">
        <w:rPr>
          <w:rFonts w:ascii="Times New Roman" w:hAnsi="Times New Roman"/>
          <w:sz w:val="22"/>
          <w:szCs w:val="22"/>
        </w:rPr>
        <w:t xml:space="preserve">The </w:t>
      </w:r>
      <w:r w:rsidRPr="00E17963">
        <w:rPr>
          <w:rFonts w:ascii="Times New Roman" w:hAnsi="Times New Roman"/>
          <w:i/>
          <w:sz w:val="22"/>
          <w:szCs w:val="22"/>
        </w:rPr>
        <w:t>Therapeutic Goods Act 1989</w:t>
      </w:r>
      <w:r w:rsidRPr="00E17963">
        <w:rPr>
          <w:rFonts w:ascii="Times New Roman" w:hAnsi="Times New Roman"/>
          <w:sz w:val="22"/>
          <w:szCs w:val="22"/>
        </w:rPr>
        <w:t xml:space="preserve"> (“the Act”) provides for the establishment and maintenance of a national system of controls for the quality, safety, </w:t>
      </w:r>
      <w:proofErr w:type="gramStart"/>
      <w:r w:rsidRPr="00E17963">
        <w:rPr>
          <w:rFonts w:ascii="Times New Roman" w:hAnsi="Times New Roman"/>
          <w:sz w:val="22"/>
          <w:szCs w:val="22"/>
        </w:rPr>
        <w:t>efficacy</w:t>
      </w:r>
      <w:proofErr w:type="gramEnd"/>
      <w:r w:rsidRPr="00E17963">
        <w:rPr>
          <w:rFonts w:ascii="Times New Roman" w:hAnsi="Times New Roman"/>
          <w:sz w:val="22"/>
          <w:szCs w:val="22"/>
        </w:rPr>
        <w:t xml:space="preserve"> and timely availability of therapeutic goods that are used in or exported from Australia. </w:t>
      </w:r>
      <w:r w:rsidR="002714A7" w:rsidRPr="00E17963">
        <w:rPr>
          <w:rFonts w:ascii="Times New Roman" w:hAnsi="Times New Roman"/>
          <w:sz w:val="22"/>
          <w:szCs w:val="22"/>
        </w:rPr>
        <w:t xml:space="preserve"> </w:t>
      </w:r>
      <w:r w:rsidRPr="00E17963">
        <w:rPr>
          <w:rFonts w:ascii="Times New Roman" w:hAnsi="Times New Roman"/>
          <w:sz w:val="22"/>
          <w:szCs w:val="22"/>
        </w:rPr>
        <w:t>The Act is administered by the Therapeutic Goods Administration (“the TGA”) within the Australian Government Department of Health.</w:t>
      </w:r>
    </w:p>
    <w:p w14:paraId="21B414C8" w14:textId="77777777" w:rsidR="005C529F" w:rsidRPr="00E17963" w:rsidRDefault="005C529F" w:rsidP="007231B2">
      <w:pPr>
        <w:autoSpaceDE w:val="0"/>
        <w:autoSpaceDN w:val="0"/>
        <w:adjustRightInd w:val="0"/>
        <w:rPr>
          <w:rFonts w:ascii="Times New Roman" w:hAnsi="Times New Roman"/>
          <w:sz w:val="22"/>
          <w:szCs w:val="22"/>
        </w:rPr>
      </w:pPr>
    </w:p>
    <w:p w14:paraId="2DDAA4B3" w14:textId="0FFF102E" w:rsidR="00E44DB1" w:rsidRPr="00E17963" w:rsidRDefault="00C45F4D" w:rsidP="002714A7">
      <w:pPr>
        <w:rPr>
          <w:rFonts w:ascii="Times New Roman" w:hAnsi="Times New Roman"/>
          <w:sz w:val="22"/>
          <w:szCs w:val="22"/>
        </w:rPr>
      </w:pPr>
      <w:r w:rsidRPr="00E17963">
        <w:rPr>
          <w:rFonts w:ascii="Times New Roman" w:hAnsi="Times New Roman"/>
          <w:sz w:val="22"/>
          <w:szCs w:val="22"/>
        </w:rPr>
        <w:t xml:space="preserve">The </w:t>
      </w:r>
      <w:r w:rsidRPr="00E17963">
        <w:rPr>
          <w:rFonts w:ascii="Times New Roman" w:hAnsi="Times New Roman"/>
          <w:i/>
          <w:sz w:val="22"/>
          <w:szCs w:val="22"/>
        </w:rPr>
        <w:t>Therapeutic Goods Amendment (2017 Measures No.</w:t>
      </w:r>
      <w:r w:rsidR="00BF4118" w:rsidRPr="00E17963">
        <w:rPr>
          <w:rFonts w:ascii="Times New Roman" w:hAnsi="Times New Roman"/>
          <w:i/>
          <w:sz w:val="22"/>
          <w:szCs w:val="22"/>
        </w:rPr>
        <w:t xml:space="preserve"> </w:t>
      </w:r>
      <w:r w:rsidRPr="00E17963">
        <w:rPr>
          <w:rFonts w:ascii="Times New Roman" w:hAnsi="Times New Roman"/>
          <w:i/>
          <w:sz w:val="22"/>
          <w:szCs w:val="22"/>
        </w:rPr>
        <w:t>1) Act 2018</w:t>
      </w:r>
      <w:r w:rsidRPr="00E17963">
        <w:rPr>
          <w:rFonts w:ascii="Times New Roman" w:hAnsi="Times New Roman"/>
          <w:sz w:val="22"/>
          <w:szCs w:val="22"/>
        </w:rPr>
        <w:t xml:space="preserve"> (</w:t>
      </w:r>
      <w:r w:rsidR="005C529F" w:rsidRPr="00E17963">
        <w:rPr>
          <w:rFonts w:ascii="Times New Roman" w:hAnsi="Times New Roman"/>
          <w:sz w:val="22"/>
          <w:szCs w:val="22"/>
        </w:rPr>
        <w:t>“</w:t>
      </w:r>
      <w:r w:rsidRPr="00E17963">
        <w:rPr>
          <w:rFonts w:ascii="Times New Roman" w:hAnsi="Times New Roman"/>
          <w:sz w:val="22"/>
          <w:szCs w:val="22"/>
        </w:rPr>
        <w:t>the Amendment Act</w:t>
      </w:r>
      <w:r w:rsidR="005C529F" w:rsidRPr="00E17963">
        <w:rPr>
          <w:rFonts w:ascii="Times New Roman" w:hAnsi="Times New Roman"/>
          <w:sz w:val="22"/>
          <w:szCs w:val="22"/>
        </w:rPr>
        <w:t>”</w:t>
      </w:r>
      <w:r w:rsidRPr="00E17963">
        <w:rPr>
          <w:rFonts w:ascii="Times New Roman" w:hAnsi="Times New Roman"/>
          <w:sz w:val="22"/>
          <w:szCs w:val="22"/>
        </w:rPr>
        <w:t xml:space="preserve">) </w:t>
      </w:r>
      <w:r w:rsidR="00E44DB1" w:rsidRPr="00E17963">
        <w:rPr>
          <w:rFonts w:ascii="Times New Roman" w:hAnsi="Times New Roman"/>
          <w:sz w:val="22"/>
          <w:szCs w:val="22"/>
        </w:rPr>
        <w:t>amended the Act to, among other things</w:t>
      </w:r>
      <w:r w:rsidR="00D636EA" w:rsidRPr="00E17963">
        <w:rPr>
          <w:rFonts w:ascii="Times New Roman" w:hAnsi="Times New Roman"/>
          <w:sz w:val="22"/>
          <w:szCs w:val="22"/>
        </w:rPr>
        <w:t xml:space="preserve">, </w:t>
      </w:r>
      <w:r w:rsidR="00E44DB1" w:rsidRPr="00E17963">
        <w:rPr>
          <w:rFonts w:ascii="Times New Roman" w:hAnsi="Times New Roman"/>
          <w:sz w:val="22"/>
          <w:szCs w:val="22"/>
        </w:rPr>
        <w:t xml:space="preserve">provide greater clarity in relation to the </w:t>
      </w:r>
      <w:r w:rsidR="00200CC0" w:rsidRPr="00E17963">
        <w:rPr>
          <w:rFonts w:ascii="Times New Roman" w:hAnsi="Times New Roman"/>
          <w:sz w:val="22"/>
          <w:szCs w:val="22"/>
        </w:rPr>
        <w:t>processing</w:t>
      </w:r>
      <w:r w:rsidR="007C1299" w:rsidRPr="00E17963">
        <w:rPr>
          <w:rFonts w:ascii="Times New Roman" w:hAnsi="Times New Roman"/>
          <w:sz w:val="22"/>
          <w:szCs w:val="22"/>
        </w:rPr>
        <w:t xml:space="preserve"> </w:t>
      </w:r>
      <w:r w:rsidR="00E44DB1" w:rsidRPr="00E17963">
        <w:rPr>
          <w:rFonts w:ascii="Times New Roman" w:hAnsi="Times New Roman"/>
          <w:sz w:val="22"/>
          <w:szCs w:val="22"/>
        </w:rPr>
        <w:t>of applications for the inclusion of therapeutic goods in the Australian Register of Therapeutic Goods (</w:t>
      </w:r>
      <w:r w:rsidR="00D636EA" w:rsidRPr="00E17963">
        <w:rPr>
          <w:rFonts w:ascii="Times New Roman" w:hAnsi="Times New Roman"/>
          <w:sz w:val="22"/>
          <w:szCs w:val="22"/>
        </w:rPr>
        <w:t>“</w:t>
      </w:r>
      <w:r w:rsidR="00E44DB1" w:rsidRPr="00E17963">
        <w:rPr>
          <w:rFonts w:ascii="Times New Roman" w:hAnsi="Times New Roman"/>
          <w:sz w:val="22"/>
          <w:szCs w:val="22"/>
        </w:rPr>
        <w:t>the Register</w:t>
      </w:r>
      <w:r w:rsidR="00E876EF" w:rsidRPr="00E17963">
        <w:rPr>
          <w:rFonts w:ascii="Times New Roman" w:hAnsi="Times New Roman"/>
          <w:sz w:val="22"/>
          <w:szCs w:val="22"/>
        </w:rPr>
        <w:t>”</w:t>
      </w:r>
      <w:r w:rsidR="00E44DB1" w:rsidRPr="00E17963">
        <w:rPr>
          <w:rFonts w:ascii="Times New Roman" w:hAnsi="Times New Roman"/>
          <w:sz w:val="22"/>
          <w:szCs w:val="22"/>
        </w:rPr>
        <w:t>)</w:t>
      </w:r>
      <w:r w:rsidR="00200CC0" w:rsidRPr="00E17963">
        <w:rPr>
          <w:rFonts w:ascii="Times New Roman" w:hAnsi="Times New Roman"/>
          <w:sz w:val="22"/>
          <w:szCs w:val="22"/>
        </w:rPr>
        <w:t xml:space="preserve"> following the decision of the Federal Court in </w:t>
      </w:r>
      <w:proofErr w:type="spellStart"/>
      <w:r w:rsidR="00200CC0" w:rsidRPr="00E17963">
        <w:rPr>
          <w:rFonts w:ascii="Times New Roman" w:hAnsi="Times New Roman"/>
          <w:i/>
          <w:iCs/>
          <w:sz w:val="22"/>
          <w:szCs w:val="22"/>
        </w:rPr>
        <w:t>Nicovations</w:t>
      </w:r>
      <w:proofErr w:type="spellEnd"/>
      <w:r w:rsidR="00200CC0" w:rsidRPr="00E17963">
        <w:rPr>
          <w:rFonts w:ascii="Times New Roman" w:hAnsi="Times New Roman"/>
          <w:i/>
          <w:iCs/>
          <w:sz w:val="22"/>
          <w:szCs w:val="22"/>
        </w:rPr>
        <w:t xml:space="preserve"> Australia Pty Ltd v Secretary of the Department of Health</w:t>
      </w:r>
      <w:r w:rsidR="00200CC0" w:rsidRPr="00E17963">
        <w:rPr>
          <w:rFonts w:ascii="Times New Roman" w:hAnsi="Times New Roman"/>
          <w:sz w:val="22"/>
          <w:szCs w:val="22"/>
        </w:rPr>
        <w:t xml:space="preserve"> [2016] FCA 394</w:t>
      </w:r>
      <w:r w:rsidR="002714A7" w:rsidRPr="00E17963">
        <w:rPr>
          <w:rFonts w:ascii="Times New Roman" w:hAnsi="Times New Roman"/>
          <w:sz w:val="22"/>
          <w:szCs w:val="22"/>
        </w:rPr>
        <w:t>.</w:t>
      </w:r>
      <w:r w:rsidR="007C1299" w:rsidRPr="00E17963">
        <w:rPr>
          <w:rFonts w:ascii="Times New Roman" w:hAnsi="Times New Roman"/>
          <w:sz w:val="22"/>
          <w:szCs w:val="22"/>
        </w:rPr>
        <w:t xml:space="preserve">  In particular, the Amendment Act introduced measures to require an application for the inclusion of a medicine, biological or medical device in the Register </w:t>
      </w:r>
      <w:r w:rsidR="00797CE3" w:rsidRPr="00E17963">
        <w:rPr>
          <w:rFonts w:ascii="Times New Roman" w:hAnsi="Times New Roman"/>
          <w:sz w:val="22"/>
          <w:szCs w:val="22"/>
        </w:rPr>
        <w:t>to</w:t>
      </w:r>
      <w:r w:rsidR="007C1299" w:rsidRPr="00E17963">
        <w:rPr>
          <w:rFonts w:ascii="Times New Roman" w:hAnsi="Times New Roman"/>
          <w:sz w:val="22"/>
          <w:szCs w:val="22"/>
        </w:rPr>
        <w:t xml:space="preserve"> meet certain preliminary requirements before the Secretary </w:t>
      </w:r>
      <w:r w:rsidR="00200CC0" w:rsidRPr="00E17963">
        <w:rPr>
          <w:rFonts w:ascii="Times New Roman" w:hAnsi="Times New Roman"/>
          <w:sz w:val="22"/>
          <w:szCs w:val="22"/>
        </w:rPr>
        <w:t>is required to evaluate the application</w:t>
      </w:r>
      <w:r w:rsidR="007C1299" w:rsidRPr="00E17963">
        <w:rPr>
          <w:rFonts w:ascii="Times New Roman" w:hAnsi="Times New Roman"/>
          <w:sz w:val="22"/>
          <w:szCs w:val="22"/>
        </w:rPr>
        <w:t xml:space="preserve">.  The Amendment Act also provided the Secretary with the power to refuse an application prior to evaluation if the application does not meet </w:t>
      </w:r>
      <w:r w:rsidR="00797CE3" w:rsidRPr="00E17963">
        <w:rPr>
          <w:rFonts w:ascii="Times New Roman" w:hAnsi="Times New Roman"/>
          <w:sz w:val="22"/>
          <w:szCs w:val="22"/>
        </w:rPr>
        <w:t>those</w:t>
      </w:r>
      <w:r w:rsidR="007C1299" w:rsidRPr="00E17963">
        <w:rPr>
          <w:rFonts w:ascii="Times New Roman" w:hAnsi="Times New Roman"/>
          <w:sz w:val="22"/>
          <w:szCs w:val="22"/>
        </w:rPr>
        <w:t xml:space="preserve"> requirements.</w:t>
      </w:r>
    </w:p>
    <w:p w14:paraId="37ED1F86" w14:textId="77777777" w:rsidR="00C45F4D" w:rsidRPr="00E17963" w:rsidRDefault="00C45F4D" w:rsidP="00E90759">
      <w:pPr>
        <w:autoSpaceDE w:val="0"/>
        <w:autoSpaceDN w:val="0"/>
        <w:adjustRightInd w:val="0"/>
        <w:rPr>
          <w:rFonts w:ascii="Times New Roman" w:hAnsi="Times New Roman"/>
          <w:sz w:val="22"/>
          <w:szCs w:val="22"/>
        </w:rPr>
      </w:pPr>
    </w:p>
    <w:p w14:paraId="1EDF2FDF" w14:textId="2414BC58" w:rsidR="00E44DB1" w:rsidRPr="00E17963" w:rsidRDefault="00E44DB1" w:rsidP="00E44DB1">
      <w:pPr>
        <w:rPr>
          <w:rFonts w:ascii="Times New Roman" w:hAnsi="Times New Roman"/>
          <w:sz w:val="22"/>
          <w:szCs w:val="22"/>
        </w:rPr>
      </w:pPr>
      <w:r w:rsidRPr="00E17963">
        <w:rPr>
          <w:rFonts w:ascii="Times New Roman" w:hAnsi="Times New Roman"/>
          <w:sz w:val="22"/>
          <w:szCs w:val="22"/>
        </w:rPr>
        <w:t>These requirements include</w:t>
      </w:r>
      <w:r w:rsidR="007C1299" w:rsidRPr="00E17963">
        <w:rPr>
          <w:rFonts w:ascii="Times New Roman" w:hAnsi="Times New Roman"/>
          <w:sz w:val="22"/>
          <w:szCs w:val="22"/>
        </w:rPr>
        <w:t xml:space="preserve"> </w:t>
      </w:r>
      <w:r w:rsidRPr="00E17963">
        <w:rPr>
          <w:rFonts w:ascii="Times New Roman" w:hAnsi="Times New Roman"/>
          <w:sz w:val="22"/>
          <w:szCs w:val="22"/>
        </w:rPr>
        <w:t xml:space="preserve">that an application has been made in accordance with the appropriate approved form for the </w:t>
      </w:r>
      <w:r w:rsidR="00797CE3" w:rsidRPr="00E17963">
        <w:rPr>
          <w:rFonts w:ascii="Times New Roman" w:hAnsi="Times New Roman"/>
          <w:sz w:val="22"/>
          <w:szCs w:val="22"/>
        </w:rPr>
        <w:t xml:space="preserve">relevant </w:t>
      </w:r>
      <w:r w:rsidR="007C1299" w:rsidRPr="00E17963">
        <w:rPr>
          <w:rFonts w:ascii="Times New Roman" w:hAnsi="Times New Roman"/>
          <w:sz w:val="22"/>
          <w:szCs w:val="22"/>
        </w:rPr>
        <w:t>class of</w:t>
      </w:r>
      <w:r w:rsidR="00985ECF" w:rsidRPr="00E17963">
        <w:rPr>
          <w:rFonts w:ascii="Times New Roman" w:hAnsi="Times New Roman"/>
          <w:sz w:val="22"/>
          <w:szCs w:val="22"/>
        </w:rPr>
        <w:t xml:space="preserve"> therapeutic</w:t>
      </w:r>
      <w:r w:rsidRPr="00E17963">
        <w:rPr>
          <w:rFonts w:ascii="Times New Roman" w:hAnsi="Times New Roman"/>
          <w:sz w:val="22"/>
          <w:szCs w:val="22"/>
        </w:rPr>
        <w:t xml:space="preserve"> </w:t>
      </w:r>
      <w:proofErr w:type="gramStart"/>
      <w:r w:rsidRPr="00E17963">
        <w:rPr>
          <w:rFonts w:ascii="Times New Roman" w:hAnsi="Times New Roman"/>
          <w:sz w:val="22"/>
          <w:szCs w:val="22"/>
        </w:rPr>
        <w:t>goods, and</w:t>
      </w:r>
      <w:proofErr w:type="gramEnd"/>
      <w:r w:rsidRPr="00E17963">
        <w:rPr>
          <w:rFonts w:ascii="Times New Roman" w:hAnsi="Times New Roman"/>
          <w:sz w:val="22"/>
          <w:szCs w:val="22"/>
        </w:rPr>
        <w:t xml:space="preserve"> </w:t>
      </w:r>
      <w:r w:rsidR="00EA4431" w:rsidRPr="00E17963">
        <w:rPr>
          <w:rFonts w:ascii="Times New Roman" w:hAnsi="Times New Roman"/>
          <w:sz w:val="22"/>
          <w:szCs w:val="22"/>
        </w:rPr>
        <w:t>is accompanied by</w:t>
      </w:r>
      <w:r w:rsidRPr="00E17963">
        <w:rPr>
          <w:rFonts w:ascii="Times New Roman" w:hAnsi="Times New Roman"/>
          <w:sz w:val="22"/>
          <w:szCs w:val="22"/>
        </w:rPr>
        <w:t xml:space="preserve"> the necessary </w:t>
      </w:r>
      <w:r w:rsidR="007C1299" w:rsidRPr="00E17963">
        <w:rPr>
          <w:rFonts w:ascii="Times New Roman" w:hAnsi="Times New Roman"/>
          <w:sz w:val="22"/>
          <w:szCs w:val="22"/>
        </w:rPr>
        <w:t xml:space="preserve">kind of </w:t>
      </w:r>
      <w:r w:rsidRPr="00E17963">
        <w:rPr>
          <w:rFonts w:ascii="Times New Roman" w:hAnsi="Times New Roman"/>
          <w:sz w:val="22"/>
          <w:szCs w:val="22"/>
        </w:rPr>
        <w:t>information needed to evaluate the application</w:t>
      </w:r>
      <w:r w:rsidR="007C1299" w:rsidRPr="00E17963">
        <w:rPr>
          <w:rFonts w:ascii="Times New Roman" w:hAnsi="Times New Roman"/>
          <w:sz w:val="22"/>
          <w:szCs w:val="22"/>
        </w:rPr>
        <w:t xml:space="preserve">.  The requirements </w:t>
      </w:r>
      <w:r w:rsidRPr="00E17963">
        <w:rPr>
          <w:rFonts w:ascii="Times New Roman" w:hAnsi="Times New Roman"/>
          <w:sz w:val="22"/>
          <w:szCs w:val="22"/>
        </w:rPr>
        <w:t xml:space="preserve">are designed to enable the effective management of resources by the Department in the </w:t>
      </w:r>
      <w:r w:rsidR="00985ECF" w:rsidRPr="00E17963">
        <w:rPr>
          <w:rFonts w:ascii="Times New Roman" w:hAnsi="Times New Roman"/>
          <w:sz w:val="22"/>
          <w:szCs w:val="22"/>
        </w:rPr>
        <w:t xml:space="preserve">evaluation </w:t>
      </w:r>
      <w:r w:rsidRPr="00E17963">
        <w:rPr>
          <w:rFonts w:ascii="Times New Roman" w:hAnsi="Times New Roman"/>
          <w:sz w:val="22"/>
          <w:szCs w:val="22"/>
        </w:rPr>
        <w:t xml:space="preserve">of </w:t>
      </w:r>
      <w:r w:rsidR="00985ECF" w:rsidRPr="00E17963">
        <w:rPr>
          <w:rFonts w:ascii="Times New Roman" w:hAnsi="Times New Roman"/>
          <w:sz w:val="22"/>
          <w:szCs w:val="22"/>
        </w:rPr>
        <w:t>therapeutic goods</w:t>
      </w:r>
      <w:r w:rsidRPr="00E17963">
        <w:rPr>
          <w:rFonts w:ascii="Times New Roman" w:hAnsi="Times New Roman"/>
          <w:sz w:val="22"/>
          <w:szCs w:val="22"/>
        </w:rPr>
        <w:t xml:space="preserve">, and to create certainty for sponsors as to the </w:t>
      </w:r>
      <w:r w:rsidR="00985ECF" w:rsidRPr="00E17963">
        <w:rPr>
          <w:rFonts w:ascii="Times New Roman" w:hAnsi="Times New Roman"/>
          <w:sz w:val="22"/>
          <w:szCs w:val="22"/>
        </w:rPr>
        <w:t xml:space="preserve">appropriate regulatory pathway for </w:t>
      </w:r>
      <w:r w:rsidRPr="00E17963">
        <w:rPr>
          <w:rFonts w:ascii="Times New Roman" w:hAnsi="Times New Roman"/>
          <w:sz w:val="22"/>
          <w:szCs w:val="22"/>
        </w:rPr>
        <w:t xml:space="preserve">their products.  A full evaluation process represents a considerable investment in, and use of, </w:t>
      </w:r>
      <w:r w:rsidR="00985ECF" w:rsidRPr="00E17963">
        <w:rPr>
          <w:rFonts w:ascii="Times New Roman" w:hAnsi="Times New Roman"/>
          <w:sz w:val="22"/>
          <w:szCs w:val="22"/>
        </w:rPr>
        <w:t xml:space="preserve">Commonwealth </w:t>
      </w:r>
      <w:r w:rsidRPr="00E17963">
        <w:rPr>
          <w:rFonts w:ascii="Times New Roman" w:hAnsi="Times New Roman"/>
          <w:sz w:val="22"/>
          <w:szCs w:val="22"/>
        </w:rPr>
        <w:t>resources.</w:t>
      </w:r>
      <w:r w:rsidR="002714A7" w:rsidRPr="00E17963">
        <w:rPr>
          <w:rFonts w:ascii="Times New Roman" w:hAnsi="Times New Roman"/>
          <w:sz w:val="22"/>
          <w:szCs w:val="22"/>
        </w:rPr>
        <w:t xml:space="preserve"> </w:t>
      </w:r>
      <w:r w:rsidRPr="00E17963">
        <w:rPr>
          <w:rFonts w:ascii="Times New Roman" w:hAnsi="Times New Roman"/>
          <w:sz w:val="22"/>
          <w:szCs w:val="22"/>
        </w:rPr>
        <w:t xml:space="preserve"> </w:t>
      </w:r>
      <w:r w:rsidR="005B1AF9" w:rsidRPr="00E17963">
        <w:rPr>
          <w:rFonts w:ascii="Times New Roman" w:hAnsi="Times New Roman"/>
          <w:sz w:val="22"/>
          <w:szCs w:val="22"/>
        </w:rPr>
        <w:t xml:space="preserve">Consequently, there are considerable efficiencies to be gained in mandating content and form requirements for applications to provide clarity regarding application requirements, streamline </w:t>
      </w:r>
      <w:r w:rsidR="00536044" w:rsidRPr="00E17963">
        <w:rPr>
          <w:rFonts w:ascii="Times New Roman" w:hAnsi="Times New Roman"/>
          <w:sz w:val="22"/>
          <w:szCs w:val="22"/>
        </w:rPr>
        <w:t xml:space="preserve">application and evaluation </w:t>
      </w:r>
      <w:r w:rsidR="005B1AF9" w:rsidRPr="00E17963">
        <w:rPr>
          <w:rFonts w:ascii="Times New Roman" w:hAnsi="Times New Roman"/>
          <w:sz w:val="22"/>
          <w:szCs w:val="22"/>
        </w:rPr>
        <w:t>processes</w:t>
      </w:r>
      <w:r w:rsidR="00105F23" w:rsidRPr="00E17963">
        <w:rPr>
          <w:rFonts w:ascii="Times New Roman" w:hAnsi="Times New Roman"/>
          <w:sz w:val="22"/>
          <w:szCs w:val="22"/>
        </w:rPr>
        <w:t>,</w:t>
      </w:r>
      <w:r w:rsidR="005B1AF9" w:rsidRPr="00E17963">
        <w:rPr>
          <w:rFonts w:ascii="Times New Roman" w:hAnsi="Times New Roman"/>
          <w:sz w:val="22"/>
          <w:szCs w:val="22"/>
        </w:rPr>
        <w:t xml:space="preserve"> and prevent delays in evaluating applications.</w:t>
      </w:r>
    </w:p>
    <w:p w14:paraId="733C4FD5" w14:textId="77777777" w:rsidR="00E44DB1" w:rsidRPr="00E17963" w:rsidRDefault="00E44DB1" w:rsidP="00E90759">
      <w:pPr>
        <w:autoSpaceDE w:val="0"/>
        <w:autoSpaceDN w:val="0"/>
        <w:adjustRightInd w:val="0"/>
        <w:rPr>
          <w:rFonts w:ascii="Times New Roman" w:hAnsi="Times New Roman"/>
          <w:sz w:val="22"/>
          <w:szCs w:val="22"/>
        </w:rPr>
      </w:pPr>
    </w:p>
    <w:p w14:paraId="7AC89D1B" w14:textId="7913F42C" w:rsidR="005D2FC2" w:rsidRPr="00E17963" w:rsidRDefault="007C1299" w:rsidP="005D2FC2">
      <w:pPr>
        <w:rPr>
          <w:rFonts w:ascii="Times New Roman" w:hAnsi="Times New Roman"/>
          <w:sz w:val="22"/>
          <w:szCs w:val="22"/>
        </w:rPr>
      </w:pPr>
      <w:bookmarkStart w:id="2" w:name="_Hlk105085177"/>
      <w:r w:rsidRPr="00E17963">
        <w:rPr>
          <w:rFonts w:ascii="Times New Roman" w:hAnsi="Times New Roman"/>
          <w:sz w:val="22"/>
          <w:szCs w:val="22"/>
        </w:rPr>
        <w:t>Specifically</w:t>
      </w:r>
      <w:r w:rsidR="00E44DB1" w:rsidRPr="00E17963">
        <w:rPr>
          <w:rFonts w:ascii="Times New Roman" w:hAnsi="Times New Roman"/>
          <w:sz w:val="22"/>
          <w:szCs w:val="22"/>
        </w:rPr>
        <w:t xml:space="preserve">, the </w:t>
      </w:r>
      <w:r w:rsidR="00C45F4D" w:rsidRPr="00E17963">
        <w:rPr>
          <w:rFonts w:ascii="Times New Roman" w:hAnsi="Times New Roman"/>
          <w:sz w:val="22"/>
          <w:szCs w:val="22"/>
        </w:rPr>
        <w:t xml:space="preserve">Amendment Act </w:t>
      </w:r>
      <w:r w:rsidR="00E44DB1" w:rsidRPr="00E17963">
        <w:rPr>
          <w:rFonts w:ascii="Times New Roman" w:hAnsi="Times New Roman"/>
          <w:sz w:val="22"/>
          <w:szCs w:val="22"/>
        </w:rPr>
        <w:t xml:space="preserve">introduced </w:t>
      </w:r>
      <w:r w:rsidR="005D2FC2" w:rsidRPr="00E17963">
        <w:rPr>
          <w:rFonts w:ascii="Times New Roman" w:hAnsi="Times New Roman"/>
          <w:sz w:val="22"/>
          <w:szCs w:val="22"/>
        </w:rPr>
        <w:t xml:space="preserve">new </w:t>
      </w:r>
      <w:r w:rsidR="00C45F4D" w:rsidRPr="00E17963">
        <w:rPr>
          <w:rFonts w:ascii="Times New Roman" w:hAnsi="Times New Roman"/>
          <w:sz w:val="22"/>
          <w:szCs w:val="22"/>
        </w:rPr>
        <w:t>section</w:t>
      </w:r>
      <w:r w:rsidR="005D2FC2" w:rsidRPr="00E17963">
        <w:rPr>
          <w:rFonts w:ascii="Times New Roman" w:hAnsi="Times New Roman"/>
          <w:sz w:val="22"/>
          <w:szCs w:val="22"/>
        </w:rPr>
        <w:t>s</w:t>
      </w:r>
      <w:r w:rsidR="00C45F4D" w:rsidRPr="00E17963">
        <w:rPr>
          <w:rFonts w:ascii="Times New Roman" w:hAnsi="Times New Roman"/>
          <w:sz w:val="22"/>
          <w:szCs w:val="22"/>
        </w:rPr>
        <w:t xml:space="preserve"> </w:t>
      </w:r>
      <w:r w:rsidR="005D2FC2" w:rsidRPr="00E17963">
        <w:rPr>
          <w:rFonts w:ascii="Times New Roman" w:hAnsi="Times New Roman"/>
          <w:sz w:val="22"/>
          <w:szCs w:val="22"/>
        </w:rPr>
        <w:t xml:space="preserve">23A and </w:t>
      </w:r>
      <w:r w:rsidR="00C45F4D" w:rsidRPr="00E17963">
        <w:rPr>
          <w:rFonts w:ascii="Times New Roman" w:hAnsi="Times New Roman"/>
          <w:sz w:val="22"/>
          <w:szCs w:val="22"/>
        </w:rPr>
        <w:t>23B to the Act</w:t>
      </w:r>
      <w:r w:rsidR="005D2FC2" w:rsidRPr="00E17963">
        <w:rPr>
          <w:rFonts w:ascii="Times New Roman" w:hAnsi="Times New Roman"/>
          <w:sz w:val="22"/>
          <w:szCs w:val="22"/>
        </w:rPr>
        <w:t xml:space="preserve">. </w:t>
      </w:r>
      <w:r w:rsidR="002714A7" w:rsidRPr="00E17963">
        <w:rPr>
          <w:rFonts w:ascii="Times New Roman" w:hAnsi="Times New Roman"/>
          <w:sz w:val="22"/>
          <w:szCs w:val="22"/>
        </w:rPr>
        <w:t xml:space="preserve"> </w:t>
      </w:r>
      <w:r w:rsidR="005D2FC2" w:rsidRPr="00E17963">
        <w:rPr>
          <w:rFonts w:ascii="Times New Roman" w:hAnsi="Times New Roman"/>
          <w:sz w:val="22"/>
          <w:szCs w:val="22"/>
        </w:rPr>
        <w:t>Section 23A provides for the Secretary, by notifiable instrument, to specify different classes of therapeutic goods for the purposes of section 23B.</w:t>
      </w:r>
      <w:r w:rsidR="000F2215" w:rsidRPr="00E17963">
        <w:rPr>
          <w:rFonts w:ascii="Times New Roman" w:hAnsi="Times New Roman"/>
          <w:sz w:val="22"/>
          <w:szCs w:val="22"/>
        </w:rPr>
        <w:t xml:space="preserve">  </w:t>
      </w:r>
      <w:r w:rsidR="005D2FC2" w:rsidRPr="00E17963">
        <w:rPr>
          <w:rFonts w:ascii="Times New Roman" w:hAnsi="Times New Roman"/>
          <w:sz w:val="22"/>
          <w:szCs w:val="22"/>
        </w:rPr>
        <w:t>Section 23B sets</w:t>
      </w:r>
      <w:r w:rsidR="00C45F4D" w:rsidRPr="00E17963">
        <w:rPr>
          <w:rFonts w:ascii="Times New Roman" w:hAnsi="Times New Roman"/>
          <w:sz w:val="22"/>
          <w:szCs w:val="22"/>
        </w:rPr>
        <w:t xml:space="preserve"> out </w:t>
      </w:r>
      <w:r w:rsidR="00E44DB1" w:rsidRPr="00E17963">
        <w:rPr>
          <w:rFonts w:ascii="Times New Roman" w:hAnsi="Times New Roman"/>
          <w:sz w:val="22"/>
          <w:szCs w:val="22"/>
        </w:rPr>
        <w:t xml:space="preserve">the </w:t>
      </w:r>
      <w:r w:rsidR="00C45F4D" w:rsidRPr="00E17963">
        <w:rPr>
          <w:rFonts w:ascii="Times New Roman" w:hAnsi="Times New Roman"/>
          <w:sz w:val="22"/>
          <w:szCs w:val="22"/>
        </w:rPr>
        <w:t xml:space="preserve">preliminary assessment requirements relating to applications for </w:t>
      </w:r>
      <w:r w:rsidR="00E44DB1" w:rsidRPr="00E17963">
        <w:rPr>
          <w:rFonts w:ascii="Times New Roman" w:hAnsi="Times New Roman"/>
          <w:sz w:val="22"/>
          <w:szCs w:val="22"/>
        </w:rPr>
        <w:t xml:space="preserve">the </w:t>
      </w:r>
      <w:r w:rsidR="00C45F4D" w:rsidRPr="00E17963">
        <w:rPr>
          <w:rFonts w:ascii="Times New Roman" w:hAnsi="Times New Roman"/>
          <w:sz w:val="22"/>
          <w:szCs w:val="22"/>
        </w:rPr>
        <w:t>registration of therapeutic goods</w:t>
      </w:r>
      <w:r w:rsidR="002714A7" w:rsidRPr="00E17963">
        <w:rPr>
          <w:rFonts w:ascii="Times New Roman" w:hAnsi="Times New Roman"/>
          <w:sz w:val="22"/>
          <w:szCs w:val="22"/>
        </w:rPr>
        <w:t xml:space="preserve">, </w:t>
      </w:r>
      <w:r w:rsidR="005D2FC2" w:rsidRPr="00E17963">
        <w:rPr>
          <w:rFonts w:ascii="Times New Roman" w:hAnsi="Times New Roman"/>
          <w:sz w:val="22"/>
          <w:szCs w:val="22"/>
        </w:rPr>
        <w:t xml:space="preserve">and </w:t>
      </w:r>
      <w:r w:rsidR="00E44DB1" w:rsidRPr="00E17963">
        <w:rPr>
          <w:rFonts w:ascii="Times New Roman" w:hAnsi="Times New Roman"/>
          <w:sz w:val="22"/>
          <w:szCs w:val="22"/>
        </w:rPr>
        <w:t xml:space="preserve">the </w:t>
      </w:r>
      <w:r w:rsidR="005D2FC2" w:rsidRPr="00E17963">
        <w:rPr>
          <w:rFonts w:ascii="Times New Roman" w:hAnsi="Times New Roman"/>
          <w:sz w:val="22"/>
          <w:szCs w:val="22"/>
        </w:rPr>
        <w:t>listing of medicines under section 26AE of the Act</w:t>
      </w:r>
      <w:r w:rsidR="00C45F4D" w:rsidRPr="00E17963">
        <w:rPr>
          <w:rFonts w:ascii="Times New Roman" w:hAnsi="Times New Roman"/>
          <w:sz w:val="22"/>
          <w:szCs w:val="22"/>
        </w:rPr>
        <w:t xml:space="preserve">. </w:t>
      </w:r>
      <w:r w:rsidR="002714A7" w:rsidRPr="00E17963">
        <w:rPr>
          <w:rFonts w:ascii="Times New Roman" w:hAnsi="Times New Roman"/>
          <w:sz w:val="22"/>
          <w:szCs w:val="22"/>
        </w:rPr>
        <w:t xml:space="preserve"> </w:t>
      </w:r>
      <w:r w:rsidR="00C45F4D" w:rsidRPr="00E17963">
        <w:rPr>
          <w:rFonts w:ascii="Times New Roman" w:hAnsi="Times New Roman"/>
          <w:sz w:val="22"/>
          <w:szCs w:val="22"/>
        </w:rPr>
        <w:t>The</w:t>
      </w:r>
      <w:r w:rsidR="00E44DB1" w:rsidRPr="00E17963">
        <w:rPr>
          <w:rFonts w:ascii="Times New Roman" w:hAnsi="Times New Roman"/>
          <w:sz w:val="22"/>
          <w:szCs w:val="22"/>
        </w:rPr>
        <w:t>se</w:t>
      </w:r>
      <w:r w:rsidR="00C45F4D" w:rsidRPr="00E17963">
        <w:rPr>
          <w:rFonts w:ascii="Times New Roman" w:hAnsi="Times New Roman"/>
          <w:sz w:val="22"/>
          <w:szCs w:val="22"/>
        </w:rPr>
        <w:t xml:space="preserve"> requirements include</w:t>
      </w:r>
      <w:r w:rsidR="003A50EA" w:rsidRPr="00E17963">
        <w:rPr>
          <w:rFonts w:ascii="Times New Roman" w:hAnsi="Times New Roman"/>
          <w:sz w:val="22"/>
          <w:szCs w:val="22"/>
        </w:rPr>
        <w:t xml:space="preserve"> </w:t>
      </w:r>
      <w:r w:rsidR="00C45F4D" w:rsidRPr="00E17963">
        <w:rPr>
          <w:rFonts w:ascii="Times New Roman" w:hAnsi="Times New Roman"/>
          <w:sz w:val="22"/>
          <w:szCs w:val="22"/>
        </w:rPr>
        <w:t xml:space="preserve">that the application </w:t>
      </w:r>
      <w:r w:rsidR="00BE1F0C" w:rsidRPr="00E17963">
        <w:rPr>
          <w:rFonts w:ascii="Times New Roman" w:hAnsi="Times New Roman"/>
          <w:sz w:val="22"/>
          <w:szCs w:val="22"/>
        </w:rPr>
        <w:t xml:space="preserve">must </w:t>
      </w:r>
      <w:r w:rsidR="00C45F4D" w:rsidRPr="00E17963">
        <w:rPr>
          <w:rFonts w:ascii="Times New Roman" w:hAnsi="Times New Roman"/>
          <w:sz w:val="22"/>
          <w:szCs w:val="22"/>
        </w:rPr>
        <w:t xml:space="preserve">be accompanied by information that is of a kind determined under </w:t>
      </w:r>
      <w:r w:rsidR="005D2FC2" w:rsidRPr="00E17963">
        <w:rPr>
          <w:rFonts w:ascii="Times New Roman" w:hAnsi="Times New Roman"/>
          <w:sz w:val="22"/>
          <w:szCs w:val="22"/>
        </w:rPr>
        <w:t xml:space="preserve">subsection </w:t>
      </w:r>
      <w:r w:rsidR="00C45F4D" w:rsidRPr="00E17963">
        <w:rPr>
          <w:rFonts w:ascii="Times New Roman" w:hAnsi="Times New Roman"/>
          <w:sz w:val="22"/>
          <w:szCs w:val="22"/>
        </w:rPr>
        <w:t>23</w:t>
      </w:r>
      <w:proofErr w:type="gramStart"/>
      <w:r w:rsidR="00C45F4D" w:rsidRPr="00E17963">
        <w:rPr>
          <w:rFonts w:ascii="Times New Roman" w:hAnsi="Times New Roman"/>
          <w:sz w:val="22"/>
          <w:szCs w:val="22"/>
        </w:rPr>
        <w:t>B(</w:t>
      </w:r>
      <w:proofErr w:type="gramEnd"/>
      <w:r w:rsidR="00C45F4D" w:rsidRPr="00E17963">
        <w:rPr>
          <w:rFonts w:ascii="Times New Roman" w:hAnsi="Times New Roman"/>
          <w:sz w:val="22"/>
          <w:szCs w:val="22"/>
        </w:rPr>
        <w:t>9)</w:t>
      </w:r>
      <w:r w:rsidR="00CA60A9" w:rsidRPr="00E17963">
        <w:rPr>
          <w:rFonts w:ascii="Times New Roman" w:hAnsi="Times New Roman"/>
          <w:sz w:val="22"/>
          <w:szCs w:val="22"/>
        </w:rPr>
        <w:t xml:space="preserve"> (subparagraph 23B(2)(d)(</w:t>
      </w:r>
      <w:proofErr w:type="spellStart"/>
      <w:r w:rsidR="00CA60A9" w:rsidRPr="00E17963">
        <w:rPr>
          <w:rFonts w:ascii="Times New Roman" w:hAnsi="Times New Roman"/>
          <w:sz w:val="22"/>
          <w:szCs w:val="22"/>
        </w:rPr>
        <w:t>i</w:t>
      </w:r>
      <w:proofErr w:type="spellEnd"/>
      <w:r w:rsidR="00CA60A9" w:rsidRPr="00E17963">
        <w:rPr>
          <w:rFonts w:ascii="Times New Roman" w:hAnsi="Times New Roman"/>
          <w:sz w:val="22"/>
          <w:szCs w:val="22"/>
        </w:rPr>
        <w:t>)</w:t>
      </w:r>
      <w:r w:rsidR="00BE1F0C" w:rsidRPr="00E17963">
        <w:rPr>
          <w:rFonts w:ascii="Times New Roman" w:hAnsi="Times New Roman"/>
          <w:sz w:val="22"/>
          <w:szCs w:val="22"/>
        </w:rPr>
        <w:t xml:space="preserve"> of the Act</w:t>
      </w:r>
      <w:r w:rsidR="00FA593F" w:rsidRPr="00E17963">
        <w:rPr>
          <w:rFonts w:ascii="Times New Roman" w:hAnsi="Times New Roman"/>
          <w:sz w:val="22"/>
          <w:szCs w:val="22"/>
        </w:rPr>
        <w:t xml:space="preserve"> refers</w:t>
      </w:r>
      <w:r w:rsidR="00CA60A9" w:rsidRPr="00E17963">
        <w:rPr>
          <w:rFonts w:ascii="Times New Roman" w:hAnsi="Times New Roman"/>
          <w:sz w:val="22"/>
          <w:szCs w:val="22"/>
        </w:rPr>
        <w:t>)</w:t>
      </w:r>
      <w:r w:rsidR="00C45F4D" w:rsidRPr="00E17963">
        <w:rPr>
          <w:rFonts w:ascii="Times New Roman" w:hAnsi="Times New Roman"/>
          <w:sz w:val="22"/>
          <w:szCs w:val="22"/>
        </w:rPr>
        <w:t xml:space="preserve">, and </w:t>
      </w:r>
      <w:r w:rsidR="00E44DB1" w:rsidRPr="00E17963">
        <w:rPr>
          <w:rFonts w:ascii="Times New Roman" w:hAnsi="Times New Roman"/>
          <w:sz w:val="22"/>
          <w:szCs w:val="22"/>
        </w:rPr>
        <w:t xml:space="preserve">that the information is </w:t>
      </w:r>
      <w:r w:rsidR="00C45F4D" w:rsidRPr="00E17963">
        <w:rPr>
          <w:rFonts w:ascii="Times New Roman" w:hAnsi="Times New Roman"/>
          <w:sz w:val="22"/>
          <w:szCs w:val="22"/>
        </w:rPr>
        <w:t>in a form determined under subsection 23B(10)</w:t>
      </w:r>
      <w:r w:rsidR="00CA60A9" w:rsidRPr="00E17963">
        <w:rPr>
          <w:rFonts w:ascii="Times New Roman" w:hAnsi="Times New Roman"/>
          <w:sz w:val="22"/>
          <w:szCs w:val="22"/>
        </w:rPr>
        <w:t xml:space="preserve"> (</w:t>
      </w:r>
      <w:r w:rsidR="003A50EA" w:rsidRPr="00E17963">
        <w:rPr>
          <w:rFonts w:ascii="Times New Roman" w:hAnsi="Times New Roman"/>
          <w:sz w:val="22"/>
          <w:szCs w:val="22"/>
        </w:rPr>
        <w:t>subparagraph 23B(2)(d)(ii)</w:t>
      </w:r>
      <w:r w:rsidR="00FA593F" w:rsidRPr="00E17963">
        <w:rPr>
          <w:rFonts w:ascii="Times New Roman" w:hAnsi="Times New Roman"/>
          <w:sz w:val="22"/>
          <w:szCs w:val="22"/>
        </w:rPr>
        <w:t xml:space="preserve"> of the Act refers</w:t>
      </w:r>
      <w:r w:rsidR="00CA60A9" w:rsidRPr="00E17963">
        <w:rPr>
          <w:rFonts w:ascii="Times New Roman" w:hAnsi="Times New Roman"/>
          <w:sz w:val="22"/>
          <w:szCs w:val="22"/>
        </w:rPr>
        <w:t>)</w:t>
      </w:r>
      <w:r w:rsidR="003A50EA" w:rsidRPr="00E17963">
        <w:rPr>
          <w:rFonts w:ascii="Times New Roman" w:hAnsi="Times New Roman"/>
          <w:sz w:val="22"/>
          <w:szCs w:val="22"/>
        </w:rPr>
        <w:t>.</w:t>
      </w:r>
    </w:p>
    <w:bookmarkEnd w:id="2"/>
    <w:p w14:paraId="7D4002F3" w14:textId="77777777" w:rsidR="005D2FC2" w:rsidRPr="00E17963" w:rsidRDefault="005D2FC2" w:rsidP="005D2FC2">
      <w:pPr>
        <w:rPr>
          <w:rFonts w:ascii="Times New Roman" w:hAnsi="Times New Roman"/>
          <w:sz w:val="22"/>
          <w:szCs w:val="22"/>
        </w:rPr>
      </w:pPr>
    </w:p>
    <w:p w14:paraId="1BBE2515" w14:textId="77777777" w:rsidR="002E3566" w:rsidRPr="00E17963" w:rsidRDefault="002E0A39" w:rsidP="005D2FC2">
      <w:pPr>
        <w:rPr>
          <w:rFonts w:ascii="Times New Roman" w:hAnsi="Times New Roman"/>
          <w:sz w:val="22"/>
          <w:szCs w:val="22"/>
        </w:rPr>
      </w:pPr>
      <w:r w:rsidRPr="00E17963">
        <w:rPr>
          <w:rFonts w:ascii="Times New Roman" w:hAnsi="Times New Roman"/>
          <w:sz w:val="22"/>
          <w:szCs w:val="22"/>
        </w:rPr>
        <w:t>S</w:t>
      </w:r>
      <w:r w:rsidR="008D0491" w:rsidRPr="00E17963">
        <w:rPr>
          <w:rFonts w:ascii="Times New Roman" w:hAnsi="Times New Roman"/>
          <w:sz w:val="22"/>
          <w:szCs w:val="22"/>
        </w:rPr>
        <w:t>ubs</w:t>
      </w:r>
      <w:r w:rsidRPr="00E17963">
        <w:rPr>
          <w:rFonts w:ascii="Times New Roman" w:hAnsi="Times New Roman"/>
          <w:sz w:val="22"/>
          <w:szCs w:val="22"/>
        </w:rPr>
        <w:t xml:space="preserve">ection </w:t>
      </w:r>
      <w:r w:rsidR="00CD6487" w:rsidRPr="00E17963">
        <w:rPr>
          <w:rFonts w:ascii="Times New Roman" w:hAnsi="Times New Roman"/>
          <w:sz w:val="22"/>
          <w:szCs w:val="22"/>
        </w:rPr>
        <w:t>23</w:t>
      </w:r>
      <w:proofErr w:type="gramStart"/>
      <w:r w:rsidR="00CD6487" w:rsidRPr="00E17963">
        <w:rPr>
          <w:rFonts w:ascii="Times New Roman" w:hAnsi="Times New Roman"/>
          <w:sz w:val="22"/>
          <w:szCs w:val="22"/>
        </w:rPr>
        <w:t>B</w:t>
      </w:r>
      <w:r w:rsidR="008D0491" w:rsidRPr="00E17963">
        <w:rPr>
          <w:rFonts w:ascii="Times New Roman" w:hAnsi="Times New Roman"/>
          <w:sz w:val="22"/>
          <w:szCs w:val="22"/>
        </w:rPr>
        <w:t>(</w:t>
      </w:r>
      <w:proofErr w:type="gramEnd"/>
      <w:r w:rsidR="00CD6487" w:rsidRPr="00E17963">
        <w:rPr>
          <w:rFonts w:ascii="Times New Roman" w:hAnsi="Times New Roman"/>
          <w:sz w:val="22"/>
          <w:szCs w:val="22"/>
        </w:rPr>
        <w:t>9</w:t>
      </w:r>
      <w:r w:rsidR="008D0491" w:rsidRPr="00E17963">
        <w:rPr>
          <w:rFonts w:ascii="Times New Roman" w:hAnsi="Times New Roman"/>
          <w:sz w:val="22"/>
          <w:szCs w:val="22"/>
        </w:rPr>
        <w:t>)</w:t>
      </w:r>
      <w:r w:rsidRPr="00E17963">
        <w:rPr>
          <w:rFonts w:ascii="Times New Roman" w:hAnsi="Times New Roman"/>
          <w:sz w:val="22"/>
          <w:szCs w:val="22"/>
        </w:rPr>
        <w:t xml:space="preserve"> of the Act </w:t>
      </w:r>
      <w:r w:rsidR="00BA30C2" w:rsidRPr="00E17963">
        <w:rPr>
          <w:rFonts w:ascii="Times New Roman" w:hAnsi="Times New Roman"/>
          <w:sz w:val="22"/>
          <w:szCs w:val="22"/>
        </w:rPr>
        <w:t xml:space="preserve">relevantly </w:t>
      </w:r>
      <w:r w:rsidR="00A309AD" w:rsidRPr="00E17963">
        <w:rPr>
          <w:rFonts w:ascii="Times New Roman" w:hAnsi="Times New Roman"/>
          <w:sz w:val="22"/>
          <w:szCs w:val="22"/>
        </w:rPr>
        <w:t xml:space="preserve">provides that the </w:t>
      </w:r>
      <w:r w:rsidR="00CD6487" w:rsidRPr="00E17963">
        <w:rPr>
          <w:rFonts w:ascii="Times New Roman" w:hAnsi="Times New Roman"/>
          <w:sz w:val="22"/>
          <w:szCs w:val="22"/>
        </w:rPr>
        <w:t xml:space="preserve">Secretary </w:t>
      </w:r>
      <w:r w:rsidR="002757A6" w:rsidRPr="00E17963">
        <w:rPr>
          <w:rFonts w:ascii="Times New Roman" w:hAnsi="Times New Roman"/>
          <w:sz w:val="22"/>
          <w:szCs w:val="22"/>
        </w:rPr>
        <w:t xml:space="preserve">may, by legislative instrument, </w:t>
      </w:r>
      <w:r w:rsidR="00CD6487" w:rsidRPr="00E17963">
        <w:rPr>
          <w:rFonts w:ascii="Times New Roman" w:hAnsi="Times New Roman"/>
          <w:sz w:val="22"/>
          <w:szCs w:val="22"/>
        </w:rPr>
        <w:t>determine a kind of information for the purposes of the application of subparagraph 23B(2)(d)(</w:t>
      </w:r>
      <w:proofErr w:type="spellStart"/>
      <w:r w:rsidR="00CD6487" w:rsidRPr="00E17963">
        <w:rPr>
          <w:rFonts w:ascii="Times New Roman" w:hAnsi="Times New Roman"/>
          <w:sz w:val="22"/>
          <w:szCs w:val="22"/>
        </w:rPr>
        <w:t>i</w:t>
      </w:r>
      <w:proofErr w:type="spellEnd"/>
      <w:r w:rsidR="00CD6487" w:rsidRPr="00E17963">
        <w:rPr>
          <w:rFonts w:ascii="Times New Roman" w:hAnsi="Times New Roman"/>
          <w:sz w:val="22"/>
          <w:szCs w:val="22"/>
        </w:rPr>
        <w:t>) of the Act to a class of therapeutic goods that is specified under section 23A of the Act</w:t>
      </w:r>
      <w:r w:rsidR="002757A6" w:rsidRPr="00E17963">
        <w:rPr>
          <w:rFonts w:ascii="Times New Roman" w:hAnsi="Times New Roman"/>
          <w:sz w:val="22"/>
          <w:szCs w:val="22"/>
        </w:rPr>
        <w:t>.</w:t>
      </w:r>
    </w:p>
    <w:p w14:paraId="68A15365" w14:textId="77777777" w:rsidR="002E3566" w:rsidRPr="00E17963" w:rsidRDefault="002E3566" w:rsidP="005D2FC2">
      <w:pPr>
        <w:rPr>
          <w:rFonts w:ascii="Times New Roman" w:hAnsi="Times New Roman"/>
          <w:sz w:val="22"/>
          <w:szCs w:val="22"/>
        </w:rPr>
      </w:pPr>
    </w:p>
    <w:p w14:paraId="0ABA455F" w14:textId="1BAB623F" w:rsidR="00157BA1" w:rsidRPr="00E17963" w:rsidRDefault="005B1AF9" w:rsidP="00967299">
      <w:pPr>
        <w:rPr>
          <w:rFonts w:ascii="Times New Roman" w:hAnsi="Times New Roman"/>
          <w:sz w:val="22"/>
          <w:szCs w:val="22"/>
        </w:rPr>
      </w:pPr>
      <w:r w:rsidRPr="00E17963">
        <w:rPr>
          <w:rFonts w:ascii="Times New Roman" w:hAnsi="Times New Roman"/>
          <w:sz w:val="22"/>
          <w:szCs w:val="22"/>
        </w:rPr>
        <w:t>C</w:t>
      </w:r>
      <w:r w:rsidR="00157BA1" w:rsidRPr="00E17963">
        <w:rPr>
          <w:rFonts w:ascii="Times New Roman" w:hAnsi="Times New Roman"/>
          <w:sz w:val="22"/>
          <w:szCs w:val="22"/>
        </w:rPr>
        <w:t>lasses of therapeutic goods are specified in t</w:t>
      </w:r>
      <w:r w:rsidR="006C1D2A" w:rsidRPr="00E17963">
        <w:rPr>
          <w:rFonts w:ascii="Times New Roman" w:hAnsi="Times New Roman"/>
          <w:sz w:val="22"/>
          <w:szCs w:val="22"/>
        </w:rPr>
        <w:t xml:space="preserve">he </w:t>
      </w:r>
      <w:r w:rsidR="006C1D2A" w:rsidRPr="00E17963">
        <w:rPr>
          <w:rFonts w:ascii="Times New Roman" w:hAnsi="Times New Roman"/>
          <w:i/>
          <w:iCs/>
          <w:sz w:val="22"/>
          <w:szCs w:val="22"/>
        </w:rPr>
        <w:t>Therapeutic Goods (Classes of Therapeutic Goods) Instrument 2018</w:t>
      </w:r>
      <w:r w:rsidR="0097078B" w:rsidRPr="00E17963">
        <w:rPr>
          <w:rFonts w:ascii="Times New Roman" w:hAnsi="Times New Roman"/>
          <w:sz w:val="22"/>
          <w:szCs w:val="22"/>
        </w:rPr>
        <w:t xml:space="preserve"> (“the Classes Instrument”), </w:t>
      </w:r>
      <w:r w:rsidR="00797CE3" w:rsidRPr="00E17963">
        <w:rPr>
          <w:rFonts w:ascii="Times New Roman" w:hAnsi="Times New Roman"/>
          <w:sz w:val="22"/>
          <w:szCs w:val="22"/>
        </w:rPr>
        <w:t xml:space="preserve">which </w:t>
      </w:r>
      <w:r w:rsidR="0073656E" w:rsidRPr="00E17963">
        <w:rPr>
          <w:rFonts w:ascii="Times New Roman" w:hAnsi="Times New Roman"/>
          <w:sz w:val="22"/>
          <w:szCs w:val="22"/>
        </w:rPr>
        <w:t xml:space="preserve">is </w:t>
      </w:r>
      <w:r w:rsidR="006C1D2A" w:rsidRPr="00E17963">
        <w:rPr>
          <w:rFonts w:ascii="Times New Roman" w:hAnsi="Times New Roman"/>
          <w:sz w:val="22"/>
          <w:szCs w:val="22"/>
        </w:rPr>
        <w:t xml:space="preserve">made </w:t>
      </w:r>
      <w:r w:rsidR="00080F79" w:rsidRPr="00E17963">
        <w:rPr>
          <w:rFonts w:ascii="Times New Roman" w:hAnsi="Times New Roman"/>
          <w:sz w:val="22"/>
          <w:szCs w:val="22"/>
        </w:rPr>
        <w:t xml:space="preserve">under </w:t>
      </w:r>
      <w:r w:rsidR="006C1D2A" w:rsidRPr="00E17963">
        <w:rPr>
          <w:rFonts w:ascii="Times New Roman" w:hAnsi="Times New Roman"/>
          <w:sz w:val="22"/>
          <w:szCs w:val="22"/>
        </w:rPr>
        <w:t>section</w:t>
      </w:r>
      <w:r w:rsidR="003D3C6A" w:rsidRPr="00E17963">
        <w:rPr>
          <w:rFonts w:ascii="Times New Roman" w:hAnsi="Times New Roman"/>
          <w:sz w:val="22"/>
          <w:szCs w:val="22"/>
        </w:rPr>
        <w:t xml:space="preserve"> 23A of the Act</w:t>
      </w:r>
      <w:r w:rsidR="00C42896" w:rsidRPr="00E17963">
        <w:rPr>
          <w:rFonts w:ascii="Times New Roman" w:hAnsi="Times New Roman"/>
          <w:sz w:val="22"/>
          <w:szCs w:val="22"/>
        </w:rPr>
        <w:t>.  The Classes Instrument</w:t>
      </w:r>
      <w:r w:rsidR="006C1D2A" w:rsidRPr="00E17963">
        <w:rPr>
          <w:rFonts w:ascii="Times New Roman" w:hAnsi="Times New Roman"/>
          <w:sz w:val="22"/>
          <w:szCs w:val="22"/>
        </w:rPr>
        <w:t xml:space="preserve"> includ</w:t>
      </w:r>
      <w:r w:rsidR="0073656E" w:rsidRPr="00E17963">
        <w:rPr>
          <w:rFonts w:ascii="Times New Roman" w:hAnsi="Times New Roman"/>
          <w:sz w:val="22"/>
          <w:szCs w:val="22"/>
        </w:rPr>
        <w:t>es</w:t>
      </w:r>
      <w:r w:rsidR="006C1D2A" w:rsidRPr="00E17963">
        <w:rPr>
          <w:rFonts w:ascii="Times New Roman" w:hAnsi="Times New Roman"/>
          <w:sz w:val="22"/>
          <w:szCs w:val="22"/>
        </w:rPr>
        <w:t xml:space="preserve"> </w:t>
      </w:r>
      <w:r w:rsidR="00157BA1" w:rsidRPr="00E17963">
        <w:rPr>
          <w:rFonts w:ascii="Times New Roman" w:hAnsi="Times New Roman"/>
          <w:sz w:val="22"/>
          <w:szCs w:val="22"/>
        </w:rPr>
        <w:t xml:space="preserve">the class </w:t>
      </w:r>
      <w:r w:rsidR="00AD7403" w:rsidRPr="00E17963">
        <w:rPr>
          <w:rFonts w:ascii="Times New Roman" w:hAnsi="Times New Roman"/>
          <w:sz w:val="22"/>
          <w:szCs w:val="22"/>
        </w:rPr>
        <w:t>‘</w:t>
      </w:r>
      <w:r w:rsidR="006C1D2A" w:rsidRPr="00E17963">
        <w:rPr>
          <w:rFonts w:ascii="Times New Roman" w:hAnsi="Times New Roman"/>
          <w:sz w:val="22"/>
          <w:szCs w:val="22"/>
        </w:rPr>
        <w:t>prescription and other medicines</w:t>
      </w:r>
      <w:r w:rsidR="00AD7403" w:rsidRPr="00E17963">
        <w:rPr>
          <w:rFonts w:ascii="Times New Roman" w:hAnsi="Times New Roman"/>
          <w:sz w:val="22"/>
          <w:szCs w:val="22"/>
        </w:rPr>
        <w:t>’</w:t>
      </w:r>
      <w:r w:rsidR="00157BA1" w:rsidRPr="00E17963">
        <w:rPr>
          <w:rFonts w:ascii="Times New Roman" w:hAnsi="Times New Roman"/>
          <w:sz w:val="22"/>
          <w:szCs w:val="22"/>
        </w:rPr>
        <w:t>,</w:t>
      </w:r>
      <w:r w:rsidR="006C1D2A" w:rsidRPr="00E17963">
        <w:rPr>
          <w:rFonts w:ascii="Times New Roman" w:hAnsi="Times New Roman"/>
          <w:sz w:val="22"/>
          <w:szCs w:val="22"/>
        </w:rPr>
        <w:t xml:space="preserve"> to which the </w:t>
      </w:r>
      <w:r w:rsidR="003D3C6A" w:rsidRPr="00E17963">
        <w:rPr>
          <w:rFonts w:ascii="Times New Roman" w:hAnsi="Times New Roman"/>
          <w:i/>
          <w:sz w:val="22"/>
          <w:szCs w:val="22"/>
        </w:rPr>
        <w:t>Therapeutic Goods (Prescription Medicines—</w:t>
      </w:r>
      <w:r w:rsidR="00912C71" w:rsidRPr="00E17963">
        <w:rPr>
          <w:rFonts w:ascii="Times New Roman" w:hAnsi="Times New Roman"/>
          <w:i/>
          <w:sz w:val="22"/>
          <w:szCs w:val="22"/>
        </w:rPr>
        <w:t xml:space="preserve">Kind of </w:t>
      </w:r>
      <w:r w:rsidR="003D3C6A" w:rsidRPr="00E17963">
        <w:rPr>
          <w:rFonts w:ascii="Times New Roman" w:hAnsi="Times New Roman"/>
          <w:i/>
          <w:sz w:val="22"/>
          <w:szCs w:val="22"/>
        </w:rPr>
        <w:t xml:space="preserve">Information </w:t>
      </w:r>
      <w:r w:rsidR="005E71BE" w:rsidRPr="00E17963">
        <w:rPr>
          <w:rFonts w:ascii="Times New Roman" w:hAnsi="Times New Roman"/>
          <w:i/>
          <w:sz w:val="22"/>
          <w:szCs w:val="22"/>
        </w:rPr>
        <w:t xml:space="preserve">that Must </w:t>
      </w:r>
      <w:r w:rsidR="003D3C6A" w:rsidRPr="00E17963">
        <w:rPr>
          <w:rFonts w:ascii="Times New Roman" w:hAnsi="Times New Roman"/>
          <w:i/>
          <w:sz w:val="22"/>
          <w:szCs w:val="22"/>
        </w:rPr>
        <w:t>Accompany Application for Registration) Determination 202</w:t>
      </w:r>
      <w:r w:rsidR="00796E4B" w:rsidRPr="00E17963">
        <w:rPr>
          <w:rFonts w:ascii="Times New Roman" w:hAnsi="Times New Roman"/>
          <w:i/>
          <w:sz w:val="22"/>
          <w:szCs w:val="22"/>
        </w:rPr>
        <w:t>2</w:t>
      </w:r>
      <w:r w:rsidR="006C1D2A" w:rsidRPr="00E17963">
        <w:rPr>
          <w:rFonts w:ascii="Times New Roman" w:hAnsi="Times New Roman"/>
          <w:sz w:val="22"/>
          <w:szCs w:val="22"/>
        </w:rPr>
        <w:t xml:space="preserve"> </w:t>
      </w:r>
      <w:r w:rsidR="003D3C6A" w:rsidRPr="00E17963">
        <w:rPr>
          <w:rFonts w:ascii="Times New Roman" w:hAnsi="Times New Roman"/>
          <w:sz w:val="22"/>
          <w:szCs w:val="22"/>
        </w:rPr>
        <w:t>(“the Determination”) applies.</w:t>
      </w:r>
      <w:r w:rsidR="006C3F6D" w:rsidRPr="00E17963">
        <w:rPr>
          <w:rFonts w:ascii="Times New Roman" w:hAnsi="Times New Roman"/>
          <w:sz w:val="22"/>
          <w:szCs w:val="22"/>
        </w:rPr>
        <w:t xml:space="preserve">  </w:t>
      </w:r>
      <w:r w:rsidR="00797CE3" w:rsidRPr="00E17963">
        <w:rPr>
          <w:rFonts w:ascii="Times New Roman" w:hAnsi="Times New Roman"/>
          <w:sz w:val="22"/>
          <w:szCs w:val="22"/>
        </w:rPr>
        <w:t>S</w:t>
      </w:r>
      <w:r w:rsidR="006C3F6D" w:rsidRPr="00E17963">
        <w:rPr>
          <w:rFonts w:ascii="Times New Roman" w:hAnsi="Times New Roman"/>
          <w:sz w:val="22"/>
          <w:szCs w:val="22"/>
        </w:rPr>
        <w:t>ection 4 of the Classes Instrument</w:t>
      </w:r>
      <w:r w:rsidR="00797CE3" w:rsidRPr="00E17963">
        <w:rPr>
          <w:rFonts w:ascii="Times New Roman" w:hAnsi="Times New Roman"/>
          <w:sz w:val="22"/>
          <w:szCs w:val="22"/>
        </w:rPr>
        <w:t xml:space="preserve"> specifies</w:t>
      </w:r>
      <w:r w:rsidR="006C3F6D" w:rsidRPr="00E17963">
        <w:rPr>
          <w:rFonts w:ascii="Times New Roman" w:hAnsi="Times New Roman"/>
          <w:sz w:val="22"/>
          <w:szCs w:val="22"/>
        </w:rPr>
        <w:t xml:space="preserve"> the following kinds of medicines as ‘prescription and other medicines’:</w:t>
      </w:r>
    </w:p>
    <w:p w14:paraId="24099F0A" w14:textId="77777777" w:rsidR="006C3F6D" w:rsidRPr="00E17963" w:rsidRDefault="006C3F6D" w:rsidP="00967299">
      <w:pPr>
        <w:rPr>
          <w:rFonts w:ascii="Times New Roman" w:hAnsi="Times New Roman"/>
          <w:sz w:val="22"/>
          <w:szCs w:val="22"/>
        </w:rPr>
      </w:pPr>
    </w:p>
    <w:p w14:paraId="146A00DD" w14:textId="507E1444" w:rsidR="006C3F6D" w:rsidRPr="00E17963" w:rsidRDefault="006C3F6D" w:rsidP="00E013EB">
      <w:pPr>
        <w:pStyle w:val="ListParagraph"/>
        <w:numPr>
          <w:ilvl w:val="0"/>
          <w:numId w:val="4"/>
        </w:numPr>
        <w:rPr>
          <w:rFonts w:ascii="Times New Roman" w:hAnsi="Times New Roman"/>
          <w:sz w:val="22"/>
          <w:szCs w:val="22"/>
        </w:rPr>
      </w:pPr>
      <w:r w:rsidRPr="00E17963">
        <w:rPr>
          <w:rFonts w:ascii="Times New Roman" w:hAnsi="Times New Roman"/>
          <w:sz w:val="22"/>
          <w:szCs w:val="22"/>
        </w:rPr>
        <w:t xml:space="preserve">prescription and other medicines specified in items 1 to 13 of Part 1 of Schedule 10 to the </w:t>
      </w:r>
      <w:r w:rsidRPr="00E17963">
        <w:rPr>
          <w:rFonts w:ascii="Times New Roman" w:hAnsi="Times New Roman"/>
          <w:i/>
          <w:iCs/>
          <w:sz w:val="22"/>
          <w:szCs w:val="22"/>
        </w:rPr>
        <w:t xml:space="preserve">Therapeutic Goods Regulations </w:t>
      </w:r>
      <w:proofErr w:type="gramStart"/>
      <w:r w:rsidRPr="00E17963">
        <w:rPr>
          <w:rFonts w:ascii="Times New Roman" w:hAnsi="Times New Roman"/>
          <w:i/>
          <w:iCs/>
          <w:sz w:val="22"/>
          <w:szCs w:val="22"/>
        </w:rPr>
        <w:t>1990</w:t>
      </w:r>
      <w:r w:rsidRPr="00E17963">
        <w:rPr>
          <w:rFonts w:ascii="Times New Roman" w:hAnsi="Times New Roman"/>
          <w:sz w:val="22"/>
          <w:szCs w:val="22"/>
        </w:rPr>
        <w:t>;</w:t>
      </w:r>
      <w:proofErr w:type="gramEnd"/>
    </w:p>
    <w:p w14:paraId="1298C5CC" w14:textId="1CD8CF99" w:rsidR="006C3F6D" w:rsidRPr="00E17963" w:rsidRDefault="006C3F6D" w:rsidP="00E013EB">
      <w:pPr>
        <w:pStyle w:val="ListParagraph"/>
        <w:numPr>
          <w:ilvl w:val="0"/>
          <w:numId w:val="4"/>
        </w:numPr>
        <w:rPr>
          <w:rFonts w:ascii="Times New Roman" w:hAnsi="Times New Roman"/>
          <w:sz w:val="22"/>
          <w:szCs w:val="22"/>
        </w:rPr>
      </w:pPr>
      <w:r w:rsidRPr="00E17963">
        <w:rPr>
          <w:rFonts w:ascii="Times New Roman" w:hAnsi="Times New Roman"/>
          <w:sz w:val="22"/>
          <w:szCs w:val="22"/>
        </w:rPr>
        <w:t xml:space="preserve">medicines containing oral nitrates for the treatment of heart </w:t>
      </w:r>
      <w:proofErr w:type="gramStart"/>
      <w:r w:rsidRPr="00E17963">
        <w:rPr>
          <w:rFonts w:ascii="Times New Roman" w:hAnsi="Times New Roman"/>
          <w:sz w:val="22"/>
          <w:szCs w:val="22"/>
        </w:rPr>
        <w:t>disease;</w:t>
      </w:r>
      <w:proofErr w:type="gramEnd"/>
    </w:p>
    <w:p w14:paraId="460C9830" w14:textId="4C6C8995" w:rsidR="006C3F6D" w:rsidRPr="00E17963" w:rsidRDefault="006C3F6D" w:rsidP="00E013EB">
      <w:pPr>
        <w:pStyle w:val="ListParagraph"/>
        <w:numPr>
          <w:ilvl w:val="0"/>
          <w:numId w:val="4"/>
        </w:numPr>
        <w:rPr>
          <w:rFonts w:ascii="Times New Roman" w:hAnsi="Times New Roman"/>
          <w:sz w:val="22"/>
          <w:szCs w:val="22"/>
        </w:rPr>
      </w:pPr>
      <w:r w:rsidRPr="00E17963">
        <w:rPr>
          <w:rFonts w:ascii="Times New Roman" w:hAnsi="Times New Roman"/>
          <w:sz w:val="22"/>
          <w:szCs w:val="22"/>
        </w:rPr>
        <w:lastRenderedPageBreak/>
        <w:t xml:space="preserve">nasal </w:t>
      </w:r>
      <w:proofErr w:type="gramStart"/>
      <w:r w:rsidRPr="00E17963">
        <w:rPr>
          <w:rFonts w:ascii="Times New Roman" w:hAnsi="Times New Roman"/>
          <w:sz w:val="22"/>
          <w:szCs w:val="22"/>
        </w:rPr>
        <w:t>corticosteroids;</w:t>
      </w:r>
      <w:proofErr w:type="gramEnd"/>
    </w:p>
    <w:p w14:paraId="1F7028B7" w14:textId="261D537B" w:rsidR="006C3F6D" w:rsidRPr="00E17963" w:rsidRDefault="006C3F6D" w:rsidP="00E013EB">
      <w:pPr>
        <w:pStyle w:val="ListParagraph"/>
        <w:numPr>
          <w:ilvl w:val="0"/>
          <w:numId w:val="4"/>
        </w:numPr>
        <w:rPr>
          <w:rFonts w:ascii="Times New Roman" w:hAnsi="Times New Roman"/>
          <w:sz w:val="22"/>
          <w:szCs w:val="22"/>
        </w:rPr>
      </w:pPr>
      <w:r w:rsidRPr="00E17963">
        <w:rPr>
          <w:rFonts w:ascii="Times New Roman" w:hAnsi="Times New Roman"/>
          <w:sz w:val="22"/>
          <w:szCs w:val="22"/>
        </w:rPr>
        <w:t>metered-dose asthma inhalers;</w:t>
      </w:r>
      <w:r w:rsidR="005B1AF9" w:rsidRPr="00E17963">
        <w:rPr>
          <w:rFonts w:ascii="Times New Roman" w:hAnsi="Times New Roman"/>
          <w:sz w:val="22"/>
          <w:szCs w:val="22"/>
        </w:rPr>
        <w:t xml:space="preserve"> and</w:t>
      </w:r>
    </w:p>
    <w:p w14:paraId="60D1AE21" w14:textId="06B7E121" w:rsidR="00157BA1" w:rsidRPr="00E17963" w:rsidRDefault="006C3F6D" w:rsidP="006C3F6D">
      <w:pPr>
        <w:pStyle w:val="ListParagraph"/>
        <w:numPr>
          <w:ilvl w:val="0"/>
          <w:numId w:val="4"/>
        </w:numPr>
        <w:rPr>
          <w:rFonts w:ascii="Times New Roman" w:hAnsi="Times New Roman"/>
          <w:sz w:val="22"/>
          <w:szCs w:val="22"/>
        </w:rPr>
      </w:pPr>
      <w:r w:rsidRPr="00E17963">
        <w:rPr>
          <w:rFonts w:ascii="Times New Roman" w:hAnsi="Times New Roman"/>
          <w:sz w:val="22"/>
          <w:szCs w:val="22"/>
        </w:rPr>
        <w:t>transdermal nicotine patches.</w:t>
      </w:r>
    </w:p>
    <w:p w14:paraId="57446649" w14:textId="77777777" w:rsidR="006C3F6D" w:rsidRPr="00E17963" w:rsidRDefault="006C3F6D" w:rsidP="00850919">
      <w:pPr>
        <w:rPr>
          <w:rFonts w:ascii="Times New Roman" w:hAnsi="Times New Roman"/>
          <w:sz w:val="22"/>
          <w:szCs w:val="22"/>
        </w:rPr>
      </w:pPr>
    </w:p>
    <w:p w14:paraId="6C0C8F9F" w14:textId="7DE3CA9E" w:rsidR="00986F25" w:rsidRPr="00E17963" w:rsidRDefault="003D3C6A" w:rsidP="00967299">
      <w:pPr>
        <w:rPr>
          <w:rFonts w:ascii="Times New Roman" w:hAnsi="Times New Roman"/>
          <w:sz w:val="22"/>
          <w:szCs w:val="22"/>
        </w:rPr>
      </w:pPr>
      <w:r w:rsidRPr="00E17963">
        <w:rPr>
          <w:rFonts w:ascii="Times New Roman" w:hAnsi="Times New Roman"/>
          <w:sz w:val="22"/>
          <w:szCs w:val="22"/>
        </w:rPr>
        <w:t>T</w:t>
      </w:r>
      <w:r w:rsidR="00147EBC" w:rsidRPr="00E17963">
        <w:rPr>
          <w:rFonts w:ascii="Times New Roman" w:hAnsi="Times New Roman"/>
          <w:sz w:val="22"/>
          <w:szCs w:val="22"/>
        </w:rPr>
        <w:t>he Determination</w:t>
      </w:r>
      <w:r w:rsidR="00294A49" w:rsidRPr="00E17963">
        <w:rPr>
          <w:rFonts w:ascii="Times New Roman" w:hAnsi="Times New Roman"/>
          <w:sz w:val="22"/>
          <w:szCs w:val="22"/>
        </w:rPr>
        <w:t xml:space="preserve"> </w:t>
      </w:r>
      <w:r w:rsidR="00A27C61" w:rsidRPr="00E17963">
        <w:rPr>
          <w:rFonts w:ascii="Times New Roman" w:hAnsi="Times New Roman"/>
          <w:sz w:val="22"/>
          <w:szCs w:val="22"/>
        </w:rPr>
        <w:t xml:space="preserve">is </w:t>
      </w:r>
      <w:r w:rsidR="00147EBC" w:rsidRPr="00E17963">
        <w:rPr>
          <w:rFonts w:ascii="Times New Roman" w:hAnsi="Times New Roman"/>
          <w:sz w:val="22"/>
          <w:szCs w:val="22"/>
        </w:rPr>
        <w:t>made under subsection</w:t>
      </w:r>
      <w:r w:rsidRPr="00E17963">
        <w:rPr>
          <w:rFonts w:ascii="Times New Roman" w:hAnsi="Times New Roman"/>
          <w:sz w:val="22"/>
          <w:szCs w:val="22"/>
        </w:rPr>
        <w:t xml:space="preserve"> 2</w:t>
      </w:r>
      <w:r w:rsidR="00147EBC" w:rsidRPr="00E17963">
        <w:rPr>
          <w:rFonts w:ascii="Times New Roman" w:hAnsi="Times New Roman"/>
          <w:sz w:val="22"/>
          <w:szCs w:val="22"/>
        </w:rPr>
        <w:t>3</w:t>
      </w:r>
      <w:proofErr w:type="gramStart"/>
      <w:r w:rsidR="00147EBC" w:rsidRPr="00E17963">
        <w:rPr>
          <w:rFonts w:ascii="Times New Roman" w:hAnsi="Times New Roman"/>
          <w:sz w:val="22"/>
          <w:szCs w:val="22"/>
        </w:rPr>
        <w:t>B(</w:t>
      </w:r>
      <w:proofErr w:type="gramEnd"/>
      <w:r w:rsidR="00986F25" w:rsidRPr="00E17963">
        <w:rPr>
          <w:rFonts w:ascii="Times New Roman" w:hAnsi="Times New Roman"/>
          <w:sz w:val="22"/>
          <w:szCs w:val="22"/>
        </w:rPr>
        <w:t>9</w:t>
      </w:r>
      <w:r w:rsidR="00147EBC" w:rsidRPr="00E17963">
        <w:rPr>
          <w:rFonts w:ascii="Times New Roman" w:hAnsi="Times New Roman"/>
          <w:sz w:val="22"/>
          <w:szCs w:val="22"/>
        </w:rPr>
        <w:t xml:space="preserve">) </w:t>
      </w:r>
      <w:r w:rsidRPr="00E17963">
        <w:rPr>
          <w:rFonts w:ascii="Times New Roman" w:hAnsi="Times New Roman"/>
          <w:sz w:val="22"/>
          <w:szCs w:val="22"/>
        </w:rPr>
        <w:t xml:space="preserve">of the Act </w:t>
      </w:r>
      <w:r w:rsidR="00B10B79" w:rsidRPr="00E17963">
        <w:rPr>
          <w:rFonts w:ascii="Times New Roman" w:hAnsi="Times New Roman"/>
          <w:sz w:val="22"/>
          <w:szCs w:val="22"/>
        </w:rPr>
        <w:t xml:space="preserve">for </w:t>
      </w:r>
      <w:r w:rsidR="00AC59C2" w:rsidRPr="00E17963">
        <w:rPr>
          <w:rFonts w:ascii="Times New Roman" w:hAnsi="Times New Roman"/>
          <w:sz w:val="22"/>
          <w:szCs w:val="22"/>
        </w:rPr>
        <w:t xml:space="preserve">the </w:t>
      </w:r>
      <w:r w:rsidRPr="00E17963">
        <w:rPr>
          <w:rFonts w:ascii="Times New Roman" w:hAnsi="Times New Roman"/>
          <w:sz w:val="22"/>
          <w:szCs w:val="22"/>
        </w:rPr>
        <w:t>p</w:t>
      </w:r>
      <w:r w:rsidR="00147EBC" w:rsidRPr="00E17963">
        <w:rPr>
          <w:rFonts w:ascii="Times New Roman" w:hAnsi="Times New Roman"/>
          <w:sz w:val="22"/>
          <w:szCs w:val="22"/>
        </w:rPr>
        <w:t>urpose</w:t>
      </w:r>
      <w:r w:rsidRPr="00E17963">
        <w:rPr>
          <w:rFonts w:ascii="Times New Roman" w:hAnsi="Times New Roman"/>
          <w:sz w:val="22"/>
          <w:szCs w:val="22"/>
        </w:rPr>
        <w:t>s of</w:t>
      </w:r>
      <w:r w:rsidR="00147EBC" w:rsidRPr="00E17963">
        <w:rPr>
          <w:rFonts w:ascii="Times New Roman" w:hAnsi="Times New Roman"/>
          <w:sz w:val="22"/>
          <w:szCs w:val="22"/>
        </w:rPr>
        <w:t xml:space="preserve"> subparagraph 23B(2)(d)(</w:t>
      </w:r>
      <w:proofErr w:type="spellStart"/>
      <w:r w:rsidR="00147EBC" w:rsidRPr="00E17963">
        <w:rPr>
          <w:rFonts w:ascii="Times New Roman" w:hAnsi="Times New Roman"/>
          <w:sz w:val="22"/>
          <w:szCs w:val="22"/>
        </w:rPr>
        <w:t>i</w:t>
      </w:r>
      <w:proofErr w:type="spellEnd"/>
      <w:r w:rsidR="00147EBC" w:rsidRPr="00E17963">
        <w:rPr>
          <w:rFonts w:ascii="Times New Roman" w:hAnsi="Times New Roman"/>
          <w:sz w:val="22"/>
          <w:szCs w:val="22"/>
        </w:rPr>
        <w:t>)</w:t>
      </w:r>
      <w:r w:rsidRPr="00E17963">
        <w:rPr>
          <w:rFonts w:ascii="Times New Roman" w:hAnsi="Times New Roman"/>
          <w:sz w:val="22"/>
          <w:szCs w:val="22"/>
        </w:rPr>
        <w:t>.</w:t>
      </w:r>
      <w:r w:rsidR="009F1610" w:rsidRPr="00E17963">
        <w:rPr>
          <w:rFonts w:ascii="Times New Roman" w:hAnsi="Times New Roman"/>
          <w:sz w:val="22"/>
          <w:szCs w:val="22"/>
        </w:rPr>
        <w:t xml:space="preserve"> </w:t>
      </w:r>
      <w:r w:rsidRPr="00E17963">
        <w:rPr>
          <w:rFonts w:ascii="Times New Roman" w:hAnsi="Times New Roman"/>
          <w:sz w:val="22"/>
          <w:szCs w:val="22"/>
        </w:rPr>
        <w:t xml:space="preserve"> It </w:t>
      </w:r>
      <w:r w:rsidR="00AD7403" w:rsidRPr="00E17963">
        <w:rPr>
          <w:rFonts w:ascii="Times New Roman" w:hAnsi="Times New Roman"/>
          <w:sz w:val="22"/>
          <w:szCs w:val="22"/>
        </w:rPr>
        <w:t xml:space="preserve">has the effect of </w:t>
      </w:r>
      <w:r w:rsidR="000C3A89" w:rsidRPr="00E17963">
        <w:rPr>
          <w:rFonts w:ascii="Times New Roman" w:hAnsi="Times New Roman"/>
          <w:sz w:val="22"/>
          <w:szCs w:val="22"/>
        </w:rPr>
        <w:t>determin</w:t>
      </w:r>
      <w:r w:rsidR="00B04C63" w:rsidRPr="00E17963">
        <w:rPr>
          <w:rFonts w:ascii="Times New Roman" w:hAnsi="Times New Roman"/>
          <w:sz w:val="22"/>
          <w:szCs w:val="22"/>
        </w:rPr>
        <w:t>ing</w:t>
      </w:r>
      <w:r w:rsidRPr="00E17963">
        <w:rPr>
          <w:rFonts w:ascii="Times New Roman" w:hAnsi="Times New Roman"/>
          <w:sz w:val="22"/>
          <w:szCs w:val="22"/>
        </w:rPr>
        <w:t xml:space="preserve"> that</w:t>
      </w:r>
      <w:r w:rsidR="00986F25" w:rsidRPr="00E17963">
        <w:rPr>
          <w:rFonts w:ascii="Times New Roman" w:hAnsi="Times New Roman"/>
          <w:sz w:val="22"/>
          <w:szCs w:val="22"/>
        </w:rPr>
        <w:t xml:space="preserve"> an application for </w:t>
      </w:r>
      <w:r w:rsidR="00FA593F" w:rsidRPr="00E17963">
        <w:rPr>
          <w:rFonts w:ascii="Times New Roman" w:hAnsi="Times New Roman"/>
          <w:sz w:val="22"/>
          <w:szCs w:val="22"/>
        </w:rPr>
        <w:t xml:space="preserve">the </w:t>
      </w:r>
      <w:r w:rsidR="00986F25" w:rsidRPr="00E17963">
        <w:rPr>
          <w:rFonts w:ascii="Times New Roman" w:hAnsi="Times New Roman"/>
          <w:sz w:val="22"/>
          <w:szCs w:val="22"/>
        </w:rPr>
        <w:t xml:space="preserve">registration of a prescription medicine must be accompanied by the kind of </w:t>
      </w:r>
      <w:r w:rsidRPr="00E17963">
        <w:rPr>
          <w:rFonts w:ascii="Times New Roman" w:hAnsi="Times New Roman"/>
          <w:sz w:val="22"/>
          <w:szCs w:val="22"/>
        </w:rPr>
        <w:t xml:space="preserve">information </w:t>
      </w:r>
      <w:r w:rsidR="00986F25" w:rsidRPr="00E17963">
        <w:rPr>
          <w:rFonts w:ascii="Times New Roman" w:hAnsi="Times New Roman"/>
          <w:sz w:val="22"/>
          <w:szCs w:val="22"/>
        </w:rPr>
        <w:t xml:space="preserve">specified for the </w:t>
      </w:r>
      <w:proofErr w:type="gramStart"/>
      <w:r w:rsidR="00986F25" w:rsidRPr="00E17963">
        <w:rPr>
          <w:rFonts w:ascii="Times New Roman" w:hAnsi="Times New Roman"/>
          <w:sz w:val="22"/>
          <w:szCs w:val="22"/>
        </w:rPr>
        <w:t>particular medicine</w:t>
      </w:r>
      <w:proofErr w:type="gramEnd"/>
      <w:r w:rsidR="00986F25" w:rsidRPr="00E17963">
        <w:rPr>
          <w:rFonts w:ascii="Times New Roman" w:hAnsi="Times New Roman"/>
          <w:sz w:val="22"/>
          <w:szCs w:val="22"/>
        </w:rPr>
        <w:t xml:space="preserve"> in the following TGA documents:</w:t>
      </w:r>
    </w:p>
    <w:p w14:paraId="6F08EE3F" w14:textId="454FA1DA" w:rsidR="00986F25" w:rsidRPr="00E17963" w:rsidRDefault="00986F25" w:rsidP="00986F25">
      <w:pPr>
        <w:pStyle w:val="ListParagraph"/>
        <w:numPr>
          <w:ilvl w:val="0"/>
          <w:numId w:val="4"/>
        </w:numPr>
        <w:rPr>
          <w:rFonts w:ascii="Times New Roman" w:hAnsi="Times New Roman"/>
          <w:sz w:val="22"/>
          <w:szCs w:val="22"/>
        </w:rPr>
      </w:pPr>
      <w:r w:rsidRPr="00E17963">
        <w:rPr>
          <w:rFonts w:ascii="Times New Roman" w:hAnsi="Times New Roman"/>
          <w:bCs/>
          <w:i/>
          <w:sz w:val="22"/>
          <w:szCs w:val="22"/>
        </w:rPr>
        <w:t>CTD Module 1: Administrative information and prescribing information for Australia</w:t>
      </w:r>
      <w:r w:rsidRPr="00E17963">
        <w:rPr>
          <w:rFonts w:ascii="Times New Roman" w:hAnsi="Times New Roman"/>
          <w:bCs/>
          <w:iCs/>
          <w:sz w:val="22"/>
          <w:szCs w:val="22"/>
        </w:rPr>
        <w:t xml:space="preserve"> (Version 4.3, December 2020)</w:t>
      </w:r>
      <w:r w:rsidRPr="00E17963">
        <w:rPr>
          <w:rFonts w:ascii="Times New Roman" w:hAnsi="Times New Roman"/>
          <w:sz w:val="22"/>
          <w:szCs w:val="22"/>
        </w:rPr>
        <w:t>; and</w:t>
      </w:r>
    </w:p>
    <w:p w14:paraId="44A8CED0" w14:textId="13A69090" w:rsidR="00986F25" w:rsidRPr="00E17963" w:rsidRDefault="00986F25" w:rsidP="00986F25">
      <w:pPr>
        <w:pStyle w:val="ListParagraph"/>
        <w:numPr>
          <w:ilvl w:val="0"/>
          <w:numId w:val="4"/>
        </w:numPr>
        <w:rPr>
          <w:rFonts w:ascii="Times New Roman" w:hAnsi="Times New Roman"/>
          <w:sz w:val="22"/>
          <w:szCs w:val="22"/>
        </w:rPr>
      </w:pPr>
      <w:r w:rsidRPr="00E17963">
        <w:rPr>
          <w:rFonts w:ascii="Times New Roman" w:hAnsi="Times New Roman"/>
          <w:bCs/>
          <w:i/>
          <w:sz w:val="22"/>
          <w:szCs w:val="22"/>
        </w:rPr>
        <w:t>Mandatory requirements for an effective application</w:t>
      </w:r>
      <w:r w:rsidRPr="00E17963">
        <w:rPr>
          <w:rFonts w:ascii="Times New Roman" w:hAnsi="Times New Roman"/>
          <w:bCs/>
          <w:iCs/>
          <w:sz w:val="22"/>
          <w:szCs w:val="22"/>
        </w:rPr>
        <w:t xml:space="preserve"> (Version 4.</w:t>
      </w:r>
      <w:r w:rsidR="00912C71" w:rsidRPr="00E17963">
        <w:rPr>
          <w:rFonts w:ascii="Times New Roman" w:hAnsi="Times New Roman"/>
          <w:bCs/>
          <w:iCs/>
          <w:sz w:val="22"/>
          <w:szCs w:val="22"/>
        </w:rPr>
        <w:t>1</w:t>
      </w:r>
      <w:r w:rsidRPr="00E17963">
        <w:rPr>
          <w:rFonts w:ascii="Times New Roman" w:hAnsi="Times New Roman"/>
          <w:bCs/>
          <w:iCs/>
          <w:sz w:val="22"/>
          <w:szCs w:val="22"/>
        </w:rPr>
        <w:t xml:space="preserve">, </w:t>
      </w:r>
      <w:r w:rsidR="00912C71" w:rsidRPr="00E17963">
        <w:rPr>
          <w:rFonts w:ascii="Times New Roman" w:hAnsi="Times New Roman"/>
          <w:bCs/>
          <w:iCs/>
          <w:sz w:val="22"/>
          <w:szCs w:val="22"/>
        </w:rPr>
        <w:t>June 2022</w:t>
      </w:r>
      <w:r w:rsidRPr="00E17963">
        <w:rPr>
          <w:rFonts w:ascii="Times New Roman" w:hAnsi="Times New Roman"/>
          <w:bCs/>
          <w:iCs/>
          <w:sz w:val="22"/>
          <w:szCs w:val="22"/>
        </w:rPr>
        <w:t>).</w:t>
      </w:r>
    </w:p>
    <w:p w14:paraId="03F329FE" w14:textId="3F883B68" w:rsidR="00776B2B" w:rsidRPr="00E17963" w:rsidRDefault="00776B2B" w:rsidP="005327F5">
      <w:pPr>
        <w:rPr>
          <w:rFonts w:ascii="Times New Roman" w:hAnsi="Times New Roman"/>
          <w:sz w:val="22"/>
          <w:szCs w:val="22"/>
        </w:rPr>
      </w:pPr>
    </w:p>
    <w:p w14:paraId="685BD4BA" w14:textId="77777777" w:rsidR="007805FF" w:rsidRPr="00E17963" w:rsidRDefault="007805FF" w:rsidP="005327F5">
      <w:pPr>
        <w:rPr>
          <w:rFonts w:ascii="Times New Roman" w:hAnsi="Times New Roman"/>
          <w:sz w:val="22"/>
          <w:szCs w:val="22"/>
        </w:rPr>
      </w:pPr>
    </w:p>
    <w:p w14:paraId="55B3B67F" w14:textId="560B344F" w:rsidR="00617DE2" w:rsidRPr="00E17963" w:rsidRDefault="00617DE2" w:rsidP="00617DE2">
      <w:pPr>
        <w:autoSpaceDE w:val="0"/>
        <w:autoSpaceDN w:val="0"/>
        <w:adjustRightInd w:val="0"/>
        <w:rPr>
          <w:rFonts w:ascii="Times New Roman" w:hAnsi="Times New Roman"/>
          <w:b/>
          <w:sz w:val="22"/>
          <w:szCs w:val="22"/>
        </w:rPr>
      </w:pPr>
      <w:r w:rsidRPr="00E17963">
        <w:rPr>
          <w:rFonts w:ascii="Times New Roman" w:hAnsi="Times New Roman"/>
          <w:b/>
          <w:sz w:val="22"/>
          <w:szCs w:val="22"/>
        </w:rPr>
        <w:t>Incorporation by reference</w:t>
      </w:r>
    </w:p>
    <w:p w14:paraId="6A6D097E" w14:textId="77777777" w:rsidR="00617DE2" w:rsidRPr="00E17963" w:rsidRDefault="00617DE2" w:rsidP="00617DE2">
      <w:pPr>
        <w:rPr>
          <w:rFonts w:ascii="Times New Roman" w:hAnsi="Times New Roman"/>
          <w:sz w:val="22"/>
          <w:szCs w:val="22"/>
        </w:rPr>
      </w:pPr>
    </w:p>
    <w:p w14:paraId="01B4707F" w14:textId="0E32E4F1" w:rsidR="00912C71" w:rsidRPr="00E17963" w:rsidRDefault="00617DE2" w:rsidP="004431A7">
      <w:pPr>
        <w:rPr>
          <w:rFonts w:ascii="Times New Roman" w:hAnsi="Times New Roman"/>
          <w:sz w:val="22"/>
          <w:szCs w:val="22"/>
        </w:rPr>
      </w:pPr>
      <w:r w:rsidRPr="00E17963">
        <w:rPr>
          <w:rFonts w:ascii="Times New Roman" w:hAnsi="Times New Roman"/>
          <w:sz w:val="22"/>
          <w:szCs w:val="22"/>
        </w:rPr>
        <w:t xml:space="preserve">The Determination incorporates by reference the </w:t>
      </w:r>
      <w:r w:rsidR="00912C71" w:rsidRPr="00E17963">
        <w:rPr>
          <w:rFonts w:ascii="Times New Roman" w:hAnsi="Times New Roman"/>
          <w:i/>
          <w:iCs/>
          <w:sz w:val="22"/>
          <w:szCs w:val="22"/>
        </w:rPr>
        <w:t>Therapeutic Goods (Classes of Therapeutic Goods) Instrument 2018</w:t>
      </w:r>
      <w:r w:rsidR="004431A7" w:rsidRPr="00E17963">
        <w:rPr>
          <w:rFonts w:ascii="Times New Roman" w:hAnsi="Times New Roman"/>
          <w:sz w:val="22"/>
          <w:szCs w:val="22"/>
        </w:rPr>
        <w:t xml:space="preserve">, which is </w:t>
      </w:r>
      <w:r w:rsidR="00912C71" w:rsidRPr="00E17963">
        <w:rPr>
          <w:rFonts w:ascii="Times New Roman" w:hAnsi="Times New Roman"/>
          <w:sz w:val="22"/>
          <w:szCs w:val="22"/>
        </w:rPr>
        <w:t>a notifiable instrument made under section 23A of the Act</w:t>
      </w:r>
      <w:r w:rsidR="004431A7" w:rsidRPr="00E17963">
        <w:rPr>
          <w:rFonts w:ascii="Times New Roman" w:hAnsi="Times New Roman"/>
          <w:sz w:val="22"/>
          <w:szCs w:val="22"/>
        </w:rPr>
        <w:t xml:space="preserve">. </w:t>
      </w:r>
      <w:r w:rsidR="00EE7511" w:rsidRPr="00E17963">
        <w:rPr>
          <w:rFonts w:ascii="Times New Roman" w:hAnsi="Times New Roman"/>
          <w:sz w:val="22"/>
          <w:szCs w:val="22"/>
        </w:rPr>
        <w:t xml:space="preserve"> </w:t>
      </w:r>
      <w:r w:rsidR="004431A7" w:rsidRPr="00E17963">
        <w:rPr>
          <w:rFonts w:ascii="Times New Roman" w:hAnsi="Times New Roman"/>
          <w:sz w:val="22"/>
          <w:szCs w:val="22"/>
        </w:rPr>
        <w:t>This instrument</w:t>
      </w:r>
      <w:r w:rsidR="003057AE" w:rsidRPr="00E17963">
        <w:rPr>
          <w:rFonts w:ascii="Times New Roman" w:hAnsi="Times New Roman"/>
          <w:sz w:val="22"/>
          <w:szCs w:val="22"/>
        </w:rPr>
        <w:t xml:space="preserve"> specifies different classes of therapeutic goods for the purposes of section 23B</w:t>
      </w:r>
      <w:r w:rsidR="00EE7511" w:rsidRPr="00E17963">
        <w:rPr>
          <w:rFonts w:ascii="Times New Roman" w:hAnsi="Times New Roman"/>
          <w:sz w:val="22"/>
          <w:szCs w:val="22"/>
        </w:rPr>
        <w:t xml:space="preserve"> of the Act</w:t>
      </w:r>
      <w:r w:rsidR="004431A7" w:rsidRPr="00E17963">
        <w:rPr>
          <w:rFonts w:ascii="Times New Roman" w:hAnsi="Times New Roman"/>
          <w:sz w:val="22"/>
          <w:szCs w:val="22"/>
        </w:rPr>
        <w:t xml:space="preserve"> and</w:t>
      </w:r>
      <w:r w:rsidR="003057AE" w:rsidRPr="00E17963">
        <w:rPr>
          <w:rFonts w:ascii="Times New Roman" w:hAnsi="Times New Roman"/>
          <w:sz w:val="22"/>
          <w:szCs w:val="22"/>
        </w:rPr>
        <w:t xml:space="preserve"> is</w:t>
      </w:r>
      <w:r w:rsidR="00EC5991" w:rsidRPr="00E17963">
        <w:rPr>
          <w:rFonts w:ascii="Times New Roman" w:hAnsi="Times New Roman"/>
          <w:sz w:val="22"/>
          <w:szCs w:val="22"/>
        </w:rPr>
        <w:t xml:space="preserve"> </w:t>
      </w:r>
      <w:r w:rsidR="003057AE" w:rsidRPr="00E17963">
        <w:rPr>
          <w:rFonts w:ascii="Times New Roman" w:hAnsi="Times New Roman"/>
          <w:sz w:val="22"/>
          <w:szCs w:val="22"/>
        </w:rPr>
        <w:t xml:space="preserve">freely available </w:t>
      </w:r>
      <w:r w:rsidR="00667327" w:rsidRPr="00E17963">
        <w:rPr>
          <w:rFonts w:ascii="Times New Roman" w:hAnsi="Times New Roman"/>
          <w:sz w:val="22"/>
          <w:szCs w:val="22"/>
        </w:rPr>
        <w:t>on</w:t>
      </w:r>
      <w:r w:rsidR="003057AE" w:rsidRPr="00E17963">
        <w:rPr>
          <w:rFonts w:ascii="Times New Roman" w:hAnsi="Times New Roman"/>
          <w:sz w:val="22"/>
          <w:szCs w:val="22"/>
        </w:rPr>
        <w:t xml:space="preserve"> the </w:t>
      </w:r>
      <w:r w:rsidR="0034282D" w:rsidRPr="00E17963">
        <w:rPr>
          <w:rFonts w:ascii="Times New Roman" w:hAnsi="Times New Roman"/>
          <w:sz w:val="22"/>
          <w:szCs w:val="22"/>
        </w:rPr>
        <w:t xml:space="preserve">Federal Register of Legislation at </w:t>
      </w:r>
      <w:r w:rsidR="00667327" w:rsidRPr="00E17963">
        <w:rPr>
          <w:rFonts w:ascii="Times New Roman" w:hAnsi="Times New Roman"/>
          <w:sz w:val="22"/>
          <w:szCs w:val="22"/>
        </w:rPr>
        <w:t>www.legislation.gov.au.</w:t>
      </w:r>
    </w:p>
    <w:p w14:paraId="7FCF7555" w14:textId="54D547F9" w:rsidR="003057AE" w:rsidRPr="00E17963" w:rsidRDefault="003057AE" w:rsidP="00617DE2">
      <w:pPr>
        <w:rPr>
          <w:rFonts w:ascii="Times New Roman" w:hAnsi="Times New Roman"/>
          <w:sz w:val="22"/>
          <w:szCs w:val="22"/>
        </w:rPr>
      </w:pPr>
    </w:p>
    <w:p w14:paraId="23642FAF" w14:textId="77777777" w:rsidR="004431A7" w:rsidRPr="00E17963" w:rsidRDefault="00EC5991" w:rsidP="00617DE2">
      <w:pPr>
        <w:rPr>
          <w:rFonts w:ascii="Times New Roman" w:hAnsi="Times New Roman"/>
          <w:bCs/>
          <w:iCs/>
          <w:sz w:val="22"/>
          <w:szCs w:val="22"/>
        </w:rPr>
      </w:pPr>
      <w:r w:rsidRPr="00E17963">
        <w:rPr>
          <w:rFonts w:ascii="Times New Roman" w:hAnsi="Times New Roman"/>
          <w:bCs/>
          <w:iCs/>
          <w:sz w:val="22"/>
          <w:szCs w:val="22"/>
        </w:rPr>
        <w:t xml:space="preserve">The </w:t>
      </w:r>
      <w:r w:rsidR="002B1768" w:rsidRPr="00E17963">
        <w:rPr>
          <w:rFonts w:ascii="Times New Roman" w:hAnsi="Times New Roman"/>
          <w:bCs/>
          <w:iCs/>
          <w:sz w:val="22"/>
          <w:szCs w:val="22"/>
        </w:rPr>
        <w:t>following documents published by the TGA are also incorporated by reference in the Determination</w:t>
      </w:r>
      <w:r w:rsidR="004431A7" w:rsidRPr="00E17963">
        <w:rPr>
          <w:rFonts w:ascii="Times New Roman" w:hAnsi="Times New Roman"/>
          <w:bCs/>
          <w:iCs/>
          <w:sz w:val="22"/>
          <w:szCs w:val="22"/>
        </w:rPr>
        <w:t>:</w:t>
      </w:r>
    </w:p>
    <w:p w14:paraId="1A17EDCE" w14:textId="77777777" w:rsidR="004431A7" w:rsidRPr="00E17963" w:rsidRDefault="004431A7" w:rsidP="004431A7">
      <w:pPr>
        <w:pStyle w:val="ListParagraph"/>
        <w:numPr>
          <w:ilvl w:val="0"/>
          <w:numId w:val="4"/>
        </w:numPr>
        <w:rPr>
          <w:rFonts w:ascii="Times New Roman" w:hAnsi="Times New Roman"/>
          <w:sz w:val="22"/>
          <w:szCs w:val="22"/>
        </w:rPr>
      </w:pPr>
      <w:r w:rsidRPr="00E17963">
        <w:rPr>
          <w:rFonts w:ascii="Times New Roman" w:hAnsi="Times New Roman"/>
          <w:bCs/>
          <w:iCs/>
          <w:sz w:val="22"/>
          <w:szCs w:val="22"/>
        </w:rPr>
        <w:t xml:space="preserve">the document titled </w:t>
      </w:r>
      <w:r w:rsidRPr="00E17963">
        <w:rPr>
          <w:rFonts w:ascii="Times New Roman" w:hAnsi="Times New Roman"/>
          <w:bCs/>
          <w:i/>
          <w:sz w:val="22"/>
          <w:szCs w:val="22"/>
        </w:rPr>
        <w:t>CTD Module 1: Administrative information and prescribing information for Australia</w:t>
      </w:r>
      <w:r w:rsidRPr="00E17963">
        <w:rPr>
          <w:rFonts w:ascii="Times New Roman" w:hAnsi="Times New Roman"/>
          <w:bCs/>
          <w:iCs/>
          <w:sz w:val="22"/>
          <w:szCs w:val="22"/>
        </w:rPr>
        <w:t xml:space="preserve"> (Version 4.3, December 2020)</w:t>
      </w:r>
      <w:r w:rsidRPr="00E17963">
        <w:rPr>
          <w:rFonts w:ascii="Times New Roman" w:hAnsi="Times New Roman"/>
          <w:sz w:val="22"/>
          <w:szCs w:val="22"/>
        </w:rPr>
        <w:t>; and</w:t>
      </w:r>
    </w:p>
    <w:p w14:paraId="230AAADD" w14:textId="2F9DD8B4" w:rsidR="004431A7" w:rsidRPr="00E17963" w:rsidRDefault="004431A7" w:rsidP="004431A7">
      <w:pPr>
        <w:pStyle w:val="ListParagraph"/>
        <w:numPr>
          <w:ilvl w:val="0"/>
          <w:numId w:val="4"/>
        </w:numPr>
        <w:rPr>
          <w:rFonts w:ascii="Times New Roman" w:hAnsi="Times New Roman"/>
          <w:sz w:val="22"/>
          <w:szCs w:val="22"/>
        </w:rPr>
      </w:pPr>
      <w:r w:rsidRPr="00E17963">
        <w:rPr>
          <w:rFonts w:ascii="Times New Roman" w:hAnsi="Times New Roman"/>
          <w:bCs/>
          <w:iCs/>
          <w:sz w:val="22"/>
          <w:szCs w:val="22"/>
        </w:rPr>
        <w:t xml:space="preserve">the document titled </w:t>
      </w:r>
      <w:r w:rsidRPr="00E17963">
        <w:rPr>
          <w:rFonts w:ascii="Times New Roman" w:hAnsi="Times New Roman"/>
          <w:bCs/>
          <w:i/>
          <w:sz w:val="22"/>
          <w:szCs w:val="22"/>
        </w:rPr>
        <w:t>Mandatory requirements for an effective application</w:t>
      </w:r>
      <w:r w:rsidRPr="00E17963">
        <w:rPr>
          <w:rFonts w:ascii="Times New Roman" w:hAnsi="Times New Roman"/>
          <w:bCs/>
          <w:iCs/>
          <w:sz w:val="22"/>
          <w:szCs w:val="22"/>
        </w:rPr>
        <w:t xml:space="preserve"> (Version 4.1, June</w:t>
      </w:r>
      <w:r w:rsidR="00EE7511" w:rsidRPr="00E17963">
        <w:rPr>
          <w:rFonts w:ascii="Times New Roman" w:hAnsi="Times New Roman"/>
          <w:bCs/>
          <w:iCs/>
          <w:sz w:val="22"/>
          <w:szCs w:val="22"/>
        </w:rPr>
        <w:t> </w:t>
      </w:r>
      <w:r w:rsidRPr="00E17963">
        <w:rPr>
          <w:rFonts w:ascii="Times New Roman" w:hAnsi="Times New Roman"/>
          <w:bCs/>
          <w:iCs/>
          <w:sz w:val="22"/>
          <w:szCs w:val="22"/>
        </w:rPr>
        <w:t>2022).</w:t>
      </w:r>
    </w:p>
    <w:p w14:paraId="14480E87" w14:textId="77777777" w:rsidR="004431A7" w:rsidRPr="00E17963" w:rsidRDefault="004431A7" w:rsidP="004431A7">
      <w:pPr>
        <w:rPr>
          <w:rFonts w:ascii="Times New Roman" w:hAnsi="Times New Roman"/>
          <w:sz w:val="22"/>
          <w:szCs w:val="22"/>
        </w:rPr>
      </w:pPr>
    </w:p>
    <w:p w14:paraId="1536EC4F" w14:textId="323F7A9B" w:rsidR="003057AE" w:rsidRPr="00E17963" w:rsidRDefault="004431A7" w:rsidP="00617DE2">
      <w:pPr>
        <w:rPr>
          <w:rFonts w:ascii="Times New Roman" w:hAnsi="Times New Roman"/>
          <w:sz w:val="22"/>
          <w:szCs w:val="22"/>
        </w:rPr>
      </w:pPr>
      <w:r w:rsidRPr="00E17963">
        <w:rPr>
          <w:rFonts w:ascii="Times New Roman" w:hAnsi="Times New Roman"/>
          <w:bCs/>
          <w:iCs/>
          <w:sz w:val="22"/>
          <w:szCs w:val="22"/>
        </w:rPr>
        <w:t xml:space="preserve">These two documents </w:t>
      </w:r>
      <w:r w:rsidR="002B1768" w:rsidRPr="00E17963">
        <w:rPr>
          <w:rFonts w:ascii="Times New Roman" w:hAnsi="Times New Roman"/>
          <w:bCs/>
          <w:iCs/>
          <w:sz w:val="22"/>
          <w:szCs w:val="22"/>
        </w:rPr>
        <w:t>describe the information</w:t>
      </w:r>
      <w:r w:rsidRPr="00E17963">
        <w:rPr>
          <w:rFonts w:ascii="Times New Roman" w:hAnsi="Times New Roman"/>
          <w:bCs/>
          <w:iCs/>
          <w:sz w:val="22"/>
          <w:szCs w:val="22"/>
        </w:rPr>
        <w:t xml:space="preserve"> that must be submitted to support an application for the registration of </w:t>
      </w:r>
      <w:r w:rsidR="00EE7511" w:rsidRPr="00E17963">
        <w:rPr>
          <w:rFonts w:ascii="Times New Roman" w:hAnsi="Times New Roman"/>
          <w:bCs/>
          <w:iCs/>
          <w:sz w:val="22"/>
          <w:szCs w:val="22"/>
        </w:rPr>
        <w:t xml:space="preserve">a </w:t>
      </w:r>
      <w:r w:rsidRPr="00E17963">
        <w:rPr>
          <w:rFonts w:ascii="Times New Roman" w:hAnsi="Times New Roman"/>
          <w:bCs/>
          <w:iCs/>
          <w:sz w:val="22"/>
          <w:szCs w:val="22"/>
        </w:rPr>
        <w:t>prescription</w:t>
      </w:r>
      <w:r w:rsidR="00EE7511" w:rsidRPr="00E17963">
        <w:rPr>
          <w:rFonts w:ascii="Times New Roman" w:hAnsi="Times New Roman"/>
          <w:bCs/>
          <w:iCs/>
          <w:sz w:val="22"/>
          <w:szCs w:val="22"/>
        </w:rPr>
        <w:t xml:space="preserve"> or other</w:t>
      </w:r>
      <w:r w:rsidRPr="00E17963">
        <w:rPr>
          <w:rFonts w:ascii="Times New Roman" w:hAnsi="Times New Roman"/>
          <w:bCs/>
          <w:iCs/>
          <w:sz w:val="22"/>
          <w:szCs w:val="22"/>
        </w:rPr>
        <w:t xml:space="preserve"> medicine under section 23 of the Act.</w:t>
      </w:r>
      <w:r w:rsidR="00EE7511" w:rsidRPr="00E17963">
        <w:rPr>
          <w:rFonts w:ascii="Times New Roman" w:hAnsi="Times New Roman"/>
          <w:bCs/>
          <w:iCs/>
          <w:sz w:val="22"/>
          <w:szCs w:val="22"/>
        </w:rPr>
        <w:t xml:space="preserve"> </w:t>
      </w:r>
      <w:r w:rsidRPr="00E17963">
        <w:rPr>
          <w:rFonts w:ascii="Times New Roman" w:hAnsi="Times New Roman"/>
          <w:bCs/>
          <w:iCs/>
          <w:sz w:val="22"/>
          <w:szCs w:val="22"/>
        </w:rPr>
        <w:t xml:space="preserve"> They are both</w:t>
      </w:r>
      <w:r w:rsidR="002B1768" w:rsidRPr="00E17963">
        <w:rPr>
          <w:rFonts w:ascii="Times New Roman" w:hAnsi="Times New Roman"/>
          <w:bCs/>
          <w:iCs/>
          <w:sz w:val="22"/>
          <w:szCs w:val="22"/>
        </w:rPr>
        <w:t xml:space="preserve"> freely available from the TGA website at www.tga.gov.au.</w:t>
      </w:r>
    </w:p>
    <w:p w14:paraId="4A1F4852" w14:textId="2D264422" w:rsidR="00912C71" w:rsidRPr="00E17963" w:rsidRDefault="00912C71" w:rsidP="00617DE2">
      <w:pPr>
        <w:rPr>
          <w:rFonts w:ascii="Times New Roman" w:hAnsi="Times New Roman"/>
          <w:sz w:val="22"/>
          <w:szCs w:val="22"/>
        </w:rPr>
      </w:pPr>
    </w:p>
    <w:p w14:paraId="641185D9" w14:textId="56933C94" w:rsidR="00912C71" w:rsidRPr="00E17963" w:rsidRDefault="00667327" w:rsidP="00617DE2">
      <w:pPr>
        <w:rPr>
          <w:rFonts w:ascii="Times New Roman" w:hAnsi="Times New Roman"/>
          <w:sz w:val="22"/>
          <w:szCs w:val="22"/>
        </w:rPr>
      </w:pPr>
      <w:r w:rsidRPr="00E17963">
        <w:rPr>
          <w:rFonts w:ascii="Times New Roman" w:hAnsi="Times New Roman"/>
          <w:sz w:val="22"/>
          <w:szCs w:val="22"/>
        </w:rPr>
        <w:t>The</w:t>
      </w:r>
      <w:r w:rsidR="004431A7" w:rsidRPr="00E17963">
        <w:rPr>
          <w:rFonts w:ascii="Times New Roman" w:hAnsi="Times New Roman"/>
          <w:sz w:val="22"/>
          <w:szCs w:val="22"/>
        </w:rPr>
        <w:t xml:space="preserve"> above</w:t>
      </w:r>
      <w:r w:rsidRPr="00E17963">
        <w:rPr>
          <w:rFonts w:ascii="Times New Roman" w:hAnsi="Times New Roman"/>
          <w:sz w:val="22"/>
          <w:szCs w:val="22"/>
        </w:rPr>
        <w:t xml:space="preserve"> three documents are incorporated as </w:t>
      </w:r>
      <w:r w:rsidR="00E55089" w:rsidRPr="00E17963">
        <w:rPr>
          <w:rFonts w:ascii="Times New Roman" w:hAnsi="Times New Roman"/>
          <w:sz w:val="22"/>
          <w:szCs w:val="22"/>
        </w:rPr>
        <w:t xml:space="preserve">in force or existing </w:t>
      </w:r>
      <w:r w:rsidRPr="00E17963">
        <w:rPr>
          <w:rFonts w:ascii="Times New Roman" w:hAnsi="Times New Roman"/>
          <w:sz w:val="22"/>
          <w:szCs w:val="22"/>
        </w:rPr>
        <w:t>at the commencement of the Determination</w:t>
      </w:r>
      <w:r w:rsidR="00FA593F" w:rsidRPr="00E17963">
        <w:rPr>
          <w:rFonts w:ascii="Times New Roman" w:hAnsi="Times New Roman"/>
          <w:sz w:val="22"/>
          <w:szCs w:val="22"/>
        </w:rPr>
        <w:t>,</w:t>
      </w:r>
      <w:r w:rsidRPr="00E17963">
        <w:rPr>
          <w:rFonts w:ascii="Times New Roman" w:hAnsi="Times New Roman"/>
          <w:sz w:val="22"/>
          <w:szCs w:val="22"/>
        </w:rPr>
        <w:t xml:space="preserve"> in accordance with paragraph 14(1)(b) of the </w:t>
      </w:r>
      <w:r w:rsidRPr="00E17963">
        <w:rPr>
          <w:rFonts w:ascii="Times New Roman" w:hAnsi="Times New Roman"/>
          <w:i/>
          <w:iCs/>
          <w:sz w:val="22"/>
          <w:szCs w:val="22"/>
        </w:rPr>
        <w:t>Legislation Act 2003</w:t>
      </w:r>
      <w:r w:rsidRPr="00E17963">
        <w:rPr>
          <w:rFonts w:ascii="Times New Roman" w:hAnsi="Times New Roman"/>
          <w:sz w:val="22"/>
          <w:szCs w:val="22"/>
        </w:rPr>
        <w:t>.</w:t>
      </w:r>
    </w:p>
    <w:p w14:paraId="50489E94" w14:textId="25FCDC82" w:rsidR="00617DE2" w:rsidRPr="00E17963" w:rsidRDefault="00617DE2" w:rsidP="003C565E">
      <w:pPr>
        <w:autoSpaceDE w:val="0"/>
        <w:autoSpaceDN w:val="0"/>
        <w:adjustRightInd w:val="0"/>
        <w:rPr>
          <w:rFonts w:ascii="Times New Roman" w:hAnsi="Times New Roman"/>
          <w:b/>
          <w:sz w:val="22"/>
          <w:szCs w:val="22"/>
        </w:rPr>
      </w:pPr>
    </w:p>
    <w:p w14:paraId="70A42125" w14:textId="77777777" w:rsidR="007805FF" w:rsidRPr="00E17963" w:rsidRDefault="007805FF" w:rsidP="003C565E">
      <w:pPr>
        <w:autoSpaceDE w:val="0"/>
        <w:autoSpaceDN w:val="0"/>
        <w:adjustRightInd w:val="0"/>
        <w:rPr>
          <w:rFonts w:ascii="Times New Roman" w:hAnsi="Times New Roman"/>
          <w:b/>
          <w:sz w:val="22"/>
          <w:szCs w:val="22"/>
        </w:rPr>
      </w:pPr>
    </w:p>
    <w:p w14:paraId="04F65279" w14:textId="72916E7D" w:rsidR="003C565E" w:rsidRPr="00E17963" w:rsidRDefault="003C565E" w:rsidP="003C565E">
      <w:pPr>
        <w:autoSpaceDE w:val="0"/>
        <w:autoSpaceDN w:val="0"/>
        <w:adjustRightInd w:val="0"/>
        <w:rPr>
          <w:rFonts w:ascii="Times New Roman" w:hAnsi="Times New Roman"/>
          <w:b/>
          <w:sz w:val="22"/>
          <w:szCs w:val="22"/>
        </w:rPr>
      </w:pPr>
      <w:r w:rsidRPr="00E17963">
        <w:rPr>
          <w:rFonts w:ascii="Times New Roman" w:hAnsi="Times New Roman"/>
          <w:b/>
          <w:sz w:val="22"/>
          <w:szCs w:val="22"/>
        </w:rPr>
        <w:t>Consultation</w:t>
      </w:r>
    </w:p>
    <w:p w14:paraId="78DEDFF9" w14:textId="61F4C807" w:rsidR="003C565E" w:rsidRPr="00E17963" w:rsidRDefault="003C565E" w:rsidP="005327F5">
      <w:pPr>
        <w:rPr>
          <w:rFonts w:ascii="Times New Roman" w:hAnsi="Times New Roman"/>
          <w:sz w:val="22"/>
          <w:szCs w:val="22"/>
        </w:rPr>
      </w:pPr>
    </w:p>
    <w:p w14:paraId="3CFA6AC0" w14:textId="0BA3CADC" w:rsidR="00FA593F" w:rsidRPr="00E17963" w:rsidRDefault="00FA593F" w:rsidP="007805FF">
      <w:pPr>
        <w:rPr>
          <w:rFonts w:ascii="Times New Roman" w:hAnsi="Times New Roman"/>
          <w:sz w:val="22"/>
          <w:szCs w:val="22"/>
        </w:rPr>
      </w:pPr>
      <w:r w:rsidRPr="00E17963">
        <w:rPr>
          <w:rFonts w:ascii="Times New Roman" w:hAnsi="Times New Roman"/>
          <w:sz w:val="22"/>
          <w:szCs w:val="22"/>
        </w:rPr>
        <w:t>No specific consultation was undertaken in relation to the making of the Determination, principally as its making reflects arrangements that have been in place on an administrative basis since the introduction of the amendments described above by the Amendment Act</w:t>
      </w:r>
      <w:r w:rsidR="00064C77" w:rsidRPr="00E17963">
        <w:rPr>
          <w:rFonts w:ascii="Times New Roman" w:hAnsi="Times New Roman"/>
          <w:sz w:val="22"/>
          <w:szCs w:val="22"/>
        </w:rPr>
        <w:t xml:space="preserve"> (and on that basis is principally minor and machinery in nature)</w:t>
      </w:r>
      <w:r w:rsidRPr="00E17963">
        <w:rPr>
          <w:rFonts w:ascii="Times New Roman" w:hAnsi="Times New Roman"/>
          <w:sz w:val="22"/>
          <w:szCs w:val="22"/>
        </w:rPr>
        <w:t>.</w:t>
      </w:r>
    </w:p>
    <w:p w14:paraId="7F761B9C" w14:textId="77777777" w:rsidR="00FA593F" w:rsidRPr="00E17963" w:rsidRDefault="00FA593F" w:rsidP="007805FF">
      <w:pPr>
        <w:rPr>
          <w:rFonts w:ascii="Times New Roman" w:hAnsi="Times New Roman"/>
          <w:sz w:val="22"/>
          <w:szCs w:val="22"/>
        </w:rPr>
      </w:pPr>
    </w:p>
    <w:p w14:paraId="5CD54388" w14:textId="71A7E04B" w:rsidR="007805FF" w:rsidRPr="00E17963" w:rsidRDefault="00FA593F" w:rsidP="00FA593F">
      <w:pPr>
        <w:rPr>
          <w:rFonts w:ascii="Times New Roman" w:hAnsi="Times New Roman"/>
          <w:bCs/>
          <w:iCs/>
          <w:sz w:val="22"/>
          <w:szCs w:val="22"/>
        </w:rPr>
      </w:pPr>
      <w:r w:rsidRPr="00E17963">
        <w:rPr>
          <w:rFonts w:ascii="Times New Roman" w:hAnsi="Times New Roman"/>
          <w:sz w:val="22"/>
          <w:szCs w:val="22"/>
        </w:rPr>
        <w:t>Also relevant to the decision not to specifically consult on the making of t</w:t>
      </w:r>
      <w:r w:rsidR="004F4A20" w:rsidRPr="00E17963">
        <w:rPr>
          <w:rFonts w:ascii="Times New Roman" w:hAnsi="Times New Roman"/>
          <w:sz w:val="22"/>
          <w:szCs w:val="22"/>
        </w:rPr>
        <w:t xml:space="preserve">he Determination </w:t>
      </w:r>
      <w:r w:rsidRPr="00E17963">
        <w:rPr>
          <w:rFonts w:ascii="Times New Roman" w:hAnsi="Times New Roman"/>
          <w:sz w:val="22"/>
          <w:szCs w:val="22"/>
        </w:rPr>
        <w:t xml:space="preserve">is that it </w:t>
      </w:r>
      <w:r w:rsidR="004F4A20" w:rsidRPr="00E17963">
        <w:rPr>
          <w:rFonts w:ascii="Times New Roman" w:hAnsi="Times New Roman"/>
          <w:sz w:val="22"/>
          <w:szCs w:val="22"/>
        </w:rPr>
        <w:t>complements and reflect</w:t>
      </w:r>
      <w:r w:rsidR="00407004" w:rsidRPr="00E17963">
        <w:rPr>
          <w:rFonts w:ascii="Times New Roman" w:hAnsi="Times New Roman"/>
          <w:sz w:val="22"/>
          <w:szCs w:val="22"/>
        </w:rPr>
        <w:t>s</w:t>
      </w:r>
      <w:r w:rsidR="004F4A20" w:rsidRPr="00E17963">
        <w:rPr>
          <w:rFonts w:ascii="Times New Roman" w:hAnsi="Times New Roman"/>
          <w:sz w:val="22"/>
          <w:szCs w:val="22"/>
        </w:rPr>
        <w:t xml:space="preserve"> </w:t>
      </w:r>
      <w:r w:rsidRPr="00E17963">
        <w:rPr>
          <w:rFonts w:ascii="Times New Roman" w:hAnsi="Times New Roman"/>
          <w:sz w:val="22"/>
          <w:szCs w:val="22"/>
        </w:rPr>
        <w:t xml:space="preserve">the </w:t>
      </w:r>
      <w:r w:rsidR="004F4A20" w:rsidRPr="00E17963">
        <w:rPr>
          <w:rFonts w:ascii="Times New Roman" w:hAnsi="Times New Roman"/>
          <w:sz w:val="22"/>
          <w:szCs w:val="22"/>
        </w:rPr>
        <w:t>amendments made to the Act</w:t>
      </w:r>
      <w:r w:rsidR="00407004" w:rsidRPr="00E17963">
        <w:rPr>
          <w:rFonts w:ascii="Times New Roman" w:hAnsi="Times New Roman"/>
          <w:sz w:val="22"/>
          <w:szCs w:val="22"/>
        </w:rPr>
        <w:t xml:space="preserve"> by</w:t>
      </w:r>
      <w:r w:rsidR="004F4A20" w:rsidRPr="00E17963">
        <w:rPr>
          <w:rFonts w:ascii="Times New Roman" w:hAnsi="Times New Roman"/>
          <w:sz w:val="22"/>
          <w:szCs w:val="22"/>
        </w:rPr>
        <w:t xml:space="preserve"> </w:t>
      </w:r>
      <w:r w:rsidR="00407004" w:rsidRPr="00E17963">
        <w:rPr>
          <w:rFonts w:ascii="Times New Roman" w:hAnsi="Times New Roman"/>
          <w:sz w:val="22"/>
          <w:szCs w:val="22"/>
        </w:rPr>
        <w:t xml:space="preserve">the Amendment Act, </w:t>
      </w:r>
      <w:r w:rsidR="00064C77" w:rsidRPr="00E17963">
        <w:rPr>
          <w:rFonts w:ascii="Times New Roman" w:hAnsi="Times New Roman"/>
          <w:sz w:val="22"/>
          <w:szCs w:val="22"/>
        </w:rPr>
        <w:t>in relation to</w:t>
      </w:r>
      <w:r w:rsidR="00E77251" w:rsidRPr="00E17963">
        <w:rPr>
          <w:rFonts w:ascii="Times New Roman" w:hAnsi="Times New Roman"/>
          <w:sz w:val="22"/>
          <w:szCs w:val="22"/>
        </w:rPr>
        <w:t xml:space="preserve"> the introduction of sections 23A and 23B to the Act </w:t>
      </w:r>
      <w:r w:rsidR="00407004" w:rsidRPr="00E17963">
        <w:rPr>
          <w:rFonts w:ascii="Times New Roman" w:hAnsi="Times New Roman"/>
          <w:sz w:val="22"/>
          <w:szCs w:val="22"/>
        </w:rPr>
        <w:t xml:space="preserve">for the purpose of providing greater clarity in relation to the preliminary assessment of applications for the </w:t>
      </w:r>
      <w:r w:rsidR="00E77251" w:rsidRPr="00E17963">
        <w:rPr>
          <w:rFonts w:ascii="Times New Roman" w:hAnsi="Times New Roman"/>
          <w:sz w:val="22"/>
          <w:szCs w:val="22"/>
        </w:rPr>
        <w:t>registration and listing</w:t>
      </w:r>
      <w:r w:rsidR="00407004" w:rsidRPr="00E17963">
        <w:rPr>
          <w:rFonts w:ascii="Times New Roman" w:hAnsi="Times New Roman"/>
          <w:sz w:val="22"/>
          <w:szCs w:val="22"/>
        </w:rPr>
        <w:t xml:space="preserve"> of therapeutic goods in the Register</w:t>
      </w:r>
      <w:r w:rsidR="007805FF" w:rsidRPr="00E17963">
        <w:rPr>
          <w:rFonts w:ascii="Times New Roman" w:hAnsi="Times New Roman"/>
          <w:bCs/>
          <w:iCs/>
          <w:sz w:val="22"/>
          <w:szCs w:val="22"/>
        </w:rPr>
        <w:t>.</w:t>
      </w:r>
    </w:p>
    <w:p w14:paraId="3B04AC67" w14:textId="77777777" w:rsidR="007603FD" w:rsidRPr="00E17963" w:rsidRDefault="007603FD" w:rsidP="00E77251">
      <w:pPr>
        <w:rPr>
          <w:rFonts w:ascii="Times New Roman" w:hAnsi="Times New Roman"/>
          <w:bCs/>
          <w:iCs/>
          <w:sz w:val="22"/>
          <w:szCs w:val="22"/>
        </w:rPr>
      </w:pPr>
    </w:p>
    <w:p w14:paraId="769FBED6" w14:textId="136CFAA2" w:rsidR="00A15F26" w:rsidRPr="00E17963" w:rsidRDefault="00A15F26" w:rsidP="00A15F26">
      <w:pPr>
        <w:rPr>
          <w:rFonts w:ascii="Times New Roman" w:hAnsi="Times New Roman"/>
          <w:sz w:val="22"/>
          <w:szCs w:val="22"/>
        </w:rPr>
      </w:pPr>
      <w:r w:rsidRPr="00E17963">
        <w:rPr>
          <w:rFonts w:ascii="Times New Roman" w:hAnsi="Times New Roman"/>
          <w:sz w:val="22"/>
          <w:szCs w:val="22"/>
        </w:rPr>
        <w:t xml:space="preserve">Before the commencement of the Amendment Act, requirements relating to the kind and form of information that was required to accompany an application for registration were imposed under section 23 of the Act. </w:t>
      </w:r>
      <w:r w:rsidR="00951ECB" w:rsidRPr="00E17963">
        <w:rPr>
          <w:rFonts w:ascii="Times New Roman" w:hAnsi="Times New Roman"/>
          <w:sz w:val="22"/>
          <w:szCs w:val="22"/>
        </w:rPr>
        <w:t xml:space="preserve"> </w:t>
      </w:r>
      <w:r w:rsidRPr="00E17963">
        <w:rPr>
          <w:rFonts w:ascii="Times New Roman" w:hAnsi="Times New Roman"/>
          <w:sz w:val="22"/>
          <w:szCs w:val="22"/>
        </w:rPr>
        <w:t xml:space="preserve">While that section was repealed and replaced by the Amendment Act, the nature of the requirements imposed by the Determination is </w:t>
      </w:r>
      <w:proofErr w:type="gramStart"/>
      <w:r w:rsidRPr="00E17963">
        <w:rPr>
          <w:rFonts w:ascii="Times New Roman" w:hAnsi="Times New Roman"/>
          <w:sz w:val="22"/>
          <w:szCs w:val="22"/>
        </w:rPr>
        <w:t>similar to</w:t>
      </w:r>
      <w:proofErr w:type="gramEnd"/>
      <w:r w:rsidRPr="00E17963">
        <w:rPr>
          <w:rFonts w:ascii="Times New Roman" w:hAnsi="Times New Roman"/>
          <w:sz w:val="22"/>
          <w:szCs w:val="22"/>
        </w:rPr>
        <w:t xml:space="preserve"> those that were previously imposed under the former section 23. </w:t>
      </w:r>
      <w:r w:rsidR="00951ECB" w:rsidRPr="00E17963">
        <w:rPr>
          <w:rFonts w:ascii="Times New Roman" w:hAnsi="Times New Roman"/>
          <w:sz w:val="22"/>
          <w:szCs w:val="22"/>
        </w:rPr>
        <w:t xml:space="preserve"> </w:t>
      </w:r>
      <w:r w:rsidRPr="00E17963">
        <w:rPr>
          <w:rFonts w:ascii="Times New Roman" w:hAnsi="Times New Roman"/>
          <w:sz w:val="22"/>
          <w:szCs w:val="22"/>
        </w:rPr>
        <w:t xml:space="preserve">The information required to accompany an application is necessary to enable the Secretary to undertake a full evaluation of the application in accordance with section 25 of the </w:t>
      </w:r>
      <w:proofErr w:type="gramStart"/>
      <w:r w:rsidRPr="00E17963">
        <w:rPr>
          <w:rFonts w:ascii="Times New Roman" w:hAnsi="Times New Roman"/>
          <w:sz w:val="22"/>
          <w:szCs w:val="22"/>
        </w:rPr>
        <w:t>Act, and</w:t>
      </w:r>
      <w:proofErr w:type="gramEnd"/>
      <w:r w:rsidRPr="00E17963">
        <w:rPr>
          <w:rFonts w:ascii="Times New Roman" w:hAnsi="Times New Roman"/>
          <w:sz w:val="22"/>
          <w:szCs w:val="22"/>
        </w:rPr>
        <w:t xml:space="preserve"> is information that sponsors would be expected to have available when they apply for registration.</w:t>
      </w:r>
    </w:p>
    <w:p w14:paraId="1973480C" w14:textId="77777777" w:rsidR="00A15F26" w:rsidRPr="00E17963" w:rsidRDefault="00A15F26" w:rsidP="006B6723">
      <w:pPr>
        <w:rPr>
          <w:rFonts w:ascii="Times New Roman" w:hAnsi="Times New Roman"/>
          <w:sz w:val="22"/>
          <w:szCs w:val="22"/>
        </w:rPr>
      </w:pPr>
    </w:p>
    <w:p w14:paraId="72967735" w14:textId="4105E01B" w:rsidR="006B6723" w:rsidRPr="00E17963" w:rsidRDefault="006B6723" w:rsidP="006B6723">
      <w:pPr>
        <w:rPr>
          <w:rFonts w:ascii="Times New Roman" w:hAnsi="Times New Roman"/>
          <w:sz w:val="22"/>
          <w:szCs w:val="22"/>
        </w:rPr>
      </w:pPr>
      <w:r w:rsidRPr="00E17963">
        <w:rPr>
          <w:rFonts w:ascii="Times New Roman" w:hAnsi="Times New Roman"/>
          <w:sz w:val="22"/>
          <w:szCs w:val="22"/>
        </w:rPr>
        <w:t xml:space="preserve">As the </w:t>
      </w:r>
      <w:r w:rsidR="009F5692" w:rsidRPr="00E17963">
        <w:rPr>
          <w:rFonts w:ascii="Times New Roman" w:hAnsi="Times New Roman"/>
          <w:sz w:val="22"/>
          <w:szCs w:val="22"/>
        </w:rPr>
        <w:t>Determination is consequential to the relevant amendments made by the Amendment Act</w:t>
      </w:r>
      <w:r w:rsidR="000A57F6" w:rsidRPr="00E17963">
        <w:rPr>
          <w:rFonts w:ascii="Times New Roman" w:hAnsi="Times New Roman"/>
          <w:sz w:val="22"/>
          <w:szCs w:val="22"/>
        </w:rPr>
        <w:t>,</w:t>
      </w:r>
      <w:r w:rsidR="009F5692" w:rsidRPr="00E17963">
        <w:rPr>
          <w:rFonts w:ascii="Times New Roman" w:hAnsi="Times New Roman"/>
          <w:sz w:val="22"/>
          <w:szCs w:val="22"/>
        </w:rPr>
        <w:t xml:space="preserve"> and its </w:t>
      </w:r>
      <w:r w:rsidRPr="00E17963">
        <w:rPr>
          <w:rFonts w:ascii="Times New Roman" w:hAnsi="Times New Roman"/>
          <w:sz w:val="22"/>
          <w:szCs w:val="22"/>
        </w:rPr>
        <w:t xml:space="preserve">effect is minor and machinery in nature, a Regulation Impact Statement is not required (OPBR Ref </w:t>
      </w:r>
      <w:r w:rsidR="009F5692" w:rsidRPr="00E17963">
        <w:rPr>
          <w:rFonts w:ascii="Times New Roman" w:hAnsi="Times New Roman"/>
          <w:sz w:val="22"/>
          <w:szCs w:val="22"/>
        </w:rPr>
        <w:t>21178</w:t>
      </w:r>
      <w:r w:rsidRPr="00E17963">
        <w:rPr>
          <w:rFonts w:ascii="Times New Roman" w:hAnsi="Times New Roman"/>
          <w:sz w:val="22"/>
          <w:szCs w:val="22"/>
        </w:rPr>
        <w:t>).</w:t>
      </w:r>
    </w:p>
    <w:p w14:paraId="3A9D2C5B" w14:textId="14829568" w:rsidR="003B2462" w:rsidRPr="00E17963" w:rsidRDefault="003B2462" w:rsidP="007231B2">
      <w:pPr>
        <w:rPr>
          <w:rFonts w:ascii="Times New Roman" w:hAnsi="Times New Roman"/>
          <w:sz w:val="22"/>
          <w:szCs w:val="22"/>
        </w:rPr>
      </w:pPr>
    </w:p>
    <w:p w14:paraId="3ABB6E8F" w14:textId="0BC9ABAD" w:rsidR="00294A49" w:rsidRPr="00E17963" w:rsidRDefault="00294A49" w:rsidP="007805FF">
      <w:pPr>
        <w:keepNext/>
        <w:rPr>
          <w:rFonts w:ascii="Times New Roman" w:hAnsi="Times New Roman"/>
          <w:sz w:val="22"/>
          <w:szCs w:val="22"/>
        </w:rPr>
      </w:pPr>
      <w:r w:rsidRPr="00E17963">
        <w:rPr>
          <w:rFonts w:ascii="Times New Roman" w:hAnsi="Times New Roman"/>
          <w:sz w:val="22"/>
          <w:szCs w:val="22"/>
        </w:rPr>
        <w:t xml:space="preserve">Details of the </w:t>
      </w:r>
      <w:r w:rsidR="00147EBC" w:rsidRPr="00E17963">
        <w:rPr>
          <w:rFonts w:ascii="Times New Roman" w:hAnsi="Times New Roman"/>
          <w:sz w:val="22"/>
          <w:szCs w:val="22"/>
        </w:rPr>
        <w:t xml:space="preserve">Determination </w:t>
      </w:r>
      <w:r w:rsidRPr="00E17963">
        <w:rPr>
          <w:rFonts w:ascii="Times New Roman" w:hAnsi="Times New Roman"/>
          <w:sz w:val="22"/>
          <w:szCs w:val="22"/>
        </w:rPr>
        <w:t>are set out in</w:t>
      </w:r>
      <w:r w:rsidR="00852478" w:rsidRPr="00E17963">
        <w:rPr>
          <w:rFonts w:ascii="Times New Roman" w:hAnsi="Times New Roman"/>
          <w:sz w:val="22"/>
          <w:szCs w:val="22"/>
        </w:rPr>
        <w:t xml:space="preserve"> </w:t>
      </w:r>
      <w:r w:rsidR="00852478" w:rsidRPr="00E17963">
        <w:rPr>
          <w:rFonts w:ascii="Times New Roman" w:hAnsi="Times New Roman"/>
          <w:b/>
          <w:bCs/>
          <w:sz w:val="22"/>
          <w:szCs w:val="22"/>
        </w:rPr>
        <w:t>Attachment A</w:t>
      </w:r>
      <w:r w:rsidRPr="00E17963">
        <w:rPr>
          <w:rFonts w:ascii="Times New Roman" w:hAnsi="Times New Roman"/>
          <w:sz w:val="22"/>
          <w:szCs w:val="22"/>
        </w:rPr>
        <w:t>.</w:t>
      </w:r>
    </w:p>
    <w:p w14:paraId="438D3313" w14:textId="77777777" w:rsidR="00294A49" w:rsidRPr="00E17963" w:rsidRDefault="00294A49" w:rsidP="007805FF">
      <w:pPr>
        <w:keepNext/>
        <w:rPr>
          <w:rFonts w:ascii="Times New Roman" w:hAnsi="Times New Roman"/>
          <w:sz w:val="22"/>
          <w:szCs w:val="22"/>
        </w:rPr>
      </w:pPr>
    </w:p>
    <w:p w14:paraId="1AED328D" w14:textId="25BCCFBB" w:rsidR="00294A49" w:rsidRPr="00E17963" w:rsidRDefault="00294A49" w:rsidP="00294A49">
      <w:pPr>
        <w:rPr>
          <w:rFonts w:ascii="Times New Roman" w:hAnsi="Times New Roman"/>
          <w:sz w:val="22"/>
          <w:szCs w:val="22"/>
        </w:rPr>
      </w:pPr>
      <w:r w:rsidRPr="00E17963">
        <w:rPr>
          <w:rFonts w:ascii="Times New Roman" w:hAnsi="Times New Roman"/>
          <w:sz w:val="22"/>
          <w:szCs w:val="22"/>
        </w:rPr>
        <w:t xml:space="preserve">The </w:t>
      </w:r>
      <w:r w:rsidR="00147EBC" w:rsidRPr="00E17963">
        <w:rPr>
          <w:rFonts w:ascii="Times New Roman" w:hAnsi="Times New Roman"/>
          <w:sz w:val="22"/>
          <w:szCs w:val="22"/>
        </w:rPr>
        <w:t>Determination</w:t>
      </w:r>
      <w:r w:rsidRPr="00E17963">
        <w:rPr>
          <w:rFonts w:ascii="Times New Roman" w:hAnsi="Times New Roman"/>
          <w:sz w:val="22"/>
          <w:szCs w:val="22"/>
        </w:rPr>
        <w:t xml:space="preserve"> is compatible with human rights and freedoms recognised or declared under section 3 of the </w:t>
      </w:r>
      <w:r w:rsidRPr="00E17963">
        <w:rPr>
          <w:rFonts w:ascii="Times New Roman" w:hAnsi="Times New Roman"/>
          <w:i/>
          <w:sz w:val="22"/>
          <w:szCs w:val="22"/>
        </w:rPr>
        <w:t>Human Rights (Parliamentary Scrutiny) Act 2011</w:t>
      </w:r>
      <w:r w:rsidRPr="00E17963">
        <w:rPr>
          <w:rFonts w:ascii="Times New Roman" w:hAnsi="Times New Roman"/>
          <w:sz w:val="22"/>
          <w:szCs w:val="22"/>
        </w:rPr>
        <w:t xml:space="preserve">. </w:t>
      </w:r>
      <w:r w:rsidR="009F1610" w:rsidRPr="00E17963">
        <w:rPr>
          <w:rFonts w:ascii="Times New Roman" w:hAnsi="Times New Roman"/>
          <w:sz w:val="22"/>
          <w:szCs w:val="22"/>
        </w:rPr>
        <w:t xml:space="preserve"> </w:t>
      </w:r>
      <w:r w:rsidRPr="00E17963">
        <w:rPr>
          <w:rFonts w:ascii="Times New Roman" w:hAnsi="Times New Roman"/>
          <w:sz w:val="22"/>
          <w:szCs w:val="22"/>
        </w:rPr>
        <w:t>A full statement of compatibility is set out in</w:t>
      </w:r>
      <w:r w:rsidR="00852478" w:rsidRPr="00E17963">
        <w:rPr>
          <w:rFonts w:ascii="Times New Roman" w:hAnsi="Times New Roman"/>
          <w:sz w:val="22"/>
          <w:szCs w:val="22"/>
        </w:rPr>
        <w:t xml:space="preserve"> </w:t>
      </w:r>
      <w:r w:rsidR="00852478" w:rsidRPr="00E17963">
        <w:rPr>
          <w:rFonts w:ascii="Times New Roman" w:hAnsi="Times New Roman"/>
          <w:b/>
          <w:bCs/>
          <w:sz w:val="22"/>
          <w:szCs w:val="22"/>
        </w:rPr>
        <w:t>Attachment B</w:t>
      </w:r>
      <w:r w:rsidRPr="00E17963">
        <w:rPr>
          <w:rFonts w:ascii="Times New Roman" w:hAnsi="Times New Roman"/>
          <w:sz w:val="22"/>
          <w:szCs w:val="22"/>
        </w:rPr>
        <w:t>.</w:t>
      </w:r>
    </w:p>
    <w:p w14:paraId="18B90C1D" w14:textId="77777777" w:rsidR="00294A49" w:rsidRPr="00E17963" w:rsidRDefault="00294A49" w:rsidP="007231B2">
      <w:pPr>
        <w:rPr>
          <w:rFonts w:ascii="Times New Roman" w:hAnsi="Times New Roman"/>
          <w:sz w:val="22"/>
          <w:szCs w:val="22"/>
        </w:rPr>
      </w:pPr>
    </w:p>
    <w:p w14:paraId="582CDAF5" w14:textId="5624B5A6" w:rsidR="0028480D" w:rsidRPr="00E17963" w:rsidRDefault="00CC7CE5" w:rsidP="0028480D">
      <w:pPr>
        <w:autoSpaceDE w:val="0"/>
        <w:autoSpaceDN w:val="0"/>
        <w:adjustRightInd w:val="0"/>
        <w:rPr>
          <w:rFonts w:ascii="Times New Roman" w:hAnsi="Times New Roman"/>
          <w:sz w:val="22"/>
          <w:szCs w:val="22"/>
        </w:rPr>
      </w:pPr>
      <w:r w:rsidRPr="00E17963">
        <w:rPr>
          <w:rFonts w:ascii="Times New Roman" w:hAnsi="Times New Roman"/>
          <w:sz w:val="22"/>
          <w:szCs w:val="22"/>
        </w:rPr>
        <w:t xml:space="preserve">The </w:t>
      </w:r>
      <w:r w:rsidR="00147EBC" w:rsidRPr="00E17963">
        <w:rPr>
          <w:rFonts w:ascii="Times New Roman" w:hAnsi="Times New Roman"/>
          <w:sz w:val="22"/>
          <w:szCs w:val="22"/>
        </w:rPr>
        <w:t xml:space="preserve">Determination </w:t>
      </w:r>
      <w:r w:rsidRPr="00E17963">
        <w:rPr>
          <w:rFonts w:ascii="Times New Roman" w:hAnsi="Times New Roman"/>
          <w:sz w:val="22"/>
          <w:szCs w:val="22"/>
        </w:rPr>
        <w:t>is a disallowable legislative instrument</w:t>
      </w:r>
      <w:r w:rsidRPr="00E17963">
        <w:rPr>
          <w:rFonts w:ascii="Times New Roman" w:hAnsi="Times New Roman"/>
          <w:i/>
          <w:sz w:val="22"/>
          <w:szCs w:val="22"/>
        </w:rPr>
        <w:t xml:space="preserve"> </w:t>
      </w:r>
      <w:r w:rsidR="006833B2" w:rsidRPr="00E17963">
        <w:rPr>
          <w:rFonts w:ascii="Times New Roman" w:hAnsi="Times New Roman"/>
          <w:sz w:val="22"/>
          <w:szCs w:val="22"/>
        </w:rPr>
        <w:t>and commence</w:t>
      </w:r>
      <w:r w:rsidR="00852478" w:rsidRPr="00E17963">
        <w:rPr>
          <w:rFonts w:ascii="Times New Roman" w:hAnsi="Times New Roman"/>
          <w:sz w:val="22"/>
          <w:szCs w:val="22"/>
        </w:rPr>
        <w:t>s the day after the instrument is registered on the Federal Register of Legislation</w:t>
      </w:r>
      <w:r w:rsidRPr="00E17963">
        <w:rPr>
          <w:rFonts w:ascii="Times New Roman" w:hAnsi="Times New Roman"/>
          <w:sz w:val="22"/>
          <w:szCs w:val="22"/>
        </w:rPr>
        <w:t>.</w:t>
      </w:r>
    </w:p>
    <w:p w14:paraId="2BC05477" w14:textId="77777777" w:rsidR="0028480D" w:rsidRPr="00E17963" w:rsidRDefault="0028480D">
      <w:pPr>
        <w:spacing w:after="200" w:line="276" w:lineRule="auto"/>
        <w:rPr>
          <w:rFonts w:ascii="Times New Roman" w:hAnsi="Times New Roman"/>
          <w:sz w:val="22"/>
          <w:szCs w:val="22"/>
        </w:rPr>
      </w:pPr>
      <w:r w:rsidRPr="00E17963">
        <w:rPr>
          <w:rFonts w:ascii="Times New Roman" w:hAnsi="Times New Roman"/>
          <w:sz w:val="22"/>
          <w:szCs w:val="22"/>
        </w:rPr>
        <w:br w:type="page"/>
      </w:r>
    </w:p>
    <w:p w14:paraId="4BD8DCEB" w14:textId="77777777" w:rsidR="00294A49" w:rsidRPr="00E17963" w:rsidRDefault="00294A49" w:rsidP="00294A49">
      <w:pPr>
        <w:jc w:val="right"/>
        <w:rPr>
          <w:rFonts w:ascii="Times New Roman" w:hAnsi="Times New Roman"/>
          <w:b/>
          <w:bCs/>
          <w:sz w:val="22"/>
          <w:szCs w:val="22"/>
        </w:rPr>
      </w:pPr>
      <w:r w:rsidRPr="00E17963">
        <w:rPr>
          <w:rFonts w:ascii="Times New Roman" w:hAnsi="Times New Roman"/>
          <w:b/>
          <w:bCs/>
          <w:sz w:val="22"/>
          <w:szCs w:val="22"/>
        </w:rPr>
        <w:t>Attachment A</w:t>
      </w:r>
    </w:p>
    <w:p w14:paraId="599FFD22" w14:textId="77777777" w:rsidR="00294A49" w:rsidRPr="00E17963" w:rsidRDefault="00294A49" w:rsidP="00294A49">
      <w:pPr>
        <w:rPr>
          <w:rFonts w:ascii="Times New Roman" w:hAnsi="Times New Roman"/>
          <w:b/>
          <w:bCs/>
          <w:sz w:val="22"/>
          <w:szCs w:val="22"/>
        </w:rPr>
      </w:pPr>
    </w:p>
    <w:p w14:paraId="69BEF26B" w14:textId="0CA5B133" w:rsidR="00294A49" w:rsidRPr="00E17963" w:rsidRDefault="00294A49" w:rsidP="00294A49">
      <w:pPr>
        <w:rPr>
          <w:rFonts w:ascii="Times New Roman" w:hAnsi="Times New Roman"/>
          <w:b/>
          <w:bCs/>
          <w:i/>
          <w:sz w:val="22"/>
          <w:szCs w:val="22"/>
        </w:rPr>
      </w:pPr>
      <w:r w:rsidRPr="00E17963">
        <w:rPr>
          <w:rFonts w:ascii="Times New Roman" w:hAnsi="Times New Roman"/>
          <w:b/>
          <w:bCs/>
          <w:sz w:val="22"/>
          <w:szCs w:val="22"/>
        </w:rPr>
        <w:t xml:space="preserve">Details of the </w:t>
      </w:r>
      <w:r w:rsidR="0060165C" w:rsidRPr="00E17963">
        <w:rPr>
          <w:rFonts w:ascii="Times New Roman" w:hAnsi="Times New Roman"/>
          <w:b/>
          <w:i/>
          <w:sz w:val="22"/>
          <w:szCs w:val="22"/>
        </w:rPr>
        <w:t>Therapeutic Goods (</w:t>
      </w:r>
      <w:r w:rsidR="0028480D" w:rsidRPr="00E17963">
        <w:rPr>
          <w:rFonts w:ascii="Times New Roman" w:hAnsi="Times New Roman"/>
          <w:b/>
          <w:i/>
          <w:sz w:val="22"/>
          <w:szCs w:val="22"/>
        </w:rPr>
        <w:t>Prescription Medicines—</w:t>
      </w:r>
      <w:r w:rsidR="00912C71" w:rsidRPr="00E17963">
        <w:rPr>
          <w:rFonts w:ascii="Times New Roman" w:hAnsi="Times New Roman"/>
          <w:b/>
          <w:i/>
          <w:sz w:val="22"/>
          <w:szCs w:val="22"/>
        </w:rPr>
        <w:t xml:space="preserve">Kind of </w:t>
      </w:r>
      <w:r w:rsidR="0028480D" w:rsidRPr="00E17963">
        <w:rPr>
          <w:rFonts w:ascii="Times New Roman" w:hAnsi="Times New Roman"/>
          <w:b/>
          <w:i/>
          <w:sz w:val="22"/>
          <w:szCs w:val="22"/>
        </w:rPr>
        <w:t>Information</w:t>
      </w:r>
      <w:r w:rsidR="005E71BE" w:rsidRPr="00E17963">
        <w:rPr>
          <w:rFonts w:ascii="Times New Roman" w:hAnsi="Times New Roman"/>
          <w:b/>
          <w:i/>
          <w:sz w:val="22"/>
          <w:szCs w:val="22"/>
        </w:rPr>
        <w:t xml:space="preserve"> that Must</w:t>
      </w:r>
      <w:r w:rsidR="0028480D" w:rsidRPr="00E17963">
        <w:rPr>
          <w:rFonts w:ascii="Times New Roman" w:hAnsi="Times New Roman"/>
          <w:b/>
          <w:i/>
          <w:sz w:val="22"/>
          <w:szCs w:val="22"/>
        </w:rPr>
        <w:t xml:space="preserve"> Accompany Application for Registration) Determination 202</w:t>
      </w:r>
      <w:r w:rsidR="00796E4B" w:rsidRPr="00E17963">
        <w:rPr>
          <w:rFonts w:ascii="Times New Roman" w:hAnsi="Times New Roman"/>
          <w:b/>
          <w:i/>
          <w:sz w:val="22"/>
          <w:szCs w:val="22"/>
        </w:rPr>
        <w:t>2</w:t>
      </w:r>
    </w:p>
    <w:p w14:paraId="5D66D061" w14:textId="77777777" w:rsidR="00294A49" w:rsidRPr="00E17963" w:rsidRDefault="00294A49" w:rsidP="00294A49">
      <w:pPr>
        <w:rPr>
          <w:rFonts w:ascii="Times New Roman" w:hAnsi="Times New Roman"/>
          <w:b/>
          <w:bCs/>
          <w:i/>
          <w:sz w:val="22"/>
          <w:szCs w:val="22"/>
        </w:rPr>
      </w:pPr>
    </w:p>
    <w:p w14:paraId="4C550D74" w14:textId="77777777" w:rsidR="00294A49" w:rsidRPr="00E17963" w:rsidRDefault="00B279BF" w:rsidP="00FD1554">
      <w:pPr>
        <w:spacing w:before="120"/>
        <w:rPr>
          <w:rFonts w:ascii="Times New Roman" w:hAnsi="Times New Roman"/>
          <w:b/>
          <w:bCs/>
          <w:sz w:val="22"/>
          <w:szCs w:val="22"/>
        </w:rPr>
      </w:pPr>
      <w:r w:rsidRPr="00E17963">
        <w:rPr>
          <w:rFonts w:ascii="Times New Roman" w:hAnsi="Times New Roman"/>
          <w:b/>
          <w:bCs/>
          <w:sz w:val="22"/>
          <w:szCs w:val="22"/>
        </w:rPr>
        <w:t>Section 1 – Name</w:t>
      </w:r>
    </w:p>
    <w:p w14:paraId="75F1EA69" w14:textId="77777777" w:rsidR="00B279BF" w:rsidRPr="00E17963" w:rsidRDefault="00B279BF" w:rsidP="00294A49">
      <w:pPr>
        <w:rPr>
          <w:rFonts w:ascii="Times New Roman" w:hAnsi="Times New Roman"/>
          <w:b/>
          <w:bCs/>
          <w:sz w:val="22"/>
          <w:szCs w:val="22"/>
        </w:rPr>
      </w:pPr>
    </w:p>
    <w:p w14:paraId="5CBAC517" w14:textId="13416E8F" w:rsidR="00B279BF" w:rsidRPr="00E17963" w:rsidRDefault="00B279BF" w:rsidP="00294A49">
      <w:pPr>
        <w:rPr>
          <w:rFonts w:ascii="Times New Roman" w:hAnsi="Times New Roman"/>
          <w:bCs/>
          <w:sz w:val="22"/>
          <w:szCs w:val="22"/>
        </w:rPr>
      </w:pPr>
      <w:r w:rsidRPr="00E17963">
        <w:rPr>
          <w:rFonts w:ascii="Times New Roman" w:hAnsi="Times New Roman"/>
          <w:bCs/>
          <w:sz w:val="22"/>
          <w:szCs w:val="22"/>
        </w:rPr>
        <w:t>This section provides that the name of th</w:t>
      </w:r>
      <w:r w:rsidR="00846A95" w:rsidRPr="00E17963">
        <w:rPr>
          <w:rFonts w:ascii="Times New Roman" w:hAnsi="Times New Roman"/>
          <w:bCs/>
          <w:sz w:val="22"/>
          <w:szCs w:val="22"/>
        </w:rPr>
        <w:t>e</w:t>
      </w:r>
      <w:r w:rsidRPr="00E17963">
        <w:rPr>
          <w:rFonts w:ascii="Times New Roman" w:hAnsi="Times New Roman"/>
          <w:bCs/>
          <w:sz w:val="22"/>
          <w:szCs w:val="22"/>
        </w:rPr>
        <w:t xml:space="preserve"> </w:t>
      </w:r>
      <w:r w:rsidR="00BB5E69" w:rsidRPr="00E17963">
        <w:rPr>
          <w:rFonts w:ascii="Times New Roman" w:hAnsi="Times New Roman"/>
          <w:bCs/>
          <w:sz w:val="22"/>
          <w:szCs w:val="22"/>
        </w:rPr>
        <w:t>instrument</w:t>
      </w:r>
      <w:r w:rsidRPr="00E17963">
        <w:rPr>
          <w:rFonts w:ascii="Times New Roman" w:hAnsi="Times New Roman"/>
          <w:bCs/>
          <w:sz w:val="22"/>
          <w:szCs w:val="22"/>
        </w:rPr>
        <w:t xml:space="preserve"> is the </w:t>
      </w:r>
      <w:r w:rsidR="0028480D" w:rsidRPr="00E17963">
        <w:rPr>
          <w:rFonts w:ascii="Times New Roman" w:hAnsi="Times New Roman"/>
          <w:i/>
          <w:sz w:val="22"/>
          <w:szCs w:val="22"/>
        </w:rPr>
        <w:t>Therapeutic Goods (Prescription Medicines—</w:t>
      </w:r>
      <w:r w:rsidR="00912C71" w:rsidRPr="00E17963">
        <w:rPr>
          <w:rFonts w:ascii="Times New Roman" w:hAnsi="Times New Roman"/>
          <w:i/>
          <w:sz w:val="22"/>
          <w:szCs w:val="22"/>
        </w:rPr>
        <w:t xml:space="preserve">Kind of </w:t>
      </w:r>
      <w:r w:rsidR="0028480D" w:rsidRPr="00E17963">
        <w:rPr>
          <w:rFonts w:ascii="Times New Roman" w:hAnsi="Times New Roman"/>
          <w:i/>
          <w:sz w:val="22"/>
          <w:szCs w:val="22"/>
        </w:rPr>
        <w:t>Information</w:t>
      </w:r>
      <w:r w:rsidR="005E71BE" w:rsidRPr="00E17963">
        <w:rPr>
          <w:rFonts w:ascii="Times New Roman" w:hAnsi="Times New Roman"/>
          <w:i/>
          <w:sz w:val="22"/>
          <w:szCs w:val="22"/>
        </w:rPr>
        <w:t xml:space="preserve"> that Must</w:t>
      </w:r>
      <w:r w:rsidR="0028480D" w:rsidRPr="00E17963">
        <w:rPr>
          <w:rFonts w:ascii="Times New Roman" w:hAnsi="Times New Roman"/>
          <w:i/>
          <w:sz w:val="22"/>
          <w:szCs w:val="22"/>
        </w:rPr>
        <w:t xml:space="preserve"> Accompany Applicatio</w:t>
      </w:r>
      <w:r w:rsidR="005E71BE" w:rsidRPr="00E17963">
        <w:rPr>
          <w:rFonts w:ascii="Times New Roman" w:hAnsi="Times New Roman"/>
          <w:i/>
          <w:sz w:val="22"/>
          <w:szCs w:val="22"/>
        </w:rPr>
        <w:t>n</w:t>
      </w:r>
      <w:r w:rsidR="0028480D" w:rsidRPr="00E17963">
        <w:rPr>
          <w:rFonts w:ascii="Times New Roman" w:hAnsi="Times New Roman"/>
          <w:i/>
          <w:sz w:val="22"/>
          <w:szCs w:val="22"/>
        </w:rPr>
        <w:t xml:space="preserve"> for Registration) Determination 202</w:t>
      </w:r>
      <w:r w:rsidR="00796E4B" w:rsidRPr="00E17963">
        <w:rPr>
          <w:rFonts w:ascii="Times New Roman" w:hAnsi="Times New Roman"/>
          <w:i/>
          <w:sz w:val="22"/>
          <w:szCs w:val="22"/>
        </w:rPr>
        <w:t>2</w:t>
      </w:r>
      <w:r w:rsidR="000836D4" w:rsidRPr="00E17963">
        <w:rPr>
          <w:rFonts w:ascii="Times New Roman" w:hAnsi="Times New Roman"/>
          <w:i/>
          <w:sz w:val="22"/>
          <w:szCs w:val="22"/>
        </w:rPr>
        <w:t xml:space="preserve"> </w:t>
      </w:r>
      <w:r w:rsidR="000836D4" w:rsidRPr="00E17963">
        <w:rPr>
          <w:rFonts w:ascii="Times New Roman" w:hAnsi="Times New Roman"/>
          <w:iCs/>
          <w:sz w:val="22"/>
          <w:szCs w:val="22"/>
        </w:rPr>
        <w:t>(“the Determination”)</w:t>
      </w:r>
      <w:r w:rsidR="00337507" w:rsidRPr="00E17963">
        <w:rPr>
          <w:rFonts w:ascii="Times New Roman" w:hAnsi="Times New Roman"/>
          <w:i/>
          <w:sz w:val="22"/>
          <w:szCs w:val="22"/>
        </w:rPr>
        <w:t>.</w:t>
      </w:r>
    </w:p>
    <w:p w14:paraId="0427E272" w14:textId="77777777" w:rsidR="00B279BF" w:rsidRPr="00E17963" w:rsidRDefault="00B279BF" w:rsidP="00294A49">
      <w:pPr>
        <w:rPr>
          <w:rFonts w:ascii="Times New Roman" w:hAnsi="Times New Roman"/>
          <w:b/>
          <w:sz w:val="22"/>
          <w:szCs w:val="22"/>
        </w:rPr>
      </w:pPr>
    </w:p>
    <w:p w14:paraId="0926CFC9" w14:textId="77777777" w:rsidR="00B279BF" w:rsidRPr="00E17963" w:rsidRDefault="00B279BF" w:rsidP="00FD1554">
      <w:pPr>
        <w:spacing w:before="120"/>
        <w:rPr>
          <w:rFonts w:ascii="Times New Roman" w:hAnsi="Times New Roman"/>
          <w:b/>
          <w:bCs/>
          <w:sz w:val="22"/>
          <w:szCs w:val="22"/>
        </w:rPr>
      </w:pPr>
      <w:r w:rsidRPr="00E17963">
        <w:rPr>
          <w:rFonts w:ascii="Times New Roman" w:hAnsi="Times New Roman"/>
          <w:b/>
          <w:bCs/>
          <w:sz w:val="22"/>
          <w:szCs w:val="22"/>
        </w:rPr>
        <w:t>Section 2 – Commencement</w:t>
      </w:r>
    </w:p>
    <w:p w14:paraId="30FE177B" w14:textId="77777777" w:rsidR="00B279BF" w:rsidRPr="00E17963" w:rsidRDefault="00B279BF" w:rsidP="00294A49">
      <w:pPr>
        <w:rPr>
          <w:rFonts w:ascii="Times New Roman" w:hAnsi="Times New Roman"/>
          <w:b/>
          <w:bCs/>
          <w:sz w:val="22"/>
          <w:szCs w:val="22"/>
        </w:rPr>
      </w:pPr>
    </w:p>
    <w:p w14:paraId="1ED78BC6" w14:textId="04DC4025" w:rsidR="00B279BF" w:rsidRPr="00E17963" w:rsidRDefault="00B279BF" w:rsidP="00294A49">
      <w:pPr>
        <w:rPr>
          <w:rFonts w:ascii="Times New Roman" w:hAnsi="Times New Roman"/>
          <w:bCs/>
          <w:sz w:val="22"/>
          <w:szCs w:val="22"/>
        </w:rPr>
      </w:pPr>
      <w:r w:rsidRPr="00E17963">
        <w:rPr>
          <w:rFonts w:ascii="Times New Roman" w:hAnsi="Times New Roman"/>
          <w:bCs/>
          <w:sz w:val="22"/>
          <w:szCs w:val="22"/>
        </w:rPr>
        <w:t xml:space="preserve">This section provides that </w:t>
      </w:r>
      <w:r w:rsidR="00846A95" w:rsidRPr="00E17963">
        <w:rPr>
          <w:rFonts w:ascii="Times New Roman" w:hAnsi="Times New Roman"/>
          <w:bCs/>
          <w:sz w:val="22"/>
          <w:szCs w:val="22"/>
        </w:rPr>
        <w:t xml:space="preserve">the </w:t>
      </w:r>
      <w:r w:rsidR="006667BD" w:rsidRPr="00E17963">
        <w:rPr>
          <w:rFonts w:ascii="Times New Roman" w:hAnsi="Times New Roman"/>
          <w:bCs/>
          <w:sz w:val="22"/>
          <w:szCs w:val="22"/>
        </w:rPr>
        <w:t xml:space="preserve">Determination </w:t>
      </w:r>
      <w:r w:rsidR="00846A95" w:rsidRPr="00E17963">
        <w:rPr>
          <w:rFonts w:ascii="Times New Roman" w:hAnsi="Times New Roman"/>
          <w:bCs/>
          <w:sz w:val="22"/>
          <w:szCs w:val="22"/>
        </w:rPr>
        <w:t>commence</w:t>
      </w:r>
      <w:r w:rsidR="00617DE2" w:rsidRPr="00E17963">
        <w:rPr>
          <w:rFonts w:ascii="Times New Roman" w:hAnsi="Times New Roman"/>
          <w:bCs/>
          <w:sz w:val="22"/>
          <w:szCs w:val="22"/>
        </w:rPr>
        <w:t>s on the day after registration on the Federal Register of Legislation</w:t>
      </w:r>
      <w:r w:rsidR="000836D4" w:rsidRPr="00E17963">
        <w:rPr>
          <w:rFonts w:ascii="Times New Roman" w:hAnsi="Times New Roman"/>
          <w:bCs/>
          <w:sz w:val="22"/>
          <w:szCs w:val="22"/>
        </w:rPr>
        <w:t>.</w:t>
      </w:r>
    </w:p>
    <w:p w14:paraId="4E19E659" w14:textId="77777777" w:rsidR="00B279BF" w:rsidRPr="00E17963" w:rsidRDefault="00B279BF" w:rsidP="00294A49">
      <w:pPr>
        <w:rPr>
          <w:rFonts w:ascii="Times New Roman" w:hAnsi="Times New Roman"/>
          <w:b/>
          <w:bCs/>
          <w:sz w:val="22"/>
          <w:szCs w:val="22"/>
        </w:rPr>
      </w:pPr>
    </w:p>
    <w:p w14:paraId="0AE54515" w14:textId="317A5EDA" w:rsidR="0040666F" w:rsidRPr="00E17963" w:rsidRDefault="0040666F" w:rsidP="00FD1554">
      <w:pPr>
        <w:spacing w:before="120"/>
        <w:rPr>
          <w:rFonts w:ascii="Times New Roman" w:hAnsi="Times New Roman"/>
          <w:b/>
          <w:bCs/>
          <w:sz w:val="22"/>
          <w:szCs w:val="22"/>
        </w:rPr>
      </w:pPr>
      <w:r w:rsidRPr="00E17963">
        <w:rPr>
          <w:rFonts w:ascii="Times New Roman" w:hAnsi="Times New Roman"/>
          <w:b/>
          <w:bCs/>
          <w:sz w:val="22"/>
          <w:szCs w:val="22"/>
        </w:rPr>
        <w:t>Section 3 – Authority</w:t>
      </w:r>
    </w:p>
    <w:p w14:paraId="47AB7162" w14:textId="3E95AEB5" w:rsidR="0040666F" w:rsidRPr="00E17963" w:rsidRDefault="0040666F" w:rsidP="00294A49">
      <w:pPr>
        <w:rPr>
          <w:rFonts w:ascii="Times New Roman" w:hAnsi="Times New Roman"/>
          <w:b/>
          <w:bCs/>
          <w:sz w:val="22"/>
          <w:szCs w:val="22"/>
        </w:rPr>
      </w:pPr>
    </w:p>
    <w:p w14:paraId="0F5C239C" w14:textId="58657670" w:rsidR="0040666F" w:rsidRPr="00E17963" w:rsidRDefault="0040666F" w:rsidP="00294A49">
      <w:pPr>
        <w:rPr>
          <w:rFonts w:ascii="Times New Roman" w:hAnsi="Times New Roman"/>
          <w:sz w:val="22"/>
          <w:szCs w:val="22"/>
        </w:rPr>
      </w:pPr>
      <w:r w:rsidRPr="00E17963">
        <w:rPr>
          <w:rFonts w:ascii="Times New Roman" w:hAnsi="Times New Roman"/>
          <w:sz w:val="22"/>
          <w:szCs w:val="22"/>
        </w:rPr>
        <w:t>This section provides that the legislative authority for making the Determination is subsection</w:t>
      </w:r>
      <w:r w:rsidR="00933626" w:rsidRPr="00E17963">
        <w:rPr>
          <w:rFonts w:ascii="Times New Roman" w:hAnsi="Times New Roman"/>
          <w:sz w:val="22"/>
          <w:szCs w:val="22"/>
        </w:rPr>
        <w:t> </w:t>
      </w:r>
      <w:r w:rsidRPr="00E17963">
        <w:rPr>
          <w:rFonts w:ascii="Times New Roman" w:hAnsi="Times New Roman"/>
          <w:sz w:val="22"/>
          <w:szCs w:val="22"/>
        </w:rPr>
        <w:t>23</w:t>
      </w:r>
      <w:proofErr w:type="gramStart"/>
      <w:r w:rsidRPr="00E17963">
        <w:rPr>
          <w:rFonts w:ascii="Times New Roman" w:hAnsi="Times New Roman"/>
          <w:sz w:val="22"/>
          <w:szCs w:val="22"/>
        </w:rPr>
        <w:t>B(</w:t>
      </w:r>
      <w:proofErr w:type="gramEnd"/>
      <w:r w:rsidR="00617DE2" w:rsidRPr="00E17963">
        <w:rPr>
          <w:rFonts w:ascii="Times New Roman" w:hAnsi="Times New Roman"/>
          <w:sz w:val="22"/>
          <w:szCs w:val="22"/>
        </w:rPr>
        <w:t>9</w:t>
      </w:r>
      <w:r w:rsidRPr="00E17963">
        <w:rPr>
          <w:rFonts w:ascii="Times New Roman" w:hAnsi="Times New Roman"/>
          <w:sz w:val="22"/>
          <w:szCs w:val="22"/>
        </w:rPr>
        <w:t xml:space="preserve">) of the </w:t>
      </w:r>
      <w:r w:rsidR="00560B2A" w:rsidRPr="00E17963">
        <w:rPr>
          <w:rFonts w:ascii="Times New Roman" w:hAnsi="Times New Roman"/>
          <w:i/>
          <w:iCs/>
          <w:sz w:val="22"/>
          <w:szCs w:val="22"/>
        </w:rPr>
        <w:t xml:space="preserve">Therapeutic Goods Act 1989 </w:t>
      </w:r>
      <w:r w:rsidR="00560B2A" w:rsidRPr="00E17963">
        <w:rPr>
          <w:rFonts w:ascii="Times New Roman" w:hAnsi="Times New Roman"/>
          <w:sz w:val="22"/>
          <w:szCs w:val="22"/>
        </w:rPr>
        <w:t xml:space="preserve">(“the </w:t>
      </w:r>
      <w:r w:rsidRPr="00E17963">
        <w:rPr>
          <w:rFonts w:ascii="Times New Roman" w:hAnsi="Times New Roman"/>
          <w:sz w:val="22"/>
          <w:szCs w:val="22"/>
        </w:rPr>
        <w:t>Act</w:t>
      </w:r>
      <w:r w:rsidR="00560B2A" w:rsidRPr="00E17963">
        <w:rPr>
          <w:rFonts w:ascii="Times New Roman" w:hAnsi="Times New Roman"/>
          <w:sz w:val="22"/>
          <w:szCs w:val="22"/>
        </w:rPr>
        <w:t>”)</w:t>
      </w:r>
      <w:r w:rsidRPr="00E17963">
        <w:rPr>
          <w:rFonts w:ascii="Times New Roman" w:hAnsi="Times New Roman"/>
          <w:sz w:val="22"/>
          <w:szCs w:val="22"/>
        </w:rPr>
        <w:t>.</w:t>
      </w:r>
    </w:p>
    <w:p w14:paraId="16F71FBE" w14:textId="77777777" w:rsidR="0040666F" w:rsidRPr="00E17963" w:rsidRDefault="0040666F" w:rsidP="00294A49">
      <w:pPr>
        <w:rPr>
          <w:rFonts w:ascii="Times New Roman" w:hAnsi="Times New Roman"/>
          <w:b/>
          <w:bCs/>
          <w:sz w:val="22"/>
          <w:szCs w:val="22"/>
        </w:rPr>
      </w:pPr>
    </w:p>
    <w:p w14:paraId="52A6BFBE" w14:textId="68058CFD" w:rsidR="00B279BF" w:rsidRPr="00E17963" w:rsidRDefault="00B279BF" w:rsidP="00FD1554">
      <w:pPr>
        <w:spacing w:before="120"/>
        <w:rPr>
          <w:rFonts w:ascii="Times New Roman" w:hAnsi="Times New Roman"/>
          <w:b/>
          <w:bCs/>
          <w:sz w:val="22"/>
          <w:szCs w:val="22"/>
        </w:rPr>
      </w:pPr>
      <w:r w:rsidRPr="00E17963">
        <w:rPr>
          <w:rFonts w:ascii="Times New Roman" w:hAnsi="Times New Roman"/>
          <w:b/>
          <w:bCs/>
          <w:sz w:val="22"/>
          <w:szCs w:val="22"/>
        </w:rPr>
        <w:t xml:space="preserve">Section </w:t>
      </w:r>
      <w:r w:rsidR="0040666F" w:rsidRPr="00E17963">
        <w:rPr>
          <w:rFonts w:ascii="Times New Roman" w:hAnsi="Times New Roman"/>
          <w:b/>
          <w:bCs/>
          <w:sz w:val="22"/>
          <w:szCs w:val="22"/>
        </w:rPr>
        <w:t>4</w:t>
      </w:r>
      <w:r w:rsidRPr="00E17963">
        <w:rPr>
          <w:rFonts w:ascii="Times New Roman" w:hAnsi="Times New Roman"/>
          <w:b/>
          <w:bCs/>
          <w:sz w:val="22"/>
          <w:szCs w:val="22"/>
        </w:rPr>
        <w:t xml:space="preserve"> – </w:t>
      </w:r>
      <w:r w:rsidR="00116077" w:rsidRPr="00E17963">
        <w:rPr>
          <w:rFonts w:ascii="Times New Roman" w:hAnsi="Times New Roman"/>
          <w:b/>
          <w:bCs/>
          <w:sz w:val="22"/>
          <w:szCs w:val="22"/>
        </w:rPr>
        <w:t>Definitions</w:t>
      </w:r>
    </w:p>
    <w:p w14:paraId="6216CCF0" w14:textId="77777777" w:rsidR="00B279BF" w:rsidRPr="00E17963" w:rsidRDefault="00B279BF" w:rsidP="00294A49">
      <w:pPr>
        <w:rPr>
          <w:rFonts w:ascii="Times New Roman" w:hAnsi="Times New Roman"/>
          <w:b/>
          <w:bCs/>
          <w:sz w:val="22"/>
          <w:szCs w:val="22"/>
        </w:rPr>
      </w:pPr>
    </w:p>
    <w:p w14:paraId="1FC10920" w14:textId="42F6F310" w:rsidR="00D41D94" w:rsidRPr="00E17963" w:rsidRDefault="00E02B26" w:rsidP="00B279BF">
      <w:pPr>
        <w:rPr>
          <w:rFonts w:ascii="Times New Roman" w:hAnsi="Times New Roman"/>
          <w:bCs/>
          <w:sz w:val="22"/>
          <w:szCs w:val="22"/>
        </w:rPr>
      </w:pPr>
      <w:r w:rsidRPr="00E17963">
        <w:rPr>
          <w:rFonts w:ascii="Times New Roman" w:hAnsi="Times New Roman"/>
          <w:bCs/>
          <w:sz w:val="22"/>
          <w:szCs w:val="22"/>
        </w:rPr>
        <w:t xml:space="preserve">This section provides the definitions of </w:t>
      </w:r>
      <w:r w:rsidR="00A15F26" w:rsidRPr="00E17963">
        <w:rPr>
          <w:rFonts w:ascii="Times New Roman" w:hAnsi="Times New Roman"/>
          <w:bCs/>
          <w:sz w:val="22"/>
          <w:szCs w:val="22"/>
        </w:rPr>
        <w:t>certain</w:t>
      </w:r>
      <w:r w:rsidRPr="00E17963">
        <w:rPr>
          <w:rFonts w:ascii="Times New Roman" w:hAnsi="Times New Roman"/>
          <w:bCs/>
          <w:sz w:val="22"/>
          <w:szCs w:val="22"/>
        </w:rPr>
        <w:t xml:space="preserve"> terms used in the Determination</w:t>
      </w:r>
      <w:r w:rsidR="00E17963" w:rsidRPr="00E17963">
        <w:rPr>
          <w:rFonts w:ascii="Times New Roman" w:hAnsi="Times New Roman"/>
          <w:bCs/>
          <w:sz w:val="22"/>
          <w:szCs w:val="22"/>
        </w:rPr>
        <w:t xml:space="preserve"> </w:t>
      </w:r>
      <w:r w:rsidR="00172B38" w:rsidRPr="00E17963">
        <w:rPr>
          <w:rFonts w:ascii="Times New Roman" w:hAnsi="Times New Roman"/>
          <w:bCs/>
          <w:sz w:val="22"/>
          <w:szCs w:val="22"/>
        </w:rPr>
        <w:t>that are not otherwise defined in the Act</w:t>
      </w:r>
      <w:r w:rsidR="00E17963" w:rsidRPr="00E17963">
        <w:rPr>
          <w:rFonts w:ascii="Times New Roman" w:hAnsi="Times New Roman"/>
          <w:bCs/>
          <w:sz w:val="22"/>
          <w:szCs w:val="22"/>
        </w:rPr>
        <w:t>.</w:t>
      </w:r>
      <w:r w:rsidRPr="00E17963">
        <w:rPr>
          <w:rFonts w:ascii="Times New Roman" w:hAnsi="Times New Roman"/>
          <w:bCs/>
          <w:sz w:val="22"/>
          <w:szCs w:val="22"/>
        </w:rPr>
        <w:t xml:space="preserve"> </w:t>
      </w:r>
      <w:r w:rsidR="000C3A89" w:rsidRPr="00E17963">
        <w:rPr>
          <w:rFonts w:ascii="Times New Roman" w:hAnsi="Times New Roman"/>
          <w:bCs/>
          <w:sz w:val="22"/>
          <w:szCs w:val="22"/>
        </w:rPr>
        <w:t xml:space="preserve"> </w:t>
      </w:r>
      <w:r w:rsidRPr="00E17963">
        <w:rPr>
          <w:rFonts w:ascii="Times New Roman" w:hAnsi="Times New Roman"/>
          <w:bCs/>
          <w:sz w:val="22"/>
          <w:szCs w:val="22"/>
        </w:rPr>
        <w:t xml:space="preserve">This section also </w:t>
      </w:r>
      <w:r w:rsidR="003542E9" w:rsidRPr="00E17963">
        <w:rPr>
          <w:rFonts w:ascii="Times New Roman" w:hAnsi="Times New Roman"/>
          <w:bCs/>
          <w:sz w:val="22"/>
          <w:szCs w:val="22"/>
        </w:rPr>
        <w:t xml:space="preserve">notes </w:t>
      </w:r>
      <w:r w:rsidRPr="00E17963">
        <w:rPr>
          <w:rFonts w:ascii="Times New Roman" w:hAnsi="Times New Roman"/>
          <w:bCs/>
          <w:sz w:val="22"/>
          <w:szCs w:val="22"/>
        </w:rPr>
        <w:t xml:space="preserve">that </w:t>
      </w:r>
      <w:r w:rsidR="0040666F" w:rsidRPr="00E17963">
        <w:rPr>
          <w:rFonts w:ascii="Times New Roman" w:hAnsi="Times New Roman"/>
          <w:bCs/>
          <w:sz w:val="22"/>
          <w:szCs w:val="22"/>
        </w:rPr>
        <w:t>a number of</w:t>
      </w:r>
      <w:r w:rsidRPr="00E17963">
        <w:rPr>
          <w:rFonts w:ascii="Times New Roman" w:hAnsi="Times New Roman"/>
          <w:bCs/>
          <w:sz w:val="22"/>
          <w:szCs w:val="22"/>
        </w:rPr>
        <w:t xml:space="preserve"> expression</w:t>
      </w:r>
      <w:r w:rsidR="009F1610" w:rsidRPr="00E17963">
        <w:rPr>
          <w:rFonts w:ascii="Times New Roman" w:hAnsi="Times New Roman"/>
          <w:bCs/>
          <w:sz w:val="22"/>
          <w:szCs w:val="22"/>
        </w:rPr>
        <w:t>s</w:t>
      </w:r>
      <w:r w:rsidR="0040666F" w:rsidRPr="00E17963">
        <w:rPr>
          <w:rFonts w:ascii="Times New Roman" w:hAnsi="Times New Roman"/>
          <w:bCs/>
          <w:sz w:val="22"/>
          <w:szCs w:val="22"/>
        </w:rPr>
        <w:t xml:space="preserve"> used in the Determination, including</w:t>
      </w:r>
      <w:r w:rsidRPr="00E17963">
        <w:rPr>
          <w:rFonts w:ascii="Times New Roman" w:hAnsi="Times New Roman"/>
          <w:bCs/>
          <w:sz w:val="22"/>
          <w:szCs w:val="22"/>
        </w:rPr>
        <w:t xml:space="preserve"> ‘</w:t>
      </w:r>
      <w:r w:rsidR="009F1610" w:rsidRPr="00E17963">
        <w:rPr>
          <w:rFonts w:ascii="Times New Roman" w:hAnsi="Times New Roman"/>
          <w:bCs/>
          <w:sz w:val="22"/>
          <w:szCs w:val="22"/>
        </w:rPr>
        <w:t>medicine</w:t>
      </w:r>
      <w:r w:rsidRPr="00E17963">
        <w:rPr>
          <w:rFonts w:ascii="Times New Roman" w:hAnsi="Times New Roman"/>
          <w:bCs/>
          <w:sz w:val="22"/>
          <w:szCs w:val="22"/>
        </w:rPr>
        <w:t>’</w:t>
      </w:r>
      <w:r w:rsidR="009F1610" w:rsidRPr="00E17963">
        <w:rPr>
          <w:rFonts w:ascii="Times New Roman" w:hAnsi="Times New Roman"/>
          <w:bCs/>
          <w:sz w:val="22"/>
          <w:szCs w:val="22"/>
        </w:rPr>
        <w:t xml:space="preserve"> and ‘registered goods’</w:t>
      </w:r>
      <w:r w:rsidR="0040666F" w:rsidRPr="00E17963">
        <w:rPr>
          <w:rFonts w:ascii="Times New Roman" w:hAnsi="Times New Roman"/>
          <w:bCs/>
          <w:sz w:val="22"/>
          <w:szCs w:val="22"/>
        </w:rPr>
        <w:t>,</w:t>
      </w:r>
      <w:r w:rsidRPr="00E17963">
        <w:rPr>
          <w:rFonts w:ascii="Times New Roman" w:hAnsi="Times New Roman"/>
          <w:bCs/>
          <w:sz w:val="22"/>
          <w:szCs w:val="22"/>
        </w:rPr>
        <w:t xml:space="preserve"> ha</w:t>
      </w:r>
      <w:r w:rsidR="0040666F" w:rsidRPr="00E17963">
        <w:rPr>
          <w:rFonts w:ascii="Times New Roman" w:hAnsi="Times New Roman"/>
          <w:bCs/>
          <w:sz w:val="22"/>
          <w:szCs w:val="22"/>
        </w:rPr>
        <w:t>ve</w:t>
      </w:r>
      <w:r w:rsidRPr="00E17963">
        <w:rPr>
          <w:rFonts w:ascii="Times New Roman" w:hAnsi="Times New Roman"/>
          <w:bCs/>
          <w:sz w:val="22"/>
          <w:szCs w:val="22"/>
        </w:rPr>
        <w:t xml:space="preserve"> the same meaning as in the Act</w:t>
      </w:r>
      <w:r w:rsidR="00B07040" w:rsidRPr="00E17963">
        <w:rPr>
          <w:rFonts w:ascii="Times New Roman" w:hAnsi="Times New Roman"/>
          <w:bCs/>
          <w:sz w:val="22"/>
          <w:szCs w:val="22"/>
        </w:rPr>
        <w:t>.</w:t>
      </w:r>
    </w:p>
    <w:p w14:paraId="4B87E6B8" w14:textId="77777777" w:rsidR="004B7DFF" w:rsidRPr="00E17963" w:rsidRDefault="004B7DFF" w:rsidP="00B279BF">
      <w:pPr>
        <w:rPr>
          <w:rFonts w:ascii="Times New Roman" w:hAnsi="Times New Roman"/>
          <w:b/>
          <w:strike/>
          <w:sz w:val="22"/>
          <w:szCs w:val="22"/>
        </w:rPr>
      </w:pPr>
    </w:p>
    <w:p w14:paraId="37AAEF5F" w14:textId="0BF93BC2" w:rsidR="00BA366D" w:rsidRPr="00E17963" w:rsidRDefault="00BA366D" w:rsidP="00FD1554">
      <w:pPr>
        <w:spacing w:before="120"/>
        <w:rPr>
          <w:rFonts w:ascii="Times New Roman" w:hAnsi="Times New Roman"/>
          <w:b/>
          <w:bCs/>
          <w:sz w:val="22"/>
          <w:szCs w:val="22"/>
        </w:rPr>
      </w:pPr>
      <w:r w:rsidRPr="00E17963">
        <w:rPr>
          <w:rFonts w:ascii="Times New Roman" w:hAnsi="Times New Roman"/>
          <w:b/>
          <w:bCs/>
          <w:sz w:val="22"/>
          <w:szCs w:val="22"/>
        </w:rPr>
        <w:t xml:space="preserve">Section </w:t>
      </w:r>
      <w:r w:rsidR="0040666F" w:rsidRPr="00E17963">
        <w:rPr>
          <w:rFonts w:ascii="Times New Roman" w:hAnsi="Times New Roman"/>
          <w:b/>
          <w:bCs/>
          <w:sz w:val="22"/>
          <w:szCs w:val="22"/>
        </w:rPr>
        <w:t>5</w:t>
      </w:r>
      <w:r w:rsidRPr="00E17963">
        <w:rPr>
          <w:rFonts w:ascii="Times New Roman" w:hAnsi="Times New Roman"/>
          <w:b/>
          <w:bCs/>
          <w:sz w:val="22"/>
          <w:szCs w:val="22"/>
        </w:rPr>
        <w:t xml:space="preserve"> </w:t>
      </w:r>
      <w:r w:rsidR="00487413" w:rsidRPr="00E17963">
        <w:rPr>
          <w:rFonts w:ascii="Times New Roman" w:hAnsi="Times New Roman"/>
          <w:b/>
          <w:bCs/>
          <w:sz w:val="22"/>
          <w:szCs w:val="22"/>
        </w:rPr>
        <w:t>–</w:t>
      </w:r>
      <w:r w:rsidRPr="00E17963">
        <w:rPr>
          <w:rFonts w:ascii="Times New Roman" w:hAnsi="Times New Roman"/>
          <w:b/>
          <w:bCs/>
          <w:sz w:val="22"/>
          <w:szCs w:val="22"/>
        </w:rPr>
        <w:t xml:space="preserve"> </w:t>
      </w:r>
      <w:r w:rsidR="00487413" w:rsidRPr="00E17963">
        <w:rPr>
          <w:rFonts w:ascii="Times New Roman" w:hAnsi="Times New Roman"/>
          <w:b/>
          <w:bCs/>
          <w:sz w:val="22"/>
          <w:szCs w:val="22"/>
        </w:rPr>
        <w:t>Application</w:t>
      </w:r>
    </w:p>
    <w:p w14:paraId="33ADD0C6" w14:textId="77777777" w:rsidR="00BA366D" w:rsidRPr="00E17963" w:rsidRDefault="00BA366D" w:rsidP="00BA366D">
      <w:pPr>
        <w:rPr>
          <w:rFonts w:ascii="Times New Roman" w:hAnsi="Times New Roman"/>
          <w:b/>
          <w:bCs/>
          <w:strike/>
          <w:sz w:val="22"/>
          <w:szCs w:val="22"/>
        </w:rPr>
      </w:pPr>
    </w:p>
    <w:p w14:paraId="60968A66" w14:textId="2132472C" w:rsidR="005327F5" w:rsidRPr="00E17963" w:rsidRDefault="00487413" w:rsidP="00BA366D">
      <w:pPr>
        <w:rPr>
          <w:rFonts w:ascii="Times New Roman" w:hAnsi="Times New Roman"/>
          <w:bCs/>
          <w:sz w:val="22"/>
          <w:szCs w:val="22"/>
        </w:rPr>
      </w:pPr>
      <w:r w:rsidRPr="00E17963">
        <w:rPr>
          <w:rFonts w:ascii="Times New Roman" w:hAnsi="Times New Roman"/>
          <w:bCs/>
          <w:sz w:val="22"/>
          <w:szCs w:val="22"/>
        </w:rPr>
        <w:t>This section provides that the Determination applies</w:t>
      </w:r>
      <w:r w:rsidR="00B05C36" w:rsidRPr="00E17963">
        <w:rPr>
          <w:rFonts w:ascii="Times New Roman" w:hAnsi="Times New Roman"/>
          <w:bCs/>
          <w:sz w:val="22"/>
          <w:szCs w:val="22"/>
        </w:rPr>
        <w:t xml:space="preserve"> to medicines of the class specified in paragraph 4(1)(a) of the </w:t>
      </w:r>
      <w:r w:rsidR="00B05C36" w:rsidRPr="00E17963">
        <w:rPr>
          <w:rFonts w:ascii="Times New Roman" w:hAnsi="Times New Roman"/>
          <w:bCs/>
          <w:i/>
          <w:iCs/>
          <w:sz w:val="22"/>
          <w:szCs w:val="22"/>
        </w:rPr>
        <w:t>Therapeutic Goods (Classes of Therapeutic Goods) Instrument 2018</w:t>
      </w:r>
      <w:r w:rsidR="00A01D86" w:rsidRPr="00E17963">
        <w:rPr>
          <w:rFonts w:ascii="Times New Roman" w:hAnsi="Times New Roman"/>
          <w:bCs/>
          <w:sz w:val="22"/>
          <w:szCs w:val="22"/>
        </w:rPr>
        <w:t>.</w:t>
      </w:r>
      <w:r w:rsidR="00E17963" w:rsidRPr="00E17963">
        <w:rPr>
          <w:rFonts w:ascii="Times New Roman" w:hAnsi="Times New Roman"/>
          <w:bCs/>
          <w:sz w:val="22"/>
          <w:szCs w:val="22"/>
        </w:rPr>
        <w:t xml:space="preserve">  </w:t>
      </w:r>
      <w:r w:rsidR="00A01D86" w:rsidRPr="00E17963">
        <w:rPr>
          <w:rFonts w:ascii="Times New Roman" w:hAnsi="Times New Roman"/>
          <w:bCs/>
          <w:sz w:val="22"/>
          <w:szCs w:val="22"/>
        </w:rPr>
        <w:t xml:space="preserve">These medicines include prescription and other medicines specified in items 1 to 13 of Part 1 of Schedule 10 to the </w:t>
      </w:r>
      <w:r w:rsidR="00A01D86" w:rsidRPr="00E17963">
        <w:rPr>
          <w:rFonts w:ascii="Times New Roman" w:hAnsi="Times New Roman"/>
          <w:bCs/>
          <w:i/>
          <w:iCs/>
          <w:sz w:val="22"/>
          <w:szCs w:val="22"/>
        </w:rPr>
        <w:t>Therapeutic Goods Regulations 1990</w:t>
      </w:r>
      <w:r w:rsidR="00A01D86" w:rsidRPr="00E17963">
        <w:rPr>
          <w:rFonts w:ascii="Times New Roman" w:hAnsi="Times New Roman"/>
          <w:bCs/>
          <w:sz w:val="22"/>
          <w:szCs w:val="22"/>
        </w:rPr>
        <w:t xml:space="preserve">, nasal </w:t>
      </w:r>
      <w:proofErr w:type="gramStart"/>
      <w:r w:rsidR="00A01D86" w:rsidRPr="00E17963">
        <w:rPr>
          <w:rFonts w:ascii="Times New Roman" w:hAnsi="Times New Roman"/>
          <w:bCs/>
          <w:sz w:val="22"/>
          <w:szCs w:val="22"/>
        </w:rPr>
        <w:t>corticosteroids</w:t>
      </w:r>
      <w:proofErr w:type="gramEnd"/>
      <w:r w:rsidR="00A01D86" w:rsidRPr="00E17963">
        <w:rPr>
          <w:rFonts w:ascii="Times New Roman" w:hAnsi="Times New Roman"/>
          <w:bCs/>
          <w:sz w:val="22"/>
          <w:szCs w:val="22"/>
        </w:rPr>
        <w:t xml:space="preserve"> and metered dose asthma inhalers</w:t>
      </w:r>
      <w:r w:rsidR="00B05C36" w:rsidRPr="00E17963">
        <w:rPr>
          <w:rFonts w:ascii="Times New Roman" w:hAnsi="Times New Roman"/>
          <w:bCs/>
          <w:sz w:val="22"/>
          <w:szCs w:val="22"/>
        </w:rPr>
        <w:t>.</w:t>
      </w:r>
    </w:p>
    <w:p w14:paraId="0B390D96" w14:textId="26CAE612" w:rsidR="0040666F" w:rsidRPr="00E17963" w:rsidRDefault="0040666F" w:rsidP="00BA366D">
      <w:pPr>
        <w:rPr>
          <w:rFonts w:ascii="Times New Roman" w:hAnsi="Times New Roman"/>
          <w:b/>
          <w:sz w:val="22"/>
          <w:szCs w:val="22"/>
        </w:rPr>
      </w:pPr>
    </w:p>
    <w:p w14:paraId="50E90B51" w14:textId="6729FDCF" w:rsidR="0040666F" w:rsidRPr="00E17963" w:rsidRDefault="0040666F" w:rsidP="00BA366D">
      <w:pPr>
        <w:rPr>
          <w:rFonts w:ascii="Times New Roman" w:hAnsi="Times New Roman"/>
          <w:bCs/>
          <w:sz w:val="22"/>
          <w:szCs w:val="22"/>
        </w:rPr>
      </w:pPr>
      <w:r w:rsidRPr="00E17963">
        <w:rPr>
          <w:rFonts w:ascii="Times New Roman" w:hAnsi="Times New Roman"/>
          <w:bCs/>
          <w:sz w:val="22"/>
          <w:szCs w:val="22"/>
        </w:rPr>
        <w:t xml:space="preserve">The note to this section highlights that the </w:t>
      </w:r>
      <w:r w:rsidRPr="00E17963">
        <w:rPr>
          <w:rFonts w:ascii="Times New Roman" w:hAnsi="Times New Roman"/>
          <w:bCs/>
          <w:i/>
          <w:iCs/>
          <w:sz w:val="22"/>
          <w:szCs w:val="22"/>
        </w:rPr>
        <w:t xml:space="preserve">Therapeutic Goods (Classes of Therapeutic Goods) Instrument 2018 </w:t>
      </w:r>
      <w:r w:rsidRPr="00E17963">
        <w:rPr>
          <w:rFonts w:ascii="Times New Roman" w:hAnsi="Times New Roman"/>
          <w:bCs/>
          <w:sz w:val="22"/>
          <w:szCs w:val="22"/>
        </w:rPr>
        <w:t>is a notifiable instrument and is published on the Federal Register of Legislation at www.legislation.gov.au.</w:t>
      </w:r>
    </w:p>
    <w:p w14:paraId="4693BF5F" w14:textId="77777777" w:rsidR="00487413" w:rsidRPr="00E17963" w:rsidRDefault="00487413" w:rsidP="00294A49">
      <w:pPr>
        <w:rPr>
          <w:rFonts w:ascii="Times New Roman" w:hAnsi="Times New Roman"/>
          <w:b/>
          <w:bCs/>
          <w:sz w:val="22"/>
          <w:szCs w:val="22"/>
        </w:rPr>
      </w:pPr>
    </w:p>
    <w:p w14:paraId="2D218903" w14:textId="515B1B98" w:rsidR="000D45DC" w:rsidRPr="00E17963" w:rsidRDefault="000D45DC" w:rsidP="00FD1554">
      <w:pPr>
        <w:spacing w:before="120"/>
        <w:rPr>
          <w:rFonts w:ascii="Times New Roman" w:hAnsi="Times New Roman"/>
          <w:b/>
          <w:bCs/>
          <w:sz w:val="22"/>
          <w:szCs w:val="22"/>
        </w:rPr>
      </w:pPr>
      <w:r w:rsidRPr="00E17963">
        <w:rPr>
          <w:rFonts w:ascii="Times New Roman" w:hAnsi="Times New Roman"/>
          <w:b/>
          <w:bCs/>
          <w:sz w:val="22"/>
          <w:szCs w:val="22"/>
        </w:rPr>
        <w:t xml:space="preserve">Section </w:t>
      </w:r>
      <w:r w:rsidR="002F3953" w:rsidRPr="00E17963">
        <w:rPr>
          <w:rFonts w:ascii="Times New Roman" w:hAnsi="Times New Roman"/>
          <w:b/>
          <w:bCs/>
          <w:sz w:val="22"/>
          <w:szCs w:val="22"/>
        </w:rPr>
        <w:t>6</w:t>
      </w:r>
      <w:r w:rsidRPr="00E17963">
        <w:rPr>
          <w:rFonts w:ascii="Times New Roman" w:hAnsi="Times New Roman"/>
          <w:b/>
          <w:bCs/>
          <w:sz w:val="22"/>
          <w:szCs w:val="22"/>
        </w:rPr>
        <w:t xml:space="preserve"> – </w:t>
      </w:r>
      <w:r w:rsidR="00617DE2" w:rsidRPr="00E17963">
        <w:rPr>
          <w:rFonts w:ascii="Times New Roman" w:hAnsi="Times New Roman"/>
          <w:b/>
          <w:bCs/>
          <w:sz w:val="22"/>
          <w:szCs w:val="22"/>
        </w:rPr>
        <w:t>Kind</w:t>
      </w:r>
      <w:r w:rsidR="00487413" w:rsidRPr="00E17963">
        <w:rPr>
          <w:rFonts w:ascii="Times New Roman" w:hAnsi="Times New Roman"/>
          <w:b/>
          <w:bCs/>
          <w:sz w:val="22"/>
          <w:szCs w:val="22"/>
        </w:rPr>
        <w:t xml:space="preserve"> of </w:t>
      </w:r>
      <w:r w:rsidR="009F1610" w:rsidRPr="00E17963">
        <w:rPr>
          <w:rFonts w:ascii="Times New Roman" w:hAnsi="Times New Roman"/>
          <w:b/>
          <w:bCs/>
          <w:sz w:val="22"/>
          <w:szCs w:val="22"/>
        </w:rPr>
        <w:t>information</w:t>
      </w:r>
    </w:p>
    <w:p w14:paraId="7A920856" w14:textId="77777777" w:rsidR="000D45DC" w:rsidRPr="00E17963" w:rsidRDefault="000D45DC" w:rsidP="000D45DC">
      <w:pPr>
        <w:rPr>
          <w:rFonts w:ascii="Times New Roman" w:hAnsi="Times New Roman"/>
          <w:b/>
          <w:bCs/>
          <w:strike/>
          <w:sz w:val="22"/>
          <w:szCs w:val="22"/>
        </w:rPr>
      </w:pPr>
    </w:p>
    <w:p w14:paraId="780C1C7D" w14:textId="7F73BFD5" w:rsidR="00617DE2" w:rsidRPr="00E17963" w:rsidRDefault="004B7DFF" w:rsidP="00617DE2">
      <w:pPr>
        <w:rPr>
          <w:rFonts w:ascii="Times New Roman" w:hAnsi="Times New Roman"/>
          <w:bCs/>
          <w:sz w:val="22"/>
          <w:szCs w:val="22"/>
        </w:rPr>
      </w:pPr>
      <w:r w:rsidRPr="00E17963">
        <w:rPr>
          <w:rFonts w:ascii="Times New Roman" w:hAnsi="Times New Roman"/>
          <w:bCs/>
          <w:sz w:val="22"/>
          <w:szCs w:val="22"/>
        </w:rPr>
        <w:t xml:space="preserve">This section </w:t>
      </w:r>
      <w:r w:rsidR="0040666F" w:rsidRPr="00E17963">
        <w:rPr>
          <w:rFonts w:ascii="Times New Roman" w:hAnsi="Times New Roman"/>
          <w:bCs/>
          <w:sz w:val="22"/>
          <w:szCs w:val="22"/>
        </w:rPr>
        <w:t>provides</w:t>
      </w:r>
      <w:r w:rsidR="00467116" w:rsidRPr="00E17963">
        <w:rPr>
          <w:rFonts w:ascii="Times New Roman" w:hAnsi="Times New Roman"/>
          <w:bCs/>
          <w:sz w:val="22"/>
          <w:szCs w:val="22"/>
        </w:rPr>
        <w:t xml:space="preserve"> that</w:t>
      </w:r>
      <w:r w:rsidR="0040666F" w:rsidRPr="00E17963">
        <w:rPr>
          <w:rFonts w:ascii="Times New Roman" w:hAnsi="Times New Roman"/>
          <w:bCs/>
          <w:sz w:val="22"/>
          <w:szCs w:val="22"/>
        </w:rPr>
        <w:t>, for the purposes of subparagraph 23B(2)(d)(</w:t>
      </w:r>
      <w:proofErr w:type="spellStart"/>
      <w:r w:rsidR="0040666F" w:rsidRPr="00E17963">
        <w:rPr>
          <w:rFonts w:ascii="Times New Roman" w:hAnsi="Times New Roman"/>
          <w:bCs/>
          <w:sz w:val="22"/>
          <w:szCs w:val="22"/>
        </w:rPr>
        <w:t>i</w:t>
      </w:r>
      <w:proofErr w:type="spellEnd"/>
      <w:r w:rsidR="0040666F" w:rsidRPr="00E17963">
        <w:rPr>
          <w:rFonts w:ascii="Times New Roman" w:hAnsi="Times New Roman"/>
          <w:bCs/>
          <w:sz w:val="22"/>
          <w:szCs w:val="22"/>
        </w:rPr>
        <w:t>) of the Act,</w:t>
      </w:r>
      <w:r w:rsidRPr="00E17963">
        <w:rPr>
          <w:rFonts w:ascii="Times New Roman" w:hAnsi="Times New Roman"/>
          <w:bCs/>
          <w:sz w:val="22"/>
          <w:szCs w:val="22"/>
        </w:rPr>
        <w:t xml:space="preserve"> </w:t>
      </w:r>
      <w:r w:rsidR="00617DE2" w:rsidRPr="00E17963">
        <w:rPr>
          <w:rFonts w:ascii="Times New Roman" w:hAnsi="Times New Roman"/>
          <w:bCs/>
          <w:sz w:val="22"/>
          <w:szCs w:val="22"/>
        </w:rPr>
        <w:t>an application for the registration of a medicine mentioned in Schedule 1</w:t>
      </w:r>
      <w:r w:rsidR="00A01D86" w:rsidRPr="00E17963">
        <w:rPr>
          <w:rFonts w:ascii="Times New Roman" w:hAnsi="Times New Roman"/>
          <w:bCs/>
          <w:sz w:val="22"/>
          <w:szCs w:val="22"/>
        </w:rPr>
        <w:t xml:space="preserve"> to the Determination</w:t>
      </w:r>
      <w:r w:rsidR="00617DE2" w:rsidRPr="00E17963">
        <w:rPr>
          <w:rFonts w:ascii="Times New Roman" w:hAnsi="Times New Roman"/>
          <w:bCs/>
          <w:sz w:val="22"/>
          <w:szCs w:val="22"/>
        </w:rPr>
        <w:t xml:space="preserve"> must be accompanied by</w:t>
      </w:r>
      <w:r w:rsidR="00A01D86" w:rsidRPr="00E17963">
        <w:rPr>
          <w:rFonts w:ascii="Times New Roman" w:hAnsi="Times New Roman"/>
          <w:bCs/>
          <w:sz w:val="22"/>
          <w:szCs w:val="22"/>
        </w:rPr>
        <w:t xml:space="preserve"> the</w:t>
      </w:r>
      <w:r w:rsidR="00617DE2" w:rsidRPr="00E17963">
        <w:rPr>
          <w:rFonts w:ascii="Times New Roman" w:hAnsi="Times New Roman"/>
          <w:bCs/>
          <w:sz w:val="22"/>
          <w:szCs w:val="22"/>
        </w:rPr>
        <w:t xml:space="preserve"> information </w:t>
      </w:r>
      <w:r w:rsidR="00A01D86" w:rsidRPr="00E17963">
        <w:rPr>
          <w:rFonts w:ascii="Times New Roman" w:hAnsi="Times New Roman"/>
          <w:bCs/>
          <w:sz w:val="22"/>
          <w:szCs w:val="22"/>
        </w:rPr>
        <w:t>specified</w:t>
      </w:r>
      <w:r w:rsidR="00FB60EC" w:rsidRPr="00E17963">
        <w:rPr>
          <w:rFonts w:ascii="Times New Roman" w:hAnsi="Times New Roman"/>
          <w:bCs/>
          <w:sz w:val="22"/>
          <w:szCs w:val="22"/>
        </w:rPr>
        <w:t xml:space="preserve"> for the medicine</w:t>
      </w:r>
      <w:r w:rsidR="00A01D86" w:rsidRPr="00E17963">
        <w:rPr>
          <w:rFonts w:ascii="Times New Roman" w:hAnsi="Times New Roman"/>
          <w:bCs/>
          <w:sz w:val="22"/>
          <w:szCs w:val="22"/>
        </w:rPr>
        <w:t xml:space="preserve"> in</w:t>
      </w:r>
      <w:r w:rsidR="00617DE2" w:rsidRPr="00E17963">
        <w:rPr>
          <w:rFonts w:ascii="Times New Roman" w:hAnsi="Times New Roman"/>
          <w:bCs/>
          <w:sz w:val="22"/>
          <w:szCs w:val="22"/>
        </w:rPr>
        <w:t xml:space="preserve"> the following </w:t>
      </w:r>
      <w:r w:rsidR="00A01D86" w:rsidRPr="00E17963">
        <w:rPr>
          <w:rFonts w:ascii="Times New Roman" w:hAnsi="Times New Roman"/>
          <w:bCs/>
          <w:sz w:val="22"/>
          <w:szCs w:val="22"/>
        </w:rPr>
        <w:t>documents published by the TGA:</w:t>
      </w:r>
    </w:p>
    <w:p w14:paraId="03ADECDD" w14:textId="00CC8402" w:rsidR="00617DE2" w:rsidRPr="00E17963" w:rsidRDefault="00617DE2" w:rsidP="00205E9B">
      <w:pPr>
        <w:pStyle w:val="ListParagraph"/>
        <w:numPr>
          <w:ilvl w:val="0"/>
          <w:numId w:val="6"/>
        </w:numPr>
        <w:ind w:left="714" w:hanging="357"/>
        <w:rPr>
          <w:rFonts w:ascii="Times New Roman" w:hAnsi="Times New Roman"/>
          <w:bCs/>
          <w:sz w:val="22"/>
          <w:szCs w:val="22"/>
        </w:rPr>
      </w:pPr>
      <w:r w:rsidRPr="00E17963">
        <w:rPr>
          <w:rFonts w:ascii="Times New Roman" w:hAnsi="Times New Roman"/>
          <w:bCs/>
          <w:i/>
          <w:iCs/>
          <w:sz w:val="22"/>
          <w:szCs w:val="22"/>
        </w:rPr>
        <w:t>CTD Module 1: Administrative information and prescribing information for Australia</w:t>
      </w:r>
      <w:r w:rsidRPr="00E17963">
        <w:rPr>
          <w:rFonts w:ascii="Times New Roman" w:hAnsi="Times New Roman"/>
          <w:bCs/>
          <w:sz w:val="22"/>
          <w:szCs w:val="22"/>
        </w:rPr>
        <w:t xml:space="preserve"> (Version 4.3, December 2020); and</w:t>
      </w:r>
    </w:p>
    <w:p w14:paraId="468BA90E" w14:textId="754B7247" w:rsidR="00617DE2" w:rsidRPr="00E17963" w:rsidRDefault="00617DE2" w:rsidP="00617DE2">
      <w:pPr>
        <w:pStyle w:val="ListParagraph"/>
        <w:numPr>
          <w:ilvl w:val="0"/>
          <w:numId w:val="6"/>
        </w:numPr>
        <w:rPr>
          <w:rFonts w:ascii="Times New Roman" w:hAnsi="Times New Roman"/>
          <w:bCs/>
          <w:sz w:val="22"/>
          <w:szCs w:val="22"/>
        </w:rPr>
      </w:pPr>
      <w:r w:rsidRPr="00E17963">
        <w:rPr>
          <w:rFonts w:ascii="Times New Roman" w:hAnsi="Times New Roman"/>
          <w:bCs/>
          <w:i/>
          <w:iCs/>
          <w:sz w:val="22"/>
          <w:szCs w:val="22"/>
        </w:rPr>
        <w:t>Mandatory requirements for an effective application</w:t>
      </w:r>
      <w:r w:rsidRPr="00E17963">
        <w:rPr>
          <w:rFonts w:ascii="Times New Roman" w:hAnsi="Times New Roman"/>
          <w:bCs/>
          <w:sz w:val="22"/>
          <w:szCs w:val="22"/>
        </w:rPr>
        <w:t xml:space="preserve"> (Version 4.</w:t>
      </w:r>
      <w:r w:rsidR="00FB60EC" w:rsidRPr="00E17963">
        <w:rPr>
          <w:rFonts w:ascii="Times New Roman" w:hAnsi="Times New Roman"/>
          <w:bCs/>
          <w:sz w:val="22"/>
          <w:szCs w:val="22"/>
        </w:rPr>
        <w:t>1</w:t>
      </w:r>
      <w:r w:rsidRPr="00E17963">
        <w:rPr>
          <w:rFonts w:ascii="Times New Roman" w:hAnsi="Times New Roman"/>
          <w:bCs/>
          <w:sz w:val="22"/>
          <w:szCs w:val="22"/>
        </w:rPr>
        <w:t xml:space="preserve">, </w:t>
      </w:r>
      <w:r w:rsidR="00FB60EC" w:rsidRPr="00E17963">
        <w:rPr>
          <w:rFonts w:ascii="Times New Roman" w:hAnsi="Times New Roman"/>
          <w:bCs/>
          <w:sz w:val="22"/>
          <w:szCs w:val="22"/>
        </w:rPr>
        <w:t>June 2022</w:t>
      </w:r>
      <w:proofErr w:type="gramStart"/>
      <w:r w:rsidRPr="00E17963">
        <w:rPr>
          <w:rFonts w:ascii="Times New Roman" w:hAnsi="Times New Roman"/>
          <w:bCs/>
          <w:sz w:val="22"/>
          <w:szCs w:val="22"/>
        </w:rPr>
        <w:t>)</w:t>
      </w:r>
      <w:r w:rsidR="00FB60EC" w:rsidRPr="00E17963">
        <w:rPr>
          <w:rFonts w:ascii="Times New Roman" w:hAnsi="Times New Roman"/>
          <w:bCs/>
          <w:sz w:val="22"/>
          <w:szCs w:val="22"/>
        </w:rPr>
        <w:t>;</w:t>
      </w:r>
      <w:proofErr w:type="gramEnd"/>
    </w:p>
    <w:p w14:paraId="5E8B001C" w14:textId="3EDF4FEA" w:rsidR="00FB60EC" w:rsidRPr="00E17963" w:rsidRDefault="00FB60EC" w:rsidP="00FB60EC">
      <w:pPr>
        <w:spacing w:before="120"/>
        <w:rPr>
          <w:rFonts w:ascii="Times New Roman" w:hAnsi="Times New Roman"/>
          <w:bCs/>
          <w:sz w:val="22"/>
          <w:szCs w:val="22"/>
        </w:rPr>
      </w:pPr>
      <w:r w:rsidRPr="00E17963">
        <w:rPr>
          <w:rFonts w:ascii="Times New Roman" w:hAnsi="Times New Roman"/>
          <w:bCs/>
          <w:sz w:val="22"/>
          <w:szCs w:val="22"/>
        </w:rPr>
        <w:t>as those documents are in force or existing at the commencement of the Determination.</w:t>
      </w:r>
    </w:p>
    <w:p w14:paraId="51BEFF82" w14:textId="77777777" w:rsidR="00FD1554" w:rsidRPr="00E17963" w:rsidRDefault="00FD1554" w:rsidP="00FB60EC">
      <w:pPr>
        <w:keepNext/>
        <w:rPr>
          <w:rFonts w:ascii="Times New Roman" w:hAnsi="Times New Roman"/>
          <w:i/>
          <w:iCs/>
          <w:sz w:val="22"/>
          <w:szCs w:val="22"/>
        </w:rPr>
      </w:pPr>
    </w:p>
    <w:p w14:paraId="06BD6E34" w14:textId="79E14272" w:rsidR="005F2138" w:rsidRPr="00E17963" w:rsidRDefault="005F2138" w:rsidP="00E20D95">
      <w:pPr>
        <w:keepNext/>
        <w:spacing w:before="120"/>
        <w:rPr>
          <w:rFonts w:ascii="Times New Roman" w:hAnsi="Times New Roman"/>
          <w:b/>
          <w:bCs/>
          <w:sz w:val="22"/>
          <w:szCs w:val="22"/>
        </w:rPr>
      </w:pPr>
      <w:r w:rsidRPr="00E17963">
        <w:rPr>
          <w:rFonts w:ascii="Times New Roman" w:hAnsi="Times New Roman"/>
          <w:b/>
          <w:bCs/>
          <w:sz w:val="22"/>
          <w:szCs w:val="22"/>
        </w:rPr>
        <w:t>Schedule 1 – Prescription Medicines</w:t>
      </w:r>
    </w:p>
    <w:p w14:paraId="7C73EFA4" w14:textId="4D9DCE58" w:rsidR="005F2138" w:rsidRPr="00E17963" w:rsidRDefault="005F2138" w:rsidP="00FB60EC">
      <w:pPr>
        <w:keepNext/>
        <w:rPr>
          <w:rFonts w:ascii="Times New Roman" w:hAnsi="Times New Roman"/>
          <w:b/>
          <w:sz w:val="22"/>
          <w:szCs w:val="22"/>
        </w:rPr>
      </w:pPr>
    </w:p>
    <w:p w14:paraId="3A01D1A6" w14:textId="2EF55D4A" w:rsidR="005F2138" w:rsidRPr="00E17963" w:rsidRDefault="005F2138" w:rsidP="000D45DC">
      <w:pPr>
        <w:rPr>
          <w:rFonts w:ascii="Times New Roman" w:hAnsi="Times New Roman"/>
          <w:sz w:val="22"/>
          <w:szCs w:val="22"/>
        </w:rPr>
      </w:pPr>
      <w:r w:rsidRPr="00E17963">
        <w:rPr>
          <w:rFonts w:ascii="Times New Roman" w:hAnsi="Times New Roman"/>
          <w:sz w:val="22"/>
          <w:szCs w:val="22"/>
        </w:rPr>
        <w:t xml:space="preserve">This schedule specifies different types of medicine within the class mentioned in section </w:t>
      </w:r>
      <w:r w:rsidR="00933626" w:rsidRPr="00E17963">
        <w:rPr>
          <w:rFonts w:ascii="Times New Roman" w:hAnsi="Times New Roman"/>
          <w:sz w:val="22"/>
          <w:szCs w:val="22"/>
        </w:rPr>
        <w:t>5 of the Determination</w:t>
      </w:r>
      <w:r w:rsidRPr="00E17963">
        <w:rPr>
          <w:rFonts w:ascii="Times New Roman" w:hAnsi="Times New Roman"/>
          <w:sz w:val="22"/>
          <w:szCs w:val="22"/>
        </w:rPr>
        <w:t xml:space="preserve">, for the purposes of section 6. </w:t>
      </w:r>
      <w:r w:rsidR="00D71635" w:rsidRPr="00E17963">
        <w:rPr>
          <w:rFonts w:ascii="Times New Roman" w:hAnsi="Times New Roman"/>
          <w:sz w:val="22"/>
          <w:szCs w:val="22"/>
        </w:rPr>
        <w:t xml:space="preserve"> </w:t>
      </w:r>
      <w:r w:rsidRPr="00E17963">
        <w:rPr>
          <w:rFonts w:ascii="Times New Roman" w:hAnsi="Times New Roman"/>
          <w:sz w:val="22"/>
          <w:szCs w:val="22"/>
        </w:rPr>
        <w:t>These types</w:t>
      </w:r>
      <w:r w:rsidR="00933626" w:rsidRPr="00E17963">
        <w:rPr>
          <w:rFonts w:ascii="Times New Roman" w:hAnsi="Times New Roman"/>
          <w:sz w:val="22"/>
          <w:szCs w:val="22"/>
        </w:rPr>
        <w:t xml:space="preserve"> of medicine</w:t>
      </w:r>
      <w:r w:rsidRPr="00E17963">
        <w:rPr>
          <w:rFonts w:ascii="Times New Roman" w:hAnsi="Times New Roman"/>
          <w:sz w:val="22"/>
          <w:szCs w:val="22"/>
        </w:rPr>
        <w:t xml:space="preserve"> inc</w:t>
      </w:r>
      <w:r w:rsidR="009662E2" w:rsidRPr="00E17963">
        <w:rPr>
          <w:rFonts w:ascii="Times New Roman" w:hAnsi="Times New Roman"/>
          <w:sz w:val="22"/>
          <w:szCs w:val="22"/>
        </w:rPr>
        <w:t>lude</w:t>
      </w:r>
      <w:r w:rsidR="000F1DC9" w:rsidRPr="00E17963">
        <w:rPr>
          <w:rFonts w:ascii="Times New Roman" w:hAnsi="Times New Roman"/>
          <w:sz w:val="22"/>
          <w:szCs w:val="22"/>
        </w:rPr>
        <w:t>, for example,</w:t>
      </w:r>
      <w:r w:rsidR="009662E2" w:rsidRPr="00E17963">
        <w:rPr>
          <w:rFonts w:ascii="Times New Roman" w:hAnsi="Times New Roman"/>
          <w:sz w:val="22"/>
          <w:szCs w:val="22"/>
        </w:rPr>
        <w:t xml:space="preserve"> a ‘new </w:t>
      </w:r>
      <w:r w:rsidR="00FB60EC" w:rsidRPr="00E17963">
        <w:rPr>
          <w:rFonts w:ascii="Times New Roman" w:hAnsi="Times New Roman"/>
          <w:sz w:val="22"/>
          <w:szCs w:val="22"/>
        </w:rPr>
        <w:t xml:space="preserve">chemical </w:t>
      </w:r>
      <w:r w:rsidR="009662E2" w:rsidRPr="00E17963">
        <w:rPr>
          <w:rFonts w:ascii="Times New Roman" w:hAnsi="Times New Roman"/>
          <w:sz w:val="22"/>
          <w:szCs w:val="22"/>
        </w:rPr>
        <w:t>entity medicine’ and</w:t>
      </w:r>
      <w:r w:rsidR="009F1610" w:rsidRPr="00E17963">
        <w:rPr>
          <w:rFonts w:ascii="Times New Roman" w:hAnsi="Times New Roman"/>
          <w:sz w:val="22"/>
          <w:szCs w:val="22"/>
        </w:rPr>
        <w:t xml:space="preserve"> a</w:t>
      </w:r>
      <w:r w:rsidR="009662E2" w:rsidRPr="00E17963">
        <w:rPr>
          <w:rFonts w:ascii="Times New Roman" w:hAnsi="Times New Roman"/>
          <w:sz w:val="22"/>
          <w:szCs w:val="22"/>
        </w:rPr>
        <w:t xml:space="preserve"> ‘new combination medicine’.</w:t>
      </w:r>
    </w:p>
    <w:p w14:paraId="446C201F" w14:textId="77777777" w:rsidR="00E20D95" w:rsidRPr="00E17963" w:rsidRDefault="00E20D95" w:rsidP="000D45DC">
      <w:pPr>
        <w:rPr>
          <w:rFonts w:ascii="Times New Roman" w:hAnsi="Times New Roman"/>
          <w:bCs/>
          <w:sz w:val="22"/>
          <w:szCs w:val="22"/>
        </w:rPr>
      </w:pPr>
    </w:p>
    <w:p w14:paraId="2DD46A35" w14:textId="77777777" w:rsidR="00B05C36" w:rsidRPr="00E17963" w:rsidRDefault="00B05C36">
      <w:pPr>
        <w:spacing w:after="200" w:line="276" w:lineRule="auto"/>
        <w:rPr>
          <w:rFonts w:ascii="Times New Roman" w:hAnsi="Times New Roman"/>
          <w:bCs/>
          <w:sz w:val="22"/>
          <w:szCs w:val="22"/>
        </w:rPr>
      </w:pPr>
      <w:r w:rsidRPr="00E17963">
        <w:rPr>
          <w:rFonts w:ascii="Times New Roman" w:hAnsi="Times New Roman"/>
          <w:bCs/>
          <w:sz w:val="22"/>
          <w:szCs w:val="22"/>
        </w:rPr>
        <w:br w:type="page"/>
      </w:r>
    </w:p>
    <w:p w14:paraId="07ACD88E" w14:textId="77777777" w:rsidR="00294A49" w:rsidRPr="00E17963" w:rsidRDefault="00294A49" w:rsidP="004164A4">
      <w:pPr>
        <w:spacing w:after="200" w:line="276" w:lineRule="auto"/>
        <w:jc w:val="right"/>
        <w:rPr>
          <w:rFonts w:ascii="Times New Roman" w:hAnsi="Times New Roman"/>
          <w:b/>
          <w:bCs/>
          <w:sz w:val="22"/>
          <w:szCs w:val="22"/>
        </w:rPr>
      </w:pPr>
      <w:r w:rsidRPr="00E17963">
        <w:rPr>
          <w:rFonts w:ascii="Times New Roman" w:hAnsi="Times New Roman"/>
          <w:b/>
          <w:bCs/>
          <w:sz w:val="22"/>
          <w:szCs w:val="22"/>
        </w:rPr>
        <w:t>Attachment B</w:t>
      </w:r>
    </w:p>
    <w:p w14:paraId="0CFC82BA" w14:textId="77777777" w:rsidR="00294A49" w:rsidRPr="00E17963" w:rsidRDefault="00294A49" w:rsidP="007231B2">
      <w:pPr>
        <w:rPr>
          <w:rFonts w:ascii="Times New Roman" w:hAnsi="Times New Roman"/>
          <w:b/>
          <w:bCs/>
          <w:sz w:val="22"/>
          <w:szCs w:val="22"/>
        </w:rPr>
      </w:pPr>
    </w:p>
    <w:p w14:paraId="4E2FC374" w14:textId="77777777" w:rsidR="0030123E" w:rsidRPr="00E17963" w:rsidRDefault="00846A95" w:rsidP="00D71635">
      <w:pPr>
        <w:jc w:val="center"/>
        <w:rPr>
          <w:rFonts w:ascii="Times New Roman" w:hAnsi="Times New Roman"/>
          <w:b/>
          <w:bCs/>
          <w:sz w:val="22"/>
          <w:szCs w:val="22"/>
        </w:rPr>
      </w:pPr>
      <w:r w:rsidRPr="00E17963">
        <w:rPr>
          <w:rFonts w:ascii="Times New Roman" w:hAnsi="Times New Roman"/>
          <w:b/>
          <w:bCs/>
          <w:sz w:val="22"/>
          <w:szCs w:val="22"/>
        </w:rPr>
        <w:t>Statement of compatibility with human rights</w:t>
      </w:r>
    </w:p>
    <w:p w14:paraId="196A2796" w14:textId="77777777" w:rsidR="0030123E" w:rsidRPr="00E17963" w:rsidRDefault="0030123E" w:rsidP="00D71635">
      <w:pPr>
        <w:jc w:val="center"/>
        <w:rPr>
          <w:rFonts w:ascii="Times New Roman" w:hAnsi="Times New Roman"/>
          <w:bCs/>
          <w:sz w:val="22"/>
          <w:szCs w:val="22"/>
        </w:rPr>
      </w:pPr>
    </w:p>
    <w:p w14:paraId="187D754B" w14:textId="212B94EA" w:rsidR="007231B2" w:rsidRPr="00E17963" w:rsidRDefault="00D71635" w:rsidP="00D71635">
      <w:pPr>
        <w:jc w:val="center"/>
        <w:rPr>
          <w:rFonts w:ascii="Times New Roman" w:hAnsi="Times New Roman"/>
          <w:sz w:val="22"/>
          <w:szCs w:val="22"/>
        </w:rPr>
      </w:pPr>
      <w:r w:rsidRPr="00E17963">
        <w:rPr>
          <w:rFonts w:ascii="Times New Roman" w:hAnsi="Times New Roman"/>
          <w:sz w:val="22"/>
          <w:szCs w:val="22"/>
        </w:rPr>
        <w:t>P</w:t>
      </w:r>
      <w:r w:rsidR="007231B2" w:rsidRPr="00E17963">
        <w:rPr>
          <w:rFonts w:ascii="Times New Roman" w:hAnsi="Times New Roman"/>
          <w:sz w:val="22"/>
          <w:szCs w:val="22"/>
        </w:rPr>
        <w:t xml:space="preserve">repared in accordance with </w:t>
      </w:r>
      <w:r w:rsidR="004164A4" w:rsidRPr="00E17963">
        <w:rPr>
          <w:rFonts w:ascii="Times New Roman" w:hAnsi="Times New Roman"/>
          <w:sz w:val="22"/>
          <w:szCs w:val="22"/>
        </w:rPr>
        <w:t xml:space="preserve">Part 3 </w:t>
      </w:r>
      <w:r w:rsidR="007231B2" w:rsidRPr="00E17963">
        <w:rPr>
          <w:rFonts w:ascii="Times New Roman" w:hAnsi="Times New Roman"/>
          <w:sz w:val="22"/>
          <w:szCs w:val="22"/>
        </w:rPr>
        <w:t xml:space="preserve">of the </w:t>
      </w:r>
      <w:r w:rsidR="007231B2" w:rsidRPr="00E17963">
        <w:rPr>
          <w:rFonts w:ascii="Times New Roman" w:hAnsi="Times New Roman"/>
          <w:i/>
          <w:sz w:val="22"/>
          <w:szCs w:val="22"/>
        </w:rPr>
        <w:t>Human Rights (Parliamentary Scrutiny) Act 2011</w:t>
      </w:r>
      <w:r w:rsidR="00350252" w:rsidRPr="00E17963">
        <w:rPr>
          <w:rFonts w:ascii="Times New Roman" w:hAnsi="Times New Roman"/>
          <w:sz w:val="22"/>
          <w:szCs w:val="22"/>
        </w:rPr>
        <w:t>.</w:t>
      </w:r>
    </w:p>
    <w:p w14:paraId="200982E2" w14:textId="77777777" w:rsidR="0030123E" w:rsidRPr="00E17963" w:rsidRDefault="0030123E" w:rsidP="00D71635">
      <w:pPr>
        <w:jc w:val="center"/>
        <w:rPr>
          <w:rFonts w:ascii="Times New Roman" w:hAnsi="Times New Roman"/>
          <w:sz w:val="22"/>
          <w:szCs w:val="22"/>
        </w:rPr>
      </w:pPr>
    </w:p>
    <w:p w14:paraId="27EEDA44" w14:textId="67206458" w:rsidR="0030123E" w:rsidRPr="00E17963" w:rsidRDefault="0060165C" w:rsidP="00D71635">
      <w:pPr>
        <w:jc w:val="center"/>
        <w:rPr>
          <w:rFonts w:ascii="Times New Roman" w:hAnsi="Times New Roman"/>
          <w:b/>
          <w:i/>
          <w:sz w:val="22"/>
          <w:szCs w:val="22"/>
        </w:rPr>
      </w:pPr>
      <w:r w:rsidRPr="00E17963">
        <w:rPr>
          <w:rFonts w:ascii="Times New Roman" w:hAnsi="Times New Roman"/>
          <w:b/>
          <w:i/>
          <w:sz w:val="22"/>
          <w:szCs w:val="22"/>
        </w:rPr>
        <w:t>Therapeutic Goods (</w:t>
      </w:r>
      <w:r w:rsidR="009662E2" w:rsidRPr="00E17963">
        <w:rPr>
          <w:rFonts w:ascii="Times New Roman" w:hAnsi="Times New Roman"/>
          <w:b/>
          <w:i/>
          <w:sz w:val="22"/>
          <w:szCs w:val="22"/>
        </w:rPr>
        <w:t>Prescription Medicines</w:t>
      </w:r>
      <w:r w:rsidRPr="00E17963">
        <w:rPr>
          <w:rFonts w:ascii="Times New Roman" w:hAnsi="Times New Roman"/>
          <w:b/>
          <w:i/>
          <w:sz w:val="22"/>
          <w:szCs w:val="22"/>
        </w:rPr>
        <w:t>—</w:t>
      </w:r>
      <w:r w:rsidR="00912C71" w:rsidRPr="00E17963">
        <w:rPr>
          <w:rFonts w:ascii="Times New Roman" w:hAnsi="Times New Roman"/>
          <w:b/>
          <w:i/>
          <w:sz w:val="22"/>
          <w:szCs w:val="22"/>
        </w:rPr>
        <w:t xml:space="preserve">Kind of </w:t>
      </w:r>
      <w:r w:rsidR="00812679" w:rsidRPr="00E17963">
        <w:rPr>
          <w:rFonts w:ascii="Times New Roman" w:hAnsi="Times New Roman"/>
          <w:b/>
          <w:i/>
          <w:sz w:val="22"/>
          <w:szCs w:val="22"/>
        </w:rPr>
        <w:t xml:space="preserve">Information </w:t>
      </w:r>
      <w:r w:rsidR="000129A0" w:rsidRPr="00E17963">
        <w:rPr>
          <w:rFonts w:ascii="Times New Roman" w:hAnsi="Times New Roman"/>
          <w:b/>
          <w:i/>
          <w:sz w:val="22"/>
          <w:szCs w:val="22"/>
        </w:rPr>
        <w:t xml:space="preserve">that Must </w:t>
      </w:r>
      <w:r w:rsidR="00812679" w:rsidRPr="00E17963">
        <w:rPr>
          <w:rFonts w:ascii="Times New Roman" w:hAnsi="Times New Roman"/>
          <w:b/>
          <w:i/>
          <w:sz w:val="22"/>
          <w:szCs w:val="22"/>
        </w:rPr>
        <w:t>Accompany Application for Registration</w:t>
      </w:r>
      <w:r w:rsidRPr="00E17963">
        <w:rPr>
          <w:rFonts w:ascii="Times New Roman" w:hAnsi="Times New Roman"/>
          <w:b/>
          <w:i/>
          <w:sz w:val="22"/>
          <w:szCs w:val="22"/>
        </w:rPr>
        <w:t>) Determination</w:t>
      </w:r>
      <w:r w:rsidR="008528B3" w:rsidRPr="00E17963">
        <w:rPr>
          <w:rFonts w:ascii="Times New Roman" w:hAnsi="Times New Roman"/>
          <w:b/>
          <w:i/>
          <w:sz w:val="22"/>
          <w:szCs w:val="22"/>
        </w:rPr>
        <w:t xml:space="preserve"> </w:t>
      </w:r>
      <w:r w:rsidRPr="00E17963">
        <w:rPr>
          <w:rFonts w:ascii="Times New Roman" w:hAnsi="Times New Roman"/>
          <w:b/>
          <w:i/>
          <w:sz w:val="22"/>
          <w:szCs w:val="22"/>
        </w:rPr>
        <w:t>20</w:t>
      </w:r>
      <w:r w:rsidR="00812679" w:rsidRPr="00E17963">
        <w:rPr>
          <w:rFonts w:ascii="Times New Roman" w:hAnsi="Times New Roman"/>
          <w:b/>
          <w:i/>
          <w:sz w:val="22"/>
          <w:szCs w:val="22"/>
        </w:rPr>
        <w:t>2</w:t>
      </w:r>
      <w:r w:rsidR="00796E4B" w:rsidRPr="00E17963">
        <w:rPr>
          <w:rFonts w:ascii="Times New Roman" w:hAnsi="Times New Roman"/>
          <w:b/>
          <w:i/>
          <w:sz w:val="22"/>
          <w:szCs w:val="22"/>
        </w:rPr>
        <w:t>2</w:t>
      </w:r>
    </w:p>
    <w:p w14:paraId="11382518" w14:textId="77777777" w:rsidR="0030123E" w:rsidRPr="00E17963" w:rsidRDefault="0030123E" w:rsidP="00D71635">
      <w:pPr>
        <w:jc w:val="center"/>
        <w:rPr>
          <w:rFonts w:ascii="Times New Roman" w:hAnsi="Times New Roman"/>
          <w:sz w:val="22"/>
          <w:szCs w:val="22"/>
        </w:rPr>
      </w:pPr>
    </w:p>
    <w:p w14:paraId="6E4C3D3B" w14:textId="3D0094DA" w:rsidR="0030123E" w:rsidRPr="00E17963" w:rsidRDefault="0030123E" w:rsidP="0030123E">
      <w:pPr>
        <w:rPr>
          <w:rFonts w:ascii="Times New Roman" w:hAnsi="Times New Roman"/>
          <w:i/>
          <w:iCs/>
          <w:sz w:val="22"/>
          <w:szCs w:val="22"/>
        </w:rPr>
      </w:pPr>
      <w:r w:rsidRPr="00E17963">
        <w:rPr>
          <w:rFonts w:ascii="Times New Roman" w:hAnsi="Times New Roman"/>
          <w:sz w:val="22"/>
          <w:szCs w:val="22"/>
        </w:rPr>
        <w:t xml:space="preserve">The </w:t>
      </w:r>
      <w:r w:rsidR="0060165C" w:rsidRPr="00E17963">
        <w:rPr>
          <w:rFonts w:ascii="Times New Roman" w:hAnsi="Times New Roman"/>
          <w:i/>
          <w:sz w:val="22"/>
          <w:szCs w:val="22"/>
        </w:rPr>
        <w:t>Therapeutic Goods (</w:t>
      </w:r>
      <w:r w:rsidR="00812679" w:rsidRPr="00E17963">
        <w:rPr>
          <w:rFonts w:ascii="Times New Roman" w:hAnsi="Times New Roman"/>
          <w:i/>
          <w:sz w:val="22"/>
          <w:szCs w:val="22"/>
        </w:rPr>
        <w:t>Prescription Medicines</w:t>
      </w:r>
      <w:r w:rsidR="0060165C" w:rsidRPr="00E17963">
        <w:rPr>
          <w:rFonts w:ascii="Times New Roman" w:hAnsi="Times New Roman"/>
          <w:i/>
          <w:sz w:val="22"/>
          <w:szCs w:val="22"/>
        </w:rPr>
        <w:t>—</w:t>
      </w:r>
      <w:r w:rsidR="00912C71" w:rsidRPr="00E17963">
        <w:rPr>
          <w:rFonts w:ascii="Times New Roman" w:hAnsi="Times New Roman"/>
          <w:i/>
          <w:sz w:val="22"/>
          <w:szCs w:val="22"/>
        </w:rPr>
        <w:t xml:space="preserve">Kind of </w:t>
      </w:r>
      <w:r w:rsidR="00812679" w:rsidRPr="00E17963">
        <w:rPr>
          <w:rFonts w:ascii="Times New Roman" w:hAnsi="Times New Roman"/>
          <w:i/>
          <w:sz w:val="22"/>
          <w:szCs w:val="22"/>
        </w:rPr>
        <w:t xml:space="preserve">Information </w:t>
      </w:r>
      <w:r w:rsidR="000129A0" w:rsidRPr="00E17963">
        <w:rPr>
          <w:rFonts w:ascii="Times New Roman" w:hAnsi="Times New Roman"/>
          <w:i/>
          <w:sz w:val="22"/>
          <w:szCs w:val="22"/>
        </w:rPr>
        <w:t xml:space="preserve">that Must </w:t>
      </w:r>
      <w:r w:rsidR="00812679" w:rsidRPr="00E17963">
        <w:rPr>
          <w:rFonts w:ascii="Times New Roman" w:hAnsi="Times New Roman"/>
          <w:i/>
          <w:sz w:val="22"/>
          <w:szCs w:val="22"/>
        </w:rPr>
        <w:t xml:space="preserve">Accompany </w:t>
      </w:r>
      <w:r w:rsidR="0060165C" w:rsidRPr="00E17963">
        <w:rPr>
          <w:rFonts w:ascii="Times New Roman" w:hAnsi="Times New Roman"/>
          <w:i/>
          <w:sz w:val="22"/>
          <w:szCs w:val="22"/>
        </w:rPr>
        <w:t>Application for Registration) Determination 20</w:t>
      </w:r>
      <w:r w:rsidR="00812679" w:rsidRPr="00E17963">
        <w:rPr>
          <w:rFonts w:ascii="Times New Roman" w:hAnsi="Times New Roman"/>
          <w:i/>
          <w:sz w:val="22"/>
          <w:szCs w:val="22"/>
        </w:rPr>
        <w:t>2</w:t>
      </w:r>
      <w:r w:rsidR="00796E4B" w:rsidRPr="00E17963">
        <w:rPr>
          <w:rFonts w:ascii="Times New Roman" w:hAnsi="Times New Roman"/>
          <w:i/>
          <w:sz w:val="22"/>
          <w:szCs w:val="22"/>
        </w:rPr>
        <w:t>2</w:t>
      </w:r>
      <w:r w:rsidR="00820BA2" w:rsidRPr="00E17963">
        <w:rPr>
          <w:rFonts w:ascii="Times New Roman" w:hAnsi="Times New Roman"/>
          <w:i/>
          <w:sz w:val="22"/>
          <w:szCs w:val="22"/>
        </w:rPr>
        <w:t xml:space="preserve"> </w:t>
      </w:r>
      <w:r w:rsidR="0065023A" w:rsidRPr="00E17963">
        <w:rPr>
          <w:rFonts w:ascii="Times New Roman" w:hAnsi="Times New Roman"/>
          <w:iCs/>
          <w:sz w:val="22"/>
          <w:szCs w:val="22"/>
        </w:rPr>
        <w:t xml:space="preserve">(“the </w:t>
      </w:r>
      <w:r w:rsidR="00D71635" w:rsidRPr="00E17963">
        <w:rPr>
          <w:rFonts w:ascii="Times New Roman" w:hAnsi="Times New Roman"/>
          <w:iCs/>
          <w:sz w:val="22"/>
          <w:szCs w:val="22"/>
        </w:rPr>
        <w:t>instrument</w:t>
      </w:r>
      <w:r w:rsidR="0065023A" w:rsidRPr="00E17963">
        <w:rPr>
          <w:rFonts w:ascii="Times New Roman" w:hAnsi="Times New Roman"/>
          <w:iCs/>
          <w:sz w:val="22"/>
          <w:szCs w:val="22"/>
        </w:rPr>
        <w:t xml:space="preserve">”) </w:t>
      </w:r>
      <w:r w:rsidR="00462DFB" w:rsidRPr="00E17963">
        <w:rPr>
          <w:rFonts w:ascii="Times New Roman" w:hAnsi="Times New Roman"/>
          <w:sz w:val="22"/>
          <w:szCs w:val="22"/>
        </w:rPr>
        <w:t>is</w:t>
      </w:r>
      <w:r w:rsidR="004164A4" w:rsidRPr="00E17963">
        <w:rPr>
          <w:rFonts w:ascii="Times New Roman" w:hAnsi="Times New Roman"/>
          <w:sz w:val="22"/>
          <w:szCs w:val="22"/>
        </w:rPr>
        <w:t xml:space="preserve"> a</w:t>
      </w:r>
      <w:r w:rsidR="00462DFB" w:rsidRPr="00E17963">
        <w:rPr>
          <w:rFonts w:ascii="Times New Roman" w:hAnsi="Times New Roman"/>
          <w:sz w:val="22"/>
          <w:szCs w:val="22"/>
        </w:rPr>
        <w:t xml:space="preserve"> </w:t>
      </w:r>
      <w:r w:rsidR="004164A4" w:rsidRPr="00E17963">
        <w:rPr>
          <w:rFonts w:ascii="Times New Roman" w:hAnsi="Times New Roman"/>
          <w:sz w:val="22"/>
          <w:szCs w:val="22"/>
        </w:rPr>
        <w:t xml:space="preserve">disallowable legislative instrument and is compatible with the human rights and freedoms recognised or declared in the international instruments listed in section 3 of </w:t>
      </w:r>
      <w:r w:rsidR="004164A4" w:rsidRPr="00E17963">
        <w:rPr>
          <w:rFonts w:ascii="Times New Roman" w:hAnsi="Times New Roman"/>
          <w:i/>
          <w:iCs/>
          <w:sz w:val="22"/>
          <w:szCs w:val="22"/>
        </w:rPr>
        <w:t>the Human Rights (Parliamentary Scrutiny) Act 2011.</w:t>
      </w:r>
    </w:p>
    <w:p w14:paraId="721A75C6" w14:textId="77777777" w:rsidR="004164A4" w:rsidRPr="00E17963" w:rsidRDefault="004164A4" w:rsidP="0030123E">
      <w:pPr>
        <w:rPr>
          <w:rFonts w:ascii="Times New Roman" w:hAnsi="Times New Roman"/>
          <w:b/>
          <w:bCs/>
          <w:sz w:val="22"/>
          <w:szCs w:val="22"/>
        </w:rPr>
      </w:pPr>
    </w:p>
    <w:p w14:paraId="7DD5F2D8" w14:textId="7FD5FF90" w:rsidR="000A5AE3" w:rsidRPr="00E17963" w:rsidRDefault="00862B50" w:rsidP="0030123E">
      <w:pPr>
        <w:rPr>
          <w:rFonts w:ascii="Times New Roman" w:hAnsi="Times New Roman"/>
          <w:b/>
          <w:sz w:val="22"/>
          <w:szCs w:val="22"/>
        </w:rPr>
      </w:pPr>
      <w:r w:rsidRPr="00E17963">
        <w:rPr>
          <w:rFonts w:ascii="Times New Roman" w:hAnsi="Times New Roman"/>
          <w:b/>
          <w:sz w:val="22"/>
          <w:szCs w:val="22"/>
        </w:rPr>
        <w:t>Overview of legislative instrument</w:t>
      </w:r>
    </w:p>
    <w:p w14:paraId="13D256C3" w14:textId="77777777" w:rsidR="000A5AE3" w:rsidRPr="00E17963" w:rsidRDefault="000A5AE3" w:rsidP="0030123E">
      <w:pPr>
        <w:rPr>
          <w:rFonts w:ascii="Times New Roman" w:hAnsi="Times New Roman"/>
          <w:sz w:val="22"/>
          <w:szCs w:val="22"/>
        </w:rPr>
      </w:pPr>
    </w:p>
    <w:p w14:paraId="558BB68F" w14:textId="61CAF507" w:rsidR="00985ECF" w:rsidRPr="00E17963" w:rsidRDefault="002C5EA2" w:rsidP="00985ECF">
      <w:pPr>
        <w:rPr>
          <w:rFonts w:ascii="Times New Roman" w:hAnsi="Times New Roman"/>
          <w:sz w:val="22"/>
          <w:szCs w:val="22"/>
        </w:rPr>
      </w:pPr>
      <w:r w:rsidRPr="00E17963">
        <w:rPr>
          <w:rFonts w:ascii="Times New Roman" w:hAnsi="Times New Roman"/>
          <w:sz w:val="22"/>
          <w:szCs w:val="22"/>
        </w:rPr>
        <w:t xml:space="preserve">In 2018, the </w:t>
      </w:r>
      <w:r w:rsidRPr="00E17963">
        <w:rPr>
          <w:rFonts w:ascii="Times New Roman" w:hAnsi="Times New Roman"/>
          <w:i/>
          <w:sz w:val="22"/>
          <w:szCs w:val="22"/>
        </w:rPr>
        <w:t>Therapeutic Goods Amendment (2017 Measures No.</w:t>
      </w:r>
      <w:r w:rsidR="00BF4118" w:rsidRPr="00E17963">
        <w:rPr>
          <w:rFonts w:ascii="Times New Roman" w:hAnsi="Times New Roman"/>
          <w:i/>
          <w:sz w:val="22"/>
          <w:szCs w:val="22"/>
        </w:rPr>
        <w:t xml:space="preserve"> </w:t>
      </w:r>
      <w:r w:rsidRPr="00E17963">
        <w:rPr>
          <w:rFonts w:ascii="Times New Roman" w:hAnsi="Times New Roman"/>
          <w:i/>
          <w:sz w:val="22"/>
          <w:szCs w:val="22"/>
        </w:rPr>
        <w:t>1) Act 2018</w:t>
      </w:r>
      <w:r w:rsidRPr="00E17963">
        <w:rPr>
          <w:rFonts w:ascii="Times New Roman" w:hAnsi="Times New Roman"/>
          <w:sz w:val="22"/>
          <w:szCs w:val="22"/>
        </w:rPr>
        <w:t xml:space="preserve"> (“the Amendment Act”) amended the </w:t>
      </w:r>
      <w:r w:rsidRPr="00E17963">
        <w:rPr>
          <w:rFonts w:ascii="Times New Roman" w:hAnsi="Times New Roman"/>
          <w:i/>
          <w:iCs/>
          <w:sz w:val="22"/>
          <w:szCs w:val="22"/>
        </w:rPr>
        <w:t>Therapeutic Goods Act 1989</w:t>
      </w:r>
      <w:r w:rsidRPr="00E17963">
        <w:rPr>
          <w:rFonts w:ascii="Times New Roman" w:hAnsi="Times New Roman"/>
          <w:sz w:val="22"/>
          <w:szCs w:val="22"/>
        </w:rPr>
        <w:t xml:space="preserve"> (“the Act”) to, among other things, provide greater clarity in relation to the </w:t>
      </w:r>
      <w:r w:rsidR="00951ECB" w:rsidRPr="00E17963">
        <w:rPr>
          <w:rFonts w:ascii="Times New Roman" w:hAnsi="Times New Roman"/>
          <w:sz w:val="22"/>
          <w:szCs w:val="22"/>
        </w:rPr>
        <w:t>processing</w:t>
      </w:r>
      <w:r w:rsidR="00985ECF" w:rsidRPr="00E17963">
        <w:rPr>
          <w:rFonts w:ascii="Times New Roman" w:hAnsi="Times New Roman"/>
          <w:sz w:val="22"/>
          <w:szCs w:val="22"/>
        </w:rPr>
        <w:t xml:space="preserve"> </w:t>
      </w:r>
      <w:r w:rsidRPr="00E17963">
        <w:rPr>
          <w:rFonts w:ascii="Times New Roman" w:hAnsi="Times New Roman"/>
          <w:sz w:val="22"/>
          <w:szCs w:val="22"/>
        </w:rPr>
        <w:t>of applications for the inclusion of therapeutic goods in the Australian Register of Therapeutic Goods (“the Register”)</w:t>
      </w:r>
      <w:r w:rsidR="00B87070" w:rsidRPr="00E17963">
        <w:rPr>
          <w:rFonts w:ascii="Times New Roman" w:hAnsi="Times New Roman"/>
          <w:sz w:val="22"/>
          <w:szCs w:val="22"/>
        </w:rPr>
        <w:t xml:space="preserve"> following the decision of the Federal Court in </w:t>
      </w:r>
      <w:proofErr w:type="spellStart"/>
      <w:r w:rsidR="00B87070" w:rsidRPr="00E17963">
        <w:rPr>
          <w:rFonts w:ascii="Times New Roman" w:hAnsi="Times New Roman"/>
          <w:i/>
          <w:iCs/>
          <w:sz w:val="22"/>
          <w:szCs w:val="22"/>
        </w:rPr>
        <w:t>Nicovations</w:t>
      </w:r>
      <w:proofErr w:type="spellEnd"/>
      <w:r w:rsidR="00B87070" w:rsidRPr="00E17963">
        <w:rPr>
          <w:rFonts w:ascii="Times New Roman" w:hAnsi="Times New Roman"/>
          <w:i/>
          <w:iCs/>
          <w:sz w:val="22"/>
          <w:szCs w:val="22"/>
        </w:rPr>
        <w:t xml:space="preserve"> Australia Pty Ltd v Secretary of the Department of Health</w:t>
      </w:r>
      <w:r w:rsidR="00B87070" w:rsidRPr="00E17963">
        <w:rPr>
          <w:rFonts w:ascii="Times New Roman" w:hAnsi="Times New Roman"/>
          <w:sz w:val="22"/>
          <w:szCs w:val="22"/>
        </w:rPr>
        <w:t xml:space="preserve"> [2016] FCA 394</w:t>
      </w:r>
      <w:r w:rsidR="00985ECF" w:rsidRPr="00E17963">
        <w:rPr>
          <w:rFonts w:ascii="Times New Roman" w:hAnsi="Times New Roman"/>
          <w:sz w:val="22"/>
          <w:szCs w:val="22"/>
        </w:rPr>
        <w:t>.</w:t>
      </w:r>
      <w:r w:rsidRPr="00E17963">
        <w:rPr>
          <w:rFonts w:ascii="Times New Roman" w:hAnsi="Times New Roman"/>
          <w:sz w:val="22"/>
          <w:szCs w:val="22"/>
        </w:rPr>
        <w:t xml:space="preserve"> </w:t>
      </w:r>
      <w:r w:rsidR="00BF4118" w:rsidRPr="00E17963">
        <w:rPr>
          <w:rFonts w:ascii="Times New Roman" w:hAnsi="Times New Roman"/>
          <w:sz w:val="22"/>
          <w:szCs w:val="22"/>
        </w:rPr>
        <w:t xml:space="preserve"> </w:t>
      </w:r>
      <w:r w:rsidR="00985ECF" w:rsidRPr="00E17963">
        <w:rPr>
          <w:rFonts w:ascii="Times New Roman" w:hAnsi="Times New Roman"/>
          <w:sz w:val="22"/>
          <w:szCs w:val="22"/>
        </w:rPr>
        <w:t xml:space="preserve">In particular, the Amendment Act introduced measures to require an application for the inclusion of a medicine, biological or medical device in the Register </w:t>
      </w:r>
      <w:r w:rsidR="00797CE3" w:rsidRPr="00E17963">
        <w:rPr>
          <w:rFonts w:ascii="Times New Roman" w:hAnsi="Times New Roman"/>
          <w:sz w:val="22"/>
          <w:szCs w:val="22"/>
        </w:rPr>
        <w:t xml:space="preserve">to </w:t>
      </w:r>
      <w:r w:rsidR="00985ECF" w:rsidRPr="00E17963">
        <w:rPr>
          <w:rFonts w:ascii="Times New Roman" w:hAnsi="Times New Roman"/>
          <w:sz w:val="22"/>
          <w:szCs w:val="22"/>
        </w:rPr>
        <w:t xml:space="preserve">meet certain preliminary requirements before the Secretary </w:t>
      </w:r>
      <w:r w:rsidR="00B87070" w:rsidRPr="00E17963">
        <w:rPr>
          <w:rFonts w:ascii="Times New Roman" w:hAnsi="Times New Roman"/>
          <w:sz w:val="22"/>
          <w:szCs w:val="22"/>
        </w:rPr>
        <w:t>is required to evaluate the application</w:t>
      </w:r>
      <w:r w:rsidR="00985ECF" w:rsidRPr="00E17963">
        <w:rPr>
          <w:rFonts w:ascii="Times New Roman" w:hAnsi="Times New Roman"/>
          <w:sz w:val="22"/>
          <w:szCs w:val="22"/>
        </w:rPr>
        <w:t xml:space="preserve">. </w:t>
      </w:r>
      <w:r w:rsidR="00BF4118" w:rsidRPr="00E17963">
        <w:rPr>
          <w:rFonts w:ascii="Times New Roman" w:hAnsi="Times New Roman"/>
          <w:sz w:val="22"/>
          <w:szCs w:val="22"/>
        </w:rPr>
        <w:t xml:space="preserve"> </w:t>
      </w:r>
      <w:r w:rsidR="00985ECF" w:rsidRPr="00E17963">
        <w:rPr>
          <w:rFonts w:ascii="Times New Roman" w:hAnsi="Times New Roman"/>
          <w:sz w:val="22"/>
          <w:szCs w:val="22"/>
        </w:rPr>
        <w:t>The Amendment Act also provided the Secretary with the power to refuse an application prior to evaluation if the application does not meet those requirements.</w:t>
      </w:r>
    </w:p>
    <w:p w14:paraId="6BE75C92" w14:textId="77777777" w:rsidR="00985ECF" w:rsidRPr="00E17963" w:rsidRDefault="00985ECF" w:rsidP="00985ECF">
      <w:pPr>
        <w:autoSpaceDE w:val="0"/>
        <w:autoSpaceDN w:val="0"/>
        <w:adjustRightInd w:val="0"/>
        <w:rPr>
          <w:rFonts w:ascii="Times New Roman" w:hAnsi="Times New Roman"/>
          <w:sz w:val="22"/>
          <w:szCs w:val="22"/>
        </w:rPr>
      </w:pPr>
    </w:p>
    <w:p w14:paraId="25D737F7" w14:textId="1C315D2F" w:rsidR="00985ECF" w:rsidRPr="00E17963" w:rsidRDefault="00985ECF" w:rsidP="00985ECF">
      <w:pPr>
        <w:rPr>
          <w:rFonts w:ascii="Times New Roman" w:hAnsi="Times New Roman"/>
          <w:sz w:val="22"/>
          <w:szCs w:val="22"/>
        </w:rPr>
      </w:pPr>
      <w:r w:rsidRPr="00E17963">
        <w:rPr>
          <w:rFonts w:ascii="Times New Roman" w:hAnsi="Times New Roman"/>
          <w:sz w:val="22"/>
          <w:szCs w:val="22"/>
        </w:rPr>
        <w:t>Th</w:t>
      </w:r>
      <w:r w:rsidR="00797CE3" w:rsidRPr="00E17963">
        <w:rPr>
          <w:rFonts w:ascii="Times New Roman" w:hAnsi="Times New Roman"/>
          <w:sz w:val="22"/>
          <w:szCs w:val="22"/>
        </w:rPr>
        <w:t>ese</w:t>
      </w:r>
      <w:r w:rsidRPr="00E17963">
        <w:rPr>
          <w:rFonts w:ascii="Times New Roman" w:hAnsi="Times New Roman"/>
          <w:sz w:val="22"/>
          <w:szCs w:val="22"/>
        </w:rPr>
        <w:t xml:space="preserve"> requirements include that an application has been made in accordance with the appropriate approved form for the </w:t>
      </w:r>
      <w:r w:rsidR="00797CE3" w:rsidRPr="00E17963">
        <w:rPr>
          <w:rFonts w:ascii="Times New Roman" w:hAnsi="Times New Roman"/>
          <w:sz w:val="22"/>
          <w:szCs w:val="22"/>
        </w:rPr>
        <w:t xml:space="preserve">relevant </w:t>
      </w:r>
      <w:r w:rsidRPr="00E17963">
        <w:rPr>
          <w:rFonts w:ascii="Times New Roman" w:hAnsi="Times New Roman"/>
          <w:sz w:val="22"/>
          <w:szCs w:val="22"/>
        </w:rPr>
        <w:t xml:space="preserve">class of therapeutic </w:t>
      </w:r>
      <w:r w:rsidR="00797CE3" w:rsidRPr="00E17963">
        <w:rPr>
          <w:rFonts w:ascii="Times New Roman" w:hAnsi="Times New Roman"/>
          <w:sz w:val="22"/>
          <w:szCs w:val="22"/>
        </w:rPr>
        <w:t>goods and</w:t>
      </w:r>
      <w:r w:rsidRPr="00E17963">
        <w:rPr>
          <w:rFonts w:ascii="Times New Roman" w:hAnsi="Times New Roman"/>
          <w:sz w:val="22"/>
          <w:szCs w:val="22"/>
        </w:rPr>
        <w:t xml:space="preserve"> is accompanied by the necessary kind of information needed to evaluate the application. </w:t>
      </w:r>
      <w:r w:rsidR="00BF4118" w:rsidRPr="00E17963">
        <w:rPr>
          <w:rFonts w:ascii="Times New Roman" w:hAnsi="Times New Roman"/>
          <w:sz w:val="22"/>
          <w:szCs w:val="22"/>
        </w:rPr>
        <w:t xml:space="preserve"> </w:t>
      </w:r>
      <w:r w:rsidRPr="00E17963">
        <w:rPr>
          <w:rFonts w:ascii="Times New Roman" w:hAnsi="Times New Roman"/>
          <w:sz w:val="22"/>
          <w:szCs w:val="22"/>
        </w:rPr>
        <w:t xml:space="preserve">The requirements are designed to enable the effective management of resources by the Department in the evaluation of therapeutic goods, and to create certainty for sponsors as to the appropriate regulatory pathway for their products. </w:t>
      </w:r>
      <w:r w:rsidR="00BF4118" w:rsidRPr="00E17963">
        <w:rPr>
          <w:rFonts w:ascii="Times New Roman" w:hAnsi="Times New Roman"/>
          <w:sz w:val="22"/>
          <w:szCs w:val="22"/>
        </w:rPr>
        <w:t xml:space="preserve"> </w:t>
      </w:r>
      <w:r w:rsidRPr="00E17963">
        <w:rPr>
          <w:rFonts w:ascii="Times New Roman" w:hAnsi="Times New Roman"/>
          <w:sz w:val="22"/>
          <w:szCs w:val="22"/>
        </w:rPr>
        <w:t xml:space="preserve">A full evaluation process represents a considerable investment in, and use of, Commonwealth resources. </w:t>
      </w:r>
      <w:r w:rsidR="00BF4118" w:rsidRPr="00E17963">
        <w:rPr>
          <w:rFonts w:ascii="Times New Roman" w:hAnsi="Times New Roman"/>
          <w:sz w:val="22"/>
          <w:szCs w:val="22"/>
        </w:rPr>
        <w:t xml:space="preserve"> </w:t>
      </w:r>
      <w:r w:rsidR="00536044" w:rsidRPr="00E17963">
        <w:rPr>
          <w:rFonts w:ascii="Times New Roman" w:hAnsi="Times New Roman"/>
          <w:sz w:val="22"/>
          <w:szCs w:val="22"/>
        </w:rPr>
        <w:t>Consequently, there are considerable efficiencies to be gained in mandating content and form requirements for applications to provide clarity regarding application requirements, to streamline application and evaluation processes, and to prevent delays in evaluating applications</w:t>
      </w:r>
      <w:r w:rsidRPr="00E17963">
        <w:rPr>
          <w:rFonts w:ascii="Times New Roman" w:hAnsi="Times New Roman"/>
          <w:sz w:val="22"/>
          <w:szCs w:val="22"/>
        </w:rPr>
        <w:t>.</w:t>
      </w:r>
    </w:p>
    <w:p w14:paraId="4CA0D561" w14:textId="77777777" w:rsidR="002C5EA2" w:rsidRPr="00E17963" w:rsidRDefault="002C5EA2" w:rsidP="002C5EA2">
      <w:pPr>
        <w:rPr>
          <w:rFonts w:ascii="Times New Roman" w:hAnsi="Times New Roman"/>
          <w:sz w:val="22"/>
          <w:szCs w:val="22"/>
        </w:rPr>
      </w:pPr>
    </w:p>
    <w:p w14:paraId="39AADA85" w14:textId="55B8E3DC" w:rsidR="00BF4118" w:rsidRPr="00E17963" w:rsidRDefault="00985ECF" w:rsidP="002C5EA2">
      <w:pPr>
        <w:rPr>
          <w:rFonts w:ascii="Times New Roman" w:hAnsi="Times New Roman"/>
          <w:sz w:val="22"/>
          <w:szCs w:val="22"/>
        </w:rPr>
      </w:pPr>
      <w:r w:rsidRPr="00E17963">
        <w:rPr>
          <w:rFonts w:ascii="Times New Roman" w:hAnsi="Times New Roman"/>
          <w:sz w:val="22"/>
          <w:szCs w:val="22"/>
        </w:rPr>
        <w:t>Specifically</w:t>
      </w:r>
      <w:r w:rsidR="002C5EA2" w:rsidRPr="00E17963">
        <w:rPr>
          <w:rFonts w:ascii="Times New Roman" w:hAnsi="Times New Roman"/>
          <w:sz w:val="22"/>
          <w:szCs w:val="22"/>
        </w:rPr>
        <w:t xml:space="preserve">, the Amendment Act introduced new sections 23A and 23B to the Act. </w:t>
      </w:r>
      <w:r w:rsidR="00BF4118" w:rsidRPr="00E17963">
        <w:rPr>
          <w:rFonts w:ascii="Times New Roman" w:hAnsi="Times New Roman"/>
          <w:sz w:val="22"/>
          <w:szCs w:val="22"/>
        </w:rPr>
        <w:t xml:space="preserve"> </w:t>
      </w:r>
      <w:r w:rsidR="002C5EA2" w:rsidRPr="00E17963">
        <w:rPr>
          <w:rFonts w:ascii="Times New Roman" w:hAnsi="Times New Roman"/>
          <w:sz w:val="22"/>
          <w:szCs w:val="22"/>
        </w:rPr>
        <w:t>Section 23A provides for the Secretary to specify different classes of therapeutic goods</w:t>
      </w:r>
      <w:r w:rsidR="00536044" w:rsidRPr="00E17963">
        <w:rPr>
          <w:rFonts w:ascii="Times New Roman" w:hAnsi="Times New Roman"/>
          <w:sz w:val="22"/>
          <w:szCs w:val="22"/>
        </w:rPr>
        <w:t>, by notifiable instrument,</w:t>
      </w:r>
      <w:r w:rsidR="002C5EA2" w:rsidRPr="00E17963">
        <w:rPr>
          <w:rFonts w:ascii="Times New Roman" w:hAnsi="Times New Roman"/>
          <w:sz w:val="22"/>
          <w:szCs w:val="22"/>
        </w:rPr>
        <w:t xml:space="preserve"> for the purposes of section 23B.</w:t>
      </w:r>
      <w:r w:rsidR="00BF4118" w:rsidRPr="00E17963">
        <w:rPr>
          <w:rFonts w:ascii="Times New Roman" w:hAnsi="Times New Roman"/>
          <w:sz w:val="22"/>
          <w:szCs w:val="22"/>
        </w:rPr>
        <w:t xml:space="preserve"> </w:t>
      </w:r>
      <w:r w:rsidR="002C5EA2" w:rsidRPr="00E17963">
        <w:rPr>
          <w:rFonts w:ascii="Times New Roman" w:hAnsi="Times New Roman"/>
          <w:sz w:val="22"/>
          <w:szCs w:val="22"/>
        </w:rPr>
        <w:t xml:space="preserve"> Section 23B sets out the preliminary assessment requirements relating to applications for the registration of therapeutic goods, and the listing of medicines under section 26AE of the Act. </w:t>
      </w:r>
      <w:r w:rsidR="00BF4118" w:rsidRPr="00E17963">
        <w:rPr>
          <w:rFonts w:ascii="Times New Roman" w:hAnsi="Times New Roman"/>
          <w:sz w:val="22"/>
          <w:szCs w:val="22"/>
        </w:rPr>
        <w:t xml:space="preserve"> These requirements include that the application must be accompanied by information that is of a kind determined under subsection 23</w:t>
      </w:r>
      <w:proofErr w:type="gramStart"/>
      <w:r w:rsidR="00BF4118" w:rsidRPr="00E17963">
        <w:rPr>
          <w:rFonts w:ascii="Times New Roman" w:hAnsi="Times New Roman"/>
          <w:sz w:val="22"/>
          <w:szCs w:val="22"/>
        </w:rPr>
        <w:t>B(</w:t>
      </w:r>
      <w:proofErr w:type="gramEnd"/>
      <w:r w:rsidR="00BF4118" w:rsidRPr="00E17963">
        <w:rPr>
          <w:rFonts w:ascii="Times New Roman" w:hAnsi="Times New Roman"/>
          <w:sz w:val="22"/>
          <w:szCs w:val="22"/>
        </w:rPr>
        <w:t>9) (subparagraph 23B(2)(d)(</w:t>
      </w:r>
      <w:proofErr w:type="spellStart"/>
      <w:r w:rsidR="00BF4118" w:rsidRPr="00E17963">
        <w:rPr>
          <w:rFonts w:ascii="Times New Roman" w:hAnsi="Times New Roman"/>
          <w:sz w:val="22"/>
          <w:szCs w:val="22"/>
        </w:rPr>
        <w:t>i</w:t>
      </w:r>
      <w:proofErr w:type="spellEnd"/>
      <w:r w:rsidR="00BF4118" w:rsidRPr="00E17963">
        <w:rPr>
          <w:rFonts w:ascii="Times New Roman" w:hAnsi="Times New Roman"/>
          <w:sz w:val="22"/>
          <w:szCs w:val="22"/>
        </w:rPr>
        <w:t>) of the Act</w:t>
      </w:r>
      <w:r w:rsidR="00C27244" w:rsidRPr="00E17963">
        <w:rPr>
          <w:rFonts w:ascii="Times New Roman" w:hAnsi="Times New Roman"/>
          <w:sz w:val="22"/>
          <w:szCs w:val="22"/>
        </w:rPr>
        <w:t xml:space="preserve"> refers</w:t>
      </w:r>
      <w:r w:rsidR="00BF4118" w:rsidRPr="00E17963">
        <w:rPr>
          <w:rFonts w:ascii="Times New Roman" w:hAnsi="Times New Roman"/>
          <w:sz w:val="22"/>
          <w:szCs w:val="22"/>
        </w:rPr>
        <w:t>), and that the information is in a form determined under subsection 23B(10) (subparagraph 23B(2)(d)(ii)</w:t>
      </w:r>
      <w:r w:rsidR="00C27244" w:rsidRPr="00E17963">
        <w:rPr>
          <w:rFonts w:ascii="Times New Roman" w:hAnsi="Times New Roman"/>
          <w:sz w:val="22"/>
          <w:szCs w:val="22"/>
        </w:rPr>
        <w:t xml:space="preserve"> of the Act refers</w:t>
      </w:r>
      <w:r w:rsidR="00BF4118" w:rsidRPr="00E17963">
        <w:rPr>
          <w:rFonts w:ascii="Times New Roman" w:hAnsi="Times New Roman"/>
          <w:sz w:val="22"/>
          <w:szCs w:val="22"/>
        </w:rPr>
        <w:t>).</w:t>
      </w:r>
    </w:p>
    <w:p w14:paraId="7810A099" w14:textId="77777777" w:rsidR="002C5EA2" w:rsidRPr="00E17963" w:rsidRDefault="002C5EA2" w:rsidP="002C5EA2">
      <w:pPr>
        <w:rPr>
          <w:rFonts w:ascii="Times New Roman" w:hAnsi="Times New Roman"/>
          <w:sz w:val="22"/>
          <w:szCs w:val="22"/>
        </w:rPr>
      </w:pPr>
    </w:p>
    <w:p w14:paraId="30EE0A30" w14:textId="77777777" w:rsidR="002C5EA2" w:rsidRPr="00E17963" w:rsidRDefault="002C5EA2" w:rsidP="002C5EA2">
      <w:pPr>
        <w:rPr>
          <w:rFonts w:ascii="Times New Roman" w:hAnsi="Times New Roman"/>
          <w:sz w:val="22"/>
          <w:szCs w:val="22"/>
        </w:rPr>
      </w:pPr>
      <w:r w:rsidRPr="00E17963">
        <w:rPr>
          <w:rFonts w:ascii="Times New Roman" w:hAnsi="Times New Roman"/>
          <w:sz w:val="22"/>
          <w:szCs w:val="22"/>
        </w:rPr>
        <w:t>Subsection 23</w:t>
      </w:r>
      <w:proofErr w:type="gramStart"/>
      <w:r w:rsidRPr="00E17963">
        <w:rPr>
          <w:rFonts w:ascii="Times New Roman" w:hAnsi="Times New Roman"/>
          <w:sz w:val="22"/>
          <w:szCs w:val="22"/>
        </w:rPr>
        <w:t>B(</w:t>
      </w:r>
      <w:proofErr w:type="gramEnd"/>
      <w:r w:rsidRPr="00E17963">
        <w:rPr>
          <w:rFonts w:ascii="Times New Roman" w:hAnsi="Times New Roman"/>
          <w:sz w:val="22"/>
          <w:szCs w:val="22"/>
        </w:rPr>
        <w:t>9) of the Act relevantly provides that the Secretary may, by legislative instrument, determine a kind of information for the purposes of the application of subparagraph 23B(2)(d)(</w:t>
      </w:r>
      <w:proofErr w:type="spellStart"/>
      <w:r w:rsidRPr="00E17963">
        <w:rPr>
          <w:rFonts w:ascii="Times New Roman" w:hAnsi="Times New Roman"/>
          <w:sz w:val="22"/>
          <w:szCs w:val="22"/>
        </w:rPr>
        <w:t>i</w:t>
      </w:r>
      <w:proofErr w:type="spellEnd"/>
      <w:r w:rsidRPr="00E17963">
        <w:rPr>
          <w:rFonts w:ascii="Times New Roman" w:hAnsi="Times New Roman"/>
          <w:sz w:val="22"/>
          <w:szCs w:val="22"/>
        </w:rPr>
        <w:t>) of the Act to a class of therapeutic goods that is specified under section 23A of the Act.</w:t>
      </w:r>
    </w:p>
    <w:p w14:paraId="3709AFFA" w14:textId="77777777" w:rsidR="002C5EA2" w:rsidRPr="00E17963" w:rsidRDefault="002C5EA2" w:rsidP="002C5EA2">
      <w:pPr>
        <w:rPr>
          <w:rFonts w:ascii="Times New Roman" w:hAnsi="Times New Roman"/>
          <w:sz w:val="22"/>
          <w:szCs w:val="22"/>
        </w:rPr>
      </w:pPr>
    </w:p>
    <w:p w14:paraId="14FD5D4A" w14:textId="3F374F33" w:rsidR="002C5EA2" w:rsidRPr="00E17963" w:rsidRDefault="00536044" w:rsidP="002C5EA2">
      <w:pPr>
        <w:rPr>
          <w:rFonts w:ascii="Times New Roman" w:hAnsi="Times New Roman"/>
          <w:sz w:val="22"/>
          <w:szCs w:val="22"/>
        </w:rPr>
      </w:pPr>
      <w:r w:rsidRPr="00E17963">
        <w:rPr>
          <w:rFonts w:ascii="Times New Roman" w:hAnsi="Times New Roman"/>
          <w:sz w:val="22"/>
          <w:szCs w:val="22"/>
        </w:rPr>
        <w:t>C</w:t>
      </w:r>
      <w:r w:rsidR="002C5EA2" w:rsidRPr="00E17963">
        <w:rPr>
          <w:rFonts w:ascii="Times New Roman" w:hAnsi="Times New Roman"/>
          <w:sz w:val="22"/>
          <w:szCs w:val="22"/>
        </w:rPr>
        <w:t xml:space="preserve">lasses of therapeutic goods are specified in the </w:t>
      </w:r>
      <w:r w:rsidR="002C5EA2" w:rsidRPr="00E17963">
        <w:rPr>
          <w:rFonts w:ascii="Times New Roman" w:hAnsi="Times New Roman"/>
          <w:i/>
          <w:iCs/>
          <w:sz w:val="22"/>
          <w:szCs w:val="22"/>
        </w:rPr>
        <w:t>Therapeutic Goods (Classes of Therapeutic Goods) Instrument 2018</w:t>
      </w:r>
      <w:r w:rsidR="00630307" w:rsidRPr="00E17963">
        <w:rPr>
          <w:rFonts w:ascii="Times New Roman" w:hAnsi="Times New Roman"/>
          <w:sz w:val="22"/>
          <w:szCs w:val="22"/>
        </w:rPr>
        <w:t xml:space="preserve"> (“the Classes Instrument”)</w:t>
      </w:r>
      <w:r w:rsidRPr="00E17963">
        <w:rPr>
          <w:rFonts w:ascii="Times New Roman" w:hAnsi="Times New Roman"/>
          <w:sz w:val="22"/>
          <w:szCs w:val="22"/>
        </w:rPr>
        <w:t xml:space="preserve">, which </w:t>
      </w:r>
      <w:r w:rsidR="002C5EA2" w:rsidRPr="00E17963">
        <w:rPr>
          <w:rFonts w:ascii="Times New Roman" w:hAnsi="Times New Roman"/>
          <w:sz w:val="22"/>
          <w:szCs w:val="22"/>
        </w:rPr>
        <w:t>is made</w:t>
      </w:r>
      <w:r w:rsidR="00B02EDD" w:rsidRPr="00E17963">
        <w:rPr>
          <w:rFonts w:ascii="Times New Roman" w:hAnsi="Times New Roman"/>
          <w:sz w:val="22"/>
          <w:szCs w:val="22"/>
        </w:rPr>
        <w:t xml:space="preserve"> under</w:t>
      </w:r>
      <w:r w:rsidR="002C5EA2" w:rsidRPr="00E17963">
        <w:rPr>
          <w:rFonts w:ascii="Times New Roman" w:hAnsi="Times New Roman"/>
          <w:sz w:val="22"/>
          <w:szCs w:val="22"/>
        </w:rPr>
        <w:t xml:space="preserve"> section 23A of the Act </w:t>
      </w:r>
      <w:r w:rsidR="00CD49F2" w:rsidRPr="00E17963">
        <w:rPr>
          <w:rFonts w:ascii="Times New Roman" w:hAnsi="Times New Roman"/>
          <w:sz w:val="22"/>
          <w:szCs w:val="22"/>
        </w:rPr>
        <w:t>and</w:t>
      </w:r>
      <w:r w:rsidR="002C5EA2" w:rsidRPr="00E17963">
        <w:rPr>
          <w:rFonts w:ascii="Times New Roman" w:hAnsi="Times New Roman"/>
          <w:sz w:val="22"/>
          <w:szCs w:val="22"/>
        </w:rPr>
        <w:t xml:space="preserve"> includ</w:t>
      </w:r>
      <w:r w:rsidR="00CD49F2" w:rsidRPr="00E17963">
        <w:rPr>
          <w:rFonts w:ascii="Times New Roman" w:hAnsi="Times New Roman"/>
          <w:sz w:val="22"/>
          <w:szCs w:val="22"/>
        </w:rPr>
        <w:t>es</w:t>
      </w:r>
      <w:r w:rsidR="002C5EA2" w:rsidRPr="00E17963">
        <w:rPr>
          <w:rFonts w:ascii="Times New Roman" w:hAnsi="Times New Roman"/>
          <w:sz w:val="22"/>
          <w:szCs w:val="22"/>
        </w:rPr>
        <w:t xml:space="preserve"> the class ‘prescription and other </w:t>
      </w:r>
      <w:proofErr w:type="gramStart"/>
      <w:r w:rsidR="002C5EA2" w:rsidRPr="00E17963">
        <w:rPr>
          <w:rFonts w:ascii="Times New Roman" w:hAnsi="Times New Roman"/>
          <w:sz w:val="22"/>
          <w:szCs w:val="22"/>
        </w:rPr>
        <w:t>medicines’</w:t>
      </w:r>
      <w:proofErr w:type="gramEnd"/>
      <w:r w:rsidR="002C5EA2" w:rsidRPr="00E17963">
        <w:rPr>
          <w:rFonts w:ascii="Times New Roman" w:hAnsi="Times New Roman"/>
          <w:sz w:val="22"/>
          <w:szCs w:val="22"/>
        </w:rPr>
        <w:t>.</w:t>
      </w:r>
    </w:p>
    <w:p w14:paraId="56F09FF2" w14:textId="77777777" w:rsidR="002C5EA2" w:rsidRPr="00E17963" w:rsidRDefault="002C5EA2" w:rsidP="002C5EA2">
      <w:pPr>
        <w:rPr>
          <w:rFonts w:ascii="Times New Roman" w:hAnsi="Times New Roman"/>
          <w:sz w:val="22"/>
          <w:szCs w:val="22"/>
        </w:rPr>
      </w:pPr>
    </w:p>
    <w:p w14:paraId="630383AD" w14:textId="7A60942C" w:rsidR="00630307" w:rsidRPr="00E17963" w:rsidRDefault="00630307" w:rsidP="00630307">
      <w:pPr>
        <w:rPr>
          <w:rFonts w:ascii="Times New Roman" w:hAnsi="Times New Roman"/>
          <w:sz w:val="22"/>
          <w:szCs w:val="22"/>
        </w:rPr>
      </w:pPr>
      <w:r w:rsidRPr="00E17963">
        <w:rPr>
          <w:rFonts w:ascii="Times New Roman" w:hAnsi="Times New Roman"/>
          <w:sz w:val="22"/>
          <w:szCs w:val="22"/>
        </w:rPr>
        <w:t>The instrument is made under subsection 23</w:t>
      </w:r>
      <w:proofErr w:type="gramStart"/>
      <w:r w:rsidRPr="00E17963">
        <w:rPr>
          <w:rFonts w:ascii="Times New Roman" w:hAnsi="Times New Roman"/>
          <w:sz w:val="22"/>
          <w:szCs w:val="22"/>
        </w:rPr>
        <w:t>B(</w:t>
      </w:r>
      <w:proofErr w:type="gramEnd"/>
      <w:r w:rsidRPr="00E17963">
        <w:rPr>
          <w:rFonts w:ascii="Times New Roman" w:hAnsi="Times New Roman"/>
          <w:sz w:val="22"/>
          <w:szCs w:val="22"/>
        </w:rPr>
        <w:t>9) of the Act for the purposes of subparagraph 23B(2)(d)(</w:t>
      </w:r>
      <w:proofErr w:type="spellStart"/>
      <w:r w:rsidRPr="00E17963">
        <w:rPr>
          <w:rFonts w:ascii="Times New Roman" w:hAnsi="Times New Roman"/>
          <w:sz w:val="22"/>
          <w:szCs w:val="22"/>
        </w:rPr>
        <w:t>i</w:t>
      </w:r>
      <w:proofErr w:type="spellEnd"/>
      <w:r w:rsidRPr="00E17963">
        <w:rPr>
          <w:rFonts w:ascii="Times New Roman" w:hAnsi="Times New Roman"/>
          <w:sz w:val="22"/>
          <w:szCs w:val="22"/>
        </w:rPr>
        <w:t xml:space="preserve">). </w:t>
      </w:r>
      <w:r w:rsidR="00BF4118" w:rsidRPr="00E17963">
        <w:rPr>
          <w:rFonts w:ascii="Times New Roman" w:hAnsi="Times New Roman"/>
          <w:sz w:val="22"/>
          <w:szCs w:val="22"/>
        </w:rPr>
        <w:t xml:space="preserve"> </w:t>
      </w:r>
      <w:r w:rsidRPr="00E17963">
        <w:rPr>
          <w:rFonts w:ascii="Times New Roman" w:hAnsi="Times New Roman"/>
          <w:sz w:val="22"/>
          <w:szCs w:val="22"/>
        </w:rPr>
        <w:t xml:space="preserve">It has the effect of determining that an application for </w:t>
      </w:r>
      <w:r w:rsidR="00C27244" w:rsidRPr="00E17963">
        <w:rPr>
          <w:rFonts w:ascii="Times New Roman" w:hAnsi="Times New Roman"/>
          <w:sz w:val="22"/>
          <w:szCs w:val="22"/>
        </w:rPr>
        <w:t xml:space="preserve">the </w:t>
      </w:r>
      <w:r w:rsidRPr="00E17963">
        <w:rPr>
          <w:rFonts w:ascii="Times New Roman" w:hAnsi="Times New Roman"/>
          <w:sz w:val="22"/>
          <w:szCs w:val="22"/>
        </w:rPr>
        <w:t>registration of a medicine in the ‘prescription and other medicines’ class (specified in paragraph 4(1)(a) of the Classes Instrument and mentioned in Schedule 1 to the instrument</w:t>
      </w:r>
      <w:r w:rsidR="00712DE4" w:rsidRPr="00E17963">
        <w:rPr>
          <w:rFonts w:ascii="Times New Roman" w:hAnsi="Times New Roman"/>
          <w:sz w:val="22"/>
          <w:szCs w:val="22"/>
        </w:rPr>
        <w:t>)</w:t>
      </w:r>
      <w:r w:rsidRPr="00E17963">
        <w:rPr>
          <w:rFonts w:ascii="Times New Roman" w:hAnsi="Times New Roman"/>
          <w:sz w:val="22"/>
          <w:szCs w:val="22"/>
        </w:rPr>
        <w:t>, must be accompanied by the kind of information specified for the particular medicine in the following documents</w:t>
      </w:r>
      <w:r w:rsidR="00712DE4" w:rsidRPr="00E17963">
        <w:rPr>
          <w:rFonts w:ascii="Times New Roman" w:hAnsi="Times New Roman"/>
          <w:sz w:val="22"/>
          <w:szCs w:val="22"/>
        </w:rPr>
        <w:t xml:space="preserve"> published by the TGA</w:t>
      </w:r>
      <w:r w:rsidRPr="00E17963">
        <w:rPr>
          <w:rFonts w:ascii="Times New Roman" w:hAnsi="Times New Roman"/>
          <w:sz w:val="22"/>
          <w:szCs w:val="22"/>
        </w:rPr>
        <w:t>:</w:t>
      </w:r>
    </w:p>
    <w:p w14:paraId="18DF736B" w14:textId="77777777" w:rsidR="00630307" w:rsidRPr="00E17963" w:rsidRDefault="00630307" w:rsidP="00205E9B">
      <w:pPr>
        <w:pStyle w:val="ListParagraph"/>
        <w:numPr>
          <w:ilvl w:val="0"/>
          <w:numId w:val="4"/>
        </w:numPr>
        <w:ind w:left="714" w:hanging="357"/>
        <w:rPr>
          <w:rFonts w:ascii="Times New Roman" w:hAnsi="Times New Roman"/>
          <w:sz w:val="22"/>
          <w:szCs w:val="22"/>
        </w:rPr>
      </w:pPr>
      <w:r w:rsidRPr="00E17963">
        <w:rPr>
          <w:rFonts w:ascii="Times New Roman" w:hAnsi="Times New Roman"/>
          <w:bCs/>
          <w:iCs/>
          <w:sz w:val="22"/>
          <w:szCs w:val="22"/>
        </w:rPr>
        <w:t xml:space="preserve">the document titled </w:t>
      </w:r>
      <w:r w:rsidRPr="00E17963">
        <w:rPr>
          <w:rFonts w:ascii="Times New Roman" w:hAnsi="Times New Roman"/>
          <w:bCs/>
          <w:i/>
          <w:sz w:val="22"/>
          <w:szCs w:val="22"/>
        </w:rPr>
        <w:t>CTD Module 1: Administrative information and prescribing information for Australia</w:t>
      </w:r>
      <w:r w:rsidRPr="00E17963">
        <w:rPr>
          <w:rFonts w:ascii="Times New Roman" w:hAnsi="Times New Roman"/>
          <w:bCs/>
          <w:iCs/>
          <w:sz w:val="22"/>
          <w:szCs w:val="22"/>
        </w:rPr>
        <w:t xml:space="preserve"> (Version 4.3, December 2020)</w:t>
      </w:r>
      <w:r w:rsidRPr="00E17963">
        <w:rPr>
          <w:rFonts w:ascii="Times New Roman" w:hAnsi="Times New Roman"/>
          <w:sz w:val="22"/>
          <w:szCs w:val="22"/>
        </w:rPr>
        <w:t>; and</w:t>
      </w:r>
    </w:p>
    <w:p w14:paraId="4F5B951B" w14:textId="2905AF47" w:rsidR="00630307" w:rsidRPr="00E17963" w:rsidRDefault="00630307" w:rsidP="00630307">
      <w:pPr>
        <w:pStyle w:val="ListParagraph"/>
        <w:numPr>
          <w:ilvl w:val="0"/>
          <w:numId w:val="4"/>
        </w:numPr>
        <w:rPr>
          <w:rFonts w:ascii="Times New Roman" w:hAnsi="Times New Roman"/>
          <w:sz w:val="22"/>
          <w:szCs w:val="22"/>
        </w:rPr>
      </w:pPr>
      <w:r w:rsidRPr="00E17963">
        <w:rPr>
          <w:rFonts w:ascii="Times New Roman" w:hAnsi="Times New Roman"/>
          <w:bCs/>
          <w:iCs/>
          <w:sz w:val="22"/>
          <w:szCs w:val="22"/>
        </w:rPr>
        <w:t xml:space="preserve">the document titled </w:t>
      </w:r>
      <w:r w:rsidRPr="00E17963">
        <w:rPr>
          <w:rFonts w:ascii="Times New Roman" w:hAnsi="Times New Roman"/>
          <w:bCs/>
          <w:i/>
          <w:sz w:val="22"/>
          <w:szCs w:val="22"/>
        </w:rPr>
        <w:t>Mandatory requirements for an effective application</w:t>
      </w:r>
      <w:r w:rsidRPr="00E17963">
        <w:rPr>
          <w:rFonts w:ascii="Times New Roman" w:hAnsi="Times New Roman"/>
          <w:bCs/>
          <w:iCs/>
          <w:sz w:val="22"/>
          <w:szCs w:val="22"/>
        </w:rPr>
        <w:t xml:space="preserve"> (Version 4.1, June</w:t>
      </w:r>
      <w:r w:rsidR="00BF4118" w:rsidRPr="00E17963">
        <w:rPr>
          <w:rFonts w:ascii="Times New Roman" w:hAnsi="Times New Roman"/>
          <w:bCs/>
          <w:iCs/>
          <w:sz w:val="22"/>
          <w:szCs w:val="22"/>
        </w:rPr>
        <w:t> </w:t>
      </w:r>
      <w:r w:rsidRPr="00E17963">
        <w:rPr>
          <w:rFonts w:ascii="Times New Roman" w:hAnsi="Times New Roman"/>
          <w:bCs/>
          <w:iCs/>
          <w:sz w:val="22"/>
          <w:szCs w:val="22"/>
        </w:rPr>
        <w:t>2022).</w:t>
      </w:r>
    </w:p>
    <w:p w14:paraId="3AF1CF6E" w14:textId="77777777" w:rsidR="00630307" w:rsidRPr="00E17963" w:rsidRDefault="00630307" w:rsidP="002C5EA2">
      <w:pPr>
        <w:rPr>
          <w:rFonts w:ascii="Times New Roman" w:hAnsi="Times New Roman"/>
          <w:sz w:val="22"/>
          <w:szCs w:val="22"/>
        </w:rPr>
      </w:pPr>
    </w:p>
    <w:p w14:paraId="72701641" w14:textId="77777777" w:rsidR="00712DE4" w:rsidRPr="00E17963" w:rsidRDefault="00712DE4" w:rsidP="0030123E">
      <w:pPr>
        <w:rPr>
          <w:rFonts w:ascii="Times New Roman" w:hAnsi="Times New Roman"/>
          <w:b/>
          <w:sz w:val="22"/>
          <w:szCs w:val="22"/>
        </w:rPr>
      </w:pPr>
    </w:p>
    <w:p w14:paraId="5B34F536" w14:textId="7970AB7F" w:rsidR="007231B2" w:rsidRPr="00E17963" w:rsidRDefault="007231B2" w:rsidP="0030123E">
      <w:pPr>
        <w:rPr>
          <w:rFonts w:ascii="Times New Roman" w:hAnsi="Times New Roman"/>
          <w:b/>
          <w:sz w:val="22"/>
          <w:szCs w:val="22"/>
        </w:rPr>
      </w:pPr>
      <w:r w:rsidRPr="00E17963">
        <w:rPr>
          <w:rFonts w:ascii="Times New Roman" w:hAnsi="Times New Roman"/>
          <w:b/>
          <w:sz w:val="22"/>
          <w:szCs w:val="22"/>
        </w:rPr>
        <w:t>Human rights implications</w:t>
      </w:r>
    </w:p>
    <w:p w14:paraId="19B00797" w14:textId="77777777" w:rsidR="0030123E" w:rsidRPr="00E17963" w:rsidRDefault="0030123E" w:rsidP="0030123E">
      <w:pPr>
        <w:rPr>
          <w:rFonts w:ascii="Times New Roman" w:hAnsi="Times New Roman"/>
          <w:sz w:val="22"/>
          <w:szCs w:val="22"/>
        </w:rPr>
      </w:pPr>
    </w:p>
    <w:p w14:paraId="36D1852B" w14:textId="5A21ED7D" w:rsidR="004164A4" w:rsidRPr="00E17963" w:rsidRDefault="004164A4" w:rsidP="004164A4">
      <w:pPr>
        <w:rPr>
          <w:rFonts w:ascii="Times New Roman" w:hAnsi="Times New Roman"/>
          <w:sz w:val="22"/>
          <w:szCs w:val="22"/>
        </w:rPr>
      </w:pPr>
      <w:r w:rsidRPr="00E17963">
        <w:rPr>
          <w:rFonts w:ascii="Times New Roman" w:hAnsi="Times New Roman"/>
          <w:sz w:val="22"/>
          <w:szCs w:val="22"/>
        </w:rPr>
        <w:t xml:space="preserve">The instrument engages the right to health in Article 12 of the </w:t>
      </w:r>
      <w:r w:rsidRPr="00E17963">
        <w:rPr>
          <w:rFonts w:ascii="Times New Roman" w:hAnsi="Times New Roman"/>
          <w:i/>
          <w:iCs/>
          <w:sz w:val="22"/>
          <w:szCs w:val="22"/>
        </w:rPr>
        <w:t>International Covenant on Economic, Social and Cultural Rights</w:t>
      </w:r>
      <w:r w:rsidRPr="00E17963">
        <w:rPr>
          <w:rFonts w:ascii="Times New Roman" w:hAnsi="Times New Roman"/>
          <w:sz w:val="22"/>
          <w:szCs w:val="22"/>
        </w:rPr>
        <w:t xml:space="preserve"> (“the ICESCR”).  Article 12 of the ICESCR promotes the</w:t>
      </w:r>
      <w:r w:rsidR="00594125" w:rsidRPr="00E17963">
        <w:rPr>
          <w:rFonts w:ascii="Times New Roman" w:hAnsi="Times New Roman"/>
          <w:sz w:val="22"/>
          <w:szCs w:val="22"/>
        </w:rPr>
        <w:t> </w:t>
      </w:r>
      <w:r w:rsidRPr="00E17963">
        <w:rPr>
          <w:rFonts w:ascii="Times New Roman" w:hAnsi="Times New Roman"/>
          <w:sz w:val="22"/>
          <w:szCs w:val="22"/>
        </w:rPr>
        <w:t xml:space="preserve">right of all individuals to enjoy the highest attainable standards of physical and mental health.  In </w:t>
      </w:r>
      <w:r w:rsidRPr="00E17963">
        <w:rPr>
          <w:rFonts w:ascii="Times New Roman" w:hAnsi="Times New Roman"/>
          <w:i/>
          <w:iCs/>
          <w:sz w:val="22"/>
          <w:szCs w:val="22"/>
        </w:rPr>
        <w:t>General Comment No. 14: The Right to the Highest Attainable Standard of Health (Art. 12) (2000)</w:t>
      </w:r>
      <w:r w:rsidRPr="00E17963">
        <w:rPr>
          <w:rFonts w:ascii="Times New Roman" w:hAnsi="Times New Roman"/>
          <w:sz w:val="22"/>
          <w:szCs w:val="22"/>
        </w:rPr>
        <w:t>,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1EEE8143" w14:textId="77777777" w:rsidR="004164A4" w:rsidRPr="00E17963" w:rsidRDefault="004164A4" w:rsidP="004164A4">
      <w:pPr>
        <w:rPr>
          <w:rFonts w:ascii="Times New Roman" w:hAnsi="Times New Roman"/>
          <w:sz w:val="22"/>
          <w:szCs w:val="22"/>
        </w:rPr>
      </w:pPr>
    </w:p>
    <w:p w14:paraId="6136003C" w14:textId="4CB93759" w:rsidR="002240D3" w:rsidRPr="00E17963" w:rsidRDefault="004164A4" w:rsidP="007110BF">
      <w:pPr>
        <w:rPr>
          <w:rFonts w:ascii="Times New Roman" w:hAnsi="Times New Roman"/>
          <w:sz w:val="22"/>
          <w:szCs w:val="22"/>
        </w:rPr>
      </w:pPr>
      <w:r w:rsidRPr="00E17963">
        <w:rPr>
          <w:rFonts w:ascii="Times New Roman" w:hAnsi="Times New Roman"/>
          <w:sz w:val="22"/>
          <w:szCs w:val="22"/>
        </w:rPr>
        <w:t xml:space="preserve">The instrument takes positive steps to promote the right to health by </w:t>
      </w:r>
      <w:r w:rsidR="007110BF" w:rsidRPr="00E17963">
        <w:rPr>
          <w:rFonts w:ascii="Times New Roman" w:hAnsi="Times New Roman"/>
          <w:sz w:val="22"/>
          <w:szCs w:val="22"/>
        </w:rPr>
        <w:t xml:space="preserve">ensuring </w:t>
      </w:r>
      <w:r w:rsidR="007B2D87" w:rsidRPr="00E17963">
        <w:rPr>
          <w:rFonts w:ascii="Times New Roman" w:hAnsi="Times New Roman"/>
          <w:sz w:val="22"/>
          <w:szCs w:val="22"/>
        </w:rPr>
        <w:t xml:space="preserve">that </w:t>
      </w:r>
      <w:r w:rsidR="007110BF" w:rsidRPr="00E17963">
        <w:rPr>
          <w:rFonts w:ascii="Times New Roman" w:hAnsi="Times New Roman"/>
          <w:sz w:val="22"/>
          <w:szCs w:val="22"/>
        </w:rPr>
        <w:t>the</w:t>
      </w:r>
      <w:r w:rsidR="002240D3" w:rsidRPr="00E17963">
        <w:rPr>
          <w:rFonts w:ascii="Times New Roman" w:hAnsi="Times New Roman"/>
          <w:sz w:val="22"/>
          <w:szCs w:val="22"/>
        </w:rPr>
        <w:t xml:space="preserve">re is sufficient information accompanying an application for registration of a prescription or other medicine to enable the application to be processed by the Secretary in an effective and timely manner. </w:t>
      </w:r>
      <w:r w:rsidR="00BF4118" w:rsidRPr="00E17963">
        <w:rPr>
          <w:rFonts w:ascii="Times New Roman" w:hAnsi="Times New Roman"/>
          <w:sz w:val="22"/>
          <w:szCs w:val="22"/>
        </w:rPr>
        <w:t xml:space="preserve"> </w:t>
      </w:r>
      <w:r w:rsidR="002240D3" w:rsidRPr="00E17963">
        <w:rPr>
          <w:rFonts w:ascii="Times New Roman" w:hAnsi="Times New Roman"/>
          <w:sz w:val="22"/>
          <w:szCs w:val="22"/>
        </w:rPr>
        <w:t xml:space="preserve">The information that must accompany such an application for registration will assist in ensuring </w:t>
      </w:r>
      <w:r w:rsidR="0025102A" w:rsidRPr="00E17963">
        <w:rPr>
          <w:rFonts w:ascii="Times New Roman" w:hAnsi="Times New Roman"/>
          <w:sz w:val="22"/>
          <w:szCs w:val="22"/>
        </w:rPr>
        <w:t xml:space="preserve">the </w:t>
      </w:r>
      <w:r w:rsidR="00CC53AC" w:rsidRPr="00E17963">
        <w:rPr>
          <w:rFonts w:ascii="Times New Roman" w:hAnsi="Times New Roman"/>
          <w:sz w:val="22"/>
          <w:szCs w:val="22"/>
        </w:rPr>
        <w:t xml:space="preserve">quality, </w:t>
      </w:r>
      <w:proofErr w:type="gramStart"/>
      <w:r w:rsidR="002240D3" w:rsidRPr="00E17963">
        <w:rPr>
          <w:rFonts w:ascii="Times New Roman" w:hAnsi="Times New Roman"/>
          <w:sz w:val="22"/>
          <w:szCs w:val="22"/>
        </w:rPr>
        <w:t>safety</w:t>
      </w:r>
      <w:proofErr w:type="gramEnd"/>
      <w:r w:rsidR="002240D3" w:rsidRPr="00E17963">
        <w:rPr>
          <w:rFonts w:ascii="Times New Roman" w:hAnsi="Times New Roman"/>
          <w:sz w:val="22"/>
          <w:szCs w:val="22"/>
        </w:rPr>
        <w:t xml:space="preserve"> and efficacy</w:t>
      </w:r>
      <w:r w:rsidR="0025102A" w:rsidRPr="00E17963">
        <w:rPr>
          <w:rFonts w:ascii="Times New Roman" w:hAnsi="Times New Roman"/>
          <w:sz w:val="22"/>
          <w:szCs w:val="22"/>
        </w:rPr>
        <w:t xml:space="preserve"> of these medicines</w:t>
      </w:r>
      <w:r w:rsidR="002240D3" w:rsidRPr="00E17963">
        <w:rPr>
          <w:rFonts w:ascii="Times New Roman" w:hAnsi="Times New Roman"/>
          <w:sz w:val="22"/>
          <w:szCs w:val="22"/>
        </w:rPr>
        <w:t>, as well as their timely availability in Australia.</w:t>
      </w:r>
    </w:p>
    <w:p w14:paraId="64ABB41F" w14:textId="77777777" w:rsidR="002240D3" w:rsidRPr="00E17963" w:rsidRDefault="002240D3" w:rsidP="007110BF">
      <w:pPr>
        <w:rPr>
          <w:rFonts w:ascii="Times New Roman" w:hAnsi="Times New Roman"/>
          <w:sz w:val="22"/>
          <w:szCs w:val="22"/>
        </w:rPr>
      </w:pPr>
    </w:p>
    <w:p w14:paraId="4344FD06" w14:textId="77777777" w:rsidR="007110BF" w:rsidRPr="00E17963" w:rsidRDefault="007110BF" w:rsidP="007110BF">
      <w:pPr>
        <w:rPr>
          <w:rFonts w:ascii="Times New Roman" w:hAnsi="Times New Roman"/>
          <w:sz w:val="22"/>
          <w:szCs w:val="22"/>
        </w:rPr>
      </w:pPr>
    </w:p>
    <w:p w14:paraId="4087B911" w14:textId="30E9B012" w:rsidR="0030123E" w:rsidRPr="00E17963" w:rsidRDefault="0030123E" w:rsidP="0030123E">
      <w:pPr>
        <w:rPr>
          <w:rFonts w:ascii="Times New Roman" w:hAnsi="Times New Roman"/>
          <w:b/>
          <w:sz w:val="22"/>
          <w:szCs w:val="22"/>
        </w:rPr>
      </w:pPr>
      <w:r w:rsidRPr="00E17963">
        <w:rPr>
          <w:rFonts w:ascii="Times New Roman" w:hAnsi="Times New Roman"/>
          <w:b/>
          <w:sz w:val="22"/>
          <w:szCs w:val="22"/>
        </w:rPr>
        <w:t>Conclusion</w:t>
      </w:r>
    </w:p>
    <w:p w14:paraId="31D39146" w14:textId="77777777" w:rsidR="0030123E" w:rsidRPr="00E17963" w:rsidRDefault="0030123E" w:rsidP="0030123E">
      <w:pPr>
        <w:rPr>
          <w:rFonts w:ascii="Times New Roman" w:hAnsi="Times New Roman"/>
          <w:sz w:val="22"/>
          <w:szCs w:val="22"/>
        </w:rPr>
      </w:pPr>
    </w:p>
    <w:p w14:paraId="56471AFE" w14:textId="18F9C5E9" w:rsidR="00853624" w:rsidRPr="00D30A7E" w:rsidRDefault="007110BF" w:rsidP="007110BF">
      <w:pPr>
        <w:rPr>
          <w:rFonts w:ascii="Times New Roman" w:hAnsi="Times New Roman"/>
          <w:sz w:val="22"/>
          <w:szCs w:val="22"/>
        </w:rPr>
      </w:pPr>
      <w:r w:rsidRPr="00E17963">
        <w:rPr>
          <w:rFonts w:ascii="Times New Roman" w:hAnsi="Times New Roman"/>
          <w:sz w:val="22"/>
          <w:szCs w:val="22"/>
        </w:rPr>
        <w:t>This legislative instrument is compatible with human rights because it promotes the right to health</w:t>
      </w:r>
      <w:r w:rsidRPr="00D30A7E">
        <w:rPr>
          <w:rFonts w:ascii="Times New Roman" w:hAnsi="Times New Roman"/>
          <w:sz w:val="22"/>
          <w:szCs w:val="22"/>
        </w:rPr>
        <w:t xml:space="preserve"> in Article 12 of the ICESCR and otherwise does not raise any other human rights issues.</w:t>
      </w:r>
    </w:p>
    <w:sectPr w:rsidR="00853624" w:rsidRPr="00D30A7E" w:rsidSect="000675AB">
      <w:headerReference w:type="even" r:id="rId8"/>
      <w:headerReference w:type="default" r:id="rId9"/>
      <w:footerReference w:type="default" r:id="rId10"/>
      <w:footerReference w:type="first" r:id="rId11"/>
      <w:pgSz w:w="11907" w:h="16840" w:code="9"/>
      <w:pgMar w:top="1134" w:right="1701" w:bottom="1021"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9FAB1" w14:textId="77777777" w:rsidR="009E6382" w:rsidRDefault="009E6382">
      <w:r>
        <w:separator/>
      </w:r>
    </w:p>
  </w:endnote>
  <w:endnote w:type="continuationSeparator" w:id="0">
    <w:p w14:paraId="6C2B1404" w14:textId="77777777" w:rsidR="009E6382" w:rsidRDefault="009E6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5972775"/>
      <w:docPartObj>
        <w:docPartGallery w:val="Page Numbers (Bottom of Page)"/>
        <w:docPartUnique/>
      </w:docPartObj>
    </w:sdtPr>
    <w:sdtEndPr>
      <w:rPr>
        <w:noProof/>
      </w:rPr>
    </w:sdtEndPr>
    <w:sdtContent>
      <w:p w14:paraId="0BA79E05" w14:textId="77777777" w:rsidR="006011C9" w:rsidRDefault="006011C9">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3865C9DC" w14:textId="77777777" w:rsidR="006011C9" w:rsidRPr="00877529" w:rsidRDefault="006011C9" w:rsidP="00877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45249" w14:textId="77777777" w:rsidR="006011C9" w:rsidRDefault="006011C9" w:rsidP="007F5E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B1438E" w14:textId="77777777" w:rsidR="009E6382" w:rsidRDefault="009E6382">
      <w:r>
        <w:separator/>
      </w:r>
    </w:p>
  </w:footnote>
  <w:footnote w:type="continuationSeparator" w:id="0">
    <w:p w14:paraId="778902AF" w14:textId="77777777" w:rsidR="009E6382" w:rsidRDefault="009E6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77292" w14:textId="77777777" w:rsidR="006011C9" w:rsidRDefault="006011C9" w:rsidP="007F5E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32CAC" w14:textId="77777777" w:rsidR="006011C9" w:rsidRDefault="006011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31B75" w14:textId="77777777" w:rsidR="006011C9" w:rsidRDefault="006011C9" w:rsidP="00AD1943">
    <w:pPr>
      <w:pStyle w:val="Header"/>
      <w:tabs>
        <w:tab w:val="clear" w:pos="4153"/>
        <w:tab w:val="clear" w:pos="8306"/>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F3649"/>
    <w:multiLevelType w:val="hybridMultilevel"/>
    <w:tmpl w:val="A7641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6A7A95"/>
    <w:multiLevelType w:val="hybridMultilevel"/>
    <w:tmpl w:val="E594FB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18621A11"/>
    <w:multiLevelType w:val="hybridMultilevel"/>
    <w:tmpl w:val="477E2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CC1B3F"/>
    <w:multiLevelType w:val="hybridMultilevel"/>
    <w:tmpl w:val="10B44D68"/>
    <w:lvl w:ilvl="0" w:tplc="35C2A95E">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707F0394"/>
    <w:multiLevelType w:val="hybridMultilevel"/>
    <w:tmpl w:val="D87EFEDE"/>
    <w:lvl w:ilvl="0" w:tplc="09CC3552">
      <w:start w:val="1"/>
      <w:numFmt w:val="lowerLetter"/>
      <w:lvlText w:val="(%1)"/>
      <w:lvlJc w:val="left"/>
      <w:pPr>
        <w:ind w:left="530" w:hanging="360"/>
      </w:pPr>
      <w:rPr>
        <w:rFonts w:hint="default"/>
      </w:rPr>
    </w:lvl>
    <w:lvl w:ilvl="1" w:tplc="0C090019" w:tentative="1">
      <w:start w:val="1"/>
      <w:numFmt w:val="lowerLetter"/>
      <w:lvlText w:val="%2."/>
      <w:lvlJc w:val="left"/>
      <w:pPr>
        <w:ind w:left="1250" w:hanging="360"/>
      </w:pPr>
    </w:lvl>
    <w:lvl w:ilvl="2" w:tplc="0C09001B" w:tentative="1">
      <w:start w:val="1"/>
      <w:numFmt w:val="lowerRoman"/>
      <w:lvlText w:val="%3."/>
      <w:lvlJc w:val="right"/>
      <w:pPr>
        <w:ind w:left="1970" w:hanging="180"/>
      </w:pPr>
    </w:lvl>
    <w:lvl w:ilvl="3" w:tplc="0C09000F" w:tentative="1">
      <w:start w:val="1"/>
      <w:numFmt w:val="decimal"/>
      <w:lvlText w:val="%4."/>
      <w:lvlJc w:val="left"/>
      <w:pPr>
        <w:ind w:left="2690" w:hanging="360"/>
      </w:pPr>
    </w:lvl>
    <w:lvl w:ilvl="4" w:tplc="0C090019" w:tentative="1">
      <w:start w:val="1"/>
      <w:numFmt w:val="lowerLetter"/>
      <w:lvlText w:val="%5."/>
      <w:lvlJc w:val="left"/>
      <w:pPr>
        <w:ind w:left="3410" w:hanging="360"/>
      </w:pPr>
    </w:lvl>
    <w:lvl w:ilvl="5" w:tplc="0C09001B" w:tentative="1">
      <w:start w:val="1"/>
      <w:numFmt w:val="lowerRoman"/>
      <w:lvlText w:val="%6."/>
      <w:lvlJc w:val="right"/>
      <w:pPr>
        <w:ind w:left="4130" w:hanging="180"/>
      </w:pPr>
    </w:lvl>
    <w:lvl w:ilvl="6" w:tplc="0C09000F" w:tentative="1">
      <w:start w:val="1"/>
      <w:numFmt w:val="decimal"/>
      <w:lvlText w:val="%7."/>
      <w:lvlJc w:val="left"/>
      <w:pPr>
        <w:ind w:left="4850" w:hanging="360"/>
      </w:pPr>
    </w:lvl>
    <w:lvl w:ilvl="7" w:tplc="0C090019" w:tentative="1">
      <w:start w:val="1"/>
      <w:numFmt w:val="lowerLetter"/>
      <w:lvlText w:val="%8."/>
      <w:lvlJc w:val="left"/>
      <w:pPr>
        <w:ind w:left="5570" w:hanging="360"/>
      </w:pPr>
    </w:lvl>
    <w:lvl w:ilvl="8" w:tplc="0C09001B" w:tentative="1">
      <w:start w:val="1"/>
      <w:numFmt w:val="lowerRoman"/>
      <w:lvlText w:val="%9."/>
      <w:lvlJc w:val="right"/>
      <w:pPr>
        <w:ind w:left="6290" w:hanging="180"/>
      </w:pPr>
    </w:lvl>
  </w:abstractNum>
  <w:abstractNum w:abstractNumId="5" w15:restartNumberingAfterBreak="0">
    <w:nsid w:val="72667CE7"/>
    <w:multiLevelType w:val="hybridMultilevel"/>
    <w:tmpl w:val="F4B8E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4537703"/>
    <w:multiLevelType w:val="hybridMultilevel"/>
    <w:tmpl w:val="F956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2"/>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1B2"/>
    <w:rsid w:val="0000389D"/>
    <w:rsid w:val="00012656"/>
    <w:rsid w:val="000129A0"/>
    <w:rsid w:val="00013323"/>
    <w:rsid w:val="00014D8F"/>
    <w:rsid w:val="000151BE"/>
    <w:rsid w:val="00025116"/>
    <w:rsid w:val="000257B7"/>
    <w:rsid w:val="00035254"/>
    <w:rsid w:val="000372AF"/>
    <w:rsid w:val="00037CA7"/>
    <w:rsid w:val="00042068"/>
    <w:rsid w:val="00045BDF"/>
    <w:rsid w:val="00064C77"/>
    <w:rsid w:val="0006546D"/>
    <w:rsid w:val="000664F1"/>
    <w:rsid w:val="00066CAF"/>
    <w:rsid w:val="000675AB"/>
    <w:rsid w:val="00072CA3"/>
    <w:rsid w:val="00080F79"/>
    <w:rsid w:val="000836D4"/>
    <w:rsid w:val="00085CCF"/>
    <w:rsid w:val="0009078D"/>
    <w:rsid w:val="000917B7"/>
    <w:rsid w:val="00092F0C"/>
    <w:rsid w:val="00093E11"/>
    <w:rsid w:val="00094B6D"/>
    <w:rsid w:val="00094D51"/>
    <w:rsid w:val="000954EF"/>
    <w:rsid w:val="00096083"/>
    <w:rsid w:val="00096CD5"/>
    <w:rsid w:val="000A0B26"/>
    <w:rsid w:val="000A1279"/>
    <w:rsid w:val="000A1F6B"/>
    <w:rsid w:val="000A5402"/>
    <w:rsid w:val="000A57F6"/>
    <w:rsid w:val="000A5AE3"/>
    <w:rsid w:val="000B005F"/>
    <w:rsid w:val="000B58FD"/>
    <w:rsid w:val="000B7645"/>
    <w:rsid w:val="000C3A89"/>
    <w:rsid w:val="000D45CA"/>
    <w:rsid w:val="000D45DC"/>
    <w:rsid w:val="000E4089"/>
    <w:rsid w:val="000F1DC9"/>
    <w:rsid w:val="000F2215"/>
    <w:rsid w:val="000F414D"/>
    <w:rsid w:val="00105F23"/>
    <w:rsid w:val="00113CA7"/>
    <w:rsid w:val="00115FCF"/>
    <w:rsid w:val="00116077"/>
    <w:rsid w:val="001262A6"/>
    <w:rsid w:val="00132FF7"/>
    <w:rsid w:val="0013396D"/>
    <w:rsid w:val="00141D8C"/>
    <w:rsid w:val="00146B03"/>
    <w:rsid w:val="00147EBC"/>
    <w:rsid w:val="00157BA1"/>
    <w:rsid w:val="00165428"/>
    <w:rsid w:val="00172B38"/>
    <w:rsid w:val="001811A6"/>
    <w:rsid w:val="00190FC6"/>
    <w:rsid w:val="00195047"/>
    <w:rsid w:val="00197BB2"/>
    <w:rsid w:val="001A1188"/>
    <w:rsid w:val="001A4C5C"/>
    <w:rsid w:val="001A5A89"/>
    <w:rsid w:val="001C30A4"/>
    <w:rsid w:val="001D19ED"/>
    <w:rsid w:val="001D3026"/>
    <w:rsid w:val="001D5008"/>
    <w:rsid w:val="001E334A"/>
    <w:rsid w:val="001E6D11"/>
    <w:rsid w:val="001F1376"/>
    <w:rsid w:val="001F5E72"/>
    <w:rsid w:val="001F73A0"/>
    <w:rsid w:val="00200CC0"/>
    <w:rsid w:val="00201305"/>
    <w:rsid w:val="00204B5E"/>
    <w:rsid w:val="00205E9B"/>
    <w:rsid w:val="0020766A"/>
    <w:rsid w:val="002240D3"/>
    <w:rsid w:val="002308E0"/>
    <w:rsid w:val="0023790D"/>
    <w:rsid w:val="0025102A"/>
    <w:rsid w:val="002666A0"/>
    <w:rsid w:val="002707DC"/>
    <w:rsid w:val="002714A7"/>
    <w:rsid w:val="002757A6"/>
    <w:rsid w:val="00277520"/>
    <w:rsid w:val="0028480D"/>
    <w:rsid w:val="00287F27"/>
    <w:rsid w:val="00287FCA"/>
    <w:rsid w:val="00292B07"/>
    <w:rsid w:val="00294A49"/>
    <w:rsid w:val="00294DFA"/>
    <w:rsid w:val="002B1768"/>
    <w:rsid w:val="002B1D7C"/>
    <w:rsid w:val="002C5EA2"/>
    <w:rsid w:val="002D37B0"/>
    <w:rsid w:val="002E0A39"/>
    <w:rsid w:val="002E2C4A"/>
    <w:rsid w:val="002E3566"/>
    <w:rsid w:val="002F2C22"/>
    <w:rsid w:val="002F3953"/>
    <w:rsid w:val="0030123E"/>
    <w:rsid w:val="00301377"/>
    <w:rsid w:val="003057AE"/>
    <w:rsid w:val="0031255D"/>
    <w:rsid w:val="00314200"/>
    <w:rsid w:val="00324D6B"/>
    <w:rsid w:val="003321D3"/>
    <w:rsid w:val="00337507"/>
    <w:rsid w:val="0034158F"/>
    <w:rsid w:val="0034282D"/>
    <w:rsid w:val="003473D3"/>
    <w:rsid w:val="0034742D"/>
    <w:rsid w:val="00350252"/>
    <w:rsid w:val="003533D3"/>
    <w:rsid w:val="003542E9"/>
    <w:rsid w:val="00361519"/>
    <w:rsid w:val="00366DB2"/>
    <w:rsid w:val="00387260"/>
    <w:rsid w:val="00395762"/>
    <w:rsid w:val="00395FAE"/>
    <w:rsid w:val="003A50EA"/>
    <w:rsid w:val="003B2462"/>
    <w:rsid w:val="003C04A2"/>
    <w:rsid w:val="003C16E5"/>
    <w:rsid w:val="003C17BC"/>
    <w:rsid w:val="003C191C"/>
    <w:rsid w:val="003C223D"/>
    <w:rsid w:val="003C2A3E"/>
    <w:rsid w:val="003C52E5"/>
    <w:rsid w:val="003C565E"/>
    <w:rsid w:val="003C635E"/>
    <w:rsid w:val="003D187B"/>
    <w:rsid w:val="003D2315"/>
    <w:rsid w:val="003D3C6A"/>
    <w:rsid w:val="003E0599"/>
    <w:rsid w:val="003F64DA"/>
    <w:rsid w:val="0040666F"/>
    <w:rsid w:val="00407004"/>
    <w:rsid w:val="00407BD8"/>
    <w:rsid w:val="00413B76"/>
    <w:rsid w:val="004164A4"/>
    <w:rsid w:val="00420786"/>
    <w:rsid w:val="00421CF2"/>
    <w:rsid w:val="004324BB"/>
    <w:rsid w:val="004366EB"/>
    <w:rsid w:val="0044018D"/>
    <w:rsid w:val="00442059"/>
    <w:rsid w:val="004431A7"/>
    <w:rsid w:val="00451CCD"/>
    <w:rsid w:val="00453338"/>
    <w:rsid w:val="0046020B"/>
    <w:rsid w:val="00462DFB"/>
    <w:rsid w:val="0046497F"/>
    <w:rsid w:val="00464E36"/>
    <w:rsid w:val="00467116"/>
    <w:rsid w:val="00473CD2"/>
    <w:rsid w:val="00473F00"/>
    <w:rsid w:val="00480D1D"/>
    <w:rsid w:val="004818B1"/>
    <w:rsid w:val="00481C2F"/>
    <w:rsid w:val="004833CC"/>
    <w:rsid w:val="00486AE4"/>
    <w:rsid w:val="00487413"/>
    <w:rsid w:val="00490CE7"/>
    <w:rsid w:val="004966C9"/>
    <w:rsid w:val="00497396"/>
    <w:rsid w:val="004A1A83"/>
    <w:rsid w:val="004B2AAC"/>
    <w:rsid w:val="004B4B45"/>
    <w:rsid w:val="004B7DFF"/>
    <w:rsid w:val="004D1519"/>
    <w:rsid w:val="004E1773"/>
    <w:rsid w:val="004E32CA"/>
    <w:rsid w:val="004E668D"/>
    <w:rsid w:val="004E7C78"/>
    <w:rsid w:val="004F2CA3"/>
    <w:rsid w:val="004F33FD"/>
    <w:rsid w:val="004F4A20"/>
    <w:rsid w:val="005000FF"/>
    <w:rsid w:val="00504A03"/>
    <w:rsid w:val="005327F5"/>
    <w:rsid w:val="005340C6"/>
    <w:rsid w:val="00536044"/>
    <w:rsid w:val="0053604F"/>
    <w:rsid w:val="0054626F"/>
    <w:rsid w:val="005539E1"/>
    <w:rsid w:val="00560B2A"/>
    <w:rsid w:val="00561F82"/>
    <w:rsid w:val="005623D6"/>
    <w:rsid w:val="0057215F"/>
    <w:rsid w:val="00580AF5"/>
    <w:rsid w:val="00593609"/>
    <w:rsid w:val="00594125"/>
    <w:rsid w:val="005961E5"/>
    <w:rsid w:val="0059755B"/>
    <w:rsid w:val="005A1878"/>
    <w:rsid w:val="005B1AF9"/>
    <w:rsid w:val="005C02D8"/>
    <w:rsid w:val="005C235E"/>
    <w:rsid w:val="005C529F"/>
    <w:rsid w:val="005D2FC2"/>
    <w:rsid w:val="005D5ECA"/>
    <w:rsid w:val="005E15CB"/>
    <w:rsid w:val="005E1BCC"/>
    <w:rsid w:val="005E26CD"/>
    <w:rsid w:val="005E71BE"/>
    <w:rsid w:val="005E7ABA"/>
    <w:rsid w:val="005F2138"/>
    <w:rsid w:val="006011C9"/>
    <w:rsid w:val="0060165C"/>
    <w:rsid w:val="00603ED5"/>
    <w:rsid w:val="006050CA"/>
    <w:rsid w:val="00605E56"/>
    <w:rsid w:val="00607490"/>
    <w:rsid w:val="00611E64"/>
    <w:rsid w:val="00616634"/>
    <w:rsid w:val="00617DE2"/>
    <w:rsid w:val="00621156"/>
    <w:rsid w:val="006217AB"/>
    <w:rsid w:val="00622597"/>
    <w:rsid w:val="0062448C"/>
    <w:rsid w:val="006264E3"/>
    <w:rsid w:val="00630307"/>
    <w:rsid w:val="00634C8C"/>
    <w:rsid w:val="006351A7"/>
    <w:rsid w:val="00635C35"/>
    <w:rsid w:val="00636FD2"/>
    <w:rsid w:val="0065023A"/>
    <w:rsid w:val="00650907"/>
    <w:rsid w:val="0065156C"/>
    <w:rsid w:val="00656611"/>
    <w:rsid w:val="0066158A"/>
    <w:rsid w:val="00662DFB"/>
    <w:rsid w:val="006667BD"/>
    <w:rsid w:val="00667327"/>
    <w:rsid w:val="006709C9"/>
    <w:rsid w:val="006833B2"/>
    <w:rsid w:val="00695811"/>
    <w:rsid w:val="006A75F9"/>
    <w:rsid w:val="006B0291"/>
    <w:rsid w:val="006B6723"/>
    <w:rsid w:val="006B6868"/>
    <w:rsid w:val="006C1D2A"/>
    <w:rsid w:val="006C3F6D"/>
    <w:rsid w:val="006E3506"/>
    <w:rsid w:val="006F22BA"/>
    <w:rsid w:val="006F372C"/>
    <w:rsid w:val="006F7A45"/>
    <w:rsid w:val="00700FE9"/>
    <w:rsid w:val="0070469F"/>
    <w:rsid w:val="007110BF"/>
    <w:rsid w:val="00712DE4"/>
    <w:rsid w:val="007231B2"/>
    <w:rsid w:val="00723277"/>
    <w:rsid w:val="00723D4C"/>
    <w:rsid w:val="00730B87"/>
    <w:rsid w:val="00733C83"/>
    <w:rsid w:val="00735A9C"/>
    <w:rsid w:val="0073656E"/>
    <w:rsid w:val="00737D92"/>
    <w:rsid w:val="007444E7"/>
    <w:rsid w:val="007505C7"/>
    <w:rsid w:val="007529F8"/>
    <w:rsid w:val="007603FD"/>
    <w:rsid w:val="00776AC7"/>
    <w:rsid w:val="00776B2B"/>
    <w:rsid w:val="007805FF"/>
    <w:rsid w:val="00796E4B"/>
    <w:rsid w:val="00797CE3"/>
    <w:rsid w:val="007A0A2B"/>
    <w:rsid w:val="007A2E78"/>
    <w:rsid w:val="007B18F6"/>
    <w:rsid w:val="007B2D87"/>
    <w:rsid w:val="007C1299"/>
    <w:rsid w:val="007C2577"/>
    <w:rsid w:val="007D3909"/>
    <w:rsid w:val="007D454B"/>
    <w:rsid w:val="007E4CD6"/>
    <w:rsid w:val="007F06AE"/>
    <w:rsid w:val="007F5E46"/>
    <w:rsid w:val="008002A1"/>
    <w:rsid w:val="00812679"/>
    <w:rsid w:val="00813DFF"/>
    <w:rsid w:val="00813F58"/>
    <w:rsid w:val="00820BA2"/>
    <w:rsid w:val="00824C87"/>
    <w:rsid w:val="00826B69"/>
    <w:rsid w:val="00846A95"/>
    <w:rsid w:val="00850919"/>
    <w:rsid w:val="00852478"/>
    <w:rsid w:val="008528B3"/>
    <w:rsid w:val="00853624"/>
    <w:rsid w:val="00853F80"/>
    <w:rsid w:val="008553EC"/>
    <w:rsid w:val="008566DA"/>
    <w:rsid w:val="00862B50"/>
    <w:rsid w:val="00863009"/>
    <w:rsid w:val="00863BDC"/>
    <w:rsid w:val="00877529"/>
    <w:rsid w:val="00891CD0"/>
    <w:rsid w:val="0089273D"/>
    <w:rsid w:val="0089549B"/>
    <w:rsid w:val="008A4504"/>
    <w:rsid w:val="008B6B9F"/>
    <w:rsid w:val="008C2DFA"/>
    <w:rsid w:val="008C7D76"/>
    <w:rsid w:val="008D0491"/>
    <w:rsid w:val="008D1520"/>
    <w:rsid w:val="008E4262"/>
    <w:rsid w:val="008E7CA0"/>
    <w:rsid w:val="008F0DE7"/>
    <w:rsid w:val="008F7C91"/>
    <w:rsid w:val="00912C71"/>
    <w:rsid w:val="00924BE6"/>
    <w:rsid w:val="009300E0"/>
    <w:rsid w:val="00933626"/>
    <w:rsid w:val="009377D2"/>
    <w:rsid w:val="0094112E"/>
    <w:rsid w:val="00942C94"/>
    <w:rsid w:val="00946A18"/>
    <w:rsid w:val="00946D6F"/>
    <w:rsid w:val="00950602"/>
    <w:rsid w:val="0095160E"/>
    <w:rsid w:val="00951ECB"/>
    <w:rsid w:val="00954C8A"/>
    <w:rsid w:val="00957D1D"/>
    <w:rsid w:val="00961DBB"/>
    <w:rsid w:val="009662E2"/>
    <w:rsid w:val="00967299"/>
    <w:rsid w:val="0097078B"/>
    <w:rsid w:val="00970B28"/>
    <w:rsid w:val="00985ECF"/>
    <w:rsid w:val="00986F25"/>
    <w:rsid w:val="0099181C"/>
    <w:rsid w:val="009A4CA4"/>
    <w:rsid w:val="009B084B"/>
    <w:rsid w:val="009B2729"/>
    <w:rsid w:val="009D24B6"/>
    <w:rsid w:val="009E4235"/>
    <w:rsid w:val="009E6382"/>
    <w:rsid w:val="009F042D"/>
    <w:rsid w:val="009F079E"/>
    <w:rsid w:val="009F1610"/>
    <w:rsid w:val="009F1A03"/>
    <w:rsid w:val="009F5692"/>
    <w:rsid w:val="009F7C21"/>
    <w:rsid w:val="00A01398"/>
    <w:rsid w:val="00A01D86"/>
    <w:rsid w:val="00A0659F"/>
    <w:rsid w:val="00A1397B"/>
    <w:rsid w:val="00A15F26"/>
    <w:rsid w:val="00A23F76"/>
    <w:rsid w:val="00A27874"/>
    <w:rsid w:val="00A27C61"/>
    <w:rsid w:val="00A309AD"/>
    <w:rsid w:val="00A33510"/>
    <w:rsid w:val="00A35596"/>
    <w:rsid w:val="00A374C4"/>
    <w:rsid w:val="00A42AB8"/>
    <w:rsid w:val="00A51246"/>
    <w:rsid w:val="00A5338E"/>
    <w:rsid w:val="00A6223E"/>
    <w:rsid w:val="00A65717"/>
    <w:rsid w:val="00A74B02"/>
    <w:rsid w:val="00A76193"/>
    <w:rsid w:val="00A81139"/>
    <w:rsid w:val="00A85BAA"/>
    <w:rsid w:val="00A91B54"/>
    <w:rsid w:val="00A941AB"/>
    <w:rsid w:val="00AA47C4"/>
    <w:rsid w:val="00AA6C67"/>
    <w:rsid w:val="00AB49B2"/>
    <w:rsid w:val="00AC0B76"/>
    <w:rsid w:val="00AC0C99"/>
    <w:rsid w:val="00AC59C2"/>
    <w:rsid w:val="00AD1943"/>
    <w:rsid w:val="00AD7403"/>
    <w:rsid w:val="00AE04AB"/>
    <w:rsid w:val="00AE29B9"/>
    <w:rsid w:val="00AE750C"/>
    <w:rsid w:val="00AF61D6"/>
    <w:rsid w:val="00B02EDD"/>
    <w:rsid w:val="00B04C63"/>
    <w:rsid w:val="00B04E0B"/>
    <w:rsid w:val="00B0517F"/>
    <w:rsid w:val="00B05C36"/>
    <w:rsid w:val="00B07040"/>
    <w:rsid w:val="00B071F4"/>
    <w:rsid w:val="00B105B0"/>
    <w:rsid w:val="00B10B79"/>
    <w:rsid w:val="00B1375C"/>
    <w:rsid w:val="00B279BF"/>
    <w:rsid w:val="00B339C2"/>
    <w:rsid w:val="00B4475C"/>
    <w:rsid w:val="00B60387"/>
    <w:rsid w:val="00B761CB"/>
    <w:rsid w:val="00B8360C"/>
    <w:rsid w:val="00B87070"/>
    <w:rsid w:val="00B8739B"/>
    <w:rsid w:val="00BA30C2"/>
    <w:rsid w:val="00BA366D"/>
    <w:rsid w:val="00BB1578"/>
    <w:rsid w:val="00BB5E69"/>
    <w:rsid w:val="00BB708E"/>
    <w:rsid w:val="00BC4C90"/>
    <w:rsid w:val="00BC551A"/>
    <w:rsid w:val="00BD342D"/>
    <w:rsid w:val="00BE1F0C"/>
    <w:rsid w:val="00BE215A"/>
    <w:rsid w:val="00BF4118"/>
    <w:rsid w:val="00C01456"/>
    <w:rsid w:val="00C03905"/>
    <w:rsid w:val="00C061E3"/>
    <w:rsid w:val="00C0721E"/>
    <w:rsid w:val="00C109D1"/>
    <w:rsid w:val="00C21B58"/>
    <w:rsid w:val="00C27244"/>
    <w:rsid w:val="00C27768"/>
    <w:rsid w:val="00C318E5"/>
    <w:rsid w:val="00C3349C"/>
    <w:rsid w:val="00C377F0"/>
    <w:rsid w:val="00C42896"/>
    <w:rsid w:val="00C44E02"/>
    <w:rsid w:val="00C45F4D"/>
    <w:rsid w:val="00C51AC0"/>
    <w:rsid w:val="00C54F44"/>
    <w:rsid w:val="00C62ABA"/>
    <w:rsid w:val="00C62CD2"/>
    <w:rsid w:val="00C64F2C"/>
    <w:rsid w:val="00C650E1"/>
    <w:rsid w:val="00C65D06"/>
    <w:rsid w:val="00C66DC2"/>
    <w:rsid w:val="00C74E09"/>
    <w:rsid w:val="00C86C60"/>
    <w:rsid w:val="00C933AA"/>
    <w:rsid w:val="00CA5153"/>
    <w:rsid w:val="00CA60A9"/>
    <w:rsid w:val="00CA7C73"/>
    <w:rsid w:val="00CB3006"/>
    <w:rsid w:val="00CB4CA9"/>
    <w:rsid w:val="00CC233B"/>
    <w:rsid w:val="00CC53AC"/>
    <w:rsid w:val="00CC588D"/>
    <w:rsid w:val="00CC7CE5"/>
    <w:rsid w:val="00CD25AD"/>
    <w:rsid w:val="00CD46EE"/>
    <w:rsid w:val="00CD49F2"/>
    <w:rsid w:val="00CD6487"/>
    <w:rsid w:val="00CF1662"/>
    <w:rsid w:val="00CF36D5"/>
    <w:rsid w:val="00CF7239"/>
    <w:rsid w:val="00D00488"/>
    <w:rsid w:val="00D1427F"/>
    <w:rsid w:val="00D16A53"/>
    <w:rsid w:val="00D30A7E"/>
    <w:rsid w:val="00D41D94"/>
    <w:rsid w:val="00D53194"/>
    <w:rsid w:val="00D56FFC"/>
    <w:rsid w:val="00D636EA"/>
    <w:rsid w:val="00D71635"/>
    <w:rsid w:val="00D74AC5"/>
    <w:rsid w:val="00D91994"/>
    <w:rsid w:val="00D936F7"/>
    <w:rsid w:val="00D938ED"/>
    <w:rsid w:val="00DA231C"/>
    <w:rsid w:val="00DA6E14"/>
    <w:rsid w:val="00DA735D"/>
    <w:rsid w:val="00DB4E3C"/>
    <w:rsid w:val="00DB5E73"/>
    <w:rsid w:val="00DB766E"/>
    <w:rsid w:val="00DC0B9E"/>
    <w:rsid w:val="00DC7829"/>
    <w:rsid w:val="00DD1B27"/>
    <w:rsid w:val="00DD3DBC"/>
    <w:rsid w:val="00DE1A9E"/>
    <w:rsid w:val="00DF0128"/>
    <w:rsid w:val="00DF0B72"/>
    <w:rsid w:val="00DF7F7E"/>
    <w:rsid w:val="00E0126C"/>
    <w:rsid w:val="00E013EB"/>
    <w:rsid w:val="00E01D06"/>
    <w:rsid w:val="00E02B26"/>
    <w:rsid w:val="00E0415F"/>
    <w:rsid w:val="00E046D0"/>
    <w:rsid w:val="00E0552A"/>
    <w:rsid w:val="00E05819"/>
    <w:rsid w:val="00E06A99"/>
    <w:rsid w:val="00E17963"/>
    <w:rsid w:val="00E20D95"/>
    <w:rsid w:val="00E268F2"/>
    <w:rsid w:val="00E32FD9"/>
    <w:rsid w:val="00E3485C"/>
    <w:rsid w:val="00E43D84"/>
    <w:rsid w:val="00E44DB1"/>
    <w:rsid w:val="00E46796"/>
    <w:rsid w:val="00E54856"/>
    <w:rsid w:val="00E55089"/>
    <w:rsid w:val="00E566BD"/>
    <w:rsid w:val="00E62E77"/>
    <w:rsid w:val="00E77251"/>
    <w:rsid w:val="00E84FA8"/>
    <w:rsid w:val="00E876EF"/>
    <w:rsid w:val="00E90759"/>
    <w:rsid w:val="00E92FFE"/>
    <w:rsid w:val="00E97364"/>
    <w:rsid w:val="00EA4431"/>
    <w:rsid w:val="00EA4EA8"/>
    <w:rsid w:val="00EB0061"/>
    <w:rsid w:val="00EB4DA4"/>
    <w:rsid w:val="00EC079E"/>
    <w:rsid w:val="00EC5991"/>
    <w:rsid w:val="00ED1D1B"/>
    <w:rsid w:val="00ED3829"/>
    <w:rsid w:val="00EE2D71"/>
    <w:rsid w:val="00EE7511"/>
    <w:rsid w:val="00EF1A58"/>
    <w:rsid w:val="00EF5682"/>
    <w:rsid w:val="00F013C1"/>
    <w:rsid w:val="00F071D4"/>
    <w:rsid w:val="00F13638"/>
    <w:rsid w:val="00F26F50"/>
    <w:rsid w:val="00F30219"/>
    <w:rsid w:val="00F31646"/>
    <w:rsid w:val="00F348DA"/>
    <w:rsid w:val="00F41CB2"/>
    <w:rsid w:val="00F44D4E"/>
    <w:rsid w:val="00F75ABB"/>
    <w:rsid w:val="00F82F38"/>
    <w:rsid w:val="00F841B5"/>
    <w:rsid w:val="00F84730"/>
    <w:rsid w:val="00F86F17"/>
    <w:rsid w:val="00F94FB3"/>
    <w:rsid w:val="00F9539A"/>
    <w:rsid w:val="00FA47BE"/>
    <w:rsid w:val="00FA593F"/>
    <w:rsid w:val="00FA7E1B"/>
    <w:rsid w:val="00FB2407"/>
    <w:rsid w:val="00FB60EC"/>
    <w:rsid w:val="00FB6877"/>
    <w:rsid w:val="00FC0F7B"/>
    <w:rsid w:val="00FC14E0"/>
    <w:rsid w:val="00FC3E91"/>
    <w:rsid w:val="00FD1554"/>
    <w:rsid w:val="00FD41F1"/>
    <w:rsid w:val="00FD6770"/>
    <w:rsid w:val="00FE1D0B"/>
    <w:rsid w:val="00FE7A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970A0"/>
  <w15:docId w15:val="{7A963794-EA10-4586-AC1C-366146989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1B2"/>
    <w:pPr>
      <w:spacing w:after="0" w:line="240" w:lineRule="auto"/>
    </w:pPr>
    <w:rPr>
      <w:rFonts w:ascii="Tms Rmn" w:eastAsia="Times New Roman" w:hAnsi="Tms Rm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B2"/>
    <w:pPr>
      <w:tabs>
        <w:tab w:val="center" w:pos="4153"/>
        <w:tab w:val="right" w:pos="8306"/>
      </w:tabs>
    </w:pPr>
  </w:style>
  <w:style w:type="character" w:customStyle="1" w:styleId="FooterChar">
    <w:name w:val="Footer Char"/>
    <w:basedOn w:val="DefaultParagraphFont"/>
    <w:link w:val="Footer"/>
    <w:uiPriority w:val="99"/>
    <w:rsid w:val="007231B2"/>
    <w:rPr>
      <w:rFonts w:ascii="Tms Rmn" w:eastAsia="Times New Roman" w:hAnsi="Tms Rmn" w:cs="Times New Roman"/>
      <w:sz w:val="24"/>
      <w:szCs w:val="20"/>
      <w:lang w:eastAsia="en-AU"/>
    </w:rPr>
  </w:style>
  <w:style w:type="paragraph" w:styleId="Header">
    <w:name w:val="header"/>
    <w:basedOn w:val="Normal"/>
    <w:link w:val="HeaderChar"/>
    <w:rsid w:val="007231B2"/>
    <w:pPr>
      <w:tabs>
        <w:tab w:val="center" w:pos="4153"/>
        <w:tab w:val="right" w:pos="8306"/>
      </w:tabs>
    </w:pPr>
  </w:style>
  <w:style w:type="character" w:customStyle="1" w:styleId="HeaderChar">
    <w:name w:val="Header Char"/>
    <w:basedOn w:val="DefaultParagraphFont"/>
    <w:link w:val="Header"/>
    <w:rsid w:val="007231B2"/>
    <w:rPr>
      <w:rFonts w:ascii="Tms Rmn" w:eastAsia="Times New Roman" w:hAnsi="Tms Rmn" w:cs="Times New Roman"/>
      <w:sz w:val="24"/>
      <w:szCs w:val="20"/>
      <w:lang w:eastAsia="en-AU"/>
    </w:rPr>
  </w:style>
  <w:style w:type="character" w:styleId="PageNumber">
    <w:name w:val="page number"/>
    <w:basedOn w:val="DefaultParagraphFont"/>
    <w:rsid w:val="007231B2"/>
  </w:style>
  <w:style w:type="character" w:styleId="Hyperlink">
    <w:name w:val="Hyperlink"/>
    <w:basedOn w:val="DefaultParagraphFont"/>
    <w:rsid w:val="007231B2"/>
    <w:rPr>
      <w:color w:val="0000FF"/>
      <w:u w:val="single"/>
    </w:rPr>
  </w:style>
  <w:style w:type="paragraph" w:customStyle="1" w:styleId="Schedulepara">
    <w:name w:val="Schedule para"/>
    <w:basedOn w:val="Normal"/>
    <w:rsid w:val="007231B2"/>
    <w:pPr>
      <w:tabs>
        <w:tab w:val="right" w:pos="567"/>
      </w:tabs>
      <w:spacing w:before="180" w:line="260" w:lineRule="exact"/>
      <w:ind w:left="964" w:hanging="964"/>
      <w:jc w:val="both"/>
    </w:pPr>
    <w:rPr>
      <w:rFonts w:ascii="Times New Roman" w:hAnsi="Times New Roman"/>
      <w:szCs w:val="24"/>
    </w:rPr>
  </w:style>
  <w:style w:type="paragraph" w:styleId="ListParagraph">
    <w:name w:val="List Paragraph"/>
    <w:basedOn w:val="Normal"/>
    <w:uiPriority w:val="34"/>
    <w:qFormat/>
    <w:rsid w:val="003C2A3E"/>
    <w:pPr>
      <w:ind w:left="720"/>
      <w:contextualSpacing/>
    </w:pPr>
  </w:style>
  <w:style w:type="character" w:styleId="CommentReference">
    <w:name w:val="annotation reference"/>
    <w:basedOn w:val="DefaultParagraphFont"/>
    <w:uiPriority w:val="99"/>
    <w:semiHidden/>
    <w:unhideWhenUsed/>
    <w:rsid w:val="00C62ABA"/>
    <w:rPr>
      <w:sz w:val="16"/>
      <w:szCs w:val="16"/>
    </w:rPr>
  </w:style>
  <w:style w:type="paragraph" w:styleId="CommentText">
    <w:name w:val="annotation text"/>
    <w:basedOn w:val="Normal"/>
    <w:link w:val="CommentTextChar"/>
    <w:uiPriority w:val="99"/>
    <w:semiHidden/>
    <w:unhideWhenUsed/>
    <w:rsid w:val="00C62ABA"/>
    <w:rPr>
      <w:sz w:val="20"/>
    </w:rPr>
  </w:style>
  <w:style w:type="character" w:customStyle="1" w:styleId="CommentTextChar">
    <w:name w:val="Comment Text Char"/>
    <w:basedOn w:val="DefaultParagraphFont"/>
    <w:link w:val="CommentText"/>
    <w:uiPriority w:val="99"/>
    <w:semiHidden/>
    <w:rsid w:val="00C62ABA"/>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2ABA"/>
    <w:rPr>
      <w:b/>
      <w:bCs/>
    </w:rPr>
  </w:style>
  <w:style w:type="character" w:customStyle="1" w:styleId="CommentSubjectChar">
    <w:name w:val="Comment Subject Char"/>
    <w:basedOn w:val="CommentTextChar"/>
    <w:link w:val="CommentSubject"/>
    <w:uiPriority w:val="99"/>
    <w:semiHidden/>
    <w:rsid w:val="00C62ABA"/>
    <w:rPr>
      <w:rFonts w:ascii="Tms Rmn" w:eastAsia="Times New Roman" w:hAnsi="Tms Rmn" w:cs="Times New Roman"/>
      <w:b/>
      <w:bCs/>
      <w:sz w:val="20"/>
      <w:szCs w:val="20"/>
      <w:lang w:eastAsia="en-AU"/>
    </w:rPr>
  </w:style>
  <w:style w:type="paragraph" w:styleId="Revision">
    <w:name w:val="Revision"/>
    <w:hidden/>
    <w:uiPriority w:val="99"/>
    <w:semiHidden/>
    <w:rsid w:val="00C62ABA"/>
    <w:pPr>
      <w:spacing w:after="0" w:line="240" w:lineRule="auto"/>
    </w:pPr>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C62ABA"/>
    <w:rPr>
      <w:rFonts w:ascii="Tahoma" w:hAnsi="Tahoma" w:cs="Tahoma"/>
      <w:sz w:val="16"/>
      <w:szCs w:val="16"/>
    </w:rPr>
  </w:style>
  <w:style w:type="character" w:customStyle="1" w:styleId="BalloonTextChar">
    <w:name w:val="Balloon Text Char"/>
    <w:basedOn w:val="DefaultParagraphFont"/>
    <w:link w:val="BalloonText"/>
    <w:uiPriority w:val="99"/>
    <w:semiHidden/>
    <w:rsid w:val="00C62ABA"/>
    <w:rPr>
      <w:rFonts w:ascii="Tahoma" w:eastAsia="Times New Roman" w:hAnsi="Tahoma" w:cs="Tahoma"/>
      <w:sz w:val="16"/>
      <w:szCs w:val="16"/>
      <w:lang w:eastAsia="en-AU"/>
    </w:rPr>
  </w:style>
  <w:style w:type="character" w:styleId="UnresolvedMention">
    <w:name w:val="Unresolved Mention"/>
    <w:basedOn w:val="DefaultParagraphFont"/>
    <w:uiPriority w:val="99"/>
    <w:semiHidden/>
    <w:unhideWhenUsed/>
    <w:rsid w:val="0034282D"/>
    <w:rPr>
      <w:color w:val="605E5C"/>
      <w:shd w:val="clear" w:color="auto" w:fill="E1DFDD"/>
    </w:rPr>
  </w:style>
  <w:style w:type="paragraph" w:customStyle="1" w:styleId="Default">
    <w:name w:val="Default"/>
    <w:rsid w:val="000151B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1097">
      <w:bodyDiv w:val="1"/>
      <w:marLeft w:val="0"/>
      <w:marRight w:val="0"/>
      <w:marTop w:val="0"/>
      <w:marBottom w:val="0"/>
      <w:divBdr>
        <w:top w:val="none" w:sz="0" w:space="0" w:color="auto"/>
        <w:left w:val="none" w:sz="0" w:space="0" w:color="auto"/>
        <w:bottom w:val="none" w:sz="0" w:space="0" w:color="auto"/>
        <w:right w:val="none" w:sz="0" w:space="0" w:color="auto"/>
      </w:divBdr>
      <w:divsChild>
        <w:div w:id="2096394718">
          <w:marLeft w:val="0"/>
          <w:marRight w:val="0"/>
          <w:marTop w:val="0"/>
          <w:marBottom w:val="0"/>
          <w:divBdr>
            <w:top w:val="none" w:sz="0" w:space="0" w:color="auto"/>
            <w:left w:val="none" w:sz="0" w:space="0" w:color="auto"/>
            <w:bottom w:val="none" w:sz="0" w:space="0" w:color="auto"/>
            <w:right w:val="none" w:sz="0" w:space="0" w:color="auto"/>
          </w:divBdr>
          <w:divsChild>
            <w:div w:id="298652366">
              <w:marLeft w:val="0"/>
              <w:marRight w:val="0"/>
              <w:marTop w:val="0"/>
              <w:marBottom w:val="0"/>
              <w:divBdr>
                <w:top w:val="none" w:sz="0" w:space="0" w:color="auto"/>
                <w:left w:val="none" w:sz="0" w:space="0" w:color="auto"/>
                <w:bottom w:val="none" w:sz="0" w:space="0" w:color="auto"/>
                <w:right w:val="none" w:sz="0" w:space="0" w:color="auto"/>
              </w:divBdr>
              <w:divsChild>
                <w:div w:id="156851604">
                  <w:marLeft w:val="0"/>
                  <w:marRight w:val="0"/>
                  <w:marTop w:val="0"/>
                  <w:marBottom w:val="0"/>
                  <w:divBdr>
                    <w:top w:val="none" w:sz="0" w:space="0" w:color="auto"/>
                    <w:left w:val="none" w:sz="0" w:space="0" w:color="auto"/>
                    <w:bottom w:val="none" w:sz="0" w:space="0" w:color="auto"/>
                    <w:right w:val="none" w:sz="0" w:space="0" w:color="auto"/>
                  </w:divBdr>
                  <w:divsChild>
                    <w:div w:id="1397170632">
                      <w:marLeft w:val="0"/>
                      <w:marRight w:val="0"/>
                      <w:marTop w:val="0"/>
                      <w:marBottom w:val="0"/>
                      <w:divBdr>
                        <w:top w:val="none" w:sz="0" w:space="0" w:color="auto"/>
                        <w:left w:val="none" w:sz="0" w:space="0" w:color="auto"/>
                        <w:bottom w:val="none" w:sz="0" w:space="0" w:color="auto"/>
                        <w:right w:val="none" w:sz="0" w:space="0" w:color="auto"/>
                      </w:divBdr>
                      <w:divsChild>
                        <w:div w:id="465322688">
                          <w:marLeft w:val="0"/>
                          <w:marRight w:val="0"/>
                          <w:marTop w:val="0"/>
                          <w:marBottom w:val="0"/>
                          <w:divBdr>
                            <w:top w:val="none" w:sz="0" w:space="0" w:color="auto"/>
                            <w:left w:val="none" w:sz="0" w:space="0" w:color="auto"/>
                            <w:bottom w:val="none" w:sz="0" w:space="0" w:color="auto"/>
                            <w:right w:val="none" w:sz="0" w:space="0" w:color="auto"/>
                          </w:divBdr>
                          <w:divsChild>
                            <w:div w:id="245463126">
                              <w:marLeft w:val="0"/>
                              <w:marRight w:val="0"/>
                              <w:marTop w:val="0"/>
                              <w:marBottom w:val="0"/>
                              <w:divBdr>
                                <w:top w:val="none" w:sz="0" w:space="0" w:color="auto"/>
                                <w:left w:val="none" w:sz="0" w:space="0" w:color="auto"/>
                                <w:bottom w:val="none" w:sz="0" w:space="0" w:color="auto"/>
                                <w:right w:val="none" w:sz="0" w:space="0" w:color="auto"/>
                              </w:divBdr>
                              <w:divsChild>
                                <w:div w:id="1716194252">
                                  <w:marLeft w:val="0"/>
                                  <w:marRight w:val="0"/>
                                  <w:marTop w:val="0"/>
                                  <w:marBottom w:val="0"/>
                                  <w:divBdr>
                                    <w:top w:val="none" w:sz="0" w:space="0" w:color="auto"/>
                                    <w:left w:val="none" w:sz="0" w:space="0" w:color="auto"/>
                                    <w:bottom w:val="none" w:sz="0" w:space="0" w:color="auto"/>
                                    <w:right w:val="none" w:sz="0" w:space="0" w:color="auto"/>
                                  </w:divBdr>
                                  <w:divsChild>
                                    <w:div w:id="1800950279">
                                      <w:marLeft w:val="0"/>
                                      <w:marRight w:val="0"/>
                                      <w:marTop w:val="0"/>
                                      <w:marBottom w:val="0"/>
                                      <w:divBdr>
                                        <w:top w:val="none" w:sz="0" w:space="0" w:color="auto"/>
                                        <w:left w:val="none" w:sz="0" w:space="0" w:color="auto"/>
                                        <w:bottom w:val="none" w:sz="0" w:space="0" w:color="auto"/>
                                        <w:right w:val="none" w:sz="0" w:space="0" w:color="auto"/>
                                      </w:divBdr>
                                      <w:divsChild>
                                        <w:div w:id="919364941">
                                          <w:marLeft w:val="0"/>
                                          <w:marRight w:val="0"/>
                                          <w:marTop w:val="0"/>
                                          <w:marBottom w:val="0"/>
                                          <w:divBdr>
                                            <w:top w:val="none" w:sz="0" w:space="0" w:color="auto"/>
                                            <w:left w:val="none" w:sz="0" w:space="0" w:color="auto"/>
                                            <w:bottom w:val="none" w:sz="0" w:space="0" w:color="auto"/>
                                            <w:right w:val="none" w:sz="0" w:space="0" w:color="auto"/>
                                          </w:divBdr>
                                          <w:divsChild>
                                            <w:div w:id="1351176936">
                                              <w:marLeft w:val="0"/>
                                              <w:marRight w:val="0"/>
                                              <w:marTop w:val="0"/>
                                              <w:marBottom w:val="0"/>
                                              <w:divBdr>
                                                <w:top w:val="none" w:sz="0" w:space="0" w:color="auto"/>
                                                <w:left w:val="none" w:sz="0" w:space="0" w:color="auto"/>
                                                <w:bottom w:val="none" w:sz="0" w:space="0" w:color="auto"/>
                                                <w:right w:val="none" w:sz="0" w:space="0" w:color="auto"/>
                                              </w:divBdr>
                                              <w:divsChild>
                                                <w:div w:id="1647665524">
                                                  <w:marLeft w:val="0"/>
                                                  <w:marRight w:val="0"/>
                                                  <w:marTop w:val="0"/>
                                                  <w:marBottom w:val="0"/>
                                                  <w:divBdr>
                                                    <w:top w:val="none" w:sz="0" w:space="0" w:color="auto"/>
                                                    <w:left w:val="none" w:sz="0" w:space="0" w:color="auto"/>
                                                    <w:bottom w:val="none" w:sz="0" w:space="0" w:color="auto"/>
                                                    <w:right w:val="none" w:sz="0" w:space="0" w:color="auto"/>
                                                  </w:divBdr>
                                                  <w:divsChild>
                                                    <w:div w:id="1442531916">
                                                      <w:marLeft w:val="0"/>
                                                      <w:marRight w:val="0"/>
                                                      <w:marTop w:val="0"/>
                                                      <w:marBottom w:val="0"/>
                                                      <w:divBdr>
                                                        <w:top w:val="none" w:sz="0" w:space="0" w:color="auto"/>
                                                        <w:left w:val="none" w:sz="0" w:space="0" w:color="auto"/>
                                                        <w:bottom w:val="none" w:sz="0" w:space="0" w:color="auto"/>
                                                        <w:right w:val="none" w:sz="0" w:space="0" w:color="auto"/>
                                                      </w:divBdr>
                                                      <w:divsChild>
                                                        <w:div w:id="11808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799397">
      <w:bodyDiv w:val="1"/>
      <w:marLeft w:val="0"/>
      <w:marRight w:val="0"/>
      <w:marTop w:val="0"/>
      <w:marBottom w:val="0"/>
      <w:divBdr>
        <w:top w:val="none" w:sz="0" w:space="0" w:color="auto"/>
        <w:left w:val="none" w:sz="0" w:space="0" w:color="auto"/>
        <w:bottom w:val="none" w:sz="0" w:space="0" w:color="auto"/>
        <w:right w:val="none" w:sz="0" w:space="0" w:color="auto"/>
      </w:divBdr>
    </w:div>
    <w:div w:id="523131826">
      <w:bodyDiv w:val="1"/>
      <w:marLeft w:val="0"/>
      <w:marRight w:val="0"/>
      <w:marTop w:val="0"/>
      <w:marBottom w:val="0"/>
      <w:divBdr>
        <w:top w:val="none" w:sz="0" w:space="0" w:color="auto"/>
        <w:left w:val="none" w:sz="0" w:space="0" w:color="auto"/>
        <w:bottom w:val="none" w:sz="0" w:space="0" w:color="auto"/>
        <w:right w:val="none" w:sz="0" w:space="0" w:color="auto"/>
      </w:divBdr>
    </w:div>
    <w:div w:id="106321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79FD5-4B69-44B0-9FC1-B33DA9367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2462</Words>
  <Characters>14035</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Edlington, Mandy</dc:creator>
  <cp:lastModifiedBy>ALLEN, Donna</cp:lastModifiedBy>
  <cp:revision>2</cp:revision>
  <cp:lastPrinted>2018-02-22T02:03:00Z</cp:lastPrinted>
  <dcterms:created xsi:type="dcterms:W3CDTF">2022-06-09T00:17:00Z</dcterms:created>
  <dcterms:modified xsi:type="dcterms:W3CDTF">2022-06-09T00:17:00Z</dcterms:modified>
</cp:coreProperties>
</file>