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175" w:rsidRDefault="00955175" w:rsidP="00E2168B">
      <w:pPr>
        <w:spacing w:before="280" w:after="240"/>
        <w:rPr>
          <w:b/>
          <w:sz w:val="32"/>
          <w:szCs w:val="32"/>
        </w:rPr>
      </w:pPr>
    </w:p>
    <w:p w:rsidR="00955175" w:rsidRPr="009776AB" w:rsidRDefault="00DE72D4" w:rsidP="00E2168B">
      <w:pPr>
        <w:spacing w:before="280" w:after="240"/>
        <w:rPr>
          <w:b/>
          <w:sz w:val="32"/>
          <w:szCs w:val="32"/>
        </w:rPr>
      </w:pPr>
      <w:r w:rsidRPr="009776AB">
        <w:rPr>
          <w:noProof/>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of Australia and ASIC logo a diamond with a black border and 3 blue columns in descending size and a corner blue arrow on top of the 2 smaller columns.  Text ASIC and underneath Australia Securities &amp;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rsidR="00955175" w:rsidRPr="009776AB" w:rsidRDefault="00955175" w:rsidP="00955175">
      <w:pPr>
        <w:pStyle w:val="LI-Title"/>
        <w:pBdr>
          <w:top w:val="none" w:sz="0" w:space="0" w:color="auto"/>
        </w:pBdr>
        <w:jc w:val="center"/>
      </w:pPr>
    </w:p>
    <w:p w:rsidR="00955175" w:rsidRPr="009776AB" w:rsidRDefault="00955175" w:rsidP="00955175">
      <w:pPr>
        <w:pStyle w:val="LI-Title"/>
        <w:pBdr>
          <w:top w:val="none" w:sz="0" w:space="0" w:color="auto"/>
        </w:pBdr>
        <w:jc w:val="center"/>
      </w:pPr>
      <w:r w:rsidRPr="009776AB">
        <w:t>Explanatory Statement</w:t>
      </w:r>
    </w:p>
    <w:p w:rsidR="00955175" w:rsidRPr="009776AB" w:rsidRDefault="00955175" w:rsidP="00955175">
      <w:pPr>
        <w:rPr>
          <w:lang w:eastAsia="en-AU"/>
        </w:rPr>
      </w:pPr>
    </w:p>
    <w:p w:rsidR="00C4170B" w:rsidRPr="009776AB" w:rsidRDefault="00BE0109" w:rsidP="00C4170B">
      <w:pPr>
        <w:jc w:val="center"/>
        <w:rPr>
          <w:b/>
          <w:i/>
          <w:sz w:val="28"/>
          <w:szCs w:val="28"/>
          <w:lang w:eastAsia="en-AU"/>
        </w:rPr>
      </w:pPr>
      <w:bookmarkStart w:id="0" w:name="_Hlk93416927"/>
      <w:r w:rsidRPr="009776AB">
        <w:rPr>
          <w:b/>
          <w:i/>
          <w:sz w:val="28"/>
          <w:szCs w:val="28"/>
          <w:lang w:eastAsia="en-AU"/>
        </w:rPr>
        <w:t>ASIC Corporations (Repeal) Instrument 2022/</w:t>
      </w:r>
      <w:r w:rsidR="00EC7D03" w:rsidRPr="009776AB">
        <w:rPr>
          <w:b/>
          <w:i/>
          <w:sz w:val="28"/>
          <w:szCs w:val="28"/>
          <w:lang w:eastAsia="en-AU"/>
        </w:rPr>
        <w:t>499</w:t>
      </w:r>
    </w:p>
    <w:bookmarkEnd w:id="0"/>
    <w:p w:rsidR="00863657" w:rsidRPr="009776AB" w:rsidRDefault="00F800C9" w:rsidP="00F800C9">
      <w:pPr>
        <w:pStyle w:val="LI-BodyTextParaa"/>
        <w:ind w:left="0" w:firstLine="0"/>
      </w:pPr>
      <w:r w:rsidRPr="009776AB">
        <w:t xml:space="preserve">This is the Explanatory Statement for </w:t>
      </w:r>
      <w:r w:rsidR="00BE0109" w:rsidRPr="009776AB">
        <w:rPr>
          <w:i/>
        </w:rPr>
        <w:t>ASIC Corporations (Repeal) Instrument 2022/</w:t>
      </w:r>
      <w:r w:rsidR="00EC7D03" w:rsidRPr="009776AB">
        <w:rPr>
          <w:i/>
        </w:rPr>
        <w:t>499</w:t>
      </w:r>
      <w:r w:rsidR="00443E0D" w:rsidRPr="009776AB">
        <w:t xml:space="preserve"> (</w:t>
      </w:r>
      <w:r w:rsidR="00443E0D" w:rsidRPr="009776AB">
        <w:rPr>
          <w:b/>
          <w:bCs/>
        </w:rPr>
        <w:t>Instrument</w:t>
      </w:r>
      <w:r w:rsidR="00443E0D" w:rsidRPr="009776AB">
        <w:t>).</w:t>
      </w:r>
    </w:p>
    <w:p w:rsidR="00F800C9" w:rsidRPr="009776AB" w:rsidRDefault="00863657" w:rsidP="00F800C9">
      <w:pPr>
        <w:pStyle w:val="LI-BodyTextParaa"/>
        <w:ind w:left="0" w:firstLine="0"/>
      </w:pPr>
      <w:r w:rsidRPr="009776AB">
        <w:t>Th</w:t>
      </w:r>
      <w:r w:rsidR="00F800C9" w:rsidRPr="009776AB">
        <w:t>e</w:t>
      </w:r>
      <w:r w:rsidRPr="009776AB">
        <w:t xml:space="preserve"> </w:t>
      </w:r>
      <w:r w:rsidR="00F800C9" w:rsidRPr="009776AB">
        <w:t>Explanatory Statement is approved by the Australian Securities and Investments Commission (</w:t>
      </w:r>
      <w:r w:rsidR="00F800C9" w:rsidRPr="009776AB">
        <w:rPr>
          <w:b/>
          <w:iCs/>
        </w:rPr>
        <w:t>ASIC</w:t>
      </w:r>
      <w:r w:rsidR="00F800C9" w:rsidRPr="009776AB">
        <w:rPr>
          <w:iCs/>
        </w:rPr>
        <w:t>)</w:t>
      </w:r>
      <w:r w:rsidR="00F800C9" w:rsidRPr="009776AB">
        <w:t>.</w:t>
      </w:r>
    </w:p>
    <w:p w:rsidR="00F800C9" w:rsidRPr="009776AB" w:rsidRDefault="005D1FEA" w:rsidP="00F800C9">
      <w:pPr>
        <w:pStyle w:val="LI-BodyTextNumbered"/>
        <w:ind w:left="0" w:firstLine="0"/>
        <w:rPr>
          <w:b/>
        </w:rPr>
      </w:pPr>
      <w:r w:rsidRPr="009776AB">
        <w:rPr>
          <w:b/>
        </w:rPr>
        <w:t>Summary</w:t>
      </w:r>
    </w:p>
    <w:p w:rsidR="00C10BFD" w:rsidRPr="009776AB" w:rsidRDefault="00443E0D" w:rsidP="00157AE7">
      <w:pPr>
        <w:pStyle w:val="LI-BodyTextParaa"/>
        <w:numPr>
          <w:ilvl w:val="0"/>
          <w:numId w:val="20"/>
        </w:numPr>
      </w:pPr>
      <w:r w:rsidRPr="009776AB">
        <w:rPr>
          <w:iCs/>
        </w:rPr>
        <w:t>The Instrument</w:t>
      </w:r>
      <w:r w:rsidR="00782656" w:rsidRPr="009776AB">
        <w:rPr>
          <w:iCs/>
        </w:rPr>
        <w:t xml:space="preserve"> </w:t>
      </w:r>
      <w:r w:rsidR="00BE0109" w:rsidRPr="009776AB">
        <w:t>repeals</w:t>
      </w:r>
      <w:r w:rsidR="00782656" w:rsidRPr="009776AB">
        <w:t>, in a single instrument</w:t>
      </w:r>
      <w:r w:rsidR="00C10BFD" w:rsidRPr="009776AB">
        <w:t>:</w:t>
      </w:r>
      <w:r w:rsidR="00782656" w:rsidRPr="009776AB">
        <w:t xml:space="preserve"> </w:t>
      </w:r>
    </w:p>
    <w:p w:rsidR="00C10BFD" w:rsidRPr="002C27C8" w:rsidRDefault="00015485" w:rsidP="00384EF7">
      <w:pPr>
        <w:pStyle w:val="LI-BodyTextParaa"/>
        <w:numPr>
          <w:ilvl w:val="1"/>
          <w:numId w:val="20"/>
        </w:numPr>
      </w:pPr>
      <w:r w:rsidRPr="009776AB">
        <w:t>seven</w:t>
      </w:r>
      <w:r w:rsidR="00384EF7" w:rsidRPr="002C27C8">
        <w:t xml:space="preserve"> </w:t>
      </w:r>
      <w:r w:rsidR="00384EF7" w:rsidRPr="00EA6437">
        <w:t>legislative instrument</w:t>
      </w:r>
      <w:r w:rsidRPr="00EA6437">
        <w:t>s</w:t>
      </w:r>
      <w:r w:rsidR="00384EF7" w:rsidRPr="00EA6437">
        <w:t xml:space="preserve"> </w:t>
      </w:r>
      <w:r w:rsidR="00782656" w:rsidRPr="00EA6437">
        <w:t>which concern relief related to product disclosure statements (</w:t>
      </w:r>
      <w:r w:rsidR="00782656" w:rsidRPr="00EA6437">
        <w:rPr>
          <w:b/>
          <w:bCs/>
        </w:rPr>
        <w:t>PDS</w:t>
      </w:r>
      <w:r w:rsidR="00782656" w:rsidRPr="00EA6437">
        <w:t>)</w:t>
      </w:r>
      <w:r w:rsidR="004B5734" w:rsidRPr="00EA6437">
        <w:t xml:space="preserve">, </w:t>
      </w:r>
      <w:r w:rsidR="00384EF7" w:rsidRPr="00EA6437">
        <w:t xml:space="preserve">superannuation </w:t>
      </w:r>
      <w:r w:rsidR="004B5734" w:rsidRPr="00EA6437">
        <w:t>dashboard</w:t>
      </w:r>
      <w:r w:rsidR="00384EF7" w:rsidRPr="00EA6437">
        <w:t>s</w:t>
      </w:r>
      <w:r w:rsidR="004B5734" w:rsidRPr="00EA6437">
        <w:t xml:space="preserve"> </w:t>
      </w:r>
      <w:r w:rsidR="00782656" w:rsidRPr="00EA6437">
        <w:t xml:space="preserve">and </w:t>
      </w:r>
      <w:r w:rsidR="00C10BFD" w:rsidRPr="00EA6437">
        <w:t>F</w:t>
      </w:r>
      <w:r w:rsidR="00782656" w:rsidRPr="002C27C8">
        <w:t xml:space="preserve">inancial </w:t>
      </w:r>
      <w:r w:rsidR="00C10BFD" w:rsidRPr="002C27C8">
        <w:t>S</w:t>
      </w:r>
      <w:r w:rsidR="00782656" w:rsidRPr="002C27C8">
        <w:t xml:space="preserve">ervices </w:t>
      </w:r>
      <w:r w:rsidR="00C10BFD" w:rsidRPr="002C27C8">
        <w:t>G</w:t>
      </w:r>
      <w:r w:rsidR="00782656" w:rsidRPr="002C27C8">
        <w:t>uides (</w:t>
      </w:r>
      <w:r w:rsidR="00782656" w:rsidRPr="002C27C8">
        <w:rPr>
          <w:b/>
          <w:bCs/>
        </w:rPr>
        <w:t>FSG</w:t>
      </w:r>
      <w:r w:rsidR="00782656" w:rsidRPr="002C27C8">
        <w:t>)</w:t>
      </w:r>
      <w:r w:rsidR="00C10BFD" w:rsidRPr="002C27C8">
        <w:t xml:space="preserve">; and </w:t>
      </w:r>
    </w:p>
    <w:p w:rsidR="00782656" w:rsidRPr="00EA6437" w:rsidRDefault="000E32DB" w:rsidP="00D43AC5">
      <w:pPr>
        <w:pStyle w:val="LI-BodyTextParaa"/>
        <w:numPr>
          <w:ilvl w:val="1"/>
          <w:numId w:val="20"/>
        </w:numPr>
        <w:ind w:left="1434" w:hanging="357"/>
      </w:pPr>
      <w:r w:rsidRPr="002C27C8">
        <w:t>four</w:t>
      </w:r>
      <w:r w:rsidR="00A2701F" w:rsidRPr="002C27C8">
        <w:t xml:space="preserve"> further </w:t>
      </w:r>
      <w:r w:rsidR="00015485" w:rsidRPr="002C27C8">
        <w:t>legislative instruments</w:t>
      </w:r>
      <w:r w:rsidR="00A2701F" w:rsidRPr="002C27C8">
        <w:t xml:space="preserve"> that are redundant (</w:t>
      </w:r>
      <w:r w:rsidRPr="002C27C8">
        <w:t xml:space="preserve">[CO 10/630] </w:t>
      </w:r>
      <w:r w:rsidRPr="002C27C8">
        <w:rPr>
          <w:i/>
          <w:iCs/>
        </w:rPr>
        <w:t>Long-term superannuation returns</w:t>
      </w:r>
      <w:r w:rsidRPr="002C27C8">
        <w:t>,</w:t>
      </w:r>
      <w:r w:rsidRPr="002C27C8">
        <w:rPr>
          <w:i/>
          <w:iCs/>
        </w:rPr>
        <w:t xml:space="preserve"> </w:t>
      </w:r>
      <w:r w:rsidR="00A2701F" w:rsidRPr="002C27C8">
        <w:t>[CO 12/574]</w:t>
      </w:r>
      <w:r w:rsidRPr="002C27C8">
        <w:t xml:space="preserve"> </w:t>
      </w:r>
      <w:r w:rsidRPr="002C27C8">
        <w:rPr>
          <w:i/>
          <w:iCs/>
        </w:rPr>
        <w:t>Revocation of Class Orders [SCO 00/184] and [SCO 04/1570]</w:t>
      </w:r>
      <w:r w:rsidRPr="002C27C8">
        <w:t xml:space="preserve">, </w:t>
      </w:r>
      <w:r w:rsidR="00A2701F" w:rsidRPr="002C27C8">
        <w:t>[CO 12/794]</w:t>
      </w:r>
      <w:r w:rsidRPr="002C27C8">
        <w:t xml:space="preserve"> </w:t>
      </w:r>
      <w:r w:rsidRPr="002C27C8">
        <w:rPr>
          <w:i/>
          <w:iCs/>
        </w:rPr>
        <w:t xml:space="preserve">Emissions units: Relief for representatives </w:t>
      </w:r>
      <w:r w:rsidRPr="002C27C8">
        <w:t xml:space="preserve">and </w:t>
      </w:r>
      <w:r w:rsidRPr="002C27C8">
        <w:rPr>
          <w:i/>
          <w:iCs/>
        </w:rPr>
        <w:t xml:space="preserve">ASIC Corporations (AFSL Audit Opinion) Instrument 2015/586 </w:t>
      </w:r>
      <w:r w:rsidRPr="002C27C8">
        <w:t>(</w:t>
      </w:r>
      <w:r w:rsidRPr="002C27C8">
        <w:rPr>
          <w:b/>
          <w:bCs/>
        </w:rPr>
        <w:t>LI 2015/</w:t>
      </w:r>
      <w:r w:rsidR="00883C01">
        <w:rPr>
          <w:b/>
          <w:bCs/>
        </w:rPr>
        <w:t>5</w:t>
      </w:r>
      <w:r w:rsidRPr="002C27C8">
        <w:rPr>
          <w:b/>
          <w:bCs/>
        </w:rPr>
        <w:t>86</w:t>
      </w:r>
      <w:r w:rsidRPr="002C27C8">
        <w:t>)</w:t>
      </w:r>
      <w:r w:rsidR="00A2701F" w:rsidRPr="002C27C8">
        <w:t>)</w:t>
      </w:r>
      <w:r w:rsidR="00782656" w:rsidRPr="002C27C8">
        <w:t>.</w:t>
      </w:r>
    </w:p>
    <w:p w:rsidR="005D1FEA" w:rsidRPr="00EA6437" w:rsidRDefault="005D1FEA" w:rsidP="00782656">
      <w:pPr>
        <w:pStyle w:val="LI-BodyTextNumbered"/>
        <w:ind w:left="0" w:firstLine="0"/>
        <w:rPr>
          <w:b/>
        </w:rPr>
      </w:pPr>
      <w:r w:rsidRPr="00EA6437">
        <w:rPr>
          <w:b/>
        </w:rPr>
        <w:t>Purpose of the instrument</w:t>
      </w:r>
    </w:p>
    <w:p w:rsidR="004B5734" w:rsidRPr="00EA6437" w:rsidRDefault="004B5734" w:rsidP="004B5734">
      <w:pPr>
        <w:rPr>
          <w:rFonts w:eastAsia="Times New Roman"/>
          <w:sz w:val="24"/>
          <w:szCs w:val="24"/>
          <w:lang w:eastAsia="en-AU"/>
        </w:rPr>
      </w:pPr>
    </w:p>
    <w:p w:rsidR="004B5734" w:rsidRPr="00EA6437" w:rsidRDefault="004B5734" w:rsidP="00593B21">
      <w:pPr>
        <w:numPr>
          <w:ilvl w:val="0"/>
          <w:numId w:val="20"/>
        </w:numPr>
        <w:rPr>
          <w:rFonts w:eastAsia="Times New Roman"/>
          <w:sz w:val="24"/>
          <w:szCs w:val="24"/>
          <w:lang w:eastAsia="en-AU"/>
        </w:rPr>
      </w:pPr>
      <w:r w:rsidRPr="00EA6437">
        <w:rPr>
          <w:rFonts w:eastAsia="Times New Roman"/>
          <w:sz w:val="24"/>
          <w:szCs w:val="24"/>
          <w:lang w:eastAsia="en-AU"/>
        </w:rPr>
        <w:t xml:space="preserve">Under the </w:t>
      </w:r>
      <w:r w:rsidRPr="00EA6437">
        <w:rPr>
          <w:rFonts w:eastAsia="Times New Roman"/>
          <w:i/>
          <w:iCs/>
          <w:sz w:val="24"/>
          <w:szCs w:val="24"/>
          <w:lang w:eastAsia="en-AU"/>
        </w:rPr>
        <w:t>Legislation Act 2003</w:t>
      </w:r>
      <w:r w:rsidRPr="00EA6437">
        <w:rPr>
          <w:rFonts w:eastAsia="Times New Roman"/>
          <w:sz w:val="24"/>
          <w:szCs w:val="24"/>
          <w:lang w:eastAsia="en-AU"/>
        </w:rPr>
        <w:t>, legislative instruments cease automatically or ʻsunsetʼ after 10 years, unless action is taken to exempt or preserve them.</w:t>
      </w:r>
    </w:p>
    <w:p w:rsidR="00310743" w:rsidRPr="002C27C8" w:rsidRDefault="004B5734" w:rsidP="00157AE7">
      <w:pPr>
        <w:pStyle w:val="LI-BodyTextParaa"/>
        <w:numPr>
          <w:ilvl w:val="0"/>
          <w:numId w:val="20"/>
        </w:numPr>
      </w:pPr>
      <w:r w:rsidRPr="00EA6437">
        <w:t>To preserve its effect, a legislative instrument</w:t>
      </w:r>
      <w:r w:rsidR="002758EE" w:rsidRPr="00EA6437">
        <w:t xml:space="preserve"> </w:t>
      </w:r>
      <w:r w:rsidRPr="00EA6437">
        <w:t>must be remade before the sunset date. The purpose of sunsetting is to ensure that instruments are ke</w:t>
      </w:r>
      <w:r w:rsidRPr="002C27C8">
        <w:t xml:space="preserve">pt up to date and only remain in force while they are fit for purpose, necessary and relevant. </w:t>
      </w:r>
    </w:p>
    <w:p w:rsidR="000F7909" w:rsidRPr="002C27C8" w:rsidRDefault="000F7909" w:rsidP="00593B21">
      <w:pPr>
        <w:pStyle w:val="LI-BodyTextParaa"/>
        <w:numPr>
          <w:ilvl w:val="0"/>
          <w:numId w:val="20"/>
        </w:numPr>
      </w:pPr>
      <w:r w:rsidRPr="002C27C8">
        <w:t xml:space="preserve">This </w:t>
      </w:r>
      <w:r w:rsidR="007D13E8" w:rsidRPr="002C27C8">
        <w:t>I</w:t>
      </w:r>
      <w:r w:rsidRPr="002C27C8">
        <w:t>nstrument</w:t>
      </w:r>
      <w:r w:rsidR="00782656" w:rsidRPr="002C27C8">
        <w:t xml:space="preserve"> repeals </w:t>
      </w:r>
      <w:r w:rsidR="00F4645A" w:rsidRPr="002C27C8">
        <w:t>eleven legislative instruments</w:t>
      </w:r>
      <w:r w:rsidR="00D11EA8" w:rsidRPr="002C27C8">
        <w:t>.</w:t>
      </w:r>
      <w:r w:rsidRPr="002C27C8">
        <w:t xml:space="preserve"> </w:t>
      </w:r>
    </w:p>
    <w:p w:rsidR="003C3CA0" w:rsidRDefault="00782656" w:rsidP="002378CA">
      <w:pPr>
        <w:pStyle w:val="LI-BodyTextParaa"/>
        <w:numPr>
          <w:ilvl w:val="0"/>
          <w:numId w:val="20"/>
        </w:numPr>
      </w:pPr>
      <w:r w:rsidRPr="002C27C8">
        <w:t xml:space="preserve">The relief found in </w:t>
      </w:r>
      <w:r w:rsidR="001C4A1F" w:rsidRPr="002C27C8">
        <w:t xml:space="preserve">seven </w:t>
      </w:r>
      <w:r w:rsidR="008808DF" w:rsidRPr="002C27C8">
        <w:t xml:space="preserve">of these </w:t>
      </w:r>
      <w:r w:rsidR="001C4A1F" w:rsidRPr="002C27C8">
        <w:t xml:space="preserve">legislative instruments </w:t>
      </w:r>
      <w:r w:rsidR="003C3CA0" w:rsidRPr="002C27C8">
        <w:t xml:space="preserve">is remade in </w:t>
      </w:r>
      <w:r w:rsidR="00A2701F" w:rsidRPr="002C27C8">
        <w:t>three</w:t>
      </w:r>
      <w:r w:rsidR="003C3CA0" w:rsidRPr="002C27C8">
        <w:t xml:space="preserve"> new instruments</w:t>
      </w:r>
      <w:r w:rsidR="00D11EA8" w:rsidRPr="002C27C8">
        <w:t xml:space="preserve"> (see table below)</w:t>
      </w:r>
      <w:r w:rsidR="003C7BC6" w:rsidRPr="002C27C8">
        <w:t xml:space="preserve">, </w:t>
      </w:r>
      <w:r w:rsidR="003C7BC6" w:rsidRPr="002C27C8">
        <w:rPr>
          <w:lang w:eastAsia="zh-CN"/>
        </w:rPr>
        <w:t xml:space="preserve">subject to </w:t>
      </w:r>
      <w:r w:rsidR="001C4A1F" w:rsidRPr="002C27C8">
        <w:rPr>
          <w:lang w:eastAsia="zh-CN"/>
        </w:rPr>
        <w:t xml:space="preserve">limited </w:t>
      </w:r>
      <w:r w:rsidR="003C7BC6" w:rsidRPr="002C27C8">
        <w:rPr>
          <w:lang w:eastAsia="zh-CN"/>
        </w:rPr>
        <w:t>changes to simplify requirements and language and</w:t>
      </w:r>
      <w:r w:rsidR="009711C2" w:rsidRPr="002C27C8">
        <w:rPr>
          <w:lang w:eastAsia="zh-CN"/>
        </w:rPr>
        <w:t xml:space="preserve"> to</w:t>
      </w:r>
      <w:r w:rsidR="003C7BC6" w:rsidRPr="002C27C8">
        <w:rPr>
          <w:lang w:eastAsia="zh-CN"/>
        </w:rPr>
        <w:t xml:space="preserve"> remove redundant relief</w:t>
      </w:r>
      <w:r w:rsidR="000F7909" w:rsidRPr="002C27C8">
        <w:t>.</w:t>
      </w:r>
      <w:r w:rsidR="00D11EA8" w:rsidRPr="002C27C8">
        <w:t xml:space="preserve"> </w:t>
      </w:r>
      <w:r w:rsidR="00FF6801" w:rsidRPr="002C27C8">
        <w:t>Reducing the number of legislative instruments ensures that relief on related topics are consolidated in one instrument and the sunsetting periods for each relief are more aligned.</w:t>
      </w:r>
    </w:p>
    <w:p w:rsidR="00D43AC5" w:rsidRPr="002C27C8" w:rsidRDefault="00D43AC5" w:rsidP="00D43AC5">
      <w:pPr>
        <w:pStyle w:val="LI-BodyTextParaa"/>
      </w:pPr>
      <w:r>
        <w:lastRenderedPageBreak/>
        <w:br/>
      </w:r>
    </w:p>
    <w:tbl>
      <w:tblPr>
        <w:tblW w:w="8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426"/>
        <w:gridCol w:w="3510"/>
        <w:gridCol w:w="4252"/>
      </w:tblGrid>
      <w:tr w:rsidR="003C3CA0" w:rsidRPr="002C27C8"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lang w:eastAsia="en-AU"/>
              </w:rPr>
            </w:pPr>
            <w:r w:rsidRPr="00EA6437">
              <w:rPr>
                <w:szCs w:val="24"/>
              </w:rPr>
              <w:t> </w:t>
            </w:r>
          </w:p>
        </w:tc>
        <w:tc>
          <w:tcPr>
            <w:tcW w:w="3510" w:type="dxa"/>
            <w:shd w:val="clear" w:color="auto" w:fill="FFFFFF"/>
            <w:tcMar>
              <w:top w:w="0" w:type="dxa"/>
              <w:left w:w="108" w:type="dxa"/>
              <w:bottom w:w="0" w:type="dxa"/>
              <w:right w:w="108" w:type="dxa"/>
            </w:tcMar>
            <w:hideMark/>
          </w:tcPr>
          <w:p w:rsidR="003C3CA0" w:rsidRPr="00EA6437" w:rsidRDefault="003C3CA0">
            <w:pPr>
              <w:pStyle w:val="BodyText"/>
              <w:spacing w:before="0" w:after="0"/>
              <w:jc w:val="center"/>
              <w:rPr>
                <w:szCs w:val="24"/>
              </w:rPr>
            </w:pPr>
            <w:r w:rsidRPr="00EA6437">
              <w:rPr>
                <w:b/>
                <w:bCs/>
                <w:szCs w:val="24"/>
              </w:rPr>
              <w:t>Repealed class order</w:t>
            </w:r>
          </w:p>
        </w:tc>
        <w:tc>
          <w:tcPr>
            <w:tcW w:w="4252" w:type="dxa"/>
            <w:shd w:val="clear" w:color="auto" w:fill="FFFFFF"/>
            <w:tcMar>
              <w:top w:w="0" w:type="dxa"/>
              <w:left w:w="108" w:type="dxa"/>
              <w:bottom w:w="0" w:type="dxa"/>
              <w:right w:w="108" w:type="dxa"/>
            </w:tcMar>
            <w:hideMark/>
          </w:tcPr>
          <w:p w:rsidR="003C3CA0" w:rsidRPr="00EA6437" w:rsidRDefault="003C3CA0">
            <w:pPr>
              <w:pStyle w:val="BodyText"/>
              <w:spacing w:before="0" w:after="0"/>
              <w:jc w:val="center"/>
              <w:rPr>
                <w:szCs w:val="24"/>
              </w:rPr>
            </w:pPr>
            <w:r w:rsidRPr="00EA6437">
              <w:rPr>
                <w:b/>
                <w:bCs/>
                <w:szCs w:val="24"/>
              </w:rPr>
              <w:t>New legislative instrument</w:t>
            </w:r>
          </w:p>
        </w:tc>
      </w:tr>
      <w:tr w:rsidR="003C3CA0" w:rsidRPr="002C27C8"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rPr>
            </w:pPr>
            <w:r w:rsidRPr="002C27C8">
              <w:rPr>
                <w:szCs w:val="24"/>
              </w:rPr>
              <w:t>1.</w:t>
            </w:r>
          </w:p>
        </w:tc>
        <w:tc>
          <w:tcPr>
            <w:tcW w:w="3510" w:type="dxa"/>
            <w:shd w:val="clear" w:color="auto" w:fill="FFFFFF"/>
            <w:tcMar>
              <w:top w:w="0" w:type="dxa"/>
              <w:left w:w="108" w:type="dxa"/>
              <w:bottom w:w="0" w:type="dxa"/>
              <w:right w:w="108" w:type="dxa"/>
            </w:tcMar>
            <w:hideMark/>
          </w:tcPr>
          <w:p w:rsidR="003C3CA0" w:rsidRPr="00EA6437" w:rsidRDefault="003C3CA0">
            <w:pPr>
              <w:pStyle w:val="BodyText"/>
              <w:spacing w:before="0" w:after="0"/>
              <w:rPr>
                <w:i/>
                <w:iCs/>
                <w:szCs w:val="24"/>
              </w:rPr>
            </w:pPr>
            <w:r w:rsidRPr="00EA6437">
              <w:rPr>
                <w:szCs w:val="24"/>
              </w:rPr>
              <w:t>[CO 12/415] </w:t>
            </w:r>
            <w:r w:rsidR="000E32DB" w:rsidRPr="00EA6437">
              <w:rPr>
                <w:i/>
                <w:iCs/>
                <w:szCs w:val="24"/>
              </w:rPr>
              <w:t>In-use notices for employer-sponsored superannuation</w:t>
            </w:r>
          </w:p>
        </w:tc>
        <w:tc>
          <w:tcPr>
            <w:tcW w:w="4252" w:type="dxa"/>
            <w:shd w:val="clear" w:color="auto" w:fill="FFFFFF"/>
            <w:tcMar>
              <w:top w:w="0" w:type="dxa"/>
              <w:left w:w="108" w:type="dxa"/>
              <w:bottom w:w="0" w:type="dxa"/>
              <w:right w:w="108" w:type="dxa"/>
            </w:tcMar>
            <w:hideMark/>
          </w:tcPr>
          <w:p w:rsidR="003C3CA0" w:rsidRPr="00674C2F" w:rsidRDefault="008771A5">
            <w:pPr>
              <w:pStyle w:val="BodyText"/>
              <w:spacing w:before="0" w:after="0"/>
              <w:rPr>
                <w:i/>
                <w:iCs/>
                <w:szCs w:val="24"/>
              </w:rPr>
            </w:pPr>
            <w:r w:rsidRPr="00674C2F">
              <w:rPr>
                <w:i/>
                <w:iCs/>
                <w:szCs w:val="24"/>
              </w:rPr>
              <w:t xml:space="preserve">ASIC Corporations (In-Use Notices and Dashboards) Instrument </w:t>
            </w:r>
            <w:r w:rsidRPr="00E00066">
              <w:rPr>
                <w:i/>
                <w:iCs/>
                <w:szCs w:val="24"/>
              </w:rPr>
              <w:t>2022/</w:t>
            </w:r>
            <w:r w:rsidR="00D26E2E" w:rsidRPr="00E00066">
              <w:rPr>
                <w:i/>
                <w:iCs/>
                <w:szCs w:val="24"/>
              </w:rPr>
              <w:t>496</w:t>
            </w:r>
          </w:p>
        </w:tc>
      </w:tr>
      <w:tr w:rsidR="003C3CA0" w:rsidRPr="002C27C8"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rPr>
            </w:pPr>
            <w:r w:rsidRPr="002C27C8">
              <w:rPr>
                <w:szCs w:val="24"/>
              </w:rPr>
              <w:t>2.</w:t>
            </w:r>
          </w:p>
        </w:tc>
        <w:tc>
          <w:tcPr>
            <w:tcW w:w="3510" w:type="dxa"/>
            <w:shd w:val="clear" w:color="auto" w:fill="FFFFFF"/>
            <w:tcMar>
              <w:top w:w="0" w:type="dxa"/>
              <w:left w:w="108" w:type="dxa"/>
              <w:bottom w:w="0" w:type="dxa"/>
              <w:right w:w="108" w:type="dxa"/>
            </w:tcMar>
            <w:hideMark/>
          </w:tcPr>
          <w:p w:rsidR="003C3CA0" w:rsidRPr="00EA6437" w:rsidRDefault="008771A5">
            <w:pPr>
              <w:pStyle w:val="BodyText"/>
              <w:spacing w:before="0" w:after="0"/>
              <w:rPr>
                <w:i/>
                <w:iCs/>
                <w:szCs w:val="24"/>
              </w:rPr>
            </w:pPr>
            <w:r w:rsidRPr="00EA6437">
              <w:rPr>
                <w:szCs w:val="24"/>
              </w:rPr>
              <w:t>[CO 13/1534]</w:t>
            </w:r>
            <w:r w:rsidR="000E32DB" w:rsidRPr="00EA6437">
              <w:rPr>
                <w:szCs w:val="24"/>
              </w:rPr>
              <w:t xml:space="preserve"> </w:t>
            </w:r>
            <w:r w:rsidR="000E32DB" w:rsidRPr="00EA6437">
              <w:rPr>
                <w:i/>
                <w:iCs/>
                <w:szCs w:val="24"/>
              </w:rPr>
              <w:t>Deferral of Stronger Super amendments in relation to PDS and periodic statement disclosure</w:t>
            </w:r>
          </w:p>
        </w:tc>
        <w:tc>
          <w:tcPr>
            <w:tcW w:w="4252" w:type="dxa"/>
            <w:shd w:val="clear" w:color="auto" w:fill="FFFFFF"/>
            <w:tcMar>
              <w:top w:w="0" w:type="dxa"/>
              <w:left w:w="108" w:type="dxa"/>
              <w:bottom w:w="0" w:type="dxa"/>
              <w:right w:w="108" w:type="dxa"/>
            </w:tcMar>
            <w:hideMark/>
          </w:tcPr>
          <w:p w:rsidR="003C3CA0" w:rsidRPr="00674C2F" w:rsidRDefault="008771A5">
            <w:pPr>
              <w:pStyle w:val="BodyText"/>
              <w:spacing w:before="0" w:after="0"/>
              <w:rPr>
                <w:i/>
                <w:iCs/>
                <w:szCs w:val="24"/>
              </w:rPr>
            </w:pPr>
            <w:r w:rsidRPr="00674C2F">
              <w:rPr>
                <w:i/>
                <w:iCs/>
                <w:szCs w:val="24"/>
              </w:rPr>
              <w:t>ASIC Corporations (In-Use Notices and Dashboards) Instrument 2022/</w:t>
            </w:r>
            <w:r w:rsidR="00EC7D03" w:rsidRPr="00674C2F">
              <w:rPr>
                <w:i/>
                <w:iCs/>
                <w:szCs w:val="24"/>
              </w:rPr>
              <w:t>496</w:t>
            </w:r>
          </w:p>
        </w:tc>
      </w:tr>
      <w:tr w:rsidR="003C3CA0" w:rsidRPr="002C27C8"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rPr>
            </w:pPr>
            <w:r w:rsidRPr="002C27C8">
              <w:rPr>
                <w:szCs w:val="24"/>
              </w:rPr>
              <w:t>3.</w:t>
            </w:r>
          </w:p>
        </w:tc>
        <w:tc>
          <w:tcPr>
            <w:tcW w:w="3510" w:type="dxa"/>
            <w:shd w:val="clear" w:color="auto" w:fill="FFFFFF"/>
            <w:tcMar>
              <w:top w:w="0" w:type="dxa"/>
              <w:left w:w="108" w:type="dxa"/>
              <w:bottom w:w="0" w:type="dxa"/>
              <w:right w:w="108" w:type="dxa"/>
            </w:tcMar>
            <w:hideMark/>
          </w:tcPr>
          <w:p w:rsidR="003C3CA0" w:rsidRPr="00EA6437" w:rsidRDefault="008771A5">
            <w:pPr>
              <w:pStyle w:val="BodyText"/>
              <w:spacing w:before="0" w:after="0"/>
              <w:rPr>
                <w:i/>
                <w:iCs/>
                <w:szCs w:val="24"/>
              </w:rPr>
            </w:pPr>
            <w:r w:rsidRPr="00EA6437">
              <w:rPr>
                <w:szCs w:val="24"/>
              </w:rPr>
              <w:t>[CO 14/443]</w:t>
            </w:r>
            <w:r w:rsidR="003C3CA0" w:rsidRPr="00EA6437">
              <w:rPr>
                <w:szCs w:val="24"/>
              </w:rPr>
              <w:t> </w:t>
            </w:r>
            <w:r w:rsidR="000E32DB" w:rsidRPr="00EA6437">
              <w:rPr>
                <w:i/>
                <w:iCs/>
                <w:szCs w:val="24"/>
              </w:rPr>
              <w:t>Deferral of choice product dashboard and portfolio holdings disclosure regimes</w:t>
            </w:r>
          </w:p>
        </w:tc>
        <w:tc>
          <w:tcPr>
            <w:tcW w:w="4252" w:type="dxa"/>
            <w:shd w:val="clear" w:color="auto" w:fill="FFFFFF"/>
            <w:tcMar>
              <w:top w:w="0" w:type="dxa"/>
              <w:left w:w="108" w:type="dxa"/>
              <w:bottom w:w="0" w:type="dxa"/>
              <w:right w:w="108" w:type="dxa"/>
            </w:tcMar>
            <w:hideMark/>
          </w:tcPr>
          <w:p w:rsidR="003C3CA0" w:rsidRPr="00674C2F" w:rsidRDefault="008771A5">
            <w:pPr>
              <w:pStyle w:val="BodyText"/>
              <w:spacing w:before="0" w:after="0"/>
              <w:rPr>
                <w:i/>
                <w:iCs/>
                <w:szCs w:val="24"/>
              </w:rPr>
            </w:pPr>
            <w:r w:rsidRPr="00674C2F">
              <w:rPr>
                <w:i/>
                <w:iCs/>
                <w:szCs w:val="24"/>
              </w:rPr>
              <w:t>ASIC Corporations (In-Use Notices and Dashboards) Instrument 2022/</w:t>
            </w:r>
            <w:r w:rsidR="00EC7D03" w:rsidRPr="00674C2F">
              <w:rPr>
                <w:i/>
                <w:iCs/>
                <w:szCs w:val="24"/>
              </w:rPr>
              <w:t>496</w:t>
            </w:r>
          </w:p>
        </w:tc>
      </w:tr>
      <w:tr w:rsidR="003C3CA0" w:rsidRPr="00EA6437"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rPr>
            </w:pPr>
            <w:r w:rsidRPr="002C27C8">
              <w:rPr>
                <w:szCs w:val="24"/>
              </w:rPr>
              <w:t>4.</w:t>
            </w:r>
          </w:p>
        </w:tc>
        <w:tc>
          <w:tcPr>
            <w:tcW w:w="3510" w:type="dxa"/>
            <w:shd w:val="clear" w:color="auto" w:fill="FFFFFF"/>
            <w:tcMar>
              <w:top w:w="0" w:type="dxa"/>
              <w:left w:w="108" w:type="dxa"/>
              <w:bottom w:w="0" w:type="dxa"/>
              <w:right w:w="108" w:type="dxa"/>
            </w:tcMar>
            <w:hideMark/>
          </w:tcPr>
          <w:p w:rsidR="003C3CA0" w:rsidRPr="00EA6437" w:rsidRDefault="008771A5">
            <w:pPr>
              <w:pStyle w:val="BodyText"/>
              <w:spacing w:before="0" w:after="0"/>
              <w:rPr>
                <w:i/>
                <w:iCs/>
                <w:szCs w:val="24"/>
              </w:rPr>
            </w:pPr>
            <w:r w:rsidRPr="00EA6437">
              <w:rPr>
                <w:szCs w:val="24"/>
              </w:rPr>
              <w:t>[CO 12/417]</w:t>
            </w:r>
            <w:r w:rsidR="000E32DB" w:rsidRPr="00EA6437">
              <w:rPr>
                <w:szCs w:val="24"/>
              </w:rPr>
              <w:t xml:space="preserve"> </w:t>
            </w:r>
            <w:r w:rsidR="000E32DB" w:rsidRPr="00EA6437">
              <w:rPr>
                <w:i/>
                <w:iCs/>
                <w:szCs w:val="24"/>
              </w:rPr>
              <w:t>Information in a FSG given in a time-critical situation</w:t>
            </w:r>
          </w:p>
        </w:tc>
        <w:tc>
          <w:tcPr>
            <w:tcW w:w="4252" w:type="dxa"/>
            <w:shd w:val="clear" w:color="auto" w:fill="FFFFFF"/>
            <w:tcMar>
              <w:top w:w="0" w:type="dxa"/>
              <w:left w:w="108" w:type="dxa"/>
              <w:bottom w:w="0" w:type="dxa"/>
              <w:right w:w="108" w:type="dxa"/>
            </w:tcMar>
            <w:hideMark/>
          </w:tcPr>
          <w:p w:rsidR="003C3CA0" w:rsidRPr="00674C2F" w:rsidRDefault="008771A5">
            <w:pPr>
              <w:pStyle w:val="BodyText"/>
              <w:spacing w:before="0" w:after="0"/>
              <w:rPr>
                <w:i/>
                <w:iCs/>
                <w:szCs w:val="24"/>
              </w:rPr>
            </w:pPr>
            <w:r w:rsidRPr="00674C2F">
              <w:rPr>
                <w:i/>
                <w:iCs/>
                <w:szCs w:val="24"/>
              </w:rPr>
              <w:t xml:space="preserve">ASIC Corporations (Financial Services Guide </w:t>
            </w:r>
            <w:r w:rsidR="00384EF7" w:rsidRPr="00674C2F">
              <w:rPr>
                <w:i/>
                <w:iCs/>
                <w:szCs w:val="24"/>
              </w:rPr>
              <w:t>G</w:t>
            </w:r>
            <w:r w:rsidRPr="00674C2F">
              <w:rPr>
                <w:i/>
                <w:iCs/>
                <w:szCs w:val="24"/>
              </w:rPr>
              <w:t xml:space="preserve">iven in a </w:t>
            </w:r>
            <w:r w:rsidR="00384EF7" w:rsidRPr="00674C2F">
              <w:rPr>
                <w:i/>
                <w:iCs/>
                <w:szCs w:val="24"/>
              </w:rPr>
              <w:t>T</w:t>
            </w:r>
            <w:r w:rsidRPr="00674C2F">
              <w:rPr>
                <w:i/>
                <w:iCs/>
                <w:szCs w:val="24"/>
              </w:rPr>
              <w:t xml:space="preserve">ime </w:t>
            </w:r>
            <w:r w:rsidR="00443E0D" w:rsidRPr="00674C2F">
              <w:rPr>
                <w:i/>
                <w:iCs/>
                <w:szCs w:val="24"/>
              </w:rPr>
              <w:t>C</w:t>
            </w:r>
            <w:r w:rsidRPr="00674C2F">
              <w:rPr>
                <w:i/>
                <w:iCs/>
                <w:szCs w:val="24"/>
              </w:rPr>
              <w:t xml:space="preserve">ritical </w:t>
            </w:r>
            <w:r w:rsidR="00384EF7" w:rsidRPr="00674C2F">
              <w:rPr>
                <w:i/>
                <w:iCs/>
                <w:szCs w:val="24"/>
              </w:rPr>
              <w:t>S</w:t>
            </w:r>
            <w:r w:rsidRPr="00674C2F">
              <w:rPr>
                <w:i/>
                <w:iCs/>
                <w:szCs w:val="24"/>
              </w:rPr>
              <w:t>ituation) Instrument 2022/</w:t>
            </w:r>
            <w:r w:rsidR="00EC7D03" w:rsidRPr="00674C2F">
              <w:rPr>
                <w:i/>
                <w:iCs/>
                <w:szCs w:val="24"/>
              </w:rPr>
              <w:t>498</w:t>
            </w:r>
          </w:p>
        </w:tc>
      </w:tr>
      <w:tr w:rsidR="00C37F95" w:rsidRPr="00EA6437" w:rsidTr="002E6DCD">
        <w:trPr>
          <w:tblHeader/>
        </w:trPr>
        <w:tc>
          <w:tcPr>
            <w:tcW w:w="426" w:type="dxa"/>
            <w:shd w:val="clear" w:color="auto" w:fill="FFFFFF"/>
            <w:tcMar>
              <w:top w:w="0" w:type="dxa"/>
              <w:left w:w="108" w:type="dxa"/>
              <w:bottom w:w="0" w:type="dxa"/>
              <w:right w:w="108" w:type="dxa"/>
            </w:tcMar>
            <w:hideMark/>
          </w:tcPr>
          <w:p w:rsidR="003C3CA0" w:rsidRPr="00EA6437" w:rsidRDefault="003C3CA0">
            <w:pPr>
              <w:pStyle w:val="BodyText"/>
              <w:spacing w:before="0" w:after="0"/>
              <w:rPr>
                <w:szCs w:val="24"/>
              </w:rPr>
            </w:pPr>
            <w:r w:rsidRPr="00EA6437">
              <w:rPr>
                <w:szCs w:val="24"/>
              </w:rPr>
              <w:t>5.</w:t>
            </w:r>
          </w:p>
        </w:tc>
        <w:tc>
          <w:tcPr>
            <w:tcW w:w="3510" w:type="dxa"/>
            <w:shd w:val="clear" w:color="auto" w:fill="FFFFFF"/>
            <w:tcMar>
              <w:top w:w="0" w:type="dxa"/>
              <w:left w:w="108" w:type="dxa"/>
              <w:bottom w:w="0" w:type="dxa"/>
              <w:right w:w="108" w:type="dxa"/>
            </w:tcMar>
            <w:hideMark/>
          </w:tcPr>
          <w:p w:rsidR="003C3CA0" w:rsidRPr="00EA6437" w:rsidRDefault="008771A5">
            <w:pPr>
              <w:pStyle w:val="BodyText"/>
              <w:spacing w:before="0" w:after="0"/>
              <w:rPr>
                <w:i/>
                <w:iCs/>
                <w:szCs w:val="24"/>
              </w:rPr>
            </w:pPr>
            <w:r w:rsidRPr="00EA6437">
              <w:rPr>
                <w:szCs w:val="24"/>
              </w:rPr>
              <w:t>[CO 12/749]</w:t>
            </w:r>
            <w:r w:rsidR="000E32DB" w:rsidRPr="00EA6437">
              <w:rPr>
                <w:szCs w:val="24"/>
              </w:rPr>
              <w:t xml:space="preserve"> </w:t>
            </w:r>
            <w:r w:rsidR="000E32DB" w:rsidRPr="00EA6437">
              <w:rPr>
                <w:i/>
                <w:iCs/>
                <w:szCs w:val="24"/>
              </w:rPr>
              <w:t>Relief from the Shorter PDS regime</w:t>
            </w:r>
          </w:p>
        </w:tc>
        <w:tc>
          <w:tcPr>
            <w:tcW w:w="4252" w:type="dxa"/>
            <w:shd w:val="clear" w:color="auto" w:fill="FFFFFF"/>
            <w:tcMar>
              <w:top w:w="0" w:type="dxa"/>
              <w:left w:w="108" w:type="dxa"/>
              <w:bottom w:w="0" w:type="dxa"/>
              <w:right w:w="108" w:type="dxa"/>
            </w:tcMar>
            <w:hideMark/>
          </w:tcPr>
          <w:p w:rsidR="003C3CA0" w:rsidRPr="00674C2F" w:rsidRDefault="008D1BD2">
            <w:pPr>
              <w:pStyle w:val="BodyText"/>
              <w:spacing w:before="0" w:after="0"/>
              <w:rPr>
                <w:i/>
                <w:iCs/>
                <w:szCs w:val="24"/>
              </w:rPr>
            </w:pPr>
            <w:r w:rsidRPr="00674C2F">
              <w:rPr>
                <w:i/>
                <w:iCs/>
                <w:szCs w:val="24"/>
              </w:rPr>
              <w:t>ASIC Corporations (Shorter PDS</w:t>
            </w:r>
            <w:r w:rsidR="00914661" w:rsidRPr="00674C2F">
              <w:rPr>
                <w:i/>
                <w:iCs/>
                <w:szCs w:val="24"/>
              </w:rPr>
              <w:t xml:space="preserve"> and Delivery of Accessible Financial Products Disclosure by Platform Operators and Superannuation Trustees</w:t>
            </w:r>
            <w:r w:rsidRPr="00674C2F">
              <w:rPr>
                <w:i/>
                <w:iCs/>
                <w:szCs w:val="24"/>
              </w:rPr>
              <w:t>) Instrument 2022/</w:t>
            </w:r>
            <w:r w:rsidR="00EC7D03" w:rsidRPr="00674C2F">
              <w:rPr>
                <w:i/>
                <w:iCs/>
                <w:szCs w:val="24"/>
              </w:rPr>
              <w:t>497</w:t>
            </w:r>
          </w:p>
        </w:tc>
      </w:tr>
      <w:tr w:rsidR="008771A5" w:rsidRPr="00EA6437" w:rsidTr="002E6DCD">
        <w:trPr>
          <w:tblHeader/>
        </w:trPr>
        <w:tc>
          <w:tcPr>
            <w:tcW w:w="426" w:type="dxa"/>
            <w:shd w:val="clear" w:color="auto" w:fill="FFFFFF"/>
            <w:tcMar>
              <w:top w:w="0" w:type="dxa"/>
              <w:left w:w="108" w:type="dxa"/>
              <w:bottom w:w="0" w:type="dxa"/>
              <w:right w:w="108" w:type="dxa"/>
            </w:tcMar>
          </w:tcPr>
          <w:p w:rsidR="008771A5" w:rsidRPr="00EA6437" w:rsidRDefault="008D1BD2">
            <w:pPr>
              <w:pStyle w:val="BodyText"/>
              <w:spacing w:before="0" w:after="0"/>
              <w:rPr>
                <w:szCs w:val="24"/>
              </w:rPr>
            </w:pPr>
            <w:r w:rsidRPr="00EA6437">
              <w:rPr>
                <w:szCs w:val="24"/>
              </w:rPr>
              <w:t>6.</w:t>
            </w:r>
          </w:p>
        </w:tc>
        <w:tc>
          <w:tcPr>
            <w:tcW w:w="3510" w:type="dxa"/>
            <w:shd w:val="clear" w:color="auto" w:fill="FFFFFF"/>
            <w:tcMar>
              <w:top w:w="0" w:type="dxa"/>
              <w:left w:w="108" w:type="dxa"/>
              <w:bottom w:w="0" w:type="dxa"/>
              <w:right w:w="108" w:type="dxa"/>
            </w:tcMar>
          </w:tcPr>
          <w:p w:rsidR="008771A5" w:rsidRPr="00EA6437" w:rsidRDefault="008771A5">
            <w:pPr>
              <w:pStyle w:val="BodyText"/>
              <w:spacing w:before="0" w:after="0"/>
              <w:rPr>
                <w:i/>
                <w:iCs/>
                <w:szCs w:val="24"/>
              </w:rPr>
            </w:pPr>
            <w:r w:rsidRPr="00EA6437">
              <w:rPr>
                <w:szCs w:val="24"/>
              </w:rPr>
              <w:t>[CO 13/797]</w:t>
            </w:r>
            <w:r w:rsidR="000E32DB" w:rsidRPr="00EA6437">
              <w:rPr>
                <w:szCs w:val="24"/>
              </w:rPr>
              <w:t xml:space="preserve"> </w:t>
            </w:r>
            <w:r w:rsidR="000E32DB" w:rsidRPr="00EA6437">
              <w:rPr>
                <w:i/>
                <w:iCs/>
                <w:szCs w:val="24"/>
              </w:rPr>
              <w:t>Platform operators and trustees of superannuation entities using an agent to deliver a PDS</w:t>
            </w:r>
          </w:p>
        </w:tc>
        <w:tc>
          <w:tcPr>
            <w:tcW w:w="4252" w:type="dxa"/>
            <w:shd w:val="clear" w:color="auto" w:fill="FFFFFF"/>
            <w:tcMar>
              <w:top w:w="0" w:type="dxa"/>
              <w:left w:w="108" w:type="dxa"/>
              <w:bottom w:w="0" w:type="dxa"/>
              <w:right w:w="108" w:type="dxa"/>
            </w:tcMar>
          </w:tcPr>
          <w:p w:rsidR="008771A5" w:rsidRPr="00674C2F" w:rsidRDefault="008D1BD2">
            <w:pPr>
              <w:pStyle w:val="BodyText"/>
              <w:spacing w:before="0" w:after="0"/>
              <w:rPr>
                <w:i/>
                <w:iCs/>
                <w:szCs w:val="24"/>
              </w:rPr>
            </w:pPr>
            <w:r w:rsidRPr="00674C2F">
              <w:rPr>
                <w:i/>
                <w:iCs/>
                <w:szCs w:val="24"/>
              </w:rPr>
              <w:t>ASIC Corporations (Shorter PDS</w:t>
            </w:r>
            <w:r w:rsidR="00914661" w:rsidRPr="00674C2F">
              <w:rPr>
                <w:i/>
                <w:iCs/>
                <w:szCs w:val="24"/>
              </w:rPr>
              <w:t xml:space="preserve"> and Delivery of Accessible Financial Products Disclosure by Platform Operators and Superannuation Trustees</w:t>
            </w:r>
            <w:r w:rsidRPr="00674C2F">
              <w:rPr>
                <w:i/>
                <w:iCs/>
                <w:szCs w:val="24"/>
              </w:rPr>
              <w:t>) Instrument 2022/</w:t>
            </w:r>
            <w:r w:rsidR="00EC7D03" w:rsidRPr="00674C2F">
              <w:rPr>
                <w:i/>
                <w:iCs/>
                <w:szCs w:val="24"/>
              </w:rPr>
              <w:t>497</w:t>
            </w:r>
          </w:p>
        </w:tc>
      </w:tr>
      <w:tr w:rsidR="008D1BD2" w:rsidRPr="00EA6437" w:rsidTr="002E6DCD">
        <w:trPr>
          <w:tblHeader/>
        </w:trPr>
        <w:tc>
          <w:tcPr>
            <w:tcW w:w="426" w:type="dxa"/>
            <w:shd w:val="clear" w:color="auto" w:fill="FFFFFF"/>
            <w:tcMar>
              <w:top w:w="0" w:type="dxa"/>
              <w:left w:w="108" w:type="dxa"/>
              <w:bottom w:w="0" w:type="dxa"/>
              <w:right w:w="108" w:type="dxa"/>
            </w:tcMar>
          </w:tcPr>
          <w:p w:rsidR="008D1BD2" w:rsidRPr="00EA6437" w:rsidRDefault="008D1BD2">
            <w:pPr>
              <w:pStyle w:val="BodyText"/>
              <w:spacing w:before="0" w:after="0"/>
              <w:rPr>
                <w:szCs w:val="24"/>
              </w:rPr>
            </w:pPr>
            <w:r w:rsidRPr="00EA6437">
              <w:rPr>
                <w:szCs w:val="24"/>
              </w:rPr>
              <w:t>7.</w:t>
            </w:r>
          </w:p>
        </w:tc>
        <w:tc>
          <w:tcPr>
            <w:tcW w:w="3510" w:type="dxa"/>
            <w:shd w:val="clear" w:color="auto" w:fill="FFFFFF"/>
            <w:tcMar>
              <w:top w:w="0" w:type="dxa"/>
              <w:left w:w="108" w:type="dxa"/>
              <w:bottom w:w="0" w:type="dxa"/>
              <w:right w:w="108" w:type="dxa"/>
            </w:tcMar>
          </w:tcPr>
          <w:p w:rsidR="008D1BD2" w:rsidRPr="00EA6437" w:rsidRDefault="008D1BD2">
            <w:pPr>
              <w:pStyle w:val="BodyText"/>
              <w:spacing w:before="0" w:after="0"/>
              <w:rPr>
                <w:i/>
                <w:iCs/>
                <w:szCs w:val="24"/>
              </w:rPr>
            </w:pPr>
            <w:r w:rsidRPr="00EA6437">
              <w:rPr>
                <w:i/>
                <w:iCs/>
                <w:szCs w:val="24"/>
              </w:rPr>
              <w:t>ASIC Corporations (Superannuation: Investment Strategies) Instrument 2016/65</w:t>
            </w:r>
          </w:p>
        </w:tc>
        <w:tc>
          <w:tcPr>
            <w:tcW w:w="4252" w:type="dxa"/>
            <w:shd w:val="clear" w:color="auto" w:fill="FFFFFF"/>
            <w:tcMar>
              <w:top w:w="0" w:type="dxa"/>
              <w:left w:w="108" w:type="dxa"/>
              <w:bottom w:w="0" w:type="dxa"/>
              <w:right w:w="108" w:type="dxa"/>
            </w:tcMar>
          </w:tcPr>
          <w:p w:rsidR="008D1BD2" w:rsidRPr="00674C2F" w:rsidRDefault="008D1BD2">
            <w:pPr>
              <w:pStyle w:val="BodyText"/>
              <w:spacing w:before="0" w:after="0"/>
              <w:rPr>
                <w:i/>
                <w:iCs/>
                <w:szCs w:val="24"/>
              </w:rPr>
            </w:pPr>
            <w:r w:rsidRPr="00674C2F">
              <w:rPr>
                <w:i/>
                <w:iCs/>
                <w:szCs w:val="24"/>
              </w:rPr>
              <w:t>ASIC Corporations (Shorter PDS</w:t>
            </w:r>
            <w:r w:rsidR="00914661" w:rsidRPr="00674C2F">
              <w:rPr>
                <w:i/>
                <w:iCs/>
                <w:szCs w:val="24"/>
              </w:rPr>
              <w:t xml:space="preserve"> and Delivery of Accessible Financial Products Disclosure by Platform Operators and Superannuation Trustees</w:t>
            </w:r>
            <w:r w:rsidRPr="00674C2F">
              <w:rPr>
                <w:i/>
                <w:iCs/>
                <w:szCs w:val="24"/>
              </w:rPr>
              <w:t>) Instrument 2022/</w:t>
            </w:r>
            <w:r w:rsidR="00EC7D03" w:rsidRPr="00674C2F">
              <w:rPr>
                <w:i/>
                <w:iCs/>
                <w:szCs w:val="24"/>
              </w:rPr>
              <w:t>497</w:t>
            </w:r>
          </w:p>
        </w:tc>
      </w:tr>
    </w:tbl>
    <w:p w:rsidR="00F4645A" w:rsidRDefault="00F4645A" w:rsidP="00F4645A">
      <w:pPr>
        <w:pStyle w:val="LI-BodyTextParaa"/>
        <w:numPr>
          <w:ilvl w:val="0"/>
          <w:numId w:val="20"/>
        </w:numPr>
      </w:pPr>
      <w:bookmarkStart w:id="1" w:name="_Hlk534291624"/>
      <w:r w:rsidRPr="00EA6437">
        <w:t xml:space="preserve">ASIC Class Orders [10/630], [CO 12/574], [CO 12/794] and LI 2015/586 are redundant and have not been remade. </w:t>
      </w:r>
    </w:p>
    <w:p w:rsidR="00186FF4" w:rsidRPr="00EA6437" w:rsidRDefault="00186FF4" w:rsidP="00F4645A">
      <w:pPr>
        <w:pStyle w:val="LI-BodyTextParaa"/>
        <w:numPr>
          <w:ilvl w:val="0"/>
          <w:numId w:val="20"/>
        </w:numPr>
      </w:pPr>
      <w:r>
        <w:t xml:space="preserve">ASIC Class Order [CO 12/574] </w:t>
      </w:r>
      <w:r w:rsidR="007C289C">
        <w:t>is redundant as it revokes class orders that are no longer applicable</w:t>
      </w:r>
      <w:r w:rsidR="00CC4E9F">
        <w:t xml:space="preserve">. </w:t>
      </w:r>
      <w:r>
        <w:t xml:space="preserve">[CO 12/794] </w:t>
      </w:r>
      <w:r w:rsidR="007C289C">
        <w:t>is</w:t>
      </w:r>
      <w:r>
        <w:t xml:space="preserve"> redundant</w:t>
      </w:r>
      <w:r w:rsidR="007C289C">
        <w:t xml:space="preserve"> as its relief </w:t>
      </w:r>
      <w:r w:rsidR="00CC4E9F">
        <w:t>only</w:t>
      </w:r>
      <w:r w:rsidR="007C289C">
        <w:t xml:space="preserve"> appl</w:t>
      </w:r>
      <w:r w:rsidR="00CC4E9F">
        <w:t>ied</w:t>
      </w:r>
      <w:r w:rsidR="007C289C">
        <w:t xml:space="preserve"> until 31 December 2012</w:t>
      </w:r>
      <w:r w:rsidR="001357BE">
        <w:t xml:space="preserve">, which is the day mentioned in paragraph 911A(5B)(b) of the </w:t>
      </w:r>
      <w:r w:rsidR="001357BE" w:rsidRPr="001357BE">
        <w:rPr>
          <w:i/>
          <w:iCs/>
        </w:rPr>
        <w:t>Corporations Act 2001</w:t>
      </w:r>
      <w:r w:rsidR="007C289C">
        <w:t xml:space="preserve">. </w:t>
      </w:r>
    </w:p>
    <w:p w:rsidR="00F4645A" w:rsidRPr="00EA6437" w:rsidRDefault="00F4645A" w:rsidP="00F4645A">
      <w:pPr>
        <w:pStyle w:val="LI-BodyTextParaa"/>
        <w:numPr>
          <w:ilvl w:val="0"/>
          <w:numId w:val="20"/>
        </w:numPr>
      </w:pPr>
      <w:r w:rsidRPr="00EA6437">
        <w:t xml:space="preserve">ASIC Class Order [CO 10/630] and LI 2015/586 are redundant following registration of the </w:t>
      </w:r>
      <w:bookmarkStart w:id="2" w:name="_Hlk102551863"/>
      <w:r w:rsidRPr="00EA6437">
        <w:rPr>
          <w:i/>
          <w:iCs/>
        </w:rPr>
        <w:t>Treasury Laws Amendment (Miscellaneous and Technical Amendments No. 2) Regulations 2021</w:t>
      </w:r>
      <w:r w:rsidRPr="00EA6437">
        <w:t xml:space="preserve">, </w:t>
      </w:r>
      <w:bookmarkEnd w:id="2"/>
      <w:r w:rsidRPr="00EA6437">
        <w:t xml:space="preserve">which incorporated modifications the legislative instruments made into the </w:t>
      </w:r>
      <w:r w:rsidRPr="00EA6437">
        <w:rPr>
          <w:i/>
          <w:iCs/>
        </w:rPr>
        <w:t>Corporations Regulations 2001</w:t>
      </w:r>
      <w:r w:rsidRPr="00EA6437">
        <w:t xml:space="preserve">.  </w:t>
      </w:r>
    </w:p>
    <w:p w:rsidR="00D43AC5" w:rsidRDefault="00D43AC5" w:rsidP="00593B21">
      <w:pPr>
        <w:pStyle w:val="LI-BodyTextNumbered"/>
        <w:ind w:left="0" w:firstLine="0"/>
        <w:rPr>
          <w:b/>
        </w:rPr>
      </w:pPr>
    </w:p>
    <w:p w:rsidR="009A3F74" w:rsidRPr="00EA6437" w:rsidRDefault="009A3F74" w:rsidP="00593B21">
      <w:pPr>
        <w:pStyle w:val="LI-BodyTextNumbered"/>
        <w:ind w:left="0" w:firstLine="0"/>
        <w:rPr>
          <w:b/>
        </w:rPr>
      </w:pPr>
      <w:r w:rsidRPr="00EA6437">
        <w:rPr>
          <w:b/>
        </w:rPr>
        <w:lastRenderedPageBreak/>
        <w:t>Consultation</w:t>
      </w:r>
    </w:p>
    <w:p w:rsidR="008338F9" w:rsidRPr="00EA6437" w:rsidRDefault="003C7BC6" w:rsidP="00667966">
      <w:pPr>
        <w:pStyle w:val="LI-BodyTextParaa"/>
        <w:numPr>
          <w:ilvl w:val="0"/>
          <w:numId w:val="20"/>
        </w:numPr>
        <w:rPr>
          <w:color w:val="000000"/>
        </w:rPr>
      </w:pPr>
      <w:r w:rsidRPr="00EA6437">
        <w:rPr>
          <w:color w:val="000000"/>
        </w:rPr>
        <w:t xml:space="preserve">On </w:t>
      </w:r>
      <w:r w:rsidR="00914661" w:rsidRPr="00EA6437">
        <w:rPr>
          <w:color w:val="000000"/>
        </w:rPr>
        <w:t>15 February 2022,</w:t>
      </w:r>
      <w:r w:rsidRPr="00EA6437">
        <w:rPr>
          <w:color w:val="000000"/>
        </w:rPr>
        <w:t xml:space="preserve"> ASIC released CP </w:t>
      </w:r>
      <w:r w:rsidR="00914661" w:rsidRPr="00EA6437">
        <w:rPr>
          <w:color w:val="000000"/>
        </w:rPr>
        <w:t>358</w:t>
      </w:r>
      <w:r w:rsidRPr="00EA6437">
        <w:rPr>
          <w:color w:val="000000"/>
        </w:rPr>
        <w:t> </w:t>
      </w:r>
      <w:r w:rsidRPr="00EA6437">
        <w:rPr>
          <w:i/>
          <w:iCs/>
          <w:color w:val="000000"/>
        </w:rPr>
        <w:t xml:space="preserve">Remaking ASIC </w:t>
      </w:r>
      <w:r w:rsidR="00914661" w:rsidRPr="00EA6437">
        <w:rPr>
          <w:i/>
          <w:iCs/>
          <w:color w:val="000000"/>
        </w:rPr>
        <w:t xml:space="preserve">relief </w:t>
      </w:r>
      <w:r w:rsidRPr="00EA6437">
        <w:rPr>
          <w:i/>
          <w:iCs/>
          <w:color w:val="000000"/>
        </w:rPr>
        <w:t xml:space="preserve">on </w:t>
      </w:r>
      <w:r w:rsidR="00914661" w:rsidRPr="00EA6437">
        <w:rPr>
          <w:i/>
          <w:iCs/>
          <w:color w:val="000000"/>
        </w:rPr>
        <w:t>PDSs, superannuation dashboards and FSGs</w:t>
      </w:r>
      <w:r w:rsidRPr="00EA6437">
        <w:rPr>
          <w:i/>
          <w:iCs/>
          <w:color w:val="000000"/>
        </w:rPr>
        <w:t xml:space="preserve"> </w:t>
      </w:r>
      <w:r w:rsidRPr="00EA6437">
        <w:rPr>
          <w:color w:val="000000"/>
        </w:rPr>
        <w:t>(</w:t>
      </w:r>
      <w:r w:rsidRPr="00EA6437">
        <w:rPr>
          <w:b/>
          <w:bCs/>
          <w:color w:val="000000"/>
        </w:rPr>
        <w:t xml:space="preserve">CP </w:t>
      </w:r>
      <w:r w:rsidR="00914661" w:rsidRPr="00EA6437">
        <w:rPr>
          <w:b/>
          <w:bCs/>
          <w:color w:val="000000"/>
        </w:rPr>
        <w:t>358</w:t>
      </w:r>
      <w:r w:rsidRPr="00EA6437">
        <w:rPr>
          <w:color w:val="000000"/>
        </w:rPr>
        <w:t xml:space="preserve">) </w:t>
      </w:r>
      <w:r w:rsidR="008338F9" w:rsidRPr="00EA6437">
        <w:rPr>
          <w:color w:val="000000"/>
        </w:rPr>
        <w:t>seeking feedback on proposal</w:t>
      </w:r>
      <w:r w:rsidR="00914661" w:rsidRPr="00EA6437">
        <w:rPr>
          <w:color w:val="000000"/>
        </w:rPr>
        <w:t>s</w:t>
      </w:r>
      <w:r w:rsidR="008338F9" w:rsidRPr="00EA6437">
        <w:rPr>
          <w:color w:val="000000"/>
        </w:rPr>
        <w:t xml:space="preserve"> to remake </w:t>
      </w:r>
      <w:r w:rsidR="008808DF" w:rsidRPr="00EA6437">
        <w:rPr>
          <w:color w:val="000000"/>
        </w:rPr>
        <w:t xml:space="preserve">the </w:t>
      </w:r>
      <w:r w:rsidR="008338F9" w:rsidRPr="00EA6437">
        <w:rPr>
          <w:color w:val="000000"/>
        </w:rPr>
        <w:t xml:space="preserve">legislative instruments </w:t>
      </w:r>
      <w:r w:rsidR="008808DF" w:rsidRPr="00EA6437">
        <w:rPr>
          <w:color w:val="000000"/>
        </w:rPr>
        <w:t xml:space="preserve">listed in the table above. </w:t>
      </w:r>
      <w:r w:rsidR="008338F9" w:rsidRPr="00EA6437">
        <w:rPr>
          <w:color w:val="000000"/>
        </w:rPr>
        <w:t>This include</w:t>
      </w:r>
      <w:r w:rsidR="00914661" w:rsidRPr="00EA6437">
        <w:rPr>
          <w:color w:val="000000"/>
        </w:rPr>
        <w:t>d</w:t>
      </w:r>
      <w:r w:rsidR="008338F9" w:rsidRPr="00EA6437">
        <w:rPr>
          <w:color w:val="000000"/>
        </w:rPr>
        <w:t xml:space="preserve"> proposals to</w:t>
      </w:r>
      <w:r w:rsidR="00AC6B01" w:rsidRPr="00EA6437">
        <w:rPr>
          <w:color w:val="000000"/>
        </w:rPr>
        <w:t>, with</w:t>
      </w:r>
      <w:r w:rsidR="001C4A1F" w:rsidRPr="00EA6437">
        <w:rPr>
          <w:color w:val="000000"/>
        </w:rPr>
        <w:t>out</w:t>
      </w:r>
      <w:r w:rsidR="00AC6B01" w:rsidRPr="00EA6437">
        <w:rPr>
          <w:color w:val="000000"/>
        </w:rPr>
        <w:t xml:space="preserve"> </w:t>
      </w:r>
      <w:r w:rsidR="001C4A1F" w:rsidRPr="00EA6437">
        <w:rPr>
          <w:color w:val="000000"/>
        </w:rPr>
        <w:t xml:space="preserve">significant </w:t>
      </w:r>
      <w:r w:rsidR="00AC6B01" w:rsidRPr="00EA6437">
        <w:rPr>
          <w:color w:val="000000"/>
        </w:rPr>
        <w:t>changes</w:t>
      </w:r>
      <w:r w:rsidR="008338F9" w:rsidRPr="00EA6437">
        <w:rPr>
          <w:color w:val="000000"/>
        </w:rPr>
        <w:t>:</w:t>
      </w:r>
    </w:p>
    <w:p w:rsidR="008338F9" w:rsidRPr="00EA6437" w:rsidRDefault="008338F9" w:rsidP="00593B21">
      <w:pPr>
        <w:pStyle w:val="LI-BodyTextParaa"/>
        <w:numPr>
          <w:ilvl w:val="1"/>
          <w:numId w:val="20"/>
        </w:numPr>
        <w:rPr>
          <w:color w:val="000000"/>
        </w:rPr>
      </w:pPr>
      <w:r w:rsidRPr="00EA6437">
        <w:rPr>
          <w:color w:val="000000"/>
        </w:rPr>
        <w:t>remake, as a single new instrument</w:t>
      </w:r>
      <w:r w:rsidR="001C4A1F" w:rsidRPr="00EA6437">
        <w:rPr>
          <w:color w:val="000000"/>
        </w:rPr>
        <w:t>, non-redundant r</w:t>
      </w:r>
      <w:r w:rsidR="00AC6B01" w:rsidRPr="00EA6437">
        <w:rPr>
          <w:color w:val="000000"/>
        </w:rPr>
        <w:t>elief in [CO 12/415], [CO 13/1534] and [CO 14/443]</w:t>
      </w:r>
      <w:r w:rsidRPr="00EA6437">
        <w:rPr>
          <w:color w:val="000000"/>
        </w:rPr>
        <w:t xml:space="preserve">;  </w:t>
      </w:r>
    </w:p>
    <w:p w:rsidR="008338F9" w:rsidRPr="00EA6437" w:rsidRDefault="008338F9" w:rsidP="00D43AC5">
      <w:pPr>
        <w:pStyle w:val="LI-BodyTextParaa"/>
        <w:numPr>
          <w:ilvl w:val="1"/>
          <w:numId w:val="20"/>
        </w:numPr>
        <w:ind w:left="1434" w:hanging="357"/>
        <w:rPr>
          <w:color w:val="000000"/>
        </w:rPr>
      </w:pPr>
      <w:r w:rsidRPr="00EA6437">
        <w:rPr>
          <w:color w:val="000000"/>
        </w:rPr>
        <w:t xml:space="preserve">remake, as a new instrument, </w:t>
      </w:r>
      <w:r w:rsidR="00AC6B01" w:rsidRPr="00EA6437">
        <w:rPr>
          <w:color w:val="000000"/>
        </w:rPr>
        <w:t>relief in [CO 12/417]</w:t>
      </w:r>
      <w:r w:rsidRPr="00EA6437">
        <w:rPr>
          <w:color w:val="000000"/>
        </w:rPr>
        <w:t>; and</w:t>
      </w:r>
    </w:p>
    <w:p w:rsidR="008338F9" w:rsidRPr="00EA6437" w:rsidRDefault="008338F9" w:rsidP="00157AE7">
      <w:pPr>
        <w:pStyle w:val="LI-BodyTextParaa"/>
        <w:numPr>
          <w:ilvl w:val="1"/>
          <w:numId w:val="20"/>
        </w:numPr>
        <w:ind w:left="1434" w:hanging="357"/>
        <w:rPr>
          <w:bCs/>
        </w:rPr>
      </w:pPr>
      <w:r w:rsidRPr="00EA6437">
        <w:rPr>
          <w:color w:val="000000"/>
        </w:rPr>
        <w:t xml:space="preserve">remake, as a single new instrument, </w:t>
      </w:r>
      <w:r w:rsidR="00AC6B01" w:rsidRPr="00EA6437">
        <w:rPr>
          <w:color w:val="000000"/>
        </w:rPr>
        <w:t xml:space="preserve">relief in [CO 12/749], [CO 13/797] and </w:t>
      </w:r>
      <w:r w:rsidR="001C4A1F" w:rsidRPr="00EA6437">
        <w:rPr>
          <w:color w:val="000000"/>
        </w:rPr>
        <w:t>LI 2016/65</w:t>
      </w:r>
      <w:r w:rsidRPr="00EA6437">
        <w:rPr>
          <w:color w:val="000000"/>
        </w:rPr>
        <w:t>.</w:t>
      </w:r>
    </w:p>
    <w:p w:rsidR="003C7BC6" w:rsidRPr="00EA6437" w:rsidRDefault="003C7BC6" w:rsidP="00593B21">
      <w:pPr>
        <w:pStyle w:val="LI-BodyTextParaa"/>
        <w:numPr>
          <w:ilvl w:val="0"/>
          <w:numId w:val="20"/>
        </w:numPr>
        <w:rPr>
          <w:bCs/>
        </w:rPr>
      </w:pPr>
      <w:r w:rsidRPr="00EA6437">
        <w:rPr>
          <w:color w:val="000000"/>
        </w:rPr>
        <w:t xml:space="preserve">The </w:t>
      </w:r>
      <w:r w:rsidRPr="00EA6437">
        <w:t>consultation</w:t>
      </w:r>
      <w:r w:rsidRPr="00EA6437">
        <w:rPr>
          <w:color w:val="000000"/>
        </w:rPr>
        <w:t xml:space="preserve"> period closed on </w:t>
      </w:r>
      <w:r w:rsidR="00914661" w:rsidRPr="00EA6437">
        <w:rPr>
          <w:color w:val="000000"/>
        </w:rPr>
        <w:t>12 April 2022</w:t>
      </w:r>
      <w:r w:rsidRPr="00EA6437">
        <w:rPr>
          <w:color w:val="000000"/>
        </w:rPr>
        <w:t>.</w:t>
      </w:r>
    </w:p>
    <w:p w:rsidR="003C7BC6" w:rsidRPr="00EA6437" w:rsidRDefault="003C7BC6" w:rsidP="00593B21">
      <w:pPr>
        <w:pStyle w:val="LI-BodyTextParaa"/>
        <w:numPr>
          <w:ilvl w:val="0"/>
          <w:numId w:val="20"/>
        </w:numPr>
        <w:rPr>
          <w:color w:val="000000"/>
        </w:rPr>
      </w:pPr>
      <w:r w:rsidRPr="00EA6437">
        <w:rPr>
          <w:color w:val="000000"/>
        </w:rPr>
        <w:t xml:space="preserve">ASIC </w:t>
      </w:r>
      <w:r w:rsidRPr="00EA6437">
        <w:t>received</w:t>
      </w:r>
      <w:r w:rsidRPr="00EA6437">
        <w:rPr>
          <w:color w:val="000000"/>
        </w:rPr>
        <w:t xml:space="preserve"> </w:t>
      </w:r>
      <w:r w:rsidR="00B65D67">
        <w:rPr>
          <w:color w:val="000000"/>
        </w:rPr>
        <w:t>six</w:t>
      </w:r>
      <w:r w:rsidRPr="00EA6437">
        <w:rPr>
          <w:color w:val="000000"/>
        </w:rPr>
        <w:t xml:space="preserve"> submissions in response to CP </w:t>
      </w:r>
      <w:r w:rsidR="00914661" w:rsidRPr="00EA6437">
        <w:rPr>
          <w:color w:val="000000"/>
        </w:rPr>
        <w:t>358</w:t>
      </w:r>
      <w:r w:rsidRPr="00EA6437">
        <w:rPr>
          <w:color w:val="000000"/>
        </w:rPr>
        <w:t xml:space="preserve">. </w:t>
      </w:r>
      <w:r w:rsidR="00443E0D" w:rsidRPr="00EA6437">
        <w:rPr>
          <w:color w:val="000000"/>
        </w:rPr>
        <w:t xml:space="preserve">The submissions are publicly available on ASIC’s website </w:t>
      </w:r>
      <w:r w:rsidRPr="00EA6437">
        <w:rPr>
          <w:color w:val="000000"/>
        </w:rPr>
        <w:t>at </w:t>
      </w:r>
      <w:hyperlink r:id="rId10" w:history="1">
        <w:r w:rsidRPr="00EA6437">
          <w:rPr>
            <w:rStyle w:val="Hyperlink"/>
            <w:color w:val="0F569E"/>
          </w:rPr>
          <w:t>www.asic.gov.au</w:t>
        </w:r>
      </w:hyperlink>
      <w:r w:rsidRPr="00EA6437">
        <w:rPr>
          <w:color w:val="000000"/>
        </w:rPr>
        <w:t>.</w:t>
      </w:r>
    </w:p>
    <w:p w:rsidR="00462E6A" w:rsidRPr="00EA6437" w:rsidRDefault="00462E6A" w:rsidP="00593B21">
      <w:pPr>
        <w:pStyle w:val="LI-BodyTextParaa"/>
        <w:numPr>
          <w:ilvl w:val="0"/>
          <w:numId w:val="20"/>
        </w:numPr>
        <w:rPr>
          <w:bCs/>
        </w:rPr>
      </w:pPr>
      <w:r w:rsidRPr="00EA6437">
        <w:rPr>
          <w:color w:val="000000"/>
          <w:shd w:val="clear" w:color="auto" w:fill="FFFFFF"/>
        </w:rPr>
        <w:t>Following the consultation, ASIC decided to proceed to re</w:t>
      </w:r>
      <w:r w:rsidR="007D13E8" w:rsidRPr="00EA6437">
        <w:rPr>
          <w:color w:val="000000"/>
          <w:shd w:val="clear" w:color="auto" w:fill="FFFFFF"/>
        </w:rPr>
        <w:t>make</w:t>
      </w:r>
      <w:r w:rsidRPr="00EA6437">
        <w:rPr>
          <w:color w:val="000000"/>
          <w:shd w:val="clear" w:color="auto" w:fill="FFFFFF"/>
        </w:rPr>
        <w:t xml:space="preserve"> the </w:t>
      </w:r>
      <w:r w:rsidR="009711C2" w:rsidRPr="00EA6437">
        <w:t>instruments</w:t>
      </w:r>
      <w:r w:rsidR="008808DF" w:rsidRPr="00EA6437">
        <w:t xml:space="preserve"> without significant changes</w:t>
      </w:r>
      <w:r w:rsidRPr="00EA6437">
        <w:rPr>
          <w:color w:val="000000"/>
          <w:shd w:val="clear" w:color="auto" w:fill="FFFFFF"/>
        </w:rPr>
        <w:t xml:space="preserve"> as proposed by CP </w:t>
      </w:r>
      <w:r w:rsidR="00191FFA" w:rsidRPr="00EA6437">
        <w:rPr>
          <w:color w:val="000000"/>
          <w:shd w:val="clear" w:color="auto" w:fill="FFFFFF"/>
        </w:rPr>
        <w:t>358</w:t>
      </w:r>
      <w:r w:rsidRPr="00EA6437">
        <w:rPr>
          <w:color w:val="000000"/>
          <w:shd w:val="clear" w:color="auto" w:fill="FFFFFF"/>
        </w:rPr>
        <w:t>. </w:t>
      </w:r>
    </w:p>
    <w:p w:rsidR="005D1FEA" w:rsidRPr="00EA6437" w:rsidRDefault="005D1FEA" w:rsidP="00593B21">
      <w:pPr>
        <w:pStyle w:val="LI-BodyTextNumbered"/>
        <w:ind w:left="0" w:firstLine="0"/>
        <w:rPr>
          <w:b/>
        </w:rPr>
      </w:pPr>
      <w:r w:rsidRPr="00EA6437">
        <w:rPr>
          <w:b/>
        </w:rPr>
        <w:t>Operation of the instrument</w:t>
      </w:r>
    </w:p>
    <w:p w:rsidR="00893227" w:rsidRPr="00EA6437" w:rsidRDefault="00893227" w:rsidP="002859B0">
      <w:pPr>
        <w:pStyle w:val="LI-BodyTextParaa"/>
        <w:ind w:left="0" w:firstLine="0"/>
        <w:rPr>
          <w:b/>
          <w:bCs/>
          <w:u w:val="single"/>
        </w:rPr>
      </w:pPr>
      <w:r w:rsidRPr="00EA6437">
        <w:rPr>
          <w:b/>
          <w:bCs/>
          <w:color w:val="000000"/>
          <w:spacing w:val="-1"/>
          <w:u w:val="single"/>
          <w:shd w:val="clear" w:color="auto" w:fill="FFFFFF"/>
        </w:rPr>
        <w:t xml:space="preserve">Part 1 – Preliminary </w:t>
      </w:r>
    </w:p>
    <w:p w:rsidR="006B54DD" w:rsidRPr="00EA6437" w:rsidRDefault="006B54DD" w:rsidP="00667966">
      <w:pPr>
        <w:pStyle w:val="LI-BodyTextParaa"/>
        <w:numPr>
          <w:ilvl w:val="0"/>
          <w:numId w:val="20"/>
        </w:numPr>
      </w:pPr>
      <w:r w:rsidRPr="00EA6437">
        <w:t>Section 1 provides the name of the Instrument.</w:t>
      </w:r>
    </w:p>
    <w:p w:rsidR="008338F9" w:rsidRPr="00EA6437" w:rsidRDefault="00893227" w:rsidP="00667966">
      <w:pPr>
        <w:pStyle w:val="LI-BodyTextParaa"/>
        <w:numPr>
          <w:ilvl w:val="0"/>
          <w:numId w:val="20"/>
        </w:numPr>
        <w:rPr>
          <w:b/>
          <w:bCs/>
          <w:u w:val="single"/>
        </w:rPr>
      </w:pPr>
      <w:r w:rsidRPr="00EA6437">
        <w:t xml:space="preserve">Section 2 provides that </w:t>
      </w:r>
      <w:r w:rsidR="00443E0D" w:rsidRPr="00EA6437">
        <w:t xml:space="preserve">the Instrument </w:t>
      </w:r>
      <w:r w:rsidR="008338F9" w:rsidRPr="00EA6437">
        <w:t xml:space="preserve">commences on the later of the day after it is registered on the Federal Register of Legislation, and the date of its gazettal. </w:t>
      </w:r>
    </w:p>
    <w:p w:rsidR="00BE2694" w:rsidRPr="00EA6437" w:rsidRDefault="00893227" w:rsidP="00157AE7">
      <w:pPr>
        <w:pStyle w:val="LI-BodyTextParaa"/>
        <w:numPr>
          <w:ilvl w:val="0"/>
          <w:numId w:val="20"/>
        </w:numPr>
        <w:rPr>
          <w:b/>
          <w:bCs/>
          <w:u w:val="single"/>
        </w:rPr>
      </w:pPr>
      <w:r w:rsidRPr="00EA6437">
        <w:t>Section 3 provides that</w:t>
      </w:r>
      <w:r w:rsidR="0072518F" w:rsidRPr="00EA6437">
        <w:t xml:space="preserve"> the Instrument is made </w:t>
      </w:r>
      <w:r w:rsidR="00BE2694" w:rsidRPr="00EA6437">
        <w:t xml:space="preserve">under powers in the </w:t>
      </w:r>
      <w:r w:rsidR="00BE2694" w:rsidRPr="00EA6437">
        <w:rPr>
          <w:i/>
          <w:iCs/>
        </w:rPr>
        <w:t>Corporations Act</w:t>
      </w:r>
      <w:r w:rsidR="00C34FEA" w:rsidRPr="00EA6437">
        <w:rPr>
          <w:i/>
          <w:iCs/>
        </w:rPr>
        <w:t xml:space="preserve"> 2001</w:t>
      </w:r>
      <w:r w:rsidR="00C34FEA" w:rsidRPr="00EA6437">
        <w:t xml:space="preserve"> (</w:t>
      </w:r>
      <w:r w:rsidR="00C34FEA" w:rsidRPr="00EA6437">
        <w:rPr>
          <w:b/>
          <w:bCs/>
        </w:rPr>
        <w:t>Act</w:t>
      </w:r>
      <w:r w:rsidR="00C34FEA" w:rsidRPr="00EA6437">
        <w:t>)</w:t>
      </w:r>
      <w:r w:rsidR="00BE2694" w:rsidRPr="00EA6437">
        <w:t xml:space="preserve">, </w:t>
      </w:r>
      <w:r w:rsidR="00D02BD8" w:rsidRPr="00EA6437">
        <w:t>specifically those in</w:t>
      </w:r>
      <w:r w:rsidR="00191FFA" w:rsidRPr="00EA6437">
        <w:t xml:space="preserve"> section</w:t>
      </w:r>
      <w:r w:rsidR="00BE2694" w:rsidRPr="00EA6437">
        <w:t>:</w:t>
      </w:r>
    </w:p>
    <w:p w:rsidR="00191FFA" w:rsidRPr="00EA6437" w:rsidRDefault="00191FFA" w:rsidP="00157AE7">
      <w:pPr>
        <w:pStyle w:val="LI-BodyTextParaa"/>
        <w:numPr>
          <w:ilvl w:val="1"/>
          <w:numId w:val="20"/>
        </w:numPr>
        <w:rPr>
          <w:b/>
          <w:bCs/>
          <w:u w:val="single"/>
        </w:rPr>
      </w:pPr>
      <w:r w:rsidRPr="00EA6437">
        <w:t>741(1) that allows ASIC to exempt or declare that certain provisions of Chapter 6D do not apply to a person;</w:t>
      </w:r>
    </w:p>
    <w:p w:rsidR="00BE2694" w:rsidRPr="00EA6437" w:rsidRDefault="0072518F" w:rsidP="00157AE7">
      <w:pPr>
        <w:pStyle w:val="LI-BodyTextParaa"/>
        <w:numPr>
          <w:ilvl w:val="1"/>
          <w:numId w:val="20"/>
        </w:numPr>
        <w:ind w:left="1434" w:hanging="357"/>
        <w:rPr>
          <w:b/>
          <w:bCs/>
          <w:u w:val="single"/>
        </w:rPr>
      </w:pPr>
      <w:r w:rsidRPr="00EA6437">
        <w:t xml:space="preserve">911A(2)(l) </w:t>
      </w:r>
      <w:r w:rsidR="009E0F35" w:rsidRPr="00EA6437">
        <w:t xml:space="preserve">that provides an exemption from the requirement to hold an </w:t>
      </w:r>
      <w:r w:rsidR="00C34FEA" w:rsidRPr="00EA6437">
        <w:t xml:space="preserve">AFS </w:t>
      </w:r>
      <w:r w:rsidR="009E0F35" w:rsidRPr="00EA6437">
        <w:t xml:space="preserve">licence for the provision of a service, as specified by ASIC in writing and published in the </w:t>
      </w:r>
      <w:r w:rsidR="009E0F35" w:rsidRPr="00EA6437">
        <w:rPr>
          <w:i/>
          <w:iCs/>
        </w:rPr>
        <w:t>Gazette;</w:t>
      </w:r>
    </w:p>
    <w:p w:rsidR="00503AB4" w:rsidRPr="001357BE" w:rsidRDefault="0072518F" w:rsidP="00667966">
      <w:pPr>
        <w:pStyle w:val="LI-BodyTextParaa"/>
        <w:numPr>
          <w:ilvl w:val="1"/>
          <w:numId w:val="20"/>
        </w:numPr>
        <w:rPr>
          <w:b/>
          <w:bCs/>
          <w:u w:val="single"/>
        </w:rPr>
      </w:pPr>
      <w:r w:rsidRPr="00EA6437">
        <w:t>926A(2)(c) and 951B(1)(c)</w:t>
      </w:r>
      <w:r w:rsidR="00BE2694" w:rsidRPr="00EA6437">
        <w:t xml:space="preserve"> that allow ASIC to make declarations to exempt persons, financial products, or a class of persons or financial products from specific provisions of the Act;</w:t>
      </w:r>
      <w:r w:rsidRPr="00EA6437">
        <w:t xml:space="preserve"> </w:t>
      </w:r>
    </w:p>
    <w:p w:rsidR="00BE2694" w:rsidRPr="001357BE" w:rsidRDefault="00503AB4" w:rsidP="00503AB4">
      <w:pPr>
        <w:pStyle w:val="LI-BodyTextParaa"/>
        <w:numPr>
          <w:ilvl w:val="1"/>
          <w:numId w:val="20"/>
        </w:numPr>
      </w:pPr>
      <w:r w:rsidRPr="00EA6437">
        <w:t xml:space="preserve">992B(1)(c) that allows ASIC to declare that Part 7.8 applies in relation to persons, financial products, or classes of persons or financial products, as if specified provisions of Part 7.8 were omitted, modified or varied as specified in the declaration; </w:t>
      </w:r>
      <w:r w:rsidR="0072518F" w:rsidRPr="00EA6437">
        <w:t xml:space="preserve">and </w:t>
      </w:r>
    </w:p>
    <w:p w:rsidR="0072518F" w:rsidRPr="00EA6437" w:rsidRDefault="0072518F" w:rsidP="00593B21">
      <w:pPr>
        <w:pStyle w:val="LI-BodyTextParaa"/>
        <w:numPr>
          <w:ilvl w:val="1"/>
          <w:numId w:val="20"/>
        </w:numPr>
        <w:rPr>
          <w:b/>
          <w:bCs/>
          <w:u w:val="single"/>
        </w:rPr>
      </w:pPr>
      <w:r w:rsidRPr="00EA6437">
        <w:lastRenderedPageBreak/>
        <w:t>1020F(1)</w:t>
      </w:r>
      <w:r w:rsidR="009E0F35" w:rsidRPr="00EA6437">
        <w:t xml:space="preserve"> that allow</w:t>
      </w:r>
      <w:r w:rsidR="00FA1893" w:rsidRPr="00EA6437">
        <w:t>s</w:t>
      </w:r>
      <w:r w:rsidR="009E0F35" w:rsidRPr="00EA6437">
        <w:t xml:space="preserve"> ASIC to make exemptions or declarations to exempt a person, financial product, or class or persons or financial products from specific provisions of the Act, or declare they operate in a modified or varied way.</w:t>
      </w:r>
    </w:p>
    <w:p w:rsidR="009E0F35" w:rsidRPr="00EA6437" w:rsidRDefault="00893227" w:rsidP="00667966">
      <w:pPr>
        <w:pStyle w:val="LI-BodyTextParaa"/>
        <w:numPr>
          <w:ilvl w:val="0"/>
          <w:numId w:val="20"/>
        </w:numPr>
        <w:rPr>
          <w:b/>
          <w:bCs/>
          <w:u w:val="single"/>
        </w:rPr>
      </w:pPr>
      <w:r w:rsidRPr="00EA6437">
        <w:t xml:space="preserve">Section 4 provides that </w:t>
      </w:r>
      <w:r w:rsidR="009E0F35" w:rsidRPr="00EA6437">
        <w:t>each instrument specified in the Schedule to the Instrument is amended or repealed according to its terms.</w:t>
      </w:r>
      <w:r w:rsidR="004C4229" w:rsidRPr="00EA6437">
        <w:t xml:space="preserve"> See paragraph 1</w:t>
      </w:r>
      <w:r w:rsidR="008808DF" w:rsidRPr="00EA6437">
        <w:t>7</w:t>
      </w:r>
      <w:r w:rsidR="004C4229" w:rsidRPr="00EA6437">
        <w:t xml:space="preserve"> below for further information.</w:t>
      </w:r>
    </w:p>
    <w:p w:rsidR="00A131E2" w:rsidRPr="00EA6437" w:rsidRDefault="00893227" w:rsidP="001B1B8F">
      <w:pPr>
        <w:pStyle w:val="LI-BodyTextParaa"/>
        <w:numPr>
          <w:ilvl w:val="0"/>
          <w:numId w:val="20"/>
        </w:numPr>
      </w:pPr>
      <w:r w:rsidRPr="00EA6437">
        <w:t>Section 5 provides that</w:t>
      </w:r>
      <w:r w:rsidR="00A131E2" w:rsidRPr="00EA6437">
        <w:t xml:space="preserve"> the repeal of an instrument by section 4 of th</w:t>
      </w:r>
      <w:r w:rsidR="00D02BD8" w:rsidRPr="00EA6437">
        <w:t>e</w:t>
      </w:r>
      <w:r w:rsidR="00A131E2" w:rsidRPr="00EA6437">
        <w:t xml:space="preserve"> Instrument does not affect the simultaneous repeal of another instrument by th</w:t>
      </w:r>
      <w:r w:rsidR="00D02BD8" w:rsidRPr="00EA6437">
        <w:t>e</w:t>
      </w:r>
      <w:r w:rsidR="00A131E2" w:rsidRPr="00EA6437">
        <w:t xml:space="preserve"> Instrument. Furthermore, it does not limit the effect of section 7 of the </w:t>
      </w:r>
      <w:r w:rsidR="00A131E2" w:rsidRPr="00EA6437">
        <w:rPr>
          <w:i/>
        </w:rPr>
        <w:t>Acts Interpretation Act 1901</w:t>
      </w:r>
      <w:r w:rsidR="00A131E2" w:rsidRPr="00EA6437">
        <w:t xml:space="preserve"> as it applies to the repeal of an instrument by section 4 of th</w:t>
      </w:r>
      <w:r w:rsidR="00D02BD8" w:rsidRPr="00EA6437">
        <w:t>e</w:t>
      </w:r>
      <w:r w:rsidR="00A131E2" w:rsidRPr="00EA6437">
        <w:t xml:space="preserve"> </w:t>
      </w:r>
      <w:r w:rsidR="00D02BD8" w:rsidRPr="00EA6437">
        <w:t>I</w:t>
      </w:r>
      <w:r w:rsidR="00A131E2" w:rsidRPr="00EA6437">
        <w:t>nstrument.</w:t>
      </w:r>
    </w:p>
    <w:p w:rsidR="00893227" w:rsidRPr="00EA6437" w:rsidRDefault="00893227" w:rsidP="002859B0">
      <w:pPr>
        <w:pStyle w:val="LI-BodyTextParaa"/>
        <w:ind w:left="0" w:firstLine="0"/>
        <w:rPr>
          <w:b/>
          <w:bCs/>
          <w:u w:val="single"/>
        </w:rPr>
      </w:pPr>
      <w:r w:rsidRPr="00EA6437">
        <w:rPr>
          <w:b/>
          <w:bCs/>
          <w:color w:val="000000"/>
          <w:spacing w:val="-1"/>
          <w:u w:val="single"/>
          <w:shd w:val="clear" w:color="auto" w:fill="FFFFFF"/>
        </w:rPr>
        <w:t xml:space="preserve">Schedule 1 </w:t>
      </w:r>
    </w:p>
    <w:p w:rsidR="00893227" w:rsidRPr="00EA6437" w:rsidRDefault="00893227" w:rsidP="00E223ED">
      <w:pPr>
        <w:pStyle w:val="LI-BodyTextParaa"/>
        <w:numPr>
          <w:ilvl w:val="0"/>
          <w:numId w:val="20"/>
        </w:numPr>
      </w:pPr>
      <w:r w:rsidRPr="00EA6437">
        <w:rPr>
          <w:color w:val="000000"/>
          <w:spacing w:val="-1"/>
          <w:shd w:val="clear" w:color="auto" w:fill="FFFFFF"/>
        </w:rPr>
        <w:t>Section</w:t>
      </w:r>
      <w:r w:rsidR="004C4229" w:rsidRPr="00EA6437">
        <w:rPr>
          <w:color w:val="000000"/>
          <w:spacing w:val="-1"/>
          <w:shd w:val="clear" w:color="auto" w:fill="FFFFFF"/>
        </w:rPr>
        <w:t>s</w:t>
      </w:r>
      <w:r w:rsidRPr="00EA6437">
        <w:rPr>
          <w:color w:val="000000"/>
          <w:spacing w:val="-1"/>
          <w:shd w:val="clear" w:color="auto" w:fill="FFFFFF"/>
        </w:rPr>
        <w:t xml:space="preserve"> 1 to 9 of Schedule 1 to th</w:t>
      </w:r>
      <w:r w:rsidR="00D02BD8" w:rsidRPr="00EA6437">
        <w:rPr>
          <w:color w:val="000000"/>
          <w:spacing w:val="-1"/>
          <w:shd w:val="clear" w:color="auto" w:fill="FFFFFF"/>
        </w:rPr>
        <w:t>e</w:t>
      </w:r>
      <w:r w:rsidRPr="00EA6437">
        <w:rPr>
          <w:color w:val="000000"/>
          <w:spacing w:val="-1"/>
          <w:shd w:val="clear" w:color="auto" w:fill="FFFFFF"/>
        </w:rPr>
        <w:t xml:space="preserve"> Instrument </w:t>
      </w:r>
      <w:r w:rsidR="008D1BD2" w:rsidRPr="00EA6437">
        <w:rPr>
          <w:color w:val="000000"/>
          <w:shd w:val="clear" w:color="auto" w:fill="FFFFFF"/>
        </w:rPr>
        <w:t>repeal</w:t>
      </w:r>
      <w:r w:rsidR="00A131E2" w:rsidRPr="00EA6437">
        <w:rPr>
          <w:color w:val="000000"/>
          <w:shd w:val="clear" w:color="auto" w:fill="FFFFFF"/>
        </w:rPr>
        <w:t xml:space="preserve">, in </w:t>
      </w:r>
      <w:r w:rsidR="00FA1893" w:rsidRPr="00EA6437">
        <w:rPr>
          <w:color w:val="000000"/>
          <w:shd w:val="clear" w:color="auto" w:fill="FFFFFF"/>
        </w:rPr>
        <w:t>their</w:t>
      </w:r>
      <w:r w:rsidR="00A131E2" w:rsidRPr="00EA6437">
        <w:rPr>
          <w:color w:val="000000"/>
          <w:shd w:val="clear" w:color="auto" w:fill="FFFFFF"/>
        </w:rPr>
        <w:t xml:space="preserve"> entirety</w:t>
      </w:r>
      <w:r w:rsidR="008808DF" w:rsidRPr="00EA6437">
        <w:rPr>
          <w:color w:val="000000"/>
          <w:shd w:val="clear" w:color="auto" w:fill="FFFFFF"/>
        </w:rPr>
        <w:t>,</w:t>
      </w:r>
      <w:r w:rsidR="001C4A1F" w:rsidRPr="00EA6437">
        <w:rPr>
          <w:color w:val="000000"/>
          <w:shd w:val="clear" w:color="auto" w:fill="FFFFFF"/>
        </w:rPr>
        <w:t xml:space="preserve"> </w:t>
      </w:r>
      <w:r w:rsidR="008D06B4" w:rsidRPr="002C27C8">
        <w:rPr>
          <w:color w:val="000000"/>
          <w:shd w:val="clear" w:color="auto" w:fill="FFFFFF"/>
        </w:rPr>
        <w:t>[CO</w:t>
      </w:r>
      <w:r w:rsidR="008808DF" w:rsidRPr="00EA6437">
        <w:rPr>
          <w:color w:val="000000"/>
          <w:shd w:val="clear" w:color="auto" w:fill="FFFFFF"/>
        </w:rPr>
        <w:t> 10/630</w:t>
      </w:r>
      <w:r w:rsidR="008D06B4" w:rsidRPr="00EA6437">
        <w:rPr>
          <w:color w:val="000000"/>
          <w:shd w:val="clear" w:color="auto" w:fill="FFFFFF"/>
        </w:rPr>
        <w:t xml:space="preserve">], </w:t>
      </w:r>
      <w:r w:rsidR="00B50AB3" w:rsidRPr="00EA6437">
        <w:rPr>
          <w:color w:val="000000"/>
          <w:shd w:val="clear" w:color="auto" w:fill="FFFFFF"/>
        </w:rPr>
        <w:t>[</w:t>
      </w:r>
      <w:r w:rsidR="00B50AB3" w:rsidRPr="00EA6437">
        <w:rPr>
          <w:lang w:eastAsia="zh-CN"/>
        </w:rPr>
        <w:t xml:space="preserve">CO 12/415], [CO 12/417], </w:t>
      </w:r>
      <w:r w:rsidR="001C4A1F" w:rsidRPr="00EA6437">
        <w:t>[CO 12/574], [CO 12/794]</w:t>
      </w:r>
      <w:r w:rsidR="001C4A1F" w:rsidRPr="00EA6437">
        <w:rPr>
          <w:color w:val="000000"/>
          <w:shd w:val="clear" w:color="auto" w:fill="FFFFFF"/>
        </w:rPr>
        <w:t xml:space="preserve">, </w:t>
      </w:r>
      <w:r w:rsidR="00B50AB3" w:rsidRPr="00EA6437">
        <w:rPr>
          <w:lang w:eastAsia="zh-CN"/>
        </w:rPr>
        <w:t xml:space="preserve">[CO 12/749], [CO 13/797], </w:t>
      </w:r>
      <w:r w:rsidR="001C4A1F" w:rsidRPr="00EA6437">
        <w:rPr>
          <w:lang w:eastAsia="zh-CN"/>
        </w:rPr>
        <w:t xml:space="preserve">[CO 13/1534], </w:t>
      </w:r>
      <w:r w:rsidR="00B50AB3" w:rsidRPr="00EA6437">
        <w:rPr>
          <w:lang w:eastAsia="zh-CN"/>
        </w:rPr>
        <w:t>[CO 14/443],</w:t>
      </w:r>
      <w:r w:rsidR="001C4A1F" w:rsidRPr="00EA6437">
        <w:rPr>
          <w:lang w:eastAsia="zh-CN"/>
        </w:rPr>
        <w:t xml:space="preserve"> </w:t>
      </w:r>
      <w:r w:rsidR="008D06B4" w:rsidRPr="00EA6437">
        <w:t xml:space="preserve">LI 2015/586 and </w:t>
      </w:r>
      <w:r w:rsidR="00C34FEA" w:rsidRPr="00EA6437">
        <w:t>LI 2016/65</w:t>
      </w:r>
      <w:r w:rsidR="00622C54" w:rsidRPr="00EA6437">
        <w:t>.</w:t>
      </w:r>
    </w:p>
    <w:bookmarkEnd w:id="1"/>
    <w:p w:rsidR="00F03BB5" w:rsidRPr="00EA6437" w:rsidRDefault="00474B52" w:rsidP="00D11EA8">
      <w:pPr>
        <w:pStyle w:val="LI-BodyTextParaa"/>
        <w:ind w:left="0" w:firstLine="0"/>
        <w:rPr>
          <w:b/>
        </w:rPr>
      </w:pPr>
      <w:r w:rsidRPr="00EA6437">
        <w:rPr>
          <w:b/>
        </w:rPr>
        <w:t>Legislative authority</w:t>
      </w:r>
    </w:p>
    <w:p w:rsidR="00462E6A" w:rsidRPr="00EA6437" w:rsidRDefault="00462E6A" w:rsidP="00593B21">
      <w:pPr>
        <w:pStyle w:val="LI-BodyTextParaa"/>
        <w:numPr>
          <w:ilvl w:val="0"/>
          <w:numId w:val="20"/>
        </w:numPr>
      </w:pPr>
      <w:r w:rsidRPr="00EA6437">
        <w:rPr>
          <w:color w:val="000000"/>
          <w:spacing w:val="-1"/>
          <w:shd w:val="clear" w:color="auto" w:fill="FFFFFF"/>
        </w:rPr>
        <w:t xml:space="preserve">This </w:t>
      </w:r>
      <w:r w:rsidR="008808DF" w:rsidRPr="00EA6437">
        <w:rPr>
          <w:color w:val="000000"/>
          <w:spacing w:val="-1"/>
          <w:shd w:val="clear" w:color="auto" w:fill="FFFFFF"/>
        </w:rPr>
        <w:t>I</w:t>
      </w:r>
      <w:r w:rsidRPr="00EA6437">
        <w:rPr>
          <w:color w:val="000000"/>
          <w:spacing w:val="-1"/>
          <w:shd w:val="clear" w:color="auto" w:fill="FFFFFF"/>
        </w:rPr>
        <w:t xml:space="preserve">nstrument, which is an omnibus repeal instrument, repeals </w:t>
      </w:r>
      <w:r w:rsidRPr="00EA6437">
        <w:t>several</w:t>
      </w:r>
      <w:r w:rsidRPr="00EA6437">
        <w:rPr>
          <w:color w:val="000000"/>
          <w:spacing w:val="-1"/>
          <w:shd w:val="clear" w:color="auto" w:fill="FFFFFF"/>
        </w:rPr>
        <w:t xml:space="preserve"> </w:t>
      </w:r>
      <w:r w:rsidR="00622C54" w:rsidRPr="00EA6437">
        <w:rPr>
          <w:color w:val="000000"/>
          <w:spacing w:val="-1"/>
          <w:shd w:val="clear" w:color="auto" w:fill="FFFFFF"/>
        </w:rPr>
        <w:t>legislative instrument</w:t>
      </w:r>
      <w:r w:rsidR="00794C8F" w:rsidRPr="00EA6437">
        <w:rPr>
          <w:color w:val="000000"/>
          <w:spacing w:val="-1"/>
          <w:shd w:val="clear" w:color="auto" w:fill="FFFFFF"/>
        </w:rPr>
        <w:t>s</w:t>
      </w:r>
      <w:r w:rsidRPr="00EA6437">
        <w:rPr>
          <w:color w:val="000000"/>
          <w:spacing w:val="-1"/>
          <w:shd w:val="clear" w:color="auto" w:fill="FFFFFF"/>
        </w:rPr>
        <w:t xml:space="preserve"> made by ASIC. Several sources of power were used to make those </w:t>
      </w:r>
      <w:r w:rsidR="00622C54" w:rsidRPr="00EA6437">
        <w:rPr>
          <w:color w:val="000000"/>
          <w:spacing w:val="-1"/>
          <w:shd w:val="clear" w:color="auto" w:fill="FFFFFF"/>
        </w:rPr>
        <w:t>instruments</w:t>
      </w:r>
      <w:r w:rsidRPr="00EA6437">
        <w:rPr>
          <w:color w:val="000000"/>
          <w:spacing w:val="-1"/>
          <w:shd w:val="clear" w:color="auto" w:fill="FFFFFF"/>
        </w:rPr>
        <w:t xml:space="preserve">. </w:t>
      </w:r>
      <w:r w:rsidR="0013486F" w:rsidRPr="00EA6437">
        <w:rPr>
          <w:color w:val="000000"/>
          <w:shd w:val="clear" w:color="auto" w:fill="FFFFFF"/>
        </w:rPr>
        <w:t>Subsection 33(3) of the</w:t>
      </w:r>
      <w:r w:rsidR="0013486F" w:rsidRPr="00EA6437">
        <w:rPr>
          <w:i/>
          <w:iCs/>
          <w:color w:val="000000"/>
          <w:shd w:val="clear" w:color="auto" w:fill="FFFFFF"/>
        </w:rPr>
        <w:t> Acts Interpretation Act 1901</w:t>
      </w:r>
      <w:r w:rsidR="0013486F" w:rsidRPr="00EA6437">
        <w:rPr>
          <w:color w:val="000000"/>
          <w:shd w:val="clear" w:color="auto" w:fill="FFFFFF"/>
        </w:rPr>
        <w:t> (as in force as at 1 January 2005 and as applicable to the relevant powers because of section 5C of the Act) provides that where an Act confers a power to make any instrument, the power is to be construed as including a power exercisable in the like manner and subject to the like conditions (if any) to repeal, rescind, revoke, amend, or vary any such instrument.</w:t>
      </w:r>
    </w:p>
    <w:p w:rsidR="00462E6A" w:rsidRDefault="00C34FEA" w:rsidP="00593B21">
      <w:pPr>
        <w:pStyle w:val="LI-BodyTextParaa"/>
        <w:numPr>
          <w:ilvl w:val="0"/>
          <w:numId w:val="20"/>
        </w:numPr>
      </w:pPr>
      <w:r w:rsidRPr="00EA6437">
        <w:t xml:space="preserve">The Instrument </w:t>
      </w:r>
      <w:r w:rsidR="00462E6A" w:rsidRPr="00EA6437">
        <w:t xml:space="preserve">is made under </w:t>
      </w:r>
      <w:r w:rsidR="00FA1893" w:rsidRPr="00EA6437">
        <w:t>sections</w:t>
      </w:r>
      <w:r w:rsidR="00462E6A" w:rsidRPr="00EA6437">
        <w:t xml:space="preserve"> </w:t>
      </w:r>
      <w:r w:rsidR="008808DF" w:rsidRPr="00EA6437">
        <w:t xml:space="preserve">741(1), </w:t>
      </w:r>
      <w:r w:rsidR="00462E6A" w:rsidRPr="00EA6437">
        <w:t xml:space="preserve">911A(2)(l), </w:t>
      </w:r>
      <w:r w:rsidR="008D06B4" w:rsidRPr="00EA6437">
        <w:t>992B</w:t>
      </w:r>
      <w:r w:rsidR="00F4645A" w:rsidRPr="00EA6437">
        <w:t>(1)(c)</w:t>
      </w:r>
      <w:r w:rsidR="008D06B4" w:rsidRPr="00EA6437">
        <w:t xml:space="preserve">, </w:t>
      </w:r>
      <w:r w:rsidR="00462E6A" w:rsidRPr="00EA6437">
        <w:t>926A(2)(c)</w:t>
      </w:r>
      <w:r w:rsidR="00FA1893" w:rsidRPr="00EA6437">
        <w:t xml:space="preserve">, </w:t>
      </w:r>
      <w:r w:rsidR="00462E6A" w:rsidRPr="00EA6437">
        <w:t>951B(1)(c)</w:t>
      </w:r>
      <w:r w:rsidR="00FA1893" w:rsidRPr="00EA6437">
        <w:t xml:space="preserve">, </w:t>
      </w:r>
      <w:r w:rsidR="00462E6A" w:rsidRPr="00EA6437">
        <w:t>and 1020F(1) of the</w:t>
      </w:r>
      <w:r w:rsidRPr="00EA6437">
        <w:t xml:space="preserve"> Act</w:t>
      </w:r>
      <w:r w:rsidR="00462E6A" w:rsidRPr="00EA6437">
        <w:t>.</w:t>
      </w:r>
    </w:p>
    <w:p w:rsidR="004A7D78" w:rsidRPr="00EA6437" w:rsidRDefault="004A7D78" w:rsidP="00593B21">
      <w:pPr>
        <w:pStyle w:val="LI-BodyTextParaa"/>
        <w:numPr>
          <w:ilvl w:val="0"/>
          <w:numId w:val="20"/>
        </w:numPr>
      </w:pPr>
      <w:r>
        <w:t>The Instrument is a disallowable legislative instrument.</w:t>
      </w:r>
    </w:p>
    <w:p w:rsidR="00EA17A6" w:rsidRPr="00EA6437" w:rsidRDefault="00EA17A6" w:rsidP="00593B21">
      <w:pPr>
        <w:pStyle w:val="LI-BodyTextParaa"/>
        <w:ind w:left="0" w:firstLine="0"/>
        <w:rPr>
          <w:b/>
        </w:rPr>
      </w:pPr>
      <w:r w:rsidRPr="00EA6437">
        <w:rPr>
          <w:b/>
        </w:rPr>
        <w:t xml:space="preserve">Statement of Compatibility with Human Rights  </w:t>
      </w:r>
    </w:p>
    <w:p w:rsidR="00C37F95" w:rsidRPr="00EA6437" w:rsidRDefault="009516C2" w:rsidP="00593B21">
      <w:pPr>
        <w:pStyle w:val="LI-BodyTextParaa"/>
        <w:numPr>
          <w:ilvl w:val="0"/>
          <w:numId w:val="20"/>
        </w:numPr>
      </w:pPr>
      <w:r>
        <w:rPr>
          <w:color w:val="000000"/>
          <w:shd w:val="clear" w:color="auto" w:fill="FFFFFF"/>
        </w:rPr>
        <w:t>A</w:t>
      </w:r>
      <w:r w:rsidR="004A7D78">
        <w:rPr>
          <w:color w:val="000000"/>
          <w:shd w:val="clear" w:color="auto" w:fill="FFFFFF"/>
        </w:rPr>
        <w:t xml:space="preserve"> Statement of Compatibility with Human Rights </w:t>
      </w:r>
      <w:r>
        <w:rPr>
          <w:color w:val="000000"/>
          <w:shd w:val="clear" w:color="auto" w:fill="FFFFFF"/>
        </w:rPr>
        <w:t xml:space="preserve">consistent with </w:t>
      </w:r>
      <w:r w:rsidR="004A7D78">
        <w:rPr>
          <w:color w:val="000000"/>
          <w:shd w:val="clear" w:color="auto" w:fill="FFFFFF"/>
        </w:rPr>
        <w:t xml:space="preserve">subsection 9(1) </w:t>
      </w:r>
      <w:r w:rsidR="006A4856" w:rsidRPr="00EA6437">
        <w:rPr>
          <w:color w:val="000000"/>
          <w:shd w:val="clear" w:color="auto" w:fill="FFFFFF"/>
        </w:rPr>
        <w:t xml:space="preserve"> of the </w:t>
      </w:r>
      <w:r w:rsidR="006A4856" w:rsidRPr="00EA6437">
        <w:rPr>
          <w:i/>
          <w:iCs/>
          <w:color w:val="000000"/>
          <w:shd w:val="clear" w:color="auto" w:fill="FFFFFF"/>
        </w:rPr>
        <w:t>Human Rights (</w:t>
      </w:r>
      <w:r w:rsidR="006A4856" w:rsidRPr="00EA6437">
        <w:t>Parliamentary</w:t>
      </w:r>
      <w:r w:rsidR="006A4856" w:rsidRPr="00EA6437">
        <w:rPr>
          <w:i/>
          <w:iCs/>
          <w:color w:val="000000"/>
          <w:shd w:val="clear" w:color="auto" w:fill="FFFFFF"/>
        </w:rPr>
        <w:t xml:space="preserve"> Scrutiny) Act 2011</w:t>
      </w:r>
      <w:r w:rsidR="004A7D78">
        <w:rPr>
          <w:color w:val="000000"/>
          <w:shd w:val="clear" w:color="auto" w:fill="FFFFFF"/>
        </w:rPr>
        <w:t xml:space="preserve">is in the </w:t>
      </w:r>
      <w:r w:rsidR="004A7D78" w:rsidRPr="004A7D78">
        <w:rPr>
          <w:color w:val="000000"/>
          <w:u w:val="single"/>
          <w:shd w:val="clear" w:color="auto" w:fill="FFFFFF"/>
        </w:rPr>
        <w:t>Attachment</w:t>
      </w:r>
      <w:r w:rsidR="004A7D78">
        <w:rPr>
          <w:color w:val="000000"/>
          <w:shd w:val="clear" w:color="auto" w:fill="FFFFFF"/>
        </w:rPr>
        <w:t>.</w:t>
      </w:r>
    </w:p>
    <w:p w:rsidR="00223DCF" w:rsidRPr="00EA6437" w:rsidRDefault="00223DCF" w:rsidP="002C27C8">
      <w:pPr>
        <w:pStyle w:val="LI-BodyTextParaa"/>
        <w:ind w:left="0" w:firstLine="0"/>
        <w:jc w:val="right"/>
        <w:rPr>
          <w:u w:val="single"/>
        </w:rPr>
      </w:pPr>
      <w:r w:rsidRPr="00EA6437">
        <w:br w:type="page"/>
      </w:r>
      <w:r w:rsidRPr="00EA6437">
        <w:rPr>
          <w:u w:val="single"/>
        </w:rPr>
        <w:lastRenderedPageBreak/>
        <w:t xml:space="preserve">Attachment </w:t>
      </w:r>
    </w:p>
    <w:p w:rsidR="00AE787B" w:rsidRPr="00EA6437" w:rsidRDefault="001E77ED" w:rsidP="00C37F95">
      <w:pPr>
        <w:pStyle w:val="LI-BodyTextParaa"/>
        <w:ind w:left="567"/>
        <w:jc w:val="center"/>
        <w:rPr>
          <w:b/>
          <w:sz w:val="28"/>
          <w:szCs w:val="28"/>
        </w:rPr>
      </w:pPr>
      <w:r w:rsidRPr="00EA6437">
        <w:rPr>
          <w:b/>
          <w:sz w:val="28"/>
          <w:szCs w:val="28"/>
        </w:rPr>
        <w:t xml:space="preserve">Statement of </w:t>
      </w:r>
      <w:r w:rsidR="00223DCF" w:rsidRPr="00EA6437">
        <w:rPr>
          <w:b/>
          <w:sz w:val="28"/>
          <w:szCs w:val="28"/>
        </w:rPr>
        <w:t>C</w:t>
      </w:r>
      <w:r w:rsidRPr="00EA6437">
        <w:rPr>
          <w:b/>
          <w:sz w:val="28"/>
          <w:szCs w:val="28"/>
        </w:rPr>
        <w:t xml:space="preserve">ompatibility with </w:t>
      </w:r>
      <w:r w:rsidR="00223DCF" w:rsidRPr="00EA6437">
        <w:rPr>
          <w:b/>
          <w:sz w:val="28"/>
          <w:szCs w:val="28"/>
        </w:rPr>
        <w:t>H</w:t>
      </w:r>
      <w:r w:rsidRPr="00EA6437">
        <w:rPr>
          <w:b/>
          <w:sz w:val="28"/>
          <w:szCs w:val="28"/>
        </w:rPr>
        <w:t xml:space="preserve">uman </w:t>
      </w:r>
      <w:r w:rsidR="00223DCF" w:rsidRPr="00EA6437">
        <w:rPr>
          <w:b/>
          <w:sz w:val="28"/>
          <w:szCs w:val="28"/>
        </w:rPr>
        <w:t>R</w:t>
      </w:r>
      <w:r w:rsidRPr="00EA6437">
        <w:rPr>
          <w:b/>
          <w:sz w:val="28"/>
          <w:szCs w:val="28"/>
        </w:rPr>
        <w:t>ights</w:t>
      </w:r>
      <w:bookmarkStart w:id="3" w:name="_Hlk534286677"/>
    </w:p>
    <w:p w:rsidR="00223DCF" w:rsidRPr="00EA6437" w:rsidRDefault="00223DCF" w:rsidP="00223DCF">
      <w:pPr>
        <w:pStyle w:val="LI-BodyTextNumbered"/>
        <w:ind w:left="0" w:firstLine="0"/>
        <w:rPr>
          <w:iCs/>
        </w:rPr>
      </w:pPr>
      <w:r w:rsidRPr="00EA6437">
        <w:rPr>
          <w:iCs/>
        </w:rPr>
        <w:t xml:space="preserve">This Statement of Compatibility with Human Rights is prepared in accordance with Part 3 of </w:t>
      </w:r>
      <w:bookmarkStart w:id="4" w:name="_Hlk4054932"/>
      <w:r w:rsidRPr="00EA6437">
        <w:rPr>
          <w:iCs/>
        </w:rPr>
        <w:t xml:space="preserve">the </w:t>
      </w:r>
      <w:r w:rsidRPr="00EA6437">
        <w:rPr>
          <w:i/>
          <w:iCs/>
        </w:rPr>
        <w:t>Human Rights (Parliamentary Scrutiny) Act 2011</w:t>
      </w:r>
      <w:bookmarkEnd w:id="4"/>
      <w:r w:rsidRPr="00EA6437">
        <w:rPr>
          <w:iCs/>
        </w:rPr>
        <w:t xml:space="preserve">.   </w:t>
      </w:r>
    </w:p>
    <w:p w:rsidR="00223DCF" w:rsidRPr="00EA6437" w:rsidRDefault="00C37F95" w:rsidP="00223DCF">
      <w:pPr>
        <w:pStyle w:val="LI-BodyTextNumbered"/>
        <w:ind w:left="0" w:firstLine="0"/>
        <w:rPr>
          <w:b/>
          <w:bCs/>
          <w:i/>
        </w:rPr>
      </w:pPr>
      <w:r w:rsidRPr="00EA6437">
        <w:rPr>
          <w:b/>
          <w:bCs/>
          <w:i/>
        </w:rPr>
        <w:t>ASIC Corporations (Repeal) Instrument 2022/</w:t>
      </w:r>
      <w:r w:rsidR="00EC7D03">
        <w:rPr>
          <w:b/>
          <w:bCs/>
          <w:i/>
        </w:rPr>
        <w:t>499</w:t>
      </w:r>
    </w:p>
    <w:p w:rsidR="00223DCF" w:rsidRPr="00EA6437" w:rsidRDefault="00223DCF" w:rsidP="001872DC">
      <w:pPr>
        <w:pStyle w:val="LI-BodyTextNumbered"/>
        <w:ind w:left="567"/>
        <w:rPr>
          <w:u w:val="single"/>
        </w:rPr>
      </w:pPr>
      <w:r w:rsidRPr="00EA6437">
        <w:rPr>
          <w:u w:val="single"/>
        </w:rPr>
        <w:t>Overview</w:t>
      </w:r>
    </w:p>
    <w:p w:rsidR="0069281B" w:rsidRPr="00EA6437" w:rsidRDefault="00CB2D96" w:rsidP="00C37F95">
      <w:pPr>
        <w:pStyle w:val="LI-BodyTextParaa"/>
        <w:ind w:left="0" w:firstLine="0"/>
      </w:pPr>
      <w:r w:rsidRPr="00EA6437">
        <w:t>1.</w:t>
      </w:r>
      <w:r w:rsidRPr="00EA6437">
        <w:tab/>
      </w:r>
      <w:r w:rsidR="00C37F95" w:rsidRPr="00EA6437">
        <w:rPr>
          <w:i/>
          <w:iCs/>
        </w:rPr>
        <w:t xml:space="preserve">ASIC Corporations (Repeal) Instrument </w:t>
      </w:r>
      <w:r w:rsidR="00C37F95" w:rsidRPr="00EC7D03">
        <w:rPr>
          <w:i/>
          <w:iCs/>
        </w:rPr>
        <w:t>2022/</w:t>
      </w:r>
      <w:r w:rsidR="00EC7D03" w:rsidRPr="00EC7D03">
        <w:rPr>
          <w:i/>
          <w:iCs/>
        </w:rPr>
        <w:t>499</w:t>
      </w:r>
      <w:r w:rsidR="00C37F95" w:rsidRPr="00EA6437">
        <w:t xml:space="preserve"> repeals</w:t>
      </w:r>
      <w:r w:rsidR="0069281B" w:rsidRPr="00EA6437">
        <w:t>:</w:t>
      </w:r>
      <w:r w:rsidR="00C37F95" w:rsidRPr="00EA6437">
        <w:t xml:space="preserve"> </w:t>
      </w:r>
    </w:p>
    <w:p w:rsidR="0069281B" w:rsidRPr="00EA6437" w:rsidRDefault="00F4645A" w:rsidP="00593B21">
      <w:pPr>
        <w:pStyle w:val="LI-BodyTextParaa"/>
        <w:numPr>
          <w:ilvl w:val="0"/>
          <w:numId w:val="21"/>
        </w:numPr>
      </w:pPr>
      <w:r w:rsidRPr="00EA6437">
        <w:t>seven</w:t>
      </w:r>
      <w:r w:rsidR="00FA1893" w:rsidRPr="00EA6437">
        <w:t xml:space="preserve"> legislative instrument</w:t>
      </w:r>
      <w:r w:rsidRPr="00EA6437">
        <w:t>s</w:t>
      </w:r>
      <w:r w:rsidR="00FA1893" w:rsidRPr="00EA6437">
        <w:t xml:space="preserve"> </w:t>
      </w:r>
      <w:r w:rsidR="008338F9" w:rsidRPr="00EA6437">
        <w:t>which con</w:t>
      </w:r>
      <w:r w:rsidR="00794C8F" w:rsidRPr="00EA6437">
        <w:t>tain</w:t>
      </w:r>
      <w:r w:rsidR="008338F9" w:rsidRPr="00EA6437">
        <w:t xml:space="preserve"> relief related to product disclosure statements, </w:t>
      </w:r>
      <w:r w:rsidR="00FA1893" w:rsidRPr="00EA6437">
        <w:t xml:space="preserve">superannuation </w:t>
      </w:r>
      <w:r w:rsidR="008338F9" w:rsidRPr="00EA6437">
        <w:t>dashboard</w:t>
      </w:r>
      <w:r w:rsidR="00FA1893" w:rsidRPr="00EA6437">
        <w:t>s</w:t>
      </w:r>
      <w:r w:rsidR="008338F9" w:rsidRPr="00EA6437">
        <w:t xml:space="preserve"> and Financial Services Guides</w:t>
      </w:r>
      <w:r w:rsidR="00794C8F" w:rsidRPr="00EA6437">
        <w:t xml:space="preserve"> that has been remade in new legislative instruments</w:t>
      </w:r>
      <w:r w:rsidR="008338F9" w:rsidRPr="00EA6437">
        <w:t>;</w:t>
      </w:r>
      <w:r w:rsidR="00FA1893" w:rsidRPr="00EA6437">
        <w:t xml:space="preserve"> and</w:t>
      </w:r>
      <w:r w:rsidR="008338F9" w:rsidRPr="00EA6437">
        <w:t xml:space="preserve"> </w:t>
      </w:r>
    </w:p>
    <w:p w:rsidR="00CB2D96" w:rsidRPr="00EA6437" w:rsidRDefault="007D13E8" w:rsidP="00593B21">
      <w:pPr>
        <w:pStyle w:val="LI-BodyTextParaa"/>
        <w:numPr>
          <w:ilvl w:val="0"/>
          <w:numId w:val="21"/>
        </w:numPr>
        <w:rPr>
          <w:bCs/>
        </w:rPr>
      </w:pPr>
      <w:r w:rsidRPr="00EA6437">
        <w:t xml:space="preserve">ASIC Class Orders </w:t>
      </w:r>
      <w:r w:rsidR="00F4645A" w:rsidRPr="00EA6437">
        <w:t xml:space="preserve">[CO 10/630], </w:t>
      </w:r>
      <w:r w:rsidRPr="00EA6437">
        <w:t xml:space="preserve">[CO 12/574] and [CO 12/794] </w:t>
      </w:r>
      <w:r w:rsidR="00F4645A" w:rsidRPr="00EA6437">
        <w:t xml:space="preserve">and </w:t>
      </w:r>
      <w:r w:rsidR="00F4645A" w:rsidRPr="00EA6437">
        <w:rPr>
          <w:i/>
          <w:iCs/>
        </w:rPr>
        <w:t>ASIC Corporations (AFSL Audit Opinion) Instrument 2015/586</w:t>
      </w:r>
      <w:r w:rsidR="00F4645A" w:rsidRPr="00EA6437">
        <w:t xml:space="preserve"> </w:t>
      </w:r>
      <w:r w:rsidRPr="00EA6437">
        <w:t>which are redundant</w:t>
      </w:r>
      <w:r w:rsidR="00C37F95" w:rsidRPr="00EA6437">
        <w:t xml:space="preserve">. </w:t>
      </w:r>
    </w:p>
    <w:p w:rsidR="001872DC" w:rsidRPr="00EA6437" w:rsidRDefault="001872DC" w:rsidP="001872DC">
      <w:pPr>
        <w:pStyle w:val="LI-BodyTextNumbered"/>
        <w:ind w:left="567"/>
        <w:rPr>
          <w:u w:val="single"/>
        </w:rPr>
      </w:pPr>
      <w:bookmarkStart w:id="5" w:name="_Hlk534286807"/>
      <w:bookmarkEnd w:id="3"/>
      <w:r w:rsidRPr="00EA6437">
        <w:rPr>
          <w:u w:val="single"/>
        </w:rPr>
        <w:t>Assessment of human rights implications</w:t>
      </w:r>
    </w:p>
    <w:p w:rsidR="00946759" w:rsidRPr="00EA6437" w:rsidRDefault="00CB2D96" w:rsidP="00D306F8">
      <w:pPr>
        <w:pStyle w:val="LI-BodyTextNumbered"/>
        <w:ind w:left="567"/>
      </w:pPr>
      <w:r w:rsidRPr="00EA6437">
        <w:t>2</w:t>
      </w:r>
      <w:r w:rsidR="001872DC" w:rsidRPr="00EA6437">
        <w:t>.</w:t>
      </w:r>
      <w:r w:rsidR="001872DC" w:rsidRPr="00EA6437">
        <w:tab/>
      </w:r>
      <w:bookmarkEnd w:id="5"/>
      <w:r w:rsidR="001872DC" w:rsidRPr="00EA6437">
        <w:t xml:space="preserve">This instrument </w:t>
      </w:r>
      <w:r w:rsidR="00D306F8" w:rsidRPr="00EA6437">
        <w:t>does not engage any of the applicable rights or freedoms</w:t>
      </w:r>
      <w:r w:rsidR="008338F9" w:rsidRPr="00EA6437">
        <w:t>.</w:t>
      </w:r>
      <w:r w:rsidR="00435EEF" w:rsidRPr="00EA6437">
        <w:t xml:space="preserve"> </w:t>
      </w:r>
    </w:p>
    <w:p w:rsidR="00CB2D96" w:rsidRPr="00EA6437" w:rsidRDefault="00CB2D96" w:rsidP="00D306F8">
      <w:pPr>
        <w:pStyle w:val="LI-BodyTextNumbered"/>
        <w:ind w:left="567"/>
        <w:rPr>
          <w:u w:val="single"/>
        </w:rPr>
      </w:pPr>
      <w:r w:rsidRPr="00EA6437">
        <w:rPr>
          <w:u w:val="single"/>
        </w:rPr>
        <w:t>Conclusion</w:t>
      </w:r>
    </w:p>
    <w:p w:rsidR="00CB2D96" w:rsidRPr="00EA6437" w:rsidRDefault="00CB2D96" w:rsidP="00CB2D96">
      <w:pPr>
        <w:pStyle w:val="LI-BodyTextNumbered"/>
        <w:ind w:left="567"/>
      </w:pPr>
      <w:r w:rsidRPr="00EA6437">
        <w:t>3.</w:t>
      </w:r>
      <w:r w:rsidRPr="00EA6437">
        <w:tab/>
        <w:t xml:space="preserve">This instrument is compatible with the human rights and freedoms recognised or declared in the international instruments listed in section 3 of </w:t>
      </w:r>
      <w:r w:rsidRPr="00EA6437">
        <w:rPr>
          <w:iCs/>
        </w:rPr>
        <w:t xml:space="preserve">the </w:t>
      </w:r>
      <w:r w:rsidRPr="00EA6437">
        <w:rPr>
          <w:i/>
          <w:iCs/>
        </w:rPr>
        <w:t>Human Rights (Parliamentary Scrutiny) Act 2011</w:t>
      </w:r>
      <w:r w:rsidRPr="00EA6437">
        <w:t>.</w:t>
      </w:r>
    </w:p>
    <w:p w:rsidR="00CB2D96" w:rsidRPr="00EA6437" w:rsidRDefault="00CB2D96" w:rsidP="00D306F8">
      <w:pPr>
        <w:pStyle w:val="LI-BodyTextNumbered"/>
        <w:ind w:left="567"/>
      </w:pPr>
      <w:bookmarkStart w:id="6" w:name="_GoBack"/>
      <w:bookmarkEnd w:id="6"/>
    </w:p>
    <w:sectPr w:rsidR="00CB2D96" w:rsidRPr="00EA6437" w:rsidSect="00863657">
      <w:headerReference w:type="even" r:id="rId11"/>
      <w:headerReference w:type="default" r:id="rId12"/>
      <w:footerReference w:type="default" r:id="rId1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85C" w:rsidRDefault="00EF085C" w:rsidP="00715914">
      <w:pPr>
        <w:spacing w:line="240" w:lineRule="auto"/>
      </w:pPr>
      <w:r>
        <w:separator/>
      </w:r>
    </w:p>
  </w:endnote>
  <w:endnote w:type="continuationSeparator" w:id="0">
    <w:p w:rsidR="00EF085C" w:rsidRDefault="00EF085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85C" w:rsidRDefault="00EF085C" w:rsidP="00715914">
      <w:pPr>
        <w:spacing w:line="240" w:lineRule="auto"/>
      </w:pPr>
      <w:r>
        <w:separator/>
      </w:r>
    </w:p>
  </w:footnote>
  <w:footnote w:type="continuationSeparator" w:id="0">
    <w:p w:rsidR="00EF085C" w:rsidRDefault="00EF085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730064" w:rsidRPr="00E40FF8" w:rsidTr="00BE0B4C">
      <w:tc>
        <w:tcPr>
          <w:tcW w:w="4253" w:type="dxa"/>
          <w:shd w:val="clear" w:color="auto" w:fill="auto"/>
        </w:tcPr>
        <w:p w:rsidR="00730064" w:rsidRDefault="00730064" w:rsidP="00730064">
          <w:pPr>
            <w:pStyle w:val="LI-Header"/>
            <w:pBdr>
              <w:bottom w:val="none" w:sz="0" w:space="0" w:color="auto"/>
            </w:pBdr>
            <w:jc w:val="left"/>
          </w:pPr>
          <w:bookmarkStart w:id="7" w:name="_Hlk105145881"/>
          <w:bookmarkStart w:id="8" w:name="_Hlk105145882"/>
        </w:p>
      </w:tc>
      <w:tc>
        <w:tcPr>
          <w:tcW w:w="4060" w:type="dxa"/>
          <w:shd w:val="clear" w:color="auto" w:fill="auto"/>
        </w:tcPr>
        <w:p w:rsidR="00730064" w:rsidRDefault="00730064" w:rsidP="00730064">
          <w:pPr>
            <w:pStyle w:val="LI-BodyTextNumbered"/>
          </w:pPr>
        </w:p>
      </w:tc>
    </w:tr>
    <w:bookmarkEnd w:id="7"/>
    <w:bookmarkEnd w:id="8"/>
  </w:tbl>
  <w:p w:rsidR="00730064" w:rsidRDefault="0073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356F26"/>
    <w:multiLevelType w:val="hybridMultilevel"/>
    <w:tmpl w:val="A5C61FD4"/>
    <w:lvl w:ilvl="0" w:tplc="B89E1E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9C57B6"/>
    <w:multiLevelType w:val="hybridMultilevel"/>
    <w:tmpl w:val="36BC4C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5B533E"/>
    <w:multiLevelType w:val="hybridMultilevel"/>
    <w:tmpl w:val="52FAA8B8"/>
    <w:lvl w:ilvl="0" w:tplc="03CC002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706058"/>
    <w:multiLevelType w:val="hybridMultilevel"/>
    <w:tmpl w:val="A5C61FD4"/>
    <w:lvl w:ilvl="0" w:tplc="B89E1E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5F57EB5"/>
    <w:multiLevelType w:val="hybridMultilevel"/>
    <w:tmpl w:val="161C6D7C"/>
    <w:lvl w:ilvl="0" w:tplc="55842486">
      <w:start w:val="1"/>
      <w:numFmt w:val="decimal"/>
      <w:lvlText w:val="%1."/>
      <w:lvlJc w:val="left"/>
      <w:pPr>
        <w:ind w:left="567" w:hanging="567"/>
      </w:pPr>
      <w:rPr>
        <w:rFonts w:hint="default"/>
        <w:b w:val="0"/>
        <w:bCs w:val="0"/>
      </w:rPr>
    </w:lvl>
    <w:lvl w:ilvl="1" w:tplc="AC26BC14">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A150E3"/>
    <w:multiLevelType w:val="hybridMultilevel"/>
    <w:tmpl w:val="D09ED1FE"/>
    <w:lvl w:ilvl="0" w:tplc="B89E1E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E44E7"/>
    <w:multiLevelType w:val="hybridMultilevel"/>
    <w:tmpl w:val="3F32D92E"/>
    <w:lvl w:ilvl="0" w:tplc="B89E1E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46195"/>
    <w:multiLevelType w:val="hybridMultilevel"/>
    <w:tmpl w:val="A3904D2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E465BBB"/>
    <w:multiLevelType w:val="hybridMultilevel"/>
    <w:tmpl w:val="AA58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2366A4"/>
    <w:multiLevelType w:val="hybridMultilevel"/>
    <w:tmpl w:val="C1406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8653C5"/>
    <w:multiLevelType w:val="multilevel"/>
    <w:tmpl w:val="E4901E26"/>
    <w:lvl w:ilvl="0">
      <w:start w:val="1"/>
      <w:numFmt w:val="none"/>
      <w:pStyle w:val="Heading1"/>
      <w:lvlText w:val=""/>
      <w:lvlJc w:val="left"/>
      <w:pPr>
        <w:ind w:left="0" w:firstLine="0"/>
      </w:pPr>
      <w:rPr>
        <w:rFonts w:ascii="Century Gothic" w:hAnsi="Century Gothic" w:hint="default"/>
        <w:b/>
        <w:i w:val="0"/>
        <w:color w:val="0070C0"/>
        <w:sz w:val="28"/>
      </w:rPr>
    </w:lvl>
    <w:lvl w:ilvl="1">
      <w:start w:val="1"/>
      <w:numFmt w:val="decimal"/>
      <w:lvlRestart w:val="0"/>
      <w:pStyle w:val="Blocks"/>
      <w:lvlText w:val="%2."/>
      <w:lvlJc w:val="left"/>
      <w:pPr>
        <w:ind w:left="680" w:hanging="340"/>
      </w:pPr>
      <w:rPr>
        <w:rFonts w:ascii="Century Gothic" w:hAnsi="Century Gothic" w:hint="default"/>
        <w:b w:val="0"/>
        <w:bCs w:val="0"/>
        <w:i w:val="0"/>
        <w:iCs w:val="0"/>
        <w:sz w:val="22"/>
        <w:szCs w:val="22"/>
      </w:rPr>
    </w:lvl>
    <w:lvl w:ilvl="2">
      <w:start w:val="1"/>
      <w:numFmt w:val="decimal"/>
      <w:pStyle w:val="BoxHeadItalic"/>
      <w:lvlText w:val="%2.%3"/>
      <w:lvlJc w:val="left"/>
      <w:pPr>
        <w:ind w:left="1134"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E68299F"/>
    <w:multiLevelType w:val="hybridMultilevel"/>
    <w:tmpl w:val="D1DA56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0"/>
  </w:num>
  <w:num w:numId="15">
    <w:abstractNumId w:val="12"/>
  </w:num>
  <w:num w:numId="16">
    <w:abstractNumId w:val="25"/>
  </w:num>
  <w:num w:numId="17">
    <w:abstractNumId w:val="19"/>
  </w:num>
  <w:num w:numId="18">
    <w:abstractNumId w:val="18"/>
  </w:num>
  <w:num w:numId="19">
    <w:abstractNumId w:val="15"/>
  </w:num>
  <w:num w:numId="20">
    <w:abstractNumId w:val="17"/>
  </w:num>
  <w:num w:numId="21">
    <w:abstractNumId w:val="22"/>
  </w:num>
  <w:num w:numId="22">
    <w:abstractNumId w:val="21"/>
  </w:num>
  <w:num w:numId="23">
    <w:abstractNumId w:val="23"/>
  </w:num>
  <w:num w:numId="24">
    <w:abstractNumId w:val="26"/>
  </w:num>
  <w:num w:numId="25">
    <w:abstractNumId w:val="13"/>
  </w:num>
  <w:num w:numId="26">
    <w:abstractNumId w:val="24"/>
  </w:num>
  <w:num w:numId="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grammar="clean"/>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485"/>
    <w:rsid w:val="00015719"/>
    <w:rsid w:val="00023D53"/>
    <w:rsid w:val="000412A5"/>
    <w:rsid w:val="000437C1"/>
    <w:rsid w:val="0005365D"/>
    <w:rsid w:val="000614BF"/>
    <w:rsid w:val="0006250C"/>
    <w:rsid w:val="00081794"/>
    <w:rsid w:val="00084FF4"/>
    <w:rsid w:val="000A142F"/>
    <w:rsid w:val="000A6C39"/>
    <w:rsid w:val="000B58FA"/>
    <w:rsid w:val="000B6929"/>
    <w:rsid w:val="000C55A0"/>
    <w:rsid w:val="000D041F"/>
    <w:rsid w:val="000D05EF"/>
    <w:rsid w:val="000E2261"/>
    <w:rsid w:val="000E32DB"/>
    <w:rsid w:val="000E3C2E"/>
    <w:rsid w:val="000E3DEC"/>
    <w:rsid w:val="000F21C1"/>
    <w:rsid w:val="000F7909"/>
    <w:rsid w:val="00102CA6"/>
    <w:rsid w:val="0010745C"/>
    <w:rsid w:val="00125141"/>
    <w:rsid w:val="00130DA0"/>
    <w:rsid w:val="00132CEB"/>
    <w:rsid w:val="0013486F"/>
    <w:rsid w:val="001357BE"/>
    <w:rsid w:val="00142B62"/>
    <w:rsid w:val="00153B32"/>
    <w:rsid w:val="00157AE7"/>
    <w:rsid w:val="00157B8B"/>
    <w:rsid w:val="001624E1"/>
    <w:rsid w:val="00162D92"/>
    <w:rsid w:val="00166C2F"/>
    <w:rsid w:val="00171A6E"/>
    <w:rsid w:val="00175B9F"/>
    <w:rsid w:val="001809D7"/>
    <w:rsid w:val="0018659E"/>
    <w:rsid w:val="00186FF4"/>
    <w:rsid w:val="001872DC"/>
    <w:rsid w:val="00191FFA"/>
    <w:rsid w:val="001939E1"/>
    <w:rsid w:val="00194C3E"/>
    <w:rsid w:val="00195382"/>
    <w:rsid w:val="00195BD4"/>
    <w:rsid w:val="001B1B8F"/>
    <w:rsid w:val="001C4A1F"/>
    <w:rsid w:val="001C61C5"/>
    <w:rsid w:val="001C69C4"/>
    <w:rsid w:val="001D37EF"/>
    <w:rsid w:val="001E3590"/>
    <w:rsid w:val="001E7407"/>
    <w:rsid w:val="001E77ED"/>
    <w:rsid w:val="001E7E2B"/>
    <w:rsid w:val="001F02B1"/>
    <w:rsid w:val="001F5D5E"/>
    <w:rsid w:val="001F6219"/>
    <w:rsid w:val="001F6CD4"/>
    <w:rsid w:val="00206C4D"/>
    <w:rsid w:val="0021053C"/>
    <w:rsid w:val="002136B6"/>
    <w:rsid w:val="00215AF1"/>
    <w:rsid w:val="00220A36"/>
    <w:rsid w:val="00223DCF"/>
    <w:rsid w:val="002321E8"/>
    <w:rsid w:val="00236EEC"/>
    <w:rsid w:val="002378CA"/>
    <w:rsid w:val="0024010F"/>
    <w:rsid w:val="00240749"/>
    <w:rsid w:val="002413F8"/>
    <w:rsid w:val="00243018"/>
    <w:rsid w:val="00243EC0"/>
    <w:rsid w:val="00244742"/>
    <w:rsid w:val="002564A4"/>
    <w:rsid w:val="0026736C"/>
    <w:rsid w:val="002750F1"/>
    <w:rsid w:val="002758EE"/>
    <w:rsid w:val="00281308"/>
    <w:rsid w:val="00281813"/>
    <w:rsid w:val="00284719"/>
    <w:rsid w:val="002859B0"/>
    <w:rsid w:val="00287C48"/>
    <w:rsid w:val="00297ECB"/>
    <w:rsid w:val="002A7328"/>
    <w:rsid w:val="002A7BCF"/>
    <w:rsid w:val="002B19F3"/>
    <w:rsid w:val="002B4A0D"/>
    <w:rsid w:val="002C27C8"/>
    <w:rsid w:val="002C7B6F"/>
    <w:rsid w:val="002D043A"/>
    <w:rsid w:val="002D6224"/>
    <w:rsid w:val="002E3F4B"/>
    <w:rsid w:val="002E6DCD"/>
    <w:rsid w:val="0030018D"/>
    <w:rsid w:val="00304F8B"/>
    <w:rsid w:val="00310743"/>
    <w:rsid w:val="00327DDF"/>
    <w:rsid w:val="003354D2"/>
    <w:rsid w:val="00335BC6"/>
    <w:rsid w:val="003415D3"/>
    <w:rsid w:val="00344701"/>
    <w:rsid w:val="003528DA"/>
    <w:rsid w:val="00352B0F"/>
    <w:rsid w:val="00356690"/>
    <w:rsid w:val="00357DD0"/>
    <w:rsid w:val="00360459"/>
    <w:rsid w:val="00365497"/>
    <w:rsid w:val="0038499E"/>
    <w:rsid w:val="00384EF7"/>
    <w:rsid w:val="00387A96"/>
    <w:rsid w:val="003A0D7F"/>
    <w:rsid w:val="003A2A48"/>
    <w:rsid w:val="003A45F3"/>
    <w:rsid w:val="003B28C3"/>
    <w:rsid w:val="003B732F"/>
    <w:rsid w:val="003C3CA0"/>
    <w:rsid w:val="003C6231"/>
    <w:rsid w:val="003C7BC6"/>
    <w:rsid w:val="003D0BFE"/>
    <w:rsid w:val="003D5700"/>
    <w:rsid w:val="003E0F99"/>
    <w:rsid w:val="003E199E"/>
    <w:rsid w:val="003E341B"/>
    <w:rsid w:val="003F3EFD"/>
    <w:rsid w:val="0040053F"/>
    <w:rsid w:val="004116CD"/>
    <w:rsid w:val="004144EC"/>
    <w:rsid w:val="00417EB9"/>
    <w:rsid w:val="00424CA9"/>
    <w:rsid w:val="00431E9B"/>
    <w:rsid w:val="00435EEF"/>
    <w:rsid w:val="004379E3"/>
    <w:rsid w:val="0044015E"/>
    <w:rsid w:val="0044291A"/>
    <w:rsid w:val="00443E0D"/>
    <w:rsid w:val="00444ABD"/>
    <w:rsid w:val="00447DB4"/>
    <w:rsid w:val="00460F1D"/>
    <w:rsid w:val="00462E6A"/>
    <w:rsid w:val="00465DC1"/>
    <w:rsid w:val="00467661"/>
    <w:rsid w:val="004705B7"/>
    <w:rsid w:val="00472DBE"/>
    <w:rsid w:val="00474A19"/>
    <w:rsid w:val="00474B52"/>
    <w:rsid w:val="00481C24"/>
    <w:rsid w:val="004823C0"/>
    <w:rsid w:val="0048276B"/>
    <w:rsid w:val="00496B5F"/>
    <w:rsid w:val="00496F97"/>
    <w:rsid w:val="004A44FC"/>
    <w:rsid w:val="004A7D78"/>
    <w:rsid w:val="004B5734"/>
    <w:rsid w:val="004B5B44"/>
    <w:rsid w:val="004C1CB1"/>
    <w:rsid w:val="004C4229"/>
    <w:rsid w:val="004C4CFC"/>
    <w:rsid w:val="004D7E7F"/>
    <w:rsid w:val="004E063A"/>
    <w:rsid w:val="004E34B0"/>
    <w:rsid w:val="004E7BEC"/>
    <w:rsid w:val="0050044F"/>
    <w:rsid w:val="00503AB4"/>
    <w:rsid w:val="00505D3D"/>
    <w:rsid w:val="00506AF6"/>
    <w:rsid w:val="00507335"/>
    <w:rsid w:val="00516B8D"/>
    <w:rsid w:val="00517E56"/>
    <w:rsid w:val="00532049"/>
    <w:rsid w:val="005356A7"/>
    <w:rsid w:val="00536184"/>
    <w:rsid w:val="00537FBC"/>
    <w:rsid w:val="005574D1"/>
    <w:rsid w:val="00561ABB"/>
    <w:rsid w:val="005657FE"/>
    <w:rsid w:val="00572BB1"/>
    <w:rsid w:val="0057670F"/>
    <w:rsid w:val="00584811"/>
    <w:rsid w:val="00585784"/>
    <w:rsid w:val="00593AA6"/>
    <w:rsid w:val="00593B21"/>
    <w:rsid w:val="00593B27"/>
    <w:rsid w:val="00594161"/>
    <w:rsid w:val="00594749"/>
    <w:rsid w:val="005B4067"/>
    <w:rsid w:val="005B780C"/>
    <w:rsid w:val="005C329E"/>
    <w:rsid w:val="005C3F41"/>
    <w:rsid w:val="005D0489"/>
    <w:rsid w:val="005D1FEA"/>
    <w:rsid w:val="005D2D09"/>
    <w:rsid w:val="005D3D41"/>
    <w:rsid w:val="005E4810"/>
    <w:rsid w:val="005F063E"/>
    <w:rsid w:val="005F4140"/>
    <w:rsid w:val="005F65CD"/>
    <w:rsid w:val="00600219"/>
    <w:rsid w:val="00603DC4"/>
    <w:rsid w:val="00607A71"/>
    <w:rsid w:val="00610709"/>
    <w:rsid w:val="006117CB"/>
    <w:rsid w:val="00620076"/>
    <w:rsid w:val="00621DE9"/>
    <w:rsid w:val="00622C54"/>
    <w:rsid w:val="00634044"/>
    <w:rsid w:val="00640161"/>
    <w:rsid w:val="00652769"/>
    <w:rsid w:val="0065542F"/>
    <w:rsid w:val="006554FF"/>
    <w:rsid w:val="00667966"/>
    <w:rsid w:val="00670EA1"/>
    <w:rsid w:val="00674C2F"/>
    <w:rsid w:val="00677CC2"/>
    <w:rsid w:val="00681311"/>
    <w:rsid w:val="006857AD"/>
    <w:rsid w:val="006905DE"/>
    <w:rsid w:val="0069207B"/>
    <w:rsid w:val="0069281B"/>
    <w:rsid w:val="00693F29"/>
    <w:rsid w:val="006A4856"/>
    <w:rsid w:val="006B54DD"/>
    <w:rsid w:val="006B5789"/>
    <w:rsid w:val="006C30C5"/>
    <w:rsid w:val="006C48FA"/>
    <w:rsid w:val="006C7F8C"/>
    <w:rsid w:val="006E3731"/>
    <w:rsid w:val="006E5320"/>
    <w:rsid w:val="006E6246"/>
    <w:rsid w:val="006F318F"/>
    <w:rsid w:val="006F4226"/>
    <w:rsid w:val="0070017E"/>
    <w:rsid w:val="00700B2C"/>
    <w:rsid w:val="00702EFD"/>
    <w:rsid w:val="00704D8F"/>
    <w:rsid w:val="007050A2"/>
    <w:rsid w:val="00711D08"/>
    <w:rsid w:val="00713084"/>
    <w:rsid w:val="0071399B"/>
    <w:rsid w:val="00714F20"/>
    <w:rsid w:val="0071590F"/>
    <w:rsid w:val="00715914"/>
    <w:rsid w:val="0072518F"/>
    <w:rsid w:val="00730064"/>
    <w:rsid w:val="00731E00"/>
    <w:rsid w:val="00736D44"/>
    <w:rsid w:val="007412AE"/>
    <w:rsid w:val="00741EE8"/>
    <w:rsid w:val="007440B7"/>
    <w:rsid w:val="007500C8"/>
    <w:rsid w:val="00756272"/>
    <w:rsid w:val="007662B5"/>
    <w:rsid w:val="0076681A"/>
    <w:rsid w:val="007715C9"/>
    <w:rsid w:val="00771613"/>
    <w:rsid w:val="00771D68"/>
    <w:rsid w:val="00774EDD"/>
    <w:rsid w:val="0077506D"/>
    <w:rsid w:val="007757EC"/>
    <w:rsid w:val="00782656"/>
    <w:rsid w:val="00783E89"/>
    <w:rsid w:val="007842CE"/>
    <w:rsid w:val="00785A9E"/>
    <w:rsid w:val="00793915"/>
    <w:rsid w:val="00794C8F"/>
    <w:rsid w:val="007B4C4F"/>
    <w:rsid w:val="007B4D1E"/>
    <w:rsid w:val="007C2253"/>
    <w:rsid w:val="007C289C"/>
    <w:rsid w:val="007D13E8"/>
    <w:rsid w:val="007D230B"/>
    <w:rsid w:val="007E163D"/>
    <w:rsid w:val="007E667A"/>
    <w:rsid w:val="007F28C9"/>
    <w:rsid w:val="0080312D"/>
    <w:rsid w:val="00803587"/>
    <w:rsid w:val="00804E9D"/>
    <w:rsid w:val="008117E9"/>
    <w:rsid w:val="00824498"/>
    <w:rsid w:val="008338F9"/>
    <w:rsid w:val="00835179"/>
    <w:rsid w:val="00840442"/>
    <w:rsid w:val="008527C0"/>
    <w:rsid w:val="00856A31"/>
    <w:rsid w:val="00860B58"/>
    <w:rsid w:val="00863657"/>
    <w:rsid w:val="00867B37"/>
    <w:rsid w:val="0087016A"/>
    <w:rsid w:val="008718DD"/>
    <w:rsid w:val="008754D0"/>
    <w:rsid w:val="008771A5"/>
    <w:rsid w:val="008808DF"/>
    <w:rsid w:val="00883C01"/>
    <w:rsid w:val="008855C9"/>
    <w:rsid w:val="00886456"/>
    <w:rsid w:val="00890DCD"/>
    <w:rsid w:val="00893227"/>
    <w:rsid w:val="008945E0"/>
    <w:rsid w:val="0089527F"/>
    <w:rsid w:val="008A362B"/>
    <w:rsid w:val="008A3BC3"/>
    <w:rsid w:val="008A46E1"/>
    <w:rsid w:val="008A4F43"/>
    <w:rsid w:val="008B2706"/>
    <w:rsid w:val="008C0F29"/>
    <w:rsid w:val="008D06B4"/>
    <w:rsid w:val="008D0EE0"/>
    <w:rsid w:val="008D1BD2"/>
    <w:rsid w:val="008D3422"/>
    <w:rsid w:val="008E6067"/>
    <w:rsid w:val="008F54E7"/>
    <w:rsid w:val="009016BE"/>
    <w:rsid w:val="00903422"/>
    <w:rsid w:val="00912A58"/>
    <w:rsid w:val="00914661"/>
    <w:rsid w:val="009157B9"/>
    <w:rsid w:val="00915DF9"/>
    <w:rsid w:val="009228A6"/>
    <w:rsid w:val="009254C3"/>
    <w:rsid w:val="00926940"/>
    <w:rsid w:val="00930A0A"/>
    <w:rsid w:val="00932377"/>
    <w:rsid w:val="009460DC"/>
    <w:rsid w:val="00946759"/>
    <w:rsid w:val="00947D5A"/>
    <w:rsid w:val="009516C2"/>
    <w:rsid w:val="009532A5"/>
    <w:rsid w:val="00955175"/>
    <w:rsid w:val="0095528E"/>
    <w:rsid w:val="0096753E"/>
    <w:rsid w:val="009711C2"/>
    <w:rsid w:val="009776AB"/>
    <w:rsid w:val="00982242"/>
    <w:rsid w:val="009868E9"/>
    <w:rsid w:val="009944E6"/>
    <w:rsid w:val="009A3A6F"/>
    <w:rsid w:val="009A3F74"/>
    <w:rsid w:val="009A49C9"/>
    <w:rsid w:val="009A678B"/>
    <w:rsid w:val="009D1818"/>
    <w:rsid w:val="009D195A"/>
    <w:rsid w:val="009D7993"/>
    <w:rsid w:val="009E0F35"/>
    <w:rsid w:val="009E3D65"/>
    <w:rsid w:val="009E5CFC"/>
    <w:rsid w:val="009E75A7"/>
    <w:rsid w:val="009F2B40"/>
    <w:rsid w:val="00A03AF1"/>
    <w:rsid w:val="00A079CB"/>
    <w:rsid w:val="00A10ECA"/>
    <w:rsid w:val="00A12128"/>
    <w:rsid w:val="00A12F48"/>
    <w:rsid w:val="00A131E2"/>
    <w:rsid w:val="00A14F6A"/>
    <w:rsid w:val="00A15512"/>
    <w:rsid w:val="00A20F38"/>
    <w:rsid w:val="00A22C98"/>
    <w:rsid w:val="00A231E2"/>
    <w:rsid w:val="00A2701F"/>
    <w:rsid w:val="00A33D55"/>
    <w:rsid w:val="00A34412"/>
    <w:rsid w:val="00A40424"/>
    <w:rsid w:val="00A44C99"/>
    <w:rsid w:val="00A52B0F"/>
    <w:rsid w:val="00A5632E"/>
    <w:rsid w:val="00A64912"/>
    <w:rsid w:val="00A70A74"/>
    <w:rsid w:val="00A91966"/>
    <w:rsid w:val="00AA1285"/>
    <w:rsid w:val="00AA66AC"/>
    <w:rsid w:val="00AB01E9"/>
    <w:rsid w:val="00AB1DE8"/>
    <w:rsid w:val="00AB69D9"/>
    <w:rsid w:val="00AC0886"/>
    <w:rsid w:val="00AC6B01"/>
    <w:rsid w:val="00AD02B8"/>
    <w:rsid w:val="00AD127D"/>
    <w:rsid w:val="00AD17BB"/>
    <w:rsid w:val="00AD1F73"/>
    <w:rsid w:val="00AD5315"/>
    <w:rsid w:val="00AD5641"/>
    <w:rsid w:val="00AD7889"/>
    <w:rsid w:val="00AE52FA"/>
    <w:rsid w:val="00AE787B"/>
    <w:rsid w:val="00AF021B"/>
    <w:rsid w:val="00AF06CF"/>
    <w:rsid w:val="00B04305"/>
    <w:rsid w:val="00B07CDB"/>
    <w:rsid w:val="00B16A31"/>
    <w:rsid w:val="00B17DFD"/>
    <w:rsid w:val="00B27537"/>
    <w:rsid w:val="00B2799D"/>
    <w:rsid w:val="00B308FE"/>
    <w:rsid w:val="00B33709"/>
    <w:rsid w:val="00B33B3C"/>
    <w:rsid w:val="00B33BD1"/>
    <w:rsid w:val="00B50AB3"/>
    <w:rsid w:val="00B50ADC"/>
    <w:rsid w:val="00B566B1"/>
    <w:rsid w:val="00B577C8"/>
    <w:rsid w:val="00B62720"/>
    <w:rsid w:val="00B63834"/>
    <w:rsid w:val="00B65D67"/>
    <w:rsid w:val="00B72734"/>
    <w:rsid w:val="00B80199"/>
    <w:rsid w:val="00B82D81"/>
    <w:rsid w:val="00B83204"/>
    <w:rsid w:val="00B9126E"/>
    <w:rsid w:val="00B92A35"/>
    <w:rsid w:val="00BA220B"/>
    <w:rsid w:val="00BA3A57"/>
    <w:rsid w:val="00BB4E1A"/>
    <w:rsid w:val="00BB5C17"/>
    <w:rsid w:val="00BC015E"/>
    <w:rsid w:val="00BC7183"/>
    <w:rsid w:val="00BC76AC"/>
    <w:rsid w:val="00BD0ECB"/>
    <w:rsid w:val="00BE0109"/>
    <w:rsid w:val="00BE0B4C"/>
    <w:rsid w:val="00BE2155"/>
    <w:rsid w:val="00BE2213"/>
    <w:rsid w:val="00BE2694"/>
    <w:rsid w:val="00BE6EF9"/>
    <w:rsid w:val="00BE719A"/>
    <w:rsid w:val="00BE720A"/>
    <w:rsid w:val="00BF0D73"/>
    <w:rsid w:val="00BF2465"/>
    <w:rsid w:val="00BF75C9"/>
    <w:rsid w:val="00C0544A"/>
    <w:rsid w:val="00C10BFD"/>
    <w:rsid w:val="00C11452"/>
    <w:rsid w:val="00C15443"/>
    <w:rsid w:val="00C17457"/>
    <w:rsid w:val="00C25E7F"/>
    <w:rsid w:val="00C2746F"/>
    <w:rsid w:val="00C324A0"/>
    <w:rsid w:val="00C3300F"/>
    <w:rsid w:val="00C34E77"/>
    <w:rsid w:val="00C34FEA"/>
    <w:rsid w:val="00C35875"/>
    <w:rsid w:val="00C35DAF"/>
    <w:rsid w:val="00C37F95"/>
    <w:rsid w:val="00C4170B"/>
    <w:rsid w:val="00C42BF8"/>
    <w:rsid w:val="00C45171"/>
    <w:rsid w:val="00C50043"/>
    <w:rsid w:val="00C50B97"/>
    <w:rsid w:val="00C52E7C"/>
    <w:rsid w:val="00C568F0"/>
    <w:rsid w:val="00C6434E"/>
    <w:rsid w:val="00C70CA8"/>
    <w:rsid w:val="00C7573B"/>
    <w:rsid w:val="00C7761F"/>
    <w:rsid w:val="00C86B32"/>
    <w:rsid w:val="00C92978"/>
    <w:rsid w:val="00C93C03"/>
    <w:rsid w:val="00CA66DC"/>
    <w:rsid w:val="00CB2C8E"/>
    <w:rsid w:val="00CB2D96"/>
    <w:rsid w:val="00CB602E"/>
    <w:rsid w:val="00CC4E9F"/>
    <w:rsid w:val="00CD2E90"/>
    <w:rsid w:val="00CE0149"/>
    <w:rsid w:val="00CE051D"/>
    <w:rsid w:val="00CE1335"/>
    <w:rsid w:val="00CE3D2A"/>
    <w:rsid w:val="00CE493D"/>
    <w:rsid w:val="00CE541A"/>
    <w:rsid w:val="00CE6D42"/>
    <w:rsid w:val="00CF07FA"/>
    <w:rsid w:val="00CF0BB2"/>
    <w:rsid w:val="00CF2782"/>
    <w:rsid w:val="00CF3EE8"/>
    <w:rsid w:val="00CF5313"/>
    <w:rsid w:val="00D02BD8"/>
    <w:rsid w:val="00D050E6"/>
    <w:rsid w:val="00D11EA8"/>
    <w:rsid w:val="00D13441"/>
    <w:rsid w:val="00D150E7"/>
    <w:rsid w:val="00D20A4B"/>
    <w:rsid w:val="00D26E2E"/>
    <w:rsid w:val="00D306F8"/>
    <w:rsid w:val="00D32F65"/>
    <w:rsid w:val="00D341C4"/>
    <w:rsid w:val="00D43AC5"/>
    <w:rsid w:val="00D52DC2"/>
    <w:rsid w:val="00D53BCC"/>
    <w:rsid w:val="00D64261"/>
    <w:rsid w:val="00D648BB"/>
    <w:rsid w:val="00D65564"/>
    <w:rsid w:val="00D702DE"/>
    <w:rsid w:val="00D70DFB"/>
    <w:rsid w:val="00D732EC"/>
    <w:rsid w:val="00D73C22"/>
    <w:rsid w:val="00D766DF"/>
    <w:rsid w:val="00D96379"/>
    <w:rsid w:val="00DA186E"/>
    <w:rsid w:val="00DA1C42"/>
    <w:rsid w:val="00DA4116"/>
    <w:rsid w:val="00DB251C"/>
    <w:rsid w:val="00DB38AD"/>
    <w:rsid w:val="00DB4630"/>
    <w:rsid w:val="00DC4445"/>
    <w:rsid w:val="00DC4F88"/>
    <w:rsid w:val="00DE0A85"/>
    <w:rsid w:val="00DE72D4"/>
    <w:rsid w:val="00DE79F9"/>
    <w:rsid w:val="00E00066"/>
    <w:rsid w:val="00E05704"/>
    <w:rsid w:val="00E06AB4"/>
    <w:rsid w:val="00E06CC3"/>
    <w:rsid w:val="00E07711"/>
    <w:rsid w:val="00E11E44"/>
    <w:rsid w:val="00E13AFA"/>
    <w:rsid w:val="00E2168B"/>
    <w:rsid w:val="00E21F03"/>
    <w:rsid w:val="00E223ED"/>
    <w:rsid w:val="00E338EF"/>
    <w:rsid w:val="00E40FF8"/>
    <w:rsid w:val="00E51310"/>
    <w:rsid w:val="00E544BB"/>
    <w:rsid w:val="00E578EC"/>
    <w:rsid w:val="00E60423"/>
    <w:rsid w:val="00E60E9E"/>
    <w:rsid w:val="00E649D7"/>
    <w:rsid w:val="00E662CB"/>
    <w:rsid w:val="00E74DC7"/>
    <w:rsid w:val="00E8075A"/>
    <w:rsid w:val="00E818A6"/>
    <w:rsid w:val="00E85A91"/>
    <w:rsid w:val="00E87718"/>
    <w:rsid w:val="00E94D5E"/>
    <w:rsid w:val="00EA0BF6"/>
    <w:rsid w:val="00EA17A6"/>
    <w:rsid w:val="00EA3EDF"/>
    <w:rsid w:val="00EA6437"/>
    <w:rsid w:val="00EA7100"/>
    <w:rsid w:val="00EA7F9F"/>
    <w:rsid w:val="00EB0E70"/>
    <w:rsid w:val="00EB1274"/>
    <w:rsid w:val="00EC4757"/>
    <w:rsid w:val="00EC7D03"/>
    <w:rsid w:val="00EC7EDB"/>
    <w:rsid w:val="00ED14FB"/>
    <w:rsid w:val="00ED2BB6"/>
    <w:rsid w:val="00ED34E1"/>
    <w:rsid w:val="00ED3B8D"/>
    <w:rsid w:val="00ED796D"/>
    <w:rsid w:val="00ED7ACD"/>
    <w:rsid w:val="00EE2CEA"/>
    <w:rsid w:val="00EF085C"/>
    <w:rsid w:val="00EF15D3"/>
    <w:rsid w:val="00EF2E3A"/>
    <w:rsid w:val="00EF5B2C"/>
    <w:rsid w:val="00F02EF9"/>
    <w:rsid w:val="00F03BB5"/>
    <w:rsid w:val="00F047D8"/>
    <w:rsid w:val="00F072A7"/>
    <w:rsid w:val="00F078DC"/>
    <w:rsid w:val="00F14593"/>
    <w:rsid w:val="00F169C2"/>
    <w:rsid w:val="00F171A1"/>
    <w:rsid w:val="00F235A6"/>
    <w:rsid w:val="00F32BA8"/>
    <w:rsid w:val="00F349F1"/>
    <w:rsid w:val="00F35800"/>
    <w:rsid w:val="00F4215A"/>
    <w:rsid w:val="00F4350D"/>
    <w:rsid w:val="00F4645A"/>
    <w:rsid w:val="00F50532"/>
    <w:rsid w:val="00F567F7"/>
    <w:rsid w:val="00F61B09"/>
    <w:rsid w:val="00F62036"/>
    <w:rsid w:val="00F65B52"/>
    <w:rsid w:val="00F67BCA"/>
    <w:rsid w:val="00F73BD6"/>
    <w:rsid w:val="00F744A3"/>
    <w:rsid w:val="00F800C9"/>
    <w:rsid w:val="00F83989"/>
    <w:rsid w:val="00F85099"/>
    <w:rsid w:val="00F9379C"/>
    <w:rsid w:val="00F9632C"/>
    <w:rsid w:val="00FA1893"/>
    <w:rsid w:val="00FA1E52"/>
    <w:rsid w:val="00FA31DE"/>
    <w:rsid w:val="00FA7D17"/>
    <w:rsid w:val="00FB5781"/>
    <w:rsid w:val="00FC3EB8"/>
    <w:rsid w:val="00FC7D25"/>
    <w:rsid w:val="00FD13CC"/>
    <w:rsid w:val="00FE2FB8"/>
    <w:rsid w:val="00FE4688"/>
    <w:rsid w:val="00FE72D6"/>
    <w:rsid w:val="00FE79D0"/>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65CD"/>
    <w:pPr>
      <w:spacing w:line="260" w:lineRule="atLeast"/>
    </w:pPr>
    <w:rPr>
      <w:sz w:val="22"/>
      <w:lang w:val="en-AU"/>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ListPara1">
    <w:name w:val="List Para 1"/>
    <w:basedOn w:val="Normal"/>
    <w:uiPriority w:val="4"/>
    <w:qFormat/>
    <w:rsid w:val="00175B9F"/>
    <w:pPr>
      <w:spacing w:after="200" w:line="276" w:lineRule="auto"/>
      <w:ind w:left="680" w:hanging="340"/>
    </w:pPr>
    <w:rPr>
      <w:rFonts w:ascii="Century Gothic" w:eastAsia="Times New Roman" w:hAnsi="Century Gothic" w:cs="Arial"/>
      <w:szCs w:val="22"/>
      <w:lang w:val="en-US" w:eastAsia="en-AU"/>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tPara2">
    <w:name w:val="List Para 2"/>
    <w:basedOn w:val="Normal"/>
    <w:link w:val="ListPara2Char"/>
    <w:qFormat/>
    <w:rsid w:val="00175B9F"/>
    <w:pPr>
      <w:spacing w:after="160" w:line="259" w:lineRule="auto"/>
      <w:ind w:left="1134" w:hanging="454"/>
    </w:pPr>
    <w:rPr>
      <w:rFonts w:ascii="Century Gothic" w:hAnsi="Century Gothic"/>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tPara2Char">
    <w:name w:val="List Para 2 Char"/>
    <w:link w:val="ListPara2"/>
    <w:rsid w:val="00175B9F"/>
    <w:rPr>
      <w:rFonts w:ascii="Century Gothic" w:hAnsi="Century Gothic"/>
      <w:sz w:val="22"/>
      <w:lang w:eastAsia="en-US"/>
    </w:rPr>
  </w:style>
  <w:style w:type="character" w:customStyle="1" w:styleId="LI-SubtitleChar">
    <w:name w:val="LI - Subtitle Char"/>
    <w:link w:val="LI-Subtitle"/>
    <w:rsid w:val="00243EC0"/>
    <w:rPr>
      <w:b/>
      <w:sz w:val="28"/>
      <w:szCs w:val="28"/>
    </w:rPr>
  </w:style>
  <w:style w:type="character" w:styleId="FollowedHyperlink">
    <w:name w:val="FollowedHyperlink"/>
    <w:uiPriority w:val="99"/>
    <w:semiHidden/>
    <w:unhideWhenUsed/>
    <w:rsid w:val="00162D92"/>
    <w:rPr>
      <w:color w:val="954F72"/>
      <w:u w:val="single"/>
    </w:rPr>
  </w:style>
  <w:style w:type="paragraph" w:customStyle="1" w:styleId="Fronttext">
    <w:name w:val="Front text"/>
    <w:basedOn w:val="Normal"/>
    <w:rsid w:val="00ED7ACD"/>
    <w:pPr>
      <w:spacing w:before="200"/>
      <w:ind w:left="2268"/>
    </w:pPr>
    <w:rPr>
      <w:rFonts w:ascii="Arial" w:eastAsia="Times New Roman" w:hAnsi="Arial" w:cs="Arial"/>
      <w:sz w:val="20"/>
      <w:lang w:eastAsia="en-AU"/>
    </w:rPr>
  </w:style>
  <w:style w:type="paragraph" w:customStyle="1" w:styleId="Frontbullet">
    <w:name w:val="Front bullet"/>
    <w:basedOn w:val="Fronttext"/>
    <w:rsid w:val="00ED7ACD"/>
    <w:pPr>
      <w:numPr>
        <w:ilvl w:val="5"/>
        <w:numId w:val="22"/>
      </w:numPr>
      <w:spacing w:before="120"/>
    </w:pPr>
  </w:style>
  <w:style w:type="paragraph" w:styleId="Revision">
    <w:name w:val="Revision"/>
    <w:hidden/>
    <w:uiPriority w:val="99"/>
    <w:semiHidden/>
    <w:rsid w:val="00D11EA8"/>
    <w:rPr>
      <w:sz w:val="22"/>
      <w:lang w:val="en-AU"/>
    </w:rPr>
  </w:style>
  <w:style w:type="character" w:styleId="UnresolvedMention">
    <w:name w:val="Unresolved Mention"/>
    <w:uiPriority w:val="99"/>
    <w:semiHidden/>
    <w:unhideWhenUsed/>
    <w:rsid w:val="00D11EA8"/>
    <w:rPr>
      <w:color w:val="605E5C"/>
      <w:shd w:val="clear" w:color="auto" w:fill="E1DFDD"/>
    </w:rPr>
  </w:style>
  <w:style w:type="paragraph" w:styleId="ListParagraph">
    <w:name w:val="List Paragraph"/>
    <w:basedOn w:val="Normal"/>
    <w:uiPriority w:val="34"/>
    <w:qFormat/>
    <w:rsid w:val="00AA1285"/>
    <w:pPr>
      <w:spacing w:line="240" w:lineRule="auto"/>
      <w:ind w:left="720"/>
    </w:pPr>
    <w:rPr>
      <w:rFonts w:ascii="Calibri" w:hAnsi="Calibri" w:cs="Calibri"/>
      <w:szCs w:val="22"/>
    </w:rPr>
  </w:style>
  <w:style w:type="paragraph" w:styleId="NormalWeb">
    <w:name w:val="Normal (Web)"/>
    <w:basedOn w:val="Normal"/>
    <w:uiPriority w:val="99"/>
    <w:semiHidden/>
    <w:unhideWhenUsed/>
    <w:rsid w:val="00FF6801"/>
    <w:pPr>
      <w:spacing w:before="100" w:beforeAutospacing="1" w:after="100" w:afterAutospacing="1" w:line="240" w:lineRule="auto"/>
    </w:pPr>
    <w:rPr>
      <w:rFonts w:eastAsia="Times New Roman"/>
      <w:sz w:val="24"/>
      <w:szCs w:val="24"/>
      <w:lang w:eastAsia="en-AU"/>
    </w:rPr>
  </w:style>
  <w:style w:type="paragraph" w:customStyle="1" w:styleId="subsection">
    <w:name w:val="subsection"/>
    <w:basedOn w:val="Normal"/>
    <w:rsid w:val="00BE2694"/>
    <w:pPr>
      <w:spacing w:before="100" w:beforeAutospacing="1" w:after="100" w:afterAutospacing="1" w:line="240" w:lineRule="auto"/>
    </w:pPr>
    <w:rPr>
      <w:rFonts w:eastAsia="Times New Roman"/>
      <w:sz w:val="24"/>
      <w:szCs w:val="24"/>
      <w:lang w:eastAsia="en-AU"/>
    </w:rPr>
  </w:style>
  <w:style w:type="paragraph" w:customStyle="1" w:styleId="paragraph">
    <w:name w:val="paragraph"/>
    <w:basedOn w:val="Normal"/>
    <w:rsid w:val="00BE2694"/>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381174586">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76427429">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08875334">
      <w:bodyDiv w:val="1"/>
      <w:marLeft w:val="0"/>
      <w:marRight w:val="0"/>
      <w:marTop w:val="0"/>
      <w:marBottom w:val="0"/>
      <w:divBdr>
        <w:top w:val="none" w:sz="0" w:space="0" w:color="auto"/>
        <w:left w:val="none" w:sz="0" w:space="0" w:color="auto"/>
        <w:bottom w:val="none" w:sz="0" w:space="0" w:color="auto"/>
        <w:right w:val="none" w:sz="0" w:space="0" w:color="auto"/>
      </w:divBdr>
    </w:div>
    <w:div w:id="1128087712">
      <w:bodyDiv w:val="1"/>
      <w:marLeft w:val="0"/>
      <w:marRight w:val="0"/>
      <w:marTop w:val="0"/>
      <w:marBottom w:val="0"/>
      <w:divBdr>
        <w:top w:val="none" w:sz="0" w:space="0" w:color="auto"/>
        <w:left w:val="none" w:sz="0" w:space="0" w:color="auto"/>
        <w:bottom w:val="none" w:sz="0" w:space="0" w:color="auto"/>
        <w:right w:val="none" w:sz="0" w:space="0" w:color="auto"/>
      </w:divBdr>
      <w:divsChild>
        <w:div w:id="1311209759">
          <w:marLeft w:val="0"/>
          <w:marRight w:val="0"/>
          <w:marTop w:val="0"/>
          <w:marBottom w:val="0"/>
          <w:divBdr>
            <w:top w:val="none" w:sz="0" w:space="0" w:color="auto"/>
            <w:left w:val="none" w:sz="0" w:space="0" w:color="auto"/>
            <w:bottom w:val="none" w:sz="0" w:space="0" w:color="auto"/>
            <w:right w:val="none" w:sz="0" w:space="0" w:color="auto"/>
          </w:divBdr>
          <w:divsChild>
            <w:div w:id="293633532">
              <w:marLeft w:val="0"/>
              <w:marRight w:val="0"/>
              <w:marTop w:val="0"/>
              <w:marBottom w:val="0"/>
              <w:divBdr>
                <w:top w:val="none" w:sz="0" w:space="0" w:color="auto"/>
                <w:left w:val="none" w:sz="0" w:space="0" w:color="auto"/>
                <w:bottom w:val="none" w:sz="0" w:space="0" w:color="auto"/>
                <w:right w:val="none" w:sz="0" w:space="0" w:color="auto"/>
              </w:divBdr>
              <w:divsChild>
                <w:div w:id="798189172">
                  <w:marLeft w:val="0"/>
                  <w:marRight w:val="0"/>
                  <w:marTop w:val="0"/>
                  <w:marBottom w:val="0"/>
                  <w:divBdr>
                    <w:top w:val="none" w:sz="0" w:space="0" w:color="auto"/>
                    <w:left w:val="none" w:sz="0" w:space="0" w:color="auto"/>
                    <w:bottom w:val="none" w:sz="0" w:space="0" w:color="auto"/>
                    <w:right w:val="none" w:sz="0" w:space="0" w:color="auto"/>
                  </w:divBdr>
                  <w:divsChild>
                    <w:div w:id="700400993">
                      <w:marLeft w:val="0"/>
                      <w:marRight w:val="0"/>
                      <w:marTop w:val="0"/>
                      <w:marBottom w:val="0"/>
                      <w:divBdr>
                        <w:top w:val="none" w:sz="0" w:space="0" w:color="auto"/>
                        <w:left w:val="none" w:sz="0" w:space="0" w:color="auto"/>
                        <w:bottom w:val="none" w:sz="0" w:space="0" w:color="auto"/>
                        <w:right w:val="none" w:sz="0" w:space="0" w:color="auto"/>
                      </w:divBdr>
                      <w:divsChild>
                        <w:div w:id="156582494">
                          <w:marLeft w:val="0"/>
                          <w:marRight w:val="0"/>
                          <w:marTop w:val="0"/>
                          <w:marBottom w:val="0"/>
                          <w:divBdr>
                            <w:top w:val="none" w:sz="0" w:space="0" w:color="auto"/>
                            <w:left w:val="none" w:sz="0" w:space="0" w:color="auto"/>
                            <w:bottom w:val="none" w:sz="0" w:space="0" w:color="auto"/>
                            <w:right w:val="none" w:sz="0" w:space="0" w:color="auto"/>
                          </w:divBdr>
                          <w:divsChild>
                            <w:div w:id="544484165">
                              <w:marLeft w:val="0"/>
                              <w:marRight w:val="0"/>
                              <w:marTop w:val="0"/>
                              <w:marBottom w:val="0"/>
                              <w:divBdr>
                                <w:top w:val="none" w:sz="0" w:space="0" w:color="auto"/>
                                <w:left w:val="none" w:sz="0" w:space="0" w:color="auto"/>
                                <w:bottom w:val="none" w:sz="0" w:space="0" w:color="auto"/>
                                <w:right w:val="none" w:sz="0" w:space="0" w:color="auto"/>
                              </w:divBdr>
                              <w:divsChild>
                                <w:div w:id="770668640">
                                  <w:marLeft w:val="0"/>
                                  <w:marRight w:val="0"/>
                                  <w:marTop w:val="0"/>
                                  <w:marBottom w:val="0"/>
                                  <w:divBdr>
                                    <w:top w:val="none" w:sz="0" w:space="0" w:color="auto"/>
                                    <w:left w:val="none" w:sz="0" w:space="0" w:color="auto"/>
                                    <w:bottom w:val="none" w:sz="0" w:space="0" w:color="auto"/>
                                    <w:right w:val="none" w:sz="0" w:space="0" w:color="auto"/>
                                  </w:divBdr>
                                  <w:divsChild>
                                    <w:div w:id="500966741">
                                      <w:marLeft w:val="0"/>
                                      <w:marRight w:val="0"/>
                                      <w:marTop w:val="0"/>
                                      <w:marBottom w:val="0"/>
                                      <w:divBdr>
                                        <w:top w:val="none" w:sz="0" w:space="0" w:color="auto"/>
                                        <w:left w:val="none" w:sz="0" w:space="0" w:color="auto"/>
                                        <w:bottom w:val="none" w:sz="0" w:space="0" w:color="auto"/>
                                        <w:right w:val="none" w:sz="0" w:space="0" w:color="auto"/>
                                      </w:divBdr>
                                      <w:divsChild>
                                        <w:div w:id="1063480018">
                                          <w:marLeft w:val="0"/>
                                          <w:marRight w:val="0"/>
                                          <w:marTop w:val="0"/>
                                          <w:marBottom w:val="0"/>
                                          <w:divBdr>
                                            <w:top w:val="none" w:sz="0" w:space="0" w:color="auto"/>
                                            <w:left w:val="none" w:sz="0" w:space="0" w:color="auto"/>
                                            <w:bottom w:val="none" w:sz="0" w:space="0" w:color="auto"/>
                                            <w:right w:val="none" w:sz="0" w:space="0" w:color="auto"/>
                                          </w:divBdr>
                                          <w:divsChild>
                                            <w:div w:id="526528934">
                                              <w:marLeft w:val="0"/>
                                              <w:marRight w:val="0"/>
                                              <w:marTop w:val="0"/>
                                              <w:marBottom w:val="0"/>
                                              <w:divBdr>
                                                <w:top w:val="none" w:sz="0" w:space="0" w:color="auto"/>
                                                <w:left w:val="none" w:sz="0" w:space="0" w:color="auto"/>
                                                <w:bottom w:val="none" w:sz="0" w:space="0" w:color="auto"/>
                                                <w:right w:val="none" w:sz="0" w:space="0" w:color="auto"/>
                                              </w:divBdr>
                                              <w:divsChild>
                                                <w:div w:id="549151765">
                                                  <w:marLeft w:val="0"/>
                                                  <w:marRight w:val="0"/>
                                                  <w:marTop w:val="0"/>
                                                  <w:marBottom w:val="0"/>
                                                  <w:divBdr>
                                                    <w:top w:val="none" w:sz="0" w:space="0" w:color="auto"/>
                                                    <w:left w:val="none" w:sz="0" w:space="0" w:color="auto"/>
                                                    <w:bottom w:val="none" w:sz="0" w:space="0" w:color="auto"/>
                                                    <w:right w:val="none" w:sz="0" w:space="0" w:color="auto"/>
                                                  </w:divBdr>
                                                  <w:divsChild>
                                                    <w:div w:id="1795831215">
                                                      <w:marLeft w:val="0"/>
                                                      <w:marRight w:val="0"/>
                                                      <w:marTop w:val="0"/>
                                                      <w:marBottom w:val="0"/>
                                                      <w:divBdr>
                                                        <w:top w:val="none" w:sz="0" w:space="0" w:color="auto"/>
                                                        <w:left w:val="none" w:sz="0" w:space="0" w:color="auto"/>
                                                        <w:bottom w:val="none" w:sz="0" w:space="0" w:color="auto"/>
                                                        <w:right w:val="none" w:sz="0" w:space="0" w:color="auto"/>
                                                      </w:divBdr>
                                                      <w:divsChild>
                                                        <w:div w:id="8821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34382869">
      <w:bodyDiv w:val="1"/>
      <w:marLeft w:val="0"/>
      <w:marRight w:val="0"/>
      <w:marTop w:val="0"/>
      <w:marBottom w:val="0"/>
      <w:divBdr>
        <w:top w:val="none" w:sz="0" w:space="0" w:color="auto"/>
        <w:left w:val="none" w:sz="0" w:space="0" w:color="auto"/>
        <w:bottom w:val="none" w:sz="0" w:space="0" w:color="auto"/>
        <w:right w:val="none" w:sz="0" w:space="0" w:color="auto"/>
      </w:divBdr>
    </w:div>
    <w:div w:id="1528636440">
      <w:bodyDiv w:val="1"/>
      <w:marLeft w:val="0"/>
      <w:marRight w:val="0"/>
      <w:marTop w:val="0"/>
      <w:marBottom w:val="0"/>
      <w:divBdr>
        <w:top w:val="none" w:sz="0" w:space="0" w:color="auto"/>
        <w:left w:val="none" w:sz="0" w:space="0" w:color="auto"/>
        <w:bottom w:val="none" w:sz="0" w:space="0" w:color="auto"/>
        <w:right w:val="none" w:sz="0" w:space="0" w:color="auto"/>
      </w:divBdr>
    </w:div>
    <w:div w:id="1613895301">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14005218">
      <w:bodyDiv w:val="1"/>
      <w:marLeft w:val="0"/>
      <w:marRight w:val="0"/>
      <w:marTop w:val="0"/>
      <w:marBottom w:val="0"/>
      <w:divBdr>
        <w:top w:val="none" w:sz="0" w:space="0" w:color="auto"/>
        <w:left w:val="none" w:sz="0" w:space="0" w:color="auto"/>
        <w:bottom w:val="none" w:sz="0" w:space="0" w:color="auto"/>
        <w:right w:val="none" w:sz="0" w:space="0" w:color="auto"/>
      </w:divBdr>
    </w:div>
    <w:div w:id="19711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s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61D5-C992-4AB0-B736-7A9AF8E7F0BD}">
  <ds:schemaRefs>
    <ds:schemaRef ds:uri="http://schemas.microsoft.com/office/2006/metadata/longProperties"/>
  </ds:schemaRefs>
</ds:datastoreItem>
</file>

<file path=customXml/itemProps2.xml><?xml version="1.0" encoding="utf-8"?>
<ds:datastoreItem xmlns:ds="http://schemas.openxmlformats.org/officeDocument/2006/customXml" ds:itemID="{290D6FA7-D12F-4A42-8C86-5EC0C131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7425</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Base/>
  <HLinks>
    <vt:vector size="6" baseType="variant">
      <vt:variant>
        <vt:i4>3735600</vt:i4>
      </vt:variant>
      <vt:variant>
        <vt:i4>0</vt:i4>
      </vt:variant>
      <vt:variant>
        <vt:i4>0</vt:i4>
      </vt:variant>
      <vt:variant>
        <vt:i4>5</vt:i4>
      </vt:variant>
      <vt:variant>
        <vt:lpwstr>http://www.asic.gov.au/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2023-10-15T22:44:00Z</dcterms:created>
  <dcterms:modified xsi:type="dcterms:W3CDTF">2023-10-15T22:44:00Z</dcterms:modified>
  <dc:language/>
  <cp:version/>
</cp:coreProperties>
</file>