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8265FD" w:rsidRDefault="002768B0" w:rsidP="00850F56">
      <w:pPr>
        <w:spacing w:after="600"/>
        <w:rPr>
          <w:sz w:val="28"/>
        </w:rPr>
      </w:pPr>
      <w:r w:rsidRPr="008265FD">
        <w:rPr>
          <w:noProof/>
        </w:rPr>
        <w:drawing>
          <wp:inline distT="0" distB="0" distL="0" distR="0">
            <wp:extent cx="3542030" cy="756285"/>
            <wp:effectExtent l="0" t="0" r="0" b="0"/>
            <wp:docPr id="2" name="Picture 2" descr="Commonwealth Coat of Arms of Australia and ASIC logo a diamond with a black border and 3 blue columns in descending size and a corner blue arrow on top of the 2 smaller columns.  Text ASIC and underneath Australia Securities &amp; Investment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EC0" w:rsidRPr="008265FD" w:rsidRDefault="00447DB4" w:rsidP="00B16067">
      <w:pPr>
        <w:pStyle w:val="LI-Title"/>
        <w:pBdr>
          <w:bottom w:val="single" w:sz="4" w:space="1" w:color="auto"/>
        </w:pBdr>
      </w:pPr>
      <w:r w:rsidRPr="008265FD">
        <w:t>A</w:t>
      </w:r>
      <w:r w:rsidR="00327DDF" w:rsidRPr="008265FD">
        <w:t xml:space="preserve">SIC </w:t>
      </w:r>
      <w:r w:rsidR="00B55975" w:rsidRPr="008265FD">
        <w:t>Corporations</w:t>
      </w:r>
      <w:r w:rsidR="00327DDF" w:rsidRPr="008265FD">
        <w:t xml:space="preserve"> </w:t>
      </w:r>
      <w:r w:rsidR="00C11452" w:rsidRPr="008265FD">
        <w:t>(</w:t>
      </w:r>
      <w:r w:rsidR="00DA41D5" w:rsidRPr="008265FD">
        <w:t>Re</w:t>
      </w:r>
      <w:r w:rsidR="00C02D44" w:rsidRPr="008265FD">
        <w:t>peal</w:t>
      </w:r>
      <w:r w:rsidR="00C11452" w:rsidRPr="008265FD">
        <w:t xml:space="preserve">) Instrument </w:t>
      </w:r>
      <w:r w:rsidR="00620214" w:rsidRPr="008265FD">
        <w:t>2022</w:t>
      </w:r>
      <w:r w:rsidR="00132B7B" w:rsidRPr="008265FD">
        <w:t>/</w:t>
      </w:r>
      <w:r w:rsidR="00986F31" w:rsidRPr="008265FD">
        <w:t>499</w:t>
      </w:r>
    </w:p>
    <w:p w:rsidR="00F171A1" w:rsidRPr="008265FD" w:rsidRDefault="00F171A1" w:rsidP="00005446">
      <w:pPr>
        <w:pStyle w:val="LI-Fronttext"/>
        <w:rPr>
          <w:sz w:val="24"/>
          <w:szCs w:val="24"/>
        </w:rPr>
      </w:pPr>
      <w:r w:rsidRPr="008265FD">
        <w:rPr>
          <w:sz w:val="24"/>
          <w:szCs w:val="24"/>
        </w:rPr>
        <w:t xml:space="preserve">I, </w:t>
      </w:r>
      <w:r w:rsidR="00B8489D" w:rsidRPr="008265FD">
        <w:rPr>
          <w:sz w:val="24"/>
          <w:szCs w:val="24"/>
        </w:rPr>
        <w:t>Jane Eccleston</w:t>
      </w:r>
      <w:r w:rsidR="00C0544A" w:rsidRPr="008265FD">
        <w:rPr>
          <w:sz w:val="24"/>
          <w:szCs w:val="24"/>
        </w:rPr>
        <w:t>, delegate of the Australian Securities and Investments Commission</w:t>
      </w:r>
      <w:r w:rsidRPr="008265FD">
        <w:rPr>
          <w:sz w:val="24"/>
          <w:szCs w:val="24"/>
        </w:rPr>
        <w:t xml:space="preserve">, make the following </w:t>
      </w:r>
      <w:r w:rsidR="008C0F29" w:rsidRPr="008265FD">
        <w:rPr>
          <w:sz w:val="24"/>
          <w:szCs w:val="24"/>
        </w:rPr>
        <w:t>legislative instrument</w:t>
      </w:r>
      <w:r w:rsidRPr="008265FD">
        <w:rPr>
          <w:sz w:val="24"/>
          <w:szCs w:val="24"/>
        </w:rPr>
        <w:t>.</w:t>
      </w:r>
    </w:p>
    <w:p w:rsidR="003A2A48" w:rsidRPr="008265FD" w:rsidRDefault="003A2A48" w:rsidP="00005446">
      <w:pPr>
        <w:pStyle w:val="LI-Fronttext"/>
      </w:pPr>
    </w:p>
    <w:p w:rsidR="00C22264" w:rsidRPr="008265FD" w:rsidRDefault="00F171A1" w:rsidP="00E5237D">
      <w:pPr>
        <w:pStyle w:val="LI-Fronttext"/>
        <w:rPr>
          <w:sz w:val="24"/>
          <w:szCs w:val="24"/>
        </w:rPr>
      </w:pPr>
      <w:r w:rsidRPr="008265FD">
        <w:rPr>
          <w:sz w:val="24"/>
          <w:szCs w:val="24"/>
        </w:rPr>
        <w:t>Date</w:t>
      </w:r>
      <w:r w:rsidRPr="008265FD">
        <w:rPr>
          <w:sz w:val="24"/>
          <w:szCs w:val="24"/>
        </w:rPr>
        <w:tab/>
      </w:r>
      <w:r w:rsidR="00123FD6" w:rsidRPr="008265FD">
        <w:rPr>
          <w:sz w:val="24"/>
          <w:szCs w:val="24"/>
        </w:rPr>
        <w:t>9</w:t>
      </w:r>
      <w:r w:rsidR="00D34132" w:rsidRPr="008265FD">
        <w:rPr>
          <w:sz w:val="24"/>
          <w:szCs w:val="24"/>
        </w:rPr>
        <w:t xml:space="preserve"> June</w:t>
      </w:r>
      <w:r w:rsidRPr="008265FD">
        <w:rPr>
          <w:sz w:val="24"/>
          <w:szCs w:val="24"/>
        </w:rPr>
        <w:tab/>
      </w:r>
      <w:bookmarkStart w:id="0" w:name="BKCheck15B_1"/>
      <w:bookmarkEnd w:id="0"/>
      <w:r w:rsidR="00255007" w:rsidRPr="008265FD">
        <w:rPr>
          <w:sz w:val="24"/>
          <w:szCs w:val="24"/>
        </w:rPr>
        <w:t>20</w:t>
      </w:r>
      <w:r w:rsidR="00620214" w:rsidRPr="008265FD">
        <w:rPr>
          <w:sz w:val="24"/>
          <w:szCs w:val="24"/>
        </w:rPr>
        <w:t>22</w:t>
      </w:r>
    </w:p>
    <w:p w:rsidR="0008672E" w:rsidRPr="008265FD" w:rsidRDefault="0008672E" w:rsidP="0008672E">
      <w:pPr>
        <w:rPr>
          <w:lang w:eastAsia="en-AU"/>
        </w:rPr>
      </w:pPr>
    </w:p>
    <w:p w:rsidR="00C22264" w:rsidRPr="008265FD" w:rsidRDefault="00C22264" w:rsidP="00C22264">
      <w:pPr>
        <w:rPr>
          <w:color w:val="FF0000"/>
          <w:lang w:eastAsia="en-AU"/>
        </w:rPr>
      </w:pPr>
    </w:p>
    <w:p w:rsidR="00F171A1" w:rsidRPr="00BB5C17" w:rsidRDefault="00B8489D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265FD">
        <w:rPr>
          <w:sz w:val="24"/>
          <w:szCs w:val="24"/>
        </w:rPr>
        <w:t>Jane Eccleston</w:t>
      </w:r>
      <w:bookmarkStart w:id="1" w:name="_GoBack"/>
      <w:bookmarkEnd w:id="1"/>
    </w:p>
    <w:p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:rsidR="00715914" w:rsidRPr="00F61B09" w:rsidRDefault="00715914" w:rsidP="00715914">
      <w:pPr>
        <w:sectPr w:rsidR="00715914" w:rsidRPr="00F61B09" w:rsidSect="008945E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:rsidR="00123FD6" w:rsidRPr="00F53890" w:rsidRDefault="003708CA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05599799" w:history="1">
        <w:r w:rsidR="00123FD6" w:rsidRPr="00420EC0">
          <w:rPr>
            <w:rStyle w:val="Hyperlink"/>
            <w:noProof/>
          </w:rPr>
          <w:t>Part 1—Preliminary</w:t>
        </w:r>
        <w:r w:rsidR="00123FD6">
          <w:rPr>
            <w:noProof/>
            <w:webHidden/>
          </w:rPr>
          <w:tab/>
        </w:r>
        <w:r w:rsidR="00123FD6">
          <w:rPr>
            <w:noProof/>
            <w:webHidden/>
          </w:rPr>
          <w:fldChar w:fldCharType="begin"/>
        </w:r>
        <w:r w:rsidR="00123FD6">
          <w:rPr>
            <w:noProof/>
            <w:webHidden/>
          </w:rPr>
          <w:instrText xml:space="preserve"> PAGEREF _Toc105599799 \h </w:instrText>
        </w:r>
        <w:r w:rsidR="00123FD6">
          <w:rPr>
            <w:noProof/>
            <w:webHidden/>
          </w:rPr>
        </w:r>
        <w:r w:rsidR="00123FD6">
          <w:rPr>
            <w:noProof/>
            <w:webHidden/>
          </w:rPr>
          <w:fldChar w:fldCharType="separate"/>
        </w:r>
        <w:r w:rsidR="00123FD6">
          <w:rPr>
            <w:noProof/>
            <w:webHidden/>
          </w:rPr>
          <w:t>3</w:t>
        </w:r>
        <w:r w:rsidR="00123FD6"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05599800" w:history="1">
        <w:r w:rsidRPr="00420EC0">
          <w:rPr>
            <w:rStyle w:val="Hyperlink"/>
            <w:noProof/>
          </w:rPr>
          <w:t>1</w:t>
        </w:r>
        <w:r w:rsidRPr="00F53890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20EC0">
          <w:rPr>
            <w:rStyle w:val="Hyperlink"/>
            <w:noProof/>
          </w:rPr>
          <w:t>Name of legislative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05599801" w:history="1">
        <w:r w:rsidRPr="00420EC0">
          <w:rPr>
            <w:rStyle w:val="Hyperlink"/>
            <w:noProof/>
          </w:rPr>
          <w:t>2</w:t>
        </w:r>
        <w:r w:rsidRPr="00F53890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20EC0">
          <w:rPr>
            <w:rStyle w:val="Hyperlink"/>
            <w:noProof/>
          </w:rPr>
          <w:t>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05599802" w:history="1">
        <w:r w:rsidRPr="00420EC0">
          <w:rPr>
            <w:rStyle w:val="Hyperlink"/>
            <w:noProof/>
          </w:rPr>
          <w:t>3</w:t>
        </w:r>
        <w:r w:rsidRPr="00F53890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20EC0">
          <w:rPr>
            <w:rStyle w:val="Hyperlink"/>
            <w:noProof/>
          </w:rPr>
          <w:t>Authority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05599803" w:history="1">
        <w:r w:rsidRPr="00420EC0">
          <w:rPr>
            <w:rStyle w:val="Hyperlink"/>
            <w:noProof/>
          </w:rPr>
          <w:t>4</w:t>
        </w:r>
        <w:r w:rsidRPr="00F53890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20EC0">
          <w:rPr>
            <w:rStyle w:val="Hyperlink"/>
            <w:noProof/>
          </w:rPr>
          <w:t>Schedules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05599804" w:history="1">
        <w:r w:rsidRPr="00420EC0">
          <w:rPr>
            <w:rStyle w:val="Hyperlink"/>
            <w:noProof/>
          </w:rPr>
          <w:t>5</w:t>
        </w:r>
        <w:r w:rsidRPr="00F53890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20EC0">
          <w:rPr>
            <w:rStyle w:val="Hyperlink"/>
            <w:noProof/>
          </w:rPr>
          <w:t>Repeal of amending and repealing instruments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105599805" w:history="1">
        <w:r w:rsidRPr="00420EC0">
          <w:rPr>
            <w:rStyle w:val="Hyperlink"/>
            <w:noProof/>
          </w:rPr>
          <w:t>Schedule 1—Repeals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06" w:history="1">
        <w:r w:rsidRPr="00420EC0">
          <w:rPr>
            <w:rStyle w:val="Hyperlink"/>
            <w:noProof/>
          </w:rPr>
          <w:t>ASIC Class Order [CO 10/630]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07" w:history="1">
        <w:r w:rsidRPr="00420EC0">
          <w:rPr>
            <w:rStyle w:val="Hyperlink"/>
            <w:noProof/>
          </w:rPr>
          <w:t>ASIC Class Order [CO 12/415]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08" w:history="1">
        <w:r w:rsidRPr="00420EC0">
          <w:rPr>
            <w:rStyle w:val="Hyperlink"/>
            <w:noProof/>
          </w:rPr>
          <w:t>ASIC Class Order [CO 12/417]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09" w:history="1">
        <w:r w:rsidRPr="00420EC0">
          <w:rPr>
            <w:rStyle w:val="Hyperlink"/>
            <w:noProof/>
          </w:rPr>
          <w:t>ASIC Class Order [CO 12/574]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0" w:history="1">
        <w:r w:rsidRPr="00420EC0">
          <w:rPr>
            <w:rStyle w:val="Hyperlink"/>
            <w:noProof/>
          </w:rPr>
          <w:t>ASIC Class Order [CO 12/749]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1" w:history="1">
        <w:r w:rsidRPr="00420EC0">
          <w:rPr>
            <w:rStyle w:val="Hyperlink"/>
            <w:noProof/>
          </w:rPr>
          <w:t>ASIC Class Order [CO 12/794]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2" w:history="1">
        <w:r w:rsidRPr="00420EC0">
          <w:rPr>
            <w:rStyle w:val="Hyperlink"/>
            <w:noProof/>
          </w:rPr>
          <w:t>ASIC Class Order [CO 13/797]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3" w:history="1">
        <w:r w:rsidRPr="00420EC0">
          <w:rPr>
            <w:rStyle w:val="Hyperlink"/>
            <w:noProof/>
          </w:rPr>
          <w:t>ASIC Class Order [CO 13/1534]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4" w:history="1">
        <w:r w:rsidRPr="00420EC0">
          <w:rPr>
            <w:rStyle w:val="Hyperlink"/>
            <w:noProof/>
          </w:rPr>
          <w:t>ASIC Class Order [CO 14/443]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5" w:history="1">
        <w:r w:rsidRPr="00420EC0">
          <w:rPr>
            <w:rStyle w:val="Hyperlink"/>
            <w:i/>
            <w:iCs/>
            <w:noProof/>
          </w:rPr>
          <w:t>ASIC Corporations (AFSL Audit Opinion) Instrument 2015/586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3FD6" w:rsidRPr="00F53890" w:rsidRDefault="00123FD6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05599816" w:history="1">
        <w:r w:rsidRPr="00420EC0">
          <w:rPr>
            <w:rStyle w:val="Hyperlink"/>
            <w:i/>
            <w:iCs/>
            <w:noProof/>
          </w:rPr>
          <w:t>ASIC Corporations (Superannuation: Investment Strategies) Instrument 2016/65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_Toc105599816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:rsidR="00670EA1" w:rsidRPr="00F61B09" w:rsidRDefault="00670EA1" w:rsidP="00715914">
      <w:pPr>
        <w:sectPr w:rsidR="00670EA1" w:rsidRPr="00F61B09" w:rsidSect="00F4215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:rsidR="00FA31DE" w:rsidRPr="00F61B09" w:rsidRDefault="00FA31DE" w:rsidP="006554FF">
      <w:pPr>
        <w:pStyle w:val="LI-Heading1"/>
      </w:pPr>
      <w:bookmarkStart w:id="3" w:name="BK_S3P1L1C1"/>
      <w:bookmarkStart w:id="4" w:name="_Toc105599799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:rsidR="00FA31DE" w:rsidRDefault="00FA31DE" w:rsidP="007C6289">
      <w:pPr>
        <w:pStyle w:val="LI-Heading2"/>
        <w:rPr>
          <w:szCs w:val="24"/>
        </w:rPr>
      </w:pPr>
      <w:bookmarkStart w:id="5" w:name="_Toc10559980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842014">
        <w:rPr>
          <w:i/>
          <w:szCs w:val="24"/>
        </w:rPr>
        <w:t xml:space="preserve">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AF3934">
        <w:rPr>
          <w:i/>
          <w:szCs w:val="24"/>
        </w:rPr>
        <w:t>2022</w:t>
      </w:r>
      <w:r w:rsidR="00530968">
        <w:rPr>
          <w:i/>
          <w:szCs w:val="24"/>
        </w:rPr>
        <w:t>/</w:t>
      </w:r>
      <w:r w:rsidR="00BC246C">
        <w:rPr>
          <w:i/>
          <w:szCs w:val="24"/>
        </w:rPr>
        <w:t>499</w:t>
      </w:r>
      <w:r w:rsidR="00542BFB">
        <w:rPr>
          <w:i/>
          <w:szCs w:val="24"/>
        </w:rPr>
        <w:t>.</w:t>
      </w:r>
    </w:p>
    <w:p w:rsidR="00FA31DE" w:rsidRPr="008C0F29" w:rsidRDefault="00FA31DE" w:rsidP="00C11452">
      <w:pPr>
        <w:pStyle w:val="LI-Heading2"/>
        <w:rPr>
          <w:szCs w:val="24"/>
        </w:rPr>
      </w:pPr>
      <w:bookmarkStart w:id="6" w:name="_Toc10559980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:rsidR="00E6551D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</w:t>
      </w:r>
      <w:r w:rsidR="00E6551D">
        <w:rPr>
          <w:szCs w:val="24"/>
        </w:rPr>
        <w:t xml:space="preserve"> later of:</w:t>
      </w:r>
    </w:p>
    <w:p w:rsidR="00E6551D" w:rsidRDefault="00E6551D" w:rsidP="00E6551D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(a)</w:t>
      </w:r>
      <w:r w:rsidR="00FA31DE" w:rsidRPr="008C0F29">
        <w:rPr>
          <w:szCs w:val="24"/>
        </w:rPr>
        <w:t xml:space="preserve"> </w:t>
      </w:r>
      <w:r>
        <w:rPr>
          <w:szCs w:val="24"/>
        </w:rPr>
        <w:tab/>
        <w:t xml:space="preserve">the </w:t>
      </w:r>
      <w:r w:rsidR="00FA31DE" w:rsidRPr="008C0F29">
        <w:rPr>
          <w:szCs w:val="24"/>
        </w:rPr>
        <w:t xml:space="preserve">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>
        <w:rPr>
          <w:szCs w:val="24"/>
        </w:rPr>
        <w:t>; and</w:t>
      </w:r>
    </w:p>
    <w:p w:rsidR="00FA31DE" w:rsidRPr="008C0F29" w:rsidRDefault="00E6551D" w:rsidP="00E6551D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>the date of its gazettal</w:t>
      </w:r>
      <w:r w:rsidR="00FA31DE" w:rsidRPr="008C0F29">
        <w:rPr>
          <w:szCs w:val="24"/>
        </w:rPr>
        <w:t>.</w:t>
      </w:r>
    </w:p>
    <w:p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0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10559980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997B25">
        <w:rPr>
          <w:szCs w:val="24"/>
        </w:rPr>
        <w:t xml:space="preserve">paragraphs </w:t>
      </w:r>
      <w:r w:rsidR="00665F42">
        <w:rPr>
          <w:szCs w:val="24"/>
        </w:rPr>
        <w:t xml:space="preserve">911A(2)(l), </w:t>
      </w:r>
      <w:r w:rsidR="00997B25">
        <w:rPr>
          <w:szCs w:val="24"/>
        </w:rPr>
        <w:t>926A(2)(c) and 951B(1)(c) and subsection</w:t>
      </w:r>
      <w:r w:rsidR="00665F42">
        <w:rPr>
          <w:szCs w:val="24"/>
        </w:rPr>
        <w:t>s</w:t>
      </w:r>
      <w:r w:rsidR="00997B25">
        <w:rPr>
          <w:szCs w:val="24"/>
        </w:rPr>
        <w:t xml:space="preserve"> </w:t>
      </w:r>
      <w:r w:rsidR="00665F42">
        <w:rPr>
          <w:szCs w:val="24"/>
        </w:rPr>
        <w:t>741(1)</w:t>
      </w:r>
      <w:r w:rsidR="00AC6AD3">
        <w:rPr>
          <w:szCs w:val="24"/>
        </w:rPr>
        <w:t>, 992B(1)</w:t>
      </w:r>
      <w:r w:rsidR="00665F42">
        <w:rPr>
          <w:szCs w:val="24"/>
        </w:rPr>
        <w:t xml:space="preserve"> and </w:t>
      </w:r>
      <w:r w:rsidR="00997B25">
        <w:rPr>
          <w:szCs w:val="24"/>
        </w:rPr>
        <w:t>1020F(1)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997B25">
        <w:rPr>
          <w:szCs w:val="24"/>
        </w:rPr>
        <w:t xml:space="preserve">the </w:t>
      </w:r>
      <w:r w:rsidR="00997B25" w:rsidRPr="00DB39EC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:rsidR="00FA31DE" w:rsidRPr="00BB5C17" w:rsidRDefault="008C0F29" w:rsidP="007C6289">
      <w:pPr>
        <w:pStyle w:val="LI-Heading2"/>
        <w:spacing w:before="240"/>
        <w:rPr>
          <w:szCs w:val="24"/>
        </w:rPr>
      </w:pPr>
      <w:bookmarkStart w:id="8" w:name="_Toc10559980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8"/>
    </w:p>
    <w:p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:rsidR="005C1C22" w:rsidRPr="00BB5C17" w:rsidRDefault="005C1C22" w:rsidP="005C1C22">
      <w:pPr>
        <w:pStyle w:val="LI-Heading2"/>
        <w:spacing w:before="240"/>
        <w:rPr>
          <w:szCs w:val="24"/>
        </w:rPr>
      </w:pPr>
      <w:bookmarkStart w:id="9" w:name="_Toc105599804"/>
      <w:r>
        <w:rPr>
          <w:szCs w:val="24"/>
        </w:rPr>
        <w:t>5</w:t>
      </w:r>
      <w:r>
        <w:rPr>
          <w:szCs w:val="24"/>
        </w:rPr>
        <w:tab/>
        <w:t>Repeal of amending and repealing instruments</w:t>
      </w:r>
      <w:bookmarkEnd w:id="9"/>
    </w:p>
    <w:p w:rsidR="005C1C22" w:rsidRDefault="005C1C22" w:rsidP="00997B25">
      <w:pPr>
        <w:pStyle w:val="LI-BodyTextUnnumbered"/>
        <w:ind w:hanging="567"/>
      </w:pPr>
      <w:r>
        <w:t>(1)</w:t>
      </w:r>
      <w:r>
        <w:tab/>
        <w:t xml:space="preserve">The repeal of an instrument by </w:t>
      </w:r>
      <w:r w:rsidR="00BB1F09">
        <w:t>section 4</w:t>
      </w:r>
      <w:r>
        <w:t xml:space="preserve"> does not affect any amendment </w:t>
      </w:r>
      <w:r w:rsidR="002609C4">
        <w:t xml:space="preserve">to </w:t>
      </w:r>
      <w:r>
        <w:t xml:space="preserve">or repeal </w:t>
      </w:r>
      <w:r w:rsidR="002609C4">
        <w:t xml:space="preserve">of another instrument </w:t>
      </w:r>
      <w:r>
        <w:t>(however described) made by the instrument.</w:t>
      </w:r>
    </w:p>
    <w:p w:rsidR="005C1C22" w:rsidRDefault="005C1C22" w:rsidP="00997B25">
      <w:pPr>
        <w:pStyle w:val="LI-BodyTextUnnumbered"/>
        <w:ind w:hanging="567"/>
        <w:sectPr w:rsidR="005C1C22" w:rsidSect="007D230B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(2)</w:t>
      </w:r>
      <w:r>
        <w:tab/>
        <w:t>Subsection (</w:t>
      </w:r>
      <w:r w:rsidR="0082759A">
        <w:t>1</w:t>
      </w:r>
      <w:r>
        <w:t xml:space="preserve">) does not limit the effect of section 7 of the </w:t>
      </w:r>
      <w:r w:rsidRPr="005C1C22">
        <w:rPr>
          <w:i/>
        </w:rPr>
        <w:t>Acts</w:t>
      </w:r>
      <w:r>
        <w:rPr>
          <w:i/>
        </w:rPr>
        <w:t> </w:t>
      </w:r>
      <w:r w:rsidRPr="005C1C22">
        <w:rPr>
          <w:i/>
        </w:rPr>
        <w:t>Interpretation Act 1901</w:t>
      </w:r>
      <w:r>
        <w:t xml:space="preserve"> as it applies to the repeal of an instrument by </w:t>
      </w:r>
      <w:r w:rsidR="00BB1F09">
        <w:t>section 4</w:t>
      </w:r>
      <w:r w:rsidR="009232C9">
        <w:t xml:space="preserve"> of this instrument</w:t>
      </w:r>
      <w:r>
        <w:t>.</w:t>
      </w:r>
    </w:p>
    <w:p w:rsidR="00A15512" w:rsidRPr="00F61B09" w:rsidRDefault="001C7CD5" w:rsidP="006554FF">
      <w:pPr>
        <w:pStyle w:val="LI-Heading1"/>
      </w:pPr>
      <w:bookmarkStart w:id="10" w:name="_Toc105599805"/>
      <w:r>
        <w:lastRenderedPageBreak/>
        <w:t xml:space="preserve">Schedule </w:t>
      </w:r>
      <w:r w:rsidR="00D728FC">
        <w:t>1</w:t>
      </w:r>
      <w:r w:rsidR="00A15512" w:rsidRPr="006554FF">
        <w:t>—</w:t>
      </w:r>
      <w:r w:rsidR="00C02D44">
        <w:t>Repeals</w:t>
      </w:r>
      <w:bookmarkEnd w:id="10"/>
    </w:p>
    <w:p w:rsidR="00AC6AD3" w:rsidRPr="001C7CD5" w:rsidRDefault="00AC6AD3" w:rsidP="00AC6AD3">
      <w:pPr>
        <w:pStyle w:val="LI-Heading2"/>
        <w:rPr>
          <w:sz w:val="28"/>
          <w:szCs w:val="28"/>
        </w:rPr>
      </w:pPr>
      <w:bookmarkStart w:id="11" w:name="_Toc105599806"/>
      <w:r>
        <w:rPr>
          <w:sz w:val="28"/>
          <w:szCs w:val="28"/>
        </w:rPr>
        <w:t>ASIC Class Order [CO 10/630]</w:t>
      </w:r>
      <w:bookmarkEnd w:id="11"/>
    </w:p>
    <w:p w:rsidR="00AC6AD3" w:rsidRPr="001C7CD5" w:rsidRDefault="00AC6AD3" w:rsidP="006950D8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:rsidR="00AC6AD3" w:rsidRPr="00AA31C7" w:rsidRDefault="00AC6AD3" w:rsidP="00AA31C7">
      <w:pPr>
        <w:pStyle w:val="LI-BodyTextNumbered"/>
        <w:ind w:left="567" w:firstLine="0"/>
      </w:pPr>
      <w:r>
        <w:t xml:space="preserve">Repeal the instrument. </w:t>
      </w:r>
    </w:p>
    <w:p w:rsidR="00A15512" w:rsidRPr="001C7CD5" w:rsidRDefault="00842014" w:rsidP="002B4A0D">
      <w:pPr>
        <w:pStyle w:val="LI-Heading2"/>
        <w:rPr>
          <w:sz w:val="28"/>
          <w:szCs w:val="28"/>
        </w:rPr>
      </w:pPr>
      <w:bookmarkStart w:id="12" w:name="_Toc105599807"/>
      <w:r>
        <w:rPr>
          <w:sz w:val="28"/>
          <w:szCs w:val="28"/>
        </w:rPr>
        <w:t xml:space="preserve">ASIC </w:t>
      </w:r>
      <w:r w:rsidR="00D728FC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D728FC">
        <w:rPr>
          <w:sz w:val="28"/>
          <w:szCs w:val="28"/>
        </w:rPr>
        <w:t>12/415</w:t>
      </w:r>
      <w:r>
        <w:rPr>
          <w:sz w:val="28"/>
          <w:szCs w:val="28"/>
        </w:rPr>
        <w:t>]</w:t>
      </w:r>
      <w:bookmarkEnd w:id="12"/>
    </w:p>
    <w:p w:rsidR="00BA2AA6" w:rsidRPr="001C7CD5" w:rsidRDefault="00AC6AD3" w:rsidP="006950D8">
      <w:pPr>
        <w:pStyle w:val="LI-BodyTextNumbered"/>
        <w:ind w:left="567"/>
        <w:rPr>
          <w:b/>
        </w:rPr>
      </w:pPr>
      <w:r>
        <w:rPr>
          <w:b/>
        </w:rPr>
        <w:t>2</w:t>
      </w:r>
      <w:r w:rsidR="001C7CD5" w:rsidRPr="001C7CD5">
        <w:rPr>
          <w:b/>
        </w:rPr>
        <w:tab/>
        <w:t>The whole of the instrument</w:t>
      </w:r>
    </w:p>
    <w:p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p w:rsidR="001C7CD5" w:rsidRPr="001C7CD5" w:rsidRDefault="00842014" w:rsidP="001C7CD5">
      <w:pPr>
        <w:pStyle w:val="LI-Heading2"/>
        <w:rPr>
          <w:sz w:val="28"/>
          <w:szCs w:val="28"/>
        </w:rPr>
      </w:pPr>
      <w:bookmarkStart w:id="13" w:name="_Toc105599808"/>
      <w:r>
        <w:rPr>
          <w:sz w:val="28"/>
          <w:szCs w:val="28"/>
        </w:rPr>
        <w:t xml:space="preserve">ASIC </w:t>
      </w:r>
      <w:r w:rsidR="00D728FC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D728FC">
        <w:rPr>
          <w:sz w:val="28"/>
          <w:szCs w:val="28"/>
        </w:rPr>
        <w:t>12/417</w:t>
      </w:r>
      <w:r>
        <w:rPr>
          <w:sz w:val="28"/>
          <w:szCs w:val="28"/>
        </w:rPr>
        <w:t>]</w:t>
      </w:r>
      <w:bookmarkEnd w:id="13"/>
    </w:p>
    <w:p w:rsidR="001C7CD5" w:rsidRPr="001C7CD5" w:rsidRDefault="00AC6AD3" w:rsidP="001C7CD5">
      <w:pPr>
        <w:pStyle w:val="LI-BodyTextNumbered"/>
        <w:ind w:left="567"/>
        <w:rPr>
          <w:b/>
        </w:rPr>
      </w:pPr>
      <w:r>
        <w:rPr>
          <w:b/>
        </w:rPr>
        <w:t>3</w:t>
      </w:r>
      <w:r w:rsidR="001C7CD5" w:rsidRPr="001C7CD5">
        <w:rPr>
          <w:b/>
        </w:rPr>
        <w:tab/>
        <w:t>The whole of the instrument</w:t>
      </w:r>
    </w:p>
    <w:p w:rsidR="001C7CD5" w:rsidRDefault="001C7CD5" w:rsidP="001C7CD5">
      <w:pPr>
        <w:pStyle w:val="LI-BodyTextNumbered"/>
        <w:ind w:left="567" w:firstLine="0"/>
      </w:pPr>
      <w:r>
        <w:t>Repeal the instrument.</w:t>
      </w:r>
    </w:p>
    <w:p w:rsidR="007565B7" w:rsidRPr="001C7CD5" w:rsidRDefault="00842014" w:rsidP="007565B7">
      <w:pPr>
        <w:pStyle w:val="LI-Heading2"/>
        <w:rPr>
          <w:sz w:val="28"/>
          <w:szCs w:val="28"/>
        </w:rPr>
      </w:pPr>
      <w:bookmarkStart w:id="14" w:name="_Toc105599809"/>
      <w:r>
        <w:rPr>
          <w:sz w:val="28"/>
          <w:szCs w:val="28"/>
        </w:rPr>
        <w:t xml:space="preserve">ASIC </w:t>
      </w:r>
      <w:r w:rsidR="007565B7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7565B7">
        <w:rPr>
          <w:sz w:val="28"/>
          <w:szCs w:val="28"/>
        </w:rPr>
        <w:t>12/574</w:t>
      </w:r>
      <w:r>
        <w:rPr>
          <w:sz w:val="28"/>
          <w:szCs w:val="28"/>
        </w:rPr>
        <w:t>]</w:t>
      </w:r>
      <w:bookmarkEnd w:id="14"/>
    </w:p>
    <w:p w:rsidR="007565B7" w:rsidRPr="001C7CD5" w:rsidRDefault="00AC6AD3" w:rsidP="007565B7">
      <w:pPr>
        <w:pStyle w:val="LI-BodyTextNumbered"/>
        <w:ind w:left="567"/>
        <w:rPr>
          <w:b/>
        </w:rPr>
      </w:pPr>
      <w:r>
        <w:rPr>
          <w:b/>
        </w:rPr>
        <w:t>4</w:t>
      </w:r>
      <w:r w:rsidR="007565B7" w:rsidRPr="001C7CD5">
        <w:rPr>
          <w:b/>
        </w:rPr>
        <w:tab/>
        <w:t>The whole of the instrument</w:t>
      </w:r>
    </w:p>
    <w:p w:rsidR="007565B7" w:rsidRDefault="007565B7" w:rsidP="007565B7">
      <w:pPr>
        <w:pStyle w:val="LI-BodyTextNumbered"/>
        <w:ind w:left="567" w:firstLine="0"/>
      </w:pPr>
      <w:r>
        <w:t>Repeal the instrument.</w:t>
      </w:r>
    </w:p>
    <w:p w:rsidR="00D728FC" w:rsidRPr="001C7CD5" w:rsidRDefault="00842014" w:rsidP="00D728FC">
      <w:pPr>
        <w:pStyle w:val="LI-Heading2"/>
        <w:rPr>
          <w:sz w:val="28"/>
          <w:szCs w:val="28"/>
        </w:rPr>
      </w:pPr>
      <w:bookmarkStart w:id="15" w:name="_Toc105599810"/>
      <w:r>
        <w:rPr>
          <w:sz w:val="28"/>
          <w:szCs w:val="28"/>
        </w:rPr>
        <w:t xml:space="preserve">ASIC </w:t>
      </w:r>
      <w:r w:rsidR="00D728FC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D728FC">
        <w:rPr>
          <w:sz w:val="28"/>
          <w:szCs w:val="28"/>
        </w:rPr>
        <w:t>12/749</w:t>
      </w:r>
      <w:r>
        <w:rPr>
          <w:sz w:val="28"/>
          <w:szCs w:val="28"/>
        </w:rPr>
        <w:t>]</w:t>
      </w:r>
      <w:bookmarkEnd w:id="15"/>
    </w:p>
    <w:p w:rsidR="00D728FC" w:rsidRPr="001C7CD5" w:rsidRDefault="00AC6AD3" w:rsidP="00D728FC">
      <w:pPr>
        <w:pStyle w:val="LI-BodyTextNumbered"/>
        <w:ind w:left="567"/>
        <w:rPr>
          <w:b/>
        </w:rPr>
      </w:pPr>
      <w:r>
        <w:rPr>
          <w:b/>
        </w:rPr>
        <w:t>5</w:t>
      </w:r>
      <w:r w:rsidR="00D728FC" w:rsidRPr="001C7CD5">
        <w:rPr>
          <w:b/>
        </w:rPr>
        <w:tab/>
        <w:t>The whole of the instrument</w:t>
      </w:r>
    </w:p>
    <w:p w:rsidR="00D728FC" w:rsidRDefault="00D728FC" w:rsidP="00D728FC">
      <w:pPr>
        <w:pStyle w:val="LI-BodyTextNumbered"/>
        <w:ind w:left="567" w:firstLine="0"/>
      </w:pPr>
      <w:r>
        <w:t>Repeal the instrument.</w:t>
      </w:r>
    </w:p>
    <w:p w:rsidR="007565B7" w:rsidRPr="001C7CD5" w:rsidRDefault="00842014" w:rsidP="007565B7">
      <w:pPr>
        <w:pStyle w:val="LI-Heading2"/>
        <w:rPr>
          <w:sz w:val="28"/>
          <w:szCs w:val="28"/>
        </w:rPr>
      </w:pPr>
      <w:bookmarkStart w:id="16" w:name="_Toc105599811"/>
      <w:r>
        <w:rPr>
          <w:sz w:val="28"/>
          <w:szCs w:val="28"/>
        </w:rPr>
        <w:t xml:space="preserve">ASIC </w:t>
      </w:r>
      <w:r w:rsidR="007565B7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7565B7">
        <w:rPr>
          <w:sz w:val="28"/>
          <w:szCs w:val="28"/>
        </w:rPr>
        <w:t>12/794</w:t>
      </w:r>
      <w:r>
        <w:rPr>
          <w:sz w:val="28"/>
          <w:szCs w:val="28"/>
        </w:rPr>
        <w:t>]</w:t>
      </w:r>
      <w:bookmarkEnd w:id="16"/>
    </w:p>
    <w:p w:rsidR="007565B7" w:rsidRPr="001C7CD5" w:rsidRDefault="00AC6AD3" w:rsidP="007565B7">
      <w:pPr>
        <w:pStyle w:val="LI-BodyTextNumbered"/>
        <w:ind w:left="567"/>
        <w:rPr>
          <w:b/>
        </w:rPr>
      </w:pPr>
      <w:r>
        <w:rPr>
          <w:b/>
        </w:rPr>
        <w:t>6</w:t>
      </w:r>
      <w:r w:rsidR="007565B7" w:rsidRPr="001C7CD5">
        <w:rPr>
          <w:b/>
        </w:rPr>
        <w:tab/>
        <w:t>The whole of the instrument</w:t>
      </w:r>
    </w:p>
    <w:p w:rsidR="007565B7" w:rsidRDefault="007565B7" w:rsidP="007565B7">
      <w:pPr>
        <w:pStyle w:val="LI-BodyTextNumbered"/>
        <w:ind w:left="567" w:firstLine="0"/>
      </w:pPr>
      <w:r>
        <w:t>Repeal the instrument.</w:t>
      </w:r>
    </w:p>
    <w:p w:rsidR="00997B25" w:rsidRPr="001C7CD5" w:rsidRDefault="00997B25" w:rsidP="00997B25">
      <w:pPr>
        <w:pStyle w:val="LI-Heading2"/>
        <w:rPr>
          <w:sz w:val="28"/>
          <w:szCs w:val="28"/>
        </w:rPr>
      </w:pPr>
      <w:bookmarkStart w:id="17" w:name="_Toc105599812"/>
      <w:r>
        <w:rPr>
          <w:sz w:val="28"/>
          <w:szCs w:val="28"/>
        </w:rPr>
        <w:t>ASIC Class Order [CO 13/797]</w:t>
      </w:r>
      <w:bookmarkEnd w:id="17"/>
    </w:p>
    <w:p w:rsidR="00997B25" w:rsidRPr="001C7CD5" w:rsidRDefault="00AC6AD3" w:rsidP="007C6289">
      <w:pPr>
        <w:pStyle w:val="LI-BodyTextNumbered"/>
        <w:ind w:left="567"/>
        <w:rPr>
          <w:b/>
        </w:rPr>
      </w:pPr>
      <w:r>
        <w:rPr>
          <w:b/>
        </w:rPr>
        <w:t>7</w:t>
      </w:r>
      <w:r w:rsidR="00997B25" w:rsidRPr="001C7CD5">
        <w:rPr>
          <w:b/>
        </w:rPr>
        <w:tab/>
        <w:t>The whole of the instrument</w:t>
      </w:r>
    </w:p>
    <w:p w:rsidR="00997B25" w:rsidRPr="00CC323B" w:rsidRDefault="00997B25" w:rsidP="00CC323B">
      <w:pPr>
        <w:pStyle w:val="LI-BodyTextNumbered"/>
        <w:ind w:left="567" w:firstLine="0"/>
      </w:pPr>
      <w:r>
        <w:t>Repeal the instrument.</w:t>
      </w:r>
    </w:p>
    <w:p w:rsidR="00D728FC" w:rsidRPr="001C7CD5" w:rsidRDefault="006950D8" w:rsidP="00D728FC">
      <w:pPr>
        <w:pStyle w:val="LI-Heading2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8" w:name="_Toc105599813"/>
      <w:r w:rsidR="00842014">
        <w:rPr>
          <w:sz w:val="28"/>
          <w:szCs w:val="28"/>
        </w:rPr>
        <w:lastRenderedPageBreak/>
        <w:t xml:space="preserve">ASIC </w:t>
      </w:r>
      <w:r w:rsidR="00D728FC">
        <w:rPr>
          <w:sz w:val="28"/>
          <w:szCs w:val="28"/>
        </w:rPr>
        <w:t xml:space="preserve">Class Order </w:t>
      </w:r>
      <w:r w:rsidR="00842014">
        <w:rPr>
          <w:sz w:val="28"/>
          <w:szCs w:val="28"/>
        </w:rPr>
        <w:t xml:space="preserve">[CO </w:t>
      </w:r>
      <w:r w:rsidR="00D728FC">
        <w:rPr>
          <w:sz w:val="28"/>
          <w:szCs w:val="28"/>
        </w:rPr>
        <w:t>13/1534</w:t>
      </w:r>
      <w:r w:rsidR="00842014">
        <w:rPr>
          <w:sz w:val="28"/>
          <w:szCs w:val="28"/>
        </w:rPr>
        <w:t>]</w:t>
      </w:r>
      <w:bookmarkEnd w:id="18"/>
    </w:p>
    <w:p w:rsidR="00D728FC" w:rsidRPr="001C7CD5" w:rsidRDefault="00AC6AD3" w:rsidP="00D728FC">
      <w:pPr>
        <w:pStyle w:val="LI-BodyTextNumbered"/>
        <w:ind w:left="567"/>
        <w:rPr>
          <w:b/>
        </w:rPr>
      </w:pPr>
      <w:r>
        <w:rPr>
          <w:b/>
        </w:rPr>
        <w:t>8</w:t>
      </w:r>
      <w:r w:rsidR="00D728FC" w:rsidRPr="001C7CD5">
        <w:rPr>
          <w:b/>
        </w:rPr>
        <w:tab/>
        <w:t>The whole of the instrument</w:t>
      </w:r>
    </w:p>
    <w:p w:rsidR="00D728FC" w:rsidRDefault="00D728FC" w:rsidP="00D728FC">
      <w:pPr>
        <w:pStyle w:val="LI-BodyTextNumbered"/>
        <w:ind w:left="567" w:firstLine="0"/>
      </w:pPr>
      <w:r>
        <w:t>Repeal the instrument.</w:t>
      </w:r>
    </w:p>
    <w:p w:rsidR="00411259" w:rsidRPr="001C7CD5" w:rsidRDefault="00997B25" w:rsidP="00411259">
      <w:pPr>
        <w:pStyle w:val="LI-Heading2"/>
        <w:rPr>
          <w:sz w:val="28"/>
          <w:szCs w:val="28"/>
        </w:rPr>
      </w:pPr>
      <w:bookmarkStart w:id="19" w:name="_Toc105599814"/>
      <w:r>
        <w:rPr>
          <w:sz w:val="28"/>
          <w:szCs w:val="28"/>
        </w:rPr>
        <w:t xml:space="preserve">ASIC </w:t>
      </w:r>
      <w:r w:rsidR="00411259">
        <w:rPr>
          <w:sz w:val="28"/>
          <w:szCs w:val="28"/>
        </w:rPr>
        <w:t xml:space="preserve">Class Order </w:t>
      </w:r>
      <w:r>
        <w:rPr>
          <w:sz w:val="28"/>
          <w:szCs w:val="28"/>
        </w:rPr>
        <w:t xml:space="preserve">[CO </w:t>
      </w:r>
      <w:r w:rsidR="00411259">
        <w:rPr>
          <w:sz w:val="28"/>
          <w:szCs w:val="28"/>
        </w:rPr>
        <w:t>14/443</w:t>
      </w:r>
      <w:r>
        <w:rPr>
          <w:sz w:val="28"/>
          <w:szCs w:val="28"/>
        </w:rPr>
        <w:t>]</w:t>
      </w:r>
      <w:bookmarkEnd w:id="19"/>
    </w:p>
    <w:p w:rsidR="00411259" w:rsidRPr="001C7CD5" w:rsidRDefault="00AC6AD3" w:rsidP="007C6289">
      <w:pPr>
        <w:pStyle w:val="LI-BodyTextNumbered"/>
        <w:ind w:left="567"/>
        <w:rPr>
          <w:b/>
        </w:rPr>
      </w:pPr>
      <w:r>
        <w:rPr>
          <w:b/>
        </w:rPr>
        <w:t>9</w:t>
      </w:r>
      <w:r w:rsidR="00411259" w:rsidRPr="001C7CD5">
        <w:rPr>
          <w:b/>
        </w:rPr>
        <w:tab/>
        <w:t>The whole of the instrument</w:t>
      </w:r>
    </w:p>
    <w:p w:rsidR="00411259" w:rsidRDefault="00411259" w:rsidP="00411259">
      <w:pPr>
        <w:pStyle w:val="LI-BodyTextNumbered"/>
        <w:ind w:left="567" w:firstLine="0"/>
      </w:pPr>
      <w:r>
        <w:t>Repeal the instrument.</w:t>
      </w:r>
    </w:p>
    <w:p w:rsidR="00AC6AD3" w:rsidRPr="00DB39EC" w:rsidRDefault="00AC6AD3" w:rsidP="00AC6AD3">
      <w:pPr>
        <w:pStyle w:val="LI-Heading2"/>
        <w:ind w:left="0" w:firstLine="0"/>
        <w:rPr>
          <w:i/>
          <w:iCs/>
          <w:sz w:val="28"/>
          <w:szCs w:val="28"/>
        </w:rPr>
      </w:pPr>
      <w:bookmarkStart w:id="20" w:name="_Toc105599815"/>
      <w:r w:rsidRPr="00AC6AD3">
        <w:rPr>
          <w:i/>
          <w:iCs/>
          <w:sz w:val="28"/>
          <w:szCs w:val="28"/>
        </w:rPr>
        <w:t>ASIC Corporations (AFSL Audit Opinion) Instrument 2015/586</w:t>
      </w:r>
      <w:bookmarkEnd w:id="20"/>
    </w:p>
    <w:p w:rsidR="00AC6AD3" w:rsidRPr="001C7CD5" w:rsidRDefault="00AC6AD3" w:rsidP="007C6289">
      <w:pPr>
        <w:pStyle w:val="LI-BodyTextNumbered"/>
        <w:ind w:left="567"/>
        <w:rPr>
          <w:b/>
        </w:rPr>
      </w:pPr>
      <w:r>
        <w:rPr>
          <w:b/>
        </w:rPr>
        <w:t>10</w:t>
      </w:r>
      <w:r w:rsidRPr="001C7CD5">
        <w:rPr>
          <w:b/>
        </w:rPr>
        <w:tab/>
        <w:t>The whole of the instrument</w:t>
      </w:r>
    </w:p>
    <w:p w:rsidR="00AC6AD3" w:rsidRPr="00AA31C7" w:rsidRDefault="00AC6AD3" w:rsidP="00AA31C7">
      <w:pPr>
        <w:pStyle w:val="LI-BodyTextNumbered"/>
        <w:ind w:left="567" w:firstLine="0"/>
      </w:pPr>
      <w:r>
        <w:t>Repeal the instrument.</w:t>
      </w:r>
    </w:p>
    <w:p w:rsidR="00D728FC" w:rsidRPr="00DB39EC" w:rsidRDefault="00D728FC" w:rsidP="00D728FC">
      <w:pPr>
        <w:pStyle w:val="LI-Heading2"/>
        <w:ind w:left="0" w:firstLine="0"/>
        <w:rPr>
          <w:i/>
          <w:iCs/>
          <w:sz w:val="28"/>
          <w:szCs w:val="28"/>
        </w:rPr>
      </w:pPr>
      <w:bookmarkStart w:id="21" w:name="_Toc105599816"/>
      <w:r w:rsidRPr="00DB39EC">
        <w:rPr>
          <w:i/>
          <w:iCs/>
          <w:sz w:val="28"/>
          <w:szCs w:val="28"/>
        </w:rPr>
        <w:t>ASIC Corporations (Superannuation: Investment Strategies) Instrument 2016/65</w:t>
      </w:r>
      <w:bookmarkEnd w:id="21"/>
    </w:p>
    <w:p w:rsidR="00D728FC" w:rsidRPr="001C7CD5" w:rsidRDefault="00AC6AD3" w:rsidP="007C6289">
      <w:pPr>
        <w:pStyle w:val="LI-BodyTextNumbered"/>
        <w:ind w:left="567"/>
        <w:rPr>
          <w:b/>
        </w:rPr>
      </w:pPr>
      <w:r>
        <w:rPr>
          <w:b/>
        </w:rPr>
        <w:t>11</w:t>
      </w:r>
      <w:r w:rsidR="00D728FC" w:rsidRPr="001C7CD5">
        <w:rPr>
          <w:b/>
        </w:rPr>
        <w:tab/>
        <w:t>The whole of the instrument</w:t>
      </w:r>
    </w:p>
    <w:p w:rsidR="00D728FC" w:rsidRDefault="00D728FC" w:rsidP="00D728FC">
      <w:pPr>
        <w:pStyle w:val="LI-BodyTextNumbered"/>
        <w:ind w:left="567" w:firstLine="0"/>
      </w:pPr>
      <w:r>
        <w:t>Repeal the instrument.</w:t>
      </w:r>
    </w:p>
    <w:p w:rsidR="00D728FC" w:rsidRDefault="00D728FC" w:rsidP="00D728FC">
      <w:pPr>
        <w:pStyle w:val="LI-BodyTextNumbered"/>
        <w:ind w:left="0" w:firstLine="0"/>
      </w:pPr>
    </w:p>
    <w:sectPr w:rsidR="00D728FC" w:rsidSect="0040053F">
      <w:headerReference w:type="even" r:id="rId26"/>
      <w:headerReference w:type="default" r:id="rId27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9DE" w:rsidRDefault="00B119DE" w:rsidP="00715914">
      <w:pPr>
        <w:spacing w:line="240" w:lineRule="auto"/>
      </w:pPr>
      <w:r>
        <w:separator/>
      </w:r>
    </w:p>
  </w:endnote>
  <w:endnote w:type="continuationSeparator" w:id="0">
    <w:p w:rsidR="00B119DE" w:rsidRDefault="00B119D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2768B0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Default="002768B0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:rsidTr="00081794">
      <w:tc>
        <w:tcPr>
          <w:tcW w:w="8472" w:type="dxa"/>
          <w:shd w:val="clear" w:color="auto" w:fill="auto"/>
        </w:tcPr>
        <w:p w:rsidR="00102CA6" w:rsidRPr="00081794" w:rsidRDefault="00102CA6" w:rsidP="00102CA6">
          <w:pPr>
            <w:rPr>
              <w:sz w:val="18"/>
            </w:rPr>
          </w:pPr>
        </w:p>
      </w:tc>
    </w:tr>
  </w:tbl>
  <w:p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9DE" w:rsidRDefault="00B119DE" w:rsidP="00715914">
      <w:pPr>
        <w:spacing w:line="240" w:lineRule="auto"/>
      </w:pPr>
      <w:r>
        <w:separator/>
      </w:r>
    </w:p>
  </w:footnote>
  <w:footnote w:type="continuationSeparator" w:id="0">
    <w:p w:rsidR="00B119DE" w:rsidRDefault="00B119D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5F1388" w:rsidRDefault="002768B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:rsidTr="000A1655">
      <w:tc>
        <w:tcPr>
          <w:tcW w:w="6663" w:type="dxa"/>
          <w:shd w:val="clear" w:color="auto" w:fill="auto"/>
        </w:tcPr>
        <w:p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681C31">
            <w:rPr>
              <w:noProof/>
            </w:rPr>
            <w:t>ASIC Corporations (Repeal) Instrument 2022/499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681C31">
            <w:rPr>
              <w:noProof/>
            </w:rPr>
            <w:t>Schedule 1—Repeals</w:t>
          </w:r>
          <w:r>
            <w:fldChar w:fldCharType="end"/>
          </w:r>
        </w:p>
      </w:tc>
    </w:tr>
  </w:tbl>
  <w:p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5F1388" w:rsidRDefault="002768B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:rsidTr="00BF75C9">
      <w:tc>
        <w:tcPr>
          <w:tcW w:w="6804" w:type="dxa"/>
          <w:shd w:val="clear" w:color="auto" w:fill="auto"/>
        </w:tcPr>
        <w:p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681C31">
            <w:rPr>
              <w:noProof/>
            </w:rPr>
            <w:t>ASIC Corporations (Repeal) Instrument 2022/499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Tr="00BF75C9">
      <w:tc>
        <w:tcPr>
          <w:tcW w:w="6804" w:type="dxa"/>
          <w:shd w:val="clear" w:color="auto" w:fill="auto"/>
        </w:tcPr>
        <w:p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681C31">
            <w:rPr>
              <w:noProof/>
            </w:rPr>
            <w:t>ASIC Corporations (Repeal) Instrument 2022/499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681C31">
            <w:rPr>
              <w:noProof/>
            </w:rPr>
            <w:t>Part 1—Preliminary</w:t>
          </w:r>
          <w:r>
            <w:fldChar w:fldCharType="end"/>
          </w:r>
        </w:p>
      </w:tc>
    </w:tr>
  </w:tbl>
  <w:p w:rsidR="00D341C4" w:rsidRPr="00F4215A" w:rsidRDefault="00D341C4" w:rsidP="00F421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A6" w:rsidRPr="007A1328" w:rsidRDefault="00102CA6" w:rsidP="0071591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A94"/>
    <w:rsid w:val="00023D53"/>
    <w:rsid w:val="000437C1"/>
    <w:rsid w:val="0005365D"/>
    <w:rsid w:val="000614BF"/>
    <w:rsid w:val="0006250C"/>
    <w:rsid w:val="000766A9"/>
    <w:rsid w:val="00081794"/>
    <w:rsid w:val="0008672E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101751"/>
    <w:rsid w:val="00102307"/>
    <w:rsid w:val="00102CA6"/>
    <w:rsid w:val="0010745C"/>
    <w:rsid w:val="001124D7"/>
    <w:rsid w:val="00120985"/>
    <w:rsid w:val="00123FD6"/>
    <w:rsid w:val="00125CDE"/>
    <w:rsid w:val="00126B9F"/>
    <w:rsid w:val="00132B7B"/>
    <w:rsid w:val="00132CEB"/>
    <w:rsid w:val="00142B62"/>
    <w:rsid w:val="00147B1F"/>
    <w:rsid w:val="00157B8B"/>
    <w:rsid w:val="00166C2F"/>
    <w:rsid w:val="00171A6E"/>
    <w:rsid w:val="001809D7"/>
    <w:rsid w:val="001850D6"/>
    <w:rsid w:val="0018784F"/>
    <w:rsid w:val="001939E1"/>
    <w:rsid w:val="00194C3E"/>
    <w:rsid w:val="00195382"/>
    <w:rsid w:val="00195BD4"/>
    <w:rsid w:val="001B2616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768B0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2E7265"/>
    <w:rsid w:val="003017B3"/>
    <w:rsid w:val="00304F8B"/>
    <w:rsid w:val="003069BA"/>
    <w:rsid w:val="00327DDF"/>
    <w:rsid w:val="003354D2"/>
    <w:rsid w:val="00335BC6"/>
    <w:rsid w:val="003415D3"/>
    <w:rsid w:val="00344701"/>
    <w:rsid w:val="00347DDA"/>
    <w:rsid w:val="003528DA"/>
    <w:rsid w:val="00352B0F"/>
    <w:rsid w:val="00356690"/>
    <w:rsid w:val="00360459"/>
    <w:rsid w:val="00365497"/>
    <w:rsid w:val="003708CA"/>
    <w:rsid w:val="00374DDD"/>
    <w:rsid w:val="00387A96"/>
    <w:rsid w:val="00392B1C"/>
    <w:rsid w:val="00394E5B"/>
    <w:rsid w:val="003A2A48"/>
    <w:rsid w:val="003B732F"/>
    <w:rsid w:val="003C6231"/>
    <w:rsid w:val="003D0BFE"/>
    <w:rsid w:val="003D5700"/>
    <w:rsid w:val="003E0F99"/>
    <w:rsid w:val="003E341B"/>
    <w:rsid w:val="0040053F"/>
    <w:rsid w:val="004005F1"/>
    <w:rsid w:val="00411259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5C3E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4F2073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42BFB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20214"/>
    <w:rsid w:val="00640161"/>
    <w:rsid w:val="00647598"/>
    <w:rsid w:val="00652769"/>
    <w:rsid w:val="0065542F"/>
    <w:rsid w:val="006554FF"/>
    <w:rsid w:val="00655874"/>
    <w:rsid w:val="00665F42"/>
    <w:rsid w:val="0067066A"/>
    <w:rsid w:val="00670EA1"/>
    <w:rsid w:val="00677CC2"/>
    <w:rsid w:val="00681C31"/>
    <w:rsid w:val="00685C33"/>
    <w:rsid w:val="006905DE"/>
    <w:rsid w:val="0069207B"/>
    <w:rsid w:val="006950D8"/>
    <w:rsid w:val="006B5789"/>
    <w:rsid w:val="006C30C5"/>
    <w:rsid w:val="006C48FA"/>
    <w:rsid w:val="006C7F8C"/>
    <w:rsid w:val="006D2D82"/>
    <w:rsid w:val="006D616C"/>
    <w:rsid w:val="006E5320"/>
    <w:rsid w:val="006E6246"/>
    <w:rsid w:val="006F318F"/>
    <w:rsid w:val="006F4226"/>
    <w:rsid w:val="0070017E"/>
    <w:rsid w:val="00700B2C"/>
    <w:rsid w:val="007050A2"/>
    <w:rsid w:val="0070748E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565B7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C6289"/>
    <w:rsid w:val="007D230B"/>
    <w:rsid w:val="007D6039"/>
    <w:rsid w:val="007E163D"/>
    <w:rsid w:val="007E667A"/>
    <w:rsid w:val="007F28C9"/>
    <w:rsid w:val="0080312D"/>
    <w:rsid w:val="00803587"/>
    <w:rsid w:val="008117E9"/>
    <w:rsid w:val="00816888"/>
    <w:rsid w:val="00824498"/>
    <w:rsid w:val="008265FD"/>
    <w:rsid w:val="0082759A"/>
    <w:rsid w:val="00840442"/>
    <w:rsid w:val="00842014"/>
    <w:rsid w:val="00850F56"/>
    <w:rsid w:val="008527C0"/>
    <w:rsid w:val="00855E08"/>
    <w:rsid w:val="00856A31"/>
    <w:rsid w:val="00860B58"/>
    <w:rsid w:val="008633BB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07930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86F31"/>
    <w:rsid w:val="00993C39"/>
    <w:rsid w:val="009944E6"/>
    <w:rsid w:val="00997B25"/>
    <w:rsid w:val="009A49C9"/>
    <w:rsid w:val="009B69D4"/>
    <w:rsid w:val="009D1818"/>
    <w:rsid w:val="009E0B05"/>
    <w:rsid w:val="009E5CFC"/>
    <w:rsid w:val="009F0047"/>
    <w:rsid w:val="009F4378"/>
    <w:rsid w:val="009F5EB2"/>
    <w:rsid w:val="00A002D5"/>
    <w:rsid w:val="00A0322C"/>
    <w:rsid w:val="00A079CB"/>
    <w:rsid w:val="00A12128"/>
    <w:rsid w:val="00A12F48"/>
    <w:rsid w:val="00A15512"/>
    <w:rsid w:val="00A20FCE"/>
    <w:rsid w:val="00A22C98"/>
    <w:rsid w:val="00A231E2"/>
    <w:rsid w:val="00A30A59"/>
    <w:rsid w:val="00A33D55"/>
    <w:rsid w:val="00A40424"/>
    <w:rsid w:val="00A52B0F"/>
    <w:rsid w:val="00A5632E"/>
    <w:rsid w:val="00A64150"/>
    <w:rsid w:val="00A64912"/>
    <w:rsid w:val="00A70A74"/>
    <w:rsid w:val="00A800A8"/>
    <w:rsid w:val="00A91966"/>
    <w:rsid w:val="00AA31C7"/>
    <w:rsid w:val="00AA66AC"/>
    <w:rsid w:val="00AA671D"/>
    <w:rsid w:val="00AC0886"/>
    <w:rsid w:val="00AC3E7B"/>
    <w:rsid w:val="00AC6AD3"/>
    <w:rsid w:val="00AD5315"/>
    <w:rsid w:val="00AD5641"/>
    <w:rsid w:val="00AD7889"/>
    <w:rsid w:val="00AE7708"/>
    <w:rsid w:val="00AF021B"/>
    <w:rsid w:val="00AF06CF"/>
    <w:rsid w:val="00AF3934"/>
    <w:rsid w:val="00B07CDB"/>
    <w:rsid w:val="00B119DE"/>
    <w:rsid w:val="00B156BC"/>
    <w:rsid w:val="00B16067"/>
    <w:rsid w:val="00B16A31"/>
    <w:rsid w:val="00B17DFD"/>
    <w:rsid w:val="00B24755"/>
    <w:rsid w:val="00B2799D"/>
    <w:rsid w:val="00B308FE"/>
    <w:rsid w:val="00B33709"/>
    <w:rsid w:val="00B33B3C"/>
    <w:rsid w:val="00B50ADC"/>
    <w:rsid w:val="00B55975"/>
    <w:rsid w:val="00B566B1"/>
    <w:rsid w:val="00B63834"/>
    <w:rsid w:val="00B72734"/>
    <w:rsid w:val="00B775D3"/>
    <w:rsid w:val="00B80199"/>
    <w:rsid w:val="00B82D81"/>
    <w:rsid w:val="00B83204"/>
    <w:rsid w:val="00B8489D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246C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87D"/>
    <w:rsid w:val="00C02D44"/>
    <w:rsid w:val="00C0544A"/>
    <w:rsid w:val="00C11452"/>
    <w:rsid w:val="00C22243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70CA8"/>
    <w:rsid w:val="00C74323"/>
    <w:rsid w:val="00C7573B"/>
    <w:rsid w:val="00C93C03"/>
    <w:rsid w:val="00CA3A25"/>
    <w:rsid w:val="00CA66DC"/>
    <w:rsid w:val="00CB2C8E"/>
    <w:rsid w:val="00CB602E"/>
    <w:rsid w:val="00CC323B"/>
    <w:rsid w:val="00CC5C07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05208"/>
    <w:rsid w:val="00D120F5"/>
    <w:rsid w:val="00D13441"/>
    <w:rsid w:val="00D150E7"/>
    <w:rsid w:val="00D172FD"/>
    <w:rsid w:val="00D32F65"/>
    <w:rsid w:val="00D32FCB"/>
    <w:rsid w:val="00D34132"/>
    <w:rsid w:val="00D341C4"/>
    <w:rsid w:val="00D510F4"/>
    <w:rsid w:val="00D52DC2"/>
    <w:rsid w:val="00D53BCC"/>
    <w:rsid w:val="00D66303"/>
    <w:rsid w:val="00D702DE"/>
    <w:rsid w:val="00D70DFB"/>
    <w:rsid w:val="00D728FC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39EC"/>
    <w:rsid w:val="00DB4630"/>
    <w:rsid w:val="00DB5872"/>
    <w:rsid w:val="00DC4445"/>
    <w:rsid w:val="00DC4F88"/>
    <w:rsid w:val="00DE79F9"/>
    <w:rsid w:val="00DF411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237D"/>
    <w:rsid w:val="00E544BB"/>
    <w:rsid w:val="00E578EC"/>
    <w:rsid w:val="00E60423"/>
    <w:rsid w:val="00E6551D"/>
    <w:rsid w:val="00E662CB"/>
    <w:rsid w:val="00E74DC7"/>
    <w:rsid w:val="00E763DA"/>
    <w:rsid w:val="00E8075A"/>
    <w:rsid w:val="00E818A6"/>
    <w:rsid w:val="00E84A6E"/>
    <w:rsid w:val="00E86920"/>
    <w:rsid w:val="00E94D5E"/>
    <w:rsid w:val="00EA7100"/>
    <w:rsid w:val="00EA7F9F"/>
    <w:rsid w:val="00EB11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36BD"/>
    <w:rsid w:val="00F14593"/>
    <w:rsid w:val="00F171A1"/>
    <w:rsid w:val="00F226ED"/>
    <w:rsid w:val="00F244FB"/>
    <w:rsid w:val="00F32BA8"/>
    <w:rsid w:val="00F349F1"/>
    <w:rsid w:val="00F4215A"/>
    <w:rsid w:val="00F4350D"/>
    <w:rsid w:val="00F50532"/>
    <w:rsid w:val="00F53890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  <w:lang w:val="en-AU" w:eastAsia="en-AU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  <w:lang w:val="en-AU" w:eastAsia="en-AU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val="en-AU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val="en-AU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E6551D"/>
    <w:rPr>
      <w:sz w:val="22"/>
      <w:lang w:val="en-AU"/>
    </w:rPr>
  </w:style>
  <w:style w:type="character" w:styleId="UnresolvedMention">
    <w:name w:val="Unresolved Mention"/>
    <w:uiPriority w:val="99"/>
    <w:semiHidden/>
    <w:unhideWhenUsed/>
    <w:rsid w:val="00CC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www.legislation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0D27-AFFE-42BA-B857-4EFE2398A0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C26402-8DC7-48EC-BAB8-F7907EBB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627</Words>
  <Characters>3578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Base/>
  <HLinks>
    <vt:vector size="114" baseType="variant">
      <vt:variant>
        <vt:i4>6946865</vt:i4>
      </vt:variant>
      <vt:variant>
        <vt:i4>114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1703989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_Toc105599816</vt:lpwstr>
      </vt:variant>
      <vt:variant>
        <vt:i4>1703989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_Toc105599815</vt:lpwstr>
      </vt:variant>
      <vt:variant>
        <vt:i4>1703989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_Toc105599814</vt:lpwstr>
      </vt:variant>
      <vt:variant>
        <vt:i4>1703989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_Toc105599813</vt:lpwstr>
      </vt:variant>
      <vt:variant>
        <vt:i4>1703989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_Toc105599812</vt:lpwstr>
      </vt:variant>
      <vt:variant>
        <vt:i4>1703989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_Toc105599811</vt:lpwstr>
      </vt:variant>
      <vt:variant>
        <vt:i4>1703989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_Toc105599810</vt:lpwstr>
      </vt:variant>
      <vt:variant>
        <vt:i4>1769525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_Toc105599809</vt:lpwstr>
      </vt:variant>
      <vt:variant>
        <vt:i4>1769525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_Toc105599808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_Toc105599807</vt:lpwstr>
      </vt:variant>
      <vt:variant>
        <vt:i4>1769525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_Toc105599806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_Toc105599805</vt:lpwstr>
      </vt:variant>
      <vt:variant>
        <vt:i4>1769525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_Toc105599804</vt:lpwstr>
      </vt:variant>
      <vt:variant>
        <vt:i4>1769525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_Toc105599803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_Toc105599802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_Toc105599801</vt:lpwstr>
      </vt:variant>
      <vt:variant>
        <vt:i4>1769525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_Toc105599800</vt:lpwstr>
      </vt:variant>
      <vt:variant>
        <vt:i4>1179706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_Toc105599799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2023-10-15T22:43:00Z</dcterms:created>
  <dcterms:modified xsi:type="dcterms:W3CDTF">2023-10-15T22:43:00Z</dcterms:modified>
  <dc:language/>
  <cp:version/>
</cp:coreProperties>
</file>