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6BB9" w14:textId="77777777" w:rsidR="00955175" w:rsidRDefault="00955175" w:rsidP="00E2168B">
      <w:pPr>
        <w:spacing w:before="280" w:after="240"/>
        <w:rPr>
          <w:b/>
          <w:sz w:val="32"/>
          <w:szCs w:val="32"/>
        </w:rPr>
      </w:pPr>
    </w:p>
    <w:p w14:paraId="6A3B9436" w14:textId="6C8DD9B0" w:rsidR="00955175" w:rsidRPr="00CA3DFF" w:rsidRDefault="001C112D" w:rsidP="00E2168B">
      <w:pPr>
        <w:spacing w:before="280" w:after="240"/>
        <w:rPr>
          <w:b/>
          <w:sz w:val="32"/>
          <w:szCs w:val="32"/>
        </w:rPr>
      </w:pPr>
      <w:r w:rsidRPr="00CA3DFF">
        <w:rPr>
          <w:noProof/>
        </w:rPr>
        <w:drawing>
          <wp:anchor distT="0" distB="0" distL="114300" distR="114300" simplePos="0" relativeHeight="251657728" behindDoc="0" locked="0" layoutInCell="1" allowOverlap="1" wp14:anchorId="04247C33" wp14:editId="57943A4F">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AB1CD23" w14:textId="77777777" w:rsidR="00955175" w:rsidRPr="00CA3DFF" w:rsidRDefault="00955175" w:rsidP="00955175">
      <w:pPr>
        <w:pStyle w:val="LI-Title"/>
        <w:pBdr>
          <w:top w:val="none" w:sz="0" w:space="0" w:color="auto"/>
        </w:pBdr>
        <w:jc w:val="center"/>
      </w:pPr>
    </w:p>
    <w:p w14:paraId="6217724F" w14:textId="77777777" w:rsidR="00955175" w:rsidRPr="00CA3DFF" w:rsidRDefault="00955175" w:rsidP="00955175">
      <w:pPr>
        <w:pStyle w:val="LI-Title"/>
        <w:pBdr>
          <w:top w:val="none" w:sz="0" w:space="0" w:color="auto"/>
        </w:pBdr>
        <w:jc w:val="center"/>
      </w:pPr>
      <w:r w:rsidRPr="00CA3DFF">
        <w:t>Explanatory Statement</w:t>
      </w:r>
    </w:p>
    <w:p w14:paraId="38891C30" w14:textId="77777777" w:rsidR="00955175" w:rsidRPr="00CA3DFF" w:rsidRDefault="00955175" w:rsidP="00955175">
      <w:pPr>
        <w:rPr>
          <w:lang w:eastAsia="en-AU"/>
        </w:rPr>
      </w:pPr>
    </w:p>
    <w:p w14:paraId="7F0B2EF5" w14:textId="77777777" w:rsidR="00C4170B" w:rsidRPr="00CA3DFF" w:rsidRDefault="002E1638" w:rsidP="00C4170B">
      <w:pPr>
        <w:jc w:val="center"/>
        <w:rPr>
          <w:b/>
          <w:i/>
          <w:sz w:val="28"/>
          <w:szCs w:val="28"/>
          <w:lang w:eastAsia="en-AU"/>
        </w:rPr>
      </w:pPr>
      <w:r w:rsidRPr="00CA3DFF">
        <w:rPr>
          <w:b/>
          <w:i/>
          <w:sz w:val="28"/>
          <w:szCs w:val="28"/>
          <w:lang w:eastAsia="en-AU"/>
        </w:rPr>
        <w:t>ASIC Corporations (Shorter PDS and Delivery of Accessible Financial Products Disclosure by Platform Operators and Superannuation Trustees) Instrument 2022/</w:t>
      </w:r>
      <w:r w:rsidR="00A027F8" w:rsidRPr="00CA3DFF">
        <w:rPr>
          <w:b/>
          <w:i/>
          <w:sz w:val="28"/>
          <w:szCs w:val="28"/>
          <w:lang w:eastAsia="en-AU"/>
        </w:rPr>
        <w:t>497</w:t>
      </w:r>
    </w:p>
    <w:p w14:paraId="6B155ED1" w14:textId="77777777" w:rsidR="00863657" w:rsidRPr="00CA3DFF" w:rsidRDefault="00F800C9" w:rsidP="00F800C9">
      <w:pPr>
        <w:pStyle w:val="LI-BodyTextParaa"/>
        <w:ind w:left="0" w:firstLine="0"/>
      </w:pPr>
      <w:bookmarkStart w:id="0" w:name="BK_S3P1L1C1"/>
      <w:bookmarkEnd w:id="0"/>
      <w:r w:rsidRPr="00CA3DFF">
        <w:t>This is the Explanatory Statement for</w:t>
      </w:r>
      <w:r w:rsidR="002E1638" w:rsidRPr="00CA3DFF">
        <w:t xml:space="preserve"> </w:t>
      </w:r>
      <w:r w:rsidR="002E1638" w:rsidRPr="00CA3DFF">
        <w:rPr>
          <w:i/>
          <w:iCs/>
        </w:rPr>
        <w:t>ASIC Corporations (Shorter PDS and Delivery of Accessible Financial Products Disclosure by Platform Operators and Superannuation Trustees) Instrument 2022/</w:t>
      </w:r>
      <w:r w:rsidR="00A027F8" w:rsidRPr="00CA3DFF">
        <w:rPr>
          <w:i/>
          <w:iCs/>
        </w:rPr>
        <w:t>497</w:t>
      </w:r>
      <w:r w:rsidR="002E1638" w:rsidRPr="00CA3DFF">
        <w:t xml:space="preserve"> (</w:t>
      </w:r>
      <w:r w:rsidR="009F623E" w:rsidRPr="00CA3DFF">
        <w:rPr>
          <w:b/>
          <w:bCs/>
        </w:rPr>
        <w:t>I</w:t>
      </w:r>
      <w:r w:rsidR="002E1638" w:rsidRPr="00CA3DFF">
        <w:rPr>
          <w:b/>
          <w:bCs/>
        </w:rPr>
        <w:t>nstrument</w:t>
      </w:r>
      <w:r w:rsidR="002E1638" w:rsidRPr="00CA3DFF">
        <w:t>).</w:t>
      </w:r>
    </w:p>
    <w:p w14:paraId="2DE374D5" w14:textId="77777777" w:rsidR="00F800C9" w:rsidRPr="00CA3DFF" w:rsidRDefault="00863657" w:rsidP="00F800C9">
      <w:pPr>
        <w:pStyle w:val="LI-BodyTextParaa"/>
        <w:ind w:left="0" w:firstLine="0"/>
      </w:pPr>
      <w:r w:rsidRPr="00CA3DFF">
        <w:t>Th</w:t>
      </w:r>
      <w:r w:rsidR="00F800C9" w:rsidRPr="00CA3DFF">
        <w:t>e</w:t>
      </w:r>
      <w:r w:rsidRPr="00CA3DFF">
        <w:t xml:space="preserve"> </w:t>
      </w:r>
      <w:r w:rsidR="00F800C9" w:rsidRPr="00CA3DFF">
        <w:t>Explanatory Statement is approved by the Australian Securities and Investments Commission (</w:t>
      </w:r>
      <w:r w:rsidR="00F800C9" w:rsidRPr="00CA3DFF">
        <w:rPr>
          <w:b/>
        </w:rPr>
        <w:t>ASIC</w:t>
      </w:r>
      <w:r w:rsidR="00F800C9" w:rsidRPr="00CA3DFF">
        <w:t>).</w:t>
      </w:r>
    </w:p>
    <w:p w14:paraId="0A05E16E" w14:textId="77777777" w:rsidR="00F800C9" w:rsidRPr="00CA3DFF" w:rsidRDefault="005D1FEA" w:rsidP="00F800C9">
      <w:pPr>
        <w:pStyle w:val="LI-BodyTextNumbered"/>
        <w:ind w:left="0" w:firstLine="0"/>
        <w:rPr>
          <w:b/>
        </w:rPr>
      </w:pPr>
      <w:r w:rsidRPr="00CA3DFF">
        <w:rPr>
          <w:b/>
        </w:rPr>
        <w:t>Summary</w:t>
      </w:r>
    </w:p>
    <w:p w14:paraId="1EA5E878" w14:textId="77777777" w:rsidR="00F800C9" w:rsidRPr="00494F4A" w:rsidRDefault="006224B1" w:rsidP="00DF177C">
      <w:pPr>
        <w:pStyle w:val="LI-BodyTextParaa"/>
        <w:numPr>
          <w:ilvl w:val="0"/>
          <w:numId w:val="17"/>
        </w:numPr>
      </w:pPr>
      <w:bookmarkStart w:id="1" w:name="_Hlk97894611"/>
      <w:bookmarkStart w:id="2" w:name="_Hlk97895395"/>
      <w:r w:rsidRPr="00CA3DFF">
        <w:t>The</w:t>
      </w:r>
      <w:r w:rsidR="00CA4DB2" w:rsidRPr="00CA3DFF">
        <w:t xml:space="preserve"> </w:t>
      </w:r>
      <w:r w:rsidR="009F623E" w:rsidRPr="00CA3DFF">
        <w:t>I</w:t>
      </w:r>
      <w:r w:rsidR="00CA4DB2" w:rsidRPr="00CA3DFF">
        <w:t>nstrument continue</w:t>
      </w:r>
      <w:r w:rsidRPr="00CA3DFF">
        <w:t>s</w:t>
      </w:r>
      <w:r w:rsidR="00CA4DB2" w:rsidRPr="00CA3DFF">
        <w:t xml:space="preserve"> </w:t>
      </w:r>
      <w:r w:rsidR="00DC0BF8" w:rsidRPr="00CA3DFF">
        <w:t xml:space="preserve">relief that was previously provided under ASIC Class Orders [CO 12/749] </w:t>
      </w:r>
      <w:r w:rsidR="009069EA" w:rsidRPr="00CA3DFF">
        <w:rPr>
          <w:i/>
          <w:iCs/>
        </w:rPr>
        <w:t xml:space="preserve">Relief from the shorter Product Disclosure Statement regime </w:t>
      </w:r>
      <w:r w:rsidR="00DC0BF8" w:rsidRPr="00CA3DFF">
        <w:t>and [CO 13/797]</w:t>
      </w:r>
      <w:r w:rsidR="00ED5601" w:rsidRPr="00CA3DFF">
        <w:t xml:space="preserve"> </w:t>
      </w:r>
      <w:r w:rsidR="00ED5601" w:rsidRPr="00CA3DFF">
        <w:rPr>
          <w:i/>
          <w:iCs/>
        </w:rPr>
        <w:t>Platform</w:t>
      </w:r>
      <w:r w:rsidR="00ED5601" w:rsidRPr="00494F4A">
        <w:rPr>
          <w:i/>
          <w:iCs/>
        </w:rPr>
        <w:t xml:space="preserve"> operators and trustees of superannuation entities using an agent to deliver a Product Disclosure Statement</w:t>
      </w:r>
      <w:r w:rsidR="00DC0BF8" w:rsidRPr="00494F4A">
        <w:t xml:space="preserve">, and </w:t>
      </w:r>
      <w:r w:rsidR="00DC0BF8" w:rsidRPr="00494F4A">
        <w:rPr>
          <w:i/>
          <w:iCs/>
        </w:rPr>
        <w:t xml:space="preserve">ASIC Corporations (Superannuation: Investment Strategies) Instrument 2016/65 </w:t>
      </w:r>
      <w:r w:rsidR="00291871" w:rsidRPr="00494F4A">
        <w:t>(</w:t>
      </w:r>
      <w:r w:rsidR="00DC0BF8" w:rsidRPr="00494F4A">
        <w:rPr>
          <w:b/>
          <w:bCs/>
        </w:rPr>
        <w:t>LI 2016/65</w:t>
      </w:r>
      <w:r w:rsidR="00291871" w:rsidRPr="00494F4A">
        <w:t>)</w:t>
      </w:r>
      <w:r w:rsidR="00DC0BF8" w:rsidRPr="00494F4A">
        <w:t xml:space="preserve"> in a new</w:t>
      </w:r>
      <w:r w:rsidR="00255345" w:rsidRPr="00494F4A">
        <w:t xml:space="preserve"> </w:t>
      </w:r>
      <w:r w:rsidR="00DC0BF8" w:rsidRPr="00494F4A">
        <w:t xml:space="preserve">instrument with minimal changes. The </w:t>
      </w:r>
      <w:r w:rsidR="009F623E" w:rsidRPr="00494F4A">
        <w:t>I</w:t>
      </w:r>
      <w:r w:rsidR="00DC0BF8" w:rsidRPr="00494F4A">
        <w:t>nstrument will provide, until 1 October 2027,</w:t>
      </w:r>
      <w:r w:rsidR="00CE32BC" w:rsidRPr="00494F4A">
        <w:t xml:space="preserve"> relief</w:t>
      </w:r>
      <w:r w:rsidR="00CA4DB2" w:rsidRPr="00494F4A">
        <w:t xml:space="preserve"> relating to:</w:t>
      </w:r>
    </w:p>
    <w:p w14:paraId="5DD3FD36" w14:textId="77777777" w:rsidR="00CA4DB2" w:rsidRPr="00494F4A" w:rsidRDefault="00CA4DB2" w:rsidP="00CA4DB2">
      <w:pPr>
        <w:pStyle w:val="LI-BodyTextParaa"/>
        <w:numPr>
          <w:ilvl w:val="1"/>
          <w:numId w:val="15"/>
        </w:numPr>
        <w:rPr>
          <w:bCs/>
        </w:rPr>
      </w:pPr>
      <w:bookmarkStart w:id="3" w:name="_Hlk97895507"/>
      <w:bookmarkEnd w:id="2"/>
      <w:r w:rsidRPr="00494F4A">
        <w:t xml:space="preserve">the </w:t>
      </w:r>
      <w:r w:rsidR="009A1CD5" w:rsidRPr="00494F4A">
        <w:t>s</w:t>
      </w:r>
      <w:r w:rsidRPr="00494F4A">
        <w:t xml:space="preserve">horter </w:t>
      </w:r>
      <w:r w:rsidR="00DC0BF8" w:rsidRPr="00494F4A">
        <w:t xml:space="preserve">product disclosure statement </w:t>
      </w:r>
      <w:r w:rsidR="00DC0BF8" w:rsidRPr="00494F4A">
        <w:rPr>
          <w:b/>
          <w:bCs/>
        </w:rPr>
        <w:t>(</w:t>
      </w:r>
      <w:r w:rsidRPr="00494F4A">
        <w:rPr>
          <w:b/>
          <w:bCs/>
        </w:rPr>
        <w:t>PDS</w:t>
      </w:r>
      <w:r w:rsidR="00DC0BF8" w:rsidRPr="00494F4A">
        <w:t>)</w:t>
      </w:r>
      <w:r w:rsidRPr="00494F4A">
        <w:t xml:space="preserve"> regime for superannuation platforms and multifinds</w:t>
      </w:r>
      <w:r w:rsidR="002F1F74" w:rsidRPr="00494F4A">
        <w:t xml:space="preserve"> and hedge </w:t>
      </w:r>
      <w:proofErr w:type="gramStart"/>
      <w:r w:rsidR="002F1F74" w:rsidRPr="00494F4A">
        <w:t>fund</w:t>
      </w:r>
      <w:r w:rsidR="00CF404F" w:rsidRPr="00494F4A">
        <w:t>s</w:t>
      </w:r>
      <w:r w:rsidR="002F1F74" w:rsidRPr="00494F4A">
        <w:t>;</w:t>
      </w:r>
      <w:proofErr w:type="gramEnd"/>
    </w:p>
    <w:p w14:paraId="28A5F49C" w14:textId="77777777" w:rsidR="007C5BE9" w:rsidRPr="00494F4A" w:rsidRDefault="007C5BE9" w:rsidP="007C5BE9">
      <w:pPr>
        <w:pStyle w:val="LI-BodyTextParaa"/>
        <w:numPr>
          <w:ilvl w:val="1"/>
          <w:numId w:val="15"/>
        </w:numPr>
        <w:rPr>
          <w:bCs/>
        </w:rPr>
      </w:pPr>
      <w:r w:rsidRPr="00494F4A">
        <w:rPr>
          <w:bCs/>
        </w:rPr>
        <w:t>the giving of PDSs for superannuation trustees who offer a choice of investment strategies; and</w:t>
      </w:r>
    </w:p>
    <w:p w14:paraId="01A5BF0C" w14:textId="77777777" w:rsidR="00CA4DB2" w:rsidRPr="00494F4A" w:rsidRDefault="002F1F74" w:rsidP="00CA4DB2">
      <w:pPr>
        <w:pStyle w:val="LI-BodyTextParaa"/>
        <w:numPr>
          <w:ilvl w:val="1"/>
          <w:numId w:val="15"/>
        </w:numPr>
        <w:rPr>
          <w:bCs/>
        </w:rPr>
      </w:pPr>
      <w:r w:rsidRPr="00494F4A">
        <w:rPr>
          <w:bCs/>
        </w:rPr>
        <w:t>platform operators and trustees of superannuation entities delivering a PDS using an agent who is an Australian financial services licensee (</w:t>
      </w:r>
      <w:r w:rsidRPr="00494F4A">
        <w:rPr>
          <w:b/>
        </w:rPr>
        <w:t>AFS licensee</w:t>
      </w:r>
      <w:r w:rsidRPr="00494F4A">
        <w:rPr>
          <w:bCs/>
        </w:rPr>
        <w:t>) or an authorised representative of a</w:t>
      </w:r>
      <w:r w:rsidR="009A1CD5" w:rsidRPr="00494F4A">
        <w:rPr>
          <w:bCs/>
        </w:rPr>
        <w:t>n AFS</w:t>
      </w:r>
      <w:r w:rsidRPr="00494F4A">
        <w:rPr>
          <w:bCs/>
        </w:rPr>
        <w:t xml:space="preserve"> licensee</w:t>
      </w:r>
      <w:r w:rsidR="007C5BE9" w:rsidRPr="00494F4A">
        <w:rPr>
          <w:bCs/>
        </w:rPr>
        <w:t xml:space="preserve">. </w:t>
      </w:r>
    </w:p>
    <w:bookmarkEnd w:id="1"/>
    <w:bookmarkEnd w:id="3"/>
    <w:p w14:paraId="4E9ECF94" w14:textId="77777777" w:rsidR="00687EF7" w:rsidRPr="00494F4A" w:rsidRDefault="00687EF7" w:rsidP="00687EF7">
      <w:pPr>
        <w:pStyle w:val="LI-BodyTextNumbered"/>
        <w:ind w:left="0" w:firstLine="0"/>
        <w:rPr>
          <w:b/>
        </w:rPr>
      </w:pPr>
      <w:r w:rsidRPr="00494F4A">
        <w:rPr>
          <w:b/>
        </w:rPr>
        <w:t xml:space="preserve">Purpose of the </w:t>
      </w:r>
      <w:r w:rsidR="009F623E" w:rsidRPr="00494F4A">
        <w:rPr>
          <w:b/>
        </w:rPr>
        <w:t>I</w:t>
      </w:r>
      <w:r w:rsidRPr="00494F4A">
        <w:rPr>
          <w:b/>
        </w:rPr>
        <w:t>nstrument</w:t>
      </w:r>
    </w:p>
    <w:p w14:paraId="3D8E3EA7" w14:textId="77777777" w:rsidR="00EA7D7F" w:rsidRDefault="00687EF7" w:rsidP="0042297B">
      <w:pPr>
        <w:pStyle w:val="LI-BodyTextParaa"/>
        <w:numPr>
          <w:ilvl w:val="0"/>
          <w:numId w:val="15"/>
        </w:numPr>
      </w:pPr>
      <w:r w:rsidRPr="00494F4A">
        <w:t>The purpose of th</w:t>
      </w:r>
      <w:r w:rsidR="00533034" w:rsidRPr="00494F4A">
        <w:t>e</w:t>
      </w:r>
      <w:r w:rsidRPr="00494F4A">
        <w:t xml:space="preserve"> </w:t>
      </w:r>
      <w:r w:rsidR="009F623E" w:rsidRPr="00494F4A">
        <w:t>I</w:t>
      </w:r>
      <w:r w:rsidRPr="00494F4A">
        <w:t>nstrument is to</w:t>
      </w:r>
      <w:r w:rsidR="009A1CD5" w:rsidRPr="00494F4A">
        <w:t xml:space="preserve"> continue, with minimal changes, relief </w:t>
      </w:r>
      <w:r w:rsidR="004A656D" w:rsidRPr="00494F4A">
        <w:t xml:space="preserve">previously provided </w:t>
      </w:r>
      <w:r w:rsidR="009A1CD5" w:rsidRPr="00494F4A">
        <w:t xml:space="preserve">under [CO 12/749], </w:t>
      </w:r>
      <w:r w:rsidR="00EA7D7F" w:rsidRPr="00494F4A">
        <w:t xml:space="preserve">LI 2016/65 and </w:t>
      </w:r>
      <w:r w:rsidR="009A1CD5" w:rsidRPr="00494F4A">
        <w:t>[CO 13/797] in a new instrument with a 1</w:t>
      </w:r>
      <w:r w:rsidR="00C24AA1" w:rsidRPr="00494F4A">
        <w:t> </w:t>
      </w:r>
      <w:r w:rsidR="009A1CD5" w:rsidRPr="00494F4A">
        <w:t xml:space="preserve">October 2027 expiry date. </w:t>
      </w:r>
      <w:bookmarkStart w:id="4" w:name="_Hlk101964442"/>
      <w:r w:rsidR="00EA7D7F" w:rsidRPr="00494F4A">
        <w:t xml:space="preserve">ASIC considers this relief remains a necessary and useful part of the legislative </w:t>
      </w:r>
      <w:proofErr w:type="gramStart"/>
      <w:r w:rsidR="00EA7D7F" w:rsidRPr="00494F4A">
        <w:t>framework, and</w:t>
      </w:r>
      <w:proofErr w:type="gramEnd"/>
      <w:r w:rsidR="00EA7D7F" w:rsidRPr="00494F4A">
        <w:t xml:space="preserve"> is operating efficiently and effectively. </w:t>
      </w:r>
    </w:p>
    <w:p w14:paraId="15066277" w14:textId="77777777" w:rsidR="001A4388" w:rsidRPr="00494F4A" w:rsidRDefault="001A4388" w:rsidP="00F228C1">
      <w:pPr>
        <w:pStyle w:val="LI-BodyTextParaa"/>
        <w:ind w:left="570" w:firstLine="0"/>
      </w:pPr>
    </w:p>
    <w:bookmarkEnd w:id="4"/>
    <w:p w14:paraId="30FC21E2" w14:textId="77777777" w:rsidR="004C14A7" w:rsidRPr="00494F4A" w:rsidRDefault="00D71C07" w:rsidP="004C14A7">
      <w:pPr>
        <w:pStyle w:val="LI-BodyTextParaa"/>
        <w:ind w:left="0" w:firstLine="0"/>
        <w:rPr>
          <w:i/>
          <w:iCs/>
        </w:rPr>
      </w:pPr>
      <w:r w:rsidRPr="00494F4A">
        <w:rPr>
          <w:i/>
          <w:iCs/>
        </w:rPr>
        <w:lastRenderedPageBreak/>
        <w:t xml:space="preserve">[CO 12/749] </w:t>
      </w:r>
    </w:p>
    <w:p w14:paraId="53ACACD9" w14:textId="77777777" w:rsidR="00687EF7" w:rsidRPr="00494F4A" w:rsidRDefault="004C14A7" w:rsidP="004A656D">
      <w:pPr>
        <w:pStyle w:val="LI-BodyTextParaa"/>
        <w:numPr>
          <w:ilvl w:val="0"/>
          <w:numId w:val="15"/>
        </w:numPr>
      </w:pPr>
      <w:r w:rsidRPr="00494F4A">
        <w:t xml:space="preserve">[CO 12/749] </w:t>
      </w:r>
      <w:r w:rsidR="009A1CD5" w:rsidRPr="00494F4A">
        <w:t xml:space="preserve">previously provided </w:t>
      </w:r>
      <w:r w:rsidRPr="00494F4A">
        <w:t xml:space="preserve">relief </w:t>
      </w:r>
      <w:r w:rsidR="004E70C1" w:rsidRPr="00494F4A">
        <w:t xml:space="preserve">from application of the shorter PDS requirements </w:t>
      </w:r>
      <w:r w:rsidR="009A1CD5" w:rsidRPr="00494F4A">
        <w:t xml:space="preserve">in subdivisions 4.2B and 4.2C of the </w:t>
      </w:r>
      <w:r w:rsidR="009A1CD5" w:rsidRPr="00494F4A">
        <w:rPr>
          <w:i/>
          <w:iCs/>
        </w:rPr>
        <w:t xml:space="preserve">Corporations Regulations 2001 </w:t>
      </w:r>
      <w:r w:rsidR="009A1CD5" w:rsidRPr="00494F4A">
        <w:t>(</w:t>
      </w:r>
      <w:r w:rsidR="009A1CD5" w:rsidRPr="00494F4A">
        <w:rPr>
          <w:b/>
          <w:bCs/>
        </w:rPr>
        <w:t>Regulations</w:t>
      </w:r>
      <w:r w:rsidR="009A1CD5" w:rsidRPr="00494F4A">
        <w:t xml:space="preserve">) </w:t>
      </w:r>
      <w:r w:rsidRPr="00494F4A">
        <w:t>for superannuation platforms, multifunds and other complex products such as hedge funds</w:t>
      </w:r>
      <w:r w:rsidR="004E70C1" w:rsidRPr="00494F4A">
        <w:t xml:space="preserve">. </w:t>
      </w:r>
      <w:r w:rsidR="009A1CD5" w:rsidRPr="00494F4A">
        <w:t>[CO 12/749]</w:t>
      </w:r>
      <w:r w:rsidR="004E70C1" w:rsidRPr="00494F4A">
        <w:t xml:space="preserve"> was made after a government announcement in 2011 that </w:t>
      </w:r>
      <w:r w:rsidR="009A1CD5" w:rsidRPr="00494F4A">
        <w:t xml:space="preserve">these products should </w:t>
      </w:r>
      <w:r w:rsidR="004E70C1" w:rsidRPr="00494F4A">
        <w:t>be excluded</w:t>
      </w:r>
      <w:r w:rsidR="00C24AA1" w:rsidRPr="00494F4A">
        <w:t xml:space="preserve"> from the regime</w:t>
      </w:r>
      <w:r w:rsidR="009A1CD5" w:rsidRPr="00494F4A">
        <w:t>.</w:t>
      </w:r>
      <w:r w:rsidR="00C24AA1" w:rsidRPr="00494F4A">
        <w:t xml:space="preserve"> </w:t>
      </w:r>
      <w:r w:rsidR="009A1CD5" w:rsidRPr="00494F4A">
        <w:t>Regulations giving effect to</w:t>
      </w:r>
      <w:r w:rsidR="00C24AA1" w:rsidRPr="00494F4A">
        <w:t xml:space="preserve"> the government announcement have not yet been made.</w:t>
      </w:r>
    </w:p>
    <w:p w14:paraId="226FE131" w14:textId="77777777" w:rsidR="007C5BE9" w:rsidRPr="00494F4A" w:rsidRDefault="00C24AA1" w:rsidP="007C5BE9">
      <w:pPr>
        <w:pStyle w:val="LI-BodyTextParaa"/>
        <w:ind w:left="0" w:firstLine="0"/>
        <w:rPr>
          <w:i/>
          <w:iCs/>
        </w:rPr>
      </w:pPr>
      <w:r w:rsidRPr="00494F4A">
        <w:rPr>
          <w:i/>
          <w:iCs/>
        </w:rPr>
        <w:t xml:space="preserve">LI </w:t>
      </w:r>
      <w:r w:rsidR="007C5BE9" w:rsidRPr="00494F4A">
        <w:rPr>
          <w:i/>
          <w:iCs/>
        </w:rPr>
        <w:t>2016/65</w:t>
      </w:r>
    </w:p>
    <w:p w14:paraId="391EDEE8" w14:textId="77777777" w:rsidR="004A656D" w:rsidRPr="00494F4A" w:rsidRDefault="00C24AA1" w:rsidP="007C5BE9">
      <w:pPr>
        <w:pStyle w:val="LI-BodyTextParaa"/>
        <w:numPr>
          <w:ilvl w:val="0"/>
          <w:numId w:val="15"/>
        </w:numPr>
      </w:pPr>
      <w:r w:rsidRPr="00494F4A">
        <w:t xml:space="preserve">LI 2016/65 </w:t>
      </w:r>
      <w:r w:rsidR="00FA35E9" w:rsidRPr="00494F4A">
        <w:t>previously</w:t>
      </w:r>
      <w:r w:rsidRPr="00494F4A">
        <w:t xml:space="preserve"> provided relief for </w:t>
      </w:r>
      <w:r w:rsidR="007C5BE9" w:rsidRPr="00494F4A">
        <w:t>superannuation trustees who offer</w:t>
      </w:r>
      <w:r w:rsidRPr="00494F4A">
        <w:t>ed</w:t>
      </w:r>
      <w:r w:rsidR="007C5BE9" w:rsidRPr="00494F4A">
        <w:t xml:space="preserve"> a choice of investment strategies to members where, if the member instruct</w:t>
      </w:r>
      <w:r w:rsidR="004A656D" w:rsidRPr="00494F4A">
        <w:t>ed</w:t>
      </w:r>
      <w:r w:rsidR="007C5BE9" w:rsidRPr="00494F4A">
        <w:t xml:space="preserve"> the trustee to follow a particular strategy, the trustee w</w:t>
      </w:r>
      <w:r w:rsidRPr="00494F4A">
        <w:t>ould</w:t>
      </w:r>
      <w:r w:rsidR="007C5BE9" w:rsidRPr="00494F4A">
        <w:t xml:space="preserve"> acquire </w:t>
      </w:r>
      <w:r w:rsidR="00533034" w:rsidRPr="00494F4A">
        <w:t>‘</w:t>
      </w:r>
      <w:r w:rsidR="007C5BE9" w:rsidRPr="00494F4A">
        <w:t>accessible financial products</w:t>
      </w:r>
      <w:r w:rsidR="00533034" w:rsidRPr="00494F4A">
        <w:t>’ (within the meaning of LI 2016/65)</w:t>
      </w:r>
      <w:r w:rsidR="007C5BE9" w:rsidRPr="00494F4A">
        <w:t xml:space="preserve"> on behalf of the member. </w:t>
      </w:r>
      <w:r w:rsidR="004A656D" w:rsidRPr="00494F4A">
        <w:t>S</w:t>
      </w:r>
      <w:r w:rsidRPr="00494F4A">
        <w:t xml:space="preserve">ection </w:t>
      </w:r>
      <w:r w:rsidR="007C5BE9" w:rsidRPr="00494F4A">
        <w:t xml:space="preserve">1012IA of the </w:t>
      </w:r>
      <w:r w:rsidR="00DB57EA" w:rsidRPr="00494F4A">
        <w:rPr>
          <w:i/>
          <w:iCs/>
        </w:rPr>
        <w:t xml:space="preserve">Corporations Act </w:t>
      </w:r>
      <w:r w:rsidR="00DB57EA" w:rsidRPr="00494F4A">
        <w:t>(</w:t>
      </w:r>
      <w:r w:rsidR="00DB57EA" w:rsidRPr="00494F4A">
        <w:rPr>
          <w:b/>
          <w:bCs/>
        </w:rPr>
        <w:t>Act</w:t>
      </w:r>
      <w:r w:rsidR="00DB57EA" w:rsidRPr="00494F4A">
        <w:t>)</w:t>
      </w:r>
      <w:r w:rsidR="007C5BE9" w:rsidRPr="00494F4A">
        <w:t xml:space="preserve"> </w:t>
      </w:r>
      <w:r w:rsidR="004A656D" w:rsidRPr="00494F4A">
        <w:t>would apply in this situation but LI 2016/65 modifie</w:t>
      </w:r>
      <w:r w:rsidR="00533034" w:rsidRPr="00494F4A">
        <w:t>d</w:t>
      </w:r>
      <w:r w:rsidR="004A656D" w:rsidRPr="00494F4A">
        <w:t xml:space="preserve"> requirements in section</w:t>
      </w:r>
      <w:r w:rsidR="00533034" w:rsidRPr="00494F4A">
        <w:t>s</w:t>
      </w:r>
      <w:r w:rsidR="004A656D" w:rsidRPr="00494F4A">
        <w:t xml:space="preserve"> 1012IA, 1013D, 1013E and 1013F to provide three </w:t>
      </w:r>
      <w:r w:rsidR="002F58B3" w:rsidRPr="00494F4A">
        <w:t xml:space="preserve">alternate </w:t>
      </w:r>
      <w:r w:rsidR="004A656D" w:rsidRPr="00494F4A">
        <w:t xml:space="preserve">options for giving disclosure about accessible financial products. </w:t>
      </w:r>
    </w:p>
    <w:p w14:paraId="705A3668" w14:textId="77777777" w:rsidR="004A656D" w:rsidRPr="00494F4A" w:rsidRDefault="004A656D" w:rsidP="007C5BE9">
      <w:pPr>
        <w:pStyle w:val="LI-BodyTextParaa"/>
        <w:numPr>
          <w:ilvl w:val="0"/>
          <w:numId w:val="15"/>
        </w:numPr>
      </w:pPr>
      <w:r w:rsidRPr="00494F4A">
        <w:t xml:space="preserve">LI 2016/65 also amended disclosure obligations where an additional investment is made in an accessible financial product that a member has instructed the trustee to follow so that a PDS does not have to be provided for each additional investment. </w:t>
      </w:r>
    </w:p>
    <w:p w14:paraId="4FE62299" w14:textId="77777777" w:rsidR="007C5BE9" w:rsidRPr="00494F4A" w:rsidRDefault="004A656D" w:rsidP="007C5BE9">
      <w:pPr>
        <w:pStyle w:val="LI-BodyTextParaa"/>
        <w:numPr>
          <w:ilvl w:val="0"/>
          <w:numId w:val="15"/>
        </w:numPr>
      </w:pPr>
      <w:r w:rsidRPr="00494F4A">
        <w:t xml:space="preserve">LI 2016/65 also set out requirements for a </w:t>
      </w:r>
      <w:r w:rsidR="00255345" w:rsidRPr="00494F4A">
        <w:t xml:space="preserve">superannuation </w:t>
      </w:r>
      <w:r w:rsidRPr="00494F4A">
        <w:t>trustee to give updated disclosure to a member when a material adverse change or a significant event that adversely affect</w:t>
      </w:r>
      <w:r w:rsidR="00255345" w:rsidRPr="00494F4A">
        <w:t>ed</w:t>
      </w:r>
      <w:r w:rsidRPr="00494F4A">
        <w:t xml:space="preserve"> a matter occur</w:t>
      </w:r>
      <w:r w:rsidR="00255345" w:rsidRPr="00494F4A">
        <w:t>red</w:t>
      </w:r>
      <w:r w:rsidRPr="00494F4A">
        <w:t xml:space="preserve"> where the member has given the trustee instructions to follow an investment strategy that involves the acquisition of an accessible financial product. </w:t>
      </w:r>
      <w:r w:rsidR="007C5BE9" w:rsidRPr="00494F4A">
        <w:t xml:space="preserve">  </w:t>
      </w:r>
    </w:p>
    <w:p w14:paraId="4ACA3A4C" w14:textId="77777777" w:rsidR="00AF23D3" w:rsidRPr="00494F4A" w:rsidRDefault="00583DAC" w:rsidP="00AF23D3">
      <w:pPr>
        <w:pStyle w:val="LI-BodyTextParaa"/>
        <w:ind w:left="0" w:firstLine="0"/>
        <w:rPr>
          <w:i/>
          <w:iCs/>
        </w:rPr>
      </w:pPr>
      <w:r w:rsidRPr="00494F4A">
        <w:rPr>
          <w:i/>
          <w:iCs/>
        </w:rPr>
        <w:t>[CO 13/797]</w:t>
      </w:r>
      <w:r w:rsidR="00853ED0" w:rsidRPr="00494F4A" w:rsidDel="00853ED0">
        <w:rPr>
          <w:i/>
          <w:iCs/>
        </w:rPr>
        <w:t xml:space="preserve"> </w:t>
      </w:r>
      <w:r w:rsidR="00AF23D3" w:rsidRPr="00494F4A">
        <w:rPr>
          <w:i/>
          <w:iCs/>
        </w:rPr>
        <w:t xml:space="preserve"> </w:t>
      </w:r>
    </w:p>
    <w:p w14:paraId="4B2B52F8" w14:textId="77777777" w:rsidR="002F58B3" w:rsidRPr="00494F4A" w:rsidRDefault="00EA7D7F" w:rsidP="007C5BE9">
      <w:pPr>
        <w:pStyle w:val="LI-BodyTextParaa"/>
        <w:numPr>
          <w:ilvl w:val="0"/>
          <w:numId w:val="15"/>
        </w:numPr>
      </w:pPr>
      <w:r w:rsidRPr="00494F4A">
        <w:t>P</w:t>
      </w:r>
      <w:r w:rsidR="00DB57EA" w:rsidRPr="00494F4A">
        <w:t xml:space="preserve">aragraphs </w:t>
      </w:r>
      <w:r w:rsidR="00AF23D3" w:rsidRPr="00494F4A">
        <w:t>1015C(3)(a) and (b) of the Act</w:t>
      </w:r>
      <w:r w:rsidRPr="00494F4A">
        <w:t xml:space="preserve"> prohibit the</w:t>
      </w:r>
      <w:r w:rsidR="00AF23D3" w:rsidRPr="00494F4A">
        <w:t xml:space="preserve"> PDS </w:t>
      </w:r>
      <w:r w:rsidRPr="00494F4A">
        <w:t xml:space="preserve">for a product being </w:t>
      </w:r>
      <w:r w:rsidR="00AF23D3" w:rsidRPr="00494F4A">
        <w:t>given to a person by giving it to an AFS licensee</w:t>
      </w:r>
      <w:r w:rsidR="00DB57EA" w:rsidRPr="00494F4A">
        <w:t xml:space="preserve"> </w:t>
      </w:r>
      <w:r w:rsidR="00AF23D3" w:rsidRPr="00494F4A">
        <w:t xml:space="preserve">or the authorised representative of an AFS licensee acting as the person’s agent to receive a PDS. </w:t>
      </w:r>
    </w:p>
    <w:p w14:paraId="581ADA5F" w14:textId="77777777" w:rsidR="004E70C1" w:rsidRPr="00494F4A" w:rsidRDefault="004E70C1" w:rsidP="007C5BE9">
      <w:pPr>
        <w:pStyle w:val="LI-BodyTextParaa"/>
        <w:numPr>
          <w:ilvl w:val="0"/>
          <w:numId w:val="15"/>
        </w:numPr>
      </w:pPr>
      <w:r w:rsidRPr="00494F4A">
        <w:t xml:space="preserve">[CO 13/797] </w:t>
      </w:r>
      <w:r w:rsidR="00DB57EA" w:rsidRPr="00494F4A">
        <w:t xml:space="preserve">previously provided </w:t>
      </w:r>
      <w:r w:rsidR="00AF23D3" w:rsidRPr="00494F4A">
        <w:t>relief from th</w:t>
      </w:r>
      <w:r w:rsidR="00EA7D7F" w:rsidRPr="00494F4A">
        <w:t>is</w:t>
      </w:r>
      <w:r w:rsidR="00AF23D3" w:rsidRPr="00494F4A">
        <w:t xml:space="preserve"> prohibition</w:t>
      </w:r>
      <w:r w:rsidR="00EA7D7F" w:rsidRPr="00494F4A">
        <w:t xml:space="preserve"> and allowed </w:t>
      </w:r>
      <w:r w:rsidR="00AF23D3" w:rsidRPr="00494F4A">
        <w:t>superannuation trustees, investor directed portfolio service (</w:t>
      </w:r>
      <w:r w:rsidR="00AF23D3" w:rsidRPr="00494F4A">
        <w:rPr>
          <w:b/>
          <w:bCs/>
        </w:rPr>
        <w:t>IDPS</w:t>
      </w:r>
      <w:r w:rsidR="00AF23D3" w:rsidRPr="00494F4A">
        <w:t xml:space="preserve">) </w:t>
      </w:r>
      <w:r w:rsidR="00EA7D7F" w:rsidRPr="00494F4A">
        <w:t xml:space="preserve">operators </w:t>
      </w:r>
      <w:r w:rsidR="00AF23D3" w:rsidRPr="00494F4A">
        <w:t xml:space="preserve">and responsible entities of IDPS-like schemes that are required to give PDSs about financial products available through a platform to an investor to do so through an agent who is an AFS licensee or </w:t>
      </w:r>
      <w:r w:rsidR="00EA7D7F" w:rsidRPr="00494F4A">
        <w:t xml:space="preserve">the </w:t>
      </w:r>
      <w:r w:rsidR="00AF23D3" w:rsidRPr="00494F4A">
        <w:t>authorised representative</w:t>
      </w:r>
      <w:r w:rsidR="00EA7D7F" w:rsidRPr="00494F4A">
        <w:t xml:space="preserve"> of an AFS licensee</w:t>
      </w:r>
      <w:r w:rsidR="00AF23D3" w:rsidRPr="00494F4A">
        <w:t xml:space="preserve">. </w:t>
      </w:r>
    </w:p>
    <w:p w14:paraId="19384608" w14:textId="77777777" w:rsidR="00A57D9B" w:rsidRPr="00494F4A" w:rsidRDefault="00A57D9B" w:rsidP="00A57D9B">
      <w:pPr>
        <w:pStyle w:val="LI-BodyTextNumbered"/>
        <w:ind w:left="0" w:firstLine="0"/>
        <w:rPr>
          <w:b/>
        </w:rPr>
      </w:pPr>
      <w:r w:rsidRPr="00494F4A">
        <w:rPr>
          <w:b/>
        </w:rPr>
        <w:t>Consultation</w:t>
      </w:r>
    </w:p>
    <w:p w14:paraId="1EE35A61" w14:textId="77777777" w:rsidR="00682B5A" w:rsidRPr="00494F4A" w:rsidRDefault="002F58B3" w:rsidP="00682B5A">
      <w:pPr>
        <w:pStyle w:val="LI-BodyTextParaa"/>
        <w:numPr>
          <w:ilvl w:val="0"/>
          <w:numId w:val="15"/>
        </w:numPr>
      </w:pPr>
      <w:r w:rsidRPr="00494F4A">
        <w:rPr>
          <w:color w:val="000000"/>
        </w:rPr>
        <w:t>On 15 February 2022, ASIC released CP 358 </w:t>
      </w:r>
      <w:r w:rsidRPr="00494F4A">
        <w:rPr>
          <w:i/>
          <w:iCs/>
          <w:color w:val="000000"/>
        </w:rPr>
        <w:t xml:space="preserve">Remaking ASIC relief on PDSs, superannuation dashboards and FSGs </w:t>
      </w:r>
      <w:r w:rsidRPr="00494F4A">
        <w:rPr>
          <w:color w:val="000000"/>
        </w:rPr>
        <w:t>(</w:t>
      </w:r>
      <w:r w:rsidRPr="00494F4A">
        <w:rPr>
          <w:b/>
          <w:bCs/>
          <w:color w:val="000000"/>
        </w:rPr>
        <w:t>CP 358</w:t>
      </w:r>
      <w:r w:rsidRPr="00494F4A">
        <w:rPr>
          <w:color w:val="000000"/>
        </w:rPr>
        <w:t xml:space="preserve">) seeking feedback on proposals to remake legislative instruments relating to specific financial services disclosure </w:t>
      </w:r>
      <w:r w:rsidR="002A6C0B" w:rsidRPr="00494F4A">
        <w:rPr>
          <w:color w:val="000000"/>
        </w:rPr>
        <w:t>requirements.</w:t>
      </w:r>
      <w:r w:rsidR="002A6C0B" w:rsidRPr="00494F4A">
        <w:t xml:space="preserve"> This</w:t>
      </w:r>
      <w:r w:rsidR="00682B5A" w:rsidRPr="00494F4A">
        <w:t xml:space="preserve"> included proposals</w:t>
      </w:r>
      <w:r w:rsidR="00EA7D7F" w:rsidRPr="00494F4A">
        <w:t xml:space="preserve"> to remake in a single </w:t>
      </w:r>
      <w:r w:rsidR="00EA7D7F" w:rsidRPr="00494F4A">
        <w:lastRenderedPageBreak/>
        <w:t>legislative instrument</w:t>
      </w:r>
      <w:r w:rsidR="00853ED0" w:rsidRPr="00494F4A">
        <w:t>, with</w:t>
      </w:r>
      <w:r w:rsidR="00C35F4C">
        <w:t xml:space="preserve"> minimal </w:t>
      </w:r>
      <w:r w:rsidR="00853ED0" w:rsidRPr="00494F4A">
        <w:t>changes,</w:t>
      </w:r>
      <w:r w:rsidR="00EA7D7F" w:rsidRPr="00494F4A">
        <w:t xml:space="preserve"> the relief in [CO 12/749], </w:t>
      </w:r>
      <w:r w:rsidR="00583DAC" w:rsidRPr="00494F4A">
        <w:t>LI</w:t>
      </w:r>
      <w:r w:rsidR="00C35F4C">
        <w:t> 2016/65</w:t>
      </w:r>
      <w:r w:rsidR="00583DAC" w:rsidRPr="00494F4A">
        <w:t xml:space="preserve"> and </w:t>
      </w:r>
      <w:r w:rsidR="00EA7D7F" w:rsidRPr="00494F4A">
        <w:t>[CO 13/</w:t>
      </w:r>
      <w:r w:rsidR="00583DAC" w:rsidRPr="00494F4A">
        <w:t>797</w:t>
      </w:r>
      <w:r w:rsidR="00EA7D7F" w:rsidRPr="00494F4A">
        <w:t>]</w:t>
      </w:r>
      <w:r w:rsidR="00682B5A" w:rsidRPr="00494F4A">
        <w:t>.</w:t>
      </w:r>
    </w:p>
    <w:p w14:paraId="130EFAEE" w14:textId="77777777" w:rsidR="00C35F4C" w:rsidRDefault="00682B5A" w:rsidP="00C35F4C">
      <w:pPr>
        <w:pStyle w:val="LI-BodyTextParaa"/>
        <w:numPr>
          <w:ilvl w:val="0"/>
          <w:numId w:val="15"/>
        </w:numPr>
      </w:pPr>
      <w:r w:rsidRPr="00494F4A">
        <w:t xml:space="preserve">The consultation period closed on 12 April 2022.We received </w:t>
      </w:r>
      <w:r w:rsidR="00583DAC" w:rsidRPr="00494F4A">
        <w:t>six submissions in response to CP 358</w:t>
      </w:r>
      <w:r w:rsidR="00EA7D7F" w:rsidRPr="00494F4A">
        <w:t>.</w:t>
      </w:r>
      <w:r w:rsidR="00583DAC" w:rsidRPr="00494F4A">
        <w:t xml:space="preserve"> </w:t>
      </w:r>
    </w:p>
    <w:p w14:paraId="40BD3F13" w14:textId="77777777" w:rsidR="00EA7D7F" w:rsidRPr="00494F4A" w:rsidRDefault="00583DAC" w:rsidP="00C35F4C">
      <w:pPr>
        <w:pStyle w:val="LI-BodyTextParaa"/>
        <w:numPr>
          <w:ilvl w:val="0"/>
          <w:numId w:val="15"/>
        </w:numPr>
      </w:pPr>
      <w:r w:rsidRPr="00494F4A">
        <w:t>No respondent opposed our proposal to remake the relief wit</w:t>
      </w:r>
      <w:r w:rsidR="00C35F4C">
        <w:t xml:space="preserve">h minimal </w:t>
      </w:r>
      <w:r w:rsidRPr="00494F4A">
        <w:t>changes</w:t>
      </w:r>
      <w:r w:rsidR="00853ED0" w:rsidRPr="00494F4A">
        <w:t xml:space="preserve"> in a new instrument</w:t>
      </w:r>
      <w:r w:rsidR="00A54B0C" w:rsidRPr="00494F4A">
        <w:t>.</w:t>
      </w:r>
    </w:p>
    <w:p w14:paraId="372981BD" w14:textId="77777777" w:rsidR="00EA7D7F" w:rsidRPr="0095459E" w:rsidRDefault="00EA7D7F" w:rsidP="00EA7D7F">
      <w:pPr>
        <w:pStyle w:val="LI-BodyTextParaa"/>
        <w:numPr>
          <w:ilvl w:val="0"/>
          <w:numId w:val="15"/>
        </w:numPr>
      </w:pPr>
      <w:r w:rsidRPr="00494F4A">
        <w:t>The submissions to CP 358 are publicly available on ASIC’s website</w:t>
      </w:r>
      <w:r w:rsidR="00682B5A" w:rsidRPr="00494F4A">
        <w:t xml:space="preserve"> at </w:t>
      </w:r>
      <w:hyperlink r:id="rId15" w:history="1">
        <w:r w:rsidR="00682B5A" w:rsidRPr="0095459E">
          <w:rPr>
            <w:rStyle w:val="Hyperlink"/>
          </w:rPr>
          <w:t>www.asic.gov.au</w:t>
        </w:r>
      </w:hyperlink>
      <w:r w:rsidRPr="0095459E">
        <w:t>.</w:t>
      </w:r>
    </w:p>
    <w:p w14:paraId="4E62EE3A" w14:textId="77777777" w:rsidR="00A57D9B" w:rsidRPr="00494F4A" w:rsidRDefault="004831DA" w:rsidP="004831DA">
      <w:pPr>
        <w:pStyle w:val="LI-BodyTextNumbered"/>
        <w:ind w:left="0" w:firstLine="0"/>
        <w:rPr>
          <w:b/>
        </w:rPr>
      </w:pPr>
      <w:r w:rsidRPr="00494F4A">
        <w:rPr>
          <w:b/>
        </w:rPr>
        <w:t>Operation of the instrument</w:t>
      </w:r>
    </w:p>
    <w:p w14:paraId="4459F43F" w14:textId="77777777" w:rsidR="00682B5A" w:rsidRPr="00494F4A" w:rsidRDefault="00682B5A" w:rsidP="00682B5A">
      <w:pPr>
        <w:pStyle w:val="LI-BodyTextNumbered"/>
        <w:ind w:hanging="1134"/>
        <w:rPr>
          <w:b/>
          <w:u w:val="single"/>
        </w:rPr>
      </w:pPr>
      <w:r w:rsidRPr="00494F4A">
        <w:rPr>
          <w:b/>
          <w:u w:val="single"/>
        </w:rPr>
        <w:t xml:space="preserve">Part 1 – Preliminary </w:t>
      </w:r>
    </w:p>
    <w:p w14:paraId="49FBF22C" w14:textId="77777777" w:rsidR="00682B5A" w:rsidRPr="00494F4A" w:rsidRDefault="00682B5A" w:rsidP="009C1FDF">
      <w:pPr>
        <w:pStyle w:val="LI-BodyTextParaa"/>
        <w:numPr>
          <w:ilvl w:val="0"/>
          <w:numId w:val="15"/>
        </w:numPr>
      </w:pPr>
      <w:r w:rsidRPr="00494F4A">
        <w:t>Section 1 provides the name of the Instrument.</w:t>
      </w:r>
    </w:p>
    <w:p w14:paraId="6186614B" w14:textId="77777777" w:rsidR="00682B5A" w:rsidRPr="00494F4A" w:rsidRDefault="00682B5A" w:rsidP="009C1FDF">
      <w:pPr>
        <w:pStyle w:val="LI-BodyTextParaa"/>
        <w:numPr>
          <w:ilvl w:val="0"/>
          <w:numId w:val="15"/>
        </w:numPr>
        <w:rPr>
          <w:b/>
          <w:bCs/>
          <w:u w:val="single"/>
        </w:rPr>
      </w:pPr>
      <w:r w:rsidRPr="00494F4A">
        <w:t xml:space="preserve">Section 2 provides that the Instrument commences </w:t>
      </w:r>
      <w:proofErr w:type="gramStart"/>
      <w:r w:rsidRPr="00494F4A">
        <w:t>at the same time that</w:t>
      </w:r>
      <w:proofErr w:type="gramEnd"/>
      <w:r w:rsidRPr="00494F4A">
        <w:t xml:space="preserve"> the </w:t>
      </w:r>
      <w:r w:rsidRPr="00494F4A">
        <w:rPr>
          <w:i/>
          <w:iCs/>
        </w:rPr>
        <w:t>ASIC Corporations (Repeal) Instrument 2022/</w:t>
      </w:r>
      <w:r w:rsidR="00DB1D62">
        <w:rPr>
          <w:i/>
          <w:iCs/>
        </w:rPr>
        <w:t>499</w:t>
      </w:r>
      <w:r w:rsidRPr="00494F4A">
        <w:rPr>
          <w:i/>
          <w:iCs/>
        </w:rPr>
        <w:t xml:space="preserve"> </w:t>
      </w:r>
      <w:r w:rsidRPr="00494F4A">
        <w:t xml:space="preserve">commences. </w:t>
      </w:r>
    </w:p>
    <w:p w14:paraId="7B4F55E1" w14:textId="77777777" w:rsidR="00682B5A" w:rsidRPr="00494F4A" w:rsidRDefault="00682B5A" w:rsidP="009C1FDF">
      <w:pPr>
        <w:pStyle w:val="LI-BodyTextNumbered"/>
        <w:numPr>
          <w:ilvl w:val="0"/>
          <w:numId w:val="15"/>
        </w:numPr>
        <w:rPr>
          <w:bCs/>
        </w:rPr>
      </w:pPr>
      <w:r w:rsidRPr="00494F4A">
        <w:rPr>
          <w:bCs/>
        </w:rPr>
        <w:t xml:space="preserve">Section 3 provides that the Instrument is made under paragraph 1020F(1)(c) of the Act. </w:t>
      </w:r>
    </w:p>
    <w:p w14:paraId="2D9E9E90" w14:textId="77777777" w:rsidR="00682B5A" w:rsidRPr="00494F4A" w:rsidRDefault="00682B5A" w:rsidP="009C1FDF">
      <w:pPr>
        <w:pStyle w:val="LI-BodyTextNumbered"/>
        <w:numPr>
          <w:ilvl w:val="0"/>
          <w:numId w:val="15"/>
        </w:numPr>
        <w:rPr>
          <w:bCs/>
        </w:rPr>
      </w:pPr>
      <w:r w:rsidRPr="00494F4A">
        <w:rPr>
          <w:bCs/>
        </w:rPr>
        <w:t xml:space="preserve">Section 4 provides definitions for the purposes of the Instrument. </w:t>
      </w:r>
    </w:p>
    <w:p w14:paraId="3935BDAC" w14:textId="77777777" w:rsidR="00682B5A" w:rsidRPr="00494F4A" w:rsidRDefault="00682B5A" w:rsidP="00395DD1">
      <w:pPr>
        <w:pStyle w:val="LI-BodyTextParaa"/>
        <w:ind w:left="0" w:firstLine="0"/>
        <w:rPr>
          <w:b/>
          <w:bCs/>
          <w:u w:val="single"/>
        </w:rPr>
      </w:pPr>
      <w:r w:rsidRPr="00494F4A">
        <w:rPr>
          <w:b/>
          <w:bCs/>
          <w:u w:val="single"/>
        </w:rPr>
        <w:t xml:space="preserve">Part 2 – Declaration </w:t>
      </w:r>
    </w:p>
    <w:p w14:paraId="5DBA54A3" w14:textId="77777777" w:rsidR="00395DD1" w:rsidRPr="00494F4A" w:rsidRDefault="00395DD1" w:rsidP="00395DD1">
      <w:pPr>
        <w:pStyle w:val="LI-BodyTextParaa"/>
        <w:ind w:left="0" w:firstLine="0"/>
        <w:rPr>
          <w:i/>
          <w:iCs/>
        </w:rPr>
      </w:pPr>
      <w:r w:rsidRPr="00494F4A">
        <w:rPr>
          <w:i/>
          <w:iCs/>
        </w:rPr>
        <w:t>Relief from the shorter PDS regime</w:t>
      </w:r>
    </w:p>
    <w:p w14:paraId="504DD34C" w14:textId="77777777" w:rsidR="0042297B" w:rsidRPr="00494F4A" w:rsidRDefault="0042297B" w:rsidP="00C25013">
      <w:pPr>
        <w:pStyle w:val="LI-BodyTextParaa"/>
        <w:ind w:left="0" w:firstLine="0"/>
      </w:pPr>
      <w:r w:rsidRPr="00494F4A">
        <w:rPr>
          <w:u w:val="single"/>
        </w:rPr>
        <w:t>Superannuation platforms</w:t>
      </w:r>
      <w:r w:rsidRPr="00494F4A">
        <w:t xml:space="preserve"> </w:t>
      </w:r>
    </w:p>
    <w:p w14:paraId="54AFDB88" w14:textId="77777777" w:rsidR="0042297B" w:rsidRPr="00494F4A" w:rsidRDefault="0042297B" w:rsidP="00580674">
      <w:pPr>
        <w:pStyle w:val="LI-BodyTextParaa"/>
        <w:numPr>
          <w:ilvl w:val="0"/>
          <w:numId w:val="15"/>
        </w:numPr>
      </w:pPr>
      <w:r w:rsidRPr="00494F4A">
        <w:t>Sub</w:t>
      </w:r>
      <w:r w:rsidR="009F623E" w:rsidRPr="00494F4A">
        <w:t>section</w:t>
      </w:r>
      <w:r w:rsidR="00A54B0C" w:rsidRPr="00494F4A">
        <w:t xml:space="preserve"> 5</w:t>
      </w:r>
      <w:r w:rsidRPr="00494F4A">
        <w:t>(1)</w:t>
      </w:r>
      <w:r w:rsidR="00A54B0C" w:rsidRPr="00494F4A">
        <w:t xml:space="preserve"> </w:t>
      </w:r>
      <w:r w:rsidRPr="00494F4A">
        <w:t>modifies regulation 7.9.11K of the Regulations so that Subdivision 4.2B does not apply to a ‘</w:t>
      </w:r>
      <w:r w:rsidR="00CB13E1" w:rsidRPr="00494F4A">
        <w:t>superannuation platform</w:t>
      </w:r>
      <w:r w:rsidRPr="00494F4A">
        <w:t xml:space="preserve">’. This is so long as a PDS covering the product is </w:t>
      </w:r>
      <w:r w:rsidR="00C8269E" w:rsidRPr="00494F4A">
        <w:t xml:space="preserve">not </w:t>
      </w:r>
      <w:r w:rsidRPr="00494F4A">
        <w:t>prepared or purports to be prepared in accordance with Part 7.9 of the Act as affected by the Subdivision.</w:t>
      </w:r>
    </w:p>
    <w:p w14:paraId="7985D0D6" w14:textId="77777777" w:rsidR="0042297B" w:rsidRPr="00494F4A" w:rsidRDefault="0042297B" w:rsidP="00580674">
      <w:pPr>
        <w:pStyle w:val="LI-BodyTextParaa"/>
        <w:numPr>
          <w:ilvl w:val="0"/>
          <w:numId w:val="15"/>
        </w:numPr>
      </w:pPr>
      <w:r w:rsidRPr="00494F4A">
        <w:t xml:space="preserve">That is, </w:t>
      </w:r>
      <w:r w:rsidR="00C8269E" w:rsidRPr="00494F4A">
        <w:t>the issuer of a</w:t>
      </w:r>
      <w:r w:rsidRPr="00494F4A">
        <w:t xml:space="preserve"> </w:t>
      </w:r>
      <w:r w:rsidR="00C8269E" w:rsidRPr="00494F4A">
        <w:t xml:space="preserve">superannuation platform </w:t>
      </w:r>
      <w:r w:rsidRPr="00494F4A">
        <w:t>may</w:t>
      </w:r>
      <w:r w:rsidR="00C8269E" w:rsidRPr="00494F4A">
        <w:t xml:space="preserve"> choose to opt in to the </w:t>
      </w:r>
      <w:r w:rsidRPr="00494F4A">
        <w:t>shorter PDS regime and, if they adopt this approach, th</w:t>
      </w:r>
      <w:r w:rsidR="00C8269E" w:rsidRPr="00494F4A">
        <w:t>at</w:t>
      </w:r>
      <w:r w:rsidRPr="00494F4A">
        <w:t xml:space="preserve"> regime will apply.   </w:t>
      </w:r>
      <w:r w:rsidRPr="00494F4A">
        <w:br/>
      </w:r>
    </w:p>
    <w:p w14:paraId="1DA9992E" w14:textId="77777777" w:rsidR="00395DD1" w:rsidRPr="00494F4A" w:rsidRDefault="00CB13E1" w:rsidP="00395DD1">
      <w:pPr>
        <w:numPr>
          <w:ilvl w:val="0"/>
          <w:numId w:val="15"/>
        </w:numPr>
        <w:rPr>
          <w:rFonts w:eastAsia="Times New Roman"/>
          <w:sz w:val="24"/>
          <w:szCs w:val="24"/>
          <w:lang w:eastAsia="en-AU"/>
        </w:rPr>
      </w:pPr>
      <w:r w:rsidRPr="00494F4A">
        <w:rPr>
          <w:rFonts w:eastAsia="Times New Roman"/>
          <w:sz w:val="24"/>
          <w:szCs w:val="24"/>
          <w:lang w:eastAsia="en-AU"/>
        </w:rPr>
        <w:t>‘Superannuation platform’ refers to superannuation products in which:</w:t>
      </w:r>
    </w:p>
    <w:p w14:paraId="0E6641DF" w14:textId="77777777" w:rsidR="00580674" w:rsidRPr="00494F4A" w:rsidRDefault="00580674" w:rsidP="00580674">
      <w:pPr>
        <w:pStyle w:val="ListParagraph"/>
        <w:rPr>
          <w:rFonts w:eastAsia="Times New Roman"/>
          <w:sz w:val="24"/>
          <w:szCs w:val="24"/>
          <w:lang w:eastAsia="en-AU"/>
        </w:rPr>
      </w:pPr>
    </w:p>
    <w:p w14:paraId="03F9B86B" w14:textId="77777777" w:rsidR="00580674" w:rsidRPr="00494F4A" w:rsidRDefault="00580674" w:rsidP="00580674">
      <w:pPr>
        <w:numPr>
          <w:ilvl w:val="1"/>
          <w:numId w:val="15"/>
        </w:numPr>
        <w:rPr>
          <w:rFonts w:eastAsia="Times New Roman"/>
          <w:sz w:val="24"/>
          <w:szCs w:val="24"/>
          <w:lang w:eastAsia="en-AU"/>
        </w:rPr>
      </w:pPr>
      <w:r w:rsidRPr="00494F4A">
        <w:rPr>
          <w:rFonts w:eastAsia="Times New Roman"/>
          <w:sz w:val="24"/>
          <w:szCs w:val="24"/>
          <w:lang w:eastAsia="en-AU"/>
        </w:rPr>
        <w:t>two or more investment strategies are available from which a member, or a class of members</w:t>
      </w:r>
      <w:r w:rsidR="00A54B0C" w:rsidRPr="00494F4A">
        <w:rPr>
          <w:rFonts w:eastAsia="Times New Roman"/>
          <w:sz w:val="24"/>
          <w:szCs w:val="24"/>
          <w:lang w:eastAsia="en-AU"/>
        </w:rPr>
        <w:t>, may choose</w:t>
      </w:r>
      <w:r w:rsidRPr="00494F4A">
        <w:rPr>
          <w:rFonts w:eastAsia="Times New Roman"/>
          <w:sz w:val="24"/>
          <w:szCs w:val="24"/>
          <w:lang w:eastAsia="en-AU"/>
        </w:rPr>
        <w:t>; and</w:t>
      </w:r>
    </w:p>
    <w:p w14:paraId="1E24A163" w14:textId="77777777" w:rsidR="00580674" w:rsidRPr="00494F4A" w:rsidRDefault="00580674"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each of the investment strategies enables a regulated acquisition (within the meaning of section 1012IA of the Act) of a financial product to be made.</w:t>
      </w:r>
    </w:p>
    <w:p w14:paraId="7E50157F" w14:textId="77777777" w:rsidR="00395DD1" w:rsidRPr="00494F4A" w:rsidRDefault="00395DD1" w:rsidP="00395DD1">
      <w:pPr>
        <w:pStyle w:val="ListParagraph"/>
        <w:rPr>
          <w:rFonts w:eastAsia="Times New Roman"/>
          <w:sz w:val="24"/>
          <w:szCs w:val="24"/>
          <w:lang w:eastAsia="en-AU"/>
        </w:rPr>
      </w:pPr>
    </w:p>
    <w:p w14:paraId="6155B4BA" w14:textId="77777777" w:rsidR="00580674" w:rsidRPr="00494F4A" w:rsidRDefault="00580674" w:rsidP="00395DD1">
      <w:pPr>
        <w:numPr>
          <w:ilvl w:val="0"/>
          <w:numId w:val="15"/>
        </w:numPr>
        <w:rPr>
          <w:rFonts w:eastAsia="Times New Roman"/>
          <w:sz w:val="24"/>
          <w:szCs w:val="24"/>
          <w:lang w:eastAsia="en-AU"/>
        </w:rPr>
      </w:pPr>
      <w:r w:rsidRPr="00494F4A">
        <w:rPr>
          <w:rFonts w:eastAsia="Times New Roman"/>
          <w:sz w:val="24"/>
          <w:szCs w:val="24"/>
          <w:lang w:eastAsia="en-AU"/>
        </w:rPr>
        <w:t>A superannuation product that has a default option or which provides pre-mixed investment strategies remains subject to the shorter PDS regime, even if it also allows a member to choose from a range of accessible investments.</w:t>
      </w:r>
    </w:p>
    <w:p w14:paraId="30032CB2" w14:textId="77777777" w:rsidR="00580674" w:rsidRPr="00494F4A" w:rsidRDefault="00580674" w:rsidP="00580674">
      <w:pPr>
        <w:ind w:left="570"/>
        <w:rPr>
          <w:rFonts w:eastAsia="Times New Roman"/>
          <w:sz w:val="24"/>
          <w:szCs w:val="24"/>
          <w:lang w:eastAsia="en-AU"/>
        </w:rPr>
      </w:pPr>
    </w:p>
    <w:p w14:paraId="04D67C70" w14:textId="77777777" w:rsidR="00580674" w:rsidRPr="0095459E" w:rsidRDefault="00580674" w:rsidP="00395DD1">
      <w:pPr>
        <w:numPr>
          <w:ilvl w:val="0"/>
          <w:numId w:val="15"/>
        </w:numPr>
        <w:rPr>
          <w:rFonts w:eastAsia="Times New Roman"/>
          <w:sz w:val="24"/>
          <w:szCs w:val="24"/>
          <w:lang w:eastAsia="en-AU"/>
        </w:rPr>
      </w:pPr>
      <w:r w:rsidRPr="00494F4A">
        <w:rPr>
          <w:rFonts w:eastAsia="Times New Roman"/>
          <w:sz w:val="24"/>
          <w:szCs w:val="24"/>
          <w:lang w:eastAsia="en-AU"/>
        </w:rPr>
        <w:t>For the purpose of determining whether a superannuation product is a superannuation platform, a facility (</w:t>
      </w:r>
      <w:proofErr w:type="gramStart"/>
      <w:r w:rsidR="00E87C8C" w:rsidRPr="00494F4A">
        <w:rPr>
          <w:rFonts w:eastAsia="Times New Roman"/>
          <w:sz w:val="24"/>
          <w:szCs w:val="24"/>
          <w:lang w:eastAsia="en-AU"/>
        </w:rPr>
        <w:t>e.g.</w:t>
      </w:r>
      <w:proofErr w:type="gramEnd"/>
      <w:r w:rsidR="00E87C8C" w:rsidRPr="00494F4A">
        <w:rPr>
          <w:rFonts w:eastAsia="Times New Roman"/>
          <w:sz w:val="24"/>
          <w:szCs w:val="24"/>
          <w:lang w:eastAsia="en-AU"/>
        </w:rPr>
        <w:t xml:space="preserve"> </w:t>
      </w:r>
      <w:r w:rsidRPr="00494F4A">
        <w:rPr>
          <w:rFonts w:eastAsia="Times New Roman"/>
          <w:sz w:val="24"/>
          <w:szCs w:val="24"/>
          <w:lang w:eastAsia="en-AU"/>
        </w:rPr>
        <w:t xml:space="preserve">a cash account) where members' contributions are temporarily placed when they fail to make a choice of investment or makes an error in their choice of investment is to be disregarded.  </w:t>
      </w:r>
    </w:p>
    <w:p w14:paraId="33708B03" w14:textId="77777777" w:rsidR="00123831" w:rsidRPr="0095459E" w:rsidRDefault="00123831" w:rsidP="00123831">
      <w:pPr>
        <w:pStyle w:val="ListParagraph"/>
        <w:rPr>
          <w:rFonts w:eastAsia="Times New Roman"/>
          <w:sz w:val="24"/>
          <w:szCs w:val="24"/>
          <w:u w:val="single"/>
          <w:lang w:eastAsia="en-AU"/>
        </w:rPr>
      </w:pPr>
    </w:p>
    <w:p w14:paraId="7F91C003" w14:textId="77777777" w:rsidR="00123831" w:rsidRPr="0095459E" w:rsidRDefault="00123831" w:rsidP="00123831">
      <w:pPr>
        <w:rPr>
          <w:rFonts w:eastAsia="Times New Roman"/>
          <w:sz w:val="24"/>
          <w:szCs w:val="24"/>
          <w:lang w:eastAsia="en-AU"/>
        </w:rPr>
      </w:pPr>
      <w:r w:rsidRPr="0095459E">
        <w:rPr>
          <w:rFonts w:eastAsia="Times New Roman"/>
          <w:sz w:val="24"/>
          <w:szCs w:val="24"/>
          <w:u w:val="single"/>
          <w:lang w:eastAsia="en-AU"/>
        </w:rPr>
        <w:t>Multifunds</w:t>
      </w:r>
    </w:p>
    <w:p w14:paraId="15802FB3" w14:textId="77777777" w:rsidR="00C8269E" w:rsidRPr="00494F4A" w:rsidRDefault="00E87C8C" w:rsidP="0042297B">
      <w:pPr>
        <w:pStyle w:val="LI-BodyTextParaa"/>
        <w:numPr>
          <w:ilvl w:val="0"/>
          <w:numId w:val="15"/>
        </w:numPr>
      </w:pPr>
      <w:r w:rsidRPr="0095459E">
        <w:t>Sub</w:t>
      </w:r>
      <w:r w:rsidR="009F623E" w:rsidRPr="0095459E">
        <w:t>section</w:t>
      </w:r>
      <w:r w:rsidRPr="0095459E">
        <w:t xml:space="preserve"> </w:t>
      </w:r>
      <w:r w:rsidR="00682B5A" w:rsidRPr="0095459E">
        <w:t>5</w:t>
      </w:r>
      <w:r w:rsidRPr="0095459E">
        <w:t>(2) modifies reg</w:t>
      </w:r>
      <w:r w:rsidRPr="00494F4A">
        <w:t>ulation 7.9.11S to insert notional subregulation 7.9.11S(5) that excludes ‘</w:t>
      </w:r>
      <w:r w:rsidR="0042297B" w:rsidRPr="00494F4A">
        <w:t>multifunds</w:t>
      </w:r>
      <w:r w:rsidRPr="00494F4A">
        <w:t xml:space="preserve">’ from the </w:t>
      </w:r>
      <w:r w:rsidR="0042297B" w:rsidRPr="00494F4A">
        <w:t>shorter PDS regime.</w:t>
      </w:r>
      <w:r w:rsidR="00C8269E" w:rsidRPr="00494F4A">
        <w:t xml:space="preserve"> </w:t>
      </w:r>
    </w:p>
    <w:p w14:paraId="71B29C33" w14:textId="77777777" w:rsidR="0042297B" w:rsidRPr="0095459E" w:rsidRDefault="00C8269E" w:rsidP="0042297B">
      <w:pPr>
        <w:pStyle w:val="LI-BodyTextParaa"/>
        <w:numPr>
          <w:ilvl w:val="0"/>
          <w:numId w:val="15"/>
        </w:numPr>
      </w:pPr>
      <w:r w:rsidRPr="00494F4A">
        <w:t xml:space="preserve">Consistent with application of the relief to issuers of superannuation platforms, issuers of multifunds may choose to opt into the shorter PDS regime. If an issuer of a multifund decides to opt into the shorter PDS regime, it must comply with the regime as it appears in the Act. For example, this means that a shorter PDS covering multiple simple managed investment schemes will not be permitted. A separate shorter PDS will be required for each simple managed investment scheme. </w:t>
      </w:r>
      <w:r w:rsidR="00E87C8C" w:rsidRPr="0095459E">
        <w:br/>
      </w:r>
    </w:p>
    <w:p w14:paraId="6C1F36E1" w14:textId="77777777" w:rsidR="00580674" w:rsidRPr="00494F4A" w:rsidRDefault="00E87C8C" w:rsidP="00395DD1">
      <w:pPr>
        <w:numPr>
          <w:ilvl w:val="0"/>
          <w:numId w:val="15"/>
        </w:numPr>
        <w:rPr>
          <w:rFonts w:eastAsia="Times New Roman"/>
          <w:sz w:val="24"/>
          <w:szCs w:val="24"/>
          <w:lang w:eastAsia="en-AU"/>
        </w:rPr>
      </w:pPr>
      <w:r w:rsidRPr="0095459E">
        <w:rPr>
          <w:rFonts w:eastAsia="Times New Roman"/>
          <w:sz w:val="24"/>
          <w:szCs w:val="24"/>
          <w:lang w:eastAsia="en-AU"/>
        </w:rPr>
        <w:t xml:space="preserve">A </w:t>
      </w:r>
      <w:r w:rsidR="00580674" w:rsidRPr="0095459E">
        <w:rPr>
          <w:rFonts w:eastAsia="Times New Roman"/>
          <w:sz w:val="24"/>
          <w:szCs w:val="24"/>
          <w:lang w:eastAsia="en-AU"/>
        </w:rPr>
        <w:t>‘</w:t>
      </w:r>
      <w:r w:rsidRPr="0095459E">
        <w:rPr>
          <w:rFonts w:eastAsia="Times New Roman"/>
          <w:sz w:val="24"/>
          <w:szCs w:val="24"/>
          <w:lang w:eastAsia="en-AU"/>
        </w:rPr>
        <w:t>m</w:t>
      </w:r>
      <w:r w:rsidR="00580674" w:rsidRPr="0095459E">
        <w:rPr>
          <w:rFonts w:eastAsia="Times New Roman"/>
          <w:sz w:val="24"/>
          <w:szCs w:val="24"/>
          <w:lang w:eastAsia="en-AU"/>
        </w:rPr>
        <w:t xml:space="preserve">ultifund’ </w:t>
      </w:r>
      <w:r w:rsidRPr="0095459E">
        <w:rPr>
          <w:rFonts w:eastAsia="Times New Roman"/>
          <w:sz w:val="24"/>
          <w:szCs w:val="24"/>
          <w:lang w:eastAsia="en-AU"/>
        </w:rPr>
        <w:t>is</w:t>
      </w:r>
      <w:r w:rsidR="00580674" w:rsidRPr="0095459E">
        <w:rPr>
          <w:rFonts w:eastAsia="Times New Roman"/>
          <w:sz w:val="24"/>
          <w:szCs w:val="24"/>
          <w:lang w:eastAsia="en-AU"/>
        </w:rPr>
        <w:t xml:space="preserve"> </w:t>
      </w:r>
      <w:r w:rsidRPr="00494F4A">
        <w:rPr>
          <w:rFonts w:eastAsia="Times New Roman"/>
          <w:sz w:val="24"/>
          <w:szCs w:val="24"/>
          <w:lang w:eastAsia="en-AU"/>
        </w:rPr>
        <w:t xml:space="preserve">a </w:t>
      </w:r>
      <w:r w:rsidR="00580674" w:rsidRPr="00494F4A">
        <w:rPr>
          <w:rFonts w:eastAsia="Times New Roman"/>
          <w:sz w:val="24"/>
          <w:szCs w:val="24"/>
          <w:lang w:eastAsia="en-AU"/>
        </w:rPr>
        <w:t xml:space="preserve">simple managed investment scheme </w:t>
      </w:r>
      <w:r w:rsidR="00E15D87" w:rsidRPr="00494F4A">
        <w:rPr>
          <w:rFonts w:eastAsia="Times New Roman"/>
          <w:sz w:val="24"/>
          <w:szCs w:val="24"/>
          <w:lang w:eastAsia="en-AU"/>
        </w:rPr>
        <w:t xml:space="preserve">(within the meaning of regulation 1.0.02 of the Regulations) </w:t>
      </w:r>
      <w:r w:rsidR="00580674" w:rsidRPr="0095459E">
        <w:rPr>
          <w:rFonts w:eastAsia="Times New Roman"/>
          <w:sz w:val="24"/>
          <w:szCs w:val="24"/>
          <w:lang w:eastAsia="en-AU"/>
        </w:rPr>
        <w:t xml:space="preserve">for which a shorter PDS is required </w:t>
      </w:r>
      <w:r w:rsidRPr="0095459E">
        <w:rPr>
          <w:rFonts w:eastAsia="Times New Roman"/>
          <w:sz w:val="24"/>
          <w:szCs w:val="24"/>
          <w:lang w:eastAsia="en-AU"/>
        </w:rPr>
        <w:t xml:space="preserve">to be prepared under regulation 7.9.11S </w:t>
      </w:r>
      <w:r w:rsidR="00580674" w:rsidRPr="0095459E">
        <w:rPr>
          <w:rFonts w:eastAsia="Times New Roman"/>
          <w:sz w:val="24"/>
          <w:szCs w:val="24"/>
          <w:lang w:eastAsia="en-AU"/>
        </w:rPr>
        <w:t>that is offered as part of a collection of registered schemes (irrespective of whether the</w:t>
      </w:r>
      <w:r w:rsidRPr="00494F4A">
        <w:rPr>
          <w:rFonts w:eastAsia="Times New Roman"/>
          <w:sz w:val="24"/>
          <w:szCs w:val="24"/>
          <w:lang w:eastAsia="en-AU"/>
        </w:rPr>
        <w:t xml:space="preserve"> schemes</w:t>
      </w:r>
      <w:r w:rsidR="00580674" w:rsidRPr="00494F4A">
        <w:rPr>
          <w:rFonts w:eastAsia="Times New Roman"/>
          <w:sz w:val="24"/>
          <w:szCs w:val="24"/>
          <w:lang w:eastAsia="en-AU"/>
        </w:rPr>
        <w:t xml:space="preserve"> are also simple managed investment schemes)</w:t>
      </w:r>
      <w:r w:rsidR="00E15D87" w:rsidRPr="00494F4A">
        <w:rPr>
          <w:rFonts w:eastAsia="Times New Roman"/>
          <w:sz w:val="24"/>
          <w:szCs w:val="24"/>
          <w:lang w:eastAsia="en-AU"/>
        </w:rPr>
        <w:t>. A</w:t>
      </w:r>
      <w:r w:rsidR="00580674" w:rsidRPr="00494F4A">
        <w:rPr>
          <w:rFonts w:eastAsia="Times New Roman"/>
          <w:sz w:val="24"/>
          <w:szCs w:val="24"/>
          <w:lang w:eastAsia="en-AU"/>
        </w:rPr>
        <w:t xml:space="preserve"> </w:t>
      </w:r>
      <w:r w:rsidR="00E15D87" w:rsidRPr="00494F4A">
        <w:rPr>
          <w:rFonts w:eastAsia="Times New Roman"/>
          <w:sz w:val="24"/>
          <w:szCs w:val="24"/>
          <w:lang w:eastAsia="en-AU"/>
        </w:rPr>
        <w:t>full</w:t>
      </w:r>
      <w:r w:rsidR="00580674" w:rsidRPr="0095459E">
        <w:rPr>
          <w:rFonts w:eastAsia="Times New Roman"/>
          <w:sz w:val="24"/>
          <w:szCs w:val="24"/>
          <w:lang w:eastAsia="en-AU"/>
        </w:rPr>
        <w:t xml:space="preserve"> PDS is required to be prepared </w:t>
      </w:r>
      <w:r w:rsidR="00E15D87" w:rsidRPr="0095459E">
        <w:rPr>
          <w:rFonts w:eastAsia="Times New Roman"/>
          <w:sz w:val="24"/>
          <w:szCs w:val="24"/>
          <w:lang w:eastAsia="en-AU"/>
        </w:rPr>
        <w:t xml:space="preserve">for this collection of registered schemes </w:t>
      </w:r>
      <w:r w:rsidR="00580674" w:rsidRPr="0095459E">
        <w:rPr>
          <w:rFonts w:eastAsia="Times New Roman"/>
          <w:sz w:val="24"/>
          <w:szCs w:val="24"/>
          <w:lang w:eastAsia="en-AU"/>
        </w:rPr>
        <w:t xml:space="preserve">where they are grouped together for the purposes of product distribution and marketing in </w:t>
      </w:r>
      <w:r w:rsidR="00E15D87" w:rsidRPr="0095459E">
        <w:rPr>
          <w:rFonts w:eastAsia="Times New Roman"/>
          <w:sz w:val="24"/>
          <w:szCs w:val="24"/>
          <w:lang w:eastAsia="en-AU"/>
        </w:rPr>
        <w:t xml:space="preserve">one document setting out one or more </w:t>
      </w:r>
      <w:r w:rsidR="00580674" w:rsidRPr="0095459E">
        <w:rPr>
          <w:rFonts w:eastAsia="Times New Roman"/>
          <w:sz w:val="24"/>
          <w:szCs w:val="24"/>
          <w:lang w:eastAsia="en-AU"/>
        </w:rPr>
        <w:t>PD</w:t>
      </w:r>
      <w:r w:rsidR="00580674" w:rsidRPr="00494F4A">
        <w:rPr>
          <w:rFonts w:eastAsia="Times New Roman"/>
          <w:sz w:val="24"/>
          <w:szCs w:val="24"/>
          <w:lang w:eastAsia="en-AU"/>
        </w:rPr>
        <w:t>S</w:t>
      </w:r>
      <w:r w:rsidR="00E15D87" w:rsidRPr="00494F4A">
        <w:rPr>
          <w:rFonts w:eastAsia="Times New Roman"/>
          <w:sz w:val="24"/>
          <w:szCs w:val="24"/>
          <w:lang w:eastAsia="en-AU"/>
        </w:rPr>
        <w:t>s</w:t>
      </w:r>
      <w:r w:rsidR="00580674" w:rsidRPr="00494F4A">
        <w:rPr>
          <w:rFonts w:eastAsia="Times New Roman"/>
          <w:sz w:val="24"/>
          <w:szCs w:val="24"/>
          <w:lang w:eastAsia="en-AU"/>
        </w:rPr>
        <w:t>.</w:t>
      </w:r>
    </w:p>
    <w:p w14:paraId="04893460" w14:textId="77777777" w:rsidR="00580674" w:rsidRPr="00494F4A" w:rsidRDefault="00580674" w:rsidP="00580674">
      <w:pPr>
        <w:pStyle w:val="ListParagraph"/>
        <w:rPr>
          <w:rFonts w:eastAsia="Times New Roman"/>
          <w:sz w:val="24"/>
          <w:szCs w:val="24"/>
          <w:lang w:eastAsia="en-AU"/>
        </w:rPr>
      </w:pPr>
    </w:p>
    <w:p w14:paraId="1EAB0A3D" w14:textId="77777777" w:rsidR="00580674" w:rsidRPr="00494F4A" w:rsidRDefault="00580674" w:rsidP="00395DD1">
      <w:pPr>
        <w:numPr>
          <w:ilvl w:val="0"/>
          <w:numId w:val="15"/>
        </w:numPr>
        <w:rPr>
          <w:rFonts w:eastAsia="Times New Roman"/>
          <w:sz w:val="24"/>
          <w:szCs w:val="24"/>
          <w:lang w:eastAsia="en-AU"/>
        </w:rPr>
      </w:pPr>
      <w:r w:rsidRPr="00494F4A">
        <w:rPr>
          <w:rFonts w:eastAsia="Times New Roman"/>
          <w:sz w:val="24"/>
          <w:szCs w:val="24"/>
          <w:lang w:eastAsia="en-AU"/>
        </w:rPr>
        <w:t xml:space="preserve">Where the multifund involves a combination of simple managed investment schemes, the instrument </w:t>
      </w:r>
      <w:r w:rsidR="00386A28" w:rsidRPr="00494F4A">
        <w:rPr>
          <w:rFonts w:eastAsia="Times New Roman"/>
          <w:sz w:val="24"/>
          <w:szCs w:val="24"/>
          <w:lang w:eastAsia="en-AU"/>
        </w:rPr>
        <w:t xml:space="preserve">excludes the issuer(s) from </w:t>
      </w:r>
      <w:r w:rsidRPr="00494F4A">
        <w:rPr>
          <w:rFonts w:eastAsia="Times New Roman"/>
          <w:sz w:val="24"/>
          <w:szCs w:val="24"/>
          <w:lang w:eastAsia="en-AU"/>
        </w:rPr>
        <w:t xml:space="preserve">the shorter PDS regime </w:t>
      </w:r>
      <w:r w:rsidR="00386A28" w:rsidRPr="00494F4A">
        <w:rPr>
          <w:rFonts w:eastAsia="Times New Roman"/>
          <w:sz w:val="24"/>
          <w:szCs w:val="24"/>
          <w:lang w:eastAsia="en-AU"/>
        </w:rPr>
        <w:t>so that a full PDS may be prepared</w:t>
      </w:r>
      <w:r w:rsidRPr="00494F4A">
        <w:rPr>
          <w:rFonts w:eastAsia="Times New Roman"/>
          <w:sz w:val="24"/>
          <w:szCs w:val="24"/>
          <w:lang w:eastAsia="en-AU"/>
        </w:rPr>
        <w:t>.</w:t>
      </w:r>
      <w:r w:rsidR="00386A28" w:rsidRPr="00494F4A">
        <w:rPr>
          <w:rFonts w:eastAsia="Times New Roman"/>
          <w:sz w:val="24"/>
          <w:szCs w:val="24"/>
          <w:lang w:eastAsia="en-AU"/>
        </w:rPr>
        <w:t xml:space="preserve"> If </w:t>
      </w:r>
      <w:r w:rsidRPr="00494F4A">
        <w:rPr>
          <w:rFonts w:eastAsia="Times New Roman"/>
          <w:sz w:val="24"/>
          <w:szCs w:val="24"/>
          <w:lang w:eastAsia="en-AU"/>
        </w:rPr>
        <w:t>the multifund involves the combination of simple managed investment schemes and other registered schemes that are not simple managed investment schemes, the instrument</w:t>
      </w:r>
      <w:r w:rsidRPr="00494F4A">
        <w:rPr>
          <w:rFonts w:eastAsia="Times New Roman"/>
          <w:sz w:val="24"/>
          <w:szCs w:val="24"/>
          <w:lang w:val="en-US" w:eastAsia="en-AU"/>
        </w:rPr>
        <w:t> </w:t>
      </w:r>
      <w:r w:rsidR="00386A28" w:rsidRPr="00494F4A">
        <w:rPr>
          <w:rFonts w:eastAsia="Times New Roman"/>
          <w:sz w:val="24"/>
          <w:szCs w:val="24"/>
          <w:lang w:val="en-US" w:eastAsia="en-AU"/>
        </w:rPr>
        <w:t xml:space="preserve">also excludes the issuer(s) from the shorter PDS regime so that a full PDS may be </w:t>
      </w:r>
      <w:r w:rsidR="00F228C1" w:rsidRPr="00494F4A">
        <w:rPr>
          <w:rFonts w:eastAsia="Times New Roman"/>
          <w:sz w:val="24"/>
          <w:szCs w:val="24"/>
          <w:lang w:val="en-US" w:eastAsia="en-AU"/>
        </w:rPr>
        <w:t>prepared.</w:t>
      </w:r>
    </w:p>
    <w:p w14:paraId="22B484F4" w14:textId="77777777" w:rsidR="00580674" w:rsidRPr="00494F4A" w:rsidRDefault="00580674" w:rsidP="00580674">
      <w:pPr>
        <w:pStyle w:val="ListParagraph"/>
        <w:rPr>
          <w:rFonts w:eastAsia="Times New Roman"/>
          <w:sz w:val="24"/>
          <w:szCs w:val="24"/>
          <w:lang w:eastAsia="en-AU"/>
        </w:rPr>
      </w:pPr>
    </w:p>
    <w:p w14:paraId="025D405D" w14:textId="77777777" w:rsidR="00580674" w:rsidRPr="00494F4A" w:rsidRDefault="00580674" w:rsidP="00395DD1">
      <w:pPr>
        <w:numPr>
          <w:ilvl w:val="0"/>
          <w:numId w:val="15"/>
        </w:numPr>
        <w:rPr>
          <w:rFonts w:eastAsia="Times New Roman"/>
          <w:sz w:val="24"/>
          <w:szCs w:val="24"/>
          <w:lang w:eastAsia="en-AU"/>
        </w:rPr>
      </w:pPr>
      <w:r w:rsidRPr="00494F4A">
        <w:rPr>
          <w:rFonts w:eastAsia="Times New Roman"/>
          <w:sz w:val="24"/>
          <w:szCs w:val="24"/>
          <w:lang w:eastAsia="en-AU"/>
        </w:rPr>
        <w:t>There may be some situations where a simple managed investment scheme is offered with another type of financial product (</w:t>
      </w:r>
      <w:proofErr w:type="gramStart"/>
      <w:r w:rsidR="00421539" w:rsidRPr="00494F4A">
        <w:rPr>
          <w:rFonts w:eastAsia="Times New Roman"/>
          <w:sz w:val="24"/>
          <w:szCs w:val="24"/>
          <w:lang w:eastAsia="en-AU"/>
        </w:rPr>
        <w:t>i.e.</w:t>
      </w:r>
      <w:proofErr w:type="gramEnd"/>
      <w:r w:rsidRPr="00494F4A">
        <w:rPr>
          <w:rFonts w:eastAsia="Times New Roman"/>
          <w:sz w:val="24"/>
          <w:szCs w:val="24"/>
          <w:lang w:eastAsia="en-AU"/>
        </w:rPr>
        <w:t xml:space="preserve"> a non - managed investment scheme product).  The instrument </w:t>
      </w:r>
      <w:r w:rsidR="00386A28" w:rsidRPr="00494F4A">
        <w:rPr>
          <w:rFonts w:eastAsia="Times New Roman"/>
          <w:sz w:val="24"/>
          <w:szCs w:val="24"/>
          <w:lang w:eastAsia="en-AU"/>
        </w:rPr>
        <w:t xml:space="preserve">does </w:t>
      </w:r>
      <w:r w:rsidRPr="00494F4A">
        <w:rPr>
          <w:rFonts w:eastAsia="Times New Roman"/>
          <w:sz w:val="24"/>
          <w:szCs w:val="24"/>
          <w:lang w:eastAsia="en-AU"/>
        </w:rPr>
        <w:t>not allow the issuer</w:t>
      </w:r>
      <w:r w:rsidR="00386A28" w:rsidRPr="00494F4A">
        <w:rPr>
          <w:rFonts w:eastAsia="Times New Roman"/>
          <w:sz w:val="24"/>
          <w:szCs w:val="24"/>
          <w:lang w:eastAsia="en-AU"/>
        </w:rPr>
        <w:t>(s)</w:t>
      </w:r>
      <w:r w:rsidRPr="00494F4A">
        <w:rPr>
          <w:rFonts w:eastAsia="Times New Roman"/>
          <w:sz w:val="24"/>
          <w:szCs w:val="24"/>
          <w:lang w:eastAsia="en-AU"/>
        </w:rPr>
        <w:t xml:space="preserve"> to opt out of the shorter PDS regime for the simple managed investment scheme by preparing </w:t>
      </w:r>
      <w:r w:rsidR="00421539" w:rsidRPr="00494F4A">
        <w:rPr>
          <w:rFonts w:eastAsia="Times New Roman"/>
          <w:sz w:val="24"/>
          <w:szCs w:val="24"/>
          <w:lang w:eastAsia="en-AU"/>
        </w:rPr>
        <w:t>a</w:t>
      </w:r>
      <w:r w:rsidRPr="00494F4A">
        <w:rPr>
          <w:rFonts w:eastAsia="Times New Roman"/>
          <w:sz w:val="24"/>
          <w:szCs w:val="24"/>
          <w:lang w:eastAsia="en-AU"/>
        </w:rPr>
        <w:t xml:space="preserve"> </w:t>
      </w:r>
      <w:r w:rsidR="00386A28" w:rsidRPr="00494F4A">
        <w:rPr>
          <w:rFonts w:eastAsia="Times New Roman"/>
          <w:sz w:val="24"/>
          <w:szCs w:val="24"/>
          <w:lang w:eastAsia="en-AU"/>
        </w:rPr>
        <w:t>full</w:t>
      </w:r>
      <w:r w:rsidRPr="00494F4A">
        <w:rPr>
          <w:rFonts w:eastAsia="Times New Roman"/>
          <w:sz w:val="24"/>
          <w:szCs w:val="24"/>
          <w:lang w:eastAsia="en-AU"/>
        </w:rPr>
        <w:t xml:space="preserve"> PDS covering the simple managed investment scheme and the other non- managed investment scheme products.</w:t>
      </w:r>
    </w:p>
    <w:p w14:paraId="4E7ADA58" w14:textId="77777777" w:rsidR="00123831" w:rsidRPr="00494F4A" w:rsidRDefault="00123831" w:rsidP="00123831">
      <w:pPr>
        <w:pStyle w:val="ListParagraph"/>
        <w:rPr>
          <w:rFonts w:eastAsia="Times New Roman"/>
          <w:sz w:val="24"/>
          <w:szCs w:val="24"/>
          <w:lang w:eastAsia="en-AU"/>
        </w:rPr>
      </w:pPr>
    </w:p>
    <w:p w14:paraId="5A174267" w14:textId="77777777" w:rsidR="00123831" w:rsidRPr="0095459E" w:rsidRDefault="00123831" w:rsidP="00123831">
      <w:pPr>
        <w:rPr>
          <w:rFonts w:eastAsia="Times New Roman"/>
          <w:sz w:val="24"/>
          <w:szCs w:val="24"/>
          <w:u w:val="single"/>
          <w:lang w:eastAsia="en-AU"/>
        </w:rPr>
      </w:pPr>
      <w:r w:rsidRPr="00494F4A">
        <w:rPr>
          <w:rFonts w:eastAsia="Times New Roman"/>
          <w:sz w:val="24"/>
          <w:szCs w:val="24"/>
          <w:u w:val="single"/>
          <w:lang w:eastAsia="en-AU"/>
        </w:rPr>
        <w:t>Hedge funds</w:t>
      </w:r>
    </w:p>
    <w:p w14:paraId="495B517E" w14:textId="77777777" w:rsidR="0084120D" w:rsidRPr="0095459E" w:rsidRDefault="0084120D" w:rsidP="0084120D">
      <w:pPr>
        <w:pStyle w:val="ListParagraph"/>
        <w:rPr>
          <w:rFonts w:eastAsia="Times New Roman"/>
          <w:sz w:val="24"/>
          <w:szCs w:val="24"/>
          <w:lang w:eastAsia="en-AU"/>
        </w:rPr>
      </w:pPr>
    </w:p>
    <w:p w14:paraId="4F523413" w14:textId="77777777" w:rsidR="00386A28" w:rsidRPr="00494F4A" w:rsidRDefault="0066574A" w:rsidP="00386A28">
      <w:pPr>
        <w:numPr>
          <w:ilvl w:val="0"/>
          <w:numId w:val="15"/>
        </w:numPr>
        <w:rPr>
          <w:rFonts w:eastAsia="Times New Roman"/>
          <w:sz w:val="24"/>
          <w:szCs w:val="24"/>
          <w:lang w:eastAsia="en-AU"/>
        </w:rPr>
      </w:pPr>
      <w:r w:rsidRPr="0095459E">
        <w:rPr>
          <w:rFonts w:eastAsia="Times New Roman"/>
          <w:sz w:val="24"/>
          <w:szCs w:val="24"/>
          <w:lang w:eastAsia="en-AU"/>
        </w:rPr>
        <w:t>Sub</w:t>
      </w:r>
      <w:r w:rsidR="009F623E" w:rsidRPr="0095459E">
        <w:rPr>
          <w:rFonts w:eastAsia="Times New Roman"/>
          <w:sz w:val="24"/>
          <w:szCs w:val="24"/>
          <w:lang w:eastAsia="en-AU"/>
        </w:rPr>
        <w:t>section</w:t>
      </w:r>
      <w:r w:rsidRPr="0095459E">
        <w:rPr>
          <w:rFonts w:eastAsia="Times New Roman"/>
          <w:sz w:val="24"/>
          <w:szCs w:val="24"/>
          <w:lang w:eastAsia="en-AU"/>
        </w:rPr>
        <w:t xml:space="preserve"> </w:t>
      </w:r>
      <w:r w:rsidR="00682B5A" w:rsidRPr="0095459E">
        <w:rPr>
          <w:rFonts w:eastAsia="Times New Roman"/>
          <w:sz w:val="24"/>
          <w:szCs w:val="24"/>
          <w:lang w:eastAsia="en-AU"/>
        </w:rPr>
        <w:t>5</w:t>
      </w:r>
      <w:r w:rsidRPr="0095459E">
        <w:rPr>
          <w:rFonts w:eastAsia="Times New Roman"/>
          <w:sz w:val="24"/>
          <w:szCs w:val="24"/>
          <w:lang w:eastAsia="en-AU"/>
        </w:rPr>
        <w:t xml:space="preserve">(2) modifies regulation 7.9.11S to insert notional </w:t>
      </w:r>
      <w:r w:rsidR="00682B5A" w:rsidRPr="0095459E">
        <w:rPr>
          <w:rFonts w:eastAsia="Times New Roman"/>
          <w:sz w:val="24"/>
          <w:szCs w:val="24"/>
          <w:lang w:eastAsia="en-AU"/>
        </w:rPr>
        <w:t>s</w:t>
      </w:r>
      <w:r w:rsidRPr="00494F4A">
        <w:rPr>
          <w:rFonts w:eastAsia="Times New Roman"/>
          <w:sz w:val="24"/>
          <w:szCs w:val="24"/>
          <w:lang w:eastAsia="en-AU"/>
        </w:rPr>
        <w:t xml:space="preserve">ubregulation7.9.11S(6) that excludes a ‘hedge fund’ from the </w:t>
      </w:r>
      <w:r w:rsidR="00386A28" w:rsidRPr="00494F4A">
        <w:rPr>
          <w:rFonts w:eastAsia="Times New Roman"/>
          <w:sz w:val="24"/>
          <w:szCs w:val="24"/>
          <w:lang w:eastAsia="en-AU"/>
        </w:rPr>
        <w:t>shorter PDS</w:t>
      </w:r>
      <w:r w:rsidRPr="00494F4A">
        <w:rPr>
          <w:rFonts w:eastAsia="Times New Roman"/>
          <w:sz w:val="24"/>
          <w:szCs w:val="24"/>
          <w:lang w:eastAsia="en-AU"/>
        </w:rPr>
        <w:t xml:space="preserve"> regime</w:t>
      </w:r>
      <w:r w:rsidR="00386A28" w:rsidRPr="00494F4A">
        <w:rPr>
          <w:rFonts w:eastAsia="Times New Roman"/>
          <w:sz w:val="24"/>
          <w:szCs w:val="24"/>
          <w:lang w:eastAsia="en-AU"/>
        </w:rPr>
        <w:t>.</w:t>
      </w:r>
    </w:p>
    <w:p w14:paraId="1FA4ACEC" w14:textId="77777777" w:rsidR="00386A28" w:rsidRPr="00494F4A" w:rsidRDefault="00386A28" w:rsidP="00386A28">
      <w:pPr>
        <w:pStyle w:val="ListParagraph"/>
        <w:rPr>
          <w:rFonts w:eastAsia="Times New Roman"/>
          <w:sz w:val="24"/>
          <w:szCs w:val="24"/>
          <w:lang w:eastAsia="en-AU"/>
        </w:rPr>
      </w:pPr>
    </w:p>
    <w:p w14:paraId="0B8AA26B" w14:textId="77777777" w:rsidR="0084120D" w:rsidRPr="00494F4A" w:rsidRDefault="0084120D" w:rsidP="00395DD1">
      <w:pPr>
        <w:numPr>
          <w:ilvl w:val="0"/>
          <w:numId w:val="15"/>
        </w:numPr>
        <w:rPr>
          <w:rFonts w:eastAsia="Times New Roman"/>
          <w:sz w:val="24"/>
          <w:szCs w:val="24"/>
          <w:lang w:eastAsia="en-AU"/>
        </w:rPr>
      </w:pPr>
      <w:r w:rsidRPr="00494F4A">
        <w:rPr>
          <w:rFonts w:eastAsia="Times New Roman"/>
          <w:sz w:val="24"/>
          <w:szCs w:val="24"/>
          <w:lang w:eastAsia="en-AU"/>
        </w:rPr>
        <w:t>‘Hedge fund’</w:t>
      </w:r>
      <w:r w:rsidR="008129C2" w:rsidRPr="00494F4A">
        <w:rPr>
          <w:rFonts w:eastAsia="Times New Roman"/>
          <w:sz w:val="24"/>
          <w:szCs w:val="24"/>
          <w:lang w:eastAsia="en-AU"/>
        </w:rPr>
        <w:t xml:space="preserve"> is defined in notional subregulation 7.9.11S(</w:t>
      </w:r>
      <w:r w:rsidR="005B4523" w:rsidRPr="00494F4A">
        <w:rPr>
          <w:rFonts w:eastAsia="Times New Roman"/>
          <w:sz w:val="24"/>
          <w:szCs w:val="24"/>
          <w:lang w:eastAsia="en-AU"/>
        </w:rPr>
        <w:t>7</w:t>
      </w:r>
      <w:r w:rsidR="008129C2" w:rsidRPr="00494F4A">
        <w:rPr>
          <w:rFonts w:eastAsia="Times New Roman"/>
          <w:sz w:val="24"/>
          <w:szCs w:val="24"/>
          <w:lang w:eastAsia="en-AU"/>
        </w:rPr>
        <w:t xml:space="preserve">) and means </w:t>
      </w:r>
      <w:r w:rsidRPr="00494F4A">
        <w:rPr>
          <w:rFonts w:eastAsia="Times New Roman"/>
          <w:sz w:val="24"/>
          <w:szCs w:val="24"/>
          <w:lang w:eastAsia="en-AU"/>
        </w:rPr>
        <w:t>a registered scheme which:</w:t>
      </w:r>
    </w:p>
    <w:p w14:paraId="60859DB0" w14:textId="77777777" w:rsidR="0084120D" w:rsidRPr="00494F4A" w:rsidRDefault="0084120D" w:rsidP="0084120D">
      <w:pPr>
        <w:pStyle w:val="ListParagraph"/>
        <w:rPr>
          <w:rFonts w:eastAsia="Times New Roman"/>
          <w:sz w:val="24"/>
          <w:szCs w:val="24"/>
          <w:lang w:eastAsia="en-AU"/>
        </w:rPr>
      </w:pPr>
    </w:p>
    <w:p w14:paraId="00FF5956" w14:textId="77777777" w:rsidR="0084120D" w:rsidRPr="00494F4A" w:rsidRDefault="0084120D" w:rsidP="0084120D">
      <w:pPr>
        <w:numPr>
          <w:ilvl w:val="1"/>
          <w:numId w:val="15"/>
        </w:numPr>
        <w:rPr>
          <w:rFonts w:eastAsia="Times New Roman"/>
          <w:sz w:val="24"/>
          <w:szCs w:val="24"/>
          <w:lang w:eastAsia="en-AU"/>
        </w:rPr>
      </w:pPr>
      <w:r w:rsidRPr="00494F4A">
        <w:rPr>
          <w:rFonts w:eastAsia="Times New Roman"/>
          <w:sz w:val="24"/>
          <w:szCs w:val="24"/>
          <w:lang w:eastAsia="en-AU"/>
        </w:rPr>
        <w:t> is promoted by the responsible entity using the expression and as being a ‘hedge fund’; or</w:t>
      </w:r>
    </w:p>
    <w:p w14:paraId="5F12D709" w14:textId="77777777" w:rsidR="0084120D" w:rsidRPr="00494F4A" w:rsidRDefault="00EE5577"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satisfies</w:t>
      </w:r>
      <w:r w:rsidR="0084120D" w:rsidRPr="00494F4A">
        <w:rPr>
          <w:rFonts w:eastAsia="Times New Roman"/>
          <w:sz w:val="24"/>
          <w:szCs w:val="24"/>
          <w:lang w:eastAsia="en-AU"/>
        </w:rPr>
        <w:t xml:space="preserve"> two or more of the </w:t>
      </w:r>
      <w:r w:rsidR="00CE3554" w:rsidRPr="00494F4A">
        <w:rPr>
          <w:rFonts w:eastAsia="Times New Roman"/>
          <w:sz w:val="24"/>
          <w:szCs w:val="24"/>
          <w:lang w:eastAsia="en-AU"/>
        </w:rPr>
        <w:t xml:space="preserve">following </w:t>
      </w:r>
      <w:r w:rsidRPr="00494F4A">
        <w:rPr>
          <w:rFonts w:eastAsia="Times New Roman"/>
          <w:sz w:val="24"/>
          <w:szCs w:val="24"/>
          <w:lang w:eastAsia="en-AU"/>
        </w:rPr>
        <w:t>limbs</w:t>
      </w:r>
      <w:r w:rsidR="00CE3554" w:rsidRPr="00494F4A">
        <w:rPr>
          <w:rFonts w:eastAsia="Times New Roman"/>
          <w:sz w:val="24"/>
          <w:szCs w:val="24"/>
          <w:lang w:eastAsia="en-AU"/>
        </w:rPr>
        <w:t>:</w:t>
      </w:r>
    </w:p>
    <w:p w14:paraId="70D06735" w14:textId="77777777" w:rsidR="00CE3554" w:rsidRPr="0095459E" w:rsidRDefault="00EE5577" w:rsidP="0066574A">
      <w:pPr>
        <w:numPr>
          <w:ilvl w:val="2"/>
          <w:numId w:val="15"/>
        </w:numPr>
        <w:rPr>
          <w:sz w:val="24"/>
          <w:szCs w:val="24"/>
          <w:lang w:eastAsia="en-AU"/>
        </w:rPr>
      </w:pPr>
      <w:r w:rsidRPr="00494F4A">
        <w:rPr>
          <w:rFonts w:eastAsia="Times New Roman"/>
          <w:sz w:val="24"/>
          <w:szCs w:val="24"/>
          <w:lang w:eastAsia="en-AU"/>
        </w:rPr>
        <w:t xml:space="preserve">use of </w:t>
      </w:r>
      <w:r w:rsidR="00CE3554" w:rsidRPr="0095459E">
        <w:rPr>
          <w:sz w:val="24"/>
          <w:szCs w:val="24"/>
        </w:rPr>
        <w:t xml:space="preserve">investment strategies intended to generate returns with low correlation to </w:t>
      </w:r>
      <w:r w:rsidR="00E8164B" w:rsidRPr="0095459E">
        <w:rPr>
          <w:sz w:val="24"/>
          <w:szCs w:val="24"/>
        </w:rPr>
        <w:t xml:space="preserve">prescribed </w:t>
      </w:r>
      <w:r w:rsidR="00CE3554" w:rsidRPr="0095459E">
        <w:rPr>
          <w:sz w:val="24"/>
          <w:szCs w:val="24"/>
        </w:rPr>
        <w:t xml:space="preserve">published </w:t>
      </w:r>
      <w:r w:rsidR="00421539" w:rsidRPr="0095459E">
        <w:rPr>
          <w:sz w:val="24"/>
          <w:szCs w:val="24"/>
        </w:rPr>
        <w:t>indexes</w:t>
      </w:r>
      <w:r w:rsidR="00CE3554" w:rsidRPr="0095459E">
        <w:rPr>
          <w:sz w:val="24"/>
          <w:szCs w:val="24"/>
        </w:rPr>
        <w:t xml:space="preserve"> (complexity of investment strategy</w:t>
      </w:r>
      <w:r w:rsidR="00143A36" w:rsidRPr="0095459E">
        <w:rPr>
          <w:sz w:val="24"/>
          <w:szCs w:val="24"/>
        </w:rPr>
        <w:t xml:space="preserve"> limb</w:t>
      </w:r>
      <w:r w:rsidR="00CE3554" w:rsidRPr="0095459E">
        <w:rPr>
          <w:sz w:val="24"/>
          <w:szCs w:val="24"/>
        </w:rPr>
        <w:t>) or use of complex investment structures (complexity of investment structure</w:t>
      </w:r>
      <w:r w:rsidR="00143A36" w:rsidRPr="0095459E">
        <w:rPr>
          <w:sz w:val="24"/>
          <w:szCs w:val="24"/>
        </w:rPr>
        <w:t xml:space="preserve"> limb</w:t>
      </w:r>
      <w:proofErr w:type="gramStart"/>
      <w:r w:rsidR="00CE3554" w:rsidRPr="0095459E">
        <w:rPr>
          <w:sz w:val="24"/>
          <w:szCs w:val="24"/>
        </w:rPr>
        <w:t>);</w:t>
      </w:r>
      <w:proofErr w:type="gramEnd"/>
    </w:p>
    <w:p w14:paraId="061459FD" w14:textId="77777777" w:rsidR="00CE3554" w:rsidRPr="0095459E" w:rsidRDefault="00CE3554" w:rsidP="0066574A">
      <w:pPr>
        <w:numPr>
          <w:ilvl w:val="2"/>
          <w:numId w:val="15"/>
        </w:numPr>
        <w:rPr>
          <w:sz w:val="24"/>
          <w:szCs w:val="24"/>
        </w:rPr>
      </w:pPr>
      <w:r w:rsidRPr="0095459E">
        <w:rPr>
          <w:sz w:val="24"/>
          <w:szCs w:val="24"/>
        </w:rPr>
        <w:t>use of debt for the dominant purpose of making a financial investment</w:t>
      </w:r>
      <w:r w:rsidR="00143A36" w:rsidRPr="0095459E">
        <w:rPr>
          <w:sz w:val="24"/>
          <w:szCs w:val="24"/>
        </w:rPr>
        <w:t xml:space="preserve"> (leverage limb</w:t>
      </w:r>
      <w:proofErr w:type="gramStart"/>
      <w:r w:rsidR="00143A36" w:rsidRPr="0095459E">
        <w:rPr>
          <w:sz w:val="24"/>
          <w:szCs w:val="24"/>
        </w:rPr>
        <w:t>)</w:t>
      </w:r>
      <w:r w:rsidRPr="0095459E">
        <w:rPr>
          <w:sz w:val="24"/>
          <w:szCs w:val="24"/>
        </w:rPr>
        <w:t>;</w:t>
      </w:r>
      <w:proofErr w:type="gramEnd"/>
    </w:p>
    <w:p w14:paraId="55CCEA98" w14:textId="77777777" w:rsidR="00CE3554" w:rsidRPr="0095459E" w:rsidRDefault="00CE3554" w:rsidP="0066574A">
      <w:pPr>
        <w:numPr>
          <w:ilvl w:val="2"/>
          <w:numId w:val="15"/>
        </w:numPr>
        <w:rPr>
          <w:sz w:val="24"/>
          <w:szCs w:val="24"/>
        </w:rPr>
      </w:pPr>
      <w:r w:rsidRPr="0095459E">
        <w:rPr>
          <w:sz w:val="24"/>
          <w:szCs w:val="24"/>
        </w:rPr>
        <w:t>use of derivatives (subject to limited carve-outs)</w:t>
      </w:r>
      <w:r w:rsidR="00143A36" w:rsidRPr="0095459E">
        <w:rPr>
          <w:sz w:val="24"/>
          <w:szCs w:val="24"/>
        </w:rPr>
        <w:t xml:space="preserve"> (derivatives limb</w:t>
      </w:r>
      <w:proofErr w:type="gramStart"/>
      <w:r w:rsidR="00143A36" w:rsidRPr="0095459E">
        <w:rPr>
          <w:sz w:val="24"/>
          <w:szCs w:val="24"/>
        </w:rPr>
        <w:t>)</w:t>
      </w:r>
      <w:r w:rsidRPr="0095459E">
        <w:rPr>
          <w:sz w:val="24"/>
          <w:szCs w:val="24"/>
        </w:rPr>
        <w:t>;</w:t>
      </w:r>
      <w:proofErr w:type="gramEnd"/>
    </w:p>
    <w:p w14:paraId="31509F16" w14:textId="77777777" w:rsidR="00CE3554" w:rsidRPr="0095459E" w:rsidRDefault="00CE3554" w:rsidP="0066574A">
      <w:pPr>
        <w:numPr>
          <w:ilvl w:val="2"/>
          <w:numId w:val="15"/>
        </w:numPr>
        <w:rPr>
          <w:sz w:val="24"/>
          <w:szCs w:val="24"/>
        </w:rPr>
      </w:pPr>
      <w:r w:rsidRPr="0095459E">
        <w:rPr>
          <w:sz w:val="24"/>
          <w:szCs w:val="24"/>
        </w:rPr>
        <w:t>use of short selling</w:t>
      </w:r>
      <w:r w:rsidR="00143A36" w:rsidRPr="0095459E">
        <w:rPr>
          <w:sz w:val="24"/>
          <w:szCs w:val="24"/>
        </w:rPr>
        <w:t xml:space="preserve"> (short selling limb)</w:t>
      </w:r>
      <w:r w:rsidRPr="0095459E">
        <w:rPr>
          <w:sz w:val="24"/>
          <w:szCs w:val="24"/>
        </w:rPr>
        <w:t>; and</w:t>
      </w:r>
    </w:p>
    <w:p w14:paraId="7CF3EEF9" w14:textId="77777777" w:rsidR="00CE3554" w:rsidRPr="0095459E" w:rsidRDefault="00CE3554" w:rsidP="00C25013">
      <w:pPr>
        <w:numPr>
          <w:ilvl w:val="2"/>
          <w:numId w:val="15"/>
        </w:numPr>
        <w:rPr>
          <w:sz w:val="24"/>
          <w:szCs w:val="24"/>
        </w:rPr>
      </w:pPr>
      <w:r w:rsidRPr="0095459E">
        <w:rPr>
          <w:sz w:val="24"/>
          <w:szCs w:val="24"/>
        </w:rPr>
        <w:t>rights to charge a performance fee</w:t>
      </w:r>
      <w:r w:rsidR="00143A36" w:rsidRPr="0095459E">
        <w:rPr>
          <w:sz w:val="24"/>
          <w:szCs w:val="24"/>
        </w:rPr>
        <w:t xml:space="preserve"> (performance fee limb)</w:t>
      </w:r>
    </w:p>
    <w:p w14:paraId="3523BA72" w14:textId="77777777" w:rsidR="00580674" w:rsidRPr="0095459E" w:rsidRDefault="00580674" w:rsidP="00580674">
      <w:pPr>
        <w:pStyle w:val="ListParagraph"/>
        <w:rPr>
          <w:rFonts w:eastAsia="Times New Roman"/>
          <w:sz w:val="24"/>
          <w:szCs w:val="24"/>
          <w:lang w:eastAsia="en-AU"/>
        </w:rPr>
      </w:pPr>
    </w:p>
    <w:p w14:paraId="36B48826" w14:textId="77777777" w:rsidR="0069213C" w:rsidRPr="00494F4A" w:rsidRDefault="00103765" w:rsidP="0069213C">
      <w:pPr>
        <w:numPr>
          <w:ilvl w:val="0"/>
          <w:numId w:val="15"/>
        </w:numPr>
        <w:rPr>
          <w:rFonts w:eastAsia="Times New Roman"/>
          <w:sz w:val="24"/>
          <w:szCs w:val="24"/>
          <w:lang w:eastAsia="en-AU"/>
        </w:rPr>
      </w:pPr>
      <w:r w:rsidRPr="00494F4A">
        <w:rPr>
          <w:rFonts w:eastAsia="Times New Roman"/>
          <w:sz w:val="24"/>
          <w:szCs w:val="24"/>
          <w:lang w:eastAsia="en-AU"/>
        </w:rPr>
        <w:t>Where</w:t>
      </w:r>
      <w:r w:rsidR="0069213C" w:rsidRPr="00494F4A">
        <w:rPr>
          <w:rFonts w:eastAsia="Times New Roman"/>
          <w:sz w:val="24"/>
          <w:szCs w:val="24"/>
          <w:lang w:eastAsia="en-AU"/>
        </w:rPr>
        <w:t xml:space="preserve"> a </w:t>
      </w:r>
      <w:r w:rsidR="0069213C" w:rsidRPr="0095459E">
        <w:rPr>
          <w:rFonts w:eastAsia="Times New Roman"/>
          <w:sz w:val="24"/>
          <w:szCs w:val="24"/>
          <w:lang w:eastAsia="en-AU"/>
        </w:rPr>
        <w:t>scheme’s use of derivatives means it could be characterised as satisfying either the leverage or short selling limbs, it should not be double counted. That is, only the derivatives lim</w:t>
      </w:r>
      <w:r w:rsidR="0069213C" w:rsidRPr="00494F4A">
        <w:rPr>
          <w:rFonts w:eastAsia="Times New Roman"/>
          <w:sz w:val="24"/>
          <w:szCs w:val="24"/>
          <w:lang w:eastAsia="en-AU"/>
        </w:rPr>
        <w:t>b is satisfied unless the scheme is covered by the leverage or short selling limbs for some other reason.</w:t>
      </w:r>
    </w:p>
    <w:p w14:paraId="46D7E063" w14:textId="77777777" w:rsidR="0069213C" w:rsidRPr="00494F4A" w:rsidRDefault="0069213C" w:rsidP="00C25013">
      <w:pPr>
        <w:ind w:left="570"/>
        <w:rPr>
          <w:rFonts w:eastAsia="Times New Roman"/>
          <w:sz w:val="24"/>
          <w:szCs w:val="24"/>
          <w:lang w:eastAsia="en-AU"/>
        </w:rPr>
      </w:pPr>
    </w:p>
    <w:p w14:paraId="62C813D9" w14:textId="77777777" w:rsidR="003A4443" w:rsidRPr="00494F4A" w:rsidRDefault="008129C2" w:rsidP="00395DD1">
      <w:pPr>
        <w:numPr>
          <w:ilvl w:val="0"/>
          <w:numId w:val="15"/>
        </w:numPr>
        <w:rPr>
          <w:rFonts w:eastAsia="Times New Roman"/>
          <w:sz w:val="24"/>
          <w:szCs w:val="24"/>
          <w:lang w:eastAsia="en-AU"/>
        </w:rPr>
      </w:pPr>
      <w:r w:rsidRPr="00494F4A">
        <w:rPr>
          <w:rFonts w:eastAsia="Times New Roman"/>
          <w:sz w:val="24"/>
          <w:szCs w:val="24"/>
          <w:lang w:eastAsia="en-AU"/>
        </w:rPr>
        <w:t>Notional subregulation 7.9.11S(</w:t>
      </w:r>
      <w:r w:rsidR="005B4523" w:rsidRPr="00494F4A">
        <w:rPr>
          <w:rFonts w:eastAsia="Times New Roman"/>
          <w:sz w:val="24"/>
          <w:szCs w:val="24"/>
          <w:lang w:eastAsia="en-AU"/>
        </w:rPr>
        <w:t>7</w:t>
      </w:r>
      <w:r w:rsidRPr="00494F4A">
        <w:rPr>
          <w:rFonts w:eastAsia="Times New Roman"/>
          <w:sz w:val="24"/>
          <w:szCs w:val="24"/>
          <w:lang w:eastAsia="en-AU"/>
        </w:rPr>
        <w:t>) defines</w:t>
      </w:r>
      <w:r w:rsidR="005B4523" w:rsidRPr="00494F4A">
        <w:rPr>
          <w:rFonts w:eastAsia="Times New Roman"/>
          <w:sz w:val="24"/>
          <w:szCs w:val="24"/>
          <w:lang w:eastAsia="en-AU"/>
        </w:rPr>
        <w:t xml:space="preserve"> ‘prescribed published index’ </w:t>
      </w:r>
      <w:r w:rsidR="003A4443" w:rsidRPr="00494F4A">
        <w:rPr>
          <w:rFonts w:eastAsia="Times New Roman"/>
          <w:sz w:val="24"/>
          <w:szCs w:val="24"/>
          <w:lang w:eastAsia="en-AU"/>
        </w:rPr>
        <w:t>for</w:t>
      </w:r>
      <w:r w:rsidR="005B4523" w:rsidRPr="00494F4A">
        <w:rPr>
          <w:rFonts w:eastAsia="Times New Roman"/>
          <w:sz w:val="24"/>
          <w:szCs w:val="24"/>
          <w:lang w:eastAsia="en-AU"/>
        </w:rPr>
        <w:t xml:space="preserve"> the complexity of investment strategy limb</w:t>
      </w:r>
      <w:r w:rsidR="003A4443" w:rsidRPr="00494F4A">
        <w:rPr>
          <w:rFonts w:eastAsia="Times New Roman"/>
          <w:sz w:val="24"/>
          <w:szCs w:val="24"/>
          <w:lang w:eastAsia="en-AU"/>
        </w:rPr>
        <w:t xml:space="preserve">. </w:t>
      </w:r>
      <w:r w:rsidR="000474FC" w:rsidRPr="00494F4A">
        <w:rPr>
          <w:rFonts w:eastAsia="Times New Roman"/>
          <w:sz w:val="24"/>
          <w:szCs w:val="24"/>
          <w:lang w:eastAsia="en-AU"/>
        </w:rPr>
        <w:t>The subregulation also defines</w:t>
      </w:r>
      <w:r w:rsidR="003A4443" w:rsidRPr="00494F4A">
        <w:rPr>
          <w:rFonts w:eastAsia="Times New Roman"/>
          <w:sz w:val="24"/>
          <w:szCs w:val="24"/>
          <w:lang w:eastAsia="en-AU"/>
        </w:rPr>
        <w:t xml:space="preserve"> </w:t>
      </w:r>
      <w:r w:rsidR="005B4523" w:rsidRPr="00494F4A">
        <w:rPr>
          <w:rFonts w:eastAsia="Times New Roman"/>
          <w:sz w:val="24"/>
          <w:szCs w:val="24"/>
          <w:lang w:eastAsia="en-AU"/>
        </w:rPr>
        <w:t xml:space="preserve">‘interposed entity’ </w:t>
      </w:r>
      <w:r w:rsidR="0069213C" w:rsidRPr="00494F4A">
        <w:rPr>
          <w:rFonts w:eastAsia="Times New Roman"/>
          <w:sz w:val="24"/>
          <w:szCs w:val="24"/>
          <w:lang w:eastAsia="en-AU"/>
        </w:rPr>
        <w:t>for</w:t>
      </w:r>
      <w:r w:rsidR="005B4523" w:rsidRPr="00494F4A">
        <w:rPr>
          <w:rFonts w:eastAsia="Times New Roman"/>
          <w:sz w:val="24"/>
          <w:szCs w:val="24"/>
          <w:lang w:eastAsia="en-AU"/>
        </w:rPr>
        <w:t xml:space="preserve"> the complexity of investment structure limb</w:t>
      </w:r>
      <w:r w:rsidR="003A4443" w:rsidRPr="00494F4A">
        <w:rPr>
          <w:rFonts w:eastAsia="Times New Roman"/>
          <w:sz w:val="24"/>
          <w:szCs w:val="24"/>
          <w:lang w:eastAsia="en-AU"/>
        </w:rPr>
        <w:t>. ‘D</w:t>
      </w:r>
      <w:r w:rsidRPr="00494F4A">
        <w:rPr>
          <w:rFonts w:eastAsia="Times New Roman"/>
          <w:sz w:val="24"/>
          <w:szCs w:val="24"/>
          <w:lang w:eastAsia="en-AU"/>
        </w:rPr>
        <w:t>erivative’</w:t>
      </w:r>
      <w:r w:rsidR="005B4523" w:rsidRPr="00494F4A">
        <w:rPr>
          <w:rFonts w:eastAsia="Times New Roman"/>
          <w:sz w:val="24"/>
          <w:szCs w:val="24"/>
          <w:lang w:eastAsia="en-AU"/>
        </w:rPr>
        <w:t xml:space="preserve">, ‘notional </w:t>
      </w:r>
      <w:r w:rsidR="00421539" w:rsidRPr="00494F4A">
        <w:rPr>
          <w:rFonts w:eastAsia="Times New Roman"/>
          <w:sz w:val="24"/>
          <w:szCs w:val="24"/>
          <w:lang w:eastAsia="en-AU"/>
        </w:rPr>
        <w:t>derivatives</w:t>
      </w:r>
      <w:r w:rsidR="005B4523" w:rsidRPr="00494F4A">
        <w:rPr>
          <w:rFonts w:eastAsia="Times New Roman"/>
          <w:sz w:val="24"/>
          <w:szCs w:val="24"/>
          <w:lang w:eastAsia="en-AU"/>
        </w:rPr>
        <w:t xml:space="preserve"> exposure’</w:t>
      </w:r>
      <w:r w:rsidR="003A4443" w:rsidRPr="00494F4A">
        <w:rPr>
          <w:rFonts w:eastAsia="Times New Roman"/>
          <w:sz w:val="24"/>
          <w:szCs w:val="24"/>
          <w:lang w:eastAsia="en-AU"/>
        </w:rPr>
        <w:t xml:space="preserve"> and</w:t>
      </w:r>
      <w:r w:rsidR="005B4523" w:rsidRPr="00494F4A">
        <w:rPr>
          <w:rFonts w:eastAsia="Times New Roman"/>
          <w:sz w:val="24"/>
          <w:szCs w:val="24"/>
          <w:lang w:eastAsia="en-AU"/>
        </w:rPr>
        <w:t xml:space="preserve"> ‘net asset value</w:t>
      </w:r>
      <w:r w:rsidR="003A4443" w:rsidRPr="00494F4A">
        <w:rPr>
          <w:rFonts w:eastAsia="Times New Roman"/>
          <w:sz w:val="24"/>
          <w:szCs w:val="24"/>
          <w:lang w:eastAsia="en-AU"/>
        </w:rPr>
        <w:t>’ are</w:t>
      </w:r>
      <w:r w:rsidR="005B4523" w:rsidRPr="00494F4A">
        <w:rPr>
          <w:rFonts w:eastAsia="Times New Roman"/>
          <w:sz w:val="24"/>
          <w:szCs w:val="24"/>
          <w:lang w:eastAsia="en-AU"/>
        </w:rPr>
        <w:t xml:space="preserve"> </w:t>
      </w:r>
      <w:r w:rsidR="000474FC" w:rsidRPr="00494F4A">
        <w:rPr>
          <w:rFonts w:eastAsia="Times New Roman"/>
          <w:sz w:val="24"/>
          <w:szCs w:val="24"/>
          <w:lang w:eastAsia="en-AU"/>
        </w:rPr>
        <w:t xml:space="preserve">defined </w:t>
      </w:r>
      <w:r w:rsidR="0069213C" w:rsidRPr="00494F4A">
        <w:rPr>
          <w:rFonts w:eastAsia="Times New Roman"/>
          <w:sz w:val="24"/>
          <w:szCs w:val="24"/>
          <w:lang w:eastAsia="en-AU"/>
        </w:rPr>
        <w:t>for</w:t>
      </w:r>
      <w:r w:rsidR="005B4523" w:rsidRPr="00494F4A">
        <w:rPr>
          <w:rFonts w:eastAsia="Times New Roman"/>
          <w:sz w:val="24"/>
          <w:szCs w:val="24"/>
          <w:lang w:eastAsia="en-AU"/>
        </w:rPr>
        <w:t xml:space="preserve"> the derivatives limb and </w:t>
      </w:r>
      <w:r w:rsidR="003A4443" w:rsidRPr="00494F4A">
        <w:rPr>
          <w:rFonts w:eastAsia="Times New Roman"/>
          <w:sz w:val="24"/>
          <w:szCs w:val="24"/>
          <w:lang w:eastAsia="en-AU"/>
        </w:rPr>
        <w:t xml:space="preserve">the </w:t>
      </w:r>
      <w:r w:rsidR="005B4523" w:rsidRPr="00494F4A">
        <w:rPr>
          <w:rFonts w:eastAsia="Times New Roman"/>
          <w:sz w:val="24"/>
          <w:szCs w:val="24"/>
          <w:lang w:eastAsia="en-AU"/>
        </w:rPr>
        <w:t xml:space="preserve">‘securities lending arrangement’ </w:t>
      </w:r>
      <w:r w:rsidR="003A4443" w:rsidRPr="00494F4A">
        <w:rPr>
          <w:rFonts w:eastAsia="Times New Roman"/>
          <w:sz w:val="24"/>
          <w:szCs w:val="24"/>
          <w:lang w:eastAsia="en-AU"/>
        </w:rPr>
        <w:t xml:space="preserve">definition </w:t>
      </w:r>
      <w:r w:rsidR="005B4523" w:rsidRPr="00494F4A">
        <w:rPr>
          <w:rFonts w:eastAsia="Times New Roman"/>
          <w:sz w:val="24"/>
          <w:szCs w:val="24"/>
          <w:lang w:eastAsia="en-AU"/>
        </w:rPr>
        <w:t>is relevant to the short selling limb.</w:t>
      </w:r>
      <w:r w:rsidR="003A4443" w:rsidRPr="00494F4A">
        <w:rPr>
          <w:rFonts w:eastAsia="Times New Roman"/>
          <w:sz w:val="24"/>
          <w:szCs w:val="24"/>
          <w:lang w:eastAsia="en-AU"/>
        </w:rPr>
        <w:t xml:space="preserve"> </w:t>
      </w:r>
    </w:p>
    <w:p w14:paraId="30AE5C87" w14:textId="77777777" w:rsidR="003A4443" w:rsidRPr="00494F4A" w:rsidRDefault="003A4443" w:rsidP="00C25013">
      <w:pPr>
        <w:ind w:left="570"/>
        <w:rPr>
          <w:rFonts w:eastAsia="Times New Roman"/>
          <w:sz w:val="24"/>
          <w:szCs w:val="24"/>
          <w:lang w:eastAsia="en-AU"/>
        </w:rPr>
      </w:pPr>
    </w:p>
    <w:p w14:paraId="2C2061B7" w14:textId="77777777" w:rsidR="008129C2" w:rsidRPr="00494F4A" w:rsidRDefault="003A4443" w:rsidP="003A4443">
      <w:pPr>
        <w:numPr>
          <w:ilvl w:val="0"/>
          <w:numId w:val="15"/>
        </w:numPr>
        <w:rPr>
          <w:rFonts w:eastAsia="Times New Roman"/>
          <w:sz w:val="24"/>
          <w:szCs w:val="24"/>
          <w:lang w:eastAsia="en-AU"/>
        </w:rPr>
      </w:pPr>
      <w:r w:rsidRPr="00494F4A">
        <w:rPr>
          <w:rFonts w:eastAsia="Times New Roman"/>
          <w:sz w:val="24"/>
          <w:szCs w:val="24"/>
          <w:lang w:eastAsia="en-AU"/>
        </w:rPr>
        <w:t>Sub</w:t>
      </w:r>
      <w:r w:rsidR="009F623E" w:rsidRPr="00494F4A">
        <w:rPr>
          <w:rFonts w:eastAsia="Times New Roman"/>
          <w:sz w:val="24"/>
          <w:szCs w:val="24"/>
          <w:lang w:eastAsia="en-AU"/>
        </w:rPr>
        <w:t>section</w:t>
      </w:r>
      <w:r w:rsidRPr="00494F4A">
        <w:rPr>
          <w:rFonts w:eastAsia="Times New Roman"/>
          <w:sz w:val="24"/>
          <w:szCs w:val="24"/>
          <w:lang w:eastAsia="en-AU"/>
        </w:rPr>
        <w:t xml:space="preserve"> 5(3) inserts notional Schedule 10F into the Regulations that lists foreign regulatory authorities for the purposes of the definition of ‘prescribed foreign regulatory authority’ in notional subregulation 7.9.11S(7). This definition is relevant to the definition of ‘interposed entity’. </w:t>
      </w:r>
      <w:r w:rsidR="005B4523" w:rsidRPr="00494F4A">
        <w:rPr>
          <w:rFonts w:eastAsia="Times New Roman"/>
          <w:sz w:val="24"/>
          <w:szCs w:val="24"/>
          <w:lang w:eastAsia="en-AU"/>
        </w:rPr>
        <w:t xml:space="preserve"> </w:t>
      </w:r>
      <w:r w:rsidR="008129C2" w:rsidRPr="00494F4A">
        <w:rPr>
          <w:rFonts w:eastAsia="Times New Roman"/>
          <w:sz w:val="24"/>
          <w:szCs w:val="24"/>
          <w:lang w:eastAsia="en-AU"/>
        </w:rPr>
        <w:t xml:space="preserve"> </w:t>
      </w:r>
    </w:p>
    <w:p w14:paraId="71516592" w14:textId="77777777" w:rsidR="00CE3554" w:rsidRPr="00494F4A" w:rsidRDefault="00CE3554" w:rsidP="00CE3554">
      <w:pPr>
        <w:ind w:left="570"/>
        <w:rPr>
          <w:rFonts w:eastAsia="Times New Roman"/>
          <w:sz w:val="24"/>
          <w:szCs w:val="24"/>
          <w:lang w:eastAsia="en-AU"/>
        </w:rPr>
      </w:pPr>
    </w:p>
    <w:p w14:paraId="5AB285CD" w14:textId="77777777" w:rsidR="00CE3554" w:rsidRPr="00494F4A" w:rsidRDefault="00CE3554" w:rsidP="00CE3554">
      <w:pPr>
        <w:rPr>
          <w:rFonts w:eastAsia="Times New Roman"/>
          <w:sz w:val="24"/>
          <w:szCs w:val="24"/>
          <w:u w:val="single"/>
          <w:lang w:eastAsia="en-AU"/>
        </w:rPr>
      </w:pPr>
      <w:r w:rsidRPr="00494F4A">
        <w:rPr>
          <w:rFonts w:eastAsia="Times New Roman"/>
          <w:sz w:val="24"/>
          <w:szCs w:val="24"/>
          <w:u w:val="single"/>
          <w:lang w:eastAsia="en-AU"/>
        </w:rPr>
        <w:t>Fund of hedge fund</w:t>
      </w:r>
      <w:r w:rsidR="000C5CFE" w:rsidRPr="00494F4A">
        <w:rPr>
          <w:rFonts w:eastAsia="Times New Roman"/>
          <w:sz w:val="24"/>
          <w:szCs w:val="24"/>
          <w:u w:val="single"/>
          <w:lang w:eastAsia="en-AU"/>
        </w:rPr>
        <w:t>s</w:t>
      </w:r>
    </w:p>
    <w:p w14:paraId="0DC3FBBE" w14:textId="77777777" w:rsidR="00CE3554" w:rsidRPr="00494F4A" w:rsidRDefault="00CE3554" w:rsidP="00CE3554">
      <w:pPr>
        <w:rPr>
          <w:rFonts w:eastAsia="Times New Roman"/>
          <w:sz w:val="24"/>
          <w:szCs w:val="24"/>
          <w:lang w:eastAsia="en-AU"/>
        </w:rPr>
      </w:pPr>
    </w:p>
    <w:p w14:paraId="329D5B93" w14:textId="77777777" w:rsidR="000C5CFE" w:rsidRPr="00494F4A" w:rsidRDefault="000C5CFE" w:rsidP="000C5CFE">
      <w:pPr>
        <w:numPr>
          <w:ilvl w:val="0"/>
          <w:numId w:val="15"/>
        </w:numPr>
        <w:rPr>
          <w:rFonts w:eastAsia="Times New Roman"/>
          <w:sz w:val="24"/>
          <w:szCs w:val="24"/>
          <w:lang w:eastAsia="en-AU"/>
        </w:rPr>
      </w:pPr>
      <w:r w:rsidRPr="00494F4A">
        <w:rPr>
          <w:rFonts w:eastAsia="Times New Roman"/>
          <w:sz w:val="24"/>
          <w:szCs w:val="24"/>
          <w:lang w:eastAsia="en-AU"/>
        </w:rPr>
        <w:t>Sub</w:t>
      </w:r>
      <w:r w:rsidR="009F623E" w:rsidRPr="00494F4A">
        <w:rPr>
          <w:rFonts w:eastAsia="Times New Roman"/>
          <w:sz w:val="24"/>
          <w:szCs w:val="24"/>
          <w:lang w:eastAsia="en-AU"/>
        </w:rPr>
        <w:t>section</w:t>
      </w:r>
      <w:r w:rsidRPr="00494F4A">
        <w:rPr>
          <w:rFonts w:eastAsia="Times New Roman"/>
          <w:sz w:val="24"/>
          <w:szCs w:val="24"/>
          <w:lang w:eastAsia="en-AU"/>
        </w:rPr>
        <w:t xml:space="preserve"> </w:t>
      </w:r>
      <w:r w:rsidR="00682B5A" w:rsidRPr="00494F4A">
        <w:rPr>
          <w:rFonts w:eastAsia="Times New Roman"/>
          <w:sz w:val="24"/>
          <w:szCs w:val="24"/>
          <w:lang w:eastAsia="en-AU"/>
        </w:rPr>
        <w:t>5</w:t>
      </w:r>
      <w:r w:rsidRPr="00494F4A">
        <w:rPr>
          <w:rFonts w:eastAsia="Times New Roman"/>
          <w:sz w:val="24"/>
          <w:szCs w:val="24"/>
          <w:lang w:eastAsia="en-AU"/>
        </w:rPr>
        <w:t>(2) modifies regulation 7.9.11S to insert notional subregulation7.9.11S(6) that excludes a ‘fund of hedge funds’ from the shorter PDS regime.</w:t>
      </w:r>
    </w:p>
    <w:p w14:paraId="59CEEF0B" w14:textId="77777777" w:rsidR="000C5CFE" w:rsidRPr="00494F4A" w:rsidRDefault="000C5CFE" w:rsidP="00C25013">
      <w:pPr>
        <w:ind w:left="570"/>
        <w:rPr>
          <w:rFonts w:eastAsia="Times New Roman"/>
          <w:sz w:val="24"/>
          <w:szCs w:val="24"/>
          <w:lang w:eastAsia="en-AU"/>
        </w:rPr>
      </w:pPr>
    </w:p>
    <w:p w14:paraId="72B54E43" w14:textId="77777777" w:rsidR="0084120D" w:rsidRPr="00494F4A" w:rsidRDefault="000C5CFE" w:rsidP="00395DD1">
      <w:pPr>
        <w:numPr>
          <w:ilvl w:val="0"/>
          <w:numId w:val="15"/>
        </w:numPr>
        <w:rPr>
          <w:rFonts w:eastAsia="Times New Roman"/>
          <w:sz w:val="24"/>
          <w:szCs w:val="24"/>
          <w:lang w:eastAsia="en-AU"/>
        </w:rPr>
      </w:pPr>
      <w:r w:rsidRPr="00494F4A">
        <w:rPr>
          <w:rFonts w:eastAsia="Times New Roman"/>
          <w:sz w:val="24"/>
          <w:szCs w:val="24"/>
          <w:lang w:eastAsia="en-AU"/>
        </w:rPr>
        <w:t xml:space="preserve">‘Fund of hedge funds’ is defined in notional subregulation 7.9.11S(7) as </w:t>
      </w:r>
      <w:r w:rsidR="00123831" w:rsidRPr="00494F4A">
        <w:rPr>
          <w:rFonts w:eastAsia="Times New Roman"/>
          <w:sz w:val="24"/>
          <w:szCs w:val="24"/>
          <w:lang w:eastAsia="en-AU"/>
        </w:rPr>
        <w:t>a registered scheme that:</w:t>
      </w:r>
    </w:p>
    <w:p w14:paraId="3088554E" w14:textId="77777777" w:rsidR="005D4A6B" w:rsidRPr="00494F4A" w:rsidRDefault="005D4A6B" w:rsidP="005D4A6B">
      <w:pPr>
        <w:ind w:left="570"/>
        <w:rPr>
          <w:rFonts w:eastAsia="Times New Roman"/>
          <w:sz w:val="24"/>
          <w:szCs w:val="24"/>
          <w:lang w:eastAsia="en-AU"/>
        </w:rPr>
      </w:pPr>
    </w:p>
    <w:p w14:paraId="793D59A3" w14:textId="77777777" w:rsidR="00123831" w:rsidRPr="00494F4A" w:rsidRDefault="00123831" w:rsidP="00123831">
      <w:pPr>
        <w:numPr>
          <w:ilvl w:val="1"/>
          <w:numId w:val="15"/>
        </w:numPr>
        <w:rPr>
          <w:rFonts w:eastAsia="Times New Roman"/>
          <w:sz w:val="24"/>
          <w:szCs w:val="24"/>
          <w:lang w:eastAsia="en-AU"/>
        </w:rPr>
      </w:pPr>
      <w:r w:rsidRPr="00494F4A">
        <w:rPr>
          <w:rFonts w:eastAsia="Times New Roman"/>
          <w:sz w:val="24"/>
          <w:szCs w:val="24"/>
          <w:lang w:eastAsia="en-AU"/>
        </w:rPr>
        <w:t>is promoted by the responsible entity using the expression and as being a ‘fund of hedge funds’; or</w:t>
      </w:r>
    </w:p>
    <w:p w14:paraId="41A4CD48" w14:textId="77777777" w:rsidR="00123831" w:rsidRPr="00494F4A" w:rsidRDefault="00123831"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invests at least 35% of scheme property in a way that gives rise to economic interests in one or more</w:t>
      </w:r>
      <w:r w:rsidR="000C5CFE" w:rsidRPr="00494F4A">
        <w:rPr>
          <w:rFonts w:eastAsia="Times New Roman"/>
          <w:sz w:val="24"/>
          <w:szCs w:val="24"/>
          <w:lang w:eastAsia="en-AU"/>
        </w:rPr>
        <w:t xml:space="preserve"> of</w:t>
      </w:r>
      <w:r w:rsidRPr="00494F4A">
        <w:rPr>
          <w:rFonts w:eastAsia="Times New Roman"/>
          <w:sz w:val="24"/>
          <w:szCs w:val="24"/>
          <w:lang w:eastAsia="en-AU"/>
        </w:rPr>
        <w:t>:</w:t>
      </w:r>
    </w:p>
    <w:p w14:paraId="6A6421CA" w14:textId="77777777" w:rsidR="00123831" w:rsidRPr="00494F4A" w:rsidRDefault="000C5CFE" w:rsidP="00123831">
      <w:pPr>
        <w:numPr>
          <w:ilvl w:val="2"/>
          <w:numId w:val="15"/>
        </w:numPr>
        <w:rPr>
          <w:rFonts w:eastAsia="Times New Roman"/>
          <w:sz w:val="24"/>
          <w:szCs w:val="24"/>
          <w:lang w:eastAsia="en-AU"/>
        </w:rPr>
      </w:pPr>
      <w:r w:rsidRPr="00494F4A">
        <w:rPr>
          <w:rFonts w:eastAsia="Times New Roman"/>
          <w:sz w:val="24"/>
          <w:szCs w:val="24"/>
          <w:lang w:eastAsia="en-AU"/>
        </w:rPr>
        <w:t xml:space="preserve">a </w:t>
      </w:r>
      <w:r w:rsidR="00123831" w:rsidRPr="00494F4A">
        <w:rPr>
          <w:rFonts w:eastAsia="Times New Roman"/>
          <w:sz w:val="24"/>
          <w:szCs w:val="24"/>
          <w:lang w:eastAsia="en-AU"/>
        </w:rPr>
        <w:t>hedge fund; or</w:t>
      </w:r>
    </w:p>
    <w:p w14:paraId="1E712C09" w14:textId="77777777" w:rsidR="00123831" w:rsidRPr="00494F4A" w:rsidRDefault="00123831" w:rsidP="00123831">
      <w:pPr>
        <w:numPr>
          <w:ilvl w:val="2"/>
          <w:numId w:val="15"/>
        </w:numPr>
        <w:rPr>
          <w:rFonts w:eastAsia="Times New Roman"/>
          <w:sz w:val="24"/>
          <w:szCs w:val="24"/>
          <w:lang w:eastAsia="en-AU"/>
        </w:rPr>
      </w:pPr>
      <w:r w:rsidRPr="00494F4A">
        <w:rPr>
          <w:rFonts w:eastAsia="Times New Roman"/>
          <w:sz w:val="24"/>
          <w:szCs w:val="24"/>
          <w:lang w:eastAsia="en-AU"/>
        </w:rPr>
        <w:t>a managed investment scheme or body</w:t>
      </w:r>
      <w:r w:rsidR="000C5CFE" w:rsidRPr="00494F4A">
        <w:rPr>
          <w:rFonts w:eastAsia="Times New Roman"/>
          <w:sz w:val="24"/>
          <w:szCs w:val="24"/>
          <w:lang w:eastAsia="en-AU"/>
        </w:rPr>
        <w:t>,</w:t>
      </w:r>
      <w:r w:rsidRPr="00494F4A">
        <w:rPr>
          <w:rFonts w:eastAsia="Times New Roman"/>
          <w:sz w:val="24"/>
          <w:szCs w:val="24"/>
          <w:lang w:eastAsia="en-AU"/>
        </w:rPr>
        <w:t xml:space="preserve"> whether operating or car</w:t>
      </w:r>
      <w:r w:rsidR="000C5CFE" w:rsidRPr="00494F4A">
        <w:rPr>
          <w:rFonts w:eastAsia="Times New Roman"/>
          <w:sz w:val="24"/>
          <w:szCs w:val="24"/>
          <w:lang w:eastAsia="en-AU"/>
        </w:rPr>
        <w:t>ry</w:t>
      </w:r>
      <w:r w:rsidRPr="00494F4A">
        <w:rPr>
          <w:rFonts w:eastAsia="Times New Roman"/>
          <w:sz w:val="24"/>
          <w:szCs w:val="24"/>
          <w:lang w:eastAsia="en-AU"/>
        </w:rPr>
        <w:t>ing on business in or outside this jurisdiction that</w:t>
      </w:r>
      <w:r w:rsidR="000C5CFE" w:rsidRPr="00494F4A">
        <w:rPr>
          <w:rFonts w:eastAsia="Times New Roman"/>
          <w:sz w:val="24"/>
          <w:szCs w:val="24"/>
          <w:lang w:eastAsia="en-AU"/>
        </w:rPr>
        <w:t>,</w:t>
      </w:r>
      <w:r w:rsidRPr="00494F4A">
        <w:rPr>
          <w:rFonts w:eastAsia="Times New Roman"/>
          <w:sz w:val="24"/>
          <w:szCs w:val="24"/>
          <w:lang w:eastAsia="en-AU"/>
        </w:rPr>
        <w:t xml:space="preserve"> would be a hedge fund if it were a registered scheme.  (This covers </w:t>
      </w:r>
      <w:r w:rsidRPr="00494F4A">
        <w:rPr>
          <w:rFonts w:eastAsia="Times New Roman"/>
          <w:sz w:val="24"/>
          <w:szCs w:val="24"/>
          <w:lang w:eastAsia="en-AU"/>
        </w:rPr>
        <w:lastRenderedPageBreak/>
        <w:t>unregistered managed investment schemes or bodies operating or carrying on a business outside this jurisdiction that would be hedge funds if they were offered to retail clients in this jurisdiction); or</w:t>
      </w:r>
    </w:p>
    <w:p w14:paraId="76B30D17" w14:textId="77777777" w:rsidR="00123831" w:rsidRPr="00494F4A" w:rsidRDefault="00123831"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is promoted by the responsible entity on the basis that scheme property will be invested in the way set out in paragraph (b).</w:t>
      </w:r>
    </w:p>
    <w:p w14:paraId="4E0A118F" w14:textId="77777777" w:rsidR="00123831" w:rsidRPr="00494F4A" w:rsidRDefault="00123831" w:rsidP="00123831">
      <w:pPr>
        <w:rPr>
          <w:rFonts w:eastAsia="Times New Roman"/>
          <w:sz w:val="24"/>
          <w:szCs w:val="24"/>
          <w:lang w:eastAsia="en-AU"/>
        </w:rPr>
      </w:pPr>
    </w:p>
    <w:p w14:paraId="73506B7F" w14:textId="77777777" w:rsidR="0041034E" w:rsidRPr="00494F4A" w:rsidRDefault="0041034E" w:rsidP="0041034E">
      <w:pPr>
        <w:numPr>
          <w:ilvl w:val="0"/>
          <w:numId w:val="15"/>
        </w:numPr>
        <w:rPr>
          <w:rFonts w:eastAsia="Times New Roman"/>
          <w:sz w:val="24"/>
          <w:szCs w:val="24"/>
          <w:lang w:eastAsia="en-AU"/>
        </w:rPr>
      </w:pPr>
      <w:r w:rsidRPr="00494F4A">
        <w:rPr>
          <w:rFonts w:eastAsia="Times New Roman"/>
          <w:sz w:val="24"/>
          <w:szCs w:val="24"/>
          <w:lang w:eastAsia="en-AU"/>
        </w:rPr>
        <w:t>The definition</w:t>
      </w:r>
      <w:r w:rsidR="000C5CFE" w:rsidRPr="00494F4A">
        <w:rPr>
          <w:rFonts w:eastAsia="Times New Roman"/>
          <w:sz w:val="24"/>
          <w:szCs w:val="24"/>
          <w:lang w:eastAsia="en-AU"/>
        </w:rPr>
        <w:t>s</w:t>
      </w:r>
      <w:r w:rsidRPr="00494F4A">
        <w:rPr>
          <w:rFonts w:eastAsia="Times New Roman"/>
          <w:sz w:val="24"/>
          <w:szCs w:val="24"/>
          <w:lang w:eastAsia="en-AU"/>
        </w:rPr>
        <w:t xml:space="preserve"> of ‘hedge fund’ and ‘fund of hedge funds’ </w:t>
      </w:r>
      <w:r w:rsidR="000C5CFE" w:rsidRPr="00494F4A">
        <w:rPr>
          <w:rFonts w:eastAsia="Times New Roman"/>
          <w:sz w:val="24"/>
          <w:szCs w:val="24"/>
          <w:lang w:eastAsia="en-AU"/>
        </w:rPr>
        <w:t xml:space="preserve">in notional subregulation 7.9.11S(7) </w:t>
      </w:r>
      <w:r w:rsidRPr="00494F4A">
        <w:rPr>
          <w:rFonts w:eastAsia="Times New Roman"/>
          <w:sz w:val="24"/>
          <w:szCs w:val="24"/>
          <w:lang w:eastAsia="en-AU"/>
        </w:rPr>
        <w:t>use the expression ‘promoted by’.  Promotion by a responsible entity includes any promotion caused or authorised by the responsible entity in accordance with section 52 of the Act.  </w:t>
      </w:r>
      <w:r w:rsidRPr="00494F4A">
        <w:rPr>
          <w:rFonts w:eastAsia="Times New Roman"/>
          <w:sz w:val="24"/>
          <w:szCs w:val="24"/>
          <w:lang w:val="en-US" w:eastAsia="en-AU"/>
        </w:rPr>
        <w:t xml:space="preserve">Therefore, if a responsible entity (or anyone authorised by the responsible entity) uses the terms ‘hedge fund’ or ‘fund of hedge funds’ in any promotional material, including disclosure documentation, the scheme is a hedge fund or </w:t>
      </w:r>
      <w:r w:rsidR="000C5CFE" w:rsidRPr="00494F4A">
        <w:rPr>
          <w:rFonts w:eastAsia="Times New Roman"/>
          <w:sz w:val="24"/>
          <w:szCs w:val="24"/>
          <w:lang w:val="en-US" w:eastAsia="en-AU"/>
        </w:rPr>
        <w:t xml:space="preserve">a </w:t>
      </w:r>
      <w:r w:rsidRPr="00494F4A">
        <w:rPr>
          <w:rFonts w:eastAsia="Times New Roman"/>
          <w:sz w:val="24"/>
          <w:szCs w:val="24"/>
          <w:lang w:val="en-US" w:eastAsia="en-AU"/>
        </w:rPr>
        <w:t xml:space="preserve">fund of hedge funds </w:t>
      </w:r>
      <w:r w:rsidR="000C5CFE" w:rsidRPr="00494F4A">
        <w:rPr>
          <w:rFonts w:eastAsia="Times New Roman"/>
          <w:sz w:val="24"/>
          <w:szCs w:val="24"/>
          <w:lang w:val="en-US" w:eastAsia="en-AU"/>
        </w:rPr>
        <w:t xml:space="preserve">as applicable </w:t>
      </w:r>
      <w:r w:rsidRPr="00494F4A">
        <w:rPr>
          <w:rFonts w:eastAsia="Times New Roman"/>
          <w:sz w:val="24"/>
          <w:szCs w:val="24"/>
          <w:lang w:val="en-US" w:eastAsia="en-AU"/>
        </w:rPr>
        <w:t>under the definitions.</w:t>
      </w:r>
    </w:p>
    <w:p w14:paraId="6F38CB17" w14:textId="77777777" w:rsidR="000C5CFE" w:rsidRPr="00494F4A" w:rsidRDefault="000C5CFE" w:rsidP="00123831">
      <w:pPr>
        <w:rPr>
          <w:rFonts w:eastAsia="Times New Roman"/>
          <w:i/>
          <w:iCs/>
          <w:sz w:val="24"/>
          <w:szCs w:val="24"/>
          <w:lang w:eastAsia="en-AU"/>
        </w:rPr>
      </w:pPr>
    </w:p>
    <w:p w14:paraId="70D4172E" w14:textId="77777777" w:rsidR="007C5BE9" w:rsidRPr="0095459E" w:rsidRDefault="007C5BE9" w:rsidP="00123831">
      <w:pPr>
        <w:rPr>
          <w:rFonts w:eastAsia="Times New Roman"/>
          <w:i/>
          <w:iCs/>
          <w:sz w:val="24"/>
          <w:szCs w:val="24"/>
          <w:lang w:eastAsia="en-AU"/>
        </w:rPr>
      </w:pPr>
      <w:r w:rsidRPr="00494F4A">
        <w:rPr>
          <w:rFonts w:eastAsia="Times New Roman"/>
          <w:i/>
          <w:iCs/>
          <w:sz w:val="24"/>
          <w:szCs w:val="24"/>
          <w:lang w:eastAsia="en-AU"/>
        </w:rPr>
        <w:t>Superannuation</w:t>
      </w:r>
      <w:r w:rsidRPr="0095459E">
        <w:rPr>
          <w:rFonts w:eastAsia="Times New Roman"/>
          <w:i/>
          <w:iCs/>
          <w:sz w:val="24"/>
          <w:szCs w:val="24"/>
          <w:lang w:eastAsia="en-AU"/>
        </w:rPr>
        <w:t xml:space="preserve"> Investment Strategies</w:t>
      </w:r>
    </w:p>
    <w:p w14:paraId="138A3A39" w14:textId="77777777" w:rsidR="00123831" w:rsidRPr="0095459E" w:rsidRDefault="00123831" w:rsidP="00123831">
      <w:pPr>
        <w:rPr>
          <w:rFonts w:eastAsia="Times New Roman"/>
          <w:sz w:val="24"/>
          <w:szCs w:val="24"/>
          <w:lang w:eastAsia="en-AU"/>
        </w:rPr>
      </w:pPr>
    </w:p>
    <w:p w14:paraId="38E84F96" w14:textId="77777777" w:rsidR="00243689" w:rsidRPr="00494F4A" w:rsidRDefault="009F623E" w:rsidP="00395DD1">
      <w:pPr>
        <w:numPr>
          <w:ilvl w:val="0"/>
          <w:numId w:val="15"/>
        </w:numPr>
        <w:rPr>
          <w:rFonts w:eastAsia="Times New Roman"/>
          <w:i/>
          <w:iCs/>
          <w:sz w:val="24"/>
          <w:szCs w:val="24"/>
          <w:lang w:eastAsia="en-AU"/>
        </w:rPr>
      </w:pPr>
      <w:bookmarkStart w:id="5" w:name="_ASICRef243"/>
      <w:r w:rsidRPr="0095459E">
        <w:rPr>
          <w:rFonts w:eastAsia="Times New Roman"/>
          <w:sz w:val="24"/>
          <w:szCs w:val="24"/>
          <w:lang w:eastAsia="en-AU"/>
        </w:rPr>
        <w:t xml:space="preserve">Section 6 </w:t>
      </w:r>
      <w:r w:rsidR="007C5BE9" w:rsidRPr="0095459E">
        <w:rPr>
          <w:rFonts w:eastAsia="Times New Roman"/>
          <w:sz w:val="24"/>
          <w:szCs w:val="24"/>
          <w:lang w:eastAsia="en-AU"/>
        </w:rPr>
        <w:t>preserves</w:t>
      </w:r>
      <w:r w:rsidR="00C937E9" w:rsidRPr="00494F4A">
        <w:rPr>
          <w:rFonts w:eastAsia="Times New Roman"/>
          <w:sz w:val="24"/>
          <w:szCs w:val="24"/>
          <w:lang w:eastAsia="en-AU"/>
        </w:rPr>
        <w:t>, with minimal changes,</w:t>
      </w:r>
      <w:r w:rsidR="007C5BE9" w:rsidRPr="00494F4A">
        <w:rPr>
          <w:rFonts w:eastAsia="Times New Roman"/>
          <w:sz w:val="24"/>
          <w:szCs w:val="24"/>
          <w:lang w:eastAsia="en-AU"/>
        </w:rPr>
        <w:t xml:space="preserve"> </w:t>
      </w:r>
      <w:r w:rsidRPr="00494F4A">
        <w:rPr>
          <w:rFonts w:eastAsia="Times New Roman"/>
          <w:sz w:val="24"/>
          <w:szCs w:val="24"/>
          <w:lang w:eastAsia="en-AU"/>
        </w:rPr>
        <w:t xml:space="preserve">relief </w:t>
      </w:r>
      <w:r w:rsidR="00932B02" w:rsidRPr="00494F4A">
        <w:rPr>
          <w:rFonts w:eastAsia="Times New Roman"/>
          <w:sz w:val="24"/>
          <w:szCs w:val="24"/>
          <w:lang w:eastAsia="en-AU"/>
        </w:rPr>
        <w:t xml:space="preserve">that was </w:t>
      </w:r>
      <w:r w:rsidRPr="00494F4A">
        <w:rPr>
          <w:rFonts w:eastAsia="Times New Roman"/>
          <w:sz w:val="24"/>
          <w:szCs w:val="24"/>
          <w:lang w:eastAsia="en-AU"/>
        </w:rPr>
        <w:t>previously provided by LI 2016/65</w:t>
      </w:r>
      <w:r w:rsidR="00C937E9" w:rsidRPr="00494F4A">
        <w:rPr>
          <w:rFonts w:eastAsia="Times New Roman"/>
          <w:sz w:val="24"/>
          <w:szCs w:val="24"/>
          <w:lang w:eastAsia="en-AU"/>
        </w:rPr>
        <w:t>. This relief applies to superannuation trustees who offer a choice of investment strategies to members where, if the member instructs the trustee to follow a particular strategy, the trustee will acquire accessible financial products on behalf of the member.</w:t>
      </w:r>
      <w:r w:rsidR="00932B02" w:rsidRPr="00494F4A">
        <w:rPr>
          <w:rFonts w:eastAsia="Times New Roman"/>
          <w:sz w:val="24"/>
          <w:szCs w:val="24"/>
          <w:lang w:eastAsia="en-AU"/>
        </w:rPr>
        <w:t xml:space="preserve"> </w:t>
      </w:r>
      <w:r w:rsidR="00C937E9" w:rsidRPr="00494F4A">
        <w:rPr>
          <w:rFonts w:eastAsia="Times New Roman"/>
          <w:sz w:val="24"/>
          <w:szCs w:val="24"/>
          <w:lang w:eastAsia="en-AU"/>
        </w:rPr>
        <w:t>If the relief did not apply, section 1012IA of the Act would apply</w:t>
      </w:r>
      <w:r w:rsidR="00243689" w:rsidRPr="00494F4A">
        <w:rPr>
          <w:rFonts w:eastAsia="Times New Roman"/>
          <w:sz w:val="24"/>
          <w:szCs w:val="24"/>
          <w:lang w:eastAsia="en-AU"/>
        </w:rPr>
        <w:t xml:space="preserve">. </w:t>
      </w:r>
    </w:p>
    <w:p w14:paraId="4341EDC8" w14:textId="77777777" w:rsidR="00243689" w:rsidRPr="00494F4A" w:rsidRDefault="00243689" w:rsidP="00C25013">
      <w:pPr>
        <w:ind w:left="570"/>
        <w:rPr>
          <w:rFonts w:eastAsia="Times New Roman"/>
          <w:i/>
          <w:iCs/>
          <w:sz w:val="24"/>
          <w:szCs w:val="24"/>
          <w:lang w:eastAsia="en-AU"/>
        </w:rPr>
      </w:pPr>
    </w:p>
    <w:p w14:paraId="534BE5A6" w14:textId="77777777" w:rsidR="007C5BE9" w:rsidRPr="00494F4A" w:rsidRDefault="00656D9B" w:rsidP="00395DD1">
      <w:pPr>
        <w:numPr>
          <w:ilvl w:val="0"/>
          <w:numId w:val="15"/>
        </w:numPr>
        <w:rPr>
          <w:rFonts w:eastAsia="Times New Roman"/>
          <w:i/>
          <w:iCs/>
          <w:sz w:val="24"/>
          <w:szCs w:val="24"/>
          <w:lang w:eastAsia="en-AU"/>
        </w:rPr>
      </w:pPr>
      <w:r w:rsidRPr="00494F4A">
        <w:rPr>
          <w:rFonts w:eastAsia="Times New Roman"/>
          <w:sz w:val="24"/>
          <w:szCs w:val="24"/>
          <w:lang w:eastAsia="en-AU"/>
        </w:rPr>
        <w:t>K</w:t>
      </w:r>
      <w:r w:rsidR="00243689" w:rsidRPr="00494F4A">
        <w:rPr>
          <w:rFonts w:eastAsia="Times New Roman"/>
          <w:sz w:val="24"/>
          <w:szCs w:val="24"/>
          <w:lang w:eastAsia="en-AU"/>
        </w:rPr>
        <w:t>ey difficulties</w:t>
      </w:r>
      <w:r w:rsidR="00E4395A" w:rsidRPr="00494F4A">
        <w:rPr>
          <w:rFonts w:eastAsia="Times New Roman"/>
          <w:sz w:val="24"/>
          <w:szCs w:val="24"/>
          <w:lang w:eastAsia="en-AU"/>
        </w:rPr>
        <w:t xml:space="preserve"> </w:t>
      </w:r>
      <w:r w:rsidRPr="00494F4A">
        <w:rPr>
          <w:rFonts w:eastAsia="Times New Roman"/>
          <w:sz w:val="24"/>
          <w:szCs w:val="24"/>
          <w:lang w:eastAsia="en-AU"/>
        </w:rPr>
        <w:t xml:space="preserve">previously </w:t>
      </w:r>
      <w:r w:rsidR="00E4395A" w:rsidRPr="00494F4A">
        <w:rPr>
          <w:rFonts w:eastAsia="Times New Roman"/>
          <w:sz w:val="24"/>
          <w:szCs w:val="24"/>
          <w:lang w:eastAsia="en-AU"/>
        </w:rPr>
        <w:t xml:space="preserve">identified </w:t>
      </w:r>
      <w:r w:rsidRPr="00494F4A">
        <w:rPr>
          <w:rFonts w:eastAsia="Times New Roman"/>
          <w:sz w:val="24"/>
          <w:szCs w:val="24"/>
          <w:lang w:eastAsia="en-AU"/>
        </w:rPr>
        <w:t xml:space="preserve">from the operation of section 1012IA </w:t>
      </w:r>
      <w:r w:rsidR="00423FCE" w:rsidRPr="00494F4A">
        <w:rPr>
          <w:rFonts w:eastAsia="Times New Roman"/>
          <w:sz w:val="24"/>
          <w:szCs w:val="24"/>
          <w:lang w:eastAsia="en-AU"/>
        </w:rPr>
        <w:t>we</w:t>
      </w:r>
      <w:r w:rsidR="0051299C" w:rsidRPr="00494F4A">
        <w:rPr>
          <w:rFonts w:eastAsia="Times New Roman"/>
          <w:sz w:val="24"/>
          <w:szCs w:val="24"/>
          <w:lang w:eastAsia="en-AU"/>
        </w:rPr>
        <w:t>re</w:t>
      </w:r>
      <w:r w:rsidR="00243689" w:rsidRPr="00494F4A">
        <w:rPr>
          <w:rFonts w:eastAsia="Times New Roman"/>
          <w:sz w:val="24"/>
          <w:szCs w:val="24"/>
          <w:lang w:eastAsia="en-AU"/>
        </w:rPr>
        <w:t>:</w:t>
      </w:r>
    </w:p>
    <w:p w14:paraId="21B602E6" w14:textId="77777777" w:rsidR="00243689" w:rsidRPr="00494F4A" w:rsidRDefault="00243689" w:rsidP="00C25013">
      <w:pPr>
        <w:pStyle w:val="ListParagraph"/>
        <w:rPr>
          <w:rFonts w:eastAsia="Times New Roman"/>
          <w:i/>
          <w:iCs/>
          <w:sz w:val="24"/>
          <w:szCs w:val="24"/>
          <w:lang w:eastAsia="en-AU"/>
        </w:rPr>
      </w:pPr>
    </w:p>
    <w:p w14:paraId="5E99F31E" w14:textId="77777777" w:rsidR="00243689" w:rsidRPr="00494F4A" w:rsidRDefault="00243689" w:rsidP="007175A0">
      <w:pPr>
        <w:numPr>
          <w:ilvl w:val="1"/>
          <w:numId w:val="15"/>
        </w:numPr>
        <w:rPr>
          <w:rFonts w:eastAsia="Times New Roman"/>
          <w:sz w:val="24"/>
          <w:szCs w:val="24"/>
          <w:lang w:eastAsia="en-AU"/>
        </w:rPr>
      </w:pPr>
      <w:r w:rsidRPr="00494F4A">
        <w:rPr>
          <w:rFonts w:eastAsia="Times New Roman"/>
          <w:sz w:val="24"/>
          <w:szCs w:val="24"/>
          <w:lang w:eastAsia="en-AU"/>
        </w:rPr>
        <w:t xml:space="preserve">the duplication of disclosure obligations. Under </w:t>
      </w:r>
      <w:r w:rsidR="00656D9B" w:rsidRPr="00494F4A">
        <w:rPr>
          <w:rFonts w:eastAsia="Times New Roman"/>
          <w:sz w:val="24"/>
          <w:szCs w:val="24"/>
          <w:lang w:eastAsia="en-AU"/>
        </w:rPr>
        <w:t xml:space="preserve">section 1012IA, </w:t>
      </w:r>
      <w:r w:rsidRPr="00494F4A">
        <w:rPr>
          <w:rFonts w:eastAsia="Times New Roman"/>
          <w:sz w:val="24"/>
          <w:szCs w:val="24"/>
          <w:lang w:eastAsia="en-AU"/>
        </w:rPr>
        <w:t xml:space="preserve">a superannuation trustee needs to provide information about </w:t>
      </w:r>
      <w:r w:rsidR="00306C63" w:rsidRPr="00494F4A">
        <w:rPr>
          <w:rFonts w:eastAsia="Times New Roman"/>
          <w:sz w:val="24"/>
          <w:szCs w:val="24"/>
          <w:lang w:eastAsia="en-AU"/>
        </w:rPr>
        <w:t>financial products (</w:t>
      </w:r>
      <w:r w:rsidR="00306C63" w:rsidRPr="00494F4A">
        <w:rPr>
          <w:rFonts w:eastAsia="Times New Roman"/>
          <w:b/>
          <w:bCs/>
          <w:sz w:val="24"/>
          <w:szCs w:val="24"/>
          <w:lang w:eastAsia="en-AU"/>
        </w:rPr>
        <w:t>accessible financial products</w:t>
      </w:r>
      <w:r w:rsidR="00306C63" w:rsidRPr="00494F4A">
        <w:rPr>
          <w:rFonts w:eastAsia="Times New Roman"/>
          <w:sz w:val="24"/>
          <w:szCs w:val="24"/>
          <w:lang w:eastAsia="en-AU"/>
        </w:rPr>
        <w:t xml:space="preserve">) that may be acquired through a superannuation entity </w:t>
      </w:r>
      <w:r w:rsidRPr="00494F4A">
        <w:rPr>
          <w:rFonts w:eastAsia="Times New Roman"/>
          <w:sz w:val="24"/>
          <w:szCs w:val="24"/>
          <w:lang w:eastAsia="en-AU"/>
        </w:rPr>
        <w:t xml:space="preserve">to members twice — in the PDS the superannuation entity prepares (the </w:t>
      </w:r>
      <w:r w:rsidRPr="00494F4A">
        <w:rPr>
          <w:rFonts w:eastAsia="Times New Roman"/>
          <w:b/>
          <w:bCs/>
          <w:sz w:val="24"/>
          <w:szCs w:val="24"/>
          <w:lang w:eastAsia="en-AU"/>
        </w:rPr>
        <w:t>superannuation entity PDS</w:t>
      </w:r>
      <w:r w:rsidRPr="00494F4A">
        <w:rPr>
          <w:rFonts w:eastAsia="Times New Roman"/>
          <w:sz w:val="24"/>
          <w:szCs w:val="24"/>
          <w:lang w:eastAsia="en-AU"/>
        </w:rPr>
        <w:t xml:space="preserve">) and in the PDS for the accessible </w:t>
      </w:r>
      <w:r w:rsidR="00306C63" w:rsidRPr="00494F4A">
        <w:rPr>
          <w:rFonts w:eastAsia="Times New Roman"/>
          <w:sz w:val="24"/>
          <w:szCs w:val="24"/>
          <w:lang w:eastAsia="en-AU"/>
        </w:rPr>
        <w:t xml:space="preserve">financial </w:t>
      </w:r>
      <w:r w:rsidRPr="00494F4A">
        <w:rPr>
          <w:rFonts w:eastAsia="Times New Roman"/>
          <w:sz w:val="24"/>
          <w:szCs w:val="24"/>
          <w:lang w:eastAsia="en-AU"/>
        </w:rPr>
        <w:t xml:space="preserve">product, which the issuer of the product prepares </w:t>
      </w:r>
      <w:r w:rsidR="00E4395A" w:rsidRPr="00494F4A">
        <w:rPr>
          <w:rFonts w:eastAsia="Times New Roman"/>
          <w:sz w:val="24"/>
          <w:szCs w:val="24"/>
          <w:lang w:eastAsia="en-AU"/>
        </w:rPr>
        <w:t>(</w:t>
      </w:r>
      <w:r w:rsidR="00E4395A" w:rsidRPr="00494F4A">
        <w:rPr>
          <w:rFonts w:eastAsia="Times New Roman"/>
          <w:b/>
          <w:bCs/>
          <w:sz w:val="24"/>
          <w:szCs w:val="24"/>
          <w:lang w:eastAsia="en-AU"/>
        </w:rPr>
        <w:t>the accessible product PDS</w:t>
      </w:r>
      <w:proofErr w:type="gramStart"/>
      <w:r w:rsidR="00E4395A" w:rsidRPr="00494F4A">
        <w:rPr>
          <w:rFonts w:eastAsia="Times New Roman"/>
          <w:sz w:val="24"/>
          <w:szCs w:val="24"/>
          <w:lang w:eastAsia="en-AU"/>
        </w:rPr>
        <w:t>);</w:t>
      </w:r>
      <w:proofErr w:type="gramEnd"/>
    </w:p>
    <w:p w14:paraId="53109D44" w14:textId="77777777" w:rsidR="00243689" w:rsidRPr="00494F4A" w:rsidRDefault="00243689"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 xml:space="preserve">the </w:t>
      </w:r>
      <w:r w:rsidR="00E4395A" w:rsidRPr="00494F4A">
        <w:rPr>
          <w:rFonts w:eastAsia="Times New Roman"/>
          <w:sz w:val="24"/>
          <w:szCs w:val="24"/>
          <w:lang w:eastAsia="en-AU"/>
        </w:rPr>
        <w:t xml:space="preserve">Act </w:t>
      </w:r>
      <w:r w:rsidRPr="00494F4A">
        <w:rPr>
          <w:rFonts w:eastAsia="Times New Roman"/>
          <w:sz w:val="24"/>
          <w:szCs w:val="24"/>
          <w:lang w:eastAsia="en-AU"/>
        </w:rPr>
        <w:t xml:space="preserve">does not allow the superannuation trustee to prepare the accessible product PDS (it must be prepared by the product issuer). </w:t>
      </w:r>
      <w:r w:rsidR="00E4395A" w:rsidRPr="00494F4A">
        <w:rPr>
          <w:rFonts w:eastAsia="Times New Roman"/>
          <w:sz w:val="24"/>
          <w:szCs w:val="24"/>
          <w:lang w:eastAsia="en-AU"/>
        </w:rPr>
        <w:t xml:space="preserve">However, </w:t>
      </w:r>
      <w:r w:rsidR="00297FE2">
        <w:rPr>
          <w:rFonts w:eastAsia="Times New Roman"/>
          <w:sz w:val="24"/>
          <w:szCs w:val="24"/>
          <w:lang w:eastAsia="en-AU"/>
        </w:rPr>
        <w:t xml:space="preserve">prior to this relief being first granted </w:t>
      </w:r>
      <w:r w:rsidR="00E4395A" w:rsidRPr="00494F4A">
        <w:rPr>
          <w:rFonts w:eastAsia="Times New Roman"/>
          <w:sz w:val="24"/>
          <w:szCs w:val="24"/>
          <w:lang w:eastAsia="en-AU"/>
        </w:rPr>
        <w:t>m</w:t>
      </w:r>
      <w:r w:rsidRPr="00494F4A">
        <w:rPr>
          <w:rFonts w:eastAsia="Times New Roman"/>
          <w:sz w:val="24"/>
          <w:szCs w:val="24"/>
          <w:lang w:eastAsia="en-AU"/>
        </w:rPr>
        <w:t>any superannuation trustees indicated a strong preference to prepare the information that must be provided to members about accessible financial product</w:t>
      </w:r>
      <w:r w:rsidR="00E4395A" w:rsidRPr="00494F4A">
        <w:rPr>
          <w:rFonts w:eastAsia="Times New Roman"/>
          <w:sz w:val="24"/>
          <w:szCs w:val="24"/>
          <w:lang w:eastAsia="en-AU"/>
        </w:rPr>
        <w:t>s</w:t>
      </w:r>
      <w:r w:rsidRPr="00494F4A">
        <w:rPr>
          <w:rFonts w:eastAsia="Times New Roman"/>
          <w:sz w:val="24"/>
          <w:szCs w:val="24"/>
          <w:lang w:eastAsia="en-AU"/>
        </w:rPr>
        <w:t>; and</w:t>
      </w:r>
    </w:p>
    <w:p w14:paraId="3F6E0B9A" w14:textId="77777777" w:rsidR="00243689" w:rsidRPr="00494F4A" w:rsidRDefault="00243689"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superannuation trustee</w:t>
      </w:r>
      <w:r w:rsidR="00656D9B" w:rsidRPr="00494F4A">
        <w:rPr>
          <w:rFonts w:eastAsia="Times New Roman"/>
          <w:sz w:val="24"/>
          <w:szCs w:val="24"/>
          <w:lang w:eastAsia="en-AU"/>
        </w:rPr>
        <w:t>s</w:t>
      </w:r>
      <w:r w:rsidRPr="00494F4A">
        <w:rPr>
          <w:rFonts w:eastAsia="Times New Roman"/>
          <w:sz w:val="24"/>
          <w:szCs w:val="24"/>
          <w:lang w:eastAsia="en-AU"/>
        </w:rPr>
        <w:t xml:space="preserve"> must give a member a PDS each time an accessible financial product is acquired by the trustee on behalf of the member. Each additional investment of money by the member will be an additional acquisition, with the result that the member will generally be repeatedly given the same accessible product PDS.</w:t>
      </w:r>
    </w:p>
    <w:p w14:paraId="7BBFDAE0" w14:textId="77777777" w:rsidR="0051299C" w:rsidRPr="00494F4A" w:rsidRDefault="0051299C" w:rsidP="00C25013">
      <w:pPr>
        <w:ind w:left="570"/>
        <w:rPr>
          <w:rFonts w:eastAsia="Times New Roman"/>
          <w:sz w:val="24"/>
          <w:szCs w:val="24"/>
          <w:lang w:eastAsia="en-AU"/>
        </w:rPr>
      </w:pPr>
    </w:p>
    <w:p w14:paraId="0A3CAB9B" w14:textId="77777777" w:rsidR="00306AD9" w:rsidRDefault="00306AD9" w:rsidP="00306AD9">
      <w:pPr>
        <w:rPr>
          <w:rFonts w:eastAsia="Times New Roman"/>
          <w:sz w:val="24"/>
          <w:szCs w:val="24"/>
          <w:u w:val="single"/>
          <w:lang w:eastAsia="en-AU"/>
        </w:rPr>
      </w:pPr>
    </w:p>
    <w:p w14:paraId="548FFFE5" w14:textId="77777777" w:rsidR="00306AD9" w:rsidRDefault="00306AD9" w:rsidP="00306AD9">
      <w:pPr>
        <w:rPr>
          <w:rFonts w:eastAsia="Times New Roman"/>
          <w:sz w:val="24"/>
          <w:szCs w:val="24"/>
          <w:u w:val="single"/>
          <w:lang w:eastAsia="en-AU"/>
        </w:rPr>
      </w:pPr>
    </w:p>
    <w:p w14:paraId="3358E2F0" w14:textId="77777777" w:rsidR="00306AD9" w:rsidRDefault="00306AD9" w:rsidP="00306AD9">
      <w:pPr>
        <w:rPr>
          <w:rFonts w:eastAsia="Times New Roman"/>
          <w:sz w:val="24"/>
          <w:szCs w:val="24"/>
          <w:u w:val="single"/>
          <w:lang w:eastAsia="en-AU"/>
        </w:rPr>
      </w:pPr>
    </w:p>
    <w:p w14:paraId="7406D67E" w14:textId="77777777" w:rsidR="00423FCE" w:rsidRPr="00494F4A" w:rsidRDefault="00423FCE" w:rsidP="00423FCE">
      <w:pPr>
        <w:rPr>
          <w:rFonts w:eastAsia="Times New Roman"/>
          <w:sz w:val="24"/>
          <w:szCs w:val="24"/>
          <w:u w:val="single"/>
          <w:lang w:eastAsia="en-AU"/>
        </w:rPr>
      </w:pPr>
      <w:r w:rsidRPr="00494F4A">
        <w:rPr>
          <w:rFonts w:eastAsia="Times New Roman"/>
          <w:sz w:val="24"/>
          <w:szCs w:val="24"/>
          <w:u w:val="single"/>
          <w:lang w:eastAsia="en-AU"/>
        </w:rPr>
        <w:t>Relief for providing PDSs for accessible financial products</w:t>
      </w:r>
    </w:p>
    <w:p w14:paraId="455FA0A6" w14:textId="77777777" w:rsidR="00423FCE" w:rsidRPr="00494F4A" w:rsidRDefault="00423FCE" w:rsidP="00C25013">
      <w:pPr>
        <w:rPr>
          <w:rFonts w:eastAsia="Times New Roman"/>
          <w:sz w:val="24"/>
          <w:szCs w:val="24"/>
          <w:u w:val="single"/>
          <w:lang w:eastAsia="en-AU"/>
        </w:rPr>
      </w:pPr>
    </w:p>
    <w:p w14:paraId="00A2EA55" w14:textId="77777777" w:rsidR="00BC0808" w:rsidRPr="00494F4A" w:rsidRDefault="009F623E" w:rsidP="00395DD1">
      <w:pPr>
        <w:numPr>
          <w:ilvl w:val="0"/>
          <w:numId w:val="15"/>
        </w:numPr>
        <w:rPr>
          <w:rFonts w:eastAsia="Times New Roman"/>
          <w:sz w:val="24"/>
          <w:szCs w:val="24"/>
          <w:lang w:eastAsia="en-AU"/>
        </w:rPr>
      </w:pPr>
      <w:r w:rsidRPr="00494F4A">
        <w:rPr>
          <w:rFonts w:eastAsia="Times New Roman"/>
          <w:sz w:val="24"/>
          <w:szCs w:val="24"/>
          <w:lang w:eastAsia="en-AU"/>
        </w:rPr>
        <w:t xml:space="preserve">Paragraph 6(e) </w:t>
      </w:r>
      <w:r w:rsidR="00682B5A" w:rsidRPr="00494F4A">
        <w:rPr>
          <w:rFonts w:eastAsia="Times New Roman"/>
          <w:sz w:val="24"/>
          <w:szCs w:val="24"/>
          <w:lang w:eastAsia="en-AU"/>
        </w:rPr>
        <w:t xml:space="preserve">of the Instrument </w:t>
      </w:r>
      <w:r w:rsidR="00BC0808" w:rsidRPr="00494F4A">
        <w:rPr>
          <w:rFonts w:eastAsia="Times New Roman"/>
          <w:sz w:val="24"/>
          <w:szCs w:val="24"/>
          <w:lang w:eastAsia="en-AU"/>
        </w:rPr>
        <w:t xml:space="preserve">inserts </w:t>
      </w:r>
      <w:r w:rsidRPr="00494F4A">
        <w:rPr>
          <w:rFonts w:eastAsia="Times New Roman"/>
          <w:sz w:val="24"/>
          <w:szCs w:val="24"/>
          <w:lang w:eastAsia="en-AU"/>
        </w:rPr>
        <w:t xml:space="preserve">notional section </w:t>
      </w:r>
      <w:r w:rsidR="00BC0808" w:rsidRPr="00494F4A">
        <w:rPr>
          <w:rFonts w:eastAsia="Times New Roman"/>
          <w:sz w:val="24"/>
          <w:szCs w:val="24"/>
          <w:lang w:eastAsia="en-AU"/>
        </w:rPr>
        <w:t>1013FB into the Act t</w:t>
      </w:r>
      <w:r w:rsidRPr="00494F4A">
        <w:rPr>
          <w:rFonts w:eastAsia="Times New Roman"/>
          <w:sz w:val="24"/>
          <w:szCs w:val="24"/>
          <w:lang w:eastAsia="en-AU"/>
        </w:rPr>
        <w:t xml:space="preserve">hat allows trustees of superannuation entities </w:t>
      </w:r>
      <w:r w:rsidR="00BC0808" w:rsidRPr="00494F4A">
        <w:rPr>
          <w:rFonts w:eastAsia="Times New Roman"/>
          <w:sz w:val="24"/>
          <w:szCs w:val="24"/>
          <w:lang w:eastAsia="en-AU"/>
        </w:rPr>
        <w:t xml:space="preserve">to choose between different methods of giving PDSs </w:t>
      </w:r>
      <w:r w:rsidR="00932B02" w:rsidRPr="00494F4A">
        <w:rPr>
          <w:rFonts w:eastAsia="Times New Roman"/>
          <w:sz w:val="24"/>
          <w:szCs w:val="24"/>
          <w:lang w:eastAsia="en-AU"/>
        </w:rPr>
        <w:t xml:space="preserve">for </w:t>
      </w:r>
      <w:r w:rsidR="00423FCE" w:rsidRPr="00494F4A">
        <w:rPr>
          <w:rFonts w:eastAsia="Times New Roman"/>
          <w:sz w:val="24"/>
          <w:szCs w:val="24"/>
          <w:lang w:eastAsia="en-AU"/>
        </w:rPr>
        <w:t xml:space="preserve">accessible financial products (within the meaning of notional section 1013FB) </w:t>
      </w:r>
      <w:r w:rsidR="00656D9B" w:rsidRPr="00494F4A">
        <w:rPr>
          <w:rFonts w:eastAsia="Times New Roman"/>
          <w:sz w:val="24"/>
          <w:szCs w:val="24"/>
          <w:lang w:eastAsia="en-AU"/>
        </w:rPr>
        <w:t>to address difficulties with the operation of section 1012IA</w:t>
      </w:r>
      <w:r w:rsidR="00932B02" w:rsidRPr="00494F4A">
        <w:rPr>
          <w:rFonts w:eastAsia="Times New Roman"/>
          <w:sz w:val="24"/>
          <w:szCs w:val="24"/>
          <w:lang w:eastAsia="en-AU"/>
        </w:rPr>
        <w:t>.</w:t>
      </w:r>
      <w:r w:rsidR="00BC0808" w:rsidRPr="00494F4A">
        <w:rPr>
          <w:rFonts w:eastAsia="Times New Roman"/>
          <w:sz w:val="24"/>
          <w:szCs w:val="24"/>
          <w:lang w:eastAsia="en-AU"/>
        </w:rPr>
        <w:t xml:space="preserve"> </w:t>
      </w:r>
    </w:p>
    <w:p w14:paraId="0504732F" w14:textId="77777777" w:rsidR="005D4A6B" w:rsidRPr="00494F4A" w:rsidRDefault="005D4A6B" w:rsidP="005D4A6B">
      <w:pPr>
        <w:ind w:left="570"/>
        <w:rPr>
          <w:rFonts w:eastAsia="Times New Roman"/>
          <w:sz w:val="24"/>
          <w:szCs w:val="24"/>
          <w:lang w:eastAsia="en-AU"/>
        </w:rPr>
      </w:pPr>
    </w:p>
    <w:p w14:paraId="16C37D50" w14:textId="77777777" w:rsidR="00BC0808" w:rsidRDefault="00932B02" w:rsidP="00395DD1">
      <w:pPr>
        <w:numPr>
          <w:ilvl w:val="0"/>
          <w:numId w:val="15"/>
        </w:numPr>
        <w:rPr>
          <w:rFonts w:eastAsia="Times New Roman"/>
          <w:sz w:val="24"/>
          <w:szCs w:val="24"/>
          <w:lang w:eastAsia="en-AU"/>
        </w:rPr>
      </w:pPr>
      <w:r w:rsidRPr="00494F4A">
        <w:rPr>
          <w:rFonts w:eastAsia="Times New Roman"/>
          <w:sz w:val="24"/>
          <w:szCs w:val="24"/>
          <w:lang w:eastAsia="en-AU"/>
        </w:rPr>
        <w:t xml:space="preserve">The </w:t>
      </w:r>
      <w:r w:rsidR="00BC0808" w:rsidRPr="00494F4A">
        <w:rPr>
          <w:rFonts w:eastAsia="Times New Roman"/>
          <w:sz w:val="24"/>
          <w:szCs w:val="24"/>
          <w:lang w:eastAsia="en-AU"/>
        </w:rPr>
        <w:t>methods available</w:t>
      </w:r>
      <w:r w:rsidRPr="00494F4A">
        <w:rPr>
          <w:rFonts w:eastAsia="Times New Roman"/>
          <w:sz w:val="24"/>
          <w:szCs w:val="24"/>
          <w:lang w:eastAsia="en-AU"/>
        </w:rPr>
        <w:t xml:space="preserve"> are</w:t>
      </w:r>
      <w:r w:rsidR="00306C63" w:rsidRPr="00494F4A">
        <w:rPr>
          <w:rFonts w:eastAsia="Times New Roman"/>
          <w:sz w:val="24"/>
          <w:szCs w:val="24"/>
          <w:lang w:eastAsia="en-AU"/>
        </w:rPr>
        <w:t xml:space="preserve"> to give a</w:t>
      </w:r>
      <w:r w:rsidR="00BC0808" w:rsidRPr="00494F4A">
        <w:rPr>
          <w:rFonts w:eastAsia="Times New Roman"/>
          <w:sz w:val="24"/>
          <w:szCs w:val="24"/>
          <w:lang w:eastAsia="en-AU"/>
        </w:rPr>
        <w:t>:</w:t>
      </w:r>
    </w:p>
    <w:p w14:paraId="64AB1D9E" w14:textId="77777777" w:rsidR="001A4388" w:rsidRPr="00494F4A" w:rsidRDefault="001A4388" w:rsidP="00F228C1">
      <w:pPr>
        <w:rPr>
          <w:rFonts w:eastAsia="Times New Roman"/>
          <w:sz w:val="24"/>
          <w:szCs w:val="24"/>
          <w:lang w:eastAsia="en-AU"/>
        </w:rPr>
      </w:pPr>
    </w:p>
    <w:p w14:paraId="139C0FC6" w14:textId="77777777" w:rsidR="00423FCE" w:rsidRPr="00494F4A" w:rsidRDefault="00423FCE" w:rsidP="00BC0808">
      <w:pPr>
        <w:numPr>
          <w:ilvl w:val="1"/>
          <w:numId w:val="15"/>
        </w:numPr>
        <w:rPr>
          <w:rFonts w:eastAsia="Times New Roman"/>
          <w:sz w:val="24"/>
          <w:szCs w:val="24"/>
          <w:lang w:eastAsia="en-AU"/>
        </w:rPr>
      </w:pPr>
      <w:r w:rsidRPr="00494F4A">
        <w:rPr>
          <w:rFonts w:eastAsia="Times New Roman"/>
          <w:sz w:val="24"/>
          <w:szCs w:val="24"/>
          <w:lang w:eastAsia="en-AU"/>
        </w:rPr>
        <w:t>superannuation entity PDS and accessible product PDS (both prepared by the trustee)</w:t>
      </w:r>
      <w:r w:rsidR="00306C63" w:rsidRPr="00494F4A">
        <w:rPr>
          <w:rFonts w:eastAsia="Times New Roman"/>
          <w:sz w:val="24"/>
          <w:szCs w:val="24"/>
          <w:lang w:eastAsia="en-AU"/>
        </w:rPr>
        <w:t xml:space="preserve"> (</w:t>
      </w:r>
      <w:r w:rsidR="00306C63" w:rsidRPr="00494F4A">
        <w:rPr>
          <w:rFonts w:eastAsia="Times New Roman"/>
          <w:b/>
          <w:bCs/>
          <w:sz w:val="24"/>
          <w:szCs w:val="24"/>
          <w:lang w:eastAsia="en-AU"/>
        </w:rPr>
        <w:t>Option 1</w:t>
      </w:r>
      <w:proofErr w:type="gramStart"/>
      <w:r w:rsidR="00306C63" w:rsidRPr="00494F4A">
        <w:rPr>
          <w:rFonts w:eastAsia="Times New Roman"/>
          <w:sz w:val="24"/>
          <w:szCs w:val="24"/>
          <w:lang w:eastAsia="en-AU"/>
        </w:rPr>
        <w:t>)</w:t>
      </w:r>
      <w:r w:rsidRPr="00494F4A">
        <w:rPr>
          <w:rFonts w:eastAsia="Times New Roman"/>
          <w:sz w:val="24"/>
          <w:szCs w:val="24"/>
          <w:lang w:eastAsia="en-AU"/>
        </w:rPr>
        <w:t>;</w:t>
      </w:r>
      <w:proofErr w:type="gramEnd"/>
      <w:r w:rsidRPr="00494F4A">
        <w:rPr>
          <w:rFonts w:eastAsia="Times New Roman"/>
          <w:sz w:val="24"/>
          <w:szCs w:val="24"/>
          <w:lang w:eastAsia="en-AU"/>
        </w:rPr>
        <w:t xml:space="preserve"> </w:t>
      </w:r>
    </w:p>
    <w:p w14:paraId="6515CEA8" w14:textId="77777777" w:rsidR="00306C63" w:rsidRPr="00494F4A" w:rsidRDefault="00BC0808"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 xml:space="preserve">an </w:t>
      </w:r>
      <w:r w:rsidR="00423FCE" w:rsidRPr="00494F4A">
        <w:rPr>
          <w:rFonts w:eastAsia="Times New Roman"/>
          <w:sz w:val="24"/>
          <w:szCs w:val="24"/>
          <w:lang w:eastAsia="en-AU"/>
        </w:rPr>
        <w:t>‘</w:t>
      </w:r>
      <w:r w:rsidRPr="00494F4A">
        <w:rPr>
          <w:rFonts w:eastAsia="Times New Roman"/>
          <w:sz w:val="24"/>
          <w:szCs w:val="24"/>
          <w:lang w:eastAsia="en-AU"/>
        </w:rPr>
        <w:t>integrated PDS</w:t>
      </w:r>
      <w:r w:rsidR="00423FCE" w:rsidRPr="00494F4A">
        <w:rPr>
          <w:rFonts w:eastAsia="Times New Roman"/>
          <w:sz w:val="24"/>
          <w:szCs w:val="24"/>
          <w:lang w:eastAsia="en-AU"/>
        </w:rPr>
        <w:t>’</w:t>
      </w:r>
      <w:r w:rsidRPr="00494F4A">
        <w:rPr>
          <w:rFonts w:eastAsia="Times New Roman"/>
          <w:sz w:val="24"/>
          <w:szCs w:val="24"/>
          <w:lang w:eastAsia="en-AU"/>
        </w:rPr>
        <w:t xml:space="preserve"> </w:t>
      </w:r>
      <w:r w:rsidR="00306C63" w:rsidRPr="00494F4A">
        <w:rPr>
          <w:rFonts w:eastAsia="Times New Roman"/>
          <w:sz w:val="24"/>
          <w:szCs w:val="24"/>
          <w:lang w:eastAsia="en-AU"/>
        </w:rPr>
        <w:t xml:space="preserve">that includes product disclosure information about the accessible financial product in the </w:t>
      </w:r>
      <w:r w:rsidRPr="00494F4A">
        <w:rPr>
          <w:rFonts w:eastAsia="Times New Roman"/>
          <w:sz w:val="24"/>
          <w:szCs w:val="24"/>
          <w:lang w:eastAsia="en-AU"/>
        </w:rPr>
        <w:t xml:space="preserve">superannuation </w:t>
      </w:r>
      <w:r w:rsidR="00306C63" w:rsidRPr="00494F4A">
        <w:rPr>
          <w:rFonts w:eastAsia="Times New Roman"/>
          <w:sz w:val="24"/>
          <w:szCs w:val="24"/>
          <w:lang w:eastAsia="en-AU"/>
        </w:rPr>
        <w:t>entity PDS (</w:t>
      </w:r>
      <w:r w:rsidR="00306C63" w:rsidRPr="00494F4A">
        <w:rPr>
          <w:rFonts w:eastAsia="Times New Roman"/>
          <w:b/>
          <w:bCs/>
          <w:sz w:val="24"/>
          <w:szCs w:val="24"/>
          <w:lang w:eastAsia="en-AU"/>
        </w:rPr>
        <w:t>Option 2</w:t>
      </w:r>
      <w:r w:rsidR="00306C63" w:rsidRPr="00494F4A">
        <w:rPr>
          <w:rFonts w:eastAsia="Times New Roman"/>
          <w:sz w:val="24"/>
          <w:szCs w:val="24"/>
          <w:lang w:eastAsia="en-AU"/>
        </w:rPr>
        <w:t>); or</w:t>
      </w:r>
    </w:p>
    <w:p w14:paraId="10A5F7EC" w14:textId="77777777" w:rsidR="00BC0808" w:rsidRPr="00494F4A" w:rsidRDefault="00306C63"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superannuation entity PDS (prepared by the trustee) and accessible product PDS (prepared by the product issuer) (</w:t>
      </w:r>
      <w:r w:rsidRPr="00494F4A">
        <w:rPr>
          <w:rFonts w:eastAsia="Times New Roman"/>
          <w:b/>
          <w:bCs/>
          <w:sz w:val="24"/>
          <w:szCs w:val="24"/>
          <w:lang w:eastAsia="en-AU"/>
        </w:rPr>
        <w:t>Option 3</w:t>
      </w:r>
      <w:r w:rsidRPr="00494F4A">
        <w:rPr>
          <w:rFonts w:eastAsia="Times New Roman"/>
          <w:sz w:val="24"/>
          <w:szCs w:val="24"/>
          <w:lang w:eastAsia="en-AU"/>
        </w:rPr>
        <w:t>).</w:t>
      </w:r>
    </w:p>
    <w:p w14:paraId="4A24D9FF" w14:textId="77777777" w:rsidR="00BC0808" w:rsidRPr="00494F4A" w:rsidRDefault="00BC0808" w:rsidP="00BC0808">
      <w:pPr>
        <w:rPr>
          <w:rFonts w:eastAsia="Times New Roman"/>
          <w:sz w:val="24"/>
          <w:szCs w:val="24"/>
          <w:lang w:eastAsia="en-AU"/>
        </w:rPr>
      </w:pPr>
    </w:p>
    <w:p w14:paraId="02CBED7F" w14:textId="77777777" w:rsidR="00932B02" w:rsidRPr="00494F4A" w:rsidRDefault="00932B02" w:rsidP="00932B02">
      <w:pPr>
        <w:numPr>
          <w:ilvl w:val="0"/>
          <w:numId w:val="15"/>
        </w:numPr>
        <w:rPr>
          <w:rFonts w:eastAsia="Times New Roman"/>
          <w:sz w:val="24"/>
          <w:szCs w:val="24"/>
          <w:lang w:eastAsia="en-AU"/>
        </w:rPr>
      </w:pPr>
      <w:r w:rsidRPr="00494F4A">
        <w:rPr>
          <w:rFonts w:eastAsia="Times New Roman"/>
          <w:sz w:val="24"/>
          <w:szCs w:val="24"/>
          <w:lang w:eastAsia="en-AU"/>
        </w:rPr>
        <w:t xml:space="preserve">A trustee may </w:t>
      </w:r>
      <w:r w:rsidR="0051299C" w:rsidRPr="00494F4A">
        <w:rPr>
          <w:rFonts w:eastAsia="Times New Roman"/>
          <w:sz w:val="24"/>
          <w:szCs w:val="24"/>
          <w:lang w:eastAsia="en-AU"/>
        </w:rPr>
        <w:t xml:space="preserve">also </w:t>
      </w:r>
      <w:r w:rsidRPr="00494F4A">
        <w:rPr>
          <w:rFonts w:eastAsia="Times New Roman"/>
          <w:sz w:val="24"/>
          <w:szCs w:val="24"/>
          <w:lang w:eastAsia="en-AU"/>
        </w:rPr>
        <w:t xml:space="preserve">elect to not rely on the relief under the </w:t>
      </w:r>
      <w:r w:rsidR="0051299C" w:rsidRPr="00494F4A">
        <w:rPr>
          <w:rFonts w:eastAsia="Times New Roman"/>
          <w:sz w:val="24"/>
          <w:szCs w:val="24"/>
          <w:lang w:eastAsia="en-AU"/>
        </w:rPr>
        <w:t>I</w:t>
      </w:r>
      <w:r w:rsidRPr="00494F4A">
        <w:rPr>
          <w:rFonts w:eastAsia="Times New Roman"/>
          <w:sz w:val="24"/>
          <w:szCs w:val="24"/>
          <w:lang w:eastAsia="en-AU"/>
        </w:rPr>
        <w:t>nstrument. If this occurs, s</w:t>
      </w:r>
      <w:r w:rsidR="00656D9B" w:rsidRPr="00494F4A">
        <w:rPr>
          <w:rFonts w:eastAsia="Times New Roman"/>
          <w:sz w:val="24"/>
          <w:szCs w:val="24"/>
          <w:lang w:eastAsia="en-AU"/>
        </w:rPr>
        <w:t xml:space="preserve">ection </w:t>
      </w:r>
      <w:r w:rsidRPr="00494F4A">
        <w:rPr>
          <w:rFonts w:eastAsia="Times New Roman"/>
          <w:sz w:val="24"/>
          <w:szCs w:val="24"/>
          <w:lang w:eastAsia="en-AU"/>
        </w:rPr>
        <w:t>1012IA will apply. This mean</w:t>
      </w:r>
      <w:r w:rsidR="0051299C" w:rsidRPr="00494F4A">
        <w:rPr>
          <w:rFonts w:eastAsia="Times New Roman"/>
          <w:sz w:val="24"/>
          <w:szCs w:val="24"/>
          <w:lang w:eastAsia="en-AU"/>
        </w:rPr>
        <w:t>s</w:t>
      </w:r>
      <w:r w:rsidRPr="00494F4A">
        <w:rPr>
          <w:rFonts w:eastAsia="Times New Roman"/>
          <w:sz w:val="24"/>
          <w:szCs w:val="24"/>
          <w:lang w:eastAsia="en-AU"/>
        </w:rPr>
        <w:t xml:space="preserve"> that the trustee </w:t>
      </w:r>
      <w:r w:rsidR="00306C63" w:rsidRPr="00494F4A">
        <w:rPr>
          <w:rFonts w:eastAsia="Times New Roman"/>
          <w:sz w:val="24"/>
          <w:szCs w:val="24"/>
          <w:lang w:eastAsia="en-AU"/>
        </w:rPr>
        <w:t xml:space="preserve">is required to </w:t>
      </w:r>
      <w:r w:rsidRPr="00494F4A">
        <w:rPr>
          <w:rFonts w:eastAsia="Times New Roman"/>
          <w:sz w:val="24"/>
          <w:szCs w:val="24"/>
          <w:lang w:eastAsia="en-AU"/>
        </w:rPr>
        <w:t>give a member a PDS in relation to the superannuation fund and, on each occasion an interest is acquired in a financial product through the superannuation fund, a PDS for the relevant financial product.</w:t>
      </w:r>
    </w:p>
    <w:p w14:paraId="6462DD27" w14:textId="77777777" w:rsidR="00932B02" w:rsidRPr="00494F4A" w:rsidRDefault="00932B02" w:rsidP="00BC0808">
      <w:pPr>
        <w:rPr>
          <w:rFonts w:eastAsia="Times New Roman"/>
          <w:sz w:val="24"/>
          <w:szCs w:val="24"/>
          <w:u w:val="single"/>
          <w:lang w:eastAsia="en-AU"/>
        </w:rPr>
      </w:pPr>
    </w:p>
    <w:p w14:paraId="3FCB0DF7" w14:textId="77777777" w:rsidR="00BC0808" w:rsidRPr="00494F4A" w:rsidRDefault="00FD5E06" w:rsidP="00395DD1">
      <w:pPr>
        <w:numPr>
          <w:ilvl w:val="0"/>
          <w:numId w:val="15"/>
        </w:numPr>
        <w:rPr>
          <w:rFonts w:eastAsia="Times New Roman"/>
          <w:sz w:val="24"/>
          <w:szCs w:val="24"/>
          <w:lang w:eastAsia="en-AU"/>
        </w:rPr>
      </w:pPr>
      <w:r w:rsidRPr="00494F4A">
        <w:rPr>
          <w:rFonts w:eastAsia="Times New Roman"/>
          <w:sz w:val="24"/>
          <w:szCs w:val="24"/>
          <w:lang w:eastAsia="en-AU"/>
        </w:rPr>
        <w:t xml:space="preserve">If a trustee </w:t>
      </w:r>
      <w:r w:rsidR="00B44003" w:rsidRPr="00494F4A">
        <w:rPr>
          <w:rFonts w:eastAsia="Times New Roman"/>
          <w:sz w:val="24"/>
          <w:szCs w:val="24"/>
          <w:lang w:eastAsia="en-AU"/>
        </w:rPr>
        <w:t>relies</w:t>
      </w:r>
      <w:r w:rsidRPr="00494F4A">
        <w:rPr>
          <w:rFonts w:eastAsia="Times New Roman"/>
          <w:sz w:val="24"/>
          <w:szCs w:val="24"/>
          <w:lang w:eastAsia="en-AU"/>
        </w:rPr>
        <w:t xml:space="preserve"> </w:t>
      </w:r>
      <w:r w:rsidR="00092F5E" w:rsidRPr="00494F4A">
        <w:rPr>
          <w:rFonts w:eastAsia="Times New Roman"/>
          <w:sz w:val="24"/>
          <w:szCs w:val="24"/>
          <w:lang w:eastAsia="en-AU"/>
        </w:rPr>
        <w:t>up</w:t>
      </w:r>
      <w:r w:rsidRPr="00494F4A">
        <w:rPr>
          <w:rFonts w:eastAsia="Times New Roman"/>
          <w:sz w:val="24"/>
          <w:szCs w:val="24"/>
          <w:lang w:eastAsia="en-AU"/>
        </w:rPr>
        <w:t xml:space="preserve">on </w:t>
      </w:r>
      <w:r w:rsidR="00B44003" w:rsidRPr="00494F4A">
        <w:rPr>
          <w:rFonts w:eastAsia="Times New Roman"/>
          <w:sz w:val="24"/>
          <w:szCs w:val="24"/>
          <w:lang w:eastAsia="en-AU"/>
        </w:rPr>
        <w:t>the method</w:t>
      </w:r>
      <w:r w:rsidR="00092F5E" w:rsidRPr="00494F4A">
        <w:rPr>
          <w:rFonts w:eastAsia="Times New Roman"/>
          <w:sz w:val="24"/>
          <w:szCs w:val="24"/>
          <w:lang w:eastAsia="en-AU"/>
        </w:rPr>
        <w:t>s</w:t>
      </w:r>
      <w:r w:rsidR="00B44003" w:rsidRPr="00494F4A">
        <w:rPr>
          <w:rFonts w:eastAsia="Times New Roman"/>
          <w:sz w:val="24"/>
          <w:szCs w:val="24"/>
          <w:lang w:eastAsia="en-AU"/>
        </w:rPr>
        <w:t xml:space="preserve"> in </w:t>
      </w:r>
      <w:r w:rsidRPr="00494F4A">
        <w:rPr>
          <w:rFonts w:eastAsia="Times New Roman"/>
          <w:sz w:val="24"/>
          <w:szCs w:val="24"/>
          <w:lang w:eastAsia="en-AU"/>
        </w:rPr>
        <w:t>Option 1</w:t>
      </w:r>
      <w:r w:rsidR="00092F5E" w:rsidRPr="00494F4A">
        <w:rPr>
          <w:rFonts w:eastAsia="Times New Roman"/>
          <w:sz w:val="24"/>
          <w:szCs w:val="24"/>
          <w:lang w:eastAsia="en-AU"/>
        </w:rPr>
        <w:t xml:space="preserve"> or Option 3</w:t>
      </w:r>
      <w:r w:rsidRPr="00494F4A">
        <w:rPr>
          <w:rFonts w:eastAsia="Times New Roman"/>
          <w:sz w:val="24"/>
          <w:szCs w:val="24"/>
          <w:lang w:eastAsia="en-AU"/>
        </w:rPr>
        <w:t xml:space="preserve">, notional </w:t>
      </w:r>
      <w:r w:rsidR="006936CD" w:rsidRPr="00494F4A">
        <w:rPr>
          <w:rFonts w:eastAsia="Times New Roman"/>
          <w:sz w:val="24"/>
          <w:szCs w:val="24"/>
          <w:lang w:eastAsia="en-AU"/>
        </w:rPr>
        <w:t xml:space="preserve">paragraph </w:t>
      </w:r>
      <w:r w:rsidRPr="00494F4A">
        <w:rPr>
          <w:rFonts w:eastAsia="Times New Roman"/>
          <w:sz w:val="24"/>
          <w:szCs w:val="24"/>
          <w:lang w:eastAsia="en-AU"/>
        </w:rPr>
        <w:t>1013FB(3)</w:t>
      </w:r>
      <w:r w:rsidR="006936CD" w:rsidRPr="00494F4A">
        <w:rPr>
          <w:rFonts w:eastAsia="Times New Roman"/>
          <w:sz w:val="24"/>
          <w:szCs w:val="24"/>
          <w:lang w:eastAsia="en-AU"/>
        </w:rPr>
        <w:t>(a)</w:t>
      </w:r>
      <w:r w:rsidRPr="00494F4A">
        <w:rPr>
          <w:rFonts w:eastAsia="Times New Roman"/>
          <w:sz w:val="24"/>
          <w:szCs w:val="24"/>
          <w:lang w:eastAsia="en-AU"/>
        </w:rPr>
        <w:t xml:space="preserve"> provide</w:t>
      </w:r>
      <w:r w:rsidR="006936CD" w:rsidRPr="00494F4A">
        <w:rPr>
          <w:rFonts w:eastAsia="Times New Roman"/>
          <w:sz w:val="24"/>
          <w:szCs w:val="24"/>
          <w:lang w:eastAsia="en-AU"/>
        </w:rPr>
        <w:t>s</w:t>
      </w:r>
      <w:r w:rsidRPr="00494F4A">
        <w:rPr>
          <w:rFonts w:eastAsia="Times New Roman"/>
          <w:sz w:val="24"/>
          <w:szCs w:val="24"/>
          <w:lang w:eastAsia="en-AU"/>
        </w:rPr>
        <w:t xml:space="preserve"> that </w:t>
      </w:r>
      <w:r w:rsidR="00BC0808" w:rsidRPr="00494F4A">
        <w:rPr>
          <w:rFonts w:eastAsia="Times New Roman"/>
          <w:sz w:val="24"/>
          <w:szCs w:val="24"/>
          <w:lang w:eastAsia="en-AU"/>
        </w:rPr>
        <w:t xml:space="preserve">the PDS requirements that apply to the superannuation </w:t>
      </w:r>
      <w:r w:rsidRPr="00494F4A">
        <w:rPr>
          <w:rFonts w:eastAsia="Times New Roman"/>
          <w:sz w:val="24"/>
          <w:szCs w:val="24"/>
          <w:lang w:eastAsia="en-AU"/>
        </w:rPr>
        <w:t xml:space="preserve">product </w:t>
      </w:r>
      <w:r w:rsidR="00BC0808" w:rsidRPr="00494F4A">
        <w:rPr>
          <w:rFonts w:eastAsia="Times New Roman"/>
          <w:sz w:val="24"/>
          <w:szCs w:val="24"/>
          <w:lang w:eastAsia="en-AU"/>
        </w:rPr>
        <w:t xml:space="preserve">under Division 2 of Part 7.9 of the Act continue to apply. In many cases, </w:t>
      </w:r>
      <w:r w:rsidRPr="00494F4A">
        <w:rPr>
          <w:rFonts w:eastAsia="Times New Roman"/>
          <w:sz w:val="24"/>
          <w:szCs w:val="24"/>
          <w:lang w:eastAsia="en-AU"/>
        </w:rPr>
        <w:t xml:space="preserve">this will translate as </w:t>
      </w:r>
      <w:r w:rsidR="00BC0808" w:rsidRPr="00494F4A">
        <w:rPr>
          <w:rFonts w:eastAsia="Times New Roman"/>
          <w:sz w:val="24"/>
          <w:szCs w:val="24"/>
          <w:lang w:eastAsia="en-AU"/>
        </w:rPr>
        <w:t xml:space="preserve">the shorter PDS requirements under Schedule 10D of the Regulations: </w:t>
      </w:r>
      <w:r w:rsidRPr="00494F4A">
        <w:rPr>
          <w:rFonts w:eastAsia="Times New Roman"/>
          <w:sz w:val="24"/>
          <w:szCs w:val="24"/>
          <w:lang w:eastAsia="en-AU"/>
        </w:rPr>
        <w:t>see</w:t>
      </w:r>
      <w:r w:rsidR="00BC0808" w:rsidRPr="00494F4A">
        <w:rPr>
          <w:rFonts w:eastAsia="Times New Roman"/>
          <w:sz w:val="24"/>
          <w:szCs w:val="24"/>
          <w:lang w:eastAsia="en-AU"/>
        </w:rPr>
        <w:t xml:space="preserve"> reg</w:t>
      </w:r>
      <w:r w:rsidRPr="00494F4A">
        <w:rPr>
          <w:rFonts w:eastAsia="Times New Roman"/>
          <w:sz w:val="24"/>
          <w:szCs w:val="24"/>
          <w:lang w:eastAsia="en-AU"/>
        </w:rPr>
        <w:t>ulation</w:t>
      </w:r>
      <w:r w:rsidR="00BC0808" w:rsidRPr="00494F4A">
        <w:rPr>
          <w:rFonts w:eastAsia="Times New Roman"/>
          <w:sz w:val="24"/>
          <w:szCs w:val="24"/>
          <w:lang w:eastAsia="en-AU"/>
        </w:rPr>
        <w:t xml:space="preserve"> 7.9.11O of the Regulations.</w:t>
      </w:r>
    </w:p>
    <w:p w14:paraId="6BE3A3AE" w14:textId="77777777" w:rsidR="00BC0808" w:rsidRPr="00494F4A" w:rsidRDefault="00BC0808" w:rsidP="00BC0808">
      <w:pPr>
        <w:ind w:left="570"/>
        <w:rPr>
          <w:rFonts w:eastAsia="Times New Roman"/>
          <w:sz w:val="24"/>
          <w:szCs w:val="24"/>
          <w:lang w:eastAsia="en-AU"/>
        </w:rPr>
      </w:pPr>
    </w:p>
    <w:p w14:paraId="170B3A15" w14:textId="77777777" w:rsidR="00BC0808" w:rsidRPr="00494F4A" w:rsidRDefault="006936CD" w:rsidP="00092F5E">
      <w:pPr>
        <w:numPr>
          <w:ilvl w:val="0"/>
          <w:numId w:val="15"/>
        </w:numPr>
        <w:rPr>
          <w:rFonts w:eastAsia="Times New Roman"/>
          <w:sz w:val="24"/>
          <w:szCs w:val="24"/>
          <w:lang w:eastAsia="en-AU"/>
        </w:rPr>
      </w:pPr>
      <w:r w:rsidRPr="00494F4A">
        <w:rPr>
          <w:rFonts w:eastAsia="Times New Roman"/>
          <w:sz w:val="24"/>
          <w:szCs w:val="24"/>
          <w:lang w:eastAsia="en-AU"/>
        </w:rPr>
        <w:t xml:space="preserve">Notional paragraph 1013FB(3)(b) </w:t>
      </w:r>
      <w:r w:rsidR="00BC0808" w:rsidRPr="00494F4A">
        <w:rPr>
          <w:rFonts w:eastAsia="Times New Roman"/>
          <w:sz w:val="24"/>
          <w:szCs w:val="24"/>
          <w:lang w:eastAsia="en-AU"/>
        </w:rPr>
        <w:t xml:space="preserve">provides that, in addition to the information regarding the superannuation </w:t>
      </w:r>
      <w:r w:rsidRPr="00494F4A">
        <w:rPr>
          <w:rFonts w:eastAsia="Times New Roman"/>
          <w:sz w:val="24"/>
          <w:szCs w:val="24"/>
          <w:lang w:eastAsia="en-AU"/>
        </w:rPr>
        <w:t>product</w:t>
      </w:r>
      <w:r w:rsidR="00BC0808" w:rsidRPr="00494F4A">
        <w:rPr>
          <w:rFonts w:eastAsia="Times New Roman"/>
          <w:sz w:val="24"/>
          <w:szCs w:val="24"/>
          <w:lang w:eastAsia="en-AU"/>
        </w:rPr>
        <w:t xml:space="preserve">, </w:t>
      </w:r>
      <w:r w:rsidR="001A2510" w:rsidRPr="00494F4A">
        <w:rPr>
          <w:rFonts w:eastAsia="Times New Roman"/>
          <w:sz w:val="24"/>
          <w:szCs w:val="24"/>
          <w:lang w:eastAsia="en-AU"/>
        </w:rPr>
        <w:t xml:space="preserve">particular </w:t>
      </w:r>
      <w:r w:rsidR="00BC0808" w:rsidRPr="00494F4A">
        <w:rPr>
          <w:rFonts w:eastAsia="Times New Roman"/>
          <w:sz w:val="24"/>
          <w:szCs w:val="24"/>
          <w:lang w:eastAsia="en-AU"/>
        </w:rPr>
        <w:t xml:space="preserve">information </w:t>
      </w:r>
      <w:r w:rsidRPr="00494F4A">
        <w:rPr>
          <w:rFonts w:eastAsia="Times New Roman"/>
          <w:sz w:val="24"/>
          <w:szCs w:val="24"/>
          <w:lang w:eastAsia="en-AU"/>
        </w:rPr>
        <w:t xml:space="preserve">about each accessible financial product </w:t>
      </w:r>
      <w:r w:rsidR="00BC0808" w:rsidRPr="00494F4A">
        <w:rPr>
          <w:rFonts w:eastAsia="Times New Roman"/>
          <w:sz w:val="24"/>
          <w:szCs w:val="24"/>
          <w:lang w:eastAsia="en-AU"/>
        </w:rPr>
        <w:t xml:space="preserve">must be given </w:t>
      </w:r>
      <w:r w:rsidRPr="00494F4A">
        <w:rPr>
          <w:rFonts w:eastAsia="Times New Roman"/>
          <w:sz w:val="24"/>
          <w:szCs w:val="24"/>
          <w:lang w:eastAsia="en-AU"/>
        </w:rPr>
        <w:t>in the superannuation entity PDS</w:t>
      </w:r>
      <w:r w:rsidR="00092F5E" w:rsidRPr="00494F4A">
        <w:rPr>
          <w:rFonts w:eastAsia="Times New Roman"/>
          <w:sz w:val="24"/>
          <w:szCs w:val="24"/>
          <w:lang w:eastAsia="en-AU"/>
        </w:rPr>
        <w:t xml:space="preserve"> under Options 1 and 3</w:t>
      </w:r>
      <w:r w:rsidRPr="00494F4A">
        <w:rPr>
          <w:rFonts w:eastAsia="Times New Roman"/>
          <w:sz w:val="24"/>
          <w:szCs w:val="24"/>
          <w:lang w:eastAsia="en-AU"/>
        </w:rPr>
        <w:t xml:space="preserve">. Specifically, the superannuation entity PDS must </w:t>
      </w:r>
      <w:r w:rsidR="00BC0808" w:rsidRPr="00494F4A">
        <w:rPr>
          <w:rFonts w:eastAsia="Times New Roman"/>
          <w:sz w:val="24"/>
          <w:szCs w:val="24"/>
          <w:lang w:eastAsia="en-AU"/>
        </w:rPr>
        <w:t>contain information that a person would reasonably require as a retail client to:</w:t>
      </w:r>
    </w:p>
    <w:p w14:paraId="24BFF273" w14:textId="77777777" w:rsidR="00BC0808" w:rsidRPr="00494F4A" w:rsidRDefault="00BC0808" w:rsidP="00BC0808">
      <w:pPr>
        <w:pStyle w:val="ListParagraph"/>
        <w:rPr>
          <w:rFonts w:eastAsia="Times New Roman"/>
          <w:sz w:val="24"/>
          <w:szCs w:val="24"/>
          <w:lang w:eastAsia="en-AU"/>
        </w:rPr>
      </w:pPr>
    </w:p>
    <w:p w14:paraId="72C4EFCE" w14:textId="77777777" w:rsidR="00BC0808" w:rsidRPr="00494F4A" w:rsidRDefault="00BC0808" w:rsidP="00BC0808">
      <w:pPr>
        <w:numPr>
          <w:ilvl w:val="1"/>
          <w:numId w:val="15"/>
        </w:numPr>
        <w:rPr>
          <w:rFonts w:eastAsia="Times New Roman"/>
          <w:sz w:val="24"/>
          <w:szCs w:val="24"/>
          <w:lang w:eastAsia="en-AU"/>
        </w:rPr>
      </w:pPr>
      <w:r w:rsidRPr="00494F4A">
        <w:rPr>
          <w:rFonts w:eastAsia="Times New Roman"/>
          <w:sz w:val="24"/>
          <w:szCs w:val="24"/>
          <w:lang w:eastAsia="en-AU"/>
        </w:rPr>
        <w:t xml:space="preserve">identify the accessible financial </w:t>
      </w:r>
      <w:proofErr w:type="gramStart"/>
      <w:r w:rsidRPr="00494F4A">
        <w:rPr>
          <w:rFonts w:eastAsia="Times New Roman"/>
          <w:sz w:val="24"/>
          <w:szCs w:val="24"/>
          <w:lang w:eastAsia="en-AU"/>
        </w:rPr>
        <w:t>product;</w:t>
      </w:r>
      <w:proofErr w:type="gramEnd"/>
    </w:p>
    <w:p w14:paraId="08309D5D" w14:textId="77777777" w:rsidR="00BC0808" w:rsidRPr="00494F4A" w:rsidRDefault="00BC0808"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understand the investment strategy under which the product may be acquired; and</w:t>
      </w:r>
    </w:p>
    <w:p w14:paraId="4C119F13" w14:textId="77777777" w:rsidR="00BC0808" w:rsidRPr="00494F4A" w:rsidRDefault="00BC0808"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work out whether to ask for further information about the product.</w:t>
      </w:r>
    </w:p>
    <w:p w14:paraId="5B106EC6" w14:textId="77777777" w:rsidR="00BC0808" w:rsidRPr="00494F4A" w:rsidRDefault="00BC0808" w:rsidP="00BC0808">
      <w:pPr>
        <w:pStyle w:val="ListParagraph"/>
        <w:rPr>
          <w:rFonts w:eastAsia="Times New Roman"/>
          <w:sz w:val="24"/>
          <w:szCs w:val="24"/>
          <w:lang w:eastAsia="en-AU"/>
        </w:rPr>
      </w:pPr>
    </w:p>
    <w:p w14:paraId="207677BA" w14:textId="77777777" w:rsidR="00BC0808" w:rsidRPr="00494F4A" w:rsidRDefault="006936CD" w:rsidP="00395DD1">
      <w:pPr>
        <w:numPr>
          <w:ilvl w:val="0"/>
          <w:numId w:val="15"/>
        </w:numPr>
        <w:rPr>
          <w:rFonts w:eastAsia="Times New Roman"/>
          <w:sz w:val="24"/>
          <w:szCs w:val="24"/>
          <w:lang w:eastAsia="en-AU"/>
        </w:rPr>
      </w:pPr>
      <w:r w:rsidRPr="00494F4A">
        <w:rPr>
          <w:rFonts w:eastAsia="Times New Roman"/>
          <w:sz w:val="24"/>
          <w:szCs w:val="24"/>
          <w:lang w:eastAsia="en-AU"/>
        </w:rPr>
        <w:t xml:space="preserve">Notional paragraph 1013FB(3)(c) requires the superannuation entity PDS to </w:t>
      </w:r>
      <w:r w:rsidR="005D4A6B" w:rsidRPr="00494F4A">
        <w:rPr>
          <w:rFonts w:eastAsia="Times New Roman"/>
          <w:sz w:val="24"/>
          <w:szCs w:val="24"/>
          <w:lang w:eastAsia="en-AU"/>
        </w:rPr>
        <w:t xml:space="preserve">contain a statement that informs people of their right to obtain from the trustee on request </w:t>
      </w:r>
      <w:r w:rsidRPr="00494F4A">
        <w:rPr>
          <w:rFonts w:eastAsia="Times New Roman"/>
          <w:sz w:val="24"/>
          <w:szCs w:val="24"/>
          <w:lang w:eastAsia="en-AU"/>
        </w:rPr>
        <w:t>the accessible product</w:t>
      </w:r>
      <w:r w:rsidR="005D4A6B" w:rsidRPr="00494F4A">
        <w:rPr>
          <w:rFonts w:eastAsia="Times New Roman"/>
          <w:sz w:val="24"/>
          <w:szCs w:val="24"/>
          <w:lang w:eastAsia="en-AU"/>
        </w:rPr>
        <w:t xml:space="preserve"> P</w:t>
      </w:r>
      <w:r w:rsidRPr="00494F4A">
        <w:rPr>
          <w:rFonts w:eastAsia="Times New Roman"/>
          <w:sz w:val="24"/>
          <w:szCs w:val="24"/>
          <w:lang w:eastAsia="en-AU"/>
        </w:rPr>
        <w:t>DS</w:t>
      </w:r>
      <w:r w:rsidR="005D4A6B" w:rsidRPr="00494F4A">
        <w:rPr>
          <w:rFonts w:eastAsia="Times New Roman"/>
          <w:sz w:val="24"/>
          <w:szCs w:val="24"/>
          <w:lang w:eastAsia="en-AU"/>
        </w:rPr>
        <w:t>.</w:t>
      </w:r>
      <w:r w:rsidR="00BC0808" w:rsidRPr="00494F4A">
        <w:rPr>
          <w:rFonts w:eastAsia="Times New Roman"/>
          <w:sz w:val="24"/>
          <w:szCs w:val="24"/>
          <w:lang w:eastAsia="en-AU"/>
        </w:rPr>
        <w:t xml:space="preserve"> </w:t>
      </w:r>
      <w:r w:rsidR="00092F5E" w:rsidRPr="00494F4A">
        <w:rPr>
          <w:rFonts w:eastAsia="Times New Roman"/>
          <w:sz w:val="24"/>
          <w:szCs w:val="24"/>
          <w:lang w:eastAsia="en-AU"/>
        </w:rPr>
        <w:t xml:space="preserve">This obligation applies irrespective of </w:t>
      </w:r>
      <w:r w:rsidR="00092F5E" w:rsidRPr="00494F4A">
        <w:rPr>
          <w:rFonts w:eastAsia="Times New Roman"/>
          <w:sz w:val="24"/>
          <w:szCs w:val="24"/>
          <w:lang w:eastAsia="en-AU"/>
        </w:rPr>
        <w:lastRenderedPageBreak/>
        <w:t xml:space="preserve">whether the trustee has prepared the accessible product PDS (Option 1) or if the product issuer has prepared the accessible product PDS (Option 3),  </w:t>
      </w:r>
    </w:p>
    <w:p w14:paraId="7BDBCD38" w14:textId="77777777" w:rsidR="00BC0808" w:rsidRPr="00494F4A" w:rsidRDefault="00BC0808" w:rsidP="00BC0808">
      <w:pPr>
        <w:ind w:left="1080"/>
        <w:rPr>
          <w:rFonts w:eastAsia="Times New Roman"/>
          <w:sz w:val="24"/>
          <w:szCs w:val="24"/>
          <w:lang w:eastAsia="en-AU"/>
        </w:rPr>
      </w:pPr>
    </w:p>
    <w:p w14:paraId="3A5CD574" w14:textId="77777777" w:rsidR="00BC0808" w:rsidRPr="00494F4A" w:rsidRDefault="00BC0808" w:rsidP="00395DD1">
      <w:pPr>
        <w:numPr>
          <w:ilvl w:val="0"/>
          <w:numId w:val="15"/>
        </w:numPr>
        <w:rPr>
          <w:rFonts w:eastAsia="Times New Roman"/>
          <w:sz w:val="24"/>
          <w:szCs w:val="24"/>
          <w:lang w:eastAsia="en-AU"/>
        </w:rPr>
      </w:pPr>
      <w:r w:rsidRPr="00494F4A">
        <w:rPr>
          <w:rFonts w:eastAsia="Times New Roman"/>
          <w:sz w:val="24"/>
          <w:szCs w:val="24"/>
          <w:lang w:eastAsia="en-AU"/>
        </w:rPr>
        <w:t xml:space="preserve">As the accessible product </w:t>
      </w:r>
      <w:r w:rsidR="006936CD" w:rsidRPr="00494F4A">
        <w:rPr>
          <w:rFonts w:eastAsia="Times New Roman"/>
          <w:sz w:val="24"/>
          <w:szCs w:val="24"/>
          <w:lang w:eastAsia="en-AU"/>
        </w:rPr>
        <w:t xml:space="preserve">PDS </w:t>
      </w:r>
      <w:r w:rsidRPr="00494F4A">
        <w:rPr>
          <w:rFonts w:eastAsia="Times New Roman"/>
          <w:sz w:val="24"/>
          <w:szCs w:val="24"/>
          <w:lang w:eastAsia="en-AU"/>
        </w:rPr>
        <w:t xml:space="preserve">must satisfy the requirements of Division 2 of Part 7.9 of the Act, the shorter PDS requirements will apply for some types of accessible financial products. For example, an accessible financial product may be a simple managed investment scheme, to which the shorter PDS requirements would </w:t>
      </w:r>
      <w:proofErr w:type="gramStart"/>
      <w:r w:rsidRPr="00494F4A">
        <w:rPr>
          <w:rFonts w:eastAsia="Times New Roman"/>
          <w:sz w:val="24"/>
          <w:szCs w:val="24"/>
          <w:lang w:eastAsia="en-AU"/>
        </w:rPr>
        <w:t>apply</w:t>
      </w:r>
      <w:r w:rsidR="001A2510" w:rsidRPr="00494F4A">
        <w:rPr>
          <w:rFonts w:eastAsia="Times New Roman"/>
          <w:sz w:val="24"/>
          <w:szCs w:val="24"/>
          <w:lang w:eastAsia="en-AU"/>
        </w:rPr>
        <w:t>:</w:t>
      </w:r>
      <w:proofErr w:type="gramEnd"/>
      <w:r w:rsidR="001A2510" w:rsidRPr="00494F4A">
        <w:rPr>
          <w:rFonts w:eastAsia="Times New Roman"/>
          <w:sz w:val="24"/>
          <w:szCs w:val="24"/>
          <w:lang w:eastAsia="en-AU"/>
        </w:rPr>
        <w:t xml:space="preserve"> see </w:t>
      </w:r>
      <w:r w:rsidRPr="00494F4A">
        <w:rPr>
          <w:rFonts w:eastAsia="Times New Roman"/>
          <w:sz w:val="24"/>
          <w:szCs w:val="24"/>
          <w:lang w:eastAsia="en-AU"/>
        </w:rPr>
        <w:t>Schedule 10E and reg</w:t>
      </w:r>
      <w:r w:rsidR="001A2510" w:rsidRPr="00494F4A">
        <w:rPr>
          <w:rFonts w:eastAsia="Times New Roman"/>
          <w:sz w:val="24"/>
          <w:szCs w:val="24"/>
          <w:lang w:eastAsia="en-AU"/>
        </w:rPr>
        <w:t>ulation</w:t>
      </w:r>
      <w:r w:rsidRPr="00494F4A">
        <w:rPr>
          <w:rFonts w:eastAsia="Times New Roman"/>
          <w:sz w:val="24"/>
          <w:szCs w:val="24"/>
          <w:lang w:eastAsia="en-AU"/>
        </w:rPr>
        <w:t xml:space="preserve"> 7.9.11W of the Regulations.</w:t>
      </w:r>
    </w:p>
    <w:p w14:paraId="1675A394" w14:textId="77777777" w:rsidR="005D4A6B" w:rsidRPr="00494F4A" w:rsidRDefault="005D4A6B" w:rsidP="005D4A6B">
      <w:pPr>
        <w:rPr>
          <w:rFonts w:eastAsia="Times New Roman"/>
          <w:sz w:val="24"/>
          <w:szCs w:val="24"/>
          <w:lang w:eastAsia="en-AU"/>
        </w:rPr>
      </w:pPr>
    </w:p>
    <w:p w14:paraId="3A110F7A" w14:textId="77777777" w:rsidR="00EC3045" w:rsidRPr="00494F4A" w:rsidRDefault="00092F5E" w:rsidP="00395DD1">
      <w:pPr>
        <w:numPr>
          <w:ilvl w:val="0"/>
          <w:numId w:val="15"/>
        </w:numPr>
        <w:rPr>
          <w:rFonts w:eastAsia="Times New Roman"/>
          <w:sz w:val="24"/>
          <w:szCs w:val="24"/>
          <w:lang w:eastAsia="en-AU"/>
        </w:rPr>
      </w:pPr>
      <w:r w:rsidRPr="00494F4A">
        <w:rPr>
          <w:rFonts w:eastAsia="Times New Roman"/>
          <w:sz w:val="24"/>
          <w:szCs w:val="24"/>
          <w:lang w:eastAsia="en-AU"/>
        </w:rPr>
        <w:t xml:space="preserve">For </w:t>
      </w:r>
      <w:r w:rsidR="001A2510" w:rsidRPr="00494F4A">
        <w:rPr>
          <w:rFonts w:eastAsia="Times New Roman"/>
          <w:sz w:val="24"/>
          <w:szCs w:val="24"/>
          <w:lang w:eastAsia="en-AU"/>
        </w:rPr>
        <w:t>Option</w:t>
      </w:r>
      <w:r w:rsidRPr="00494F4A">
        <w:rPr>
          <w:rFonts w:eastAsia="Times New Roman"/>
          <w:sz w:val="24"/>
          <w:szCs w:val="24"/>
          <w:lang w:eastAsia="en-AU"/>
        </w:rPr>
        <w:t>s 1 and 3</w:t>
      </w:r>
      <w:r w:rsidR="00BC0808" w:rsidRPr="00494F4A">
        <w:rPr>
          <w:rFonts w:eastAsia="Times New Roman"/>
          <w:sz w:val="24"/>
          <w:szCs w:val="24"/>
          <w:lang w:eastAsia="en-AU"/>
        </w:rPr>
        <w:t xml:space="preserve">, </w:t>
      </w:r>
      <w:r w:rsidR="001A2510" w:rsidRPr="00494F4A">
        <w:rPr>
          <w:rFonts w:eastAsia="Times New Roman"/>
          <w:sz w:val="24"/>
          <w:szCs w:val="24"/>
          <w:lang w:eastAsia="en-AU"/>
        </w:rPr>
        <w:t xml:space="preserve">notional </w:t>
      </w:r>
      <w:r w:rsidR="00EC3045" w:rsidRPr="00494F4A">
        <w:rPr>
          <w:rFonts w:eastAsia="Times New Roman"/>
          <w:sz w:val="24"/>
          <w:szCs w:val="24"/>
          <w:lang w:eastAsia="en-AU"/>
        </w:rPr>
        <w:t xml:space="preserve">paragraph </w:t>
      </w:r>
      <w:r w:rsidR="001A2510" w:rsidRPr="00494F4A">
        <w:rPr>
          <w:rFonts w:eastAsia="Times New Roman"/>
          <w:sz w:val="24"/>
          <w:szCs w:val="24"/>
          <w:lang w:eastAsia="en-AU"/>
        </w:rPr>
        <w:t>1013</w:t>
      </w:r>
      <w:r w:rsidR="00EC3045" w:rsidRPr="00494F4A">
        <w:rPr>
          <w:rFonts w:eastAsia="Times New Roman"/>
          <w:sz w:val="24"/>
          <w:szCs w:val="24"/>
          <w:lang w:eastAsia="en-AU"/>
        </w:rPr>
        <w:t>FB</w:t>
      </w:r>
      <w:r w:rsidR="001A2510" w:rsidRPr="00494F4A">
        <w:rPr>
          <w:rFonts w:eastAsia="Times New Roman"/>
          <w:sz w:val="24"/>
          <w:szCs w:val="24"/>
          <w:lang w:eastAsia="en-AU"/>
        </w:rPr>
        <w:t>(4)</w:t>
      </w:r>
      <w:r w:rsidR="00EC3045" w:rsidRPr="00494F4A">
        <w:rPr>
          <w:rFonts w:eastAsia="Times New Roman"/>
          <w:sz w:val="24"/>
          <w:szCs w:val="24"/>
          <w:lang w:eastAsia="en-AU"/>
        </w:rPr>
        <w:t>(a)</w:t>
      </w:r>
      <w:r w:rsidR="001A2510" w:rsidRPr="00494F4A">
        <w:rPr>
          <w:rFonts w:eastAsia="Times New Roman"/>
          <w:sz w:val="24"/>
          <w:szCs w:val="24"/>
          <w:lang w:eastAsia="en-AU"/>
        </w:rPr>
        <w:t xml:space="preserve"> </w:t>
      </w:r>
      <w:r w:rsidR="00BC0808" w:rsidRPr="00494F4A">
        <w:rPr>
          <w:rFonts w:eastAsia="Times New Roman"/>
          <w:sz w:val="24"/>
          <w:szCs w:val="24"/>
          <w:lang w:eastAsia="en-AU"/>
        </w:rPr>
        <w:t xml:space="preserve">relieves the trustee from the obligation to include in the </w:t>
      </w:r>
      <w:r w:rsidR="001A2510" w:rsidRPr="00494F4A">
        <w:rPr>
          <w:rFonts w:eastAsia="Times New Roman"/>
          <w:sz w:val="24"/>
          <w:szCs w:val="24"/>
          <w:lang w:eastAsia="en-AU"/>
        </w:rPr>
        <w:t xml:space="preserve">superannuation entity </w:t>
      </w:r>
      <w:r w:rsidR="00BC0808" w:rsidRPr="00494F4A">
        <w:rPr>
          <w:rFonts w:eastAsia="Times New Roman"/>
          <w:sz w:val="24"/>
          <w:szCs w:val="24"/>
          <w:lang w:eastAsia="en-AU"/>
        </w:rPr>
        <w:t>PDS any other information about the accessible financial product that would be required by sections 1013C, 1013D, 1013DA, 1013E or 1013F of the Act</w:t>
      </w:r>
      <w:r w:rsidR="00EC3045" w:rsidRPr="00494F4A">
        <w:rPr>
          <w:rFonts w:eastAsia="Times New Roman"/>
          <w:sz w:val="24"/>
          <w:szCs w:val="24"/>
          <w:lang w:eastAsia="en-AU"/>
        </w:rPr>
        <w:t xml:space="preserve">. </w:t>
      </w:r>
      <w:r w:rsidR="00BC0808" w:rsidRPr="00494F4A">
        <w:rPr>
          <w:rFonts w:eastAsia="Times New Roman"/>
          <w:sz w:val="24"/>
          <w:szCs w:val="24"/>
          <w:lang w:eastAsia="en-AU"/>
        </w:rPr>
        <w:t xml:space="preserve">The exemption in relation to the PDS content requirements under s1013C includes absolving the trustee from any requirement that would otherwise arise to comply with the shorter PDS requirements for an accessible financial product. </w:t>
      </w:r>
    </w:p>
    <w:p w14:paraId="3B8B8354" w14:textId="77777777" w:rsidR="00EC3045" w:rsidRPr="00494F4A" w:rsidRDefault="00EC3045" w:rsidP="00C25013">
      <w:pPr>
        <w:pStyle w:val="ListParagraph"/>
        <w:rPr>
          <w:rFonts w:eastAsia="Times New Roman"/>
          <w:sz w:val="24"/>
          <w:szCs w:val="24"/>
          <w:lang w:eastAsia="en-AU"/>
        </w:rPr>
      </w:pPr>
    </w:p>
    <w:p w14:paraId="7239F658" w14:textId="77777777" w:rsidR="00BC0808" w:rsidRPr="00494F4A" w:rsidRDefault="00EC3045" w:rsidP="00395DD1">
      <w:pPr>
        <w:numPr>
          <w:ilvl w:val="0"/>
          <w:numId w:val="15"/>
        </w:numPr>
        <w:rPr>
          <w:rFonts w:eastAsia="Times New Roman"/>
          <w:sz w:val="24"/>
          <w:szCs w:val="24"/>
          <w:lang w:eastAsia="en-AU"/>
        </w:rPr>
      </w:pPr>
      <w:r w:rsidRPr="00494F4A">
        <w:rPr>
          <w:rFonts w:eastAsia="Times New Roman"/>
          <w:sz w:val="24"/>
          <w:szCs w:val="24"/>
          <w:lang w:eastAsia="en-AU"/>
        </w:rPr>
        <w:t xml:space="preserve">Notional paragraph 1013FB(4)(b) requires </w:t>
      </w:r>
      <w:r w:rsidR="00BC0808" w:rsidRPr="00494F4A">
        <w:rPr>
          <w:rFonts w:eastAsia="Times New Roman"/>
          <w:sz w:val="24"/>
          <w:szCs w:val="24"/>
          <w:lang w:eastAsia="en-AU"/>
        </w:rPr>
        <w:t xml:space="preserve">the trustee </w:t>
      </w:r>
      <w:r w:rsidRPr="00494F4A">
        <w:rPr>
          <w:rFonts w:eastAsia="Times New Roman"/>
          <w:sz w:val="24"/>
          <w:szCs w:val="24"/>
          <w:lang w:eastAsia="en-AU"/>
        </w:rPr>
        <w:t xml:space="preserve">to </w:t>
      </w:r>
      <w:r w:rsidR="00BC0808" w:rsidRPr="00494F4A">
        <w:rPr>
          <w:rFonts w:eastAsia="Times New Roman"/>
          <w:sz w:val="24"/>
          <w:szCs w:val="24"/>
          <w:lang w:eastAsia="en-AU"/>
        </w:rPr>
        <w:t xml:space="preserve">give the </w:t>
      </w:r>
      <w:r w:rsidRPr="00494F4A">
        <w:rPr>
          <w:rFonts w:eastAsia="Times New Roman"/>
          <w:sz w:val="24"/>
          <w:szCs w:val="24"/>
          <w:lang w:eastAsia="en-AU"/>
        </w:rPr>
        <w:t xml:space="preserve">accessible product PDS to any person who asks for it. </w:t>
      </w:r>
      <w:r w:rsidR="00092F5E" w:rsidRPr="00494F4A">
        <w:rPr>
          <w:rFonts w:eastAsia="Times New Roman"/>
          <w:sz w:val="24"/>
          <w:szCs w:val="24"/>
          <w:lang w:eastAsia="en-AU"/>
        </w:rPr>
        <w:t xml:space="preserve">This obligation applies irrespective of whether the trustee has prepared the accessible product PDS (Option 1) or if the product issuer has prepared the accessible product PDS (Option 3),  </w:t>
      </w:r>
    </w:p>
    <w:p w14:paraId="34AC7D17" w14:textId="77777777" w:rsidR="00BC0808" w:rsidRPr="00494F4A" w:rsidRDefault="00BC0808" w:rsidP="00BC0808">
      <w:pPr>
        <w:rPr>
          <w:rFonts w:eastAsia="Times New Roman"/>
          <w:sz w:val="24"/>
          <w:szCs w:val="24"/>
          <w:lang w:eastAsia="en-AU"/>
        </w:rPr>
      </w:pPr>
    </w:p>
    <w:p w14:paraId="58479D37" w14:textId="77777777" w:rsidR="00092F5E" w:rsidRPr="00494F4A" w:rsidRDefault="00F568B9" w:rsidP="00395DD1">
      <w:pPr>
        <w:numPr>
          <w:ilvl w:val="0"/>
          <w:numId w:val="15"/>
        </w:numPr>
        <w:rPr>
          <w:rFonts w:eastAsia="Times New Roman"/>
          <w:sz w:val="24"/>
          <w:szCs w:val="24"/>
          <w:lang w:eastAsia="en-AU"/>
        </w:rPr>
      </w:pPr>
      <w:r w:rsidRPr="00494F4A">
        <w:rPr>
          <w:rFonts w:eastAsia="Times New Roman"/>
          <w:sz w:val="24"/>
          <w:szCs w:val="24"/>
          <w:lang w:eastAsia="en-AU"/>
        </w:rPr>
        <w:t xml:space="preserve">If a trustee relies on the method in Option 2, </w:t>
      </w:r>
      <w:r w:rsidR="00092F5E" w:rsidRPr="00494F4A">
        <w:rPr>
          <w:rFonts w:eastAsia="Times New Roman"/>
          <w:sz w:val="24"/>
          <w:szCs w:val="24"/>
          <w:lang w:eastAsia="en-AU"/>
        </w:rPr>
        <w:t>notional subsection 1013FB(5) provides that the integrated PDS may be a single document or 2 or more separate documents that are given at the same time. If the integrated PDS comprises 2 or more separate documents, further requirements in section 1013L of the Act apply.</w:t>
      </w:r>
    </w:p>
    <w:p w14:paraId="4E673A38" w14:textId="77777777" w:rsidR="00092F5E" w:rsidRPr="00494F4A" w:rsidRDefault="00092F5E" w:rsidP="00C25013">
      <w:pPr>
        <w:ind w:left="570"/>
        <w:rPr>
          <w:rFonts w:eastAsia="Times New Roman"/>
          <w:sz w:val="24"/>
          <w:szCs w:val="24"/>
          <w:lang w:eastAsia="en-AU"/>
        </w:rPr>
      </w:pPr>
    </w:p>
    <w:p w14:paraId="69315E1E" w14:textId="77777777" w:rsidR="00BC0808" w:rsidRPr="00494F4A" w:rsidRDefault="00092F5E" w:rsidP="00395DD1">
      <w:pPr>
        <w:numPr>
          <w:ilvl w:val="0"/>
          <w:numId w:val="15"/>
        </w:numPr>
        <w:rPr>
          <w:rFonts w:eastAsia="Times New Roman"/>
          <w:sz w:val="24"/>
          <w:szCs w:val="24"/>
          <w:lang w:eastAsia="en-AU"/>
        </w:rPr>
      </w:pPr>
      <w:r w:rsidRPr="00494F4A">
        <w:rPr>
          <w:rFonts w:eastAsia="Times New Roman"/>
          <w:sz w:val="24"/>
          <w:szCs w:val="24"/>
          <w:lang w:eastAsia="en-AU"/>
        </w:rPr>
        <w:t xml:space="preserve">Notional </w:t>
      </w:r>
      <w:r w:rsidR="00897373" w:rsidRPr="00494F4A">
        <w:rPr>
          <w:rFonts w:eastAsia="Times New Roman"/>
          <w:sz w:val="24"/>
          <w:szCs w:val="24"/>
          <w:lang w:eastAsia="en-AU"/>
        </w:rPr>
        <w:t xml:space="preserve">paragraph </w:t>
      </w:r>
      <w:r w:rsidRPr="00494F4A">
        <w:rPr>
          <w:rFonts w:eastAsia="Times New Roman"/>
          <w:sz w:val="24"/>
          <w:szCs w:val="24"/>
          <w:lang w:eastAsia="en-AU"/>
        </w:rPr>
        <w:t>1013FB(6)</w:t>
      </w:r>
      <w:r w:rsidR="00897373" w:rsidRPr="00494F4A">
        <w:rPr>
          <w:rFonts w:eastAsia="Times New Roman"/>
          <w:sz w:val="24"/>
          <w:szCs w:val="24"/>
          <w:lang w:eastAsia="en-AU"/>
        </w:rPr>
        <w:t>(a)</w:t>
      </w:r>
      <w:r w:rsidRPr="00494F4A">
        <w:rPr>
          <w:rFonts w:eastAsia="Times New Roman"/>
          <w:sz w:val="24"/>
          <w:szCs w:val="24"/>
          <w:lang w:eastAsia="en-AU"/>
        </w:rPr>
        <w:t xml:space="preserve"> </w:t>
      </w:r>
      <w:r w:rsidR="00897373" w:rsidRPr="00494F4A">
        <w:rPr>
          <w:rFonts w:eastAsia="Times New Roman"/>
          <w:sz w:val="24"/>
          <w:szCs w:val="24"/>
          <w:lang w:eastAsia="en-AU"/>
        </w:rPr>
        <w:t>requires</w:t>
      </w:r>
      <w:r w:rsidRPr="00494F4A">
        <w:rPr>
          <w:rFonts w:eastAsia="Times New Roman"/>
          <w:sz w:val="24"/>
          <w:szCs w:val="24"/>
          <w:lang w:eastAsia="en-AU"/>
        </w:rPr>
        <w:t xml:space="preserve"> </w:t>
      </w:r>
      <w:r w:rsidR="003C6DD3" w:rsidRPr="00494F4A">
        <w:rPr>
          <w:rFonts w:eastAsia="Times New Roman"/>
          <w:sz w:val="24"/>
          <w:szCs w:val="24"/>
          <w:lang w:eastAsia="en-AU"/>
        </w:rPr>
        <w:t xml:space="preserve">the integrated PDS </w:t>
      </w:r>
      <w:r w:rsidR="00897373" w:rsidRPr="00494F4A">
        <w:rPr>
          <w:rFonts w:eastAsia="Times New Roman"/>
          <w:sz w:val="24"/>
          <w:szCs w:val="24"/>
          <w:lang w:eastAsia="en-AU"/>
        </w:rPr>
        <w:t>to</w:t>
      </w:r>
      <w:r w:rsidR="003C6DD3" w:rsidRPr="00494F4A">
        <w:rPr>
          <w:rFonts w:eastAsia="Times New Roman"/>
          <w:sz w:val="24"/>
          <w:szCs w:val="24"/>
          <w:lang w:eastAsia="en-AU"/>
        </w:rPr>
        <w:t xml:space="preserve"> contain  information about the superannuation </w:t>
      </w:r>
      <w:r w:rsidRPr="00494F4A">
        <w:rPr>
          <w:rFonts w:eastAsia="Times New Roman"/>
          <w:sz w:val="24"/>
          <w:szCs w:val="24"/>
          <w:lang w:eastAsia="en-AU"/>
        </w:rPr>
        <w:t>product</w:t>
      </w:r>
      <w:r w:rsidR="003C6DD3" w:rsidRPr="00494F4A">
        <w:rPr>
          <w:rFonts w:eastAsia="Times New Roman"/>
          <w:sz w:val="24"/>
          <w:szCs w:val="24"/>
          <w:lang w:eastAsia="en-AU"/>
        </w:rPr>
        <w:t xml:space="preserve"> and information about each accessible financial product that is required by the PDS requirements under Division 2 of Part 7.9 of the Act. This </w:t>
      </w:r>
      <w:r w:rsidR="00897373" w:rsidRPr="00494F4A">
        <w:rPr>
          <w:rFonts w:eastAsia="Times New Roman"/>
          <w:sz w:val="24"/>
          <w:szCs w:val="24"/>
          <w:lang w:eastAsia="en-AU"/>
        </w:rPr>
        <w:t>may</w:t>
      </w:r>
      <w:r w:rsidR="003C6DD3" w:rsidRPr="00494F4A">
        <w:rPr>
          <w:rFonts w:eastAsia="Times New Roman"/>
          <w:sz w:val="24"/>
          <w:szCs w:val="24"/>
          <w:lang w:eastAsia="en-AU"/>
        </w:rPr>
        <w:t xml:space="preserve"> include the shorter PDS requirements to the extent that th</w:t>
      </w:r>
      <w:r w:rsidR="00897373" w:rsidRPr="00494F4A">
        <w:rPr>
          <w:rFonts w:eastAsia="Times New Roman"/>
          <w:sz w:val="24"/>
          <w:szCs w:val="24"/>
          <w:lang w:eastAsia="en-AU"/>
        </w:rPr>
        <w:t xml:space="preserve">ose </w:t>
      </w:r>
      <w:r w:rsidR="003C6DD3" w:rsidRPr="00494F4A">
        <w:rPr>
          <w:rFonts w:eastAsia="Times New Roman"/>
          <w:sz w:val="24"/>
          <w:szCs w:val="24"/>
          <w:lang w:eastAsia="en-AU"/>
        </w:rPr>
        <w:t xml:space="preserve">requirements apply. In addition, </w:t>
      </w:r>
      <w:r w:rsidR="00897373" w:rsidRPr="00494F4A">
        <w:rPr>
          <w:rFonts w:eastAsia="Times New Roman"/>
          <w:sz w:val="24"/>
          <w:szCs w:val="24"/>
          <w:lang w:eastAsia="en-AU"/>
        </w:rPr>
        <w:t xml:space="preserve">notional paragraph 1013FB(6)(b) provides that </w:t>
      </w:r>
      <w:r w:rsidR="003C6DD3" w:rsidRPr="00494F4A">
        <w:rPr>
          <w:rFonts w:eastAsia="Times New Roman"/>
          <w:sz w:val="24"/>
          <w:szCs w:val="24"/>
          <w:lang w:eastAsia="en-AU"/>
        </w:rPr>
        <w:t>the integrated PDS must contain information that a person would reasonably require as a retail client to understand the investment strategy under which the accessible financial product may be acquired.</w:t>
      </w:r>
    </w:p>
    <w:p w14:paraId="25F494B2" w14:textId="77777777" w:rsidR="003C6DD3" w:rsidRPr="00494F4A" w:rsidRDefault="003C6DD3" w:rsidP="003C6DD3">
      <w:pPr>
        <w:pStyle w:val="ListParagraph"/>
        <w:rPr>
          <w:rFonts w:eastAsia="Times New Roman"/>
          <w:sz w:val="24"/>
          <w:szCs w:val="24"/>
          <w:lang w:eastAsia="en-AU"/>
        </w:rPr>
      </w:pPr>
    </w:p>
    <w:p w14:paraId="32F92471" w14:textId="77777777" w:rsidR="008D01A6" w:rsidRPr="00494F4A" w:rsidRDefault="008D01A6" w:rsidP="008D01A6">
      <w:pPr>
        <w:rPr>
          <w:rFonts w:eastAsia="Times New Roman"/>
          <w:sz w:val="24"/>
          <w:szCs w:val="24"/>
          <w:u w:val="single"/>
          <w:lang w:eastAsia="en-AU"/>
        </w:rPr>
      </w:pPr>
      <w:r w:rsidRPr="00494F4A">
        <w:rPr>
          <w:rFonts w:eastAsia="Times New Roman"/>
          <w:sz w:val="24"/>
          <w:szCs w:val="24"/>
          <w:u w:val="single"/>
          <w:lang w:eastAsia="en-AU"/>
        </w:rPr>
        <w:t>Relief for additional acquisitions</w:t>
      </w:r>
    </w:p>
    <w:p w14:paraId="1AF7CA3C" w14:textId="77777777" w:rsidR="008D01A6" w:rsidRPr="00494F4A" w:rsidRDefault="008D01A6" w:rsidP="008D01A6">
      <w:pPr>
        <w:rPr>
          <w:rFonts w:eastAsia="Times New Roman"/>
          <w:sz w:val="24"/>
          <w:szCs w:val="24"/>
          <w:lang w:eastAsia="en-AU"/>
        </w:rPr>
      </w:pPr>
    </w:p>
    <w:p w14:paraId="2F1628B4" w14:textId="77777777" w:rsidR="001B7C2A" w:rsidRPr="00494F4A" w:rsidRDefault="001B7C2A" w:rsidP="008D01A6">
      <w:pPr>
        <w:numPr>
          <w:ilvl w:val="0"/>
          <w:numId w:val="15"/>
        </w:numPr>
        <w:rPr>
          <w:rFonts w:eastAsia="Times New Roman"/>
          <w:sz w:val="24"/>
          <w:szCs w:val="24"/>
          <w:lang w:eastAsia="en-AU"/>
        </w:rPr>
      </w:pPr>
      <w:r w:rsidRPr="00494F4A">
        <w:rPr>
          <w:rFonts w:eastAsia="Times New Roman"/>
          <w:sz w:val="24"/>
          <w:szCs w:val="24"/>
          <w:lang w:eastAsia="en-AU"/>
        </w:rPr>
        <w:t xml:space="preserve">Subparagraph 6(b)(i) of the Instrument inserts a notional ‘additional acquisition’ definition into subsection 1012IA(1) of the Act. </w:t>
      </w:r>
      <w:r w:rsidR="007021C6" w:rsidRPr="00494F4A">
        <w:rPr>
          <w:rFonts w:eastAsia="Times New Roman"/>
          <w:sz w:val="24"/>
          <w:szCs w:val="24"/>
          <w:lang w:eastAsia="en-AU"/>
        </w:rPr>
        <w:t xml:space="preserve">This definition </w:t>
      </w:r>
      <w:r w:rsidRPr="00494F4A">
        <w:rPr>
          <w:rFonts w:eastAsia="Times New Roman"/>
          <w:sz w:val="24"/>
          <w:szCs w:val="24"/>
          <w:lang w:eastAsia="en-AU"/>
        </w:rPr>
        <w:t>provides that an additional acquisition exists if</w:t>
      </w:r>
      <w:r w:rsidR="00B87945" w:rsidRPr="00494F4A">
        <w:rPr>
          <w:rFonts w:eastAsia="Times New Roman"/>
          <w:sz w:val="24"/>
          <w:szCs w:val="24"/>
          <w:lang w:eastAsia="en-AU"/>
        </w:rPr>
        <w:t xml:space="preserve"> as part of a regulated acquisition (within the meaning of subsection 1012IA(1))</w:t>
      </w:r>
      <w:r w:rsidRPr="00494F4A">
        <w:rPr>
          <w:rFonts w:eastAsia="Times New Roman"/>
          <w:sz w:val="24"/>
          <w:szCs w:val="24"/>
          <w:lang w:eastAsia="en-AU"/>
        </w:rPr>
        <w:t xml:space="preserve"> a superannuation trustee acquires an accessible financial product of the same kind as an accessible financial product that the member already holds </w:t>
      </w:r>
      <w:proofErr w:type="gramStart"/>
      <w:r w:rsidRPr="00494F4A">
        <w:rPr>
          <w:rFonts w:eastAsia="Times New Roman"/>
          <w:sz w:val="24"/>
          <w:szCs w:val="24"/>
          <w:lang w:eastAsia="en-AU"/>
        </w:rPr>
        <w:t>as a result of</w:t>
      </w:r>
      <w:proofErr w:type="gramEnd"/>
      <w:r w:rsidRPr="00494F4A">
        <w:rPr>
          <w:rFonts w:eastAsia="Times New Roman"/>
          <w:sz w:val="24"/>
          <w:szCs w:val="24"/>
          <w:lang w:eastAsia="en-AU"/>
        </w:rPr>
        <w:t xml:space="preserve"> an instruction </w:t>
      </w:r>
      <w:r w:rsidR="00B87945" w:rsidRPr="00494F4A">
        <w:rPr>
          <w:rFonts w:eastAsia="Times New Roman"/>
          <w:sz w:val="24"/>
          <w:szCs w:val="24"/>
          <w:lang w:eastAsia="en-AU"/>
        </w:rPr>
        <w:t>that they gave</w:t>
      </w:r>
      <w:r w:rsidRPr="00494F4A">
        <w:rPr>
          <w:rFonts w:eastAsia="Times New Roman"/>
          <w:sz w:val="24"/>
          <w:szCs w:val="24"/>
          <w:lang w:eastAsia="en-AU"/>
        </w:rPr>
        <w:t>.</w:t>
      </w:r>
    </w:p>
    <w:p w14:paraId="0024511E" w14:textId="77777777" w:rsidR="00DC6A20" w:rsidRPr="00494F4A" w:rsidRDefault="00DC6A20" w:rsidP="00C25013">
      <w:pPr>
        <w:ind w:left="570"/>
        <w:rPr>
          <w:rFonts w:eastAsia="Times New Roman"/>
          <w:sz w:val="24"/>
          <w:szCs w:val="24"/>
          <w:lang w:eastAsia="en-AU"/>
        </w:rPr>
      </w:pPr>
    </w:p>
    <w:p w14:paraId="0C48A991" w14:textId="77777777" w:rsidR="007021C6" w:rsidRPr="00494F4A" w:rsidRDefault="001B7C2A" w:rsidP="00DC6A20">
      <w:pPr>
        <w:numPr>
          <w:ilvl w:val="0"/>
          <w:numId w:val="15"/>
        </w:numPr>
        <w:rPr>
          <w:rFonts w:eastAsia="Times New Roman"/>
          <w:sz w:val="24"/>
          <w:szCs w:val="24"/>
          <w:lang w:eastAsia="en-AU"/>
        </w:rPr>
      </w:pPr>
      <w:r w:rsidRPr="00494F4A">
        <w:rPr>
          <w:rFonts w:eastAsia="Times New Roman"/>
          <w:sz w:val="24"/>
          <w:szCs w:val="24"/>
          <w:lang w:eastAsia="en-AU"/>
        </w:rPr>
        <w:t>Subparagraph</w:t>
      </w:r>
      <w:r w:rsidRPr="0095459E">
        <w:rPr>
          <w:rFonts w:eastAsia="Times New Roman"/>
          <w:sz w:val="24"/>
          <w:szCs w:val="24"/>
          <w:lang w:eastAsia="en-AU"/>
        </w:rPr>
        <w:t xml:space="preserve"> 6(b)(ii) inserts notional subsection 1012IA(2A)</w:t>
      </w:r>
      <w:r w:rsidRPr="00494F4A">
        <w:rPr>
          <w:rFonts w:eastAsia="Times New Roman"/>
          <w:sz w:val="24"/>
          <w:szCs w:val="24"/>
          <w:lang w:eastAsia="en-AU"/>
        </w:rPr>
        <w:t xml:space="preserve"> which </w:t>
      </w:r>
      <w:r w:rsidR="00DC6A20" w:rsidRPr="00494F4A">
        <w:rPr>
          <w:rFonts w:eastAsia="Times New Roman"/>
          <w:sz w:val="24"/>
          <w:szCs w:val="24"/>
          <w:lang w:eastAsia="en-AU"/>
        </w:rPr>
        <w:t xml:space="preserve">exempts </w:t>
      </w:r>
      <w:r w:rsidRPr="00494F4A">
        <w:rPr>
          <w:rFonts w:eastAsia="Times New Roman"/>
          <w:sz w:val="24"/>
          <w:szCs w:val="24"/>
          <w:lang w:eastAsia="en-AU"/>
        </w:rPr>
        <w:t xml:space="preserve">superannuation trustees from the obligation to give a member a PDS in </w:t>
      </w:r>
      <w:r w:rsidRPr="00494F4A">
        <w:rPr>
          <w:rFonts w:eastAsia="Times New Roman"/>
          <w:sz w:val="24"/>
          <w:szCs w:val="24"/>
          <w:lang w:eastAsia="en-AU"/>
        </w:rPr>
        <w:lastRenderedPageBreak/>
        <w:t xml:space="preserve">accordance with subsection 1012IA(2) </w:t>
      </w:r>
      <w:r w:rsidR="00DC6A20" w:rsidRPr="00494F4A">
        <w:rPr>
          <w:rFonts w:eastAsia="Times New Roman"/>
          <w:sz w:val="24"/>
          <w:szCs w:val="24"/>
          <w:lang w:eastAsia="en-AU"/>
        </w:rPr>
        <w:t>each time they make an additional acquisition. This is on condition that the member has given the trustee written acknowledgement that they understand that they may not have</w:t>
      </w:r>
      <w:r w:rsidR="007021C6" w:rsidRPr="00494F4A">
        <w:rPr>
          <w:rFonts w:eastAsia="Times New Roman"/>
          <w:sz w:val="24"/>
          <w:szCs w:val="24"/>
          <w:lang w:eastAsia="en-AU"/>
        </w:rPr>
        <w:t>:</w:t>
      </w:r>
    </w:p>
    <w:p w14:paraId="5A9DE5F5" w14:textId="77777777" w:rsidR="007021C6" w:rsidRPr="00494F4A" w:rsidRDefault="007021C6" w:rsidP="00C25013">
      <w:pPr>
        <w:pStyle w:val="ListParagraph"/>
        <w:rPr>
          <w:rFonts w:eastAsia="Times New Roman"/>
          <w:sz w:val="24"/>
          <w:szCs w:val="24"/>
          <w:lang w:eastAsia="en-AU"/>
        </w:rPr>
      </w:pPr>
    </w:p>
    <w:p w14:paraId="768BDEC1" w14:textId="77777777" w:rsidR="007021C6" w:rsidRPr="00494F4A" w:rsidRDefault="007021C6" w:rsidP="007021C6">
      <w:pPr>
        <w:numPr>
          <w:ilvl w:val="1"/>
          <w:numId w:val="15"/>
        </w:numPr>
        <w:rPr>
          <w:rFonts w:eastAsia="Times New Roman"/>
          <w:sz w:val="24"/>
          <w:szCs w:val="24"/>
          <w:lang w:eastAsia="en-AU"/>
        </w:rPr>
      </w:pPr>
      <w:r w:rsidRPr="00494F4A">
        <w:rPr>
          <w:rFonts w:eastAsia="Times New Roman"/>
          <w:sz w:val="24"/>
          <w:szCs w:val="24"/>
          <w:lang w:eastAsia="en-AU"/>
        </w:rPr>
        <w:t xml:space="preserve">received the current PDS for the accessible </w:t>
      </w:r>
      <w:r w:rsidR="00421539" w:rsidRPr="00494F4A">
        <w:rPr>
          <w:rFonts w:eastAsia="Times New Roman"/>
          <w:sz w:val="24"/>
          <w:szCs w:val="24"/>
          <w:lang w:eastAsia="en-AU"/>
        </w:rPr>
        <w:t>financial</w:t>
      </w:r>
      <w:r w:rsidRPr="00494F4A">
        <w:rPr>
          <w:rFonts w:eastAsia="Times New Roman"/>
          <w:sz w:val="24"/>
          <w:szCs w:val="24"/>
          <w:lang w:eastAsia="en-AU"/>
        </w:rPr>
        <w:t xml:space="preserve"> product; and</w:t>
      </w:r>
    </w:p>
    <w:p w14:paraId="6EED7F35" w14:textId="77777777" w:rsidR="00DC6A20" w:rsidRPr="00494F4A" w:rsidRDefault="007021C6"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 xml:space="preserve">been notified about material adverse changes or significant events that adversely affect a matter required to be in a PDS for the accessible financial product immediately before the change or event occurs. </w:t>
      </w:r>
    </w:p>
    <w:p w14:paraId="28360014" w14:textId="77777777" w:rsidR="00DC6A20" w:rsidRPr="00494F4A" w:rsidRDefault="00DC6A20" w:rsidP="00C25013">
      <w:pPr>
        <w:pStyle w:val="ListParagraph"/>
        <w:rPr>
          <w:rFonts w:eastAsia="Times New Roman"/>
          <w:sz w:val="24"/>
          <w:szCs w:val="24"/>
          <w:lang w:eastAsia="en-AU"/>
        </w:rPr>
      </w:pPr>
    </w:p>
    <w:p w14:paraId="3AADC16E" w14:textId="77777777" w:rsidR="00DC6A20" w:rsidRPr="00494F4A" w:rsidRDefault="00DC6A20" w:rsidP="00DC6A20">
      <w:pPr>
        <w:numPr>
          <w:ilvl w:val="0"/>
          <w:numId w:val="15"/>
        </w:numPr>
        <w:rPr>
          <w:rFonts w:eastAsia="Times New Roman"/>
          <w:sz w:val="24"/>
          <w:szCs w:val="24"/>
          <w:lang w:eastAsia="en-AU"/>
        </w:rPr>
      </w:pPr>
      <w:r w:rsidRPr="00494F4A">
        <w:rPr>
          <w:rFonts w:eastAsia="Times New Roman"/>
          <w:sz w:val="24"/>
          <w:szCs w:val="24"/>
          <w:lang w:eastAsia="en-AU"/>
        </w:rPr>
        <w:t>Notional subsection 1012IA(2B) provides that written acknowl</w:t>
      </w:r>
      <w:r w:rsidR="00204D73" w:rsidRPr="00494F4A">
        <w:rPr>
          <w:rFonts w:eastAsia="Times New Roman"/>
          <w:sz w:val="24"/>
          <w:szCs w:val="24"/>
          <w:lang w:eastAsia="en-AU"/>
        </w:rPr>
        <w:t>e</w:t>
      </w:r>
      <w:r w:rsidRPr="00494F4A">
        <w:rPr>
          <w:rFonts w:eastAsia="Times New Roman"/>
          <w:sz w:val="24"/>
          <w:szCs w:val="24"/>
          <w:lang w:eastAsia="en-AU"/>
        </w:rPr>
        <w:t xml:space="preserve">dgement </w:t>
      </w:r>
      <w:r w:rsidR="007021C6" w:rsidRPr="00494F4A">
        <w:rPr>
          <w:rFonts w:eastAsia="Times New Roman"/>
          <w:sz w:val="24"/>
          <w:szCs w:val="24"/>
          <w:lang w:eastAsia="en-AU"/>
        </w:rPr>
        <w:t xml:space="preserve">does not need to be obtained from members that </w:t>
      </w:r>
      <w:r w:rsidRPr="00494F4A">
        <w:rPr>
          <w:rFonts w:eastAsia="Times New Roman"/>
          <w:sz w:val="24"/>
          <w:szCs w:val="24"/>
          <w:lang w:eastAsia="en-AU"/>
        </w:rPr>
        <w:t xml:space="preserve">acquired the superannuation product immediately before 1 July 2007 </w:t>
      </w:r>
      <w:r w:rsidR="00B87945" w:rsidRPr="00494F4A">
        <w:rPr>
          <w:rFonts w:eastAsia="Times New Roman"/>
          <w:sz w:val="24"/>
          <w:szCs w:val="24"/>
          <w:lang w:eastAsia="en-AU"/>
        </w:rPr>
        <w:t xml:space="preserve">that have </w:t>
      </w:r>
      <w:proofErr w:type="gramStart"/>
      <w:r w:rsidRPr="00494F4A">
        <w:rPr>
          <w:rFonts w:eastAsia="Times New Roman"/>
          <w:sz w:val="24"/>
          <w:szCs w:val="24"/>
          <w:lang w:eastAsia="en-AU"/>
        </w:rPr>
        <w:t>held the product at all times</w:t>
      </w:r>
      <w:proofErr w:type="gramEnd"/>
      <w:r w:rsidRPr="00494F4A">
        <w:rPr>
          <w:rFonts w:eastAsia="Times New Roman"/>
          <w:sz w:val="24"/>
          <w:szCs w:val="24"/>
          <w:lang w:eastAsia="en-AU"/>
        </w:rPr>
        <w:t xml:space="preserve"> since that date. </w:t>
      </w:r>
    </w:p>
    <w:p w14:paraId="36E25B59" w14:textId="77777777" w:rsidR="003C6DD3" w:rsidRPr="00494F4A" w:rsidRDefault="003C6DD3" w:rsidP="003C6DD3">
      <w:pPr>
        <w:rPr>
          <w:rFonts w:eastAsia="Times New Roman"/>
          <w:sz w:val="24"/>
          <w:szCs w:val="24"/>
          <w:lang w:eastAsia="en-AU"/>
        </w:rPr>
      </w:pPr>
    </w:p>
    <w:p w14:paraId="24D73CA0" w14:textId="77777777" w:rsidR="00B87945" w:rsidRPr="00494F4A" w:rsidRDefault="00C130AA" w:rsidP="007175A0">
      <w:pPr>
        <w:numPr>
          <w:ilvl w:val="0"/>
          <w:numId w:val="15"/>
        </w:numPr>
        <w:rPr>
          <w:rFonts w:eastAsia="Times New Roman"/>
          <w:sz w:val="24"/>
          <w:szCs w:val="24"/>
          <w:lang w:eastAsia="en-AU"/>
        </w:rPr>
      </w:pPr>
      <w:r w:rsidRPr="00494F4A">
        <w:rPr>
          <w:rFonts w:eastAsia="Times New Roman"/>
          <w:sz w:val="24"/>
          <w:szCs w:val="24"/>
          <w:lang w:eastAsia="en-AU"/>
        </w:rPr>
        <w:t xml:space="preserve">If a trustee or other person with whom the trustee has an arrangement holds as </w:t>
      </w:r>
      <w:r w:rsidR="001A68BE" w:rsidRPr="00494F4A">
        <w:rPr>
          <w:rFonts w:eastAsia="Times New Roman"/>
          <w:sz w:val="24"/>
          <w:szCs w:val="24"/>
          <w:lang w:eastAsia="en-AU"/>
        </w:rPr>
        <w:t xml:space="preserve">accessible financial product </w:t>
      </w:r>
      <w:proofErr w:type="gramStart"/>
      <w:r w:rsidR="00B87945" w:rsidRPr="00494F4A">
        <w:rPr>
          <w:rFonts w:eastAsia="Times New Roman"/>
          <w:sz w:val="24"/>
          <w:szCs w:val="24"/>
          <w:lang w:eastAsia="en-AU"/>
        </w:rPr>
        <w:t xml:space="preserve">as </w:t>
      </w:r>
      <w:r w:rsidRPr="00494F4A">
        <w:rPr>
          <w:rFonts w:eastAsia="Times New Roman"/>
          <w:sz w:val="24"/>
          <w:szCs w:val="24"/>
          <w:lang w:eastAsia="en-AU"/>
        </w:rPr>
        <w:t>a result of</w:t>
      </w:r>
      <w:proofErr w:type="gramEnd"/>
      <w:r w:rsidRPr="00494F4A">
        <w:rPr>
          <w:rFonts w:eastAsia="Times New Roman"/>
          <w:sz w:val="24"/>
          <w:szCs w:val="24"/>
          <w:lang w:eastAsia="en-AU"/>
        </w:rPr>
        <w:t xml:space="preserve"> a member’s direction </w:t>
      </w:r>
      <w:r w:rsidR="001A68BE" w:rsidRPr="00494F4A">
        <w:rPr>
          <w:rFonts w:eastAsia="Times New Roman"/>
          <w:sz w:val="24"/>
          <w:szCs w:val="24"/>
          <w:lang w:eastAsia="en-AU"/>
        </w:rPr>
        <w:t xml:space="preserve">and it </w:t>
      </w:r>
      <w:r w:rsidRPr="00494F4A">
        <w:rPr>
          <w:rFonts w:eastAsia="Times New Roman"/>
          <w:sz w:val="24"/>
          <w:szCs w:val="24"/>
          <w:lang w:eastAsia="en-AU"/>
        </w:rPr>
        <w:t>is affected by a material adverse change or a significant event that adversely affects a matter required to be in a PDS for the accessible financial product</w:t>
      </w:r>
      <w:r w:rsidR="001A68BE" w:rsidRPr="00494F4A">
        <w:rPr>
          <w:rFonts w:eastAsia="Times New Roman"/>
          <w:sz w:val="24"/>
          <w:szCs w:val="24"/>
          <w:lang w:eastAsia="en-AU"/>
        </w:rPr>
        <w:t xml:space="preserve">, the trustee must take action. </w:t>
      </w:r>
    </w:p>
    <w:p w14:paraId="703D910D" w14:textId="77777777" w:rsidR="00B87945" w:rsidRPr="00494F4A" w:rsidRDefault="00B87945" w:rsidP="00C25013">
      <w:pPr>
        <w:ind w:left="570"/>
        <w:rPr>
          <w:rFonts w:eastAsia="Times New Roman"/>
          <w:sz w:val="24"/>
          <w:szCs w:val="24"/>
          <w:lang w:eastAsia="en-AU"/>
        </w:rPr>
      </w:pPr>
    </w:p>
    <w:p w14:paraId="04F29224" w14:textId="77777777" w:rsidR="00204D73" w:rsidRPr="00494F4A" w:rsidRDefault="001A68BE" w:rsidP="007175A0">
      <w:pPr>
        <w:numPr>
          <w:ilvl w:val="0"/>
          <w:numId w:val="15"/>
        </w:numPr>
        <w:rPr>
          <w:rFonts w:eastAsia="Times New Roman"/>
          <w:sz w:val="24"/>
          <w:szCs w:val="24"/>
          <w:lang w:eastAsia="en-AU"/>
        </w:rPr>
      </w:pPr>
      <w:r w:rsidRPr="00494F4A">
        <w:rPr>
          <w:rFonts w:eastAsia="Times New Roman"/>
          <w:sz w:val="24"/>
          <w:szCs w:val="24"/>
          <w:lang w:eastAsia="en-AU"/>
        </w:rPr>
        <w:t>Notional subsection 1017CA(2), which paragraph 1013FB</w:t>
      </w:r>
      <w:r w:rsidR="00B87945" w:rsidRPr="00494F4A">
        <w:rPr>
          <w:rFonts w:eastAsia="Times New Roman"/>
          <w:sz w:val="24"/>
          <w:szCs w:val="24"/>
          <w:lang w:eastAsia="en-AU"/>
        </w:rPr>
        <w:t>(6)</w:t>
      </w:r>
      <w:r w:rsidRPr="00494F4A">
        <w:rPr>
          <w:rFonts w:eastAsia="Times New Roman"/>
          <w:sz w:val="24"/>
          <w:szCs w:val="24"/>
          <w:lang w:eastAsia="en-AU"/>
        </w:rPr>
        <w:t xml:space="preserve">(f) </w:t>
      </w:r>
      <w:r w:rsidR="00B87945" w:rsidRPr="00494F4A">
        <w:rPr>
          <w:rFonts w:eastAsia="Times New Roman"/>
          <w:sz w:val="24"/>
          <w:szCs w:val="24"/>
          <w:lang w:eastAsia="en-AU"/>
        </w:rPr>
        <w:t xml:space="preserve">of the Instrument </w:t>
      </w:r>
      <w:r w:rsidRPr="00494F4A">
        <w:rPr>
          <w:rFonts w:eastAsia="Times New Roman"/>
          <w:sz w:val="24"/>
          <w:szCs w:val="24"/>
          <w:lang w:eastAsia="en-AU"/>
        </w:rPr>
        <w:t>inserts, requires the trustee, as soon as practicable after the change or event occurs, to notify the member of the change or event.</w:t>
      </w:r>
      <w:r w:rsidR="00204D73" w:rsidRPr="00494F4A">
        <w:rPr>
          <w:rFonts w:eastAsia="Times New Roman"/>
          <w:sz w:val="24"/>
          <w:szCs w:val="24"/>
          <w:lang w:eastAsia="en-AU"/>
        </w:rPr>
        <w:t xml:space="preserve"> The format for notification</w:t>
      </w:r>
      <w:r w:rsidR="00E500EE" w:rsidRPr="00494F4A">
        <w:rPr>
          <w:rFonts w:eastAsia="Times New Roman"/>
          <w:sz w:val="24"/>
          <w:szCs w:val="24"/>
          <w:lang w:eastAsia="en-AU"/>
        </w:rPr>
        <w:t xml:space="preserve"> </w:t>
      </w:r>
      <w:r w:rsidR="00204D73" w:rsidRPr="00494F4A">
        <w:rPr>
          <w:rFonts w:eastAsia="Times New Roman"/>
          <w:sz w:val="24"/>
          <w:szCs w:val="24"/>
          <w:lang w:eastAsia="en-AU"/>
        </w:rPr>
        <w:t>accord</w:t>
      </w:r>
      <w:r w:rsidR="00E500EE" w:rsidRPr="00494F4A">
        <w:rPr>
          <w:rFonts w:eastAsia="Times New Roman"/>
          <w:sz w:val="24"/>
          <w:szCs w:val="24"/>
          <w:lang w:eastAsia="en-AU"/>
        </w:rPr>
        <w:t>s</w:t>
      </w:r>
      <w:r w:rsidR="00204D73" w:rsidRPr="00494F4A">
        <w:rPr>
          <w:rFonts w:eastAsia="Times New Roman"/>
          <w:sz w:val="24"/>
          <w:szCs w:val="24"/>
          <w:lang w:eastAsia="en-AU"/>
        </w:rPr>
        <w:t xml:space="preserve"> with that for significant event notices under section 1017B of the Act. This includes in writing, electronically or in a way specified in the Regulations.</w:t>
      </w:r>
      <w:r w:rsidRPr="00494F4A">
        <w:rPr>
          <w:rFonts w:eastAsia="Times New Roman"/>
          <w:sz w:val="24"/>
          <w:szCs w:val="24"/>
          <w:lang w:eastAsia="en-AU"/>
        </w:rPr>
        <w:t xml:space="preserve"> </w:t>
      </w:r>
    </w:p>
    <w:p w14:paraId="68DD30A3" w14:textId="77777777" w:rsidR="00204D73" w:rsidRPr="00494F4A" w:rsidRDefault="00204D73" w:rsidP="00C25013">
      <w:pPr>
        <w:pStyle w:val="ListParagraph"/>
        <w:rPr>
          <w:rFonts w:eastAsia="Times New Roman"/>
          <w:sz w:val="24"/>
          <w:szCs w:val="24"/>
          <w:lang w:eastAsia="en-AU"/>
        </w:rPr>
      </w:pPr>
    </w:p>
    <w:p w14:paraId="089FDAF3" w14:textId="77777777" w:rsidR="001A68BE" w:rsidRPr="00494F4A" w:rsidRDefault="00421539" w:rsidP="00421539">
      <w:pPr>
        <w:numPr>
          <w:ilvl w:val="0"/>
          <w:numId w:val="15"/>
        </w:numPr>
        <w:rPr>
          <w:rFonts w:eastAsia="Times New Roman"/>
          <w:sz w:val="24"/>
          <w:szCs w:val="24"/>
          <w:lang w:eastAsia="en-AU"/>
        </w:rPr>
      </w:pPr>
      <w:r w:rsidRPr="00494F4A">
        <w:rPr>
          <w:rFonts w:eastAsia="Times New Roman"/>
          <w:sz w:val="24"/>
          <w:szCs w:val="24"/>
          <w:lang w:eastAsia="en-AU"/>
        </w:rPr>
        <w:t>Pursuant</w:t>
      </w:r>
      <w:r w:rsidR="00B87945" w:rsidRPr="00494F4A">
        <w:rPr>
          <w:rFonts w:eastAsia="Times New Roman"/>
          <w:sz w:val="24"/>
          <w:szCs w:val="24"/>
          <w:lang w:eastAsia="en-AU"/>
        </w:rPr>
        <w:t xml:space="preserve"> to notional subsection 1017CA(4), the notice must give the member the information reasonably necessary for them to understand the nature and effect of the change or event. Notional paragraph 1017CA(2)(b) provides t</w:t>
      </w:r>
      <w:r w:rsidR="001A68BE" w:rsidRPr="00494F4A">
        <w:rPr>
          <w:rFonts w:eastAsia="Times New Roman"/>
          <w:sz w:val="24"/>
          <w:szCs w:val="24"/>
          <w:lang w:eastAsia="en-AU"/>
        </w:rPr>
        <w:t xml:space="preserve">he notice must also </w:t>
      </w:r>
      <w:r w:rsidR="00B87945" w:rsidRPr="00494F4A">
        <w:rPr>
          <w:rFonts w:eastAsia="Times New Roman"/>
          <w:sz w:val="24"/>
          <w:szCs w:val="24"/>
          <w:lang w:eastAsia="en-AU"/>
        </w:rPr>
        <w:t>state</w:t>
      </w:r>
      <w:r w:rsidR="001A68BE" w:rsidRPr="00494F4A">
        <w:rPr>
          <w:rFonts w:eastAsia="Times New Roman"/>
          <w:sz w:val="24"/>
          <w:szCs w:val="24"/>
          <w:lang w:eastAsia="en-AU"/>
        </w:rPr>
        <w:t xml:space="preserve"> that:</w:t>
      </w:r>
    </w:p>
    <w:p w14:paraId="779F47CF" w14:textId="77777777" w:rsidR="001A68BE" w:rsidRPr="00494F4A" w:rsidRDefault="001A68BE" w:rsidP="00C25013">
      <w:pPr>
        <w:pStyle w:val="ListParagraph"/>
        <w:rPr>
          <w:rFonts w:eastAsia="Times New Roman"/>
          <w:sz w:val="24"/>
          <w:szCs w:val="24"/>
          <w:lang w:eastAsia="en-AU"/>
        </w:rPr>
      </w:pPr>
    </w:p>
    <w:p w14:paraId="3492BE7F" w14:textId="77777777" w:rsidR="001A68BE" w:rsidRPr="00494F4A" w:rsidRDefault="001A68BE" w:rsidP="001A68BE">
      <w:pPr>
        <w:numPr>
          <w:ilvl w:val="1"/>
          <w:numId w:val="15"/>
        </w:numPr>
        <w:rPr>
          <w:rFonts w:eastAsia="Times New Roman"/>
          <w:sz w:val="24"/>
          <w:szCs w:val="24"/>
          <w:lang w:eastAsia="en-AU"/>
        </w:rPr>
      </w:pPr>
      <w:r w:rsidRPr="00494F4A">
        <w:rPr>
          <w:rFonts w:eastAsia="Times New Roman"/>
          <w:sz w:val="24"/>
          <w:szCs w:val="24"/>
          <w:lang w:eastAsia="en-AU"/>
        </w:rPr>
        <w:t>the member may direct the trustee to follow an investment strategy that does not involve regulated acquisitions of the accessible financial product, in relation to either or both of the following:</w:t>
      </w:r>
    </w:p>
    <w:p w14:paraId="7CA2CFFF" w14:textId="77777777" w:rsidR="001A68BE" w:rsidRPr="00494F4A" w:rsidRDefault="001A68BE" w:rsidP="001A68BE">
      <w:pPr>
        <w:numPr>
          <w:ilvl w:val="2"/>
          <w:numId w:val="15"/>
        </w:numPr>
        <w:rPr>
          <w:rFonts w:eastAsia="Times New Roman"/>
          <w:sz w:val="24"/>
          <w:szCs w:val="24"/>
          <w:lang w:eastAsia="en-AU"/>
        </w:rPr>
      </w:pPr>
      <w:r w:rsidRPr="00494F4A">
        <w:rPr>
          <w:rFonts w:eastAsia="Times New Roman"/>
          <w:sz w:val="24"/>
          <w:szCs w:val="24"/>
          <w:lang w:eastAsia="en-AU"/>
        </w:rPr>
        <w:t xml:space="preserve">the holding in the product that the trustee </w:t>
      </w:r>
      <w:r w:rsidR="00B87945" w:rsidRPr="00494F4A">
        <w:rPr>
          <w:rFonts w:eastAsia="Times New Roman"/>
          <w:sz w:val="24"/>
          <w:szCs w:val="24"/>
          <w:lang w:eastAsia="en-AU"/>
        </w:rPr>
        <w:t xml:space="preserve">or other person with whom the trustee has an arrangement </w:t>
      </w:r>
      <w:r w:rsidRPr="00494F4A">
        <w:rPr>
          <w:rFonts w:eastAsia="Times New Roman"/>
          <w:sz w:val="24"/>
          <w:szCs w:val="24"/>
          <w:lang w:eastAsia="en-AU"/>
        </w:rPr>
        <w:t xml:space="preserve">has acquired </w:t>
      </w:r>
      <w:proofErr w:type="gramStart"/>
      <w:r w:rsidRPr="00494F4A">
        <w:rPr>
          <w:rFonts w:eastAsia="Times New Roman"/>
          <w:sz w:val="24"/>
          <w:szCs w:val="24"/>
          <w:lang w:eastAsia="en-AU"/>
        </w:rPr>
        <w:t>as a result of</w:t>
      </w:r>
      <w:proofErr w:type="gramEnd"/>
      <w:r w:rsidRPr="00494F4A">
        <w:rPr>
          <w:rFonts w:eastAsia="Times New Roman"/>
          <w:sz w:val="24"/>
          <w:szCs w:val="24"/>
          <w:lang w:eastAsia="en-AU"/>
        </w:rPr>
        <w:t xml:space="preserve"> following the affected investment strategy; and</w:t>
      </w:r>
    </w:p>
    <w:p w14:paraId="0D125CE1" w14:textId="77777777" w:rsidR="001A68BE" w:rsidRPr="00494F4A" w:rsidRDefault="001A68BE" w:rsidP="00C25013">
      <w:pPr>
        <w:numPr>
          <w:ilvl w:val="2"/>
          <w:numId w:val="15"/>
        </w:numPr>
        <w:rPr>
          <w:rFonts w:eastAsia="Times New Roman"/>
          <w:sz w:val="24"/>
          <w:szCs w:val="24"/>
          <w:lang w:eastAsia="en-AU"/>
        </w:rPr>
      </w:pPr>
      <w:r w:rsidRPr="00494F4A">
        <w:rPr>
          <w:rFonts w:eastAsia="Times New Roman"/>
          <w:sz w:val="24"/>
          <w:szCs w:val="24"/>
          <w:lang w:eastAsia="en-AU"/>
        </w:rPr>
        <w:t xml:space="preserve">any future contribution by or on behalf of the client to the superannuation entity to the extent to which it would otherwise have been subject to the affected investment </w:t>
      </w:r>
      <w:proofErr w:type="gramStart"/>
      <w:r w:rsidRPr="00494F4A">
        <w:rPr>
          <w:rFonts w:eastAsia="Times New Roman"/>
          <w:sz w:val="24"/>
          <w:szCs w:val="24"/>
          <w:lang w:eastAsia="en-AU"/>
        </w:rPr>
        <w:t>strategy;</w:t>
      </w:r>
      <w:proofErr w:type="gramEnd"/>
    </w:p>
    <w:p w14:paraId="1481E54E" w14:textId="77777777" w:rsidR="001A68BE" w:rsidRPr="00494F4A" w:rsidRDefault="001A68BE" w:rsidP="00306AD9">
      <w:pPr>
        <w:numPr>
          <w:ilvl w:val="1"/>
          <w:numId w:val="15"/>
        </w:numPr>
        <w:spacing w:before="240"/>
        <w:ind w:left="1077" w:hanging="357"/>
        <w:rPr>
          <w:rFonts w:eastAsia="Times New Roman"/>
          <w:sz w:val="24"/>
          <w:szCs w:val="24"/>
          <w:lang w:eastAsia="en-AU"/>
        </w:rPr>
      </w:pPr>
      <w:r w:rsidRPr="00494F4A">
        <w:rPr>
          <w:rFonts w:eastAsia="Times New Roman"/>
          <w:sz w:val="24"/>
          <w:szCs w:val="24"/>
          <w:lang w:eastAsia="en-AU"/>
        </w:rPr>
        <w:t>if the member does not give the trustee directions – the trustee will continue to follow the affected investment strategy.</w:t>
      </w:r>
    </w:p>
    <w:p w14:paraId="56469257" w14:textId="77777777" w:rsidR="00A54B0C" w:rsidRPr="00494F4A" w:rsidRDefault="00A54B0C" w:rsidP="00C25013">
      <w:pPr>
        <w:rPr>
          <w:rFonts w:eastAsia="Times New Roman"/>
          <w:sz w:val="24"/>
          <w:szCs w:val="24"/>
          <w:lang w:eastAsia="en-AU"/>
        </w:rPr>
      </w:pPr>
    </w:p>
    <w:p w14:paraId="6C68E580" w14:textId="77777777" w:rsidR="00F23D5C" w:rsidRPr="00494F4A" w:rsidRDefault="00F23D5C" w:rsidP="00B87945">
      <w:pPr>
        <w:numPr>
          <w:ilvl w:val="0"/>
          <w:numId w:val="15"/>
        </w:numPr>
        <w:rPr>
          <w:rFonts w:eastAsia="Times New Roman"/>
          <w:sz w:val="24"/>
          <w:szCs w:val="24"/>
          <w:lang w:eastAsia="en-AU"/>
        </w:rPr>
      </w:pPr>
      <w:r w:rsidRPr="00494F4A">
        <w:rPr>
          <w:rFonts w:eastAsia="Times New Roman"/>
          <w:sz w:val="24"/>
          <w:szCs w:val="24"/>
          <w:lang w:eastAsia="en-AU"/>
        </w:rPr>
        <w:t xml:space="preserve">Pursuant to notional subsection 1017CA(5), trustees must also provide members with a PDS for the accessible financial product at the same time as notifying them of a change of event. </w:t>
      </w:r>
    </w:p>
    <w:p w14:paraId="0F394DCC" w14:textId="77777777" w:rsidR="00F23D5C" w:rsidRPr="00494F4A" w:rsidRDefault="00F23D5C" w:rsidP="00C25013">
      <w:pPr>
        <w:ind w:left="570"/>
        <w:rPr>
          <w:rFonts w:eastAsia="Times New Roman"/>
          <w:sz w:val="24"/>
          <w:szCs w:val="24"/>
          <w:lang w:eastAsia="en-AU"/>
        </w:rPr>
      </w:pPr>
    </w:p>
    <w:p w14:paraId="246A4CF9" w14:textId="77777777" w:rsidR="002A693B" w:rsidRPr="00494F4A" w:rsidRDefault="007A1F9A" w:rsidP="00C25013">
      <w:pPr>
        <w:numPr>
          <w:ilvl w:val="0"/>
          <w:numId w:val="15"/>
        </w:numPr>
        <w:rPr>
          <w:rFonts w:eastAsia="Times New Roman"/>
          <w:sz w:val="24"/>
          <w:szCs w:val="24"/>
          <w:lang w:eastAsia="en-AU"/>
        </w:rPr>
      </w:pPr>
      <w:r w:rsidRPr="00494F4A">
        <w:rPr>
          <w:rFonts w:eastAsia="Times New Roman"/>
          <w:sz w:val="24"/>
          <w:szCs w:val="24"/>
          <w:lang w:eastAsia="en-AU"/>
        </w:rPr>
        <w:lastRenderedPageBreak/>
        <w:t>Notional p</w:t>
      </w:r>
      <w:r w:rsidR="00F23D5C" w:rsidRPr="00494F4A">
        <w:rPr>
          <w:rFonts w:eastAsia="Times New Roman"/>
          <w:sz w:val="24"/>
          <w:szCs w:val="24"/>
          <w:lang w:eastAsia="en-AU"/>
        </w:rPr>
        <w:t xml:space="preserve">aragraph 1017CA(5)(a) permits a trustee to </w:t>
      </w:r>
      <w:r w:rsidR="00E500EE" w:rsidRPr="00494F4A">
        <w:rPr>
          <w:rFonts w:eastAsia="Times New Roman"/>
          <w:sz w:val="24"/>
          <w:szCs w:val="24"/>
          <w:lang w:eastAsia="en-AU"/>
        </w:rPr>
        <w:t>give the member information that the</w:t>
      </w:r>
      <w:r w:rsidR="00F23D5C" w:rsidRPr="00494F4A">
        <w:rPr>
          <w:rFonts w:eastAsia="Times New Roman"/>
          <w:sz w:val="24"/>
          <w:szCs w:val="24"/>
          <w:lang w:eastAsia="en-AU"/>
        </w:rPr>
        <w:t>y consider the member</w:t>
      </w:r>
      <w:r w:rsidR="00E500EE" w:rsidRPr="00494F4A">
        <w:rPr>
          <w:rFonts w:eastAsia="Times New Roman"/>
          <w:sz w:val="24"/>
          <w:szCs w:val="24"/>
          <w:lang w:eastAsia="en-AU"/>
        </w:rPr>
        <w:t xml:space="preserve"> reasonably require</w:t>
      </w:r>
      <w:r w:rsidR="00F23D5C" w:rsidRPr="00494F4A">
        <w:rPr>
          <w:rFonts w:eastAsia="Times New Roman"/>
          <w:sz w:val="24"/>
          <w:szCs w:val="24"/>
          <w:lang w:eastAsia="en-AU"/>
        </w:rPr>
        <w:t>s</w:t>
      </w:r>
      <w:r w:rsidR="00E500EE" w:rsidRPr="00494F4A">
        <w:rPr>
          <w:rFonts w:eastAsia="Times New Roman"/>
          <w:sz w:val="24"/>
          <w:szCs w:val="24"/>
          <w:lang w:eastAsia="en-AU"/>
        </w:rPr>
        <w:t xml:space="preserve"> for the purpose of </w:t>
      </w:r>
      <w:proofErr w:type="gramStart"/>
      <w:r w:rsidR="00E500EE" w:rsidRPr="00494F4A">
        <w:rPr>
          <w:rFonts w:eastAsia="Times New Roman"/>
          <w:sz w:val="24"/>
          <w:szCs w:val="24"/>
          <w:lang w:eastAsia="en-AU"/>
        </w:rPr>
        <w:t>making a decision</w:t>
      </w:r>
      <w:proofErr w:type="gramEnd"/>
      <w:r w:rsidR="00E500EE" w:rsidRPr="00494F4A">
        <w:rPr>
          <w:rFonts w:eastAsia="Times New Roman"/>
          <w:sz w:val="24"/>
          <w:szCs w:val="24"/>
          <w:lang w:eastAsia="en-AU"/>
        </w:rPr>
        <w:t xml:space="preserve"> whether to select a different investment strategy</w:t>
      </w:r>
      <w:r w:rsidR="00F23D5C" w:rsidRPr="00494F4A">
        <w:rPr>
          <w:rFonts w:eastAsia="Times New Roman"/>
          <w:sz w:val="24"/>
          <w:szCs w:val="24"/>
          <w:lang w:eastAsia="en-AU"/>
        </w:rPr>
        <w:t xml:space="preserve"> in place of the accessible product PDS. This is permitted if the only regulated acquisitions of the accessible </w:t>
      </w:r>
      <w:r w:rsidR="00A16D4D" w:rsidRPr="00494F4A">
        <w:rPr>
          <w:rFonts w:eastAsia="Times New Roman"/>
          <w:sz w:val="24"/>
          <w:szCs w:val="24"/>
          <w:lang w:eastAsia="en-AU"/>
        </w:rPr>
        <w:t>financial</w:t>
      </w:r>
      <w:r w:rsidR="00F23D5C" w:rsidRPr="00494F4A">
        <w:rPr>
          <w:rFonts w:eastAsia="Times New Roman"/>
          <w:sz w:val="24"/>
          <w:szCs w:val="24"/>
          <w:lang w:eastAsia="en-AU"/>
        </w:rPr>
        <w:t xml:space="preserve"> product that the trustee is making or proposes to make are additional acquisitions (within the meaning of notional subsection 1012IA(1)). </w:t>
      </w:r>
    </w:p>
    <w:p w14:paraId="1D17B956" w14:textId="77777777" w:rsidR="002A693B" w:rsidRPr="00494F4A" w:rsidRDefault="002A693B" w:rsidP="007C5BE9">
      <w:pPr>
        <w:rPr>
          <w:rFonts w:eastAsia="Times New Roman"/>
          <w:sz w:val="24"/>
          <w:szCs w:val="24"/>
          <w:lang w:eastAsia="en-AU"/>
        </w:rPr>
      </w:pPr>
    </w:p>
    <w:p w14:paraId="322DD9A8" w14:textId="77777777" w:rsidR="007A1F9A" w:rsidRPr="00494F4A" w:rsidRDefault="00F23D5C" w:rsidP="00C25013">
      <w:pPr>
        <w:numPr>
          <w:ilvl w:val="0"/>
          <w:numId w:val="15"/>
        </w:numPr>
        <w:rPr>
          <w:rFonts w:eastAsia="Times New Roman"/>
          <w:sz w:val="24"/>
          <w:szCs w:val="24"/>
          <w:lang w:eastAsia="en-AU"/>
        </w:rPr>
      </w:pPr>
      <w:r w:rsidRPr="00494F4A">
        <w:rPr>
          <w:rFonts w:eastAsia="Times New Roman"/>
          <w:sz w:val="24"/>
          <w:szCs w:val="24"/>
          <w:lang w:eastAsia="en-AU"/>
        </w:rPr>
        <w:t xml:space="preserve">A trustee does not have to provide information or a PDS </w:t>
      </w:r>
      <w:r w:rsidR="007A1F9A" w:rsidRPr="00494F4A">
        <w:rPr>
          <w:rFonts w:eastAsia="Times New Roman"/>
          <w:sz w:val="24"/>
          <w:szCs w:val="24"/>
          <w:lang w:eastAsia="en-AU"/>
        </w:rPr>
        <w:t xml:space="preserve">in accordance with notional subsection 1017CA(5) if they believe on reasonable grounds that the member has already received or has access to the necessary information in a PDS, information provided to the member under section 1017B of the Act or through continuous disclosure under Chapter 6CA of the Act: see notional subsection 1017CA(6)-(7).   </w:t>
      </w:r>
    </w:p>
    <w:p w14:paraId="2403CB77" w14:textId="77777777" w:rsidR="007A1F9A" w:rsidRPr="00494F4A" w:rsidRDefault="007A1F9A" w:rsidP="007C5BE9">
      <w:pPr>
        <w:rPr>
          <w:rFonts w:eastAsia="Times New Roman"/>
          <w:sz w:val="24"/>
          <w:szCs w:val="24"/>
          <w:lang w:eastAsia="en-AU"/>
        </w:rPr>
      </w:pPr>
    </w:p>
    <w:p w14:paraId="40A14802" w14:textId="77777777" w:rsidR="004855E3" w:rsidRPr="00494F4A" w:rsidRDefault="005D7544" w:rsidP="004855E3">
      <w:pPr>
        <w:numPr>
          <w:ilvl w:val="0"/>
          <w:numId w:val="15"/>
        </w:numPr>
        <w:rPr>
          <w:rFonts w:eastAsia="Times New Roman"/>
          <w:sz w:val="24"/>
          <w:szCs w:val="24"/>
          <w:lang w:eastAsia="en-AU"/>
        </w:rPr>
      </w:pPr>
      <w:r w:rsidRPr="00494F4A">
        <w:rPr>
          <w:rFonts w:eastAsia="Times New Roman"/>
          <w:sz w:val="24"/>
          <w:szCs w:val="24"/>
          <w:lang w:eastAsia="en-AU"/>
        </w:rPr>
        <w:t xml:space="preserve">Paragraph 6(a) of the Instrument inserts a notional section 1011BA into the Act. This </w:t>
      </w:r>
      <w:r w:rsidR="00682B5A" w:rsidRPr="00494F4A">
        <w:rPr>
          <w:rFonts w:eastAsia="Times New Roman"/>
          <w:sz w:val="24"/>
          <w:szCs w:val="24"/>
          <w:lang w:eastAsia="en-AU"/>
        </w:rPr>
        <w:t xml:space="preserve">section </w:t>
      </w:r>
      <w:r w:rsidR="004855E3" w:rsidRPr="00494F4A">
        <w:rPr>
          <w:rFonts w:eastAsia="Times New Roman"/>
          <w:sz w:val="24"/>
          <w:szCs w:val="24"/>
          <w:lang w:eastAsia="en-AU"/>
        </w:rPr>
        <w:t>defines</w:t>
      </w:r>
      <w:r w:rsidR="007A1F9A" w:rsidRPr="00494F4A">
        <w:rPr>
          <w:rFonts w:eastAsia="Times New Roman"/>
          <w:sz w:val="24"/>
          <w:szCs w:val="24"/>
          <w:lang w:eastAsia="en-AU"/>
        </w:rPr>
        <w:t xml:space="preserve"> ‘acc</w:t>
      </w:r>
      <w:r w:rsidRPr="00494F4A">
        <w:rPr>
          <w:rFonts w:eastAsia="Times New Roman"/>
          <w:sz w:val="24"/>
          <w:szCs w:val="24"/>
          <w:lang w:eastAsia="en-AU"/>
        </w:rPr>
        <w:t xml:space="preserve">essible financial product’, ‘additional acquisition’, ‘equivalent direct acquisition’ and ‘regulated acquisition’ for </w:t>
      </w:r>
      <w:r w:rsidR="00C36FD5" w:rsidRPr="00494F4A">
        <w:rPr>
          <w:rFonts w:eastAsia="Times New Roman"/>
          <w:sz w:val="24"/>
          <w:szCs w:val="24"/>
          <w:lang w:eastAsia="en-AU"/>
        </w:rPr>
        <w:t xml:space="preserve">the purposes of </w:t>
      </w:r>
      <w:r w:rsidRPr="00494F4A">
        <w:rPr>
          <w:rFonts w:eastAsia="Times New Roman"/>
          <w:sz w:val="24"/>
          <w:szCs w:val="24"/>
          <w:lang w:eastAsia="en-AU"/>
        </w:rPr>
        <w:t xml:space="preserve">Division 1 of Part 7.9 and notional section 1017CA. </w:t>
      </w:r>
      <w:r w:rsidR="004855E3" w:rsidRPr="00494F4A">
        <w:rPr>
          <w:rFonts w:eastAsia="Times New Roman"/>
          <w:sz w:val="24"/>
          <w:szCs w:val="24"/>
          <w:lang w:eastAsia="en-AU"/>
        </w:rPr>
        <w:t xml:space="preserve">Paragraphs </w:t>
      </w:r>
      <w:r w:rsidR="00C36FD5" w:rsidRPr="00494F4A">
        <w:rPr>
          <w:rFonts w:eastAsia="Times New Roman"/>
          <w:sz w:val="24"/>
          <w:szCs w:val="24"/>
          <w:lang w:eastAsia="en-AU"/>
        </w:rPr>
        <w:t xml:space="preserve">6(b)(iii) - (iv), (c), (d) and (g) </w:t>
      </w:r>
      <w:r w:rsidR="004855E3" w:rsidRPr="00494F4A">
        <w:rPr>
          <w:rFonts w:eastAsia="Times New Roman"/>
          <w:sz w:val="24"/>
          <w:szCs w:val="24"/>
          <w:lang w:eastAsia="en-AU"/>
        </w:rPr>
        <w:t xml:space="preserve">also </w:t>
      </w:r>
      <w:r w:rsidR="00C36FD5" w:rsidRPr="00494F4A">
        <w:rPr>
          <w:rFonts w:eastAsia="Times New Roman"/>
          <w:sz w:val="24"/>
          <w:szCs w:val="24"/>
          <w:lang w:eastAsia="en-AU"/>
        </w:rPr>
        <w:t xml:space="preserve">make consequential amendments to the Act in recognition of the insertion of notional sections 1013FB and 1017CA. </w:t>
      </w:r>
    </w:p>
    <w:p w14:paraId="06543BEA" w14:textId="77777777" w:rsidR="004855E3" w:rsidRPr="00494F4A" w:rsidRDefault="004855E3" w:rsidP="00C25013">
      <w:pPr>
        <w:ind w:left="570"/>
        <w:rPr>
          <w:rFonts w:eastAsia="Times New Roman"/>
          <w:sz w:val="24"/>
          <w:szCs w:val="24"/>
          <w:lang w:eastAsia="en-AU"/>
        </w:rPr>
      </w:pPr>
    </w:p>
    <w:p w14:paraId="688B228C" w14:textId="77777777" w:rsidR="00C36FD5" w:rsidRPr="00494F4A" w:rsidRDefault="004855E3" w:rsidP="004855E3">
      <w:pPr>
        <w:numPr>
          <w:ilvl w:val="0"/>
          <w:numId w:val="15"/>
        </w:numPr>
        <w:rPr>
          <w:rFonts w:eastAsia="Times New Roman"/>
          <w:sz w:val="24"/>
          <w:szCs w:val="24"/>
          <w:lang w:eastAsia="en-AU"/>
        </w:rPr>
      </w:pPr>
      <w:r w:rsidRPr="00494F4A">
        <w:rPr>
          <w:rFonts w:eastAsia="Times New Roman"/>
          <w:sz w:val="24"/>
          <w:szCs w:val="24"/>
          <w:lang w:eastAsia="en-AU"/>
        </w:rPr>
        <w:t xml:space="preserve">Notional subsection 1017CA(8) also defines ‘investment strategy’ for the purposes of that notional section.  </w:t>
      </w:r>
    </w:p>
    <w:p w14:paraId="3CB94AF2" w14:textId="77777777" w:rsidR="00F23D5C" w:rsidRPr="00494F4A" w:rsidRDefault="00F23D5C" w:rsidP="007C5BE9">
      <w:pPr>
        <w:rPr>
          <w:rFonts w:eastAsia="Times New Roman"/>
          <w:sz w:val="24"/>
          <w:szCs w:val="24"/>
          <w:lang w:eastAsia="en-AU"/>
        </w:rPr>
      </w:pPr>
    </w:p>
    <w:p w14:paraId="2B7D09F2" w14:textId="77777777" w:rsidR="007C5BE9" w:rsidRPr="00494F4A" w:rsidRDefault="007C5BE9" w:rsidP="007C5BE9">
      <w:pPr>
        <w:rPr>
          <w:rFonts w:eastAsia="Times New Roman"/>
          <w:sz w:val="24"/>
          <w:szCs w:val="24"/>
          <w:lang w:eastAsia="en-AU"/>
        </w:rPr>
      </w:pPr>
      <w:r w:rsidRPr="00494F4A">
        <w:rPr>
          <w:rFonts w:eastAsia="Times New Roman"/>
          <w:i/>
          <w:iCs/>
          <w:sz w:val="24"/>
          <w:szCs w:val="24"/>
          <w:lang w:eastAsia="en-AU"/>
        </w:rPr>
        <w:t>Platform operators and trustees of superannuation entities using an agent to deliver a PDS</w:t>
      </w:r>
    </w:p>
    <w:p w14:paraId="76F34F32" w14:textId="77777777" w:rsidR="007C5BE9" w:rsidRPr="00494F4A" w:rsidRDefault="007C5BE9" w:rsidP="007C5BE9">
      <w:pPr>
        <w:ind w:left="570"/>
        <w:rPr>
          <w:rFonts w:eastAsia="Times New Roman"/>
          <w:sz w:val="24"/>
          <w:szCs w:val="24"/>
          <w:lang w:eastAsia="en-AU"/>
        </w:rPr>
      </w:pPr>
    </w:p>
    <w:p w14:paraId="6F321989" w14:textId="77777777" w:rsidR="00824E16" w:rsidRPr="00494F4A" w:rsidRDefault="00593F23" w:rsidP="00395DD1">
      <w:pPr>
        <w:numPr>
          <w:ilvl w:val="0"/>
          <w:numId w:val="15"/>
        </w:numPr>
        <w:rPr>
          <w:rFonts w:eastAsia="Times New Roman"/>
          <w:sz w:val="24"/>
          <w:szCs w:val="24"/>
          <w:lang w:eastAsia="en-AU"/>
        </w:rPr>
      </w:pPr>
      <w:r w:rsidRPr="00494F4A">
        <w:rPr>
          <w:rFonts w:eastAsia="Times New Roman"/>
          <w:sz w:val="24"/>
          <w:szCs w:val="24"/>
          <w:lang w:val="en-US" w:eastAsia="en-AU"/>
        </w:rPr>
        <w:t xml:space="preserve">Section 7 of the Instrument modifies Part 7.9 of the Act as it applies to superannuation trustees, </w:t>
      </w:r>
      <w:r w:rsidR="00824E16" w:rsidRPr="00494F4A">
        <w:rPr>
          <w:rFonts w:eastAsia="Times New Roman"/>
          <w:sz w:val="24"/>
          <w:szCs w:val="24"/>
          <w:lang w:val="en-US" w:eastAsia="en-AU"/>
        </w:rPr>
        <w:t xml:space="preserve">operators of </w:t>
      </w:r>
      <w:r w:rsidR="00274604" w:rsidRPr="00494F4A">
        <w:rPr>
          <w:rFonts w:eastAsia="Times New Roman"/>
          <w:sz w:val="24"/>
          <w:szCs w:val="24"/>
          <w:lang w:val="en-US" w:eastAsia="en-AU"/>
        </w:rPr>
        <w:t xml:space="preserve">an </w:t>
      </w:r>
      <w:r w:rsidRPr="00494F4A">
        <w:rPr>
          <w:rFonts w:eastAsia="Times New Roman"/>
          <w:sz w:val="24"/>
          <w:szCs w:val="24"/>
          <w:lang w:val="en-US" w:eastAsia="en-AU"/>
        </w:rPr>
        <w:t>investor directed portfolio service (</w:t>
      </w:r>
      <w:r w:rsidR="00274604" w:rsidRPr="00494F4A">
        <w:rPr>
          <w:rFonts w:eastAsia="Times New Roman"/>
          <w:b/>
          <w:bCs/>
          <w:sz w:val="24"/>
          <w:szCs w:val="24"/>
          <w:lang w:val="en-US" w:eastAsia="en-AU"/>
        </w:rPr>
        <w:t>IDPS</w:t>
      </w:r>
      <w:r w:rsidRPr="00494F4A">
        <w:rPr>
          <w:rFonts w:eastAsia="Times New Roman"/>
          <w:sz w:val="24"/>
          <w:szCs w:val="24"/>
          <w:lang w:val="en-US" w:eastAsia="en-AU"/>
        </w:rPr>
        <w:t>)</w:t>
      </w:r>
      <w:r w:rsidR="00274604" w:rsidRPr="00494F4A">
        <w:rPr>
          <w:rFonts w:eastAsia="Times New Roman"/>
          <w:sz w:val="24"/>
          <w:szCs w:val="24"/>
          <w:lang w:val="en-US" w:eastAsia="en-AU"/>
        </w:rPr>
        <w:t xml:space="preserve"> </w:t>
      </w:r>
      <w:r w:rsidR="00824E16" w:rsidRPr="00494F4A">
        <w:rPr>
          <w:rFonts w:eastAsia="Times New Roman"/>
          <w:sz w:val="24"/>
          <w:szCs w:val="24"/>
          <w:lang w:val="en-US" w:eastAsia="en-AU"/>
        </w:rPr>
        <w:t>and</w:t>
      </w:r>
      <w:r w:rsidR="00274604" w:rsidRPr="00494F4A">
        <w:rPr>
          <w:rFonts w:eastAsia="Times New Roman"/>
          <w:sz w:val="24"/>
          <w:szCs w:val="24"/>
          <w:lang w:val="en-US" w:eastAsia="en-AU"/>
        </w:rPr>
        <w:t xml:space="preserve"> responsible entit</w:t>
      </w:r>
      <w:r w:rsidR="00824E16" w:rsidRPr="00494F4A">
        <w:rPr>
          <w:rFonts w:eastAsia="Times New Roman"/>
          <w:sz w:val="24"/>
          <w:szCs w:val="24"/>
          <w:lang w:val="en-US" w:eastAsia="en-AU"/>
        </w:rPr>
        <w:t>ies</w:t>
      </w:r>
      <w:r w:rsidR="00274604" w:rsidRPr="00494F4A">
        <w:rPr>
          <w:rFonts w:eastAsia="Times New Roman"/>
          <w:sz w:val="24"/>
          <w:szCs w:val="24"/>
          <w:lang w:val="en-US" w:eastAsia="en-AU"/>
        </w:rPr>
        <w:t xml:space="preserve"> of an IDPS-like scheme</w:t>
      </w:r>
      <w:r w:rsidR="00824E16" w:rsidRPr="00494F4A">
        <w:rPr>
          <w:rFonts w:eastAsia="Times New Roman"/>
          <w:sz w:val="24"/>
          <w:szCs w:val="24"/>
          <w:lang w:val="en-US" w:eastAsia="en-AU"/>
        </w:rPr>
        <w:t xml:space="preserve"> by inserting notional subsections 1015C(3A)-(3C). </w:t>
      </w:r>
    </w:p>
    <w:p w14:paraId="700A9E05" w14:textId="77777777" w:rsidR="00824E16" w:rsidRPr="00494F4A" w:rsidRDefault="00824E16" w:rsidP="00C25013">
      <w:pPr>
        <w:ind w:left="570"/>
        <w:rPr>
          <w:rFonts w:eastAsia="Times New Roman"/>
          <w:sz w:val="24"/>
          <w:szCs w:val="24"/>
          <w:lang w:eastAsia="en-AU"/>
        </w:rPr>
      </w:pPr>
    </w:p>
    <w:p w14:paraId="625D0C64" w14:textId="77777777" w:rsidR="00191760" w:rsidRPr="00494F4A" w:rsidRDefault="00824E16" w:rsidP="00395DD1">
      <w:pPr>
        <w:numPr>
          <w:ilvl w:val="0"/>
          <w:numId w:val="15"/>
        </w:numPr>
        <w:rPr>
          <w:rFonts w:eastAsia="Times New Roman"/>
          <w:sz w:val="24"/>
          <w:szCs w:val="24"/>
          <w:lang w:eastAsia="en-AU"/>
        </w:rPr>
      </w:pPr>
      <w:r w:rsidRPr="00494F4A">
        <w:rPr>
          <w:rFonts w:eastAsia="Times New Roman"/>
          <w:sz w:val="24"/>
          <w:szCs w:val="24"/>
          <w:lang w:val="en-US" w:eastAsia="en-AU"/>
        </w:rPr>
        <w:t xml:space="preserve">Notional subsection 1015C(3A) </w:t>
      </w:r>
      <w:r w:rsidR="00191760" w:rsidRPr="00494F4A">
        <w:rPr>
          <w:rFonts w:eastAsia="Times New Roman"/>
          <w:sz w:val="24"/>
          <w:szCs w:val="24"/>
          <w:lang w:val="en-US" w:eastAsia="en-AU"/>
        </w:rPr>
        <w:t xml:space="preserve">permits trustees, IDPS operators and responsible entities </w:t>
      </w:r>
      <w:r w:rsidR="00D07BAC" w:rsidRPr="00494F4A">
        <w:rPr>
          <w:rFonts w:eastAsia="Times New Roman"/>
          <w:sz w:val="24"/>
          <w:szCs w:val="24"/>
          <w:lang w:val="en-US" w:eastAsia="en-AU"/>
        </w:rPr>
        <w:t>t</w:t>
      </w:r>
      <w:r w:rsidR="00191760" w:rsidRPr="00494F4A">
        <w:rPr>
          <w:rFonts w:eastAsia="Times New Roman"/>
          <w:sz w:val="24"/>
          <w:szCs w:val="24"/>
          <w:lang w:val="en-US" w:eastAsia="en-AU"/>
        </w:rPr>
        <w:t xml:space="preserve">o give </w:t>
      </w:r>
      <w:r w:rsidRPr="00494F4A">
        <w:rPr>
          <w:rFonts w:eastAsia="Times New Roman"/>
          <w:sz w:val="24"/>
          <w:szCs w:val="24"/>
          <w:lang w:val="en-US" w:eastAsia="en-AU"/>
        </w:rPr>
        <w:t>PDS</w:t>
      </w:r>
      <w:r w:rsidR="00D07BAC" w:rsidRPr="00494F4A">
        <w:rPr>
          <w:rFonts w:eastAsia="Times New Roman"/>
          <w:sz w:val="24"/>
          <w:szCs w:val="24"/>
          <w:lang w:val="en-US" w:eastAsia="en-AU"/>
        </w:rPr>
        <w:t>s</w:t>
      </w:r>
      <w:r w:rsidRPr="00494F4A">
        <w:rPr>
          <w:rFonts w:eastAsia="Times New Roman"/>
          <w:sz w:val="24"/>
          <w:szCs w:val="24"/>
          <w:lang w:val="en-US" w:eastAsia="en-AU"/>
        </w:rPr>
        <w:t xml:space="preserve"> for financial </w:t>
      </w:r>
      <w:r w:rsidR="00A16D4D" w:rsidRPr="00494F4A">
        <w:rPr>
          <w:rFonts w:eastAsia="Times New Roman"/>
          <w:sz w:val="24"/>
          <w:szCs w:val="24"/>
          <w:lang w:val="en-US" w:eastAsia="en-AU"/>
        </w:rPr>
        <w:t>products</w:t>
      </w:r>
      <w:r w:rsidRPr="00494F4A">
        <w:rPr>
          <w:rFonts w:eastAsia="Times New Roman"/>
          <w:sz w:val="24"/>
          <w:szCs w:val="24"/>
          <w:lang w:val="en-US" w:eastAsia="en-AU"/>
        </w:rPr>
        <w:t xml:space="preserve"> </w:t>
      </w:r>
      <w:r w:rsidR="00191760" w:rsidRPr="00494F4A">
        <w:rPr>
          <w:rFonts w:eastAsia="Times New Roman"/>
          <w:sz w:val="24"/>
          <w:szCs w:val="24"/>
          <w:lang w:val="en-US" w:eastAsia="en-AU"/>
        </w:rPr>
        <w:t>held through the</w:t>
      </w:r>
      <w:r w:rsidR="00D07BAC" w:rsidRPr="00494F4A">
        <w:rPr>
          <w:rFonts w:eastAsia="Times New Roman"/>
          <w:sz w:val="24"/>
          <w:szCs w:val="24"/>
          <w:lang w:val="en-US" w:eastAsia="en-AU"/>
        </w:rPr>
        <w:t xml:space="preserve">ir entity or </w:t>
      </w:r>
      <w:r w:rsidR="00A16D4D" w:rsidRPr="00494F4A">
        <w:rPr>
          <w:rFonts w:eastAsia="Times New Roman"/>
          <w:sz w:val="24"/>
          <w:szCs w:val="24"/>
          <w:lang w:val="en-US" w:eastAsia="en-AU"/>
        </w:rPr>
        <w:t>scheme</w:t>
      </w:r>
      <w:r w:rsidR="00D07BAC" w:rsidRPr="00494F4A">
        <w:rPr>
          <w:rFonts w:eastAsia="Times New Roman"/>
          <w:sz w:val="24"/>
          <w:szCs w:val="24"/>
          <w:lang w:val="en-US" w:eastAsia="en-AU"/>
        </w:rPr>
        <w:t xml:space="preserve"> </w:t>
      </w:r>
      <w:r w:rsidR="00191760" w:rsidRPr="00494F4A">
        <w:rPr>
          <w:rFonts w:eastAsia="Times New Roman"/>
          <w:sz w:val="24"/>
          <w:szCs w:val="24"/>
          <w:lang w:val="en-US" w:eastAsia="en-AU"/>
        </w:rPr>
        <w:t>to a person through the</w:t>
      </w:r>
      <w:r w:rsidR="00D07BAC" w:rsidRPr="00494F4A">
        <w:rPr>
          <w:rFonts w:eastAsia="Times New Roman"/>
          <w:sz w:val="24"/>
          <w:szCs w:val="24"/>
          <w:lang w:val="en-US" w:eastAsia="en-AU"/>
        </w:rPr>
        <w:t xml:space="preserve">ir agent who is </w:t>
      </w:r>
      <w:r w:rsidRPr="00494F4A">
        <w:rPr>
          <w:rFonts w:eastAsia="Times New Roman"/>
          <w:sz w:val="24"/>
          <w:szCs w:val="24"/>
          <w:lang w:val="en-US" w:eastAsia="en-AU"/>
        </w:rPr>
        <w:t>acting in the capacity of an AFS licensee or authorised representative of an AFS licensee</w:t>
      </w:r>
      <w:r w:rsidR="00191760" w:rsidRPr="00494F4A">
        <w:rPr>
          <w:rFonts w:eastAsia="Times New Roman"/>
          <w:sz w:val="24"/>
          <w:szCs w:val="24"/>
          <w:lang w:val="en-US" w:eastAsia="en-AU"/>
        </w:rPr>
        <w:t>.</w:t>
      </w:r>
      <w:r w:rsidR="00D07BAC" w:rsidRPr="00494F4A">
        <w:rPr>
          <w:rFonts w:eastAsia="Times New Roman"/>
          <w:sz w:val="24"/>
          <w:szCs w:val="24"/>
          <w:lang w:val="en-US" w:eastAsia="en-AU"/>
        </w:rPr>
        <w:t xml:space="preserve"> Ordinarily, this would be prohibited by subsection 1015C(3). </w:t>
      </w:r>
      <w:r w:rsidR="00191760" w:rsidRPr="00494F4A">
        <w:rPr>
          <w:rFonts w:eastAsia="Times New Roman"/>
          <w:sz w:val="24"/>
          <w:szCs w:val="24"/>
          <w:lang w:val="en-US" w:eastAsia="en-AU"/>
        </w:rPr>
        <w:t xml:space="preserve"> </w:t>
      </w:r>
    </w:p>
    <w:p w14:paraId="26B14BCB" w14:textId="77777777" w:rsidR="00191760" w:rsidRPr="00494F4A" w:rsidRDefault="00191760" w:rsidP="00C25013">
      <w:pPr>
        <w:pStyle w:val="ListParagraph"/>
        <w:rPr>
          <w:rFonts w:eastAsia="Times New Roman"/>
          <w:sz w:val="24"/>
          <w:szCs w:val="24"/>
          <w:lang w:val="en-US" w:eastAsia="en-AU"/>
        </w:rPr>
      </w:pPr>
    </w:p>
    <w:p w14:paraId="7AB5810F" w14:textId="77777777" w:rsidR="00274604" w:rsidRPr="00494F4A" w:rsidRDefault="00191760" w:rsidP="00D07BAC">
      <w:pPr>
        <w:numPr>
          <w:ilvl w:val="0"/>
          <w:numId w:val="15"/>
        </w:numPr>
        <w:rPr>
          <w:rFonts w:eastAsia="Times New Roman"/>
          <w:sz w:val="24"/>
          <w:szCs w:val="24"/>
          <w:lang w:eastAsia="en-AU"/>
        </w:rPr>
      </w:pPr>
      <w:r w:rsidRPr="00494F4A">
        <w:rPr>
          <w:rFonts w:eastAsia="Times New Roman"/>
          <w:sz w:val="24"/>
          <w:szCs w:val="24"/>
          <w:lang w:val="en-US" w:eastAsia="en-AU"/>
        </w:rPr>
        <w:t>The condition</w:t>
      </w:r>
      <w:r w:rsidR="00D07BAC" w:rsidRPr="00494F4A">
        <w:rPr>
          <w:rFonts w:eastAsia="Times New Roman"/>
          <w:sz w:val="24"/>
          <w:szCs w:val="24"/>
          <w:lang w:val="en-US" w:eastAsia="en-AU"/>
        </w:rPr>
        <w:t xml:space="preserve"> is that the trustee, </w:t>
      </w:r>
      <w:proofErr w:type="gramStart"/>
      <w:r w:rsidR="00D07BAC" w:rsidRPr="00494F4A">
        <w:rPr>
          <w:rFonts w:eastAsia="Times New Roman"/>
          <w:sz w:val="24"/>
          <w:szCs w:val="24"/>
          <w:lang w:val="en-US" w:eastAsia="en-AU"/>
        </w:rPr>
        <w:t>operator</w:t>
      </w:r>
      <w:proofErr w:type="gramEnd"/>
      <w:r w:rsidR="00D07BAC" w:rsidRPr="00494F4A">
        <w:rPr>
          <w:rFonts w:eastAsia="Times New Roman"/>
          <w:sz w:val="24"/>
          <w:szCs w:val="24"/>
          <w:lang w:val="en-US" w:eastAsia="en-AU"/>
        </w:rPr>
        <w:t xml:space="preserve"> or responsible entity must have  received evidence of a written agreement between the agent and the individual that has appointed the agent</w:t>
      </w:r>
      <w:r w:rsidR="00CD5AD3" w:rsidRPr="00494F4A">
        <w:rPr>
          <w:rFonts w:eastAsia="Times New Roman"/>
          <w:sz w:val="24"/>
          <w:szCs w:val="24"/>
          <w:lang w:val="en-US" w:eastAsia="en-AU"/>
        </w:rPr>
        <w:t xml:space="preserve"> before the PDS is given or sent</w:t>
      </w:r>
      <w:r w:rsidR="00D07BAC" w:rsidRPr="00494F4A">
        <w:rPr>
          <w:rFonts w:eastAsia="Times New Roman"/>
          <w:sz w:val="24"/>
          <w:szCs w:val="24"/>
          <w:lang w:val="en-US" w:eastAsia="en-AU"/>
        </w:rPr>
        <w:t>.</w:t>
      </w:r>
      <w:bookmarkEnd w:id="5"/>
      <w:r w:rsidR="00D07BAC" w:rsidRPr="00494F4A">
        <w:rPr>
          <w:rFonts w:eastAsia="Times New Roman"/>
          <w:sz w:val="24"/>
          <w:szCs w:val="24"/>
          <w:lang w:val="en-US" w:eastAsia="en-AU"/>
        </w:rPr>
        <w:t xml:space="preserve"> There is also an obligation in notional subsection 1015C(3B) on the </w:t>
      </w:r>
      <w:r w:rsidR="00274604" w:rsidRPr="00494F4A">
        <w:rPr>
          <w:rFonts w:eastAsia="Times New Roman"/>
          <w:sz w:val="24"/>
          <w:szCs w:val="24"/>
          <w:lang w:eastAsia="en-AU"/>
        </w:rPr>
        <w:t xml:space="preserve">AFS licensee or authorised representative </w:t>
      </w:r>
      <w:r w:rsidR="00D07BAC" w:rsidRPr="00494F4A">
        <w:rPr>
          <w:rFonts w:eastAsia="Times New Roman"/>
          <w:sz w:val="24"/>
          <w:szCs w:val="24"/>
          <w:lang w:eastAsia="en-AU"/>
        </w:rPr>
        <w:t xml:space="preserve">that </w:t>
      </w:r>
      <w:r w:rsidR="00274604" w:rsidRPr="00494F4A">
        <w:rPr>
          <w:rFonts w:eastAsia="Times New Roman"/>
          <w:sz w:val="24"/>
          <w:szCs w:val="24"/>
          <w:lang w:eastAsia="en-AU"/>
        </w:rPr>
        <w:t xml:space="preserve">receives a PDS as a </w:t>
      </w:r>
      <w:r w:rsidR="00A16D4D" w:rsidRPr="00494F4A">
        <w:rPr>
          <w:rFonts w:eastAsia="Times New Roman"/>
          <w:sz w:val="24"/>
          <w:szCs w:val="24"/>
          <w:lang w:eastAsia="en-AU"/>
        </w:rPr>
        <w:t>person’s</w:t>
      </w:r>
      <w:r w:rsidR="00274604" w:rsidRPr="00494F4A">
        <w:rPr>
          <w:rFonts w:eastAsia="Times New Roman"/>
          <w:sz w:val="24"/>
          <w:szCs w:val="24"/>
          <w:lang w:eastAsia="en-AU"/>
        </w:rPr>
        <w:t xml:space="preserve"> agent </w:t>
      </w:r>
      <w:r w:rsidR="00D07BAC" w:rsidRPr="00494F4A">
        <w:rPr>
          <w:rFonts w:eastAsia="Times New Roman"/>
          <w:sz w:val="24"/>
          <w:szCs w:val="24"/>
          <w:lang w:eastAsia="en-AU"/>
        </w:rPr>
        <w:t xml:space="preserve">to promptly </w:t>
      </w:r>
      <w:r w:rsidR="00274604" w:rsidRPr="00494F4A">
        <w:rPr>
          <w:rFonts w:eastAsia="Times New Roman"/>
          <w:sz w:val="24"/>
          <w:szCs w:val="24"/>
          <w:lang w:eastAsia="en-AU"/>
        </w:rPr>
        <w:t xml:space="preserve">give </w:t>
      </w:r>
      <w:r w:rsidR="00D07BAC" w:rsidRPr="00494F4A">
        <w:rPr>
          <w:rFonts w:eastAsia="Times New Roman"/>
          <w:sz w:val="24"/>
          <w:szCs w:val="24"/>
          <w:lang w:eastAsia="en-AU"/>
        </w:rPr>
        <w:t xml:space="preserve">or send </w:t>
      </w:r>
      <w:r w:rsidR="00CD5AD3" w:rsidRPr="00494F4A">
        <w:rPr>
          <w:rFonts w:eastAsia="Times New Roman"/>
          <w:sz w:val="24"/>
          <w:szCs w:val="24"/>
          <w:lang w:eastAsia="en-AU"/>
        </w:rPr>
        <w:t xml:space="preserve">it </w:t>
      </w:r>
      <w:r w:rsidR="00274604" w:rsidRPr="00494F4A">
        <w:rPr>
          <w:rFonts w:eastAsia="Times New Roman"/>
          <w:sz w:val="24"/>
          <w:szCs w:val="24"/>
          <w:lang w:eastAsia="en-AU"/>
        </w:rPr>
        <w:t xml:space="preserve">to the </w:t>
      </w:r>
      <w:r w:rsidR="00D07BAC" w:rsidRPr="00494F4A">
        <w:rPr>
          <w:rFonts w:eastAsia="Times New Roman"/>
          <w:sz w:val="24"/>
          <w:szCs w:val="24"/>
          <w:lang w:eastAsia="en-AU"/>
        </w:rPr>
        <w:t>person</w:t>
      </w:r>
      <w:r w:rsidR="00274604" w:rsidRPr="00494F4A">
        <w:rPr>
          <w:rFonts w:eastAsia="Times New Roman"/>
          <w:sz w:val="24"/>
          <w:szCs w:val="24"/>
          <w:lang w:eastAsia="en-AU"/>
        </w:rPr>
        <w:t>.</w:t>
      </w:r>
    </w:p>
    <w:p w14:paraId="2025263F" w14:textId="77777777" w:rsidR="00274604" w:rsidRPr="00494F4A" w:rsidRDefault="00274604" w:rsidP="00274604">
      <w:pPr>
        <w:pStyle w:val="ListParagraph"/>
        <w:rPr>
          <w:rFonts w:eastAsia="Times New Roman"/>
          <w:sz w:val="24"/>
          <w:szCs w:val="24"/>
          <w:lang w:eastAsia="en-AU"/>
        </w:rPr>
      </w:pPr>
    </w:p>
    <w:p w14:paraId="4C38F3DC" w14:textId="77777777" w:rsidR="00274604" w:rsidRPr="00494F4A" w:rsidRDefault="00D07BAC" w:rsidP="00395DD1">
      <w:pPr>
        <w:numPr>
          <w:ilvl w:val="0"/>
          <w:numId w:val="15"/>
        </w:numPr>
        <w:rPr>
          <w:rFonts w:eastAsia="Times New Roman"/>
          <w:sz w:val="24"/>
          <w:szCs w:val="24"/>
          <w:lang w:eastAsia="en-AU"/>
        </w:rPr>
      </w:pPr>
      <w:r w:rsidRPr="00494F4A">
        <w:rPr>
          <w:rFonts w:eastAsia="Times New Roman"/>
          <w:sz w:val="24"/>
          <w:szCs w:val="24"/>
          <w:lang w:eastAsia="en-AU"/>
        </w:rPr>
        <w:t>The</w:t>
      </w:r>
      <w:r w:rsidRPr="0095459E">
        <w:rPr>
          <w:rFonts w:eastAsia="Times New Roman"/>
          <w:sz w:val="24"/>
          <w:szCs w:val="24"/>
          <w:lang w:eastAsia="en-AU"/>
        </w:rPr>
        <w:t xml:space="preserve"> Instrument</w:t>
      </w:r>
      <w:r w:rsidR="00274604" w:rsidRPr="0095459E">
        <w:rPr>
          <w:rFonts w:eastAsia="Times New Roman"/>
          <w:sz w:val="24"/>
          <w:szCs w:val="24"/>
          <w:lang w:eastAsia="en-AU"/>
        </w:rPr>
        <w:t xml:space="preserve"> applies to PDSs for financial products that can be acquired through platforms and superannuation entities. It </w:t>
      </w:r>
      <w:r w:rsidR="00CD5AD3" w:rsidRPr="0095459E">
        <w:rPr>
          <w:rFonts w:eastAsia="Times New Roman"/>
          <w:sz w:val="24"/>
          <w:szCs w:val="24"/>
          <w:lang w:eastAsia="en-AU"/>
        </w:rPr>
        <w:t>does</w:t>
      </w:r>
      <w:r w:rsidR="00CD5AD3" w:rsidRPr="00494F4A">
        <w:rPr>
          <w:rFonts w:eastAsia="Times New Roman"/>
          <w:sz w:val="24"/>
          <w:szCs w:val="24"/>
          <w:lang w:eastAsia="en-AU"/>
        </w:rPr>
        <w:t xml:space="preserve"> not apply to the giving or sending of </w:t>
      </w:r>
      <w:r w:rsidR="00274604" w:rsidRPr="00494F4A">
        <w:rPr>
          <w:rFonts w:eastAsia="Times New Roman"/>
          <w:sz w:val="24"/>
          <w:szCs w:val="24"/>
          <w:lang w:eastAsia="en-AU"/>
        </w:rPr>
        <w:t>IDPS Guides, PDS</w:t>
      </w:r>
      <w:r w:rsidRPr="00494F4A">
        <w:rPr>
          <w:rFonts w:eastAsia="Times New Roman"/>
          <w:sz w:val="24"/>
          <w:szCs w:val="24"/>
          <w:lang w:eastAsia="en-AU"/>
        </w:rPr>
        <w:t>s</w:t>
      </w:r>
      <w:r w:rsidR="00274604" w:rsidRPr="00494F4A">
        <w:rPr>
          <w:rFonts w:eastAsia="Times New Roman"/>
          <w:sz w:val="24"/>
          <w:szCs w:val="24"/>
          <w:lang w:eastAsia="en-AU"/>
        </w:rPr>
        <w:t xml:space="preserve"> for IDPS-like schemes or superannuation entities, or annual client statements and reports from auditors.</w:t>
      </w:r>
    </w:p>
    <w:p w14:paraId="3FF028DF" w14:textId="77777777" w:rsidR="008D16F1" w:rsidRPr="00494F4A" w:rsidRDefault="008D16F1" w:rsidP="00C25013">
      <w:pPr>
        <w:pStyle w:val="ListParagraph"/>
        <w:rPr>
          <w:rFonts w:eastAsia="Times New Roman"/>
          <w:sz w:val="24"/>
          <w:szCs w:val="24"/>
          <w:lang w:eastAsia="en-AU"/>
        </w:rPr>
      </w:pPr>
    </w:p>
    <w:p w14:paraId="7B5CC6B4" w14:textId="77777777" w:rsidR="008D16F1" w:rsidRPr="00494F4A" w:rsidRDefault="008D16F1" w:rsidP="00395DD1">
      <w:pPr>
        <w:numPr>
          <w:ilvl w:val="0"/>
          <w:numId w:val="15"/>
        </w:numPr>
        <w:rPr>
          <w:rFonts w:eastAsia="Times New Roman"/>
          <w:sz w:val="24"/>
          <w:szCs w:val="24"/>
          <w:lang w:eastAsia="en-AU"/>
        </w:rPr>
      </w:pPr>
      <w:r w:rsidRPr="00494F4A">
        <w:rPr>
          <w:rFonts w:eastAsia="Times New Roman"/>
          <w:sz w:val="24"/>
          <w:szCs w:val="24"/>
          <w:lang w:eastAsia="en-AU"/>
        </w:rPr>
        <w:t>Section 8 of the Instrument provides for its repeal on 1 October 2027.</w:t>
      </w:r>
    </w:p>
    <w:p w14:paraId="313FE379" w14:textId="77777777" w:rsidR="002672B0" w:rsidRDefault="002672B0" w:rsidP="00D320A4">
      <w:pPr>
        <w:pStyle w:val="LI-BodyTextParaa"/>
        <w:ind w:left="0" w:firstLine="0"/>
        <w:rPr>
          <w:b/>
        </w:rPr>
      </w:pPr>
      <w:bookmarkStart w:id="6" w:name="_Hlk534291624"/>
      <w:r>
        <w:rPr>
          <w:b/>
        </w:rPr>
        <w:t xml:space="preserve">Legislative instrument </w:t>
      </w:r>
      <w:r w:rsidR="008C391E">
        <w:rPr>
          <w:b/>
        </w:rPr>
        <w:t>and legislative authority</w:t>
      </w:r>
    </w:p>
    <w:p w14:paraId="7B066B00" w14:textId="77777777" w:rsidR="00FD0BA1" w:rsidRPr="00FD0BA1" w:rsidRDefault="002672B0" w:rsidP="00C35F4C">
      <w:pPr>
        <w:pStyle w:val="LI-BodyTextParaa"/>
        <w:numPr>
          <w:ilvl w:val="0"/>
          <w:numId w:val="23"/>
        </w:numPr>
      </w:pPr>
      <w:r w:rsidRPr="00C35F4C">
        <w:rPr>
          <w:bCs/>
        </w:rPr>
        <w:t xml:space="preserve">The Instrument </w:t>
      </w:r>
      <w:r w:rsidR="00C35F4C">
        <w:rPr>
          <w:bCs/>
        </w:rPr>
        <w:t xml:space="preserve">provides certainty for providers of </w:t>
      </w:r>
      <w:r w:rsidR="00C35F4C" w:rsidRPr="00C35F4C">
        <w:rPr>
          <w:bCs/>
        </w:rPr>
        <w:t xml:space="preserve">superannuation platforms, multifunds and other complex products such as hedge funds </w:t>
      </w:r>
      <w:r w:rsidR="00C35F4C">
        <w:rPr>
          <w:bCs/>
        </w:rPr>
        <w:t>that the shorter PDS regime does not apply</w:t>
      </w:r>
      <w:r w:rsidR="008A5210">
        <w:rPr>
          <w:bCs/>
        </w:rPr>
        <w:t xml:space="preserve">, consistently with </w:t>
      </w:r>
      <w:r w:rsidR="00C35F4C">
        <w:rPr>
          <w:bCs/>
        </w:rPr>
        <w:t xml:space="preserve">a </w:t>
      </w:r>
      <w:r w:rsidR="002444C4">
        <w:rPr>
          <w:bCs/>
        </w:rPr>
        <w:t>prev</w:t>
      </w:r>
      <w:r w:rsidR="00AD6F35">
        <w:rPr>
          <w:bCs/>
        </w:rPr>
        <w:t>io</w:t>
      </w:r>
      <w:r w:rsidR="002444C4">
        <w:rPr>
          <w:bCs/>
        </w:rPr>
        <w:t xml:space="preserve">us </w:t>
      </w:r>
      <w:r w:rsidR="00C35F4C">
        <w:rPr>
          <w:bCs/>
        </w:rPr>
        <w:t xml:space="preserve">Government commitment to enact regulations </w:t>
      </w:r>
      <w:r w:rsidR="00B24630">
        <w:rPr>
          <w:bCs/>
        </w:rPr>
        <w:t>to</w:t>
      </w:r>
      <w:r w:rsidR="00C35F4C">
        <w:rPr>
          <w:bCs/>
        </w:rPr>
        <w:t xml:space="preserve"> this effect. The Instrument also </w:t>
      </w:r>
      <w:r w:rsidRPr="00C35F4C">
        <w:rPr>
          <w:bCs/>
        </w:rPr>
        <w:t xml:space="preserve">facilitates </w:t>
      </w:r>
      <w:r w:rsidR="00D265EA">
        <w:rPr>
          <w:bCs/>
        </w:rPr>
        <w:t xml:space="preserve">practical arrangements to provide for the delivery of PDS information to clients of </w:t>
      </w:r>
      <w:r w:rsidR="00C35F4C">
        <w:rPr>
          <w:bCs/>
        </w:rPr>
        <w:t>financial advisers</w:t>
      </w:r>
      <w:r w:rsidR="00D265EA">
        <w:rPr>
          <w:bCs/>
        </w:rPr>
        <w:t xml:space="preserve"> and members of superannuation trustees that offer a choice of investment strategies.</w:t>
      </w:r>
      <w:r w:rsidR="00C35F4C">
        <w:rPr>
          <w:bCs/>
        </w:rPr>
        <w:t xml:space="preserve"> </w:t>
      </w:r>
    </w:p>
    <w:p w14:paraId="4043DB3B" w14:textId="77777777" w:rsidR="00C51DF2" w:rsidRPr="00C51DF2" w:rsidRDefault="007A7FD5" w:rsidP="00C51DF2">
      <w:pPr>
        <w:pStyle w:val="LI-BodyTextParaa"/>
        <w:numPr>
          <w:ilvl w:val="0"/>
          <w:numId w:val="23"/>
        </w:numPr>
        <w:rPr>
          <w:bCs/>
        </w:rPr>
      </w:pPr>
      <w:r w:rsidRPr="008C391E">
        <w:rPr>
          <w:bCs/>
        </w:rPr>
        <w:t xml:space="preserve">The </w:t>
      </w:r>
      <w:r w:rsidRPr="00CB58A5">
        <w:rPr>
          <w:bCs/>
        </w:rPr>
        <w:t xml:space="preserve">Instrument utilises powers given by Parliament to ASIC that allow ASIC to modify or affect the operation of the Act to provide a tailored and flexible regulatory environment that is fit for purpose for certain financial </w:t>
      </w:r>
      <w:r w:rsidRPr="00BE6025">
        <w:rPr>
          <w:bCs/>
        </w:rPr>
        <w:t>products</w:t>
      </w:r>
      <w:r w:rsidR="00D265EA" w:rsidRPr="00C51DF2">
        <w:rPr>
          <w:bCs/>
        </w:rPr>
        <w:t>. T</w:t>
      </w:r>
      <w:r w:rsidR="00A951A4" w:rsidRPr="00C51DF2">
        <w:rPr>
          <w:bCs/>
        </w:rPr>
        <w:t>he matters contained in the Instrument are specific amendments designed to ensure that application of the Act remains flexible and applies in a way consistent with the intended policy and the enabling provisions in the Act</w:t>
      </w:r>
      <w:r w:rsidR="00A951A4" w:rsidRPr="008A5210">
        <w:rPr>
          <w:bCs/>
        </w:rPr>
        <w:t>.</w:t>
      </w:r>
      <w:r w:rsidR="002672B0" w:rsidRPr="008A5210">
        <w:rPr>
          <w:bCs/>
        </w:rPr>
        <w:t xml:space="preserve">  </w:t>
      </w:r>
    </w:p>
    <w:p w14:paraId="063E4692" w14:textId="77777777" w:rsidR="00395DD1" w:rsidRPr="00C51DF2" w:rsidRDefault="00A63156" w:rsidP="00C51DF2">
      <w:pPr>
        <w:pStyle w:val="LI-BodyTextParaa"/>
        <w:numPr>
          <w:ilvl w:val="0"/>
          <w:numId w:val="23"/>
        </w:numPr>
        <w:rPr>
          <w:bCs/>
        </w:rPr>
      </w:pPr>
      <w:r w:rsidRPr="00C51DF2">
        <w:rPr>
          <w:bCs/>
        </w:rPr>
        <w:t>T</w:t>
      </w:r>
      <w:r w:rsidR="00395DD1" w:rsidRPr="00C51DF2">
        <w:rPr>
          <w:bCs/>
        </w:rPr>
        <w:t xml:space="preserve">he </w:t>
      </w:r>
      <w:r w:rsidR="00CD5AD3" w:rsidRPr="00C51DF2">
        <w:rPr>
          <w:bCs/>
        </w:rPr>
        <w:t>I</w:t>
      </w:r>
      <w:r w:rsidR="00395DD1" w:rsidRPr="00C51DF2">
        <w:rPr>
          <w:bCs/>
        </w:rPr>
        <w:t xml:space="preserve">nstrument </w:t>
      </w:r>
      <w:r w:rsidRPr="00C51DF2">
        <w:rPr>
          <w:bCs/>
        </w:rPr>
        <w:t xml:space="preserve">is made </w:t>
      </w:r>
      <w:r w:rsidR="00395DD1" w:rsidRPr="00C51DF2">
        <w:rPr>
          <w:bCs/>
        </w:rPr>
        <w:t xml:space="preserve">under </w:t>
      </w:r>
      <w:r w:rsidR="00CD5AD3" w:rsidRPr="00C51DF2">
        <w:rPr>
          <w:bCs/>
        </w:rPr>
        <w:t xml:space="preserve">paragraph </w:t>
      </w:r>
      <w:r w:rsidR="00395DD1" w:rsidRPr="00C51DF2">
        <w:rPr>
          <w:bCs/>
        </w:rPr>
        <w:t>1020F(1)</w:t>
      </w:r>
      <w:r w:rsidR="00CD5AD3" w:rsidRPr="00C51DF2">
        <w:rPr>
          <w:bCs/>
        </w:rPr>
        <w:t>(c)</w:t>
      </w:r>
      <w:r w:rsidR="00395DD1" w:rsidRPr="00C51DF2">
        <w:rPr>
          <w:bCs/>
        </w:rPr>
        <w:t xml:space="preserve"> of the Act. </w:t>
      </w:r>
      <w:r w:rsidR="00CD5AD3" w:rsidRPr="00C51DF2">
        <w:rPr>
          <w:bCs/>
        </w:rPr>
        <w:t xml:space="preserve">Paragraph </w:t>
      </w:r>
      <w:r w:rsidR="00395DD1" w:rsidRPr="00C51DF2">
        <w:rPr>
          <w:bCs/>
        </w:rPr>
        <w:t>1020F(1)</w:t>
      </w:r>
      <w:r w:rsidR="00CD5AD3" w:rsidRPr="00C51DF2">
        <w:rPr>
          <w:bCs/>
        </w:rPr>
        <w:t xml:space="preserve">(c) </w:t>
      </w:r>
      <w:r w:rsidR="00395DD1" w:rsidRPr="00C51DF2">
        <w:rPr>
          <w:bCs/>
        </w:rPr>
        <w:t xml:space="preserve">provides that ASIC may </w:t>
      </w:r>
      <w:r w:rsidR="00CD5AD3" w:rsidRPr="00C51DF2">
        <w:rPr>
          <w:bCs/>
        </w:rPr>
        <w:t xml:space="preserve">declare that Part 7.9 of the Act applies in relation to a person or a financial product, or a class of persons or financial products, as if specified provisions were omitted, </w:t>
      </w:r>
      <w:proofErr w:type="gramStart"/>
      <w:r w:rsidR="00CD5AD3" w:rsidRPr="00C51DF2">
        <w:rPr>
          <w:bCs/>
        </w:rPr>
        <w:t>modified</w:t>
      </w:r>
      <w:proofErr w:type="gramEnd"/>
      <w:r w:rsidR="00CD5AD3" w:rsidRPr="00C51DF2">
        <w:rPr>
          <w:bCs/>
        </w:rPr>
        <w:t xml:space="preserve"> or varied as specified in the declaration. </w:t>
      </w:r>
      <w:r w:rsidR="00395DD1" w:rsidRPr="00C51DF2">
        <w:rPr>
          <w:bCs/>
        </w:rPr>
        <w:t xml:space="preserve"> </w:t>
      </w:r>
    </w:p>
    <w:p w14:paraId="1E26043E" w14:textId="77777777" w:rsidR="00395DD1" w:rsidRPr="00494F4A" w:rsidRDefault="00395DD1" w:rsidP="00395DD1">
      <w:pPr>
        <w:ind w:left="570"/>
        <w:rPr>
          <w:rFonts w:eastAsia="Times New Roman"/>
          <w:sz w:val="24"/>
          <w:szCs w:val="24"/>
          <w:lang w:eastAsia="en-AU"/>
        </w:rPr>
      </w:pPr>
    </w:p>
    <w:p w14:paraId="337D70A7" w14:textId="77777777" w:rsidR="00395DD1" w:rsidRPr="00494F4A" w:rsidRDefault="00395DD1" w:rsidP="00D320A4">
      <w:pPr>
        <w:numPr>
          <w:ilvl w:val="0"/>
          <w:numId w:val="23"/>
        </w:numPr>
        <w:rPr>
          <w:rFonts w:eastAsia="Times New Roman"/>
          <w:sz w:val="24"/>
          <w:szCs w:val="24"/>
          <w:lang w:eastAsia="en-AU"/>
        </w:rPr>
      </w:pPr>
      <w:r w:rsidRPr="00494F4A">
        <w:rPr>
          <w:rFonts w:eastAsia="Times New Roman"/>
          <w:sz w:val="24"/>
          <w:szCs w:val="24"/>
          <w:lang w:eastAsia="en-AU"/>
        </w:rPr>
        <w:t xml:space="preserve">Under subsection 33(3) of the </w:t>
      </w:r>
      <w:r w:rsidRPr="00494F4A">
        <w:rPr>
          <w:rFonts w:eastAsia="Times New Roman"/>
          <w:i/>
          <w:iCs/>
          <w:sz w:val="24"/>
          <w:szCs w:val="24"/>
          <w:lang w:eastAsia="en-AU"/>
        </w:rPr>
        <w:t>Acts Interpretation Act 1901</w:t>
      </w:r>
      <w:r w:rsidRPr="00494F4A">
        <w:rPr>
          <w:rFonts w:eastAsia="Times New Roman"/>
          <w:sz w:val="24"/>
          <w:szCs w:val="24"/>
          <w:lang w:eastAsia="en-AU"/>
        </w:rPr>
        <w:t xml:space="preserve"> (as in force as </w:t>
      </w:r>
      <w:proofErr w:type="gramStart"/>
      <w:r w:rsidRPr="00494F4A">
        <w:rPr>
          <w:rFonts w:eastAsia="Times New Roman"/>
          <w:sz w:val="24"/>
          <w:szCs w:val="24"/>
          <w:lang w:eastAsia="en-AU"/>
        </w:rPr>
        <w:t>at</w:t>
      </w:r>
      <w:proofErr w:type="gramEnd"/>
      <w:r w:rsidRPr="00494F4A">
        <w:rPr>
          <w:rFonts w:eastAsia="Times New Roman"/>
          <w:sz w:val="24"/>
          <w:szCs w:val="24"/>
          <w:lang w:eastAsia="en-AU"/>
        </w:rPr>
        <w:t xml:space="preserve"> 1 January 2005 and as applicable to the relevant powers because of section 5C of the Act), where an Act confers a power to make any instrument, the power is to be construed as including a power exercisable in the like manner and subject to the like conditions (if any) to amend any such instrument.</w:t>
      </w:r>
    </w:p>
    <w:p w14:paraId="6E577DFF" w14:textId="77777777" w:rsidR="00C52E7C" w:rsidRDefault="00CD5AD3" w:rsidP="00D320A4">
      <w:pPr>
        <w:pStyle w:val="LI-BodyTextParaa"/>
        <w:numPr>
          <w:ilvl w:val="0"/>
          <w:numId w:val="23"/>
        </w:numPr>
      </w:pPr>
      <w:r w:rsidRPr="00494F4A">
        <w:t>The Instrument is a disallowable legislative instrument.</w:t>
      </w:r>
    </w:p>
    <w:p w14:paraId="2D899CD8" w14:textId="77777777" w:rsidR="00CB58A5" w:rsidRPr="00494F4A" w:rsidRDefault="00CB58A5" w:rsidP="00D320A4">
      <w:pPr>
        <w:pStyle w:val="LI-BodyTextParaa"/>
        <w:numPr>
          <w:ilvl w:val="0"/>
          <w:numId w:val="23"/>
        </w:numPr>
      </w:pPr>
      <w:r w:rsidRPr="007937FD">
        <w:t>It will be a matter for the Government and for Parliament as to whether the Act or Regulations may be amended in future to include the relief in the Instrument.</w:t>
      </w:r>
    </w:p>
    <w:p w14:paraId="1352D207" w14:textId="77777777" w:rsidR="007937FD" w:rsidRPr="00DD0740" w:rsidRDefault="007937FD" w:rsidP="007937FD">
      <w:pPr>
        <w:pStyle w:val="LI-BodyTextParaa"/>
        <w:ind w:left="0" w:firstLine="0"/>
        <w:rPr>
          <w:b/>
        </w:rPr>
      </w:pPr>
      <w:r w:rsidRPr="00DD0740">
        <w:rPr>
          <w:b/>
        </w:rPr>
        <w:t xml:space="preserve">Appropriate duration of the </w:t>
      </w:r>
      <w:r w:rsidR="00DE38F5">
        <w:rPr>
          <w:b/>
        </w:rPr>
        <w:t>I</w:t>
      </w:r>
      <w:r w:rsidRPr="00DD0740">
        <w:rPr>
          <w:b/>
        </w:rPr>
        <w:t>nstrument</w:t>
      </w:r>
    </w:p>
    <w:p w14:paraId="6B501BED" w14:textId="77777777" w:rsidR="007937FD" w:rsidRPr="007937FD" w:rsidRDefault="007937FD" w:rsidP="007937FD">
      <w:pPr>
        <w:pStyle w:val="LI-BodyTextParaa"/>
        <w:numPr>
          <w:ilvl w:val="0"/>
          <w:numId w:val="23"/>
        </w:numPr>
      </w:pPr>
      <w:r w:rsidRPr="007937FD">
        <w:t xml:space="preserve">The effect of the Instrument is that, with </w:t>
      </w:r>
      <w:r w:rsidR="00A63D1C">
        <w:t xml:space="preserve">minimal </w:t>
      </w:r>
      <w:r w:rsidRPr="007937FD">
        <w:t xml:space="preserve">changes, the </w:t>
      </w:r>
      <w:r w:rsidR="00A63D1C">
        <w:t>relief in [</w:t>
      </w:r>
      <w:r w:rsidR="00A63D1C" w:rsidRPr="00A63D1C">
        <w:t>CO</w:t>
      </w:r>
      <w:r w:rsidR="00A63D1C">
        <w:t> 12/7</w:t>
      </w:r>
      <w:r w:rsidR="00A63D1C" w:rsidRPr="00A63D1C">
        <w:t xml:space="preserve">49], LI 2016/65 and [CO 13/797] </w:t>
      </w:r>
      <w:r w:rsidR="00A63D1C">
        <w:t xml:space="preserve">will be extended to </w:t>
      </w:r>
      <w:r w:rsidR="00A63D1C" w:rsidRPr="00A63D1C">
        <w:t>1 October 2027</w:t>
      </w:r>
      <w:r w:rsidR="00A63D1C">
        <w:t>.</w:t>
      </w:r>
    </w:p>
    <w:p w14:paraId="7B4C3493" w14:textId="77777777" w:rsidR="00F66126" w:rsidRDefault="007937FD" w:rsidP="00AD6F35">
      <w:pPr>
        <w:pStyle w:val="LI-BodyTextParaa"/>
        <w:numPr>
          <w:ilvl w:val="0"/>
          <w:numId w:val="23"/>
        </w:numPr>
      </w:pPr>
      <w:r w:rsidRPr="007937FD">
        <w:t xml:space="preserve">ASIC considers that a </w:t>
      </w:r>
      <w:proofErr w:type="gramStart"/>
      <w:r w:rsidRPr="007937FD">
        <w:t>five year</w:t>
      </w:r>
      <w:proofErr w:type="gramEnd"/>
      <w:r w:rsidRPr="007937FD">
        <w:t xml:space="preserve"> duration for the Instrument is appropriate due to the business </w:t>
      </w:r>
      <w:r w:rsidR="00F66126">
        <w:t>costs</w:t>
      </w:r>
      <w:r w:rsidR="00AD6F35">
        <w:t>, reduced flexibility</w:t>
      </w:r>
      <w:r w:rsidR="00F66126">
        <w:t xml:space="preserve"> and harm to consumers </w:t>
      </w:r>
      <w:r w:rsidRPr="007937FD">
        <w:t xml:space="preserve">that would result if there was a shorter period. </w:t>
      </w:r>
      <w:r w:rsidR="008C391E">
        <w:t>The relief is longstanding and i</w:t>
      </w:r>
      <w:r w:rsidR="00F66126">
        <w:t xml:space="preserve">f the relief ceased or changed, </w:t>
      </w:r>
      <w:r w:rsidR="00536BAD">
        <w:t xml:space="preserve">affected stakeholders </w:t>
      </w:r>
      <w:r w:rsidR="00BF6B6C">
        <w:t xml:space="preserve">would </w:t>
      </w:r>
      <w:r w:rsidR="00AD6F35">
        <w:t>need to inv</w:t>
      </w:r>
      <w:r w:rsidR="00BF6B6C">
        <w:t xml:space="preserve">est in systems and amend operational practices to comply with the Act. </w:t>
      </w:r>
      <w:r w:rsidR="00536BAD">
        <w:t>C</w:t>
      </w:r>
      <w:r w:rsidR="00AD6F35">
        <w:t xml:space="preserve">onsumers </w:t>
      </w:r>
      <w:r w:rsidR="00536BAD">
        <w:t xml:space="preserve">of more complex products </w:t>
      </w:r>
      <w:r w:rsidR="00AD6F35">
        <w:t xml:space="preserve">would also </w:t>
      </w:r>
      <w:r w:rsidR="008A5210">
        <w:t xml:space="preserve">likely </w:t>
      </w:r>
      <w:r w:rsidR="00AD6F35">
        <w:t xml:space="preserve">receive less </w:t>
      </w:r>
      <w:r w:rsidR="00F66126">
        <w:t>meaningful disc</w:t>
      </w:r>
      <w:r w:rsidR="00BF6B6C">
        <w:t>l</w:t>
      </w:r>
      <w:r w:rsidR="00F66126">
        <w:t xml:space="preserve">osure </w:t>
      </w:r>
      <w:r w:rsidR="00536BAD">
        <w:t xml:space="preserve">about their product because </w:t>
      </w:r>
      <w:r w:rsidR="00AD6F35">
        <w:t xml:space="preserve">of </w:t>
      </w:r>
      <w:r w:rsidR="00BF6B6C">
        <w:t xml:space="preserve">limitations associated with the shorter PDS regime. </w:t>
      </w:r>
      <w:r w:rsidR="00F66126">
        <w:t xml:space="preserve"> </w:t>
      </w:r>
    </w:p>
    <w:p w14:paraId="3589F7BE" w14:textId="77777777" w:rsidR="007937FD" w:rsidRPr="00BF5986" w:rsidRDefault="007937FD" w:rsidP="007937FD">
      <w:pPr>
        <w:pStyle w:val="LI-BodyTextParaa"/>
        <w:numPr>
          <w:ilvl w:val="0"/>
          <w:numId w:val="23"/>
        </w:numPr>
      </w:pPr>
      <w:r>
        <w:lastRenderedPageBreak/>
        <w:t xml:space="preserve">ASIC considered a shorter duration for the Instrument but determined this would impose unnecessary uncertainty on those affected by the relief. Relevant to this determination was the </w:t>
      </w:r>
      <w:r w:rsidR="00830F96">
        <w:t xml:space="preserve">scale of systems and operational changes that would be necessary if the relief is not continued and the fact that, for example, </w:t>
      </w:r>
      <w:r w:rsidRPr="00BF5986">
        <w:t xml:space="preserve"> [CO 12/</w:t>
      </w:r>
      <w:r w:rsidR="00A63D1C">
        <w:t>749</w:t>
      </w:r>
      <w:r w:rsidRPr="00BF5986">
        <w:t>]</w:t>
      </w:r>
      <w:r w:rsidR="00A63D1C">
        <w:t xml:space="preserve"> was </w:t>
      </w:r>
      <w:r w:rsidRPr="00BF5986">
        <w:t xml:space="preserve">originally made </w:t>
      </w:r>
      <w:proofErr w:type="gramStart"/>
      <w:r w:rsidRPr="00BF5986">
        <w:t>in order to</w:t>
      </w:r>
      <w:proofErr w:type="gramEnd"/>
      <w:r w:rsidRPr="00BF5986">
        <w:t xml:space="preserve"> provide certainty to industry in the implementation of </w:t>
      </w:r>
      <w:r w:rsidR="00E7413A">
        <w:t>the shorter PDS requirements</w:t>
      </w:r>
      <w:r w:rsidRPr="00BF5986">
        <w:t>.</w:t>
      </w:r>
      <w:r w:rsidR="00A63D1C">
        <w:t xml:space="preserve"> The relief in [CO 13/797] and LI 2016/65 </w:t>
      </w:r>
      <w:r w:rsidR="00E7413A">
        <w:t xml:space="preserve">were made to provide flexibility for superannuation trustees and platform providers, and remove </w:t>
      </w:r>
      <w:r w:rsidR="00536BAD">
        <w:t>administrative</w:t>
      </w:r>
      <w:r w:rsidR="00E7413A">
        <w:t xml:space="preserve"> costs associated with meeting particular requirements in the Act.</w:t>
      </w:r>
      <w:r w:rsidR="00A63D1C">
        <w:t xml:space="preserve"> </w:t>
      </w:r>
      <w:r w:rsidRPr="00BF5986">
        <w:t xml:space="preserve">  </w:t>
      </w:r>
    </w:p>
    <w:p w14:paraId="08F2161C" w14:textId="77777777" w:rsidR="007937FD" w:rsidRPr="007937FD" w:rsidRDefault="007937FD" w:rsidP="007937FD">
      <w:pPr>
        <w:pStyle w:val="LI-BodyTextParaa"/>
        <w:numPr>
          <w:ilvl w:val="0"/>
          <w:numId w:val="23"/>
        </w:numPr>
      </w:pPr>
      <w:r w:rsidRPr="007937FD">
        <w:t xml:space="preserve">If the Act or Regulations are amended to include the relief, ASIC will </w:t>
      </w:r>
      <w:r w:rsidR="00E0644F">
        <w:t xml:space="preserve">repeal </w:t>
      </w:r>
      <w:r w:rsidRPr="007937FD">
        <w:t xml:space="preserve">the Instrument. </w:t>
      </w:r>
    </w:p>
    <w:p w14:paraId="4A46DABB" w14:textId="77777777" w:rsidR="00184B38" w:rsidRPr="00494F4A" w:rsidRDefault="00184B38" w:rsidP="00184B38">
      <w:pPr>
        <w:pStyle w:val="LI-BodyTextParaa"/>
        <w:ind w:left="0" w:firstLine="0"/>
        <w:rPr>
          <w:b/>
        </w:rPr>
      </w:pPr>
      <w:r w:rsidRPr="00494F4A">
        <w:rPr>
          <w:b/>
        </w:rPr>
        <w:t xml:space="preserve">Statement of Compatibility with Human Rights  </w:t>
      </w:r>
    </w:p>
    <w:bookmarkEnd w:id="6"/>
    <w:p w14:paraId="1B42185E" w14:textId="77777777" w:rsidR="00223DCF" w:rsidRPr="00494F4A" w:rsidRDefault="0018246C" w:rsidP="00D320A4">
      <w:pPr>
        <w:pStyle w:val="LI-BodyTextParaa"/>
        <w:numPr>
          <w:ilvl w:val="0"/>
          <w:numId w:val="23"/>
        </w:numPr>
      </w:pPr>
      <w:r>
        <w:t>A</w:t>
      </w:r>
      <w:r w:rsidR="00223DCF" w:rsidRPr="00494F4A">
        <w:t xml:space="preserve"> Statement of Compatibility with Human Rights </w:t>
      </w:r>
      <w:r>
        <w:t xml:space="preserve">consistent with </w:t>
      </w:r>
      <w:r w:rsidR="00223DCF" w:rsidRPr="00494F4A">
        <w:t xml:space="preserve">subsection 9(1) of the </w:t>
      </w:r>
      <w:r w:rsidR="00223DCF" w:rsidRPr="00494F4A">
        <w:rPr>
          <w:i/>
          <w:iCs/>
        </w:rPr>
        <w:t>Human Rights (Parliamentary Scrutiny) Act 2011</w:t>
      </w:r>
      <w:r w:rsidR="00223DCF" w:rsidRPr="00494F4A">
        <w:t xml:space="preserve"> is in the </w:t>
      </w:r>
      <w:r w:rsidR="00223DCF" w:rsidRPr="00494F4A">
        <w:rPr>
          <w:u w:val="single"/>
        </w:rPr>
        <w:t>Attachment</w:t>
      </w:r>
      <w:r w:rsidR="00223DCF" w:rsidRPr="00494F4A">
        <w:t xml:space="preserve">. </w:t>
      </w:r>
    </w:p>
    <w:p w14:paraId="51AD9F38" w14:textId="77777777" w:rsidR="00223DCF" w:rsidRPr="00EA17A6" w:rsidRDefault="00223DCF" w:rsidP="00223DCF">
      <w:pPr>
        <w:pStyle w:val="LI-BodyTextParaa"/>
        <w:ind w:left="567"/>
        <w:jc w:val="right"/>
        <w:rPr>
          <w:u w:val="single"/>
        </w:rPr>
      </w:pPr>
      <w:r w:rsidRPr="00494F4A">
        <w:rPr>
          <w:color w:val="FF0000"/>
        </w:rPr>
        <w:br w:type="page"/>
      </w:r>
      <w:r w:rsidRPr="00EA17A6">
        <w:rPr>
          <w:u w:val="single"/>
        </w:rPr>
        <w:lastRenderedPageBreak/>
        <w:t xml:space="preserve">Attachment </w:t>
      </w:r>
    </w:p>
    <w:p w14:paraId="0CC215B7"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0CC7D650" w14:textId="77777777" w:rsidR="00AE787B" w:rsidRPr="00EA17A6" w:rsidRDefault="00AE787B" w:rsidP="00223DCF">
      <w:pPr>
        <w:pStyle w:val="LI-BodyTextNumbered"/>
        <w:ind w:left="0" w:firstLine="0"/>
        <w:rPr>
          <w:iCs/>
        </w:rPr>
      </w:pPr>
      <w:bookmarkStart w:id="7" w:name="_Hlk534286677"/>
    </w:p>
    <w:p w14:paraId="697583D1" w14:textId="77777777" w:rsidR="00223DCF" w:rsidRPr="00494F4A" w:rsidRDefault="00223DCF" w:rsidP="00223DCF">
      <w:pPr>
        <w:pStyle w:val="LI-BodyTextNumbered"/>
        <w:ind w:left="0" w:firstLine="0"/>
        <w:rPr>
          <w:iCs/>
        </w:rPr>
      </w:pPr>
      <w:r w:rsidRPr="0095459E">
        <w:rPr>
          <w:iCs/>
        </w:rPr>
        <w:t xml:space="preserve">This Statement of Compatibility with Human Rights is prepared in accordance with Part 3 of </w:t>
      </w:r>
      <w:bookmarkStart w:id="8" w:name="_Hlk4054932"/>
      <w:r w:rsidRPr="0095459E">
        <w:rPr>
          <w:iCs/>
        </w:rPr>
        <w:t xml:space="preserve">the </w:t>
      </w:r>
      <w:r w:rsidRPr="0095459E">
        <w:rPr>
          <w:i/>
          <w:iCs/>
        </w:rPr>
        <w:t>Hu</w:t>
      </w:r>
      <w:r w:rsidRPr="00494F4A">
        <w:rPr>
          <w:i/>
          <w:iCs/>
        </w:rPr>
        <w:t>man Rights (Parliamentary Scrutiny) Act 2011</w:t>
      </w:r>
      <w:bookmarkEnd w:id="8"/>
      <w:r w:rsidRPr="00494F4A">
        <w:rPr>
          <w:iCs/>
        </w:rPr>
        <w:t xml:space="preserve">.   </w:t>
      </w:r>
    </w:p>
    <w:p w14:paraId="5C4ED113" w14:textId="77777777" w:rsidR="002F5812" w:rsidRPr="00494F4A" w:rsidRDefault="002F5812" w:rsidP="002F5812">
      <w:pPr>
        <w:pStyle w:val="LI-BodyTextNumbered"/>
        <w:ind w:left="0" w:firstLine="0"/>
        <w:rPr>
          <w:b/>
          <w:bCs/>
        </w:rPr>
      </w:pPr>
      <w:r w:rsidRPr="00494F4A">
        <w:rPr>
          <w:b/>
          <w:bCs/>
          <w:i/>
          <w:iCs/>
        </w:rPr>
        <w:t>ASIC Corporations (Shorter PDS and Delivery of Accessible Financial Products Disclosure by Platform Operators and Superannuation Trustees) Instrument 2022/</w:t>
      </w:r>
      <w:r w:rsidR="00A027F8">
        <w:rPr>
          <w:b/>
          <w:bCs/>
          <w:i/>
          <w:iCs/>
        </w:rPr>
        <w:t>497</w:t>
      </w:r>
      <w:r w:rsidRPr="00494F4A">
        <w:rPr>
          <w:b/>
          <w:bCs/>
        </w:rPr>
        <w:t xml:space="preserve"> </w:t>
      </w:r>
    </w:p>
    <w:p w14:paraId="56B7B22C" w14:textId="77777777" w:rsidR="00223DCF" w:rsidRPr="00494F4A" w:rsidRDefault="00223DCF" w:rsidP="002F5812">
      <w:pPr>
        <w:pStyle w:val="LI-BodyTextNumbered"/>
        <w:ind w:left="0" w:firstLine="0"/>
        <w:rPr>
          <w:u w:val="single"/>
        </w:rPr>
      </w:pPr>
      <w:r w:rsidRPr="00494F4A">
        <w:rPr>
          <w:u w:val="single"/>
        </w:rPr>
        <w:t>Overview</w:t>
      </w:r>
    </w:p>
    <w:p w14:paraId="603B2DE1" w14:textId="77777777" w:rsidR="00291871" w:rsidRPr="00494F4A" w:rsidRDefault="00F15263" w:rsidP="00F15263">
      <w:pPr>
        <w:numPr>
          <w:ilvl w:val="0"/>
          <w:numId w:val="18"/>
        </w:numPr>
        <w:spacing w:before="240" w:line="240" w:lineRule="auto"/>
        <w:rPr>
          <w:rFonts w:eastAsia="Times New Roman"/>
          <w:sz w:val="24"/>
          <w:szCs w:val="24"/>
          <w:lang w:eastAsia="en-AU"/>
        </w:rPr>
      </w:pPr>
      <w:bookmarkStart w:id="9" w:name="_Hlk102053080"/>
      <w:r w:rsidRPr="00494F4A">
        <w:rPr>
          <w:rFonts w:eastAsia="Times New Roman"/>
          <w:sz w:val="24"/>
          <w:szCs w:val="24"/>
          <w:lang w:eastAsia="en-AU"/>
        </w:rPr>
        <w:t xml:space="preserve">The </w:t>
      </w:r>
      <w:r w:rsidRPr="00494F4A">
        <w:rPr>
          <w:rFonts w:eastAsia="Times New Roman"/>
          <w:i/>
          <w:iCs/>
          <w:sz w:val="24"/>
          <w:szCs w:val="24"/>
          <w:lang w:eastAsia="en-AU"/>
        </w:rPr>
        <w:t>ASIC Corporations (Shorter PDS and Delivery of Accessible Financial Products Disclosure by Platform Operators and Superannuation Trustees) Instrument 2022/</w:t>
      </w:r>
      <w:r w:rsidR="00A027F8">
        <w:rPr>
          <w:rFonts w:eastAsia="Times New Roman"/>
          <w:i/>
          <w:iCs/>
          <w:sz w:val="24"/>
          <w:szCs w:val="24"/>
          <w:lang w:eastAsia="en-AU"/>
        </w:rPr>
        <w:t>497</w:t>
      </w:r>
      <w:r w:rsidRPr="00494F4A">
        <w:rPr>
          <w:rFonts w:eastAsia="Times New Roman"/>
          <w:sz w:val="24"/>
          <w:szCs w:val="24"/>
          <w:lang w:eastAsia="en-AU"/>
        </w:rPr>
        <w:t xml:space="preserve"> </w:t>
      </w:r>
      <w:r w:rsidR="00AD52EB" w:rsidRPr="00494F4A">
        <w:rPr>
          <w:rFonts w:eastAsia="Times New Roman"/>
          <w:sz w:val="24"/>
          <w:szCs w:val="24"/>
          <w:lang w:eastAsia="en-AU"/>
        </w:rPr>
        <w:t>continues</w:t>
      </w:r>
      <w:r w:rsidRPr="00494F4A">
        <w:rPr>
          <w:rFonts w:eastAsia="Times New Roman"/>
          <w:sz w:val="24"/>
          <w:szCs w:val="24"/>
          <w:lang w:eastAsia="en-AU"/>
        </w:rPr>
        <w:t xml:space="preserve">, with </w:t>
      </w:r>
      <w:r w:rsidR="00FD2129" w:rsidRPr="00494F4A">
        <w:rPr>
          <w:rFonts w:eastAsia="Times New Roman"/>
          <w:sz w:val="24"/>
          <w:szCs w:val="24"/>
          <w:lang w:eastAsia="en-AU"/>
        </w:rPr>
        <w:t>limited</w:t>
      </w:r>
      <w:r w:rsidRPr="00494F4A">
        <w:rPr>
          <w:rFonts w:eastAsia="Times New Roman"/>
          <w:sz w:val="24"/>
          <w:szCs w:val="24"/>
          <w:lang w:eastAsia="en-AU"/>
        </w:rPr>
        <w:t xml:space="preserve"> changes, relief previously provided in ASIC Class Orders [CO 12/749] and [CO 13/797], and </w:t>
      </w:r>
      <w:r w:rsidRPr="00494F4A">
        <w:rPr>
          <w:rFonts w:eastAsia="Times New Roman"/>
          <w:i/>
          <w:iCs/>
          <w:sz w:val="24"/>
          <w:szCs w:val="24"/>
          <w:lang w:eastAsia="en-AU"/>
        </w:rPr>
        <w:t>ASIC Corporations (Superannuation: Investment Strategies) Instrument 2016/65</w:t>
      </w:r>
      <w:r w:rsidRPr="00494F4A">
        <w:rPr>
          <w:rFonts w:eastAsia="Times New Roman"/>
          <w:sz w:val="24"/>
          <w:szCs w:val="24"/>
          <w:lang w:eastAsia="en-AU"/>
        </w:rPr>
        <w:t xml:space="preserve">, </w:t>
      </w:r>
      <w:r w:rsidR="00682B5A" w:rsidRPr="00494F4A">
        <w:rPr>
          <w:rFonts w:eastAsia="Times New Roman"/>
          <w:sz w:val="24"/>
          <w:szCs w:val="24"/>
          <w:lang w:eastAsia="en-AU"/>
        </w:rPr>
        <w:t xml:space="preserve">in a new instrument </w:t>
      </w:r>
      <w:r w:rsidRPr="00494F4A">
        <w:rPr>
          <w:rFonts w:eastAsia="Times New Roman"/>
          <w:sz w:val="24"/>
          <w:szCs w:val="24"/>
          <w:lang w:eastAsia="en-AU"/>
        </w:rPr>
        <w:t xml:space="preserve">until 1 October 2027. </w:t>
      </w:r>
    </w:p>
    <w:bookmarkEnd w:id="9"/>
    <w:p w14:paraId="595C0028" w14:textId="77777777" w:rsidR="00CB2D96" w:rsidRPr="00494F4A" w:rsidRDefault="00F15263" w:rsidP="00F15263">
      <w:pPr>
        <w:numPr>
          <w:ilvl w:val="0"/>
          <w:numId w:val="18"/>
        </w:numPr>
        <w:spacing w:before="240" w:line="240" w:lineRule="auto"/>
        <w:rPr>
          <w:rFonts w:eastAsia="Times New Roman"/>
          <w:sz w:val="24"/>
          <w:szCs w:val="24"/>
          <w:lang w:eastAsia="en-AU"/>
        </w:rPr>
      </w:pPr>
      <w:r w:rsidRPr="00494F4A">
        <w:rPr>
          <w:rFonts w:eastAsia="Times New Roman"/>
          <w:sz w:val="24"/>
          <w:szCs w:val="24"/>
          <w:lang w:eastAsia="en-AU"/>
        </w:rPr>
        <w:t xml:space="preserve">This means that ASIC </w:t>
      </w:r>
      <w:r w:rsidR="00291871" w:rsidRPr="00494F4A">
        <w:rPr>
          <w:rFonts w:eastAsia="Times New Roman"/>
          <w:sz w:val="24"/>
          <w:szCs w:val="24"/>
          <w:lang w:eastAsia="en-AU"/>
        </w:rPr>
        <w:t xml:space="preserve">will </w:t>
      </w:r>
      <w:r w:rsidRPr="00494F4A">
        <w:rPr>
          <w:rFonts w:eastAsia="Times New Roman"/>
          <w:sz w:val="24"/>
          <w:szCs w:val="24"/>
          <w:lang w:eastAsia="en-AU"/>
        </w:rPr>
        <w:t xml:space="preserve">continue to provide </w:t>
      </w:r>
      <w:r w:rsidR="00291871" w:rsidRPr="00494F4A">
        <w:rPr>
          <w:rFonts w:eastAsia="Times New Roman"/>
          <w:sz w:val="24"/>
          <w:szCs w:val="24"/>
          <w:lang w:eastAsia="en-AU"/>
        </w:rPr>
        <w:t xml:space="preserve">conditional </w:t>
      </w:r>
      <w:r w:rsidRPr="00494F4A">
        <w:rPr>
          <w:rFonts w:eastAsia="Times New Roman"/>
          <w:sz w:val="24"/>
          <w:szCs w:val="24"/>
          <w:lang w:eastAsia="en-AU"/>
        </w:rPr>
        <w:t>relief relating to</w:t>
      </w:r>
      <w:r w:rsidR="002F5812" w:rsidRPr="00494F4A">
        <w:rPr>
          <w:rFonts w:eastAsia="Times New Roman"/>
          <w:sz w:val="24"/>
          <w:szCs w:val="24"/>
          <w:lang w:eastAsia="en-AU"/>
        </w:rPr>
        <w:t>:</w:t>
      </w:r>
    </w:p>
    <w:p w14:paraId="397EDC31" w14:textId="77777777" w:rsidR="002F5812" w:rsidRPr="00494F4A" w:rsidRDefault="002F5812" w:rsidP="00F13B48">
      <w:pPr>
        <w:pStyle w:val="LI-BodyTextParaa"/>
        <w:numPr>
          <w:ilvl w:val="1"/>
          <w:numId w:val="23"/>
        </w:numPr>
        <w:rPr>
          <w:bCs/>
        </w:rPr>
      </w:pPr>
      <w:r w:rsidRPr="00494F4A">
        <w:t xml:space="preserve">the </w:t>
      </w:r>
      <w:r w:rsidR="00F15263" w:rsidRPr="00494F4A">
        <w:t>s</w:t>
      </w:r>
      <w:r w:rsidRPr="00494F4A">
        <w:t xml:space="preserve">horter </w:t>
      </w:r>
      <w:r w:rsidR="00F15263" w:rsidRPr="00494F4A">
        <w:t>product disclosure stateme</w:t>
      </w:r>
      <w:r w:rsidR="00291871" w:rsidRPr="00494F4A">
        <w:t>n</w:t>
      </w:r>
      <w:r w:rsidR="00F15263" w:rsidRPr="00494F4A">
        <w:t>t (</w:t>
      </w:r>
      <w:r w:rsidRPr="00494F4A">
        <w:rPr>
          <w:b/>
          <w:bCs/>
        </w:rPr>
        <w:t>PDS</w:t>
      </w:r>
      <w:r w:rsidR="00F15263" w:rsidRPr="00494F4A">
        <w:t>)</w:t>
      </w:r>
      <w:r w:rsidRPr="00494F4A">
        <w:t xml:space="preserve"> regime for superannuation platforms</w:t>
      </w:r>
      <w:r w:rsidR="00F15263" w:rsidRPr="00494F4A">
        <w:t xml:space="preserve">, </w:t>
      </w:r>
      <w:r w:rsidRPr="00494F4A">
        <w:t>multifinds</w:t>
      </w:r>
      <w:r w:rsidR="00F15263" w:rsidRPr="00494F4A">
        <w:t xml:space="preserve">, </w:t>
      </w:r>
      <w:r w:rsidRPr="00494F4A">
        <w:t>hedge funds</w:t>
      </w:r>
      <w:r w:rsidR="00F15263" w:rsidRPr="00494F4A">
        <w:t xml:space="preserve"> and fund of hedge </w:t>
      </w:r>
      <w:proofErr w:type="gramStart"/>
      <w:r w:rsidR="00F15263" w:rsidRPr="00494F4A">
        <w:t>funds</w:t>
      </w:r>
      <w:r w:rsidR="00086055" w:rsidRPr="00494F4A">
        <w:t>;</w:t>
      </w:r>
      <w:proofErr w:type="gramEnd"/>
    </w:p>
    <w:p w14:paraId="52D21F96" w14:textId="77777777" w:rsidR="002F5812" w:rsidRPr="00494F4A" w:rsidRDefault="002F5812" w:rsidP="00F13B48">
      <w:pPr>
        <w:pStyle w:val="LI-BodyTextParaa"/>
        <w:numPr>
          <w:ilvl w:val="1"/>
          <w:numId w:val="23"/>
        </w:numPr>
        <w:rPr>
          <w:bCs/>
        </w:rPr>
      </w:pPr>
      <w:r w:rsidRPr="00494F4A">
        <w:rPr>
          <w:bCs/>
        </w:rPr>
        <w:t>the giving of PDSs for superannuation trustees who offer a choice of investment strategies; and</w:t>
      </w:r>
    </w:p>
    <w:p w14:paraId="6212AAE3" w14:textId="77777777" w:rsidR="00F15263" w:rsidRPr="00494F4A" w:rsidRDefault="002F5812" w:rsidP="00F13B48">
      <w:pPr>
        <w:pStyle w:val="LI-BodyTextParaa"/>
        <w:numPr>
          <w:ilvl w:val="1"/>
          <w:numId w:val="23"/>
        </w:numPr>
        <w:rPr>
          <w:bCs/>
        </w:rPr>
      </w:pPr>
      <w:r w:rsidRPr="00494F4A">
        <w:rPr>
          <w:bCs/>
        </w:rPr>
        <w:t>trustees of superannuation entities</w:t>
      </w:r>
      <w:r w:rsidR="00291871" w:rsidRPr="00494F4A">
        <w:rPr>
          <w:bCs/>
        </w:rPr>
        <w:t>, operators of investor directed portfolio services (</w:t>
      </w:r>
      <w:r w:rsidR="00291871" w:rsidRPr="00494F4A">
        <w:rPr>
          <w:b/>
        </w:rPr>
        <w:t>IDPSs</w:t>
      </w:r>
      <w:r w:rsidR="00291871" w:rsidRPr="00494F4A">
        <w:rPr>
          <w:bCs/>
        </w:rPr>
        <w:t>) and responsible entities of IDPS-like schemes</w:t>
      </w:r>
      <w:r w:rsidRPr="00494F4A">
        <w:rPr>
          <w:bCs/>
        </w:rPr>
        <w:t xml:space="preserve"> delivering a PDS using an agent who is an Australian financial services licensee (</w:t>
      </w:r>
      <w:r w:rsidRPr="00494F4A">
        <w:rPr>
          <w:b/>
        </w:rPr>
        <w:t>AFS licensee</w:t>
      </w:r>
      <w:r w:rsidRPr="00494F4A">
        <w:rPr>
          <w:bCs/>
        </w:rPr>
        <w:t>) or an authorised representative of a</w:t>
      </w:r>
      <w:r w:rsidR="00F15263" w:rsidRPr="00494F4A">
        <w:rPr>
          <w:bCs/>
        </w:rPr>
        <w:t>n AFS</w:t>
      </w:r>
      <w:r w:rsidRPr="00494F4A">
        <w:rPr>
          <w:bCs/>
        </w:rPr>
        <w:t xml:space="preserve"> licensee. </w:t>
      </w:r>
    </w:p>
    <w:p w14:paraId="0132A7CD" w14:textId="77777777" w:rsidR="002F5812" w:rsidRPr="00494F4A" w:rsidRDefault="002F5812" w:rsidP="002F5812">
      <w:pPr>
        <w:pStyle w:val="LI-BodyTextNumbered"/>
        <w:ind w:left="0" w:firstLine="0"/>
        <w:rPr>
          <w:u w:val="single"/>
        </w:rPr>
      </w:pPr>
      <w:r w:rsidRPr="00494F4A">
        <w:rPr>
          <w:u w:val="single"/>
        </w:rPr>
        <w:t>Assessment of human rights implications</w:t>
      </w:r>
    </w:p>
    <w:p w14:paraId="0F5C1514" w14:textId="77777777" w:rsidR="002F5812" w:rsidRPr="00494F4A" w:rsidRDefault="002F5812" w:rsidP="002F5812">
      <w:pPr>
        <w:pStyle w:val="ListParagraph"/>
        <w:ind w:left="0"/>
        <w:rPr>
          <w:rFonts w:eastAsia="Times New Roman"/>
          <w:sz w:val="24"/>
          <w:szCs w:val="24"/>
          <w:lang w:eastAsia="en-AU"/>
        </w:rPr>
      </w:pPr>
    </w:p>
    <w:p w14:paraId="5AA15D2F" w14:textId="77777777" w:rsidR="002F5812" w:rsidRPr="0095459E" w:rsidRDefault="002F5812" w:rsidP="002F5812">
      <w:pPr>
        <w:numPr>
          <w:ilvl w:val="0"/>
          <w:numId w:val="18"/>
        </w:numPr>
        <w:rPr>
          <w:rFonts w:eastAsia="Times New Roman"/>
          <w:sz w:val="24"/>
          <w:szCs w:val="24"/>
          <w:lang w:eastAsia="en-AU"/>
        </w:rPr>
      </w:pPr>
      <w:r w:rsidRPr="0095459E">
        <w:rPr>
          <w:sz w:val="24"/>
          <w:szCs w:val="24"/>
        </w:rPr>
        <w:t>This instrument does not engage any of the applicable rights or freedoms.</w:t>
      </w:r>
    </w:p>
    <w:p w14:paraId="7B80ACE6" w14:textId="77777777" w:rsidR="002F5812" w:rsidRPr="0095459E" w:rsidRDefault="002F5812" w:rsidP="002F5812">
      <w:pPr>
        <w:pStyle w:val="LI-BodyTextNumbered"/>
        <w:ind w:left="0" w:firstLine="0"/>
        <w:rPr>
          <w:u w:val="single"/>
        </w:rPr>
      </w:pPr>
      <w:r w:rsidRPr="0095459E">
        <w:rPr>
          <w:u w:val="single"/>
        </w:rPr>
        <w:t>Conclusion</w:t>
      </w:r>
    </w:p>
    <w:p w14:paraId="1275ED64" w14:textId="77777777" w:rsidR="002F5812" w:rsidRPr="0095459E" w:rsidRDefault="002F5812" w:rsidP="002F5812">
      <w:pPr>
        <w:rPr>
          <w:rFonts w:eastAsia="Times New Roman"/>
          <w:sz w:val="24"/>
          <w:szCs w:val="24"/>
          <w:lang w:eastAsia="en-AU"/>
        </w:rPr>
      </w:pPr>
    </w:p>
    <w:p w14:paraId="5120D64A" w14:textId="77777777" w:rsidR="002F5812" w:rsidRPr="0095459E" w:rsidRDefault="002F5812" w:rsidP="002F5812">
      <w:pPr>
        <w:numPr>
          <w:ilvl w:val="0"/>
          <w:numId w:val="18"/>
        </w:numPr>
        <w:rPr>
          <w:rFonts w:eastAsia="Times New Roman"/>
          <w:sz w:val="24"/>
          <w:szCs w:val="24"/>
          <w:lang w:eastAsia="en-AU"/>
        </w:rPr>
      </w:pPr>
      <w:r w:rsidRPr="0095459E">
        <w:rPr>
          <w:sz w:val="24"/>
          <w:szCs w:val="24"/>
        </w:rPr>
        <w:t xml:space="preserve">This </w:t>
      </w:r>
      <w:r w:rsidR="002A6C0B" w:rsidRPr="0095459E">
        <w:rPr>
          <w:sz w:val="24"/>
          <w:szCs w:val="24"/>
        </w:rPr>
        <w:t>instrument</w:t>
      </w:r>
      <w:r w:rsidRPr="0095459E">
        <w:rPr>
          <w:sz w:val="24"/>
          <w:szCs w:val="24"/>
        </w:rPr>
        <w:t xml:space="preserve"> is compatible with the human rights and freedoms recognised or declared in the international instruments listed in section 3 of </w:t>
      </w:r>
      <w:r w:rsidRPr="0095459E">
        <w:rPr>
          <w:iCs/>
          <w:sz w:val="24"/>
          <w:szCs w:val="24"/>
        </w:rPr>
        <w:t xml:space="preserve">the </w:t>
      </w:r>
      <w:r w:rsidRPr="0095459E">
        <w:rPr>
          <w:i/>
          <w:iCs/>
          <w:sz w:val="24"/>
          <w:szCs w:val="24"/>
        </w:rPr>
        <w:t>Human Rights (Parliamentary Scrutiny) Act 2011</w:t>
      </w:r>
      <w:r w:rsidRPr="0095459E">
        <w:rPr>
          <w:sz w:val="24"/>
          <w:szCs w:val="24"/>
        </w:rPr>
        <w:t>.</w:t>
      </w:r>
    </w:p>
    <w:bookmarkEnd w:id="7"/>
    <w:p w14:paraId="73C9C13A" w14:textId="77777777" w:rsidR="00CB2D96" w:rsidRPr="0095459E" w:rsidRDefault="00CB2D96" w:rsidP="002F5812">
      <w:pPr>
        <w:pStyle w:val="LI-BodyTextNumbered"/>
        <w:ind w:left="0" w:firstLine="0"/>
      </w:pPr>
    </w:p>
    <w:p w14:paraId="1E06C0F0" w14:textId="77777777" w:rsidR="00CB2D96" w:rsidRPr="00EA17A6" w:rsidRDefault="00CB2D96" w:rsidP="00D306F8">
      <w:pPr>
        <w:pStyle w:val="LI-BodyTextNumbered"/>
        <w:ind w:left="567"/>
      </w:pPr>
    </w:p>
    <w:sectPr w:rsidR="00CB2D96" w:rsidRPr="00EA17A6" w:rsidSect="00863657">
      <w:headerReference w:type="even" r:id="rId16"/>
      <w:headerReference w:type="default" r:id="rId17"/>
      <w:footerReference w:type="defaul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1E43" w14:textId="77777777" w:rsidR="00E425D6" w:rsidRDefault="00E425D6" w:rsidP="00715914">
      <w:pPr>
        <w:spacing w:line="240" w:lineRule="auto"/>
      </w:pPr>
      <w:r>
        <w:separator/>
      </w:r>
    </w:p>
  </w:endnote>
  <w:endnote w:type="continuationSeparator" w:id="0">
    <w:p w14:paraId="7D2DAB93" w14:textId="77777777" w:rsidR="00E425D6" w:rsidRDefault="00E425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B733"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C66189C"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30A9" w14:textId="77777777" w:rsidR="00E425D6" w:rsidRDefault="00E425D6" w:rsidP="00715914">
      <w:pPr>
        <w:spacing w:line="240" w:lineRule="auto"/>
      </w:pPr>
      <w:r>
        <w:separator/>
      </w:r>
    </w:p>
  </w:footnote>
  <w:footnote w:type="continuationSeparator" w:id="0">
    <w:p w14:paraId="235A571B" w14:textId="77777777" w:rsidR="00E425D6" w:rsidRDefault="00E425D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2293"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186CD492" w14:textId="77777777" w:rsidTr="001E77ED">
      <w:tc>
        <w:tcPr>
          <w:tcW w:w="4253" w:type="dxa"/>
          <w:shd w:val="clear" w:color="auto" w:fill="auto"/>
        </w:tcPr>
        <w:p w14:paraId="0B98C955" w14:textId="77777777" w:rsidR="00F4215A" w:rsidRDefault="00F4215A" w:rsidP="00E40FF8">
          <w:pPr>
            <w:pStyle w:val="LI-Header"/>
            <w:pBdr>
              <w:bottom w:val="none" w:sz="0" w:space="0" w:color="auto"/>
            </w:pBdr>
            <w:jc w:val="left"/>
          </w:pPr>
        </w:p>
      </w:tc>
      <w:tc>
        <w:tcPr>
          <w:tcW w:w="4060" w:type="dxa"/>
          <w:shd w:val="clear" w:color="auto" w:fill="auto"/>
        </w:tcPr>
        <w:p w14:paraId="7F707607" w14:textId="77777777" w:rsidR="00F4215A" w:rsidRDefault="00F4215A" w:rsidP="00F03BB5">
          <w:pPr>
            <w:pStyle w:val="LI-BodyTextNumbered"/>
          </w:pPr>
        </w:p>
      </w:tc>
    </w:tr>
  </w:tbl>
  <w:p w14:paraId="2223996B"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17C09"/>
    <w:multiLevelType w:val="hybridMultilevel"/>
    <w:tmpl w:val="DEE8F13A"/>
    <w:lvl w:ilvl="0" w:tplc="C26E8842">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A87125"/>
    <w:multiLevelType w:val="hybridMultilevel"/>
    <w:tmpl w:val="C1960E9C"/>
    <w:lvl w:ilvl="0" w:tplc="CBD2C002">
      <w:start w:val="1"/>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A7714C"/>
    <w:multiLevelType w:val="hybridMultilevel"/>
    <w:tmpl w:val="9482E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440A8D"/>
    <w:multiLevelType w:val="hybridMultilevel"/>
    <w:tmpl w:val="D80257B6"/>
    <w:lvl w:ilvl="0" w:tplc="9ED2674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973FA"/>
    <w:multiLevelType w:val="hybridMultilevel"/>
    <w:tmpl w:val="F0349CF6"/>
    <w:lvl w:ilvl="0" w:tplc="FE442548">
      <w:start w:val="1"/>
      <w:numFmt w:val="decimal"/>
      <w:lvlText w:val="%1."/>
      <w:lvlJc w:val="left"/>
      <w:pPr>
        <w:ind w:left="570" w:hanging="570"/>
      </w:pPr>
      <w:rPr>
        <w:rFonts w:hint="default"/>
        <w:b w:val="0"/>
        <w:bCs w:val="0"/>
        <w:i w:val="0"/>
        <w:iCs w:val="0"/>
      </w:rPr>
    </w:lvl>
    <w:lvl w:ilvl="1" w:tplc="214A9382">
      <w:start w:val="1"/>
      <w:numFmt w:val="lowerLetter"/>
      <w:lvlText w:val="%2."/>
      <w:lvlJc w:val="left"/>
      <w:pPr>
        <w:ind w:left="1080" w:hanging="360"/>
      </w:pPr>
      <w:rPr>
        <w:i w:val="0"/>
        <w:iCs w:val="0"/>
      </w:rPr>
    </w:lvl>
    <w:lvl w:ilvl="2" w:tplc="0C09001B">
      <w:start w:val="1"/>
      <w:numFmt w:val="lowerRoman"/>
      <w:lvlText w:val="%3."/>
      <w:lvlJc w:val="right"/>
      <w:pPr>
        <w:ind w:left="1800" w:hanging="180"/>
      </w:pPr>
    </w:lvl>
    <w:lvl w:ilvl="3" w:tplc="0C090015">
      <w:start w:val="1"/>
      <w:numFmt w:val="upperLetter"/>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F317DE"/>
    <w:multiLevelType w:val="hybridMultilevel"/>
    <w:tmpl w:val="60367320"/>
    <w:lvl w:ilvl="0" w:tplc="D9F2D3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795D48"/>
    <w:multiLevelType w:val="multilevel"/>
    <w:tmpl w:val="5E1A7C50"/>
    <w:name w:val="BulletedList"/>
    <w:lvl w:ilvl="0">
      <w:start w:val="1"/>
      <w:numFmt w:val="bullet"/>
      <w:pStyle w:val="Bulletedlist1"/>
      <w:lvlText w:val=""/>
      <w:lvlJc w:val="left"/>
      <w:pPr>
        <w:ind w:left="567" w:hanging="283"/>
      </w:pPr>
      <w:rPr>
        <w:rFonts w:ascii="Symbol" w:hAnsi="Symbol" w:hint="default"/>
        <w:color w:val="auto"/>
      </w:rPr>
    </w:lvl>
    <w:lvl w:ilvl="1">
      <w:start w:val="1"/>
      <w:numFmt w:val="bullet"/>
      <w:pStyle w:val="Bulletedlist2"/>
      <w:lvlText w:val="o"/>
      <w:lvlJc w:val="left"/>
      <w:pPr>
        <w:ind w:left="851" w:hanging="284"/>
      </w:pPr>
      <w:rPr>
        <w:rFonts w:ascii="Courier New" w:hAnsi="Courier New" w:hint="default"/>
      </w:rPr>
    </w:lvl>
    <w:lvl w:ilvl="2">
      <w:start w:val="1"/>
      <w:numFmt w:val="none"/>
      <w:lvlText w:val=""/>
      <w:lvlJc w:val="left"/>
      <w:pPr>
        <w:ind w:left="851" w:hanging="284"/>
      </w:pPr>
      <w:rPr>
        <w:rFonts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1" w15:restartNumberingAfterBreak="0">
    <w:nsid w:val="56915078"/>
    <w:multiLevelType w:val="hybridMultilevel"/>
    <w:tmpl w:val="98626FE4"/>
    <w:lvl w:ilvl="0" w:tplc="40E4CECA">
      <w:start w:val="6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FD55F8"/>
    <w:multiLevelType w:val="hybridMultilevel"/>
    <w:tmpl w:val="1B12FD0C"/>
    <w:lvl w:ilvl="0" w:tplc="6308A35E">
      <w:start w:val="63"/>
      <w:numFmt w:val="decimal"/>
      <w:lvlText w:val="%1."/>
      <w:lvlJc w:val="left"/>
      <w:pPr>
        <w:ind w:left="57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7472D2"/>
    <w:multiLevelType w:val="hybridMultilevel"/>
    <w:tmpl w:val="66AC72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99648A1"/>
    <w:multiLevelType w:val="hybridMultilevel"/>
    <w:tmpl w:val="B3322EAA"/>
    <w:lvl w:ilvl="0" w:tplc="3EAE1A4A">
      <w:start w:val="1"/>
      <w:numFmt w:val="decimal"/>
      <w:lvlText w:val="%1."/>
      <w:lvlJc w:val="left"/>
      <w:pPr>
        <w:ind w:left="360" w:hanging="360"/>
      </w:pPr>
      <w:rPr>
        <w:b w:val="0"/>
        <w:i w:val="0"/>
      </w:rPr>
    </w:lvl>
    <w:lvl w:ilvl="1" w:tplc="7A8A65C6">
      <w:start w:val="1"/>
      <w:numFmt w:val="lowerLetter"/>
      <w:lvlText w:val="(%2)"/>
      <w:lvlJc w:val="left"/>
      <w:pPr>
        <w:ind w:left="1080" w:hanging="360"/>
      </w:pPr>
      <w:rPr>
        <w:b w:val="0"/>
        <w:bCs/>
        <w:i w:val="0"/>
      </w:rPr>
    </w:lvl>
    <w:lvl w:ilvl="2" w:tplc="BA34EA80">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8"/>
  </w:num>
  <w:num w:numId="15">
    <w:abstractNumId w:val="17"/>
  </w:num>
  <w:num w:numId="16">
    <w:abstractNumId w:val="15"/>
  </w:num>
  <w:num w:numId="17">
    <w:abstractNumId w:val="13"/>
  </w:num>
  <w:num w:numId="18">
    <w:abstractNumId w:val="12"/>
  </w:num>
  <w:num w:numId="19">
    <w:abstractNumId w:val="20"/>
  </w:num>
  <w:num w:numId="20">
    <w:abstractNumId w:val="23"/>
  </w:num>
  <w:num w:numId="21">
    <w:abstractNumId w:val="14"/>
  </w:num>
  <w:num w:numId="22">
    <w:abstractNumId w:val="21"/>
  </w:num>
  <w:num w:numId="23">
    <w:abstractNumId w:val="2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3099F"/>
    <w:rsid w:val="00033B60"/>
    <w:rsid w:val="000437C1"/>
    <w:rsid w:val="000474FC"/>
    <w:rsid w:val="0005365D"/>
    <w:rsid w:val="000614BF"/>
    <w:rsid w:val="000624DA"/>
    <w:rsid w:val="0006250C"/>
    <w:rsid w:val="00081794"/>
    <w:rsid w:val="00084FF4"/>
    <w:rsid w:val="00086055"/>
    <w:rsid w:val="00091CC3"/>
    <w:rsid w:val="00092F5E"/>
    <w:rsid w:val="000A142F"/>
    <w:rsid w:val="000A6C39"/>
    <w:rsid w:val="000B58FA"/>
    <w:rsid w:val="000C55A0"/>
    <w:rsid w:val="000C5CFE"/>
    <w:rsid w:val="000D041F"/>
    <w:rsid w:val="000D05EF"/>
    <w:rsid w:val="000E2230"/>
    <w:rsid w:val="000E2261"/>
    <w:rsid w:val="000E3C2E"/>
    <w:rsid w:val="000F21C1"/>
    <w:rsid w:val="00102CA6"/>
    <w:rsid w:val="00103765"/>
    <w:rsid w:val="00103A50"/>
    <w:rsid w:val="0010745C"/>
    <w:rsid w:val="001130A7"/>
    <w:rsid w:val="00123831"/>
    <w:rsid w:val="001243B2"/>
    <w:rsid w:val="00125141"/>
    <w:rsid w:val="00132CEB"/>
    <w:rsid w:val="0013591B"/>
    <w:rsid w:val="00142B62"/>
    <w:rsid w:val="00143A36"/>
    <w:rsid w:val="00153B32"/>
    <w:rsid w:val="00157B8B"/>
    <w:rsid w:val="00160063"/>
    <w:rsid w:val="001624E1"/>
    <w:rsid w:val="00166C2F"/>
    <w:rsid w:val="00171A6E"/>
    <w:rsid w:val="001809D7"/>
    <w:rsid w:val="0018246C"/>
    <w:rsid w:val="00184B38"/>
    <w:rsid w:val="0018659E"/>
    <w:rsid w:val="001872DC"/>
    <w:rsid w:val="00191760"/>
    <w:rsid w:val="001939E1"/>
    <w:rsid w:val="00194C3E"/>
    <w:rsid w:val="00195382"/>
    <w:rsid w:val="00195BD4"/>
    <w:rsid w:val="001A2510"/>
    <w:rsid w:val="001A4388"/>
    <w:rsid w:val="001A68BE"/>
    <w:rsid w:val="001B7C2A"/>
    <w:rsid w:val="001C112D"/>
    <w:rsid w:val="001C61C5"/>
    <w:rsid w:val="001C69C4"/>
    <w:rsid w:val="001D0DC8"/>
    <w:rsid w:val="001D37EF"/>
    <w:rsid w:val="001E248D"/>
    <w:rsid w:val="001E3590"/>
    <w:rsid w:val="001E7407"/>
    <w:rsid w:val="001E77ED"/>
    <w:rsid w:val="001E7C81"/>
    <w:rsid w:val="001E7E2B"/>
    <w:rsid w:val="001F02B1"/>
    <w:rsid w:val="001F5D5E"/>
    <w:rsid w:val="001F6219"/>
    <w:rsid w:val="001F6CD4"/>
    <w:rsid w:val="00202BDB"/>
    <w:rsid w:val="00204D73"/>
    <w:rsid w:val="002053DE"/>
    <w:rsid w:val="00206C4D"/>
    <w:rsid w:val="00207654"/>
    <w:rsid w:val="0021053C"/>
    <w:rsid w:val="00214868"/>
    <w:rsid w:val="00215AF1"/>
    <w:rsid w:val="00220A36"/>
    <w:rsid w:val="00223DCF"/>
    <w:rsid w:val="002321E8"/>
    <w:rsid w:val="00236EEC"/>
    <w:rsid w:val="0024010F"/>
    <w:rsid w:val="00240749"/>
    <w:rsid w:val="00243018"/>
    <w:rsid w:val="00243689"/>
    <w:rsid w:val="00243EC0"/>
    <w:rsid w:val="002444C4"/>
    <w:rsid w:val="00244742"/>
    <w:rsid w:val="00246849"/>
    <w:rsid w:val="00252D5B"/>
    <w:rsid w:val="00255345"/>
    <w:rsid w:val="002564A4"/>
    <w:rsid w:val="002672B0"/>
    <w:rsid w:val="0026736C"/>
    <w:rsid w:val="00274604"/>
    <w:rsid w:val="00281308"/>
    <w:rsid w:val="00281813"/>
    <w:rsid w:val="00284719"/>
    <w:rsid w:val="00291871"/>
    <w:rsid w:val="00297ECB"/>
    <w:rsid w:val="00297FE2"/>
    <w:rsid w:val="002A693B"/>
    <w:rsid w:val="002A6C0B"/>
    <w:rsid w:val="002A7328"/>
    <w:rsid w:val="002A7BCF"/>
    <w:rsid w:val="002B19F3"/>
    <w:rsid w:val="002B4A0D"/>
    <w:rsid w:val="002C7B6F"/>
    <w:rsid w:val="002D043A"/>
    <w:rsid w:val="002D6224"/>
    <w:rsid w:val="002E1638"/>
    <w:rsid w:val="002E3F4B"/>
    <w:rsid w:val="002F1F74"/>
    <w:rsid w:val="002F5812"/>
    <w:rsid w:val="002F58B3"/>
    <w:rsid w:val="0030018D"/>
    <w:rsid w:val="0030396A"/>
    <w:rsid w:val="00304F8B"/>
    <w:rsid w:val="00306AD9"/>
    <w:rsid w:val="00306C63"/>
    <w:rsid w:val="00327DDF"/>
    <w:rsid w:val="003354D2"/>
    <w:rsid w:val="00335BC6"/>
    <w:rsid w:val="003415D3"/>
    <w:rsid w:val="00344701"/>
    <w:rsid w:val="003528DA"/>
    <w:rsid w:val="00352B0F"/>
    <w:rsid w:val="00356690"/>
    <w:rsid w:val="00357DD0"/>
    <w:rsid w:val="00357FA0"/>
    <w:rsid w:val="00360459"/>
    <w:rsid w:val="0036188D"/>
    <w:rsid w:val="00364008"/>
    <w:rsid w:val="00365497"/>
    <w:rsid w:val="00386A28"/>
    <w:rsid w:val="00387A96"/>
    <w:rsid w:val="00395DD1"/>
    <w:rsid w:val="003A2A48"/>
    <w:rsid w:val="003A4443"/>
    <w:rsid w:val="003B28C3"/>
    <w:rsid w:val="003B732F"/>
    <w:rsid w:val="003C6231"/>
    <w:rsid w:val="003C62EF"/>
    <w:rsid w:val="003C650E"/>
    <w:rsid w:val="003C6DD3"/>
    <w:rsid w:val="003D0BFE"/>
    <w:rsid w:val="003D5700"/>
    <w:rsid w:val="003E0F99"/>
    <w:rsid w:val="003E341B"/>
    <w:rsid w:val="003F3EFD"/>
    <w:rsid w:val="0040053F"/>
    <w:rsid w:val="0041034E"/>
    <w:rsid w:val="004116CD"/>
    <w:rsid w:val="004144EC"/>
    <w:rsid w:val="00417EB9"/>
    <w:rsid w:val="00421539"/>
    <w:rsid w:val="0042297B"/>
    <w:rsid w:val="00423FCE"/>
    <w:rsid w:val="00424CA9"/>
    <w:rsid w:val="00430554"/>
    <w:rsid w:val="00431E9B"/>
    <w:rsid w:val="00433303"/>
    <w:rsid w:val="00435EEF"/>
    <w:rsid w:val="00436F7D"/>
    <w:rsid w:val="004379E3"/>
    <w:rsid w:val="0044015E"/>
    <w:rsid w:val="0044291A"/>
    <w:rsid w:val="00444ABD"/>
    <w:rsid w:val="00446B39"/>
    <w:rsid w:val="00447DB4"/>
    <w:rsid w:val="0045070F"/>
    <w:rsid w:val="00460F1D"/>
    <w:rsid w:val="00465DC1"/>
    <w:rsid w:val="00467649"/>
    <w:rsid w:val="00467661"/>
    <w:rsid w:val="004705B7"/>
    <w:rsid w:val="00472DBE"/>
    <w:rsid w:val="00474A19"/>
    <w:rsid w:val="00474B52"/>
    <w:rsid w:val="00481C24"/>
    <w:rsid w:val="004823C0"/>
    <w:rsid w:val="0048276B"/>
    <w:rsid w:val="004831DA"/>
    <w:rsid w:val="004855E3"/>
    <w:rsid w:val="004913E4"/>
    <w:rsid w:val="004944C0"/>
    <w:rsid w:val="00494F4A"/>
    <w:rsid w:val="00496B5F"/>
    <w:rsid w:val="00496F97"/>
    <w:rsid w:val="004A44FC"/>
    <w:rsid w:val="004A5F65"/>
    <w:rsid w:val="004A656D"/>
    <w:rsid w:val="004B5B44"/>
    <w:rsid w:val="004C14A7"/>
    <w:rsid w:val="004C1CB1"/>
    <w:rsid w:val="004C687A"/>
    <w:rsid w:val="004D318F"/>
    <w:rsid w:val="004D7E7F"/>
    <w:rsid w:val="004E063A"/>
    <w:rsid w:val="004E09B3"/>
    <w:rsid w:val="004E70C1"/>
    <w:rsid w:val="004E7BEC"/>
    <w:rsid w:val="0050044F"/>
    <w:rsid w:val="00505D3D"/>
    <w:rsid w:val="00506AF6"/>
    <w:rsid w:val="00507335"/>
    <w:rsid w:val="00507F8E"/>
    <w:rsid w:val="0051299C"/>
    <w:rsid w:val="00516B8D"/>
    <w:rsid w:val="00517E56"/>
    <w:rsid w:val="00532049"/>
    <w:rsid w:val="00533034"/>
    <w:rsid w:val="005356A7"/>
    <w:rsid w:val="00536184"/>
    <w:rsid w:val="00536BAD"/>
    <w:rsid w:val="00537FBC"/>
    <w:rsid w:val="005566DA"/>
    <w:rsid w:val="005574D1"/>
    <w:rsid w:val="00561ABB"/>
    <w:rsid w:val="005657FE"/>
    <w:rsid w:val="00572BB1"/>
    <w:rsid w:val="0057670F"/>
    <w:rsid w:val="00580674"/>
    <w:rsid w:val="00583DAC"/>
    <w:rsid w:val="00584811"/>
    <w:rsid w:val="00585784"/>
    <w:rsid w:val="00593AA6"/>
    <w:rsid w:val="00593F23"/>
    <w:rsid w:val="00594161"/>
    <w:rsid w:val="00594749"/>
    <w:rsid w:val="005A0061"/>
    <w:rsid w:val="005B365B"/>
    <w:rsid w:val="005B4067"/>
    <w:rsid w:val="005B4523"/>
    <w:rsid w:val="005B780C"/>
    <w:rsid w:val="005C3F41"/>
    <w:rsid w:val="005D0489"/>
    <w:rsid w:val="005D1FEA"/>
    <w:rsid w:val="005D2D09"/>
    <w:rsid w:val="005D3D41"/>
    <w:rsid w:val="005D4A6B"/>
    <w:rsid w:val="005D7544"/>
    <w:rsid w:val="005E4810"/>
    <w:rsid w:val="005F4140"/>
    <w:rsid w:val="005F65CD"/>
    <w:rsid w:val="00600219"/>
    <w:rsid w:val="00603DC4"/>
    <w:rsid w:val="00607A71"/>
    <w:rsid w:val="00610709"/>
    <w:rsid w:val="006117CB"/>
    <w:rsid w:val="00620076"/>
    <w:rsid w:val="006224B1"/>
    <w:rsid w:val="00634044"/>
    <w:rsid w:val="00640161"/>
    <w:rsid w:val="00652249"/>
    <w:rsid w:val="00652769"/>
    <w:rsid w:val="0065542F"/>
    <w:rsid w:val="006554FF"/>
    <w:rsid w:val="00656D9B"/>
    <w:rsid w:val="0066574A"/>
    <w:rsid w:val="00666679"/>
    <w:rsid w:val="00670EA1"/>
    <w:rsid w:val="00677CC2"/>
    <w:rsid w:val="00682B5A"/>
    <w:rsid w:val="00687EF7"/>
    <w:rsid w:val="006905DE"/>
    <w:rsid w:val="0069207B"/>
    <w:rsid w:val="0069213C"/>
    <w:rsid w:val="006936CD"/>
    <w:rsid w:val="00693F29"/>
    <w:rsid w:val="0069731F"/>
    <w:rsid w:val="006A25D4"/>
    <w:rsid w:val="006A3682"/>
    <w:rsid w:val="006B5789"/>
    <w:rsid w:val="006C30C5"/>
    <w:rsid w:val="006C48FA"/>
    <w:rsid w:val="006C7779"/>
    <w:rsid w:val="006C7F8C"/>
    <w:rsid w:val="006D3591"/>
    <w:rsid w:val="006D5EC1"/>
    <w:rsid w:val="006E5320"/>
    <w:rsid w:val="006E6246"/>
    <w:rsid w:val="006F318F"/>
    <w:rsid w:val="006F4226"/>
    <w:rsid w:val="0070017E"/>
    <w:rsid w:val="00700B2C"/>
    <w:rsid w:val="007021C6"/>
    <w:rsid w:val="00702EFD"/>
    <w:rsid w:val="00704D8F"/>
    <w:rsid w:val="007050A2"/>
    <w:rsid w:val="00713084"/>
    <w:rsid w:val="0071399B"/>
    <w:rsid w:val="00714F20"/>
    <w:rsid w:val="0071590F"/>
    <w:rsid w:val="00715914"/>
    <w:rsid w:val="007175A0"/>
    <w:rsid w:val="00731E00"/>
    <w:rsid w:val="00741EE8"/>
    <w:rsid w:val="007440B7"/>
    <w:rsid w:val="007500C8"/>
    <w:rsid w:val="00756272"/>
    <w:rsid w:val="007662B5"/>
    <w:rsid w:val="0076681A"/>
    <w:rsid w:val="007715C9"/>
    <w:rsid w:val="00771613"/>
    <w:rsid w:val="00774EDD"/>
    <w:rsid w:val="0077506D"/>
    <w:rsid w:val="007757EC"/>
    <w:rsid w:val="00775BEF"/>
    <w:rsid w:val="00783E89"/>
    <w:rsid w:val="007842CE"/>
    <w:rsid w:val="00785A9E"/>
    <w:rsid w:val="007937FD"/>
    <w:rsid w:val="00793915"/>
    <w:rsid w:val="007A1F9A"/>
    <w:rsid w:val="007A7FD5"/>
    <w:rsid w:val="007B4C4F"/>
    <w:rsid w:val="007C2253"/>
    <w:rsid w:val="007C5BE9"/>
    <w:rsid w:val="007D230B"/>
    <w:rsid w:val="007E163D"/>
    <w:rsid w:val="007E667A"/>
    <w:rsid w:val="007F28C9"/>
    <w:rsid w:val="0080312D"/>
    <w:rsid w:val="00803587"/>
    <w:rsid w:val="008117E9"/>
    <w:rsid w:val="008129C2"/>
    <w:rsid w:val="008130E0"/>
    <w:rsid w:val="00824498"/>
    <w:rsid w:val="00824E16"/>
    <w:rsid w:val="00825B6A"/>
    <w:rsid w:val="00830F96"/>
    <w:rsid w:val="0083220D"/>
    <w:rsid w:val="00833149"/>
    <w:rsid w:val="00835179"/>
    <w:rsid w:val="0083589D"/>
    <w:rsid w:val="00840442"/>
    <w:rsid w:val="0084120D"/>
    <w:rsid w:val="008527C0"/>
    <w:rsid w:val="00853ED0"/>
    <w:rsid w:val="00856A31"/>
    <w:rsid w:val="00860B58"/>
    <w:rsid w:val="00863657"/>
    <w:rsid w:val="00863A9A"/>
    <w:rsid w:val="0086570B"/>
    <w:rsid w:val="00867B37"/>
    <w:rsid w:val="008718DD"/>
    <w:rsid w:val="00872098"/>
    <w:rsid w:val="00872E02"/>
    <w:rsid w:val="00875233"/>
    <w:rsid w:val="008754D0"/>
    <w:rsid w:val="008855C9"/>
    <w:rsid w:val="00886456"/>
    <w:rsid w:val="008945E0"/>
    <w:rsid w:val="0089527F"/>
    <w:rsid w:val="00897373"/>
    <w:rsid w:val="008A362B"/>
    <w:rsid w:val="008A46E1"/>
    <w:rsid w:val="008A4F43"/>
    <w:rsid w:val="008A5210"/>
    <w:rsid w:val="008B2706"/>
    <w:rsid w:val="008C0F29"/>
    <w:rsid w:val="008C391E"/>
    <w:rsid w:val="008C558E"/>
    <w:rsid w:val="008D01A6"/>
    <w:rsid w:val="008D0EE0"/>
    <w:rsid w:val="008D16F1"/>
    <w:rsid w:val="008D3422"/>
    <w:rsid w:val="008D6120"/>
    <w:rsid w:val="008E6067"/>
    <w:rsid w:val="008F54E7"/>
    <w:rsid w:val="009016BE"/>
    <w:rsid w:val="00903422"/>
    <w:rsid w:val="009069EA"/>
    <w:rsid w:val="00912A58"/>
    <w:rsid w:val="009157B9"/>
    <w:rsid w:val="00915DF9"/>
    <w:rsid w:val="00917CD7"/>
    <w:rsid w:val="009254C3"/>
    <w:rsid w:val="00926940"/>
    <w:rsid w:val="00930A0A"/>
    <w:rsid w:val="00932377"/>
    <w:rsid w:val="00932B02"/>
    <w:rsid w:val="009447D0"/>
    <w:rsid w:val="00945594"/>
    <w:rsid w:val="009460DC"/>
    <w:rsid w:val="00946759"/>
    <w:rsid w:val="00947D5A"/>
    <w:rsid w:val="009532A5"/>
    <w:rsid w:val="0095459E"/>
    <w:rsid w:val="00955175"/>
    <w:rsid w:val="0095528E"/>
    <w:rsid w:val="0096753E"/>
    <w:rsid w:val="009758EC"/>
    <w:rsid w:val="009778C7"/>
    <w:rsid w:val="00982242"/>
    <w:rsid w:val="009868E9"/>
    <w:rsid w:val="009944E6"/>
    <w:rsid w:val="009A1CD5"/>
    <w:rsid w:val="009A3A6F"/>
    <w:rsid w:val="009A3F74"/>
    <w:rsid w:val="009A49C9"/>
    <w:rsid w:val="009C1FDF"/>
    <w:rsid w:val="009C5B9B"/>
    <w:rsid w:val="009D1818"/>
    <w:rsid w:val="009D195A"/>
    <w:rsid w:val="009D4B1E"/>
    <w:rsid w:val="009D7993"/>
    <w:rsid w:val="009E5CFC"/>
    <w:rsid w:val="009E75A7"/>
    <w:rsid w:val="009F623E"/>
    <w:rsid w:val="00A027F8"/>
    <w:rsid w:val="00A03AF1"/>
    <w:rsid w:val="00A079CB"/>
    <w:rsid w:val="00A12128"/>
    <w:rsid w:val="00A12F48"/>
    <w:rsid w:val="00A14F6A"/>
    <w:rsid w:val="00A15167"/>
    <w:rsid w:val="00A15512"/>
    <w:rsid w:val="00A16D4D"/>
    <w:rsid w:val="00A22C98"/>
    <w:rsid w:val="00A231E2"/>
    <w:rsid w:val="00A33D55"/>
    <w:rsid w:val="00A34412"/>
    <w:rsid w:val="00A40424"/>
    <w:rsid w:val="00A44C99"/>
    <w:rsid w:val="00A470B6"/>
    <w:rsid w:val="00A52B0F"/>
    <w:rsid w:val="00A54B0C"/>
    <w:rsid w:val="00A5632E"/>
    <w:rsid w:val="00A57D9B"/>
    <w:rsid w:val="00A63156"/>
    <w:rsid w:val="00A63D1C"/>
    <w:rsid w:val="00A64912"/>
    <w:rsid w:val="00A70A74"/>
    <w:rsid w:val="00A70C1C"/>
    <w:rsid w:val="00A91966"/>
    <w:rsid w:val="00A951A4"/>
    <w:rsid w:val="00AA4D62"/>
    <w:rsid w:val="00AA666D"/>
    <w:rsid w:val="00AA66AC"/>
    <w:rsid w:val="00AB1DE8"/>
    <w:rsid w:val="00AB69D9"/>
    <w:rsid w:val="00AC0886"/>
    <w:rsid w:val="00AD02B8"/>
    <w:rsid w:val="00AD0F22"/>
    <w:rsid w:val="00AD1F73"/>
    <w:rsid w:val="00AD52EB"/>
    <w:rsid w:val="00AD5315"/>
    <w:rsid w:val="00AD5641"/>
    <w:rsid w:val="00AD6F35"/>
    <w:rsid w:val="00AD7889"/>
    <w:rsid w:val="00AE787B"/>
    <w:rsid w:val="00AF021B"/>
    <w:rsid w:val="00AF06CF"/>
    <w:rsid w:val="00AF23D3"/>
    <w:rsid w:val="00B03263"/>
    <w:rsid w:val="00B04305"/>
    <w:rsid w:val="00B07CDB"/>
    <w:rsid w:val="00B16A31"/>
    <w:rsid w:val="00B17DFD"/>
    <w:rsid w:val="00B24630"/>
    <w:rsid w:val="00B2799D"/>
    <w:rsid w:val="00B308FE"/>
    <w:rsid w:val="00B33709"/>
    <w:rsid w:val="00B33B3C"/>
    <w:rsid w:val="00B33BD1"/>
    <w:rsid w:val="00B42E70"/>
    <w:rsid w:val="00B44003"/>
    <w:rsid w:val="00B50ADC"/>
    <w:rsid w:val="00B53491"/>
    <w:rsid w:val="00B566B1"/>
    <w:rsid w:val="00B577C8"/>
    <w:rsid w:val="00B63834"/>
    <w:rsid w:val="00B72734"/>
    <w:rsid w:val="00B80199"/>
    <w:rsid w:val="00B82D81"/>
    <w:rsid w:val="00B83204"/>
    <w:rsid w:val="00B87945"/>
    <w:rsid w:val="00B9126E"/>
    <w:rsid w:val="00B97EE6"/>
    <w:rsid w:val="00BA1FF7"/>
    <w:rsid w:val="00BA220B"/>
    <w:rsid w:val="00BA3A57"/>
    <w:rsid w:val="00BB4E1A"/>
    <w:rsid w:val="00BB5C17"/>
    <w:rsid w:val="00BC015E"/>
    <w:rsid w:val="00BC0808"/>
    <w:rsid w:val="00BC7183"/>
    <w:rsid w:val="00BC76AC"/>
    <w:rsid w:val="00BD0ECB"/>
    <w:rsid w:val="00BE2155"/>
    <w:rsid w:val="00BE2213"/>
    <w:rsid w:val="00BE6025"/>
    <w:rsid w:val="00BE6EF9"/>
    <w:rsid w:val="00BE719A"/>
    <w:rsid w:val="00BE720A"/>
    <w:rsid w:val="00BF0D73"/>
    <w:rsid w:val="00BF2465"/>
    <w:rsid w:val="00BF6B6C"/>
    <w:rsid w:val="00BF75C9"/>
    <w:rsid w:val="00C0539C"/>
    <w:rsid w:val="00C0544A"/>
    <w:rsid w:val="00C11452"/>
    <w:rsid w:val="00C130AA"/>
    <w:rsid w:val="00C17457"/>
    <w:rsid w:val="00C24AA1"/>
    <w:rsid w:val="00C25013"/>
    <w:rsid w:val="00C25E7F"/>
    <w:rsid w:val="00C2746F"/>
    <w:rsid w:val="00C324A0"/>
    <w:rsid w:val="00C3300F"/>
    <w:rsid w:val="00C34E77"/>
    <w:rsid w:val="00C35875"/>
    <w:rsid w:val="00C35DAF"/>
    <w:rsid w:val="00C35F4C"/>
    <w:rsid w:val="00C36FD5"/>
    <w:rsid w:val="00C4170B"/>
    <w:rsid w:val="00C42BF8"/>
    <w:rsid w:val="00C45171"/>
    <w:rsid w:val="00C50043"/>
    <w:rsid w:val="00C50B97"/>
    <w:rsid w:val="00C51DF2"/>
    <w:rsid w:val="00C52E7C"/>
    <w:rsid w:val="00C6434E"/>
    <w:rsid w:val="00C70CA8"/>
    <w:rsid w:val="00C7573B"/>
    <w:rsid w:val="00C7761F"/>
    <w:rsid w:val="00C8269E"/>
    <w:rsid w:val="00C85690"/>
    <w:rsid w:val="00C86050"/>
    <w:rsid w:val="00C86B32"/>
    <w:rsid w:val="00C937E9"/>
    <w:rsid w:val="00C93C03"/>
    <w:rsid w:val="00C951EF"/>
    <w:rsid w:val="00CA3DFF"/>
    <w:rsid w:val="00CA4DB2"/>
    <w:rsid w:val="00CA66DC"/>
    <w:rsid w:val="00CA7662"/>
    <w:rsid w:val="00CB13E1"/>
    <w:rsid w:val="00CB2C8E"/>
    <w:rsid w:val="00CB2D96"/>
    <w:rsid w:val="00CB58A5"/>
    <w:rsid w:val="00CB602E"/>
    <w:rsid w:val="00CD2E90"/>
    <w:rsid w:val="00CD5AD3"/>
    <w:rsid w:val="00CE0149"/>
    <w:rsid w:val="00CE051D"/>
    <w:rsid w:val="00CE1335"/>
    <w:rsid w:val="00CE32BC"/>
    <w:rsid w:val="00CE3554"/>
    <w:rsid w:val="00CE3D2A"/>
    <w:rsid w:val="00CE493D"/>
    <w:rsid w:val="00CE541A"/>
    <w:rsid w:val="00CE6D42"/>
    <w:rsid w:val="00CF07FA"/>
    <w:rsid w:val="00CF0BB2"/>
    <w:rsid w:val="00CF3553"/>
    <w:rsid w:val="00CF3EE8"/>
    <w:rsid w:val="00CF404F"/>
    <w:rsid w:val="00CF5313"/>
    <w:rsid w:val="00D050E6"/>
    <w:rsid w:val="00D07BAC"/>
    <w:rsid w:val="00D13441"/>
    <w:rsid w:val="00D150E7"/>
    <w:rsid w:val="00D20A4B"/>
    <w:rsid w:val="00D218D5"/>
    <w:rsid w:val="00D265EA"/>
    <w:rsid w:val="00D306F8"/>
    <w:rsid w:val="00D320A4"/>
    <w:rsid w:val="00D32F65"/>
    <w:rsid w:val="00D341C4"/>
    <w:rsid w:val="00D45670"/>
    <w:rsid w:val="00D52DC2"/>
    <w:rsid w:val="00D53BCC"/>
    <w:rsid w:val="00D6281A"/>
    <w:rsid w:val="00D648BB"/>
    <w:rsid w:val="00D702DE"/>
    <w:rsid w:val="00D70DFB"/>
    <w:rsid w:val="00D71C07"/>
    <w:rsid w:val="00D732EC"/>
    <w:rsid w:val="00D73C22"/>
    <w:rsid w:val="00D766DF"/>
    <w:rsid w:val="00D97F1E"/>
    <w:rsid w:val="00DA186E"/>
    <w:rsid w:val="00DA4116"/>
    <w:rsid w:val="00DB1D62"/>
    <w:rsid w:val="00DB251C"/>
    <w:rsid w:val="00DB38AD"/>
    <w:rsid w:val="00DB4630"/>
    <w:rsid w:val="00DB57EA"/>
    <w:rsid w:val="00DC0BF8"/>
    <w:rsid w:val="00DC4445"/>
    <w:rsid w:val="00DC458C"/>
    <w:rsid w:val="00DC4F88"/>
    <w:rsid w:val="00DC6A20"/>
    <w:rsid w:val="00DE0A85"/>
    <w:rsid w:val="00DE38F5"/>
    <w:rsid w:val="00DE79F9"/>
    <w:rsid w:val="00DF177C"/>
    <w:rsid w:val="00E05704"/>
    <w:rsid w:val="00E0644F"/>
    <w:rsid w:val="00E06CC3"/>
    <w:rsid w:val="00E11E44"/>
    <w:rsid w:val="00E13AFA"/>
    <w:rsid w:val="00E143C1"/>
    <w:rsid w:val="00E15D87"/>
    <w:rsid w:val="00E2168B"/>
    <w:rsid w:val="00E21F03"/>
    <w:rsid w:val="00E338EF"/>
    <w:rsid w:val="00E40FF8"/>
    <w:rsid w:val="00E425D6"/>
    <w:rsid w:val="00E4395A"/>
    <w:rsid w:val="00E500EE"/>
    <w:rsid w:val="00E544BB"/>
    <w:rsid w:val="00E578EC"/>
    <w:rsid w:val="00E60423"/>
    <w:rsid w:val="00E649D7"/>
    <w:rsid w:val="00E662CB"/>
    <w:rsid w:val="00E7413A"/>
    <w:rsid w:val="00E74DC7"/>
    <w:rsid w:val="00E8075A"/>
    <w:rsid w:val="00E8164B"/>
    <w:rsid w:val="00E818A6"/>
    <w:rsid w:val="00E82C9D"/>
    <w:rsid w:val="00E85A91"/>
    <w:rsid w:val="00E87718"/>
    <w:rsid w:val="00E87C8C"/>
    <w:rsid w:val="00E91364"/>
    <w:rsid w:val="00E94D5E"/>
    <w:rsid w:val="00EA0BF6"/>
    <w:rsid w:val="00EA17A6"/>
    <w:rsid w:val="00EA1938"/>
    <w:rsid w:val="00EA63CE"/>
    <w:rsid w:val="00EA7100"/>
    <w:rsid w:val="00EA7D7F"/>
    <w:rsid w:val="00EA7F9F"/>
    <w:rsid w:val="00EB0E70"/>
    <w:rsid w:val="00EB1274"/>
    <w:rsid w:val="00EC3045"/>
    <w:rsid w:val="00EC4757"/>
    <w:rsid w:val="00EC725A"/>
    <w:rsid w:val="00EC7EDB"/>
    <w:rsid w:val="00ED14FB"/>
    <w:rsid w:val="00ED2BB6"/>
    <w:rsid w:val="00ED34E1"/>
    <w:rsid w:val="00ED3B8D"/>
    <w:rsid w:val="00ED5601"/>
    <w:rsid w:val="00ED796D"/>
    <w:rsid w:val="00EE5577"/>
    <w:rsid w:val="00EF15D3"/>
    <w:rsid w:val="00EF2E3A"/>
    <w:rsid w:val="00F02EF9"/>
    <w:rsid w:val="00F03BB5"/>
    <w:rsid w:val="00F047D8"/>
    <w:rsid w:val="00F072A7"/>
    <w:rsid w:val="00F078DC"/>
    <w:rsid w:val="00F13B48"/>
    <w:rsid w:val="00F14593"/>
    <w:rsid w:val="00F15263"/>
    <w:rsid w:val="00F15470"/>
    <w:rsid w:val="00F171A1"/>
    <w:rsid w:val="00F228C1"/>
    <w:rsid w:val="00F23D5C"/>
    <w:rsid w:val="00F32BA8"/>
    <w:rsid w:val="00F349F1"/>
    <w:rsid w:val="00F4215A"/>
    <w:rsid w:val="00F4350D"/>
    <w:rsid w:val="00F50532"/>
    <w:rsid w:val="00F567F7"/>
    <w:rsid w:val="00F568B9"/>
    <w:rsid w:val="00F61B09"/>
    <w:rsid w:val="00F62036"/>
    <w:rsid w:val="00F65B52"/>
    <w:rsid w:val="00F66126"/>
    <w:rsid w:val="00F67BCA"/>
    <w:rsid w:val="00F73BD6"/>
    <w:rsid w:val="00F800C9"/>
    <w:rsid w:val="00F83989"/>
    <w:rsid w:val="00F85099"/>
    <w:rsid w:val="00F9379C"/>
    <w:rsid w:val="00F9632C"/>
    <w:rsid w:val="00FA1E52"/>
    <w:rsid w:val="00FA31DE"/>
    <w:rsid w:val="00FA35E9"/>
    <w:rsid w:val="00FA7D17"/>
    <w:rsid w:val="00FC3EB8"/>
    <w:rsid w:val="00FC54C5"/>
    <w:rsid w:val="00FC7D25"/>
    <w:rsid w:val="00FD0BA1"/>
    <w:rsid w:val="00FD13CC"/>
    <w:rsid w:val="00FD2129"/>
    <w:rsid w:val="00FD5E06"/>
    <w:rsid w:val="00FE2289"/>
    <w:rsid w:val="00FE2FB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DA88751"/>
  <w15:chartTrackingRefBased/>
  <w15:docId w15:val="{FE1708B2-8670-4620-B8F2-0DC348BC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uiPriority w:val="34"/>
    <w:qFormat/>
    <w:rsid w:val="00395DD1"/>
    <w:pPr>
      <w:ind w:left="720"/>
    </w:p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Bulletedlist1">
    <w:name w:val="Bulleted list 1"/>
    <w:basedOn w:val="Normal"/>
    <w:qFormat/>
    <w:rsid w:val="00214868"/>
    <w:pPr>
      <w:numPr>
        <w:numId w:val="19"/>
      </w:numPr>
      <w:spacing w:before="200" w:line="240" w:lineRule="auto"/>
    </w:pPr>
    <w:rPr>
      <w:rFonts w:ascii="Tahoma" w:eastAsia="Times New Roman" w:hAnsi="Tahoma"/>
      <w:szCs w:val="22"/>
      <w:lang w:eastAsia="zh-TW"/>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Bulletedlist2">
    <w:name w:val="Bulleted list 2"/>
    <w:basedOn w:val="Bulletedlist1"/>
    <w:qFormat/>
    <w:rsid w:val="00214868"/>
    <w:pPr>
      <w:numPr>
        <w:ilvl w:val="1"/>
      </w:numPr>
    </w:pPr>
  </w:style>
  <w:style w:type="character" w:customStyle="1" w:styleId="LI-SubtitleChar">
    <w:name w:val="LI - Subtitle Char"/>
    <w:link w:val="LI-Subtitle"/>
    <w:rsid w:val="00243EC0"/>
    <w:rPr>
      <w:b/>
      <w:sz w:val="28"/>
      <w:szCs w:val="28"/>
    </w:rPr>
  </w:style>
  <w:style w:type="character" w:styleId="UnresolvedMention">
    <w:name w:val="Unresolved Mention"/>
    <w:uiPriority w:val="99"/>
    <w:semiHidden/>
    <w:unhideWhenUsed/>
    <w:rsid w:val="00214868"/>
    <w:rPr>
      <w:color w:val="605E5C"/>
      <w:shd w:val="clear" w:color="auto" w:fill="E1DFDD"/>
    </w:rPr>
  </w:style>
  <w:style w:type="character" w:styleId="FollowedHyperlink">
    <w:name w:val="FollowedHyperlink"/>
    <w:uiPriority w:val="99"/>
    <w:semiHidden/>
    <w:unhideWhenUsed/>
    <w:rsid w:val="00CE3554"/>
    <w:rPr>
      <w:color w:val="954F72"/>
      <w:u w:val="single"/>
    </w:rPr>
  </w:style>
  <w:style w:type="paragraph" w:styleId="Revision">
    <w:name w:val="Revision"/>
    <w:hidden/>
    <w:uiPriority w:val="99"/>
    <w:semiHidden/>
    <w:rsid w:val="0042153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42152494">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657689515">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sic.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0C1C9776C9563B4B901B260E44623C46" ma:contentTypeVersion="6" ma:contentTypeDescription="Create a new document." ma:contentTypeScope="" ma:versionID="256852a4e03867b2f7edc7a9c3d86a3c">
  <xsd:schema xmlns:xsd="http://www.w3.org/2001/XMLSchema" xmlns:xs="http://www.w3.org/2001/XMLSchema" xmlns:p="http://schemas.microsoft.com/office/2006/metadata/properties" xmlns:ns2="db2b92ca-6ed0-4085-802d-4c686a2e8c3f" xmlns:ns3="5143b441-730d-468e-9e7b-525a5337cbbc" xmlns:ns4="d2e92e7f-e994-4b99-b1e4-a937f5544b54" targetNamespace="http://schemas.microsoft.com/office/2006/metadata/properties" ma:root="true" ma:fieldsID="5f6139a32b2575f9da1e481ec87ba88b" ns2:_="" ns3:_="" ns4:_="">
    <xsd:import namespace="db2b92ca-6ed0-4085-802d-4c686a2e8c3f"/>
    <xsd:import namespace="5143b441-730d-468e-9e7b-525a5337cbbc"/>
    <xsd:import namespace="d2e92e7f-e994-4b99-b1e4-a937f5544b54"/>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2e7f-e994-4b99-b1e4-a937f5544b54"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ECMSP13SecurityClassification xmlns="5143b441-730d-468e-9e7b-525a5337cbbc">OFFICIAL - Sensitive</ECMSP13SecurityClassification>
    <ECMSP13ModifiedBy xmlns="5143b441-730d-468e-9e7b-525a5337cbbc">Jane Eccleston</ECMSP13ModifiedBy>
    <ECMSP13CreatedBy xmlns="5143b441-730d-468e-9e7b-525a5337cbbc">Shehani Velupillai</ECMSP13CreatedBy>
    <lcf76f155ced4ddcb4097134ff3c332f xmlns="d2e92e7f-e994-4b99-b1e4-a937f5544b54" xsi:nil="true"/>
    <DocumentNotes xmlns="db2b92ca-6ed0-4085-802d-4c686a2e8c3f" xsi:nil="true"/>
    <NAPReason xmlns="db2b92ca-6ed0-4085-802d-4c686a2e8c3f" xsi:nil="true"/>
    <ECMSP13DocumentID xmlns="5143b441-730d-468e-9e7b-525a5337cbbc">R20220000938896</ECMSP13DocumentID>
  </documentManagement>
</p:properties>
</file>

<file path=customXml/itemProps1.xml><?xml version="1.0" encoding="utf-8"?>
<ds:datastoreItem xmlns:ds="http://schemas.openxmlformats.org/officeDocument/2006/customXml" ds:itemID="{AC3C041F-79AD-47F5-86C4-8E0B86AE7C8D}">
  <ds:schemaRefs>
    <ds:schemaRef ds:uri="Microsoft.SharePoint.Taxonomy.ContentTypeSync"/>
  </ds:schemaRefs>
</ds:datastoreItem>
</file>

<file path=customXml/itemProps2.xml><?xml version="1.0" encoding="utf-8"?>
<ds:datastoreItem xmlns:ds="http://schemas.openxmlformats.org/officeDocument/2006/customXml" ds:itemID="{1CE5E038-FBEF-4016-91AC-74E5ECCDBFF6}">
  <ds:schemaRefs>
    <ds:schemaRef ds:uri="http://schemas.microsoft.com/office/2006/metadata/longProperties"/>
  </ds:schemaRefs>
</ds:datastoreItem>
</file>

<file path=customXml/itemProps3.xml><?xml version="1.0" encoding="utf-8"?>
<ds:datastoreItem xmlns:ds="http://schemas.openxmlformats.org/officeDocument/2006/customXml" ds:itemID="{676F8A3E-EAEA-4E17-A670-9821A32F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d2e92e7f-e994-4b99-b1e4-a937f5544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E3593-2651-4888-96DA-0DEC3D9F6AE3}">
  <ds:schemaRefs>
    <ds:schemaRef ds:uri="http://schemas.microsoft.com/sharepoint/events"/>
  </ds:schemaRefs>
</ds:datastoreItem>
</file>

<file path=customXml/itemProps5.xml><?xml version="1.0" encoding="utf-8"?>
<ds:datastoreItem xmlns:ds="http://schemas.openxmlformats.org/officeDocument/2006/customXml" ds:itemID="{4358B3CE-D7F8-477D-A94D-A38B5E5951AE}">
  <ds:schemaRefs>
    <ds:schemaRef ds:uri="http://schemas.microsoft.com/sharepoint/v3/contenttype/forms"/>
  </ds:schemaRefs>
</ds:datastoreItem>
</file>

<file path=customXml/itemProps6.xml><?xml version="1.0" encoding="utf-8"?>
<ds:datastoreItem xmlns:ds="http://schemas.openxmlformats.org/officeDocument/2006/customXml" ds:itemID="{26BA88E5-6B65-4A93-A942-B9DD987AA48A}">
  <ds:schemaRefs>
    <ds:schemaRef ds:uri="http://schemas.openxmlformats.org/officeDocument/2006/bibliography"/>
  </ds:schemaRefs>
</ds:datastoreItem>
</file>

<file path=customXml/itemProps7.xml><?xml version="1.0" encoding="utf-8"?>
<ds:datastoreItem xmlns:ds="http://schemas.openxmlformats.org/officeDocument/2006/customXml" ds:itemID="{C0C4755B-541E-406B-BA3B-A57CBFF77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4467</Words>
  <Characters>25465</Characters>
  <Application>Microsoft Office Word</Application>
  <DocSecurity>0</DocSecurity>
  <PresentationFormat/>
  <Lines>212</Lines>
  <Paragraphs>59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29873</CharactersWithSpaces>
  <SharedDoc>false</SharedDoc>
  <HyperlinkBase/>
  <HLinks>
    <vt:vector size="6" baseType="variant">
      <vt:variant>
        <vt:i4>3735600</vt:i4>
      </vt:variant>
      <vt:variant>
        <vt:i4>0</vt:i4>
      </vt:variant>
      <vt:variant>
        <vt:i4>0</vt:i4>
      </vt:variant>
      <vt:variant>
        <vt:i4>5</vt:i4>
      </vt:variant>
      <vt:variant>
        <vt:lpwstr>http://www.asic.gov.au/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3</cp:revision>
  <cp:lastPrinted>2019-01-03T02:56:00Z</cp:lastPrinted>
  <dcterms:created xsi:type="dcterms:W3CDTF">2022-06-09T05:44:00Z</dcterms:created>
  <dcterms:modified xsi:type="dcterms:W3CDTF">2022-06-09T05:44:00Z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16;#OFFICIAL - Sensitive|6eccc17f-024b-41b0-b6b1-faf98d2aff85</vt:lpwstr>
  </property>
  <property fmtid="{D5CDD505-2E9C-101B-9397-08002B2CF9AE}" pid="40" name="RecordPoint_WorkflowType">
    <vt:lpwstr>ActiveSubmitStub</vt:lpwstr>
  </property>
  <property fmtid="{D5CDD505-2E9C-101B-9397-08002B2CF9AE}" pid="41" name="RecordPoint_ActiveItemSiteId">
    <vt:lpwstr>{1ced5a6e-20fd-4413-9b75-50f3c53bb358}</vt:lpwstr>
  </property>
  <property fmtid="{D5CDD505-2E9C-101B-9397-08002B2CF9AE}" pid="42" name="RecordPoint_ActiveItemListId">
    <vt:lpwstr>{e5a5ffcc-951f-4ecc-b68a-16b5f3ba6038}</vt:lpwstr>
  </property>
  <property fmtid="{D5CDD505-2E9C-101B-9397-08002B2CF9AE}" pid="43" name="RecordPoint_ActiveItemUniqueId">
    <vt:lpwstr>{1538feec-5d96-4673-bd3f-20e4dbfdfc1c}</vt:lpwstr>
  </property>
  <property fmtid="{D5CDD505-2E9C-101B-9397-08002B2CF9AE}" pid="44" name="RecordPoint_ActiveItemWebId">
    <vt:lpwstr>{8bbed257-7d07-4d43-887f-e15ae4bf693b}</vt:lpwstr>
  </property>
  <property fmtid="{D5CDD505-2E9C-101B-9397-08002B2CF9AE}" pid="45" name="IconOverlay">
    <vt:lpwstr/>
  </property>
  <property fmtid="{D5CDD505-2E9C-101B-9397-08002B2CF9AE}" pid="46" name="RecordNumber">
    <vt:lpwstr>R20220000938896</vt:lpwstr>
  </property>
  <property fmtid="{D5CDD505-2E9C-101B-9397-08002B2CF9AE}" pid="47" name="RecordPoint_SubmissionCompleted">
    <vt:lpwstr>2022-05-27T06:14:36.9216309+10:00</vt:lpwstr>
  </property>
  <property fmtid="{D5CDD505-2E9C-101B-9397-08002B2CF9AE}" pid="48" name="RecordPoint_RecordNumberSubmitted">
    <vt:lpwstr>R20220000938896</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16;#OFFICIAL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ContentTypeId">
    <vt:lpwstr>0x010100B5F685A1365F544391EF8C813B164F3A006A0666AD55E74A4AA7B2AAEA6C351A60000C1C9776C9563B4B901B260E44623C46</vt:lpwstr>
  </property>
  <property fmtid="{D5CDD505-2E9C-101B-9397-08002B2CF9AE}" pid="62" name="f947e1037e3e49619e55f8843e0f11fe">
    <vt:lpwstr>Sensitive|19fd2cb8-3e97-4464-ae71-8c2c2095d028</vt:lpwstr>
  </property>
  <property fmtid="{D5CDD505-2E9C-101B-9397-08002B2CF9AE}" pid="63" name="l6f2f1c70f11408ebd8096e180d5699d">
    <vt:lpwstr>OFFICIAL - Sensitive|6eccc17f-024b-41b0-b6b1-faf98d2aff85</vt:lpwstr>
  </property>
  <property fmtid="{D5CDD505-2E9C-101B-9397-08002B2CF9AE}" pid="64" name="MailSubject">
    <vt:lpwstr/>
  </property>
  <property fmtid="{D5CDD505-2E9C-101B-9397-08002B2CF9AE}" pid="65" name="MailIn-Reply-To0">
    <vt:lpwstr/>
  </property>
  <property fmtid="{D5CDD505-2E9C-101B-9397-08002B2CF9AE}" pid="66" name="display_urn:schemas-microsoft-com:office:office#Editor">
    <vt:lpwstr>Jane Eccleston</vt:lpwstr>
  </property>
  <property fmtid="{D5CDD505-2E9C-101B-9397-08002B2CF9AE}" pid="67" name="MailCc">
    <vt:lpwstr/>
  </property>
  <property fmtid="{D5CDD505-2E9C-101B-9397-08002B2CF9AE}" pid="68" name="MailTo">
    <vt:lpwstr/>
  </property>
  <property fmtid="{D5CDD505-2E9C-101B-9397-08002B2CF9AE}" pid="69" name="display_urn:schemas-microsoft-com:office:office#Author">
    <vt:lpwstr>Shehani Velupillai</vt:lpwstr>
  </property>
  <property fmtid="{D5CDD505-2E9C-101B-9397-08002B2CF9AE}" pid="70" name="DocumentSetDescription">
    <vt:lpwstr/>
  </property>
  <property fmtid="{D5CDD505-2E9C-101B-9397-08002B2CF9AE}" pid="71" name="MailReferences">
    <vt:lpwstr/>
  </property>
  <property fmtid="{D5CDD505-2E9C-101B-9397-08002B2CF9AE}" pid="72" name="MailDate">
    <vt:lpwstr/>
  </property>
  <property fmtid="{D5CDD505-2E9C-101B-9397-08002B2CF9AE}" pid="73" name="URL">
    <vt:lpwstr/>
  </property>
  <property fmtid="{D5CDD505-2E9C-101B-9397-08002B2CF9AE}" pid="74" name="MailAttachments">
    <vt:lpwstr/>
  </property>
  <property fmtid="{D5CDD505-2E9C-101B-9397-08002B2CF9AE}" pid="75" name="MailFrom">
    <vt:lpwstr/>
  </property>
  <property fmtid="{D5CDD505-2E9C-101B-9397-08002B2CF9AE}" pid="76" name="MailOriginalSubject">
    <vt:lpwstr/>
  </property>
  <property fmtid="{D5CDD505-2E9C-101B-9397-08002B2CF9AE}" pid="77" name="MailReply-To0">
    <vt:lpwstr/>
  </property>
  <property fmtid="{D5CDD505-2E9C-101B-9397-08002B2CF9AE}" pid="78" name="_dlc_DocId">
    <vt:lpwstr>000824-1605046230-4678</vt:lpwstr>
  </property>
  <property fmtid="{D5CDD505-2E9C-101B-9397-08002B2CF9AE}" pid="79" name="_dlc_DocIdItemGuid">
    <vt:lpwstr>4e9fba41-079f-4431-8152-0dc96b226444</vt:lpwstr>
  </property>
  <property fmtid="{D5CDD505-2E9C-101B-9397-08002B2CF9AE}" pid="80" name="_dlc_DocIdUrl">
    <vt:lpwstr>https://asiclink.sharepoint.com/teams/000824/_layouts/15/DocIdRedir.aspx?ID=000824-1605046230-4678, 000824-1605046230-4678</vt:lpwstr>
  </property>
</Properties>
</file>