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855FB" w14:textId="29A1B468" w:rsidR="00715914" w:rsidRPr="00F9531A" w:rsidRDefault="00F95CB0" w:rsidP="009460DC">
      <w:pPr>
        <w:spacing w:after="600"/>
        <w:rPr>
          <w:sz w:val="28"/>
        </w:rPr>
      </w:pPr>
      <w:r w:rsidRPr="00F9531A">
        <w:rPr>
          <w:noProof/>
        </w:rPr>
        <w:drawing>
          <wp:inline distT="0" distB="0" distL="0" distR="0" wp14:anchorId="6E52D546" wp14:editId="68FF6A66">
            <wp:extent cx="3542030" cy="756285"/>
            <wp:effectExtent l="0" t="0" r="0" b="0"/>
            <wp:docPr id="2" name="Picture 2"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56285"/>
                    </a:xfrm>
                    <a:prstGeom prst="rect">
                      <a:avLst/>
                    </a:prstGeom>
                    <a:noFill/>
                  </pic:spPr>
                </pic:pic>
              </a:graphicData>
            </a:graphic>
          </wp:inline>
        </w:drawing>
      </w:r>
    </w:p>
    <w:p w14:paraId="2D578641" w14:textId="04BCD934" w:rsidR="00243EC0" w:rsidRPr="00F9531A" w:rsidRDefault="00447DB4" w:rsidP="003B28C3">
      <w:pPr>
        <w:pStyle w:val="LI-Title"/>
        <w:pBdr>
          <w:bottom w:val="single" w:sz="4" w:space="1" w:color="auto"/>
        </w:pBdr>
      </w:pPr>
      <w:bookmarkStart w:id="0" w:name="_Hlk87787578"/>
      <w:r w:rsidRPr="00F9531A">
        <w:t>A</w:t>
      </w:r>
      <w:r w:rsidR="00327DDF" w:rsidRPr="00F9531A">
        <w:t xml:space="preserve">SIC Corporations </w:t>
      </w:r>
      <w:r w:rsidR="00C11452" w:rsidRPr="00F9531A">
        <w:t>(</w:t>
      </w:r>
      <w:r w:rsidR="0037160F" w:rsidRPr="00F9531A">
        <w:t>Shorter PDS</w:t>
      </w:r>
      <w:r w:rsidR="00095932" w:rsidRPr="00F9531A">
        <w:t xml:space="preserve"> and Delivery of </w:t>
      </w:r>
      <w:r w:rsidR="00557DB8" w:rsidRPr="00F9531A">
        <w:t>A</w:t>
      </w:r>
      <w:r w:rsidR="00095932" w:rsidRPr="00F9531A">
        <w:t xml:space="preserve">ccessible </w:t>
      </w:r>
      <w:r w:rsidR="00557DB8" w:rsidRPr="00F9531A">
        <w:t>F</w:t>
      </w:r>
      <w:r w:rsidR="00095932" w:rsidRPr="00F9531A">
        <w:t xml:space="preserve">inancial </w:t>
      </w:r>
      <w:r w:rsidR="00557DB8" w:rsidRPr="00F9531A">
        <w:t>P</w:t>
      </w:r>
      <w:r w:rsidR="00095932" w:rsidRPr="00F9531A">
        <w:t xml:space="preserve">roducts </w:t>
      </w:r>
      <w:r w:rsidR="00557DB8" w:rsidRPr="00F9531A">
        <w:t>D</w:t>
      </w:r>
      <w:r w:rsidR="00095932" w:rsidRPr="00F9531A">
        <w:t xml:space="preserve">isclosure by </w:t>
      </w:r>
      <w:r w:rsidR="00557DB8" w:rsidRPr="00F9531A">
        <w:t>P</w:t>
      </w:r>
      <w:r w:rsidR="00095932" w:rsidRPr="00F9531A">
        <w:t>lat</w:t>
      </w:r>
      <w:r w:rsidR="00012EE0" w:rsidRPr="00F9531A">
        <w:t>f</w:t>
      </w:r>
      <w:r w:rsidR="00095932" w:rsidRPr="00F9531A">
        <w:t xml:space="preserve">orm </w:t>
      </w:r>
      <w:r w:rsidR="00557DB8" w:rsidRPr="00F9531A">
        <w:t>O</w:t>
      </w:r>
      <w:r w:rsidR="00095932" w:rsidRPr="00F9531A">
        <w:t xml:space="preserve">perators and </w:t>
      </w:r>
      <w:r w:rsidR="00557DB8" w:rsidRPr="00F9531A">
        <w:t>S</w:t>
      </w:r>
      <w:r w:rsidR="00095932" w:rsidRPr="00F9531A">
        <w:t xml:space="preserve">uperannuation </w:t>
      </w:r>
      <w:r w:rsidR="00557DB8" w:rsidRPr="00F9531A">
        <w:t>T</w:t>
      </w:r>
      <w:r w:rsidR="00095932" w:rsidRPr="00F9531A">
        <w:t>rustees</w:t>
      </w:r>
      <w:r w:rsidR="00C11452" w:rsidRPr="00F9531A">
        <w:t xml:space="preserve">) Instrument </w:t>
      </w:r>
      <w:r w:rsidR="0037160F" w:rsidRPr="00F9531A">
        <w:t>2022</w:t>
      </w:r>
      <w:r w:rsidR="00F26AC7" w:rsidRPr="00F9531A">
        <w:t>/</w:t>
      </w:r>
      <w:r w:rsidR="0068794D" w:rsidRPr="00F9531A">
        <w:t>497</w:t>
      </w:r>
    </w:p>
    <w:bookmarkEnd w:id="0"/>
    <w:p w14:paraId="11C64010" w14:textId="26BDC6F2" w:rsidR="00F171A1" w:rsidRPr="00F9531A" w:rsidRDefault="00F171A1" w:rsidP="00005446">
      <w:pPr>
        <w:pStyle w:val="LI-Fronttext"/>
        <w:rPr>
          <w:sz w:val="24"/>
          <w:szCs w:val="24"/>
        </w:rPr>
      </w:pPr>
      <w:r w:rsidRPr="00F9531A">
        <w:rPr>
          <w:sz w:val="24"/>
          <w:szCs w:val="24"/>
        </w:rPr>
        <w:t xml:space="preserve">I, </w:t>
      </w:r>
      <w:r w:rsidR="001A6C57" w:rsidRPr="00F9531A">
        <w:rPr>
          <w:sz w:val="24"/>
          <w:szCs w:val="24"/>
        </w:rPr>
        <w:t>Jane Eccleston</w:t>
      </w:r>
      <w:r w:rsidR="00C0544A" w:rsidRPr="00F9531A">
        <w:rPr>
          <w:sz w:val="24"/>
          <w:szCs w:val="24"/>
        </w:rPr>
        <w:t>, delegate of the Australian Securities and Investments Commission</w:t>
      </w:r>
      <w:r w:rsidRPr="00F9531A">
        <w:rPr>
          <w:sz w:val="24"/>
          <w:szCs w:val="24"/>
        </w:rPr>
        <w:t xml:space="preserve">, make the following </w:t>
      </w:r>
      <w:r w:rsidR="008C0F29" w:rsidRPr="00F9531A">
        <w:rPr>
          <w:sz w:val="24"/>
          <w:szCs w:val="24"/>
        </w:rPr>
        <w:t>legislative instrument</w:t>
      </w:r>
      <w:r w:rsidRPr="00F9531A">
        <w:rPr>
          <w:sz w:val="24"/>
          <w:szCs w:val="24"/>
        </w:rPr>
        <w:t>.</w:t>
      </w:r>
    </w:p>
    <w:p w14:paraId="7D944E1F" w14:textId="77777777" w:rsidR="003A2A48" w:rsidRPr="00F9531A" w:rsidRDefault="003A2A48" w:rsidP="00005446">
      <w:pPr>
        <w:pStyle w:val="LI-Fronttext"/>
      </w:pPr>
    </w:p>
    <w:p w14:paraId="3D85F0D3" w14:textId="0828B7AE" w:rsidR="006554FF" w:rsidRPr="00F9531A" w:rsidRDefault="00F171A1" w:rsidP="00005446">
      <w:pPr>
        <w:pStyle w:val="LI-Fronttext"/>
        <w:rPr>
          <w:sz w:val="24"/>
          <w:szCs w:val="24"/>
        </w:rPr>
      </w:pPr>
      <w:r w:rsidRPr="00F9531A">
        <w:rPr>
          <w:sz w:val="24"/>
          <w:szCs w:val="24"/>
        </w:rPr>
        <w:t>Date</w:t>
      </w:r>
      <w:r w:rsidRPr="00F9531A">
        <w:rPr>
          <w:sz w:val="24"/>
          <w:szCs w:val="24"/>
        </w:rPr>
        <w:tab/>
      </w:r>
      <w:r w:rsidR="00776F11" w:rsidRPr="00F9531A">
        <w:rPr>
          <w:sz w:val="24"/>
          <w:szCs w:val="24"/>
        </w:rPr>
        <w:t>9</w:t>
      </w:r>
      <w:r w:rsidR="00A63BA5" w:rsidRPr="00F9531A">
        <w:rPr>
          <w:sz w:val="24"/>
          <w:szCs w:val="24"/>
        </w:rPr>
        <w:t xml:space="preserve"> June </w:t>
      </w:r>
      <w:bookmarkStart w:id="1" w:name="BKCheck15B_1"/>
      <w:bookmarkEnd w:id="1"/>
      <w:r w:rsidR="00CE6D42" w:rsidRPr="00F9531A">
        <w:rPr>
          <w:sz w:val="24"/>
          <w:szCs w:val="24"/>
        </w:rPr>
        <w:t>20</w:t>
      </w:r>
      <w:r w:rsidR="0037160F" w:rsidRPr="00F9531A">
        <w:rPr>
          <w:sz w:val="24"/>
          <w:szCs w:val="24"/>
        </w:rPr>
        <w:t>22</w:t>
      </w:r>
    </w:p>
    <w:p w14:paraId="5674A857" w14:textId="0A69D5CD" w:rsidR="000D041F" w:rsidRPr="00F9531A" w:rsidRDefault="000D041F" w:rsidP="00005446">
      <w:pPr>
        <w:pStyle w:val="LI-Fronttext"/>
        <w:rPr>
          <w:color w:val="FF0000"/>
          <w:sz w:val="24"/>
          <w:szCs w:val="24"/>
        </w:rPr>
      </w:pPr>
    </w:p>
    <w:p w14:paraId="27470A06" w14:textId="25AE0E7E" w:rsidR="00F171A1" w:rsidRPr="00BB5C17" w:rsidRDefault="001A6C57" w:rsidP="00465DC1">
      <w:pPr>
        <w:pStyle w:val="LI-Fronttext"/>
        <w:pBdr>
          <w:bottom w:val="single" w:sz="4" w:space="1" w:color="auto"/>
        </w:pBdr>
        <w:rPr>
          <w:sz w:val="24"/>
          <w:szCs w:val="24"/>
        </w:rPr>
      </w:pPr>
      <w:r w:rsidRPr="00F9531A">
        <w:rPr>
          <w:sz w:val="24"/>
          <w:szCs w:val="24"/>
        </w:rPr>
        <w:t>Jane Eccleston</w:t>
      </w:r>
    </w:p>
    <w:p w14:paraId="6B5855A7" w14:textId="77777777" w:rsidR="00715914" w:rsidRPr="00F61B09" w:rsidRDefault="00715914" w:rsidP="00715914">
      <w:pPr>
        <w:pStyle w:val="Header"/>
        <w:tabs>
          <w:tab w:val="clear" w:pos="4150"/>
          <w:tab w:val="clear" w:pos="8307"/>
        </w:tabs>
      </w:pPr>
    </w:p>
    <w:p w14:paraId="36DAE0D4" w14:textId="77777777" w:rsidR="00715914" w:rsidRPr="00F61B09" w:rsidRDefault="00715914" w:rsidP="00715914">
      <w:pPr>
        <w:sectPr w:rsidR="00715914" w:rsidRPr="00F61B09" w:rsidSect="008945E0">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titlePg/>
          <w:docGrid w:linePitch="360"/>
        </w:sectPr>
      </w:pPr>
    </w:p>
    <w:p w14:paraId="05EFF3EB" w14:textId="77777777" w:rsidR="00F67BCA" w:rsidRPr="00F61B09" w:rsidRDefault="00715914" w:rsidP="00E2168B">
      <w:pPr>
        <w:spacing w:before="280" w:after="240"/>
        <w:rPr>
          <w:sz w:val="36"/>
        </w:rPr>
      </w:pPr>
      <w:r w:rsidRPr="006E5320">
        <w:rPr>
          <w:b/>
          <w:sz w:val="32"/>
          <w:szCs w:val="32"/>
        </w:rPr>
        <w:lastRenderedPageBreak/>
        <w:t>Contents</w:t>
      </w:r>
    </w:p>
    <w:bookmarkStart w:id="2" w:name="BKCheck15B_2"/>
    <w:bookmarkEnd w:id="2"/>
    <w:p w14:paraId="3F0B2C15" w14:textId="360264E8" w:rsidR="002E20FA" w:rsidRDefault="00015719">
      <w:pPr>
        <w:pStyle w:val="TOC1"/>
        <w:rPr>
          <w:rFonts w:asciiTheme="minorHAnsi" w:eastAsiaTheme="minorEastAsia" w:hAnsiTheme="minorHAnsi" w:cstheme="minorBid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105600751" w:history="1">
        <w:r w:rsidR="002E20FA" w:rsidRPr="00E81AF9">
          <w:rPr>
            <w:rStyle w:val="Hyperlink"/>
            <w:noProof/>
          </w:rPr>
          <w:t>Part 1—Preliminary</w:t>
        </w:r>
        <w:r w:rsidR="002E20FA">
          <w:rPr>
            <w:noProof/>
            <w:webHidden/>
          </w:rPr>
          <w:tab/>
        </w:r>
        <w:r w:rsidR="002E20FA">
          <w:rPr>
            <w:noProof/>
            <w:webHidden/>
          </w:rPr>
          <w:fldChar w:fldCharType="begin"/>
        </w:r>
        <w:r w:rsidR="002E20FA">
          <w:rPr>
            <w:noProof/>
            <w:webHidden/>
          </w:rPr>
          <w:instrText xml:space="preserve"> PAGEREF _Toc105600751 \h </w:instrText>
        </w:r>
        <w:r w:rsidR="002E20FA">
          <w:rPr>
            <w:noProof/>
            <w:webHidden/>
          </w:rPr>
        </w:r>
        <w:r w:rsidR="002E20FA">
          <w:rPr>
            <w:noProof/>
            <w:webHidden/>
          </w:rPr>
          <w:fldChar w:fldCharType="separate"/>
        </w:r>
        <w:r w:rsidR="002E20FA">
          <w:rPr>
            <w:noProof/>
            <w:webHidden/>
          </w:rPr>
          <w:t>3</w:t>
        </w:r>
        <w:r w:rsidR="002E20FA">
          <w:rPr>
            <w:noProof/>
            <w:webHidden/>
          </w:rPr>
          <w:fldChar w:fldCharType="end"/>
        </w:r>
      </w:hyperlink>
    </w:p>
    <w:p w14:paraId="2AA70AAE" w14:textId="13EF42A6" w:rsidR="002E20FA" w:rsidRDefault="00F9531A">
      <w:pPr>
        <w:pStyle w:val="TOC2"/>
        <w:tabs>
          <w:tab w:val="left" w:pos="1474"/>
        </w:tabs>
        <w:rPr>
          <w:rFonts w:asciiTheme="minorHAnsi" w:eastAsiaTheme="minorEastAsia" w:hAnsiTheme="minorHAnsi" w:cstheme="minorBidi"/>
          <w:noProof/>
          <w:kern w:val="0"/>
          <w:sz w:val="22"/>
          <w:szCs w:val="22"/>
        </w:rPr>
      </w:pPr>
      <w:hyperlink w:anchor="_Toc105600752" w:history="1">
        <w:r w:rsidR="002E20FA" w:rsidRPr="00E81AF9">
          <w:rPr>
            <w:rStyle w:val="Hyperlink"/>
            <w:noProof/>
          </w:rPr>
          <w:t>1</w:t>
        </w:r>
        <w:r w:rsidR="002E20FA">
          <w:rPr>
            <w:rFonts w:asciiTheme="minorHAnsi" w:eastAsiaTheme="minorEastAsia" w:hAnsiTheme="minorHAnsi" w:cstheme="minorBidi"/>
            <w:noProof/>
            <w:kern w:val="0"/>
            <w:sz w:val="22"/>
            <w:szCs w:val="22"/>
          </w:rPr>
          <w:tab/>
        </w:r>
        <w:r w:rsidR="002E20FA" w:rsidRPr="00E81AF9">
          <w:rPr>
            <w:rStyle w:val="Hyperlink"/>
            <w:noProof/>
          </w:rPr>
          <w:t>Name of legislative instrument</w:t>
        </w:r>
        <w:r w:rsidR="002E20FA">
          <w:rPr>
            <w:noProof/>
            <w:webHidden/>
          </w:rPr>
          <w:tab/>
        </w:r>
        <w:r w:rsidR="002E20FA">
          <w:rPr>
            <w:noProof/>
            <w:webHidden/>
          </w:rPr>
          <w:fldChar w:fldCharType="begin"/>
        </w:r>
        <w:r w:rsidR="002E20FA">
          <w:rPr>
            <w:noProof/>
            <w:webHidden/>
          </w:rPr>
          <w:instrText xml:space="preserve"> PAGEREF _Toc105600752 \h </w:instrText>
        </w:r>
        <w:r w:rsidR="002E20FA">
          <w:rPr>
            <w:noProof/>
            <w:webHidden/>
          </w:rPr>
        </w:r>
        <w:r w:rsidR="002E20FA">
          <w:rPr>
            <w:noProof/>
            <w:webHidden/>
          </w:rPr>
          <w:fldChar w:fldCharType="separate"/>
        </w:r>
        <w:r w:rsidR="002E20FA">
          <w:rPr>
            <w:noProof/>
            <w:webHidden/>
          </w:rPr>
          <w:t>3</w:t>
        </w:r>
        <w:r w:rsidR="002E20FA">
          <w:rPr>
            <w:noProof/>
            <w:webHidden/>
          </w:rPr>
          <w:fldChar w:fldCharType="end"/>
        </w:r>
      </w:hyperlink>
    </w:p>
    <w:p w14:paraId="65518203" w14:textId="19506E62" w:rsidR="002E20FA" w:rsidRDefault="00F9531A">
      <w:pPr>
        <w:pStyle w:val="TOC2"/>
        <w:tabs>
          <w:tab w:val="left" w:pos="1474"/>
        </w:tabs>
        <w:rPr>
          <w:rFonts w:asciiTheme="minorHAnsi" w:eastAsiaTheme="minorEastAsia" w:hAnsiTheme="minorHAnsi" w:cstheme="minorBidi"/>
          <w:noProof/>
          <w:kern w:val="0"/>
          <w:sz w:val="22"/>
          <w:szCs w:val="22"/>
        </w:rPr>
      </w:pPr>
      <w:hyperlink w:anchor="_Toc105600753" w:history="1">
        <w:r w:rsidR="002E20FA" w:rsidRPr="00E81AF9">
          <w:rPr>
            <w:rStyle w:val="Hyperlink"/>
            <w:noProof/>
          </w:rPr>
          <w:t>2</w:t>
        </w:r>
        <w:r w:rsidR="002E20FA">
          <w:rPr>
            <w:rFonts w:asciiTheme="minorHAnsi" w:eastAsiaTheme="minorEastAsia" w:hAnsiTheme="minorHAnsi" w:cstheme="minorBidi"/>
            <w:noProof/>
            <w:kern w:val="0"/>
            <w:sz w:val="22"/>
            <w:szCs w:val="22"/>
          </w:rPr>
          <w:tab/>
        </w:r>
        <w:r w:rsidR="002E20FA" w:rsidRPr="00E81AF9">
          <w:rPr>
            <w:rStyle w:val="Hyperlink"/>
            <w:noProof/>
          </w:rPr>
          <w:t>Commencement</w:t>
        </w:r>
        <w:r w:rsidR="002E20FA">
          <w:rPr>
            <w:noProof/>
            <w:webHidden/>
          </w:rPr>
          <w:tab/>
        </w:r>
        <w:r w:rsidR="002E20FA">
          <w:rPr>
            <w:noProof/>
            <w:webHidden/>
          </w:rPr>
          <w:fldChar w:fldCharType="begin"/>
        </w:r>
        <w:r w:rsidR="002E20FA">
          <w:rPr>
            <w:noProof/>
            <w:webHidden/>
          </w:rPr>
          <w:instrText xml:space="preserve"> PAGEREF _Toc105600753 \h </w:instrText>
        </w:r>
        <w:r w:rsidR="002E20FA">
          <w:rPr>
            <w:noProof/>
            <w:webHidden/>
          </w:rPr>
        </w:r>
        <w:r w:rsidR="002E20FA">
          <w:rPr>
            <w:noProof/>
            <w:webHidden/>
          </w:rPr>
          <w:fldChar w:fldCharType="separate"/>
        </w:r>
        <w:r w:rsidR="002E20FA">
          <w:rPr>
            <w:noProof/>
            <w:webHidden/>
          </w:rPr>
          <w:t>3</w:t>
        </w:r>
        <w:r w:rsidR="002E20FA">
          <w:rPr>
            <w:noProof/>
            <w:webHidden/>
          </w:rPr>
          <w:fldChar w:fldCharType="end"/>
        </w:r>
      </w:hyperlink>
    </w:p>
    <w:p w14:paraId="02F58DE7" w14:textId="3697AAA9" w:rsidR="002E20FA" w:rsidRDefault="00F9531A">
      <w:pPr>
        <w:pStyle w:val="TOC2"/>
        <w:tabs>
          <w:tab w:val="left" w:pos="1474"/>
        </w:tabs>
        <w:rPr>
          <w:rFonts w:asciiTheme="minorHAnsi" w:eastAsiaTheme="minorEastAsia" w:hAnsiTheme="minorHAnsi" w:cstheme="minorBidi"/>
          <w:noProof/>
          <w:kern w:val="0"/>
          <w:sz w:val="22"/>
          <w:szCs w:val="22"/>
        </w:rPr>
      </w:pPr>
      <w:hyperlink w:anchor="_Toc105600754" w:history="1">
        <w:r w:rsidR="002E20FA" w:rsidRPr="00E81AF9">
          <w:rPr>
            <w:rStyle w:val="Hyperlink"/>
            <w:noProof/>
          </w:rPr>
          <w:t>3</w:t>
        </w:r>
        <w:r w:rsidR="002E20FA">
          <w:rPr>
            <w:rFonts w:asciiTheme="minorHAnsi" w:eastAsiaTheme="minorEastAsia" w:hAnsiTheme="minorHAnsi" w:cstheme="minorBidi"/>
            <w:noProof/>
            <w:kern w:val="0"/>
            <w:sz w:val="22"/>
            <w:szCs w:val="22"/>
          </w:rPr>
          <w:tab/>
        </w:r>
        <w:r w:rsidR="002E20FA" w:rsidRPr="00E81AF9">
          <w:rPr>
            <w:rStyle w:val="Hyperlink"/>
            <w:noProof/>
          </w:rPr>
          <w:t>Authority</w:t>
        </w:r>
        <w:r w:rsidR="002E20FA">
          <w:rPr>
            <w:noProof/>
            <w:webHidden/>
          </w:rPr>
          <w:tab/>
        </w:r>
        <w:r w:rsidR="002E20FA">
          <w:rPr>
            <w:noProof/>
            <w:webHidden/>
          </w:rPr>
          <w:fldChar w:fldCharType="begin"/>
        </w:r>
        <w:r w:rsidR="002E20FA">
          <w:rPr>
            <w:noProof/>
            <w:webHidden/>
          </w:rPr>
          <w:instrText xml:space="preserve"> PAGEREF _Toc105600754 \h </w:instrText>
        </w:r>
        <w:r w:rsidR="002E20FA">
          <w:rPr>
            <w:noProof/>
            <w:webHidden/>
          </w:rPr>
        </w:r>
        <w:r w:rsidR="002E20FA">
          <w:rPr>
            <w:noProof/>
            <w:webHidden/>
          </w:rPr>
          <w:fldChar w:fldCharType="separate"/>
        </w:r>
        <w:r w:rsidR="002E20FA">
          <w:rPr>
            <w:noProof/>
            <w:webHidden/>
          </w:rPr>
          <w:t>3</w:t>
        </w:r>
        <w:r w:rsidR="002E20FA">
          <w:rPr>
            <w:noProof/>
            <w:webHidden/>
          </w:rPr>
          <w:fldChar w:fldCharType="end"/>
        </w:r>
      </w:hyperlink>
    </w:p>
    <w:p w14:paraId="21517E1C" w14:textId="5FC2B56F" w:rsidR="002E20FA" w:rsidRDefault="00F9531A">
      <w:pPr>
        <w:pStyle w:val="TOC2"/>
        <w:tabs>
          <w:tab w:val="left" w:pos="1474"/>
        </w:tabs>
        <w:rPr>
          <w:rFonts w:asciiTheme="minorHAnsi" w:eastAsiaTheme="minorEastAsia" w:hAnsiTheme="minorHAnsi" w:cstheme="minorBidi"/>
          <w:noProof/>
          <w:kern w:val="0"/>
          <w:sz w:val="22"/>
          <w:szCs w:val="22"/>
        </w:rPr>
      </w:pPr>
      <w:hyperlink w:anchor="_Toc105600755" w:history="1">
        <w:r w:rsidR="002E20FA" w:rsidRPr="00E81AF9">
          <w:rPr>
            <w:rStyle w:val="Hyperlink"/>
            <w:noProof/>
          </w:rPr>
          <w:t>4</w:t>
        </w:r>
        <w:r w:rsidR="002E20FA">
          <w:rPr>
            <w:rFonts w:asciiTheme="minorHAnsi" w:eastAsiaTheme="minorEastAsia" w:hAnsiTheme="minorHAnsi" w:cstheme="minorBidi"/>
            <w:noProof/>
            <w:kern w:val="0"/>
            <w:sz w:val="22"/>
            <w:szCs w:val="22"/>
          </w:rPr>
          <w:tab/>
        </w:r>
        <w:r w:rsidR="002E20FA" w:rsidRPr="00E81AF9">
          <w:rPr>
            <w:rStyle w:val="Hyperlink"/>
            <w:noProof/>
          </w:rPr>
          <w:t>Definitions</w:t>
        </w:r>
        <w:r w:rsidR="002E20FA">
          <w:rPr>
            <w:noProof/>
            <w:webHidden/>
          </w:rPr>
          <w:tab/>
        </w:r>
        <w:r w:rsidR="002E20FA">
          <w:rPr>
            <w:noProof/>
            <w:webHidden/>
          </w:rPr>
          <w:fldChar w:fldCharType="begin"/>
        </w:r>
        <w:r w:rsidR="002E20FA">
          <w:rPr>
            <w:noProof/>
            <w:webHidden/>
          </w:rPr>
          <w:instrText xml:space="preserve"> PAGEREF _Toc105600755 \h </w:instrText>
        </w:r>
        <w:r w:rsidR="002E20FA">
          <w:rPr>
            <w:noProof/>
            <w:webHidden/>
          </w:rPr>
        </w:r>
        <w:r w:rsidR="002E20FA">
          <w:rPr>
            <w:noProof/>
            <w:webHidden/>
          </w:rPr>
          <w:fldChar w:fldCharType="separate"/>
        </w:r>
        <w:r w:rsidR="002E20FA">
          <w:rPr>
            <w:noProof/>
            <w:webHidden/>
          </w:rPr>
          <w:t>3</w:t>
        </w:r>
        <w:r w:rsidR="002E20FA">
          <w:rPr>
            <w:noProof/>
            <w:webHidden/>
          </w:rPr>
          <w:fldChar w:fldCharType="end"/>
        </w:r>
      </w:hyperlink>
    </w:p>
    <w:p w14:paraId="4E5FAB93" w14:textId="0DA3108A" w:rsidR="002E20FA" w:rsidRDefault="00F9531A">
      <w:pPr>
        <w:pStyle w:val="TOC1"/>
        <w:rPr>
          <w:rFonts w:asciiTheme="minorHAnsi" w:eastAsiaTheme="minorEastAsia" w:hAnsiTheme="minorHAnsi" w:cstheme="minorBidi"/>
          <w:b w:val="0"/>
          <w:noProof/>
          <w:kern w:val="0"/>
          <w:sz w:val="22"/>
          <w:szCs w:val="22"/>
        </w:rPr>
      </w:pPr>
      <w:hyperlink w:anchor="_Toc105600756" w:history="1">
        <w:r w:rsidR="002E20FA" w:rsidRPr="00E81AF9">
          <w:rPr>
            <w:rStyle w:val="Hyperlink"/>
            <w:noProof/>
          </w:rPr>
          <w:t>Part 2—Declaration</w:t>
        </w:r>
        <w:r w:rsidR="002E20FA">
          <w:rPr>
            <w:noProof/>
            <w:webHidden/>
          </w:rPr>
          <w:tab/>
        </w:r>
        <w:r w:rsidR="002E20FA">
          <w:rPr>
            <w:noProof/>
            <w:webHidden/>
          </w:rPr>
          <w:fldChar w:fldCharType="begin"/>
        </w:r>
        <w:r w:rsidR="002E20FA">
          <w:rPr>
            <w:noProof/>
            <w:webHidden/>
          </w:rPr>
          <w:instrText xml:space="preserve"> PAGEREF _Toc105600756 \h </w:instrText>
        </w:r>
        <w:r w:rsidR="002E20FA">
          <w:rPr>
            <w:noProof/>
            <w:webHidden/>
          </w:rPr>
        </w:r>
        <w:r w:rsidR="002E20FA">
          <w:rPr>
            <w:noProof/>
            <w:webHidden/>
          </w:rPr>
          <w:fldChar w:fldCharType="separate"/>
        </w:r>
        <w:r w:rsidR="002E20FA">
          <w:rPr>
            <w:noProof/>
            <w:webHidden/>
          </w:rPr>
          <w:t>4</w:t>
        </w:r>
        <w:r w:rsidR="002E20FA">
          <w:rPr>
            <w:noProof/>
            <w:webHidden/>
          </w:rPr>
          <w:fldChar w:fldCharType="end"/>
        </w:r>
      </w:hyperlink>
    </w:p>
    <w:p w14:paraId="4746081C" w14:textId="41F8871F" w:rsidR="002E20FA" w:rsidRDefault="00F9531A">
      <w:pPr>
        <w:pStyle w:val="TOC2"/>
        <w:tabs>
          <w:tab w:val="left" w:pos="1474"/>
        </w:tabs>
        <w:rPr>
          <w:rFonts w:asciiTheme="minorHAnsi" w:eastAsiaTheme="minorEastAsia" w:hAnsiTheme="minorHAnsi" w:cstheme="minorBidi"/>
          <w:noProof/>
          <w:kern w:val="0"/>
          <w:sz w:val="22"/>
          <w:szCs w:val="22"/>
        </w:rPr>
      </w:pPr>
      <w:hyperlink w:anchor="_Toc105600757" w:history="1">
        <w:r w:rsidR="002E20FA" w:rsidRPr="00E81AF9">
          <w:rPr>
            <w:rStyle w:val="Hyperlink"/>
            <w:noProof/>
          </w:rPr>
          <w:t>5</w:t>
        </w:r>
        <w:r w:rsidR="002E20FA">
          <w:rPr>
            <w:rFonts w:asciiTheme="minorHAnsi" w:eastAsiaTheme="minorEastAsia" w:hAnsiTheme="minorHAnsi" w:cstheme="minorBidi"/>
            <w:noProof/>
            <w:kern w:val="0"/>
            <w:sz w:val="22"/>
            <w:szCs w:val="22"/>
          </w:rPr>
          <w:tab/>
        </w:r>
        <w:r w:rsidR="002E20FA" w:rsidRPr="00E81AF9">
          <w:rPr>
            <w:rStyle w:val="Hyperlink"/>
            <w:noProof/>
          </w:rPr>
          <w:t>Relief from the Shorter PDS regime</w:t>
        </w:r>
        <w:r w:rsidR="002E20FA">
          <w:rPr>
            <w:noProof/>
            <w:webHidden/>
          </w:rPr>
          <w:tab/>
        </w:r>
        <w:r w:rsidR="002E20FA">
          <w:rPr>
            <w:noProof/>
            <w:webHidden/>
          </w:rPr>
          <w:fldChar w:fldCharType="begin"/>
        </w:r>
        <w:r w:rsidR="002E20FA">
          <w:rPr>
            <w:noProof/>
            <w:webHidden/>
          </w:rPr>
          <w:instrText xml:space="preserve"> PAGEREF _Toc105600757 \h </w:instrText>
        </w:r>
        <w:r w:rsidR="002E20FA">
          <w:rPr>
            <w:noProof/>
            <w:webHidden/>
          </w:rPr>
        </w:r>
        <w:r w:rsidR="002E20FA">
          <w:rPr>
            <w:noProof/>
            <w:webHidden/>
          </w:rPr>
          <w:fldChar w:fldCharType="separate"/>
        </w:r>
        <w:r w:rsidR="002E20FA">
          <w:rPr>
            <w:noProof/>
            <w:webHidden/>
          </w:rPr>
          <w:t>4</w:t>
        </w:r>
        <w:r w:rsidR="002E20FA">
          <w:rPr>
            <w:noProof/>
            <w:webHidden/>
          </w:rPr>
          <w:fldChar w:fldCharType="end"/>
        </w:r>
      </w:hyperlink>
    </w:p>
    <w:p w14:paraId="64B1EE9D" w14:textId="1E4D3293" w:rsidR="002E20FA" w:rsidRDefault="00F9531A">
      <w:pPr>
        <w:pStyle w:val="TOC2"/>
        <w:tabs>
          <w:tab w:val="left" w:pos="1474"/>
        </w:tabs>
        <w:rPr>
          <w:rFonts w:asciiTheme="minorHAnsi" w:eastAsiaTheme="minorEastAsia" w:hAnsiTheme="minorHAnsi" w:cstheme="minorBidi"/>
          <w:noProof/>
          <w:kern w:val="0"/>
          <w:sz w:val="22"/>
          <w:szCs w:val="22"/>
        </w:rPr>
      </w:pPr>
      <w:hyperlink w:anchor="_Toc105600758" w:history="1">
        <w:r w:rsidR="002E20FA" w:rsidRPr="00E81AF9">
          <w:rPr>
            <w:rStyle w:val="Hyperlink"/>
            <w:noProof/>
          </w:rPr>
          <w:t>6</w:t>
        </w:r>
        <w:r w:rsidR="002E20FA">
          <w:rPr>
            <w:rFonts w:asciiTheme="minorHAnsi" w:eastAsiaTheme="minorEastAsia" w:hAnsiTheme="minorHAnsi" w:cstheme="minorBidi"/>
            <w:noProof/>
            <w:kern w:val="0"/>
            <w:sz w:val="22"/>
            <w:szCs w:val="22"/>
          </w:rPr>
          <w:tab/>
        </w:r>
        <w:r w:rsidR="002E20FA" w:rsidRPr="00E81AF9">
          <w:rPr>
            <w:rStyle w:val="Hyperlink"/>
            <w:noProof/>
          </w:rPr>
          <w:t>Regulated acquisitions through certain superannuation funds</w:t>
        </w:r>
        <w:r w:rsidR="002E20FA">
          <w:rPr>
            <w:noProof/>
            <w:webHidden/>
          </w:rPr>
          <w:tab/>
        </w:r>
        <w:r w:rsidR="002E20FA">
          <w:rPr>
            <w:noProof/>
            <w:webHidden/>
          </w:rPr>
          <w:fldChar w:fldCharType="begin"/>
        </w:r>
        <w:r w:rsidR="002E20FA">
          <w:rPr>
            <w:noProof/>
            <w:webHidden/>
          </w:rPr>
          <w:instrText xml:space="preserve"> PAGEREF _Toc105600758 \h </w:instrText>
        </w:r>
        <w:r w:rsidR="002E20FA">
          <w:rPr>
            <w:noProof/>
            <w:webHidden/>
          </w:rPr>
        </w:r>
        <w:r w:rsidR="002E20FA">
          <w:rPr>
            <w:noProof/>
            <w:webHidden/>
          </w:rPr>
          <w:fldChar w:fldCharType="separate"/>
        </w:r>
        <w:r w:rsidR="002E20FA">
          <w:rPr>
            <w:noProof/>
            <w:webHidden/>
          </w:rPr>
          <w:t>13</w:t>
        </w:r>
        <w:r w:rsidR="002E20FA">
          <w:rPr>
            <w:noProof/>
            <w:webHidden/>
          </w:rPr>
          <w:fldChar w:fldCharType="end"/>
        </w:r>
      </w:hyperlink>
    </w:p>
    <w:p w14:paraId="191BF213" w14:textId="664F88C2" w:rsidR="002E20FA" w:rsidRDefault="00F9531A">
      <w:pPr>
        <w:pStyle w:val="TOC2"/>
        <w:tabs>
          <w:tab w:val="left" w:pos="1474"/>
        </w:tabs>
        <w:rPr>
          <w:rFonts w:asciiTheme="minorHAnsi" w:eastAsiaTheme="minorEastAsia" w:hAnsiTheme="minorHAnsi" w:cstheme="minorBidi"/>
          <w:noProof/>
          <w:kern w:val="0"/>
          <w:sz w:val="22"/>
          <w:szCs w:val="22"/>
        </w:rPr>
      </w:pPr>
      <w:hyperlink w:anchor="_Toc105600759" w:history="1">
        <w:r w:rsidR="002E20FA" w:rsidRPr="00E81AF9">
          <w:rPr>
            <w:rStyle w:val="Hyperlink"/>
            <w:noProof/>
          </w:rPr>
          <w:t>7</w:t>
        </w:r>
        <w:r w:rsidR="002E20FA">
          <w:rPr>
            <w:rFonts w:asciiTheme="minorHAnsi" w:eastAsiaTheme="minorEastAsia" w:hAnsiTheme="minorHAnsi" w:cstheme="minorBidi"/>
            <w:noProof/>
            <w:kern w:val="0"/>
            <w:sz w:val="22"/>
            <w:szCs w:val="22"/>
          </w:rPr>
          <w:tab/>
        </w:r>
        <w:r w:rsidR="002E20FA" w:rsidRPr="00E81AF9">
          <w:rPr>
            <w:rStyle w:val="Hyperlink"/>
            <w:noProof/>
          </w:rPr>
          <w:t>Platform operators and trustees of superannuation entities using an agent to deliver a Product Disclosure Statement</w:t>
        </w:r>
        <w:r w:rsidR="002E20FA">
          <w:rPr>
            <w:noProof/>
            <w:webHidden/>
          </w:rPr>
          <w:tab/>
        </w:r>
        <w:r w:rsidR="002E20FA">
          <w:rPr>
            <w:noProof/>
            <w:webHidden/>
          </w:rPr>
          <w:fldChar w:fldCharType="begin"/>
        </w:r>
        <w:r w:rsidR="002E20FA">
          <w:rPr>
            <w:noProof/>
            <w:webHidden/>
          </w:rPr>
          <w:instrText xml:space="preserve"> PAGEREF _Toc105600759 \h </w:instrText>
        </w:r>
        <w:r w:rsidR="002E20FA">
          <w:rPr>
            <w:noProof/>
            <w:webHidden/>
          </w:rPr>
        </w:r>
        <w:r w:rsidR="002E20FA">
          <w:rPr>
            <w:noProof/>
            <w:webHidden/>
          </w:rPr>
          <w:fldChar w:fldCharType="separate"/>
        </w:r>
        <w:r w:rsidR="002E20FA">
          <w:rPr>
            <w:noProof/>
            <w:webHidden/>
          </w:rPr>
          <w:t>20</w:t>
        </w:r>
        <w:r w:rsidR="002E20FA">
          <w:rPr>
            <w:noProof/>
            <w:webHidden/>
          </w:rPr>
          <w:fldChar w:fldCharType="end"/>
        </w:r>
      </w:hyperlink>
    </w:p>
    <w:p w14:paraId="6022921A" w14:textId="5E6F7B03" w:rsidR="002E20FA" w:rsidRDefault="00F9531A">
      <w:pPr>
        <w:pStyle w:val="TOC1"/>
        <w:rPr>
          <w:rFonts w:asciiTheme="minorHAnsi" w:eastAsiaTheme="minorEastAsia" w:hAnsiTheme="minorHAnsi" w:cstheme="minorBidi"/>
          <w:b w:val="0"/>
          <w:noProof/>
          <w:kern w:val="0"/>
          <w:sz w:val="22"/>
          <w:szCs w:val="22"/>
        </w:rPr>
      </w:pPr>
      <w:hyperlink w:anchor="_Toc105600760" w:history="1">
        <w:r w:rsidR="002E20FA" w:rsidRPr="00E81AF9">
          <w:rPr>
            <w:rStyle w:val="Hyperlink"/>
            <w:noProof/>
          </w:rPr>
          <w:t>Part 3—Repeal</w:t>
        </w:r>
        <w:r w:rsidR="002E20FA">
          <w:rPr>
            <w:noProof/>
            <w:webHidden/>
          </w:rPr>
          <w:tab/>
        </w:r>
        <w:r w:rsidR="002E20FA">
          <w:rPr>
            <w:noProof/>
            <w:webHidden/>
          </w:rPr>
          <w:fldChar w:fldCharType="begin"/>
        </w:r>
        <w:r w:rsidR="002E20FA">
          <w:rPr>
            <w:noProof/>
            <w:webHidden/>
          </w:rPr>
          <w:instrText xml:space="preserve"> PAGEREF _Toc105600760 \h </w:instrText>
        </w:r>
        <w:r w:rsidR="002E20FA">
          <w:rPr>
            <w:noProof/>
            <w:webHidden/>
          </w:rPr>
        </w:r>
        <w:r w:rsidR="002E20FA">
          <w:rPr>
            <w:noProof/>
            <w:webHidden/>
          </w:rPr>
          <w:fldChar w:fldCharType="separate"/>
        </w:r>
        <w:r w:rsidR="002E20FA">
          <w:rPr>
            <w:noProof/>
            <w:webHidden/>
          </w:rPr>
          <w:t>21</w:t>
        </w:r>
        <w:r w:rsidR="002E20FA">
          <w:rPr>
            <w:noProof/>
            <w:webHidden/>
          </w:rPr>
          <w:fldChar w:fldCharType="end"/>
        </w:r>
      </w:hyperlink>
    </w:p>
    <w:p w14:paraId="294BC910" w14:textId="2EC48AD7" w:rsidR="002E20FA" w:rsidRDefault="00F9531A">
      <w:pPr>
        <w:pStyle w:val="TOC2"/>
        <w:tabs>
          <w:tab w:val="left" w:pos="1474"/>
        </w:tabs>
        <w:rPr>
          <w:rFonts w:asciiTheme="minorHAnsi" w:eastAsiaTheme="minorEastAsia" w:hAnsiTheme="minorHAnsi" w:cstheme="minorBidi"/>
          <w:noProof/>
          <w:kern w:val="0"/>
          <w:sz w:val="22"/>
          <w:szCs w:val="22"/>
        </w:rPr>
      </w:pPr>
      <w:hyperlink w:anchor="_Toc105600761" w:history="1">
        <w:r w:rsidR="002E20FA" w:rsidRPr="00E81AF9">
          <w:rPr>
            <w:rStyle w:val="Hyperlink"/>
            <w:noProof/>
          </w:rPr>
          <w:t>8</w:t>
        </w:r>
        <w:r w:rsidR="002E20FA">
          <w:rPr>
            <w:rFonts w:asciiTheme="minorHAnsi" w:eastAsiaTheme="minorEastAsia" w:hAnsiTheme="minorHAnsi" w:cstheme="minorBidi"/>
            <w:noProof/>
            <w:kern w:val="0"/>
            <w:sz w:val="22"/>
            <w:szCs w:val="22"/>
          </w:rPr>
          <w:tab/>
        </w:r>
        <w:r w:rsidR="002E20FA" w:rsidRPr="00E81AF9">
          <w:rPr>
            <w:rStyle w:val="Hyperlink"/>
            <w:noProof/>
          </w:rPr>
          <w:t>Repeal</w:t>
        </w:r>
        <w:r w:rsidR="002E20FA">
          <w:rPr>
            <w:noProof/>
            <w:webHidden/>
          </w:rPr>
          <w:tab/>
        </w:r>
        <w:r w:rsidR="002E20FA">
          <w:rPr>
            <w:noProof/>
            <w:webHidden/>
          </w:rPr>
          <w:fldChar w:fldCharType="begin"/>
        </w:r>
        <w:r w:rsidR="002E20FA">
          <w:rPr>
            <w:noProof/>
            <w:webHidden/>
          </w:rPr>
          <w:instrText xml:space="preserve"> PAGEREF _Toc105600761 \h </w:instrText>
        </w:r>
        <w:r w:rsidR="002E20FA">
          <w:rPr>
            <w:noProof/>
            <w:webHidden/>
          </w:rPr>
        </w:r>
        <w:r w:rsidR="002E20FA">
          <w:rPr>
            <w:noProof/>
            <w:webHidden/>
          </w:rPr>
          <w:fldChar w:fldCharType="separate"/>
        </w:r>
        <w:r w:rsidR="002E20FA">
          <w:rPr>
            <w:noProof/>
            <w:webHidden/>
          </w:rPr>
          <w:t>21</w:t>
        </w:r>
        <w:r w:rsidR="002E20FA">
          <w:rPr>
            <w:noProof/>
            <w:webHidden/>
          </w:rPr>
          <w:fldChar w:fldCharType="end"/>
        </w:r>
      </w:hyperlink>
    </w:p>
    <w:p w14:paraId="3A91E5DD" w14:textId="5B6D2794" w:rsidR="00670EA1" w:rsidRPr="00F61B09" w:rsidRDefault="00015719" w:rsidP="00715914">
      <w:r>
        <w:rPr>
          <w:rFonts w:eastAsia="Times New Roman"/>
          <w:kern w:val="28"/>
          <w:sz w:val="28"/>
          <w:lang w:eastAsia="en-AU"/>
        </w:rPr>
        <w:fldChar w:fldCharType="end"/>
      </w:r>
    </w:p>
    <w:p w14:paraId="0A2C2981" w14:textId="77777777" w:rsidR="00670EA1" w:rsidRPr="00F61B09" w:rsidRDefault="00670EA1" w:rsidP="00715914">
      <w:pPr>
        <w:sectPr w:rsidR="00670EA1" w:rsidRPr="00F61B09" w:rsidSect="00F4215A">
          <w:headerReference w:type="even" r:id="rId21"/>
          <w:headerReference w:type="default" r:id="rId22"/>
          <w:footerReference w:type="even" r:id="rId23"/>
          <w:footerReference w:type="default" r:id="rId24"/>
          <w:headerReference w:type="first" r:id="rId25"/>
          <w:pgSz w:w="11907" w:h="16839"/>
          <w:pgMar w:top="1098" w:right="1797" w:bottom="1440" w:left="1797" w:header="720" w:footer="709" w:gutter="0"/>
          <w:pgNumType w:fmt="lowerRoman"/>
          <w:cols w:space="708"/>
          <w:docGrid w:linePitch="360"/>
        </w:sectPr>
      </w:pPr>
    </w:p>
    <w:p w14:paraId="5B40E1A6" w14:textId="77777777" w:rsidR="00FA31DE" w:rsidRPr="00F61B09" w:rsidRDefault="00FA31DE" w:rsidP="006554FF">
      <w:pPr>
        <w:pStyle w:val="LI-Heading1"/>
      </w:pPr>
      <w:bookmarkStart w:id="3" w:name="BK_S3P1L1C1"/>
      <w:bookmarkStart w:id="4" w:name="_Toc87120676"/>
      <w:bookmarkStart w:id="5" w:name="_Toc105600751"/>
      <w:bookmarkEnd w:id="3"/>
      <w:r w:rsidRPr="006554FF">
        <w:lastRenderedPageBreak/>
        <w:t>Part</w:t>
      </w:r>
      <w:r w:rsidR="00F61B09" w:rsidRPr="006554FF">
        <w:t> </w:t>
      </w:r>
      <w:r w:rsidRPr="006E5320">
        <w:t>1</w:t>
      </w:r>
      <w:r w:rsidRPr="00F61B09">
        <w:t>—</w:t>
      </w:r>
      <w:r w:rsidRPr="00005446">
        <w:t>Preliminary</w:t>
      </w:r>
      <w:bookmarkEnd w:id="4"/>
      <w:bookmarkEnd w:id="5"/>
    </w:p>
    <w:p w14:paraId="631D8873" w14:textId="77777777" w:rsidR="00FA31DE" w:rsidRDefault="00FA31DE" w:rsidP="00C11452">
      <w:pPr>
        <w:pStyle w:val="LI-Heading2"/>
        <w:rPr>
          <w:szCs w:val="24"/>
        </w:rPr>
      </w:pPr>
      <w:bookmarkStart w:id="6" w:name="_Toc87120677"/>
      <w:bookmarkStart w:id="7" w:name="_Toc105600752"/>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6"/>
      <w:bookmarkEnd w:id="7"/>
    </w:p>
    <w:p w14:paraId="7F089A3C" w14:textId="17005DB6" w:rsidR="00FA31DE" w:rsidRDefault="00FA31DE" w:rsidP="00005446">
      <w:pPr>
        <w:pStyle w:val="LI-BodyTextUnnumbered"/>
        <w:rPr>
          <w:szCs w:val="24"/>
        </w:rPr>
      </w:pPr>
      <w:r w:rsidRPr="008C0F29">
        <w:rPr>
          <w:szCs w:val="24"/>
        </w:rPr>
        <w:t xml:space="preserve">This </w:t>
      </w:r>
      <w:r w:rsidR="008C0F29" w:rsidRPr="008C0F29">
        <w:rPr>
          <w:szCs w:val="24"/>
        </w:rPr>
        <w:t>is</w:t>
      </w:r>
      <w:r w:rsidR="009D195A">
        <w:rPr>
          <w:szCs w:val="24"/>
        </w:rPr>
        <w:t xml:space="preserve"> the</w:t>
      </w:r>
      <w:r w:rsidR="008C0F29" w:rsidRPr="008C0F29">
        <w:rPr>
          <w:szCs w:val="24"/>
        </w:rPr>
        <w:t xml:space="preserve"> </w:t>
      </w:r>
      <w:r w:rsidR="008C0F29" w:rsidRPr="008C0F29">
        <w:rPr>
          <w:i/>
          <w:szCs w:val="24"/>
        </w:rPr>
        <w:t>A</w:t>
      </w:r>
      <w:r w:rsidR="00327DDF">
        <w:rPr>
          <w:i/>
          <w:szCs w:val="24"/>
        </w:rPr>
        <w:t>SIC Corporations</w:t>
      </w:r>
      <w:r w:rsidR="00C11452">
        <w:rPr>
          <w:i/>
          <w:szCs w:val="24"/>
        </w:rPr>
        <w:t xml:space="preserve"> </w:t>
      </w:r>
      <w:r w:rsidR="00C11452" w:rsidRPr="005D3D41">
        <w:rPr>
          <w:i/>
          <w:szCs w:val="24"/>
        </w:rPr>
        <w:t>(</w:t>
      </w:r>
      <w:r w:rsidR="0037160F">
        <w:rPr>
          <w:i/>
          <w:szCs w:val="24"/>
        </w:rPr>
        <w:t>Shorter PDS</w:t>
      </w:r>
      <w:r w:rsidR="00012EE0">
        <w:rPr>
          <w:i/>
          <w:szCs w:val="24"/>
        </w:rPr>
        <w:t xml:space="preserve"> and </w:t>
      </w:r>
      <w:r w:rsidR="00012EE0" w:rsidRPr="00012EE0">
        <w:rPr>
          <w:i/>
          <w:szCs w:val="24"/>
        </w:rPr>
        <w:t xml:space="preserve">Delivery of </w:t>
      </w:r>
      <w:r w:rsidR="00557DB8">
        <w:rPr>
          <w:i/>
          <w:szCs w:val="24"/>
        </w:rPr>
        <w:t>A</w:t>
      </w:r>
      <w:r w:rsidR="00012EE0" w:rsidRPr="00012EE0">
        <w:rPr>
          <w:i/>
          <w:szCs w:val="24"/>
        </w:rPr>
        <w:t xml:space="preserve">ccessible </w:t>
      </w:r>
      <w:r w:rsidR="00557DB8">
        <w:rPr>
          <w:i/>
          <w:szCs w:val="24"/>
        </w:rPr>
        <w:t>F</w:t>
      </w:r>
      <w:r w:rsidR="00012EE0" w:rsidRPr="00012EE0">
        <w:rPr>
          <w:i/>
          <w:szCs w:val="24"/>
        </w:rPr>
        <w:t xml:space="preserve">inancial </w:t>
      </w:r>
      <w:r w:rsidR="00557DB8">
        <w:rPr>
          <w:i/>
          <w:szCs w:val="24"/>
        </w:rPr>
        <w:t>P</w:t>
      </w:r>
      <w:r w:rsidR="00012EE0" w:rsidRPr="00012EE0">
        <w:rPr>
          <w:i/>
          <w:szCs w:val="24"/>
        </w:rPr>
        <w:t xml:space="preserve">roducts </w:t>
      </w:r>
      <w:r w:rsidR="00557DB8">
        <w:rPr>
          <w:i/>
          <w:szCs w:val="24"/>
        </w:rPr>
        <w:t>D</w:t>
      </w:r>
      <w:r w:rsidR="00012EE0" w:rsidRPr="00012EE0">
        <w:rPr>
          <w:i/>
          <w:szCs w:val="24"/>
        </w:rPr>
        <w:t xml:space="preserve">isclosure by </w:t>
      </w:r>
      <w:r w:rsidR="00557DB8">
        <w:rPr>
          <w:i/>
          <w:szCs w:val="24"/>
        </w:rPr>
        <w:t>P</w:t>
      </w:r>
      <w:r w:rsidR="00012EE0" w:rsidRPr="00012EE0">
        <w:rPr>
          <w:i/>
          <w:szCs w:val="24"/>
        </w:rPr>
        <w:t>lat</w:t>
      </w:r>
      <w:r w:rsidR="00012EE0">
        <w:rPr>
          <w:i/>
          <w:szCs w:val="24"/>
        </w:rPr>
        <w:t>f</w:t>
      </w:r>
      <w:r w:rsidR="00012EE0" w:rsidRPr="00012EE0">
        <w:rPr>
          <w:i/>
          <w:szCs w:val="24"/>
        </w:rPr>
        <w:t xml:space="preserve">orm </w:t>
      </w:r>
      <w:r w:rsidR="00557DB8">
        <w:rPr>
          <w:i/>
          <w:szCs w:val="24"/>
        </w:rPr>
        <w:t>O</w:t>
      </w:r>
      <w:r w:rsidR="00012EE0" w:rsidRPr="00012EE0">
        <w:rPr>
          <w:i/>
          <w:szCs w:val="24"/>
        </w:rPr>
        <w:t xml:space="preserve">perators and </w:t>
      </w:r>
      <w:r w:rsidR="00557DB8">
        <w:rPr>
          <w:i/>
          <w:szCs w:val="24"/>
        </w:rPr>
        <w:t>S</w:t>
      </w:r>
      <w:r w:rsidR="00012EE0" w:rsidRPr="00012EE0">
        <w:rPr>
          <w:i/>
          <w:szCs w:val="24"/>
        </w:rPr>
        <w:t xml:space="preserve">uperannuation </w:t>
      </w:r>
      <w:r w:rsidR="00557DB8">
        <w:rPr>
          <w:i/>
          <w:szCs w:val="24"/>
        </w:rPr>
        <w:t>T</w:t>
      </w:r>
      <w:r w:rsidR="00012EE0" w:rsidRPr="00012EE0">
        <w:rPr>
          <w:i/>
          <w:szCs w:val="24"/>
        </w:rPr>
        <w:t>rustees</w:t>
      </w:r>
      <w:r w:rsidR="00C11452" w:rsidRPr="005D3D41">
        <w:rPr>
          <w:i/>
          <w:szCs w:val="24"/>
        </w:rPr>
        <w:t xml:space="preserve">) Instrument </w:t>
      </w:r>
      <w:r w:rsidR="0037160F">
        <w:rPr>
          <w:i/>
          <w:szCs w:val="24"/>
        </w:rPr>
        <w:t>2022</w:t>
      </w:r>
      <w:r w:rsidR="00F26AC7">
        <w:rPr>
          <w:i/>
          <w:szCs w:val="24"/>
        </w:rPr>
        <w:t>/</w:t>
      </w:r>
      <w:r w:rsidR="00FA7375">
        <w:rPr>
          <w:i/>
          <w:szCs w:val="24"/>
        </w:rPr>
        <w:t>497</w:t>
      </w:r>
      <w:r w:rsidR="00F26AC7">
        <w:rPr>
          <w:i/>
          <w:szCs w:val="24"/>
        </w:rPr>
        <w:t>.</w:t>
      </w:r>
    </w:p>
    <w:p w14:paraId="0811F6AC" w14:textId="53545FD9" w:rsidR="00FA31DE" w:rsidRPr="008C0F29" w:rsidRDefault="00FA31DE" w:rsidP="00DC36C5">
      <w:pPr>
        <w:pStyle w:val="LI-Heading2"/>
        <w:rPr>
          <w:szCs w:val="24"/>
        </w:rPr>
      </w:pPr>
      <w:bookmarkStart w:id="8" w:name="_Toc87120678"/>
      <w:bookmarkStart w:id="9" w:name="_Toc105600753"/>
      <w:r w:rsidRPr="008C0F29">
        <w:rPr>
          <w:szCs w:val="24"/>
        </w:rPr>
        <w:t>2</w:t>
      </w:r>
      <w:r w:rsidR="00FC3EB8">
        <w:rPr>
          <w:szCs w:val="24"/>
        </w:rPr>
        <w:tab/>
      </w:r>
      <w:r w:rsidRPr="008C0F29">
        <w:rPr>
          <w:szCs w:val="24"/>
        </w:rPr>
        <w:t>Commencement</w:t>
      </w:r>
      <w:bookmarkEnd w:id="8"/>
      <w:bookmarkEnd w:id="9"/>
    </w:p>
    <w:p w14:paraId="3430D62A" w14:textId="789B8CAF" w:rsidR="00FA31DE" w:rsidRPr="00F657B9" w:rsidRDefault="00FA31DE" w:rsidP="007B7EFD">
      <w:pPr>
        <w:pStyle w:val="LI-BodyTextUnnumbered"/>
        <w:rPr>
          <w:iCs/>
          <w:szCs w:val="24"/>
        </w:rPr>
      </w:pPr>
      <w:r w:rsidRPr="008C0F29">
        <w:rPr>
          <w:szCs w:val="24"/>
        </w:rPr>
        <w:t xml:space="preserve">This </w:t>
      </w:r>
      <w:r w:rsidR="008C0F29">
        <w:rPr>
          <w:szCs w:val="24"/>
        </w:rPr>
        <w:t>instrument</w:t>
      </w:r>
      <w:r w:rsidRPr="008C0F29">
        <w:rPr>
          <w:szCs w:val="24"/>
        </w:rPr>
        <w:t xml:space="preserve"> commences </w:t>
      </w:r>
      <w:bookmarkStart w:id="10" w:name="_Hlk94694047"/>
      <w:proofErr w:type="gramStart"/>
      <w:r w:rsidR="00CC2248">
        <w:rPr>
          <w:szCs w:val="24"/>
        </w:rPr>
        <w:t>at the same time that</w:t>
      </w:r>
      <w:proofErr w:type="gramEnd"/>
      <w:r w:rsidR="00CC2248">
        <w:rPr>
          <w:szCs w:val="24"/>
        </w:rPr>
        <w:t xml:space="preserve"> </w:t>
      </w:r>
      <w:r w:rsidR="00CC2248" w:rsidRPr="00F657B9">
        <w:rPr>
          <w:i/>
          <w:szCs w:val="24"/>
        </w:rPr>
        <w:t>ASIC Corporations (Repeal) Instrument 2022/</w:t>
      </w:r>
      <w:r w:rsidR="00E918A3">
        <w:rPr>
          <w:i/>
          <w:szCs w:val="24"/>
        </w:rPr>
        <w:t>499</w:t>
      </w:r>
      <w:r w:rsidR="00CC2248" w:rsidRPr="00F657B9">
        <w:rPr>
          <w:i/>
          <w:szCs w:val="24"/>
        </w:rPr>
        <w:t xml:space="preserve"> </w:t>
      </w:r>
      <w:r w:rsidR="00CC2248" w:rsidRPr="00F657B9">
        <w:rPr>
          <w:iCs/>
          <w:szCs w:val="24"/>
        </w:rPr>
        <w:t>commences.</w:t>
      </w:r>
      <w:bookmarkEnd w:id="10"/>
    </w:p>
    <w:p w14:paraId="5094CD24" w14:textId="068D2733" w:rsidR="00FA31DE" w:rsidRPr="008C0F29" w:rsidRDefault="00FA31DE" w:rsidP="00DC36C5">
      <w:pPr>
        <w:pStyle w:val="LI-Heading2"/>
        <w:spacing w:before="240"/>
        <w:rPr>
          <w:szCs w:val="24"/>
        </w:rPr>
      </w:pPr>
      <w:bookmarkStart w:id="11" w:name="_Toc87120679"/>
      <w:bookmarkStart w:id="12" w:name="_Toc105600754"/>
      <w:r w:rsidRPr="008C0F29">
        <w:rPr>
          <w:szCs w:val="24"/>
        </w:rPr>
        <w:t>3</w:t>
      </w:r>
      <w:r w:rsidR="00FC3EB8">
        <w:rPr>
          <w:szCs w:val="24"/>
        </w:rPr>
        <w:tab/>
      </w:r>
      <w:r w:rsidRPr="008C0F29">
        <w:rPr>
          <w:szCs w:val="24"/>
        </w:rPr>
        <w:t>Authority</w:t>
      </w:r>
      <w:bookmarkEnd w:id="11"/>
      <w:bookmarkEnd w:id="12"/>
    </w:p>
    <w:p w14:paraId="778ECDA5" w14:textId="77777777" w:rsidR="00FA31DE" w:rsidRPr="008C0F29"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 xml:space="preserve">is made under </w:t>
      </w:r>
      <w:r w:rsidR="0037160F" w:rsidRPr="0037160F">
        <w:rPr>
          <w:szCs w:val="24"/>
        </w:rPr>
        <w:t>paragraph 1020F(1)(c)</w:t>
      </w:r>
      <w:r w:rsidR="0037160F">
        <w:rPr>
          <w:szCs w:val="24"/>
        </w:rPr>
        <w:t xml:space="preserve"> </w:t>
      </w:r>
      <w:r w:rsidRPr="005D3D41">
        <w:rPr>
          <w:szCs w:val="24"/>
        </w:rPr>
        <w:t xml:space="preserve">of </w:t>
      </w:r>
      <w:r w:rsidR="0037160F">
        <w:rPr>
          <w:szCs w:val="24"/>
        </w:rPr>
        <w:t xml:space="preserve">the </w:t>
      </w:r>
      <w:r w:rsidR="0037160F">
        <w:rPr>
          <w:i/>
          <w:szCs w:val="24"/>
        </w:rPr>
        <w:t>Corporations Act 2001</w:t>
      </w:r>
      <w:r w:rsidRPr="008C0F29">
        <w:rPr>
          <w:szCs w:val="24"/>
        </w:rPr>
        <w:t>.</w:t>
      </w:r>
    </w:p>
    <w:p w14:paraId="3C741E8A" w14:textId="7A9506CD" w:rsidR="00FA31DE" w:rsidRPr="00BB5C17" w:rsidRDefault="008C0F29" w:rsidP="00DC36C5">
      <w:pPr>
        <w:pStyle w:val="LI-Heading2"/>
        <w:spacing w:before="240"/>
        <w:rPr>
          <w:szCs w:val="24"/>
        </w:rPr>
      </w:pPr>
      <w:bookmarkStart w:id="13" w:name="_Toc87120680"/>
      <w:bookmarkStart w:id="14" w:name="_Toc105600755"/>
      <w:r w:rsidRPr="00BB5C17">
        <w:rPr>
          <w:szCs w:val="24"/>
        </w:rPr>
        <w:t>4</w:t>
      </w:r>
      <w:r w:rsidR="00FC3EB8">
        <w:rPr>
          <w:szCs w:val="24"/>
        </w:rPr>
        <w:tab/>
      </w:r>
      <w:r w:rsidR="00FA31DE" w:rsidRPr="00BB5C17">
        <w:rPr>
          <w:szCs w:val="24"/>
        </w:rPr>
        <w:t>Definitions</w:t>
      </w:r>
      <w:bookmarkEnd w:id="13"/>
      <w:bookmarkEnd w:id="14"/>
    </w:p>
    <w:p w14:paraId="4DC467AD" w14:textId="77777777" w:rsidR="00FA31DE" w:rsidRPr="00005446" w:rsidRDefault="00FA31DE" w:rsidP="00005446">
      <w:pPr>
        <w:pStyle w:val="LI-BodyTextUnnumbered"/>
      </w:pPr>
      <w:r w:rsidRPr="00005446">
        <w:t xml:space="preserve">In this </w:t>
      </w:r>
      <w:r w:rsidR="008C0F29" w:rsidRPr="00005446">
        <w:t>instrument</w:t>
      </w:r>
      <w:r w:rsidRPr="00005446">
        <w:t>:</w:t>
      </w:r>
    </w:p>
    <w:p w14:paraId="02CA45FF" w14:textId="77777777" w:rsidR="00702EFD" w:rsidRDefault="00702EFD" w:rsidP="00005446">
      <w:pPr>
        <w:pStyle w:val="LI-BodyTextUnnumbered"/>
        <w:rPr>
          <w:b/>
          <w:i/>
        </w:rPr>
      </w:pPr>
      <w:r>
        <w:rPr>
          <w:b/>
          <w:i/>
        </w:rPr>
        <w:t>Act</w:t>
      </w:r>
      <w:r w:rsidRPr="00E85A91">
        <w:t xml:space="preserve"> means</w:t>
      </w:r>
      <w:r>
        <w:t xml:space="preserve"> the </w:t>
      </w:r>
      <w:r w:rsidR="007D6AF7" w:rsidRPr="007D6AF7">
        <w:rPr>
          <w:i/>
          <w:iCs/>
        </w:rPr>
        <w:t>Corporations Act 2001</w:t>
      </w:r>
      <w:r>
        <w:t xml:space="preserve">. </w:t>
      </w:r>
    </w:p>
    <w:p w14:paraId="24EBFB90" w14:textId="77777777" w:rsidR="00127D38" w:rsidRPr="003518AA" w:rsidRDefault="00C531B6" w:rsidP="003518AA">
      <w:pPr>
        <w:pStyle w:val="LI-BodyTextUnnumbered"/>
        <w:rPr>
          <w:bCs/>
          <w:iCs/>
        </w:rPr>
      </w:pPr>
      <w:r w:rsidRPr="00C531B6">
        <w:rPr>
          <w:b/>
          <w:i/>
        </w:rPr>
        <w:t>IDPS</w:t>
      </w:r>
      <w:r w:rsidR="003518AA">
        <w:rPr>
          <w:b/>
          <w:i/>
        </w:rPr>
        <w:t xml:space="preserve"> </w:t>
      </w:r>
      <w:r w:rsidR="003518AA" w:rsidRPr="003518AA">
        <w:rPr>
          <w:bCs/>
          <w:iCs/>
        </w:rPr>
        <w:t>has the same meaning as in ASIC Class Order [CO 13/763].</w:t>
      </w:r>
    </w:p>
    <w:p w14:paraId="0C1E9870" w14:textId="77777777" w:rsidR="00F82643" w:rsidRPr="00C531B6" w:rsidRDefault="00C531B6" w:rsidP="003518AA">
      <w:pPr>
        <w:pStyle w:val="LI-BodyTextUnnumbered"/>
      </w:pPr>
      <w:r w:rsidRPr="00C531B6">
        <w:rPr>
          <w:b/>
          <w:i/>
        </w:rPr>
        <w:t xml:space="preserve">IDPS-like scheme </w:t>
      </w:r>
      <w:r w:rsidR="003518AA">
        <w:rPr>
          <w:bCs/>
          <w:iCs/>
        </w:rPr>
        <w:t>h</w:t>
      </w:r>
      <w:r w:rsidR="003518AA" w:rsidRPr="003518AA">
        <w:rPr>
          <w:bCs/>
          <w:iCs/>
        </w:rPr>
        <w:t>as the same meaning as in ASIC Class Order [CO 13/763].</w:t>
      </w:r>
      <w:r w:rsidR="00F82643" w:rsidRPr="00F82643">
        <w:rPr>
          <w:bCs/>
          <w:iCs/>
        </w:rPr>
        <w:t xml:space="preserve"> </w:t>
      </w:r>
    </w:p>
    <w:p w14:paraId="0CCAB1FE" w14:textId="77777777" w:rsidR="003518AA" w:rsidRPr="00C531B6" w:rsidRDefault="00C531B6" w:rsidP="003518AA">
      <w:pPr>
        <w:pStyle w:val="LI-BodyTextUnnumbered"/>
      </w:pPr>
      <w:r w:rsidRPr="00C531B6">
        <w:rPr>
          <w:b/>
          <w:i/>
        </w:rPr>
        <w:t>operator</w:t>
      </w:r>
      <w:r w:rsidR="003518AA" w:rsidRPr="003518AA">
        <w:rPr>
          <w:bCs/>
          <w:iCs/>
        </w:rPr>
        <w:t xml:space="preserve"> </w:t>
      </w:r>
      <w:r w:rsidR="003518AA">
        <w:rPr>
          <w:bCs/>
          <w:iCs/>
        </w:rPr>
        <w:t>h</w:t>
      </w:r>
      <w:r w:rsidR="003518AA" w:rsidRPr="003518AA">
        <w:rPr>
          <w:bCs/>
          <w:iCs/>
        </w:rPr>
        <w:t>as the same meaning as in ASIC Class Order [CO 13/763].</w:t>
      </w:r>
      <w:r w:rsidR="003518AA" w:rsidRPr="00F82643">
        <w:rPr>
          <w:bCs/>
          <w:iCs/>
        </w:rPr>
        <w:t xml:space="preserve"> </w:t>
      </w:r>
    </w:p>
    <w:p w14:paraId="571B24AE" w14:textId="77777777" w:rsidR="007D6AD3" w:rsidRDefault="007D6AD3" w:rsidP="00C531B6">
      <w:pPr>
        <w:pStyle w:val="LI-BodyTextUnnumbered"/>
        <w:rPr>
          <w:b/>
          <w:i/>
        </w:rPr>
      </w:pPr>
      <w:r>
        <w:rPr>
          <w:b/>
          <w:i/>
        </w:rPr>
        <w:t xml:space="preserve">Regulations </w:t>
      </w:r>
      <w:r w:rsidRPr="0049311B">
        <w:rPr>
          <w:bCs/>
          <w:iCs/>
        </w:rPr>
        <w:t xml:space="preserve">means the </w:t>
      </w:r>
      <w:r w:rsidRPr="0049311B">
        <w:rPr>
          <w:bCs/>
          <w:i/>
        </w:rPr>
        <w:t>Corporations Regulations 2001</w:t>
      </w:r>
      <w:r w:rsidRPr="000C7C15">
        <w:rPr>
          <w:bCs/>
          <w:iCs/>
        </w:rPr>
        <w:t>.</w:t>
      </w:r>
    </w:p>
    <w:p w14:paraId="475B0505" w14:textId="77777777" w:rsidR="0023081C" w:rsidRDefault="0023081C" w:rsidP="00C531B6">
      <w:pPr>
        <w:pStyle w:val="LI-BodyTextUnnumbered"/>
        <w:rPr>
          <w:b/>
          <w:i/>
        </w:rPr>
      </w:pPr>
      <w:r>
        <w:rPr>
          <w:b/>
          <w:i/>
        </w:rPr>
        <w:t xml:space="preserve">simple managed investment scheme </w:t>
      </w:r>
      <w:r w:rsidRPr="003C6895">
        <w:rPr>
          <w:bCs/>
          <w:iCs/>
        </w:rPr>
        <w:t xml:space="preserve">has the same meaning as in </w:t>
      </w:r>
      <w:r>
        <w:rPr>
          <w:bCs/>
          <w:iCs/>
        </w:rPr>
        <w:t xml:space="preserve">regulation </w:t>
      </w:r>
      <w:r w:rsidRPr="003C6895">
        <w:rPr>
          <w:bCs/>
          <w:iCs/>
        </w:rPr>
        <w:t>1.0.02 of the Regulations.</w:t>
      </w:r>
    </w:p>
    <w:p w14:paraId="09DC7A8B" w14:textId="77777777" w:rsidR="00C531B6" w:rsidRPr="00C531B6" w:rsidRDefault="00C531B6" w:rsidP="00C531B6">
      <w:pPr>
        <w:pStyle w:val="LI-BodyTextUnnumbered"/>
        <w:rPr>
          <w:bCs/>
          <w:iCs/>
        </w:rPr>
      </w:pPr>
      <w:r w:rsidRPr="00C531B6">
        <w:rPr>
          <w:b/>
          <w:i/>
        </w:rPr>
        <w:t xml:space="preserve">superannuation entity </w:t>
      </w:r>
      <w:r w:rsidRPr="00C531B6">
        <w:rPr>
          <w:bCs/>
          <w:iCs/>
        </w:rPr>
        <w:t>has the same meaning as in section 761A of the Act.</w:t>
      </w:r>
    </w:p>
    <w:p w14:paraId="6A55E549" w14:textId="77777777" w:rsidR="00A15512" w:rsidRPr="00F61B09" w:rsidRDefault="00C531B6" w:rsidP="00012EE0">
      <w:pPr>
        <w:pStyle w:val="LI-Heading1"/>
      </w:pPr>
      <w:r>
        <w:br w:type="page"/>
      </w:r>
      <w:bookmarkStart w:id="15" w:name="_Toc87120681"/>
      <w:bookmarkStart w:id="16" w:name="_Toc105600756"/>
      <w:r w:rsidR="00E346D3">
        <w:lastRenderedPageBreak/>
        <w:t xml:space="preserve">Part </w:t>
      </w:r>
      <w:r>
        <w:t>2</w:t>
      </w:r>
      <w:r w:rsidR="00E346D3" w:rsidRPr="006554FF">
        <w:t>—</w:t>
      </w:r>
      <w:r w:rsidR="00E346D3">
        <w:t>Declaration</w:t>
      </w:r>
      <w:bookmarkEnd w:id="15"/>
      <w:bookmarkEnd w:id="16"/>
    </w:p>
    <w:p w14:paraId="7C4A0399" w14:textId="4BA56CDB" w:rsidR="00A15512" w:rsidRPr="00804559" w:rsidRDefault="00EE5042" w:rsidP="008066D7">
      <w:pPr>
        <w:pStyle w:val="LI-Heading2"/>
      </w:pPr>
      <w:bookmarkStart w:id="17" w:name="_Toc87120684"/>
      <w:bookmarkStart w:id="18" w:name="_Toc105600757"/>
      <w:r>
        <w:t>5</w:t>
      </w:r>
      <w:r w:rsidR="002B4A0D" w:rsidRPr="00804559">
        <w:tab/>
      </w:r>
      <w:r w:rsidR="002720AD" w:rsidRPr="00804559">
        <w:t>Relief from the Shorter PDS regime</w:t>
      </w:r>
      <w:bookmarkEnd w:id="17"/>
      <w:bookmarkEnd w:id="18"/>
    </w:p>
    <w:p w14:paraId="3E78FBDE" w14:textId="77777777" w:rsidR="009944E6" w:rsidRPr="00AA3E3E" w:rsidRDefault="002720AD" w:rsidP="0075225F">
      <w:pPr>
        <w:pStyle w:val="LI-Heading3"/>
        <w:rPr>
          <w:rStyle w:val="OPCCharBase"/>
          <w:i w:val="0"/>
          <w:iCs/>
        </w:rPr>
      </w:pPr>
      <w:r w:rsidRPr="00AA3E3E">
        <w:rPr>
          <w:rStyle w:val="OPCCharBase"/>
          <w:iCs/>
        </w:rPr>
        <w:t>Superannuation products: platforms</w:t>
      </w:r>
    </w:p>
    <w:p w14:paraId="42635415" w14:textId="77777777" w:rsidR="00A12F48" w:rsidRPr="005D3D41" w:rsidRDefault="009944E6" w:rsidP="00F57F23">
      <w:pPr>
        <w:pStyle w:val="LI-BodyTextNumbered"/>
      </w:pPr>
      <w:r w:rsidRPr="005D3D41">
        <w:t>(1)</w:t>
      </w:r>
      <w:r w:rsidRPr="005D3D41">
        <w:tab/>
      </w:r>
      <w:r w:rsidR="002720AD" w:rsidRPr="002720AD">
        <w:t xml:space="preserve">Part 7.9 of the Act applies in relation to </w:t>
      </w:r>
      <w:r w:rsidR="0049311B">
        <w:t>a trustee of a superannuation entity</w:t>
      </w:r>
      <w:r w:rsidR="002720AD" w:rsidRPr="002720AD">
        <w:t xml:space="preserve"> as if regulation 7.9.11K of the</w:t>
      </w:r>
      <w:r w:rsidR="00E36C61">
        <w:t xml:space="preserve"> Regulations</w:t>
      </w:r>
      <w:r w:rsidR="002720AD" w:rsidRPr="002720AD">
        <w:t xml:space="preserve"> were modified or varied as follows:</w:t>
      </w:r>
    </w:p>
    <w:p w14:paraId="779D7AB3" w14:textId="77777777" w:rsidR="002720AD" w:rsidRDefault="00E06CC3" w:rsidP="00AA3E3E">
      <w:pPr>
        <w:pStyle w:val="LI-BodyTextSubparai"/>
      </w:pPr>
      <w:r w:rsidRPr="005D3D41">
        <w:t>(a)</w:t>
      </w:r>
      <w:r w:rsidRPr="005D3D41">
        <w:tab/>
      </w:r>
      <w:r w:rsidR="002720AD" w:rsidRPr="002720AD">
        <w:t>in paragraph (2)(c), omit “product).”, substitute “product);</w:t>
      </w:r>
      <w:r w:rsidR="00A8004C">
        <w:t>”</w:t>
      </w:r>
    </w:p>
    <w:p w14:paraId="6F791365" w14:textId="77777777" w:rsidR="002720AD" w:rsidRDefault="002720AD" w:rsidP="00AA3E3E">
      <w:pPr>
        <w:pStyle w:val="LI-BodyTextSubparai"/>
      </w:pPr>
      <w:r>
        <w:t xml:space="preserve">(b)     </w:t>
      </w:r>
      <w:r w:rsidRPr="002720AD">
        <w:t>after paragraph (2)(c) insert:</w:t>
      </w:r>
    </w:p>
    <w:p w14:paraId="12E9F8F7" w14:textId="48125ED5" w:rsidR="002720AD" w:rsidRDefault="002720AD" w:rsidP="00AA3E3E">
      <w:pPr>
        <w:pStyle w:val="LI-BodyTextSubsubparaA"/>
      </w:pPr>
      <w:r>
        <w:t xml:space="preserve"> </w:t>
      </w:r>
      <w:r w:rsidRPr="002720AD">
        <w:t>“</w:t>
      </w:r>
      <w:r w:rsidR="00E06CC3" w:rsidRPr="002720AD">
        <w:t>(</w:t>
      </w:r>
      <w:r w:rsidRPr="002720AD">
        <w:t>d</w:t>
      </w:r>
      <w:r w:rsidR="00E06CC3" w:rsidRPr="002720AD">
        <w:t>)</w:t>
      </w:r>
      <w:r w:rsidRPr="002720AD">
        <w:t xml:space="preserve"> </w:t>
      </w:r>
      <w:r w:rsidRPr="002720AD">
        <w:tab/>
        <w:t xml:space="preserve">subject to </w:t>
      </w:r>
      <w:proofErr w:type="spellStart"/>
      <w:r w:rsidRPr="002720AD">
        <w:t>subregulation</w:t>
      </w:r>
      <w:proofErr w:type="spellEnd"/>
      <w:r w:rsidRPr="002720AD">
        <w:t xml:space="preserve"> (3), a superannuation product that relates to a superannuation entity in which:</w:t>
      </w:r>
    </w:p>
    <w:p w14:paraId="3500C52B" w14:textId="77777777" w:rsidR="002720AD" w:rsidRDefault="00AA3E3E" w:rsidP="00AA3E3E">
      <w:pPr>
        <w:pStyle w:val="LI-Sectionsubparai"/>
      </w:pPr>
      <w:r>
        <w:t>(</w:t>
      </w:r>
      <w:proofErr w:type="spellStart"/>
      <w:r>
        <w:t>i</w:t>
      </w:r>
      <w:proofErr w:type="spellEnd"/>
      <w:r>
        <w:t>)</w:t>
      </w:r>
      <w:r w:rsidR="00016952">
        <w:tab/>
      </w:r>
      <w:r w:rsidR="002720AD">
        <w:t>two or more investment strategies are available from which a member, or a class of members, may choose; and</w:t>
      </w:r>
    </w:p>
    <w:p w14:paraId="7998C741" w14:textId="4B7F1E2E" w:rsidR="00E06CC3" w:rsidRPr="002720AD" w:rsidRDefault="00AA3E3E" w:rsidP="00AA3E3E">
      <w:pPr>
        <w:pStyle w:val="LI-Sectionsubparai"/>
      </w:pPr>
      <w:r>
        <w:t xml:space="preserve">(ii)   </w:t>
      </w:r>
      <w:r w:rsidR="002720AD">
        <w:t>each of the investment strategies enables a regulated acquisition (within the meaning of section 1012IA of the Act) of a financial product to be made.</w:t>
      </w:r>
      <w:proofErr w:type="gramStart"/>
      <w:r w:rsidR="00D72BEB">
        <w:t>”</w:t>
      </w:r>
      <w:r w:rsidR="00D40CA9">
        <w:t>;</w:t>
      </w:r>
      <w:proofErr w:type="gramEnd"/>
    </w:p>
    <w:p w14:paraId="7520F123" w14:textId="77777777" w:rsidR="002720AD" w:rsidRDefault="00A12F48" w:rsidP="00AA3E3E">
      <w:pPr>
        <w:pStyle w:val="LI-BodyTextSubparai"/>
      </w:pPr>
      <w:r w:rsidRPr="005D3D41">
        <w:t>(</w:t>
      </w:r>
      <w:r w:rsidR="002720AD">
        <w:t>c</w:t>
      </w:r>
      <w:r w:rsidRPr="005D3D41">
        <w:t>)</w:t>
      </w:r>
      <w:r w:rsidRPr="005D3D41">
        <w:tab/>
      </w:r>
      <w:r w:rsidR="002720AD" w:rsidRPr="002720AD">
        <w:t xml:space="preserve">after </w:t>
      </w:r>
      <w:proofErr w:type="spellStart"/>
      <w:r w:rsidR="002720AD" w:rsidRPr="002720AD">
        <w:t>subregulation</w:t>
      </w:r>
      <w:proofErr w:type="spellEnd"/>
      <w:r w:rsidR="002720AD" w:rsidRPr="002720AD">
        <w:t xml:space="preserve"> (2) insert:</w:t>
      </w:r>
    </w:p>
    <w:p w14:paraId="0BCFB48B" w14:textId="77777777" w:rsidR="00906639" w:rsidRDefault="00A12F48" w:rsidP="00AA3E3E">
      <w:pPr>
        <w:pStyle w:val="LI-BodyTextSubsubparaA"/>
      </w:pPr>
      <w:r w:rsidRPr="005D3D41">
        <w:t>“(</w:t>
      </w:r>
      <w:r w:rsidR="002720AD">
        <w:t>3</w:t>
      </w:r>
      <w:r w:rsidRPr="005D3D41">
        <w:t>)</w:t>
      </w:r>
      <w:r w:rsidRPr="005D3D41">
        <w:tab/>
      </w:r>
      <w:r w:rsidR="002720AD" w:rsidRPr="002720AD">
        <w:t>Paragraph (2)(d) does not apply to a superannuation product on and from the first occasion a Product Disclosure Statement is given which:</w:t>
      </w:r>
    </w:p>
    <w:p w14:paraId="3A4DF078" w14:textId="77777777" w:rsidR="00906639" w:rsidRDefault="00E06CC3" w:rsidP="00AA3E3E">
      <w:pPr>
        <w:pStyle w:val="LI-Sectionsubparai"/>
      </w:pPr>
      <w:r w:rsidRPr="005D3D41">
        <w:t>(a)</w:t>
      </w:r>
      <w:r w:rsidRPr="005D3D41">
        <w:tab/>
      </w:r>
      <w:r w:rsidR="00906639">
        <w:t>covers the product; and</w:t>
      </w:r>
    </w:p>
    <w:p w14:paraId="5B0EF95E" w14:textId="77777777" w:rsidR="00906639" w:rsidRDefault="00906639" w:rsidP="00AA3E3E">
      <w:pPr>
        <w:pStyle w:val="LI-Sectionsubparai"/>
      </w:pPr>
      <w:r>
        <w:t>(b)</w:t>
      </w:r>
      <w:r>
        <w:tab/>
        <w:t xml:space="preserve">is prepared or purports to be prepared in accordance with Part 7.9 of the Act as affected by this </w:t>
      </w:r>
      <w:proofErr w:type="gramStart"/>
      <w:r>
        <w:t>Subdivision;</w:t>
      </w:r>
      <w:proofErr w:type="gramEnd"/>
    </w:p>
    <w:p w14:paraId="688179D1" w14:textId="77777777" w:rsidR="00906639" w:rsidRDefault="00906639" w:rsidP="00AA3E3E">
      <w:pPr>
        <w:pStyle w:val="LI-Sectionsubparai"/>
        <w:ind w:left="2835" w:firstLine="0"/>
      </w:pPr>
      <w:r w:rsidRPr="00906639">
        <w:t>and continues not to apply unless and until a Product Disclosure Statement is given which:</w:t>
      </w:r>
    </w:p>
    <w:p w14:paraId="4A2B2BA1" w14:textId="77777777" w:rsidR="00906639" w:rsidRDefault="00E06CC3" w:rsidP="00AA3E3E">
      <w:pPr>
        <w:pStyle w:val="LI-Sectionsubparai"/>
      </w:pPr>
      <w:r w:rsidRPr="005D3D41">
        <w:t>(</w:t>
      </w:r>
      <w:r w:rsidR="00906639">
        <w:t>c</w:t>
      </w:r>
      <w:r w:rsidRPr="005D3D41">
        <w:t>)</w:t>
      </w:r>
      <w:r w:rsidRPr="005D3D41">
        <w:tab/>
      </w:r>
      <w:r w:rsidR="00906639">
        <w:t>covers the product; and</w:t>
      </w:r>
    </w:p>
    <w:p w14:paraId="75359E1F" w14:textId="77777777" w:rsidR="00E06CC3" w:rsidRDefault="00906639" w:rsidP="00AA3E3E">
      <w:pPr>
        <w:pStyle w:val="LI-Sectionsubparai"/>
      </w:pPr>
      <w:r>
        <w:t>(d)</w:t>
      </w:r>
      <w:r>
        <w:tab/>
        <w:t>is prepared or purports to be prepared in accordance with Part 7.9 of the Act as it applies but for this Subdivision.”.</w:t>
      </w:r>
    </w:p>
    <w:p w14:paraId="24FFF4EA" w14:textId="77777777" w:rsidR="00906639" w:rsidRPr="00F57F23" w:rsidRDefault="00906639" w:rsidP="0075225F">
      <w:pPr>
        <w:pStyle w:val="LI-Heading3"/>
        <w:rPr>
          <w:rStyle w:val="OPCCharBase"/>
        </w:rPr>
      </w:pPr>
      <w:r w:rsidRPr="00F57F23">
        <w:rPr>
          <w:rStyle w:val="OPCCharBase"/>
        </w:rPr>
        <w:lastRenderedPageBreak/>
        <w:t xml:space="preserve">Simple managed investment schemes: </w:t>
      </w:r>
      <w:proofErr w:type="spellStart"/>
      <w:r w:rsidRPr="00F57F23">
        <w:rPr>
          <w:rStyle w:val="OPCCharBase"/>
        </w:rPr>
        <w:t>multifunds</w:t>
      </w:r>
      <w:proofErr w:type="spellEnd"/>
      <w:r w:rsidRPr="00F57F23">
        <w:rPr>
          <w:rStyle w:val="OPCCharBase"/>
        </w:rPr>
        <w:t xml:space="preserve"> and hedge funds</w:t>
      </w:r>
    </w:p>
    <w:p w14:paraId="0A636CFC" w14:textId="77777777" w:rsidR="00906639" w:rsidRPr="00F57F23" w:rsidRDefault="00E06CC3" w:rsidP="00F57F23">
      <w:pPr>
        <w:pStyle w:val="LI-BodyTextNumbered"/>
      </w:pPr>
      <w:r w:rsidRPr="00F57F23">
        <w:t>(</w:t>
      </w:r>
      <w:r w:rsidR="00906639" w:rsidRPr="00F57F23">
        <w:t>2</w:t>
      </w:r>
      <w:r w:rsidRPr="00F57F23">
        <w:t>)</w:t>
      </w:r>
      <w:r w:rsidRPr="00F57F23">
        <w:tab/>
      </w:r>
      <w:r w:rsidR="00906639" w:rsidRPr="00F57F23">
        <w:t>Part 7.9 of the Act applies in relation to a</w:t>
      </w:r>
      <w:r w:rsidR="001F5A32">
        <w:t xml:space="preserve"> responsible entity of </w:t>
      </w:r>
      <w:r w:rsidR="00144341">
        <w:t>a simple managed investment scheme</w:t>
      </w:r>
      <w:r w:rsidR="00906639" w:rsidRPr="00F57F23">
        <w:t xml:space="preserve"> as if regulation 7.9.11S of the Regulations were modified or varied by, after </w:t>
      </w:r>
      <w:proofErr w:type="spellStart"/>
      <w:r w:rsidR="00906639" w:rsidRPr="00F57F23">
        <w:t>subregulation</w:t>
      </w:r>
      <w:proofErr w:type="spellEnd"/>
      <w:r w:rsidR="00906639" w:rsidRPr="00F57F23">
        <w:t xml:space="preserve"> (4), inserting:</w:t>
      </w:r>
    </w:p>
    <w:p w14:paraId="2358A6F6" w14:textId="77777777" w:rsidR="00906639" w:rsidRDefault="00906639" w:rsidP="00906639">
      <w:pPr>
        <w:pStyle w:val="LI-BodyTextSubparai"/>
      </w:pPr>
      <w:r w:rsidRPr="00906639">
        <w:t>“(5)</w:t>
      </w:r>
      <w:r w:rsidRPr="00906639">
        <w:tab/>
        <w:t>This Subdivision does not apply to a Product Disclosure Statement to which all of the following apply:</w:t>
      </w:r>
    </w:p>
    <w:p w14:paraId="1B09F3AD" w14:textId="68B467C9" w:rsidR="00906639" w:rsidRDefault="009E1089" w:rsidP="009E1089">
      <w:pPr>
        <w:pStyle w:val="LI-Sectionparaa"/>
      </w:pPr>
      <w:r>
        <w:t>(a)</w:t>
      </w:r>
      <w:r>
        <w:tab/>
      </w:r>
      <w:r w:rsidR="00906639">
        <w:t xml:space="preserve">the Statement covers a financial product which relates to a simple managed investment </w:t>
      </w:r>
      <w:proofErr w:type="gramStart"/>
      <w:r w:rsidR="00906639">
        <w:t>scheme;</w:t>
      </w:r>
      <w:proofErr w:type="gramEnd"/>
    </w:p>
    <w:p w14:paraId="67D5F230" w14:textId="5E58FF85" w:rsidR="00906639" w:rsidRDefault="009E1089" w:rsidP="009E1089">
      <w:pPr>
        <w:pStyle w:val="LI-Sectionparaa"/>
      </w:pPr>
      <w:r>
        <w:t>(b)</w:t>
      </w:r>
      <w:r>
        <w:tab/>
      </w:r>
      <w:r w:rsidR="00906639">
        <w:t xml:space="preserve">the Statement is prepared or purports to be prepared in accordance with Part 7.9 of the Act as it applies but for this </w:t>
      </w:r>
      <w:proofErr w:type="gramStart"/>
      <w:r w:rsidR="00906639">
        <w:t>Subdivision;</w:t>
      </w:r>
      <w:proofErr w:type="gramEnd"/>
    </w:p>
    <w:p w14:paraId="15B8FA13" w14:textId="73ED65E8" w:rsidR="00906639" w:rsidRDefault="009E1089" w:rsidP="009E1089">
      <w:pPr>
        <w:pStyle w:val="LI-Sectionparaa"/>
      </w:pPr>
      <w:r>
        <w:t>(c)</w:t>
      </w:r>
      <w:r>
        <w:tab/>
      </w:r>
      <w:r w:rsidR="00906639">
        <w:t>the Statement is set out in a document in which there is also set out one or more other Product Disclosure Statements which:</w:t>
      </w:r>
    </w:p>
    <w:p w14:paraId="745E6E2F" w14:textId="77777777" w:rsidR="00906639" w:rsidRPr="00F57F23" w:rsidRDefault="00F57F23" w:rsidP="00F57F23">
      <w:pPr>
        <w:pStyle w:val="LI-Sectionsubparai"/>
      </w:pPr>
      <w:r>
        <w:t>(</w:t>
      </w:r>
      <w:proofErr w:type="spellStart"/>
      <w:r>
        <w:t>i</w:t>
      </w:r>
      <w:proofErr w:type="spellEnd"/>
      <w:r>
        <w:t xml:space="preserve">)     </w:t>
      </w:r>
      <w:r w:rsidR="00906639" w:rsidRPr="00F57F23">
        <w:t>cover a financial product which relates to another registered scheme but not another financial product; and</w:t>
      </w:r>
    </w:p>
    <w:p w14:paraId="65B6059F" w14:textId="77777777" w:rsidR="00906639" w:rsidRPr="00F57F23" w:rsidRDefault="00F57F23" w:rsidP="00F57F23">
      <w:pPr>
        <w:pStyle w:val="LI-Sectionsubparai"/>
      </w:pPr>
      <w:r>
        <w:t xml:space="preserve">(ii)    </w:t>
      </w:r>
      <w:r w:rsidR="00906639" w:rsidRPr="00F57F23">
        <w:t>is prepared or purports to be prepared in accordance with Part 7.9 of the Act as it applies but for this Subdivision.</w:t>
      </w:r>
    </w:p>
    <w:p w14:paraId="13028B0B" w14:textId="77777777" w:rsidR="00EF3740" w:rsidRDefault="00906639" w:rsidP="00F57F23">
      <w:pPr>
        <w:pStyle w:val="LI-BodyTextSubparai"/>
      </w:pPr>
      <w:r>
        <w:t xml:space="preserve">(6)   </w:t>
      </w:r>
      <w:r w:rsidR="00EF3740">
        <w:tab/>
        <w:t>Subject to subsection (7), this Subdivision does not apply to a simple managed investment scheme that is a hedge fund or fund of hedge funds.</w:t>
      </w:r>
    </w:p>
    <w:p w14:paraId="639CD626" w14:textId="77777777" w:rsidR="00EF3740" w:rsidRDefault="00EF3740" w:rsidP="00F57F23">
      <w:pPr>
        <w:pStyle w:val="LI-BodyTextSubparai"/>
      </w:pPr>
      <w:r>
        <w:t>(7)</w:t>
      </w:r>
      <w:r>
        <w:tab/>
      </w:r>
      <w:r w:rsidRPr="00EF3740">
        <w:t xml:space="preserve">In this regulation: </w:t>
      </w:r>
    </w:p>
    <w:p w14:paraId="12D04FA4" w14:textId="77777777" w:rsidR="00EF3740" w:rsidRPr="00405B5F" w:rsidRDefault="00EF3740" w:rsidP="00EF3740">
      <w:pPr>
        <w:pStyle w:val="LI-Sectionparaa"/>
      </w:pPr>
      <w:r w:rsidRPr="00405B5F">
        <w:rPr>
          <w:b/>
          <w:i/>
        </w:rPr>
        <w:t>derivative</w:t>
      </w:r>
      <w:r>
        <w:t xml:space="preserve"> </w:t>
      </w:r>
      <w:r w:rsidRPr="00405B5F">
        <w:t>includes an agreement under which:</w:t>
      </w:r>
    </w:p>
    <w:p w14:paraId="5C8C0644" w14:textId="77777777" w:rsidR="00EF3740" w:rsidRPr="00405B5F" w:rsidRDefault="00EF3740" w:rsidP="00EF3740">
      <w:pPr>
        <w:pStyle w:val="LI-Sectionparaa"/>
      </w:pPr>
      <w:r w:rsidRPr="00405B5F">
        <w:t>(a)</w:t>
      </w:r>
      <w:r w:rsidRPr="00405B5F">
        <w:tab/>
        <w:t xml:space="preserve">a person agrees to deliver securities or interests in a managed investment scheme (each a </w:t>
      </w:r>
      <w:r w:rsidRPr="00405B5F">
        <w:rPr>
          <w:b/>
          <w:i/>
        </w:rPr>
        <w:t>delivery product</w:t>
      </w:r>
      <w:r w:rsidRPr="00405B5F">
        <w:t>) to another person at a time (</w:t>
      </w:r>
      <w:r w:rsidRPr="00405B5F">
        <w:rPr>
          <w:b/>
          <w:i/>
        </w:rPr>
        <w:t>maturity</w:t>
      </w:r>
      <w:r w:rsidRPr="00405B5F">
        <w:t xml:space="preserve">) in the </w:t>
      </w:r>
      <w:proofErr w:type="gramStart"/>
      <w:r w:rsidRPr="00405B5F">
        <w:t>future;</w:t>
      </w:r>
      <w:proofErr w:type="gramEnd"/>
    </w:p>
    <w:p w14:paraId="02D947AF" w14:textId="77777777" w:rsidR="00EF3740" w:rsidRPr="00405B5F" w:rsidRDefault="00EF3740" w:rsidP="00EF3740">
      <w:pPr>
        <w:pStyle w:val="LI-Sectionparaa"/>
      </w:pPr>
      <w:r w:rsidRPr="00405B5F">
        <w:t>(b)</w:t>
      </w:r>
      <w:r w:rsidRPr="00405B5F">
        <w:tab/>
        <w:t xml:space="preserve">the maturity is determined by reference to a specified time or the occurrence or non-occurrence of a specified event or </w:t>
      </w:r>
      <w:proofErr w:type="gramStart"/>
      <w:r w:rsidRPr="00405B5F">
        <w:t>circumstance;</w:t>
      </w:r>
      <w:proofErr w:type="gramEnd"/>
    </w:p>
    <w:p w14:paraId="649FA40B" w14:textId="77777777" w:rsidR="00EF3740" w:rsidRPr="00405B5F" w:rsidRDefault="00EF3740" w:rsidP="00EF3740">
      <w:pPr>
        <w:pStyle w:val="LI-Sectionparaa"/>
      </w:pPr>
      <w:r w:rsidRPr="00405B5F">
        <w:t>(c)</w:t>
      </w:r>
      <w:r w:rsidRPr="00405B5F">
        <w:tab/>
        <w:t>the number and value of the delivery products to be delivered at maturity is ultimately determined or derived from the value or amount of one or more of the following:</w:t>
      </w:r>
    </w:p>
    <w:p w14:paraId="5B651EED" w14:textId="77777777" w:rsidR="00EF3740" w:rsidRPr="00405B5F" w:rsidRDefault="00EF3740" w:rsidP="00EF3740">
      <w:pPr>
        <w:pStyle w:val="LI-Sectionsubparai"/>
      </w:pPr>
      <w:r w:rsidRPr="00405B5F">
        <w:t>(</w:t>
      </w:r>
      <w:proofErr w:type="spellStart"/>
      <w:r w:rsidRPr="00405B5F">
        <w:t>i</w:t>
      </w:r>
      <w:proofErr w:type="spellEnd"/>
      <w:r w:rsidRPr="00405B5F">
        <w:t>)</w:t>
      </w:r>
      <w:r w:rsidRPr="00405B5F">
        <w:tab/>
        <w:t xml:space="preserve">other financial </w:t>
      </w:r>
      <w:proofErr w:type="gramStart"/>
      <w:r w:rsidRPr="00405B5F">
        <w:t>products;</w:t>
      </w:r>
      <w:proofErr w:type="gramEnd"/>
    </w:p>
    <w:p w14:paraId="51604E47" w14:textId="77777777" w:rsidR="00EF3740" w:rsidRPr="00405B5F" w:rsidRDefault="00EF3740" w:rsidP="00EF3740">
      <w:pPr>
        <w:pStyle w:val="LI-Sectionsubparai"/>
      </w:pPr>
      <w:r w:rsidRPr="00405B5F">
        <w:t>(ii)</w:t>
      </w:r>
      <w:r w:rsidRPr="00405B5F">
        <w:tab/>
        <w:t xml:space="preserve">an </w:t>
      </w:r>
      <w:proofErr w:type="gramStart"/>
      <w:r w:rsidRPr="00405B5F">
        <w:t>asset;</w:t>
      </w:r>
      <w:proofErr w:type="gramEnd"/>
    </w:p>
    <w:p w14:paraId="76A7CE02" w14:textId="77777777" w:rsidR="00EF3740" w:rsidRPr="00405B5F" w:rsidRDefault="00EF3740" w:rsidP="00EF3740">
      <w:pPr>
        <w:pStyle w:val="LI-Sectionsubparai"/>
      </w:pPr>
      <w:r w:rsidRPr="00405B5F">
        <w:lastRenderedPageBreak/>
        <w:t>(iii)</w:t>
      </w:r>
      <w:r w:rsidRPr="00405B5F">
        <w:tab/>
        <w:t>a rate (including an interest rate or exchange rate</w:t>
      </w:r>
      <w:proofErr w:type="gramStart"/>
      <w:r w:rsidRPr="00405B5F">
        <w:t>);</w:t>
      </w:r>
      <w:proofErr w:type="gramEnd"/>
    </w:p>
    <w:p w14:paraId="1E97293A" w14:textId="77777777" w:rsidR="00EF3740" w:rsidRPr="00405B5F" w:rsidRDefault="00EF3740" w:rsidP="00EF3740">
      <w:pPr>
        <w:pStyle w:val="LI-Sectionsubparai"/>
      </w:pPr>
      <w:r w:rsidRPr="00405B5F">
        <w:t>(iv)</w:t>
      </w:r>
      <w:r w:rsidRPr="00405B5F">
        <w:tab/>
        <w:t xml:space="preserve">an </w:t>
      </w:r>
      <w:proofErr w:type="gramStart"/>
      <w:r w:rsidRPr="00405B5F">
        <w:t>index;</w:t>
      </w:r>
      <w:proofErr w:type="gramEnd"/>
    </w:p>
    <w:p w14:paraId="28154B59" w14:textId="77777777" w:rsidR="00EF3740" w:rsidRDefault="00EF3740" w:rsidP="00EF3740">
      <w:pPr>
        <w:pStyle w:val="LI-Sectionsubparai"/>
        <w:rPr>
          <w:b/>
          <w:i/>
        </w:rPr>
      </w:pPr>
      <w:r w:rsidRPr="00405B5F">
        <w:t>(v)</w:t>
      </w:r>
      <w:r w:rsidRPr="00405B5F">
        <w:tab/>
        <w:t>a commodity.</w:t>
      </w:r>
    </w:p>
    <w:p w14:paraId="53F84E6D" w14:textId="77777777" w:rsidR="00EF3740" w:rsidRDefault="00EF3740" w:rsidP="00EF3740">
      <w:pPr>
        <w:pStyle w:val="LI-Sectionparaa"/>
        <w:ind w:left="2268" w:firstLine="0"/>
      </w:pPr>
      <w:r w:rsidRPr="00FB44C9">
        <w:rPr>
          <w:b/>
          <w:i/>
        </w:rPr>
        <w:t>fund of hedge funds</w:t>
      </w:r>
      <w:r>
        <w:t xml:space="preserve"> means a registered scheme:</w:t>
      </w:r>
    </w:p>
    <w:p w14:paraId="77E5952B" w14:textId="77777777" w:rsidR="00EF3740" w:rsidRDefault="00EF3740" w:rsidP="00EF3740">
      <w:pPr>
        <w:pStyle w:val="LI-Sectionparaa"/>
      </w:pPr>
      <w:r>
        <w:t>(a)</w:t>
      </w:r>
      <w:r>
        <w:tab/>
        <w:t>that is promoted by the responsible entity using the expression and as being a “fund of hedge funds”; or</w:t>
      </w:r>
    </w:p>
    <w:p w14:paraId="3D989034" w14:textId="77777777" w:rsidR="00EF3740" w:rsidRDefault="00EF3740" w:rsidP="00EF3740">
      <w:pPr>
        <w:pStyle w:val="LI-Sectionparaa"/>
      </w:pPr>
      <w:r>
        <w:t xml:space="preserve">(b) </w:t>
      </w:r>
      <w:r>
        <w:tab/>
        <w:t>in relation to which at least 35% of scheme property is invested in a way that gives rise to economic interests in one or more of the following:</w:t>
      </w:r>
    </w:p>
    <w:p w14:paraId="20E0DEDA" w14:textId="77777777" w:rsidR="00EF3740" w:rsidRDefault="00EF3740" w:rsidP="00EF3740">
      <w:pPr>
        <w:pStyle w:val="LI-Sectionsubparai"/>
      </w:pPr>
      <w:r>
        <w:t>(</w:t>
      </w:r>
      <w:proofErr w:type="spellStart"/>
      <w:r>
        <w:t>i</w:t>
      </w:r>
      <w:proofErr w:type="spellEnd"/>
      <w:r>
        <w:t>)</w:t>
      </w:r>
      <w:r>
        <w:tab/>
        <w:t>a hedge fund; or</w:t>
      </w:r>
    </w:p>
    <w:p w14:paraId="6DD2215E" w14:textId="77777777" w:rsidR="00EF3740" w:rsidRDefault="00EF3740" w:rsidP="00EF3740">
      <w:pPr>
        <w:pStyle w:val="LI-Sectionsubparai"/>
      </w:pPr>
      <w:r>
        <w:t>(ii)</w:t>
      </w:r>
      <w:r>
        <w:tab/>
        <w:t>a managed investment scheme or body, whether operating or carrying on business in or outside this jurisdiction, that would be a hedge fund if the scheme or body were a registered scheme; or</w:t>
      </w:r>
    </w:p>
    <w:p w14:paraId="3156FAA0" w14:textId="77777777" w:rsidR="00EF3740" w:rsidRDefault="00EF3740" w:rsidP="00EF3740">
      <w:pPr>
        <w:pStyle w:val="LI-Sectionparaa"/>
      </w:pPr>
      <w:r>
        <w:t>(c)</w:t>
      </w:r>
      <w:r>
        <w:tab/>
        <w:t>that is promoted by the responsible entity on the basis that scheme property will be invested in a way so that paragraph (b) will apply to it.</w:t>
      </w:r>
    </w:p>
    <w:p w14:paraId="70D9A01E" w14:textId="77777777" w:rsidR="00EF3740" w:rsidRDefault="00EF3740" w:rsidP="00EF3740">
      <w:pPr>
        <w:pStyle w:val="LI-Sectionparaa"/>
        <w:ind w:left="2268" w:firstLine="0"/>
      </w:pPr>
      <w:r w:rsidRPr="00FB44C9">
        <w:rPr>
          <w:b/>
          <w:i/>
        </w:rPr>
        <w:t>hedge fund</w:t>
      </w:r>
      <w:r>
        <w:t xml:space="preserve"> means </w:t>
      </w:r>
      <w:r w:rsidRPr="002A0AD0">
        <w:t xml:space="preserve">a </w:t>
      </w:r>
      <w:r>
        <w:t xml:space="preserve">registered </w:t>
      </w:r>
      <w:r w:rsidRPr="002A0AD0">
        <w:t xml:space="preserve">scheme </w:t>
      </w:r>
      <w:r>
        <w:t>that:</w:t>
      </w:r>
    </w:p>
    <w:p w14:paraId="67E0907D" w14:textId="77777777" w:rsidR="00EF3740" w:rsidRDefault="00EF3740" w:rsidP="00EF3740">
      <w:pPr>
        <w:pStyle w:val="LI-Sectionparaa"/>
      </w:pPr>
      <w:r>
        <w:t>(a)</w:t>
      </w:r>
      <w:r>
        <w:tab/>
        <w:t>is promoted by the responsible entity using the expression and as being a “hedge fund”; or</w:t>
      </w:r>
    </w:p>
    <w:p w14:paraId="2D13F356" w14:textId="77777777" w:rsidR="00EF3740" w:rsidRDefault="00EF3740" w:rsidP="00EF3740">
      <w:pPr>
        <w:pStyle w:val="LI-Sectionparaa"/>
      </w:pPr>
      <w:r>
        <w:t>(b)</w:t>
      </w:r>
      <w:r>
        <w:tab/>
        <w:t>is covered by two or more of the following:</w:t>
      </w:r>
    </w:p>
    <w:p w14:paraId="716B019B" w14:textId="77777777" w:rsidR="00EF3740" w:rsidRDefault="00EF3740" w:rsidP="00A8004C">
      <w:pPr>
        <w:pStyle w:val="LI-Sectionsubparai"/>
      </w:pPr>
      <w:r w:rsidRPr="002A0AD0">
        <w:t>(</w:t>
      </w:r>
      <w:proofErr w:type="spellStart"/>
      <w:r>
        <w:t>i</w:t>
      </w:r>
      <w:proofErr w:type="spellEnd"/>
      <w:r w:rsidRPr="002A0AD0">
        <w:t>)</w:t>
      </w:r>
      <w:r w:rsidRPr="002A0AD0">
        <w:tab/>
      </w:r>
      <w:r>
        <w:t>the scheme:</w:t>
      </w:r>
    </w:p>
    <w:p w14:paraId="31298F92" w14:textId="77777777" w:rsidR="00EF3740" w:rsidRDefault="00EF3740" w:rsidP="00EF3740">
      <w:pPr>
        <w:pStyle w:val="LI-SectionsubsubparaA"/>
      </w:pPr>
      <w:r>
        <w:t>(A)</w:t>
      </w:r>
      <w:r>
        <w:tab/>
        <w:t xml:space="preserve">deals in financial products in accordance with investment strategies intended to produce a return with low correlation (including no correlation) to each of the </w:t>
      </w:r>
      <w:r w:rsidRPr="00183D5D">
        <w:t>prescribed published indexes</w:t>
      </w:r>
      <w:r>
        <w:t xml:space="preserve"> or any combination of them</w:t>
      </w:r>
      <w:r w:rsidRPr="00183D5D">
        <w:t>; or</w:t>
      </w:r>
    </w:p>
    <w:p w14:paraId="22759C0C" w14:textId="77777777" w:rsidR="00EF3740" w:rsidRDefault="00EF3740" w:rsidP="00EF3740">
      <w:pPr>
        <w:pStyle w:val="LI-SectionsubsubparaA"/>
      </w:pPr>
      <w:r>
        <w:t>(B)</w:t>
      </w:r>
      <w:r>
        <w:tab/>
        <w:t>acquires an economic interest in financial products through:</w:t>
      </w:r>
    </w:p>
    <w:p w14:paraId="14F04131" w14:textId="77777777" w:rsidR="00EF3740" w:rsidRDefault="00EF3740" w:rsidP="00EF3740">
      <w:pPr>
        <w:pStyle w:val="LI-SectionsubsubsubparaI"/>
      </w:pPr>
      <w:r>
        <w:t>(I)</w:t>
      </w:r>
      <w:r>
        <w:tab/>
        <w:t>three or more interposed entities; or</w:t>
      </w:r>
    </w:p>
    <w:p w14:paraId="6001BD8E" w14:textId="77777777" w:rsidR="00EF3740" w:rsidRDefault="00EF3740" w:rsidP="00EF3740">
      <w:pPr>
        <w:pStyle w:val="LI-SectionsubsubsubparaI"/>
      </w:pPr>
      <w:r>
        <w:t>(II)</w:t>
      </w:r>
      <w:r>
        <w:tab/>
        <w:t xml:space="preserve">two or more interposed entities if at least one of the entities is an entity that is formed or incorporated outside this jurisdiction or under laws other than Australian </w:t>
      </w:r>
      <w:proofErr w:type="gramStart"/>
      <w:r>
        <w:t>laws;</w:t>
      </w:r>
      <w:proofErr w:type="gramEnd"/>
    </w:p>
    <w:p w14:paraId="3DD1D8BD" w14:textId="77777777" w:rsidR="00EF3740" w:rsidRDefault="00EF3740" w:rsidP="00EF3740">
      <w:pPr>
        <w:pStyle w:val="LI-SectionsubsubsubparaI"/>
        <w:ind w:left="3969" w:firstLine="0"/>
      </w:pPr>
      <w:r>
        <w:lastRenderedPageBreak/>
        <w:t>where the responsible entity of the scheme or an associate has the capacity to control:</w:t>
      </w:r>
    </w:p>
    <w:p w14:paraId="36749092" w14:textId="77777777" w:rsidR="00EF3740" w:rsidRDefault="00EF3740" w:rsidP="00BF2521">
      <w:pPr>
        <w:pStyle w:val="LI-SectionsubsubsubparaI"/>
        <w:spacing w:before="200"/>
      </w:pPr>
      <w:r>
        <w:t xml:space="preserve">(III) </w:t>
      </w:r>
      <w:r>
        <w:tab/>
        <w:t>the disposal of the products; or</w:t>
      </w:r>
    </w:p>
    <w:p w14:paraId="30DAF693" w14:textId="77777777" w:rsidR="00EF3740" w:rsidRDefault="00EF3740" w:rsidP="00BF2521">
      <w:pPr>
        <w:pStyle w:val="LI-SectionsubsubsubparaI"/>
        <w:spacing w:before="200"/>
      </w:pPr>
      <w:r>
        <w:t>(IV)</w:t>
      </w:r>
      <w:r>
        <w:tab/>
        <w:t xml:space="preserve">two or more of the interposed </w:t>
      </w:r>
      <w:proofErr w:type="gramStart"/>
      <w:r>
        <w:t>entities;</w:t>
      </w:r>
      <w:proofErr w:type="gramEnd"/>
    </w:p>
    <w:p w14:paraId="5B322E75" w14:textId="77777777" w:rsidR="00EF3740" w:rsidRPr="00405B5F" w:rsidRDefault="00EF3740" w:rsidP="00BF2521">
      <w:pPr>
        <w:pStyle w:val="LI-SectionsubsubparaA"/>
        <w:spacing w:before="200"/>
        <w:ind w:left="3402" w:firstLine="0"/>
      </w:pPr>
      <w:r w:rsidRPr="00405B5F">
        <w:t>(For the purposes of sub-subparagraph (B), the calculation of the number of interposed entities through which the scheme acquires an economic interest in a financial product is to be performed by reference to each separate vertical stream of interposed entities.</w:t>
      </w:r>
    </w:p>
    <w:p w14:paraId="2F2D1C2A" w14:textId="77777777" w:rsidR="00EF3740" w:rsidRPr="00405B5F" w:rsidRDefault="007D1A81" w:rsidP="00A004D5">
      <w:pPr>
        <w:pStyle w:val="LI-SectionNote"/>
        <w:spacing w:before="200"/>
        <w:ind w:left="3969"/>
      </w:pPr>
      <w:r>
        <w:t>Note</w:t>
      </w:r>
      <w:r w:rsidR="00EF3740" w:rsidRPr="00405B5F">
        <w:t>:</w:t>
      </w:r>
      <w:r w:rsidR="00EF3740">
        <w:t xml:space="preserve">   </w:t>
      </w:r>
      <w:r>
        <w:t>For example, w</w:t>
      </w:r>
      <w:r w:rsidR="00EF3740" w:rsidRPr="00405B5F">
        <w:t>here a head scheme directly invests in schemes A and B, and both schemes A and B directly invest in scheme C, there are 2 vertical streams, with each stream comprising 2 interposed entities. The first vertical stream comprises schemes A and C. The second vertical stream comprises schemes B and C. There is no single vertical stream comprising schemes A, B and C</w:t>
      </w:r>
      <w:r w:rsidR="00E86170">
        <w:t>.</w:t>
      </w:r>
      <w:r w:rsidR="00E86170">
        <w:rPr>
          <w:sz w:val="24"/>
          <w:szCs w:val="24"/>
        </w:rPr>
        <w:t>)</w:t>
      </w:r>
      <w:proofErr w:type="gramStart"/>
      <w:r w:rsidR="00EF3740" w:rsidRPr="00405B5F">
        <w:t>”;</w:t>
      </w:r>
      <w:proofErr w:type="gramEnd"/>
    </w:p>
    <w:p w14:paraId="709E530B" w14:textId="77777777" w:rsidR="00EF3740" w:rsidRDefault="00EF3740" w:rsidP="00BF2521">
      <w:pPr>
        <w:pStyle w:val="LI-Sectionsubparai"/>
        <w:spacing w:before="200"/>
        <w:ind w:right="-227"/>
      </w:pPr>
      <w:r>
        <w:t>(ii)</w:t>
      </w:r>
      <w:r>
        <w:tab/>
        <w:t>the scheme acquires any of the following</w:t>
      </w:r>
      <w:r w:rsidRPr="00CF7ED9">
        <w:t xml:space="preserve"> for the dominant purpose of making a financial investment</w:t>
      </w:r>
      <w:r>
        <w:t>:</w:t>
      </w:r>
    </w:p>
    <w:p w14:paraId="04E4BA65" w14:textId="77777777" w:rsidR="00EF3740" w:rsidRDefault="00EF3740" w:rsidP="00BF2521">
      <w:pPr>
        <w:pStyle w:val="LI-SectionsubsubparaA"/>
        <w:spacing w:before="200"/>
      </w:pPr>
      <w:r>
        <w:t>(A)</w:t>
      </w:r>
      <w:r>
        <w:tab/>
        <w:t xml:space="preserve">a credit </w:t>
      </w:r>
      <w:proofErr w:type="gramStart"/>
      <w:r>
        <w:t>facility;</w:t>
      </w:r>
      <w:proofErr w:type="gramEnd"/>
    </w:p>
    <w:p w14:paraId="55CF6FA9" w14:textId="77777777" w:rsidR="00EF3740" w:rsidRDefault="00EF3740" w:rsidP="00BF2521">
      <w:pPr>
        <w:pStyle w:val="LI-SectionsubsubparaA"/>
        <w:spacing w:before="200"/>
      </w:pPr>
      <w:r>
        <w:t>(B)</w:t>
      </w:r>
      <w:r>
        <w:tab/>
        <w:t xml:space="preserve">a margin lending </w:t>
      </w:r>
      <w:proofErr w:type="gramStart"/>
      <w:r>
        <w:t>facility;</w:t>
      </w:r>
      <w:proofErr w:type="gramEnd"/>
    </w:p>
    <w:p w14:paraId="11FB7E5D" w14:textId="77777777" w:rsidR="00EF3740" w:rsidRDefault="00EF3740" w:rsidP="00BF2521">
      <w:pPr>
        <w:pStyle w:val="LI-SectionsubsubparaA"/>
        <w:spacing w:before="200"/>
      </w:pPr>
      <w:r w:rsidRPr="003F5E02">
        <w:t>(C)</w:t>
      </w:r>
      <w:r w:rsidRPr="003F5E02">
        <w:tab/>
        <w:t xml:space="preserve">a </w:t>
      </w:r>
      <w:r>
        <w:t xml:space="preserve">financial product (other than </w:t>
      </w:r>
      <w:proofErr w:type="gramStart"/>
      <w:r>
        <w:t>partly-paid</w:t>
      </w:r>
      <w:proofErr w:type="gramEnd"/>
      <w:r>
        <w:t xml:space="preserve"> securities) the acquisition of which is likely to result in a debt, whether actual, contingent or prospective, owed by the holder of the product to another person</w:t>
      </w:r>
      <w:r w:rsidRPr="003F5E02">
        <w:t>;</w:t>
      </w:r>
    </w:p>
    <w:p w14:paraId="782B72B3" w14:textId="77777777" w:rsidR="00EF3740" w:rsidRDefault="00EF3740" w:rsidP="00BF2521">
      <w:pPr>
        <w:pStyle w:val="LI-Sectionsubparai"/>
        <w:spacing w:before="200"/>
      </w:pPr>
      <w:r w:rsidRPr="002A0AD0">
        <w:t>(</w:t>
      </w:r>
      <w:r>
        <w:t>iii)</w:t>
      </w:r>
      <w:r>
        <w:tab/>
        <w:t xml:space="preserve">the scheme </w:t>
      </w:r>
      <w:r w:rsidRPr="002A0AD0">
        <w:t>deal</w:t>
      </w:r>
      <w:r>
        <w:t>s</w:t>
      </w:r>
      <w:r w:rsidRPr="002A0AD0">
        <w:t xml:space="preserve"> in derivatives</w:t>
      </w:r>
      <w:r>
        <w:t xml:space="preserve"> </w:t>
      </w:r>
      <w:r w:rsidRPr="00CD5CDB">
        <w:t xml:space="preserve">excluding dealings covered by one or more of </w:t>
      </w:r>
      <w:r>
        <w:t>the following sub-subparagraphs:</w:t>
      </w:r>
    </w:p>
    <w:p w14:paraId="35DC30B8" w14:textId="77777777" w:rsidR="00EF3740" w:rsidRDefault="00EF3740" w:rsidP="00BF2521">
      <w:pPr>
        <w:pStyle w:val="LI-SectionsubsubparaA"/>
        <w:spacing w:before="200"/>
      </w:pPr>
      <w:r>
        <w:t>(A)</w:t>
      </w:r>
      <w:r>
        <w:tab/>
      </w:r>
      <w:r w:rsidRPr="00F643EB">
        <w:t xml:space="preserve">the dealing </w:t>
      </w:r>
      <w:r>
        <w:t xml:space="preserve">is for the dominant purpose of managing foreign exchange or interest rate risk associated with the holding of some or </w:t>
      </w:r>
      <w:proofErr w:type="gramStart"/>
      <w:r>
        <w:t>all of</w:t>
      </w:r>
      <w:proofErr w:type="gramEnd"/>
      <w:r>
        <w:t xml:space="preserve"> the scheme property; or</w:t>
      </w:r>
    </w:p>
    <w:p w14:paraId="5B45C7B4" w14:textId="77777777" w:rsidR="00EF3740" w:rsidRDefault="00EF3740" w:rsidP="00BF2521">
      <w:pPr>
        <w:pStyle w:val="LI-SectionsubsubparaA"/>
        <w:spacing w:before="200"/>
      </w:pPr>
      <w:r>
        <w:t>(B)</w:t>
      </w:r>
      <w:r>
        <w:tab/>
        <w:t xml:space="preserve">both of the following apply: </w:t>
      </w:r>
    </w:p>
    <w:p w14:paraId="1F0B1B76" w14:textId="77777777" w:rsidR="00EF3740" w:rsidRDefault="00EF3740" w:rsidP="00BF2521">
      <w:pPr>
        <w:pStyle w:val="LI-SectionsubsubsubparaI"/>
        <w:spacing w:before="200"/>
      </w:pPr>
      <w:r>
        <w:t>(I)</w:t>
      </w:r>
      <w:r>
        <w:tab/>
        <w:t xml:space="preserve">the dealing takes place on a financial </w:t>
      </w:r>
      <w:proofErr w:type="gramStart"/>
      <w:r>
        <w:t>market;</w:t>
      </w:r>
      <w:proofErr w:type="gramEnd"/>
    </w:p>
    <w:p w14:paraId="082933E5" w14:textId="50E48BEF" w:rsidR="00EF3740" w:rsidRDefault="00EF3740" w:rsidP="00BF2521">
      <w:pPr>
        <w:pStyle w:val="LI-SectionsubsubsubparaI"/>
        <w:spacing w:before="200"/>
      </w:pPr>
      <w:r>
        <w:t>(II)</w:t>
      </w:r>
      <w:r>
        <w:tab/>
        <w:t>the dealing is for the dominant purpose of managing the financial risk arising from deferring a proposed dealing in another financial product that is not a derivative for a period of less than 28</w:t>
      </w:r>
      <w:r w:rsidR="00BF2521">
        <w:t> </w:t>
      </w:r>
      <w:proofErr w:type="gramStart"/>
      <w:r>
        <w:t>days;</w:t>
      </w:r>
      <w:proofErr w:type="gramEnd"/>
      <w:r>
        <w:t xml:space="preserve"> or</w:t>
      </w:r>
    </w:p>
    <w:p w14:paraId="2FB88A3F" w14:textId="77777777" w:rsidR="00EF3740" w:rsidRPr="00757CE1" w:rsidRDefault="00EF3740" w:rsidP="00A8004C">
      <w:pPr>
        <w:pStyle w:val="LI-SectionsubsubparaA"/>
      </w:pPr>
      <w:r>
        <w:lastRenderedPageBreak/>
        <w:t xml:space="preserve">(C) </w:t>
      </w:r>
      <w:r>
        <w:tab/>
      </w:r>
      <w:r w:rsidRPr="00757CE1">
        <w:t>both of the following apply:</w:t>
      </w:r>
    </w:p>
    <w:p w14:paraId="559C5340" w14:textId="52D9A710" w:rsidR="00EF3740" w:rsidRPr="00E24540" w:rsidRDefault="00EF3740" w:rsidP="00A004D5">
      <w:pPr>
        <w:pStyle w:val="LI-SectionsubsubsubparaI"/>
        <w:spacing w:before="200"/>
      </w:pPr>
      <w:r w:rsidRPr="00E24540">
        <w:t>(I)</w:t>
      </w:r>
      <w:r w:rsidRPr="00E24540">
        <w:tab/>
        <w:t xml:space="preserve">the dealing takes place on a financial </w:t>
      </w:r>
      <w:proofErr w:type="gramStart"/>
      <w:r w:rsidRPr="00E24540">
        <w:t>market;</w:t>
      </w:r>
      <w:proofErr w:type="gramEnd"/>
    </w:p>
    <w:p w14:paraId="69329936" w14:textId="2B16675B" w:rsidR="00EF3740" w:rsidRPr="00E24540" w:rsidRDefault="00EF3740" w:rsidP="00A004D5">
      <w:pPr>
        <w:pStyle w:val="LI-SectionsubsubsubparaI"/>
        <w:spacing w:before="200"/>
      </w:pPr>
      <w:r w:rsidRPr="00E24540">
        <w:t>(II)</w:t>
      </w:r>
      <w:r w:rsidRPr="00E24540">
        <w:tab/>
        <w:t xml:space="preserve">the notional derivatives exposure of the scheme (excluding derivatives covered by sub-subparagraph (A) or (B)) at any point in time does not exceed 10% of the net asset value of the scheme at that time unless the exposure is attributable to circumstances that were not  reasonably foreseeable by the responsible entity and the exposure is for a period of no more than 3 consecutive business </w:t>
      </w:r>
      <w:proofErr w:type="gramStart"/>
      <w:r w:rsidRPr="00E24540">
        <w:t>days;</w:t>
      </w:r>
      <w:proofErr w:type="gramEnd"/>
    </w:p>
    <w:p w14:paraId="552C9A16" w14:textId="10326990" w:rsidR="00EF3740" w:rsidRDefault="00EF3740" w:rsidP="00A004D5">
      <w:pPr>
        <w:pStyle w:val="LI-SectionsubsubparaA"/>
        <w:spacing w:before="200"/>
      </w:pPr>
      <w:r>
        <w:t>(For the purposes of sub-subparagraph (B):</w:t>
      </w:r>
    </w:p>
    <w:p w14:paraId="2B20264B" w14:textId="2B01A3BE" w:rsidR="00EF3740" w:rsidRDefault="00EF3740" w:rsidP="00A004D5">
      <w:pPr>
        <w:pStyle w:val="LI-SectionsubsubparaA"/>
        <w:spacing w:before="200"/>
      </w:pPr>
      <w:r w:rsidRPr="007C4C6E">
        <w:t>(</w:t>
      </w:r>
      <w:r>
        <w:t>a</w:t>
      </w:r>
      <w:r w:rsidRPr="007C4C6E">
        <w:t>)</w:t>
      </w:r>
      <w:r w:rsidRPr="007C4C6E">
        <w:tab/>
      </w:r>
      <w:r>
        <w:t>a dealing in a derivative</w:t>
      </w:r>
      <w:r w:rsidRPr="007C4C6E">
        <w:t xml:space="preserve"> for the dominant purpose of managing the financial risk arising from deferring a proposed dealing in another financial product</w:t>
      </w:r>
      <w:r>
        <w:t xml:space="preserve"> that is not a derivative is taken to be </w:t>
      </w:r>
      <w:r w:rsidRPr="007C4C6E">
        <w:t xml:space="preserve">for </w:t>
      </w:r>
      <w:r>
        <w:t xml:space="preserve">a period of deferral of </w:t>
      </w:r>
      <w:r w:rsidRPr="00405B5F">
        <w:t>28 days</w:t>
      </w:r>
      <w:r>
        <w:t xml:space="preserve"> or more if the dealing</w:t>
      </w:r>
      <w:r w:rsidRPr="007C4C6E">
        <w:t xml:space="preserve">, </w:t>
      </w:r>
      <w:r>
        <w:t xml:space="preserve">and </w:t>
      </w:r>
      <w:r w:rsidRPr="007C4C6E">
        <w:t xml:space="preserve">any previous dealing in derivatives that takes place on a financial market, </w:t>
      </w:r>
      <w:r>
        <w:t xml:space="preserve">together are </w:t>
      </w:r>
      <w:r w:rsidRPr="007C4C6E">
        <w:t xml:space="preserve">for the dominant purpose of </w:t>
      </w:r>
      <w:r w:rsidRPr="00C631FF">
        <w:t xml:space="preserve">managing the financial risk arising from deferring </w:t>
      </w:r>
      <w:r>
        <w:t xml:space="preserve">the same </w:t>
      </w:r>
      <w:r w:rsidRPr="00C631FF">
        <w:t xml:space="preserve">proposed dealing in </w:t>
      </w:r>
      <w:r>
        <w:t xml:space="preserve">the </w:t>
      </w:r>
      <w:r w:rsidRPr="00C631FF">
        <w:t xml:space="preserve">other financial product </w:t>
      </w:r>
      <w:r>
        <w:t>for a period of 28 days or more;</w:t>
      </w:r>
      <w:r w:rsidR="007D1A81">
        <w:t xml:space="preserve"> and</w:t>
      </w:r>
    </w:p>
    <w:p w14:paraId="0B69DF18" w14:textId="7DB929D8" w:rsidR="00EF3740" w:rsidRPr="00E24540" w:rsidRDefault="00EF3740" w:rsidP="00A004D5">
      <w:pPr>
        <w:pStyle w:val="LI-SectionsubsubparaA"/>
        <w:spacing w:before="200"/>
        <w:ind w:right="-227"/>
      </w:pPr>
      <w:r>
        <w:t>(b)</w:t>
      </w:r>
      <w:r>
        <w:tab/>
        <w:t>a dealing in a derivative for the dominant purpose of managing the financial risk arising from deferring a proposed dealing in another financial product is not taken to satisfy the sub-subparagraph merely because the derivative has a term of 28 days or more</w:t>
      </w:r>
      <w:r w:rsidR="00E86170">
        <w:t>.</w:t>
      </w:r>
      <w:r>
        <w:t>)</w:t>
      </w:r>
    </w:p>
    <w:p w14:paraId="77A05902" w14:textId="77777777" w:rsidR="00EF3740" w:rsidRDefault="00EF3740" w:rsidP="00A004D5">
      <w:pPr>
        <w:pStyle w:val="LI-Sectionsubparai"/>
        <w:spacing w:before="200"/>
      </w:pPr>
      <w:r w:rsidRPr="002A0AD0">
        <w:t>(</w:t>
      </w:r>
      <w:r>
        <w:t>iv</w:t>
      </w:r>
      <w:r w:rsidRPr="002A0AD0">
        <w:t>)</w:t>
      </w:r>
      <w:r w:rsidRPr="002A0AD0">
        <w:tab/>
      </w:r>
      <w:r>
        <w:t>the scheme sells financial products, whether in or outside this jurisdiction, in relation to which, at the time of the sale:</w:t>
      </w:r>
    </w:p>
    <w:p w14:paraId="5D8391E5" w14:textId="77777777" w:rsidR="00EF3740" w:rsidRDefault="00EF3740" w:rsidP="00A004D5">
      <w:pPr>
        <w:pStyle w:val="LI-SectionsubsubparaA"/>
        <w:spacing w:before="200"/>
      </w:pPr>
      <w:r>
        <w:t>(A)</w:t>
      </w:r>
      <w:r>
        <w:tab/>
        <w:t>the seller does not have a presently exercisable and unconditional right to vest the products in a buyer; or</w:t>
      </w:r>
    </w:p>
    <w:p w14:paraId="1B80D4E3" w14:textId="77777777" w:rsidR="00EF3740" w:rsidRDefault="00EF3740" w:rsidP="00A004D5">
      <w:pPr>
        <w:pStyle w:val="LI-SectionsubsubparaA"/>
        <w:spacing w:before="200"/>
      </w:pPr>
      <w:r>
        <w:t>(B)</w:t>
      </w:r>
      <w:r>
        <w:tab/>
        <w:t xml:space="preserve">the seller </w:t>
      </w:r>
      <w:r w:rsidRPr="00D754ED">
        <w:t>ha</w:t>
      </w:r>
      <w:r>
        <w:t xml:space="preserve">s </w:t>
      </w:r>
      <w:r w:rsidRPr="00D754ED">
        <w:t xml:space="preserve">a presently exercisable and unconditional right to vest the products in a buyer </w:t>
      </w:r>
      <w:r>
        <w:t xml:space="preserve">only because of a securities lending </w:t>
      </w:r>
      <w:proofErr w:type="gramStart"/>
      <w:r>
        <w:t>arrangement;</w:t>
      </w:r>
      <w:proofErr w:type="gramEnd"/>
    </w:p>
    <w:p w14:paraId="3873C203" w14:textId="77777777" w:rsidR="00EF3740" w:rsidRDefault="00EF3740" w:rsidP="00A8004C">
      <w:pPr>
        <w:pStyle w:val="LI-Sectionsubparai"/>
      </w:pPr>
      <w:r>
        <w:lastRenderedPageBreak/>
        <w:t xml:space="preserve">(v)     both </w:t>
      </w:r>
      <w:r w:rsidRPr="00B30714">
        <w:t>of the following are satisfied:</w:t>
      </w:r>
    </w:p>
    <w:p w14:paraId="4BE6B3BF" w14:textId="4DE8E7A1" w:rsidR="00EF3740" w:rsidRDefault="00EF3740" w:rsidP="00A8004C">
      <w:pPr>
        <w:pStyle w:val="LI-SectionsubsubparaA"/>
      </w:pPr>
      <w:r>
        <w:t>(A)</w:t>
      </w:r>
      <w:r>
        <w:tab/>
      </w:r>
      <w:r w:rsidRPr="00792CD4">
        <w:t xml:space="preserve">the responsible entity of the scheme or a person who manages some or all of the scheme property has rights to be paid fees </w:t>
      </w:r>
      <w:r w:rsidRPr="00B30714">
        <w:t>(</w:t>
      </w:r>
      <w:r w:rsidRPr="00B30714">
        <w:rPr>
          <w:b/>
          <w:i/>
        </w:rPr>
        <w:t>performance fees</w:t>
      </w:r>
      <w:r w:rsidRPr="00B30714">
        <w:t>)</w:t>
      </w:r>
      <w:r>
        <w:t xml:space="preserve"> </w:t>
      </w:r>
      <w:r w:rsidRPr="00792CD4">
        <w:t xml:space="preserve">substantially based on the performance of that property whether or not the responsible entity or the person also has rights to be paid fees substantially based on the gross or net value of all of the scheme </w:t>
      </w:r>
      <w:proofErr w:type="gramStart"/>
      <w:r w:rsidRPr="00792CD4">
        <w:t>property</w:t>
      </w:r>
      <w:r>
        <w:t>;</w:t>
      </w:r>
      <w:proofErr w:type="gramEnd"/>
    </w:p>
    <w:p w14:paraId="6C8A8B3D" w14:textId="77777777" w:rsidR="00563353" w:rsidRDefault="00EF3740" w:rsidP="00A8004C">
      <w:pPr>
        <w:pStyle w:val="LI-SectionsubsubparaA"/>
      </w:pPr>
      <w:r w:rsidRPr="00405B5F">
        <w:t>(B)</w:t>
      </w:r>
      <w:r w:rsidRPr="00405B5F">
        <w:tab/>
        <w:t xml:space="preserve">the responsible entity has made a statement in writing (whether in a Product Disclosure Statement or otherwise) to the effect that performance fees will be payable in the event the responsible </w:t>
      </w:r>
      <w:proofErr w:type="gramStart"/>
      <w:r w:rsidRPr="00405B5F">
        <w:t>entity</w:t>
      </w:r>
      <w:proofErr w:type="gramEnd"/>
      <w:r w:rsidRPr="00405B5F">
        <w:t xml:space="preserve"> or the person satisf</w:t>
      </w:r>
      <w:r w:rsidR="007D1A81">
        <w:t>ies</w:t>
      </w:r>
      <w:r w:rsidRPr="00405B5F">
        <w:t xml:space="preserve"> certain criteria related to the performance of the scheme property and has not withdrawn that statement.</w:t>
      </w:r>
      <w:r w:rsidR="00982EF9">
        <w:t xml:space="preserve"> </w:t>
      </w:r>
    </w:p>
    <w:p w14:paraId="1A0C8FBC" w14:textId="77777777" w:rsidR="00EF3740" w:rsidRDefault="00E86170" w:rsidP="00563353">
      <w:pPr>
        <w:pStyle w:val="LI-SectionsubsubparaA"/>
        <w:ind w:left="3402" w:firstLine="0"/>
      </w:pPr>
      <w:r w:rsidRPr="006A6509">
        <w:t>For the purposes of subparagraphs (b)(</w:t>
      </w:r>
      <w:proofErr w:type="spellStart"/>
      <w:r w:rsidRPr="006A6509">
        <w:t>i</w:t>
      </w:r>
      <w:proofErr w:type="spellEnd"/>
      <w:r w:rsidRPr="006A6509">
        <w:t>) to (v), the</w:t>
      </w:r>
      <w:r w:rsidR="00EF3740" w:rsidRPr="003C6895">
        <w:t xml:space="preserve"> scheme deals in, </w:t>
      </w:r>
      <w:proofErr w:type="gramStart"/>
      <w:r w:rsidR="00EF3740" w:rsidRPr="003C6895">
        <w:t>acquires</w:t>
      </w:r>
      <w:proofErr w:type="gramEnd"/>
      <w:r w:rsidR="00EF3740" w:rsidRPr="003C6895">
        <w:t xml:space="preserve"> or sells a financial product, an economic interest or facility if the responsible entity of the scheme does so in relation to the scheme (whether directly or through an interposed entity) or the scheme is promoted by the responsible entity on the basis that it will do so.</w:t>
      </w:r>
    </w:p>
    <w:p w14:paraId="6EF2DA6A" w14:textId="77777777" w:rsidR="00EF3740" w:rsidRPr="00652182" w:rsidRDefault="00EF3740" w:rsidP="00A8004C">
      <w:pPr>
        <w:pStyle w:val="LI-Sectionparaa"/>
        <w:ind w:left="2268" w:firstLine="0"/>
      </w:pPr>
      <w:r w:rsidRPr="00652182">
        <w:t>For the purposes of determining whether a registered scheme is covered by two or more subparagraphs of paragraph (b) of this definition, a scheme that deals in derivatives which, but for this provision, results in the scheme being covered by:</w:t>
      </w:r>
    </w:p>
    <w:p w14:paraId="75B1FA68" w14:textId="39E2FBB4" w:rsidR="00EF3740" w:rsidRPr="00E24540" w:rsidRDefault="00EF3740" w:rsidP="00982EF9">
      <w:pPr>
        <w:pStyle w:val="LI-Sectionparaa"/>
      </w:pPr>
      <w:r w:rsidRPr="00E24540">
        <w:t>(a)</w:t>
      </w:r>
      <w:r w:rsidRPr="00E24540">
        <w:tab/>
        <w:t>subparagraph (iii) (the derivatives limb); and</w:t>
      </w:r>
    </w:p>
    <w:p w14:paraId="47E0692F" w14:textId="16C6CB4C" w:rsidR="00EF3740" w:rsidRPr="00E24540" w:rsidRDefault="00EF3740" w:rsidP="00982EF9">
      <w:pPr>
        <w:pStyle w:val="LI-Sectionparaa"/>
      </w:pPr>
      <w:r w:rsidRPr="00E24540">
        <w:t>(b)</w:t>
      </w:r>
      <w:r w:rsidRPr="00E24540">
        <w:tab/>
        <w:t>either or both of the following:</w:t>
      </w:r>
    </w:p>
    <w:p w14:paraId="072FFE3A" w14:textId="71421F58" w:rsidR="00EF3740" w:rsidRPr="00E24540" w:rsidRDefault="00EF3740" w:rsidP="00982EF9">
      <w:pPr>
        <w:pStyle w:val="LI-Sectionsubparai"/>
      </w:pPr>
      <w:r w:rsidRPr="00E24540">
        <w:t>(</w:t>
      </w:r>
      <w:proofErr w:type="spellStart"/>
      <w:r w:rsidRPr="00E24540">
        <w:t>i</w:t>
      </w:r>
      <w:proofErr w:type="spellEnd"/>
      <w:r w:rsidRPr="00E24540">
        <w:t>)</w:t>
      </w:r>
      <w:r w:rsidRPr="00E24540">
        <w:tab/>
        <w:t xml:space="preserve">subparagraph (ii) (the </w:t>
      </w:r>
      <w:r w:rsidRPr="00D45AAF">
        <w:rPr>
          <w:b/>
          <w:bCs/>
          <w:i/>
          <w:iCs/>
        </w:rPr>
        <w:t>leverage limb</w:t>
      </w:r>
      <w:proofErr w:type="gramStart"/>
      <w:r w:rsidRPr="00E24540">
        <w:t>);</w:t>
      </w:r>
      <w:proofErr w:type="gramEnd"/>
    </w:p>
    <w:p w14:paraId="5738BBDA" w14:textId="77777777" w:rsidR="00EF3740" w:rsidRPr="00E24540" w:rsidRDefault="00EF3740" w:rsidP="00982EF9">
      <w:pPr>
        <w:pStyle w:val="LI-Sectionsubparai"/>
      </w:pPr>
      <w:r w:rsidRPr="00E24540">
        <w:t>(ii)</w:t>
      </w:r>
      <w:r w:rsidRPr="00E24540">
        <w:tab/>
        <w:t xml:space="preserve">subparagraph (iv) (the </w:t>
      </w:r>
      <w:r w:rsidRPr="00D45AAF">
        <w:rPr>
          <w:b/>
          <w:bCs/>
          <w:i/>
          <w:iCs/>
        </w:rPr>
        <w:t>short selling limb</w:t>
      </w:r>
      <w:proofErr w:type="gramStart"/>
      <w:r w:rsidRPr="00E24540">
        <w:t>);</w:t>
      </w:r>
      <w:proofErr w:type="gramEnd"/>
    </w:p>
    <w:p w14:paraId="368B90A8" w14:textId="77777777" w:rsidR="00EF3740" w:rsidRPr="00E24540" w:rsidRDefault="00EF3740" w:rsidP="00982EF9">
      <w:pPr>
        <w:pStyle w:val="LI-Sectionparaa"/>
        <w:ind w:left="2268" w:firstLine="0"/>
      </w:pPr>
      <w:r w:rsidRPr="00E24540">
        <w:t>is taken not to be covered by the leverage limb or the short selling limb unless the scheme is covered by the leverage limb or the short selling limb for some other reason.</w:t>
      </w:r>
    </w:p>
    <w:p w14:paraId="23395D8A" w14:textId="77777777" w:rsidR="00EF3740" w:rsidRPr="00E24540" w:rsidRDefault="00EF3740" w:rsidP="00A004D5">
      <w:pPr>
        <w:pStyle w:val="LI-Sectionparaa"/>
        <w:keepNext/>
        <w:ind w:left="2268" w:firstLine="0"/>
      </w:pPr>
      <w:r w:rsidRPr="00E24540">
        <w:lastRenderedPageBreak/>
        <w:t xml:space="preserve">A registered scheme is taken to be covered by two or more subparagraphs of paragraph (b) of this definition if </w:t>
      </w:r>
      <w:proofErr w:type="gramStart"/>
      <w:r w:rsidRPr="00E24540">
        <w:t>all of</w:t>
      </w:r>
      <w:proofErr w:type="gramEnd"/>
      <w:r w:rsidRPr="00E24540">
        <w:t xml:space="preserve"> the following apply:</w:t>
      </w:r>
    </w:p>
    <w:p w14:paraId="6AC64F2C" w14:textId="48BDF428" w:rsidR="00EF3740" w:rsidRPr="00E11CA6" w:rsidRDefault="00EF3740" w:rsidP="00982EF9">
      <w:pPr>
        <w:pStyle w:val="LI-Sectionparaa"/>
      </w:pPr>
      <w:r w:rsidRPr="00E11CA6">
        <w:t>(a)</w:t>
      </w:r>
      <w:r>
        <w:tab/>
      </w:r>
      <w:r w:rsidRPr="00E11CA6">
        <w:t xml:space="preserve">the scheme and </w:t>
      </w:r>
      <w:r w:rsidRPr="00054FB1">
        <w:t>any other entity (including, for the avoidance of doubt, a registered scheme or foreign entity)</w:t>
      </w:r>
      <w:r>
        <w:t xml:space="preserve"> </w:t>
      </w:r>
      <w:r w:rsidRPr="00E11CA6">
        <w:t xml:space="preserve">through which the scheme acquires an economic interest in financial products, taken together, would be covered by two or more of those </w:t>
      </w:r>
      <w:proofErr w:type="gramStart"/>
      <w:r w:rsidRPr="00E11CA6">
        <w:t>subparagraphs;</w:t>
      </w:r>
      <w:proofErr w:type="gramEnd"/>
    </w:p>
    <w:p w14:paraId="54D8353B" w14:textId="691E634A" w:rsidR="00EF3740" w:rsidRPr="00E11CA6" w:rsidRDefault="00EF3740" w:rsidP="00982EF9">
      <w:pPr>
        <w:pStyle w:val="LI-Sectionparaa"/>
      </w:pPr>
      <w:r w:rsidRPr="00E11CA6">
        <w:t>(b)</w:t>
      </w:r>
      <w:r>
        <w:tab/>
      </w:r>
      <w:r w:rsidRPr="00E11CA6">
        <w:t xml:space="preserve">the scheme, taken alone, would not be covered by two or more of those </w:t>
      </w:r>
      <w:proofErr w:type="gramStart"/>
      <w:r w:rsidRPr="00E11CA6">
        <w:t>subparagraphs;</w:t>
      </w:r>
      <w:proofErr w:type="gramEnd"/>
    </w:p>
    <w:p w14:paraId="057F0828" w14:textId="77777777" w:rsidR="00EF3740" w:rsidRDefault="00EF3740" w:rsidP="00982EF9">
      <w:pPr>
        <w:pStyle w:val="LI-Sectionparaa"/>
      </w:pPr>
      <w:r w:rsidRPr="00E11CA6">
        <w:t>(c)</w:t>
      </w:r>
      <w:r>
        <w:tab/>
      </w:r>
      <w:r w:rsidRPr="00E11CA6">
        <w:t xml:space="preserve">a reasonable person would conclude that </w:t>
      </w:r>
      <w:r>
        <w:t xml:space="preserve">the use of one or more </w:t>
      </w:r>
      <w:r w:rsidRPr="00054FB1">
        <w:t>of those other entities</w:t>
      </w:r>
      <w:r>
        <w:t xml:space="preserve"> as a means </w:t>
      </w:r>
      <w:r w:rsidRPr="00183D5D">
        <w:t>through</w:t>
      </w:r>
      <w:r>
        <w:t xml:space="preserve"> which the scheme acquires an economic interest in financial products is for the sole or dominant purpose of bringing</w:t>
      </w:r>
      <w:r w:rsidRPr="00E11CA6">
        <w:t xml:space="preserve"> about a result that the scheme, taken alone, would not be covered by two or more of those subparagraphs.</w:t>
      </w:r>
    </w:p>
    <w:p w14:paraId="75689356" w14:textId="77777777" w:rsidR="00EF3740" w:rsidRPr="00D132D3" w:rsidRDefault="00EF3740" w:rsidP="00916698">
      <w:pPr>
        <w:pStyle w:val="LI-Sectionparaa"/>
        <w:ind w:left="2268" w:firstLine="0"/>
      </w:pPr>
      <w:r w:rsidRPr="00D132D3">
        <w:rPr>
          <w:b/>
          <w:i/>
        </w:rPr>
        <w:t>interposed entity</w:t>
      </w:r>
      <w:r>
        <w:t xml:space="preserve">, </w:t>
      </w:r>
      <w:r w:rsidRPr="00183D5D">
        <w:t>in relation to a scheme, means an entity that is interposed between the scheme and a financial product in which the scheme has an economic interest</w:t>
      </w:r>
      <w:r>
        <w:t xml:space="preserve"> </w:t>
      </w:r>
      <w:r w:rsidRPr="00D132D3">
        <w:t>but does not include:</w:t>
      </w:r>
    </w:p>
    <w:p w14:paraId="47E93BE9" w14:textId="0FB201EF" w:rsidR="00EF3740" w:rsidRDefault="00A004D5" w:rsidP="00B2665C">
      <w:pPr>
        <w:pStyle w:val="LI-Sectionparaa"/>
        <w:spacing w:before="200"/>
      </w:pPr>
      <w:r>
        <w:t>(a)</w:t>
      </w:r>
      <w:r>
        <w:tab/>
      </w:r>
      <w:r w:rsidR="00EF3740" w:rsidRPr="00D132D3">
        <w:t>a registered scheme; or</w:t>
      </w:r>
    </w:p>
    <w:p w14:paraId="59AC2240" w14:textId="6CD9F12E" w:rsidR="00EF3740" w:rsidRPr="00D132D3" w:rsidRDefault="00EF3740" w:rsidP="00B2665C">
      <w:pPr>
        <w:pStyle w:val="LI-Sectionparaa"/>
        <w:spacing w:before="200"/>
      </w:pPr>
      <w:r w:rsidRPr="00080361">
        <w:t>(b</w:t>
      </w:r>
      <w:r w:rsidR="00A004D5">
        <w:t>)</w:t>
      </w:r>
      <w:r w:rsidR="00A004D5">
        <w:tab/>
      </w:r>
      <w:r w:rsidRPr="00080361">
        <w:t>a notified foreign passport fund; or</w:t>
      </w:r>
    </w:p>
    <w:p w14:paraId="3BAACB77" w14:textId="17087DF4" w:rsidR="00EF3740" w:rsidRPr="00D132D3" w:rsidRDefault="00EF3740" w:rsidP="00B2665C">
      <w:pPr>
        <w:pStyle w:val="LI-Sectionparaa"/>
        <w:spacing w:before="200"/>
      </w:pPr>
      <w:r w:rsidRPr="00D132D3">
        <w:t>(</w:t>
      </w:r>
      <w:r w:rsidR="00534C6E">
        <w:t>c</w:t>
      </w:r>
      <w:r w:rsidRPr="00D132D3">
        <w:t>)</w:t>
      </w:r>
      <w:r w:rsidR="00A004D5">
        <w:tab/>
      </w:r>
      <w:r>
        <w:t>an entity</w:t>
      </w:r>
      <w:r w:rsidRPr="00D132D3">
        <w:t xml:space="preserve"> which:</w:t>
      </w:r>
    </w:p>
    <w:p w14:paraId="224C6262" w14:textId="4326794D" w:rsidR="00EF3740" w:rsidRPr="00D132D3" w:rsidRDefault="00EF3740" w:rsidP="00B2665C">
      <w:pPr>
        <w:pStyle w:val="LI-Sectionsubparai"/>
        <w:spacing w:before="200"/>
      </w:pPr>
      <w:r w:rsidRPr="00D132D3">
        <w:t>(</w:t>
      </w:r>
      <w:proofErr w:type="spellStart"/>
      <w:r w:rsidRPr="00D132D3">
        <w:t>i</w:t>
      </w:r>
      <w:proofErr w:type="spellEnd"/>
      <w:r w:rsidRPr="00D132D3">
        <w:t>)</w:t>
      </w:r>
      <w:r w:rsidRPr="00D132D3">
        <w:tab/>
        <w:t>is incorporated</w:t>
      </w:r>
      <w:r>
        <w:t>,</w:t>
      </w:r>
      <w:r w:rsidRPr="00D132D3">
        <w:t xml:space="preserve"> </w:t>
      </w:r>
      <w:proofErr w:type="gramStart"/>
      <w:r w:rsidRPr="00D132D3">
        <w:t>formed</w:t>
      </w:r>
      <w:proofErr w:type="gramEnd"/>
      <w:r w:rsidRPr="00D132D3">
        <w:t xml:space="preserve"> </w:t>
      </w:r>
      <w:r>
        <w:t xml:space="preserve">or registered </w:t>
      </w:r>
      <w:r w:rsidRPr="00D132D3">
        <w:t xml:space="preserve">in </w:t>
      </w:r>
      <w:r>
        <w:t>a foreign jurisdiction in relation to which a prescribed foreign regulatory authority regulates financial services</w:t>
      </w:r>
      <w:r w:rsidRPr="00D132D3">
        <w:t>; and</w:t>
      </w:r>
    </w:p>
    <w:p w14:paraId="67670E62" w14:textId="0A15BD65" w:rsidR="00EF3740" w:rsidRPr="00183D5D" w:rsidRDefault="00EF3740" w:rsidP="00B2665C">
      <w:pPr>
        <w:pStyle w:val="LI-Sectionsubparai"/>
        <w:spacing w:before="200"/>
      </w:pPr>
      <w:r w:rsidRPr="00D132D3">
        <w:t>(ii)</w:t>
      </w:r>
      <w:r w:rsidRPr="00D132D3">
        <w:tab/>
      </w:r>
      <w:r>
        <w:t>either:</w:t>
      </w:r>
    </w:p>
    <w:p w14:paraId="779FBC0F" w14:textId="02D22A2B" w:rsidR="00EF3740" w:rsidRDefault="00EF3740" w:rsidP="00B2665C">
      <w:pPr>
        <w:pStyle w:val="LI-SectionsubsubparaA"/>
        <w:spacing w:before="200"/>
      </w:pPr>
      <w:r>
        <w:t>(A)</w:t>
      </w:r>
      <w:r>
        <w:tab/>
        <w:t xml:space="preserve">is, or whose operator is, specifically authorised by that regulatory authority to make offers of financial products that comprise rights or interests in the entity to the </w:t>
      </w:r>
      <w:proofErr w:type="gramStart"/>
      <w:r>
        <w:t>general public</w:t>
      </w:r>
      <w:proofErr w:type="gramEnd"/>
      <w:r>
        <w:t xml:space="preserve"> in that foreign jurisdiction; or</w:t>
      </w:r>
    </w:p>
    <w:p w14:paraId="45FE9252" w14:textId="7DF3885D" w:rsidR="00EF3740" w:rsidRDefault="00EF3740" w:rsidP="00B2665C">
      <w:pPr>
        <w:pStyle w:val="LI-SectionsubsubparaA"/>
        <w:spacing w:before="200"/>
        <w:rPr>
          <w:highlight w:val="yellow"/>
        </w:rPr>
      </w:pPr>
      <w:r>
        <w:t>(B)</w:t>
      </w:r>
      <w:r>
        <w:tab/>
        <w:t xml:space="preserve">is, or whose operator is, specifically authorised to make offers of financial products that comprise rights or </w:t>
      </w:r>
      <w:r w:rsidRPr="00405B5F">
        <w:t xml:space="preserve">interests in the entity to the </w:t>
      </w:r>
      <w:proofErr w:type="gramStart"/>
      <w:r w:rsidRPr="00405B5F">
        <w:t>general public</w:t>
      </w:r>
      <w:proofErr w:type="gramEnd"/>
      <w:r w:rsidRPr="00405B5F">
        <w:t xml:space="preserve"> in another foreign jurisdiction by a prescribed foreign regulatory authority that regulates financial services in that other jurisdiction</w:t>
      </w:r>
      <w:r>
        <w:t>.</w:t>
      </w:r>
    </w:p>
    <w:p w14:paraId="52402BD4" w14:textId="77777777" w:rsidR="00EF3740" w:rsidRDefault="00EF3740" w:rsidP="00916698">
      <w:pPr>
        <w:pStyle w:val="LI-BodyTextSubsubparaA"/>
        <w:ind w:left="2268" w:firstLine="0"/>
      </w:pPr>
      <w:r w:rsidRPr="00B30714">
        <w:rPr>
          <w:b/>
          <w:i/>
        </w:rPr>
        <w:lastRenderedPageBreak/>
        <w:t>net asset value</w:t>
      </w:r>
      <w:r>
        <w:t xml:space="preserve">, </w:t>
      </w:r>
      <w:r w:rsidRPr="00B30714">
        <w:t>in relation to a scheme</w:t>
      </w:r>
      <w:r>
        <w:t>, means the value of the assets of the scheme less the value of the liabilities of the scheme (other than liabilities to members as members of the scheme),</w:t>
      </w:r>
      <w:r w:rsidRPr="00A16CF8">
        <w:rPr>
          <w:rFonts w:ascii="Verdana" w:hAnsi="Verdana" w:cs="Arial"/>
          <w:sz w:val="16"/>
          <w:szCs w:val="16"/>
        </w:rPr>
        <w:t xml:space="preserve"> </w:t>
      </w:r>
      <w:r w:rsidRPr="00A16CF8">
        <w:t xml:space="preserve">as they would appear on a balance sheet at the time of calculation made up for </w:t>
      </w:r>
      <w:proofErr w:type="spellStart"/>
      <w:r w:rsidRPr="00A16CF8">
        <w:t>lodgment</w:t>
      </w:r>
      <w:proofErr w:type="spellEnd"/>
      <w:r w:rsidRPr="00A16CF8">
        <w:t xml:space="preserve"> as part of a financial report under Chapter 2M </w:t>
      </w:r>
      <w:r>
        <w:t xml:space="preserve">of the Act </w:t>
      </w:r>
      <w:r w:rsidRPr="00A16CF8">
        <w:t xml:space="preserve">if the </w:t>
      </w:r>
      <w:r>
        <w:t xml:space="preserve">scheme </w:t>
      </w:r>
      <w:r w:rsidRPr="00A16CF8">
        <w:t>were a reporting entity</w:t>
      </w:r>
      <w:r>
        <w:t>.</w:t>
      </w:r>
    </w:p>
    <w:p w14:paraId="02DE4E45" w14:textId="77777777" w:rsidR="00EF3740" w:rsidRDefault="00EF3740" w:rsidP="00916698">
      <w:pPr>
        <w:pStyle w:val="LI-BodyTextSubsubparaA"/>
        <w:ind w:left="2268" w:firstLine="0"/>
      </w:pPr>
      <w:r>
        <w:rPr>
          <w:b/>
          <w:i/>
        </w:rPr>
        <w:t>notional derivatives exposure</w:t>
      </w:r>
      <w:r w:rsidRPr="00A6602C">
        <w:t>,</w:t>
      </w:r>
      <w:r>
        <w:t xml:space="preserve"> in relation to a scheme, means the </w:t>
      </w:r>
      <w:r w:rsidRPr="00405B5F">
        <w:t>absolute</w:t>
      </w:r>
      <w:r>
        <w:t xml:space="preserve"> sum of:</w:t>
      </w:r>
    </w:p>
    <w:p w14:paraId="256D4FE9" w14:textId="574CA026" w:rsidR="00EF3740" w:rsidRDefault="00EF3740" w:rsidP="00916698">
      <w:pPr>
        <w:pStyle w:val="LI-BodyTextSubsubparaA"/>
      </w:pPr>
      <w:r>
        <w:t>(a)</w:t>
      </w:r>
      <w:r>
        <w:tab/>
        <w:t xml:space="preserve">the face value of, or the notional amount in respect of, each derivative as at the date on which the derivative is </w:t>
      </w:r>
      <w:proofErr w:type="gramStart"/>
      <w:r>
        <w:t>entered into</w:t>
      </w:r>
      <w:proofErr w:type="gramEnd"/>
      <w:r>
        <w:t>, held by the scheme that gives rise to an exposure (</w:t>
      </w:r>
      <w:r w:rsidRPr="00261037">
        <w:rPr>
          <w:b/>
          <w:i/>
        </w:rPr>
        <w:t>long exposure</w:t>
      </w:r>
      <w:r>
        <w:t>) because the scheme would benefit by an increase in the price or value of the underlying or reference asset to which the derivative relates; and</w:t>
      </w:r>
    </w:p>
    <w:p w14:paraId="6D9F62E1" w14:textId="3158C884" w:rsidR="00EF3740" w:rsidRDefault="00EF3740" w:rsidP="00916698">
      <w:pPr>
        <w:pStyle w:val="LI-BodyTextSubsubparaA"/>
      </w:pPr>
      <w:r>
        <w:t>(b)</w:t>
      </w:r>
      <w:r>
        <w:tab/>
        <w:t>the face value of, or the notional amount in respect of, each derivative as at the date on which the derivative is entered into,</w:t>
      </w:r>
      <w:r w:rsidRPr="005A3530">
        <w:t xml:space="preserve"> </w:t>
      </w:r>
      <w:r w:rsidRPr="00A6602C">
        <w:t xml:space="preserve">held by the scheme </w:t>
      </w:r>
      <w:r w:rsidRPr="00FB2906">
        <w:t>that gives rise to an exposure (</w:t>
      </w:r>
      <w:r w:rsidRPr="00261037">
        <w:rPr>
          <w:b/>
          <w:i/>
        </w:rPr>
        <w:t>short</w:t>
      </w:r>
      <w:r>
        <w:t xml:space="preserve"> </w:t>
      </w:r>
      <w:r w:rsidRPr="00FB2906">
        <w:rPr>
          <w:b/>
          <w:i/>
        </w:rPr>
        <w:t>exposure</w:t>
      </w:r>
      <w:r w:rsidRPr="00FB2906">
        <w:t xml:space="preserve">) </w:t>
      </w:r>
      <w:r>
        <w:t xml:space="preserve">because </w:t>
      </w:r>
      <w:r w:rsidRPr="00A6602C">
        <w:t xml:space="preserve">the scheme would benefit by a </w:t>
      </w:r>
      <w:r>
        <w:t>decrease</w:t>
      </w:r>
      <w:r w:rsidRPr="00A6602C">
        <w:t xml:space="preserve"> in the price or value of the </w:t>
      </w:r>
      <w:r>
        <w:t xml:space="preserve">underlying or reference </w:t>
      </w:r>
      <w:r w:rsidRPr="00A6602C">
        <w:t xml:space="preserve">asset to which the derivative </w:t>
      </w:r>
      <w:proofErr w:type="gramStart"/>
      <w:r w:rsidRPr="00A6602C">
        <w:t>relates</w:t>
      </w:r>
      <w:r>
        <w:t>;</w:t>
      </w:r>
      <w:proofErr w:type="gramEnd"/>
    </w:p>
    <w:p w14:paraId="16A13C4A" w14:textId="77777777" w:rsidR="00EF3740" w:rsidRDefault="00EF3740" w:rsidP="00916698">
      <w:pPr>
        <w:pStyle w:val="LI-BodyTextSubsubparaA"/>
      </w:pPr>
      <w:r>
        <w:t>adjusted as follows:</w:t>
      </w:r>
    </w:p>
    <w:p w14:paraId="4292A1BF" w14:textId="1DC05273" w:rsidR="00EF3740" w:rsidRDefault="00EF3740" w:rsidP="00916698">
      <w:pPr>
        <w:pStyle w:val="LI-BodyTextSubsubparaA"/>
      </w:pPr>
      <w:r w:rsidRPr="00652182">
        <w:t>(c)</w:t>
      </w:r>
      <w:r w:rsidRPr="00652182">
        <w:tab/>
        <w:t>if a derivative gives rise to a long exposure and another derivative gives rise to a short exposure, and both derivatives are otherwise on the same terms and relate to an underlying or reference asset of the same class, the face value of, or notional amount in respect of, each derivative is to be offset against each other.</w:t>
      </w:r>
    </w:p>
    <w:p w14:paraId="0E540571" w14:textId="77777777" w:rsidR="00EF3740" w:rsidRDefault="00EF3740" w:rsidP="00916698">
      <w:pPr>
        <w:pStyle w:val="LI-BodyTextSubsubparaA"/>
        <w:ind w:left="2268" w:firstLine="0"/>
        <w:rPr>
          <w:bCs/>
        </w:rPr>
      </w:pPr>
      <w:r w:rsidRPr="00774FB4">
        <w:rPr>
          <w:b/>
          <w:i/>
        </w:rPr>
        <w:t>prescribed foreign regulatory authority</w:t>
      </w:r>
      <w:r w:rsidRPr="00774FB4">
        <w:t xml:space="preserve"> means </w:t>
      </w:r>
      <w:r>
        <w:t xml:space="preserve">a </w:t>
      </w:r>
      <w:r w:rsidRPr="00183D5D">
        <w:t>foreign regulatory authority</w:t>
      </w:r>
      <w:r>
        <w:t xml:space="preserve"> included in Schedule 10F.</w:t>
      </w:r>
    </w:p>
    <w:p w14:paraId="4861667D" w14:textId="77777777" w:rsidR="00EF3740" w:rsidRPr="00702625" w:rsidRDefault="00EF3740" w:rsidP="00916698">
      <w:pPr>
        <w:pStyle w:val="LI-BodyTextSubsubparaA"/>
        <w:ind w:left="2268" w:firstLine="0"/>
      </w:pPr>
      <w:r w:rsidRPr="00B30714">
        <w:rPr>
          <w:b/>
          <w:i/>
        </w:rPr>
        <w:t>prescribed published index</w:t>
      </w:r>
      <w:r w:rsidRPr="00702625">
        <w:t xml:space="preserve"> means a</w:t>
      </w:r>
      <w:r>
        <w:t xml:space="preserve"> published </w:t>
      </w:r>
      <w:r w:rsidRPr="00702625">
        <w:t xml:space="preserve">index </w:t>
      </w:r>
      <w:r>
        <w:t xml:space="preserve">which is widely used for benchmarking purposes and is solely or predominantly comprised of </w:t>
      </w:r>
      <w:r w:rsidRPr="00702625">
        <w:t>one or more of the following asset classes:</w:t>
      </w:r>
    </w:p>
    <w:p w14:paraId="5BA5AA37" w14:textId="2E1CBAF0" w:rsidR="00EF3740" w:rsidRPr="00702625" w:rsidRDefault="00EF3740" w:rsidP="00916698">
      <w:pPr>
        <w:pStyle w:val="LI-BodyTextSubsubparaA"/>
      </w:pPr>
      <w:r w:rsidRPr="00702625">
        <w:t>(</w:t>
      </w:r>
      <w:r>
        <w:t>a</w:t>
      </w:r>
      <w:r w:rsidRPr="00702625">
        <w:t>)</w:t>
      </w:r>
      <w:r w:rsidRPr="00702625">
        <w:tab/>
        <w:t xml:space="preserve">shares that are able to be traded on a financial </w:t>
      </w:r>
      <w:proofErr w:type="gramStart"/>
      <w:r w:rsidRPr="00702625">
        <w:t>market;</w:t>
      </w:r>
      <w:proofErr w:type="gramEnd"/>
    </w:p>
    <w:p w14:paraId="7D7FF3E4" w14:textId="5D424FCF" w:rsidR="00EF3740" w:rsidRPr="00702625" w:rsidRDefault="00EF3740" w:rsidP="00916698">
      <w:pPr>
        <w:pStyle w:val="LI-BodyTextSubsubparaA"/>
      </w:pPr>
      <w:r w:rsidRPr="00702625">
        <w:t>(</w:t>
      </w:r>
      <w:r>
        <w:t>b</w:t>
      </w:r>
      <w:r w:rsidRPr="00702625">
        <w:t>)</w:t>
      </w:r>
      <w:r w:rsidRPr="00702625">
        <w:tab/>
        <w:t xml:space="preserve">interests in managed investment schemes that are able to be traded on a financial </w:t>
      </w:r>
      <w:proofErr w:type="gramStart"/>
      <w:r w:rsidRPr="00702625">
        <w:t>market;</w:t>
      </w:r>
      <w:proofErr w:type="gramEnd"/>
    </w:p>
    <w:p w14:paraId="30BC71F5" w14:textId="657B7878" w:rsidR="00EF3740" w:rsidRPr="00702625" w:rsidRDefault="00EF3740" w:rsidP="00916698">
      <w:pPr>
        <w:pStyle w:val="LI-BodyTextSubsubparaA"/>
      </w:pPr>
      <w:r w:rsidRPr="00702625">
        <w:t>(</w:t>
      </w:r>
      <w:r>
        <w:t>c</w:t>
      </w:r>
      <w:r w:rsidRPr="00702625">
        <w:t>)</w:t>
      </w:r>
      <w:r w:rsidRPr="00702625">
        <w:tab/>
        <w:t xml:space="preserve">debentures of a body </w:t>
      </w:r>
      <w:proofErr w:type="gramStart"/>
      <w:r w:rsidRPr="00702625">
        <w:t>corporate;</w:t>
      </w:r>
      <w:proofErr w:type="gramEnd"/>
    </w:p>
    <w:p w14:paraId="486C8EDB" w14:textId="7838E244" w:rsidR="00EF3740" w:rsidRPr="00702625" w:rsidRDefault="00EF3740" w:rsidP="00916698">
      <w:pPr>
        <w:pStyle w:val="LI-BodyTextSubsubparaA"/>
      </w:pPr>
      <w:r w:rsidRPr="00702625">
        <w:lastRenderedPageBreak/>
        <w:t>(</w:t>
      </w:r>
      <w:r>
        <w:t>d</w:t>
      </w:r>
      <w:r w:rsidRPr="00702625">
        <w:t>)</w:t>
      </w:r>
      <w:r w:rsidRPr="00702625">
        <w:tab/>
        <w:t xml:space="preserve">debentures, stocks or bonds issued by a </w:t>
      </w:r>
      <w:proofErr w:type="gramStart"/>
      <w:r w:rsidRPr="00702625">
        <w:t>government;</w:t>
      </w:r>
      <w:proofErr w:type="gramEnd"/>
    </w:p>
    <w:p w14:paraId="07B15302" w14:textId="61462FBB" w:rsidR="00EF3740" w:rsidRDefault="00EF3740" w:rsidP="00916698">
      <w:pPr>
        <w:pStyle w:val="LI-BodyTextSubsubparaA"/>
      </w:pPr>
      <w:r w:rsidRPr="00702625">
        <w:t>(</w:t>
      </w:r>
      <w:r>
        <w:t>e</w:t>
      </w:r>
      <w:r w:rsidRPr="00702625">
        <w:t>)</w:t>
      </w:r>
      <w:r w:rsidRPr="00702625">
        <w:tab/>
      </w:r>
      <w:r>
        <w:t xml:space="preserve">bills of exchange, promissory notes, certificates of deposit or other negotiable </w:t>
      </w:r>
      <w:r w:rsidRPr="00EE12AB">
        <w:t>short-term money market instruments</w:t>
      </w:r>
      <w:r>
        <w:t>.</w:t>
      </w:r>
    </w:p>
    <w:p w14:paraId="38CA3956" w14:textId="77777777" w:rsidR="00EF3740" w:rsidRDefault="00EF3740" w:rsidP="00916698">
      <w:pPr>
        <w:pStyle w:val="LI-BodyTextSubsubparaA"/>
        <w:ind w:left="2268" w:firstLine="0"/>
      </w:pPr>
      <w:r>
        <w:rPr>
          <w:b/>
          <w:i/>
        </w:rPr>
        <w:t>securities lending</w:t>
      </w:r>
      <w:r w:rsidRPr="00E072B2">
        <w:rPr>
          <w:b/>
          <w:i/>
        </w:rPr>
        <w:t xml:space="preserve"> arrangement</w:t>
      </w:r>
      <w:r>
        <w:t xml:space="preserve"> </w:t>
      </w:r>
      <w:r w:rsidRPr="00E072B2">
        <w:t xml:space="preserve">means </w:t>
      </w:r>
      <w:r>
        <w:t>an arrangement under which:</w:t>
      </w:r>
    </w:p>
    <w:p w14:paraId="41066844" w14:textId="77777777" w:rsidR="00EF3740" w:rsidRDefault="00EF3740" w:rsidP="00916698">
      <w:pPr>
        <w:pStyle w:val="LI-BodyTextSubsubparaA"/>
      </w:pPr>
      <w:r>
        <w:t>(a)</w:t>
      </w:r>
      <w:r>
        <w:tab/>
        <w:t xml:space="preserve">one entity (the </w:t>
      </w:r>
      <w:r w:rsidRPr="00E072B2">
        <w:rPr>
          <w:b/>
          <w:i/>
        </w:rPr>
        <w:t>lender</w:t>
      </w:r>
      <w:r>
        <w:t>) agrees that it will:</w:t>
      </w:r>
    </w:p>
    <w:p w14:paraId="2DDAD23E" w14:textId="77777777" w:rsidR="00EF3740" w:rsidRPr="00E072B2" w:rsidRDefault="00EF3740" w:rsidP="00155527">
      <w:pPr>
        <w:pStyle w:val="LI-Sectionsubparai"/>
        <w:spacing w:before="200"/>
      </w:pPr>
      <w:r w:rsidRPr="00E072B2">
        <w:t>(</w:t>
      </w:r>
      <w:proofErr w:type="spellStart"/>
      <w:r>
        <w:t>i</w:t>
      </w:r>
      <w:proofErr w:type="spellEnd"/>
      <w:r w:rsidRPr="00E072B2">
        <w:t>)</w:t>
      </w:r>
      <w:r w:rsidRPr="00E072B2">
        <w:tab/>
        <w:t xml:space="preserve">deliver </w:t>
      </w:r>
      <w:proofErr w:type="gramStart"/>
      <w:r>
        <w:t>particular financial</w:t>
      </w:r>
      <w:proofErr w:type="gramEnd"/>
      <w:r>
        <w:t xml:space="preserve"> products </w:t>
      </w:r>
      <w:r w:rsidRPr="00E072B2">
        <w:t xml:space="preserve">to another entity (the </w:t>
      </w:r>
      <w:r w:rsidRPr="00E072B2">
        <w:rPr>
          <w:b/>
          <w:i/>
        </w:rPr>
        <w:t>borrower</w:t>
      </w:r>
      <w:r w:rsidRPr="00E072B2">
        <w:t>) or to an entity nominated by the borrower; and</w:t>
      </w:r>
    </w:p>
    <w:p w14:paraId="3EC070B0" w14:textId="77777777" w:rsidR="00EF3740" w:rsidRPr="00E072B2" w:rsidRDefault="00EF3740" w:rsidP="00155527">
      <w:pPr>
        <w:pStyle w:val="LI-Sectionsubparai"/>
        <w:spacing w:before="200"/>
      </w:pPr>
      <w:r w:rsidRPr="00E072B2">
        <w:t>(</w:t>
      </w:r>
      <w:r>
        <w:t>ii</w:t>
      </w:r>
      <w:r w:rsidRPr="00E072B2">
        <w:t>)</w:t>
      </w:r>
      <w:r w:rsidRPr="00E072B2">
        <w:tab/>
        <w:t xml:space="preserve">vest title in those </w:t>
      </w:r>
      <w:r>
        <w:t>products</w:t>
      </w:r>
      <w:r w:rsidRPr="00E072B2">
        <w:t xml:space="preserve"> in the entity to which they are delivered; and</w:t>
      </w:r>
    </w:p>
    <w:p w14:paraId="77AFD372" w14:textId="77777777" w:rsidR="00EF3740" w:rsidRPr="00E072B2" w:rsidRDefault="00EF3740" w:rsidP="00916698">
      <w:pPr>
        <w:pStyle w:val="LI-Sectionparaa"/>
      </w:pPr>
      <w:r w:rsidRPr="00E072B2">
        <w:t>(</w:t>
      </w:r>
      <w:r>
        <w:t>b</w:t>
      </w:r>
      <w:r w:rsidRPr="00E072B2">
        <w:t>)</w:t>
      </w:r>
      <w:r w:rsidRPr="00E072B2">
        <w:tab/>
        <w:t>the borrower agrees that it will, after the lender does the things mentioned in paragraph (</w:t>
      </w:r>
      <w:r>
        <w:t>a</w:t>
      </w:r>
      <w:r w:rsidRPr="00E072B2">
        <w:t>):</w:t>
      </w:r>
    </w:p>
    <w:p w14:paraId="2F4FAF81" w14:textId="77777777" w:rsidR="00EF3740" w:rsidRPr="00E072B2" w:rsidRDefault="00EF3740" w:rsidP="00155527">
      <w:pPr>
        <w:pStyle w:val="LI-Sectionsubparai"/>
        <w:spacing w:before="200"/>
      </w:pPr>
      <w:r w:rsidRPr="00E072B2">
        <w:t>(</w:t>
      </w:r>
      <w:proofErr w:type="spellStart"/>
      <w:r>
        <w:t>i</w:t>
      </w:r>
      <w:proofErr w:type="spellEnd"/>
      <w:r w:rsidRPr="00E072B2">
        <w:t>)</w:t>
      </w:r>
      <w:r w:rsidRPr="00E072B2">
        <w:tab/>
        <w:t xml:space="preserve">deliver the </w:t>
      </w:r>
      <w:r>
        <w:t xml:space="preserve">products </w:t>
      </w:r>
      <w:r w:rsidRPr="00E072B2">
        <w:t xml:space="preserve">(or equivalent </w:t>
      </w:r>
      <w:r>
        <w:t>products</w:t>
      </w:r>
      <w:r w:rsidRPr="00E072B2">
        <w:t>) to the lender or to an entity nominated by the lender; and</w:t>
      </w:r>
    </w:p>
    <w:p w14:paraId="1F0CC1B4" w14:textId="77777777" w:rsidR="00EF3740" w:rsidRDefault="00EF3740" w:rsidP="00155527">
      <w:pPr>
        <w:pStyle w:val="LI-Sectionsubparai"/>
        <w:spacing w:before="200"/>
      </w:pPr>
      <w:r w:rsidRPr="00E072B2">
        <w:t>(</w:t>
      </w:r>
      <w:r>
        <w:t>ii</w:t>
      </w:r>
      <w:r w:rsidRPr="00E072B2">
        <w:t>)</w:t>
      </w:r>
      <w:r w:rsidRPr="00E072B2">
        <w:tab/>
        <w:t xml:space="preserve">vest title in those </w:t>
      </w:r>
      <w:r>
        <w:t>products</w:t>
      </w:r>
      <w:r w:rsidRPr="00E072B2">
        <w:t xml:space="preserve"> (or those equivalent </w:t>
      </w:r>
      <w:r>
        <w:t>products</w:t>
      </w:r>
      <w:r w:rsidRPr="00E072B2">
        <w:t>) in the entity to which they are delivered</w:t>
      </w:r>
      <w:r>
        <w:t>.”.</w:t>
      </w:r>
    </w:p>
    <w:p w14:paraId="476FE810" w14:textId="77777777" w:rsidR="00B91F2A" w:rsidRDefault="00FB1369" w:rsidP="00FB1369">
      <w:pPr>
        <w:pStyle w:val="LI-BodyTextNumbered"/>
      </w:pPr>
      <w:r>
        <w:t xml:space="preserve">(3) </w:t>
      </w:r>
      <w:r w:rsidR="00B91F2A" w:rsidRPr="00183D5D">
        <w:tab/>
        <w:t xml:space="preserve">Part 7.9 of the Act applies in relation to </w:t>
      </w:r>
      <w:r w:rsidR="00D45AAF">
        <w:t xml:space="preserve">a </w:t>
      </w:r>
      <w:r w:rsidR="00A24350">
        <w:t>responsible entity of a simple managed investment scheme</w:t>
      </w:r>
      <w:r w:rsidR="00B91F2A" w:rsidRPr="00183D5D">
        <w:t xml:space="preserve"> as if the Regulations were modified or varied by, after Schedule 10E, inserting:</w:t>
      </w:r>
    </w:p>
    <w:p w14:paraId="2B268734" w14:textId="77777777" w:rsidR="00B91F2A" w:rsidRPr="00F35EE4" w:rsidRDefault="00B91F2A" w:rsidP="00EA3FE1">
      <w:pPr>
        <w:pStyle w:val="ListB"/>
        <w:spacing w:before="240"/>
        <w:ind w:left="2977" w:hanging="1843"/>
      </w:pPr>
      <w:r w:rsidRPr="00183D5D">
        <w:t>“</w:t>
      </w:r>
      <w:r w:rsidRPr="00C66FE0">
        <w:rPr>
          <w:b/>
        </w:rPr>
        <w:t xml:space="preserve">Schedule 10F </w:t>
      </w:r>
      <w:r w:rsidRPr="00C66FE0">
        <w:rPr>
          <w:b/>
        </w:rPr>
        <w:tab/>
        <w:t>Prescribed foreign regulatory authorities</w:t>
      </w:r>
      <w:r w:rsidRPr="00C66FE0">
        <w:rPr>
          <w:b/>
        </w:rPr>
        <w:br/>
      </w:r>
      <w:r w:rsidRPr="00C66FE0">
        <w:rPr>
          <w:sz w:val="20"/>
        </w:rPr>
        <w:t>(</w:t>
      </w:r>
      <w:proofErr w:type="spellStart"/>
      <w:r w:rsidRPr="00C66FE0">
        <w:rPr>
          <w:sz w:val="20"/>
        </w:rPr>
        <w:t>subregulation</w:t>
      </w:r>
      <w:proofErr w:type="spellEnd"/>
      <w:r w:rsidRPr="00C66FE0">
        <w:rPr>
          <w:sz w:val="20"/>
        </w:rPr>
        <w:t xml:space="preserve"> 7.9.11S(</w:t>
      </w:r>
      <w:r w:rsidR="00CE3D46">
        <w:rPr>
          <w:sz w:val="20"/>
        </w:rPr>
        <w:t>7</w:t>
      </w:r>
      <w:r w:rsidRPr="00C66FE0">
        <w:rPr>
          <w:sz w:val="20"/>
        </w:rPr>
        <w:t>))</w:t>
      </w:r>
    </w:p>
    <w:p w14:paraId="001DA41F" w14:textId="77777777" w:rsidR="00B91F2A" w:rsidRPr="00774FB4" w:rsidRDefault="00B91F2A" w:rsidP="004D1DBA">
      <w:pPr>
        <w:pBdr>
          <w:bottom w:val="single" w:sz="4" w:space="1" w:color="auto"/>
        </w:pBdr>
        <w:ind w:left="2268" w:hanging="992"/>
        <w:rPr>
          <w:b/>
          <w:sz w:val="20"/>
        </w:rPr>
      </w:pPr>
      <w:r w:rsidRPr="00774FB4">
        <w:rPr>
          <w:b/>
          <w:sz w:val="20"/>
        </w:rPr>
        <w:t>Item</w:t>
      </w:r>
      <w:r>
        <w:rPr>
          <w:b/>
          <w:sz w:val="20"/>
        </w:rPr>
        <w:tab/>
      </w:r>
      <w:r w:rsidRPr="00774FB4">
        <w:rPr>
          <w:b/>
          <w:sz w:val="20"/>
        </w:rPr>
        <w:t>Foreign regulatory authorit</w:t>
      </w:r>
      <w:r w:rsidRPr="00183D5D">
        <w:rPr>
          <w:b/>
          <w:sz w:val="20"/>
        </w:rPr>
        <w:t>ies</w:t>
      </w:r>
    </w:p>
    <w:p w14:paraId="0C2DDEA8" w14:textId="77777777" w:rsidR="00B91F2A" w:rsidRPr="00774FB4" w:rsidRDefault="00B91F2A" w:rsidP="004D1DBA">
      <w:pPr>
        <w:ind w:left="2268" w:hanging="992"/>
        <w:rPr>
          <w:sz w:val="20"/>
        </w:rPr>
      </w:pPr>
      <w:r w:rsidRPr="00774FB4">
        <w:rPr>
          <w:sz w:val="20"/>
        </w:rPr>
        <w:t>1</w:t>
      </w:r>
      <w:r w:rsidRPr="00774FB4">
        <w:rPr>
          <w:sz w:val="20"/>
        </w:rPr>
        <w:tab/>
      </w:r>
      <w:r w:rsidRPr="001B680D">
        <w:rPr>
          <w:sz w:val="20"/>
        </w:rPr>
        <w:t>Alberta Securities Commission</w:t>
      </w:r>
    </w:p>
    <w:p w14:paraId="56C378A5" w14:textId="77777777" w:rsidR="00B91F2A" w:rsidRPr="001B680D" w:rsidRDefault="00B91F2A" w:rsidP="004D1DBA">
      <w:pPr>
        <w:ind w:left="2268" w:hanging="992"/>
        <w:rPr>
          <w:sz w:val="20"/>
        </w:rPr>
      </w:pPr>
      <w:r w:rsidRPr="00774FB4">
        <w:rPr>
          <w:sz w:val="20"/>
        </w:rPr>
        <w:t>2</w:t>
      </w:r>
      <w:r w:rsidRPr="00774FB4">
        <w:rPr>
          <w:sz w:val="20"/>
        </w:rPr>
        <w:tab/>
      </w:r>
      <w:proofErr w:type="spellStart"/>
      <w:r w:rsidRPr="001B680D">
        <w:rPr>
          <w:sz w:val="20"/>
        </w:rPr>
        <w:t>Finanzmarktaufsicht</w:t>
      </w:r>
      <w:proofErr w:type="spellEnd"/>
      <w:r>
        <w:rPr>
          <w:sz w:val="20"/>
        </w:rPr>
        <w:t xml:space="preserve"> of Austria</w:t>
      </w:r>
    </w:p>
    <w:p w14:paraId="23F84134" w14:textId="77777777" w:rsidR="00B91F2A" w:rsidRPr="001B680D" w:rsidRDefault="00B91F2A" w:rsidP="004D1DBA">
      <w:pPr>
        <w:ind w:left="2268" w:hanging="992"/>
        <w:rPr>
          <w:sz w:val="20"/>
        </w:rPr>
      </w:pPr>
      <w:r>
        <w:rPr>
          <w:sz w:val="20"/>
        </w:rPr>
        <w:t>3</w:t>
      </w:r>
      <w:r>
        <w:rPr>
          <w:b/>
          <w:sz w:val="20"/>
        </w:rPr>
        <w:tab/>
      </w:r>
      <w:r w:rsidRPr="001B680D">
        <w:rPr>
          <w:sz w:val="20"/>
        </w:rPr>
        <w:t>Financial Services and Markets Authority</w:t>
      </w:r>
      <w:r>
        <w:rPr>
          <w:sz w:val="20"/>
        </w:rPr>
        <w:t xml:space="preserve"> of Belgium</w:t>
      </w:r>
    </w:p>
    <w:p w14:paraId="05EA2855" w14:textId="77777777" w:rsidR="00B91F2A" w:rsidRPr="001B680D" w:rsidRDefault="00B91F2A" w:rsidP="004D1DBA">
      <w:pPr>
        <w:ind w:left="2268" w:hanging="992"/>
        <w:rPr>
          <w:sz w:val="20"/>
        </w:rPr>
      </w:pPr>
      <w:r>
        <w:rPr>
          <w:sz w:val="20"/>
        </w:rPr>
        <w:t>4</w:t>
      </w:r>
      <w:r>
        <w:rPr>
          <w:sz w:val="20"/>
        </w:rPr>
        <w:tab/>
      </w:r>
      <w:r w:rsidRPr="001B680D">
        <w:rPr>
          <w:sz w:val="20"/>
        </w:rPr>
        <w:t>British Columbia Securities Commission</w:t>
      </w:r>
    </w:p>
    <w:p w14:paraId="031A0073" w14:textId="77777777" w:rsidR="00B91F2A" w:rsidRPr="001B680D" w:rsidRDefault="00B91F2A" w:rsidP="004D1DBA">
      <w:pPr>
        <w:ind w:left="2268" w:hanging="992"/>
        <w:rPr>
          <w:sz w:val="20"/>
        </w:rPr>
      </w:pPr>
      <w:r w:rsidRPr="00E112A1">
        <w:rPr>
          <w:sz w:val="20"/>
        </w:rPr>
        <w:t>5</w:t>
      </w:r>
      <w:r>
        <w:rPr>
          <w:b/>
          <w:sz w:val="20"/>
        </w:rPr>
        <w:tab/>
      </w:r>
      <w:r w:rsidRPr="001B680D">
        <w:rPr>
          <w:sz w:val="20"/>
        </w:rPr>
        <w:t>Financial Supervision Commission</w:t>
      </w:r>
      <w:r>
        <w:rPr>
          <w:sz w:val="20"/>
        </w:rPr>
        <w:t xml:space="preserve"> of Bulgaria</w:t>
      </w:r>
    </w:p>
    <w:p w14:paraId="178FFEC4" w14:textId="77777777" w:rsidR="00B91F2A" w:rsidRPr="001B680D" w:rsidRDefault="00B91F2A" w:rsidP="004D1DBA">
      <w:pPr>
        <w:ind w:left="2268" w:hanging="992"/>
        <w:rPr>
          <w:sz w:val="20"/>
        </w:rPr>
      </w:pPr>
      <w:r>
        <w:rPr>
          <w:sz w:val="20"/>
        </w:rPr>
        <w:t>6</w:t>
      </w:r>
      <w:r>
        <w:rPr>
          <w:sz w:val="20"/>
        </w:rPr>
        <w:tab/>
      </w:r>
      <w:r w:rsidRPr="001B680D">
        <w:rPr>
          <w:sz w:val="20"/>
        </w:rPr>
        <w:t>Cyprus Securities and Exchange Commission</w:t>
      </w:r>
    </w:p>
    <w:p w14:paraId="0A2D6785" w14:textId="77777777" w:rsidR="00B91F2A" w:rsidRPr="001B680D" w:rsidRDefault="00B91F2A" w:rsidP="004D1DBA">
      <w:pPr>
        <w:ind w:left="2268" w:hanging="992"/>
        <w:rPr>
          <w:sz w:val="20"/>
        </w:rPr>
      </w:pPr>
      <w:r>
        <w:rPr>
          <w:sz w:val="20"/>
        </w:rPr>
        <w:t>7</w:t>
      </w:r>
      <w:r>
        <w:rPr>
          <w:sz w:val="20"/>
        </w:rPr>
        <w:tab/>
      </w:r>
      <w:r w:rsidRPr="001B680D">
        <w:rPr>
          <w:sz w:val="20"/>
        </w:rPr>
        <w:t>Czech National Bank</w:t>
      </w:r>
    </w:p>
    <w:p w14:paraId="0AE91A48" w14:textId="77777777" w:rsidR="00B91F2A" w:rsidRPr="001B680D" w:rsidRDefault="00B91F2A" w:rsidP="004D1DBA">
      <w:pPr>
        <w:ind w:left="2268" w:hanging="992"/>
        <w:rPr>
          <w:sz w:val="20"/>
        </w:rPr>
      </w:pPr>
      <w:r w:rsidRPr="00E112A1">
        <w:rPr>
          <w:sz w:val="20"/>
        </w:rPr>
        <w:t>8</w:t>
      </w:r>
      <w:r>
        <w:rPr>
          <w:b/>
          <w:sz w:val="20"/>
        </w:rPr>
        <w:tab/>
      </w:r>
      <w:proofErr w:type="spellStart"/>
      <w:r w:rsidRPr="001B680D">
        <w:rPr>
          <w:sz w:val="20"/>
        </w:rPr>
        <w:t>Finanstilsynet</w:t>
      </w:r>
      <w:proofErr w:type="spellEnd"/>
      <w:r>
        <w:rPr>
          <w:sz w:val="20"/>
        </w:rPr>
        <w:t xml:space="preserve"> of Denmark</w:t>
      </w:r>
    </w:p>
    <w:p w14:paraId="2BA20224" w14:textId="77777777" w:rsidR="00B91F2A" w:rsidRPr="001B680D" w:rsidRDefault="00B91F2A" w:rsidP="004D1DBA">
      <w:pPr>
        <w:ind w:left="2268" w:hanging="992"/>
        <w:rPr>
          <w:sz w:val="20"/>
        </w:rPr>
      </w:pPr>
      <w:r>
        <w:rPr>
          <w:sz w:val="20"/>
        </w:rPr>
        <w:t>9</w:t>
      </w:r>
      <w:r>
        <w:rPr>
          <w:sz w:val="20"/>
        </w:rPr>
        <w:tab/>
      </w:r>
      <w:r w:rsidRPr="001B680D">
        <w:rPr>
          <w:sz w:val="20"/>
        </w:rPr>
        <w:t>Dubai Financial Services Authority</w:t>
      </w:r>
    </w:p>
    <w:p w14:paraId="0138EB96" w14:textId="77777777" w:rsidR="00B91F2A" w:rsidRPr="001B680D" w:rsidRDefault="00B91F2A" w:rsidP="004D1DBA">
      <w:pPr>
        <w:ind w:left="2268" w:hanging="992"/>
        <w:rPr>
          <w:sz w:val="20"/>
        </w:rPr>
      </w:pPr>
      <w:r>
        <w:rPr>
          <w:sz w:val="20"/>
        </w:rPr>
        <w:t>10</w:t>
      </w:r>
      <w:r>
        <w:rPr>
          <w:sz w:val="20"/>
        </w:rPr>
        <w:tab/>
      </w:r>
      <w:r w:rsidRPr="001B680D">
        <w:rPr>
          <w:sz w:val="20"/>
        </w:rPr>
        <w:t>Estonian Financial Supervision Authority</w:t>
      </w:r>
    </w:p>
    <w:p w14:paraId="7FB2780F" w14:textId="77777777" w:rsidR="00B91F2A" w:rsidRDefault="00B91F2A" w:rsidP="004D1DBA">
      <w:pPr>
        <w:ind w:left="2268" w:hanging="992"/>
        <w:rPr>
          <w:sz w:val="20"/>
        </w:rPr>
      </w:pPr>
      <w:r>
        <w:rPr>
          <w:sz w:val="20"/>
        </w:rPr>
        <w:t>11</w:t>
      </w:r>
      <w:r>
        <w:rPr>
          <w:sz w:val="20"/>
        </w:rPr>
        <w:tab/>
      </w:r>
      <w:proofErr w:type="spellStart"/>
      <w:r w:rsidRPr="00E112A1">
        <w:rPr>
          <w:sz w:val="20"/>
        </w:rPr>
        <w:t>Finanssivalvonta</w:t>
      </w:r>
      <w:proofErr w:type="spellEnd"/>
      <w:r w:rsidRPr="00E112A1">
        <w:rPr>
          <w:sz w:val="20"/>
        </w:rPr>
        <w:t xml:space="preserve"> of Finland</w:t>
      </w:r>
    </w:p>
    <w:p w14:paraId="7CB4DBD8" w14:textId="77777777" w:rsidR="00B91F2A" w:rsidRPr="00E112A1" w:rsidRDefault="00B91F2A" w:rsidP="004D1DBA">
      <w:pPr>
        <w:ind w:left="2268" w:hanging="992"/>
        <w:rPr>
          <w:sz w:val="20"/>
        </w:rPr>
      </w:pPr>
      <w:r>
        <w:rPr>
          <w:sz w:val="20"/>
        </w:rPr>
        <w:t>12</w:t>
      </w:r>
      <w:r>
        <w:rPr>
          <w:sz w:val="20"/>
        </w:rPr>
        <w:tab/>
      </w:r>
      <w:proofErr w:type="spellStart"/>
      <w:r w:rsidRPr="00E112A1">
        <w:rPr>
          <w:sz w:val="20"/>
        </w:rPr>
        <w:t>Autorité</w:t>
      </w:r>
      <w:proofErr w:type="spellEnd"/>
      <w:r w:rsidRPr="00E112A1">
        <w:rPr>
          <w:sz w:val="20"/>
        </w:rPr>
        <w:t xml:space="preserve"> des </w:t>
      </w:r>
      <w:proofErr w:type="spellStart"/>
      <w:r w:rsidRPr="00E112A1">
        <w:rPr>
          <w:sz w:val="20"/>
        </w:rPr>
        <w:t>Marchés</w:t>
      </w:r>
      <w:proofErr w:type="spellEnd"/>
      <w:r w:rsidRPr="00E112A1">
        <w:rPr>
          <w:sz w:val="20"/>
        </w:rPr>
        <w:t xml:space="preserve"> Financiers of France</w:t>
      </w:r>
    </w:p>
    <w:p w14:paraId="4162F7B6" w14:textId="77777777" w:rsidR="00B91F2A" w:rsidRPr="001B680D" w:rsidRDefault="00B91F2A" w:rsidP="004D1DBA">
      <w:pPr>
        <w:ind w:left="2268" w:hanging="992"/>
        <w:rPr>
          <w:sz w:val="20"/>
        </w:rPr>
      </w:pPr>
      <w:r>
        <w:rPr>
          <w:sz w:val="20"/>
        </w:rPr>
        <w:t>13</w:t>
      </w:r>
      <w:r>
        <w:rPr>
          <w:sz w:val="20"/>
        </w:rPr>
        <w:tab/>
      </w:r>
      <w:proofErr w:type="spellStart"/>
      <w:r w:rsidRPr="001B680D">
        <w:rPr>
          <w:sz w:val="20"/>
        </w:rPr>
        <w:t>Bundesanstalt</w:t>
      </w:r>
      <w:proofErr w:type="spellEnd"/>
      <w:r w:rsidRPr="001B680D">
        <w:rPr>
          <w:sz w:val="20"/>
        </w:rPr>
        <w:t xml:space="preserve"> </w:t>
      </w:r>
      <w:proofErr w:type="spellStart"/>
      <w:r w:rsidRPr="001B680D">
        <w:rPr>
          <w:sz w:val="20"/>
        </w:rPr>
        <w:t>für</w:t>
      </w:r>
      <w:proofErr w:type="spellEnd"/>
      <w:r w:rsidRPr="001B680D">
        <w:rPr>
          <w:sz w:val="20"/>
        </w:rPr>
        <w:t xml:space="preserve"> </w:t>
      </w:r>
      <w:proofErr w:type="spellStart"/>
      <w:r w:rsidRPr="001B680D">
        <w:rPr>
          <w:sz w:val="20"/>
        </w:rPr>
        <w:t>Finanzdienstleistungsaufsicht</w:t>
      </w:r>
      <w:proofErr w:type="spellEnd"/>
      <w:r w:rsidRPr="001B680D">
        <w:rPr>
          <w:sz w:val="20"/>
        </w:rPr>
        <w:t xml:space="preserve"> of Germany</w:t>
      </w:r>
    </w:p>
    <w:p w14:paraId="0CC5DFE8" w14:textId="77777777" w:rsidR="00B91F2A" w:rsidRPr="001B680D" w:rsidRDefault="00B91F2A" w:rsidP="004D1DBA">
      <w:pPr>
        <w:ind w:left="2268" w:hanging="992"/>
        <w:rPr>
          <w:sz w:val="20"/>
        </w:rPr>
      </w:pPr>
      <w:r w:rsidRPr="001B680D">
        <w:rPr>
          <w:sz w:val="20"/>
        </w:rPr>
        <w:t>1</w:t>
      </w:r>
      <w:r>
        <w:rPr>
          <w:sz w:val="20"/>
        </w:rPr>
        <w:t>4</w:t>
      </w:r>
      <w:r w:rsidRPr="001B680D">
        <w:rPr>
          <w:sz w:val="20"/>
        </w:rPr>
        <w:tab/>
        <w:t>Hellenic Capital Market Commission</w:t>
      </w:r>
      <w:r>
        <w:rPr>
          <w:sz w:val="20"/>
        </w:rPr>
        <w:t xml:space="preserve"> of Greece</w:t>
      </w:r>
    </w:p>
    <w:p w14:paraId="1E2B7225" w14:textId="77777777" w:rsidR="00B91F2A" w:rsidRPr="001B680D" w:rsidRDefault="00B91F2A" w:rsidP="004D1DBA">
      <w:pPr>
        <w:ind w:left="2268" w:hanging="992"/>
        <w:rPr>
          <w:sz w:val="20"/>
        </w:rPr>
      </w:pPr>
      <w:r>
        <w:rPr>
          <w:sz w:val="20"/>
        </w:rPr>
        <w:t>15</w:t>
      </w:r>
      <w:r>
        <w:rPr>
          <w:sz w:val="20"/>
        </w:rPr>
        <w:tab/>
      </w:r>
      <w:r w:rsidRPr="001B680D">
        <w:rPr>
          <w:sz w:val="20"/>
        </w:rPr>
        <w:t>Guernsey Financial Services Commission</w:t>
      </w:r>
    </w:p>
    <w:p w14:paraId="03C6A506" w14:textId="77777777" w:rsidR="00B91F2A" w:rsidRPr="001B680D" w:rsidRDefault="00B91F2A" w:rsidP="004D1DBA">
      <w:pPr>
        <w:ind w:left="2268" w:hanging="992"/>
        <w:rPr>
          <w:sz w:val="20"/>
        </w:rPr>
      </w:pPr>
      <w:r>
        <w:rPr>
          <w:sz w:val="20"/>
        </w:rPr>
        <w:t>16</w:t>
      </w:r>
      <w:r>
        <w:rPr>
          <w:sz w:val="20"/>
        </w:rPr>
        <w:tab/>
      </w:r>
      <w:r w:rsidRPr="001B680D">
        <w:rPr>
          <w:sz w:val="20"/>
        </w:rPr>
        <w:t>Hong Kong Securities and Futures Commission</w:t>
      </w:r>
    </w:p>
    <w:p w14:paraId="76B597C4" w14:textId="77777777" w:rsidR="00B91F2A" w:rsidRPr="001B680D" w:rsidRDefault="00B91F2A" w:rsidP="004D1DBA">
      <w:pPr>
        <w:ind w:left="2268" w:hanging="992"/>
        <w:rPr>
          <w:sz w:val="20"/>
        </w:rPr>
      </w:pPr>
      <w:r>
        <w:rPr>
          <w:sz w:val="20"/>
        </w:rPr>
        <w:t>17</w:t>
      </w:r>
      <w:r w:rsidRPr="001B680D">
        <w:rPr>
          <w:sz w:val="20"/>
        </w:rPr>
        <w:tab/>
      </w:r>
      <w:proofErr w:type="spellStart"/>
      <w:r w:rsidRPr="001B680D">
        <w:rPr>
          <w:sz w:val="20"/>
        </w:rPr>
        <w:t>Pénzügyi</w:t>
      </w:r>
      <w:proofErr w:type="spellEnd"/>
      <w:r w:rsidRPr="001B680D">
        <w:rPr>
          <w:sz w:val="20"/>
        </w:rPr>
        <w:t xml:space="preserve"> </w:t>
      </w:r>
      <w:proofErr w:type="spellStart"/>
      <w:r w:rsidRPr="001B680D">
        <w:rPr>
          <w:sz w:val="20"/>
        </w:rPr>
        <w:t>Szervezetek</w:t>
      </w:r>
      <w:proofErr w:type="spellEnd"/>
      <w:r w:rsidRPr="001B680D">
        <w:rPr>
          <w:sz w:val="20"/>
        </w:rPr>
        <w:t xml:space="preserve"> </w:t>
      </w:r>
      <w:proofErr w:type="spellStart"/>
      <w:r w:rsidRPr="001B680D">
        <w:rPr>
          <w:sz w:val="20"/>
        </w:rPr>
        <w:t>Állami</w:t>
      </w:r>
      <w:proofErr w:type="spellEnd"/>
      <w:r w:rsidRPr="001B680D">
        <w:rPr>
          <w:sz w:val="20"/>
        </w:rPr>
        <w:t xml:space="preserve"> </w:t>
      </w:r>
      <w:proofErr w:type="spellStart"/>
      <w:r w:rsidRPr="001B680D">
        <w:rPr>
          <w:sz w:val="20"/>
        </w:rPr>
        <w:t>Felügyelete</w:t>
      </w:r>
      <w:proofErr w:type="spellEnd"/>
      <w:r w:rsidRPr="001B680D">
        <w:rPr>
          <w:sz w:val="20"/>
        </w:rPr>
        <w:t xml:space="preserve"> of Hungary</w:t>
      </w:r>
    </w:p>
    <w:p w14:paraId="2F8C2A13" w14:textId="77777777" w:rsidR="00B91F2A" w:rsidRPr="001B680D" w:rsidRDefault="00B91F2A" w:rsidP="004D1DBA">
      <w:pPr>
        <w:ind w:left="2268" w:hanging="992"/>
        <w:rPr>
          <w:sz w:val="20"/>
        </w:rPr>
      </w:pPr>
      <w:r>
        <w:rPr>
          <w:sz w:val="20"/>
        </w:rPr>
        <w:lastRenderedPageBreak/>
        <w:t>18</w:t>
      </w:r>
      <w:r w:rsidRPr="001B680D">
        <w:rPr>
          <w:sz w:val="20"/>
        </w:rPr>
        <w:tab/>
      </w:r>
      <w:proofErr w:type="spellStart"/>
      <w:r w:rsidRPr="001B680D">
        <w:rPr>
          <w:sz w:val="20"/>
        </w:rPr>
        <w:t>Fjármálaeftirlitið</w:t>
      </w:r>
      <w:proofErr w:type="spellEnd"/>
      <w:r w:rsidRPr="001B680D">
        <w:rPr>
          <w:sz w:val="20"/>
        </w:rPr>
        <w:t xml:space="preserve"> of Iceland</w:t>
      </w:r>
    </w:p>
    <w:p w14:paraId="2F36D5B9" w14:textId="77777777" w:rsidR="00B91F2A" w:rsidRPr="00E112A1" w:rsidRDefault="00B91F2A" w:rsidP="004D1DBA">
      <w:pPr>
        <w:ind w:left="2268" w:hanging="992"/>
        <w:rPr>
          <w:sz w:val="20"/>
        </w:rPr>
      </w:pPr>
      <w:r>
        <w:rPr>
          <w:sz w:val="20"/>
        </w:rPr>
        <w:t>19</w:t>
      </w:r>
      <w:r>
        <w:rPr>
          <w:sz w:val="20"/>
        </w:rPr>
        <w:tab/>
      </w:r>
      <w:r w:rsidRPr="00E112A1">
        <w:rPr>
          <w:sz w:val="20"/>
        </w:rPr>
        <w:t>Central Bank of Ireland</w:t>
      </w:r>
    </w:p>
    <w:p w14:paraId="65B1E43C" w14:textId="77777777" w:rsidR="00B91F2A" w:rsidRPr="001B680D" w:rsidRDefault="00B91F2A" w:rsidP="004D1DBA">
      <w:pPr>
        <w:ind w:left="2268" w:hanging="992"/>
        <w:rPr>
          <w:sz w:val="20"/>
        </w:rPr>
      </w:pPr>
      <w:r>
        <w:rPr>
          <w:sz w:val="20"/>
        </w:rPr>
        <w:t>20</w:t>
      </w:r>
      <w:r w:rsidRPr="001B680D">
        <w:rPr>
          <w:sz w:val="20"/>
        </w:rPr>
        <w:tab/>
        <w:t>Isle of Man Financial Supervision Commission</w:t>
      </w:r>
    </w:p>
    <w:p w14:paraId="748DBD51" w14:textId="77777777" w:rsidR="00B91F2A" w:rsidRPr="001B680D" w:rsidRDefault="00B91F2A" w:rsidP="004D1DBA">
      <w:pPr>
        <w:ind w:left="2268" w:hanging="992"/>
        <w:rPr>
          <w:sz w:val="20"/>
        </w:rPr>
      </w:pPr>
      <w:r w:rsidRPr="001B680D">
        <w:rPr>
          <w:sz w:val="20"/>
        </w:rPr>
        <w:t>2</w:t>
      </w:r>
      <w:r>
        <w:rPr>
          <w:sz w:val="20"/>
        </w:rPr>
        <w:t>1</w:t>
      </w:r>
      <w:r w:rsidRPr="001B680D">
        <w:rPr>
          <w:sz w:val="20"/>
        </w:rPr>
        <w:tab/>
        <w:t>Israel Securities Authority</w:t>
      </w:r>
    </w:p>
    <w:p w14:paraId="7CA4BF5D" w14:textId="77777777" w:rsidR="00B91F2A" w:rsidRDefault="00B91F2A" w:rsidP="004D1DBA">
      <w:pPr>
        <w:ind w:left="2268" w:hanging="992"/>
        <w:rPr>
          <w:sz w:val="20"/>
        </w:rPr>
      </w:pPr>
      <w:r w:rsidRPr="001B680D">
        <w:rPr>
          <w:sz w:val="20"/>
        </w:rPr>
        <w:t>2</w:t>
      </w:r>
      <w:r>
        <w:rPr>
          <w:sz w:val="20"/>
        </w:rPr>
        <w:t>2</w:t>
      </w:r>
      <w:r w:rsidRPr="001B680D">
        <w:rPr>
          <w:sz w:val="20"/>
        </w:rPr>
        <w:tab/>
      </w:r>
      <w:proofErr w:type="spellStart"/>
      <w:r w:rsidRPr="001B680D">
        <w:rPr>
          <w:sz w:val="20"/>
        </w:rPr>
        <w:t>Commissione</w:t>
      </w:r>
      <w:proofErr w:type="spellEnd"/>
      <w:r w:rsidRPr="001B680D">
        <w:rPr>
          <w:sz w:val="20"/>
        </w:rPr>
        <w:t xml:space="preserve"> Nazionale per le </w:t>
      </w:r>
      <w:proofErr w:type="spellStart"/>
      <w:r w:rsidRPr="001B680D">
        <w:rPr>
          <w:sz w:val="20"/>
        </w:rPr>
        <w:t>Società</w:t>
      </w:r>
      <w:proofErr w:type="spellEnd"/>
      <w:r w:rsidRPr="001B680D">
        <w:rPr>
          <w:sz w:val="20"/>
        </w:rPr>
        <w:t xml:space="preserve"> e la </w:t>
      </w:r>
      <w:proofErr w:type="spellStart"/>
      <w:r w:rsidRPr="001B680D">
        <w:rPr>
          <w:sz w:val="20"/>
        </w:rPr>
        <w:t>Borsa</w:t>
      </w:r>
      <w:proofErr w:type="spellEnd"/>
      <w:r w:rsidRPr="001B680D">
        <w:rPr>
          <w:sz w:val="20"/>
        </w:rPr>
        <w:t xml:space="preserve"> of Italy</w:t>
      </w:r>
    </w:p>
    <w:p w14:paraId="574E4533" w14:textId="77777777" w:rsidR="00B91F2A" w:rsidRDefault="00B91F2A" w:rsidP="004D1DBA">
      <w:pPr>
        <w:ind w:left="2268" w:hanging="992"/>
        <w:rPr>
          <w:sz w:val="20"/>
        </w:rPr>
      </w:pPr>
      <w:r>
        <w:rPr>
          <w:sz w:val="20"/>
        </w:rPr>
        <w:t>23</w:t>
      </w:r>
      <w:r>
        <w:rPr>
          <w:sz w:val="20"/>
        </w:rPr>
        <w:tab/>
      </w:r>
      <w:r w:rsidRPr="00E112A1">
        <w:rPr>
          <w:sz w:val="20"/>
        </w:rPr>
        <w:t>Financial Services Agency of Japan</w:t>
      </w:r>
    </w:p>
    <w:p w14:paraId="70C19D73" w14:textId="77777777" w:rsidR="00B91F2A" w:rsidRPr="00E112A1" w:rsidRDefault="00B91F2A" w:rsidP="004D1DBA">
      <w:pPr>
        <w:ind w:left="2268" w:hanging="992"/>
        <w:rPr>
          <w:sz w:val="20"/>
        </w:rPr>
      </w:pPr>
      <w:r>
        <w:rPr>
          <w:sz w:val="20"/>
        </w:rPr>
        <w:t>24</w:t>
      </w:r>
      <w:r w:rsidRPr="00E112A1">
        <w:rPr>
          <w:sz w:val="20"/>
        </w:rPr>
        <w:tab/>
        <w:t>Jersey Financial Services Commission</w:t>
      </w:r>
    </w:p>
    <w:p w14:paraId="4EC24282" w14:textId="77777777" w:rsidR="00B91F2A" w:rsidRPr="001B680D" w:rsidRDefault="00B91F2A" w:rsidP="004D1DBA">
      <w:pPr>
        <w:ind w:left="2268" w:hanging="992"/>
        <w:rPr>
          <w:sz w:val="20"/>
        </w:rPr>
      </w:pPr>
      <w:r w:rsidRPr="001B680D">
        <w:rPr>
          <w:sz w:val="20"/>
        </w:rPr>
        <w:t>2</w:t>
      </w:r>
      <w:r>
        <w:rPr>
          <w:sz w:val="20"/>
        </w:rPr>
        <w:t>5</w:t>
      </w:r>
      <w:r w:rsidRPr="001B680D">
        <w:rPr>
          <w:sz w:val="20"/>
        </w:rPr>
        <w:tab/>
      </w:r>
      <w:proofErr w:type="spellStart"/>
      <w:r w:rsidRPr="001B680D">
        <w:rPr>
          <w:sz w:val="20"/>
        </w:rPr>
        <w:t>Finanšu</w:t>
      </w:r>
      <w:proofErr w:type="spellEnd"/>
      <w:r w:rsidRPr="001B680D">
        <w:rPr>
          <w:sz w:val="20"/>
        </w:rPr>
        <w:t xml:space="preserve"> un </w:t>
      </w:r>
      <w:proofErr w:type="spellStart"/>
      <w:r w:rsidRPr="001B680D">
        <w:rPr>
          <w:sz w:val="20"/>
        </w:rPr>
        <w:t>kapitāla</w:t>
      </w:r>
      <w:proofErr w:type="spellEnd"/>
      <w:r w:rsidRPr="001B680D">
        <w:rPr>
          <w:sz w:val="20"/>
        </w:rPr>
        <w:t xml:space="preserve"> </w:t>
      </w:r>
      <w:proofErr w:type="spellStart"/>
      <w:r w:rsidRPr="001B680D">
        <w:rPr>
          <w:sz w:val="20"/>
        </w:rPr>
        <w:t>tirgus</w:t>
      </w:r>
      <w:proofErr w:type="spellEnd"/>
      <w:r w:rsidRPr="001B680D">
        <w:rPr>
          <w:sz w:val="20"/>
        </w:rPr>
        <w:t xml:space="preserve"> </w:t>
      </w:r>
      <w:proofErr w:type="spellStart"/>
      <w:r w:rsidRPr="001B680D">
        <w:rPr>
          <w:sz w:val="20"/>
        </w:rPr>
        <w:t>komisija</w:t>
      </w:r>
      <w:proofErr w:type="spellEnd"/>
      <w:r w:rsidRPr="001B680D">
        <w:rPr>
          <w:sz w:val="20"/>
        </w:rPr>
        <w:t xml:space="preserve"> of Latvia</w:t>
      </w:r>
    </w:p>
    <w:p w14:paraId="0D7E4747" w14:textId="77777777" w:rsidR="00B91F2A" w:rsidRPr="001B680D" w:rsidRDefault="00B91F2A" w:rsidP="004D1DBA">
      <w:pPr>
        <w:ind w:left="2268" w:hanging="992"/>
        <w:rPr>
          <w:sz w:val="20"/>
        </w:rPr>
      </w:pPr>
      <w:r w:rsidRPr="001B680D">
        <w:rPr>
          <w:sz w:val="20"/>
        </w:rPr>
        <w:t>2</w:t>
      </w:r>
      <w:r>
        <w:rPr>
          <w:sz w:val="20"/>
        </w:rPr>
        <w:t>6</w:t>
      </w:r>
      <w:r w:rsidRPr="001B680D">
        <w:rPr>
          <w:sz w:val="20"/>
        </w:rPr>
        <w:tab/>
      </w:r>
      <w:proofErr w:type="spellStart"/>
      <w:r w:rsidRPr="001B680D">
        <w:rPr>
          <w:sz w:val="20"/>
        </w:rPr>
        <w:t>Finanzmarktaufsicht</w:t>
      </w:r>
      <w:proofErr w:type="spellEnd"/>
      <w:r w:rsidRPr="001B680D">
        <w:rPr>
          <w:sz w:val="20"/>
        </w:rPr>
        <w:t xml:space="preserve"> of Liechtenstein</w:t>
      </w:r>
    </w:p>
    <w:p w14:paraId="40811E4C" w14:textId="77777777" w:rsidR="00B91F2A" w:rsidRPr="00E112A1" w:rsidRDefault="00B91F2A" w:rsidP="004D1DBA">
      <w:pPr>
        <w:ind w:left="2268" w:hanging="992"/>
        <w:rPr>
          <w:sz w:val="20"/>
        </w:rPr>
      </w:pPr>
      <w:r>
        <w:rPr>
          <w:sz w:val="20"/>
        </w:rPr>
        <w:t>27</w:t>
      </w:r>
      <w:r>
        <w:rPr>
          <w:sz w:val="20"/>
        </w:rPr>
        <w:tab/>
      </w:r>
      <w:r w:rsidRPr="00E112A1">
        <w:rPr>
          <w:sz w:val="20"/>
        </w:rPr>
        <w:t>Bank of Lithuania</w:t>
      </w:r>
    </w:p>
    <w:p w14:paraId="34742998" w14:textId="77777777" w:rsidR="00B91F2A" w:rsidRPr="001B680D" w:rsidRDefault="00B91F2A" w:rsidP="004D1DBA">
      <w:pPr>
        <w:ind w:left="2268" w:hanging="992"/>
        <w:rPr>
          <w:sz w:val="20"/>
        </w:rPr>
      </w:pPr>
      <w:r w:rsidRPr="001B680D">
        <w:rPr>
          <w:sz w:val="20"/>
        </w:rPr>
        <w:t>2</w:t>
      </w:r>
      <w:r>
        <w:rPr>
          <w:sz w:val="20"/>
        </w:rPr>
        <w:t>8</w:t>
      </w:r>
      <w:r>
        <w:rPr>
          <w:b/>
          <w:sz w:val="20"/>
        </w:rPr>
        <w:tab/>
      </w:r>
      <w:r w:rsidRPr="001B680D">
        <w:rPr>
          <w:sz w:val="20"/>
        </w:rPr>
        <w:t xml:space="preserve">Commission de Surveillance du </w:t>
      </w:r>
      <w:proofErr w:type="spellStart"/>
      <w:r w:rsidRPr="001B680D">
        <w:rPr>
          <w:sz w:val="20"/>
        </w:rPr>
        <w:t>Secteur</w:t>
      </w:r>
      <w:proofErr w:type="spellEnd"/>
      <w:r w:rsidRPr="001B680D">
        <w:rPr>
          <w:sz w:val="20"/>
        </w:rPr>
        <w:t xml:space="preserve"> Financier</w:t>
      </w:r>
      <w:r>
        <w:rPr>
          <w:sz w:val="20"/>
        </w:rPr>
        <w:t xml:space="preserve"> of Luxembourg</w:t>
      </w:r>
    </w:p>
    <w:p w14:paraId="676C79D8" w14:textId="77777777" w:rsidR="00B91F2A" w:rsidRPr="00E112A1" w:rsidRDefault="00B91F2A" w:rsidP="004D1DBA">
      <w:pPr>
        <w:ind w:left="2268" w:hanging="992"/>
        <w:rPr>
          <w:sz w:val="20"/>
        </w:rPr>
      </w:pPr>
      <w:r>
        <w:rPr>
          <w:sz w:val="20"/>
        </w:rPr>
        <w:t>29</w:t>
      </w:r>
      <w:r w:rsidRPr="00E112A1">
        <w:rPr>
          <w:sz w:val="20"/>
        </w:rPr>
        <w:tab/>
        <w:t>Securities Commission of Malaysia</w:t>
      </w:r>
    </w:p>
    <w:p w14:paraId="478B3433" w14:textId="77777777" w:rsidR="00B91F2A" w:rsidRPr="001B680D" w:rsidRDefault="00B91F2A" w:rsidP="004D1DBA">
      <w:pPr>
        <w:ind w:left="2268" w:hanging="992"/>
        <w:rPr>
          <w:sz w:val="20"/>
        </w:rPr>
      </w:pPr>
      <w:r>
        <w:rPr>
          <w:sz w:val="20"/>
        </w:rPr>
        <w:t>30</w:t>
      </w:r>
      <w:r>
        <w:rPr>
          <w:sz w:val="20"/>
        </w:rPr>
        <w:tab/>
      </w:r>
      <w:r w:rsidRPr="001B680D">
        <w:rPr>
          <w:sz w:val="20"/>
        </w:rPr>
        <w:t>Malta Financial Services Authority</w:t>
      </w:r>
    </w:p>
    <w:p w14:paraId="425E7579" w14:textId="77777777" w:rsidR="00B91F2A" w:rsidRPr="00E112A1" w:rsidRDefault="00B91F2A" w:rsidP="004D1DBA">
      <w:pPr>
        <w:ind w:left="2268" w:hanging="992"/>
        <w:rPr>
          <w:sz w:val="20"/>
        </w:rPr>
      </w:pPr>
      <w:r>
        <w:rPr>
          <w:sz w:val="20"/>
        </w:rPr>
        <w:t>31</w:t>
      </w:r>
      <w:r w:rsidRPr="00E112A1">
        <w:rPr>
          <w:sz w:val="20"/>
        </w:rPr>
        <w:tab/>
      </w:r>
      <w:proofErr w:type="spellStart"/>
      <w:r w:rsidRPr="00E112A1">
        <w:rPr>
          <w:sz w:val="20"/>
        </w:rPr>
        <w:t>Autoriteit</w:t>
      </w:r>
      <w:proofErr w:type="spellEnd"/>
      <w:r w:rsidRPr="00E112A1">
        <w:rPr>
          <w:sz w:val="20"/>
        </w:rPr>
        <w:t xml:space="preserve"> </w:t>
      </w:r>
      <w:proofErr w:type="spellStart"/>
      <w:r w:rsidRPr="00E112A1">
        <w:rPr>
          <w:sz w:val="20"/>
        </w:rPr>
        <w:t>Financiële</w:t>
      </w:r>
      <w:proofErr w:type="spellEnd"/>
      <w:r w:rsidRPr="00E112A1">
        <w:rPr>
          <w:sz w:val="20"/>
        </w:rPr>
        <w:t xml:space="preserve"> </w:t>
      </w:r>
      <w:proofErr w:type="spellStart"/>
      <w:r w:rsidRPr="00E112A1">
        <w:rPr>
          <w:sz w:val="20"/>
        </w:rPr>
        <w:t>Markten</w:t>
      </w:r>
      <w:proofErr w:type="spellEnd"/>
      <w:r w:rsidRPr="00E112A1">
        <w:rPr>
          <w:sz w:val="20"/>
        </w:rPr>
        <w:t xml:space="preserve"> of the Netherlands</w:t>
      </w:r>
    </w:p>
    <w:p w14:paraId="3CCD80D8" w14:textId="77777777" w:rsidR="00B91F2A" w:rsidRPr="001B680D" w:rsidRDefault="00B91F2A" w:rsidP="004D1DBA">
      <w:pPr>
        <w:ind w:left="2268" w:hanging="992"/>
        <w:rPr>
          <w:sz w:val="20"/>
        </w:rPr>
      </w:pPr>
      <w:r>
        <w:rPr>
          <w:sz w:val="20"/>
        </w:rPr>
        <w:t>32</w:t>
      </w:r>
      <w:r>
        <w:rPr>
          <w:sz w:val="20"/>
        </w:rPr>
        <w:tab/>
      </w:r>
      <w:r w:rsidRPr="001B680D">
        <w:rPr>
          <w:sz w:val="20"/>
        </w:rPr>
        <w:t>New Zealand Financial Markets Authority</w:t>
      </w:r>
    </w:p>
    <w:p w14:paraId="32D4A8CC" w14:textId="77777777" w:rsidR="00B91F2A" w:rsidRPr="00405B5F" w:rsidRDefault="00B91F2A" w:rsidP="004D1DBA">
      <w:pPr>
        <w:ind w:left="2268" w:hanging="992"/>
        <w:rPr>
          <w:sz w:val="20"/>
        </w:rPr>
      </w:pPr>
      <w:r w:rsidRPr="00405B5F">
        <w:rPr>
          <w:sz w:val="20"/>
        </w:rPr>
        <w:t>3</w:t>
      </w:r>
      <w:r>
        <w:rPr>
          <w:sz w:val="20"/>
        </w:rPr>
        <w:t>3</w:t>
      </w:r>
      <w:r w:rsidRPr="00405B5F">
        <w:rPr>
          <w:sz w:val="20"/>
        </w:rPr>
        <w:tab/>
      </w:r>
      <w:proofErr w:type="spellStart"/>
      <w:r w:rsidRPr="00405B5F">
        <w:rPr>
          <w:sz w:val="20"/>
        </w:rPr>
        <w:t>Finanstilsynet</w:t>
      </w:r>
      <w:proofErr w:type="spellEnd"/>
      <w:r w:rsidRPr="00405B5F">
        <w:rPr>
          <w:sz w:val="20"/>
        </w:rPr>
        <w:t xml:space="preserve"> of Norway</w:t>
      </w:r>
    </w:p>
    <w:p w14:paraId="235C7B25" w14:textId="77777777" w:rsidR="00B91F2A" w:rsidRDefault="00B91F2A" w:rsidP="004D1DBA">
      <w:pPr>
        <w:ind w:left="2268" w:hanging="992"/>
        <w:rPr>
          <w:sz w:val="20"/>
        </w:rPr>
      </w:pPr>
      <w:r w:rsidRPr="00405B5F">
        <w:rPr>
          <w:sz w:val="20"/>
        </w:rPr>
        <w:t>3</w:t>
      </w:r>
      <w:r>
        <w:rPr>
          <w:sz w:val="20"/>
        </w:rPr>
        <w:t>4</w:t>
      </w:r>
      <w:r w:rsidRPr="00405B5F">
        <w:rPr>
          <w:sz w:val="20"/>
        </w:rPr>
        <w:tab/>
        <w:t>Ontario Securities Commission</w:t>
      </w:r>
    </w:p>
    <w:p w14:paraId="2DECF689" w14:textId="77777777" w:rsidR="00B91F2A" w:rsidRPr="00E112A1" w:rsidRDefault="00B91F2A" w:rsidP="004D1DBA">
      <w:pPr>
        <w:ind w:left="2268" w:hanging="992"/>
        <w:rPr>
          <w:sz w:val="20"/>
        </w:rPr>
      </w:pPr>
      <w:r>
        <w:rPr>
          <w:sz w:val="20"/>
        </w:rPr>
        <w:t>35</w:t>
      </w:r>
      <w:r>
        <w:rPr>
          <w:sz w:val="20"/>
        </w:rPr>
        <w:tab/>
      </w:r>
      <w:r w:rsidRPr="00E112A1">
        <w:rPr>
          <w:sz w:val="20"/>
        </w:rPr>
        <w:t>Securities and Exchange Commission of Pakistan</w:t>
      </w:r>
    </w:p>
    <w:p w14:paraId="76BAB32B" w14:textId="77777777" w:rsidR="00B91F2A" w:rsidRPr="00405B5F" w:rsidRDefault="00B91F2A" w:rsidP="004D1DBA">
      <w:pPr>
        <w:ind w:left="2268" w:hanging="992"/>
        <w:rPr>
          <w:sz w:val="20"/>
        </w:rPr>
      </w:pPr>
      <w:r w:rsidRPr="00405B5F">
        <w:rPr>
          <w:sz w:val="20"/>
        </w:rPr>
        <w:t>3</w:t>
      </w:r>
      <w:r>
        <w:rPr>
          <w:sz w:val="20"/>
        </w:rPr>
        <w:t>6</w:t>
      </w:r>
      <w:r w:rsidRPr="00405B5F">
        <w:rPr>
          <w:sz w:val="20"/>
        </w:rPr>
        <w:tab/>
        <w:t>Polish Financial Supervision Authority</w:t>
      </w:r>
    </w:p>
    <w:p w14:paraId="73786ACF" w14:textId="77777777" w:rsidR="00B91F2A" w:rsidRPr="001B680D" w:rsidRDefault="00B91F2A" w:rsidP="004D1DBA">
      <w:pPr>
        <w:ind w:left="2268" w:hanging="992"/>
        <w:rPr>
          <w:sz w:val="20"/>
        </w:rPr>
      </w:pPr>
      <w:r w:rsidRPr="00405B5F">
        <w:rPr>
          <w:sz w:val="20"/>
        </w:rPr>
        <w:t>3</w:t>
      </w:r>
      <w:r>
        <w:rPr>
          <w:sz w:val="20"/>
        </w:rPr>
        <w:t>7</w:t>
      </w:r>
      <w:r>
        <w:rPr>
          <w:b/>
          <w:sz w:val="20"/>
        </w:rPr>
        <w:tab/>
      </w:r>
      <w:proofErr w:type="spellStart"/>
      <w:r w:rsidRPr="001B680D">
        <w:rPr>
          <w:sz w:val="20"/>
        </w:rPr>
        <w:t>Comissão</w:t>
      </w:r>
      <w:proofErr w:type="spellEnd"/>
      <w:r w:rsidRPr="001B680D">
        <w:rPr>
          <w:sz w:val="20"/>
        </w:rPr>
        <w:t xml:space="preserve"> do Mercado de </w:t>
      </w:r>
      <w:proofErr w:type="spellStart"/>
      <w:r w:rsidRPr="001B680D">
        <w:rPr>
          <w:sz w:val="20"/>
        </w:rPr>
        <w:t>Valores</w:t>
      </w:r>
      <w:proofErr w:type="spellEnd"/>
      <w:r w:rsidRPr="001B680D">
        <w:rPr>
          <w:sz w:val="20"/>
        </w:rPr>
        <w:t xml:space="preserve"> </w:t>
      </w:r>
      <w:proofErr w:type="spellStart"/>
      <w:r w:rsidRPr="001B680D">
        <w:rPr>
          <w:sz w:val="20"/>
        </w:rPr>
        <w:t>Mobiliários</w:t>
      </w:r>
      <w:proofErr w:type="spellEnd"/>
      <w:r>
        <w:rPr>
          <w:sz w:val="20"/>
        </w:rPr>
        <w:t xml:space="preserve"> of Portugal</w:t>
      </w:r>
    </w:p>
    <w:p w14:paraId="6DA68081" w14:textId="77777777" w:rsidR="00B91F2A" w:rsidRPr="001B680D" w:rsidRDefault="00B91F2A" w:rsidP="004D1DBA">
      <w:pPr>
        <w:ind w:left="2268" w:hanging="992"/>
        <w:rPr>
          <w:sz w:val="20"/>
        </w:rPr>
      </w:pPr>
      <w:r>
        <w:rPr>
          <w:sz w:val="20"/>
        </w:rPr>
        <w:t>38</w:t>
      </w:r>
      <w:r>
        <w:rPr>
          <w:sz w:val="20"/>
        </w:rPr>
        <w:tab/>
      </w:r>
      <w:r w:rsidRPr="001B680D">
        <w:rPr>
          <w:sz w:val="20"/>
        </w:rPr>
        <w:t xml:space="preserve">Quebec </w:t>
      </w:r>
      <w:proofErr w:type="spellStart"/>
      <w:r w:rsidRPr="001B680D">
        <w:rPr>
          <w:sz w:val="20"/>
        </w:rPr>
        <w:t>Autorité</w:t>
      </w:r>
      <w:proofErr w:type="spellEnd"/>
      <w:r w:rsidRPr="001B680D">
        <w:rPr>
          <w:sz w:val="20"/>
        </w:rPr>
        <w:t xml:space="preserve"> des </w:t>
      </w:r>
      <w:proofErr w:type="spellStart"/>
      <w:r w:rsidRPr="001B680D">
        <w:rPr>
          <w:sz w:val="20"/>
        </w:rPr>
        <w:t>Marchés</w:t>
      </w:r>
      <w:proofErr w:type="spellEnd"/>
      <w:r w:rsidRPr="001B680D">
        <w:rPr>
          <w:sz w:val="20"/>
        </w:rPr>
        <w:t xml:space="preserve"> Financiers</w:t>
      </w:r>
    </w:p>
    <w:p w14:paraId="279CD811" w14:textId="77777777" w:rsidR="00B91F2A" w:rsidRPr="001B680D" w:rsidRDefault="00B91F2A" w:rsidP="004D1DBA">
      <w:pPr>
        <w:ind w:left="2268" w:hanging="992"/>
        <w:rPr>
          <w:sz w:val="20"/>
        </w:rPr>
      </w:pPr>
      <w:r>
        <w:rPr>
          <w:sz w:val="20"/>
        </w:rPr>
        <w:t>39</w:t>
      </w:r>
      <w:r>
        <w:rPr>
          <w:sz w:val="20"/>
        </w:rPr>
        <w:tab/>
      </w:r>
      <w:r w:rsidRPr="001B680D">
        <w:rPr>
          <w:sz w:val="20"/>
        </w:rPr>
        <w:t>Romanian National Securities Commission</w:t>
      </w:r>
    </w:p>
    <w:p w14:paraId="4719B9C0" w14:textId="77777777" w:rsidR="00B91F2A" w:rsidRPr="00E112A1" w:rsidRDefault="00B91F2A" w:rsidP="004D1DBA">
      <w:pPr>
        <w:ind w:left="2268" w:hanging="992"/>
        <w:rPr>
          <w:sz w:val="20"/>
        </w:rPr>
      </w:pPr>
      <w:r>
        <w:rPr>
          <w:sz w:val="20"/>
        </w:rPr>
        <w:t>40</w:t>
      </w:r>
      <w:r w:rsidRPr="00E112A1">
        <w:rPr>
          <w:sz w:val="20"/>
        </w:rPr>
        <w:tab/>
        <w:t>The Monetary Authority of Singapore</w:t>
      </w:r>
    </w:p>
    <w:p w14:paraId="40F7CFB8" w14:textId="77777777" w:rsidR="00B91F2A" w:rsidRPr="00E112A1" w:rsidRDefault="00B91F2A" w:rsidP="004D1DBA">
      <w:pPr>
        <w:ind w:left="2268" w:hanging="992"/>
        <w:rPr>
          <w:sz w:val="20"/>
        </w:rPr>
      </w:pPr>
      <w:r>
        <w:rPr>
          <w:sz w:val="20"/>
        </w:rPr>
        <w:t>41</w:t>
      </w:r>
      <w:r>
        <w:rPr>
          <w:sz w:val="20"/>
        </w:rPr>
        <w:tab/>
      </w:r>
      <w:proofErr w:type="spellStart"/>
      <w:r w:rsidRPr="00E112A1">
        <w:rPr>
          <w:sz w:val="20"/>
        </w:rPr>
        <w:t>Národná</w:t>
      </w:r>
      <w:proofErr w:type="spellEnd"/>
      <w:r w:rsidRPr="00E112A1">
        <w:rPr>
          <w:sz w:val="20"/>
        </w:rPr>
        <w:t xml:space="preserve"> </w:t>
      </w:r>
      <w:proofErr w:type="spellStart"/>
      <w:r w:rsidRPr="00E112A1">
        <w:rPr>
          <w:sz w:val="20"/>
        </w:rPr>
        <w:t>banka</w:t>
      </w:r>
      <w:proofErr w:type="spellEnd"/>
      <w:r w:rsidRPr="00E112A1">
        <w:rPr>
          <w:sz w:val="20"/>
        </w:rPr>
        <w:t xml:space="preserve"> </w:t>
      </w:r>
      <w:proofErr w:type="spellStart"/>
      <w:r w:rsidRPr="00E112A1">
        <w:rPr>
          <w:sz w:val="20"/>
        </w:rPr>
        <w:t>Slovenska</w:t>
      </w:r>
      <w:proofErr w:type="spellEnd"/>
    </w:p>
    <w:p w14:paraId="7DE89EEE" w14:textId="77777777" w:rsidR="00B91F2A" w:rsidRPr="00E112A1" w:rsidRDefault="00B91F2A" w:rsidP="004D1DBA">
      <w:pPr>
        <w:ind w:left="2268" w:hanging="992"/>
        <w:rPr>
          <w:sz w:val="20"/>
        </w:rPr>
      </w:pPr>
      <w:r>
        <w:rPr>
          <w:sz w:val="20"/>
        </w:rPr>
        <w:t>42</w:t>
      </w:r>
      <w:r>
        <w:rPr>
          <w:sz w:val="20"/>
        </w:rPr>
        <w:tab/>
      </w:r>
      <w:r w:rsidRPr="00E112A1">
        <w:rPr>
          <w:sz w:val="20"/>
        </w:rPr>
        <w:t>Financial Services Board of the Republic of South Africa</w:t>
      </w:r>
    </w:p>
    <w:p w14:paraId="60260F8A" w14:textId="77777777" w:rsidR="00B91F2A" w:rsidRPr="00405B5F" w:rsidRDefault="00B91F2A" w:rsidP="004D1DBA">
      <w:pPr>
        <w:ind w:left="2268" w:hanging="992"/>
        <w:rPr>
          <w:sz w:val="20"/>
        </w:rPr>
      </w:pPr>
      <w:r w:rsidRPr="00405B5F">
        <w:rPr>
          <w:sz w:val="20"/>
        </w:rPr>
        <w:t>4</w:t>
      </w:r>
      <w:r>
        <w:rPr>
          <w:sz w:val="20"/>
        </w:rPr>
        <w:t>3</w:t>
      </w:r>
      <w:r w:rsidRPr="00405B5F">
        <w:rPr>
          <w:sz w:val="20"/>
        </w:rPr>
        <w:tab/>
      </w:r>
      <w:proofErr w:type="spellStart"/>
      <w:r w:rsidRPr="00405B5F">
        <w:rPr>
          <w:sz w:val="20"/>
        </w:rPr>
        <w:t>Comisión</w:t>
      </w:r>
      <w:proofErr w:type="spellEnd"/>
      <w:r w:rsidRPr="00405B5F">
        <w:rPr>
          <w:sz w:val="20"/>
        </w:rPr>
        <w:t xml:space="preserve"> Nacional del Mercado de </w:t>
      </w:r>
      <w:proofErr w:type="spellStart"/>
      <w:r w:rsidRPr="00405B5F">
        <w:rPr>
          <w:sz w:val="20"/>
        </w:rPr>
        <w:t>Valores</w:t>
      </w:r>
      <w:proofErr w:type="spellEnd"/>
      <w:r w:rsidRPr="00405B5F">
        <w:rPr>
          <w:sz w:val="20"/>
        </w:rPr>
        <w:t xml:space="preserve"> of Spain</w:t>
      </w:r>
    </w:p>
    <w:p w14:paraId="2F2EFD5F" w14:textId="77777777" w:rsidR="00B91F2A" w:rsidRPr="00405B5F" w:rsidRDefault="00B91F2A" w:rsidP="004D1DBA">
      <w:pPr>
        <w:ind w:left="2268" w:hanging="992"/>
        <w:rPr>
          <w:sz w:val="20"/>
        </w:rPr>
      </w:pPr>
      <w:r w:rsidRPr="00405B5F">
        <w:rPr>
          <w:sz w:val="20"/>
        </w:rPr>
        <w:t>4</w:t>
      </w:r>
      <w:r>
        <w:rPr>
          <w:sz w:val="20"/>
        </w:rPr>
        <w:t>4</w:t>
      </w:r>
      <w:r w:rsidRPr="00405B5F">
        <w:rPr>
          <w:sz w:val="20"/>
        </w:rPr>
        <w:tab/>
      </w:r>
      <w:proofErr w:type="spellStart"/>
      <w:r w:rsidRPr="00405B5F">
        <w:rPr>
          <w:sz w:val="20"/>
        </w:rPr>
        <w:t>Finansinspektionen</w:t>
      </w:r>
      <w:proofErr w:type="spellEnd"/>
      <w:r w:rsidRPr="00405B5F">
        <w:rPr>
          <w:sz w:val="20"/>
        </w:rPr>
        <w:t xml:space="preserve"> of Sweden</w:t>
      </w:r>
    </w:p>
    <w:p w14:paraId="38BAEFFE" w14:textId="77777777" w:rsidR="00B91F2A" w:rsidRPr="00405B5F" w:rsidRDefault="00B91F2A" w:rsidP="004D1DBA">
      <w:pPr>
        <w:ind w:left="2268" w:hanging="992"/>
        <w:rPr>
          <w:sz w:val="20"/>
        </w:rPr>
      </w:pPr>
      <w:r w:rsidRPr="00405B5F">
        <w:rPr>
          <w:sz w:val="20"/>
        </w:rPr>
        <w:t>45</w:t>
      </w:r>
      <w:r w:rsidRPr="00405B5F">
        <w:rPr>
          <w:sz w:val="20"/>
        </w:rPr>
        <w:tab/>
        <w:t>Securities Commodities Authority of the United Arab Emirates</w:t>
      </w:r>
    </w:p>
    <w:p w14:paraId="7695ABE0" w14:textId="77777777" w:rsidR="00B91F2A" w:rsidRDefault="00B91F2A" w:rsidP="004D1DBA">
      <w:pPr>
        <w:ind w:left="2268" w:hanging="992"/>
        <w:rPr>
          <w:sz w:val="20"/>
        </w:rPr>
      </w:pPr>
      <w:r>
        <w:rPr>
          <w:sz w:val="20"/>
        </w:rPr>
        <w:t>46</w:t>
      </w:r>
      <w:r>
        <w:rPr>
          <w:sz w:val="20"/>
        </w:rPr>
        <w:tab/>
      </w:r>
      <w:r w:rsidRPr="00405B5F">
        <w:rPr>
          <w:sz w:val="20"/>
        </w:rPr>
        <w:t>Financial Conduct Authority of the United Kingdom</w:t>
      </w:r>
    </w:p>
    <w:p w14:paraId="66EFB0F3" w14:textId="77777777" w:rsidR="00B91F2A" w:rsidRPr="00405B5F" w:rsidRDefault="00B91F2A" w:rsidP="004D1DBA">
      <w:pPr>
        <w:ind w:left="2268" w:hanging="992"/>
        <w:rPr>
          <w:sz w:val="20"/>
        </w:rPr>
      </w:pPr>
      <w:r w:rsidRPr="005E0AC9">
        <w:rPr>
          <w:sz w:val="20"/>
        </w:rPr>
        <w:t>4</w:t>
      </w:r>
      <w:r>
        <w:rPr>
          <w:sz w:val="20"/>
        </w:rPr>
        <w:t>7</w:t>
      </w:r>
      <w:r w:rsidRPr="005E0AC9">
        <w:rPr>
          <w:sz w:val="20"/>
        </w:rPr>
        <w:tab/>
        <w:t>U.S. Securities and Exchange Commission</w:t>
      </w:r>
    </w:p>
    <w:p w14:paraId="14644ECB" w14:textId="177021CA" w:rsidR="00B91F2A" w:rsidRDefault="00B91F2A" w:rsidP="004D1DBA">
      <w:pPr>
        <w:pStyle w:val="aheade"/>
        <w:ind w:left="2268" w:right="-113" w:hanging="992"/>
        <w:rPr>
          <w:lang w:val="en-US"/>
        </w:rPr>
      </w:pPr>
      <w:r w:rsidRPr="00183D5D">
        <w:rPr>
          <w:sz w:val="20"/>
        </w:rPr>
        <w:t>_____________________________________________________________</w:t>
      </w:r>
      <w:r w:rsidRPr="006A4571">
        <w:rPr>
          <w:b w:val="0"/>
        </w:rPr>
        <w:t>.</w:t>
      </w:r>
      <w:r w:rsidR="004D1DBA">
        <w:rPr>
          <w:b w:val="0"/>
        </w:rPr>
        <w:t>”</w:t>
      </w:r>
      <w:r w:rsidRPr="006A4571">
        <w:rPr>
          <w:b w:val="0"/>
        </w:rPr>
        <w:t>.</w:t>
      </w:r>
    </w:p>
    <w:p w14:paraId="672F8687" w14:textId="4A65B8FA" w:rsidR="00012EE0" w:rsidRPr="008066D7" w:rsidRDefault="00EE5042" w:rsidP="008066D7">
      <w:pPr>
        <w:pStyle w:val="LI-Heading2"/>
        <w:rPr>
          <w:szCs w:val="24"/>
        </w:rPr>
      </w:pPr>
      <w:bookmarkStart w:id="19" w:name="_Toc105600758"/>
      <w:bookmarkStart w:id="20" w:name="_Toc87120682"/>
      <w:r>
        <w:t>6</w:t>
      </w:r>
      <w:r w:rsidR="00012EE0">
        <w:rPr>
          <w:szCs w:val="24"/>
        </w:rPr>
        <w:tab/>
      </w:r>
      <w:r w:rsidR="00012EE0">
        <w:t>R</w:t>
      </w:r>
      <w:r w:rsidR="00012EE0" w:rsidRPr="00CB0151">
        <w:t>egulated acquisitions through certain superannuation funds</w:t>
      </w:r>
      <w:bookmarkEnd w:id="19"/>
    </w:p>
    <w:p w14:paraId="2548DF82" w14:textId="77777777" w:rsidR="00012EE0" w:rsidRPr="00CB0151" w:rsidRDefault="00012EE0" w:rsidP="00012EE0">
      <w:pPr>
        <w:pStyle w:val="LI-BodyTextNumbered"/>
        <w:ind w:left="567" w:firstLine="0"/>
        <w:rPr>
          <w:b/>
          <w:lang w:val="en"/>
        </w:rPr>
      </w:pPr>
      <w:r w:rsidRPr="00CB0151">
        <w:rPr>
          <w:lang w:val="en"/>
        </w:rPr>
        <w:t xml:space="preserve">Part 7.9 of the Act applies </w:t>
      </w:r>
      <w:r>
        <w:rPr>
          <w:lang w:val="en"/>
        </w:rPr>
        <w:t>in relation to a trustee of a superannuation entity</w:t>
      </w:r>
      <w:r w:rsidRPr="00F36CCF">
        <w:rPr>
          <w:lang w:val="en"/>
        </w:rPr>
        <w:t xml:space="preserve"> </w:t>
      </w:r>
      <w:r>
        <w:rPr>
          <w:lang w:val="en"/>
        </w:rPr>
        <w:t xml:space="preserve">as if </w:t>
      </w:r>
      <w:r w:rsidRPr="00CB0151">
        <w:rPr>
          <w:lang w:val="en"/>
        </w:rPr>
        <w:t xml:space="preserve">provisions in that Part were modified or varied </w:t>
      </w:r>
      <w:r>
        <w:rPr>
          <w:lang w:val="en"/>
        </w:rPr>
        <w:t>as follows</w:t>
      </w:r>
      <w:r w:rsidRPr="00CB0151">
        <w:rPr>
          <w:lang w:val="en"/>
        </w:rPr>
        <w:t>:</w:t>
      </w:r>
    </w:p>
    <w:p w14:paraId="77B3385E" w14:textId="6275EF90" w:rsidR="00012EE0" w:rsidRPr="00CB0151" w:rsidRDefault="00012EE0" w:rsidP="00012EE0">
      <w:pPr>
        <w:pStyle w:val="LI-BodyTextNumbered"/>
      </w:pPr>
      <w:r w:rsidRPr="00CB0151">
        <w:t>(</w:t>
      </w:r>
      <w:r>
        <w:t>a</w:t>
      </w:r>
      <w:r w:rsidRPr="00CB0151">
        <w:t>)</w:t>
      </w:r>
      <w:r w:rsidRPr="00CB0151">
        <w:tab/>
        <w:t>after section 1011B</w:t>
      </w:r>
      <w:r w:rsidR="00E81CE0">
        <w:t>,</w:t>
      </w:r>
      <w:r w:rsidRPr="00CB0151">
        <w:t xml:space="preserve"> insert:</w:t>
      </w:r>
    </w:p>
    <w:p w14:paraId="31866C8E" w14:textId="77777777" w:rsidR="00012EE0" w:rsidRPr="00293509" w:rsidRDefault="00012EE0" w:rsidP="00012EE0">
      <w:pPr>
        <w:pStyle w:val="LI-BodyTextSubparai"/>
        <w:ind w:left="2694" w:hanging="993"/>
        <w:rPr>
          <w:b/>
          <w:bCs/>
          <w:lang w:val="en-US"/>
        </w:rPr>
      </w:pPr>
      <w:r w:rsidRPr="00CB0151">
        <w:rPr>
          <w:lang w:val="en-US"/>
        </w:rPr>
        <w:t>“</w:t>
      </w:r>
      <w:r w:rsidRPr="00293509">
        <w:rPr>
          <w:b/>
          <w:bCs/>
          <w:lang w:val="en-US"/>
        </w:rPr>
        <w:t>1011BA</w:t>
      </w:r>
      <w:r w:rsidRPr="00293509">
        <w:rPr>
          <w:b/>
          <w:bCs/>
          <w:lang w:val="en-US"/>
        </w:rPr>
        <w:tab/>
      </w:r>
      <w:bookmarkStart w:id="21" w:name="_Hlk87787920"/>
      <w:r w:rsidRPr="00293509">
        <w:rPr>
          <w:b/>
          <w:bCs/>
          <w:lang w:val="en-US"/>
        </w:rPr>
        <w:t>Definitions relating to regulated acquisitions of financial products by superannuation trustees</w:t>
      </w:r>
    </w:p>
    <w:bookmarkEnd w:id="21"/>
    <w:p w14:paraId="0CFF478D" w14:textId="77777777" w:rsidR="00012EE0" w:rsidRPr="00CB0151" w:rsidRDefault="00012EE0" w:rsidP="00012EE0">
      <w:pPr>
        <w:pStyle w:val="LI-BodyTextSubparai"/>
        <w:rPr>
          <w:lang w:val="en-US"/>
        </w:rPr>
      </w:pPr>
      <w:r w:rsidRPr="00CB0151">
        <w:rPr>
          <w:lang w:val="en-US"/>
        </w:rPr>
        <w:t>In this Division and section 1017CA:</w:t>
      </w:r>
    </w:p>
    <w:p w14:paraId="38689609" w14:textId="77777777" w:rsidR="00012EE0" w:rsidRDefault="00012EE0" w:rsidP="00012EE0">
      <w:pPr>
        <w:pStyle w:val="LI-BodyTextSubparai"/>
        <w:ind w:left="1701" w:firstLine="0"/>
        <w:rPr>
          <w:lang w:val="en-US"/>
        </w:rPr>
      </w:pPr>
      <w:r w:rsidRPr="00293509">
        <w:rPr>
          <w:b/>
          <w:bCs/>
          <w:i/>
          <w:iCs/>
          <w:lang w:val="en-US"/>
        </w:rPr>
        <w:t>accessible financial product</w:t>
      </w:r>
      <w:r w:rsidRPr="00CB0151">
        <w:rPr>
          <w:i/>
          <w:iCs/>
          <w:lang w:val="en-US"/>
        </w:rPr>
        <w:t xml:space="preserve"> </w:t>
      </w:r>
      <w:r w:rsidRPr="00CB0151">
        <w:rPr>
          <w:lang w:val="en-US"/>
        </w:rPr>
        <w:t xml:space="preserve">has the meaning given </w:t>
      </w:r>
      <w:r>
        <w:rPr>
          <w:lang w:val="en-US"/>
        </w:rPr>
        <w:t>by</w:t>
      </w:r>
      <w:r w:rsidRPr="00CB0151">
        <w:rPr>
          <w:lang w:val="en-US"/>
        </w:rPr>
        <w:t xml:space="preserve"> section 1013FB.</w:t>
      </w:r>
    </w:p>
    <w:p w14:paraId="1F509862" w14:textId="77777777" w:rsidR="00012EE0" w:rsidRDefault="00012EE0" w:rsidP="00012EE0">
      <w:pPr>
        <w:pStyle w:val="LI-BodyTextSubparai"/>
        <w:ind w:left="1701" w:firstLine="0"/>
        <w:rPr>
          <w:lang w:val="en-US"/>
        </w:rPr>
      </w:pPr>
      <w:r w:rsidRPr="00293509">
        <w:rPr>
          <w:b/>
          <w:bCs/>
          <w:i/>
          <w:iCs/>
          <w:lang w:val="en-US"/>
        </w:rPr>
        <w:t>additional acquisition</w:t>
      </w:r>
      <w:r w:rsidRPr="00CB0151">
        <w:rPr>
          <w:i/>
          <w:iCs/>
          <w:lang w:val="en-US"/>
        </w:rPr>
        <w:t xml:space="preserve"> </w:t>
      </w:r>
      <w:r w:rsidRPr="00CB0151">
        <w:rPr>
          <w:lang w:val="en-US"/>
        </w:rPr>
        <w:t xml:space="preserve">has the meaning given </w:t>
      </w:r>
      <w:r>
        <w:rPr>
          <w:lang w:val="en-US"/>
        </w:rPr>
        <w:t>by</w:t>
      </w:r>
      <w:r w:rsidRPr="00CB0151">
        <w:rPr>
          <w:lang w:val="en-US"/>
        </w:rPr>
        <w:t xml:space="preserve"> subsection 1012IA(1).</w:t>
      </w:r>
    </w:p>
    <w:p w14:paraId="71F2BB85" w14:textId="77777777" w:rsidR="00012EE0" w:rsidRDefault="00012EE0" w:rsidP="00012EE0">
      <w:pPr>
        <w:pStyle w:val="LI-BodyTextSubparai"/>
        <w:ind w:left="1701" w:firstLine="0"/>
        <w:rPr>
          <w:lang w:val="en-US"/>
        </w:rPr>
      </w:pPr>
      <w:r w:rsidRPr="00293509">
        <w:rPr>
          <w:b/>
          <w:bCs/>
          <w:i/>
          <w:iCs/>
          <w:lang w:val="en-US"/>
        </w:rPr>
        <w:lastRenderedPageBreak/>
        <w:t>equivalent direct acquisition</w:t>
      </w:r>
      <w:r w:rsidRPr="00CB0151">
        <w:rPr>
          <w:i/>
          <w:iCs/>
          <w:lang w:val="en-US"/>
        </w:rPr>
        <w:t xml:space="preserve"> </w:t>
      </w:r>
      <w:r w:rsidRPr="00CB0151">
        <w:rPr>
          <w:lang w:val="en-US"/>
        </w:rPr>
        <w:t xml:space="preserve">has the meaning given </w:t>
      </w:r>
      <w:r>
        <w:rPr>
          <w:lang w:val="en-US"/>
        </w:rPr>
        <w:t>by</w:t>
      </w:r>
      <w:r w:rsidRPr="00CB0151">
        <w:rPr>
          <w:lang w:val="en-US"/>
        </w:rPr>
        <w:t xml:space="preserve"> subsection</w:t>
      </w:r>
      <w:r>
        <w:rPr>
          <w:lang w:val="en-US"/>
        </w:rPr>
        <w:t> </w:t>
      </w:r>
      <w:r w:rsidRPr="00CB0151">
        <w:rPr>
          <w:lang w:val="en-US"/>
        </w:rPr>
        <w:t>1012IA(2).</w:t>
      </w:r>
    </w:p>
    <w:p w14:paraId="0810C7F1" w14:textId="77777777" w:rsidR="00012EE0" w:rsidRDefault="00012EE0" w:rsidP="00012EE0">
      <w:pPr>
        <w:pStyle w:val="LI-BodyTextSubparai"/>
        <w:ind w:left="1701" w:firstLine="0"/>
        <w:rPr>
          <w:lang w:val="en-US"/>
        </w:rPr>
      </w:pPr>
      <w:r w:rsidRPr="00293509">
        <w:rPr>
          <w:b/>
          <w:bCs/>
          <w:lang w:val="en-US"/>
        </w:rPr>
        <w:t xml:space="preserve"> </w:t>
      </w:r>
      <w:r w:rsidRPr="00293509">
        <w:rPr>
          <w:b/>
          <w:bCs/>
          <w:i/>
          <w:iCs/>
          <w:lang w:val="en-US"/>
        </w:rPr>
        <w:t>regulated acquisition</w:t>
      </w:r>
      <w:r w:rsidRPr="00CB0151">
        <w:rPr>
          <w:lang w:val="en-US"/>
        </w:rPr>
        <w:t xml:space="preserve"> has the meaning given </w:t>
      </w:r>
      <w:r>
        <w:rPr>
          <w:lang w:val="en-US"/>
        </w:rPr>
        <w:t>by</w:t>
      </w:r>
      <w:r w:rsidRPr="00CB0151">
        <w:rPr>
          <w:lang w:val="en-US"/>
        </w:rPr>
        <w:t xml:space="preserve"> </w:t>
      </w:r>
      <w:r>
        <w:rPr>
          <w:lang w:val="en-US"/>
        </w:rPr>
        <w:t>sub</w:t>
      </w:r>
      <w:r w:rsidRPr="00CB0151">
        <w:rPr>
          <w:lang w:val="en-US"/>
        </w:rPr>
        <w:t>section 1012IA</w:t>
      </w:r>
      <w:r>
        <w:rPr>
          <w:lang w:val="en-US"/>
        </w:rPr>
        <w:t>(1)</w:t>
      </w:r>
      <w:r w:rsidRPr="00CB0151">
        <w:rPr>
          <w:lang w:val="en-US"/>
        </w:rPr>
        <w:t>.</w:t>
      </w:r>
      <w:proofErr w:type="gramStart"/>
      <w:r>
        <w:rPr>
          <w:lang w:val="en-US"/>
        </w:rPr>
        <w:t>”;</w:t>
      </w:r>
      <w:proofErr w:type="gramEnd"/>
    </w:p>
    <w:p w14:paraId="06D32E50" w14:textId="77777777" w:rsidR="00012EE0" w:rsidRDefault="00012EE0" w:rsidP="00012EE0">
      <w:pPr>
        <w:pStyle w:val="LI-BodyTextNumbered"/>
        <w:rPr>
          <w:lang w:val="en"/>
        </w:rPr>
      </w:pPr>
      <w:r w:rsidRPr="00CB0151">
        <w:rPr>
          <w:lang w:val="en"/>
        </w:rPr>
        <w:t>(</w:t>
      </w:r>
      <w:r>
        <w:rPr>
          <w:lang w:val="en"/>
        </w:rPr>
        <w:t>b</w:t>
      </w:r>
      <w:r w:rsidRPr="00CB0151">
        <w:rPr>
          <w:lang w:val="en"/>
        </w:rPr>
        <w:t>)</w:t>
      </w:r>
      <w:r w:rsidRPr="00CB0151">
        <w:rPr>
          <w:lang w:val="en"/>
        </w:rPr>
        <w:tab/>
        <w:t xml:space="preserve">in </w:t>
      </w:r>
      <w:r>
        <w:rPr>
          <w:lang w:val="en"/>
        </w:rPr>
        <w:t>section 1012IA:</w:t>
      </w:r>
    </w:p>
    <w:p w14:paraId="6EA46AA8" w14:textId="77777777" w:rsidR="00012EE0" w:rsidRPr="00CB0151" w:rsidRDefault="00012EE0" w:rsidP="00CD64D2">
      <w:pPr>
        <w:pStyle w:val="LI-BodyTextSubparai"/>
        <w:spacing w:before="200"/>
        <w:ind w:left="1701"/>
        <w:rPr>
          <w:lang w:val="en"/>
        </w:rPr>
      </w:pPr>
      <w:r>
        <w:rPr>
          <w:lang w:val="en"/>
        </w:rPr>
        <w:t>(</w:t>
      </w:r>
      <w:proofErr w:type="spellStart"/>
      <w:r>
        <w:rPr>
          <w:lang w:val="en"/>
        </w:rPr>
        <w:t>i</w:t>
      </w:r>
      <w:proofErr w:type="spellEnd"/>
      <w:r>
        <w:rPr>
          <w:lang w:val="en"/>
        </w:rPr>
        <w:t>)</w:t>
      </w:r>
      <w:r>
        <w:rPr>
          <w:lang w:val="en"/>
        </w:rPr>
        <w:tab/>
        <w:t xml:space="preserve">in </w:t>
      </w:r>
      <w:r w:rsidRPr="00CB0151">
        <w:rPr>
          <w:lang w:val="en"/>
        </w:rPr>
        <w:t xml:space="preserve">subsection (1), after the definition of </w:t>
      </w:r>
      <w:r w:rsidRPr="00CB0151">
        <w:rPr>
          <w:b/>
          <w:i/>
          <w:iCs/>
          <w:lang w:val="en"/>
        </w:rPr>
        <w:t>acquirer</w:t>
      </w:r>
      <w:r w:rsidRPr="00CB0151">
        <w:rPr>
          <w:lang w:val="en"/>
        </w:rPr>
        <w:t>, insert:</w:t>
      </w:r>
    </w:p>
    <w:p w14:paraId="349CA6B1" w14:textId="77777777" w:rsidR="00012EE0" w:rsidRPr="00CB0151" w:rsidRDefault="00012EE0" w:rsidP="00CD64D2">
      <w:pPr>
        <w:pStyle w:val="LI-BodyTextSubparai"/>
        <w:spacing w:before="200"/>
        <w:ind w:left="1701" w:firstLine="0"/>
        <w:rPr>
          <w:lang w:val="en"/>
        </w:rPr>
      </w:pPr>
      <w:r w:rsidRPr="009D023A">
        <w:rPr>
          <w:bCs/>
          <w:lang w:val="en"/>
        </w:rPr>
        <w:t>“</w:t>
      </w:r>
      <w:r>
        <w:rPr>
          <w:b/>
          <w:bCs/>
          <w:i/>
          <w:lang w:val="en"/>
        </w:rPr>
        <w:t>additional acquisition</w:t>
      </w:r>
      <w:r w:rsidRPr="00CB0151">
        <w:rPr>
          <w:lang w:val="en"/>
        </w:rPr>
        <w:t xml:space="preserve">, in relation to </w:t>
      </w:r>
      <w:r>
        <w:rPr>
          <w:lang w:val="en"/>
        </w:rPr>
        <w:t xml:space="preserve">a regulated acquisition of a financial product by a provider who is a trustee of a superannuation entity (or another person with whom the provider has an arrangement) in relation to </w:t>
      </w:r>
      <w:r w:rsidRPr="00CB0151">
        <w:rPr>
          <w:lang w:val="en"/>
        </w:rPr>
        <w:t xml:space="preserve">a client, </w:t>
      </w:r>
      <w:r>
        <w:rPr>
          <w:lang w:val="en"/>
        </w:rPr>
        <w:t xml:space="preserve">means </w:t>
      </w:r>
      <w:r w:rsidRPr="00CB0151">
        <w:rPr>
          <w:lang w:val="en"/>
        </w:rPr>
        <w:t xml:space="preserve">a regulated acquisition of </w:t>
      </w:r>
      <w:r>
        <w:rPr>
          <w:lang w:val="en"/>
        </w:rPr>
        <w:t>the</w:t>
      </w:r>
      <w:r w:rsidRPr="00CB0151">
        <w:rPr>
          <w:lang w:val="en"/>
        </w:rPr>
        <w:t xml:space="preserve"> financial product at a time when the provider </w:t>
      </w:r>
      <w:r>
        <w:rPr>
          <w:lang w:val="en"/>
        </w:rPr>
        <w:t xml:space="preserve">(or other person) </w:t>
      </w:r>
      <w:r w:rsidRPr="00CB0151">
        <w:rPr>
          <w:lang w:val="en"/>
        </w:rPr>
        <w:t>is already holding a financial product of the same kind as a result of an instruction given by the client.”; and</w:t>
      </w:r>
    </w:p>
    <w:p w14:paraId="78B3B149" w14:textId="3A1C0D4A" w:rsidR="00012EE0" w:rsidRPr="00CB0151" w:rsidRDefault="00012EE0" w:rsidP="00CD64D2">
      <w:pPr>
        <w:pStyle w:val="LI-BodyTextSubparai"/>
        <w:spacing w:before="200"/>
        <w:ind w:left="1701"/>
        <w:rPr>
          <w:lang w:val="en"/>
        </w:rPr>
      </w:pPr>
      <w:r w:rsidRPr="00CB0151">
        <w:rPr>
          <w:lang w:val="en"/>
        </w:rPr>
        <w:t>(</w:t>
      </w:r>
      <w:r>
        <w:rPr>
          <w:lang w:val="en"/>
        </w:rPr>
        <w:t>ii</w:t>
      </w:r>
      <w:r w:rsidRPr="00CB0151">
        <w:rPr>
          <w:lang w:val="en"/>
        </w:rPr>
        <w:t>)</w:t>
      </w:r>
      <w:r w:rsidRPr="00CB0151">
        <w:rPr>
          <w:lang w:val="en"/>
        </w:rPr>
        <w:tab/>
        <w:t>after subsection (2)</w:t>
      </w:r>
      <w:r w:rsidR="00B12764">
        <w:rPr>
          <w:lang w:val="en"/>
        </w:rPr>
        <w:t>,</w:t>
      </w:r>
      <w:r>
        <w:rPr>
          <w:lang w:val="en"/>
        </w:rPr>
        <w:t xml:space="preserve"> </w:t>
      </w:r>
      <w:r w:rsidRPr="00CB0151">
        <w:rPr>
          <w:lang w:val="en"/>
        </w:rPr>
        <w:t>insert:</w:t>
      </w:r>
    </w:p>
    <w:p w14:paraId="20A52752" w14:textId="77777777" w:rsidR="00012EE0" w:rsidRPr="009D023A" w:rsidRDefault="00012EE0" w:rsidP="00CD64D2">
      <w:pPr>
        <w:pStyle w:val="LI-BodyTextSubparai"/>
        <w:spacing w:before="200"/>
        <w:rPr>
          <w:i/>
          <w:lang w:val="en"/>
        </w:rPr>
      </w:pPr>
      <w:r w:rsidRPr="00CB0151">
        <w:rPr>
          <w:lang w:val="en"/>
        </w:rPr>
        <w:t>“</w:t>
      </w:r>
      <w:r w:rsidRPr="009D023A">
        <w:rPr>
          <w:i/>
          <w:lang w:val="en"/>
        </w:rPr>
        <w:t>Additional acquisitions by superannuation trustees</w:t>
      </w:r>
    </w:p>
    <w:p w14:paraId="53ECEAD2" w14:textId="7663E906" w:rsidR="00012EE0" w:rsidRPr="00832F63" w:rsidRDefault="00012EE0" w:rsidP="00CD64D2">
      <w:pPr>
        <w:pStyle w:val="LI-BodyTextSubparai"/>
        <w:spacing w:before="200"/>
        <w:rPr>
          <w:lang w:val="en-US"/>
        </w:rPr>
      </w:pPr>
      <w:r>
        <w:rPr>
          <w:lang w:val="en-US"/>
        </w:rPr>
        <w:t>(2A)</w:t>
      </w:r>
      <w:r w:rsidRPr="00CB0151">
        <w:rPr>
          <w:lang w:val="en-US"/>
        </w:rPr>
        <w:tab/>
        <w:t>A provider who is a trustee of a superannuation entity does not have to comply with subsection (2) in relation to an additional acquisition if at any time before making the acquisition the provider tells the client in writing, and obtains the client’s written acknowledgement, that, at the time an additional acquisition of a financial product occurs, the client may not have received:</w:t>
      </w:r>
    </w:p>
    <w:p w14:paraId="42F94BBC" w14:textId="77777777" w:rsidR="00012EE0" w:rsidRPr="00CB0151" w:rsidRDefault="00012EE0" w:rsidP="00CD64D2">
      <w:pPr>
        <w:pStyle w:val="LI-BodyTextSubsubparaA"/>
        <w:spacing w:before="200"/>
      </w:pPr>
      <w:r w:rsidRPr="00CB0151">
        <w:rPr>
          <w:lang w:val="en-US"/>
        </w:rPr>
        <w:t>(</w:t>
      </w:r>
      <w:r>
        <w:rPr>
          <w:lang w:val="en-US"/>
        </w:rPr>
        <w:t>a</w:t>
      </w:r>
      <w:r w:rsidRPr="00CB0151">
        <w:rPr>
          <w:lang w:val="en-US"/>
        </w:rPr>
        <w:t>)</w:t>
      </w:r>
      <w:r w:rsidRPr="00CB0151">
        <w:rPr>
          <w:lang w:val="en-US"/>
        </w:rPr>
        <w:tab/>
        <w:t xml:space="preserve">the current Product Disclosure Statement for </w:t>
      </w:r>
      <w:r>
        <w:rPr>
          <w:lang w:val="en-US"/>
        </w:rPr>
        <w:t>the</w:t>
      </w:r>
      <w:r w:rsidRPr="00CB0151">
        <w:rPr>
          <w:lang w:val="en-US"/>
        </w:rPr>
        <w:t xml:space="preserve"> product; and </w:t>
      </w:r>
    </w:p>
    <w:p w14:paraId="70DB5624" w14:textId="77777777" w:rsidR="00012EE0" w:rsidRPr="00CB0151" w:rsidRDefault="00012EE0" w:rsidP="00CD64D2">
      <w:pPr>
        <w:pStyle w:val="LI-BodyTextSubsubparaA"/>
        <w:spacing w:before="200"/>
        <w:rPr>
          <w:lang w:val="en-US"/>
        </w:rPr>
      </w:pPr>
      <w:r w:rsidRPr="00CB0151">
        <w:rPr>
          <w:lang w:val="en-US"/>
        </w:rPr>
        <w:t>(</w:t>
      </w:r>
      <w:r>
        <w:rPr>
          <w:lang w:val="en-US"/>
        </w:rPr>
        <w:t>b</w:t>
      </w:r>
      <w:r w:rsidRPr="00CB0151">
        <w:rPr>
          <w:lang w:val="en-US"/>
        </w:rPr>
        <w:t>)</w:t>
      </w:r>
      <w:r w:rsidRPr="00CB0151">
        <w:rPr>
          <w:lang w:val="en-US"/>
        </w:rPr>
        <w:tab/>
        <w:t>the disclosure that subsection 1017B(1) would require the issuer of the product to give to the client if the client had made an equivalent direct acquisition of the product.</w:t>
      </w:r>
    </w:p>
    <w:p w14:paraId="2984A408" w14:textId="77777777" w:rsidR="00012EE0" w:rsidRPr="001745C1" w:rsidRDefault="00012EE0" w:rsidP="00CD64D2">
      <w:pPr>
        <w:pStyle w:val="LI-SectionNote"/>
        <w:spacing w:before="200"/>
      </w:pPr>
      <w:r w:rsidRPr="001745C1">
        <w:t>Note:</w:t>
      </w:r>
      <w:r w:rsidRPr="001745C1">
        <w:tab/>
        <w:t>This subsection applies regardless of whether a current Product Disclosure Statement for the product has been prepared.</w:t>
      </w:r>
    </w:p>
    <w:p w14:paraId="6095919C" w14:textId="77777777" w:rsidR="00012EE0" w:rsidRDefault="00012EE0" w:rsidP="00CD64D2">
      <w:pPr>
        <w:pStyle w:val="LI-BodyTextSubparai"/>
        <w:spacing w:before="200"/>
        <w:rPr>
          <w:lang w:val="en-US"/>
        </w:rPr>
      </w:pPr>
      <w:r>
        <w:rPr>
          <w:lang w:val="en-US"/>
        </w:rPr>
        <w:t>(2B)</w:t>
      </w:r>
      <w:r w:rsidRPr="00CB0151">
        <w:rPr>
          <w:lang w:val="en-US"/>
        </w:rPr>
        <w:tab/>
        <w:t xml:space="preserve">The provider does not have to obtain the client’s written acknowledgement if the client held a superannuation product to which the entity relates immediately before 1 July 2007 and has held </w:t>
      </w:r>
      <w:r>
        <w:rPr>
          <w:lang w:val="en-US"/>
        </w:rPr>
        <w:t>the</w:t>
      </w:r>
      <w:r w:rsidRPr="00CB0151">
        <w:rPr>
          <w:lang w:val="en-US"/>
        </w:rPr>
        <w:t xml:space="preserve"> product at all times since</w:t>
      </w:r>
      <w:r>
        <w:rPr>
          <w:lang w:val="en-US"/>
        </w:rPr>
        <w:t xml:space="preserve"> that date</w:t>
      </w:r>
      <w:r w:rsidRPr="00CB0151">
        <w:rPr>
          <w:lang w:val="en-US"/>
        </w:rPr>
        <w:t>.</w:t>
      </w:r>
      <w:proofErr w:type="gramStart"/>
      <w:r w:rsidRPr="00CB0151">
        <w:rPr>
          <w:lang w:val="en-US"/>
        </w:rPr>
        <w:t>”;</w:t>
      </w:r>
      <w:proofErr w:type="gramEnd"/>
    </w:p>
    <w:p w14:paraId="64FFEB2E" w14:textId="5972BD0D" w:rsidR="00012EE0" w:rsidRPr="00CB0151" w:rsidRDefault="00012EE0" w:rsidP="00CD64D2">
      <w:pPr>
        <w:pStyle w:val="LI-BodyTextNumbered"/>
        <w:spacing w:before="200"/>
        <w:ind w:left="1701"/>
      </w:pPr>
      <w:r w:rsidRPr="00CB0151">
        <w:t>(</w:t>
      </w:r>
      <w:r>
        <w:t>iii</w:t>
      </w:r>
      <w:r w:rsidRPr="00CB0151">
        <w:t>)</w:t>
      </w:r>
      <w:r w:rsidRPr="00CB0151">
        <w:tab/>
      </w:r>
      <w:r>
        <w:t xml:space="preserve">after paragraph </w:t>
      </w:r>
      <w:r w:rsidRPr="00CB0151">
        <w:t>(5)</w:t>
      </w:r>
      <w:r>
        <w:t>(a)</w:t>
      </w:r>
      <w:r w:rsidR="00BE7C7D">
        <w:t>, insert</w:t>
      </w:r>
      <w:r w:rsidRPr="00CB0151">
        <w:t>:</w:t>
      </w:r>
    </w:p>
    <w:p w14:paraId="48EE37ED" w14:textId="77777777" w:rsidR="00012EE0" w:rsidRDefault="00012EE0" w:rsidP="00CD64D2">
      <w:pPr>
        <w:pStyle w:val="LI-BodyTextSubparai"/>
        <w:spacing w:before="200"/>
        <w:rPr>
          <w:lang w:val="en-US"/>
        </w:rPr>
      </w:pPr>
      <w:r w:rsidRPr="00CB0151">
        <w:rPr>
          <w:lang w:val="en-US"/>
        </w:rPr>
        <w:t>“(aa)</w:t>
      </w:r>
      <w:r w:rsidRPr="00CB0151">
        <w:rPr>
          <w:lang w:val="en-US"/>
        </w:rPr>
        <w:tab/>
        <w:t xml:space="preserve">where the provider is a trustee of a superannuation entity </w:t>
      </w:r>
      <w:r>
        <w:rPr>
          <w:lang w:val="en-US"/>
        </w:rPr>
        <w:t xml:space="preserve">who chooses to comply </w:t>
      </w:r>
      <w:r w:rsidRPr="00CB0151">
        <w:rPr>
          <w:lang w:val="en-US"/>
        </w:rPr>
        <w:t xml:space="preserve">with </w:t>
      </w:r>
      <w:r>
        <w:rPr>
          <w:lang w:val="en-US"/>
        </w:rPr>
        <w:t xml:space="preserve">subsections </w:t>
      </w:r>
      <w:r w:rsidRPr="00CB0151">
        <w:rPr>
          <w:lang w:val="en-US"/>
        </w:rPr>
        <w:t>1013FB(3)</w:t>
      </w:r>
      <w:r>
        <w:rPr>
          <w:lang w:val="en-US"/>
        </w:rPr>
        <w:t xml:space="preserve"> and (4) in relation to a Product Disclosure Statement for a superannuation product to which the entity relates that the trustee has </w:t>
      </w:r>
      <w:r w:rsidRPr="006A6509">
        <w:rPr>
          <w:lang w:val="en-US"/>
        </w:rPr>
        <w:t>prepared—the reference in subsection 1013A(1) to</w:t>
      </w:r>
      <w:r w:rsidRPr="00CB0151">
        <w:rPr>
          <w:lang w:val="en-US"/>
        </w:rPr>
        <w:t xml:space="preserve"> the issuer of </w:t>
      </w:r>
      <w:r>
        <w:rPr>
          <w:lang w:val="en-US"/>
        </w:rPr>
        <w:t>a</w:t>
      </w:r>
      <w:r w:rsidRPr="00CB0151">
        <w:rPr>
          <w:lang w:val="en-US"/>
        </w:rPr>
        <w:t xml:space="preserve"> financial product </w:t>
      </w:r>
      <w:r>
        <w:rPr>
          <w:lang w:val="en-US"/>
        </w:rPr>
        <w:t xml:space="preserve">that is an accessible financial product </w:t>
      </w:r>
      <w:r w:rsidRPr="00CB0151">
        <w:rPr>
          <w:lang w:val="en-US"/>
        </w:rPr>
        <w:t>included a reference to the provider; and</w:t>
      </w:r>
    </w:p>
    <w:p w14:paraId="75E44E5E" w14:textId="77777777" w:rsidR="00012EE0" w:rsidRDefault="00012EE0" w:rsidP="00012EE0">
      <w:pPr>
        <w:pStyle w:val="LI-BodyTextSubparai"/>
        <w:rPr>
          <w:lang w:val="en-US"/>
        </w:rPr>
      </w:pPr>
      <w:r>
        <w:rPr>
          <w:lang w:val="en-US"/>
        </w:rPr>
        <w:lastRenderedPageBreak/>
        <w:t>(ab)</w:t>
      </w:r>
      <w:r>
        <w:rPr>
          <w:lang w:val="en-US"/>
        </w:rPr>
        <w:tab/>
      </w:r>
      <w:r w:rsidRPr="00CB0151">
        <w:rPr>
          <w:lang w:val="en-US"/>
        </w:rPr>
        <w:t xml:space="preserve">where the provider is a trustee of a superannuation entity </w:t>
      </w:r>
      <w:r>
        <w:rPr>
          <w:lang w:val="en-US"/>
        </w:rPr>
        <w:t xml:space="preserve">who chooses to comply </w:t>
      </w:r>
      <w:r w:rsidRPr="00CB0151">
        <w:rPr>
          <w:lang w:val="en-US"/>
        </w:rPr>
        <w:t xml:space="preserve">with </w:t>
      </w:r>
      <w:r>
        <w:rPr>
          <w:lang w:val="en-US"/>
        </w:rPr>
        <w:t xml:space="preserve">subsections </w:t>
      </w:r>
      <w:r w:rsidRPr="00CB0151">
        <w:rPr>
          <w:lang w:val="en-US"/>
        </w:rPr>
        <w:t>1013FB(</w:t>
      </w:r>
      <w:r>
        <w:rPr>
          <w:lang w:val="en-US"/>
        </w:rPr>
        <w:t>5</w:t>
      </w:r>
      <w:r w:rsidRPr="00CB0151">
        <w:rPr>
          <w:lang w:val="en-US"/>
        </w:rPr>
        <w:t>)</w:t>
      </w:r>
      <w:r>
        <w:rPr>
          <w:lang w:val="en-US"/>
        </w:rPr>
        <w:t xml:space="preserve"> and (6) in relation to a Product Disclosure Statement for a superannuation product to which the entity relates</w:t>
      </w:r>
      <w:r w:rsidRPr="00CB0151">
        <w:rPr>
          <w:lang w:val="en-US"/>
        </w:rPr>
        <w:t xml:space="preserve">—the reference </w:t>
      </w:r>
      <w:r>
        <w:rPr>
          <w:lang w:val="en-US"/>
        </w:rPr>
        <w:t xml:space="preserve">in subsection 1013A(1) </w:t>
      </w:r>
      <w:r w:rsidRPr="00CB0151">
        <w:rPr>
          <w:lang w:val="en-US"/>
        </w:rPr>
        <w:t xml:space="preserve">to </w:t>
      </w:r>
      <w:r>
        <w:rPr>
          <w:lang w:val="en-US"/>
        </w:rPr>
        <w:t xml:space="preserve">the </w:t>
      </w:r>
      <w:r w:rsidRPr="00CB0151">
        <w:rPr>
          <w:lang w:val="en-US"/>
        </w:rPr>
        <w:t xml:space="preserve">issuer of </w:t>
      </w:r>
      <w:r>
        <w:rPr>
          <w:lang w:val="en-US"/>
        </w:rPr>
        <w:t xml:space="preserve">a </w:t>
      </w:r>
      <w:r w:rsidRPr="00CB0151">
        <w:rPr>
          <w:lang w:val="en-US"/>
        </w:rPr>
        <w:t>financial</w:t>
      </w:r>
      <w:r>
        <w:rPr>
          <w:lang w:val="en-US"/>
        </w:rPr>
        <w:t> </w:t>
      </w:r>
      <w:r w:rsidRPr="00CB0151">
        <w:rPr>
          <w:lang w:val="en-US"/>
        </w:rPr>
        <w:t xml:space="preserve">product </w:t>
      </w:r>
      <w:r>
        <w:rPr>
          <w:lang w:val="en-US"/>
        </w:rPr>
        <w:t xml:space="preserve">that is an accessible financial product </w:t>
      </w:r>
      <w:r w:rsidRPr="00CB0151">
        <w:rPr>
          <w:lang w:val="en-US"/>
        </w:rPr>
        <w:t>included a reference to the provider</w:t>
      </w:r>
      <w:r>
        <w:rPr>
          <w:lang w:val="en-US"/>
        </w:rPr>
        <w:t>; and</w:t>
      </w:r>
    </w:p>
    <w:p w14:paraId="529F7318" w14:textId="77777777" w:rsidR="00012EE0" w:rsidRDefault="00012EE0" w:rsidP="00DA73A1">
      <w:pPr>
        <w:pStyle w:val="LI-BodyTextSubparai"/>
        <w:spacing w:before="200"/>
        <w:rPr>
          <w:lang w:val="en"/>
        </w:rPr>
      </w:pPr>
      <w:r>
        <w:rPr>
          <w:lang w:val="en-US"/>
        </w:rPr>
        <w:t>(ac</w:t>
      </w:r>
      <w:r w:rsidRPr="00CB0151">
        <w:rPr>
          <w:lang w:val="en-US"/>
        </w:rPr>
        <w:t>)</w:t>
      </w:r>
      <w:r w:rsidRPr="00CB0151">
        <w:rPr>
          <w:lang w:val="en-US"/>
        </w:rPr>
        <w:tab/>
        <w:t xml:space="preserve">where the provider is a trustee of a superannuation entity—the reference </w:t>
      </w:r>
      <w:r>
        <w:rPr>
          <w:lang w:val="en-US"/>
        </w:rPr>
        <w:t xml:space="preserve">in subsection 1013A(2) </w:t>
      </w:r>
      <w:r w:rsidRPr="00CB0151">
        <w:rPr>
          <w:lang w:val="en-US"/>
        </w:rPr>
        <w:t xml:space="preserve">to </w:t>
      </w:r>
      <w:r>
        <w:rPr>
          <w:lang w:val="en-US"/>
        </w:rPr>
        <w:t>a</w:t>
      </w:r>
      <w:r w:rsidRPr="00CB0151">
        <w:rPr>
          <w:lang w:val="en-US"/>
        </w:rPr>
        <w:t xml:space="preserve"> person making the offer to sell </w:t>
      </w:r>
      <w:r>
        <w:rPr>
          <w:lang w:val="en-US"/>
        </w:rPr>
        <w:t>a</w:t>
      </w:r>
      <w:r w:rsidRPr="00CB0151">
        <w:rPr>
          <w:lang w:val="en-US"/>
        </w:rPr>
        <w:t xml:space="preserve"> financial product </w:t>
      </w:r>
      <w:r>
        <w:rPr>
          <w:lang w:val="en-US"/>
        </w:rPr>
        <w:t xml:space="preserve">that is an accessible financial product </w:t>
      </w:r>
      <w:r w:rsidRPr="00CB0151">
        <w:rPr>
          <w:lang w:val="en-US"/>
        </w:rPr>
        <w:t>included a reference to the</w:t>
      </w:r>
      <w:r>
        <w:rPr>
          <w:lang w:val="en-US"/>
        </w:rPr>
        <w:t> </w:t>
      </w:r>
      <w:r w:rsidRPr="00CB0151">
        <w:rPr>
          <w:lang w:val="en-US"/>
        </w:rPr>
        <w:t>provider</w:t>
      </w:r>
      <w:r>
        <w:rPr>
          <w:lang w:val="en-US"/>
        </w:rPr>
        <w:t>; and</w:t>
      </w:r>
      <w:proofErr w:type="gramStart"/>
      <w:r w:rsidRPr="00CB0151">
        <w:rPr>
          <w:lang w:val="en-US"/>
        </w:rPr>
        <w:t>”;</w:t>
      </w:r>
      <w:proofErr w:type="gramEnd"/>
    </w:p>
    <w:p w14:paraId="4A0F3ECD" w14:textId="70BA9A31" w:rsidR="00012EE0" w:rsidRPr="00CB0151" w:rsidRDefault="00012EE0" w:rsidP="00DA73A1">
      <w:pPr>
        <w:pStyle w:val="LI-BodyTextNumbered"/>
        <w:spacing w:before="200"/>
        <w:ind w:left="1701"/>
      </w:pPr>
      <w:r w:rsidRPr="00CB0151">
        <w:t>(</w:t>
      </w:r>
      <w:r>
        <w:t>iv</w:t>
      </w:r>
      <w:r w:rsidRPr="00CB0151">
        <w:t>)</w:t>
      </w:r>
      <w:r w:rsidRPr="00CB0151">
        <w:tab/>
        <w:t>after subsection (5)</w:t>
      </w:r>
      <w:r w:rsidR="00BE7C7D">
        <w:t>,</w:t>
      </w:r>
      <w:r w:rsidRPr="00CB0151">
        <w:t xml:space="preserve"> insert:</w:t>
      </w:r>
    </w:p>
    <w:p w14:paraId="45E92B91" w14:textId="77777777" w:rsidR="00012EE0" w:rsidRPr="00CB0151" w:rsidRDefault="00012EE0" w:rsidP="00DA73A1">
      <w:pPr>
        <w:pStyle w:val="LI-BodyTextSubparai"/>
        <w:spacing w:before="200"/>
        <w:rPr>
          <w:b/>
          <w:lang w:val="en-US"/>
        </w:rPr>
      </w:pPr>
      <w:r w:rsidRPr="00CB0151">
        <w:rPr>
          <w:lang w:val="en-US"/>
        </w:rPr>
        <w:t>“</w:t>
      </w:r>
      <w:r w:rsidRPr="00293509">
        <w:rPr>
          <w:i/>
          <w:iCs/>
          <w:lang w:val="en-US"/>
        </w:rPr>
        <w:t>Modification of section 1013C</w:t>
      </w:r>
    </w:p>
    <w:p w14:paraId="1D394580" w14:textId="77777777" w:rsidR="00012EE0" w:rsidRPr="006A6509" w:rsidRDefault="00012EE0" w:rsidP="00DA73A1">
      <w:pPr>
        <w:pStyle w:val="LI-BodyTextSubparai"/>
        <w:spacing w:before="200"/>
        <w:rPr>
          <w:lang w:val="en-US"/>
        </w:rPr>
      </w:pPr>
      <w:r>
        <w:rPr>
          <w:lang w:val="en-US"/>
        </w:rPr>
        <w:t>(5A)</w:t>
      </w:r>
      <w:r>
        <w:rPr>
          <w:lang w:val="en-US"/>
        </w:rPr>
        <w:tab/>
      </w:r>
      <w:r w:rsidRPr="00CB0151">
        <w:rPr>
          <w:lang w:val="en-US"/>
        </w:rPr>
        <w:t>Section 1013C applies in relation to a regulated acquisition by a provider who is a trustee of a superannuation entity as if the reference to the responsible person in subsection 1013C(2) were:</w:t>
      </w:r>
    </w:p>
    <w:p w14:paraId="392C0196" w14:textId="77777777" w:rsidR="00012EE0" w:rsidRPr="00CB0151" w:rsidRDefault="00012EE0" w:rsidP="00DA73A1">
      <w:pPr>
        <w:pStyle w:val="LI-BodyTextSubparai"/>
        <w:spacing w:before="200"/>
        <w:rPr>
          <w:lang w:val="en-US"/>
        </w:rPr>
      </w:pPr>
      <w:r w:rsidRPr="00CB0151">
        <w:rPr>
          <w:lang w:val="en-US"/>
        </w:rPr>
        <w:t>(a)</w:t>
      </w:r>
      <w:r w:rsidRPr="00CB0151">
        <w:rPr>
          <w:lang w:val="en-US"/>
        </w:rPr>
        <w:tab/>
        <w:t>in the case of an issue Statement—a reference to the issuer of the financial product; or</w:t>
      </w:r>
    </w:p>
    <w:p w14:paraId="6845B945" w14:textId="77777777" w:rsidR="00012EE0" w:rsidRDefault="00012EE0" w:rsidP="00DA73A1">
      <w:pPr>
        <w:pStyle w:val="LI-BodyTextSubparai"/>
        <w:spacing w:before="200"/>
        <w:rPr>
          <w:lang w:val="en"/>
        </w:rPr>
      </w:pPr>
      <w:r w:rsidRPr="00CB0151">
        <w:rPr>
          <w:lang w:val="en-US"/>
        </w:rPr>
        <w:t xml:space="preserve">(b) </w:t>
      </w:r>
      <w:r w:rsidRPr="00CB0151">
        <w:rPr>
          <w:lang w:val="en-US"/>
        </w:rPr>
        <w:tab/>
        <w:t>in the case of a sale Statement—a reference to the seller of the financial product.</w:t>
      </w:r>
      <w:proofErr w:type="gramStart"/>
      <w:r w:rsidRPr="00CB0151">
        <w:rPr>
          <w:lang w:val="en-US"/>
        </w:rPr>
        <w:t>”;</w:t>
      </w:r>
      <w:proofErr w:type="gramEnd"/>
    </w:p>
    <w:p w14:paraId="55E18DD7" w14:textId="414519E5" w:rsidR="00012EE0" w:rsidRPr="00CB0151" w:rsidRDefault="00012EE0" w:rsidP="00DA73A1">
      <w:pPr>
        <w:pStyle w:val="LI-BodyTextNumbered"/>
        <w:spacing w:before="200"/>
      </w:pPr>
      <w:r w:rsidRPr="00CB0151">
        <w:t>(</w:t>
      </w:r>
      <w:r>
        <w:t>c</w:t>
      </w:r>
      <w:r w:rsidRPr="00CB0151">
        <w:t>)</w:t>
      </w:r>
      <w:r w:rsidRPr="00CB0151">
        <w:tab/>
        <w:t>in subsection 1013D(1)</w:t>
      </w:r>
      <w:r w:rsidR="00BE7C7D">
        <w:t>,</w:t>
      </w:r>
      <w:r w:rsidRPr="00CB0151">
        <w:t xml:space="preserve"> </w:t>
      </w:r>
      <w:r>
        <w:t xml:space="preserve">omit </w:t>
      </w:r>
      <w:r w:rsidRPr="00CB0151">
        <w:t>“sections 1013F and 1013FA,”</w:t>
      </w:r>
      <w:r>
        <w:t>,</w:t>
      </w:r>
      <w:r w:rsidRPr="00CB0151">
        <w:t xml:space="preserve"> </w:t>
      </w:r>
      <w:r>
        <w:t xml:space="preserve">substitute </w:t>
      </w:r>
      <w:r w:rsidRPr="00CB0151">
        <w:t>“sections</w:t>
      </w:r>
      <w:r>
        <w:t> </w:t>
      </w:r>
      <w:r w:rsidRPr="00CB0151">
        <w:t>1013F, 1013FA and 1013FB,</w:t>
      </w:r>
      <w:proofErr w:type="gramStart"/>
      <w:r w:rsidRPr="00CB0151">
        <w:t>”;</w:t>
      </w:r>
      <w:proofErr w:type="gramEnd"/>
      <w:r w:rsidRPr="00CB0151">
        <w:t xml:space="preserve"> </w:t>
      </w:r>
    </w:p>
    <w:p w14:paraId="490B6206" w14:textId="044ED744" w:rsidR="00012EE0" w:rsidRPr="00CB0151" w:rsidRDefault="00012EE0" w:rsidP="00DA73A1">
      <w:pPr>
        <w:pStyle w:val="LI-BodyTextNumbered"/>
        <w:spacing w:before="200"/>
      </w:pPr>
      <w:r w:rsidRPr="00CB0151">
        <w:t>(</w:t>
      </w:r>
      <w:r>
        <w:t>d</w:t>
      </w:r>
      <w:r w:rsidRPr="00CB0151">
        <w:t>)</w:t>
      </w:r>
      <w:r w:rsidRPr="00CB0151">
        <w:tab/>
        <w:t>in section 1013E</w:t>
      </w:r>
      <w:r w:rsidR="00BE7C7D">
        <w:t>,</w:t>
      </w:r>
      <w:r w:rsidRPr="00CB0151">
        <w:t xml:space="preserve"> </w:t>
      </w:r>
      <w:r>
        <w:t>omit</w:t>
      </w:r>
      <w:r w:rsidRPr="00CB0151">
        <w:t xml:space="preserve"> “sections 1013F and 1013FA,”</w:t>
      </w:r>
      <w:r>
        <w:t xml:space="preserve">,  substitute </w:t>
      </w:r>
      <w:r w:rsidRPr="00CB0151">
        <w:t>“sections</w:t>
      </w:r>
      <w:r>
        <w:t> </w:t>
      </w:r>
      <w:r w:rsidRPr="00CB0151">
        <w:t>1013F,</w:t>
      </w:r>
      <w:r>
        <w:t> </w:t>
      </w:r>
      <w:r w:rsidRPr="00CB0151">
        <w:t>1013FA and 1013FB,</w:t>
      </w:r>
      <w:proofErr w:type="gramStart"/>
      <w:r w:rsidRPr="00CB0151">
        <w:t>”;</w:t>
      </w:r>
      <w:proofErr w:type="gramEnd"/>
      <w:r w:rsidRPr="00CB0151">
        <w:t xml:space="preserve"> </w:t>
      </w:r>
    </w:p>
    <w:p w14:paraId="54BC4FC1" w14:textId="311943D9" w:rsidR="00012EE0" w:rsidRPr="00CB0151" w:rsidRDefault="00012EE0" w:rsidP="00DA73A1">
      <w:pPr>
        <w:pStyle w:val="LI-BodyTextNumbered"/>
        <w:spacing w:before="200"/>
        <w:rPr>
          <w:lang w:val="en"/>
        </w:rPr>
      </w:pPr>
      <w:r w:rsidRPr="00CB0151">
        <w:rPr>
          <w:lang w:val="en"/>
        </w:rPr>
        <w:t>(</w:t>
      </w:r>
      <w:r>
        <w:rPr>
          <w:lang w:val="en"/>
        </w:rPr>
        <w:t>e</w:t>
      </w:r>
      <w:r w:rsidRPr="00CB0151">
        <w:rPr>
          <w:lang w:val="en"/>
        </w:rPr>
        <w:t>)</w:t>
      </w:r>
      <w:r w:rsidRPr="00CB0151">
        <w:rPr>
          <w:lang w:val="en"/>
        </w:rPr>
        <w:tab/>
        <w:t>after section 1013FA</w:t>
      </w:r>
      <w:r w:rsidR="001C7794">
        <w:rPr>
          <w:lang w:val="en"/>
        </w:rPr>
        <w:t>,</w:t>
      </w:r>
      <w:r w:rsidRPr="00CB0151">
        <w:rPr>
          <w:lang w:val="en"/>
        </w:rPr>
        <w:t xml:space="preserve"> insert:</w:t>
      </w:r>
    </w:p>
    <w:p w14:paraId="574C7534" w14:textId="77777777" w:rsidR="00012EE0" w:rsidRPr="00293509" w:rsidRDefault="00012EE0" w:rsidP="00DA73A1">
      <w:pPr>
        <w:pStyle w:val="LI-BodyTextSubparai"/>
        <w:spacing w:before="200"/>
        <w:ind w:left="2694" w:hanging="993"/>
        <w:rPr>
          <w:b/>
          <w:bCs/>
        </w:rPr>
      </w:pPr>
      <w:r w:rsidRPr="00293509">
        <w:t>“</w:t>
      </w:r>
      <w:r w:rsidRPr="00293509">
        <w:rPr>
          <w:b/>
          <w:bCs/>
        </w:rPr>
        <w:t xml:space="preserve">1013FB  </w:t>
      </w:r>
      <w:bookmarkStart w:id="22" w:name="_Hlk87787937"/>
      <w:r w:rsidRPr="00293509">
        <w:rPr>
          <w:b/>
          <w:bCs/>
        </w:rPr>
        <w:t>Choices available in relation to Product Disclosure Statements for regulated acquisitions through superannuation funds</w:t>
      </w:r>
    </w:p>
    <w:bookmarkEnd w:id="22"/>
    <w:p w14:paraId="2B3940C8" w14:textId="77777777" w:rsidR="00012EE0" w:rsidRPr="00293509" w:rsidRDefault="00012EE0" w:rsidP="00DA73A1">
      <w:pPr>
        <w:pStyle w:val="LI-BodyTextSubparai"/>
        <w:spacing w:before="200"/>
      </w:pPr>
      <w:r w:rsidRPr="00293509">
        <w:t>(1)</w:t>
      </w:r>
      <w:r w:rsidRPr="00293509">
        <w:tab/>
        <w:t>This section applies in relation to a regulated acquisition of a financial product (the </w:t>
      </w:r>
      <w:r w:rsidRPr="002226A6">
        <w:rPr>
          <w:b/>
          <w:bCs/>
          <w:i/>
          <w:iCs/>
        </w:rPr>
        <w:t>accessible financial product</w:t>
      </w:r>
      <w:r w:rsidRPr="00293509">
        <w:t>) that may be made through a superannuation entity.</w:t>
      </w:r>
    </w:p>
    <w:p w14:paraId="4E76F9EB" w14:textId="77777777" w:rsidR="00012EE0" w:rsidRPr="00293509" w:rsidRDefault="00012EE0" w:rsidP="00DA73A1">
      <w:pPr>
        <w:pStyle w:val="LI-BodyTextSubparai"/>
        <w:spacing w:before="200"/>
      </w:pPr>
      <w:r w:rsidRPr="00293509">
        <w:t>(2)</w:t>
      </w:r>
      <w:r w:rsidRPr="00293509">
        <w:tab/>
        <w:t>The trustee of the superannuation entity, in relation to the Product Disclosure Statement (the </w:t>
      </w:r>
      <w:r w:rsidRPr="002226A6">
        <w:rPr>
          <w:b/>
          <w:bCs/>
          <w:i/>
          <w:iCs/>
        </w:rPr>
        <w:t>superannuation entity PDS</w:t>
      </w:r>
      <w:r w:rsidRPr="00293509">
        <w:t>) for the superannuation product to which the superannuation entity relates, may choose to comply with:</w:t>
      </w:r>
    </w:p>
    <w:p w14:paraId="455E8E3A" w14:textId="77777777" w:rsidR="00012EE0" w:rsidRPr="00CB0151" w:rsidRDefault="00012EE0" w:rsidP="00DA73A1">
      <w:pPr>
        <w:pStyle w:val="LI-BodyTextSubsubparaA"/>
        <w:spacing w:before="200"/>
        <w:rPr>
          <w:lang w:val="en"/>
        </w:rPr>
      </w:pPr>
      <w:r w:rsidRPr="00CB0151">
        <w:rPr>
          <w:lang w:val="en"/>
        </w:rPr>
        <w:t>(a)</w:t>
      </w:r>
      <w:r w:rsidRPr="00CB0151">
        <w:rPr>
          <w:lang w:val="en"/>
        </w:rPr>
        <w:tab/>
        <w:t>subsection</w:t>
      </w:r>
      <w:r>
        <w:rPr>
          <w:lang w:val="en"/>
        </w:rPr>
        <w:t>s</w:t>
      </w:r>
      <w:r w:rsidRPr="00CB0151">
        <w:rPr>
          <w:lang w:val="en"/>
        </w:rPr>
        <w:t xml:space="preserve"> (3) </w:t>
      </w:r>
      <w:r>
        <w:rPr>
          <w:lang w:val="en"/>
        </w:rPr>
        <w:t xml:space="preserve">and (4) </w:t>
      </w:r>
      <w:r w:rsidRPr="00CB0151">
        <w:rPr>
          <w:lang w:val="en"/>
        </w:rPr>
        <w:t>(separate Statements for the superannuation</w:t>
      </w:r>
      <w:r>
        <w:rPr>
          <w:lang w:val="en"/>
        </w:rPr>
        <w:t> </w:t>
      </w:r>
      <w:r w:rsidRPr="00CB0151">
        <w:rPr>
          <w:lang w:val="en"/>
        </w:rPr>
        <w:t>product and the accessible financial product); or</w:t>
      </w:r>
    </w:p>
    <w:p w14:paraId="57832973" w14:textId="77777777" w:rsidR="00012EE0" w:rsidRDefault="00012EE0" w:rsidP="00012EE0">
      <w:pPr>
        <w:pStyle w:val="LI-BodyTextSubsubparaA"/>
        <w:rPr>
          <w:lang w:val="en"/>
        </w:rPr>
      </w:pPr>
      <w:r w:rsidRPr="00CB0151">
        <w:rPr>
          <w:lang w:val="en"/>
        </w:rPr>
        <w:lastRenderedPageBreak/>
        <w:t>(b)</w:t>
      </w:r>
      <w:r w:rsidRPr="00CB0151">
        <w:rPr>
          <w:lang w:val="en"/>
        </w:rPr>
        <w:tab/>
        <w:t>subsections (5) and (6) (integrated Statement for the superannuation</w:t>
      </w:r>
      <w:r>
        <w:rPr>
          <w:lang w:val="en"/>
        </w:rPr>
        <w:t> </w:t>
      </w:r>
      <w:r w:rsidRPr="00CB0151">
        <w:rPr>
          <w:lang w:val="en"/>
        </w:rPr>
        <w:t>product and the accessible financial product)</w:t>
      </w:r>
      <w:r>
        <w:rPr>
          <w:lang w:val="en"/>
        </w:rPr>
        <w:t>; or</w:t>
      </w:r>
    </w:p>
    <w:p w14:paraId="5DDA0D92" w14:textId="77777777" w:rsidR="00012EE0" w:rsidRPr="00CB0151" w:rsidRDefault="00012EE0" w:rsidP="00012EE0">
      <w:pPr>
        <w:pStyle w:val="LI-BodyTextSubsubparaA"/>
        <w:rPr>
          <w:lang w:val="en"/>
        </w:rPr>
      </w:pPr>
      <w:r>
        <w:rPr>
          <w:lang w:val="en"/>
        </w:rPr>
        <w:t>(c)</w:t>
      </w:r>
      <w:r>
        <w:rPr>
          <w:lang w:val="en"/>
        </w:rPr>
        <w:tab/>
        <w:t>the requirements of this Division apart from this section</w:t>
      </w:r>
      <w:r w:rsidRPr="00CB0151">
        <w:rPr>
          <w:lang w:val="en"/>
        </w:rPr>
        <w:t>.</w:t>
      </w:r>
    </w:p>
    <w:p w14:paraId="1147905B" w14:textId="77777777" w:rsidR="00012EE0" w:rsidRPr="002226A6" w:rsidRDefault="00012EE0" w:rsidP="00012EE0">
      <w:pPr>
        <w:pStyle w:val="LI-BodyTextSubparai"/>
        <w:ind w:left="1701" w:firstLine="0"/>
        <w:rPr>
          <w:i/>
          <w:iCs/>
          <w:lang w:val="en"/>
        </w:rPr>
      </w:pPr>
      <w:r w:rsidRPr="002226A6">
        <w:rPr>
          <w:i/>
          <w:iCs/>
          <w:lang w:val="en"/>
        </w:rPr>
        <w:t>Separate PDSs for superannuation product and accessible financial products</w:t>
      </w:r>
    </w:p>
    <w:p w14:paraId="01799F45" w14:textId="77777777" w:rsidR="00012EE0" w:rsidRPr="00CB0151" w:rsidRDefault="00012EE0" w:rsidP="00012EE0">
      <w:pPr>
        <w:pStyle w:val="LI-BodyTextSubparai"/>
        <w:rPr>
          <w:lang w:val="en"/>
        </w:rPr>
      </w:pPr>
      <w:r w:rsidRPr="00CB0151">
        <w:rPr>
          <w:lang w:val="en"/>
        </w:rPr>
        <w:t>(3)</w:t>
      </w:r>
      <w:r w:rsidRPr="00CB0151">
        <w:rPr>
          <w:lang w:val="en"/>
        </w:rPr>
        <w:tab/>
        <w:t>The superannuation entity PDS must:</w:t>
      </w:r>
    </w:p>
    <w:p w14:paraId="31DFD3FD" w14:textId="77777777" w:rsidR="00012EE0" w:rsidRPr="00CB0151" w:rsidRDefault="00012EE0" w:rsidP="00012EE0">
      <w:pPr>
        <w:pStyle w:val="LI-BodyTextSubsubparaA"/>
        <w:rPr>
          <w:lang w:val="en"/>
        </w:rPr>
      </w:pPr>
      <w:r w:rsidRPr="00CB0151">
        <w:rPr>
          <w:lang w:val="en"/>
        </w:rPr>
        <w:t>(a)</w:t>
      </w:r>
      <w:r w:rsidRPr="00CB0151">
        <w:rPr>
          <w:lang w:val="en"/>
        </w:rPr>
        <w:tab/>
        <w:t xml:space="preserve">contain the information about the superannuation product that is required by </w:t>
      </w:r>
      <w:r>
        <w:rPr>
          <w:lang w:val="en"/>
        </w:rPr>
        <w:t>this Division</w:t>
      </w:r>
      <w:r w:rsidRPr="00CB0151">
        <w:rPr>
          <w:lang w:val="en"/>
        </w:rPr>
        <w:t>; and</w:t>
      </w:r>
    </w:p>
    <w:p w14:paraId="72D4540B" w14:textId="77777777" w:rsidR="00012EE0" w:rsidRPr="00CB0151" w:rsidRDefault="00012EE0" w:rsidP="00012EE0">
      <w:pPr>
        <w:pStyle w:val="LI-BodyTextSubsubparaA"/>
        <w:rPr>
          <w:lang w:val="en"/>
        </w:rPr>
      </w:pPr>
      <w:r w:rsidRPr="00CB0151">
        <w:rPr>
          <w:lang w:val="en"/>
        </w:rPr>
        <w:t>(b)</w:t>
      </w:r>
      <w:r w:rsidRPr="00CB0151">
        <w:rPr>
          <w:lang w:val="en"/>
        </w:rPr>
        <w:tab/>
        <w:t>in relation to the accessible financial product—contain the information that a person would reasonably require as a retail client to:</w:t>
      </w:r>
    </w:p>
    <w:p w14:paraId="56A92C1C" w14:textId="77777777" w:rsidR="00012EE0" w:rsidRDefault="00012EE0" w:rsidP="00012EE0">
      <w:pPr>
        <w:pStyle w:val="LI-Sectionsubparai"/>
        <w:rPr>
          <w:lang w:val="en"/>
        </w:rPr>
      </w:pPr>
      <w:r w:rsidRPr="00CB0151">
        <w:rPr>
          <w:lang w:val="en"/>
        </w:rPr>
        <w:t>(</w:t>
      </w:r>
      <w:proofErr w:type="spellStart"/>
      <w:r w:rsidRPr="00CB0151">
        <w:rPr>
          <w:lang w:val="en"/>
        </w:rPr>
        <w:t>i</w:t>
      </w:r>
      <w:proofErr w:type="spellEnd"/>
      <w:r w:rsidRPr="00CB0151">
        <w:rPr>
          <w:lang w:val="en"/>
        </w:rPr>
        <w:t>)</w:t>
      </w:r>
      <w:r w:rsidRPr="00CB0151">
        <w:rPr>
          <w:lang w:val="en"/>
        </w:rPr>
        <w:tab/>
        <w:t>identify the accessible financial product; and</w:t>
      </w:r>
    </w:p>
    <w:p w14:paraId="330E0504" w14:textId="77777777" w:rsidR="00012EE0" w:rsidRDefault="00012EE0" w:rsidP="00012EE0">
      <w:pPr>
        <w:pStyle w:val="LI-Sectionsubparai"/>
        <w:rPr>
          <w:lang w:val="en"/>
        </w:rPr>
      </w:pPr>
      <w:r w:rsidRPr="00CB0151">
        <w:rPr>
          <w:lang w:val="en"/>
        </w:rPr>
        <w:t>(ii)</w:t>
      </w:r>
      <w:r w:rsidRPr="00CB0151">
        <w:rPr>
          <w:lang w:val="en"/>
        </w:rPr>
        <w:tab/>
        <w:t>understand the investment strategy under which the product may be acquired by way of a regulated acquisition; and</w:t>
      </w:r>
    </w:p>
    <w:p w14:paraId="3BE331EF" w14:textId="77777777" w:rsidR="00012EE0" w:rsidRPr="00CB0151" w:rsidRDefault="00012EE0" w:rsidP="00012EE0">
      <w:pPr>
        <w:pStyle w:val="LI-Sectionsubparai"/>
        <w:rPr>
          <w:lang w:val="en"/>
        </w:rPr>
      </w:pPr>
      <w:r w:rsidRPr="00CB0151">
        <w:rPr>
          <w:lang w:val="en"/>
        </w:rPr>
        <w:t>(iii)</w:t>
      </w:r>
      <w:r w:rsidRPr="00CB0151">
        <w:rPr>
          <w:lang w:val="en"/>
        </w:rPr>
        <w:tab/>
        <w:t>work out whether to ask for further information about the product; and</w:t>
      </w:r>
    </w:p>
    <w:p w14:paraId="15FF829B" w14:textId="77777777" w:rsidR="00012EE0" w:rsidRPr="00CB0151" w:rsidRDefault="00012EE0" w:rsidP="00012EE0">
      <w:pPr>
        <w:pStyle w:val="LI-BodyTextSubsubparaA"/>
        <w:rPr>
          <w:lang w:val="en"/>
        </w:rPr>
      </w:pPr>
      <w:r w:rsidRPr="00CB0151">
        <w:rPr>
          <w:lang w:val="en"/>
        </w:rPr>
        <w:t>(c)</w:t>
      </w:r>
      <w:r w:rsidRPr="00CB0151">
        <w:rPr>
          <w:lang w:val="en"/>
        </w:rPr>
        <w:tab/>
      </w:r>
      <w:r>
        <w:rPr>
          <w:lang w:val="en"/>
        </w:rPr>
        <w:t>contain a statement that informs people of their right to obtain from the trustee on request a Product Disclosure Statement for the accessible financial product.</w:t>
      </w:r>
    </w:p>
    <w:p w14:paraId="0642338D" w14:textId="77777777" w:rsidR="00012EE0" w:rsidRDefault="00012EE0" w:rsidP="00012EE0">
      <w:pPr>
        <w:pStyle w:val="LI-BodyTextSubparai"/>
        <w:rPr>
          <w:lang w:val="en"/>
        </w:rPr>
      </w:pPr>
      <w:r w:rsidRPr="00CB0151">
        <w:rPr>
          <w:lang w:val="en"/>
        </w:rPr>
        <w:t>(4)</w:t>
      </w:r>
      <w:r w:rsidRPr="00CB0151">
        <w:rPr>
          <w:lang w:val="en"/>
        </w:rPr>
        <w:tab/>
      </w:r>
      <w:r>
        <w:rPr>
          <w:lang w:val="en"/>
        </w:rPr>
        <w:t>A trustee that complies with subsection (3) in relation to the superannuation entity PDS:</w:t>
      </w:r>
    </w:p>
    <w:p w14:paraId="34C06763" w14:textId="77777777" w:rsidR="00012EE0" w:rsidRDefault="00012EE0" w:rsidP="00012EE0">
      <w:pPr>
        <w:pStyle w:val="LI-BodyTextSubsubparaA"/>
        <w:rPr>
          <w:lang w:val="en"/>
        </w:rPr>
      </w:pPr>
      <w:r>
        <w:rPr>
          <w:lang w:val="en"/>
        </w:rPr>
        <w:t>(a)</w:t>
      </w:r>
      <w:r>
        <w:rPr>
          <w:lang w:val="en"/>
        </w:rPr>
        <w:tab/>
        <w:t xml:space="preserve">does not have to include in the superannuation entity PDS </w:t>
      </w:r>
      <w:r w:rsidRPr="00CB0151">
        <w:rPr>
          <w:lang w:val="en"/>
        </w:rPr>
        <w:t xml:space="preserve">any other information about the accessible financial product that would be required by </w:t>
      </w:r>
      <w:r>
        <w:rPr>
          <w:lang w:val="en"/>
        </w:rPr>
        <w:t xml:space="preserve">or under </w:t>
      </w:r>
      <w:r w:rsidRPr="00CB0151">
        <w:rPr>
          <w:lang w:val="en"/>
        </w:rPr>
        <w:t xml:space="preserve">sections </w:t>
      </w:r>
      <w:r>
        <w:rPr>
          <w:lang w:val="en"/>
        </w:rPr>
        <w:t xml:space="preserve">1013C, </w:t>
      </w:r>
      <w:r w:rsidRPr="00CB0151">
        <w:rPr>
          <w:lang w:val="en"/>
        </w:rPr>
        <w:t>1013D, 1013DA, 1013E or</w:t>
      </w:r>
      <w:r>
        <w:rPr>
          <w:lang w:val="en"/>
        </w:rPr>
        <w:t> </w:t>
      </w:r>
      <w:r w:rsidRPr="00CB0151">
        <w:rPr>
          <w:lang w:val="en"/>
        </w:rPr>
        <w:t>1013F</w:t>
      </w:r>
      <w:r>
        <w:rPr>
          <w:lang w:val="en"/>
        </w:rPr>
        <w:t>; and</w:t>
      </w:r>
    </w:p>
    <w:p w14:paraId="544B1F86" w14:textId="77777777" w:rsidR="00012EE0" w:rsidRDefault="00012EE0" w:rsidP="00012EE0">
      <w:pPr>
        <w:pStyle w:val="LI-BodyTextSubsubparaA"/>
        <w:rPr>
          <w:lang w:val="en"/>
        </w:rPr>
      </w:pPr>
      <w:r>
        <w:rPr>
          <w:lang w:val="en"/>
        </w:rPr>
        <w:t>(b)</w:t>
      </w:r>
      <w:r>
        <w:rPr>
          <w:lang w:val="en"/>
        </w:rPr>
        <w:tab/>
      </w:r>
      <w:r w:rsidRPr="00CB0151">
        <w:rPr>
          <w:lang w:val="en"/>
        </w:rPr>
        <w:t xml:space="preserve">must give </w:t>
      </w:r>
      <w:r>
        <w:rPr>
          <w:lang w:val="en"/>
        </w:rPr>
        <w:t>a Product Disclosure Statement for the accessible financial product to any person who asks for it.</w:t>
      </w:r>
    </w:p>
    <w:p w14:paraId="61053A5C" w14:textId="77777777" w:rsidR="00012EE0" w:rsidRPr="002226A6" w:rsidRDefault="00012EE0" w:rsidP="00B2665C">
      <w:pPr>
        <w:pStyle w:val="LI-BodyTextSubparai"/>
        <w:keepNext/>
        <w:ind w:left="1701" w:firstLine="0"/>
        <w:rPr>
          <w:i/>
          <w:iCs/>
          <w:lang w:val="en"/>
        </w:rPr>
      </w:pPr>
      <w:r w:rsidRPr="002226A6">
        <w:rPr>
          <w:i/>
          <w:iCs/>
          <w:lang w:val="en"/>
        </w:rPr>
        <w:t>Integrated PDS for superannuation product and accessible financial products</w:t>
      </w:r>
    </w:p>
    <w:p w14:paraId="209CBDBB" w14:textId="77777777" w:rsidR="00012EE0" w:rsidRDefault="00012EE0" w:rsidP="00012EE0">
      <w:pPr>
        <w:pStyle w:val="LI-BodyTextSubparai"/>
        <w:rPr>
          <w:lang w:val="en"/>
        </w:rPr>
      </w:pPr>
      <w:r w:rsidRPr="00CB0151">
        <w:rPr>
          <w:lang w:val="en"/>
        </w:rPr>
        <w:t>(5)</w:t>
      </w:r>
      <w:r w:rsidRPr="00CB0151">
        <w:rPr>
          <w:lang w:val="en"/>
        </w:rPr>
        <w:tab/>
        <w:t>The superannuation entity PDS and the Product Disclosure Statement for the accessible financial product must be combined</w:t>
      </w:r>
      <w:r>
        <w:rPr>
          <w:lang w:val="en"/>
        </w:rPr>
        <w:t>:</w:t>
      </w:r>
    </w:p>
    <w:p w14:paraId="38276E66" w14:textId="77777777" w:rsidR="00012EE0" w:rsidRDefault="00012EE0" w:rsidP="00012EE0">
      <w:pPr>
        <w:pStyle w:val="LI-BodyTextSubsubparaA"/>
        <w:rPr>
          <w:lang w:val="en"/>
        </w:rPr>
      </w:pPr>
      <w:r>
        <w:rPr>
          <w:lang w:val="en"/>
        </w:rPr>
        <w:t>(a)</w:t>
      </w:r>
      <w:r>
        <w:rPr>
          <w:lang w:val="en"/>
        </w:rPr>
        <w:tab/>
      </w:r>
      <w:r w:rsidRPr="00CB0151">
        <w:rPr>
          <w:lang w:val="en"/>
        </w:rPr>
        <w:t xml:space="preserve">in a single document (the </w:t>
      </w:r>
      <w:r w:rsidRPr="00CB0151">
        <w:rPr>
          <w:b/>
          <w:i/>
          <w:iCs/>
          <w:lang w:val="en"/>
        </w:rPr>
        <w:t>integrated PDS</w:t>
      </w:r>
      <w:r w:rsidRPr="00CB0151">
        <w:rPr>
          <w:lang w:val="en"/>
        </w:rPr>
        <w:t>)</w:t>
      </w:r>
      <w:r>
        <w:rPr>
          <w:lang w:val="en"/>
        </w:rPr>
        <w:t>;</w:t>
      </w:r>
      <w:r w:rsidRPr="00CB0151">
        <w:rPr>
          <w:lang w:val="en"/>
        </w:rPr>
        <w:t xml:space="preserve"> or</w:t>
      </w:r>
    </w:p>
    <w:p w14:paraId="5BC3131F" w14:textId="77777777" w:rsidR="00012EE0" w:rsidRPr="00CB0151" w:rsidRDefault="00012EE0" w:rsidP="00012EE0">
      <w:pPr>
        <w:pStyle w:val="LI-BodyTextSubsubparaA"/>
        <w:rPr>
          <w:lang w:val="en"/>
        </w:rPr>
      </w:pPr>
      <w:r>
        <w:rPr>
          <w:lang w:val="en"/>
        </w:rPr>
        <w:lastRenderedPageBreak/>
        <w:t>(b)</w:t>
      </w:r>
      <w:r>
        <w:rPr>
          <w:lang w:val="en"/>
        </w:rPr>
        <w:tab/>
      </w:r>
      <w:r w:rsidRPr="00CB0151">
        <w:rPr>
          <w:lang w:val="en"/>
        </w:rPr>
        <w:t xml:space="preserve">in 2 or more separate documents (the </w:t>
      </w:r>
      <w:r w:rsidRPr="00CB0151">
        <w:rPr>
          <w:b/>
          <w:i/>
          <w:iCs/>
          <w:lang w:val="en"/>
        </w:rPr>
        <w:t>integrated PDS</w:t>
      </w:r>
      <w:r w:rsidRPr="00CB0151">
        <w:rPr>
          <w:lang w:val="en"/>
        </w:rPr>
        <w:t>) that are given at the same time.</w:t>
      </w:r>
    </w:p>
    <w:p w14:paraId="65C184D2" w14:textId="77777777" w:rsidR="00012EE0" w:rsidRDefault="00012EE0" w:rsidP="00012EE0">
      <w:pPr>
        <w:pStyle w:val="LI-SectionNote"/>
        <w:rPr>
          <w:lang w:val="en"/>
        </w:rPr>
      </w:pPr>
      <w:r w:rsidRPr="000419BD">
        <w:rPr>
          <w:iCs/>
          <w:lang w:val="en"/>
        </w:rPr>
        <w:t>Note:</w:t>
      </w:r>
      <w:r>
        <w:rPr>
          <w:iCs/>
          <w:lang w:val="en"/>
        </w:rPr>
        <w:tab/>
      </w:r>
      <w:r w:rsidRPr="000419BD">
        <w:rPr>
          <w:lang w:val="en"/>
        </w:rPr>
        <w:t>Other requirements relating to Product Disclosure Statements made up of 2 or more separate documents are set out in section 1013L.</w:t>
      </w:r>
    </w:p>
    <w:p w14:paraId="4C115018" w14:textId="77777777" w:rsidR="00012EE0" w:rsidRDefault="00012EE0" w:rsidP="00DA73A1">
      <w:pPr>
        <w:pStyle w:val="LI-BodyTextSubparai"/>
        <w:spacing w:before="200"/>
        <w:rPr>
          <w:lang w:val="en"/>
        </w:rPr>
      </w:pPr>
      <w:r w:rsidRPr="00CB0151">
        <w:rPr>
          <w:lang w:val="en"/>
        </w:rPr>
        <w:t>(6)</w:t>
      </w:r>
      <w:r w:rsidRPr="00CB0151">
        <w:rPr>
          <w:i/>
          <w:lang w:val="en"/>
        </w:rPr>
        <w:tab/>
      </w:r>
      <w:r w:rsidRPr="00CB0151">
        <w:rPr>
          <w:lang w:val="en"/>
        </w:rPr>
        <w:t>The integrated PDS must contain:</w:t>
      </w:r>
    </w:p>
    <w:p w14:paraId="4F3A8076" w14:textId="77777777" w:rsidR="00012EE0" w:rsidRDefault="00012EE0" w:rsidP="00DA73A1">
      <w:pPr>
        <w:pStyle w:val="LI-BodyTextSubsubparaA"/>
        <w:spacing w:before="200"/>
        <w:rPr>
          <w:lang w:val="en"/>
        </w:rPr>
      </w:pPr>
      <w:r>
        <w:rPr>
          <w:lang w:val="en"/>
        </w:rPr>
        <w:t>(a)</w:t>
      </w:r>
      <w:r>
        <w:rPr>
          <w:lang w:val="en"/>
        </w:rPr>
        <w:tab/>
      </w:r>
      <w:r w:rsidRPr="00C7141C">
        <w:rPr>
          <w:lang w:val="en"/>
        </w:rPr>
        <w:t>the information about the superannuation product and the accessible</w:t>
      </w:r>
      <w:r>
        <w:rPr>
          <w:lang w:val="en"/>
        </w:rPr>
        <w:t> </w:t>
      </w:r>
      <w:r w:rsidRPr="00C7141C">
        <w:rPr>
          <w:lang w:val="en"/>
        </w:rPr>
        <w:t>financial product that is required by this Division;</w:t>
      </w:r>
      <w:r>
        <w:rPr>
          <w:lang w:val="en"/>
        </w:rPr>
        <w:t xml:space="preserve"> and</w:t>
      </w:r>
    </w:p>
    <w:p w14:paraId="125EFD3F" w14:textId="77777777" w:rsidR="00012EE0" w:rsidRPr="00CB0151" w:rsidRDefault="00012EE0" w:rsidP="00DA73A1">
      <w:pPr>
        <w:pStyle w:val="LI-BodyTextSubsubparaA"/>
        <w:spacing w:before="200"/>
        <w:rPr>
          <w:lang w:val="en"/>
        </w:rPr>
      </w:pPr>
      <w:r>
        <w:rPr>
          <w:lang w:val="en"/>
        </w:rPr>
        <w:t>(b)</w:t>
      </w:r>
      <w:r>
        <w:rPr>
          <w:lang w:val="en"/>
        </w:rPr>
        <w:tab/>
      </w:r>
      <w:r w:rsidRPr="00CB0151">
        <w:rPr>
          <w:lang w:val="en"/>
        </w:rPr>
        <w:t>the information that a person would reasonably require as a retail</w:t>
      </w:r>
      <w:r>
        <w:rPr>
          <w:lang w:val="en"/>
        </w:rPr>
        <w:t> </w:t>
      </w:r>
      <w:r w:rsidRPr="00CB0151">
        <w:rPr>
          <w:lang w:val="en"/>
        </w:rPr>
        <w:t>client to understand the investment strategy under which the accessible financial product may be acquired by way of a regulated</w:t>
      </w:r>
      <w:r>
        <w:rPr>
          <w:lang w:val="en"/>
        </w:rPr>
        <w:t> </w:t>
      </w:r>
      <w:r w:rsidRPr="00CB0151">
        <w:rPr>
          <w:lang w:val="en"/>
        </w:rPr>
        <w:t>acquisition.</w:t>
      </w:r>
    </w:p>
    <w:p w14:paraId="61260D36" w14:textId="77777777" w:rsidR="00012EE0" w:rsidRPr="00F54994" w:rsidRDefault="00012EE0" w:rsidP="00DA73A1">
      <w:pPr>
        <w:pStyle w:val="LI-SectionNote"/>
        <w:spacing w:before="200"/>
      </w:pPr>
      <w:r w:rsidRPr="00F54994">
        <w:t>Note</w:t>
      </w:r>
      <w:r>
        <w:t xml:space="preserve"> 1</w:t>
      </w:r>
      <w:r w:rsidRPr="00F54994">
        <w:t>:</w:t>
      </w:r>
      <w:r w:rsidRPr="00F54994">
        <w:tab/>
        <w:t>Paragraph</w:t>
      </w:r>
      <w:r>
        <w:t>s</w:t>
      </w:r>
      <w:r w:rsidRPr="00F54994">
        <w:t xml:space="preserve"> 1012IA(5)(aa)</w:t>
      </w:r>
      <w:r>
        <w:t>, (ab) and (ac)</w:t>
      </w:r>
      <w:r w:rsidRPr="00F54994">
        <w:t xml:space="preserve"> enable a Product Disclosure Statement for the accessible</w:t>
      </w:r>
      <w:r>
        <w:t> </w:t>
      </w:r>
      <w:r w:rsidRPr="00F54994">
        <w:t>financial product to be prepared by the trustee where:</w:t>
      </w:r>
    </w:p>
    <w:p w14:paraId="0BD5BAB8" w14:textId="77777777" w:rsidR="00012EE0" w:rsidRPr="00A1598A" w:rsidRDefault="00012EE0" w:rsidP="00DA73A1">
      <w:pPr>
        <w:pStyle w:val="LI-Sectionsubparai"/>
        <w:spacing w:before="200"/>
        <w:rPr>
          <w:sz w:val="18"/>
          <w:szCs w:val="18"/>
        </w:rPr>
      </w:pPr>
      <w:r w:rsidRPr="00A1598A">
        <w:rPr>
          <w:sz w:val="18"/>
          <w:szCs w:val="18"/>
        </w:rPr>
        <w:t>(a)</w:t>
      </w:r>
      <w:r w:rsidRPr="00A1598A">
        <w:rPr>
          <w:sz w:val="18"/>
          <w:szCs w:val="18"/>
        </w:rPr>
        <w:tab/>
        <w:t xml:space="preserve">the trustee chooses to comply with subsections (3) and (4) of this </w:t>
      </w:r>
      <w:r w:rsidRPr="006A6509">
        <w:rPr>
          <w:sz w:val="18"/>
          <w:szCs w:val="18"/>
        </w:rPr>
        <w:t>section; or</w:t>
      </w:r>
    </w:p>
    <w:p w14:paraId="2168E01D" w14:textId="77777777" w:rsidR="00012EE0" w:rsidRDefault="00012EE0" w:rsidP="00DA73A1">
      <w:pPr>
        <w:pStyle w:val="LI-Sectionsubparai"/>
        <w:spacing w:before="200"/>
        <w:rPr>
          <w:sz w:val="18"/>
          <w:szCs w:val="18"/>
        </w:rPr>
      </w:pPr>
      <w:r w:rsidRPr="00A1598A">
        <w:rPr>
          <w:sz w:val="18"/>
          <w:szCs w:val="18"/>
        </w:rPr>
        <w:t>(b)</w:t>
      </w:r>
      <w:r w:rsidRPr="00A1598A">
        <w:rPr>
          <w:sz w:val="18"/>
          <w:szCs w:val="18"/>
        </w:rPr>
        <w:tab/>
        <w:t>the trustee chooses to comply with subsections (5) and (6) of this section.</w:t>
      </w:r>
    </w:p>
    <w:p w14:paraId="4F6A8603" w14:textId="77777777" w:rsidR="00012EE0" w:rsidRPr="00791420" w:rsidRDefault="00012EE0" w:rsidP="00DA73A1">
      <w:pPr>
        <w:pStyle w:val="LI-SectionNote"/>
        <w:spacing w:before="200"/>
      </w:pPr>
      <w:r w:rsidRPr="00F54994">
        <w:t>Note</w:t>
      </w:r>
      <w:r>
        <w:t xml:space="preserve"> 2</w:t>
      </w:r>
      <w:r w:rsidRPr="00F54994">
        <w:t>:</w:t>
      </w:r>
      <w:r w:rsidRPr="00F54994">
        <w:tab/>
      </w:r>
      <w:r>
        <w:t xml:space="preserve">Where the trustee chooses to comply with subsections (3) and (4) of this section, the </w:t>
      </w:r>
      <w:r w:rsidRPr="00F54994">
        <w:t>Product Disclosure Statement for the accessible</w:t>
      </w:r>
      <w:r>
        <w:t> </w:t>
      </w:r>
      <w:r w:rsidRPr="00F54994">
        <w:t xml:space="preserve">financial product </w:t>
      </w:r>
      <w:r>
        <w:t>may</w:t>
      </w:r>
      <w:r w:rsidRPr="00F54994">
        <w:t xml:space="preserve"> be prepared by the trustee </w:t>
      </w:r>
      <w:r>
        <w:t>or by issuer of the accessible financial product.</w:t>
      </w:r>
      <w:proofErr w:type="gramStart"/>
      <w:r w:rsidRPr="003C6895">
        <w:rPr>
          <w:sz w:val="24"/>
          <w:szCs w:val="24"/>
        </w:rPr>
        <w:t>”;</w:t>
      </w:r>
      <w:proofErr w:type="gramEnd"/>
    </w:p>
    <w:p w14:paraId="44A3F3E3" w14:textId="6CF08642" w:rsidR="00012EE0" w:rsidRPr="00CB0151" w:rsidRDefault="00012EE0" w:rsidP="00DA73A1">
      <w:pPr>
        <w:pStyle w:val="LI-BodyTextNumbered"/>
        <w:spacing w:before="200"/>
      </w:pPr>
      <w:r w:rsidRPr="00CB0151">
        <w:t>(</w:t>
      </w:r>
      <w:r>
        <w:t>f</w:t>
      </w:r>
      <w:r w:rsidRPr="00CB0151">
        <w:t>)</w:t>
      </w:r>
      <w:r>
        <w:tab/>
      </w:r>
      <w:r w:rsidRPr="00CB0151">
        <w:t>after section 1017C</w:t>
      </w:r>
      <w:r w:rsidR="001C7794">
        <w:t>,</w:t>
      </w:r>
      <w:r w:rsidRPr="00CB0151">
        <w:t xml:space="preserve"> insert:</w:t>
      </w:r>
    </w:p>
    <w:p w14:paraId="60D01A4A" w14:textId="77777777" w:rsidR="00012EE0" w:rsidRPr="00A1598A" w:rsidRDefault="00012EE0" w:rsidP="00DA73A1">
      <w:pPr>
        <w:pStyle w:val="LI-BodyTextSubparai"/>
        <w:spacing w:before="200"/>
        <w:ind w:left="2694" w:hanging="993"/>
        <w:rPr>
          <w:b/>
          <w:bCs/>
          <w:lang w:val="en"/>
        </w:rPr>
      </w:pPr>
      <w:r w:rsidRPr="0043105B">
        <w:rPr>
          <w:lang w:val="en"/>
        </w:rPr>
        <w:t>“</w:t>
      </w:r>
      <w:r w:rsidRPr="00A1598A">
        <w:rPr>
          <w:b/>
          <w:bCs/>
          <w:lang w:val="en"/>
        </w:rPr>
        <w:t xml:space="preserve">1017CA </w:t>
      </w:r>
      <w:bookmarkStart w:id="23" w:name="_Hlk87787953"/>
      <w:r w:rsidRPr="00A1598A">
        <w:rPr>
          <w:b/>
          <w:bCs/>
          <w:lang w:val="en"/>
        </w:rPr>
        <w:t>Information for existing holders of superannuation products who have given instructions to make regulated acquisitions</w:t>
      </w:r>
    </w:p>
    <w:bookmarkEnd w:id="23"/>
    <w:p w14:paraId="2A8D6605" w14:textId="77777777" w:rsidR="00012EE0" w:rsidRPr="00CB0151" w:rsidRDefault="00012EE0" w:rsidP="00DA73A1">
      <w:pPr>
        <w:pStyle w:val="LI-BodyTextSubparai"/>
        <w:spacing w:before="200"/>
        <w:rPr>
          <w:lang w:val="en"/>
        </w:rPr>
      </w:pPr>
      <w:r w:rsidRPr="00CB0151">
        <w:rPr>
          <w:lang w:val="en"/>
        </w:rPr>
        <w:t>(1)</w:t>
      </w:r>
      <w:r w:rsidRPr="00CB0151">
        <w:rPr>
          <w:lang w:val="en"/>
        </w:rPr>
        <w:tab/>
      </w:r>
      <w:r>
        <w:rPr>
          <w:lang w:val="en"/>
        </w:rPr>
        <w:t>This section applies to a trustee of a superannuation entity if</w:t>
      </w:r>
      <w:r w:rsidRPr="00CB0151">
        <w:rPr>
          <w:lang w:val="en"/>
        </w:rPr>
        <w:t>:</w:t>
      </w:r>
    </w:p>
    <w:p w14:paraId="0D8F9F31" w14:textId="77777777" w:rsidR="00012EE0" w:rsidRPr="00CB0151" w:rsidRDefault="00012EE0" w:rsidP="00DA73A1">
      <w:pPr>
        <w:pStyle w:val="LI-BodyTextSubsubparaA"/>
        <w:spacing w:before="200"/>
        <w:rPr>
          <w:lang w:val="en"/>
        </w:rPr>
      </w:pPr>
      <w:r w:rsidRPr="00CB0151">
        <w:rPr>
          <w:lang w:val="en"/>
        </w:rPr>
        <w:t>(a)</w:t>
      </w:r>
      <w:r w:rsidRPr="00CB0151">
        <w:rPr>
          <w:lang w:val="en"/>
        </w:rPr>
        <w:tab/>
        <w:t xml:space="preserve">a person (the </w:t>
      </w:r>
      <w:r w:rsidRPr="00CB0151">
        <w:rPr>
          <w:b/>
          <w:i/>
          <w:iCs/>
          <w:lang w:val="en"/>
        </w:rPr>
        <w:t>client</w:t>
      </w:r>
      <w:r w:rsidRPr="00CB0151">
        <w:rPr>
          <w:lang w:val="en"/>
        </w:rPr>
        <w:t xml:space="preserve">) has directed the trustee to follow an investment strategy (the </w:t>
      </w:r>
      <w:r w:rsidRPr="00CB0151">
        <w:rPr>
          <w:b/>
          <w:i/>
          <w:iCs/>
          <w:lang w:val="en"/>
        </w:rPr>
        <w:t>affected investment strategy</w:t>
      </w:r>
      <w:r w:rsidRPr="00CB0151">
        <w:rPr>
          <w:lang w:val="en"/>
        </w:rPr>
        <w:t>) that involves making a regulated acquisition of an accessible financial product in relation to all or part of the client</w:t>
      </w:r>
      <w:r>
        <w:rPr>
          <w:lang w:val="en"/>
        </w:rPr>
        <w:t>’</w:t>
      </w:r>
      <w:r w:rsidRPr="00CB0151">
        <w:rPr>
          <w:lang w:val="en"/>
        </w:rPr>
        <w:t>s holding of the superannuation product to which the entity relates; and</w:t>
      </w:r>
    </w:p>
    <w:p w14:paraId="59DAD851" w14:textId="77777777" w:rsidR="00012EE0" w:rsidRPr="00CB0151" w:rsidRDefault="00012EE0" w:rsidP="00DA73A1">
      <w:pPr>
        <w:pStyle w:val="LI-BodyTextSubsubparaA"/>
        <w:spacing w:before="200"/>
        <w:rPr>
          <w:lang w:val="en"/>
        </w:rPr>
      </w:pPr>
      <w:r w:rsidRPr="00CB0151">
        <w:rPr>
          <w:lang w:val="en"/>
        </w:rPr>
        <w:t>(b)</w:t>
      </w:r>
      <w:r w:rsidRPr="00CB0151">
        <w:rPr>
          <w:lang w:val="en"/>
        </w:rPr>
        <w:tab/>
        <w:t xml:space="preserve">at a time when the </w:t>
      </w:r>
      <w:r>
        <w:rPr>
          <w:lang w:val="en"/>
        </w:rPr>
        <w:t xml:space="preserve">trustee (or another person with whom the trustee has an arrangement) </w:t>
      </w:r>
      <w:r w:rsidRPr="00CB0151">
        <w:rPr>
          <w:lang w:val="en"/>
        </w:rPr>
        <w:t>holds the accessible financial product as a result of the client</w:t>
      </w:r>
      <w:r>
        <w:rPr>
          <w:lang w:val="en"/>
        </w:rPr>
        <w:t>’</w:t>
      </w:r>
      <w:r w:rsidRPr="00CB0151">
        <w:rPr>
          <w:lang w:val="en"/>
        </w:rPr>
        <w:t>s direction, a material adverse change to a matter, or a significant event that adversely affects a matter occurs, being a matter that would have been required to be specified in a Product Disclosure Statement for the accessible financial product</w:t>
      </w:r>
      <w:r>
        <w:rPr>
          <w:lang w:val="en"/>
        </w:rPr>
        <w:t xml:space="preserve"> prepared on the day before the change or event</w:t>
      </w:r>
      <w:r w:rsidRPr="00CB0151">
        <w:rPr>
          <w:lang w:val="en"/>
        </w:rPr>
        <w:t xml:space="preserve"> occurs; and</w:t>
      </w:r>
    </w:p>
    <w:p w14:paraId="3BA97A23" w14:textId="77777777" w:rsidR="00012EE0" w:rsidRPr="00CB0151" w:rsidRDefault="00012EE0" w:rsidP="00012EE0">
      <w:pPr>
        <w:pStyle w:val="LI-BodyTextSubsubparaA"/>
        <w:rPr>
          <w:lang w:val="en"/>
        </w:rPr>
      </w:pPr>
      <w:r w:rsidRPr="00CB0151">
        <w:rPr>
          <w:lang w:val="en"/>
        </w:rPr>
        <w:lastRenderedPageBreak/>
        <w:t>(c)</w:t>
      </w:r>
      <w:r w:rsidRPr="00CB0151">
        <w:rPr>
          <w:lang w:val="en"/>
        </w:rPr>
        <w:tab/>
        <w:t xml:space="preserve">the </w:t>
      </w:r>
      <w:r>
        <w:rPr>
          <w:lang w:val="en"/>
        </w:rPr>
        <w:t>trustee</w:t>
      </w:r>
      <w:r w:rsidRPr="00CB0151">
        <w:rPr>
          <w:lang w:val="en"/>
        </w:rPr>
        <w:t xml:space="preserve"> has not decided to stop making regulated acquisitions of the product under the affected </w:t>
      </w:r>
      <w:r>
        <w:rPr>
          <w:lang w:val="en"/>
        </w:rPr>
        <w:t xml:space="preserve">investment </w:t>
      </w:r>
      <w:r w:rsidRPr="00CB0151">
        <w:rPr>
          <w:lang w:val="en"/>
        </w:rPr>
        <w:t>strategy</w:t>
      </w:r>
      <w:r>
        <w:rPr>
          <w:lang w:val="en"/>
        </w:rPr>
        <w:t>.</w:t>
      </w:r>
    </w:p>
    <w:p w14:paraId="6FBF5AF7" w14:textId="77777777" w:rsidR="00012EE0" w:rsidRPr="00CB0151" w:rsidRDefault="00012EE0" w:rsidP="00DA73A1">
      <w:pPr>
        <w:pStyle w:val="LI-SectionNote"/>
        <w:spacing w:before="200"/>
        <w:rPr>
          <w:lang w:val="en"/>
        </w:rPr>
      </w:pPr>
      <w:r w:rsidRPr="00A35271">
        <w:rPr>
          <w:lang w:val="en"/>
        </w:rPr>
        <w:t>Note:   Paragraph (b) applies whether or not a Product Disclosure Statement was in fact prepared (or required to be prepared) on the day before the change or event occurs.</w:t>
      </w:r>
    </w:p>
    <w:p w14:paraId="1B11B629" w14:textId="77777777" w:rsidR="00012EE0" w:rsidRPr="00CB0151" w:rsidRDefault="00012EE0" w:rsidP="00DA73A1">
      <w:pPr>
        <w:pStyle w:val="LI-BodyTextSubparai"/>
        <w:spacing w:before="200"/>
        <w:rPr>
          <w:lang w:val="en"/>
        </w:rPr>
      </w:pPr>
      <w:r w:rsidRPr="00CB0151">
        <w:rPr>
          <w:lang w:val="en"/>
        </w:rPr>
        <w:t>(2)</w:t>
      </w:r>
      <w:r w:rsidRPr="00CB0151">
        <w:rPr>
          <w:lang w:val="en"/>
        </w:rPr>
        <w:tab/>
        <w:t xml:space="preserve">As soon as practicable after the change or event occurs, the </w:t>
      </w:r>
      <w:r>
        <w:rPr>
          <w:lang w:val="en"/>
        </w:rPr>
        <w:t>trustee</w:t>
      </w:r>
      <w:r w:rsidRPr="00CB0151">
        <w:rPr>
          <w:lang w:val="en"/>
        </w:rPr>
        <w:t xml:space="preserve"> must notify the client</w:t>
      </w:r>
      <w:r>
        <w:rPr>
          <w:lang w:val="en"/>
        </w:rPr>
        <w:t xml:space="preserve"> in accordance with subsections (3) and (4)</w:t>
      </w:r>
      <w:r w:rsidRPr="00CB0151">
        <w:rPr>
          <w:lang w:val="en"/>
        </w:rPr>
        <w:t>:</w:t>
      </w:r>
    </w:p>
    <w:p w14:paraId="11860343" w14:textId="77777777" w:rsidR="00012EE0" w:rsidRPr="00CB0151" w:rsidRDefault="00012EE0" w:rsidP="00DA73A1">
      <w:pPr>
        <w:pStyle w:val="LI-BodyTextSubsubparaA"/>
        <w:spacing w:before="200"/>
        <w:rPr>
          <w:lang w:val="en"/>
        </w:rPr>
      </w:pPr>
      <w:r w:rsidRPr="00CB0151">
        <w:rPr>
          <w:lang w:val="en"/>
        </w:rPr>
        <w:t>(a)</w:t>
      </w:r>
      <w:r w:rsidRPr="00CB0151">
        <w:rPr>
          <w:lang w:val="en"/>
        </w:rPr>
        <w:tab/>
        <w:t>of the change or event; and</w:t>
      </w:r>
    </w:p>
    <w:p w14:paraId="5D37D5F0" w14:textId="77777777" w:rsidR="00012EE0" w:rsidRPr="00CB0151" w:rsidRDefault="00012EE0" w:rsidP="00DA73A1">
      <w:pPr>
        <w:pStyle w:val="LI-BodyTextSubsubparaA"/>
        <w:spacing w:before="200"/>
        <w:rPr>
          <w:lang w:val="en"/>
        </w:rPr>
      </w:pPr>
      <w:r w:rsidRPr="00CB0151">
        <w:rPr>
          <w:lang w:val="en"/>
        </w:rPr>
        <w:t>(b)</w:t>
      </w:r>
      <w:r w:rsidRPr="00CB0151">
        <w:rPr>
          <w:lang w:val="en"/>
        </w:rPr>
        <w:tab/>
        <w:t>that:</w:t>
      </w:r>
    </w:p>
    <w:p w14:paraId="421745A8" w14:textId="77777777" w:rsidR="00012EE0" w:rsidRPr="00CB0151" w:rsidRDefault="00012EE0" w:rsidP="00DA73A1">
      <w:pPr>
        <w:pStyle w:val="LI-Sectionsubparai"/>
        <w:spacing w:before="200"/>
        <w:rPr>
          <w:lang w:val="en"/>
        </w:rPr>
      </w:pPr>
      <w:r w:rsidRPr="00CB0151">
        <w:rPr>
          <w:lang w:val="en"/>
        </w:rPr>
        <w:t>(</w:t>
      </w:r>
      <w:proofErr w:type="spellStart"/>
      <w:r w:rsidRPr="00CB0151">
        <w:rPr>
          <w:lang w:val="en"/>
        </w:rPr>
        <w:t>i</w:t>
      </w:r>
      <w:proofErr w:type="spellEnd"/>
      <w:r w:rsidRPr="00CB0151">
        <w:rPr>
          <w:lang w:val="en"/>
        </w:rPr>
        <w:t>)</w:t>
      </w:r>
      <w:r w:rsidRPr="00CB0151">
        <w:rPr>
          <w:lang w:val="en"/>
        </w:rPr>
        <w:tab/>
        <w:t xml:space="preserve">the client may direct the </w:t>
      </w:r>
      <w:r>
        <w:rPr>
          <w:lang w:val="en"/>
        </w:rPr>
        <w:t>trustee</w:t>
      </w:r>
      <w:r w:rsidRPr="00CB0151">
        <w:rPr>
          <w:lang w:val="en"/>
        </w:rPr>
        <w:t xml:space="preserve"> to follow an investment strategy made available by the </w:t>
      </w:r>
      <w:r>
        <w:rPr>
          <w:lang w:val="en"/>
        </w:rPr>
        <w:t>trustee</w:t>
      </w:r>
      <w:r w:rsidRPr="00CB0151">
        <w:rPr>
          <w:lang w:val="en"/>
        </w:rPr>
        <w:t xml:space="preserve"> that does not involve regulated acquisitions of the accessible financial product, in relation to </w:t>
      </w:r>
      <w:r>
        <w:rPr>
          <w:lang w:val="en"/>
        </w:rPr>
        <w:t xml:space="preserve">either or both </w:t>
      </w:r>
      <w:r w:rsidRPr="00CB0151">
        <w:rPr>
          <w:lang w:val="en"/>
        </w:rPr>
        <w:t>of the following:</w:t>
      </w:r>
    </w:p>
    <w:p w14:paraId="11D82656" w14:textId="77777777" w:rsidR="00012EE0" w:rsidRPr="00CB0151" w:rsidRDefault="00012EE0" w:rsidP="00DA73A1">
      <w:pPr>
        <w:pStyle w:val="LI-SectionsubsubparaA"/>
        <w:spacing w:before="200"/>
        <w:rPr>
          <w:lang w:val="en"/>
        </w:rPr>
      </w:pPr>
      <w:r w:rsidRPr="00CB0151">
        <w:rPr>
          <w:lang w:val="en"/>
        </w:rPr>
        <w:t>(A)</w:t>
      </w:r>
      <w:r w:rsidRPr="00CB0151">
        <w:rPr>
          <w:lang w:val="en"/>
        </w:rPr>
        <w:tab/>
        <w:t xml:space="preserve">the holding in the product that the </w:t>
      </w:r>
      <w:r>
        <w:rPr>
          <w:lang w:val="en"/>
        </w:rPr>
        <w:t xml:space="preserve">trustee (or other person with whom the trustee has an arrangement) </w:t>
      </w:r>
      <w:r w:rsidRPr="00CB0151">
        <w:rPr>
          <w:lang w:val="en"/>
        </w:rPr>
        <w:t xml:space="preserve">has acquired as a result of following the affected investment </w:t>
      </w:r>
      <w:proofErr w:type="gramStart"/>
      <w:r w:rsidRPr="00CB0151">
        <w:rPr>
          <w:lang w:val="en"/>
        </w:rPr>
        <w:t>strategy;</w:t>
      </w:r>
      <w:proofErr w:type="gramEnd"/>
    </w:p>
    <w:p w14:paraId="2C435EBA" w14:textId="77777777" w:rsidR="00012EE0" w:rsidRPr="00CB0151" w:rsidRDefault="00012EE0" w:rsidP="00DA73A1">
      <w:pPr>
        <w:pStyle w:val="LI-SectionsubsubparaA"/>
        <w:spacing w:before="200"/>
        <w:rPr>
          <w:lang w:val="en"/>
        </w:rPr>
      </w:pPr>
      <w:r w:rsidRPr="00CB0151">
        <w:rPr>
          <w:lang w:val="en"/>
        </w:rPr>
        <w:t>(B)</w:t>
      </w:r>
      <w:r w:rsidRPr="00CB0151">
        <w:rPr>
          <w:lang w:val="en"/>
        </w:rPr>
        <w:tab/>
        <w:t>any future contribution by or on behalf of the client to the superannuation entity to the extent to which it would otherwise have been subject to the affected investment strategy; and</w:t>
      </w:r>
    </w:p>
    <w:p w14:paraId="2F95C2DD" w14:textId="77777777" w:rsidR="00012EE0" w:rsidRPr="00CB0151" w:rsidRDefault="00012EE0" w:rsidP="00DA73A1">
      <w:pPr>
        <w:pStyle w:val="LI-Sectionsubparai"/>
        <w:spacing w:before="200"/>
        <w:rPr>
          <w:lang w:val="en"/>
        </w:rPr>
      </w:pPr>
      <w:r w:rsidRPr="00CB0151">
        <w:rPr>
          <w:lang w:val="en"/>
        </w:rPr>
        <w:t>(ii)</w:t>
      </w:r>
      <w:r w:rsidRPr="00CB0151">
        <w:rPr>
          <w:lang w:val="en"/>
        </w:rPr>
        <w:tab/>
        <w:t xml:space="preserve">if the client does not give the </w:t>
      </w:r>
      <w:r>
        <w:rPr>
          <w:lang w:val="en"/>
        </w:rPr>
        <w:t>trustee</w:t>
      </w:r>
      <w:r w:rsidRPr="00CB0151">
        <w:rPr>
          <w:lang w:val="en"/>
        </w:rPr>
        <w:t xml:space="preserve"> directions in accordance with subparagraph (</w:t>
      </w:r>
      <w:proofErr w:type="spellStart"/>
      <w:r w:rsidRPr="00CB0151">
        <w:rPr>
          <w:lang w:val="en"/>
        </w:rPr>
        <w:t>i</w:t>
      </w:r>
      <w:proofErr w:type="spellEnd"/>
      <w:r w:rsidRPr="00CB0151">
        <w:rPr>
          <w:lang w:val="en"/>
        </w:rPr>
        <w:t>)</w:t>
      </w:r>
      <w:r>
        <w:rPr>
          <w:lang w:val="en"/>
        </w:rPr>
        <w:t>—</w:t>
      </w:r>
      <w:r w:rsidRPr="00CB0151">
        <w:rPr>
          <w:lang w:val="en"/>
        </w:rPr>
        <w:t xml:space="preserve">the </w:t>
      </w:r>
      <w:r>
        <w:rPr>
          <w:lang w:val="en"/>
        </w:rPr>
        <w:t>trustee</w:t>
      </w:r>
      <w:r w:rsidRPr="00CB0151">
        <w:rPr>
          <w:lang w:val="en"/>
        </w:rPr>
        <w:t xml:space="preserve"> will continue to follow the affected investment strategy.</w:t>
      </w:r>
    </w:p>
    <w:p w14:paraId="1F616218" w14:textId="1EC0157A" w:rsidR="00012EE0" w:rsidRDefault="00012EE0" w:rsidP="00DA73A1">
      <w:pPr>
        <w:pStyle w:val="LI-SectionSubsectionText"/>
        <w:spacing w:before="200"/>
        <w:rPr>
          <w:lang w:val="en"/>
        </w:rPr>
      </w:pPr>
      <w:r w:rsidRPr="00CB0151">
        <w:rPr>
          <w:lang w:val="en"/>
        </w:rPr>
        <w:t>(3)</w:t>
      </w:r>
      <w:r w:rsidRPr="00CB0151">
        <w:rPr>
          <w:lang w:val="en"/>
        </w:rPr>
        <w:tab/>
        <w:t xml:space="preserve">The </w:t>
      </w:r>
      <w:r>
        <w:rPr>
          <w:lang w:val="en"/>
        </w:rPr>
        <w:t xml:space="preserve">trustee </w:t>
      </w:r>
      <w:r w:rsidRPr="00CB0151">
        <w:rPr>
          <w:lang w:val="en"/>
        </w:rPr>
        <w:t xml:space="preserve">must notify the client in </w:t>
      </w:r>
      <w:r>
        <w:rPr>
          <w:lang w:val="en"/>
        </w:rPr>
        <w:t>one of the ways that a notification under subsection 1017B(1) is required to be given.</w:t>
      </w:r>
    </w:p>
    <w:p w14:paraId="75FCE2F8" w14:textId="4A04B61F" w:rsidR="00012EE0" w:rsidRPr="00CB0151" w:rsidRDefault="00012EE0" w:rsidP="00DA73A1">
      <w:pPr>
        <w:pStyle w:val="LI-SectionSubsectionText"/>
        <w:spacing w:before="200"/>
        <w:rPr>
          <w:lang w:val="en"/>
        </w:rPr>
      </w:pPr>
      <w:r w:rsidRPr="00CB0151">
        <w:rPr>
          <w:lang w:val="en"/>
        </w:rPr>
        <w:t>(4)</w:t>
      </w:r>
      <w:r w:rsidRPr="00CB0151">
        <w:rPr>
          <w:lang w:val="en"/>
        </w:rPr>
        <w:tab/>
        <w:t xml:space="preserve">The notice must give the client the information that </w:t>
      </w:r>
      <w:proofErr w:type="spellStart"/>
      <w:r w:rsidRPr="00CB0151">
        <w:rPr>
          <w:lang w:val="en"/>
        </w:rPr>
        <w:t>isreasonably</w:t>
      </w:r>
      <w:proofErr w:type="spellEnd"/>
      <w:r w:rsidRPr="00CB0151">
        <w:rPr>
          <w:lang w:val="en"/>
        </w:rPr>
        <w:t xml:space="preserve"> necessary for the client to understand the nature and effect of the change or event.</w:t>
      </w:r>
    </w:p>
    <w:p w14:paraId="019C4367" w14:textId="77777777" w:rsidR="00012EE0" w:rsidRPr="00CB0151" w:rsidRDefault="00012EE0" w:rsidP="00DA73A1">
      <w:pPr>
        <w:pStyle w:val="LI-SectionSubsectionText"/>
        <w:spacing w:before="200"/>
        <w:rPr>
          <w:lang w:val="en"/>
        </w:rPr>
      </w:pPr>
      <w:r w:rsidRPr="00CB0151">
        <w:rPr>
          <w:lang w:val="en"/>
        </w:rPr>
        <w:t>(</w:t>
      </w:r>
      <w:r>
        <w:rPr>
          <w:lang w:val="en"/>
        </w:rPr>
        <w:t>5</w:t>
      </w:r>
      <w:r w:rsidRPr="00CB0151">
        <w:rPr>
          <w:lang w:val="en"/>
        </w:rPr>
        <w:t>)</w:t>
      </w:r>
      <w:r w:rsidRPr="00CB0151">
        <w:rPr>
          <w:lang w:val="en"/>
        </w:rPr>
        <w:tab/>
      </w:r>
      <w:r>
        <w:rPr>
          <w:lang w:val="en"/>
        </w:rPr>
        <w:t xml:space="preserve">At </w:t>
      </w:r>
      <w:r w:rsidRPr="00CB0151">
        <w:rPr>
          <w:lang w:val="en"/>
        </w:rPr>
        <w:t xml:space="preserve">the same time as notifying the client, the </w:t>
      </w:r>
      <w:r>
        <w:rPr>
          <w:lang w:val="en"/>
        </w:rPr>
        <w:t>trustee</w:t>
      </w:r>
      <w:r w:rsidRPr="00CB0151">
        <w:rPr>
          <w:lang w:val="en"/>
        </w:rPr>
        <w:t xml:space="preserve"> must give the client:</w:t>
      </w:r>
    </w:p>
    <w:p w14:paraId="62D26AE8" w14:textId="77777777" w:rsidR="00012EE0" w:rsidRPr="001C6F6B" w:rsidRDefault="00012EE0" w:rsidP="00DA73A1">
      <w:pPr>
        <w:pStyle w:val="LI-BodyTextSubsubparaA"/>
        <w:spacing w:before="200"/>
      </w:pPr>
      <w:r w:rsidRPr="001C6F6B">
        <w:t>(a)</w:t>
      </w:r>
      <w:r w:rsidRPr="001C6F6B">
        <w:tab/>
        <w:t>where the only regulated acquisitions of the accessible financial product that the trustee is making or is proposing to make are additional acquisitions—either:</w:t>
      </w:r>
    </w:p>
    <w:p w14:paraId="3D5C31BB" w14:textId="77777777" w:rsidR="00012EE0" w:rsidRPr="00CB0151" w:rsidRDefault="00012EE0" w:rsidP="00DA73A1">
      <w:pPr>
        <w:pStyle w:val="LI-Sectionsubparai"/>
        <w:spacing w:before="200"/>
        <w:rPr>
          <w:lang w:val="en"/>
        </w:rPr>
      </w:pPr>
      <w:r w:rsidRPr="00CB0151">
        <w:rPr>
          <w:lang w:val="en"/>
        </w:rPr>
        <w:t>(</w:t>
      </w:r>
      <w:proofErr w:type="spellStart"/>
      <w:r w:rsidRPr="00CB0151">
        <w:rPr>
          <w:lang w:val="en"/>
        </w:rPr>
        <w:t>i</w:t>
      </w:r>
      <w:proofErr w:type="spellEnd"/>
      <w:r w:rsidRPr="00CB0151">
        <w:rPr>
          <w:lang w:val="en"/>
        </w:rPr>
        <w:t>)</w:t>
      </w:r>
      <w:r w:rsidRPr="00CB0151">
        <w:rPr>
          <w:lang w:val="en"/>
        </w:rPr>
        <w:tab/>
        <w:t xml:space="preserve">any further information that the client reasonably requires for the purposes of </w:t>
      </w:r>
      <w:proofErr w:type="gramStart"/>
      <w:r w:rsidRPr="00CB0151">
        <w:rPr>
          <w:lang w:val="en"/>
        </w:rPr>
        <w:t>making a decision</w:t>
      </w:r>
      <w:proofErr w:type="gramEnd"/>
      <w:r w:rsidRPr="00CB0151">
        <w:rPr>
          <w:lang w:val="en"/>
        </w:rPr>
        <w:t xml:space="preserve"> </w:t>
      </w:r>
      <w:r w:rsidRPr="00CB0151">
        <w:rPr>
          <w:lang w:val="en"/>
        </w:rPr>
        <w:lastRenderedPageBreak/>
        <w:t>about whether to give a direction of the kind referred to in paragraph (2)(b); or</w:t>
      </w:r>
    </w:p>
    <w:p w14:paraId="14ECA402" w14:textId="77777777" w:rsidR="00012EE0" w:rsidRPr="00CB0151" w:rsidRDefault="00012EE0" w:rsidP="00DA73A1">
      <w:pPr>
        <w:pStyle w:val="LI-Sectionsubparai"/>
        <w:spacing w:before="200"/>
        <w:rPr>
          <w:lang w:val="en"/>
        </w:rPr>
      </w:pPr>
      <w:r w:rsidRPr="00CB0151">
        <w:rPr>
          <w:lang w:val="en"/>
        </w:rPr>
        <w:t>(ii)</w:t>
      </w:r>
      <w:r w:rsidRPr="00CB0151">
        <w:rPr>
          <w:lang w:val="en"/>
        </w:rPr>
        <w:tab/>
        <w:t>a Product Disclosure Statement for the accessible financial product that would be required to be given under section</w:t>
      </w:r>
      <w:r>
        <w:rPr>
          <w:lang w:val="en"/>
        </w:rPr>
        <w:t> </w:t>
      </w:r>
      <w:r w:rsidRPr="00CB0151">
        <w:rPr>
          <w:lang w:val="en"/>
        </w:rPr>
        <w:t>1012IA in relation to a regulated acquisition of the product on the instruction of a person who is not a holder of the product on the day the notice is sent; or</w:t>
      </w:r>
    </w:p>
    <w:p w14:paraId="555CA8BB" w14:textId="77777777" w:rsidR="00012EE0" w:rsidRPr="00CB0151" w:rsidRDefault="00012EE0" w:rsidP="00DA73A1">
      <w:pPr>
        <w:pStyle w:val="LI-BodyTextSubsubparaA"/>
        <w:spacing w:before="200"/>
        <w:rPr>
          <w:lang w:val="en"/>
        </w:rPr>
      </w:pPr>
      <w:r w:rsidRPr="00CB0151">
        <w:rPr>
          <w:lang w:val="en"/>
        </w:rPr>
        <w:t>(b)</w:t>
      </w:r>
      <w:r w:rsidRPr="00CB0151">
        <w:rPr>
          <w:lang w:val="en"/>
        </w:rPr>
        <w:tab/>
        <w:t>otherwise</w:t>
      </w:r>
      <w:r>
        <w:rPr>
          <w:lang w:val="en"/>
        </w:rPr>
        <w:t>—a Product Disclosure Statement for the accessible financial product</w:t>
      </w:r>
      <w:r w:rsidRPr="00CB0151">
        <w:rPr>
          <w:lang w:val="en"/>
        </w:rPr>
        <w:t>.</w:t>
      </w:r>
    </w:p>
    <w:p w14:paraId="5EC1FD20" w14:textId="77777777" w:rsidR="00012EE0" w:rsidRDefault="00012EE0" w:rsidP="00DA73A1">
      <w:pPr>
        <w:pStyle w:val="LI-SectionNote"/>
        <w:spacing w:before="200"/>
        <w:rPr>
          <w:lang w:val="en"/>
        </w:rPr>
      </w:pPr>
      <w:r>
        <w:rPr>
          <w:lang w:val="en"/>
        </w:rPr>
        <w:t xml:space="preserve">Note 1: </w:t>
      </w:r>
      <w:r w:rsidRPr="00A6543B">
        <w:rPr>
          <w:lang w:val="en"/>
        </w:rPr>
        <w:t>The information referred to in subparagraph (a)(</w:t>
      </w:r>
      <w:proofErr w:type="spellStart"/>
      <w:r w:rsidRPr="00A6543B">
        <w:rPr>
          <w:lang w:val="en"/>
        </w:rPr>
        <w:t>i</w:t>
      </w:r>
      <w:proofErr w:type="spellEnd"/>
      <w:r w:rsidRPr="00A6543B">
        <w:rPr>
          <w:lang w:val="en"/>
        </w:rPr>
        <w:t>) may be given by including it in the notice referred to in subsection (2).</w:t>
      </w:r>
    </w:p>
    <w:p w14:paraId="5318A3BE" w14:textId="77777777" w:rsidR="00012EE0" w:rsidRDefault="00012EE0" w:rsidP="00DA73A1">
      <w:pPr>
        <w:pStyle w:val="LI-SectionNote"/>
        <w:spacing w:before="200"/>
        <w:rPr>
          <w:lang w:val="en"/>
        </w:rPr>
      </w:pPr>
      <w:r w:rsidRPr="005B5C20">
        <w:rPr>
          <w:bCs/>
          <w:lang w:val="en"/>
        </w:rPr>
        <w:t>Note</w:t>
      </w:r>
      <w:r>
        <w:rPr>
          <w:bCs/>
          <w:lang w:val="en"/>
        </w:rPr>
        <w:t xml:space="preserve"> 2</w:t>
      </w:r>
      <w:r w:rsidRPr="005B5C20">
        <w:rPr>
          <w:bCs/>
          <w:lang w:val="en"/>
        </w:rPr>
        <w:t>:</w:t>
      </w:r>
      <w:r w:rsidRPr="005B5C20">
        <w:rPr>
          <w:bCs/>
          <w:lang w:val="en"/>
        </w:rPr>
        <w:tab/>
      </w:r>
      <w:r w:rsidRPr="005B5C20">
        <w:rPr>
          <w:lang w:val="en"/>
        </w:rPr>
        <w:t>Sections 1014D and 1014E will enable subparagraph (a)(ii) or paragraph (b) to be satisfied in some circumstances by giving a Product Disclosure Statement together with a Supplementary Product Disclosure Statement or just giving a Supplementary Product Disclosure Statement.</w:t>
      </w:r>
    </w:p>
    <w:p w14:paraId="734E982C" w14:textId="77777777" w:rsidR="00012EE0" w:rsidRPr="00CB0151" w:rsidRDefault="00012EE0" w:rsidP="00DA73A1">
      <w:pPr>
        <w:pStyle w:val="LI-BodyTextSubparai"/>
        <w:spacing w:before="200"/>
        <w:rPr>
          <w:lang w:val="en"/>
        </w:rPr>
      </w:pPr>
      <w:r w:rsidRPr="00CB0151">
        <w:rPr>
          <w:lang w:val="en"/>
        </w:rPr>
        <w:t>(</w:t>
      </w:r>
      <w:r>
        <w:rPr>
          <w:lang w:val="en"/>
        </w:rPr>
        <w:t>6</w:t>
      </w:r>
      <w:r w:rsidRPr="00CB0151">
        <w:rPr>
          <w:lang w:val="en"/>
        </w:rPr>
        <w:t>)</w:t>
      </w:r>
      <w:r w:rsidRPr="00CB0151">
        <w:rPr>
          <w:lang w:val="en"/>
        </w:rPr>
        <w:tab/>
        <w:t xml:space="preserve">The </w:t>
      </w:r>
      <w:r>
        <w:rPr>
          <w:lang w:val="en"/>
        </w:rPr>
        <w:t>trustee</w:t>
      </w:r>
      <w:r w:rsidRPr="00CB0151">
        <w:rPr>
          <w:lang w:val="en"/>
        </w:rPr>
        <w:t xml:space="preserve"> does not have to give the client information or a Product</w:t>
      </w:r>
      <w:r>
        <w:rPr>
          <w:lang w:val="en"/>
        </w:rPr>
        <w:t> </w:t>
      </w:r>
      <w:r w:rsidRPr="00CB0151">
        <w:rPr>
          <w:lang w:val="en"/>
        </w:rPr>
        <w:t xml:space="preserve">Disclosure Statement under </w:t>
      </w:r>
      <w:r>
        <w:rPr>
          <w:lang w:val="en"/>
        </w:rPr>
        <w:t>subsection</w:t>
      </w:r>
      <w:r w:rsidRPr="00CB0151">
        <w:rPr>
          <w:lang w:val="en"/>
        </w:rPr>
        <w:t xml:space="preserve"> (5) if:</w:t>
      </w:r>
    </w:p>
    <w:p w14:paraId="2930BC42" w14:textId="77777777" w:rsidR="00012EE0" w:rsidRPr="00CB0151" w:rsidRDefault="00012EE0" w:rsidP="00DA73A1">
      <w:pPr>
        <w:pStyle w:val="LI-BodyTextSubsubparaA"/>
        <w:spacing w:before="200"/>
        <w:rPr>
          <w:lang w:val="en"/>
        </w:rPr>
      </w:pPr>
      <w:r w:rsidRPr="00CB0151">
        <w:rPr>
          <w:lang w:val="en"/>
        </w:rPr>
        <w:t>(a)</w:t>
      </w:r>
      <w:r w:rsidRPr="00CB0151">
        <w:rPr>
          <w:lang w:val="en"/>
        </w:rPr>
        <w:tab/>
        <w:t>the client has already received a Product Disclosure Statement that contains all of the information that the first-mentioned Product Disclosure Statement would be required to contain; or</w:t>
      </w:r>
    </w:p>
    <w:p w14:paraId="4DB2F596" w14:textId="77777777" w:rsidR="00012EE0" w:rsidRPr="00CB0151" w:rsidRDefault="00012EE0" w:rsidP="00DA73A1">
      <w:pPr>
        <w:pStyle w:val="LI-BodyTextSubsubparaA"/>
        <w:spacing w:before="200"/>
        <w:rPr>
          <w:lang w:val="en"/>
        </w:rPr>
      </w:pPr>
      <w:r w:rsidRPr="00CB0151">
        <w:rPr>
          <w:lang w:val="en"/>
        </w:rPr>
        <w:t>(b)</w:t>
      </w:r>
      <w:r w:rsidRPr="00CB0151">
        <w:rPr>
          <w:lang w:val="en"/>
        </w:rPr>
        <w:tab/>
        <w:t xml:space="preserve">the </w:t>
      </w:r>
      <w:r>
        <w:rPr>
          <w:lang w:val="en"/>
        </w:rPr>
        <w:t>trustee</w:t>
      </w:r>
      <w:r w:rsidRPr="00CB0151">
        <w:rPr>
          <w:lang w:val="en"/>
        </w:rPr>
        <w:t xml:space="preserve"> believes on reasonable grounds that paragraph (a) applies.</w:t>
      </w:r>
    </w:p>
    <w:p w14:paraId="65844B83" w14:textId="77777777" w:rsidR="00012EE0" w:rsidRPr="00CB0151" w:rsidRDefault="00012EE0" w:rsidP="00DA73A1">
      <w:pPr>
        <w:pStyle w:val="LI-BodyTextSubparai"/>
        <w:spacing w:before="200"/>
        <w:rPr>
          <w:lang w:val="en"/>
        </w:rPr>
      </w:pPr>
      <w:r w:rsidRPr="00CB0151">
        <w:rPr>
          <w:lang w:val="en"/>
        </w:rPr>
        <w:t>(</w:t>
      </w:r>
      <w:r>
        <w:rPr>
          <w:lang w:val="en"/>
        </w:rPr>
        <w:t>7</w:t>
      </w:r>
      <w:r w:rsidRPr="00CB0151">
        <w:rPr>
          <w:lang w:val="en"/>
        </w:rPr>
        <w:t>)</w:t>
      </w:r>
      <w:r w:rsidRPr="00CB0151">
        <w:rPr>
          <w:lang w:val="en"/>
        </w:rPr>
        <w:tab/>
        <w:t xml:space="preserve">The </w:t>
      </w:r>
      <w:r>
        <w:rPr>
          <w:lang w:val="en"/>
        </w:rPr>
        <w:t>trustee</w:t>
      </w:r>
      <w:r w:rsidRPr="00CB0151">
        <w:rPr>
          <w:lang w:val="en"/>
        </w:rPr>
        <w:t xml:space="preserve"> does not have to give the client information or a Product</w:t>
      </w:r>
      <w:r>
        <w:rPr>
          <w:lang w:val="en"/>
        </w:rPr>
        <w:t> </w:t>
      </w:r>
      <w:r w:rsidRPr="00CB0151">
        <w:rPr>
          <w:lang w:val="en"/>
        </w:rPr>
        <w:t xml:space="preserve">Disclosure Statement under </w:t>
      </w:r>
      <w:r>
        <w:rPr>
          <w:lang w:val="en"/>
        </w:rPr>
        <w:t>subsection</w:t>
      </w:r>
      <w:r w:rsidRPr="00CB0151">
        <w:rPr>
          <w:lang w:val="en"/>
        </w:rPr>
        <w:t xml:space="preserve"> (5) if the </w:t>
      </w:r>
      <w:r>
        <w:rPr>
          <w:lang w:val="en"/>
        </w:rPr>
        <w:t>trustee</w:t>
      </w:r>
      <w:r w:rsidRPr="00CB0151">
        <w:rPr>
          <w:lang w:val="en"/>
        </w:rPr>
        <w:t xml:space="preserve"> believes on reasonable grounds that the client has received, or has, and knows that they have, access to, all of the information that the first-mentioned Product</w:t>
      </w:r>
      <w:r>
        <w:rPr>
          <w:lang w:val="en"/>
        </w:rPr>
        <w:t> </w:t>
      </w:r>
      <w:r w:rsidRPr="00CB0151">
        <w:rPr>
          <w:lang w:val="en"/>
        </w:rPr>
        <w:t>Disclosure Statement would be required to contain through:</w:t>
      </w:r>
    </w:p>
    <w:p w14:paraId="1F51E07F" w14:textId="77777777" w:rsidR="00012EE0" w:rsidRPr="00CB0151" w:rsidRDefault="00012EE0" w:rsidP="00DA73A1">
      <w:pPr>
        <w:pStyle w:val="LI-BodyTextSubsubparaA"/>
        <w:spacing w:before="200"/>
        <w:rPr>
          <w:lang w:val="en"/>
        </w:rPr>
      </w:pPr>
      <w:r w:rsidRPr="00CB0151">
        <w:rPr>
          <w:lang w:val="en"/>
        </w:rPr>
        <w:t>(a)</w:t>
      </w:r>
      <w:r w:rsidRPr="00CB0151">
        <w:rPr>
          <w:lang w:val="en"/>
        </w:rPr>
        <w:tab/>
        <w:t>a Product Disclosure Statement; and</w:t>
      </w:r>
    </w:p>
    <w:p w14:paraId="231E1DF0" w14:textId="77777777" w:rsidR="00012EE0" w:rsidRPr="00CB0151" w:rsidRDefault="00012EE0" w:rsidP="00DA73A1">
      <w:pPr>
        <w:pStyle w:val="LI-BodyTextSubsubparaA"/>
        <w:spacing w:before="200"/>
        <w:rPr>
          <w:lang w:val="en"/>
        </w:rPr>
      </w:pPr>
      <w:r w:rsidRPr="00CB0151">
        <w:rPr>
          <w:lang w:val="en"/>
        </w:rPr>
        <w:t>(b)</w:t>
      </w:r>
      <w:r w:rsidRPr="00CB0151">
        <w:rPr>
          <w:lang w:val="en"/>
        </w:rPr>
        <w:tab/>
        <w:t>information provided to the client under section 1017B in relation to the superannuation product or through continuous disclosure under Chapter 6CA in relation to the accessible financial product.</w:t>
      </w:r>
    </w:p>
    <w:p w14:paraId="556F43B2" w14:textId="77777777" w:rsidR="00012EE0" w:rsidRDefault="00012EE0" w:rsidP="00DA73A1">
      <w:pPr>
        <w:pStyle w:val="LI-BodyTextSubparai"/>
        <w:spacing w:before="200"/>
        <w:rPr>
          <w:lang w:val="en"/>
        </w:rPr>
      </w:pPr>
      <w:r w:rsidRPr="00CB0151">
        <w:rPr>
          <w:lang w:val="en"/>
        </w:rPr>
        <w:t>(</w:t>
      </w:r>
      <w:r>
        <w:rPr>
          <w:lang w:val="en"/>
        </w:rPr>
        <w:t>8</w:t>
      </w:r>
      <w:r w:rsidRPr="00CB0151">
        <w:rPr>
          <w:lang w:val="en"/>
        </w:rPr>
        <w:t>)</w:t>
      </w:r>
      <w:r w:rsidRPr="00CB0151">
        <w:rPr>
          <w:lang w:val="en"/>
        </w:rPr>
        <w:tab/>
        <w:t>In this section</w:t>
      </w:r>
      <w:r>
        <w:rPr>
          <w:lang w:val="en"/>
        </w:rPr>
        <w:t>:</w:t>
      </w:r>
    </w:p>
    <w:p w14:paraId="2884F6C1" w14:textId="77777777" w:rsidR="00012EE0" w:rsidRPr="00CB0151" w:rsidRDefault="00012EE0" w:rsidP="00DA73A1">
      <w:pPr>
        <w:pStyle w:val="LI-BodyTextSubsubparaA"/>
        <w:spacing w:before="200"/>
        <w:ind w:left="2268" w:firstLine="0"/>
        <w:rPr>
          <w:lang w:val="en"/>
        </w:rPr>
      </w:pPr>
      <w:r w:rsidRPr="00CB0151">
        <w:rPr>
          <w:b/>
          <w:i/>
          <w:iCs/>
          <w:lang w:val="en"/>
        </w:rPr>
        <w:t>investment strategy</w:t>
      </w:r>
      <w:r w:rsidRPr="00D173D4">
        <w:rPr>
          <w:iCs/>
          <w:lang w:val="en"/>
        </w:rPr>
        <w:t>,</w:t>
      </w:r>
      <w:r w:rsidRPr="00CB0151">
        <w:rPr>
          <w:lang w:val="en"/>
        </w:rPr>
        <w:t xml:space="preserve"> in relation to a superannuation entity, </w:t>
      </w:r>
      <w:r>
        <w:rPr>
          <w:lang w:val="en"/>
        </w:rPr>
        <w:t xml:space="preserve">means </w:t>
      </w:r>
      <w:r w:rsidRPr="00CB0151">
        <w:rPr>
          <w:lang w:val="en"/>
        </w:rPr>
        <w:t>an investment</w:t>
      </w:r>
      <w:r>
        <w:rPr>
          <w:lang w:val="en"/>
        </w:rPr>
        <w:t xml:space="preserve"> </w:t>
      </w:r>
      <w:r w:rsidRPr="00CB0151">
        <w:rPr>
          <w:lang w:val="en"/>
        </w:rPr>
        <w:t xml:space="preserve">strategy formulated by the trustee of the entity under the covenant referred to in </w:t>
      </w:r>
      <w:r>
        <w:rPr>
          <w:lang w:val="en"/>
        </w:rPr>
        <w:t>sub</w:t>
      </w:r>
      <w:r w:rsidRPr="00821A26">
        <w:rPr>
          <w:lang w:val="en"/>
        </w:rPr>
        <w:t>section</w:t>
      </w:r>
      <w:r w:rsidRPr="006A6509">
        <w:rPr>
          <w:lang w:val="en"/>
        </w:rPr>
        <w:t xml:space="preserve"> 52(</w:t>
      </w:r>
      <w:r w:rsidRPr="003C6895">
        <w:rPr>
          <w:lang w:val="en"/>
        </w:rPr>
        <w:t>6</w:t>
      </w:r>
      <w:r w:rsidRPr="006A6509">
        <w:rPr>
          <w:lang w:val="en"/>
        </w:rPr>
        <w:t>) of the</w:t>
      </w:r>
      <w:r w:rsidRPr="00CB0151">
        <w:rPr>
          <w:lang w:val="en"/>
        </w:rPr>
        <w:t xml:space="preserve"> </w:t>
      </w:r>
      <w:r w:rsidRPr="00CB0151">
        <w:rPr>
          <w:i/>
          <w:lang w:val="en"/>
        </w:rPr>
        <w:t>Superannuation Industry (Supervision) Act 1993</w:t>
      </w:r>
      <w:r w:rsidRPr="00CB0151">
        <w:rPr>
          <w:lang w:val="en"/>
        </w:rPr>
        <w:t>.</w:t>
      </w:r>
    </w:p>
    <w:p w14:paraId="0FFB23F5" w14:textId="77777777" w:rsidR="00012EE0" w:rsidRDefault="00012EE0" w:rsidP="00012EE0">
      <w:pPr>
        <w:pStyle w:val="LI-SectionNote"/>
        <w:rPr>
          <w:lang w:val="en"/>
        </w:rPr>
      </w:pPr>
      <w:r w:rsidRPr="00D173D4">
        <w:rPr>
          <w:iCs/>
          <w:lang w:val="en"/>
        </w:rPr>
        <w:t>Note 1:</w:t>
      </w:r>
      <w:r w:rsidRPr="00D173D4">
        <w:rPr>
          <w:lang w:val="en"/>
        </w:rPr>
        <w:tab/>
        <w:t xml:space="preserve">This section only applies in relation to a client where the </w:t>
      </w:r>
      <w:r>
        <w:rPr>
          <w:lang w:val="en"/>
        </w:rPr>
        <w:t>trustee (</w:t>
      </w:r>
      <w:r w:rsidRPr="00EB2F32">
        <w:rPr>
          <w:lang w:val="en"/>
        </w:rPr>
        <w:t>or other person with whom the trustee has an arrangement)</w:t>
      </w:r>
      <w:r w:rsidRPr="00D173D4">
        <w:rPr>
          <w:lang w:val="en"/>
        </w:rPr>
        <w:t xml:space="preserve"> is holding the relevant </w:t>
      </w:r>
      <w:r w:rsidRPr="00D173D4">
        <w:rPr>
          <w:lang w:val="en"/>
        </w:rPr>
        <w:lastRenderedPageBreak/>
        <w:t xml:space="preserve">financial product as a result of a direction given by the client at the time the change or event occurs. In a case where the </w:t>
      </w:r>
      <w:r>
        <w:rPr>
          <w:lang w:val="en"/>
        </w:rPr>
        <w:t>trustee (or other person)</w:t>
      </w:r>
      <w:r w:rsidRPr="00D173D4">
        <w:rPr>
          <w:lang w:val="en"/>
        </w:rPr>
        <w:t xml:space="preserve"> is not holding the product at that time, the </w:t>
      </w:r>
      <w:r>
        <w:rPr>
          <w:lang w:val="en"/>
        </w:rPr>
        <w:t>trustee</w:t>
      </w:r>
      <w:r w:rsidRPr="00D173D4">
        <w:rPr>
          <w:lang w:val="en"/>
        </w:rPr>
        <w:t xml:space="preserve"> nonetheless may need to give the client an appropriate Supplementary or new Product Disclosure Statement before acquiring the product on their instructions. This is because the Product Disclosure Statement required to be given by subsection 1012IA(2) </w:t>
      </w:r>
      <w:r>
        <w:rPr>
          <w:lang w:val="en"/>
        </w:rPr>
        <w:t>must be</w:t>
      </w:r>
      <w:r w:rsidRPr="00D173D4">
        <w:rPr>
          <w:lang w:val="en"/>
        </w:rPr>
        <w:t xml:space="preserve"> a Statement that meets the requirements set out in Division 2 of </w:t>
      </w:r>
      <w:r>
        <w:rPr>
          <w:lang w:val="en"/>
        </w:rPr>
        <w:t>this Part</w:t>
      </w:r>
      <w:r w:rsidRPr="00D173D4">
        <w:rPr>
          <w:lang w:val="en"/>
        </w:rPr>
        <w:t>.</w:t>
      </w:r>
    </w:p>
    <w:p w14:paraId="309F1950" w14:textId="77777777" w:rsidR="00012EE0" w:rsidRPr="00D173D4" w:rsidRDefault="00012EE0" w:rsidP="00012EE0">
      <w:pPr>
        <w:pStyle w:val="LI-SectionNote"/>
        <w:rPr>
          <w:lang w:val="en"/>
        </w:rPr>
      </w:pPr>
      <w:r w:rsidRPr="00D173D4">
        <w:rPr>
          <w:iCs/>
          <w:lang w:val="en"/>
        </w:rPr>
        <w:t>Note 2:</w:t>
      </w:r>
      <w:r w:rsidRPr="00D173D4">
        <w:rPr>
          <w:lang w:val="en"/>
        </w:rPr>
        <w:tab/>
        <w:t xml:space="preserve">If </w:t>
      </w:r>
      <w:r>
        <w:rPr>
          <w:lang w:val="en"/>
        </w:rPr>
        <w:t>the trustee</w:t>
      </w:r>
      <w:r w:rsidRPr="00D173D4">
        <w:rPr>
          <w:lang w:val="en"/>
        </w:rPr>
        <w:t xml:space="preserve"> decides to stop making regulated acquisitions of a financial</w:t>
      </w:r>
      <w:r>
        <w:rPr>
          <w:lang w:val="en"/>
        </w:rPr>
        <w:t> </w:t>
      </w:r>
      <w:r w:rsidRPr="00D173D4">
        <w:rPr>
          <w:lang w:val="en"/>
        </w:rPr>
        <w:t xml:space="preserve">product, the </w:t>
      </w:r>
      <w:r>
        <w:rPr>
          <w:lang w:val="en"/>
        </w:rPr>
        <w:t xml:space="preserve">trustee </w:t>
      </w:r>
      <w:r w:rsidRPr="00D173D4">
        <w:rPr>
          <w:lang w:val="en"/>
        </w:rPr>
        <w:t>must notify holders of interests in the superannuation entity in accordance with section 1017B.</w:t>
      </w:r>
      <w:proofErr w:type="gramStart"/>
      <w:r w:rsidRPr="00D173D4">
        <w:rPr>
          <w:lang w:val="en"/>
        </w:rPr>
        <w:t>”</w:t>
      </w:r>
      <w:r>
        <w:rPr>
          <w:lang w:val="en"/>
        </w:rPr>
        <w:t>;</w:t>
      </w:r>
      <w:proofErr w:type="gramEnd"/>
    </w:p>
    <w:p w14:paraId="629AEB73" w14:textId="31CBA412" w:rsidR="00012EE0" w:rsidRPr="00CB0151" w:rsidRDefault="00012EE0" w:rsidP="00012EE0">
      <w:pPr>
        <w:pStyle w:val="LI-BodyTextNumbered"/>
      </w:pPr>
      <w:r w:rsidRPr="00CB0151">
        <w:t>(</w:t>
      </w:r>
      <w:r w:rsidR="00973203">
        <w:t>g</w:t>
      </w:r>
      <w:r w:rsidRPr="00CB0151">
        <w:t>)</w:t>
      </w:r>
      <w:r w:rsidRPr="00CB0151">
        <w:tab/>
        <w:t xml:space="preserve">in </w:t>
      </w:r>
      <w:r>
        <w:t>paragraph 1017K(a) of the Act:</w:t>
      </w:r>
    </w:p>
    <w:p w14:paraId="6C478F5D" w14:textId="4659C17C" w:rsidR="00012EE0" w:rsidRDefault="00012EE0" w:rsidP="00013CAF">
      <w:pPr>
        <w:pStyle w:val="LI-BodyTextSubparai"/>
        <w:ind w:left="1701"/>
        <w:rPr>
          <w:lang w:val="en-US"/>
        </w:rPr>
      </w:pPr>
      <w:r w:rsidRPr="00CB0151">
        <w:rPr>
          <w:lang w:val="en-US"/>
        </w:rPr>
        <w:t>(</w:t>
      </w:r>
      <w:proofErr w:type="spellStart"/>
      <w:r w:rsidRPr="00CB0151">
        <w:rPr>
          <w:lang w:val="en-US"/>
        </w:rPr>
        <w:t>i</w:t>
      </w:r>
      <w:proofErr w:type="spellEnd"/>
      <w:r w:rsidRPr="00CB0151">
        <w:rPr>
          <w:lang w:val="en-US"/>
        </w:rPr>
        <w:t>)</w:t>
      </w:r>
      <w:r w:rsidRPr="00CB0151">
        <w:rPr>
          <w:lang w:val="en-US"/>
        </w:rPr>
        <w:tab/>
        <w:t xml:space="preserve">after “1013A,” </w:t>
      </w:r>
      <w:r>
        <w:rPr>
          <w:lang w:val="en-US"/>
        </w:rPr>
        <w:t>insert</w:t>
      </w:r>
      <w:r w:rsidRPr="00CB0151">
        <w:rPr>
          <w:lang w:val="en-US"/>
        </w:rPr>
        <w:t xml:space="preserve"> “1013FB,”;</w:t>
      </w:r>
      <w:r w:rsidR="00B83AB7">
        <w:rPr>
          <w:lang w:val="en-US"/>
        </w:rPr>
        <w:t xml:space="preserve"> and</w:t>
      </w:r>
    </w:p>
    <w:p w14:paraId="1053D4E7" w14:textId="77777777" w:rsidR="00012EE0" w:rsidRDefault="00012EE0" w:rsidP="00013CAF">
      <w:pPr>
        <w:pStyle w:val="LI-BodyTextSubparai"/>
        <w:ind w:left="1701"/>
        <w:rPr>
          <w:lang w:val="en-US"/>
        </w:rPr>
      </w:pPr>
      <w:r w:rsidRPr="00CB0151">
        <w:rPr>
          <w:lang w:val="en-US"/>
        </w:rPr>
        <w:t>(ii)</w:t>
      </w:r>
      <w:r w:rsidRPr="00CB0151">
        <w:rPr>
          <w:lang w:val="en-US"/>
        </w:rPr>
        <w:tab/>
      </w:r>
      <w:r>
        <w:rPr>
          <w:lang w:val="en-US"/>
        </w:rPr>
        <w:t>omit</w:t>
      </w:r>
      <w:r w:rsidRPr="00CB0151">
        <w:rPr>
          <w:lang w:val="en-US"/>
        </w:rPr>
        <w:t xml:space="preserve"> “1016E and 1017A”</w:t>
      </w:r>
      <w:r>
        <w:rPr>
          <w:lang w:val="en-US"/>
        </w:rPr>
        <w:t>, substitute</w:t>
      </w:r>
      <w:r w:rsidRPr="00CB0151">
        <w:rPr>
          <w:lang w:val="en-US"/>
        </w:rPr>
        <w:t xml:space="preserve"> “1016E, 1017A and 1017CA.”</w:t>
      </w:r>
      <w:r>
        <w:rPr>
          <w:lang w:val="en-US"/>
        </w:rPr>
        <w:t>.</w:t>
      </w:r>
    </w:p>
    <w:p w14:paraId="7B1B6DF8" w14:textId="77777777" w:rsidR="00012EE0" w:rsidRDefault="00012EE0" w:rsidP="00013CAF">
      <w:pPr>
        <w:pStyle w:val="LI-SectionNote"/>
        <w:ind w:left="1701"/>
      </w:pPr>
      <w:r w:rsidRPr="0043105B">
        <w:t>Note:</w:t>
      </w:r>
      <w:r w:rsidRPr="0043105B">
        <w:tab/>
      </w:r>
      <w:r>
        <w:t xml:space="preserve">Section 1017K of the Act is inserted by </w:t>
      </w:r>
      <w:r w:rsidRPr="0043105B">
        <w:t xml:space="preserve">Part 3 of Schedule 10BA </w:t>
      </w:r>
      <w:r>
        <w:t xml:space="preserve">to </w:t>
      </w:r>
      <w:r w:rsidRPr="0043105B">
        <w:t>the Regulations</w:t>
      </w:r>
      <w:r>
        <w:t>.</w:t>
      </w:r>
    </w:p>
    <w:p w14:paraId="6656AAF1" w14:textId="4D4DC5FE" w:rsidR="00012EE0" w:rsidRPr="00804559" w:rsidRDefault="00EE5042" w:rsidP="00012EE0">
      <w:pPr>
        <w:pStyle w:val="LI-Heading2"/>
      </w:pPr>
      <w:bookmarkStart w:id="24" w:name="_Toc105600759"/>
      <w:r>
        <w:t>7</w:t>
      </w:r>
      <w:r w:rsidR="00012EE0" w:rsidRPr="00804559">
        <w:tab/>
        <w:t>Platform operators and trustees of superannuation entities using an agent to deliver a Product Disclosure Statement</w:t>
      </w:r>
      <w:bookmarkEnd w:id="20"/>
      <w:bookmarkEnd w:id="24"/>
    </w:p>
    <w:p w14:paraId="25E8D677" w14:textId="77777777" w:rsidR="00012EE0" w:rsidRPr="004B462E" w:rsidRDefault="00012EE0" w:rsidP="00012EE0">
      <w:pPr>
        <w:pStyle w:val="LI-BodyTextNumbered"/>
        <w:ind w:left="567" w:firstLine="0"/>
      </w:pPr>
      <w:r w:rsidRPr="004B462E">
        <w:t>Part 7.9 of the Act applies in relation to a trustee of a superannuation entity, an operator of an IDPS and a responsible entity of an IDPS-like scheme as if that Part were modified or varied by, after subsection 1015C(3), inserting:</w:t>
      </w:r>
    </w:p>
    <w:p w14:paraId="707850D2" w14:textId="2F41F62C" w:rsidR="00012EE0" w:rsidRDefault="00012EE0" w:rsidP="00B5095D">
      <w:pPr>
        <w:pStyle w:val="LI-BodyTextSubparai"/>
        <w:ind w:left="1701"/>
      </w:pPr>
      <w:r w:rsidRPr="00E346D3">
        <w:t>“(3A)</w:t>
      </w:r>
      <w:r w:rsidRPr="00E346D3">
        <w:tab/>
      </w:r>
      <w:r w:rsidR="00303DAC">
        <w:t xml:space="preserve"> </w:t>
      </w:r>
      <w:r w:rsidRPr="00E346D3">
        <w:t>Despite subsection (3), a Statement for accessible financial products may be given or sent to a person’s agent who is acting in the capacity of a financial services licensee or an authorised representative of a financial services licensee if:</w:t>
      </w:r>
    </w:p>
    <w:p w14:paraId="52C16DF7" w14:textId="77777777" w:rsidR="00012EE0" w:rsidRPr="004B462E" w:rsidRDefault="00012EE0" w:rsidP="00303DAC">
      <w:pPr>
        <w:pStyle w:val="LI-BodyTextSubparai"/>
      </w:pPr>
      <w:r>
        <w:t xml:space="preserve">(a) </w:t>
      </w:r>
      <w:r>
        <w:tab/>
      </w:r>
      <w:r w:rsidRPr="004B462E">
        <w:t xml:space="preserve">the Statement is given or sent by: </w:t>
      </w:r>
    </w:p>
    <w:p w14:paraId="61A4894D" w14:textId="77777777" w:rsidR="00012EE0" w:rsidRDefault="00012EE0" w:rsidP="00303DAC">
      <w:pPr>
        <w:pStyle w:val="LI-BodyTextSubsubparaA"/>
      </w:pPr>
      <w:r>
        <w:t>(</w:t>
      </w:r>
      <w:proofErr w:type="spellStart"/>
      <w:r>
        <w:t>i</w:t>
      </w:r>
      <w:proofErr w:type="spellEnd"/>
      <w:r>
        <w:t>)</w:t>
      </w:r>
      <w:r>
        <w:tab/>
        <w:t xml:space="preserve">the trustee of a superannuation entity for the purpose of complying with section 1012IA, paragraph 1013FB(4)(b) or section 1017CA; or </w:t>
      </w:r>
    </w:p>
    <w:p w14:paraId="00343062" w14:textId="77777777" w:rsidR="00012EE0" w:rsidRDefault="00012EE0" w:rsidP="00303DAC">
      <w:pPr>
        <w:pStyle w:val="LI-BodyTextSubsubparaA"/>
      </w:pPr>
      <w:r>
        <w:t>(ii)</w:t>
      </w:r>
      <w:r>
        <w:tab/>
        <w:t xml:space="preserve">an operator of an IDPS for the purpose of complying with subsection 912AD(26); or </w:t>
      </w:r>
    </w:p>
    <w:p w14:paraId="6D30D82C" w14:textId="77777777" w:rsidR="00012EE0" w:rsidRPr="00E346D3" w:rsidRDefault="00012EE0" w:rsidP="00303DAC">
      <w:pPr>
        <w:pStyle w:val="LI-BodyTextSubsubparaA"/>
      </w:pPr>
      <w:r>
        <w:t>(iii)</w:t>
      </w:r>
      <w:r>
        <w:tab/>
        <w:t>the responsible entity of an IDPS-like scheme for the purpose of complying with subsection 1013DAB(8); and</w:t>
      </w:r>
    </w:p>
    <w:p w14:paraId="05E1EF26" w14:textId="29A7F923" w:rsidR="00012EE0" w:rsidRPr="00AA3E3E" w:rsidRDefault="00012EE0" w:rsidP="00303DAC">
      <w:pPr>
        <w:pStyle w:val="LI-Sectionsubparai"/>
        <w:ind w:left="2835"/>
        <w:rPr>
          <w:sz w:val="18"/>
          <w:szCs w:val="18"/>
        </w:rPr>
      </w:pPr>
      <w:r w:rsidRPr="00AA3E3E">
        <w:rPr>
          <w:sz w:val="18"/>
          <w:szCs w:val="18"/>
        </w:rPr>
        <w:t xml:space="preserve">Note: </w:t>
      </w:r>
      <w:r w:rsidRPr="00AA3E3E">
        <w:rPr>
          <w:sz w:val="18"/>
          <w:szCs w:val="18"/>
        </w:rPr>
        <w:tab/>
        <w:t xml:space="preserve">Sections 1013FB and 1017CA are notionally inserted by </w:t>
      </w:r>
      <w:r w:rsidRPr="00F657B9">
        <w:rPr>
          <w:i/>
          <w:iCs/>
          <w:sz w:val="18"/>
          <w:szCs w:val="18"/>
        </w:rPr>
        <w:t xml:space="preserve">ASIC Corporations (Shorter PDS and Delivery of </w:t>
      </w:r>
      <w:r w:rsidR="00D07E12" w:rsidRPr="00F657B9">
        <w:rPr>
          <w:i/>
          <w:iCs/>
          <w:sz w:val="18"/>
          <w:szCs w:val="18"/>
        </w:rPr>
        <w:t>A</w:t>
      </w:r>
      <w:r w:rsidRPr="00F657B9">
        <w:rPr>
          <w:i/>
          <w:iCs/>
          <w:sz w:val="18"/>
          <w:szCs w:val="18"/>
        </w:rPr>
        <w:t xml:space="preserve">ccessible </w:t>
      </w:r>
      <w:r w:rsidR="00D07E12" w:rsidRPr="00F657B9">
        <w:rPr>
          <w:i/>
          <w:iCs/>
          <w:sz w:val="18"/>
          <w:szCs w:val="18"/>
        </w:rPr>
        <w:t>F</w:t>
      </w:r>
      <w:r w:rsidRPr="00F657B9">
        <w:rPr>
          <w:i/>
          <w:iCs/>
          <w:sz w:val="18"/>
          <w:szCs w:val="18"/>
        </w:rPr>
        <w:t xml:space="preserve">inancial </w:t>
      </w:r>
      <w:r w:rsidR="00D07E12" w:rsidRPr="00F657B9">
        <w:rPr>
          <w:i/>
          <w:iCs/>
          <w:sz w:val="18"/>
          <w:szCs w:val="18"/>
        </w:rPr>
        <w:t>P</w:t>
      </w:r>
      <w:r w:rsidRPr="00F657B9">
        <w:rPr>
          <w:i/>
          <w:iCs/>
          <w:sz w:val="18"/>
          <w:szCs w:val="18"/>
        </w:rPr>
        <w:t xml:space="preserve">roducts </w:t>
      </w:r>
      <w:r w:rsidR="00D07E12" w:rsidRPr="00F657B9">
        <w:rPr>
          <w:i/>
          <w:iCs/>
          <w:sz w:val="18"/>
          <w:szCs w:val="18"/>
        </w:rPr>
        <w:t>D</w:t>
      </w:r>
      <w:r w:rsidRPr="00F657B9">
        <w:rPr>
          <w:i/>
          <w:iCs/>
          <w:sz w:val="18"/>
          <w:szCs w:val="18"/>
        </w:rPr>
        <w:t xml:space="preserve">isclosure by </w:t>
      </w:r>
      <w:r w:rsidR="00D07E12" w:rsidRPr="00F657B9">
        <w:rPr>
          <w:i/>
          <w:iCs/>
          <w:sz w:val="18"/>
          <w:szCs w:val="18"/>
        </w:rPr>
        <w:t>P</w:t>
      </w:r>
      <w:r w:rsidRPr="00F657B9">
        <w:rPr>
          <w:i/>
          <w:iCs/>
          <w:sz w:val="18"/>
          <w:szCs w:val="18"/>
        </w:rPr>
        <w:t xml:space="preserve">latform </w:t>
      </w:r>
      <w:r w:rsidR="00D07E12" w:rsidRPr="00F657B9">
        <w:rPr>
          <w:i/>
          <w:iCs/>
          <w:sz w:val="18"/>
          <w:szCs w:val="18"/>
        </w:rPr>
        <w:t>O</w:t>
      </w:r>
      <w:r w:rsidRPr="00F657B9">
        <w:rPr>
          <w:i/>
          <w:iCs/>
          <w:sz w:val="18"/>
          <w:szCs w:val="18"/>
        </w:rPr>
        <w:t xml:space="preserve">perators and </w:t>
      </w:r>
      <w:r w:rsidR="00D07E12" w:rsidRPr="00F657B9">
        <w:rPr>
          <w:i/>
          <w:iCs/>
          <w:sz w:val="18"/>
          <w:szCs w:val="18"/>
        </w:rPr>
        <w:t>S</w:t>
      </w:r>
      <w:r w:rsidRPr="00F657B9">
        <w:rPr>
          <w:i/>
          <w:iCs/>
          <w:sz w:val="18"/>
          <w:szCs w:val="18"/>
        </w:rPr>
        <w:t xml:space="preserve">uperannuation </w:t>
      </w:r>
      <w:r w:rsidR="00D07E12" w:rsidRPr="00F657B9">
        <w:rPr>
          <w:i/>
          <w:iCs/>
          <w:sz w:val="18"/>
          <w:szCs w:val="18"/>
        </w:rPr>
        <w:t>T</w:t>
      </w:r>
      <w:r w:rsidRPr="00F657B9">
        <w:rPr>
          <w:i/>
          <w:iCs/>
          <w:sz w:val="18"/>
          <w:szCs w:val="18"/>
        </w:rPr>
        <w:t>rustees) Instrument 2022/</w:t>
      </w:r>
      <w:r w:rsidR="00BC25FE">
        <w:rPr>
          <w:i/>
          <w:iCs/>
          <w:sz w:val="18"/>
          <w:szCs w:val="18"/>
        </w:rPr>
        <w:t>497</w:t>
      </w:r>
      <w:r w:rsidR="00F26AC7" w:rsidRPr="00F657B9">
        <w:rPr>
          <w:sz w:val="18"/>
          <w:szCs w:val="18"/>
        </w:rPr>
        <w:t>.</w:t>
      </w:r>
      <w:r w:rsidRPr="00AA3E3E">
        <w:rPr>
          <w:sz w:val="18"/>
          <w:szCs w:val="18"/>
        </w:rPr>
        <w:t xml:space="preserve"> Subsection 912AD(26) is notionally inserted by ASIC Class Order [CO 13/763]. Subsection 1013DAB(8) is notionally inserted by ASIC Class Order [CO 13/762].</w:t>
      </w:r>
    </w:p>
    <w:p w14:paraId="47A03A87" w14:textId="52ED90C7" w:rsidR="00012EE0" w:rsidRDefault="00012EE0" w:rsidP="003C5B6B">
      <w:pPr>
        <w:pStyle w:val="LI-BodyTextSubparai"/>
      </w:pPr>
      <w:r>
        <w:t xml:space="preserve">(b)  </w:t>
      </w:r>
      <w:r w:rsidR="008066D7">
        <w:t xml:space="preserve">   </w:t>
      </w:r>
      <w:r w:rsidRPr="00D04C9D">
        <w:t>the trustee, operator or responsible entity has received evidence of a written agreement between the agent and the person that appoints the agent as the person’s agent.</w:t>
      </w:r>
    </w:p>
    <w:p w14:paraId="68F22FF2" w14:textId="77777777" w:rsidR="00012EE0" w:rsidRPr="00AA3E3E" w:rsidRDefault="00012EE0" w:rsidP="003C5B6B">
      <w:pPr>
        <w:pStyle w:val="LI-BodyTextSubparai"/>
        <w:ind w:left="1701"/>
      </w:pPr>
      <w:r w:rsidRPr="00AA3E3E">
        <w:lastRenderedPageBreak/>
        <w:t>(3B)</w:t>
      </w:r>
      <w:r w:rsidRPr="00AA3E3E">
        <w:tab/>
        <w:t>A financial services licensee or authorised representative who receives a Statement as a person’s agent must promptly give or send the Statement to the person.</w:t>
      </w:r>
    </w:p>
    <w:p w14:paraId="2E264E20" w14:textId="77777777" w:rsidR="00012EE0" w:rsidRPr="00AA3E3E" w:rsidRDefault="00012EE0" w:rsidP="003C5B6B">
      <w:pPr>
        <w:pStyle w:val="LI-BodyTextSubparai"/>
        <w:ind w:left="1701"/>
      </w:pPr>
      <w:r w:rsidRPr="00AA3E3E">
        <w:t>(3C)</w:t>
      </w:r>
      <w:r w:rsidRPr="00AA3E3E">
        <w:tab/>
        <w:t>In this section:</w:t>
      </w:r>
    </w:p>
    <w:p w14:paraId="0E8FFB18" w14:textId="1091672A" w:rsidR="00012EE0" w:rsidRDefault="00012EE0" w:rsidP="003C5B6B">
      <w:pPr>
        <w:pStyle w:val="LI-BodyTextSubparai"/>
        <w:ind w:left="1701" w:firstLine="0"/>
      </w:pPr>
      <w:r w:rsidRPr="00C531B6">
        <w:rPr>
          <w:b/>
          <w:bCs/>
          <w:i/>
          <w:iCs/>
        </w:rPr>
        <w:t>accessible financial product</w:t>
      </w:r>
      <w:r>
        <w:t xml:space="preserve"> means a financial product that may be held through an IDPS, an IDPS-like scheme or a superannuation entity.</w:t>
      </w:r>
    </w:p>
    <w:p w14:paraId="44A0768D" w14:textId="50F06670" w:rsidR="00012EE0" w:rsidRPr="005B6286" w:rsidRDefault="00012EE0" w:rsidP="003C5B6B">
      <w:pPr>
        <w:pStyle w:val="LI-BodyTextSubparai"/>
      </w:pPr>
      <w:r w:rsidRPr="00C531B6">
        <w:rPr>
          <w:b/>
          <w:bCs/>
          <w:i/>
          <w:iCs/>
        </w:rPr>
        <w:t xml:space="preserve">IDPS </w:t>
      </w:r>
      <w:r>
        <w:t>h</w:t>
      </w:r>
      <w:r w:rsidRPr="00F23D00">
        <w:t>as the same meaning as in ASIC Class Order [CO 13/763].</w:t>
      </w:r>
    </w:p>
    <w:p w14:paraId="5AF0C6DA" w14:textId="5450052F" w:rsidR="00012EE0" w:rsidRDefault="00012EE0" w:rsidP="002E20FA">
      <w:pPr>
        <w:pStyle w:val="LI-BodyTextSubparai"/>
        <w:ind w:left="1701" w:firstLine="0"/>
      </w:pPr>
      <w:r w:rsidRPr="00C531B6">
        <w:rPr>
          <w:b/>
          <w:bCs/>
          <w:i/>
          <w:iCs/>
        </w:rPr>
        <w:t>IDPS-like scheme</w:t>
      </w:r>
      <w:r>
        <w:t xml:space="preserve"> </w:t>
      </w:r>
      <w:r w:rsidRPr="00F23D00">
        <w:t>has the same meaning as in ASIC Class Order [CO 13/762].</w:t>
      </w:r>
      <w:r w:rsidRPr="00127D38">
        <w:t xml:space="preserve"> </w:t>
      </w:r>
    </w:p>
    <w:p w14:paraId="62098BE9" w14:textId="44E2D527" w:rsidR="00E346D3" w:rsidRDefault="00012EE0" w:rsidP="002E20FA">
      <w:pPr>
        <w:pStyle w:val="LI-BodyTextSubparai"/>
        <w:ind w:left="1701" w:firstLine="0"/>
      </w:pPr>
      <w:r w:rsidRPr="00C531B6">
        <w:rPr>
          <w:b/>
          <w:bCs/>
          <w:i/>
          <w:iCs/>
        </w:rPr>
        <w:t xml:space="preserve">operator </w:t>
      </w:r>
      <w:r>
        <w:t>h</w:t>
      </w:r>
      <w:r w:rsidRPr="003518AA">
        <w:t>as the same meaning as in ASIC Class Order [CO 13/763]</w:t>
      </w:r>
      <w:r w:rsidRPr="00032FA0">
        <w:t>.</w:t>
      </w:r>
      <w:r>
        <w:t>”.</w:t>
      </w:r>
    </w:p>
    <w:p w14:paraId="23494702" w14:textId="77777777" w:rsidR="00A14339" w:rsidRPr="00F61B09" w:rsidRDefault="00A14339" w:rsidP="00FF5A65">
      <w:pPr>
        <w:pStyle w:val="LI-Heading1"/>
      </w:pPr>
      <w:bookmarkStart w:id="25" w:name="_Toc89074690"/>
      <w:bookmarkStart w:id="26" w:name="_Toc89355919"/>
      <w:bookmarkStart w:id="27" w:name="_Toc105600760"/>
      <w:bookmarkStart w:id="28" w:name="_Hlk89356718"/>
      <w:r w:rsidRPr="006554FF">
        <w:t>Part </w:t>
      </w:r>
      <w:r>
        <w:t>3</w:t>
      </w:r>
      <w:r w:rsidRPr="00F61B09">
        <w:t>—</w:t>
      </w:r>
      <w:r>
        <w:t>Repeal</w:t>
      </w:r>
      <w:bookmarkEnd w:id="25"/>
      <w:bookmarkEnd w:id="26"/>
      <w:bookmarkEnd w:id="27"/>
    </w:p>
    <w:p w14:paraId="4D35D7A4" w14:textId="77777777" w:rsidR="00A14339" w:rsidRDefault="00A14339" w:rsidP="00A14339">
      <w:pPr>
        <w:pStyle w:val="LI-Heading2"/>
        <w:rPr>
          <w:szCs w:val="24"/>
        </w:rPr>
      </w:pPr>
      <w:bookmarkStart w:id="29" w:name="_Toc89074691"/>
      <w:bookmarkStart w:id="30" w:name="_Toc89355920"/>
      <w:bookmarkStart w:id="31" w:name="_Toc105600761"/>
      <w:r>
        <w:rPr>
          <w:szCs w:val="24"/>
        </w:rPr>
        <w:t>8</w:t>
      </w:r>
      <w:r>
        <w:rPr>
          <w:szCs w:val="24"/>
        </w:rPr>
        <w:tab/>
        <w:t>Repeal</w:t>
      </w:r>
      <w:bookmarkEnd w:id="29"/>
      <w:bookmarkEnd w:id="30"/>
      <w:bookmarkEnd w:id="31"/>
    </w:p>
    <w:p w14:paraId="4D8B268D" w14:textId="6B8E69DA" w:rsidR="00E346D3" w:rsidRPr="00E346D3" w:rsidRDefault="00A14339" w:rsidP="006D0AF8">
      <w:pPr>
        <w:pStyle w:val="LI-BodyTextUnnumbered"/>
      </w:pPr>
      <w:r>
        <w:t xml:space="preserve">This </w:t>
      </w:r>
      <w:r w:rsidRPr="006D0AF8">
        <w:rPr>
          <w:szCs w:val="24"/>
        </w:rPr>
        <w:t>instrument</w:t>
      </w:r>
      <w:r>
        <w:t xml:space="preserve"> is repealed on </w:t>
      </w:r>
      <w:r w:rsidR="00D45AAF">
        <w:t>1 October 2027</w:t>
      </w:r>
      <w:r>
        <w:t>.</w:t>
      </w:r>
      <w:bookmarkEnd w:id="28"/>
    </w:p>
    <w:sectPr w:rsidR="00E346D3" w:rsidRPr="00E346D3" w:rsidSect="0040053F">
      <w:headerReference w:type="even" r:id="rId26"/>
      <w:headerReference w:type="default" r:id="rId27"/>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AB3EF" w14:textId="77777777" w:rsidR="00C603B8" w:rsidRDefault="00C603B8" w:rsidP="00715914">
      <w:pPr>
        <w:spacing w:line="240" w:lineRule="auto"/>
      </w:pPr>
      <w:r>
        <w:separator/>
      </w:r>
    </w:p>
  </w:endnote>
  <w:endnote w:type="continuationSeparator" w:id="0">
    <w:p w14:paraId="065B0DC2" w14:textId="77777777" w:rsidR="00C603B8" w:rsidRDefault="00C603B8" w:rsidP="00715914">
      <w:pPr>
        <w:spacing w:line="240" w:lineRule="auto"/>
      </w:pPr>
      <w:r>
        <w:continuationSeparator/>
      </w:r>
    </w:p>
  </w:endnote>
  <w:endnote w:type="continuationNotice" w:id="1">
    <w:p w14:paraId="16280303" w14:textId="77777777" w:rsidR="00C603B8" w:rsidRDefault="00C603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embedRegular r:id="rId1" w:subsetted="1" w:fontKey="{E9669B34-9599-4373-8F0C-9E9E0854EA56}"/>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5B2EC6" w:rsidRPr="00081794" w14:paraId="3EC4E243" w14:textId="77777777" w:rsidTr="00081794">
      <w:tc>
        <w:tcPr>
          <w:tcW w:w="8472" w:type="dxa"/>
          <w:shd w:val="clear" w:color="auto" w:fill="auto"/>
        </w:tcPr>
        <w:p w14:paraId="67262E23" w14:textId="416CA096" w:rsidR="005B2EC6" w:rsidRPr="00081794" w:rsidRDefault="005B2EC6" w:rsidP="00081794">
          <w:pPr>
            <w:jc w:val="right"/>
            <w:rPr>
              <w:sz w:val="18"/>
            </w:rPr>
          </w:pPr>
          <w:r>
            <w:rPr>
              <w:noProof/>
            </w:rPr>
            <mc:AlternateContent>
              <mc:Choice Requires="wps">
                <w:drawing>
                  <wp:anchor distT="0" distB="0" distL="114300" distR="114300" simplePos="0" relativeHeight="251658243" behindDoc="1" locked="0" layoutInCell="1" allowOverlap="1" wp14:anchorId="05CA820C" wp14:editId="2D5217ED">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66F2E85" w14:textId="77777777" w:rsidR="005B2EC6" w:rsidRPr="00284719" w:rsidRDefault="005B2EC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A820C"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" stroked="f">
                    <v:stroke joinstyle="round"/>
                    <v:path arrowok="t"/>
                    <v:textbox>
                      <w:txbxContent>
                        <w:p w14:paraId="466F2E85" w14:textId="77777777" w:rsidR="005B2EC6" w:rsidRPr="00284719" w:rsidRDefault="005B2EC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081794">
            <w:rPr>
              <w:i/>
              <w:noProof/>
              <w:sz w:val="18"/>
            </w:rPr>
            <w:t>I14KE197.v07.docx</w:t>
          </w:r>
          <w:r w:rsidRPr="00081794">
            <w:rPr>
              <w:i/>
              <w:sz w:val="18"/>
            </w:rPr>
            <w:t xml:space="preserve"> </w:t>
          </w:r>
          <w:r w:rsidRPr="00081794">
            <w:rPr>
              <w:i/>
              <w:noProof/>
              <w:sz w:val="18"/>
            </w:rPr>
            <w:t>25/6/2014 3:37 PM</w:t>
          </w:r>
        </w:p>
      </w:tc>
    </w:tr>
  </w:tbl>
  <w:p w14:paraId="2228ED3F" w14:textId="77777777" w:rsidR="005B2EC6" w:rsidRPr="007500C8" w:rsidRDefault="005B2EC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99B4" w14:textId="08A5F5E7" w:rsidR="005B2EC6" w:rsidRDefault="005B2EC6" w:rsidP="007500C8">
    <w:pPr>
      <w:pStyle w:val="Footer"/>
    </w:pPr>
    <w:r>
      <w:rPr>
        <w:noProof/>
      </w:rPr>
      <mc:AlternateContent>
        <mc:Choice Requires="wps">
          <w:drawing>
            <wp:anchor distT="0" distB="0" distL="114300" distR="114300" simplePos="0" relativeHeight="251658242" behindDoc="1" locked="0" layoutInCell="1" allowOverlap="1" wp14:anchorId="44EBA980" wp14:editId="6565ACE0">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54634BA" w14:textId="77777777" w:rsidR="005B2EC6" w:rsidRPr="00284719" w:rsidRDefault="005B2EC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BA980"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" stroked="f">
              <v:stroke joinstyle="round"/>
              <v:path arrowok="t"/>
              <v:textbox>
                <w:txbxContent>
                  <w:p w14:paraId="054634BA" w14:textId="77777777" w:rsidR="005B2EC6" w:rsidRPr="00284719" w:rsidRDefault="005B2EC6"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5B2EC6" w:rsidRPr="00081794" w14:paraId="54D232DC" w14:textId="77777777" w:rsidTr="00081794">
      <w:tc>
        <w:tcPr>
          <w:tcW w:w="8472" w:type="dxa"/>
          <w:shd w:val="clear" w:color="auto" w:fill="auto"/>
        </w:tcPr>
        <w:p w14:paraId="461954AC" w14:textId="77777777" w:rsidR="005B2EC6" w:rsidRPr="00081794" w:rsidRDefault="005B2EC6" w:rsidP="00102CA6">
          <w:pPr>
            <w:rPr>
              <w:sz w:val="18"/>
            </w:rPr>
          </w:pPr>
        </w:p>
      </w:tc>
    </w:tr>
  </w:tbl>
  <w:p w14:paraId="1EF5FCBD" w14:textId="77777777" w:rsidR="005B2EC6" w:rsidRPr="007500C8" w:rsidRDefault="005B2EC6"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3DC5" w14:textId="77777777" w:rsidR="005B2EC6" w:rsidRPr="00ED79B6" w:rsidRDefault="005B2EC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F550" w14:textId="77777777" w:rsidR="005B2EC6" w:rsidRPr="00E2168B" w:rsidRDefault="005B2EC6" w:rsidP="00E2168B">
    <w:pPr>
      <w:pStyle w:val="LI-Footer"/>
    </w:pPr>
    <w:r w:rsidRPr="00A52B0F">
      <w:fldChar w:fldCharType="begin"/>
    </w:r>
    <w:r w:rsidRPr="00A52B0F">
      <w:instrText xml:space="preserve"> PAGE  \* Arabic  \* MERGEFORMAT </w:instrText>
    </w:r>
    <w:r w:rsidRPr="00A52B0F">
      <w:fldChar w:fldCharType="separate"/>
    </w:r>
    <w:r>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1FFC" w14:textId="77777777" w:rsidR="005B2EC6" w:rsidRPr="00E33C1C" w:rsidRDefault="005B2EC6" w:rsidP="00243EC0">
    <w:pPr>
      <w:pStyle w:val="LI-Footer"/>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Pr>
        <w:noProof/>
      </w:rPr>
      <w:t>3</w:t>
    </w:r>
    <w:r w:rsidRPr="00A52B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8523B" w14:textId="77777777" w:rsidR="00C603B8" w:rsidRDefault="00C603B8" w:rsidP="00715914">
      <w:pPr>
        <w:spacing w:line="240" w:lineRule="auto"/>
      </w:pPr>
      <w:r>
        <w:separator/>
      </w:r>
    </w:p>
  </w:footnote>
  <w:footnote w:type="continuationSeparator" w:id="0">
    <w:p w14:paraId="783D5B62" w14:textId="77777777" w:rsidR="00C603B8" w:rsidRDefault="00C603B8" w:rsidP="00715914">
      <w:pPr>
        <w:spacing w:line="240" w:lineRule="auto"/>
      </w:pPr>
      <w:r>
        <w:continuationSeparator/>
      </w:r>
    </w:p>
  </w:footnote>
  <w:footnote w:type="continuationNotice" w:id="1">
    <w:p w14:paraId="2808C82C" w14:textId="77777777" w:rsidR="00C603B8" w:rsidRDefault="00C603B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D9B5" w14:textId="3B8738A8" w:rsidR="005B2EC6" w:rsidRPr="005F1388" w:rsidRDefault="005B2EC6"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3C22B53A" wp14:editId="43BCC2BA">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FD2749C" w14:textId="77777777" w:rsidR="005B2EC6" w:rsidRPr="00284719" w:rsidRDefault="005B2EC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22B53A"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" stroked="f">
              <v:stroke joinstyle="round"/>
              <v:path arrowok="t"/>
              <v:textbox>
                <w:txbxContent>
                  <w:p w14:paraId="1FD2749C" w14:textId="77777777" w:rsidR="005B2EC6" w:rsidRPr="00284719" w:rsidRDefault="005B2EC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15DB" w14:textId="00207A9A" w:rsidR="005B2EC6" w:rsidRPr="005F1388" w:rsidRDefault="005B2EC6"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1A8F4804" wp14:editId="744E6FB5">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C5CC094" w14:textId="77777777" w:rsidR="005B2EC6" w:rsidRPr="00284719" w:rsidRDefault="005B2EC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F4804"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" stroked="f">
              <v:stroke joinstyle="round"/>
              <v:path arrowok="t"/>
              <v:textbox>
                <w:txbxContent>
                  <w:p w14:paraId="3C5CC094" w14:textId="77777777" w:rsidR="005B2EC6" w:rsidRPr="00284719" w:rsidRDefault="005B2EC6"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908E" w14:textId="77777777" w:rsidR="005B2EC6" w:rsidRPr="005F1388" w:rsidRDefault="005B2EC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1A0E" w14:textId="77777777" w:rsidR="005B2EC6" w:rsidRDefault="005B2EC6"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5B2EC6" w:rsidRPr="00E40FF8" w14:paraId="1DA698DA" w14:textId="77777777" w:rsidTr="00BF75C9">
      <w:tc>
        <w:tcPr>
          <w:tcW w:w="6804" w:type="dxa"/>
          <w:shd w:val="clear" w:color="auto" w:fill="auto"/>
        </w:tcPr>
        <w:p w14:paraId="5D9A7514" w14:textId="05F30337" w:rsidR="005B2EC6" w:rsidRDefault="00E401E3" w:rsidP="00E40FF8">
          <w:pPr>
            <w:pStyle w:val="LI-Header"/>
            <w:pBdr>
              <w:bottom w:val="none" w:sz="0" w:space="0" w:color="auto"/>
            </w:pBdr>
            <w:jc w:val="left"/>
          </w:pPr>
          <w:r>
            <w:fldChar w:fldCharType="begin"/>
          </w:r>
          <w:r>
            <w:instrText>STYLEREF  "LI - Title"</w:instrText>
          </w:r>
          <w:r>
            <w:fldChar w:fldCharType="separate"/>
          </w:r>
          <w:r w:rsidR="00F9531A">
            <w:rPr>
              <w:noProof/>
            </w:rPr>
            <w:t>ASIC Corporations (Shorter PDS and Delivery of Accessible Financial Products Disclosure by Platform Operators and Superannuation Trustees) Instrument 2022/497</w:t>
          </w:r>
          <w:r>
            <w:fldChar w:fldCharType="end"/>
          </w:r>
        </w:p>
      </w:tc>
      <w:tc>
        <w:tcPr>
          <w:tcW w:w="1509" w:type="dxa"/>
          <w:shd w:val="clear" w:color="auto" w:fill="auto"/>
        </w:tcPr>
        <w:p w14:paraId="098A6739" w14:textId="77777777" w:rsidR="005B2EC6" w:rsidRDefault="005B2EC6" w:rsidP="00E40FF8">
          <w:pPr>
            <w:pStyle w:val="LI-Header"/>
            <w:pBdr>
              <w:bottom w:val="none" w:sz="0" w:space="0" w:color="auto"/>
            </w:pBdr>
          </w:pPr>
        </w:p>
      </w:tc>
    </w:tr>
  </w:tbl>
  <w:p w14:paraId="1B429DF1" w14:textId="77777777" w:rsidR="005B2EC6" w:rsidRPr="008945E0" w:rsidRDefault="005B2EC6"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B7EA" w14:textId="77777777" w:rsidR="005B2EC6" w:rsidRPr="00ED79B6" w:rsidRDefault="005B2EC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905B" w14:textId="77777777" w:rsidR="005B2EC6" w:rsidRPr="00243EC0" w:rsidRDefault="005B2EC6"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5B2EC6" w:rsidRPr="00E40FF8" w14:paraId="3A4AB36E" w14:textId="77777777" w:rsidTr="00BF75C9">
      <w:tc>
        <w:tcPr>
          <w:tcW w:w="6804" w:type="dxa"/>
          <w:shd w:val="clear" w:color="auto" w:fill="auto"/>
        </w:tcPr>
        <w:p w14:paraId="7FA4B500" w14:textId="57B4ACE4" w:rsidR="005B2EC6" w:rsidRDefault="00E401E3" w:rsidP="00E40FF8">
          <w:pPr>
            <w:pStyle w:val="LI-Header"/>
            <w:pBdr>
              <w:bottom w:val="none" w:sz="0" w:space="0" w:color="auto"/>
            </w:pBdr>
            <w:jc w:val="left"/>
          </w:pPr>
          <w:r>
            <w:fldChar w:fldCharType="begin"/>
          </w:r>
          <w:r>
            <w:instrText>STYLEREF  "LI - Title"</w:instrText>
          </w:r>
          <w:r>
            <w:fldChar w:fldCharType="separate"/>
          </w:r>
          <w:r w:rsidR="00F9531A">
            <w:rPr>
              <w:noProof/>
            </w:rPr>
            <w:t>ASIC Corporations (Shorter PDS and Delivery of Accessible Financial Products Disclosure by Platform Operators and Superannuation Trustees) Instrument 2022/497</w:t>
          </w:r>
          <w:r>
            <w:fldChar w:fldCharType="end"/>
          </w:r>
        </w:p>
      </w:tc>
      <w:tc>
        <w:tcPr>
          <w:tcW w:w="1509" w:type="dxa"/>
          <w:shd w:val="clear" w:color="auto" w:fill="auto"/>
        </w:tcPr>
        <w:p w14:paraId="6CC0C4CC" w14:textId="091198A7" w:rsidR="005B2EC6" w:rsidRDefault="00E401E3" w:rsidP="00E40FF8">
          <w:pPr>
            <w:pStyle w:val="LI-Header"/>
            <w:pBdr>
              <w:bottom w:val="none" w:sz="0" w:space="0" w:color="auto"/>
            </w:pBdr>
          </w:pPr>
          <w:r>
            <w:fldChar w:fldCharType="begin"/>
          </w:r>
          <w:r>
            <w:instrText>STYLEREF  "LI - Heading 1"</w:instrText>
          </w:r>
          <w:r>
            <w:fldChar w:fldCharType="separate"/>
          </w:r>
          <w:r w:rsidR="00F9531A">
            <w:rPr>
              <w:noProof/>
            </w:rPr>
            <w:t>Part 3—Repeal</w:t>
          </w:r>
          <w:r>
            <w:fldChar w:fldCharType="end"/>
          </w:r>
        </w:p>
      </w:tc>
    </w:tr>
  </w:tbl>
  <w:p w14:paraId="5ED25D66" w14:textId="77777777" w:rsidR="005B2EC6" w:rsidRPr="00F4215A" w:rsidRDefault="005B2EC6"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E1618"/>
    <w:multiLevelType w:val="hybridMultilevel"/>
    <w:tmpl w:val="A252CFB2"/>
    <w:lvl w:ilvl="0" w:tplc="AA3A27AE">
      <w:start w:val="1"/>
      <w:numFmt w:val="low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85037"/>
    <w:multiLevelType w:val="hybridMultilevel"/>
    <w:tmpl w:val="D5B0451A"/>
    <w:lvl w:ilvl="0" w:tplc="0DC6E73E">
      <w:start w:val="1"/>
      <w:numFmt w:val="low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13"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B75194"/>
    <w:multiLevelType w:val="hybridMultilevel"/>
    <w:tmpl w:val="86C6F37E"/>
    <w:lvl w:ilvl="0" w:tplc="950A2CD0">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1364161F"/>
    <w:multiLevelType w:val="hybridMultilevel"/>
    <w:tmpl w:val="B9187B92"/>
    <w:lvl w:ilvl="0" w:tplc="4CE44000">
      <w:start w:val="1"/>
      <w:numFmt w:val="low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6" w15:restartNumberingAfterBreak="0">
    <w:nsid w:val="1A0E4CAF"/>
    <w:multiLevelType w:val="hybridMultilevel"/>
    <w:tmpl w:val="B5EE1A68"/>
    <w:lvl w:ilvl="0" w:tplc="B0DEB6E4">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1C023001"/>
    <w:multiLevelType w:val="hybridMultilevel"/>
    <w:tmpl w:val="FBE4111C"/>
    <w:lvl w:ilvl="0" w:tplc="018A41DC">
      <w:start w:val="2"/>
      <w:numFmt w:val="low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18" w15:restartNumberingAfterBreak="0">
    <w:nsid w:val="2863191C"/>
    <w:multiLevelType w:val="hybridMultilevel"/>
    <w:tmpl w:val="0EC01F6C"/>
    <w:lvl w:ilvl="0" w:tplc="857A29F6">
      <w:start w:val="1"/>
      <w:numFmt w:val="lowerRoman"/>
      <w:lvlText w:val="(%1)"/>
      <w:lvlJc w:val="left"/>
      <w:pPr>
        <w:ind w:left="2988" w:hanging="72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19" w15:restartNumberingAfterBreak="0">
    <w:nsid w:val="2E4E34DE"/>
    <w:multiLevelType w:val="hybridMultilevel"/>
    <w:tmpl w:val="906E3092"/>
    <w:lvl w:ilvl="0" w:tplc="2BD26322">
      <w:start w:val="1"/>
      <w:numFmt w:val="lowerLetter"/>
      <w:lvlText w:val="(%1)"/>
      <w:lvlJc w:val="left"/>
      <w:pPr>
        <w:ind w:left="2106" w:hanging="360"/>
      </w:pPr>
      <w:rPr>
        <w:rFonts w:hint="default"/>
      </w:rPr>
    </w:lvl>
    <w:lvl w:ilvl="1" w:tplc="0C090019" w:tentative="1">
      <w:start w:val="1"/>
      <w:numFmt w:val="lowerLetter"/>
      <w:lvlText w:val="%2."/>
      <w:lvlJc w:val="left"/>
      <w:pPr>
        <w:ind w:left="2826" w:hanging="360"/>
      </w:pPr>
    </w:lvl>
    <w:lvl w:ilvl="2" w:tplc="0C09001B" w:tentative="1">
      <w:start w:val="1"/>
      <w:numFmt w:val="lowerRoman"/>
      <w:lvlText w:val="%3."/>
      <w:lvlJc w:val="right"/>
      <w:pPr>
        <w:ind w:left="3546" w:hanging="180"/>
      </w:pPr>
    </w:lvl>
    <w:lvl w:ilvl="3" w:tplc="0C09000F" w:tentative="1">
      <w:start w:val="1"/>
      <w:numFmt w:val="decimal"/>
      <w:lvlText w:val="%4."/>
      <w:lvlJc w:val="left"/>
      <w:pPr>
        <w:ind w:left="4266" w:hanging="360"/>
      </w:pPr>
    </w:lvl>
    <w:lvl w:ilvl="4" w:tplc="0C090019" w:tentative="1">
      <w:start w:val="1"/>
      <w:numFmt w:val="lowerLetter"/>
      <w:lvlText w:val="%5."/>
      <w:lvlJc w:val="left"/>
      <w:pPr>
        <w:ind w:left="4986" w:hanging="360"/>
      </w:pPr>
    </w:lvl>
    <w:lvl w:ilvl="5" w:tplc="0C09001B" w:tentative="1">
      <w:start w:val="1"/>
      <w:numFmt w:val="lowerRoman"/>
      <w:lvlText w:val="%6."/>
      <w:lvlJc w:val="right"/>
      <w:pPr>
        <w:ind w:left="5706" w:hanging="180"/>
      </w:pPr>
    </w:lvl>
    <w:lvl w:ilvl="6" w:tplc="0C09000F" w:tentative="1">
      <w:start w:val="1"/>
      <w:numFmt w:val="decimal"/>
      <w:lvlText w:val="%7."/>
      <w:lvlJc w:val="left"/>
      <w:pPr>
        <w:ind w:left="6426" w:hanging="360"/>
      </w:pPr>
    </w:lvl>
    <w:lvl w:ilvl="7" w:tplc="0C090019" w:tentative="1">
      <w:start w:val="1"/>
      <w:numFmt w:val="lowerLetter"/>
      <w:lvlText w:val="%8."/>
      <w:lvlJc w:val="left"/>
      <w:pPr>
        <w:ind w:left="7146" w:hanging="360"/>
      </w:pPr>
    </w:lvl>
    <w:lvl w:ilvl="8" w:tplc="0C09001B" w:tentative="1">
      <w:start w:val="1"/>
      <w:numFmt w:val="lowerRoman"/>
      <w:lvlText w:val="%9."/>
      <w:lvlJc w:val="right"/>
      <w:pPr>
        <w:ind w:left="7866" w:hanging="180"/>
      </w:pPr>
    </w:lvl>
  </w:abstractNum>
  <w:abstractNum w:abstractNumId="20" w15:restartNumberingAfterBreak="0">
    <w:nsid w:val="317A52A1"/>
    <w:multiLevelType w:val="hybridMultilevel"/>
    <w:tmpl w:val="A002F7F6"/>
    <w:lvl w:ilvl="0" w:tplc="23468452">
      <w:start w:val="1"/>
      <w:numFmt w:val="low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47EC6A41"/>
    <w:multiLevelType w:val="hybridMultilevel"/>
    <w:tmpl w:val="BDAAACF4"/>
    <w:lvl w:ilvl="0" w:tplc="37983796">
      <w:start w:val="1"/>
      <w:numFmt w:val="lowerRoman"/>
      <w:lvlText w:val="(%1)"/>
      <w:lvlJc w:val="left"/>
      <w:pPr>
        <w:ind w:left="3615" w:hanging="720"/>
      </w:pPr>
      <w:rPr>
        <w:rFonts w:hint="default"/>
      </w:rPr>
    </w:lvl>
    <w:lvl w:ilvl="1" w:tplc="0C090019" w:tentative="1">
      <w:start w:val="1"/>
      <w:numFmt w:val="lowerLetter"/>
      <w:lvlText w:val="%2."/>
      <w:lvlJc w:val="left"/>
      <w:pPr>
        <w:ind w:left="3975" w:hanging="360"/>
      </w:pPr>
    </w:lvl>
    <w:lvl w:ilvl="2" w:tplc="0C09001B" w:tentative="1">
      <w:start w:val="1"/>
      <w:numFmt w:val="lowerRoman"/>
      <w:lvlText w:val="%3."/>
      <w:lvlJc w:val="right"/>
      <w:pPr>
        <w:ind w:left="4695" w:hanging="180"/>
      </w:pPr>
    </w:lvl>
    <w:lvl w:ilvl="3" w:tplc="0C09000F" w:tentative="1">
      <w:start w:val="1"/>
      <w:numFmt w:val="decimal"/>
      <w:lvlText w:val="%4."/>
      <w:lvlJc w:val="left"/>
      <w:pPr>
        <w:ind w:left="5415" w:hanging="360"/>
      </w:pPr>
    </w:lvl>
    <w:lvl w:ilvl="4" w:tplc="0C090019" w:tentative="1">
      <w:start w:val="1"/>
      <w:numFmt w:val="lowerLetter"/>
      <w:lvlText w:val="%5."/>
      <w:lvlJc w:val="left"/>
      <w:pPr>
        <w:ind w:left="6135" w:hanging="360"/>
      </w:pPr>
    </w:lvl>
    <w:lvl w:ilvl="5" w:tplc="0C09001B" w:tentative="1">
      <w:start w:val="1"/>
      <w:numFmt w:val="lowerRoman"/>
      <w:lvlText w:val="%6."/>
      <w:lvlJc w:val="right"/>
      <w:pPr>
        <w:ind w:left="6855" w:hanging="180"/>
      </w:pPr>
    </w:lvl>
    <w:lvl w:ilvl="6" w:tplc="0C09000F" w:tentative="1">
      <w:start w:val="1"/>
      <w:numFmt w:val="decimal"/>
      <w:lvlText w:val="%7."/>
      <w:lvlJc w:val="left"/>
      <w:pPr>
        <w:ind w:left="7575" w:hanging="360"/>
      </w:pPr>
    </w:lvl>
    <w:lvl w:ilvl="7" w:tplc="0C090019" w:tentative="1">
      <w:start w:val="1"/>
      <w:numFmt w:val="lowerLetter"/>
      <w:lvlText w:val="%8."/>
      <w:lvlJc w:val="left"/>
      <w:pPr>
        <w:ind w:left="8295" w:hanging="360"/>
      </w:pPr>
    </w:lvl>
    <w:lvl w:ilvl="8" w:tplc="0C09001B" w:tentative="1">
      <w:start w:val="1"/>
      <w:numFmt w:val="lowerRoman"/>
      <w:lvlText w:val="%9."/>
      <w:lvlJc w:val="right"/>
      <w:pPr>
        <w:ind w:left="9015" w:hanging="180"/>
      </w:pPr>
    </w:lvl>
  </w:abstractNum>
  <w:abstractNum w:abstractNumId="2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005F0B"/>
    <w:multiLevelType w:val="hybridMultilevel"/>
    <w:tmpl w:val="016E47EA"/>
    <w:lvl w:ilvl="0" w:tplc="F92E2496">
      <w:start w:val="1"/>
      <w:numFmt w:val="lowerRoman"/>
      <w:lvlText w:val="(%1)"/>
      <w:lvlJc w:val="left"/>
      <w:pPr>
        <w:ind w:left="3555" w:hanging="72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5" w15:restartNumberingAfterBreak="0">
    <w:nsid w:val="5C1F52E6"/>
    <w:multiLevelType w:val="hybridMultilevel"/>
    <w:tmpl w:val="76B6BD20"/>
    <w:lvl w:ilvl="0" w:tplc="9F0ADF76">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15:restartNumberingAfterBreak="0">
    <w:nsid w:val="5F7C6D06"/>
    <w:multiLevelType w:val="hybridMultilevel"/>
    <w:tmpl w:val="3776FFFA"/>
    <w:lvl w:ilvl="0" w:tplc="43C8D5F2">
      <w:start w:val="1"/>
      <w:numFmt w:val="lowerLetter"/>
      <w:lvlText w:val="(%1)"/>
      <w:lvlJc w:val="left"/>
      <w:pPr>
        <w:ind w:left="1271" w:hanging="360"/>
      </w:pPr>
      <w:rPr>
        <w:rFonts w:hint="default"/>
      </w:rPr>
    </w:lvl>
    <w:lvl w:ilvl="1" w:tplc="0C090019" w:tentative="1">
      <w:start w:val="1"/>
      <w:numFmt w:val="lowerLetter"/>
      <w:lvlText w:val="%2."/>
      <w:lvlJc w:val="left"/>
      <w:pPr>
        <w:ind w:left="1991" w:hanging="360"/>
      </w:pPr>
    </w:lvl>
    <w:lvl w:ilvl="2" w:tplc="0C09001B" w:tentative="1">
      <w:start w:val="1"/>
      <w:numFmt w:val="lowerRoman"/>
      <w:lvlText w:val="%3."/>
      <w:lvlJc w:val="right"/>
      <w:pPr>
        <w:ind w:left="2711" w:hanging="180"/>
      </w:pPr>
    </w:lvl>
    <w:lvl w:ilvl="3" w:tplc="0C09000F" w:tentative="1">
      <w:start w:val="1"/>
      <w:numFmt w:val="decimal"/>
      <w:lvlText w:val="%4."/>
      <w:lvlJc w:val="left"/>
      <w:pPr>
        <w:ind w:left="3431" w:hanging="360"/>
      </w:pPr>
    </w:lvl>
    <w:lvl w:ilvl="4" w:tplc="0C090019" w:tentative="1">
      <w:start w:val="1"/>
      <w:numFmt w:val="lowerLetter"/>
      <w:lvlText w:val="%5."/>
      <w:lvlJc w:val="left"/>
      <w:pPr>
        <w:ind w:left="4151" w:hanging="360"/>
      </w:pPr>
    </w:lvl>
    <w:lvl w:ilvl="5" w:tplc="0C09001B" w:tentative="1">
      <w:start w:val="1"/>
      <w:numFmt w:val="lowerRoman"/>
      <w:lvlText w:val="%6."/>
      <w:lvlJc w:val="right"/>
      <w:pPr>
        <w:ind w:left="4871" w:hanging="180"/>
      </w:pPr>
    </w:lvl>
    <w:lvl w:ilvl="6" w:tplc="0C09000F" w:tentative="1">
      <w:start w:val="1"/>
      <w:numFmt w:val="decimal"/>
      <w:lvlText w:val="%7."/>
      <w:lvlJc w:val="left"/>
      <w:pPr>
        <w:ind w:left="5591" w:hanging="360"/>
      </w:pPr>
    </w:lvl>
    <w:lvl w:ilvl="7" w:tplc="0C090019" w:tentative="1">
      <w:start w:val="1"/>
      <w:numFmt w:val="lowerLetter"/>
      <w:lvlText w:val="%8."/>
      <w:lvlJc w:val="left"/>
      <w:pPr>
        <w:ind w:left="6311" w:hanging="360"/>
      </w:pPr>
    </w:lvl>
    <w:lvl w:ilvl="8" w:tplc="0C09001B" w:tentative="1">
      <w:start w:val="1"/>
      <w:numFmt w:val="lowerRoman"/>
      <w:lvlText w:val="%9."/>
      <w:lvlJc w:val="right"/>
      <w:pPr>
        <w:ind w:left="7031" w:hanging="180"/>
      </w:pPr>
    </w:lvl>
  </w:abstractNum>
  <w:abstractNum w:abstractNumId="27" w15:restartNumberingAfterBreak="0">
    <w:nsid w:val="5FD66C10"/>
    <w:multiLevelType w:val="hybridMultilevel"/>
    <w:tmpl w:val="C8C01F44"/>
    <w:lvl w:ilvl="0" w:tplc="FB7ED94C">
      <w:start w:val="1"/>
      <w:numFmt w:val="low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28" w15:restartNumberingAfterBreak="0">
    <w:nsid w:val="654B4A45"/>
    <w:multiLevelType w:val="hybridMultilevel"/>
    <w:tmpl w:val="469086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5FF2AE4"/>
    <w:multiLevelType w:val="hybridMultilevel"/>
    <w:tmpl w:val="E7B6BCBE"/>
    <w:lvl w:ilvl="0" w:tplc="1B1C6026">
      <w:start w:val="1"/>
      <w:numFmt w:val="lowerRoman"/>
      <w:lvlText w:val="(%1)"/>
      <w:lvlJc w:val="left"/>
      <w:pPr>
        <w:ind w:left="4122" w:hanging="720"/>
      </w:pPr>
      <w:rPr>
        <w:rFonts w:hint="default"/>
      </w:rPr>
    </w:lvl>
    <w:lvl w:ilvl="1" w:tplc="0C090019" w:tentative="1">
      <w:start w:val="1"/>
      <w:numFmt w:val="lowerLetter"/>
      <w:lvlText w:val="%2."/>
      <w:lvlJc w:val="left"/>
      <w:pPr>
        <w:ind w:left="4482" w:hanging="360"/>
      </w:pPr>
    </w:lvl>
    <w:lvl w:ilvl="2" w:tplc="0C09001B" w:tentative="1">
      <w:start w:val="1"/>
      <w:numFmt w:val="lowerRoman"/>
      <w:lvlText w:val="%3."/>
      <w:lvlJc w:val="right"/>
      <w:pPr>
        <w:ind w:left="5202" w:hanging="180"/>
      </w:pPr>
    </w:lvl>
    <w:lvl w:ilvl="3" w:tplc="0C09000F" w:tentative="1">
      <w:start w:val="1"/>
      <w:numFmt w:val="decimal"/>
      <w:lvlText w:val="%4."/>
      <w:lvlJc w:val="left"/>
      <w:pPr>
        <w:ind w:left="5922" w:hanging="360"/>
      </w:pPr>
    </w:lvl>
    <w:lvl w:ilvl="4" w:tplc="0C090019" w:tentative="1">
      <w:start w:val="1"/>
      <w:numFmt w:val="lowerLetter"/>
      <w:lvlText w:val="%5."/>
      <w:lvlJc w:val="left"/>
      <w:pPr>
        <w:ind w:left="6642" w:hanging="360"/>
      </w:pPr>
    </w:lvl>
    <w:lvl w:ilvl="5" w:tplc="0C09001B" w:tentative="1">
      <w:start w:val="1"/>
      <w:numFmt w:val="lowerRoman"/>
      <w:lvlText w:val="%6."/>
      <w:lvlJc w:val="right"/>
      <w:pPr>
        <w:ind w:left="7362" w:hanging="180"/>
      </w:pPr>
    </w:lvl>
    <w:lvl w:ilvl="6" w:tplc="0C09000F" w:tentative="1">
      <w:start w:val="1"/>
      <w:numFmt w:val="decimal"/>
      <w:lvlText w:val="%7."/>
      <w:lvlJc w:val="left"/>
      <w:pPr>
        <w:ind w:left="8082" w:hanging="360"/>
      </w:pPr>
    </w:lvl>
    <w:lvl w:ilvl="7" w:tplc="0C090019" w:tentative="1">
      <w:start w:val="1"/>
      <w:numFmt w:val="lowerLetter"/>
      <w:lvlText w:val="%8."/>
      <w:lvlJc w:val="left"/>
      <w:pPr>
        <w:ind w:left="8802" w:hanging="360"/>
      </w:pPr>
    </w:lvl>
    <w:lvl w:ilvl="8" w:tplc="0C09001B" w:tentative="1">
      <w:start w:val="1"/>
      <w:numFmt w:val="lowerRoman"/>
      <w:lvlText w:val="%9."/>
      <w:lvlJc w:val="right"/>
      <w:pPr>
        <w:ind w:left="9522" w:hanging="180"/>
      </w:pPr>
    </w:lvl>
  </w:abstractNum>
  <w:abstractNum w:abstractNumId="30" w15:restartNumberingAfterBreak="0">
    <w:nsid w:val="6F1B27C7"/>
    <w:multiLevelType w:val="hybridMultilevel"/>
    <w:tmpl w:val="5AD2A18A"/>
    <w:lvl w:ilvl="0" w:tplc="AEC2BA80">
      <w:start w:val="1"/>
      <w:numFmt w:val="low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31" w15:restartNumberingAfterBreak="0">
    <w:nsid w:val="7DD700F6"/>
    <w:multiLevelType w:val="hybridMultilevel"/>
    <w:tmpl w:val="33ACD1CE"/>
    <w:lvl w:ilvl="0" w:tplc="328EE184">
      <w:start w:val="1"/>
      <w:numFmt w:val="lowerLetter"/>
      <w:lvlText w:val="(%1)"/>
      <w:lvlJc w:val="left"/>
      <w:pPr>
        <w:ind w:left="3762" w:hanging="360"/>
      </w:pPr>
      <w:rPr>
        <w:rFonts w:hint="default"/>
      </w:rPr>
    </w:lvl>
    <w:lvl w:ilvl="1" w:tplc="0C090019" w:tentative="1">
      <w:start w:val="1"/>
      <w:numFmt w:val="lowerLetter"/>
      <w:lvlText w:val="%2."/>
      <w:lvlJc w:val="left"/>
      <w:pPr>
        <w:ind w:left="4482" w:hanging="360"/>
      </w:pPr>
    </w:lvl>
    <w:lvl w:ilvl="2" w:tplc="0C09001B" w:tentative="1">
      <w:start w:val="1"/>
      <w:numFmt w:val="lowerRoman"/>
      <w:lvlText w:val="%3."/>
      <w:lvlJc w:val="right"/>
      <w:pPr>
        <w:ind w:left="5202" w:hanging="180"/>
      </w:pPr>
    </w:lvl>
    <w:lvl w:ilvl="3" w:tplc="0C09000F" w:tentative="1">
      <w:start w:val="1"/>
      <w:numFmt w:val="decimal"/>
      <w:lvlText w:val="%4."/>
      <w:lvlJc w:val="left"/>
      <w:pPr>
        <w:ind w:left="5922" w:hanging="360"/>
      </w:pPr>
    </w:lvl>
    <w:lvl w:ilvl="4" w:tplc="0C090019" w:tentative="1">
      <w:start w:val="1"/>
      <w:numFmt w:val="lowerLetter"/>
      <w:lvlText w:val="%5."/>
      <w:lvlJc w:val="left"/>
      <w:pPr>
        <w:ind w:left="6642" w:hanging="360"/>
      </w:pPr>
    </w:lvl>
    <w:lvl w:ilvl="5" w:tplc="0C09001B" w:tentative="1">
      <w:start w:val="1"/>
      <w:numFmt w:val="lowerRoman"/>
      <w:lvlText w:val="%6."/>
      <w:lvlJc w:val="right"/>
      <w:pPr>
        <w:ind w:left="7362" w:hanging="180"/>
      </w:pPr>
    </w:lvl>
    <w:lvl w:ilvl="6" w:tplc="0C09000F" w:tentative="1">
      <w:start w:val="1"/>
      <w:numFmt w:val="decimal"/>
      <w:lvlText w:val="%7."/>
      <w:lvlJc w:val="left"/>
      <w:pPr>
        <w:ind w:left="8082" w:hanging="360"/>
      </w:pPr>
    </w:lvl>
    <w:lvl w:ilvl="7" w:tplc="0C090019" w:tentative="1">
      <w:start w:val="1"/>
      <w:numFmt w:val="lowerLetter"/>
      <w:lvlText w:val="%8."/>
      <w:lvlJc w:val="left"/>
      <w:pPr>
        <w:ind w:left="8802" w:hanging="360"/>
      </w:pPr>
    </w:lvl>
    <w:lvl w:ilvl="8" w:tplc="0C09001B" w:tentative="1">
      <w:start w:val="1"/>
      <w:numFmt w:val="lowerRoman"/>
      <w:lvlText w:val="%9."/>
      <w:lvlJc w:val="right"/>
      <w:pPr>
        <w:ind w:left="9522"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1"/>
  </w:num>
  <w:num w:numId="13">
    <w:abstractNumId w:val="13"/>
  </w:num>
  <w:num w:numId="14">
    <w:abstractNumId w:val="23"/>
  </w:num>
  <w:num w:numId="15">
    <w:abstractNumId w:val="18"/>
  </w:num>
  <w:num w:numId="16">
    <w:abstractNumId w:val="30"/>
  </w:num>
  <w:num w:numId="17">
    <w:abstractNumId w:val="12"/>
  </w:num>
  <w:num w:numId="18">
    <w:abstractNumId w:val="24"/>
  </w:num>
  <w:num w:numId="19">
    <w:abstractNumId w:val="26"/>
  </w:num>
  <w:num w:numId="20">
    <w:abstractNumId w:val="27"/>
  </w:num>
  <w:num w:numId="21">
    <w:abstractNumId w:val="14"/>
  </w:num>
  <w:num w:numId="22">
    <w:abstractNumId w:val="16"/>
  </w:num>
  <w:num w:numId="23">
    <w:abstractNumId w:val="25"/>
  </w:num>
  <w:num w:numId="24">
    <w:abstractNumId w:val="20"/>
  </w:num>
  <w:num w:numId="25">
    <w:abstractNumId w:val="15"/>
  </w:num>
  <w:num w:numId="26">
    <w:abstractNumId w:val="29"/>
  </w:num>
  <w:num w:numId="27">
    <w:abstractNumId w:val="31"/>
  </w:num>
  <w:num w:numId="28">
    <w:abstractNumId w:val="10"/>
  </w:num>
  <w:num w:numId="29">
    <w:abstractNumId w:val="17"/>
  </w:num>
  <w:num w:numId="30">
    <w:abstractNumId w:val="22"/>
  </w:num>
  <w:num w:numId="31">
    <w:abstractNumId w:val="28"/>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TrueTypeFonts/>
  <w:saveSubsetFonts/>
  <w:hideSpellingErrors/>
  <w:hideGrammaticalError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0036"/>
    <w:rsid w:val="00002E41"/>
    <w:rsid w:val="00004470"/>
    <w:rsid w:val="00005446"/>
    <w:rsid w:val="00012EE0"/>
    <w:rsid w:val="000136AF"/>
    <w:rsid w:val="00013B8D"/>
    <w:rsid w:val="00013CAF"/>
    <w:rsid w:val="00015719"/>
    <w:rsid w:val="00016952"/>
    <w:rsid w:val="00023D53"/>
    <w:rsid w:val="00032FA0"/>
    <w:rsid w:val="00037C1D"/>
    <w:rsid w:val="000437C1"/>
    <w:rsid w:val="00051A21"/>
    <w:rsid w:val="0005365D"/>
    <w:rsid w:val="000614BF"/>
    <w:rsid w:val="0006250C"/>
    <w:rsid w:val="00064237"/>
    <w:rsid w:val="00067CA3"/>
    <w:rsid w:val="00081794"/>
    <w:rsid w:val="0008284D"/>
    <w:rsid w:val="00084FF4"/>
    <w:rsid w:val="00085B2D"/>
    <w:rsid w:val="00095932"/>
    <w:rsid w:val="000A142F"/>
    <w:rsid w:val="000A6C39"/>
    <w:rsid w:val="000B405B"/>
    <w:rsid w:val="000B58FA"/>
    <w:rsid w:val="000C55A0"/>
    <w:rsid w:val="000C7C15"/>
    <w:rsid w:val="000D041F"/>
    <w:rsid w:val="000D05EF"/>
    <w:rsid w:val="000E2261"/>
    <w:rsid w:val="000E3C2E"/>
    <w:rsid w:val="000E4ED5"/>
    <w:rsid w:val="000F21C1"/>
    <w:rsid w:val="000F63FE"/>
    <w:rsid w:val="00102CA6"/>
    <w:rsid w:val="0010745C"/>
    <w:rsid w:val="00122E63"/>
    <w:rsid w:val="00125141"/>
    <w:rsid w:val="00127D38"/>
    <w:rsid w:val="00132CEB"/>
    <w:rsid w:val="00142B62"/>
    <w:rsid w:val="00144341"/>
    <w:rsid w:val="00153B32"/>
    <w:rsid w:val="00155527"/>
    <w:rsid w:val="00157B8B"/>
    <w:rsid w:val="00166C2F"/>
    <w:rsid w:val="00171A6E"/>
    <w:rsid w:val="001809D7"/>
    <w:rsid w:val="00182156"/>
    <w:rsid w:val="001939E1"/>
    <w:rsid w:val="00194C3E"/>
    <w:rsid w:val="00195382"/>
    <w:rsid w:val="00195BD4"/>
    <w:rsid w:val="001A5497"/>
    <w:rsid w:val="001A6C57"/>
    <w:rsid w:val="001C61C5"/>
    <w:rsid w:val="001C69C4"/>
    <w:rsid w:val="001C6F6B"/>
    <w:rsid w:val="001C7794"/>
    <w:rsid w:val="001D37EF"/>
    <w:rsid w:val="001D74E6"/>
    <w:rsid w:val="001E3590"/>
    <w:rsid w:val="001E7407"/>
    <w:rsid w:val="001F02B1"/>
    <w:rsid w:val="001F5A32"/>
    <w:rsid w:val="001F5D5E"/>
    <w:rsid w:val="001F6219"/>
    <w:rsid w:val="001F67D7"/>
    <w:rsid w:val="001F6CD4"/>
    <w:rsid w:val="00206C4D"/>
    <w:rsid w:val="0020761C"/>
    <w:rsid w:val="0021053C"/>
    <w:rsid w:val="00215AF1"/>
    <w:rsid w:val="00215B94"/>
    <w:rsid w:val="00217437"/>
    <w:rsid w:val="002226A6"/>
    <w:rsid w:val="0023081C"/>
    <w:rsid w:val="002318D5"/>
    <w:rsid w:val="002321E8"/>
    <w:rsid w:val="00235496"/>
    <w:rsid w:val="00236EEC"/>
    <w:rsid w:val="00237924"/>
    <w:rsid w:val="0024010F"/>
    <w:rsid w:val="00240749"/>
    <w:rsid w:val="00241932"/>
    <w:rsid w:val="00241F9C"/>
    <w:rsid w:val="002427E1"/>
    <w:rsid w:val="00243018"/>
    <w:rsid w:val="00243EC0"/>
    <w:rsid w:val="00244742"/>
    <w:rsid w:val="00244B06"/>
    <w:rsid w:val="0024665D"/>
    <w:rsid w:val="002564A4"/>
    <w:rsid w:val="00261898"/>
    <w:rsid w:val="00261F28"/>
    <w:rsid w:val="00266866"/>
    <w:rsid w:val="0026736C"/>
    <w:rsid w:val="002720AD"/>
    <w:rsid w:val="00281308"/>
    <w:rsid w:val="00281813"/>
    <w:rsid w:val="002832A3"/>
    <w:rsid w:val="00284719"/>
    <w:rsid w:val="00293509"/>
    <w:rsid w:val="00297ECB"/>
    <w:rsid w:val="002A7328"/>
    <w:rsid w:val="002A7BCF"/>
    <w:rsid w:val="002B19F3"/>
    <w:rsid w:val="002B4A0D"/>
    <w:rsid w:val="002C02B7"/>
    <w:rsid w:val="002C7B6F"/>
    <w:rsid w:val="002D043A"/>
    <w:rsid w:val="002D6224"/>
    <w:rsid w:val="002E20FA"/>
    <w:rsid w:val="002E3F4B"/>
    <w:rsid w:val="00303DAC"/>
    <w:rsid w:val="00304F8B"/>
    <w:rsid w:val="00307078"/>
    <w:rsid w:val="00327DDF"/>
    <w:rsid w:val="003354D2"/>
    <w:rsid w:val="00335BC6"/>
    <w:rsid w:val="003415D3"/>
    <w:rsid w:val="00343BD0"/>
    <w:rsid w:val="00344701"/>
    <w:rsid w:val="00347F69"/>
    <w:rsid w:val="003518AA"/>
    <w:rsid w:val="003528DA"/>
    <w:rsid w:val="00352B0F"/>
    <w:rsid w:val="0035639D"/>
    <w:rsid w:val="00356690"/>
    <w:rsid w:val="00357DD0"/>
    <w:rsid w:val="00360459"/>
    <w:rsid w:val="00365497"/>
    <w:rsid w:val="0037160F"/>
    <w:rsid w:val="00373702"/>
    <w:rsid w:val="00387A96"/>
    <w:rsid w:val="003A2A48"/>
    <w:rsid w:val="003A5495"/>
    <w:rsid w:val="003B28C3"/>
    <w:rsid w:val="003B4473"/>
    <w:rsid w:val="003B732F"/>
    <w:rsid w:val="003C5B6B"/>
    <w:rsid w:val="003C6231"/>
    <w:rsid w:val="003C6895"/>
    <w:rsid w:val="003D0BFE"/>
    <w:rsid w:val="003D5700"/>
    <w:rsid w:val="003D5B70"/>
    <w:rsid w:val="003E0F99"/>
    <w:rsid w:val="003E341B"/>
    <w:rsid w:val="003E36A2"/>
    <w:rsid w:val="003E54BD"/>
    <w:rsid w:val="003F75C4"/>
    <w:rsid w:val="0040053F"/>
    <w:rsid w:val="004036A1"/>
    <w:rsid w:val="00404016"/>
    <w:rsid w:val="00410442"/>
    <w:rsid w:val="004116CD"/>
    <w:rsid w:val="004144EC"/>
    <w:rsid w:val="00417EB9"/>
    <w:rsid w:val="00422030"/>
    <w:rsid w:val="00423E70"/>
    <w:rsid w:val="00424CA9"/>
    <w:rsid w:val="004270B6"/>
    <w:rsid w:val="00431E9B"/>
    <w:rsid w:val="004379E3"/>
    <w:rsid w:val="0044015E"/>
    <w:rsid w:val="0044291A"/>
    <w:rsid w:val="00444ABD"/>
    <w:rsid w:val="00444D4D"/>
    <w:rsid w:val="00445384"/>
    <w:rsid w:val="00447DB4"/>
    <w:rsid w:val="004538B1"/>
    <w:rsid w:val="004600DC"/>
    <w:rsid w:val="00460F1D"/>
    <w:rsid w:val="00463EAA"/>
    <w:rsid w:val="00465DC1"/>
    <w:rsid w:val="00467661"/>
    <w:rsid w:val="004705B7"/>
    <w:rsid w:val="004713D5"/>
    <w:rsid w:val="00472DBE"/>
    <w:rsid w:val="00474A19"/>
    <w:rsid w:val="004823C0"/>
    <w:rsid w:val="0048276B"/>
    <w:rsid w:val="0049311B"/>
    <w:rsid w:val="00496B5F"/>
    <w:rsid w:val="00496F97"/>
    <w:rsid w:val="004A44FC"/>
    <w:rsid w:val="004A5E7B"/>
    <w:rsid w:val="004B462E"/>
    <w:rsid w:val="004B5B44"/>
    <w:rsid w:val="004B72E8"/>
    <w:rsid w:val="004C1CB1"/>
    <w:rsid w:val="004D1DBA"/>
    <w:rsid w:val="004E063A"/>
    <w:rsid w:val="004E7BEC"/>
    <w:rsid w:val="0050044F"/>
    <w:rsid w:val="00505D3D"/>
    <w:rsid w:val="00506AF6"/>
    <w:rsid w:val="00507335"/>
    <w:rsid w:val="005108F4"/>
    <w:rsid w:val="00516B8D"/>
    <w:rsid w:val="00517E56"/>
    <w:rsid w:val="00524483"/>
    <w:rsid w:val="0052678A"/>
    <w:rsid w:val="00532049"/>
    <w:rsid w:val="00534C6E"/>
    <w:rsid w:val="00534EA1"/>
    <w:rsid w:val="0053540B"/>
    <w:rsid w:val="005356A7"/>
    <w:rsid w:val="00536184"/>
    <w:rsid w:val="00537FBC"/>
    <w:rsid w:val="00556417"/>
    <w:rsid w:val="005574D1"/>
    <w:rsid w:val="00557DB8"/>
    <w:rsid w:val="00563353"/>
    <w:rsid w:val="0056342A"/>
    <w:rsid w:val="005657FE"/>
    <w:rsid w:val="005662F3"/>
    <w:rsid w:val="00572BB1"/>
    <w:rsid w:val="0057670F"/>
    <w:rsid w:val="005773B0"/>
    <w:rsid w:val="00580243"/>
    <w:rsid w:val="00584811"/>
    <w:rsid w:val="00585784"/>
    <w:rsid w:val="005863DB"/>
    <w:rsid w:val="00592961"/>
    <w:rsid w:val="00593AA6"/>
    <w:rsid w:val="00594161"/>
    <w:rsid w:val="00594749"/>
    <w:rsid w:val="005B2EC6"/>
    <w:rsid w:val="005B4067"/>
    <w:rsid w:val="005B6286"/>
    <w:rsid w:val="005B780C"/>
    <w:rsid w:val="005C3F41"/>
    <w:rsid w:val="005D0489"/>
    <w:rsid w:val="005D2D09"/>
    <w:rsid w:val="005D3D41"/>
    <w:rsid w:val="005E4810"/>
    <w:rsid w:val="005F4140"/>
    <w:rsid w:val="005F65CD"/>
    <w:rsid w:val="00600219"/>
    <w:rsid w:val="00603580"/>
    <w:rsid w:val="00603DC4"/>
    <w:rsid w:val="00607A71"/>
    <w:rsid w:val="006117CB"/>
    <w:rsid w:val="00620076"/>
    <w:rsid w:val="0062409F"/>
    <w:rsid w:val="00634044"/>
    <w:rsid w:val="00640161"/>
    <w:rsid w:val="00652769"/>
    <w:rsid w:val="0065542F"/>
    <w:rsid w:val="006554FF"/>
    <w:rsid w:val="00656FCF"/>
    <w:rsid w:val="00667488"/>
    <w:rsid w:val="00670EA1"/>
    <w:rsid w:val="00677CC2"/>
    <w:rsid w:val="0068794D"/>
    <w:rsid w:val="006905DE"/>
    <w:rsid w:val="0069207B"/>
    <w:rsid w:val="006A061C"/>
    <w:rsid w:val="006A5733"/>
    <w:rsid w:val="006A6509"/>
    <w:rsid w:val="006A7D67"/>
    <w:rsid w:val="006B5789"/>
    <w:rsid w:val="006C30C5"/>
    <w:rsid w:val="006C48FA"/>
    <w:rsid w:val="006C4986"/>
    <w:rsid w:val="006C58B4"/>
    <w:rsid w:val="006C7201"/>
    <w:rsid w:val="006C7F8C"/>
    <w:rsid w:val="006D0AF8"/>
    <w:rsid w:val="006D6CF8"/>
    <w:rsid w:val="006E0B67"/>
    <w:rsid w:val="006E25BD"/>
    <w:rsid w:val="006E5320"/>
    <w:rsid w:val="006E6246"/>
    <w:rsid w:val="006F20E8"/>
    <w:rsid w:val="006F318F"/>
    <w:rsid w:val="006F4226"/>
    <w:rsid w:val="0070017E"/>
    <w:rsid w:val="00700B2C"/>
    <w:rsid w:val="00702EFD"/>
    <w:rsid w:val="007035E4"/>
    <w:rsid w:val="007050A2"/>
    <w:rsid w:val="00713084"/>
    <w:rsid w:val="0071399B"/>
    <w:rsid w:val="00714F20"/>
    <w:rsid w:val="0071590F"/>
    <w:rsid w:val="00715914"/>
    <w:rsid w:val="00723DD0"/>
    <w:rsid w:val="00731E00"/>
    <w:rsid w:val="00731ECD"/>
    <w:rsid w:val="00741EE8"/>
    <w:rsid w:val="007440B7"/>
    <w:rsid w:val="007500C8"/>
    <w:rsid w:val="0075225F"/>
    <w:rsid w:val="007525CE"/>
    <w:rsid w:val="00756272"/>
    <w:rsid w:val="007662B5"/>
    <w:rsid w:val="0076681A"/>
    <w:rsid w:val="007715C9"/>
    <w:rsid w:val="00771613"/>
    <w:rsid w:val="00774EDD"/>
    <w:rsid w:val="0077506D"/>
    <w:rsid w:val="007757EC"/>
    <w:rsid w:val="00776F11"/>
    <w:rsid w:val="00781ED2"/>
    <w:rsid w:val="00783E89"/>
    <w:rsid w:val="00785A9E"/>
    <w:rsid w:val="00790411"/>
    <w:rsid w:val="00791420"/>
    <w:rsid w:val="00793915"/>
    <w:rsid w:val="007A6B1C"/>
    <w:rsid w:val="007B3110"/>
    <w:rsid w:val="007B4C4F"/>
    <w:rsid w:val="007B546D"/>
    <w:rsid w:val="007B7EFD"/>
    <w:rsid w:val="007C2253"/>
    <w:rsid w:val="007D1A81"/>
    <w:rsid w:val="007D230B"/>
    <w:rsid w:val="007D6AD3"/>
    <w:rsid w:val="007D6AF7"/>
    <w:rsid w:val="007D71AC"/>
    <w:rsid w:val="007E163D"/>
    <w:rsid w:val="007E667A"/>
    <w:rsid w:val="007F28C9"/>
    <w:rsid w:val="0080312D"/>
    <w:rsid w:val="00803587"/>
    <w:rsid w:val="00803EA1"/>
    <w:rsid w:val="00804559"/>
    <w:rsid w:val="00805FF8"/>
    <w:rsid w:val="008066D7"/>
    <w:rsid w:val="008117E9"/>
    <w:rsid w:val="00821A26"/>
    <w:rsid w:val="00824498"/>
    <w:rsid w:val="00832F63"/>
    <w:rsid w:val="00840442"/>
    <w:rsid w:val="0084189F"/>
    <w:rsid w:val="00842B6F"/>
    <w:rsid w:val="008527C0"/>
    <w:rsid w:val="00856137"/>
    <w:rsid w:val="00856A31"/>
    <w:rsid w:val="00856FFE"/>
    <w:rsid w:val="00860B58"/>
    <w:rsid w:val="0086170B"/>
    <w:rsid w:val="008672CA"/>
    <w:rsid w:val="00867B37"/>
    <w:rsid w:val="008718DD"/>
    <w:rsid w:val="008754D0"/>
    <w:rsid w:val="008855C9"/>
    <w:rsid w:val="00886456"/>
    <w:rsid w:val="0089178E"/>
    <w:rsid w:val="00892731"/>
    <w:rsid w:val="008945E0"/>
    <w:rsid w:val="0089527F"/>
    <w:rsid w:val="008A362B"/>
    <w:rsid w:val="008A46E1"/>
    <w:rsid w:val="008A4F43"/>
    <w:rsid w:val="008A7936"/>
    <w:rsid w:val="008B2706"/>
    <w:rsid w:val="008B59CF"/>
    <w:rsid w:val="008C037B"/>
    <w:rsid w:val="008C0F29"/>
    <w:rsid w:val="008C5959"/>
    <w:rsid w:val="008D0CF3"/>
    <w:rsid w:val="008D0EE0"/>
    <w:rsid w:val="008D3422"/>
    <w:rsid w:val="008E1D86"/>
    <w:rsid w:val="008E3203"/>
    <w:rsid w:val="008E6067"/>
    <w:rsid w:val="008F54E7"/>
    <w:rsid w:val="009016BE"/>
    <w:rsid w:val="00903422"/>
    <w:rsid w:val="00906639"/>
    <w:rsid w:val="00914A9F"/>
    <w:rsid w:val="009157B9"/>
    <w:rsid w:val="00915DF9"/>
    <w:rsid w:val="00916698"/>
    <w:rsid w:val="009254C3"/>
    <w:rsid w:val="00926940"/>
    <w:rsid w:val="00930A0A"/>
    <w:rsid w:val="00932377"/>
    <w:rsid w:val="009460DC"/>
    <w:rsid w:val="00947D5A"/>
    <w:rsid w:val="009532A5"/>
    <w:rsid w:val="0095528E"/>
    <w:rsid w:val="00957320"/>
    <w:rsid w:val="00957D04"/>
    <w:rsid w:val="009658EA"/>
    <w:rsid w:val="0096753E"/>
    <w:rsid w:val="00973203"/>
    <w:rsid w:val="00975898"/>
    <w:rsid w:val="00982242"/>
    <w:rsid w:val="00982EF9"/>
    <w:rsid w:val="009847F9"/>
    <w:rsid w:val="00986119"/>
    <w:rsid w:val="009868E9"/>
    <w:rsid w:val="0098701D"/>
    <w:rsid w:val="0099017C"/>
    <w:rsid w:val="009944E6"/>
    <w:rsid w:val="00996D68"/>
    <w:rsid w:val="009A49C9"/>
    <w:rsid w:val="009A7634"/>
    <w:rsid w:val="009D1818"/>
    <w:rsid w:val="009D195A"/>
    <w:rsid w:val="009E1089"/>
    <w:rsid w:val="009E5B3B"/>
    <w:rsid w:val="009E5CFC"/>
    <w:rsid w:val="009F34B4"/>
    <w:rsid w:val="00A004D5"/>
    <w:rsid w:val="00A079CB"/>
    <w:rsid w:val="00A11D88"/>
    <w:rsid w:val="00A12128"/>
    <w:rsid w:val="00A12F48"/>
    <w:rsid w:val="00A14339"/>
    <w:rsid w:val="00A15512"/>
    <w:rsid w:val="00A1598A"/>
    <w:rsid w:val="00A15C6D"/>
    <w:rsid w:val="00A21AED"/>
    <w:rsid w:val="00A22C98"/>
    <w:rsid w:val="00A231E2"/>
    <w:rsid w:val="00A24350"/>
    <w:rsid w:val="00A33D55"/>
    <w:rsid w:val="00A34412"/>
    <w:rsid w:val="00A35271"/>
    <w:rsid w:val="00A40424"/>
    <w:rsid w:val="00A52B0F"/>
    <w:rsid w:val="00A5632E"/>
    <w:rsid w:val="00A63BA5"/>
    <w:rsid w:val="00A64912"/>
    <w:rsid w:val="00A6543B"/>
    <w:rsid w:val="00A70A74"/>
    <w:rsid w:val="00A73C21"/>
    <w:rsid w:val="00A8004C"/>
    <w:rsid w:val="00A839C0"/>
    <w:rsid w:val="00A85B6B"/>
    <w:rsid w:val="00A91966"/>
    <w:rsid w:val="00AA3E3E"/>
    <w:rsid w:val="00AA66AC"/>
    <w:rsid w:val="00AB1DE8"/>
    <w:rsid w:val="00AB7DB2"/>
    <w:rsid w:val="00AC0886"/>
    <w:rsid w:val="00AD1F73"/>
    <w:rsid w:val="00AD5315"/>
    <w:rsid w:val="00AD5641"/>
    <w:rsid w:val="00AD7889"/>
    <w:rsid w:val="00AF021B"/>
    <w:rsid w:val="00AF06CF"/>
    <w:rsid w:val="00B05727"/>
    <w:rsid w:val="00B07CDB"/>
    <w:rsid w:val="00B12764"/>
    <w:rsid w:val="00B16A31"/>
    <w:rsid w:val="00B179DB"/>
    <w:rsid w:val="00B17DFD"/>
    <w:rsid w:val="00B25AF2"/>
    <w:rsid w:val="00B2665C"/>
    <w:rsid w:val="00B2799D"/>
    <w:rsid w:val="00B308FE"/>
    <w:rsid w:val="00B311CA"/>
    <w:rsid w:val="00B33709"/>
    <w:rsid w:val="00B33B3C"/>
    <w:rsid w:val="00B33BD1"/>
    <w:rsid w:val="00B42AA9"/>
    <w:rsid w:val="00B42DA0"/>
    <w:rsid w:val="00B43741"/>
    <w:rsid w:val="00B5095D"/>
    <w:rsid w:val="00B50ADC"/>
    <w:rsid w:val="00B51E00"/>
    <w:rsid w:val="00B566B1"/>
    <w:rsid w:val="00B63834"/>
    <w:rsid w:val="00B656B4"/>
    <w:rsid w:val="00B72734"/>
    <w:rsid w:val="00B80199"/>
    <w:rsid w:val="00B82D81"/>
    <w:rsid w:val="00B83204"/>
    <w:rsid w:val="00B83AB7"/>
    <w:rsid w:val="00B9126E"/>
    <w:rsid w:val="00B91F2A"/>
    <w:rsid w:val="00B97F2B"/>
    <w:rsid w:val="00BA13F2"/>
    <w:rsid w:val="00BA220B"/>
    <w:rsid w:val="00BA3A57"/>
    <w:rsid w:val="00BA5692"/>
    <w:rsid w:val="00BB4E1A"/>
    <w:rsid w:val="00BB5C17"/>
    <w:rsid w:val="00BC015E"/>
    <w:rsid w:val="00BC25FE"/>
    <w:rsid w:val="00BC7183"/>
    <w:rsid w:val="00BC76AC"/>
    <w:rsid w:val="00BD0ECB"/>
    <w:rsid w:val="00BE2155"/>
    <w:rsid w:val="00BE2213"/>
    <w:rsid w:val="00BE5698"/>
    <w:rsid w:val="00BE719A"/>
    <w:rsid w:val="00BE720A"/>
    <w:rsid w:val="00BE7C7D"/>
    <w:rsid w:val="00BF0D73"/>
    <w:rsid w:val="00BF2465"/>
    <w:rsid w:val="00BF2521"/>
    <w:rsid w:val="00BF75C9"/>
    <w:rsid w:val="00C05344"/>
    <w:rsid w:val="00C0544A"/>
    <w:rsid w:val="00C11452"/>
    <w:rsid w:val="00C211D5"/>
    <w:rsid w:val="00C25E7F"/>
    <w:rsid w:val="00C2746F"/>
    <w:rsid w:val="00C324A0"/>
    <w:rsid w:val="00C3300F"/>
    <w:rsid w:val="00C34E77"/>
    <w:rsid w:val="00C35875"/>
    <w:rsid w:val="00C35DAF"/>
    <w:rsid w:val="00C42BF8"/>
    <w:rsid w:val="00C42C0E"/>
    <w:rsid w:val="00C45171"/>
    <w:rsid w:val="00C50043"/>
    <w:rsid w:val="00C50B97"/>
    <w:rsid w:val="00C531B6"/>
    <w:rsid w:val="00C53497"/>
    <w:rsid w:val="00C603B8"/>
    <w:rsid w:val="00C6434E"/>
    <w:rsid w:val="00C70CA8"/>
    <w:rsid w:val="00C7573B"/>
    <w:rsid w:val="00C76599"/>
    <w:rsid w:val="00C7761F"/>
    <w:rsid w:val="00C86EA9"/>
    <w:rsid w:val="00C93C03"/>
    <w:rsid w:val="00CA4C27"/>
    <w:rsid w:val="00CA5282"/>
    <w:rsid w:val="00CA66DC"/>
    <w:rsid w:val="00CA7725"/>
    <w:rsid w:val="00CB2C8E"/>
    <w:rsid w:val="00CB602E"/>
    <w:rsid w:val="00CC2248"/>
    <w:rsid w:val="00CD2E90"/>
    <w:rsid w:val="00CD5297"/>
    <w:rsid w:val="00CD64D2"/>
    <w:rsid w:val="00CD688B"/>
    <w:rsid w:val="00CE051D"/>
    <w:rsid w:val="00CE1335"/>
    <w:rsid w:val="00CE3D2A"/>
    <w:rsid w:val="00CE3D46"/>
    <w:rsid w:val="00CE493D"/>
    <w:rsid w:val="00CE6D42"/>
    <w:rsid w:val="00CF07FA"/>
    <w:rsid w:val="00CF0BB2"/>
    <w:rsid w:val="00CF3EE8"/>
    <w:rsid w:val="00CF646A"/>
    <w:rsid w:val="00D0480F"/>
    <w:rsid w:val="00D04C9D"/>
    <w:rsid w:val="00D050E6"/>
    <w:rsid w:val="00D07E12"/>
    <w:rsid w:val="00D13441"/>
    <w:rsid w:val="00D150E7"/>
    <w:rsid w:val="00D32F65"/>
    <w:rsid w:val="00D341C4"/>
    <w:rsid w:val="00D40CA9"/>
    <w:rsid w:val="00D452DA"/>
    <w:rsid w:val="00D45AAF"/>
    <w:rsid w:val="00D511F3"/>
    <w:rsid w:val="00D52429"/>
    <w:rsid w:val="00D52DC2"/>
    <w:rsid w:val="00D53BCC"/>
    <w:rsid w:val="00D56FD2"/>
    <w:rsid w:val="00D64292"/>
    <w:rsid w:val="00D702DE"/>
    <w:rsid w:val="00D70DFB"/>
    <w:rsid w:val="00D71E90"/>
    <w:rsid w:val="00D72BEB"/>
    <w:rsid w:val="00D73C22"/>
    <w:rsid w:val="00D766DF"/>
    <w:rsid w:val="00DA186E"/>
    <w:rsid w:val="00DA4116"/>
    <w:rsid w:val="00DA73A1"/>
    <w:rsid w:val="00DB251C"/>
    <w:rsid w:val="00DB38AD"/>
    <w:rsid w:val="00DB4630"/>
    <w:rsid w:val="00DC36C5"/>
    <w:rsid w:val="00DC4445"/>
    <w:rsid w:val="00DC4F88"/>
    <w:rsid w:val="00DD48D1"/>
    <w:rsid w:val="00DE79F9"/>
    <w:rsid w:val="00DF203A"/>
    <w:rsid w:val="00DF2CD9"/>
    <w:rsid w:val="00DF325E"/>
    <w:rsid w:val="00DF4740"/>
    <w:rsid w:val="00E027FF"/>
    <w:rsid w:val="00E05704"/>
    <w:rsid w:val="00E06CC3"/>
    <w:rsid w:val="00E11E44"/>
    <w:rsid w:val="00E13AFA"/>
    <w:rsid w:val="00E14BA8"/>
    <w:rsid w:val="00E2168B"/>
    <w:rsid w:val="00E21F03"/>
    <w:rsid w:val="00E2327D"/>
    <w:rsid w:val="00E241E9"/>
    <w:rsid w:val="00E30FF1"/>
    <w:rsid w:val="00E338EF"/>
    <w:rsid w:val="00E346D3"/>
    <w:rsid w:val="00E34E43"/>
    <w:rsid w:val="00E36C61"/>
    <w:rsid w:val="00E401E3"/>
    <w:rsid w:val="00E40FF8"/>
    <w:rsid w:val="00E544BB"/>
    <w:rsid w:val="00E578EC"/>
    <w:rsid w:val="00E60423"/>
    <w:rsid w:val="00E62455"/>
    <w:rsid w:val="00E649D7"/>
    <w:rsid w:val="00E662CB"/>
    <w:rsid w:val="00E74DC7"/>
    <w:rsid w:val="00E8075A"/>
    <w:rsid w:val="00E8141C"/>
    <w:rsid w:val="00E818A6"/>
    <w:rsid w:val="00E81CE0"/>
    <w:rsid w:val="00E85A91"/>
    <w:rsid w:val="00E86170"/>
    <w:rsid w:val="00E87718"/>
    <w:rsid w:val="00E918A3"/>
    <w:rsid w:val="00E94D5E"/>
    <w:rsid w:val="00E956E7"/>
    <w:rsid w:val="00EA3FE1"/>
    <w:rsid w:val="00EA6925"/>
    <w:rsid w:val="00EA7100"/>
    <w:rsid w:val="00EA7F9F"/>
    <w:rsid w:val="00EB0E70"/>
    <w:rsid w:val="00EB1274"/>
    <w:rsid w:val="00EB5920"/>
    <w:rsid w:val="00EC0F22"/>
    <w:rsid w:val="00EC4757"/>
    <w:rsid w:val="00EC7EDB"/>
    <w:rsid w:val="00ED2BB6"/>
    <w:rsid w:val="00ED34E1"/>
    <w:rsid w:val="00ED3B8D"/>
    <w:rsid w:val="00EE5042"/>
    <w:rsid w:val="00EF15D3"/>
    <w:rsid w:val="00EF1D88"/>
    <w:rsid w:val="00EF2E3A"/>
    <w:rsid w:val="00EF3740"/>
    <w:rsid w:val="00EF5E0E"/>
    <w:rsid w:val="00F02EF9"/>
    <w:rsid w:val="00F047D8"/>
    <w:rsid w:val="00F072A7"/>
    <w:rsid w:val="00F078DC"/>
    <w:rsid w:val="00F14593"/>
    <w:rsid w:val="00F171A1"/>
    <w:rsid w:val="00F171C8"/>
    <w:rsid w:val="00F20C8A"/>
    <w:rsid w:val="00F23D00"/>
    <w:rsid w:val="00F26AC7"/>
    <w:rsid w:val="00F26EB9"/>
    <w:rsid w:val="00F32BA8"/>
    <w:rsid w:val="00F349F1"/>
    <w:rsid w:val="00F4215A"/>
    <w:rsid w:val="00F4350D"/>
    <w:rsid w:val="00F50532"/>
    <w:rsid w:val="00F54D08"/>
    <w:rsid w:val="00F5551E"/>
    <w:rsid w:val="00F567F7"/>
    <w:rsid w:val="00F568F6"/>
    <w:rsid w:val="00F57F23"/>
    <w:rsid w:val="00F61B09"/>
    <w:rsid w:val="00F62036"/>
    <w:rsid w:val="00F62CCC"/>
    <w:rsid w:val="00F657B9"/>
    <w:rsid w:val="00F65B52"/>
    <w:rsid w:val="00F67BCA"/>
    <w:rsid w:val="00F72583"/>
    <w:rsid w:val="00F73BD6"/>
    <w:rsid w:val="00F82643"/>
    <w:rsid w:val="00F83989"/>
    <w:rsid w:val="00F85099"/>
    <w:rsid w:val="00F9379C"/>
    <w:rsid w:val="00F9531A"/>
    <w:rsid w:val="00F95CB0"/>
    <w:rsid w:val="00F9632C"/>
    <w:rsid w:val="00FA05A5"/>
    <w:rsid w:val="00FA1E52"/>
    <w:rsid w:val="00FA31DE"/>
    <w:rsid w:val="00FA67D7"/>
    <w:rsid w:val="00FA7375"/>
    <w:rsid w:val="00FA7D17"/>
    <w:rsid w:val="00FB1369"/>
    <w:rsid w:val="00FB175B"/>
    <w:rsid w:val="00FB6A9F"/>
    <w:rsid w:val="00FC0C20"/>
    <w:rsid w:val="00FC3EB8"/>
    <w:rsid w:val="00FC7D25"/>
    <w:rsid w:val="00FD13CC"/>
    <w:rsid w:val="00FE1BFF"/>
    <w:rsid w:val="00FE4688"/>
    <w:rsid w:val="00FE5F88"/>
    <w:rsid w:val="00FE72D6"/>
    <w:rsid w:val="00FE79D0"/>
    <w:rsid w:val="00FF5A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D8721E"/>
  <w15:chartTrackingRefBased/>
  <w15:docId w15:val="{6BC76CF4-17C7-45E8-ADA8-64B63188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ListB">
    <w:name w:val="ListB"/>
    <w:rsid w:val="00EF3740"/>
    <w:pPr>
      <w:overflowPunct w:val="0"/>
      <w:autoSpaceDE w:val="0"/>
      <w:autoSpaceDN w:val="0"/>
      <w:adjustRightInd w:val="0"/>
      <w:spacing w:before="120" w:after="120"/>
      <w:ind w:left="850" w:hanging="425"/>
      <w:textAlignment w:val="baseline"/>
    </w:pPr>
    <w:rPr>
      <w:rFonts w:eastAsia="Times New Roman"/>
      <w:sz w:val="24"/>
      <w:lang w:eastAsia="en-US"/>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tC">
    <w:name w:val="ListC"/>
    <w:rsid w:val="00EF3740"/>
    <w:pPr>
      <w:widowControl w:val="0"/>
      <w:autoSpaceDE w:val="0"/>
      <w:autoSpaceDN w:val="0"/>
      <w:adjustRightInd w:val="0"/>
      <w:spacing w:before="120" w:after="120"/>
      <w:ind w:left="1276" w:hanging="425"/>
    </w:pPr>
    <w:rPr>
      <w:rFonts w:eastAsia="Times New Roman"/>
      <w:sz w:val="24"/>
      <w:szCs w:val="24"/>
      <w:lang w:val="en-US" w:eastAsia="en-US"/>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customStyle="1" w:styleId="ListD">
    <w:name w:val="ListD"/>
    <w:rsid w:val="00EF3740"/>
    <w:pPr>
      <w:autoSpaceDE w:val="0"/>
      <w:autoSpaceDN w:val="0"/>
      <w:adjustRightInd w:val="0"/>
      <w:spacing w:before="60" w:after="60"/>
      <w:ind w:left="2880" w:hanging="720"/>
    </w:pPr>
    <w:rPr>
      <w:rFonts w:eastAsia="Times New Roman"/>
      <w:sz w:val="24"/>
      <w:szCs w:val="24"/>
      <w:lang w:val="en-US" w:eastAsia="en-US"/>
    </w:rPr>
  </w:style>
  <w:style w:type="character" w:customStyle="1" w:styleId="LI-SubtitleChar">
    <w:name w:val="LI - Subtitle Char"/>
    <w:link w:val="LI-Subtitle"/>
    <w:rsid w:val="00243EC0"/>
    <w:rPr>
      <w:b/>
      <w:sz w:val="28"/>
      <w:szCs w:val="28"/>
    </w:rPr>
  </w:style>
  <w:style w:type="paragraph" w:customStyle="1" w:styleId="ListE">
    <w:name w:val="ListE"/>
    <w:basedOn w:val="ListD"/>
    <w:next w:val="ListD"/>
    <w:rsid w:val="00EF3740"/>
    <w:pPr>
      <w:ind w:left="3555"/>
    </w:pPr>
  </w:style>
  <w:style w:type="paragraph" w:customStyle="1" w:styleId="aNotetext">
    <w:name w:val="aNote text"/>
    <w:basedOn w:val="Normal"/>
    <w:rsid w:val="00EF3740"/>
    <w:pPr>
      <w:spacing w:before="60" w:after="120" w:line="240" w:lineRule="auto"/>
    </w:pPr>
    <w:rPr>
      <w:rFonts w:eastAsia="Times New Roman"/>
      <w:sz w:val="18"/>
    </w:rPr>
  </w:style>
  <w:style w:type="paragraph" w:customStyle="1" w:styleId="ListA">
    <w:name w:val="ListA"/>
    <w:rsid w:val="00B91F2A"/>
    <w:pPr>
      <w:overflowPunct w:val="0"/>
      <w:autoSpaceDE w:val="0"/>
      <w:autoSpaceDN w:val="0"/>
      <w:adjustRightInd w:val="0"/>
      <w:spacing w:before="120" w:after="120"/>
      <w:ind w:left="425" w:hanging="425"/>
      <w:textAlignment w:val="baseline"/>
    </w:pPr>
    <w:rPr>
      <w:rFonts w:eastAsia="Times New Roman"/>
      <w:sz w:val="24"/>
      <w:lang w:eastAsia="en-US"/>
    </w:rPr>
  </w:style>
  <w:style w:type="paragraph" w:customStyle="1" w:styleId="aheade">
    <w:name w:val="aheade"/>
    <w:rsid w:val="00B91F2A"/>
    <w:pPr>
      <w:keepNext/>
      <w:widowControl w:val="0"/>
      <w:overflowPunct w:val="0"/>
      <w:autoSpaceDE w:val="0"/>
      <w:autoSpaceDN w:val="0"/>
      <w:adjustRightInd w:val="0"/>
      <w:spacing w:before="240" w:after="120"/>
      <w:textAlignment w:val="baseline"/>
    </w:pPr>
    <w:rPr>
      <w:rFonts w:ascii="Arial" w:eastAsia="Times New Roman" w:hAnsi="Arial"/>
      <w:b/>
      <w:noProof/>
      <w:sz w:val="24"/>
      <w:lang w:eastAsia="en-US"/>
    </w:rPr>
  </w:style>
  <w:style w:type="paragraph" w:customStyle="1" w:styleId="listc0">
    <w:name w:val="listc"/>
    <w:basedOn w:val="Normal"/>
    <w:rsid w:val="005B6286"/>
    <w:pPr>
      <w:spacing w:before="100" w:beforeAutospacing="1" w:after="100" w:afterAutospacing="1" w:line="240" w:lineRule="auto"/>
    </w:pPr>
    <w:rPr>
      <w:rFonts w:eastAsia="Times New Roman"/>
      <w:sz w:val="24"/>
      <w:szCs w:val="24"/>
      <w:lang w:eastAsia="en-AU"/>
    </w:rPr>
  </w:style>
  <w:style w:type="paragraph" w:customStyle="1" w:styleId="listd0">
    <w:name w:val="listd"/>
    <w:basedOn w:val="Normal"/>
    <w:rsid w:val="005B6286"/>
    <w:pPr>
      <w:spacing w:before="100" w:beforeAutospacing="1" w:after="100" w:afterAutospacing="1" w:line="240" w:lineRule="auto"/>
    </w:pPr>
    <w:rPr>
      <w:rFonts w:eastAsia="Times New Roman"/>
      <w:sz w:val="24"/>
      <w:szCs w:val="24"/>
      <w:lang w:eastAsia="en-AU"/>
    </w:rPr>
  </w:style>
  <w:style w:type="paragraph" w:customStyle="1" w:styleId="liste0">
    <w:name w:val="liste"/>
    <w:basedOn w:val="Normal"/>
    <w:rsid w:val="005B6286"/>
    <w:pPr>
      <w:spacing w:before="100" w:beforeAutospacing="1" w:after="100" w:afterAutospacing="1" w:line="240" w:lineRule="auto"/>
    </w:pPr>
    <w:rPr>
      <w:rFonts w:eastAsia="Times New Roman"/>
      <w:sz w:val="24"/>
      <w:szCs w:val="24"/>
      <w:lang w:eastAsia="en-AU"/>
    </w:rPr>
  </w:style>
  <w:style w:type="paragraph" w:customStyle="1" w:styleId="anotetext0">
    <w:name w:val="anotetext"/>
    <w:basedOn w:val="Normal"/>
    <w:rsid w:val="005B6286"/>
    <w:pPr>
      <w:spacing w:before="100" w:beforeAutospacing="1" w:after="100" w:afterAutospacing="1" w:line="240" w:lineRule="auto"/>
    </w:pPr>
    <w:rPr>
      <w:rFonts w:eastAsia="Times New Roman"/>
      <w:sz w:val="24"/>
      <w:szCs w:val="24"/>
      <w:lang w:eastAsia="en-AU"/>
    </w:rPr>
  </w:style>
  <w:style w:type="paragraph" w:styleId="Revision">
    <w:name w:val="Revision"/>
    <w:hidden/>
    <w:uiPriority w:val="99"/>
    <w:semiHidden/>
    <w:rsid w:val="00A35271"/>
    <w:rPr>
      <w:sz w:val="22"/>
      <w:lang w:eastAsia="en-US"/>
    </w:rPr>
  </w:style>
  <w:style w:type="character" w:styleId="FollowedHyperlink">
    <w:name w:val="FollowedHyperlink"/>
    <w:uiPriority w:val="99"/>
    <w:semiHidden/>
    <w:unhideWhenUsed/>
    <w:rsid w:val="007D71AC"/>
    <w:rPr>
      <w:color w:val="954F72"/>
      <w:u w:val="single"/>
    </w:rPr>
  </w:style>
  <w:style w:type="character" w:styleId="SubtleEmphasis">
    <w:name w:val="Subtle Emphasis"/>
    <w:uiPriority w:val="19"/>
    <w:qFormat/>
    <w:rsid w:val="00AA3E3E"/>
    <w:rPr>
      <w:i/>
      <w:iCs/>
      <w:color w:val="404040"/>
    </w:rPr>
  </w:style>
  <w:style w:type="paragraph" w:styleId="Subtitle">
    <w:name w:val="Subtitle"/>
    <w:basedOn w:val="Normal"/>
    <w:next w:val="Normal"/>
    <w:link w:val="SubtitleChar"/>
    <w:uiPriority w:val="11"/>
    <w:qFormat/>
    <w:rsid w:val="00AA3E3E"/>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AA3E3E"/>
    <w:rPr>
      <w:rFonts w:ascii="Calibri Light" w:eastAsia="Times New Roman" w:hAnsi="Calibri Light" w:cs="Times New Roman"/>
      <w:sz w:val="24"/>
      <w:szCs w:val="24"/>
      <w:lang w:eastAsia="en-US"/>
    </w:rPr>
  </w:style>
  <w:style w:type="character" w:styleId="UnresolvedMention">
    <w:name w:val="Unresolved Mention"/>
    <w:uiPriority w:val="99"/>
    <w:semiHidden/>
    <w:unhideWhenUsed/>
    <w:rsid w:val="00CA5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30762">
      <w:bodyDiv w:val="1"/>
      <w:marLeft w:val="0"/>
      <w:marRight w:val="0"/>
      <w:marTop w:val="0"/>
      <w:marBottom w:val="0"/>
      <w:divBdr>
        <w:top w:val="none" w:sz="0" w:space="0" w:color="auto"/>
        <w:left w:val="none" w:sz="0" w:space="0" w:color="auto"/>
        <w:bottom w:val="none" w:sz="0" w:space="0" w:color="auto"/>
        <w:right w:val="none" w:sz="0" w:space="0" w:color="auto"/>
      </w:divBdr>
    </w:div>
    <w:div w:id="179537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8.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62FB3D9270BF5A428E87561F54151E3E" ma:contentTypeVersion="5" ma:contentTypeDescription="Create a new document." ma:contentTypeScope="" ma:versionID="cde14097f70aa2b3d5afc198c0a36368">
  <xsd:schema xmlns:xsd="http://www.w3.org/2001/XMLSchema" xmlns:xs="http://www.w3.org/2001/XMLSchema" xmlns:p="http://schemas.microsoft.com/office/2006/metadata/properties" xmlns:ns2="db2b92ca-6ed0-4085-802d-4c686a2e8c3f" xmlns:ns3="eb44715b-cd74-4c79-92c4-f0e9f1a86440" targetNamespace="http://schemas.microsoft.com/office/2006/metadata/properties" ma:root="true" ma:fieldsID="afc7355f98e01d3e83fad711ce9e4304" ns2:_="" ns3:_="">
    <xsd:import namespace="db2b92ca-6ed0-4085-802d-4c686a2e8c3f"/>
    <xsd:import namespace="eb44715b-cd74-4c79-92c4-f0e9f1a86440"/>
    <xsd:element name="properties">
      <xsd:complexType>
        <xsd:sequence>
          <xsd:element name="documentManagement">
            <xsd:complexType>
              <xsd:all>
                <xsd:element ref="ns2:NAPReason" minOccurs="0"/>
                <xsd:element ref="ns2:p1abb5e704a84578aa4b8ef0390c3b25" minOccurs="0"/>
                <xsd:element ref="ns2:DocumentNotes" minOccurs="0"/>
                <xsd:element ref="ns3:_dlc_DocId" minOccurs="0"/>
                <xsd:element ref="ns3:_dlc_DocIdUrl" minOccurs="0"/>
                <xsd:element ref="ns3:_dlc_DocIdPersistId" minOccurs="0"/>
                <xsd:element ref="ns3:ECMSP13CreatedBy" minOccurs="0"/>
                <xsd:element ref="ns3:ECMSP13ModifiedBy" minOccurs="0"/>
                <xsd:element ref="ns3:ECMSP13DocumentID" minOccurs="0"/>
                <xsd:element ref="ns3:ECMSP1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nillable="true" ma:displayName="Security Classification_1" ma:hidden="true" ma:internalName="p1abb5e704a84578aa4b8ef0390c3b25">
      <xsd:simpleType>
        <xsd:restriction base="dms:Note"/>
      </xsd:simpleType>
    </xsd:element>
    <xsd:element name="DocumentNotes" ma:index="10"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ECMSP13CreatedBy" ma:index="14" nillable="true" ma:displayName="ECM SP13 Created By" ma:internalName="ECMSP13CreatedBy">
      <xsd:simpleType>
        <xsd:restriction base="dms:Text"/>
      </xsd:simpleType>
    </xsd:element>
    <xsd:element name="ECMSP13ModifiedBy" ma:index="15" nillable="true" ma:displayName="ECM SP13 Modified By" ma:internalName="ECMSP13ModifiedBy">
      <xsd:simpleType>
        <xsd:restriction base="dms:Text"/>
      </xsd:simpleType>
    </xsd:element>
    <xsd:element name="ECMSP13DocumentID" ma:index="16" nillable="true" ma:displayName="ECM SP13 Document ID" ma:internalName="ECMSP13DocumentID">
      <xsd:simpleType>
        <xsd:restriction base="dms:Text"/>
      </xsd:simpleType>
    </xsd:element>
    <xsd:element name="ECMSP13SecurityClassification" ma:index="17" nillable="true" ma:displayName="ECM SP13 Security Classification" ma:internalName="ECMSP13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af302855-5de3-48f9-83c2-fc1acc0f760b" ContentTypeId="0x010100B5F685A1365F544391EF8C813B164F3A" PreviousValue="false" LastSyncTimeStamp="2022-04-21T03:15:02.147Z"/>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xsi:nil="true"/>
    <DocumentNotes xmlns="db2b92ca-6ed0-4085-802d-4c686a2e8c3f" xsi:nil="true"/>
    <NAPReason xmlns="db2b92ca-6ed0-4085-802d-4c686a2e8c3f" xsi:nil="true"/>
    <ECMSP13CreatedBy xmlns="eb44715b-cd74-4c79-92c4-f0e9f1a86440">Conan Brownbill</ECMSP13CreatedBy>
    <ECMSP13ModifiedBy xmlns="eb44715b-cd74-4c79-92c4-f0e9f1a86440">Conan Brownbill</ECMSP13ModifiedBy>
    <ECMSP13SecurityClassification xmlns="eb44715b-cd74-4c79-92c4-f0e9f1a86440">OFFICIAL</ECMSP13SecurityClassification>
    <ECMSP13DocumentID xmlns="eb44715b-cd74-4c79-92c4-f0e9f1a86440">R20220001028009</ECMSP13DocumentID>
    <_dlc_DocId xmlns="eb44715b-cd74-4c79-92c4-f0e9f1a86440">000853-1726373233-1229</_dlc_DocId>
    <_dlc_DocIdUrl xmlns="eb44715b-cd74-4c79-92c4-f0e9f1a86440">
      <Url>https://asiclink.sharepoint.com/teams/000853/_layouts/15/DocIdRedir.aspx?ID=000853-1726373233-1229</Url>
      <Description>000853-1726373233-1229</Description>
    </_dlc_DocIdUrl>
  </documentManagement>
</p:properti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1CAA3E64-5CE9-4B81-8CE9-3F791FCA2C9D}">
  <ds:schemaRefs>
    <ds:schemaRef ds:uri="http://schemas.microsoft.com/sharepoint/v3/contenttype/forms"/>
  </ds:schemaRefs>
</ds:datastoreItem>
</file>

<file path=customXml/itemProps2.xml><?xml version="1.0" encoding="utf-8"?>
<ds:datastoreItem xmlns:ds="http://schemas.openxmlformats.org/officeDocument/2006/customXml" ds:itemID="{850F1EAD-16A4-4D33-813A-302BE3347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DF3AAF-050B-45E5-8AF4-51DCFED76BD8}">
  <ds:schemaRefs>
    <ds:schemaRef ds:uri="http://schemas.microsoft.com/sharepoint/events"/>
  </ds:schemaRefs>
</ds:datastoreItem>
</file>

<file path=customXml/itemProps4.xml><?xml version="1.0" encoding="utf-8"?>
<ds:datastoreItem xmlns:ds="http://schemas.openxmlformats.org/officeDocument/2006/customXml" ds:itemID="{BF41ECA0-C600-4599-914E-4255F8131C12}">
  <ds:schemaRefs>
    <ds:schemaRef ds:uri="Microsoft.SharePoint.Taxonomy.ContentTypeSync"/>
  </ds:schemaRefs>
</ds:datastoreItem>
</file>

<file path=customXml/itemProps5.xml><?xml version="1.0" encoding="utf-8"?>
<ds:datastoreItem xmlns:ds="http://schemas.openxmlformats.org/officeDocument/2006/customXml" ds:itemID="{B1168DE9-397B-4512-A8DF-9365518F2FCE}">
  <ds:schemaRefs>
    <ds:schemaRef ds:uri="http://schemas.openxmlformats.org/officeDocument/2006/bibliography"/>
  </ds:schemaRefs>
</ds:datastoreItem>
</file>

<file path=customXml/itemProps6.xml><?xml version="1.0" encoding="utf-8"?>
<ds:datastoreItem xmlns:ds="http://schemas.openxmlformats.org/officeDocument/2006/customXml" ds:itemID="{7A76DEE1-BCEA-4253-8039-EBC98204AA53}">
  <ds:schemaRefs>
    <ds:schemaRef ds:uri="http://schemas.microsoft.com/office/2006/metadata/properties"/>
    <ds:schemaRef ds:uri="http://schemas.microsoft.com/office/infopath/2007/PartnerControls"/>
    <ds:schemaRef ds:uri="db2b92ca-6ed0-4085-802d-4c686a2e8c3f"/>
    <ds:schemaRef ds:uri="eb44715b-cd74-4c79-92c4-f0e9f1a86440"/>
  </ds:schemaRefs>
</ds:datastoreItem>
</file>

<file path=customXml/itemProps7.xml><?xml version="1.0" encoding="utf-8"?>
<ds:datastoreItem xmlns:ds="http://schemas.openxmlformats.org/officeDocument/2006/customXml" ds:itemID="{FA45C066-CA11-40B5-97F7-F6255946386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INST_NEW.DOTX</Template>
  <TotalTime>2</TotalTime>
  <Pages>21</Pages>
  <Words>5195</Words>
  <Characters>29615</Characters>
  <Application>Microsoft Office Word</Application>
  <DocSecurity>0</DocSecurity>
  <PresentationFormat/>
  <Lines>246</Lines>
  <Paragraphs>69</Paragraphs>
  <ScaleCrop>false</ScaleCrop>
  <HeadingPairs>
    <vt:vector size="2" baseType="variant">
      <vt:variant>
        <vt:lpstr>Title</vt:lpstr>
      </vt:variant>
      <vt:variant>
        <vt:i4>1</vt:i4>
      </vt:variant>
    </vt:vector>
  </HeadingPairs>
  <TitlesOfParts>
    <vt:vector size="1" baseType="lpstr">
      <vt:lpstr>Attachment 2 to CP 358 ASIC Corporations (Shorter PDS and Delivery of Accessible Financial Products Disclosure by Platform Operators and Superannuation Trustees) Instrument 2022/XX</vt:lpstr>
    </vt:vector>
  </TitlesOfParts>
  <Company/>
  <LinksUpToDate>false</LinksUpToDate>
  <CharactersWithSpaces>34741</CharactersWithSpaces>
  <SharedDoc>false</SharedDoc>
  <HyperlinkBase/>
  <HLinks>
    <vt:vector size="66" baseType="variant">
      <vt:variant>
        <vt:i4>1769525</vt:i4>
      </vt:variant>
      <vt:variant>
        <vt:i4>65</vt:i4>
      </vt:variant>
      <vt:variant>
        <vt:i4>0</vt:i4>
      </vt:variant>
      <vt:variant>
        <vt:i4>5</vt:i4>
      </vt:variant>
      <vt:variant>
        <vt:lpwstr/>
      </vt:variant>
      <vt:variant>
        <vt:lpwstr>_Toc94689030</vt:lpwstr>
      </vt:variant>
      <vt:variant>
        <vt:i4>1179700</vt:i4>
      </vt:variant>
      <vt:variant>
        <vt:i4>59</vt:i4>
      </vt:variant>
      <vt:variant>
        <vt:i4>0</vt:i4>
      </vt:variant>
      <vt:variant>
        <vt:i4>5</vt:i4>
      </vt:variant>
      <vt:variant>
        <vt:lpwstr/>
      </vt:variant>
      <vt:variant>
        <vt:lpwstr>_Toc94689029</vt:lpwstr>
      </vt:variant>
      <vt:variant>
        <vt:i4>1245236</vt:i4>
      </vt:variant>
      <vt:variant>
        <vt:i4>53</vt:i4>
      </vt:variant>
      <vt:variant>
        <vt:i4>0</vt:i4>
      </vt:variant>
      <vt:variant>
        <vt:i4>5</vt:i4>
      </vt:variant>
      <vt:variant>
        <vt:lpwstr/>
      </vt:variant>
      <vt:variant>
        <vt:lpwstr>_Toc94689028</vt:lpwstr>
      </vt:variant>
      <vt:variant>
        <vt:i4>1835060</vt:i4>
      </vt:variant>
      <vt:variant>
        <vt:i4>47</vt:i4>
      </vt:variant>
      <vt:variant>
        <vt:i4>0</vt:i4>
      </vt:variant>
      <vt:variant>
        <vt:i4>5</vt:i4>
      </vt:variant>
      <vt:variant>
        <vt:lpwstr/>
      </vt:variant>
      <vt:variant>
        <vt:lpwstr>_Toc94689027</vt:lpwstr>
      </vt:variant>
      <vt:variant>
        <vt:i4>1900596</vt:i4>
      </vt:variant>
      <vt:variant>
        <vt:i4>41</vt:i4>
      </vt:variant>
      <vt:variant>
        <vt:i4>0</vt:i4>
      </vt:variant>
      <vt:variant>
        <vt:i4>5</vt:i4>
      </vt:variant>
      <vt:variant>
        <vt:lpwstr/>
      </vt:variant>
      <vt:variant>
        <vt:lpwstr>_Toc94689026</vt:lpwstr>
      </vt:variant>
      <vt:variant>
        <vt:i4>1966132</vt:i4>
      </vt:variant>
      <vt:variant>
        <vt:i4>35</vt:i4>
      </vt:variant>
      <vt:variant>
        <vt:i4>0</vt:i4>
      </vt:variant>
      <vt:variant>
        <vt:i4>5</vt:i4>
      </vt:variant>
      <vt:variant>
        <vt:lpwstr/>
      </vt:variant>
      <vt:variant>
        <vt:lpwstr>_Toc94689025</vt:lpwstr>
      </vt:variant>
      <vt:variant>
        <vt:i4>2031668</vt:i4>
      </vt:variant>
      <vt:variant>
        <vt:i4>29</vt:i4>
      </vt:variant>
      <vt:variant>
        <vt:i4>0</vt:i4>
      </vt:variant>
      <vt:variant>
        <vt:i4>5</vt:i4>
      </vt:variant>
      <vt:variant>
        <vt:lpwstr/>
      </vt:variant>
      <vt:variant>
        <vt:lpwstr>_Toc94689024</vt:lpwstr>
      </vt:variant>
      <vt:variant>
        <vt:i4>1572916</vt:i4>
      </vt:variant>
      <vt:variant>
        <vt:i4>23</vt:i4>
      </vt:variant>
      <vt:variant>
        <vt:i4>0</vt:i4>
      </vt:variant>
      <vt:variant>
        <vt:i4>5</vt:i4>
      </vt:variant>
      <vt:variant>
        <vt:lpwstr/>
      </vt:variant>
      <vt:variant>
        <vt:lpwstr>_Toc94689023</vt:lpwstr>
      </vt:variant>
      <vt:variant>
        <vt:i4>1638452</vt:i4>
      </vt:variant>
      <vt:variant>
        <vt:i4>17</vt:i4>
      </vt:variant>
      <vt:variant>
        <vt:i4>0</vt:i4>
      </vt:variant>
      <vt:variant>
        <vt:i4>5</vt:i4>
      </vt:variant>
      <vt:variant>
        <vt:lpwstr/>
      </vt:variant>
      <vt:variant>
        <vt:lpwstr>_Toc94689022</vt:lpwstr>
      </vt:variant>
      <vt:variant>
        <vt:i4>1703988</vt:i4>
      </vt:variant>
      <vt:variant>
        <vt:i4>11</vt:i4>
      </vt:variant>
      <vt:variant>
        <vt:i4>0</vt:i4>
      </vt:variant>
      <vt:variant>
        <vt:i4>5</vt:i4>
      </vt:variant>
      <vt:variant>
        <vt:lpwstr/>
      </vt:variant>
      <vt:variant>
        <vt:lpwstr>_Toc94689021</vt:lpwstr>
      </vt:variant>
      <vt:variant>
        <vt:i4>1769524</vt:i4>
      </vt:variant>
      <vt:variant>
        <vt:i4>5</vt:i4>
      </vt:variant>
      <vt:variant>
        <vt:i4>0</vt:i4>
      </vt:variant>
      <vt:variant>
        <vt:i4>5</vt:i4>
      </vt:variant>
      <vt:variant>
        <vt:lpwstr/>
      </vt:variant>
      <vt:variant>
        <vt:lpwstr>_Toc94689020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to CP 358 ASIC Corporations (Shorter PDS and Delivery of Accessible Financial Products Disclosure by Platform Operators and Superannuation Trustees) Instrument 2022/XX</dc:title>
  <dc:subject>Attachment 2 to CP 358 ASIC Corporations (Shorter PDS and Delivery of Accessible Financial Products Disclosure by Platform Operators and Superannuation Trustees) Instrument 2022/XX</dc:subject>
  <dc:creator>ASIC</dc:creator>
  <cp:keywords>Attachment 2 to CP 358 ASIC Corporations (Shorter PDS and Delivery of Accessible Financial Products Disclosure by Platform Operators and Superannuation Trustees) Instrument 2022/XX</cp:keywords>
  <cp:lastModifiedBy>Narelle Kane</cp:lastModifiedBy>
  <cp:revision>7</cp:revision>
  <cp:lastPrinted>2014-06-13T06:38:00Z</cp:lastPrinted>
  <dcterms:created xsi:type="dcterms:W3CDTF">2022-06-09T01:31:00Z</dcterms:created>
  <dcterms:modified xsi:type="dcterms:W3CDTF">2022-06-09T05:17:00Z</dcterms:modified>
  <cp:category>draft instrument</cp:category>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RecordPoint_WorkflowType">
    <vt:lpwstr>ActiveSubmitStub</vt:lpwstr>
  </property>
  <property fmtid="{D5CDD505-2E9C-101B-9397-08002B2CF9AE}" pid="40" name="RecordPoint_ActiveItemSiteId">
    <vt:lpwstr>{1ced5a6e-20fd-4413-9b75-50f3c53bb358}</vt:lpwstr>
  </property>
  <property fmtid="{D5CDD505-2E9C-101B-9397-08002B2CF9AE}" pid="41" name="RecordPoint_ActiveItemListId">
    <vt:lpwstr>{e5a5ffcc-951f-4ecc-b68a-16b5f3ba6038}</vt:lpwstr>
  </property>
  <property fmtid="{D5CDD505-2E9C-101B-9397-08002B2CF9AE}" pid="42" name="RecordPoint_ActiveItemUniqueId">
    <vt:lpwstr>{7e4c95dc-e9e6-4356-93d7-7a537564d232}</vt:lpwstr>
  </property>
  <property fmtid="{D5CDD505-2E9C-101B-9397-08002B2CF9AE}" pid="43" name="RecordPoint_ActiveItemWebId">
    <vt:lpwstr>{8bbed257-7d07-4d43-887f-e15ae4bf693b}</vt:lpwstr>
  </property>
  <property fmtid="{D5CDD505-2E9C-101B-9397-08002B2CF9AE}" pid="44" name="RecordPoint_SubmissionCompleted">
    <vt:lpwstr>2022-05-19T18:01:43.7071916+10:00</vt:lpwstr>
  </property>
  <property fmtid="{D5CDD505-2E9C-101B-9397-08002B2CF9AE}" pid="45" name="RecordPoint_RecordNumberSubmitted">
    <vt:lpwstr>R20220001028009</vt:lpwstr>
  </property>
  <property fmtid="{D5CDD505-2E9C-101B-9397-08002B2CF9AE}" pid="46" name="SecurityClassification">
    <vt:lpwstr>17;#OFFICIAL|cffd3088-7a74-4edb-8c9e-fbf79371a422</vt:lpwstr>
  </property>
  <property fmtid="{D5CDD505-2E9C-101B-9397-08002B2CF9AE}" pid="47" name="ContentTypeId">
    <vt:lpwstr>0x010100B5F685A1365F544391EF8C813B164F3A006A0666AD55E74A4AA7B2AAEA6C351A600062FB3D9270BF5A428E87561F54151E3E</vt:lpwstr>
  </property>
  <property fmtid="{D5CDD505-2E9C-101B-9397-08002B2CF9AE}" pid="48" name="f947e1037e3e49619e55f8843e0f11fe">
    <vt:lpwstr>Sensitive|19fd2cb8-3e97-4464-ae71-8c2c2095d028</vt:lpwstr>
  </property>
  <property fmtid="{D5CDD505-2E9C-101B-9397-08002B2CF9AE}" pid="49" name="RecordPoint_SubmissionDate">
    <vt:lpwstr/>
  </property>
  <property fmtid="{D5CDD505-2E9C-101B-9397-08002B2CF9AE}" pid="50" name="RecordPoint_RecordFormat">
    <vt:lpwstr/>
  </property>
  <property fmtid="{D5CDD505-2E9C-101B-9397-08002B2CF9AE}" pid="51" name="_DocHome">
    <vt:i4>284095286</vt:i4>
  </property>
  <property fmtid="{D5CDD505-2E9C-101B-9397-08002B2CF9AE}" pid="52" name="l6f2f1c70f11408ebd8096e180d5699d">
    <vt:lpwstr>OFFICIAL|cffd3088-7a74-4edb-8c9e-fbf79371a422</vt:lpwstr>
  </property>
  <property fmtid="{D5CDD505-2E9C-101B-9397-08002B2CF9AE}" pid="53" name="MailIn-Reply-To0">
    <vt:lpwstr/>
  </property>
  <property fmtid="{D5CDD505-2E9C-101B-9397-08002B2CF9AE}" pid="54" name="MailSubject">
    <vt:lpwstr/>
  </property>
  <property fmtid="{D5CDD505-2E9C-101B-9397-08002B2CF9AE}" pid="55" name="MailAttachments">
    <vt:bool>false</vt:bool>
  </property>
  <property fmtid="{D5CDD505-2E9C-101B-9397-08002B2CF9AE}" pid="56" name="DocumentSetDescription">
    <vt:lpwstr/>
  </property>
  <property fmtid="{D5CDD505-2E9C-101B-9397-08002B2CF9AE}" pid="57" name="MailTo">
    <vt:lpwstr/>
  </property>
  <property fmtid="{D5CDD505-2E9C-101B-9397-08002B2CF9AE}" pid="58" name="MailFrom">
    <vt:lpwstr/>
  </property>
  <property fmtid="{D5CDD505-2E9C-101B-9397-08002B2CF9AE}" pid="59" name="ECMSP13CreatedBy">
    <vt:lpwstr>Conan Brownbill</vt:lpwstr>
  </property>
  <property fmtid="{D5CDD505-2E9C-101B-9397-08002B2CF9AE}" pid="60" name="MailOriginalSubject">
    <vt:lpwstr/>
  </property>
  <property fmtid="{D5CDD505-2E9C-101B-9397-08002B2CF9AE}" pid="61" name="ECMSP13ModifiedBy">
    <vt:lpwstr>Conan Brownbill</vt:lpwstr>
  </property>
  <property fmtid="{D5CDD505-2E9C-101B-9397-08002B2CF9AE}" pid="62" name="MailCc">
    <vt:lpwstr/>
  </property>
  <property fmtid="{D5CDD505-2E9C-101B-9397-08002B2CF9AE}" pid="63" name="ECMSP13SecurityClassification">
    <vt:lpwstr>OFFICIAL</vt:lpwstr>
  </property>
  <property fmtid="{D5CDD505-2E9C-101B-9397-08002B2CF9AE}" pid="64" name="URL">
    <vt:lpwstr/>
  </property>
  <property fmtid="{D5CDD505-2E9C-101B-9397-08002B2CF9AE}" pid="65" name="MailReferences">
    <vt:lpwstr/>
  </property>
  <property fmtid="{D5CDD505-2E9C-101B-9397-08002B2CF9AE}" pid="66" name="MailReply-To0">
    <vt:lpwstr/>
  </property>
  <property fmtid="{D5CDD505-2E9C-101B-9397-08002B2CF9AE}" pid="67" name="ECMSP13DocumentID">
    <vt:lpwstr>R20220001028009</vt:lpwstr>
  </property>
  <property fmtid="{D5CDD505-2E9C-101B-9397-08002B2CF9AE}" pid="68" name="_dlc_DocIdItemGuid">
    <vt:lpwstr>ae74aa1c-e418-442d-8f20-4455b5cd4568</vt:lpwstr>
  </property>
  <property fmtid="{D5CDD505-2E9C-101B-9397-08002B2CF9AE}" pid="69" name="MediaServiceImageTags">
    <vt:lpwstr/>
  </property>
  <property fmtid="{D5CDD505-2E9C-101B-9397-08002B2CF9AE}" pid="70" name="MSIP_Label_a6aead41-07f8-4767-ac8e-ef1c9c793766_Enabled">
    <vt:lpwstr>true</vt:lpwstr>
  </property>
  <property fmtid="{D5CDD505-2E9C-101B-9397-08002B2CF9AE}" pid="71" name="MSIP_Label_a6aead41-07f8-4767-ac8e-ef1c9c793766_SetDate">
    <vt:lpwstr>2022-06-07T02:09:45Z</vt:lpwstr>
  </property>
  <property fmtid="{D5CDD505-2E9C-101B-9397-08002B2CF9AE}" pid="72" name="MSIP_Label_a6aead41-07f8-4767-ac8e-ef1c9c793766_Method">
    <vt:lpwstr>Standard</vt:lpwstr>
  </property>
  <property fmtid="{D5CDD505-2E9C-101B-9397-08002B2CF9AE}" pid="73" name="MSIP_Label_a6aead41-07f8-4767-ac8e-ef1c9c793766_Name">
    <vt:lpwstr>OFFICIAL</vt:lpwstr>
  </property>
  <property fmtid="{D5CDD505-2E9C-101B-9397-08002B2CF9AE}" pid="74" name="MSIP_Label_a6aead41-07f8-4767-ac8e-ef1c9c793766_SiteId">
    <vt:lpwstr>5f1de7c6-55cd-4bb2-902d-514c78cf10f4</vt:lpwstr>
  </property>
  <property fmtid="{D5CDD505-2E9C-101B-9397-08002B2CF9AE}" pid="75" name="MSIP_Label_a6aead41-07f8-4767-ac8e-ef1c9c793766_ActionId">
    <vt:lpwstr>29d1ee22-245c-466e-a8c8-6cbf87ccd037</vt:lpwstr>
  </property>
  <property fmtid="{D5CDD505-2E9C-101B-9397-08002B2CF9AE}" pid="76" name="MSIP_Label_a6aead41-07f8-4767-ac8e-ef1c9c793766_ContentBits">
    <vt:lpwstr>0</vt:lpwstr>
  </property>
</Properties>
</file>