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131" w14:textId="77777777" w:rsidR="00FB640B" w:rsidRPr="000438C2" w:rsidRDefault="0057002B" w:rsidP="00BB0CF2">
      <w:pPr>
        <w:pStyle w:val="ESTitleHeader"/>
      </w:pPr>
      <w:r w:rsidRPr="000438C2">
        <w:t>EXPLANATORY STATEMENT</w:t>
      </w:r>
    </w:p>
    <w:p w14:paraId="41070CBD" w14:textId="77777777" w:rsidR="0057002B" w:rsidRPr="000438C2" w:rsidRDefault="0057002B" w:rsidP="00BB0CF2">
      <w:pPr>
        <w:pStyle w:val="ESTitleDecisionMaker"/>
      </w:pPr>
      <w:r w:rsidRPr="000438C2">
        <w:t xml:space="preserve">Issued by authority of the </w:t>
      </w:r>
      <w:r w:rsidR="00B54C93" w:rsidRPr="000438C2">
        <w:t>Minister for Immigration, Citizenship and Multicultural Affairs</w:t>
      </w:r>
    </w:p>
    <w:p w14:paraId="46808162" w14:textId="77777777" w:rsidR="0057002B" w:rsidRPr="000438C2" w:rsidRDefault="00B54C93" w:rsidP="00BB0CF2">
      <w:pPr>
        <w:pStyle w:val="ESTitleEnablingLegislation"/>
      </w:pPr>
      <w:r w:rsidRPr="000438C2">
        <w:t>Migration Regulations 1994</w:t>
      </w:r>
    </w:p>
    <w:p w14:paraId="4AF05475" w14:textId="322ECFF4" w:rsidR="0057002B" w:rsidRPr="000438C2" w:rsidRDefault="00B54C93" w:rsidP="00BB0CF2">
      <w:pPr>
        <w:pStyle w:val="ESTitleInstrumentName"/>
      </w:pPr>
      <w:r w:rsidRPr="000438C2">
        <w:t>Migration (Places and currencies for paying of fees) Instrument (LIN 22/004) 2022</w:t>
      </w:r>
      <w:r w:rsidR="00B06647" w:rsidRPr="000438C2">
        <w:t> (No. 2)</w:t>
      </w:r>
    </w:p>
    <w:p w14:paraId="00E4EDC4" w14:textId="3A93E94E" w:rsidR="00B54C93" w:rsidRPr="000438C2" w:rsidRDefault="00B54C93" w:rsidP="000438C2">
      <w:pPr>
        <w:pStyle w:val="ESPara"/>
      </w:pPr>
      <w:r w:rsidRPr="000438C2">
        <w:t>The instrument, Departmental reference LIN 22/</w:t>
      </w:r>
      <w:r w:rsidR="00B06647" w:rsidRPr="000438C2">
        <w:t>004</w:t>
      </w:r>
      <w:r w:rsidRPr="000438C2">
        <w:t xml:space="preserve">, is made under </w:t>
      </w:r>
      <w:r w:rsidR="005129F7" w:rsidRPr="000438C2">
        <w:t>paragraphs </w:t>
      </w:r>
      <w:r w:rsidRPr="000438C2">
        <w:t>5.36(1</w:t>
      </w:r>
      <w:proofErr w:type="gramStart"/>
      <w:r w:rsidRPr="000438C2">
        <w:t>)(</w:t>
      </w:r>
      <w:proofErr w:type="gramEnd"/>
      <w:r w:rsidRPr="000438C2">
        <w:t xml:space="preserve">a) and (b) of the </w:t>
      </w:r>
      <w:r w:rsidRPr="000438C2">
        <w:rPr>
          <w:i/>
        </w:rPr>
        <w:t>Migration Regulations</w:t>
      </w:r>
      <w:r w:rsidR="005129F7" w:rsidRPr="000438C2">
        <w:rPr>
          <w:i/>
        </w:rPr>
        <w:t> </w:t>
      </w:r>
      <w:r w:rsidRPr="000438C2">
        <w:rPr>
          <w:i/>
        </w:rPr>
        <w:t>1994</w:t>
      </w:r>
      <w:r w:rsidRPr="000438C2">
        <w:t xml:space="preserve"> (the Regulations).</w:t>
      </w:r>
    </w:p>
    <w:p w14:paraId="698222D6" w14:textId="77777777" w:rsidR="00B54C93" w:rsidRPr="000438C2" w:rsidRDefault="00B54C93" w:rsidP="000438C2">
      <w:pPr>
        <w:pStyle w:val="ESPara"/>
      </w:pPr>
      <w:r w:rsidRPr="000438C2">
        <w:t xml:space="preserve">The instrument repeals </w:t>
      </w:r>
      <w:r w:rsidRPr="000438C2">
        <w:rPr>
          <w:i/>
        </w:rPr>
        <w:t>Migration (Places and currencies for paying of fees) Instrument (LIN 22/002) 2022</w:t>
      </w:r>
      <w:r w:rsidRPr="000438C2">
        <w:t xml:space="preserve"> (LIN 22/002) (F2021L01819) in accordance with subsection 33(3) of the </w:t>
      </w:r>
      <w:r w:rsidRPr="000438C2">
        <w:rPr>
          <w:i/>
        </w:rPr>
        <w:t xml:space="preserve">Acts Interpretation Act 1901 </w:t>
      </w:r>
      <w:r w:rsidRPr="000438C2">
        <w:t>(Acts Interpretation Act)</w:t>
      </w:r>
      <w:r w:rsidRPr="000438C2">
        <w:rPr>
          <w:i/>
        </w:rPr>
        <w:t xml:space="preserve">.  </w:t>
      </w:r>
      <w:r w:rsidRPr="000438C2">
        <w:t>That subsection provides that a power to make a legislative instrument includes a power to amend or repeal that instrument in the same manner, and subject to the same conditions, as the power to make the instrument.</w:t>
      </w:r>
    </w:p>
    <w:p w14:paraId="407F5325" w14:textId="02F7998D" w:rsidR="00BD598E" w:rsidRPr="000438C2" w:rsidRDefault="00AA4557" w:rsidP="000438C2">
      <w:pPr>
        <w:pStyle w:val="ESPara"/>
      </w:pPr>
      <w:r w:rsidRPr="000438C2">
        <w:t xml:space="preserve">The instrument commences </w:t>
      </w:r>
      <w:r w:rsidR="00B54C93" w:rsidRPr="000438C2">
        <w:t>on 1 July 2022</w:t>
      </w:r>
      <w:r w:rsidRPr="000438C2">
        <w:t>, and i</w:t>
      </w:r>
      <w:r w:rsidR="00BD598E" w:rsidRPr="000438C2">
        <w:t xml:space="preserve">s a </w:t>
      </w:r>
      <w:r w:rsidRPr="000438C2">
        <w:t>legislative</w:t>
      </w:r>
      <w:r w:rsidR="00BD598E" w:rsidRPr="000438C2">
        <w:t xml:space="preserve"> instrument for </w:t>
      </w:r>
      <w:r w:rsidR="00B75478" w:rsidRPr="000438C2">
        <w:t xml:space="preserve">the </w:t>
      </w:r>
      <w:r w:rsidR="005129F7" w:rsidRPr="000438C2">
        <w:rPr>
          <w:i/>
        </w:rPr>
        <w:t>Legislation Act </w:t>
      </w:r>
      <w:r w:rsidR="00100DFC" w:rsidRPr="000438C2">
        <w:rPr>
          <w:i/>
        </w:rPr>
        <w:t>2003</w:t>
      </w:r>
      <w:r w:rsidR="00100DFC" w:rsidRPr="000438C2">
        <w:t xml:space="preserve"> (the Legislation Act)</w:t>
      </w:r>
      <w:r w:rsidR="006954EC" w:rsidRPr="000438C2">
        <w:t>.</w:t>
      </w:r>
    </w:p>
    <w:p w14:paraId="6FA58ADB" w14:textId="77777777" w:rsidR="00EA12C9" w:rsidRPr="000438C2" w:rsidRDefault="00BD598E" w:rsidP="000438C2">
      <w:pPr>
        <w:pStyle w:val="ESHeading"/>
      </w:pPr>
      <w:r w:rsidRPr="000438C2">
        <w:t>Purpose</w:t>
      </w:r>
      <w:r w:rsidR="00BB0CF2" w:rsidRPr="000438C2">
        <w:t xml:space="preserve"> </w:t>
      </w:r>
    </w:p>
    <w:p w14:paraId="3CCCDA49" w14:textId="77777777" w:rsidR="00B54C93" w:rsidRPr="000438C2" w:rsidRDefault="00B54C93" w:rsidP="000438C2">
      <w:pPr>
        <w:pStyle w:val="ESSubparaHeader"/>
        <w:keepNext w:val="0"/>
        <w:rPr>
          <w:lang w:eastAsia="en-AU"/>
        </w:rPr>
      </w:pPr>
      <w:r w:rsidRPr="000438C2">
        <w:rPr>
          <w:lang w:eastAsia="en-AU"/>
        </w:rPr>
        <w:t xml:space="preserve">A number of fees and charges are payable in relation to visa applications. </w:t>
      </w:r>
      <w:r w:rsidR="005129F7" w:rsidRPr="000438C2">
        <w:rPr>
          <w:lang w:eastAsia="en-AU"/>
        </w:rPr>
        <w:t xml:space="preserve"> </w:t>
      </w:r>
      <w:proofErr w:type="spellStart"/>
      <w:r w:rsidRPr="000438C2">
        <w:rPr>
          <w:lang w:eastAsia="en-AU"/>
        </w:rPr>
        <w:t>Subregulation</w:t>
      </w:r>
      <w:proofErr w:type="spellEnd"/>
      <w:r w:rsidRPr="000438C2">
        <w:rPr>
          <w:lang w:eastAsia="en-AU"/>
        </w:rPr>
        <w:t> 5.36(1) of the Regulations provides that the payment of certain fees must be made:</w:t>
      </w:r>
    </w:p>
    <w:p w14:paraId="19DEFD8F" w14:textId="77777777" w:rsidR="00B54C93" w:rsidRPr="000438C2" w:rsidRDefault="00B54C93" w:rsidP="000438C2">
      <w:pPr>
        <w:pStyle w:val="ESSubparaList"/>
        <w:rPr>
          <w:lang w:eastAsia="en-AU"/>
        </w:rPr>
      </w:pPr>
      <w:r w:rsidRPr="000438C2">
        <w:rPr>
          <w:lang w:eastAsia="en-AU"/>
        </w:rPr>
        <w:t>in a place, being Australia or a foreign country, that is specified for paragraph 5.36(1)(a); and</w:t>
      </w:r>
    </w:p>
    <w:p w14:paraId="1AB22507" w14:textId="77777777" w:rsidR="00B54C93" w:rsidRPr="000438C2" w:rsidRDefault="00B54C93" w:rsidP="000438C2">
      <w:pPr>
        <w:pStyle w:val="ESSubparaList"/>
        <w:rPr>
          <w:lang w:eastAsia="en-AU"/>
        </w:rPr>
      </w:pPr>
      <w:proofErr w:type="gramStart"/>
      <w:r w:rsidRPr="000438C2">
        <w:rPr>
          <w:lang w:eastAsia="en-AU"/>
        </w:rPr>
        <w:t>in</w:t>
      </w:r>
      <w:proofErr w:type="gramEnd"/>
      <w:r w:rsidRPr="000438C2">
        <w:rPr>
          <w:lang w:eastAsia="en-AU"/>
        </w:rPr>
        <w:t xml:space="preserve"> a currency that is specified for paragraph 5.36(1)(b) as a currency in which a fee may be paid in that place.</w:t>
      </w:r>
    </w:p>
    <w:p w14:paraId="3F433B5C" w14:textId="17509174" w:rsidR="00B54C93" w:rsidRPr="000438C2" w:rsidRDefault="00B54C93" w:rsidP="000438C2">
      <w:pPr>
        <w:pStyle w:val="ESSubparaHeader"/>
        <w:rPr>
          <w:lang w:eastAsia="en-AU"/>
        </w:rPr>
      </w:pPr>
      <w:r w:rsidRPr="000438C2">
        <w:rPr>
          <w:lang w:eastAsia="en-AU"/>
        </w:rPr>
        <w:t>The purpose of the instrument is to specify Australia and a number of foreign countries for paragraph 5.36(1</w:t>
      </w:r>
      <w:proofErr w:type="gramStart"/>
      <w:r w:rsidRPr="000438C2">
        <w:rPr>
          <w:lang w:eastAsia="en-AU"/>
        </w:rPr>
        <w:t>)(</w:t>
      </w:r>
      <w:proofErr w:type="gramEnd"/>
      <w:r w:rsidRPr="000438C2">
        <w:rPr>
          <w:lang w:eastAsia="en-AU"/>
        </w:rPr>
        <w:t xml:space="preserve">a) </w:t>
      </w:r>
      <w:r w:rsidR="00221F0C">
        <w:rPr>
          <w:lang w:eastAsia="en-AU"/>
        </w:rPr>
        <w:t xml:space="preserve">of the Regulations </w:t>
      </w:r>
      <w:r w:rsidRPr="000438C2">
        <w:rPr>
          <w:lang w:eastAsia="en-AU"/>
        </w:rPr>
        <w:t>and the associated currency, or currencies, in which a fee may be paid in that country for paragraph 5.36(1)(b)</w:t>
      </w:r>
      <w:r w:rsidR="00221F0C">
        <w:rPr>
          <w:lang w:eastAsia="en-AU"/>
        </w:rPr>
        <w:t xml:space="preserve"> </w:t>
      </w:r>
      <w:r w:rsidR="00221F0C">
        <w:rPr>
          <w:lang w:eastAsia="en-AU"/>
        </w:rPr>
        <w:t>of the Regulations</w:t>
      </w:r>
      <w:r w:rsidRPr="000438C2">
        <w:rPr>
          <w:lang w:eastAsia="en-AU"/>
        </w:rPr>
        <w:t>.  The instr</w:t>
      </w:r>
      <w:r w:rsidR="006954EC" w:rsidRPr="000438C2">
        <w:rPr>
          <w:lang w:eastAsia="en-AU"/>
        </w:rPr>
        <w:t xml:space="preserve">ument also repeals </w:t>
      </w:r>
      <w:r w:rsidR="00221F0C">
        <w:rPr>
          <w:lang w:eastAsia="en-AU"/>
        </w:rPr>
        <w:t>LIN </w:t>
      </w:r>
      <w:r w:rsidR="00B06647" w:rsidRPr="000438C2">
        <w:rPr>
          <w:lang w:eastAsia="en-AU"/>
        </w:rPr>
        <w:t>22/002</w:t>
      </w:r>
      <w:r w:rsidR="006954EC" w:rsidRPr="000438C2">
        <w:rPr>
          <w:lang w:eastAsia="en-AU"/>
        </w:rPr>
        <w:t>.</w:t>
      </w:r>
    </w:p>
    <w:p w14:paraId="51D4D28B" w14:textId="09747CE5" w:rsidR="0033645A" w:rsidRPr="000438C2" w:rsidRDefault="00B54C93" w:rsidP="000438C2">
      <w:pPr>
        <w:pStyle w:val="ESPara"/>
      </w:pPr>
      <w:r w:rsidRPr="000438C2">
        <w:rPr>
          <w:shd w:val="clear" w:color="auto" w:fill="FFFFFF"/>
        </w:rPr>
        <w:t>The instrument is required to be re-made as part of the biannual update of the places where payment of a fee may be made and the corresponding currencies that must be used for payment of a fee in that place.  The instrument specifies the countries in which payment of a fee may be made and the currency in which a fee may be paid in that place.  It enables the Department to advise on and accept only those currencies that are readily and legally accessible to the public and ban</w:t>
      </w:r>
      <w:r w:rsidR="008E09AE" w:rsidRPr="000438C2">
        <w:rPr>
          <w:shd w:val="clear" w:color="auto" w:fill="FFFFFF"/>
        </w:rPr>
        <w:t>kable by each overseas office.</w:t>
      </w:r>
      <w:r w:rsidR="0033645A" w:rsidRPr="000438C2">
        <w:rPr>
          <w:shd w:val="clear" w:color="auto" w:fill="FFFFFF"/>
        </w:rPr>
        <w:t xml:space="preserve">  </w:t>
      </w:r>
    </w:p>
    <w:p w14:paraId="7B0B54AD" w14:textId="77777777" w:rsidR="008B24C8" w:rsidRPr="000438C2" w:rsidRDefault="008B24C8" w:rsidP="000438C2">
      <w:pPr>
        <w:pStyle w:val="ESHeading"/>
      </w:pPr>
      <w:r w:rsidRPr="000438C2">
        <w:t>Consultation</w:t>
      </w:r>
    </w:p>
    <w:p w14:paraId="53D45938" w14:textId="7ECE9D0C" w:rsidR="00513C4B" w:rsidRPr="000438C2" w:rsidRDefault="00513C4B" w:rsidP="000438C2">
      <w:pPr>
        <w:pStyle w:val="ESPara"/>
      </w:pPr>
      <w:r w:rsidRPr="000438C2">
        <w:t>Consultation and negotiation with the Department of Foreign Affairs and Trade occurred, in relation to continued inclusion of and removal of the specified currencies.</w:t>
      </w:r>
      <w:r w:rsidR="00AF227A">
        <w:t xml:space="preserve"> </w:t>
      </w:r>
      <w:r w:rsidRPr="000438C2">
        <w:t xml:space="preserve"> </w:t>
      </w:r>
      <w:r w:rsidR="004C5571">
        <w:t xml:space="preserve">The policy implemented via the instrument has been agreed to by the Department of Home Affairs and the Department of Foreign Affairs and Trade.  </w:t>
      </w:r>
      <w:r w:rsidRPr="000438C2">
        <w:t xml:space="preserve"> </w:t>
      </w:r>
      <w:bookmarkStart w:id="0" w:name="_GoBack"/>
      <w:bookmarkEnd w:id="0"/>
    </w:p>
    <w:p w14:paraId="641613CC" w14:textId="32581155" w:rsidR="008E09AE" w:rsidRPr="000438C2" w:rsidRDefault="008E09AE" w:rsidP="000438C2">
      <w:pPr>
        <w:pStyle w:val="ESPara"/>
      </w:pPr>
      <w:r w:rsidRPr="000438C2">
        <w:lastRenderedPageBreak/>
        <w:t>The Office of Best Practice Regulation (OBPR) has advised that the instrument dealt with matters of a minor machinery nature and no regulatory impact statement was required.  The OBPR reference number is 25184.</w:t>
      </w:r>
    </w:p>
    <w:p w14:paraId="3E0256FF" w14:textId="77777777" w:rsidR="00AA4557" w:rsidRPr="000438C2" w:rsidRDefault="00464080" w:rsidP="000438C2">
      <w:pPr>
        <w:pStyle w:val="ESHeading"/>
      </w:pPr>
      <w:r w:rsidRPr="000438C2">
        <w:t>Details</w:t>
      </w:r>
      <w:r w:rsidR="00AA4557" w:rsidRPr="000438C2">
        <w:t xml:space="preserve"> of the instrument</w:t>
      </w:r>
    </w:p>
    <w:p w14:paraId="7AD03EF6" w14:textId="29D5F484" w:rsidR="008E09AE" w:rsidRPr="000438C2" w:rsidRDefault="008E09AE" w:rsidP="000438C2">
      <w:pPr>
        <w:pStyle w:val="ESPara"/>
      </w:pPr>
      <w:r w:rsidRPr="000438C2">
        <w:t>Paragraph (a) states each place mentioned in an item of the table in Schedule 1 to the instrument is specified for paragraph 5.36(1</w:t>
      </w:r>
      <w:proofErr w:type="gramStart"/>
      <w:r w:rsidRPr="000438C2">
        <w:t>)(</w:t>
      </w:r>
      <w:proofErr w:type="gramEnd"/>
      <w:r w:rsidRPr="000438C2">
        <w:t xml:space="preserve">a) of the </w:t>
      </w:r>
      <w:r w:rsidR="00221F0C">
        <w:t>Regulations</w:t>
      </w:r>
      <w:r w:rsidR="001874E1" w:rsidRPr="000438C2">
        <w:t>.</w:t>
      </w:r>
    </w:p>
    <w:p w14:paraId="220C6AC4" w14:textId="43C5496B" w:rsidR="008E09AE" w:rsidRPr="000438C2" w:rsidRDefault="008E09AE" w:rsidP="000438C2">
      <w:pPr>
        <w:pStyle w:val="ESPara"/>
      </w:pPr>
      <w:r w:rsidRPr="000438C2">
        <w:t>Paragraph (b) states that the currency mentioned in the item for each place of the table in Schedule 1 to the instrument is specified for paragraph 5.36(1</w:t>
      </w:r>
      <w:proofErr w:type="gramStart"/>
      <w:r w:rsidRPr="000438C2">
        <w:t>)(</w:t>
      </w:r>
      <w:proofErr w:type="gramEnd"/>
      <w:r w:rsidRPr="000438C2">
        <w:t xml:space="preserve">b) of the </w:t>
      </w:r>
      <w:r w:rsidR="00221F0C">
        <w:t>Regulations</w:t>
      </w:r>
      <w:r w:rsidR="001874E1" w:rsidRPr="000438C2">
        <w:t>.</w:t>
      </w:r>
    </w:p>
    <w:p w14:paraId="51689D5F" w14:textId="6E27516B" w:rsidR="008E09AE" w:rsidRPr="000438C2" w:rsidRDefault="008E09AE" w:rsidP="000438C2">
      <w:pPr>
        <w:pStyle w:val="ESPara"/>
      </w:pPr>
      <w:r w:rsidRPr="000438C2">
        <w:t>Paragraph (c) repeals LIN 22/002</w:t>
      </w:r>
      <w:r w:rsidR="001874E1" w:rsidRPr="000438C2">
        <w:rPr>
          <w:i/>
        </w:rPr>
        <w:t>.</w:t>
      </w:r>
    </w:p>
    <w:p w14:paraId="356A19E2" w14:textId="3D7F6E61" w:rsidR="008E09AE" w:rsidRPr="000438C2" w:rsidRDefault="008E09AE" w:rsidP="000438C2">
      <w:pPr>
        <w:pStyle w:val="ESPara"/>
      </w:pPr>
      <w:r w:rsidRPr="000438C2">
        <w:t>Schedule 1 specifies, in a table, the places</w:t>
      </w:r>
      <w:r w:rsidR="004C5571">
        <w:t xml:space="preserve"> for making </w:t>
      </w:r>
      <w:r w:rsidR="004310B1">
        <w:t>payment</w:t>
      </w:r>
      <w:r w:rsidR="004C5571">
        <w:t xml:space="preserve"> of fees</w:t>
      </w:r>
      <w:r w:rsidRPr="000438C2">
        <w:t xml:space="preserve"> and the corresponding currencies in which fees must be paid for each place</w:t>
      </w:r>
      <w:r w:rsidR="001874E1" w:rsidRPr="000438C2">
        <w:t>.</w:t>
      </w:r>
    </w:p>
    <w:p w14:paraId="426FBACF" w14:textId="1FFEF7F2" w:rsidR="00AA4557" w:rsidRPr="000438C2" w:rsidRDefault="00AA4557" w:rsidP="000438C2">
      <w:pPr>
        <w:pStyle w:val="ESHeading"/>
      </w:pPr>
      <w:r w:rsidRPr="000438C2">
        <w:t>Parliamentary scruti</w:t>
      </w:r>
      <w:r w:rsidR="001874E1" w:rsidRPr="000438C2">
        <w:t>ny etc.</w:t>
      </w:r>
    </w:p>
    <w:p w14:paraId="535E6A85" w14:textId="08EB4EB9" w:rsidR="008E09AE" w:rsidRPr="008161DF" w:rsidRDefault="008E09AE" w:rsidP="000438C2">
      <w:pPr>
        <w:pStyle w:val="ESPara"/>
      </w:pPr>
      <w:r w:rsidRPr="000438C2">
        <w:t xml:space="preserve">The instrument is exempt from disallowance under section 42 of the Legislation Act.  This is because </w:t>
      </w:r>
      <w:r w:rsidRPr="000438C2">
        <w:rPr>
          <w:rFonts w:ascii="Helvetica Neue" w:hAnsi="Helvetica Neue"/>
        </w:rPr>
        <w:t xml:space="preserve">under paragraph (b) of item 20 of the table in section 10 of the </w:t>
      </w:r>
      <w:r w:rsidRPr="000438C2">
        <w:rPr>
          <w:rFonts w:ascii="Helvetica Neue" w:hAnsi="Helvetica Neue"/>
          <w:i/>
          <w:iCs/>
        </w:rPr>
        <w:t>Legislation (Exemptions and Other Matters) Regulation 2015</w:t>
      </w:r>
      <w:r w:rsidRPr="000438C2">
        <w:rPr>
          <w:rFonts w:ascii="Helvetica Neue" w:hAnsi="Helvetica Neue"/>
        </w:rPr>
        <w:t>, the instrument is exempt from disallowance and therefore a Statement of Compatibility with Human Rights is not required.</w:t>
      </w:r>
    </w:p>
    <w:p w14:paraId="4637B904" w14:textId="1C28FB83" w:rsidR="004C5571" w:rsidRPr="000438C2" w:rsidRDefault="004C5571" w:rsidP="004C5571">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6829498E" w14:textId="6638F1F6" w:rsidR="008E09AE" w:rsidRPr="000438C2" w:rsidRDefault="008E09AE" w:rsidP="000438C2">
      <w:pPr>
        <w:pStyle w:val="ESPara"/>
      </w:pPr>
      <w:r w:rsidRPr="000438C2">
        <w:t>The instrument was made by a delegate of the Minister</w:t>
      </w:r>
      <w:r w:rsidR="004C5571">
        <w:t xml:space="preserve"> in accordance with </w:t>
      </w:r>
      <w:r w:rsidRPr="000438C2">
        <w:t>paragraph 5.36(1</w:t>
      </w:r>
      <w:proofErr w:type="gramStart"/>
      <w:r w:rsidRPr="000438C2">
        <w:t>)(</w:t>
      </w:r>
      <w:proofErr w:type="gramEnd"/>
      <w:r w:rsidRPr="000438C2">
        <w:t xml:space="preserve">a) and (b) of the Regulations.  </w:t>
      </w:r>
    </w:p>
    <w:p w14:paraId="45D45303" w14:textId="76B8A597" w:rsidR="00915032" w:rsidRPr="000438C2" w:rsidRDefault="00915032" w:rsidP="001874E1">
      <w:pPr>
        <w:rPr>
          <w:rFonts w:ascii="Times New Roman" w:hAnsi="Times New Roman" w:cs="Times New Roman"/>
        </w:rPr>
      </w:pPr>
    </w:p>
    <w:sectPr w:rsidR="00915032" w:rsidRPr="000438C2"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79"/>
    <w:rsid w:val="000438C2"/>
    <w:rsid w:val="000D014F"/>
    <w:rsid w:val="00100DFC"/>
    <w:rsid w:val="001874E1"/>
    <w:rsid w:val="0019164E"/>
    <w:rsid w:val="00221F0C"/>
    <w:rsid w:val="002402E0"/>
    <w:rsid w:val="002D167E"/>
    <w:rsid w:val="0033645A"/>
    <w:rsid w:val="0034683E"/>
    <w:rsid w:val="004002AB"/>
    <w:rsid w:val="004310B1"/>
    <w:rsid w:val="00457D4A"/>
    <w:rsid w:val="00464080"/>
    <w:rsid w:val="004C5571"/>
    <w:rsid w:val="004F5CE4"/>
    <w:rsid w:val="005129F7"/>
    <w:rsid w:val="00513C4B"/>
    <w:rsid w:val="00560B24"/>
    <w:rsid w:val="0057002B"/>
    <w:rsid w:val="005A3733"/>
    <w:rsid w:val="005C03C7"/>
    <w:rsid w:val="00604E06"/>
    <w:rsid w:val="006954EC"/>
    <w:rsid w:val="007E4691"/>
    <w:rsid w:val="008161DF"/>
    <w:rsid w:val="0088407D"/>
    <w:rsid w:val="008B24C8"/>
    <w:rsid w:val="008E09AE"/>
    <w:rsid w:val="00915032"/>
    <w:rsid w:val="00A814D1"/>
    <w:rsid w:val="00AA4557"/>
    <w:rsid w:val="00AA4F77"/>
    <w:rsid w:val="00AB4BE8"/>
    <w:rsid w:val="00AF227A"/>
    <w:rsid w:val="00AF62BD"/>
    <w:rsid w:val="00B06647"/>
    <w:rsid w:val="00B445D9"/>
    <w:rsid w:val="00B54C93"/>
    <w:rsid w:val="00B65A06"/>
    <w:rsid w:val="00B75478"/>
    <w:rsid w:val="00BB0CF2"/>
    <w:rsid w:val="00BD598E"/>
    <w:rsid w:val="00BE3E7F"/>
    <w:rsid w:val="00C81A5E"/>
    <w:rsid w:val="00C930F2"/>
    <w:rsid w:val="00D40E1E"/>
    <w:rsid w:val="00E03DCC"/>
    <w:rsid w:val="00E45FE2"/>
    <w:rsid w:val="00EA12C9"/>
    <w:rsid w:val="00EF3784"/>
    <w:rsid w:val="00F94079"/>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2025"/>
  <w15:chartTrackingRefBased/>
  <w15:docId w15:val="{A6BB7219-9A7B-4BB5-B03F-7421A72B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B54C93"/>
    <w:rPr>
      <w:sz w:val="16"/>
      <w:szCs w:val="16"/>
    </w:rPr>
  </w:style>
  <w:style w:type="paragraph" w:styleId="CommentText">
    <w:name w:val="annotation text"/>
    <w:basedOn w:val="Normal"/>
    <w:link w:val="CommentTextChar"/>
    <w:uiPriority w:val="99"/>
    <w:semiHidden/>
    <w:unhideWhenUsed/>
    <w:rsid w:val="00B54C93"/>
    <w:pPr>
      <w:spacing w:line="240" w:lineRule="auto"/>
    </w:pPr>
    <w:rPr>
      <w:sz w:val="20"/>
      <w:szCs w:val="20"/>
    </w:rPr>
  </w:style>
  <w:style w:type="character" w:customStyle="1" w:styleId="CommentTextChar">
    <w:name w:val="Comment Text Char"/>
    <w:basedOn w:val="DefaultParagraphFont"/>
    <w:link w:val="CommentText"/>
    <w:uiPriority w:val="99"/>
    <w:semiHidden/>
    <w:rsid w:val="00B54C93"/>
    <w:rPr>
      <w:sz w:val="20"/>
      <w:szCs w:val="20"/>
    </w:rPr>
  </w:style>
  <w:style w:type="paragraph" w:styleId="CommentSubject">
    <w:name w:val="annotation subject"/>
    <w:basedOn w:val="CommentText"/>
    <w:next w:val="CommentText"/>
    <w:link w:val="CommentSubjectChar"/>
    <w:uiPriority w:val="99"/>
    <w:semiHidden/>
    <w:unhideWhenUsed/>
    <w:rsid w:val="00B54C93"/>
    <w:rPr>
      <w:b/>
      <w:bCs/>
    </w:rPr>
  </w:style>
  <w:style w:type="character" w:customStyle="1" w:styleId="CommentSubjectChar">
    <w:name w:val="Comment Subject Char"/>
    <w:basedOn w:val="CommentTextChar"/>
    <w:link w:val="CommentSubject"/>
    <w:uiPriority w:val="99"/>
    <w:semiHidden/>
    <w:rsid w:val="00B54C93"/>
    <w:rPr>
      <w:b/>
      <w:bCs/>
      <w:sz w:val="20"/>
      <w:szCs w:val="20"/>
    </w:rPr>
  </w:style>
  <w:style w:type="paragraph" w:styleId="BalloonText">
    <w:name w:val="Balloon Text"/>
    <w:basedOn w:val="Normal"/>
    <w:link w:val="BalloonTextChar"/>
    <w:uiPriority w:val="99"/>
    <w:semiHidden/>
    <w:unhideWhenUsed/>
    <w:rsid w:val="00B54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21215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82GK\AppData\Local\Microsoft\Windows\INetCache\Content.Outlook\QDEY48SF\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211C-064A-434B-A016-C770F45C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211208</Template>
  <TotalTime>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CORBY</dc:creator>
  <cp:keywords/>
  <dc:description/>
  <cp:lastModifiedBy>Catriona CORBY</cp:lastModifiedBy>
  <cp:revision>3</cp:revision>
  <cp:lastPrinted>2022-06-08T06:38:00Z</cp:lastPrinted>
  <dcterms:created xsi:type="dcterms:W3CDTF">2022-06-08T06:57:00Z</dcterms:created>
  <dcterms:modified xsi:type="dcterms:W3CDTF">2022-06-08T07:01:00Z</dcterms:modified>
</cp:coreProperties>
</file>