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19CDA" w14:textId="77777777" w:rsidR="005833BE" w:rsidRPr="000F7E40" w:rsidRDefault="00F109D4" w:rsidP="0089406B">
      <w:pPr>
        <w:pStyle w:val="Heading1"/>
        <w:spacing w:after="360"/>
        <w:rPr>
          <w:rFonts w:ascii="Times New Roman" w:hAnsi="Times New Roman"/>
        </w:rPr>
      </w:pPr>
      <w:bookmarkStart w:id="0" w:name="OLE_LINK1"/>
      <w:bookmarkStart w:id="1" w:name="OLE_LINK2"/>
      <w:r w:rsidRPr="000F7E40">
        <w:rPr>
          <w:rFonts w:ascii="Times New Roman" w:hAnsi="Times New Roman"/>
        </w:rPr>
        <w:t>EXPLANATORY STATEMENT</w:t>
      </w:r>
    </w:p>
    <w:p w14:paraId="7FD19CDC" w14:textId="3054EAED" w:rsidR="00941C0D" w:rsidRPr="0039795F" w:rsidRDefault="00941C0D" w:rsidP="0089406B">
      <w:pPr>
        <w:pStyle w:val="Heading2"/>
        <w:spacing w:before="360" w:after="360"/>
        <w:jc w:val="center"/>
        <w:rPr>
          <w:b w:val="0"/>
          <w:sz w:val="24"/>
          <w:szCs w:val="24"/>
        </w:rPr>
      </w:pPr>
      <w:r w:rsidRPr="0039795F">
        <w:rPr>
          <w:b w:val="0"/>
          <w:sz w:val="24"/>
          <w:szCs w:val="24"/>
        </w:rPr>
        <w:t xml:space="preserve">Issued by authority </w:t>
      </w:r>
      <w:r w:rsidRPr="00FB4B9D">
        <w:rPr>
          <w:b w:val="0"/>
          <w:sz w:val="24"/>
          <w:szCs w:val="24"/>
        </w:rPr>
        <w:t xml:space="preserve">of the </w:t>
      </w:r>
      <w:r w:rsidR="0039795F" w:rsidRPr="001C28A7">
        <w:rPr>
          <w:b w:val="0"/>
          <w:sz w:val="24"/>
          <w:szCs w:val="24"/>
        </w:rPr>
        <w:t xml:space="preserve">Minister for </w:t>
      </w:r>
      <w:r w:rsidR="00FB4B9D" w:rsidRPr="007A48D5">
        <w:rPr>
          <w:b w:val="0"/>
          <w:sz w:val="24"/>
          <w:szCs w:val="24"/>
        </w:rPr>
        <w:t>Climate</w:t>
      </w:r>
      <w:r w:rsidR="00FB4B9D">
        <w:rPr>
          <w:b w:val="0"/>
          <w:sz w:val="24"/>
          <w:szCs w:val="24"/>
        </w:rPr>
        <w:t xml:space="preserve"> Change and Energy</w:t>
      </w:r>
    </w:p>
    <w:p w14:paraId="7FD19CDD" w14:textId="77777777" w:rsidR="00B460E9" w:rsidRPr="00B460E9" w:rsidRDefault="004A4D33" w:rsidP="0089406B">
      <w:pPr>
        <w:spacing w:before="240" w:after="240"/>
        <w:jc w:val="center"/>
        <w:rPr>
          <w:i/>
        </w:rPr>
      </w:pPr>
      <w:r>
        <w:rPr>
          <w:i/>
          <w:iCs/>
        </w:rPr>
        <w:t>National Greenhouse and Energy Reporting Act 2007</w:t>
      </w:r>
    </w:p>
    <w:p w14:paraId="027E4630" w14:textId="7C8EA5F2" w:rsidR="0023138A" w:rsidRDefault="0023138A" w:rsidP="0089406B">
      <w:pPr>
        <w:spacing w:before="240" w:after="360"/>
        <w:jc w:val="center"/>
        <w:rPr>
          <w:i/>
        </w:rPr>
      </w:pPr>
      <w:r w:rsidRPr="00B27C6F">
        <w:rPr>
          <w:i/>
        </w:rPr>
        <w:t xml:space="preserve">National Greenhouse and Energy Reporting </w:t>
      </w:r>
      <w:r w:rsidR="00E82202" w:rsidRPr="00B27C6F">
        <w:rPr>
          <w:i/>
        </w:rPr>
        <w:t xml:space="preserve">(Measurement) </w:t>
      </w:r>
      <w:r w:rsidRPr="00B27C6F">
        <w:rPr>
          <w:i/>
        </w:rPr>
        <w:t>Amendment</w:t>
      </w:r>
      <w:r w:rsidR="0039006D">
        <w:rPr>
          <w:i/>
        </w:rPr>
        <w:t xml:space="preserve"> (2022</w:t>
      </w:r>
      <w:r w:rsidR="00E82202" w:rsidRPr="00B27C6F">
        <w:rPr>
          <w:i/>
        </w:rPr>
        <w:t xml:space="preserve"> Update) Determination </w:t>
      </w:r>
      <w:r w:rsidR="0039006D">
        <w:rPr>
          <w:i/>
        </w:rPr>
        <w:t>2022</w:t>
      </w:r>
    </w:p>
    <w:p w14:paraId="2698A20E" w14:textId="06C93279" w:rsidR="006D7C7D" w:rsidRPr="006D7C7D" w:rsidRDefault="006D7C7D" w:rsidP="00E82202">
      <w:pPr>
        <w:spacing w:before="0" w:after="240"/>
        <w:rPr>
          <w:b/>
          <w:iCs/>
        </w:rPr>
      </w:pPr>
      <w:r w:rsidRPr="006D7C7D">
        <w:rPr>
          <w:b/>
          <w:iCs/>
        </w:rPr>
        <w:t>Background</w:t>
      </w:r>
    </w:p>
    <w:p w14:paraId="3D2409DE" w14:textId="076B5FF4" w:rsidR="00D520DF" w:rsidRDefault="00D520DF" w:rsidP="00E82202">
      <w:pPr>
        <w:spacing w:before="0" w:after="240"/>
        <w:rPr>
          <w:iCs/>
        </w:rPr>
      </w:pPr>
      <w:r>
        <w:rPr>
          <w:iCs/>
        </w:rPr>
        <w:t>The</w:t>
      </w:r>
      <w:r w:rsidR="00905CF5">
        <w:rPr>
          <w:iCs/>
        </w:rPr>
        <w:t xml:space="preserve"> National Greenhouse and Energy Reporting (</w:t>
      </w:r>
      <w:r w:rsidR="0039006D">
        <w:rPr>
          <w:iCs/>
        </w:rPr>
        <w:t>NGER</w:t>
      </w:r>
      <w:r w:rsidR="00905CF5">
        <w:rPr>
          <w:iCs/>
        </w:rPr>
        <w:t>)</w:t>
      </w:r>
      <w:r w:rsidR="0039006D">
        <w:rPr>
          <w:iCs/>
        </w:rPr>
        <w:t xml:space="preserve"> Scheme</w:t>
      </w:r>
      <w:r w:rsidR="00905CF5">
        <w:rPr>
          <w:iCs/>
        </w:rPr>
        <w:t>, established under the</w:t>
      </w:r>
      <w:r>
        <w:rPr>
          <w:iCs/>
        </w:rPr>
        <w:t xml:space="preserve"> </w:t>
      </w:r>
      <w:r w:rsidRPr="00E2720D">
        <w:rPr>
          <w:i/>
          <w:iCs/>
        </w:rPr>
        <w:t>National Greenhouse and Energy Reporting Act 2007</w:t>
      </w:r>
      <w:r w:rsidRPr="00863FF2">
        <w:rPr>
          <w:iCs/>
        </w:rPr>
        <w:t xml:space="preserve"> (</w:t>
      </w:r>
      <w:r w:rsidRPr="00332AA3">
        <w:rPr>
          <w:iCs/>
        </w:rPr>
        <w:t>the Act</w:t>
      </w:r>
      <w:r w:rsidRPr="00863FF2">
        <w:rPr>
          <w:iCs/>
        </w:rPr>
        <w:t>)</w:t>
      </w:r>
      <w:r w:rsidR="00905CF5">
        <w:rPr>
          <w:iCs/>
        </w:rPr>
        <w:t>,</w:t>
      </w:r>
      <w:r>
        <w:rPr>
          <w:iCs/>
        </w:rPr>
        <w:t xml:space="preserve"> provides a framework for the reporting of emissions, energy production and consumption in Australia. </w:t>
      </w:r>
    </w:p>
    <w:p w14:paraId="0F60765A" w14:textId="3F4AF785" w:rsidR="009950D4" w:rsidRDefault="009950D4" w:rsidP="00E82202">
      <w:pPr>
        <w:spacing w:before="0" w:after="240"/>
      </w:pPr>
      <w:r w:rsidRPr="009950D4">
        <w:t>The NGER Scheme is a key data source support</w:t>
      </w:r>
      <w:r w:rsidR="007A48D5">
        <w:t>ing</w:t>
      </w:r>
      <w:r w:rsidRPr="009950D4">
        <w:t xml:space="preserve"> Australia’s international reporting obligations and informs domestic climate and energy policies.</w:t>
      </w:r>
    </w:p>
    <w:p w14:paraId="55B85F13" w14:textId="77777777" w:rsidR="009950D4" w:rsidRDefault="009950D4" w:rsidP="009950D4">
      <w:r>
        <w:t>NGER Scheme legislation includes:</w:t>
      </w:r>
    </w:p>
    <w:p w14:paraId="1D244302" w14:textId="63E1478A" w:rsidR="009950D4" w:rsidRDefault="009950D4" w:rsidP="009950D4">
      <w:pPr>
        <w:pStyle w:val="ListParagraph"/>
        <w:numPr>
          <w:ilvl w:val="0"/>
          <w:numId w:val="47"/>
        </w:numPr>
        <w:spacing w:before="0" w:after="160" w:line="259" w:lineRule="auto"/>
      </w:pPr>
      <w:r>
        <w:t xml:space="preserve">the </w:t>
      </w:r>
      <w:r w:rsidRPr="000258C4">
        <w:t>Act</w:t>
      </w:r>
      <w:r>
        <w:t xml:space="preserve">; </w:t>
      </w:r>
    </w:p>
    <w:p w14:paraId="132B54CF" w14:textId="29F1C6E2" w:rsidR="009950D4" w:rsidRDefault="009950D4" w:rsidP="009950D4">
      <w:pPr>
        <w:pStyle w:val="ListParagraph"/>
        <w:numPr>
          <w:ilvl w:val="0"/>
          <w:numId w:val="47"/>
        </w:numPr>
        <w:spacing w:before="0" w:after="160" w:line="259" w:lineRule="auto"/>
      </w:pPr>
      <w:r>
        <w:t xml:space="preserve">the </w:t>
      </w:r>
      <w:r w:rsidRPr="00912FE5">
        <w:rPr>
          <w:i/>
        </w:rPr>
        <w:t xml:space="preserve">National Greenhouse and Energy Reporting Regulations 2008 </w:t>
      </w:r>
      <w:r w:rsidRPr="00842202">
        <w:t>(the</w:t>
      </w:r>
      <w:r w:rsidR="00D15BD6">
        <w:t> </w:t>
      </w:r>
      <w:r w:rsidRPr="00677603">
        <w:t>NGER</w:t>
      </w:r>
      <w:r w:rsidR="00D15BD6">
        <w:t> </w:t>
      </w:r>
      <w:r w:rsidRPr="00677603">
        <w:t>Regulations</w:t>
      </w:r>
      <w:r w:rsidRPr="00842202">
        <w:t>)</w:t>
      </w:r>
      <w:r>
        <w:t>;</w:t>
      </w:r>
      <w:r w:rsidRPr="00842202">
        <w:t xml:space="preserve"> and </w:t>
      </w:r>
    </w:p>
    <w:p w14:paraId="55020734" w14:textId="0804A622" w:rsidR="009950D4" w:rsidRDefault="009950D4" w:rsidP="009950D4">
      <w:pPr>
        <w:pStyle w:val="ListParagraph"/>
        <w:numPr>
          <w:ilvl w:val="0"/>
          <w:numId w:val="47"/>
        </w:numPr>
        <w:spacing w:before="0" w:after="240"/>
      </w:pPr>
      <w:proofErr w:type="gramStart"/>
      <w:r>
        <w:t>the</w:t>
      </w:r>
      <w:proofErr w:type="gramEnd"/>
      <w:r>
        <w:t xml:space="preserve"> </w:t>
      </w:r>
      <w:r w:rsidRPr="009950D4">
        <w:rPr>
          <w:i/>
        </w:rPr>
        <w:t>National Greenhouse and</w:t>
      </w:r>
      <w:r>
        <w:rPr>
          <w:i/>
        </w:rPr>
        <w:t xml:space="preserve"> Energy Reporting (Measurement) </w:t>
      </w:r>
      <w:r w:rsidRPr="009950D4">
        <w:rPr>
          <w:i/>
        </w:rPr>
        <w:t xml:space="preserve">Determination 2008 </w:t>
      </w:r>
      <w:r w:rsidRPr="00842202">
        <w:t xml:space="preserve">(the </w:t>
      </w:r>
      <w:r w:rsidRPr="00677603">
        <w:t>Measurement Determination</w:t>
      </w:r>
      <w:r w:rsidRPr="00842202">
        <w:t>)</w:t>
      </w:r>
      <w:r w:rsidR="00D15BD6">
        <w:t>.</w:t>
      </w:r>
    </w:p>
    <w:p w14:paraId="4F44BF5A" w14:textId="3B67A7E4" w:rsidR="001751AC" w:rsidRDefault="00E82202" w:rsidP="00E82202">
      <w:pPr>
        <w:spacing w:before="0" w:after="240"/>
      </w:pPr>
      <w:r w:rsidRPr="006A3A08">
        <w:t xml:space="preserve">The </w:t>
      </w:r>
      <w:r w:rsidR="00624FDA" w:rsidRPr="00332AA3">
        <w:t xml:space="preserve">Measurement </w:t>
      </w:r>
      <w:r w:rsidR="00F64C57" w:rsidRPr="00332AA3">
        <w:t>Determination</w:t>
      </w:r>
      <w:r w:rsidR="00F64C57">
        <w:t xml:space="preserve"> </w:t>
      </w:r>
      <w:r w:rsidRPr="006A3A08">
        <w:t xml:space="preserve">was made under </w:t>
      </w:r>
      <w:r>
        <w:t xml:space="preserve">section </w:t>
      </w:r>
      <w:r w:rsidRPr="006A3A08">
        <w:t>10 of the Act, which provides for the Minister to determine methods, or criteria for methods, for the measurement of (a</w:t>
      </w:r>
      <w:r w:rsidR="00274F6A" w:rsidRPr="006A3A08">
        <w:t>)</w:t>
      </w:r>
      <w:r w:rsidR="00274F6A">
        <w:t> </w:t>
      </w:r>
      <w:r w:rsidRPr="006A3A08">
        <w:t>greenhouse gas emissions; (b) the production of energy; an</w:t>
      </w:r>
      <w:r w:rsidR="003A5D5E">
        <w:t>d (c)</w:t>
      </w:r>
      <w:r w:rsidR="00D15BD6">
        <w:t> </w:t>
      </w:r>
      <w:proofErr w:type="gramStart"/>
      <w:r w:rsidR="003A5D5E">
        <w:t>the</w:t>
      </w:r>
      <w:proofErr w:type="gramEnd"/>
      <w:r w:rsidR="003A5D5E">
        <w:t xml:space="preserve"> consumption of energy.</w:t>
      </w:r>
      <w:r w:rsidR="00024D8E">
        <w:t xml:space="preserve"> </w:t>
      </w:r>
    </w:p>
    <w:p w14:paraId="4E6CC260" w14:textId="695FFD9B" w:rsidR="00C15EDB" w:rsidRPr="006D7C7D" w:rsidRDefault="00C15EDB" w:rsidP="0089406B">
      <w:pPr>
        <w:spacing w:before="240" w:after="240"/>
        <w:rPr>
          <w:u w:val="single"/>
        </w:rPr>
      </w:pPr>
      <w:r w:rsidRPr="006D7C7D">
        <w:rPr>
          <w:u w:val="single"/>
        </w:rPr>
        <w:t>Overview of the</w:t>
      </w:r>
      <w:r w:rsidR="00B4764F">
        <w:rPr>
          <w:u w:val="single"/>
        </w:rPr>
        <w:t xml:space="preserve"> </w:t>
      </w:r>
      <w:r w:rsidR="00624FDA">
        <w:rPr>
          <w:u w:val="single"/>
        </w:rPr>
        <w:t xml:space="preserve">Measurement </w:t>
      </w:r>
      <w:r w:rsidR="00B4764F">
        <w:rPr>
          <w:u w:val="single"/>
        </w:rPr>
        <w:t>Determination</w:t>
      </w:r>
      <w:r w:rsidRPr="006D7C7D">
        <w:rPr>
          <w:u w:val="single"/>
        </w:rPr>
        <w:t xml:space="preserve"> </w:t>
      </w:r>
    </w:p>
    <w:p w14:paraId="3D69C194" w14:textId="36AE8541" w:rsidR="00C15EDB" w:rsidRPr="006A3A08" w:rsidRDefault="00C15EDB" w:rsidP="00C15EDB">
      <w:r w:rsidRPr="006A3A08">
        <w:t xml:space="preserve">The </w:t>
      </w:r>
      <w:r w:rsidR="00624FDA">
        <w:t xml:space="preserve">Measurement </w:t>
      </w:r>
      <w:r w:rsidR="005228CB">
        <w:t xml:space="preserve">Determination </w:t>
      </w:r>
      <w:r w:rsidRPr="006A3A08">
        <w:t>provides the methods for the estimation of g</w:t>
      </w:r>
      <w:r>
        <w:t xml:space="preserve">reenhouse gas emissions and </w:t>
      </w:r>
      <w:r w:rsidRPr="006A3A08">
        <w:t>the production and consumption of energy.</w:t>
      </w:r>
      <w:r>
        <w:t xml:space="preserve"> </w:t>
      </w:r>
      <w:r w:rsidRPr="006A3A08">
        <w:t xml:space="preserve">The scope of the </w:t>
      </w:r>
      <w:r w:rsidR="00624FDA">
        <w:t xml:space="preserve">Measurement </w:t>
      </w:r>
      <w:r w:rsidRPr="006A3A08">
        <w:t xml:space="preserve">Determination </w:t>
      </w:r>
      <w:r w:rsidR="00FA5BC0">
        <w:t xml:space="preserve">reflects </w:t>
      </w:r>
      <w:r w:rsidR="00FA5BC0" w:rsidRPr="0022610D">
        <w:t xml:space="preserve">the </w:t>
      </w:r>
      <w:r w:rsidR="00FA5BC0">
        <w:t xml:space="preserve">framework </w:t>
      </w:r>
      <w:r w:rsidR="00FA5BC0" w:rsidRPr="0022610D">
        <w:t xml:space="preserve">of the </w:t>
      </w:r>
      <w:r w:rsidR="00FA5BC0" w:rsidRPr="002D3BB6">
        <w:rPr>
          <w:i/>
        </w:rPr>
        <w:t>2006 I</w:t>
      </w:r>
      <w:r w:rsidR="00D15BD6">
        <w:rPr>
          <w:i/>
        </w:rPr>
        <w:t xml:space="preserve">ntergovernmental </w:t>
      </w:r>
      <w:r w:rsidR="00FA5BC0" w:rsidRPr="002D3BB6">
        <w:rPr>
          <w:i/>
        </w:rPr>
        <w:t>P</w:t>
      </w:r>
      <w:r w:rsidR="00D15BD6">
        <w:rPr>
          <w:i/>
        </w:rPr>
        <w:t xml:space="preserve">anel on </w:t>
      </w:r>
      <w:r w:rsidR="00FA5BC0" w:rsidRPr="002D3BB6">
        <w:rPr>
          <w:i/>
        </w:rPr>
        <w:t>C</w:t>
      </w:r>
      <w:r w:rsidR="00D15BD6">
        <w:rPr>
          <w:i/>
        </w:rPr>
        <w:t xml:space="preserve">limate </w:t>
      </w:r>
      <w:r w:rsidR="00FA5BC0" w:rsidRPr="002D3BB6">
        <w:rPr>
          <w:i/>
        </w:rPr>
        <w:t>C</w:t>
      </w:r>
      <w:r w:rsidR="00D15BD6">
        <w:rPr>
          <w:i/>
        </w:rPr>
        <w:t>hange (IPCC)</w:t>
      </w:r>
      <w:r w:rsidR="00FA5BC0" w:rsidRPr="002D3BB6">
        <w:rPr>
          <w:i/>
        </w:rPr>
        <w:t xml:space="preserve"> Guidelines for National Greenhouse Gas Inventories</w:t>
      </w:r>
      <w:r w:rsidR="00FA5BC0">
        <w:t xml:space="preserve">, as adopted by the </w:t>
      </w:r>
      <w:r w:rsidR="00FA5BC0" w:rsidRPr="004B2643">
        <w:t>Parties to the U</w:t>
      </w:r>
      <w:r w:rsidR="00FA5BC0">
        <w:t>nited</w:t>
      </w:r>
      <w:r w:rsidR="00D15BD6">
        <w:t> </w:t>
      </w:r>
      <w:r w:rsidR="00FA5BC0" w:rsidRPr="004B2643">
        <w:t>N</w:t>
      </w:r>
      <w:r w:rsidR="00FA5BC0">
        <w:t>ations </w:t>
      </w:r>
      <w:r w:rsidR="00FA5BC0" w:rsidRPr="004B2643">
        <w:t>Framework Convention on Clima</w:t>
      </w:r>
      <w:r w:rsidR="00FA5BC0">
        <w:t>te Change (</w:t>
      </w:r>
      <w:r w:rsidR="00FA5BC0" w:rsidRPr="00332AA3">
        <w:t>UNFCCC</w:t>
      </w:r>
      <w:r w:rsidR="00FA5BC0">
        <w:t>), its Kyoto</w:t>
      </w:r>
      <w:r w:rsidR="00D15BD6">
        <w:t> </w:t>
      </w:r>
      <w:r w:rsidR="00FA5BC0">
        <w:t xml:space="preserve">Protocol and Paris Agreement, </w:t>
      </w:r>
      <w:r>
        <w:t>and includes emissions from</w:t>
      </w:r>
      <w:r w:rsidRPr="006A3A08">
        <w:t xml:space="preserve">: </w:t>
      </w:r>
    </w:p>
    <w:p w14:paraId="1D342967" w14:textId="77777777" w:rsidR="00C15EDB" w:rsidRDefault="00C15EDB" w:rsidP="006D7C7D">
      <w:pPr>
        <w:numPr>
          <w:ilvl w:val="0"/>
          <w:numId w:val="28"/>
        </w:numPr>
        <w:spacing w:before="0" w:line="276" w:lineRule="auto"/>
        <w:ind w:left="714" w:hanging="357"/>
      </w:pPr>
      <w:r>
        <w:t xml:space="preserve">the combustion of fuel for energy; </w:t>
      </w:r>
    </w:p>
    <w:p w14:paraId="752517B3" w14:textId="4D57B6F6" w:rsidR="00C15EDB" w:rsidRDefault="00C15EDB" w:rsidP="006D7C7D">
      <w:pPr>
        <w:numPr>
          <w:ilvl w:val="0"/>
          <w:numId w:val="28"/>
        </w:numPr>
        <w:spacing w:before="0" w:line="276" w:lineRule="auto"/>
        <w:ind w:left="714" w:hanging="357"/>
      </w:pPr>
      <w:r>
        <w:t>the extraction, production, flaring, processing and distribution of fossil fuels</w:t>
      </w:r>
      <w:r w:rsidR="00766AFA">
        <w:t>,</w:t>
      </w:r>
      <w:r>
        <w:t xml:space="preserve"> and </w:t>
      </w:r>
      <w:r w:rsidR="00766AFA">
        <w:t xml:space="preserve">from </w:t>
      </w:r>
      <w:r>
        <w:t xml:space="preserve">carbon capture and storage; </w:t>
      </w:r>
    </w:p>
    <w:p w14:paraId="2B0B3294" w14:textId="0E162431" w:rsidR="00C15EDB" w:rsidRDefault="00C15EDB" w:rsidP="006D7C7D">
      <w:pPr>
        <w:numPr>
          <w:ilvl w:val="0"/>
          <w:numId w:val="28"/>
        </w:numPr>
        <w:spacing w:before="0" w:line="276" w:lineRule="auto"/>
        <w:ind w:left="714" w:hanging="357"/>
      </w:pPr>
      <w:r>
        <w:lastRenderedPageBreak/>
        <w:t>industrial processes where a mineral, chemical or metal product is formed using a chemical reaction that generates greenhouse gases as a by-product</w:t>
      </w:r>
      <w:r w:rsidR="00194F53">
        <w:t>,</w:t>
      </w:r>
      <w:r>
        <w:t xml:space="preserve"> as well as emissions of hydrofluorocarbons</w:t>
      </w:r>
      <w:r w:rsidR="00D15BD6">
        <w:t xml:space="preserve"> (HFCs)</w:t>
      </w:r>
      <w:r>
        <w:t xml:space="preserve"> and sulphur hexafluoride </w:t>
      </w:r>
      <w:r w:rsidR="00D15BD6">
        <w:t xml:space="preserve">(SF6) </w:t>
      </w:r>
      <w:r>
        <w:t xml:space="preserve">resulting from their use by certain industries; and </w:t>
      </w:r>
    </w:p>
    <w:p w14:paraId="67A017AD" w14:textId="0092B1DD" w:rsidR="00C15EDB" w:rsidRDefault="00C15EDB" w:rsidP="006D7C7D">
      <w:pPr>
        <w:numPr>
          <w:ilvl w:val="0"/>
          <w:numId w:val="28"/>
        </w:numPr>
        <w:spacing w:before="0" w:line="276" w:lineRule="auto"/>
        <w:ind w:left="714" w:hanging="357"/>
      </w:pPr>
      <w:proofErr w:type="gramStart"/>
      <w:r>
        <w:t>waste</w:t>
      </w:r>
      <w:proofErr w:type="gramEnd"/>
      <w:r>
        <w:t xml:space="preserve"> disposal – either in landfill, as management of wastewater or from waste incinera</w:t>
      </w:r>
      <w:r w:rsidR="00A85B64">
        <w:t>tion</w:t>
      </w:r>
      <w:r>
        <w:t xml:space="preserve">. </w:t>
      </w:r>
    </w:p>
    <w:p w14:paraId="75B4D067" w14:textId="291304D7" w:rsidR="00C15EDB" w:rsidRPr="006A3A08" w:rsidRDefault="00C15EDB" w:rsidP="00024D8E">
      <w:pPr>
        <w:spacing w:after="240"/>
      </w:pPr>
      <w:r w:rsidRPr="006A3A08">
        <w:t xml:space="preserve">The scope of the </w:t>
      </w:r>
      <w:r w:rsidR="00624FDA">
        <w:t xml:space="preserve">Measurement </w:t>
      </w:r>
      <w:r w:rsidRPr="006A3A08">
        <w:t>Dete</w:t>
      </w:r>
      <w:r w:rsidR="00512944">
        <w:t>rmination does not include land-</w:t>
      </w:r>
      <w:r w:rsidRPr="006A3A08">
        <w:t xml:space="preserve">based emissions covered by the </w:t>
      </w:r>
      <w:r w:rsidRPr="00332AA3">
        <w:t>IPCC</w:t>
      </w:r>
      <w:r w:rsidRPr="006A3A08">
        <w:t xml:space="preserve"> categories ‘Agriculture’ and ‘Land Use,</w:t>
      </w:r>
      <w:r w:rsidR="00821E29">
        <w:t xml:space="preserve"> Land Use Change and Forestry’.</w:t>
      </w:r>
      <w:r w:rsidRPr="006A3A08">
        <w:t xml:space="preserve"> </w:t>
      </w:r>
    </w:p>
    <w:p w14:paraId="34ABE579" w14:textId="77777777" w:rsidR="00C15EDB" w:rsidRPr="006D7C7D" w:rsidRDefault="00C15EDB" w:rsidP="0089406B">
      <w:pPr>
        <w:keepNext/>
        <w:spacing w:before="360"/>
        <w:outlineLvl w:val="5"/>
        <w:rPr>
          <w:i/>
        </w:rPr>
      </w:pPr>
      <w:r w:rsidRPr="006D7C7D">
        <w:rPr>
          <w:i/>
        </w:rPr>
        <w:t>Methods of measurement</w:t>
      </w:r>
    </w:p>
    <w:p w14:paraId="2941079E" w14:textId="4BAB3189" w:rsidR="00C15EDB" w:rsidRPr="006A3A08" w:rsidRDefault="00C15EDB" w:rsidP="00024D8E">
      <w:pPr>
        <w:spacing w:after="240"/>
      </w:pPr>
      <w:r w:rsidRPr="006A3A08">
        <w:t xml:space="preserve">The </w:t>
      </w:r>
      <w:r w:rsidR="00624FDA">
        <w:t xml:space="preserve">Measurement </w:t>
      </w:r>
      <w:r w:rsidRPr="006A3A08">
        <w:t xml:space="preserve">Determination provides </w:t>
      </w:r>
      <w:r w:rsidR="002D3BB6">
        <w:t xml:space="preserve">a hierarchy of </w:t>
      </w:r>
      <w:r w:rsidR="00995092">
        <w:t xml:space="preserve">emissions </w:t>
      </w:r>
      <w:r w:rsidR="002D3BB6">
        <w:t>reporting methods to accommodate the circumstances of individual reporters:</w:t>
      </w:r>
      <w:r w:rsidRPr="006A3A08">
        <w:t xml:space="preserve">  </w:t>
      </w:r>
    </w:p>
    <w:p w14:paraId="3ECDEEB9" w14:textId="4FB3348E" w:rsidR="00C15EDB" w:rsidRPr="006A3A08" w:rsidRDefault="00C15EDB" w:rsidP="00C63795">
      <w:pPr>
        <w:pStyle w:val="ListParagraph"/>
        <w:numPr>
          <w:ilvl w:val="0"/>
          <w:numId w:val="36"/>
        </w:numPr>
        <w:spacing w:before="0"/>
        <w:ind w:left="714" w:hanging="357"/>
        <w:contextualSpacing w:val="0"/>
      </w:pPr>
      <w:bookmarkStart w:id="2" w:name="_Toc381887671"/>
      <w:r w:rsidRPr="00C63795">
        <w:rPr>
          <w:u w:val="single"/>
        </w:rPr>
        <w:t>Method 1</w:t>
      </w:r>
      <w:r w:rsidRPr="006A3A08">
        <w:t xml:space="preserve"> is the default method </w:t>
      </w:r>
      <w:r w:rsidR="00995092">
        <w:t xml:space="preserve">used in Australia’s National Inventory of greenhouse gas emissions </w:t>
      </w:r>
      <w:r w:rsidRPr="006A3A08">
        <w:t>and specifies the use of default emission factors i</w:t>
      </w:r>
      <w:r w:rsidR="00AC16D6">
        <w:t>n the estimation of emissions</w:t>
      </w:r>
      <w:r w:rsidR="00995092">
        <w:t>;</w:t>
      </w:r>
      <w:r w:rsidR="00AC16D6">
        <w:t xml:space="preserve"> </w:t>
      </w:r>
    </w:p>
    <w:p w14:paraId="7D4BFD21" w14:textId="28F400A2" w:rsidR="00C15EDB" w:rsidRPr="006A3A08" w:rsidRDefault="00C15EDB" w:rsidP="00C63795">
      <w:pPr>
        <w:pStyle w:val="ListParagraph"/>
        <w:numPr>
          <w:ilvl w:val="0"/>
          <w:numId w:val="36"/>
        </w:numPr>
        <w:spacing w:before="0"/>
        <w:ind w:left="714" w:hanging="357"/>
        <w:contextualSpacing w:val="0"/>
      </w:pPr>
      <w:r w:rsidRPr="00C63795">
        <w:rPr>
          <w:bCs/>
          <w:u w:val="single"/>
        </w:rPr>
        <w:t>Method 2</w:t>
      </w:r>
      <w:r w:rsidR="002D3BB6">
        <w:rPr>
          <w:bCs/>
        </w:rPr>
        <w:t>, where available,</w:t>
      </w:r>
      <w:r w:rsidRPr="00C63795">
        <w:rPr>
          <w:bCs/>
        </w:rPr>
        <w:t xml:space="preserve"> </w:t>
      </w:r>
      <w:r w:rsidRPr="006A3A08">
        <w:t xml:space="preserve">is </w:t>
      </w:r>
      <w:r w:rsidRPr="00C63795">
        <w:rPr>
          <w:bCs/>
        </w:rPr>
        <w:t>a facility-specific method</w:t>
      </w:r>
      <w:r w:rsidR="002D3BB6">
        <w:rPr>
          <w:bCs/>
        </w:rPr>
        <w:t>, for example</w:t>
      </w:r>
      <w:r w:rsidRPr="00C63795">
        <w:rPr>
          <w:bCs/>
        </w:rPr>
        <w:t xml:space="preserve"> using industry sampling and Australian or international standards </w:t>
      </w:r>
      <w:r w:rsidRPr="006A3A08">
        <w:t>to provide more accurate estimates of emissions at facility level</w:t>
      </w:r>
      <w:r w:rsidR="00995092">
        <w:t>;</w:t>
      </w:r>
      <w:r w:rsidRPr="006A3A08">
        <w:t xml:space="preserve">  </w:t>
      </w:r>
    </w:p>
    <w:p w14:paraId="673AD798" w14:textId="33C9008C" w:rsidR="00C15EDB" w:rsidRPr="006A3A08" w:rsidRDefault="002D3BB6" w:rsidP="00C63795">
      <w:pPr>
        <w:pStyle w:val="ListParagraph"/>
        <w:numPr>
          <w:ilvl w:val="0"/>
          <w:numId w:val="36"/>
        </w:numPr>
        <w:spacing w:before="0"/>
        <w:ind w:left="714" w:hanging="357"/>
        <w:contextualSpacing w:val="0"/>
      </w:pPr>
      <w:r>
        <w:rPr>
          <w:u w:val="single"/>
        </w:rPr>
        <w:t>M</w:t>
      </w:r>
      <w:r w:rsidR="00C15EDB" w:rsidRPr="00C63795">
        <w:rPr>
          <w:u w:val="single"/>
        </w:rPr>
        <w:t>ethod 3</w:t>
      </w:r>
      <w:r>
        <w:rPr>
          <w:bCs/>
        </w:rPr>
        <w:t>, where available,</w:t>
      </w:r>
      <w:r w:rsidR="00C15EDB" w:rsidRPr="006A3A08">
        <w:t xml:space="preserve"> is a </w:t>
      </w:r>
      <w:r w:rsidR="00633772">
        <w:t>higher-level</w:t>
      </w:r>
      <w:r>
        <w:t xml:space="preserve"> </w:t>
      </w:r>
      <w:r w:rsidR="00C15EDB" w:rsidRPr="006A3A08">
        <w:t>facility-specific method</w:t>
      </w:r>
      <w:r>
        <w:t>, for instance</w:t>
      </w:r>
      <w:r w:rsidR="00C15EDB" w:rsidRPr="006A3A08">
        <w:t xml:space="preserve"> using Australian or international standards for both sampling and analysis of fuels and raw materials</w:t>
      </w:r>
      <w:r w:rsidR="00995092">
        <w:t>;</w:t>
      </w:r>
      <w:r w:rsidR="00C15EDB" w:rsidRPr="006A3A08">
        <w:t xml:space="preserve"> </w:t>
      </w:r>
    </w:p>
    <w:p w14:paraId="576DBEC1" w14:textId="3C99666F" w:rsidR="00C15EDB" w:rsidRPr="006A3A08" w:rsidRDefault="00C15EDB" w:rsidP="00C63795">
      <w:pPr>
        <w:pStyle w:val="ListParagraph"/>
        <w:numPr>
          <w:ilvl w:val="0"/>
          <w:numId w:val="36"/>
        </w:numPr>
        <w:spacing w:before="0"/>
        <w:ind w:left="714" w:hanging="357"/>
        <w:contextualSpacing w:val="0"/>
      </w:pPr>
      <w:r w:rsidRPr="00C63795">
        <w:rPr>
          <w:u w:val="single"/>
        </w:rPr>
        <w:t>Method 4</w:t>
      </w:r>
      <w:r w:rsidR="002D3BB6">
        <w:rPr>
          <w:bCs/>
        </w:rPr>
        <w:t>, where available,</w:t>
      </w:r>
      <w:r w:rsidRPr="006A3A08">
        <w:t xml:space="preserve"> </w:t>
      </w:r>
      <w:r w:rsidR="002D3BB6">
        <w:t xml:space="preserve">provides for </w:t>
      </w:r>
      <w:r w:rsidRPr="006A3A08">
        <w:t>direct monitoring of emission systems, either on a</w:t>
      </w:r>
      <w:r w:rsidR="00AC16D6">
        <w:t xml:space="preserve"> continuous or periodic basis.</w:t>
      </w:r>
      <w:r w:rsidRPr="006A3A08">
        <w:t xml:space="preserve"> </w:t>
      </w:r>
    </w:p>
    <w:p w14:paraId="417467E0" w14:textId="3EC64CE7" w:rsidR="00C15EDB" w:rsidRDefault="002D3BB6" w:rsidP="00024D8E">
      <w:pPr>
        <w:spacing w:after="240"/>
      </w:pPr>
      <w:r>
        <w:t>T</w:t>
      </w:r>
      <w:r w:rsidR="00C15EDB" w:rsidRPr="006A3A08">
        <w:t>he</w:t>
      </w:r>
      <w:r w:rsidR="00624FDA">
        <w:t xml:space="preserve"> Measurement</w:t>
      </w:r>
      <w:r w:rsidR="0089406B">
        <w:t xml:space="preserve"> Determination</w:t>
      </w:r>
      <w:r w:rsidR="00C15EDB">
        <w:rPr>
          <w:i/>
        </w:rPr>
        <w:t xml:space="preserve"> </w:t>
      </w:r>
      <w:r w:rsidR="00C15EDB" w:rsidRPr="006A3A08">
        <w:t xml:space="preserve">draws on existing estimation practices wherever possible, including </w:t>
      </w:r>
      <w:r w:rsidR="00995092">
        <w:t xml:space="preserve">through </w:t>
      </w:r>
      <w:r w:rsidR="00C15EDB" w:rsidRPr="006A3A08">
        <w:t>the use of data collected for commercial, taxation or other regulatory purposes, with the aim of maximising the use of readily validated data and minimising administrative burdens on reporters</w:t>
      </w:r>
      <w:bookmarkEnd w:id="2"/>
      <w:r w:rsidR="00C15EDB">
        <w:t>.</w:t>
      </w:r>
    </w:p>
    <w:p w14:paraId="4FD6BF86" w14:textId="785CDF5D" w:rsidR="00155854" w:rsidRPr="006D7C7D" w:rsidRDefault="006D7C7D" w:rsidP="006D7C7D">
      <w:pPr>
        <w:keepNext/>
        <w:spacing w:before="360"/>
        <w:rPr>
          <w:b/>
          <w:i/>
        </w:rPr>
      </w:pPr>
      <w:r>
        <w:rPr>
          <w:b/>
        </w:rPr>
        <w:t>Purpose and operation</w:t>
      </w:r>
      <w:r w:rsidR="00024D8E" w:rsidRPr="00024D8E">
        <w:rPr>
          <w:b/>
          <w:i/>
        </w:rPr>
        <w:t xml:space="preserve"> </w:t>
      </w:r>
    </w:p>
    <w:p w14:paraId="1CE52B72" w14:textId="6DB42C1F" w:rsidR="006D7C7D" w:rsidRPr="006E1C30" w:rsidRDefault="006D7C7D" w:rsidP="006D7C7D">
      <w:pPr>
        <w:spacing w:before="0" w:after="240"/>
        <w:rPr>
          <w:szCs w:val="24"/>
        </w:rPr>
      </w:pPr>
      <w:r w:rsidRPr="00644138">
        <w:t xml:space="preserve">The purpose of the </w:t>
      </w:r>
      <w:r w:rsidRPr="00B27C6F">
        <w:rPr>
          <w:i/>
        </w:rPr>
        <w:t xml:space="preserve">National Greenhouse and Energy Reporting (Measurement) Amendment </w:t>
      </w:r>
      <w:r w:rsidR="0039006D">
        <w:rPr>
          <w:i/>
        </w:rPr>
        <w:t>(2022 Update) Determination 2022</w:t>
      </w:r>
      <w:r w:rsidR="00A7166A" w:rsidRPr="00644138">
        <w:rPr>
          <w:i/>
        </w:rPr>
        <w:t xml:space="preserve"> </w:t>
      </w:r>
      <w:r w:rsidR="00A7166A" w:rsidRPr="00B27C6F">
        <w:t>(</w:t>
      </w:r>
      <w:r w:rsidR="00A7166A" w:rsidRPr="00332AA3">
        <w:t xml:space="preserve">the </w:t>
      </w:r>
      <w:r w:rsidR="00E12028" w:rsidRPr="00332AA3">
        <w:t xml:space="preserve">Update </w:t>
      </w:r>
      <w:r w:rsidR="00624FDA" w:rsidRPr="00332AA3">
        <w:t>Determination</w:t>
      </w:r>
      <w:r w:rsidR="00A7166A" w:rsidRPr="00B27C6F">
        <w:t>)</w:t>
      </w:r>
      <w:r w:rsidRPr="00644138">
        <w:t xml:space="preserve"> is to</w:t>
      </w:r>
      <w:r w:rsidRPr="00644138">
        <w:rPr>
          <w:szCs w:val="24"/>
        </w:rPr>
        <w:t>:</w:t>
      </w:r>
    </w:p>
    <w:p w14:paraId="4C5AD918" w14:textId="77777777" w:rsidR="0039006D" w:rsidRPr="0039006D" w:rsidRDefault="0039006D" w:rsidP="00FE1B42">
      <w:pPr>
        <w:pStyle w:val="ListNumber2"/>
        <w:numPr>
          <w:ilvl w:val="0"/>
          <w:numId w:val="25"/>
        </w:numPr>
        <w:spacing w:after="120"/>
        <w:ind w:hanging="357"/>
        <w:rPr>
          <w:rFonts w:ascii="Times New Roman" w:eastAsia="Times New Roman" w:hAnsi="Times New Roman"/>
          <w:sz w:val="24"/>
          <w:szCs w:val="24"/>
        </w:rPr>
      </w:pPr>
      <w:r w:rsidRPr="0039006D">
        <w:rPr>
          <w:rFonts w:ascii="Times New Roman" w:eastAsia="Times New Roman" w:hAnsi="Times New Roman"/>
          <w:sz w:val="24"/>
          <w:szCs w:val="24"/>
        </w:rPr>
        <w:t xml:space="preserve">Allow company reports to better reflect emissions reductions from the consumption of natural gas with a blended </w:t>
      </w:r>
      <w:proofErr w:type="spellStart"/>
      <w:r w:rsidRPr="0039006D">
        <w:rPr>
          <w:rFonts w:ascii="Times New Roman" w:eastAsia="Times New Roman" w:hAnsi="Times New Roman"/>
          <w:sz w:val="24"/>
          <w:szCs w:val="24"/>
        </w:rPr>
        <w:t>biomethane</w:t>
      </w:r>
      <w:proofErr w:type="spellEnd"/>
      <w:r w:rsidRPr="0039006D">
        <w:rPr>
          <w:rFonts w:ascii="Times New Roman" w:eastAsia="Times New Roman" w:hAnsi="Times New Roman"/>
          <w:sz w:val="24"/>
          <w:szCs w:val="24"/>
        </w:rPr>
        <w:t xml:space="preserve"> component, and from the use of end-of-life tyres as fuel;</w:t>
      </w:r>
    </w:p>
    <w:p w14:paraId="54475BF0" w14:textId="77777777" w:rsidR="0039006D" w:rsidRPr="0039006D" w:rsidRDefault="0039006D" w:rsidP="00FE1B42">
      <w:pPr>
        <w:pStyle w:val="ListNumber2"/>
        <w:numPr>
          <w:ilvl w:val="0"/>
          <w:numId w:val="25"/>
        </w:numPr>
        <w:spacing w:after="120"/>
        <w:ind w:hanging="357"/>
        <w:rPr>
          <w:rFonts w:ascii="Times New Roman" w:eastAsia="Times New Roman" w:hAnsi="Times New Roman"/>
          <w:sz w:val="24"/>
          <w:szCs w:val="24"/>
        </w:rPr>
      </w:pPr>
      <w:r w:rsidRPr="0039006D">
        <w:rPr>
          <w:rFonts w:ascii="Times New Roman" w:eastAsia="Times New Roman" w:hAnsi="Times New Roman"/>
          <w:sz w:val="24"/>
          <w:szCs w:val="24"/>
        </w:rPr>
        <w:t>Make other minor updates to provisions for reporting emissions from:</w:t>
      </w:r>
    </w:p>
    <w:p w14:paraId="509EE772" w14:textId="77777777" w:rsidR="0039006D" w:rsidRPr="0039006D" w:rsidRDefault="0039006D" w:rsidP="00FE1B42">
      <w:pPr>
        <w:pStyle w:val="ListNumber2"/>
        <w:numPr>
          <w:ilvl w:val="1"/>
          <w:numId w:val="25"/>
        </w:numPr>
        <w:spacing w:after="120"/>
        <w:ind w:hanging="357"/>
        <w:rPr>
          <w:rFonts w:ascii="Times New Roman" w:eastAsia="Times New Roman" w:hAnsi="Times New Roman"/>
          <w:sz w:val="24"/>
          <w:szCs w:val="24"/>
        </w:rPr>
      </w:pPr>
      <w:r w:rsidRPr="0039006D">
        <w:rPr>
          <w:rFonts w:ascii="Times New Roman" w:eastAsia="Times New Roman" w:hAnsi="Times New Roman"/>
          <w:sz w:val="24"/>
          <w:szCs w:val="24"/>
        </w:rPr>
        <w:t>leakages in natural gas distribution networks;</w:t>
      </w:r>
    </w:p>
    <w:p w14:paraId="7B21D169" w14:textId="772023A6" w:rsidR="0039006D" w:rsidRPr="0039006D" w:rsidRDefault="0039006D" w:rsidP="00FE1B42">
      <w:pPr>
        <w:pStyle w:val="ListNumber2"/>
        <w:numPr>
          <w:ilvl w:val="1"/>
          <w:numId w:val="25"/>
        </w:numPr>
        <w:spacing w:after="120"/>
        <w:ind w:hanging="357"/>
        <w:rPr>
          <w:rFonts w:ascii="Times New Roman" w:eastAsia="Times New Roman" w:hAnsi="Times New Roman"/>
          <w:sz w:val="24"/>
          <w:szCs w:val="24"/>
        </w:rPr>
      </w:pPr>
      <w:r w:rsidRPr="0039006D">
        <w:rPr>
          <w:rFonts w:ascii="Times New Roman" w:eastAsia="Times New Roman" w:hAnsi="Times New Roman"/>
          <w:sz w:val="24"/>
          <w:szCs w:val="24"/>
        </w:rPr>
        <w:t>losses of HFCs and SF6; and</w:t>
      </w:r>
    </w:p>
    <w:p w14:paraId="7145CE83" w14:textId="15E2DAF3" w:rsidR="008C6BB7" w:rsidRDefault="0039006D" w:rsidP="00FE1B42">
      <w:pPr>
        <w:pStyle w:val="ListNumber2"/>
        <w:numPr>
          <w:ilvl w:val="1"/>
          <w:numId w:val="25"/>
        </w:numPr>
        <w:spacing w:after="120"/>
        <w:ind w:hanging="357"/>
        <w:rPr>
          <w:rFonts w:ascii="Times New Roman" w:eastAsia="Times New Roman" w:hAnsi="Times New Roman"/>
          <w:sz w:val="24"/>
          <w:szCs w:val="24"/>
        </w:rPr>
      </w:pPr>
      <w:r w:rsidRPr="0039006D">
        <w:rPr>
          <w:rFonts w:ascii="Times New Roman" w:eastAsia="Times New Roman" w:hAnsi="Times New Roman"/>
          <w:sz w:val="24"/>
          <w:szCs w:val="24"/>
        </w:rPr>
        <w:lastRenderedPageBreak/>
        <w:t>decomm</w:t>
      </w:r>
      <w:r w:rsidR="00E327D7">
        <w:rPr>
          <w:rFonts w:ascii="Times New Roman" w:eastAsia="Times New Roman" w:hAnsi="Times New Roman"/>
          <w:sz w:val="24"/>
          <w:szCs w:val="24"/>
        </w:rPr>
        <w:t>issioned underground coal mines; and</w:t>
      </w:r>
    </w:p>
    <w:p w14:paraId="3E87015A" w14:textId="3AF64AF5" w:rsidR="00E327D7" w:rsidRPr="00332AA3" w:rsidRDefault="00E327D7" w:rsidP="00E327D7">
      <w:pPr>
        <w:pStyle w:val="ListNumber2"/>
        <w:numPr>
          <w:ilvl w:val="0"/>
          <w:numId w:val="25"/>
        </w:numPr>
        <w:spacing w:after="120"/>
        <w:rPr>
          <w:rFonts w:ascii="Times New Roman" w:eastAsia="Times New Roman" w:hAnsi="Times New Roman"/>
          <w:sz w:val="24"/>
          <w:szCs w:val="24"/>
        </w:rPr>
      </w:pPr>
      <w:r>
        <w:rPr>
          <w:rFonts w:ascii="Times New Roman" w:eastAsia="Times New Roman" w:hAnsi="Times New Roman"/>
          <w:sz w:val="24"/>
          <w:szCs w:val="24"/>
        </w:rPr>
        <w:t xml:space="preserve">Update </w:t>
      </w:r>
      <w:r w:rsidRPr="0039006D">
        <w:rPr>
          <w:rFonts w:ascii="Times New Roman" w:eastAsia="Times New Roman" w:hAnsi="Times New Roman"/>
          <w:sz w:val="24"/>
          <w:szCs w:val="24"/>
        </w:rPr>
        <w:t>electricity-use (‘Scope 2’) emission factors</w:t>
      </w:r>
      <w:r>
        <w:rPr>
          <w:rFonts w:ascii="Times New Roman" w:eastAsia="Times New Roman" w:hAnsi="Times New Roman"/>
          <w:sz w:val="24"/>
          <w:szCs w:val="24"/>
        </w:rPr>
        <w:t>, implementing a revised calculation methodology to reflect</w:t>
      </w:r>
      <w:r w:rsidRPr="0039006D">
        <w:rPr>
          <w:rFonts w:ascii="Times New Roman" w:eastAsia="Times New Roman" w:hAnsi="Times New Roman"/>
          <w:sz w:val="24"/>
          <w:szCs w:val="24"/>
        </w:rPr>
        <w:t xml:space="preserve"> recent deployment of renewable generation sources</w:t>
      </w:r>
      <w:r>
        <w:rPr>
          <w:rFonts w:ascii="Times New Roman" w:eastAsia="Times New Roman" w:hAnsi="Times New Roman"/>
          <w:sz w:val="24"/>
          <w:szCs w:val="24"/>
        </w:rPr>
        <w:t xml:space="preserve"> in a more timely way.</w:t>
      </w:r>
    </w:p>
    <w:p w14:paraId="4499354F" w14:textId="74976619" w:rsidR="006D7C7D" w:rsidRDefault="006D7C7D" w:rsidP="006D7C7D">
      <w:pPr>
        <w:spacing w:before="200" w:after="200"/>
      </w:pPr>
      <w:r w:rsidRPr="006D7C7D">
        <w:rPr>
          <w:szCs w:val="24"/>
        </w:rPr>
        <w:t xml:space="preserve">The </w:t>
      </w:r>
      <w:r w:rsidR="00E12028">
        <w:rPr>
          <w:szCs w:val="24"/>
        </w:rPr>
        <w:t xml:space="preserve">Update </w:t>
      </w:r>
      <w:r w:rsidR="006951E2">
        <w:rPr>
          <w:szCs w:val="24"/>
        </w:rPr>
        <w:t>Determination</w:t>
      </w:r>
      <w:r w:rsidR="006951E2" w:rsidRPr="006D7C7D">
        <w:rPr>
          <w:szCs w:val="24"/>
        </w:rPr>
        <w:t xml:space="preserve"> </w:t>
      </w:r>
      <w:r w:rsidRPr="006D7C7D">
        <w:rPr>
          <w:szCs w:val="24"/>
        </w:rPr>
        <w:t>will commence</w:t>
      </w:r>
      <w:r w:rsidR="00BF0617">
        <w:t xml:space="preserve"> on 1 July 202</w:t>
      </w:r>
      <w:r w:rsidR="0039006D">
        <w:t>2</w:t>
      </w:r>
      <w:r w:rsidR="00BF0617">
        <w:t xml:space="preserve"> and app</w:t>
      </w:r>
      <w:r w:rsidR="0039006D">
        <w:t>ly to the 2022-23</w:t>
      </w:r>
      <w:r w:rsidR="00E04E46">
        <w:t xml:space="preserve"> and subsequent</w:t>
      </w:r>
      <w:r>
        <w:t xml:space="preserve"> financial year</w:t>
      </w:r>
      <w:r w:rsidR="00E04E46">
        <w:t>s</w:t>
      </w:r>
      <w:r>
        <w:t>. It</w:t>
      </w:r>
      <w:r w:rsidRPr="006A3A08">
        <w:t xml:space="preserve"> will affect </w:t>
      </w:r>
      <w:r w:rsidR="00EA3DA9">
        <w:t>NGER</w:t>
      </w:r>
      <w:r w:rsidR="00486954">
        <w:t xml:space="preserve"> Scheme</w:t>
      </w:r>
      <w:r w:rsidRPr="006A3A08">
        <w:t xml:space="preserve"> reports </w:t>
      </w:r>
      <w:r w:rsidR="004F63BB">
        <w:t xml:space="preserve">to be </w:t>
      </w:r>
      <w:r w:rsidRPr="006A3A08">
        <w:t>submitte</w:t>
      </w:r>
      <w:r>
        <w:t xml:space="preserve">d by corporations </w:t>
      </w:r>
      <w:r w:rsidR="004F63BB">
        <w:t>by 31</w:t>
      </w:r>
      <w:r w:rsidR="00D15BD6">
        <w:t> </w:t>
      </w:r>
      <w:r w:rsidR="0039006D">
        <w:t>October 2023</w:t>
      </w:r>
      <w:r>
        <w:t xml:space="preserve">. </w:t>
      </w:r>
      <w:r w:rsidR="000B2AE3">
        <w:t xml:space="preserve">For ease of implementation, the amendments for decommissioned underground coal mines and losses of HFCs and SF6 can also apply to the 2021-22 financial year, unless a reporter wishes to use the existing provisions. </w:t>
      </w:r>
      <w:r>
        <w:t xml:space="preserve">Details of the amendments contained in the </w:t>
      </w:r>
      <w:r w:rsidRPr="002520AA">
        <w:t>Instrument</w:t>
      </w:r>
      <w:r w:rsidRPr="006D7C7D">
        <w:rPr>
          <w:i/>
        </w:rPr>
        <w:t xml:space="preserve"> </w:t>
      </w:r>
      <w:r>
        <w:t>are provided below.</w:t>
      </w:r>
    </w:p>
    <w:p w14:paraId="66E6312F" w14:textId="4B4B4002" w:rsidR="00C15EDB" w:rsidRDefault="003A5D5E" w:rsidP="006817CD">
      <w:pPr>
        <w:spacing w:after="240"/>
      </w:pPr>
      <w:r>
        <w:t xml:space="preserve">Further details of the </w:t>
      </w:r>
      <w:r w:rsidR="00E12028">
        <w:t xml:space="preserve">Update </w:t>
      </w:r>
      <w:r w:rsidR="006951E2">
        <w:t>Determination</w:t>
      </w:r>
      <w:r w:rsidR="00EA4F69">
        <w:t xml:space="preserve"> </w:t>
      </w:r>
      <w:r>
        <w:t xml:space="preserve">are outlined in </w:t>
      </w:r>
      <w:r>
        <w:rPr>
          <w:u w:val="single"/>
        </w:rPr>
        <w:t>Attachment A</w:t>
      </w:r>
      <w:r>
        <w:t xml:space="preserve">. </w:t>
      </w:r>
    </w:p>
    <w:p w14:paraId="2CEB074B" w14:textId="726C28BE" w:rsidR="003C3DBF" w:rsidRPr="00366499" w:rsidRDefault="003C3DBF" w:rsidP="006817CD">
      <w:pPr>
        <w:spacing w:after="240"/>
        <w:rPr>
          <w:color w:val="000000" w:themeColor="text1"/>
        </w:rPr>
      </w:pPr>
      <w:r w:rsidRPr="006A3A08">
        <w:t>Th</w:t>
      </w:r>
      <w:r w:rsidR="00EA4F69">
        <w:t xml:space="preserve">e </w:t>
      </w:r>
      <w:r w:rsidR="00E12028">
        <w:t xml:space="preserve">Update </w:t>
      </w:r>
      <w:r w:rsidR="006951E2">
        <w:t>Determination</w:t>
      </w:r>
      <w:r>
        <w:t xml:space="preserve"> is a</w:t>
      </w:r>
      <w:r w:rsidRPr="006A3A08">
        <w:t xml:space="preserve"> legislative instrument for the purposes </w:t>
      </w:r>
      <w:r w:rsidRPr="00366499">
        <w:rPr>
          <w:color w:val="000000" w:themeColor="text1"/>
        </w:rPr>
        <w:t xml:space="preserve">of the </w:t>
      </w:r>
      <w:r w:rsidR="00FD6C51">
        <w:rPr>
          <w:i/>
          <w:color w:val="000000" w:themeColor="text1"/>
        </w:rPr>
        <w:t>Legislation</w:t>
      </w:r>
      <w:r w:rsidR="00FD6C51" w:rsidRPr="00366499">
        <w:rPr>
          <w:i/>
          <w:color w:val="000000" w:themeColor="text1"/>
        </w:rPr>
        <w:t xml:space="preserve"> </w:t>
      </w:r>
      <w:r w:rsidRPr="00366499">
        <w:rPr>
          <w:i/>
          <w:color w:val="000000" w:themeColor="text1"/>
        </w:rPr>
        <w:t>Act 2003</w:t>
      </w:r>
      <w:r w:rsidRPr="00366499">
        <w:rPr>
          <w:color w:val="000000" w:themeColor="text1"/>
        </w:rPr>
        <w:t>.</w:t>
      </w:r>
    </w:p>
    <w:p w14:paraId="435BA8D6" w14:textId="2146AB44" w:rsidR="003A5D5E" w:rsidRDefault="003A5D5E" w:rsidP="006817CD">
      <w:pPr>
        <w:spacing w:after="240"/>
      </w:pPr>
      <w:r w:rsidRPr="0038144C">
        <w:t xml:space="preserve">A statement of the </w:t>
      </w:r>
      <w:r w:rsidR="00E12028">
        <w:t xml:space="preserve">Update </w:t>
      </w:r>
      <w:r w:rsidR="006951E2">
        <w:t>Determination</w:t>
      </w:r>
      <w:r w:rsidR="006951E2" w:rsidRPr="0038144C">
        <w:t xml:space="preserve">’s </w:t>
      </w:r>
      <w:r w:rsidRPr="0038144C">
        <w:t xml:space="preserve">compatibility with human </w:t>
      </w:r>
      <w:r>
        <w:t xml:space="preserve">rights is set out in </w:t>
      </w:r>
      <w:r w:rsidRPr="0047361F">
        <w:rPr>
          <w:u w:val="single"/>
        </w:rPr>
        <w:t>Attachment</w:t>
      </w:r>
      <w:r w:rsidR="00C15EDB">
        <w:rPr>
          <w:u w:val="single"/>
        </w:rPr>
        <w:t xml:space="preserve"> B</w:t>
      </w:r>
      <w:r w:rsidRPr="0038144C">
        <w:t>.</w:t>
      </w:r>
    </w:p>
    <w:p w14:paraId="64910D80" w14:textId="77777777" w:rsidR="007E7318" w:rsidRPr="008F1C35" w:rsidRDefault="007E7318" w:rsidP="007E7318">
      <w:pPr>
        <w:spacing w:before="200" w:after="200"/>
        <w:rPr>
          <w:b/>
        </w:rPr>
      </w:pPr>
      <w:r w:rsidRPr="008F1C35">
        <w:rPr>
          <w:b/>
        </w:rPr>
        <w:t>Consultation</w:t>
      </w:r>
    </w:p>
    <w:p w14:paraId="0FDEFEB2" w14:textId="56F5A434" w:rsidR="006217B4" w:rsidRDefault="007E7318" w:rsidP="007E7318">
      <w:pPr>
        <w:tabs>
          <w:tab w:val="left" w:pos="1701"/>
          <w:tab w:val="right" w:pos="9072"/>
        </w:tabs>
        <w:spacing w:before="0" w:after="0"/>
        <w:ind w:right="91"/>
      </w:pPr>
      <w:r>
        <w:t>The substance of the amendments made by the</w:t>
      </w:r>
      <w:r w:rsidR="00EA4F69">
        <w:t xml:space="preserve"> </w:t>
      </w:r>
      <w:r w:rsidR="00E12028">
        <w:t xml:space="preserve">Update </w:t>
      </w:r>
      <w:r w:rsidR="006951E2">
        <w:t>Determination</w:t>
      </w:r>
      <w:r w:rsidR="00C63795">
        <w:t xml:space="preserve"> </w:t>
      </w:r>
      <w:r>
        <w:t xml:space="preserve">was released for </w:t>
      </w:r>
      <w:hyperlink r:id="rId12" w:history="1">
        <w:r w:rsidRPr="00D965C8">
          <w:rPr>
            <w:rStyle w:val="Hyperlink"/>
          </w:rPr>
          <w:t>public consultation</w:t>
        </w:r>
      </w:hyperlink>
      <w:r>
        <w:t xml:space="preserve"> from </w:t>
      </w:r>
      <w:r w:rsidR="006217B4">
        <w:t>4</w:t>
      </w:r>
      <w:r>
        <w:t xml:space="preserve"> </w:t>
      </w:r>
      <w:r w:rsidR="0039006D">
        <w:t xml:space="preserve">April </w:t>
      </w:r>
      <w:r>
        <w:t xml:space="preserve">to </w:t>
      </w:r>
      <w:r w:rsidR="0039006D">
        <w:t>29</w:t>
      </w:r>
      <w:r w:rsidR="006217B4">
        <w:t xml:space="preserve"> </w:t>
      </w:r>
      <w:r w:rsidR="0039006D">
        <w:t>April 2022</w:t>
      </w:r>
      <w:r>
        <w:t>.</w:t>
      </w:r>
      <w:r w:rsidR="00EA4F69">
        <w:t xml:space="preserve"> </w:t>
      </w:r>
      <w:r w:rsidR="00FE7FFC">
        <w:t>2</w:t>
      </w:r>
      <w:r w:rsidR="004F67C1">
        <w:t>7</w:t>
      </w:r>
      <w:r w:rsidR="00FE7FFC">
        <w:t xml:space="preserve"> submissions were </w:t>
      </w:r>
      <w:r w:rsidR="004F67C1">
        <w:t xml:space="preserve">received, expressing broad support for the amendments. </w:t>
      </w:r>
      <w:r w:rsidR="001C28A7">
        <w:t>In response to one submission, i</w:t>
      </w:r>
      <w:r w:rsidR="004F67C1">
        <w:t xml:space="preserve">tems 2 to 5 of the Update Determination </w:t>
      </w:r>
      <w:r w:rsidR="001F5C8A">
        <w:t>c</w:t>
      </w:r>
      <w:r w:rsidR="001C28A7">
        <w:t xml:space="preserve">larify that </w:t>
      </w:r>
      <w:r w:rsidR="004F67C1">
        <w:t xml:space="preserve">the </w:t>
      </w:r>
      <w:r w:rsidR="001C28A7">
        <w:t xml:space="preserve">zero carbon dioxide </w:t>
      </w:r>
      <w:r w:rsidR="004F67C1">
        <w:t xml:space="preserve">emission factor </w:t>
      </w:r>
      <w:r w:rsidR="001C28A7">
        <w:t xml:space="preserve">for </w:t>
      </w:r>
      <w:proofErr w:type="spellStart"/>
      <w:r w:rsidR="001C28A7">
        <w:t>biomethane</w:t>
      </w:r>
      <w:proofErr w:type="spellEnd"/>
      <w:r w:rsidR="001C28A7">
        <w:t xml:space="preserve"> applies </w:t>
      </w:r>
      <w:r w:rsidR="004F67C1">
        <w:t xml:space="preserve">under Method 2 for </w:t>
      </w:r>
      <w:r w:rsidR="001C28A7">
        <w:t xml:space="preserve">combustion of </w:t>
      </w:r>
      <w:r w:rsidR="004F67C1">
        <w:t xml:space="preserve">gaseous fuels. </w:t>
      </w:r>
      <w:r w:rsidR="004223D1">
        <w:t>Following consultation, m</w:t>
      </w:r>
      <w:r w:rsidR="004F67C1">
        <w:t xml:space="preserve">easurement requirements for blended gaseous fuels under the new section 2.67A inserted by item 15 of the Update Determination were modified so that sampling according to a prescribed standard </w:t>
      </w:r>
      <w:r w:rsidR="001F5C8A">
        <w:t xml:space="preserve">is required as an </w:t>
      </w:r>
      <w:r w:rsidR="004F67C1">
        <w:t>alternative to reliance on product specifications from the producer of the fuel or operator of the pipeline through which it is supplied.</w:t>
      </w:r>
    </w:p>
    <w:p w14:paraId="767D175E" w14:textId="77777777" w:rsidR="007E7318" w:rsidRPr="00C74148" w:rsidRDefault="007E7318" w:rsidP="007E7318">
      <w:pPr>
        <w:tabs>
          <w:tab w:val="left" w:pos="1701"/>
          <w:tab w:val="right" w:pos="9072"/>
        </w:tabs>
        <w:spacing w:before="200" w:after="200"/>
        <w:ind w:right="91"/>
        <w:rPr>
          <w:b/>
        </w:rPr>
      </w:pPr>
      <w:r w:rsidRPr="00C74148">
        <w:rPr>
          <w:b/>
        </w:rPr>
        <w:t>Regulatory Impact</w:t>
      </w:r>
    </w:p>
    <w:p w14:paraId="32ED8697" w14:textId="6C3F006F" w:rsidR="007E7318" w:rsidRDefault="007E7318" w:rsidP="007E7318">
      <w:pPr>
        <w:spacing w:after="240"/>
        <w:rPr>
          <w:lang w:val="en-GB"/>
        </w:rPr>
      </w:pPr>
      <w:r>
        <w:rPr>
          <w:lang w:val="en-GB"/>
        </w:rPr>
        <w:t xml:space="preserve">The regulatory impacts of </w:t>
      </w:r>
      <w:r w:rsidR="00D70E2B">
        <w:rPr>
          <w:lang w:val="en-GB"/>
        </w:rPr>
        <w:t>the Update Determination</w:t>
      </w:r>
      <w:r>
        <w:rPr>
          <w:lang w:val="en-GB"/>
        </w:rPr>
        <w:t xml:space="preserve"> have been assessed as not requiring a Regulation Impact Statement by the Office o</w:t>
      </w:r>
      <w:r w:rsidR="0039006D">
        <w:rPr>
          <w:lang w:val="en-GB"/>
        </w:rPr>
        <w:t>f Best Practice Regulation</w:t>
      </w:r>
      <w:r w:rsidR="00D15BD6">
        <w:rPr>
          <w:lang w:val="en-GB"/>
        </w:rPr>
        <w:t xml:space="preserve"> (OBPR)</w:t>
      </w:r>
      <w:r w:rsidR="0039006D">
        <w:rPr>
          <w:lang w:val="en-GB"/>
        </w:rPr>
        <w:t xml:space="preserve"> (ref'OBPR22-02245</w:t>
      </w:r>
      <w:r>
        <w:rPr>
          <w:lang w:val="en-GB"/>
        </w:rPr>
        <w:t>).</w:t>
      </w:r>
    </w:p>
    <w:p w14:paraId="1A8E4BAF" w14:textId="77777777" w:rsidR="006217B4" w:rsidRDefault="006217B4" w:rsidP="007E7318">
      <w:pPr>
        <w:spacing w:after="240"/>
        <w:rPr>
          <w:lang w:val="en-GB"/>
        </w:rPr>
      </w:pPr>
    </w:p>
    <w:p w14:paraId="37908F57" w14:textId="77777777" w:rsidR="003F47E4" w:rsidRDefault="003F47E4">
      <w:pPr>
        <w:spacing w:before="0" w:after="0"/>
      </w:pPr>
      <w:r>
        <w:br w:type="page"/>
      </w:r>
    </w:p>
    <w:p w14:paraId="38BD8EB4" w14:textId="5B1C4201" w:rsidR="003F47E4" w:rsidRPr="003F47E4" w:rsidRDefault="00107EFF" w:rsidP="00FE1B42">
      <w:pPr>
        <w:spacing w:before="0" w:after="0"/>
        <w:rPr>
          <w:b/>
        </w:rPr>
      </w:pPr>
      <w:r>
        <w:rPr>
          <w:b/>
        </w:rPr>
        <w:lastRenderedPageBreak/>
        <w:t>Overview</w:t>
      </w:r>
    </w:p>
    <w:p w14:paraId="505F0711" w14:textId="77777777" w:rsidR="003F47E4" w:rsidRDefault="003F47E4" w:rsidP="00FE1B42">
      <w:pPr>
        <w:spacing w:before="0" w:after="0"/>
      </w:pPr>
    </w:p>
    <w:p w14:paraId="03360C16" w14:textId="43C4FDBD" w:rsidR="003F47E4" w:rsidRPr="003F47E4" w:rsidRDefault="003F47E4" w:rsidP="003F47E4">
      <w:pPr>
        <w:spacing w:before="0" w:after="0"/>
        <w:rPr>
          <w:u w:val="single"/>
        </w:rPr>
      </w:pPr>
      <w:bookmarkStart w:id="3" w:name="_Toc98429575"/>
      <w:bookmarkStart w:id="4" w:name="_Toc98501069"/>
      <w:bookmarkStart w:id="5" w:name="_Toc99717309"/>
      <w:r w:rsidRPr="003F47E4">
        <w:rPr>
          <w:u w:val="single"/>
        </w:rPr>
        <w:t>Biomethane</w:t>
      </w:r>
      <w:bookmarkEnd w:id="3"/>
      <w:bookmarkEnd w:id="4"/>
      <w:bookmarkEnd w:id="5"/>
    </w:p>
    <w:p w14:paraId="49F8D8E9" w14:textId="77777777" w:rsidR="003F47E4" w:rsidRDefault="003F47E4" w:rsidP="003F47E4">
      <w:pPr>
        <w:spacing w:before="0" w:after="0"/>
      </w:pPr>
    </w:p>
    <w:p w14:paraId="4B7A60B6" w14:textId="77777777" w:rsidR="003F47E4" w:rsidRDefault="003F47E4" w:rsidP="003F47E4">
      <w:pPr>
        <w:spacing w:before="0" w:after="0"/>
      </w:pPr>
      <w:r>
        <w:t>Part 2.6 of the Measurement Determination currently allows NGER reporters to report consumption of solid (section 2.66) and liquid (section 2.77) fuels comprising blended quantities of the fuel types listed in Measurement Determination Schedule 1 by using fuel sampling results undertaken according to prescribed standards.</w:t>
      </w:r>
    </w:p>
    <w:p w14:paraId="7140A2DD" w14:textId="77777777" w:rsidR="003F47E4" w:rsidRDefault="003F47E4" w:rsidP="003F47E4">
      <w:pPr>
        <w:spacing w:before="0" w:after="0"/>
      </w:pPr>
    </w:p>
    <w:p w14:paraId="30DD1337" w14:textId="7C76379A" w:rsidR="003F47E4" w:rsidRDefault="00FA5BC0" w:rsidP="003F47E4">
      <w:pPr>
        <w:spacing w:before="0" w:after="0"/>
      </w:pPr>
      <w:r>
        <w:t xml:space="preserve">The Update Determination </w:t>
      </w:r>
      <w:r w:rsidR="003F47E4">
        <w:t>create</w:t>
      </w:r>
      <w:r>
        <w:t>s</w:t>
      </w:r>
      <w:r w:rsidR="003F47E4">
        <w:t xml:space="preserve"> a new NGER Scheme fuel type </w:t>
      </w:r>
      <w:proofErr w:type="spellStart"/>
      <w:r w:rsidR="003F47E4" w:rsidRPr="00EE172C">
        <w:rPr>
          <w:i/>
        </w:rPr>
        <w:t>biomethane</w:t>
      </w:r>
      <w:proofErr w:type="spellEnd"/>
      <w:r w:rsidR="003F47E4">
        <w:t xml:space="preserve">, defined consistently with the </w:t>
      </w:r>
      <w:hyperlink r:id="rId13" w:history="1">
        <w:r w:rsidR="003F47E4" w:rsidRPr="003F47E4">
          <w:t xml:space="preserve">2022 </w:t>
        </w:r>
        <w:proofErr w:type="spellStart"/>
        <w:r w:rsidR="003F47E4" w:rsidRPr="003F47E4">
          <w:t>biomethane</w:t>
        </w:r>
        <w:proofErr w:type="spellEnd"/>
        <w:r w:rsidR="003F47E4" w:rsidRPr="003F47E4">
          <w:t xml:space="preserve"> </w:t>
        </w:r>
        <w:r>
          <w:t xml:space="preserve">variations to </w:t>
        </w:r>
        <w:r w:rsidR="003F47E4" w:rsidRPr="003F47E4">
          <w:t>Emissions Reduction Fund</w:t>
        </w:r>
      </w:hyperlink>
      <w:r w:rsidR="003F47E4">
        <w:t xml:space="preserve"> </w:t>
      </w:r>
      <w:r>
        <w:t>method</w:t>
      </w:r>
      <w:r w:rsidR="004F3D3D">
        <w:t>ology</w:t>
      </w:r>
      <w:r>
        <w:t xml:space="preserve"> determinations made under the </w:t>
      </w:r>
      <w:r>
        <w:rPr>
          <w:i/>
          <w:iCs/>
          <w:color w:val="000000"/>
          <w:shd w:val="clear" w:color="auto" w:fill="FFFFFF"/>
        </w:rPr>
        <w:t>Carbon Credits (Carbon Farming Initiative) Act 2011</w:t>
      </w:r>
      <w:r>
        <w:t xml:space="preserve"> </w:t>
      </w:r>
      <w:r w:rsidR="003F47E4">
        <w:t xml:space="preserve">as high-methane content gas upgraded from biogas and suitable for use as a natural gas substitute. Biomethane has nearly identical technical parameters as natural gas, however is assigned a zero carbon dioxide emission factor. This approach is consistent with other biogenic fuel types, and reflects the fact that their combustion releases carbon which was absorbed by their biogenic source materials from the atmosphere during their life. </w:t>
      </w:r>
    </w:p>
    <w:p w14:paraId="2788D478" w14:textId="77777777" w:rsidR="003F47E4" w:rsidRDefault="003F47E4" w:rsidP="003F47E4">
      <w:pPr>
        <w:spacing w:before="0" w:after="0"/>
      </w:pPr>
    </w:p>
    <w:p w14:paraId="2C370172" w14:textId="449BF294" w:rsidR="003F47E4" w:rsidRDefault="003F47E4" w:rsidP="003F47E4">
      <w:pPr>
        <w:spacing w:before="0" w:after="0"/>
      </w:pPr>
      <w:r>
        <w:t xml:space="preserve">The </w:t>
      </w:r>
      <w:r w:rsidR="00FA5BC0">
        <w:t xml:space="preserve">Update Determination </w:t>
      </w:r>
      <w:r>
        <w:t>also extend</w:t>
      </w:r>
      <w:r w:rsidR="00FA5BC0">
        <w:t>s</w:t>
      </w:r>
      <w:r>
        <w:t xml:space="preserve"> Part 2.6 of the Measurement Determination to allow reporting of consumption of blended gaseous fuels. Together with the new </w:t>
      </w:r>
      <w:proofErr w:type="spellStart"/>
      <w:r>
        <w:t>biomethane</w:t>
      </w:r>
      <w:proofErr w:type="spellEnd"/>
      <w:r>
        <w:t xml:space="preserve"> fuel type, this will allow reporting of consumption of blended natural gas and </w:t>
      </w:r>
      <w:proofErr w:type="spellStart"/>
      <w:r>
        <w:t>biomethane</w:t>
      </w:r>
      <w:proofErr w:type="spellEnd"/>
      <w:r>
        <w:t>, and for NGER reports to reflect associated reductions in emissions.</w:t>
      </w:r>
    </w:p>
    <w:p w14:paraId="30CC0A1B" w14:textId="77777777" w:rsidR="003F47E4" w:rsidRDefault="003F47E4" w:rsidP="003F47E4">
      <w:pPr>
        <w:spacing w:before="0" w:after="0"/>
      </w:pPr>
      <w:bookmarkStart w:id="6" w:name="_Toc98429576"/>
      <w:bookmarkStart w:id="7" w:name="_Toc98501070"/>
      <w:bookmarkStart w:id="8" w:name="_Toc99717310"/>
    </w:p>
    <w:p w14:paraId="553F2B6F" w14:textId="2CB5B11A" w:rsidR="003F47E4" w:rsidRPr="003F47E4" w:rsidRDefault="003F47E4" w:rsidP="003F47E4">
      <w:pPr>
        <w:spacing w:before="0" w:after="0"/>
        <w:rPr>
          <w:u w:val="single"/>
        </w:rPr>
      </w:pPr>
      <w:r w:rsidRPr="003F47E4">
        <w:rPr>
          <w:u w:val="single"/>
        </w:rPr>
        <w:t>Waste tyr</w:t>
      </w:r>
      <w:bookmarkEnd w:id="6"/>
      <w:bookmarkEnd w:id="7"/>
      <w:bookmarkEnd w:id="8"/>
      <w:r>
        <w:rPr>
          <w:u w:val="single"/>
        </w:rPr>
        <w:t>es</w:t>
      </w:r>
    </w:p>
    <w:p w14:paraId="1EAC69FA" w14:textId="77777777" w:rsidR="003F47E4" w:rsidRDefault="003F47E4" w:rsidP="003F47E4">
      <w:pPr>
        <w:spacing w:before="0" w:after="0"/>
      </w:pPr>
    </w:p>
    <w:p w14:paraId="737223ED" w14:textId="5B8F5BAE" w:rsidR="003F47E4" w:rsidRDefault="001F5C8A" w:rsidP="003F47E4">
      <w:pPr>
        <w:spacing w:before="0" w:after="0"/>
      </w:pPr>
      <w:r>
        <w:t>Formerly</w:t>
      </w:r>
      <w:r w:rsidR="003F47E4">
        <w:t xml:space="preserve">, emissions from the combustion of tyres as a fuel at end-of-life </w:t>
      </w:r>
      <w:r>
        <w:t xml:space="preserve">were </w:t>
      </w:r>
      <w:r w:rsidR="003F47E4">
        <w:t xml:space="preserve">reportable using the fuel type </w:t>
      </w:r>
      <w:r w:rsidR="003F47E4" w:rsidRPr="00FA5BC0">
        <w:rPr>
          <w:i/>
        </w:rPr>
        <w:t>Industrial materials and tyres that are derived from fossil fuels, if recycled and combusted to produce heat or electricity</w:t>
      </w:r>
      <w:r w:rsidR="003F47E4">
        <w:t xml:space="preserve"> (Measurement</w:t>
      </w:r>
      <w:r w:rsidR="00D15BD6">
        <w:t> </w:t>
      </w:r>
      <w:r w:rsidR="003F47E4">
        <w:t>Determination Schedule 1, item 8).</w:t>
      </w:r>
    </w:p>
    <w:p w14:paraId="68B40A79" w14:textId="77777777" w:rsidR="003F47E4" w:rsidRDefault="003F47E4" w:rsidP="003F47E4">
      <w:pPr>
        <w:spacing w:before="0" w:after="0"/>
      </w:pPr>
    </w:p>
    <w:p w14:paraId="7CD93CCC" w14:textId="39226A46" w:rsidR="003F47E4" w:rsidRDefault="00FA5BC0" w:rsidP="003F47E4">
      <w:pPr>
        <w:spacing w:before="0" w:after="0"/>
      </w:pPr>
      <w:r>
        <w:t>The Update Determination creates t</w:t>
      </w:r>
      <w:r w:rsidR="003F47E4">
        <w:t xml:space="preserve">wo new stand-alone fuel types in order to more accurately reflect emissions from the combustion of tyres in light of their biomass content: </w:t>
      </w:r>
      <w:r w:rsidR="003F47E4" w:rsidRPr="00BD0919">
        <w:rPr>
          <w:i/>
        </w:rPr>
        <w:t>Passenger car tyres, if recycled or combusted to produce heat or electricity</w:t>
      </w:r>
      <w:r w:rsidR="003F47E4">
        <w:t xml:space="preserve"> and </w:t>
      </w:r>
      <w:r w:rsidR="003F47E4" w:rsidRPr="00BD0919">
        <w:rPr>
          <w:i/>
        </w:rPr>
        <w:t>Truck and off-road tyres, if recycled or combusted to produce heat or electricity</w:t>
      </w:r>
      <w:r w:rsidR="003F47E4">
        <w:t xml:space="preserve">. </w:t>
      </w:r>
    </w:p>
    <w:p w14:paraId="5157F2BC" w14:textId="1EB8FD48" w:rsidR="003F47E4" w:rsidRDefault="003F47E4" w:rsidP="003F47E4">
      <w:r>
        <w:t xml:space="preserve">The proposed </w:t>
      </w:r>
      <w:r w:rsidR="00B56D89">
        <w:t>carbon dioxide (CO</w:t>
      </w:r>
      <w:r w:rsidR="00B56D89" w:rsidRPr="00B56D89">
        <w:rPr>
          <w:vertAlign w:val="subscript"/>
        </w:rPr>
        <w:t>2</w:t>
      </w:r>
      <w:r w:rsidR="00B56D89">
        <w:t xml:space="preserve">) </w:t>
      </w:r>
      <w:r>
        <w:t>emission factors for these new fuel types are based on the following calculation:</w:t>
      </w:r>
    </w:p>
    <w:p w14:paraId="3607EA4B" w14:textId="304B3B3F" w:rsidR="003F47E4" w:rsidRDefault="00125688" w:rsidP="00FA5BC0">
      <w:pPr>
        <w:ind w:left="709"/>
        <w:rPr>
          <w:b/>
          <w:bCs/>
        </w:rPr>
      </w:pPr>
      <w:r>
        <w:rPr>
          <w:b/>
          <w:bCs/>
        </w:rPr>
        <w:t xml:space="preserve">Former </w:t>
      </w:r>
      <w:r w:rsidR="006C2644">
        <w:rPr>
          <w:b/>
          <w:bCs/>
        </w:rPr>
        <w:t>CO</w:t>
      </w:r>
      <w:r w:rsidR="006C2644" w:rsidRPr="006C2644">
        <w:rPr>
          <w:b/>
          <w:bCs/>
          <w:vertAlign w:val="subscript"/>
        </w:rPr>
        <w:t>2</w:t>
      </w:r>
      <w:r w:rsidR="006C2644">
        <w:rPr>
          <w:b/>
          <w:bCs/>
        </w:rPr>
        <w:t xml:space="preserve"> </w:t>
      </w:r>
      <w:r w:rsidR="003F47E4">
        <w:rPr>
          <w:b/>
          <w:bCs/>
        </w:rPr>
        <w:t>emission factor (</w:t>
      </w:r>
      <w:r w:rsidR="003F47E4">
        <w:rPr>
          <w:b/>
          <w:bCs/>
          <w:i/>
          <w:iCs/>
        </w:rPr>
        <w:t>industrial materials and tyres that are derived from fossil fuels, if recycled and combusted to produce heat or electricity</w:t>
      </w:r>
      <w:r w:rsidR="003F47E4">
        <w:rPr>
          <w:b/>
          <w:bCs/>
        </w:rPr>
        <w:t>) x (1-biomass content (%))</w:t>
      </w:r>
    </w:p>
    <w:p w14:paraId="297619EC" w14:textId="46A1002D" w:rsidR="003F47E4" w:rsidRDefault="003F47E4" w:rsidP="003F47E4">
      <w:r>
        <w:t xml:space="preserve">Biomass </w:t>
      </w:r>
      <w:r w:rsidR="006C2644">
        <w:t xml:space="preserve">and energy </w:t>
      </w:r>
      <w:r>
        <w:t xml:space="preserve">content factors applicable to these fuel types have been adopted from the submission </w:t>
      </w:r>
      <w:r w:rsidRPr="000258C4">
        <w:rPr>
          <w:i/>
        </w:rPr>
        <w:t>Australian National Greenhouse Accounts and End-Of-Life Tyre Combustion Emission Factor</w:t>
      </w:r>
      <w:r>
        <w:t xml:space="preserve"> </w:t>
      </w:r>
      <w:r w:rsidR="00FA5BC0">
        <w:t xml:space="preserve">(July 2021) </w:t>
      </w:r>
      <w:r>
        <w:t>prepared by Tyre Stewardship Australia</w:t>
      </w:r>
      <w:r w:rsidR="00836C25">
        <w:t xml:space="preserve">, available </w:t>
      </w:r>
      <w:r w:rsidR="009E4EF6">
        <w:t xml:space="preserve">as part of materials released for </w:t>
      </w:r>
      <w:hyperlink r:id="rId14" w:history="1">
        <w:r w:rsidR="009E4EF6" w:rsidRPr="009E4EF6">
          <w:rPr>
            <w:rStyle w:val="Hyperlink"/>
          </w:rPr>
          <w:t>public consultation</w:t>
        </w:r>
      </w:hyperlink>
      <w:r w:rsidR="009E4EF6">
        <w:t xml:space="preserve"> on these amendments</w:t>
      </w:r>
      <w:r>
        <w:t>.</w:t>
      </w:r>
    </w:p>
    <w:p w14:paraId="732D5CC6" w14:textId="12C10AE2" w:rsidR="00B56D89" w:rsidRDefault="00B56D89" w:rsidP="003F47E4">
      <w:r w:rsidRPr="006550D3">
        <w:lastRenderedPageBreak/>
        <w:t>Methane (CH</w:t>
      </w:r>
      <w:r w:rsidRPr="006550D3">
        <w:rPr>
          <w:vertAlign w:val="subscript"/>
        </w:rPr>
        <w:t>4</w:t>
      </w:r>
      <w:r w:rsidRPr="006550D3">
        <w:t>) and nitrous oxide (N</w:t>
      </w:r>
      <w:r w:rsidRPr="006550D3">
        <w:rPr>
          <w:vertAlign w:val="subscript"/>
        </w:rPr>
        <w:t>2</w:t>
      </w:r>
      <w:r w:rsidRPr="006550D3">
        <w:t xml:space="preserve">O) emission factors are as for the fuel type </w:t>
      </w:r>
      <w:r w:rsidRPr="006550D3">
        <w:rPr>
          <w:i/>
        </w:rPr>
        <w:t>Industrial materials and tyres that are derived from fossil fuels, if recycled and combusted to produce heat or electricity</w:t>
      </w:r>
      <w:r w:rsidRPr="006550D3">
        <w:t>.</w:t>
      </w:r>
    </w:p>
    <w:p w14:paraId="178DE020" w14:textId="14F04B11" w:rsidR="00B97380" w:rsidRPr="00B97380" w:rsidRDefault="003F47E4" w:rsidP="00B97380">
      <w:r>
        <w:t xml:space="preserve">The biomass content, energy content and emission factors are set out below, together with a comparison against the </w:t>
      </w:r>
      <w:r w:rsidR="001F5C8A">
        <w:t>formerly</w:t>
      </w:r>
      <w:r w:rsidR="00836C25">
        <w:t xml:space="preserve"> </w:t>
      </w:r>
      <w:r>
        <w:t>applicable emission factors in the Measurement Determination.</w:t>
      </w:r>
    </w:p>
    <w:tbl>
      <w:tblPr>
        <w:tblW w:w="0" w:type="auto"/>
        <w:tblLayout w:type="fixed"/>
        <w:tblCellMar>
          <w:left w:w="0" w:type="dxa"/>
          <w:right w:w="0" w:type="dxa"/>
        </w:tblCellMar>
        <w:tblLook w:val="04A0" w:firstRow="1" w:lastRow="0" w:firstColumn="1" w:lastColumn="0" w:noHBand="0" w:noVBand="1"/>
      </w:tblPr>
      <w:tblGrid>
        <w:gridCol w:w="1550"/>
        <w:gridCol w:w="1423"/>
        <w:gridCol w:w="999"/>
        <w:gridCol w:w="955"/>
        <w:gridCol w:w="1104"/>
        <w:gridCol w:w="1178"/>
        <w:gridCol w:w="1003"/>
      </w:tblGrid>
      <w:tr w:rsidR="003F47E4" w:rsidRPr="006C2644" w14:paraId="5F0BB5B4" w14:textId="77777777" w:rsidTr="006C2644">
        <w:trPr>
          <w:tblHead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DF8020" w14:textId="77777777" w:rsidR="003F47E4" w:rsidRPr="006C2644" w:rsidRDefault="003F47E4" w:rsidP="00CE0E6F">
            <w:pPr>
              <w:keepLines/>
              <w:rPr>
                <w:b/>
                <w:sz w:val="20"/>
              </w:rPr>
            </w:pPr>
            <w:r w:rsidRPr="006C2644">
              <w:rPr>
                <w:b/>
                <w:sz w:val="20"/>
              </w:rPr>
              <w:t>Fuel type</w:t>
            </w: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3533F" w14:textId="24DE4AE5" w:rsidR="003F47E4" w:rsidRPr="006C2644" w:rsidRDefault="001F5C8A" w:rsidP="00CE0E6F">
            <w:pPr>
              <w:keepLines/>
              <w:rPr>
                <w:b/>
                <w:sz w:val="20"/>
              </w:rPr>
            </w:pPr>
            <w:r>
              <w:rPr>
                <w:b/>
                <w:sz w:val="20"/>
              </w:rPr>
              <w:t xml:space="preserve">Formerly </w:t>
            </w:r>
            <w:r w:rsidR="007A5F44">
              <w:rPr>
                <w:b/>
                <w:sz w:val="20"/>
              </w:rPr>
              <w:t>applicable</w:t>
            </w:r>
            <w:r w:rsidR="006C2644" w:rsidRPr="006C2644">
              <w:rPr>
                <w:b/>
                <w:sz w:val="20"/>
              </w:rPr>
              <w:t xml:space="preserve"> CO</w:t>
            </w:r>
            <w:r w:rsidR="006C2644" w:rsidRPr="006C2644">
              <w:rPr>
                <w:b/>
                <w:sz w:val="20"/>
                <w:vertAlign w:val="subscript"/>
              </w:rPr>
              <w:t>2</w:t>
            </w:r>
            <w:r w:rsidR="003F47E4" w:rsidRPr="006C2644">
              <w:rPr>
                <w:b/>
                <w:sz w:val="20"/>
              </w:rPr>
              <w:t xml:space="preserve"> Emission Factor</w:t>
            </w:r>
            <w:r w:rsidR="006C2644" w:rsidRPr="006C2644">
              <w:rPr>
                <w:rStyle w:val="FootnoteReference"/>
                <w:b/>
                <w:sz w:val="20"/>
              </w:rPr>
              <w:footnoteReference w:id="2"/>
            </w:r>
            <w:r w:rsidR="003F47E4" w:rsidRPr="006C2644">
              <w:rPr>
                <w:b/>
                <w:sz w:val="20"/>
              </w:rPr>
              <w:t xml:space="preserve"> </w:t>
            </w:r>
          </w:p>
          <w:p w14:paraId="5ADD6908" w14:textId="77777777" w:rsidR="003F47E4" w:rsidRPr="006C2644" w:rsidRDefault="003F47E4" w:rsidP="00CE0E6F">
            <w:pPr>
              <w:keepLines/>
              <w:rPr>
                <w:b/>
                <w:sz w:val="20"/>
              </w:rPr>
            </w:pPr>
            <w:r w:rsidRPr="006C2644">
              <w:rPr>
                <w:b/>
                <w:sz w:val="20"/>
              </w:rPr>
              <w:t>(kg CO</w:t>
            </w:r>
            <w:r w:rsidRPr="006C2644">
              <w:rPr>
                <w:b/>
                <w:sz w:val="20"/>
                <w:vertAlign w:val="subscript"/>
              </w:rPr>
              <w:t>2</w:t>
            </w:r>
            <w:r w:rsidRPr="006C2644">
              <w:rPr>
                <w:b/>
                <w:sz w:val="20"/>
              </w:rPr>
              <w:t>-e/GJ)</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134D3E" w14:textId="77777777" w:rsidR="003F47E4" w:rsidRPr="006C2644" w:rsidRDefault="003F47E4" w:rsidP="00CE0E6F">
            <w:pPr>
              <w:keepLines/>
              <w:rPr>
                <w:b/>
                <w:sz w:val="20"/>
              </w:rPr>
            </w:pPr>
            <w:r w:rsidRPr="006C2644">
              <w:rPr>
                <w:b/>
                <w:sz w:val="20"/>
              </w:rPr>
              <w:t>Biomass content (%)</w:t>
            </w:r>
          </w:p>
        </w:tc>
        <w:tc>
          <w:tcPr>
            <w:tcW w:w="9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872E99" w14:textId="77777777" w:rsidR="003F47E4" w:rsidRPr="006C2644" w:rsidRDefault="003F47E4" w:rsidP="00CE0E6F">
            <w:pPr>
              <w:keepLines/>
              <w:rPr>
                <w:b/>
                <w:sz w:val="20"/>
              </w:rPr>
            </w:pPr>
            <w:r w:rsidRPr="006C2644">
              <w:rPr>
                <w:b/>
                <w:sz w:val="20"/>
              </w:rPr>
              <w:t>Energy content factor (GJ/t)</w:t>
            </w:r>
          </w:p>
        </w:tc>
        <w:tc>
          <w:tcPr>
            <w:tcW w:w="1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136CCA" w14:textId="77777777" w:rsidR="003F47E4" w:rsidRPr="006C2644" w:rsidRDefault="003F47E4" w:rsidP="00CE0E6F">
            <w:pPr>
              <w:keepLines/>
              <w:rPr>
                <w:b/>
                <w:sz w:val="20"/>
              </w:rPr>
            </w:pPr>
            <w:r w:rsidRPr="006C2644">
              <w:rPr>
                <w:b/>
                <w:sz w:val="20"/>
              </w:rPr>
              <w:t>Revised CO</w:t>
            </w:r>
            <w:r w:rsidRPr="006C2644">
              <w:rPr>
                <w:b/>
                <w:sz w:val="20"/>
                <w:vertAlign w:val="subscript"/>
              </w:rPr>
              <w:t>2</w:t>
            </w:r>
            <w:r w:rsidRPr="006C2644">
              <w:rPr>
                <w:b/>
                <w:sz w:val="20"/>
              </w:rPr>
              <w:t xml:space="preserve"> Emission Factor</w:t>
            </w:r>
          </w:p>
          <w:p w14:paraId="6B41469D" w14:textId="77777777" w:rsidR="003F47E4" w:rsidRPr="006C2644" w:rsidRDefault="003F47E4" w:rsidP="00CE0E6F">
            <w:pPr>
              <w:keepLines/>
              <w:rPr>
                <w:b/>
                <w:sz w:val="20"/>
              </w:rPr>
            </w:pPr>
            <w:r w:rsidRPr="006C2644">
              <w:rPr>
                <w:b/>
                <w:sz w:val="20"/>
              </w:rPr>
              <w:t>(kg CO</w:t>
            </w:r>
            <w:r w:rsidRPr="006C2644">
              <w:rPr>
                <w:b/>
                <w:sz w:val="20"/>
                <w:vertAlign w:val="subscript"/>
              </w:rPr>
              <w:t>2</w:t>
            </w:r>
            <w:r w:rsidRPr="006C2644">
              <w:rPr>
                <w:b/>
                <w:sz w:val="20"/>
              </w:rPr>
              <w:t>-e/GJ)</w:t>
            </w:r>
          </w:p>
        </w:tc>
        <w:tc>
          <w:tcPr>
            <w:tcW w:w="1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EEEF2" w14:textId="77777777" w:rsidR="003F47E4" w:rsidRPr="006550D3" w:rsidRDefault="003F47E4" w:rsidP="00CE0E6F">
            <w:pPr>
              <w:keepLines/>
              <w:rPr>
                <w:b/>
                <w:sz w:val="20"/>
              </w:rPr>
            </w:pPr>
            <w:r w:rsidRPr="006550D3">
              <w:rPr>
                <w:b/>
                <w:sz w:val="20"/>
              </w:rPr>
              <w:t>CH</w:t>
            </w:r>
            <w:r w:rsidRPr="006550D3">
              <w:rPr>
                <w:b/>
                <w:sz w:val="20"/>
                <w:vertAlign w:val="subscript"/>
              </w:rPr>
              <w:t>4</w:t>
            </w:r>
            <w:r w:rsidRPr="006550D3">
              <w:rPr>
                <w:b/>
                <w:sz w:val="20"/>
              </w:rPr>
              <w:t xml:space="preserve"> Emission Factor</w:t>
            </w:r>
          </w:p>
          <w:p w14:paraId="036181C6" w14:textId="77777777" w:rsidR="003F47E4" w:rsidRPr="006550D3" w:rsidRDefault="003F47E4" w:rsidP="00CE0E6F">
            <w:pPr>
              <w:keepLines/>
              <w:rPr>
                <w:b/>
                <w:sz w:val="20"/>
              </w:rPr>
            </w:pPr>
            <w:r w:rsidRPr="006550D3">
              <w:rPr>
                <w:b/>
                <w:sz w:val="20"/>
              </w:rPr>
              <w:t>(kg CO</w:t>
            </w:r>
            <w:r w:rsidRPr="006550D3">
              <w:rPr>
                <w:b/>
                <w:sz w:val="20"/>
                <w:vertAlign w:val="subscript"/>
              </w:rPr>
              <w:t>2</w:t>
            </w:r>
            <w:r w:rsidRPr="006550D3">
              <w:rPr>
                <w:b/>
                <w:sz w:val="20"/>
              </w:rPr>
              <w:t>-e/GJ)</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BC43D3" w14:textId="77777777" w:rsidR="003F47E4" w:rsidRPr="006C2644" w:rsidRDefault="003F47E4" w:rsidP="00CE0E6F">
            <w:pPr>
              <w:keepLines/>
              <w:rPr>
                <w:b/>
                <w:sz w:val="20"/>
              </w:rPr>
            </w:pPr>
            <w:r w:rsidRPr="006C2644">
              <w:rPr>
                <w:b/>
                <w:sz w:val="20"/>
              </w:rPr>
              <w:t>N</w:t>
            </w:r>
            <w:r w:rsidRPr="006C2644">
              <w:rPr>
                <w:b/>
                <w:sz w:val="20"/>
                <w:vertAlign w:val="subscript"/>
              </w:rPr>
              <w:t>2</w:t>
            </w:r>
            <w:r w:rsidRPr="006C2644">
              <w:rPr>
                <w:b/>
                <w:sz w:val="20"/>
              </w:rPr>
              <w:t>O Emission Factor</w:t>
            </w:r>
          </w:p>
          <w:p w14:paraId="2782C6A7" w14:textId="77777777" w:rsidR="003F47E4" w:rsidRPr="006C2644" w:rsidRDefault="003F47E4" w:rsidP="00CE0E6F">
            <w:pPr>
              <w:keepLines/>
              <w:rPr>
                <w:b/>
                <w:sz w:val="20"/>
              </w:rPr>
            </w:pPr>
            <w:r w:rsidRPr="006C2644">
              <w:rPr>
                <w:b/>
                <w:sz w:val="20"/>
              </w:rPr>
              <w:t>(kg CO</w:t>
            </w:r>
            <w:r w:rsidRPr="006C2644">
              <w:rPr>
                <w:b/>
                <w:sz w:val="20"/>
                <w:vertAlign w:val="subscript"/>
              </w:rPr>
              <w:t>2</w:t>
            </w:r>
            <w:r w:rsidRPr="006C2644">
              <w:rPr>
                <w:b/>
                <w:sz w:val="20"/>
              </w:rPr>
              <w:t>-e/GJ)</w:t>
            </w:r>
          </w:p>
        </w:tc>
      </w:tr>
      <w:tr w:rsidR="003F47E4" w:rsidRPr="006C2644" w14:paraId="33CA351A" w14:textId="77777777" w:rsidTr="006C2644">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6ADB4" w14:textId="77777777" w:rsidR="003F47E4" w:rsidRPr="006C2644" w:rsidRDefault="003F47E4" w:rsidP="00CE0E6F">
            <w:pPr>
              <w:keepLines/>
              <w:rPr>
                <w:sz w:val="20"/>
              </w:rPr>
            </w:pPr>
            <w:r w:rsidRPr="006C2644">
              <w:rPr>
                <w:sz w:val="20"/>
              </w:rPr>
              <w:t>Passenger car tyres, if recycled and combusted to produce heat or electricity</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3582C123" w14:textId="77777777" w:rsidR="003F47E4" w:rsidRPr="006C2644" w:rsidRDefault="003F47E4" w:rsidP="00CE0E6F">
            <w:pPr>
              <w:keepLines/>
              <w:rPr>
                <w:sz w:val="20"/>
              </w:rPr>
            </w:pPr>
            <w:r w:rsidRPr="006C2644">
              <w:rPr>
                <w:sz w:val="20"/>
              </w:rPr>
              <w:t>81.6</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74382105" w14:textId="77777777" w:rsidR="003F47E4" w:rsidRPr="006C2644" w:rsidRDefault="003F47E4" w:rsidP="00CE0E6F">
            <w:pPr>
              <w:keepLines/>
              <w:rPr>
                <w:sz w:val="20"/>
              </w:rPr>
            </w:pPr>
            <w:r w:rsidRPr="006C2644">
              <w:rPr>
                <w:sz w:val="20"/>
              </w:rPr>
              <w:t>23.1</w:t>
            </w:r>
          </w:p>
        </w:tc>
        <w:tc>
          <w:tcPr>
            <w:tcW w:w="955" w:type="dxa"/>
            <w:tcBorders>
              <w:top w:val="nil"/>
              <w:left w:val="nil"/>
              <w:bottom w:val="single" w:sz="8" w:space="0" w:color="auto"/>
              <w:right w:val="single" w:sz="8" w:space="0" w:color="auto"/>
            </w:tcBorders>
            <w:tcMar>
              <w:top w:w="0" w:type="dxa"/>
              <w:left w:w="108" w:type="dxa"/>
              <w:bottom w:w="0" w:type="dxa"/>
              <w:right w:w="108" w:type="dxa"/>
            </w:tcMar>
            <w:hideMark/>
          </w:tcPr>
          <w:p w14:paraId="2857BDB2" w14:textId="77777777" w:rsidR="003F47E4" w:rsidRPr="006C2644" w:rsidRDefault="003F47E4" w:rsidP="00CE0E6F">
            <w:pPr>
              <w:keepLines/>
              <w:rPr>
                <w:sz w:val="20"/>
              </w:rPr>
            </w:pPr>
            <w:r w:rsidRPr="006C2644">
              <w:rPr>
                <w:sz w:val="20"/>
              </w:rPr>
              <w:t>32.0</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14:paraId="49151953" w14:textId="77777777" w:rsidR="003F47E4" w:rsidRPr="006C2644" w:rsidRDefault="003F47E4" w:rsidP="00CE0E6F">
            <w:pPr>
              <w:keepLines/>
              <w:rPr>
                <w:sz w:val="20"/>
              </w:rPr>
            </w:pPr>
            <w:r w:rsidRPr="006C2644">
              <w:rPr>
                <w:sz w:val="20"/>
              </w:rPr>
              <w:t>62.8</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14:paraId="49795FD1" w14:textId="3C5970C6" w:rsidR="003F47E4" w:rsidRPr="006550D3" w:rsidRDefault="003F47E4" w:rsidP="006550D3">
            <w:pPr>
              <w:keepLines/>
              <w:rPr>
                <w:sz w:val="20"/>
              </w:rPr>
            </w:pPr>
            <w:r w:rsidRPr="006550D3">
              <w:rPr>
                <w:sz w:val="20"/>
              </w:rPr>
              <w:t>0.0</w:t>
            </w:r>
            <w:r w:rsidR="00EC0AF3" w:rsidRPr="006550D3">
              <w:rPr>
                <w:sz w:val="20"/>
              </w:rPr>
              <w:t>3</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505DA686" w14:textId="77777777" w:rsidR="003F47E4" w:rsidRPr="006C2644" w:rsidRDefault="003F47E4" w:rsidP="00CE0E6F">
            <w:pPr>
              <w:keepLines/>
              <w:rPr>
                <w:sz w:val="20"/>
              </w:rPr>
            </w:pPr>
            <w:r w:rsidRPr="006C2644">
              <w:rPr>
                <w:sz w:val="20"/>
              </w:rPr>
              <w:t>0.2</w:t>
            </w:r>
          </w:p>
        </w:tc>
      </w:tr>
      <w:tr w:rsidR="003F47E4" w:rsidRPr="006C2644" w14:paraId="70DA2C31" w14:textId="77777777" w:rsidTr="006C2644">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3F8CA" w14:textId="77777777" w:rsidR="003F47E4" w:rsidRPr="006C2644" w:rsidRDefault="003F47E4" w:rsidP="00CE0E6F">
            <w:pPr>
              <w:keepLines/>
              <w:rPr>
                <w:sz w:val="20"/>
              </w:rPr>
            </w:pPr>
            <w:r w:rsidRPr="006C2644">
              <w:rPr>
                <w:sz w:val="20"/>
              </w:rPr>
              <w:t>Truck and off-road tyres, if recycled and combusted to produce heat or electricity</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694C4F1F" w14:textId="77777777" w:rsidR="003F47E4" w:rsidRPr="006C2644" w:rsidRDefault="003F47E4" w:rsidP="00CE0E6F">
            <w:pPr>
              <w:keepLines/>
              <w:rPr>
                <w:sz w:val="20"/>
              </w:rPr>
            </w:pPr>
            <w:r w:rsidRPr="006C2644">
              <w:rPr>
                <w:sz w:val="20"/>
              </w:rPr>
              <w:t>81.6</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2F844E46" w14:textId="77777777" w:rsidR="003F47E4" w:rsidRPr="006C2644" w:rsidRDefault="003F47E4" w:rsidP="00CE0E6F">
            <w:pPr>
              <w:keepLines/>
              <w:rPr>
                <w:sz w:val="20"/>
              </w:rPr>
            </w:pPr>
            <w:r w:rsidRPr="006C2644">
              <w:rPr>
                <w:sz w:val="20"/>
              </w:rPr>
              <w:t>31.5</w:t>
            </w:r>
          </w:p>
        </w:tc>
        <w:tc>
          <w:tcPr>
            <w:tcW w:w="955" w:type="dxa"/>
            <w:tcBorders>
              <w:top w:val="nil"/>
              <w:left w:val="nil"/>
              <w:bottom w:val="single" w:sz="8" w:space="0" w:color="auto"/>
              <w:right w:val="single" w:sz="8" w:space="0" w:color="auto"/>
            </w:tcBorders>
            <w:tcMar>
              <w:top w:w="0" w:type="dxa"/>
              <w:left w:w="108" w:type="dxa"/>
              <w:bottom w:w="0" w:type="dxa"/>
              <w:right w:w="108" w:type="dxa"/>
            </w:tcMar>
            <w:hideMark/>
          </w:tcPr>
          <w:p w14:paraId="01BBB07F" w14:textId="77777777" w:rsidR="003F47E4" w:rsidRPr="006C2644" w:rsidRDefault="003F47E4" w:rsidP="00CE0E6F">
            <w:pPr>
              <w:keepLines/>
              <w:rPr>
                <w:sz w:val="20"/>
              </w:rPr>
            </w:pPr>
            <w:r w:rsidRPr="006C2644">
              <w:rPr>
                <w:sz w:val="20"/>
              </w:rPr>
              <w:t>27.1</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14:paraId="186E9C2E" w14:textId="77777777" w:rsidR="003F47E4" w:rsidRPr="006C2644" w:rsidRDefault="003F47E4" w:rsidP="00CE0E6F">
            <w:pPr>
              <w:keepLines/>
              <w:rPr>
                <w:sz w:val="20"/>
              </w:rPr>
            </w:pPr>
            <w:r w:rsidRPr="006C2644">
              <w:rPr>
                <w:sz w:val="20"/>
              </w:rPr>
              <w:t>55.9</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14:paraId="666A5259" w14:textId="4E4826EF" w:rsidR="003F47E4" w:rsidRPr="006550D3" w:rsidRDefault="003F47E4" w:rsidP="00CE0E6F">
            <w:pPr>
              <w:keepLines/>
              <w:rPr>
                <w:sz w:val="20"/>
              </w:rPr>
            </w:pPr>
            <w:r w:rsidRPr="006550D3">
              <w:rPr>
                <w:sz w:val="20"/>
              </w:rPr>
              <w:t>0.0</w:t>
            </w:r>
            <w:r w:rsidR="00EC0AF3" w:rsidRPr="006550D3">
              <w:rPr>
                <w:sz w:val="20"/>
              </w:rPr>
              <w:t>3</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17E615AC" w14:textId="77777777" w:rsidR="003F47E4" w:rsidRPr="006C2644" w:rsidRDefault="003F47E4" w:rsidP="00CE0E6F">
            <w:pPr>
              <w:keepLines/>
              <w:rPr>
                <w:sz w:val="20"/>
              </w:rPr>
            </w:pPr>
            <w:r w:rsidRPr="006C2644">
              <w:rPr>
                <w:sz w:val="20"/>
              </w:rPr>
              <w:t>0.2</w:t>
            </w:r>
          </w:p>
        </w:tc>
      </w:tr>
    </w:tbl>
    <w:p w14:paraId="1C39D7A3" w14:textId="77777777" w:rsidR="003F47E4" w:rsidRDefault="003F47E4" w:rsidP="00FE1B42">
      <w:pPr>
        <w:spacing w:before="0" w:after="0"/>
      </w:pPr>
    </w:p>
    <w:p w14:paraId="0697B698" w14:textId="26EAD6E0" w:rsidR="004977AC" w:rsidRDefault="003F47E4" w:rsidP="00FE1B42">
      <w:pPr>
        <w:spacing w:before="0" w:after="0"/>
      </w:pPr>
      <w:r>
        <w:t xml:space="preserve">This amendment aligns Australia’s treatment of waste tyres biomass content and associated combustion emissions with that of other UNFCCC Annex-1 reporting parties </w:t>
      </w:r>
      <w:r w:rsidR="004231E5">
        <w:t xml:space="preserve">including </w:t>
      </w:r>
      <w:r>
        <w:t>the UK, Switzerland, Netherlands, Finland and New Zealand.</w:t>
      </w:r>
      <w:r w:rsidR="006217B4">
        <w:br w:type="page"/>
      </w:r>
    </w:p>
    <w:p w14:paraId="1EC89A89" w14:textId="58081958" w:rsidR="00B97380" w:rsidRPr="00B97380" w:rsidRDefault="00B97380" w:rsidP="00B97380">
      <w:pPr>
        <w:spacing w:before="0" w:after="0"/>
        <w:rPr>
          <w:u w:val="single"/>
        </w:rPr>
      </w:pPr>
      <w:bookmarkStart w:id="9" w:name="_Toc98429577"/>
      <w:bookmarkStart w:id="10" w:name="_Toc98501071"/>
      <w:bookmarkStart w:id="11" w:name="_Toc99717311"/>
      <w:r w:rsidRPr="00B97380">
        <w:rPr>
          <w:u w:val="single"/>
        </w:rPr>
        <w:lastRenderedPageBreak/>
        <w:t>Other</w:t>
      </w:r>
      <w:bookmarkEnd w:id="9"/>
      <w:bookmarkEnd w:id="10"/>
      <w:bookmarkEnd w:id="11"/>
      <w:r w:rsidRPr="00B97380">
        <w:rPr>
          <w:u w:val="single"/>
        </w:rPr>
        <w:t xml:space="preserve"> </w:t>
      </w:r>
    </w:p>
    <w:p w14:paraId="49C131EA" w14:textId="77777777" w:rsidR="00B97380" w:rsidRPr="00B97380" w:rsidRDefault="00B97380" w:rsidP="00B97380">
      <w:pPr>
        <w:spacing w:before="0" w:after="0"/>
      </w:pPr>
    </w:p>
    <w:p w14:paraId="10DD497F" w14:textId="77777777" w:rsidR="00B97380" w:rsidRDefault="00B97380" w:rsidP="00B97380">
      <w:pPr>
        <w:spacing w:before="0" w:after="0"/>
        <w:rPr>
          <w:i/>
          <w:szCs w:val="24"/>
        </w:rPr>
      </w:pPr>
      <w:r w:rsidRPr="00B97380">
        <w:rPr>
          <w:i/>
          <w:szCs w:val="24"/>
        </w:rPr>
        <w:t>Decommissioned underground coal mines</w:t>
      </w:r>
    </w:p>
    <w:p w14:paraId="13A4BBE5" w14:textId="77777777" w:rsidR="00B97380" w:rsidRPr="00B97380" w:rsidRDefault="00B97380" w:rsidP="00B97380">
      <w:pPr>
        <w:spacing w:before="0" w:after="0"/>
        <w:rPr>
          <w:i/>
          <w:szCs w:val="24"/>
        </w:rPr>
      </w:pPr>
    </w:p>
    <w:p w14:paraId="14594ACE" w14:textId="52E9E7F1" w:rsidR="00B97380" w:rsidRDefault="00B97380" w:rsidP="00B97380">
      <w:pPr>
        <w:spacing w:before="0" w:after="0"/>
        <w:rPr>
          <w:szCs w:val="24"/>
        </w:rPr>
      </w:pPr>
      <w:r w:rsidRPr="00B97380">
        <w:rPr>
          <w:szCs w:val="24"/>
        </w:rPr>
        <w:t xml:space="preserve">Subdivision 3.2.4.2 of the Measurement Determination sets out requirements for </w:t>
      </w:r>
      <w:r w:rsidR="00EE34E2">
        <w:rPr>
          <w:szCs w:val="24"/>
        </w:rPr>
        <w:t>estimating</w:t>
      </w:r>
      <w:r w:rsidRPr="00B97380">
        <w:rPr>
          <w:szCs w:val="24"/>
        </w:rPr>
        <w:t xml:space="preserve"> emissions of methane from decommissioned underground coal mines.</w:t>
      </w:r>
    </w:p>
    <w:p w14:paraId="11C8092A" w14:textId="77777777" w:rsidR="00B97380" w:rsidRPr="00B97380" w:rsidRDefault="00B97380" w:rsidP="00B97380">
      <w:pPr>
        <w:spacing w:before="0" w:after="0"/>
        <w:rPr>
          <w:szCs w:val="24"/>
        </w:rPr>
      </w:pPr>
    </w:p>
    <w:p w14:paraId="4097871E" w14:textId="3B0DA6B1" w:rsidR="00B97380" w:rsidRDefault="00B97380" w:rsidP="00B97380">
      <w:pPr>
        <w:spacing w:before="0" w:after="0"/>
        <w:rPr>
          <w:szCs w:val="24"/>
        </w:rPr>
      </w:pPr>
      <w:r w:rsidRPr="00B97380">
        <w:rPr>
          <w:szCs w:val="24"/>
        </w:rPr>
        <w:t>An update was made</w:t>
      </w:r>
      <w:r w:rsidR="003F6DC0">
        <w:rPr>
          <w:szCs w:val="24"/>
        </w:rPr>
        <w:t xml:space="preserve"> by the</w:t>
      </w:r>
      <w:r w:rsidRPr="00B97380">
        <w:rPr>
          <w:szCs w:val="24"/>
        </w:rPr>
        <w:t xml:space="preserve"> </w:t>
      </w:r>
      <w:r w:rsidR="003F6DC0" w:rsidRPr="003F6DC0">
        <w:rPr>
          <w:i/>
          <w:szCs w:val="24"/>
        </w:rPr>
        <w:t>National Greenhouse and Energy Reporting (Measurement) Amendment (2018 Update) Determination 2018</w:t>
      </w:r>
      <w:r w:rsidR="003F6DC0">
        <w:rPr>
          <w:szCs w:val="24"/>
        </w:rPr>
        <w:t xml:space="preserve"> </w:t>
      </w:r>
      <w:r w:rsidR="00C66739">
        <w:rPr>
          <w:szCs w:val="24"/>
        </w:rPr>
        <w:t>(</w:t>
      </w:r>
      <w:r w:rsidR="00020882">
        <w:rPr>
          <w:szCs w:val="24"/>
        </w:rPr>
        <w:t xml:space="preserve">the </w:t>
      </w:r>
      <w:r w:rsidR="00C66739">
        <w:rPr>
          <w:szCs w:val="24"/>
        </w:rPr>
        <w:t xml:space="preserve">2018 amendment) </w:t>
      </w:r>
      <w:r w:rsidRPr="00B97380">
        <w:rPr>
          <w:szCs w:val="24"/>
        </w:rPr>
        <w:t>to this subdivision to increase the accuracy of estimated emissions by taking account of part-year emissions for coal mines which are decommissioned part way through an NGER reporting year.</w:t>
      </w:r>
    </w:p>
    <w:p w14:paraId="42145C16" w14:textId="77777777" w:rsidR="00B97380" w:rsidRPr="00B97380" w:rsidRDefault="00B97380" w:rsidP="00B97380">
      <w:pPr>
        <w:spacing w:before="0" w:after="0"/>
        <w:rPr>
          <w:szCs w:val="24"/>
        </w:rPr>
      </w:pPr>
    </w:p>
    <w:p w14:paraId="10277247" w14:textId="1F5789FE" w:rsidR="00B97380" w:rsidRDefault="003F6DC0" w:rsidP="00B97380">
      <w:pPr>
        <w:spacing w:before="0" w:after="0"/>
        <w:rPr>
          <w:szCs w:val="24"/>
        </w:rPr>
      </w:pPr>
      <w:r>
        <w:rPr>
          <w:szCs w:val="24"/>
        </w:rPr>
        <w:t xml:space="preserve">The Update Determination </w:t>
      </w:r>
      <w:r w:rsidR="00B97380" w:rsidRPr="00B97380">
        <w:rPr>
          <w:szCs w:val="24"/>
        </w:rPr>
        <w:t xml:space="preserve">makes a technical correction to the Method 1 emission factor in section 3.33 of the Measurement Determination consistent with the intent of the 2018 amendment. </w:t>
      </w:r>
    </w:p>
    <w:p w14:paraId="221DA1F1" w14:textId="77777777" w:rsidR="00B97380" w:rsidRPr="00B97380" w:rsidRDefault="00B97380" w:rsidP="00B97380">
      <w:pPr>
        <w:spacing w:before="0" w:after="0"/>
        <w:rPr>
          <w:szCs w:val="24"/>
        </w:rPr>
      </w:pPr>
    </w:p>
    <w:p w14:paraId="5457C23E" w14:textId="77777777" w:rsidR="00B97380" w:rsidRDefault="00B97380" w:rsidP="00B97380">
      <w:pPr>
        <w:keepNext/>
        <w:keepLines/>
        <w:spacing w:before="0" w:after="0"/>
        <w:rPr>
          <w:i/>
          <w:szCs w:val="24"/>
        </w:rPr>
      </w:pPr>
      <w:r w:rsidRPr="00B97380">
        <w:rPr>
          <w:i/>
          <w:szCs w:val="24"/>
        </w:rPr>
        <w:t>Natural gas distribution- leaks fraction in unaccounted-for-gas</w:t>
      </w:r>
    </w:p>
    <w:p w14:paraId="65DA6E3E" w14:textId="77777777" w:rsidR="00B97380" w:rsidRPr="00B97380" w:rsidRDefault="00B97380" w:rsidP="00B97380">
      <w:pPr>
        <w:keepNext/>
        <w:keepLines/>
        <w:spacing w:before="0" w:after="0"/>
        <w:rPr>
          <w:i/>
          <w:szCs w:val="24"/>
        </w:rPr>
      </w:pPr>
    </w:p>
    <w:p w14:paraId="45C3A40F" w14:textId="77777777" w:rsidR="00B97380" w:rsidRPr="00B97380" w:rsidRDefault="00B97380" w:rsidP="00B97380">
      <w:pPr>
        <w:keepNext/>
        <w:keepLines/>
        <w:spacing w:before="0" w:after="0"/>
        <w:rPr>
          <w:szCs w:val="24"/>
        </w:rPr>
      </w:pPr>
      <w:r w:rsidRPr="00B97380">
        <w:rPr>
          <w:szCs w:val="24"/>
        </w:rPr>
        <w:t>Methods 1 and 3 for estimating fugitive emissions from natural gas distribution systems (Measurement Determination sections 3.81 and 3.82A) estimate emissions by reference to the amount of unaccounted-for-gas (%</w:t>
      </w:r>
      <w:proofErr w:type="spellStart"/>
      <w:r w:rsidRPr="00B97380">
        <w:rPr>
          <w:szCs w:val="24"/>
        </w:rPr>
        <w:t>UAG</w:t>
      </w:r>
      <w:r w:rsidRPr="00B97380">
        <w:rPr>
          <w:szCs w:val="24"/>
          <w:vertAlign w:val="subscript"/>
        </w:rPr>
        <w:t>p</w:t>
      </w:r>
      <w:proofErr w:type="spellEnd"/>
      <w:r w:rsidRPr="00B97380">
        <w:rPr>
          <w:szCs w:val="24"/>
        </w:rPr>
        <w:t>) in a pipeline system, together with a numerical factor representing the fraction of that gas estimated to be released as an emission (and not arising from other issues such as measurement error).</w:t>
      </w:r>
    </w:p>
    <w:p w14:paraId="0E55D85C" w14:textId="77777777" w:rsidR="00B97380" w:rsidRDefault="00B97380" w:rsidP="00B97380">
      <w:pPr>
        <w:spacing w:before="0" w:after="0"/>
        <w:rPr>
          <w:szCs w:val="24"/>
        </w:rPr>
      </w:pPr>
    </w:p>
    <w:p w14:paraId="3DA0FC96" w14:textId="6DE5341B" w:rsidR="00B97380" w:rsidRDefault="00B97380" w:rsidP="00B97380">
      <w:pPr>
        <w:spacing w:before="0" w:after="0"/>
        <w:rPr>
          <w:szCs w:val="24"/>
        </w:rPr>
      </w:pPr>
      <w:r w:rsidRPr="00B97380">
        <w:rPr>
          <w:szCs w:val="24"/>
        </w:rPr>
        <w:t>This emission fraction is currently 0.55.</w:t>
      </w:r>
      <w:r w:rsidR="003F6DC0">
        <w:rPr>
          <w:szCs w:val="24"/>
        </w:rPr>
        <w:t xml:space="preserve"> The Update Determination </w:t>
      </w:r>
      <w:r w:rsidRPr="00B97380">
        <w:rPr>
          <w:szCs w:val="24"/>
        </w:rPr>
        <w:t>update</w:t>
      </w:r>
      <w:r w:rsidR="003F6DC0">
        <w:rPr>
          <w:szCs w:val="24"/>
        </w:rPr>
        <w:t>s</w:t>
      </w:r>
      <w:r w:rsidRPr="00B97380">
        <w:rPr>
          <w:szCs w:val="24"/>
        </w:rPr>
        <w:t xml:space="preserve"> the emission fraction to 0.373 to align with the factor used in </w:t>
      </w:r>
      <w:r w:rsidRPr="00FB1CE7">
        <w:t>Australia’s National Inventory</w:t>
      </w:r>
      <w:r w:rsidRPr="00B97380">
        <w:rPr>
          <w:szCs w:val="24"/>
        </w:rPr>
        <w:t xml:space="preserve">, based on the findings of the </w:t>
      </w:r>
      <w:hyperlink r:id="rId15" w:anchor="tabs-container2" w:history="1">
        <w:r w:rsidRPr="001F5C8A">
          <w:rPr>
            <w:rStyle w:val="Hyperlink"/>
          </w:rPr>
          <w:t>Review of Unaccounted for Gas Benchmarks – Methodology</w:t>
        </w:r>
        <w:r w:rsidRPr="001F5C8A">
          <w:rPr>
            <w:rStyle w:val="Hyperlink"/>
            <w:szCs w:val="24"/>
          </w:rPr>
          <w:t xml:space="preserve"> report</w:t>
        </w:r>
      </w:hyperlink>
      <w:r w:rsidRPr="00B97380">
        <w:rPr>
          <w:szCs w:val="24"/>
        </w:rPr>
        <w:t xml:space="preserve"> prepared for the Victorian Essential Services Commission in 2017</w:t>
      </w:r>
      <w:r w:rsidR="004231E5">
        <w:rPr>
          <w:szCs w:val="24"/>
        </w:rPr>
        <w:t>,</w:t>
      </w:r>
      <w:r w:rsidRPr="00B97380">
        <w:rPr>
          <w:szCs w:val="24"/>
        </w:rPr>
        <w:t xml:space="preserve"> which is assessed to be the most recently available comprehensive study on this subject, together with submissions to that review.</w:t>
      </w:r>
    </w:p>
    <w:p w14:paraId="0E59F0EE" w14:textId="77777777" w:rsidR="00B97380" w:rsidRPr="00B97380" w:rsidRDefault="00B97380" w:rsidP="00B97380">
      <w:pPr>
        <w:spacing w:before="0" w:after="0"/>
        <w:rPr>
          <w:szCs w:val="24"/>
        </w:rPr>
      </w:pPr>
    </w:p>
    <w:p w14:paraId="6406CAE6" w14:textId="3FF1A751" w:rsidR="00B97380" w:rsidRDefault="00B97380" w:rsidP="00B97380">
      <w:pPr>
        <w:keepNext/>
        <w:spacing w:before="0" w:after="0"/>
        <w:rPr>
          <w:i/>
          <w:szCs w:val="24"/>
        </w:rPr>
      </w:pPr>
      <w:r w:rsidRPr="00B97380">
        <w:rPr>
          <w:i/>
          <w:szCs w:val="24"/>
        </w:rPr>
        <w:t>HFCs and SF6</w:t>
      </w:r>
    </w:p>
    <w:p w14:paraId="2B7C9415" w14:textId="77777777" w:rsidR="00B97380" w:rsidRPr="00B97380" w:rsidRDefault="00B97380" w:rsidP="00B97380">
      <w:pPr>
        <w:keepNext/>
        <w:spacing w:before="0" w:after="0"/>
        <w:rPr>
          <w:i/>
          <w:szCs w:val="24"/>
        </w:rPr>
      </w:pPr>
    </w:p>
    <w:p w14:paraId="73A2D389" w14:textId="38412720" w:rsidR="00B97380" w:rsidRPr="00B97380" w:rsidRDefault="00B97380" w:rsidP="00B97380">
      <w:pPr>
        <w:spacing w:before="0" w:after="0"/>
        <w:rPr>
          <w:iCs/>
          <w:szCs w:val="24"/>
        </w:rPr>
      </w:pPr>
      <w:r w:rsidRPr="00B97380">
        <w:rPr>
          <w:szCs w:val="24"/>
        </w:rPr>
        <w:t xml:space="preserve">Methods 2 and 3 for estimating emissions of HFCs and SF6 currently refer to the </w:t>
      </w:r>
      <w:r w:rsidRPr="00B97380">
        <w:rPr>
          <w:i/>
          <w:iCs/>
          <w:szCs w:val="24"/>
        </w:rPr>
        <w:t>E</w:t>
      </w:r>
      <w:r w:rsidR="00D15BD6">
        <w:rPr>
          <w:i/>
          <w:iCs/>
          <w:szCs w:val="24"/>
        </w:rPr>
        <w:t xml:space="preserve">nergy </w:t>
      </w:r>
      <w:r w:rsidRPr="00B97380">
        <w:rPr>
          <w:i/>
          <w:iCs/>
          <w:szCs w:val="24"/>
        </w:rPr>
        <w:t>N</w:t>
      </w:r>
      <w:r w:rsidR="00D15BD6">
        <w:rPr>
          <w:i/>
          <w:iCs/>
          <w:szCs w:val="24"/>
        </w:rPr>
        <w:t xml:space="preserve">etworks </w:t>
      </w:r>
      <w:r w:rsidRPr="00B97380">
        <w:rPr>
          <w:i/>
          <w:iCs/>
          <w:szCs w:val="24"/>
        </w:rPr>
        <w:t>A</w:t>
      </w:r>
      <w:r w:rsidR="00D15BD6">
        <w:rPr>
          <w:i/>
          <w:iCs/>
          <w:szCs w:val="24"/>
        </w:rPr>
        <w:t>ustralia (ENA)</w:t>
      </w:r>
      <w:r w:rsidRPr="00B97380">
        <w:rPr>
          <w:i/>
          <w:iCs/>
          <w:szCs w:val="24"/>
        </w:rPr>
        <w:t xml:space="preserve"> Industry Guideline for SF6 Management </w:t>
      </w:r>
      <w:r w:rsidRPr="00B97380">
        <w:rPr>
          <w:iCs/>
          <w:szCs w:val="24"/>
        </w:rPr>
        <w:t>formerly published by E</w:t>
      </w:r>
      <w:r w:rsidR="00D15BD6">
        <w:rPr>
          <w:iCs/>
          <w:szCs w:val="24"/>
        </w:rPr>
        <w:t>NA</w:t>
      </w:r>
      <w:r w:rsidRPr="00B97380">
        <w:rPr>
          <w:iCs/>
          <w:szCs w:val="24"/>
        </w:rPr>
        <w:t>.</w:t>
      </w:r>
    </w:p>
    <w:p w14:paraId="6549B741" w14:textId="77777777" w:rsidR="00B97380" w:rsidRDefault="00B97380" w:rsidP="00B97380">
      <w:pPr>
        <w:spacing w:before="0" w:after="0"/>
        <w:rPr>
          <w:iCs/>
          <w:szCs w:val="24"/>
        </w:rPr>
      </w:pPr>
    </w:p>
    <w:p w14:paraId="3E516B36" w14:textId="65DD33B1" w:rsidR="00B97380" w:rsidRDefault="00B97380" w:rsidP="00B97380">
      <w:pPr>
        <w:spacing w:before="0" w:after="0"/>
        <w:rPr>
          <w:iCs/>
          <w:szCs w:val="24"/>
        </w:rPr>
      </w:pPr>
      <w:r w:rsidRPr="00B97380">
        <w:rPr>
          <w:iCs/>
          <w:szCs w:val="24"/>
        </w:rPr>
        <w:t xml:space="preserve">As that document is no longer publicly available, </w:t>
      </w:r>
      <w:r w:rsidR="003F6DC0">
        <w:rPr>
          <w:iCs/>
          <w:szCs w:val="24"/>
        </w:rPr>
        <w:t xml:space="preserve">the Update Determination </w:t>
      </w:r>
      <w:r w:rsidRPr="00B97380">
        <w:rPr>
          <w:iCs/>
          <w:szCs w:val="24"/>
        </w:rPr>
        <w:t>recreates the substance of those methods within the text of the Measurement Determination.</w:t>
      </w:r>
    </w:p>
    <w:p w14:paraId="0B0A1701" w14:textId="62370106" w:rsidR="008E3817" w:rsidRDefault="008E3817" w:rsidP="00B97380">
      <w:pPr>
        <w:spacing w:before="0" w:after="0"/>
        <w:rPr>
          <w:szCs w:val="24"/>
        </w:rPr>
      </w:pPr>
    </w:p>
    <w:p w14:paraId="10172018" w14:textId="68FB490B" w:rsidR="008E3817" w:rsidRPr="008E3817" w:rsidRDefault="008E3817" w:rsidP="00B97380">
      <w:pPr>
        <w:spacing w:before="0" w:after="0"/>
        <w:rPr>
          <w:i/>
          <w:szCs w:val="24"/>
        </w:rPr>
      </w:pPr>
      <w:r w:rsidRPr="008E3817">
        <w:rPr>
          <w:i/>
          <w:szCs w:val="24"/>
        </w:rPr>
        <w:t>Scope 2 emission factors</w:t>
      </w:r>
    </w:p>
    <w:p w14:paraId="6A20020B" w14:textId="77777777" w:rsidR="008E3817" w:rsidRDefault="008E3817" w:rsidP="00B97380">
      <w:pPr>
        <w:spacing w:before="0" w:after="0"/>
        <w:rPr>
          <w:szCs w:val="24"/>
        </w:rPr>
      </w:pPr>
    </w:p>
    <w:p w14:paraId="63FD5FB3" w14:textId="6ACA5112" w:rsidR="00C15EDB" w:rsidRDefault="008E3817">
      <w:pPr>
        <w:spacing w:before="0" w:after="0"/>
      </w:pPr>
      <w:r>
        <w:rPr>
          <w:szCs w:val="24"/>
        </w:rPr>
        <w:t>The Update Determination update</w:t>
      </w:r>
      <w:r w:rsidR="004231E5">
        <w:rPr>
          <w:szCs w:val="24"/>
        </w:rPr>
        <w:t>s</w:t>
      </w:r>
      <w:r>
        <w:rPr>
          <w:szCs w:val="24"/>
        </w:rPr>
        <w:t xml:space="preserve"> </w:t>
      </w:r>
      <w:r w:rsidR="004231E5">
        <w:rPr>
          <w:szCs w:val="24"/>
        </w:rPr>
        <w:t xml:space="preserve">the </w:t>
      </w:r>
      <w:r>
        <w:rPr>
          <w:szCs w:val="24"/>
        </w:rPr>
        <w:t>‘scope 2’ factors for emissions from consumption of electricity from the grid. This update implements a revised calculation methodology to reflect recent deployment of renewable generation sources in a more timely way.</w:t>
      </w:r>
    </w:p>
    <w:p w14:paraId="74CF9C15" w14:textId="77777777" w:rsidR="004F3D3D" w:rsidRDefault="004F3D3D">
      <w:pPr>
        <w:spacing w:before="0" w:after="0"/>
        <w:rPr>
          <w:szCs w:val="24"/>
        </w:rPr>
      </w:pPr>
    </w:p>
    <w:p w14:paraId="380AD64E" w14:textId="2953FB44" w:rsidR="004F3D3D" w:rsidRPr="003F47E4" w:rsidRDefault="004F3D3D" w:rsidP="004F3D3D">
      <w:pPr>
        <w:spacing w:before="0" w:after="0"/>
        <w:rPr>
          <w:b/>
        </w:rPr>
      </w:pPr>
      <w:r>
        <w:rPr>
          <w:b/>
        </w:rPr>
        <w:lastRenderedPageBreak/>
        <w:t>Documents incorporated by reference</w:t>
      </w:r>
    </w:p>
    <w:p w14:paraId="12CC349F" w14:textId="77777777" w:rsidR="004F3D3D" w:rsidRDefault="004F3D3D" w:rsidP="004F3D3D">
      <w:pPr>
        <w:spacing w:before="0" w:after="0"/>
      </w:pPr>
    </w:p>
    <w:p w14:paraId="3F0B79C6" w14:textId="41FD71DB" w:rsidR="004F3D3D" w:rsidRPr="005933BE" w:rsidRDefault="00166494" w:rsidP="004F3D3D">
      <w:pPr>
        <w:spacing w:before="0" w:after="0"/>
      </w:pPr>
      <w:r w:rsidRPr="005933BE">
        <w:t xml:space="preserve">The Measurement Determination </w:t>
      </w:r>
      <w:r w:rsidR="007A3A1C">
        <w:t xml:space="preserve">specifies the use of </w:t>
      </w:r>
      <w:r w:rsidRPr="005933BE">
        <w:t>a range of standards</w:t>
      </w:r>
      <w:r w:rsidR="00A025F4">
        <w:t xml:space="preserve"> in the measurement of emissions and energy</w:t>
      </w:r>
      <w:r w:rsidRPr="005933BE">
        <w:t>. Th</w:t>
      </w:r>
      <w:r w:rsidR="00AF7387">
        <w:t>e use of standards</w:t>
      </w:r>
      <w:r w:rsidRPr="005933BE">
        <w:t xml:space="preserve"> is </w:t>
      </w:r>
      <w:r w:rsidR="00AF7387">
        <w:t xml:space="preserve">necessary </w:t>
      </w:r>
      <w:r w:rsidRPr="005933BE">
        <w:t xml:space="preserve">to </w:t>
      </w:r>
      <w:r w:rsidR="007A3A1C">
        <w:t xml:space="preserve">ensure </w:t>
      </w:r>
      <w:r w:rsidRPr="005933BE">
        <w:t xml:space="preserve">the integrity of the information being collected, providing greater certainty to government and reporters. Reporters meeting </w:t>
      </w:r>
      <w:r w:rsidR="005F5F05">
        <w:t xml:space="preserve">NGER reporting </w:t>
      </w:r>
      <w:r w:rsidRPr="005933BE">
        <w:t xml:space="preserve">thresholds </w:t>
      </w:r>
      <w:r w:rsidR="005F5F05">
        <w:t xml:space="preserve">(specified by section 13 of the NGER Act) </w:t>
      </w:r>
      <w:r w:rsidRPr="005933BE">
        <w:t xml:space="preserve">are large corporate entities who regularly use such standards in their commercial activities and for other regulatory purposes. Such standards are incorporated consistently with section 14 of the </w:t>
      </w:r>
      <w:r w:rsidRPr="005933BE">
        <w:rPr>
          <w:i/>
        </w:rPr>
        <w:t>Legislation Act 2003</w:t>
      </w:r>
      <w:r w:rsidR="007E41D7">
        <w:t>. S</w:t>
      </w:r>
      <w:r w:rsidR="00356CE9" w:rsidRPr="005933BE">
        <w:t xml:space="preserve">ubsection 1.9(4) of the Measurement Determination sets out a general rule that such documents are those in force on 1 January 2020. </w:t>
      </w:r>
    </w:p>
    <w:p w14:paraId="698B4B68" w14:textId="77777777" w:rsidR="00356CE9" w:rsidRPr="005933BE" w:rsidRDefault="00356CE9" w:rsidP="004F3D3D">
      <w:pPr>
        <w:spacing w:before="0" w:after="0"/>
      </w:pPr>
    </w:p>
    <w:p w14:paraId="4624FCB9" w14:textId="1F18536F" w:rsidR="00356CE9" w:rsidRPr="005933BE" w:rsidRDefault="00356CE9" w:rsidP="004F3D3D">
      <w:pPr>
        <w:spacing w:before="0" w:after="0"/>
      </w:pPr>
      <w:r w:rsidRPr="005933BE">
        <w:t xml:space="preserve">The Measurement Determination </w:t>
      </w:r>
      <w:r w:rsidR="007E41D7">
        <w:t xml:space="preserve">allows </w:t>
      </w:r>
      <w:r w:rsidRPr="005933BE">
        <w:t>flexibility in the application of some standards. For example</w:t>
      </w:r>
      <w:r w:rsidR="0044607E">
        <w:t>, sections</w:t>
      </w:r>
      <w:r w:rsidRPr="005933BE">
        <w:t xml:space="preserve"> 2.12, 2.24 and 2.26 allow </w:t>
      </w:r>
      <w:r w:rsidR="0044607E">
        <w:t xml:space="preserve">the use of standards which are </w:t>
      </w:r>
      <w:r w:rsidRPr="005933BE">
        <w:t xml:space="preserve">equivalent </w:t>
      </w:r>
      <w:r w:rsidR="0044607E">
        <w:t xml:space="preserve">to those specified </w:t>
      </w:r>
      <w:r w:rsidRPr="005933BE">
        <w:t xml:space="preserve">to be used by reporters where this suits their needs. </w:t>
      </w:r>
    </w:p>
    <w:p w14:paraId="316075DF" w14:textId="77777777" w:rsidR="004F3D3D" w:rsidRPr="00A84920" w:rsidRDefault="004F3D3D">
      <w:pPr>
        <w:spacing w:before="0" w:after="0"/>
      </w:pPr>
    </w:p>
    <w:bookmarkEnd w:id="0"/>
    <w:bookmarkEnd w:id="1"/>
    <w:p w14:paraId="068EA178" w14:textId="7E3CB7B1" w:rsidR="00E004F3" w:rsidRDefault="003063ED">
      <w:pPr>
        <w:spacing w:before="0" w:after="0"/>
      </w:pPr>
      <w:r w:rsidRPr="005933BE">
        <w:t xml:space="preserve">Section 2.67A inserted by item 15 of the Update Determination provides that quantities of components of blended gaseous fuels may be determined by adopting a determination from the producer of the fuel or operator of the pipeline through which it is supplied, or by adopting </w:t>
      </w:r>
      <w:r w:rsidR="00A71497">
        <w:t xml:space="preserve">the results of </w:t>
      </w:r>
      <w:r w:rsidRPr="005933BE">
        <w:t xml:space="preserve">sampling performed in accordance with prescribed standards. The newly prescribed standard </w:t>
      </w:r>
      <w:r w:rsidRPr="00A84920">
        <w:t>ASTM D6866—20 (</w:t>
      </w:r>
      <w:r w:rsidRPr="005933BE">
        <w:rPr>
          <w:i/>
        </w:rPr>
        <w:t xml:space="preserve">Standard Test Methods for Determining the </w:t>
      </w:r>
      <w:proofErr w:type="spellStart"/>
      <w:r w:rsidRPr="005933BE">
        <w:rPr>
          <w:i/>
        </w:rPr>
        <w:t>Biobased</w:t>
      </w:r>
      <w:proofErr w:type="spellEnd"/>
      <w:r w:rsidRPr="005933BE">
        <w:rPr>
          <w:i/>
        </w:rPr>
        <w:t xml:space="preserve"> Content of Solid, Liquid, and Gaseous Samples Using Radiocarbon Analysis</w:t>
      </w:r>
      <w:r w:rsidRPr="00A84920">
        <w:t>)</w:t>
      </w:r>
      <w:r w:rsidR="00F211E3" w:rsidRPr="00A84920">
        <w:t xml:space="preserve"> </w:t>
      </w:r>
      <w:r w:rsidR="00F211E3" w:rsidRPr="00A025F4">
        <w:t>is an updated version of the standard ASTM D6866—10</w:t>
      </w:r>
      <w:r w:rsidR="00F211E3" w:rsidRPr="00727C9D">
        <w:t xml:space="preserve"> </w:t>
      </w:r>
      <w:r w:rsidR="00A71497">
        <w:t xml:space="preserve">which is already </w:t>
      </w:r>
      <w:r w:rsidR="00F211E3" w:rsidRPr="00727C9D">
        <w:t>prescribed for sampling solid and liqui</w:t>
      </w:r>
      <w:r w:rsidR="00F211E3" w:rsidRPr="00125688">
        <w:t>d fuels</w:t>
      </w:r>
      <w:r w:rsidR="00A71497">
        <w:t>.</w:t>
      </w:r>
      <w:r w:rsidR="00F211E3" w:rsidRPr="00125688">
        <w:t xml:space="preserve"> </w:t>
      </w:r>
      <w:r w:rsidR="00A71497">
        <w:t xml:space="preserve">ASTM D6866-20 </w:t>
      </w:r>
      <w:r w:rsidR="00F211E3" w:rsidRPr="00125688">
        <w:t xml:space="preserve">is available for purchase at </w:t>
      </w:r>
      <w:hyperlink r:id="rId16" w:history="1">
        <w:r w:rsidR="00D93BD3" w:rsidRPr="00EF7B70">
          <w:rPr>
            <w:rStyle w:val="Hyperlink"/>
          </w:rPr>
          <w:t>https://www.astm.org/d6866-20.html</w:t>
        </w:r>
      </w:hyperlink>
      <w:r w:rsidR="00F211E3" w:rsidRPr="00727C9D">
        <w:t xml:space="preserve">. </w:t>
      </w:r>
    </w:p>
    <w:p w14:paraId="7319B6AC" w14:textId="7C9B491F" w:rsidR="00A84920" w:rsidRDefault="00A84920">
      <w:pPr>
        <w:spacing w:before="0" w:after="0"/>
      </w:pPr>
    </w:p>
    <w:p w14:paraId="47F0D153" w14:textId="00F90B9B" w:rsidR="00A84920" w:rsidRPr="00A84920" w:rsidRDefault="00A84920">
      <w:pPr>
        <w:spacing w:before="0" w:after="0"/>
      </w:pPr>
      <w:r>
        <w:t xml:space="preserve">Other standards prescribed for use in the sampling of </w:t>
      </w:r>
      <w:proofErr w:type="spellStart"/>
      <w:r>
        <w:t>biomethane</w:t>
      </w:r>
      <w:proofErr w:type="spellEnd"/>
      <w:r>
        <w:t xml:space="preserve"> and tyres </w:t>
      </w:r>
      <w:r w:rsidR="002C4594">
        <w:t xml:space="preserve">in </w:t>
      </w:r>
      <w:r>
        <w:t xml:space="preserve">items </w:t>
      </w:r>
      <w:r w:rsidR="002C4594">
        <w:t xml:space="preserve">7, </w:t>
      </w:r>
      <w:r>
        <w:t>8, 10 and 33 of the Update Determination are already prescribed for use in sampling existing fuels under the Measurement Determination.</w:t>
      </w:r>
    </w:p>
    <w:p w14:paraId="26C2ACD2" w14:textId="77777777" w:rsidR="00E004F3" w:rsidRDefault="00E004F3">
      <w:pPr>
        <w:spacing w:before="0" w:after="0"/>
      </w:pPr>
    </w:p>
    <w:p w14:paraId="0140B4F4" w14:textId="29528698" w:rsidR="00E004F3" w:rsidRDefault="00E004F3">
      <w:pPr>
        <w:spacing w:before="0" w:after="0"/>
      </w:pPr>
      <w:r>
        <w:t xml:space="preserve">Section 1.9 of the Measurement Determination includes definitions of relevant </w:t>
      </w:r>
      <w:r w:rsidR="002C4594">
        <w:t xml:space="preserve">categories of </w:t>
      </w:r>
      <w:r>
        <w:t xml:space="preserve">standards </w:t>
      </w:r>
      <w:r w:rsidR="00175AD3">
        <w:t xml:space="preserve">referenced </w:t>
      </w:r>
      <w:r>
        <w:t>in the Measurement Determination. These definitions</w:t>
      </w:r>
      <w:r w:rsidR="00175AD3">
        <w:t>,</w:t>
      </w:r>
      <w:r>
        <w:t xml:space="preserve"> and relevant websites to obtain access to the standards</w:t>
      </w:r>
      <w:r w:rsidR="00175AD3">
        <w:t>,</w:t>
      </w:r>
      <w:r>
        <w:t xml:space="preserve"> are as follows:</w:t>
      </w:r>
    </w:p>
    <w:p w14:paraId="65FACBFB" w14:textId="49B9CE92" w:rsidR="00E004F3" w:rsidRDefault="00E004F3" w:rsidP="00E004F3">
      <w:pPr>
        <w:pStyle w:val="definition"/>
        <w:shd w:val="clear" w:color="auto" w:fill="FFFFFF"/>
        <w:spacing w:before="180" w:beforeAutospacing="0" w:after="0" w:afterAutospacing="0"/>
        <w:ind w:left="1134"/>
        <w:rPr>
          <w:rFonts w:ascii="Times New Roman" w:hAnsi="Times New Roman" w:cs="Times New Roman"/>
          <w:color w:val="000000"/>
        </w:rPr>
      </w:pPr>
      <w:r>
        <w:rPr>
          <w:rFonts w:ascii="Times New Roman" w:hAnsi="Times New Roman" w:cs="Times New Roman"/>
          <w:b/>
          <w:bCs/>
          <w:i/>
          <w:iCs/>
          <w:color w:val="000000"/>
        </w:rPr>
        <w:t>ASTM </w:t>
      </w:r>
      <w:r>
        <w:rPr>
          <w:rFonts w:ascii="Times New Roman" w:hAnsi="Times New Roman" w:cs="Times New Roman"/>
          <w:color w:val="000000"/>
        </w:rPr>
        <w:t>followed by a number (for example, ASTM D6347/D6347M</w:t>
      </w:r>
      <w:r>
        <w:rPr>
          <w:rFonts w:ascii="Times New Roman" w:hAnsi="Times New Roman" w:cs="Times New Roman"/>
          <w:color w:val="000000"/>
        </w:rPr>
        <w:noBreakHyphen/>
        <w:t xml:space="preserve">99) means a standard of that number issued by ASTM International and, if a date is included, of that date. Their website is: </w:t>
      </w:r>
      <w:r w:rsidRPr="00E004F3">
        <w:rPr>
          <w:rFonts w:ascii="Times New Roman" w:hAnsi="Times New Roman" w:cs="Times New Roman"/>
          <w:color w:val="000000"/>
        </w:rPr>
        <w:t>https://www.astm.org/</w:t>
      </w:r>
    </w:p>
    <w:p w14:paraId="61705A49" w14:textId="20ED270F" w:rsidR="00E004F3" w:rsidRDefault="00E004F3" w:rsidP="00E004F3">
      <w:pPr>
        <w:pStyle w:val="definition"/>
        <w:shd w:val="clear" w:color="auto" w:fill="FFFFFF"/>
        <w:spacing w:before="180" w:beforeAutospacing="0" w:after="0" w:afterAutospacing="0"/>
        <w:ind w:left="1134"/>
        <w:rPr>
          <w:rFonts w:ascii="Times New Roman" w:hAnsi="Times New Roman" w:cs="Times New Roman"/>
          <w:color w:val="000000"/>
        </w:rPr>
      </w:pPr>
      <w:r>
        <w:rPr>
          <w:rFonts w:ascii="Times New Roman" w:hAnsi="Times New Roman" w:cs="Times New Roman"/>
          <w:b/>
          <w:bCs/>
          <w:i/>
          <w:iCs/>
          <w:color w:val="000000"/>
          <w:shd w:val="clear" w:color="auto" w:fill="FFFFFF"/>
        </w:rPr>
        <w:t>CEN/TS </w:t>
      </w:r>
      <w:r>
        <w:rPr>
          <w:rFonts w:ascii="Times New Roman" w:hAnsi="Times New Roman" w:cs="Times New Roman"/>
          <w:color w:val="000000"/>
          <w:shd w:val="clear" w:color="auto" w:fill="FFFFFF"/>
        </w:rPr>
        <w:t xml:space="preserve">followed by a number (for example, CEN/TS 15403) means a technical specification (TS) of that number issued by the European Committee for Standardization and, if a date is included, of that date. </w:t>
      </w:r>
      <w:r>
        <w:rPr>
          <w:rFonts w:ascii="Times New Roman" w:hAnsi="Times New Roman" w:cs="Times New Roman"/>
          <w:color w:val="000000"/>
        </w:rPr>
        <w:t>Their website is</w:t>
      </w:r>
      <w:r>
        <w:rPr>
          <w:rFonts w:ascii="Times New Roman" w:hAnsi="Times New Roman" w:cs="Times New Roman"/>
          <w:color w:val="000000"/>
          <w:shd w:val="clear" w:color="auto" w:fill="FFFFFF"/>
        </w:rPr>
        <w:t xml:space="preserve">: </w:t>
      </w:r>
      <w:r w:rsidRPr="00E004F3">
        <w:rPr>
          <w:rFonts w:ascii="Times New Roman" w:hAnsi="Times New Roman" w:cs="Times New Roman"/>
          <w:color w:val="000000"/>
          <w:shd w:val="clear" w:color="auto" w:fill="FFFFFF"/>
        </w:rPr>
        <w:t>https://www.cencenelec.eu/</w:t>
      </w:r>
    </w:p>
    <w:p w14:paraId="2E449742" w14:textId="41A1A34B" w:rsidR="00E004F3" w:rsidRDefault="00E004F3" w:rsidP="00E004F3">
      <w:pPr>
        <w:pStyle w:val="definition"/>
        <w:shd w:val="clear" w:color="auto" w:fill="FFFFFF"/>
        <w:spacing w:before="180" w:beforeAutospacing="0" w:after="0" w:afterAutospacing="0"/>
        <w:ind w:left="1134"/>
        <w:rPr>
          <w:rFonts w:ascii="Times New Roman" w:hAnsi="Times New Roman" w:cs="Times New Roman"/>
          <w:color w:val="000000"/>
        </w:rPr>
      </w:pPr>
      <w:r>
        <w:rPr>
          <w:rFonts w:ascii="Times New Roman" w:hAnsi="Times New Roman" w:cs="Times New Roman"/>
          <w:b/>
          <w:bCs/>
          <w:i/>
          <w:iCs/>
          <w:color w:val="000000"/>
          <w:shd w:val="clear" w:color="auto" w:fill="FFFFFF"/>
        </w:rPr>
        <w:t>GPA </w:t>
      </w:r>
      <w:r>
        <w:rPr>
          <w:rFonts w:ascii="Times New Roman" w:hAnsi="Times New Roman" w:cs="Times New Roman"/>
          <w:color w:val="000000"/>
          <w:shd w:val="clear" w:color="auto" w:fill="FFFFFF"/>
        </w:rPr>
        <w:t xml:space="preserve">followed by a number means a standard of that number issued by the Gas Processors Association and, if a date is included, of that date. Their standards can be obtained from: </w:t>
      </w:r>
      <w:r w:rsidRPr="00E004F3">
        <w:rPr>
          <w:rFonts w:ascii="Times New Roman" w:hAnsi="Times New Roman" w:cs="Times New Roman"/>
          <w:color w:val="000000"/>
          <w:shd w:val="clear" w:color="auto" w:fill="FFFFFF"/>
        </w:rPr>
        <w:t>https://ihsmarkit.com/products/gpa-standards.html</w:t>
      </w:r>
    </w:p>
    <w:p w14:paraId="186B98AB" w14:textId="003F727B" w:rsidR="00E004F3" w:rsidRDefault="00E004F3" w:rsidP="00E004F3">
      <w:pPr>
        <w:pStyle w:val="definition"/>
        <w:shd w:val="clear" w:color="auto" w:fill="FFFFFF"/>
        <w:spacing w:before="180" w:beforeAutospacing="0" w:after="0" w:afterAutospacing="0"/>
        <w:ind w:left="1134"/>
        <w:rPr>
          <w:rFonts w:ascii="Times New Roman" w:hAnsi="Times New Roman" w:cs="Times New Roman"/>
          <w:color w:val="000000"/>
        </w:rPr>
      </w:pPr>
      <w:r>
        <w:rPr>
          <w:rFonts w:ascii="Times New Roman" w:hAnsi="Times New Roman" w:cs="Times New Roman"/>
          <w:b/>
          <w:bCs/>
          <w:i/>
          <w:iCs/>
          <w:color w:val="000000"/>
          <w:shd w:val="clear" w:color="auto" w:fill="FFFFFF"/>
        </w:rPr>
        <w:t>ISO </w:t>
      </w:r>
      <w:r>
        <w:rPr>
          <w:rFonts w:ascii="Times New Roman" w:hAnsi="Times New Roman" w:cs="Times New Roman"/>
          <w:color w:val="000000"/>
          <w:shd w:val="clear" w:color="auto" w:fill="FFFFFF"/>
        </w:rPr>
        <w:t xml:space="preserve">followed by a number (for example, ISO 10396:2007) means a standard of that number issued by the International Organization of Standardization and, if a date is included, of that date. </w:t>
      </w:r>
      <w:r>
        <w:rPr>
          <w:rFonts w:ascii="Times New Roman" w:hAnsi="Times New Roman" w:cs="Times New Roman"/>
          <w:color w:val="000000"/>
        </w:rPr>
        <w:t>Their website is</w:t>
      </w:r>
      <w:r>
        <w:rPr>
          <w:rFonts w:ascii="Times New Roman" w:hAnsi="Times New Roman" w:cs="Times New Roman"/>
          <w:color w:val="000000"/>
          <w:shd w:val="clear" w:color="auto" w:fill="FFFFFF"/>
        </w:rPr>
        <w:t xml:space="preserve">: </w:t>
      </w:r>
      <w:r w:rsidRPr="00E004F3">
        <w:rPr>
          <w:rFonts w:ascii="Times New Roman" w:hAnsi="Times New Roman" w:cs="Times New Roman"/>
          <w:color w:val="000000"/>
          <w:shd w:val="clear" w:color="auto" w:fill="FFFFFF"/>
        </w:rPr>
        <w:t>https://www.iso.org/</w:t>
      </w:r>
    </w:p>
    <w:p w14:paraId="6BCF3BF1" w14:textId="77777777" w:rsidR="00AB32E4" w:rsidRDefault="00AB32E4">
      <w:pPr>
        <w:spacing w:before="0" w:after="0"/>
        <w:rPr>
          <w:u w:val="single"/>
        </w:rPr>
      </w:pPr>
    </w:p>
    <w:p w14:paraId="1123E99B" w14:textId="794B2AAA" w:rsidR="00B97380" w:rsidRPr="005933BE" w:rsidRDefault="00803736">
      <w:pPr>
        <w:spacing w:before="0" w:after="0"/>
      </w:pPr>
      <w:r w:rsidRPr="005933BE">
        <w:t xml:space="preserve">Commercial websites sell a number of standards, such as </w:t>
      </w:r>
      <w:hyperlink r:id="rId17" w:history="1">
        <w:r w:rsidRPr="00727C9D">
          <w:rPr>
            <w:rStyle w:val="Hyperlink"/>
          </w:rPr>
          <w:t>https://www.saiglobal.com/</w:t>
        </w:r>
      </w:hyperlink>
      <w:r w:rsidR="00DB0B40" w:rsidRPr="005933BE">
        <w:t xml:space="preserve"> or </w:t>
      </w:r>
      <w:hyperlink r:id="rId18" w:history="1">
        <w:r w:rsidR="00D93BD3" w:rsidRPr="005933BE">
          <w:rPr>
            <w:rStyle w:val="Hyperlink"/>
          </w:rPr>
          <w:t>https://webstore.ansi.org/</w:t>
        </w:r>
      </w:hyperlink>
      <w:r w:rsidRPr="005933BE">
        <w:t xml:space="preserve">. </w:t>
      </w:r>
      <w:r w:rsidR="002C4594">
        <w:t>Some s</w:t>
      </w:r>
      <w:r w:rsidR="00AB32E4" w:rsidRPr="005933BE">
        <w:t>tandards are</w:t>
      </w:r>
      <w:r w:rsidRPr="005933BE">
        <w:t xml:space="preserve"> also</w:t>
      </w:r>
      <w:r w:rsidR="00AB32E4" w:rsidRPr="005933BE">
        <w:t xml:space="preserve"> available through public libraries, such as the National Library of Australia.</w:t>
      </w:r>
      <w:r w:rsidR="00B97380" w:rsidRPr="005933BE">
        <w:br w:type="page"/>
      </w:r>
    </w:p>
    <w:p w14:paraId="7FD19CE6" w14:textId="40E0F500" w:rsidR="002D0C0C" w:rsidRPr="001550FB" w:rsidRDefault="002D0C0C" w:rsidP="00773782">
      <w:pPr>
        <w:tabs>
          <w:tab w:val="right" w:pos="9072"/>
        </w:tabs>
        <w:spacing w:before="0" w:after="240"/>
        <w:ind w:right="91"/>
        <w:jc w:val="right"/>
        <w:rPr>
          <w:b/>
          <w:u w:val="single"/>
        </w:rPr>
      </w:pPr>
      <w:r w:rsidRPr="001550FB">
        <w:rPr>
          <w:b/>
          <w:u w:val="single"/>
        </w:rPr>
        <w:lastRenderedPageBreak/>
        <w:t>ATTACHMENT</w:t>
      </w:r>
      <w:r w:rsidR="00534C53">
        <w:rPr>
          <w:b/>
          <w:u w:val="single"/>
        </w:rPr>
        <w:t xml:space="preserve"> A</w:t>
      </w:r>
    </w:p>
    <w:p w14:paraId="66ECED51" w14:textId="7C978C77" w:rsidR="00024882" w:rsidRPr="00024882" w:rsidRDefault="00024882" w:rsidP="004E5651">
      <w:pPr>
        <w:spacing w:before="360" w:after="360"/>
        <w:jc w:val="center"/>
        <w:rPr>
          <w:b/>
          <w:i/>
        </w:rPr>
      </w:pPr>
      <w:r w:rsidRPr="00024882">
        <w:rPr>
          <w:b/>
          <w:i/>
        </w:rPr>
        <w:t xml:space="preserve">National Greenhouse and Energy Reporting (Measurement) Amendment </w:t>
      </w:r>
      <w:r w:rsidR="00E9051F">
        <w:rPr>
          <w:b/>
          <w:i/>
        </w:rPr>
        <w:t>(202</w:t>
      </w:r>
      <w:r w:rsidR="00FE1B42">
        <w:rPr>
          <w:b/>
          <w:i/>
        </w:rPr>
        <w:t>2 Update) Determination 2022</w:t>
      </w:r>
    </w:p>
    <w:p w14:paraId="7FD19CE8" w14:textId="686EA027" w:rsidR="001F5A3D" w:rsidRPr="00B9380B" w:rsidRDefault="0019209B" w:rsidP="004E5651">
      <w:pPr>
        <w:spacing w:before="240" w:after="240"/>
        <w:ind w:right="91"/>
        <w:rPr>
          <w:szCs w:val="24"/>
        </w:rPr>
      </w:pPr>
      <w:r>
        <w:rPr>
          <w:szCs w:val="24"/>
          <w:u w:val="single"/>
        </w:rPr>
        <w:t xml:space="preserve">Section </w:t>
      </w:r>
      <w:r w:rsidR="008019CF">
        <w:rPr>
          <w:szCs w:val="24"/>
          <w:u w:val="single"/>
        </w:rPr>
        <w:t xml:space="preserve">1 – Name of </w:t>
      </w:r>
      <w:r w:rsidR="00663792">
        <w:rPr>
          <w:szCs w:val="24"/>
          <w:u w:val="single"/>
        </w:rPr>
        <w:t>Determination</w:t>
      </w:r>
    </w:p>
    <w:p w14:paraId="7FD19CE9" w14:textId="61CD6A0C" w:rsidR="001F5A3D" w:rsidRPr="00F90D84" w:rsidRDefault="00663792" w:rsidP="004E5651">
      <w:pPr>
        <w:spacing w:before="0" w:after="360"/>
        <w:ind w:right="91"/>
        <w:rPr>
          <w:szCs w:val="24"/>
        </w:rPr>
      </w:pPr>
      <w:r>
        <w:rPr>
          <w:szCs w:val="24"/>
        </w:rPr>
        <w:t xml:space="preserve">This </w:t>
      </w:r>
      <w:r w:rsidR="0019209B">
        <w:rPr>
          <w:szCs w:val="24"/>
        </w:rPr>
        <w:t>section</w:t>
      </w:r>
      <w:r w:rsidR="0019209B" w:rsidRPr="00F90D84">
        <w:rPr>
          <w:szCs w:val="24"/>
        </w:rPr>
        <w:t xml:space="preserve"> </w:t>
      </w:r>
      <w:r w:rsidR="001F5A3D" w:rsidRPr="00F90D84">
        <w:rPr>
          <w:szCs w:val="24"/>
        </w:rPr>
        <w:t>provide</w:t>
      </w:r>
      <w:r w:rsidR="003A2330" w:rsidRPr="00F90D84">
        <w:rPr>
          <w:szCs w:val="24"/>
        </w:rPr>
        <w:t>s</w:t>
      </w:r>
      <w:r w:rsidR="001F5A3D" w:rsidRPr="00F90D84">
        <w:rPr>
          <w:szCs w:val="24"/>
        </w:rPr>
        <w:t xml:space="preserve"> that the title of the </w:t>
      </w:r>
      <w:r>
        <w:rPr>
          <w:szCs w:val="24"/>
        </w:rPr>
        <w:t>Instrument</w:t>
      </w:r>
      <w:r w:rsidR="001F5A3D" w:rsidRPr="00F90D84">
        <w:rPr>
          <w:szCs w:val="24"/>
        </w:rPr>
        <w:t xml:space="preserve"> is the </w:t>
      </w:r>
      <w:r w:rsidRPr="0040744E">
        <w:rPr>
          <w:i/>
          <w:szCs w:val="24"/>
        </w:rPr>
        <w:t>National</w:t>
      </w:r>
      <w:r w:rsidRPr="00663792">
        <w:rPr>
          <w:szCs w:val="24"/>
        </w:rPr>
        <w:t xml:space="preserve"> </w:t>
      </w:r>
      <w:r w:rsidRPr="00663792">
        <w:rPr>
          <w:i/>
        </w:rPr>
        <w:t>Energy Report</w:t>
      </w:r>
      <w:r w:rsidR="006067DC">
        <w:rPr>
          <w:i/>
        </w:rPr>
        <w:t>i</w:t>
      </w:r>
      <w:r w:rsidR="00FE1B42">
        <w:rPr>
          <w:i/>
        </w:rPr>
        <w:t>ng (Measurement) Amendment (2022</w:t>
      </w:r>
      <w:r w:rsidR="006067DC">
        <w:rPr>
          <w:i/>
        </w:rPr>
        <w:t xml:space="preserve"> Update) </w:t>
      </w:r>
      <w:r w:rsidR="006067DC" w:rsidRPr="006E1C30">
        <w:rPr>
          <w:i/>
        </w:rPr>
        <w:t>Determination</w:t>
      </w:r>
      <w:r w:rsidR="00FE1B42">
        <w:rPr>
          <w:i/>
        </w:rPr>
        <w:t xml:space="preserve"> 2022</w:t>
      </w:r>
      <w:r w:rsidR="001F5A3D" w:rsidRPr="00663792">
        <w:rPr>
          <w:szCs w:val="24"/>
        </w:rPr>
        <w:t>.</w:t>
      </w:r>
    </w:p>
    <w:p w14:paraId="7FD19CEA" w14:textId="7702F512" w:rsidR="001F5A3D" w:rsidRPr="00FC52C4" w:rsidRDefault="0019209B" w:rsidP="004E5651">
      <w:pPr>
        <w:spacing w:before="240" w:after="240"/>
        <w:ind w:right="91"/>
        <w:rPr>
          <w:szCs w:val="24"/>
          <w:u w:val="single"/>
        </w:rPr>
      </w:pPr>
      <w:r>
        <w:rPr>
          <w:szCs w:val="24"/>
          <w:u w:val="single"/>
        </w:rPr>
        <w:t xml:space="preserve">Section </w:t>
      </w:r>
      <w:r w:rsidR="00663792">
        <w:rPr>
          <w:szCs w:val="24"/>
          <w:u w:val="single"/>
        </w:rPr>
        <w:t>2</w:t>
      </w:r>
      <w:r w:rsidR="001F5A3D" w:rsidRPr="00FC52C4">
        <w:rPr>
          <w:szCs w:val="24"/>
          <w:u w:val="single"/>
        </w:rPr>
        <w:t xml:space="preserve"> – Commencement</w:t>
      </w:r>
    </w:p>
    <w:p w14:paraId="7FD19CEB" w14:textId="266971C3" w:rsidR="001F5A3D" w:rsidRPr="003A612B" w:rsidRDefault="00663792" w:rsidP="004E5651">
      <w:pPr>
        <w:spacing w:before="0" w:after="360"/>
        <w:ind w:right="91"/>
        <w:rPr>
          <w:szCs w:val="24"/>
        </w:rPr>
      </w:pPr>
      <w:r>
        <w:rPr>
          <w:szCs w:val="24"/>
        </w:rPr>
        <w:t xml:space="preserve">This </w:t>
      </w:r>
      <w:r w:rsidR="0019209B">
        <w:rPr>
          <w:szCs w:val="24"/>
        </w:rPr>
        <w:t xml:space="preserve">section </w:t>
      </w:r>
      <w:r w:rsidR="001F5A3D">
        <w:rPr>
          <w:szCs w:val="24"/>
        </w:rPr>
        <w:t>provide</w:t>
      </w:r>
      <w:r w:rsidR="004E7915">
        <w:rPr>
          <w:szCs w:val="24"/>
        </w:rPr>
        <w:t>s</w:t>
      </w:r>
      <w:r>
        <w:rPr>
          <w:szCs w:val="24"/>
        </w:rPr>
        <w:t xml:space="preserve"> for the amendments to commence </w:t>
      </w:r>
      <w:r w:rsidR="00FE1B42">
        <w:rPr>
          <w:szCs w:val="24"/>
        </w:rPr>
        <w:t>on 1 July 2022</w:t>
      </w:r>
      <w:r w:rsidR="00B719D4">
        <w:rPr>
          <w:szCs w:val="24"/>
        </w:rPr>
        <w:t>.</w:t>
      </w:r>
    </w:p>
    <w:p w14:paraId="7FD19CEC" w14:textId="2E4E7F6D" w:rsidR="001F5A3D" w:rsidRPr="001C68D5" w:rsidRDefault="0019209B" w:rsidP="001F5A3D">
      <w:pPr>
        <w:spacing w:before="0" w:after="240"/>
        <w:ind w:right="91"/>
        <w:rPr>
          <w:szCs w:val="24"/>
        </w:rPr>
      </w:pPr>
      <w:r>
        <w:rPr>
          <w:szCs w:val="24"/>
          <w:u w:val="single"/>
        </w:rPr>
        <w:t>Section</w:t>
      </w:r>
      <w:r w:rsidRPr="00286CC0">
        <w:rPr>
          <w:szCs w:val="24"/>
          <w:u w:val="single"/>
        </w:rPr>
        <w:t xml:space="preserve"> </w:t>
      </w:r>
      <w:r w:rsidR="001F5A3D" w:rsidRPr="00286CC0">
        <w:rPr>
          <w:szCs w:val="24"/>
          <w:u w:val="single"/>
        </w:rPr>
        <w:t>3 – Authority</w:t>
      </w:r>
    </w:p>
    <w:p w14:paraId="6C2B350A" w14:textId="2224D307" w:rsidR="00663792" w:rsidRPr="001B4A72" w:rsidRDefault="00663792" w:rsidP="001B4A72">
      <w:pPr>
        <w:spacing w:after="240"/>
      </w:pPr>
      <w:r w:rsidRPr="00663792">
        <w:t xml:space="preserve">This </w:t>
      </w:r>
      <w:r w:rsidR="0019209B">
        <w:t>section</w:t>
      </w:r>
      <w:r w:rsidR="0019209B" w:rsidRPr="00663792">
        <w:t xml:space="preserve"> </w:t>
      </w:r>
      <w:r w:rsidRPr="00663792">
        <w:t xml:space="preserve">outlines that the </w:t>
      </w:r>
      <w:r w:rsidR="00D15BD6">
        <w:t xml:space="preserve">Update </w:t>
      </w:r>
      <w:r w:rsidRPr="00663792">
        <w:t xml:space="preserve">Determination </w:t>
      </w:r>
      <w:r w:rsidR="00FF49A7">
        <w:t>is made</w:t>
      </w:r>
      <w:r w:rsidRPr="00663792">
        <w:t xml:space="preserve"> under subsection 10(3) of the </w:t>
      </w:r>
      <w:r w:rsidR="00D15BD6">
        <w:t>Act.</w:t>
      </w:r>
      <w:r w:rsidR="00FF49A7" w:rsidRPr="009D5CEE">
        <w:t xml:space="preserve"> </w:t>
      </w:r>
      <w:r w:rsidR="00FF49A7" w:rsidRPr="00FF49A7">
        <w:t xml:space="preserve">The power to make </w:t>
      </w:r>
      <w:r w:rsidR="00FF49A7">
        <w:t>legislative instruments</w:t>
      </w:r>
      <w:r w:rsidR="00FF49A7" w:rsidRPr="009D5CEE">
        <w:t xml:space="preserve"> under this subsection includes th</w:t>
      </w:r>
      <w:r w:rsidR="00FF49A7" w:rsidRPr="00FF49A7">
        <w:t xml:space="preserve">e power to amend or revoke </w:t>
      </w:r>
      <w:r w:rsidR="00FF49A7">
        <w:t>instruments</w:t>
      </w:r>
      <w:r w:rsidR="00FF49A7" w:rsidRPr="009D5CEE">
        <w:t xml:space="preserve"> that have already been made, with any doubt about this resolved by subsection 33(3) of the</w:t>
      </w:r>
      <w:r w:rsidR="00FF49A7" w:rsidRPr="001B4A72">
        <w:t xml:space="preserve"> </w:t>
      </w:r>
      <w:r w:rsidR="00FF49A7" w:rsidRPr="00DD5D6E">
        <w:rPr>
          <w:i/>
        </w:rPr>
        <w:t>Acts Interpretation Act 1901</w:t>
      </w:r>
      <w:r w:rsidR="00FF49A7" w:rsidRPr="001B4A72">
        <w:t>.</w:t>
      </w:r>
    </w:p>
    <w:p w14:paraId="7FD19CEE" w14:textId="57F71CCD" w:rsidR="001F5A3D" w:rsidRPr="00FC52C4" w:rsidRDefault="0019209B" w:rsidP="008019CF">
      <w:pPr>
        <w:spacing w:before="0" w:after="240"/>
        <w:ind w:right="91"/>
        <w:rPr>
          <w:szCs w:val="24"/>
          <w:u w:val="single"/>
        </w:rPr>
      </w:pPr>
      <w:r>
        <w:rPr>
          <w:szCs w:val="24"/>
          <w:u w:val="single"/>
        </w:rPr>
        <w:t>Section</w:t>
      </w:r>
      <w:r w:rsidRPr="00D33F05">
        <w:rPr>
          <w:szCs w:val="24"/>
          <w:u w:val="single"/>
        </w:rPr>
        <w:t xml:space="preserve"> </w:t>
      </w:r>
      <w:r w:rsidR="001F5A3D" w:rsidRPr="00D33F05">
        <w:rPr>
          <w:szCs w:val="24"/>
          <w:u w:val="single"/>
        </w:rPr>
        <w:t>4 – Schedules</w:t>
      </w:r>
    </w:p>
    <w:p w14:paraId="7FD19CEF" w14:textId="147751AF" w:rsidR="001F5A3D" w:rsidRPr="00567F6A" w:rsidRDefault="005A0267" w:rsidP="00567F6A">
      <w:pPr>
        <w:spacing w:after="240"/>
      </w:pPr>
      <w:r w:rsidRPr="005A0267">
        <w:t xml:space="preserve">The amendments to the </w:t>
      </w:r>
      <w:r w:rsidR="00D15BD6">
        <w:t xml:space="preserve">Measurement </w:t>
      </w:r>
      <w:r w:rsidRPr="005A0267">
        <w:t>Determination are outlined at Schedule 1</w:t>
      </w:r>
      <w:r w:rsidR="001F5A3D" w:rsidRPr="00567F6A">
        <w:t>.</w:t>
      </w:r>
    </w:p>
    <w:p w14:paraId="2F98FB3C" w14:textId="77777777" w:rsidR="00567F6A" w:rsidRDefault="00567F6A">
      <w:pPr>
        <w:spacing w:before="0" w:after="0"/>
        <w:rPr>
          <w:szCs w:val="24"/>
          <w:u w:val="single"/>
        </w:rPr>
      </w:pPr>
      <w:r>
        <w:rPr>
          <w:szCs w:val="24"/>
          <w:u w:val="single"/>
        </w:rPr>
        <w:br w:type="page"/>
      </w:r>
    </w:p>
    <w:p w14:paraId="7FD19CF1" w14:textId="23D7F9DB" w:rsidR="001F5A3D" w:rsidRPr="00FE1B42" w:rsidRDefault="001F5A3D" w:rsidP="00567F6A">
      <w:pPr>
        <w:spacing w:before="0" w:after="240"/>
        <w:ind w:right="91"/>
        <w:rPr>
          <w:b/>
          <w:szCs w:val="24"/>
          <w:u w:val="single"/>
        </w:rPr>
      </w:pPr>
      <w:r w:rsidRPr="00FE1B42">
        <w:rPr>
          <w:b/>
          <w:szCs w:val="24"/>
          <w:u w:val="single"/>
        </w:rPr>
        <w:lastRenderedPageBreak/>
        <w:t xml:space="preserve">Schedule 1 – </w:t>
      </w:r>
      <w:r w:rsidR="00343673" w:rsidRPr="00FE1B42">
        <w:rPr>
          <w:b/>
          <w:szCs w:val="24"/>
          <w:u w:val="single"/>
        </w:rPr>
        <w:t>Amendments</w:t>
      </w:r>
    </w:p>
    <w:p w14:paraId="1198F03E" w14:textId="3EF66FDC" w:rsidR="00FE1B42" w:rsidRDefault="00FE1B42">
      <w:pPr>
        <w:spacing w:before="0" w:after="0"/>
        <w:rPr>
          <w:b/>
          <w:szCs w:val="24"/>
          <w:u w:val="single"/>
        </w:rPr>
      </w:pPr>
    </w:p>
    <w:tbl>
      <w:tblPr>
        <w:tblStyle w:val="TableGrid"/>
        <w:tblW w:w="0" w:type="auto"/>
        <w:tblLook w:val="04A0" w:firstRow="1" w:lastRow="0" w:firstColumn="1" w:lastColumn="0" w:noHBand="0" w:noVBand="1"/>
      </w:tblPr>
      <w:tblGrid>
        <w:gridCol w:w="1028"/>
        <w:gridCol w:w="2101"/>
        <w:gridCol w:w="5167"/>
      </w:tblGrid>
      <w:tr w:rsidR="00FE1B42" w:rsidRPr="00B704B3" w14:paraId="2E6B0B7C" w14:textId="77777777" w:rsidTr="002D5C37">
        <w:trPr>
          <w:tblHeader/>
        </w:trPr>
        <w:tc>
          <w:tcPr>
            <w:tcW w:w="1028" w:type="dxa"/>
          </w:tcPr>
          <w:p w14:paraId="709F4548" w14:textId="20F765D2" w:rsidR="00FE1B42" w:rsidRPr="00B704B3" w:rsidRDefault="00FE1B42" w:rsidP="00A456D0">
            <w:pPr>
              <w:tabs>
                <w:tab w:val="right" w:pos="9072"/>
              </w:tabs>
              <w:spacing w:after="240"/>
              <w:ind w:right="91"/>
              <w:rPr>
                <w:b/>
                <w:sz w:val="22"/>
                <w:szCs w:val="22"/>
              </w:rPr>
            </w:pPr>
            <w:r w:rsidRPr="00B704B3">
              <w:rPr>
                <w:b/>
                <w:sz w:val="22"/>
                <w:szCs w:val="22"/>
              </w:rPr>
              <w:t xml:space="preserve">Item </w:t>
            </w:r>
          </w:p>
        </w:tc>
        <w:tc>
          <w:tcPr>
            <w:tcW w:w="2101" w:type="dxa"/>
          </w:tcPr>
          <w:p w14:paraId="2931BC44" w14:textId="11CED424" w:rsidR="00FE1B42" w:rsidRPr="00B704B3" w:rsidRDefault="00FE1B42" w:rsidP="00FE1B42">
            <w:pPr>
              <w:tabs>
                <w:tab w:val="right" w:pos="9072"/>
              </w:tabs>
              <w:spacing w:after="240"/>
              <w:ind w:right="91"/>
              <w:rPr>
                <w:b/>
                <w:sz w:val="22"/>
                <w:szCs w:val="22"/>
              </w:rPr>
            </w:pPr>
            <w:r w:rsidRPr="00B704B3">
              <w:rPr>
                <w:b/>
                <w:sz w:val="22"/>
                <w:szCs w:val="22"/>
              </w:rPr>
              <w:t>Item name</w:t>
            </w:r>
          </w:p>
        </w:tc>
        <w:tc>
          <w:tcPr>
            <w:tcW w:w="5167" w:type="dxa"/>
          </w:tcPr>
          <w:p w14:paraId="74103FC3" w14:textId="6EC03BD8" w:rsidR="00FE1B42" w:rsidRPr="00B704B3" w:rsidRDefault="00FE1B42" w:rsidP="00FE1B42">
            <w:pPr>
              <w:tabs>
                <w:tab w:val="right" w:pos="9072"/>
              </w:tabs>
              <w:spacing w:after="240"/>
              <w:ind w:right="91"/>
              <w:rPr>
                <w:b/>
                <w:sz w:val="22"/>
                <w:szCs w:val="22"/>
              </w:rPr>
            </w:pPr>
            <w:r w:rsidRPr="00B704B3">
              <w:rPr>
                <w:b/>
                <w:sz w:val="22"/>
                <w:szCs w:val="22"/>
              </w:rPr>
              <w:t>Description</w:t>
            </w:r>
            <w:r w:rsidR="004F3D3D">
              <w:rPr>
                <w:b/>
                <w:sz w:val="22"/>
                <w:szCs w:val="22"/>
              </w:rPr>
              <w:t xml:space="preserve"> of Amendment</w:t>
            </w:r>
          </w:p>
        </w:tc>
      </w:tr>
      <w:tr w:rsidR="00512944" w:rsidRPr="00B704B3" w14:paraId="7AAD5488" w14:textId="77777777" w:rsidTr="002D5C37">
        <w:tc>
          <w:tcPr>
            <w:tcW w:w="1028" w:type="dxa"/>
          </w:tcPr>
          <w:p w14:paraId="5BA46066" w14:textId="77777777" w:rsidR="00512944" w:rsidRPr="00BD6189" w:rsidRDefault="00512944" w:rsidP="00BD6189">
            <w:pPr>
              <w:pStyle w:val="ListParagraph"/>
              <w:numPr>
                <w:ilvl w:val="0"/>
                <w:numId w:val="45"/>
              </w:numPr>
              <w:tabs>
                <w:tab w:val="right" w:pos="9072"/>
              </w:tabs>
              <w:spacing w:after="240"/>
              <w:ind w:right="91"/>
              <w:jc w:val="right"/>
              <w:rPr>
                <w:b/>
                <w:sz w:val="22"/>
                <w:szCs w:val="22"/>
              </w:rPr>
            </w:pPr>
          </w:p>
        </w:tc>
        <w:tc>
          <w:tcPr>
            <w:tcW w:w="2101" w:type="dxa"/>
          </w:tcPr>
          <w:p w14:paraId="4C13066A" w14:textId="2CAEBE0F" w:rsidR="00512944" w:rsidRPr="00B704B3" w:rsidRDefault="00512944" w:rsidP="00512944">
            <w:pPr>
              <w:tabs>
                <w:tab w:val="right" w:pos="9072"/>
              </w:tabs>
              <w:spacing w:after="240"/>
              <w:ind w:right="91"/>
              <w:rPr>
                <w:b/>
                <w:sz w:val="22"/>
                <w:szCs w:val="22"/>
                <w:u w:val="single"/>
              </w:rPr>
            </w:pPr>
            <w:r w:rsidRPr="00B704B3">
              <w:rPr>
                <w:sz w:val="22"/>
                <w:szCs w:val="22"/>
              </w:rPr>
              <w:t>Section 1.8</w:t>
            </w:r>
          </w:p>
        </w:tc>
        <w:tc>
          <w:tcPr>
            <w:tcW w:w="5167" w:type="dxa"/>
          </w:tcPr>
          <w:p w14:paraId="10E9F6CA" w14:textId="05A56352" w:rsidR="00512944" w:rsidRPr="00B704B3" w:rsidRDefault="00512944" w:rsidP="004F3D3D">
            <w:pPr>
              <w:tabs>
                <w:tab w:val="right" w:pos="9072"/>
              </w:tabs>
              <w:spacing w:after="240"/>
              <w:ind w:right="91"/>
              <w:rPr>
                <w:sz w:val="22"/>
                <w:szCs w:val="22"/>
              </w:rPr>
            </w:pPr>
            <w:r w:rsidRPr="00B704B3">
              <w:rPr>
                <w:sz w:val="22"/>
                <w:szCs w:val="22"/>
              </w:rPr>
              <w:t>Introduces new definition of “</w:t>
            </w:r>
            <w:proofErr w:type="spellStart"/>
            <w:r w:rsidRPr="00B704B3">
              <w:rPr>
                <w:sz w:val="22"/>
                <w:szCs w:val="22"/>
              </w:rPr>
              <w:t>biomethane</w:t>
            </w:r>
            <w:proofErr w:type="spellEnd"/>
            <w:r w:rsidRPr="00B704B3">
              <w:rPr>
                <w:sz w:val="22"/>
                <w:szCs w:val="22"/>
              </w:rPr>
              <w:t xml:space="preserve">” </w:t>
            </w:r>
            <w:r w:rsidR="004F3D3D">
              <w:rPr>
                <w:sz w:val="22"/>
                <w:szCs w:val="22"/>
              </w:rPr>
              <w:t xml:space="preserve">by reference to the NGER Regulations. That definition is </w:t>
            </w:r>
            <w:r w:rsidRPr="00B704B3">
              <w:rPr>
                <w:sz w:val="22"/>
                <w:szCs w:val="22"/>
              </w:rPr>
              <w:t>consistent with</w:t>
            </w:r>
            <w:r w:rsidR="004F3D3D">
              <w:rPr>
                <w:sz w:val="22"/>
                <w:szCs w:val="22"/>
              </w:rPr>
              <w:t xml:space="preserve"> the</w:t>
            </w:r>
            <w:r w:rsidRPr="00B704B3">
              <w:rPr>
                <w:sz w:val="22"/>
                <w:szCs w:val="22"/>
              </w:rPr>
              <w:t xml:space="preserve"> 2022 </w:t>
            </w:r>
            <w:proofErr w:type="spellStart"/>
            <w:r w:rsidRPr="00B704B3">
              <w:rPr>
                <w:sz w:val="22"/>
                <w:szCs w:val="22"/>
              </w:rPr>
              <w:t>biomethane</w:t>
            </w:r>
            <w:proofErr w:type="spellEnd"/>
            <w:r w:rsidRPr="00B704B3">
              <w:rPr>
                <w:sz w:val="22"/>
                <w:szCs w:val="22"/>
              </w:rPr>
              <w:t xml:space="preserve"> method variations under the Emissions Reduction Fund.</w:t>
            </w:r>
          </w:p>
        </w:tc>
      </w:tr>
      <w:tr w:rsidR="00512944" w:rsidRPr="00B704B3" w14:paraId="055B1A4C" w14:textId="77777777" w:rsidTr="002D5C37">
        <w:tc>
          <w:tcPr>
            <w:tcW w:w="1028" w:type="dxa"/>
          </w:tcPr>
          <w:p w14:paraId="00F7AD09" w14:textId="77777777" w:rsidR="00512944" w:rsidRPr="00BD6189" w:rsidRDefault="00512944" w:rsidP="00512944">
            <w:pPr>
              <w:pStyle w:val="ListParagraph"/>
              <w:numPr>
                <w:ilvl w:val="0"/>
                <w:numId w:val="45"/>
              </w:numPr>
              <w:tabs>
                <w:tab w:val="right" w:pos="9072"/>
              </w:tabs>
              <w:spacing w:after="240"/>
              <w:ind w:right="91"/>
              <w:jc w:val="right"/>
              <w:rPr>
                <w:b/>
                <w:sz w:val="22"/>
                <w:szCs w:val="22"/>
              </w:rPr>
            </w:pPr>
            <w:bookmarkStart w:id="12" w:name="_GoBack"/>
          </w:p>
        </w:tc>
        <w:tc>
          <w:tcPr>
            <w:tcW w:w="2101" w:type="dxa"/>
          </w:tcPr>
          <w:p w14:paraId="38B5D290" w14:textId="111E5632" w:rsidR="00512944" w:rsidRPr="00B704B3" w:rsidRDefault="00512944" w:rsidP="00512944">
            <w:pPr>
              <w:tabs>
                <w:tab w:val="right" w:pos="9072"/>
              </w:tabs>
              <w:spacing w:after="240"/>
              <w:ind w:right="91"/>
              <w:rPr>
                <w:b/>
                <w:sz w:val="22"/>
                <w:szCs w:val="22"/>
                <w:u w:val="single"/>
              </w:rPr>
            </w:pPr>
            <w:r w:rsidRPr="00B704B3">
              <w:rPr>
                <w:sz w:val="22"/>
                <w:szCs w:val="22"/>
              </w:rPr>
              <w:t xml:space="preserve">Subsection 2.5(1) (definition of </w:t>
            </w:r>
            <w:proofErr w:type="spellStart"/>
            <w:r w:rsidRPr="00B704B3">
              <w:rPr>
                <w:i/>
                <w:sz w:val="22"/>
                <w:szCs w:val="22"/>
              </w:rPr>
              <w:t>EF</w:t>
            </w:r>
            <w:r w:rsidRPr="00B704B3">
              <w:rPr>
                <w:i/>
                <w:sz w:val="22"/>
                <w:szCs w:val="22"/>
                <w:vertAlign w:val="subscript"/>
              </w:rPr>
              <w:t>ico</w:t>
            </w:r>
            <w:proofErr w:type="spellEnd"/>
            <w:r w:rsidRPr="00B704B3">
              <w:rPr>
                <w:i/>
                <w:position w:val="-6"/>
                <w:sz w:val="22"/>
                <w:szCs w:val="22"/>
                <w:vertAlign w:val="subscript"/>
              </w:rPr>
              <w:t>2</w:t>
            </w:r>
            <w:proofErr w:type="spellStart"/>
            <w:r w:rsidRPr="00B704B3">
              <w:rPr>
                <w:i/>
                <w:sz w:val="22"/>
                <w:szCs w:val="22"/>
                <w:vertAlign w:val="subscript"/>
              </w:rPr>
              <w:t>oxec</w:t>
            </w:r>
            <w:proofErr w:type="spellEnd"/>
            <w:r w:rsidRPr="00B704B3">
              <w:rPr>
                <w:sz w:val="22"/>
                <w:szCs w:val="22"/>
              </w:rPr>
              <w:t>)</w:t>
            </w:r>
          </w:p>
        </w:tc>
        <w:tc>
          <w:tcPr>
            <w:tcW w:w="5167" w:type="dxa"/>
          </w:tcPr>
          <w:p w14:paraId="325BC32B" w14:textId="307614EC" w:rsidR="00512944" w:rsidRPr="00B704B3" w:rsidRDefault="00CD3982" w:rsidP="00B97380">
            <w:pPr>
              <w:tabs>
                <w:tab w:val="right" w:pos="9072"/>
              </w:tabs>
              <w:spacing w:after="240"/>
              <w:ind w:right="91"/>
              <w:rPr>
                <w:sz w:val="22"/>
                <w:szCs w:val="22"/>
              </w:rPr>
            </w:pPr>
            <w:r w:rsidRPr="00B704B3">
              <w:rPr>
                <w:sz w:val="22"/>
                <w:szCs w:val="22"/>
              </w:rPr>
              <w:t>Confirms</w:t>
            </w:r>
            <w:r w:rsidR="009950D4" w:rsidRPr="00B704B3">
              <w:rPr>
                <w:sz w:val="22"/>
                <w:szCs w:val="22"/>
              </w:rPr>
              <w:t xml:space="preserve"> that the zero carbon dioxide emission factor for biogenic fuels applies under Method 2 for combustion of solid fuels</w:t>
            </w:r>
            <w:r w:rsidR="00CE1DD5" w:rsidRPr="00B704B3">
              <w:rPr>
                <w:sz w:val="22"/>
                <w:szCs w:val="22"/>
              </w:rPr>
              <w:t xml:space="preserve"> when using a default oxidation factor</w:t>
            </w:r>
            <w:r w:rsidR="009950D4" w:rsidRPr="00B704B3">
              <w:rPr>
                <w:sz w:val="22"/>
                <w:szCs w:val="22"/>
              </w:rPr>
              <w:t>.</w:t>
            </w:r>
          </w:p>
        </w:tc>
      </w:tr>
      <w:bookmarkEnd w:id="12"/>
      <w:tr w:rsidR="00512944" w:rsidRPr="00B704B3" w14:paraId="1562AA57" w14:textId="77777777" w:rsidTr="002D5C37">
        <w:tc>
          <w:tcPr>
            <w:tcW w:w="1028" w:type="dxa"/>
          </w:tcPr>
          <w:p w14:paraId="71DD37CF" w14:textId="77777777" w:rsidR="00512944" w:rsidRPr="00BD6189" w:rsidRDefault="00512944" w:rsidP="00512944">
            <w:pPr>
              <w:pStyle w:val="ListParagraph"/>
              <w:numPr>
                <w:ilvl w:val="0"/>
                <w:numId w:val="45"/>
              </w:numPr>
              <w:tabs>
                <w:tab w:val="right" w:pos="9072"/>
              </w:tabs>
              <w:spacing w:after="240"/>
              <w:ind w:right="91"/>
              <w:jc w:val="right"/>
              <w:rPr>
                <w:b/>
                <w:sz w:val="22"/>
                <w:szCs w:val="22"/>
              </w:rPr>
            </w:pPr>
          </w:p>
        </w:tc>
        <w:tc>
          <w:tcPr>
            <w:tcW w:w="2101" w:type="dxa"/>
          </w:tcPr>
          <w:p w14:paraId="4EB30772" w14:textId="53EE7B11" w:rsidR="00512944" w:rsidRPr="00B704B3" w:rsidRDefault="00512944" w:rsidP="00512944">
            <w:pPr>
              <w:tabs>
                <w:tab w:val="right" w:pos="9072"/>
              </w:tabs>
              <w:spacing w:after="240"/>
              <w:ind w:right="91"/>
              <w:rPr>
                <w:b/>
                <w:sz w:val="22"/>
                <w:szCs w:val="22"/>
                <w:u w:val="single"/>
              </w:rPr>
            </w:pPr>
            <w:r w:rsidRPr="00B704B3">
              <w:rPr>
                <w:sz w:val="22"/>
                <w:szCs w:val="22"/>
              </w:rPr>
              <w:t xml:space="preserve">Subsection 2.6(1) (definition of </w:t>
            </w:r>
            <w:proofErr w:type="spellStart"/>
            <w:r w:rsidRPr="00B704B3">
              <w:rPr>
                <w:i/>
                <w:sz w:val="22"/>
                <w:szCs w:val="22"/>
              </w:rPr>
              <w:t>EF</w:t>
            </w:r>
            <w:r w:rsidRPr="00B704B3">
              <w:rPr>
                <w:i/>
                <w:sz w:val="22"/>
                <w:szCs w:val="22"/>
                <w:vertAlign w:val="subscript"/>
              </w:rPr>
              <w:t>ico</w:t>
            </w:r>
            <w:proofErr w:type="spellEnd"/>
            <w:r w:rsidRPr="00B704B3">
              <w:rPr>
                <w:i/>
                <w:position w:val="-6"/>
                <w:sz w:val="22"/>
                <w:szCs w:val="22"/>
                <w:vertAlign w:val="subscript"/>
              </w:rPr>
              <w:t>2</w:t>
            </w:r>
            <w:proofErr w:type="spellStart"/>
            <w:r w:rsidRPr="00B704B3">
              <w:rPr>
                <w:i/>
                <w:sz w:val="22"/>
                <w:szCs w:val="22"/>
                <w:vertAlign w:val="subscript"/>
              </w:rPr>
              <w:t>oxec</w:t>
            </w:r>
            <w:proofErr w:type="spellEnd"/>
            <w:r w:rsidRPr="00B704B3">
              <w:rPr>
                <w:sz w:val="22"/>
                <w:szCs w:val="22"/>
              </w:rPr>
              <w:t>)</w:t>
            </w:r>
          </w:p>
        </w:tc>
        <w:tc>
          <w:tcPr>
            <w:tcW w:w="5167" w:type="dxa"/>
          </w:tcPr>
          <w:p w14:paraId="45317502" w14:textId="1226A1EB" w:rsidR="00512944" w:rsidRPr="00B704B3" w:rsidRDefault="00CD3982" w:rsidP="00CE1DD5">
            <w:pPr>
              <w:tabs>
                <w:tab w:val="right" w:pos="9072"/>
              </w:tabs>
              <w:spacing w:after="240"/>
              <w:ind w:right="91"/>
              <w:rPr>
                <w:sz w:val="22"/>
                <w:szCs w:val="22"/>
              </w:rPr>
            </w:pPr>
            <w:r w:rsidRPr="00B704B3">
              <w:rPr>
                <w:sz w:val="22"/>
                <w:szCs w:val="22"/>
              </w:rPr>
              <w:t xml:space="preserve">Confirms </w:t>
            </w:r>
            <w:r w:rsidR="00CE1DD5" w:rsidRPr="00B704B3">
              <w:rPr>
                <w:sz w:val="22"/>
                <w:szCs w:val="22"/>
              </w:rPr>
              <w:t>that the zero carbon dioxide emission factor for biogenic fuels applies under Method 2 for combustion of solid fuels when using an estimated oxidation factor.</w:t>
            </w:r>
          </w:p>
        </w:tc>
      </w:tr>
      <w:tr w:rsidR="00512944" w:rsidRPr="00B704B3" w14:paraId="6781A974" w14:textId="77777777" w:rsidTr="002D5C37">
        <w:tc>
          <w:tcPr>
            <w:tcW w:w="1028" w:type="dxa"/>
          </w:tcPr>
          <w:p w14:paraId="0F2993BC" w14:textId="77777777" w:rsidR="00512944" w:rsidRPr="00BD6189" w:rsidRDefault="00512944" w:rsidP="00512944">
            <w:pPr>
              <w:pStyle w:val="ListParagraph"/>
              <w:numPr>
                <w:ilvl w:val="0"/>
                <w:numId w:val="45"/>
              </w:numPr>
              <w:tabs>
                <w:tab w:val="right" w:pos="9072"/>
              </w:tabs>
              <w:spacing w:after="240"/>
              <w:ind w:right="91"/>
              <w:jc w:val="right"/>
              <w:rPr>
                <w:b/>
                <w:sz w:val="22"/>
                <w:szCs w:val="22"/>
              </w:rPr>
            </w:pPr>
          </w:p>
        </w:tc>
        <w:tc>
          <w:tcPr>
            <w:tcW w:w="2101" w:type="dxa"/>
          </w:tcPr>
          <w:p w14:paraId="49153DC8" w14:textId="27974B8E" w:rsidR="00512944" w:rsidRPr="00B704B3" w:rsidRDefault="00512944" w:rsidP="00512944">
            <w:pPr>
              <w:tabs>
                <w:tab w:val="right" w:pos="9072"/>
              </w:tabs>
              <w:spacing w:after="240"/>
              <w:ind w:right="91"/>
              <w:rPr>
                <w:b/>
                <w:sz w:val="22"/>
                <w:szCs w:val="22"/>
                <w:u w:val="single"/>
              </w:rPr>
            </w:pPr>
            <w:r w:rsidRPr="00B704B3">
              <w:rPr>
                <w:sz w:val="22"/>
                <w:szCs w:val="22"/>
              </w:rPr>
              <w:t xml:space="preserve">Subsection 2.21(1) (definition of </w:t>
            </w:r>
            <w:proofErr w:type="spellStart"/>
            <w:r w:rsidRPr="00B704B3">
              <w:rPr>
                <w:i/>
                <w:sz w:val="22"/>
                <w:szCs w:val="22"/>
              </w:rPr>
              <w:t>EF</w:t>
            </w:r>
            <w:r w:rsidRPr="00B704B3">
              <w:rPr>
                <w:i/>
                <w:sz w:val="22"/>
                <w:szCs w:val="22"/>
                <w:vertAlign w:val="subscript"/>
              </w:rPr>
              <w:t>ico</w:t>
            </w:r>
            <w:proofErr w:type="spellEnd"/>
            <w:r w:rsidRPr="00B704B3">
              <w:rPr>
                <w:i/>
                <w:position w:val="-6"/>
                <w:sz w:val="22"/>
                <w:szCs w:val="22"/>
                <w:vertAlign w:val="subscript"/>
              </w:rPr>
              <w:t>2</w:t>
            </w:r>
            <w:proofErr w:type="spellStart"/>
            <w:r w:rsidRPr="00B704B3">
              <w:rPr>
                <w:i/>
                <w:sz w:val="22"/>
                <w:szCs w:val="22"/>
                <w:vertAlign w:val="subscript"/>
              </w:rPr>
              <w:t>oxec</w:t>
            </w:r>
            <w:proofErr w:type="spellEnd"/>
            <w:r w:rsidRPr="00B704B3">
              <w:rPr>
                <w:sz w:val="22"/>
                <w:szCs w:val="22"/>
              </w:rPr>
              <w:t>)</w:t>
            </w:r>
          </w:p>
        </w:tc>
        <w:tc>
          <w:tcPr>
            <w:tcW w:w="5167" w:type="dxa"/>
          </w:tcPr>
          <w:p w14:paraId="4EEFFB1F" w14:textId="787EA328" w:rsidR="00512944" w:rsidRPr="00B704B3" w:rsidRDefault="00CD3982" w:rsidP="00CE1DD5">
            <w:pPr>
              <w:tabs>
                <w:tab w:val="right" w:pos="9072"/>
              </w:tabs>
              <w:spacing w:after="240"/>
              <w:ind w:right="91"/>
              <w:rPr>
                <w:sz w:val="22"/>
                <w:szCs w:val="22"/>
              </w:rPr>
            </w:pPr>
            <w:r w:rsidRPr="00B704B3">
              <w:rPr>
                <w:sz w:val="22"/>
                <w:szCs w:val="22"/>
              </w:rPr>
              <w:t xml:space="preserve">Confirms </w:t>
            </w:r>
            <w:r w:rsidR="00CE1DD5" w:rsidRPr="00B704B3">
              <w:rPr>
                <w:sz w:val="22"/>
                <w:szCs w:val="22"/>
              </w:rPr>
              <w:t>that the zero carbon dioxide emission factor for biogenic fuels applies under Method 2 for combustion of gaseous fuels.</w:t>
            </w:r>
          </w:p>
        </w:tc>
      </w:tr>
      <w:tr w:rsidR="002D2CFD" w:rsidRPr="00B704B3" w14:paraId="6C25518B" w14:textId="77777777" w:rsidTr="002D5C37">
        <w:tc>
          <w:tcPr>
            <w:tcW w:w="1028" w:type="dxa"/>
          </w:tcPr>
          <w:p w14:paraId="738E9EEA" w14:textId="77777777" w:rsidR="002D2CFD" w:rsidRPr="00BD6189" w:rsidRDefault="002D2CFD" w:rsidP="002D2CFD">
            <w:pPr>
              <w:pStyle w:val="ListParagraph"/>
              <w:numPr>
                <w:ilvl w:val="0"/>
                <w:numId w:val="45"/>
              </w:numPr>
              <w:tabs>
                <w:tab w:val="right" w:pos="9072"/>
              </w:tabs>
              <w:spacing w:after="240"/>
              <w:ind w:right="91"/>
              <w:jc w:val="right"/>
              <w:rPr>
                <w:b/>
                <w:sz w:val="22"/>
                <w:szCs w:val="22"/>
              </w:rPr>
            </w:pPr>
          </w:p>
        </w:tc>
        <w:tc>
          <w:tcPr>
            <w:tcW w:w="2101" w:type="dxa"/>
          </w:tcPr>
          <w:p w14:paraId="417370C4" w14:textId="2FC34BF9" w:rsidR="002D2CFD" w:rsidRPr="00B704B3" w:rsidRDefault="002D2CFD" w:rsidP="002D2CFD">
            <w:pPr>
              <w:tabs>
                <w:tab w:val="right" w:pos="9072"/>
              </w:tabs>
              <w:spacing w:after="240"/>
              <w:ind w:right="91"/>
              <w:rPr>
                <w:b/>
                <w:sz w:val="22"/>
                <w:szCs w:val="22"/>
                <w:u w:val="single"/>
              </w:rPr>
            </w:pPr>
            <w:r w:rsidRPr="00B704B3">
              <w:rPr>
                <w:sz w:val="22"/>
                <w:szCs w:val="22"/>
              </w:rPr>
              <w:t xml:space="preserve">Subsection 2.42(1) (definition of </w:t>
            </w:r>
            <w:proofErr w:type="spellStart"/>
            <w:r w:rsidRPr="00B704B3">
              <w:rPr>
                <w:i/>
                <w:sz w:val="22"/>
                <w:szCs w:val="22"/>
              </w:rPr>
              <w:t>EF</w:t>
            </w:r>
            <w:r w:rsidRPr="00B704B3">
              <w:rPr>
                <w:i/>
                <w:sz w:val="22"/>
                <w:szCs w:val="22"/>
                <w:vertAlign w:val="subscript"/>
              </w:rPr>
              <w:t>ico</w:t>
            </w:r>
            <w:proofErr w:type="spellEnd"/>
            <w:r w:rsidRPr="00B704B3">
              <w:rPr>
                <w:i/>
                <w:position w:val="-6"/>
                <w:sz w:val="22"/>
                <w:szCs w:val="22"/>
                <w:vertAlign w:val="subscript"/>
              </w:rPr>
              <w:t>2</w:t>
            </w:r>
            <w:proofErr w:type="spellStart"/>
            <w:r w:rsidRPr="00B704B3">
              <w:rPr>
                <w:i/>
                <w:sz w:val="22"/>
                <w:szCs w:val="22"/>
                <w:vertAlign w:val="subscript"/>
              </w:rPr>
              <w:t>oxec</w:t>
            </w:r>
            <w:proofErr w:type="spellEnd"/>
            <w:r w:rsidRPr="00B704B3">
              <w:rPr>
                <w:sz w:val="22"/>
                <w:szCs w:val="22"/>
              </w:rPr>
              <w:t>)</w:t>
            </w:r>
          </w:p>
        </w:tc>
        <w:tc>
          <w:tcPr>
            <w:tcW w:w="5167" w:type="dxa"/>
          </w:tcPr>
          <w:p w14:paraId="04B9EF7D" w14:textId="46EB41DA" w:rsidR="002D2CFD" w:rsidRPr="00B704B3" w:rsidRDefault="00CD3982" w:rsidP="002D2CFD">
            <w:pPr>
              <w:tabs>
                <w:tab w:val="right" w:pos="9072"/>
              </w:tabs>
              <w:spacing w:after="240"/>
              <w:ind w:right="91"/>
              <w:rPr>
                <w:sz w:val="22"/>
                <w:szCs w:val="22"/>
              </w:rPr>
            </w:pPr>
            <w:r w:rsidRPr="00B704B3">
              <w:rPr>
                <w:sz w:val="22"/>
                <w:szCs w:val="22"/>
              </w:rPr>
              <w:t xml:space="preserve">Confirms </w:t>
            </w:r>
            <w:r w:rsidR="002D2CFD" w:rsidRPr="00B704B3">
              <w:rPr>
                <w:sz w:val="22"/>
                <w:szCs w:val="22"/>
              </w:rPr>
              <w:t>that the zero carbon dioxide emission factor for biogenic fuels applies under Method 2 for combustion of liquid fuels.</w:t>
            </w:r>
          </w:p>
        </w:tc>
      </w:tr>
      <w:tr w:rsidR="00512944" w:rsidRPr="00B704B3" w14:paraId="1BA6E93C" w14:textId="77777777" w:rsidTr="002D5C37">
        <w:tc>
          <w:tcPr>
            <w:tcW w:w="1028" w:type="dxa"/>
          </w:tcPr>
          <w:p w14:paraId="35BA8BE8" w14:textId="77777777" w:rsidR="00512944" w:rsidRPr="00BD6189" w:rsidRDefault="00512944" w:rsidP="00512944">
            <w:pPr>
              <w:pStyle w:val="ListParagraph"/>
              <w:numPr>
                <w:ilvl w:val="0"/>
                <w:numId w:val="45"/>
              </w:numPr>
              <w:tabs>
                <w:tab w:val="right" w:pos="9072"/>
              </w:tabs>
              <w:spacing w:after="240"/>
              <w:ind w:right="91"/>
              <w:jc w:val="right"/>
              <w:rPr>
                <w:b/>
                <w:sz w:val="22"/>
                <w:szCs w:val="22"/>
              </w:rPr>
            </w:pPr>
          </w:p>
        </w:tc>
        <w:tc>
          <w:tcPr>
            <w:tcW w:w="2101" w:type="dxa"/>
          </w:tcPr>
          <w:p w14:paraId="509601B2" w14:textId="03A88A18" w:rsidR="00512944" w:rsidRPr="00B704B3" w:rsidRDefault="00512944" w:rsidP="00512944">
            <w:pPr>
              <w:tabs>
                <w:tab w:val="right" w:pos="9072"/>
              </w:tabs>
              <w:spacing w:after="240"/>
              <w:ind w:right="91"/>
              <w:rPr>
                <w:b/>
                <w:sz w:val="22"/>
                <w:szCs w:val="22"/>
                <w:u w:val="single"/>
              </w:rPr>
            </w:pPr>
            <w:r w:rsidRPr="00B704B3">
              <w:rPr>
                <w:sz w:val="22"/>
                <w:szCs w:val="22"/>
              </w:rPr>
              <w:t>Subsection 2.12(3) (table item 7)</w:t>
            </w:r>
          </w:p>
        </w:tc>
        <w:tc>
          <w:tcPr>
            <w:tcW w:w="5167" w:type="dxa"/>
          </w:tcPr>
          <w:p w14:paraId="25CBEF45" w14:textId="2AAC4365" w:rsidR="00512944" w:rsidRPr="00B704B3" w:rsidRDefault="006A1BEB" w:rsidP="006A1BEB">
            <w:pPr>
              <w:tabs>
                <w:tab w:val="right" w:pos="9072"/>
              </w:tabs>
              <w:spacing w:after="240"/>
              <w:ind w:right="91"/>
              <w:rPr>
                <w:sz w:val="22"/>
                <w:szCs w:val="22"/>
              </w:rPr>
            </w:pPr>
            <w:r w:rsidRPr="00B704B3">
              <w:rPr>
                <w:sz w:val="22"/>
                <w:szCs w:val="22"/>
              </w:rPr>
              <w:t xml:space="preserve">Omits the words ‘and tyres’ from table item 7 of </w:t>
            </w:r>
            <w:r w:rsidR="003F47E4" w:rsidRPr="00B704B3">
              <w:rPr>
                <w:sz w:val="22"/>
                <w:szCs w:val="22"/>
              </w:rPr>
              <w:t>sub</w:t>
            </w:r>
            <w:r w:rsidRPr="00B704B3">
              <w:rPr>
                <w:sz w:val="22"/>
                <w:szCs w:val="22"/>
              </w:rPr>
              <w:t>section 2.12(3)</w:t>
            </w:r>
            <w:r w:rsidR="003F47E4" w:rsidRPr="00B704B3">
              <w:rPr>
                <w:sz w:val="22"/>
                <w:szCs w:val="22"/>
              </w:rPr>
              <w:t>,</w:t>
            </w:r>
            <w:r w:rsidR="002D5C37" w:rsidRPr="00B704B3">
              <w:rPr>
                <w:sz w:val="22"/>
                <w:szCs w:val="22"/>
              </w:rPr>
              <w:t xml:space="preserve"> </w:t>
            </w:r>
            <w:r w:rsidR="003F47E4" w:rsidRPr="00B704B3">
              <w:rPr>
                <w:sz w:val="22"/>
                <w:szCs w:val="22"/>
              </w:rPr>
              <w:t>as new stand-alone fuel types for tyres are created by these amendments.</w:t>
            </w:r>
          </w:p>
        </w:tc>
      </w:tr>
      <w:tr w:rsidR="002D5C37" w:rsidRPr="00B704B3" w14:paraId="6CF8C675" w14:textId="77777777" w:rsidTr="002D5C37">
        <w:tc>
          <w:tcPr>
            <w:tcW w:w="1028" w:type="dxa"/>
          </w:tcPr>
          <w:p w14:paraId="5F9837B0" w14:textId="77777777" w:rsidR="002D5C37" w:rsidRPr="00BD6189" w:rsidRDefault="002D5C37" w:rsidP="002D5C37">
            <w:pPr>
              <w:pStyle w:val="ListParagraph"/>
              <w:numPr>
                <w:ilvl w:val="0"/>
                <w:numId w:val="45"/>
              </w:numPr>
              <w:tabs>
                <w:tab w:val="right" w:pos="9072"/>
              </w:tabs>
              <w:spacing w:after="240"/>
              <w:ind w:right="91"/>
              <w:jc w:val="right"/>
              <w:rPr>
                <w:b/>
                <w:sz w:val="22"/>
                <w:szCs w:val="22"/>
              </w:rPr>
            </w:pPr>
          </w:p>
        </w:tc>
        <w:tc>
          <w:tcPr>
            <w:tcW w:w="2101" w:type="dxa"/>
          </w:tcPr>
          <w:p w14:paraId="6D9D31DA" w14:textId="0D0E7D68" w:rsidR="002D5C37" w:rsidRPr="00B704B3" w:rsidRDefault="002D5C37" w:rsidP="002D5C37">
            <w:pPr>
              <w:tabs>
                <w:tab w:val="right" w:pos="9072"/>
              </w:tabs>
              <w:spacing w:after="240"/>
              <w:ind w:right="91"/>
              <w:rPr>
                <w:b/>
                <w:sz w:val="22"/>
                <w:szCs w:val="22"/>
                <w:u w:val="single"/>
              </w:rPr>
            </w:pPr>
            <w:r w:rsidRPr="00B704B3">
              <w:rPr>
                <w:sz w:val="22"/>
                <w:szCs w:val="22"/>
              </w:rPr>
              <w:t>Subsection 2.12(3) (after table item 7)</w:t>
            </w:r>
          </w:p>
        </w:tc>
        <w:tc>
          <w:tcPr>
            <w:tcW w:w="5167" w:type="dxa"/>
          </w:tcPr>
          <w:p w14:paraId="428E6D02" w14:textId="70C5797D" w:rsidR="002D5C37" w:rsidRPr="00B704B3" w:rsidRDefault="002D5C37" w:rsidP="002D5C37">
            <w:pPr>
              <w:tabs>
                <w:tab w:val="right" w:pos="9072"/>
              </w:tabs>
              <w:spacing w:after="240"/>
              <w:ind w:right="91"/>
              <w:rPr>
                <w:sz w:val="22"/>
                <w:szCs w:val="22"/>
              </w:rPr>
            </w:pPr>
            <w:r w:rsidRPr="00B704B3">
              <w:rPr>
                <w:sz w:val="22"/>
                <w:szCs w:val="22"/>
              </w:rPr>
              <w:t>Prescribes measurement standards for analysing samples of passenger car and truck and off-road tyres for the purpose of reporting emissions using Method 3 for combustion of solid fuels. Prescribed standards are as for industrial materials</w:t>
            </w:r>
            <w:r w:rsidR="004F3D3D">
              <w:rPr>
                <w:sz w:val="22"/>
                <w:szCs w:val="22"/>
              </w:rPr>
              <w:t xml:space="preserve"> in table item 7</w:t>
            </w:r>
            <w:r w:rsidRPr="00B704B3">
              <w:rPr>
                <w:sz w:val="22"/>
                <w:szCs w:val="22"/>
              </w:rPr>
              <w:t>.</w:t>
            </w:r>
            <w:r w:rsidR="004F3D3D">
              <w:rPr>
                <w:sz w:val="22"/>
                <w:szCs w:val="22"/>
              </w:rPr>
              <w:t xml:space="preserve"> Subsection 2.12(4) also allows for equivalent standards to be used.</w:t>
            </w:r>
          </w:p>
        </w:tc>
      </w:tr>
      <w:tr w:rsidR="002D5C37" w:rsidRPr="00B704B3" w14:paraId="1FFCEE86" w14:textId="77777777" w:rsidTr="002D5C37">
        <w:tc>
          <w:tcPr>
            <w:tcW w:w="1028" w:type="dxa"/>
          </w:tcPr>
          <w:p w14:paraId="3D7644F5" w14:textId="77777777" w:rsidR="002D5C37" w:rsidRPr="00BD6189" w:rsidRDefault="002D5C37" w:rsidP="002D5C37">
            <w:pPr>
              <w:pStyle w:val="ListParagraph"/>
              <w:numPr>
                <w:ilvl w:val="0"/>
                <w:numId w:val="45"/>
              </w:numPr>
              <w:tabs>
                <w:tab w:val="right" w:pos="9072"/>
              </w:tabs>
              <w:spacing w:after="240"/>
              <w:ind w:right="91"/>
              <w:jc w:val="right"/>
              <w:rPr>
                <w:b/>
                <w:sz w:val="22"/>
                <w:szCs w:val="22"/>
              </w:rPr>
            </w:pPr>
          </w:p>
        </w:tc>
        <w:tc>
          <w:tcPr>
            <w:tcW w:w="2101" w:type="dxa"/>
          </w:tcPr>
          <w:p w14:paraId="7D4035C7" w14:textId="14E605CC" w:rsidR="002D5C37" w:rsidRPr="00B704B3" w:rsidRDefault="002D5C37" w:rsidP="002D5C37">
            <w:pPr>
              <w:tabs>
                <w:tab w:val="right" w:pos="9072"/>
              </w:tabs>
              <w:spacing w:after="240"/>
              <w:ind w:right="91"/>
              <w:rPr>
                <w:b/>
                <w:sz w:val="22"/>
                <w:szCs w:val="22"/>
                <w:u w:val="single"/>
              </w:rPr>
            </w:pPr>
            <w:r w:rsidRPr="00B704B3">
              <w:rPr>
                <w:sz w:val="22"/>
                <w:szCs w:val="22"/>
              </w:rPr>
              <w:t>Subsection 2.24(1) (after table item 12)</w:t>
            </w:r>
          </w:p>
        </w:tc>
        <w:tc>
          <w:tcPr>
            <w:tcW w:w="5167" w:type="dxa"/>
          </w:tcPr>
          <w:p w14:paraId="235C1E23" w14:textId="1F3D44EE" w:rsidR="002D5C37" w:rsidRPr="00B704B3" w:rsidRDefault="002D5C37" w:rsidP="002D5C37">
            <w:pPr>
              <w:tabs>
                <w:tab w:val="right" w:pos="9072"/>
              </w:tabs>
              <w:spacing w:after="240"/>
              <w:ind w:right="91"/>
              <w:rPr>
                <w:sz w:val="22"/>
                <w:szCs w:val="22"/>
              </w:rPr>
            </w:pPr>
            <w:r w:rsidRPr="00B704B3">
              <w:rPr>
                <w:sz w:val="22"/>
                <w:szCs w:val="22"/>
              </w:rPr>
              <w:t xml:space="preserve">Prescribes standards for analysing samples of </w:t>
            </w:r>
            <w:proofErr w:type="spellStart"/>
            <w:r w:rsidRPr="00B704B3">
              <w:rPr>
                <w:sz w:val="22"/>
                <w:szCs w:val="22"/>
              </w:rPr>
              <w:t>biomethane</w:t>
            </w:r>
            <w:proofErr w:type="spellEnd"/>
            <w:r w:rsidRPr="00B704B3">
              <w:rPr>
                <w:sz w:val="22"/>
                <w:szCs w:val="22"/>
              </w:rPr>
              <w:t xml:space="preserve"> for the purpose of reporting emissions using Method 2 for combustion of gaseous fuels. Prescribed standards are as for natural gas</w:t>
            </w:r>
            <w:r w:rsidR="007E347E">
              <w:rPr>
                <w:sz w:val="22"/>
                <w:szCs w:val="22"/>
              </w:rPr>
              <w:t xml:space="preserve"> in table item 1</w:t>
            </w:r>
            <w:r w:rsidRPr="00B704B3">
              <w:rPr>
                <w:sz w:val="22"/>
                <w:szCs w:val="22"/>
              </w:rPr>
              <w:t>.</w:t>
            </w:r>
            <w:r w:rsidR="007E347E">
              <w:rPr>
                <w:sz w:val="22"/>
                <w:szCs w:val="22"/>
              </w:rPr>
              <w:t xml:space="preserve"> Subsection 2.24(2) also allows for equivalent standards to be used</w:t>
            </w:r>
          </w:p>
        </w:tc>
      </w:tr>
      <w:tr w:rsidR="002D5C37" w:rsidRPr="00B704B3" w14:paraId="395E8D51" w14:textId="77777777" w:rsidTr="002D5C37">
        <w:tc>
          <w:tcPr>
            <w:tcW w:w="1028" w:type="dxa"/>
          </w:tcPr>
          <w:p w14:paraId="66F430C2" w14:textId="77777777" w:rsidR="002D5C37" w:rsidRPr="00BD6189" w:rsidRDefault="002D5C37" w:rsidP="002D5C37">
            <w:pPr>
              <w:pStyle w:val="ListParagraph"/>
              <w:numPr>
                <w:ilvl w:val="0"/>
                <w:numId w:val="45"/>
              </w:numPr>
              <w:tabs>
                <w:tab w:val="right" w:pos="9072"/>
              </w:tabs>
              <w:spacing w:after="240"/>
              <w:ind w:right="91"/>
              <w:jc w:val="right"/>
              <w:rPr>
                <w:b/>
                <w:sz w:val="22"/>
                <w:szCs w:val="22"/>
              </w:rPr>
            </w:pPr>
          </w:p>
        </w:tc>
        <w:tc>
          <w:tcPr>
            <w:tcW w:w="2101" w:type="dxa"/>
          </w:tcPr>
          <w:p w14:paraId="40FF5F2A" w14:textId="674418C0" w:rsidR="002D5C37" w:rsidRPr="00B704B3" w:rsidRDefault="002D5C37" w:rsidP="002D5C37">
            <w:pPr>
              <w:tabs>
                <w:tab w:val="right" w:pos="9072"/>
              </w:tabs>
              <w:spacing w:after="240"/>
              <w:ind w:right="91"/>
              <w:rPr>
                <w:sz w:val="22"/>
                <w:szCs w:val="22"/>
              </w:rPr>
            </w:pPr>
            <w:r w:rsidRPr="00B704B3">
              <w:rPr>
                <w:sz w:val="22"/>
                <w:szCs w:val="22"/>
              </w:rPr>
              <w:t>Subsection 2.24(1) (table item 13)</w:t>
            </w:r>
          </w:p>
        </w:tc>
        <w:tc>
          <w:tcPr>
            <w:tcW w:w="5167" w:type="dxa"/>
          </w:tcPr>
          <w:p w14:paraId="1FF29C2F" w14:textId="73741583" w:rsidR="002D5C37" w:rsidRPr="00B704B3" w:rsidRDefault="002D5C37" w:rsidP="002D5C37">
            <w:pPr>
              <w:tabs>
                <w:tab w:val="right" w:pos="9072"/>
              </w:tabs>
              <w:spacing w:after="240"/>
              <w:ind w:right="91"/>
              <w:rPr>
                <w:sz w:val="22"/>
                <w:szCs w:val="22"/>
              </w:rPr>
            </w:pPr>
            <w:r w:rsidRPr="00B704B3">
              <w:rPr>
                <w:sz w:val="22"/>
                <w:szCs w:val="22"/>
              </w:rPr>
              <w:t>Editorial- see item 8 above.</w:t>
            </w:r>
            <w:r w:rsidR="007E347E">
              <w:rPr>
                <w:sz w:val="22"/>
                <w:szCs w:val="22"/>
              </w:rPr>
              <w:t xml:space="preserve"> This avoids overlap between table item 13 and the new </w:t>
            </w:r>
            <w:proofErr w:type="spellStart"/>
            <w:r w:rsidR="007E347E">
              <w:rPr>
                <w:sz w:val="22"/>
                <w:szCs w:val="22"/>
              </w:rPr>
              <w:t>biomethane</w:t>
            </w:r>
            <w:proofErr w:type="spellEnd"/>
            <w:r w:rsidR="007E347E">
              <w:rPr>
                <w:sz w:val="22"/>
                <w:szCs w:val="22"/>
              </w:rPr>
              <w:t xml:space="preserve"> fuel type.</w:t>
            </w:r>
          </w:p>
        </w:tc>
      </w:tr>
      <w:tr w:rsidR="002D5C37" w:rsidRPr="00B704B3" w14:paraId="201AB1AA" w14:textId="77777777" w:rsidTr="002D5C37">
        <w:tc>
          <w:tcPr>
            <w:tcW w:w="1028" w:type="dxa"/>
          </w:tcPr>
          <w:p w14:paraId="46F141E5" w14:textId="77777777" w:rsidR="002D5C37" w:rsidRPr="00BD6189" w:rsidRDefault="002D5C37" w:rsidP="002D5C37">
            <w:pPr>
              <w:pStyle w:val="ListParagraph"/>
              <w:numPr>
                <w:ilvl w:val="0"/>
                <w:numId w:val="45"/>
              </w:numPr>
              <w:tabs>
                <w:tab w:val="right" w:pos="9072"/>
              </w:tabs>
              <w:spacing w:after="240"/>
              <w:ind w:right="91"/>
              <w:jc w:val="right"/>
              <w:rPr>
                <w:b/>
                <w:sz w:val="22"/>
                <w:szCs w:val="22"/>
              </w:rPr>
            </w:pPr>
          </w:p>
        </w:tc>
        <w:tc>
          <w:tcPr>
            <w:tcW w:w="2101" w:type="dxa"/>
          </w:tcPr>
          <w:p w14:paraId="3079D405" w14:textId="0DAD74EA" w:rsidR="002D5C37" w:rsidRPr="00B704B3" w:rsidRDefault="002D5C37" w:rsidP="002D5C37">
            <w:pPr>
              <w:tabs>
                <w:tab w:val="right" w:pos="9072"/>
              </w:tabs>
              <w:spacing w:after="240"/>
              <w:ind w:right="91"/>
              <w:rPr>
                <w:sz w:val="22"/>
                <w:szCs w:val="22"/>
              </w:rPr>
            </w:pPr>
            <w:r w:rsidRPr="00B704B3">
              <w:rPr>
                <w:sz w:val="22"/>
                <w:szCs w:val="22"/>
              </w:rPr>
              <w:t>Subsection 2.26(3) (after table item 12)</w:t>
            </w:r>
          </w:p>
        </w:tc>
        <w:tc>
          <w:tcPr>
            <w:tcW w:w="5167" w:type="dxa"/>
          </w:tcPr>
          <w:p w14:paraId="4CC797E3" w14:textId="1A7D4BBF" w:rsidR="002D5C37" w:rsidRPr="00B704B3" w:rsidRDefault="002D5C37" w:rsidP="007E347E">
            <w:pPr>
              <w:tabs>
                <w:tab w:val="right" w:pos="9072"/>
              </w:tabs>
              <w:spacing w:after="240"/>
              <w:ind w:right="91"/>
              <w:rPr>
                <w:sz w:val="22"/>
                <w:szCs w:val="22"/>
              </w:rPr>
            </w:pPr>
            <w:r w:rsidRPr="00B704B3">
              <w:rPr>
                <w:sz w:val="22"/>
                <w:szCs w:val="22"/>
              </w:rPr>
              <w:t xml:space="preserve">Prescribes standards for analysing samples of </w:t>
            </w:r>
            <w:proofErr w:type="spellStart"/>
            <w:r w:rsidRPr="00B704B3">
              <w:rPr>
                <w:sz w:val="22"/>
                <w:szCs w:val="22"/>
              </w:rPr>
              <w:t>biomethane</w:t>
            </w:r>
            <w:proofErr w:type="spellEnd"/>
            <w:r w:rsidRPr="00B704B3">
              <w:rPr>
                <w:sz w:val="22"/>
                <w:szCs w:val="22"/>
              </w:rPr>
              <w:t xml:space="preserve"> for the purpose of reporting emissions using Method 3 for combustion of gaseous fuels. Prescribed standards are as for </w:t>
            </w:r>
            <w:r w:rsidR="007E347E">
              <w:rPr>
                <w:sz w:val="22"/>
                <w:szCs w:val="22"/>
              </w:rPr>
              <w:t>most other gaseous fuels, including natural gas and various biogases</w:t>
            </w:r>
            <w:r w:rsidRPr="00B704B3">
              <w:rPr>
                <w:sz w:val="22"/>
                <w:szCs w:val="22"/>
              </w:rPr>
              <w:t>.</w:t>
            </w:r>
            <w:r w:rsidR="007E347E">
              <w:rPr>
                <w:sz w:val="22"/>
                <w:szCs w:val="22"/>
              </w:rPr>
              <w:t xml:space="preserve"> Subsection 2.26(4) also allows for equivalent standards to be used</w:t>
            </w:r>
          </w:p>
        </w:tc>
      </w:tr>
      <w:tr w:rsidR="00F0639A" w:rsidRPr="00B704B3" w14:paraId="4DA53ACA" w14:textId="77777777" w:rsidTr="002D5C37">
        <w:tc>
          <w:tcPr>
            <w:tcW w:w="1028" w:type="dxa"/>
          </w:tcPr>
          <w:p w14:paraId="60640075" w14:textId="744C697D" w:rsidR="00F0639A" w:rsidRPr="00BD6189" w:rsidRDefault="00F0639A" w:rsidP="00F0639A">
            <w:pPr>
              <w:pStyle w:val="ListParagraph"/>
              <w:numPr>
                <w:ilvl w:val="0"/>
                <w:numId w:val="45"/>
              </w:numPr>
              <w:tabs>
                <w:tab w:val="right" w:pos="9072"/>
              </w:tabs>
              <w:spacing w:after="240"/>
              <w:ind w:right="91"/>
              <w:jc w:val="right"/>
              <w:rPr>
                <w:b/>
                <w:sz w:val="22"/>
                <w:szCs w:val="22"/>
              </w:rPr>
            </w:pPr>
          </w:p>
        </w:tc>
        <w:tc>
          <w:tcPr>
            <w:tcW w:w="2101" w:type="dxa"/>
          </w:tcPr>
          <w:p w14:paraId="77727D3D" w14:textId="48AE004B" w:rsidR="00F0639A" w:rsidRPr="00B704B3" w:rsidRDefault="00F0639A" w:rsidP="00F0639A">
            <w:pPr>
              <w:tabs>
                <w:tab w:val="right" w:pos="9072"/>
              </w:tabs>
              <w:spacing w:after="240"/>
              <w:ind w:right="91"/>
              <w:rPr>
                <w:sz w:val="22"/>
                <w:szCs w:val="22"/>
              </w:rPr>
            </w:pPr>
            <w:r w:rsidRPr="00B704B3">
              <w:rPr>
                <w:sz w:val="22"/>
                <w:szCs w:val="22"/>
              </w:rPr>
              <w:t>Subsection 2.26(3) (table item 13)</w:t>
            </w:r>
          </w:p>
        </w:tc>
        <w:tc>
          <w:tcPr>
            <w:tcW w:w="5167" w:type="dxa"/>
          </w:tcPr>
          <w:p w14:paraId="7E3B8D36" w14:textId="56F244E4" w:rsidR="00F0639A" w:rsidRPr="00B704B3" w:rsidRDefault="00F0639A" w:rsidP="007E347E">
            <w:pPr>
              <w:tabs>
                <w:tab w:val="right" w:pos="9072"/>
              </w:tabs>
              <w:spacing w:after="240"/>
              <w:ind w:right="91"/>
              <w:rPr>
                <w:sz w:val="22"/>
                <w:szCs w:val="22"/>
              </w:rPr>
            </w:pPr>
            <w:r w:rsidRPr="00B704B3">
              <w:rPr>
                <w:sz w:val="22"/>
                <w:szCs w:val="22"/>
              </w:rPr>
              <w:t>Editorial.</w:t>
            </w:r>
            <w:r w:rsidR="007E347E">
              <w:rPr>
                <w:sz w:val="22"/>
                <w:szCs w:val="22"/>
              </w:rPr>
              <w:t xml:space="preserve"> This avoids overlap between table item 13 and the new </w:t>
            </w:r>
            <w:proofErr w:type="spellStart"/>
            <w:r w:rsidR="007E347E">
              <w:rPr>
                <w:sz w:val="22"/>
                <w:szCs w:val="22"/>
              </w:rPr>
              <w:t>biomethane</w:t>
            </w:r>
            <w:proofErr w:type="spellEnd"/>
            <w:r w:rsidR="007E347E">
              <w:rPr>
                <w:sz w:val="22"/>
                <w:szCs w:val="22"/>
              </w:rPr>
              <w:t xml:space="preserve"> fuel type.</w:t>
            </w:r>
          </w:p>
        </w:tc>
      </w:tr>
      <w:tr w:rsidR="00F0639A" w:rsidRPr="00B704B3" w14:paraId="78118CA5" w14:textId="77777777" w:rsidTr="002D5C37">
        <w:tc>
          <w:tcPr>
            <w:tcW w:w="1028" w:type="dxa"/>
          </w:tcPr>
          <w:p w14:paraId="135E29BE" w14:textId="722359F4" w:rsidR="00F0639A" w:rsidRPr="00BD6189" w:rsidRDefault="00F0639A" w:rsidP="00F0639A">
            <w:pPr>
              <w:pStyle w:val="ListParagraph"/>
              <w:numPr>
                <w:ilvl w:val="0"/>
                <w:numId w:val="45"/>
              </w:numPr>
              <w:tabs>
                <w:tab w:val="right" w:pos="9072"/>
              </w:tabs>
              <w:spacing w:after="240"/>
              <w:ind w:right="91"/>
              <w:jc w:val="right"/>
              <w:rPr>
                <w:b/>
                <w:sz w:val="22"/>
                <w:szCs w:val="22"/>
              </w:rPr>
            </w:pPr>
          </w:p>
        </w:tc>
        <w:tc>
          <w:tcPr>
            <w:tcW w:w="2101" w:type="dxa"/>
          </w:tcPr>
          <w:p w14:paraId="50919CE1" w14:textId="77777777" w:rsidR="00F0639A" w:rsidRPr="00B704B3" w:rsidRDefault="00F0639A" w:rsidP="00F0639A">
            <w:pPr>
              <w:tabs>
                <w:tab w:val="right" w:pos="9072"/>
              </w:tabs>
              <w:spacing w:after="240"/>
              <w:ind w:right="91"/>
              <w:rPr>
                <w:sz w:val="22"/>
                <w:szCs w:val="22"/>
              </w:rPr>
            </w:pPr>
            <w:r w:rsidRPr="00B704B3">
              <w:rPr>
                <w:sz w:val="22"/>
                <w:szCs w:val="22"/>
              </w:rPr>
              <w:t>Section 2.65</w:t>
            </w:r>
          </w:p>
          <w:p w14:paraId="1E7421C3" w14:textId="77777777" w:rsidR="00F0639A" w:rsidRPr="00B704B3" w:rsidRDefault="00F0639A" w:rsidP="00F0639A">
            <w:pPr>
              <w:tabs>
                <w:tab w:val="right" w:pos="9072"/>
              </w:tabs>
              <w:spacing w:after="240"/>
              <w:ind w:right="91"/>
              <w:rPr>
                <w:sz w:val="22"/>
                <w:szCs w:val="22"/>
              </w:rPr>
            </w:pPr>
          </w:p>
        </w:tc>
        <w:tc>
          <w:tcPr>
            <w:tcW w:w="5167" w:type="dxa"/>
          </w:tcPr>
          <w:p w14:paraId="683FF11B" w14:textId="15419CF0" w:rsidR="00F0639A" w:rsidRPr="00B704B3" w:rsidRDefault="00F0639A" w:rsidP="00F0639A">
            <w:pPr>
              <w:tabs>
                <w:tab w:val="right" w:pos="9072"/>
              </w:tabs>
              <w:spacing w:after="240"/>
              <w:ind w:right="91"/>
              <w:rPr>
                <w:sz w:val="22"/>
                <w:szCs w:val="22"/>
              </w:rPr>
            </w:pPr>
            <w:r w:rsidRPr="00B704B3">
              <w:rPr>
                <w:sz w:val="22"/>
                <w:szCs w:val="22"/>
              </w:rPr>
              <w:t>Editorial- see item 15 below</w:t>
            </w:r>
            <w:r w:rsidR="007E347E">
              <w:rPr>
                <w:sz w:val="22"/>
                <w:szCs w:val="22"/>
              </w:rPr>
              <w:t xml:space="preserve"> as the Part now includes blends of gaseous fuels</w:t>
            </w:r>
            <w:r w:rsidR="00AD6DF8">
              <w:rPr>
                <w:sz w:val="22"/>
                <w:szCs w:val="22"/>
              </w:rPr>
              <w:t xml:space="preserve"> and not just solid and liquid fuels</w:t>
            </w:r>
            <w:r w:rsidRPr="00B704B3">
              <w:rPr>
                <w:sz w:val="22"/>
                <w:szCs w:val="22"/>
              </w:rPr>
              <w:t>.</w:t>
            </w:r>
          </w:p>
        </w:tc>
      </w:tr>
      <w:tr w:rsidR="00F0639A" w:rsidRPr="00B704B3" w14:paraId="0938506C" w14:textId="77777777" w:rsidTr="002D5C37">
        <w:tc>
          <w:tcPr>
            <w:tcW w:w="1028" w:type="dxa"/>
          </w:tcPr>
          <w:p w14:paraId="66E419E2" w14:textId="58D393F4" w:rsidR="00F0639A" w:rsidRPr="00BD6189" w:rsidRDefault="00F0639A" w:rsidP="00F0639A">
            <w:pPr>
              <w:pStyle w:val="ListParagraph"/>
              <w:numPr>
                <w:ilvl w:val="0"/>
                <w:numId w:val="45"/>
              </w:numPr>
              <w:tabs>
                <w:tab w:val="right" w:pos="9072"/>
              </w:tabs>
              <w:spacing w:after="240"/>
              <w:ind w:right="91"/>
              <w:jc w:val="right"/>
              <w:rPr>
                <w:b/>
                <w:sz w:val="22"/>
                <w:szCs w:val="22"/>
              </w:rPr>
            </w:pPr>
          </w:p>
        </w:tc>
        <w:tc>
          <w:tcPr>
            <w:tcW w:w="2101" w:type="dxa"/>
          </w:tcPr>
          <w:p w14:paraId="57C1DF39" w14:textId="0EA50B93" w:rsidR="00F0639A" w:rsidRPr="00B704B3" w:rsidRDefault="00F0639A" w:rsidP="00F0639A">
            <w:pPr>
              <w:tabs>
                <w:tab w:val="right" w:pos="9072"/>
              </w:tabs>
              <w:spacing w:after="240"/>
              <w:ind w:right="91"/>
              <w:rPr>
                <w:sz w:val="22"/>
                <w:szCs w:val="22"/>
              </w:rPr>
            </w:pPr>
            <w:r w:rsidRPr="00B704B3">
              <w:rPr>
                <w:sz w:val="22"/>
                <w:szCs w:val="22"/>
              </w:rPr>
              <w:t>Subparagraph 2.66(1)(b)(ii)</w:t>
            </w:r>
          </w:p>
        </w:tc>
        <w:tc>
          <w:tcPr>
            <w:tcW w:w="5167" w:type="dxa"/>
          </w:tcPr>
          <w:p w14:paraId="439D6BAB" w14:textId="559365D1" w:rsidR="00F0639A" w:rsidRPr="00B704B3" w:rsidRDefault="00F0639A" w:rsidP="00F0639A">
            <w:pPr>
              <w:tabs>
                <w:tab w:val="right" w:pos="9072"/>
              </w:tabs>
              <w:spacing w:after="240"/>
              <w:ind w:right="91"/>
              <w:rPr>
                <w:sz w:val="22"/>
                <w:szCs w:val="22"/>
              </w:rPr>
            </w:pPr>
            <w:r w:rsidRPr="00B704B3">
              <w:rPr>
                <w:sz w:val="22"/>
                <w:szCs w:val="22"/>
              </w:rPr>
              <w:t>Updates the prescribed standard for determining the components of a blended solid fuel to a newer edition.</w:t>
            </w:r>
          </w:p>
        </w:tc>
      </w:tr>
      <w:tr w:rsidR="00F0639A" w:rsidRPr="00B704B3" w14:paraId="614ECC3E" w14:textId="77777777" w:rsidTr="002D5C37">
        <w:tc>
          <w:tcPr>
            <w:tcW w:w="1028" w:type="dxa"/>
          </w:tcPr>
          <w:p w14:paraId="09400179" w14:textId="57B45252" w:rsidR="00F0639A" w:rsidRPr="00BD6189" w:rsidRDefault="00F0639A" w:rsidP="00F0639A">
            <w:pPr>
              <w:pStyle w:val="ListParagraph"/>
              <w:numPr>
                <w:ilvl w:val="0"/>
                <w:numId w:val="45"/>
              </w:numPr>
              <w:tabs>
                <w:tab w:val="right" w:pos="9072"/>
              </w:tabs>
              <w:spacing w:after="240"/>
              <w:ind w:right="91"/>
              <w:jc w:val="right"/>
              <w:rPr>
                <w:b/>
                <w:sz w:val="22"/>
                <w:szCs w:val="22"/>
              </w:rPr>
            </w:pPr>
          </w:p>
        </w:tc>
        <w:tc>
          <w:tcPr>
            <w:tcW w:w="2101" w:type="dxa"/>
          </w:tcPr>
          <w:p w14:paraId="77852D7C" w14:textId="2A2FC7DC" w:rsidR="00F0639A" w:rsidRPr="00B704B3" w:rsidRDefault="00F0639A" w:rsidP="00F0639A">
            <w:pPr>
              <w:tabs>
                <w:tab w:val="right" w:pos="9072"/>
              </w:tabs>
              <w:spacing w:after="240"/>
              <w:ind w:right="91"/>
              <w:rPr>
                <w:sz w:val="22"/>
                <w:szCs w:val="22"/>
              </w:rPr>
            </w:pPr>
            <w:r w:rsidRPr="00B704B3">
              <w:rPr>
                <w:sz w:val="22"/>
                <w:szCs w:val="22"/>
              </w:rPr>
              <w:t>Paragraph 2.67(1)(b)</w:t>
            </w:r>
          </w:p>
        </w:tc>
        <w:tc>
          <w:tcPr>
            <w:tcW w:w="5167" w:type="dxa"/>
          </w:tcPr>
          <w:p w14:paraId="4B2EE688" w14:textId="7CFCCC9F" w:rsidR="00F0639A" w:rsidRPr="00B704B3" w:rsidRDefault="00F0639A" w:rsidP="00F0639A">
            <w:pPr>
              <w:tabs>
                <w:tab w:val="right" w:pos="9072"/>
              </w:tabs>
              <w:spacing w:after="240"/>
              <w:ind w:right="91"/>
              <w:rPr>
                <w:sz w:val="22"/>
                <w:szCs w:val="22"/>
              </w:rPr>
            </w:pPr>
            <w:r w:rsidRPr="00B704B3">
              <w:rPr>
                <w:sz w:val="22"/>
                <w:szCs w:val="22"/>
              </w:rPr>
              <w:t>Updates a prescribed standard for determining the components of blended liquid fuels to a newer edition.</w:t>
            </w:r>
          </w:p>
        </w:tc>
      </w:tr>
      <w:tr w:rsidR="00F0639A" w:rsidRPr="00B704B3" w14:paraId="54E801CD" w14:textId="77777777" w:rsidTr="002D5C37">
        <w:tc>
          <w:tcPr>
            <w:tcW w:w="1028" w:type="dxa"/>
          </w:tcPr>
          <w:p w14:paraId="7D209AE4" w14:textId="4BBC49F9" w:rsidR="00F0639A" w:rsidRPr="00BD6189" w:rsidRDefault="00F0639A" w:rsidP="00F0639A">
            <w:pPr>
              <w:pStyle w:val="ListParagraph"/>
              <w:numPr>
                <w:ilvl w:val="0"/>
                <w:numId w:val="45"/>
              </w:numPr>
              <w:tabs>
                <w:tab w:val="right" w:pos="9072"/>
              </w:tabs>
              <w:spacing w:after="240"/>
              <w:ind w:right="91"/>
              <w:jc w:val="right"/>
              <w:rPr>
                <w:b/>
                <w:sz w:val="22"/>
                <w:szCs w:val="22"/>
              </w:rPr>
            </w:pPr>
          </w:p>
        </w:tc>
        <w:tc>
          <w:tcPr>
            <w:tcW w:w="2101" w:type="dxa"/>
          </w:tcPr>
          <w:p w14:paraId="66E31396" w14:textId="75F7B39C" w:rsidR="00F0639A" w:rsidRPr="00B704B3" w:rsidRDefault="00F0639A" w:rsidP="00F0639A">
            <w:pPr>
              <w:tabs>
                <w:tab w:val="right" w:pos="9072"/>
              </w:tabs>
              <w:spacing w:after="240"/>
              <w:ind w:right="91"/>
              <w:rPr>
                <w:sz w:val="22"/>
                <w:szCs w:val="22"/>
              </w:rPr>
            </w:pPr>
            <w:r w:rsidRPr="00B704B3">
              <w:rPr>
                <w:sz w:val="22"/>
                <w:szCs w:val="22"/>
              </w:rPr>
              <w:t>After section 2.67</w:t>
            </w:r>
          </w:p>
        </w:tc>
        <w:tc>
          <w:tcPr>
            <w:tcW w:w="5167" w:type="dxa"/>
          </w:tcPr>
          <w:p w14:paraId="0EB3075B" w14:textId="77777777" w:rsidR="00F0639A" w:rsidRPr="00B704B3" w:rsidRDefault="00F0639A" w:rsidP="00F0639A">
            <w:pPr>
              <w:spacing w:after="240"/>
              <w:rPr>
                <w:sz w:val="22"/>
                <w:szCs w:val="22"/>
              </w:rPr>
            </w:pPr>
            <w:r w:rsidRPr="00B704B3">
              <w:rPr>
                <w:sz w:val="22"/>
                <w:szCs w:val="22"/>
              </w:rPr>
              <w:t xml:space="preserve">Inserts a new section 2.67A allowing for reporting of consumption of blended gaseous fuels, such as natural gas with a blended </w:t>
            </w:r>
            <w:proofErr w:type="spellStart"/>
            <w:r w:rsidRPr="00B704B3">
              <w:rPr>
                <w:sz w:val="22"/>
                <w:szCs w:val="22"/>
              </w:rPr>
              <w:t>biomethane</w:t>
            </w:r>
            <w:proofErr w:type="spellEnd"/>
            <w:r w:rsidRPr="00B704B3">
              <w:rPr>
                <w:sz w:val="22"/>
                <w:szCs w:val="22"/>
              </w:rPr>
              <w:t xml:space="preserve"> component.</w:t>
            </w:r>
          </w:p>
          <w:p w14:paraId="30735DF3" w14:textId="568369D6" w:rsidR="00F0639A" w:rsidRPr="00B704B3" w:rsidRDefault="00F0639A" w:rsidP="00F0639A">
            <w:pPr>
              <w:tabs>
                <w:tab w:val="right" w:pos="9072"/>
              </w:tabs>
              <w:spacing w:after="240"/>
              <w:ind w:right="91"/>
              <w:rPr>
                <w:sz w:val="22"/>
                <w:szCs w:val="22"/>
              </w:rPr>
            </w:pPr>
            <w:r w:rsidRPr="00B704B3">
              <w:rPr>
                <w:sz w:val="22"/>
                <w:szCs w:val="22"/>
              </w:rPr>
              <w:t>Reporters may use the results of their own sampling, or sampling performed by the producer of the fuel or operator of the pipeline through which the fuel is supplied.</w:t>
            </w:r>
            <w:r w:rsidR="00D10CDA">
              <w:rPr>
                <w:sz w:val="22"/>
                <w:szCs w:val="22"/>
              </w:rPr>
              <w:t xml:space="preserve"> It is similar to the options for blended solid and liquid fuels.</w:t>
            </w:r>
          </w:p>
        </w:tc>
      </w:tr>
      <w:tr w:rsidR="00F0639A" w:rsidRPr="00B704B3" w14:paraId="03C6837B" w14:textId="77777777" w:rsidTr="002D5C37">
        <w:tc>
          <w:tcPr>
            <w:tcW w:w="1028" w:type="dxa"/>
          </w:tcPr>
          <w:p w14:paraId="68EF0D78" w14:textId="065E8A60" w:rsidR="00F0639A" w:rsidRPr="00BD6189" w:rsidRDefault="00F0639A" w:rsidP="00F0639A">
            <w:pPr>
              <w:pStyle w:val="ListParagraph"/>
              <w:numPr>
                <w:ilvl w:val="0"/>
                <w:numId w:val="45"/>
              </w:numPr>
              <w:tabs>
                <w:tab w:val="right" w:pos="9072"/>
              </w:tabs>
              <w:spacing w:after="240"/>
              <w:ind w:right="91"/>
              <w:jc w:val="right"/>
              <w:rPr>
                <w:b/>
                <w:sz w:val="22"/>
                <w:szCs w:val="22"/>
              </w:rPr>
            </w:pPr>
          </w:p>
        </w:tc>
        <w:tc>
          <w:tcPr>
            <w:tcW w:w="2101" w:type="dxa"/>
          </w:tcPr>
          <w:p w14:paraId="35E4AAE8" w14:textId="24096990" w:rsidR="00F0639A" w:rsidRPr="00B704B3" w:rsidRDefault="00F0639A" w:rsidP="00F0639A">
            <w:pPr>
              <w:tabs>
                <w:tab w:val="right" w:pos="9072"/>
              </w:tabs>
              <w:spacing w:after="240"/>
              <w:ind w:right="91"/>
              <w:rPr>
                <w:sz w:val="22"/>
                <w:szCs w:val="22"/>
              </w:rPr>
            </w:pPr>
            <w:r w:rsidRPr="00B704B3">
              <w:rPr>
                <w:sz w:val="22"/>
                <w:szCs w:val="22"/>
              </w:rPr>
              <w:t>Section 3.33</w:t>
            </w:r>
          </w:p>
        </w:tc>
        <w:tc>
          <w:tcPr>
            <w:tcW w:w="5167" w:type="dxa"/>
          </w:tcPr>
          <w:p w14:paraId="207D58DB" w14:textId="55099D3C" w:rsidR="00F0639A" w:rsidRPr="00B704B3" w:rsidRDefault="00F0639A" w:rsidP="00F0639A">
            <w:pPr>
              <w:tabs>
                <w:tab w:val="right" w:pos="9072"/>
              </w:tabs>
              <w:spacing w:after="240"/>
              <w:ind w:right="91"/>
              <w:rPr>
                <w:sz w:val="22"/>
                <w:szCs w:val="22"/>
              </w:rPr>
            </w:pPr>
            <w:r w:rsidRPr="00B704B3">
              <w:rPr>
                <w:sz w:val="22"/>
                <w:szCs w:val="22"/>
              </w:rPr>
              <w:t>Makes a technical correction to the formula under Method 1 for estimating emissions of methane from decommissioned underground coal mines.</w:t>
            </w:r>
            <w:r w:rsidR="00D10CDA">
              <w:rPr>
                <w:sz w:val="22"/>
                <w:szCs w:val="22"/>
              </w:rPr>
              <w:t xml:space="preserve"> The division by 12 reflects the intended operation of the relevant integral and removes uncertainty as to the operation of the calculation. </w:t>
            </w:r>
          </w:p>
        </w:tc>
      </w:tr>
      <w:tr w:rsidR="00F0639A" w:rsidRPr="00B704B3" w14:paraId="1D3324E7" w14:textId="77777777" w:rsidTr="002D5C37">
        <w:tc>
          <w:tcPr>
            <w:tcW w:w="1028" w:type="dxa"/>
          </w:tcPr>
          <w:p w14:paraId="495A3BA6" w14:textId="61EC50B8" w:rsidR="00F0639A" w:rsidRPr="00BD6189" w:rsidRDefault="00F0639A" w:rsidP="00F0639A">
            <w:pPr>
              <w:pStyle w:val="ListParagraph"/>
              <w:numPr>
                <w:ilvl w:val="0"/>
                <w:numId w:val="45"/>
              </w:numPr>
              <w:tabs>
                <w:tab w:val="right" w:pos="9072"/>
              </w:tabs>
              <w:spacing w:after="240"/>
              <w:ind w:right="91"/>
              <w:jc w:val="right"/>
              <w:rPr>
                <w:b/>
                <w:sz w:val="22"/>
                <w:szCs w:val="22"/>
              </w:rPr>
            </w:pPr>
          </w:p>
        </w:tc>
        <w:tc>
          <w:tcPr>
            <w:tcW w:w="2101" w:type="dxa"/>
          </w:tcPr>
          <w:p w14:paraId="25AF362F" w14:textId="21027C03" w:rsidR="00F0639A" w:rsidRPr="00B704B3" w:rsidRDefault="00F0639A" w:rsidP="00F0639A">
            <w:pPr>
              <w:tabs>
                <w:tab w:val="right" w:pos="9072"/>
              </w:tabs>
              <w:spacing w:after="240"/>
              <w:ind w:right="91"/>
              <w:rPr>
                <w:sz w:val="22"/>
                <w:szCs w:val="22"/>
              </w:rPr>
            </w:pPr>
            <w:r w:rsidRPr="00B704B3">
              <w:rPr>
                <w:sz w:val="22"/>
                <w:szCs w:val="22"/>
              </w:rPr>
              <w:t>Subsection 3.81(1) (equation)</w:t>
            </w:r>
          </w:p>
        </w:tc>
        <w:tc>
          <w:tcPr>
            <w:tcW w:w="5167" w:type="dxa"/>
          </w:tcPr>
          <w:p w14:paraId="4DBE6B9C" w14:textId="1572ADB9" w:rsidR="00F0639A" w:rsidRPr="00B704B3" w:rsidRDefault="00F0639A" w:rsidP="00F0639A">
            <w:pPr>
              <w:tabs>
                <w:tab w:val="right" w:pos="9072"/>
              </w:tabs>
              <w:spacing w:after="240"/>
              <w:ind w:right="91"/>
              <w:rPr>
                <w:sz w:val="22"/>
                <w:szCs w:val="22"/>
              </w:rPr>
            </w:pPr>
            <w:r w:rsidRPr="00B704B3">
              <w:rPr>
                <w:sz w:val="22"/>
                <w:szCs w:val="22"/>
              </w:rPr>
              <w:t xml:space="preserve">Updates the numerical factor for the fraction of unaccounted-for-gas in natural gas distribution </w:t>
            </w:r>
            <w:r w:rsidRPr="00B704B3">
              <w:rPr>
                <w:sz w:val="22"/>
                <w:szCs w:val="22"/>
              </w:rPr>
              <w:lastRenderedPageBreak/>
              <w:t>networks comprising emissions (as opposed, for example, to measurement error).</w:t>
            </w:r>
          </w:p>
        </w:tc>
      </w:tr>
      <w:tr w:rsidR="00F0639A" w:rsidRPr="00B704B3" w14:paraId="4015C85B" w14:textId="77777777" w:rsidTr="002D5C37">
        <w:tc>
          <w:tcPr>
            <w:tcW w:w="1028" w:type="dxa"/>
          </w:tcPr>
          <w:p w14:paraId="2FAFB7BC" w14:textId="3EEE16F3" w:rsidR="00F0639A" w:rsidRPr="00BD6189" w:rsidRDefault="00F0639A" w:rsidP="00F0639A">
            <w:pPr>
              <w:pStyle w:val="ListParagraph"/>
              <w:numPr>
                <w:ilvl w:val="0"/>
                <w:numId w:val="45"/>
              </w:numPr>
              <w:tabs>
                <w:tab w:val="right" w:pos="9072"/>
              </w:tabs>
              <w:spacing w:after="240"/>
              <w:ind w:right="91"/>
              <w:jc w:val="right"/>
              <w:rPr>
                <w:b/>
                <w:sz w:val="22"/>
                <w:szCs w:val="22"/>
              </w:rPr>
            </w:pPr>
          </w:p>
        </w:tc>
        <w:tc>
          <w:tcPr>
            <w:tcW w:w="2101" w:type="dxa"/>
          </w:tcPr>
          <w:p w14:paraId="03288124" w14:textId="68EEB2D0" w:rsidR="00F0639A" w:rsidRPr="00B704B3" w:rsidRDefault="00F0639A" w:rsidP="00F0639A">
            <w:pPr>
              <w:tabs>
                <w:tab w:val="right" w:pos="9072"/>
              </w:tabs>
              <w:spacing w:after="240"/>
              <w:ind w:right="91"/>
              <w:rPr>
                <w:sz w:val="22"/>
                <w:szCs w:val="22"/>
              </w:rPr>
            </w:pPr>
            <w:r w:rsidRPr="00B704B3">
              <w:rPr>
                <w:sz w:val="22"/>
                <w:szCs w:val="22"/>
              </w:rPr>
              <w:t>Subsection 3.81(1) (note after the definition of %</w:t>
            </w:r>
            <w:proofErr w:type="spellStart"/>
            <w:r w:rsidRPr="00B704B3">
              <w:rPr>
                <w:sz w:val="22"/>
                <w:szCs w:val="22"/>
              </w:rPr>
              <w:t>UAGp</w:t>
            </w:r>
            <w:proofErr w:type="spellEnd"/>
            <w:r w:rsidRPr="00B704B3">
              <w:rPr>
                <w:sz w:val="22"/>
                <w:szCs w:val="22"/>
              </w:rPr>
              <w:t>)</w:t>
            </w:r>
          </w:p>
        </w:tc>
        <w:tc>
          <w:tcPr>
            <w:tcW w:w="5167" w:type="dxa"/>
          </w:tcPr>
          <w:p w14:paraId="43EEED63" w14:textId="274F00EF" w:rsidR="00F0639A" w:rsidRPr="00B704B3" w:rsidRDefault="00D36904" w:rsidP="00F0639A">
            <w:pPr>
              <w:tabs>
                <w:tab w:val="right" w:pos="9072"/>
              </w:tabs>
              <w:spacing w:after="240"/>
              <w:ind w:right="91"/>
              <w:rPr>
                <w:sz w:val="22"/>
                <w:szCs w:val="22"/>
              </w:rPr>
            </w:pPr>
            <w:r>
              <w:rPr>
                <w:sz w:val="22"/>
                <w:szCs w:val="22"/>
              </w:rPr>
              <w:t>Consequential on the change in</w:t>
            </w:r>
            <w:r w:rsidR="00F0639A" w:rsidRPr="00B704B3">
              <w:rPr>
                <w:sz w:val="22"/>
                <w:szCs w:val="22"/>
              </w:rPr>
              <w:t xml:space="preserve"> item 1</w:t>
            </w:r>
            <w:r w:rsidR="001F5C8A">
              <w:rPr>
                <w:sz w:val="22"/>
                <w:szCs w:val="22"/>
              </w:rPr>
              <w:t>7</w:t>
            </w:r>
            <w:r w:rsidR="00F0639A" w:rsidRPr="00B704B3">
              <w:rPr>
                <w:sz w:val="22"/>
                <w:szCs w:val="22"/>
              </w:rPr>
              <w:t xml:space="preserve"> above.</w:t>
            </w:r>
          </w:p>
        </w:tc>
      </w:tr>
      <w:tr w:rsidR="00F0639A" w:rsidRPr="00B704B3" w14:paraId="3DED0082" w14:textId="77777777" w:rsidTr="002D5C37">
        <w:tc>
          <w:tcPr>
            <w:tcW w:w="1028" w:type="dxa"/>
          </w:tcPr>
          <w:p w14:paraId="536742EA" w14:textId="2CD86A52" w:rsidR="00F0639A" w:rsidRPr="00BD6189" w:rsidRDefault="00F0639A" w:rsidP="00F0639A">
            <w:pPr>
              <w:pStyle w:val="ListParagraph"/>
              <w:numPr>
                <w:ilvl w:val="0"/>
                <w:numId w:val="45"/>
              </w:numPr>
              <w:tabs>
                <w:tab w:val="right" w:pos="9072"/>
              </w:tabs>
              <w:spacing w:after="240"/>
              <w:ind w:right="91"/>
              <w:jc w:val="right"/>
              <w:rPr>
                <w:b/>
                <w:sz w:val="22"/>
                <w:szCs w:val="22"/>
              </w:rPr>
            </w:pPr>
          </w:p>
        </w:tc>
        <w:tc>
          <w:tcPr>
            <w:tcW w:w="2101" w:type="dxa"/>
          </w:tcPr>
          <w:p w14:paraId="3B7EEFA3" w14:textId="704A8C30" w:rsidR="00F0639A" w:rsidRPr="00B704B3" w:rsidRDefault="00F0639A" w:rsidP="00F0639A">
            <w:pPr>
              <w:tabs>
                <w:tab w:val="right" w:pos="9072"/>
              </w:tabs>
              <w:spacing w:after="240"/>
              <w:ind w:right="91"/>
              <w:rPr>
                <w:sz w:val="22"/>
                <w:szCs w:val="22"/>
              </w:rPr>
            </w:pPr>
            <w:r w:rsidRPr="00B704B3">
              <w:rPr>
                <w:sz w:val="22"/>
                <w:szCs w:val="22"/>
              </w:rPr>
              <w:t>Subsection 3.82A(1) (equation)</w:t>
            </w:r>
          </w:p>
        </w:tc>
        <w:tc>
          <w:tcPr>
            <w:tcW w:w="5167" w:type="dxa"/>
          </w:tcPr>
          <w:p w14:paraId="0FBC17E2" w14:textId="6CD639FD" w:rsidR="00F0639A" w:rsidRPr="00B704B3" w:rsidRDefault="00D36904" w:rsidP="00F0639A">
            <w:pPr>
              <w:tabs>
                <w:tab w:val="right" w:pos="9072"/>
              </w:tabs>
              <w:spacing w:after="240"/>
              <w:ind w:right="91"/>
              <w:rPr>
                <w:sz w:val="22"/>
                <w:szCs w:val="22"/>
              </w:rPr>
            </w:pPr>
            <w:r>
              <w:rPr>
                <w:sz w:val="22"/>
                <w:szCs w:val="22"/>
              </w:rPr>
              <w:t>Consequential on the change in</w:t>
            </w:r>
            <w:r w:rsidR="00F0639A" w:rsidRPr="00B704B3">
              <w:rPr>
                <w:sz w:val="22"/>
                <w:szCs w:val="22"/>
              </w:rPr>
              <w:t xml:space="preserve"> item 1</w:t>
            </w:r>
            <w:r>
              <w:rPr>
                <w:sz w:val="22"/>
                <w:szCs w:val="22"/>
              </w:rPr>
              <w:t>7</w:t>
            </w:r>
            <w:r w:rsidR="00F0639A" w:rsidRPr="00B704B3">
              <w:rPr>
                <w:sz w:val="22"/>
                <w:szCs w:val="22"/>
              </w:rPr>
              <w:t xml:space="preserve"> above.</w:t>
            </w:r>
          </w:p>
        </w:tc>
      </w:tr>
      <w:tr w:rsidR="00F0639A" w:rsidRPr="00B704B3" w14:paraId="75F158FB" w14:textId="77777777" w:rsidTr="002D5C37">
        <w:tc>
          <w:tcPr>
            <w:tcW w:w="1028" w:type="dxa"/>
          </w:tcPr>
          <w:p w14:paraId="2190C7AE" w14:textId="47BFD135" w:rsidR="00F0639A" w:rsidRPr="00BD6189" w:rsidRDefault="00F0639A" w:rsidP="00F0639A">
            <w:pPr>
              <w:pStyle w:val="ListParagraph"/>
              <w:numPr>
                <w:ilvl w:val="0"/>
                <w:numId w:val="45"/>
              </w:numPr>
              <w:tabs>
                <w:tab w:val="right" w:pos="9072"/>
              </w:tabs>
              <w:spacing w:after="240"/>
              <w:ind w:right="91"/>
              <w:jc w:val="right"/>
              <w:rPr>
                <w:b/>
                <w:sz w:val="22"/>
                <w:szCs w:val="22"/>
              </w:rPr>
            </w:pPr>
          </w:p>
        </w:tc>
        <w:tc>
          <w:tcPr>
            <w:tcW w:w="2101" w:type="dxa"/>
          </w:tcPr>
          <w:p w14:paraId="4A492F35" w14:textId="1F33EA7C" w:rsidR="00F0639A" w:rsidRPr="00B704B3" w:rsidRDefault="00F0639A" w:rsidP="00F0639A">
            <w:pPr>
              <w:tabs>
                <w:tab w:val="right" w:pos="9072"/>
              </w:tabs>
              <w:spacing w:after="240"/>
              <w:ind w:right="91"/>
              <w:rPr>
                <w:sz w:val="22"/>
                <w:szCs w:val="22"/>
              </w:rPr>
            </w:pPr>
            <w:r w:rsidRPr="00B704B3">
              <w:rPr>
                <w:sz w:val="22"/>
                <w:szCs w:val="22"/>
              </w:rPr>
              <w:t>Sections 4.103 and 4.104</w:t>
            </w:r>
          </w:p>
        </w:tc>
        <w:tc>
          <w:tcPr>
            <w:tcW w:w="5167" w:type="dxa"/>
          </w:tcPr>
          <w:p w14:paraId="56948B59" w14:textId="77777777" w:rsidR="00F0639A" w:rsidRDefault="00F0639A" w:rsidP="00F0639A">
            <w:pPr>
              <w:tabs>
                <w:tab w:val="right" w:pos="9072"/>
              </w:tabs>
              <w:spacing w:after="240"/>
              <w:ind w:right="91"/>
              <w:rPr>
                <w:sz w:val="22"/>
                <w:szCs w:val="22"/>
              </w:rPr>
            </w:pPr>
            <w:r w:rsidRPr="00B704B3">
              <w:rPr>
                <w:sz w:val="22"/>
                <w:szCs w:val="22"/>
              </w:rPr>
              <w:t xml:space="preserve">Recreates the substance of the methods formerly contained in Appendices A and B to the </w:t>
            </w:r>
            <w:r w:rsidRPr="00B704B3">
              <w:rPr>
                <w:i/>
                <w:iCs/>
                <w:sz w:val="22"/>
                <w:szCs w:val="22"/>
              </w:rPr>
              <w:t>ENA Industry Guideline for SF6 Management</w:t>
            </w:r>
            <w:r w:rsidRPr="00B704B3">
              <w:rPr>
                <w:sz w:val="22"/>
                <w:szCs w:val="22"/>
              </w:rPr>
              <w:t xml:space="preserve"> formerly published by Energy Networks Association, as that document is no longer publicly available.</w:t>
            </w:r>
          </w:p>
          <w:p w14:paraId="62E5A189" w14:textId="1696EEA6" w:rsidR="00D36904" w:rsidRDefault="00D36904" w:rsidP="00F0639A">
            <w:pPr>
              <w:tabs>
                <w:tab w:val="right" w:pos="9072"/>
              </w:tabs>
              <w:spacing w:after="240"/>
              <w:ind w:right="91"/>
              <w:rPr>
                <w:sz w:val="22"/>
                <w:szCs w:val="22"/>
              </w:rPr>
            </w:pPr>
            <w:r>
              <w:rPr>
                <w:sz w:val="22"/>
                <w:szCs w:val="22"/>
              </w:rPr>
              <w:t xml:space="preserve">Section 4.103 is the method 2 mass balance accounting approach focused on changes in stored gases and relevant global warming potentials. This </w:t>
            </w:r>
            <w:r w:rsidR="00434F63">
              <w:rPr>
                <w:sz w:val="22"/>
                <w:szCs w:val="22"/>
              </w:rPr>
              <w:t xml:space="preserve">was </w:t>
            </w:r>
            <w:r>
              <w:rPr>
                <w:sz w:val="22"/>
                <w:szCs w:val="22"/>
              </w:rPr>
              <w:t xml:space="preserve">referred to as a </w:t>
            </w:r>
            <w:r w:rsidR="00D97D5C">
              <w:rPr>
                <w:sz w:val="22"/>
                <w:szCs w:val="22"/>
              </w:rPr>
              <w:t>‘</w:t>
            </w:r>
            <w:r>
              <w:rPr>
                <w:sz w:val="22"/>
                <w:szCs w:val="22"/>
              </w:rPr>
              <w:t>Tier 2</w:t>
            </w:r>
            <w:r w:rsidR="00D97D5C">
              <w:rPr>
                <w:sz w:val="22"/>
                <w:szCs w:val="22"/>
              </w:rPr>
              <w:t>’</w:t>
            </w:r>
            <w:r>
              <w:rPr>
                <w:sz w:val="22"/>
                <w:szCs w:val="22"/>
              </w:rPr>
              <w:t xml:space="preserve"> method</w:t>
            </w:r>
            <w:r w:rsidR="00434F63">
              <w:rPr>
                <w:sz w:val="22"/>
                <w:szCs w:val="22"/>
              </w:rPr>
              <w:t xml:space="preserve"> in the ENA guidelines</w:t>
            </w:r>
            <w:r>
              <w:rPr>
                <w:sz w:val="22"/>
                <w:szCs w:val="22"/>
              </w:rPr>
              <w:t>.</w:t>
            </w:r>
          </w:p>
          <w:p w14:paraId="5F79944B" w14:textId="1448E99F" w:rsidR="00D36904" w:rsidRDefault="00D36904" w:rsidP="00D36904">
            <w:pPr>
              <w:tabs>
                <w:tab w:val="right" w:pos="9072"/>
              </w:tabs>
              <w:spacing w:after="240"/>
              <w:ind w:right="91"/>
              <w:rPr>
                <w:sz w:val="22"/>
                <w:szCs w:val="22"/>
              </w:rPr>
            </w:pPr>
            <w:r>
              <w:rPr>
                <w:sz w:val="22"/>
                <w:szCs w:val="22"/>
              </w:rPr>
              <w:t xml:space="preserve">Section 4.104 is the method 3 aggregate loss source accounting method, with subsection (1) covering HFCs and subsection (2) covering SF6. This </w:t>
            </w:r>
            <w:r w:rsidR="00434F63">
              <w:rPr>
                <w:sz w:val="22"/>
                <w:szCs w:val="22"/>
              </w:rPr>
              <w:t xml:space="preserve">was </w:t>
            </w:r>
            <w:r>
              <w:rPr>
                <w:sz w:val="22"/>
                <w:szCs w:val="22"/>
              </w:rPr>
              <w:t xml:space="preserve">referred to as a </w:t>
            </w:r>
            <w:r w:rsidR="00D97D5C">
              <w:rPr>
                <w:sz w:val="22"/>
                <w:szCs w:val="22"/>
              </w:rPr>
              <w:t>‘</w:t>
            </w:r>
            <w:r>
              <w:rPr>
                <w:sz w:val="22"/>
                <w:szCs w:val="22"/>
              </w:rPr>
              <w:t>Tier 3</w:t>
            </w:r>
            <w:r w:rsidR="00D97D5C">
              <w:rPr>
                <w:sz w:val="22"/>
                <w:szCs w:val="22"/>
              </w:rPr>
              <w:t>’</w:t>
            </w:r>
            <w:r>
              <w:rPr>
                <w:sz w:val="22"/>
                <w:szCs w:val="22"/>
              </w:rPr>
              <w:t xml:space="preserve"> method</w:t>
            </w:r>
            <w:r w:rsidR="00434F63">
              <w:rPr>
                <w:sz w:val="22"/>
                <w:szCs w:val="22"/>
              </w:rPr>
              <w:t xml:space="preserve"> in the ENA guidelines</w:t>
            </w:r>
            <w:r>
              <w:rPr>
                <w:sz w:val="22"/>
                <w:szCs w:val="22"/>
              </w:rPr>
              <w:t>.</w:t>
            </w:r>
          </w:p>
          <w:p w14:paraId="74A4EBA7" w14:textId="117C45D3" w:rsidR="00D36904" w:rsidRPr="00B704B3" w:rsidRDefault="00D36904" w:rsidP="00D97D5C">
            <w:pPr>
              <w:tabs>
                <w:tab w:val="right" w:pos="9072"/>
              </w:tabs>
              <w:spacing w:after="240"/>
              <w:ind w:right="91"/>
              <w:rPr>
                <w:sz w:val="22"/>
                <w:szCs w:val="22"/>
              </w:rPr>
            </w:pPr>
            <w:r>
              <w:rPr>
                <w:sz w:val="22"/>
                <w:szCs w:val="22"/>
              </w:rPr>
              <w:t>The intent</w:t>
            </w:r>
            <w:r w:rsidR="00D97D5C">
              <w:rPr>
                <w:sz w:val="22"/>
                <w:szCs w:val="22"/>
              </w:rPr>
              <w:t xml:space="preserve"> of this amendment</w:t>
            </w:r>
            <w:r>
              <w:rPr>
                <w:sz w:val="22"/>
                <w:szCs w:val="22"/>
              </w:rPr>
              <w:t xml:space="preserve"> is to replicate the previous guidance rather than change the accounting approach. </w:t>
            </w:r>
          </w:p>
        </w:tc>
      </w:tr>
      <w:tr w:rsidR="00F0639A" w:rsidRPr="00B704B3" w14:paraId="0738CE65" w14:textId="77777777" w:rsidTr="002D5C37">
        <w:tc>
          <w:tcPr>
            <w:tcW w:w="1028" w:type="dxa"/>
          </w:tcPr>
          <w:p w14:paraId="1B473989" w14:textId="3FD3485F" w:rsidR="00F0639A" w:rsidRPr="00BD6189" w:rsidRDefault="00F0639A" w:rsidP="00F0639A">
            <w:pPr>
              <w:pStyle w:val="ListParagraph"/>
              <w:numPr>
                <w:ilvl w:val="0"/>
                <w:numId w:val="45"/>
              </w:numPr>
              <w:tabs>
                <w:tab w:val="right" w:pos="9072"/>
              </w:tabs>
              <w:spacing w:after="240"/>
              <w:ind w:right="91"/>
              <w:jc w:val="right"/>
              <w:rPr>
                <w:b/>
                <w:sz w:val="22"/>
                <w:szCs w:val="22"/>
              </w:rPr>
            </w:pPr>
          </w:p>
        </w:tc>
        <w:tc>
          <w:tcPr>
            <w:tcW w:w="2101" w:type="dxa"/>
          </w:tcPr>
          <w:p w14:paraId="1676FBDD" w14:textId="0C133BB5" w:rsidR="00F0639A" w:rsidRPr="00B704B3" w:rsidRDefault="00F0639A" w:rsidP="00F0639A">
            <w:pPr>
              <w:tabs>
                <w:tab w:val="right" w:pos="9072"/>
              </w:tabs>
              <w:spacing w:after="240"/>
              <w:ind w:right="91"/>
              <w:rPr>
                <w:sz w:val="22"/>
                <w:szCs w:val="22"/>
              </w:rPr>
            </w:pPr>
            <w:r w:rsidRPr="00B704B3">
              <w:rPr>
                <w:sz w:val="22"/>
                <w:szCs w:val="22"/>
              </w:rPr>
              <w:t>Note to subsection 5.3(4)</w:t>
            </w:r>
          </w:p>
        </w:tc>
        <w:tc>
          <w:tcPr>
            <w:tcW w:w="5167" w:type="dxa"/>
          </w:tcPr>
          <w:p w14:paraId="6DA8FE83" w14:textId="62225483" w:rsidR="00F0639A" w:rsidRPr="00B704B3" w:rsidRDefault="00F0639A" w:rsidP="00F0639A">
            <w:pPr>
              <w:tabs>
                <w:tab w:val="right" w:pos="9072"/>
              </w:tabs>
              <w:spacing w:after="240"/>
              <w:ind w:right="91"/>
              <w:rPr>
                <w:sz w:val="22"/>
                <w:szCs w:val="22"/>
              </w:rPr>
            </w:pPr>
            <w:r w:rsidRPr="00B704B3">
              <w:rPr>
                <w:sz w:val="22"/>
                <w:szCs w:val="22"/>
              </w:rPr>
              <w:t>Editorial</w:t>
            </w:r>
            <w:r w:rsidR="00BD05BF">
              <w:rPr>
                <w:sz w:val="22"/>
                <w:szCs w:val="22"/>
              </w:rPr>
              <w:t xml:space="preserve"> as the relevant material is now in Schedule 4 and no longer in the NGER Regulations.</w:t>
            </w:r>
          </w:p>
        </w:tc>
      </w:tr>
      <w:tr w:rsidR="00F0639A" w:rsidRPr="00B704B3" w14:paraId="03E0D921" w14:textId="77777777" w:rsidTr="002D5C37">
        <w:tc>
          <w:tcPr>
            <w:tcW w:w="1028" w:type="dxa"/>
          </w:tcPr>
          <w:p w14:paraId="0AEF0658" w14:textId="48348CCA" w:rsidR="00F0639A" w:rsidRPr="00BD6189" w:rsidRDefault="00F0639A" w:rsidP="00F0639A">
            <w:pPr>
              <w:pStyle w:val="ListParagraph"/>
              <w:numPr>
                <w:ilvl w:val="0"/>
                <w:numId w:val="45"/>
              </w:numPr>
              <w:tabs>
                <w:tab w:val="right" w:pos="9072"/>
              </w:tabs>
              <w:spacing w:after="240"/>
              <w:ind w:right="91"/>
              <w:jc w:val="right"/>
              <w:rPr>
                <w:b/>
                <w:sz w:val="22"/>
                <w:szCs w:val="22"/>
              </w:rPr>
            </w:pPr>
          </w:p>
        </w:tc>
        <w:tc>
          <w:tcPr>
            <w:tcW w:w="2101" w:type="dxa"/>
          </w:tcPr>
          <w:p w14:paraId="0ED306A8" w14:textId="2D518890" w:rsidR="00F0639A" w:rsidRPr="00B704B3" w:rsidRDefault="00F0639A" w:rsidP="00F0639A">
            <w:pPr>
              <w:tabs>
                <w:tab w:val="right" w:pos="9072"/>
              </w:tabs>
              <w:spacing w:after="240"/>
              <w:ind w:right="91"/>
              <w:rPr>
                <w:sz w:val="22"/>
                <w:szCs w:val="22"/>
              </w:rPr>
            </w:pPr>
            <w:r w:rsidRPr="00B704B3">
              <w:rPr>
                <w:sz w:val="22"/>
                <w:szCs w:val="22"/>
              </w:rPr>
              <w:t>Subsection 8.6(1) (table item 8)</w:t>
            </w:r>
          </w:p>
        </w:tc>
        <w:tc>
          <w:tcPr>
            <w:tcW w:w="5167" w:type="dxa"/>
          </w:tcPr>
          <w:p w14:paraId="50B326B5" w14:textId="7A50FA7E" w:rsidR="00F0639A" w:rsidRPr="00B704B3" w:rsidRDefault="00F0639A" w:rsidP="00F0639A">
            <w:pPr>
              <w:tabs>
                <w:tab w:val="right" w:pos="9072"/>
              </w:tabs>
              <w:spacing w:after="240"/>
              <w:ind w:right="91"/>
              <w:rPr>
                <w:sz w:val="22"/>
                <w:szCs w:val="22"/>
              </w:rPr>
            </w:pPr>
            <w:r w:rsidRPr="00B704B3">
              <w:rPr>
                <w:sz w:val="22"/>
                <w:szCs w:val="22"/>
              </w:rPr>
              <w:t>Omits the words ‘and tyres’ from table item 8 of subsection 8.6(1), as new stand-alone fuel types for tyres are created by these amendments.</w:t>
            </w:r>
          </w:p>
        </w:tc>
      </w:tr>
      <w:tr w:rsidR="00F0639A" w:rsidRPr="00B704B3" w14:paraId="494C84F5" w14:textId="77777777" w:rsidTr="002D5C37">
        <w:tc>
          <w:tcPr>
            <w:tcW w:w="1028" w:type="dxa"/>
          </w:tcPr>
          <w:p w14:paraId="492A4623" w14:textId="5DC02451" w:rsidR="00F0639A" w:rsidRPr="00BD6189" w:rsidRDefault="00F0639A" w:rsidP="00F0639A">
            <w:pPr>
              <w:pStyle w:val="ListParagraph"/>
              <w:numPr>
                <w:ilvl w:val="0"/>
                <w:numId w:val="45"/>
              </w:numPr>
              <w:tabs>
                <w:tab w:val="right" w:pos="9072"/>
              </w:tabs>
              <w:spacing w:after="240"/>
              <w:ind w:right="91"/>
              <w:jc w:val="right"/>
              <w:rPr>
                <w:b/>
                <w:sz w:val="22"/>
                <w:szCs w:val="22"/>
              </w:rPr>
            </w:pPr>
          </w:p>
        </w:tc>
        <w:tc>
          <w:tcPr>
            <w:tcW w:w="2101" w:type="dxa"/>
          </w:tcPr>
          <w:p w14:paraId="75D184D4" w14:textId="3F81B2EE" w:rsidR="00F0639A" w:rsidRPr="00B704B3" w:rsidRDefault="00F0639A" w:rsidP="00F0639A">
            <w:pPr>
              <w:tabs>
                <w:tab w:val="right" w:pos="9072"/>
              </w:tabs>
              <w:spacing w:after="240"/>
              <w:ind w:right="91"/>
              <w:rPr>
                <w:sz w:val="22"/>
                <w:szCs w:val="22"/>
              </w:rPr>
            </w:pPr>
            <w:r w:rsidRPr="00B704B3">
              <w:rPr>
                <w:sz w:val="22"/>
                <w:szCs w:val="22"/>
              </w:rPr>
              <w:t>Subsection 8.6(1) (after table item 8)</w:t>
            </w:r>
          </w:p>
        </w:tc>
        <w:tc>
          <w:tcPr>
            <w:tcW w:w="5167" w:type="dxa"/>
          </w:tcPr>
          <w:p w14:paraId="01E1AA3D" w14:textId="628E415A" w:rsidR="00F0639A" w:rsidRPr="00B704B3" w:rsidRDefault="00F0639A" w:rsidP="00F0639A">
            <w:pPr>
              <w:tabs>
                <w:tab w:val="right" w:pos="9072"/>
              </w:tabs>
              <w:spacing w:after="240"/>
              <w:ind w:right="91"/>
              <w:rPr>
                <w:sz w:val="22"/>
                <w:szCs w:val="22"/>
              </w:rPr>
            </w:pPr>
            <w:r w:rsidRPr="00B704B3">
              <w:rPr>
                <w:sz w:val="22"/>
                <w:szCs w:val="22"/>
              </w:rPr>
              <w:t xml:space="preserve">Prescribes the energy content uncertainty and carbon dioxide emission factor uncertainty to be used when reporting emissions from combustion of tyres under Method 1. </w:t>
            </w:r>
          </w:p>
        </w:tc>
      </w:tr>
      <w:tr w:rsidR="00F0639A" w:rsidRPr="00B704B3" w14:paraId="52DDE247" w14:textId="77777777" w:rsidTr="002D5C37">
        <w:tc>
          <w:tcPr>
            <w:tcW w:w="1028" w:type="dxa"/>
          </w:tcPr>
          <w:p w14:paraId="30971C5D" w14:textId="3CFF635B" w:rsidR="00F0639A" w:rsidRPr="00BD6189" w:rsidRDefault="00F0639A" w:rsidP="00F0639A">
            <w:pPr>
              <w:pStyle w:val="ListParagraph"/>
              <w:numPr>
                <w:ilvl w:val="0"/>
                <w:numId w:val="45"/>
              </w:numPr>
              <w:tabs>
                <w:tab w:val="right" w:pos="9072"/>
              </w:tabs>
              <w:spacing w:after="240"/>
              <w:ind w:right="91"/>
              <w:jc w:val="right"/>
              <w:rPr>
                <w:b/>
                <w:sz w:val="22"/>
                <w:szCs w:val="22"/>
              </w:rPr>
            </w:pPr>
          </w:p>
        </w:tc>
        <w:tc>
          <w:tcPr>
            <w:tcW w:w="2101" w:type="dxa"/>
          </w:tcPr>
          <w:p w14:paraId="46CF543A" w14:textId="77777777" w:rsidR="00F0639A" w:rsidRPr="00B704B3" w:rsidRDefault="00F0639A" w:rsidP="00F0639A">
            <w:pPr>
              <w:tabs>
                <w:tab w:val="right" w:pos="9072"/>
              </w:tabs>
              <w:spacing w:after="240"/>
              <w:ind w:right="91"/>
              <w:rPr>
                <w:sz w:val="22"/>
                <w:szCs w:val="22"/>
              </w:rPr>
            </w:pPr>
            <w:r w:rsidRPr="00B704B3">
              <w:rPr>
                <w:sz w:val="22"/>
                <w:szCs w:val="22"/>
              </w:rPr>
              <w:t>Subsection 8.6(1) (after table item 28)</w:t>
            </w:r>
          </w:p>
          <w:p w14:paraId="3027F0FB" w14:textId="77777777" w:rsidR="00F0639A" w:rsidRPr="00B704B3" w:rsidRDefault="00F0639A" w:rsidP="00F0639A">
            <w:pPr>
              <w:tabs>
                <w:tab w:val="right" w:pos="9072"/>
              </w:tabs>
              <w:spacing w:after="240"/>
              <w:ind w:right="91"/>
              <w:rPr>
                <w:sz w:val="22"/>
                <w:szCs w:val="22"/>
              </w:rPr>
            </w:pPr>
          </w:p>
        </w:tc>
        <w:tc>
          <w:tcPr>
            <w:tcW w:w="5167" w:type="dxa"/>
          </w:tcPr>
          <w:p w14:paraId="075494D2" w14:textId="3ABB42D3" w:rsidR="00F0639A" w:rsidRPr="00B704B3" w:rsidRDefault="00F0639A" w:rsidP="00F0639A">
            <w:pPr>
              <w:tabs>
                <w:tab w:val="right" w:pos="9072"/>
              </w:tabs>
              <w:spacing w:after="240"/>
              <w:ind w:right="91"/>
              <w:rPr>
                <w:sz w:val="22"/>
                <w:szCs w:val="22"/>
              </w:rPr>
            </w:pPr>
            <w:r w:rsidRPr="00B704B3">
              <w:rPr>
                <w:sz w:val="22"/>
                <w:szCs w:val="22"/>
              </w:rPr>
              <w:lastRenderedPageBreak/>
              <w:t xml:space="preserve">Prescribes the energy content uncertainty and carbon dioxide emission factor uncertainty to be used when </w:t>
            </w:r>
            <w:r w:rsidRPr="00B704B3">
              <w:rPr>
                <w:sz w:val="22"/>
                <w:szCs w:val="22"/>
              </w:rPr>
              <w:lastRenderedPageBreak/>
              <w:t xml:space="preserve">reporting emissions from combustion of </w:t>
            </w:r>
            <w:proofErr w:type="spellStart"/>
            <w:r w:rsidRPr="00B704B3">
              <w:rPr>
                <w:sz w:val="22"/>
                <w:szCs w:val="22"/>
              </w:rPr>
              <w:t>biomethane</w:t>
            </w:r>
            <w:proofErr w:type="spellEnd"/>
            <w:r w:rsidRPr="00B704B3">
              <w:rPr>
                <w:sz w:val="22"/>
                <w:szCs w:val="22"/>
              </w:rPr>
              <w:t xml:space="preserve"> under Method 1.</w:t>
            </w:r>
          </w:p>
        </w:tc>
      </w:tr>
      <w:tr w:rsidR="00F0639A" w:rsidRPr="00B704B3" w14:paraId="221CBE54" w14:textId="77777777" w:rsidTr="002D5C37">
        <w:tc>
          <w:tcPr>
            <w:tcW w:w="1028" w:type="dxa"/>
          </w:tcPr>
          <w:p w14:paraId="24657B4C" w14:textId="15CB7E5C" w:rsidR="00F0639A" w:rsidRPr="00BD6189" w:rsidRDefault="00F0639A" w:rsidP="00F0639A">
            <w:pPr>
              <w:pStyle w:val="ListParagraph"/>
              <w:numPr>
                <w:ilvl w:val="0"/>
                <w:numId w:val="45"/>
              </w:numPr>
              <w:tabs>
                <w:tab w:val="right" w:pos="9072"/>
              </w:tabs>
              <w:spacing w:after="240"/>
              <w:ind w:right="91"/>
              <w:jc w:val="right"/>
              <w:rPr>
                <w:b/>
                <w:sz w:val="22"/>
                <w:szCs w:val="22"/>
              </w:rPr>
            </w:pPr>
          </w:p>
        </w:tc>
        <w:tc>
          <w:tcPr>
            <w:tcW w:w="2101" w:type="dxa"/>
          </w:tcPr>
          <w:p w14:paraId="7BF25F4D" w14:textId="77777777" w:rsidR="00F0639A" w:rsidRPr="00B704B3" w:rsidRDefault="00F0639A" w:rsidP="00F0639A">
            <w:pPr>
              <w:tabs>
                <w:tab w:val="right" w:pos="9072"/>
              </w:tabs>
              <w:spacing w:after="240"/>
              <w:ind w:right="91"/>
              <w:rPr>
                <w:sz w:val="22"/>
                <w:szCs w:val="22"/>
              </w:rPr>
            </w:pPr>
            <w:r w:rsidRPr="00B704B3">
              <w:rPr>
                <w:sz w:val="22"/>
                <w:szCs w:val="22"/>
              </w:rPr>
              <w:t>Subsection 8.6(1) (table item 30)</w:t>
            </w:r>
          </w:p>
          <w:p w14:paraId="6437D24C" w14:textId="77777777" w:rsidR="00F0639A" w:rsidRPr="00B704B3" w:rsidRDefault="00F0639A" w:rsidP="00F0639A">
            <w:pPr>
              <w:tabs>
                <w:tab w:val="right" w:pos="9072"/>
              </w:tabs>
              <w:spacing w:after="240"/>
              <w:ind w:right="91"/>
              <w:rPr>
                <w:sz w:val="22"/>
                <w:szCs w:val="22"/>
              </w:rPr>
            </w:pPr>
          </w:p>
        </w:tc>
        <w:tc>
          <w:tcPr>
            <w:tcW w:w="5167" w:type="dxa"/>
          </w:tcPr>
          <w:p w14:paraId="4C8B9695" w14:textId="392E92E8" w:rsidR="00F0639A" w:rsidRPr="00B704B3" w:rsidRDefault="00F0639A" w:rsidP="00F0639A">
            <w:pPr>
              <w:tabs>
                <w:tab w:val="right" w:pos="9072"/>
              </w:tabs>
              <w:spacing w:after="240"/>
              <w:ind w:right="91"/>
              <w:rPr>
                <w:sz w:val="22"/>
                <w:szCs w:val="22"/>
              </w:rPr>
            </w:pPr>
            <w:r w:rsidRPr="00B704B3">
              <w:rPr>
                <w:sz w:val="22"/>
                <w:szCs w:val="22"/>
              </w:rPr>
              <w:t>Editorial</w:t>
            </w:r>
            <w:r w:rsidR="00BD05BF">
              <w:rPr>
                <w:sz w:val="22"/>
                <w:szCs w:val="22"/>
              </w:rPr>
              <w:t xml:space="preserve">. This avoids overlap between table item 30 and the new </w:t>
            </w:r>
            <w:proofErr w:type="spellStart"/>
            <w:r w:rsidR="00BD05BF">
              <w:rPr>
                <w:sz w:val="22"/>
                <w:szCs w:val="22"/>
              </w:rPr>
              <w:t>biomethane</w:t>
            </w:r>
            <w:proofErr w:type="spellEnd"/>
            <w:r w:rsidR="00BD05BF">
              <w:rPr>
                <w:sz w:val="22"/>
                <w:szCs w:val="22"/>
              </w:rPr>
              <w:t xml:space="preserve"> fuel type</w:t>
            </w:r>
            <w:r w:rsidRPr="00B704B3">
              <w:rPr>
                <w:sz w:val="22"/>
                <w:szCs w:val="22"/>
              </w:rPr>
              <w:t>.</w:t>
            </w:r>
          </w:p>
        </w:tc>
      </w:tr>
      <w:tr w:rsidR="00E44330" w:rsidRPr="00B704B3" w14:paraId="7AEF0900" w14:textId="77777777" w:rsidTr="002D5C37">
        <w:trPr>
          <w:trHeight w:val="722"/>
        </w:trPr>
        <w:tc>
          <w:tcPr>
            <w:tcW w:w="1028" w:type="dxa"/>
          </w:tcPr>
          <w:p w14:paraId="15DB99A6" w14:textId="31B6A043" w:rsidR="00E44330" w:rsidRPr="00BD6189" w:rsidRDefault="00E44330" w:rsidP="00E44330">
            <w:pPr>
              <w:pStyle w:val="ListParagraph"/>
              <w:numPr>
                <w:ilvl w:val="0"/>
                <w:numId w:val="45"/>
              </w:numPr>
              <w:tabs>
                <w:tab w:val="right" w:pos="9072"/>
              </w:tabs>
              <w:spacing w:after="240"/>
              <w:ind w:right="91"/>
              <w:jc w:val="right"/>
              <w:rPr>
                <w:b/>
                <w:sz w:val="22"/>
                <w:szCs w:val="22"/>
              </w:rPr>
            </w:pPr>
          </w:p>
        </w:tc>
        <w:tc>
          <w:tcPr>
            <w:tcW w:w="2101" w:type="dxa"/>
          </w:tcPr>
          <w:p w14:paraId="24A231A0" w14:textId="3B0B9BF5" w:rsidR="00E44330" w:rsidRPr="00B704B3" w:rsidRDefault="00E44330" w:rsidP="00E44330">
            <w:pPr>
              <w:tabs>
                <w:tab w:val="right" w:pos="9072"/>
              </w:tabs>
              <w:spacing w:after="240"/>
              <w:ind w:right="91"/>
              <w:rPr>
                <w:sz w:val="22"/>
                <w:szCs w:val="22"/>
              </w:rPr>
            </w:pPr>
            <w:r w:rsidRPr="00B704B3">
              <w:rPr>
                <w:sz w:val="22"/>
                <w:szCs w:val="22"/>
              </w:rPr>
              <w:t>After section 9.14</w:t>
            </w:r>
          </w:p>
        </w:tc>
        <w:tc>
          <w:tcPr>
            <w:tcW w:w="5167" w:type="dxa"/>
          </w:tcPr>
          <w:p w14:paraId="2CA2A703" w14:textId="77777777" w:rsidR="00E44330" w:rsidRPr="00B704B3" w:rsidRDefault="00E44330" w:rsidP="00E44330">
            <w:pPr>
              <w:tabs>
                <w:tab w:val="right" w:pos="9072"/>
              </w:tabs>
              <w:spacing w:after="240"/>
              <w:ind w:right="91"/>
              <w:rPr>
                <w:sz w:val="22"/>
                <w:szCs w:val="22"/>
              </w:rPr>
            </w:pPr>
            <w:r w:rsidRPr="00B704B3">
              <w:rPr>
                <w:sz w:val="22"/>
                <w:szCs w:val="22"/>
              </w:rPr>
              <w:t>Provides that amendments made by this instrument apply in relation to reporting for the 2022-23 and later financial years.</w:t>
            </w:r>
          </w:p>
          <w:p w14:paraId="7D568310" w14:textId="08360F33" w:rsidR="00E44330" w:rsidRPr="00B704B3" w:rsidRDefault="00E44330" w:rsidP="001A2640">
            <w:pPr>
              <w:tabs>
                <w:tab w:val="right" w:pos="9072"/>
              </w:tabs>
              <w:spacing w:after="240"/>
              <w:ind w:right="91"/>
              <w:rPr>
                <w:sz w:val="22"/>
                <w:szCs w:val="22"/>
              </w:rPr>
            </w:pPr>
            <w:r w:rsidRPr="00B704B3">
              <w:rPr>
                <w:sz w:val="22"/>
                <w:szCs w:val="22"/>
              </w:rPr>
              <w:t>However, reporters may elect to apply amendments to provisions for emissions of methane from decommissioned underground coal mines and leakages of HFCs and SF6</w:t>
            </w:r>
            <w:r w:rsidR="00BD05BF">
              <w:rPr>
                <w:sz w:val="22"/>
                <w:szCs w:val="22"/>
              </w:rPr>
              <w:t xml:space="preserve"> </w:t>
            </w:r>
            <w:r w:rsidRPr="00B704B3">
              <w:rPr>
                <w:sz w:val="22"/>
                <w:szCs w:val="22"/>
              </w:rPr>
              <w:t>for the 2021-22 financial year</w:t>
            </w:r>
            <w:r w:rsidR="00934C83">
              <w:rPr>
                <w:sz w:val="22"/>
                <w:szCs w:val="22"/>
              </w:rPr>
              <w:t xml:space="preserve">, due by </w:t>
            </w:r>
            <w:r w:rsidR="005300BF">
              <w:rPr>
                <w:sz w:val="22"/>
                <w:szCs w:val="22"/>
              </w:rPr>
              <w:t>31 October 2022</w:t>
            </w:r>
            <w:r w:rsidR="00934C83">
              <w:rPr>
                <w:sz w:val="22"/>
                <w:szCs w:val="22"/>
              </w:rPr>
              <w:t>.</w:t>
            </w:r>
            <w:r w:rsidR="005300BF">
              <w:rPr>
                <w:sz w:val="22"/>
                <w:szCs w:val="22"/>
              </w:rPr>
              <w:t xml:space="preserve"> </w:t>
            </w:r>
            <w:r w:rsidR="00934C83">
              <w:rPr>
                <w:sz w:val="22"/>
                <w:szCs w:val="22"/>
              </w:rPr>
              <w:t>T</w:t>
            </w:r>
            <w:r w:rsidR="005300BF">
              <w:rPr>
                <w:sz w:val="22"/>
                <w:szCs w:val="22"/>
              </w:rPr>
              <w:t>he</w:t>
            </w:r>
            <w:r w:rsidR="00934C83">
              <w:rPr>
                <w:sz w:val="22"/>
                <w:szCs w:val="22"/>
              </w:rPr>
              <w:t>se</w:t>
            </w:r>
            <w:r w:rsidR="005300BF">
              <w:rPr>
                <w:sz w:val="22"/>
                <w:szCs w:val="22"/>
              </w:rPr>
              <w:t xml:space="preserve"> </w:t>
            </w:r>
            <w:r w:rsidR="00434F63">
              <w:rPr>
                <w:sz w:val="22"/>
                <w:szCs w:val="22"/>
              </w:rPr>
              <w:t xml:space="preserve">updates </w:t>
            </w:r>
            <w:r w:rsidR="005300BF">
              <w:rPr>
                <w:sz w:val="22"/>
                <w:szCs w:val="22"/>
              </w:rPr>
              <w:t xml:space="preserve">provide increased clarity </w:t>
            </w:r>
            <w:r w:rsidR="00934C83">
              <w:rPr>
                <w:sz w:val="22"/>
                <w:szCs w:val="22"/>
              </w:rPr>
              <w:t>and</w:t>
            </w:r>
            <w:r w:rsidR="00434F63">
              <w:rPr>
                <w:sz w:val="22"/>
                <w:szCs w:val="22"/>
              </w:rPr>
              <w:t xml:space="preserve"> transparency </w:t>
            </w:r>
            <w:r w:rsidR="005300BF">
              <w:rPr>
                <w:sz w:val="22"/>
                <w:szCs w:val="22"/>
              </w:rPr>
              <w:t>to reporters</w:t>
            </w:r>
            <w:r w:rsidR="00934C83">
              <w:rPr>
                <w:sz w:val="22"/>
                <w:szCs w:val="22"/>
              </w:rPr>
              <w:t xml:space="preserve"> respectively</w:t>
            </w:r>
            <w:r w:rsidR="005300BF">
              <w:rPr>
                <w:sz w:val="22"/>
                <w:szCs w:val="22"/>
              </w:rPr>
              <w:t xml:space="preserve">. </w:t>
            </w:r>
          </w:p>
        </w:tc>
      </w:tr>
      <w:tr w:rsidR="00BB6FD5" w:rsidRPr="00B704B3" w14:paraId="02E64192" w14:textId="77777777" w:rsidTr="002D5C37">
        <w:tc>
          <w:tcPr>
            <w:tcW w:w="1028" w:type="dxa"/>
          </w:tcPr>
          <w:p w14:paraId="3DD6D019" w14:textId="65397855" w:rsidR="00BB6FD5" w:rsidRPr="00BD6189" w:rsidRDefault="00BB6FD5" w:rsidP="00BB6FD5">
            <w:pPr>
              <w:pStyle w:val="ListParagraph"/>
              <w:numPr>
                <w:ilvl w:val="0"/>
                <w:numId w:val="45"/>
              </w:numPr>
              <w:tabs>
                <w:tab w:val="right" w:pos="9072"/>
              </w:tabs>
              <w:spacing w:after="240"/>
              <w:ind w:right="91"/>
              <w:jc w:val="right"/>
              <w:rPr>
                <w:b/>
                <w:sz w:val="22"/>
                <w:szCs w:val="22"/>
              </w:rPr>
            </w:pPr>
          </w:p>
        </w:tc>
        <w:tc>
          <w:tcPr>
            <w:tcW w:w="2101" w:type="dxa"/>
          </w:tcPr>
          <w:p w14:paraId="74FA1A4F" w14:textId="091BAF62" w:rsidR="00BB6FD5" w:rsidRPr="00B704B3" w:rsidRDefault="00BB6FD5" w:rsidP="00BB6FD5">
            <w:pPr>
              <w:tabs>
                <w:tab w:val="right" w:pos="9072"/>
              </w:tabs>
              <w:spacing w:after="240"/>
              <w:ind w:right="91"/>
              <w:rPr>
                <w:sz w:val="22"/>
                <w:szCs w:val="22"/>
              </w:rPr>
            </w:pPr>
            <w:r w:rsidRPr="00B704B3">
              <w:rPr>
                <w:sz w:val="22"/>
                <w:szCs w:val="22"/>
              </w:rPr>
              <w:t>Part 1 of Schedule 1 (table item 8)</w:t>
            </w:r>
          </w:p>
        </w:tc>
        <w:tc>
          <w:tcPr>
            <w:tcW w:w="5167" w:type="dxa"/>
          </w:tcPr>
          <w:p w14:paraId="39D030A0" w14:textId="2CA68A06" w:rsidR="00BB6FD5" w:rsidRPr="00B704B3" w:rsidRDefault="00BB6FD5" w:rsidP="00BB6FD5">
            <w:pPr>
              <w:tabs>
                <w:tab w:val="right" w:pos="9072"/>
              </w:tabs>
              <w:spacing w:after="240"/>
              <w:ind w:right="91"/>
              <w:rPr>
                <w:sz w:val="22"/>
                <w:szCs w:val="22"/>
              </w:rPr>
            </w:pPr>
            <w:r w:rsidRPr="00B704B3">
              <w:rPr>
                <w:sz w:val="22"/>
                <w:szCs w:val="22"/>
              </w:rPr>
              <w:t>Omits the words ‘and tyres’ from table item 8 of Schedule 1, as new stand-alone fuel types for tyres are created by these amendments.</w:t>
            </w:r>
          </w:p>
        </w:tc>
      </w:tr>
      <w:tr w:rsidR="00BB6FD5" w:rsidRPr="00B704B3" w14:paraId="1DC95610" w14:textId="77777777" w:rsidTr="002D5C37">
        <w:tc>
          <w:tcPr>
            <w:tcW w:w="1028" w:type="dxa"/>
          </w:tcPr>
          <w:p w14:paraId="7561B8D6" w14:textId="4E95C7A8" w:rsidR="00BB6FD5" w:rsidRPr="00BD6189" w:rsidRDefault="00BB6FD5" w:rsidP="00BB6FD5">
            <w:pPr>
              <w:pStyle w:val="ListParagraph"/>
              <w:numPr>
                <w:ilvl w:val="0"/>
                <w:numId w:val="45"/>
              </w:numPr>
              <w:tabs>
                <w:tab w:val="right" w:pos="9072"/>
              </w:tabs>
              <w:spacing w:after="240"/>
              <w:ind w:right="91"/>
              <w:jc w:val="right"/>
              <w:rPr>
                <w:b/>
                <w:sz w:val="22"/>
                <w:szCs w:val="22"/>
              </w:rPr>
            </w:pPr>
          </w:p>
        </w:tc>
        <w:tc>
          <w:tcPr>
            <w:tcW w:w="2101" w:type="dxa"/>
          </w:tcPr>
          <w:p w14:paraId="0FBFE71B" w14:textId="77777777" w:rsidR="00BB6FD5" w:rsidRPr="00B704B3" w:rsidRDefault="00BB6FD5" w:rsidP="00BB6FD5">
            <w:pPr>
              <w:tabs>
                <w:tab w:val="right" w:pos="9072"/>
              </w:tabs>
              <w:spacing w:after="240"/>
              <w:ind w:right="91"/>
              <w:rPr>
                <w:sz w:val="22"/>
                <w:szCs w:val="22"/>
              </w:rPr>
            </w:pPr>
            <w:r w:rsidRPr="00B704B3">
              <w:rPr>
                <w:sz w:val="22"/>
                <w:szCs w:val="22"/>
              </w:rPr>
              <w:t>Part 1 of Schedule 1 (after table item 8)</w:t>
            </w:r>
          </w:p>
          <w:p w14:paraId="40FCE440" w14:textId="77777777" w:rsidR="00BB6FD5" w:rsidRPr="00B704B3" w:rsidRDefault="00BB6FD5" w:rsidP="00BB6FD5">
            <w:pPr>
              <w:tabs>
                <w:tab w:val="right" w:pos="9072"/>
              </w:tabs>
              <w:spacing w:after="240"/>
              <w:ind w:right="91"/>
              <w:rPr>
                <w:sz w:val="22"/>
                <w:szCs w:val="22"/>
              </w:rPr>
            </w:pPr>
          </w:p>
        </w:tc>
        <w:tc>
          <w:tcPr>
            <w:tcW w:w="5167" w:type="dxa"/>
          </w:tcPr>
          <w:p w14:paraId="40CD447D" w14:textId="57896FE0" w:rsidR="00BB6FD5" w:rsidRPr="00B704B3" w:rsidRDefault="00BB6FD5" w:rsidP="00BB6FD5">
            <w:pPr>
              <w:tabs>
                <w:tab w:val="right" w:pos="9072"/>
              </w:tabs>
              <w:spacing w:after="240"/>
              <w:ind w:right="91"/>
              <w:rPr>
                <w:sz w:val="22"/>
                <w:szCs w:val="22"/>
              </w:rPr>
            </w:pPr>
            <w:r w:rsidRPr="00B704B3">
              <w:rPr>
                <w:sz w:val="22"/>
                <w:szCs w:val="22"/>
              </w:rPr>
              <w:t xml:space="preserve">Specifies the energy content and carbon dioxide, methane and nitrous oxide emission factors for the new fuel types </w:t>
            </w:r>
            <w:r w:rsidRPr="00B704B3">
              <w:rPr>
                <w:i/>
                <w:sz w:val="22"/>
                <w:szCs w:val="22"/>
              </w:rPr>
              <w:t>Passenger car tyres, if recycled or combusted to produce heat or electricity</w:t>
            </w:r>
            <w:r w:rsidRPr="00B704B3">
              <w:rPr>
                <w:sz w:val="22"/>
                <w:szCs w:val="22"/>
              </w:rPr>
              <w:t xml:space="preserve"> and </w:t>
            </w:r>
            <w:r w:rsidRPr="00B704B3">
              <w:rPr>
                <w:i/>
                <w:sz w:val="22"/>
                <w:szCs w:val="22"/>
              </w:rPr>
              <w:t>Truck and off-road tyres, if recycled or combusted to produce heat or electricity.</w:t>
            </w:r>
          </w:p>
        </w:tc>
      </w:tr>
      <w:tr w:rsidR="00BB6FD5" w:rsidRPr="00B704B3" w14:paraId="6C867181" w14:textId="77777777" w:rsidTr="002D5C37">
        <w:tc>
          <w:tcPr>
            <w:tcW w:w="1028" w:type="dxa"/>
          </w:tcPr>
          <w:p w14:paraId="2391B80C" w14:textId="3DD52B72" w:rsidR="00BB6FD5" w:rsidRPr="00BD6189" w:rsidRDefault="00BB6FD5" w:rsidP="00BB6FD5">
            <w:pPr>
              <w:pStyle w:val="ListParagraph"/>
              <w:numPr>
                <w:ilvl w:val="0"/>
                <w:numId w:val="45"/>
              </w:numPr>
              <w:tabs>
                <w:tab w:val="right" w:pos="9072"/>
              </w:tabs>
              <w:spacing w:after="240"/>
              <w:ind w:right="91"/>
              <w:jc w:val="right"/>
              <w:rPr>
                <w:b/>
                <w:sz w:val="22"/>
                <w:szCs w:val="22"/>
              </w:rPr>
            </w:pPr>
          </w:p>
        </w:tc>
        <w:tc>
          <w:tcPr>
            <w:tcW w:w="2101" w:type="dxa"/>
          </w:tcPr>
          <w:p w14:paraId="284E7642" w14:textId="50964600" w:rsidR="00BB6FD5" w:rsidRPr="00B704B3" w:rsidRDefault="00BB6FD5" w:rsidP="00BB6FD5">
            <w:pPr>
              <w:tabs>
                <w:tab w:val="right" w:pos="9072"/>
              </w:tabs>
              <w:spacing w:after="240"/>
              <w:ind w:right="91"/>
              <w:rPr>
                <w:sz w:val="22"/>
                <w:szCs w:val="22"/>
              </w:rPr>
            </w:pPr>
            <w:r w:rsidRPr="00B704B3">
              <w:rPr>
                <w:sz w:val="22"/>
                <w:szCs w:val="22"/>
              </w:rPr>
              <w:t>Part 2 of Schedule 1 (after table item 29)</w:t>
            </w:r>
          </w:p>
        </w:tc>
        <w:tc>
          <w:tcPr>
            <w:tcW w:w="5167" w:type="dxa"/>
          </w:tcPr>
          <w:p w14:paraId="651B89E8" w14:textId="61EF8BDB" w:rsidR="00BB6FD5" w:rsidRPr="00B704B3" w:rsidRDefault="00BB6FD5" w:rsidP="00BB6FD5">
            <w:pPr>
              <w:tabs>
                <w:tab w:val="right" w:pos="9072"/>
              </w:tabs>
              <w:spacing w:after="240"/>
              <w:ind w:right="91"/>
              <w:rPr>
                <w:sz w:val="22"/>
                <w:szCs w:val="22"/>
              </w:rPr>
            </w:pPr>
            <w:r w:rsidRPr="00B704B3">
              <w:rPr>
                <w:sz w:val="22"/>
                <w:szCs w:val="22"/>
              </w:rPr>
              <w:t xml:space="preserve">Specifies the energy content and carbon dioxide, methane and nitrous oxide emission factors for the new fuel type </w:t>
            </w:r>
            <w:proofErr w:type="spellStart"/>
            <w:r w:rsidRPr="00B704B3">
              <w:rPr>
                <w:i/>
                <w:sz w:val="22"/>
                <w:szCs w:val="22"/>
              </w:rPr>
              <w:t>biomethane</w:t>
            </w:r>
            <w:proofErr w:type="spellEnd"/>
            <w:r w:rsidRPr="00B704B3">
              <w:rPr>
                <w:sz w:val="22"/>
                <w:szCs w:val="22"/>
              </w:rPr>
              <w:t xml:space="preserve">. The carbon dioxide emission factor is zero consistent with other biogenic fuel types; other parameters are as for natural gas.  </w:t>
            </w:r>
          </w:p>
        </w:tc>
      </w:tr>
      <w:tr w:rsidR="00BB6FD5" w:rsidRPr="00B704B3" w14:paraId="233ECE3D" w14:textId="77777777" w:rsidTr="002D5C37">
        <w:tc>
          <w:tcPr>
            <w:tcW w:w="1028" w:type="dxa"/>
          </w:tcPr>
          <w:p w14:paraId="7C7DEE81" w14:textId="314C94A7" w:rsidR="00BB6FD5" w:rsidRPr="00BD6189" w:rsidRDefault="00BB6FD5" w:rsidP="00BB6FD5">
            <w:pPr>
              <w:pStyle w:val="ListParagraph"/>
              <w:numPr>
                <w:ilvl w:val="0"/>
                <w:numId w:val="45"/>
              </w:numPr>
              <w:tabs>
                <w:tab w:val="right" w:pos="9072"/>
              </w:tabs>
              <w:spacing w:after="240"/>
              <w:ind w:right="91"/>
              <w:jc w:val="right"/>
              <w:rPr>
                <w:b/>
                <w:sz w:val="22"/>
                <w:szCs w:val="22"/>
              </w:rPr>
            </w:pPr>
          </w:p>
        </w:tc>
        <w:tc>
          <w:tcPr>
            <w:tcW w:w="2101" w:type="dxa"/>
          </w:tcPr>
          <w:p w14:paraId="0633B50A" w14:textId="0317EC22" w:rsidR="00BB6FD5" w:rsidRPr="00B704B3" w:rsidRDefault="00BB6FD5" w:rsidP="00BB6FD5">
            <w:pPr>
              <w:tabs>
                <w:tab w:val="right" w:pos="9072"/>
              </w:tabs>
              <w:spacing w:after="240"/>
              <w:ind w:right="91"/>
              <w:rPr>
                <w:sz w:val="22"/>
                <w:szCs w:val="22"/>
              </w:rPr>
            </w:pPr>
            <w:r w:rsidRPr="00B704B3">
              <w:rPr>
                <w:sz w:val="22"/>
                <w:szCs w:val="22"/>
              </w:rPr>
              <w:t>Part 2 of Schedule 1 (table item 30)</w:t>
            </w:r>
          </w:p>
        </w:tc>
        <w:tc>
          <w:tcPr>
            <w:tcW w:w="5167" w:type="dxa"/>
          </w:tcPr>
          <w:p w14:paraId="08B502F3" w14:textId="017A8D7F" w:rsidR="00BB6FD5" w:rsidRPr="00B704B3" w:rsidRDefault="00BB6FD5" w:rsidP="00BB6FD5">
            <w:pPr>
              <w:tabs>
                <w:tab w:val="right" w:pos="9072"/>
              </w:tabs>
              <w:spacing w:after="240"/>
              <w:ind w:right="91"/>
              <w:rPr>
                <w:sz w:val="22"/>
                <w:szCs w:val="22"/>
              </w:rPr>
            </w:pPr>
            <w:r w:rsidRPr="00B704B3">
              <w:rPr>
                <w:sz w:val="22"/>
                <w:szCs w:val="22"/>
              </w:rPr>
              <w:t>Editorial</w:t>
            </w:r>
            <w:r w:rsidR="007B1117">
              <w:rPr>
                <w:sz w:val="22"/>
                <w:szCs w:val="22"/>
              </w:rPr>
              <w:t>.</w:t>
            </w:r>
            <w:r w:rsidRPr="00B704B3">
              <w:rPr>
                <w:sz w:val="22"/>
                <w:szCs w:val="22"/>
              </w:rPr>
              <w:t xml:space="preserve"> </w:t>
            </w:r>
            <w:r w:rsidR="007B1117">
              <w:rPr>
                <w:sz w:val="22"/>
                <w:szCs w:val="22"/>
              </w:rPr>
              <w:t xml:space="preserve">This avoids overlap between table item 30 and the new </w:t>
            </w:r>
            <w:proofErr w:type="spellStart"/>
            <w:r w:rsidR="007B1117">
              <w:rPr>
                <w:sz w:val="22"/>
                <w:szCs w:val="22"/>
              </w:rPr>
              <w:t>biomethane</w:t>
            </w:r>
            <w:proofErr w:type="spellEnd"/>
            <w:r w:rsidR="007B1117">
              <w:rPr>
                <w:sz w:val="22"/>
                <w:szCs w:val="22"/>
              </w:rPr>
              <w:t xml:space="preserve"> fuel type.</w:t>
            </w:r>
          </w:p>
        </w:tc>
      </w:tr>
      <w:tr w:rsidR="00BB6FD5" w:rsidRPr="00B704B3" w14:paraId="26B4554D" w14:textId="77777777" w:rsidTr="002D5C37">
        <w:tc>
          <w:tcPr>
            <w:tcW w:w="1028" w:type="dxa"/>
          </w:tcPr>
          <w:p w14:paraId="5E29FA38" w14:textId="4A72FAB2" w:rsidR="00BB6FD5" w:rsidRPr="00BD6189" w:rsidRDefault="00BB6FD5" w:rsidP="00BB6FD5">
            <w:pPr>
              <w:pStyle w:val="ListParagraph"/>
              <w:numPr>
                <w:ilvl w:val="0"/>
                <w:numId w:val="45"/>
              </w:numPr>
              <w:tabs>
                <w:tab w:val="right" w:pos="9072"/>
              </w:tabs>
              <w:spacing w:after="240"/>
              <w:ind w:right="91"/>
              <w:jc w:val="right"/>
              <w:rPr>
                <w:b/>
                <w:sz w:val="22"/>
                <w:szCs w:val="22"/>
              </w:rPr>
            </w:pPr>
          </w:p>
        </w:tc>
        <w:tc>
          <w:tcPr>
            <w:tcW w:w="2101" w:type="dxa"/>
          </w:tcPr>
          <w:p w14:paraId="744E15FB" w14:textId="77777777" w:rsidR="00BB6FD5" w:rsidRPr="00B704B3" w:rsidRDefault="00BB6FD5" w:rsidP="00BB6FD5">
            <w:pPr>
              <w:tabs>
                <w:tab w:val="right" w:pos="9072"/>
              </w:tabs>
              <w:spacing w:after="240"/>
              <w:ind w:right="91"/>
              <w:rPr>
                <w:sz w:val="22"/>
                <w:szCs w:val="22"/>
              </w:rPr>
            </w:pPr>
            <w:r w:rsidRPr="00B704B3">
              <w:rPr>
                <w:sz w:val="22"/>
                <w:szCs w:val="22"/>
              </w:rPr>
              <w:t>Part 6 of Schedule 1</w:t>
            </w:r>
          </w:p>
          <w:p w14:paraId="0B7121A5" w14:textId="77777777" w:rsidR="00BB6FD5" w:rsidRPr="00B704B3" w:rsidRDefault="00BB6FD5" w:rsidP="00BB6FD5">
            <w:pPr>
              <w:tabs>
                <w:tab w:val="right" w:pos="9072"/>
              </w:tabs>
              <w:spacing w:after="240"/>
              <w:ind w:right="91"/>
              <w:rPr>
                <w:sz w:val="22"/>
                <w:szCs w:val="22"/>
              </w:rPr>
            </w:pPr>
          </w:p>
        </w:tc>
        <w:tc>
          <w:tcPr>
            <w:tcW w:w="5167" w:type="dxa"/>
          </w:tcPr>
          <w:p w14:paraId="0E246E9E" w14:textId="2296E3BB" w:rsidR="00BB6FD5" w:rsidRPr="00B704B3" w:rsidRDefault="00FE46EE" w:rsidP="00BB6FD5">
            <w:pPr>
              <w:tabs>
                <w:tab w:val="right" w:pos="9072"/>
              </w:tabs>
              <w:spacing w:after="240"/>
              <w:ind w:right="91"/>
              <w:rPr>
                <w:sz w:val="22"/>
                <w:szCs w:val="22"/>
              </w:rPr>
            </w:pPr>
            <w:r w:rsidRPr="00B704B3">
              <w:rPr>
                <w:sz w:val="22"/>
                <w:szCs w:val="22"/>
              </w:rPr>
              <w:t>Updates ‘Scope 2’ emission factors applicable to the consumption of electricity from the grid.</w:t>
            </w:r>
          </w:p>
        </w:tc>
      </w:tr>
      <w:tr w:rsidR="00BB6FD5" w:rsidRPr="00B704B3" w14:paraId="228D9EBE" w14:textId="77777777" w:rsidTr="002D5C37">
        <w:tc>
          <w:tcPr>
            <w:tcW w:w="1028" w:type="dxa"/>
          </w:tcPr>
          <w:p w14:paraId="69935B76" w14:textId="0B3AA8DF" w:rsidR="00BB6FD5" w:rsidRPr="00BD6189" w:rsidRDefault="00BB6FD5" w:rsidP="00BB6FD5">
            <w:pPr>
              <w:pStyle w:val="ListParagraph"/>
              <w:numPr>
                <w:ilvl w:val="0"/>
                <w:numId w:val="45"/>
              </w:numPr>
              <w:tabs>
                <w:tab w:val="right" w:pos="9072"/>
              </w:tabs>
              <w:spacing w:after="240"/>
              <w:ind w:right="91"/>
              <w:jc w:val="right"/>
              <w:rPr>
                <w:b/>
                <w:sz w:val="22"/>
                <w:szCs w:val="22"/>
              </w:rPr>
            </w:pPr>
          </w:p>
        </w:tc>
        <w:tc>
          <w:tcPr>
            <w:tcW w:w="2101" w:type="dxa"/>
          </w:tcPr>
          <w:p w14:paraId="1DB6BA84" w14:textId="77777777" w:rsidR="00BB6FD5" w:rsidRPr="00B704B3" w:rsidRDefault="00BB6FD5" w:rsidP="00BB6FD5">
            <w:pPr>
              <w:tabs>
                <w:tab w:val="right" w:pos="9072"/>
              </w:tabs>
              <w:spacing w:after="240"/>
              <w:ind w:right="91"/>
              <w:rPr>
                <w:sz w:val="22"/>
                <w:szCs w:val="22"/>
              </w:rPr>
            </w:pPr>
            <w:r w:rsidRPr="00B704B3">
              <w:rPr>
                <w:sz w:val="22"/>
                <w:szCs w:val="22"/>
              </w:rPr>
              <w:t>Schedule 2 (table item 8)</w:t>
            </w:r>
          </w:p>
          <w:p w14:paraId="5528A019" w14:textId="77777777" w:rsidR="00BB6FD5" w:rsidRPr="00B704B3" w:rsidRDefault="00BB6FD5" w:rsidP="00BB6FD5">
            <w:pPr>
              <w:tabs>
                <w:tab w:val="right" w:pos="9072"/>
              </w:tabs>
              <w:spacing w:after="240"/>
              <w:ind w:right="91"/>
              <w:rPr>
                <w:sz w:val="22"/>
                <w:szCs w:val="22"/>
              </w:rPr>
            </w:pPr>
          </w:p>
        </w:tc>
        <w:tc>
          <w:tcPr>
            <w:tcW w:w="5167" w:type="dxa"/>
          </w:tcPr>
          <w:p w14:paraId="1292BDF2" w14:textId="2EED9BDE" w:rsidR="00BB6FD5" w:rsidRPr="00B704B3" w:rsidRDefault="00FE46EE" w:rsidP="00BB6FD5">
            <w:pPr>
              <w:tabs>
                <w:tab w:val="right" w:pos="9072"/>
              </w:tabs>
              <w:spacing w:after="240"/>
              <w:ind w:right="91"/>
              <w:rPr>
                <w:sz w:val="22"/>
                <w:szCs w:val="22"/>
              </w:rPr>
            </w:pPr>
            <w:r w:rsidRPr="00B704B3">
              <w:rPr>
                <w:sz w:val="22"/>
                <w:szCs w:val="22"/>
              </w:rPr>
              <w:t>Omits the words ‘and tyres’ from table item 8 of Schedule 2, as new stand-alone fuel types for tyres are created by these amendments.</w:t>
            </w:r>
          </w:p>
        </w:tc>
      </w:tr>
      <w:tr w:rsidR="00FE46EE" w:rsidRPr="00B704B3" w14:paraId="32B1F635" w14:textId="77777777" w:rsidTr="002D5C37">
        <w:tc>
          <w:tcPr>
            <w:tcW w:w="1028" w:type="dxa"/>
          </w:tcPr>
          <w:p w14:paraId="5646427A" w14:textId="364EB207" w:rsidR="00FE46EE" w:rsidRPr="00BD6189" w:rsidRDefault="00FE46EE" w:rsidP="00FE46EE">
            <w:pPr>
              <w:pStyle w:val="ListParagraph"/>
              <w:numPr>
                <w:ilvl w:val="0"/>
                <w:numId w:val="45"/>
              </w:numPr>
              <w:tabs>
                <w:tab w:val="right" w:pos="9072"/>
              </w:tabs>
              <w:spacing w:after="240"/>
              <w:ind w:right="91"/>
              <w:jc w:val="right"/>
              <w:rPr>
                <w:b/>
                <w:sz w:val="22"/>
                <w:szCs w:val="22"/>
              </w:rPr>
            </w:pPr>
          </w:p>
        </w:tc>
        <w:tc>
          <w:tcPr>
            <w:tcW w:w="2101" w:type="dxa"/>
          </w:tcPr>
          <w:p w14:paraId="4B7CF50B" w14:textId="77777777" w:rsidR="00FE46EE" w:rsidRPr="00B704B3" w:rsidRDefault="00FE46EE" w:rsidP="00FE46EE">
            <w:pPr>
              <w:tabs>
                <w:tab w:val="right" w:pos="9072"/>
              </w:tabs>
              <w:spacing w:after="240"/>
              <w:ind w:right="91"/>
              <w:rPr>
                <w:sz w:val="22"/>
                <w:szCs w:val="22"/>
              </w:rPr>
            </w:pPr>
            <w:r w:rsidRPr="00B704B3">
              <w:rPr>
                <w:sz w:val="22"/>
                <w:szCs w:val="22"/>
              </w:rPr>
              <w:t>Schedule 2 (after table item 8)</w:t>
            </w:r>
          </w:p>
          <w:p w14:paraId="60711D6E" w14:textId="77777777" w:rsidR="00FE46EE" w:rsidRPr="00B704B3" w:rsidRDefault="00FE46EE" w:rsidP="00FE46EE">
            <w:pPr>
              <w:tabs>
                <w:tab w:val="right" w:pos="9072"/>
              </w:tabs>
              <w:spacing w:after="240"/>
              <w:ind w:right="91"/>
              <w:rPr>
                <w:sz w:val="22"/>
                <w:szCs w:val="22"/>
              </w:rPr>
            </w:pPr>
          </w:p>
        </w:tc>
        <w:tc>
          <w:tcPr>
            <w:tcW w:w="5167" w:type="dxa"/>
          </w:tcPr>
          <w:p w14:paraId="6E83005E" w14:textId="6C6BA864" w:rsidR="00FE46EE" w:rsidRPr="00B704B3" w:rsidRDefault="00FE46EE" w:rsidP="00FE46EE">
            <w:pPr>
              <w:tabs>
                <w:tab w:val="right" w:pos="9072"/>
              </w:tabs>
              <w:spacing w:after="240"/>
              <w:ind w:right="91"/>
              <w:rPr>
                <w:sz w:val="22"/>
                <w:szCs w:val="22"/>
              </w:rPr>
            </w:pPr>
            <w:r w:rsidRPr="00B704B3">
              <w:rPr>
                <w:sz w:val="22"/>
                <w:szCs w:val="22"/>
              </w:rPr>
              <w:t>Prescribes measurement standards for analysing samples of passenger car and truck and off-road tyres for the purpose of reporting emissions using Method 2 for combustion of solid fuels. Prescribed standards are as for industrial materials.</w:t>
            </w:r>
          </w:p>
        </w:tc>
      </w:tr>
      <w:tr w:rsidR="00FE46EE" w:rsidRPr="00B704B3" w14:paraId="2527E37A" w14:textId="77777777" w:rsidTr="002D5C37">
        <w:tc>
          <w:tcPr>
            <w:tcW w:w="1028" w:type="dxa"/>
          </w:tcPr>
          <w:p w14:paraId="7E0C3B05" w14:textId="1680B334" w:rsidR="00FE46EE" w:rsidRPr="00BD6189" w:rsidRDefault="00FE46EE" w:rsidP="00FE46EE">
            <w:pPr>
              <w:pStyle w:val="ListParagraph"/>
              <w:numPr>
                <w:ilvl w:val="0"/>
                <w:numId w:val="45"/>
              </w:numPr>
              <w:tabs>
                <w:tab w:val="right" w:pos="9072"/>
              </w:tabs>
              <w:spacing w:after="240"/>
              <w:ind w:right="91"/>
              <w:jc w:val="right"/>
              <w:rPr>
                <w:b/>
                <w:sz w:val="22"/>
                <w:szCs w:val="22"/>
              </w:rPr>
            </w:pPr>
          </w:p>
        </w:tc>
        <w:tc>
          <w:tcPr>
            <w:tcW w:w="2101" w:type="dxa"/>
          </w:tcPr>
          <w:p w14:paraId="36412222" w14:textId="1121046B" w:rsidR="00FE46EE" w:rsidRPr="00B704B3" w:rsidRDefault="00FE46EE" w:rsidP="00FE46EE">
            <w:pPr>
              <w:tabs>
                <w:tab w:val="right" w:pos="9072"/>
              </w:tabs>
              <w:spacing w:after="240"/>
              <w:ind w:right="91"/>
              <w:rPr>
                <w:sz w:val="22"/>
                <w:szCs w:val="22"/>
              </w:rPr>
            </w:pPr>
            <w:r w:rsidRPr="00B704B3">
              <w:rPr>
                <w:sz w:val="22"/>
                <w:szCs w:val="22"/>
              </w:rPr>
              <w:t>Schedule 3 (table item 8)</w:t>
            </w:r>
          </w:p>
        </w:tc>
        <w:tc>
          <w:tcPr>
            <w:tcW w:w="5167" w:type="dxa"/>
          </w:tcPr>
          <w:p w14:paraId="7BC73ACE" w14:textId="4837A851" w:rsidR="00FE46EE" w:rsidRPr="00B704B3" w:rsidRDefault="00FE46EE" w:rsidP="00FE46EE">
            <w:pPr>
              <w:tabs>
                <w:tab w:val="right" w:pos="9072"/>
              </w:tabs>
              <w:spacing w:after="240"/>
              <w:ind w:right="91"/>
              <w:rPr>
                <w:sz w:val="22"/>
                <w:szCs w:val="22"/>
              </w:rPr>
            </w:pPr>
            <w:r w:rsidRPr="00B704B3">
              <w:rPr>
                <w:sz w:val="22"/>
                <w:szCs w:val="22"/>
              </w:rPr>
              <w:t>Omits the words ‘and tyres’ from table item 8 of Schedule 3, as new stand-alone fuel types for tyres are created by these amendments.</w:t>
            </w:r>
          </w:p>
        </w:tc>
      </w:tr>
      <w:tr w:rsidR="00FE46EE" w:rsidRPr="00B704B3" w14:paraId="3CB02653" w14:textId="77777777" w:rsidTr="002D5C37">
        <w:tc>
          <w:tcPr>
            <w:tcW w:w="1028" w:type="dxa"/>
          </w:tcPr>
          <w:p w14:paraId="750B787A" w14:textId="11D8B22B" w:rsidR="00FE46EE" w:rsidRPr="00BD6189" w:rsidRDefault="00FE46EE" w:rsidP="00FE46EE">
            <w:pPr>
              <w:pStyle w:val="ListParagraph"/>
              <w:numPr>
                <w:ilvl w:val="0"/>
                <w:numId w:val="45"/>
              </w:numPr>
              <w:tabs>
                <w:tab w:val="right" w:pos="9072"/>
              </w:tabs>
              <w:spacing w:after="240"/>
              <w:ind w:right="91"/>
              <w:jc w:val="right"/>
              <w:rPr>
                <w:b/>
                <w:sz w:val="22"/>
                <w:szCs w:val="22"/>
              </w:rPr>
            </w:pPr>
          </w:p>
        </w:tc>
        <w:tc>
          <w:tcPr>
            <w:tcW w:w="2101" w:type="dxa"/>
          </w:tcPr>
          <w:p w14:paraId="1E22B71E" w14:textId="77777777" w:rsidR="00FE46EE" w:rsidRPr="00B704B3" w:rsidRDefault="00FE46EE" w:rsidP="00FE46EE">
            <w:pPr>
              <w:tabs>
                <w:tab w:val="right" w:pos="9072"/>
              </w:tabs>
              <w:spacing w:after="240"/>
              <w:ind w:right="91"/>
              <w:rPr>
                <w:sz w:val="22"/>
                <w:szCs w:val="22"/>
              </w:rPr>
            </w:pPr>
            <w:r w:rsidRPr="00B704B3">
              <w:rPr>
                <w:sz w:val="22"/>
                <w:szCs w:val="22"/>
              </w:rPr>
              <w:t>Schedule 3 (after table item 8)</w:t>
            </w:r>
          </w:p>
          <w:p w14:paraId="5419D3EF" w14:textId="77777777" w:rsidR="00FE46EE" w:rsidRPr="00B704B3" w:rsidRDefault="00FE46EE" w:rsidP="00FE46EE">
            <w:pPr>
              <w:tabs>
                <w:tab w:val="right" w:pos="9072"/>
              </w:tabs>
              <w:spacing w:after="240"/>
              <w:ind w:right="91"/>
              <w:rPr>
                <w:sz w:val="22"/>
                <w:szCs w:val="22"/>
              </w:rPr>
            </w:pPr>
          </w:p>
        </w:tc>
        <w:tc>
          <w:tcPr>
            <w:tcW w:w="5167" w:type="dxa"/>
          </w:tcPr>
          <w:p w14:paraId="7DE45C26" w14:textId="07B4539C" w:rsidR="00FE46EE" w:rsidRPr="00B704B3" w:rsidRDefault="00FE46EE" w:rsidP="00FE46EE">
            <w:pPr>
              <w:tabs>
                <w:tab w:val="right" w:pos="9072"/>
              </w:tabs>
              <w:spacing w:after="240"/>
              <w:ind w:right="91"/>
              <w:rPr>
                <w:sz w:val="22"/>
                <w:szCs w:val="22"/>
              </w:rPr>
            </w:pPr>
            <w:r w:rsidRPr="00B704B3">
              <w:rPr>
                <w:sz w:val="22"/>
                <w:szCs w:val="22"/>
              </w:rPr>
              <w:t>Specifies the carbon content factors for passenger car and truck and off-road tyres.</w:t>
            </w:r>
          </w:p>
        </w:tc>
      </w:tr>
      <w:tr w:rsidR="00FE46EE" w:rsidRPr="00B704B3" w14:paraId="029ABC59" w14:textId="77777777" w:rsidTr="002D5C37">
        <w:tc>
          <w:tcPr>
            <w:tcW w:w="1028" w:type="dxa"/>
          </w:tcPr>
          <w:p w14:paraId="5FC59EB1" w14:textId="45201EC2" w:rsidR="00FE46EE" w:rsidRPr="00BD6189" w:rsidRDefault="00FE46EE" w:rsidP="00FE46EE">
            <w:pPr>
              <w:pStyle w:val="ListParagraph"/>
              <w:numPr>
                <w:ilvl w:val="0"/>
                <w:numId w:val="45"/>
              </w:numPr>
              <w:tabs>
                <w:tab w:val="right" w:pos="9072"/>
              </w:tabs>
              <w:spacing w:after="240"/>
              <w:ind w:right="91"/>
              <w:jc w:val="right"/>
              <w:rPr>
                <w:b/>
                <w:sz w:val="22"/>
                <w:szCs w:val="22"/>
              </w:rPr>
            </w:pPr>
          </w:p>
        </w:tc>
        <w:tc>
          <w:tcPr>
            <w:tcW w:w="2101" w:type="dxa"/>
          </w:tcPr>
          <w:p w14:paraId="55E5D6B6" w14:textId="77777777" w:rsidR="00FE46EE" w:rsidRPr="00B704B3" w:rsidRDefault="00FE46EE" w:rsidP="00FE46EE">
            <w:pPr>
              <w:tabs>
                <w:tab w:val="right" w:pos="9072"/>
              </w:tabs>
              <w:spacing w:after="240"/>
              <w:ind w:right="91"/>
              <w:rPr>
                <w:sz w:val="22"/>
                <w:szCs w:val="22"/>
              </w:rPr>
            </w:pPr>
            <w:r w:rsidRPr="00B704B3">
              <w:rPr>
                <w:sz w:val="22"/>
                <w:szCs w:val="22"/>
              </w:rPr>
              <w:t>Schedule 3 (after table item 29)</w:t>
            </w:r>
          </w:p>
          <w:p w14:paraId="3B65E636" w14:textId="77777777" w:rsidR="00FE46EE" w:rsidRPr="00B704B3" w:rsidRDefault="00FE46EE" w:rsidP="00FE46EE">
            <w:pPr>
              <w:tabs>
                <w:tab w:val="right" w:pos="9072"/>
              </w:tabs>
              <w:spacing w:after="240"/>
              <w:ind w:right="91"/>
              <w:rPr>
                <w:sz w:val="22"/>
                <w:szCs w:val="22"/>
              </w:rPr>
            </w:pPr>
          </w:p>
        </w:tc>
        <w:tc>
          <w:tcPr>
            <w:tcW w:w="5167" w:type="dxa"/>
          </w:tcPr>
          <w:p w14:paraId="4F3D6D66" w14:textId="160F30E8" w:rsidR="00FE46EE" w:rsidRPr="00B704B3" w:rsidRDefault="00FE46EE" w:rsidP="00FE46EE">
            <w:pPr>
              <w:tabs>
                <w:tab w:val="right" w:pos="9072"/>
              </w:tabs>
              <w:spacing w:after="240"/>
              <w:ind w:right="91"/>
              <w:rPr>
                <w:sz w:val="22"/>
                <w:szCs w:val="22"/>
              </w:rPr>
            </w:pPr>
            <w:r w:rsidRPr="00B704B3">
              <w:rPr>
                <w:sz w:val="22"/>
                <w:szCs w:val="22"/>
              </w:rPr>
              <w:t xml:space="preserve">Specifies the carbon content for </w:t>
            </w:r>
            <w:proofErr w:type="spellStart"/>
            <w:r w:rsidRPr="00B704B3">
              <w:rPr>
                <w:sz w:val="22"/>
                <w:szCs w:val="22"/>
              </w:rPr>
              <w:t>biomethane</w:t>
            </w:r>
            <w:proofErr w:type="spellEnd"/>
            <w:r w:rsidRPr="00B704B3">
              <w:rPr>
                <w:sz w:val="22"/>
                <w:szCs w:val="22"/>
              </w:rPr>
              <w:t>, which is zero as for other biogenic fuel types.</w:t>
            </w:r>
          </w:p>
        </w:tc>
      </w:tr>
      <w:tr w:rsidR="00FE46EE" w:rsidRPr="00B704B3" w14:paraId="534CDD03" w14:textId="77777777" w:rsidTr="002D5C37">
        <w:tc>
          <w:tcPr>
            <w:tcW w:w="1028" w:type="dxa"/>
          </w:tcPr>
          <w:p w14:paraId="14980028" w14:textId="0F523499" w:rsidR="00FE46EE" w:rsidRPr="00BD6189" w:rsidRDefault="00FE46EE" w:rsidP="00FE46EE">
            <w:pPr>
              <w:pStyle w:val="ListParagraph"/>
              <w:numPr>
                <w:ilvl w:val="0"/>
                <w:numId w:val="45"/>
              </w:numPr>
              <w:tabs>
                <w:tab w:val="right" w:pos="9072"/>
              </w:tabs>
              <w:spacing w:after="240"/>
              <w:ind w:right="91"/>
              <w:jc w:val="right"/>
              <w:rPr>
                <w:b/>
                <w:sz w:val="22"/>
                <w:szCs w:val="22"/>
              </w:rPr>
            </w:pPr>
          </w:p>
        </w:tc>
        <w:tc>
          <w:tcPr>
            <w:tcW w:w="2101" w:type="dxa"/>
          </w:tcPr>
          <w:p w14:paraId="264AC0B2" w14:textId="5B81B239" w:rsidR="00FE46EE" w:rsidRPr="00B704B3" w:rsidRDefault="00FE46EE" w:rsidP="00B704B3">
            <w:pPr>
              <w:tabs>
                <w:tab w:val="right" w:pos="9072"/>
              </w:tabs>
              <w:spacing w:after="240"/>
              <w:ind w:right="91"/>
              <w:rPr>
                <w:sz w:val="22"/>
                <w:szCs w:val="22"/>
              </w:rPr>
            </w:pPr>
            <w:r w:rsidRPr="00B704B3">
              <w:rPr>
                <w:sz w:val="22"/>
                <w:szCs w:val="22"/>
              </w:rPr>
              <w:t>Schedule 3 (table item 30)</w:t>
            </w:r>
          </w:p>
        </w:tc>
        <w:tc>
          <w:tcPr>
            <w:tcW w:w="5167" w:type="dxa"/>
          </w:tcPr>
          <w:p w14:paraId="1CCF2F0E" w14:textId="707D26A6" w:rsidR="00FE46EE" w:rsidRPr="00B704B3" w:rsidRDefault="00FE46EE" w:rsidP="00FE46EE">
            <w:pPr>
              <w:tabs>
                <w:tab w:val="right" w:pos="9072"/>
              </w:tabs>
              <w:spacing w:after="240"/>
              <w:ind w:right="91"/>
              <w:rPr>
                <w:sz w:val="22"/>
                <w:szCs w:val="22"/>
              </w:rPr>
            </w:pPr>
            <w:r w:rsidRPr="00B704B3">
              <w:rPr>
                <w:sz w:val="22"/>
                <w:szCs w:val="22"/>
              </w:rPr>
              <w:t>Editorial</w:t>
            </w:r>
            <w:r w:rsidR="007B1117">
              <w:rPr>
                <w:sz w:val="22"/>
                <w:szCs w:val="22"/>
              </w:rPr>
              <w:t>.</w:t>
            </w:r>
            <w:r w:rsidRPr="00B704B3">
              <w:rPr>
                <w:sz w:val="22"/>
                <w:szCs w:val="22"/>
              </w:rPr>
              <w:t xml:space="preserve"> </w:t>
            </w:r>
            <w:r w:rsidR="007B1117">
              <w:rPr>
                <w:sz w:val="22"/>
                <w:szCs w:val="22"/>
              </w:rPr>
              <w:t xml:space="preserve">This avoids overlap between table item 30 and the new </w:t>
            </w:r>
            <w:proofErr w:type="spellStart"/>
            <w:r w:rsidR="007B1117">
              <w:rPr>
                <w:sz w:val="22"/>
                <w:szCs w:val="22"/>
              </w:rPr>
              <w:t>biomethane</w:t>
            </w:r>
            <w:proofErr w:type="spellEnd"/>
            <w:r w:rsidR="007B1117">
              <w:rPr>
                <w:sz w:val="22"/>
                <w:szCs w:val="22"/>
              </w:rPr>
              <w:t xml:space="preserve"> fuel type.</w:t>
            </w:r>
          </w:p>
        </w:tc>
      </w:tr>
    </w:tbl>
    <w:p w14:paraId="529DC63A" w14:textId="77777777" w:rsidR="00486954" w:rsidRDefault="00486954" w:rsidP="003A5D5E">
      <w:pPr>
        <w:tabs>
          <w:tab w:val="right" w:pos="9072"/>
        </w:tabs>
        <w:spacing w:after="240"/>
        <w:ind w:right="91"/>
        <w:jc w:val="right"/>
        <w:rPr>
          <w:b/>
          <w:szCs w:val="24"/>
          <w:u w:val="single"/>
        </w:rPr>
      </w:pPr>
    </w:p>
    <w:p w14:paraId="392B41B2" w14:textId="77777777" w:rsidR="00486954" w:rsidRDefault="00486954">
      <w:pPr>
        <w:spacing w:before="0" w:after="0"/>
        <w:rPr>
          <w:b/>
          <w:szCs w:val="24"/>
          <w:u w:val="single"/>
        </w:rPr>
      </w:pPr>
      <w:r>
        <w:rPr>
          <w:b/>
          <w:szCs w:val="24"/>
          <w:u w:val="single"/>
        </w:rPr>
        <w:br w:type="page"/>
      </w:r>
    </w:p>
    <w:p w14:paraId="7FD19CF6" w14:textId="2E55C512" w:rsidR="005B17D1" w:rsidRDefault="00C15EDB" w:rsidP="003A5D5E">
      <w:pPr>
        <w:tabs>
          <w:tab w:val="right" w:pos="9072"/>
        </w:tabs>
        <w:spacing w:after="240"/>
        <w:ind w:right="91"/>
        <w:jc w:val="right"/>
        <w:rPr>
          <w:b/>
          <w:szCs w:val="24"/>
          <w:u w:val="single"/>
        </w:rPr>
      </w:pPr>
      <w:r>
        <w:rPr>
          <w:b/>
          <w:szCs w:val="24"/>
          <w:u w:val="single"/>
        </w:rPr>
        <w:lastRenderedPageBreak/>
        <w:t>ATTACHMENT B</w:t>
      </w:r>
    </w:p>
    <w:p w14:paraId="3E58A369" w14:textId="77777777" w:rsidR="003A5D5E" w:rsidRPr="009D5CEE" w:rsidRDefault="003A5D5E" w:rsidP="005B17D1">
      <w:pPr>
        <w:pStyle w:val="Heading3"/>
        <w:spacing w:before="0" w:after="240"/>
        <w:jc w:val="center"/>
        <w:rPr>
          <w:rFonts w:ascii="Times New Roman" w:hAnsi="Times New Roman"/>
          <w:szCs w:val="24"/>
        </w:rPr>
      </w:pPr>
    </w:p>
    <w:p w14:paraId="7FD19CF7" w14:textId="77777777" w:rsidR="005B17D1" w:rsidRPr="009D5CEE" w:rsidRDefault="005B17D1" w:rsidP="005B17D1">
      <w:pPr>
        <w:pStyle w:val="Heading3"/>
        <w:spacing w:before="0" w:after="240"/>
        <w:jc w:val="center"/>
        <w:rPr>
          <w:rFonts w:ascii="Times New Roman" w:hAnsi="Times New Roman"/>
          <w:sz w:val="28"/>
          <w:szCs w:val="28"/>
        </w:rPr>
      </w:pPr>
      <w:r w:rsidRPr="009D5CEE">
        <w:rPr>
          <w:rFonts w:ascii="Times New Roman" w:hAnsi="Times New Roman"/>
          <w:sz w:val="28"/>
          <w:szCs w:val="28"/>
        </w:rPr>
        <w:t>Statement of Compatibility with Human Rights</w:t>
      </w:r>
    </w:p>
    <w:p w14:paraId="7FD19CF8" w14:textId="77777777" w:rsidR="005B17D1" w:rsidRDefault="005B17D1" w:rsidP="005B17D1">
      <w:pPr>
        <w:spacing w:after="240"/>
        <w:jc w:val="center"/>
        <w:rPr>
          <w:i/>
          <w:szCs w:val="24"/>
        </w:rPr>
      </w:pPr>
      <w:r>
        <w:rPr>
          <w:i/>
          <w:szCs w:val="24"/>
        </w:rPr>
        <w:t>Prepared in accordance with Part 3 of the Human Rights (Parliamentary Scrutiny) Act 2011</w:t>
      </w:r>
    </w:p>
    <w:p w14:paraId="7A48698C" w14:textId="031AFD7A" w:rsidR="0023138A" w:rsidRDefault="0023138A" w:rsidP="0023138A">
      <w:pPr>
        <w:spacing w:after="240"/>
        <w:jc w:val="center"/>
        <w:rPr>
          <w:b/>
          <w:i/>
        </w:rPr>
      </w:pPr>
      <w:r w:rsidRPr="0023138A">
        <w:rPr>
          <w:b/>
          <w:i/>
        </w:rPr>
        <w:t xml:space="preserve">National Greenhouse and Energy Reporting </w:t>
      </w:r>
      <w:r w:rsidR="0016437F">
        <w:rPr>
          <w:b/>
          <w:i/>
        </w:rPr>
        <w:t xml:space="preserve">(Measurement) </w:t>
      </w:r>
      <w:r w:rsidRPr="0023138A">
        <w:rPr>
          <w:b/>
          <w:i/>
        </w:rPr>
        <w:t>Amendment (</w:t>
      </w:r>
      <w:r w:rsidR="005E1B5A">
        <w:rPr>
          <w:b/>
          <w:i/>
        </w:rPr>
        <w:t>202</w:t>
      </w:r>
      <w:r w:rsidR="0039006D">
        <w:rPr>
          <w:b/>
          <w:i/>
        </w:rPr>
        <w:t>2</w:t>
      </w:r>
      <w:r w:rsidR="0016437F">
        <w:rPr>
          <w:b/>
          <w:i/>
        </w:rPr>
        <w:t xml:space="preserve"> Update</w:t>
      </w:r>
      <w:r w:rsidRPr="0023138A">
        <w:rPr>
          <w:b/>
          <w:i/>
        </w:rPr>
        <w:t xml:space="preserve">) </w:t>
      </w:r>
      <w:r w:rsidR="0016437F">
        <w:rPr>
          <w:b/>
          <w:i/>
        </w:rPr>
        <w:t>Determination</w:t>
      </w:r>
      <w:r w:rsidR="0039006D">
        <w:rPr>
          <w:b/>
          <w:i/>
        </w:rPr>
        <w:t xml:space="preserve"> 2022</w:t>
      </w:r>
    </w:p>
    <w:p w14:paraId="7FD19CFB" w14:textId="470623BC" w:rsidR="005B17D1" w:rsidRDefault="005B17D1" w:rsidP="005B17D1">
      <w:pPr>
        <w:spacing w:after="240"/>
        <w:rPr>
          <w:szCs w:val="24"/>
        </w:rPr>
      </w:pPr>
      <w:r>
        <w:rPr>
          <w:szCs w:val="24"/>
        </w:rPr>
        <w:t xml:space="preserve">This Legislative Instrument is compatible with the human rights and freedoms recognised or declared in the international instruments listed in section 3 of the </w:t>
      </w:r>
      <w:r>
        <w:rPr>
          <w:i/>
          <w:szCs w:val="24"/>
        </w:rPr>
        <w:t>Human Rights (Parliamentary Scrutiny) Act 2011</w:t>
      </w:r>
      <w:r>
        <w:rPr>
          <w:szCs w:val="24"/>
        </w:rPr>
        <w:t>.</w:t>
      </w:r>
      <w:r w:rsidR="00221281">
        <w:rPr>
          <w:szCs w:val="24"/>
        </w:rPr>
        <w:t xml:space="preserve"> </w:t>
      </w:r>
    </w:p>
    <w:p w14:paraId="7FD19CFC" w14:textId="77777777" w:rsidR="005B17D1" w:rsidRDefault="005B17D1" w:rsidP="005B17D1">
      <w:pPr>
        <w:pStyle w:val="Heading4"/>
        <w:spacing w:after="240"/>
        <w:rPr>
          <w:szCs w:val="24"/>
        </w:rPr>
      </w:pPr>
      <w:r>
        <w:rPr>
          <w:szCs w:val="24"/>
        </w:rPr>
        <w:t>Overview of the Legislative Instrument</w:t>
      </w:r>
    </w:p>
    <w:p w14:paraId="7FD19CFD" w14:textId="659B03DA" w:rsidR="005B17D1" w:rsidRDefault="000F0BED" w:rsidP="0082028E">
      <w:pPr>
        <w:spacing w:after="240"/>
      </w:pPr>
      <w:r w:rsidRPr="001751AC">
        <w:rPr>
          <w:szCs w:val="24"/>
        </w:rPr>
        <w:t>T</w:t>
      </w:r>
      <w:r w:rsidR="005B17D1" w:rsidRPr="001751AC">
        <w:rPr>
          <w:szCs w:val="24"/>
        </w:rPr>
        <w:t xml:space="preserve">he </w:t>
      </w:r>
      <w:r w:rsidR="0023138A" w:rsidRPr="001751AC">
        <w:rPr>
          <w:i/>
        </w:rPr>
        <w:t xml:space="preserve">National Greenhouse and Energy Reporting </w:t>
      </w:r>
      <w:r w:rsidR="0016437F" w:rsidRPr="001751AC">
        <w:rPr>
          <w:i/>
        </w:rPr>
        <w:t xml:space="preserve">(Measurement) </w:t>
      </w:r>
      <w:r w:rsidR="0023138A" w:rsidRPr="001751AC">
        <w:rPr>
          <w:i/>
        </w:rPr>
        <w:t xml:space="preserve">Amendment </w:t>
      </w:r>
      <w:r w:rsidR="0039006D">
        <w:rPr>
          <w:i/>
        </w:rPr>
        <w:t>(2022</w:t>
      </w:r>
      <w:r w:rsidR="00233D3E">
        <w:rPr>
          <w:i/>
        </w:rPr>
        <w:t> </w:t>
      </w:r>
      <w:r w:rsidR="0016437F" w:rsidRPr="001751AC">
        <w:rPr>
          <w:i/>
        </w:rPr>
        <w:t xml:space="preserve">Update) Determination </w:t>
      </w:r>
      <w:r w:rsidR="0039006D">
        <w:rPr>
          <w:i/>
        </w:rPr>
        <w:t>2022</w:t>
      </w:r>
      <w:r w:rsidR="0023138A" w:rsidRPr="001751AC">
        <w:rPr>
          <w:i/>
        </w:rPr>
        <w:t xml:space="preserve"> </w:t>
      </w:r>
      <w:r w:rsidR="00265B58" w:rsidRPr="001751AC">
        <w:t>makes minor amendments to</w:t>
      </w:r>
      <w:r w:rsidR="003515C5" w:rsidRPr="001751AC">
        <w:t xml:space="preserve"> the </w:t>
      </w:r>
      <w:r w:rsidR="0016437F" w:rsidRPr="001751AC">
        <w:rPr>
          <w:i/>
        </w:rPr>
        <w:t xml:space="preserve">National Greenhouse and Energy Reporting (Measurement) Determination 2008 </w:t>
      </w:r>
      <w:r w:rsidR="00D63625" w:rsidRPr="001751AC">
        <w:t>in order to:</w:t>
      </w:r>
    </w:p>
    <w:p w14:paraId="24D26EEF" w14:textId="77777777" w:rsidR="00E327D7" w:rsidRPr="0039006D" w:rsidRDefault="00E327D7" w:rsidP="00E327D7">
      <w:pPr>
        <w:pStyle w:val="ListNumber2"/>
        <w:numPr>
          <w:ilvl w:val="0"/>
          <w:numId w:val="25"/>
        </w:numPr>
        <w:spacing w:after="120"/>
        <w:ind w:hanging="357"/>
        <w:rPr>
          <w:rFonts w:ascii="Times New Roman" w:eastAsia="Times New Roman" w:hAnsi="Times New Roman"/>
          <w:sz w:val="24"/>
          <w:szCs w:val="24"/>
        </w:rPr>
      </w:pPr>
      <w:r w:rsidRPr="0039006D">
        <w:rPr>
          <w:rFonts w:ascii="Times New Roman" w:eastAsia="Times New Roman" w:hAnsi="Times New Roman"/>
          <w:sz w:val="24"/>
          <w:szCs w:val="24"/>
        </w:rPr>
        <w:t xml:space="preserve">Allow company reports to better reflect emissions reductions from the consumption of natural gas with a blended </w:t>
      </w:r>
      <w:proofErr w:type="spellStart"/>
      <w:r w:rsidRPr="0039006D">
        <w:rPr>
          <w:rFonts w:ascii="Times New Roman" w:eastAsia="Times New Roman" w:hAnsi="Times New Roman"/>
          <w:sz w:val="24"/>
          <w:szCs w:val="24"/>
        </w:rPr>
        <w:t>biomethane</w:t>
      </w:r>
      <w:proofErr w:type="spellEnd"/>
      <w:r w:rsidRPr="0039006D">
        <w:rPr>
          <w:rFonts w:ascii="Times New Roman" w:eastAsia="Times New Roman" w:hAnsi="Times New Roman"/>
          <w:sz w:val="24"/>
          <w:szCs w:val="24"/>
        </w:rPr>
        <w:t xml:space="preserve"> component, and from the use of end-of-life tyres as fuel;</w:t>
      </w:r>
    </w:p>
    <w:p w14:paraId="4DB37CA2" w14:textId="2970755F" w:rsidR="00E327D7" w:rsidRPr="00896F9D" w:rsidRDefault="00E327D7" w:rsidP="00896F9D">
      <w:pPr>
        <w:pStyle w:val="ListNumber2"/>
        <w:numPr>
          <w:ilvl w:val="0"/>
          <w:numId w:val="25"/>
        </w:numPr>
        <w:spacing w:after="120"/>
        <w:ind w:hanging="357"/>
        <w:rPr>
          <w:rFonts w:ascii="Times New Roman" w:eastAsia="Times New Roman" w:hAnsi="Times New Roman"/>
          <w:sz w:val="24"/>
          <w:szCs w:val="24"/>
        </w:rPr>
      </w:pPr>
      <w:r w:rsidRPr="0039006D">
        <w:rPr>
          <w:rFonts w:ascii="Times New Roman" w:eastAsia="Times New Roman" w:hAnsi="Times New Roman"/>
          <w:sz w:val="24"/>
          <w:szCs w:val="24"/>
        </w:rPr>
        <w:t>Make other minor updates to provisio</w:t>
      </w:r>
      <w:r w:rsidR="00896F9D">
        <w:rPr>
          <w:rFonts w:ascii="Times New Roman" w:eastAsia="Times New Roman" w:hAnsi="Times New Roman"/>
          <w:sz w:val="24"/>
          <w:szCs w:val="24"/>
        </w:rPr>
        <w:t xml:space="preserve">ns for reporting emissions from </w:t>
      </w:r>
      <w:r w:rsidRPr="00896F9D">
        <w:rPr>
          <w:rFonts w:ascii="Times New Roman" w:eastAsia="Times New Roman" w:hAnsi="Times New Roman"/>
          <w:sz w:val="24"/>
          <w:szCs w:val="24"/>
        </w:rPr>
        <w:t>leakages in natural gas distribution networks;</w:t>
      </w:r>
      <w:r w:rsidR="00896F9D">
        <w:rPr>
          <w:rFonts w:ascii="Times New Roman" w:eastAsia="Times New Roman" w:hAnsi="Times New Roman"/>
          <w:sz w:val="24"/>
          <w:szCs w:val="24"/>
        </w:rPr>
        <w:t xml:space="preserve"> </w:t>
      </w:r>
      <w:r w:rsidRPr="00896F9D">
        <w:rPr>
          <w:rFonts w:ascii="Times New Roman" w:eastAsia="Times New Roman" w:hAnsi="Times New Roman"/>
          <w:sz w:val="24"/>
          <w:szCs w:val="24"/>
        </w:rPr>
        <w:t>losses of hydrofluorocarbons (HFCs) and sulphur hexafluoride (SF6); and</w:t>
      </w:r>
      <w:r w:rsidR="00896F9D">
        <w:rPr>
          <w:rFonts w:ascii="Times New Roman" w:eastAsia="Times New Roman" w:hAnsi="Times New Roman"/>
          <w:sz w:val="24"/>
          <w:szCs w:val="24"/>
        </w:rPr>
        <w:t xml:space="preserve"> </w:t>
      </w:r>
      <w:r w:rsidRPr="00896F9D">
        <w:rPr>
          <w:rFonts w:ascii="Times New Roman" w:eastAsia="Times New Roman" w:hAnsi="Times New Roman"/>
          <w:sz w:val="24"/>
          <w:szCs w:val="24"/>
        </w:rPr>
        <w:t>decommissioned underground coal mines; and</w:t>
      </w:r>
    </w:p>
    <w:p w14:paraId="7BF32173" w14:textId="79C13BF9" w:rsidR="0039006D" w:rsidRPr="001751AC" w:rsidRDefault="00E327D7" w:rsidP="00E327D7">
      <w:pPr>
        <w:pStyle w:val="ListParagraph"/>
        <w:numPr>
          <w:ilvl w:val="0"/>
          <w:numId w:val="25"/>
        </w:numPr>
        <w:spacing w:after="240"/>
      </w:pPr>
      <w:r w:rsidRPr="00E327D7">
        <w:rPr>
          <w:szCs w:val="24"/>
        </w:rPr>
        <w:t>Update electricity-use (‘Scope 2’) emission factors, implementing a revised calculation methodology to reflect recent deployment of renewable generation sources in a more timely way.</w:t>
      </w:r>
    </w:p>
    <w:p w14:paraId="7FD19CFE" w14:textId="77777777" w:rsidR="005B17D1" w:rsidRDefault="005B17D1" w:rsidP="005B17D1">
      <w:pPr>
        <w:pStyle w:val="Heading4"/>
        <w:spacing w:after="240"/>
        <w:rPr>
          <w:szCs w:val="24"/>
        </w:rPr>
      </w:pPr>
      <w:r>
        <w:rPr>
          <w:szCs w:val="24"/>
        </w:rPr>
        <w:t>Human rights implications</w:t>
      </w:r>
    </w:p>
    <w:p w14:paraId="7FD19CFF" w14:textId="77777777" w:rsidR="00C507FD" w:rsidRDefault="005B17D1" w:rsidP="00742F0C">
      <w:pPr>
        <w:spacing w:after="240"/>
        <w:rPr>
          <w:szCs w:val="24"/>
        </w:rPr>
      </w:pPr>
      <w:r>
        <w:rPr>
          <w:szCs w:val="24"/>
        </w:rPr>
        <w:t>This Legislative Instrument does not engage any of the applicable human rights or free</w:t>
      </w:r>
      <w:r w:rsidR="00221281">
        <w:rPr>
          <w:szCs w:val="24"/>
        </w:rPr>
        <w:t xml:space="preserve">doms. </w:t>
      </w:r>
    </w:p>
    <w:p w14:paraId="7FD19D00" w14:textId="77777777" w:rsidR="005B17D1" w:rsidRDefault="005B17D1" w:rsidP="005B17D1">
      <w:pPr>
        <w:pStyle w:val="Heading4"/>
        <w:spacing w:after="240"/>
        <w:rPr>
          <w:szCs w:val="24"/>
        </w:rPr>
      </w:pPr>
      <w:r>
        <w:rPr>
          <w:szCs w:val="24"/>
        </w:rPr>
        <w:t>Conclusion</w:t>
      </w:r>
    </w:p>
    <w:p w14:paraId="7FD19D01" w14:textId="77777777" w:rsidR="00CC032A" w:rsidRDefault="005B17D1">
      <w:pPr>
        <w:rPr>
          <w:szCs w:val="24"/>
        </w:rPr>
      </w:pPr>
      <w:r>
        <w:rPr>
          <w:szCs w:val="24"/>
        </w:rPr>
        <w:t>This Legislative Instrument is compatible with human rights as it does not</w:t>
      </w:r>
      <w:r w:rsidR="00D00C39">
        <w:rPr>
          <w:szCs w:val="24"/>
        </w:rPr>
        <w:t xml:space="preserve"> raise any human rights issues. </w:t>
      </w:r>
    </w:p>
    <w:p w14:paraId="7FD19D03" w14:textId="3D485167" w:rsidR="003515C5" w:rsidRDefault="003515C5">
      <w:pPr>
        <w:rPr>
          <w:szCs w:val="24"/>
        </w:rPr>
      </w:pPr>
    </w:p>
    <w:p w14:paraId="7FD19D04" w14:textId="1ACB18D2" w:rsidR="00723C9D" w:rsidRPr="00CF5BDB" w:rsidRDefault="00723C9D" w:rsidP="00FE795E">
      <w:pPr>
        <w:jc w:val="center"/>
        <w:rPr>
          <w:b/>
          <w:szCs w:val="24"/>
        </w:rPr>
      </w:pPr>
      <w:r w:rsidRPr="00CF5BDB">
        <w:rPr>
          <w:b/>
          <w:szCs w:val="24"/>
        </w:rPr>
        <w:t xml:space="preserve">The Hon </w:t>
      </w:r>
      <w:r w:rsidR="00375D14" w:rsidRPr="00CF5BDB">
        <w:rPr>
          <w:b/>
          <w:szCs w:val="24"/>
        </w:rPr>
        <w:t>Chris Bowen MP</w:t>
      </w:r>
    </w:p>
    <w:p w14:paraId="7FD19D06" w14:textId="1A4ADDF0" w:rsidR="00AC5531" w:rsidRPr="000927D4" w:rsidRDefault="00723C9D" w:rsidP="000927D4">
      <w:pPr>
        <w:jc w:val="center"/>
        <w:rPr>
          <w:b/>
          <w:szCs w:val="24"/>
        </w:rPr>
      </w:pPr>
      <w:r w:rsidRPr="00CF5BDB">
        <w:rPr>
          <w:b/>
          <w:szCs w:val="24"/>
        </w:rPr>
        <w:t xml:space="preserve">Minister for </w:t>
      </w:r>
      <w:r w:rsidR="00375D14" w:rsidRPr="007A48D5">
        <w:rPr>
          <w:b/>
          <w:szCs w:val="24"/>
        </w:rPr>
        <w:t>Climate Change and Energy</w:t>
      </w:r>
    </w:p>
    <w:sectPr w:rsidR="00AC5531" w:rsidRPr="000927D4" w:rsidSect="00392BBA">
      <w:footerReference w:type="default" r:id="rId19"/>
      <w:footerReference w:type="first" r:id="rId2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8CB85" w14:textId="77777777" w:rsidR="00C92563" w:rsidRDefault="00C92563" w:rsidP="00CF785C">
      <w:pPr>
        <w:spacing w:before="0" w:after="0"/>
      </w:pPr>
      <w:r>
        <w:separator/>
      </w:r>
    </w:p>
  </w:endnote>
  <w:endnote w:type="continuationSeparator" w:id="0">
    <w:p w14:paraId="2ADC1736" w14:textId="77777777" w:rsidR="00C92563" w:rsidRDefault="00C92563" w:rsidP="00CF785C">
      <w:pPr>
        <w:spacing w:before="0" w:after="0"/>
      </w:pPr>
      <w:r>
        <w:continuationSeparator/>
      </w:r>
    </w:p>
  </w:endnote>
  <w:endnote w:type="continuationNotice" w:id="1">
    <w:p w14:paraId="5957810A" w14:textId="77777777" w:rsidR="00C92563" w:rsidRDefault="00C9256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664BC" w14:textId="77777777" w:rsidR="00C92563" w:rsidRPr="00E33C1C" w:rsidRDefault="00C92563" w:rsidP="004E4FE7">
    <w:pPr>
      <w:pBdr>
        <w:top w:val="single" w:sz="6" w:space="1" w:color="auto"/>
      </w:pBdr>
      <w:spacing w:line="0" w:lineRule="atLeast"/>
      <w:rPr>
        <w:sz w:val="16"/>
        <w:szCs w:val="16"/>
      </w:rPr>
    </w:pPr>
    <w:r>
      <w:rPr>
        <w:noProof/>
      </w:rPr>
      <mc:AlternateContent>
        <mc:Choice Requires="wps">
          <w:drawing>
            <wp:anchor distT="0" distB="0" distL="114300" distR="114300" simplePos="0" relativeHeight="251658240" behindDoc="1" locked="0" layoutInCell="1" allowOverlap="1" wp14:anchorId="0C08DDCC" wp14:editId="4B3191A8">
              <wp:simplePos x="0" y="0"/>
              <wp:positionH relativeFrom="column">
                <wp:align>center</wp:align>
              </wp:positionH>
              <wp:positionV relativeFrom="page">
                <wp:posOffset>10079990</wp:posOffset>
              </wp:positionV>
              <wp:extent cx="4410075" cy="4000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1CC88F8" w14:textId="77777777" w:rsidR="00C92563" w:rsidRPr="00581211" w:rsidRDefault="00C92563" w:rsidP="004E4FE7">
                          <w:pPr>
                            <w:jc w:val="center"/>
                            <w:rPr>
                              <w:rFonts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8DDCC" id="_x0000_t202" coordsize="21600,21600" o:spt="202" path="m,l,21600r21600,l21600,xe">
              <v:stroke joinstyle="miter"/>
              <v:path gradientshapeok="t" o:connecttype="rect"/>
            </v:shapetype>
            <v:shape id="Text Box 1" o:spid="_x0000_s1026"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KcAQMAAMEGAAAOAAAAZHJzL2Uyb0RvYy54bWzEVV1P2zAUfZ+0/2D5vSSpUqAVLSp0nSZV&#10;gAQTz67jNBGO7dkuDZv233fstKUwHtg0aX1wru3j+3nu7dl520jyKKyrtRrT7CilRCiui1qtxvTr&#10;3bx3SonzTBVMaiXG9Ek4ej75+OFsY0airystC2EJlCg32pgxrbw3oyRxvBINc0faCIXLUtuGeWzt&#10;Kiks20B7I5N+mh4nG20LYzUXzuF01l3SSdRfloL767J0whM5pvDNx9XGdRnWZHLGRivLTFXzrRvs&#10;L7xoWK1gdK9qxjwja1v/pqqpudVOl/6I6ybRZVlzEWNANFn6KprbihkRY0FynNmnyf07tfzq8caS&#10;ukDtKFGsQYnuROvJhW5JFrKzMW4E0K0BzLc4DsgQqTMLzR8cIMkBpnvggA6YtrRN+CJOgocowNM+&#10;6cEKx2GeZ2l6MqCE4y5P03QQq5I8vzbW+c9CNyQIY2pR1OgBe1w4H+yz0Q4SHdOyLua1lHFjV8tL&#10;ackjAwHm8ReiwhN3CJOKbMZ0OOgHPxh4WErmITYGmXFqRQmTKxCcextNKx0MQFFnesZc1ZmIWjtW&#10;Wb1WRYRUghWfVEH8k0F+FRqBBnONKCiRAmqDFJGe1fI9SPgvVbAuIse7PGDXeojxHNmN/PsxzPp5&#10;etEf9ubHpye9fJ4PesOT9LSXZsOL4XGaD/PZ/GcIKstHVV0UQi1qJXa9kOXv49q2KzsWx274s4S+&#10;qEao5r5oS8n4w1s1C6j/kPgXaYpMQtZ335j92A9dC4TO8O2yRXGDuNTFE/rIatAYzeAMn9eIYsGc&#10;v2EWgweHGKb+GkspNTiitxIllbbf3zoPeNQItyAVBhn4+m3NLCgmvyhMimGW52HyxU0+OOljYw9v&#10;loc3at1carQKpgG8i2LAe7kTS6ube8zcabCKK6Y4bI8puqUTL303XjGzuZhOIwizzjC/ULeG78ZH&#10;qN5de8+s2ba1Rxqv9G7ksdGr7u6wgdpKT9del3Vs/eesogRhgzkZi7Gd6WEQH+4j6vmfZ/ILAAD/&#10;/wMAUEsDBBQABgAIAAAAIQA8AlKS3wAAAAoBAAAPAAAAZHJzL2Rvd25yZXYueG1sTI/BTsMwEETv&#10;SPyDtUjcqA1K0jSNUyEkLj0gUSjl6CZLHDVeR7HThr9nOcFxZ0azb8rN7HpxxjF0njTcLxQIpNo3&#10;HbUa3t+e73IQIRpqTO8JNXxjgE11fVWaovEXesXzLraCSygURoONcSikDLVFZ8LCD0jsffnRmcjn&#10;2MpmNBcud718UCqTznTEH6wZ8MlifdpNTgPm++nzJU4dHTJrTx/L7UHtt1rf3syPaxAR5/gXhl98&#10;RoeKmY5+oiaIXgMPiaym+TIBwX62SlIQR5ayVCUgq1L+n1D9AAAA//8DAFBLAQItABQABgAIAAAA&#10;IQC2gziS/gAAAOEBAAATAAAAAAAAAAAAAAAAAAAAAABbQ29udGVudF9UeXBlc10ueG1sUEsBAi0A&#10;FAAGAAgAAAAhADj9If/WAAAAlAEAAAsAAAAAAAAAAAAAAAAALwEAAF9yZWxzLy5yZWxzUEsBAi0A&#10;FAAGAAgAAAAhALwewpwBAwAAwQYAAA4AAAAAAAAAAAAAAAAALgIAAGRycy9lMm9Eb2MueG1sUEsB&#10;Ai0AFAAGAAgAAAAhADwCUpLfAAAACgEAAA8AAAAAAAAAAAAAAAAAWwUAAGRycy9kb3ducmV2Lnht&#10;bFBLBQYAAAAABAAEAPMAAABnBgAAAAA=&#10;" stroked="f">
              <v:stroke joinstyle="round"/>
              <v:path arrowok="t"/>
              <v:textbox>
                <w:txbxContent>
                  <w:p w14:paraId="71CC88F8" w14:textId="77777777" w:rsidR="00C92563" w:rsidRPr="00581211" w:rsidRDefault="00C92563" w:rsidP="004E4FE7">
                    <w:pPr>
                      <w:jc w:val="center"/>
                      <w:rPr>
                        <w:rFonts w:cs="Arial"/>
                        <w:b/>
                        <w:sz w:val="40"/>
                      </w:rPr>
                    </w:pPr>
                  </w:p>
                </w:txbxContent>
              </v:textbox>
              <w10:wrap anchory="page"/>
            </v:shape>
          </w:pict>
        </mc:Fallback>
      </mc:AlternateContent>
    </w:r>
  </w:p>
  <w:p w14:paraId="362350C5" w14:textId="77777777" w:rsidR="00C92563" w:rsidRDefault="00C92563">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709"/>
    </w:tblGrid>
    <w:tr w:rsidR="00C92563" w14:paraId="55DF2CF0" w14:textId="77777777" w:rsidTr="004E4FE7">
      <w:tc>
        <w:tcPr>
          <w:tcW w:w="6379" w:type="dxa"/>
          <w:tcBorders>
            <w:top w:val="nil"/>
            <w:left w:val="nil"/>
            <w:bottom w:val="nil"/>
            <w:right w:val="nil"/>
          </w:tcBorders>
        </w:tcPr>
        <w:p w14:paraId="03DE728E" w14:textId="77777777" w:rsidR="00C92563" w:rsidRDefault="00C92563">
          <w:pPr>
            <w:spacing w:line="0" w:lineRule="atLeast"/>
            <w:jc w:val="center"/>
            <w:rPr>
              <w:sz w:val="18"/>
            </w:rPr>
          </w:pPr>
        </w:p>
      </w:tc>
      <w:tc>
        <w:tcPr>
          <w:tcW w:w="709" w:type="dxa"/>
          <w:tcBorders>
            <w:top w:val="nil"/>
            <w:left w:val="nil"/>
            <w:bottom w:val="nil"/>
            <w:right w:val="nil"/>
          </w:tcBorders>
          <w:hideMark/>
        </w:tcPr>
        <w:p w14:paraId="07DD7506" w14:textId="77777777" w:rsidR="00C92563" w:rsidRDefault="00C92563">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BD6189">
            <w:rPr>
              <w:i/>
              <w:noProof/>
              <w:sz w:val="18"/>
            </w:rPr>
            <w:t>10</w:t>
          </w:r>
          <w:r>
            <w:rPr>
              <w:i/>
              <w:sz w:val="18"/>
            </w:rPr>
            <w:fldChar w:fldCharType="end"/>
          </w:r>
        </w:p>
      </w:tc>
    </w:tr>
  </w:tbl>
  <w:p w14:paraId="6DCBD125" w14:textId="77777777" w:rsidR="00C92563" w:rsidRDefault="00C92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895719"/>
      <w:docPartObj>
        <w:docPartGallery w:val="Page Numbers (Bottom of Page)"/>
        <w:docPartUnique/>
      </w:docPartObj>
    </w:sdtPr>
    <w:sdtEndPr/>
    <w:sdtContent>
      <w:p w14:paraId="4D90726E" w14:textId="77777777" w:rsidR="00C92563" w:rsidRDefault="00C92563">
        <w:pPr>
          <w:pStyle w:val="Footer"/>
          <w:jc w:val="right"/>
        </w:pPr>
      </w:p>
      <w:p w14:paraId="3982CFC3" w14:textId="77777777" w:rsidR="00C92563" w:rsidRDefault="00BD6189">
        <w:pPr>
          <w:pStyle w:val="Footer"/>
          <w:jc w:val="right"/>
        </w:pPr>
      </w:p>
    </w:sdtContent>
  </w:sdt>
  <w:p w14:paraId="6A693199" w14:textId="77777777" w:rsidR="00C92563" w:rsidRDefault="00C92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A6372" w14:textId="77777777" w:rsidR="00C92563" w:rsidRDefault="00C92563" w:rsidP="00CF785C">
      <w:pPr>
        <w:spacing w:before="0" w:after="0"/>
      </w:pPr>
      <w:r>
        <w:separator/>
      </w:r>
    </w:p>
  </w:footnote>
  <w:footnote w:type="continuationSeparator" w:id="0">
    <w:p w14:paraId="01B062AA" w14:textId="77777777" w:rsidR="00C92563" w:rsidRDefault="00C92563" w:rsidP="00CF785C">
      <w:pPr>
        <w:spacing w:before="0" w:after="0"/>
      </w:pPr>
      <w:r>
        <w:continuationSeparator/>
      </w:r>
    </w:p>
  </w:footnote>
  <w:footnote w:type="continuationNotice" w:id="1">
    <w:p w14:paraId="4CA9F846" w14:textId="77777777" w:rsidR="00C92563" w:rsidRDefault="00C92563">
      <w:pPr>
        <w:spacing w:before="0" w:after="0"/>
      </w:pPr>
    </w:p>
  </w:footnote>
  <w:footnote w:id="2">
    <w:p w14:paraId="158A24C3" w14:textId="4EBEE1A5" w:rsidR="00C92563" w:rsidRPr="006C2644" w:rsidRDefault="00C92563">
      <w:pPr>
        <w:pStyle w:val="FootnoteText"/>
        <w:rPr>
          <w:b/>
        </w:rPr>
      </w:pPr>
      <w:r w:rsidRPr="006C2644">
        <w:rPr>
          <w:rStyle w:val="FootnoteReference"/>
          <w:b/>
        </w:rPr>
        <w:footnoteRef/>
      </w:r>
      <w:r w:rsidRPr="006C2644" w:rsidDel="001F5C8A">
        <w:rPr>
          <w:b/>
        </w:rPr>
        <w:t xml:space="preserve"> </w:t>
      </w:r>
      <w:r>
        <w:t xml:space="preserve">Formerly reportable under the fuel type </w:t>
      </w:r>
      <w:r w:rsidRPr="00FA5BC0">
        <w:rPr>
          <w:i/>
        </w:rPr>
        <w:t>Industrial materials and tyres that are derived from fossil fuels, if recycled and combusted to produce heat or electricity</w:t>
      </w:r>
      <w:r>
        <w:t xml:space="preserve"> (Measurement Determination Schedule 1, item 8)</w:t>
      </w:r>
      <w:r>
        <w:rPr>
          <w:b/>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2AD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80E7B"/>
    <w:multiLevelType w:val="hybridMultilevel"/>
    <w:tmpl w:val="7C8434AA"/>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06E7C"/>
    <w:multiLevelType w:val="hybridMultilevel"/>
    <w:tmpl w:val="AE72F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24B39"/>
    <w:multiLevelType w:val="hybridMultilevel"/>
    <w:tmpl w:val="2520AEB8"/>
    <w:lvl w:ilvl="0" w:tplc="0E5C53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DC6804"/>
    <w:multiLevelType w:val="hybridMultilevel"/>
    <w:tmpl w:val="F43E8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22541F"/>
    <w:multiLevelType w:val="hybridMultilevel"/>
    <w:tmpl w:val="800E1E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B1364E"/>
    <w:multiLevelType w:val="multilevel"/>
    <w:tmpl w:val="12B4F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8" w15:restartNumberingAfterBreak="0">
    <w:nsid w:val="2DDE493D"/>
    <w:multiLevelType w:val="multilevel"/>
    <w:tmpl w:val="F10C0AE8"/>
    <w:lvl w:ilvl="0">
      <w:start w:val="1"/>
      <w:numFmt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727" w:hanging="360"/>
      </w:pPr>
    </w:lvl>
    <w:lvl w:ilvl="4">
      <w:start w:val="1"/>
      <w:numFmt w:val="lowerLetter"/>
      <w:lvlText w:val="(%5)"/>
      <w:lvlJc w:val="left"/>
      <w:pPr>
        <w:ind w:left="3087" w:hanging="360"/>
      </w:pPr>
    </w:lvl>
    <w:lvl w:ilvl="5">
      <w:start w:val="1"/>
      <w:numFmt w:val="lowerRoman"/>
      <w:lvlText w:val="(%6)"/>
      <w:lvlJc w:val="left"/>
      <w:pPr>
        <w:ind w:left="3447" w:hanging="360"/>
      </w:pPr>
    </w:lvl>
    <w:lvl w:ilvl="6">
      <w:start w:val="1"/>
      <w:numFmt w:val="decimal"/>
      <w:lvlText w:val="%7."/>
      <w:lvlJc w:val="left"/>
      <w:pPr>
        <w:ind w:left="3807" w:hanging="360"/>
      </w:pPr>
    </w:lvl>
    <w:lvl w:ilvl="7">
      <w:start w:val="1"/>
      <w:numFmt w:val="lowerLetter"/>
      <w:lvlText w:val="%8."/>
      <w:lvlJc w:val="left"/>
      <w:pPr>
        <w:ind w:left="4167" w:hanging="360"/>
      </w:pPr>
    </w:lvl>
    <w:lvl w:ilvl="8">
      <w:start w:val="1"/>
      <w:numFmt w:val="lowerRoman"/>
      <w:lvlText w:val="%9."/>
      <w:lvlJc w:val="left"/>
      <w:pPr>
        <w:ind w:left="4527" w:hanging="360"/>
      </w:pPr>
    </w:lvl>
  </w:abstractNum>
  <w:abstractNum w:abstractNumId="9" w15:restartNumberingAfterBreak="0">
    <w:nsid w:val="2E7C0886"/>
    <w:multiLevelType w:val="hybridMultilevel"/>
    <w:tmpl w:val="172C5312"/>
    <w:lvl w:ilvl="0" w:tplc="EDB0F84C">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DA66B4"/>
    <w:multiLevelType w:val="hybridMultilevel"/>
    <w:tmpl w:val="9642E8DA"/>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D12D12"/>
    <w:multiLevelType w:val="hybridMultilevel"/>
    <w:tmpl w:val="9306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EC0A9D"/>
    <w:multiLevelType w:val="hybridMultilevel"/>
    <w:tmpl w:val="CE88F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4D5EDB"/>
    <w:multiLevelType w:val="multilevel"/>
    <w:tmpl w:val="96F81664"/>
    <w:lvl w:ilvl="0">
      <w:start w:val="1"/>
      <w:numFmt w:val="bullet"/>
      <w:lvlText w:val=""/>
      <w:lvlJc w:val="left"/>
      <w:pPr>
        <w:tabs>
          <w:tab w:val="num" w:pos="1040"/>
        </w:tabs>
        <w:ind w:left="1040" w:hanging="520"/>
      </w:pPr>
      <w:rPr>
        <w:rFonts w:ascii="Symbol" w:hAnsi="Symbol" w:hint="default"/>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5" w15:restartNumberingAfterBreak="0">
    <w:nsid w:val="43D7515A"/>
    <w:multiLevelType w:val="hybridMultilevel"/>
    <w:tmpl w:val="6A500F2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6" w15:restartNumberingAfterBreak="0">
    <w:nsid w:val="4E927EA1"/>
    <w:multiLevelType w:val="hybridMultilevel"/>
    <w:tmpl w:val="7BACF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2E10FD"/>
    <w:multiLevelType w:val="hybridMultilevel"/>
    <w:tmpl w:val="A154A084"/>
    <w:lvl w:ilvl="0" w:tplc="A6EACFDA">
      <w:numFmt w:val="bullet"/>
      <w:lvlText w:val=""/>
      <w:lvlJc w:val="left"/>
      <w:pPr>
        <w:ind w:left="720" w:hanging="360"/>
      </w:pPr>
      <w:rPr>
        <w:rFonts w:ascii="Symbol" w:eastAsiaTheme="minorHAnsi" w:hAnsi="Symbol" w:cstheme="minorBidi" w:hint="default"/>
      </w:rPr>
    </w:lvl>
    <w:lvl w:ilvl="1" w:tplc="E36889C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6B7685"/>
    <w:multiLevelType w:val="hybridMultilevel"/>
    <w:tmpl w:val="23D63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F03CA2"/>
    <w:multiLevelType w:val="hybridMultilevel"/>
    <w:tmpl w:val="9EF83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167DA9"/>
    <w:multiLevelType w:val="hybridMultilevel"/>
    <w:tmpl w:val="334EA8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24D6394"/>
    <w:multiLevelType w:val="hybridMultilevel"/>
    <w:tmpl w:val="94E6A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456429"/>
    <w:multiLevelType w:val="multilevel"/>
    <w:tmpl w:val="E898CC72"/>
    <w:lvl w:ilvl="0">
      <w:numFmt w:val="decimal"/>
      <w:pStyle w:val="ListNumber"/>
      <w:lvlText w:val=""/>
      <w:lvlJc w:val="left"/>
    </w:lvl>
    <w:lvl w:ilvl="1">
      <w:numFmt w:val="decimal"/>
      <w:pStyle w:val="ListNumber2"/>
      <w:lvlText w:val=""/>
      <w:lvlJc w:val="left"/>
    </w:lvl>
    <w:lvl w:ilvl="2">
      <w:numFmt w:val="decimal"/>
      <w:pStyle w:val="ListNumber3"/>
      <w:lvlText w:val=""/>
      <w:lvlJc w:val="left"/>
    </w:lvl>
    <w:lvl w:ilvl="3">
      <w:numFmt w:val="decimal"/>
      <w:pStyle w:val="ListNumber4"/>
      <w:lvlText w:val=""/>
      <w:lvlJc w:val="left"/>
    </w:lvl>
    <w:lvl w:ilvl="4">
      <w:numFmt w:val="decimal"/>
      <w:pStyle w:val="ListNumber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A43C0B"/>
    <w:multiLevelType w:val="multilevel"/>
    <w:tmpl w:val="A8C03F7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A84F69"/>
    <w:multiLevelType w:val="hybridMultilevel"/>
    <w:tmpl w:val="782EE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505623"/>
    <w:multiLevelType w:val="hybridMultilevel"/>
    <w:tmpl w:val="757E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2400EF"/>
    <w:multiLevelType w:val="hybridMultilevel"/>
    <w:tmpl w:val="412A3E58"/>
    <w:lvl w:ilvl="0" w:tplc="1E1EACA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B83A06"/>
    <w:multiLevelType w:val="multilevel"/>
    <w:tmpl w:val="2026ADE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1B148E"/>
    <w:multiLevelType w:val="hybridMultilevel"/>
    <w:tmpl w:val="368AB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B81102"/>
    <w:multiLevelType w:val="multilevel"/>
    <w:tmpl w:val="ECB21298"/>
    <w:lvl w:ilvl="0">
      <w:start w:val="1"/>
      <w:numFmt w:val="bullet"/>
      <w:lvlText w:val="•"/>
      <w:lvlJc w:val="left"/>
      <w:pPr>
        <w:tabs>
          <w:tab w:val="num" w:pos="1086"/>
        </w:tabs>
        <w:ind w:left="1086" w:hanging="543"/>
      </w:pPr>
      <w:rPr>
        <w:rFonts w:ascii="Times New Roman" w:hAnsi="Times New Roman" w:cs="Times New Roman"/>
        <w:sz w:val="24"/>
        <w:szCs w:val="24"/>
      </w:rPr>
    </w:lvl>
    <w:lvl w:ilvl="1">
      <w:start w:val="1"/>
      <w:numFmt w:val="bullet"/>
      <w:lvlText w:val="–"/>
      <w:lvlJc w:val="left"/>
      <w:pPr>
        <w:tabs>
          <w:tab w:val="num" w:pos="1558"/>
        </w:tabs>
        <w:ind w:left="1558" w:hanging="472"/>
      </w:pPr>
      <w:rPr>
        <w:rFonts w:ascii="Times New Roman" w:hAnsi="Times New Roman" w:cs="Times New Roman"/>
      </w:rPr>
    </w:lvl>
    <w:lvl w:ilvl="2">
      <w:start w:val="1"/>
      <w:numFmt w:val="bullet"/>
      <w:lvlText w:val=":"/>
      <w:lvlJc w:val="left"/>
      <w:pPr>
        <w:tabs>
          <w:tab w:val="num" w:pos="2030"/>
        </w:tabs>
        <w:ind w:left="2030" w:hanging="472"/>
      </w:pPr>
      <w:rPr>
        <w:rFonts w:ascii="Times New Roman" w:hAnsi="Times New Roman" w:cs="Times New Roman"/>
      </w:rPr>
    </w:lvl>
    <w:lvl w:ilvl="3">
      <w:start w:val="1"/>
      <w:numFmt w:val="decimal"/>
      <w:lvlText w:val="(%4)"/>
      <w:lvlJc w:val="left"/>
      <w:pPr>
        <w:ind w:left="4332" w:hanging="360"/>
      </w:pPr>
    </w:lvl>
    <w:lvl w:ilvl="4">
      <w:start w:val="1"/>
      <w:numFmt w:val="lowerLetter"/>
      <w:lvlText w:val="(%5)"/>
      <w:lvlJc w:val="left"/>
      <w:pPr>
        <w:ind w:left="4692" w:hanging="360"/>
      </w:pPr>
    </w:lvl>
    <w:lvl w:ilvl="5">
      <w:start w:val="1"/>
      <w:numFmt w:val="lowerRoman"/>
      <w:lvlText w:val="(%6)"/>
      <w:lvlJc w:val="left"/>
      <w:pPr>
        <w:ind w:left="5052" w:hanging="360"/>
      </w:pPr>
    </w:lvl>
    <w:lvl w:ilvl="6">
      <w:start w:val="1"/>
      <w:numFmt w:val="decimal"/>
      <w:lvlText w:val="%7."/>
      <w:lvlJc w:val="left"/>
      <w:pPr>
        <w:ind w:left="5412" w:hanging="360"/>
      </w:pPr>
    </w:lvl>
    <w:lvl w:ilvl="7">
      <w:start w:val="1"/>
      <w:numFmt w:val="lowerLetter"/>
      <w:lvlText w:val="%8."/>
      <w:lvlJc w:val="left"/>
      <w:pPr>
        <w:ind w:left="5772" w:hanging="360"/>
      </w:pPr>
    </w:lvl>
    <w:lvl w:ilvl="8">
      <w:start w:val="1"/>
      <w:numFmt w:val="lowerRoman"/>
      <w:lvlText w:val="%9."/>
      <w:lvlJc w:val="left"/>
      <w:pPr>
        <w:ind w:left="6132" w:hanging="360"/>
      </w:pPr>
    </w:lvl>
  </w:abstractNum>
  <w:num w:numId="1">
    <w:abstractNumId w:val="7"/>
  </w:num>
  <w:num w:numId="2">
    <w:abstractNumId w:val="23"/>
  </w:num>
  <w:num w:numId="3">
    <w:abstractNumId w:val="27"/>
  </w:num>
  <w:num w:numId="4">
    <w:abstractNumId w:val="29"/>
  </w:num>
  <w:num w:numId="5">
    <w:abstractNumId w:val="14"/>
  </w:num>
  <w:num w:numId="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0"/>
  </w:num>
  <w:num w:numId="11">
    <w:abstractNumId w:val="0"/>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0"/>
  </w:num>
  <w:num w:numId="20">
    <w:abstractNumId w:val="23"/>
  </w:num>
  <w:num w:numId="21">
    <w:abstractNumId w:val="23"/>
  </w:num>
  <w:num w:numId="22">
    <w:abstractNumId w:val="23"/>
  </w:num>
  <w:num w:numId="23">
    <w:abstractNumId w:val="23"/>
  </w:num>
  <w:num w:numId="24">
    <w:abstractNumId w:val="23"/>
  </w:num>
  <w:num w:numId="25">
    <w:abstractNumId w:val="2"/>
  </w:num>
  <w:num w:numId="26">
    <w:abstractNumId w:val="22"/>
  </w:num>
  <w:num w:numId="27">
    <w:abstractNumId w:val="19"/>
  </w:num>
  <w:num w:numId="28">
    <w:abstractNumId w:val="25"/>
  </w:num>
  <w:num w:numId="29">
    <w:abstractNumId w:val="10"/>
  </w:num>
  <w:num w:numId="30">
    <w:abstractNumId w:val="11"/>
  </w:num>
  <w:num w:numId="31">
    <w:abstractNumId w:val="1"/>
  </w:num>
  <w:num w:numId="32">
    <w:abstractNumId w:val="5"/>
  </w:num>
  <w:num w:numId="33">
    <w:abstractNumId w:val="15"/>
  </w:num>
  <w:num w:numId="34">
    <w:abstractNumId w:val="21"/>
  </w:num>
  <w:num w:numId="35">
    <w:abstractNumId w:val="6"/>
  </w:num>
  <w:num w:numId="36">
    <w:abstractNumId w:val="18"/>
  </w:num>
  <w:num w:numId="37">
    <w:abstractNumId w:val="13"/>
  </w:num>
  <w:num w:numId="38">
    <w:abstractNumId w:val="23"/>
  </w:num>
  <w:num w:numId="39">
    <w:abstractNumId w:val="20"/>
  </w:num>
  <w:num w:numId="40">
    <w:abstractNumId w:val="4"/>
  </w:num>
  <w:num w:numId="41">
    <w:abstractNumId w:val="24"/>
  </w:num>
  <w:num w:numId="42">
    <w:abstractNumId w:val="12"/>
  </w:num>
  <w:num w:numId="43">
    <w:abstractNumId w:val="26"/>
  </w:num>
  <w:num w:numId="44">
    <w:abstractNumId w:val="9"/>
  </w:num>
  <w:num w:numId="45">
    <w:abstractNumId w:val="16"/>
  </w:num>
  <w:num w:numId="46">
    <w:abstractNumId w:val="1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E9"/>
    <w:rsid w:val="00001339"/>
    <w:rsid w:val="00001661"/>
    <w:rsid w:val="00005DA9"/>
    <w:rsid w:val="000061B4"/>
    <w:rsid w:val="00006FA6"/>
    <w:rsid w:val="00010C51"/>
    <w:rsid w:val="00011A3E"/>
    <w:rsid w:val="00011BE2"/>
    <w:rsid w:val="00011FCD"/>
    <w:rsid w:val="00012FFD"/>
    <w:rsid w:val="000160B4"/>
    <w:rsid w:val="00016AB4"/>
    <w:rsid w:val="00016EA2"/>
    <w:rsid w:val="00020882"/>
    <w:rsid w:val="000212FB"/>
    <w:rsid w:val="0002168E"/>
    <w:rsid w:val="00022119"/>
    <w:rsid w:val="00022A12"/>
    <w:rsid w:val="00023CBC"/>
    <w:rsid w:val="00024432"/>
    <w:rsid w:val="00024882"/>
    <w:rsid w:val="00024D8E"/>
    <w:rsid w:val="000250CB"/>
    <w:rsid w:val="000263D6"/>
    <w:rsid w:val="00026576"/>
    <w:rsid w:val="00026BD0"/>
    <w:rsid w:val="00027420"/>
    <w:rsid w:val="00027846"/>
    <w:rsid w:val="0003092B"/>
    <w:rsid w:val="00030CCB"/>
    <w:rsid w:val="00030FBE"/>
    <w:rsid w:val="0003196C"/>
    <w:rsid w:val="00031B03"/>
    <w:rsid w:val="00032226"/>
    <w:rsid w:val="00035ADA"/>
    <w:rsid w:val="00035B94"/>
    <w:rsid w:val="000372F4"/>
    <w:rsid w:val="00037744"/>
    <w:rsid w:val="00040CEC"/>
    <w:rsid w:val="00040E7B"/>
    <w:rsid w:val="0004434C"/>
    <w:rsid w:val="00044A6E"/>
    <w:rsid w:val="00045C2F"/>
    <w:rsid w:val="00046C9F"/>
    <w:rsid w:val="00047D54"/>
    <w:rsid w:val="00055A6B"/>
    <w:rsid w:val="000562DA"/>
    <w:rsid w:val="00056C8F"/>
    <w:rsid w:val="00057627"/>
    <w:rsid w:val="000629F0"/>
    <w:rsid w:val="00062FFE"/>
    <w:rsid w:val="0006629C"/>
    <w:rsid w:val="000665DB"/>
    <w:rsid w:val="000667CB"/>
    <w:rsid w:val="00070C06"/>
    <w:rsid w:val="00070C3D"/>
    <w:rsid w:val="0007281C"/>
    <w:rsid w:val="00074927"/>
    <w:rsid w:val="00082011"/>
    <w:rsid w:val="000832D0"/>
    <w:rsid w:val="000858FA"/>
    <w:rsid w:val="00086ADC"/>
    <w:rsid w:val="000879AF"/>
    <w:rsid w:val="00087A55"/>
    <w:rsid w:val="000927D4"/>
    <w:rsid w:val="00094EDF"/>
    <w:rsid w:val="00095211"/>
    <w:rsid w:val="0009613C"/>
    <w:rsid w:val="00096DF9"/>
    <w:rsid w:val="00097C07"/>
    <w:rsid w:val="00097F6B"/>
    <w:rsid w:val="000A12F0"/>
    <w:rsid w:val="000A2491"/>
    <w:rsid w:val="000A2BAF"/>
    <w:rsid w:val="000A2C46"/>
    <w:rsid w:val="000A3A21"/>
    <w:rsid w:val="000A5077"/>
    <w:rsid w:val="000A5473"/>
    <w:rsid w:val="000A6D39"/>
    <w:rsid w:val="000B0950"/>
    <w:rsid w:val="000B0B40"/>
    <w:rsid w:val="000B0E9E"/>
    <w:rsid w:val="000B1F03"/>
    <w:rsid w:val="000B2694"/>
    <w:rsid w:val="000B2AE3"/>
    <w:rsid w:val="000B3EF3"/>
    <w:rsid w:val="000B469D"/>
    <w:rsid w:val="000B514B"/>
    <w:rsid w:val="000B6310"/>
    <w:rsid w:val="000B6571"/>
    <w:rsid w:val="000B696B"/>
    <w:rsid w:val="000B791F"/>
    <w:rsid w:val="000C10DF"/>
    <w:rsid w:val="000C349C"/>
    <w:rsid w:val="000C6869"/>
    <w:rsid w:val="000D26AB"/>
    <w:rsid w:val="000D27C0"/>
    <w:rsid w:val="000D45D5"/>
    <w:rsid w:val="000D640B"/>
    <w:rsid w:val="000E1FD4"/>
    <w:rsid w:val="000E2087"/>
    <w:rsid w:val="000E36D8"/>
    <w:rsid w:val="000E631A"/>
    <w:rsid w:val="000E6E99"/>
    <w:rsid w:val="000F0BED"/>
    <w:rsid w:val="000F0ECC"/>
    <w:rsid w:val="000F1815"/>
    <w:rsid w:val="000F26C9"/>
    <w:rsid w:val="000F2873"/>
    <w:rsid w:val="000F2D8C"/>
    <w:rsid w:val="000F47F6"/>
    <w:rsid w:val="000F618F"/>
    <w:rsid w:val="000F636A"/>
    <w:rsid w:val="000F7E40"/>
    <w:rsid w:val="0010030C"/>
    <w:rsid w:val="00100BB2"/>
    <w:rsid w:val="001037D5"/>
    <w:rsid w:val="00104230"/>
    <w:rsid w:val="0010738D"/>
    <w:rsid w:val="00107EFF"/>
    <w:rsid w:val="00111C06"/>
    <w:rsid w:val="00111F32"/>
    <w:rsid w:val="00112387"/>
    <w:rsid w:val="00112888"/>
    <w:rsid w:val="00113B45"/>
    <w:rsid w:val="00114F70"/>
    <w:rsid w:val="001154C7"/>
    <w:rsid w:val="00116BEF"/>
    <w:rsid w:val="00117066"/>
    <w:rsid w:val="00117213"/>
    <w:rsid w:val="00117DBA"/>
    <w:rsid w:val="00120B5C"/>
    <w:rsid w:val="001218DE"/>
    <w:rsid w:val="001235FA"/>
    <w:rsid w:val="00125688"/>
    <w:rsid w:val="001268C6"/>
    <w:rsid w:val="00130C93"/>
    <w:rsid w:val="00131714"/>
    <w:rsid w:val="001318AC"/>
    <w:rsid w:val="0013445F"/>
    <w:rsid w:val="0013640C"/>
    <w:rsid w:val="0013786F"/>
    <w:rsid w:val="00140A21"/>
    <w:rsid w:val="0014294B"/>
    <w:rsid w:val="0014344B"/>
    <w:rsid w:val="00145352"/>
    <w:rsid w:val="0014688B"/>
    <w:rsid w:val="00147F5F"/>
    <w:rsid w:val="001500D9"/>
    <w:rsid w:val="0015062A"/>
    <w:rsid w:val="001538C5"/>
    <w:rsid w:val="00154215"/>
    <w:rsid w:val="001545C6"/>
    <w:rsid w:val="00155854"/>
    <w:rsid w:val="001579B3"/>
    <w:rsid w:val="00160094"/>
    <w:rsid w:val="00160725"/>
    <w:rsid w:val="001623AD"/>
    <w:rsid w:val="00162755"/>
    <w:rsid w:val="0016437F"/>
    <w:rsid w:val="00166494"/>
    <w:rsid w:val="0017130A"/>
    <w:rsid w:val="001716D8"/>
    <w:rsid w:val="00174C3E"/>
    <w:rsid w:val="001751AC"/>
    <w:rsid w:val="00175AD3"/>
    <w:rsid w:val="00175EF5"/>
    <w:rsid w:val="00176A1C"/>
    <w:rsid w:val="00177B8B"/>
    <w:rsid w:val="00177BE4"/>
    <w:rsid w:val="001807C7"/>
    <w:rsid w:val="001807E5"/>
    <w:rsid w:val="001826FD"/>
    <w:rsid w:val="00184B1C"/>
    <w:rsid w:val="00185207"/>
    <w:rsid w:val="001855A0"/>
    <w:rsid w:val="00185DAB"/>
    <w:rsid w:val="001866AE"/>
    <w:rsid w:val="00187130"/>
    <w:rsid w:val="00190B26"/>
    <w:rsid w:val="00191E55"/>
    <w:rsid w:val="0019209B"/>
    <w:rsid w:val="00193F22"/>
    <w:rsid w:val="00194F53"/>
    <w:rsid w:val="001955F8"/>
    <w:rsid w:val="00196ABF"/>
    <w:rsid w:val="001A0106"/>
    <w:rsid w:val="001A0EF2"/>
    <w:rsid w:val="001A1C60"/>
    <w:rsid w:val="001A2640"/>
    <w:rsid w:val="001A31C5"/>
    <w:rsid w:val="001A3988"/>
    <w:rsid w:val="001A6C0C"/>
    <w:rsid w:val="001B0EC8"/>
    <w:rsid w:val="001B1332"/>
    <w:rsid w:val="001B4A72"/>
    <w:rsid w:val="001B64F7"/>
    <w:rsid w:val="001C0C93"/>
    <w:rsid w:val="001C2159"/>
    <w:rsid w:val="001C2227"/>
    <w:rsid w:val="001C28A7"/>
    <w:rsid w:val="001C32DA"/>
    <w:rsid w:val="001C399E"/>
    <w:rsid w:val="001C54F0"/>
    <w:rsid w:val="001D2A02"/>
    <w:rsid w:val="001D4BFE"/>
    <w:rsid w:val="001D61B8"/>
    <w:rsid w:val="001D668E"/>
    <w:rsid w:val="001D6ED0"/>
    <w:rsid w:val="001E510E"/>
    <w:rsid w:val="001E5B50"/>
    <w:rsid w:val="001E6956"/>
    <w:rsid w:val="001E6A74"/>
    <w:rsid w:val="001E765C"/>
    <w:rsid w:val="001E772E"/>
    <w:rsid w:val="001F0026"/>
    <w:rsid w:val="001F018D"/>
    <w:rsid w:val="001F1215"/>
    <w:rsid w:val="001F1C48"/>
    <w:rsid w:val="001F41D0"/>
    <w:rsid w:val="001F5A3D"/>
    <w:rsid w:val="001F5C8A"/>
    <w:rsid w:val="001F6217"/>
    <w:rsid w:val="001F6752"/>
    <w:rsid w:val="001F697F"/>
    <w:rsid w:val="001F73B2"/>
    <w:rsid w:val="00201FFF"/>
    <w:rsid w:val="00204BDB"/>
    <w:rsid w:val="002069C7"/>
    <w:rsid w:val="00210F96"/>
    <w:rsid w:val="0021220C"/>
    <w:rsid w:val="00212CEF"/>
    <w:rsid w:val="0021388D"/>
    <w:rsid w:val="002143AB"/>
    <w:rsid w:val="00214B6C"/>
    <w:rsid w:val="002154D3"/>
    <w:rsid w:val="00215B9D"/>
    <w:rsid w:val="00215F7A"/>
    <w:rsid w:val="0021614B"/>
    <w:rsid w:val="002177CD"/>
    <w:rsid w:val="00220F16"/>
    <w:rsid w:val="00221281"/>
    <w:rsid w:val="00221988"/>
    <w:rsid w:val="00222B8E"/>
    <w:rsid w:val="00222FAB"/>
    <w:rsid w:val="00223642"/>
    <w:rsid w:val="00224554"/>
    <w:rsid w:val="002250CC"/>
    <w:rsid w:val="00226D26"/>
    <w:rsid w:val="00227363"/>
    <w:rsid w:val="0023004F"/>
    <w:rsid w:val="0023138A"/>
    <w:rsid w:val="00232591"/>
    <w:rsid w:val="0023283C"/>
    <w:rsid w:val="00233D3E"/>
    <w:rsid w:val="00236E66"/>
    <w:rsid w:val="00236F04"/>
    <w:rsid w:val="00237BEA"/>
    <w:rsid w:val="00237DBC"/>
    <w:rsid w:val="00241264"/>
    <w:rsid w:val="002415FC"/>
    <w:rsid w:val="00241E16"/>
    <w:rsid w:val="0024738F"/>
    <w:rsid w:val="0024774F"/>
    <w:rsid w:val="0025112C"/>
    <w:rsid w:val="00251AAE"/>
    <w:rsid w:val="002520AA"/>
    <w:rsid w:val="00253A4F"/>
    <w:rsid w:val="00254C5B"/>
    <w:rsid w:val="00257FE6"/>
    <w:rsid w:val="00260139"/>
    <w:rsid w:val="00260C11"/>
    <w:rsid w:val="00261A55"/>
    <w:rsid w:val="00262EB1"/>
    <w:rsid w:val="00265B58"/>
    <w:rsid w:val="0026628B"/>
    <w:rsid w:val="002668FC"/>
    <w:rsid w:val="00266F1F"/>
    <w:rsid w:val="002679E3"/>
    <w:rsid w:val="00271380"/>
    <w:rsid w:val="0027222B"/>
    <w:rsid w:val="00273465"/>
    <w:rsid w:val="00273892"/>
    <w:rsid w:val="002739D4"/>
    <w:rsid w:val="002748EC"/>
    <w:rsid w:val="00274F6A"/>
    <w:rsid w:val="002805A4"/>
    <w:rsid w:val="00281840"/>
    <w:rsid w:val="00284DB0"/>
    <w:rsid w:val="002868CE"/>
    <w:rsid w:val="00286D32"/>
    <w:rsid w:val="00291728"/>
    <w:rsid w:val="00291ECB"/>
    <w:rsid w:val="00292712"/>
    <w:rsid w:val="002950B6"/>
    <w:rsid w:val="00295270"/>
    <w:rsid w:val="00295ABE"/>
    <w:rsid w:val="00295B17"/>
    <w:rsid w:val="002967CB"/>
    <w:rsid w:val="002A2C02"/>
    <w:rsid w:val="002A309E"/>
    <w:rsid w:val="002A3988"/>
    <w:rsid w:val="002A3F9A"/>
    <w:rsid w:val="002A3FE1"/>
    <w:rsid w:val="002A5479"/>
    <w:rsid w:val="002B1A4C"/>
    <w:rsid w:val="002B2DD7"/>
    <w:rsid w:val="002B42DD"/>
    <w:rsid w:val="002B6A65"/>
    <w:rsid w:val="002B764F"/>
    <w:rsid w:val="002C10A3"/>
    <w:rsid w:val="002C12DE"/>
    <w:rsid w:val="002C3183"/>
    <w:rsid w:val="002C38C9"/>
    <w:rsid w:val="002C3C2E"/>
    <w:rsid w:val="002C4594"/>
    <w:rsid w:val="002C50CE"/>
    <w:rsid w:val="002C6488"/>
    <w:rsid w:val="002D0C0C"/>
    <w:rsid w:val="002D0DB3"/>
    <w:rsid w:val="002D2CFD"/>
    <w:rsid w:val="002D2E26"/>
    <w:rsid w:val="002D3BB6"/>
    <w:rsid w:val="002D49C0"/>
    <w:rsid w:val="002D5C37"/>
    <w:rsid w:val="002D73B7"/>
    <w:rsid w:val="002E0BB9"/>
    <w:rsid w:val="002E18B4"/>
    <w:rsid w:val="002E335E"/>
    <w:rsid w:val="002E53A7"/>
    <w:rsid w:val="002E63F8"/>
    <w:rsid w:val="002F20AF"/>
    <w:rsid w:val="002F24FC"/>
    <w:rsid w:val="002F2564"/>
    <w:rsid w:val="002F25C9"/>
    <w:rsid w:val="002F2816"/>
    <w:rsid w:val="002F32E5"/>
    <w:rsid w:val="002F4AC4"/>
    <w:rsid w:val="002F50B3"/>
    <w:rsid w:val="002F58BF"/>
    <w:rsid w:val="002F5FDB"/>
    <w:rsid w:val="002F7D2C"/>
    <w:rsid w:val="002F7DEB"/>
    <w:rsid w:val="00300396"/>
    <w:rsid w:val="0030117F"/>
    <w:rsid w:val="00301A8C"/>
    <w:rsid w:val="00301E34"/>
    <w:rsid w:val="003054AB"/>
    <w:rsid w:val="003063ED"/>
    <w:rsid w:val="003065A0"/>
    <w:rsid w:val="003068C2"/>
    <w:rsid w:val="0031132E"/>
    <w:rsid w:val="00312D98"/>
    <w:rsid w:val="003157AD"/>
    <w:rsid w:val="00320766"/>
    <w:rsid w:val="003223E4"/>
    <w:rsid w:val="00322BFE"/>
    <w:rsid w:val="00325864"/>
    <w:rsid w:val="00326FD4"/>
    <w:rsid w:val="00330418"/>
    <w:rsid w:val="0033187D"/>
    <w:rsid w:val="00331DB4"/>
    <w:rsid w:val="00332AA3"/>
    <w:rsid w:val="00332E5A"/>
    <w:rsid w:val="003342CD"/>
    <w:rsid w:val="00335042"/>
    <w:rsid w:val="003358AC"/>
    <w:rsid w:val="00337B38"/>
    <w:rsid w:val="0034011A"/>
    <w:rsid w:val="00342492"/>
    <w:rsid w:val="00343673"/>
    <w:rsid w:val="00343B96"/>
    <w:rsid w:val="003440EB"/>
    <w:rsid w:val="00346F24"/>
    <w:rsid w:val="00350B8F"/>
    <w:rsid w:val="003515C5"/>
    <w:rsid w:val="00352DFD"/>
    <w:rsid w:val="00353530"/>
    <w:rsid w:val="0035409D"/>
    <w:rsid w:val="003543D4"/>
    <w:rsid w:val="0035469B"/>
    <w:rsid w:val="0035681A"/>
    <w:rsid w:val="00356B48"/>
    <w:rsid w:val="00356CE9"/>
    <w:rsid w:val="00356E31"/>
    <w:rsid w:val="003579FD"/>
    <w:rsid w:val="0036170D"/>
    <w:rsid w:val="00361912"/>
    <w:rsid w:val="00361DB4"/>
    <w:rsid w:val="0036204F"/>
    <w:rsid w:val="00362704"/>
    <w:rsid w:val="00364F27"/>
    <w:rsid w:val="0036570A"/>
    <w:rsid w:val="00366499"/>
    <w:rsid w:val="003670B8"/>
    <w:rsid w:val="003676D5"/>
    <w:rsid w:val="003678A8"/>
    <w:rsid w:val="0036799A"/>
    <w:rsid w:val="00370929"/>
    <w:rsid w:val="00372800"/>
    <w:rsid w:val="00373BAB"/>
    <w:rsid w:val="00375618"/>
    <w:rsid w:val="00375D14"/>
    <w:rsid w:val="0037741B"/>
    <w:rsid w:val="00377BEE"/>
    <w:rsid w:val="003833E9"/>
    <w:rsid w:val="00383E19"/>
    <w:rsid w:val="00385170"/>
    <w:rsid w:val="003855E0"/>
    <w:rsid w:val="0038686C"/>
    <w:rsid w:val="00386E5D"/>
    <w:rsid w:val="00386F76"/>
    <w:rsid w:val="003878F8"/>
    <w:rsid w:val="0039006D"/>
    <w:rsid w:val="003915C9"/>
    <w:rsid w:val="003919A0"/>
    <w:rsid w:val="00392BBA"/>
    <w:rsid w:val="00393EEB"/>
    <w:rsid w:val="00394700"/>
    <w:rsid w:val="00397036"/>
    <w:rsid w:val="0039795F"/>
    <w:rsid w:val="003A11B3"/>
    <w:rsid w:val="003A2330"/>
    <w:rsid w:val="003A300A"/>
    <w:rsid w:val="003A3289"/>
    <w:rsid w:val="003A39D3"/>
    <w:rsid w:val="003A5D5E"/>
    <w:rsid w:val="003A5DE0"/>
    <w:rsid w:val="003A6048"/>
    <w:rsid w:val="003A612B"/>
    <w:rsid w:val="003B0E36"/>
    <w:rsid w:val="003B1CEC"/>
    <w:rsid w:val="003B544B"/>
    <w:rsid w:val="003B56F0"/>
    <w:rsid w:val="003B5B37"/>
    <w:rsid w:val="003B6048"/>
    <w:rsid w:val="003B7A0A"/>
    <w:rsid w:val="003C2D79"/>
    <w:rsid w:val="003C3846"/>
    <w:rsid w:val="003C3D01"/>
    <w:rsid w:val="003C3DBF"/>
    <w:rsid w:val="003C456B"/>
    <w:rsid w:val="003C70C7"/>
    <w:rsid w:val="003D039F"/>
    <w:rsid w:val="003D0A33"/>
    <w:rsid w:val="003D41F6"/>
    <w:rsid w:val="003D44E6"/>
    <w:rsid w:val="003E090D"/>
    <w:rsid w:val="003E1CCD"/>
    <w:rsid w:val="003E26B2"/>
    <w:rsid w:val="003E285E"/>
    <w:rsid w:val="003E460C"/>
    <w:rsid w:val="003E527B"/>
    <w:rsid w:val="003E5E25"/>
    <w:rsid w:val="003E6571"/>
    <w:rsid w:val="003E6A52"/>
    <w:rsid w:val="003E7563"/>
    <w:rsid w:val="003F20ED"/>
    <w:rsid w:val="003F35E8"/>
    <w:rsid w:val="003F47E4"/>
    <w:rsid w:val="003F5F7B"/>
    <w:rsid w:val="003F6649"/>
    <w:rsid w:val="003F6B70"/>
    <w:rsid w:val="003F6DC0"/>
    <w:rsid w:val="003F7416"/>
    <w:rsid w:val="004001DD"/>
    <w:rsid w:val="00401D67"/>
    <w:rsid w:val="004026D9"/>
    <w:rsid w:val="004028A4"/>
    <w:rsid w:val="00406042"/>
    <w:rsid w:val="00406810"/>
    <w:rsid w:val="0040744E"/>
    <w:rsid w:val="00407C9C"/>
    <w:rsid w:val="004106FD"/>
    <w:rsid w:val="0041437A"/>
    <w:rsid w:val="0041495E"/>
    <w:rsid w:val="004153BE"/>
    <w:rsid w:val="004153C7"/>
    <w:rsid w:val="00415A00"/>
    <w:rsid w:val="00416A0F"/>
    <w:rsid w:val="00417C27"/>
    <w:rsid w:val="00420244"/>
    <w:rsid w:val="00420346"/>
    <w:rsid w:val="004223D1"/>
    <w:rsid w:val="00422752"/>
    <w:rsid w:val="004231E5"/>
    <w:rsid w:val="00423533"/>
    <w:rsid w:val="00426D68"/>
    <w:rsid w:val="00427375"/>
    <w:rsid w:val="00427786"/>
    <w:rsid w:val="00430343"/>
    <w:rsid w:val="00431010"/>
    <w:rsid w:val="00434CF8"/>
    <w:rsid w:val="00434F63"/>
    <w:rsid w:val="0043650C"/>
    <w:rsid w:val="004369A8"/>
    <w:rsid w:val="004372DE"/>
    <w:rsid w:val="00441460"/>
    <w:rsid w:val="00443C1E"/>
    <w:rsid w:val="0044607E"/>
    <w:rsid w:val="004466CE"/>
    <w:rsid w:val="00447D0B"/>
    <w:rsid w:val="00450549"/>
    <w:rsid w:val="00454AD5"/>
    <w:rsid w:val="004554E9"/>
    <w:rsid w:val="004562A6"/>
    <w:rsid w:val="00460431"/>
    <w:rsid w:val="00460A9B"/>
    <w:rsid w:val="00460D26"/>
    <w:rsid w:val="004629E6"/>
    <w:rsid w:val="0047182D"/>
    <w:rsid w:val="00471D19"/>
    <w:rsid w:val="00471DAF"/>
    <w:rsid w:val="004727FF"/>
    <w:rsid w:val="00472EAB"/>
    <w:rsid w:val="0047357E"/>
    <w:rsid w:val="004747AC"/>
    <w:rsid w:val="00475643"/>
    <w:rsid w:val="00475B2B"/>
    <w:rsid w:val="00476549"/>
    <w:rsid w:val="00476DF8"/>
    <w:rsid w:val="00483BB1"/>
    <w:rsid w:val="004845BF"/>
    <w:rsid w:val="00484AD3"/>
    <w:rsid w:val="00484D65"/>
    <w:rsid w:val="0048629D"/>
    <w:rsid w:val="0048682A"/>
    <w:rsid w:val="00486954"/>
    <w:rsid w:val="004876B0"/>
    <w:rsid w:val="00487724"/>
    <w:rsid w:val="00487B5B"/>
    <w:rsid w:val="004900B4"/>
    <w:rsid w:val="00491AEA"/>
    <w:rsid w:val="0049209C"/>
    <w:rsid w:val="004926E5"/>
    <w:rsid w:val="00493374"/>
    <w:rsid w:val="00493B9D"/>
    <w:rsid w:val="00496334"/>
    <w:rsid w:val="004977AC"/>
    <w:rsid w:val="004A0370"/>
    <w:rsid w:val="004A051E"/>
    <w:rsid w:val="004A4D33"/>
    <w:rsid w:val="004A7AF7"/>
    <w:rsid w:val="004B1DF5"/>
    <w:rsid w:val="004B2249"/>
    <w:rsid w:val="004B2F9C"/>
    <w:rsid w:val="004B3171"/>
    <w:rsid w:val="004B3FF5"/>
    <w:rsid w:val="004B5194"/>
    <w:rsid w:val="004B606B"/>
    <w:rsid w:val="004B7388"/>
    <w:rsid w:val="004C0C24"/>
    <w:rsid w:val="004C0F54"/>
    <w:rsid w:val="004C2054"/>
    <w:rsid w:val="004C3F85"/>
    <w:rsid w:val="004C469A"/>
    <w:rsid w:val="004C687E"/>
    <w:rsid w:val="004C6BED"/>
    <w:rsid w:val="004D41FC"/>
    <w:rsid w:val="004D4467"/>
    <w:rsid w:val="004D5858"/>
    <w:rsid w:val="004D5AA9"/>
    <w:rsid w:val="004D5CA8"/>
    <w:rsid w:val="004D609F"/>
    <w:rsid w:val="004D7AFE"/>
    <w:rsid w:val="004E0423"/>
    <w:rsid w:val="004E09E7"/>
    <w:rsid w:val="004E2255"/>
    <w:rsid w:val="004E36B7"/>
    <w:rsid w:val="004E39E1"/>
    <w:rsid w:val="004E4FD3"/>
    <w:rsid w:val="004E4FE7"/>
    <w:rsid w:val="004E5651"/>
    <w:rsid w:val="004E65A0"/>
    <w:rsid w:val="004E6A9C"/>
    <w:rsid w:val="004E7602"/>
    <w:rsid w:val="004E7915"/>
    <w:rsid w:val="004E7EDA"/>
    <w:rsid w:val="004F0195"/>
    <w:rsid w:val="004F0771"/>
    <w:rsid w:val="004F2ACC"/>
    <w:rsid w:val="004F2F0E"/>
    <w:rsid w:val="004F3D3D"/>
    <w:rsid w:val="004F63BB"/>
    <w:rsid w:val="004F6671"/>
    <w:rsid w:val="004F67C1"/>
    <w:rsid w:val="00503E44"/>
    <w:rsid w:val="00505FD7"/>
    <w:rsid w:val="0050647C"/>
    <w:rsid w:val="005100CE"/>
    <w:rsid w:val="005119FA"/>
    <w:rsid w:val="00512944"/>
    <w:rsid w:val="00515041"/>
    <w:rsid w:val="00515283"/>
    <w:rsid w:val="00516B96"/>
    <w:rsid w:val="0052107C"/>
    <w:rsid w:val="005221AB"/>
    <w:rsid w:val="005224B7"/>
    <w:rsid w:val="005228CB"/>
    <w:rsid w:val="005234D1"/>
    <w:rsid w:val="00523768"/>
    <w:rsid w:val="00523A71"/>
    <w:rsid w:val="00524916"/>
    <w:rsid w:val="00525756"/>
    <w:rsid w:val="00527FC7"/>
    <w:rsid w:val="005300BF"/>
    <w:rsid w:val="005326EC"/>
    <w:rsid w:val="00534C53"/>
    <w:rsid w:val="005372EE"/>
    <w:rsid w:val="005407A8"/>
    <w:rsid w:val="00540ACA"/>
    <w:rsid w:val="00543697"/>
    <w:rsid w:val="00543F2B"/>
    <w:rsid w:val="005443FB"/>
    <w:rsid w:val="00544811"/>
    <w:rsid w:val="005500D0"/>
    <w:rsid w:val="0055061F"/>
    <w:rsid w:val="00554100"/>
    <w:rsid w:val="00555A43"/>
    <w:rsid w:val="0055675D"/>
    <w:rsid w:val="00562D29"/>
    <w:rsid w:val="005630F0"/>
    <w:rsid w:val="0056348D"/>
    <w:rsid w:val="00565C6D"/>
    <w:rsid w:val="005669F8"/>
    <w:rsid w:val="00566A21"/>
    <w:rsid w:val="00566E17"/>
    <w:rsid w:val="00567F6A"/>
    <w:rsid w:val="00570080"/>
    <w:rsid w:val="00571A35"/>
    <w:rsid w:val="0057281A"/>
    <w:rsid w:val="00575F59"/>
    <w:rsid w:val="005769F4"/>
    <w:rsid w:val="00582298"/>
    <w:rsid w:val="00582CB6"/>
    <w:rsid w:val="005833BE"/>
    <w:rsid w:val="005843E1"/>
    <w:rsid w:val="00584DAC"/>
    <w:rsid w:val="005871CF"/>
    <w:rsid w:val="005908BD"/>
    <w:rsid w:val="00590EE5"/>
    <w:rsid w:val="00592403"/>
    <w:rsid w:val="005933BE"/>
    <w:rsid w:val="00593679"/>
    <w:rsid w:val="00597552"/>
    <w:rsid w:val="00597CDB"/>
    <w:rsid w:val="005A0267"/>
    <w:rsid w:val="005A05A8"/>
    <w:rsid w:val="005A09FB"/>
    <w:rsid w:val="005A349F"/>
    <w:rsid w:val="005A7AAF"/>
    <w:rsid w:val="005B09F7"/>
    <w:rsid w:val="005B17D1"/>
    <w:rsid w:val="005B1DDF"/>
    <w:rsid w:val="005B3CA2"/>
    <w:rsid w:val="005B4365"/>
    <w:rsid w:val="005B5BF3"/>
    <w:rsid w:val="005C0D0D"/>
    <w:rsid w:val="005C10B9"/>
    <w:rsid w:val="005C407C"/>
    <w:rsid w:val="005C62E5"/>
    <w:rsid w:val="005C6ACE"/>
    <w:rsid w:val="005C7417"/>
    <w:rsid w:val="005C7779"/>
    <w:rsid w:val="005C7C06"/>
    <w:rsid w:val="005D2703"/>
    <w:rsid w:val="005D3032"/>
    <w:rsid w:val="005D3B39"/>
    <w:rsid w:val="005D753D"/>
    <w:rsid w:val="005D7D5A"/>
    <w:rsid w:val="005E19D0"/>
    <w:rsid w:val="005E1B5A"/>
    <w:rsid w:val="005E4C76"/>
    <w:rsid w:val="005E5EC7"/>
    <w:rsid w:val="005E6AFC"/>
    <w:rsid w:val="005F2439"/>
    <w:rsid w:val="005F34B6"/>
    <w:rsid w:val="005F5F05"/>
    <w:rsid w:val="005F6120"/>
    <w:rsid w:val="005F6666"/>
    <w:rsid w:val="005F76E3"/>
    <w:rsid w:val="005F7AE5"/>
    <w:rsid w:val="0060130D"/>
    <w:rsid w:val="00601B43"/>
    <w:rsid w:val="00602D03"/>
    <w:rsid w:val="00604BED"/>
    <w:rsid w:val="00604DCE"/>
    <w:rsid w:val="0060644A"/>
    <w:rsid w:val="006067DC"/>
    <w:rsid w:val="00606ED8"/>
    <w:rsid w:val="00607054"/>
    <w:rsid w:val="00607362"/>
    <w:rsid w:val="00607D10"/>
    <w:rsid w:val="00607FC8"/>
    <w:rsid w:val="006102B4"/>
    <w:rsid w:val="00610426"/>
    <w:rsid w:val="00611E56"/>
    <w:rsid w:val="006125F0"/>
    <w:rsid w:val="00613826"/>
    <w:rsid w:val="00613A28"/>
    <w:rsid w:val="006148E4"/>
    <w:rsid w:val="006154E7"/>
    <w:rsid w:val="006157CC"/>
    <w:rsid w:val="00616BCC"/>
    <w:rsid w:val="00620DA1"/>
    <w:rsid w:val="006217B4"/>
    <w:rsid w:val="00622EF5"/>
    <w:rsid w:val="00624FDA"/>
    <w:rsid w:val="00625CFC"/>
    <w:rsid w:val="0062726A"/>
    <w:rsid w:val="00627B34"/>
    <w:rsid w:val="00633772"/>
    <w:rsid w:val="00634B56"/>
    <w:rsid w:val="00634F7B"/>
    <w:rsid w:val="006351EA"/>
    <w:rsid w:val="006354FA"/>
    <w:rsid w:val="00635FE0"/>
    <w:rsid w:val="006407EA"/>
    <w:rsid w:val="00640A16"/>
    <w:rsid w:val="0064100E"/>
    <w:rsid w:val="0064129F"/>
    <w:rsid w:val="00642A4E"/>
    <w:rsid w:val="006438B5"/>
    <w:rsid w:val="00644138"/>
    <w:rsid w:val="006454EC"/>
    <w:rsid w:val="00650FE5"/>
    <w:rsid w:val="006550D3"/>
    <w:rsid w:val="00656633"/>
    <w:rsid w:val="00660764"/>
    <w:rsid w:val="00661CB6"/>
    <w:rsid w:val="00662B8C"/>
    <w:rsid w:val="006631A1"/>
    <w:rsid w:val="00663792"/>
    <w:rsid w:val="0066630D"/>
    <w:rsid w:val="00666424"/>
    <w:rsid w:val="00666B56"/>
    <w:rsid w:val="00667045"/>
    <w:rsid w:val="0067378E"/>
    <w:rsid w:val="0067514C"/>
    <w:rsid w:val="0067615F"/>
    <w:rsid w:val="00676F4F"/>
    <w:rsid w:val="00677877"/>
    <w:rsid w:val="006817CD"/>
    <w:rsid w:val="00681E5A"/>
    <w:rsid w:val="00682AB3"/>
    <w:rsid w:val="006835EE"/>
    <w:rsid w:val="00691490"/>
    <w:rsid w:val="006951E2"/>
    <w:rsid w:val="006A1BEB"/>
    <w:rsid w:val="006A2753"/>
    <w:rsid w:val="006A3413"/>
    <w:rsid w:val="006A39D2"/>
    <w:rsid w:val="006A4A6E"/>
    <w:rsid w:val="006A50D2"/>
    <w:rsid w:val="006A5160"/>
    <w:rsid w:val="006A51A2"/>
    <w:rsid w:val="006A5B46"/>
    <w:rsid w:val="006A6A8A"/>
    <w:rsid w:val="006A7670"/>
    <w:rsid w:val="006A7C7F"/>
    <w:rsid w:val="006B351E"/>
    <w:rsid w:val="006B3AB0"/>
    <w:rsid w:val="006B3CDA"/>
    <w:rsid w:val="006C01BF"/>
    <w:rsid w:val="006C1EBD"/>
    <w:rsid w:val="006C1F4C"/>
    <w:rsid w:val="006C2644"/>
    <w:rsid w:val="006C332F"/>
    <w:rsid w:val="006C368B"/>
    <w:rsid w:val="006C38BE"/>
    <w:rsid w:val="006C433C"/>
    <w:rsid w:val="006C4FD1"/>
    <w:rsid w:val="006C636C"/>
    <w:rsid w:val="006C679D"/>
    <w:rsid w:val="006C7CC5"/>
    <w:rsid w:val="006D104A"/>
    <w:rsid w:val="006D1370"/>
    <w:rsid w:val="006D2BC6"/>
    <w:rsid w:val="006D2BF5"/>
    <w:rsid w:val="006D3653"/>
    <w:rsid w:val="006D4DEB"/>
    <w:rsid w:val="006D5F6C"/>
    <w:rsid w:val="006D7303"/>
    <w:rsid w:val="006D7C7D"/>
    <w:rsid w:val="006E0505"/>
    <w:rsid w:val="006E1335"/>
    <w:rsid w:val="006E1C30"/>
    <w:rsid w:val="006E3589"/>
    <w:rsid w:val="006E7774"/>
    <w:rsid w:val="006F1005"/>
    <w:rsid w:val="006F2591"/>
    <w:rsid w:val="006F317D"/>
    <w:rsid w:val="006F7A52"/>
    <w:rsid w:val="00701146"/>
    <w:rsid w:val="007025D4"/>
    <w:rsid w:val="00702EE2"/>
    <w:rsid w:val="00705D34"/>
    <w:rsid w:val="007065C3"/>
    <w:rsid w:val="00710233"/>
    <w:rsid w:val="00712019"/>
    <w:rsid w:val="00712BEB"/>
    <w:rsid w:val="00714B37"/>
    <w:rsid w:val="00714C8F"/>
    <w:rsid w:val="00715C57"/>
    <w:rsid w:val="007165EF"/>
    <w:rsid w:val="00717609"/>
    <w:rsid w:val="007200E3"/>
    <w:rsid w:val="00722A48"/>
    <w:rsid w:val="00723A75"/>
    <w:rsid w:val="00723C9D"/>
    <w:rsid w:val="00724DB6"/>
    <w:rsid w:val="00727596"/>
    <w:rsid w:val="00727C9D"/>
    <w:rsid w:val="0073175F"/>
    <w:rsid w:val="00732AC4"/>
    <w:rsid w:val="007333A5"/>
    <w:rsid w:val="00735A47"/>
    <w:rsid w:val="00737F8C"/>
    <w:rsid w:val="00740DD0"/>
    <w:rsid w:val="0074266C"/>
    <w:rsid w:val="007429BD"/>
    <w:rsid w:val="00742F0C"/>
    <w:rsid w:val="00743469"/>
    <w:rsid w:val="00744C1D"/>
    <w:rsid w:val="0074614E"/>
    <w:rsid w:val="0074648C"/>
    <w:rsid w:val="00750FA6"/>
    <w:rsid w:val="00751ED7"/>
    <w:rsid w:val="00753068"/>
    <w:rsid w:val="00755C46"/>
    <w:rsid w:val="00757797"/>
    <w:rsid w:val="007608A6"/>
    <w:rsid w:val="00760A76"/>
    <w:rsid w:val="007621EE"/>
    <w:rsid w:val="00765E69"/>
    <w:rsid w:val="00766AFA"/>
    <w:rsid w:val="00770D7F"/>
    <w:rsid w:val="00771105"/>
    <w:rsid w:val="00771BCF"/>
    <w:rsid w:val="00772C40"/>
    <w:rsid w:val="00773527"/>
    <w:rsid w:val="00773782"/>
    <w:rsid w:val="0077436D"/>
    <w:rsid w:val="0077437F"/>
    <w:rsid w:val="00774F23"/>
    <w:rsid w:val="0077528A"/>
    <w:rsid w:val="00775624"/>
    <w:rsid w:val="007758E3"/>
    <w:rsid w:val="00776B98"/>
    <w:rsid w:val="00777094"/>
    <w:rsid w:val="00777C25"/>
    <w:rsid w:val="007807C7"/>
    <w:rsid w:val="00780B9C"/>
    <w:rsid w:val="00780FF9"/>
    <w:rsid w:val="00784198"/>
    <w:rsid w:val="007876D2"/>
    <w:rsid w:val="007912BB"/>
    <w:rsid w:val="0079497A"/>
    <w:rsid w:val="00794DF6"/>
    <w:rsid w:val="007956DA"/>
    <w:rsid w:val="00795925"/>
    <w:rsid w:val="00796445"/>
    <w:rsid w:val="00796B53"/>
    <w:rsid w:val="0079757D"/>
    <w:rsid w:val="007A1DB7"/>
    <w:rsid w:val="007A2AC8"/>
    <w:rsid w:val="007A3A1C"/>
    <w:rsid w:val="007A4336"/>
    <w:rsid w:val="007A4725"/>
    <w:rsid w:val="007A48D5"/>
    <w:rsid w:val="007A5F44"/>
    <w:rsid w:val="007B0097"/>
    <w:rsid w:val="007B1117"/>
    <w:rsid w:val="007B161D"/>
    <w:rsid w:val="007B2E69"/>
    <w:rsid w:val="007B3C2D"/>
    <w:rsid w:val="007C160E"/>
    <w:rsid w:val="007C23BF"/>
    <w:rsid w:val="007C2839"/>
    <w:rsid w:val="007C42FF"/>
    <w:rsid w:val="007C4CC7"/>
    <w:rsid w:val="007C4F4B"/>
    <w:rsid w:val="007C77DE"/>
    <w:rsid w:val="007D0765"/>
    <w:rsid w:val="007D0977"/>
    <w:rsid w:val="007D0AD0"/>
    <w:rsid w:val="007D0CC1"/>
    <w:rsid w:val="007D233B"/>
    <w:rsid w:val="007D32D9"/>
    <w:rsid w:val="007D38F7"/>
    <w:rsid w:val="007D3CE0"/>
    <w:rsid w:val="007D44CE"/>
    <w:rsid w:val="007D4F2C"/>
    <w:rsid w:val="007D5218"/>
    <w:rsid w:val="007D776C"/>
    <w:rsid w:val="007D7F08"/>
    <w:rsid w:val="007E018D"/>
    <w:rsid w:val="007E15D6"/>
    <w:rsid w:val="007E1D41"/>
    <w:rsid w:val="007E1E38"/>
    <w:rsid w:val="007E2211"/>
    <w:rsid w:val="007E2EC2"/>
    <w:rsid w:val="007E347E"/>
    <w:rsid w:val="007E3B31"/>
    <w:rsid w:val="007E41D7"/>
    <w:rsid w:val="007E4966"/>
    <w:rsid w:val="007E62AF"/>
    <w:rsid w:val="007E7318"/>
    <w:rsid w:val="007E75E1"/>
    <w:rsid w:val="007E7D11"/>
    <w:rsid w:val="007F239B"/>
    <w:rsid w:val="007F3852"/>
    <w:rsid w:val="007F3DF7"/>
    <w:rsid w:val="007F541E"/>
    <w:rsid w:val="008019CF"/>
    <w:rsid w:val="00802575"/>
    <w:rsid w:val="00802E33"/>
    <w:rsid w:val="0080321D"/>
    <w:rsid w:val="00803736"/>
    <w:rsid w:val="0080442C"/>
    <w:rsid w:val="008048C4"/>
    <w:rsid w:val="00806120"/>
    <w:rsid w:val="0080689B"/>
    <w:rsid w:val="0080714C"/>
    <w:rsid w:val="00807DB4"/>
    <w:rsid w:val="00807E7D"/>
    <w:rsid w:val="00810B4A"/>
    <w:rsid w:val="00812B83"/>
    <w:rsid w:val="00813CEA"/>
    <w:rsid w:val="008141F2"/>
    <w:rsid w:val="00814D0E"/>
    <w:rsid w:val="00815F14"/>
    <w:rsid w:val="00817C9B"/>
    <w:rsid w:val="0082028E"/>
    <w:rsid w:val="00821E29"/>
    <w:rsid w:val="00822144"/>
    <w:rsid w:val="008221BA"/>
    <w:rsid w:val="00822C3A"/>
    <w:rsid w:val="00822CCA"/>
    <w:rsid w:val="00823128"/>
    <w:rsid w:val="00823EC0"/>
    <w:rsid w:val="008272A9"/>
    <w:rsid w:val="008273EC"/>
    <w:rsid w:val="00830DF0"/>
    <w:rsid w:val="00831471"/>
    <w:rsid w:val="00831675"/>
    <w:rsid w:val="00832B02"/>
    <w:rsid w:val="00834029"/>
    <w:rsid w:val="00834A07"/>
    <w:rsid w:val="00836176"/>
    <w:rsid w:val="0083693E"/>
    <w:rsid w:val="00836C25"/>
    <w:rsid w:val="0083772D"/>
    <w:rsid w:val="0084414F"/>
    <w:rsid w:val="0084579D"/>
    <w:rsid w:val="00845B2E"/>
    <w:rsid w:val="00850507"/>
    <w:rsid w:val="00850D53"/>
    <w:rsid w:val="00852C36"/>
    <w:rsid w:val="00852D1C"/>
    <w:rsid w:val="00853CF5"/>
    <w:rsid w:val="0085448E"/>
    <w:rsid w:val="00854645"/>
    <w:rsid w:val="00855A81"/>
    <w:rsid w:val="00856C94"/>
    <w:rsid w:val="00857544"/>
    <w:rsid w:val="00857FFE"/>
    <w:rsid w:val="008603BF"/>
    <w:rsid w:val="00860977"/>
    <w:rsid w:val="00861DC8"/>
    <w:rsid w:val="00862122"/>
    <w:rsid w:val="0086575D"/>
    <w:rsid w:val="00865F8E"/>
    <w:rsid w:val="008700B0"/>
    <w:rsid w:val="008701C1"/>
    <w:rsid w:val="00870E6F"/>
    <w:rsid w:val="00872AE6"/>
    <w:rsid w:val="00872B1B"/>
    <w:rsid w:val="00874D48"/>
    <w:rsid w:val="00880A02"/>
    <w:rsid w:val="008837E0"/>
    <w:rsid w:val="0088467C"/>
    <w:rsid w:val="00885158"/>
    <w:rsid w:val="0088560C"/>
    <w:rsid w:val="00885BF8"/>
    <w:rsid w:val="0088615C"/>
    <w:rsid w:val="008867FC"/>
    <w:rsid w:val="00886896"/>
    <w:rsid w:val="0089406B"/>
    <w:rsid w:val="00896F9D"/>
    <w:rsid w:val="0089776D"/>
    <w:rsid w:val="008A0BE8"/>
    <w:rsid w:val="008A1684"/>
    <w:rsid w:val="008A251E"/>
    <w:rsid w:val="008A2A07"/>
    <w:rsid w:val="008A430D"/>
    <w:rsid w:val="008A4C4F"/>
    <w:rsid w:val="008A566C"/>
    <w:rsid w:val="008A6A44"/>
    <w:rsid w:val="008A75EC"/>
    <w:rsid w:val="008B3A82"/>
    <w:rsid w:val="008B43B3"/>
    <w:rsid w:val="008B549A"/>
    <w:rsid w:val="008C00ED"/>
    <w:rsid w:val="008C031A"/>
    <w:rsid w:val="008C26DE"/>
    <w:rsid w:val="008C3260"/>
    <w:rsid w:val="008C42B5"/>
    <w:rsid w:val="008C6508"/>
    <w:rsid w:val="008C65D6"/>
    <w:rsid w:val="008C6BB7"/>
    <w:rsid w:val="008C6DFB"/>
    <w:rsid w:val="008C79C6"/>
    <w:rsid w:val="008D03F8"/>
    <w:rsid w:val="008D10F6"/>
    <w:rsid w:val="008D1336"/>
    <w:rsid w:val="008D16F7"/>
    <w:rsid w:val="008D1746"/>
    <w:rsid w:val="008D2F53"/>
    <w:rsid w:val="008D4E9F"/>
    <w:rsid w:val="008D66F3"/>
    <w:rsid w:val="008D67AB"/>
    <w:rsid w:val="008D6A23"/>
    <w:rsid w:val="008D6E72"/>
    <w:rsid w:val="008D7AFF"/>
    <w:rsid w:val="008E240D"/>
    <w:rsid w:val="008E3817"/>
    <w:rsid w:val="008E5397"/>
    <w:rsid w:val="008E5DC0"/>
    <w:rsid w:val="008E6751"/>
    <w:rsid w:val="008E78FC"/>
    <w:rsid w:val="008F3969"/>
    <w:rsid w:val="008F4188"/>
    <w:rsid w:val="008F4574"/>
    <w:rsid w:val="008F652D"/>
    <w:rsid w:val="008F78A2"/>
    <w:rsid w:val="008F7F15"/>
    <w:rsid w:val="0090036B"/>
    <w:rsid w:val="009004B3"/>
    <w:rsid w:val="00903325"/>
    <w:rsid w:val="00903962"/>
    <w:rsid w:val="00905CF5"/>
    <w:rsid w:val="0090726C"/>
    <w:rsid w:val="0091094A"/>
    <w:rsid w:val="009113FD"/>
    <w:rsid w:val="0091194A"/>
    <w:rsid w:val="00911DA8"/>
    <w:rsid w:val="0091528F"/>
    <w:rsid w:val="009225B3"/>
    <w:rsid w:val="00922F8D"/>
    <w:rsid w:val="009231C7"/>
    <w:rsid w:val="00923A4B"/>
    <w:rsid w:val="00924423"/>
    <w:rsid w:val="009265D5"/>
    <w:rsid w:val="00926F2E"/>
    <w:rsid w:val="009309A8"/>
    <w:rsid w:val="00931370"/>
    <w:rsid w:val="0093354F"/>
    <w:rsid w:val="00933748"/>
    <w:rsid w:val="00934C83"/>
    <w:rsid w:val="00936040"/>
    <w:rsid w:val="00937D90"/>
    <w:rsid w:val="00940C6E"/>
    <w:rsid w:val="00941218"/>
    <w:rsid w:val="00941373"/>
    <w:rsid w:val="00941C0D"/>
    <w:rsid w:val="00941E30"/>
    <w:rsid w:val="00943A67"/>
    <w:rsid w:val="00945253"/>
    <w:rsid w:val="00945762"/>
    <w:rsid w:val="009461AD"/>
    <w:rsid w:val="00946328"/>
    <w:rsid w:val="00951EE3"/>
    <w:rsid w:val="00954D24"/>
    <w:rsid w:val="00955D92"/>
    <w:rsid w:val="00956C03"/>
    <w:rsid w:val="009579A5"/>
    <w:rsid w:val="00963006"/>
    <w:rsid w:val="00963533"/>
    <w:rsid w:val="00964C64"/>
    <w:rsid w:val="00967E6E"/>
    <w:rsid w:val="00970A74"/>
    <w:rsid w:val="00971062"/>
    <w:rsid w:val="00974884"/>
    <w:rsid w:val="00977146"/>
    <w:rsid w:val="00980D13"/>
    <w:rsid w:val="00982662"/>
    <w:rsid w:val="009830B8"/>
    <w:rsid w:val="00985056"/>
    <w:rsid w:val="00985FB9"/>
    <w:rsid w:val="00986B60"/>
    <w:rsid w:val="00987D29"/>
    <w:rsid w:val="009914C8"/>
    <w:rsid w:val="00991834"/>
    <w:rsid w:val="00991D3F"/>
    <w:rsid w:val="00992DE0"/>
    <w:rsid w:val="009938ED"/>
    <w:rsid w:val="00995092"/>
    <w:rsid w:val="009950D4"/>
    <w:rsid w:val="00995406"/>
    <w:rsid w:val="009970D7"/>
    <w:rsid w:val="00997A53"/>
    <w:rsid w:val="009A15B1"/>
    <w:rsid w:val="009A5B6C"/>
    <w:rsid w:val="009A5F2E"/>
    <w:rsid w:val="009A6768"/>
    <w:rsid w:val="009B198F"/>
    <w:rsid w:val="009B2647"/>
    <w:rsid w:val="009B4157"/>
    <w:rsid w:val="009B6788"/>
    <w:rsid w:val="009B7A83"/>
    <w:rsid w:val="009C334F"/>
    <w:rsid w:val="009C355B"/>
    <w:rsid w:val="009C3801"/>
    <w:rsid w:val="009C3E1D"/>
    <w:rsid w:val="009C3F66"/>
    <w:rsid w:val="009C52A6"/>
    <w:rsid w:val="009C5A5B"/>
    <w:rsid w:val="009C5EBC"/>
    <w:rsid w:val="009C5EF7"/>
    <w:rsid w:val="009C664C"/>
    <w:rsid w:val="009D0F9E"/>
    <w:rsid w:val="009D1951"/>
    <w:rsid w:val="009D2059"/>
    <w:rsid w:val="009D20AB"/>
    <w:rsid w:val="009D2E5E"/>
    <w:rsid w:val="009D5CEE"/>
    <w:rsid w:val="009D74C8"/>
    <w:rsid w:val="009D75E1"/>
    <w:rsid w:val="009D7AF3"/>
    <w:rsid w:val="009E1599"/>
    <w:rsid w:val="009E1677"/>
    <w:rsid w:val="009E1D9C"/>
    <w:rsid w:val="009E1F81"/>
    <w:rsid w:val="009E2EB1"/>
    <w:rsid w:val="009E2F86"/>
    <w:rsid w:val="009E3E69"/>
    <w:rsid w:val="009E3EF0"/>
    <w:rsid w:val="009E4EF6"/>
    <w:rsid w:val="009F05FA"/>
    <w:rsid w:val="009F079C"/>
    <w:rsid w:val="009F18AE"/>
    <w:rsid w:val="009F3B7D"/>
    <w:rsid w:val="009F60A3"/>
    <w:rsid w:val="009F6F76"/>
    <w:rsid w:val="009F7C70"/>
    <w:rsid w:val="00A025F4"/>
    <w:rsid w:val="00A02A3E"/>
    <w:rsid w:val="00A02B59"/>
    <w:rsid w:val="00A03285"/>
    <w:rsid w:val="00A03936"/>
    <w:rsid w:val="00A06664"/>
    <w:rsid w:val="00A06AB8"/>
    <w:rsid w:val="00A076F4"/>
    <w:rsid w:val="00A10F57"/>
    <w:rsid w:val="00A1147B"/>
    <w:rsid w:val="00A12209"/>
    <w:rsid w:val="00A129EC"/>
    <w:rsid w:val="00A132C5"/>
    <w:rsid w:val="00A133E9"/>
    <w:rsid w:val="00A14E73"/>
    <w:rsid w:val="00A154FE"/>
    <w:rsid w:val="00A1685B"/>
    <w:rsid w:val="00A176B0"/>
    <w:rsid w:val="00A22994"/>
    <w:rsid w:val="00A22BE0"/>
    <w:rsid w:val="00A22D88"/>
    <w:rsid w:val="00A24A78"/>
    <w:rsid w:val="00A26E2C"/>
    <w:rsid w:val="00A27115"/>
    <w:rsid w:val="00A271B4"/>
    <w:rsid w:val="00A27CEA"/>
    <w:rsid w:val="00A303F2"/>
    <w:rsid w:val="00A32A0A"/>
    <w:rsid w:val="00A34805"/>
    <w:rsid w:val="00A351CB"/>
    <w:rsid w:val="00A368B1"/>
    <w:rsid w:val="00A36DF3"/>
    <w:rsid w:val="00A41742"/>
    <w:rsid w:val="00A430ED"/>
    <w:rsid w:val="00A439CA"/>
    <w:rsid w:val="00A43C5C"/>
    <w:rsid w:val="00A43C76"/>
    <w:rsid w:val="00A44443"/>
    <w:rsid w:val="00A456D0"/>
    <w:rsid w:val="00A469C6"/>
    <w:rsid w:val="00A46C12"/>
    <w:rsid w:val="00A47571"/>
    <w:rsid w:val="00A507AA"/>
    <w:rsid w:val="00A532DD"/>
    <w:rsid w:val="00A545C4"/>
    <w:rsid w:val="00A571C6"/>
    <w:rsid w:val="00A6237B"/>
    <w:rsid w:val="00A62E10"/>
    <w:rsid w:val="00A63E06"/>
    <w:rsid w:val="00A65730"/>
    <w:rsid w:val="00A66D73"/>
    <w:rsid w:val="00A672FB"/>
    <w:rsid w:val="00A707AF"/>
    <w:rsid w:val="00A71497"/>
    <w:rsid w:val="00A7166A"/>
    <w:rsid w:val="00A71C6E"/>
    <w:rsid w:val="00A72A8A"/>
    <w:rsid w:val="00A765C6"/>
    <w:rsid w:val="00A80AF5"/>
    <w:rsid w:val="00A80BCF"/>
    <w:rsid w:val="00A81DEF"/>
    <w:rsid w:val="00A8304D"/>
    <w:rsid w:val="00A83762"/>
    <w:rsid w:val="00A84920"/>
    <w:rsid w:val="00A84BA3"/>
    <w:rsid w:val="00A856E6"/>
    <w:rsid w:val="00A85B64"/>
    <w:rsid w:val="00A86EAB"/>
    <w:rsid w:val="00A86F60"/>
    <w:rsid w:val="00A90292"/>
    <w:rsid w:val="00A91D55"/>
    <w:rsid w:val="00A93029"/>
    <w:rsid w:val="00A96062"/>
    <w:rsid w:val="00AA15A0"/>
    <w:rsid w:val="00AA19C9"/>
    <w:rsid w:val="00AA2FE7"/>
    <w:rsid w:val="00AA43D6"/>
    <w:rsid w:val="00AA4492"/>
    <w:rsid w:val="00AA494B"/>
    <w:rsid w:val="00AB26AE"/>
    <w:rsid w:val="00AB32E4"/>
    <w:rsid w:val="00AB3BAF"/>
    <w:rsid w:val="00AB64FF"/>
    <w:rsid w:val="00AB66B7"/>
    <w:rsid w:val="00AB6B64"/>
    <w:rsid w:val="00AC0B74"/>
    <w:rsid w:val="00AC0B78"/>
    <w:rsid w:val="00AC16D6"/>
    <w:rsid w:val="00AC214A"/>
    <w:rsid w:val="00AC2FA2"/>
    <w:rsid w:val="00AC5531"/>
    <w:rsid w:val="00AC6E7F"/>
    <w:rsid w:val="00AC76B3"/>
    <w:rsid w:val="00AD0392"/>
    <w:rsid w:val="00AD044E"/>
    <w:rsid w:val="00AD3063"/>
    <w:rsid w:val="00AD30C3"/>
    <w:rsid w:val="00AD3352"/>
    <w:rsid w:val="00AD46F0"/>
    <w:rsid w:val="00AD5F73"/>
    <w:rsid w:val="00AD6DF8"/>
    <w:rsid w:val="00AE2FD3"/>
    <w:rsid w:val="00AE3D7F"/>
    <w:rsid w:val="00AE5916"/>
    <w:rsid w:val="00AE65E9"/>
    <w:rsid w:val="00AF380D"/>
    <w:rsid w:val="00AF3F53"/>
    <w:rsid w:val="00AF4BAD"/>
    <w:rsid w:val="00AF58D1"/>
    <w:rsid w:val="00AF7387"/>
    <w:rsid w:val="00AF7576"/>
    <w:rsid w:val="00B011D5"/>
    <w:rsid w:val="00B02848"/>
    <w:rsid w:val="00B03BDD"/>
    <w:rsid w:val="00B05A08"/>
    <w:rsid w:val="00B062D0"/>
    <w:rsid w:val="00B06597"/>
    <w:rsid w:val="00B06B51"/>
    <w:rsid w:val="00B07B0C"/>
    <w:rsid w:val="00B10746"/>
    <w:rsid w:val="00B10FE5"/>
    <w:rsid w:val="00B1126D"/>
    <w:rsid w:val="00B148BE"/>
    <w:rsid w:val="00B14D9E"/>
    <w:rsid w:val="00B15AAF"/>
    <w:rsid w:val="00B202E1"/>
    <w:rsid w:val="00B210A1"/>
    <w:rsid w:val="00B22D9B"/>
    <w:rsid w:val="00B24F9D"/>
    <w:rsid w:val="00B2584A"/>
    <w:rsid w:val="00B26020"/>
    <w:rsid w:val="00B26123"/>
    <w:rsid w:val="00B26F7D"/>
    <w:rsid w:val="00B27C6F"/>
    <w:rsid w:val="00B27F1D"/>
    <w:rsid w:val="00B30E77"/>
    <w:rsid w:val="00B31DBF"/>
    <w:rsid w:val="00B32362"/>
    <w:rsid w:val="00B353EC"/>
    <w:rsid w:val="00B36237"/>
    <w:rsid w:val="00B36843"/>
    <w:rsid w:val="00B37138"/>
    <w:rsid w:val="00B372D1"/>
    <w:rsid w:val="00B37D0F"/>
    <w:rsid w:val="00B40541"/>
    <w:rsid w:val="00B41499"/>
    <w:rsid w:val="00B427B9"/>
    <w:rsid w:val="00B42EE4"/>
    <w:rsid w:val="00B4337C"/>
    <w:rsid w:val="00B459A6"/>
    <w:rsid w:val="00B460E9"/>
    <w:rsid w:val="00B4764F"/>
    <w:rsid w:val="00B50D14"/>
    <w:rsid w:val="00B51BBE"/>
    <w:rsid w:val="00B553D6"/>
    <w:rsid w:val="00B55843"/>
    <w:rsid w:val="00B56D89"/>
    <w:rsid w:val="00B576A5"/>
    <w:rsid w:val="00B61214"/>
    <w:rsid w:val="00B61E53"/>
    <w:rsid w:val="00B649FC"/>
    <w:rsid w:val="00B6661D"/>
    <w:rsid w:val="00B672D8"/>
    <w:rsid w:val="00B704B3"/>
    <w:rsid w:val="00B711DB"/>
    <w:rsid w:val="00B719D4"/>
    <w:rsid w:val="00B739F5"/>
    <w:rsid w:val="00B81919"/>
    <w:rsid w:val="00B83D07"/>
    <w:rsid w:val="00B86A4D"/>
    <w:rsid w:val="00B86BFC"/>
    <w:rsid w:val="00B9106D"/>
    <w:rsid w:val="00B9129B"/>
    <w:rsid w:val="00B912E6"/>
    <w:rsid w:val="00B934FD"/>
    <w:rsid w:val="00B949F2"/>
    <w:rsid w:val="00B96109"/>
    <w:rsid w:val="00B97380"/>
    <w:rsid w:val="00BA3E60"/>
    <w:rsid w:val="00BA4001"/>
    <w:rsid w:val="00BA5366"/>
    <w:rsid w:val="00BA5B86"/>
    <w:rsid w:val="00BA65CB"/>
    <w:rsid w:val="00BB2429"/>
    <w:rsid w:val="00BB43C8"/>
    <w:rsid w:val="00BB4C00"/>
    <w:rsid w:val="00BB6FD5"/>
    <w:rsid w:val="00BB787A"/>
    <w:rsid w:val="00BC43CD"/>
    <w:rsid w:val="00BC54E9"/>
    <w:rsid w:val="00BD05BF"/>
    <w:rsid w:val="00BD53F3"/>
    <w:rsid w:val="00BD5578"/>
    <w:rsid w:val="00BD5625"/>
    <w:rsid w:val="00BD6189"/>
    <w:rsid w:val="00BD61A2"/>
    <w:rsid w:val="00BD6806"/>
    <w:rsid w:val="00BD6E26"/>
    <w:rsid w:val="00BD6FFD"/>
    <w:rsid w:val="00BE06F5"/>
    <w:rsid w:val="00BE1353"/>
    <w:rsid w:val="00BE484D"/>
    <w:rsid w:val="00BE4996"/>
    <w:rsid w:val="00BE4AC2"/>
    <w:rsid w:val="00BE5EFB"/>
    <w:rsid w:val="00BE78E1"/>
    <w:rsid w:val="00BF0617"/>
    <w:rsid w:val="00BF1150"/>
    <w:rsid w:val="00BF38F4"/>
    <w:rsid w:val="00BF3F51"/>
    <w:rsid w:val="00BF4201"/>
    <w:rsid w:val="00C00147"/>
    <w:rsid w:val="00C01CF7"/>
    <w:rsid w:val="00C05C4D"/>
    <w:rsid w:val="00C10863"/>
    <w:rsid w:val="00C108C5"/>
    <w:rsid w:val="00C12179"/>
    <w:rsid w:val="00C129C1"/>
    <w:rsid w:val="00C12AF7"/>
    <w:rsid w:val="00C14511"/>
    <w:rsid w:val="00C15441"/>
    <w:rsid w:val="00C1548E"/>
    <w:rsid w:val="00C15EDB"/>
    <w:rsid w:val="00C170E7"/>
    <w:rsid w:val="00C22D9D"/>
    <w:rsid w:val="00C2489F"/>
    <w:rsid w:val="00C2772A"/>
    <w:rsid w:val="00C333B8"/>
    <w:rsid w:val="00C35B52"/>
    <w:rsid w:val="00C36C94"/>
    <w:rsid w:val="00C37E05"/>
    <w:rsid w:val="00C4116C"/>
    <w:rsid w:val="00C4664A"/>
    <w:rsid w:val="00C47CBA"/>
    <w:rsid w:val="00C50054"/>
    <w:rsid w:val="00C507FD"/>
    <w:rsid w:val="00C50C78"/>
    <w:rsid w:val="00C51008"/>
    <w:rsid w:val="00C51152"/>
    <w:rsid w:val="00C51DC3"/>
    <w:rsid w:val="00C53EFE"/>
    <w:rsid w:val="00C54F32"/>
    <w:rsid w:val="00C55D29"/>
    <w:rsid w:val="00C563FB"/>
    <w:rsid w:val="00C56A03"/>
    <w:rsid w:val="00C56D78"/>
    <w:rsid w:val="00C57149"/>
    <w:rsid w:val="00C6365A"/>
    <w:rsid w:val="00C63795"/>
    <w:rsid w:val="00C639C9"/>
    <w:rsid w:val="00C640CA"/>
    <w:rsid w:val="00C66739"/>
    <w:rsid w:val="00C7171B"/>
    <w:rsid w:val="00C71D4D"/>
    <w:rsid w:val="00C7432A"/>
    <w:rsid w:val="00C75C96"/>
    <w:rsid w:val="00C75DEC"/>
    <w:rsid w:val="00C76719"/>
    <w:rsid w:val="00C7709E"/>
    <w:rsid w:val="00C875AC"/>
    <w:rsid w:val="00C87A94"/>
    <w:rsid w:val="00C92563"/>
    <w:rsid w:val="00C95858"/>
    <w:rsid w:val="00C96175"/>
    <w:rsid w:val="00C96958"/>
    <w:rsid w:val="00C970F0"/>
    <w:rsid w:val="00CA0A94"/>
    <w:rsid w:val="00CA659A"/>
    <w:rsid w:val="00CA675B"/>
    <w:rsid w:val="00CA6BB9"/>
    <w:rsid w:val="00CA6E1F"/>
    <w:rsid w:val="00CA788B"/>
    <w:rsid w:val="00CB17B5"/>
    <w:rsid w:val="00CB31F3"/>
    <w:rsid w:val="00CB6358"/>
    <w:rsid w:val="00CB78AB"/>
    <w:rsid w:val="00CC032A"/>
    <w:rsid w:val="00CC0A7F"/>
    <w:rsid w:val="00CC336A"/>
    <w:rsid w:val="00CC4248"/>
    <w:rsid w:val="00CC4565"/>
    <w:rsid w:val="00CC5E0C"/>
    <w:rsid w:val="00CC6927"/>
    <w:rsid w:val="00CC6AE7"/>
    <w:rsid w:val="00CC70A3"/>
    <w:rsid w:val="00CD3982"/>
    <w:rsid w:val="00CD444D"/>
    <w:rsid w:val="00CD496A"/>
    <w:rsid w:val="00CD4DC5"/>
    <w:rsid w:val="00CD6FE4"/>
    <w:rsid w:val="00CD79DE"/>
    <w:rsid w:val="00CD7B95"/>
    <w:rsid w:val="00CE0B53"/>
    <w:rsid w:val="00CE0E6F"/>
    <w:rsid w:val="00CE15B9"/>
    <w:rsid w:val="00CE1DD5"/>
    <w:rsid w:val="00CE256D"/>
    <w:rsid w:val="00CE46DA"/>
    <w:rsid w:val="00CE48BC"/>
    <w:rsid w:val="00CE5C5F"/>
    <w:rsid w:val="00CE76F3"/>
    <w:rsid w:val="00CE7DAA"/>
    <w:rsid w:val="00CF0D0E"/>
    <w:rsid w:val="00CF1B9D"/>
    <w:rsid w:val="00CF2544"/>
    <w:rsid w:val="00CF2B0D"/>
    <w:rsid w:val="00CF4D9D"/>
    <w:rsid w:val="00CF5548"/>
    <w:rsid w:val="00CF5BAC"/>
    <w:rsid w:val="00CF5BDB"/>
    <w:rsid w:val="00CF785C"/>
    <w:rsid w:val="00D00C39"/>
    <w:rsid w:val="00D01464"/>
    <w:rsid w:val="00D01997"/>
    <w:rsid w:val="00D01D31"/>
    <w:rsid w:val="00D036C0"/>
    <w:rsid w:val="00D05AFC"/>
    <w:rsid w:val="00D05F80"/>
    <w:rsid w:val="00D0743B"/>
    <w:rsid w:val="00D10CDA"/>
    <w:rsid w:val="00D12321"/>
    <w:rsid w:val="00D12B71"/>
    <w:rsid w:val="00D1332D"/>
    <w:rsid w:val="00D14CC0"/>
    <w:rsid w:val="00D15BD6"/>
    <w:rsid w:val="00D16209"/>
    <w:rsid w:val="00D16E3A"/>
    <w:rsid w:val="00D205B8"/>
    <w:rsid w:val="00D20AAB"/>
    <w:rsid w:val="00D20ACB"/>
    <w:rsid w:val="00D2364C"/>
    <w:rsid w:val="00D25A55"/>
    <w:rsid w:val="00D27609"/>
    <w:rsid w:val="00D30368"/>
    <w:rsid w:val="00D31B88"/>
    <w:rsid w:val="00D32F64"/>
    <w:rsid w:val="00D33B82"/>
    <w:rsid w:val="00D34626"/>
    <w:rsid w:val="00D36904"/>
    <w:rsid w:val="00D37149"/>
    <w:rsid w:val="00D3757F"/>
    <w:rsid w:val="00D40B87"/>
    <w:rsid w:val="00D4167F"/>
    <w:rsid w:val="00D4257A"/>
    <w:rsid w:val="00D42A3B"/>
    <w:rsid w:val="00D43ABB"/>
    <w:rsid w:val="00D45C94"/>
    <w:rsid w:val="00D508C7"/>
    <w:rsid w:val="00D520DF"/>
    <w:rsid w:val="00D53B6A"/>
    <w:rsid w:val="00D5505A"/>
    <w:rsid w:val="00D5553F"/>
    <w:rsid w:val="00D55CBC"/>
    <w:rsid w:val="00D568F5"/>
    <w:rsid w:val="00D56BDD"/>
    <w:rsid w:val="00D629CD"/>
    <w:rsid w:val="00D633FF"/>
    <w:rsid w:val="00D63625"/>
    <w:rsid w:val="00D63831"/>
    <w:rsid w:val="00D64080"/>
    <w:rsid w:val="00D64A38"/>
    <w:rsid w:val="00D66A6E"/>
    <w:rsid w:val="00D67A41"/>
    <w:rsid w:val="00D70E2B"/>
    <w:rsid w:val="00D727C4"/>
    <w:rsid w:val="00D73BDB"/>
    <w:rsid w:val="00D75537"/>
    <w:rsid w:val="00D75BC6"/>
    <w:rsid w:val="00D7606D"/>
    <w:rsid w:val="00D760C5"/>
    <w:rsid w:val="00D763EB"/>
    <w:rsid w:val="00D77861"/>
    <w:rsid w:val="00D77B6A"/>
    <w:rsid w:val="00D81868"/>
    <w:rsid w:val="00D81C8B"/>
    <w:rsid w:val="00D8277A"/>
    <w:rsid w:val="00D84BBC"/>
    <w:rsid w:val="00D85BB2"/>
    <w:rsid w:val="00D861B5"/>
    <w:rsid w:val="00D8745F"/>
    <w:rsid w:val="00D87AD7"/>
    <w:rsid w:val="00D91511"/>
    <w:rsid w:val="00D91573"/>
    <w:rsid w:val="00D93BD3"/>
    <w:rsid w:val="00D94E98"/>
    <w:rsid w:val="00D965C8"/>
    <w:rsid w:val="00D968AB"/>
    <w:rsid w:val="00D96919"/>
    <w:rsid w:val="00D9789E"/>
    <w:rsid w:val="00D97D5C"/>
    <w:rsid w:val="00D97EDC"/>
    <w:rsid w:val="00DA0573"/>
    <w:rsid w:val="00DA0D2C"/>
    <w:rsid w:val="00DA142F"/>
    <w:rsid w:val="00DA4605"/>
    <w:rsid w:val="00DA543D"/>
    <w:rsid w:val="00DB0B40"/>
    <w:rsid w:val="00DB0D1C"/>
    <w:rsid w:val="00DB23DD"/>
    <w:rsid w:val="00DB59CB"/>
    <w:rsid w:val="00DC0CDE"/>
    <w:rsid w:val="00DC0EF8"/>
    <w:rsid w:val="00DC1400"/>
    <w:rsid w:val="00DC55C9"/>
    <w:rsid w:val="00DC5D29"/>
    <w:rsid w:val="00DC66FA"/>
    <w:rsid w:val="00DD01C7"/>
    <w:rsid w:val="00DD1D7F"/>
    <w:rsid w:val="00DD2A03"/>
    <w:rsid w:val="00DD2BBF"/>
    <w:rsid w:val="00DD322D"/>
    <w:rsid w:val="00DD4ED3"/>
    <w:rsid w:val="00DD5CFD"/>
    <w:rsid w:val="00DD5D6E"/>
    <w:rsid w:val="00DD6E4E"/>
    <w:rsid w:val="00DE0467"/>
    <w:rsid w:val="00DE5807"/>
    <w:rsid w:val="00DE5E54"/>
    <w:rsid w:val="00DE67B0"/>
    <w:rsid w:val="00DE7642"/>
    <w:rsid w:val="00DF07F0"/>
    <w:rsid w:val="00DF0F47"/>
    <w:rsid w:val="00DF1188"/>
    <w:rsid w:val="00DF1E25"/>
    <w:rsid w:val="00DF2389"/>
    <w:rsid w:val="00DF29F5"/>
    <w:rsid w:val="00DF3CD3"/>
    <w:rsid w:val="00DF49BA"/>
    <w:rsid w:val="00DF4AC5"/>
    <w:rsid w:val="00DF4FF6"/>
    <w:rsid w:val="00DF619D"/>
    <w:rsid w:val="00DF6909"/>
    <w:rsid w:val="00DF736B"/>
    <w:rsid w:val="00E004F3"/>
    <w:rsid w:val="00E0152D"/>
    <w:rsid w:val="00E02D37"/>
    <w:rsid w:val="00E043AE"/>
    <w:rsid w:val="00E04E46"/>
    <w:rsid w:val="00E060D1"/>
    <w:rsid w:val="00E0624D"/>
    <w:rsid w:val="00E115AF"/>
    <w:rsid w:val="00E11FD5"/>
    <w:rsid w:val="00E12028"/>
    <w:rsid w:val="00E12CFF"/>
    <w:rsid w:val="00E13544"/>
    <w:rsid w:val="00E136C1"/>
    <w:rsid w:val="00E13E23"/>
    <w:rsid w:val="00E14493"/>
    <w:rsid w:val="00E17010"/>
    <w:rsid w:val="00E17330"/>
    <w:rsid w:val="00E1742A"/>
    <w:rsid w:val="00E239CE"/>
    <w:rsid w:val="00E2649A"/>
    <w:rsid w:val="00E26BFA"/>
    <w:rsid w:val="00E302E6"/>
    <w:rsid w:val="00E31448"/>
    <w:rsid w:val="00E31F90"/>
    <w:rsid w:val="00E327D7"/>
    <w:rsid w:val="00E335FF"/>
    <w:rsid w:val="00E3382E"/>
    <w:rsid w:val="00E35D1D"/>
    <w:rsid w:val="00E436F5"/>
    <w:rsid w:val="00E44330"/>
    <w:rsid w:val="00E4438C"/>
    <w:rsid w:val="00E448E0"/>
    <w:rsid w:val="00E457F3"/>
    <w:rsid w:val="00E458EC"/>
    <w:rsid w:val="00E46855"/>
    <w:rsid w:val="00E47533"/>
    <w:rsid w:val="00E5080B"/>
    <w:rsid w:val="00E52180"/>
    <w:rsid w:val="00E528AA"/>
    <w:rsid w:val="00E55886"/>
    <w:rsid w:val="00E57517"/>
    <w:rsid w:val="00E60CB6"/>
    <w:rsid w:val="00E60F82"/>
    <w:rsid w:val="00E63F53"/>
    <w:rsid w:val="00E70245"/>
    <w:rsid w:val="00E74F1F"/>
    <w:rsid w:val="00E779E1"/>
    <w:rsid w:val="00E77C58"/>
    <w:rsid w:val="00E81140"/>
    <w:rsid w:val="00E81D59"/>
    <w:rsid w:val="00E82202"/>
    <w:rsid w:val="00E8411A"/>
    <w:rsid w:val="00E849ED"/>
    <w:rsid w:val="00E85C6B"/>
    <w:rsid w:val="00E860F1"/>
    <w:rsid w:val="00E86D21"/>
    <w:rsid w:val="00E9051F"/>
    <w:rsid w:val="00E9059F"/>
    <w:rsid w:val="00E93479"/>
    <w:rsid w:val="00E9352E"/>
    <w:rsid w:val="00E9430A"/>
    <w:rsid w:val="00E943F8"/>
    <w:rsid w:val="00E95609"/>
    <w:rsid w:val="00E960A9"/>
    <w:rsid w:val="00E963BC"/>
    <w:rsid w:val="00E967FB"/>
    <w:rsid w:val="00E973D8"/>
    <w:rsid w:val="00EA1670"/>
    <w:rsid w:val="00EA1E60"/>
    <w:rsid w:val="00EA287B"/>
    <w:rsid w:val="00EA37B9"/>
    <w:rsid w:val="00EA3AA1"/>
    <w:rsid w:val="00EA3DA9"/>
    <w:rsid w:val="00EA4F69"/>
    <w:rsid w:val="00EA5660"/>
    <w:rsid w:val="00EA5EF0"/>
    <w:rsid w:val="00EA6ACD"/>
    <w:rsid w:val="00EA767C"/>
    <w:rsid w:val="00EB0346"/>
    <w:rsid w:val="00EB07F9"/>
    <w:rsid w:val="00EB2D4F"/>
    <w:rsid w:val="00EB372A"/>
    <w:rsid w:val="00EB3F46"/>
    <w:rsid w:val="00EB4372"/>
    <w:rsid w:val="00EB44EB"/>
    <w:rsid w:val="00EB62ED"/>
    <w:rsid w:val="00EB791E"/>
    <w:rsid w:val="00EB7E71"/>
    <w:rsid w:val="00EC037D"/>
    <w:rsid w:val="00EC0938"/>
    <w:rsid w:val="00EC0AF3"/>
    <w:rsid w:val="00EC14FA"/>
    <w:rsid w:val="00EC6045"/>
    <w:rsid w:val="00EC620E"/>
    <w:rsid w:val="00ED1B4D"/>
    <w:rsid w:val="00ED26A6"/>
    <w:rsid w:val="00ED33A1"/>
    <w:rsid w:val="00ED6407"/>
    <w:rsid w:val="00ED72AF"/>
    <w:rsid w:val="00ED7FC7"/>
    <w:rsid w:val="00EE0965"/>
    <w:rsid w:val="00EE0ABE"/>
    <w:rsid w:val="00EE172C"/>
    <w:rsid w:val="00EE1D2C"/>
    <w:rsid w:val="00EE2BCD"/>
    <w:rsid w:val="00EE2F0A"/>
    <w:rsid w:val="00EE2FAF"/>
    <w:rsid w:val="00EE34E2"/>
    <w:rsid w:val="00EE45C6"/>
    <w:rsid w:val="00EE7032"/>
    <w:rsid w:val="00EE76B8"/>
    <w:rsid w:val="00EE78A6"/>
    <w:rsid w:val="00EE7E6E"/>
    <w:rsid w:val="00EE7F5B"/>
    <w:rsid w:val="00EF1A55"/>
    <w:rsid w:val="00EF3347"/>
    <w:rsid w:val="00EF3C79"/>
    <w:rsid w:val="00EF40AC"/>
    <w:rsid w:val="00EF476A"/>
    <w:rsid w:val="00EF77E3"/>
    <w:rsid w:val="00F009DF"/>
    <w:rsid w:val="00F00AA3"/>
    <w:rsid w:val="00F0639A"/>
    <w:rsid w:val="00F07AAA"/>
    <w:rsid w:val="00F109D4"/>
    <w:rsid w:val="00F11313"/>
    <w:rsid w:val="00F120FC"/>
    <w:rsid w:val="00F146A6"/>
    <w:rsid w:val="00F14AD7"/>
    <w:rsid w:val="00F15975"/>
    <w:rsid w:val="00F211E3"/>
    <w:rsid w:val="00F2134D"/>
    <w:rsid w:val="00F21CB0"/>
    <w:rsid w:val="00F23459"/>
    <w:rsid w:val="00F23CC0"/>
    <w:rsid w:val="00F24791"/>
    <w:rsid w:val="00F251D1"/>
    <w:rsid w:val="00F2572B"/>
    <w:rsid w:val="00F272AB"/>
    <w:rsid w:val="00F30E57"/>
    <w:rsid w:val="00F30E9A"/>
    <w:rsid w:val="00F32E7F"/>
    <w:rsid w:val="00F33C6D"/>
    <w:rsid w:val="00F35972"/>
    <w:rsid w:val="00F35F02"/>
    <w:rsid w:val="00F36655"/>
    <w:rsid w:val="00F37449"/>
    <w:rsid w:val="00F417B5"/>
    <w:rsid w:val="00F41D5A"/>
    <w:rsid w:val="00F41E25"/>
    <w:rsid w:val="00F42688"/>
    <w:rsid w:val="00F42803"/>
    <w:rsid w:val="00F44835"/>
    <w:rsid w:val="00F46BBD"/>
    <w:rsid w:val="00F471B9"/>
    <w:rsid w:val="00F47564"/>
    <w:rsid w:val="00F51909"/>
    <w:rsid w:val="00F51ADD"/>
    <w:rsid w:val="00F51F77"/>
    <w:rsid w:val="00F55A7A"/>
    <w:rsid w:val="00F55ECB"/>
    <w:rsid w:val="00F64C57"/>
    <w:rsid w:val="00F651E1"/>
    <w:rsid w:val="00F6625F"/>
    <w:rsid w:val="00F66832"/>
    <w:rsid w:val="00F706B7"/>
    <w:rsid w:val="00F70DB1"/>
    <w:rsid w:val="00F71364"/>
    <w:rsid w:val="00F71F27"/>
    <w:rsid w:val="00F7300E"/>
    <w:rsid w:val="00F7681C"/>
    <w:rsid w:val="00F77C79"/>
    <w:rsid w:val="00F802AC"/>
    <w:rsid w:val="00F81BE7"/>
    <w:rsid w:val="00F8313D"/>
    <w:rsid w:val="00F83332"/>
    <w:rsid w:val="00F847DF"/>
    <w:rsid w:val="00F84803"/>
    <w:rsid w:val="00F85F1F"/>
    <w:rsid w:val="00F85FD2"/>
    <w:rsid w:val="00F86FC4"/>
    <w:rsid w:val="00F87C1E"/>
    <w:rsid w:val="00F90469"/>
    <w:rsid w:val="00F90D84"/>
    <w:rsid w:val="00F9136F"/>
    <w:rsid w:val="00F921B4"/>
    <w:rsid w:val="00F92DE2"/>
    <w:rsid w:val="00F93706"/>
    <w:rsid w:val="00F97333"/>
    <w:rsid w:val="00FA05D6"/>
    <w:rsid w:val="00FA19C4"/>
    <w:rsid w:val="00FA25AC"/>
    <w:rsid w:val="00FA4366"/>
    <w:rsid w:val="00FA4FCA"/>
    <w:rsid w:val="00FA54EC"/>
    <w:rsid w:val="00FA5BC0"/>
    <w:rsid w:val="00FB1CE7"/>
    <w:rsid w:val="00FB2F8B"/>
    <w:rsid w:val="00FB4B9D"/>
    <w:rsid w:val="00FB5F79"/>
    <w:rsid w:val="00FC08FD"/>
    <w:rsid w:val="00FC0DF2"/>
    <w:rsid w:val="00FC122D"/>
    <w:rsid w:val="00FC20DF"/>
    <w:rsid w:val="00FC21B2"/>
    <w:rsid w:val="00FC2EEC"/>
    <w:rsid w:val="00FC36B4"/>
    <w:rsid w:val="00FC45F5"/>
    <w:rsid w:val="00FC6407"/>
    <w:rsid w:val="00FC6BB9"/>
    <w:rsid w:val="00FC6CFA"/>
    <w:rsid w:val="00FC723E"/>
    <w:rsid w:val="00FD0E0B"/>
    <w:rsid w:val="00FD1DA2"/>
    <w:rsid w:val="00FD4A64"/>
    <w:rsid w:val="00FD51AF"/>
    <w:rsid w:val="00FD5A2D"/>
    <w:rsid w:val="00FD63A1"/>
    <w:rsid w:val="00FD6C51"/>
    <w:rsid w:val="00FD6FDF"/>
    <w:rsid w:val="00FE1B42"/>
    <w:rsid w:val="00FE46C1"/>
    <w:rsid w:val="00FE46EE"/>
    <w:rsid w:val="00FE5C24"/>
    <w:rsid w:val="00FE6F03"/>
    <w:rsid w:val="00FE795E"/>
    <w:rsid w:val="00FE7FFC"/>
    <w:rsid w:val="00FF1057"/>
    <w:rsid w:val="00FF12EB"/>
    <w:rsid w:val="00FF133C"/>
    <w:rsid w:val="00FF1B6F"/>
    <w:rsid w:val="00FF3705"/>
    <w:rsid w:val="00FF429C"/>
    <w:rsid w:val="00FF47A0"/>
    <w:rsid w:val="00FF49A7"/>
    <w:rsid w:val="00FF52E5"/>
    <w:rsid w:val="00FF5BD4"/>
    <w:rsid w:val="00FF7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FD19CDA"/>
  <w15:docId w15:val="{2C70E9E8-B097-4361-A642-8CD79338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F2E"/>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paragraph" w:styleId="Heading6">
    <w:name w:val="heading 6"/>
    <w:basedOn w:val="Normal"/>
    <w:next w:val="Normal"/>
    <w:link w:val="Heading6Char"/>
    <w:uiPriority w:val="9"/>
    <w:semiHidden/>
    <w:unhideWhenUsed/>
    <w:qFormat/>
    <w:rsid w:val="0016437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customStyle="1" w:styleId="EMparagraph">
    <w:name w:val="EM paragraph"/>
    <w:basedOn w:val="Normal"/>
    <w:rsid w:val="00221988"/>
    <w:pPr>
      <w:widowControl w:val="0"/>
      <w:adjustRightInd w:val="0"/>
      <w:spacing w:before="0" w:after="240"/>
      <w:ind w:right="85"/>
    </w:pPr>
  </w:style>
  <w:style w:type="paragraph" w:styleId="ListParagraph">
    <w:name w:val="List Paragraph"/>
    <w:basedOn w:val="Normal"/>
    <w:uiPriority w:val="34"/>
    <w:qFormat/>
    <w:rsid w:val="00221988"/>
    <w:pPr>
      <w:ind w:left="720"/>
      <w:contextualSpacing/>
    </w:pPr>
  </w:style>
  <w:style w:type="character" w:styleId="CommentReference">
    <w:name w:val="annotation reference"/>
    <w:basedOn w:val="DefaultParagraphFont"/>
    <w:uiPriority w:val="99"/>
    <w:unhideWhenUsed/>
    <w:rsid w:val="005F76E3"/>
    <w:rPr>
      <w:sz w:val="16"/>
      <w:szCs w:val="16"/>
    </w:rPr>
  </w:style>
  <w:style w:type="paragraph" w:styleId="CommentText">
    <w:name w:val="annotation text"/>
    <w:basedOn w:val="Normal"/>
    <w:link w:val="CommentTextChar"/>
    <w:uiPriority w:val="99"/>
    <w:semiHidden/>
    <w:unhideWhenUsed/>
    <w:rsid w:val="005F76E3"/>
    <w:rPr>
      <w:sz w:val="20"/>
    </w:rPr>
  </w:style>
  <w:style w:type="character" w:customStyle="1" w:styleId="CommentTextChar">
    <w:name w:val="Comment Text Char"/>
    <w:basedOn w:val="DefaultParagraphFont"/>
    <w:link w:val="CommentText"/>
    <w:uiPriority w:val="99"/>
    <w:semiHidden/>
    <w:rsid w:val="005F76E3"/>
  </w:style>
  <w:style w:type="paragraph" w:styleId="CommentSubject">
    <w:name w:val="annotation subject"/>
    <w:basedOn w:val="CommentText"/>
    <w:next w:val="CommentText"/>
    <w:link w:val="CommentSubjectChar"/>
    <w:uiPriority w:val="99"/>
    <w:semiHidden/>
    <w:unhideWhenUsed/>
    <w:rsid w:val="005F76E3"/>
    <w:rPr>
      <w:b/>
      <w:bCs/>
    </w:rPr>
  </w:style>
  <w:style w:type="character" w:customStyle="1" w:styleId="CommentSubjectChar">
    <w:name w:val="Comment Subject Char"/>
    <w:basedOn w:val="CommentTextChar"/>
    <w:link w:val="CommentSubject"/>
    <w:uiPriority w:val="99"/>
    <w:semiHidden/>
    <w:rsid w:val="005F76E3"/>
    <w:rPr>
      <w:b/>
      <w:bCs/>
    </w:rPr>
  </w:style>
  <w:style w:type="character" w:customStyle="1" w:styleId="TitleChar">
    <w:name w:val="Title Char"/>
    <w:basedOn w:val="DefaultParagraphFont"/>
    <w:link w:val="Title"/>
    <w:rsid w:val="00B30E77"/>
    <w:rPr>
      <w:b/>
      <w:sz w:val="24"/>
    </w:rPr>
  </w:style>
  <w:style w:type="paragraph" w:styleId="ListBullet">
    <w:name w:val="List Bullet"/>
    <w:basedOn w:val="Normal"/>
    <w:uiPriority w:val="99"/>
    <w:unhideWhenUsed/>
    <w:rsid w:val="007025D4"/>
    <w:pPr>
      <w:numPr>
        <w:numId w:val="10"/>
      </w:numPr>
      <w:contextualSpacing/>
    </w:pPr>
  </w:style>
  <w:style w:type="paragraph" w:styleId="FootnoteText">
    <w:name w:val="footnote text"/>
    <w:basedOn w:val="Normal"/>
    <w:link w:val="FootnoteTextChar"/>
    <w:uiPriority w:val="99"/>
    <w:semiHidden/>
    <w:unhideWhenUsed/>
    <w:rsid w:val="00CF785C"/>
    <w:pPr>
      <w:spacing w:before="0" w:after="0"/>
    </w:pPr>
    <w:rPr>
      <w:sz w:val="20"/>
    </w:rPr>
  </w:style>
  <w:style w:type="character" w:customStyle="1" w:styleId="FootnoteTextChar">
    <w:name w:val="Footnote Text Char"/>
    <w:basedOn w:val="DefaultParagraphFont"/>
    <w:link w:val="FootnoteText"/>
    <w:uiPriority w:val="99"/>
    <w:semiHidden/>
    <w:rsid w:val="00CF785C"/>
  </w:style>
  <w:style w:type="character" w:styleId="FootnoteReference">
    <w:name w:val="footnote reference"/>
    <w:basedOn w:val="DefaultParagraphFont"/>
    <w:uiPriority w:val="99"/>
    <w:semiHidden/>
    <w:unhideWhenUsed/>
    <w:rsid w:val="00CF785C"/>
    <w:rPr>
      <w:vertAlign w:val="superscript"/>
    </w:rPr>
  </w:style>
  <w:style w:type="table" w:styleId="TableGrid">
    <w:name w:val="Table Grid"/>
    <w:basedOn w:val="TableNormal"/>
    <w:uiPriority w:val="59"/>
    <w:rsid w:val="00AC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0C6869"/>
    <w:pPr>
      <w:numPr>
        <w:numId w:val="26"/>
      </w:numPr>
      <w:spacing w:before="0" w:after="200" w:line="276" w:lineRule="auto"/>
    </w:pPr>
    <w:rPr>
      <w:rFonts w:ascii="Arial" w:eastAsia="Calibri" w:hAnsi="Arial"/>
      <w:sz w:val="22"/>
      <w:szCs w:val="22"/>
      <w:lang w:eastAsia="en-US"/>
    </w:rPr>
  </w:style>
  <w:style w:type="paragraph" w:styleId="ListNumber2">
    <w:name w:val="List Number 2"/>
    <w:basedOn w:val="Normal"/>
    <w:uiPriority w:val="99"/>
    <w:rsid w:val="000C6869"/>
    <w:pPr>
      <w:numPr>
        <w:ilvl w:val="1"/>
        <w:numId w:val="26"/>
      </w:numPr>
      <w:spacing w:before="0" w:after="200" w:line="276" w:lineRule="auto"/>
    </w:pPr>
    <w:rPr>
      <w:rFonts w:ascii="Arial" w:eastAsia="Calibri" w:hAnsi="Arial"/>
      <w:sz w:val="22"/>
      <w:szCs w:val="22"/>
      <w:lang w:eastAsia="en-US"/>
    </w:rPr>
  </w:style>
  <w:style w:type="paragraph" w:styleId="ListNumber3">
    <w:name w:val="List Number 3"/>
    <w:basedOn w:val="Normal"/>
    <w:uiPriority w:val="99"/>
    <w:rsid w:val="000C6869"/>
    <w:pPr>
      <w:numPr>
        <w:ilvl w:val="2"/>
        <w:numId w:val="26"/>
      </w:numPr>
      <w:spacing w:before="0" w:after="200" w:line="276" w:lineRule="auto"/>
    </w:pPr>
    <w:rPr>
      <w:rFonts w:ascii="Arial" w:eastAsia="Calibri" w:hAnsi="Arial"/>
      <w:sz w:val="22"/>
      <w:szCs w:val="22"/>
      <w:lang w:eastAsia="en-US"/>
    </w:rPr>
  </w:style>
  <w:style w:type="paragraph" w:styleId="ListNumber4">
    <w:name w:val="List Number 4"/>
    <w:basedOn w:val="Normal"/>
    <w:uiPriority w:val="99"/>
    <w:rsid w:val="000C6869"/>
    <w:pPr>
      <w:numPr>
        <w:ilvl w:val="3"/>
        <w:numId w:val="26"/>
      </w:numPr>
      <w:spacing w:before="0" w:after="200" w:line="276" w:lineRule="auto"/>
    </w:pPr>
    <w:rPr>
      <w:rFonts w:ascii="Arial" w:eastAsia="Calibri" w:hAnsi="Arial"/>
      <w:sz w:val="22"/>
      <w:szCs w:val="22"/>
      <w:lang w:eastAsia="en-US"/>
    </w:rPr>
  </w:style>
  <w:style w:type="paragraph" w:styleId="ListNumber5">
    <w:name w:val="List Number 5"/>
    <w:basedOn w:val="Normal"/>
    <w:uiPriority w:val="99"/>
    <w:rsid w:val="000C6869"/>
    <w:pPr>
      <w:numPr>
        <w:ilvl w:val="4"/>
        <w:numId w:val="26"/>
      </w:numPr>
      <w:spacing w:before="0" w:after="200" w:line="276" w:lineRule="auto"/>
    </w:pPr>
    <w:rPr>
      <w:rFonts w:ascii="Arial" w:eastAsia="Calibri" w:hAnsi="Arial"/>
      <w:sz w:val="22"/>
      <w:szCs w:val="22"/>
      <w:lang w:eastAsia="en-US"/>
    </w:rPr>
  </w:style>
  <w:style w:type="character" w:customStyle="1" w:styleId="Heading6Char">
    <w:name w:val="Heading 6 Char"/>
    <w:basedOn w:val="DefaultParagraphFont"/>
    <w:link w:val="Heading6"/>
    <w:uiPriority w:val="9"/>
    <w:semiHidden/>
    <w:rsid w:val="0016437F"/>
    <w:rPr>
      <w:rFonts w:asciiTheme="majorHAnsi" w:eastAsiaTheme="majorEastAsia" w:hAnsiTheme="majorHAnsi" w:cstheme="majorBidi"/>
      <w:color w:val="243F60" w:themeColor="accent1" w:themeShade="7F"/>
      <w:sz w:val="24"/>
    </w:rPr>
  </w:style>
  <w:style w:type="paragraph" w:customStyle="1" w:styleId="Normal1">
    <w:name w:val="Normal1"/>
    <w:basedOn w:val="Normal"/>
    <w:link w:val="NormalChar"/>
    <w:qFormat/>
    <w:rsid w:val="00663792"/>
    <w:pPr>
      <w:spacing w:before="240" w:after="0" w:line="312" w:lineRule="auto"/>
    </w:pPr>
    <w:rPr>
      <w:sz w:val="22"/>
      <w:lang w:eastAsia="en-US"/>
    </w:rPr>
  </w:style>
  <w:style w:type="character" w:customStyle="1" w:styleId="NormalChar">
    <w:name w:val="Normal Char"/>
    <w:link w:val="Normal1"/>
    <w:rsid w:val="00663792"/>
    <w:rPr>
      <w:sz w:val="22"/>
      <w:lang w:eastAsia="en-US"/>
    </w:rPr>
  </w:style>
  <w:style w:type="paragraph" w:styleId="Footer">
    <w:name w:val="footer"/>
    <w:basedOn w:val="Normal"/>
    <w:link w:val="FooterChar"/>
    <w:uiPriority w:val="99"/>
    <w:unhideWhenUsed/>
    <w:rsid w:val="0088560C"/>
    <w:pPr>
      <w:tabs>
        <w:tab w:val="center" w:pos="4513"/>
        <w:tab w:val="right" w:pos="9026"/>
      </w:tabs>
      <w:spacing w:before="0" w:after="0"/>
    </w:pPr>
    <w:rPr>
      <w:rFonts w:ascii="Arial" w:eastAsia="Calibri" w:hAnsi="Arial"/>
      <w:sz w:val="22"/>
      <w:szCs w:val="22"/>
      <w:lang w:eastAsia="en-US"/>
    </w:rPr>
  </w:style>
  <w:style w:type="character" w:customStyle="1" w:styleId="FooterChar">
    <w:name w:val="Footer Char"/>
    <w:basedOn w:val="DefaultParagraphFont"/>
    <w:link w:val="Footer"/>
    <w:uiPriority w:val="99"/>
    <w:rsid w:val="0088560C"/>
    <w:rPr>
      <w:rFonts w:ascii="Arial" w:eastAsia="Calibri" w:hAnsi="Arial"/>
      <w:sz w:val="22"/>
      <w:szCs w:val="22"/>
      <w:lang w:eastAsia="en-US"/>
    </w:rPr>
  </w:style>
  <w:style w:type="character" w:customStyle="1" w:styleId="CharSectno">
    <w:name w:val="CharSectno"/>
    <w:basedOn w:val="DefaultParagraphFont"/>
    <w:qFormat/>
    <w:rsid w:val="0088560C"/>
  </w:style>
  <w:style w:type="character" w:customStyle="1" w:styleId="CharDivNo">
    <w:name w:val="CharDivNo"/>
    <w:basedOn w:val="DefaultParagraphFont"/>
    <w:qFormat/>
    <w:rsid w:val="00C15EDB"/>
  </w:style>
  <w:style w:type="paragraph" w:customStyle="1" w:styleId="Tabletext">
    <w:name w:val="Tabletext"/>
    <w:aliases w:val="tt"/>
    <w:basedOn w:val="Normal"/>
    <w:rsid w:val="00EA1670"/>
    <w:pPr>
      <w:spacing w:before="60" w:after="0" w:line="240" w:lineRule="atLeast"/>
    </w:pPr>
    <w:rPr>
      <w:sz w:val="20"/>
    </w:rPr>
  </w:style>
  <w:style w:type="paragraph" w:customStyle="1" w:styleId="TableHeading">
    <w:name w:val="TableHeading"/>
    <w:aliases w:val="th"/>
    <w:basedOn w:val="Normal"/>
    <w:next w:val="Tabletext"/>
    <w:rsid w:val="00EA1670"/>
    <w:pPr>
      <w:keepNext/>
      <w:spacing w:before="60" w:after="0" w:line="240" w:lineRule="atLeast"/>
    </w:pPr>
    <w:rPr>
      <w:b/>
      <w:sz w:val="20"/>
    </w:rPr>
  </w:style>
  <w:style w:type="character" w:customStyle="1" w:styleId="CharSubdNo">
    <w:name w:val="CharSubdNo"/>
    <w:basedOn w:val="DefaultParagraphFont"/>
    <w:uiPriority w:val="1"/>
    <w:qFormat/>
    <w:rsid w:val="00F51ADD"/>
  </w:style>
  <w:style w:type="character" w:customStyle="1" w:styleId="CharDivText">
    <w:name w:val="CharDivText"/>
    <w:basedOn w:val="DefaultParagraphFont"/>
    <w:qFormat/>
    <w:rsid w:val="00F51ADD"/>
  </w:style>
  <w:style w:type="paragraph" w:styleId="Header">
    <w:name w:val="header"/>
    <w:basedOn w:val="Normal"/>
    <w:link w:val="HeaderChar"/>
    <w:uiPriority w:val="99"/>
    <w:semiHidden/>
    <w:unhideWhenUsed/>
    <w:rsid w:val="00006FA6"/>
    <w:pPr>
      <w:tabs>
        <w:tab w:val="center" w:pos="4513"/>
        <w:tab w:val="right" w:pos="9026"/>
      </w:tabs>
      <w:spacing w:before="0" w:after="0"/>
    </w:pPr>
  </w:style>
  <w:style w:type="character" w:customStyle="1" w:styleId="HeaderChar">
    <w:name w:val="Header Char"/>
    <w:basedOn w:val="DefaultParagraphFont"/>
    <w:link w:val="Header"/>
    <w:uiPriority w:val="99"/>
    <w:semiHidden/>
    <w:rsid w:val="00006FA6"/>
    <w:rPr>
      <w:sz w:val="24"/>
    </w:rPr>
  </w:style>
  <w:style w:type="character" w:customStyle="1" w:styleId="CharSubdText">
    <w:name w:val="CharSubdText"/>
    <w:basedOn w:val="DefaultParagraphFont"/>
    <w:uiPriority w:val="1"/>
    <w:qFormat/>
    <w:rsid w:val="00613826"/>
  </w:style>
  <w:style w:type="paragraph" w:customStyle="1" w:styleId="sbFirstSection">
    <w:name w:val="sb_First_Section"/>
    <w:basedOn w:val="Normal"/>
    <w:qFormat/>
    <w:rsid w:val="007912BB"/>
    <w:pPr>
      <w:spacing w:before="0" w:after="0" w:line="160" w:lineRule="exact"/>
    </w:pPr>
    <w:rPr>
      <w:rFonts w:eastAsia="Calibri"/>
      <w:sz w:val="16"/>
      <w:lang w:eastAsia="en-US"/>
    </w:rPr>
  </w:style>
  <w:style w:type="paragraph" w:styleId="Revision">
    <w:name w:val="Revision"/>
    <w:hidden/>
    <w:uiPriority w:val="99"/>
    <w:semiHidden/>
    <w:rsid w:val="00C970F0"/>
    <w:rPr>
      <w:sz w:val="24"/>
    </w:rPr>
  </w:style>
  <w:style w:type="paragraph" w:customStyle="1" w:styleId="h5SchItem">
    <w:name w:val="h5_Sch_Item"/>
    <w:basedOn w:val="Normal"/>
    <w:next w:val="Normal"/>
    <w:qFormat/>
    <w:rsid w:val="007D38F7"/>
    <w:pPr>
      <w:keepNext/>
      <w:keepLines/>
      <w:spacing w:before="360" w:after="60"/>
      <w:ind w:left="964" w:hanging="964"/>
    </w:pPr>
    <w:rPr>
      <w:rFonts w:ascii="Arial" w:hAnsi="Arial" w:cs="Arial"/>
      <w:b/>
      <w:bCs/>
      <w:kern w:val="32"/>
      <w:szCs w:val="32"/>
    </w:rPr>
  </w:style>
  <w:style w:type="paragraph" w:styleId="Caption">
    <w:name w:val="caption"/>
    <w:basedOn w:val="Normal"/>
    <w:next w:val="Normal"/>
    <w:uiPriority w:val="35"/>
    <w:unhideWhenUsed/>
    <w:qFormat/>
    <w:rsid w:val="003F47E4"/>
    <w:pPr>
      <w:spacing w:before="0"/>
    </w:pPr>
    <w:rPr>
      <w:rFonts w:asciiTheme="minorHAnsi" w:eastAsiaTheme="minorHAnsi" w:hAnsiTheme="minorHAnsi" w:cstheme="minorBidi"/>
      <w:i/>
      <w:iCs/>
      <w:color w:val="1F497D" w:themeColor="text2"/>
      <w:sz w:val="22"/>
      <w:szCs w:val="18"/>
      <w:lang w:eastAsia="en-US"/>
    </w:rPr>
  </w:style>
  <w:style w:type="character" w:styleId="FollowedHyperlink">
    <w:name w:val="FollowedHyperlink"/>
    <w:basedOn w:val="DefaultParagraphFont"/>
    <w:uiPriority w:val="99"/>
    <w:semiHidden/>
    <w:unhideWhenUsed/>
    <w:rsid w:val="007A5F44"/>
    <w:rPr>
      <w:color w:val="800080" w:themeColor="followedHyperlink"/>
      <w:u w:val="single"/>
    </w:rPr>
  </w:style>
  <w:style w:type="paragraph" w:customStyle="1" w:styleId="definition">
    <w:name w:val="definition"/>
    <w:basedOn w:val="Normal"/>
    <w:rsid w:val="00A02B59"/>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56119">
      <w:bodyDiv w:val="1"/>
      <w:marLeft w:val="0"/>
      <w:marRight w:val="0"/>
      <w:marTop w:val="0"/>
      <w:marBottom w:val="0"/>
      <w:divBdr>
        <w:top w:val="none" w:sz="0" w:space="0" w:color="auto"/>
        <w:left w:val="none" w:sz="0" w:space="0" w:color="auto"/>
        <w:bottom w:val="none" w:sz="0" w:space="0" w:color="auto"/>
        <w:right w:val="none" w:sz="0" w:space="0" w:color="auto"/>
      </w:divBdr>
    </w:div>
    <w:div w:id="356808760">
      <w:bodyDiv w:val="1"/>
      <w:marLeft w:val="0"/>
      <w:marRight w:val="0"/>
      <w:marTop w:val="0"/>
      <w:marBottom w:val="0"/>
      <w:divBdr>
        <w:top w:val="none" w:sz="0" w:space="0" w:color="auto"/>
        <w:left w:val="none" w:sz="0" w:space="0" w:color="auto"/>
        <w:bottom w:val="none" w:sz="0" w:space="0" w:color="auto"/>
        <w:right w:val="none" w:sz="0" w:space="0" w:color="auto"/>
      </w:divBdr>
    </w:div>
    <w:div w:id="428894475">
      <w:bodyDiv w:val="1"/>
      <w:marLeft w:val="0"/>
      <w:marRight w:val="0"/>
      <w:marTop w:val="0"/>
      <w:marBottom w:val="0"/>
      <w:divBdr>
        <w:top w:val="none" w:sz="0" w:space="0" w:color="auto"/>
        <w:left w:val="none" w:sz="0" w:space="0" w:color="auto"/>
        <w:bottom w:val="none" w:sz="0" w:space="0" w:color="auto"/>
        <w:right w:val="none" w:sz="0" w:space="0" w:color="auto"/>
      </w:divBdr>
    </w:div>
    <w:div w:id="487593338">
      <w:bodyDiv w:val="1"/>
      <w:marLeft w:val="0"/>
      <w:marRight w:val="0"/>
      <w:marTop w:val="0"/>
      <w:marBottom w:val="0"/>
      <w:divBdr>
        <w:top w:val="none" w:sz="0" w:space="0" w:color="auto"/>
        <w:left w:val="none" w:sz="0" w:space="0" w:color="auto"/>
        <w:bottom w:val="none" w:sz="0" w:space="0" w:color="auto"/>
        <w:right w:val="none" w:sz="0" w:space="0" w:color="auto"/>
      </w:divBdr>
    </w:div>
    <w:div w:id="490484220">
      <w:bodyDiv w:val="1"/>
      <w:marLeft w:val="0"/>
      <w:marRight w:val="0"/>
      <w:marTop w:val="0"/>
      <w:marBottom w:val="0"/>
      <w:divBdr>
        <w:top w:val="none" w:sz="0" w:space="0" w:color="auto"/>
        <w:left w:val="none" w:sz="0" w:space="0" w:color="auto"/>
        <w:bottom w:val="none" w:sz="0" w:space="0" w:color="auto"/>
        <w:right w:val="none" w:sz="0" w:space="0" w:color="auto"/>
      </w:divBdr>
    </w:div>
    <w:div w:id="1173840860">
      <w:bodyDiv w:val="1"/>
      <w:marLeft w:val="0"/>
      <w:marRight w:val="0"/>
      <w:marTop w:val="0"/>
      <w:marBottom w:val="0"/>
      <w:divBdr>
        <w:top w:val="none" w:sz="0" w:space="0" w:color="auto"/>
        <w:left w:val="none" w:sz="0" w:space="0" w:color="auto"/>
        <w:bottom w:val="none" w:sz="0" w:space="0" w:color="auto"/>
        <w:right w:val="none" w:sz="0" w:space="0" w:color="auto"/>
      </w:divBdr>
    </w:div>
    <w:div w:id="1218394704">
      <w:bodyDiv w:val="1"/>
      <w:marLeft w:val="0"/>
      <w:marRight w:val="0"/>
      <w:marTop w:val="0"/>
      <w:marBottom w:val="0"/>
      <w:divBdr>
        <w:top w:val="none" w:sz="0" w:space="0" w:color="auto"/>
        <w:left w:val="none" w:sz="0" w:space="0" w:color="auto"/>
        <w:bottom w:val="none" w:sz="0" w:space="0" w:color="auto"/>
        <w:right w:val="none" w:sz="0" w:space="0" w:color="auto"/>
      </w:divBdr>
    </w:div>
    <w:div w:id="1349527239">
      <w:bodyDiv w:val="1"/>
      <w:marLeft w:val="0"/>
      <w:marRight w:val="0"/>
      <w:marTop w:val="0"/>
      <w:marBottom w:val="0"/>
      <w:divBdr>
        <w:top w:val="none" w:sz="0" w:space="0" w:color="auto"/>
        <w:left w:val="none" w:sz="0" w:space="0" w:color="auto"/>
        <w:bottom w:val="none" w:sz="0" w:space="0" w:color="auto"/>
        <w:right w:val="none" w:sz="0" w:space="0" w:color="auto"/>
      </w:divBdr>
    </w:div>
    <w:div w:id="14531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leanenergyregulator.gov.au/ERF/Pages/News%20and%20updates/News-item.aspx?ListId=19b4efbb-6f5d-4637-94c4-121c1f96fcfe&amp;ItemId=1044" TargetMode="External"/><Relationship Id="rId18" Type="http://schemas.openxmlformats.org/officeDocument/2006/relationships/hyperlink" Target="https://webstore.ansi.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consult.industry.gov.au/2022-nger-scheme-proposed-updates" TargetMode="External"/><Relationship Id="rId17" Type="http://schemas.openxmlformats.org/officeDocument/2006/relationships/hyperlink" Target="https://www.saiglobal.com/" TargetMode="External"/><Relationship Id="rId2" Type="http://schemas.openxmlformats.org/officeDocument/2006/relationships/customXml" Target="../customXml/item2.xml"/><Relationship Id="rId16" Type="http://schemas.openxmlformats.org/officeDocument/2006/relationships/hyperlink" Target="https://www.astm.org/d6866-20.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sc.vic.gov.au/electricity-and-gas/tariffs-and-benchmarks/unaccounted-gas-benchmarks/unaccounted-gas-benchmarks-review-2017"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nsult.industry.gov.au/2022-nger-scheme-proposed-updat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Xco%20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16" ma:contentTypeDescription="Create a new document." ma:contentTypeScope="" ma:versionID="b142198f7d618217ca4d588324628a22">
  <xsd:schema xmlns:xsd="http://www.w3.org/2001/XMLSchema" xmlns:xs="http://www.w3.org/2001/XMLSchema" xmlns:p="http://schemas.microsoft.com/office/2006/metadata/properties" xmlns:ns1="http://schemas.microsoft.com/sharepoint/v3" xmlns:ns2="a36bd50b-1532-4c22-b385-5c082c960938" xmlns:ns3="8c4c6479-bb6a-4263-8159-fbb0afc5d491" xmlns:ns4="http://schemas.microsoft.com/sharepoint/v4" targetNamespace="http://schemas.microsoft.com/office/2006/metadata/properties" ma:root="true" ma:fieldsID="8450c8a8134105b96fe704b01b8bec5c" ns1:_="" ns2:_="" ns3:_="" ns4:_="">
    <xsd:import namespace="http://schemas.microsoft.com/sharepoint/v3"/>
    <xsd:import namespace="a36bd50b-1532-4c22-b385-5c082c960938"/>
    <xsd:import namespace="8c4c6479-bb6a-4263-8159-fbb0afc5d49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pd20deaf94a24430b0a49144ca09025e" minOccurs="0"/>
                <xsd:element ref="ns4: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fbe3fec-c611-4c3e-9ea6-f54bcd1bbf7a}" ma:internalName="TaxCatchAll" ma:showField="CatchAllData" ma:web="8c4c6479-bb6a-4263-8159-fbb0afc5d491">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9d8bf4-53b1-4391-9742-58425172aa62"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4c6479-bb6a-4263-8159-fbb0afc5d491" elementFormDefault="qualified">
    <xsd:import namespace="http://schemas.microsoft.com/office/2006/documentManagement/types"/>
    <xsd:import namespace="http://schemas.microsoft.com/office/infopath/2007/PartnerControls"/>
    <xsd:element name="pd20deaf94a24430b0a49144ca09025e" ma:index="24" nillable="true" ma:taxonomy="true" ma:internalName="pd20deaf94a24430b0a49144ca09025e" ma:taxonomyFieldName="DocHub_RegulatoryFrameworksLegislationType" ma:displayName="Legislation Type" ma:indexed="true" ma:default="" ma:fieldId="{9d20deaf-94a2-4430-b0a4-9144ca09025e}" ma:sspId="fb0313f7-9433-48c0-866e-9e0bbee59a50" ma:termSetId="1fc38da8-8d02-4a98-9599-72eda239dcec" ma:anchorId="00000000-0000-0000-0000-000000000000" ma:open="false" ma:isKeyword="fals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b9bed2e36e4a93af574aeb444da63e xmlns="a36bd50b-1532-4c22-b385-5c082c960938">
      <Terms xmlns="http://schemas.microsoft.com/office/infopath/2007/PartnerControls"/>
    </adb9bed2e36e4a93af574aeb444da63e>
    <n99e4c9942c6404eb103464a00e6097b xmlns="a36bd50b-1532-4c22-b385-5c082c960938">
      <Terms xmlns="http://schemas.microsoft.com/office/infopath/2007/PartnerControls"/>
    </n99e4c9942c6404eb103464a00e6097b>
    <IconOverlay xmlns="http://schemas.microsoft.com/sharepoint/v4" xsi:nil="true"/>
    <pe2555c81638466f9eb614edb9ecde52 xmlns="a36bd50b-1532-4c22-b385-5c082c960938">
      <Terms xmlns="http://schemas.microsoft.com/office/infopath/2007/PartnerControls">
        <TermInfo xmlns="http://schemas.microsoft.com/office/infopath/2007/PartnerControls">
          <TermName xmlns="http://schemas.microsoft.com/office/infopath/2007/PartnerControls">Legislative Instrument</TermName>
          <TermId xmlns="http://schemas.microsoft.com/office/infopath/2007/PartnerControls">edbe159b-95f5-40e7-bf23-9dfb62f2e7f0</TermId>
        </TermInfo>
      </Terms>
    </pe2555c81638466f9eb614edb9ecde52>
    <pd20deaf94a24430b0a49144ca09025e xmlns="8c4c6479-bb6a-4263-8159-fbb0afc5d491">
      <Terms xmlns="http://schemas.microsoft.com/office/infopath/2007/PartnerControls"/>
    </pd20deaf94a24430b0a49144ca09025e>
    <aa25a1a23adf4c92a153145de6afe324 xmlns="a36bd50b-1532-4c22-b385-5c082c960938">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11f6fb0b-52ce-4109-8f7f-521b2a62f692</TermId>
        </TermInfo>
      </Terms>
    </aa25a1a23adf4c92a153145de6afe324>
    <g7bcb40ba23249a78edca7d43a67c1c9 xmlns="a36bd50b-1532-4c22-b385-5c082c960938">
      <Terms xmlns="http://schemas.microsoft.com/office/infopath/2007/PartnerControls"/>
    </g7bcb40ba23249a78edca7d43a67c1c9>
    <TaxCatchAll xmlns="a36bd50b-1532-4c22-b385-5c082c960938">
      <Value>26</Value>
      <Value>183</Value>
    </TaxCatchAll>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7CDB2-BE4C-4B7B-94FE-A68FF149B584}">
  <ds:schemaRefs>
    <ds:schemaRef ds:uri="http://schemas.microsoft.com/sharepoint/events"/>
  </ds:schemaRefs>
</ds:datastoreItem>
</file>

<file path=customXml/itemProps2.xml><?xml version="1.0" encoding="utf-8"?>
<ds:datastoreItem xmlns:ds="http://schemas.openxmlformats.org/officeDocument/2006/customXml" ds:itemID="{76C4E833-5B99-447F-8E25-814C73765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8c4c6479-bb6a-4263-8159-fbb0afc5d49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C9033-3E77-43CB-8AA0-E65435C01CB7}">
  <ds:schemaRefs>
    <ds:schemaRef ds:uri="http://schemas.microsoft.com/office/2006/documentManagement/types"/>
    <ds:schemaRef ds:uri="8c4c6479-bb6a-4263-8159-fbb0afc5d491"/>
    <ds:schemaRef ds:uri="http://purl.org/dc/terms/"/>
    <ds:schemaRef ds:uri="http://schemas.microsoft.com/sharepoint/v3"/>
    <ds:schemaRef ds:uri="http://schemas.microsoft.com/sharepoint/v4"/>
    <ds:schemaRef ds:uri="http://purl.org/dc/dcmitype/"/>
    <ds:schemaRef ds:uri="http://schemas.openxmlformats.org/package/2006/metadata/core-properties"/>
    <ds:schemaRef ds:uri="http://schemas.microsoft.com/office/infopath/2007/PartnerControls"/>
    <ds:schemaRef ds:uri="http://purl.org/dc/elements/1.1/"/>
    <ds:schemaRef ds:uri="a36bd50b-1532-4c22-b385-5c082c96093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6EDBEFE-73E6-499D-9329-D3DD4A47A1D6}">
  <ds:schemaRefs>
    <ds:schemaRef ds:uri="http://schemas.microsoft.com/sharepoint/v3/contenttype/forms"/>
  </ds:schemaRefs>
</ds:datastoreItem>
</file>

<file path=customXml/itemProps5.xml><?xml version="1.0" encoding="utf-8"?>
<ds:datastoreItem xmlns:ds="http://schemas.openxmlformats.org/officeDocument/2006/customXml" ds:itemID="{A6352864-8F7C-4828-88FB-D007646F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Xco Explanatory Statement</Template>
  <TotalTime>2639</TotalTime>
  <Pages>15</Pages>
  <Words>3866</Words>
  <Characters>22649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2019 Explanatory Statement- Package 1 (UAG, Scope 2)</vt:lpstr>
    </vt:vector>
  </TitlesOfParts>
  <Company>ATO</Company>
  <LinksUpToDate>false</LinksUpToDate>
  <CharactersWithSpaces>26463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Explanatory Statement- Package 1 (UAG, Scope 2)</dc:title>
  <dc:creator>Kiang, Tommy</dc:creator>
  <cp:lastModifiedBy>Osborne, Lea</cp:lastModifiedBy>
  <cp:revision>97</cp:revision>
  <cp:lastPrinted>2014-11-11T03:54:00Z</cp:lastPrinted>
  <dcterms:created xsi:type="dcterms:W3CDTF">2022-05-24T06:07:00Z</dcterms:created>
  <dcterms:modified xsi:type="dcterms:W3CDTF">2022-06-22T23:32:00Z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0x010100896D55852D93604AA440876A3B15BB43</vt:lpwstr>
  </property>
  <property fmtid="{D5CDD505-2E9C-101B-9397-08002B2CF9AE}" pid="4" name="_dlc_DocIdItemGuid">
    <vt:lpwstr>8de186f9-cbec-4100-a06c-5656481bb452</vt:lpwstr>
  </property>
  <property fmtid="{D5CDD505-2E9C-101B-9397-08002B2CF9AE}" pid="5" name="RecordPoint_ActiveItemUniqueId">
    <vt:lpwstr>{867636ec-f8ac-488a-8482-14b18334501a}</vt:lpwstr>
  </property>
  <property fmtid="{D5CDD505-2E9C-101B-9397-08002B2CF9AE}" pid="6" name="RecordPoint_WorkflowType">
    <vt:lpwstr>ActiveSubmitStub</vt:lpwstr>
  </property>
  <property fmtid="{D5CDD505-2E9C-101B-9397-08002B2CF9AE}" pid="7" name="RecordPoint_SubmissionDate">
    <vt:lpwstr/>
  </property>
  <property fmtid="{D5CDD505-2E9C-101B-9397-08002B2CF9AE}" pid="8" name="RecordPoint_RecordNumberSubmitted">
    <vt:lpwstr>002839944</vt:lpwstr>
  </property>
  <property fmtid="{D5CDD505-2E9C-101B-9397-08002B2CF9AE}" pid="9" name="RecordPoint_ActiveItemMoved">
    <vt:lpwstr/>
  </property>
  <property fmtid="{D5CDD505-2E9C-101B-9397-08002B2CF9AE}" pid="10" name="RecordPoint_SubmissionCompleted">
    <vt:lpwstr>2019-06-04T06:26:22.1173898+10:00</vt:lpwstr>
  </property>
  <property fmtid="{D5CDD505-2E9C-101B-9397-08002B2CF9AE}" pid="11" name="RecordPoint_RecordFormat">
    <vt:lpwstr/>
  </property>
  <property fmtid="{D5CDD505-2E9C-101B-9397-08002B2CF9AE}" pid="12" name="RecordPoint_ActiveItemWebId">
    <vt:lpwstr>{2059673b-20f6-40c5-8fb8-ce838aef26a0}</vt:lpwstr>
  </property>
  <property fmtid="{D5CDD505-2E9C-101B-9397-08002B2CF9AE}" pid="13" name="RecordPoint_ActiveItemSiteId">
    <vt:lpwstr>{22ddc83e-3d55-4f4b-84b0-b8f29513b89f}</vt:lpwstr>
  </property>
  <property fmtid="{D5CDD505-2E9C-101B-9397-08002B2CF9AE}" pid="14" name="RecordPoint_ActiveItemListId">
    <vt:lpwstr>{e6c83a4c-6c4c-4890-af15-8d1f7414f297}</vt:lpwstr>
  </property>
  <property fmtid="{D5CDD505-2E9C-101B-9397-08002B2CF9AE}" pid="15" name="IconOverlay">
    <vt:lpwstr/>
  </property>
  <property fmtid="{D5CDD505-2E9C-101B-9397-08002B2CF9AE}" pid="16" name="ObjectiveRef">
    <vt:lpwstr>Removed</vt:lpwstr>
  </property>
  <property fmtid="{D5CDD505-2E9C-101B-9397-08002B2CF9AE}" pid="17" name="LeadingLawyers">
    <vt:lpwstr>Removed</vt:lpwstr>
  </property>
  <property fmtid="{D5CDD505-2E9C-101B-9397-08002B2CF9AE}" pid="18" name="DocHub_Year">
    <vt:lpwstr/>
  </property>
  <property fmtid="{D5CDD505-2E9C-101B-9397-08002B2CF9AE}" pid="19" name="DocHub_DocumentType">
    <vt:lpwstr>183;#Legislative Instrument|edbe159b-95f5-40e7-bf23-9dfb62f2e7f0</vt:lpwstr>
  </property>
  <property fmtid="{D5CDD505-2E9C-101B-9397-08002B2CF9AE}" pid="20" name="DocHub_SecurityClassification">
    <vt:lpwstr>26;#For Official Use Only|11f6fb0b-52ce-4109-8f7f-521b2a62f692</vt:lpwstr>
  </property>
  <property fmtid="{D5CDD505-2E9C-101B-9397-08002B2CF9AE}" pid="21" name="DocHub_WorkActivity">
    <vt:lpwstr/>
  </property>
  <property fmtid="{D5CDD505-2E9C-101B-9397-08002B2CF9AE}" pid="22" name="DocHub_RegulatoryFrameworksLegislationType">
    <vt:lpwstr/>
  </property>
  <property fmtid="{D5CDD505-2E9C-101B-9397-08002B2CF9AE}" pid="23" name="DocHub_Keywords">
    <vt:lpwstr/>
  </property>
</Properties>
</file>