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30" w:rsidRDefault="006C4A30" w:rsidP="006C4A30">
      <w:pPr>
        <w:pStyle w:val="ttCrest"/>
        <w:rPr>
          <w:sz w:val="19"/>
        </w:rPr>
      </w:pPr>
      <w:bookmarkStart w:id="0" w:name="_GoBack"/>
      <w:r>
        <w:rPr>
          <w:noProof/>
          <w:lang w:eastAsia="en-AU"/>
        </w:rPr>
        <w:drawing>
          <wp:inline distT="0" distB="0" distL="0" distR="0" wp14:anchorId="6A100A70" wp14:editId="6A100A71">
            <wp:extent cx="1498600" cy="1101725"/>
            <wp:effectExtent l="0" t="0" r="6350" b="3175"/>
            <wp:docPr id="1" name="Picture 1" title="Commonwealth Coat of Arm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81A21" w:rsidRDefault="0072600A" w:rsidP="00F81A21">
      <w:pPr>
        <w:pStyle w:val="ShortT"/>
      </w:pPr>
      <w:r w:rsidRPr="0072600A">
        <w:t>National Greenhouse and Energy Reporti</w:t>
      </w:r>
      <w:r w:rsidR="001C115C">
        <w:t>ng (Measurement) Amendment (2022 Update) Determination 2022</w:t>
      </w:r>
    </w:p>
    <w:p w:rsidR="00F81A21" w:rsidRPr="002A0313" w:rsidRDefault="00F81A21" w:rsidP="00F81A21">
      <w:pPr>
        <w:pStyle w:val="SignCoverPageStart"/>
        <w:rPr>
          <w:szCs w:val="22"/>
        </w:rPr>
      </w:pPr>
      <w:r w:rsidRPr="002A0313">
        <w:rPr>
          <w:szCs w:val="22"/>
        </w:rPr>
        <w:t xml:space="preserve">I, </w:t>
      </w:r>
      <w:r w:rsidR="00125A49">
        <w:rPr>
          <w:szCs w:val="22"/>
        </w:rPr>
        <w:t>Chris Bowen</w:t>
      </w:r>
      <w:r w:rsidRPr="002A0313">
        <w:rPr>
          <w:szCs w:val="22"/>
        </w:rPr>
        <w:t xml:space="preserve">, Minister </w:t>
      </w:r>
      <w:r w:rsidRPr="00D77667">
        <w:rPr>
          <w:szCs w:val="22"/>
        </w:rPr>
        <w:t xml:space="preserve">for </w:t>
      </w:r>
      <w:r w:rsidR="00125A49" w:rsidRPr="00D77667">
        <w:rPr>
          <w:szCs w:val="22"/>
        </w:rPr>
        <w:t>Climate Change and Energy</w:t>
      </w:r>
      <w:r w:rsidR="005A76B2">
        <w:rPr>
          <w:szCs w:val="22"/>
        </w:rPr>
        <w:t xml:space="preserve">, make the following </w:t>
      </w:r>
      <w:r w:rsidR="0072600A">
        <w:rPr>
          <w:szCs w:val="22"/>
        </w:rPr>
        <w:t>instrument</w:t>
      </w:r>
      <w:r w:rsidRPr="002A0313">
        <w:rPr>
          <w:szCs w:val="22"/>
        </w:rPr>
        <w:t>.</w:t>
      </w:r>
    </w:p>
    <w:p w:rsidR="00F81A21" w:rsidRDefault="00F81A21" w:rsidP="00F81A21">
      <w:pPr>
        <w:keepNext/>
        <w:spacing w:before="300" w:line="240" w:lineRule="atLeast"/>
        <w:ind w:right="397"/>
        <w:jc w:val="both"/>
        <w:rPr>
          <w:szCs w:val="22"/>
        </w:rPr>
      </w:pPr>
      <w:r w:rsidRPr="002A0313">
        <w:rPr>
          <w:szCs w:val="22"/>
        </w:rPr>
        <w:t>Dated</w:t>
      </w:r>
      <w:r w:rsidR="00FB502A">
        <w:rPr>
          <w:szCs w:val="22"/>
        </w:rPr>
        <w:t>:</w:t>
      </w:r>
      <w:r w:rsidR="00FE6AF3">
        <w:rPr>
          <w:szCs w:val="22"/>
        </w:rPr>
        <w:t xml:space="preserve"> 14 June 2022</w:t>
      </w:r>
      <w:bookmarkStart w:id="1" w:name="BKCheck15B_1"/>
      <w:bookmarkEnd w:id="1"/>
    </w:p>
    <w:p w:rsidR="00F81A21" w:rsidRPr="002A0313" w:rsidRDefault="00125A49" w:rsidP="009121A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Chris Bowen</w:t>
      </w:r>
    </w:p>
    <w:p w:rsidR="00F81A21" w:rsidRPr="002A0313" w:rsidRDefault="00F81A21" w:rsidP="00F81A21">
      <w:pPr>
        <w:pStyle w:val="SignCoverPageEnd"/>
        <w:rPr>
          <w:szCs w:val="22"/>
        </w:rPr>
      </w:pPr>
      <w:r w:rsidRPr="002A0313">
        <w:rPr>
          <w:szCs w:val="22"/>
        </w:rPr>
        <w:t xml:space="preserve">Minister for </w:t>
      </w:r>
      <w:r w:rsidR="00125A49" w:rsidRPr="00D77667">
        <w:rPr>
          <w:szCs w:val="22"/>
        </w:rPr>
        <w:t>Climate Change and Energy</w:t>
      </w:r>
    </w:p>
    <w:p w:rsidR="00F47AAB" w:rsidRDefault="00F47AAB">
      <w:pPr>
        <w:spacing w:line="240" w:lineRule="auto"/>
      </w:pPr>
      <w:r>
        <w:br w:type="page"/>
      </w:r>
    </w:p>
    <w:p w:rsidR="00F81A21" w:rsidRPr="002A0313" w:rsidRDefault="00F81A21" w:rsidP="00F81A21"/>
    <w:p w:rsidR="00F81A21" w:rsidRPr="002A0313" w:rsidRDefault="00F81A21" w:rsidP="00F81A21">
      <w:pPr>
        <w:pStyle w:val="Header"/>
        <w:tabs>
          <w:tab w:val="clear" w:pos="4150"/>
          <w:tab w:val="clear" w:pos="8307"/>
        </w:tabs>
      </w:pPr>
      <w:r w:rsidRPr="002A0313">
        <w:rPr>
          <w:rStyle w:val="CharChapNo"/>
        </w:rPr>
        <w:t xml:space="preserve"> </w:t>
      </w:r>
      <w:r w:rsidRPr="002A0313">
        <w:rPr>
          <w:rStyle w:val="CharChapText"/>
        </w:rPr>
        <w:t xml:space="preserve"> </w:t>
      </w:r>
    </w:p>
    <w:p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t>Contents</w:t>
      </w:r>
    </w:p>
    <w:p w:rsidR="002B6A21" w:rsidRDefault="002B6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bookmarkStart w:id="2" w:name="BKCheck15B_2"/>
      <w:bookmarkEnd w:id="2"/>
      <w:r>
        <w:rPr>
          <w:noProof/>
        </w:rPr>
        <w:t>1  Name</w:t>
      </w:r>
      <w:r>
        <w:rPr>
          <w:noProof/>
        </w:rPr>
        <w:tab/>
      </w:r>
      <w:r w:rsidR="00C278A5">
        <w:rPr>
          <w:noProof/>
        </w:rPr>
        <w:tab/>
      </w:r>
      <w:r w:rsidR="00CE207D">
        <w:rPr>
          <w:noProof/>
        </w:rPr>
        <w:t>3</w:t>
      </w:r>
    </w:p>
    <w:p w:rsidR="002B6A21" w:rsidRDefault="002B6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 w:rsidR="00CE207D">
        <w:rPr>
          <w:noProof/>
        </w:rPr>
        <w:t>3</w:t>
      </w:r>
    </w:p>
    <w:p w:rsidR="002B6A21" w:rsidRDefault="002B6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 w:rsidR="00CE207D">
        <w:rPr>
          <w:noProof/>
        </w:rPr>
        <w:t>3</w:t>
      </w:r>
    </w:p>
    <w:p w:rsidR="002B6A21" w:rsidRDefault="002B6A2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Schedules</w:t>
      </w:r>
      <w:r>
        <w:rPr>
          <w:noProof/>
        </w:rPr>
        <w:tab/>
      </w:r>
      <w:r w:rsidR="00CE207D">
        <w:rPr>
          <w:noProof/>
        </w:rPr>
        <w:t>3</w:t>
      </w:r>
    </w:p>
    <w:p w:rsidR="002B6A21" w:rsidRDefault="002B6A2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Schedule 1—Amendments</w:t>
      </w:r>
      <w:r>
        <w:rPr>
          <w:noProof/>
        </w:rPr>
        <w:tab/>
      </w:r>
      <w:r w:rsidR="00CE207D">
        <w:rPr>
          <w:noProof/>
        </w:rPr>
        <w:t>4</w:t>
      </w:r>
    </w:p>
    <w:p w:rsidR="002B6A21" w:rsidRDefault="002B6A2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National Greenhouse and Energy Reporting (Measurement) Determination 200</w:t>
      </w:r>
      <w:r w:rsidR="00FF7A83">
        <w:rPr>
          <w:noProof/>
        </w:rPr>
        <w:t>8</w:t>
      </w:r>
      <w:r>
        <w:rPr>
          <w:noProof/>
        </w:rPr>
        <w:tab/>
      </w:r>
      <w:r w:rsidR="00CE207D" w:rsidRPr="001C115C">
        <w:rPr>
          <w:i w:val="0"/>
          <w:noProof/>
        </w:rPr>
        <w:t>4</w:t>
      </w:r>
    </w:p>
    <w:p w:rsidR="00536929" w:rsidRDefault="00536929" w:rsidP="00536929">
      <w:pPr>
        <w:spacing w:line="240" w:lineRule="auto"/>
      </w:pPr>
      <w:r>
        <w:br w:type="page"/>
      </w:r>
    </w:p>
    <w:p w:rsidR="00F47AAB" w:rsidRPr="002A0313" w:rsidRDefault="00CE207D" w:rsidP="00AD7BE4">
      <w:pPr>
        <w:pStyle w:val="h5Section"/>
      </w:pPr>
      <w:bookmarkStart w:id="3" w:name="_Toc405889305"/>
      <w:bookmarkStart w:id="4" w:name="_Toc42090449"/>
      <w:proofErr w:type="gramStart"/>
      <w:r>
        <w:lastRenderedPageBreak/>
        <w:t>1</w:t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3"/>
      <w:bookmarkEnd w:id="4"/>
      <w:proofErr w:type="gramEnd"/>
    </w:p>
    <w:p w:rsidR="00F47AAB" w:rsidRDefault="00F47AAB" w:rsidP="00F47AAB">
      <w:pPr>
        <w:pStyle w:val="tMain"/>
      </w:pPr>
      <w:r w:rsidRPr="002A0313">
        <w:tab/>
      </w:r>
      <w:r w:rsidRPr="002A0313">
        <w:tab/>
        <w:t>This is the</w:t>
      </w:r>
      <w:bookmarkStart w:id="5" w:name="BKCheck15B_3"/>
      <w:bookmarkEnd w:id="5"/>
      <w:r w:rsidR="00A175AD">
        <w:t xml:space="preserve"> </w:t>
      </w:r>
      <w:r w:rsidR="00CE207D">
        <w:rPr>
          <w:i/>
          <w:noProof/>
        </w:rPr>
        <w:t>National Greenhouse and Energy Reporting (Measurement) Amendment (202</w:t>
      </w:r>
      <w:r w:rsidR="001C115C">
        <w:rPr>
          <w:i/>
          <w:noProof/>
        </w:rPr>
        <w:t>2</w:t>
      </w:r>
      <w:r w:rsidR="00CE207D">
        <w:rPr>
          <w:i/>
          <w:noProof/>
        </w:rPr>
        <w:t xml:space="preserve"> Update) Determination 202</w:t>
      </w:r>
      <w:r w:rsidR="001C115C">
        <w:rPr>
          <w:i/>
          <w:noProof/>
        </w:rPr>
        <w:t>2</w:t>
      </w:r>
      <w:r w:rsidRPr="002A0313">
        <w:t>.</w:t>
      </w:r>
    </w:p>
    <w:p w:rsidR="005A76B2" w:rsidRPr="004A278A" w:rsidRDefault="005A76B2" w:rsidP="005A76B2">
      <w:pPr>
        <w:pStyle w:val="h5Section"/>
      </w:pPr>
      <w:bookmarkStart w:id="6" w:name="_Toc524425376"/>
      <w:bookmarkStart w:id="7" w:name="_Toc42090450"/>
      <w:proofErr w:type="gramStart"/>
      <w:r w:rsidRPr="004A278A">
        <w:rPr>
          <w:rStyle w:val="CharSectno"/>
        </w:rPr>
        <w:t>2</w:t>
      </w:r>
      <w:r w:rsidRPr="004A278A">
        <w:t xml:space="preserve">  Commencement</w:t>
      </w:r>
      <w:bookmarkEnd w:id="6"/>
      <w:bookmarkEnd w:id="7"/>
      <w:proofErr w:type="gramEnd"/>
    </w:p>
    <w:p w:rsidR="005A76B2" w:rsidRPr="00733989" w:rsidRDefault="005A76B2" w:rsidP="005A76B2">
      <w:pPr>
        <w:pStyle w:val="tMain"/>
      </w:pPr>
      <w:r w:rsidRPr="00733989">
        <w:tab/>
        <w:t>(1)</w:t>
      </w:r>
      <w:r w:rsidRPr="0073398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A76B2" w:rsidRPr="00733989" w:rsidRDefault="005A76B2" w:rsidP="005A76B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2693"/>
      </w:tblGrid>
      <w:tr w:rsidR="005A76B2" w:rsidRPr="00733989" w:rsidTr="00947C4C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Commencement information</w:t>
            </w:r>
          </w:p>
        </w:tc>
      </w:tr>
      <w:tr w:rsidR="005A76B2" w:rsidRPr="00733989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Column 2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Column 3</w:t>
            </w:r>
          </w:p>
        </w:tc>
      </w:tr>
      <w:tr w:rsidR="005A76B2" w:rsidRPr="00733989" w:rsidTr="00947C4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Commencement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Heading"/>
            </w:pPr>
            <w:r w:rsidRPr="00733989">
              <w:t>Date/Details</w:t>
            </w:r>
          </w:p>
        </w:tc>
      </w:tr>
      <w:tr w:rsidR="005A76B2" w:rsidRPr="00733989" w:rsidTr="00947C4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5A76B2" w:rsidP="00947C4C">
            <w:pPr>
              <w:pStyle w:val="Tabletext"/>
            </w:pPr>
            <w:r w:rsidRPr="00733989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A76B2" w:rsidRPr="00733989" w:rsidRDefault="00FF7A83" w:rsidP="00947C4C">
            <w:pPr>
              <w:pStyle w:val="Tabletext"/>
            </w:pPr>
            <w:r>
              <w:t>1</w:t>
            </w:r>
            <w:r w:rsidR="001C115C">
              <w:t xml:space="preserve"> July 2022</w:t>
            </w:r>
            <w:r w:rsidR="005A76B2"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76B2" w:rsidRPr="00733989" w:rsidRDefault="001C115C" w:rsidP="00947C4C">
            <w:pPr>
              <w:pStyle w:val="Tabletext"/>
            </w:pPr>
            <w:r>
              <w:t>1 July 2022</w:t>
            </w:r>
          </w:p>
        </w:tc>
      </w:tr>
    </w:tbl>
    <w:p w:rsidR="005A76B2" w:rsidRPr="00733989" w:rsidRDefault="005A76B2" w:rsidP="005A76B2">
      <w:pPr>
        <w:pStyle w:val="nMain"/>
      </w:pPr>
      <w:r w:rsidRPr="00733989">
        <w:rPr>
          <w:snapToGrid w:val="0"/>
          <w:lang w:eastAsia="en-US"/>
        </w:rPr>
        <w:t>Note:</w:t>
      </w:r>
      <w:r w:rsidRPr="0073398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5A76B2" w:rsidRPr="00733989" w:rsidRDefault="005A76B2" w:rsidP="005A76B2">
      <w:pPr>
        <w:pStyle w:val="tMain"/>
      </w:pPr>
      <w:r w:rsidRPr="00733989">
        <w:tab/>
        <w:t>(2)</w:t>
      </w:r>
      <w:r w:rsidRPr="0073398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A76B2" w:rsidRPr="004A278A" w:rsidRDefault="005A76B2" w:rsidP="005A76B2">
      <w:pPr>
        <w:pStyle w:val="h5Section"/>
      </w:pPr>
      <w:bookmarkStart w:id="8" w:name="_Toc524425377"/>
      <w:bookmarkStart w:id="9" w:name="_Toc42090451"/>
      <w:proofErr w:type="gramStart"/>
      <w:r w:rsidRPr="004A278A">
        <w:rPr>
          <w:rStyle w:val="CharSectno"/>
        </w:rPr>
        <w:t>3</w:t>
      </w:r>
      <w:r w:rsidRPr="004A278A">
        <w:t xml:space="preserve">  Authority</w:t>
      </w:r>
      <w:bookmarkEnd w:id="8"/>
      <w:bookmarkEnd w:id="9"/>
      <w:proofErr w:type="gramEnd"/>
    </w:p>
    <w:p w:rsidR="005A76B2" w:rsidRPr="004A278A" w:rsidRDefault="005A76B2" w:rsidP="005A76B2">
      <w:pPr>
        <w:pStyle w:val="tMain"/>
      </w:pPr>
      <w:r w:rsidRPr="004A278A">
        <w:tab/>
      </w:r>
      <w:r w:rsidRPr="004A278A">
        <w:tab/>
      </w:r>
      <w:r w:rsidRPr="00733989">
        <w:t>This instrument is made under</w:t>
      </w:r>
      <w:r>
        <w:t xml:space="preserve"> </w:t>
      </w:r>
      <w:r w:rsidR="00783E42">
        <w:t>sub</w:t>
      </w:r>
      <w:r>
        <w:t>section </w:t>
      </w:r>
      <w:r w:rsidR="00783E42">
        <w:t>10(3)</w:t>
      </w:r>
      <w:r>
        <w:t xml:space="preserve"> of</w:t>
      </w:r>
      <w:r w:rsidRPr="00733989">
        <w:t xml:space="preserve"> the </w:t>
      </w:r>
      <w:r w:rsidR="00783E42">
        <w:rPr>
          <w:i/>
        </w:rPr>
        <w:t>National Greenhouse and Energy Reporting Act 2007</w:t>
      </w:r>
      <w:r w:rsidRPr="00733989">
        <w:rPr>
          <w:i/>
        </w:rPr>
        <w:t>.</w:t>
      </w:r>
    </w:p>
    <w:p w:rsidR="005A76B2" w:rsidRPr="004A278A" w:rsidRDefault="005A76B2" w:rsidP="005A76B2">
      <w:pPr>
        <w:pStyle w:val="h5Section"/>
      </w:pPr>
      <w:bookmarkStart w:id="10" w:name="_Toc524425378"/>
      <w:bookmarkStart w:id="11" w:name="_Toc42090452"/>
      <w:proofErr w:type="gramStart"/>
      <w:r w:rsidRPr="004A278A">
        <w:rPr>
          <w:rStyle w:val="CharSectno"/>
        </w:rPr>
        <w:t>4</w:t>
      </w:r>
      <w:r w:rsidRPr="004A278A">
        <w:t xml:space="preserve">  Schedules</w:t>
      </w:r>
      <w:bookmarkEnd w:id="10"/>
      <w:bookmarkEnd w:id="11"/>
      <w:proofErr w:type="gramEnd"/>
    </w:p>
    <w:p w:rsidR="005A76B2" w:rsidRDefault="005A76B2" w:rsidP="005A76B2">
      <w:pPr>
        <w:pStyle w:val="tMain"/>
      </w:pPr>
      <w:r w:rsidRPr="004A278A">
        <w:tab/>
      </w:r>
      <w:r w:rsidRPr="004A278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A76B2" w:rsidRPr="004A278A" w:rsidRDefault="005A76B2" w:rsidP="005A76B2">
      <w:pPr>
        <w:pStyle w:val="ActHead6"/>
        <w:pageBreakBefore/>
      </w:pPr>
      <w:bookmarkStart w:id="12" w:name="opcAmSched"/>
      <w:bookmarkStart w:id="13" w:name="_Toc524425379"/>
      <w:bookmarkStart w:id="14" w:name="_Toc42090453"/>
      <w:r w:rsidRPr="004A278A">
        <w:rPr>
          <w:rStyle w:val="CharAmSchNo"/>
        </w:rPr>
        <w:lastRenderedPageBreak/>
        <w:t>Schedule 1</w:t>
      </w:r>
      <w:r w:rsidRPr="004A278A">
        <w:t>—</w:t>
      </w:r>
      <w:r>
        <w:rPr>
          <w:rStyle w:val="CharAmSchText"/>
        </w:rPr>
        <w:t>Amendments</w:t>
      </w:r>
      <w:bookmarkEnd w:id="12"/>
      <w:bookmarkEnd w:id="13"/>
      <w:bookmarkEnd w:id="14"/>
    </w:p>
    <w:p w:rsidR="005A76B2" w:rsidRDefault="0072600A" w:rsidP="005A76B2">
      <w:pPr>
        <w:pStyle w:val="ActHead9"/>
      </w:pPr>
      <w:bookmarkStart w:id="15" w:name="_Toc524425380"/>
      <w:bookmarkStart w:id="16" w:name="_Toc42090454"/>
      <w:r w:rsidRPr="0072600A">
        <w:t xml:space="preserve">National Greenhouse and Energy Reporting (Measurement) Determination </w:t>
      </w:r>
      <w:bookmarkEnd w:id="15"/>
      <w:r>
        <w:t>200</w:t>
      </w:r>
      <w:bookmarkEnd w:id="16"/>
      <w:r w:rsidR="00FF7A83">
        <w:t>8</w:t>
      </w:r>
    </w:p>
    <w:p w:rsidR="00982178" w:rsidRPr="00125A49" w:rsidRDefault="00D97600" w:rsidP="00982178">
      <w:pPr>
        <w:pStyle w:val="h5SchItem"/>
      </w:pPr>
      <w:r>
        <w:t>[1]</w:t>
      </w:r>
      <w:r w:rsidR="00982178" w:rsidRPr="00125A49">
        <w:tab/>
        <w:t>Section 1.8</w:t>
      </w:r>
    </w:p>
    <w:p w:rsidR="00982178" w:rsidRPr="00125A49" w:rsidRDefault="00982178" w:rsidP="00982178">
      <w:pPr>
        <w:pStyle w:val="Item"/>
      </w:pPr>
      <w:r w:rsidRPr="00125A49">
        <w:t>Insert in the appropriate alphabetical position:</w:t>
      </w:r>
    </w:p>
    <w:p w:rsidR="00BB4505" w:rsidRPr="00125A49" w:rsidRDefault="00982178" w:rsidP="0060192C">
      <w:pPr>
        <w:pStyle w:val="tDefn"/>
        <w:rPr>
          <w:b/>
          <w:i/>
        </w:rPr>
      </w:pPr>
      <w:proofErr w:type="spellStart"/>
      <w:proofErr w:type="gramStart"/>
      <w:r w:rsidRPr="00125A49">
        <w:rPr>
          <w:b/>
          <w:i/>
        </w:rPr>
        <w:t>biomethane</w:t>
      </w:r>
      <w:proofErr w:type="spellEnd"/>
      <w:proofErr w:type="gramEnd"/>
      <w:r w:rsidRPr="00125A49">
        <w:t xml:space="preserve"> has the meaning given by the Regulations</w:t>
      </w:r>
      <w:r w:rsidRPr="00125A49">
        <w:rPr>
          <w:b/>
          <w:i/>
        </w:rPr>
        <w:t>.</w:t>
      </w:r>
    </w:p>
    <w:p w:rsidR="00BB4505" w:rsidRPr="00125A49" w:rsidRDefault="00D97600" w:rsidP="00BB4505">
      <w:pPr>
        <w:pStyle w:val="h5SchItem"/>
      </w:pPr>
      <w:r>
        <w:t>[2]</w:t>
      </w:r>
      <w:r w:rsidR="00BB4505" w:rsidRPr="00125A49">
        <w:tab/>
        <w:t xml:space="preserve">Subsection 2.5(1) (definition of </w:t>
      </w:r>
      <w:proofErr w:type="spellStart"/>
      <w:r w:rsidR="00BB4505" w:rsidRPr="00125A49">
        <w:rPr>
          <w:i/>
          <w:szCs w:val="22"/>
        </w:rPr>
        <w:t>EF</w:t>
      </w:r>
      <w:r w:rsidR="00BB4505" w:rsidRPr="00125A49">
        <w:rPr>
          <w:i/>
          <w:szCs w:val="22"/>
          <w:vertAlign w:val="subscript"/>
        </w:rPr>
        <w:t>ico</w:t>
      </w:r>
      <w:proofErr w:type="spellEnd"/>
      <w:r w:rsidR="00BB4505" w:rsidRPr="00125A49">
        <w:rPr>
          <w:i/>
          <w:position w:val="-6"/>
          <w:szCs w:val="22"/>
          <w:vertAlign w:val="subscript"/>
        </w:rPr>
        <w:t>2</w:t>
      </w:r>
      <w:proofErr w:type="spellStart"/>
      <w:r w:rsidR="00BB4505" w:rsidRPr="00125A49">
        <w:rPr>
          <w:i/>
          <w:szCs w:val="22"/>
          <w:vertAlign w:val="subscript"/>
        </w:rPr>
        <w:t>oxec</w:t>
      </w:r>
      <w:proofErr w:type="spellEnd"/>
      <w:r w:rsidR="00BB4505" w:rsidRPr="00125A49">
        <w:t>)</w:t>
      </w:r>
    </w:p>
    <w:p w:rsidR="00BB4505" w:rsidRPr="00125A49" w:rsidRDefault="00BB4505" w:rsidP="00BB4505">
      <w:pPr>
        <w:pStyle w:val="Item"/>
      </w:pPr>
      <w:r w:rsidRPr="00125A49">
        <w:t>Repeal the definition, substitute:</w:t>
      </w:r>
    </w:p>
    <w:p w:rsidR="00BB4505" w:rsidRPr="00125A49" w:rsidRDefault="00BB4505" w:rsidP="00BB4505">
      <w:pPr>
        <w:pStyle w:val="tDefn"/>
      </w:pPr>
      <w:proofErr w:type="spellStart"/>
      <w:r w:rsidRPr="00125A49">
        <w:rPr>
          <w:b/>
          <w:i/>
          <w:szCs w:val="22"/>
        </w:rPr>
        <w:t>EF</w:t>
      </w:r>
      <w:r w:rsidRPr="00125A49">
        <w:rPr>
          <w:b/>
          <w:i/>
          <w:szCs w:val="22"/>
          <w:vertAlign w:val="subscript"/>
        </w:rPr>
        <w:t>ico</w:t>
      </w:r>
      <w:proofErr w:type="spellEnd"/>
      <w:r w:rsidRPr="00125A49">
        <w:rPr>
          <w:b/>
          <w:i/>
          <w:position w:val="-6"/>
          <w:szCs w:val="22"/>
          <w:vertAlign w:val="subscript"/>
        </w:rPr>
        <w:t>2</w:t>
      </w:r>
      <w:proofErr w:type="spellStart"/>
      <w:r w:rsidRPr="00125A49">
        <w:rPr>
          <w:b/>
          <w:i/>
          <w:szCs w:val="22"/>
          <w:vertAlign w:val="subscript"/>
        </w:rPr>
        <w:t>oxec</w:t>
      </w:r>
      <w:proofErr w:type="spellEnd"/>
      <w:r w:rsidRPr="00125A49">
        <w:rPr>
          <w:b/>
          <w:i/>
        </w:rPr>
        <w:t xml:space="preserve"> </w:t>
      </w:r>
      <w:r w:rsidRPr="00125A49">
        <w:t>is the carbon dioxide emission factor for fuel type (</w:t>
      </w:r>
      <w:proofErr w:type="spellStart"/>
      <w:r w:rsidRPr="00125A49">
        <w:rPr>
          <w:b/>
          <w:i/>
        </w:rPr>
        <w:t>i</w:t>
      </w:r>
      <w:proofErr w:type="spellEnd"/>
      <w:r w:rsidRPr="00125A49">
        <w:t>) measured in kilograms of CO</w:t>
      </w:r>
      <w:r w:rsidRPr="00125A49">
        <w:rPr>
          <w:vertAlign w:val="subscript"/>
        </w:rPr>
        <w:t>2</w:t>
      </w:r>
      <w:r w:rsidRPr="00125A49">
        <w:noBreakHyphen/>
        <w:t xml:space="preserve">e per gigajoule: </w:t>
      </w:r>
    </w:p>
    <w:p w:rsidR="00BB4505" w:rsidRPr="00125A49" w:rsidRDefault="00BB4505" w:rsidP="00BB4505">
      <w:pPr>
        <w:pStyle w:val="tPara"/>
      </w:pPr>
      <w:r w:rsidRPr="00125A49">
        <w:tab/>
        <w:t>(a)</w:t>
      </w:r>
      <w:r w:rsidRPr="00125A49">
        <w:tab/>
        <w:t>if the</w:t>
      </w:r>
      <w:r w:rsidR="00F140EA" w:rsidRPr="00125A49">
        <w:t xml:space="preserve"> fuel’s</w:t>
      </w:r>
      <w:r w:rsidRPr="00125A49">
        <w:t xml:space="preserve"> </w:t>
      </w:r>
      <w:r w:rsidR="00F140EA" w:rsidRPr="00125A49">
        <w:t>emissions factor for carbon dioxide is 0 in Schedule 1—deemed to be 0 kilograms of CO</w:t>
      </w:r>
      <w:r w:rsidR="00F140EA" w:rsidRPr="00125A49">
        <w:rPr>
          <w:vertAlign w:val="subscript"/>
        </w:rPr>
        <w:t>2</w:t>
      </w:r>
      <w:r w:rsidR="00F140EA" w:rsidRPr="00125A49">
        <w:noBreakHyphen/>
        <w:t>e per gigajoule; or</w:t>
      </w:r>
    </w:p>
    <w:p w:rsidR="00BB4505" w:rsidRPr="00125A49" w:rsidRDefault="00BB4505" w:rsidP="00BB4505">
      <w:pPr>
        <w:pStyle w:val="tPara"/>
      </w:pPr>
      <w:r w:rsidRPr="00125A49">
        <w:tab/>
        <w:t>(a)</w:t>
      </w:r>
      <w:r w:rsidRPr="00125A49">
        <w:tab/>
      </w:r>
      <w:proofErr w:type="gramStart"/>
      <w:r w:rsidR="00F140EA" w:rsidRPr="00125A49">
        <w:t>otherwise—</w:t>
      </w:r>
      <w:proofErr w:type="gramEnd"/>
      <w:r w:rsidRPr="00125A49">
        <w:t>as worked out under subsection (2)</w:t>
      </w:r>
      <w:r w:rsidR="00F140EA" w:rsidRPr="00125A49">
        <w:t>.</w:t>
      </w:r>
    </w:p>
    <w:p w:rsidR="00F140EA" w:rsidRPr="00125A49" w:rsidRDefault="00D97600" w:rsidP="00F140EA">
      <w:pPr>
        <w:pStyle w:val="h5SchItem"/>
      </w:pPr>
      <w:r>
        <w:t>[3]</w:t>
      </w:r>
      <w:r w:rsidR="00F140EA" w:rsidRPr="00125A49">
        <w:tab/>
        <w:t xml:space="preserve">Subsection 2.6(1) (definition of </w:t>
      </w:r>
      <w:proofErr w:type="spellStart"/>
      <w:r w:rsidR="00F140EA" w:rsidRPr="00125A49">
        <w:rPr>
          <w:i/>
          <w:szCs w:val="22"/>
        </w:rPr>
        <w:t>EF</w:t>
      </w:r>
      <w:r w:rsidR="00F140EA" w:rsidRPr="00125A49">
        <w:rPr>
          <w:i/>
          <w:szCs w:val="22"/>
          <w:vertAlign w:val="subscript"/>
        </w:rPr>
        <w:t>ico</w:t>
      </w:r>
      <w:proofErr w:type="spellEnd"/>
      <w:r w:rsidR="00F140EA" w:rsidRPr="00125A49">
        <w:rPr>
          <w:i/>
          <w:position w:val="-6"/>
          <w:szCs w:val="22"/>
          <w:vertAlign w:val="subscript"/>
        </w:rPr>
        <w:t>2</w:t>
      </w:r>
      <w:proofErr w:type="spellStart"/>
      <w:r w:rsidR="00F140EA" w:rsidRPr="00125A49">
        <w:rPr>
          <w:i/>
          <w:szCs w:val="22"/>
          <w:vertAlign w:val="subscript"/>
        </w:rPr>
        <w:t>oxec</w:t>
      </w:r>
      <w:proofErr w:type="spellEnd"/>
      <w:r w:rsidR="00F140EA" w:rsidRPr="00125A49">
        <w:t>)</w:t>
      </w:r>
    </w:p>
    <w:p w:rsidR="00F140EA" w:rsidRPr="00125A49" w:rsidRDefault="00F140EA" w:rsidP="00F140EA">
      <w:pPr>
        <w:pStyle w:val="Item"/>
      </w:pPr>
      <w:r w:rsidRPr="00125A49">
        <w:t>Repeal the definition, substitute:</w:t>
      </w:r>
    </w:p>
    <w:p w:rsidR="00F140EA" w:rsidRPr="00125A49" w:rsidRDefault="00F140EA" w:rsidP="00F140EA">
      <w:pPr>
        <w:pStyle w:val="tDefn"/>
      </w:pPr>
      <w:proofErr w:type="spellStart"/>
      <w:r w:rsidRPr="00125A49">
        <w:rPr>
          <w:b/>
          <w:i/>
          <w:szCs w:val="22"/>
        </w:rPr>
        <w:t>EF</w:t>
      </w:r>
      <w:r w:rsidRPr="00125A49">
        <w:rPr>
          <w:b/>
          <w:i/>
          <w:szCs w:val="22"/>
          <w:vertAlign w:val="subscript"/>
        </w:rPr>
        <w:t>ico</w:t>
      </w:r>
      <w:proofErr w:type="spellEnd"/>
      <w:r w:rsidRPr="00125A49">
        <w:rPr>
          <w:b/>
          <w:i/>
          <w:position w:val="-6"/>
          <w:szCs w:val="22"/>
          <w:vertAlign w:val="subscript"/>
        </w:rPr>
        <w:t>2</w:t>
      </w:r>
      <w:proofErr w:type="spellStart"/>
      <w:r w:rsidRPr="00125A49">
        <w:rPr>
          <w:b/>
          <w:i/>
          <w:szCs w:val="22"/>
          <w:vertAlign w:val="subscript"/>
        </w:rPr>
        <w:t>oxec</w:t>
      </w:r>
      <w:proofErr w:type="spellEnd"/>
      <w:r w:rsidRPr="00125A49">
        <w:rPr>
          <w:b/>
          <w:i/>
        </w:rPr>
        <w:t xml:space="preserve"> </w:t>
      </w:r>
      <w:r w:rsidRPr="00125A49">
        <w:t xml:space="preserve">is: </w:t>
      </w:r>
    </w:p>
    <w:p w:rsidR="00F140EA" w:rsidRPr="00125A49" w:rsidRDefault="00F140EA" w:rsidP="00F140EA">
      <w:pPr>
        <w:pStyle w:val="tPara"/>
      </w:pPr>
      <w:r w:rsidRPr="00125A49">
        <w:tab/>
        <w:t>(a)</w:t>
      </w:r>
      <w:r w:rsidRPr="00125A49">
        <w:tab/>
      </w:r>
      <w:proofErr w:type="gramStart"/>
      <w:r w:rsidRPr="00125A49">
        <w:t>if</w:t>
      </w:r>
      <w:proofErr w:type="gramEnd"/>
      <w:r w:rsidRPr="00125A49">
        <w:t xml:space="preserve"> the fuel’s emissions factor for carbon dioxide is 0 in Schedule 1—deemed to be 0</w:t>
      </w:r>
      <w:r w:rsidR="00125A49" w:rsidRPr="00125A49">
        <w:t xml:space="preserve"> kilograms CO</w:t>
      </w:r>
      <w:r w:rsidR="00125A49" w:rsidRPr="00125A49">
        <w:rPr>
          <w:rStyle w:val="charSubscript"/>
          <w:rFonts w:eastAsia="Calibri"/>
        </w:rPr>
        <w:t>2</w:t>
      </w:r>
      <w:r w:rsidR="00125A49" w:rsidRPr="00125A49">
        <w:noBreakHyphen/>
        <w:t>e per gigajoule</w:t>
      </w:r>
      <w:r w:rsidRPr="00125A49">
        <w:t>;</w:t>
      </w:r>
    </w:p>
    <w:p w:rsidR="00BB4505" w:rsidRPr="00125A49" w:rsidRDefault="00F140EA" w:rsidP="00F140EA">
      <w:pPr>
        <w:pStyle w:val="tPara"/>
      </w:pPr>
      <w:r w:rsidRPr="00125A49">
        <w:tab/>
        <w:t>(b)</w:t>
      </w:r>
      <w:r w:rsidRPr="00125A49">
        <w:tab/>
      </w:r>
      <w:proofErr w:type="gramStart"/>
      <w:r w:rsidRPr="00125A49">
        <w:t>otherwise—</w:t>
      </w:r>
      <w:proofErr w:type="gramEnd"/>
      <w:r w:rsidRPr="00125A49">
        <w:t>the amount worked out under subsection (2).</w:t>
      </w:r>
    </w:p>
    <w:p w:rsidR="00F140EA" w:rsidRPr="00125A49" w:rsidRDefault="00D97600" w:rsidP="00F140EA">
      <w:pPr>
        <w:pStyle w:val="h5SchItem"/>
      </w:pPr>
      <w:r>
        <w:t>[4]</w:t>
      </w:r>
      <w:r w:rsidR="00F140EA" w:rsidRPr="00125A49">
        <w:tab/>
        <w:t xml:space="preserve">Subsection 2.21(1) (definition of </w:t>
      </w:r>
      <w:proofErr w:type="spellStart"/>
      <w:r w:rsidR="00F140EA" w:rsidRPr="00125A49">
        <w:rPr>
          <w:i/>
          <w:szCs w:val="22"/>
        </w:rPr>
        <w:t>EF</w:t>
      </w:r>
      <w:r w:rsidR="00F140EA" w:rsidRPr="00125A49">
        <w:rPr>
          <w:i/>
          <w:szCs w:val="22"/>
          <w:vertAlign w:val="subscript"/>
        </w:rPr>
        <w:t>ico</w:t>
      </w:r>
      <w:proofErr w:type="spellEnd"/>
      <w:r w:rsidR="00F140EA" w:rsidRPr="00125A49">
        <w:rPr>
          <w:i/>
          <w:position w:val="-6"/>
          <w:szCs w:val="22"/>
          <w:vertAlign w:val="subscript"/>
        </w:rPr>
        <w:t>2</w:t>
      </w:r>
      <w:proofErr w:type="spellStart"/>
      <w:r w:rsidR="00F140EA" w:rsidRPr="00125A49">
        <w:rPr>
          <w:i/>
          <w:szCs w:val="22"/>
          <w:vertAlign w:val="subscript"/>
        </w:rPr>
        <w:t>oxec</w:t>
      </w:r>
      <w:proofErr w:type="spellEnd"/>
      <w:r w:rsidR="00F140EA" w:rsidRPr="00125A49">
        <w:t>)</w:t>
      </w:r>
    </w:p>
    <w:p w:rsidR="00BB4505" w:rsidRPr="00125A49" w:rsidRDefault="00F140EA" w:rsidP="00F140EA">
      <w:pPr>
        <w:pStyle w:val="Item"/>
      </w:pPr>
      <w:r w:rsidRPr="00125A49">
        <w:t>Repeal the definition, substitute:</w:t>
      </w:r>
    </w:p>
    <w:p w:rsidR="00F140EA" w:rsidRPr="00125A49" w:rsidRDefault="00F140EA" w:rsidP="00F140EA">
      <w:pPr>
        <w:pStyle w:val="tDefn"/>
      </w:pPr>
      <w:proofErr w:type="spellStart"/>
      <w:r w:rsidRPr="00125A49">
        <w:rPr>
          <w:b/>
          <w:i/>
        </w:rPr>
        <w:t>EF</w:t>
      </w:r>
      <w:r w:rsidRPr="00125A49">
        <w:rPr>
          <w:b/>
          <w:i/>
          <w:vertAlign w:val="subscript"/>
        </w:rPr>
        <w:t>iCO</w:t>
      </w:r>
      <w:proofErr w:type="spellEnd"/>
      <w:r w:rsidRPr="00125A49">
        <w:rPr>
          <w:b/>
          <w:i/>
          <w:position w:val="-6"/>
          <w:vertAlign w:val="subscript"/>
        </w:rPr>
        <w:t>2</w:t>
      </w:r>
      <w:proofErr w:type="spellStart"/>
      <w:r w:rsidRPr="00125A49">
        <w:rPr>
          <w:b/>
          <w:i/>
          <w:vertAlign w:val="subscript"/>
        </w:rPr>
        <w:t>oxec</w:t>
      </w:r>
      <w:proofErr w:type="spellEnd"/>
      <w:r w:rsidRPr="00125A49">
        <w:rPr>
          <w:b/>
          <w:i/>
        </w:rPr>
        <w:t xml:space="preserve"> </w:t>
      </w:r>
      <w:r w:rsidRPr="00125A49">
        <w:t>is the carbon dioxide emission factor for fuel type (</w:t>
      </w:r>
      <w:proofErr w:type="spellStart"/>
      <w:r w:rsidRPr="00125A49">
        <w:rPr>
          <w:b/>
          <w:i/>
        </w:rPr>
        <w:t>i</w:t>
      </w:r>
      <w:proofErr w:type="spellEnd"/>
      <w:r w:rsidRPr="00125A49">
        <w:t>) measured in kilograms CO</w:t>
      </w:r>
      <w:r w:rsidRPr="00125A49">
        <w:rPr>
          <w:rStyle w:val="charSubscript"/>
          <w:rFonts w:eastAsia="Calibri"/>
        </w:rPr>
        <w:t>2</w:t>
      </w:r>
      <w:r w:rsidRPr="00125A49">
        <w:noBreakHyphen/>
        <w:t xml:space="preserve">e per gigajoule: </w:t>
      </w:r>
    </w:p>
    <w:p w:rsidR="00F140EA" w:rsidRPr="00125A49" w:rsidRDefault="00F140EA" w:rsidP="00F140EA">
      <w:pPr>
        <w:pStyle w:val="tPara"/>
      </w:pPr>
      <w:r w:rsidRPr="00125A49">
        <w:tab/>
        <w:t>(a)</w:t>
      </w:r>
      <w:r w:rsidRPr="00125A49">
        <w:tab/>
      </w:r>
      <w:proofErr w:type="gramStart"/>
      <w:r w:rsidRPr="00125A49">
        <w:t>if</w:t>
      </w:r>
      <w:proofErr w:type="gramEnd"/>
      <w:r w:rsidRPr="00125A49">
        <w:t xml:space="preserve"> the fuel’s emissions factor for carbon dioxide is 0 in Schedule 1—deemed</w:t>
      </w:r>
      <w:r w:rsidR="00FD6C85" w:rsidRPr="00125A49">
        <w:t xml:space="preserve"> to be</w:t>
      </w:r>
      <w:r w:rsidRPr="00125A49">
        <w:t xml:space="preserve"> 0</w:t>
      </w:r>
      <w:r w:rsidR="00FD6C85" w:rsidRPr="00125A49">
        <w:t xml:space="preserve"> kilograms CO</w:t>
      </w:r>
      <w:r w:rsidR="00FD6C85" w:rsidRPr="00125A49">
        <w:rPr>
          <w:rStyle w:val="charSubscript"/>
          <w:rFonts w:eastAsia="Calibri"/>
        </w:rPr>
        <w:t>2</w:t>
      </w:r>
      <w:r w:rsidR="00FD6C85" w:rsidRPr="00125A49">
        <w:noBreakHyphen/>
        <w:t>e per gigajoule;</w:t>
      </w:r>
    </w:p>
    <w:p w:rsidR="00F140EA" w:rsidRPr="00125A49" w:rsidRDefault="00F140EA" w:rsidP="00FD6C85">
      <w:pPr>
        <w:pStyle w:val="tPara"/>
      </w:pPr>
      <w:r w:rsidRPr="00125A49">
        <w:tab/>
        <w:t>(b)</w:t>
      </w:r>
      <w:r w:rsidRPr="00125A49">
        <w:tab/>
      </w:r>
      <w:proofErr w:type="gramStart"/>
      <w:r w:rsidRPr="00125A49">
        <w:t>otherwise—</w:t>
      </w:r>
      <w:proofErr w:type="gramEnd"/>
      <w:r w:rsidRPr="00125A49">
        <w:t>calculated in accordance with section 2.22.</w:t>
      </w:r>
    </w:p>
    <w:p w:rsidR="00FD6C85" w:rsidRPr="00125A49" w:rsidRDefault="00D97600" w:rsidP="00FD6C85">
      <w:pPr>
        <w:pStyle w:val="h5SchItem"/>
      </w:pPr>
      <w:r>
        <w:t>[5]</w:t>
      </w:r>
      <w:r w:rsidR="00FD6C85" w:rsidRPr="00125A49">
        <w:tab/>
        <w:t xml:space="preserve">Subsection 2.42(1) (definition of </w:t>
      </w:r>
      <w:proofErr w:type="spellStart"/>
      <w:r w:rsidR="00FD6C85" w:rsidRPr="00125A49">
        <w:rPr>
          <w:i/>
          <w:szCs w:val="22"/>
        </w:rPr>
        <w:t>EF</w:t>
      </w:r>
      <w:r w:rsidR="00FD6C85" w:rsidRPr="00125A49">
        <w:rPr>
          <w:i/>
          <w:szCs w:val="22"/>
          <w:vertAlign w:val="subscript"/>
        </w:rPr>
        <w:t>ico</w:t>
      </w:r>
      <w:proofErr w:type="spellEnd"/>
      <w:r w:rsidR="00FD6C85" w:rsidRPr="00125A49">
        <w:rPr>
          <w:i/>
          <w:position w:val="-6"/>
          <w:szCs w:val="22"/>
          <w:vertAlign w:val="subscript"/>
        </w:rPr>
        <w:t>2</w:t>
      </w:r>
      <w:proofErr w:type="spellStart"/>
      <w:r w:rsidR="00FD6C85" w:rsidRPr="00125A49">
        <w:rPr>
          <w:i/>
          <w:szCs w:val="22"/>
          <w:vertAlign w:val="subscript"/>
        </w:rPr>
        <w:t>oxec</w:t>
      </w:r>
      <w:proofErr w:type="spellEnd"/>
      <w:r w:rsidR="00FD6C85" w:rsidRPr="00125A49">
        <w:t>)</w:t>
      </w:r>
    </w:p>
    <w:p w:rsidR="00FD6C85" w:rsidRPr="00125A49" w:rsidRDefault="00FD6C85" w:rsidP="00FD6C85">
      <w:pPr>
        <w:pStyle w:val="Item"/>
      </w:pPr>
      <w:r w:rsidRPr="00125A49">
        <w:t>Repeal the definition, substitute:</w:t>
      </w:r>
    </w:p>
    <w:p w:rsidR="00FD6C85" w:rsidRPr="00125A49" w:rsidRDefault="00FD6C85" w:rsidP="00FD6C85">
      <w:pPr>
        <w:pStyle w:val="tDefn"/>
      </w:pPr>
      <w:proofErr w:type="spellStart"/>
      <w:r w:rsidRPr="00125A49">
        <w:rPr>
          <w:b/>
          <w:i/>
        </w:rPr>
        <w:t>EF</w:t>
      </w:r>
      <w:r w:rsidRPr="00125A49">
        <w:rPr>
          <w:b/>
          <w:i/>
          <w:vertAlign w:val="subscript"/>
        </w:rPr>
        <w:t>iCO</w:t>
      </w:r>
      <w:proofErr w:type="spellEnd"/>
      <w:r w:rsidRPr="00125A49">
        <w:rPr>
          <w:b/>
          <w:i/>
          <w:position w:val="-4"/>
          <w:vertAlign w:val="subscript"/>
        </w:rPr>
        <w:t>2</w:t>
      </w:r>
      <w:proofErr w:type="spellStart"/>
      <w:r w:rsidRPr="00125A49">
        <w:rPr>
          <w:b/>
          <w:i/>
          <w:vertAlign w:val="subscript"/>
        </w:rPr>
        <w:t>oxec</w:t>
      </w:r>
      <w:proofErr w:type="spellEnd"/>
      <w:r w:rsidRPr="00125A49">
        <w:rPr>
          <w:b/>
          <w:i/>
        </w:rPr>
        <w:t xml:space="preserve"> </w:t>
      </w:r>
      <w:r w:rsidRPr="00125A49">
        <w:t>is the carbon dioxide emission factor for fuel type (</w:t>
      </w:r>
      <w:proofErr w:type="spellStart"/>
      <w:r w:rsidRPr="00125A49">
        <w:rPr>
          <w:b/>
          <w:i/>
        </w:rPr>
        <w:t>i</w:t>
      </w:r>
      <w:proofErr w:type="spellEnd"/>
      <w:r w:rsidRPr="00125A49">
        <w:t>) measured in kilograms of CO</w:t>
      </w:r>
      <w:r w:rsidRPr="00125A49">
        <w:rPr>
          <w:rStyle w:val="charSubscript"/>
          <w:rFonts w:eastAsia="Calibri"/>
        </w:rPr>
        <w:t>2</w:t>
      </w:r>
      <w:r w:rsidRPr="00125A49">
        <w:noBreakHyphen/>
        <w:t>e per gigajoule:</w:t>
      </w:r>
    </w:p>
    <w:p w:rsidR="00FD6C85" w:rsidRPr="00125A49" w:rsidRDefault="00FD6C85" w:rsidP="00FD6C85">
      <w:pPr>
        <w:pStyle w:val="tPara"/>
      </w:pPr>
      <w:r w:rsidRPr="00125A49">
        <w:tab/>
        <w:t>(a)</w:t>
      </w:r>
      <w:r w:rsidRPr="00125A49">
        <w:tab/>
      </w:r>
      <w:proofErr w:type="gramStart"/>
      <w:r w:rsidRPr="00125A49">
        <w:t>if</w:t>
      </w:r>
      <w:proofErr w:type="gramEnd"/>
      <w:r w:rsidRPr="00125A49">
        <w:t xml:space="preserve"> the fuel’s emissions factor for carbon dioxide is 0 in Schedule 1—deemed to be 0 kilograms CO</w:t>
      </w:r>
      <w:r w:rsidRPr="00125A49">
        <w:rPr>
          <w:rStyle w:val="charSubscript"/>
          <w:rFonts w:eastAsia="Calibri"/>
        </w:rPr>
        <w:t>2</w:t>
      </w:r>
      <w:r w:rsidRPr="00125A49">
        <w:noBreakHyphen/>
        <w:t>e per gigajoule;</w:t>
      </w:r>
    </w:p>
    <w:p w:rsidR="00FD6C85" w:rsidRPr="00125A49" w:rsidRDefault="00FD6C85" w:rsidP="00FD6C85">
      <w:pPr>
        <w:pStyle w:val="tPara"/>
      </w:pPr>
      <w:r w:rsidRPr="00125A49">
        <w:tab/>
        <w:t>(b)</w:t>
      </w:r>
      <w:r w:rsidRPr="00125A49">
        <w:tab/>
      </w:r>
      <w:proofErr w:type="gramStart"/>
      <w:r w:rsidRPr="00125A49">
        <w:t>otherwise—</w:t>
      </w:r>
      <w:proofErr w:type="gramEnd"/>
      <w:r w:rsidRPr="00125A49">
        <w:t>calculated in accordance with section 2.43.</w:t>
      </w:r>
    </w:p>
    <w:p w:rsidR="002B7947" w:rsidRPr="00125A49" w:rsidRDefault="00D97600" w:rsidP="002B7947">
      <w:pPr>
        <w:pStyle w:val="h5SchItem"/>
      </w:pPr>
      <w:r>
        <w:t>[6]</w:t>
      </w:r>
      <w:r w:rsidR="002B7947" w:rsidRPr="00125A49">
        <w:tab/>
        <w:t>Subsection 2.12(3) (table item 7)</w:t>
      </w:r>
    </w:p>
    <w:p w:rsidR="00FD6C85" w:rsidRPr="00125A49" w:rsidRDefault="002B7947" w:rsidP="002B7947">
      <w:pPr>
        <w:pStyle w:val="Item"/>
      </w:pPr>
      <w:r w:rsidRPr="00125A49">
        <w:t>Omit “and tyres”.</w:t>
      </w:r>
    </w:p>
    <w:p w:rsidR="00625BBA" w:rsidRPr="00125A49" w:rsidRDefault="00D97600" w:rsidP="00625BBA">
      <w:pPr>
        <w:pStyle w:val="h5SchItem"/>
      </w:pPr>
      <w:r>
        <w:lastRenderedPageBreak/>
        <w:t>[7]</w:t>
      </w:r>
      <w:r w:rsidR="00625BBA" w:rsidRPr="00125A49">
        <w:tab/>
        <w:t xml:space="preserve">Subsection 2.12(3) (after table item </w:t>
      </w:r>
      <w:r w:rsidR="002B7947" w:rsidRPr="00125A49">
        <w:t>7</w:t>
      </w:r>
      <w:r w:rsidR="00625BBA" w:rsidRPr="00125A49">
        <w:t>)</w:t>
      </w:r>
    </w:p>
    <w:p w:rsidR="00625BBA" w:rsidRPr="00125A49" w:rsidRDefault="00625BBA" w:rsidP="00625BBA">
      <w:pPr>
        <w:pStyle w:val="Item"/>
      </w:pPr>
      <w:r w:rsidRPr="00125A49">
        <w:t>Insert: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5564"/>
        <w:gridCol w:w="2437"/>
      </w:tblGrid>
      <w:tr w:rsidR="00125A49" w:rsidRPr="00125A49" w:rsidTr="004673B8">
        <w:tc>
          <w:tcPr>
            <w:tcW w:w="568" w:type="pct"/>
            <w:shd w:val="clear" w:color="auto" w:fill="auto"/>
          </w:tcPr>
          <w:p w:rsidR="00625BBA" w:rsidRPr="00125A49" w:rsidRDefault="002B7947" w:rsidP="004673B8">
            <w:pPr>
              <w:pStyle w:val="Tabletext"/>
            </w:pPr>
            <w:r w:rsidRPr="00125A49">
              <w:t>7</w:t>
            </w:r>
            <w:r w:rsidR="00625BBA" w:rsidRPr="00125A49">
              <w:t>A</w:t>
            </w:r>
          </w:p>
        </w:tc>
        <w:tc>
          <w:tcPr>
            <w:tcW w:w="3082" w:type="pct"/>
            <w:shd w:val="clear" w:color="auto" w:fill="auto"/>
          </w:tcPr>
          <w:p w:rsidR="00625BBA" w:rsidRPr="00125A49" w:rsidRDefault="00625BBA" w:rsidP="004673B8">
            <w:pPr>
              <w:pStyle w:val="Tabletext"/>
            </w:pPr>
            <w:r w:rsidRPr="00125A49">
              <w:rPr>
                <w:snapToGrid w:val="0"/>
              </w:rPr>
              <w:t>Passenger car tyres, if recycled and combusted to produce heat or electricity</w:t>
            </w:r>
          </w:p>
        </w:tc>
        <w:tc>
          <w:tcPr>
            <w:tcW w:w="1350" w:type="pct"/>
            <w:shd w:val="clear" w:color="auto" w:fill="auto"/>
          </w:tcPr>
          <w:p w:rsidR="00625BBA" w:rsidRPr="00125A49" w:rsidRDefault="00625BBA" w:rsidP="004673B8">
            <w:pPr>
              <w:pStyle w:val="Tabletext"/>
            </w:pPr>
            <w:r w:rsidRPr="00125A49">
              <w:t>CEN/TS 14778 – 1:2006</w:t>
            </w:r>
          </w:p>
          <w:p w:rsidR="00625BBA" w:rsidRPr="00125A49" w:rsidRDefault="00625BBA" w:rsidP="004673B8">
            <w:pPr>
              <w:pStyle w:val="Tabletext"/>
            </w:pPr>
            <w:r w:rsidRPr="00125A49">
              <w:t>CEN/TS 15442:2006</w:t>
            </w:r>
          </w:p>
        </w:tc>
      </w:tr>
      <w:tr w:rsidR="00125A49" w:rsidRPr="00125A49" w:rsidTr="004673B8">
        <w:tc>
          <w:tcPr>
            <w:tcW w:w="568" w:type="pct"/>
            <w:shd w:val="clear" w:color="auto" w:fill="auto"/>
          </w:tcPr>
          <w:p w:rsidR="00625BBA" w:rsidRPr="00125A49" w:rsidRDefault="002B7947" w:rsidP="004673B8">
            <w:pPr>
              <w:pStyle w:val="Tabletext"/>
            </w:pPr>
            <w:r w:rsidRPr="00125A49">
              <w:t>7</w:t>
            </w:r>
            <w:r w:rsidR="00625BBA" w:rsidRPr="00125A49">
              <w:t>B</w:t>
            </w:r>
          </w:p>
        </w:tc>
        <w:tc>
          <w:tcPr>
            <w:tcW w:w="3082" w:type="pct"/>
            <w:shd w:val="clear" w:color="auto" w:fill="auto"/>
          </w:tcPr>
          <w:p w:rsidR="00625BBA" w:rsidRPr="00125A49" w:rsidRDefault="00625BBA" w:rsidP="004673B8">
            <w:pPr>
              <w:pStyle w:val="Tabletext"/>
            </w:pPr>
            <w:r w:rsidRPr="00125A49">
              <w:rPr>
                <w:snapToGrid w:val="0"/>
              </w:rPr>
              <w:t>Truck and off-road tyres, if recycled and combusted to produce heat or electricity</w:t>
            </w:r>
          </w:p>
        </w:tc>
        <w:tc>
          <w:tcPr>
            <w:tcW w:w="1350" w:type="pct"/>
            <w:shd w:val="clear" w:color="auto" w:fill="auto"/>
          </w:tcPr>
          <w:p w:rsidR="00625BBA" w:rsidRPr="00125A49" w:rsidRDefault="00625BBA" w:rsidP="004673B8">
            <w:pPr>
              <w:pStyle w:val="Tabletext"/>
            </w:pPr>
            <w:r w:rsidRPr="00125A49">
              <w:t>CEN/TS 14778 – 1:2006</w:t>
            </w:r>
          </w:p>
          <w:p w:rsidR="00625BBA" w:rsidRPr="00125A49" w:rsidRDefault="00625BBA" w:rsidP="004673B8">
            <w:pPr>
              <w:pStyle w:val="Tabletext"/>
            </w:pPr>
            <w:r w:rsidRPr="00125A49">
              <w:t>CEN/TS 15442:2006</w:t>
            </w:r>
          </w:p>
        </w:tc>
      </w:tr>
    </w:tbl>
    <w:p w:rsidR="00982178" w:rsidRPr="00125A49" w:rsidRDefault="00D97600" w:rsidP="00982178">
      <w:pPr>
        <w:pStyle w:val="h5SchItem"/>
      </w:pPr>
      <w:r>
        <w:t>[8]</w:t>
      </w:r>
      <w:r w:rsidR="00982178" w:rsidRPr="00125A49">
        <w:tab/>
        <w:t>Subsection 2.24(1) (after table item 12)</w:t>
      </w:r>
    </w:p>
    <w:p w:rsidR="00982178" w:rsidRPr="00125A49" w:rsidRDefault="00982178" w:rsidP="00982178">
      <w:pPr>
        <w:pStyle w:val="Item"/>
      </w:pPr>
      <w:r w:rsidRPr="00125A49">
        <w:t>Insert: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1975"/>
        <w:gridCol w:w="2500"/>
        <w:gridCol w:w="3576"/>
      </w:tblGrid>
      <w:tr w:rsidR="00125A49" w:rsidRPr="00125A49" w:rsidTr="004673B8">
        <w:tc>
          <w:tcPr>
            <w:tcW w:w="540" w:type="pct"/>
            <w:tcBorders>
              <w:bottom w:val="single" w:sz="4" w:space="0" w:color="auto"/>
            </w:tcBorders>
            <w:shd w:val="clear" w:color="auto" w:fill="auto"/>
          </w:tcPr>
          <w:p w:rsidR="00982178" w:rsidRPr="00125A49" w:rsidRDefault="00982178" w:rsidP="004673B8">
            <w:pPr>
              <w:pStyle w:val="Tabletext"/>
            </w:pPr>
            <w:r w:rsidRPr="00125A49">
              <w:t>12A</w:t>
            </w: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auto"/>
          </w:tcPr>
          <w:p w:rsidR="00982178" w:rsidRPr="00125A49" w:rsidRDefault="00982178" w:rsidP="004673B8">
            <w:pPr>
              <w:pStyle w:val="Tabletext"/>
            </w:pPr>
            <w:r w:rsidRPr="00125A49">
              <w:t>Biomethane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shd w:val="clear" w:color="auto" w:fill="auto"/>
          </w:tcPr>
          <w:p w:rsidR="00982178" w:rsidRPr="00125A49" w:rsidRDefault="00982178" w:rsidP="004673B8">
            <w:pPr>
              <w:pStyle w:val="Tabletext"/>
            </w:pPr>
            <w:r w:rsidRPr="00125A49">
              <w:t>ASTM D 1826 – 94 (2003)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ASTM D 7164 – 05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ISO 6974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>part 1 (2000)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 xml:space="preserve">part 2 (2001) 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 xml:space="preserve">part 3 (2000) 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 xml:space="preserve">part 4 (2000) 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>part 5 (2000)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>part 6 (2002)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ISO 6976:1995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GPA 2172—96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:rsidR="00982178" w:rsidRPr="00125A49" w:rsidRDefault="00982178" w:rsidP="004673B8">
            <w:pPr>
              <w:pStyle w:val="Tabletext"/>
            </w:pPr>
            <w:r w:rsidRPr="00125A49">
              <w:t xml:space="preserve">ASTM D 1945 – 03 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ASTM D 1946 – 90 (2006)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ISO 6974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>part 1 (2000)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 xml:space="preserve">part 2 (2001) 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 xml:space="preserve">part 3 (2000) 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 xml:space="preserve">part 4 (2000) 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>part 5 (2000)</w:t>
            </w:r>
          </w:p>
          <w:p w:rsidR="00982178" w:rsidRPr="00125A49" w:rsidRDefault="00982178" w:rsidP="004673B8">
            <w:pPr>
              <w:pStyle w:val="Tabletext"/>
              <w:ind w:left="177"/>
            </w:pPr>
            <w:r w:rsidRPr="00125A49">
              <w:t>part 6 (2002)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GPA 2145 – 03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GPA 2261 – 00</w:t>
            </w:r>
          </w:p>
        </w:tc>
      </w:tr>
    </w:tbl>
    <w:p w:rsidR="00E04900" w:rsidRPr="00125A49" w:rsidRDefault="00D97600" w:rsidP="00E04900">
      <w:pPr>
        <w:pStyle w:val="h5SchItem"/>
      </w:pPr>
      <w:r>
        <w:t>[9]</w:t>
      </w:r>
      <w:r w:rsidR="00E04900" w:rsidRPr="00125A49">
        <w:tab/>
        <w:t>Subsection 2.24</w:t>
      </w:r>
      <w:r>
        <w:t>(1)</w:t>
      </w:r>
      <w:r w:rsidR="00E04900" w:rsidRPr="00125A49">
        <w:t xml:space="preserve"> (table item 13)</w:t>
      </w:r>
    </w:p>
    <w:p w:rsidR="00E04900" w:rsidRPr="00125A49" w:rsidRDefault="00E04900" w:rsidP="00E04900">
      <w:pPr>
        <w:pStyle w:val="Item"/>
      </w:pPr>
      <w:r w:rsidRPr="00125A49">
        <w:t>Omit “11 and 12”, substitute “11, 12 and 12A”.</w:t>
      </w:r>
    </w:p>
    <w:p w:rsidR="00982178" w:rsidRPr="00125A49" w:rsidRDefault="00D97600" w:rsidP="00982178">
      <w:pPr>
        <w:pStyle w:val="h5SchItem"/>
      </w:pPr>
      <w:r>
        <w:t>[10]</w:t>
      </w:r>
      <w:r w:rsidR="00982178" w:rsidRPr="00125A49">
        <w:tab/>
        <w:t>Subsection 2.26(</w:t>
      </w:r>
      <w:r w:rsidR="00AA5CB1" w:rsidRPr="00125A49">
        <w:t>3</w:t>
      </w:r>
      <w:r w:rsidR="00982178" w:rsidRPr="00125A49">
        <w:t>) (after table item 12)</w:t>
      </w:r>
    </w:p>
    <w:p w:rsidR="00982178" w:rsidRPr="00125A49" w:rsidRDefault="00982178" w:rsidP="00982178">
      <w:pPr>
        <w:pStyle w:val="Item"/>
      </w:pPr>
      <w:r w:rsidRPr="00125A49">
        <w:t>Insert:</w:t>
      </w:r>
    </w:p>
    <w:p w:rsidR="00982178" w:rsidRPr="00125A49" w:rsidRDefault="00982178" w:rsidP="00982178">
      <w:pPr>
        <w:rPr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601"/>
        <w:gridCol w:w="4455"/>
      </w:tblGrid>
      <w:tr w:rsidR="00125A49" w:rsidRPr="00125A49" w:rsidTr="004673B8">
        <w:tc>
          <w:tcPr>
            <w:tcW w:w="537" w:type="pct"/>
            <w:tcBorders>
              <w:bottom w:val="single" w:sz="4" w:space="0" w:color="auto"/>
            </w:tcBorders>
            <w:shd w:val="clear" w:color="auto" w:fill="auto"/>
          </w:tcPr>
          <w:p w:rsidR="00982178" w:rsidRPr="00125A49" w:rsidRDefault="00982178" w:rsidP="004673B8">
            <w:pPr>
              <w:pStyle w:val="Tabletext"/>
            </w:pPr>
            <w:r w:rsidRPr="00125A49">
              <w:t>12A</w:t>
            </w:r>
          </w:p>
        </w:tc>
        <w:tc>
          <w:tcPr>
            <w:tcW w:w="1995" w:type="pct"/>
            <w:tcBorders>
              <w:bottom w:val="single" w:sz="4" w:space="0" w:color="auto"/>
            </w:tcBorders>
            <w:shd w:val="clear" w:color="auto" w:fill="auto"/>
          </w:tcPr>
          <w:p w:rsidR="00982178" w:rsidRPr="00125A49" w:rsidRDefault="00982178" w:rsidP="004673B8">
            <w:pPr>
              <w:pStyle w:val="Tabletext"/>
            </w:pPr>
            <w:r w:rsidRPr="00125A49">
              <w:t>Biomethane</w:t>
            </w:r>
          </w:p>
        </w:tc>
        <w:tc>
          <w:tcPr>
            <w:tcW w:w="2468" w:type="pct"/>
            <w:tcBorders>
              <w:bottom w:val="single" w:sz="4" w:space="0" w:color="auto"/>
            </w:tcBorders>
            <w:shd w:val="clear" w:color="auto" w:fill="auto"/>
          </w:tcPr>
          <w:p w:rsidR="00982178" w:rsidRPr="00125A49" w:rsidRDefault="00982178" w:rsidP="004673B8">
            <w:pPr>
              <w:pStyle w:val="Tabletext"/>
            </w:pPr>
            <w:r w:rsidRPr="00125A49">
              <w:t>ISO 10715:1997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ASTM D 5287–97 (2002)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ASTM F 307–02 (2007)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ASTM D 5503–94 (2003)</w:t>
            </w:r>
          </w:p>
          <w:p w:rsidR="00982178" w:rsidRPr="00125A49" w:rsidRDefault="00982178" w:rsidP="004673B8">
            <w:pPr>
              <w:pStyle w:val="Tabletext"/>
            </w:pPr>
            <w:r w:rsidRPr="00125A49">
              <w:t>GPA 2166–05</w:t>
            </w:r>
          </w:p>
        </w:tc>
      </w:tr>
    </w:tbl>
    <w:p w:rsidR="00957DD5" w:rsidRPr="00125A49" w:rsidRDefault="00D97600" w:rsidP="00957DD5">
      <w:pPr>
        <w:pStyle w:val="h5SchItem"/>
      </w:pPr>
      <w:r>
        <w:t>[11]</w:t>
      </w:r>
      <w:r w:rsidR="00957DD5" w:rsidRPr="00125A49">
        <w:tab/>
        <w:t>Subsection 2.26(3) (table item 13)</w:t>
      </w:r>
    </w:p>
    <w:p w:rsidR="00957DD5" w:rsidRPr="00125A49" w:rsidRDefault="00957DD5" w:rsidP="00957DD5">
      <w:pPr>
        <w:pStyle w:val="Item"/>
      </w:pPr>
      <w:r w:rsidRPr="00125A49">
        <w:t>Omit “11 and 12”, substitute “11, 12 and 12A”.</w:t>
      </w:r>
    </w:p>
    <w:p w:rsidR="000913EA" w:rsidRPr="00125A49" w:rsidRDefault="00D97600" w:rsidP="000913EA">
      <w:pPr>
        <w:pStyle w:val="h5SchItem"/>
      </w:pPr>
      <w:r>
        <w:t>[12]</w:t>
      </w:r>
      <w:r w:rsidR="001A5A16" w:rsidRPr="00125A49">
        <w:tab/>
        <w:t>Section 2.65</w:t>
      </w:r>
    </w:p>
    <w:p w:rsidR="00495A0B" w:rsidRPr="00125A49" w:rsidRDefault="001A5A16" w:rsidP="00495A0B">
      <w:pPr>
        <w:pStyle w:val="Item"/>
      </w:pPr>
      <w:r w:rsidRPr="00125A49">
        <w:t>Omit “solid fuel or a liquid fuel”, substitute “solid fuel, a liquid fuel or a gaseous fuel”.</w:t>
      </w:r>
    </w:p>
    <w:p w:rsidR="00495A0B" w:rsidRPr="00125A49" w:rsidRDefault="00D97600" w:rsidP="00495A0B">
      <w:pPr>
        <w:pStyle w:val="h5SchItem"/>
      </w:pPr>
      <w:r>
        <w:t>[13]</w:t>
      </w:r>
      <w:r w:rsidR="00495A0B" w:rsidRPr="00125A49">
        <w:tab/>
        <w:t>Subparagraph 2.66</w:t>
      </w:r>
      <w:r>
        <w:t>(1</w:t>
      </w:r>
      <w:proofErr w:type="gramStart"/>
      <w:r>
        <w:t>)</w:t>
      </w:r>
      <w:r w:rsidR="00495A0B" w:rsidRPr="00125A49">
        <w:t>(</w:t>
      </w:r>
      <w:proofErr w:type="gramEnd"/>
      <w:r w:rsidR="00495A0B" w:rsidRPr="00125A49">
        <w:t xml:space="preserve">b)(ii) </w:t>
      </w:r>
    </w:p>
    <w:p w:rsidR="00495A0B" w:rsidRPr="00125A49" w:rsidRDefault="00495A0B" w:rsidP="00495A0B">
      <w:pPr>
        <w:pStyle w:val="Item"/>
      </w:pPr>
      <w:r w:rsidRPr="00125A49">
        <w:t>Omit “ASTM D6866—10”, substitute “ASTM D6866—20”.</w:t>
      </w:r>
    </w:p>
    <w:p w:rsidR="00495A0B" w:rsidRPr="00125A49" w:rsidRDefault="00D97600" w:rsidP="00495A0B">
      <w:pPr>
        <w:pStyle w:val="h5SchItem"/>
      </w:pPr>
      <w:r>
        <w:t>[14]</w:t>
      </w:r>
      <w:r w:rsidR="00495A0B" w:rsidRPr="00125A49">
        <w:tab/>
        <w:t>Paragraph 2.67</w:t>
      </w:r>
      <w:r>
        <w:t>(1</w:t>
      </w:r>
      <w:proofErr w:type="gramStart"/>
      <w:r>
        <w:t>)</w:t>
      </w:r>
      <w:r w:rsidR="00495A0B" w:rsidRPr="00125A49">
        <w:t>(</w:t>
      </w:r>
      <w:proofErr w:type="gramEnd"/>
      <w:r w:rsidR="00495A0B" w:rsidRPr="00125A49">
        <w:t>b)</w:t>
      </w:r>
    </w:p>
    <w:p w:rsidR="00495A0B" w:rsidRPr="00125A49" w:rsidRDefault="00495A0B" w:rsidP="00495A0B">
      <w:pPr>
        <w:pStyle w:val="Item"/>
      </w:pPr>
      <w:r w:rsidRPr="00125A49">
        <w:t>Omit “ASTM: D6866—10”, substitute “ASTM D6866—20”.</w:t>
      </w:r>
    </w:p>
    <w:p w:rsidR="00193D3A" w:rsidRPr="00125A49" w:rsidRDefault="00D97600" w:rsidP="00193D3A">
      <w:pPr>
        <w:pStyle w:val="h5SchItem"/>
      </w:pPr>
      <w:r>
        <w:lastRenderedPageBreak/>
        <w:t>[15]</w:t>
      </w:r>
      <w:r w:rsidR="001A5A16" w:rsidRPr="00125A49">
        <w:tab/>
        <w:t>After section 2.67</w:t>
      </w:r>
    </w:p>
    <w:p w:rsidR="001A5A16" w:rsidRPr="00125A49" w:rsidRDefault="001A5A16" w:rsidP="001A5A16">
      <w:pPr>
        <w:pStyle w:val="Item"/>
      </w:pPr>
      <w:r w:rsidRPr="00125A49">
        <w:t>Add:</w:t>
      </w:r>
    </w:p>
    <w:p w:rsidR="005F12F5" w:rsidRPr="00125A49" w:rsidRDefault="005F12F5" w:rsidP="005F12F5">
      <w:pPr>
        <w:pStyle w:val="h5Section"/>
      </w:pPr>
      <w:proofErr w:type="gramStart"/>
      <w:r w:rsidRPr="00125A49">
        <w:rPr>
          <w:rStyle w:val="CharSectno"/>
          <w:rFonts w:eastAsiaTheme="minorEastAsia"/>
        </w:rPr>
        <w:t>2.67A</w:t>
      </w:r>
      <w:r w:rsidRPr="00125A49">
        <w:t xml:space="preserve">  Blended</w:t>
      </w:r>
      <w:proofErr w:type="gramEnd"/>
      <w:r w:rsidRPr="00125A49">
        <w:t xml:space="preserve"> gaseous fuels</w:t>
      </w:r>
    </w:p>
    <w:p w:rsidR="005F12F5" w:rsidRPr="00125A49" w:rsidRDefault="005F12F5" w:rsidP="005F12F5">
      <w:pPr>
        <w:pStyle w:val="tMain"/>
      </w:pPr>
      <w:r w:rsidRPr="00125A49">
        <w:tab/>
      </w:r>
      <w:r w:rsidRPr="00125A49">
        <w:tab/>
        <w:t xml:space="preserve">In determining the amounts of each kind of fuel that is in a blended gaseous fuel, a person may do </w:t>
      </w:r>
      <w:r w:rsidR="00AD7795">
        <w:t>either</w:t>
      </w:r>
      <w:r w:rsidRPr="00125A49">
        <w:t xml:space="preserve"> or </w:t>
      </w:r>
      <w:r w:rsidR="00AD7795">
        <w:t>both</w:t>
      </w:r>
      <w:r w:rsidRPr="00125A49">
        <w:t xml:space="preserve"> of the following: </w:t>
      </w:r>
    </w:p>
    <w:p w:rsidR="005F12F5" w:rsidRPr="00125A49" w:rsidRDefault="005F12F5" w:rsidP="005F12F5">
      <w:pPr>
        <w:pStyle w:val="tPara"/>
      </w:pPr>
      <w:r w:rsidRPr="00125A49">
        <w:tab/>
        <w:t>(a)</w:t>
      </w:r>
      <w:r w:rsidRPr="00125A49">
        <w:tab/>
      </w:r>
      <w:proofErr w:type="gramStart"/>
      <w:r w:rsidRPr="00125A49">
        <w:t>adopt</w:t>
      </w:r>
      <w:proofErr w:type="gramEnd"/>
      <w:r w:rsidRPr="00125A49">
        <w:t xml:space="preserve"> a determination of the amounts by the producer of the fuel or the operator of the pipeline that supplied the fuel; </w:t>
      </w:r>
    </w:p>
    <w:p w:rsidR="005F12F5" w:rsidRPr="00125A49" w:rsidRDefault="005F12F5" w:rsidP="005F12F5">
      <w:pPr>
        <w:pStyle w:val="tPara"/>
      </w:pPr>
      <w:r w:rsidRPr="00125A49">
        <w:tab/>
        <w:t>(</w:t>
      </w:r>
      <w:r w:rsidR="005B3534" w:rsidRPr="00125A49">
        <w:t>b</w:t>
      </w:r>
      <w:r w:rsidRPr="00125A49">
        <w:t>)</w:t>
      </w:r>
      <w:r w:rsidRPr="00125A49">
        <w:tab/>
      </w:r>
      <w:proofErr w:type="gramStart"/>
      <w:r w:rsidRPr="00125A49">
        <w:t>adopt</w:t>
      </w:r>
      <w:proofErr w:type="gramEnd"/>
      <w:r w:rsidRPr="00125A49">
        <w:t xml:space="preserve"> analysis arrived at after</w:t>
      </w:r>
      <w:r w:rsidR="005B3534" w:rsidRPr="00125A49">
        <w:t>:</w:t>
      </w:r>
    </w:p>
    <w:p w:rsidR="005F12F5" w:rsidRPr="00125A49" w:rsidRDefault="005F12F5" w:rsidP="005F12F5">
      <w:pPr>
        <w:pStyle w:val="tSubpara"/>
      </w:pPr>
      <w:r w:rsidRPr="00125A49">
        <w:tab/>
        <w:t>(</w:t>
      </w:r>
      <w:proofErr w:type="spellStart"/>
      <w:r w:rsidRPr="00125A49">
        <w:t>i</w:t>
      </w:r>
      <w:proofErr w:type="spellEnd"/>
      <w:r w:rsidRPr="00125A49">
        <w:t>)</w:t>
      </w:r>
      <w:r w:rsidRPr="00125A49">
        <w:tab/>
      </w:r>
      <w:proofErr w:type="gramStart"/>
      <w:r w:rsidRPr="00125A49">
        <w:t>sampling</w:t>
      </w:r>
      <w:proofErr w:type="gramEnd"/>
      <w:r w:rsidRPr="00125A49">
        <w:t xml:space="preserve"> in accordance with subsections 2.26(3) and (4); and</w:t>
      </w:r>
    </w:p>
    <w:p w:rsidR="005F12F5" w:rsidRPr="00125A49" w:rsidRDefault="005F12F5" w:rsidP="005F12F5">
      <w:pPr>
        <w:pStyle w:val="tSubpara"/>
      </w:pPr>
      <w:r w:rsidRPr="00125A49">
        <w:tab/>
        <w:t>(ii)</w:t>
      </w:r>
      <w:r w:rsidRPr="00125A49">
        <w:tab/>
      </w:r>
      <w:proofErr w:type="gramStart"/>
      <w:r w:rsidRPr="00125A49">
        <w:t>the</w:t>
      </w:r>
      <w:proofErr w:type="gramEnd"/>
      <w:r w:rsidRPr="00125A49">
        <w:t xml:space="preserve"> analysing the fuel in accordance with ASTM D6866—20 or a standard that is equivalent to that standard.</w:t>
      </w:r>
    </w:p>
    <w:p w:rsidR="005F12F5" w:rsidRPr="00125A49" w:rsidRDefault="005F12F5" w:rsidP="005F12F5">
      <w:pPr>
        <w:pStyle w:val="nMain"/>
      </w:pPr>
      <w:r w:rsidRPr="00125A49">
        <w:t>Note:</w:t>
      </w:r>
      <w:r w:rsidRPr="00125A49">
        <w:tab/>
        <w:t>In 2022, ASTM D6866-20 could be obtained from http://www.astm.org.</w:t>
      </w:r>
    </w:p>
    <w:p w:rsidR="001A5A16" w:rsidRPr="00125A49" w:rsidRDefault="00D97600" w:rsidP="001A5A16">
      <w:pPr>
        <w:pStyle w:val="h5SchItem"/>
      </w:pPr>
      <w:r>
        <w:t>[16]</w:t>
      </w:r>
      <w:r w:rsidR="001A5A16" w:rsidRPr="00125A49">
        <w:tab/>
        <w:t xml:space="preserve">Section 3.33 </w:t>
      </w:r>
    </w:p>
    <w:p w:rsidR="001A5A16" w:rsidRPr="00982178" w:rsidRDefault="001A5A16" w:rsidP="001A5A16">
      <w:pPr>
        <w:pStyle w:val="Item"/>
      </w:pPr>
      <w:r w:rsidRPr="00982178">
        <w:t xml:space="preserve"> Omit the words and equation before “where”, substitute: </w:t>
      </w:r>
    </w:p>
    <w:p w:rsidR="001A5A16" w:rsidRPr="00982178" w:rsidRDefault="001A5A16" w:rsidP="001A5A16">
      <w:pPr>
        <w:pStyle w:val="tMain"/>
      </w:pPr>
      <w:r w:rsidRPr="00982178">
        <w:tab/>
      </w:r>
      <w:r w:rsidRPr="00982178">
        <w:tab/>
        <w:t xml:space="preserve">For section 3.32, </w:t>
      </w:r>
      <w:proofErr w:type="spellStart"/>
      <w:r w:rsidRPr="00982178">
        <w:rPr>
          <w:b/>
          <w:i/>
        </w:rPr>
        <w:t>EF</w:t>
      </w:r>
      <w:r w:rsidRPr="00982178">
        <w:rPr>
          <w:rStyle w:val="charSubscript"/>
          <w:b/>
          <w:i/>
        </w:rPr>
        <w:t>dm</w:t>
      </w:r>
      <w:proofErr w:type="spellEnd"/>
      <w:r w:rsidRPr="00982178">
        <w:t xml:space="preserve"> is the integral under the curve, for the period between </w:t>
      </w:r>
      <w:r w:rsidRPr="00982178">
        <w:rPr>
          <w:b/>
          <w:i/>
        </w:rPr>
        <w:t>T</w:t>
      </w:r>
      <w:r w:rsidRPr="00982178">
        <w:t xml:space="preserve"> and </w:t>
      </w:r>
      <w:r w:rsidRPr="00982178">
        <w:rPr>
          <w:b/>
          <w:i/>
        </w:rPr>
        <w:t>T</w:t>
      </w:r>
      <w:r w:rsidRPr="00982178">
        <w:t>-</w:t>
      </w:r>
      <w:r w:rsidRPr="00982178">
        <w:rPr>
          <w:b/>
          <w:i/>
        </w:rPr>
        <w:t>N</w:t>
      </w:r>
      <w:r w:rsidRPr="00982178">
        <w:rPr>
          <w:i/>
        </w:rPr>
        <w:t>,</w:t>
      </w:r>
      <w:r w:rsidRPr="00982178">
        <w:t xml:space="preserve"> of: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(1+A ×T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-C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den>
          </m:f>
        </m:oMath>
      </m:oMathPara>
    </w:p>
    <w:p w:rsidR="00250230" w:rsidRPr="00982178" w:rsidRDefault="00D97600" w:rsidP="00250230">
      <w:pPr>
        <w:pStyle w:val="h5SchItem"/>
      </w:pPr>
      <w:r>
        <w:t>[17]</w:t>
      </w:r>
      <w:r w:rsidR="00250230" w:rsidRPr="00982178">
        <w:tab/>
        <w:t>S</w:t>
      </w:r>
      <w:r w:rsidR="00250230">
        <w:t>ubs</w:t>
      </w:r>
      <w:r w:rsidR="00250230" w:rsidRPr="00982178">
        <w:t xml:space="preserve">ection </w:t>
      </w:r>
      <w:r w:rsidR="00250230">
        <w:t>3.81</w:t>
      </w:r>
      <w:r>
        <w:t>(1)</w:t>
      </w:r>
      <w:r w:rsidR="00250230">
        <w:t xml:space="preserve"> (equation)</w:t>
      </w:r>
      <w:r w:rsidR="00250230" w:rsidRPr="00982178">
        <w:t xml:space="preserve"> </w:t>
      </w:r>
    </w:p>
    <w:p w:rsidR="00250230" w:rsidRPr="00982178" w:rsidRDefault="00250230" w:rsidP="00250230">
      <w:pPr>
        <w:pStyle w:val="Item"/>
      </w:pPr>
      <w:r w:rsidRPr="00982178">
        <w:t xml:space="preserve"> Omit “</w:t>
      </w:r>
      <w:r>
        <w:t>0.55</w:t>
      </w:r>
      <w:r w:rsidRPr="00982178">
        <w:t>”, substitute</w:t>
      </w:r>
      <w:r>
        <w:t xml:space="preserve"> “0.373”</w:t>
      </w:r>
    </w:p>
    <w:p w:rsidR="00250230" w:rsidRPr="00982178" w:rsidRDefault="00D97600" w:rsidP="00250230">
      <w:pPr>
        <w:pStyle w:val="h5SchItem"/>
      </w:pPr>
      <w:r>
        <w:t>[18]</w:t>
      </w:r>
      <w:r w:rsidR="00250230" w:rsidRPr="00982178">
        <w:tab/>
        <w:t>S</w:t>
      </w:r>
      <w:r w:rsidR="00250230">
        <w:t>ubs</w:t>
      </w:r>
      <w:r w:rsidR="00250230" w:rsidRPr="00982178">
        <w:t xml:space="preserve">ection </w:t>
      </w:r>
      <w:r w:rsidR="00250230">
        <w:t>3.81</w:t>
      </w:r>
      <w:r>
        <w:t>(1)</w:t>
      </w:r>
      <w:r w:rsidR="00250230">
        <w:t xml:space="preserve"> (note after the definition of </w:t>
      </w:r>
      <w:r w:rsidR="00250230">
        <w:rPr>
          <w:i/>
        </w:rPr>
        <w:t>%</w:t>
      </w:r>
      <w:proofErr w:type="spellStart"/>
      <w:r w:rsidR="00250230">
        <w:rPr>
          <w:i/>
        </w:rPr>
        <w:t>UAG</w:t>
      </w:r>
      <w:r w:rsidR="00250230">
        <w:rPr>
          <w:rStyle w:val="charSubscript"/>
          <w:i/>
        </w:rPr>
        <w:t>p</w:t>
      </w:r>
      <w:proofErr w:type="spellEnd"/>
      <w:r w:rsidR="00250230">
        <w:t>)</w:t>
      </w:r>
      <w:r w:rsidR="00250230" w:rsidRPr="00982178">
        <w:t xml:space="preserve"> </w:t>
      </w:r>
    </w:p>
    <w:p w:rsidR="00250230" w:rsidRPr="00982178" w:rsidRDefault="00250230" w:rsidP="00250230">
      <w:pPr>
        <w:pStyle w:val="Item"/>
      </w:pPr>
      <w:r w:rsidRPr="00982178">
        <w:t xml:space="preserve"> Omit “</w:t>
      </w:r>
      <w:r>
        <w:t>0.55</w:t>
      </w:r>
      <w:r w:rsidRPr="00982178">
        <w:t>”, substitute</w:t>
      </w:r>
      <w:r>
        <w:t xml:space="preserve"> “0.373”</w:t>
      </w:r>
    </w:p>
    <w:p w:rsidR="00250230" w:rsidRPr="00982178" w:rsidRDefault="00D97600" w:rsidP="00250230">
      <w:pPr>
        <w:pStyle w:val="h5SchItem"/>
      </w:pPr>
      <w:r>
        <w:t>[19]</w:t>
      </w:r>
      <w:r w:rsidR="00250230" w:rsidRPr="00982178">
        <w:tab/>
        <w:t>S</w:t>
      </w:r>
      <w:r w:rsidR="00250230">
        <w:t>ubs</w:t>
      </w:r>
      <w:r w:rsidR="00250230" w:rsidRPr="00982178">
        <w:t xml:space="preserve">ection </w:t>
      </w:r>
      <w:proofErr w:type="gramStart"/>
      <w:r w:rsidR="00250230">
        <w:t>3.82A</w:t>
      </w:r>
      <w:r>
        <w:t>(</w:t>
      </w:r>
      <w:proofErr w:type="gramEnd"/>
      <w:r>
        <w:t>1)</w:t>
      </w:r>
      <w:r w:rsidR="00250230">
        <w:t xml:space="preserve"> (equation)</w:t>
      </w:r>
      <w:r w:rsidR="00250230" w:rsidRPr="00982178">
        <w:t xml:space="preserve"> </w:t>
      </w:r>
    </w:p>
    <w:p w:rsidR="00250230" w:rsidRDefault="00250230" w:rsidP="00250230">
      <w:pPr>
        <w:pStyle w:val="Item"/>
      </w:pPr>
      <w:r w:rsidRPr="00982178">
        <w:t xml:space="preserve"> Omit “</w:t>
      </w:r>
      <w:r>
        <w:t>0.55</w:t>
      </w:r>
      <w:r w:rsidRPr="00982178">
        <w:t>”, substitute</w:t>
      </w:r>
      <w:r>
        <w:t xml:space="preserve"> “0.373”</w:t>
      </w:r>
    </w:p>
    <w:p w:rsidR="0041525B" w:rsidRPr="00982178" w:rsidRDefault="00D97600" w:rsidP="0041525B">
      <w:pPr>
        <w:pStyle w:val="h5SchItem"/>
      </w:pPr>
      <w:r>
        <w:t>[20]</w:t>
      </w:r>
      <w:r w:rsidR="0041525B">
        <w:tab/>
        <w:t>Sections 4.103 and 4.104</w:t>
      </w:r>
    </w:p>
    <w:p w:rsidR="0041525B" w:rsidRDefault="0041525B" w:rsidP="0041525B">
      <w:pPr>
        <w:pStyle w:val="Item"/>
      </w:pPr>
      <w:r w:rsidRPr="00982178">
        <w:t xml:space="preserve"> </w:t>
      </w:r>
      <w:r>
        <w:t>Repeal the sections</w:t>
      </w:r>
      <w:r w:rsidRPr="00982178">
        <w:t xml:space="preserve">, substitute: </w:t>
      </w:r>
    </w:p>
    <w:p w:rsidR="0041525B" w:rsidRPr="0005417A" w:rsidRDefault="0041525B" w:rsidP="0041525B">
      <w:pPr>
        <w:pStyle w:val="h5Section"/>
      </w:pPr>
      <w:bookmarkStart w:id="17" w:name="_Toc77773249"/>
      <w:proofErr w:type="gramStart"/>
      <w:r w:rsidRPr="0005417A">
        <w:rPr>
          <w:rStyle w:val="CharSectno"/>
        </w:rPr>
        <w:t>4.103</w:t>
      </w:r>
      <w:r w:rsidRPr="0005417A">
        <w:t xml:space="preserve">  Method</w:t>
      </w:r>
      <w:proofErr w:type="gramEnd"/>
      <w:r w:rsidRPr="0005417A">
        <w:t xml:space="preserve"> 2</w:t>
      </w:r>
      <w:bookmarkEnd w:id="17"/>
    </w:p>
    <w:p w:rsidR="0041525B" w:rsidRPr="0005417A" w:rsidRDefault="0041525B" w:rsidP="0041525B">
      <w:pPr>
        <w:pStyle w:val="tMain"/>
      </w:pPr>
      <w:r w:rsidRPr="0005417A">
        <w:tab/>
      </w:r>
      <w:r w:rsidRPr="0005417A">
        <w:tab/>
        <w:t>For paragraph 4.98(1</w:t>
      </w:r>
      <w:proofErr w:type="gramStart"/>
      <w:r w:rsidRPr="0005417A">
        <w:t>)(</w:t>
      </w:r>
      <w:proofErr w:type="gramEnd"/>
      <w:r w:rsidRPr="0005417A">
        <w:t>b), method 2 for estimating emissions of hydrofluorocarbons or sulphur hexa</w:t>
      </w:r>
      <w:r>
        <w:t>fluoride during a year uses a mass balance</w:t>
      </w:r>
      <w:r w:rsidR="00823BFC">
        <w:t xml:space="preserve"> accounting approach using relevant global warming potentials and</w:t>
      </w:r>
      <w:r>
        <w:t xml:space="preserve"> </w:t>
      </w:r>
      <w:r w:rsidR="00823BFC">
        <w:t xml:space="preserve">based </w:t>
      </w:r>
      <w:r>
        <w:t>on the following:</w:t>
      </w:r>
    </w:p>
    <w:p w:rsidR="0041525B" w:rsidRPr="0005417A" w:rsidRDefault="0041525B" w:rsidP="0041525B">
      <w:pPr>
        <w:pStyle w:val="tDefn"/>
        <w:rPr>
          <w:rFonts w:ascii="TimesNewRoman" w:hAnsi="TimesNewRoman" w:cs="TimesNewRoman"/>
        </w:rPr>
      </w:pPr>
      <w:r>
        <w:rPr>
          <w:rFonts w:ascii="TimesNewRoman,BoldItalic" w:hAnsi="TimesNewRoman,BoldItalic" w:cs="TimesNewRoman,BoldItalic"/>
          <w:b/>
          <w:bCs/>
          <w:i/>
          <w:iCs/>
        </w:rPr>
        <w:t>Storage at the beginning of the year</w:t>
      </w:r>
      <w:r w:rsidR="00EE1C63">
        <w:rPr>
          <w:rFonts w:ascii="TimesNewRoman,BoldItalic" w:hAnsi="TimesNewRoman,BoldItalic" w:cs="TimesNewRoman,BoldItalic"/>
          <w:bCs/>
          <w:iCs/>
        </w:rPr>
        <w:t>, in k</w:t>
      </w:r>
      <w:r w:rsidR="002B7947">
        <w:rPr>
          <w:rFonts w:ascii="TimesNewRoman,BoldItalic" w:hAnsi="TimesNewRoman,BoldItalic" w:cs="TimesNewRoman,BoldItalic"/>
          <w:bCs/>
          <w:iCs/>
        </w:rPr>
        <w:t>ilograms</w:t>
      </w:r>
      <w:r w:rsidRPr="0041525B">
        <w:rPr>
          <w:rFonts w:ascii="TimesNewRoman,BoldItalic" w:hAnsi="TimesNewRoman,BoldItalic" w:cs="TimesNewRoman,BoldItalic"/>
          <w:bCs/>
          <w:iCs/>
        </w:rPr>
        <w:t>, minus</w:t>
      </w:r>
    </w:p>
    <w:p w:rsidR="0041525B" w:rsidRPr="0005417A" w:rsidRDefault="0041525B" w:rsidP="0041525B">
      <w:pPr>
        <w:pStyle w:val="tDefn"/>
      </w:pPr>
      <w:r>
        <w:rPr>
          <w:b/>
          <w:i/>
        </w:rPr>
        <w:t>Storage at the end of the year</w:t>
      </w:r>
      <w:r w:rsidR="00EE1C63">
        <w:rPr>
          <w:rFonts w:ascii="TimesNewRoman,BoldItalic" w:hAnsi="TimesNewRoman,BoldItalic" w:cs="TimesNewRoman,BoldItalic"/>
          <w:bCs/>
          <w:iCs/>
        </w:rPr>
        <w:t>, in k</w:t>
      </w:r>
      <w:r w:rsidR="002B7947">
        <w:rPr>
          <w:rFonts w:ascii="TimesNewRoman,BoldItalic" w:hAnsi="TimesNewRoman,BoldItalic" w:cs="TimesNewRoman,BoldItalic"/>
          <w:bCs/>
          <w:iCs/>
        </w:rPr>
        <w:t>ilograms</w:t>
      </w:r>
      <w:r w:rsidRPr="0041525B">
        <w:rPr>
          <w:rFonts w:ascii="TimesNewRoman,BoldItalic" w:hAnsi="TimesNewRoman,BoldItalic" w:cs="TimesNewRoman,BoldItalic"/>
          <w:bCs/>
          <w:iCs/>
        </w:rPr>
        <w:t xml:space="preserve">, </w:t>
      </w:r>
      <w:r>
        <w:rPr>
          <w:rFonts w:ascii="TimesNewRoman,BoldItalic" w:hAnsi="TimesNewRoman,BoldItalic" w:cs="TimesNewRoman,BoldItalic"/>
          <w:bCs/>
          <w:iCs/>
        </w:rPr>
        <w:t>plus</w:t>
      </w:r>
    </w:p>
    <w:p w:rsidR="0041525B" w:rsidRDefault="0041525B" w:rsidP="0041525B">
      <w:pPr>
        <w:pStyle w:val="tDefn"/>
        <w:rPr>
          <w:b/>
          <w:i/>
        </w:rPr>
      </w:pPr>
      <w:r>
        <w:rPr>
          <w:b/>
          <w:i/>
        </w:rPr>
        <w:t xml:space="preserve">Additions </w:t>
      </w:r>
      <w:r>
        <w:t xml:space="preserve">(from purchases, including inside equipment, and returned to site after </w:t>
      </w:r>
      <w:r w:rsidR="00EE1C63">
        <w:t>recycling</w:t>
      </w:r>
      <w:r>
        <w:t>), in k</w:t>
      </w:r>
      <w:r w:rsidR="002B7947">
        <w:t>ilograms</w:t>
      </w:r>
      <w:r>
        <w:t xml:space="preserve">, minus </w:t>
      </w:r>
    </w:p>
    <w:p w:rsidR="0041525B" w:rsidRPr="0041525B" w:rsidRDefault="0041525B" w:rsidP="0041525B">
      <w:pPr>
        <w:pStyle w:val="tDefn"/>
      </w:pPr>
      <w:r>
        <w:rPr>
          <w:b/>
          <w:i/>
        </w:rPr>
        <w:t xml:space="preserve">Subtractions </w:t>
      </w:r>
      <w:r w:rsidRPr="0041525B">
        <w:t>(from sales, returns to suppliers, destructions and recycling), in k</w:t>
      </w:r>
      <w:r w:rsidR="002B7947">
        <w:t>ilograms</w:t>
      </w:r>
      <w:r>
        <w:t>,</w:t>
      </w:r>
      <w:r w:rsidRPr="0041525B">
        <w:t xml:space="preserve"> minus</w:t>
      </w:r>
    </w:p>
    <w:p w:rsidR="0041525B" w:rsidRPr="0005417A" w:rsidRDefault="0041525B" w:rsidP="00957DD5">
      <w:pPr>
        <w:pStyle w:val="tDefn"/>
      </w:pPr>
      <w:r>
        <w:rPr>
          <w:b/>
          <w:i/>
        </w:rPr>
        <w:lastRenderedPageBreak/>
        <w:t xml:space="preserve">Changes to nameplate capacity </w:t>
      </w:r>
      <w:r>
        <w:rPr>
          <w:b/>
        </w:rPr>
        <w:t>(</w:t>
      </w:r>
      <w:r w:rsidRPr="0041525B">
        <w:t>taking into account new and retiring equipment), in k</w:t>
      </w:r>
      <w:r w:rsidR="002B7947">
        <w:t>ilograms</w:t>
      </w:r>
      <w:r>
        <w:t>.</w:t>
      </w:r>
    </w:p>
    <w:p w:rsidR="0041525B" w:rsidRPr="0005417A" w:rsidRDefault="0041525B" w:rsidP="0041525B">
      <w:pPr>
        <w:pStyle w:val="h5Section"/>
      </w:pPr>
      <w:bookmarkStart w:id="18" w:name="_Toc77773250"/>
      <w:proofErr w:type="gramStart"/>
      <w:r w:rsidRPr="0005417A">
        <w:rPr>
          <w:rStyle w:val="CharSectno"/>
        </w:rPr>
        <w:t>4.104</w:t>
      </w:r>
      <w:r w:rsidRPr="0005417A">
        <w:t xml:space="preserve">  Method</w:t>
      </w:r>
      <w:proofErr w:type="gramEnd"/>
      <w:r w:rsidRPr="0005417A">
        <w:t xml:space="preserve"> 3</w:t>
      </w:r>
      <w:bookmarkEnd w:id="18"/>
    </w:p>
    <w:p w:rsidR="0041525B" w:rsidRDefault="0041525B" w:rsidP="0041525B">
      <w:pPr>
        <w:pStyle w:val="tMain"/>
      </w:pPr>
      <w:r w:rsidRPr="0005417A">
        <w:tab/>
        <w:t>(1)</w:t>
      </w:r>
      <w:r w:rsidRPr="0005417A">
        <w:tab/>
        <w:t>For paragraph 4.98(1)(c), method 3 for estimating emissi</w:t>
      </w:r>
      <w:r w:rsidR="008572BE">
        <w:t>ons of hydrofluorocarbons uses a</w:t>
      </w:r>
      <w:r w:rsidR="00897EA7">
        <w:t>n</w:t>
      </w:r>
      <w:r w:rsidR="008572BE">
        <w:t xml:space="preserve"> </w:t>
      </w:r>
      <w:r w:rsidR="00EE1C63">
        <w:t>aggregate</w:t>
      </w:r>
      <w:r w:rsidR="008572BE">
        <w:t xml:space="preserve"> loss at emissions source accounting method based</w:t>
      </w:r>
      <w:r w:rsidR="00823BFC">
        <w:t xml:space="preserve"> upon relevant global warming potentials and including</w:t>
      </w:r>
      <w:r w:rsidR="008572BE">
        <w:t xml:space="preserve"> the following sources of losses:</w:t>
      </w:r>
    </w:p>
    <w:p w:rsidR="00EE1C63" w:rsidRDefault="00EE1C63" w:rsidP="00EE1C63">
      <w:pPr>
        <w:pStyle w:val="tPara"/>
      </w:pPr>
      <w:r>
        <w:tab/>
      </w:r>
      <w:r w:rsidR="00D97600">
        <w:t>(a)</w:t>
      </w:r>
      <w:r>
        <w:tab/>
      </w:r>
      <w:proofErr w:type="gramStart"/>
      <w:r>
        <w:t>top</w:t>
      </w:r>
      <w:proofErr w:type="gramEnd"/>
      <w:r>
        <w:t xml:space="preserve"> up of hydrofluorocarbons for leaking equipment;</w:t>
      </w:r>
    </w:p>
    <w:p w:rsidR="00EE1C63" w:rsidRDefault="00EE1C63" w:rsidP="00EE1C63">
      <w:pPr>
        <w:pStyle w:val="tPara"/>
      </w:pPr>
      <w:r>
        <w:tab/>
      </w:r>
      <w:r w:rsidR="00D97600">
        <w:t>(b)</w:t>
      </w:r>
      <w:r>
        <w:tab/>
      </w:r>
      <w:proofErr w:type="gramStart"/>
      <w:r>
        <w:t>complete</w:t>
      </w:r>
      <w:proofErr w:type="gramEnd"/>
      <w:r>
        <w:t xml:space="preserve"> loss of containment of equipment;</w:t>
      </w:r>
    </w:p>
    <w:p w:rsidR="00EE1C63" w:rsidRDefault="00EE1C63" w:rsidP="00EE1C63">
      <w:pPr>
        <w:pStyle w:val="tPara"/>
      </w:pPr>
      <w:r>
        <w:tab/>
      </w:r>
      <w:r w:rsidR="00D97600">
        <w:t>(c)</w:t>
      </w:r>
      <w:r>
        <w:tab/>
      </w:r>
      <w:proofErr w:type="gramStart"/>
      <w:r>
        <w:t>losses</w:t>
      </w:r>
      <w:proofErr w:type="gramEnd"/>
      <w:r>
        <w:t xml:space="preserve"> during filling of new (or refurbished) equipment;</w:t>
      </w:r>
    </w:p>
    <w:p w:rsidR="00EE1C63" w:rsidRDefault="00EE1C63" w:rsidP="00EE1C63">
      <w:pPr>
        <w:pStyle w:val="tPara"/>
      </w:pPr>
      <w:r>
        <w:tab/>
      </w:r>
      <w:r w:rsidR="00D97600">
        <w:t>(d)</w:t>
      </w:r>
      <w:r>
        <w:tab/>
      </w:r>
      <w:proofErr w:type="gramStart"/>
      <w:r>
        <w:t>complete</w:t>
      </w:r>
      <w:proofErr w:type="gramEnd"/>
      <w:r>
        <w:t xml:space="preserve"> loss of containment of cylinders;</w:t>
      </w:r>
    </w:p>
    <w:p w:rsidR="00EE1C63" w:rsidRDefault="00EE1C63" w:rsidP="00EE1C63">
      <w:pPr>
        <w:pStyle w:val="tPara"/>
      </w:pPr>
      <w:r>
        <w:tab/>
      </w:r>
      <w:r w:rsidR="00D97600">
        <w:t>(e)</w:t>
      </w:r>
      <w:r>
        <w:tab/>
      </w:r>
      <w:proofErr w:type="gramStart"/>
      <w:r>
        <w:t>leakage</w:t>
      </w:r>
      <w:proofErr w:type="gramEnd"/>
      <w:r>
        <w:t xml:space="preserve"> of hydrofluorocarbons from cylinders;</w:t>
      </w:r>
    </w:p>
    <w:p w:rsidR="00EE1C63" w:rsidRDefault="00EE1C63" w:rsidP="00EE1C63">
      <w:pPr>
        <w:pStyle w:val="tPara"/>
      </w:pPr>
      <w:r>
        <w:tab/>
      </w:r>
      <w:r w:rsidR="00D97600">
        <w:t>(f)</w:t>
      </w:r>
      <w:r>
        <w:tab/>
      </w:r>
      <w:proofErr w:type="gramStart"/>
      <w:r>
        <w:t>losses</w:t>
      </w:r>
      <w:proofErr w:type="gramEnd"/>
      <w:r>
        <w:t xml:space="preserve"> during decanting between cylinders;</w:t>
      </w:r>
    </w:p>
    <w:p w:rsidR="00EE1C63" w:rsidRDefault="00EE1C63" w:rsidP="00EE1C63">
      <w:pPr>
        <w:pStyle w:val="tPara"/>
      </w:pPr>
      <w:r>
        <w:tab/>
      </w:r>
      <w:r w:rsidR="00D97600">
        <w:t>(g)</w:t>
      </w:r>
      <w:r>
        <w:tab/>
      </w:r>
      <w:proofErr w:type="gramStart"/>
      <w:r>
        <w:t>losses</w:t>
      </w:r>
      <w:proofErr w:type="gramEnd"/>
      <w:r>
        <w:t xml:space="preserve"> during manual handling including handling equipment failure or accidental venting;</w:t>
      </w:r>
    </w:p>
    <w:p w:rsidR="00EE1C63" w:rsidRDefault="00EE1C63" w:rsidP="00EE1C63">
      <w:pPr>
        <w:pStyle w:val="tPara"/>
      </w:pPr>
      <w:r>
        <w:tab/>
      </w:r>
      <w:r w:rsidR="00D97600">
        <w:t>(h)</w:t>
      </w:r>
      <w:r>
        <w:tab/>
      </w:r>
      <w:proofErr w:type="gramStart"/>
      <w:r>
        <w:t>leakage</w:t>
      </w:r>
      <w:proofErr w:type="gramEnd"/>
      <w:r>
        <w:t xml:space="preserve"> from equipment spares in storage;</w:t>
      </w:r>
    </w:p>
    <w:p w:rsidR="00EE1C63" w:rsidRDefault="00EE1C63" w:rsidP="00EE1C63">
      <w:pPr>
        <w:pStyle w:val="tPara"/>
      </w:pPr>
      <w:r>
        <w:tab/>
      </w:r>
      <w:r w:rsidR="00D97600">
        <w:t>(</w:t>
      </w:r>
      <w:proofErr w:type="spellStart"/>
      <w:r w:rsidR="00D97600">
        <w:t>i</w:t>
      </w:r>
      <w:proofErr w:type="spellEnd"/>
      <w:r w:rsidR="00D97600">
        <w:t>)</w:t>
      </w:r>
      <w:r>
        <w:tab/>
      </w:r>
      <w:proofErr w:type="gramStart"/>
      <w:r>
        <w:t>leakage</w:t>
      </w:r>
      <w:proofErr w:type="gramEnd"/>
      <w:r>
        <w:t xml:space="preserve"> from decommissioned equipment awaiting disposal;</w:t>
      </w:r>
    </w:p>
    <w:p w:rsidR="00EE1C63" w:rsidRDefault="00EE1C63" w:rsidP="00EE1C63">
      <w:pPr>
        <w:pStyle w:val="tPara"/>
      </w:pPr>
      <w:r>
        <w:tab/>
      </w:r>
      <w:r w:rsidR="00D97600">
        <w:t>(j)</w:t>
      </w:r>
      <w:r>
        <w:tab/>
      </w:r>
      <w:proofErr w:type="gramStart"/>
      <w:r>
        <w:t>determinations</w:t>
      </w:r>
      <w:proofErr w:type="gramEnd"/>
      <w:r>
        <w:t xml:space="preserve"> of hydrofluorocarbons loss from sealed equipment at point of disposal;</w:t>
      </w:r>
    </w:p>
    <w:p w:rsidR="00EE1C63" w:rsidRDefault="00EE1C63" w:rsidP="00EE1C63">
      <w:pPr>
        <w:pStyle w:val="tPara"/>
      </w:pPr>
      <w:r>
        <w:tab/>
      </w:r>
      <w:r w:rsidR="00D97600">
        <w:t>(k)</w:t>
      </w:r>
      <w:r>
        <w:tab/>
      </w:r>
      <w:proofErr w:type="gramStart"/>
      <w:r>
        <w:t>losses</w:t>
      </w:r>
      <w:proofErr w:type="gramEnd"/>
      <w:r>
        <w:t xml:space="preserve"> during reprocessing, recycling or rebottling of hydrofluorocarbons; </w:t>
      </w:r>
    </w:p>
    <w:p w:rsidR="008572BE" w:rsidRPr="0005417A" w:rsidRDefault="00EE1C63" w:rsidP="00EE1C63">
      <w:pPr>
        <w:pStyle w:val="tPara"/>
      </w:pPr>
      <w:r>
        <w:tab/>
      </w:r>
      <w:r w:rsidR="00D97600">
        <w:t>(l)</w:t>
      </w:r>
      <w:r>
        <w:tab/>
      </w:r>
      <w:proofErr w:type="gramStart"/>
      <w:r>
        <w:t>losses</w:t>
      </w:r>
      <w:proofErr w:type="gramEnd"/>
      <w:r>
        <w:t xml:space="preserve"> due to gas sampling and analysis.</w:t>
      </w:r>
    </w:p>
    <w:p w:rsidR="0041525B" w:rsidRPr="0005417A" w:rsidRDefault="00EE1C63" w:rsidP="00EE1C63">
      <w:pPr>
        <w:pStyle w:val="tMain"/>
      </w:pPr>
      <w:r>
        <w:tab/>
      </w:r>
      <w:r w:rsidR="00D97600">
        <w:t>(2)</w:t>
      </w:r>
      <w:r>
        <w:tab/>
      </w:r>
      <w:r w:rsidR="0041525B" w:rsidRPr="0005417A">
        <w:t xml:space="preserve">For paragraph 4.98(1)(c), method 3 for estimating emissions of sulphur hexafluoride during a year uses the </w:t>
      </w:r>
      <w:r>
        <w:t xml:space="preserve">aggregate loss at emissions source accounting method based </w:t>
      </w:r>
      <w:r w:rsidR="00823BFC">
        <w:t>upon the relevant global warming potential and including</w:t>
      </w:r>
      <w:r>
        <w:t xml:space="preserve"> the following sources of losses:</w:t>
      </w:r>
    </w:p>
    <w:p w:rsidR="00EE1C63" w:rsidRDefault="00EE1C63" w:rsidP="00EE1C63">
      <w:pPr>
        <w:pStyle w:val="tPara"/>
      </w:pPr>
      <w:r>
        <w:tab/>
      </w:r>
      <w:r w:rsidR="00D97600">
        <w:t>(a)</w:t>
      </w:r>
      <w:r>
        <w:tab/>
      </w:r>
      <w:proofErr w:type="gramStart"/>
      <w:r>
        <w:t>top</w:t>
      </w:r>
      <w:proofErr w:type="gramEnd"/>
      <w:r>
        <w:t xml:space="preserve"> up of sulphur hexafluoride for leaking equipment;</w:t>
      </w:r>
    </w:p>
    <w:p w:rsidR="00EE1C63" w:rsidRDefault="00EE1C63" w:rsidP="00EE1C63">
      <w:pPr>
        <w:pStyle w:val="tPara"/>
      </w:pPr>
      <w:r>
        <w:tab/>
      </w:r>
      <w:r w:rsidR="00D97600">
        <w:t>(b)</w:t>
      </w:r>
      <w:r>
        <w:tab/>
      </w:r>
      <w:proofErr w:type="gramStart"/>
      <w:r>
        <w:t>complete</w:t>
      </w:r>
      <w:proofErr w:type="gramEnd"/>
      <w:r>
        <w:t xml:space="preserve"> loss of containment of equipment;</w:t>
      </w:r>
    </w:p>
    <w:p w:rsidR="00EE1C63" w:rsidRDefault="00EE1C63" w:rsidP="00EE1C63">
      <w:pPr>
        <w:pStyle w:val="tPara"/>
      </w:pPr>
      <w:r>
        <w:tab/>
      </w:r>
      <w:r w:rsidR="00D97600">
        <w:t>(c)</w:t>
      </w:r>
      <w:r>
        <w:tab/>
      </w:r>
      <w:proofErr w:type="gramStart"/>
      <w:r>
        <w:t>losses</w:t>
      </w:r>
      <w:proofErr w:type="gramEnd"/>
      <w:r>
        <w:t xml:space="preserve"> during filling of new (or refurbished) equipment;</w:t>
      </w:r>
    </w:p>
    <w:p w:rsidR="00EE1C63" w:rsidRDefault="00EE1C63" w:rsidP="00EE1C63">
      <w:pPr>
        <w:pStyle w:val="tPara"/>
      </w:pPr>
      <w:r>
        <w:tab/>
      </w:r>
      <w:r w:rsidR="00D97600">
        <w:t>(d)</w:t>
      </w:r>
      <w:r>
        <w:tab/>
      </w:r>
      <w:proofErr w:type="gramStart"/>
      <w:r>
        <w:t>complete</w:t>
      </w:r>
      <w:proofErr w:type="gramEnd"/>
      <w:r>
        <w:t xml:space="preserve"> loss of containment of cylinders;</w:t>
      </w:r>
    </w:p>
    <w:p w:rsidR="00EE1C63" w:rsidRDefault="00EE1C63" w:rsidP="00EE1C63">
      <w:pPr>
        <w:pStyle w:val="tPara"/>
      </w:pPr>
      <w:r>
        <w:tab/>
      </w:r>
      <w:r w:rsidR="00D97600">
        <w:t>(e)</w:t>
      </w:r>
      <w:r>
        <w:tab/>
      </w:r>
      <w:proofErr w:type="gramStart"/>
      <w:r>
        <w:t>leakage</w:t>
      </w:r>
      <w:proofErr w:type="gramEnd"/>
      <w:r>
        <w:t xml:space="preserve"> of </w:t>
      </w:r>
      <w:r w:rsidRPr="0005417A">
        <w:t>sulphur hexafluoride</w:t>
      </w:r>
      <w:r>
        <w:t xml:space="preserve"> from cylinders;</w:t>
      </w:r>
    </w:p>
    <w:p w:rsidR="00EE1C63" w:rsidRDefault="00EE1C63" w:rsidP="00EE1C63">
      <w:pPr>
        <w:pStyle w:val="tPara"/>
      </w:pPr>
      <w:r>
        <w:tab/>
      </w:r>
      <w:r w:rsidR="00D97600">
        <w:t>(f)</w:t>
      </w:r>
      <w:r>
        <w:tab/>
      </w:r>
      <w:proofErr w:type="gramStart"/>
      <w:r w:rsidR="00823BFC">
        <w:t>l</w:t>
      </w:r>
      <w:r>
        <w:t>osses</w:t>
      </w:r>
      <w:proofErr w:type="gramEnd"/>
      <w:r>
        <w:t xml:space="preserve"> during decanting between cylinders;</w:t>
      </w:r>
    </w:p>
    <w:p w:rsidR="00EE1C63" w:rsidRDefault="00EE1C63" w:rsidP="00EE1C63">
      <w:pPr>
        <w:pStyle w:val="tPara"/>
      </w:pPr>
      <w:r>
        <w:tab/>
      </w:r>
      <w:r w:rsidR="00D97600">
        <w:t>(g)</w:t>
      </w:r>
      <w:r>
        <w:tab/>
      </w:r>
      <w:proofErr w:type="gramStart"/>
      <w:r w:rsidR="00823BFC">
        <w:t>l</w:t>
      </w:r>
      <w:r>
        <w:t>osses</w:t>
      </w:r>
      <w:proofErr w:type="gramEnd"/>
      <w:r>
        <w:t xml:space="preserve"> during manual handling including handling equipment failure or accidental venting;</w:t>
      </w:r>
    </w:p>
    <w:p w:rsidR="00EE1C63" w:rsidRDefault="00EE1C63" w:rsidP="00EE1C63">
      <w:pPr>
        <w:pStyle w:val="tPara"/>
      </w:pPr>
      <w:r>
        <w:tab/>
      </w:r>
      <w:r w:rsidR="00D97600">
        <w:t>(h)</w:t>
      </w:r>
      <w:r>
        <w:tab/>
      </w:r>
      <w:proofErr w:type="gramStart"/>
      <w:r w:rsidR="00823BFC">
        <w:t>l</w:t>
      </w:r>
      <w:r>
        <w:t>eakage</w:t>
      </w:r>
      <w:proofErr w:type="gramEnd"/>
      <w:r>
        <w:t xml:space="preserve"> from equipment spares in storage;</w:t>
      </w:r>
    </w:p>
    <w:p w:rsidR="00EE1C63" w:rsidRDefault="00EE1C63" w:rsidP="00EE1C63">
      <w:pPr>
        <w:pStyle w:val="tPara"/>
      </w:pPr>
      <w:r>
        <w:tab/>
      </w:r>
      <w:r w:rsidR="00D97600">
        <w:t>(</w:t>
      </w:r>
      <w:proofErr w:type="spellStart"/>
      <w:r w:rsidR="00D97600">
        <w:t>i</w:t>
      </w:r>
      <w:proofErr w:type="spellEnd"/>
      <w:r w:rsidR="00D97600">
        <w:t>)</w:t>
      </w:r>
      <w:r>
        <w:tab/>
      </w:r>
      <w:proofErr w:type="gramStart"/>
      <w:r w:rsidR="00823BFC">
        <w:t>l</w:t>
      </w:r>
      <w:r>
        <w:t>eakage</w:t>
      </w:r>
      <w:proofErr w:type="gramEnd"/>
      <w:r>
        <w:t xml:space="preserve"> from decommissioned equipment awaiting disposal;</w:t>
      </w:r>
    </w:p>
    <w:p w:rsidR="00EE1C63" w:rsidRDefault="00EE1C63" w:rsidP="00EE1C63">
      <w:pPr>
        <w:pStyle w:val="tPara"/>
      </w:pPr>
      <w:r>
        <w:tab/>
      </w:r>
      <w:r w:rsidR="00D97600">
        <w:t>(j)</w:t>
      </w:r>
      <w:r>
        <w:tab/>
      </w:r>
      <w:proofErr w:type="gramStart"/>
      <w:r w:rsidR="00823BFC">
        <w:t>d</w:t>
      </w:r>
      <w:r>
        <w:t>eterminations</w:t>
      </w:r>
      <w:proofErr w:type="gramEnd"/>
      <w:r>
        <w:t xml:space="preserve"> of </w:t>
      </w:r>
      <w:r w:rsidRPr="0005417A">
        <w:t>sulphur hexafluoride</w:t>
      </w:r>
      <w:r>
        <w:t xml:space="preserve"> loss from sealed equipment at point of disposal;</w:t>
      </w:r>
    </w:p>
    <w:p w:rsidR="00EE1C63" w:rsidRDefault="00EE1C63" w:rsidP="00EE1C63">
      <w:pPr>
        <w:pStyle w:val="tPara"/>
      </w:pPr>
      <w:r>
        <w:tab/>
      </w:r>
      <w:r w:rsidR="00D97600">
        <w:t>(k)</w:t>
      </w:r>
      <w:r>
        <w:tab/>
      </w:r>
      <w:proofErr w:type="gramStart"/>
      <w:r w:rsidR="00823BFC">
        <w:t>l</w:t>
      </w:r>
      <w:r>
        <w:t>osses</w:t>
      </w:r>
      <w:proofErr w:type="gramEnd"/>
      <w:r>
        <w:t xml:space="preserve"> during reprocessing, recycling or rebottling of </w:t>
      </w:r>
      <w:r w:rsidRPr="0005417A">
        <w:t>sulphur hexafluoride</w:t>
      </w:r>
      <w:r>
        <w:t xml:space="preserve">; </w:t>
      </w:r>
    </w:p>
    <w:p w:rsidR="008A7E10" w:rsidRDefault="00EE1C63" w:rsidP="008A7E10">
      <w:pPr>
        <w:pStyle w:val="tPara"/>
      </w:pPr>
      <w:r>
        <w:tab/>
      </w:r>
      <w:r w:rsidR="00D97600">
        <w:t>(l)</w:t>
      </w:r>
      <w:r>
        <w:tab/>
      </w:r>
      <w:proofErr w:type="gramStart"/>
      <w:r w:rsidR="00823BFC">
        <w:t>l</w:t>
      </w:r>
      <w:r>
        <w:t>osses</w:t>
      </w:r>
      <w:proofErr w:type="gramEnd"/>
      <w:r>
        <w:t xml:space="preserve"> due to gas sampling and analysis.</w:t>
      </w:r>
    </w:p>
    <w:p w:rsidR="008A7E10" w:rsidRPr="00982178" w:rsidRDefault="00D97600" w:rsidP="008A7E10">
      <w:pPr>
        <w:pStyle w:val="h5SchItem"/>
      </w:pPr>
      <w:r>
        <w:t>[21]</w:t>
      </w:r>
      <w:r w:rsidR="008A7E10">
        <w:tab/>
        <w:t>Note to subsection 5.3(4)</w:t>
      </w:r>
    </w:p>
    <w:p w:rsidR="008A7E10" w:rsidRDefault="008A7E10" w:rsidP="008A7E10">
      <w:pPr>
        <w:pStyle w:val="Item"/>
      </w:pPr>
      <w:r>
        <w:t>Omit “</w:t>
      </w:r>
      <w:r w:rsidRPr="0005417A">
        <w:t xml:space="preserve">Schedule 3 to the </w:t>
      </w:r>
      <w:r w:rsidRPr="0005417A">
        <w:rPr>
          <w:i/>
        </w:rPr>
        <w:t>National Greenhouse and Energy Reporting Regulations 2008</w:t>
      </w:r>
      <w:r>
        <w:t>”, substitute “Schedule 4”.</w:t>
      </w:r>
    </w:p>
    <w:p w:rsidR="002B7947" w:rsidRPr="00982178" w:rsidRDefault="00D97600" w:rsidP="002B7947">
      <w:pPr>
        <w:pStyle w:val="h5SchItem"/>
      </w:pPr>
      <w:r>
        <w:t>[22]</w:t>
      </w:r>
      <w:r w:rsidR="002B7947">
        <w:tab/>
        <w:t>Subsection 8.6</w:t>
      </w:r>
      <w:r>
        <w:t>(1)</w:t>
      </w:r>
      <w:r w:rsidR="002B7947" w:rsidRPr="00982178">
        <w:t xml:space="preserve"> (</w:t>
      </w:r>
      <w:r w:rsidR="002B7947">
        <w:t>table item 8</w:t>
      </w:r>
      <w:r w:rsidR="002B7947" w:rsidRPr="00982178">
        <w:t>)</w:t>
      </w:r>
    </w:p>
    <w:p w:rsidR="002B7947" w:rsidRPr="002B7947" w:rsidRDefault="002B7947" w:rsidP="002B7947">
      <w:pPr>
        <w:pStyle w:val="Item"/>
      </w:pPr>
      <w:r>
        <w:t>Omit “and tyres”.</w:t>
      </w:r>
    </w:p>
    <w:p w:rsidR="00EC4E36" w:rsidRPr="00982178" w:rsidRDefault="00D97600" w:rsidP="00EC4E36">
      <w:pPr>
        <w:pStyle w:val="h5SchItem"/>
      </w:pPr>
      <w:r>
        <w:lastRenderedPageBreak/>
        <w:t>[23]</w:t>
      </w:r>
      <w:r w:rsidR="00EC4E36">
        <w:tab/>
        <w:t>Subsection 8.6</w:t>
      </w:r>
      <w:r>
        <w:t>(1)</w:t>
      </w:r>
      <w:r w:rsidR="00EC4E36" w:rsidRPr="00982178">
        <w:t xml:space="preserve"> (</w:t>
      </w:r>
      <w:r w:rsidR="00EC4E36">
        <w:t xml:space="preserve">after table item </w:t>
      </w:r>
      <w:r w:rsidR="002B7947">
        <w:t>8</w:t>
      </w:r>
      <w:r w:rsidR="00EC4E36" w:rsidRPr="00982178">
        <w:t>)</w:t>
      </w:r>
    </w:p>
    <w:p w:rsidR="00EC4E36" w:rsidRDefault="00EC4E36" w:rsidP="00EC4E36">
      <w:pPr>
        <w:pStyle w:val="Item"/>
      </w:pPr>
      <w:r>
        <w:t>Insert: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5508"/>
        <w:gridCol w:w="1368"/>
        <w:gridCol w:w="1385"/>
      </w:tblGrid>
      <w:tr w:rsidR="00EC4E36" w:rsidRPr="0005417A" w:rsidTr="004673B8">
        <w:tc>
          <w:tcPr>
            <w:tcW w:w="424" w:type="pct"/>
            <w:shd w:val="clear" w:color="auto" w:fill="auto"/>
          </w:tcPr>
          <w:p w:rsidR="00EC4E36" w:rsidRPr="0005417A" w:rsidRDefault="002B7947" w:rsidP="004673B8">
            <w:pPr>
              <w:pStyle w:val="Tabletext"/>
            </w:pPr>
            <w:r>
              <w:t>8</w:t>
            </w:r>
            <w:r w:rsidR="00EC4E36">
              <w:t>A</w:t>
            </w:r>
          </w:p>
        </w:tc>
        <w:tc>
          <w:tcPr>
            <w:tcW w:w="3051" w:type="pct"/>
            <w:shd w:val="clear" w:color="auto" w:fill="auto"/>
          </w:tcPr>
          <w:p w:rsidR="00EC4E36" w:rsidRPr="0005417A" w:rsidRDefault="00EC4E36" w:rsidP="004673B8">
            <w:pPr>
              <w:pStyle w:val="Tabletext"/>
            </w:pPr>
            <w:r>
              <w:rPr>
                <w:snapToGrid w:val="0"/>
              </w:rPr>
              <w:t>Passenger car tyres</w:t>
            </w:r>
            <w:r w:rsidRPr="0005417A">
              <w:rPr>
                <w:snapToGrid w:val="0"/>
              </w:rPr>
              <w:t>, if recycled and combusted to produce heat or electricity</w:t>
            </w:r>
          </w:p>
        </w:tc>
        <w:tc>
          <w:tcPr>
            <w:tcW w:w="758" w:type="pct"/>
            <w:shd w:val="clear" w:color="auto" w:fill="auto"/>
          </w:tcPr>
          <w:p w:rsidR="00EC4E36" w:rsidRPr="0005417A" w:rsidRDefault="00EC4E36" w:rsidP="004673B8">
            <w:pPr>
              <w:pStyle w:val="Tabletext"/>
            </w:pPr>
            <w:r w:rsidRPr="0005417A">
              <w:t>50</w:t>
            </w:r>
          </w:p>
        </w:tc>
        <w:tc>
          <w:tcPr>
            <w:tcW w:w="767" w:type="pct"/>
            <w:shd w:val="clear" w:color="auto" w:fill="auto"/>
          </w:tcPr>
          <w:p w:rsidR="00EC4E36" w:rsidRPr="0005417A" w:rsidRDefault="00EC4E36" w:rsidP="004673B8">
            <w:pPr>
              <w:pStyle w:val="Tabletext"/>
            </w:pPr>
            <w:r>
              <w:t>26</w:t>
            </w:r>
          </w:p>
        </w:tc>
      </w:tr>
      <w:tr w:rsidR="00EC4E36" w:rsidRPr="0005417A" w:rsidTr="004673B8">
        <w:tc>
          <w:tcPr>
            <w:tcW w:w="424" w:type="pct"/>
            <w:shd w:val="clear" w:color="auto" w:fill="auto"/>
          </w:tcPr>
          <w:p w:rsidR="00EC4E36" w:rsidRPr="0005417A" w:rsidRDefault="002B7947" w:rsidP="004673B8">
            <w:pPr>
              <w:pStyle w:val="Tabletext"/>
            </w:pPr>
            <w:r>
              <w:t>8</w:t>
            </w:r>
            <w:r w:rsidR="00EC4E36">
              <w:t>B</w:t>
            </w:r>
          </w:p>
        </w:tc>
        <w:tc>
          <w:tcPr>
            <w:tcW w:w="3051" w:type="pct"/>
            <w:shd w:val="clear" w:color="auto" w:fill="auto"/>
          </w:tcPr>
          <w:p w:rsidR="00EC4E36" w:rsidRPr="0005417A" w:rsidRDefault="00EC4E36" w:rsidP="004673B8">
            <w:pPr>
              <w:pStyle w:val="Tabletext"/>
            </w:pPr>
            <w:r>
              <w:t>Truck and off-road tyres</w:t>
            </w:r>
            <w:r w:rsidRPr="0005417A">
              <w:t>, if recycled and combusted to produce heat or electricity</w:t>
            </w:r>
          </w:p>
        </w:tc>
        <w:tc>
          <w:tcPr>
            <w:tcW w:w="758" w:type="pct"/>
            <w:shd w:val="clear" w:color="auto" w:fill="auto"/>
          </w:tcPr>
          <w:p w:rsidR="00EC4E36" w:rsidRPr="0005417A" w:rsidRDefault="00EC4E36" w:rsidP="004673B8">
            <w:pPr>
              <w:pStyle w:val="Tabletext"/>
            </w:pPr>
            <w:r w:rsidRPr="0005417A">
              <w:t>50</w:t>
            </w:r>
          </w:p>
        </w:tc>
        <w:tc>
          <w:tcPr>
            <w:tcW w:w="767" w:type="pct"/>
            <w:shd w:val="clear" w:color="auto" w:fill="auto"/>
          </w:tcPr>
          <w:p w:rsidR="00EC4E36" w:rsidRPr="0005417A" w:rsidRDefault="00EC4E36" w:rsidP="004673B8">
            <w:pPr>
              <w:pStyle w:val="Tabletext"/>
            </w:pPr>
            <w:r w:rsidRPr="0005417A">
              <w:t>26</w:t>
            </w:r>
          </w:p>
        </w:tc>
      </w:tr>
    </w:tbl>
    <w:p w:rsidR="00982178" w:rsidRPr="00982178" w:rsidRDefault="00D97600" w:rsidP="00982178">
      <w:pPr>
        <w:pStyle w:val="h5SchItem"/>
      </w:pPr>
      <w:r>
        <w:t>[24]</w:t>
      </w:r>
      <w:r w:rsidR="00982178" w:rsidRPr="00982178">
        <w:tab/>
        <w:t>Subsection 8.6(1) (after table item 28)</w:t>
      </w:r>
    </w:p>
    <w:p w:rsidR="00982178" w:rsidRPr="00982178" w:rsidRDefault="00982178" w:rsidP="00982178">
      <w:pPr>
        <w:pStyle w:val="Item"/>
      </w:pPr>
      <w:r w:rsidRPr="00982178">
        <w:t>Insert:</w:t>
      </w:r>
    </w:p>
    <w:p w:rsidR="00982178" w:rsidRPr="00982178" w:rsidRDefault="00982178" w:rsidP="00982178">
      <w:pPr>
        <w:rPr>
          <w:lang w:eastAsia="en-A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5508"/>
        <w:gridCol w:w="1321"/>
        <w:gridCol w:w="1311"/>
      </w:tblGrid>
      <w:tr w:rsidR="00982178" w:rsidRPr="00982178" w:rsidTr="004673B8"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178" w:rsidRPr="00982178" w:rsidRDefault="00982178" w:rsidP="004673B8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82178">
              <w:rPr>
                <w:rFonts w:eastAsia="Times New Roman"/>
                <w:sz w:val="20"/>
                <w:lang w:eastAsia="en-AU"/>
              </w:rPr>
              <w:t>28A</w:t>
            </w:r>
          </w:p>
        </w:tc>
        <w:tc>
          <w:tcPr>
            <w:tcW w:w="30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178" w:rsidRPr="00982178" w:rsidRDefault="00982178" w:rsidP="004673B8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82178">
              <w:rPr>
                <w:rFonts w:eastAsia="Times New Roman"/>
                <w:sz w:val="20"/>
                <w:lang w:eastAsia="en-AU"/>
              </w:rPr>
              <w:t>Biomethane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178" w:rsidRPr="00982178" w:rsidRDefault="002E388B" w:rsidP="004673B8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>
              <w:rPr>
                <w:rFonts w:eastAsia="Times New Roman"/>
                <w:sz w:val="20"/>
                <w:lang w:eastAsia="en-AU"/>
              </w:rPr>
              <w:t>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178" w:rsidRPr="00982178" w:rsidRDefault="00982178" w:rsidP="004673B8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82178">
              <w:rPr>
                <w:rFonts w:eastAsia="Times New Roman"/>
                <w:sz w:val="20"/>
                <w:lang w:eastAsia="en-AU"/>
              </w:rPr>
              <w:t>NA</w:t>
            </w:r>
          </w:p>
        </w:tc>
      </w:tr>
    </w:tbl>
    <w:p w:rsidR="00957DD5" w:rsidRPr="00982178" w:rsidRDefault="00D97600" w:rsidP="00957DD5">
      <w:pPr>
        <w:pStyle w:val="h5SchItem"/>
      </w:pPr>
      <w:r>
        <w:t>[25]</w:t>
      </w:r>
      <w:r w:rsidR="00957DD5" w:rsidRPr="00982178">
        <w:tab/>
      </w:r>
      <w:r w:rsidR="00957DD5">
        <w:t>Subsection 8.6(1) (table item 30</w:t>
      </w:r>
      <w:r w:rsidR="00957DD5" w:rsidRPr="00982178">
        <w:t>)</w:t>
      </w:r>
    </w:p>
    <w:p w:rsidR="00175DFB" w:rsidRDefault="00957DD5" w:rsidP="00957DD5">
      <w:pPr>
        <w:pStyle w:val="Item"/>
      </w:pPr>
      <w:r>
        <w:t>Omit “28 and 29”, substitute “28, 29 and 29A”.</w:t>
      </w:r>
    </w:p>
    <w:p w:rsidR="007005CE" w:rsidRPr="00982178" w:rsidRDefault="00D97600" w:rsidP="007005CE">
      <w:pPr>
        <w:pStyle w:val="h5SchItem"/>
      </w:pPr>
      <w:bookmarkStart w:id="19" w:name="_Toc78881755"/>
      <w:r>
        <w:t>[26]</w:t>
      </w:r>
      <w:r w:rsidR="007005CE" w:rsidRPr="00982178">
        <w:tab/>
      </w:r>
      <w:r w:rsidR="007005CE">
        <w:t>After section 9.14</w:t>
      </w:r>
    </w:p>
    <w:p w:rsidR="007005CE" w:rsidRDefault="007005CE" w:rsidP="007005CE">
      <w:pPr>
        <w:pStyle w:val="Item"/>
        <w:rPr>
          <w:rStyle w:val="CharSectno"/>
        </w:rPr>
      </w:pPr>
      <w:r w:rsidRPr="00982178">
        <w:t>Insert:</w:t>
      </w:r>
    </w:p>
    <w:p w:rsidR="007005CE" w:rsidRDefault="007005CE" w:rsidP="007005CE">
      <w:pPr>
        <w:pStyle w:val="h5Section"/>
      </w:pPr>
      <w:proofErr w:type="gramStart"/>
      <w:r>
        <w:rPr>
          <w:rStyle w:val="CharSectno"/>
        </w:rPr>
        <w:t>9.15</w:t>
      </w:r>
      <w:r>
        <w:t xml:space="preserve">  Amendments</w:t>
      </w:r>
      <w:proofErr w:type="gramEnd"/>
      <w:r>
        <w:t xml:space="preserve"> made by the </w:t>
      </w:r>
      <w:r>
        <w:rPr>
          <w:i/>
        </w:rPr>
        <w:t>National Greenhouse and Energy Reporting (Measurement) Amendment (2022 Update) Determination 2022</w:t>
      </w:r>
      <w:bookmarkEnd w:id="19"/>
    </w:p>
    <w:p w:rsidR="007005CE" w:rsidRDefault="007005CE" w:rsidP="007005CE">
      <w:pPr>
        <w:pStyle w:val="tMain"/>
      </w:pPr>
      <w:r>
        <w:tab/>
      </w:r>
      <w:r w:rsidR="0060192C">
        <w:t>(1)</w:t>
      </w:r>
      <w:r>
        <w:tab/>
        <w:t xml:space="preserve">The amendments made by the </w:t>
      </w:r>
      <w:r>
        <w:rPr>
          <w:i/>
        </w:rPr>
        <w:t>National Greenhouse and Energy Reporting (Measurement) Amendment (2022 Update) Determination 2022</w:t>
      </w:r>
      <w:r>
        <w:t xml:space="preserve"> apply in relation to:</w:t>
      </w:r>
    </w:p>
    <w:p w:rsidR="007005CE" w:rsidRDefault="007005CE" w:rsidP="007005CE">
      <w:pPr>
        <w:pStyle w:val="tPara"/>
      </w:pPr>
      <w:r>
        <w:tab/>
        <w:t>(a)</w:t>
      </w:r>
      <w:r>
        <w:tab/>
      </w:r>
      <w:proofErr w:type="gramStart"/>
      <w:r>
        <w:t>the</w:t>
      </w:r>
      <w:proofErr w:type="gramEnd"/>
      <w:r>
        <w:t xml:space="preserve"> financial year starting on 1 July 2022; and</w:t>
      </w:r>
    </w:p>
    <w:p w:rsidR="00D1282B" w:rsidRDefault="007005CE" w:rsidP="00D1282B">
      <w:pPr>
        <w:pStyle w:val="tPara"/>
      </w:pPr>
      <w:r>
        <w:tab/>
        <w:t>(b)</w:t>
      </w:r>
      <w:r>
        <w:tab/>
      </w:r>
      <w:proofErr w:type="gramStart"/>
      <w:r>
        <w:t>later</w:t>
      </w:r>
      <w:proofErr w:type="gramEnd"/>
      <w:r>
        <w:t xml:space="preserve"> financial years.</w:t>
      </w:r>
    </w:p>
    <w:p w:rsidR="00D1282B" w:rsidRDefault="00D1282B" w:rsidP="00D1282B">
      <w:pPr>
        <w:pStyle w:val="tMain"/>
      </w:pPr>
      <w:r w:rsidRPr="00F61B19">
        <w:tab/>
        <w:t>(</w:t>
      </w:r>
      <w:r>
        <w:t>2)</w:t>
      </w:r>
      <w:r>
        <w:tab/>
        <w:t xml:space="preserve">However, a reporter may elect to apply either or both of the following: </w:t>
      </w:r>
    </w:p>
    <w:p w:rsidR="00D1282B" w:rsidRDefault="00D1282B" w:rsidP="00D1282B">
      <w:pPr>
        <w:pStyle w:val="tPara"/>
      </w:pPr>
      <w:r>
        <w:tab/>
        <w:t>(a)</w:t>
      </w:r>
      <w:r>
        <w:tab/>
        <w:t xml:space="preserve">Division 3.2.4 of this Determination as amended by the </w:t>
      </w:r>
      <w:r w:rsidRPr="00C021B3">
        <w:rPr>
          <w:i/>
        </w:rPr>
        <w:t>National Greenhouse and Energy Reporting (Measurement) Amendment (</w:t>
      </w:r>
      <w:r>
        <w:rPr>
          <w:i/>
        </w:rPr>
        <w:t>2022 Update) Determination 2022</w:t>
      </w:r>
      <w:r>
        <w:t xml:space="preserve"> to report fugitive emissions from decommissioned underground mines for the financial year starting on 1 July 2021;</w:t>
      </w:r>
    </w:p>
    <w:p w:rsidR="00D1282B" w:rsidRDefault="00D1282B" w:rsidP="00D1282B">
      <w:pPr>
        <w:pStyle w:val="tPara"/>
      </w:pPr>
      <w:r>
        <w:tab/>
        <w:t>(b)</w:t>
      </w:r>
      <w:r>
        <w:tab/>
        <w:t>Part 4.5 of this Determination</w:t>
      </w:r>
      <w:r w:rsidRPr="0060192C">
        <w:t xml:space="preserve"> </w:t>
      </w:r>
      <w:r>
        <w:t xml:space="preserve">as amended by the </w:t>
      </w:r>
      <w:r w:rsidRPr="00C021B3">
        <w:rPr>
          <w:i/>
        </w:rPr>
        <w:t>National Greenhouse and Energy Reporting (Measurement) Amendment (</w:t>
      </w:r>
      <w:r>
        <w:rPr>
          <w:i/>
        </w:rPr>
        <w:t>2022 Update) Determination 2022</w:t>
      </w:r>
      <w:r>
        <w:t xml:space="preserve"> to report emissions of hydrofluorocarbons and sulphur hexafluoride gases for the financial year starting on 1 July 2021.</w:t>
      </w:r>
    </w:p>
    <w:p w:rsidR="002B7947" w:rsidRPr="00982178" w:rsidRDefault="00D97600" w:rsidP="002B7947">
      <w:pPr>
        <w:pStyle w:val="h5SchItem"/>
      </w:pPr>
      <w:r>
        <w:t>[27]</w:t>
      </w:r>
      <w:r w:rsidR="002B7947" w:rsidRPr="00982178">
        <w:tab/>
      </w:r>
      <w:r w:rsidR="002B7947">
        <w:t>Part 1</w:t>
      </w:r>
      <w:r w:rsidR="002B7947" w:rsidRPr="00982178">
        <w:t xml:space="preserve"> of Schedule 1 (</w:t>
      </w:r>
      <w:r w:rsidR="002B7947">
        <w:t>table item 8</w:t>
      </w:r>
      <w:r w:rsidR="002B7947" w:rsidRPr="00982178">
        <w:t>)</w:t>
      </w:r>
    </w:p>
    <w:p w:rsidR="002B7947" w:rsidRDefault="002B7947" w:rsidP="002B7947">
      <w:pPr>
        <w:pStyle w:val="Item"/>
      </w:pPr>
      <w:r>
        <w:t>Omit “and tyres”.</w:t>
      </w:r>
    </w:p>
    <w:p w:rsidR="00EC4E36" w:rsidRPr="00982178" w:rsidRDefault="00D97600" w:rsidP="00EC4E36">
      <w:pPr>
        <w:pStyle w:val="h5SchItem"/>
      </w:pPr>
      <w:r>
        <w:t>[28]</w:t>
      </w:r>
      <w:r w:rsidR="00EC4E36" w:rsidRPr="00982178">
        <w:tab/>
      </w:r>
      <w:r w:rsidR="00EC4E36">
        <w:t>Part 1</w:t>
      </w:r>
      <w:r w:rsidR="00EC4E36" w:rsidRPr="00982178">
        <w:t xml:space="preserve"> of Schedule 1 (</w:t>
      </w:r>
      <w:r w:rsidR="00EC4E36">
        <w:t xml:space="preserve">after table item </w:t>
      </w:r>
      <w:r w:rsidR="002B7947">
        <w:t>8</w:t>
      </w:r>
      <w:r w:rsidR="00EC4E36" w:rsidRPr="00982178">
        <w:t>)</w:t>
      </w:r>
    </w:p>
    <w:p w:rsidR="00EC4E36" w:rsidRDefault="00EC4E36" w:rsidP="00EC4E36">
      <w:pPr>
        <w:pStyle w:val="Item"/>
      </w:pPr>
      <w:r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6"/>
        <w:gridCol w:w="3428"/>
        <w:gridCol w:w="1684"/>
        <w:gridCol w:w="1054"/>
        <w:gridCol w:w="1058"/>
        <w:gridCol w:w="1056"/>
      </w:tblGrid>
      <w:tr w:rsidR="00EC4E36" w:rsidRPr="0005417A" w:rsidTr="004673B8">
        <w:trPr>
          <w:cantSplit/>
        </w:trPr>
        <w:tc>
          <w:tcPr>
            <w:tcW w:w="413" w:type="pct"/>
          </w:tcPr>
          <w:p w:rsidR="00EC4E36" w:rsidRPr="0005417A" w:rsidRDefault="002B7947" w:rsidP="004673B8">
            <w:pPr>
              <w:pStyle w:val="Tabletext"/>
            </w:pPr>
            <w:r>
              <w:t>8</w:t>
            </w:r>
            <w:r w:rsidR="00EC4E36">
              <w:t>A</w:t>
            </w:r>
          </w:p>
        </w:tc>
        <w:tc>
          <w:tcPr>
            <w:tcW w:w="1899" w:type="pct"/>
          </w:tcPr>
          <w:p w:rsidR="00EC4E36" w:rsidRPr="0005417A" w:rsidRDefault="00EC4E36" w:rsidP="004673B8">
            <w:pPr>
              <w:pStyle w:val="Tabletext"/>
            </w:pPr>
            <w:r>
              <w:rPr>
                <w:snapToGrid w:val="0"/>
              </w:rPr>
              <w:t>Passenger car tyres</w:t>
            </w:r>
            <w:r w:rsidRPr="0005417A">
              <w:rPr>
                <w:snapToGrid w:val="0"/>
              </w:rPr>
              <w:t>, if recycled and combusted to produce heat or electricity</w:t>
            </w:r>
          </w:p>
        </w:tc>
        <w:tc>
          <w:tcPr>
            <w:tcW w:w="933" w:type="pct"/>
          </w:tcPr>
          <w:p w:rsidR="00EC4E36" w:rsidRPr="0005417A" w:rsidRDefault="00EC4E36" w:rsidP="004673B8">
            <w:pPr>
              <w:pStyle w:val="Tabletext"/>
            </w:pPr>
            <w:r>
              <w:t>32</w:t>
            </w:r>
          </w:p>
        </w:tc>
        <w:tc>
          <w:tcPr>
            <w:tcW w:w="584" w:type="pct"/>
          </w:tcPr>
          <w:p w:rsidR="00EC4E36" w:rsidRPr="0005417A" w:rsidRDefault="00EC4E36" w:rsidP="004673B8">
            <w:pPr>
              <w:pStyle w:val="Tabletext"/>
            </w:pPr>
            <w:r>
              <w:t>62.8</w:t>
            </w:r>
          </w:p>
        </w:tc>
        <w:tc>
          <w:tcPr>
            <w:tcW w:w="586" w:type="pct"/>
          </w:tcPr>
          <w:p w:rsidR="00EC4E36" w:rsidRPr="0005417A" w:rsidRDefault="00EC4E36" w:rsidP="004673B8">
            <w:pPr>
              <w:pStyle w:val="Tabletext"/>
            </w:pPr>
            <w:r>
              <w:t>0.0</w:t>
            </w:r>
            <w:r w:rsidR="004E521C">
              <w:t>3</w:t>
            </w:r>
          </w:p>
        </w:tc>
        <w:tc>
          <w:tcPr>
            <w:tcW w:w="585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0.2</w:t>
            </w:r>
          </w:p>
        </w:tc>
      </w:tr>
      <w:tr w:rsidR="00EC4E36" w:rsidRPr="0005417A" w:rsidTr="004673B8">
        <w:trPr>
          <w:cantSplit/>
        </w:trPr>
        <w:tc>
          <w:tcPr>
            <w:tcW w:w="413" w:type="pct"/>
          </w:tcPr>
          <w:p w:rsidR="00EC4E36" w:rsidRPr="0005417A" w:rsidRDefault="002B7947" w:rsidP="004673B8">
            <w:pPr>
              <w:pStyle w:val="Tabletext"/>
            </w:pPr>
            <w:r>
              <w:t>8</w:t>
            </w:r>
            <w:r w:rsidR="00EC4E36">
              <w:t>B</w:t>
            </w:r>
          </w:p>
        </w:tc>
        <w:tc>
          <w:tcPr>
            <w:tcW w:w="1899" w:type="pct"/>
          </w:tcPr>
          <w:p w:rsidR="00EC4E36" w:rsidRPr="0005417A" w:rsidRDefault="00EC4E36" w:rsidP="004673B8">
            <w:pPr>
              <w:pStyle w:val="Tabletext"/>
            </w:pPr>
            <w:r>
              <w:rPr>
                <w:snapToGrid w:val="0"/>
              </w:rPr>
              <w:t>Truck and off-road tyres</w:t>
            </w:r>
            <w:r w:rsidRPr="0005417A">
              <w:rPr>
                <w:snapToGrid w:val="0"/>
              </w:rPr>
              <w:t>, if recycled and combusted to produce heat or electricity</w:t>
            </w:r>
          </w:p>
        </w:tc>
        <w:tc>
          <w:tcPr>
            <w:tcW w:w="933" w:type="pct"/>
          </w:tcPr>
          <w:p w:rsidR="00EC4E36" w:rsidRPr="0005417A" w:rsidRDefault="00EC4E36" w:rsidP="004673B8">
            <w:pPr>
              <w:pStyle w:val="Tabletext"/>
            </w:pPr>
            <w:r>
              <w:t>27.1</w:t>
            </w:r>
          </w:p>
        </w:tc>
        <w:tc>
          <w:tcPr>
            <w:tcW w:w="584" w:type="pct"/>
          </w:tcPr>
          <w:p w:rsidR="00EC4E36" w:rsidRPr="0005417A" w:rsidRDefault="00EC4E36" w:rsidP="004673B8">
            <w:pPr>
              <w:pStyle w:val="Tabletext"/>
            </w:pPr>
            <w:r>
              <w:t>55.9</w:t>
            </w:r>
          </w:p>
        </w:tc>
        <w:tc>
          <w:tcPr>
            <w:tcW w:w="586" w:type="pct"/>
          </w:tcPr>
          <w:p w:rsidR="00EC4E36" w:rsidRPr="0005417A" w:rsidRDefault="00EC4E36" w:rsidP="004673B8">
            <w:pPr>
              <w:pStyle w:val="Tabletext"/>
            </w:pPr>
            <w:r>
              <w:t>0.0</w:t>
            </w:r>
            <w:r w:rsidR="0067783A">
              <w:t>3</w:t>
            </w:r>
          </w:p>
        </w:tc>
        <w:tc>
          <w:tcPr>
            <w:tcW w:w="585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0.2</w:t>
            </w:r>
          </w:p>
        </w:tc>
      </w:tr>
    </w:tbl>
    <w:p w:rsidR="00982178" w:rsidRPr="00982178" w:rsidRDefault="00D97600" w:rsidP="00982178">
      <w:pPr>
        <w:pStyle w:val="h5SchItem"/>
      </w:pPr>
      <w:r>
        <w:lastRenderedPageBreak/>
        <w:t>[29]</w:t>
      </w:r>
      <w:r w:rsidR="00982178" w:rsidRPr="00982178">
        <w:t xml:space="preserve"> </w:t>
      </w:r>
      <w:r w:rsidR="00982178" w:rsidRPr="00982178">
        <w:tab/>
        <w:t>Part 2 of Schedule 1 (after table item 29)</w:t>
      </w:r>
    </w:p>
    <w:p w:rsidR="00982178" w:rsidRPr="00982178" w:rsidRDefault="00982178" w:rsidP="00982178">
      <w:pPr>
        <w:pStyle w:val="Item"/>
      </w:pPr>
      <w:bookmarkStart w:id="20" w:name="_Toc13234101"/>
      <w:r w:rsidRPr="00982178">
        <w:t>Insert: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3443"/>
        <w:gridCol w:w="1681"/>
        <w:gridCol w:w="1052"/>
        <w:gridCol w:w="1051"/>
        <w:gridCol w:w="1054"/>
      </w:tblGrid>
      <w:tr w:rsidR="00982178" w:rsidRPr="00982178" w:rsidTr="004673B8">
        <w:trPr>
          <w:cantSplit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982178" w:rsidRPr="00982178" w:rsidRDefault="00982178" w:rsidP="004673B8">
            <w:pPr>
              <w:pStyle w:val="Tabletext"/>
            </w:pPr>
            <w:r w:rsidRPr="00982178">
              <w:t>29A</w:t>
            </w: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</w:tcPr>
          <w:p w:rsidR="00982178" w:rsidRPr="00982178" w:rsidRDefault="00982178" w:rsidP="004673B8">
            <w:pPr>
              <w:pStyle w:val="Tabletext"/>
            </w:pPr>
            <w:r w:rsidRPr="00982178">
              <w:t>Biomethane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982178" w:rsidRPr="00982178" w:rsidRDefault="002E388B" w:rsidP="004673B8">
            <w:pPr>
              <w:pStyle w:val="Tabletext"/>
            </w:pPr>
            <w:r>
              <w:t>39.3</w:t>
            </w:r>
            <w:r w:rsidR="00982178" w:rsidRPr="00982178">
              <w:t xml:space="preserve"> × 10</w:t>
            </w:r>
            <w:r w:rsidR="00982178" w:rsidRPr="00982178">
              <w:rPr>
                <w:vertAlign w:val="superscript"/>
              </w:rPr>
              <w:noBreakHyphen/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</w:tcPr>
          <w:p w:rsidR="00982178" w:rsidRPr="00982178" w:rsidRDefault="00982178" w:rsidP="004673B8">
            <w:pPr>
              <w:pStyle w:val="Tabletext"/>
            </w:pPr>
            <w:r w:rsidRPr="00982178">
              <w:t>0.0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</w:tcPr>
          <w:p w:rsidR="00982178" w:rsidRPr="00982178" w:rsidRDefault="002E388B" w:rsidP="004673B8">
            <w:pPr>
              <w:pStyle w:val="Tabletext"/>
            </w:pPr>
            <w:r>
              <w:t>0</w:t>
            </w:r>
            <w:r w:rsidR="00982178" w:rsidRPr="00982178">
              <w:t>.</w:t>
            </w:r>
            <w: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</w:tcPr>
          <w:p w:rsidR="00982178" w:rsidRPr="00982178" w:rsidRDefault="00982178" w:rsidP="004673B8">
            <w:pPr>
              <w:pStyle w:val="Tabletext"/>
            </w:pPr>
            <w:r w:rsidRPr="00982178">
              <w:t>0.03</w:t>
            </w:r>
          </w:p>
        </w:tc>
      </w:tr>
    </w:tbl>
    <w:bookmarkEnd w:id="20"/>
    <w:p w:rsidR="00F75A22" w:rsidRPr="00982178" w:rsidRDefault="00D97600" w:rsidP="00F75A22">
      <w:pPr>
        <w:pStyle w:val="h5SchItem"/>
      </w:pPr>
      <w:r>
        <w:t>[30]</w:t>
      </w:r>
      <w:r w:rsidR="00F75A22" w:rsidRPr="00982178">
        <w:tab/>
      </w:r>
      <w:r w:rsidR="00F75A22">
        <w:t>Part 2 of Schedule 1</w:t>
      </w:r>
      <w:r w:rsidR="00F75A22" w:rsidRPr="00982178">
        <w:t xml:space="preserve"> (</w:t>
      </w:r>
      <w:r w:rsidR="00F75A22">
        <w:t>table item 30</w:t>
      </w:r>
      <w:r w:rsidR="00F75A22" w:rsidRPr="00982178">
        <w:t>)</w:t>
      </w:r>
    </w:p>
    <w:p w:rsidR="004673B8" w:rsidRDefault="00F75A22" w:rsidP="004673B8">
      <w:pPr>
        <w:pStyle w:val="Item"/>
      </w:pPr>
      <w:r>
        <w:t>Omit “28 and 29”, substitute “28, 29 and 29A”.</w:t>
      </w:r>
    </w:p>
    <w:p w:rsidR="00F31111" w:rsidRPr="004E5BEF" w:rsidRDefault="00D97600" w:rsidP="00F31111">
      <w:pPr>
        <w:pStyle w:val="h5SchItem"/>
      </w:pPr>
      <w:bookmarkStart w:id="21" w:name="_Toc486000021"/>
      <w:bookmarkStart w:id="22" w:name="_Toc42090463"/>
      <w:r>
        <w:t>[31]</w:t>
      </w:r>
      <w:r w:rsidR="00F31111" w:rsidRPr="00826C3E">
        <w:t xml:space="preserve"> </w:t>
      </w:r>
      <w:r w:rsidR="00F31111" w:rsidRPr="00826C3E">
        <w:tab/>
      </w:r>
      <w:r w:rsidR="00F31111" w:rsidRPr="00C021B3">
        <w:t>Part 6 of Schedule 1</w:t>
      </w:r>
    </w:p>
    <w:p w:rsidR="00F31111" w:rsidRPr="00202D52" w:rsidRDefault="00F31111" w:rsidP="00F31111">
      <w:pPr>
        <w:ind w:left="425" w:firstLine="425"/>
        <w:rPr>
          <w:rStyle w:val="CharPartNo"/>
          <w:color w:val="000000" w:themeColor="text1"/>
        </w:rPr>
      </w:pPr>
      <w:r w:rsidRPr="003041A6">
        <w:rPr>
          <w:lang w:eastAsia="en-AU"/>
        </w:rPr>
        <w:t>Repeal</w:t>
      </w:r>
      <w:r>
        <w:rPr>
          <w:color w:val="000000" w:themeColor="text1"/>
        </w:rPr>
        <w:t xml:space="preserve"> </w:t>
      </w:r>
      <w:r w:rsidRPr="006D571F">
        <w:rPr>
          <w:color w:val="000000" w:themeColor="text1"/>
        </w:rPr>
        <w:t>the Part, substitute:</w:t>
      </w:r>
    </w:p>
    <w:p w:rsidR="00F31111" w:rsidRPr="00C021B3" w:rsidRDefault="00F31111" w:rsidP="00F31111">
      <w:pPr>
        <w:pStyle w:val="h2Part"/>
      </w:pPr>
      <w:r w:rsidRPr="00C021B3">
        <w:rPr>
          <w:rStyle w:val="CharPartNo"/>
        </w:rPr>
        <w:t>Part 6</w:t>
      </w:r>
      <w:r w:rsidRPr="00C021B3">
        <w:t>—</w:t>
      </w:r>
      <w:r w:rsidRPr="00C021B3">
        <w:rPr>
          <w:rStyle w:val="CharPartText"/>
        </w:rPr>
        <w:t>Indirect (scope 2) emission factors from consumption of electricity purchased or lost from grid</w:t>
      </w:r>
      <w:bookmarkEnd w:id="21"/>
      <w:bookmarkEnd w:id="22"/>
    </w:p>
    <w:p w:rsidR="00F31111" w:rsidRPr="00C021B3" w:rsidRDefault="00F31111" w:rsidP="00F31111">
      <w:pPr>
        <w:pStyle w:val="Header"/>
      </w:pPr>
      <w:r w:rsidRPr="00C021B3">
        <w:rPr>
          <w:rStyle w:val="CharDivNo"/>
        </w:rPr>
        <w:t xml:space="preserve"> </w:t>
      </w:r>
      <w:r w:rsidRPr="00C021B3">
        <w:rPr>
          <w:rStyle w:val="CharDivText"/>
        </w:rPr>
        <w:t xml:space="preserve"> </w:t>
      </w:r>
    </w:p>
    <w:tbl>
      <w:tblPr>
        <w:tblW w:w="8415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5874"/>
        <w:gridCol w:w="1818"/>
      </w:tblGrid>
      <w:tr w:rsidR="00F31111" w:rsidRPr="00C021B3" w:rsidTr="00374832">
        <w:trPr>
          <w:tblHeader/>
        </w:trPr>
        <w:tc>
          <w:tcPr>
            <w:tcW w:w="841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Heading"/>
            </w:pPr>
            <w:r w:rsidRPr="00C021B3">
              <w:t>Indirect (scope 2) emissions factors from consumption of electricity purchased or lost from grid</w:t>
            </w:r>
          </w:p>
        </w:tc>
      </w:tr>
      <w:tr w:rsidR="00F31111" w:rsidRPr="00C021B3" w:rsidTr="00374832">
        <w:trPr>
          <w:tblHeader/>
        </w:trPr>
        <w:tc>
          <w:tcPr>
            <w:tcW w:w="7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Heading"/>
            </w:pPr>
            <w:r w:rsidRPr="00C021B3">
              <w:t>Item</w:t>
            </w:r>
          </w:p>
        </w:tc>
        <w:tc>
          <w:tcPr>
            <w:tcW w:w="587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Heading"/>
            </w:pPr>
            <w:r w:rsidRPr="00C021B3">
              <w:t>Column 1</w:t>
            </w:r>
          </w:p>
          <w:p w:rsidR="00F31111" w:rsidRPr="00C021B3" w:rsidRDefault="00F31111" w:rsidP="00374832">
            <w:pPr>
              <w:pStyle w:val="TableHeading"/>
            </w:pPr>
            <w:r w:rsidRPr="00C021B3">
              <w:t>State, Territory or grid description</w:t>
            </w:r>
          </w:p>
        </w:tc>
        <w:tc>
          <w:tcPr>
            <w:tcW w:w="18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Heading"/>
              <w:jc w:val="right"/>
            </w:pPr>
            <w:r w:rsidRPr="00C021B3">
              <w:t>Column 2</w:t>
            </w:r>
          </w:p>
          <w:p w:rsidR="00F31111" w:rsidRPr="00C021B3" w:rsidRDefault="00F31111" w:rsidP="00374832">
            <w:pPr>
              <w:pStyle w:val="TableHeading"/>
              <w:jc w:val="right"/>
            </w:pPr>
            <w:r w:rsidRPr="00C021B3">
              <w:t>Emission factor</w:t>
            </w:r>
            <w:r w:rsidRPr="00C021B3">
              <w:br/>
              <w:t>kg CO</w:t>
            </w:r>
            <w:r w:rsidRPr="00C021B3">
              <w:rPr>
                <w:vertAlign w:val="subscript"/>
              </w:rPr>
              <w:t>2</w:t>
            </w:r>
            <w:r>
              <w:noBreakHyphen/>
            </w:r>
            <w:r w:rsidRPr="00C021B3">
              <w:t>e/kWh</w:t>
            </w:r>
          </w:p>
        </w:tc>
      </w:tr>
      <w:tr w:rsidR="00F31111" w:rsidRPr="004C54CC" w:rsidTr="00374832"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77</w:t>
            </w:r>
          </w:p>
        </w:tc>
        <w:tc>
          <w:tcPr>
            <w:tcW w:w="5874" w:type="dxa"/>
            <w:tcBorders>
              <w:top w:val="single" w:sz="12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New South Wales and Australian Capital Territory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shd w:val="clear" w:color="auto" w:fill="auto"/>
          </w:tcPr>
          <w:p w:rsidR="00F31111" w:rsidRPr="00DC1C04" w:rsidRDefault="00F31111" w:rsidP="00374832">
            <w:pPr>
              <w:pStyle w:val="Tabletext"/>
              <w:jc w:val="right"/>
            </w:pPr>
            <w:r w:rsidRPr="00DC1C04">
              <w:t>0.7</w:t>
            </w:r>
            <w:r w:rsidR="00DC1C04" w:rsidRPr="00DC1C04">
              <w:t>3</w:t>
            </w:r>
          </w:p>
        </w:tc>
      </w:tr>
      <w:tr w:rsidR="00F31111" w:rsidRPr="004C54CC" w:rsidTr="00374832">
        <w:tc>
          <w:tcPr>
            <w:tcW w:w="723" w:type="dxa"/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78</w:t>
            </w:r>
          </w:p>
        </w:tc>
        <w:tc>
          <w:tcPr>
            <w:tcW w:w="5874" w:type="dxa"/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Victoria</w:t>
            </w:r>
          </w:p>
        </w:tc>
        <w:tc>
          <w:tcPr>
            <w:tcW w:w="1818" w:type="dxa"/>
            <w:shd w:val="clear" w:color="auto" w:fill="auto"/>
          </w:tcPr>
          <w:p w:rsidR="00F31111" w:rsidRPr="00DC1C04" w:rsidRDefault="00F31111" w:rsidP="00374832">
            <w:pPr>
              <w:pStyle w:val="Tabletext"/>
              <w:jc w:val="right"/>
            </w:pPr>
            <w:r w:rsidRPr="00DC1C04">
              <w:t>0.</w:t>
            </w:r>
            <w:r w:rsidR="00DC1C04" w:rsidRPr="00DC1C04">
              <w:t>85</w:t>
            </w:r>
          </w:p>
        </w:tc>
      </w:tr>
      <w:tr w:rsidR="00F31111" w:rsidRPr="004C54CC" w:rsidTr="00374832">
        <w:tc>
          <w:tcPr>
            <w:tcW w:w="723" w:type="dxa"/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79</w:t>
            </w:r>
          </w:p>
        </w:tc>
        <w:tc>
          <w:tcPr>
            <w:tcW w:w="5874" w:type="dxa"/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Queensland</w:t>
            </w:r>
          </w:p>
        </w:tc>
        <w:tc>
          <w:tcPr>
            <w:tcW w:w="1818" w:type="dxa"/>
            <w:shd w:val="clear" w:color="auto" w:fill="auto"/>
          </w:tcPr>
          <w:p w:rsidR="00F31111" w:rsidRPr="00DC1C04" w:rsidRDefault="00F31111" w:rsidP="00374832">
            <w:pPr>
              <w:pStyle w:val="Tabletext"/>
              <w:jc w:val="right"/>
            </w:pPr>
            <w:r w:rsidRPr="00DC1C04">
              <w:t>0.</w:t>
            </w:r>
            <w:r w:rsidR="00DC1C04" w:rsidRPr="00DC1C04">
              <w:t>73</w:t>
            </w:r>
          </w:p>
        </w:tc>
      </w:tr>
      <w:tr w:rsidR="00F31111" w:rsidRPr="004C54CC" w:rsidTr="00374832">
        <w:tc>
          <w:tcPr>
            <w:tcW w:w="723" w:type="dxa"/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80</w:t>
            </w:r>
          </w:p>
        </w:tc>
        <w:tc>
          <w:tcPr>
            <w:tcW w:w="5874" w:type="dxa"/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South Australia</w:t>
            </w:r>
          </w:p>
        </w:tc>
        <w:tc>
          <w:tcPr>
            <w:tcW w:w="1818" w:type="dxa"/>
            <w:shd w:val="clear" w:color="auto" w:fill="auto"/>
          </w:tcPr>
          <w:p w:rsidR="00F31111" w:rsidRPr="00DC1C04" w:rsidRDefault="00F31111" w:rsidP="00374832">
            <w:pPr>
              <w:pStyle w:val="Tabletext"/>
              <w:jc w:val="right"/>
            </w:pPr>
            <w:r w:rsidRPr="00DC1C04">
              <w:t>0.</w:t>
            </w:r>
            <w:r w:rsidR="00DC1C04" w:rsidRPr="00DC1C04">
              <w:t>2</w:t>
            </w:r>
            <w:r w:rsidRPr="00DC1C04">
              <w:t>5</w:t>
            </w:r>
          </w:p>
        </w:tc>
      </w:tr>
      <w:tr w:rsidR="00F31111" w:rsidRPr="004C54CC" w:rsidTr="00374832">
        <w:tc>
          <w:tcPr>
            <w:tcW w:w="723" w:type="dxa"/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81</w:t>
            </w:r>
          </w:p>
        </w:tc>
        <w:tc>
          <w:tcPr>
            <w:tcW w:w="5874" w:type="dxa"/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South West Interconnected System in Western Australia</w:t>
            </w:r>
          </w:p>
        </w:tc>
        <w:tc>
          <w:tcPr>
            <w:tcW w:w="1818" w:type="dxa"/>
            <w:shd w:val="clear" w:color="auto" w:fill="auto"/>
          </w:tcPr>
          <w:p w:rsidR="00F31111" w:rsidRPr="00DC1C04" w:rsidRDefault="00F31111" w:rsidP="00374832">
            <w:pPr>
              <w:pStyle w:val="Tabletext"/>
              <w:jc w:val="right"/>
            </w:pPr>
            <w:r w:rsidRPr="00DC1C04">
              <w:t>0.</w:t>
            </w:r>
            <w:r w:rsidR="00DC1C04" w:rsidRPr="00DC1C04">
              <w:t>51</w:t>
            </w:r>
          </w:p>
        </w:tc>
      </w:tr>
      <w:tr w:rsidR="00F31111" w:rsidRPr="004C54CC" w:rsidTr="00374832"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82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Tasmania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F31111" w:rsidRPr="00DC1C04" w:rsidRDefault="00F31111" w:rsidP="00374832">
            <w:pPr>
              <w:pStyle w:val="Tabletext"/>
              <w:jc w:val="right"/>
            </w:pPr>
            <w:r w:rsidRPr="00DC1C04">
              <w:t>0.1</w:t>
            </w:r>
            <w:r w:rsidR="00DC1C04" w:rsidRPr="00DC1C04">
              <w:t>7</w:t>
            </w:r>
          </w:p>
        </w:tc>
      </w:tr>
      <w:tr w:rsidR="00F31111" w:rsidRPr="004C54CC" w:rsidTr="00374832"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83</w:t>
            </w:r>
          </w:p>
        </w:tc>
        <w:tc>
          <w:tcPr>
            <w:tcW w:w="5874" w:type="dxa"/>
            <w:tcBorders>
              <w:bottom w:val="single" w:sz="12" w:space="0" w:color="auto"/>
            </w:tcBorders>
            <w:shd w:val="clear" w:color="auto" w:fill="auto"/>
          </w:tcPr>
          <w:p w:rsidR="00F31111" w:rsidRPr="00C021B3" w:rsidRDefault="00F31111" w:rsidP="00374832">
            <w:pPr>
              <w:pStyle w:val="Tabletext"/>
            </w:pPr>
            <w:r w:rsidRPr="00C021B3">
              <w:t>Northern Territory</w:t>
            </w:r>
          </w:p>
        </w:tc>
        <w:tc>
          <w:tcPr>
            <w:tcW w:w="1818" w:type="dxa"/>
            <w:tcBorders>
              <w:bottom w:val="single" w:sz="12" w:space="0" w:color="auto"/>
            </w:tcBorders>
            <w:shd w:val="clear" w:color="auto" w:fill="auto"/>
          </w:tcPr>
          <w:p w:rsidR="00F31111" w:rsidRPr="00DC1C04" w:rsidRDefault="00F31111" w:rsidP="00374832">
            <w:pPr>
              <w:pStyle w:val="Tabletext"/>
              <w:jc w:val="right"/>
            </w:pPr>
            <w:r w:rsidRPr="00DC1C04">
              <w:t>0.5</w:t>
            </w:r>
            <w:r w:rsidR="00DC1C04" w:rsidRPr="00DC1C04">
              <w:t>4</w:t>
            </w:r>
          </w:p>
        </w:tc>
      </w:tr>
    </w:tbl>
    <w:p w:rsidR="002B7947" w:rsidRPr="00982178" w:rsidRDefault="00D97600" w:rsidP="002B7947">
      <w:pPr>
        <w:pStyle w:val="h5SchItem"/>
      </w:pPr>
      <w:r>
        <w:t>[32]</w:t>
      </w:r>
      <w:r w:rsidR="002B7947" w:rsidRPr="00982178">
        <w:tab/>
      </w:r>
      <w:r w:rsidR="002B7947">
        <w:t>Schedule 2</w:t>
      </w:r>
      <w:r w:rsidR="002B7947" w:rsidRPr="00982178">
        <w:t xml:space="preserve"> (</w:t>
      </w:r>
      <w:r w:rsidR="002B7947">
        <w:t>table item 8</w:t>
      </w:r>
      <w:r w:rsidR="002B7947" w:rsidRPr="00982178">
        <w:t>)</w:t>
      </w:r>
    </w:p>
    <w:p w:rsidR="002B7947" w:rsidRDefault="002B7947" w:rsidP="002B7947">
      <w:pPr>
        <w:pStyle w:val="Item"/>
      </w:pPr>
      <w:r>
        <w:t>Omit “and tyres”.</w:t>
      </w:r>
    </w:p>
    <w:p w:rsidR="00EC4E36" w:rsidRPr="00982178" w:rsidRDefault="00D97600" w:rsidP="00EC4E36">
      <w:pPr>
        <w:pStyle w:val="h5SchItem"/>
      </w:pPr>
      <w:r>
        <w:t>[33]</w:t>
      </w:r>
      <w:r w:rsidR="00EC4E36" w:rsidRPr="00982178">
        <w:tab/>
      </w:r>
      <w:r w:rsidR="00EC4E36">
        <w:t>Schedule 2</w:t>
      </w:r>
      <w:r w:rsidR="00EC4E36" w:rsidRPr="00982178">
        <w:t xml:space="preserve"> (</w:t>
      </w:r>
      <w:r w:rsidR="00EC4E36">
        <w:t xml:space="preserve">after table item </w:t>
      </w:r>
      <w:r w:rsidR="002B7947">
        <w:t>8</w:t>
      </w:r>
      <w:r w:rsidR="00EC4E36" w:rsidRPr="00982178">
        <w:t>)</w:t>
      </w:r>
    </w:p>
    <w:p w:rsidR="00EC4E36" w:rsidRDefault="00EC4E36" w:rsidP="00EC4E36">
      <w:pPr>
        <w:pStyle w:val="Item"/>
      </w:pPr>
      <w:r>
        <w:t>Insert:</w:t>
      </w:r>
    </w:p>
    <w:p w:rsidR="00EC4E36" w:rsidRDefault="00EC4E36" w:rsidP="00EC4E36">
      <w:pPr>
        <w:rPr>
          <w:lang w:eastAsia="en-A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7"/>
        <w:gridCol w:w="2415"/>
        <w:gridCol w:w="1700"/>
        <w:gridCol w:w="2233"/>
        <w:gridCol w:w="1951"/>
      </w:tblGrid>
      <w:tr w:rsidR="00EC4E36" w:rsidRPr="0005417A" w:rsidTr="002B7947">
        <w:trPr>
          <w:cantSplit/>
        </w:trPr>
        <w:tc>
          <w:tcPr>
            <w:tcW w:w="402" w:type="pct"/>
            <w:vMerge w:val="restart"/>
            <w:tcBorders>
              <w:top w:val="single" w:sz="4" w:space="0" w:color="auto"/>
            </w:tcBorders>
          </w:tcPr>
          <w:p w:rsidR="00EC4E36" w:rsidRPr="0005417A" w:rsidRDefault="002B7947" w:rsidP="004673B8">
            <w:pPr>
              <w:pStyle w:val="Tabletext"/>
            </w:pPr>
            <w:r>
              <w:t>8A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>
              <w:t>Passenger car tyres</w:t>
            </w:r>
            <w:r w:rsidRPr="0005417A">
              <w:rPr>
                <w:snapToGrid w:val="0"/>
              </w:rPr>
              <w:t>, if recycled and combusted to produce heat or electricity</w:t>
            </w:r>
          </w:p>
        </w:tc>
        <w:tc>
          <w:tcPr>
            <w:tcW w:w="942" w:type="pct"/>
            <w:tcBorders>
              <w:top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Energy content factor</w:t>
            </w:r>
          </w:p>
        </w:tc>
        <w:tc>
          <w:tcPr>
            <w:tcW w:w="1237" w:type="pct"/>
            <w:tcBorders>
              <w:top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CEN/TS 15400:2006</w:t>
            </w:r>
          </w:p>
        </w:tc>
        <w:tc>
          <w:tcPr>
            <w:tcW w:w="1082" w:type="pct"/>
            <w:tcBorders>
              <w:top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Monthly sample composite</w:t>
            </w:r>
          </w:p>
        </w:tc>
      </w:tr>
      <w:tr w:rsidR="00EC4E36" w:rsidRPr="0005417A" w:rsidTr="002B7947">
        <w:trPr>
          <w:cantSplit/>
        </w:trPr>
        <w:tc>
          <w:tcPr>
            <w:tcW w:w="402" w:type="pct"/>
            <w:vMerge/>
          </w:tcPr>
          <w:p w:rsidR="00EC4E36" w:rsidRPr="0005417A" w:rsidRDefault="00EC4E36" w:rsidP="004673B8"/>
        </w:tc>
        <w:tc>
          <w:tcPr>
            <w:tcW w:w="1338" w:type="pct"/>
            <w:vMerge/>
          </w:tcPr>
          <w:p w:rsidR="00EC4E36" w:rsidRPr="0005417A" w:rsidRDefault="00EC4E36" w:rsidP="004673B8"/>
        </w:tc>
        <w:tc>
          <w:tcPr>
            <w:tcW w:w="942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Carbon</w:t>
            </w:r>
          </w:p>
        </w:tc>
        <w:tc>
          <w:tcPr>
            <w:tcW w:w="1237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CEN/TS 15407:2006</w:t>
            </w:r>
          </w:p>
        </w:tc>
        <w:tc>
          <w:tcPr>
            <w:tcW w:w="1082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Monthly sample composite</w:t>
            </w:r>
          </w:p>
        </w:tc>
      </w:tr>
      <w:tr w:rsidR="00EC4E36" w:rsidRPr="0005417A" w:rsidTr="002B7947">
        <w:trPr>
          <w:cantSplit/>
        </w:trPr>
        <w:tc>
          <w:tcPr>
            <w:tcW w:w="402" w:type="pct"/>
            <w:vMerge/>
          </w:tcPr>
          <w:p w:rsidR="00EC4E36" w:rsidRPr="0005417A" w:rsidRDefault="00EC4E36" w:rsidP="004673B8"/>
        </w:tc>
        <w:tc>
          <w:tcPr>
            <w:tcW w:w="1338" w:type="pct"/>
            <w:vMerge/>
          </w:tcPr>
          <w:p w:rsidR="00EC4E36" w:rsidRPr="0005417A" w:rsidRDefault="00EC4E36" w:rsidP="004673B8"/>
        </w:tc>
        <w:tc>
          <w:tcPr>
            <w:tcW w:w="942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Moisture</w:t>
            </w:r>
          </w:p>
        </w:tc>
        <w:tc>
          <w:tcPr>
            <w:tcW w:w="1237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CEN/TS 15414</w:t>
            </w:r>
            <w:r w:rsidRPr="0005417A">
              <w:noBreakHyphen/>
              <w:t>3:2006</w:t>
            </w:r>
          </w:p>
        </w:tc>
        <w:tc>
          <w:tcPr>
            <w:tcW w:w="1082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Each delivery</w:t>
            </w:r>
          </w:p>
        </w:tc>
      </w:tr>
      <w:tr w:rsidR="00EC4E36" w:rsidRPr="0005417A" w:rsidTr="002B7947">
        <w:trPr>
          <w:cantSplit/>
        </w:trPr>
        <w:tc>
          <w:tcPr>
            <w:tcW w:w="402" w:type="pct"/>
            <w:vMerge/>
            <w:tcBorders>
              <w:bottom w:val="single" w:sz="4" w:space="0" w:color="auto"/>
            </w:tcBorders>
          </w:tcPr>
          <w:p w:rsidR="00EC4E36" w:rsidRPr="0005417A" w:rsidRDefault="00EC4E36" w:rsidP="004673B8"/>
        </w:tc>
        <w:tc>
          <w:tcPr>
            <w:tcW w:w="1338" w:type="pct"/>
            <w:vMerge/>
            <w:tcBorders>
              <w:bottom w:val="single" w:sz="4" w:space="0" w:color="auto"/>
            </w:tcBorders>
          </w:tcPr>
          <w:p w:rsidR="00EC4E36" w:rsidRPr="0005417A" w:rsidRDefault="00EC4E36" w:rsidP="004673B8"/>
        </w:tc>
        <w:tc>
          <w:tcPr>
            <w:tcW w:w="942" w:type="pct"/>
            <w:tcBorders>
              <w:bottom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Ash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CEN/TS 15403:2006</w:t>
            </w: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Each delivery</w:t>
            </w:r>
          </w:p>
        </w:tc>
      </w:tr>
      <w:tr w:rsidR="00EC4E36" w:rsidRPr="0005417A" w:rsidTr="002B7947">
        <w:trPr>
          <w:cantSplit/>
        </w:trPr>
        <w:tc>
          <w:tcPr>
            <w:tcW w:w="402" w:type="pct"/>
            <w:vMerge w:val="restart"/>
            <w:tcBorders>
              <w:top w:val="single" w:sz="4" w:space="0" w:color="auto"/>
            </w:tcBorders>
          </w:tcPr>
          <w:p w:rsidR="00EC4E36" w:rsidRPr="0005417A" w:rsidRDefault="002B7947" w:rsidP="004673B8">
            <w:pPr>
              <w:pStyle w:val="Tabletext"/>
            </w:pPr>
            <w:r>
              <w:t>8</w:t>
            </w:r>
            <w:r w:rsidR="00EC4E36">
              <w:t>B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>
              <w:t>Truck and off-road tyres</w:t>
            </w:r>
            <w:r w:rsidRPr="0005417A">
              <w:rPr>
                <w:snapToGrid w:val="0"/>
              </w:rPr>
              <w:t>, if recycled and combusted to produce heat or electricity</w:t>
            </w:r>
          </w:p>
        </w:tc>
        <w:tc>
          <w:tcPr>
            <w:tcW w:w="942" w:type="pct"/>
            <w:tcBorders>
              <w:top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Energy content factor</w:t>
            </w:r>
          </w:p>
        </w:tc>
        <w:tc>
          <w:tcPr>
            <w:tcW w:w="1237" w:type="pct"/>
            <w:tcBorders>
              <w:top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CEN/TS 15400:2006</w:t>
            </w:r>
          </w:p>
        </w:tc>
        <w:tc>
          <w:tcPr>
            <w:tcW w:w="1082" w:type="pct"/>
            <w:tcBorders>
              <w:top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Monthly sample composite</w:t>
            </w:r>
          </w:p>
        </w:tc>
      </w:tr>
      <w:tr w:rsidR="00EC4E36" w:rsidRPr="0005417A" w:rsidTr="002B7947">
        <w:trPr>
          <w:cantSplit/>
        </w:trPr>
        <w:tc>
          <w:tcPr>
            <w:tcW w:w="402" w:type="pct"/>
            <w:vMerge/>
          </w:tcPr>
          <w:p w:rsidR="00EC4E36" w:rsidRPr="0005417A" w:rsidRDefault="00EC4E36" w:rsidP="004673B8"/>
        </w:tc>
        <w:tc>
          <w:tcPr>
            <w:tcW w:w="1338" w:type="pct"/>
            <w:vMerge/>
          </w:tcPr>
          <w:p w:rsidR="00EC4E36" w:rsidRPr="0005417A" w:rsidRDefault="00EC4E36" w:rsidP="004673B8"/>
        </w:tc>
        <w:tc>
          <w:tcPr>
            <w:tcW w:w="942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Carbon</w:t>
            </w:r>
          </w:p>
        </w:tc>
        <w:tc>
          <w:tcPr>
            <w:tcW w:w="1237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CEN/TS 15407:2006</w:t>
            </w:r>
          </w:p>
        </w:tc>
        <w:tc>
          <w:tcPr>
            <w:tcW w:w="1082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Monthly sample composite</w:t>
            </w:r>
          </w:p>
        </w:tc>
      </w:tr>
      <w:tr w:rsidR="00EC4E36" w:rsidRPr="0005417A" w:rsidTr="002B7947">
        <w:trPr>
          <w:cantSplit/>
        </w:trPr>
        <w:tc>
          <w:tcPr>
            <w:tcW w:w="402" w:type="pct"/>
            <w:vMerge/>
          </w:tcPr>
          <w:p w:rsidR="00EC4E36" w:rsidRPr="0005417A" w:rsidRDefault="00EC4E36" w:rsidP="004673B8"/>
        </w:tc>
        <w:tc>
          <w:tcPr>
            <w:tcW w:w="1338" w:type="pct"/>
            <w:vMerge/>
          </w:tcPr>
          <w:p w:rsidR="00EC4E36" w:rsidRPr="0005417A" w:rsidRDefault="00EC4E36" w:rsidP="004673B8"/>
        </w:tc>
        <w:tc>
          <w:tcPr>
            <w:tcW w:w="942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Moisture</w:t>
            </w:r>
          </w:p>
        </w:tc>
        <w:tc>
          <w:tcPr>
            <w:tcW w:w="1237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CEN/TS 15414</w:t>
            </w:r>
            <w:r w:rsidRPr="0005417A">
              <w:noBreakHyphen/>
              <w:t>3:2006</w:t>
            </w:r>
          </w:p>
        </w:tc>
        <w:tc>
          <w:tcPr>
            <w:tcW w:w="1082" w:type="pct"/>
          </w:tcPr>
          <w:p w:rsidR="00EC4E36" w:rsidRPr="0005417A" w:rsidRDefault="00EC4E36" w:rsidP="004673B8">
            <w:pPr>
              <w:pStyle w:val="Tabletext"/>
            </w:pPr>
            <w:r w:rsidRPr="0005417A">
              <w:t>Each delivery</w:t>
            </w:r>
          </w:p>
        </w:tc>
      </w:tr>
      <w:tr w:rsidR="00EC4E36" w:rsidRPr="0005417A" w:rsidTr="002B7947">
        <w:trPr>
          <w:cantSplit/>
        </w:trPr>
        <w:tc>
          <w:tcPr>
            <w:tcW w:w="402" w:type="pct"/>
            <w:vMerge/>
            <w:tcBorders>
              <w:bottom w:val="single" w:sz="4" w:space="0" w:color="auto"/>
            </w:tcBorders>
          </w:tcPr>
          <w:p w:rsidR="00EC4E36" w:rsidRPr="0005417A" w:rsidRDefault="00EC4E36" w:rsidP="004673B8"/>
        </w:tc>
        <w:tc>
          <w:tcPr>
            <w:tcW w:w="1338" w:type="pct"/>
            <w:vMerge/>
            <w:tcBorders>
              <w:bottom w:val="single" w:sz="4" w:space="0" w:color="auto"/>
            </w:tcBorders>
          </w:tcPr>
          <w:p w:rsidR="00EC4E36" w:rsidRPr="0005417A" w:rsidRDefault="00EC4E36" w:rsidP="004673B8"/>
        </w:tc>
        <w:tc>
          <w:tcPr>
            <w:tcW w:w="942" w:type="pct"/>
            <w:tcBorders>
              <w:bottom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Ash</w:t>
            </w:r>
          </w:p>
        </w:tc>
        <w:tc>
          <w:tcPr>
            <w:tcW w:w="1237" w:type="pct"/>
            <w:tcBorders>
              <w:bottom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CEN/TS 15403:2006</w:t>
            </w: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:rsidR="00EC4E36" w:rsidRPr="0005417A" w:rsidRDefault="00EC4E36" w:rsidP="004673B8">
            <w:pPr>
              <w:pStyle w:val="Tabletext"/>
            </w:pPr>
            <w:r w:rsidRPr="0005417A">
              <w:t>Each delivery</w:t>
            </w:r>
          </w:p>
        </w:tc>
      </w:tr>
    </w:tbl>
    <w:p w:rsidR="002B7947" w:rsidRPr="00982178" w:rsidRDefault="00D97600" w:rsidP="002B7947">
      <w:pPr>
        <w:pStyle w:val="h5SchItem"/>
      </w:pPr>
      <w:r>
        <w:lastRenderedPageBreak/>
        <w:t>[34]</w:t>
      </w:r>
      <w:r w:rsidR="002B7947" w:rsidRPr="00982178">
        <w:tab/>
      </w:r>
      <w:r w:rsidR="002B7947">
        <w:t>Schedule 3</w:t>
      </w:r>
      <w:r w:rsidR="002B7947" w:rsidRPr="00982178">
        <w:t xml:space="preserve"> (</w:t>
      </w:r>
      <w:r w:rsidR="002B7947">
        <w:t>table item 8</w:t>
      </w:r>
      <w:r w:rsidR="002B7947" w:rsidRPr="00982178">
        <w:t>)</w:t>
      </w:r>
    </w:p>
    <w:p w:rsidR="002B7947" w:rsidRDefault="002B7947" w:rsidP="002B7947">
      <w:pPr>
        <w:pStyle w:val="Item"/>
      </w:pPr>
      <w:r>
        <w:t>Omit “and tyres”.</w:t>
      </w:r>
    </w:p>
    <w:p w:rsidR="00EC4E36" w:rsidRPr="00982178" w:rsidRDefault="00D97600" w:rsidP="00EC4E36">
      <w:pPr>
        <w:pStyle w:val="h5SchItem"/>
      </w:pPr>
      <w:r>
        <w:t>[35]</w:t>
      </w:r>
      <w:r w:rsidR="00EC4E36" w:rsidRPr="00982178">
        <w:tab/>
      </w:r>
      <w:r w:rsidR="00EC4E36">
        <w:t>Schedule 3</w:t>
      </w:r>
      <w:r w:rsidR="00EC4E36" w:rsidRPr="00982178">
        <w:t xml:space="preserve"> (</w:t>
      </w:r>
      <w:r w:rsidR="002B7947">
        <w:t xml:space="preserve">after </w:t>
      </w:r>
      <w:r w:rsidR="00EC4E36">
        <w:t>table item 8</w:t>
      </w:r>
      <w:r w:rsidR="00EC4E36" w:rsidRPr="00982178">
        <w:t>)</w:t>
      </w:r>
    </w:p>
    <w:p w:rsidR="00EC4E36" w:rsidRDefault="00EC4E36" w:rsidP="00EC4E36">
      <w:pPr>
        <w:pStyle w:val="Item"/>
      </w:pPr>
      <w:r>
        <w:t>Insert:</w:t>
      </w:r>
    </w:p>
    <w:p w:rsidR="00EC4E36" w:rsidRDefault="00EC4E36" w:rsidP="00EC4E36">
      <w:pPr>
        <w:rPr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150"/>
        <w:gridCol w:w="2105"/>
      </w:tblGrid>
      <w:tr w:rsidR="00EC4E36" w:rsidRPr="0005417A" w:rsidTr="004673B8">
        <w:trPr>
          <w:trHeight w:val="20"/>
        </w:trPr>
        <w:tc>
          <w:tcPr>
            <w:tcW w:w="427" w:type="pct"/>
            <w:shd w:val="clear" w:color="auto" w:fill="auto"/>
          </w:tcPr>
          <w:p w:rsidR="00EC4E36" w:rsidRPr="0005417A" w:rsidRDefault="002B7947" w:rsidP="004673B8">
            <w:pPr>
              <w:pStyle w:val="Tabletext"/>
            </w:pPr>
            <w:r>
              <w:t>8</w:t>
            </w:r>
            <w:r w:rsidR="00EC4E36">
              <w:t>A</w:t>
            </w:r>
          </w:p>
        </w:tc>
        <w:tc>
          <w:tcPr>
            <w:tcW w:w="3407" w:type="pct"/>
            <w:shd w:val="clear" w:color="auto" w:fill="auto"/>
          </w:tcPr>
          <w:p w:rsidR="00EC4E36" w:rsidRPr="0005417A" w:rsidRDefault="00EC4E36" w:rsidP="004673B8">
            <w:pPr>
              <w:pStyle w:val="Tabletext"/>
            </w:pPr>
            <w:r>
              <w:rPr>
                <w:snapToGrid w:val="0"/>
              </w:rPr>
              <w:t>Passenger car tyres</w:t>
            </w:r>
            <w:r w:rsidRPr="0005417A">
              <w:rPr>
                <w:snapToGrid w:val="0"/>
              </w:rPr>
              <w:t>, if recycled and combusted to produce heat or electricity</w:t>
            </w:r>
          </w:p>
        </w:tc>
        <w:tc>
          <w:tcPr>
            <w:tcW w:w="1166" w:type="pct"/>
            <w:shd w:val="clear" w:color="auto" w:fill="auto"/>
          </w:tcPr>
          <w:p w:rsidR="00EC4E36" w:rsidRPr="00250230" w:rsidRDefault="00250230" w:rsidP="004673B8">
            <w:pPr>
              <w:pStyle w:val="Tabletext"/>
            </w:pPr>
            <w:r w:rsidRPr="00250230">
              <w:t>0.</w:t>
            </w:r>
            <w:r w:rsidR="00293D44">
              <w:t>450</w:t>
            </w:r>
          </w:p>
        </w:tc>
      </w:tr>
      <w:tr w:rsidR="00EC4E36" w:rsidRPr="0005417A" w:rsidTr="004673B8">
        <w:trPr>
          <w:trHeight w:val="20"/>
        </w:trPr>
        <w:tc>
          <w:tcPr>
            <w:tcW w:w="427" w:type="pct"/>
            <w:shd w:val="clear" w:color="auto" w:fill="auto"/>
          </w:tcPr>
          <w:p w:rsidR="00EC4E36" w:rsidRPr="0005417A" w:rsidRDefault="002B7947" w:rsidP="004673B8">
            <w:pPr>
              <w:pStyle w:val="Tabletext"/>
            </w:pPr>
            <w:r>
              <w:t>8</w:t>
            </w:r>
            <w:r w:rsidR="00EC4E36">
              <w:t>B</w:t>
            </w:r>
          </w:p>
        </w:tc>
        <w:tc>
          <w:tcPr>
            <w:tcW w:w="3407" w:type="pct"/>
            <w:shd w:val="clear" w:color="auto" w:fill="auto"/>
          </w:tcPr>
          <w:p w:rsidR="00EC4E36" w:rsidRPr="0005417A" w:rsidRDefault="00EC4E36" w:rsidP="004673B8">
            <w:pPr>
              <w:pStyle w:val="Tabletext"/>
            </w:pPr>
            <w:r>
              <w:rPr>
                <w:snapToGrid w:val="0"/>
              </w:rPr>
              <w:t>Truck and off-road tyres</w:t>
            </w:r>
            <w:r w:rsidRPr="0005417A">
              <w:rPr>
                <w:snapToGrid w:val="0"/>
              </w:rPr>
              <w:t>, if recycled and combusted to produce heat or electricity</w:t>
            </w:r>
          </w:p>
        </w:tc>
        <w:tc>
          <w:tcPr>
            <w:tcW w:w="1166" w:type="pct"/>
            <w:shd w:val="clear" w:color="auto" w:fill="auto"/>
          </w:tcPr>
          <w:p w:rsidR="00EC4E36" w:rsidRPr="00250230" w:rsidRDefault="00250230" w:rsidP="004673B8">
            <w:pPr>
              <w:pStyle w:val="Tabletext"/>
            </w:pPr>
            <w:r w:rsidRPr="00250230">
              <w:t>0.</w:t>
            </w:r>
            <w:r w:rsidR="00293D44">
              <w:t>401</w:t>
            </w:r>
          </w:p>
          <w:p w:rsidR="00EC4E36" w:rsidRPr="00250230" w:rsidRDefault="00EC4E36" w:rsidP="004673B8">
            <w:pPr>
              <w:pStyle w:val="Tabletext"/>
            </w:pPr>
          </w:p>
        </w:tc>
      </w:tr>
    </w:tbl>
    <w:p w:rsidR="00982178" w:rsidRPr="00982178" w:rsidRDefault="00D97600" w:rsidP="00982178">
      <w:pPr>
        <w:pStyle w:val="h5SchItem"/>
      </w:pPr>
      <w:r>
        <w:t>[36]</w:t>
      </w:r>
      <w:r w:rsidR="00982178" w:rsidRPr="00982178">
        <w:tab/>
        <w:t>Schedule 3 (after table item 29)</w:t>
      </w:r>
    </w:p>
    <w:p w:rsidR="00982178" w:rsidRPr="00982178" w:rsidRDefault="00982178" w:rsidP="00982178">
      <w:pPr>
        <w:pStyle w:val="Item"/>
      </w:pPr>
      <w:r w:rsidRPr="00982178">
        <w:t>Insert: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6138"/>
        <w:gridCol w:w="2166"/>
      </w:tblGrid>
      <w:tr w:rsidR="00982178" w:rsidRPr="00982178" w:rsidTr="004673B8">
        <w:trPr>
          <w:trHeight w:val="20"/>
        </w:trPr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178" w:rsidRPr="00982178" w:rsidRDefault="00982178" w:rsidP="004673B8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82178">
              <w:rPr>
                <w:rFonts w:eastAsia="Times New Roman"/>
                <w:sz w:val="20"/>
                <w:lang w:eastAsia="en-AU"/>
              </w:rPr>
              <w:t>29A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178" w:rsidRPr="00982178" w:rsidRDefault="00982178" w:rsidP="004673B8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82178">
              <w:rPr>
                <w:rFonts w:eastAsia="Times New Roman"/>
                <w:sz w:val="20"/>
                <w:lang w:eastAsia="en-AU"/>
              </w:rPr>
              <w:t>Biomethane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178" w:rsidRPr="00982178" w:rsidRDefault="00982178" w:rsidP="004673B8">
            <w:pPr>
              <w:spacing w:before="60" w:line="240" w:lineRule="atLeast"/>
              <w:rPr>
                <w:rFonts w:eastAsia="Times New Roman"/>
                <w:sz w:val="20"/>
                <w:lang w:eastAsia="en-AU"/>
              </w:rPr>
            </w:pPr>
            <w:r w:rsidRPr="00982178">
              <w:rPr>
                <w:rFonts w:eastAsia="Times New Roman"/>
                <w:sz w:val="20"/>
                <w:lang w:eastAsia="en-AU"/>
              </w:rPr>
              <w:t>0</w:t>
            </w:r>
          </w:p>
        </w:tc>
      </w:tr>
    </w:tbl>
    <w:p w:rsidR="00F75A22" w:rsidRPr="00982178" w:rsidRDefault="00D97600" w:rsidP="00F75A22">
      <w:pPr>
        <w:pStyle w:val="h5SchItem"/>
      </w:pPr>
      <w:r>
        <w:t>[37]</w:t>
      </w:r>
      <w:r w:rsidR="00F75A22" w:rsidRPr="00982178">
        <w:tab/>
      </w:r>
      <w:r w:rsidR="00F75A22">
        <w:t>Schedule 3</w:t>
      </w:r>
      <w:r w:rsidR="00F75A22" w:rsidRPr="00982178">
        <w:t xml:space="preserve"> (</w:t>
      </w:r>
      <w:r w:rsidR="00F75A22">
        <w:t>table item 30</w:t>
      </w:r>
      <w:r w:rsidR="00F75A22" w:rsidRPr="00982178">
        <w:t>)</w:t>
      </w:r>
    </w:p>
    <w:p w:rsidR="00F75A22" w:rsidRDefault="00F75A22" w:rsidP="00F75A22">
      <w:pPr>
        <w:pStyle w:val="Item"/>
      </w:pPr>
      <w:r>
        <w:t>Omit “28 and 29”, substitute “28, 29 and 29A”.</w:t>
      </w:r>
    </w:p>
    <w:p w:rsidR="002147E6" w:rsidRPr="00356952" w:rsidRDefault="002147E6" w:rsidP="00982178">
      <w:pPr>
        <w:pStyle w:val="h5SchItem"/>
        <w:ind w:left="0" w:firstLine="0"/>
      </w:pPr>
    </w:p>
    <w:sectPr w:rsidR="002147E6" w:rsidRPr="00356952" w:rsidSect="00B13564">
      <w:footerReference w:type="defaul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36" w:rsidRDefault="00217436">
      <w:r>
        <w:separator/>
      </w:r>
    </w:p>
  </w:endnote>
  <w:endnote w:type="continuationSeparator" w:id="0">
    <w:p w:rsidR="00217436" w:rsidRDefault="0021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:rsidR="00F140EA" w:rsidRDefault="00F140EA" w:rsidP="009818F6">
        <w:pPr>
          <w:pStyle w:val="Footer"/>
          <w:pBdr>
            <w:top w:val="single" w:sz="4" w:space="1" w:color="auto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0C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0EA" w:rsidRDefault="00F140EA" w:rsidP="0040713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ShortT  \* MERGEFORMAT </w:instrText>
    </w:r>
    <w:r>
      <w:rPr>
        <w:noProof/>
      </w:rPr>
      <w:fldChar w:fldCharType="separate"/>
    </w:r>
    <w:r w:rsidR="00E20C9A">
      <w:rPr>
        <w:noProof/>
      </w:rPr>
      <w:t>National Greenhouse and Energy Reporting (Measurement) Amendment (2022 Update) Determination 2022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36" w:rsidRDefault="00217436">
      <w:r>
        <w:separator/>
      </w:r>
    </w:p>
  </w:footnote>
  <w:footnote w:type="continuationSeparator" w:id="0">
    <w:p w:rsidR="00217436" w:rsidRDefault="0021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89"/>
    <w:multiLevelType w:val="singleLevel"/>
    <w:tmpl w:val="E73EF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4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6" w15:restartNumberingAfterBreak="0">
    <w:nsid w:val="089732E6"/>
    <w:multiLevelType w:val="hybridMultilevel"/>
    <w:tmpl w:val="C9CAD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8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9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0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1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2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4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6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7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9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2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22"/>
  </w:num>
  <w:num w:numId="6">
    <w:abstractNumId w:val="27"/>
  </w:num>
  <w:num w:numId="7">
    <w:abstractNumId w:val="5"/>
  </w:num>
  <w:num w:numId="8">
    <w:abstractNumId w:val="17"/>
  </w:num>
  <w:num w:numId="9">
    <w:abstractNumId w:val="8"/>
  </w:num>
  <w:num w:numId="10">
    <w:abstractNumId w:val="11"/>
  </w:num>
  <w:num w:numId="11">
    <w:abstractNumId w:val="7"/>
  </w:num>
  <w:num w:numId="12">
    <w:abstractNumId w:val="16"/>
  </w:num>
  <w:num w:numId="13">
    <w:abstractNumId w:val="13"/>
  </w:num>
  <w:num w:numId="14">
    <w:abstractNumId w:val="34"/>
  </w:num>
  <w:num w:numId="15">
    <w:abstractNumId w:val="9"/>
  </w:num>
  <w:num w:numId="16">
    <w:abstractNumId w:val="18"/>
  </w:num>
  <w:num w:numId="17">
    <w:abstractNumId w:val="3"/>
  </w:num>
  <w:num w:numId="18">
    <w:abstractNumId w:val="14"/>
  </w:num>
  <w:num w:numId="19">
    <w:abstractNumId w:val="15"/>
  </w:num>
  <w:num w:numId="20">
    <w:abstractNumId w:val="10"/>
  </w:num>
  <w:num w:numId="21">
    <w:abstractNumId w:val="6"/>
  </w:num>
  <w:num w:numId="2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B"/>
    <w:rsid w:val="00002024"/>
    <w:rsid w:val="000039D7"/>
    <w:rsid w:val="000059FD"/>
    <w:rsid w:val="00012088"/>
    <w:rsid w:val="00012384"/>
    <w:rsid w:val="00012B72"/>
    <w:rsid w:val="00014257"/>
    <w:rsid w:val="000248C7"/>
    <w:rsid w:val="000258A0"/>
    <w:rsid w:val="00031189"/>
    <w:rsid w:val="000320EA"/>
    <w:rsid w:val="000320F2"/>
    <w:rsid w:val="00032BFC"/>
    <w:rsid w:val="00036984"/>
    <w:rsid w:val="0003757F"/>
    <w:rsid w:val="0003764D"/>
    <w:rsid w:val="00040A7E"/>
    <w:rsid w:val="00041037"/>
    <w:rsid w:val="00041E62"/>
    <w:rsid w:val="0004373B"/>
    <w:rsid w:val="0004479F"/>
    <w:rsid w:val="00044D8C"/>
    <w:rsid w:val="000453D0"/>
    <w:rsid w:val="00046216"/>
    <w:rsid w:val="00047DB3"/>
    <w:rsid w:val="00050664"/>
    <w:rsid w:val="00051826"/>
    <w:rsid w:val="00051EA8"/>
    <w:rsid w:val="00052F04"/>
    <w:rsid w:val="0005423E"/>
    <w:rsid w:val="00054911"/>
    <w:rsid w:val="00056020"/>
    <w:rsid w:val="00057DAD"/>
    <w:rsid w:val="00060287"/>
    <w:rsid w:val="00060667"/>
    <w:rsid w:val="00063C97"/>
    <w:rsid w:val="00064F51"/>
    <w:rsid w:val="00066A91"/>
    <w:rsid w:val="00067372"/>
    <w:rsid w:val="000719AE"/>
    <w:rsid w:val="000731B2"/>
    <w:rsid w:val="00074AB4"/>
    <w:rsid w:val="00075602"/>
    <w:rsid w:val="00076EE6"/>
    <w:rsid w:val="000813F8"/>
    <w:rsid w:val="00082BCD"/>
    <w:rsid w:val="00090D8B"/>
    <w:rsid w:val="000913EA"/>
    <w:rsid w:val="000967FA"/>
    <w:rsid w:val="00097203"/>
    <w:rsid w:val="000974E1"/>
    <w:rsid w:val="000978C5"/>
    <w:rsid w:val="000A02E0"/>
    <w:rsid w:val="000A1452"/>
    <w:rsid w:val="000A25C2"/>
    <w:rsid w:val="000A407B"/>
    <w:rsid w:val="000A4314"/>
    <w:rsid w:val="000A4DBC"/>
    <w:rsid w:val="000A5EC6"/>
    <w:rsid w:val="000A71D4"/>
    <w:rsid w:val="000A7903"/>
    <w:rsid w:val="000B042A"/>
    <w:rsid w:val="000B177D"/>
    <w:rsid w:val="000B25C5"/>
    <w:rsid w:val="000B2B15"/>
    <w:rsid w:val="000B4CF0"/>
    <w:rsid w:val="000B4DA5"/>
    <w:rsid w:val="000B5DCB"/>
    <w:rsid w:val="000C2287"/>
    <w:rsid w:val="000C2440"/>
    <w:rsid w:val="000C61CF"/>
    <w:rsid w:val="000D2D22"/>
    <w:rsid w:val="000D2FFA"/>
    <w:rsid w:val="000D40E2"/>
    <w:rsid w:val="000D450D"/>
    <w:rsid w:val="000D5F02"/>
    <w:rsid w:val="000D628D"/>
    <w:rsid w:val="000D7205"/>
    <w:rsid w:val="000E2406"/>
    <w:rsid w:val="000E2AF3"/>
    <w:rsid w:val="000E2E9E"/>
    <w:rsid w:val="000E4D39"/>
    <w:rsid w:val="000E750C"/>
    <w:rsid w:val="000E77B0"/>
    <w:rsid w:val="000F0319"/>
    <w:rsid w:val="000F081D"/>
    <w:rsid w:val="000F2EBE"/>
    <w:rsid w:val="000F31F8"/>
    <w:rsid w:val="000F39FE"/>
    <w:rsid w:val="000F3E90"/>
    <w:rsid w:val="00100728"/>
    <w:rsid w:val="0010169E"/>
    <w:rsid w:val="00102896"/>
    <w:rsid w:val="00104A9E"/>
    <w:rsid w:val="00107E81"/>
    <w:rsid w:val="001104D5"/>
    <w:rsid w:val="0011138C"/>
    <w:rsid w:val="0011343D"/>
    <w:rsid w:val="001201AD"/>
    <w:rsid w:val="00121A23"/>
    <w:rsid w:val="00123118"/>
    <w:rsid w:val="00123657"/>
    <w:rsid w:val="00124559"/>
    <w:rsid w:val="001245D0"/>
    <w:rsid w:val="00125A49"/>
    <w:rsid w:val="001300B0"/>
    <w:rsid w:val="0013340A"/>
    <w:rsid w:val="00133B29"/>
    <w:rsid w:val="001369B9"/>
    <w:rsid w:val="00137A06"/>
    <w:rsid w:val="00140EBC"/>
    <w:rsid w:val="00142EC4"/>
    <w:rsid w:val="0014387D"/>
    <w:rsid w:val="001443B4"/>
    <w:rsid w:val="00144E82"/>
    <w:rsid w:val="001476F6"/>
    <w:rsid w:val="001532D6"/>
    <w:rsid w:val="00154AA1"/>
    <w:rsid w:val="00170675"/>
    <w:rsid w:val="00172839"/>
    <w:rsid w:val="00174847"/>
    <w:rsid w:val="0017505D"/>
    <w:rsid w:val="0017511C"/>
    <w:rsid w:val="00175DFB"/>
    <w:rsid w:val="001776B2"/>
    <w:rsid w:val="00182E3C"/>
    <w:rsid w:val="00182E6C"/>
    <w:rsid w:val="00183C90"/>
    <w:rsid w:val="00184268"/>
    <w:rsid w:val="00184B5E"/>
    <w:rsid w:val="00185AF9"/>
    <w:rsid w:val="00190AB5"/>
    <w:rsid w:val="00193D3A"/>
    <w:rsid w:val="00194039"/>
    <w:rsid w:val="00195069"/>
    <w:rsid w:val="00196DA5"/>
    <w:rsid w:val="001979DC"/>
    <w:rsid w:val="001A094B"/>
    <w:rsid w:val="001A15AC"/>
    <w:rsid w:val="001A562A"/>
    <w:rsid w:val="001A5A16"/>
    <w:rsid w:val="001A5CB2"/>
    <w:rsid w:val="001A7AA3"/>
    <w:rsid w:val="001B0571"/>
    <w:rsid w:val="001B0B41"/>
    <w:rsid w:val="001B2D72"/>
    <w:rsid w:val="001B4173"/>
    <w:rsid w:val="001B4754"/>
    <w:rsid w:val="001B644D"/>
    <w:rsid w:val="001B7250"/>
    <w:rsid w:val="001B7C15"/>
    <w:rsid w:val="001C0768"/>
    <w:rsid w:val="001C115C"/>
    <w:rsid w:val="001C1A73"/>
    <w:rsid w:val="001C3392"/>
    <w:rsid w:val="001C3788"/>
    <w:rsid w:val="001C6AD2"/>
    <w:rsid w:val="001D07AE"/>
    <w:rsid w:val="001D3FED"/>
    <w:rsid w:val="001E0960"/>
    <w:rsid w:val="001E1B02"/>
    <w:rsid w:val="001E4824"/>
    <w:rsid w:val="001E647F"/>
    <w:rsid w:val="001F3460"/>
    <w:rsid w:val="001F373E"/>
    <w:rsid w:val="001F43D4"/>
    <w:rsid w:val="001F4DE7"/>
    <w:rsid w:val="001F50EC"/>
    <w:rsid w:val="001F5AF2"/>
    <w:rsid w:val="00201A33"/>
    <w:rsid w:val="00202460"/>
    <w:rsid w:val="00202D52"/>
    <w:rsid w:val="00204F35"/>
    <w:rsid w:val="00210328"/>
    <w:rsid w:val="00210C28"/>
    <w:rsid w:val="0021145F"/>
    <w:rsid w:val="00212E5F"/>
    <w:rsid w:val="00213788"/>
    <w:rsid w:val="002146BA"/>
    <w:rsid w:val="002147E6"/>
    <w:rsid w:val="002172B6"/>
    <w:rsid w:val="00217436"/>
    <w:rsid w:val="0021764C"/>
    <w:rsid w:val="00217A90"/>
    <w:rsid w:val="00217B5D"/>
    <w:rsid w:val="00217C89"/>
    <w:rsid w:val="00220F1C"/>
    <w:rsid w:val="002221BC"/>
    <w:rsid w:val="00223A01"/>
    <w:rsid w:val="00225D68"/>
    <w:rsid w:val="0022621E"/>
    <w:rsid w:val="002274CF"/>
    <w:rsid w:val="00227AF6"/>
    <w:rsid w:val="002309B3"/>
    <w:rsid w:val="00232329"/>
    <w:rsid w:val="002328A5"/>
    <w:rsid w:val="00233BC0"/>
    <w:rsid w:val="00234173"/>
    <w:rsid w:val="00235E1E"/>
    <w:rsid w:val="00240E9E"/>
    <w:rsid w:val="0024155A"/>
    <w:rsid w:val="00241798"/>
    <w:rsid w:val="002418AF"/>
    <w:rsid w:val="002432A9"/>
    <w:rsid w:val="00243924"/>
    <w:rsid w:val="00246A83"/>
    <w:rsid w:val="00246C4C"/>
    <w:rsid w:val="002472BC"/>
    <w:rsid w:val="00250230"/>
    <w:rsid w:val="00252853"/>
    <w:rsid w:val="00254817"/>
    <w:rsid w:val="00254F10"/>
    <w:rsid w:val="00255070"/>
    <w:rsid w:val="00257896"/>
    <w:rsid w:val="00261C9C"/>
    <w:rsid w:val="002633A3"/>
    <w:rsid w:val="00264B05"/>
    <w:rsid w:val="00265192"/>
    <w:rsid w:val="0026600B"/>
    <w:rsid w:val="00266DC8"/>
    <w:rsid w:val="00270F2E"/>
    <w:rsid w:val="00271C3F"/>
    <w:rsid w:val="00274E2B"/>
    <w:rsid w:val="0027523B"/>
    <w:rsid w:val="00280B8E"/>
    <w:rsid w:val="002832F4"/>
    <w:rsid w:val="00283594"/>
    <w:rsid w:val="0028502C"/>
    <w:rsid w:val="00285895"/>
    <w:rsid w:val="00293143"/>
    <w:rsid w:val="00293320"/>
    <w:rsid w:val="00293D44"/>
    <w:rsid w:val="00294058"/>
    <w:rsid w:val="00294245"/>
    <w:rsid w:val="00294DE8"/>
    <w:rsid w:val="002A0596"/>
    <w:rsid w:val="002A18C9"/>
    <w:rsid w:val="002A265C"/>
    <w:rsid w:val="002A3283"/>
    <w:rsid w:val="002A5322"/>
    <w:rsid w:val="002A6992"/>
    <w:rsid w:val="002A7E6F"/>
    <w:rsid w:val="002B0EAC"/>
    <w:rsid w:val="002B3521"/>
    <w:rsid w:val="002B6071"/>
    <w:rsid w:val="002B6A21"/>
    <w:rsid w:val="002B7374"/>
    <w:rsid w:val="002B7947"/>
    <w:rsid w:val="002C3465"/>
    <w:rsid w:val="002D3972"/>
    <w:rsid w:val="002D7259"/>
    <w:rsid w:val="002E1F27"/>
    <w:rsid w:val="002E2E64"/>
    <w:rsid w:val="002E33DF"/>
    <w:rsid w:val="002E388B"/>
    <w:rsid w:val="002E39E0"/>
    <w:rsid w:val="002E7EE0"/>
    <w:rsid w:val="002F08FF"/>
    <w:rsid w:val="002F0C47"/>
    <w:rsid w:val="002F1A46"/>
    <w:rsid w:val="002F242B"/>
    <w:rsid w:val="002F4A68"/>
    <w:rsid w:val="002F664A"/>
    <w:rsid w:val="002F7852"/>
    <w:rsid w:val="00301367"/>
    <w:rsid w:val="00301A93"/>
    <w:rsid w:val="00301C22"/>
    <w:rsid w:val="0030319A"/>
    <w:rsid w:val="003041A6"/>
    <w:rsid w:val="00306EFA"/>
    <w:rsid w:val="00307BC3"/>
    <w:rsid w:val="0031117B"/>
    <w:rsid w:val="003127F8"/>
    <w:rsid w:val="00321884"/>
    <w:rsid w:val="00322CCD"/>
    <w:rsid w:val="003257CA"/>
    <w:rsid w:val="0032598E"/>
    <w:rsid w:val="00326C9B"/>
    <w:rsid w:val="00327822"/>
    <w:rsid w:val="00331757"/>
    <w:rsid w:val="0033258A"/>
    <w:rsid w:val="00332C68"/>
    <w:rsid w:val="00333A4F"/>
    <w:rsid w:val="00335540"/>
    <w:rsid w:val="00340AA4"/>
    <w:rsid w:val="00343E96"/>
    <w:rsid w:val="0034760F"/>
    <w:rsid w:val="00350078"/>
    <w:rsid w:val="0035186D"/>
    <w:rsid w:val="00352270"/>
    <w:rsid w:val="00352B83"/>
    <w:rsid w:val="00352C2C"/>
    <w:rsid w:val="00354E4F"/>
    <w:rsid w:val="00360904"/>
    <w:rsid w:val="00361ECE"/>
    <w:rsid w:val="003626D8"/>
    <w:rsid w:val="00364922"/>
    <w:rsid w:val="00371E2D"/>
    <w:rsid w:val="00377DAC"/>
    <w:rsid w:val="003806B4"/>
    <w:rsid w:val="00380FB2"/>
    <w:rsid w:val="00382276"/>
    <w:rsid w:val="0039016F"/>
    <w:rsid w:val="00390A97"/>
    <w:rsid w:val="00390B03"/>
    <w:rsid w:val="003939A2"/>
    <w:rsid w:val="00396737"/>
    <w:rsid w:val="0039749E"/>
    <w:rsid w:val="00397EE5"/>
    <w:rsid w:val="003A080E"/>
    <w:rsid w:val="003A103A"/>
    <w:rsid w:val="003A34AE"/>
    <w:rsid w:val="003A45F9"/>
    <w:rsid w:val="003A4CFF"/>
    <w:rsid w:val="003A6158"/>
    <w:rsid w:val="003A644D"/>
    <w:rsid w:val="003A72A8"/>
    <w:rsid w:val="003B114C"/>
    <w:rsid w:val="003B3DB9"/>
    <w:rsid w:val="003B4E23"/>
    <w:rsid w:val="003B7386"/>
    <w:rsid w:val="003B777A"/>
    <w:rsid w:val="003C12BC"/>
    <w:rsid w:val="003C1E61"/>
    <w:rsid w:val="003C22D9"/>
    <w:rsid w:val="003C32EE"/>
    <w:rsid w:val="003C452F"/>
    <w:rsid w:val="003D1FE2"/>
    <w:rsid w:val="003D44A8"/>
    <w:rsid w:val="003D7C75"/>
    <w:rsid w:val="003E0AA7"/>
    <w:rsid w:val="003E0AF3"/>
    <w:rsid w:val="003E1765"/>
    <w:rsid w:val="003E2D41"/>
    <w:rsid w:val="003E2DCB"/>
    <w:rsid w:val="003E3108"/>
    <w:rsid w:val="003E352A"/>
    <w:rsid w:val="003E49CC"/>
    <w:rsid w:val="003E4E88"/>
    <w:rsid w:val="003E5CA2"/>
    <w:rsid w:val="003E5F26"/>
    <w:rsid w:val="003E6641"/>
    <w:rsid w:val="003E7BF9"/>
    <w:rsid w:val="003F425D"/>
    <w:rsid w:val="003F58A1"/>
    <w:rsid w:val="003F61C0"/>
    <w:rsid w:val="003F7EF1"/>
    <w:rsid w:val="004003AB"/>
    <w:rsid w:val="0040186F"/>
    <w:rsid w:val="00402812"/>
    <w:rsid w:val="004040B2"/>
    <w:rsid w:val="00404E41"/>
    <w:rsid w:val="0040665C"/>
    <w:rsid w:val="00406C4A"/>
    <w:rsid w:val="00407135"/>
    <w:rsid w:val="004077A2"/>
    <w:rsid w:val="00407A73"/>
    <w:rsid w:val="00412EE5"/>
    <w:rsid w:val="00413300"/>
    <w:rsid w:val="0041525B"/>
    <w:rsid w:val="00416635"/>
    <w:rsid w:val="004209C2"/>
    <w:rsid w:val="00423DA5"/>
    <w:rsid w:val="00430D5F"/>
    <w:rsid w:val="004327A6"/>
    <w:rsid w:val="00433AE2"/>
    <w:rsid w:val="00435726"/>
    <w:rsid w:val="00435DA0"/>
    <w:rsid w:val="00436098"/>
    <w:rsid w:val="00436219"/>
    <w:rsid w:val="00436C5C"/>
    <w:rsid w:val="00437485"/>
    <w:rsid w:val="00441379"/>
    <w:rsid w:val="00441C78"/>
    <w:rsid w:val="00442227"/>
    <w:rsid w:val="004428F7"/>
    <w:rsid w:val="00442D45"/>
    <w:rsid w:val="00444507"/>
    <w:rsid w:val="00444584"/>
    <w:rsid w:val="004465B8"/>
    <w:rsid w:val="004503EC"/>
    <w:rsid w:val="00452C13"/>
    <w:rsid w:val="00453E73"/>
    <w:rsid w:val="00463E97"/>
    <w:rsid w:val="004673B8"/>
    <w:rsid w:val="00475CF2"/>
    <w:rsid w:val="00476141"/>
    <w:rsid w:val="00476C74"/>
    <w:rsid w:val="00477BAF"/>
    <w:rsid w:val="00477BB5"/>
    <w:rsid w:val="004803D4"/>
    <w:rsid w:val="004871B5"/>
    <w:rsid w:val="00487B34"/>
    <w:rsid w:val="00491433"/>
    <w:rsid w:val="004938A3"/>
    <w:rsid w:val="00495A0B"/>
    <w:rsid w:val="004971E4"/>
    <w:rsid w:val="004A37E5"/>
    <w:rsid w:val="004B4EA7"/>
    <w:rsid w:val="004B4F7C"/>
    <w:rsid w:val="004B5B4A"/>
    <w:rsid w:val="004B644E"/>
    <w:rsid w:val="004C0E8C"/>
    <w:rsid w:val="004C1309"/>
    <w:rsid w:val="004C144E"/>
    <w:rsid w:val="004C1A87"/>
    <w:rsid w:val="004C347A"/>
    <w:rsid w:val="004C5121"/>
    <w:rsid w:val="004C54CC"/>
    <w:rsid w:val="004C5AFE"/>
    <w:rsid w:val="004C6902"/>
    <w:rsid w:val="004C6E92"/>
    <w:rsid w:val="004D2353"/>
    <w:rsid w:val="004D256F"/>
    <w:rsid w:val="004E1067"/>
    <w:rsid w:val="004E521C"/>
    <w:rsid w:val="004E5AB1"/>
    <w:rsid w:val="004E5BEF"/>
    <w:rsid w:val="004F0122"/>
    <w:rsid w:val="004F17AC"/>
    <w:rsid w:val="004F17F7"/>
    <w:rsid w:val="004F2FAE"/>
    <w:rsid w:val="004F30B1"/>
    <w:rsid w:val="004F437B"/>
    <w:rsid w:val="004F5362"/>
    <w:rsid w:val="004F5645"/>
    <w:rsid w:val="00500012"/>
    <w:rsid w:val="00502DD0"/>
    <w:rsid w:val="00505FCA"/>
    <w:rsid w:val="00507791"/>
    <w:rsid w:val="00511D12"/>
    <w:rsid w:val="00511EAF"/>
    <w:rsid w:val="005138FE"/>
    <w:rsid w:val="00516DE1"/>
    <w:rsid w:val="00517E97"/>
    <w:rsid w:val="0052035B"/>
    <w:rsid w:val="00521933"/>
    <w:rsid w:val="00524E7C"/>
    <w:rsid w:val="005276E4"/>
    <w:rsid w:val="00531C0C"/>
    <w:rsid w:val="00532D74"/>
    <w:rsid w:val="005352DD"/>
    <w:rsid w:val="0053566D"/>
    <w:rsid w:val="00536596"/>
    <w:rsid w:val="00536929"/>
    <w:rsid w:val="00537B4E"/>
    <w:rsid w:val="00540465"/>
    <w:rsid w:val="005411B1"/>
    <w:rsid w:val="00547E30"/>
    <w:rsid w:val="00552564"/>
    <w:rsid w:val="0055370A"/>
    <w:rsid w:val="00554B06"/>
    <w:rsid w:val="005556A2"/>
    <w:rsid w:val="0055678E"/>
    <w:rsid w:val="0055753F"/>
    <w:rsid w:val="00557E5A"/>
    <w:rsid w:val="0056088F"/>
    <w:rsid w:val="00562634"/>
    <w:rsid w:val="00571ACA"/>
    <w:rsid w:val="00572F37"/>
    <w:rsid w:val="00574D2B"/>
    <w:rsid w:val="00582C28"/>
    <w:rsid w:val="00583629"/>
    <w:rsid w:val="00584F3F"/>
    <w:rsid w:val="00585054"/>
    <w:rsid w:val="0058653A"/>
    <w:rsid w:val="00586C23"/>
    <w:rsid w:val="00592607"/>
    <w:rsid w:val="00594537"/>
    <w:rsid w:val="00595849"/>
    <w:rsid w:val="005A004D"/>
    <w:rsid w:val="005A0240"/>
    <w:rsid w:val="005A0814"/>
    <w:rsid w:val="005A6EA9"/>
    <w:rsid w:val="005A76B2"/>
    <w:rsid w:val="005B29AD"/>
    <w:rsid w:val="005B3534"/>
    <w:rsid w:val="005B42FE"/>
    <w:rsid w:val="005B5048"/>
    <w:rsid w:val="005B52E3"/>
    <w:rsid w:val="005B5536"/>
    <w:rsid w:val="005B63B2"/>
    <w:rsid w:val="005B7033"/>
    <w:rsid w:val="005D0FAD"/>
    <w:rsid w:val="005D1FCA"/>
    <w:rsid w:val="005D4CA5"/>
    <w:rsid w:val="005D7C25"/>
    <w:rsid w:val="005E017E"/>
    <w:rsid w:val="005E0910"/>
    <w:rsid w:val="005E0A85"/>
    <w:rsid w:val="005E30C6"/>
    <w:rsid w:val="005E4601"/>
    <w:rsid w:val="005E67D0"/>
    <w:rsid w:val="005E736A"/>
    <w:rsid w:val="005F12F5"/>
    <w:rsid w:val="005F1DF4"/>
    <w:rsid w:val="005F253E"/>
    <w:rsid w:val="005F27EF"/>
    <w:rsid w:val="005F60DB"/>
    <w:rsid w:val="006006CF"/>
    <w:rsid w:val="0060192C"/>
    <w:rsid w:val="00602E88"/>
    <w:rsid w:val="00604125"/>
    <w:rsid w:val="00605ADC"/>
    <w:rsid w:val="00606ADD"/>
    <w:rsid w:val="00610DA3"/>
    <w:rsid w:val="006122E1"/>
    <w:rsid w:val="006147BE"/>
    <w:rsid w:val="006161F8"/>
    <w:rsid w:val="00616491"/>
    <w:rsid w:val="00623FA5"/>
    <w:rsid w:val="0062440A"/>
    <w:rsid w:val="006245A2"/>
    <w:rsid w:val="0062512C"/>
    <w:rsid w:val="00625BBA"/>
    <w:rsid w:val="00631B55"/>
    <w:rsid w:val="0063445A"/>
    <w:rsid w:val="00634AF8"/>
    <w:rsid w:val="0063686C"/>
    <w:rsid w:val="006376CC"/>
    <w:rsid w:val="00640FB5"/>
    <w:rsid w:val="00641007"/>
    <w:rsid w:val="00642695"/>
    <w:rsid w:val="00642C1E"/>
    <w:rsid w:val="006444C9"/>
    <w:rsid w:val="006448E4"/>
    <w:rsid w:val="0064647A"/>
    <w:rsid w:val="0064667D"/>
    <w:rsid w:val="00646D73"/>
    <w:rsid w:val="0065130D"/>
    <w:rsid w:val="00652BBE"/>
    <w:rsid w:val="006539CC"/>
    <w:rsid w:val="0065413D"/>
    <w:rsid w:val="00656173"/>
    <w:rsid w:val="006574AB"/>
    <w:rsid w:val="00657809"/>
    <w:rsid w:val="00662B72"/>
    <w:rsid w:val="00663ADA"/>
    <w:rsid w:val="00665AEC"/>
    <w:rsid w:val="00666AB2"/>
    <w:rsid w:val="0066733F"/>
    <w:rsid w:val="00672D67"/>
    <w:rsid w:val="006738A8"/>
    <w:rsid w:val="006775C7"/>
    <w:rsid w:val="0067783A"/>
    <w:rsid w:val="0068239C"/>
    <w:rsid w:val="006829B7"/>
    <w:rsid w:val="0068442B"/>
    <w:rsid w:val="00685DC9"/>
    <w:rsid w:val="00692892"/>
    <w:rsid w:val="00693350"/>
    <w:rsid w:val="006948D4"/>
    <w:rsid w:val="006961BC"/>
    <w:rsid w:val="006A0E83"/>
    <w:rsid w:val="006A1924"/>
    <w:rsid w:val="006A37A5"/>
    <w:rsid w:val="006A44B5"/>
    <w:rsid w:val="006A45FF"/>
    <w:rsid w:val="006A5E3A"/>
    <w:rsid w:val="006A71A1"/>
    <w:rsid w:val="006A77BA"/>
    <w:rsid w:val="006B17DB"/>
    <w:rsid w:val="006B404D"/>
    <w:rsid w:val="006B5B56"/>
    <w:rsid w:val="006B767B"/>
    <w:rsid w:val="006C030F"/>
    <w:rsid w:val="006C1637"/>
    <w:rsid w:val="006C1EA8"/>
    <w:rsid w:val="006C2838"/>
    <w:rsid w:val="006C4A30"/>
    <w:rsid w:val="006C7992"/>
    <w:rsid w:val="006C7EEA"/>
    <w:rsid w:val="006D0A68"/>
    <w:rsid w:val="006D315F"/>
    <w:rsid w:val="006D6000"/>
    <w:rsid w:val="006D61D1"/>
    <w:rsid w:val="006D7611"/>
    <w:rsid w:val="006D7E82"/>
    <w:rsid w:val="006E12A9"/>
    <w:rsid w:val="006E2406"/>
    <w:rsid w:val="006E44C2"/>
    <w:rsid w:val="006F05FC"/>
    <w:rsid w:val="006F0665"/>
    <w:rsid w:val="006F166C"/>
    <w:rsid w:val="006F1BB4"/>
    <w:rsid w:val="006F335D"/>
    <w:rsid w:val="006F39FC"/>
    <w:rsid w:val="006F3F95"/>
    <w:rsid w:val="006F4BC9"/>
    <w:rsid w:val="006F59B9"/>
    <w:rsid w:val="006F5E74"/>
    <w:rsid w:val="006F6CBF"/>
    <w:rsid w:val="006F7767"/>
    <w:rsid w:val="006F7EF6"/>
    <w:rsid w:val="00700043"/>
    <w:rsid w:val="007005CE"/>
    <w:rsid w:val="00701FD7"/>
    <w:rsid w:val="007042B4"/>
    <w:rsid w:val="00704D04"/>
    <w:rsid w:val="00711DAC"/>
    <w:rsid w:val="00711FDE"/>
    <w:rsid w:val="00712096"/>
    <w:rsid w:val="007125FD"/>
    <w:rsid w:val="00712C4C"/>
    <w:rsid w:val="00713A3F"/>
    <w:rsid w:val="00714CC8"/>
    <w:rsid w:val="00720B8F"/>
    <w:rsid w:val="00722E06"/>
    <w:rsid w:val="0072459D"/>
    <w:rsid w:val="007249E6"/>
    <w:rsid w:val="00724E53"/>
    <w:rsid w:val="0072600A"/>
    <w:rsid w:val="00726456"/>
    <w:rsid w:val="0072656B"/>
    <w:rsid w:val="007275FE"/>
    <w:rsid w:val="0073065D"/>
    <w:rsid w:val="00730DC0"/>
    <w:rsid w:val="007330A3"/>
    <w:rsid w:val="007351F3"/>
    <w:rsid w:val="00736F58"/>
    <w:rsid w:val="00737BF5"/>
    <w:rsid w:val="00741738"/>
    <w:rsid w:val="00744EA8"/>
    <w:rsid w:val="00746DC8"/>
    <w:rsid w:val="00747AD3"/>
    <w:rsid w:val="00752FCF"/>
    <w:rsid w:val="00754E6A"/>
    <w:rsid w:val="007551B7"/>
    <w:rsid w:val="007557A9"/>
    <w:rsid w:val="00757BFF"/>
    <w:rsid w:val="007640C6"/>
    <w:rsid w:val="00765741"/>
    <w:rsid w:val="007661CD"/>
    <w:rsid w:val="00767F90"/>
    <w:rsid w:val="007701BF"/>
    <w:rsid w:val="0077116C"/>
    <w:rsid w:val="0077308C"/>
    <w:rsid w:val="00774156"/>
    <w:rsid w:val="00775C14"/>
    <w:rsid w:val="007760FD"/>
    <w:rsid w:val="00777BB6"/>
    <w:rsid w:val="00783E42"/>
    <w:rsid w:val="00784C71"/>
    <w:rsid w:val="00785341"/>
    <w:rsid w:val="007856B2"/>
    <w:rsid w:val="007934F1"/>
    <w:rsid w:val="007963EC"/>
    <w:rsid w:val="00797355"/>
    <w:rsid w:val="007A15D9"/>
    <w:rsid w:val="007A2B63"/>
    <w:rsid w:val="007A337B"/>
    <w:rsid w:val="007A4C5E"/>
    <w:rsid w:val="007A5A4C"/>
    <w:rsid w:val="007A6FD4"/>
    <w:rsid w:val="007B0407"/>
    <w:rsid w:val="007B1945"/>
    <w:rsid w:val="007B1C64"/>
    <w:rsid w:val="007B22C4"/>
    <w:rsid w:val="007B4CBC"/>
    <w:rsid w:val="007B5D87"/>
    <w:rsid w:val="007C1C1D"/>
    <w:rsid w:val="007C31EF"/>
    <w:rsid w:val="007C4625"/>
    <w:rsid w:val="007C5D94"/>
    <w:rsid w:val="007C6401"/>
    <w:rsid w:val="007C6E3D"/>
    <w:rsid w:val="007D0160"/>
    <w:rsid w:val="007D0FCB"/>
    <w:rsid w:val="007D1658"/>
    <w:rsid w:val="007D5397"/>
    <w:rsid w:val="007D63FD"/>
    <w:rsid w:val="007D6E07"/>
    <w:rsid w:val="007D7127"/>
    <w:rsid w:val="007D729A"/>
    <w:rsid w:val="007D798D"/>
    <w:rsid w:val="007E238A"/>
    <w:rsid w:val="007E686A"/>
    <w:rsid w:val="007E6966"/>
    <w:rsid w:val="007E753F"/>
    <w:rsid w:val="007F096A"/>
    <w:rsid w:val="007F11B3"/>
    <w:rsid w:val="007F434A"/>
    <w:rsid w:val="0080020C"/>
    <w:rsid w:val="008014D3"/>
    <w:rsid w:val="00805150"/>
    <w:rsid w:val="0080541C"/>
    <w:rsid w:val="00806905"/>
    <w:rsid w:val="008077BA"/>
    <w:rsid w:val="0081009E"/>
    <w:rsid w:val="00810255"/>
    <w:rsid w:val="00812F65"/>
    <w:rsid w:val="008145A8"/>
    <w:rsid w:val="0081483E"/>
    <w:rsid w:val="00814DB1"/>
    <w:rsid w:val="0081779B"/>
    <w:rsid w:val="008205BA"/>
    <w:rsid w:val="008208A8"/>
    <w:rsid w:val="00821543"/>
    <w:rsid w:val="0082171E"/>
    <w:rsid w:val="00822056"/>
    <w:rsid w:val="00822F6B"/>
    <w:rsid w:val="00823BFC"/>
    <w:rsid w:val="00824B62"/>
    <w:rsid w:val="00826C3E"/>
    <w:rsid w:val="008270B0"/>
    <w:rsid w:val="00831BAE"/>
    <w:rsid w:val="0083235A"/>
    <w:rsid w:val="00832BF7"/>
    <w:rsid w:val="00833070"/>
    <w:rsid w:val="008371D1"/>
    <w:rsid w:val="00840A31"/>
    <w:rsid w:val="00842BBD"/>
    <w:rsid w:val="00843B32"/>
    <w:rsid w:val="00851E2D"/>
    <w:rsid w:val="00852794"/>
    <w:rsid w:val="00854241"/>
    <w:rsid w:val="00855DE5"/>
    <w:rsid w:val="00856E2A"/>
    <w:rsid w:val="008572BE"/>
    <w:rsid w:val="00857B4E"/>
    <w:rsid w:val="00862F94"/>
    <w:rsid w:val="00863979"/>
    <w:rsid w:val="00866271"/>
    <w:rsid w:val="008671B1"/>
    <w:rsid w:val="008678EB"/>
    <w:rsid w:val="00867EE4"/>
    <w:rsid w:val="00870824"/>
    <w:rsid w:val="00872A40"/>
    <w:rsid w:val="00873E84"/>
    <w:rsid w:val="00876AE2"/>
    <w:rsid w:val="00880AB9"/>
    <w:rsid w:val="008858BF"/>
    <w:rsid w:val="00886D9E"/>
    <w:rsid w:val="00895A75"/>
    <w:rsid w:val="008967C6"/>
    <w:rsid w:val="00897EA7"/>
    <w:rsid w:val="008A1585"/>
    <w:rsid w:val="008A17E3"/>
    <w:rsid w:val="008A28B4"/>
    <w:rsid w:val="008A4262"/>
    <w:rsid w:val="008A7E10"/>
    <w:rsid w:val="008B23EF"/>
    <w:rsid w:val="008B3176"/>
    <w:rsid w:val="008B3541"/>
    <w:rsid w:val="008B3830"/>
    <w:rsid w:val="008B3BA5"/>
    <w:rsid w:val="008B570D"/>
    <w:rsid w:val="008B5D95"/>
    <w:rsid w:val="008C6C78"/>
    <w:rsid w:val="008C6E06"/>
    <w:rsid w:val="008C7668"/>
    <w:rsid w:val="008D3B2B"/>
    <w:rsid w:val="008D6448"/>
    <w:rsid w:val="008D6654"/>
    <w:rsid w:val="008D6A9D"/>
    <w:rsid w:val="008E1C73"/>
    <w:rsid w:val="008E24DA"/>
    <w:rsid w:val="008E2FFE"/>
    <w:rsid w:val="008E38D7"/>
    <w:rsid w:val="008E67DD"/>
    <w:rsid w:val="008F3A94"/>
    <w:rsid w:val="008F58D2"/>
    <w:rsid w:val="00902A2B"/>
    <w:rsid w:val="00903370"/>
    <w:rsid w:val="00904115"/>
    <w:rsid w:val="0090466A"/>
    <w:rsid w:val="0090493F"/>
    <w:rsid w:val="00905441"/>
    <w:rsid w:val="00910CDE"/>
    <w:rsid w:val="009121A5"/>
    <w:rsid w:val="00912F84"/>
    <w:rsid w:val="00913D7D"/>
    <w:rsid w:val="00915D39"/>
    <w:rsid w:val="0091668E"/>
    <w:rsid w:val="0091674D"/>
    <w:rsid w:val="009170BF"/>
    <w:rsid w:val="0091731F"/>
    <w:rsid w:val="00917469"/>
    <w:rsid w:val="009218BA"/>
    <w:rsid w:val="009249F0"/>
    <w:rsid w:val="00925277"/>
    <w:rsid w:val="00926801"/>
    <w:rsid w:val="00927747"/>
    <w:rsid w:val="009305BF"/>
    <w:rsid w:val="00931772"/>
    <w:rsid w:val="009317A2"/>
    <w:rsid w:val="0093199E"/>
    <w:rsid w:val="009319D5"/>
    <w:rsid w:val="00933869"/>
    <w:rsid w:val="0093569B"/>
    <w:rsid w:val="009359F9"/>
    <w:rsid w:val="00945645"/>
    <w:rsid w:val="00947C4C"/>
    <w:rsid w:val="009506DA"/>
    <w:rsid w:val="00950D9E"/>
    <w:rsid w:val="00951945"/>
    <w:rsid w:val="00952109"/>
    <w:rsid w:val="0095384A"/>
    <w:rsid w:val="00953ABB"/>
    <w:rsid w:val="00956B3B"/>
    <w:rsid w:val="00957DD5"/>
    <w:rsid w:val="00962A76"/>
    <w:rsid w:val="00963159"/>
    <w:rsid w:val="009646BA"/>
    <w:rsid w:val="00964948"/>
    <w:rsid w:val="009676EF"/>
    <w:rsid w:val="009679CE"/>
    <w:rsid w:val="00972EDF"/>
    <w:rsid w:val="00974EE4"/>
    <w:rsid w:val="009768DD"/>
    <w:rsid w:val="0097758B"/>
    <w:rsid w:val="009778BB"/>
    <w:rsid w:val="00980A71"/>
    <w:rsid w:val="009817E2"/>
    <w:rsid w:val="009818F6"/>
    <w:rsid w:val="00981B44"/>
    <w:rsid w:val="00982178"/>
    <w:rsid w:val="00982D68"/>
    <w:rsid w:val="0098596B"/>
    <w:rsid w:val="009917F3"/>
    <w:rsid w:val="00993854"/>
    <w:rsid w:val="00996158"/>
    <w:rsid w:val="009A0F10"/>
    <w:rsid w:val="009A274B"/>
    <w:rsid w:val="009A5203"/>
    <w:rsid w:val="009B0BA1"/>
    <w:rsid w:val="009B2547"/>
    <w:rsid w:val="009B332A"/>
    <w:rsid w:val="009B36F4"/>
    <w:rsid w:val="009B3D99"/>
    <w:rsid w:val="009B4188"/>
    <w:rsid w:val="009B5380"/>
    <w:rsid w:val="009B6E9C"/>
    <w:rsid w:val="009B7263"/>
    <w:rsid w:val="009C2745"/>
    <w:rsid w:val="009C6F1A"/>
    <w:rsid w:val="009D0428"/>
    <w:rsid w:val="009D075C"/>
    <w:rsid w:val="009D7DF2"/>
    <w:rsid w:val="009E012E"/>
    <w:rsid w:val="009E04B1"/>
    <w:rsid w:val="009E1396"/>
    <w:rsid w:val="009E5AE6"/>
    <w:rsid w:val="009E5D08"/>
    <w:rsid w:val="009E5F58"/>
    <w:rsid w:val="009E7EF5"/>
    <w:rsid w:val="009F02DE"/>
    <w:rsid w:val="009F3A90"/>
    <w:rsid w:val="009F3A92"/>
    <w:rsid w:val="009F6BF2"/>
    <w:rsid w:val="009F75F7"/>
    <w:rsid w:val="00A0120A"/>
    <w:rsid w:val="00A014D5"/>
    <w:rsid w:val="00A03D2A"/>
    <w:rsid w:val="00A102B0"/>
    <w:rsid w:val="00A1077C"/>
    <w:rsid w:val="00A11EA3"/>
    <w:rsid w:val="00A14C78"/>
    <w:rsid w:val="00A16ADE"/>
    <w:rsid w:val="00A170DC"/>
    <w:rsid w:val="00A175AD"/>
    <w:rsid w:val="00A20C49"/>
    <w:rsid w:val="00A22771"/>
    <w:rsid w:val="00A22C2F"/>
    <w:rsid w:val="00A2382C"/>
    <w:rsid w:val="00A23AA2"/>
    <w:rsid w:val="00A24756"/>
    <w:rsid w:val="00A252F3"/>
    <w:rsid w:val="00A265A4"/>
    <w:rsid w:val="00A35F12"/>
    <w:rsid w:val="00A362C4"/>
    <w:rsid w:val="00A3639A"/>
    <w:rsid w:val="00A37504"/>
    <w:rsid w:val="00A41D37"/>
    <w:rsid w:val="00A42666"/>
    <w:rsid w:val="00A42F93"/>
    <w:rsid w:val="00A44801"/>
    <w:rsid w:val="00A44F49"/>
    <w:rsid w:val="00A46D59"/>
    <w:rsid w:val="00A51871"/>
    <w:rsid w:val="00A5656D"/>
    <w:rsid w:val="00A56B83"/>
    <w:rsid w:val="00A607E1"/>
    <w:rsid w:val="00A60A98"/>
    <w:rsid w:val="00A60C9C"/>
    <w:rsid w:val="00A63406"/>
    <w:rsid w:val="00A66511"/>
    <w:rsid w:val="00A67FE0"/>
    <w:rsid w:val="00A73601"/>
    <w:rsid w:val="00A7500D"/>
    <w:rsid w:val="00A7572D"/>
    <w:rsid w:val="00A77A5B"/>
    <w:rsid w:val="00A80659"/>
    <w:rsid w:val="00A81153"/>
    <w:rsid w:val="00A81445"/>
    <w:rsid w:val="00A81C2C"/>
    <w:rsid w:val="00A82DA0"/>
    <w:rsid w:val="00A8320B"/>
    <w:rsid w:val="00A853AC"/>
    <w:rsid w:val="00A8563B"/>
    <w:rsid w:val="00A87458"/>
    <w:rsid w:val="00A874C1"/>
    <w:rsid w:val="00A97217"/>
    <w:rsid w:val="00AA1056"/>
    <w:rsid w:val="00AA1B9A"/>
    <w:rsid w:val="00AA27E9"/>
    <w:rsid w:val="00AA5CB1"/>
    <w:rsid w:val="00AA795C"/>
    <w:rsid w:val="00AB20E2"/>
    <w:rsid w:val="00AB24D7"/>
    <w:rsid w:val="00AB3003"/>
    <w:rsid w:val="00AB3A76"/>
    <w:rsid w:val="00AB55B1"/>
    <w:rsid w:val="00AB6123"/>
    <w:rsid w:val="00AC386C"/>
    <w:rsid w:val="00AC4663"/>
    <w:rsid w:val="00AC53B7"/>
    <w:rsid w:val="00AC5CE2"/>
    <w:rsid w:val="00AC799D"/>
    <w:rsid w:val="00AC7BFF"/>
    <w:rsid w:val="00AD012D"/>
    <w:rsid w:val="00AD2D6F"/>
    <w:rsid w:val="00AD69C3"/>
    <w:rsid w:val="00AD6B86"/>
    <w:rsid w:val="00AD7795"/>
    <w:rsid w:val="00AD7BE4"/>
    <w:rsid w:val="00AD7C65"/>
    <w:rsid w:val="00AE0494"/>
    <w:rsid w:val="00AE0499"/>
    <w:rsid w:val="00AE0E5A"/>
    <w:rsid w:val="00AE2169"/>
    <w:rsid w:val="00AE5361"/>
    <w:rsid w:val="00AF0943"/>
    <w:rsid w:val="00AF1FE5"/>
    <w:rsid w:val="00AF2EE9"/>
    <w:rsid w:val="00AF61A3"/>
    <w:rsid w:val="00AF78BD"/>
    <w:rsid w:val="00B0289B"/>
    <w:rsid w:val="00B035A6"/>
    <w:rsid w:val="00B035DD"/>
    <w:rsid w:val="00B03609"/>
    <w:rsid w:val="00B041FA"/>
    <w:rsid w:val="00B0477A"/>
    <w:rsid w:val="00B07066"/>
    <w:rsid w:val="00B107A5"/>
    <w:rsid w:val="00B11161"/>
    <w:rsid w:val="00B11C65"/>
    <w:rsid w:val="00B11DFD"/>
    <w:rsid w:val="00B1217F"/>
    <w:rsid w:val="00B12B69"/>
    <w:rsid w:val="00B131A2"/>
    <w:rsid w:val="00B13564"/>
    <w:rsid w:val="00B14C0F"/>
    <w:rsid w:val="00B15FCE"/>
    <w:rsid w:val="00B213B0"/>
    <w:rsid w:val="00B22934"/>
    <w:rsid w:val="00B242D8"/>
    <w:rsid w:val="00B26513"/>
    <w:rsid w:val="00B34972"/>
    <w:rsid w:val="00B34B31"/>
    <w:rsid w:val="00B3769C"/>
    <w:rsid w:val="00B416B4"/>
    <w:rsid w:val="00B427F4"/>
    <w:rsid w:val="00B429AE"/>
    <w:rsid w:val="00B435E8"/>
    <w:rsid w:val="00B4554B"/>
    <w:rsid w:val="00B50554"/>
    <w:rsid w:val="00B515EC"/>
    <w:rsid w:val="00B52136"/>
    <w:rsid w:val="00B57BDA"/>
    <w:rsid w:val="00B6181C"/>
    <w:rsid w:val="00B63CFC"/>
    <w:rsid w:val="00B65044"/>
    <w:rsid w:val="00B65F06"/>
    <w:rsid w:val="00B66073"/>
    <w:rsid w:val="00B67AB5"/>
    <w:rsid w:val="00B67F74"/>
    <w:rsid w:val="00B74C48"/>
    <w:rsid w:val="00B81F73"/>
    <w:rsid w:val="00B83263"/>
    <w:rsid w:val="00B83E51"/>
    <w:rsid w:val="00B85F75"/>
    <w:rsid w:val="00B9319C"/>
    <w:rsid w:val="00B9396B"/>
    <w:rsid w:val="00B949E1"/>
    <w:rsid w:val="00B95097"/>
    <w:rsid w:val="00B9645B"/>
    <w:rsid w:val="00B9648D"/>
    <w:rsid w:val="00B97EC5"/>
    <w:rsid w:val="00B97F2B"/>
    <w:rsid w:val="00BA384C"/>
    <w:rsid w:val="00BA538F"/>
    <w:rsid w:val="00BA5810"/>
    <w:rsid w:val="00BB0081"/>
    <w:rsid w:val="00BB4505"/>
    <w:rsid w:val="00BB66BB"/>
    <w:rsid w:val="00BB6C06"/>
    <w:rsid w:val="00BC08D8"/>
    <w:rsid w:val="00BC0BA6"/>
    <w:rsid w:val="00BC1CEF"/>
    <w:rsid w:val="00BC5541"/>
    <w:rsid w:val="00BC5BAD"/>
    <w:rsid w:val="00BC5FA6"/>
    <w:rsid w:val="00BD028E"/>
    <w:rsid w:val="00BD1DEF"/>
    <w:rsid w:val="00BD3EFC"/>
    <w:rsid w:val="00BD4771"/>
    <w:rsid w:val="00BE2F59"/>
    <w:rsid w:val="00BE3866"/>
    <w:rsid w:val="00BE3C91"/>
    <w:rsid w:val="00BE4B17"/>
    <w:rsid w:val="00BE4D1D"/>
    <w:rsid w:val="00BE5C95"/>
    <w:rsid w:val="00BE5ECB"/>
    <w:rsid w:val="00BF0B49"/>
    <w:rsid w:val="00BF267A"/>
    <w:rsid w:val="00BF3151"/>
    <w:rsid w:val="00BF5A69"/>
    <w:rsid w:val="00C015F9"/>
    <w:rsid w:val="00C0452A"/>
    <w:rsid w:val="00C105D7"/>
    <w:rsid w:val="00C10D9D"/>
    <w:rsid w:val="00C13BE8"/>
    <w:rsid w:val="00C15E51"/>
    <w:rsid w:val="00C17B3A"/>
    <w:rsid w:val="00C24192"/>
    <w:rsid w:val="00C24200"/>
    <w:rsid w:val="00C24437"/>
    <w:rsid w:val="00C25DDA"/>
    <w:rsid w:val="00C278A5"/>
    <w:rsid w:val="00C30B54"/>
    <w:rsid w:val="00C30B6A"/>
    <w:rsid w:val="00C32253"/>
    <w:rsid w:val="00C3317E"/>
    <w:rsid w:val="00C354F5"/>
    <w:rsid w:val="00C4311A"/>
    <w:rsid w:val="00C448DB"/>
    <w:rsid w:val="00C46149"/>
    <w:rsid w:val="00C4706E"/>
    <w:rsid w:val="00C4756B"/>
    <w:rsid w:val="00C51861"/>
    <w:rsid w:val="00C53AF7"/>
    <w:rsid w:val="00C557D7"/>
    <w:rsid w:val="00C55AEA"/>
    <w:rsid w:val="00C5607C"/>
    <w:rsid w:val="00C62EC3"/>
    <w:rsid w:val="00C65A78"/>
    <w:rsid w:val="00C70056"/>
    <w:rsid w:val="00C70F97"/>
    <w:rsid w:val="00C733F2"/>
    <w:rsid w:val="00C746A5"/>
    <w:rsid w:val="00C7531B"/>
    <w:rsid w:val="00C75BDA"/>
    <w:rsid w:val="00C81BB3"/>
    <w:rsid w:val="00C823F0"/>
    <w:rsid w:val="00C84119"/>
    <w:rsid w:val="00C857AB"/>
    <w:rsid w:val="00C92B6E"/>
    <w:rsid w:val="00C9544E"/>
    <w:rsid w:val="00C958CD"/>
    <w:rsid w:val="00CA18FA"/>
    <w:rsid w:val="00CA38F1"/>
    <w:rsid w:val="00CA5526"/>
    <w:rsid w:val="00CA63C6"/>
    <w:rsid w:val="00CA6694"/>
    <w:rsid w:val="00CA7091"/>
    <w:rsid w:val="00CA72BF"/>
    <w:rsid w:val="00CB0DAA"/>
    <w:rsid w:val="00CB1905"/>
    <w:rsid w:val="00CB5128"/>
    <w:rsid w:val="00CB5B13"/>
    <w:rsid w:val="00CB6014"/>
    <w:rsid w:val="00CB6981"/>
    <w:rsid w:val="00CB6E93"/>
    <w:rsid w:val="00CC0A47"/>
    <w:rsid w:val="00CC1713"/>
    <w:rsid w:val="00CC1C01"/>
    <w:rsid w:val="00CC4FB2"/>
    <w:rsid w:val="00CC525F"/>
    <w:rsid w:val="00CC66AF"/>
    <w:rsid w:val="00CC7A76"/>
    <w:rsid w:val="00CC7D50"/>
    <w:rsid w:val="00CD1FBC"/>
    <w:rsid w:val="00CD41FC"/>
    <w:rsid w:val="00CD52AD"/>
    <w:rsid w:val="00CD5584"/>
    <w:rsid w:val="00CD718B"/>
    <w:rsid w:val="00CD7982"/>
    <w:rsid w:val="00CD79CE"/>
    <w:rsid w:val="00CE0452"/>
    <w:rsid w:val="00CE0E1B"/>
    <w:rsid w:val="00CE207D"/>
    <w:rsid w:val="00CE4770"/>
    <w:rsid w:val="00CE4BAB"/>
    <w:rsid w:val="00CE53C6"/>
    <w:rsid w:val="00CE5881"/>
    <w:rsid w:val="00CF0278"/>
    <w:rsid w:val="00CF0D0C"/>
    <w:rsid w:val="00CF1717"/>
    <w:rsid w:val="00D00475"/>
    <w:rsid w:val="00D02B12"/>
    <w:rsid w:val="00D037C8"/>
    <w:rsid w:val="00D07184"/>
    <w:rsid w:val="00D10A77"/>
    <w:rsid w:val="00D11105"/>
    <w:rsid w:val="00D11416"/>
    <w:rsid w:val="00D1186A"/>
    <w:rsid w:val="00D11A96"/>
    <w:rsid w:val="00D1282B"/>
    <w:rsid w:val="00D130AB"/>
    <w:rsid w:val="00D14D2D"/>
    <w:rsid w:val="00D15268"/>
    <w:rsid w:val="00D1660C"/>
    <w:rsid w:val="00D17A73"/>
    <w:rsid w:val="00D17C79"/>
    <w:rsid w:val="00D2027F"/>
    <w:rsid w:val="00D22A70"/>
    <w:rsid w:val="00D23CC6"/>
    <w:rsid w:val="00D27AE6"/>
    <w:rsid w:val="00D31D58"/>
    <w:rsid w:val="00D34281"/>
    <w:rsid w:val="00D34349"/>
    <w:rsid w:val="00D36122"/>
    <w:rsid w:val="00D36752"/>
    <w:rsid w:val="00D4378E"/>
    <w:rsid w:val="00D45207"/>
    <w:rsid w:val="00D45CD7"/>
    <w:rsid w:val="00D518B9"/>
    <w:rsid w:val="00D5358F"/>
    <w:rsid w:val="00D54557"/>
    <w:rsid w:val="00D613F8"/>
    <w:rsid w:val="00D61578"/>
    <w:rsid w:val="00D62499"/>
    <w:rsid w:val="00D62A08"/>
    <w:rsid w:val="00D65D78"/>
    <w:rsid w:val="00D67B29"/>
    <w:rsid w:val="00D71165"/>
    <w:rsid w:val="00D71798"/>
    <w:rsid w:val="00D7186D"/>
    <w:rsid w:val="00D74CD2"/>
    <w:rsid w:val="00D76B53"/>
    <w:rsid w:val="00D77667"/>
    <w:rsid w:val="00D77B2A"/>
    <w:rsid w:val="00D80172"/>
    <w:rsid w:val="00D83F22"/>
    <w:rsid w:val="00D868F7"/>
    <w:rsid w:val="00D87FA9"/>
    <w:rsid w:val="00D91AFB"/>
    <w:rsid w:val="00D92F23"/>
    <w:rsid w:val="00D95B92"/>
    <w:rsid w:val="00D9636A"/>
    <w:rsid w:val="00D97600"/>
    <w:rsid w:val="00DA741B"/>
    <w:rsid w:val="00DB1F3C"/>
    <w:rsid w:val="00DB33AC"/>
    <w:rsid w:val="00DB51E8"/>
    <w:rsid w:val="00DB6238"/>
    <w:rsid w:val="00DB6A32"/>
    <w:rsid w:val="00DC1C04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1C8C"/>
    <w:rsid w:val="00DD2247"/>
    <w:rsid w:val="00DD2C8C"/>
    <w:rsid w:val="00DD320E"/>
    <w:rsid w:val="00DD409F"/>
    <w:rsid w:val="00DD5D55"/>
    <w:rsid w:val="00DD7A74"/>
    <w:rsid w:val="00DD7FCE"/>
    <w:rsid w:val="00DE0439"/>
    <w:rsid w:val="00DE2A48"/>
    <w:rsid w:val="00DE398E"/>
    <w:rsid w:val="00DE4D9D"/>
    <w:rsid w:val="00DE54F4"/>
    <w:rsid w:val="00DE6D67"/>
    <w:rsid w:val="00DE781C"/>
    <w:rsid w:val="00DF00DA"/>
    <w:rsid w:val="00DF4B1F"/>
    <w:rsid w:val="00DF6B41"/>
    <w:rsid w:val="00DF6D02"/>
    <w:rsid w:val="00DF7F83"/>
    <w:rsid w:val="00E00D2C"/>
    <w:rsid w:val="00E03555"/>
    <w:rsid w:val="00E04900"/>
    <w:rsid w:val="00E05CDC"/>
    <w:rsid w:val="00E062EC"/>
    <w:rsid w:val="00E06906"/>
    <w:rsid w:val="00E071E3"/>
    <w:rsid w:val="00E1180C"/>
    <w:rsid w:val="00E126A8"/>
    <w:rsid w:val="00E1350C"/>
    <w:rsid w:val="00E1642F"/>
    <w:rsid w:val="00E20C9A"/>
    <w:rsid w:val="00E21569"/>
    <w:rsid w:val="00E223E4"/>
    <w:rsid w:val="00E24EB7"/>
    <w:rsid w:val="00E2567C"/>
    <w:rsid w:val="00E2756B"/>
    <w:rsid w:val="00E3004D"/>
    <w:rsid w:val="00E3018C"/>
    <w:rsid w:val="00E31C3E"/>
    <w:rsid w:val="00E32D3A"/>
    <w:rsid w:val="00E456B7"/>
    <w:rsid w:val="00E47506"/>
    <w:rsid w:val="00E4776F"/>
    <w:rsid w:val="00E500A9"/>
    <w:rsid w:val="00E61DB3"/>
    <w:rsid w:val="00E66C13"/>
    <w:rsid w:val="00E6749F"/>
    <w:rsid w:val="00E67D61"/>
    <w:rsid w:val="00E70D20"/>
    <w:rsid w:val="00E71606"/>
    <w:rsid w:val="00E7176D"/>
    <w:rsid w:val="00E721F7"/>
    <w:rsid w:val="00E72BAD"/>
    <w:rsid w:val="00E745CE"/>
    <w:rsid w:val="00E751CC"/>
    <w:rsid w:val="00E75C0C"/>
    <w:rsid w:val="00E76371"/>
    <w:rsid w:val="00E77A18"/>
    <w:rsid w:val="00E85790"/>
    <w:rsid w:val="00E86BC7"/>
    <w:rsid w:val="00E86D84"/>
    <w:rsid w:val="00E91055"/>
    <w:rsid w:val="00E91CA9"/>
    <w:rsid w:val="00E929A7"/>
    <w:rsid w:val="00E92BCA"/>
    <w:rsid w:val="00E92E34"/>
    <w:rsid w:val="00E95A42"/>
    <w:rsid w:val="00E95AD0"/>
    <w:rsid w:val="00E9749E"/>
    <w:rsid w:val="00EA033D"/>
    <w:rsid w:val="00EA1C89"/>
    <w:rsid w:val="00EA2681"/>
    <w:rsid w:val="00EB1943"/>
    <w:rsid w:val="00EB1AB2"/>
    <w:rsid w:val="00EB46A7"/>
    <w:rsid w:val="00EB4EEB"/>
    <w:rsid w:val="00EB580C"/>
    <w:rsid w:val="00EB6664"/>
    <w:rsid w:val="00EC1DDF"/>
    <w:rsid w:val="00EC3426"/>
    <w:rsid w:val="00EC4093"/>
    <w:rsid w:val="00EC4E1C"/>
    <w:rsid w:val="00EC4E36"/>
    <w:rsid w:val="00EC69E0"/>
    <w:rsid w:val="00ED045B"/>
    <w:rsid w:val="00ED052A"/>
    <w:rsid w:val="00ED10A6"/>
    <w:rsid w:val="00ED248A"/>
    <w:rsid w:val="00ED3F58"/>
    <w:rsid w:val="00ED7A59"/>
    <w:rsid w:val="00EE0535"/>
    <w:rsid w:val="00EE1C63"/>
    <w:rsid w:val="00EE21DA"/>
    <w:rsid w:val="00EE252D"/>
    <w:rsid w:val="00EE2A83"/>
    <w:rsid w:val="00EE680B"/>
    <w:rsid w:val="00EF06B4"/>
    <w:rsid w:val="00EF10CB"/>
    <w:rsid w:val="00EF11A4"/>
    <w:rsid w:val="00EF14F4"/>
    <w:rsid w:val="00EF158B"/>
    <w:rsid w:val="00EF2A67"/>
    <w:rsid w:val="00EF3ED7"/>
    <w:rsid w:val="00EF577F"/>
    <w:rsid w:val="00F00132"/>
    <w:rsid w:val="00F00AF4"/>
    <w:rsid w:val="00F01417"/>
    <w:rsid w:val="00F02887"/>
    <w:rsid w:val="00F036E7"/>
    <w:rsid w:val="00F05AF8"/>
    <w:rsid w:val="00F071AA"/>
    <w:rsid w:val="00F07FCE"/>
    <w:rsid w:val="00F1019A"/>
    <w:rsid w:val="00F10AF5"/>
    <w:rsid w:val="00F11AA5"/>
    <w:rsid w:val="00F140EA"/>
    <w:rsid w:val="00F23209"/>
    <w:rsid w:val="00F24565"/>
    <w:rsid w:val="00F258D4"/>
    <w:rsid w:val="00F27A4B"/>
    <w:rsid w:val="00F31111"/>
    <w:rsid w:val="00F32661"/>
    <w:rsid w:val="00F363D1"/>
    <w:rsid w:val="00F36BF5"/>
    <w:rsid w:val="00F36BF7"/>
    <w:rsid w:val="00F4079D"/>
    <w:rsid w:val="00F415AE"/>
    <w:rsid w:val="00F44AA9"/>
    <w:rsid w:val="00F44F07"/>
    <w:rsid w:val="00F47AAB"/>
    <w:rsid w:val="00F53F72"/>
    <w:rsid w:val="00F54777"/>
    <w:rsid w:val="00F55476"/>
    <w:rsid w:val="00F56B03"/>
    <w:rsid w:val="00F64169"/>
    <w:rsid w:val="00F67704"/>
    <w:rsid w:val="00F67A99"/>
    <w:rsid w:val="00F70555"/>
    <w:rsid w:val="00F7166E"/>
    <w:rsid w:val="00F71C56"/>
    <w:rsid w:val="00F72871"/>
    <w:rsid w:val="00F72BBC"/>
    <w:rsid w:val="00F74A75"/>
    <w:rsid w:val="00F75A22"/>
    <w:rsid w:val="00F75E3A"/>
    <w:rsid w:val="00F76C83"/>
    <w:rsid w:val="00F81A21"/>
    <w:rsid w:val="00F822D2"/>
    <w:rsid w:val="00F8292D"/>
    <w:rsid w:val="00F82AEF"/>
    <w:rsid w:val="00F85950"/>
    <w:rsid w:val="00F86E27"/>
    <w:rsid w:val="00F874F7"/>
    <w:rsid w:val="00F87CFE"/>
    <w:rsid w:val="00F87E5A"/>
    <w:rsid w:val="00F9005A"/>
    <w:rsid w:val="00F91213"/>
    <w:rsid w:val="00F91E13"/>
    <w:rsid w:val="00F938B4"/>
    <w:rsid w:val="00F9743A"/>
    <w:rsid w:val="00F97872"/>
    <w:rsid w:val="00FA07AA"/>
    <w:rsid w:val="00FA53ED"/>
    <w:rsid w:val="00FA59B5"/>
    <w:rsid w:val="00FA5BB2"/>
    <w:rsid w:val="00FB00E0"/>
    <w:rsid w:val="00FB0858"/>
    <w:rsid w:val="00FB2137"/>
    <w:rsid w:val="00FB45F5"/>
    <w:rsid w:val="00FB502A"/>
    <w:rsid w:val="00FB621D"/>
    <w:rsid w:val="00FB7444"/>
    <w:rsid w:val="00FB7529"/>
    <w:rsid w:val="00FC08C9"/>
    <w:rsid w:val="00FC10AD"/>
    <w:rsid w:val="00FC2581"/>
    <w:rsid w:val="00FC3534"/>
    <w:rsid w:val="00FC387A"/>
    <w:rsid w:val="00FC6116"/>
    <w:rsid w:val="00FC6232"/>
    <w:rsid w:val="00FC7871"/>
    <w:rsid w:val="00FD1BA2"/>
    <w:rsid w:val="00FD279E"/>
    <w:rsid w:val="00FD3596"/>
    <w:rsid w:val="00FD3A91"/>
    <w:rsid w:val="00FD3F90"/>
    <w:rsid w:val="00FD5602"/>
    <w:rsid w:val="00FD6428"/>
    <w:rsid w:val="00FD6C39"/>
    <w:rsid w:val="00FD6C85"/>
    <w:rsid w:val="00FD7512"/>
    <w:rsid w:val="00FE005B"/>
    <w:rsid w:val="00FE522A"/>
    <w:rsid w:val="00FE63E0"/>
    <w:rsid w:val="00FE6AF3"/>
    <w:rsid w:val="00FF167D"/>
    <w:rsid w:val="00FF1EB0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8"/>
    <w:lsdException w:name="Subtle Reference" w:uiPriority="99"/>
    <w:lsdException w:name="Intense Reference" w:uiPriority="98"/>
    <w:lsdException w:name="Book Title" w:uiPriority="99"/>
    <w:lsdException w:name="Bibliography" w:semiHidden="1" w:uiPriority="37" w:unhideWhenUsed="1"/>
    <w:lsdException w:name="TOC Heading" w:semiHidden="1" w:uiPriority="3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71C56"/>
    <w:pPr>
      <w:keepNext/>
      <w:keepLines/>
      <w:numPr>
        <w:numId w:val="5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F71C56"/>
    <w:pPr>
      <w:keepNext/>
      <w:keepLines/>
      <w:numPr>
        <w:ilvl w:val="1"/>
        <w:numId w:val="5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F71C56"/>
    <w:pPr>
      <w:keepNext/>
      <w:keepLines/>
      <w:numPr>
        <w:ilvl w:val="2"/>
        <w:numId w:val="5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F71C56"/>
    <w:pPr>
      <w:keepNext/>
      <w:keepLines/>
      <w:numPr>
        <w:ilvl w:val="3"/>
        <w:numId w:val="5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F71C56"/>
    <w:pPr>
      <w:keepNext/>
      <w:keepLines/>
      <w:numPr>
        <w:ilvl w:val="4"/>
        <w:numId w:val="5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3A94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3A94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3A94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71C5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uiPriority w:val="37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uiPriority w:val="37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uiPriority w:val="37"/>
    <w:semiHidden/>
    <w:rsid w:val="00F71C56"/>
    <w:pPr>
      <w:ind w:right="1417"/>
    </w:pPr>
  </w:style>
  <w:style w:type="character" w:styleId="FootnoteReference">
    <w:name w:val="foot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uiPriority w:val="37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uiPriority w:val="99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67B2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21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67B2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,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,sd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link w:val="ActHead5Char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uiPriority w:val="99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,aaa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67B29"/>
    <w:rPr>
      <w:i/>
    </w:rPr>
  </w:style>
  <w:style w:type="paragraph" w:customStyle="1" w:styleId="SOPara">
    <w:name w:val="SO Para"/>
    <w:aliases w:val="soa"/>
    <w:basedOn w:val="SOText"/>
    <w:link w:val="SOParaChar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,Subsection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uiPriority w:val="99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,ssh"/>
    <w:basedOn w:val="OPCParaBase"/>
    <w:next w:val="tMain"/>
    <w:uiPriority w:val="99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8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5"/>
    <w:unhideWhenUsed/>
    <w:qFormat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character" w:customStyle="1" w:styleId="subsectionChar">
    <w:name w:val="subsection Char"/>
    <w:aliases w:val="ss Char"/>
    <w:link w:val="tMain"/>
    <w:locked/>
    <w:rsid w:val="005A76B2"/>
    <w:rPr>
      <w:sz w:val="22"/>
    </w:rPr>
  </w:style>
  <w:style w:type="character" w:customStyle="1" w:styleId="notetextChar">
    <w:name w:val="note(text) Char"/>
    <w:aliases w:val="n Char"/>
    <w:link w:val="nMain"/>
    <w:rsid w:val="005A76B2"/>
    <w:rPr>
      <w:sz w:val="18"/>
    </w:rPr>
  </w:style>
  <w:style w:type="character" w:customStyle="1" w:styleId="ActHead5Char">
    <w:name w:val="ActHead 5 Char"/>
    <w:aliases w:val="s Char"/>
    <w:link w:val="h5Section"/>
    <w:rsid w:val="005A76B2"/>
    <w:rPr>
      <w:b/>
      <w:kern w:val="28"/>
      <w:sz w:val="24"/>
    </w:rPr>
  </w:style>
  <w:style w:type="character" w:customStyle="1" w:styleId="paragraphChar">
    <w:name w:val="paragraph Char"/>
    <w:aliases w:val="a Char"/>
    <w:link w:val="tPara"/>
    <w:rsid w:val="00EF11A4"/>
    <w:rPr>
      <w:sz w:val="22"/>
    </w:rPr>
  </w:style>
  <w:style w:type="character" w:customStyle="1" w:styleId="PlainParagraphChar">
    <w:name w:val="Plain Paragraph Char"/>
    <w:aliases w:val="PP Char"/>
    <w:basedOn w:val="DefaultParagraphFont"/>
    <w:link w:val="PlainParagraph"/>
    <w:rsid w:val="00EF11A4"/>
    <w:rPr>
      <w:rFonts w:ascii="Arial" w:hAnsi="Arial" w:cs="Arial"/>
      <w:sz w:val="22"/>
      <w:szCs w:val="22"/>
    </w:rPr>
  </w:style>
  <w:style w:type="character" w:customStyle="1" w:styleId="charSubscript">
    <w:name w:val="charSubscript"/>
    <w:rsid w:val="00A51871"/>
    <w:rPr>
      <w:color w:val="auto"/>
      <w:sz w:val="20"/>
      <w:vertAlign w:val="subscript"/>
    </w:rPr>
  </w:style>
  <w:style w:type="character" w:styleId="CommentReference">
    <w:name w:val="annotation reference"/>
    <w:basedOn w:val="DefaultParagraphFont"/>
    <w:unhideWhenUsed/>
    <w:rsid w:val="00656173"/>
    <w:rPr>
      <w:sz w:val="16"/>
      <w:szCs w:val="16"/>
    </w:rPr>
  </w:style>
  <w:style w:type="paragraph" w:customStyle="1" w:styleId="paragraphsub">
    <w:name w:val="paragraphsub"/>
    <w:basedOn w:val="Normal"/>
    <w:rsid w:val="0007560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E92BCA"/>
  </w:style>
  <w:style w:type="paragraph" w:customStyle="1" w:styleId="HeaderBoldOdd">
    <w:name w:val="HeaderBoldOdd"/>
    <w:basedOn w:val="Normal"/>
    <w:rsid w:val="00C17B3A"/>
    <w:pPr>
      <w:spacing w:before="120" w:after="60"/>
      <w:jc w:val="right"/>
    </w:pPr>
    <w:rPr>
      <w:rFonts w:ascii="Arial" w:eastAsiaTheme="minorHAnsi" w:hAnsi="Arial" w:cstheme="minorBidi"/>
      <w:b/>
      <w:sz w:val="20"/>
    </w:rPr>
  </w:style>
  <w:style w:type="numbering" w:styleId="111111">
    <w:name w:val="Outline List 2"/>
    <w:basedOn w:val="NoList"/>
    <w:rsid w:val="00C17B3A"/>
    <w:pPr>
      <w:numPr>
        <w:numId w:val="3"/>
      </w:numPr>
    </w:pPr>
  </w:style>
  <w:style w:type="numbering" w:styleId="1ai">
    <w:name w:val="Outline List 1"/>
    <w:basedOn w:val="NoList"/>
    <w:rsid w:val="00C17B3A"/>
    <w:pPr>
      <w:numPr>
        <w:numId w:val="4"/>
      </w:numPr>
    </w:pPr>
  </w:style>
  <w:style w:type="numbering" w:styleId="ArticleSection">
    <w:name w:val="Outline List 3"/>
    <w:basedOn w:val="NoList"/>
    <w:rsid w:val="00C17B3A"/>
    <w:pPr>
      <w:numPr>
        <w:numId w:val="5"/>
      </w:numPr>
    </w:pPr>
  </w:style>
  <w:style w:type="character" w:styleId="Emphasis">
    <w:name w:val="Emphasis"/>
    <w:basedOn w:val="DefaultParagraphFont"/>
    <w:qFormat/>
    <w:rsid w:val="00C17B3A"/>
    <w:rPr>
      <w:i/>
      <w:iCs/>
    </w:rPr>
  </w:style>
  <w:style w:type="character" w:styleId="FollowedHyperlink">
    <w:name w:val="FollowedHyperlink"/>
    <w:basedOn w:val="DefaultParagraphFont"/>
    <w:rsid w:val="00C17B3A"/>
    <w:rPr>
      <w:color w:val="800080"/>
      <w:u w:val="single"/>
    </w:rPr>
  </w:style>
  <w:style w:type="character" w:styleId="HTMLAcronym">
    <w:name w:val="HTML Acronym"/>
    <w:basedOn w:val="DefaultParagraphFont"/>
    <w:rsid w:val="00C17B3A"/>
  </w:style>
  <w:style w:type="character" w:styleId="HTMLCite">
    <w:name w:val="HTML Cite"/>
    <w:basedOn w:val="DefaultParagraphFont"/>
    <w:rsid w:val="00C17B3A"/>
    <w:rPr>
      <w:i/>
      <w:iCs/>
    </w:rPr>
  </w:style>
  <w:style w:type="character" w:styleId="HTMLCode">
    <w:name w:val="HTML Code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7B3A"/>
    <w:rPr>
      <w:i/>
      <w:iCs/>
    </w:rPr>
  </w:style>
  <w:style w:type="character" w:styleId="HTMLKeyboard">
    <w:name w:val="HTML Keyboard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C17B3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7B3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7B3A"/>
    <w:rPr>
      <w:i/>
      <w:iCs/>
    </w:rPr>
  </w:style>
  <w:style w:type="character" w:styleId="Strong">
    <w:name w:val="Strong"/>
    <w:basedOn w:val="DefaultParagraphFont"/>
    <w:qFormat/>
    <w:rsid w:val="00C17B3A"/>
    <w:rPr>
      <w:b/>
      <w:bCs/>
    </w:rPr>
  </w:style>
  <w:style w:type="table" w:styleId="Table3Deffects1">
    <w:name w:val="Table 3D effects 1"/>
    <w:basedOn w:val="TableNormal"/>
    <w:rsid w:val="00C17B3A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7B3A"/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7B3A"/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7B3A"/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7B3A"/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7B3A"/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7B3A"/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7B3A"/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7B3A"/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7B3A"/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7B3A"/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7B3A"/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7B3A"/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17B3A"/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7B3A"/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7B3A"/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7B3A"/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7B3A"/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7B3A"/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7B3A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7B3A"/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7B3A"/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7B3A"/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7B3A"/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7B3A"/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17B3A"/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17B3A"/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7B3A"/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7B3A"/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7B3A"/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7B3A"/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7B3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17B3A"/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7B3A"/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7B3A"/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Superscript">
    <w:name w:val="charSuperscript"/>
    <w:basedOn w:val="DefaultParagraphFont"/>
    <w:rsid w:val="00C17B3A"/>
    <w:rPr>
      <w:vertAlign w:val="superscript"/>
    </w:rPr>
  </w:style>
  <w:style w:type="character" w:customStyle="1" w:styleId="charsubscript0">
    <w:name w:val="charsubscript"/>
    <w:basedOn w:val="DefaultParagraphFont"/>
    <w:rsid w:val="00C17B3A"/>
    <w:rPr>
      <w:color w:val="auto"/>
      <w:vertAlign w:val="subscript"/>
    </w:rPr>
  </w:style>
  <w:style w:type="paragraph" w:customStyle="1" w:styleId="ActHead10">
    <w:name w:val="ActHead 10"/>
    <w:aliases w:val="sp"/>
    <w:basedOn w:val="OPCParaBase"/>
    <w:next w:val="h3Div"/>
    <w:rsid w:val="00C17B3A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P1a">
    <w:name w:val="TableP1(a)"/>
    <w:basedOn w:val="Normal"/>
    <w:rsid w:val="00C17B3A"/>
    <w:pPr>
      <w:tabs>
        <w:tab w:val="right" w:pos="408"/>
      </w:tabs>
      <w:spacing w:after="60" w:line="240" w:lineRule="exact"/>
      <w:ind w:left="533" w:hanging="533"/>
    </w:pPr>
    <w:rPr>
      <w:rFonts w:eastAsia="Times New Roman"/>
      <w:szCs w:val="24"/>
    </w:rPr>
  </w:style>
  <w:style w:type="paragraph" w:customStyle="1" w:styleId="TableText0">
    <w:name w:val="TableText"/>
    <w:basedOn w:val="Normal"/>
    <w:rsid w:val="00C17B3A"/>
    <w:pPr>
      <w:spacing w:before="60" w:after="60" w:line="240" w:lineRule="exact"/>
    </w:pPr>
    <w:rPr>
      <w:rFonts w:eastAsia="Times New Roman"/>
      <w:szCs w:val="24"/>
    </w:rPr>
  </w:style>
  <w:style w:type="character" w:customStyle="1" w:styleId="Subscript">
    <w:name w:val="Subscript"/>
    <w:rsid w:val="00C17B3A"/>
    <w:rPr>
      <w:color w:val="auto"/>
      <w:sz w:val="20"/>
      <w:vertAlign w:val="subscript"/>
    </w:rPr>
  </w:style>
  <w:style w:type="paragraph" w:customStyle="1" w:styleId="definition">
    <w:name w:val="definition"/>
    <w:basedOn w:val="Normal"/>
    <w:rsid w:val="00C17B3A"/>
    <w:pPr>
      <w:spacing w:before="80" w:line="260" w:lineRule="exact"/>
      <w:ind w:left="964"/>
      <w:jc w:val="both"/>
    </w:pPr>
    <w:rPr>
      <w:rFonts w:eastAsia="Times New Roman"/>
      <w:sz w:val="24"/>
      <w:szCs w:val="24"/>
    </w:rPr>
  </w:style>
  <w:style w:type="paragraph" w:customStyle="1" w:styleId="ZRcN">
    <w:name w:val="ZRcN"/>
    <w:basedOn w:val="Normal"/>
    <w:rsid w:val="00C17B3A"/>
    <w:pPr>
      <w:keepNext/>
      <w:spacing w:before="60" w:line="260" w:lineRule="exact"/>
      <w:ind w:left="964"/>
      <w:jc w:val="both"/>
    </w:pPr>
    <w:rPr>
      <w:rFonts w:eastAsia="Times New Roman"/>
      <w:sz w:val="24"/>
      <w:szCs w:val="24"/>
    </w:rPr>
  </w:style>
  <w:style w:type="character" w:customStyle="1" w:styleId="SOTextChar">
    <w:name w:val="SO Text Char"/>
    <w:aliases w:val="sot Char"/>
    <w:basedOn w:val="DefaultParagraphFont"/>
    <w:link w:val="SOText"/>
    <w:rsid w:val="00C17B3A"/>
    <w:rPr>
      <w:rFonts w:eastAsia="Calibr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C17B3A"/>
    <w:rPr>
      <w:rFonts w:eastAsia="Calibri"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7B3A"/>
    <w:rPr>
      <w:rFonts w:eastAsia="Calibri"/>
      <w:b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7B3A"/>
    <w:rPr>
      <w:rFonts w:eastAsia="Calibri"/>
      <w:i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C17B3A"/>
    <w:rPr>
      <w:rFonts w:eastAsia="Calibri"/>
      <w:sz w:val="22"/>
    </w:rPr>
  </w:style>
  <w:style w:type="character" w:customStyle="1" w:styleId="SOBulletNoteChar">
    <w:name w:val="SO BulletNote Char"/>
    <w:aliases w:val="sonb Char"/>
    <w:basedOn w:val="DefaultParagraphFont"/>
    <w:link w:val="SOBulletNote"/>
    <w:rsid w:val="00C17B3A"/>
    <w:rPr>
      <w:rFonts w:eastAsia="Calibri"/>
      <w:sz w:val="18"/>
    </w:rPr>
  </w:style>
  <w:style w:type="paragraph" w:customStyle="1" w:styleId="EnStatement">
    <w:name w:val="EnStatement"/>
    <w:basedOn w:val="Normal"/>
    <w:rsid w:val="00C17B3A"/>
    <w:pPr>
      <w:numPr>
        <w:numId w:val="6"/>
      </w:numPr>
    </w:pPr>
    <w:rPr>
      <w:rFonts w:eastAsia="Times New Roman"/>
      <w:lang w:eastAsia="en-AU"/>
    </w:rPr>
  </w:style>
  <w:style w:type="paragraph" w:customStyle="1" w:styleId="EnStatementHeading">
    <w:name w:val="EnStatementHeading"/>
    <w:basedOn w:val="Normal"/>
    <w:rsid w:val="00C17B3A"/>
    <w:rPr>
      <w:rFonts w:eastAsia="Times New Roman"/>
      <w:b/>
      <w:lang w:eastAsia="en-AU"/>
    </w:rPr>
  </w:style>
  <w:style w:type="paragraph" w:styleId="Revision">
    <w:name w:val="Revision"/>
    <w:hidden/>
    <w:uiPriority w:val="99"/>
    <w:semiHidden/>
    <w:rsid w:val="00C17B3A"/>
    <w:rPr>
      <w:rFonts w:eastAsiaTheme="minorHAnsi" w:cstheme="minorBidi"/>
      <w:sz w:val="22"/>
      <w:lang w:eastAsia="en-US"/>
    </w:rPr>
  </w:style>
  <w:style w:type="paragraph" w:customStyle="1" w:styleId="acthead4">
    <w:name w:val="acthead4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ubdno0">
    <w:name w:val="charsubdno"/>
    <w:basedOn w:val="DefaultParagraphFont"/>
    <w:rsid w:val="00C17B3A"/>
  </w:style>
  <w:style w:type="character" w:customStyle="1" w:styleId="charsubdtext0">
    <w:name w:val="charsubdtext"/>
    <w:basedOn w:val="DefaultParagraphFont"/>
    <w:rsid w:val="00C17B3A"/>
  </w:style>
  <w:style w:type="character" w:customStyle="1" w:styleId="charsectno0">
    <w:name w:val="charsectno"/>
    <w:basedOn w:val="DefaultParagraphFont"/>
    <w:rsid w:val="00C17B3A"/>
  </w:style>
  <w:style w:type="paragraph" w:customStyle="1" w:styleId="tabletext1">
    <w:name w:val="tabl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3">
    <w:name w:val="acthead3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divno0">
    <w:name w:val="chardivno"/>
    <w:basedOn w:val="DefaultParagraphFont"/>
    <w:rsid w:val="00C17B3A"/>
  </w:style>
  <w:style w:type="character" w:customStyle="1" w:styleId="chardivtext0">
    <w:name w:val="chardivtext"/>
    <w:basedOn w:val="DefaultParagraphFont"/>
    <w:rsid w:val="00C17B3A"/>
  </w:style>
  <w:style w:type="paragraph" w:customStyle="1" w:styleId="acthead5">
    <w:name w:val="acthead5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2">
    <w:name w:val="acthead2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partno0">
    <w:name w:val="charpartno"/>
    <w:basedOn w:val="DefaultParagraphFont"/>
    <w:rsid w:val="00C17B3A"/>
  </w:style>
  <w:style w:type="character" w:customStyle="1" w:styleId="charparttext0">
    <w:name w:val="charparttext"/>
    <w:basedOn w:val="DefaultParagraphFont"/>
    <w:rsid w:val="00C17B3A"/>
  </w:style>
  <w:style w:type="paragraph" w:customStyle="1" w:styleId="notetext">
    <w:name w:val="notetext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acthead1">
    <w:name w:val="acthead1"/>
    <w:basedOn w:val="Normal"/>
    <w:rsid w:val="00C17B3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chapno0">
    <w:name w:val="charchapno"/>
    <w:basedOn w:val="DefaultParagraphFont"/>
    <w:rsid w:val="00C17B3A"/>
  </w:style>
  <w:style w:type="character" w:customStyle="1" w:styleId="charchaptext0">
    <w:name w:val="charchaptext"/>
    <w:basedOn w:val="DefaultParagraphFont"/>
    <w:rsid w:val="00C17B3A"/>
  </w:style>
  <w:style w:type="paragraph" w:customStyle="1" w:styleId="HeadingBase">
    <w:name w:val="Heading Base"/>
    <w:uiPriority w:val="98"/>
    <w:semiHidden/>
    <w:rsid w:val="000913EA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HeaderBase">
    <w:name w:val="Header Base"/>
    <w:next w:val="Header"/>
    <w:uiPriority w:val="37"/>
    <w:semiHidden/>
    <w:rsid w:val="000913EA"/>
    <w:pPr>
      <w:spacing w:line="200" w:lineRule="atLeast"/>
    </w:pPr>
    <w:rPr>
      <w:rFonts w:ascii="Arial" w:hAnsi="Arial" w:cs="Arial"/>
      <w:szCs w:val="22"/>
    </w:rPr>
  </w:style>
  <w:style w:type="paragraph" w:customStyle="1" w:styleId="1Reference">
    <w:name w:val="1. Reference"/>
    <w:basedOn w:val="PlainParagraph"/>
    <w:uiPriority w:val="19"/>
    <w:rsid w:val="000913EA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0913EA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0913EA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0913EA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0913EA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0913EA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0913EA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0913EA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customStyle="1" w:styleId="HeaderLandscape">
    <w:name w:val="Header Landscape"/>
    <w:basedOn w:val="HeaderBase"/>
    <w:uiPriority w:val="27"/>
    <w:semiHidden/>
    <w:rsid w:val="000913EA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0913EA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0913EA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0913EA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0913EA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0913EA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0913EA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0913EA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0913EA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0913EA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0913EA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0913EA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0913EA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0913EA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0913EA"/>
    <w:pPr>
      <w:numPr>
        <w:numId w:val="1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0913EA"/>
    <w:pPr>
      <w:numPr>
        <w:ilvl w:val="1"/>
        <w:numId w:val="1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0913EA"/>
    <w:pPr>
      <w:numPr>
        <w:ilvl w:val="2"/>
        <w:numId w:val="1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0913EA"/>
    <w:pPr>
      <w:numPr>
        <w:ilvl w:val="3"/>
        <w:numId w:val="1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0913EA"/>
    <w:pPr>
      <w:numPr>
        <w:ilvl w:val="4"/>
        <w:numId w:val="1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0913EA"/>
    <w:pPr>
      <w:numPr>
        <w:ilvl w:val="5"/>
        <w:numId w:val="1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0913EA"/>
    <w:pPr>
      <w:numPr>
        <w:ilvl w:val="6"/>
        <w:numId w:val="1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0913EA"/>
    <w:pPr>
      <w:numPr>
        <w:ilvl w:val="7"/>
        <w:numId w:val="1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0913EA"/>
    <w:pPr>
      <w:numPr>
        <w:ilvl w:val="8"/>
        <w:numId w:val="1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0913EA"/>
    <w:pPr>
      <w:numPr>
        <w:numId w:val="20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0913EA"/>
    <w:pPr>
      <w:numPr>
        <w:ilvl w:val="1"/>
        <w:numId w:val="20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0913EA"/>
    <w:pPr>
      <w:numPr>
        <w:ilvl w:val="2"/>
        <w:numId w:val="20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0913EA"/>
    <w:pPr>
      <w:numPr>
        <w:ilvl w:val="3"/>
        <w:numId w:val="20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0913EA"/>
    <w:pPr>
      <w:numPr>
        <w:ilvl w:val="4"/>
        <w:numId w:val="20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0913E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0913E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0913E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0913EA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0913EA"/>
    <w:pPr>
      <w:numPr>
        <w:ilvl w:val="1"/>
        <w:numId w:val="14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0913EA"/>
    <w:pPr>
      <w:numPr>
        <w:numId w:val="14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0913EA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0913EA"/>
    <w:pPr>
      <w:numPr>
        <w:ilvl w:val="3"/>
      </w:numPr>
      <w:tabs>
        <w:tab w:val="clear" w:pos="1276"/>
        <w:tab w:val="num" w:pos="1440"/>
      </w:tabs>
      <w:ind w:left="1440" w:hanging="360"/>
    </w:pPr>
  </w:style>
  <w:style w:type="paragraph" w:customStyle="1" w:styleId="DashEn3">
    <w:name w:val="Dash: En 3"/>
    <w:basedOn w:val="DashEn2"/>
    <w:uiPriority w:val="3"/>
    <w:semiHidden/>
    <w:rsid w:val="000913EA"/>
    <w:pPr>
      <w:numPr>
        <w:ilvl w:val="4"/>
      </w:numPr>
      <w:tabs>
        <w:tab w:val="clear" w:pos="1701"/>
        <w:tab w:val="num" w:pos="1800"/>
      </w:tabs>
      <w:ind w:left="1800" w:hanging="360"/>
    </w:pPr>
  </w:style>
  <w:style w:type="paragraph" w:customStyle="1" w:styleId="DashEn4">
    <w:name w:val="Dash: En 4"/>
    <w:basedOn w:val="DashEn3"/>
    <w:uiPriority w:val="3"/>
    <w:semiHidden/>
    <w:rsid w:val="000913EA"/>
    <w:pPr>
      <w:numPr>
        <w:ilvl w:val="5"/>
      </w:numPr>
      <w:tabs>
        <w:tab w:val="clear" w:pos="2126"/>
        <w:tab w:val="num" w:pos="2160"/>
      </w:tabs>
      <w:ind w:left="2160" w:hanging="360"/>
    </w:pPr>
  </w:style>
  <w:style w:type="paragraph" w:customStyle="1" w:styleId="DashEn5">
    <w:name w:val="Dash: En 5"/>
    <w:basedOn w:val="DashEn4"/>
    <w:uiPriority w:val="3"/>
    <w:semiHidden/>
    <w:rsid w:val="000913EA"/>
    <w:pPr>
      <w:numPr>
        <w:ilvl w:val="6"/>
      </w:numPr>
      <w:tabs>
        <w:tab w:val="clear" w:pos="2551"/>
        <w:tab w:val="num" w:pos="2520"/>
      </w:tabs>
      <w:ind w:left="2520" w:hanging="360"/>
    </w:pPr>
  </w:style>
  <w:style w:type="paragraph" w:customStyle="1" w:styleId="DashEn6">
    <w:name w:val="Dash: En 6"/>
    <w:basedOn w:val="DashEn5"/>
    <w:uiPriority w:val="3"/>
    <w:semiHidden/>
    <w:rsid w:val="000913EA"/>
    <w:pPr>
      <w:numPr>
        <w:ilvl w:val="7"/>
      </w:numPr>
      <w:tabs>
        <w:tab w:val="clear" w:pos="2976"/>
        <w:tab w:val="num" w:pos="2880"/>
      </w:tabs>
      <w:ind w:left="2880" w:hanging="360"/>
    </w:pPr>
  </w:style>
  <w:style w:type="paragraph" w:customStyle="1" w:styleId="DashEn7">
    <w:name w:val="Dash: En 7"/>
    <w:basedOn w:val="DashEn6"/>
    <w:uiPriority w:val="3"/>
    <w:semiHidden/>
    <w:rsid w:val="000913EA"/>
    <w:pPr>
      <w:numPr>
        <w:ilvl w:val="8"/>
      </w:numPr>
      <w:tabs>
        <w:tab w:val="clear" w:pos="3402"/>
        <w:tab w:val="num" w:pos="3240"/>
      </w:tabs>
      <w:ind w:left="3240" w:hanging="360"/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0913EA"/>
    <w:pPr>
      <w:numPr>
        <w:numId w:val="1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0913EA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0913EA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0913EA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0913EA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0913EA"/>
    <w:pPr>
      <w:numPr>
        <w:ilvl w:val="5"/>
      </w:numPr>
    </w:pPr>
  </w:style>
  <w:style w:type="paragraph" w:customStyle="1" w:styleId="IndentHanging6">
    <w:name w:val="Indent: Hanging 6"/>
    <w:basedOn w:val="IndentHanging5"/>
    <w:uiPriority w:val="4"/>
    <w:semiHidden/>
    <w:rsid w:val="000913EA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0913EA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0913EA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0913EA"/>
    <w:pPr>
      <w:numPr>
        <w:numId w:val="1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0913EA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0913EA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0913EA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0913EA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0913EA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0913EA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0913EA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0913EA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0913EA"/>
    <w:pPr>
      <w:numPr>
        <w:numId w:val="1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0913EA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0913EA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0913EA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0913EA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0913EA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0913EA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0913EA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0913EA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0913EA"/>
    <w:pPr>
      <w:numPr>
        <w:numId w:val="1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0913EA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0913EA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0913EA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0913EA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0913EA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0913EA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0913EA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0913EA"/>
    <w:pPr>
      <w:numPr>
        <w:ilvl w:val="8"/>
      </w:numPr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0913EA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0913EA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0913EA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0913EA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0913EA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0913EA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0913EA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0913EA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0913EA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0913EA"/>
    <w:pPr>
      <w:numPr>
        <w:numId w:val="7"/>
      </w:numPr>
    </w:pPr>
  </w:style>
  <w:style w:type="paragraph" w:customStyle="1" w:styleId="TableNumberLevel2">
    <w:name w:val="Table: Number Level 2"/>
    <w:basedOn w:val="TablePlainParagraph"/>
    <w:uiPriority w:val="12"/>
    <w:rsid w:val="000913EA"/>
    <w:pPr>
      <w:numPr>
        <w:ilvl w:val="1"/>
        <w:numId w:val="7"/>
      </w:numPr>
    </w:pPr>
  </w:style>
  <w:style w:type="paragraph" w:customStyle="1" w:styleId="TableNumberLevel3">
    <w:name w:val="Table: Number Level 3"/>
    <w:basedOn w:val="TablePlainParagraph"/>
    <w:uiPriority w:val="12"/>
    <w:rsid w:val="000913EA"/>
    <w:pPr>
      <w:numPr>
        <w:ilvl w:val="2"/>
        <w:numId w:val="7"/>
      </w:numPr>
    </w:pPr>
  </w:style>
  <w:style w:type="paragraph" w:customStyle="1" w:styleId="TableNumberLevel4">
    <w:name w:val="Table: Number Level 4"/>
    <w:basedOn w:val="TablePlainParagraph"/>
    <w:uiPriority w:val="12"/>
    <w:rsid w:val="000913EA"/>
    <w:pPr>
      <w:numPr>
        <w:ilvl w:val="3"/>
        <w:numId w:val="7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0913EA"/>
    <w:pPr>
      <w:numPr>
        <w:ilvl w:val="4"/>
        <w:numId w:val="7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0913EA"/>
    <w:pPr>
      <w:numPr>
        <w:ilvl w:val="5"/>
        <w:numId w:val="7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0913EA"/>
    <w:pPr>
      <w:numPr>
        <w:ilvl w:val="6"/>
        <w:numId w:val="7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0913EA"/>
    <w:pPr>
      <w:numPr>
        <w:ilvl w:val="7"/>
        <w:numId w:val="7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0913EA"/>
    <w:pPr>
      <w:numPr>
        <w:ilvl w:val="8"/>
        <w:numId w:val="7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0913EA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0913EA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0913EA"/>
    <w:pPr>
      <w:numPr>
        <w:ilvl w:val="2"/>
        <w:numId w:val="13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0913EA"/>
    <w:pPr>
      <w:numPr>
        <w:ilvl w:val="3"/>
        <w:numId w:val="13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0913EA"/>
    <w:pPr>
      <w:numPr>
        <w:ilvl w:val="4"/>
        <w:numId w:val="13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0913EA"/>
    <w:pPr>
      <w:numPr>
        <w:ilvl w:val="5"/>
        <w:numId w:val="13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0913EA"/>
    <w:pPr>
      <w:numPr>
        <w:ilvl w:val="6"/>
        <w:numId w:val="13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0913EA"/>
    <w:pPr>
      <w:numPr>
        <w:ilvl w:val="7"/>
        <w:numId w:val="13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0913EA"/>
    <w:pPr>
      <w:numPr>
        <w:ilvl w:val="8"/>
        <w:numId w:val="13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0913EA"/>
    <w:pPr>
      <w:numPr>
        <w:numId w:val="8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0913EA"/>
    <w:pPr>
      <w:numPr>
        <w:ilvl w:val="1"/>
        <w:numId w:val="8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0913EA"/>
    <w:pPr>
      <w:numPr>
        <w:ilvl w:val="2"/>
        <w:numId w:val="8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0913EA"/>
    <w:pPr>
      <w:numPr>
        <w:ilvl w:val="3"/>
        <w:numId w:val="8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0913EA"/>
    <w:pPr>
      <w:numPr>
        <w:ilvl w:val="4"/>
        <w:numId w:val="8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0913EA"/>
    <w:pPr>
      <w:numPr>
        <w:ilvl w:val="5"/>
        <w:numId w:val="8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0913EA"/>
    <w:pPr>
      <w:numPr>
        <w:ilvl w:val="6"/>
        <w:numId w:val="8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0913EA"/>
    <w:pPr>
      <w:numPr>
        <w:ilvl w:val="7"/>
        <w:numId w:val="8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0913EA"/>
    <w:pPr>
      <w:numPr>
        <w:ilvl w:val="8"/>
        <w:numId w:val="8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0913EA"/>
    <w:pPr>
      <w:numPr>
        <w:numId w:val="9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0913EA"/>
    <w:pPr>
      <w:numPr>
        <w:ilvl w:val="1"/>
        <w:numId w:val="9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0913EA"/>
    <w:pPr>
      <w:numPr>
        <w:ilvl w:val="2"/>
        <w:numId w:val="9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0913EA"/>
    <w:pPr>
      <w:numPr>
        <w:ilvl w:val="3"/>
        <w:numId w:val="9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0913EA"/>
    <w:pPr>
      <w:numPr>
        <w:ilvl w:val="4"/>
        <w:numId w:val="9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0913EA"/>
    <w:pPr>
      <w:numPr>
        <w:ilvl w:val="5"/>
        <w:numId w:val="9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0913EA"/>
    <w:pPr>
      <w:numPr>
        <w:ilvl w:val="6"/>
        <w:numId w:val="9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0913EA"/>
    <w:pPr>
      <w:numPr>
        <w:ilvl w:val="7"/>
        <w:numId w:val="9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0913EA"/>
    <w:pPr>
      <w:numPr>
        <w:ilvl w:val="8"/>
        <w:numId w:val="9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0913EA"/>
    <w:pPr>
      <w:numPr>
        <w:numId w:val="10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0913EA"/>
    <w:pPr>
      <w:numPr>
        <w:ilvl w:val="1"/>
        <w:numId w:val="10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0913EA"/>
    <w:pPr>
      <w:numPr>
        <w:ilvl w:val="2"/>
        <w:numId w:val="10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0913EA"/>
    <w:pPr>
      <w:numPr>
        <w:ilvl w:val="3"/>
        <w:numId w:val="10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0913EA"/>
    <w:pPr>
      <w:numPr>
        <w:ilvl w:val="4"/>
        <w:numId w:val="10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0913EA"/>
    <w:pPr>
      <w:numPr>
        <w:ilvl w:val="5"/>
        <w:numId w:val="10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0913EA"/>
    <w:pPr>
      <w:numPr>
        <w:ilvl w:val="6"/>
        <w:numId w:val="10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0913EA"/>
    <w:pPr>
      <w:numPr>
        <w:ilvl w:val="7"/>
        <w:numId w:val="10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0913EA"/>
    <w:pPr>
      <w:numPr>
        <w:ilvl w:val="8"/>
        <w:numId w:val="10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0913EA"/>
    <w:pPr>
      <w:numPr>
        <w:numId w:val="11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0913EA"/>
    <w:pPr>
      <w:numPr>
        <w:ilvl w:val="1"/>
        <w:numId w:val="11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0913EA"/>
    <w:pPr>
      <w:numPr>
        <w:ilvl w:val="2"/>
        <w:numId w:val="11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0913EA"/>
    <w:pPr>
      <w:numPr>
        <w:ilvl w:val="3"/>
        <w:numId w:val="11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0913EA"/>
    <w:pPr>
      <w:numPr>
        <w:ilvl w:val="4"/>
        <w:numId w:val="11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0913EA"/>
    <w:pPr>
      <w:numPr>
        <w:ilvl w:val="5"/>
        <w:numId w:val="11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0913EA"/>
    <w:pPr>
      <w:numPr>
        <w:ilvl w:val="6"/>
        <w:numId w:val="11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0913EA"/>
    <w:pPr>
      <w:numPr>
        <w:ilvl w:val="7"/>
        <w:numId w:val="11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0913EA"/>
    <w:pPr>
      <w:numPr>
        <w:ilvl w:val="8"/>
        <w:numId w:val="11"/>
      </w:numPr>
      <w:spacing w:before="0"/>
    </w:pPr>
  </w:style>
  <w:style w:type="paragraph" w:customStyle="1" w:styleId="Subrand">
    <w:name w:val="Subrand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ColorfulGrid">
    <w:name w:val="Colorful Grid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913E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913E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913E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913E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13E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13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13E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IntenseEmphasis">
    <w:name w:val="Intense Emphasis"/>
    <w:basedOn w:val="DefaultParagraphFont"/>
    <w:uiPriority w:val="98"/>
    <w:rsid w:val="000913EA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rsid w:val="000913EA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0913E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913E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13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13E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13E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13E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13E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13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13E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13E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13E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13E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13E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13E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13E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13E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13E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13E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13E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13E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13E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0913E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0913E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0913E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13E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913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rsid w:val="000913E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13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13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13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13E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913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itle">
    <w:name w:val="Table Title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0913EA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2">
    <w:name w:val="Table Text"/>
    <w:uiPriority w:val="98"/>
    <w:semiHidden/>
    <w:rsid w:val="000913EA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0913EA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0913EA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0913EA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913EA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0913EA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0913EA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0913EA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0913EA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0913EA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0913EA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0913EA"/>
    <w:rPr>
      <w:sz w:val="22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0913EA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0913EA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0913EA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0913EA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0913EA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0913EA"/>
    <w:pPr>
      <w:ind w:left="1275"/>
    </w:p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0913EA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0913EA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0913EA"/>
    <w:pPr>
      <w:numPr>
        <w:numId w:val="0"/>
      </w:numPr>
      <w:ind w:left="1171" w:hanging="360"/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0913EA"/>
    <w:pPr>
      <w:numPr>
        <w:ilvl w:val="0"/>
        <w:numId w:val="0"/>
      </w:numPr>
      <w:ind w:left="2611" w:hanging="360"/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0913EA"/>
  </w:style>
  <w:style w:type="paragraph" w:customStyle="1" w:styleId="ClassificationDLMfooter">
    <w:name w:val="Classification DLM: footer"/>
    <w:uiPriority w:val="20"/>
    <w:semiHidden/>
    <w:rsid w:val="000913EA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0913EA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0913EA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0913EA"/>
    <w:pPr>
      <w:numPr>
        <w:ilvl w:val="1"/>
        <w:numId w:val="12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0913E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0913EA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0913EA"/>
    <w:pPr>
      <w:ind w:left="2400"/>
    </w:pPr>
  </w:style>
  <w:style w:type="character" w:customStyle="1" w:styleId="OGCSubbrand">
    <w:name w:val="OGCSubbrand"/>
    <w:basedOn w:val="DefaultParagraphFont"/>
    <w:uiPriority w:val="9"/>
    <w:semiHidden/>
    <w:rsid w:val="000913EA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0913EA"/>
    <w:pPr>
      <w:numPr>
        <w:numId w:val="13"/>
      </w:numPr>
    </w:pPr>
  </w:style>
  <w:style w:type="paragraph" w:customStyle="1" w:styleId="TableDot1">
    <w:name w:val="Table: Dot1"/>
    <w:basedOn w:val="TableDot"/>
    <w:uiPriority w:val="12"/>
    <w:rsid w:val="000913EA"/>
    <w:pPr>
      <w:numPr>
        <w:ilvl w:val="1"/>
      </w:numPr>
    </w:pPr>
  </w:style>
  <w:style w:type="paragraph" w:customStyle="1" w:styleId="AdvicePreparedFor">
    <w:name w:val="AdvicePreparedFor"/>
    <w:basedOn w:val="PlainParagraph"/>
    <w:link w:val="AdvicePreparedForChar"/>
    <w:rsid w:val="000913EA"/>
    <w:pPr>
      <w:spacing w:before="0" w:after="0"/>
    </w:pPr>
    <w:rPr>
      <w:b/>
    </w:rPr>
  </w:style>
  <w:style w:type="character" w:customStyle="1" w:styleId="AdvicePreparedForChar">
    <w:name w:val="AdvicePreparedFor Char"/>
    <w:basedOn w:val="PlainParagraphChar"/>
    <w:link w:val="AdvicePreparedFor"/>
    <w:rsid w:val="000913EA"/>
    <w:rPr>
      <w:rFonts w:ascii="Arial" w:hAnsi="Arial" w:cs="Arial"/>
      <w:b/>
      <w:sz w:val="22"/>
      <w:szCs w:val="22"/>
    </w:rPr>
  </w:style>
  <w:style w:type="paragraph" w:customStyle="1" w:styleId="AdviceHeading2">
    <w:name w:val="AdviceHeading2"/>
    <w:basedOn w:val="Heading1"/>
    <w:next w:val="AdviceNumLevel1"/>
    <w:link w:val="AdviceHeading2Char"/>
    <w:rsid w:val="000913EA"/>
    <w:pPr>
      <w:numPr>
        <w:numId w:val="0"/>
      </w:numPr>
    </w:pPr>
    <w:rPr>
      <w:rFonts w:eastAsia="Times New Roman"/>
      <w:caps w:val="0"/>
      <w:sz w:val="22"/>
      <w:szCs w:val="22"/>
      <w:lang w:eastAsia="en-AU"/>
    </w:rPr>
  </w:style>
  <w:style w:type="character" w:customStyle="1" w:styleId="AdviceHeading2Char">
    <w:name w:val="AdviceHeading2 Char"/>
    <w:basedOn w:val="Heading1Char"/>
    <w:link w:val="AdviceHeading2"/>
    <w:rsid w:val="000913EA"/>
    <w:rPr>
      <w:rFonts w:ascii="Arial" w:eastAsia="Calibri" w:hAnsi="Arial" w:cs="Arial"/>
      <w:b/>
      <w:bCs/>
      <w:caps w:val="0"/>
      <w:kern w:val="32"/>
      <w:sz w:val="22"/>
      <w:szCs w:val="22"/>
      <w:lang w:eastAsia="en-US"/>
    </w:rPr>
  </w:style>
  <w:style w:type="paragraph" w:customStyle="1" w:styleId="AdviceDate">
    <w:name w:val="AdviceDate"/>
    <w:basedOn w:val="PlainParagraph"/>
    <w:rsid w:val="000913EA"/>
    <w:pPr>
      <w:pBdr>
        <w:bottom w:val="single" w:sz="4" w:space="3" w:color="auto"/>
      </w:pBdr>
      <w:spacing w:before="0" w:after="240"/>
    </w:pPr>
    <w:rPr>
      <w:szCs w:val="20"/>
    </w:rPr>
  </w:style>
  <w:style w:type="paragraph" w:customStyle="1" w:styleId="AdviceHeading3">
    <w:name w:val="AdviceHeading3"/>
    <w:basedOn w:val="AdviceHeading2"/>
    <w:next w:val="AdviceNumLevel1"/>
    <w:link w:val="AdviceHeading3Char"/>
    <w:rsid w:val="000913EA"/>
    <w:rPr>
      <w:color w:val="204558"/>
    </w:rPr>
  </w:style>
  <w:style w:type="character" w:customStyle="1" w:styleId="AdviceHeading3Char">
    <w:name w:val="AdviceHeading3 Char"/>
    <w:basedOn w:val="AdviceHeading2Char"/>
    <w:link w:val="AdviceHeading3"/>
    <w:rsid w:val="000913EA"/>
    <w:rPr>
      <w:rFonts w:ascii="Arial" w:eastAsia="Calibri" w:hAnsi="Arial" w:cs="Arial"/>
      <w:b/>
      <w:bCs/>
      <w:caps w:val="0"/>
      <w:color w:val="204558"/>
      <w:kern w:val="32"/>
      <w:sz w:val="22"/>
      <w:szCs w:val="22"/>
      <w:lang w:eastAsia="en-US"/>
    </w:rPr>
  </w:style>
  <w:style w:type="paragraph" w:customStyle="1" w:styleId="AdviceNumLevel1">
    <w:name w:val="AdviceNumLevel1"/>
    <w:basedOn w:val="NumberLevel1"/>
    <w:rsid w:val="000913EA"/>
  </w:style>
  <w:style w:type="paragraph" w:customStyle="1" w:styleId="AdviceSummary">
    <w:name w:val="AdviceSummary"/>
    <w:basedOn w:val="HeadingBase"/>
    <w:next w:val="PartSubHeading"/>
    <w:link w:val="AdviceSummaryChar"/>
    <w:rsid w:val="000913EA"/>
    <w:pPr>
      <w:keepNext/>
      <w:keepLines/>
      <w:pBdr>
        <w:top w:val="single" w:sz="18" w:space="1" w:color="204558"/>
      </w:pBdr>
      <w:shd w:val="clear" w:color="365F91" w:themeColor="accent1" w:themeShade="BF" w:fill="auto"/>
      <w:spacing w:before="360" w:after="120" w:line="240" w:lineRule="atLeast"/>
      <w:ind w:left="-567"/>
    </w:pPr>
    <w:rPr>
      <w:b/>
      <w:color w:val="000000" w:themeColor="text1"/>
      <w:sz w:val="30"/>
      <w:szCs w:val="30"/>
    </w:rPr>
  </w:style>
  <w:style w:type="character" w:customStyle="1" w:styleId="AdviceSummaryChar">
    <w:name w:val="AdviceSummary Char"/>
    <w:basedOn w:val="DefaultParagraphFont"/>
    <w:link w:val="AdviceSummary"/>
    <w:rsid w:val="000913EA"/>
    <w:rPr>
      <w:rFonts w:ascii="Arial" w:hAnsi="Arial" w:cs="Arial"/>
      <w:b/>
      <w:color w:val="000000" w:themeColor="text1"/>
      <w:sz w:val="30"/>
      <w:szCs w:val="30"/>
      <w:shd w:val="clear" w:color="365F91" w:themeColor="accent1" w:themeShade="BF" w:fill="auto"/>
    </w:rPr>
  </w:style>
  <w:style w:type="paragraph" w:customStyle="1" w:styleId="AdviceQruleabove">
    <w:name w:val="AdviceQ rule above"/>
    <w:basedOn w:val="AdviceSummary"/>
    <w:next w:val="AdviceQuestion"/>
    <w:link w:val="AdviceQruleaboveChar"/>
    <w:autoRedefine/>
    <w:rsid w:val="000913EA"/>
    <w:pPr>
      <w:pBdr>
        <w:top w:val="single" w:sz="12" w:space="1" w:color="C4DDEA"/>
      </w:pBdr>
      <w:spacing w:after="0"/>
    </w:pPr>
    <w:rPr>
      <w:sz w:val="26"/>
      <w:szCs w:val="26"/>
    </w:rPr>
  </w:style>
  <w:style w:type="character" w:customStyle="1" w:styleId="AdviceQruleaboveChar">
    <w:name w:val="AdviceQ rule above Char"/>
    <w:basedOn w:val="AdviceSummaryChar"/>
    <w:link w:val="AdviceQruleabove"/>
    <w:rsid w:val="000913EA"/>
    <w:rPr>
      <w:rFonts w:ascii="Arial" w:hAnsi="Arial" w:cs="Arial"/>
      <w:b/>
      <w:color w:val="000000" w:themeColor="text1"/>
      <w:sz w:val="26"/>
      <w:szCs w:val="26"/>
      <w:shd w:val="clear" w:color="365F91" w:themeColor="accent1" w:themeShade="BF" w:fill="auto"/>
    </w:rPr>
  </w:style>
  <w:style w:type="paragraph" w:customStyle="1" w:styleId="AdviceQuestion">
    <w:name w:val="AdviceQuestion"/>
    <w:basedOn w:val="Heading2"/>
    <w:next w:val="NumberLevel1"/>
    <w:link w:val="AdviceQuestionChar"/>
    <w:rsid w:val="000913EA"/>
    <w:pPr>
      <w:numPr>
        <w:ilvl w:val="0"/>
        <w:numId w:val="0"/>
      </w:numPr>
      <w:shd w:val="clear" w:color="auto" w:fill="C4DDEA"/>
      <w:spacing w:before="0" w:after="120"/>
    </w:pPr>
    <w:rPr>
      <w:rFonts w:eastAsia="Times New Roman"/>
      <w:b w:val="0"/>
      <w:lang w:eastAsia="en-AU"/>
    </w:rPr>
  </w:style>
  <w:style w:type="character" w:customStyle="1" w:styleId="AdviceQuestionChar">
    <w:name w:val="AdviceQuestion Char"/>
    <w:basedOn w:val="Heading2Char"/>
    <w:link w:val="AdviceQuestion"/>
    <w:rsid w:val="000913EA"/>
    <w:rPr>
      <w:rFonts w:ascii="Arial" w:eastAsia="Calibri" w:hAnsi="Arial" w:cs="Arial"/>
      <w:b w:val="0"/>
      <w:bCs/>
      <w:iCs/>
      <w:sz w:val="22"/>
      <w:szCs w:val="28"/>
      <w:shd w:val="clear" w:color="auto" w:fill="C4DDEA"/>
      <w:lang w:eastAsia="en-US"/>
    </w:rPr>
  </w:style>
  <w:style w:type="paragraph" w:customStyle="1" w:styleId="AdviceTitlePara">
    <w:name w:val="AdviceTitlePara"/>
    <w:basedOn w:val="PlainParagraph"/>
    <w:next w:val="AdviceNumLevel1"/>
    <w:rsid w:val="000913EA"/>
    <w:rPr>
      <w:b/>
      <w:bCs/>
      <w:color w:val="204558"/>
      <w:kern w:val="32"/>
      <w:sz w:val="30"/>
      <w:szCs w:val="30"/>
    </w:rPr>
  </w:style>
  <w:style w:type="paragraph" w:customStyle="1" w:styleId="AdviceNumLevel2">
    <w:name w:val="AdviceNumLevel2"/>
    <w:basedOn w:val="NumberLevel2"/>
    <w:rsid w:val="000913EA"/>
    <w:pPr>
      <w:ind w:left="709"/>
    </w:pPr>
  </w:style>
  <w:style w:type="paragraph" w:customStyle="1" w:styleId="TerritoryT">
    <w:name w:val="TerritoryT"/>
    <w:basedOn w:val="OPCParaBase"/>
    <w:next w:val="Normal"/>
    <w:rsid w:val="000913EA"/>
    <w:rPr>
      <w:b/>
      <w:sz w:val="32"/>
    </w:rPr>
  </w:style>
  <w:style w:type="character" w:customStyle="1" w:styleId="CharENotesHeading">
    <w:name w:val="CharENotesHeading"/>
    <w:basedOn w:val="DefaultParagraphFont"/>
    <w:rsid w:val="000913EA"/>
  </w:style>
  <w:style w:type="paragraph" w:customStyle="1" w:styleId="Transitional">
    <w:name w:val="Transitional"/>
    <w:aliases w:val="tr"/>
    <w:basedOn w:val="Normal"/>
    <w:next w:val="Normal"/>
    <w:rsid w:val="000913EA"/>
    <w:pPr>
      <w:keepNext/>
      <w:keepLines/>
      <w:spacing w:before="220" w:line="240" w:lineRule="auto"/>
      <w:ind w:left="709" w:hanging="709"/>
    </w:pPr>
    <w:rPr>
      <w:rFonts w:ascii="Arial" w:eastAsia="Times New Roman" w:hAnsi="Arial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16" ma:contentTypeDescription="Create a new document." ma:contentTypeScope="" ma:versionID="7db50272474281b898396eb2a6ef7597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8c4c6479-bb6a-4263-8159-fbb0afc5d491" xmlns:ns4="http://schemas.microsoft.com/sharepoint/v4" targetNamespace="http://schemas.microsoft.com/office/2006/metadata/properties" ma:root="true" ma:fieldsID="75fdb4ebaf5e232866d8d29ff7ce333c" ns1:_="" ns2:_="" ns3:_="" ns4:_="">
    <xsd:import namespace="http://schemas.microsoft.com/sharepoint/v3"/>
    <xsd:import namespace="a36bd50b-1532-4c22-b385-5c082c960938"/>
    <xsd:import namespace="8c4c6479-bb6a-4263-8159-fbb0afc5d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pd20deaf94a24430b0a49144ca09025e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fbe3fec-c611-4c3e-9ea6-f54bcd1bbf7a}" ma:internalName="TaxCatchAll" ma:showField="CatchAllData" ma:web="8c4c6479-bb6a-4263-8159-fbb0afc5d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9d8bf4-53b1-4391-9742-58425172aa6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c6479-bb6a-4263-8159-fbb0afc5d491" elementFormDefault="qualified">
    <xsd:import namespace="http://schemas.microsoft.com/office/2006/documentManagement/types"/>
    <xsd:import namespace="http://schemas.microsoft.com/office/infopath/2007/PartnerControls"/>
    <xsd:element name="pd20deaf94a24430b0a49144ca09025e" ma:index="24" nillable="true" ma:taxonomy="true" ma:internalName="pd20deaf94a24430b0a49144ca09025e" ma:taxonomyFieldName="DocHub_RegulatoryFrameworksLegislationType" ma:displayName="Legislation Type" ma:indexed="true" ma:default="" ma:fieldId="{9d20deaf-94a2-4430-b0a4-9144ca09025e}" ma:sspId="fb0313f7-9433-48c0-866e-9e0bbee59a50" ma:termSetId="1fc38da8-8d02-4a98-9599-72eda239dc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/>
    </adb9bed2e36e4a93af574aeb444da63e>
    <n99e4c9942c6404eb103464a00e6097b xmlns="a36bd50b-1532-4c22-b385-5c082c960938">
      <Terms xmlns="http://schemas.microsoft.com/office/infopath/2007/PartnerControls"/>
    </n99e4c9942c6404eb103464a00e6097b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dc0ffd85-1015-4b7b-9d37-44dde8257333</TermId>
        </TermInfo>
      </Terms>
    </pe2555c81638466f9eb614edb9ecde52>
    <pd20deaf94a24430b0a49144ca09025e xmlns="8c4c6479-bb6a-4263-8159-fbb0afc5d491">
      <Terms xmlns="http://schemas.microsoft.com/office/infopath/2007/PartnerControls"/>
    </pd20deaf94a24430b0a49144ca09025e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/>
    </g7bcb40ba23249a78edca7d43a67c1c9>
    <TaxCatchAll xmlns="a36bd50b-1532-4c22-b385-5c082c960938">
      <Value>672</Value>
      <Value>3</Value>
    </TaxCatchAll>
    <Comment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C817-CA0B-4B75-B17F-E899B6641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8c4c6479-bb6a-4263-8159-fbb0afc5d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29C9E-728D-46B0-9F17-5CD292C5E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2A016-A7D9-40F4-B103-C7506049EE2A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4c6479-bb6a-4263-8159-fbb0afc5d491"/>
    <ds:schemaRef ds:uri="a36bd50b-1532-4c22-b385-5c082c960938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F976DD-0014-4FDB-8230-53EAF4A75A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926875-D509-49AC-A388-763BAB35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1882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2021-05-21T05:56:00Z</cp:lastPrinted>
  <dcterms:created xsi:type="dcterms:W3CDTF">2022-06-21T00:53:00Z</dcterms:created>
  <dcterms:modified xsi:type="dcterms:W3CDTF">2022-06-22T23:59:00Z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ContentTypeId">
    <vt:lpwstr>0x010100896D55852D93604AA440876A3B15BB43</vt:lpwstr>
  </property>
  <property fmtid="{D5CDD505-2E9C-101B-9397-08002B2CF9AE}" pid="7" name="DocHub_Year">
    <vt:lpwstr/>
  </property>
  <property fmtid="{D5CDD505-2E9C-101B-9397-08002B2CF9AE}" pid="8" name="DocHub_DocumentType">
    <vt:lpwstr>672;#Legislation|dc0ffd85-1015-4b7b-9d37-44dde8257333</vt:lpwstr>
  </property>
  <property fmtid="{D5CDD505-2E9C-101B-9397-08002B2CF9AE}" pid="9" name="DocHub_SecurityClassification">
    <vt:lpwstr>3;#OFFICIAL|6106d03b-a1a0-4e30-9d91-d5e9fb4314f9</vt:lpwstr>
  </property>
  <property fmtid="{D5CDD505-2E9C-101B-9397-08002B2CF9AE}" pid="10" name="DocHub_Keywords">
    <vt:lpwstr/>
  </property>
  <property fmtid="{D5CDD505-2E9C-101B-9397-08002B2CF9AE}" pid="11" name="DocHub_WorkActivity">
    <vt:lpwstr/>
  </property>
  <property fmtid="{D5CDD505-2E9C-101B-9397-08002B2CF9AE}" pid="12" name="DocHub_RegulatoryFrameworksLegislationType">
    <vt:lpwstr/>
  </property>
</Properties>
</file>