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31D3" w14:textId="77777777" w:rsidR="003929D9" w:rsidRPr="003037C3" w:rsidRDefault="003929D9" w:rsidP="003929D9">
      <w:pPr>
        <w:keepNext/>
        <w:keepLines/>
        <w:spacing w:after="0" w:line="240" w:lineRule="auto"/>
        <w:ind w:right="91"/>
        <w:jc w:val="center"/>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b/>
          <w:sz w:val="24"/>
          <w:szCs w:val="24"/>
          <w:u w:val="single"/>
          <w:lang w:val="en-AU" w:eastAsia="en-AU"/>
        </w:rPr>
        <w:t>EXPLANATORY STATEMENT</w:t>
      </w:r>
    </w:p>
    <w:p w14:paraId="3E224EA2" w14:textId="77777777" w:rsidR="003929D9" w:rsidRPr="003037C3" w:rsidRDefault="003929D9" w:rsidP="003929D9">
      <w:pPr>
        <w:keepNext/>
        <w:keepLines/>
        <w:spacing w:after="0" w:line="240" w:lineRule="auto"/>
        <w:ind w:right="91"/>
        <w:jc w:val="center"/>
        <w:outlineLvl w:val="5"/>
        <w:rPr>
          <w:rFonts w:ascii="Times New Roman" w:eastAsia="Times New Roman" w:hAnsi="Times New Roman" w:cs="Times New Roman"/>
          <w:sz w:val="24"/>
          <w:szCs w:val="24"/>
          <w:lang w:val="en-AU" w:eastAsia="en-AU"/>
        </w:rPr>
      </w:pPr>
    </w:p>
    <w:p w14:paraId="452F74AB" w14:textId="45CAC370" w:rsidR="003929D9" w:rsidRPr="003037C3" w:rsidRDefault="003929D9" w:rsidP="003929D9">
      <w:pPr>
        <w:keepNext/>
        <w:spacing w:after="0" w:line="240" w:lineRule="auto"/>
        <w:ind w:right="42"/>
        <w:jc w:val="center"/>
        <w:outlineLvl w:val="5"/>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Issued by the Minister for Immigration, Citizenship and Multicultural Affairs</w:t>
      </w:r>
    </w:p>
    <w:p w14:paraId="489B9977" w14:textId="77777777" w:rsidR="003929D9" w:rsidRPr="003037C3" w:rsidRDefault="003929D9" w:rsidP="003929D9">
      <w:pPr>
        <w:keepNext/>
        <w:spacing w:after="0" w:line="240" w:lineRule="auto"/>
        <w:ind w:right="42"/>
        <w:jc w:val="center"/>
        <w:outlineLvl w:val="5"/>
        <w:rPr>
          <w:rFonts w:ascii="Times New Roman" w:eastAsia="Times New Roman" w:hAnsi="Times New Roman" w:cs="Times New Roman"/>
          <w:i/>
          <w:iCs/>
          <w:sz w:val="24"/>
          <w:szCs w:val="24"/>
          <w:u w:val="single"/>
          <w:lang w:val="en-AU" w:eastAsia="en-AU"/>
        </w:rPr>
      </w:pPr>
    </w:p>
    <w:p w14:paraId="145B3FCD" w14:textId="0223C40F" w:rsidR="003929D9" w:rsidRDefault="003929D9"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r w:rsidRPr="003037C3">
        <w:rPr>
          <w:rFonts w:ascii="Times New Roman" w:eastAsia="Times New Roman" w:hAnsi="Times New Roman" w:cs="Times New Roman"/>
          <w:i/>
          <w:sz w:val="24"/>
          <w:szCs w:val="24"/>
          <w:lang w:val="en-AU" w:eastAsia="en-AU"/>
        </w:rPr>
        <w:t>Migration Act 1958</w:t>
      </w:r>
    </w:p>
    <w:p w14:paraId="31252BB9" w14:textId="77777777" w:rsidR="00E97FF9" w:rsidRPr="003037C3" w:rsidRDefault="00E97FF9"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p>
    <w:p w14:paraId="1968CF6D" w14:textId="77777777" w:rsidR="00E97FF9" w:rsidRDefault="003929D9" w:rsidP="00E97FF9">
      <w:pPr>
        <w:spacing w:after="0" w:line="240" w:lineRule="auto"/>
        <w:ind w:left="720"/>
        <w:jc w:val="center"/>
        <w:rPr>
          <w:rFonts w:ascii="Times New Roman" w:eastAsia="Times New Roman" w:hAnsi="Times New Roman" w:cs="Times New Roman"/>
          <w:i/>
          <w:iCs/>
          <w:sz w:val="24"/>
          <w:szCs w:val="24"/>
          <w:lang w:val="en-AU" w:eastAsia="en-AU"/>
        </w:rPr>
      </w:pPr>
      <w:r w:rsidRPr="00676561">
        <w:rPr>
          <w:rFonts w:ascii="Times New Roman" w:eastAsia="Times New Roman" w:hAnsi="Times New Roman" w:cs="Times New Roman"/>
          <w:i/>
          <w:iCs/>
          <w:sz w:val="24"/>
          <w:szCs w:val="24"/>
          <w:lang w:val="en-AU" w:eastAsia="en-AU"/>
        </w:rPr>
        <w:t>Migratio</w:t>
      </w:r>
      <w:r>
        <w:rPr>
          <w:rFonts w:ascii="Times New Roman" w:eastAsia="Times New Roman" w:hAnsi="Times New Roman" w:cs="Times New Roman"/>
          <w:i/>
          <w:iCs/>
          <w:sz w:val="24"/>
          <w:szCs w:val="24"/>
          <w:lang w:val="en-AU" w:eastAsia="en-AU"/>
        </w:rPr>
        <w:t>n Amendment (</w:t>
      </w:r>
      <w:r w:rsidR="00E97FF9">
        <w:rPr>
          <w:rFonts w:ascii="Times New Roman" w:eastAsia="Times New Roman" w:hAnsi="Times New Roman" w:cs="Times New Roman"/>
          <w:i/>
          <w:iCs/>
          <w:sz w:val="24"/>
          <w:szCs w:val="24"/>
          <w:lang w:val="en-AU" w:eastAsia="en-AU"/>
        </w:rPr>
        <w:t xml:space="preserve">Occupation Nomination and Skills Assessment for </w:t>
      </w:r>
    </w:p>
    <w:p w14:paraId="0BAB5F96" w14:textId="10D368D1" w:rsidR="003929D9" w:rsidRDefault="00E97FF9" w:rsidP="00E97FF9">
      <w:pPr>
        <w:spacing w:after="0" w:line="240" w:lineRule="auto"/>
        <w:ind w:left="720"/>
        <w:jc w:val="center"/>
        <w:rPr>
          <w:rFonts w:ascii="Times New Roman" w:eastAsia="Times New Roman" w:hAnsi="Times New Roman" w:cs="Times New Roman"/>
          <w:i/>
          <w:iCs/>
          <w:sz w:val="24"/>
          <w:szCs w:val="24"/>
          <w:lang w:val="en-AU" w:eastAsia="en-AU"/>
        </w:rPr>
      </w:pPr>
      <w:r>
        <w:rPr>
          <w:rFonts w:ascii="Times New Roman" w:eastAsia="Times New Roman" w:hAnsi="Times New Roman" w:cs="Times New Roman"/>
          <w:i/>
          <w:iCs/>
          <w:sz w:val="24"/>
          <w:szCs w:val="24"/>
          <w:lang w:val="en-AU" w:eastAsia="en-AU"/>
        </w:rPr>
        <w:t>Subclass 485 Visas</w:t>
      </w:r>
      <w:r w:rsidR="003929D9" w:rsidRPr="00676561">
        <w:rPr>
          <w:rFonts w:ascii="Times New Roman" w:eastAsia="Times New Roman" w:hAnsi="Times New Roman" w:cs="Times New Roman"/>
          <w:i/>
          <w:iCs/>
          <w:sz w:val="24"/>
          <w:szCs w:val="24"/>
          <w:lang w:val="en-AU" w:eastAsia="en-AU"/>
        </w:rPr>
        <w:t>) Regulations 2022</w:t>
      </w:r>
    </w:p>
    <w:p w14:paraId="487EB53D" w14:textId="77777777" w:rsidR="003929D9" w:rsidRPr="00676561" w:rsidRDefault="003929D9" w:rsidP="003929D9">
      <w:pPr>
        <w:spacing w:before="240" w:after="0" w:line="240" w:lineRule="auto"/>
        <w:ind w:left="720"/>
        <w:jc w:val="center"/>
        <w:rPr>
          <w:rFonts w:ascii="Times New Roman" w:eastAsia="Times New Roman" w:hAnsi="Times New Roman" w:cs="Times New Roman"/>
          <w:i/>
          <w:iCs/>
          <w:sz w:val="24"/>
          <w:szCs w:val="24"/>
          <w:lang w:val="en-AU" w:eastAsia="en-AU"/>
        </w:rPr>
      </w:pPr>
    </w:p>
    <w:p w14:paraId="3FFBC465" w14:textId="77777777" w:rsidR="003929D9" w:rsidRPr="003037C3"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 xml:space="preserve">The </w:t>
      </w:r>
      <w:r w:rsidRPr="003037C3">
        <w:rPr>
          <w:rFonts w:ascii="Times New Roman" w:eastAsia="Times New Roman" w:hAnsi="Times New Roman" w:cs="Times New Roman"/>
          <w:i/>
          <w:sz w:val="24"/>
          <w:szCs w:val="24"/>
          <w:lang w:val="en-AU" w:eastAsia="en-AU"/>
        </w:rPr>
        <w:t>Migration Act 1958</w:t>
      </w:r>
      <w:r w:rsidRPr="003037C3">
        <w:rPr>
          <w:rFonts w:ascii="Times New Roman" w:eastAsia="Times New Roman" w:hAnsi="Times New Roman" w:cs="Times New Roman"/>
          <w:sz w:val="24"/>
          <w:szCs w:val="24"/>
          <w:lang w:val="en-AU" w:eastAsia="en-AU"/>
        </w:rPr>
        <w:t xml:space="preserve"> (the Migration Act) is an Act relating to the entry into, and presence in, Australia of aliens, and the departure or deportation from Australia of aliens and certain other persons.</w:t>
      </w:r>
    </w:p>
    <w:p w14:paraId="38AA2B5C" w14:textId="77777777" w:rsidR="003929D9" w:rsidRPr="003037C3"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p>
    <w:p w14:paraId="734E4C00" w14:textId="77777777" w:rsidR="003929D9"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 xml:space="preserve">Subsection 504(1) of </w:t>
      </w:r>
      <w:r w:rsidRPr="003037C3">
        <w:rPr>
          <w:rFonts w:ascii="Times New Roman" w:eastAsia="Times New Roman" w:hAnsi="Times New Roman" w:cs="Times New Roman"/>
          <w:iCs/>
          <w:sz w:val="24"/>
          <w:szCs w:val="24"/>
          <w:lang w:val="en-AU" w:eastAsia="en-AU"/>
        </w:rPr>
        <w:t xml:space="preserve">the </w:t>
      </w:r>
      <w:r w:rsidRPr="003037C3">
        <w:rPr>
          <w:rFonts w:ascii="Times New Roman" w:eastAsia="Times New Roman" w:hAnsi="Times New Roman" w:cs="Times New Roman"/>
          <w:sz w:val="24"/>
          <w:szCs w:val="24"/>
          <w:lang w:val="en-AU" w:eastAsia="en-AU"/>
        </w:rPr>
        <w:t>Migration Act</w:t>
      </w:r>
      <w:r w:rsidRPr="003037C3">
        <w:rPr>
          <w:rFonts w:ascii="Times New Roman" w:eastAsia="Times New Roman" w:hAnsi="Times New Roman" w:cs="Times New Roman"/>
          <w:i/>
          <w:sz w:val="24"/>
          <w:szCs w:val="24"/>
          <w:lang w:val="en-AU" w:eastAsia="en-AU"/>
        </w:rPr>
        <w:t xml:space="preserve"> </w:t>
      </w:r>
      <w:r w:rsidRPr="003037C3">
        <w:rPr>
          <w:rFonts w:ascii="Times New Roman" w:eastAsia="Times New Roman" w:hAnsi="Times New Roman" w:cs="Times New Roman"/>
          <w:sz w:val="24"/>
          <w:szCs w:val="24"/>
          <w:lang w:val="en-AU" w:eastAsia="en-AU"/>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1DC68534" w14:textId="77777777" w:rsidR="003929D9"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p>
    <w:p w14:paraId="63F0D043" w14:textId="0B9CDB3C" w:rsidR="003929D9"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In addition, regulations may be made pursuant to </w:t>
      </w:r>
      <w:r w:rsidR="001939DF">
        <w:rPr>
          <w:rFonts w:ascii="Times New Roman" w:eastAsia="Times New Roman" w:hAnsi="Times New Roman" w:cs="Times New Roman"/>
          <w:sz w:val="24"/>
          <w:szCs w:val="24"/>
          <w:lang w:val="en-AU" w:eastAsia="en-AU"/>
        </w:rPr>
        <w:t xml:space="preserve">subsection 31(3) of the Migration Act which provides that the regulations may prescribe criteria for a visa or visas of a specified class, and </w:t>
      </w:r>
      <w:r w:rsidR="00AA26B0">
        <w:rPr>
          <w:rFonts w:ascii="Times New Roman" w:eastAsia="Times New Roman" w:hAnsi="Times New Roman" w:cs="Times New Roman"/>
          <w:sz w:val="24"/>
          <w:szCs w:val="24"/>
          <w:lang w:val="en-AU" w:eastAsia="en-AU"/>
        </w:rPr>
        <w:t>subsection 46(3)</w:t>
      </w:r>
      <w:r w:rsidR="001939DF">
        <w:rPr>
          <w:rFonts w:ascii="Times New Roman" w:eastAsia="Times New Roman" w:hAnsi="Times New Roman" w:cs="Times New Roman"/>
          <w:sz w:val="24"/>
          <w:szCs w:val="24"/>
          <w:lang w:val="en-AU" w:eastAsia="en-AU"/>
        </w:rPr>
        <w:t xml:space="preserve"> of the Migration Act which provides for</w:t>
      </w:r>
      <w:r w:rsidR="001C2484">
        <w:rPr>
          <w:rFonts w:ascii="Times New Roman" w:eastAsia="Times New Roman" w:hAnsi="Times New Roman" w:cs="Times New Roman"/>
          <w:sz w:val="24"/>
          <w:szCs w:val="24"/>
          <w:lang w:val="en-AU" w:eastAsia="en-AU"/>
        </w:rPr>
        <w:t xml:space="preserve"> the regulations to prescribe</w:t>
      </w:r>
      <w:r w:rsidR="001939DF">
        <w:rPr>
          <w:rFonts w:ascii="Times New Roman" w:eastAsia="Times New Roman" w:hAnsi="Times New Roman" w:cs="Times New Roman"/>
          <w:sz w:val="24"/>
          <w:szCs w:val="24"/>
          <w:lang w:val="en-AU" w:eastAsia="en-AU"/>
        </w:rPr>
        <w:t xml:space="preserve"> criteria and requirements for making a valid application</w:t>
      </w:r>
      <w:r w:rsidR="001C2484">
        <w:rPr>
          <w:rFonts w:ascii="Times New Roman" w:eastAsia="Times New Roman" w:hAnsi="Times New Roman" w:cs="Times New Roman"/>
          <w:sz w:val="24"/>
          <w:szCs w:val="24"/>
          <w:lang w:val="en-AU" w:eastAsia="en-AU"/>
        </w:rPr>
        <w:t xml:space="preserve"> for a visa</w:t>
      </w:r>
      <w:r>
        <w:rPr>
          <w:rFonts w:ascii="Times New Roman" w:eastAsia="Times New Roman" w:hAnsi="Times New Roman" w:cs="Times New Roman"/>
          <w:sz w:val="24"/>
          <w:szCs w:val="24"/>
          <w:lang w:val="en-AU" w:eastAsia="en-AU"/>
        </w:rPr>
        <w:t>.</w:t>
      </w:r>
    </w:p>
    <w:p w14:paraId="28729945" w14:textId="77777777" w:rsidR="003929D9" w:rsidRPr="00FA4F3D"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p>
    <w:p w14:paraId="475075F6" w14:textId="6B4B371F" w:rsidR="001C2484" w:rsidRPr="001C2484" w:rsidRDefault="003929D9" w:rsidP="001C2484">
      <w:pPr>
        <w:rPr>
          <w:rFonts w:ascii="Times New Roman" w:hAnsi="Times New Roman" w:cs="Times New Roman"/>
          <w:sz w:val="24"/>
          <w:szCs w:val="24"/>
        </w:rPr>
      </w:pPr>
      <w:r w:rsidRPr="001C2484">
        <w:rPr>
          <w:rFonts w:ascii="Times New Roman" w:hAnsi="Times New Roman" w:cs="Times New Roman"/>
          <w:sz w:val="24"/>
          <w:szCs w:val="24"/>
        </w:rPr>
        <w:t xml:space="preserve">The </w:t>
      </w:r>
      <w:r w:rsidRPr="001C2484">
        <w:rPr>
          <w:rFonts w:ascii="Times New Roman" w:hAnsi="Times New Roman" w:cs="Times New Roman"/>
          <w:i/>
          <w:sz w:val="24"/>
          <w:szCs w:val="24"/>
        </w:rPr>
        <w:t>Migration Amendment (</w:t>
      </w:r>
      <w:r w:rsidR="001C2484" w:rsidRPr="001C2484">
        <w:rPr>
          <w:rFonts w:ascii="Times New Roman" w:hAnsi="Times New Roman" w:cs="Times New Roman"/>
          <w:i/>
          <w:sz w:val="24"/>
          <w:szCs w:val="24"/>
        </w:rPr>
        <w:t>Occupation Nomination and Skills Assessment f</w:t>
      </w:r>
      <w:r w:rsidR="001C2484">
        <w:rPr>
          <w:rFonts w:ascii="Times New Roman" w:hAnsi="Times New Roman" w:cs="Times New Roman"/>
          <w:i/>
          <w:sz w:val="24"/>
          <w:szCs w:val="24"/>
        </w:rPr>
        <w:t>or</w:t>
      </w:r>
      <w:r w:rsidR="001C2484" w:rsidRPr="001C2484">
        <w:rPr>
          <w:rFonts w:ascii="Times New Roman" w:hAnsi="Times New Roman" w:cs="Times New Roman"/>
          <w:i/>
          <w:sz w:val="24"/>
          <w:szCs w:val="24"/>
        </w:rPr>
        <w:t xml:space="preserve"> Subclass 485 Visas)</w:t>
      </w:r>
      <w:r w:rsidRPr="001C2484">
        <w:rPr>
          <w:rFonts w:ascii="Times New Roman" w:hAnsi="Times New Roman" w:cs="Times New Roman"/>
          <w:i/>
          <w:sz w:val="24"/>
          <w:szCs w:val="24"/>
        </w:rPr>
        <w:t xml:space="preserve"> Regulations 2022</w:t>
      </w:r>
      <w:r w:rsidRPr="001C2484">
        <w:rPr>
          <w:rFonts w:ascii="Times New Roman" w:hAnsi="Times New Roman" w:cs="Times New Roman"/>
          <w:sz w:val="24"/>
          <w:szCs w:val="24"/>
        </w:rPr>
        <w:t xml:space="preserve"> (the Regulations) amend the </w:t>
      </w:r>
      <w:r w:rsidRPr="001C2484">
        <w:rPr>
          <w:rFonts w:ascii="Times New Roman" w:hAnsi="Times New Roman" w:cs="Times New Roman"/>
          <w:i/>
          <w:sz w:val="24"/>
          <w:szCs w:val="24"/>
        </w:rPr>
        <w:t>Migration Regulations 1994</w:t>
      </w:r>
      <w:r w:rsidRPr="001C2484">
        <w:rPr>
          <w:rFonts w:ascii="Times New Roman" w:hAnsi="Times New Roman" w:cs="Times New Roman"/>
          <w:sz w:val="24"/>
          <w:szCs w:val="24"/>
        </w:rPr>
        <w:t xml:space="preserve"> (the Migration Regulations)</w:t>
      </w:r>
      <w:r w:rsidR="001C2484" w:rsidRPr="001C2484">
        <w:rPr>
          <w:rFonts w:ascii="Times New Roman" w:hAnsi="Times New Roman" w:cs="Times New Roman"/>
          <w:sz w:val="24"/>
          <w:szCs w:val="24"/>
        </w:rPr>
        <w:t xml:space="preserve"> to temporarily remove the requirements for applicants for a Subclass 485 (Temporary Graduate) visa in the Graduate Work stream to nominate an eligible skilled occupation and</w:t>
      </w:r>
      <w:r w:rsidR="00A2654A">
        <w:rPr>
          <w:rFonts w:ascii="Times New Roman" w:hAnsi="Times New Roman" w:cs="Times New Roman"/>
          <w:sz w:val="24"/>
          <w:szCs w:val="24"/>
        </w:rPr>
        <w:t xml:space="preserve"> to</w:t>
      </w:r>
      <w:r w:rsidR="001C2484" w:rsidRPr="001C2484">
        <w:rPr>
          <w:rFonts w:ascii="Times New Roman" w:hAnsi="Times New Roman" w:cs="Times New Roman"/>
          <w:sz w:val="24"/>
          <w:szCs w:val="24"/>
        </w:rPr>
        <w:t xml:space="preserve"> obtain an assessment of the applicant’s skills in relation to the occupation. These requirements </w:t>
      </w:r>
      <w:r w:rsidR="001C2484">
        <w:rPr>
          <w:rFonts w:ascii="Times New Roman" w:hAnsi="Times New Roman" w:cs="Times New Roman"/>
          <w:sz w:val="24"/>
          <w:szCs w:val="24"/>
        </w:rPr>
        <w:t>do</w:t>
      </w:r>
      <w:r w:rsidR="001C2484" w:rsidRPr="001C2484">
        <w:rPr>
          <w:rFonts w:ascii="Times New Roman" w:hAnsi="Times New Roman" w:cs="Times New Roman"/>
          <w:sz w:val="24"/>
          <w:szCs w:val="24"/>
        </w:rPr>
        <w:t xml:space="preserve"> not apply in respect of applications made between 1 July 2022 and 30 June 2023 (inclusive). The amendments also include provision to extend this date beyond 30 June 2023 to a date specified by the Minister in a legislative instrument, if it becomes appropriate to do so under prevailing economic conditions. </w:t>
      </w:r>
    </w:p>
    <w:p w14:paraId="74CA319C" w14:textId="77777777" w:rsidR="001C2484" w:rsidRPr="001C2484" w:rsidRDefault="001C2484" w:rsidP="001C2484">
      <w:pPr>
        <w:rPr>
          <w:rFonts w:ascii="Times New Roman" w:hAnsi="Times New Roman" w:cs="Times New Roman"/>
          <w:i/>
          <w:sz w:val="24"/>
          <w:szCs w:val="24"/>
        </w:rPr>
      </w:pPr>
      <w:r w:rsidRPr="001C2484">
        <w:rPr>
          <w:rFonts w:ascii="Times New Roman" w:hAnsi="Times New Roman" w:cs="Times New Roman"/>
          <w:sz w:val="24"/>
          <w:szCs w:val="24"/>
        </w:rPr>
        <w:t>These amendments would encourage a broader range of graduates with degree, diploma and trade qualifications that satisfy the Australian study requirement but are not currently eligible for the Subclass 485 visa in the Graduate Work stream as their related occupations are not included in the current list of specified eligible occupations, to live and work in Australia for a further temporary period.</w:t>
      </w:r>
    </w:p>
    <w:p w14:paraId="15802410" w14:textId="1FC5715D" w:rsidR="003929D9" w:rsidRDefault="003929D9" w:rsidP="001C2484">
      <w:pPr>
        <w:spacing w:line="240" w:lineRule="auto"/>
        <w:rPr>
          <w:rFonts w:ascii="Times New Roman" w:hAnsi="Times New Roman" w:cs="Times New Roman"/>
          <w:sz w:val="24"/>
          <w:szCs w:val="24"/>
        </w:rPr>
      </w:pPr>
    </w:p>
    <w:p w14:paraId="749AADDC" w14:textId="62EF6887" w:rsidR="001C2484" w:rsidRDefault="001C2484" w:rsidP="001C2484">
      <w:pPr>
        <w:spacing w:line="240" w:lineRule="auto"/>
        <w:rPr>
          <w:rFonts w:ascii="Times New Roman" w:hAnsi="Times New Roman" w:cs="Times New Roman"/>
          <w:sz w:val="24"/>
          <w:szCs w:val="24"/>
        </w:rPr>
      </w:pPr>
    </w:p>
    <w:p w14:paraId="1589E354" w14:textId="6229E42F" w:rsidR="001C2484" w:rsidRDefault="001C2484" w:rsidP="001C2484">
      <w:pPr>
        <w:spacing w:line="240" w:lineRule="auto"/>
        <w:rPr>
          <w:rFonts w:ascii="Times New Roman" w:hAnsi="Times New Roman" w:cs="Times New Roman"/>
          <w:sz w:val="24"/>
          <w:szCs w:val="24"/>
        </w:rPr>
      </w:pPr>
    </w:p>
    <w:p w14:paraId="7C23C799" w14:textId="77777777" w:rsidR="001C2484" w:rsidRDefault="001C2484" w:rsidP="001C2484">
      <w:pPr>
        <w:spacing w:line="240" w:lineRule="auto"/>
        <w:rPr>
          <w:rFonts w:ascii="Times New Roman" w:hAnsi="Times New Roman" w:cs="Times New Roman"/>
          <w:sz w:val="24"/>
          <w:szCs w:val="24"/>
        </w:rPr>
      </w:pPr>
    </w:p>
    <w:p w14:paraId="6FF4450A" w14:textId="77777777"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ma</w:t>
      </w:r>
      <w:r w:rsidRPr="00992909">
        <w:rPr>
          <w:rFonts w:ascii="Times New Roman" w:hAnsi="Times New Roman" w:cs="Times New Roman"/>
          <w:sz w:val="24"/>
          <w:szCs w:val="24"/>
        </w:rPr>
        <w:t>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w:t>
      </w:r>
    </w:p>
    <w:p w14:paraId="09097890" w14:textId="15E702DC"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r w:rsidR="00FE04E3">
        <w:rPr>
          <w:rFonts w:ascii="Times New Roman" w:hAnsi="Times New Roman" w:cs="Times New Roman"/>
          <w:sz w:val="24"/>
          <w:szCs w:val="24"/>
        </w:rPr>
        <w:t xml:space="preserve"> and economic conditions</w:t>
      </w:r>
      <w:r>
        <w:rPr>
          <w:rFonts w:ascii="Times New Roman" w:hAnsi="Times New Roman" w:cs="Times New Roman"/>
          <w:sz w:val="24"/>
          <w:szCs w:val="24"/>
        </w:rPr>
        <w:t>.</w:t>
      </w:r>
    </w:p>
    <w:p w14:paraId="4B62DD64" w14:textId="01AD2C2D"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(the Statement) has been completed in accordance with the </w:t>
      </w:r>
      <w:r w:rsidRPr="00C47406">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overall assessment is that the Regulations are compatible with human rights. The Statement is at </w:t>
      </w:r>
      <w:r w:rsidRPr="00992909">
        <w:rPr>
          <w:rFonts w:ascii="Times New Roman" w:hAnsi="Times New Roman" w:cs="Times New Roman"/>
          <w:sz w:val="24"/>
          <w:szCs w:val="24"/>
          <w:u w:val="single"/>
        </w:rPr>
        <w:t xml:space="preserve">Attachment </w:t>
      </w:r>
      <w:r w:rsidR="00FE04E3">
        <w:rPr>
          <w:rFonts w:ascii="Times New Roman" w:hAnsi="Times New Roman" w:cs="Times New Roman"/>
          <w:sz w:val="24"/>
          <w:szCs w:val="24"/>
          <w:u w:val="single"/>
        </w:rPr>
        <w:t>A</w:t>
      </w:r>
      <w:r>
        <w:rPr>
          <w:rFonts w:ascii="Times New Roman" w:hAnsi="Times New Roman" w:cs="Times New Roman"/>
          <w:sz w:val="24"/>
          <w:szCs w:val="24"/>
        </w:rPr>
        <w:t>.</w:t>
      </w:r>
    </w:p>
    <w:p w14:paraId="2AD41E32" w14:textId="3724E639"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Office of Best Practice (OBPR) has been consulted in relation to the amendments. No Regulation Impact Statement is required. The OBPR consultation reference </w:t>
      </w:r>
      <w:r w:rsidR="00FA2A98">
        <w:rPr>
          <w:rFonts w:ascii="Times New Roman" w:hAnsi="Times New Roman" w:cs="Times New Roman"/>
          <w:sz w:val="24"/>
          <w:szCs w:val="24"/>
        </w:rPr>
        <w:t>is OBPR22-01569.</w:t>
      </w:r>
    </w:p>
    <w:p w14:paraId="188A8C50" w14:textId="6B78CCD5" w:rsidR="00FA2A98" w:rsidRPr="00FA2A98" w:rsidRDefault="00FA2A98" w:rsidP="00FA2A98">
      <w:pPr>
        <w:tabs>
          <w:tab w:val="left" w:pos="6521"/>
        </w:tabs>
        <w:ind w:right="521"/>
        <w:rPr>
          <w:rFonts w:ascii="Times New Roman" w:hAnsi="Times New Roman" w:cs="Times New Roman"/>
          <w:i/>
          <w:color w:val="000000" w:themeColor="text1"/>
          <w:sz w:val="24"/>
          <w:szCs w:val="24"/>
        </w:rPr>
      </w:pPr>
      <w:r w:rsidRPr="00FA2A98">
        <w:rPr>
          <w:rFonts w:ascii="Times New Roman" w:hAnsi="Times New Roman" w:cs="Times New Roman"/>
          <w:color w:val="000000" w:themeColor="text1"/>
          <w:sz w:val="24"/>
          <w:szCs w:val="24"/>
        </w:rPr>
        <w:t xml:space="preserve">The Department of Education, Skills and Employment and Trades Recognition Australia were consulted in relation to the regulations. This accords with subsection 17(1) of the </w:t>
      </w:r>
      <w:r w:rsidRPr="00FA2A98">
        <w:rPr>
          <w:rFonts w:ascii="Times New Roman" w:hAnsi="Times New Roman" w:cs="Times New Roman"/>
          <w:i/>
          <w:color w:val="000000" w:themeColor="text1"/>
          <w:sz w:val="24"/>
          <w:szCs w:val="24"/>
        </w:rPr>
        <w:t>Legislation Act</w:t>
      </w:r>
      <w:r w:rsidR="00872BEF">
        <w:rPr>
          <w:rFonts w:ascii="Times New Roman" w:hAnsi="Times New Roman" w:cs="Times New Roman"/>
          <w:i/>
          <w:color w:val="000000" w:themeColor="text1"/>
          <w:sz w:val="24"/>
          <w:szCs w:val="24"/>
        </w:rPr>
        <w:t xml:space="preserve"> </w:t>
      </w:r>
      <w:r w:rsidR="00872BEF">
        <w:rPr>
          <w:rFonts w:ascii="Times New Roman" w:hAnsi="Times New Roman" w:cs="Times New Roman"/>
          <w:color w:val="000000" w:themeColor="text1"/>
          <w:sz w:val="24"/>
          <w:szCs w:val="24"/>
        </w:rPr>
        <w:t>(the Legislation Act)</w:t>
      </w:r>
      <w:r w:rsidRPr="00FA2A98">
        <w:rPr>
          <w:rFonts w:ascii="Times New Roman" w:hAnsi="Times New Roman" w:cs="Times New Roman"/>
          <w:i/>
          <w:color w:val="000000" w:themeColor="text1"/>
          <w:sz w:val="24"/>
          <w:szCs w:val="24"/>
        </w:rPr>
        <w:t>.</w:t>
      </w:r>
    </w:p>
    <w:p w14:paraId="58360CB7" w14:textId="00BB37AB" w:rsidR="003929D9" w:rsidRDefault="00FA2A98" w:rsidP="003929D9">
      <w:pPr>
        <w:spacing w:line="240" w:lineRule="auto"/>
        <w:rPr>
          <w:rFonts w:ascii="Times New Roman" w:hAnsi="Times New Roman" w:cs="Times New Roman"/>
          <w:sz w:val="24"/>
          <w:szCs w:val="24"/>
        </w:rPr>
      </w:pPr>
      <w:r>
        <w:rPr>
          <w:rFonts w:ascii="Times New Roman" w:hAnsi="Times New Roman" w:cs="Times New Roman"/>
          <w:sz w:val="24"/>
          <w:szCs w:val="24"/>
        </w:rPr>
        <w:t>The amendments commence on 1 July 2022 to align with required systems changes.</w:t>
      </w:r>
    </w:p>
    <w:p w14:paraId="2C929B81" w14:textId="5631A2CD"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 xml:space="preserve">Further details of the Regulations are set out in </w:t>
      </w:r>
      <w:r w:rsidRPr="00411C07">
        <w:rPr>
          <w:rFonts w:ascii="Times New Roman" w:hAnsi="Times New Roman" w:cs="Times New Roman"/>
          <w:sz w:val="24"/>
          <w:szCs w:val="24"/>
          <w:u w:val="single"/>
        </w:rPr>
        <w:t xml:space="preserve">Attachment </w:t>
      </w:r>
      <w:r w:rsidR="00FA2A98">
        <w:rPr>
          <w:rFonts w:ascii="Times New Roman" w:hAnsi="Times New Roman" w:cs="Times New Roman"/>
          <w:sz w:val="24"/>
          <w:szCs w:val="24"/>
          <w:u w:val="single"/>
        </w:rPr>
        <w:t>B</w:t>
      </w:r>
      <w:r>
        <w:rPr>
          <w:rFonts w:ascii="Times New Roman" w:hAnsi="Times New Roman" w:cs="Times New Roman"/>
          <w:sz w:val="24"/>
          <w:szCs w:val="24"/>
        </w:rPr>
        <w:t>.</w:t>
      </w:r>
    </w:p>
    <w:p w14:paraId="0F64613C" w14:textId="0C6BC05D"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The Regulations are a legislative instrument for the purposes of the</w:t>
      </w:r>
      <w:r w:rsidR="00504A96">
        <w:rPr>
          <w:rFonts w:ascii="Times New Roman" w:hAnsi="Times New Roman" w:cs="Times New Roman"/>
          <w:sz w:val="24"/>
          <w:szCs w:val="24"/>
        </w:rPr>
        <w:t xml:space="preserve"> Legislation Act</w:t>
      </w:r>
      <w:r>
        <w:rPr>
          <w:rFonts w:ascii="Times New Roman" w:hAnsi="Times New Roman" w:cs="Times New Roman"/>
          <w:sz w:val="24"/>
          <w:szCs w:val="24"/>
        </w:rPr>
        <w:t>.</w:t>
      </w:r>
    </w:p>
    <w:p w14:paraId="23A4F462" w14:textId="02E56C4D" w:rsidR="00A2654A" w:rsidRDefault="00A2654A" w:rsidP="003929D9">
      <w:pPr>
        <w:spacing w:line="240" w:lineRule="auto"/>
        <w:rPr>
          <w:rFonts w:ascii="Times New Roman" w:hAnsi="Times New Roman" w:cs="Times New Roman"/>
          <w:sz w:val="24"/>
          <w:szCs w:val="24"/>
        </w:rPr>
      </w:pPr>
    </w:p>
    <w:p w14:paraId="36787793" w14:textId="5A28AECB" w:rsidR="00A2654A" w:rsidRDefault="00A2654A" w:rsidP="003929D9">
      <w:pPr>
        <w:spacing w:line="240" w:lineRule="auto"/>
        <w:rPr>
          <w:rFonts w:ascii="Times New Roman" w:hAnsi="Times New Roman" w:cs="Times New Roman"/>
          <w:sz w:val="24"/>
          <w:szCs w:val="24"/>
        </w:rPr>
      </w:pPr>
    </w:p>
    <w:p w14:paraId="65C67E0E" w14:textId="440126C9" w:rsidR="00A2654A" w:rsidRDefault="00A2654A" w:rsidP="003929D9">
      <w:pPr>
        <w:spacing w:line="240" w:lineRule="auto"/>
        <w:rPr>
          <w:rFonts w:ascii="Times New Roman" w:hAnsi="Times New Roman" w:cs="Times New Roman"/>
          <w:sz w:val="24"/>
          <w:szCs w:val="24"/>
        </w:rPr>
      </w:pPr>
    </w:p>
    <w:p w14:paraId="7B39BEFD" w14:textId="250BE798" w:rsidR="00A2654A" w:rsidRDefault="00A2654A" w:rsidP="003929D9">
      <w:pPr>
        <w:spacing w:line="240" w:lineRule="auto"/>
        <w:rPr>
          <w:rFonts w:ascii="Times New Roman" w:hAnsi="Times New Roman" w:cs="Times New Roman"/>
          <w:sz w:val="24"/>
          <w:szCs w:val="24"/>
        </w:rPr>
      </w:pPr>
    </w:p>
    <w:p w14:paraId="54C08B15" w14:textId="0E793D1C" w:rsidR="00A2654A" w:rsidRDefault="00A2654A" w:rsidP="003929D9">
      <w:pPr>
        <w:spacing w:line="240" w:lineRule="auto"/>
        <w:rPr>
          <w:rFonts w:ascii="Times New Roman" w:hAnsi="Times New Roman" w:cs="Times New Roman"/>
          <w:sz w:val="24"/>
          <w:szCs w:val="24"/>
        </w:rPr>
      </w:pPr>
    </w:p>
    <w:p w14:paraId="5C2A23B3" w14:textId="2623BD57" w:rsidR="00A2654A" w:rsidRDefault="00A2654A" w:rsidP="003929D9">
      <w:pPr>
        <w:spacing w:line="240" w:lineRule="auto"/>
        <w:rPr>
          <w:rFonts w:ascii="Times New Roman" w:hAnsi="Times New Roman" w:cs="Times New Roman"/>
          <w:sz w:val="24"/>
          <w:szCs w:val="24"/>
        </w:rPr>
      </w:pPr>
    </w:p>
    <w:p w14:paraId="44238B9F" w14:textId="587FD292" w:rsidR="00A2654A" w:rsidRDefault="00A2654A" w:rsidP="003929D9">
      <w:pPr>
        <w:spacing w:line="240" w:lineRule="auto"/>
        <w:rPr>
          <w:rFonts w:ascii="Times New Roman" w:hAnsi="Times New Roman" w:cs="Times New Roman"/>
          <w:sz w:val="24"/>
          <w:szCs w:val="24"/>
        </w:rPr>
      </w:pPr>
    </w:p>
    <w:p w14:paraId="3ABE1DAE" w14:textId="59023756" w:rsidR="00A2654A" w:rsidRDefault="00A2654A" w:rsidP="003929D9">
      <w:pPr>
        <w:spacing w:line="240" w:lineRule="auto"/>
        <w:rPr>
          <w:rFonts w:ascii="Times New Roman" w:hAnsi="Times New Roman" w:cs="Times New Roman"/>
          <w:sz w:val="24"/>
          <w:szCs w:val="24"/>
        </w:rPr>
      </w:pPr>
    </w:p>
    <w:p w14:paraId="4511C558" w14:textId="53ED0EE3" w:rsidR="00A2654A" w:rsidRDefault="00A2654A" w:rsidP="003929D9">
      <w:pPr>
        <w:spacing w:line="240" w:lineRule="auto"/>
        <w:rPr>
          <w:rFonts w:ascii="Times New Roman" w:hAnsi="Times New Roman" w:cs="Times New Roman"/>
          <w:sz w:val="24"/>
          <w:szCs w:val="24"/>
        </w:rPr>
      </w:pPr>
    </w:p>
    <w:p w14:paraId="4860EDA3" w14:textId="4CB28B2F" w:rsidR="00A2654A" w:rsidRDefault="00A2654A" w:rsidP="003929D9">
      <w:pPr>
        <w:spacing w:line="240" w:lineRule="auto"/>
        <w:rPr>
          <w:rFonts w:ascii="Times New Roman" w:hAnsi="Times New Roman" w:cs="Times New Roman"/>
          <w:sz w:val="24"/>
          <w:szCs w:val="24"/>
        </w:rPr>
      </w:pPr>
    </w:p>
    <w:p w14:paraId="78926E2D" w14:textId="13546B07" w:rsidR="00A2654A" w:rsidRDefault="00A2654A" w:rsidP="003929D9">
      <w:pPr>
        <w:spacing w:line="240" w:lineRule="auto"/>
        <w:rPr>
          <w:rFonts w:ascii="Times New Roman" w:hAnsi="Times New Roman" w:cs="Times New Roman"/>
          <w:sz w:val="24"/>
          <w:szCs w:val="24"/>
        </w:rPr>
      </w:pPr>
    </w:p>
    <w:p w14:paraId="289A96A1" w14:textId="2EF1931D" w:rsidR="00A2654A" w:rsidRDefault="00A2654A" w:rsidP="003929D9">
      <w:pPr>
        <w:spacing w:line="240" w:lineRule="auto"/>
        <w:rPr>
          <w:rFonts w:ascii="Times New Roman" w:hAnsi="Times New Roman" w:cs="Times New Roman"/>
          <w:sz w:val="24"/>
          <w:szCs w:val="24"/>
        </w:rPr>
      </w:pPr>
    </w:p>
    <w:p w14:paraId="04A58E97" w14:textId="2D07D05B" w:rsidR="00A2654A" w:rsidRDefault="00A2654A" w:rsidP="003929D9">
      <w:pPr>
        <w:spacing w:line="240" w:lineRule="auto"/>
        <w:rPr>
          <w:rFonts w:ascii="Times New Roman" w:hAnsi="Times New Roman" w:cs="Times New Roman"/>
          <w:sz w:val="24"/>
          <w:szCs w:val="24"/>
        </w:rPr>
      </w:pPr>
    </w:p>
    <w:p w14:paraId="751370CA" w14:textId="77777777" w:rsidR="00043A0B" w:rsidRDefault="00043A0B" w:rsidP="003929D9">
      <w:pPr>
        <w:spacing w:before="240" w:after="0" w:line="240" w:lineRule="auto"/>
        <w:jc w:val="right"/>
        <w:rPr>
          <w:rFonts w:ascii="Times New Roman" w:eastAsiaTheme="minorEastAsia" w:hAnsi="Times New Roman" w:cs="Times New Roman"/>
          <w:b/>
          <w:sz w:val="24"/>
          <w:szCs w:val="24"/>
          <w:u w:val="single"/>
          <w:lang w:val="en-AU" w:eastAsia="en-AU"/>
        </w:rPr>
      </w:pPr>
    </w:p>
    <w:p w14:paraId="24B11444" w14:textId="68F0B317" w:rsidR="003929D9" w:rsidRDefault="003929D9" w:rsidP="003929D9">
      <w:pPr>
        <w:spacing w:before="240" w:after="0" w:line="240" w:lineRule="auto"/>
        <w:jc w:val="right"/>
        <w:rPr>
          <w:rFonts w:ascii="Times New Roman" w:eastAsiaTheme="minorEastAsia" w:hAnsi="Times New Roman" w:cs="Times New Roman"/>
          <w:b/>
          <w:sz w:val="24"/>
          <w:szCs w:val="24"/>
          <w:u w:val="single"/>
          <w:lang w:val="en-AU" w:eastAsia="en-AU"/>
        </w:rPr>
      </w:pPr>
      <w:r>
        <w:rPr>
          <w:rFonts w:ascii="Times New Roman" w:eastAsiaTheme="minorEastAsia" w:hAnsi="Times New Roman" w:cs="Times New Roman"/>
          <w:b/>
          <w:sz w:val="24"/>
          <w:szCs w:val="24"/>
          <w:u w:val="single"/>
          <w:lang w:val="en-AU" w:eastAsia="en-AU"/>
        </w:rPr>
        <w:lastRenderedPageBreak/>
        <w:t xml:space="preserve">ATTACHMENT </w:t>
      </w:r>
      <w:r w:rsidR="00FA2A98">
        <w:rPr>
          <w:rFonts w:ascii="Times New Roman" w:eastAsiaTheme="minorEastAsia" w:hAnsi="Times New Roman" w:cs="Times New Roman"/>
          <w:b/>
          <w:sz w:val="24"/>
          <w:szCs w:val="24"/>
          <w:u w:val="single"/>
          <w:lang w:val="en-AU" w:eastAsia="en-AU"/>
        </w:rPr>
        <w:t>A</w:t>
      </w:r>
    </w:p>
    <w:p w14:paraId="50018536" w14:textId="77777777" w:rsidR="0095553C" w:rsidRPr="0095553C" w:rsidRDefault="0095553C" w:rsidP="0095553C">
      <w:pPr>
        <w:keepNext/>
        <w:keepLines/>
        <w:spacing w:before="120" w:after="120"/>
        <w:jc w:val="center"/>
        <w:outlineLvl w:val="1"/>
        <w:rPr>
          <w:rFonts w:ascii="Times New Roman" w:hAnsi="Times New Roman" w:cs="Times New Roman"/>
          <w:b/>
          <w:bCs/>
          <w:sz w:val="24"/>
          <w:szCs w:val="24"/>
        </w:rPr>
      </w:pPr>
      <w:r w:rsidRPr="0095553C">
        <w:rPr>
          <w:rFonts w:ascii="Times New Roman" w:hAnsi="Times New Roman" w:cs="Times New Roman"/>
          <w:b/>
          <w:bCs/>
          <w:sz w:val="24"/>
          <w:szCs w:val="24"/>
        </w:rPr>
        <w:t>Statement of Compatibility with Human Rights</w:t>
      </w:r>
    </w:p>
    <w:p w14:paraId="65605A6E" w14:textId="77777777" w:rsidR="0095553C" w:rsidRPr="0095553C" w:rsidRDefault="0095553C" w:rsidP="0095553C">
      <w:pPr>
        <w:spacing w:before="120" w:after="120"/>
        <w:ind w:right="91"/>
        <w:jc w:val="center"/>
        <w:rPr>
          <w:rFonts w:ascii="Times New Roman" w:hAnsi="Times New Roman" w:cs="Times New Roman"/>
          <w:i/>
          <w:iCs/>
          <w:sz w:val="24"/>
          <w:szCs w:val="24"/>
        </w:rPr>
      </w:pPr>
      <w:r w:rsidRPr="0095553C">
        <w:rPr>
          <w:rFonts w:ascii="Times New Roman" w:hAnsi="Times New Roman" w:cs="Times New Roman"/>
          <w:i/>
          <w:iCs/>
          <w:sz w:val="24"/>
          <w:szCs w:val="24"/>
        </w:rPr>
        <w:t>Prepared in accordance with Part 3 of the Human Rights (Parliamentary Scrutiny) Act 2011</w:t>
      </w:r>
    </w:p>
    <w:p w14:paraId="2C87E73D" w14:textId="77777777" w:rsidR="0095553C" w:rsidRDefault="0095553C" w:rsidP="0095553C">
      <w:pPr>
        <w:spacing w:before="120" w:after="120"/>
        <w:ind w:right="91"/>
        <w:jc w:val="center"/>
        <w:rPr>
          <w:rFonts w:ascii="Times New Roman" w:hAnsi="Times New Roman" w:cs="Times New Roman"/>
          <w:i/>
          <w:sz w:val="24"/>
          <w:szCs w:val="24"/>
        </w:rPr>
      </w:pPr>
    </w:p>
    <w:p w14:paraId="35C878C0" w14:textId="7705973D" w:rsidR="0095553C" w:rsidRPr="0095553C" w:rsidRDefault="0095553C" w:rsidP="0095553C">
      <w:pPr>
        <w:spacing w:before="120" w:after="120"/>
        <w:ind w:right="91"/>
        <w:jc w:val="center"/>
        <w:rPr>
          <w:rFonts w:ascii="Times New Roman" w:hAnsi="Times New Roman" w:cs="Times New Roman"/>
          <w:b/>
          <w:sz w:val="24"/>
          <w:szCs w:val="24"/>
        </w:rPr>
      </w:pPr>
      <w:r w:rsidRPr="0095553C">
        <w:rPr>
          <w:rFonts w:ascii="Times New Roman" w:hAnsi="Times New Roman" w:cs="Times New Roman"/>
          <w:i/>
          <w:sz w:val="24"/>
          <w:szCs w:val="24"/>
        </w:rPr>
        <w:t>Migration Amendment (Occupation Nomination and Skills Assessment for Subclass 485 Visas) Regulations 2022</w:t>
      </w:r>
    </w:p>
    <w:p w14:paraId="66CD30C5" w14:textId="12466905" w:rsidR="0095553C" w:rsidRPr="0095553C" w:rsidRDefault="0095553C" w:rsidP="0095553C">
      <w:pPr>
        <w:ind w:right="91"/>
        <w:jc w:val="center"/>
        <w:rPr>
          <w:rFonts w:ascii="Times New Roman" w:hAnsi="Times New Roman" w:cs="Times New Roman"/>
          <w:b/>
          <w:bCs/>
          <w:i/>
          <w:iCs/>
          <w:sz w:val="24"/>
          <w:szCs w:val="24"/>
        </w:rPr>
      </w:pPr>
      <w:r>
        <w:rPr>
          <w:rFonts w:ascii="Times New Roman" w:hAnsi="Times New Roman" w:cs="Times New Roman"/>
          <w:sz w:val="24"/>
          <w:szCs w:val="24"/>
        </w:rPr>
        <w:t>T</w:t>
      </w:r>
      <w:r w:rsidRPr="0095553C">
        <w:rPr>
          <w:rFonts w:ascii="Times New Roman" w:hAnsi="Times New Roman" w:cs="Times New Roman"/>
          <w:sz w:val="24"/>
          <w:szCs w:val="24"/>
        </w:rPr>
        <w:t xml:space="preserve">he </w:t>
      </w:r>
      <w:r w:rsidRPr="0095553C">
        <w:rPr>
          <w:rFonts w:ascii="Times New Roman" w:hAnsi="Times New Roman" w:cs="Times New Roman"/>
          <w:i/>
          <w:sz w:val="24"/>
          <w:szCs w:val="24"/>
        </w:rPr>
        <w:t>Migration Amendment (Occupation Nomination and Skills Assessment for Subclass 485 Visas) Regulations 2022</w:t>
      </w:r>
      <w:r w:rsidRPr="0095553C">
        <w:rPr>
          <w:rFonts w:ascii="Times New Roman" w:hAnsi="Times New Roman" w:cs="Times New Roman"/>
          <w:b/>
          <w:bCs/>
          <w:i/>
          <w:iCs/>
          <w:sz w:val="24"/>
          <w:szCs w:val="24"/>
        </w:rPr>
        <w:t xml:space="preserve"> </w:t>
      </w:r>
      <w:r w:rsidRPr="0095553C">
        <w:rPr>
          <w:rFonts w:ascii="Times New Roman" w:hAnsi="Times New Roman" w:cs="Times New Roman"/>
          <w:b/>
          <w:bCs/>
          <w:sz w:val="24"/>
          <w:szCs w:val="24"/>
        </w:rPr>
        <w:t>(</w:t>
      </w:r>
      <w:r w:rsidRPr="0095553C">
        <w:rPr>
          <w:rFonts w:ascii="Times New Roman" w:hAnsi="Times New Roman" w:cs="Times New Roman"/>
          <w:sz w:val="24"/>
          <w:szCs w:val="24"/>
        </w:rPr>
        <w:t xml:space="preserve">the Amendment Regulations) are compatible with the human rights and freedoms </w:t>
      </w:r>
      <w:proofErr w:type="spellStart"/>
      <w:r w:rsidRPr="0095553C">
        <w:rPr>
          <w:rFonts w:ascii="Times New Roman" w:hAnsi="Times New Roman" w:cs="Times New Roman"/>
          <w:sz w:val="24"/>
          <w:szCs w:val="24"/>
        </w:rPr>
        <w:t>recognised</w:t>
      </w:r>
      <w:proofErr w:type="spellEnd"/>
      <w:r w:rsidRPr="0095553C">
        <w:rPr>
          <w:rFonts w:ascii="Times New Roman" w:hAnsi="Times New Roman" w:cs="Times New Roman"/>
          <w:sz w:val="24"/>
          <w:szCs w:val="24"/>
        </w:rPr>
        <w:t xml:space="preserve"> or declared in the international instruments listed in section 3 of the </w:t>
      </w:r>
      <w:r w:rsidRPr="0095553C">
        <w:rPr>
          <w:rFonts w:ascii="Times New Roman" w:hAnsi="Times New Roman" w:cs="Times New Roman"/>
          <w:i/>
          <w:iCs/>
          <w:sz w:val="24"/>
          <w:szCs w:val="24"/>
        </w:rPr>
        <w:t>Human Rights (Parliamentary Scrutiny) Act 2011</w:t>
      </w:r>
      <w:r w:rsidRPr="0095553C">
        <w:rPr>
          <w:rFonts w:ascii="Times New Roman" w:hAnsi="Times New Roman" w:cs="Times New Roman"/>
          <w:sz w:val="24"/>
          <w:szCs w:val="24"/>
        </w:rPr>
        <w:t>.</w:t>
      </w:r>
    </w:p>
    <w:p w14:paraId="68D4D94B" w14:textId="77777777" w:rsidR="0095553C" w:rsidRPr="0095553C" w:rsidRDefault="0095553C" w:rsidP="0095553C">
      <w:pPr>
        <w:spacing w:before="120" w:after="120"/>
        <w:ind w:right="91"/>
        <w:rPr>
          <w:rFonts w:ascii="Times New Roman" w:hAnsi="Times New Roman" w:cs="Times New Roman"/>
          <w:sz w:val="24"/>
          <w:szCs w:val="24"/>
        </w:rPr>
      </w:pPr>
    </w:p>
    <w:p w14:paraId="48A10962" w14:textId="77777777" w:rsidR="0095553C" w:rsidRPr="0095553C" w:rsidRDefault="0095553C" w:rsidP="0095553C">
      <w:pPr>
        <w:spacing w:before="120" w:after="120"/>
        <w:rPr>
          <w:rFonts w:ascii="Times New Roman" w:hAnsi="Times New Roman" w:cs="Times New Roman"/>
          <w:b/>
          <w:bCs/>
          <w:sz w:val="24"/>
          <w:szCs w:val="24"/>
        </w:rPr>
      </w:pPr>
      <w:r w:rsidRPr="0095553C">
        <w:rPr>
          <w:rFonts w:ascii="Times New Roman" w:hAnsi="Times New Roman" w:cs="Times New Roman"/>
          <w:b/>
          <w:bCs/>
          <w:sz w:val="24"/>
          <w:szCs w:val="24"/>
        </w:rPr>
        <w:t>Overview of the Disallowable Legislative Instrument</w:t>
      </w:r>
    </w:p>
    <w:p w14:paraId="64F1C718" w14:textId="77777777" w:rsidR="0095553C" w:rsidRPr="0095553C" w:rsidRDefault="0095553C" w:rsidP="0095553C">
      <w:pPr>
        <w:spacing w:before="120" w:after="120"/>
        <w:rPr>
          <w:rFonts w:ascii="Times New Roman" w:hAnsi="Times New Roman" w:cs="Times New Roman"/>
          <w:color w:val="000000" w:themeColor="text1"/>
          <w:sz w:val="24"/>
          <w:szCs w:val="24"/>
        </w:rPr>
      </w:pPr>
      <w:r w:rsidRPr="0095553C">
        <w:rPr>
          <w:rFonts w:ascii="Times New Roman" w:hAnsi="Times New Roman" w:cs="Times New Roman"/>
          <w:color w:val="000000" w:themeColor="text1"/>
          <w:sz w:val="24"/>
          <w:szCs w:val="24"/>
        </w:rPr>
        <w:t xml:space="preserve">The Temporary Graduate (Subclass 485) visa is for international students who have recently graduated from an Australian education or training institution.  It allows international graduates (and members of their family unit), to live, study and work in Australia temporarily. </w:t>
      </w:r>
    </w:p>
    <w:p w14:paraId="2A6FE366" w14:textId="403F95AB" w:rsidR="0095553C" w:rsidRPr="0095553C" w:rsidRDefault="0095553C" w:rsidP="0095553C">
      <w:pPr>
        <w:spacing w:before="120" w:after="120"/>
        <w:ind w:right="91"/>
        <w:rPr>
          <w:rFonts w:ascii="Times New Roman" w:hAnsi="Times New Roman" w:cs="Times New Roman"/>
          <w:color w:val="000000"/>
          <w:sz w:val="24"/>
          <w:szCs w:val="24"/>
        </w:rPr>
      </w:pPr>
      <w:r w:rsidRPr="0095553C">
        <w:rPr>
          <w:rFonts w:ascii="Times New Roman" w:hAnsi="Times New Roman" w:cs="Times New Roman"/>
          <w:color w:val="000000" w:themeColor="text1"/>
          <w:sz w:val="24"/>
          <w:szCs w:val="24"/>
        </w:rPr>
        <w:t xml:space="preserve">The Subclass 485 visa contains two streams of primary criteria, each catering for different a specific cohort of international students. The Graduate Work stream caters for graduates with Australian diploma and trade qualifications. The rationale for the Graduate Work stream is that those graduates may </w:t>
      </w:r>
      <w:r w:rsidRPr="0095553C">
        <w:rPr>
          <w:rFonts w:ascii="Times New Roman" w:hAnsi="Times New Roman" w:cs="Times New Roman"/>
          <w:color w:val="000000"/>
          <w:sz w:val="24"/>
          <w:szCs w:val="24"/>
          <w:shd w:val="clear" w:color="auto" w:fill="FFFFFF"/>
        </w:rPr>
        <w:t xml:space="preserve">need additional time to gain the skills required to apply for </w:t>
      </w:r>
      <w:r w:rsidR="00CC0CD2">
        <w:rPr>
          <w:rFonts w:ascii="Times New Roman" w:hAnsi="Times New Roman" w:cs="Times New Roman"/>
          <w:color w:val="000000"/>
          <w:sz w:val="24"/>
          <w:szCs w:val="24"/>
          <w:shd w:val="clear" w:color="auto" w:fill="FFFFFF"/>
        </w:rPr>
        <w:t xml:space="preserve">a </w:t>
      </w:r>
      <w:r w:rsidRPr="0095553C">
        <w:rPr>
          <w:rFonts w:ascii="Times New Roman" w:hAnsi="Times New Roman" w:cs="Times New Roman"/>
          <w:color w:val="000000"/>
          <w:sz w:val="24"/>
          <w:szCs w:val="24"/>
          <w:shd w:val="clear" w:color="auto" w:fill="FFFFFF"/>
        </w:rPr>
        <w:t xml:space="preserve">skilled visa. An applicant for a Subclass 485 visa in the Graduate Work stream is required to nominate an eligible occupation, which must be closely related to the applicant’s Australian educational qualification(s). The applicant is also required to </w:t>
      </w:r>
      <w:r w:rsidRPr="0095553C">
        <w:rPr>
          <w:rFonts w:ascii="Times New Roman" w:hAnsi="Times New Roman" w:cs="Times New Roman"/>
          <w:color w:val="000000"/>
          <w:sz w:val="24"/>
          <w:szCs w:val="24"/>
        </w:rPr>
        <w:t xml:space="preserve">obtain a positive </w:t>
      </w:r>
      <w:r w:rsidR="00CC0CD2">
        <w:rPr>
          <w:rFonts w:ascii="Times New Roman" w:hAnsi="Times New Roman" w:cs="Times New Roman"/>
          <w:color w:val="000000"/>
          <w:sz w:val="24"/>
          <w:szCs w:val="24"/>
        </w:rPr>
        <w:t xml:space="preserve">provisional </w:t>
      </w:r>
      <w:r w:rsidRPr="0095553C">
        <w:rPr>
          <w:rFonts w:ascii="Times New Roman" w:hAnsi="Times New Roman" w:cs="Times New Roman"/>
          <w:color w:val="000000"/>
          <w:sz w:val="24"/>
          <w:szCs w:val="24"/>
        </w:rPr>
        <w:t>skills assessment in relation to the nominated occupation.</w:t>
      </w:r>
    </w:p>
    <w:p w14:paraId="21738750" w14:textId="77777777" w:rsidR="0095553C" w:rsidRPr="0095553C" w:rsidRDefault="0095553C" w:rsidP="0095553C">
      <w:pPr>
        <w:spacing w:before="120" w:after="120"/>
        <w:ind w:right="91"/>
        <w:rPr>
          <w:rFonts w:ascii="Times New Roman" w:hAnsi="Times New Roman" w:cs="Times New Roman"/>
          <w:color w:val="000000"/>
          <w:sz w:val="24"/>
          <w:szCs w:val="24"/>
        </w:rPr>
      </w:pPr>
      <w:r w:rsidRPr="0095553C">
        <w:rPr>
          <w:rFonts w:ascii="Times New Roman" w:hAnsi="Times New Roman" w:cs="Times New Roman"/>
          <w:color w:val="000000"/>
          <w:sz w:val="24"/>
          <w:szCs w:val="24"/>
        </w:rPr>
        <w:t>Applicants with Australian qualifications at a higher level (Bachelor degree and above) are also eligible to apply for the Graduate Work stream, but in addition they are eligible for a different stream – the Post-Study Work stream – which does not have any requirement to nominate an occupation, and which, under policy, allows a longer stay in Australia. In practice, therefore, graduates at the Bachelor degree level or higher generally apply for the Post-Study Work stream.</w:t>
      </w:r>
    </w:p>
    <w:p w14:paraId="681AD7EF" w14:textId="77777777" w:rsidR="0095553C" w:rsidRPr="0095553C" w:rsidRDefault="0095553C" w:rsidP="0095553C">
      <w:pPr>
        <w:spacing w:before="120" w:after="120"/>
        <w:ind w:right="91"/>
        <w:rPr>
          <w:rFonts w:ascii="Times New Roman" w:hAnsi="Times New Roman" w:cs="Times New Roman"/>
          <w:color w:val="000000"/>
          <w:sz w:val="24"/>
          <w:szCs w:val="24"/>
        </w:rPr>
      </w:pPr>
      <w:r w:rsidRPr="0095553C">
        <w:rPr>
          <w:rFonts w:ascii="Times New Roman" w:hAnsi="Times New Roman" w:cs="Times New Roman"/>
          <w:color w:val="000000"/>
          <w:sz w:val="24"/>
          <w:szCs w:val="24"/>
        </w:rPr>
        <w:t>Under both streams, visa holders (and their family unit members) are free to study or work as they choose. There is no obligation to undertake work or study. The underpinning assumption is that these recently graduated international students are a valuable resource for Australia, whether they undertake further study or choose to work or travel, and are a potential source of future permanent migration to Australia.</w:t>
      </w:r>
    </w:p>
    <w:p w14:paraId="68DADDCA" w14:textId="77777777" w:rsidR="0095553C" w:rsidRPr="0095553C" w:rsidRDefault="0095553C" w:rsidP="0095553C">
      <w:pPr>
        <w:spacing w:before="120" w:after="120"/>
        <w:rPr>
          <w:rFonts w:ascii="Times New Roman" w:hAnsi="Times New Roman" w:cs="Times New Roman"/>
          <w:color w:val="000000" w:themeColor="text1"/>
          <w:sz w:val="24"/>
          <w:szCs w:val="24"/>
        </w:rPr>
      </w:pPr>
      <w:r w:rsidRPr="0095553C">
        <w:rPr>
          <w:rFonts w:ascii="Times New Roman" w:hAnsi="Times New Roman" w:cs="Times New Roman"/>
          <w:color w:val="000000" w:themeColor="text1"/>
          <w:sz w:val="24"/>
          <w:szCs w:val="24"/>
        </w:rPr>
        <w:t xml:space="preserve">The Amendment Regulations amend the Migration Regulations to help fill critical </w:t>
      </w:r>
      <w:proofErr w:type="spellStart"/>
      <w:r w:rsidRPr="0095553C">
        <w:rPr>
          <w:rFonts w:ascii="Times New Roman" w:hAnsi="Times New Roman" w:cs="Times New Roman"/>
          <w:color w:val="000000" w:themeColor="text1"/>
          <w:sz w:val="24"/>
          <w:szCs w:val="24"/>
        </w:rPr>
        <w:t>labour</w:t>
      </w:r>
      <w:proofErr w:type="spellEnd"/>
      <w:r w:rsidRPr="0095553C">
        <w:rPr>
          <w:rFonts w:ascii="Times New Roman" w:hAnsi="Times New Roman" w:cs="Times New Roman"/>
          <w:color w:val="000000" w:themeColor="text1"/>
          <w:sz w:val="24"/>
          <w:szCs w:val="24"/>
        </w:rPr>
        <w:t xml:space="preserve"> and skills gaps by temporarily removing certain requirements for applicants for the Subclass 485 visa in the Graduate Work stream. </w:t>
      </w:r>
    </w:p>
    <w:p w14:paraId="2F7B72CA" w14:textId="77777777" w:rsidR="0095553C" w:rsidRPr="0095553C" w:rsidRDefault="0095553C" w:rsidP="0095553C">
      <w:pPr>
        <w:spacing w:before="120" w:after="120"/>
        <w:rPr>
          <w:rFonts w:ascii="Times New Roman" w:hAnsi="Times New Roman" w:cs="Times New Roman"/>
          <w:color w:val="000000" w:themeColor="text1"/>
          <w:sz w:val="24"/>
          <w:szCs w:val="24"/>
        </w:rPr>
      </w:pPr>
      <w:r w:rsidRPr="0095553C">
        <w:rPr>
          <w:rFonts w:ascii="Times New Roman" w:hAnsi="Times New Roman" w:cs="Times New Roman"/>
          <w:color w:val="000000" w:themeColor="text1"/>
          <w:sz w:val="24"/>
          <w:szCs w:val="24"/>
        </w:rPr>
        <w:t>Presently, applicants for the Graduate Work stream need to:</w:t>
      </w:r>
    </w:p>
    <w:p w14:paraId="2DEF7225" w14:textId="77777777" w:rsidR="0095553C" w:rsidRPr="0095553C" w:rsidRDefault="0095553C" w:rsidP="0095553C">
      <w:pPr>
        <w:pStyle w:val="ListParagraph"/>
        <w:numPr>
          <w:ilvl w:val="0"/>
          <w:numId w:val="12"/>
        </w:numPr>
        <w:spacing w:before="120" w:after="120" w:line="240" w:lineRule="auto"/>
        <w:contextualSpacing w:val="0"/>
        <w:rPr>
          <w:rFonts w:ascii="Times New Roman" w:hAnsi="Times New Roman" w:cs="Times New Roman"/>
          <w:color w:val="000000" w:themeColor="text1"/>
          <w:sz w:val="24"/>
          <w:szCs w:val="24"/>
        </w:rPr>
      </w:pPr>
      <w:r w:rsidRPr="0095553C">
        <w:rPr>
          <w:rFonts w:ascii="Times New Roman" w:hAnsi="Times New Roman" w:cs="Times New Roman"/>
          <w:color w:val="000000" w:themeColor="text1"/>
          <w:sz w:val="24"/>
          <w:szCs w:val="24"/>
        </w:rPr>
        <w:lastRenderedPageBreak/>
        <w:t xml:space="preserve">nominate an occupation on the Medium and Long-term Strategic Skills List; </w:t>
      </w:r>
    </w:p>
    <w:p w14:paraId="55FAC936" w14:textId="77777777" w:rsidR="0095553C" w:rsidRPr="0095553C" w:rsidRDefault="0095553C" w:rsidP="0095553C">
      <w:pPr>
        <w:pStyle w:val="ListParagraph"/>
        <w:numPr>
          <w:ilvl w:val="0"/>
          <w:numId w:val="12"/>
        </w:numPr>
        <w:spacing w:before="120" w:after="120" w:line="240" w:lineRule="auto"/>
        <w:contextualSpacing w:val="0"/>
        <w:rPr>
          <w:rFonts w:ascii="Times New Roman" w:hAnsi="Times New Roman" w:cs="Times New Roman"/>
          <w:color w:val="000000" w:themeColor="text1"/>
          <w:sz w:val="24"/>
          <w:szCs w:val="24"/>
        </w:rPr>
      </w:pPr>
      <w:r w:rsidRPr="0095553C">
        <w:rPr>
          <w:rFonts w:ascii="Times New Roman" w:hAnsi="Times New Roman" w:cs="Times New Roman"/>
          <w:color w:val="000000" w:themeColor="text1"/>
          <w:sz w:val="24"/>
          <w:szCs w:val="24"/>
        </w:rPr>
        <w:t>have a degree, diploma or trade qualification closely related to that occupation; and</w:t>
      </w:r>
    </w:p>
    <w:p w14:paraId="1105F94F" w14:textId="77777777" w:rsidR="0095553C" w:rsidRPr="0095553C" w:rsidRDefault="0095553C" w:rsidP="0095553C">
      <w:pPr>
        <w:pStyle w:val="ListParagraph"/>
        <w:numPr>
          <w:ilvl w:val="0"/>
          <w:numId w:val="12"/>
        </w:numPr>
        <w:spacing w:before="120" w:after="120" w:line="240" w:lineRule="auto"/>
        <w:contextualSpacing w:val="0"/>
        <w:rPr>
          <w:rFonts w:ascii="Times New Roman" w:hAnsi="Times New Roman" w:cs="Times New Roman"/>
          <w:color w:val="000000" w:themeColor="text1"/>
          <w:sz w:val="24"/>
          <w:szCs w:val="24"/>
        </w:rPr>
      </w:pPr>
      <w:proofErr w:type="gramStart"/>
      <w:r w:rsidRPr="0095553C">
        <w:rPr>
          <w:rFonts w:ascii="Times New Roman" w:hAnsi="Times New Roman" w:cs="Times New Roman"/>
          <w:color w:val="000000" w:themeColor="text1"/>
          <w:sz w:val="24"/>
          <w:szCs w:val="24"/>
        </w:rPr>
        <w:t>be</w:t>
      </w:r>
      <w:proofErr w:type="gramEnd"/>
      <w:r w:rsidRPr="0095553C">
        <w:rPr>
          <w:rFonts w:ascii="Times New Roman" w:hAnsi="Times New Roman" w:cs="Times New Roman"/>
          <w:color w:val="000000" w:themeColor="text1"/>
          <w:sz w:val="24"/>
          <w:szCs w:val="24"/>
        </w:rPr>
        <w:t> assessed by a relevant assessing authority as having skills suitable for that occupation.</w:t>
      </w:r>
    </w:p>
    <w:p w14:paraId="2D39F343" w14:textId="77777777" w:rsidR="0095553C" w:rsidRPr="0095553C" w:rsidRDefault="0095553C" w:rsidP="0095553C">
      <w:pPr>
        <w:spacing w:before="120" w:after="120"/>
        <w:rPr>
          <w:rFonts w:ascii="Times New Roman" w:hAnsi="Times New Roman" w:cs="Times New Roman"/>
          <w:color w:val="000000" w:themeColor="text1"/>
          <w:sz w:val="24"/>
          <w:szCs w:val="24"/>
        </w:rPr>
      </w:pPr>
      <w:r w:rsidRPr="0095553C">
        <w:rPr>
          <w:rFonts w:ascii="Times New Roman" w:hAnsi="Times New Roman" w:cs="Times New Roman"/>
          <w:color w:val="000000" w:themeColor="text1"/>
          <w:sz w:val="24"/>
          <w:szCs w:val="24"/>
        </w:rPr>
        <w:t xml:space="preserve">Removing these requirements will encourage more international vocational education and training (VET) graduates to stay and work in Australia for a longer period. It will also open up the visa stream to a broader range of graduates with diploma and trade qualifications that are not closely related to occupations on the skilled occupation list. </w:t>
      </w:r>
    </w:p>
    <w:p w14:paraId="23362796" w14:textId="77777777" w:rsidR="0095553C" w:rsidRPr="0095553C" w:rsidRDefault="0095553C" w:rsidP="0095553C">
      <w:pPr>
        <w:spacing w:before="120" w:after="120"/>
        <w:rPr>
          <w:rFonts w:ascii="Times New Roman" w:hAnsi="Times New Roman" w:cs="Times New Roman"/>
          <w:color w:val="000000" w:themeColor="text1"/>
          <w:sz w:val="24"/>
          <w:szCs w:val="24"/>
        </w:rPr>
      </w:pPr>
      <w:r w:rsidRPr="0095553C">
        <w:rPr>
          <w:rFonts w:ascii="Times New Roman" w:hAnsi="Times New Roman" w:cs="Times New Roman"/>
          <w:color w:val="000000" w:themeColor="text1"/>
          <w:sz w:val="24"/>
          <w:szCs w:val="24"/>
        </w:rPr>
        <w:t xml:space="preserve">These requirements will be removed for all applications lodged during the 2022-23 financial year. The duration of the concession may however be extended, by legislative instrument, should current </w:t>
      </w:r>
      <w:proofErr w:type="spellStart"/>
      <w:r w:rsidRPr="0095553C">
        <w:rPr>
          <w:rFonts w:ascii="Times New Roman" w:hAnsi="Times New Roman" w:cs="Times New Roman"/>
          <w:color w:val="000000" w:themeColor="text1"/>
          <w:sz w:val="24"/>
          <w:szCs w:val="24"/>
        </w:rPr>
        <w:t>labour</w:t>
      </w:r>
      <w:proofErr w:type="spellEnd"/>
      <w:r w:rsidRPr="0095553C">
        <w:rPr>
          <w:rFonts w:ascii="Times New Roman" w:hAnsi="Times New Roman" w:cs="Times New Roman"/>
          <w:color w:val="000000" w:themeColor="text1"/>
          <w:sz w:val="24"/>
          <w:szCs w:val="24"/>
        </w:rPr>
        <w:t xml:space="preserve"> shortages not be ameliorated after this period.  </w:t>
      </w:r>
    </w:p>
    <w:p w14:paraId="6F995B96" w14:textId="77777777" w:rsidR="0095553C" w:rsidRPr="0095553C" w:rsidRDefault="0095553C" w:rsidP="0095553C">
      <w:pPr>
        <w:spacing w:before="120" w:after="120"/>
        <w:rPr>
          <w:rFonts w:ascii="Times New Roman" w:hAnsi="Times New Roman" w:cs="Times New Roman"/>
          <w:color w:val="7030A0"/>
          <w:sz w:val="24"/>
          <w:szCs w:val="24"/>
        </w:rPr>
      </w:pPr>
    </w:p>
    <w:p w14:paraId="695B8F3D" w14:textId="77777777" w:rsidR="0095553C" w:rsidRPr="0095553C" w:rsidRDefault="0095553C" w:rsidP="0095553C">
      <w:pPr>
        <w:pStyle w:val="Heading3"/>
        <w:rPr>
          <w:rFonts w:cs="Times New Roman"/>
          <w:b w:val="0"/>
          <w:color w:val="000000" w:themeColor="text1"/>
        </w:rPr>
      </w:pPr>
      <w:r w:rsidRPr="0095553C">
        <w:rPr>
          <w:rFonts w:cs="Times New Roman"/>
          <w:color w:val="000000" w:themeColor="text1"/>
        </w:rPr>
        <w:t>Human rights implications</w:t>
      </w:r>
    </w:p>
    <w:p w14:paraId="7892F9D6" w14:textId="77777777" w:rsidR="0095553C" w:rsidRPr="0095553C" w:rsidRDefault="0095553C" w:rsidP="0095553C">
      <w:pPr>
        <w:spacing w:before="120" w:after="120"/>
        <w:rPr>
          <w:rFonts w:ascii="Times New Roman" w:hAnsi="Times New Roman" w:cs="Times New Roman"/>
          <w:sz w:val="24"/>
          <w:szCs w:val="24"/>
        </w:rPr>
      </w:pPr>
      <w:r w:rsidRPr="0095553C">
        <w:rPr>
          <w:rFonts w:ascii="Times New Roman" w:hAnsi="Times New Roman" w:cs="Times New Roman"/>
          <w:sz w:val="24"/>
          <w:szCs w:val="24"/>
        </w:rPr>
        <w:t xml:space="preserve">This Disallowable Legislative Instrument engages the following human rights: </w:t>
      </w:r>
    </w:p>
    <w:p w14:paraId="39878F69" w14:textId="77777777" w:rsidR="0095553C" w:rsidRPr="0095553C" w:rsidRDefault="0095553C" w:rsidP="0095553C">
      <w:pPr>
        <w:pStyle w:val="ListParagraph"/>
        <w:numPr>
          <w:ilvl w:val="0"/>
          <w:numId w:val="11"/>
        </w:numPr>
        <w:spacing w:before="120" w:after="120" w:line="240" w:lineRule="auto"/>
        <w:contextualSpacing w:val="0"/>
        <w:rPr>
          <w:rFonts w:ascii="Times New Roman" w:hAnsi="Times New Roman" w:cs="Times New Roman"/>
          <w:sz w:val="24"/>
          <w:szCs w:val="24"/>
        </w:rPr>
      </w:pPr>
      <w:r w:rsidRPr="0095553C">
        <w:rPr>
          <w:rFonts w:ascii="Times New Roman" w:hAnsi="Times New Roman" w:cs="Times New Roman"/>
          <w:sz w:val="24"/>
          <w:szCs w:val="24"/>
        </w:rPr>
        <w:t xml:space="preserve">the right to work in Article 6 of the </w:t>
      </w:r>
      <w:r w:rsidRPr="0095553C">
        <w:rPr>
          <w:rFonts w:ascii="Times New Roman" w:hAnsi="Times New Roman" w:cs="Times New Roman"/>
          <w:i/>
          <w:iCs/>
          <w:sz w:val="24"/>
          <w:szCs w:val="24"/>
        </w:rPr>
        <w:t>International Covenant on Economic, Social and Cultural Rights</w:t>
      </w:r>
      <w:r w:rsidRPr="0095553C">
        <w:rPr>
          <w:rFonts w:ascii="Times New Roman" w:hAnsi="Times New Roman" w:cs="Times New Roman"/>
          <w:sz w:val="24"/>
          <w:szCs w:val="24"/>
        </w:rPr>
        <w:t xml:space="preserve"> (ICESCR);  </w:t>
      </w:r>
    </w:p>
    <w:p w14:paraId="209594F9" w14:textId="77777777" w:rsidR="0095553C" w:rsidRPr="0095553C" w:rsidRDefault="0095553C" w:rsidP="0095553C">
      <w:pPr>
        <w:pStyle w:val="ListParagraph"/>
        <w:numPr>
          <w:ilvl w:val="0"/>
          <w:numId w:val="11"/>
        </w:numPr>
        <w:spacing w:before="120" w:after="120" w:line="240" w:lineRule="auto"/>
        <w:contextualSpacing w:val="0"/>
        <w:rPr>
          <w:rFonts w:ascii="Times New Roman" w:hAnsi="Times New Roman" w:cs="Times New Roman"/>
          <w:sz w:val="24"/>
          <w:szCs w:val="24"/>
        </w:rPr>
      </w:pPr>
      <w:r w:rsidRPr="0095553C">
        <w:rPr>
          <w:rFonts w:ascii="Times New Roman" w:hAnsi="Times New Roman" w:cs="Times New Roman"/>
          <w:sz w:val="24"/>
          <w:szCs w:val="24"/>
        </w:rPr>
        <w:t xml:space="preserve">the right to education in Article 13 of the ICESCR  </w:t>
      </w:r>
    </w:p>
    <w:p w14:paraId="2580E887" w14:textId="77777777" w:rsidR="0095553C" w:rsidRPr="0095553C" w:rsidRDefault="0095553C" w:rsidP="0095553C">
      <w:pPr>
        <w:spacing w:before="120" w:after="120"/>
        <w:rPr>
          <w:rFonts w:ascii="Times New Roman" w:hAnsi="Times New Roman" w:cs="Times New Roman"/>
          <w:i/>
          <w:sz w:val="24"/>
          <w:szCs w:val="24"/>
          <w:u w:val="single"/>
        </w:rPr>
      </w:pPr>
    </w:p>
    <w:p w14:paraId="5D65553D" w14:textId="77777777" w:rsidR="0095553C" w:rsidRPr="0095553C" w:rsidRDefault="0095553C" w:rsidP="0095553C">
      <w:pPr>
        <w:spacing w:before="120" w:after="120"/>
        <w:rPr>
          <w:rFonts w:ascii="Times New Roman" w:hAnsi="Times New Roman" w:cs="Times New Roman"/>
          <w:i/>
          <w:sz w:val="24"/>
          <w:szCs w:val="24"/>
          <w:u w:val="single"/>
        </w:rPr>
      </w:pPr>
      <w:r w:rsidRPr="0095553C">
        <w:rPr>
          <w:rFonts w:ascii="Times New Roman" w:hAnsi="Times New Roman" w:cs="Times New Roman"/>
          <w:i/>
          <w:sz w:val="24"/>
          <w:szCs w:val="24"/>
          <w:u w:val="single"/>
        </w:rPr>
        <w:t>Right to work</w:t>
      </w:r>
    </w:p>
    <w:p w14:paraId="1383E8F8" w14:textId="77777777" w:rsidR="0095553C" w:rsidRPr="0095553C" w:rsidRDefault="0095553C" w:rsidP="0095553C">
      <w:pPr>
        <w:spacing w:before="120" w:after="120"/>
        <w:rPr>
          <w:rFonts w:ascii="Times New Roman" w:hAnsi="Times New Roman" w:cs="Times New Roman"/>
          <w:sz w:val="24"/>
          <w:szCs w:val="24"/>
        </w:rPr>
      </w:pPr>
      <w:r w:rsidRPr="0095553C">
        <w:rPr>
          <w:rFonts w:ascii="Times New Roman" w:hAnsi="Times New Roman" w:cs="Times New Roman"/>
          <w:sz w:val="24"/>
          <w:szCs w:val="24"/>
        </w:rPr>
        <w:t>The amendments promote and engage the right to work in Article 6(1) of the</w:t>
      </w:r>
      <w:r w:rsidRPr="0095553C">
        <w:rPr>
          <w:rFonts w:ascii="Times New Roman" w:hAnsi="Times New Roman" w:cs="Times New Roman"/>
          <w:i/>
          <w:iCs/>
          <w:sz w:val="24"/>
          <w:szCs w:val="24"/>
        </w:rPr>
        <w:t xml:space="preserve"> </w:t>
      </w:r>
      <w:r w:rsidRPr="0095553C">
        <w:rPr>
          <w:rFonts w:ascii="Times New Roman" w:hAnsi="Times New Roman" w:cs="Times New Roman"/>
          <w:sz w:val="24"/>
          <w:szCs w:val="24"/>
        </w:rPr>
        <w:t>ICESCR.</w:t>
      </w:r>
    </w:p>
    <w:p w14:paraId="468D2379" w14:textId="77777777" w:rsidR="0095553C" w:rsidRPr="0095553C" w:rsidRDefault="0095553C" w:rsidP="0095553C">
      <w:pPr>
        <w:autoSpaceDE w:val="0"/>
        <w:autoSpaceDN w:val="0"/>
        <w:spacing w:before="120" w:after="120"/>
        <w:rPr>
          <w:rFonts w:ascii="Times New Roman" w:hAnsi="Times New Roman" w:cs="Times New Roman"/>
          <w:sz w:val="24"/>
          <w:szCs w:val="24"/>
        </w:rPr>
      </w:pPr>
      <w:r w:rsidRPr="0095553C">
        <w:rPr>
          <w:rFonts w:ascii="Times New Roman" w:hAnsi="Times New Roman" w:cs="Times New Roman"/>
          <w:sz w:val="24"/>
          <w:szCs w:val="24"/>
        </w:rPr>
        <w:t>Article 6(1) of the</w:t>
      </w:r>
      <w:r w:rsidRPr="0095553C">
        <w:rPr>
          <w:rFonts w:ascii="Times New Roman" w:hAnsi="Times New Roman" w:cs="Times New Roman"/>
          <w:i/>
          <w:iCs/>
          <w:sz w:val="24"/>
          <w:szCs w:val="24"/>
        </w:rPr>
        <w:t xml:space="preserve"> </w:t>
      </w:r>
      <w:r w:rsidRPr="0095553C">
        <w:rPr>
          <w:rFonts w:ascii="Times New Roman" w:hAnsi="Times New Roman" w:cs="Times New Roman"/>
          <w:sz w:val="24"/>
          <w:szCs w:val="24"/>
        </w:rPr>
        <w:t>ICESCR states:</w:t>
      </w:r>
    </w:p>
    <w:p w14:paraId="2F96A755" w14:textId="77777777" w:rsidR="0095553C" w:rsidRPr="0095553C" w:rsidRDefault="0095553C" w:rsidP="0095553C">
      <w:pPr>
        <w:pStyle w:val="ListParagraph"/>
        <w:autoSpaceDE w:val="0"/>
        <w:autoSpaceDN w:val="0"/>
        <w:spacing w:before="120" w:after="120"/>
        <w:ind w:left="360"/>
        <w:rPr>
          <w:rFonts w:ascii="Times New Roman" w:hAnsi="Times New Roman" w:cs="Times New Roman"/>
          <w:i/>
          <w:iCs/>
          <w:sz w:val="24"/>
          <w:szCs w:val="24"/>
        </w:rPr>
      </w:pPr>
      <w:r w:rsidRPr="0095553C">
        <w:rPr>
          <w:rFonts w:ascii="Times New Roman" w:hAnsi="Times New Roman" w:cs="Times New Roman"/>
          <w:i/>
          <w:iCs/>
          <w:sz w:val="24"/>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419E4191" w14:textId="77777777" w:rsidR="0095553C" w:rsidRPr="0095553C" w:rsidRDefault="0095553C" w:rsidP="0095553C">
      <w:pPr>
        <w:pStyle w:val="CommentText"/>
        <w:spacing w:before="120" w:after="120"/>
        <w:rPr>
          <w:rFonts w:ascii="Times New Roman" w:hAnsi="Times New Roman" w:cs="Times New Roman"/>
          <w:sz w:val="24"/>
          <w:szCs w:val="24"/>
        </w:rPr>
      </w:pPr>
      <w:r w:rsidRPr="0095553C">
        <w:rPr>
          <w:rFonts w:ascii="Times New Roman" w:hAnsi="Times New Roman" w:cs="Times New Roman"/>
          <w:sz w:val="24"/>
          <w:szCs w:val="24"/>
        </w:rPr>
        <w:t xml:space="preserve">The amendments provide expanded access to the Australian </w:t>
      </w:r>
      <w:proofErr w:type="spellStart"/>
      <w:r w:rsidRPr="0095553C">
        <w:rPr>
          <w:rFonts w:ascii="Times New Roman" w:hAnsi="Times New Roman" w:cs="Times New Roman"/>
          <w:sz w:val="24"/>
          <w:szCs w:val="24"/>
        </w:rPr>
        <w:t>labour</w:t>
      </w:r>
      <w:proofErr w:type="spellEnd"/>
      <w:r w:rsidRPr="0095553C">
        <w:rPr>
          <w:rFonts w:ascii="Times New Roman" w:hAnsi="Times New Roman" w:cs="Times New Roman"/>
          <w:sz w:val="24"/>
          <w:szCs w:val="24"/>
        </w:rPr>
        <w:t xml:space="preserve"> market for graduates with degree, diploma and trade level qualifications who would previously have been ineligible for a Subclass 485 visa and who lodge their visa application in the 2022-23 financial year. </w:t>
      </w:r>
    </w:p>
    <w:p w14:paraId="6F4641C6" w14:textId="77777777" w:rsidR="0095553C" w:rsidRPr="0095553C" w:rsidRDefault="0095553C" w:rsidP="0095553C">
      <w:pPr>
        <w:autoSpaceDE w:val="0"/>
        <w:autoSpaceDN w:val="0"/>
        <w:adjustRightInd w:val="0"/>
        <w:spacing w:before="120" w:after="120"/>
        <w:rPr>
          <w:rFonts w:ascii="Times New Roman" w:hAnsi="Times New Roman" w:cs="Times New Roman"/>
          <w:sz w:val="24"/>
          <w:szCs w:val="24"/>
        </w:rPr>
      </w:pPr>
      <w:r w:rsidRPr="0095553C">
        <w:rPr>
          <w:rFonts w:ascii="Times New Roman" w:hAnsi="Times New Roman" w:cs="Times New Roman"/>
          <w:sz w:val="24"/>
          <w:szCs w:val="24"/>
        </w:rPr>
        <w:t xml:space="preserve">The amendments promote the right to work because they provide eligible visa applicants (and their family unit members) with further opportunities to seek or continue work anywhere in Australia once granted a Subclass 485 visa in the Graduate Work stream. If applicants are already engaged in employment, such as part-time work on a Student visa, a Subclass 485 visa provides them with the opportunity to continue this employment and further the development of their knowledge and skills. </w:t>
      </w:r>
    </w:p>
    <w:p w14:paraId="75562A8F" w14:textId="77777777" w:rsidR="0095553C" w:rsidRPr="0095553C" w:rsidRDefault="0095553C" w:rsidP="0095553C">
      <w:pPr>
        <w:spacing w:before="120" w:after="120"/>
        <w:rPr>
          <w:rFonts w:ascii="Times New Roman" w:hAnsi="Times New Roman" w:cs="Times New Roman"/>
          <w:i/>
          <w:iCs/>
          <w:sz w:val="24"/>
          <w:szCs w:val="24"/>
          <w:u w:val="single"/>
        </w:rPr>
      </w:pPr>
    </w:p>
    <w:p w14:paraId="05ABA3DE" w14:textId="77777777" w:rsidR="0095553C" w:rsidRPr="0095553C" w:rsidRDefault="0095553C" w:rsidP="0095553C">
      <w:pPr>
        <w:spacing w:before="120" w:after="120"/>
        <w:rPr>
          <w:rFonts w:ascii="Times New Roman" w:hAnsi="Times New Roman" w:cs="Times New Roman"/>
          <w:i/>
          <w:iCs/>
          <w:sz w:val="24"/>
          <w:szCs w:val="24"/>
          <w:u w:val="single"/>
        </w:rPr>
      </w:pPr>
      <w:r w:rsidRPr="0095553C">
        <w:rPr>
          <w:rFonts w:ascii="Times New Roman" w:hAnsi="Times New Roman" w:cs="Times New Roman"/>
          <w:i/>
          <w:iCs/>
          <w:sz w:val="24"/>
          <w:szCs w:val="24"/>
          <w:u w:val="single"/>
        </w:rPr>
        <w:t xml:space="preserve">Right to education </w:t>
      </w:r>
    </w:p>
    <w:p w14:paraId="24BA2F20" w14:textId="77777777" w:rsidR="0095553C" w:rsidRPr="0095553C" w:rsidRDefault="0095553C" w:rsidP="0095553C">
      <w:pPr>
        <w:spacing w:before="120" w:after="120"/>
        <w:rPr>
          <w:rFonts w:ascii="Times New Roman" w:hAnsi="Times New Roman" w:cs="Times New Roman"/>
          <w:sz w:val="24"/>
          <w:szCs w:val="24"/>
        </w:rPr>
      </w:pPr>
      <w:r w:rsidRPr="0095553C">
        <w:rPr>
          <w:rFonts w:ascii="Times New Roman" w:hAnsi="Times New Roman" w:cs="Times New Roman"/>
          <w:sz w:val="24"/>
          <w:szCs w:val="24"/>
        </w:rPr>
        <w:t xml:space="preserve">The amendments engage the right of everyone to an education in Article 13 of the ICESCR.  </w:t>
      </w:r>
    </w:p>
    <w:p w14:paraId="15AEB04D" w14:textId="77777777" w:rsidR="0095553C" w:rsidRPr="0095553C" w:rsidRDefault="0095553C" w:rsidP="0095553C">
      <w:pPr>
        <w:spacing w:before="100" w:beforeAutospacing="1" w:after="100" w:afterAutospacing="1"/>
        <w:rPr>
          <w:rFonts w:ascii="Times New Roman" w:hAnsi="Times New Roman" w:cs="Times New Roman"/>
          <w:sz w:val="24"/>
          <w:szCs w:val="24"/>
        </w:rPr>
      </w:pPr>
      <w:r w:rsidRPr="0095553C">
        <w:rPr>
          <w:rFonts w:ascii="Times New Roman" w:hAnsi="Times New Roman" w:cs="Times New Roman"/>
          <w:sz w:val="24"/>
          <w:szCs w:val="24"/>
        </w:rPr>
        <w:lastRenderedPageBreak/>
        <w:t>Article 13(1) of the ICESCR states:</w:t>
      </w:r>
    </w:p>
    <w:p w14:paraId="69AE2CFF" w14:textId="77777777" w:rsidR="0095553C" w:rsidRPr="0095553C" w:rsidRDefault="0095553C" w:rsidP="0095553C">
      <w:pPr>
        <w:spacing w:before="100" w:beforeAutospacing="1" w:after="100" w:afterAutospacing="1"/>
        <w:ind w:left="720"/>
        <w:rPr>
          <w:rFonts w:ascii="Times New Roman" w:hAnsi="Times New Roman" w:cs="Times New Roman"/>
          <w:i/>
          <w:spacing w:val="4"/>
          <w:sz w:val="24"/>
          <w:szCs w:val="24"/>
        </w:rPr>
      </w:pPr>
      <w:r w:rsidRPr="0095553C">
        <w:rPr>
          <w:rFonts w:ascii="Times New Roman" w:hAnsi="Times New Roman" w:cs="Times New Roman"/>
          <w:i/>
          <w:spacing w:val="4"/>
          <w:sz w:val="24"/>
          <w:szCs w:val="24"/>
        </w:rPr>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5A012739" w14:textId="77777777" w:rsidR="0095553C" w:rsidRPr="0095553C" w:rsidRDefault="0095553C" w:rsidP="0095553C">
      <w:pPr>
        <w:spacing w:before="100" w:beforeAutospacing="1" w:after="100" w:afterAutospacing="1"/>
        <w:rPr>
          <w:rFonts w:ascii="Times New Roman" w:hAnsi="Times New Roman" w:cs="Times New Roman"/>
          <w:sz w:val="24"/>
          <w:szCs w:val="24"/>
        </w:rPr>
      </w:pPr>
      <w:r w:rsidRPr="0095553C">
        <w:rPr>
          <w:rFonts w:ascii="Times New Roman" w:hAnsi="Times New Roman" w:cs="Times New Roman"/>
          <w:sz w:val="24"/>
          <w:szCs w:val="24"/>
        </w:rPr>
        <w:t>Article 13(2) of the ICESCR states in part:</w:t>
      </w:r>
    </w:p>
    <w:p w14:paraId="794AA7D2" w14:textId="77777777" w:rsidR="0095553C" w:rsidRPr="0095553C" w:rsidRDefault="0095553C" w:rsidP="0095553C">
      <w:pPr>
        <w:spacing w:before="100" w:beforeAutospacing="1" w:after="100" w:afterAutospacing="1"/>
        <w:ind w:left="720"/>
        <w:rPr>
          <w:rFonts w:ascii="Times New Roman" w:hAnsi="Times New Roman" w:cs="Times New Roman"/>
          <w:sz w:val="24"/>
          <w:szCs w:val="24"/>
        </w:rPr>
      </w:pPr>
      <w:r w:rsidRPr="0095553C">
        <w:rPr>
          <w:rFonts w:ascii="Times New Roman" w:hAnsi="Times New Roman" w:cs="Times New Roman"/>
          <w:i/>
          <w:sz w:val="24"/>
          <w:szCs w:val="24"/>
        </w:rPr>
        <w:t>The States Parties to the present Covenant recognize that, with a view to achieving the full realization of this right: […]</w:t>
      </w:r>
    </w:p>
    <w:p w14:paraId="401515A1" w14:textId="77777777" w:rsidR="0095553C" w:rsidRPr="0095553C" w:rsidRDefault="0095553C" w:rsidP="0095553C">
      <w:pPr>
        <w:spacing w:before="120" w:after="120"/>
        <w:ind w:left="720"/>
        <w:rPr>
          <w:rFonts w:ascii="Times New Roman" w:hAnsi="Times New Roman" w:cs="Times New Roman"/>
          <w:i/>
          <w:iCs/>
          <w:sz w:val="24"/>
          <w:szCs w:val="24"/>
          <w:lang w:val="en"/>
        </w:rPr>
      </w:pPr>
      <w:r w:rsidRPr="0095553C">
        <w:rPr>
          <w:rFonts w:ascii="Times New Roman" w:hAnsi="Times New Roman" w:cs="Times New Roman"/>
          <w:i/>
          <w:iCs/>
          <w:sz w:val="24"/>
          <w:szCs w:val="24"/>
          <w:lang w:val="en"/>
        </w:rPr>
        <w:t xml:space="preserve">(c) </w:t>
      </w:r>
      <w:proofErr w:type="gramStart"/>
      <w:r w:rsidRPr="0095553C">
        <w:rPr>
          <w:rFonts w:ascii="Times New Roman" w:hAnsi="Times New Roman" w:cs="Times New Roman"/>
          <w:i/>
          <w:iCs/>
          <w:sz w:val="24"/>
          <w:szCs w:val="24"/>
          <w:lang w:val="en"/>
        </w:rPr>
        <w:t>higher</w:t>
      </w:r>
      <w:proofErr w:type="gramEnd"/>
      <w:r w:rsidRPr="0095553C">
        <w:rPr>
          <w:rFonts w:ascii="Times New Roman" w:hAnsi="Times New Roman" w:cs="Times New Roman"/>
          <w:i/>
          <w:iCs/>
          <w:sz w:val="24"/>
          <w:szCs w:val="24"/>
          <w:lang w:val="en"/>
        </w:rPr>
        <w:t xml:space="preserve"> education shall be made equally accessible to all, on the basis of capacity, by every appropriate means, and in particular the progressive introduction of free education.</w:t>
      </w:r>
    </w:p>
    <w:p w14:paraId="03EBA286" w14:textId="77777777" w:rsidR="0095553C" w:rsidRPr="0095553C" w:rsidRDefault="0095553C" w:rsidP="0095553C">
      <w:pPr>
        <w:spacing w:before="120" w:after="120"/>
        <w:rPr>
          <w:rFonts w:ascii="Times New Roman" w:hAnsi="Times New Roman" w:cs="Times New Roman"/>
          <w:sz w:val="24"/>
          <w:szCs w:val="24"/>
        </w:rPr>
      </w:pPr>
      <w:r w:rsidRPr="0095553C">
        <w:rPr>
          <w:rFonts w:ascii="Times New Roman" w:hAnsi="Times New Roman" w:cs="Times New Roman"/>
          <w:sz w:val="24"/>
          <w:szCs w:val="24"/>
        </w:rPr>
        <w:t xml:space="preserve">The amendments promote the right to education because they expand eligibility for a Subclass 485 visa in the Graduate Work stream which allows visa holders (including family unit members of the primary visa holder) to pursue further study in Australia. </w:t>
      </w:r>
    </w:p>
    <w:p w14:paraId="01C6AAC7" w14:textId="77777777" w:rsidR="0095553C" w:rsidRPr="0095553C" w:rsidRDefault="0095553C" w:rsidP="0095553C">
      <w:pPr>
        <w:pStyle w:val="Heading3"/>
        <w:rPr>
          <w:rFonts w:cs="Times New Roman"/>
          <w:b w:val="0"/>
          <w:bCs/>
        </w:rPr>
      </w:pPr>
    </w:p>
    <w:p w14:paraId="3D923B55" w14:textId="77777777" w:rsidR="0095553C" w:rsidRPr="0095553C" w:rsidRDefault="0095553C" w:rsidP="0095553C">
      <w:pPr>
        <w:pStyle w:val="Heading3"/>
        <w:rPr>
          <w:rFonts w:cs="Times New Roman"/>
          <w:b w:val="0"/>
          <w:bCs/>
        </w:rPr>
      </w:pPr>
      <w:r w:rsidRPr="0095553C">
        <w:rPr>
          <w:rFonts w:cs="Times New Roman"/>
          <w:bCs/>
        </w:rPr>
        <w:t xml:space="preserve">Conclusion </w:t>
      </w:r>
    </w:p>
    <w:p w14:paraId="52391AA6" w14:textId="77777777" w:rsidR="00BA0B3C" w:rsidRDefault="0095553C" w:rsidP="0095553C">
      <w:pPr>
        <w:spacing w:before="120" w:after="120"/>
        <w:rPr>
          <w:rFonts w:ascii="Times New Roman" w:hAnsi="Times New Roman" w:cs="Times New Roman"/>
          <w:sz w:val="24"/>
          <w:szCs w:val="24"/>
        </w:rPr>
      </w:pPr>
      <w:r w:rsidRPr="0095553C">
        <w:rPr>
          <w:rFonts w:ascii="Times New Roman" w:hAnsi="Times New Roman" w:cs="Times New Roman"/>
          <w:sz w:val="24"/>
          <w:szCs w:val="24"/>
        </w:rPr>
        <w:t>The Amendment Regulations are compatible with human rights.</w:t>
      </w:r>
    </w:p>
    <w:p w14:paraId="074013B6" w14:textId="77777777" w:rsidR="00BA0B3C" w:rsidRDefault="00BA0B3C" w:rsidP="0095553C">
      <w:pPr>
        <w:spacing w:before="120" w:after="120"/>
        <w:rPr>
          <w:rFonts w:ascii="Times New Roman" w:hAnsi="Times New Roman" w:cs="Times New Roman"/>
          <w:sz w:val="24"/>
          <w:szCs w:val="24"/>
        </w:rPr>
      </w:pPr>
    </w:p>
    <w:p w14:paraId="2DFAF7B6" w14:textId="5041CC1B" w:rsidR="0095553C" w:rsidRPr="0095553C" w:rsidRDefault="0095553C" w:rsidP="0095553C">
      <w:pPr>
        <w:spacing w:before="120" w:after="120"/>
        <w:rPr>
          <w:rFonts w:ascii="Times New Roman" w:hAnsi="Times New Roman" w:cs="Times New Roman"/>
          <w:sz w:val="24"/>
          <w:szCs w:val="24"/>
        </w:rPr>
      </w:pPr>
      <w:r w:rsidRPr="0095553C">
        <w:rPr>
          <w:rFonts w:ascii="Times New Roman" w:hAnsi="Times New Roman" w:cs="Times New Roman"/>
          <w:sz w:val="24"/>
          <w:szCs w:val="24"/>
        </w:rPr>
        <w:t xml:space="preserve"> </w:t>
      </w:r>
      <w:r w:rsidRPr="0095553C">
        <w:rPr>
          <w:rFonts w:ascii="Times New Roman" w:hAnsi="Times New Roman" w:cs="Times New Roman"/>
          <w:sz w:val="24"/>
          <w:szCs w:val="24"/>
        </w:rPr>
        <w:br/>
      </w:r>
    </w:p>
    <w:p w14:paraId="0FFDC4B5" w14:textId="77777777" w:rsidR="0095553C" w:rsidRPr="00BA0B3C" w:rsidRDefault="0095553C" w:rsidP="0095553C">
      <w:pPr>
        <w:pStyle w:val="Heading3"/>
        <w:rPr>
          <w:rFonts w:cs="Times New Roman"/>
          <w:b w:val="0"/>
          <w:bCs/>
        </w:rPr>
      </w:pPr>
    </w:p>
    <w:p w14:paraId="6CCCE17C" w14:textId="77777777" w:rsidR="00BA0B3C" w:rsidRDefault="00BA0B3C" w:rsidP="00BA0B3C">
      <w:pPr>
        <w:autoSpaceDE w:val="0"/>
        <w:autoSpaceDN w:val="0"/>
        <w:spacing w:before="40" w:after="40" w:line="240" w:lineRule="auto"/>
        <w:jc w:val="center"/>
      </w:pPr>
      <w:r>
        <w:rPr>
          <w:rFonts w:ascii="Times New Roman" w:hAnsi="Times New Roman" w:cs="Times New Roman"/>
          <w:b/>
          <w:bCs/>
          <w:sz w:val="24"/>
          <w:szCs w:val="24"/>
        </w:rPr>
        <w:t>The Hon. Andrew Giles, MP</w:t>
      </w:r>
    </w:p>
    <w:p w14:paraId="0AF35660" w14:textId="77777777" w:rsidR="00BA0B3C" w:rsidRDefault="00BA0B3C" w:rsidP="00BA0B3C">
      <w:pPr>
        <w:autoSpaceDE w:val="0"/>
        <w:autoSpaceDN w:val="0"/>
        <w:spacing w:after="0" w:line="240" w:lineRule="auto"/>
        <w:jc w:val="center"/>
      </w:pPr>
      <w:r>
        <w:rPr>
          <w:rFonts w:ascii="Times New Roman" w:hAnsi="Times New Roman" w:cs="Times New Roman"/>
          <w:b/>
          <w:bCs/>
          <w:sz w:val="24"/>
          <w:szCs w:val="24"/>
        </w:rPr>
        <w:t>Minister for Immigration, Citizenship and Multicultural Affairs</w:t>
      </w:r>
    </w:p>
    <w:p w14:paraId="6EBE5EC3" w14:textId="05C8DB2E" w:rsidR="009127B2" w:rsidRDefault="009127B2" w:rsidP="00B66E13">
      <w:pPr>
        <w:spacing w:before="240" w:after="0" w:line="240" w:lineRule="auto"/>
        <w:jc w:val="center"/>
        <w:rPr>
          <w:rFonts w:ascii="Times New Roman" w:eastAsiaTheme="minorEastAsia" w:hAnsi="Times New Roman" w:cs="Times New Roman"/>
          <w:sz w:val="24"/>
          <w:szCs w:val="24"/>
          <w:lang w:val="en-AU" w:eastAsia="en-AU"/>
        </w:rPr>
      </w:pPr>
    </w:p>
    <w:p w14:paraId="058D344E" w14:textId="7948D688" w:rsidR="009127B2" w:rsidRDefault="009127B2" w:rsidP="00B66E13">
      <w:pPr>
        <w:spacing w:before="240" w:after="0" w:line="240" w:lineRule="auto"/>
        <w:jc w:val="center"/>
        <w:rPr>
          <w:rFonts w:ascii="Times New Roman" w:eastAsiaTheme="minorEastAsia" w:hAnsi="Times New Roman" w:cs="Times New Roman"/>
          <w:sz w:val="24"/>
          <w:szCs w:val="24"/>
          <w:lang w:val="en-AU" w:eastAsia="en-AU"/>
        </w:rPr>
      </w:pPr>
    </w:p>
    <w:p w14:paraId="7A5B18F0" w14:textId="0BFD4484" w:rsidR="009127B2" w:rsidRDefault="009127B2" w:rsidP="00B66E13">
      <w:pPr>
        <w:spacing w:before="240" w:after="0" w:line="240" w:lineRule="auto"/>
        <w:jc w:val="center"/>
        <w:rPr>
          <w:rFonts w:ascii="Times New Roman" w:eastAsiaTheme="minorEastAsia" w:hAnsi="Times New Roman" w:cs="Times New Roman"/>
          <w:sz w:val="24"/>
          <w:szCs w:val="24"/>
          <w:lang w:val="en-AU" w:eastAsia="en-AU"/>
        </w:rPr>
      </w:pPr>
    </w:p>
    <w:p w14:paraId="0E3A2192" w14:textId="1CEC4C4D" w:rsidR="009127B2" w:rsidRDefault="009127B2" w:rsidP="00B66E13">
      <w:pPr>
        <w:spacing w:before="240" w:after="0" w:line="240" w:lineRule="auto"/>
        <w:jc w:val="center"/>
        <w:rPr>
          <w:rFonts w:ascii="Times New Roman" w:eastAsiaTheme="minorEastAsia" w:hAnsi="Times New Roman" w:cs="Times New Roman"/>
          <w:sz w:val="24"/>
          <w:szCs w:val="24"/>
          <w:lang w:val="en-AU" w:eastAsia="en-AU"/>
        </w:rPr>
      </w:pPr>
    </w:p>
    <w:p w14:paraId="3037ED28" w14:textId="64F974DD" w:rsidR="009127B2" w:rsidRDefault="009127B2" w:rsidP="00B66E13">
      <w:pPr>
        <w:spacing w:before="240" w:after="0" w:line="240" w:lineRule="auto"/>
        <w:jc w:val="center"/>
        <w:rPr>
          <w:rFonts w:ascii="Times New Roman" w:eastAsiaTheme="minorEastAsia" w:hAnsi="Times New Roman" w:cs="Times New Roman"/>
          <w:sz w:val="24"/>
          <w:szCs w:val="24"/>
          <w:lang w:val="en-AU" w:eastAsia="en-AU"/>
        </w:rPr>
      </w:pPr>
    </w:p>
    <w:p w14:paraId="51051D2C" w14:textId="53162752" w:rsidR="009127B2" w:rsidRDefault="009127B2" w:rsidP="00B66E13">
      <w:pPr>
        <w:spacing w:before="240" w:after="0" w:line="240" w:lineRule="auto"/>
        <w:jc w:val="center"/>
        <w:rPr>
          <w:rFonts w:ascii="Times New Roman" w:eastAsiaTheme="minorEastAsia" w:hAnsi="Times New Roman" w:cs="Times New Roman"/>
          <w:sz w:val="24"/>
          <w:szCs w:val="24"/>
          <w:lang w:val="en-AU" w:eastAsia="en-AU"/>
        </w:rPr>
      </w:pPr>
    </w:p>
    <w:p w14:paraId="442A83BD" w14:textId="730BB217" w:rsidR="003929D9" w:rsidRPr="00AF2A84" w:rsidRDefault="003929D9" w:rsidP="003929D9">
      <w:pPr>
        <w:spacing w:before="240" w:after="0" w:line="240" w:lineRule="auto"/>
        <w:jc w:val="right"/>
        <w:rPr>
          <w:rFonts w:ascii="Times New Roman" w:eastAsiaTheme="minorEastAsia" w:hAnsi="Times New Roman" w:cs="Times New Roman"/>
          <w:b/>
          <w:sz w:val="24"/>
          <w:szCs w:val="24"/>
          <w:u w:val="single"/>
          <w:lang w:val="en-AU" w:eastAsia="en-AU"/>
        </w:rPr>
      </w:pPr>
      <w:r w:rsidRPr="00AF2A84">
        <w:rPr>
          <w:rFonts w:ascii="Times New Roman" w:eastAsiaTheme="minorEastAsia" w:hAnsi="Times New Roman" w:cs="Times New Roman"/>
          <w:b/>
          <w:sz w:val="24"/>
          <w:szCs w:val="24"/>
          <w:u w:val="single"/>
          <w:lang w:val="en-AU" w:eastAsia="en-AU"/>
        </w:rPr>
        <w:lastRenderedPageBreak/>
        <w:t xml:space="preserve">ATTACHMENT </w:t>
      </w:r>
      <w:r w:rsidR="0095553C">
        <w:rPr>
          <w:rFonts w:ascii="Times New Roman" w:eastAsiaTheme="minorEastAsia" w:hAnsi="Times New Roman" w:cs="Times New Roman"/>
          <w:b/>
          <w:sz w:val="24"/>
          <w:szCs w:val="24"/>
          <w:u w:val="single"/>
          <w:lang w:val="en-AU" w:eastAsia="en-AU"/>
        </w:rPr>
        <w:t>B</w:t>
      </w:r>
    </w:p>
    <w:p w14:paraId="4ACF16BD" w14:textId="77777777" w:rsidR="0095553C" w:rsidRDefault="0095553C" w:rsidP="00AF2A84">
      <w:pPr>
        <w:ind w:right="91"/>
        <w:rPr>
          <w:rFonts w:ascii="Times New Roman" w:hAnsi="Times New Roman" w:cs="Times New Roman"/>
          <w:b/>
          <w:bCs/>
          <w:color w:val="000000" w:themeColor="text1"/>
          <w:sz w:val="24"/>
          <w:szCs w:val="24"/>
          <w:u w:val="single"/>
        </w:rPr>
      </w:pPr>
    </w:p>
    <w:p w14:paraId="5E78DCC9" w14:textId="7D0F30C6" w:rsidR="00AF2A84" w:rsidRPr="00AF2A84" w:rsidRDefault="00AF2A84" w:rsidP="00AF2A84">
      <w:pPr>
        <w:ind w:right="91"/>
        <w:rPr>
          <w:rFonts w:ascii="Times New Roman" w:hAnsi="Times New Roman" w:cs="Times New Roman"/>
          <w:b/>
          <w:bCs/>
          <w:i/>
          <w:iCs/>
          <w:color w:val="000000" w:themeColor="text1"/>
          <w:sz w:val="24"/>
          <w:szCs w:val="24"/>
          <w:u w:val="single"/>
        </w:rPr>
      </w:pPr>
      <w:r w:rsidRPr="00AF2A84">
        <w:rPr>
          <w:rFonts w:ascii="Times New Roman" w:hAnsi="Times New Roman" w:cs="Times New Roman"/>
          <w:b/>
          <w:bCs/>
          <w:color w:val="000000" w:themeColor="text1"/>
          <w:sz w:val="24"/>
          <w:szCs w:val="24"/>
          <w:u w:val="single"/>
        </w:rPr>
        <w:t xml:space="preserve">Details of the </w:t>
      </w:r>
      <w:r w:rsidRPr="00AF2A84">
        <w:rPr>
          <w:rFonts w:ascii="Times New Roman" w:hAnsi="Times New Roman" w:cs="Times New Roman"/>
          <w:b/>
          <w:bCs/>
          <w:i/>
          <w:iCs/>
          <w:color w:val="000000" w:themeColor="text1"/>
          <w:sz w:val="24"/>
          <w:szCs w:val="24"/>
          <w:u w:val="single"/>
        </w:rPr>
        <w:t>Migration Amendment (Occupation Nomination and Skills Assessment for Subclass 485 Visas) Regulations 2022</w:t>
      </w:r>
    </w:p>
    <w:p w14:paraId="6A6B49BB" w14:textId="77777777" w:rsidR="00AF2A84" w:rsidRPr="00AF2A84" w:rsidRDefault="00AF2A84" w:rsidP="00AF2A84">
      <w:pPr>
        <w:pStyle w:val="ItemHead"/>
        <w:keepNext w:val="0"/>
        <w:keepLines w:val="0"/>
        <w:widowControl w:val="0"/>
        <w:spacing w:before="0" w:after="240"/>
        <w:rPr>
          <w:rFonts w:ascii="Times New Roman" w:hAnsi="Times New Roman" w:cs="Times New Roman"/>
          <w:b w:val="0"/>
          <w:bCs w:val="0"/>
          <w:u w:val="single"/>
        </w:rPr>
      </w:pPr>
      <w:r w:rsidRPr="00AF2A84">
        <w:rPr>
          <w:rFonts w:ascii="Times New Roman" w:hAnsi="Times New Roman" w:cs="Times New Roman"/>
          <w:b w:val="0"/>
          <w:bCs w:val="0"/>
          <w:u w:val="single"/>
        </w:rPr>
        <w:t>Section 1 - Name</w:t>
      </w:r>
      <w:bookmarkStart w:id="0" w:name="_Toc505262124"/>
      <w:bookmarkStart w:id="1" w:name="opcAmSched"/>
      <w:bookmarkStart w:id="2" w:name="opcCurrentFind"/>
    </w:p>
    <w:p w14:paraId="497D3535" w14:textId="77CB8FF1" w:rsidR="00AF2A84" w:rsidRPr="00AF2A84" w:rsidRDefault="00AF2A84" w:rsidP="00AF2A84">
      <w:pPr>
        <w:spacing w:after="240"/>
        <w:ind w:right="91"/>
        <w:rPr>
          <w:rFonts w:ascii="Times New Roman" w:hAnsi="Times New Roman" w:cs="Times New Roman"/>
          <w:i/>
          <w:iCs/>
          <w:sz w:val="24"/>
          <w:szCs w:val="24"/>
        </w:rPr>
      </w:pPr>
      <w:r w:rsidRPr="00AF2A84">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AF2A84">
        <w:rPr>
          <w:rFonts w:ascii="Times New Roman" w:hAnsi="Times New Roman" w:cs="Times New Roman"/>
          <w:sz w:val="24"/>
          <w:szCs w:val="24"/>
        </w:rPr>
        <w:t xml:space="preserve"> that the name of the instrument is the </w:t>
      </w:r>
      <w:r w:rsidRPr="00AF2A84">
        <w:rPr>
          <w:rFonts w:ascii="Times New Roman" w:hAnsi="Times New Roman" w:cs="Times New Roman"/>
          <w:i/>
          <w:iCs/>
          <w:color w:val="000000" w:themeColor="text1"/>
          <w:sz w:val="24"/>
          <w:szCs w:val="24"/>
        </w:rPr>
        <w:t>Migration Amendment (Occupation Nomination and Skills Assessment for Subclass 485 Visas) Regulations 2022</w:t>
      </w:r>
      <w:r w:rsidRPr="00AF2A84">
        <w:rPr>
          <w:rFonts w:ascii="Times New Roman" w:hAnsi="Times New Roman" w:cs="Times New Roman"/>
          <w:i/>
          <w:iCs/>
          <w:color w:val="0070C0"/>
          <w:sz w:val="24"/>
          <w:szCs w:val="24"/>
        </w:rPr>
        <w:t xml:space="preserve">. </w:t>
      </w:r>
    </w:p>
    <w:p w14:paraId="352A3229" w14:textId="77777777" w:rsidR="00AF2A84" w:rsidRPr="00AF2A84" w:rsidRDefault="00AF2A84" w:rsidP="00AF2A84">
      <w:pPr>
        <w:ind w:right="91"/>
        <w:rPr>
          <w:rFonts w:ascii="Times New Roman" w:hAnsi="Times New Roman" w:cs="Times New Roman"/>
          <w:sz w:val="24"/>
          <w:szCs w:val="24"/>
          <w:u w:val="single"/>
        </w:rPr>
      </w:pPr>
      <w:r w:rsidRPr="00AF2A84">
        <w:rPr>
          <w:rFonts w:ascii="Times New Roman" w:hAnsi="Times New Roman" w:cs="Times New Roman"/>
          <w:sz w:val="24"/>
          <w:szCs w:val="24"/>
          <w:u w:val="single"/>
        </w:rPr>
        <w:t>Section 2 - Commencement</w:t>
      </w:r>
    </w:p>
    <w:p w14:paraId="7472B59D" w14:textId="4C3F8A65" w:rsidR="00AF2A84" w:rsidRPr="00AF2A84" w:rsidRDefault="00AF2A84" w:rsidP="00AF2A84">
      <w:pPr>
        <w:rPr>
          <w:rFonts w:ascii="Times New Roman" w:eastAsia="SimSun" w:hAnsi="Times New Roman" w:cs="Times New Roman"/>
          <w:sz w:val="24"/>
          <w:szCs w:val="24"/>
        </w:rPr>
      </w:pPr>
      <w:r w:rsidRPr="00AF2A84">
        <w:rPr>
          <w:rFonts w:ascii="Times New Roman" w:eastAsia="SimSun" w:hAnsi="Times New Roman" w:cs="Times New Roman"/>
          <w:sz w:val="24"/>
          <w:szCs w:val="24"/>
        </w:rPr>
        <w:t xml:space="preserve">This section </w:t>
      </w:r>
      <w:r>
        <w:rPr>
          <w:rFonts w:ascii="Times New Roman" w:eastAsia="SimSun" w:hAnsi="Times New Roman" w:cs="Times New Roman"/>
          <w:sz w:val="24"/>
          <w:szCs w:val="24"/>
        </w:rPr>
        <w:t>provides</w:t>
      </w:r>
      <w:r w:rsidRPr="00AF2A84">
        <w:rPr>
          <w:rFonts w:ascii="Times New Roman" w:eastAsia="SimSun" w:hAnsi="Times New Roman" w:cs="Times New Roman"/>
          <w:sz w:val="24"/>
          <w:szCs w:val="24"/>
        </w:rPr>
        <w:t xml:space="preserve"> for the commencement of the instrument.</w:t>
      </w:r>
    </w:p>
    <w:p w14:paraId="0C01FEBE" w14:textId="6E6CD2B7" w:rsidR="00AF2A84" w:rsidRPr="00AF2A84" w:rsidRDefault="00AF2A84" w:rsidP="00AF2A84">
      <w:pPr>
        <w:rPr>
          <w:rFonts w:ascii="Times New Roman" w:eastAsia="SimSun" w:hAnsi="Times New Roman" w:cs="Times New Roman"/>
          <w:color w:val="000000" w:themeColor="text1"/>
          <w:sz w:val="24"/>
          <w:szCs w:val="24"/>
        </w:rPr>
      </w:pPr>
      <w:r w:rsidRPr="00AF2A84">
        <w:rPr>
          <w:rFonts w:ascii="Times New Roman" w:eastAsia="SimSun" w:hAnsi="Times New Roman" w:cs="Times New Roman"/>
          <w:color w:val="000000" w:themeColor="text1"/>
          <w:sz w:val="24"/>
          <w:szCs w:val="24"/>
        </w:rPr>
        <w:t>Subsection 2(1) provides that each provision of the Regulations specified in column 1 of the table commences, or is taken to have commenced, in accordance with column 2 of the table.  Any other statement in column 2 has effect according to its terms.</w:t>
      </w:r>
    </w:p>
    <w:p w14:paraId="7C37FB3D" w14:textId="14F6813A" w:rsidR="00AF2A84" w:rsidRPr="00AF2A84" w:rsidRDefault="00AF2A84" w:rsidP="00AF2A84">
      <w:pPr>
        <w:rPr>
          <w:rFonts w:ascii="Times New Roman" w:eastAsia="SimSun" w:hAnsi="Times New Roman" w:cs="Times New Roman"/>
          <w:color w:val="000000" w:themeColor="text1"/>
          <w:sz w:val="24"/>
          <w:szCs w:val="24"/>
        </w:rPr>
      </w:pPr>
      <w:r w:rsidRPr="00AF2A84">
        <w:rPr>
          <w:rFonts w:ascii="Times New Roman" w:eastAsia="SimSun" w:hAnsi="Times New Roman" w:cs="Times New Roman"/>
          <w:color w:val="000000" w:themeColor="text1"/>
          <w:sz w:val="24"/>
          <w:szCs w:val="24"/>
        </w:rPr>
        <w:t>The effect of the table is that the whole of the Regulations commence on 1 July 2022.</w:t>
      </w:r>
    </w:p>
    <w:p w14:paraId="5DB81D69" w14:textId="77777777" w:rsidR="00AF2A84" w:rsidRPr="00AF2A84" w:rsidRDefault="00AF2A84" w:rsidP="00AF2A84">
      <w:pPr>
        <w:tabs>
          <w:tab w:val="left" w:pos="6521"/>
        </w:tabs>
        <w:ind w:right="170"/>
        <w:rPr>
          <w:rFonts w:ascii="Times New Roman" w:hAnsi="Times New Roman" w:cs="Times New Roman"/>
          <w:sz w:val="24"/>
          <w:szCs w:val="24"/>
          <w:u w:val="single"/>
        </w:rPr>
      </w:pPr>
      <w:r w:rsidRPr="00AF2A84">
        <w:rPr>
          <w:rFonts w:ascii="Times New Roman" w:hAnsi="Times New Roman" w:cs="Times New Roman"/>
          <w:sz w:val="24"/>
          <w:szCs w:val="24"/>
          <w:u w:val="single"/>
        </w:rPr>
        <w:t>Section 3 - Authority</w:t>
      </w:r>
    </w:p>
    <w:p w14:paraId="5845DFBE" w14:textId="675C8DCD" w:rsidR="00AF2A84" w:rsidRPr="00AF2A84" w:rsidRDefault="00AF2A84" w:rsidP="00AF2A84">
      <w:pPr>
        <w:rPr>
          <w:rFonts w:ascii="Times New Roman" w:eastAsia="SimSun" w:hAnsi="Times New Roman" w:cs="Times New Roman"/>
          <w:sz w:val="24"/>
          <w:szCs w:val="24"/>
        </w:rPr>
      </w:pPr>
      <w:r w:rsidRPr="00AF2A84">
        <w:rPr>
          <w:rFonts w:ascii="Times New Roman" w:eastAsia="SimSun" w:hAnsi="Times New Roman" w:cs="Times New Roman"/>
          <w:sz w:val="24"/>
          <w:szCs w:val="24"/>
        </w:rPr>
        <w:t xml:space="preserve">This section </w:t>
      </w:r>
      <w:r>
        <w:rPr>
          <w:rFonts w:ascii="Times New Roman" w:eastAsia="SimSun" w:hAnsi="Times New Roman" w:cs="Times New Roman"/>
          <w:sz w:val="24"/>
          <w:szCs w:val="24"/>
        </w:rPr>
        <w:t>provides</w:t>
      </w:r>
      <w:r w:rsidRPr="00AF2A84">
        <w:rPr>
          <w:rFonts w:ascii="Times New Roman" w:eastAsia="SimSun" w:hAnsi="Times New Roman" w:cs="Times New Roman"/>
          <w:sz w:val="24"/>
          <w:szCs w:val="24"/>
        </w:rPr>
        <w:t xml:space="preserve"> that the instrument is made under the </w:t>
      </w:r>
      <w:r w:rsidRPr="00AF2A84">
        <w:rPr>
          <w:rFonts w:ascii="Times New Roman" w:eastAsia="SimSun" w:hAnsi="Times New Roman" w:cs="Times New Roman"/>
          <w:i/>
          <w:iCs/>
          <w:sz w:val="24"/>
          <w:szCs w:val="24"/>
        </w:rPr>
        <w:t>Migration Act 1958</w:t>
      </w:r>
      <w:r w:rsidRPr="00AF2A84">
        <w:rPr>
          <w:rFonts w:ascii="Times New Roman" w:eastAsia="SimSun" w:hAnsi="Times New Roman" w:cs="Times New Roman"/>
          <w:sz w:val="24"/>
          <w:szCs w:val="24"/>
        </w:rPr>
        <w:t>.</w:t>
      </w:r>
    </w:p>
    <w:p w14:paraId="652B9F4B" w14:textId="77777777" w:rsidR="00AF2A84" w:rsidRPr="00AF2A84" w:rsidRDefault="00AF2A84" w:rsidP="00AF2A84">
      <w:pPr>
        <w:rPr>
          <w:rFonts w:ascii="Times New Roman" w:eastAsia="SimSun" w:hAnsi="Times New Roman" w:cs="Times New Roman"/>
          <w:sz w:val="24"/>
          <w:szCs w:val="24"/>
          <w:u w:val="single"/>
        </w:rPr>
      </w:pPr>
      <w:r w:rsidRPr="00AF2A84">
        <w:rPr>
          <w:rFonts w:ascii="Times New Roman" w:eastAsia="SimSun" w:hAnsi="Times New Roman" w:cs="Times New Roman"/>
          <w:sz w:val="24"/>
          <w:szCs w:val="24"/>
          <w:u w:val="single"/>
        </w:rPr>
        <w:t>Section 4 - Schedules</w:t>
      </w:r>
    </w:p>
    <w:p w14:paraId="4F1BDEC7" w14:textId="1DA3B343" w:rsidR="00AF2A84" w:rsidRPr="00AF2A84" w:rsidRDefault="00AF2A84" w:rsidP="00AF2A84">
      <w:pPr>
        <w:rPr>
          <w:rFonts w:ascii="Times New Roman" w:hAnsi="Times New Roman" w:cs="Times New Roman"/>
          <w:sz w:val="24"/>
          <w:szCs w:val="24"/>
        </w:rPr>
      </w:pPr>
      <w:r w:rsidRPr="00AF2A84">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AF2A84">
        <w:rPr>
          <w:rFonts w:ascii="Times New Roman" w:hAnsi="Times New Roman" w:cs="Times New Roman"/>
          <w:sz w:val="24"/>
          <w:szCs w:val="24"/>
        </w:rPr>
        <w:t xml:space="preserve"> for how the amendments made by the Regulations operate.</w:t>
      </w:r>
    </w:p>
    <w:p w14:paraId="23151AAD" w14:textId="77777777" w:rsidR="00AF2A84" w:rsidRPr="00AF2A84" w:rsidRDefault="00AF2A84" w:rsidP="00AF2A84">
      <w:pPr>
        <w:rPr>
          <w:rFonts w:ascii="Times New Roman" w:hAnsi="Times New Roman" w:cs="Times New Roman"/>
          <w:sz w:val="24"/>
          <w:szCs w:val="24"/>
        </w:rPr>
      </w:pPr>
    </w:p>
    <w:p w14:paraId="7BAD3649" w14:textId="77777777" w:rsidR="00AF2A84" w:rsidRPr="00AF2A84" w:rsidRDefault="00AF2A84" w:rsidP="00AF2A84">
      <w:pPr>
        <w:rPr>
          <w:rFonts w:ascii="Times New Roman" w:hAnsi="Times New Roman" w:cs="Times New Roman"/>
          <w:b/>
          <w:sz w:val="24"/>
          <w:szCs w:val="24"/>
          <w:u w:val="single"/>
        </w:rPr>
      </w:pPr>
      <w:r w:rsidRPr="00AF2A84">
        <w:rPr>
          <w:rFonts w:ascii="Times New Roman" w:hAnsi="Times New Roman" w:cs="Times New Roman"/>
          <w:b/>
          <w:sz w:val="24"/>
          <w:szCs w:val="24"/>
          <w:u w:val="single"/>
        </w:rPr>
        <w:t>Schedule 1 – Amendments</w:t>
      </w:r>
    </w:p>
    <w:p w14:paraId="3F088DC0" w14:textId="77777777" w:rsidR="00AF2A84" w:rsidRPr="00AF2A84" w:rsidRDefault="00AF2A84" w:rsidP="00AF2A84">
      <w:pPr>
        <w:spacing w:before="100" w:beforeAutospacing="1"/>
        <w:rPr>
          <w:rFonts w:ascii="Times New Roman" w:hAnsi="Times New Roman" w:cs="Times New Roman"/>
          <w:b/>
          <w:i/>
          <w:sz w:val="24"/>
          <w:szCs w:val="24"/>
        </w:rPr>
      </w:pPr>
      <w:r w:rsidRPr="00AF2A84">
        <w:rPr>
          <w:rFonts w:ascii="Times New Roman" w:hAnsi="Times New Roman" w:cs="Times New Roman"/>
          <w:b/>
          <w:i/>
          <w:sz w:val="24"/>
          <w:szCs w:val="24"/>
        </w:rPr>
        <w:t>Migration Regulations 1994</w:t>
      </w:r>
    </w:p>
    <w:bookmarkEnd w:id="0"/>
    <w:bookmarkEnd w:id="1"/>
    <w:bookmarkEnd w:id="2"/>
    <w:p w14:paraId="4632C2B6" w14:textId="77777777" w:rsidR="00AF2A84" w:rsidRPr="00AF2A84" w:rsidRDefault="00AF2A84" w:rsidP="00AF2A84">
      <w:pPr>
        <w:spacing w:before="100" w:beforeAutospacing="1"/>
        <w:rPr>
          <w:rFonts w:ascii="Times New Roman" w:hAnsi="Times New Roman" w:cs="Times New Roman"/>
          <w:b/>
          <w:i/>
          <w:sz w:val="24"/>
          <w:szCs w:val="24"/>
        </w:rPr>
      </w:pPr>
      <w:r w:rsidRPr="00AF2A84">
        <w:rPr>
          <w:rFonts w:ascii="Times New Roman" w:hAnsi="Times New Roman" w:cs="Times New Roman"/>
          <w:b/>
          <w:sz w:val="24"/>
          <w:szCs w:val="24"/>
        </w:rPr>
        <w:t>Item [1] – After paragraph 1229(3</w:t>
      </w:r>
      <w:proofErr w:type="gramStart"/>
      <w:r w:rsidRPr="00AF2A84">
        <w:rPr>
          <w:rFonts w:ascii="Times New Roman" w:hAnsi="Times New Roman" w:cs="Times New Roman"/>
          <w:b/>
          <w:sz w:val="24"/>
          <w:szCs w:val="24"/>
        </w:rPr>
        <w:t>)(</w:t>
      </w:r>
      <w:proofErr w:type="gramEnd"/>
      <w:r w:rsidRPr="00AF2A84">
        <w:rPr>
          <w:rFonts w:ascii="Times New Roman" w:hAnsi="Times New Roman" w:cs="Times New Roman"/>
          <w:b/>
          <w:sz w:val="24"/>
          <w:szCs w:val="24"/>
        </w:rPr>
        <w:t xml:space="preserve">k) of Schedule 1 </w:t>
      </w:r>
    </w:p>
    <w:p w14:paraId="2464904B" w14:textId="5AA8E308" w:rsidR="00AF2A84" w:rsidRPr="00AF2A84" w:rsidRDefault="00AF2A84" w:rsidP="00AF2A84">
      <w:pPr>
        <w:spacing w:before="100" w:beforeAutospacing="1"/>
        <w:rPr>
          <w:rFonts w:ascii="Times New Roman" w:hAnsi="Times New Roman" w:cs="Times New Roman"/>
          <w:sz w:val="24"/>
          <w:szCs w:val="24"/>
        </w:rPr>
      </w:pPr>
      <w:r w:rsidRPr="00AF2A84">
        <w:rPr>
          <w:rFonts w:ascii="Times New Roman" w:hAnsi="Times New Roman" w:cs="Times New Roman"/>
          <w:sz w:val="24"/>
          <w:szCs w:val="24"/>
        </w:rPr>
        <w:t>This item inserts new paragraph 1229(3</w:t>
      </w:r>
      <w:proofErr w:type="gramStart"/>
      <w:r w:rsidRPr="00AF2A84">
        <w:rPr>
          <w:rFonts w:ascii="Times New Roman" w:hAnsi="Times New Roman" w:cs="Times New Roman"/>
          <w:sz w:val="24"/>
          <w:szCs w:val="24"/>
        </w:rPr>
        <w:t>)(</w:t>
      </w:r>
      <w:proofErr w:type="spellStart"/>
      <w:proofErr w:type="gramEnd"/>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in item 1229 (Skilled (Provisional)</w:t>
      </w:r>
      <w:r w:rsidR="00411FB7">
        <w:rPr>
          <w:rFonts w:ascii="Times New Roman" w:hAnsi="Times New Roman" w:cs="Times New Roman"/>
          <w:sz w:val="24"/>
          <w:szCs w:val="24"/>
        </w:rPr>
        <w:t>)</w:t>
      </w:r>
      <w:r w:rsidRPr="00AF2A84">
        <w:rPr>
          <w:rFonts w:ascii="Times New Roman" w:hAnsi="Times New Roman" w:cs="Times New Roman"/>
          <w:sz w:val="24"/>
          <w:szCs w:val="24"/>
        </w:rPr>
        <w:t xml:space="preserve">(Class VC) of Schedule 1 to the Migration Regulations. </w:t>
      </w:r>
    </w:p>
    <w:p w14:paraId="41004E5C" w14:textId="77777777" w:rsidR="00AF2A84" w:rsidRPr="00AF2A84" w:rsidRDefault="00AF2A84" w:rsidP="00AF2A84">
      <w:pPr>
        <w:spacing w:before="100" w:beforeAutospacing="1"/>
        <w:rPr>
          <w:rFonts w:ascii="Times New Roman" w:hAnsi="Times New Roman" w:cs="Times New Roman"/>
          <w:sz w:val="24"/>
          <w:szCs w:val="24"/>
        </w:rPr>
      </w:pPr>
      <w:r w:rsidRPr="00AF2A84">
        <w:rPr>
          <w:rFonts w:ascii="Times New Roman" w:hAnsi="Times New Roman" w:cs="Times New Roman"/>
          <w:sz w:val="24"/>
          <w:szCs w:val="24"/>
        </w:rPr>
        <w:t>New paragraph 1229(3)(</w:t>
      </w:r>
      <w:proofErr w:type="spellStart"/>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provides that paragraph 1229(3)(k) does not apply to an application for a Subclass 485 (Temporary Graduate) visa in the Graduate Work stream if the application is made on a day between 1 July 2022 and 30 June 2023, inclusive.  Paragraph 1229(3)(k) requires that an applicant seeking to satisfy the primary criteria for the grant of a Subclass 485 (Temporary Graduate) visa in the Graduate Work stream must nominate a skilled occupation from the list of occupations that is specified by the Minister in an instrument in writing for the purposes of the paragraph.</w:t>
      </w:r>
    </w:p>
    <w:p w14:paraId="43CAF357" w14:textId="77777777" w:rsidR="00AF2A84" w:rsidRPr="00AF2A84" w:rsidRDefault="00AF2A84" w:rsidP="00AF2A84">
      <w:pPr>
        <w:spacing w:before="100" w:beforeAutospacing="1"/>
        <w:rPr>
          <w:rFonts w:ascii="Times New Roman" w:hAnsi="Times New Roman" w:cs="Times New Roman"/>
          <w:sz w:val="24"/>
          <w:szCs w:val="24"/>
        </w:rPr>
      </w:pPr>
      <w:r w:rsidRPr="00AF2A84">
        <w:rPr>
          <w:rFonts w:ascii="Times New Roman" w:hAnsi="Times New Roman" w:cs="Times New Roman"/>
          <w:sz w:val="24"/>
          <w:szCs w:val="24"/>
        </w:rPr>
        <w:lastRenderedPageBreak/>
        <w:t xml:space="preserve">The effect of this amendment is that persons applying for the visa between 1 July 2022 and 30 June 2023 will not be required to nominate a skilled occupation from the list of specified skilled occupations.  Removing this requirement will open up the visa stream to a broader range of international graduates with degree, diploma and trade qualifications whose occupations may not be included on the list.  This will encourage more overseas graduates of Australian educational institutions to extend their stay in Australia until </w:t>
      </w:r>
      <w:proofErr w:type="spellStart"/>
      <w:r w:rsidRPr="00AF2A84">
        <w:rPr>
          <w:rFonts w:ascii="Times New Roman" w:hAnsi="Times New Roman" w:cs="Times New Roman"/>
          <w:sz w:val="24"/>
          <w:szCs w:val="24"/>
        </w:rPr>
        <w:t>labour</w:t>
      </w:r>
      <w:proofErr w:type="spellEnd"/>
      <w:r w:rsidRPr="00AF2A84">
        <w:rPr>
          <w:rFonts w:ascii="Times New Roman" w:hAnsi="Times New Roman" w:cs="Times New Roman"/>
          <w:sz w:val="24"/>
          <w:szCs w:val="24"/>
        </w:rPr>
        <w:t xml:space="preserve"> market conditions </w:t>
      </w:r>
      <w:proofErr w:type="spellStart"/>
      <w:r w:rsidRPr="00AF2A84">
        <w:rPr>
          <w:rFonts w:ascii="Times New Roman" w:hAnsi="Times New Roman" w:cs="Times New Roman"/>
          <w:sz w:val="24"/>
          <w:szCs w:val="24"/>
        </w:rPr>
        <w:t>stabilise</w:t>
      </w:r>
      <w:proofErr w:type="spellEnd"/>
      <w:r w:rsidRPr="00AF2A84">
        <w:rPr>
          <w:rFonts w:ascii="Times New Roman" w:hAnsi="Times New Roman" w:cs="Times New Roman"/>
          <w:sz w:val="24"/>
          <w:szCs w:val="24"/>
        </w:rPr>
        <w:t xml:space="preserve">.            </w:t>
      </w:r>
    </w:p>
    <w:p w14:paraId="5BE63B3A" w14:textId="77777777" w:rsidR="00AF2A84" w:rsidRPr="00AF2A84" w:rsidRDefault="00AF2A84" w:rsidP="00AF2A84">
      <w:pPr>
        <w:spacing w:before="100" w:beforeAutospacing="1"/>
        <w:rPr>
          <w:rFonts w:ascii="Times New Roman" w:hAnsi="Times New Roman" w:cs="Times New Roman"/>
          <w:b/>
          <w:sz w:val="24"/>
          <w:szCs w:val="24"/>
        </w:rPr>
      </w:pPr>
      <w:r w:rsidRPr="00AF2A84">
        <w:rPr>
          <w:rFonts w:ascii="Times New Roman" w:hAnsi="Times New Roman" w:cs="Times New Roman"/>
          <w:sz w:val="24"/>
          <w:szCs w:val="24"/>
        </w:rPr>
        <w:t>New paragraph 1229(3)(</w:t>
      </w:r>
      <w:proofErr w:type="spellStart"/>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xml:space="preserve">) includes provision for the concession to be extended to applications made after 30 June 2023 and before a date specified by the Minister in a legislative instrument, provided the legislative instrument is made before 30 June 2023.  Providing for the date to be extended by legislative instrument allows for the concession to be extended to further applications without interruption, should it be appropriate to do so under economic conditions prevailing during the next 12 months.   </w:t>
      </w:r>
    </w:p>
    <w:p w14:paraId="2A7B0C1E" w14:textId="77777777" w:rsidR="00AF2A84" w:rsidRPr="00AF2A84" w:rsidRDefault="00AF2A84" w:rsidP="00AF2A84">
      <w:pPr>
        <w:tabs>
          <w:tab w:val="left" w:pos="6023"/>
        </w:tabs>
        <w:rPr>
          <w:rFonts w:ascii="Times New Roman" w:hAnsi="Times New Roman" w:cs="Times New Roman"/>
          <w:b/>
          <w:sz w:val="24"/>
          <w:szCs w:val="24"/>
        </w:rPr>
      </w:pPr>
      <w:r w:rsidRPr="00AF2A84">
        <w:rPr>
          <w:rFonts w:ascii="Times New Roman" w:hAnsi="Times New Roman" w:cs="Times New Roman"/>
          <w:b/>
          <w:sz w:val="24"/>
          <w:szCs w:val="24"/>
        </w:rPr>
        <w:t xml:space="preserve">Item [2] – Clause 485.222 of Schedule 2 </w:t>
      </w:r>
    </w:p>
    <w:p w14:paraId="4D8CB1E4"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This item inserts the number “(1)” before the word “Each” at the beginning of clause 485.222 of Schedule 2 to the Migration Regulations.  </w:t>
      </w:r>
    </w:p>
    <w:p w14:paraId="29914D40"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This amendment is consequential to the addition of new </w:t>
      </w:r>
      <w:proofErr w:type="spellStart"/>
      <w:r w:rsidRPr="00AF2A84">
        <w:rPr>
          <w:rFonts w:ascii="Times New Roman" w:hAnsi="Times New Roman" w:cs="Times New Roman"/>
          <w:sz w:val="24"/>
          <w:szCs w:val="24"/>
        </w:rPr>
        <w:t>subclause</w:t>
      </w:r>
      <w:proofErr w:type="spellEnd"/>
      <w:r w:rsidRPr="00AF2A84">
        <w:rPr>
          <w:rFonts w:ascii="Times New Roman" w:hAnsi="Times New Roman" w:cs="Times New Roman"/>
          <w:sz w:val="24"/>
          <w:szCs w:val="24"/>
        </w:rPr>
        <w:t xml:space="preserve"> 485.222(2) by the following item of this Schedule. </w:t>
      </w:r>
    </w:p>
    <w:p w14:paraId="464D466C" w14:textId="77777777" w:rsidR="00AF2A84" w:rsidRPr="00AF2A84" w:rsidRDefault="00AF2A84" w:rsidP="00AF2A84">
      <w:pPr>
        <w:tabs>
          <w:tab w:val="left" w:pos="6023"/>
        </w:tabs>
        <w:rPr>
          <w:rFonts w:ascii="Times New Roman" w:hAnsi="Times New Roman" w:cs="Times New Roman"/>
          <w:b/>
          <w:sz w:val="24"/>
          <w:szCs w:val="24"/>
        </w:rPr>
      </w:pPr>
      <w:r w:rsidRPr="00AF2A84">
        <w:rPr>
          <w:rFonts w:ascii="Times New Roman" w:hAnsi="Times New Roman" w:cs="Times New Roman"/>
          <w:b/>
          <w:sz w:val="24"/>
          <w:szCs w:val="24"/>
        </w:rPr>
        <w:t xml:space="preserve">Item [3] – At the end of clause 485.222 of Schedule 2 </w:t>
      </w:r>
    </w:p>
    <w:p w14:paraId="1D938397"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Clauses 485.221-224 of Schedule 2 to the Migration Regulations prescribe primary criteria to be satisfied by an applicant for a Subclass 485 (Temporary Graduate) visa in the Graduate Work stream.</w:t>
      </w:r>
    </w:p>
    <w:p w14:paraId="3F2BEFFA"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This item adds a new </w:t>
      </w:r>
      <w:proofErr w:type="spellStart"/>
      <w:r w:rsidRPr="00AF2A84">
        <w:rPr>
          <w:rFonts w:ascii="Times New Roman" w:hAnsi="Times New Roman" w:cs="Times New Roman"/>
          <w:sz w:val="24"/>
          <w:szCs w:val="24"/>
        </w:rPr>
        <w:t>subclause</w:t>
      </w:r>
      <w:proofErr w:type="spellEnd"/>
      <w:r w:rsidRPr="00AF2A84">
        <w:rPr>
          <w:rFonts w:ascii="Times New Roman" w:hAnsi="Times New Roman" w:cs="Times New Roman"/>
          <w:sz w:val="24"/>
          <w:szCs w:val="24"/>
        </w:rPr>
        <w:t xml:space="preserve"> 485.222(2) in clause 485.222.  Clause 485.222 requires that each degree, diploma or trade qualification used to satisfy the Australian study requirement, as required by clause 485.221, must be closely related to the applicant’s nominated skilled occupation.  </w:t>
      </w:r>
    </w:p>
    <w:p w14:paraId="13A22589"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New </w:t>
      </w:r>
      <w:proofErr w:type="spellStart"/>
      <w:r w:rsidRPr="00AF2A84">
        <w:rPr>
          <w:rFonts w:ascii="Times New Roman" w:hAnsi="Times New Roman" w:cs="Times New Roman"/>
          <w:sz w:val="24"/>
          <w:szCs w:val="24"/>
        </w:rPr>
        <w:t>subclause</w:t>
      </w:r>
      <w:proofErr w:type="spellEnd"/>
      <w:r w:rsidRPr="00AF2A84">
        <w:rPr>
          <w:rFonts w:ascii="Times New Roman" w:hAnsi="Times New Roman" w:cs="Times New Roman"/>
          <w:sz w:val="24"/>
          <w:szCs w:val="24"/>
        </w:rPr>
        <w:t xml:space="preserve"> 485.222(2) provides that this requirement does not apply to applications made in the period mentioned in paragraph 1229(3</w:t>
      </w:r>
      <w:proofErr w:type="gramStart"/>
      <w:r w:rsidRPr="00AF2A84">
        <w:rPr>
          <w:rFonts w:ascii="Times New Roman" w:hAnsi="Times New Roman" w:cs="Times New Roman"/>
          <w:sz w:val="24"/>
          <w:szCs w:val="24"/>
        </w:rPr>
        <w:t>)(</w:t>
      </w:r>
      <w:proofErr w:type="spellStart"/>
      <w:proofErr w:type="gramEnd"/>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of Schedule 1.  Paragraph 1229(3</w:t>
      </w:r>
      <w:proofErr w:type="gramStart"/>
      <w:r w:rsidRPr="00AF2A84">
        <w:rPr>
          <w:rFonts w:ascii="Times New Roman" w:hAnsi="Times New Roman" w:cs="Times New Roman"/>
          <w:sz w:val="24"/>
          <w:szCs w:val="24"/>
        </w:rPr>
        <w:t>)(</w:t>
      </w:r>
      <w:proofErr w:type="spellStart"/>
      <w:proofErr w:type="gramEnd"/>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is inserted in Schedule 1 to the Migration Regulations by item 1 of this Schedule, above.  The period mentioned is from 1 July 2022 to 30 June 2023, unless a later date is specified by the Minister in an instrument. Paragraph 1229(3)(</w:t>
      </w:r>
      <w:proofErr w:type="spellStart"/>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xml:space="preserve">) provides that applications made during that period are not required to nominate an eligible skilled occupation and therefore clause 485.222 is not relevant in respect of those applications.   </w:t>
      </w:r>
    </w:p>
    <w:p w14:paraId="4E86B8D5" w14:textId="77777777" w:rsidR="00AF2A84" w:rsidRPr="00AF2A84" w:rsidRDefault="00AF2A84" w:rsidP="00AF2A84">
      <w:pPr>
        <w:tabs>
          <w:tab w:val="left" w:pos="6023"/>
        </w:tabs>
        <w:rPr>
          <w:rFonts w:ascii="Times New Roman" w:hAnsi="Times New Roman" w:cs="Times New Roman"/>
          <w:b/>
          <w:sz w:val="24"/>
          <w:szCs w:val="24"/>
        </w:rPr>
      </w:pPr>
      <w:r w:rsidRPr="00AF2A84">
        <w:rPr>
          <w:rFonts w:ascii="Times New Roman" w:hAnsi="Times New Roman" w:cs="Times New Roman"/>
          <w:b/>
          <w:sz w:val="24"/>
          <w:szCs w:val="24"/>
        </w:rPr>
        <w:t>Item [4] – Clause 485.223 of Schedule 2</w:t>
      </w:r>
    </w:p>
    <w:p w14:paraId="216DA8D6"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This item inserts the number “(1)”, before the word “When” at the beginning of clause 485.223 of Schedule 2 to the Migration Regulations. </w:t>
      </w:r>
    </w:p>
    <w:p w14:paraId="06F2CAF9" w14:textId="5E90BE64" w:rsid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This amendment is consequential to the addition of new </w:t>
      </w:r>
      <w:proofErr w:type="spellStart"/>
      <w:r w:rsidRPr="00AF2A84">
        <w:rPr>
          <w:rFonts w:ascii="Times New Roman" w:hAnsi="Times New Roman" w:cs="Times New Roman"/>
          <w:sz w:val="24"/>
          <w:szCs w:val="24"/>
        </w:rPr>
        <w:t>subclause</w:t>
      </w:r>
      <w:proofErr w:type="spellEnd"/>
      <w:r w:rsidRPr="00AF2A84">
        <w:rPr>
          <w:rFonts w:ascii="Times New Roman" w:hAnsi="Times New Roman" w:cs="Times New Roman"/>
          <w:sz w:val="24"/>
          <w:szCs w:val="24"/>
        </w:rPr>
        <w:t xml:space="preserve"> 485.223(2) by the following item of this Schedule. </w:t>
      </w:r>
    </w:p>
    <w:p w14:paraId="71E4FBEF" w14:textId="4D82B63B" w:rsidR="00F30300" w:rsidRDefault="00F30300" w:rsidP="00AF2A84">
      <w:pPr>
        <w:tabs>
          <w:tab w:val="left" w:pos="6023"/>
        </w:tabs>
        <w:rPr>
          <w:rFonts w:ascii="Times New Roman" w:hAnsi="Times New Roman" w:cs="Times New Roman"/>
          <w:sz w:val="24"/>
          <w:szCs w:val="24"/>
        </w:rPr>
      </w:pPr>
    </w:p>
    <w:p w14:paraId="2A95C2FC" w14:textId="77777777" w:rsidR="00F30300" w:rsidRPr="00AF2A84" w:rsidRDefault="00F30300" w:rsidP="00AF2A84">
      <w:pPr>
        <w:tabs>
          <w:tab w:val="left" w:pos="6023"/>
        </w:tabs>
        <w:rPr>
          <w:rFonts w:ascii="Times New Roman" w:hAnsi="Times New Roman" w:cs="Times New Roman"/>
          <w:sz w:val="24"/>
          <w:szCs w:val="24"/>
        </w:rPr>
      </w:pPr>
    </w:p>
    <w:p w14:paraId="2B6172E6" w14:textId="77777777" w:rsidR="00AF2A84" w:rsidRPr="00AF2A84" w:rsidRDefault="00AF2A84" w:rsidP="00AF2A84">
      <w:pPr>
        <w:tabs>
          <w:tab w:val="left" w:pos="6023"/>
        </w:tabs>
        <w:rPr>
          <w:rFonts w:ascii="Times New Roman" w:hAnsi="Times New Roman" w:cs="Times New Roman"/>
          <w:b/>
          <w:sz w:val="24"/>
          <w:szCs w:val="24"/>
        </w:rPr>
      </w:pPr>
      <w:r w:rsidRPr="00AF2A84">
        <w:rPr>
          <w:rFonts w:ascii="Times New Roman" w:hAnsi="Times New Roman" w:cs="Times New Roman"/>
          <w:sz w:val="24"/>
          <w:szCs w:val="24"/>
        </w:rPr>
        <w:t xml:space="preserve"> </w:t>
      </w:r>
      <w:r w:rsidRPr="00AF2A84">
        <w:rPr>
          <w:rFonts w:ascii="Times New Roman" w:hAnsi="Times New Roman" w:cs="Times New Roman"/>
          <w:b/>
          <w:sz w:val="24"/>
          <w:szCs w:val="24"/>
        </w:rPr>
        <w:t>Item [5] – At the end of clause 485.223 of Schedule 2</w:t>
      </w:r>
    </w:p>
    <w:p w14:paraId="54819D1F"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This item adds a new </w:t>
      </w:r>
      <w:proofErr w:type="spellStart"/>
      <w:r w:rsidRPr="00AF2A84">
        <w:rPr>
          <w:rFonts w:ascii="Times New Roman" w:hAnsi="Times New Roman" w:cs="Times New Roman"/>
          <w:sz w:val="24"/>
          <w:szCs w:val="24"/>
        </w:rPr>
        <w:t>subclause</w:t>
      </w:r>
      <w:proofErr w:type="spellEnd"/>
      <w:r w:rsidRPr="00AF2A84">
        <w:rPr>
          <w:rFonts w:ascii="Times New Roman" w:hAnsi="Times New Roman" w:cs="Times New Roman"/>
          <w:sz w:val="24"/>
          <w:szCs w:val="24"/>
        </w:rPr>
        <w:t xml:space="preserve"> 485.223(2) in clause 485.223 of Schedule 2 to the Migration Regulations. </w:t>
      </w:r>
    </w:p>
    <w:p w14:paraId="0B75979D"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Clause 485.223 requires that when an application was made, it was accompanied by evidence that the applicant had applied for an assessment by a relevant assessing authority of the applicant’s skills for the nominated skilled occupation. </w:t>
      </w:r>
    </w:p>
    <w:p w14:paraId="39462459"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New </w:t>
      </w:r>
      <w:proofErr w:type="spellStart"/>
      <w:r w:rsidRPr="00AF2A84">
        <w:rPr>
          <w:rFonts w:ascii="Times New Roman" w:hAnsi="Times New Roman" w:cs="Times New Roman"/>
          <w:sz w:val="24"/>
          <w:szCs w:val="24"/>
        </w:rPr>
        <w:t>subclause</w:t>
      </w:r>
      <w:proofErr w:type="spellEnd"/>
      <w:r w:rsidRPr="00AF2A84">
        <w:rPr>
          <w:rFonts w:ascii="Times New Roman" w:hAnsi="Times New Roman" w:cs="Times New Roman"/>
          <w:sz w:val="24"/>
          <w:szCs w:val="24"/>
        </w:rPr>
        <w:t xml:space="preserve"> 485.223(2) provides that this requirement does not apply to applications made in the period mentioned in paragraph 1229(3</w:t>
      </w:r>
      <w:proofErr w:type="gramStart"/>
      <w:r w:rsidRPr="00AF2A84">
        <w:rPr>
          <w:rFonts w:ascii="Times New Roman" w:hAnsi="Times New Roman" w:cs="Times New Roman"/>
          <w:sz w:val="24"/>
          <w:szCs w:val="24"/>
        </w:rPr>
        <w:t>)(</w:t>
      </w:r>
      <w:proofErr w:type="spellStart"/>
      <w:proofErr w:type="gramEnd"/>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of Schedule 1.  Paragraph 1229(3</w:t>
      </w:r>
      <w:proofErr w:type="gramStart"/>
      <w:r w:rsidRPr="00AF2A84">
        <w:rPr>
          <w:rFonts w:ascii="Times New Roman" w:hAnsi="Times New Roman" w:cs="Times New Roman"/>
          <w:sz w:val="24"/>
          <w:szCs w:val="24"/>
        </w:rPr>
        <w:t>)(</w:t>
      </w:r>
      <w:proofErr w:type="spellStart"/>
      <w:proofErr w:type="gramEnd"/>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is inserted in Schedule 1 to the Migration Regulations by item 1 of this Schedule, above.  The period mentioned is from 1 July 2022 to 30 June 2023, unless a later date is specified by the Minister in an instrument. Paragraph 1229(3)(</w:t>
      </w:r>
      <w:proofErr w:type="spellStart"/>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xml:space="preserve">) provides that applications made during that period are not required to nominate an eligible skilled occupation and therefore clause 485.223 is not relevant in respect of those applications.   </w:t>
      </w:r>
    </w:p>
    <w:p w14:paraId="52ED3AA8" w14:textId="77777777" w:rsidR="00AF2A84" w:rsidRPr="00AF2A84" w:rsidRDefault="00AF2A84" w:rsidP="00AF2A84">
      <w:pPr>
        <w:tabs>
          <w:tab w:val="left" w:pos="6023"/>
        </w:tabs>
        <w:rPr>
          <w:rFonts w:ascii="Times New Roman" w:hAnsi="Times New Roman" w:cs="Times New Roman"/>
          <w:b/>
          <w:sz w:val="24"/>
          <w:szCs w:val="24"/>
        </w:rPr>
      </w:pPr>
      <w:r w:rsidRPr="00AF2A84">
        <w:rPr>
          <w:rFonts w:ascii="Times New Roman" w:hAnsi="Times New Roman" w:cs="Times New Roman"/>
          <w:b/>
          <w:sz w:val="24"/>
          <w:szCs w:val="24"/>
        </w:rPr>
        <w:t>Item [6] – At the end of clause 485.224 of Schedule 2</w:t>
      </w:r>
    </w:p>
    <w:p w14:paraId="71F00E14"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This item adds a new </w:t>
      </w:r>
      <w:proofErr w:type="spellStart"/>
      <w:r w:rsidRPr="00AF2A84">
        <w:rPr>
          <w:rFonts w:ascii="Times New Roman" w:hAnsi="Times New Roman" w:cs="Times New Roman"/>
          <w:sz w:val="24"/>
          <w:szCs w:val="24"/>
        </w:rPr>
        <w:t>subclause</w:t>
      </w:r>
      <w:proofErr w:type="spellEnd"/>
      <w:r w:rsidRPr="00AF2A84">
        <w:rPr>
          <w:rFonts w:ascii="Times New Roman" w:hAnsi="Times New Roman" w:cs="Times New Roman"/>
          <w:sz w:val="24"/>
          <w:szCs w:val="24"/>
        </w:rPr>
        <w:t xml:space="preserve"> 485.224(3) in clause 485.224 of Schedule 2 to the Migration Regulations. </w:t>
      </w:r>
    </w:p>
    <w:p w14:paraId="2159074F" w14:textId="77777777" w:rsidR="00AF2A84" w:rsidRPr="00AF2A84" w:rsidRDefault="00AF2A84" w:rsidP="00AF2A84">
      <w:pPr>
        <w:tabs>
          <w:tab w:val="left" w:pos="6023"/>
        </w:tabs>
        <w:rPr>
          <w:rFonts w:ascii="Times New Roman" w:hAnsi="Times New Roman" w:cs="Times New Roman"/>
          <w:sz w:val="24"/>
          <w:szCs w:val="24"/>
        </w:rPr>
      </w:pPr>
      <w:r w:rsidRPr="00AF2A84">
        <w:rPr>
          <w:rFonts w:ascii="Times New Roman" w:hAnsi="Times New Roman" w:cs="Times New Roman"/>
          <w:sz w:val="24"/>
          <w:szCs w:val="24"/>
        </w:rPr>
        <w:t xml:space="preserve">New </w:t>
      </w:r>
      <w:proofErr w:type="spellStart"/>
      <w:r w:rsidRPr="00AF2A84">
        <w:rPr>
          <w:rFonts w:ascii="Times New Roman" w:hAnsi="Times New Roman" w:cs="Times New Roman"/>
          <w:sz w:val="24"/>
          <w:szCs w:val="24"/>
        </w:rPr>
        <w:t>subclause</w:t>
      </w:r>
      <w:proofErr w:type="spellEnd"/>
      <w:r w:rsidRPr="00AF2A84">
        <w:rPr>
          <w:rFonts w:ascii="Times New Roman" w:hAnsi="Times New Roman" w:cs="Times New Roman"/>
          <w:sz w:val="24"/>
          <w:szCs w:val="24"/>
        </w:rPr>
        <w:t xml:space="preserve"> 485.224(3) provides that </w:t>
      </w:r>
      <w:proofErr w:type="spellStart"/>
      <w:r w:rsidRPr="00AF2A84">
        <w:rPr>
          <w:rFonts w:ascii="Times New Roman" w:hAnsi="Times New Roman" w:cs="Times New Roman"/>
          <w:sz w:val="24"/>
          <w:szCs w:val="24"/>
        </w:rPr>
        <w:t>subclauses</w:t>
      </w:r>
      <w:proofErr w:type="spellEnd"/>
      <w:r w:rsidRPr="00AF2A84">
        <w:rPr>
          <w:rFonts w:ascii="Times New Roman" w:hAnsi="Times New Roman" w:cs="Times New Roman"/>
          <w:sz w:val="24"/>
          <w:szCs w:val="24"/>
        </w:rPr>
        <w:t xml:space="preserve"> (1), (1A) and (2) do not apply if the application is made during the period mentioned in paragraph 1229(3)(</w:t>
      </w:r>
      <w:proofErr w:type="spellStart"/>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of Schedule 1. Paragraph 1229(3</w:t>
      </w:r>
      <w:proofErr w:type="gramStart"/>
      <w:r w:rsidRPr="00AF2A84">
        <w:rPr>
          <w:rFonts w:ascii="Times New Roman" w:hAnsi="Times New Roman" w:cs="Times New Roman"/>
          <w:sz w:val="24"/>
          <w:szCs w:val="24"/>
        </w:rPr>
        <w:t>)(</w:t>
      </w:r>
      <w:proofErr w:type="spellStart"/>
      <w:proofErr w:type="gramEnd"/>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xml:space="preserve">) is inserted in Schedule 1 to the Migration Regulations by item 1 of this Schedule, above.  The period mentioned is from 1 July 2022 to 30 June 2023, unless a later date is specified by the Minister in an instrument. </w:t>
      </w:r>
    </w:p>
    <w:p w14:paraId="6F7A26DB" w14:textId="6905C25B" w:rsidR="00AF2A84" w:rsidRPr="00AF2A84" w:rsidRDefault="00AF2A84" w:rsidP="00AF2A84">
      <w:pPr>
        <w:tabs>
          <w:tab w:val="left" w:pos="6023"/>
        </w:tabs>
        <w:rPr>
          <w:rFonts w:ascii="Times New Roman" w:hAnsi="Times New Roman" w:cs="Times New Roman"/>
          <w:sz w:val="24"/>
          <w:szCs w:val="24"/>
        </w:rPr>
      </w:pPr>
      <w:proofErr w:type="spellStart"/>
      <w:r w:rsidRPr="00AF2A84">
        <w:rPr>
          <w:rFonts w:ascii="Times New Roman" w:hAnsi="Times New Roman" w:cs="Times New Roman"/>
          <w:sz w:val="24"/>
          <w:szCs w:val="24"/>
        </w:rPr>
        <w:t>Subclauses</w:t>
      </w:r>
      <w:proofErr w:type="spellEnd"/>
      <w:r w:rsidRPr="00AF2A84">
        <w:rPr>
          <w:rFonts w:ascii="Times New Roman" w:hAnsi="Times New Roman" w:cs="Times New Roman"/>
          <w:sz w:val="24"/>
          <w:szCs w:val="24"/>
        </w:rPr>
        <w:t xml:space="preserve"> 485.224(1), (1A) and (2) require that the applicant’s skills for the applicant’s nominated skilled occupation must have been assessed by a relevant assessing authority during the last 3 years as suitable for the occupation, and make other requirements relating to the skills assessment.  Paragraph 1229(3)(</w:t>
      </w:r>
      <w:proofErr w:type="spellStart"/>
      <w:r w:rsidRPr="00AF2A84">
        <w:rPr>
          <w:rFonts w:ascii="Times New Roman" w:hAnsi="Times New Roman" w:cs="Times New Roman"/>
          <w:sz w:val="24"/>
          <w:szCs w:val="24"/>
        </w:rPr>
        <w:t>ka</w:t>
      </w:r>
      <w:proofErr w:type="spellEnd"/>
      <w:r w:rsidRPr="00AF2A84">
        <w:rPr>
          <w:rFonts w:ascii="Times New Roman" w:hAnsi="Times New Roman" w:cs="Times New Roman"/>
          <w:sz w:val="24"/>
          <w:szCs w:val="24"/>
        </w:rPr>
        <w:t xml:space="preserve">) provides that applications made during the period referred to are not required to nominate an eligible skilled occupation, and </w:t>
      </w:r>
      <w:r w:rsidR="00C45472">
        <w:rPr>
          <w:rFonts w:ascii="Times New Roman" w:hAnsi="Times New Roman" w:cs="Times New Roman"/>
          <w:sz w:val="24"/>
          <w:szCs w:val="24"/>
        </w:rPr>
        <w:t xml:space="preserve">therefore </w:t>
      </w:r>
      <w:proofErr w:type="spellStart"/>
      <w:r w:rsidR="00C45472">
        <w:rPr>
          <w:rFonts w:ascii="Times New Roman" w:hAnsi="Times New Roman" w:cs="Times New Roman"/>
          <w:sz w:val="24"/>
          <w:szCs w:val="24"/>
        </w:rPr>
        <w:t>subclauses</w:t>
      </w:r>
      <w:proofErr w:type="spellEnd"/>
      <w:r w:rsidR="00C45472">
        <w:rPr>
          <w:rFonts w:ascii="Times New Roman" w:hAnsi="Times New Roman" w:cs="Times New Roman"/>
          <w:sz w:val="24"/>
          <w:szCs w:val="24"/>
        </w:rPr>
        <w:t xml:space="preserve"> 485.224(1)</w:t>
      </w:r>
      <w:bookmarkStart w:id="3" w:name="_GoBack"/>
      <w:bookmarkEnd w:id="3"/>
      <w:r w:rsidRPr="00AF2A84">
        <w:rPr>
          <w:rFonts w:ascii="Times New Roman" w:hAnsi="Times New Roman" w:cs="Times New Roman"/>
          <w:sz w:val="24"/>
          <w:szCs w:val="24"/>
        </w:rPr>
        <w:t xml:space="preserve">, (1A) and (2) are not relevant in respect of those applications.    </w:t>
      </w:r>
    </w:p>
    <w:p w14:paraId="3C319280" w14:textId="77777777" w:rsidR="00AF2A84" w:rsidRDefault="00AF2A84" w:rsidP="00AF2A84">
      <w:pPr>
        <w:tabs>
          <w:tab w:val="left" w:pos="6023"/>
        </w:tabs>
      </w:pPr>
    </w:p>
    <w:p w14:paraId="154771A2" w14:textId="77777777" w:rsidR="004D7BE7" w:rsidRPr="00474081" w:rsidRDefault="004D7BE7" w:rsidP="00AF2A84">
      <w:pPr>
        <w:spacing w:before="240" w:after="0" w:line="240" w:lineRule="auto"/>
        <w:rPr>
          <w:rFonts w:ascii="Times New Roman" w:hAnsi="Times New Roman" w:cs="Times New Roman"/>
          <w:sz w:val="24"/>
          <w:szCs w:val="24"/>
        </w:rPr>
      </w:pPr>
    </w:p>
    <w:sectPr w:rsidR="004D7BE7" w:rsidRPr="004740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CDB5" w14:textId="77777777" w:rsidR="00622D29" w:rsidRDefault="00622D29" w:rsidP="00622D29">
      <w:pPr>
        <w:spacing w:after="0" w:line="240" w:lineRule="auto"/>
      </w:pPr>
      <w:r>
        <w:separator/>
      </w:r>
    </w:p>
  </w:endnote>
  <w:endnote w:type="continuationSeparator" w:id="0">
    <w:p w14:paraId="0503C352" w14:textId="77777777" w:rsidR="00622D29" w:rsidRDefault="00622D29" w:rsidP="0062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72ECD" w14:textId="77777777" w:rsidR="00622D29" w:rsidRDefault="00622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4683" w14:textId="77777777" w:rsidR="00622D29" w:rsidRDefault="00622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C47B" w14:textId="77777777" w:rsidR="00622D29" w:rsidRDefault="0062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B1736" w14:textId="77777777" w:rsidR="00622D29" w:rsidRDefault="00622D29" w:rsidP="00622D29">
      <w:pPr>
        <w:spacing w:after="0" w:line="240" w:lineRule="auto"/>
      </w:pPr>
      <w:r>
        <w:separator/>
      </w:r>
    </w:p>
  </w:footnote>
  <w:footnote w:type="continuationSeparator" w:id="0">
    <w:p w14:paraId="7549038B" w14:textId="77777777" w:rsidR="00622D29" w:rsidRDefault="00622D29" w:rsidP="0062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0777" w14:textId="77777777" w:rsidR="00622D29" w:rsidRDefault="00622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C4142" w14:textId="77777777" w:rsidR="00622D29" w:rsidRDefault="00622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EC6C" w14:textId="77777777" w:rsidR="00622D29" w:rsidRDefault="00622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144"/>
    <w:multiLevelType w:val="hybridMultilevel"/>
    <w:tmpl w:val="339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066A86"/>
    <w:multiLevelType w:val="hybridMultilevel"/>
    <w:tmpl w:val="7AFEC6D4"/>
    <w:lvl w:ilvl="0" w:tplc="BCC0C456">
      <w:start w:val="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2A0BFE"/>
    <w:multiLevelType w:val="hybridMultilevel"/>
    <w:tmpl w:val="978E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0D787B"/>
    <w:multiLevelType w:val="hybridMultilevel"/>
    <w:tmpl w:val="43D0E19C"/>
    <w:lvl w:ilvl="0" w:tplc="BCC0C45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A67D69"/>
    <w:multiLevelType w:val="hybridMultilevel"/>
    <w:tmpl w:val="E3AA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934BBB"/>
    <w:multiLevelType w:val="hybridMultilevel"/>
    <w:tmpl w:val="E916A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9312A62"/>
    <w:multiLevelType w:val="hybridMultilevel"/>
    <w:tmpl w:val="4E30F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72431B"/>
    <w:multiLevelType w:val="hybridMultilevel"/>
    <w:tmpl w:val="EEC6C9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0FC4EF6"/>
    <w:multiLevelType w:val="hybridMultilevel"/>
    <w:tmpl w:val="17B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0"/>
  </w:num>
  <w:num w:numId="7">
    <w:abstractNumId w:val="3"/>
  </w:num>
  <w:num w:numId="8">
    <w:abstractNumId w:val="5"/>
  </w:num>
  <w:num w:numId="9">
    <w:abstractNumId w:val="8"/>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1"/>
    <w:rsid w:val="00016F6D"/>
    <w:rsid w:val="00043A0B"/>
    <w:rsid w:val="0005731A"/>
    <w:rsid w:val="000E4B35"/>
    <w:rsid w:val="00104FBD"/>
    <w:rsid w:val="0015480B"/>
    <w:rsid w:val="0017233B"/>
    <w:rsid w:val="001939DF"/>
    <w:rsid w:val="001C2484"/>
    <w:rsid w:val="001C514B"/>
    <w:rsid w:val="00211E5A"/>
    <w:rsid w:val="00240119"/>
    <w:rsid w:val="00263615"/>
    <w:rsid w:val="002A58E5"/>
    <w:rsid w:val="00392350"/>
    <w:rsid w:val="003929D9"/>
    <w:rsid w:val="00411FB7"/>
    <w:rsid w:val="00474081"/>
    <w:rsid w:val="00496F86"/>
    <w:rsid w:val="004D7BE7"/>
    <w:rsid w:val="00504A96"/>
    <w:rsid w:val="0056172E"/>
    <w:rsid w:val="00614F7F"/>
    <w:rsid w:val="00622D29"/>
    <w:rsid w:val="006B042D"/>
    <w:rsid w:val="006E5815"/>
    <w:rsid w:val="0079157D"/>
    <w:rsid w:val="007F2D22"/>
    <w:rsid w:val="007F3BDC"/>
    <w:rsid w:val="00872BEF"/>
    <w:rsid w:val="00882883"/>
    <w:rsid w:val="00891F6B"/>
    <w:rsid w:val="00895C3D"/>
    <w:rsid w:val="009127B2"/>
    <w:rsid w:val="00924166"/>
    <w:rsid w:val="0093455D"/>
    <w:rsid w:val="00946632"/>
    <w:rsid w:val="0095553C"/>
    <w:rsid w:val="00A2654A"/>
    <w:rsid w:val="00A4431F"/>
    <w:rsid w:val="00A50764"/>
    <w:rsid w:val="00A618B8"/>
    <w:rsid w:val="00A96F62"/>
    <w:rsid w:val="00AA26B0"/>
    <w:rsid w:val="00AB015A"/>
    <w:rsid w:val="00AC70BF"/>
    <w:rsid w:val="00AF2A84"/>
    <w:rsid w:val="00B16F19"/>
    <w:rsid w:val="00B42519"/>
    <w:rsid w:val="00B66E13"/>
    <w:rsid w:val="00BA0B3C"/>
    <w:rsid w:val="00C35219"/>
    <w:rsid w:val="00C45472"/>
    <w:rsid w:val="00C47406"/>
    <w:rsid w:val="00C478BA"/>
    <w:rsid w:val="00C62804"/>
    <w:rsid w:val="00C7282E"/>
    <w:rsid w:val="00CC0CD2"/>
    <w:rsid w:val="00CD1E62"/>
    <w:rsid w:val="00CD5A08"/>
    <w:rsid w:val="00D72348"/>
    <w:rsid w:val="00D82908"/>
    <w:rsid w:val="00DE3690"/>
    <w:rsid w:val="00E4620D"/>
    <w:rsid w:val="00E97FF9"/>
    <w:rsid w:val="00F30300"/>
    <w:rsid w:val="00F52AB7"/>
    <w:rsid w:val="00FA2A98"/>
    <w:rsid w:val="00FB3FDC"/>
    <w:rsid w:val="00FE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E9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81"/>
    <w:pPr>
      <w:spacing w:line="256" w:lineRule="auto"/>
    </w:pPr>
  </w:style>
  <w:style w:type="paragraph" w:styleId="Heading2">
    <w:name w:val="heading 2"/>
    <w:basedOn w:val="Normal"/>
    <w:next w:val="Normal"/>
    <w:link w:val="Heading2Char"/>
    <w:uiPriority w:val="9"/>
    <w:unhideWhenUsed/>
    <w:qFormat/>
    <w:rsid w:val="00955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883"/>
    <w:pPr>
      <w:spacing w:before="120" w:after="120" w:line="240" w:lineRule="auto"/>
      <w:jc w:val="both"/>
      <w:outlineLvl w:val="2"/>
    </w:pPr>
    <w:rPr>
      <w:rFonts w:ascii="Times New Roman" w:hAnsi="Times New Roman"/>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016F6D"/>
    <w:pPr>
      <w:ind w:left="720"/>
      <w:contextualSpacing/>
    </w:pPr>
  </w:style>
  <w:style w:type="paragraph" w:customStyle="1" w:styleId="Default">
    <w:name w:val="Default"/>
    <w:rsid w:val="004D7BE7"/>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CommentReference">
    <w:name w:val="annotation reference"/>
    <w:basedOn w:val="DefaultParagraphFont"/>
    <w:uiPriority w:val="99"/>
    <w:semiHidden/>
    <w:unhideWhenUsed/>
    <w:rsid w:val="003929D9"/>
    <w:rPr>
      <w:sz w:val="16"/>
      <w:szCs w:val="16"/>
    </w:rPr>
  </w:style>
  <w:style w:type="paragraph" w:styleId="CommentText">
    <w:name w:val="annotation text"/>
    <w:basedOn w:val="Normal"/>
    <w:link w:val="CommentTextChar"/>
    <w:uiPriority w:val="99"/>
    <w:unhideWhenUsed/>
    <w:rsid w:val="003929D9"/>
    <w:pPr>
      <w:spacing w:line="240" w:lineRule="auto"/>
    </w:pPr>
    <w:rPr>
      <w:sz w:val="20"/>
      <w:szCs w:val="20"/>
    </w:rPr>
  </w:style>
  <w:style w:type="character" w:customStyle="1" w:styleId="CommentTextChar">
    <w:name w:val="Comment Text Char"/>
    <w:basedOn w:val="DefaultParagraphFont"/>
    <w:link w:val="CommentText"/>
    <w:uiPriority w:val="99"/>
    <w:rsid w:val="003929D9"/>
    <w:rPr>
      <w:sz w:val="20"/>
      <w:szCs w:val="20"/>
    </w:rPr>
  </w:style>
  <w:style w:type="paragraph" w:styleId="BalloonText">
    <w:name w:val="Balloon Text"/>
    <w:basedOn w:val="Normal"/>
    <w:link w:val="BalloonTextChar"/>
    <w:uiPriority w:val="99"/>
    <w:semiHidden/>
    <w:unhideWhenUsed/>
    <w:rsid w:val="0039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4A96"/>
    <w:rPr>
      <w:b/>
      <w:bCs/>
    </w:rPr>
  </w:style>
  <w:style w:type="character" w:customStyle="1" w:styleId="CommentSubjectChar">
    <w:name w:val="Comment Subject Char"/>
    <w:basedOn w:val="CommentTextChar"/>
    <w:link w:val="CommentSubject"/>
    <w:uiPriority w:val="99"/>
    <w:semiHidden/>
    <w:rsid w:val="00504A96"/>
    <w:rPr>
      <w:b/>
      <w:bCs/>
      <w:sz w:val="20"/>
      <w:szCs w:val="20"/>
    </w:rPr>
  </w:style>
  <w:style w:type="character" w:customStyle="1" w:styleId="Heading3Char">
    <w:name w:val="Heading 3 Char"/>
    <w:basedOn w:val="DefaultParagraphFont"/>
    <w:link w:val="Heading3"/>
    <w:uiPriority w:val="9"/>
    <w:rsid w:val="00882883"/>
    <w:rPr>
      <w:rFonts w:ascii="Times New Roman" w:hAnsi="Times New Roman"/>
      <w:b/>
      <w:sz w:val="24"/>
      <w:szCs w:val="24"/>
      <w:lang w:val="en-AU"/>
    </w:rPr>
  </w:style>
  <w:style w:type="paragraph" w:styleId="Header">
    <w:name w:val="header"/>
    <w:basedOn w:val="Normal"/>
    <w:link w:val="HeaderChar"/>
    <w:uiPriority w:val="47"/>
    <w:unhideWhenUsed/>
    <w:rsid w:val="00A618B8"/>
    <w:pPr>
      <w:tabs>
        <w:tab w:val="center" w:pos="4513"/>
        <w:tab w:val="right" w:pos="9026"/>
      </w:tabs>
      <w:spacing w:after="200" w:line="276" w:lineRule="auto"/>
    </w:pPr>
    <w:rPr>
      <w:rFonts w:ascii="Calibri" w:eastAsia="Calibri" w:hAnsi="Calibri" w:cs="Times New Roman"/>
      <w:lang w:val="en-AU"/>
    </w:rPr>
  </w:style>
  <w:style w:type="character" w:customStyle="1" w:styleId="HeaderChar">
    <w:name w:val="Header Char"/>
    <w:basedOn w:val="DefaultParagraphFont"/>
    <w:link w:val="Header"/>
    <w:uiPriority w:val="47"/>
    <w:rsid w:val="00A618B8"/>
    <w:rPr>
      <w:rFonts w:ascii="Calibri" w:eastAsia="Calibri" w:hAnsi="Calibri" w:cs="Times New Roman"/>
      <w:lang w:val="en-AU"/>
    </w:rPr>
  </w:style>
  <w:style w:type="paragraph" w:customStyle="1" w:styleId="ItemHead">
    <w:name w:val="ItemHead"/>
    <w:aliases w:val="ih"/>
    <w:basedOn w:val="Normal"/>
    <w:next w:val="Normal"/>
    <w:rsid w:val="00AF2A84"/>
    <w:pPr>
      <w:keepNext/>
      <w:keepLines/>
      <w:spacing w:before="220" w:after="0" w:line="240" w:lineRule="auto"/>
      <w:ind w:left="709" w:hanging="709"/>
    </w:pPr>
    <w:rPr>
      <w:rFonts w:ascii="Arial" w:eastAsiaTheme="minorEastAsia" w:hAnsi="Arial" w:cs="Arial"/>
      <w:b/>
      <w:bCs/>
      <w:kern w:val="28"/>
      <w:sz w:val="24"/>
      <w:szCs w:val="24"/>
      <w:lang w:val="en-AU" w:eastAsia="en-AU"/>
    </w:rPr>
  </w:style>
  <w:style w:type="character" w:customStyle="1" w:styleId="Heading2Char">
    <w:name w:val="Heading 2 Char"/>
    <w:basedOn w:val="DefaultParagraphFont"/>
    <w:link w:val="Heading2"/>
    <w:uiPriority w:val="9"/>
    <w:rsid w:val="0095553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95553C"/>
  </w:style>
  <w:style w:type="paragraph" w:styleId="Footer">
    <w:name w:val="footer"/>
    <w:basedOn w:val="Normal"/>
    <w:link w:val="FooterChar"/>
    <w:uiPriority w:val="99"/>
    <w:unhideWhenUsed/>
    <w:rsid w:val="00622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8966">
      <w:bodyDiv w:val="1"/>
      <w:marLeft w:val="0"/>
      <w:marRight w:val="0"/>
      <w:marTop w:val="0"/>
      <w:marBottom w:val="0"/>
      <w:divBdr>
        <w:top w:val="none" w:sz="0" w:space="0" w:color="auto"/>
        <w:left w:val="none" w:sz="0" w:space="0" w:color="auto"/>
        <w:bottom w:val="none" w:sz="0" w:space="0" w:color="auto"/>
        <w:right w:val="none" w:sz="0" w:space="0" w:color="auto"/>
      </w:divBdr>
    </w:div>
    <w:div w:id="565644996">
      <w:bodyDiv w:val="1"/>
      <w:marLeft w:val="0"/>
      <w:marRight w:val="0"/>
      <w:marTop w:val="0"/>
      <w:marBottom w:val="0"/>
      <w:divBdr>
        <w:top w:val="none" w:sz="0" w:space="0" w:color="auto"/>
        <w:left w:val="none" w:sz="0" w:space="0" w:color="auto"/>
        <w:bottom w:val="none" w:sz="0" w:space="0" w:color="auto"/>
        <w:right w:val="none" w:sz="0" w:space="0" w:color="auto"/>
      </w:divBdr>
    </w:div>
    <w:div w:id="680664622">
      <w:bodyDiv w:val="1"/>
      <w:marLeft w:val="0"/>
      <w:marRight w:val="0"/>
      <w:marTop w:val="0"/>
      <w:marBottom w:val="0"/>
      <w:divBdr>
        <w:top w:val="none" w:sz="0" w:space="0" w:color="auto"/>
        <w:left w:val="none" w:sz="0" w:space="0" w:color="auto"/>
        <w:bottom w:val="none" w:sz="0" w:space="0" w:color="auto"/>
        <w:right w:val="none" w:sz="0" w:space="0" w:color="auto"/>
      </w:divBdr>
    </w:div>
    <w:div w:id="1077048881">
      <w:bodyDiv w:val="1"/>
      <w:marLeft w:val="0"/>
      <w:marRight w:val="0"/>
      <w:marTop w:val="0"/>
      <w:marBottom w:val="0"/>
      <w:divBdr>
        <w:top w:val="none" w:sz="0" w:space="0" w:color="auto"/>
        <w:left w:val="none" w:sz="0" w:space="0" w:color="auto"/>
        <w:bottom w:val="none" w:sz="0" w:space="0" w:color="auto"/>
        <w:right w:val="none" w:sz="0" w:space="0" w:color="auto"/>
      </w:divBdr>
    </w:div>
    <w:div w:id="1148127279">
      <w:bodyDiv w:val="1"/>
      <w:marLeft w:val="0"/>
      <w:marRight w:val="0"/>
      <w:marTop w:val="0"/>
      <w:marBottom w:val="0"/>
      <w:divBdr>
        <w:top w:val="none" w:sz="0" w:space="0" w:color="auto"/>
        <w:left w:val="none" w:sz="0" w:space="0" w:color="auto"/>
        <w:bottom w:val="none" w:sz="0" w:space="0" w:color="auto"/>
        <w:right w:val="none" w:sz="0" w:space="0" w:color="auto"/>
      </w:divBdr>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4522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2022-06-23T05:14:00Z</dcterms:created>
  <dcterms:modified xsi:type="dcterms:W3CDTF">2022-06-23T05:14:00Z</dcterms:modified>
</cp:coreProperties>
</file>