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37E0" w14:textId="27619E6C" w:rsidR="000A23BC" w:rsidRPr="003E0AC3" w:rsidRDefault="000A23BC" w:rsidP="00E64A5A">
      <w:pPr>
        <w:spacing w:before="0"/>
        <w:ind w:right="40" w:firstLine="720"/>
        <w:jc w:val="center"/>
        <w:rPr>
          <w:b/>
          <w:bCs/>
          <w:u w:val="single"/>
        </w:rPr>
      </w:pPr>
      <w:r w:rsidRPr="003E0AC3">
        <w:rPr>
          <w:b/>
          <w:bCs/>
          <w:u w:val="single"/>
        </w:rPr>
        <w:t>EXPLANATORY STATEMENT</w:t>
      </w:r>
    </w:p>
    <w:p w14:paraId="50124F96" w14:textId="77777777" w:rsidR="000A23BC" w:rsidRPr="003E0AC3" w:rsidRDefault="000A23BC" w:rsidP="000A23BC">
      <w:pPr>
        <w:spacing w:before="0"/>
        <w:ind w:right="40"/>
        <w:jc w:val="center"/>
        <w:rPr>
          <w:b/>
          <w:bCs/>
          <w:u w:val="single"/>
        </w:rPr>
      </w:pPr>
    </w:p>
    <w:p w14:paraId="63773C2F" w14:textId="790F0A9D" w:rsidR="007A3D0E" w:rsidRPr="003E0AC3" w:rsidRDefault="007A3D0E" w:rsidP="007A3D0E">
      <w:pPr>
        <w:jc w:val="center"/>
      </w:pPr>
      <w:r>
        <w:t xml:space="preserve">Issued by the Minister for </w:t>
      </w:r>
      <w:r>
        <w:rPr>
          <w:szCs w:val="24"/>
        </w:rPr>
        <w:t>Immigration, Citizenship and Multicultural Affairs</w:t>
      </w:r>
    </w:p>
    <w:p w14:paraId="08B57E15" w14:textId="77777777" w:rsidR="000A23BC" w:rsidRPr="003E0AC3" w:rsidRDefault="000A23BC" w:rsidP="000A23BC">
      <w:pPr>
        <w:spacing w:before="0"/>
        <w:ind w:right="40"/>
        <w:jc w:val="center"/>
      </w:pPr>
    </w:p>
    <w:p w14:paraId="35B29571" w14:textId="77777777" w:rsidR="000A23BC" w:rsidRPr="003E0AC3" w:rsidRDefault="000A23BC" w:rsidP="000A23BC">
      <w:pPr>
        <w:spacing w:before="0"/>
        <w:ind w:right="40"/>
        <w:jc w:val="center"/>
        <w:rPr>
          <w:i/>
          <w:iCs/>
        </w:rPr>
      </w:pPr>
      <w:r w:rsidRPr="003E0AC3">
        <w:rPr>
          <w:i/>
          <w:iCs/>
        </w:rPr>
        <w:t>Migration Act 1958</w:t>
      </w:r>
    </w:p>
    <w:p w14:paraId="1F1BD12A" w14:textId="77777777" w:rsidR="000A23BC" w:rsidRPr="003E0AC3" w:rsidRDefault="000A23BC" w:rsidP="000A23BC">
      <w:pPr>
        <w:spacing w:before="0"/>
        <w:ind w:right="91"/>
        <w:jc w:val="center"/>
        <w:rPr>
          <w:i/>
          <w:iCs/>
        </w:rPr>
      </w:pPr>
    </w:p>
    <w:p w14:paraId="09340C2E" w14:textId="054C4D17" w:rsidR="000A23BC" w:rsidRPr="003E0AC3" w:rsidRDefault="000A23BC" w:rsidP="000A23BC">
      <w:pPr>
        <w:spacing w:before="0"/>
        <w:ind w:right="91"/>
        <w:jc w:val="center"/>
        <w:rPr>
          <w:i/>
          <w:iCs/>
        </w:rPr>
      </w:pPr>
      <w:r w:rsidRPr="003E0AC3">
        <w:rPr>
          <w:i/>
          <w:iCs/>
        </w:rPr>
        <w:t>Migration Amendment (</w:t>
      </w:r>
      <w:r>
        <w:rPr>
          <w:i/>
          <w:iCs/>
        </w:rPr>
        <w:t>Visa Application Charges</w:t>
      </w:r>
      <w:r w:rsidR="00DA2685">
        <w:rPr>
          <w:i/>
          <w:iCs/>
        </w:rPr>
        <w:t>) Regulations 2022</w:t>
      </w:r>
    </w:p>
    <w:p w14:paraId="2CC404F9" w14:textId="77777777" w:rsidR="000A23BC" w:rsidRPr="003E0AC3" w:rsidRDefault="000A23BC" w:rsidP="000A23BC">
      <w:pPr>
        <w:keepNext/>
        <w:keepLines/>
        <w:spacing w:before="0"/>
        <w:ind w:right="91"/>
        <w:jc w:val="center"/>
      </w:pPr>
    </w:p>
    <w:p w14:paraId="5609B102" w14:textId="77777777" w:rsidR="00B841B9" w:rsidRPr="00042AA6" w:rsidRDefault="00B841B9" w:rsidP="00B841B9">
      <w:pPr>
        <w:spacing w:before="0"/>
        <w:ind w:left="1440" w:right="91"/>
        <w:jc w:val="center"/>
        <w:rPr>
          <w:i/>
        </w:rPr>
      </w:pPr>
    </w:p>
    <w:p w14:paraId="673EB6DE" w14:textId="77777777" w:rsidR="000A23BC" w:rsidRPr="003E0AC3" w:rsidRDefault="000A23BC" w:rsidP="000A23BC">
      <w:pPr>
        <w:spacing w:before="0"/>
        <w:ind w:right="42"/>
      </w:pPr>
      <w:r w:rsidRPr="003E0AC3">
        <w:t xml:space="preserve">The </w:t>
      </w:r>
      <w:r w:rsidRPr="003E0AC3">
        <w:rPr>
          <w:i/>
          <w:iCs/>
        </w:rPr>
        <w:t>Migration Act 1958</w:t>
      </w:r>
      <w:r w:rsidRPr="003E0AC3">
        <w:t xml:space="preserve"> (the Migration Act) is an Act relating to the entry into, and presence in, Australia of aliens, and the departure or deportation from Australia of aliens and certain other persons.</w:t>
      </w:r>
    </w:p>
    <w:p w14:paraId="6BFA433B" w14:textId="77777777" w:rsidR="000A23BC" w:rsidRPr="003E0AC3" w:rsidRDefault="000A23BC" w:rsidP="000A23BC">
      <w:pPr>
        <w:keepNext/>
        <w:keepLines/>
        <w:spacing w:before="0"/>
        <w:ind w:right="91"/>
      </w:pPr>
    </w:p>
    <w:p w14:paraId="7AF20D70" w14:textId="6EB0C01A" w:rsidR="000A23BC" w:rsidRDefault="000A23BC" w:rsidP="000A23BC">
      <w:pPr>
        <w:keepNext/>
        <w:keepLines/>
        <w:spacing w:before="0"/>
        <w:ind w:right="91"/>
      </w:pPr>
      <w:r w:rsidRPr="003E0AC3">
        <w:t>Subsection 504(1) of the Migration Act</w:t>
      </w:r>
      <w:r w:rsidRPr="003E0AC3">
        <w:rPr>
          <w:i/>
          <w:iCs/>
        </w:rPr>
        <w:t xml:space="preserve"> </w:t>
      </w:r>
      <w:r w:rsidRPr="003E0AC3">
        <w:t>provides that the Governor-General may make regulations, not inconsistent with the Migration Act, prescribing matters required or permitted to be prescribed, or necessary or convenient to be prescribed, for carrying out or giving effect to the Migration Act.</w:t>
      </w:r>
    </w:p>
    <w:p w14:paraId="0DC685A8" w14:textId="0D90FF13" w:rsidR="000F201A" w:rsidRDefault="000F201A" w:rsidP="000A23BC">
      <w:pPr>
        <w:keepNext/>
        <w:keepLines/>
        <w:spacing w:before="0"/>
        <w:ind w:right="91"/>
      </w:pPr>
    </w:p>
    <w:p w14:paraId="7255E3BE" w14:textId="669705D9" w:rsidR="000F201A" w:rsidRPr="008E5FC9" w:rsidRDefault="000F201A" w:rsidP="00BE4EBB">
      <w:pPr>
        <w:keepNext/>
        <w:keepLines/>
        <w:spacing w:before="0"/>
        <w:ind w:right="91"/>
      </w:pPr>
      <w:r>
        <w:t>S</w:t>
      </w:r>
      <w:r w:rsidRPr="008E5FC9">
        <w:t>ubsection 45B(1) of the</w:t>
      </w:r>
      <w:r w:rsidR="00BE4EBB">
        <w:t xml:space="preserve"> Migration</w:t>
      </w:r>
      <w:r w:rsidRPr="008E5FC9">
        <w:t xml:space="preserve"> Act provides that the amount of the </w:t>
      </w:r>
      <w:r w:rsidR="00BE4EBB">
        <w:t xml:space="preserve">visa application charge (VAC) </w:t>
      </w:r>
      <w:r w:rsidRPr="008E5FC9">
        <w:t xml:space="preserve">is the amount, not exceeding the </w:t>
      </w:r>
      <w:r w:rsidR="00BE4EBB">
        <w:t>VAC</w:t>
      </w:r>
      <w:r w:rsidRPr="008E5FC9">
        <w:t xml:space="preserve"> limit, prescribed i</w:t>
      </w:r>
      <w:r w:rsidR="00BE4EBB">
        <w:t xml:space="preserve">n relation to the application. </w:t>
      </w:r>
      <w:r w:rsidRPr="008E5FC9">
        <w:t xml:space="preserve">The </w:t>
      </w:r>
      <w:r w:rsidR="00BE4EBB">
        <w:t>VAC</w:t>
      </w:r>
      <w:r w:rsidRPr="008E5FC9">
        <w:t xml:space="preserve"> limit is d</w:t>
      </w:r>
      <w:r>
        <w:t xml:space="preserve">etermined under the </w:t>
      </w:r>
      <w:r w:rsidR="00BE4EBB" w:rsidRPr="008E5FC9">
        <w:rPr>
          <w:i/>
        </w:rPr>
        <w:t>Migration (Visa Application) Charge Act 1997</w:t>
      </w:r>
      <w:r>
        <w:t xml:space="preserve">. </w:t>
      </w:r>
    </w:p>
    <w:p w14:paraId="50A492D4" w14:textId="131B6DD3" w:rsidR="000A23BC" w:rsidRPr="003E0AC3" w:rsidRDefault="000A23BC" w:rsidP="000A23BC">
      <w:pPr>
        <w:keepNext/>
        <w:keepLines/>
        <w:spacing w:before="0"/>
        <w:ind w:right="91"/>
      </w:pPr>
    </w:p>
    <w:p w14:paraId="54A1B032" w14:textId="2A679F1F" w:rsidR="000A23BC" w:rsidRDefault="000A23BC" w:rsidP="000A23BC">
      <w:pPr>
        <w:spacing w:before="0"/>
        <w:ind w:right="91"/>
      </w:pPr>
      <w:r w:rsidRPr="003E0AC3">
        <w:rPr>
          <w:lang w:val="en"/>
        </w:rPr>
        <w:t>The</w:t>
      </w:r>
      <w:r>
        <w:rPr>
          <w:lang w:val="en"/>
        </w:rPr>
        <w:t xml:space="preserve"> purpose of the </w:t>
      </w:r>
      <w:r w:rsidRPr="003E0AC3">
        <w:rPr>
          <w:i/>
          <w:iCs/>
        </w:rPr>
        <w:t>Migration Amendment (</w:t>
      </w:r>
      <w:r>
        <w:rPr>
          <w:i/>
          <w:iCs/>
        </w:rPr>
        <w:t>Visa Application Charges)</w:t>
      </w:r>
      <w:r w:rsidRPr="003E0AC3">
        <w:rPr>
          <w:i/>
          <w:iCs/>
        </w:rPr>
        <w:t xml:space="preserve"> Regulations 202</w:t>
      </w:r>
      <w:r w:rsidR="00DA2685">
        <w:rPr>
          <w:i/>
          <w:iCs/>
        </w:rPr>
        <w:t>2</w:t>
      </w:r>
      <w:r w:rsidRPr="003E0AC3">
        <w:t xml:space="preserve"> </w:t>
      </w:r>
      <w:r w:rsidRPr="00223938">
        <w:t>(the Regulations)</w:t>
      </w:r>
      <w:r>
        <w:t xml:space="preserve"> is to amend the </w:t>
      </w:r>
      <w:r w:rsidRPr="00154DA6">
        <w:rPr>
          <w:i/>
        </w:rPr>
        <w:t>Migration Regulations 1994</w:t>
      </w:r>
      <w:r>
        <w:t xml:space="preserve"> (the Migration Regulations) to make changes to </w:t>
      </w:r>
      <w:r w:rsidR="00BE4EBB">
        <w:t>VACs</w:t>
      </w:r>
      <w:r>
        <w:t xml:space="preserve"> for certain visas </w:t>
      </w:r>
      <w:r w:rsidR="000F201A">
        <w:t xml:space="preserve">to implement the Government’s policy of indexing VACs. </w:t>
      </w:r>
    </w:p>
    <w:p w14:paraId="59F15E8E" w14:textId="77777777" w:rsidR="000A23BC" w:rsidRDefault="000A23BC" w:rsidP="000A23BC">
      <w:pPr>
        <w:spacing w:before="0"/>
        <w:ind w:right="91"/>
      </w:pPr>
    </w:p>
    <w:p w14:paraId="29B8B949" w14:textId="3C54C1EC" w:rsidR="000A23BC" w:rsidRDefault="005E641F" w:rsidP="000A23BC">
      <w:pPr>
        <w:spacing w:before="0"/>
        <w:ind w:right="91"/>
      </w:pPr>
      <w:r>
        <w:t>T</w:t>
      </w:r>
      <w:r w:rsidR="000A23BC">
        <w:t xml:space="preserve">he Regulations </w:t>
      </w:r>
      <w:r w:rsidR="000A23BC" w:rsidRPr="003E0AC3">
        <w:t xml:space="preserve">amend the Migration Regulations </w:t>
      </w:r>
      <w:r w:rsidR="000A23BC">
        <w:t>to increase VACs for a number of visas</w:t>
      </w:r>
      <w:r w:rsidR="000A23BC" w:rsidRPr="00D2440E">
        <w:t xml:space="preserve"> </w:t>
      </w:r>
      <w:r w:rsidR="000A23BC">
        <w:t>by the forecast consumer price index (CPI)</w:t>
      </w:r>
      <w:r w:rsidR="000F201A">
        <w:t xml:space="preserve">. </w:t>
      </w:r>
      <w:r w:rsidR="000A23BC">
        <w:t xml:space="preserve">From </w:t>
      </w:r>
      <w:r w:rsidR="000A23BC" w:rsidRPr="00CE497C">
        <w:t>2017-18</w:t>
      </w:r>
      <w:r w:rsidR="000A23BC">
        <w:t>,</w:t>
      </w:r>
      <w:r w:rsidR="000A23BC" w:rsidRPr="00CE497C">
        <w:t xml:space="preserve"> </w:t>
      </w:r>
      <w:r w:rsidR="000A23BC">
        <w:t>annual indexation of the VAC</w:t>
      </w:r>
      <w:r w:rsidR="00BE4EBB">
        <w:t>s</w:t>
      </w:r>
      <w:r w:rsidR="000A23BC">
        <w:t xml:space="preserve"> has been in accordance with the forecast CPI published annually in the Budget papers.  </w:t>
      </w:r>
    </w:p>
    <w:p w14:paraId="1FE2D6D7" w14:textId="77777777" w:rsidR="00B059D5" w:rsidRDefault="00B059D5" w:rsidP="00B059D5">
      <w:pPr>
        <w:spacing w:before="0"/>
        <w:ind w:right="91"/>
      </w:pPr>
    </w:p>
    <w:p w14:paraId="3CFAFB53" w14:textId="52CFD9CC" w:rsidR="000A23BC" w:rsidRPr="003E0AC3" w:rsidRDefault="000A23BC" w:rsidP="000A23BC">
      <w:pPr>
        <w:spacing w:before="0"/>
        <w:ind w:right="91"/>
      </w:pPr>
      <w:r>
        <w:t xml:space="preserve">In effect, this means that the affected VACs are increased from </w:t>
      </w:r>
      <w:r w:rsidRPr="00D2440E">
        <w:t>the</w:t>
      </w:r>
      <w:r>
        <w:t>ir</w:t>
      </w:r>
      <w:r w:rsidRPr="00D2440E">
        <w:t xml:space="preserve"> </w:t>
      </w:r>
      <w:r w:rsidR="00DA2685">
        <w:t>2021</w:t>
      </w:r>
      <w:r w:rsidR="00DA2685">
        <w:noBreakHyphen/>
        <w:t>22</w:t>
      </w:r>
      <w:r>
        <w:t xml:space="preserve"> </w:t>
      </w:r>
      <w:r w:rsidRPr="00D2440E">
        <w:t xml:space="preserve">baseline </w:t>
      </w:r>
      <w:r w:rsidR="00DA2685">
        <w:t>amounts by the 2022-23</w:t>
      </w:r>
      <w:r>
        <w:t xml:space="preserve"> forecast </w:t>
      </w:r>
      <w:r w:rsidRPr="00D2440E">
        <w:t>CPI</w:t>
      </w:r>
      <w:r w:rsidR="00346959">
        <w:t xml:space="preserve"> of 3.00 per cent</w:t>
      </w:r>
      <w:r w:rsidR="005E641F">
        <w:t>, which is</w:t>
      </w:r>
      <w:r w:rsidRPr="00D2440E">
        <w:t xml:space="preserve"> published in </w:t>
      </w:r>
      <w:r w:rsidR="00DA2685">
        <w:t xml:space="preserve">the 2022-23 </w:t>
      </w:r>
      <w:r w:rsidRPr="00D2440E">
        <w:t xml:space="preserve">Budget Paper </w:t>
      </w:r>
      <w:r w:rsidR="00093867">
        <w:t>No.</w:t>
      </w:r>
      <w:r w:rsidRPr="00D2440E">
        <w:t>1</w:t>
      </w:r>
      <w:r w:rsidR="005E641F">
        <w:t>. The indexed amount of VAC is</w:t>
      </w:r>
      <w:r>
        <w:t xml:space="preserve"> </w:t>
      </w:r>
      <w:r w:rsidR="005E641F">
        <w:t xml:space="preserve">also </w:t>
      </w:r>
      <w:r w:rsidRPr="00D2440E">
        <w:t>rounded to the nearest $5</w:t>
      </w:r>
      <w:r w:rsidR="000F201A">
        <w:t xml:space="preserve">. </w:t>
      </w:r>
      <w:r>
        <w:t>It is intended that these indexation amendments will continue to be made on an annual basis.</w:t>
      </w:r>
    </w:p>
    <w:p w14:paraId="0B53F69E" w14:textId="394167F4" w:rsidR="00B059D5" w:rsidRDefault="00B059D5" w:rsidP="004801B5">
      <w:pPr>
        <w:pStyle w:val="NoSpacing"/>
        <w:rPr>
          <w:szCs w:val="24"/>
        </w:rPr>
      </w:pPr>
    </w:p>
    <w:p w14:paraId="22DB36D1" w14:textId="4DCFA308" w:rsidR="000A23BC" w:rsidRPr="008E5FC9" w:rsidRDefault="000A23BC" w:rsidP="000A23BC">
      <w:pPr>
        <w:spacing w:before="0"/>
        <w:ind w:right="42"/>
      </w:pPr>
      <w:r w:rsidRPr="008E5FC9">
        <w:t xml:space="preserve">A Statement of Compatibility with Human Rights (the Statement) has been completed in accordance with the </w:t>
      </w:r>
      <w:r w:rsidRPr="008E5FC9">
        <w:rPr>
          <w:i/>
          <w:iCs/>
        </w:rPr>
        <w:t>Human Rights (Parliamentary Scrutiny) Act 2011</w:t>
      </w:r>
      <w:r w:rsidRPr="008E5FC9">
        <w:t xml:space="preserve">. The overall assessment is that the Regulations are compatible with human rights. A copy of the Statement is at </w:t>
      </w:r>
      <w:r w:rsidR="00BE4EBB">
        <w:rPr>
          <w:u w:val="single"/>
        </w:rPr>
        <w:t>Attachment A</w:t>
      </w:r>
      <w:r w:rsidRPr="008E5FC9">
        <w:t>.</w:t>
      </w:r>
    </w:p>
    <w:p w14:paraId="4ED2A9B2" w14:textId="77777777" w:rsidR="000A23BC" w:rsidRPr="008E5FC9" w:rsidRDefault="000A23BC" w:rsidP="000A23BC">
      <w:pPr>
        <w:spacing w:before="0"/>
        <w:ind w:right="42"/>
      </w:pPr>
    </w:p>
    <w:p w14:paraId="02C4ED3B" w14:textId="06E1D0A2" w:rsidR="000A23BC" w:rsidRDefault="000A23BC" w:rsidP="000A23BC">
      <w:pPr>
        <w:spacing w:before="0"/>
        <w:ind w:right="42"/>
      </w:pPr>
      <w:r w:rsidRPr="008E5FC9">
        <w:t xml:space="preserve">Details of the Regulations are set out in </w:t>
      </w:r>
      <w:r w:rsidR="00BE4EBB">
        <w:rPr>
          <w:u w:val="single"/>
        </w:rPr>
        <w:t>Attachment B</w:t>
      </w:r>
      <w:r w:rsidRPr="008E5FC9">
        <w:t>.</w:t>
      </w:r>
    </w:p>
    <w:p w14:paraId="57CDA28F" w14:textId="77777777" w:rsidR="000A23BC" w:rsidRPr="008E5FC9" w:rsidRDefault="000A23BC" w:rsidP="000A23BC">
      <w:pPr>
        <w:spacing w:before="0"/>
        <w:ind w:right="42"/>
      </w:pPr>
    </w:p>
    <w:p w14:paraId="06E235A6" w14:textId="77777777" w:rsidR="000A23BC" w:rsidRPr="008E5FC9" w:rsidRDefault="000A23BC" w:rsidP="000A23BC">
      <w:pPr>
        <w:spacing w:before="0"/>
        <w:ind w:right="42"/>
      </w:pPr>
      <w:r w:rsidRPr="008E5FC9">
        <w:t xml:space="preserve">The Office of Best Practice Regulation (the OBPR) has been consulted in relation to the amendments made by the Regulations. No Regulation Impact Statement is required. The OBPR consultation references is </w:t>
      </w:r>
      <w:r w:rsidRPr="000F201A">
        <w:t>26022.</w:t>
      </w:r>
      <w:r w:rsidRPr="008E5FC9">
        <w:t xml:space="preserve"> </w:t>
      </w:r>
    </w:p>
    <w:p w14:paraId="2F30E8CA" w14:textId="77777777" w:rsidR="000A23BC" w:rsidRDefault="000A23BC" w:rsidP="000A23BC">
      <w:pPr>
        <w:pStyle w:val="Default"/>
        <w:adjustRightInd/>
        <w:rPr>
          <w:color w:val="auto"/>
        </w:rPr>
      </w:pPr>
      <w:bookmarkStart w:id="0" w:name="_GoBack"/>
      <w:bookmarkEnd w:id="0"/>
    </w:p>
    <w:p w14:paraId="025F4BCD" w14:textId="3966E212" w:rsidR="000A23BC" w:rsidRDefault="000A23BC" w:rsidP="000A23BC">
      <w:pPr>
        <w:spacing w:before="0"/>
      </w:pPr>
      <w:r>
        <w:lastRenderedPageBreak/>
        <w:t xml:space="preserve">Public consultation was not considered necessary </w:t>
      </w:r>
      <w:r w:rsidR="005E641F">
        <w:t>as the changes are</w:t>
      </w:r>
      <w:r w:rsidR="000F201A">
        <w:t xml:space="preserve"> mechanical </w:t>
      </w:r>
      <w:r w:rsidR="005E641F">
        <w:t xml:space="preserve">in </w:t>
      </w:r>
      <w:r w:rsidR="000F201A">
        <w:t>nature</w:t>
      </w:r>
      <w:r w:rsidR="005E641F">
        <w:t xml:space="preserve"> and implement long standing Government policy</w:t>
      </w:r>
      <w:r w:rsidR="000F201A">
        <w:t xml:space="preserve">. </w:t>
      </w:r>
      <w:r>
        <w:t>The amendments do not substantiall</w:t>
      </w:r>
      <w:r w:rsidR="000F201A">
        <w:t xml:space="preserve">y alter existing arrangements. </w:t>
      </w:r>
      <w:r>
        <w:t xml:space="preserve">This accords with subsection 17(1) of the </w:t>
      </w:r>
      <w:r w:rsidRPr="0004490F">
        <w:rPr>
          <w:i/>
        </w:rPr>
        <w:t>Legislation Act 2003</w:t>
      </w:r>
      <w:r>
        <w:t xml:space="preserve"> (the Legislation Act) which requires that appropriate and reasonably practicable consultation be undertaken. </w:t>
      </w:r>
    </w:p>
    <w:p w14:paraId="1CEBB6B7" w14:textId="77777777" w:rsidR="000A23BC" w:rsidRPr="008E5FC9" w:rsidRDefault="000A23BC" w:rsidP="000A23BC">
      <w:pPr>
        <w:spacing w:before="0"/>
        <w:jc w:val="both"/>
      </w:pPr>
    </w:p>
    <w:p w14:paraId="19CD49A6" w14:textId="77777777" w:rsidR="000A23BC" w:rsidRDefault="000A23BC" w:rsidP="000A23BC">
      <w:pPr>
        <w:tabs>
          <w:tab w:val="left" w:pos="6521"/>
        </w:tabs>
        <w:spacing w:before="0"/>
        <w:ind w:right="42"/>
      </w:pPr>
      <w:r w:rsidRPr="008E5FC9">
        <w:t xml:space="preserve">The Migration Act specifies no conditions that need to be satisfied before the power to make the Regulations may be exercised. </w:t>
      </w:r>
    </w:p>
    <w:p w14:paraId="738F3480" w14:textId="77777777" w:rsidR="000A23BC" w:rsidRPr="008E5FC9" w:rsidRDefault="000A23BC" w:rsidP="000A23BC">
      <w:pPr>
        <w:tabs>
          <w:tab w:val="left" w:pos="6521"/>
        </w:tabs>
        <w:spacing w:before="0"/>
        <w:ind w:right="42"/>
      </w:pPr>
    </w:p>
    <w:p w14:paraId="57DE127A" w14:textId="77777777" w:rsidR="000A23BC" w:rsidRPr="003E0AC3" w:rsidRDefault="000A23BC" w:rsidP="000A23BC">
      <w:pPr>
        <w:tabs>
          <w:tab w:val="left" w:pos="6521"/>
        </w:tabs>
        <w:spacing w:before="0"/>
        <w:ind w:right="-2"/>
      </w:pPr>
      <w:r w:rsidRPr="003E0AC3">
        <w:t>The Regulations are a legislative instrument for the purposes of the Legislation Act.</w:t>
      </w:r>
    </w:p>
    <w:p w14:paraId="7D77B572" w14:textId="77777777" w:rsidR="000A23BC" w:rsidRPr="003E0AC3" w:rsidRDefault="000A23BC" w:rsidP="000A23BC">
      <w:pPr>
        <w:tabs>
          <w:tab w:val="left" w:pos="6521"/>
        </w:tabs>
        <w:spacing w:before="0"/>
        <w:ind w:right="521"/>
      </w:pPr>
    </w:p>
    <w:p w14:paraId="7478E287" w14:textId="58DA2C24" w:rsidR="000A23BC" w:rsidRDefault="000A23BC" w:rsidP="000A23BC">
      <w:pPr>
        <w:spacing w:before="0"/>
        <w:rPr>
          <w:color w:val="000000"/>
        </w:rPr>
      </w:pPr>
      <w:r>
        <w:rPr>
          <w:color w:val="000000"/>
        </w:rPr>
        <w:t>The Regulations commence on 1 July 202</w:t>
      </w:r>
      <w:r w:rsidR="00DA2685">
        <w:rPr>
          <w:color w:val="000000"/>
        </w:rPr>
        <w:t>2</w:t>
      </w:r>
      <w:r>
        <w:rPr>
          <w:color w:val="000000"/>
        </w:rPr>
        <w:t xml:space="preserve"> and will align with updates to Department</w:t>
      </w:r>
      <w:r w:rsidR="00DA2685">
        <w:rPr>
          <w:color w:val="000000"/>
        </w:rPr>
        <w:t xml:space="preserve"> of Home Affairs</w:t>
      </w:r>
      <w:r w:rsidR="003A5996">
        <w:rPr>
          <w:color w:val="000000"/>
        </w:rPr>
        <w:t>’</w:t>
      </w:r>
      <w:r>
        <w:rPr>
          <w:color w:val="000000"/>
        </w:rPr>
        <w:t xml:space="preserve"> systems.</w:t>
      </w:r>
    </w:p>
    <w:p w14:paraId="3AD5D536" w14:textId="77777777" w:rsidR="002331F4" w:rsidRDefault="002331F4" w:rsidP="00B841B9">
      <w:pPr>
        <w:tabs>
          <w:tab w:val="left" w:pos="6521"/>
        </w:tabs>
        <w:spacing w:before="0"/>
        <w:ind w:right="521"/>
      </w:pPr>
    </w:p>
    <w:p w14:paraId="72AB7B5C" w14:textId="77777777" w:rsidR="00B841B9" w:rsidRPr="00042AA6" w:rsidRDefault="00B841B9" w:rsidP="00B841B9">
      <w:pPr>
        <w:tabs>
          <w:tab w:val="left" w:pos="6521"/>
        </w:tabs>
        <w:spacing w:before="0"/>
        <w:ind w:right="521"/>
      </w:pPr>
    </w:p>
    <w:p w14:paraId="75E8E853" w14:textId="77777777" w:rsidR="00B841B9" w:rsidRDefault="00B841B9" w:rsidP="00B841B9">
      <w:pPr>
        <w:keepNext/>
        <w:keepLines/>
        <w:spacing w:before="0"/>
        <w:ind w:left="5670" w:right="40" w:hanging="1417"/>
      </w:pPr>
    </w:p>
    <w:p w14:paraId="03259FA2" w14:textId="77777777" w:rsidR="00B841B9" w:rsidRPr="00042AA6" w:rsidRDefault="00B841B9" w:rsidP="00B841B9">
      <w:pPr>
        <w:spacing w:before="0" w:after="160" w:line="259" w:lineRule="auto"/>
        <w:rPr>
          <w:szCs w:val="24"/>
        </w:rPr>
      </w:pPr>
      <w:r w:rsidRPr="00042AA6">
        <w:rPr>
          <w:szCs w:val="24"/>
        </w:rPr>
        <w:br w:type="page"/>
      </w:r>
    </w:p>
    <w:p w14:paraId="65A771DE" w14:textId="33A2C3BC" w:rsidR="00D40F4A" w:rsidRPr="003E0AC3" w:rsidRDefault="00D40F4A" w:rsidP="00D40F4A">
      <w:pPr>
        <w:tabs>
          <w:tab w:val="left" w:pos="345"/>
        </w:tabs>
        <w:ind w:right="43"/>
        <w:contextualSpacing/>
        <w:jc w:val="right"/>
        <w:rPr>
          <w:b/>
          <w:u w:val="single"/>
        </w:rPr>
      </w:pPr>
      <w:r w:rsidRPr="003E0AC3">
        <w:rPr>
          <w:b/>
          <w:u w:val="single"/>
        </w:rPr>
        <w:lastRenderedPageBreak/>
        <w:t>A</w:t>
      </w:r>
      <w:r w:rsidR="003554B9">
        <w:rPr>
          <w:b/>
          <w:u w:val="single"/>
        </w:rPr>
        <w:t>TTACHMENT A</w:t>
      </w:r>
    </w:p>
    <w:p w14:paraId="63C84C4E" w14:textId="77777777" w:rsidR="00D40F4A" w:rsidRPr="003E0AC3" w:rsidRDefault="00D40F4A" w:rsidP="00D40F4A">
      <w:pPr>
        <w:tabs>
          <w:tab w:val="left" w:pos="345"/>
        </w:tabs>
        <w:ind w:right="43"/>
        <w:contextualSpacing/>
        <w:jc w:val="right"/>
        <w:rPr>
          <w:b/>
          <w:u w:val="single"/>
        </w:rPr>
      </w:pPr>
    </w:p>
    <w:p w14:paraId="16243371" w14:textId="77777777" w:rsidR="00D40F4A" w:rsidRPr="003E0AC3" w:rsidRDefault="00D40F4A" w:rsidP="00D40F4A">
      <w:pPr>
        <w:keepNext/>
        <w:keepLines/>
        <w:spacing w:before="120"/>
        <w:jc w:val="center"/>
        <w:outlineLvl w:val="1"/>
        <w:rPr>
          <w:b/>
        </w:rPr>
      </w:pPr>
      <w:r w:rsidRPr="003E0AC3">
        <w:rPr>
          <w:b/>
        </w:rPr>
        <w:t>Statement of Compatibility with Human Rights</w:t>
      </w:r>
    </w:p>
    <w:p w14:paraId="05D62722" w14:textId="77777777" w:rsidR="00D40F4A" w:rsidRPr="003E0AC3" w:rsidRDefault="00D40F4A" w:rsidP="00D40F4A">
      <w:pPr>
        <w:spacing w:before="120" w:after="120"/>
        <w:jc w:val="center"/>
        <w:rPr>
          <w:i/>
        </w:rPr>
      </w:pPr>
      <w:r w:rsidRPr="003E0AC3">
        <w:rPr>
          <w:i/>
        </w:rPr>
        <w:t>Prepared in accordance with Part 3 of the Human Rights (Parliamentary Scrutiny) Act 2011</w:t>
      </w:r>
    </w:p>
    <w:p w14:paraId="03A7F5DB" w14:textId="77777777" w:rsidR="00D40F4A" w:rsidRPr="003E0AC3" w:rsidRDefault="00D40F4A" w:rsidP="00D40F4A">
      <w:pPr>
        <w:spacing w:before="0"/>
        <w:ind w:right="91"/>
      </w:pPr>
    </w:p>
    <w:p w14:paraId="5D8F965E" w14:textId="03118E0B" w:rsidR="00D40F4A" w:rsidRPr="00E96D6F" w:rsidRDefault="00D40F4A" w:rsidP="00D40F4A">
      <w:pPr>
        <w:spacing w:before="0"/>
        <w:ind w:right="91"/>
        <w:jc w:val="center"/>
        <w:rPr>
          <w:i/>
        </w:rPr>
      </w:pPr>
      <w:r w:rsidRPr="00E96D6F">
        <w:rPr>
          <w:i/>
        </w:rPr>
        <w:t>Migration Amendment (Visa Appli</w:t>
      </w:r>
      <w:r w:rsidR="00DA2685">
        <w:rPr>
          <w:i/>
        </w:rPr>
        <w:t>cation Charges) Regulations 2022</w:t>
      </w:r>
    </w:p>
    <w:p w14:paraId="68887CBF" w14:textId="77777777" w:rsidR="00D40F4A" w:rsidRPr="003E0AC3" w:rsidRDefault="00D40F4A" w:rsidP="00D40F4A">
      <w:pPr>
        <w:spacing w:before="0"/>
        <w:ind w:left="1440" w:right="91"/>
        <w:jc w:val="center"/>
        <w:rPr>
          <w:b/>
          <w:i/>
        </w:rPr>
      </w:pPr>
    </w:p>
    <w:p w14:paraId="57269B1B" w14:textId="77777777" w:rsidR="00D40F4A" w:rsidRPr="00923B20" w:rsidRDefault="00D40F4A" w:rsidP="00D40F4A">
      <w:pPr>
        <w:spacing w:before="120" w:after="120"/>
        <w:rPr>
          <w:rFonts w:eastAsiaTheme="minorHAnsi" w:cstheme="minorBidi"/>
          <w:b/>
          <w:lang w:eastAsia="en-US"/>
        </w:rPr>
      </w:pPr>
      <w:r w:rsidRPr="00923B20">
        <w:rPr>
          <w:rFonts w:eastAsiaTheme="minorHAnsi" w:cstheme="minorBidi"/>
          <w:b/>
          <w:lang w:eastAsia="en-US"/>
        </w:rPr>
        <w:t>ADJUSTMENT OF VISA APPLICATION CHARGES </w:t>
      </w:r>
    </w:p>
    <w:p w14:paraId="7F192DFA" w14:textId="201FB344" w:rsidR="00D40F4A" w:rsidRPr="008E5FC9" w:rsidRDefault="00D40F4A" w:rsidP="00D40F4A">
      <w:pPr>
        <w:spacing w:before="120" w:after="120"/>
        <w:rPr>
          <w:rFonts w:eastAsiaTheme="minorHAnsi" w:cstheme="minorBidi"/>
          <w:lang w:eastAsia="en-US"/>
        </w:rPr>
      </w:pPr>
      <w:r w:rsidRPr="00923B20">
        <w:rPr>
          <w:rFonts w:eastAsiaTheme="minorHAnsi" w:cstheme="minorBidi"/>
          <w:lang w:eastAsia="en-US"/>
        </w:rPr>
        <w:t xml:space="preserve">This Disallowable Legislative Instrument, </w:t>
      </w:r>
      <w:r>
        <w:rPr>
          <w:rFonts w:eastAsiaTheme="minorHAnsi" w:cstheme="minorBidi"/>
          <w:lang w:eastAsia="en-US"/>
        </w:rPr>
        <w:t>en</w:t>
      </w:r>
      <w:r w:rsidRPr="00923B20">
        <w:rPr>
          <w:rFonts w:eastAsiaTheme="minorHAnsi" w:cstheme="minorBidi"/>
          <w:lang w:eastAsia="en-US"/>
        </w:rPr>
        <w:t xml:space="preserve">titled the </w:t>
      </w:r>
      <w:r w:rsidRPr="00923B20">
        <w:rPr>
          <w:rFonts w:eastAsiaTheme="minorHAnsi" w:cstheme="minorBidi"/>
          <w:i/>
          <w:lang w:eastAsia="en-US"/>
        </w:rPr>
        <w:t xml:space="preserve">Migration Amendment (Visa Application Charges) Regulations </w:t>
      </w:r>
      <w:r w:rsidR="004908D3">
        <w:rPr>
          <w:rFonts w:eastAsiaTheme="minorHAnsi" w:cstheme="minorBidi"/>
          <w:i/>
          <w:lang w:eastAsia="en-US"/>
        </w:rPr>
        <w:t>2022</w:t>
      </w:r>
      <w:r w:rsidRPr="00923B20">
        <w:rPr>
          <w:rFonts w:eastAsiaTheme="minorHAnsi" w:cstheme="minorBidi"/>
          <w:lang w:eastAsia="en-US"/>
        </w:rPr>
        <w:t xml:space="preserve"> (the Regulations) is compatible with the human rights and freedoms recognised or declared in the internationa</w:t>
      </w:r>
      <w:r>
        <w:rPr>
          <w:rFonts w:eastAsiaTheme="minorHAnsi" w:cstheme="minorBidi"/>
          <w:lang w:eastAsia="en-US"/>
        </w:rPr>
        <w:t>l instruments listed in section </w:t>
      </w:r>
      <w:r w:rsidRPr="00923B20">
        <w:rPr>
          <w:rFonts w:eastAsiaTheme="minorHAnsi" w:cstheme="minorBidi"/>
          <w:lang w:eastAsia="en-US"/>
        </w:rPr>
        <w:t xml:space="preserve">3 of the </w:t>
      </w:r>
      <w:r w:rsidRPr="00923B20">
        <w:rPr>
          <w:rFonts w:eastAsiaTheme="minorHAnsi" w:cstheme="minorBidi"/>
          <w:i/>
          <w:lang w:eastAsia="en-US"/>
        </w:rPr>
        <w:t>Human Rights (Parliamentary Scrutiny) Act 2011</w:t>
      </w:r>
      <w:r w:rsidRPr="00923B20">
        <w:rPr>
          <w:rFonts w:eastAsiaTheme="minorHAnsi" w:cstheme="minorBidi"/>
          <w:lang w:eastAsia="en-US"/>
        </w:rPr>
        <w:t>.</w:t>
      </w:r>
    </w:p>
    <w:p w14:paraId="0405C17E" w14:textId="77777777" w:rsidR="00D40F4A" w:rsidRPr="00923B20" w:rsidRDefault="00D40F4A" w:rsidP="00D40F4A">
      <w:pPr>
        <w:spacing w:before="120" w:after="120"/>
        <w:rPr>
          <w:rFonts w:eastAsiaTheme="minorHAnsi" w:cstheme="minorBidi"/>
          <w:lang w:eastAsia="en-US"/>
        </w:rPr>
      </w:pPr>
    </w:p>
    <w:p w14:paraId="0867F1D6" w14:textId="40E3F781" w:rsidR="007E211C" w:rsidRPr="007E211C" w:rsidRDefault="00D40F4A" w:rsidP="007E211C">
      <w:pPr>
        <w:spacing w:before="120" w:after="120"/>
        <w:jc w:val="both"/>
        <w:outlineLvl w:val="2"/>
        <w:rPr>
          <w:rFonts w:eastAsiaTheme="minorHAnsi" w:cstheme="minorBidi"/>
          <w:b/>
          <w:lang w:eastAsia="en-US"/>
        </w:rPr>
      </w:pPr>
      <w:r w:rsidRPr="00923B20">
        <w:rPr>
          <w:rFonts w:eastAsiaTheme="minorHAnsi" w:cstheme="minorBidi"/>
          <w:b/>
          <w:lang w:eastAsia="en-US"/>
        </w:rPr>
        <w:t>Overview of the Disallowable Legislative Instrument</w:t>
      </w:r>
    </w:p>
    <w:p w14:paraId="29392D23" w14:textId="77777777" w:rsidR="007E211C" w:rsidRDefault="007E211C" w:rsidP="007E211C">
      <w:pPr>
        <w:spacing w:before="0"/>
        <w:ind w:right="91"/>
      </w:pPr>
      <w:r w:rsidRPr="003E0AC3">
        <w:rPr>
          <w:lang w:val="en"/>
        </w:rPr>
        <w:t>The</w:t>
      </w:r>
      <w:r>
        <w:rPr>
          <w:lang w:val="en"/>
        </w:rPr>
        <w:t xml:space="preserve"> purpose of the </w:t>
      </w:r>
      <w:r w:rsidRPr="003E0AC3">
        <w:rPr>
          <w:i/>
          <w:iCs/>
        </w:rPr>
        <w:t>Migration Amendment (</w:t>
      </w:r>
      <w:r>
        <w:rPr>
          <w:i/>
          <w:iCs/>
        </w:rPr>
        <w:t>Visa Application Charges)</w:t>
      </w:r>
      <w:r w:rsidRPr="003E0AC3">
        <w:rPr>
          <w:i/>
          <w:iCs/>
        </w:rPr>
        <w:t xml:space="preserve"> Regulations 202</w:t>
      </w:r>
      <w:r>
        <w:rPr>
          <w:i/>
          <w:iCs/>
        </w:rPr>
        <w:t>2</w:t>
      </w:r>
      <w:r w:rsidRPr="003E0AC3">
        <w:t xml:space="preserve"> </w:t>
      </w:r>
      <w:r w:rsidRPr="00223938">
        <w:t>(the Regulations)</w:t>
      </w:r>
      <w:r>
        <w:t xml:space="preserve"> is to amend the </w:t>
      </w:r>
      <w:r w:rsidRPr="00154DA6">
        <w:rPr>
          <w:i/>
        </w:rPr>
        <w:t>Migration Regulations 1994</w:t>
      </w:r>
      <w:r>
        <w:t xml:space="preserve"> (the Migration Regulations) to make changes to VACs for certain visas to implement the Government’s policy of indexing VACs. </w:t>
      </w:r>
    </w:p>
    <w:p w14:paraId="11854F8A" w14:textId="77777777" w:rsidR="007E211C" w:rsidRDefault="007E211C" w:rsidP="007E211C">
      <w:pPr>
        <w:spacing w:before="0"/>
        <w:ind w:right="91"/>
      </w:pPr>
    </w:p>
    <w:p w14:paraId="424920F9" w14:textId="77777777" w:rsidR="007E211C" w:rsidRDefault="007E211C" w:rsidP="007E211C">
      <w:pPr>
        <w:spacing w:before="0"/>
        <w:ind w:right="91"/>
      </w:pPr>
      <w:r>
        <w:t xml:space="preserve">The Regulations </w:t>
      </w:r>
      <w:r w:rsidRPr="003E0AC3">
        <w:t xml:space="preserve">amend the Migration Regulations </w:t>
      </w:r>
      <w:r>
        <w:t>to increase VACs for a number of visas</w:t>
      </w:r>
      <w:r w:rsidRPr="00D2440E">
        <w:t xml:space="preserve"> </w:t>
      </w:r>
      <w:r>
        <w:t xml:space="preserve">by the forecast consumer price index (CPI). From </w:t>
      </w:r>
      <w:r w:rsidRPr="00CE497C">
        <w:t>2017-18</w:t>
      </w:r>
      <w:r>
        <w:t>,</w:t>
      </w:r>
      <w:r w:rsidRPr="00CE497C">
        <w:t xml:space="preserve"> </w:t>
      </w:r>
      <w:r>
        <w:t xml:space="preserve">annual indexation of the VACs has been in accordance with the forecast CPI published annually in the Budget papers.  </w:t>
      </w:r>
    </w:p>
    <w:p w14:paraId="0A82C102" w14:textId="77777777" w:rsidR="007E211C" w:rsidRDefault="007E211C" w:rsidP="007E211C">
      <w:pPr>
        <w:spacing w:before="0"/>
        <w:ind w:right="91"/>
      </w:pPr>
    </w:p>
    <w:p w14:paraId="3967B075" w14:textId="21714FCC" w:rsidR="007E211C" w:rsidRDefault="007E211C" w:rsidP="007E211C">
      <w:pPr>
        <w:spacing w:before="0"/>
        <w:ind w:right="91"/>
      </w:pPr>
      <w:r>
        <w:t xml:space="preserve">In effect, this means that the affected VACs are increased from </w:t>
      </w:r>
      <w:r w:rsidRPr="00D2440E">
        <w:t>the</w:t>
      </w:r>
      <w:r>
        <w:t>ir</w:t>
      </w:r>
      <w:r w:rsidRPr="00D2440E">
        <w:t xml:space="preserve"> </w:t>
      </w:r>
      <w:r>
        <w:t>2021</w:t>
      </w:r>
      <w:r>
        <w:noBreakHyphen/>
        <w:t xml:space="preserve">22 </w:t>
      </w:r>
      <w:r w:rsidRPr="00D2440E">
        <w:t xml:space="preserve">baseline </w:t>
      </w:r>
      <w:r>
        <w:t>amounts by the 2022-23 forecast </w:t>
      </w:r>
      <w:r w:rsidRPr="00D2440E">
        <w:t>CPI</w:t>
      </w:r>
      <w:r>
        <w:t xml:space="preserve"> of 3.00 per cent, which is</w:t>
      </w:r>
      <w:r w:rsidRPr="00D2440E">
        <w:t xml:space="preserve"> published in </w:t>
      </w:r>
      <w:r>
        <w:t xml:space="preserve">the 2022-23 </w:t>
      </w:r>
      <w:r w:rsidRPr="00D2440E">
        <w:t xml:space="preserve">Budget Paper </w:t>
      </w:r>
      <w:r>
        <w:t>No.</w:t>
      </w:r>
      <w:r w:rsidRPr="00D2440E">
        <w:t>1</w:t>
      </w:r>
      <w:r>
        <w:t xml:space="preserve">. The indexed amount of VAC is also </w:t>
      </w:r>
      <w:r w:rsidRPr="00D2440E">
        <w:t>rounded to the nearest $5</w:t>
      </w:r>
      <w:r>
        <w:t>. It is intended that these indexation amendments will continue to be made on an annual basis.</w:t>
      </w:r>
    </w:p>
    <w:p w14:paraId="130F0879" w14:textId="77777777" w:rsidR="007E211C" w:rsidRPr="007E211C" w:rsidRDefault="007E211C" w:rsidP="007E211C">
      <w:pPr>
        <w:spacing w:before="0"/>
        <w:ind w:right="91"/>
      </w:pPr>
    </w:p>
    <w:p w14:paraId="43FDA895" w14:textId="77777777" w:rsidR="00D40F4A" w:rsidRPr="00923B20" w:rsidRDefault="00D40F4A" w:rsidP="00D40F4A">
      <w:pPr>
        <w:spacing w:before="120" w:after="120"/>
        <w:jc w:val="both"/>
        <w:outlineLvl w:val="2"/>
        <w:rPr>
          <w:rFonts w:eastAsiaTheme="minorHAnsi" w:cstheme="minorBidi"/>
          <w:b/>
          <w:lang w:eastAsia="en-US"/>
        </w:rPr>
      </w:pPr>
      <w:r w:rsidRPr="00923B20">
        <w:rPr>
          <w:rFonts w:eastAsiaTheme="minorHAnsi" w:cstheme="minorBidi"/>
          <w:b/>
          <w:lang w:eastAsia="en-US"/>
        </w:rPr>
        <w:t>Human rights implications</w:t>
      </w:r>
    </w:p>
    <w:p w14:paraId="75392FAC" w14:textId="77777777" w:rsidR="00D40F4A" w:rsidRPr="00923B20" w:rsidRDefault="00D40F4A" w:rsidP="00D40F4A">
      <w:pPr>
        <w:spacing w:before="120" w:after="120"/>
        <w:jc w:val="both"/>
        <w:outlineLvl w:val="2"/>
        <w:rPr>
          <w:rFonts w:eastAsiaTheme="minorHAnsi" w:cstheme="minorBidi"/>
          <w:lang w:eastAsia="en-US"/>
        </w:rPr>
      </w:pPr>
      <w:r w:rsidRPr="00923B20">
        <w:rPr>
          <w:rFonts w:eastAsiaTheme="minorHAnsi" w:cstheme="minorBidi"/>
          <w:lang w:eastAsia="en-US"/>
        </w:rPr>
        <w:t>The Regulations do not engage any of the applicable rights or freedoms.</w:t>
      </w:r>
    </w:p>
    <w:p w14:paraId="2DE6C7A1" w14:textId="77777777" w:rsidR="00D40F4A" w:rsidRPr="00923B20" w:rsidRDefault="00D40F4A" w:rsidP="00D40F4A">
      <w:pPr>
        <w:spacing w:before="120" w:after="120"/>
        <w:jc w:val="both"/>
        <w:outlineLvl w:val="2"/>
        <w:rPr>
          <w:rFonts w:eastAsiaTheme="minorHAnsi" w:cstheme="minorBidi"/>
          <w:b/>
          <w:lang w:eastAsia="en-US"/>
        </w:rPr>
      </w:pPr>
    </w:p>
    <w:p w14:paraId="098545EE" w14:textId="77777777" w:rsidR="00D40F4A" w:rsidRPr="00923B20" w:rsidRDefault="00D40F4A" w:rsidP="0004490F">
      <w:pPr>
        <w:keepNext/>
        <w:spacing w:before="120" w:after="120"/>
        <w:jc w:val="both"/>
        <w:outlineLvl w:val="2"/>
        <w:rPr>
          <w:rFonts w:eastAsiaTheme="minorHAnsi" w:cstheme="minorBidi"/>
          <w:b/>
          <w:lang w:eastAsia="en-US"/>
        </w:rPr>
      </w:pPr>
      <w:r w:rsidRPr="00923B20">
        <w:rPr>
          <w:rFonts w:eastAsiaTheme="minorHAnsi" w:cstheme="minorBidi"/>
          <w:b/>
          <w:lang w:eastAsia="en-US"/>
        </w:rPr>
        <w:t>Conclusion</w:t>
      </w:r>
    </w:p>
    <w:p w14:paraId="58D87827" w14:textId="6BCEEF80" w:rsidR="00D40F4A" w:rsidRDefault="003C78CA" w:rsidP="00D40F4A">
      <w:pPr>
        <w:rPr>
          <w:rFonts w:eastAsiaTheme="minorHAnsi"/>
          <w:lang w:eastAsia="en-US"/>
        </w:rPr>
      </w:pPr>
      <w:r>
        <w:rPr>
          <w:rFonts w:eastAsiaTheme="minorHAnsi"/>
          <w:lang w:eastAsia="en-US"/>
        </w:rPr>
        <w:t>The Regulations are compatible with human rights</w:t>
      </w:r>
      <w:r w:rsidR="005B7822">
        <w:rPr>
          <w:rFonts w:eastAsiaTheme="minorHAnsi"/>
          <w:lang w:eastAsia="en-US"/>
        </w:rPr>
        <w:t xml:space="preserve"> as they do not raise any human rights issues</w:t>
      </w:r>
      <w:r>
        <w:rPr>
          <w:rFonts w:eastAsiaTheme="minorHAnsi"/>
          <w:lang w:eastAsia="en-US"/>
        </w:rPr>
        <w:t>.</w:t>
      </w:r>
    </w:p>
    <w:p w14:paraId="03864EF5" w14:textId="77777777" w:rsidR="00D40F4A" w:rsidRPr="003E0AC3" w:rsidRDefault="00D40F4A" w:rsidP="00D40F4A">
      <w:pPr>
        <w:spacing w:before="0"/>
      </w:pPr>
    </w:p>
    <w:p w14:paraId="528FB7DD" w14:textId="77777777" w:rsidR="00D40F4A" w:rsidRPr="003E0AC3" w:rsidRDefault="00D40F4A" w:rsidP="00D40F4A">
      <w:pPr>
        <w:spacing w:before="0"/>
      </w:pPr>
    </w:p>
    <w:p w14:paraId="6E8D6F3A" w14:textId="65910117" w:rsidR="00D40F4A" w:rsidRPr="003E0AC3" w:rsidRDefault="007A3D0E" w:rsidP="00D40F4A">
      <w:pPr>
        <w:spacing w:before="0"/>
        <w:jc w:val="center"/>
        <w:rPr>
          <w:b/>
        </w:rPr>
      </w:pPr>
      <w:r>
        <w:rPr>
          <w:b/>
        </w:rPr>
        <w:t>The Hon. Andrew Giles</w:t>
      </w:r>
      <w:r w:rsidR="00D40F4A" w:rsidRPr="003E0AC3">
        <w:rPr>
          <w:b/>
        </w:rPr>
        <w:t>,</w:t>
      </w:r>
      <w:r w:rsidR="00D40F4A">
        <w:rPr>
          <w:b/>
        </w:rPr>
        <w:t xml:space="preserve"> MP</w:t>
      </w:r>
    </w:p>
    <w:p w14:paraId="670C7C92" w14:textId="77777777" w:rsidR="007A3D0E" w:rsidRPr="007A3D0E" w:rsidRDefault="007A3D0E" w:rsidP="007A3D0E">
      <w:pPr>
        <w:spacing w:before="0"/>
        <w:jc w:val="center"/>
        <w:rPr>
          <w:b/>
        </w:rPr>
      </w:pPr>
      <w:r w:rsidRPr="007A3D0E">
        <w:rPr>
          <w:b/>
        </w:rPr>
        <w:t>Minister for Immigration, Citizenship and Multicultural Affairs</w:t>
      </w:r>
    </w:p>
    <w:p w14:paraId="2248EC0F" w14:textId="77777777" w:rsidR="007A3D0E" w:rsidRPr="003E0AC3" w:rsidRDefault="007A3D0E" w:rsidP="00D40F4A">
      <w:pPr>
        <w:spacing w:before="0"/>
        <w:jc w:val="center"/>
        <w:rPr>
          <w:b/>
        </w:rPr>
      </w:pPr>
    </w:p>
    <w:p w14:paraId="1CE618F0" w14:textId="73DDF763" w:rsidR="00D40F4A" w:rsidRPr="003E0AC3" w:rsidRDefault="00D40F4A" w:rsidP="00D40F4A">
      <w:pPr>
        <w:tabs>
          <w:tab w:val="left" w:pos="6521"/>
        </w:tabs>
        <w:spacing w:before="0"/>
        <w:ind w:right="-2"/>
        <w:jc w:val="right"/>
        <w:rPr>
          <w:b/>
          <w:bCs/>
          <w:u w:val="single"/>
        </w:rPr>
      </w:pPr>
      <w:r w:rsidRPr="003E0AC3">
        <w:br w:type="page"/>
      </w:r>
      <w:r>
        <w:rPr>
          <w:b/>
          <w:bCs/>
          <w:u w:val="single"/>
        </w:rPr>
        <w:lastRenderedPageBreak/>
        <w:t>ATTACHMENT</w:t>
      </w:r>
      <w:r w:rsidR="003554B9">
        <w:rPr>
          <w:b/>
          <w:bCs/>
          <w:u w:val="single"/>
        </w:rPr>
        <w:t xml:space="preserve"> B</w:t>
      </w:r>
    </w:p>
    <w:p w14:paraId="425780A2" w14:textId="77777777" w:rsidR="00D40F4A" w:rsidRPr="003E0AC3" w:rsidRDefault="00D40F4A" w:rsidP="00D40F4A">
      <w:pPr>
        <w:tabs>
          <w:tab w:val="left" w:pos="345"/>
        </w:tabs>
        <w:spacing w:before="0"/>
        <w:ind w:right="43"/>
        <w:jc w:val="right"/>
        <w:rPr>
          <w:b/>
          <w:bCs/>
          <w:u w:val="single"/>
        </w:rPr>
      </w:pPr>
    </w:p>
    <w:p w14:paraId="31EEB1B3" w14:textId="38E59017" w:rsidR="00D40F4A" w:rsidRPr="003E0AC3" w:rsidRDefault="00D40F4A" w:rsidP="00D40F4A">
      <w:pPr>
        <w:spacing w:before="0"/>
        <w:ind w:right="91"/>
        <w:rPr>
          <w:b/>
          <w:bCs/>
          <w:i/>
          <w:iCs/>
          <w:u w:val="single"/>
        </w:rPr>
      </w:pPr>
      <w:r w:rsidRPr="003E0AC3">
        <w:rPr>
          <w:b/>
          <w:bCs/>
          <w:u w:val="single"/>
        </w:rPr>
        <w:t xml:space="preserve">Details of the </w:t>
      </w:r>
      <w:r w:rsidRPr="003E0AC3">
        <w:rPr>
          <w:b/>
          <w:bCs/>
          <w:i/>
          <w:iCs/>
          <w:u w:val="single"/>
        </w:rPr>
        <w:t>Migration Amendment (</w:t>
      </w:r>
      <w:r>
        <w:rPr>
          <w:b/>
          <w:bCs/>
          <w:i/>
          <w:iCs/>
          <w:u w:val="single"/>
        </w:rPr>
        <w:t>Visa Application Charges</w:t>
      </w:r>
      <w:r w:rsidRPr="003E0AC3">
        <w:rPr>
          <w:b/>
          <w:bCs/>
          <w:i/>
          <w:iCs/>
          <w:u w:val="single"/>
        </w:rPr>
        <w:t>) Regulations 202</w:t>
      </w:r>
      <w:r w:rsidR="00D6647F">
        <w:rPr>
          <w:b/>
          <w:bCs/>
          <w:i/>
          <w:iCs/>
          <w:u w:val="single"/>
        </w:rPr>
        <w:t>2</w:t>
      </w:r>
    </w:p>
    <w:p w14:paraId="2D23FA9E" w14:textId="77777777" w:rsidR="00D40F4A" w:rsidRPr="003E0AC3" w:rsidRDefault="00D40F4A" w:rsidP="00D40F4A">
      <w:pPr>
        <w:spacing w:before="0"/>
        <w:ind w:right="91"/>
      </w:pPr>
    </w:p>
    <w:p w14:paraId="58524A07" w14:textId="77777777" w:rsidR="00D40F4A" w:rsidRPr="003E0AC3" w:rsidRDefault="00D40F4A" w:rsidP="00D40F4A">
      <w:pPr>
        <w:pStyle w:val="ItemHead"/>
        <w:keepNext w:val="0"/>
        <w:keepLines w:val="0"/>
        <w:widowControl w:val="0"/>
        <w:spacing w:before="0"/>
        <w:rPr>
          <w:rFonts w:ascii="Times New Roman" w:hAnsi="Times New Roman" w:cs="Times New Roman"/>
          <w:b w:val="0"/>
          <w:bCs w:val="0"/>
          <w:u w:val="single"/>
        </w:rPr>
      </w:pPr>
      <w:r w:rsidRPr="003E0AC3">
        <w:rPr>
          <w:rFonts w:ascii="Times New Roman" w:hAnsi="Times New Roman" w:cs="Times New Roman"/>
          <w:b w:val="0"/>
          <w:bCs w:val="0"/>
          <w:u w:val="single"/>
        </w:rPr>
        <w:t>Section 1 – Name</w:t>
      </w:r>
    </w:p>
    <w:p w14:paraId="67EEC515" w14:textId="77777777" w:rsidR="00D40F4A" w:rsidRPr="003E0AC3" w:rsidRDefault="00D40F4A" w:rsidP="00D40F4A">
      <w:pPr>
        <w:spacing w:before="0"/>
        <w:ind w:right="91"/>
      </w:pPr>
    </w:p>
    <w:p w14:paraId="4E0BAEF7" w14:textId="13876D13" w:rsidR="00D40F4A" w:rsidRPr="003E0AC3" w:rsidRDefault="00D40F4A" w:rsidP="00D40F4A">
      <w:pPr>
        <w:spacing w:before="0"/>
        <w:ind w:right="91"/>
        <w:rPr>
          <w:i/>
          <w:iCs/>
        </w:rPr>
      </w:pPr>
      <w:r w:rsidRPr="003E0AC3">
        <w:t xml:space="preserve">This section provides that the name of the instrument is the </w:t>
      </w:r>
      <w:r w:rsidRPr="003E0AC3">
        <w:rPr>
          <w:i/>
          <w:iCs/>
        </w:rPr>
        <w:t>Migration Amendment (</w:t>
      </w:r>
      <w:r>
        <w:rPr>
          <w:i/>
          <w:iCs/>
        </w:rPr>
        <w:t>Visa Application Charges</w:t>
      </w:r>
      <w:r w:rsidR="00D6647F">
        <w:rPr>
          <w:i/>
          <w:iCs/>
        </w:rPr>
        <w:t>) Regulations 2022</w:t>
      </w:r>
      <w:r w:rsidRPr="003E0AC3">
        <w:rPr>
          <w:i/>
          <w:iCs/>
        </w:rPr>
        <w:t xml:space="preserve"> </w:t>
      </w:r>
      <w:r w:rsidRPr="003E0AC3">
        <w:rPr>
          <w:iCs/>
        </w:rPr>
        <w:t>(the Regulations)</w:t>
      </w:r>
      <w:r w:rsidRPr="003E0AC3">
        <w:rPr>
          <w:i/>
          <w:iCs/>
        </w:rPr>
        <w:t xml:space="preserve">. </w:t>
      </w:r>
    </w:p>
    <w:p w14:paraId="314408A2" w14:textId="77777777" w:rsidR="00D40F4A" w:rsidRPr="003E0AC3" w:rsidRDefault="00D40F4A" w:rsidP="00D40F4A">
      <w:pPr>
        <w:spacing w:before="0"/>
        <w:ind w:right="91"/>
        <w:rPr>
          <w:i/>
          <w:iCs/>
        </w:rPr>
      </w:pPr>
    </w:p>
    <w:p w14:paraId="1A0BEC98" w14:textId="77777777" w:rsidR="00D40F4A" w:rsidRPr="003E0AC3" w:rsidRDefault="00D40F4A" w:rsidP="00D40F4A">
      <w:pPr>
        <w:spacing w:before="0"/>
        <w:ind w:right="91"/>
        <w:rPr>
          <w:u w:val="single"/>
        </w:rPr>
      </w:pPr>
      <w:r w:rsidRPr="003E0AC3">
        <w:rPr>
          <w:u w:val="single"/>
        </w:rPr>
        <w:t>Section 2 – Commencement</w:t>
      </w:r>
    </w:p>
    <w:p w14:paraId="56805078" w14:textId="77777777" w:rsidR="00D40F4A" w:rsidRPr="003E0AC3" w:rsidRDefault="00D40F4A" w:rsidP="00D40F4A">
      <w:pPr>
        <w:spacing w:before="0"/>
        <w:ind w:right="91"/>
        <w:rPr>
          <w:b/>
          <w:bCs/>
          <w:u w:val="single"/>
        </w:rPr>
      </w:pPr>
    </w:p>
    <w:p w14:paraId="139BEFDA" w14:textId="1934704D" w:rsidR="00D40F4A" w:rsidRPr="003E0AC3" w:rsidRDefault="00D40F4A" w:rsidP="00D40F4A">
      <w:pPr>
        <w:spacing w:before="0"/>
        <w:rPr>
          <w:rFonts w:eastAsia="SimSun"/>
        </w:rPr>
      </w:pPr>
      <w:r w:rsidRPr="003E0AC3">
        <w:rPr>
          <w:rFonts w:eastAsia="SimSun"/>
        </w:rPr>
        <w:t xml:space="preserve">This section </w:t>
      </w:r>
      <w:r w:rsidRPr="003E0AC3">
        <w:t>provides</w:t>
      </w:r>
      <w:r w:rsidRPr="003E0AC3">
        <w:rPr>
          <w:rFonts w:eastAsia="SimSun"/>
        </w:rPr>
        <w:t xml:space="preserve"> for the commencement of the instrument.</w:t>
      </w:r>
      <w:r>
        <w:rPr>
          <w:rFonts w:eastAsia="SimSun"/>
        </w:rPr>
        <w:t xml:space="preserve"> The whole of the ins</w:t>
      </w:r>
      <w:r w:rsidR="001D3678">
        <w:rPr>
          <w:rFonts w:eastAsia="SimSun"/>
        </w:rPr>
        <w:t>trument commences on 1 July 2022</w:t>
      </w:r>
      <w:r>
        <w:rPr>
          <w:rFonts w:eastAsia="SimSun"/>
        </w:rPr>
        <w:t xml:space="preserve">.  </w:t>
      </w:r>
    </w:p>
    <w:p w14:paraId="604D3305" w14:textId="77777777" w:rsidR="00D40F4A" w:rsidRPr="003E0AC3" w:rsidRDefault="00D40F4A" w:rsidP="00D40F4A">
      <w:pPr>
        <w:tabs>
          <w:tab w:val="left" w:pos="6521"/>
        </w:tabs>
        <w:spacing w:before="0"/>
        <w:ind w:right="170"/>
      </w:pPr>
    </w:p>
    <w:p w14:paraId="0CAB22D5" w14:textId="77777777" w:rsidR="00D40F4A" w:rsidRPr="003E0AC3" w:rsidRDefault="00D40F4A" w:rsidP="00D40F4A">
      <w:pPr>
        <w:tabs>
          <w:tab w:val="left" w:pos="6521"/>
        </w:tabs>
        <w:spacing w:before="0"/>
        <w:ind w:right="170"/>
        <w:rPr>
          <w:u w:val="single"/>
        </w:rPr>
      </w:pPr>
      <w:r w:rsidRPr="003E0AC3">
        <w:rPr>
          <w:u w:val="single"/>
        </w:rPr>
        <w:t>Section 3 – Authority</w:t>
      </w:r>
    </w:p>
    <w:p w14:paraId="1C63FAF5" w14:textId="77777777" w:rsidR="00D40F4A" w:rsidRPr="003E0AC3" w:rsidRDefault="00D40F4A" w:rsidP="00D40F4A">
      <w:pPr>
        <w:tabs>
          <w:tab w:val="left" w:pos="6521"/>
        </w:tabs>
        <w:spacing w:before="0"/>
        <w:ind w:right="170"/>
      </w:pPr>
    </w:p>
    <w:p w14:paraId="429F379C" w14:textId="77777777" w:rsidR="00D40F4A" w:rsidRPr="003E0AC3" w:rsidRDefault="00D40F4A" w:rsidP="00D40F4A">
      <w:pPr>
        <w:spacing w:before="0"/>
        <w:rPr>
          <w:rFonts w:eastAsia="SimSun"/>
        </w:rPr>
      </w:pPr>
      <w:r w:rsidRPr="003E0AC3">
        <w:rPr>
          <w:rFonts w:eastAsia="SimSun"/>
        </w:rPr>
        <w:t xml:space="preserve">This section </w:t>
      </w:r>
      <w:r w:rsidRPr="003E0AC3">
        <w:t>provides</w:t>
      </w:r>
      <w:r w:rsidRPr="003E0AC3">
        <w:rPr>
          <w:rFonts w:eastAsia="SimSun"/>
        </w:rPr>
        <w:t xml:space="preserve"> that the instrument is made under the </w:t>
      </w:r>
      <w:r w:rsidRPr="003E0AC3">
        <w:rPr>
          <w:rFonts w:eastAsia="SimSun"/>
          <w:i/>
          <w:iCs/>
        </w:rPr>
        <w:t xml:space="preserve">Migration Act 1958 </w:t>
      </w:r>
      <w:r w:rsidRPr="003E0AC3">
        <w:rPr>
          <w:rFonts w:eastAsia="SimSun"/>
        </w:rPr>
        <w:t>(the Migration Act).</w:t>
      </w:r>
    </w:p>
    <w:p w14:paraId="712534C2" w14:textId="77777777" w:rsidR="00D40F4A" w:rsidRPr="003E0AC3" w:rsidRDefault="00D40F4A" w:rsidP="00D40F4A">
      <w:pPr>
        <w:spacing w:before="0"/>
        <w:rPr>
          <w:rFonts w:eastAsia="SimSun"/>
        </w:rPr>
      </w:pPr>
    </w:p>
    <w:p w14:paraId="3B65F58E" w14:textId="77777777" w:rsidR="00D40F4A" w:rsidRPr="003E0AC3" w:rsidRDefault="00D40F4A" w:rsidP="00D40F4A">
      <w:pPr>
        <w:spacing w:before="0"/>
        <w:rPr>
          <w:rFonts w:eastAsia="SimSun"/>
          <w:u w:val="single"/>
        </w:rPr>
      </w:pPr>
      <w:r w:rsidRPr="003E0AC3">
        <w:rPr>
          <w:rFonts w:eastAsia="SimSun"/>
          <w:u w:val="single"/>
        </w:rPr>
        <w:t>Section 4</w:t>
      </w:r>
      <w:r w:rsidRPr="003E0AC3">
        <w:rPr>
          <w:u w:val="single"/>
        </w:rPr>
        <w:t xml:space="preserve"> – </w:t>
      </w:r>
      <w:r w:rsidRPr="003E0AC3">
        <w:rPr>
          <w:rFonts w:eastAsia="SimSun"/>
          <w:u w:val="single"/>
        </w:rPr>
        <w:t>Schedules</w:t>
      </w:r>
    </w:p>
    <w:p w14:paraId="518A24D2" w14:textId="77777777" w:rsidR="00D40F4A" w:rsidRPr="003E0AC3" w:rsidRDefault="00D40F4A" w:rsidP="00D40F4A">
      <w:pPr>
        <w:spacing w:before="0"/>
        <w:rPr>
          <w:rFonts w:eastAsia="SimSun"/>
          <w:u w:val="single"/>
        </w:rPr>
      </w:pPr>
    </w:p>
    <w:p w14:paraId="5D5A158A" w14:textId="74565642" w:rsidR="00585A38" w:rsidRPr="00585A38" w:rsidRDefault="00585A38" w:rsidP="00585A38">
      <w:pPr>
        <w:spacing w:before="0"/>
      </w:pPr>
      <w:r>
        <w:t>Each instrument that is specified in a Schedule to this instrument is amended or repealed as set out in the applicable items in the Schedule concerned, and any other item in a Schedule to this instrument has effect according to its terms.</w:t>
      </w:r>
    </w:p>
    <w:p w14:paraId="6FD449F4" w14:textId="77777777" w:rsidR="00D40F4A" w:rsidRDefault="00D40F4A" w:rsidP="00D40F4A">
      <w:pPr>
        <w:spacing w:before="0"/>
        <w:rPr>
          <w:u w:val="single"/>
        </w:rPr>
      </w:pPr>
    </w:p>
    <w:p w14:paraId="3E261638" w14:textId="77777777" w:rsidR="00D40F4A" w:rsidRPr="007A3D0E" w:rsidRDefault="00D40F4A" w:rsidP="00D40F4A">
      <w:pPr>
        <w:spacing w:before="0"/>
        <w:rPr>
          <w:b/>
          <w:u w:val="single"/>
        </w:rPr>
      </w:pPr>
      <w:r w:rsidRPr="007A3D0E">
        <w:rPr>
          <w:b/>
          <w:u w:val="single"/>
        </w:rPr>
        <w:t xml:space="preserve">Schedule 1 – Amendments </w:t>
      </w:r>
    </w:p>
    <w:p w14:paraId="562F307E" w14:textId="77777777" w:rsidR="00D40F4A" w:rsidRDefault="00D40F4A" w:rsidP="00D40F4A">
      <w:pPr>
        <w:spacing w:before="0"/>
        <w:rPr>
          <w:u w:val="single"/>
        </w:rPr>
      </w:pPr>
    </w:p>
    <w:p w14:paraId="6B643CEB" w14:textId="689D9E1D" w:rsidR="00D40F4A" w:rsidRPr="004D3266" w:rsidRDefault="004A62A8" w:rsidP="00D40F4A">
      <w:pPr>
        <w:spacing w:before="0"/>
        <w:rPr>
          <w:b/>
          <w:u w:val="single"/>
        </w:rPr>
      </w:pPr>
      <w:r>
        <w:rPr>
          <w:b/>
          <w:u w:val="single"/>
        </w:rPr>
        <w:t>Part 1 – Increases to</w:t>
      </w:r>
      <w:r w:rsidR="00D40F4A" w:rsidRPr="004D3266">
        <w:rPr>
          <w:b/>
          <w:u w:val="single"/>
        </w:rPr>
        <w:t xml:space="preserve"> visa application charges</w:t>
      </w:r>
    </w:p>
    <w:p w14:paraId="61E0634E" w14:textId="12F19E8F" w:rsidR="00706311" w:rsidRPr="004D3266" w:rsidRDefault="00706311" w:rsidP="00706311">
      <w:pPr>
        <w:pStyle w:val="ItemHead"/>
        <w:rPr>
          <w:rFonts w:ascii="Times New Roman" w:hAnsi="Times New Roman"/>
        </w:rPr>
      </w:pPr>
      <w:r w:rsidRPr="004D3266">
        <w:rPr>
          <w:rFonts w:ascii="Times New Roman" w:hAnsi="Times New Roman"/>
        </w:rPr>
        <w:t>Item</w:t>
      </w:r>
      <w:r>
        <w:rPr>
          <w:rFonts w:ascii="Times New Roman" w:hAnsi="Times New Roman"/>
        </w:rPr>
        <w:t>s</w:t>
      </w:r>
      <w:r w:rsidRPr="004D3266">
        <w:rPr>
          <w:rFonts w:ascii="Times New Roman" w:hAnsi="Times New Roman"/>
        </w:rPr>
        <w:t xml:space="preserve"> [</w:t>
      </w:r>
      <w:r>
        <w:rPr>
          <w:rFonts w:ascii="Times New Roman" w:hAnsi="Times New Roman"/>
        </w:rPr>
        <w:t>1 to 206]</w:t>
      </w:r>
    </w:p>
    <w:p w14:paraId="01B228FA" w14:textId="77777777" w:rsidR="00706311" w:rsidRDefault="00706311" w:rsidP="00D40F4A">
      <w:pPr>
        <w:spacing w:before="0"/>
      </w:pPr>
    </w:p>
    <w:p w14:paraId="797AFC73" w14:textId="1C62ACD1" w:rsidR="00D40F4A" w:rsidRDefault="00D40F4A" w:rsidP="00D40F4A">
      <w:pPr>
        <w:spacing w:before="0"/>
      </w:pPr>
      <w:r w:rsidRPr="004D3266">
        <w:t xml:space="preserve">Part 1 of Schedule 1 to the Regulations gives effect to Government </w:t>
      </w:r>
      <w:r w:rsidR="003554B9">
        <w:t xml:space="preserve">policy </w:t>
      </w:r>
      <w:r w:rsidR="00346959">
        <w:t xml:space="preserve">of indexing </w:t>
      </w:r>
      <w:r w:rsidR="00EB4188">
        <w:t>visa application charges (VACs)</w:t>
      </w:r>
      <w:r w:rsidR="003554B9">
        <w:t xml:space="preserve"> annually in line with increases to </w:t>
      </w:r>
      <w:r w:rsidR="00EB4188">
        <w:t>consumer price index (CPI).</w:t>
      </w:r>
      <w:r w:rsidR="00346959">
        <w:t xml:space="preserve"> VACs are increased from </w:t>
      </w:r>
      <w:r w:rsidR="00346959" w:rsidRPr="00D2440E">
        <w:t>the</w:t>
      </w:r>
      <w:r w:rsidR="00346959">
        <w:t>ir</w:t>
      </w:r>
      <w:r w:rsidR="00346959" w:rsidRPr="00D2440E">
        <w:t xml:space="preserve"> </w:t>
      </w:r>
      <w:r w:rsidR="00346959">
        <w:t>2021</w:t>
      </w:r>
      <w:r w:rsidR="00346959">
        <w:noBreakHyphen/>
        <w:t xml:space="preserve">22 </w:t>
      </w:r>
      <w:r w:rsidR="00346959" w:rsidRPr="00D2440E">
        <w:t xml:space="preserve">baseline </w:t>
      </w:r>
      <w:r w:rsidR="00346959">
        <w:t>amounts by the 2022-23 forecast </w:t>
      </w:r>
      <w:r w:rsidR="00346959" w:rsidRPr="00D2440E">
        <w:t>CPI</w:t>
      </w:r>
      <w:r w:rsidR="00346959">
        <w:t xml:space="preserve"> of 3.00 per cent, which is</w:t>
      </w:r>
      <w:r w:rsidR="00346959" w:rsidRPr="00D2440E">
        <w:t xml:space="preserve"> published in </w:t>
      </w:r>
      <w:r w:rsidR="00346959">
        <w:t xml:space="preserve">the 2022-23 </w:t>
      </w:r>
      <w:r w:rsidR="00346959" w:rsidRPr="00D2440E">
        <w:t xml:space="preserve">Budget Paper </w:t>
      </w:r>
      <w:r w:rsidR="00346959">
        <w:t>No.</w:t>
      </w:r>
      <w:r w:rsidR="00346959" w:rsidRPr="00D2440E">
        <w:t>1</w:t>
      </w:r>
      <w:r w:rsidR="00346959">
        <w:t>.</w:t>
      </w:r>
    </w:p>
    <w:p w14:paraId="312205FC" w14:textId="77777777" w:rsidR="00EB4188" w:rsidRPr="004D3266" w:rsidRDefault="00EB4188" w:rsidP="00D40F4A">
      <w:pPr>
        <w:spacing w:before="0"/>
        <w:rPr>
          <w:i/>
        </w:rPr>
      </w:pPr>
    </w:p>
    <w:p w14:paraId="48D844E8" w14:textId="56D740C4" w:rsidR="00FC56A7" w:rsidRDefault="00FC56A7" w:rsidP="00FC56A7">
      <w:pPr>
        <w:spacing w:before="0"/>
        <w:ind w:right="662"/>
      </w:pPr>
      <w:r>
        <w:t xml:space="preserve">The amendments </w:t>
      </w:r>
      <w:r w:rsidR="00706311">
        <w:t>made by items 1 to 206</w:t>
      </w:r>
      <w:r>
        <w:t xml:space="preserve"> substitute existing VAC</w:t>
      </w:r>
      <w:r w:rsidR="00A8712F">
        <w:t xml:space="preserve"> amounts</w:t>
      </w:r>
      <w:r>
        <w:t xml:space="preserve"> with indexed VAC</w:t>
      </w:r>
      <w:r w:rsidR="00A8712F">
        <w:t xml:space="preserve"> amounts</w:t>
      </w:r>
      <w:r>
        <w:t xml:space="preserve"> </w:t>
      </w:r>
      <w:r w:rsidR="00A8712F">
        <w:t>for</w:t>
      </w:r>
      <w:r>
        <w:t xml:space="preserve"> the corresponding visa </w:t>
      </w:r>
      <w:r w:rsidR="00A8712F">
        <w:t>provided by the provision being amended</w:t>
      </w:r>
      <w:r>
        <w:t>.</w:t>
      </w:r>
    </w:p>
    <w:p w14:paraId="709C5657" w14:textId="379E2402" w:rsidR="00FC56A7" w:rsidRPr="00DC19F1" w:rsidRDefault="00FC56A7" w:rsidP="00FC56A7">
      <w:pPr>
        <w:spacing w:before="0"/>
        <w:ind w:right="662"/>
      </w:pPr>
      <w:r>
        <w:t xml:space="preserve">  </w:t>
      </w:r>
    </w:p>
    <w:p w14:paraId="166EEFA3" w14:textId="77777777" w:rsidR="004A62A8" w:rsidRPr="00C65691" w:rsidRDefault="004A62A8" w:rsidP="004A62A8">
      <w:pPr>
        <w:spacing w:before="0"/>
        <w:ind w:right="662"/>
      </w:pPr>
      <w:r w:rsidRPr="00C65691">
        <w:t>All increases are rounded to a multiple of $5.00 according to the following methodology:</w:t>
      </w:r>
    </w:p>
    <w:p w14:paraId="38EC0081" w14:textId="16AAC264" w:rsidR="004A62A8" w:rsidRPr="00C65691" w:rsidRDefault="004A62A8" w:rsidP="004A62A8">
      <w:pPr>
        <w:numPr>
          <w:ilvl w:val="0"/>
          <w:numId w:val="4"/>
        </w:numPr>
        <w:spacing w:before="0"/>
        <w:ind w:right="662"/>
      </w:pPr>
      <w:r w:rsidRPr="00C65691">
        <w:t>if the amount of the charge calculated under this formula is not a multiple of $5.00, and exceeds the nearest lower multiple of $5.00 by $2.50 or more, the amount is rounded up to the nearest $5.00;</w:t>
      </w:r>
    </w:p>
    <w:p w14:paraId="5FB04AD0" w14:textId="71A3EB45" w:rsidR="0001372E" w:rsidRDefault="004A62A8" w:rsidP="0001372E">
      <w:pPr>
        <w:numPr>
          <w:ilvl w:val="0"/>
          <w:numId w:val="4"/>
        </w:numPr>
        <w:spacing w:before="0"/>
        <w:ind w:right="662"/>
      </w:pPr>
      <w:proofErr w:type="gramStart"/>
      <w:r w:rsidRPr="00C65691">
        <w:t>in</w:t>
      </w:r>
      <w:proofErr w:type="gramEnd"/>
      <w:r w:rsidRPr="00C65691">
        <w:t xml:space="preserve"> any other case, where the charge calculated under the formula is not a </w:t>
      </w:r>
      <w:r w:rsidRPr="009B7330">
        <w:t xml:space="preserve">multiple of $5.00, the amount is rounded down to the </w:t>
      </w:r>
      <w:r w:rsidR="009B7330" w:rsidRPr="009B7330">
        <w:t>n</w:t>
      </w:r>
      <w:r w:rsidR="007A3D0E">
        <w:t>earest lower multiple of $5.00.</w:t>
      </w:r>
    </w:p>
    <w:p w14:paraId="02FFE6D9" w14:textId="5D6A2E24" w:rsidR="0001372E" w:rsidRDefault="0001372E" w:rsidP="0001372E">
      <w:pPr>
        <w:spacing w:before="0"/>
        <w:ind w:right="662"/>
      </w:pPr>
      <w:r>
        <w:lastRenderedPageBreak/>
        <w:t xml:space="preserve">If the increase </w:t>
      </w:r>
      <w:r w:rsidR="003A5996">
        <w:t>i</w:t>
      </w:r>
      <w:r>
        <w:t xml:space="preserve">s </w:t>
      </w:r>
      <w:r w:rsidRPr="0001372E">
        <w:rPr>
          <w:lang w:val="en-US"/>
        </w:rPr>
        <w:t xml:space="preserve">less than $2.50, it </w:t>
      </w:r>
      <w:r w:rsidR="003A5996">
        <w:rPr>
          <w:lang w:val="en-US"/>
        </w:rPr>
        <w:t>i</w:t>
      </w:r>
      <w:r w:rsidRPr="0001372E">
        <w:rPr>
          <w:lang w:val="en-US"/>
        </w:rPr>
        <w:t xml:space="preserve">s rounded down nil, and no change </w:t>
      </w:r>
      <w:r w:rsidR="003A5996">
        <w:rPr>
          <w:lang w:val="en-US"/>
        </w:rPr>
        <w:t>i</w:t>
      </w:r>
      <w:r w:rsidRPr="0001372E">
        <w:rPr>
          <w:lang w:val="en-US"/>
        </w:rPr>
        <w:t xml:space="preserve">s made to the VAC. This means that the indexation of some VACs have not </w:t>
      </w:r>
      <w:r>
        <w:t>triggered a price change.</w:t>
      </w:r>
    </w:p>
    <w:p w14:paraId="5C12554C" w14:textId="6B3C440B" w:rsidR="004A62A8" w:rsidRPr="00C65691" w:rsidRDefault="004A62A8" w:rsidP="004A62A8">
      <w:pPr>
        <w:spacing w:before="0"/>
        <w:ind w:right="662"/>
      </w:pPr>
    </w:p>
    <w:p w14:paraId="465F3CDF" w14:textId="7FBC12F9" w:rsidR="004A62A8" w:rsidRDefault="004A62A8" w:rsidP="004A62A8">
      <w:pPr>
        <w:spacing w:before="0"/>
        <w:ind w:right="662"/>
        <w:rPr>
          <w:i/>
          <w:iCs/>
        </w:rPr>
      </w:pPr>
      <w:r w:rsidRPr="00C65691">
        <w:t xml:space="preserve">The amount of the increase in these items does not exceed the applicable charge limit set out in the </w:t>
      </w:r>
      <w:r w:rsidRPr="00C65691">
        <w:rPr>
          <w:i/>
          <w:iCs/>
        </w:rPr>
        <w:t>Migration (Visa Application) Charge Act 1997.</w:t>
      </w:r>
    </w:p>
    <w:p w14:paraId="283E5DD1" w14:textId="77777777" w:rsidR="004A62A8" w:rsidRPr="004D3266" w:rsidRDefault="004A62A8" w:rsidP="00D40F4A">
      <w:pPr>
        <w:tabs>
          <w:tab w:val="left" w:pos="345"/>
        </w:tabs>
        <w:spacing w:before="0"/>
        <w:ind w:right="662"/>
      </w:pPr>
    </w:p>
    <w:p w14:paraId="68836B0B" w14:textId="77777777" w:rsidR="00D40F4A" w:rsidRPr="004D3266" w:rsidRDefault="00D40F4A" w:rsidP="00D40F4A">
      <w:pPr>
        <w:tabs>
          <w:tab w:val="left" w:pos="345"/>
        </w:tabs>
        <w:spacing w:before="0"/>
        <w:ind w:right="662"/>
        <w:rPr>
          <w:b/>
          <w:u w:val="single"/>
        </w:rPr>
      </w:pPr>
      <w:r w:rsidRPr="004D3266">
        <w:rPr>
          <w:b/>
          <w:u w:val="single"/>
        </w:rPr>
        <w:t>Part 2 – Application of amendments</w:t>
      </w:r>
    </w:p>
    <w:p w14:paraId="53F25F22" w14:textId="52FFD992" w:rsidR="00D40F4A" w:rsidRPr="004D3266" w:rsidRDefault="00D40F4A" w:rsidP="00D40F4A">
      <w:pPr>
        <w:pStyle w:val="ItemHead"/>
        <w:rPr>
          <w:rFonts w:ascii="Times New Roman" w:hAnsi="Times New Roman"/>
        </w:rPr>
      </w:pPr>
      <w:r w:rsidRPr="004D3266">
        <w:rPr>
          <w:rFonts w:ascii="Times New Roman" w:hAnsi="Times New Roman"/>
        </w:rPr>
        <w:t>Item [</w:t>
      </w:r>
      <w:r w:rsidR="004A62A8">
        <w:rPr>
          <w:rFonts w:ascii="Times New Roman" w:hAnsi="Times New Roman"/>
        </w:rPr>
        <w:t>207</w:t>
      </w:r>
      <w:r w:rsidRPr="004D3266">
        <w:rPr>
          <w:rFonts w:ascii="Times New Roman" w:hAnsi="Times New Roman"/>
        </w:rPr>
        <w:t>] - In the appropriate position in Schedule 13</w:t>
      </w:r>
    </w:p>
    <w:p w14:paraId="1438842E" w14:textId="77777777" w:rsidR="00D40F4A" w:rsidRPr="004D3266" w:rsidRDefault="00D40F4A" w:rsidP="00D40F4A">
      <w:pPr>
        <w:spacing w:before="0"/>
      </w:pPr>
    </w:p>
    <w:p w14:paraId="57339C12" w14:textId="4DDF6B31" w:rsidR="00D40F4A" w:rsidRPr="004D3266" w:rsidRDefault="00D40F4A" w:rsidP="00D40F4A">
      <w:pPr>
        <w:spacing w:before="0"/>
      </w:pPr>
      <w:r w:rsidRPr="004D3266">
        <w:t>This item insert</w:t>
      </w:r>
      <w:r w:rsidR="003A1AAB" w:rsidRPr="004D3266">
        <w:t>s</w:t>
      </w:r>
      <w:r w:rsidRPr="004D3266">
        <w:t xml:space="preserve"> new Part </w:t>
      </w:r>
      <w:r w:rsidR="007A3D0E">
        <w:t>110</w:t>
      </w:r>
      <w:r w:rsidRPr="004D3266">
        <w:t xml:space="preserve"> into Schedule 13</w:t>
      </w:r>
      <w:r w:rsidR="009D11D4">
        <w:t xml:space="preserve"> to the Migration Regulations. </w:t>
      </w:r>
      <w:r w:rsidRPr="004D3266">
        <w:t>Schedule 13 provides for the application and transitional provisions that apply to amendments to the Migration Regulations.</w:t>
      </w:r>
    </w:p>
    <w:p w14:paraId="35ECBF62" w14:textId="77777777" w:rsidR="00D40F4A" w:rsidRPr="004D3266" w:rsidRDefault="00D40F4A" w:rsidP="00D40F4A">
      <w:pPr>
        <w:keepNext/>
        <w:spacing w:before="0"/>
      </w:pPr>
    </w:p>
    <w:p w14:paraId="5676E399" w14:textId="11764373" w:rsidR="00D40F4A" w:rsidRDefault="00D40F4A" w:rsidP="00D40F4A">
      <w:pPr>
        <w:spacing w:before="0"/>
      </w:pPr>
      <w:r w:rsidRPr="004D3266">
        <w:t xml:space="preserve">This </w:t>
      </w:r>
      <w:r w:rsidR="009D11D4">
        <w:t xml:space="preserve">item </w:t>
      </w:r>
      <w:r w:rsidRPr="004D3266">
        <w:t>provide</w:t>
      </w:r>
      <w:r w:rsidR="003A1AAB" w:rsidRPr="004D3266">
        <w:t>s</w:t>
      </w:r>
      <w:r w:rsidRPr="004D3266">
        <w:t xml:space="preserve"> that the amendments made by Schedule 1 apply to visa applicati</w:t>
      </w:r>
      <w:r w:rsidR="007E5BCD">
        <w:t>ons made on or after 1 July 2022</w:t>
      </w:r>
      <w:r w:rsidRPr="004D3266">
        <w:t>.</w:t>
      </w:r>
      <w:r>
        <w:t xml:space="preserve">  </w:t>
      </w:r>
    </w:p>
    <w:p w14:paraId="3A4DD3D7" w14:textId="3171EF9C" w:rsidR="001A6672" w:rsidRDefault="001A6672" w:rsidP="00D40F4A">
      <w:pPr>
        <w:tabs>
          <w:tab w:val="left" w:pos="6521"/>
        </w:tabs>
        <w:spacing w:before="0"/>
        <w:ind w:right="-2"/>
      </w:pPr>
    </w:p>
    <w:sectPr w:rsidR="001A6672" w:rsidSect="004A01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8770" w14:textId="77777777" w:rsidR="0041083E" w:rsidRDefault="0041083E" w:rsidP="0041083E">
      <w:pPr>
        <w:spacing w:before="0"/>
      </w:pPr>
      <w:r>
        <w:separator/>
      </w:r>
    </w:p>
  </w:endnote>
  <w:endnote w:type="continuationSeparator" w:id="0">
    <w:p w14:paraId="27214ECC" w14:textId="77777777" w:rsidR="0041083E" w:rsidRDefault="0041083E" w:rsidP="004108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6856" w14:textId="77777777" w:rsidR="00552BF8" w:rsidRDefault="0055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23116"/>
      <w:docPartObj>
        <w:docPartGallery w:val="Page Numbers (Bottom of Page)"/>
        <w:docPartUnique/>
      </w:docPartObj>
    </w:sdtPr>
    <w:sdtEndPr>
      <w:rPr>
        <w:noProof/>
      </w:rPr>
    </w:sdtEndPr>
    <w:sdtContent>
      <w:p w14:paraId="64215E41" w14:textId="01F2F282" w:rsidR="004A01CB" w:rsidRDefault="004A01CB">
        <w:pPr>
          <w:pStyle w:val="Footer"/>
          <w:jc w:val="center"/>
        </w:pPr>
        <w:r>
          <w:fldChar w:fldCharType="begin"/>
        </w:r>
        <w:r>
          <w:instrText xml:space="preserve"> PAGE   \* MERGEFORMAT </w:instrText>
        </w:r>
        <w:r>
          <w:fldChar w:fldCharType="separate"/>
        </w:r>
        <w:r w:rsidR="00552BF8">
          <w:rPr>
            <w:noProof/>
          </w:rPr>
          <w:t>5</w:t>
        </w:r>
        <w:r>
          <w:rPr>
            <w:noProof/>
          </w:rPr>
          <w:fldChar w:fldCharType="end"/>
        </w:r>
      </w:p>
    </w:sdtContent>
  </w:sdt>
  <w:p w14:paraId="12075E41" w14:textId="77777777" w:rsidR="0041083E" w:rsidRDefault="00410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9F19" w14:textId="77777777" w:rsidR="00552BF8" w:rsidRDefault="0055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914A" w14:textId="77777777" w:rsidR="0041083E" w:rsidRDefault="0041083E" w:rsidP="0041083E">
      <w:pPr>
        <w:spacing w:before="0"/>
      </w:pPr>
      <w:r>
        <w:separator/>
      </w:r>
    </w:p>
  </w:footnote>
  <w:footnote w:type="continuationSeparator" w:id="0">
    <w:p w14:paraId="16470D90" w14:textId="77777777" w:rsidR="0041083E" w:rsidRDefault="0041083E" w:rsidP="004108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05F0" w14:textId="77777777" w:rsidR="00552BF8" w:rsidRDefault="0055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C492" w14:textId="77777777" w:rsidR="00552BF8" w:rsidRDefault="00552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0485C" w14:textId="77777777" w:rsidR="00552BF8" w:rsidRDefault="0055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Calibri" w:hAnsi="Calibri" w:cs="Times New Roman" w:hint="default"/>
        <w:color w:val="auto"/>
      </w:rPr>
    </w:lvl>
    <w:lvl w:ilvl="1">
      <w:start w:val="1"/>
      <w:numFmt w:val="none"/>
      <w:suff w:val="nothing"/>
      <w:lvlText w:val=""/>
      <w:lvlJc w:val="left"/>
      <w:pPr>
        <w:ind w:left="567" w:firstLine="0"/>
      </w:pPr>
      <w:rPr>
        <w:rFonts w:ascii="Calibri" w:hAnsi="Calibri" w:cs="Times New Roman" w:hint="default"/>
        <w:color w:val="auto"/>
      </w:rPr>
    </w:lvl>
    <w:lvl w:ilvl="2">
      <w:start w:val="1"/>
      <w:numFmt w:val="none"/>
      <w:suff w:val="nothing"/>
      <w:lvlText w:val=""/>
      <w:lvlJc w:val="left"/>
      <w:pPr>
        <w:ind w:left="851" w:firstLine="0"/>
      </w:pPr>
      <w:rPr>
        <w:rFonts w:ascii="Calibri" w:hAnsi="Calibri" w:cs="Times New Roman" w:hint="default"/>
        <w:color w:val="auto"/>
      </w:rPr>
    </w:lvl>
    <w:lvl w:ilvl="3">
      <w:start w:val="1"/>
      <w:numFmt w:val="none"/>
      <w:suff w:val="nothing"/>
      <w:lvlText w:val=""/>
      <w:lvlJc w:val="left"/>
      <w:pPr>
        <w:ind w:left="1134" w:firstLine="0"/>
      </w:pPr>
      <w:rPr>
        <w:rFonts w:ascii="Calibri" w:hAnsi="Calibri" w:cs="Times New Roman" w:hint="default"/>
        <w:color w:val="auto"/>
      </w:rPr>
    </w:lvl>
    <w:lvl w:ilvl="4">
      <w:start w:val="1"/>
      <w:numFmt w:val="none"/>
      <w:suff w:val="nothing"/>
      <w:lvlText w:val=""/>
      <w:lvlJc w:val="left"/>
      <w:pPr>
        <w:ind w:left="1418" w:firstLine="0"/>
      </w:pPr>
      <w:rPr>
        <w:rFonts w:ascii="Calibri" w:hAnsi="Calibri" w:cs="Times New Roman" w:hint="default"/>
        <w:color w:val="auto"/>
      </w:rPr>
    </w:lvl>
    <w:lvl w:ilvl="5">
      <w:start w:val="1"/>
      <w:numFmt w:val="none"/>
      <w:suff w:val="nothing"/>
      <w:lvlText w:val=""/>
      <w:lvlJc w:val="left"/>
      <w:pPr>
        <w:ind w:left="1701" w:firstLine="0"/>
      </w:pPr>
      <w:rPr>
        <w:rFonts w:ascii="Calibri" w:hAnsi="Calibri" w:cs="Times New Roman" w:hint="default"/>
        <w:color w:val="auto"/>
      </w:rPr>
    </w:lvl>
    <w:lvl w:ilvl="6">
      <w:start w:val="1"/>
      <w:numFmt w:val="none"/>
      <w:suff w:val="nothing"/>
      <w:lvlText w:val=""/>
      <w:lvlJc w:val="left"/>
      <w:pPr>
        <w:ind w:left="1985" w:firstLine="0"/>
      </w:pPr>
      <w:rPr>
        <w:color w:val="000000"/>
      </w:rPr>
    </w:lvl>
    <w:lvl w:ilvl="7">
      <w:start w:val="1"/>
      <w:numFmt w:val="none"/>
      <w:suff w:val="nothing"/>
      <w:lvlText w:val=""/>
      <w:lvlJc w:val="left"/>
      <w:pPr>
        <w:ind w:left="2268" w:firstLine="0"/>
      </w:pPr>
    </w:lvl>
    <w:lvl w:ilvl="8">
      <w:numFmt w:val="none"/>
      <w:lvlText w:val=""/>
      <w:lvlJc w:val="left"/>
      <w:pPr>
        <w:tabs>
          <w:tab w:val="num" w:pos="3123"/>
        </w:tabs>
        <w:ind w:left="2552" w:firstLine="0"/>
      </w:pPr>
    </w:lvl>
  </w:abstractNum>
  <w:abstractNum w:abstractNumId="1" w15:restartNumberingAfterBreak="0">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449C6"/>
    <w:multiLevelType w:val="hybridMultilevel"/>
    <w:tmpl w:val="9EA25D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8C3E83"/>
    <w:multiLevelType w:val="hybridMultilevel"/>
    <w:tmpl w:val="D69A6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E01851"/>
    <w:multiLevelType w:val="hybridMultilevel"/>
    <w:tmpl w:val="F1561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D171030"/>
    <w:multiLevelType w:val="hybridMultilevel"/>
    <w:tmpl w:val="739C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5F78AB"/>
    <w:multiLevelType w:val="hybridMultilevel"/>
    <w:tmpl w:val="4CFE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ED4731"/>
    <w:multiLevelType w:val="hybridMultilevel"/>
    <w:tmpl w:val="D0C84370"/>
    <w:lvl w:ilvl="0" w:tplc="0C090001">
      <w:start w:val="1"/>
      <w:numFmt w:val="bullet"/>
      <w:lvlText w:val=""/>
      <w:lvlJc w:val="left"/>
      <w:pPr>
        <w:tabs>
          <w:tab w:val="num" w:pos="1140"/>
        </w:tabs>
        <w:ind w:left="1140" w:hanging="360"/>
      </w:pPr>
      <w:rPr>
        <w:rFonts w:ascii="Symbol" w:hAnsi="Symbol" w:hint="default"/>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816089E"/>
    <w:multiLevelType w:val="hybridMultilevel"/>
    <w:tmpl w:val="A8F8C670"/>
    <w:lvl w:ilvl="0" w:tplc="871CE7A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2F6D01"/>
    <w:multiLevelType w:val="hybridMultilevel"/>
    <w:tmpl w:val="6A0E1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
  </w:num>
  <w:num w:numId="5">
    <w:abstractNumId w:val="0"/>
  </w:num>
  <w:num w:numId="6">
    <w:abstractNumId w:val="8"/>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B9"/>
    <w:rsid w:val="0001318A"/>
    <w:rsid w:val="0001372E"/>
    <w:rsid w:val="00013CD4"/>
    <w:rsid w:val="00021B48"/>
    <w:rsid w:val="00027E7E"/>
    <w:rsid w:val="000441D8"/>
    <w:rsid w:val="0004490F"/>
    <w:rsid w:val="00050805"/>
    <w:rsid w:val="000736CE"/>
    <w:rsid w:val="00093867"/>
    <w:rsid w:val="000A23BC"/>
    <w:rsid w:val="000B18CA"/>
    <w:rsid w:val="000C32F5"/>
    <w:rsid w:val="000D1B52"/>
    <w:rsid w:val="000E1074"/>
    <w:rsid w:val="000F1EA0"/>
    <w:rsid w:val="000F201A"/>
    <w:rsid w:val="00110456"/>
    <w:rsid w:val="00137761"/>
    <w:rsid w:val="00165A32"/>
    <w:rsid w:val="001979E1"/>
    <w:rsid w:val="001A6672"/>
    <w:rsid w:val="001B7F67"/>
    <w:rsid w:val="001D3678"/>
    <w:rsid w:val="00221755"/>
    <w:rsid w:val="002331F4"/>
    <w:rsid w:val="00251C35"/>
    <w:rsid w:val="002749F4"/>
    <w:rsid w:val="002B3F91"/>
    <w:rsid w:val="002C0BD1"/>
    <w:rsid w:val="002D0340"/>
    <w:rsid w:val="002E7335"/>
    <w:rsid w:val="0030336A"/>
    <w:rsid w:val="00320AD6"/>
    <w:rsid w:val="00346959"/>
    <w:rsid w:val="0034777B"/>
    <w:rsid w:val="003554B9"/>
    <w:rsid w:val="003679BD"/>
    <w:rsid w:val="003735BF"/>
    <w:rsid w:val="0038278D"/>
    <w:rsid w:val="00396747"/>
    <w:rsid w:val="003A1AAB"/>
    <w:rsid w:val="003A5996"/>
    <w:rsid w:val="003C6B63"/>
    <w:rsid w:val="003C78CA"/>
    <w:rsid w:val="003D4215"/>
    <w:rsid w:val="00407A14"/>
    <w:rsid w:val="0041083E"/>
    <w:rsid w:val="00443F6B"/>
    <w:rsid w:val="00446F63"/>
    <w:rsid w:val="0047410E"/>
    <w:rsid w:val="004801B5"/>
    <w:rsid w:val="004908D3"/>
    <w:rsid w:val="00497825"/>
    <w:rsid w:val="004A01CB"/>
    <w:rsid w:val="004A1D10"/>
    <w:rsid w:val="004A62A8"/>
    <w:rsid w:val="004B2B17"/>
    <w:rsid w:val="004D3266"/>
    <w:rsid w:val="004E4895"/>
    <w:rsid w:val="004E508B"/>
    <w:rsid w:val="004F6DD4"/>
    <w:rsid w:val="00513A3F"/>
    <w:rsid w:val="00552BF8"/>
    <w:rsid w:val="0057674E"/>
    <w:rsid w:val="00584096"/>
    <w:rsid w:val="00585A38"/>
    <w:rsid w:val="00590C55"/>
    <w:rsid w:val="00594698"/>
    <w:rsid w:val="005B3482"/>
    <w:rsid w:val="005B7822"/>
    <w:rsid w:val="005C206A"/>
    <w:rsid w:val="005E641F"/>
    <w:rsid w:val="00605AD8"/>
    <w:rsid w:val="00693E70"/>
    <w:rsid w:val="0069569B"/>
    <w:rsid w:val="006E72F3"/>
    <w:rsid w:val="006F62A1"/>
    <w:rsid w:val="00706311"/>
    <w:rsid w:val="00735DFC"/>
    <w:rsid w:val="007369CF"/>
    <w:rsid w:val="00742133"/>
    <w:rsid w:val="00752AF3"/>
    <w:rsid w:val="007545E9"/>
    <w:rsid w:val="00766C41"/>
    <w:rsid w:val="00796F55"/>
    <w:rsid w:val="007A3D0E"/>
    <w:rsid w:val="007E211C"/>
    <w:rsid w:val="007E5BCD"/>
    <w:rsid w:val="007E7A5F"/>
    <w:rsid w:val="007F34B4"/>
    <w:rsid w:val="00842AD8"/>
    <w:rsid w:val="00883600"/>
    <w:rsid w:val="008922B3"/>
    <w:rsid w:val="0089359F"/>
    <w:rsid w:val="008C6439"/>
    <w:rsid w:val="008E28EF"/>
    <w:rsid w:val="00911C13"/>
    <w:rsid w:val="00940369"/>
    <w:rsid w:val="0095706F"/>
    <w:rsid w:val="009B619A"/>
    <w:rsid w:val="009B7330"/>
    <w:rsid w:val="009B7A5D"/>
    <w:rsid w:val="009D11D4"/>
    <w:rsid w:val="009D676F"/>
    <w:rsid w:val="00A7280C"/>
    <w:rsid w:val="00A8712F"/>
    <w:rsid w:val="00A97152"/>
    <w:rsid w:val="00AA0FA4"/>
    <w:rsid w:val="00AB6D19"/>
    <w:rsid w:val="00AD0FD1"/>
    <w:rsid w:val="00AF2C27"/>
    <w:rsid w:val="00B0320C"/>
    <w:rsid w:val="00B04C81"/>
    <w:rsid w:val="00B059D5"/>
    <w:rsid w:val="00B07235"/>
    <w:rsid w:val="00B1702B"/>
    <w:rsid w:val="00B4227B"/>
    <w:rsid w:val="00B841B9"/>
    <w:rsid w:val="00B97279"/>
    <w:rsid w:val="00BB7F11"/>
    <w:rsid w:val="00BC4DAC"/>
    <w:rsid w:val="00BD03A6"/>
    <w:rsid w:val="00BE4EBB"/>
    <w:rsid w:val="00BF1D3C"/>
    <w:rsid w:val="00C130E6"/>
    <w:rsid w:val="00C41B3E"/>
    <w:rsid w:val="00C47E79"/>
    <w:rsid w:val="00C50E36"/>
    <w:rsid w:val="00C52D76"/>
    <w:rsid w:val="00C649DE"/>
    <w:rsid w:val="00CB734F"/>
    <w:rsid w:val="00CC3729"/>
    <w:rsid w:val="00CD25FD"/>
    <w:rsid w:val="00CF43A9"/>
    <w:rsid w:val="00CF6535"/>
    <w:rsid w:val="00D07F0A"/>
    <w:rsid w:val="00D242EF"/>
    <w:rsid w:val="00D40F4A"/>
    <w:rsid w:val="00D6647F"/>
    <w:rsid w:val="00D67759"/>
    <w:rsid w:val="00DA2685"/>
    <w:rsid w:val="00DD2115"/>
    <w:rsid w:val="00DE373B"/>
    <w:rsid w:val="00E477BE"/>
    <w:rsid w:val="00E5311F"/>
    <w:rsid w:val="00E56D9B"/>
    <w:rsid w:val="00E64A5A"/>
    <w:rsid w:val="00EA0B4D"/>
    <w:rsid w:val="00EB4188"/>
    <w:rsid w:val="00EF4DC2"/>
    <w:rsid w:val="00F064AA"/>
    <w:rsid w:val="00F17972"/>
    <w:rsid w:val="00F21616"/>
    <w:rsid w:val="00F243F3"/>
    <w:rsid w:val="00F507D3"/>
    <w:rsid w:val="00F51185"/>
    <w:rsid w:val="00F62AF1"/>
    <w:rsid w:val="00F6720D"/>
    <w:rsid w:val="00F77A03"/>
    <w:rsid w:val="00F85D58"/>
    <w:rsid w:val="00F92676"/>
    <w:rsid w:val="00FA02D0"/>
    <w:rsid w:val="00FC56A7"/>
    <w:rsid w:val="00FD02B3"/>
    <w:rsid w:val="00FD754A"/>
    <w:rsid w:val="00FE0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58F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B9"/>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D0FD1"/>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C4D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41B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74213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841B9"/>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1B9"/>
    <w:rPr>
      <w:rFonts w:asciiTheme="majorHAnsi" w:eastAsiaTheme="majorEastAsia" w:hAnsiTheme="majorHAnsi" w:cstheme="majorBidi"/>
      <w:color w:val="1F4D78" w:themeColor="accent1" w:themeShade="7F"/>
      <w:sz w:val="24"/>
      <w:szCs w:val="24"/>
      <w:lang w:eastAsia="en-AU"/>
    </w:rPr>
  </w:style>
  <w:style w:type="character" w:customStyle="1" w:styleId="Heading6Char">
    <w:name w:val="Heading 6 Char"/>
    <w:basedOn w:val="DefaultParagraphFont"/>
    <w:link w:val="Heading6"/>
    <w:rsid w:val="00B841B9"/>
    <w:rPr>
      <w:rFonts w:ascii="Times New Roman" w:eastAsia="Times New Roman" w:hAnsi="Times New Roman" w:cs="Times New Roman"/>
      <w:sz w:val="24"/>
      <w:szCs w:val="20"/>
      <w:u w:val="single"/>
      <w:lang w:eastAsia="en-AU"/>
    </w:rPr>
  </w:style>
  <w:style w:type="character" w:styleId="CommentReference">
    <w:name w:val="annotation reference"/>
    <w:basedOn w:val="DefaultParagraphFont"/>
    <w:uiPriority w:val="99"/>
    <w:unhideWhenUsed/>
    <w:rsid w:val="00B841B9"/>
    <w:rPr>
      <w:sz w:val="16"/>
      <w:szCs w:val="16"/>
    </w:rPr>
  </w:style>
  <w:style w:type="paragraph" w:styleId="CommentText">
    <w:name w:val="annotation text"/>
    <w:basedOn w:val="Normal"/>
    <w:link w:val="CommentTextChar"/>
    <w:uiPriority w:val="99"/>
    <w:unhideWhenUsed/>
    <w:rsid w:val="00B841B9"/>
    <w:rPr>
      <w:sz w:val="20"/>
    </w:rPr>
  </w:style>
  <w:style w:type="character" w:customStyle="1" w:styleId="CommentTextChar">
    <w:name w:val="Comment Text Char"/>
    <w:basedOn w:val="DefaultParagraphFont"/>
    <w:link w:val="CommentText"/>
    <w:uiPriority w:val="99"/>
    <w:rsid w:val="00B841B9"/>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841B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B9"/>
    <w:rPr>
      <w:rFonts w:ascii="Segoe UI" w:eastAsia="Times New Roman" w:hAnsi="Segoe UI" w:cs="Segoe UI"/>
      <w:sz w:val="18"/>
      <w:szCs w:val="18"/>
      <w:lang w:eastAsia="en-AU"/>
    </w:rPr>
  </w:style>
  <w:style w:type="paragraph" w:styleId="ListParagraph0">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B059D5"/>
    <w:pPr>
      <w:ind w:left="720"/>
    </w:pPr>
    <w:rPr>
      <w:rFonts w:eastAsiaTheme="minorEastAsia"/>
      <w:szCs w:val="24"/>
    </w:rPr>
  </w:style>
  <w:style w:type="paragraph" w:customStyle="1" w:styleId="Default">
    <w:name w:val="Default"/>
    <w:rsid w:val="00B059D5"/>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0"/>
    <w:rsid w:val="00B059D5"/>
    <w:rPr>
      <w:rFonts w:ascii="Times New Roman" w:eastAsiaTheme="minorEastAsia"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735DFC"/>
    <w:rPr>
      <w:b/>
      <w:bCs/>
    </w:rPr>
  </w:style>
  <w:style w:type="character" w:customStyle="1" w:styleId="CommentSubjectChar">
    <w:name w:val="Comment Subject Char"/>
    <w:basedOn w:val="CommentTextChar"/>
    <w:link w:val="CommentSubject"/>
    <w:uiPriority w:val="99"/>
    <w:semiHidden/>
    <w:rsid w:val="00735DFC"/>
    <w:rPr>
      <w:rFonts w:ascii="Times New Roman" w:eastAsia="Times New Roman" w:hAnsi="Times New Roman" w:cs="Times New Roman"/>
      <w:b/>
      <w:bCs/>
      <w:sz w:val="20"/>
      <w:szCs w:val="20"/>
      <w:lang w:eastAsia="en-AU"/>
    </w:rPr>
  </w:style>
  <w:style w:type="paragraph" w:customStyle="1" w:styleId="EMparagraph">
    <w:name w:val="EM paragraph"/>
    <w:basedOn w:val="Normal"/>
    <w:rsid w:val="00C47E79"/>
    <w:pPr>
      <w:widowControl w:val="0"/>
      <w:adjustRightInd w:val="0"/>
      <w:spacing w:before="0" w:after="240"/>
      <w:ind w:right="85"/>
      <w:textAlignment w:val="baseline"/>
    </w:pPr>
  </w:style>
  <w:style w:type="paragraph" w:customStyle="1" w:styleId="ItemHead">
    <w:name w:val="ItemHead"/>
    <w:aliases w:val="ih"/>
    <w:basedOn w:val="Normal"/>
    <w:next w:val="Normal"/>
    <w:rsid w:val="00FE0FBF"/>
    <w:pPr>
      <w:keepNext/>
      <w:keepLines/>
      <w:spacing w:before="220"/>
      <w:ind w:left="709" w:hanging="709"/>
    </w:pPr>
    <w:rPr>
      <w:rFonts w:ascii="Arial" w:eastAsiaTheme="minorEastAsia" w:hAnsi="Arial" w:cs="Arial"/>
      <w:b/>
      <w:bCs/>
      <w:kern w:val="28"/>
      <w:szCs w:val="24"/>
    </w:rPr>
  </w:style>
  <w:style w:type="paragraph" w:customStyle="1" w:styleId="ListParagraph2">
    <w:name w:val="List Paragraph 2"/>
    <w:basedOn w:val="Normal"/>
    <w:uiPriority w:val="19"/>
    <w:rsid w:val="00165A32"/>
    <w:pPr>
      <w:spacing w:before="0" w:after="120" w:line="264" w:lineRule="auto"/>
      <w:ind w:left="567"/>
    </w:pPr>
    <w:rPr>
      <w:rFonts w:eastAsiaTheme="minorHAnsi"/>
      <w:sz w:val="20"/>
    </w:rPr>
  </w:style>
  <w:style w:type="paragraph" w:customStyle="1" w:styleId="ListParagraph3">
    <w:name w:val="List Paragraph 3"/>
    <w:basedOn w:val="Normal"/>
    <w:uiPriority w:val="19"/>
    <w:rsid w:val="00165A32"/>
    <w:pPr>
      <w:spacing w:before="0" w:after="120" w:line="264" w:lineRule="auto"/>
      <w:ind w:left="851"/>
    </w:pPr>
    <w:rPr>
      <w:rFonts w:eastAsiaTheme="minorHAnsi"/>
      <w:sz w:val="20"/>
    </w:rPr>
  </w:style>
  <w:style w:type="paragraph" w:customStyle="1" w:styleId="ListParagraph4">
    <w:name w:val="List Paragraph 4"/>
    <w:basedOn w:val="Normal"/>
    <w:uiPriority w:val="19"/>
    <w:rsid w:val="00165A32"/>
    <w:pPr>
      <w:spacing w:before="0" w:after="120" w:line="264" w:lineRule="auto"/>
      <w:ind w:left="1134"/>
    </w:pPr>
    <w:rPr>
      <w:rFonts w:eastAsiaTheme="minorHAnsi"/>
      <w:sz w:val="20"/>
    </w:rPr>
  </w:style>
  <w:style w:type="paragraph" w:customStyle="1" w:styleId="ListParagraph5">
    <w:name w:val="List Paragraph 5"/>
    <w:basedOn w:val="Normal"/>
    <w:uiPriority w:val="19"/>
    <w:rsid w:val="00165A32"/>
    <w:pPr>
      <w:spacing w:before="0" w:after="120" w:line="264" w:lineRule="auto"/>
      <w:ind w:left="1418"/>
    </w:pPr>
    <w:rPr>
      <w:rFonts w:eastAsiaTheme="minorHAnsi"/>
      <w:sz w:val="20"/>
    </w:rPr>
  </w:style>
  <w:style w:type="paragraph" w:customStyle="1" w:styleId="ListParagraph6">
    <w:name w:val="List Paragraph 6"/>
    <w:basedOn w:val="Normal"/>
    <w:uiPriority w:val="19"/>
    <w:rsid w:val="00165A32"/>
    <w:pPr>
      <w:spacing w:before="0" w:after="120" w:line="264" w:lineRule="auto"/>
      <w:ind w:left="1701"/>
    </w:pPr>
    <w:rPr>
      <w:rFonts w:eastAsiaTheme="minorHAnsi"/>
      <w:sz w:val="20"/>
    </w:rPr>
  </w:style>
  <w:style w:type="numbering" w:customStyle="1" w:styleId="ListParagraph">
    <w:name w:val="List_Paragraph"/>
    <w:uiPriority w:val="99"/>
    <w:rsid w:val="00165A32"/>
    <w:pPr>
      <w:numPr>
        <w:numId w:val="5"/>
      </w:numPr>
    </w:pPr>
  </w:style>
  <w:style w:type="paragraph" w:styleId="BodyText">
    <w:name w:val="Body Text"/>
    <w:basedOn w:val="Normal"/>
    <w:link w:val="BodyTextChar"/>
    <w:uiPriority w:val="1"/>
    <w:unhideWhenUsed/>
    <w:qFormat/>
    <w:rsid w:val="00BB7F11"/>
    <w:pPr>
      <w:spacing w:before="120" w:after="120" w:line="264" w:lineRule="auto"/>
    </w:pPr>
    <w:rPr>
      <w:rFonts w:ascii="Calibri" w:eastAsiaTheme="minorHAnsi" w:hAnsi="Calibri" w:cs="Calibri"/>
      <w:sz w:val="20"/>
    </w:rPr>
  </w:style>
  <w:style w:type="character" w:customStyle="1" w:styleId="BodyTextChar">
    <w:name w:val="Body Text Char"/>
    <w:basedOn w:val="DefaultParagraphFont"/>
    <w:link w:val="BodyText"/>
    <w:uiPriority w:val="1"/>
    <w:rsid w:val="00BB7F11"/>
    <w:rPr>
      <w:rFonts w:ascii="Calibri" w:hAnsi="Calibri" w:cs="Calibri"/>
      <w:sz w:val="20"/>
      <w:szCs w:val="20"/>
      <w:lang w:eastAsia="en-AU"/>
    </w:rPr>
  </w:style>
  <w:style w:type="paragraph" w:styleId="NoSpacing">
    <w:name w:val="No Spacing"/>
    <w:uiPriority w:val="1"/>
    <w:qFormat/>
    <w:rsid w:val="0095706F"/>
    <w:pPr>
      <w:spacing w:after="0" w:line="240" w:lineRule="auto"/>
    </w:pPr>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uiPriority w:val="9"/>
    <w:semiHidden/>
    <w:rsid w:val="00742133"/>
    <w:rPr>
      <w:rFonts w:asciiTheme="majorHAnsi" w:eastAsiaTheme="majorEastAsia" w:hAnsiTheme="majorHAnsi" w:cstheme="majorBidi"/>
      <w:color w:val="2E74B5" w:themeColor="accent1" w:themeShade="BF"/>
      <w:sz w:val="24"/>
      <w:szCs w:val="20"/>
      <w:lang w:eastAsia="en-AU"/>
    </w:rPr>
  </w:style>
  <w:style w:type="character" w:customStyle="1" w:styleId="Heading2Char">
    <w:name w:val="Heading 2 Char"/>
    <w:basedOn w:val="DefaultParagraphFont"/>
    <w:link w:val="Heading2"/>
    <w:uiPriority w:val="9"/>
    <w:semiHidden/>
    <w:rsid w:val="00BC4DAC"/>
    <w:rPr>
      <w:rFonts w:asciiTheme="majorHAnsi" w:eastAsiaTheme="majorEastAsia" w:hAnsiTheme="majorHAnsi" w:cstheme="majorBidi"/>
      <w:color w:val="2E74B5" w:themeColor="accent1" w:themeShade="BF"/>
      <w:sz w:val="26"/>
      <w:szCs w:val="26"/>
      <w:lang w:eastAsia="en-AU"/>
    </w:rPr>
  </w:style>
  <w:style w:type="character" w:styleId="Hyperlink">
    <w:name w:val="Hyperlink"/>
    <w:basedOn w:val="DefaultParagraphFont"/>
    <w:uiPriority w:val="99"/>
    <w:unhideWhenUsed/>
    <w:rsid w:val="004F6DD4"/>
    <w:rPr>
      <w:color w:val="0000FF"/>
      <w:u w:val="single"/>
    </w:rPr>
  </w:style>
  <w:style w:type="character" w:styleId="FollowedHyperlink">
    <w:name w:val="FollowedHyperlink"/>
    <w:basedOn w:val="DefaultParagraphFont"/>
    <w:uiPriority w:val="99"/>
    <w:semiHidden/>
    <w:unhideWhenUsed/>
    <w:rsid w:val="000C32F5"/>
    <w:rPr>
      <w:color w:val="954F72" w:themeColor="followedHyperlink"/>
      <w:u w:val="single"/>
    </w:rPr>
  </w:style>
  <w:style w:type="character" w:customStyle="1" w:styleId="ActHead5Char">
    <w:name w:val="ActHead 5 Char"/>
    <w:aliases w:val="s Char"/>
    <w:link w:val="ActHead5"/>
    <w:locked/>
    <w:rsid w:val="008C6439"/>
    <w:rPr>
      <w:rFonts w:ascii="Times New Roman" w:eastAsia="Times New Roman" w:hAnsi="Times New Roman" w:cs="Times New Roman"/>
      <w:b/>
      <w:kern w:val="28"/>
      <w:sz w:val="24"/>
      <w:szCs w:val="20"/>
      <w:lang w:eastAsia="en-AU"/>
    </w:rPr>
  </w:style>
  <w:style w:type="paragraph" w:customStyle="1" w:styleId="ActHead5">
    <w:name w:val="ActHead 5"/>
    <w:aliases w:val="s"/>
    <w:basedOn w:val="Normal"/>
    <w:next w:val="Normal"/>
    <w:link w:val="ActHead5Char"/>
    <w:qFormat/>
    <w:rsid w:val="008C6439"/>
    <w:pPr>
      <w:keepNext/>
      <w:keepLines/>
      <w:spacing w:before="280"/>
      <w:ind w:left="1134" w:hanging="1134"/>
      <w:outlineLvl w:val="4"/>
    </w:pPr>
    <w:rPr>
      <w:b/>
      <w:kern w:val="28"/>
    </w:rPr>
  </w:style>
  <w:style w:type="paragraph" w:styleId="Header">
    <w:name w:val="header"/>
    <w:basedOn w:val="Normal"/>
    <w:link w:val="HeaderChar"/>
    <w:uiPriority w:val="99"/>
    <w:unhideWhenUsed/>
    <w:rsid w:val="0041083E"/>
    <w:pPr>
      <w:tabs>
        <w:tab w:val="center" w:pos="4513"/>
        <w:tab w:val="right" w:pos="9026"/>
      </w:tabs>
      <w:spacing w:before="0"/>
    </w:pPr>
  </w:style>
  <w:style w:type="character" w:customStyle="1" w:styleId="HeaderChar">
    <w:name w:val="Header Char"/>
    <w:basedOn w:val="DefaultParagraphFont"/>
    <w:link w:val="Header"/>
    <w:uiPriority w:val="99"/>
    <w:rsid w:val="0041083E"/>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41083E"/>
    <w:pPr>
      <w:tabs>
        <w:tab w:val="center" w:pos="4513"/>
        <w:tab w:val="right" w:pos="9026"/>
      </w:tabs>
      <w:spacing w:before="0"/>
    </w:pPr>
  </w:style>
  <w:style w:type="character" w:customStyle="1" w:styleId="FooterChar">
    <w:name w:val="Footer Char"/>
    <w:basedOn w:val="DefaultParagraphFont"/>
    <w:link w:val="Footer"/>
    <w:uiPriority w:val="99"/>
    <w:rsid w:val="0041083E"/>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AD0FD1"/>
    <w:rPr>
      <w:color w:val="808080"/>
    </w:rPr>
  </w:style>
  <w:style w:type="paragraph" w:styleId="Title">
    <w:name w:val="Title"/>
    <w:basedOn w:val="Heading1"/>
    <w:next w:val="BodyText"/>
    <w:link w:val="TitleChar"/>
    <w:qFormat/>
    <w:rsid w:val="00AD0FD1"/>
    <w:pPr>
      <w:widowControl w:val="0"/>
      <w:spacing w:before="0" w:after="360" w:line="264" w:lineRule="auto"/>
    </w:pPr>
    <w:rPr>
      <w:rFonts w:eastAsia="Times New Roman" w:cs="Arial"/>
      <w:b/>
      <w:bCs/>
      <w:color w:val="5B9BD5" w:themeColor="accent1"/>
      <w:sz w:val="52"/>
      <w:szCs w:val="40"/>
    </w:rPr>
  </w:style>
  <w:style w:type="character" w:customStyle="1" w:styleId="TitleChar">
    <w:name w:val="Title Char"/>
    <w:basedOn w:val="DefaultParagraphFont"/>
    <w:link w:val="Title"/>
    <w:rsid w:val="00AD0FD1"/>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AD0FD1"/>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D0FD1"/>
    <w:rPr>
      <w:rFonts w:asciiTheme="majorHAnsi" w:eastAsiaTheme="majorEastAsia" w:hAnsiTheme="majorHAnsi" w:cstheme="majorBidi"/>
      <w:color w:val="2E74B5" w:themeColor="accent1" w:themeShade="BF"/>
      <w:sz w:val="32"/>
      <w:szCs w:val="32"/>
      <w:lang w:eastAsia="en-AU"/>
    </w:rPr>
  </w:style>
  <w:style w:type="character" w:customStyle="1" w:styleId="subsectionChar">
    <w:name w:val="subsection Char"/>
    <w:aliases w:val="ss Char"/>
    <w:basedOn w:val="DefaultParagraphFont"/>
    <w:link w:val="subsection"/>
    <w:locked/>
    <w:rsid w:val="00585A38"/>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585A38"/>
    <w:pPr>
      <w:tabs>
        <w:tab w:val="right" w:pos="1021"/>
      </w:tabs>
      <w:spacing w:before="180"/>
      <w:ind w:left="1134" w:hanging="1134"/>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0426">
      <w:bodyDiv w:val="1"/>
      <w:marLeft w:val="0"/>
      <w:marRight w:val="0"/>
      <w:marTop w:val="0"/>
      <w:marBottom w:val="0"/>
      <w:divBdr>
        <w:top w:val="none" w:sz="0" w:space="0" w:color="auto"/>
        <w:left w:val="none" w:sz="0" w:space="0" w:color="auto"/>
        <w:bottom w:val="none" w:sz="0" w:space="0" w:color="auto"/>
        <w:right w:val="none" w:sz="0" w:space="0" w:color="auto"/>
      </w:divBdr>
    </w:div>
    <w:div w:id="72900207">
      <w:bodyDiv w:val="1"/>
      <w:marLeft w:val="0"/>
      <w:marRight w:val="0"/>
      <w:marTop w:val="0"/>
      <w:marBottom w:val="0"/>
      <w:divBdr>
        <w:top w:val="none" w:sz="0" w:space="0" w:color="auto"/>
        <w:left w:val="none" w:sz="0" w:space="0" w:color="auto"/>
        <w:bottom w:val="none" w:sz="0" w:space="0" w:color="auto"/>
        <w:right w:val="none" w:sz="0" w:space="0" w:color="auto"/>
      </w:divBdr>
    </w:div>
    <w:div w:id="308442188">
      <w:bodyDiv w:val="1"/>
      <w:marLeft w:val="0"/>
      <w:marRight w:val="0"/>
      <w:marTop w:val="0"/>
      <w:marBottom w:val="0"/>
      <w:divBdr>
        <w:top w:val="none" w:sz="0" w:space="0" w:color="auto"/>
        <w:left w:val="none" w:sz="0" w:space="0" w:color="auto"/>
        <w:bottom w:val="none" w:sz="0" w:space="0" w:color="auto"/>
        <w:right w:val="none" w:sz="0" w:space="0" w:color="auto"/>
      </w:divBdr>
    </w:div>
    <w:div w:id="430977818">
      <w:bodyDiv w:val="1"/>
      <w:marLeft w:val="0"/>
      <w:marRight w:val="0"/>
      <w:marTop w:val="0"/>
      <w:marBottom w:val="0"/>
      <w:divBdr>
        <w:top w:val="none" w:sz="0" w:space="0" w:color="auto"/>
        <w:left w:val="none" w:sz="0" w:space="0" w:color="auto"/>
        <w:bottom w:val="none" w:sz="0" w:space="0" w:color="auto"/>
        <w:right w:val="none" w:sz="0" w:space="0" w:color="auto"/>
      </w:divBdr>
    </w:div>
    <w:div w:id="580213042">
      <w:bodyDiv w:val="1"/>
      <w:marLeft w:val="0"/>
      <w:marRight w:val="0"/>
      <w:marTop w:val="0"/>
      <w:marBottom w:val="0"/>
      <w:divBdr>
        <w:top w:val="none" w:sz="0" w:space="0" w:color="auto"/>
        <w:left w:val="none" w:sz="0" w:space="0" w:color="auto"/>
        <w:bottom w:val="none" w:sz="0" w:space="0" w:color="auto"/>
        <w:right w:val="none" w:sz="0" w:space="0" w:color="auto"/>
      </w:divBdr>
    </w:div>
    <w:div w:id="764808151">
      <w:bodyDiv w:val="1"/>
      <w:marLeft w:val="0"/>
      <w:marRight w:val="0"/>
      <w:marTop w:val="0"/>
      <w:marBottom w:val="0"/>
      <w:divBdr>
        <w:top w:val="none" w:sz="0" w:space="0" w:color="auto"/>
        <w:left w:val="none" w:sz="0" w:space="0" w:color="auto"/>
        <w:bottom w:val="none" w:sz="0" w:space="0" w:color="auto"/>
        <w:right w:val="none" w:sz="0" w:space="0" w:color="auto"/>
      </w:divBdr>
    </w:div>
    <w:div w:id="835539099">
      <w:bodyDiv w:val="1"/>
      <w:marLeft w:val="0"/>
      <w:marRight w:val="0"/>
      <w:marTop w:val="0"/>
      <w:marBottom w:val="0"/>
      <w:divBdr>
        <w:top w:val="none" w:sz="0" w:space="0" w:color="auto"/>
        <w:left w:val="none" w:sz="0" w:space="0" w:color="auto"/>
        <w:bottom w:val="none" w:sz="0" w:space="0" w:color="auto"/>
        <w:right w:val="none" w:sz="0" w:space="0" w:color="auto"/>
      </w:divBdr>
    </w:div>
    <w:div w:id="838811670">
      <w:bodyDiv w:val="1"/>
      <w:marLeft w:val="0"/>
      <w:marRight w:val="0"/>
      <w:marTop w:val="0"/>
      <w:marBottom w:val="0"/>
      <w:divBdr>
        <w:top w:val="none" w:sz="0" w:space="0" w:color="auto"/>
        <w:left w:val="none" w:sz="0" w:space="0" w:color="auto"/>
        <w:bottom w:val="none" w:sz="0" w:space="0" w:color="auto"/>
        <w:right w:val="none" w:sz="0" w:space="0" w:color="auto"/>
      </w:divBdr>
    </w:div>
    <w:div w:id="851142054">
      <w:bodyDiv w:val="1"/>
      <w:marLeft w:val="0"/>
      <w:marRight w:val="0"/>
      <w:marTop w:val="0"/>
      <w:marBottom w:val="0"/>
      <w:divBdr>
        <w:top w:val="none" w:sz="0" w:space="0" w:color="auto"/>
        <w:left w:val="none" w:sz="0" w:space="0" w:color="auto"/>
        <w:bottom w:val="none" w:sz="0" w:space="0" w:color="auto"/>
        <w:right w:val="none" w:sz="0" w:space="0" w:color="auto"/>
      </w:divBdr>
    </w:div>
    <w:div w:id="942884269">
      <w:bodyDiv w:val="1"/>
      <w:marLeft w:val="0"/>
      <w:marRight w:val="0"/>
      <w:marTop w:val="0"/>
      <w:marBottom w:val="0"/>
      <w:divBdr>
        <w:top w:val="none" w:sz="0" w:space="0" w:color="auto"/>
        <w:left w:val="none" w:sz="0" w:space="0" w:color="auto"/>
        <w:bottom w:val="none" w:sz="0" w:space="0" w:color="auto"/>
        <w:right w:val="none" w:sz="0" w:space="0" w:color="auto"/>
      </w:divBdr>
    </w:div>
    <w:div w:id="967051343">
      <w:bodyDiv w:val="1"/>
      <w:marLeft w:val="0"/>
      <w:marRight w:val="0"/>
      <w:marTop w:val="0"/>
      <w:marBottom w:val="0"/>
      <w:divBdr>
        <w:top w:val="none" w:sz="0" w:space="0" w:color="auto"/>
        <w:left w:val="none" w:sz="0" w:space="0" w:color="auto"/>
        <w:bottom w:val="none" w:sz="0" w:space="0" w:color="auto"/>
        <w:right w:val="none" w:sz="0" w:space="0" w:color="auto"/>
      </w:divBdr>
    </w:div>
    <w:div w:id="1311133814">
      <w:bodyDiv w:val="1"/>
      <w:marLeft w:val="0"/>
      <w:marRight w:val="0"/>
      <w:marTop w:val="0"/>
      <w:marBottom w:val="0"/>
      <w:divBdr>
        <w:top w:val="none" w:sz="0" w:space="0" w:color="auto"/>
        <w:left w:val="none" w:sz="0" w:space="0" w:color="auto"/>
        <w:bottom w:val="none" w:sz="0" w:space="0" w:color="auto"/>
        <w:right w:val="none" w:sz="0" w:space="0" w:color="auto"/>
      </w:divBdr>
    </w:div>
    <w:div w:id="1367755129">
      <w:bodyDiv w:val="1"/>
      <w:marLeft w:val="0"/>
      <w:marRight w:val="0"/>
      <w:marTop w:val="0"/>
      <w:marBottom w:val="0"/>
      <w:divBdr>
        <w:top w:val="none" w:sz="0" w:space="0" w:color="auto"/>
        <w:left w:val="none" w:sz="0" w:space="0" w:color="auto"/>
        <w:bottom w:val="none" w:sz="0" w:space="0" w:color="auto"/>
        <w:right w:val="none" w:sz="0" w:space="0" w:color="auto"/>
      </w:divBdr>
    </w:div>
    <w:div w:id="1377850762">
      <w:bodyDiv w:val="1"/>
      <w:marLeft w:val="0"/>
      <w:marRight w:val="0"/>
      <w:marTop w:val="0"/>
      <w:marBottom w:val="0"/>
      <w:divBdr>
        <w:top w:val="none" w:sz="0" w:space="0" w:color="auto"/>
        <w:left w:val="none" w:sz="0" w:space="0" w:color="auto"/>
        <w:bottom w:val="none" w:sz="0" w:space="0" w:color="auto"/>
        <w:right w:val="none" w:sz="0" w:space="0" w:color="auto"/>
      </w:divBdr>
    </w:div>
    <w:div w:id="1604218297">
      <w:bodyDiv w:val="1"/>
      <w:marLeft w:val="0"/>
      <w:marRight w:val="0"/>
      <w:marTop w:val="0"/>
      <w:marBottom w:val="0"/>
      <w:divBdr>
        <w:top w:val="none" w:sz="0" w:space="0" w:color="auto"/>
        <w:left w:val="none" w:sz="0" w:space="0" w:color="auto"/>
        <w:bottom w:val="none" w:sz="0" w:space="0" w:color="auto"/>
        <w:right w:val="none" w:sz="0" w:space="0" w:color="auto"/>
      </w:divBdr>
    </w:div>
    <w:div w:id="1929850664">
      <w:bodyDiv w:val="1"/>
      <w:marLeft w:val="0"/>
      <w:marRight w:val="0"/>
      <w:marTop w:val="0"/>
      <w:marBottom w:val="0"/>
      <w:divBdr>
        <w:top w:val="none" w:sz="0" w:space="0" w:color="auto"/>
        <w:left w:val="none" w:sz="0" w:space="0" w:color="auto"/>
        <w:bottom w:val="none" w:sz="0" w:space="0" w:color="auto"/>
        <w:right w:val="none" w:sz="0" w:space="0" w:color="auto"/>
      </w:divBdr>
    </w:div>
    <w:div w:id="2050718859">
      <w:bodyDiv w:val="1"/>
      <w:marLeft w:val="0"/>
      <w:marRight w:val="0"/>
      <w:marTop w:val="0"/>
      <w:marBottom w:val="0"/>
      <w:divBdr>
        <w:top w:val="none" w:sz="0" w:space="0" w:color="auto"/>
        <w:left w:val="none" w:sz="0" w:space="0" w:color="auto"/>
        <w:bottom w:val="none" w:sz="0" w:space="0" w:color="auto"/>
        <w:right w:val="none" w:sz="0" w:space="0" w:color="auto"/>
      </w:divBdr>
    </w:div>
    <w:div w:id="20598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C521-6E3A-4940-BC0B-8000C542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2022-06-23T05:34:00Z</dcterms:created>
  <dcterms:modified xsi:type="dcterms:W3CDTF">2022-06-23T05:35:00Z</dcterms:modified>
</cp:coreProperties>
</file>