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E3EC" w14:textId="77777777" w:rsidR="00715914" w:rsidRPr="00293550" w:rsidRDefault="00DA186E" w:rsidP="00715914">
      <w:pPr>
        <w:rPr>
          <w:sz w:val="28"/>
        </w:rPr>
      </w:pPr>
      <w:r w:rsidRPr="00293550">
        <w:rPr>
          <w:noProof/>
          <w:lang w:eastAsia="en-AU"/>
        </w:rPr>
        <w:drawing>
          <wp:inline distT="0" distB="0" distL="0" distR="0" wp14:anchorId="42432095" wp14:editId="2445DAD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60B95E" w14:textId="77777777" w:rsidR="00715914" w:rsidRPr="00293550" w:rsidRDefault="00715914" w:rsidP="00715914">
      <w:pPr>
        <w:rPr>
          <w:sz w:val="19"/>
        </w:rPr>
      </w:pPr>
    </w:p>
    <w:p w14:paraId="5EB3FC73" w14:textId="5BB3F9E4" w:rsidR="00554826" w:rsidRPr="00293550" w:rsidRDefault="00C73ECB" w:rsidP="00554826">
      <w:pPr>
        <w:pStyle w:val="ShortT"/>
      </w:pPr>
      <w:r w:rsidRPr="00293550">
        <w:t xml:space="preserve">National Vocational Education and Training Regulator </w:t>
      </w:r>
      <w:r w:rsidR="00554826" w:rsidRPr="00293550">
        <w:t>(</w:t>
      </w:r>
      <w:r w:rsidRPr="00293550">
        <w:t>Fees)</w:t>
      </w:r>
      <w:r w:rsidR="00554826" w:rsidRPr="00293550">
        <w:t xml:space="preserve"> </w:t>
      </w:r>
      <w:r w:rsidRPr="00293550">
        <w:t xml:space="preserve">Determination 2022 </w:t>
      </w:r>
    </w:p>
    <w:p w14:paraId="39E8B58C" w14:textId="7E0A97A0" w:rsidR="00554826" w:rsidRPr="00293550" w:rsidRDefault="00554826" w:rsidP="00554826">
      <w:pPr>
        <w:pStyle w:val="SignCoverPageStart"/>
        <w:spacing w:before="240"/>
        <w:ind w:right="91"/>
        <w:rPr>
          <w:szCs w:val="22"/>
        </w:rPr>
      </w:pPr>
      <w:r w:rsidRPr="00293550">
        <w:rPr>
          <w:szCs w:val="22"/>
        </w:rPr>
        <w:t xml:space="preserve">I, </w:t>
      </w:r>
      <w:r w:rsidR="000C04BB" w:rsidRPr="00293550">
        <w:rPr>
          <w:szCs w:val="22"/>
        </w:rPr>
        <w:t>Brendan O’Connor</w:t>
      </w:r>
      <w:r w:rsidRPr="00293550">
        <w:rPr>
          <w:szCs w:val="22"/>
        </w:rPr>
        <w:t xml:space="preserve">, </w:t>
      </w:r>
      <w:r w:rsidR="0088632D" w:rsidRPr="00293550">
        <w:rPr>
          <w:szCs w:val="22"/>
        </w:rPr>
        <w:t>Minister for Skills and Training</w:t>
      </w:r>
      <w:r w:rsidRPr="00293550">
        <w:rPr>
          <w:szCs w:val="22"/>
        </w:rPr>
        <w:t xml:space="preserve">, make the following </w:t>
      </w:r>
      <w:r w:rsidR="000C04BB" w:rsidRPr="00293550">
        <w:rPr>
          <w:szCs w:val="22"/>
        </w:rPr>
        <w:t>determination</w:t>
      </w:r>
      <w:r w:rsidRPr="00293550">
        <w:rPr>
          <w:szCs w:val="22"/>
        </w:rPr>
        <w:t>.</w:t>
      </w:r>
    </w:p>
    <w:p w14:paraId="2F8999AC" w14:textId="1B9D16AC" w:rsidR="00554826" w:rsidRPr="00293550" w:rsidRDefault="00554826" w:rsidP="00554826">
      <w:pPr>
        <w:keepNext/>
        <w:spacing w:before="300" w:line="240" w:lineRule="atLeast"/>
        <w:ind w:right="397"/>
        <w:jc w:val="both"/>
        <w:rPr>
          <w:szCs w:val="22"/>
        </w:rPr>
      </w:pPr>
      <w:r w:rsidRPr="00293550">
        <w:rPr>
          <w:szCs w:val="22"/>
        </w:rPr>
        <w:t>Dated</w:t>
      </w:r>
      <w:r w:rsidR="008D5BE4">
        <w:rPr>
          <w:szCs w:val="22"/>
        </w:rPr>
        <w:t xml:space="preserve"> 16 June 2022</w:t>
      </w:r>
      <w:r w:rsidRPr="00293550">
        <w:rPr>
          <w:szCs w:val="22"/>
        </w:rPr>
        <w:tab/>
      </w:r>
      <w:r w:rsidRPr="00293550">
        <w:rPr>
          <w:szCs w:val="22"/>
        </w:rPr>
        <w:tab/>
      </w:r>
      <w:r w:rsidRPr="00293550">
        <w:rPr>
          <w:szCs w:val="22"/>
        </w:rPr>
        <w:tab/>
      </w:r>
      <w:r w:rsidRPr="00293550">
        <w:rPr>
          <w:szCs w:val="22"/>
        </w:rPr>
        <w:tab/>
      </w:r>
    </w:p>
    <w:p w14:paraId="4CD91ED8" w14:textId="5A6E861F" w:rsidR="00554826" w:rsidRPr="00293550" w:rsidRDefault="0088632D" w:rsidP="00554826">
      <w:pPr>
        <w:keepNext/>
        <w:tabs>
          <w:tab w:val="left" w:pos="3402"/>
        </w:tabs>
        <w:spacing w:before="1440" w:line="300" w:lineRule="atLeast"/>
        <w:ind w:right="397"/>
        <w:rPr>
          <w:b/>
          <w:szCs w:val="22"/>
        </w:rPr>
      </w:pPr>
      <w:r w:rsidRPr="00293550">
        <w:rPr>
          <w:szCs w:val="22"/>
        </w:rPr>
        <w:t>Brendan O’Connor</w:t>
      </w:r>
      <w:r w:rsidR="00554826" w:rsidRPr="00293550">
        <w:rPr>
          <w:szCs w:val="22"/>
        </w:rPr>
        <w:t xml:space="preserve"> </w:t>
      </w:r>
    </w:p>
    <w:p w14:paraId="4081299F" w14:textId="513A028A" w:rsidR="00554826" w:rsidRPr="00293550" w:rsidRDefault="0088632D" w:rsidP="00554826">
      <w:pPr>
        <w:pStyle w:val="SignCoverPageEnd"/>
        <w:ind w:right="91"/>
        <w:rPr>
          <w:sz w:val="22"/>
        </w:rPr>
      </w:pPr>
      <w:r w:rsidRPr="00293550">
        <w:rPr>
          <w:sz w:val="22"/>
        </w:rPr>
        <w:t>Minister for Skills and Training</w:t>
      </w:r>
    </w:p>
    <w:p w14:paraId="36269AD8" w14:textId="77777777" w:rsidR="00554826" w:rsidRPr="00293550" w:rsidRDefault="00554826" w:rsidP="00554826"/>
    <w:p w14:paraId="020F2165" w14:textId="77777777" w:rsidR="00554826" w:rsidRPr="00293550" w:rsidRDefault="00554826" w:rsidP="00554826"/>
    <w:p w14:paraId="1980D9C3" w14:textId="77777777" w:rsidR="00F6696E" w:rsidRPr="00293550" w:rsidRDefault="00F6696E" w:rsidP="00F6696E"/>
    <w:p w14:paraId="7F2EDEE9" w14:textId="77777777" w:rsidR="00F6696E" w:rsidRPr="00293550" w:rsidRDefault="00F6696E" w:rsidP="00F6696E">
      <w:pPr>
        <w:sectPr w:rsidR="00F6696E" w:rsidRPr="00293550"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442A9604" w14:textId="77777777" w:rsidR="007500C8" w:rsidRPr="00293550" w:rsidRDefault="00715914" w:rsidP="00715914">
      <w:pPr>
        <w:outlineLvl w:val="0"/>
        <w:rPr>
          <w:sz w:val="36"/>
        </w:rPr>
      </w:pPr>
      <w:r w:rsidRPr="00293550">
        <w:rPr>
          <w:sz w:val="36"/>
        </w:rPr>
        <w:lastRenderedPageBreak/>
        <w:t>Contents</w:t>
      </w:r>
    </w:p>
    <w:p w14:paraId="6D57B14D" w14:textId="674D0930" w:rsidR="00571579" w:rsidRPr="00293550" w:rsidRDefault="00B418CB">
      <w:pPr>
        <w:pStyle w:val="TOC2"/>
        <w:rPr>
          <w:rFonts w:asciiTheme="minorHAnsi" w:eastAsiaTheme="minorEastAsia" w:hAnsiTheme="minorHAnsi" w:cstheme="minorBidi"/>
          <w:b w:val="0"/>
          <w:noProof/>
          <w:kern w:val="0"/>
          <w:sz w:val="22"/>
          <w:szCs w:val="22"/>
        </w:rPr>
      </w:pPr>
      <w:r w:rsidRPr="00293550">
        <w:fldChar w:fldCharType="begin"/>
      </w:r>
      <w:r w:rsidRPr="00293550">
        <w:instrText xml:space="preserve"> TOC \o "1-9" </w:instrText>
      </w:r>
      <w:r w:rsidRPr="00293550">
        <w:fldChar w:fldCharType="separate"/>
      </w:r>
      <w:r w:rsidR="00571579" w:rsidRPr="00293550">
        <w:rPr>
          <w:noProof/>
        </w:rPr>
        <w:t>Part 1—Preliminary</w:t>
      </w:r>
      <w:r w:rsidR="00571579" w:rsidRPr="00293550">
        <w:rPr>
          <w:noProof/>
        </w:rPr>
        <w:tab/>
      </w:r>
      <w:r w:rsidR="00571579" w:rsidRPr="00293550">
        <w:rPr>
          <w:noProof/>
        </w:rPr>
        <w:fldChar w:fldCharType="begin"/>
      </w:r>
      <w:r w:rsidR="00571579" w:rsidRPr="00293550">
        <w:rPr>
          <w:noProof/>
        </w:rPr>
        <w:instrText xml:space="preserve"> PAGEREF _Toc100239476 \h </w:instrText>
      </w:r>
      <w:r w:rsidR="00571579" w:rsidRPr="00293550">
        <w:rPr>
          <w:noProof/>
        </w:rPr>
      </w:r>
      <w:r w:rsidR="00571579" w:rsidRPr="00293550">
        <w:rPr>
          <w:noProof/>
        </w:rPr>
        <w:fldChar w:fldCharType="separate"/>
      </w:r>
      <w:r w:rsidR="00DD5F9E" w:rsidRPr="00293550">
        <w:rPr>
          <w:noProof/>
        </w:rPr>
        <w:t>1</w:t>
      </w:r>
      <w:r w:rsidR="00571579" w:rsidRPr="00293550">
        <w:rPr>
          <w:noProof/>
        </w:rPr>
        <w:fldChar w:fldCharType="end"/>
      </w:r>
    </w:p>
    <w:p w14:paraId="5839BF59" w14:textId="22190C4E" w:rsidR="00571579" w:rsidRPr="00293550" w:rsidRDefault="00571579">
      <w:pPr>
        <w:pStyle w:val="TOC5"/>
        <w:rPr>
          <w:rFonts w:asciiTheme="minorHAnsi" w:eastAsiaTheme="minorEastAsia" w:hAnsiTheme="minorHAnsi" w:cstheme="minorBidi"/>
          <w:noProof/>
          <w:kern w:val="0"/>
          <w:sz w:val="22"/>
          <w:szCs w:val="22"/>
        </w:rPr>
      </w:pPr>
      <w:r w:rsidRPr="00293550">
        <w:rPr>
          <w:noProof/>
        </w:rPr>
        <w:t>1  Name</w:t>
      </w:r>
      <w:r w:rsidRPr="00293550">
        <w:rPr>
          <w:noProof/>
        </w:rPr>
        <w:tab/>
      </w:r>
      <w:r w:rsidRPr="00293550">
        <w:rPr>
          <w:noProof/>
        </w:rPr>
        <w:fldChar w:fldCharType="begin"/>
      </w:r>
      <w:r w:rsidRPr="00293550">
        <w:rPr>
          <w:noProof/>
        </w:rPr>
        <w:instrText xml:space="preserve"> PAGEREF _Toc100239477 \h </w:instrText>
      </w:r>
      <w:r w:rsidRPr="00293550">
        <w:rPr>
          <w:noProof/>
        </w:rPr>
      </w:r>
      <w:r w:rsidRPr="00293550">
        <w:rPr>
          <w:noProof/>
        </w:rPr>
        <w:fldChar w:fldCharType="separate"/>
      </w:r>
      <w:r w:rsidR="00DD5F9E" w:rsidRPr="00293550">
        <w:rPr>
          <w:noProof/>
        </w:rPr>
        <w:t>1</w:t>
      </w:r>
      <w:r w:rsidRPr="00293550">
        <w:rPr>
          <w:noProof/>
        </w:rPr>
        <w:fldChar w:fldCharType="end"/>
      </w:r>
    </w:p>
    <w:p w14:paraId="3A6E9439" w14:textId="4C2BBE9C" w:rsidR="00571579" w:rsidRPr="00293550" w:rsidRDefault="00571579">
      <w:pPr>
        <w:pStyle w:val="TOC5"/>
        <w:rPr>
          <w:rFonts w:asciiTheme="minorHAnsi" w:eastAsiaTheme="minorEastAsia" w:hAnsiTheme="minorHAnsi" w:cstheme="minorBidi"/>
          <w:noProof/>
          <w:kern w:val="0"/>
          <w:sz w:val="22"/>
          <w:szCs w:val="22"/>
        </w:rPr>
      </w:pPr>
      <w:r w:rsidRPr="00293550">
        <w:rPr>
          <w:noProof/>
        </w:rPr>
        <w:t>2  Commencement</w:t>
      </w:r>
      <w:r w:rsidRPr="00293550">
        <w:rPr>
          <w:noProof/>
        </w:rPr>
        <w:tab/>
      </w:r>
      <w:r w:rsidRPr="00293550">
        <w:rPr>
          <w:noProof/>
        </w:rPr>
        <w:fldChar w:fldCharType="begin"/>
      </w:r>
      <w:r w:rsidRPr="00293550">
        <w:rPr>
          <w:noProof/>
        </w:rPr>
        <w:instrText xml:space="preserve"> PAGEREF _Toc100239478 \h </w:instrText>
      </w:r>
      <w:r w:rsidRPr="00293550">
        <w:rPr>
          <w:noProof/>
        </w:rPr>
      </w:r>
      <w:r w:rsidRPr="00293550">
        <w:rPr>
          <w:noProof/>
        </w:rPr>
        <w:fldChar w:fldCharType="separate"/>
      </w:r>
      <w:r w:rsidR="00DD5F9E" w:rsidRPr="00293550">
        <w:rPr>
          <w:noProof/>
        </w:rPr>
        <w:t>1</w:t>
      </w:r>
      <w:r w:rsidRPr="00293550">
        <w:rPr>
          <w:noProof/>
        </w:rPr>
        <w:fldChar w:fldCharType="end"/>
      </w:r>
    </w:p>
    <w:p w14:paraId="3F390ED9" w14:textId="33D9EF62" w:rsidR="00571579" w:rsidRPr="00293550" w:rsidRDefault="00571579">
      <w:pPr>
        <w:pStyle w:val="TOC5"/>
        <w:rPr>
          <w:rFonts w:asciiTheme="minorHAnsi" w:eastAsiaTheme="minorEastAsia" w:hAnsiTheme="minorHAnsi" w:cstheme="minorBidi"/>
          <w:noProof/>
          <w:kern w:val="0"/>
          <w:sz w:val="22"/>
          <w:szCs w:val="22"/>
        </w:rPr>
      </w:pPr>
      <w:r w:rsidRPr="00293550">
        <w:rPr>
          <w:noProof/>
        </w:rPr>
        <w:t>3  Authority</w:t>
      </w:r>
      <w:r w:rsidRPr="00293550">
        <w:rPr>
          <w:noProof/>
        </w:rPr>
        <w:tab/>
      </w:r>
      <w:r w:rsidRPr="00293550">
        <w:rPr>
          <w:noProof/>
        </w:rPr>
        <w:fldChar w:fldCharType="begin"/>
      </w:r>
      <w:r w:rsidRPr="00293550">
        <w:rPr>
          <w:noProof/>
        </w:rPr>
        <w:instrText xml:space="preserve"> PAGEREF _Toc100239479 \h </w:instrText>
      </w:r>
      <w:r w:rsidRPr="00293550">
        <w:rPr>
          <w:noProof/>
        </w:rPr>
      </w:r>
      <w:r w:rsidRPr="00293550">
        <w:rPr>
          <w:noProof/>
        </w:rPr>
        <w:fldChar w:fldCharType="separate"/>
      </w:r>
      <w:r w:rsidR="00DD5F9E" w:rsidRPr="00293550">
        <w:rPr>
          <w:noProof/>
        </w:rPr>
        <w:t>1</w:t>
      </w:r>
      <w:r w:rsidRPr="00293550">
        <w:rPr>
          <w:noProof/>
        </w:rPr>
        <w:fldChar w:fldCharType="end"/>
      </w:r>
    </w:p>
    <w:p w14:paraId="0AFB60E5" w14:textId="75AB3C3D" w:rsidR="00571579" w:rsidRPr="00293550" w:rsidRDefault="00571579">
      <w:pPr>
        <w:pStyle w:val="TOC5"/>
        <w:rPr>
          <w:rFonts w:asciiTheme="minorHAnsi" w:eastAsiaTheme="minorEastAsia" w:hAnsiTheme="minorHAnsi" w:cstheme="minorBidi"/>
          <w:noProof/>
          <w:kern w:val="0"/>
          <w:sz w:val="22"/>
          <w:szCs w:val="22"/>
        </w:rPr>
      </w:pPr>
      <w:r w:rsidRPr="00293550">
        <w:rPr>
          <w:noProof/>
        </w:rPr>
        <w:t>4  Definitions</w:t>
      </w:r>
      <w:r w:rsidRPr="00293550">
        <w:rPr>
          <w:noProof/>
        </w:rPr>
        <w:tab/>
      </w:r>
      <w:r w:rsidRPr="00293550">
        <w:rPr>
          <w:noProof/>
        </w:rPr>
        <w:fldChar w:fldCharType="begin"/>
      </w:r>
      <w:r w:rsidRPr="00293550">
        <w:rPr>
          <w:noProof/>
        </w:rPr>
        <w:instrText xml:space="preserve"> PAGEREF _Toc100239480 \h </w:instrText>
      </w:r>
      <w:r w:rsidRPr="00293550">
        <w:rPr>
          <w:noProof/>
        </w:rPr>
      </w:r>
      <w:r w:rsidRPr="00293550">
        <w:rPr>
          <w:noProof/>
        </w:rPr>
        <w:fldChar w:fldCharType="separate"/>
      </w:r>
      <w:r w:rsidR="00DD5F9E" w:rsidRPr="00293550">
        <w:rPr>
          <w:noProof/>
        </w:rPr>
        <w:t>1</w:t>
      </w:r>
      <w:r w:rsidRPr="00293550">
        <w:rPr>
          <w:noProof/>
        </w:rPr>
        <w:fldChar w:fldCharType="end"/>
      </w:r>
    </w:p>
    <w:p w14:paraId="68C0DE4C" w14:textId="4D89B98D" w:rsidR="00571579" w:rsidRPr="00293550" w:rsidRDefault="00571579">
      <w:pPr>
        <w:pStyle w:val="TOC5"/>
        <w:rPr>
          <w:rFonts w:asciiTheme="minorHAnsi" w:eastAsiaTheme="minorEastAsia" w:hAnsiTheme="minorHAnsi" w:cstheme="minorBidi"/>
          <w:noProof/>
          <w:kern w:val="0"/>
          <w:sz w:val="22"/>
          <w:szCs w:val="22"/>
        </w:rPr>
      </w:pPr>
      <w:r w:rsidRPr="00293550">
        <w:rPr>
          <w:noProof/>
        </w:rPr>
        <w:t>5  Schedules</w:t>
      </w:r>
      <w:r w:rsidRPr="00293550">
        <w:rPr>
          <w:noProof/>
        </w:rPr>
        <w:tab/>
      </w:r>
      <w:r w:rsidRPr="00293550">
        <w:rPr>
          <w:noProof/>
        </w:rPr>
        <w:fldChar w:fldCharType="begin"/>
      </w:r>
      <w:r w:rsidRPr="00293550">
        <w:rPr>
          <w:noProof/>
        </w:rPr>
        <w:instrText xml:space="preserve"> PAGEREF _Toc100239481 \h </w:instrText>
      </w:r>
      <w:r w:rsidRPr="00293550">
        <w:rPr>
          <w:noProof/>
        </w:rPr>
      </w:r>
      <w:r w:rsidRPr="00293550">
        <w:rPr>
          <w:noProof/>
        </w:rPr>
        <w:fldChar w:fldCharType="separate"/>
      </w:r>
      <w:r w:rsidR="00DD5F9E" w:rsidRPr="00293550">
        <w:rPr>
          <w:noProof/>
        </w:rPr>
        <w:t>2</w:t>
      </w:r>
      <w:r w:rsidRPr="00293550">
        <w:rPr>
          <w:noProof/>
        </w:rPr>
        <w:fldChar w:fldCharType="end"/>
      </w:r>
    </w:p>
    <w:p w14:paraId="4A1CF0C9" w14:textId="166692BD" w:rsidR="00571579" w:rsidRPr="00293550" w:rsidRDefault="00571579">
      <w:pPr>
        <w:pStyle w:val="TOC2"/>
        <w:rPr>
          <w:rFonts w:asciiTheme="minorHAnsi" w:eastAsiaTheme="minorEastAsia" w:hAnsiTheme="minorHAnsi" w:cstheme="minorBidi"/>
          <w:b w:val="0"/>
          <w:noProof/>
          <w:kern w:val="0"/>
          <w:sz w:val="22"/>
          <w:szCs w:val="22"/>
        </w:rPr>
      </w:pPr>
      <w:r w:rsidRPr="00293550">
        <w:rPr>
          <w:noProof/>
        </w:rPr>
        <w:t>Part 2—Fees</w:t>
      </w:r>
      <w:r w:rsidRPr="00293550">
        <w:rPr>
          <w:noProof/>
        </w:rPr>
        <w:tab/>
      </w:r>
      <w:r w:rsidRPr="00293550">
        <w:rPr>
          <w:noProof/>
        </w:rPr>
        <w:fldChar w:fldCharType="begin"/>
      </w:r>
      <w:r w:rsidRPr="00293550">
        <w:rPr>
          <w:noProof/>
        </w:rPr>
        <w:instrText xml:space="preserve"> PAGEREF _Toc100239482 \h </w:instrText>
      </w:r>
      <w:r w:rsidRPr="00293550">
        <w:rPr>
          <w:noProof/>
        </w:rPr>
      </w:r>
      <w:r w:rsidRPr="00293550">
        <w:rPr>
          <w:noProof/>
        </w:rPr>
        <w:fldChar w:fldCharType="separate"/>
      </w:r>
      <w:r w:rsidR="00DD5F9E" w:rsidRPr="00293550">
        <w:rPr>
          <w:noProof/>
        </w:rPr>
        <w:t>3</w:t>
      </w:r>
      <w:r w:rsidRPr="00293550">
        <w:rPr>
          <w:noProof/>
        </w:rPr>
        <w:fldChar w:fldCharType="end"/>
      </w:r>
    </w:p>
    <w:p w14:paraId="534E2D6E" w14:textId="501B6A45" w:rsidR="00571579" w:rsidRPr="00293550" w:rsidRDefault="00571579" w:rsidP="00B07883">
      <w:pPr>
        <w:pStyle w:val="TOC5"/>
        <w:ind w:left="1560" w:hanging="142"/>
        <w:rPr>
          <w:rFonts w:asciiTheme="minorHAnsi" w:eastAsiaTheme="minorEastAsia" w:hAnsiTheme="minorHAnsi" w:cstheme="minorBidi"/>
          <w:noProof/>
          <w:kern w:val="0"/>
          <w:sz w:val="22"/>
          <w:szCs w:val="22"/>
        </w:rPr>
      </w:pPr>
      <w:r w:rsidRPr="00293550">
        <w:rPr>
          <w:noProof/>
        </w:rPr>
        <w:t>6  Fees in relation to the registration and renewal of NVR registered training organisations</w:t>
      </w:r>
      <w:r w:rsidRPr="00293550">
        <w:rPr>
          <w:noProof/>
        </w:rPr>
        <w:tab/>
      </w:r>
      <w:r w:rsidRPr="00293550">
        <w:rPr>
          <w:noProof/>
        </w:rPr>
        <w:fldChar w:fldCharType="begin"/>
      </w:r>
      <w:r w:rsidRPr="00293550">
        <w:rPr>
          <w:noProof/>
        </w:rPr>
        <w:instrText xml:space="preserve"> PAGEREF _Toc100239483 \h </w:instrText>
      </w:r>
      <w:r w:rsidRPr="00293550">
        <w:rPr>
          <w:noProof/>
        </w:rPr>
      </w:r>
      <w:r w:rsidRPr="00293550">
        <w:rPr>
          <w:noProof/>
        </w:rPr>
        <w:fldChar w:fldCharType="separate"/>
      </w:r>
      <w:r w:rsidR="00DD5F9E" w:rsidRPr="00293550">
        <w:rPr>
          <w:noProof/>
        </w:rPr>
        <w:t>3</w:t>
      </w:r>
      <w:r w:rsidRPr="00293550">
        <w:rPr>
          <w:noProof/>
        </w:rPr>
        <w:fldChar w:fldCharType="end"/>
      </w:r>
    </w:p>
    <w:p w14:paraId="7931A9B4" w14:textId="2633715C" w:rsidR="00571579" w:rsidRPr="00293550" w:rsidRDefault="00571579">
      <w:pPr>
        <w:pStyle w:val="TOC5"/>
        <w:rPr>
          <w:rFonts w:asciiTheme="minorHAnsi" w:eastAsiaTheme="minorEastAsia" w:hAnsiTheme="minorHAnsi" w:cstheme="minorBidi"/>
          <w:noProof/>
          <w:kern w:val="0"/>
          <w:sz w:val="22"/>
          <w:szCs w:val="22"/>
        </w:rPr>
      </w:pPr>
      <w:r w:rsidRPr="00293550">
        <w:rPr>
          <w:noProof/>
        </w:rPr>
        <w:t xml:space="preserve">7  Fees in relation to the performance of functions as an ESOS </w:t>
      </w:r>
      <w:r w:rsidR="005D3FD9" w:rsidRPr="00293550">
        <w:rPr>
          <w:noProof/>
        </w:rPr>
        <w:t>a</w:t>
      </w:r>
      <w:r w:rsidRPr="00293550">
        <w:rPr>
          <w:noProof/>
        </w:rPr>
        <w:t>gency</w:t>
      </w:r>
      <w:r w:rsidRPr="00293550">
        <w:rPr>
          <w:noProof/>
        </w:rPr>
        <w:tab/>
      </w:r>
      <w:r w:rsidRPr="00293550">
        <w:rPr>
          <w:noProof/>
        </w:rPr>
        <w:fldChar w:fldCharType="begin"/>
      </w:r>
      <w:r w:rsidRPr="00293550">
        <w:rPr>
          <w:noProof/>
        </w:rPr>
        <w:instrText xml:space="preserve"> PAGEREF _Toc100239484 \h </w:instrText>
      </w:r>
      <w:r w:rsidRPr="00293550">
        <w:rPr>
          <w:noProof/>
        </w:rPr>
      </w:r>
      <w:r w:rsidRPr="00293550">
        <w:rPr>
          <w:noProof/>
        </w:rPr>
        <w:fldChar w:fldCharType="separate"/>
      </w:r>
      <w:r w:rsidR="00DD5F9E" w:rsidRPr="00293550">
        <w:rPr>
          <w:noProof/>
        </w:rPr>
        <w:t>4</w:t>
      </w:r>
      <w:r w:rsidRPr="00293550">
        <w:rPr>
          <w:noProof/>
        </w:rPr>
        <w:fldChar w:fldCharType="end"/>
      </w:r>
    </w:p>
    <w:p w14:paraId="014848F1" w14:textId="71E19A9C" w:rsidR="00571579" w:rsidRPr="00293550" w:rsidRDefault="00571579">
      <w:pPr>
        <w:pStyle w:val="TOC5"/>
        <w:rPr>
          <w:rFonts w:asciiTheme="minorHAnsi" w:eastAsiaTheme="minorEastAsia" w:hAnsiTheme="minorHAnsi" w:cstheme="minorBidi"/>
          <w:noProof/>
          <w:kern w:val="0"/>
          <w:sz w:val="22"/>
          <w:szCs w:val="22"/>
        </w:rPr>
      </w:pPr>
      <w:r w:rsidRPr="00293550">
        <w:rPr>
          <w:noProof/>
        </w:rPr>
        <w:t>8  Fees in relation to the accreditation of a course as a VET accredited course</w:t>
      </w:r>
      <w:r w:rsidRPr="00293550">
        <w:rPr>
          <w:noProof/>
        </w:rPr>
        <w:tab/>
      </w:r>
      <w:r w:rsidRPr="00293550">
        <w:rPr>
          <w:noProof/>
        </w:rPr>
        <w:fldChar w:fldCharType="begin"/>
      </w:r>
      <w:r w:rsidRPr="00293550">
        <w:rPr>
          <w:noProof/>
        </w:rPr>
        <w:instrText xml:space="preserve"> PAGEREF _Toc100239485 \h </w:instrText>
      </w:r>
      <w:r w:rsidRPr="00293550">
        <w:rPr>
          <w:noProof/>
        </w:rPr>
      </w:r>
      <w:r w:rsidRPr="00293550">
        <w:rPr>
          <w:noProof/>
        </w:rPr>
        <w:fldChar w:fldCharType="separate"/>
      </w:r>
      <w:r w:rsidR="00DD5F9E" w:rsidRPr="00293550">
        <w:rPr>
          <w:noProof/>
        </w:rPr>
        <w:t>5</w:t>
      </w:r>
      <w:r w:rsidRPr="00293550">
        <w:rPr>
          <w:noProof/>
        </w:rPr>
        <w:fldChar w:fldCharType="end"/>
      </w:r>
    </w:p>
    <w:p w14:paraId="4D23046A" w14:textId="3943121C" w:rsidR="00571579" w:rsidRPr="00293550" w:rsidRDefault="00571579">
      <w:pPr>
        <w:pStyle w:val="TOC5"/>
        <w:rPr>
          <w:rFonts w:asciiTheme="minorHAnsi" w:eastAsiaTheme="minorEastAsia" w:hAnsiTheme="minorHAnsi" w:cstheme="minorBidi"/>
          <w:noProof/>
          <w:kern w:val="0"/>
          <w:sz w:val="22"/>
          <w:szCs w:val="22"/>
        </w:rPr>
      </w:pPr>
      <w:r w:rsidRPr="00293550">
        <w:rPr>
          <w:noProof/>
        </w:rPr>
        <w:t>9  Fees in relation to applications for reconsideration of decisions</w:t>
      </w:r>
      <w:r w:rsidRPr="00293550">
        <w:rPr>
          <w:noProof/>
        </w:rPr>
        <w:tab/>
      </w:r>
      <w:r w:rsidRPr="00293550">
        <w:rPr>
          <w:noProof/>
        </w:rPr>
        <w:fldChar w:fldCharType="begin"/>
      </w:r>
      <w:r w:rsidRPr="00293550">
        <w:rPr>
          <w:noProof/>
        </w:rPr>
        <w:instrText xml:space="preserve"> PAGEREF _Toc100239486 \h </w:instrText>
      </w:r>
      <w:r w:rsidRPr="00293550">
        <w:rPr>
          <w:noProof/>
        </w:rPr>
      </w:r>
      <w:r w:rsidRPr="00293550">
        <w:rPr>
          <w:noProof/>
        </w:rPr>
        <w:fldChar w:fldCharType="separate"/>
      </w:r>
      <w:r w:rsidR="00DD5F9E" w:rsidRPr="00293550">
        <w:rPr>
          <w:noProof/>
        </w:rPr>
        <w:t>6</w:t>
      </w:r>
      <w:r w:rsidRPr="00293550">
        <w:rPr>
          <w:noProof/>
        </w:rPr>
        <w:fldChar w:fldCharType="end"/>
      </w:r>
    </w:p>
    <w:p w14:paraId="536D3F8F" w14:textId="1E90AF84" w:rsidR="00571579" w:rsidRPr="00293550" w:rsidRDefault="00571579">
      <w:pPr>
        <w:pStyle w:val="TOC2"/>
        <w:rPr>
          <w:rFonts w:asciiTheme="minorHAnsi" w:eastAsiaTheme="minorEastAsia" w:hAnsiTheme="minorHAnsi" w:cstheme="minorBidi"/>
          <w:b w:val="0"/>
          <w:noProof/>
          <w:kern w:val="0"/>
          <w:sz w:val="22"/>
          <w:szCs w:val="22"/>
        </w:rPr>
      </w:pPr>
      <w:r w:rsidRPr="00293550">
        <w:rPr>
          <w:noProof/>
        </w:rPr>
        <w:t>Part 3—Waiver of fees</w:t>
      </w:r>
      <w:r w:rsidRPr="00293550">
        <w:rPr>
          <w:noProof/>
        </w:rPr>
        <w:tab/>
      </w:r>
      <w:r w:rsidRPr="00293550">
        <w:rPr>
          <w:noProof/>
        </w:rPr>
        <w:fldChar w:fldCharType="begin"/>
      </w:r>
      <w:r w:rsidRPr="00293550">
        <w:rPr>
          <w:noProof/>
        </w:rPr>
        <w:instrText xml:space="preserve"> PAGEREF _Toc100239487 \h </w:instrText>
      </w:r>
      <w:r w:rsidRPr="00293550">
        <w:rPr>
          <w:noProof/>
        </w:rPr>
      </w:r>
      <w:r w:rsidRPr="00293550">
        <w:rPr>
          <w:noProof/>
        </w:rPr>
        <w:fldChar w:fldCharType="separate"/>
      </w:r>
      <w:r w:rsidR="00DD5F9E" w:rsidRPr="00293550">
        <w:rPr>
          <w:noProof/>
        </w:rPr>
        <w:t>7</w:t>
      </w:r>
      <w:r w:rsidRPr="00293550">
        <w:rPr>
          <w:noProof/>
        </w:rPr>
        <w:fldChar w:fldCharType="end"/>
      </w:r>
    </w:p>
    <w:p w14:paraId="212C2938" w14:textId="29CD4593" w:rsidR="00571579" w:rsidRPr="00293550" w:rsidRDefault="00C4728A">
      <w:pPr>
        <w:pStyle w:val="TOC5"/>
        <w:rPr>
          <w:rFonts w:asciiTheme="minorHAnsi" w:eastAsiaTheme="minorEastAsia" w:hAnsiTheme="minorHAnsi" w:cstheme="minorBidi"/>
          <w:noProof/>
          <w:kern w:val="0"/>
          <w:sz w:val="22"/>
          <w:szCs w:val="22"/>
        </w:rPr>
      </w:pPr>
      <w:r w:rsidRPr="00293550">
        <w:rPr>
          <w:noProof/>
        </w:rPr>
        <w:t>10</w:t>
      </w:r>
      <w:r w:rsidR="00571579" w:rsidRPr="00293550">
        <w:rPr>
          <w:noProof/>
        </w:rPr>
        <w:t xml:space="preserve">  Application of Part</w:t>
      </w:r>
      <w:r w:rsidR="00571579" w:rsidRPr="00293550">
        <w:rPr>
          <w:noProof/>
        </w:rPr>
        <w:tab/>
      </w:r>
      <w:r w:rsidR="00571579" w:rsidRPr="00293550">
        <w:rPr>
          <w:noProof/>
        </w:rPr>
        <w:fldChar w:fldCharType="begin"/>
      </w:r>
      <w:r w:rsidR="00571579" w:rsidRPr="00293550">
        <w:rPr>
          <w:noProof/>
        </w:rPr>
        <w:instrText xml:space="preserve"> PAGEREF _Toc100239488 \h </w:instrText>
      </w:r>
      <w:r w:rsidR="00571579" w:rsidRPr="00293550">
        <w:rPr>
          <w:noProof/>
        </w:rPr>
      </w:r>
      <w:r w:rsidR="00571579" w:rsidRPr="00293550">
        <w:rPr>
          <w:noProof/>
        </w:rPr>
        <w:fldChar w:fldCharType="separate"/>
      </w:r>
      <w:r w:rsidR="00DD5F9E" w:rsidRPr="00293550">
        <w:rPr>
          <w:noProof/>
        </w:rPr>
        <w:t>7</w:t>
      </w:r>
      <w:r w:rsidR="00571579" w:rsidRPr="00293550">
        <w:rPr>
          <w:noProof/>
        </w:rPr>
        <w:fldChar w:fldCharType="end"/>
      </w:r>
    </w:p>
    <w:p w14:paraId="3635FBC5" w14:textId="7AF6C0B4" w:rsidR="00571579" w:rsidRPr="00293550" w:rsidRDefault="00571579">
      <w:pPr>
        <w:pStyle w:val="TOC5"/>
        <w:rPr>
          <w:rFonts w:asciiTheme="minorHAnsi" w:eastAsiaTheme="minorEastAsia" w:hAnsiTheme="minorHAnsi" w:cstheme="minorBidi"/>
          <w:noProof/>
          <w:kern w:val="0"/>
          <w:sz w:val="22"/>
          <w:szCs w:val="22"/>
        </w:rPr>
      </w:pPr>
      <w:r w:rsidRPr="00293550">
        <w:rPr>
          <w:noProof/>
        </w:rPr>
        <w:t>1</w:t>
      </w:r>
      <w:r w:rsidR="00C4728A" w:rsidRPr="00293550">
        <w:rPr>
          <w:noProof/>
        </w:rPr>
        <w:t>1</w:t>
      </w:r>
      <w:r w:rsidRPr="00293550">
        <w:rPr>
          <w:noProof/>
        </w:rPr>
        <w:t xml:space="preserve">  Withdrawal of application</w:t>
      </w:r>
      <w:r w:rsidRPr="00293550">
        <w:rPr>
          <w:noProof/>
        </w:rPr>
        <w:tab/>
      </w:r>
      <w:r w:rsidRPr="00293550">
        <w:rPr>
          <w:noProof/>
        </w:rPr>
        <w:fldChar w:fldCharType="begin"/>
      </w:r>
      <w:r w:rsidRPr="00293550">
        <w:rPr>
          <w:noProof/>
        </w:rPr>
        <w:instrText xml:space="preserve"> PAGEREF _Toc100239489 \h </w:instrText>
      </w:r>
      <w:r w:rsidRPr="00293550">
        <w:rPr>
          <w:noProof/>
        </w:rPr>
      </w:r>
      <w:r w:rsidRPr="00293550">
        <w:rPr>
          <w:noProof/>
        </w:rPr>
        <w:fldChar w:fldCharType="separate"/>
      </w:r>
      <w:r w:rsidR="00DD5F9E" w:rsidRPr="00293550">
        <w:rPr>
          <w:noProof/>
        </w:rPr>
        <w:t>7</w:t>
      </w:r>
      <w:r w:rsidRPr="00293550">
        <w:rPr>
          <w:noProof/>
        </w:rPr>
        <w:fldChar w:fldCharType="end"/>
      </w:r>
    </w:p>
    <w:p w14:paraId="500897C5" w14:textId="5F2A2D3E" w:rsidR="00571579" w:rsidRPr="00293550" w:rsidRDefault="00571579">
      <w:pPr>
        <w:pStyle w:val="TOC5"/>
        <w:rPr>
          <w:rFonts w:asciiTheme="minorHAnsi" w:eastAsiaTheme="minorEastAsia" w:hAnsiTheme="minorHAnsi" w:cstheme="minorBidi"/>
          <w:noProof/>
          <w:kern w:val="0"/>
          <w:sz w:val="22"/>
          <w:szCs w:val="22"/>
        </w:rPr>
      </w:pPr>
      <w:r w:rsidRPr="00293550">
        <w:rPr>
          <w:noProof/>
        </w:rPr>
        <w:t>1</w:t>
      </w:r>
      <w:r w:rsidR="00C4728A" w:rsidRPr="00293550">
        <w:rPr>
          <w:noProof/>
        </w:rPr>
        <w:t>2</w:t>
      </w:r>
      <w:r w:rsidRPr="00293550">
        <w:rPr>
          <w:noProof/>
        </w:rPr>
        <w:t xml:space="preserve">  Applications to change scope and add courses</w:t>
      </w:r>
      <w:r w:rsidRPr="00293550">
        <w:rPr>
          <w:noProof/>
        </w:rPr>
        <w:tab/>
      </w:r>
      <w:r w:rsidRPr="00293550">
        <w:rPr>
          <w:noProof/>
        </w:rPr>
        <w:fldChar w:fldCharType="begin"/>
      </w:r>
      <w:r w:rsidRPr="00293550">
        <w:rPr>
          <w:noProof/>
        </w:rPr>
        <w:instrText xml:space="preserve"> PAGEREF _Toc100239490 \h </w:instrText>
      </w:r>
      <w:r w:rsidRPr="00293550">
        <w:rPr>
          <w:noProof/>
        </w:rPr>
      </w:r>
      <w:r w:rsidRPr="00293550">
        <w:rPr>
          <w:noProof/>
        </w:rPr>
        <w:fldChar w:fldCharType="separate"/>
      </w:r>
      <w:r w:rsidR="00DD5F9E" w:rsidRPr="00293550">
        <w:rPr>
          <w:noProof/>
        </w:rPr>
        <w:t>7</w:t>
      </w:r>
      <w:r w:rsidRPr="00293550">
        <w:rPr>
          <w:noProof/>
        </w:rPr>
        <w:fldChar w:fldCharType="end"/>
      </w:r>
    </w:p>
    <w:p w14:paraId="74B34D49" w14:textId="70168EAB" w:rsidR="00571579" w:rsidRPr="00293550" w:rsidRDefault="00571579">
      <w:pPr>
        <w:pStyle w:val="TOC5"/>
        <w:rPr>
          <w:rFonts w:asciiTheme="minorHAnsi" w:eastAsiaTheme="minorEastAsia" w:hAnsiTheme="minorHAnsi" w:cstheme="minorBidi"/>
          <w:noProof/>
          <w:kern w:val="0"/>
          <w:sz w:val="22"/>
          <w:szCs w:val="22"/>
        </w:rPr>
      </w:pPr>
      <w:r w:rsidRPr="00293550">
        <w:rPr>
          <w:noProof/>
        </w:rPr>
        <w:t>1</w:t>
      </w:r>
      <w:r w:rsidR="00C4728A" w:rsidRPr="00293550">
        <w:rPr>
          <w:noProof/>
        </w:rPr>
        <w:t>3</w:t>
      </w:r>
      <w:r w:rsidRPr="00293550">
        <w:rPr>
          <w:noProof/>
        </w:rPr>
        <w:t xml:space="preserve">  Special circumstances</w:t>
      </w:r>
      <w:r w:rsidRPr="00293550">
        <w:rPr>
          <w:noProof/>
        </w:rPr>
        <w:tab/>
      </w:r>
      <w:r w:rsidRPr="00293550">
        <w:rPr>
          <w:noProof/>
        </w:rPr>
        <w:fldChar w:fldCharType="begin"/>
      </w:r>
      <w:r w:rsidRPr="00293550">
        <w:rPr>
          <w:noProof/>
        </w:rPr>
        <w:instrText xml:space="preserve"> PAGEREF _Toc100239491 \h </w:instrText>
      </w:r>
      <w:r w:rsidRPr="00293550">
        <w:rPr>
          <w:noProof/>
        </w:rPr>
      </w:r>
      <w:r w:rsidRPr="00293550">
        <w:rPr>
          <w:noProof/>
        </w:rPr>
        <w:fldChar w:fldCharType="separate"/>
      </w:r>
      <w:r w:rsidR="00DD5F9E" w:rsidRPr="00293550">
        <w:rPr>
          <w:noProof/>
        </w:rPr>
        <w:t>7</w:t>
      </w:r>
      <w:r w:rsidRPr="00293550">
        <w:rPr>
          <w:noProof/>
        </w:rPr>
        <w:fldChar w:fldCharType="end"/>
      </w:r>
    </w:p>
    <w:p w14:paraId="1DA8D8DE" w14:textId="4CF730B6" w:rsidR="00571579" w:rsidRPr="00293550" w:rsidRDefault="00571579">
      <w:pPr>
        <w:pStyle w:val="TOC5"/>
        <w:rPr>
          <w:rFonts w:asciiTheme="minorHAnsi" w:eastAsiaTheme="minorEastAsia" w:hAnsiTheme="minorHAnsi" w:cstheme="minorBidi"/>
          <w:noProof/>
          <w:kern w:val="0"/>
          <w:sz w:val="22"/>
          <w:szCs w:val="22"/>
        </w:rPr>
      </w:pPr>
      <w:r w:rsidRPr="00293550">
        <w:rPr>
          <w:noProof/>
        </w:rPr>
        <w:t>1</w:t>
      </w:r>
      <w:r w:rsidR="00C4728A" w:rsidRPr="00293550">
        <w:rPr>
          <w:noProof/>
        </w:rPr>
        <w:t>4</w:t>
      </w:r>
      <w:r w:rsidRPr="00293550">
        <w:rPr>
          <w:noProof/>
        </w:rPr>
        <w:t xml:space="preserve"> Refund of waived fees</w:t>
      </w:r>
      <w:r w:rsidRPr="00293550">
        <w:rPr>
          <w:noProof/>
        </w:rPr>
        <w:tab/>
      </w:r>
      <w:r w:rsidRPr="00293550">
        <w:rPr>
          <w:noProof/>
        </w:rPr>
        <w:fldChar w:fldCharType="begin"/>
      </w:r>
      <w:r w:rsidRPr="00293550">
        <w:rPr>
          <w:noProof/>
        </w:rPr>
        <w:instrText xml:space="preserve"> PAGEREF _Toc100239492 \h </w:instrText>
      </w:r>
      <w:r w:rsidRPr="00293550">
        <w:rPr>
          <w:noProof/>
        </w:rPr>
      </w:r>
      <w:r w:rsidRPr="00293550">
        <w:rPr>
          <w:noProof/>
        </w:rPr>
        <w:fldChar w:fldCharType="separate"/>
      </w:r>
      <w:r w:rsidR="00DD5F9E" w:rsidRPr="00293550">
        <w:rPr>
          <w:noProof/>
        </w:rPr>
        <w:t>8</w:t>
      </w:r>
      <w:r w:rsidRPr="00293550">
        <w:rPr>
          <w:noProof/>
        </w:rPr>
        <w:fldChar w:fldCharType="end"/>
      </w:r>
    </w:p>
    <w:p w14:paraId="71946D20" w14:textId="42149520" w:rsidR="00571579" w:rsidRPr="00293550" w:rsidRDefault="00571579">
      <w:pPr>
        <w:pStyle w:val="TOC2"/>
        <w:rPr>
          <w:rFonts w:asciiTheme="minorHAnsi" w:eastAsiaTheme="minorEastAsia" w:hAnsiTheme="minorHAnsi" w:cstheme="minorBidi"/>
          <w:b w:val="0"/>
          <w:noProof/>
          <w:kern w:val="0"/>
          <w:sz w:val="22"/>
          <w:szCs w:val="22"/>
        </w:rPr>
      </w:pPr>
      <w:r w:rsidRPr="00293550">
        <w:rPr>
          <w:noProof/>
        </w:rPr>
        <w:t>Part 4—Miscellaneous</w:t>
      </w:r>
      <w:r w:rsidRPr="00293550">
        <w:rPr>
          <w:noProof/>
        </w:rPr>
        <w:tab/>
      </w:r>
      <w:r w:rsidRPr="00293550">
        <w:rPr>
          <w:noProof/>
        </w:rPr>
        <w:fldChar w:fldCharType="begin"/>
      </w:r>
      <w:r w:rsidRPr="00293550">
        <w:rPr>
          <w:noProof/>
        </w:rPr>
        <w:instrText xml:space="preserve"> PAGEREF _Toc100239493 \h </w:instrText>
      </w:r>
      <w:r w:rsidRPr="00293550">
        <w:rPr>
          <w:noProof/>
        </w:rPr>
      </w:r>
      <w:r w:rsidRPr="00293550">
        <w:rPr>
          <w:noProof/>
        </w:rPr>
        <w:fldChar w:fldCharType="separate"/>
      </w:r>
      <w:r w:rsidR="00DD5F9E" w:rsidRPr="00293550">
        <w:rPr>
          <w:noProof/>
        </w:rPr>
        <w:t>9</w:t>
      </w:r>
      <w:r w:rsidRPr="00293550">
        <w:rPr>
          <w:noProof/>
        </w:rPr>
        <w:fldChar w:fldCharType="end"/>
      </w:r>
    </w:p>
    <w:p w14:paraId="662B5278" w14:textId="5006FFB1" w:rsidR="00571579" w:rsidRPr="00293550" w:rsidRDefault="00571579">
      <w:pPr>
        <w:pStyle w:val="TOC5"/>
        <w:rPr>
          <w:rFonts w:asciiTheme="minorHAnsi" w:eastAsiaTheme="minorEastAsia" w:hAnsiTheme="minorHAnsi" w:cstheme="minorBidi"/>
          <w:noProof/>
          <w:kern w:val="0"/>
          <w:sz w:val="22"/>
          <w:szCs w:val="22"/>
        </w:rPr>
      </w:pPr>
      <w:r w:rsidRPr="00293550">
        <w:rPr>
          <w:noProof/>
        </w:rPr>
        <w:t>1</w:t>
      </w:r>
      <w:r w:rsidR="00C4728A" w:rsidRPr="00293550">
        <w:rPr>
          <w:noProof/>
        </w:rPr>
        <w:t>5</w:t>
      </w:r>
      <w:r w:rsidRPr="00293550">
        <w:rPr>
          <w:noProof/>
        </w:rPr>
        <w:t xml:space="preserve">  Delegated functions</w:t>
      </w:r>
      <w:r w:rsidRPr="00293550">
        <w:rPr>
          <w:noProof/>
        </w:rPr>
        <w:tab/>
      </w:r>
      <w:r w:rsidRPr="00293550">
        <w:rPr>
          <w:noProof/>
        </w:rPr>
        <w:fldChar w:fldCharType="begin"/>
      </w:r>
      <w:r w:rsidRPr="00293550">
        <w:rPr>
          <w:noProof/>
        </w:rPr>
        <w:instrText xml:space="preserve"> PAGEREF _Toc100239494 \h </w:instrText>
      </w:r>
      <w:r w:rsidRPr="00293550">
        <w:rPr>
          <w:noProof/>
        </w:rPr>
      </w:r>
      <w:r w:rsidRPr="00293550">
        <w:rPr>
          <w:noProof/>
        </w:rPr>
        <w:fldChar w:fldCharType="separate"/>
      </w:r>
      <w:r w:rsidR="00DD5F9E" w:rsidRPr="00293550">
        <w:rPr>
          <w:noProof/>
        </w:rPr>
        <w:t>9</w:t>
      </w:r>
      <w:r w:rsidRPr="00293550">
        <w:rPr>
          <w:noProof/>
        </w:rPr>
        <w:fldChar w:fldCharType="end"/>
      </w:r>
    </w:p>
    <w:p w14:paraId="2707AA86" w14:textId="1383752E" w:rsidR="00571579" w:rsidRPr="00293550" w:rsidRDefault="00571579">
      <w:pPr>
        <w:pStyle w:val="TOC5"/>
        <w:rPr>
          <w:rFonts w:asciiTheme="minorHAnsi" w:eastAsiaTheme="minorEastAsia" w:hAnsiTheme="minorHAnsi" w:cstheme="minorBidi"/>
          <w:noProof/>
          <w:kern w:val="0"/>
          <w:sz w:val="22"/>
          <w:szCs w:val="22"/>
        </w:rPr>
      </w:pPr>
      <w:r w:rsidRPr="00293550">
        <w:rPr>
          <w:noProof/>
        </w:rPr>
        <w:t>1</w:t>
      </w:r>
      <w:r w:rsidR="00C4728A" w:rsidRPr="00293550">
        <w:rPr>
          <w:noProof/>
        </w:rPr>
        <w:t>6</w:t>
      </w:r>
      <w:r w:rsidRPr="00293550">
        <w:rPr>
          <w:noProof/>
        </w:rPr>
        <w:t xml:space="preserve">  Set off of fees</w:t>
      </w:r>
      <w:r w:rsidRPr="00293550">
        <w:rPr>
          <w:noProof/>
        </w:rPr>
        <w:tab/>
      </w:r>
      <w:r w:rsidRPr="00293550">
        <w:rPr>
          <w:noProof/>
        </w:rPr>
        <w:fldChar w:fldCharType="begin"/>
      </w:r>
      <w:r w:rsidRPr="00293550">
        <w:rPr>
          <w:noProof/>
        </w:rPr>
        <w:instrText xml:space="preserve"> PAGEREF _Toc100239495 \h </w:instrText>
      </w:r>
      <w:r w:rsidRPr="00293550">
        <w:rPr>
          <w:noProof/>
        </w:rPr>
      </w:r>
      <w:r w:rsidRPr="00293550">
        <w:rPr>
          <w:noProof/>
        </w:rPr>
        <w:fldChar w:fldCharType="separate"/>
      </w:r>
      <w:r w:rsidR="00DD5F9E" w:rsidRPr="00293550">
        <w:rPr>
          <w:noProof/>
        </w:rPr>
        <w:t>9</w:t>
      </w:r>
      <w:r w:rsidRPr="00293550">
        <w:rPr>
          <w:noProof/>
        </w:rPr>
        <w:fldChar w:fldCharType="end"/>
      </w:r>
    </w:p>
    <w:p w14:paraId="6C25A3DA" w14:textId="35332F5E" w:rsidR="00571579" w:rsidRPr="00293550" w:rsidRDefault="00571579">
      <w:pPr>
        <w:pStyle w:val="TOC6"/>
        <w:rPr>
          <w:rFonts w:asciiTheme="minorHAnsi" w:eastAsiaTheme="minorEastAsia" w:hAnsiTheme="minorHAnsi" w:cstheme="minorBidi"/>
          <w:b w:val="0"/>
          <w:noProof/>
          <w:kern w:val="0"/>
          <w:sz w:val="22"/>
          <w:szCs w:val="22"/>
        </w:rPr>
      </w:pPr>
      <w:r w:rsidRPr="00293550">
        <w:rPr>
          <w:noProof/>
        </w:rPr>
        <w:t>Schedule 1—Repeals</w:t>
      </w:r>
      <w:r w:rsidRPr="00293550">
        <w:rPr>
          <w:noProof/>
        </w:rPr>
        <w:tab/>
      </w:r>
      <w:r w:rsidRPr="00293550">
        <w:rPr>
          <w:noProof/>
        </w:rPr>
        <w:fldChar w:fldCharType="begin"/>
      </w:r>
      <w:r w:rsidRPr="00293550">
        <w:rPr>
          <w:noProof/>
        </w:rPr>
        <w:instrText xml:space="preserve"> PAGEREF _Toc100239496 \h </w:instrText>
      </w:r>
      <w:r w:rsidRPr="00293550">
        <w:rPr>
          <w:noProof/>
        </w:rPr>
      </w:r>
      <w:r w:rsidRPr="00293550">
        <w:rPr>
          <w:noProof/>
        </w:rPr>
        <w:fldChar w:fldCharType="separate"/>
      </w:r>
      <w:r w:rsidR="00DD5F9E" w:rsidRPr="00293550">
        <w:rPr>
          <w:noProof/>
        </w:rPr>
        <w:t>10</w:t>
      </w:r>
      <w:r w:rsidRPr="00293550">
        <w:rPr>
          <w:noProof/>
        </w:rPr>
        <w:fldChar w:fldCharType="end"/>
      </w:r>
    </w:p>
    <w:p w14:paraId="7B0BE5D7" w14:textId="07ACF1D5" w:rsidR="00571579" w:rsidRPr="00293550" w:rsidRDefault="00571579">
      <w:pPr>
        <w:pStyle w:val="TOC9"/>
        <w:rPr>
          <w:rFonts w:asciiTheme="minorHAnsi" w:eastAsiaTheme="minorEastAsia" w:hAnsiTheme="minorHAnsi" w:cstheme="minorBidi"/>
          <w:i w:val="0"/>
          <w:noProof/>
          <w:kern w:val="0"/>
          <w:sz w:val="22"/>
          <w:szCs w:val="22"/>
        </w:rPr>
      </w:pPr>
      <w:r w:rsidRPr="00293550">
        <w:rPr>
          <w:noProof/>
        </w:rPr>
        <w:t>Australian Skills Quality Authority Instrument Fixing Fees Amendment Determination (No. 1) 2018</w:t>
      </w:r>
      <w:r w:rsidRPr="00293550">
        <w:rPr>
          <w:noProof/>
        </w:rPr>
        <w:tab/>
      </w:r>
      <w:r w:rsidRPr="00293550">
        <w:rPr>
          <w:i w:val="0"/>
          <w:iCs/>
          <w:noProof/>
        </w:rPr>
        <w:fldChar w:fldCharType="begin"/>
      </w:r>
      <w:r w:rsidRPr="00293550">
        <w:rPr>
          <w:i w:val="0"/>
          <w:iCs/>
          <w:noProof/>
        </w:rPr>
        <w:instrText xml:space="preserve"> PAGEREF _Toc100239497 \h </w:instrText>
      </w:r>
      <w:r w:rsidRPr="00293550">
        <w:rPr>
          <w:i w:val="0"/>
          <w:iCs/>
          <w:noProof/>
        </w:rPr>
      </w:r>
      <w:r w:rsidRPr="00293550">
        <w:rPr>
          <w:i w:val="0"/>
          <w:iCs/>
          <w:noProof/>
        </w:rPr>
        <w:fldChar w:fldCharType="separate"/>
      </w:r>
      <w:r w:rsidR="00DD5F9E" w:rsidRPr="00293550">
        <w:rPr>
          <w:i w:val="0"/>
          <w:iCs/>
          <w:noProof/>
        </w:rPr>
        <w:t>10</w:t>
      </w:r>
      <w:r w:rsidRPr="00293550">
        <w:rPr>
          <w:i w:val="0"/>
          <w:iCs/>
          <w:noProof/>
        </w:rPr>
        <w:fldChar w:fldCharType="end"/>
      </w:r>
    </w:p>
    <w:p w14:paraId="127D6EDB" w14:textId="10C63333" w:rsidR="00571579" w:rsidRPr="00293550" w:rsidRDefault="00571579">
      <w:pPr>
        <w:pStyle w:val="TOC9"/>
        <w:rPr>
          <w:rFonts w:asciiTheme="minorHAnsi" w:eastAsiaTheme="minorEastAsia" w:hAnsiTheme="minorHAnsi" w:cstheme="minorBidi"/>
          <w:i w:val="0"/>
          <w:noProof/>
          <w:kern w:val="0"/>
          <w:sz w:val="22"/>
          <w:szCs w:val="22"/>
        </w:rPr>
      </w:pPr>
      <w:r w:rsidRPr="00293550">
        <w:rPr>
          <w:noProof/>
        </w:rPr>
        <w:t>Australian Skills Quality Authority instrument fixing fees No.1 of 2013</w:t>
      </w:r>
      <w:r w:rsidRPr="00293550">
        <w:rPr>
          <w:noProof/>
        </w:rPr>
        <w:tab/>
      </w:r>
      <w:r w:rsidRPr="00293550">
        <w:rPr>
          <w:i w:val="0"/>
          <w:iCs/>
          <w:noProof/>
        </w:rPr>
        <w:fldChar w:fldCharType="begin"/>
      </w:r>
      <w:r w:rsidRPr="00293550">
        <w:rPr>
          <w:i w:val="0"/>
          <w:iCs/>
          <w:noProof/>
        </w:rPr>
        <w:instrText xml:space="preserve"> PAGEREF _Toc100239498 \h </w:instrText>
      </w:r>
      <w:r w:rsidRPr="00293550">
        <w:rPr>
          <w:i w:val="0"/>
          <w:iCs/>
          <w:noProof/>
        </w:rPr>
      </w:r>
      <w:r w:rsidRPr="00293550">
        <w:rPr>
          <w:i w:val="0"/>
          <w:iCs/>
          <w:noProof/>
        </w:rPr>
        <w:fldChar w:fldCharType="separate"/>
      </w:r>
      <w:r w:rsidR="00DD5F9E" w:rsidRPr="00293550">
        <w:rPr>
          <w:i w:val="0"/>
          <w:iCs/>
          <w:noProof/>
        </w:rPr>
        <w:t>10</w:t>
      </w:r>
      <w:r w:rsidRPr="00293550">
        <w:rPr>
          <w:i w:val="0"/>
          <w:iCs/>
          <w:noProof/>
        </w:rPr>
        <w:fldChar w:fldCharType="end"/>
      </w:r>
    </w:p>
    <w:p w14:paraId="6A81E4F2" w14:textId="0E7C0441" w:rsidR="00F6696E" w:rsidRPr="00293550" w:rsidRDefault="00B418CB" w:rsidP="00F6696E">
      <w:pPr>
        <w:outlineLvl w:val="0"/>
      </w:pPr>
      <w:r w:rsidRPr="00293550">
        <w:fldChar w:fldCharType="end"/>
      </w:r>
    </w:p>
    <w:p w14:paraId="14390370" w14:textId="77777777" w:rsidR="00F6696E" w:rsidRPr="00293550" w:rsidRDefault="00F6696E" w:rsidP="00F6696E">
      <w:pPr>
        <w:outlineLvl w:val="0"/>
        <w:rPr>
          <w:sz w:val="20"/>
        </w:rPr>
      </w:pPr>
    </w:p>
    <w:p w14:paraId="6A45AC43" w14:textId="77777777" w:rsidR="00F6696E" w:rsidRPr="00293550" w:rsidRDefault="00F6696E" w:rsidP="00F6696E">
      <w:pPr>
        <w:sectPr w:rsidR="00F6696E" w:rsidRPr="00293550" w:rsidSect="00E4599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E6EA975" w14:textId="7B383FAB" w:rsidR="00D60071" w:rsidRPr="00293550" w:rsidRDefault="00D60071" w:rsidP="00D60071">
      <w:pPr>
        <w:pStyle w:val="ActHead2"/>
      </w:pPr>
      <w:bookmarkStart w:id="0" w:name="_Toc100239476"/>
      <w:r w:rsidRPr="00293550">
        <w:lastRenderedPageBreak/>
        <w:t>Part 1—Preliminary</w:t>
      </w:r>
      <w:bookmarkEnd w:id="0"/>
    </w:p>
    <w:p w14:paraId="0DEE789C" w14:textId="1A32EB04" w:rsidR="00554826" w:rsidRPr="00293550" w:rsidRDefault="00554826" w:rsidP="00554826">
      <w:pPr>
        <w:pStyle w:val="ActHead5"/>
      </w:pPr>
      <w:bookmarkStart w:id="1" w:name="_Toc100239477"/>
      <w:r w:rsidRPr="00293550">
        <w:t>1  Name</w:t>
      </w:r>
      <w:bookmarkEnd w:id="1"/>
    </w:p>
    <w:p w14:paraId="1095AC3A" w14:textId="06CBF532" w:rsidR="00554826" w:rsidRPr="00293550" w:rsidRDefault="00554826" w:rsidP="00554826">
      <w:pPr>
        <w:pStyle w:val="subsection"/>
      </w:pPr>
      <w:r w:rsidRPr="00293550">
        <w:tab/>
      </w:r>
      <w:r w:rsidRPr="00293550">
        <w:tab/>
        <w:t xml:space="preserve">This instrument is the </w:t>
      </w:r>
      <w:r w:rsidR="00C73ECB" w:rsidRPr="00293550">
        <w:rPr>
          <w:i/>
          <w:iCs/>
        </w:rPr>
        <w:t>National Vocational Education and Training Regulator (Fees) Determination 2022</w:t>
      </w:r>
      <w:r w:rsidRPr="00293550">
        <w:t>.</w:t>
      </w:r>
    </w:p>
    <w:p w14:paraId="58FCDF59" w14:textId="77777777" w:rsidR="00554826" w:rsidRPr="00293550" w:rsidRDefault="00554826" w:rsidP="00554826">
      <w:pPr>
        <w:pStyle w:val="ActHead5"/>
      </w:pPr>
      <w:bookmarkStart w:id="2" w:name="_Toc100239478"/>
      <w:r w:rsidRPr="00293550">
        <w:t>2  Commencement</w:t>
      </w:r>
      <w:bookmarkEnd w:id="2"/>
    </w:p>
    <w:p w14:paraId="78112E99" w14:textId="77777777" w:rsidR="003767E2" w:rsidRPr="00293550" w:rsidRDefault="003767E2" w:rsidP="003767E2">
      <w:pPr>
        <w:pStyle w:val="subsection"/>
      </w:pPr>
      <w:r w:rsidRPr="00293550">
        <w:tab/>
        <w:t>(1)</w:t>
      </w:r>
      <w:r w:rsidRPr="00293550">
        <w:tab/>
        <w:t>Each provision of this instrument specified in column 1 of the table commences, or is taken to have commenced, in accordance with column 2 of the table. Any other statement in column 2 has effect according to its terms.</w:t>
      </w:r>
    </w:p>
    <w:p w14:paraId="4635988C" w14:textId="77777777" w:rsidR="003767E2" w:rsidRPr="00293550"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293550" w14:paraId="12955EF7" w14:textId="77777777" w:rsidTr="00E4599A">
        <w:trPr>
          <w:tblHeader/>
        </w:trPr>
        <w:tc>
          <w:tcPr>
            <w:tcW w:w="8364" w:type="dxa"/>
            <w:gridSpan w:val="3"/>
            <w:tcBorders>
              <w:top w:val="single" w:sz="12" w:space="0" w:color="auto"/>
              <w:bottom w:val="single" w:sz="6" w:space="0" w:color="auto"/>
            </w:tcBorders>
            <w:shd w:val="clear" w:color="auto" w:fill="auto"/>
            <w:hideMark/>
          </w:tcPr>
          <w:p w14:paraId="1129FB2B" w14:textId="77777777" w:rsidR="003767E2" w:rsidRPr="00293550" w:rsidRDefault="003767E2" w:rsidP="00E4599A">
            <w:pPr>
              <w:pStyle w:val="TableHeading"/>
            </w:pPr>
            <w:r w:rsidRPr="00293550">
              <w:t>Commencement information</w:t>
            </w:r>
          </w:p>
        </w:tc>
      </w:tr>
      <w:tr w:rsidR="003767E2" w:rsidRPr="00293550" w14:paraId="09CE029E" w14:textId="77777777" w:rsidTr="00E4599A">
        <w:trPr>
          <w:tblHeader/>
        </w:trPr>
        <w:tc>
          <w:tcPr>
            <w:tcW w:w="2127" w:type="dxa"/>
            <w:tcBorders>
              <w:top w:val="single" w:sz="6" w:space="0" w:color="auto"/>
              <w:bottom w:val="single" w:sz="6" w:space="0" w:color="auto"/>
            </w:tcBorders>
            <w:shd w:val="clear" w:color="auto" w:fill="auto"/>
            <w:hideMark/>
          </w:tcPr>
          <w:p w14:paraId="0768E201" w14:textId="77777777" w:rsidR="003767E2" w:rsidRPr="00293550" w:rsidRDefault="003767E2" w:rsidP="00E4599A">
            <w:pPr>
              <w:pStyle w:val="TableHeading"/>
            </w:pPr>
            <w:r w:rsidRPr="00293550">
              <w:t>Column 1</w:t>
            </w:r>
          </w:p>
        </w:tc>
        <w:tc>
          <w:tcPr>
            <w:tcW w:w="4394" w:type="dxa"/>
            <w:tcBorders>
              <w:top w:val="single" w:sz="6" w:space="0" w:color="auto"/>
              <w:bottom w:val="single" w:sz="6" w:space="0" w:color="auto"/>
            </w:tcBorders>
            <w:shd w:val="clear" w:color="auto" w:fill="auto"/>
            <w:hideMark/>
          </w:tcPr>
          <w:p w14:paraId="5DB303A6" w14:textId="77777777" w:rsidR="003767E2" w:rsidRPr="00293550" w:rsidRDefault="003767E2" w:rsidP="00E4599A">
            <w:pPr>
              <w:pStyle w:val="TableHeading"/>
            </w:pPr>
            <w:r w:rsidRPr="00293550">
              <w:t>Column 2</w:t>
            </w:r>
          </w:p>
        </w:tc>
        <w:tc>
          <w:tcPr>
            <w:tcW w:w="1843" w:type="dxa"/>
            <w:tcBorders>
              <w:top w:val="single" w:sz="6" w:space="0" w:color="auto"/>
              <w:bottom w:val="single" w:sz="6" w:space="0" w:color="auto"/>
            </w:tcBorders>
            <w:shd w:val="clear" w:color="auto" w:fill="auto"/>
            <w:hideMark/>
          </w:tcPr>
          <w:p w14:paraId="379FD57E" w14:textId="77777777" w:rsidR="003767E2" w:rsidRPr="00293550" w:rsidRDefault="003767E2" w:rsidP="00E4599A">
            <w:pPr>
              <w:pStyle w:val="TableHeading"/>
            </w:pPr>
            <w:r w:rsidRPr="00293550">
              <w:t>Column 3</w:t>
            </w:r>
          </w:p>
        </w:tc>
      </w:tr>
      <w:tr w:rsidR="003767E2" w:rsidRPr="00293550" w14:paraId="2D38E8D5" w14:textId="77777777" w:rsidTr="00E4599A">
        <w:trPr>
          <w:tblHeader/>
        </w:trPr>
        <w:tc>
          <w:tcPr>
            <w:tcW w:w="2127" w:type="dxa"/>
            <w:tcBorders>
              <w:top w:val="single" w:sz="6" w:space="0" w:color="auto"/>
              <w:bottom w:val="single" w:sz="12" w:space="0" w:color="auto"/>
            </w:tcBorders>
            <w:shd w:val="clear" w:color="auto" w:fill="auto"/>
            <w:hideMark/>
          </w:tcPr>
          <w:p w14:paraId="3F471195" w14:textId="77777777" w:rsidR="003767E2" w:rsidRPr="00293550" w:rsidRDefault="003767E2" w:rsidP="00E4599A">
            <w:pPr>
              <w:pStyle w:val="TableHeading"/>
            </w:pPr>
            <w:r w:rsidRPr="00293550">
              <w:t>Provisions</w:t>
            </w:r>
          </w:p>
        </w:tc>
        <w:tc>
          <w:tcPr>
            <w:tcW w:w="4394" w:type="dxa"/>
            <w:tcBorders>
              <w:top w:val="single" w:sz="6" w:space="0" w:color="auto"/>
              <w:bottom w:val="single" w:sz="12" w:space="0" w:color="auto"/>
            </w:tcBorders>
            <w:shd w:val="clear" w:color="auto" w:fill="auto"/>
            <w:hideMark/>
          </w:tcPr>
          <w:p w14:paraId="247A6516" w14:textId="77777777" w:rsidR="003767E2" w:rsidRPr="00293550" w:rsidRDefault="003767E2" w:rsidP="00E4599A">
            <w:pPr>
              <w:pStyle w:val="TableHeading"/>
            </w:pPr>
            <w:r w:rsidRPr="00293550">
              <w:t>Commencement</w:t>
            </w:r>
          </w:p>
        </w:tc>
        <w:tc>
          <w:tcPr>
            <w:tcW w:w="1843" w:type="dxa"/>
            <w:tcBorders>
              <w:top w:val="single" w:sz="6" w:space="0" w:color="auto"/>
              <w:bottom w:val="single" w:sz="12" w:space="0" w:color="auto"/>
            </w:tcBorders>
            <w:shd w:val="clear" w:color="auto" w:fill="auto"/>
            <w:hideMark/>
          </w:tcPr>
          <w:p w14:paraId="0684BC4F" w14:textId="77777777" w:rsidR="003767E2" w:rsidRPr="00293550" w:rsidRDefault="003767E2" w:rsidP="00E4599A">
            <w:pPr>
              <w:pStyle w:val="TableHeading"/>
            </w:pPr>
            <w:r w:rsidRPr="00293550">
              <w:t>Date/Details</w:t>
            </w:r>
          </w:p>
        </w:tc>
      </w:tr>
      <w:tr w:rsidR="00C73ECB" w:rsidRPr="00293550" w14:paraId="707E7F0E" w14:textId="77777777" w:rsidTr="00E4599A">
        <w:tc>
          <w:tcPr>
            <w:tcW w:w="2127" w:type="dxa"/>
            <w:tcBorders>
              <w:top w:val="single" w:sz="12" w:space="0" w:color="auto"/>
              <w:bottom w:val="single" w:sz="12" w:space="0" w:color="auto"/>
            </w:tcBorders>
            <w:shd w:val="clear" w:color="auto" w:fill="auto"/>
            <w:hideMark/>
          </w:tcPr>
          <w:p w14:paraId="7B490DD0" w14:textId="26834399" w:rsidR="00C73ECB" w:rsidRPr="00293550" w:rsidRDefault="00C73ECB" w:rsidP="00C73ECB">
            <w:pPr>
              <w:pStyle w:val="Tabletext"/>
            </w:pPr>
            <w:r w:rsidRPr="00293550">
              <w:t>1.  The whole of this instrument</w:t>
            </w:r>
          </w:p>
        </w:tc>
        <w:tc>
          <w:tcPr>
            <w:tcW w:w="4394" w:type="dxa"/>
            <w:tcBorders>
              <w:top w:val="single" w:sz="12" w:space="0" w:color="auto"/>
              <w:bottom w:val="single" w:sz="12" w:space="0" w:color="auto"/>
            </w:tcBorders>
            <w:shd w:val="clear" w:color="auto" w:fill="auto"/>
            <w:hideMark/>
          </w:tcPr>
          <w:p w14:paraId="3CA3EDFB" w14:textId="679A7902" w:rsidR="00C73ECB" w:rsidRPr="00293550" w:rsidRDefault="00C73ECB" w:rsidP="00C73ECB">
            <w:pPr>
              <w:pStyle w:val="Tabletext"/>
            </w:pPr>
            <w:r w:rsidRPr="00293550">
              <w:t>1 July 2022.</w:t>
            </w:r>
          </w:p>
        </w:tc>
        <w:tc>
          <w:tcPr>
            <w:tcW w:w="1843" w:type="dxa"/>
            <w:tcBorders>
              <w:top w:val="single" w:sz="12" w:space="0" w:color="auto"/>
              <w:bottom w:val="single" w:sz="12" w:space="0" w:color="auto"/>
            </w:tcBorders>
            <w:shd w:val="clear" w:color="auto" w:fill="auto"/>
          </w:tcPr>
          <w:p w14:paraId="77ED951D" w14:textId="13135753" w:rsidR="00C73ECB" w:rsidRPr="00293550" w:rsidRDefault="00C73ECB" w:rsidP="00C73ECB">
            <w:pPr>
              <w:pStyle w:val="Tabletext"/>
            </w:pPr>
            <w:r w:rsidRPr="00293550">
              <w:t>1 July 2022</w:t>
            </w:r>
          </w:p>
        </w:tc>
      </w:tr>
    </w:tbl>
    <w:p w14:paraId="3FDD304D" w14:textId="77777777" w:rsidR="003767E2" w:rsidRPr="00293550" w:rsidRDefault="003767E2" w:rsidP="003767E2">
      <w:pPr>
        <w:pStyle w:val="notetext"/>
      </w:pPr>
      <w:r w:rsidRPr="00293550">
        <w:rPr>
          <w:snapToGrid w:val="0"/>
          <w:lang w:eastAsia="en-US"/>
        </w:rPr>
        <w:t>Note:</w:t>
      </w:r>
      <w:r w:rsidRPr="00293550">
        <w:rPr>
          <w:snapToGrid w:val="0"/>
          <w:lang w:eastAsia="en-US"/>
        </w:rPr>
        <w:tab/>
        <w:t>This table relates only to the provisions of this instrument</w:t>
      </w:r>
      <w:r w:rsidRPr="00293550">
        <w:t xml:space="preserve"> </w:t>
      </w:r>
      <w:r w:rsidRPr="00293550">
        <w:rPr>
          <w:snapToGrid w:val="0"/>
          <w:lang w:eastAsia="en-US"/>
        </w:rPr>
        <w:t>as originally made. It will not be amended to deal with any later amendments of this instrument.</w:t>
      </w:r>
    </w:p>
    <w:p w14:paraId="2392C953" w14:textId="77777777" w:rsidR="003767E2" w:rsidRPr="00293550" w:rsidRDefault="003767E2" w:rsidP="003767E2">
      <w:pPr>
        <w:pStyle w:val="subsection"/>
      </w:pPr>
      <w:r w:rsidRPr="00293550">
        <w:tab/>
        <w:t>(2)</w:t>
      </w:r>
      <w:r w:rsidRPr="00293550">
        <w:tab/>
        <w:t>Any information in column 3 of the table is not part of this instrument. Information may be inserted in this column, or information in it may be edited, in any published version of this instrument.</w:t>
      </w:r>
    </w:p>
    <w:p w14:paraId="51423657" w14:textId="77777777" w:rsidR="00554826" w:rsidRPr="00293550" w:rsidRDefault="00554826" w:rsidP="00554826">
      <w:pPr>
        <w:pStyle w:val="ActHead5"/>
      </w:pPr>
      <w:bookmarkStart w:id="3" w:name="_Toc100239479"/>
      <w:r w:rsidRPr="00293550">
        <w:t>3  Authority</w:t>
      </w:r>
      <w:bookmarkEnd w:id="3"/>
    </w:p>
    <w:p w14:paraId="742B827E" w14:textId="7C1E821E" w:rsidR="00554826" w:rsidRPr="00293550" w:rsidRDefault="00554826" w:rsidP="00554826">
      <w:pPr>
        <w:pStyle w:val="subsection"/>
      </w:pPr>
      <w:r w:rsidRPr="00293550">
        <w:tab/>
      </w:r>
      <w:r w:rsidRPr="00293550">
        <w:tab/>
        <w:t>This instrument is made under</w:t>
      </w:r>
      <w:r w:rsidR="00306C49" w:rsidRPr="00293550">
        <w:t xml:space="preserve"> section 232 of the </w:t>
      </w:r>
      <w:r w:rsidR="002433D8" w:rsidRPr="00293550">
        <w:rPr>
          <w:i/>
          <w:iCs/>
        </w:rPr>
        <w:t>National Vocational Education and Training Regulator Act 2011</w:t>
      </w:r>
      <w:r w:rsidR="00306C49" w:rsidRPr="00293550">
        <w:t xml:space="preserve">. </w:t>
      </w:r>
    </w:p>
    <w:p w14:paraId="443A0247" w14:textId="77777777" w:rsidR="00554826" w:rsidRPr="00293550" w:rsidRDefault="00554826" w:rsidP="00554826">
      <w:pPr>
        <w:pStyle w:val="ActHead5"/>
      </w:pPr>
      <w:bookmarkStart w:id="4" w:name="_Toc100239480"/>
      <w:r w:rsidRPr="00293550">
        <w:t>4  Definitions</w:t>
      </w:r>
      <w:bookmarkEnd w:id="4"/>
    </w:p>
    <w:p w14:paraId="007623DB" w14:textId="1FAF745D" w:rsidR="00554826" w:rsidRPr="00293550" w:rsidRDefault="00554826" w:rsidP="00554826">
      <w:pPr>
        <w:pStyle w:val="notetext"/>
      </w:pPr>
      <w:r w:rsidRPr="00293550">
        <w:t>Note:</w:t>
      </w:r>
      <w:r w:rsidRPr="00293550">
        <w:tab/>
        <w:t>A number of expressions used in this instrument are defined in</w:t>
      </w:r>
      <w:r w:rsidR="001224FC" w:rsidRPr="00293550">
        <w:t xml:space="preserve"> section 3</w:t>
      </w:r>
      <w:r w:rsidRPr="00293550">
        <w:t xml:space="preserve"> of the Act, including the following:</w:t>
      </w:r>
    </w:p>
    <w:p w14:paraId="2832D362" w14:textId="3BF7A2F3" w:rsidR="001224FC" w:rsidRPr="00293550" w:rsidRDefault="001224FC" w:rsidP="001224FC">
      <w:pPr>
        <w:pStyle w:val="notepara"/>
      </w:pPr>
      <w:r w:rsidRPr="00293550">
        <w:t>(</w:t>
      </w:r>
      <w:r w:rsidR="000951AF" w:rsidRPr="00293550">
        <w:t>a</w:t>
      </w:r>
      <w:r w:rsidRPr="00293550">
        <w:t>)</w:t>
      </w:r>
      <w:r w:rsidRPr="00293550">
        <w:tab/>
        <w:t>National VET Regulator;</w:t>
      </w:r>
    </w:p>
    <w:p w14:paraId="40E431CA" w14:textId="0AB0DE69" w:rsidR="001224FC" w:rsidRPr="00293550" w:rsidRDefault="001224FC" w:rsidP="001224FC">
      <w:pPr>
        <w:pStyle w:val="notepara"/>
      </w:pPr>
      <w:r w:rsidRPr="00293550">
        <w:t>(</w:t>
      </w:r>
      <w:r w:rsidR="000951AF" w:rsidRPr="00293550">
        <w:t>b</w:t>
      </w:r>
      <w:r w:rsidRPr="00293550">
        <w:t>)</w:t>
      </w:r>
      <w:r w:rsidRPr="00293550">
        <w:tab/>
        <w:t>NVR registered training organisation;</w:t>
      </w:r>
    </w:p>
    <w:p w14:paraId="0D56EE66" w14:textId="6843634C" w:rsidR="001224FC" w:rsidRPr="00293550" w:rsidRDefault="001224FC" w:rsidP="001224FC">
      <w:pPr>
        <w:pStyle w:val="notepara"/>
      </w:pPr>
      <w:r w:rsidRPr="00293550">
        <w:t>(</w:t>
      </w:r>
      <w:r w:rsidR="000951AF" w:rsidRPr="00293550">
        <w:t>c</w:t>
      </w:r>
      <w:r w:rsidRPr="00293550">
        <w:t>)</w:t>
      </w:r>
      <w:r w:rsidRPr="00293550">
        <w:tab/>
        <w:t>registered provider;</w:t>
      </w:r>
      <w:r w:rsidR="00D17D14" w:rsidRPr="00293550">
        <w:t xml:space="preserve"> and</w:t>
      </w:r>
    </w:p>
    <w:p w14:paraId="54FB1975" w14:textId="6BB69B44" w:rsidR="001224FC" w:rsidRPr="00293550" w:rsidRDefault="001224FC" w:rsidP="001224FC">
      <w:pPr>
        <w:pStyle w:val="notepara"/>
      </w:pPr>
      <w:r w:rsidRPr="00293550">
        <w:t>(</w:t>
      </w:r>
      <w:r w:rsidR="000951AF" w:rsidRPr="00293550">
        <w:t>d</w:t>
      </w:r>
      <w:r w:rsidRPr="00293550">
        <w:t>)</w:t>
      </w:r>
      <w:r w:rsidRPr="00293550">
        <w:tab/>
        <w:t>VET accredited course.</w:t>
      </w:r>
    </w:p>
    <w:p w14:paraId="3FC637B3" w14:textId="77777777" w:rsidR="00554826" w:rsidRPr="00293550" w:rsidRDefault="00554826" w:rsidP="00554826">
      <w:pPr>
        <w:pStyle w:val="subsection"/>
      </w:pPr>
      <w:r w:rsidRPr="00293550">
        <w:tab/>
      </w:r>
      <w:r w:rsidRPr="00293550">
        <w:tab/>
        <w:t>In this instrument:</w:t>
      </w:r>
    </w:p>
    <w:p w14:paraId="32539AD4" w14:textId="60CAC88A" w:rsidR="00554826" w:rsidRPr="00293550" w:rsidRDefault="00554826" w:rsidP="00554826">
      <w:pPr>
        <w:pStyle w:val="Definition"/>
      </w:pPr>
      <w:r w:rsidRPr="00293550">
        <w:rPr>
          <w:b/>
          <w:i/>
        </w:rPr>
        <w:t>Act</w:t>
      </w:r>
      <w:r w:rsidRPr="00293550">
        <w:t xml:space="preserve"> means the</w:t>
      </w:r>
      <w:r w:rsidR="00C73ECB" w:rsidRPr="00293550">
        <w:t xml:space="preserve"> </w:t>
      </w:r>
      <w:r w:rsidR="00C73ECB" w:rsidRPr="00293550">
        <w:rPr>
          <w:i/>
          <w:iCs/>
        </w:rPr>
        <w:t>National Vocational Education and Training Regulator Act 2011</w:t>
      </w:r>
      <w:r w:rsidR="00C73ECB" w:rsidRPr="00293550">
        <w:t>.</w:t>
      </w:r>
    </w:p>
    <w:p w14:paraId="4EC2D4C8" w14:textId="70CB8243" w:rsidR="003B0C2D" w:rsidRPr="00293550" w:rsidRDefault="003B0C2D" w:rsidP="001224FC">
      <w:pPr>
        <w:pStyle w:val="Definition"/>
        <w:rPr>
          <w:bCs/>
          <w:iCs/>
        </w:rPr>
      </w:pPr>
      <w:r w:rsidRPr="00293550">
        <w:rPr>
          <w:b/>
          <w:i/>
        </w:rPr>
        <w:t>course</w:t>
      </w:r>
      <w:r w:rsidRPr="00293550">
        <w:rPr>
          <w:bCs/>
          <w:iCs/>
        </w:rPr>
        <w:t>:</w:t>
      </w:r>
    </w:p>
    <w:p w14:paraId="4A5144FE" w14:textId="4AE70F34" w:rsidR="003B0C2D" w:rsidRPr="00293550" w:rsidRDefault="003B0C2D" w:rsidP="00D17D14">
      <w:pPr>
        <w:pStyle w:val="paragraph"/>
        <w:tabs>
          <w:tab w:val="clear" w:pos="1531"/>
          <w:tab w:val="right" w:pos="1418"/>
        </w:tabs>
      </w:pPr>
      <w:r w:rsidRPr="00293550">
        <w:tab/>
        <w:t>(a)</w:t>
      </w:r>
      <w:r w:rsidRPr="00293550">
        <w:tab/>
        <w:t>in relation</w:t>
      </w:r>
      <w:r w:rsidR="000951AF" w:rsidRPr="00293550">
        <w:t xml:space="preserve"> to</w:t>
      </w:r>
      <w:r w:rsidRPr="00293550">
        <w:t xml:space="preserve"> </w:t>
      </w:r>
      <w:r w:rsidR="00D75863" w:rsidRPr="00293550">
        <w:t xml:space="preserve">an NVR registered training organisation and </w:t>
      </w:r>
      <w:r w:rsidR="000951AF" w:rsidRPr="00293550">
        <w:t xml:space="preserve">a </w:t>
      </w:r>
      <w:r w:rsidR="00D75863" w:rsidRPr="00293550">
        <w:t>VET accredited course</w:t>
      </w:r>
      <w:r w:rsidRPr="00293550">
        <w:t>, has the same meaning as in section 3 of the Act; and</w:t>
      </w:r>
    </w:p>
    <w:p w14:paraId="726EE158" w14:textId="4CB90D33" w:rsidR="003B0C2D" w:rsidRPr="00293550" w:rsidRDefault="003B0C2D" w:rsidP="00D17D14">
      <w:pPr>
        <w:pStyle w:val="paragraph"/>
        <w:tabs>
          <w:tab w:val="clear" w:pos="1531"/>
          <w:tab w:val="right" w:pos="1418"/>
        </w:tabs>
      </w:pPr>
      <w:r w:rsidRPr="00293550">
        <w:tab/>
        <w:t>(b)</w:t>
      </w:r>
      <w:r w:rsidRPr="00293550">
        <w:tab/>
        <w:t xml:space="preserve">in relation </w:t>
      </w:r>
      <w:r w:rsidR="00D75863" w:rsidRPr="00293550">
        <w:t>to the performance of functions by the National VET Regulator as an ESOS Agency</w:t>
      </w:r>
      <w:r w:rsidRPr="00293550">
        <w:t xml:space="preserve">, has the same meaning as in section 5AA of the </w:t>
      </w:r>
      <w:r w:rsidR="008C511F" w:rsidRPr="00293550">
        <w:rPr>
          <w:bCs/>
          <w:i/>
        </w:rPr>
        <w:t>Education Services for Overseas Students Act 2000</w:t>
      </w:r>
      <w:r w:rsidRPr="00293550">
        <w:t>.</w:t>
      </w:r>
    </w:p>
    <w:p w14:paraId="24FFC559" w14:textId="79FF8731" w:rsidR="00D17D14" w:rsidRPr="00293550" w:rsidRDefault="00A5140B" w:rsidP="00D17D14">
      <w:pPr>
        <w:pStyle w:val="Definition"/>
        <w:rPr>
          <w:bCs/>
          <w:iCs/>
        </w:rPr>
      </w:pPr>
      <w:r w:rsidRPr="00293550">
        <w:rPr>
          <w:b/>
          <w:i/>
        </w:rPr>
        <w:lastRenderedPageBreak/>
        <w:t>ESOS agency</w:t>
      </w:r>
      <w:r w:rsidRPr="00293550">
        <w:rPr>
          <w:bCs/>
          <w:iCs/>
        </w:rPr>
        <w:t xml:space="preserve"> has the same meaning as in the </w:t>
      </w:r>
      <w:r w:rsidR="008C511F" w:rsidRPr="00293550">
        <w:rPr>
          <w:bCs/>
          <w:i/>
        </w:rPr>
        <w:t>Education Services for Overseas Students Act 2000</w:t>
      </w:r>
      <w:r w:rsidRPr="00293550">
        <w:rPr>
          <w:bCs/>
          <w:iCs/>
        </w:rPr>
        <w:t>.</w:t>
      </w:r>
    </w:p>
    <w:p w14:paraId="719266D1" w14:textId="1158B4F9" w:rsidR="00EB66D5" w:rsidRPr="00293550" w:rsidRDefault="001224FC" w:rsidP="001332A5">
      <w:pPr>
        <w:pStyle w:val="Definition"/>
        <w:rPr>
          <w:bCs/>
          <w:iCs/>
        </w:rPr>
      </w:pPr>
      <w:r w:rsidRPr="00293550">
        <w:rPr>
          <w:b/>
          <w:i/>
        </w:rPr>
        <w:t xml:space="preserve">officer </w:t>
      </w:r>
      <w:r w:rsidRPr="00293550">
        <w:rPr>
          <w:bCs/>
          <w:iCs/>
        </w:rPr>
        <w:t>means</w:t>
      </w:r>
      <w:r w:rsidR="00EB66D5" w:rsidRPr="00293550">
        <w:rPr>
          <w:bCs/>
          <w:iCs/>
        </w:rPr>
        <w:t xml:space="preserve"> </w:t>
      </w:r>
      <w:r w:rsidR="00EB66D5" w:rsidRPr="00293550">
        <w:t>a person performing duties, or exercising powers or functions, under or in relation to the Act.</w:t>
      </w:r>
    </w:p>
    <w:p w14:paraId="6E6FC6FC" w14:textId="5D9B6C30" w:rsidR="00335DF5" w:rsidRPr="00293550" w:rsidRDefault="00335DF5" w:rsidP="001224FC">
      <w:pPr>
        <w:pStyle w:val="Definition"/>
        <w:rPr>
          <w:bCs/>
          <w:iCs/>
        </w:rPr>
      </w:pPr>
      <w:r w:rsidRPr="00293550">
        <w:rPr>
          <w:b/>
          <w:i/>
        </w:rPr>
        <w:t xml:space="preserve">provider </w:t>
      </w:r>
      <w:r w:rsidR="007057A3" w:rsidRPr="00293550">
        <w:rPr>
          <w:bCs/>
          <w:iCs/>
        </w:rPr>
        <w:t xml:space="preserve">has the same meaning as in the </w:t>
      </w:r>
      <w:r w:rsidR="008C511F" w:rsidRPr="00293550">
        <w:rPr>
          <w:bCs/>
          <w:i/>
        </w:rPr>
        <w:t>Education Services for Overseas Students Act 2000</w:t>
      </w:r>
      <w:r w:rsidR="007057A3" w:rsidRPr="00293550">
        <w:rPr>
          <w:bCs/>
          <w:iCs/>
        </w:rPr>
        <w:t>.</w:t>
      </w:r>
    </w:p>
    <w:p w14:paraId="36AC8AB0" w14:textId="3F48FF1D" w:rsidR="008D2C4C" w:rsidRPr="00293550" w:rsidRDefault="008D2C4C" w:rsidP="001224FC">
      <w:pPr>
        <w:pStyle w:val="Definition"/>
        <w:rPr>
          <w:bCs/>
          <w:iCs/>
        </w:rPr>
      </w:pPr>
      <w:r w:rsidRPr="00293550">
        <w:rPr>
          <w:b/>
          <w:i/>
        </w:rPr>
        <w:t>Part 2 fee</w:t>
      </w:r>
      <w:r w:rsidRPr="00293550">
        <w:rPr>
          <w:bCs/>
          <w:iCs/>
        </w:rPr>
        <w:t xml:space="preserve"> means a fee </w:t>
      </w:r>
      <w:r w:rsidR="00086948" w:rsidRPr="00293550">
        <w:rPr>
          <w:bCs/>
          <w:iCs/>
        </w:rPr>
        <w:t xml:space="preserve">determined </w:t>
      </w:r>
      <w:r w:rsidRPr="00293550">
        <w:rPr>
          <w:bCs/>
          <w:iCs/>
        </w:rPr>
        <w:t>in Part 2 of th</w:t>
      </w:r>
      <w:r w:rsidR="00086948" w:rsidRPr="00293550">
        <w:rPr>
          <w:bCs/>
          <w:iCs/>
        </w:rPr>
        <w:t>is</w:t>
      </w:r>
      <w:r w:rsidRPr="00293550">
        <w:rPr>
          <w:bCs/>
          <w:iCs/>
        </w:rPr>
        <w:t xml:space="preserve"> instrument.</w:t>
      </w:r>
    </w:p>
    <w:p w14:paraId="33106FA8" w14:textId="77777777" w:rsidR="00554826" w:rsidRPr="00293550" w:rsidRDefault="00554826" w:rsidP="00554826">
      <w:pPr>
        <w:pStyle w:val="ActHead5"/>
      </w:pPr>
      <w:bookmarkStart w:id="5" w:name="_Toc454781205"/>
      <w:bookmarkStart w:id="6" w:name="_Toc100239481"/>
      <w:r w:rsidRPr="00293550">
        <w:t>5  Schedules</w:t>
      </w:r>
      <w:bookmarkEnd w:id="5"/>
      <w:bookmarkEnd w:id="6"/>
    </w:p>
    <w:p w14:paraId="1727D877" w14:textId="3325BC0F" w:rsidR="00EB66D5" w:rsidRPr="00293550" w:rsidRDefault="00554826" w:rsidP="00EB66D5">
      <w:pPr>
        <w:pStyle w:val="subsection"/>
      </w:pPr>
      <w:r w:rsidRPr="00293550">
        <w:tab/>
      </w:r>
      <w:r w:rsidR="00EB66D5" w:rsidRPr="00293550">
        <w:tab/>
        <w:t>Each instrument that is specified in a Schedule to this instrument is amended or repealed as set out in the applicable items in the Schedule concerned, and any other item in a Schedule to this instrument has effect according to its terms.</w:t>
      </w:r>
    </w:p>
    <w:p w14:paraId="334179A1" w14:textId="77777777" w:rsidR="0081600C" w:rsidRPr="00293550" w:rsidRDefault="0081600C" w:rsidP="00EB66D5">
      <w:pPr>
        <w:pStyle w:val="subsection"/>
        <w:rPr>
          <w:b/>
          <w:kern w:val="28"/>
          <w:sz w:val="32"/>
        </w:rPr>
      </w:pPr>
      <w:r w:rsidRPr="00293550">
        <w:br w:type="page"/>
      </w:r>
    </w:p>
    <w:p w14:paraId="11607CD0" w14:textId="4BA27A7A" w:rsidR="00D60071" w:rsidRPr="00293550" w:rsidRDefault="00D60071" w:rsidP="00D60071">
      <w:pPr>
        <w:pStyle w:val="ActHead2"/>
      </w:pPr>
      <w:bookmarkStart w:id="7" w:name="_Toc100239482"/>
      <w:r w:rsidRPr="00293550">
        <w:lastRenderedPageBreak/>
        <w:t>Part 2</w:t>
      </w:r>
      <w:bookmarkStart w:id="8" w:name="_Hlk96680846"/>
      <w:r w:rsidRPr="00293550">
        <w:t>—</w:t>
      </w:r>
      <w:bookmarkEnd w:id="8"/>
      <w:r w:rsidRPr="00293550">
        <w:t>Fees</w:t>
      </w:r>
      <w:bookmarkEnd w:id="7"/>
    </w:p>
    <w:p w14:paraId="5A425870" w14:textId="77777777" w:rsidR="00D41408" w:rsidRPr="00293550" w:rsidRDefault="00592B88" w:rsidP="00592B88">
      <w:pPr>
        <w:pStyle w:val="ActHead5"/>
      </w:pPr>
      <w:bookmarkStart w:id="9" w:name="_Toc100239483"/>
      <w:bookmarkStart w:id="10" w:name="_Hlk98856574"/>
      <w:r w:rsidRPr="00293550">
        <w:t xml:space="preserve">6  Fees in relation to the registration </w:t>
      </w:r>
      <w:r w:rsidR="00F95534" w:rsidRPr="00293550">
        <w:t xml:space="preserve">and renewal </w:t>
      </w:r>
      <w:r w:rsidRPr="00293550">
        <w:t>of NVR registered training organisations</w:t>
      </w:r>
      <w:bookmarkEnd w:id="9"/>
    </w:p>
    <w:p w14:paraId="76F1A805" w14:textId="3E1E30F2" w:rsidR="00E9344B" w:rsidRPr="00293550" w:rsidRDefault="00D41408" w:rsidP="00E9344B">
      <w:pPr>
        <w:pStyle w:val="subsection"/>
      </w:pPr>
      <w:bookmarkStart w:id="11" w:name="_Hlk98859784"/>
      <w:r w:rsidRPr="00293550">
        <w:tab/>
      </w:r>
      <w:r w:rsidRPr="00293550">
        <w:tab/>
      </w:r>
      <w:r w:rsidR="0081600C" w:rsidRPr="00293550">
        <w:t>For the purposes of subsection 232(1) of the Act,</w:t>
      </w:r>
      <w:r w:rsidR="001621D5" w:rsidRPr="00293550">
        <w:t xml:space="preserve"> the following table sets out</w:t>
      </w:r>
      <w:r w:rsidR="0081600C" w:rsidRPr="00293550">
        <w:t xml:space="preserve"> the amounts of fees the National VET Regulator may charge for services the Regulator</w:t>
      </w:r>
      <w:r w:rsidR="00EB66D5" w:rsidRPr="00293550">
        <w:t xml:space="preserve"> provides</w:t>
      </w:r>
      <w:r w:rsidR="0081600C" w:rsidRPr="00293550">
        <w:t xml:space="preserve"> in </w:t>
      </w:r>
      <w:r w:rsidR="001332A5" w:rsidRPr="00293550">
        <w:t xml:space="preserve">performing its functions to register, and renew registration of, </w:t>
      </w:r>
      <w:r w:rsidR="0081600C" w:rsidRPr="00293550">
        <w:t>NVR registered training organisations</w:t>
      </w:r>
      <w:r w:rsidR="00A333BE" w:rsidRPr="00293550">
        <w:t>.</w:t>
      </w:r>
      <w:bookmarkEnd w:id="10"/>
      <w:bookmarkEnd w:id="11"/>
      <w:r w:rsidR="00E9344B" w:rsidRPr="00293550">
        <w:br/>
      </w:r>
    </w:p>
    <w:tbl>
      <w:tblPr>
        <w:tblW w:w="825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018"/>
        <w:gridCol w:w="3969"/>
        <w:gridCol w:w="1560"/>
      </w:tblGrid>
      <w:tr w:rsidR="00164C99" w:rsidRPr="00293550" w14:paraId="771E709E" w14:textId="77777777" w:rsidTr="00164C99">
        <w:trPr>
          <w:trHeight w:val="399"/>
          <w:tblHeader/>
        </w:trPr>
        <w:tc>
          <w:tcPr>
            <w:tcW w:w="8251" w:type="dxa"/>
            <w:gridSpan w:val="4"/>
            <w:tcBorders>
              <w:top w:val="single" w:sz="18" w:space="0" w:color="auto"/>
              <w:bottom w:val="single" w:sz="18" w:space="0" w:color="auto"/>
            </w:tcBorders>
          </w:tcPr>
          <w:p w14:paraId="28D1883F" w14:textId="02A1A02B" w:rsidR="00164C99" w:rsidRPr="00293550" w:rsidRDefault="00164C99" w:rsidP="00D41408">
            <w:pPr>
              <w:pStyle w:val="TableHeading"/>
              <w:rPr>
                <w:sz w:val="22"/>
                <w:szCs w:val="22"/>
              </w:rPr>
            </w:pPr>
            <w:bookmarkStart w:id="12" w:name="_Hlk76566826"/>
            <w:r w:rsidRPr="00293550">
              <w:rPr>
                <w:sz w:val="22"/>
                <w:szCs w:val="22"/>
              </w:rPr>
              <w:t>Table 1 - Fees in relation to the registration and renewal of NVR registered training organisations</w:t>
            </w:r>
          </w:p>
        </w:tc>
      </w:tr>
      <w:bookmarkEnd w:id="12"/>
      <w:tr w:rsidR="00164C99" w:rsidRPr="00293550" w14:paraId="1F4760E8" w14:textId="77777777" w:rsidTr="00672552">
        <w:trPr>
          <w:trHeight w:val="397"/>
          <w:tblHeader/>
        </w:trPr>
        <w:tc>
          <w:tcPr>
            <w:tcW w:w="704" w:type="dxa"/>
            <w:tcBorders>
              <w:top w:val="single" w:sz="18" w:space="0" w:color="auto"/>
              <w:bottom w:val="single" w:sz="18" w:space="0" w:color="auto"/>
            </w:tcBorders>
            <w:shd w:val="clear" w:color="auto" w:fill="auto"/>
          </w:tcPr>
          <w:p w14:paraId="65D34A6B" w14:textId="77777777" w:rsidR="00164C99" w:rsidRPr="00293550" w:rsidRDefault="00164C99" w:rsidP="00D41408">
            <w:pPr>
              <w:pStyle w:val="TableHeading"/>
              <w:rPr>
                <w:sz w:val="22"/>
                <w:szCs w:val="22"/>
              </w:rPr>
            </w:pPr>
            <w:r w:rsidRPr="00293550">
              <w:rPr>
                <w:sz w:val="22"/>
                <w:szCs w:val="22"/>
              </w:rPr>
              <w:t>Item</w:t>
            </w:r>
          </w:p>
        </w:tc>
        <w:tc>
          <w:tcPr>
            <w:tcW w:w="2018" w:type="dxa"/>
            <w:tcBorders>
              <w:top w:val="single" w:sz="18" w:space="0" w:color="auto"/>
              <w:bottom w:val="single" w:sz="18" w:space="0" w:color="auto"/>
            </w:tcBorders>
          </w:tcPr>
          <w:p w14:paraId="406CE7E8" w14:textId="6F15FB26" w:rsidR="00164C99" w:rsidRPr="00293550" w:rsidRDefault="00164C99" w:rsidP="00D41408">
            <w:pPr>
              <w:pStyle w:val="TableHeading"/>
              <w:rPr>
                <w:sz w:val="22"/>
                <w:szCs w:val="22"/>
              </w:rPr>
            </w:pPr>
            <w:r w:rsidRPr="00293550">
              <w:rPr>
                <w:sz w:val="22"/>
                <w:szCs w:val="22"/>
              </w:rPr>
              <w:t>Fee name</w:t>
            </w:r>
          </w:p>
        </w:tc>
        <w:tc>
          <w:tcPr>
            <w:tcW w:w="3969" w:type="dxa"/>
            <w:tcBorders>
              <w:top w:val="single" w:sz="18" w:space="0" w:color="auto"/>
              <w:bottom w:val="single" w:sz="18" w:space="0" w:color="auto"/>
            </w:tcBorders>
            <w:shd w:val="clear" w:color="auto" w:fill="auto"/>
          </w:tcPr>
          <w:p w14:paraId="75DACFCC" w14:textId="2D08A9F5" w:rsidR="00164C99" w:rsidRPr="00293550" w:rsidRDefault="00164C99" w:rsidP="00D41408">
            <w:pPr>
              <w:pStyle w:val="TableHeading"/>
              <w:rPr>
                <w:sz w:val="22"/>
                <w:szCs w:val="22"/>
              </w:rPr>
            </w:pPr>
            <w:r w:rsidRPr="00293550">
              <w:rPr>
                <w:sz w:val="22"/>
                <w:szCs w:val="22"/>
              </w:rPr>
              <w:t>Service provided</w:t>
            </w:r>
          </w:p>
        </w:tc>
        <w:tc>
          <w:tcPr>
            <w:tcW w:w="1560" w:type="dxa"/>
            <w:tcBorders>
              <w:top w:val="single" w:sz="18" w:space="0" w:color="auto"/>
              <w:bottom w:val="single" w:sz="18" w:space="0" w:color="auto"/>
            </w:tcBorders>
            <w:shd w:val="clear" w:color="auto" w:fill="auto"/>
          </w:tcPr>
          <w:p w14:paraId="6662B8A6" w14:textId="0743CF00" w:rsidR="00164C99" w:rsidRPr="00293550" w:rsidRDefault="005E6FEF" w:rsidP="00D41408">
            <w:pPr>
              <w:pStyle w:val="TableHeading"/>
              <w:rPr>
                <w:sz w:val="22"/>
                <w:szCs w:val="22"/>
              </w:rPr>
            </w:pPr>
            <w:r w:rsidRPr="00293550">
              <w:rPr>
                <w:sz w:val="22"/>
                <w:szCs w:val="22"/>
              </w:rPr>
              <w:t>Amount</w:t>
            </w:r>
          </w:p>
        </w:tc>
      </w:tr>
      <w:tr w:rsidR="00164C99" w:rsidRPr="00293550" w14:paraId="2902F3E2" w14:textId="77777777" w:rsidTr="00672552">
        <w:trPr>
          <w:trHeight w:val="678"/>
        </w:trPr>
        <w:tc>
          <w:tcPr>
            <w:tcW w:w="704" w:type="dxa"/>
            <w:tcBorders>
              <w:top w:val="single" w:sz="18" w:space="0" w:color="auto"/>
            </w:tcBorders>
            <w:shd w:val="clear" w:color="auto" w:fill="auto"/>
          </w:tcPr>
          <w:p w14:paraId="105D77D4" w14:textId="77777777" w:rsidR="00164C99" w:rsidRPr="00293550" w:rsidRDefault="00164C99" w:rsidP="00464395">
            <w:pPr>
              <w:pStyle w:val="Tabletext"/>
              <w:spacing w:after="240"/>
              <w:rPr>
                <w:sz w:val="22"/>
                <w:szCs w:val="22"/>
              </w:rPr>
            </w:pPr>
            <w:r w:rsidRPr="00293550">
              <w:rPr>
                <w:sz w:val="22"/>
                <w:szCs w:val="22"/>
              </w:rPr>
              <w:t>1</w:t>
            </w:r>
          </w:p>
        </w:tc>
        <w:tc>
          <w:tcPr>
            <w:tcW w:w="2018" w:type="dxa"/>
            <w:tcBorders>
              <w:top w:val="single" w:sz="18" w:space="0" w:color="auto"/>
            </w:tcBorders>
          </w:tcPr>
          <w:p w14:paraId="61E11BCD" w14:textId="43D2DDAA" w:rsidR="00164C99" w:rsidRPr="00293550" w:rsidRDefault="00164C99" w:rsidP="00464395">
            <w:pPr>
              <w:pStyle w:val="Tabletext"/>
              <w:spacing w:after="240"/>
              <w:rPr>
                <w:sz w:val="22"/>
                <w:szCs w:val="22"/>
              </w:rPr>
            </w:pPr>
            <w:r w:rsidRPr="00293550">
              <w:rPr>
                <w:sz w:val="22"/>
                <w:szCs w:val="22"/>
              </w:rPr>
              <w:t xml:space="preserve">Initial </w:t>
            </w:r>
            <w:r w:rsidR="00A22721" w:rsidRPr="00293550">
              <w:rPr>
                <w:sz w:val="22"/>
                <w:szCs w:val="22"/>
              </w:rPr>
              <w:t>r</w:t>
            </w:r>
            <w:r w:rsidRPr="00293550">
              <w:rPr>
                <w:sz w:val="22"/>
                <w:szCs w:val="22"/>
              </w:rPr>
              <w:t>egistration application fee</w:t>
            </w:r>
          </w:p>
        </w:tc>
        <w:tc>
          <w:tcPr>
            <w:tcW w:w="3969" w:type="dxa"/>
            <w:tcBorders>
              <w:top w:val="single" w:sz="18" w:space="0" w:color="auto"/>
            </w:tcBorders>
            <w:shd w:val="clear" w:color="auto" w:fill="auto"/>
          </w:tcPr>
          <w:p w14:paraId="6CCAC7CB" w14:textId="4384BBC6" w:rsidR="00164C99" w:rsidRPr="00293550" w:rsidRDefault="00164C99" w:rsidP="00464395">
            <w:pPr>
              <w:pStyle w:val="Tabletext"/>
              <w:spacing w:after="240"/>
              <w:rPr>
                <w:sz w:val="22"/>
                <w:szCs w:val="22"/>
              </w:rPr>
            </w:pPr>
            <w:r w:rsidRPr="00293550">
              <w:rPr>
                <w:sz w:val="22"/>
                <w:szCs w:val="22"/>
              </w:rPr>
              <w:t>Initial review and check of an application for initial registration under section 16 of the Act</w:t>
            </w:r>
          </w:p>
        </w:tc>
        <w:tc>
          <w:tcPr>
            <w:tcW w:w="1560" w:type="dxa"/>
            <w:tcBorders>
              <w:top w:val="single" w:sz="18" w:space="0" w:color="auto"/>
            </w:tcBorders>
            <w:shd w:val="clear" w:color="auto" w:fill="auto"/>
          </w:tcPr>
          <w:p w14:paraId="3A5FB766" w14:textId="77777777" w:rsidR="00164C99" w:rsidRPr="00293550" w:rsidRDefault="00164C99" w:rsidP="00464395">
            <w:pPr>
              <w:pStyle w:val="Tabletext"/>
              <w:spacing w:after="240"/>
              <w:rPr>
                <w:sz w:val="22"/>
                <w:szCs w:val="22"/>
              </w:rPr>
            </w:pPr>
            <w:r w:rsidRPr="00293550">
              <w:rPr>
                <w:sz w:val="22"/>
                <w:szCs w:val="22"/>
              </w:rPr>
              <w:t>$600</w:t>
            </w:r>
          </w:p>
        </w:tc>
      </w:tr>
      <w:tr w:rsidR="00A22721" w:rsidRPr="00293550" w14:paraId="2BBECDF7" w14:textId="77777777" w:rsidTr="00672552">
        <w:trPr>
          <w:trHeight w:val="394"/>
        </w:trPr>
        <w:tc>
          <w:tcPr>
            <w:tcW w:w="704" w:type="dxa"/>
            <w:tcBorders>
              <w:top w:val="single" w:sz="2" w:space="0" w:color="auto"/>
              <w:bottom w:val="single" w:sz="2" w:space="0" w:color="auto"/>
            </w:tcBorders>
            <w:shd w:val="clear" w:color="auto" w:fill="auto"/>
          </w:tcPr>
          <w:p w14:paraId="7152F173" w14:textId="77777777" w:rsidR="00A22721" w:rsidRPr="00293550" w:rsidRDefault="00A22721" w:rsidP="00A22721">
            <w:pPr>
              <w:pStyle w:val="Tabletext"/>
              <w:spacing w:after="240"/>
              <w:rPr>
                <w:sz w:val="22"/>
                <w:szCs w:val="22"/>
              </w:rPr>
            </w:pPr>
            <w:r w:rsidRPr="00293550">
              <w:rPr>
                <w:sz w:val="22"/>
                <w:szCs w:val="22"/>
              </w:rPr>
              <w:t>2</w:t>
            </w:r>
          </w:p>
        </w:tc>
        <w:tc>
          <w:tcPr>
            <w:tcW w:w="2018" w:type="dxa"/>
            <w:tcBorders>
              <w:top w:val="single" w:sz="2" w:space="0" w:color="auto"/>
              <w:bottom w:val="single" w:sz="2" w:space="0" w:color="auto"/>
            </w:tcBorders>
          </w:tcPr>
          <w:p w14:paraId="26567169" w14:textId="018C4353" w:rsidR="00A22721" w:rsidRPr="00293550" w:rsidRDefault="00A22721" w:rsidP="00A22721">
            <w:pPr>
              <w:pStyle w:val="Tabletext"/>
              <w:spacing w:after="240"/>
              <w:rPr>
                <w:sz w:val="22"/>
                <w:szCs w:val="22"/>
              </w:rPr>
            </w:pPr>
            <w:r w:rsidRPr="00293550">
              <w:rPr>
                <w:sz w:val="22"/>
                <w:szCs w:val="22"/>
              </w:rPr>
              <w:t>Initial registration assessment fee</w:t>
            </w:r>
          </w:p>
        </w:tc>
        <w:tc>
          <w:tcPr>
            <w:tcW w:w="3969" w:type="dxa"/>
            <w:tcBorders>
              <w:top w:val="single" w:sz="2" w:space="0" w:color="auto"/>
              <w:bottom w:val="single" w:sz="2" w:space="0" w:color="auto"/>
            </w:tcBorders>
            <w:shd w:val="clear" w:color="auto" w:fill="auto"/>
          </w:tcPr>
          <w:p w14:paraId="1605CC81" w14:textId="4E4A6AA1" w:rsidR="00A22721" w:rsidRPr="00293550" w:rsidRDefault="00A22721" w:rsidP="00A22721">
            <w:pPr>
              <w:pStyle w:val="Tabletext"/>
              <w:spacing w:after="240"/>
              <w:rPr>
                <w:sz w:val="22"/>
                <w:szCs w:val="22"/>
              </w:rPr>
            </w:pPr>
            <w:r w:rsidRPr="00293550">
              <w:rPr>
                <w:sz w:val="22"/>
                <w:szCs w:val="22"/>
              </w:rPr>
              <w:t>Registration assessment (initial application) under section 17 of the Act</w:t>
            </w:r>
          </w:p>
        </w:tc>
        <w:tc>
          <w:tcPr>
            <w:tcW w:w="1560" w:type="dxa"/>
            <w:tcBorders>
              <w:top w:val="single" w:sz="2" w:space="0" w:color="auto"/>
              <w:bottom w:val="single" w:sz="2" w:space="0" w:color="auto"/>
            </w:tcBorders>
            <w:shd w:val="clear" w:color="auto" w:fill="auto"/>
          </w:tcPr>
          <w:p w14:paraId="778330ED" w14:textId="74A9D9CF" w:rsidR="00A22721" w:rsidRPr="00293550" w:rsidRDefault="00A22721" w:rsidP="00A22721">
            <w:pPr>
              <w:pStyle w:val="Tabletext"/>
              <w:spacing w:after="240"/>
              <w:rPr>
                <w:sz w:val="22"/>
                <w:szCs w:val="22"/>
              </w:rPr>
            </w:pPr>
            <w:r w:rsidRPr="00293550">
              <w:rPr>
                <w:sz w:val="22"/>
                <w:szCs w:val="22"/>
              </w:rPr>
              <w:t>$8000</w:t>
            </w:r>
          </w:p>
        </w:tc>
      </w:tr>
      <w:tr w:rsidR="00A22721" w:rsidRPr="00293550" w14:paraId="016B7003" w14:textId="77777777" w:rsidTr="00672552">
        <w:trPr>
          <w:trHeight w:val="394"/>
        </w:trPr>
        <w:tc>
          <w:tcPr>
            <w:tcW w:w="704" w:type="dxa"/>
            <w:tcBorders>
              <w:top w:val="single" w:sz="2" w:space="0" w:color="auto"/>
              <w:bottom w:val="single" w:sz="2" w:space="0" w:color="auto"/>
            </w:tcBorders>
            <w:shd w:val="clear" w:color="auto" w:fill="auto"/>
          </w:tcPr>
          <w:p w14:paraId="312149C5" w14:textId="4F820C72" w:rsidR="00A22721" w:rsidRPr="00293550" w:rsidRDefault="00A22721" w:rsidP="00A22721">
            <w:pPr>
              <w:pStyle w:val="Tabletext"/>
              <w:spacing w:after="240"/>
              <w:rPr>
                <w:sz w:val="22"/>
                <w:szCs w:val="22"/>
              </w:rPr>
            </w:pPr>
            <w:r w:rsidRPr="00293550">
              <w:rPr>
                <w:sz w:val="22"/>
                <w:szCs w:val="22"/>
              </w:rPr>
              <w:t>3</w:t>
            </w:r>
          </w:p>
        </w:tc>
        <w:tc>
          <w:tcPr>
            <w:tcW w:w="2018" w:type="dxa"/>
            <w:tcBorders>
              <w:top w:val="single" w:sz="2" w:space="0" w:color="auto"/>
              <w:bottom w:val="single" w:sz="2" w:space="0" w:color="auto"/>
            </w:tcBorders>
          </w:tcPr>
          <w:p w14:paraId="6517E3CE" w14:textId="74293767" w:rsidR="00A22721" w:rsidRPr="00293550" w:rsidRDefault="00A22721" w:rsidP="00A22721">
            <w:pPr>
              <w:pStyle w:val="Tabletext"/>
              <w:spacing w:after="240"/>
              <w:rPr>
                <w:sz w:val="22"/>
                <w:szCs w:val="22"/>
              </w:rPr>
            </w:pPr>
            <w:r w:rsidRPr="00293550">
              <w:rPr>
                <w:sz w:val="22"/>
                <w:szCs w:val="22"/>
              </w:rPr>
              <w:t>Renewal of registration application fee</w:t>
            </w:r>
          </w:p>
        </w:tc>
        <w:tc>
          <w:tcPr>
            <w:tcW w:w="3969" w:type="dxa"/>
            <w:tcBorders>
              <w:top w:val="single" w:sz="2" w:space="0" w:color="auto"/>
              <w:bottom w:val="single" w:sz="2" w:space="0" w:color="auto"/>
            </w:tcBorders>
            <w:shd w:val="clear" w:color="auto" w:fill="auto"/>
          </w:tcPr>
          <w:p w14:paraId="608B3C7C" w14:textId="72032351" w:rsidR="00A22721" w:rsidRPr="00293550" w:rsidRDefault="00A22721" w:rsidP="00A22721">
            <w:pPr>
              <w:pStyle w:val="Tabletext"/>
              <w:spacing w:after="240"/>
              <w:rPr>
                <w:sz w:val="22"/>
                <w:szCs w:val="22"/>
              </w:rPr>
            </w:pPr>
            <w:r w:rsidRPr="00293550">
              <w:rPr>
                <w:sz w:val="22"/>
                <w:szCs w:val="22"/>
              </w:rPr>
              <w:t>Initial review and check of an application for renewal of registration under section 16 of the Act</w:t>
            </w:r>
          </w:p>
        </w:tc>
        <w:tc>
          <w:tcPr>
            <w:tcW w:w="1560" w:type="dxa"/>
            <w:tcBorders>
              <w:top w:val="single" w:sz="2" w:space="0" w:color="auto"/>
              <w:bottom w:val="single" w:sz="2" w:space="0" w:color="auto"/>
            </w:tcBorders>
            <w:shd w:val="clear" w:color="auto" w:fill="auto"/>
          </w:tcPr>
          <w:p w14:paraId="589C5B67" w14:textId="58FB3B4C" w:rsidR="00A22721" w:rsidRPr="00293550" w:rsidRDefault="00A22721" w:rsidP="00A22721">
            <w:pPr>
              <w:pStyle w:val="Tabletext"/>
              <w:spacing w:after="240"/>
              <w:rPr>
                <w:sz w:val="22"/>
                <w:szCs w:val="22"/>
              </w:rPr>
            </w:pPr>
            <w:r w:rsidRPr="00293550">
              <w:rPr>
                <w:sz w:val="22"/>
                <w:szCs w:val="22"/>
              </w:rPr>
              <w:t>$320</w:t>
            </w:r>
          </w:p>
        </w:tc>
      </w:tr>
      <w:tr w:rsidR="00A22721" w:rsidRPr="00293550" w14:paraId="752DD4C8" w14:textId="77777777" w:rsidTr="00672552">
        <w:trPr>
          <w:trHeight w:val="394"/>
        </w:trPr>
        <w:tc>
          <w:tcPr>
            <w:tcW w:w="704" w:type="dxa"/>
            <w:tcBorders>
              <w:top w:val="single" w:sz="2" w:space="0" w:color="auto"/>
              <w:bottom w:val="single" w:sz="2" w:space="0" w:color="auto"/>
            </w:tcBorders>
            <w:shd w:val="clear" w:color="auto" w:fill="auto"/>
          </w:tcPr>
          <w:p w14:paraId="02FFD11E" w14:textId="641FB9D9" w:rsidR="00A22721" w:rsidRPr="00293550" w:rsidRDefault="00A22721" w:rsidP="00A22721">
            <w:pPr>
              <w:pStyle w:val="Tabletext"/>
              <w:spacing w:after="240"/>
              <w:rPr>
                <w:sz w:val="22"/>
                <w:szCs w:val="22"/>
              </w:rPr>
            </w:pPr>
            <w:r w:rsidRPr="00293550">
              <w:rPr>
                <w:sz w:val="22"/>
                <w:szCs w:val="22"/>
              </w:rPr>
              <w:t>4</w:t>
            </w:r>
          </w:p>
        </w:tc>
        <w:tc>
          <w:tcPr>
            <w:tcW w:w="2018" w:type="dxa"/>
            <w:tcBorders>
              <w:top w:val="single" w:sz="2" w:space="0" w:color="auto"/>
              <w:bottom w:val="single" w:sz="2" w:space="0" w:color="auto"/>
            </w:tcBorders>
          </w:tcPr>
          <w:p w14:paraId="4E98AADF" w14:textId="471DF022" w:rsidR="00A22721" w:rsidRPr="00293550" w:rsidRDefault="00A22721" w:rsidP="00A22721">
            <w:pPr>
              <w:pStyle w:val="Tabletext"/>
              <w:spacing w:after="240"/>
              <w:rPr>
                <w:sz w:val="22"/>
                <w:szCs w:val="22"/>
              </w:rPr>
            </w:pPr>
            <w:r w:rsidRPr="00293550">
              <w:rPr>
                <w:sz w:val="22"/>
                <w:szCs w:val="22"/>
              </w:rPr>
              <w:t>Renewal of registration assessment fee</w:t>
            </w:r>
          </w:p>
        </w:tc>
        <w:tc>
          <w:tcPr>
            <w:tcW w:w="3969" w:type="dxa"/>
            <w:tcBorders>
              <w:top w:val="single" w:sz="2" w:space="0" w:color="auto"/>
              <w:bottom w:val="single" w:sz="2" w:space="0" w:color="auto"/>
            </w:tcBorders>
            <w:shd w:val="clear" w:color="auto" w:fill="auto"/>
          </w:tcPr>
          <w:p w14:paraId="2B06231F" w14:textId="23F62D2E" w:rsidR="00A22721" w:rsidRPr="00293550" w:rsidRDefault="00A22721" w:rsidP="00A22721">
            <w:pPr>
              <w:pStyle w:val="Tabletext"/>
              <w:spacing w:after="240"/>
              <w:rPr>
                <w:sz w:val="22"/>
                <w:szCs w:val="22"/>
              </w:rPr>
            </w:pPr>
            <w:r w:rsidRPr="00293550">
              <w:rPr>
                <w:sz w:val="22"/>
                <w:szCs w:val="22"/>
              </w:rPr>
              <w:t xml:space="preserve">Registration assessment (renewal of application) under section </w:t>
            </w:r>
            <w:r w:rsidR="007B486B" w:rsidRPr="00293550">
              <w:rPr>
                <w:sz w:val="22"/>
                <w:szCs w:val="22"/>
              </w:rPr>
              <w:t>31</w:t>
            </w:r>
            <w:r w:rsidRPr="00293550">
              <w:rPr>
                <w:sz w:val="22"/>
                <w:szCs w:val="22"/>
              </w:rPr>
              <w:t xml:space="preserve"> of the Act</w:t>
            </w:r>
          </w:p>
        </w:tc>
        <w:tc>
          <w:tcPr>
            <w:tcW w:w="1560" w:type="dxa"/>
            <w:tcBorders>
              <w:top w:val="single" w:sz="2" w:space="0" w:color="auto"/>
              <w:bottom w:val="single" w:sz="2" w:space="0" w:color="auto"/>
            </w:tcBorders>
            <w:shd w:val="clear" w:color="auto" w:fill="auto"/>
          </w:tcPr>
          <w:p w14:paraId="257E3116" w14:textId="465ADBEC" w:rsidR="00A22721" w:rsidRPr="00293550" w:rsidRDefault="00A22721" w:rsidP="00A22721">
            <w:pPr>
              <w:pStyle w:val="Tabletext"/>
              <w:spacing w:after="240"/>
              <w:rPr>
                <w:sz w:val="22"/>
                <w:szCs w:val="22"/>
              </w:rPr>
            </w:pPr>
            <w:r w:rsidRPr="00293550">
              <w:rPr>
                <w:sz w:val="22"/>
                <w:szCs w:val="22"/>
              </w:rPr>
              <w:t>$250 per hour spent by an officer for considering the application</w:t>
            </w:r>
          </w:p>
        </w:tc>
      </w:tr>
      <w:tr w:rsidR="00A22721" w:rsidRPr="00293550" w14:paraId="3A269E86" w14:textId="77777777" w:rsidTr="00672552">
        <w:trPr>
          <w:trHeight w:val="394"/>
        </w:trPr>
        <w:tc>
          <w:tcPr>
            <w:tcW w:w="704" w:type="dxa"/>
            <w:tcBorders>
              <w:top w:val="single" w:sz="2" w:space="0" w:color="auto"/>
              <w:bottom w:val="single" w:sz="2" w:space="0" w:color="auto"/>
            </w:tcBorders>
            <w:shd w:val="clear" w:color="auto" w:fill="auto"/>
          </w:tcPr>
          <w:p w14:paraId="49D5285B" w14:textId="2A7F6845" w:rsidR="00A22721" w:rsidRPr="00293550" w:rsidRDefault="00A22721" w:rsidP="00A22721">
            <w:pPr>
              <w:pStyle w:val="Tabletext"/>
              <w:spacing w:after="240"/>
              <w:rPr>
                <w:sz w:val="22"/>
                <w:szCs w:val="22"/>
              </w:rPr>
            </w:pPr>
            <w:r w:rsidRPr="00293550">
              <w:rPr>
                <w:sz w:val="22"/>
                <w:szCs w:val="22"/>
              </w:rPr>
              <w:t>5</w:t>
            </w:r>
          </w:p>
        </w:tc>
        <w:tc>
          <w:tcPr>
            <w:tcW w:w="2018" w:type="dxa"/>
            <w:tcBorders>
              <w:top w:val="single" w:sz="2" w:space="0" w:color="auto"/>
              <w:bottom w:val="single" w:sz="2" w:space="0" w:color="auto"/>
            </w:tcBorders>
          </w:tcPr>
          <w:p w14:paraId="1BA17D4A" w14:textId="55017D38" w:rsidR="00A22721" w:rsidRPr="00293550" w:rsidRDefault="00A22721" w:rsidP="00A22721">
            <w:pPr>
              <w:pStyle w:val="Tabletext"/>
              <w:spacing w:after="240"/>
              <w:rPr>
                <w:sz w:val="22"/>
                <w:szCs w:val="22"/>
              </w:rPr>
            </w:pPr>
            <w:r w:rsidRPr="00293550">
              <w:rPr>
                <w:sz w:val="22"/>
                <w:szCs w:val="22"/>
              </w:rPr>
              <w:t>Change of scope application fee</w:t>
            </w:r>
          </w:p>
        </w:tc>
        <w:tc>
          <w:tcPr>
            <w:tcW w:w="3969" w:type="dxa"/>
            <w:tcBorders>
              <w:top w:val="single" w:sz="2" w:space="0" w:color="auto"/>
              <w:bottom w:val="single" w:sz="2" w:space="0" w:color="auto"/>
            </w:tcBorders>
            <w:shd w:val="clear" w:color="auto" w:fill="auto"/>
          </w:tcPr>
          <w:p w14:paraId="117A02CE" w14:textId="36300A97" w:rsidR="00A22721" w:rsidRPr="00293550" w:rsidRDefault="00A22721" w:rsidP="00A22721">
            <w:pPr>
              <w:pStyle w:val="Tabletext"/>
              <w:spacing w:after="240"/>
              <w:rPr>
                <w:sz w:val="22"/>
                <w:szCs w:val="22"/>
              </w:rPr>
            </w:pPr>
            <w:r w:rsidRPr="00293550">
              <w:rPr>
                <w:sz w:val="22"/>
                <w:szCs w:val="22"/>
              </w:rPr>
              <w:t xml:space="preserve">Initial review and check of an application for change of scope of registration under </w:t>
            </w:r>
            <w:r w:rsidR="007B486B" w:rsidRPr="00293550">
              <w:rPr>
                <w:sz w:val="22"/>
                <w:szCs w:val="22"/>
              </w:rPr>
              <w:t>Division 2 of Part 2</w:t>
            </w:r>
            <w:r w:rsidRPr="00293550">
              <w:rPr>
                <w:sz w:val="22"/>
                <w:szCs w:val="22"/>
              </w:rPr>
              <w:t xml:space="preserve"> of the Act</w:t>
            </w:r>
          </w:p>
        </w:tc>
        <w:tc>
          <w:tcPr>
            <w:tcW w:w="1560" w:type="dxa"/>
            <w:tcBorders>
              <w:top w:val="single" w:sz="2" w:space="0" w:color="auto"/>
              <w:bottom w:val="single" w:sz="2" w:space="0" w:color="auto"/>
            </w:tcBorders>
            <w:shd w:val="clear" w:color="auto" w:fill="auto"/>
          </w:tcPr>
          <w:p w14:paraId="10CA40DA" w14:textId="3097947F" w:rsidR="00A22721" w:rsidRPr="00293550" w:rsidRDefault="00A22721" w:rsidP="00A22721">
            <w:pPr>
              <w:pStyle w:val="Tabletext"/>
              <w:spacing w:after="240"/>
              <w:rPr>
                <w:sz w:val="22"/>
                <w:szCs w:val="22"/>
              </w:rPr>
            </w:pPr>
            <w:r w:rsidRPr="00293550">
              <w:rPr>
                <w:sz w:val="22"/>
                <w:szCs w:val="22"/>
              </w:rPr>
              <w:t>$240</w:t>
            </w:r>
            <w:r w:rsidR="00EE4EDB" w:rsidRPr="00293550">
              <w:rPr>
                <w:sz w:val="22"/>
                <w:szCs w:val="22"/>
              </w:rPr>
              <w:t xml:space="preserve">, subject to section </w:t>
            </w:r>
            <w:r w:rsidR="00C4449D" w:rsidRPr="00293550">
              <w:rPr>
                <w:sz w:val="22"/>
                <w:szCs w:val="22"/>
              </w:rPr>
              <w:t>12</w:t>
            </w:r>
          </w:p>
        </w:tc>
      </w:tr>
      <w:tr w:rsidR="00A22721" w:rsidRPr="00293550" w14:paraId="6D7AE67B" w14:textId="77777777" w:rsidTr="00672552">
        <w:trPr>
          <w:trHeight w:val="394"/>
        </w:trPr>
        <w:tc>
          <w:tcPr>
            <w:tcW w:w="704" w:type="dxa"/>
            <w:tcBorders>
              <w:top w:val="single" w:sz="2" w:space="0" w:color="auto"/>
              <w:bottom w:val="single" w:sz="2" w:space="0" w:color="auto"/>
            </w:tcBorders>
            <w:shd w:val="clear" w:color="auto" w:fill="auto"/>
          </w:tcPr>
          <w:p w14:paraId="7A9CA815" w14:textId="3E840B32" w:rsidR="00A22721" w:rsidRPr="00293550" w:rsidRDefault="00A22721" w:rsidP="00A22721">
            <w:pPr>
              <w:pStyle w:val="Tabletext"/>
              <w:spacing w:after="240"/>
              <w:rPr>
                <w:sz w:val="22"/>
                <w:szCs w:val="22"/>
              </w:rPr>
            </w:pPr>
            <w:r w:rsidRPr="00293550">
              <w:rPr>
                <w:sz w:val="22"/>
                <w:szCs w:val="22"/>
              </w:rPr>
              <w:t>6</w:t>
            </w:r>
          </w:p>
        </w:tc>
        <w:tc>
          <w:tcPr>
            <w:tcW w:w="2018" w:type="dxa"/>
            <w:tcBorders>
              <w:top w:val="single" w:sz="2" w:space="0" w:color="auto"/>
              <w:bottom w:val="single" w:sz="2" w:space="0" w:color="auto"/>
            </w:tcBorders>
          </w:tcPr>
          <w:p w14:paraId="2CE29326" w14:textId="7C577FB1" w:rsidR="00A22721" w:rsidRPr="00293550" w:rsidRDefault="00A22721" w:rsidP="00A22721">
            <w:pPr>
              <w:pStyle w:val="Tabletext"/>
              <w:spacing w:after="240"/>
              <w:rPr>
                <w:sz w:val="22"/>
                <w:szCs w:val="22"/>
              </w:rPr>
            </w:pPr>
            <w:r w:rsidRPr="00293550">
              <w:rPr>
                <w:sz w:val="22"/>
                <w:szCs w:val="22"/>
              </w:rPr>
              <w:t>Change of scope assessment fee</w:t>
            </w:r>
          </w:p>
        </w:tc>
        <w:tc>
          <w:tcPr>
            <w:tcW w:w="3969" w:type="dxa"/>
            <w:tcBorders>
              <w:top w:val="single" w:sz="2" w:space="0" w:color="auto"/>
              <w:bottom w:val="single" w:sz="2" w:space="0" w:color="auto"/>
            </w:tcBorders>
            <w:shd w:val="clear" w:color="auto" w:fill="auto"/>
          </w:tcPr>
          <w:p w14:paraId="66E9303A" w14:textId="4228A647" w:rsidR="00A22721" w:rsidRPr="00293550" w:rsidRDefault="00A22721" w:rsidP="00A22721">
            <w:pPr>
              <w:pStyle w:val="Tabletext"/>
              <w:spacing w:after="240"/>
              <w:rPr>
                <w:sz w:val="22"/>
                <w:szCs w:val="22"/>
              </w:rPr>
            </w:pPr>
            <w:r w:rsidRPr="00293550">
              <w:rPr>
                <w:sz w:val="22"/>
                <w:szCs w:val="22"/>
              </w:rPr>
              <w:t xml:space="preserve">Consideration and notification of decision regarding an application for change of scope of registration under subsection </w:t>
            </w:r>
            <w:r w:rsidR="007B486B" w:rsidRPr="00293550">
              <w:rPr>
                <w:sz w:val="22"/>
                <w:szCs w:val="22"/>
              </w:rPr>
              <w:t>Division 2 of Part 2</w:t>
            </w:r>
            <w:r w:rsidRPr="00293550">
              <w:rPr>
                <w:sz w:val="22"/>
                <w:szCs w:val="22"/>
              </w:rPr>
              <w:t xml:space="preserve"> of the Act</w:t>
            </w:r>
          </w:p>
        </w:tc>
        <w:tc>
          <w:tcPr>
            <w:tcW w:w="1560" w:type="dxa"/>
            <w:tcBorders>
              <w:top w:val="single" w:sz="2" w:space="0" w:color="auto"/>
              <w:bottom w:val="single" w:sz="2" w:space="0" w:color="auto"/>
            </w:tcBorders>
            <w:shd w:val="clear" w:color="auto" w:fill="auto"/>
          </w:tcPr>
          <w:p w14:paraId="1AEC11FD" w14:textId="3AE817BA" w:rsidR="00A22721" w:rsidRPr="00293550" w:rsidRDefault="00A22721" w:rsidP="00A22721">
            <w:pPr>
              <w:pStyle w:val="Tabletext"/>
              <w:spacing w:after="240"/>
              <w:rPr>
                <w:sz w:val="22"/>
                <w:szCs w:val="22"/>
              </w:rPr>
            </w:pPr>
            <w:r w:rsidRPr="00293550">
              <w:rPr>
                <w:sz w:val="22"/>
                <w:szCs w:val="22"/>
              </w:rPr>
              <w:t>$250 per hour spent by an officer for assessing the application</w:t>
            </w:r>
            <w:r w:rsidR="00EE4EDB" w:rsidRPr="00293550">
              <w:rPr>
                <w:sz w:val="22"/>
                <w:szCs w:val="22"/>
              </w:rPr>
              <w:t xml:space="preserve">, subject to section </w:t>
            </w:r>
            <w:r w:rsidR="00C4449D" w:rsidRPr="00293550">
              <w:rPr>
                <w:sz w:val="22"/>
                <w:szCs w:val="22"/>
              </w:rPr>
              <w:t>12</w:t>
            </w:r>
          </w:p>
        </w:tc>
      </w:tr>
      <w:tr w:rsidR="00A22721" w:rsidRPr="00293550" w14:paraId="265267AA" w14:textId="77777777" w:rsidTr="00672552">
        <w:trPr>
          <w:trHeight w:val="394"/>
        </w:trPr>
        <w:tc>
          <w:tcPr>
            <w:tcW w:w="704" w:type="dxa"/>
            <w:tcBorders>
              <w:top w:val="single" w:sz="2" w:space="0" w:color="auto"/>
              <w:bottom w:val="single" w:sz="2" w:space="0" w:color="auto"/>
            </w:tcBorders>
            <w:shd w:val="clear" w:color="auto" w:fill="auto"/>
          </w:tcPr>
          <w:p w14:paraId="6BEED07A" w14:textId="1C4CF399" w:rsidR="00A22721" w:rsidRPr="00293550" w:rsidRDefault="00A22721" w:rsidP="00A22721">
            <w:pPr>
              <w:pStyle w:val="Tabletext"/>
              <w:spacing w:after="240"/>
              <w:rPr>
                <w:sz w:val="22"/>
                <w:szCs w:val="22"/>
              </w:rPr>
            </w:pPr>
            <w:r w:rsidRPr="00293550">
              <w:rPr>
                <w:sz w:val="22"/>
                <w:szCs w:val="22"/>
              </w:rPr>
              <w:t>7</w:t>
            </w:r>
          </w:p>
        </w:tc>
        <w:tc>
          <w:tcPr>
            <w:tcW w:w="2018" w:type="dxa"/>
            <w:tcBorders>
              <w:top w:val="single" w:sz="2" w:space="0" w:color="auto"/>
              <w:bottom w:val="single" w:sz="2" w:space="0" w:color="auto"/>
            </w:tcBorders>
          </w:tcPr>
          <w:p w14:paraId="62E7D600" w14:textId="56E2C87D" w:rsidR="00A22721" w:rsidRPr="00293550" w:rsidRDefault="00A22721" w:rsidP="00A22721">
            <w:pPr>
              <w:pStyle w:val="Tabletext"/>
              <w:spacing w:after="240"/>
              <w:rPr>
                <w:sz w:val="22"/>
                <w:szCs w:val="22"/>
              </w:rPr>
            </w:pPr>
            <w:r w:rsidRPr="00293550">
              <w:rPr>
                <w:sz w:val="22"/>
                <w:szCs w:val="22"/>
              </w:rPr>
              <w:t>Reassessment application fee</w:t>
            </w:r>
          </w:p>
        </w:tc>
        <w:tc>
          <w:tcPr>
            <w:tcW w:w="3969" w:type="dxa"/>
            <w:tcBorders>
              <w:top w:val="single" w:sz="2" w:space="0" w:color="auto"/>
              <w:bottom w:val="single" w:sz="2" w:space="0" w:color="auto"/>
            </w:tcBorders>
            <w:shd w:val="clear" w:color="auto" w:fill="auto"/>
          </w:tcPr>
          <w:p w14:paraId="43C0C2CB" w14:textId="74E30A4B" w:rsidR="00A22721" w:rsidRPr="00293550" w:rsidRDefault="00A22721" w:rsidP="00A22721">
            <w:pPr>
              <w:pStyle w:val="Tabletext"/>
              <w:spacing w:after="240"/>
              <w:rPr>
                <w:sz w:val="22"/>
                <w:szCs w:val="22"/>
              </w:rPr>
            </w:pPr>
            <w:r w:rsidRPr="00293550">
              <w:rPr>
                <w:sz w:val="22"/>
                <w:szCs w:val="22"/>
              </w:rPr>
              <w:t>Initial review and check of a request for reassessment under subsection 41 of the Act</w:t>
            </w:r>
          </w:p>
        </w:tc>
        <w:tc>
          <w:tcPr>
            <w:tcW w:w="1560" w:type="dxa"/>
            <w:tcBorders>
              <w:top w:val="single" w:sz="2" w:space="0" w:color="auto"/>
              <w:bottom w:val="single" w:sz="2" w:space="0" w:color="auto"/>
            </w:tcBorders>
            <w:shd w:val="clear" w:color="auto" w:fill="auto"/>
          </w:tcPr>
          <w:p w14:paraId="54FDC3EE" w14:textId="62664126" w:rsidR="00A22721" w:rsidRPr="00293550" w:rsidRDefault="00A22721" w:rsidP="00A22721">
            <w:pPr>
              <w:pStyle w:val="Tabletext"/>
              <w:spacing w:after="240"/>
              <w:rPr>
                <w:sz w:val="22"/>
                <w:szCs w:val="22"/>
              </w:rPr>
            </w:pPr>
            <w:r w:rsidRPr="00293550">
              <w:rPr>
                <w:sz w:val="22"/>
                <w:szCs w:val="22"/>
              </w:rPr>
              <w:t>$</w:t>
            </w:r>
            <w:r w:rsidR="001332A5" w:rsidRPr="00293550">
              <w:rPr>
                <w:sz w:val="22"/>
                <w:szCs w:val="22"/>
              </w:rPr>
              <w:t>1000</w:t>
            </w:r>
          </w:p>
        </w:tc>
      </w:tr>
      <w:tr w:rsidR="00A22721" w:rsidRPr="00293550" w14:paraId="1FDEF91E" w14:textId="77777777" w:rsidTr="00672552">
        <w:trPr>
          <w:trHeight w:val="394"/>
        </w:trPr>
        <w:tc>
          <w:tcPr>
            <w:tcW w:w="704" w:type="dxa"/>
            <w:tcBorders>
              <w:top w:val="nil"/>
              <w:bottom w:val="single" w:sz="18" w:space="0" w:color="auto"/>
            </w:tcBorders>
            <w:shd w:val="clear" w:color="auto" w:fill="auto"/>
          </w:tcPr>
          <w:p w14:paraId="1CC95364" w14:textId="3D8C0DB6" w:rsidR="00A22721" w:rsidRPr="00293550" w:rsidRDefault="00A22721" w:rsidP="00A22721">
            <w:pPr>
              <w:pStyle w:val="Tabletext"/>
              <w:spacing w:after="240"/>
              <w:rPr>
                <w:sz w:val="22"/>
                <w:szCs w:val="22"/>
              </w:rPr>
            </w:pPr>
            <w:r w:rsidRPr="00293550">
              <w:rPr>
                <w:sz w:val="22"/>
                <w:szCs w:val="22"/>
              </w:rPr>
              <w:lastRenderedPageBreak/>
              <w:t>8</w:t>
            </w:r>
          </w:p>
        </w:tc>
        <w:tc>
          <w:tcPr>
            <w:tcW w:w="2018" w:type="dxa"/>
            <w:tcBorders>
              <w:top w:val="nil"/>
              <w:bottom w:val="single" w:sz="18" w:space="0" w:color="auto"/>
            </w:tcBorders>
          </w:tcPr>
          <w:p w14:paraId="53DBF037" w14:textId="757C1804" w:rsidR="00A22721" w:rsidRPr="00293550" w:rsidRDefault="00A22721" w:rsidP="00A22721">
            <w:pPr>
              <w:pStyle w:val="Tabletext"/>
              <w:spacing w:after="240"/>
              <w:rPr>
                <w:sz w:val="22"/>
                <w:szCs w:val="22"/>
              </w:rPr>
            </w:pPr>
            <w:r w:rsidRPr="00293550">
              <w:rPr>
                <w:sz w:val="22"/>
                <w:szCs w:val="22"/>
              </w:rPr>
              <w:t>Reassessment assessment fee</w:t>
            </w:r>
          </w:p>
        </w:tc>
        <w:tc>
          <w:tcPr>
            <w:tcW w:w="3969" w:type="dxa"/>
            <w:tcBorders>
              <w:top w:val="nil"/>
              <w:bottom w:val="single" w:sz="18" w:space="0" w:color="auto"/>
            </w:tcBorders>
            <w:shd w:val="clear" w:color="auto" w:fill="auto"/>
          </w:tcPr>
          <w:p w14:paraId="7290D681" w14:textId="07DE3E27" w:rsidR="00A22721" w:rsidRPr="00293550" w:rsidRDefault="00A22721" w:rsidP="00A22721">
            <w:pPr>
              <w:pStyle w:val="Tabletext"/>
              <w:spacing w:after="240"/>
              <w:rPr>
                <w:sz w:val="22"/>
                <w:szCs w:val="22"/>
              </w:rPr>
            </w:pPr>
            <w:r w:rsidRPr="00293550">
              <w:rPr>
                <w:sz w:val="22"/>
                <w:szCs w:val="22"/>
              </w:rPr>
              <w:t>Considering a request for reassessment under subsection 41 of the Act</w:t>
            </w:r>
          </w:p>
        </w:tc>
        <w:tc>
          <w:tcPr>
            <w:tcW w:w="1560" w:type="dxa"/>
            <w:tcBorders>
              <w:top w:val="nil"/>
              <w:bottom w:val="single" w:sz="18" w:space="0" w:color="auto"/>
            </w:tcBorders>
            <w:shd w:val="clear" w:color="auto" w:fill="auto"/>
          </w:tcPr>
          <w:p w14:paraId="39820607" w14:textId="16618C15" w:rsidR="00A22721" w:rsidRPr="00293550" w:rsidRDefault="00A22721" w:rsidP="00A22721">
            <w:pPr>
              <w:pStyle w:val="Tabletext"/>
              <w:spacing w:after="240"/>
              <w:rPr>
                <w:sz w:val="22"/>
                <w:szCs w:val="22"/>
              </w:rPr>
            </w:pPr>
            <w:r w:rsidRPr="00293550">
              <w:rPr>
                <w:sz w:val="22"/>
                <w:szCs w:val="22"/>
              </w:rPr>
              <w:t>$250 per hour spent by an officer for considering the application</w:t>
            </w:r>
            <w:r w:rsidR="003D4C09" w:rsidRPr="00293550">
              <w:rPr>
                <w:sz w:val="22"/>
                <w:szCs w:val="22"/>
              </w:rPr>
              <w:t>, after the first four hours only</w:t>
            </w:r>
          </w:p>
        </w:tc>
      </w:tr>
    </w:tbl>
    <w:p w14:paraId="5C85EAB7" w14:textId="344FFE0C" w:rsidR="00217691" w:rsidRPr="00293550" w:rsidRDefault="00217691" w:rsidP="00217691">
      <w:pPr>
        <w:pStyle w:val="ActHead5"/>
      </w:pPr>
      <w:bookmarkStart w:id="13" w:name="_Toc100239484"/>
      <w:r w:rsidRPr="00293550">
        <w:t xml:space="preserve">7  Fees in relation to the performance of functions as an ESOS </w:t>
      </w:r>
      <w:r w:rsidR="005D3FD9" w:rsidRPr="00293550">
        <w:t>a</w:t>
      </w:r>
      <w:r w:rsidRPr="00293550">
        <w:t>gency</w:t>
      </w:r>
      <w:bookmarkEnd w:id="13"/>
      <w:r w:rsidRPr="00293550">
        <w:t xml:space="preserve"> </w:t>
      </w:r>
    </w:p>
    <w:p w14:paraId="188A47B9" w14:textId="5D9BBB4D" w:rsidR="00217691" w:rsidRPr="00293550" w:rsidRDefault="00217691" w:rsidP="00217691">
      <w:pPr>
        <w:pStyle w:val="subsection"/>
      </w:pPr>
      <w:r w:rsidRPr="00293550">
        <w:tab/>
      </w:r>
      <w:r w:rsidRPr="00293550">
        <w:tab/>
        <w:t>For the purposes of section 232(1) of the Act, the following table sets out the amounts of fees the National VET Regulator may charge for services the Regulator</w:t>
      </w:r>
      <w:r w:rsidR="005D3FD9" w:rsidRPr="00293550">
        <w:t xml:space="preserve"> provides</w:t>
      </w:r>
      <w:r w:rsidRPr="00293550">
        <w:t xml:space="preserve"> in performing</w:t>
      </w:r>
      <w:r w:rsidR="005D3FD9" w:rsidRPr="00293550">
        <w:t xml:space="preserve"> its</w:t>
      </w:r>
      <w:r w:rsidRPr="00293550">
        <w:t xml:space="preserve"> functions as an ESOS </w:t>
      </w:r>
      <w:r w:rsidR="005D3FD9" w:rsidRPr="00293550">
        <w:t>a</w:t>
      </w:r>
      <w:r w:rsidRPr="00293550">
        <w:t>gency.</w:t>
      </w:r>
    </w:p>
    <w:p w14:paraId="0BEE4FF7" w14:textId="77777777" w:rsidR="00217691" w:rsidRPr="00293550" w:rsidRDefault="00217691" w:rsidP="00217691">
      <w:pPr>
        <w:pStyle w:val="subsection"/>
      </w:pPr>
    </w:p>
    <w:tbl>
      <w:tblPr>
        <w:tblW w:w="833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1985"/>
        <w:gridCol w:w="3969"/>
        <w:gridCol w:w="1668"/>
      </w:tblGrid>
      <w:tr w:rsidR="00217691" w:rsidRPr="00293550" w14:paraId="1AA97CDB" w14:textId="77777777" w:rsidTr="00EE4EDB">
        <w:trPr>
          <w:trHeight w:val="403"/>
          <w:tblHeader/>
        </w:trPr>
        <w:tc>
          <w:tcPr>
            <w:tcW w:w="8331" w:type="dxa"/>
            <w:gridSpan w:val="4"/>
            <w:tcBorders>
              <w:top w:val="single" w:sz="18" w:space="0" w:color="auto"/>
              <w:bottom w:val="single" w:sz="18" w:space="0" w:color="auto"/>
            </w:tcBorders>
          </w:tcPr>
          <w:p w14:paraId="507E5C58" w14:textId="13365763" w:rsidR="00217691" w:rsidRPr="00293550" w:rsidRDefault="00217691" w:rsidP="00EE4EDB">
            <w:pPr>
              <w:pStyle w:val="TableHeading"/>
              <w:rPr>
                <w:sz w:val="22"/>
                <w:szCs w:val="22"/>
              </w:rPr>
            </w:pPr>
            <w:r w:rsidRPr="00293550">
              <w:rPr>
                <w:sz w:val="22"/>
                <w:szCs w:val="22"/>
              </w:rPr>
              <w:t xml:space="preserve">Table </w:t>
            </w:r>
            <w:r w:rsidR="00EE4EDB" w:rsidRPr="00293550">
              <w:rPr>
                <w:sz w:val="22"/>
                <w:szCs w:val="22"/>
              </w:rPr>
              <w:t>2</w:t>
            </w:r>
            <w:r w:rsidRPr="00293550">
              <w:rPr>
                <w:sz w:val="22"/>
                <w:szCs w:val="22"/>
              </w:rPr>
              <w:t xml:space="preserve"> - Fees in relation to the performance of</w:t>
            </w:r>
            <w:r w:rsidR="005D3FD9" w:rsidRPr="00293550">
              <w:rPr>
                <w:sz w:val="22"/>
                <w:szCs w:val="22"/>
              </w:rPr>
              <w:t xml:space="preserve"> </w:t>
            </w:r>
            <w:r w:rsidRPr="00293550">
              <w:rPr>
                <w:sz w:val="22"/>
                <w:szCs w:val="22"/>
              </w:rPr>
              <w:t xml:space="preserve">functions as an ESOS </w:t>
            </w:r>
            <w:r w:rsidR="005D3FD9" w:rsidRPr="00293550">
              <w:rPr>
                <w:sz w:val="22"/>
                <w:szCs w:val="22"/>
              </w:rPr>
              <w:t>a</w:t>
            </w:r>
            <w:r w:rsidRPr="00293550">
              <w:rPr>
                <w:sz w:val="22"/>
                <w:szCs w:val="22"/>
              </w:rPr>
              <w:t>gency</w:t>
            </w:r>
          </w:p>
        </w:tc>
      </w:tr>
      <w:tr w:rsidR="00217691" w:rsidRPr="00293550" w14:paraId="244704BD" w14:textId="77777777" w:rsidTr="00217691">
        <w:trPr>
          <w:trHeight w:val="401"/>
          <w:tblHeader/>
        </w:trPr>
        <w:tc>
          <w:tcPr>
            <w:tcW w:w="709" w:type="dxa"/>
            <w:tcBorders>
              <w:top w:val="single" w:sz="18" w:space="0" w:color="auto"/>
              <w:bottom w:val="single" w:sz="18" w:space="0" w:color="auto"/>
            </w:tcBorders>
            <w:shd w:val="clear" w:color="auto" w:fill="auto"/>
          </w:tcPr>
          <w:p w14:paraId="73278BB6" w14:textId="77777777" w:rsidR="00217691" w:rsidRPr="00293550" w:rsidRDefault="00217691" w:rsidP="00EE4EDB">
            <w:pPr>
              <w:pStyle w:val="TableHeading"/>
              <w:rPr>
                <w:sz w:val="22"/>
                <w:szCs w:val="22"/>
              </w:rPr>
            </w:pPr>
            <w:r w:rsidRPr="00293550">
              <w:rPr>
                <w:sz w:val="22"/>
                <w:szCs w:val="22"/>
              </w:rPr>
              <w:t>Item</w:t>
            </w:r>
          </w:p>
        </w:tc>
        <w:tc>
          <w:tcPr>
            <w:tcW w:w="1985" w:type="dxa"/>
            <w:tcBorders>
              <w:top w:val="single" w:sz="18" w:space="0" w:color="auto"/>
              <w:bottom w:val="single" w:sz="18" w:space="0" w:color="auto"/>
            </w:tcBorders>
          </w:tcPr>
          <w:p w14:paraId="4F27C11F" w14:textId="77777777" w:rsidR="00217691" w:rsidRPr="00293550" w:rsidRDefault="00217691" w:rsidP="00EE4EDB">
            <w:pPr>
              <w:pStyle w:val="TableHeading"/>
              <w:rPr>
                <w:sz w:val="22"/>
                <w:szCs w:val="22"/>
              </w:rPr>
            </w:pPr>
            <w:r w:rsidRPr="00293550">
              <w:rPr>
                <w:sz w:val="22"/>
                <w:szCs w:val="22"/>
              </w:rPr>
              <w:t>Fee name</w:t>
            </w:r>
          </w:p>
        </w:tc>
        <w:tc>
          <w:tcPr>
            <w:tcW w:w="3969" w:type="dxa"/>
            <w:tcBorders>
              <w:top w:val="single" w:sz="18" w:space="0" w:color="auto"/>
              <w:bottom w:val="single" w:sz="18" w:space="0" w:color="auto"/>
            </w:tcBorders>
            <w:shd w:val="clear" w:color="auto" w:fill="auto"/>
          </w:tcPr>
          <w:p w14:paraId="4328B3C7" w14:textId="77777777" w:rsidR="00217691" w:rsidRPr="00293550" w:rsidRDefault="00217691" w:rsidP="00EE4EDB">
            <w:pPr>
              <w:pStyle w:val="TableHeading"/>
              <w:rPr>
                <w:sz w:val="22"/>
                <w:szCs w:val="22"/>
              </w:rPr>
            </w:pPr>
            <w:r w:rsidRPr="00293550">
              <w:rPr>
                <w:sz w:val="22"/>
                <w:szCs w:val="22"/>
              </w:rPr>
              <w:t>Service provided</w:t>
            </w:r>
          </w:p>
        </w:tc>
        <w:tc>
          <w:tcPr>
            <w:tcW w:w="1668" w:type="dxa"/>
            <w:tcBorders>
              <w:top w:val="single" w:sz="18" w:space="0" w:color="auto"/>
              <w:bottom w:val="single" w:sz="18" w:space="0" w:color="auto"/>
            </w:tcBorders>
            <w:shd w:val="clear" w:color="auto" w:fill="auto"/>
          </w:tcPr>
          <w:p w14:paraId="0B85BA41" w14:textId="77777777" w:rsidR="00217691" w:rsidRPr="00293550" w:rsidRDefault="00217691" w:rsidP="00EE4EDB">
            <w:pPr>
              <w:pStyle w:val="TableHeading"/>
              <w:rPr>
                <w:sz w:val="22"/>
                <w:szCs w:val="22"/>
              </w:rPr>
            </w:pPr>
            <w:r w:rsidRPr="00293550">
              <w:rPr>
                <w:sz w:val="22"/>
                <w:szCs w:val="22"/>
              </w:rPr>
              <w:t>Amount</w:t>
            </w:r>
          </w:p>
        </w:tc>
      </w:tr>
      <w:tr w:rsidR="00217691" w:rsidRPr="00293550" w14:paraId="42D0350E" w14:textId="77777777" w:rsidTr="00217691">
        <w:trPr>
          <w:trHeight w:val="686"/>
        </w:trPr>
        <w:tc>
          <w:tcPr>
            <w:tcW w:w="709" w:type="dxa"/>
            <w:tcBorders>
              <w:top w:val="single" w:sz="18" w:space="0" w:color="auto"/>
            </w:tcBorders>
            <w:shd w:val="clear" w:color="auto" w:fill="auto"/>
          </w:tcPr>
          <w:p w14:paraId="538D982E" w14:textId="77777777" w:rsidR="00217691" w:rsidRPr="00293550" w:rsidRDefault="00217691" w:rsidP="00EE4EDB">
            <w:pPr>
              <w:pStyle w:val="Tabletext"/>
              <w:spacing w:after="240"/>
              <w:rPr>
                <w:sz w:val="22"/>
                <w:szCs w:val="22"/>
              </w:rPr>
            </w:pPr>
            <w:r w:rsidRPr="00293550">
              <w:rPr>
                <w:sz w:val="22"/>
                <w:szCs w:val="22"/>
              </w:rPr>
              <w:t>1</w:t>
            </w:r>
          </w:p>
        </w:tc>
        <w:tc>
          <w:tcPr>
            <w:tcW w:w="1985" w:type="dxa"/>
            <w:tcBorders>
              <w:top w:val="single" w:sz="18" w:space="0" w:color="auto"/>
            </w:tcBorders>
          </w:tcPr>
          <w:p w14:paraId="7A140E86" w14:textId="26C32DBC" w:rsidR="00217691" w:rsidRPr="00293550" w:rsidRDefault="00217691" w:rsidP="00EE4EDB">
            <w:pPr>
              <w:pStyle w:val="Tabletext"/>
              <w:spacing w:after="240"/>
              <w:rPr>
                <w:sz w:val="22"/>
                <w:szCs w:val="22"/>
              </w:rPr>
            </w:pPr>
            <w:r w:rsidRPr="00293550">
              <w:rPr>
                <w:sz w:val="22"/>
                <w:szCs w:val="22"/>
              </w:rPr>
              <w:t xml:space="preserve">Initial </w:t>
            </w:r>
            <w:r w:rsidR="000219C6" w:rsidRPr="00293550">
              <w:rPr>
                <w:sz w:val="22"/>
                <w:szCs w:val="22"/>
              </w:rPr>
              <w:t>r</w:t>
            </w:r>
            <w:r w:rsidRPr="00293550">
              <w:rPr>
                <w:sz w:val="22"/>
                <w:szCs w:val="22"/>
              </w:rPr>
              <w:t>egistration application fee</w:t>
            </w:r>
          </w:p>
        </w:tc>
        <w:tc>
          <w:tcPr>
            <w:tcW w:w="3969" w:type="dxa"/>
            <w:tcBorders>
              <w:top w:val="single" w:sz="18" w:space="0" w:color="auto"/>
            </w:tcBorders>
            <w:shd w:val="clear" w:color="auto" w:fill="auto"/>
          </w:tcPr>
          <w:p w14:paraId="6E7E2782" w14:textId="28BE44B0" w:rsidR="00217691" w:rsidRPr="00293550" w:rsidRDefault="00217691" w:rsidP="00EE4EDB">
            <w:pPr>
              <w:pStyle w:val="Tabletext"/>
              <w:spacing w:after="240"/>
              <w:rPr>
                <w:sz w:val="22"/>
                <w:szCs w:val="22"/>
              </w:rPr>
            </w:pPr>
            <w:r w:rsidRPr="00293550">
              <w:rPr>
                <w:sz w:val="22"/>
                <w:szCs w:val="22"/>
              </w:rPr>
              <w:t xml:space="preserve">Initial review and check of an application to be registered to provide a course or courses at a location or locations to overseas students under subsection 9(1) of the </w:t>
            </w:r>
            <w:r w:rsidR="008C511F" w:rsidRPr="00293550">
              <w:rPr>
                <w:bCs/>
                <w:i/>
                <w:sz w:val="22"/>
                <w:szCs w:val="22"/>
              </w:rPr>
              <w:t>Education Services for Overseas Students Act 2000</w:t>
            </w:r>
          </w:p>
        </w:tc>
        <w:tc>
          <w:tcPr>
            <w:tcW w:w="1668" w:type="dxa"/>
            <w:tcBorders>
              <w:top w:val="single" w:sz="18" w:space="0" w:color="auto"/>
            </w:tcBorders>
            <w:shd w:val="clear" w:color="auto" w:fill="auto"/>
          </w:tcPr>
          <w:p w14:paraId="78BE97BD" w14:textId="77777777" w:rsidR="00217691" w:rsidRPr="00293550" w:rsidRDefault="00217691" w:rsidP="00EE4EDB">
            <w:pPr>
              <w:pStyle w:val="Tabletext"/>
              <w:spacing w:after="240"/>
              <w:rPr>
                <w:sz w:val="22"/>
                <w:szCs w:val="22"/>
              </w:rPr>
            </w:pPr>
            <w:r w:rsidRPr="00293550">
              <w:rPr>
                <w:sz w:val="22"/>
                <w:szCs w:val="22"/>
              </w:rPr>
              <w:t>$600</w:t>
            </w:r>
          </w:p>
        </w:tc>
      </w:tr>
      <w:tr w:rsidR="00217691" w:rsidRPr="00293550" w14:paraId="0FF4A4FE" w14:textId="77777777" w:rsidTr="00217691">
        <w:trPr>
          <w:trHeight w:val="398"/>
        </w:trPr>
        <w:tc>
          <w:tcPr>
            <w:tcW w:w="709" w:type="dxa"/>
            <w:tcBorders>
              <w:top w:val="single" w:sz="2" w:space="0" w:color="auto"/>
              <w:bottom w:val="single" w:sz="2" w:space="0" w:color="auto"/>
            </w:tcBorders>
            <w:shd w:val="clear" w:color="auto" w:fill="auto"/>
          </w:tcPr>
          <w:p w14:paraId="48903C9E" w14:textId="77777777" w:rsidR="00217691" w:rsidRPr="00293550" w:rsidRDefault="00217691" w:rsidP="00EE4EDB">
            <w:pPr>
              <w:pStyle w:val="Tabletext"/>
              <w:spacing w:after="240"/>
              <w:rPr>
                <w:sz w:val="22"/>
                <w:szCs w:val="22"/>
              </w:rPr>
            </w:pPr>
            <w:r w:rsidRPr="00293550">
              <w:rPr>
                <w:sz w:val="22"/>
                <w:szCs w:val="22"/>
              </w:rPr>
              <w:t>2</w:t>
            </w:r>
          </w:p>
        </w:tc>
        <w:tc>
          <w:tcPr>
            <w:tcW w:w="1985" w:type="dxa"/>
            <w:tcBorders>
              <w:top w:val="single" w:sz="2" w:space="0" w:color="auto"/>
              <w:bottom w:val="single" w:sz="2" w:space="0" w:color="auto"/>
            </w:tcBorders>
          </w:tcPr>
          <w:p w14:paraId="60724DC4" w14:textId="265DE10A" w:rsidR="00217691" w:rsidRPr="00293550" w:rsidRDefault="00217691" w:rsidP="00EE4EDB">
            <w:pPr>
              <w:pStyle w:val="Tabletext"/>
              <w:spacing w:after="240"/>
              <w:rPr>
                <w:sz w:val="22"/>
                <w:szCs w:val="22"/>
              </w:rPr>
            </w:pPr>
            <w:r w:rsidRPr="00293550">
              <w:rPr>
                <w:sz w:val="22"/>
                <w:szCs w:val="22"/>
              </w:rPr>
              <w:t>Initial registration assessment fee</w:t>
            </w:r>
          </w:p>
        </w:tc>
        <w:tc>
          <w:tcPr>
            <w:tcW w:w="3969" w:type="dxa"/>
            <w:tcBorders>
              <w:top w:val="single" w:sz="2" w:space="0" w:color="auto"/>
              <w:bottom w:val="single" w:sz="2" w:space="0" w:color="auto"/>
            </w:tcBorders>
            <w:shd w:val="clear" w:color="auto" w:fill="auto"/>
          </w:tcPr>
          <w:p w14:paraId="1C1E4646" w14:textId="7A8F12F2" w:rsidR="00217691" w:rsidRPr="00293550" w:rsidRDefault="00217691" w:rsidP="00EE4EDB">
            <w:pPr>
              <w:pStyle w:val="Tabletext"/>
              <w:spacing w:after="240"/>
              <w:rPr>
                <w:sz w:val="22"/>
                <w:szCs w:val="22"/>
              </w:rPr>
            </w:pPr>
            <w:r w:rsidRPr="00293550">
              <w:rPr>
                <w:sz w:val="22"/>
                <w:szCs w:val="22"/>
              </w:rPr>
              <w:t xml:space="preserve">Assessing an application to be registered to provide a course or courses at a location or locations to overseas students under subsection 9(1) of the </w:t>
            </w:r>
            <w:r w:rsidR="008C511F" w:rsidRPr="00293550">
              <w:rPr>
                <w:bCs/>
                <w:i/>
                <w:sz w:val="22"/>
                <w:szCs w:val="22"/>
              </w:rPr>
              <w:t>Education Services for Overseas Students Act 2000</w:t>
            </w:r>
          </w:p>
        </w:tc>
        <w:tc>
          <w:tcPr>
            <w:tcW w:w="1668" w:type="dxa"/>
            <w:tcBorders>
              <w:top w:val="single" w:sz="2" w:space="0" w:color="auto"/>
              <w:bottom w:val="single" w:sz="2" w:space="0" w:color="auto"/>
            </w:tcBorders>
            <w:shd w:val="clear" w:color="auto" w:fill="auto"/>
          </w:tcPr>
          <w:p w14:paraId="507ABEC0" w14:textId="77777777" w:rsidR="00217691" w:rsidRPr="00293550" w:rsidRDefault="00217691" w:rsidP="00EE4EDB">
            <w:pPr>
              <w:pStyle w:val="Tabletext"/>
              <w:spacing w:after="240"/>
              <w:rPr>
                <w:sz w:val="22"/>
                <w:szCs w:val="22"/>
              </w:rPr>
            </w:pPr>
            <w:r w:rsidRPr="00293550">
              <w:rPr>
                <w:sz w:val="22"/>
                <w:szCs w:val="22"/>
              </w:rPr>
              <w:t>$8,000</w:t>
            </w:r>
          </w:p>
        </w:tc>
      </w:tr>
      <w:tr w:rsidR="00217691" w:rsidRPr="00293550" w14:paraId="6CE40E8B" w14:textId="77777777" w:rsidTr="00217691">
        <w:trPr>
          <w:trHeight w:val="398"/>
        </w:trPr>
        <w:tc>
          <w:tcPr>
            <w:tcW w:w="709" w:type="dxa"/>
            <w:tcBorders>
              <w:top w:val="single" w:sz="2" w:space="0" w:color="auto"/>
              <w:bottom w:val="single" w:sz="2" w:space="0" w:color="auto"/>
            </w:tcBorders>
            <w:shd w:val="clear" w:color="auto" w:fill="auto"/>
          </w:tcPr>
          <w:p w14:paraId="376A6490" w14:textId="77777777" w:rsidR="00217691" w:rsidRPr="00293550" w:rsidRDefault="00217691" w:rsidP="00EE4EDB">
            <w:pPr>
              <w:pStyle w:val="Tabletext"/>
              <w:spacing w:after="240"/>
              <w:rPr>
                <w:sz w:val="22"/>
                <w:szCs w:val="22"/>
              </w:rPr>
            </w:pPr>
            <w:r w:rsidRPr="00293550">
              <w:rPr>
                <w:sz w:val="22"/>
                <w:szCs w:val="22"/>
              </w:rPr>
              <w:t>3</w:t>
            </w:r>
          </w:p>
        </w:tc>
        <w:tc>
          <w:tcPr>
            <w:tcW w:w="1985" w:type="dxa"/>
            <w:tcBorders>
              <w:top w:val="single" w:sz="2" w:space="0" w:color="auto"/>
              <w:bottom w:val="single" w:sz="2" w:space="0" w:color="auto"/>
            </w:tcBorders>
          </w:tcPr>
          <w:p w14:paraId="07A0BC50" w14:textId="5DD6D7B5" w:rsidR="00217691" w:rsidRPr="00293550" w:rsidRDefault="00217691" w:rsidP="00EE4EDB">
            <w:pPr>
              <w:pStyle w:val="Tabletext"/>
              <w:spacing w:after="240"/>
              <w:rPr>
                <w:sz w:val="22"/>
                <w:szCs w:val="22"/>
              </w:rPr>
            </w:pPr>
            <w:r w:rsidRPr="00293550">
              <w:rPr>
                <w:sz w:val="22"/>
                <w:szCs w:val="22"/>
              </w:rPr>
              <w:t>Renewal of registration application fee</w:t>
            </w:r>
          </w:p>
        </w:tc>
        <w:tc>
          <w:tcPr>
            <w:tcW w:w="3969" w:type="dxa"/>
            <w:tcBorders>
              <w:top w:val="single" w:sz="2" w:space="0" w:color="auto"/>
              <w:bottom w:val="single" w:sz="2" w:space="0" w:color="auto"/>
            </w:tcBorders>
            <w:shd w:val="clear" w:color="auto" w:fill="auto"/>
          </w:tcPr>
          <w:p w14:paraId="3C64EDEE" w14:textId="1B425A4E" w:rsidR="00217691" w:rsidRPr="00293550" w:rsidRDefault="00217691" w:rsidP="00EE4EDB">
            <w:pPr>
              <w:pStyle w:val="Tabletext"/>
              <w:spacing w:after="240"/>
              <w:rPr>
                <w:sz w:val="22"/>
                <w:szCs w:val="22"/>
              </w:rPr>
            </w:pPr>
            <w:r w:rsidRPr="00293550">
              <w:rPr>
                <w:sz w:val="22"/>
                <w:szCs w:val="22"/>
              </w:rPr>
              <w:t xml:space="preserve">Initial review and check of an application to renew a provider’s registration under subsection 10D(1) of the </w:t>
            </w:r>
            <w:r w:rsidR="008C511F" w:rsidRPr="00293550">
              <w:rPr>
                <w:bCs/>
                <w:i/>
                <w:sz w:val="22"/>
                <w:szCs w:val="22"/>
              </w:rPr>
              <w:t>Education Services for Overseas Students Act 2000</w:t>
            </w:r>
          </w:p>
        </w:tc>
        <w:tc>
          <w:tcPr>
            <w:tcW w:w="1668" w:type="dxa"/>
            <w:tcBorders>
              <w:top w:val="single" w:sz="2" w:space="0" w:color="auto"/>
              <w:bottom w:val="single" w:sz="2" w:space="0" w:color="auto"/>
            </w:tcBorders>
            <w:shd w:val="clear" w:color="auto" w:fill="auto"/>
          </w:tcPr>
          <w:p w14:paraId="07088507" w14:textId="77777777" w:rsidR="00217691" w:rsidRPr="00293550" w:rsidRDefault="00217691" w:rsidP="00EE4EDB">
            <w:pPr>
              <w:pStyle w:val="Tabletext"/>
              <w:spacing w:after="240"/>
              <w:rPr>
                <w:sz w:val="22"/>
                <w:szCs w:val="22"/>
              </w:rPr>
            </w:pPr>
            <w:r w:rsidRPr="00293550">
              <w:rPr>
                <w:sz w:val="22"/>
                <w:szCs w:val="22"/>
              </w:rPr>
              <w:t>$320</w:t>
            </w:r>
          </w:p>
        </w:tc>
      </w:tr>
      <w:tr w:rsidR="00217691" w:rsidRPr="00293550" w14:paraId="2D831300" w14:textId="77777777" w:rsidTr="00217691">
        <w:trPr>
          <w:trHeight w:val="398"/>
        </w:trPr>
        <w:tc>
          <w:tcPr>
            <w:tcW w:w="709" w:type="dxa"/>
            <w:tcBorders>
              <w:top w:val="single" w:sz="2" w:space="0" w:color="auto"/>
              <w:bottom w:val="single" w:sz="2" w:space="0" w:color="auto"/>
            </w:tcBorders>
            <w:shd w:val="clear" w:color="auto" w:fill="auto"/>
          </w:tcPr>
          <w:p w14:paraId="040EE2C3" w14:textId="77777777" w:rsidR="00217691" w:rsidRPr="00293550" w:rsidRDefault="00217691" w:rsidP="00EE4EDB">
            <w:pPr>
              <w:pStyle w:val="Tabletext"/>
              <w:spacing w:after="240"/>
              <w:rPr>
                <w:sz w:val="22"/>
                <w:szCs w:val="22"/>
              </w:rPr>
            </w:pPr>
            <w:r w:rsidRPr="00293550">
              <w:rPr>
                <w:sz w:val="22"/>
                <w:szCs w:val="22"/>
              </w:rPr>
              <w:t>4</w:t>
            </w:r>
          </w:p>
        </w:tc>
        <w:tc>
          <w:tcPr>
            <w:tcW w:w="1985" w:type="dxa"/>
            <w:tcBorders>
              <w:top w:val="single" w:sz="2" w:space="0" w:color="auto"/>
              <w:bottom w:val="single" w:sz="2" w:space="0" w:color="auto"/>
            </w:tcBorders>
          </w:tcPr>
          <w:p w14:paraId="4A1DF47B" w14:textId="5B8F3608" w:rsidR="00217691" w:rsidRPr="00293550" w:rsidRDefault="00217691" w:rsidP="00EE4EDB">
            <w:pPr>
              <w:pStyle w:val="Tabletext"/>
              <w:spacing w:after="240"/>
              <w:rPr>
                <w:sz w:val="22"/>
                <w:szCs w:val="22"/>
              </w:rPr>
            </w:pPr>
            <w:r w:rsidRPr="00293550">
              <w:rPr>
                <w:sz w:val="22"/>
                <w:szCs w:val="22"/>
              </w:rPr>
              <w:t>Renewal of registration assessment fee</w:t>
            </w:r>
          </w:p>
        </w:tc>
        <w:tc>
          <w:tcPr>
            <w:tcW w:w="3969" w:type="dxa"/>
            <w:tcBorders>
              <w:top w:val="single" w:sz="2" w:space="0" w:color="auto"/>
              <w:bottom w:val="single" w:sz="2" w:space="0" w:color="auto"/>
            </w:tcBorders>
            <w:shd w:val="clear" w:color="auto" w:fill="auto"/>
          </w:tcPr>
          <w:p w14:paraId="7A3901E0" w14:textId="2018A6A0" w:rsidR="00217691" w:rsidRPr="00293550" w:rsidRDefault="00217691" w:rsidP="00EE4EDB">
            <w:pPr>
              <w:pStyle w:val="Tabletext"/>
              <w:spacing w:after="240"/>
              <w:rPr>
                <w:sz w:val="22"/>
                <w:szCs w:val="22"/>
              </w:rPr>
            </w:pPr>
            <w:r w:rsidRPr="00293550">
              <w:rPr>
                <w:sz w:val="22"/>
                <w:szCs w:val="22"/>
              </w:rPr>
              <w:t xml:space="preserve">Assessing an application to renew a provider’s registration under subsection 10D(1) of the </w:t>
            </w:r>
            <w:r w:rsidR="008C511F" w:rsidRPr="00293550">
              <w:rPr>
                <w:bCs/>
                <w:i/>
                <w:sz w:val="22"/>
                <w:szCs w:val="22"/>
              </w:rPr>
              <w:t>Education Services for Overseas Students Act 2000</w:t>
            </w:r>
          </w:p>
        </w:tc>
        <w:tc>
          <w:tcPr>
            <w:tcW w:w="1668" w:type="dxa"/>
            <w:tcBorders>
              <w:top w:val="single" w:sz="2" w:space="0" w:color="auto"/>
              <w:bottom w:val="single" w:sz="2" w:space="0" w:color="auto"/>
            </w:tcBorders>
            <w:shd w:val="clear" w:color="auto" w:fill="auto"/>
          </w:tcPr>
          <w:p w14:paraId="7809DD7E" w14:textId="77777777" w:rsidR="00217691" w:rsidRPr="00293550" w:rsidRDefault="00217691" w:rsidP="00EE4EDB">
            <w:pPr>
              <w:pStyle w:val="Tabletext"/>
              <w:spacing w:after="240"/>
              <w:rPr>
                <w:sz w:val="22"/>
                <w:szCs w:val="22"/>
              </w:rPr>
            </w:pPr>
            <w:r w:rsidRPr="00293550">
              <w:rPr>
                <w:sz w:val="22"/>
                <w:szCs w:val="22"/>
              </w:rPr>
              <w:t xml:space="preserve">$250 per hour spent by an officer for </w:t>
            </w:r>
            <w:r w:rsidRPr="00293550">
              <w:rPr>
                <w:sz w:val="22"/>
                <w:szCs w:val="22"/>
              </w:rPr>
              <w:lastRenderedPageBreak/>
              <w:t>considering the application</w:t>
            </w:r>
          </w:p>
        </w:tc>
      </w:tr>
      <w:tr w:rsidR="00217691" w:rsidRPr="00293550" w14:paraId="0A13A2C4" w14:textId="77777777" w:rsidTr="00217691">
        <w:trPr>
          <w:trHeight w:val="398"/>
        </w:trPr>
        <w:tc>
          <w:tcPr>
            <w:tcW w:w="709" w:type="dxa"/>
            <w:tcBorders>
              <w:top w:val="single" w:sz="2" w:space="0" w:color="auto"/>
              <w:bottom w:val="single" w:sz="2" w:space="0" w:color="auto"/>
            </w:tcBorders>
            <w:shd w:val="clear" w:color="auto" w:fill="auto"/>
          </w:tcPr>
          <w:p w14:paraId="187CB3F4" w14:textId="77777777" w:rsidR="00217691" w:rsidRPr="00293550" w:rsidRDefault="00217691" w:rsidP="00EE4EDB">
            <w:pPr>
              <w:pStyle w:val="Tabletext"/>
              <w:spacing w:after="240"/>
              <w:rPr>
                <w:sz w:val="22"/>
                <w:szCs w:val="22"/>
              </w:rPr>
            </w:pPr>
            <w:r w:rsidRPr="00293550">
              <w:rPr>
                <w:sz w:val="22"/>
                <w:szCs w:val="22"/>
              </w:rPr>
              <w:lastRenderedPageBreak/>
              <w:t>5</w:t>
            </w:r>
          </w:p>
        </w:tc>
        <w:tc>
          <w:tcPr>
            <w:tcW w:w="1985" w:type="dxa"/>
            <w:tcBorders>
              <w:top w:val="single" w:sz="2" w:space="0" w:color="auto"/>
              <w:bottom w:val="single" w:sz="2" w:space="0" w:color="auto"/>
            </w:tcBorders>
          </w:tcPr>
          <w:p w14:paraId="03106007" w14:textId="77777777" w:rsidR="00217691" w:rsidRPr="00293550" w:rsidRDefault="00217691" w:rsidP="00EE4EDB">
            <w:pPr>
              <w:pStyle w:val="Tabletext"/>
              <w:spacing w:after="240"/>
              <w:rPr>
                <w:sz w:val="22"/>
                <w:szCs w:val="22"/>
              </w:rPr>
            </w:pPr>
            <w:r w:rsidRPr="00293550">
              <w:rPr>
                <w:sz w:val="22"/>
                <w:szCs w:val="22"/>
              </w:rPr>
              <w:t>Application fee to add one or more courses</w:t>
            </w:r>
          </w:p>
        </w:tc>
        <w:tc>
          <w:tcPr>
            <w:tcW w:w="3969" w:type="dxa"/>
            <w:tcBorders>
              <w:top w:val="single" w:sz="2" w:space="0" w:color="auto"/>
              <w:bottom w:val="single" w:sz="2" w:space="0" w:color="auto"/>
            </w:tcBorders>
            <w:shd w:val="clear" w:color="auto" w:fill="auto"/>
          </w:tcPr>
          <w:p w14:paraId="26408B7E" w14:textId="6CBD1A2B" w:rsidR="00217691" w:rsidRPr="00293550" w:rsidRDefault="00217691" w:rsidP="00EE4EDB">
            <w:pPr>
              <w:pStyle w:val="Tabletext"/>
              <w:spacing w:after="240"/>
              <w:rPr>
                <w:sz w:val="22"/>
                <w:szCs w:val="22"/>
              </w:rPr>
            </w:pPr>
            <w:r w:rsidRPr="00293550">
              <w:rPr>
                <w:sz w:val="22"/>
                <w:szCs w:val="22"/>
              </w:rPr>
              <w:t xml:space="preserve">Initial review and check of an application to add one or more courses at one or more locations to the provider’s registration under subsection 10H(1) of the </w:t>
            </w:r>
            <w:r w:rsidR="008C511F" w:rsidRPr="00293550">
              <w:rPr>
                <w:bCs/>
                <w:i/>
                <w:sz w:val="22"/>
                <w:szCs w:val="22"/>
              </w:rPr>
              <w:t>Education Services for Overseas Students Act 2000</w:t>
            </w:r>
          </w:p>
        </w:tc>
        <w:tc>
          <w:tcPr>
            <w:tcW w:w="1668" w:type="dxa"/>
            <w:tcBorders>
              <w:top w:val="single" w:sz="2" w:space="0" w:color="auto"/>
              <w:bottom w:val="single" w:sz="2" w:space="0" w:color="auto"/>
            </w:tcBorders>
            <w:shd w:val="clear" w:color="auto" w:fill="auto"/>
          </w:tcPr>
          <w:p w14:paraId="153414EE" w14:textId="36158E54" w:rsidR="00217691" w:rsidRPr="00293550" w:rsidRDefault="00217691" w:rsidP="00EE4EDB">
            <w:pPr>
              <w:pStyle w:val="Tabletext"/>
              <w:spacing w:after="240"/>
              <w:rPr>
                <w:sz w:val="22"/>
                <w:szCs w:val="22"/>
              </w:rPr>
            </w:pPr>
            <w:r w:rsidRPr="00293550">
              <w:rPr>
                <w:sz w:val="22"/>
                <w:szCs w:val="22"/>
              </w:rPr>
              <w:t xml:space="preserve">$240, </w:t>
            </w:r>
            <w:r w:rsidR="00EE4EDB" w:rsidRPr="00293550">
              <w:rPr>
                <w:sz w:val="22"/>
                <w:szCs w:val="22"/>
              </w:rPr>
              <w:t>subject to</w:t>
            </w:r>
            <w:r w:rsidRPr="00293550">
              <w:rPr>
                <w:sz w:val="22"/>
                <w:szCs w:val="22"/>
              </w:rPr>
              <w:t xml:space="preserve"> section </w:t>
            </w:r>
            <w:r w:rsidR="006A0D15" w:rsidRPr="00293550">
              <w:rPr>
                <w:sz w:val="22"/>
                <w:szCs w:val="22"/>
              </w:rPr>
              <w:t>12</w:t>
            </w:r>
          </w:p>
        </w:tc>
      </w:tr>
      <w:tr w:rsidR="00217691" w:rsidRPr="00293550" w14:paraId="39FCE009" w14:textId="77777777" w:rsidTr="00217691">
        <w:trPr>
          <w:trHeight w:val="398"/>
        </w:trPr>
        <w:tc>
          <w:tcPr>
            <w:tcW w:w="709" w:type="dxa"/>
            <w:tcBorders>
              <w:top w:val="single" w:sz="2" w:space="0" w:color="auto"/>
              <w:bottom w:val="single" w:sz="18" w:space="0" w:color="auto"/>
            </w:tcBorders>
            <w:shd w:val="clear" w:color="auto" w:fill="auto"/>
          </w:tcPr>
          <w:p w14:paraId="2E57E470" w14:textId="77777777" w:rsidR="00217691" w:rsidRPr="00293550" w:rsidRDefault="00217691" w:rsidP="00EE4EDB">
            <w:pPr>
              <w:pStyle w:val="Tabletext"/>
              <w:spacing w:after="240"/>
              <w:rPr>
                <w:sz w:val="22"/>
                <w:szCs w:val="22"/>
              </w:rPr>
            </w:pPr>
            <w:r w:rsidRPr="00293550">
              <w:rPr>
                <w:sz w:val="22"/>
                <w:szCs w:val="22"/>
              </w:rPr>
              <w:t>6</w:t>
            </w:r>
          </w:p>
        </w:tc>
        <w:tc>
          <w:tcPr>
            <w:tcW w:w="1985" w:type="dxa"/>
            <w:tcBorders>
              <w:top w:val="single" w:sz="2" w:space="0" w:color="auto"/>
              <w:bottom w:val="single" w:sz="18" w:space="0" w:color="auto"/>
            </w:tcBorders>
          </w:tcPr>
          <w:p w14:paraId="7CE36F1B" w14:textId="77777777" w:rsidR="00217691" w:rsidRPr="00293550" w:rsidRDefault="00217691" w:rsidP="00EE4EDB">
            <w:pPr>
              <w:pStyle w:val="Tabletext"/>
              <w:spacing w:after="240"/>
              <w:rPr>
                <w:sz w:val="22"/>
                <w:szCs w:val="22"/>
              </w:rPr>
            </w:pPr>
            <w:r w:rsidRPr="00293550">
              <w:rPr>
                <w:sz w:val="22"/>
                <w:szCs w:val="22"/>
              </w:rPr>
              <w:t>Assessment fee to add one or more courses</w:t>
            </w:r>
          </w:p>
        </w:tc>
        <w:tc>
          <w:tcPr>
            <w:tcW w:w="3969" w:type="dxa"/>
            <w:tcBorders>
              <w:top w:val="single" w:sz="2" w:space="0" w:color="auto"/>
              <w:bottom w:val="single" w:sz="18" w:space="0" w:color="auto"/>
            </w:tcBorders>
            <w:shd w:val="clear" w:color="auto" w:fill="auto"/>
          </w:tcPr>
          <w:p w14:paraId="3C2A5785" w14:textId="74020813" w:rsidR="00217691" w:rsidRPr="00293550" w:rsidRDefault="00217691" w:rsidP="00EE4EDB">
            <w:pPr>
              <w:pStyle w:val="Tabletext"/>
              <w:spacing w:after="240"/>
              <w:rPr>
                <w:sz w:val="22"/>
                <w:szCs w:val="22"/>
              </w:rPr>
            </w:pPr>
            <w:r w:rsidRPr="00293550">
              <w:rPr>
                <w:sz w:val="22"/>
                <w:szCs w:val="22"/>
              </w:rPr>
              <w:t xml:space="preserve">Assessing an application to add one or more courses at one or more locations to the provider’s registration under subsection 10H(1) of the </w:t>
            </w:r>
            <w:r w:rsidR="008C511F" w:rsidRPr="00293550">
              <w:rPr>
                <w:bCs/>
                <w:i/>
                <w:sz w:val="22"/>
                <w:szCs w:val="22"/>
              </w:rPr>
              <w:t>Education Services for Overseas Students Act 2000</w:t>
            </w:r>
          </w:p>
        </w:tc>
        <w:tc>
          <w:tcPr>
            <w:tcW w:w="1668" w:type="dxa"/>
            <w:tcBorders>
              <w:top w:val="single" w:sz="2" w:space="0" w:color="auto"/>
              <w:bottom w:val="single" w:sz="18" w:space="0" w:color="auto"/>
            </w:tcBorders>
            <w:shd w:val="clear" w:color="auto" w:fill="auto"/>
          </w:tcPr>
          <w:p w14:paraId="3F6C54C5" w14:textId="57553CE2" w:rsidR="00217691" w:rsidRPr="00293550" w:rsidRDefault="00217691" w:rsidP="00EE4EDB">
            <w:pPr>
              <w:pStyle w:val="Tabletext"/>
              <w:spacing w:after="240"/>
              <w:rPr>
                <w:sz w:val="22"/>
                <w:szCs w:val="22"/>
              </w:rPr>
            </w:pPr>
            <w:r w:rsidRPr="00293550">
              <w:rPr>
                <w:sz w:val="22"/>
                <w:szCs w:val="22"/>
              </w:rPr>
              <w:t xml:space="preserve">$250 per hour spent by an officer for considering the application, </w:t>
            </w:r>
            <w:r w:rsidR="00EE4EDB" w:rsidRPr="00293550">
              <w:rPr>
                <w:sz w:val="22"/>
                <w:szCs w:val="22"/>
              </w:rPr>
              <w:t>subject to</w:t>
            </w:r>
            <w:r w:rsidRPr="00293550">
              <w:rPr>
                <w:sz w:val="22"/>
                <w:szCs w:val="22"/>
              </w:rPr>
              <w:t xml:space="preserve"> section </w:t>
            </w:r>
            <w:r w:rsidR="006A0D15" w:rsidRPr="00293550">
              <w:rPr>
                <w:sz w:val="22"/>
                <w:szCs w:val="22"/>
              </w:rPr>
              <w:t>12</w:t>
            </w:r>
          </w:p>
        </w:tc>
      </w:tr>
    </w:tbl>
    <w:p w14:paraId="2EA11D86" w14:textId="56591C8C" w:rsidR="0044615C" w:rsidRPr="00293550" w:rsidRDefault="00217691" w:rsidP="0044615C">
      <w:pPr>
        <w:pStyle w:val="ActHead5"/>
      </w:pPr>
      <w:bookmarkStart w:id="14" w:name="_Toc100239485"/>
      <w:r w:rsidRPr="00293550">
        <w:t>8</w:t>
      </w:r>
      <w:r w:rsidR="0044615C" w:rsidRPr="00293550">
        <w:t xml:space="preserve">  Fees in relation to the accreditation of a course as a VET accredited course</w:t>
      </w:r>
      <w:bookmarkEnd w:id="14"/>
    </w:p>
    <w:p w14:paraId="06859144" w14:textId="0F89BDA0" w:rsidR="00464395" w:rsidRPr="00293550" w:rsidRDefault="0044615C" w:rsidP="00E9344B">
      <w:pPr>
        <w:pStyle w:val="subsection"/>
      </w:pPr>
      <w:r w:rsidRPr="00293550">
        <w:tab/>
      </w:r>
      <w:r w:rsidRPr="00293550">
        <w:tab/>
        <w:t>For the purposes of subsection 232(1) of the Act,</w:t>
      </w:r>
      <w:r w:rsidR="001621D5" w:rsidRPr="00293550">
        <w:t xml:space="preserve"> the following table sets out</w:t>
      </w:r>
      <w:r w:rsidRPr="00293550">
        <w:t xml:space="preserve"> </w:t>
      </w:r>
      <w:r w:rsidR="006B2B0C" w:rsidRPr="00293550">
        <w:t xml:space="preserve">the </w:t>
      </w:r>
      <w:r w:rsidRPr="00293550">
        <w:t>amounts of fees the National VET Regulator may charge for services</w:t>
      </w:r>
      <w:r w:rsidR="005D3FD9" w:rsidRPr="00293550">
        <w:t xml:space="preserve"> the Regulator</w:t>
      </w:r>
      <w:r w:rsidRPr="00293550">
        <w:t xml:space="preserve"> provide</w:t>
      </w:r>
      <w:r w:rsidR="005D3FD9" w:rsidRPr="00293550">
        <w:t>s</w:t>
      </w:r>
      <w:r w:rsidRPr="00293550">
        <w:t xml:space="preserve"> in performing</w:t>
      </w:r>
      <w:r w:rsidR="005D3FD9" w:rsidRPr="00293550">
        <w:t xml:space="preserve"> its</w:t>
      </w:r>
      <w:r w:rsidRPr="00293550">
        <w:t xml:space="preserve"> functions to accredit</w:t>
      </w:r>
      <w:r w:rsidR="005D3FD9" w:rsidRPr="00293550">
        <w:t xml:space="preserve"> courses</w:t>
      </w:r>
      <w:r w:rsidRPr="00293550">
        <w:t xml:space="preserve"> </w:t>
      </w:r>
      <w:r w:rsidR="005D3FD9" w:rsidRPr="00293550">
        <w:t>as</w:t>
      </w:r>
      <w:r w:rsidRPr="00293550">
        <w:t xml:space="preserve"> VET</w:t>
      </w:r>
      <w:r w:rsidR="005D3FD9" w:rsidRPr="00293550">
        <w:t xml:space="preserve"> accredited</w:t>
      </w:r>
      <w:r w:rsidRPr="00293550">
        <w:t xml:space="preserve"> courses </w:t>
      </w:r>
      <w:r w:rsidR="00E9344B" w:rsidRPr="00293550">
        <w:br/>
      </w:r>
    </w:p>
    <w:tbl>
      <w:tblPr>
        <w:tblW w:w="825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1984"/>
        <w:gridCol w:w="4111"/>
        <w:gridCol w:w="1418"/>
      </w:tblGrid>
      <w:tr w:rsidR="005E6FEF" w:rsidRPr="00293550" w14:paraId="4EEE6407" w14:textId="77777777" w:rsidTr="005E6FEF">
        <w:trPr>
          <w:trHeight w:val="399"/>
          <w:tblHeader/>
        </w:trPr>
        <w:tc>
          <w:tcPr>
            <w:tcW w:w="8251" w:type="dxa"/>
            <w:gridSpan w:val="4"/>
            <w:tcBorders>
              <w:top w:val="single" w:sz="18" w:space="0" w:color="auto"/>
              <w:bottom w:val="single" w:sz="18" w:space="0" w:color="auto"/>
            </w:tcBorders>
          </w:tcPr>
          <w:p w14:paraId="771A81B1" w14:textId="3D7EDD4E" w:rsidR="005E6FEF" w:rsidRPr="00293550" w:rsidRDefault="005E6FEF" w:rsidP="00A333BE">
            <w:pPr>
              <w:pStyle w:val="TableHeading"/>
              <w:rPr>
                <w:sz w:val="22"/>
                <w:szCs w:val="22"/>
              </w:rPr>
            </w:pPr>
            <w:r w:rsidRPr="00293550">
              <w:rPr>
                <w:sz w:val="22"/>
                <w:szCs w:val="22"/>
              </w:rPr>
              <w:t xml:space="preserve">Table </w:t>
            </w:r>
            <w:r w:rsidR="00EE4EDB" w:rsidRPr="00293550">
              <w:rPr>
                <w:sz w:val="22"/>
                <w:szCs w:val="22"/>
              </w:rPr>
              <w:t>3</w:t>
            </w:r>
            <w:r w:rsidRPr="00293550">
              <w:rPr>
                <w:sz w:val="22"/>
                <w:szCs w:val="22"/>
              </w:rPr>
              <w:t xml:space="preserve"> - Fees in relation to the accreditation of a course as a VET accredited course</w:t>
            </w:r>
          </w:p>
        </w:tc>
      </w:tr>
      <w:tr w:rsidR="005E6FEF" w:rsidRPr="00293550" w14:paraId="789AF600" w14:textId="77777777" w:rsidTr="00672552">
        <w:trPr>
          <w:trHeight w:val="397"/>
          <w:tblHeader/>
        </w:trPr>
        <w:tc>
          <w:tcPr>
            <w:tcW w:w="738" w:type="dxa"/>
            <w:tcBorders>
              <w:top w:val="single" w:sz="18" w:space="0" w:color="auto"/>
              <w:bottom w:val="single" w:sz="18" w:space="0" w:color="auto"/>
            </w:tcBorders>
            <w:shd w:val="clear" w:color="auto" w:fill="auto"/>
          </w:tcPr>
          <w:p w14:paraId="2A803CC8" w14:textId="77777777" w:rsidR="005E6FEF" w:rsidRPr="00293550" w:rsidRDefault="005E6FEF" w:rsidP="00A333BE">
            <w:pPr>
              <w:pStyle w:val="TableHeading"/>
              <w:rPr>
                <w:sz w:val="22"/>
                <w:szCs w:val="22"/>
              </w:rPr>
            </w:pPr>
            <w:r w:rsidRPr="00293550">
              <w:rPr>
                <w:sz w:val="22"/>
                <w:szCs w:val="22"/>
              </w:rPr>
              <w:t>Item</w:t>
            </w:r>
          </w:p>
        </w:tc>
        <w:tc>
          <w:tcPr>
            <w:tcW w:w="1984" w:type="dxa"/>
            <w:tcBorders>
              <w:top w:val="single" w:sz="18" w:space="0" w:color="auto"/>
              <w:bottom w:val="single" w:sz="18" w:space="0" w:color="auto"/>
            </w:tcBorders>
          </w:tcPr>
          <w:p w14:paraId="0EFAE987" w14:textId="74D20A2E" w:rsidR="005E6FEF" w:rsidRPr="00293550" w:rsidRDefault="005E6FEF" w:rsidP="00993911">
            <w:pPr>
              <w:pStyle w:val="TableHeading"/>
              <w:ind w:right="322"/>
              <w:rPr>
                <w:sz w:val="22"/>
                <w:szCs w:val="22"/>
              </w:rPr>
            </w:pPr>
            <w:r w:rsidRPr="00293550">
              <w:rPr>
                <w:sz w:val="22"/>
                <w:szCs w:val="22"/>
              </w:rPr>
              <w:t>Fee name</w:t>
            </w:r>
          </w:p>
        </w:tc>
        <w:tc>
          <w:tcPr>
            <w:tcW w:w="4111" w:type="dxa"/>
            <w:tcBorders>
              <w:top w:val="single" w:sz="18" w:space="0" w:color="auto"/>
              <w:bottom w:val="single" w:sz="18" w:space="0" w:color="auto"/>
            </w:tcBorders>
            <w:shd w:val="clear" w:color="auto" w:fill="auto"/>
          </w:tcPr>
          <w:p w14:paraId="14A88F23" w14:textId="28EC5EBB" w:rsidR="005E6FEF" w:rsidRPr="00293550" w:rsidRDefault="005E6FEF" w:rsidP="00993911">
            <w:pPr>
              <w:pStyle w:val="TableHeading"/>
              <w:ind w:right="322"/>
              <w:rPr>
                <w:sz w:val="22"/>
                <w:szCs w:val="22"/>
              </w:rPr>
            </w:pPr>
            <w:r w:rsidRPr="00293550">
              <w:rPr>
                <w:sz w:val="22"/>
                <w:szCs w:val="22"/>
              </w:rPr>
              <w:t>Service provided</w:t>
            </w:r>
          </w:p>
        </w:tc>
        <w:tc>
          <w:tcPr>
            <w:tcW w:w="1418" w:type="dxa"/>
            <w:tcBorders>
              <w:top w:val="single" w:sz="18" w:space="0" w:color="auto"/>
              <w:bottom w:val="single" w:sz="18" w:space="0" w:color="auto"/>
            </w:tcBorders>
            <w:shd w:val="clear" w:color="auto" w:fill="auto"/>
          </w:tcPr>
          <w:p w14:paraId="2187FA53" w14:textId="4ABAA154" w:rsidR="005E6FEF" w:rsidRPr="00293550" w:rsidRDefault="005E6FEF" w:rsidP="00A333BE">
            <w:pPr>
              <w:pStyle w:val="TableHeading"/>
              <w:rPr>
                <w:sz w:val="22"/>
                <w:szCs w:val="22"/>
              </w:rPr>
            </w:pPr>
            <w:r w:rsidRPr="00293550">
              <w:rPr>
                <w:sz w:val="22"/>
                <w:szCs w:val="22"/>
              </w:rPr>
              <w:t>Amount</w:t>
            </w:r>
          </w:p>
        </w:tc>
      </w:tr>
      <w:tr w:rsidR="005E6FEF" w:rsidRPr="00293550" w14:paraId="1BB81CD3" w14:textId="77777777" w:rsidTr="00672552">
        <w:trPr>
          <w:trHeight w:val="678"/>
        </w:trPr>
        <w:tc>
          <w:tcPr>
            <w:tcW w:w="738" w:type="dxa"/>
            <w:tcBorders>
              <w:top w:val="single" w:sz="18" w:space="0" w:color="auto"/>
            </w:tcBorders>
            <w:shd w:val="clear" w:color="auto" w:fill="auto"/>
          </w:tcPr>
          <w:p w14:paraId="6BDC5283" w14:textId="77777777" w:rsidR="005E6FEF" w:rsidRPr="00293550" w:rsidRDefault="005E6FEF" w:rsidP="00464395">
            <w:pPr>
              <w:pStyle w:val="Tabletext"/>
              <w:spacing w:after="240"/>
              <w:rPr>
                <w:sz w:val="22"/>
                <w:szCs w:val="22"/>
              </w:rPr>
            </w:pPr>
            <w:r w:rsidRPr="00293550">
              <w:rPr>
                <w:sz w:val="22"/>
                <w:szCs w:val="22"/>
              </w:rPr>
              <w:t>1</w:t>
            </w:r>
          </w:p>
        </w:tc>
        <w:tc>
          <w:tcPr>
            <w:tcW w:w="1984" w:type="dxa"/>
            <w:tcBorders>
              <w:top w:val="single" w:sz="18" w:space="0" w:color="auto"/>
            </w:tcBorders>
          </w:tcPr>
          <w:p w14:paraId="3337528E" w14:textId="59B802A1" w:rsidR="005E6FEF" w:rsidRPr="00293550" w:rsidRDefault="005E6FEF" w:rsidP="00993911">
            <w:pPr>
              <w:pStyle w:val="Tabletext"/>
              <w:spacing w:after="240"/>
              <w:ind w:right="310"/>
              <w:rPr>
                <w:sz w:val="22"/>
                <w:szCs w:val="22"/>
              </w:rPr>
            </w:pPr>
            <w:r w:rsidRPr="00293550">
              <w:rPr>
                <w:sz w:val="22"/>
                <w:szCs w:val="22"/>
              </w:rPr>
              <w:t>Accreditation application fee</w:t>
            </w:r>
          </w:p>
        </w:tc>
        <w:tc>
          <w:tcPr>
            <w:tcW w:w="4111" w:type="dxa"/>
            <w:tcBorders>
              <w:top w:val="single" w:sz="18" w:space="0" w:color="auto"/>
            </w:tcBorders>
            <w:shd w:val="clear" w:color="auto" w:fill="auto"/>
          </w:tcPr>
          <w:p w14:paraId="7E5656CF" w14:textId="51151522" w:rsidR="005E6FEF" w:rsidRPr="00293550" w:rsidRDefault="005E6FEF" w:rsidP="00993911">
            <w:pPr>
              <w:pStyle w:val="Tabletext"/>
              <w:spacing w:after="240"/>
              <w:ind w:right="310"/>
              <w:rPr>
                <w:sz w:val="22"/>
                <w:szCs w:val="22"/>
              </w:rPr>
            </w:pPr>
            <w:r w:rsidRPr="00293550">
              <w:rPr>
                <w:sz w:val="22"/>
                <w:szCs w:val="22"/>
              </w:rPr>
              <w:t>Initial review and check of an application for accreditation of a course under section 43 of the Act</w:t>
            </w:r>
          </w:p>
        </w:tc>
        <w:tc>
          <w:tcPr>
            <w:tcW w:w="1418" w:type="dxa"/>
            <w:tcBorders>
              <w:top w:val="single" w:sz="18" w:space="0" w:color="auto"/>
            </w:tcBorders>
            <w:shd w:val="clear" w:color="auto" w:fill="auto"/>
          </w:tcPr>
          <w:p w14:paraId="514D40B4" w14:textId="633067F7" w:rsidR="005E6FEF" w:rsidRPr="00293550" w:rsidRDefault="005E6FEF" w:rsidP="00464395">
            <w:pPr>
              <w:pStyle w:val="Tabletext"/>
              <w:spacing w:after="240"/>
              <w:rPr>
                <w:sz w:val="22"/>
                <w:szCs w:val="22"/>
              </w:rPr>
            </w:pPr>
            <w:r w:rsidRPr="00293550">
              <w:rPr>
                <w:sz w:val="22"/>
                <w:szCs w:val="22"/>
              </w:rPr>
              <w:t xml:space="preserve">$1,100 </w:t>
            </w:r>
          </w:p>
        </w:tc>
      </w:tr>
      <w:tr w:rsidR="005E6FEF" w:rsidRPr="00293550" w14:paraId="2EA4799A" w14:textId="77777777" w:rsidTr="00672552">
        <w:trPr>
          <w:trHeight w:val="394"/>
        </w:trPr>
        <w:tc>
          <w:tcPr>
            <w:tcW w:w="738" w:type="dxa"/>
            <w:tcBorders>
              <w:top w:val="single" w:sz="2" w:space="0" w:color="auto"/>
              <w:bottom w:val="single" w:sz="2" w:space="0" w:color="auto"/>
            </w:tcBorders>
            <w:shd w:val="clear" w:color="auto" w:fill="auto"/>
          </w:tcPr>
          <w:p w14:paraId="01367F8E" w14:textId="77777777" w:rsidR="005E6FEF" w:rsidRPr="00293550" w:rsidRDefault="005E6FEF" w:rsidP="00464395">
            <w:pPr>
              <w:pStyle w:val="Tabletext"/>
              <w:spacing w:after="240"/>
              <w:rPr>
                <w:sz w:val="22"/>
                <w:szCs w:val="22"/>
              </w:rPr>
            </w:pPr>
            <w:r w:rsidRPr="00293550">
              <w:rPr>
                <w:sz w:val="22"/>
                <w:szCs w:val="22"/>
              </w:rPr>
              <w:t>2</w:t>
            </w:r>
          </w:p>
        </w:tc>
        <w:tc>
          <w:tcPr>
            <w:tcW w:w="1984" w:type="dxa"/>
            <w:tcBorders>
              <w:top w:val="single" w:sz="2" w:space="0" w:color="auto"/>
              <w:bottom w:val="single" w:sz="2" w:space="0" w:color="auto"/>
            </w:tcBorders>
          </w:tcPr>
          <w:p w14:paraId="4379853C" w14:textId="7904ADB7" w:rsidR="005E6FEF" w:rsidRPr="00293550" w:rsidRDefault="005E6FEF" w:rsidP="00993911">
            <w:pPr>
              <w:pStyle w:val="Tabletext"/>
              <w:spacing w:after="240"/>
              <w:ind w:right="310"/>
              <w:rPr>
                <w:sz w:val="22"/>
                <w:szCs w:val="22"/>
              </w:rPr>
            </w:pPr>
            <w:r w:rsidRPr="00293550">
              <w:rPr>
                <w:sz w:val="22"/>
                <w:szCs w:val="22"/>
              </w:rPr>
              <w:t>Accreditation assessment fee</w:t>
            </w:r>
          </w:p>
        </w:tc>
        <w:tc>
          <w:tcPr>
            <w:tcW w:w="4111" w:type="dxa"/>
            <w:tcBorders>
              <w:top w:val="single" w:sz="2" w:space="0" w:color="auto"/>
              <w:bottom w:val="single" w:sz="2" w:space="0" w:color="auto"/>
            </w:tcBorders>
            <w:shd w:val="clear" w:color="auto" w:fill="auto"/>
          </w:tcPr>
          <w:p w14:paraId="22C82734" w14:textId="7F545350" w:rsidR="005E6FEF" w:rsidRPr="00293550" w:rsidRDefault="005E6FEF" w:rsidP="00993911">
            <w:pPr>
              <w:pStyle w:val="Tabletext"/>
              <w:spacing w:after="240"/>
              <w:ind w:right="310"/>
              <w:rPr>
                <w:sz w:val="22"/>
                <w:szCs w:val="22"/>
              </w:rPr>
            </w:pPr>
            <w:r w:rsidRPr="00293550">
              <w:rPr>
                <w:sz w:val="22"/>
                <w:szCs w:val="22"/>
              </w:rPr>
              <w:t>Assessing an application for accreditation of a course under section 43 of the</w:t>
            </w:r>
            <w:r w:rsidR="00D82D06" w:rsidRPr="00293550">
              <w:rPr>
                <w:sz w:val="22"/>
                <w:szCs w:val="22"/>
              </w:rPr>
              <w:t> </w:t>
            </w:r>
            <w:r w:rsidRPr="00293550">
              <w:rPr>
                <w:sz w:val="22"/>
                <w:szCs w:val="22"/>
              </w:rPr>
              <w:t>Act</w:t>
            </w:r>
          </w:p>
        </w:tc>
        <w:tc>
          <w:tcPr>
            <w:tcW w:w="1418" w:type="dxa"/>
            <w:tcBorders>
              <w:top w:val="single" w:sz="2" w:space="0" w:color="auto"/>
              <w:bottom w:val="single" w:sz="2" w:space="0" w:color="auto"/>
            </w:tcBorders>
            <w:shd w:val="clear" w:color="auto" w:fill="auto"/>
          </w:tcPr>
          <w:p w14:paraId="7394CDB4" w14:textId="5E5DFE0E" w:rsidR="005E6FEF" w:rsidRPr="00293550" w:rsidRDefault="005E6FEF" w:rsidP="00464395">
            <w:pPr>
              <w:pStyle w:val="Tabletext"/>
              <w:spacing w:after="240"/>
              <w:rPr>
                <w:sz w:val="22"/>
                <w:szCs w:val="22"/>
              </w:rPr>
            </w:pPr>
            <w:r w:rsidRPr="00293550">
              <w:rPr>
                <w:sz w:val="22"/>
                <w:szCs w:val="22"/>
              </w:rPr>
              <w:t>$7,750</w:t>
            </w:r>
          </w:p>
        </w:tc>
      </w:tr>
      <w:tr w:rsidR="005E6FEF" w:rsidRPr="00293550" w14:paraId="6E67E5D6" w14:textId="77777777" w:rsidTr="00672552">
        <w:trPr>
          <w:trHeight w:val="394"/>
        </w:trPr>
        <w:tc>
          <w:tcPr>
            <w:tcW w:w="738" w:type="dxa"/>
            <w:tcBorders>
              <w:top w:val="single" w:sz="2" w:space="0" w:color="auto"/>
              <w:bottom w:val="single" w:sz="2" w:space="0" w:color="auto"/>
            </w:tcBorders>
            <w:shd w:val="clear" w:color="auto" w:fill="auto"/>
          </w:tcPr>
          <w:p w14:paraId="76D9C6E8" w14:textId="77777777" w:rsidR="005E6FEF" w:rsidRPr="00293550" w:rsidRDefault="005E6FEF" w:rsidP="00464395">
            <w:pPr>
              <w:pStyle w:val="Tabletext"/>
              <w:spacing w:after="240"/>
              <w:rPr>
                <w:sz w:val="22"/>
                <w:szCs w:val="22"/>
              </w:rPr>
            </w:pPr>
            <w:r w:rsidRPr="00293550">
              <w:rPr>
                <w:sz w:val="22"/>
                <w:szCs w:val="22"/>
              </w:rPr>
              <w:t>3</w:t>
            </w:r>
          </w:p>
        </w:tc>
        <w:tc>
          <w:tcPr>
            <w:tcW w:w="1984" w:type="dxa"/>
            <w:tcBorders>
              <w:top w:val="single" w:sz="2" w:space="0" w:color="auto"/>
              <w:bottom w:val="single" w:sz="2" w:space="0" w:color="auto"/>
            </w:tcBorders>
          </w:tcPr>
          <w:p w14:paraId="1D5C3E18" w14:textId="44D51EB2" w:rsidR="005E6FEF" w:rsidRPr="00293550" w:rsidRDefault="005E6FEF" w:rsidP="00993911">
            <w:pPr>
              <w:pStyle w:val="Tabletext"/>
              <w:spacing w:after="240"/>
              <w:ind w:right="310"/>
              <w:rPr>
                <w:sz w:val="22"/>
                <w:szCs w:val="22"/>
              </w:rPr>
            </w:pPr>
            <w:r w:rsidRPr="00293550">
              <w:rPr>
                <w:sz w:val="22"/>
                <w:szCs w:val="22"/>
              </w:rPr>
              <w:t>Renewal of accreditation application fee</w:t>
            </w:r>
          </w:p>
        </w:tc>
        <w:tc>
          <w:tcPr>
            <w:tcW w:w="4111" w:type="dxa"/>
            <w:tcBorders>
              <w:top w:val="single" w:sz="2" w:space="0" w:color="auto"/>
              <w:bottom w:val="single" w:sz="2" w:space="0" w:color="auto"/>
            </w:tcBorders>
            <w:shd w:val="clear" w:color="auto" w:fill="auto"/>
          </w:tcPr>
          <w:p w14:paraId="1BB0BACE" w14:textId="523A7F2C" w:rsidR="005E6FEF" w:rsidRPr="00293550" w:rsidRDefault="005E6FEF" w:rsidP="00993911">
            <w:pPr>
              <w:pStyle w:val="Tabletext"/>
              <w:spacing w:after="240"/>
              <w:ind w:right="310"/>
              <w:rPr>
                <w:sz w:val="22"/>
                <w:szCs w:val="22"/>
              </w:rPr>
            </w:pPr>
            <w:r w:rsidRPr="00293550">
              <w:rPr>
                <w:sz w:val="22"/>
                <w:szCs w:val="22"/>
              </w:rPr>
              <w:t>Initial review and check of an application for renewal of accreditation of a course under section 50 of the Act</w:t>
            </w:r>
          </w:p>
        </w:tc>
        <w:tc>
          <w:tcPr>
            <w:tcW w:w="1418" w:type="dxa"/>
            <w:tcBorders>
              <w:top w:val="single" w:sz="2" w:space="0" w:color="auto"/>
              <w:bottom w:val="single" w:sz="2" w:space="0" w:color="auto"/>
            </w:tcBorders>
            <w:shd w:val="clear" w:color="auto" w:fill="auto"/>
          </w:tcPr>
          <w:p w14:paraId="65FB2283" w14:textId="295AA58D" w:rsidR="005E6FEF" w:rsidRPr="00293550" w:rsidRDefault="005E6FEF" w:rsidP="00464395">
            <w:pPr>
              <w:pStyle w:val="Tabletext"/>
              <w:spacing w:after="240"/>
              <w:rPr>
                <w:sz w:val="22"/>
                <w:szCs w:val="22"/>
              </w:rPr>
            </w:pPr>
            <w:r w:rsidRPr="00293550">
              <w:rPr>
                <w:sz w:val="22"/>
                <w:szCs w:val="22"/>
              </w:rPr>
              <w:t>$1,100</w:t>
            </w:r>
          </w:p>
        </w:tc>
      </w:tr>
      <w:tr w:rsidR="005E6FEF" w:rsidRPr="00293550" w14:paraId="58977734" w14:textId="77777777" w:rsidTr="00672552">
        <w:trPr>
          <w:trHeight w:val="394"/>
        </w:trPr>
        <w:tc>
          <w:tcPr>
            <w:tcW w:w="738" w:type="dxa"/>
            <w:tcBorders>
              <w:top w:val="single" w:sz="2" w:space="0" w:color="auto"/>
              <w:bottom w:val="single" w:sz="2" w:space="0" w:color="auto"/>
            </w:tcBorders>
            <w:shd w:val="clear" w:color="auto" w:fill="auto"/>
          </w:tcPr>
          <w:p w14:paraId="22E93250" w14:textId="77777777" w:rsidR="005E6FEF" w:rsidRPr="00293550" w:rsidRDefault="005E6FEF" w:rsidP="00464395">
            <w:pPr>
              <w:pStyle w:val="Tabletext"/>
              <w:spacing w:after="240"/>
              <w:rPr>
                <w:sz w:val="22"/>
                <w:szCs w:val="22"/>
              </w:rPr>
            </w:pPr>
            <w:r w:rsidRPr="00293550">
              <w:rPr>
                <w:sz w:val="22"/>
                <w:szCs w:val="22"/>
              </w:rPr>
              <w:t>4</w:t>
            </w:r>
          </w:p>
        </w:tc>
        <w:tc>
          <w:tcPr>
            <w:tcW w:w="1984" w:type="dxa"/>
            <w:tcBorders>
              <w:top w:val="single" w:sz="2" w:space="0" w:color="auto"/>
              <w:bottom w:val="single" w:sz="2" w:space="0" w:color="auto"/>
            </w:tcBorders>
          </w:tcPr>
          <w:p w14:paraId="4868AC92" w14:textId="0B0E8C3C" w:rsidR="005E6FEF" w:rsidRPr="00293550" w:rsidRDefault="005E6FEF" w:rsidP="00993911">
            <w:pPr>
              <w:pStyle w:val="Tabletext"/>
              <w:spacing w:after="240"/>
              <w:ind w:right="310"/>
              <w:rPr>
                <w:sz w:val="22"/>
                <w:szCs w:val="22"/>
              </w:rPr>
            </w:pPr>
            <w:r w:rsidRPr="00293550">
              <w:rPr>
                <w:sz w:val="22"/>
                <w:szCs w:val="22"/>
              </w:rPr>
              <w:t>Renewal of accreditation assessment fee</w:t>
            </w:r>
          </w:p>
        </w:tc>
        <w:tc>
          <w:tcPr>
            <w:tcW w:w="4111" w:type="dxa"/>
            <w:tcBorders>
              <w:top w:val="single" w:sz="2" w:space="0" w:color="auto"/>
              <w:bottom w:val="single" w:sz="2" w:space="0" w:color="auto"/>
            </w:tcBorders>
            <w:shd w:val="clear" w:color="auto" w:fill="auto"/>
          </w:tcPr>
          <w:p w14:paraId="673BEC5E" w14:textId="53BEDF51" w:rsidR="005E6FEF" w:rsidRPr="00293550" w:rsidRDefault="005E6FEF" w:rsidP="00993911">
            <w:pPr>
              <w:pStyle w:val="Tabletext"/>
              <w:spacing w:after="240"/>
              <w:ind w:right="310"/>
              <w:rPr>
                <w:sz w:val="22"/>
                <w:szCs w:val="22"/>
              </w:rPr>
            </w:pPr>
            <w:r w:rsidRPr="00293550">
              <w:rPr>
                <w:sz w:val="22"/>
                <w:szCs w:val="22"/>
              </w:rPr>
              <w:t>Assessing an application for renewal of accreditation of a course under section 50 of the Act</w:t>
            </w:r>
          </w:p>
        </w:tc>
        <w:tc>
          <w:tcPr>
            <w:tcW w:w="1418" w:type="dxa"/>
            <w:tcBorders>
              <w:top w:val="single" w:sz="2" w:space="0" w:color="auto"/>
              <w:bottom w:val="single" w:sz="2" w:space="0" w:color="auto"/>
            </w:tcBorders>
            <w:shd w:val="clear" w:color="auto" w:fill="auto"/>
          </w:tcPr>
          <w:p w14:paraId="00E7D307" w14:textId="7E3BEF49" w:rsidR="005E6FEF" w:rsidRPr="00293550" w:rsidRDefault="005E6FEF" w:rsidP="00464395">
            <w:pPr>
              <w:pStyle w:val="Tabletext"/>
              <w:spacing w:after="240"/>
              <w:rPr>
                <w:sz w:val="22"/>
                <w:szCs w:val="22"/>
              </w:rPr>
            </w:pPr>
            <w:r w:rsidRPr="00293550">
              <w:rPr>
                <w:sz w:val="22"/>
                <w:szCs w:val="22"/>
              </w:rPr>
              <w:t>$7,750</w:t>
            </w:r>
          </w:p>
        </w:tc>
      </w:tr>
      <w:tr w:rsidR="00EE4EDB" w:rsidRPr="00293550" w14:paraId="2E6BE6ED" w14:textId="77777777" w:rsidTr="00672552">
        <w:trPr>
          <w:trHeight w:val="394"/>
        </w:trPr>
        <w:tc>
          <w:tcPr>
            <w:tcW w:w="738" w:type="dxa"/>
            <w:tcBorders>
              <w:top w:val="single" w:sz="2" w:space="0" w:color="auto"/>
              <w:bottom w:val="single" w:sz="18" w:space="0" w:color="auto"/>
            </w:tcBorders>
            <w:shd w:val="clear" w:color="auto" w:fill="auto"/>
          </w:tcPr>
          <w:p w14:paraId="0584EEFE" w14:textId="4303DE64" w:rsidR="00EE4EDB" w:rsidRPr="00293550" w:rsidRDefault="00EE4EDB" w:rsidP="00EE4EDB">
            <w:pPr>
              <w:pStyle w:val="Tabletext"/>
              <w:spacing w:after="240"/>
              <w:rPr>
                <w:sz w:val="22"/>
                <w:szCs w:val="22"/>
              </w:rPr>
            </w:pPr>
            <w:r w:rsidRPr="00293550">
              <w:rPr>
                <w:sz w:val="22"/>
                <w:szCs w:val="22"/>
              </w:rPr>
              <w:lastRenderedPageBreak/>
              <w:t>5</w:t>
            </w:r>
          </w:p>
        </w:tc>
        <w:tc>
          <w:tcPr>
            <w:tcW w:w="1984" w:type="dxa"/>
            <w:tcBorders>
              <w:top w:val="single" w:sz="2" w:space="0" w:color="auto"/>
              <w:bottom w:val="single" w:sz="18" w:space="0" w:color="auto"/>
            </w:tcBorders>
          </w:tcPr>
          <w:p w14:paraId="619A7E4A" w14:textId="06776ACA" w:rsidR="00EE4EDB" w:rsidRPr="00293550" w:rsidRDefault="00EE4EDB" w:rsidP="00EE4EDB">
            <w:pPr>
              <w:pStyle w:val="Tabletext"/>
              <w:spacing w:after="240"/>
              <w:ind w:right="310"/>
              <w:rPr>
                <w:sz w:val="22"/>
                <w:szCs w:val="22"/>
              </w:rPr>
            </w:pPr>
            <w:r w:rsidRPr="00293550">
              <w:rPr>
                <w:sz w:val="22"/>
                <w:szCs w:val="22"/>
              </w:rPr>
              <w:t>Accreditation amendment fee</w:t>
            </w:r>
          </w:p>
        </w:tc>
        <w:tc>
          <w:tcPr>
            <w:tcW w:w="4111" w:type="dxa"/>
            <w:tcBorders>
              <w:top w:val="single" w:sz="2" w:space="0" w:color="auto"/>
              <w:bottom w:val="single" w:sz="18" w:space="0" w:color="auto"/>
            </w:tcBorders>
            <w:shd w:val="clear" w:color="auto" w:fill="auto"/>
          </w:tcPr>
          <w:p w14:paraId="57D141C4" w14:textId="35E85A7D" w:rsidR="00EE4EDB" w:rsidRPr="00293550" w:rsidRDefault="00EE4EDB" w:rsidP="00EE4EDB">
            <w:pPr>
              <w:pStyle w:val="Tabletext"/>
              <w:spacing w:after="240"/>
              <w:ind w:right="310"/>
              <w:rPr>
                <w:sz w:val="22"/>
                <w:szCs w:val="22"/>
              </w:rPr>
            </w:pPr>
            <w:r w:rsidRPr="00293550">
              <w:rPr>
                <w:sz w:val="22"/>
                <w:szCs w:val="22"/>
              </w:rPr>
              <w:t xml:space="preserve">Amending an accredited course under </w:t>
            </w:r>
            <w:r w:rsidR="00F17F87" w:rsidRPr="00293550">
              <w:rPr>
                <w:sz w:val="22"/>
                <w:szCs w:val="22"/>
              </w:rPr>
              <w:t xml:space="preserve">section </w:t>
            </w:r>
            <w:r w:rsidRPr="00293550">
              <w:rPr>
                <w:sz w:val="22"/>
                <w:szCs w:val="22"/>
              </w:rPr>
              <w:t xml:space="preserve">51 of the Act </w:t>
            </w:r>
          </w:p>
        </w:tc>
        <w:tc>
          <w:tcPr>
            <w:tcW w:w="1418" w:type="dxa"/>
            <w:tcBorders>
              <w:top w:val="single" w:sz="2" w:space="0" w:color="auto"/>
              <w:bottom w:val="single" w:sz="18" w:space="0" w:color="auto"/>
            </w:tcBorders>
            <w:shd w:val="clear" w:color="auto" w:fill="auto"/>
          </w:tcPr>
          <w:p w14:paraId="11D4DE96" w14:textId="2B95D301" w:rsidR="00EE4EDB" w:rsidRPr="00293550" w:rsidRDefault="00EE4EDB" w:rsidP="00EE4EDB">
            <w:pPr>
              <w:pStyle w:val="Tabletext"/>
              <w:spacing w:after="240"/>
              <w:rPr>
                <w:sz w:val="22"/>
                <w:szCs w:val="22"/>
              </w:rPr>
            </w:pPr>
            <w:r w:rsidRPr="00293550">
              <w:rPr>
                <w:sz w:val="22"/>
                <w:szCs w:val="22"/>
              </w:rPr>
              <w:t>$1,145</w:t>
            </w:r>
          </w:p>
        </w:tc>
      </w:tr>
    </w:tbl>
    <w:p w14:paraId="413669D3" w14:textId="2756A536" w:rsidR="00EE4EDB" w:rsidRPr="00293550" w:rsidRDefault="00EE4EDB" w:rsidP="00EE4EDB">
      <w:pPr>
        <w:pStyle w:val="ActHead5"/>
      </w:pPr>
      <w:bookmarkStart w:id="15" w:name="_Toc100239486"/>
      <w:r w:rsidRPr="00293550">
        <w:t>9  Fee</w:t>
      </w:r>
      <w:r w:rsidR="00F70399" w:rsidRPr="00293550">
        <w:t>s</w:t>
      </w:r>
      <w:r w:rsidRPr="00293550">
        <w:t xml:space="preserve"> in relation to applications for reconsideration of decisions</w:t>
      </w:r>
      <w:bookmarkEnd w:id="15"/>
      <w:r w:rsidRPr="00293550">
        <w:t xml:space="preserve"> </w:t>
      </w:r>
    </w:p>
    <w:p w14:paraId="1F977395" w14:textId="264F794D" w:rsidR="00A64432" w:rsidRPr="00293550" w:rsidRDefault="00EE4EDB" w:rsidP="00EE4EDB">
      <w:pPr>
        <w:pStyle w:val="subsection"/>
        <w:rPr>
          <w:szCs w:val="22"/>
        </w:rPr>
      </w:pPr>
      <w:r w:rsidRPr="00293550">
        <w:rPr>
          <w:szCs w:val="22"/>
        </w:rPr>
        <w:tab/>
      </w:r>
      <w:r w:rsidRPr="00293550">
        <w:rPr>
          <w:szCs w:val="22"/>
        </w:rPr>
        <w:tab/>
        <w:t xml:space="preserve">For the purposes of subsection 232(1) of the Act, the amount of fees the National VET Regulator may charge for applications for reconsideration of decisions under section 200 of the Act is $1,000. </w:t>
      </w:r>
    </w:p>
    <w:p w14:paraId="0622AFC6" w14:textId="77777777" w:rsidR="00A64432" w:rsidRPr="00293550" w:rsidRDefault="00A64432">
      <w:pPr>
        <w:spacing w:line="240" w:lineRule="auto"/>
        <w:rPr>
          <w:rFonts w:eastAsia="Times New Roman" w:cs="Times New Roman"/>
          <w:szCs w:val="22"/>
          <w:lang w:eastAsia="en-AU"/>
        </w:rPr>
      </w:pPr>
      <w:r w:rsidRPr="00293550">
        <w:rPr>
          <w:szCs w:val="22"/>
        </w:rPr>
        <w:br w:type="page"/>
      </w:r>
    </w:p>
    <w:p w14:paraId="6DB72717" w14:textId="61DA1FA5" w:rsidR="00ED307E" w:rsidRPr="00293550" w:rsidRDefault="00ED307E" w:rsidP="00EE4EDB">
      <w:pPr>
        <w:pStyle w:val="ActHead2"/>
      </w:pPr>
      <w:bookmarkStart w:id="16" w:name="_Toc100239487"/>
      <w:r w:rsidRPr="00293550">
        <w:lastRenderedPageBreak/>
        <w:t>Part 3—Waiver of fees</w:t>
      </w:r>
      <w:bookmarkEnd w:id="16"/>
    </w:p>
    <w:p w14:paraId="3B1890D1" w14:textId="51B4ED2F" w:rsidR="00ED307E" w:rsidRPr="00293550" w:rsidRDefault="00683C65" w:rsidP="00ED307E">
      <w:pPr>
        <w:pStyle w:val="ActHead5"/>
      </w:pPr>
      <w:bookmarkStart w:id="17" w:name="_Toc100239488"/>
      <w:r w:rsidRPr="00293550">
        <w:t>10</w:t>
      </w:r>
      <w:r w:rsidR="00ED307E" w:rsidRPr="00293550">
        <w:t xml:space="preserve">  Application of Part</w:t>
      </w:r>
      <w:bookmarkEnd w:id="17"/>
      <w:r w:rsidR="00ED307E" w:rsidRPr="00293550">
        <w:t xml:space="preserve"> </w:t>
      </w:r>
    </w:p>
    <w:p w14:paraId="162953E4" w14:textId="2228DAB0" w:rsidR="00ED307E" w:rsidRPr="00293550" w:rsidRDefault="00ED307E" w:rsidP="00ED307E">
      <w:pPr>
        <w:pStyle w:val="subsection"/>
        <w:rPr>
          <w:szCs w:val="22"/>
        </w:rPr>
      </w:pPr>
      <w:r w:rsidRPr="00293550">
        <w:rPr>
          <w:szCs w:val="22"/>
        </w:rPr>
        <w:tab/>
        <w:t>(1)</w:t>
      </w:r>
      <w:r w:rsidRPr="00293550">
        <w:rPr>
          <w:szCs w:val="22"/>
        </w:rPr>
        <w:tab/>
        <w:t>This Part applies for the purposes of paragraph 232(5)(c) of the Act.</w:t>
      </w:r>
    </w:p>
    <w:p w14:paraId="4A8412DE" w14:textId="5985333A" w:rsidR="00ED307E" w:rsidRPr="00293550" w:rsidRDefault="00683C65" w:rsidP="00ED307E">
      <w:pPr>
        <w:pStyle w:val="ActHead5"/>
      </w:pPr>
      <w:bookmarkStart w:id="18" w:name="_Toc100239489"/>
      <w:r w:rsidRPr="00293550">
        <w:t>11</w:t>
      </w:r>
      <w:r w:rsidR="00945E75" w:rsidRPr="00293550">
        <w:t xml:space="preserve"> </w:t>
      </w:r>
      <w:r w:rsidR="00ED307E" w:rsidRPr="00293550">
        <w:t xml:space="preserve"> Withdrawal of application</w:t>
      </w:r>
      <w:bookmarkEnd w:id="18"/>
    </w:p>
    <w:p w14:paraId="47D49B9A" w14:textId="0D6349D3" w:rsidR="00ED307E" w:rsidRPr="00293550" w:rsidRDefault="00ED307E" w:rsidP="00ED307E">
      <w:pPr>
        <w:pStyle w:val="subsection"/>
        <w:rPr>
          <w:szCs w:val="22"/>
        </w:rPr>
      </w:pPr>
      <w:r w:rsidRPr="00293550">
        <w:rPr>
          <w:szCs w:val="22"/>
        </w:rPr>
        <w:tab/>
        <w:t>(1)</w:t>
      </w:r>
      <w:r w:rsidRPr="00293550">
        <w:rPr>
          <w:szCs w:val="22"/>
        </w:rPr>
        <w:tab/>
        <w:t>If:</w:t>
      </w:r>
    </w:p>
    <w:p w14:paraId="42622B54" w14:textId="660B26E3" w:rsidR="00ED307E" w:rsidRPr="00293550" w:rsidRDefault="00ED307E" w:rsidP="00ED307E">
      <w:pPr>
        <w:pStyle w:val="paragraph"/>
        <w:rPr>
          <w:szCs w:val="22"/>
        </w:rPr>
      </w:pPr>
      <w:r w:rsidRPr="00293550">
        <w:rPr>
          <w:szCs w:val="22"/>
        </w:rPr>
        <w:tab/>
        <w:t>(a)</w:t>
      </w:r>
      <w:r w:rsidRPr="00293550">
        <w:rPr>
          <w:szCs w:val="22"/>
        </w:rPr>
        <w:tab/>
        <w:t xml:space="preserve">a person makes an application to the National VET Regulator under the Act or the </w:t>
      </w:r>
      <w:r w:rsidR="008C511F" w:rsidRPr="00293550">
        <w:rPr>
          <w:bCs/>
          <w:i/>
        </w:rPr>
        <w:t>Education Services for Overseas Students Act 2000</w:t>
      </w:r>
      <w:r w:rsidRPr="00293550">
        <w:rPr>
          <w:szCs w:val="22"/>
        </w:rPr>
        <w:t xml:space="preserve">; and </w:t>
      </w:r>
    </w:p>
    <w:p w14:paraId="4B24FAD3" w14:textId="79290246" w:rsidR="00ED307E" w:rsidRPr="00293550" w:rsidRDefault="00ED307E" w:rsidP="00ED307E">
      <w:pPr>
        <w:pStyle w:val="paragraph"/>
        <w:rPr>
          <w:szCs w:val="22"/>
        </w:rPr>
      </w:pPr>
      <w:r w:rsidRPr="00293550">
        <w:rPr>
          <w:szCs w:val="22"/>
        </w:rPr>
        <w:tab/>
        <w:t>(b)</w:t>
      </w:r>
      <w:r w:rsidRPr="00293550">
        <w:rPr>
          <w:szCs w:val="22"/>
        </w:rPr>
        <w:tab/>
        <w:t xml:space="preserve">the person has paid a </w:t>
      </w:r>
      <w:r w:rsidR="00086948" w:rsidRPr="00293550">
        <w:rPr>
          <w:szCs w:val="22"/>
        </w:rPr>
        <w:t xml:space="preserve">Part 2 </w:t>
      </w:r>
      <w:r w:rsidRPr="00293550">
        <w:rPr>
          <w:szCs w:val="22"/>
        </w:rPr>
        <w:t xml:space="preserve">fee in relation to the application; and  </w:t>
      </w:r>
    </w:p>
    <w:p w14:paraId="64B74B2A" w14:textId="54DFC51B" w:rsidR="00ED307E" w:rsidRPr="00293550" w:rsidRDefault="00ED307E" w:rsidP="00ED307E">
      <w:pPr>
        <w:pStyle w:val="paragraph"/>
        <w:rPr>
          <w:szCs w:val="22"/>
        </w:rPr>
      </w:pPr>
      <w:r w:rsidRPr="00293550">
        <w:rPr>
          <w:szCs w:val="22"/>
        </w:rPr>
        <w:tab/>
        <w:t>(c)</w:t>
      </w:r>
      <w:r w:rsidRPr="00293550">
        <w:rPr>
          <w:szCs w:val="22"/>
        </w:rPr>
        <w:tab/>
        <w:t xml:space="preserve">the person notifies the Regulator in writing that they wish to withdraw the application before </w:t>
      </w:r>
      <w:r w:rsidR="008D2C4C" w:rsidRPr="00293550">
        <w:rPr>
          <w:szCs w:val="22"/>
        </w:rPr>
        <w:t>the Regulator has commenced work on the application</w:t>
      </w:r>
      <w:r w:rsidR="00F17F87" w:rsidRPr="00293550">
        <w:rPr>
          <w:szCs w:val="22"/>
        </w:rPr>
        <w:t>,</w:t>
      </w:r>
    </w:p>
    <w:p w14:paraId="66CB7448" w14:textId="18756211" w:rsidR="00ED307E" w:rsidRPr="00293550" w:rsidRDefault="00ED307E" w:rsidP="00ED307E">
      <w:pPr>
        <w:pStyle w:val="subsection"/>
        <w:rPr>
          <w:szCs w:val="22"/>
        </w:rPr>
      </w:pPr>
      <w:r w:rsidRPr="00293550">
        <w:rPr>
          <w:szCs w:val="22"/>
        </w:rPr>
        <w:tab/>
      </w:r>
      <w:r w:rsidRPr="00293550">
        <w:rPr>
          <w:szCs w:val="22"/>
        </w:rPr>
        <w:tab/>
        <w:t xml:space="preserve">the Regulator </w:t>
      </w:r>
      <w:r w:rsidR="008D2C4C" w:rsidRPr="00293550">
        <w:rPr>
          <w:szCs w:val="22"/>
        </w:rPr>
        <w:t xml:space="preserve">must </w:t>
      </w:r>
      <w:r w:rsidRPr="00293550">
        <w:rPr>
          <w:szCs w:val="22"/>
        </w:rPr>
        <w:t xml:space="preserve">waive the fee. </w:t>
      </w:r>
    </w:p>
    <w:p w14:paraId="335863E3" w14:textId="27997334" w:rsidR="00ED307E" w:rsidRPr="00293550" w:rsidRDefault="00ED307E" w:rsidP="00ED307E">
      <w:pPr>
        <w:pStyle w:val="ActHead5"/>
      </w:pPr>
      <w:bookmarkStart w:id="19" w:name="_Toc100239490"/>
      <w:r w:rsidRPr="00293550">
        <w:t>1</w:t>
      </w:r>
      <w:r w:rsidR="00683C65" w:rsidRPr="00293550">
        <w:t>2</w:t>
      </w:r>
      <w:r w:rsidRPr="00293550">
        <w:t xml:space="preserve"> </w:t>
      </w:r>
      <w:r w:rsidR="00945E75" w:rsidRPr="00293550">
        <w:t xml:space="preserve"> </w:t>
      </w:r>
      <w:r w:rsidRPr="00293550">
        <w:t>Applications to change scope and add courses</w:t>
      </w:r>
      <w:bookmarkEnd w:id="19"/>
    </w:p>
    <w:p w14:paraId="60FCCDCF" w14:textId="35268EE3" w:rsidR="00ED307E" w:rsidRPr="00293550" w:rsidRDefault="00ED307E" w:rsidP="00ED307E">
      <w:pPr>
        <w:pStyle w:val="subsection"/>
        <w:rPr>
          <w:szCs w:val="22"/>
        </w:rPr>
      </w:pPr>
      <w:r w:rsidRPr="00293550">
        <w:rPr>
          <w:szCs w:val="22"/>
        </w:rPr>
        <w:tab/>
        <w:t>(1)</w:t>
      </w:r>
      <w:r w:rsidRPr="00293550">
        <w:rPr>
          <w:szCs w:val="22"/>
        </w:rPr>
        <w:tab/>
        <w:t>This section applies to an NVR registered training organisation</w:t>
      </w:r>
      <w:r w:rsidR="00EF5A75" w:rsidRPr="00293550">
        <w:rPr>
          <w:szCs w:val="22"/>
        </w:rPr>
        <w:t xml:space="preserve"> that</w:t>
      </w:r>
      <w:r w:rsidRPr="00293550">
        <w:rPr>
          <w:szCs w:val="22"/>
        </w:rPr>
        <w:t xml:space="preserve"> </w:t>
      </w:r>
      <w:r w:rsidR="00651BB6" w:rsidRPr="00293550">
        <w:rPr>
          <w:szCs w:val="22"/>
        </w:rPr>
        <w:t>ma</w:t>
      </w:r>
      <w:r w:rsidR="003576A1" w:rsidRPr="00293550">
        <w:rPr>
          <w:szCs w:val="22"/>
        </w:rPr>
        <w:t>kes</w:t>
      </w:r>
      <w:r w:rsidR="00651BB6" w:rsidRPr="00293550">
        <w:rPr>
          <w:szCs w:val="22"/>
        </w:rPr>
        <w:t xml:space="preserve"> an application</w:t>
      </w:r>
      <w:r w:rsidR="003576A1" w:rsidRPr="00293550">
        <w:rPr>
          <w:szCs w:val="22"/>
        </w:rPr>
        <w:t xml:space="preserve"> to</w:t>
      </w:r>
      <w:r w:rsidR="00A0725F" w:rsidRPr="00293550">
        <w:rPr>
          <w:szCs w:val="22"/>
        </w:rPr>
        <w:t>, at the same time</w:t>
      </w:r>
      <w:r w:rsidRPr="00293550">
        <w:rPr>
          <w:szCs w:val="22"/>
        </w:rPr>
        <w:t xml:space="preserve">: </w:t>
      </w:r>
    </w:p>
    <w:p w14:paraId="1F3EE9A6" w14:textId="15201B26" w:rsidR="00ED307E" w:rsidRPr="00293550" w:rsidRDefault="00ED307E" w:rsidP="002561F0">
      <w:pPr>
        <w:pStyle w:val="paragraph"/>
      </w:pPr>
      <w:r w:rsidRPr="00293550">
        <w:tab/>
        <w:t>(a)</w:t>
      </w:r>
      <w:r w:rsidRPr="00293550">
        <w:tab/>
      </w:r>
      <w:r w:rsidR="00651BB6" w:rsidRPr="00293550">
        <w:t>change their scope of registration under subsection 32(1) of the Act; and</w:t>
      </w:r>
    </w:p>
    <w:p w14:paraId="1AAEE620" w14:textId="4DFB8F52" w:rsidR="00ED307E" w:rsidRPr="00293550" w:rsidRDefault="00ED307E">
      <w:pPr>
        <w:pStyle w:val="paragraph"/>
      </w:pPr>
      <w:r w:rsidRPr="00293550">
        <w:tab/>
        <w:t>(b)</w:t>
      </w:r>
      <w:r w:rsidRPr="00293550">
        <w:tab/>
      </w:r>
      <w:r w:rsidR="00651BB6" w:rsidRPr="00293550">
        <w:t xml:space="preserve">add one or more courses at one or more locations to their registration under subsection 10H(1) of the </w:t>
      </w:r>
      <w:r w:rsidR="008C511F" w:rsidRPr="00293550">
        <w:rPr>
          <w:bCs/>
          <w:i/>
        </w:rPr>
        <w:t>Education Services for Overseas Students Act 2000</w:t>
      </w:r>
      <w:r w:rsidR="00651BB6" w:rsidRPr="00293550">
        <w:t>.</w:t>
      </w:r>
    </w:p>
    <w:p w14:paraId="0BDEFC71" w14:textId="24968759" w:rsidR="00ED307E" w:rsidRPr="00293550" w:rsidRDefault="00ED307E" w:rsidP="007B7FD6">
      <w:pPr>
        <w:pStyle w:val="paragraph"/>
      </w:pPr>
    </w:p>
    <w:p w14:paraId="3EE32863" w14:textId="06C641B8" w:rsidR="003576A1" w:rsidRPr="00293550" w:rsidRDefault="00ED307E" w:rsidP="00AB6DBA">
      <w:pPr>
        <w:pStyle w:val="subsection"/>
        <w:spacing w:before="40" w:after="40"/>
        <w:rPr>
          <w:szCs w:val="22"/>
        </w:rPr>
      </w:pPr>
      <w:r w:rsidRPr="00293550">
        <w:rPr>
          <w:szCs w:val="22"/>
        </w:rPr>
        <w:tab/>
        <w:t>(2)</w:t>
      </w:r>
      <w:r w:rsidRPr="00293550">
        <w:rPr>
          <w:szCs w:val="22"/>
        </w:rPr>
        <w:tab/>
        <w:t>If</w:t>
      </w:r>
      <w:r w:rsidR="00651BB6" w:rsidRPr="00293550">
        <w:rPr>
          <w:szCs w:val="22"/>
        </w:rPr>
        <w:t xml:space="preserve"> the conditions in subsection (1) are satisfied</w:t>
      </w:r>
      <w:r w:rsidR="00F17F87" w:rsidRPr="00293550">
        <w:rPr>
          <w:szCs w:val="22"/>
        </w:rPr>
        <w:t>, the National VET Regulator m</w:t>
      </w:r>
      <w:r w:rsidR="00864B20" w:rsidRPr="00293550">
        <w:rPr>
          <w:szCs w:val="22"/>
        </w:rPr>
        <w:t>ust</w:t>
      </w:r>
      <w:r w:rsidR="00F17F87" w:rsidRPr="00293550">
        <w:rPr>
          <w:szCs w:val="22"/>
        </w:rPr>
        <w:t xml:space="preserve"> waive</w:t>
      </w:r>
      <w:r w:rsidR="003576A1" w:rsidRPr="00293550">
        <w:rPr>
          <w:szCs w:val="22"/>
        </w:rPr>
        <w:t>:</w:t>
      </w:r>
    </w:p>
    <w:p w14:paraId="67B356BB" w14:textId="555EBBBB" w:rsidR="003576A1" w:rsidRPr="00293550" w:rsidRDefault="00AB6DBA" w:rsidP="00AB6DBA">
      <w:pPr>
        <w:pStyle w:val="subsection"/>
        <w:numPr>
          <w:ilvl w:val="0"/>
          <w:numId w:val="21"/>
        </w:numPr>
        <w:tabs>
          <w:tab w:val="clear" w:pos="1021"/>
        </w:tabs>
        <w:spacing w:before="40" w:after="40"/>
        <w:ind w:left="1701" w:hanging="425"/>
        <w:rPr>
          <w:szCs w:val="22"/>
        </w:rPr>
      </w:pPr>
      <w:r w:rsidRPr="00293550">
        <w:rPr>
          <w:szCs w:val="22"/>
        </w:rPr>
        <w:t xml:space="preserve">the </w:t>
      </w:r>
      <w:r w:rsidR="00ED307E" w:rsidRPr="00293550">
        <w:rPr>
          <w:szCs w:val="22"/>
        </w:rPr>
        <w:t>application fee at Item 5 of Table 2</w:t>
      </w:r>
      <w:r w:rsidR="003576A1" w:rsidRPr="00293550">
        <w:rPr>
          <w:szCs w:val="22"/>
        </w:rPr>
        <w:t>;</w:t>
      </w:r>
      <w:r w:rsidR="00ED307E" w:rsidRPr="00293550">
        <w:rPr>
          <w:szCs w:val="22"/>
        </w:rPr>
        <w:t xml:space="preserve"> and </w:t>
      </w:r>
    </w:p>
    <w:p w14:paraId="35CE975D" w14:textId="77777777" w:rsidR="003576A1" w:rsidRPr="00293550" w:rsidRDefault="00ED307E" w:rsidP="00AB6DBA">
      <w:pPr>
        <w:pStyle w:val="subsection"/>
        <w:numPr>
          <w:ilvl w:val="0"/>
          <w:numId w:val="21"/>
        </w:numPr>
        <w:tabs>
          <w:tab w:val="clear" w:pos="1021"/>
        </w:tabs>
        <w:spacing w:before="40" w:after="40"/>
        <w:ind w:left="1701" w:hanging="425"/>
        <w:rPr>
          <w:szCs w:val="22"/>
        </w:rPr>
      </w:pPr>
      <w:r w:rsidRPr="00293550">
        <w:rPr>
          <w:szCs w:val="22"/>
        </w:rPr>
        <w:t>the lesser of the assessment fees at Item 6 of Table</w:t>
      </w:r>
      <w:r w:rsidR="00945E75" w:rsidRPr="00293550">
        <w:rPr>
          <w:szCs w:val="22"/>
        </w:rPr>
        <w:t>s</w:t>
      </w:r>
      <w:r w:rsidRPr="00293550">
        <w:rPr>
          <w:szCs w:val="22"/>
        </w:rPr>
        <w:t xml:space="preserve"> 1 and 2</w:t>
      </w:r>
      <w:r w:rsidR="003576A1" w:rsidRPr="00293550">
        <w:rPr>
          <w:szCs w:val="22"/>
        </w:rPr>
        <w:t>,</w:t>
      </w:r>
    </w:p>
    <w:p w14:paraId="552493A5" w14:textId="51164760" w:rsidR="00ED307E" w:rsidRPr="00293550" w:rsidRDefault="00ED307E" w:rsidP="00ED307E">
      <w:pPr>
        <w:pStyle w:val="ActHead5"/>
      </w:pPr>
      <w:bookmarkStart w:id="20" w:name="_Toc100239491"/>
      <w:r w:rsidRPr="00293550">
        <w:t>1</w:t>
      </w:r>
      <w:r w:rsidR="00CD269E" w:rsidRPr="00293550">
        <w:t>3</w:t>
      </w:r>
      <w:r w:rsidR="00945E75" w:rsidRPr="00293550">
        <w:t xml:space="preserve"> </w:t>
      </w:r>
      <w:r w:rsidRPr="00293550">
        <w:t xml:space="preserve"> Special circumstances</w:t>
      </w:r>
      <w:bookmarkEnd w:id="20"/>
    </w:p>
    <w:p w14:paraId="77410D49" w14:textId="43FE2AAE" w:rsidR="00ED307E" w:rsidRPr="00293550" w:rsidRDefault="00ED307E" w:rsidP="00ED307E">
      <w:pPr>
        <w:pStyle w:val="subsection"/>
      </w:pPr>
      <w:r w:rsidRPr="00293550">
        <w:rPr>
          <w:szCs w:val="22"/>
        </w:rPr>
        <w:tab/>
        <w:t>(</w:t>
      </w:r>
      <w:r w:rsidR="00945E75" w:rsidRPr="00293550">
        <w:rPr>
          <w:szCs w:val="22"/>
        </w:rPr>
        <w:t>1</w:t>
      </w:r>
      <w:r w:rsidRPr="00293550">
        <w:rPr>
          <w:szCs w:val="22"/>
        </w:rPr>
        <w:t>)</w:t>
      </w:r>
      <w:r w:rsidRPr="00293550">
        <w:rPr>
          <w:szCs w:val="22"/>
        </w:rPr>
        <w:tab/>
      </w:r>
      <w:bookmarkStart w:id="21" w:name="_Hlk97111893"/>
      <w:r w:rsidRPr="00293550">
        <w:t xml:space="preserve">The </w:t>
      </w:r>
      <w:r w:rsidR="00864B20" w:rsidRPr="00293550">
        <w:t xml:space="preserve">National VET </w:t>
      </w:r>
      <w:r w:rsidRPr="00293550">
        <w:t xml:space="preserve">Regulator may waive a </w:t>
      </w:r>
      <w:r w:rsidR="00086948" w:rsidRPr="00293550">
        <w:t xml:space="preserve">Part 2 </w:t>
      </w:r>
      <w:r w:rsidRPr="00293550">
        <w:t>fee, in whole or in part, where the Regulator determines that:</w:t>
      </w:r>
    </w:p>
    <w:p w14:paraId="15A79C63" w14:textId="77777777" w:rsidR="00ED307E" w:rsidRPr="00293550" w:rsidRDefault="00ED307E" w:rsidP="00ED307E">
      <w:pPr>
        <w:pStyle w:val="paragraph"/>
      </w:pPr>
      <w:r w:rsidRPr="00293550">
        <w:tab/>
        <w:t>(a)</w:t>
      </w:r>
      <w:r w:rsidRPr="00293550">
        <w:tab/>
        <w:t xml:space="preserve">special or unusual circumstances exist which cause the fee to be unreasonable or inequitable; or  </w:t>
      </w:r>
    </w:p>
    <w:p w14:paraId="5A2746F9" w14:textId="27769F6D" w:rsidR="00ED307E" w:rsidRPr="00293550" w:rsidRDefault="00ED307E" w:rsidP="00ED307E">
      <w:pPr>
        <w:pStyle w:val="paragraph"/>
      </w:pPr>
      <w:r w:rsidRPr="00293550">
        <w:tab/>
        <w:t>(b)</w:t>
      </w:r>
      <w:r w:rsidRPr="00293550">
        <w:tab/>
      </w:r>
      <w:r w:rsidR="00F97270" w:rsidRPr="00293550">
        <w:t xml:space="preserve">it would be uneconomical to pursue </w:t>
      </w:r>
      <w:r w:rsidRPr="00293550">
        <w:t>the amount of the fee that remains unpaid</w:t>
      </w:r>
      <w:r w:rsidR="00F97270" w:rsidRPr="00293550">
        <w:t>.</w:t>
      </w:r>
    </w:p>
    <w:p w14:paraId="2FDAA376" w14:textId="7D2D44FF" w:rsidR="00ED307E" w:rsidRPr="00293550" w:rsidRDefault="00ED307E" w:rsidP="00ED307E">
      <w:pPr>
        <w:pStyle w:val="subsection"/>
        <w:rPr>
          <w:szCs w:val="22"/>
        </w:rPr>
      </w:pPr>
      <w:r w:rsidRPr="00293550">
        <w:rPr>
          <w:szCs w:val="22"/>
        </w:rPr>
        <w:tab/>
        <w:t>(</w:t>
      </w:r>
      <w:r w:rsidR="00945E75" w:rsidRPr="00293550">
        <w:rPr>
          <w:szCs w:val="22"/>
        </w:rPr>
        <w:t>2</w:t>
      </w:r>
      <w:r w:rsidRPr="00293550">
        <w:rPr>
          <w:szCs w:val="22"/>
        </w:rPr>
        <w:t>)</w:t>
      </w:r>
      <w:r w:rsidRPr="00293550">
        <w:rPr>
          <w:szCs w:val="22"/>
        </w:rPr>
        <w:tab/>
        <w:t>The Regulator must waive a fee if:</w:t>
      </w:r>
    </w:p>
    <w:p w14:paraId="71BDBA02" w14:textId="77777777" w:rsidR="00ED307E" w:rsidRPr="00293550" w:rsidRDefault="00ED307E" w:rsidP="00ED307E">
      <w:pPr>
        <w:pStyle w:val="paragraph"/>
        <w:rPr>
          <w:color w:val="000000"/>
          <w:shd w:val="clear" w:color="auto" w:fill="FFFFFF"/>
        </w:rPr>
      </w:pPr>
      <w:r w:rsidRPr="00293550">
        <w:rPr>
          <w:color w:val="000000"/>
          <w:shd w:val="clear" w:color="auto" w:fill="FFFFFF"/>
        </w:rPr>
        <w:tab/>
        <w:t>(a)</w:t>
      </w:r>
      <w:r w:rsidRPr="00293550">
        <w:rPr>
          <w:color w:val="000000"/>
          <w:shd w:val="clear" w:color="auto" w:fill="FFFFFF"/>
        </w:rPr>
        <w:tab/>
        <w:t>a person paid the fee in relation to an application under section 200 of the Act; and</w:t>
      </w:r>
    </w:p>
    <w:p w14:paraId="1695DE42" w14:textId="77777777" w:rsidR="00ED307E" w:rsidRPr="00293550" w:rsidRDefault="00ED307E" w:rsidP="00ED307E">
      <w:pPr>
        <w:pStyle w:val="paragraph"/>
      </w:pPr>
      <w:r w:rsidRPr="00293550">
        <w:rPr>
          <w:color w:val="000000"/>
          <w:shd w:val="clear" w:color="auto" w:fill="FFFFFF"/>
        </w:rPr>
        <w:tab/>
        <w:t>(b)</w:t>
      </w:r>
      <w:r w:rsidRPr="00293550">
        <w:rPr>
          <w:color w:val="000000"/>
          <w:shd w:val="clear" w:color="auto" w:fill="FFFFFF"/>
        </w:rPr>
        <w:tab/>
        <w:t>the Regulator does not consider the application because the application does not relate to a reviewable decision within the meaning of section 199 of the Act.</w:t>
      </w:r>
    </w:p>
    <w:bookmarkEnd w:id="21"/>
    <w:p w14:paraId="0E7C4373" w14:textId="2A29A5E5" w:rsidR="00ED307E" w:rsidRPr="00293550" w:rsidRDefault="00ED307E" w:rsidP="00ED307E">
      <w:pPr>
        <w:pStyle w:val="subsection"/>
        <w:rPr>
          <w:szCs w:val="22"/>
        </w:rPr>
      </w:pPr>
      <w:r w:rsidRPr="00293550">
        <w:rPr>
          <w:szCs w:val="22"/>
        </w:rPr>
        <w:lastRenderedPageBreak/>
        <w:tab/>
        <w:t>(</w:t>
      </w:r>
      <w:r w:rsidR="00945E75" w:rsidRPr="00293550">
        <w:rPr>
          <w:szCs w:val="22"/>
        </w:rPr>
        <w:t>3</w:t>
      </w:r>
      <w:r w:rsidRPr="00293550">
        <w:rPr>
          <w:szCs w:val="22"/>
        </w:rPr>
        <w:t>)</w:t>
      </w:r>
      <w:r w:rsidRPr="00293550">
        <w:rPr>
          <w:szCs w:val="22"/>
        </w:rPr>
        <w:tab/>
        <w:t>To avoid doubt, circumstances related to the COVID-19 pandemic are special or unusual circumstances which could cause the fee to be unreasonable or inequitable for the purposes of paragraph (</w:t>
      </w:r>
      <w:r w:rsidR="00864B20" w:rsidRPr="00293550">
        <w:rPr>
          <w:szCs w:val="22"/>
        </w:rPr>
        <w:t>1</w:t>
      </w:r>
      <w:r w:rsidRPr="00293550">
        <w:rPr>
          <w:szCs w:val="22"/>
        </w:rPr>
        <w:t xml:space="preserve">)(a). </w:t>
      </w:r>
    </w:p>
    <w:p w14:paraId="50345277" w14:textId="655688B2" w:rsidR="00ED307E" w:rsidRPr="00293550" w:rsidRDefault="00ED307E" w:rsidP="00ED307E">
      <w:pPr>
        <w:pStyle w:val="subsection"/>
        <w:rPr>
          <w:szCs w:val="22"/>
        </w:rPr>
      </w:pPr>
      <w:r w:rsidRPr="00293550">
        <w:tab/>
        <w:t>(</w:t>
      </w:r>
      <w:r w:rsidR="00945E75" w:rsidRPr="00293550">
        <w:t>4</w:t>
      </w:r>
      <w:r w:rsidRPr="00293550">
        <w:t>)</w:t>
      </w:r>
      <w:r w:rsidRPr="00293550">
        <w:tab/>
      </w:r>
      <w:r w:rsidR="00864B20" w:rsidRPr="00293550">
        <w:t xml:space="preserve">To avoid doubt, </w:t>
      </w:r>
      <w:r w:rsidRPr="00293550">
        <w:t>the following circumstances do not constitute special or unusual circumstances</w:t>
      </w:r>
      <w:r w:rsidR="00864B20" w:rsidRPr="00293550">
        <w:t xml:space="preserve"> for the purposes of paragraph (1)(a)</w:t>
      </w:r>
      <w:r w:rsidRPr="00293550">
        <w:t xml:space="preserve">: </w:t>
      </w:r>
    </w:p>
    <w:p w14:paraId="024C8836" w14:textId="77777777" w:rsidR="00ED307E" w:rsidRPr="00293550" w:rsidRDefault="00ED307E" w:rsidP="00ED307E">
      <w:pPr>
        <w:pStyle w:val="paragraph"/>
      </w:pPr>
      <w:r w:rsidRPr="00293550">
        <w:rPr>
          <w:szCs w:val="22"/>
        </w:rPr>
        <w:tab/>
        <w:t>(a)</w:t>
      </w:r>
      <w:r w:rsidRPr="00293550">
        <w:rPr>
          <w:szCs w:val="22"/>
        </w:rPr>
        <w:tab/>
      </w:r>
      <w:r w:rsidRPr="00293550">
        <w:t xml:space="preserve">where the person required to pay the fee ceases to exist, or </w:t>
      </w:r>
    </w:p>
    <w:p w14:paraId="4D121F16" w14:textId="43C7104C" w:rsidR="00ED307E" w:rsidRPr="00293550" w:rsidRDefault="00ED307E" w:rsidP="00ED307E">
      <w:pPr>
        <w:pStyle w:val="paragraph"/>
      </w:pPr>
      <w:r w:rsidRPr="00293550">
        <w:tab/>
        <w:t>(b)</w:t>
      </w:r>
      <w:r w:rsidRPr="00293550">
        <w:tab/>
        <w:t xml:space="preserve">where the person ceases to be registered under the Act and </w:t>
      </w:r>
      <w:r w:rsidR="00F97270" w:rsidRPr="00293550">
        <w:t xml:space="preserve">the </w:t>
      </w:r>
      <w:r w:rsidR="008C511F" w:rsidRPr="00293550">
        <w:rPr>
          <w:bCs/>
          <w:i/>
        </w:rPr>
        <w:t>Education Services for Overseas Students Act 2000</w:t>
      </w:r>
      <w:r w:rsidRPr="00293550">
        <w:t xml:space="preserve">; or </w:t>
      </w:r>
    </w:p>
    <w:p w14:paraId="4B3F73EC" w14:textId="77777777" w:rsidR="00ED307E" w:rsidRPr="00293550" w:rsidRDefault="00ED307E" w:rsidP="00ED307E">
      <w:pPr>
        <w:pStyle w:val="paragraph"/>
        <w:rPr>
          <w:szCs w:val="22"/>
        </w:rPr>
      </w:pPr>
      <w:r w:rsidRPr="00293550">
        <w:tab/>
        <w:t>(c)</w:t>
      </w:r>
      <w:r w:rsidRPr="00293550">
        <w:tab/>
        <w:t xml:space="preserve">where the person ceases to carry on business as an NVR registered training organisation or as a registered provider. </w:t>
      </w:r>
    </w:p>
    <w:p w14:paraId="5C4F08E9" w14:textId="46C90236" w:rsidR="00ED307E" w:rsidRPr="00293550" w:rsidRDefault="00ED307E" w:rsidP="00ED307E">
      <w:pPr>
        <w:pStyle w:val="ActHead5"/>
      </w:pPr>
      <w:bookmarkStart w:id="22" w:name="_Toc100239492"/>
      <w:r w:rsidRPr="00293550">
        <w:t>1</w:t>
      </w:r>
      <w:r w:rsidR="00CD269E" w:rsidRPr="00293550">
        <w:t>4</w:t>
      </w:r>
      <w:r w:rsidRPr="00293550">
        <w:t xml:space="preserve"> Refund of waived fees</w:t>
      </w:r>
      <w:bookmarkEnd w:id="22"/>
      <w:r w:rsidRPr="00293550">
        <w:t xml:space="preserve"> </w:t>
      </w:r>
    </w:p>
    <w:p w14:paraId="626F0A34" w14:textId="024566BF" w:rsidR="00ED307E" w:rsidRPr="00293550" w:rsidRDefault="00ED307E">
      <w:pPr>
        <w:pStyle w:val="subsection"/>
        <w:rPr>
          <w:szCs w:val="22"/>
        </w:rPr>
      </w:pPr>
      <w:r w:rsidRPr="00293550">
        <w:rPr>
          <w:szCs w:val="22"/>
        </w:rPr>
        <w:tab/>
        <w:t>(</w:t>
      </w:r>
      <w:r w:rsidR="00945E75" w:rsidRPr="00293550">
        <w:rPr>
          <w:szCs w:val="22"/>
        </w:rPr>
        <w:t>1</w:t>
      </w:r>
      <w:r w:rsidRPr="00293550">
        <w:rPr>
          <w:szCs w:val="22"/>
        </w:rPr>
        <w:t>)</w:t>
      </w:r>
      <w:r w:rsidRPr="00293550">
        <w:rPr>
          <w:szCs w:val="22"/>
        </w:rPr>
        <w:tab/>
        <w:t xml:space="preserve">If a person has already paid a </w:t>
      </w:r>
      <w:r w:rsidR="00086948" w:rsidRPr="00293550">
        <w:rPr>
          <w:szCs w:val="22"/>
        </w:rPr>
        <w:t xml:space="preserve">Part 2 </w:t>
      </w:r>
      <w:r w:rsidRPr="00293550">
        <w:rPr>
          <w:szCs w:val="22"/>
        </w:rPr>
        <w:t xml:space="preserve">fee, and the National VET Regulator waives the whole or part of the fee in accordance with </w:t>
      </w:r>
      <w:r w:rsidR="00F97270" w:rsidRPr="00293550">
        <w:rPr>
          <w:szCs w:val="22"/>
        </w:rPr>
        <w:t>this Part</w:t>
      </w:r>
      <w:r w:rsidRPr="00293550">
        <w:rPr>
          <w:szCs w:val="22"/>
        </w:rPr>
        <w:t xml:space="preserve">, the Regulator must refund the amount waived. </w:t>
      </w:r>
    </w:p>
    <w:p w14:paraId="07FCDE77" w14:textId="70AC50F6" w:rsidR="00A64432" w:rsidRPr="00293550" w:rsidRDefault="00A64432">
      <w:pPr>
        <w:spacing w:line="240" w:lineRule="auto"/>
        <w:rPr>
          <w:rFonts w:eastAsia="Times New Roman" w:cs="Times New Roman"/>
          <w:b/>
          <w:kern w:val="28"/>
          <w:sz w:val="32"/>
          <w:lang w:eastAsia="en-AU"/>
        </w:rPr>
      </w:pPr>
      <w:r w:rsidRPr="00293550">
        <w:br w:type="page"/>
      </w:r>
    </w:p>
    <w:p w14:paraId="7BC0BE4F" w14:textId="539077D5" w:rsidR="000203B2" w:rsidRPr="00293550" w:rsidRDefault="000203B2" w:rsidP="00EE4EDB">
      <w:pPr>
        <w:pStyle w:val="ActHead2"/>
      </w:pPr>
      <w:bookmarkStart w:id="23" w:name="_Toc100239493"/>
      <w:r w:rsidRPr="00293550">
        <w:lastRenderedPageBreak/>
        <w:t xml:space="preserve">Part </w:t>
      </w:r>
      <w:r w:rsidR="00945E75" w:rsidRPr="00293550">
        <w:t>4</w:t>
      </w:r>
      <w:r w:rsidRPr="00293550">
        <w:t>—Miscellaneous</w:t>
      </w:r>
      <w:bookmarkEnd w:id="23"/>
      <w:r w:rsidRPr="00293550">
        <w:t xml:space="preserve"> </w:t>
      </w:r>
    </w:p>
    <w:p w14:paraId="544AC0F5" w14:textId="243D153F" w:rsidR="002248B0" w:rsidRPr="00293550" w:rsidRDefault="00EE4EDB" w:rsidP="002433D8">
      <w:pPr>
        <w:pStyle w:val="ActHead5"/>
      </w:pPr>
      <w:bookmarkStart w:id="24" w:name="_Toc100239494"/>
      <w:r w:rsidRPr="00293550">
        <w:t>1</w:t>
      </w:r>
      <w:r w:rsidR="00CD269E" w:rsidRPr="00293550">
        <w:t>5</w:t>
      </w:r>
      <w:r w:rsidR="002248B0" w:rsidRPr="00293550">
        <w:t xml:space="preserve">  Delegated functions</w:t>
      </w:r>
      <w:bookmarkEnd w:id="24"/>
    </w:p>
    <w:p w14:paraId="53E7CE53" w14:textId="75495AE9" w:rsidR="002248B0" w:rsidRPr="00293550" w:rsidRDefault="002248B0" w:rsidP="0024155A">
      <w:pPr>
        <w:pStyle w:val="subsection"/>
        <w:rPr>
          <w:szCs w:val="22"/>
        </w:rPr>
      </w:pPr>
      <w:r w:rsidRPr="00293550">
        <w:rPr>
          <w:szCs w:val="22"/>
        </w:rPr>
        <w:tab/>
      </w:r>
      <w:r w:rsidRPr="00293550">
        <w:rPr>
          <w:szCs w:val="22"/>
        </w:rPr>
        <w:tab/>
      </w:r>
      <w:r w:rsidR="004D6D9D" w:rsidRPr="00293550">
        <w:rPr>
          <w:szCs w:val="22"/>
        </w:rPr>
        <w:t>There are no fees payable in respect of g</w:t>
      </w:r>
      <w:r w:rsidRPr="00293550">
        <w:rPr>
          <w:szCs w:val="22"/>
        </w:rPr>
        <w:t xml:space="preserve">oods or services </w:t>
      </w:r>
      <w:r w:rsidR="0024155A" w:rsidRPr="00293550">
        <w:rPr>
          <w:szCs w:val="22"/>
        </w:rPr>
        <w:t>provided</w:t>
      </w:r>
      <w:r w:rsidRPr="00293550">
        <w:rPr>
          <w:szCs w:val="22"/>
        </w:rPr>
        <w:t xml:space="preserve"> </w:t>
      </w:r>
      <w:r w:rsidR="0024155A" w:rsidRPr="00293550">
        <w:rPr>
          <w:szCs w:val="22"/>
        </w:rPr>
        <w:t>by</w:t>
      </w:r>
      <w:r w:rsidRPr="00293550">
        <w:rPr>
          <w:szCs w:val="22"/>
        </w:rPr>
        <w:t xml:space="preserve"> a delegat</w:t>
      </w:r>
      <w:r w:rsidR="0024155A" w:rsidRPr="00293550">
        <w:rPr>
          <w:szCs w:val="22"/>
        </w:rPr>
        <w:t>e</w:t>
      </w:r>
      <w:r w:rsidRPr="00293550">
        <w:rPr>
          <w:szCs w:val="22"/>
        </w:rPr>
        <w:t xml:space="preserve"> under subsections 224(2), 225(1) </w:t>
      </w:r>
      <w:r w:rsidR="0024155A" w:rsidRPr="00293550">
        <w:rPr>
          <w:szCs w:val="22"/>
        </w:rPr>
        <w:t>or</w:t>
      </w:r>
      <w:r w:rsidRPr="00293550">
        <w:rPr>
          <w:szCs w:val="22"/>
        </w:rPr>
        <w:t xml:space="preserve"> 226(1) of the Act</w:t>
      </w:r>
      <w:r w:rsidR="001B4CF1" w:rsidRPr="00293550">
        <w:rPr>
          <w:szCs w:val="22"/>
        </w:rPr>
        <w:t>.</w:t>
      </w:r>
    </w:p>
    <w:p w14:paraId="5F7DD34B" w14:textId="2B135E90" w:rsidR="002433D8" w:rsidRPr="00293550" w:rsidRDefault="002433D8" w:rsidP="002433D8">
      <w:pPr>
        <w:pStyle w:val="ActHead5"/>
      </w:pPr>
      <w:bookmarkStart w:id="25" w:name="_Toc100239495"/>
      <w:r w:rsidRPr="00293550">
        <w:t>1</w:t>
      </w:r>
      <w:r w:rsidR="00CD269E" w:rsidRPr="00293550">
        <w:t>6</w:t>
      </w:r>
      <w:r w:rsidRPr="00293550">
        <w:t xml:space="preserve">  Set off of fees</w:t>
      </w:r>
      <w:bookmarkEnd w:id="25"/>
    </w:p>
    <w:p w14:paraId="791FD6CF" w14:textId="35D875BF" w:rsidR="002433D8" w:rsidRPr="00293550" w:rsidRDefault="002433D8" w:rsidP="002433D8">
      <w:pPr>
        <w:pStyle w:val="subsection"/>
        <w:rPr>
          <w:szCs w:val="22"/>
        </w:rPr>
      </w:pPr>
      <w:r w:rsidRPr="00293550">
        <w:rPr>
          <w:szCs w:val="22"/>
        </w:rPr>
        <w:tab/>
        <w:t>(1)</w:t>
      </w:r>
      <w:r w:rsidRPr="00293550">
        <w:rPr>
          <w:szCs w:val="22"/>
        </w:rPr>
        <w:tab/>
        <w:t>This section applies for the purposes of paragraph 232(5)(b)</w:t>
      </w:r>
      <w:r w:rsidR="00423F24" w:rsidRPr="00293550">
        <w:rPr>
          <w:szCs w:val="22"/>
        </w:rPr>
        <w:t xml:space="preserve"> of the Act</w:t>
      </w:r>
      <w:r w:rsidRPr="00293550">
        <w:rPr>
          <w:szCs w:val="22"/>
        </w:rPr>
        <w:t>.</w:t>
      </w:r>
    </w:p>
    <w:p w14:paraId="5580B8FC" w14:textId="49B0FEC5" w:rsidR="002433D8" w:rsidRPr="00293550" w:rsidRDefault="002433D8" w:rsidP="002433D8">
      <w:pPr>
        <w:pStyle w:val="subsection"/>
        <w:rPr>
          <w:szCs w:val="22"/>
        </w:rPr>
      </w:pPr>
      <w:r w:rsidRPr="00293550">
        <w:rPr>
          <w:szCs w:val="22"/>
        </w:rPr>
        <w:tab/>
        <w:t>(2)</w:t>
      </w:r>
      <w:r w:rsidRPr="00293550">
        <w:rPr>
          <w:szCs w:val="22"/>
        </w:rPr>
        <w:tab/>
        <w:t>The National VET Regulator may</w:t>
      </w:r>
      <w:r w:rsidR="00E95AE8" w:rsidRPr="00293550">
        <w:rPr>
          <w:szCs w:val="22"/>
        </w:rPr>
        <w:t xml:space="preserve"> set off</w:t>
      </w:r>
      <w:r w:rsidR="00D15AEA" w:rsidRPr="00293550">
        <w:rPr>
          <w:szCs w:val="22"/>
        </w:rPr>
        <w:t xml:space="preserve"> the amount of any fees </w:t>
      </w:r>
      <w:r w:rsidR="006F2998" w:rsidRPr="00293550">
        <w:rPr>
          <w:szCs w:val="22"/>
        </w:rPr>
        <w:t>or</w:t>
      </w:r>
      <w:r w:rsidR="00D15AEA" w:rsidRPr="00293550">
        <w:rPr>
          <w:szCs w:val="22"/>
        </w:rPr>
        <w:t xml:space="preserve"> charges payable </w:t>
      </w:r>
      <w:r w:rsidR="00261E10" w:rsidRPr="00293550">
        <w:rPr>
          <w:szCs w:val="22"/>
        </w:rPr>
        <w:t xml:space="preserve">by a person </w:t>
      </w:r>
      <w:r w:rsidR="00D15AEA" w:rsidRPr="00293550">
        <w:rPr>
          <w:szCs w:val="22"/>
        </w:rPr>
        <w:t>to it</w:t>
      </w:r>
      <w:r w:rsidR="00D7366A" w:rsidRPr="00293550">
        <w:rPr>
          <w:szCs w:val="22"/>
        </w:rPr>
        <w:t xml:space="preserve"> under th</w:t>
      </w:r>
      <w:r w:rsidR="001C23CE" w:rsidRPr="00293550">
        <w:rPr>
          <w:szCs w:val="22"/>
        </w:rPr>
        <w:t>e</w:t>
      </w:r>
      <w:r w:rsidR="00D7366A" w:rsidRPr="00293550">
        <w:rPr>
          <w:szCs w:val="22"/>
        </w:rPr>
        <w:t xml:space="preserve"> Act, the </w:t>
      </w:r>
      <w:r w:rsidR="008C511F" w:rsidRPr="00293550">
        <w:rPr>
          <w:bCs/>
          <w:i/>
        </w:rPr>
        <w:t>National Vocational Education and Training Regulator (Charges) Act 2012</w:t>
      </w:r>
      <w:r w:rsidR="00D7366A" w:rsidRPr="00293550">
        <w:rPr>
          <w:szCs w:val="22"/>
        </w:rPr>
        <w:t xml:space="preserve"> or the </w:t>
      </w:r>
      <w:r w:rsidR="008C511F" w:rsidRPr="00293550">
        <w:rPr>
          <w:bCs/>
          <w:i/>
        </w:rPr>
        <w:t>Education Services for Overseas Students Act 2000</w:t>
      </w:r>
      <w:r w:rsidR="00BC449A" w:rsidRPr="00293550">
        <w:rPr>
          <w:szCs w:val="22"/>
        </w:rPr>
        <w:t xml:space="preserve"> against an</w:t>
      </w:r>
      <w:r w:rsidR="006D0E0E" w:rsidRPr="00293550">
        <w:rPr>
          <w:szCs w:val="22"/>
        </w:rPr>
        <w:t>y</w:t>
      </w:r>
      <w:r w:rsidR="00BC449A" w:rsidRPr="00293550">
        <w:rPr>
          <w:szCs w:val="22"/>
        </w:rPr>
        <w:t xml:space="preserve"> amount that is payable to the</w:t>
      </w:r>
      <w:r w:rsidR="004560F8" w:rsidRPr="00293550">
        <w:rPr>
          <w:szCs w:val="22"/>
        </w:rPr>
        <w:t xml:space="preserve"> </w:t>
      </w:r>
      <w:r w:rsidR="00261E10" w:rsidRPr="00293550">
        <w:rPr>
          <w:szCs w:val="22"/>
        </w:rPr>
        <w:t>p</w:t>
      </w:r>
      <w:r w:rsidR="00B24F02" w:rsidRPr="00293550">
        <w:rPr>
          <w:szCs w:val="22"/>
        </w:rPr>
        <w:t>erson</w:t>
      </w:r>
      <w:r w:rsidR="00261E10" w:rsidRPr="00293550">
        <w:rPr>
          <w:szCs w:val="22"/>
        </w:rPr>
        <w:t xml:space="preserve"> </w:t>
      </w:r>
      <w:r w:rsidR="00644E73" w:rsidRPr="00293550">
        <w:rPr>
          <w:szCs w:val="22"/>
        </w:rPr>
        <w:t>by the National VET Regulator</w:t>
      </w:r>
      <w:r w:rsidR="00B50C32" w:rsidRPr="00293550">
        <w:rPr>
          <w:szCs w:val="22"/>
        </w:rPr>
        <w:t xml:space="preserve"> under the</w:t>
      </w:r>
      <w:r w:rsidR="006C40D3" w:rsidRPr="00293550">
        <w:rPr>
          <w:szCs w:val="22"/>
        </w:rPr>
        <w:t xml:space="preserve"> Act or any other law</w:t>
      </w:r>
      <w:r w:rsidR="00644E73" w:rsidRPr="00293550">
        <w:rPr>
          <w:szCs w:val="22"/>
        </w:rPr>
        <w:t>.</w:t>
      </w:r>
      <w:r w:rsidRPr="00293550">
        <w:rPr>
          <w:szCs w:val="22"/>
        </w:rPr>
        <w:t xml:space="preserve">  </w:t>
      </w:r>
    </w:p>
    <w:p w14:paraId="195ED060" w14:textId="04D5EA52" w:rsidR="00857194" w:rsidRPr="00293550" w:rsidRDefault="002433D8" w:rsidP="004B49BA">
      <w:pPr>
        <w:pStyle w:val="notetext"/>
        <w:rPr>
          <w:snapToGrid w:val="0"/>
          <w:lang w:eastAsia="en-US"/>
        </w:rPr>
      </w:pPr>
      <w:r w:rsidRPr="00293550">
        <w:rPr>
          <w:snapToGrid w:val="0"/>
          <w:lang w:eastAsia="en-US"/>
        </w:rPr>
        <w:t>Example:</w:t>
      </w:r>
      <w:r w:rsidR="004B49BA" w:rsidRPr="00293550">
        <w:rPr>
          <w:snapToGrid w:val="0"/>
          <w:lang w:eastAsia="en-US"/>
        </w:rPr>
        <w:t xml:space="preserve"> </w:t>
      </w:r>
      <w:r w:rsidR="00760301" w:rsidRPr="00293550">
        <w:rPr>
          <w:snapToGrid w:val="0"/>
          <w:lang w:eastAsia="en-US"/>
        </w:rPr>
        <w:tab/>
      </w:r>
      <w:r w:rsidR="00267E14" w:rsidRPr="00293550">
        <w:rPr>
          <w:snapToGrid w:val="0"/>
          <w:lang w:eastAsia="en-US"/>
        </w:rPr>
        <w:t>In July, an NVR registered training organisation</w:t>
      </w:r>
      <w:r w:rsidR="004B49BA" w:rsidRPr="00293550">
        <w:rPr>
          <w:snapToGrid w:val="0"/>
          <w:lang w:eastAsia="en-US"/>
        </w:rPr>
        <w:t xml:space="preserve"> </w:t>
      </w:r>
      <w:r w:rsidR="00267E14" w:rsidRPr="00293550">
        <w:rPr>
          <w:snapToGrid w:val="0"/>
          <w:lang w:eastAsia="en-US"/>
        </w:rPr>
        <w:t>pays</w:t>
      </w:r>
      <w:r w:rsidR="00993835" w:rsidRPr="00293550">
        <w:rPr>
          <w:snapToGrid w:val="0"/>
          <w:lang w:eastAsia="en-US"/>
        </w:rPr>
        <w:t xml:space="preserve"> a</w:t>
      </w:r>
      <w:r w:rsidR="004B49BA" w:rsidRPr="00293550">
        <w:rPr>
          <w:snapToGrid w:val="0"/>
          <w:lang w:eastAsia="en-US"/>
        </w:rPr>
        <w:t xml:space="preserve"> </w:t>
      </w:r>
      <w:r w:rsidR="00267E14" w:rsidRPr="00293550">
        <w:rPr>
          <w:snapToGrid w:val="0"/>
          <w:lang w:eastAsia="en-US"/>
        </w:rPr>
        <w:t>National VET Regulator</w:t>
      </w:r>
      <w:r w:rsidR="004B49BA" w:rsidRPr="00293550">
        <w:rPr>
          <w:snapToGrid w:val="0"/>
          <w:lang w:eastAsia="en-US"/>
        </w:rPr>
        <w:t xml:space="preserve"> </w:t>
      </w:r>
      <w:r w:rsidR="00267E14" w:rsidRPr="00293550">
        <w:rPr>
          <w:snapToGrid w:val="0"/>
          <w:lang w:eastAsia="en-US"/>
        </w:rPr>
        <w:t>a</w:t>
      </w:r>
      <w:r w:rsidR="004B49BA" w:rsidRPr="00293550">
        <w:rPr>
          <w:snapToGrid w:val="0"/>
          <w:lang w:eastAsia="en-US"/>
        </w:rPr>
        <w:t xml:space="preserve">nnual </w:t>
      </w:r>
      <w:r w:rsidR="00267E14" w:rsidRPr="00293550">
        <w:rPr>
          <w:snapToGrid w:val="0"/>
          <w:lang w:eastAsia="en-US"/>
        </w:rPr>
        <w:t>r</w:t>
      </w:r>
      <w:r w:rsidR="004B49BA" w:rsidRPr="00293550">
        <w:rPr>
          <w:snapToGrid w:val="0"/>
          <w:lang w:eastAsia="en-US"/>
        </w:rPr>
        <w:t xml:space="preserve">egistration </w:t>
      </w:r>
      <w:r w:rsidR="00267E14" w:rsidRPr="00293550">
        <w:rPr>
          <w:snapToGrid w:val="0"/>
          <w:lang w:eastAsia="en-US"/>
        </w:rPr>
        <w:t>c</w:t>
      </w:r>
      <w:r w:rsidR="004B49BA" w:rsidRPr="00293550">
        <w:rPr>
          <w:snapToGrid w:val="0"/>
          <w:lang w:eastAsia="en-US"/>
        </w:rPr>
        <w:t>harge</w:t>
      </w:r>
      <w:r w:rsidR="00857194" w:rsidRPr="00293550">
        <w:rPr>
          <w:snapToGrid w:val="0"/>
          <w:lang w:eastAsia="en-US"/>
        </w:rPr>
        <w:t xml:space="preserve"> amount of $8,245</w:t>
      </w:r>
      <w:r w:rsidR="002A11E6" w:rsidRPr="00293550">
        <w:rPr>
          <w:snapToGrid w:val="0"/>
          <w:lang w:eastAsia="en-US"/>
        </w:rPr>
        <w:t xml:space="preserve"> </w:t>
      </w:r>
      <w:r w:rsidR="00857194" w:rsidRPr="00293550">
        <w:rPr>
          <w:snapToGrid w:val="0"/>
          <w:lang w:eastAsia="en-US"/>
        </w:rPr>
        <w:t>(as imposed by</w:t>
      </w:r>
      <w:r w:rsidR="002A11E6" w:rsidRPr="00293550">
        <w:rPr>
          <w:snapToGrid w:val="0"/>
          <w:lang w:eastAsia="en-US"/>
        </w:rPr>
        <w:t xml:space="preserve"> Part 1A of the </w:t>
      </w:r>
      <w:r w:rsidR="008C511F" w:rsidRPr="00293550">
        <w:rPr>
          <w:bCs/>
          <w:i/>
        </w:rPr>
        <w:t>National Vocational Education and Training Regulator (Charges) Act 2012</w:t>
      </w:r>
      <w:r w:rsidR="00857194" w:rsidRPr="00293550">
        <w:rPr>
          <w:snapToGrid w:val="0"/>
          <w:lang w:eastAsia="en-US"/>
        </w:rPr>
        <w:t>)</w:t>
      </w:r>
      <w:r w:rsidR="004B49BA" w:rsidRPr="00293550">
        <w:rPr>
          <w:snapToGrid w:val="0"/>
          <w:lang w:eastAsia="en-US"/>
        </w:rPr>
        <w:t xml:space="preserve">. </w:t>
      </w:r>
    </w:p>
    <w:p w14:paraId="7BC1A784" w14:textId="1D8AFAC6" w:rsidR="00993835" w:rsidRPr="00293550" w:rsidRDefault="00267E14" w:rsidP="00857194">
      <w:pPr>
        <w:pStyle w:val="notetext"/>
        <w:ind w:firstLine="0"/>
        <w:rPr>
          <w:snapToGrid w:val="0"/>
          <w:lang w:eastAsia="en-US"/>
        </w:rPr>
      </w:pPr>
      <w:r w:rsidRPr="00293550">
        <w:rPr>
          <w:snapToGrid w:val="0"/>
          <w:lang w:eastAsia="en-US"/>
        </w:rPr>
        <w:t>In September</w:t>
      </w:r>
      <w:r w:rsidR="004B49BA" w:rsidRPr="00293550">
        <w:rPr>
          <w:snapToGrid w:val="0"/>
          <w:lang w:eastAsia="en-US"/>
        </w:rPr>
        <w:t>, the Regulator</w:t>
      </w:r>
      <w:r w:rsidR="00993835" w:rsidRPr="00293550">
        <w:rPr>
          <w:snapToGrid w:val="0"/>
          <w:lang w:eastAsia="en-US"/>
        </w:rPr>
        <w:t>:</w:t>
      </w:r>
    </w:p>
    <w:p w14:paraId="6148D7E6" w14:textId="77C32D22" w:rsidR="00993835" w:rsidRPr="00293550" w:rsidRDefault="00993835" w:rsidP="00993835">
      <w:pPr>
        <w:pStyle w:val="notetext"/>
        <w:numPr>
          <w:ilvl w:val="0"/>
          <w:numId w:val="25"/>
        </w:numPr>
        <w:rPr>
          <w:snapToGrid w:val="0"/>
          <w:lang w:eastAsia="en-US"/>
        </w:rPr>
      </w:pPr>
      <w:r w:rsidRPr="00293550">
        <w:rPr>
          <w:snapToGrid w:val="0"/>
          <w:lang w:eastAsia="en-US"/>
        </w:rPr>
        <w:t>conducts a compliance audit of the organisation’s operations under section 35 of the Act</w:t>
      </w:r>
      <w:r w:rsidR="00857194" w:rsidRPr="00293550">
        <w:rPr>
          <w:snapToGrid w:val="0"/>
          <w:lang w:eastAsia="en-US"/>
        </w:rPr>
        <w:t xml:space="preserve">, </w:t>
      </w:r>
      <w:r w:rsidRPr="00293550">
        <w:rPr>
          <w:snapToGrid w:val="0"/>
          <w:lang w:eastAsia="en-US"/>
        </w:rPr>
        <w:t>resulting in a charge</w:t>
      </w:r>
      <w:r w:rsidR="002A11E6" w:rsidRPr="00293550">
        <w:rPr>
          <w:snapToGrid w:val="0"/>
          <w:lang w:eastAsia="en-US"/>
        </w:rPr>
        <w:t xml:space="preserve"> </w:t>
      </w:r>
      <w:r w:rsidRPr="00293550">
        <w:rPr>
          <w:snapToGrid w:val="0"/>
          <w:lang w:eastAsia="en-US"/>
        </w:rPr>
        <w:t>of $6,250</w:t>
      </w:r>
      <w:r w:rsidR="002A11E6" w:rsidRPr="00293550">
        <w:rPr>
          <w:snapToGrid w:val="0"/>
          <w:lang w:eastAsia="en-US"/>
        </w:rPr>
        <w:t xml:space="preserve"> </w:t>
      </w:r>
      <w:r w:rsidR="00857194" w:rsidRPr="00293550">
        <w:rPr>
          <w:snapToGrid w:val="0"/>
          <w:lang w:eastAsia="en-US"/>
        </w:rPr>
        <w:t xml:space="preserve">(as imposed by </w:t>
      </w:r>
      <w:r w:rsidR="002A11E6" w:rsidRPr="00293550">
        <w:rPr>
          <w:snapToGrid w:val="0"/>
          <w:lang w:eastAsia="en-US"/>
        </w:rPr>
        <w:t xml:space="preserve">Part 2 of the </w:t>
      </w:r>
      <w:r w:rsidR="008C511F" w:rsidRPr="00293550">
        <w:rPr>
          <w:bCs/>
          <w:i/>
        </w:rPr>
        <w:t>National Vocational Education and Training Regulator (Charges) Act 2012</w:t>
      </w:r>
      <w:r w:rsidRPr="00293550">
        <w:rPr>
          <w:snapToGrid w:val="0"/>
          <w:lang w:eastAsia="en-US"/>
        </w:rPr>
        <w:t>; and</w:t>
      </w:r>
    </w:p>
    <w:p w14:paraId="4C573E2D" w14:textId="201169F8" w:rsidR="004B49BA" w:rsidRPr="00293550" w:rsidRDefault="004B49BA" w:rsidP="00857194">
      <w:pPr>
        <w:pStyle w:val="notetext"/>
        <w:numPr>
          <w:ilvl w:val="0"/>
          <w:numId w:val="25"/>
        </w:numPr>
        <w:rPr>
          <w:snapToGrid w:val="0"/>
          <w:lang w:eastAsia="en-US"/>
        </w:rPr>
      </w:pPr>
      <w:r w:rsidRPr="00293550">
        <w:rPr>
          <w:snapToGrid w:val="0"/>
          <w:lang w:eastAsia="en-US"/>
        </w:rPr>
        <w:t>cancel</w:t>
      </w:r>
      <w:r w:rsidR="00267E14" w:rsidRPr="00293550">
        <w:rPr>
          <w:snapToGrid w:val="0"/>
          <w:lang w:eastAsia="en-US"/>
        </w:rPr>
        <w:t>s</w:t>
      </w:r>
      <w:r w:rsidRPr="00293550">
        <w:rPr>
          <w:snapToGrid w:val="0"/>
          <w:lang w:eastAsia="en-US"/>
        </w:rPr>
        <w:t xml:space="preserve"> the</w:t>
      </w:r>
      <w:r w:rsidR="00267E14" w:rsidRPr="00293550">
        <w:rPr>
          <w:snapToGrid w:val="0"/>
          <w:lang w:eastAsia="en-US"/>
        </w:rPr>
        <w:t xml:space="preserve"> </w:t>
      </w:r>
      <w:r w:rsidR="00993835" w:rsidRPr="00293550">
        <w:rPr>
          <w:snapToGrid w:val="0"/>
          <w:lang w:eastAsia="en-US"/>
        </w:rPr>
        <w:t>organisation’s</w:t>
      </w:r>
      <w:r w:rsidRPr="00293550">
        <w:rPr>
          <w:snapToGrid w:val="0"/>
          <w:lang w:eastAsia="en-US"/>
        </w:rPr>
        <w:t xml:space="preserve"> registration </w:t>
      </w:r>
      <w:r w:rsidR="002A11E6" w:rsidRPr="00293550">
        <w:rPr>
          <w:snapToGrid w:val="0"/>
          <w:lang w:eastAsia="en-US"/>
        </w:rPr>
        <w:t>under section 39 of the Act</w:t>
      </w:r>
      <w:r w:rsidRPr="00293550">
        <w:rPr>
          <w:snapToGrid w:val="0"/>
          <w:lang w:eastAsia="en-US"/>
        </w:rPr>
        <w:t>.</w:t>
      </w:r>
    </w:p>
    <w:p w14:paraId="78522337" w14:textId="7FAA8F1D" w:rsidR="004B49BA" w:rsidRPr="00293550" w:rsidRDefault="00857194" w:rsidP="004B49BA">
      <w:pPr>
        <w:pStyle w:val="notetext"/>
        <w:ind w:firstLine="0"/>
        <w:rPr>
          <w:snapToGrid w:val="0"/>
          <w:lang w:eastAsia="en-US"/>
        </w:rPr>
      </w:pPr>
      <w:r w:rsidRPr="00293550">
        <w:rPr>
          <w:snapToGrid w:val="0"/>
          <w:lang w:eastAsia="en-US"/>
        </w:rPr>
        <w:t xml:space="preserve">Because the organisation’s </w:t>
      </w:r>
      <w:r w:rsidR="004B49BA" w:rsidRPr="00293550">
        <w:rPr>
          <w:snapToGrid w:val="0"/>
          <w:lang w:eastAsia="en-US"/>
        </w:rPr>
        <w:t>registration was cancelled after two months, the</w:t>
      </w:r>
      <w:r w:rsidR="002A11E6" w:rsidRPr="00293550">
        <w:rPr>
          <w:snapToGrid w:val="0"/>
          <w:lang w:eastAsia="en-US"/>
        </w:rPr>
        <w:t xml:space="preserve"> Regulator </w:t>
      </w:r>
      <w:r w:rsidRPr="00293550">
        <w:rPr>
          <w:snapToGrid w:val="0"/>
          <w:lang w:eastAsia="en-US"/>
        </w:rPr>
        <w:t>adjusts</w:t>
      </w:r>
      <w:r w:rsidR="002A11E6" w:rsidRPr="00293550">
        <w:rPr>
          <w:snapToGrid w:val="0"/>
          <w:lang w:eastAsia="en-US"/>
        </w:rPr>
        <w:t xml:space="preserve"> the amount</w:t>
      </w:r>
      <w:r w:rsidRPr="00293550">
        <w:rPr>
          <w:snapToGrid w:val="0"/>
          <w:lang w:eastAsia="en-US"/>
        </w:rPr>
        <w:t xml:space="preserve"> of National VET Regulator annual registration charge </w:t>
      </w:r>
      <w:r w:rsidR="002A11E6" w:rsidRPr="00293550">
        <w:rPr>
          <w:snapToGrid w:val="0"/>
          <w:lang w:eastAsia="en-US"/>
        </w:rPr>
        <w:t>payable</w:t>
      </w:r>
      <w:r w:rsidRPr="00293550">
        <w:rPr>
          <w:snapToGrid w:val="0"/>
          <w:lang w:eastAsia="en-US"/>
        </w:rPr>
        <w:t xml:space="preserve"> </w:t>
      </w:r>
      <w:r w:rsidR="004B49BA" w:rsidRPr="00293550">
        <w:rPr>
          <w:snapToGrid w:val="0"/>
          <w:lang w:eastAsia="en-US"/>
        </w:rPr>
        <w:t>to $1,374</w:t>
      </w:r>
      <w:r w:rsidRPr="00293550">
        <w:rPr>
          <w:snapToGrid w:val="0"/>
          <w:lang w:eastAsia="en-US"/>
        </w:rPr>
        <w:t xml:space="preserve">, entitling the organisation </w:t>
      </w:r>
      <w:r w:rsidR="004B49BA" w:rsidRPr="00293550">
        <w:rPr>
          <w:snapToGrid w:val="0"/>
          <w:lang w:eastAsia="en-US"/>
        </w:rPr>
        <w:t>to a refund of $6,871 ($8,245 – $1,374).</w:t>
      </w:r>
    </w:p>
    <w:p w14:paraId="46458A11" w14:textId="3CF111AF" w:rsidR="002433D8" w:rsidRPr="00293550" w:rsidRDefault="00857194" w:rsidP="004B49BA">
      <w:pPr>
        <w:pStyle w:val="notetext"/>
        <w:ind w:firstLine="0"/>
        <w:rPr>
          <w:snapToGrid w:val="0"/>
          <w:lang w:eastAsia="en-US"/>
        </w:rPr>
      </w:pPr>
      <w:r w:rsidRPr="00293550">
        <w:rPr>
          <w:snapToGrid w:val="0"/>
          <w:lang w:eastAsia="en-US"/>
        </w:rPr>
        <w:t>T</w:t>
      </w:r>
      <w:r w:rsidR="004B49BA" w:rsidRPr="00293550">
        <w:rPr>
          <w:snapToGrid w:val="0"/>
          <w:lang w:eastAsia="en-US"/>
        </w:rPr>
        <w:t xml:space="preserve">he </w:t>
      </w:r>
      <w:r w:rsidRPr="00293550">
        <w:rPr>
          <w:snapToGrid w:val="0"/>
          <w:lang w:eastAsia="en-US"/>
        </w:rPr>
        <w:t xml:space="preserve">organisation </w:t>
      </w:r>
      <w:r w:rsidR="004B49BA" w:rsidRPr="00293550">
        <w:rPr>
          <w:snapToGrid w:val="0"/>
          <w:lang w:eastAsia="en-US"/>
        </w:rPr>
        <w:t xml:space="preserve">has not </w:t>
      </w:r>
      <w:r w:rsidRPr="00293550">
        <w:rPr>
          <w:snapToGrid w:val="0"/>
          <w:lang w:eastAsia="en-US"/>
        </w:rPr>
        <w:t xml:space="preserve">yet </w:t>
      </w:r>
      <w:r w:rsidR="004B49BA" w:rsidRPr="00293550">
        <w:rPr>
          <w:snapToGrid w:val="0"/>
          <w:lang w:eastAsia="en-US"/>
        </w:rPr>
        <w:t xml:space="preserve">paid the </w:t>
      </w:r>
      <w:r w:rsidRPr="00293550">
        <w:rPr>
          <w:snapToGrid w:val="0"/>
          <w:lang w:eastAsia="en-US"/>
        </w:rPr>
        <w:t>compliance audit charge of</w:t>
      </w:r>
      <w:r w:rsidR="004B49BA" w:rsidRPr="00293550">
        <w:rPr>
          <w:snapToGrid w:val="0"/>
          <w:lang w:eastAsia="en-US"/>
        </w:rPr>
        <w:t xml:space="preserve"> $6,250</w:t>
      </w:r>
      <w:r w:rsidRPr="00293550">
        <w:rPr>
          <w:snapToGrid w:val="0"/>
          <w:lang w:eastAsia="en-US"/>
        </w:rPr>
        <w:t>, so</w:t>
      </w:r>
      <w:r w:rsidR="004B49BA" w:rsidRPr="00293550">
        <w:rPr>
          <w:snapToGrid w:val="0"/>
          <w:lang w:eastAsia="en-US"/>
        </w:rPr>
        <w:t xml:space="preserve"> </w:t>
      </w:r>
      <w:r w:rsidRPr="00293550">
        <w:rPr>
          <w:snapToGrid w:val="0"/>
          <w:lang w:eastAsia="en-US"/>
        </w:rPr>
        <w:t>t</w:t>
      </w:r>
      <w:r w:rsidR="004B49BA" w:rsidRPr="00293550">
        <w:rPr>
          <w:snapToGrid w:val="0"/>
          <w:lang w:eastAsia="en-US"/>
        </w:rPr>
        <w:t xml:space="preserve">he Regulator </w:t>
      </w:r>
      <w:r w:rsidRPr="00293550">
        <w:rPr>
          <w:snapToGrid w:val="0"/>
          <w:lang w:eastAsia="en-US"/>
        </w:rPr>
        <w:t xml:space="preserve">sets off this amount against the refund amount of $6,871. This reduces the amount payable to the organisation to </w:t>
      </w:r>
      <w:r w:rsidR="004B49BA" w:rsidRPr="00293550">
        <w:rPr>
          <w:snapToGrid w:val="0"/>
          <w:lang w:eastAsia="en-US"/>
        </w:rPr>
        <w:t>$621 ($6,871 – $6,250).</w:t>
      </w:r>
    </w:p>
    <w:p w14:paraId="6AEAA6D0" w14:textId="77777777" w:rsidR="00ED307E" w:rsidRPr="00293550" w:rsidRDefault="00ED307E" w:rsidP="00ED307E">
      <w:pPr>
        <w:pStyle w:val="subsection"/>
      </w:pPr>
    </w:p>
    <w:p w14:paraId="3F8B86C6" w14:textId="77777777" w:rsidR="004B49BA" w:rsidRPr="00293550" w:rsidRDefault="004B49BA">
      <w:pPr>
        <w:spacing w:line="240" w:lineRule="auto"/>
        <w:rPr>
          <w:rFonts w:ascii="Arial" w:eastAsia="Times New Roman" w:hAnsi="Arial" w:cs="Times New Roman"/>
          <w:b/>
          <w:kern w:val="28"/>
          <w:sz w:val="32"/>
          <w:lang w:eastAsia="en-AU"/>
        </w:rPr>
      </w:pPr>
      <w:r w:rsidRPr="00293550">
        <w:br w:type="page"/>
      </w:r>
    </w:p>
    <w:p w14:paraId="54931C6D" w14:textId="0A0010A7" w:rsidR="00D6537E" w:rsidRPr="00293550" w:rsidRDefault="004E1307" w:rsidP="00D6537E">
      <w:pPr>
        <w:pStyle w:val="ActHead6"/>
      </w:pPr>
      <w:bookmarkStart w:id="26" w:name="_Toc100239496"/>
      <w:r w:rsidRPr="00293550">
        <w:lastRenderedPageBreak/>
        <w:t xml:space="preserve">Schedule </w:t>
      </w:r>
      <w:r w:rsidR="00D6537E" w:rsidRPr="00293550">
        <w:t>1—Repeals</w:t>
      </w:r>
      <w:bookmarkEnd w:id="26"/>
    </w:p>
    <w:p w14:paraId="35405E76" w14:textId="77777777" w:rsidR="00C73ECB" w:rsidRPr="00293550" w:rsidRDefault="00C73ECB" w:rsidP="00C73ECB">
      <w:pPr>
        <w:pStyle w:val="ActHead9"/>
      </w:pPr>
      <w:bookmarkStart w:id="27" w:name="_Toc100239497"/>
      <w:bookmarkStart w:id="28" w:name="_Hlk96504769"/>
      <w:r w:rsidRPr="00293550">
        <w:t>Australian Skills Quality Authority Instrument Fixing Fees Amendment Determination (No. 1) 2018</w:t>
      </w:r>
      <w:bookmarkEnd w:id="27"/>
    </w:p>
    <w:p w14:paraId="34A19E09" w14:textId="77777777" w:rsidR="00D6537E" w:rsidRPr="00293550" w:rsidRDefault="00D6537E" w:rsidP="00D6537E">
      <w:pPr>
        <w:pStyle w:val="ItemHead"/>
      </w:pPr>
      <w:r w:rsidRPr="00293550">
        <w:t xml:space="preserve">1  </w:t>
      </w:r>
      <w:r w:rsidR="00BB1533" w:rsidRPr="00293550">
        <w:t>The w</w:t>
      </w:r>
      <w:r w:rsidRPr="00293550">
        <w:t>hole of the instrument</w:t>
      </w:r>
    </w:p>
    <w:p w14:paraId="115978B8" w14:textId="1637E701" w:rsidR="00554826" w:rsidRPr="00293550" w:rsidRDefault="00D6537E" w:rsidP="00C73ECB">
      <w:pPr>
        <w:pStyle w:val="Item"/>
      </w:pPr>
      <w:r w:rsidRPr="00293550">
        <w:t>Repeal the instrument</w:t>
      </w:r>
    </w:p>
    <w:p w14:paraId="79A5CC2E" w14:textId="6BAC14BD" w:rsidR="00C73ECB" w:rsidRPr="00293550" w:rsidRDefault="00C73ECB" w:rsidP="00C73ECB">
      <w:pPr>
        <w:pStyle w:val="ActHead9"/>
      </w:pPr>
      <w:bookmarkStart w:id="29" w:name="_Toc100239498"/>
      <w:r w:rsidRPr="00293550">
        <w:t>Australian Skills Quality Authority instrument fixing fees No.1 of 2013</w:t>
      </w:r>
      <w:bookmarkEnd w:id="29"/>
    </w:p>
    <w:p w14:paraId="140081B3" w14:textId="36E5DCB6" w:rsidR="00C73ECB" w:rsidRPr="00293550" w:rsidRDefault="00C73ECB" w:rsidP="00C73ECB">
      <w:pPr>
        <w:pStyle w:val="ItemHead"/>
      </w:pPr>
      <w:r w:rsidRPr="00293550">
        <w:t>2  The whole of the instrument</w:t>
      </w:r>
    </w:p>
    <w:p w14:paraId="727C7B07" w14:textId="77777777" w:rsidR="00C73ECB" w:rsidRDefault="00C73ECB" w:rsidP="00C73ECB">
      <w:pPr>
        <w:pStyle w:val="Item"/>
      </w:pPr>
      <w:r w:rsidRPr="00293550">
        <w:t>Repeal the instrument</w:t>
      </w:r>
    </w:p>
    <w:bookmarkEnd w:id="28"/>
    <w:p w14:paraId="7BB74E48" w14:textId="07DAD328" w:rsidR="00A75FE9" w:rsidRDefault="00A75FE9" w:rsidP="00C73ECB">
      <w:pPr>
        <w:spacing w:line="240" w:lineRule="auto"/>
      </w:pPr>
    </w:p>
    <w:sectPr w:rsidR="00A75FE9"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204A" w14:textId="77777777" w:rsidR="00762408" w:rsidRDefault="00762408" w:rsidP="00715914">
      <w:pPr>
        <w:spacing w:line="240" w:lineRule="auto"/>
      </w:pPr>
      <w:r>
        <w:separator/>
      </w:r>
    </w:p>
  </w:endnote>
  <w:endnote w:type="continuationSeparator" w:id="0">
    <w:p w14:paraId="5C7A0435" w14:textId="77777777" w:rsidR="00762408" w:rsidRDefault="007624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A637" w14:textId="45152616" w:rsidR="00651BB6" w:rsidRPr="00E33C1C" w:rsidRDefault="00651BB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51BB6" w14:paraId="4D7E552A" w14:textId="77777777" w:rsidTr="00B33709">
      <w:tc>
        <w:tcPr>
          <w:tcW w:w="709" w:type="dxa"/>
          <w:tcBorders>
            <w:top w:val="nil"/>
            <w:left w:val="nil"/>
            <w:bottom w:val="nil"/>
            <w:right w:val="nil"/>
          </w:tcBorders>
        </w:tcPr>
        <w:p w14:paraId="514679D4" w14:textId="77777777" w:rsidR="00651BB6" w:rsidRDefault="00651BB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7BC8F83" w14:textId="3E870B70" w:rsidR="00651BB6" w:rsidRPr="004E1307" w:rsidRDefault="00651BB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212C">
            <w:rPr>
              <w:i/>
              <w:noProof/>
              <w:sz w:val="18"/>
            </w:rPr>
            <w:t>National Vocational Education and Training Regulator (Fees) Determination 2022</w:t>
          </w:r>
          <w:r w:rsidRPr="004E1307">
            <w:rPr>
              <w:i/>
              <w:sz w:val="18"/>
            </w:rPr>
            <w:fldChar w:fldCharType="end"/>
          </w:r>
        </w:p>
      </w:tc>
      <w:tc>
        <w:tcPr>
          <w:tcW w:w="1383" w:type="dxa"/>
          <w:tcBorders>
            <w:top w:val="nil"/>
            <w:left w:val="nil"/>
            <w:bottom w:val="nil"/>
            <w:right w:val="nil"/>
          </w:tcBorders>
        </w:tcPr>
        <w:p w14:paraId="37DA51BB" w14:textId="77777777" w:rsidR="00651BB6" w:rsidRDefault="00651BB6" w:rsidP="00A369E3">
          <w:pPr>
            <w:spacing w:line="0" w:lineRule="atLeast"/>
            <w:jc w:val="right"/>
            <w:rPr>
              <w:sz w:val="18"/>
            </w:rPr>
          </w:pPr>
        </w:p>
      </w:tc>
    </w:tr>
    <w:tr w:rsidR="00651BB6" w14:paraId="5135561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2960B1F" w14:textId="77777777" w:rsidR="00651BB6" w:rsidRDefault="00651BB6" w:rsidP="00A369E3">
          <w:pPr>
            <w:jc w:val="right"/>
            <w:rPr>
              <w:sz w:val="18"/>
            </w:rPr>
          </w:pPr>
        </w:p>
      </w:tc>
    </w:tr>
  </w:tbl>
  <w:p w14:paraId="0634822F" w14:textId="77777777" w:rsidR="00651BB6" w:rsidRPr="00ED79B6" w:rsidRDefault="00651BB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E22" w14:textId="5DA9AEED" w:rsidR="00651BB6" w:rsidRPr="00E33C1C" w:rsidRDefault="00651BB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651BB6" w14:paraId="7DE64F06" w14:textId="77777777" w:rsidTr="00A369E3">
      <w:tc>
        <w:tcPr>
          <w:tcW w:w="1384" w:type="dxa"/>
          <w:tcBorders>
            <w:top w:val="nil"/>
            <w:left w:val="nil"/>
            <w:bottom w:val="nil"/>
            <w:right w:val="nil"/>
          </w:tcBorders>
        </w:tcPr>
        <w:p w14:paraId="1DEC7551" w14:textId="77777777" w:rsidR="00651BB6" w:rsidRDefault="00651BB6" w:rsidP="00A369E3">
          <w:pPr>
            <w:spacing w:line="0" w:lineRule="atLeast"/>
            <w:rPr>
              <w:sz w:val="18"/>
            </w:rPr>
          </w:pPr>
        </w:p>
      </w:tc>
      <w:tc>
        <w:tcPr>
          <w:tcW w:w="6379" w:type="dxa"/>
          <w:tcBorders>
            <w:top w:val="nil"/>
            <w:left w:val="nil"/>
            <w:bottom w:val="nil"/>
            <w:right w:val="nil"/>
          </w:tcBorders>
        </w:tcPr>
        <w:p w14:paraId="135D694A" w14:textId="596B3CFC" w:rsidR="00651BB6" w:rsidRDefault="00651BB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212C">
            <w:rPr>
              <w:i/>
              <w:noProof/>
              <w:sz w:val="18"/>
            </w:rPr>
            <w:t>National Vocational Education and Training Regulator (Fees) Determination 2022</w:t>
          </w:r>
          <w:r w:rsidRPr="004E1307">
            <w:rPr>
              <w:i/>
              <w:sz w:val="18"/>
            </w:rPr>
            <w:fldChar w:fldCharType="end"/>
          </w:r>
        </w:p>
      </w:tc>
      <w:tc>
        <w:tcPr>
          <w:tcW w:w="709" w:type="dxa"/>
          <w:tcBorders>
            <w:top w:val="nil"/>
            <w:left w:val="nil"/>
            <w:bottom w:val="nil"/>
            <w:right w:val="nil"/>
          </w:tcBorders>
        </w:tcPr>
        <w:p w14:paraId="019CF818" w14:textId="77777777" w:rsidR="00651BB6" w:rsidRDefault="00651BB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51BB6" w14:paraId="524C539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729860" w14:textId="77777777" w:rsidR="00651BB6" w:rsidRDefault="00651BB6" w:rsidP="00A369E3">
          <w:pPr>
            <w:rPr>
              <w:sz w:val="18"/>
            </w:rPr>
          </w:pPr>
        </w:p>
      </w:tc>
    </w:tr>
  </w:tbl>
  <w:p w14:paraId="552FDB50" w14:textId="77777777" w:rsidR="00651BB6" w:rsidRPr="00ED79B6" w:rsidRDefault="00651BB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018D" w14:textId="5763030A" w:rsidR="00651BB6" w:rsidRPr="00E33C1C" w:rsidRDefault="00651BB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51BB6" w14:paraId="43A9A97B" w14:textId="77777777" w:rsidTr="00B33709">
      <w:tc>
        <w:tcPr>
          <w:tcW w:w="1384" w:type="dxa"/>
          <w:tcBorders>
            <w:top w:val="nil"/>
            <w:left w:val="nil"/>
            <w:bottom w:val="nil"/>
            <w:right w:val="nil"/>
          </w:tcBorders>
        </w:tcPr>
        <w:p w14:paraId="3C616001" w14:textId="77777777" w:rsidR="00651BB6" w:rsidRDefault="00651BB6" w:rsidP="00A369E3">
          <w:pPr>
            <w:spacing w:line="0" w:lineRule="atLeast"/>
            <w:rPr>
              <w:sz w:val="18"/>
            </w:rPr>
          </w:pPr>
        </w:p>
      </w:tc>
      <w:tc>
        <w:tcPr>
          <w:tcW w:w="6379" w:type="dxa"/>
          <w:tcBorders>
            <w:top w:val="nil"/>
            <w:left w:val="nil"/>
            <w:bottom w:val="nil"/>
            <w:right w:val="nil"/>
          </w:tcBorders>
        </w:tcPr>
        <w:p w14:paraId="7EACE1C6" w14:textId="77777777" w:rsidR="00651BB6" w:rsidRDefault="00651BB6" w:rsidP="00A369E3">
          <w:pPr>
            <w:spacing w:line="0" w:lineRule="atLeast"/>
            <w:jc w:val="center"/>
            <w:rPr>
              <w:sz w:val="18"/>
            </w:rPr>
          </w:pPr>
        </w:p>
      </w:tc>
      <w:tc>
        <w:tcPr>
          <w:tcW w:w="709" w:type="dxa"/>
          <w:tcBorders>
            <w:top w:val="nil"/>
            <w:left w:val="nil"/>
            <w:bottom w:val="nil"/>
            <w:right w:val="nil"/>
          </w:tcBorders>
        </w:tcPr>
        <w:p w14:paraId="495E59D9" w14:textId="77777777" w:rsidR="00651BB6" w:rsidRDefault="00651BB6" w:rsidP="00A369E3">
          <w:pPr>
            <w:spacing w:line="0" w:lineRule="atLeast"/>
            <w:jc w:val="right"/>
            <w:rPr>
              <w:sz w:val="18"/>
            </w:rPr>
          </w:pPr>
        </w:p>
      </w:tc>
    </w:tr>
  </w:tbl>
  <w:p w14:paraId="5ED7B0BE" w14:textId="77777777" w:rsidR="00651BB6" w:rsidRPr="00ED79B6" w:rsidRDefault="00651BB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210C" w14:textId="77777777" w:rsidR="00651BB6" w:rsidRPr="002B0EA5" w:rsidRDefault="00651BB6" w:rsidP="00E4599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51BB6" w14:paraId="6AA0736E" w14:textId="77777777" w:rsidTr="00E4599A">
      <w:tc>
        <w:tcPr>
          <w:tcW w:w="365" w:type="pct"/>
        </w:tcPr>
        <w:p w14:paraId="04D2AEF7" w14:textId="77777777" w:rsidR="00651BB6" w:rsidRDefault="00651BB6" w:rsidP="00E459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18EF8E6" w14:textId="24422D07" w:rsidR="00651BB6" w:rsidRDefault="00651BB6" w:rsidP="00E4599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212C">
            <w:rPr>
              <w:i/>
              <w:noProof/>
              <w:sz w:val="18"/>
            </w:rPr>
            <w:t>National Vocational Education and Training Regulator (Fees) Determination 2022</w:t>
          </w:r>
          <w:r w:rsidRPr="004E1307">
            <w:rPr>
              <w:i/>
              <w:sz w:val="18"/>
            </w:rPr>
            <w:fldChar w:fldCharType="end"/>
          </w:r>
        </w:p>
      </w:tc>
      <w:tc>
        <w:tcPr>
          <w:tcW w:w="947" w:type="pct"/>
        </w:tcPr>
        <w:p w14:paraId="04EF47C1" w14:textId="77777777" w:rsidR="00651BB6" w:rsidRDefault="00651BB6" w:rsidP="00E4599A">
          <w:pPr>
            <w:spacing w:line="0" w:lineRule="atLeast"/>
            <w:jc w:val="right"/>
            <w:rPr>
              <w:sz w:val="18"/>
            </w:rPr>
          </w:pPr>
        </w:p>
      </w:tc>
    </w:tr>
    <w:tr w:rsidR="00651BB6" w14:paraId="4A978788" w14:textId="77777777" w:rsidTr="00E4599A">
      <w:tc>
        <w:tcPr>
          <w:tcW w:w="5000" w:type="pct"/>
          <w:gridSpan w:val="3"/>
        </w:tcPr>
        <w:p w14:paraId="28792545" w14:textId="77777777" w:rsidR="00651BB6" w:rsidRDefault="00651BB6" w:rsidP="00E4599A">
          <w:pPr>
            <w:jc w:val="right"/>
            <w:rPr>
              <w:sz w:val="18"/>
            </w:rPr>
          </w:pPr>
        </w:p>
      </w:tc>
    </w:tr>
  </w:tbl>
  <w:p w14:paraId="3237407A" w14:textId="77777777" w:rsidR="00651BB6" w:rsidRPr="00ED79B6" w:rsidRDefault="00651BB6" w:rsidP="00E4599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DC3" w14:textId="096E2981" w:rsidR="00651BB6" w:rsidRPr="002B0EA5" w:rsidRDefault="00651BB6" w:rsidP="00E4599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51BB6" w14:paraId="29C94882" w14:textId="77777777" w:rsidTr="00E4599A">
      <w:tc>
        <w:tcPr>
          <w:tcW w:w="947" w:type="pct"/>
        </w:tcPr>
        <w:p w14:paraId="5C1BB337" w14:textId="77777777" w:rsidR="00651BB6" w:rsidRDefault="00651BB6" w:rsidP="00E4599A">
          <w:pPr>
            <w:spacing w:line="0" w:lineRule="atLeast"/>
            <w:rPr>
              <w:sz w:val="18"/>
            </w:rPr>
          </w:pPr>
        </w:p>
      </w:tc>
      <w:tc>
        <w:tcPr>
          <w:tcW w:w="3688" w:type="pct"/>
        </w:tcPr>
        <w:p w14:paraId="2DB739B8" w14:textId="7B97B54E" w:rsidR="00651BB6" w:rsidRDefault="00651BB6" w:rsidP="00E4599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D5BE4">
            <w:rPr>
              <w:i/>
              <w:noProof/>
              <w:sz w:val="18"/>
            </w:rPr>
            <w:t>National Vocational Education and Training Regulator (Fees) Determination 2022</w:t>
          </w:r>
          <w:r w:rsidRPr="004E1307">
            <w:rPr>
              <w:i/>
              <w:sz w:val="18"/>
            </w:rPr>
            <w:fldChar w:fldCharType="end"/>
          </w:r>
        </w:p>
      </w:tc>
      <w:tc>
        <w:tcPr>
          <w:tcW w:w="365" w:type="pct"/>
        </w:tcPr>
        <w:p w14:paraId="692E2188" w14:textId="77777777" w:rsidR="00651BB6" w:rsidRDefault="00651BB6" w:rsidP="00E459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651BB6" w14:paraId="5F08FB9C" w14:textId="77777777" w:rsidTr="00E4599A">
      <w:tc>
        <w:tcPr>
          <w:tcW w:w="5000" w:type="pct"/>
          <w:gridSpan w:val="3"/>
        </w:tcPr>
        <w:p w14:paraId="29EF5E7F" w14:textId="77777777" w:rsidR="00651BB6" w:rsidRDefault="00651BB6" w:rsidP="00E4599A">
          <w:pPr>
            <w:rPr>
              <w:sz w:val="18"/>
            </w:rPr>
          </w:pPr>
        </w:p>
      </w:tc>
    </w:tr>
  </w:tbl>
  <w:p w14:paraId="76A988D4" w14:textId="77777777" w:rsidR="00651BB6" w:rsidRPr="00ED79B6" w:rsidRDefault="00651BB6" w:rsidP="00E4599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6BCE" w14:textId="77777777" w:rsidR="00651BB6" w:rsidRPr="002B0EA5" w:rsidRDefault="00651BB6" w:rsidP="00E4599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51BB6" w14:paraId="0B537A6D" w14:textId="77777777" w:rsidTr="00E4599A">
      <w:tc>
        <w:tcPr>
          <w:tcW w:w="365" w:type="pct"/>
        </w:tcPr>
        <w:p w14:paraId="16B68BFD" w14:textId="77777777" w:rsidR="00651BB6" w:rsidRDefault="00651BB6" w:rsidP="00E459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74252DB1" w14:textId="1F7F9348" w:rsidR="00651BB6" w:rsidRDefault="00651BB6" w:rsidP="00E4599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D5BE4">
            <w:rPr>
              <w:i/>
              <w:noProof/>
              <w:sz w:val="18"/>
            </w:rPr>
            <w:t>National Vocational Education and Training Regulator (Fees) Determination 2022</w:t>
          </w:r>
          <w:r w:rsidRPr="004E1307">
            <w:rPr>
              <w:i/>
              <w:sz w:val="18"/>
            </w:rPr>
            <w:fldChar w:fldCharType="end"/>
          </w:r>
        </w:p>
      </w:tc>
      <w:tc>
        <w:tcPr>
          <w:tcW w:w="947" w:type="pct"/>
        </w:tcPr>
        <w:p w14:paraId="5156D5C3" w14:textId="77777777" w:rsidR="00651BB6" w:rsidRDefault="00651BB6" w:rsidP="00E4599A">
          <w:pPr>
            <w:spacing w:line="0" w:lineRule="atLeast"/>
            <w:jc w:val="right"/>
            <w:rPr>
              <w:sz w:val="18"/>
            </w:rPr>
          </w:pPr>
        </w:p>
      </w:tc>
    </w:tr>
    <w:tr w:rsidR="00651BB6" w14:paraId="505510A6" w14:textId="77777777" w:rsidTr="00E4599A">
      <w:tc>
        <w:tcPr>
          <w:tcW w:w="5000" w:type="pct"/>
          <w:gridSpan w:val="3"/>
        </w:tcPr>
        <w:p w14:paraId="1C8C603F" w14:textId="77777777" w:rsidR="00651BB6" w:rsidRDefault="00651BB6" w:rsidP="00E4599A">
          <w:pPr>
            <w:jc w:val="right"/>
            <w:rPr>
              <w:sz w:val="18"/>
            </w:rPr>
          </w:pPr>
        </w:p>
      </w:tc>
    </w:tr>
  </w:tbl>
  <w:p w14:paraId="6A6CA03F" w14:textId="77777777" w:rsidR="00651BB6" w:rsidRPr="00ED79B6" w:rsidRDefault="00651BB6" w:rsidP="00E4599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5AAB" w14:textId="360CC1EC" w:rsidR="00651BB6" w:rsidRPr="002B0EA5" w:rsidRDefault="00651BB6" w:rsidP="00E4599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51BB6" w14:paraId="56CD036C" w14:textId="77777777" w:rsidTr="00E4599A">
      <w:tc>
        <w:tcPr>
          <w:tcW w:w="947" w:type="pct"/>
        </w:tcPr>
        <w:p w14:paraId="1BA84224" w14:textId="77777777" w:rsidR="00651BB6" w:rsidRDefault="00651BB6" w:rsidP="00E4599A">
          <w:pPr>
            <w:spacing w:line="0" w:lineRule="atLeast"/>
            <w:rPr>
              <w:sz w:val="18"/>
            </w:rPr>
          </w:pPr>
        </w:p>
      </w:tc>
      <w:tc>
        <w:tcPr>
          <w:tcW w:w="3688" w:type="pct"/>
        </w:tcPr>
        <w:p w14:paraId="20FE27C3" w14:textId="4C6B42C8" w:rsidR="00651BB6" w:rsidRDefault="00651BB6" w:rsidP="00E4599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D5BE4">
            <w:rPr>
              <w:i/>
              <w:noProof/>
              <w:sz w:val="18"/>
            </w:rPr>
            <w:t>National Vocational Education and Training Regulator (Fees) Determination 2022</w:t>
          </w:r>
          <w:r w:rsidRPr="004E1307">
            <w:rPr>
              <w:i/>
              <w:sz w:val="18"/>
            </w:rPr>
            <w:fldChar w:fldCharType="end"/>
          </w:r>
        </w:p>
      </w:tc>
      <w:tc>
        <w:tcPr>
          <w:tcW w:w="365" w:type="pct"/>
        </w:tcPr>
        <w:p w14:paraId="51481EA8" w14:textId="77777777" w:rsidR="00651BB6" w:rsidRDefault="00651BB6" w:rsidP="00E459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651BB6" w14:paraId="05C6AC0F" w14:textId="77777777" w:rsidTr="00E4599A">
      <w:tc>
        <w:tcPr>
          <w:tcW w:w="5000" w:type="pct"/>
          <w:gridSpan w:val="3"/>
        </w:tcPr>
        <w:p w14:paraId="120931C2" w14:textId="77777777" w:rsidR="00651BB6" w:rsidRDefault="00651BB6" w:rsidP="00E4599A">
          <w:pPr>
            <w:rPr>
              <w:sz w:val="18"/>
            </w:rPr>
          </w:pPr>
        </w:p>
      </w:tc>
    </w:tr>
  </w:tbl>
  <w:p w14:paraId="31C360FD" w14:textId="77777777" w:rsidR="00651BB6" w:rsidRPr="00ED79B6" w:rsidRDefault="00651BB6" w:rsidP="00E4599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7A64" w14:textId="77777777" w:rsidR="00762408" w:rsidRDefault="00762408" w:rsidP="00715914">
      <w:pPr>
        <w:spacing w:line="240" w:lineRule="auto"/>
      </w:pPr>
      <w:r>
        <w:separator/>
      </w:r>
    </w:p>
  </w:footnote>
  <w:footnote w:type="continuationSeparator" w:id="0">
    <w:p w14:paraId="066EBAD1" w14:textId="77777777" w:rsidR="00762408" w:rsidRDefault="0076240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888A" w14:textId="03539C17" w:rsidR="00651BB6" w:rsidRPr="005F1388" w:rsidRDefault="00651BB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5F06" w14:textId="61112D57" w:rsidR="00651BB6" w:rsidRPr="005F1388" w:rsidRDefault="00651BB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6C5" w14:textId="4D46BEAB" w:rsidR="000824BD" w:rsidRDefault="00082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8263" w14:textId="4FA1A91F" w:rsidR="00651BB6" w:rsidRPr="00ED79B6" w:rsidRDefault="00651BB6" w:rsidP="00E4599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0FF6" w14:textId="4E912D75" w:rsidR="00651BB6" w:rsidRPr="00ED79B6" w:rsidRDefault="00651BB6" w:rsidP="00E4599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0206" w14:textId="06C40932" w:rsidR="00651BB6" w:rsidRPr="00ED79B6" w:rsidRDefault="00651BB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CFE3" w14:textId="77777777" w:rsidR="00651BB6" w:rsidRDefault="00651BB6" w:rsidP="00715914">
    <w:pPr>
      <w:rPr>
        <w:sz w:val="20"/>
      </w:rPr>
    </w:pPr>
  </w:p>
  <w:p w14:paraId="52B21640" w14:textId="77777777" w:rsidR="00651BB6" w:rsidRDefault="00651BB6" w:rsidP="00715914">
    <w:pPr>
      <w:rPr>
        <w:sz w:val="20"/>
      </w:rPr>
    </w:pPr>
  </w:p>
  <w:p w14:paraId="150C667A" w14:textId="77777777" w:rsidR="00651BB6" w:rsidRPr="007A1328" w:rsidRDefault="00651BB6" w:rsidP="00715914">
    <w:pPr>
      <w:rPr>
        <w:sz w:val="20"/>
      </w:rPr>
    </w:pPr>
  </w:p>
  <w:p w14:paraId="17C405E7" w14:textId="77777777" w:rsidR="00651BB6" w:rsidRPr="007A1328" w:rsidRDefault="00651BB6" w:rsidP="00715914">
    <w:pPr>
      <w:rPr>
        <w:b/>
        <w:sz w:val="24"/>
      </w:rPr>
    </w:pPr>
  </w:p>
  <w:p w14:paraId="56232F81" w14:textId="77777777" w:rsidR="00651BB6" w:rsidRPr="007A1328" w:rsidRDefault="00651BB6"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820A" w14:textId="4F132858" w:rsidR="00651BB6" w:rsidRPr="007A1328" w:rsidRDefault="00651BB6" w:rsidP="00715914">
    <w:pPr>
      <w:jc w:val="right"/>
      <w:rPr>
        <w:sz w:val="20"/>
      </w:rPr>
    </w:pPr>
  </w:p>
  <w:p w14:paraId="4E25A30E" w14:textId="77777777" w:rsidR="00651BB6" w:rsidRPr="007A1328" w:rsidRDefault="00651BB6" w:rsidP="00715914">
    <w:pPr>
      <w:jc w:val="right"/>
      <w:rPr>
        <w:sz w:val="20"/>
      </w:rPr>
    </w:pPr>
  </w:p>
  <w:p w14:paraId="14ED3FCF" w14:textId="77777777" w:rsidR="00651BB6" w:rsidRPr="007A1328" w:rsidRDefault="00651BB6" w:rsidP="00715914">
    <w:pPr>
      <w:jc w:val="right"/>
      <w:rPr>
        <w:sz w:val="20"/>
      </w:rPr>
    </w:pPr>
  </w:p>
  <w:p w14:paraId="6CB59501" w14:textId="77777777" w:rsidR="00651BB6" w:rsidRPr="007A1328" w:rsidRDefault="00651BB6" w:rsidP="00715914">
    <w:pPr>
      <w:jc w:val="right"/>
      <w:rPr>
        <w:b/>
        <w:sz w:val="24"/>
      </w:rPr>
    </w:pPr>
  </w:p>
  <w:p w14:paraId="0D223908" w14:textId="77777777" w:rsidR="00651BB6" w:rsidRPr="007A1328" w:rsidRDefault="00651BB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E64BC"/>
    <w:multiLevelType w:val="hybridMultilevel"/>
    <w:tmpl w:val="DE8AEE64"/>
    <w:lvl w:ilvl="0" w:tplc="F52E9898">
      <w:start w:val="1"/>
      <w:numFmt w:val="lowerLetter"/>
      <w:lvlText w:val="(%1)"/>
      <w:lvlJc w:val="left"/>
      <w:pPr>
        <w:ind w:left="1494" w:hanging="360"/>
      </w:pPr>
      <w:rPr>
        <w:rFonts w:hint="default"/>
        <w:b w:val="0"/>
        <w:b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9218E"/>
    <w:multiLevelType w:val="hybridMultilevel"/>
    <w:tmpl w:val="C93205FE"/>
    <w:lvl w:ilvl="0" w:tplc="63FC18A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C66F2"/>
    <w:multiLevelType w:val="hybridMultilevel"/>
    <w:tmpl w:val="FE3E2CCA"/>
    <w:lvl w:ilvl="0" w:tplc="1A745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BB3703"/>
    <w:multiLevelType w:val="hybridMultilevel"/>
    <w:tmpl w:val="2F1A6672"/>
    <w:lvl w:ilvl="0" w:tplc="75ACDE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FF201A"/>
    <w:multiLevelType w:val="hybridMultilevel"/>
    <w:tmpl w:val="706C76B2"/>
    <w:lvl w:ilvl="0" w:tplc="5DB432E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24B0308E"/>
    <w:multiLevelType w:val="hybridMultilevel"/>
    <w:tmpl w:val="D5EAFD60"/>
    <w:lvl w:ilvl="0" w:tplc="0E6456BC">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580B7788"/>
    <w:multiLevelType w:val="hybridMultilevel"/>
    <w:tmpl w:val="F9C82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1F36E88"/>
    <w:multiLevelType w:val="hybridMultilevel"/>
    <w:tmpl w:val="B8983FF2"/>
    <w:lvl w:ilvl="0" w:tplc="1F0C58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DE0832"/>
    <w:multiLevelType w:val="hybridMultilevel"/>
    <w:tmpl w:val="58C4E2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5C691D"/>
    <w:multiLevelType w:val="hybridMultilevel"/>
    <w:tmpl w:val="837CB446"/>
    <w:lvl w:ilvl="0" w:tplc="7F462AE6">
      <w:numFmt w:val="bullet"/>
      <w:lvlText w:val="•"/>
      <w:lvlJc w:val="left"/>
      <w:pPr>
        <w:ind w:left="144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6CE0798"/>
    <w:multiLevelType w:val="hybridMultilevel"/>
    <w:tmpl w:val="D3285D8C"/>
    <w:lvl w:ilvl="0" w:tplc="8746FD8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5"/>
  </w:num>
  <w:num w:numId="14">
    <w:abstractNumId w:val="12"/>
  </w:num>
  <w:num w:numId="15">
    <w:abstractNumId w:val="17"/>
  </w:num>
  <w:num w:numId="16">
    <w:abstractNumId w:val="10"/>
  </w:num>
  <w:num w:numId="17">
    <w:abstractNumId w:val="12"/>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13"/>
  </w:num>
  <w:num w:numId="23">
    <w:abstractNumId w:val="14"/>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CB"/>
    <w:rsid w:val="00004174"/>
    <w:rsid w:val="00004470"/>
    <w:rsid w:val="000136AF"/>
    <w:rsid w:val="0001562B"/>
    <w:rsid w:val="000163A5"/>
    <w:rsid w:val="000203B2"/>
    <w:rsid w:val="000219C6"/>
    <w:rsid w:val="0002341E"/>
    <w:rsid w:val="000258B1"/>
    <w:rsid w:val="00032720"/>
    <w:rsid w:val="00033A49"/>
    <w:rsid w:val="00036E47"/>
    <w:rsid w:val="00040A89"/>
    <w:rsid w:val="000437C1"/>
    <w:rsid w:val="0004455A"/>
    <w:rsid w:val="00046953"/>
    <w:rsid w:val="00047080"/>
    <w:rsid w:val="00047564"/>
    <w:rsid w:val="0005190A"/>
    <w:rsid w:val="0005365D"/>
    <w:rsid w:val="000614BF"/>
    <w:rsid w:val="0006709C"/>
    <w:rsid w:val="00074376"/>
    <w:rsid w:val="00081484"/>
    <w:rsid w:val="000824BD"/>
    <w:rsid w:val="00086948"/>
    <w:rsid w:val="00087F21"/>
    <w:rsid w:val="000951AF"/>
    <w:rsid w:val="00096E09"/>
    <w:rsid w:val="000978F5"/>
    <w:rsid w:val="000A4748"/>
    <w:rsid w:val="000B0DA3"/>
    <w:rsid w:val="000B15CD"/>
    <w:rsid w:val="000B35EB"/>
    <w:rsid w:val="000C0416"/>
    <w:rsid w:val="000C04BB"/>
    <w:rsid w:val="000C400A"/>
    <w:rsid w:val="000D03FE"/>
    <w:rsid w:val="000D05EF"/>
    <w:rsid w:val="000D64E8"/>
    <w:rsid w:val="000E2261"/>
    <w:rsid w:val="000E77F8"/>
    <w:rsid w:val="000E78B7"/>
    <w:rsid w:val="000E78DF"/>
    <w:rsid w:val="000E7C85"/>
    <w:rsid w:val="000F21C1"/>
    <w:rsid w:val="000F4010"/>
    <w:rsid w:val="000F5F5B"/>
    <w:rsid w:val="000F7D3F"/>
    <w:rsid w:val="00102E36"/>
    <w:rsid w:val="0010745C"/>
    <w:rsid w:val="00107933"/>
    <w:rsid w:val="00111DF1"/>
    <w:rsid w:val="0011326D"/>
    <w:rsid w:val="001224FC"/>
    <w:rsid w:val="0012573C"/>
    <w:rsid w:val="001276F6"/>
    <w:rsid w:val="00132CEB"/>
    <w:rsid w:val="001332A5"/>
    <w:rsid w:val="001339B0"/>
    <w:rsid w:val="00134789"/>
    <w:rsid w:val="001401FB"/>
    <w:rsid w:val="00142B62"/>
    <w:rsid w:val="001441B7"/>
    <w:rsid w:val="001465F2"/>
    <w:rsid w:val="001516CB"/>
    <w:rsid w:val="00152336"/>
    <w:rsid w:val="00153384"/>
    <w:rsid w:val="00156011"/>
    <w:rsid w:val="001567BB"/>
    <w:rsid w:val="00156F9F"/>
    <w:rsid w:val="00157B8B"/>
    <w:rsid w:val="001621D5"/>
    <w:rsid w:val="00164C99"/>
    <w:rsid w:val="00166C2F"/>
    <w:rsid w:val="00166EE0"/>
    <w:rsid w:val="00170484"/>
    <w:rsid w:val="001735FB"/>
    <w:rsid w:val="001809D7"/>
    <w:rsid w:val="00183D86"/>
    <w:rsid w:val="0018603A"/>
    <w:rsid w:val="001939E1"/>
    <w:rsid w:val="00194C3E"/>
    <w:rsid w:val="00195382"/>
    <w:rsid w:val="001974A8"/>
    <w:rsid w:val="001A59D0"/>
    <w:rsid w:val="001B1C44"/>
    <w:rsid w:val="001B2124"/>
    <w:rsid w:val="001B2CB6"/>
    <w:rsid w:val="001B4CF1"/>
    <w:rsid w:val="001B78B1"/>
    <w:rsid w:val="001C23CE"/>
    <w:rsid w:val="001C30FB"/>
    <w:rsid w:val="001C61C5"/>
    <w:rsid w:val="001C69C4"/>
    <w:rsid w:val="001D1350"/>
    <w:rsid w:val="001D318E"/>
    <w:rsid w:val="001D37EF"/>
    <w:rsid w:val="001E3590"/>
    <w:rsid w:val="001E641E"/>
    <w:rsid w:val="001E7407"/>
    <w:rsid w:val="001F5A9B"/>
    <w:rsid w:val="001F5D5E"/>
    <w:rsid w:val="001F6219"/>
    <w:rsid w:val="001F6CD4"/>
    <w:rsid w:val="001F7335"/>
    <w:rsid w:val="00201378"/>
    <w:rsid w:val="00206C4D"/>
    <w:rsid w:val="002100B7"/>
    <w:rsid w:val="00210888"/>
    <w:rsid w:val="00215AF1"/>
    <w:rsid w:val="00216682"/>
    <w:rsid w:val="00216EC3"/>
    <w:rsid w:val="00217691"/>
    <w:rsid w:val="00224655"/>
    <w:rsid w:val="002248B0"/>
    <w:rsid w:val="00230806"/>
    <w:rsid w:val="00232117"/>
    <w:rsid w:val="002321E8"/>
    <w:rsid w:val="00232984"/>
    <w:rsid w:val="0023369F"/>
    <w:rsid w:val="002346F0"/>
    <w:rsid w:val="002376BF"/>
    <w:rsid w:val="0024010F"/>
    <w:rsid w:val="00240749"/>
    <w:rsid w:val="0024155A"/>
    <w:rsid w:val="00241F6A"/>
    <w:rsid w:val="00243018"/>
    <w:rsid w:val="002433D8"/>
    <w:rsid w:val="00251811"/>
    <w:rsid w:val="002560FE"/>
    <w:rsid w:val="002561F0"/>
    <w:rsid w:val="002564A4"/>
    <w:rsid w:val="00261E10"/>
    <w:rsid w:val="0026736C"/>
    <w:rsid w:val="00267E14"/>
    <w:rsid w:val="002701BF"/>
    <w:rsid w:val="00280451"/>
    <w:rsid w:val="00281308"/>
    <w:rsid w:val="00284719"/>
    <w:rsid w:val="00285AA2"/>
    <w:rsid w:val="00293550"/>
    <w:rsid w:val="0029405F"/>
    <w:rsid w:val="0029747A"/>
    <w:rsid w:val="00297ECB"/>
    <w:rsid w:val="002A11E6"/>
    <w:rsid w:val="002A7400"/>
    <w:rsid w:val="002A7BCF"/>
    <w:rsid w:val="002B36F4"/>
    <w:rsid w:val="002B4BF2"/>
    <w:rsid w:val="002C3FD1"/>
    <w:rsid w:val="002C71CC"/>
    <w:rsid w:val="002D043A"/>
    <w:rsid w:val="002D266B"/>
    <w:rsid w:val="002D4691"/>
    <w:rsid w:val="002D6224"/>
    <w:rsid w:val="002E219A"/>
    <w:rsid w:val="002E3EFD"/>
    <w:rsid w:val="002E6362"/>
    <w:rsid w:val="002E74F9"/>
    <w:rsid w:val="003014C0"/>
    <w:rsid w:val="00304F8B"/>
    <w:rsid w:val="00306C49"/>
    <w:rsid w:val="00310436"/>
    <w:rsid w:val="00312A25"/>
    <w:rsid w:val="00313F7D"/>
    <w:rsid w:val="00314D99"/>
    <w:rsid w:val="0031620D"/>
    <w:rsid w:val="00322A94"/>
    <w:rsid w:val="00332571"/>
    <w:rsid w:val="00335BB8"/>
    <w:rsid w:val="00335BC6"/>
    <w:rsid w:val="00335DF5"/>
    <w:rsid w:val="003360E6"/>
    <w:rsid w:val="003415D3"/>
    <w:rsid w:val="00344338"/>
    <w:rsid w:val="00344701"/>
    <w:rsid w:val="003447F8"/>
    <w:rsid w:val="0034574C"/>
    <w:rsid w:val="003512E7"/>
    <w:rsid w:val="00352B0F"/>
    <w:rsid w:val="003576A1"/>
    <w:rsid w:val="00360459"/>
    <w:rsid w:val="003647D6"/>
    <w:rsid w:val="003767E2"/>
    <w:rsid w:val="0038049F"/>
    <w:rsid w:val="00381A9D"/>
    <w:rsid w:val="003904CB"/>
    <w:rsid w:val="003A48C7"/>
    <w:rsid w:val="003A5BD4"/>
    <w:rsid w:val="003B0C2D"/>
    <w:rsid w:val="003C0E8F"/>
    <w:rsid w:val="003C6206"/>
    <w:rsid w:val="003C6231"/>
    <w:rsid w:val="003D0BFE"/>
    <w:rsid w:val="003D4C09"/>
    <w:rsid w:val="003D5700"/>
    <w:rsid w:val="003E021B"/>
    <w:rsid w:val="003E341B"/>
    <w:rsid w:val="003E4D00"/>
    <w:rsid w:val="00400FD8"/>
    <w:rsid w:val="004116CD"/>
    <w:rsid w:val="004165A9"/>
    <w:rsid w:val="00417EB9"/>
    <w:rsid w:val="00423F24"/>
    <w:rsid w:val="00424CA9"/>
    <w:rsid w:val="004276DF"/>
    <w:rsid w:val="00430454"/>
    <w:rsid w:val="00431856"/>
    <w:rsid w:val="00431E9B"/>
    <w:rsid w:val="00433F37"/>
    <w:rsid w:val="00436E3F"/>
    <w:rsid w:val="004379E3"/>
    <w:rsid w:val="00437F57"/>
    <w:rsid w:val="0044015E"/>
    <w:rsid w:val="0044291A"/>
    <w:rsid w:val="00443553"/>
    <w:rsid w:val="0044615C"/>
    <w:rsid w:val="004505B8"/>
    <w:rsid w:val="004560F8"/>
    <w:rsid w:val="0046306D"/>
    <w:rsid w:val="00464395"/>
    <w:rsid w:val="00465FEA"/>
    <w:rsid w:val="00467661"/>
    <w:rsid w:val="0047054E"/>
    <w:rsid w:val="00472DBE"/>
    <w:rsid w:val="004739F9"/>
    <w:rsid w:val="00474744"/>
    <w:rsid w:val="00474A19"/>
    <w:rsid w:val="00477830"/>
    <w:rsid w:val="004860E8"/>
    <w:rsid w:val="00487764"/>
    <w:rsid w:val="00492C96"/>
    <w:rsid w:val="00494DEC"/>
    <w:rsid w:val="00496F97"/>
    <w:rsid w:val="004B49BA"/>
    <w:rsid w:val="004B6C48"/>
    <w:rsid w:val="004C212C"/>
    <w:rsid w:val="004C4E59"/>
    <w:rsid w:val="004C6809"/>
    <w:rsid w:val="004C6C63"/>
    <w:rsid w:val="004D34C5"/>
    <w:rsid w:val="004D6D9D"/>
    <w:rsid w:val="004E063A"/>
    <w:rsid w:val="004E1307"/>
    <w:rsid w:val="004E5342"/>
    <w:rsid w:val="004E61A7"/>
    <w:rsid w:val="004E7BEC"/>
    <w:rsid w:val="004F684D"/>
    <w:rsid w:val="005045CF"/>
    <w:rsid w:val="00505D3D"/>
    <w:rsid w:val="00506AF6"/>
    <w:rsid w:val="00510576"/>
    <w:rsid w:val="00516B8D"/>
    <w:rsid w:val="0052772A"/>
    <w:rsid w:val="005303C8"/>
    <w:rsid w:val="00537FBC"/>
    <w:rsid w:val="00541C4C"/>
    <w:rsid w:val="00554826"/>
    <w:rsid w:val="0055491D"/>
    <w:rsid w:val="00555B88"/>
    <w:rsid w:val="00557B4E"/>
    <w:rsid w:val="00562877"/>
    <w:rsid w:val="00564CC6"/>
    <w:rsid w:val="00565D63"/>
    <w:rsid w:val="00571579"/>
    <w:rsid w:val="005748EA"/>
    <w:rsid w:val="00584811"/>
    <w:rsid w:val="00585784"/>
    <w:rsid w:val="00592B88"/>
    <w:rsid w:val="00593AA6"/>
    <w:rsid w:val="00594161"/>
    <w:rsid w:val="00594749"/>
    <w:rsid w:val="0059536E"/>
    <w:rsid w:val="005A13AC"/>
    <w:rsid w:val="005A1D71"/>
    <w:rsid w:val="005A65D5"/>
    <w:rsid w:val="005B3586"/>
    <w:rsid w:val="005B3709"/>
    <w:rsid w:val="005B4067"/>
    <w:rsid w:val="005B4262"/>
    <w:rsid w:val="005B4858"/>
    <w:rsid w:val="005B5CED"/>
    <w:rsid w:val="005B6D7E"/>
    <w:rsid w:val="005B7DE7"/>
    <w:rsid w:val="005C3F41"/>
    <w:rsid w:val="005C407C"/>
    <w:rsid w:val="005D1D92"/>
    <w:rsid w:val="005D2D09"/>
    <w:rsid w:val="005D3FD9"/>
    <w:rsid w:val="005D5657"/>
    <w:rsid w:val="005E399E"/>
    <w:rsid w:val="005E6FEF"/>
    <w:rsid w:val="005E72AC"/>
    <w:rsid w:val="005F0DF6"/>
    <w:rsid w:val="005F36D9"/>
    <w:rsid w:val="00600219"/>
    <w:rsid w:val="006021F4"/>
    <w:rsid w:val="00604F2A"/>
    <w:rsid w:val="00620076"/>
    <w:rsid w:val="00622595"/>
    <w:rsid w:val="00622C9E"/>
    <w:rsid w:val="00627E0A"/>
    <w:rsid w:val="00644E73"/>
    <w:rsid w:val="00651859"/>
    <w:rsid w:val="00651BB6"/>
    <w:rsid w:val="0065488B"/>
    <w:rsid w:val="0066186E"/>
    <w:rsid w:val="00661C6B"/>
    <w:rsid w:val="006631EF"/>
    <w:rsid w:val="00664369"/>
    <w:rsid w:val="00664439"/>
    <w:rsid w:val="00665B33"/>
    <w:rsid w:val="00670DFC"/>
    <w:rsid w:val="00670EA1"/>
    <w:rsid w:val="006710AB"/>
    <w:rsid w:val="00672552"/>
    <w:rsid w:val="00674806"/>
    <w:rsid w:val="00675BE9"/>
    <w:rsid w:val="00677CC2"/>
    <w:rsid w:val="00683C65"/>
    <w:rsid w:val="0068744B"/>
    <w:rsid w:val="006905DE"/>
    <w:rsid w:val="0069207B"/>
    <w:rsid w:val="006A0D15"/>
    <w:rsid w:val="006A154F"/>
    <w:rsid w:val="006A437B"/>
    <w:rsid w:val="006B2B0C"/>
    <w:rsid w:val="006B5789"/>
    <w:rsid w:val="006B6819"/>
    <w:rsid w:val="006C30C5"/>
    <w:rsid w:val="006C40D3"/>
    <w:rsid w:val="006C725E"/>
    <w:rsid w:val="006C7F8C"/>
    <w:rsid w:val="006D0332"/>
    <w:rsid w:val="006D0E0E"/>
    <w:rsid w:val="006D4903"/>
    <w:rsid w:val="006E0DDB"/>
    <w:rsid w:val="006E1344"/>
    <w:rsid w:val="006E2E1C"/>
    <w:rsid w:val="006E6246"/>
    <w:rsid w:val="006E69C2"/>
    <w:rsid w:val="006E6DCC"/>
    <w:rsid w:val="006F2998"/>
    <w:rsid w:val="006F318F"/>
    <w:rsid w:val="0070017E"/>
    <w:rsid w:val="00700B2C"/>
    <w:rsid w:val="007050A2"/>
    <w:rsid w:val="007057A3"/>
    <w:rsid w:val="00706932"/>
    <w:rsid w:val="00713084"/>
    <w:rsid w:val="00713134"/>
    <w:rsid w:val="00713850"/>
    <w:rsid w:val="00713CD6"/>
    <w:rsid w:val="00714F20"/>
    <w:rsid w:val="0071590F"/>
    <w:rsid w:val="00715914"/>
    <w:rsid w:val="0072147A"/>
    <w:rsid w:val="00723791"/>
    <w:rsid w:val="00724FCF"/>
    <w:rsid w:val="00731E00"/>
    <w:rsid w:val="007370EE"/>
    <w:rsid w:val="00743B6F"/>
    <w:rsid w:val="007440B7"/>
    <w:rsid w:val="00746536"/>
    <w:rsid w:val="007500C8"/>
    <w:rsid w:val="00756272"/>
    <w:rsid w:val="00760301"/>
    <w:rsid w:val="00762408"/>
    <w:rsid w:val="00762D38"/>
    <w:rsid w:val="007715C9"/>
    <w:rsid w:val="00771613"/>
    <w:rsid w:val="00774EDD"/>
    <w:rsid w:val="007757EC"/>
    <w:rsid w:val="00783E89"/>
    <w:rsid w:val="00793915"/>
    <w:rsid w:val="00793BD7"/>
    <w:rsid w:val="007B18BB"/>
    <w:rsid w:val="007B486B"/>
    <w:rsid w:val="007B7FD6"/>
    <w:rsid w:val="007C2253"/>
    <w:rsid w:val="007D06D5"/>
    <w:rsid w:val="007D08EF"/>
    <w:rsid w:val="007D1FC0"/>
    <w:rsid w:val="007D7911"/>
    <w:rsid w:val="007E163D"/>
    <w:rsid w:val="007E44EA"/>
    <w:rsid w:val="007E667A"/>
    <w:rsid w:val="007F132E"/>
    <w:rsid w:val="007F28C9"/>
    <w:rsid w:val="007F51B2"/>
    <w:rsid w:val="007F5852"/>
    <w:rsid w:val="00800E28"/>
    <w:rsid w:val="008040DD"/>
    <w:rsid w:val="008117E9"/>
    <w:rsid w:val="00814F92"/>
    <w:rsid w:val="0081600C"/>
    <w:rsid w:val="00821086"/>
    <w:rsid w:val="00821D1D"/>
    <w:rsid w:val="0082222A"/>
    <w:rsid w:val="00824498"/>
    <w:rsid w:val="00826BD1"/>
    <w:rsid w:val="00831040"/>
    <w:rsid w:val="00843A6F"/>
    <w:rsid w:val="008453F7"/>
    <w:rsid w:val="00846F6F"/>
    <w:rsid w:val="00851F47"/>
    <w:rsid w:val="00853995"/>
    <w:rsid w:val="00854D0B"/>
    <w:rsid w:val="00856A31"/>
    <w:rsid w:val="00857194"/>
    <w:rsid w:val="00860B4E"/>
    <w:rsid w:val="00864B20"/>
    <w:rsid w:val="008653BF"/>
    <w:rsid w:val="00867B37"/>
    <w:rsid w:val="008754D0"/>
    <w:rsid w:val="00875D13"/>
    <w:rsid w:val="008773F5"/>
    <w:rsid w:val="008855C9"/>
    <w:rsid w:val="0088632D"/>
    <w:rsid w:val="00886456"/>
    <w:rsid w:val="00895CD9"/>
    <w:rsid w:val="00896176"/>
    <w:rsid w:val="008A0BCC"/>
    <w:rsid w:val="008A2C73"/>
    <w:rsid w:val="008A46E1"/>
    <w:rsid w:val="008A4F43"/>
    <w:rsid w:val="008B03AB"/>
    <w:rsid w:val="008B2706"/>
    <w:rsid w:val="008B2B72"/>
    <w:rsid w:val="008B5BC2"/>
    <w:rsid w:val="008C2EAC"/>
    <w:rsid w:val="008C511F"/>
    <w:rsid w:val="008D0EE0"/>
    <w:rsid w:val="008D2C4C"/>
    <w:rsid w:val="008D35AC"/>
    <w:rsid w:val="008D5BE4"/>
    <w:rsid w:val="008E0027"/>
    <w:rsid w:val="008E0265"/>
    <w:rsid w:val="008E6067"/>
    <w:rsid w:val="008F54E7"/>
    <w:rsid w:val="00903422"/>
    <w:rsid w:val="009044CA"/>
    <w:rsid w:val="00915900"/>
    <w:rsid w:val="00915F93"/>
    <w:rsid w:val="00917139"/>
    <w:rsid w:val="0092304B"/>
    <w:rsid w:val="009254C3"/>
    <w:rsid w:val="00925A09"/>
    <w:rsid w:val="00932377"/>
    <w:rsid w:val="00941236"/>
    <w:rsid w:val="00941BF7"/>
    <w:rsid w:val="00943C6B"/>
    <w:rsid w:val="00943FD5"/>
    <w:rsid w:val="00944FCC"/>
    <w:rsid w:val="00945E75"/>
    <w:rsid w:val="00947D5A"/>
    <w:rsid w:val="00950B9B"/>
    <w:rsid w:val="009532A5"/>
    <w:rsid w:val="009545BD"/>
    <w:rsid w:val="0095495A"/>
    <w:rsid w:val="00964439"/>
    <w:rsid w:val="00964CF0"/>
    <w:rsid w:val="00977806"/>
    <w:rsid w:val="009814A2"/>
    <w:rsid w:val="00982242"/>
    <w:rsid w:val="00982552"/>
    <w:rsid w:val="00983492"/>
    <w:rsid w:val="00985D0D"/>
    <w:rsid w:val="009868E9"/>
    <w:rsid w:val="009900A3"/>
    <w:rsid w:val="00992BA7"/>
    <w:rsid w:val="00993835"/>
    <w:rsid w:val="00993911"/>
    <w:rsid w:val="00993EBB"/>
    <w:rsid w:val="009A04CA"/>
    <w:rsid w:val="009A0635"/>
    <w:rsid w:val="009A0D9D"/>
    <w:rsid w:val="009A40B4"/>
    <w:rsid w:val="009C3413"/>
    <w:rsid w:val="009D2C5E"/>
    <w:rsid w:val="009D7138"/>
    <w:rsid w:val="009E56F4"/>
    <w:rsid w:val="009E6DFD"/>
    <w:rsid w:val="00A03BD4"/>
    <w:rsid w:val="00A0441E"/>
    <w:rsid w:val="00A0725F"/>
    <w:rsid w:val="00A101AA"/>
    <w:rsid w:val="00A12085"/>
    <w:rsid w:val="00A12128"/>
    <w:rsid w:val="00A22721"/>
    <w:rsid w:val="00A22C98"/>
    <w:rsid w:val="00A231E2"/>
    <w:rsid w:val="00A32021"/>
    <w:rsid w:val="00A333BE"/>
    <w:rsid w:val="00A369E3"/>
    <w:rsid w:val="00A36E04"/>
    <w:rsid w:val="00A40C7D"/>
    <w:rsid w:val="00A46109"/>
    <w:rsid w:val="00A5140B"/>
    <w:rsid w:val="00A52420"/>
    <w:rsid w:val="00A5375F"/>
    <w:rsid w:val="00A564AA"/>
    <w:rsid w:val="00A57600"/>
    <w:rsid w:val="00A64432"/>
    <w:rsid w:val="00A64912"/>
    <w:rsid w:val="00A70A74"/>
    <w:rsid w:val="00A710EC"/>
    <w:rsid w:val="00A71D5D"/>
    <w:rsid w:val="00A746A2"/>
    <w:rsid w:val="00A75FE9"/>
    <w:rsid w:val="00A836EF"/>
    <w:rsid w:val="00A849BD"/>
    <w:rsid w:val="00A854B9"/>
    <w:rsid w:val="00A918A7"/>
    <w:rsid w:val="00AA11A9"/>
    <w:rsid w:val="00AB6894"/>
    <w:rsid w:val="00AB6DBA"/>
    <w:rsid w:val="00AB75F3"/>
    <w:rsid w:val="00AC2CA7"/>
    <w:rsid w:val="00AC594D"/>
    <w:rsid w:val="00AD53CC"/>
    <w:rsid w:val="00AD5641"/>
    <w:rsid w:val="00AE7EEE"/>
    <w:rsid w:val="00AF06CF"/>
    <w:rsid w:val="00AF0BAC"/>
    <w:rsid w:val="00B00510"/>
    <w:rsid w:val="00B03B24"/>
    <w:rsid w:val="00B07883"/>
    <w:rsid w:val="00B07CDB"/>
    <w:rsid w:val="00B16A31"/>
    <w:rsid w:val="00B17DFD"/>
    <w:rsid w:val="00B24F02"/>
    <w:rsid w:val="00B25306"/>
    <w:rsid w:val="00B27831"/>
    <w:rsid w:val="00B308FE"/>
    <w:rsid w:val="00B331E1"/>
    <w:rsid w:val="00B33709"/>
    <w:rsid w:val="00B33B3C"/>
    <w:rsid w:val="00B36392"/>
    <w:rsid w:val="00B418CB"/>
    <w:rsid w:val="00B4248E"/>
    <w:rsid w:val="00B426C4"/>
    <w:rsid w:val="00B47444"/>
    <w:rsid w:val="00B50ADC"/>
    <w:rsid w:val="00B50C32"/>
    <w:rsid w:val="00B566B1"/>
    <w:rsid w:val="00B6130A"/>
    <w:rsid w:val="00B63834"/>
    <w:rsid w:val="00B7666B"/>
    <w:rsid w:val="00B80199"/>
    <w:rsid w:val="00B804CE"/>
    <w:rsid w:val="00B82A13"/>
    <w:rsid w:val="00B83171"/>
    <w:rsid w:val="00B83204"/>
    <w:rsid w:val="00B856E7"/>
    <w:rsid w:val="00B906ED"/>
    <w:rsid w:val="00B92344"/>
    <w:rsid w:val="00B94EBE"/>
    <w:rsid w:val="00B97B60"/>
    <w:rsid w:val="00BA1A33"/>
    <w:rsid w:val="00BA220B"/>
    <w:rsid w:val="00BA3A57"/>
    <w:rsid w:val="00BB0977"/>
    <w:rsid w:val="00BB1533"/>
    <w:rsid w:val="00BB4E1A"/>
    <w:rsid w:val="00BB76BA"/>
    <w:rsid w:val="00BC015E"/>
    <w:rsid w:val="00BC1F80"/>
    <w:rsid w:val="00BC449A"/>
    <w:rsid w:val="00BC5EDA"/>
    <w:rsid w:val="00BC76AC"/>
    <w:rsid w:val="00BD0ECB"/>
    <w:rsid w:val="00BE2155"/>
    <w:rsid w:val="00BE719A"/>
    <w:rsid w:val="00BE720A"/>
    <w:rsid w:val="00BF09CA"/>
    <w:rsid w:val="00BF0D73"/>
    <w:rsid w:val="00BF2465"/>
    <w:rsid w:val="00BF3242"/>
    <w:rsid w:val="00BF3E93"/>
    <w:rsid w:val="00BF7D49"/>
    <w:rsid w:val="00C05087"/>
    <w:rsid w:val="00C0632C"/>
    <w:rsid w:val="00C07879"/>
    <w:rsid w:val="00C16619"/>
    <w:rsid w:val="00C22C43"/>
    <w:rsid w:val="00C25E7F"/>
    <w:rsid w:val="00C2746F"/>
    <w:rsid w:val="00C323D6"/>
    <w:rsid w:val="00C324A0"/>
    <w:rsid w:val="00C42BF8"/>
    <w:rsid w:val="00C4449D"/>
    <w:rsid w:val="00C4728A"/>
    <w:rsid w:val="00C50043"/>
    <w:rsid w:val="00C61C5B"/>
    <w:rsid w:val="00C61D4C"/>
    <w:rsid w:val="00C73ECB"/>
    <w:rsid w:val="00C7573B"/>
    <w:rsid w:val="00C80103"/>
    <w:rsid w:val="00C82CAF"/>
    <w:rsid w:val="00C83456"/>
    <w:rsid w:val="00C97A54"/>
    <w:rsid w:val="00CA028D"/>
    <w:rsid w:val="00CA0A1E"/>
    <w:rsid w:val="00CA4C48"/>
    <w:rsid w:val="00CA5B23"/>
    <w:rsid w:val="00CA7DA6"/>
    <w:rsid w:val="00CB16AD"/>
    <w:rsid w:val="00CB2D9E"/>
    <w:rsid w:val="00CB602E"/>
    <w:rsid w:val="00CB760A"/>
    <w:rsid w:val="00CB7E90"/>
    <w:rsid w:val="00CD269E"/>
    <w:rsid w:val="00CE03CC"/>
    <w:rsid w:val="00CE051D"/>
    <w:rsid w:val="00CE1335"/>
    <w:rsid w:val="00CE2A79"/>
    <w:rsid w:val="00CE315D"/>
    <w:rsid w:val="00CE493D"/>
    <w:rsid w:val="00CF07FA"/>
    <w:rsid w:val="00CF0BB2"/>
    <w:rsid w:val="00CF3EE8"/>
    <w:rsid w:val="00D12269"/>
    <w:rsid w:val="00D13441"/>
    <w:rsid w:val="00D150E7"/>
    <w:rsid w:val="00D15AEA"/>
    <w:rsid w:val="00D175C1"/>
    <w:rsid w:val="00D17D14"/>
    <w:rsid w:val="00D236C1"/>
    <w:rsid w:val="00D241C2"/>
    <w:rsid w:val="00D2548F"/>
    <w:rsid w:val="00D31626"/>
    <w:rsid w:val="00D34341"/>
    <w:rsid w:val="00D407A2"/>
    <w:rsid w:val="00D41408"/>
    <w:rsid w:val="00D4264E"/>
    <w:rsid w:val="00D511B9"/>
    <w:rsid w:val="00D52DC2"/>
    <w:rsid w:val="00D53BCC"/>
    <w:rsid w:val="00D54C9E"/>
    <w:rsid w:val="00D57D11"/>
    <w:rsid w:val="00D60071"/>
    <w:rsid w:val="00D6537E"/>
    <w:rsid w:val="00D70DFB"/>
    <w:rsid w:val="00D7366A"/>
    <w:rsid w:val="00D75863"/>
    <w:rsid w:val="00D766DF"/>
    <w:rsid w:val="00D8206C"/>
    <w:rsid w:val="00D82D06"/>
    <w:rsid w:val="00D91F10"/>
    <w:rsid w:val="00DA186E"/>
    <w:rsid w:val="00DA4116"/>
    <w:rsid w:val="00DA4B56"/>
    <w:rsid w:val="00DB251C"/>
    <w:rsid w:val="00DB4630"/>
    <w:rsid w:val="00DC35AE"/>
    <w:rsid w:val="00DC4F88"/>
    <w:rsid w:val="00DC6DEC"/>
    <w:rsid w:val="00DD27E6"/>
    <w:rsid w:val="00DD5F9E"/>
    <w:rsid w:val="00DD6937"/>
    <w:rsid w:val="00DE107C"/>
    <w:rsid w:val="00DE2723"/>
    <w:rsid w:val="00DE75A3"/>
    <w:rsid w:val="00DF2388"/>
    <w:rsid w:val="00DF4DF0"/>
    <w:rsid w:val="00DF78F0"/>
    <w:rsid w:val="00E05704"/>
    <w:rsid w:val="00E05DBA"/>
    <w:rsid w:val="00E060C8"/>
    <w:rsid w:val="00E21041"/>
    <w:rsid w:val="00E31F9D"/>
    <w:rsid w:val="00E32E41"/>
    <w:rsid w:val="00E338EF"/>
    <w:rsid w:val="00E34606"/>
    <w:rsid w:val="00E4599A"/>
    <w:rsid w:val="00E47EDA"/>
    <w:rsid w:val="00E544BB"/>
    <w:rsid w:val="00E611DA"/>
    <w:rsid w:val="00E63779"/>
    <w:rsid w:val="00E73F36"/>
    <w:rsid w:val="00E74DC7"/>
    <w:rsid w:val="00E76D3A"/>
    <w:rsid w:val="00E8075A"/>
    <w:rsid w:val="00E85E0D"/>
    <w:rsid w:val="00E9344B"/>
    <w:rsid w:val="00E940D8"/>
    <w:rsid w:val="00E94D5E"/>
    <w:rsid w:val="00E95926"/>
    <w:rsid w:val="00E95AE8"/>
    <w:rsid w:val="00EA47EF"/>
    <w:rsid w:val="00EA5B26"/>
    <w:rsid w:val="00EA7100"/>
    <w:rsid w:val="00EA7F9F"/>
    <w:rsid w:val="00EB1274"/>
    <w:rsid w:val="00EB63BF"/>
    <w:rsid w:val="00EB66D5"/>
    <w:rsid w:val="00ED2BB6"/>
    <w:rsid w:val="00ED307E"/>
    <w:rsid w:val="00ED34E1"/>
    <w:rsid w:val="00ED3B8D"/>
    <w:rsid w:val="00EE4EDB"/>
    <w:rsid w:val="00EE512B"/>
    <w:rsid w:val="00EE5E36"/>
    <w:rsid w:val="00EF2E3A"/>
    <w:rsid w:val="00EF3826"/>
    <w:rsid w:val="00EF5A75"/>
    <w:rsid w:val="00F02C7C"/>
    <w:rsid w:val="00F072A7"/>
    <w:rsid w:val="00F078DC"/>
    <w:rsid w:val="00F138D8"/>
    <w:rsid w:val="00F141D6"/>
    <w:rsid w:val="00F17F87"/>
    <w:rsid w:val="00F260A3"/>
    <w:rsid w:val="00F27058"/>
    <w:rsid w:val="00F307E8"/>
    <w:rsid w:val="00F310B8"/>
    <w:rsid w:val="00F32BA8"/>
    <w:rsid w:val="00F32EE0"/>
    <w:rsid w:val="00F349F1"/>
    <w:rsid w:val="00F4350D"/>
    <w:rsid w:val="00F470CF"/>
    <w:rsid w:val="00F479C4"/>
    <w:rsid w:val="00F567F7"/>
    <w:rsid w:val="00F6696E"/>
    <w:rsid w:val="00F67A38"/>
    <w:rsid w:val="00F70399"/>
    <w:rsid w:val="00F73BD6"/>
    <w:rsid w:val="00F83989"/>
    <w:rsid w:val="00F83F53"/>
    <w:rsid w:val="00F85099"/>
    <w:rsid w:val="00F86875"/>
    <w:rsid w:val="00F8718A"/>
    <w:rsid w:val="00F9379C"/>
    <w:rsid w:val="00F95534"/>
    <w:rsid w:val="00F9632C"/>
    <w:rsid w:val="00F97270"/>
    <w:rsid w:val="00F97895"/>
    <w:rsid w:val="00FA1E52"/>
    <w:rsid w:val="00FB3096"/>
    <w:rsid w:val="00FB5A08"/>
    <w:rsid w:val="00FC043B"/>
    <w:rsid w:val="00FC2589"/>
    <w:rsid w:val="00FC6A80"/>
    <w:rsid w:val="00FD458F"/>
    <w:rsid w:val="00FD4808"/>
    <w:rsid w:val="00FD7B5E"/>
    <w:rsid w:val="00FE1DC4"/>
    <w:rsid w:val="00FE3DAE"/>
    <w:rsid w:val="00FE4688"/>
    <w:rsid w:val="00FE53AE"/>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C6BEB5"/>
  <w15:docId w15:val="{14A5AFD7-C962-40AA-AF50-8955AB6C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qFormat/>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06932"/>
    <w:rPr>
      <w:sz w:val="16"/>
      <w:szCs w:val="16"/>
    </w:rPr>
  </w:style>
  <w:style w:type="paragraph" w:styleId="CommentText">
    <w:name w:val="annotation text"/>
    <w:basedOn w:val="Normal"/>
    <w:link w:val="CommentTextChar"/>
    <w:uiPriority w:val="99"/>
    <w:unhideWhenUsed/>
    <w:rsid w:val="00706932"/>
    <w:pPr>
      <w:spacing w:line="240" w:lineRule="auto"/>
    </w:pPr>
    <w:rPr>
      <w:sz w:val="20"/>
    </w:rPr>
  </w:style>
  <w:style w:type="character" w:customStyle="1" w:styleId="CommentTextChar">
    <w:name w:val="Comment Text Char"/>
    <w:basedOn w:val="DefaultParagraphFont"/>
    <w:link w:val="CommentText"/>
    <w:uiPriority w:val="99"/>
    <w:rsid w:val="00706932"/>
  </w:style>
  <w:style w:type="paragraph" w:styleId="CommentSubject">
    <w:name w:val="annotation subject"/>
    <w:basedOn w:val="CommentText"/>
    <w:next w:val="CommentText"/>
    <w:link w:val="CommentSubjectChar"/>
    <w:uiPriority w:val="99"/>
    <w:semiHidden/>
    <w:unhideWhenUsed/>
    <w:rsid w:val="00706932"/>
    <w:rPr>
      <w:b/>
      <w:bCs/>
    </w:rPr>
  </w:style>
  <w:style w:type="character" w:customStyle="1" w:styleId="CommentSubjectChar">
    <w:name w:val="Comment Subject Char"/>
    <w:basedOn w:val="CommentTextChar"/>
    <w:link w:val="CommentSubject"/>
    <w:uiPriority w:val="99"/>
    <w:semiHidden/>
    <w:rsid w:val="00706932"/>
    <w:rPr>
      <w:b/>
      <w:bCs/>
    </w:rPr>
  </w:style>
  <w:style w:type="paragraph" w:styleId="ListParagraph">
    <w:name w:val="List Paragraph"/>
    <w:basedOn w:val="Normal"/>
    <w:uiPriority w:val="34"/>
    <w:qFormat/>
    <w:rsid w:val="00A40C7D"/>
    <w:pPr>
      <w:spacing w:line="240" w:lineRule="auto"/>
      <w:ind w:left="720"/>
    </w:pPr>
    <w:rPr>
      <w:rFonts w:ascii="Calibri" w:hAnsi="Calibri" w:cs="Calibri"/>
      <w:szCs w:val="22"/>
    </w:rPr>
  </w:style>
  <w:style w:type="paragraph" w:styleId="Revision">
    <w:name w:val="Revision"/>
    <w:hidden/>
    <w:uiPriority w:val="99"/>
    <w:semiHidden/>
    <w:rsid w:val="00FE1D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4150">
      <w:bodyDiv w:val="1"/>
      <w:marLeft w:val="0"/>
      <w:marRight w:val="0"/>
      <w:marTop w:val="0"/>
      <w:marBottom w:val="0"/>
      <w:divBdr>
        <w:top w:val="none" w:sz="0" w:space="0" w:color="auto"/>
        <w:left w:val="none" w:sz="0" w:space="0" w:color="auto"/>
        <w:bottom w:val="none" w:sz="0" w:space="0" w:color="auto"/>
        <w:right w:val="none" w:sz="0" w:space="0" w:color="auto"/>
      </w:divBdr>
    </w:div>
    <w:div w:id="122893155">
      <w:bodyDiv w:val="1"/>
      <w:marLeft w:val="0"/>
      <w:marRight w:val="0"/>
      <w:marTop w:val="0"/>
      <w:marBottom w:val="0"/>
      <w:divBdr>
        <w:top w:val="none" w:sz="0" w:space="0" w:color="auto"/>
        <w:left w:val="none" w:sz="0" w:space="0" w:color="auto"/>
        <w:bottom w:val="none" w:sz="0" w:space="0" w:color="auto"/>
        <w:right w:val="none" w:sz="0" w:space="0" w:color="auto"/>
      </w:divBdr>
    </w:div>
    <w:div w:id="399448391">
      <w:bodyDiv w:val="1"/>
      <w:marLeft w:val="0"/>
      <w:marRight w:val="0"/>
      <w:marTop w:val="0"/>
      <w:marBottom w:val="0"/>
      <w:divBdr>
        <w:top w:val="none" w:sz="0" w:space="0" w:color="auto"/>
        <w:left w:val="none" w:sz="0" w:space="0" w:color="auto"/>
        <w:bottom w:val="none" w:sz="0" w:space="0" w:color="auto"/>
        <w:right w:val="none" w:sz="0" w:space="0" w:color="auto"/>
      </w:divBdr>
    </w:div>
    <w:div w:id="925572036">
      <w:bodyDiv w:val="1"/>
      <w:marLeft w:val="0"/>
      <w:marRight w:val="0"/>
      <w:marTop w:val="0"/>
      <w:marBottom w:val="0"/>
      <w:divBdr>
        <w:top w:val="none" w:sz="0" w:space="0" w:color="auto"/>
        <w:left w:val="none" w:sz="0" w:space="0" w:color="auto"/>
        <w:bottom w:val="none" w:sz="0" w:space="0" w:color="auto"/>
        <w:right w:val="none" w:sz="0" w:space="0" w:color="auto"/>
      </w:divBdr>
    </w:div>
    <w:div w:id="1040396304">
      <w:bodyDiv w:val="1"/>
      <w:marLeft w:val="0"/>
      <w:marRight w:val="0"/>
      <w:marTop w:val="0"/>
      <w:marBottom w:val="0"/>
      <w:divBdr>
        <w:top w:val="none" w:sz="0" w:space="0" w:color="auto"/>
        <w:left w:val="none" w:sz="0" w:space="0" w:color="auto"/>
        <w:bottom w:val="none" w:sz="0" w:space="0" w:color="auto"/>
        <w:right w:val="none" w:sz="0" w:space="0" w:color="auto"/>
      </w:divBdr>
    </w:div>
    <w:div w:id="1205098241">
      <w:bodyDiv w:val="1"/>
      <w:marLeft w:val="0"/>
      <w:marRight w:val="0"/>
      <w:marTop w:val="0"/>
      <w:marBottom w:val="0"/>
      <w:divBdr>
        <w:top w:val="none" w:sz="0" w:space="0" w:color="auto"/>
        <w:left w:val="none" w:sz="0" w:space="0" w:color="auto"/>
        <w:bottom w:val="none" w:sz="0" w:space="0" w:color="auto"/>
        <w:right w:val="none" w:sz="0" w:space="0" w:color="auto"/>
      </w:divBdr>
    </w:div>
    <w:div w:id="1378747354">
      <w:bodyDiv w:val="1"/>
      <w:marLeft w:val="0"/>
      <w:marRight w:val="0"/>
      <w:marTop w:val="0"/>
      <w:marBottom w:val="0"/>
      <w:divBdr>
        <w:top w:val="none" w:sz="0" w:space="0" w:color="auto"/>
        <w:left w:val="none" w:sz="0" w:space="0" w:color="auto"/>
        <w:bottom w:val="none" w:sz="0" w:space="0" w:color="auto"/>
        <w:right w:val="none" w:sz="0" w:space="0" w:color="auto"/>
      </w:divBdr>
    </w:div>
    <w:div w:id="1582368668">
      <w:bodyDiv w:val="1"/>
      <w:marLeft w:val="0"/>
      <w:marRight w:val="0"/>
      <w:marTop w:val="0"/>
      <w:marBottom w:val="0"/>
      <w:divBdr>
        <w:top w:val="none" w:sz="0" w:space="0" w:color="auto"/>
        <w:left w:val="none" w:sz="0" w:space="0" w:color="auto"/>
        <w:bottom w:val="none" w:sz="0" w:space="0" w:color="auto"/>
        <w:right w:val="none" w:sz="0" w:space="0" w:color="auto"/>
      </w:divBdr>
    </w:div>
    <w:div w:id="17613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3327\Downloads\template_-_principal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45D56D28A914F40871A1B9680F456FA" ma:contentTypeVersion="" ma:contentTypeDescription="PDMS Document Site Content Type" ma:contentTypeScope="" ma:versionID="db87cf1c9a81839b6e51031839170d88">
  <xsd:schema xmlns:xsd="http://www.w3.org/2001/XMLSchema" xmlns:xs="http://www.w3.org/2001/XMLSchema" xmlns:p="http://schemas.microsoft.com/office/2006/metadata/properties" xmlns:ns2="68FB1655-4610-427E-9FC0-E1B78D69D053" targetNamespace="http://schemas.microsoft.com/office/2006/metadata/properties" ma:root="true" ma:fieldsID="03a9332e46cb0256a2af64bc6795e38c" ns2:_="">
    <xsd:import namespace="68FB1655-4610-427E-9FC0-E1B78D69D0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B1655-4610-427E-9FC0-E1B78D69D0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8FB1655-4610-427E-9FC0-E1B78D69D053" xsi:nil="true"/>
  </documentManagement>
</p:properties>
</file>

<file path=customXml/itemProps1.xml><?xml version="1.0" encoding="utf-8"?>
<ds:datastoreItem xmlns:ds="http://schemas.openxmlformats.org/officeDocument/2006/customXml" ds:itemID="{383D0213-4322-4AF3-BD7F-CCD2BF278CDF}">
  <ds:schemaRefs>
    <ds:schemaRef ds:uri="http://schemas.microsoft.com/sharepoint/v3/contenttype/forms"/>
  </ds:schemaRefs>
</ds:datastoreItem>
</file>

<file path=customXml/itemProps2.xml><?xml version="1.0" encoding="utf-8"?>
<ds:datastoreItem xmlns:ds="http://schemas.openxmlformats.org/officeDocument/2006/customXml" ds:itemID="{1080666C-66D7-4373-B469-BB39A278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B1655-4610-427E-9FC0-E1B78D69D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4.xml><?xml version="1.0" encoding="utf-8"?>
<ds:datastoreItem xmlns:ds="http://schemas.openxmlformats.org/officeDocument/2006/customXml" ds:itemID="{50503A9F-A483-4246-B52D-64D56D676CDE}">
  <ds:schemaRefs>
    <ds:schemaRef ds:uri="http://schemas.microsoft.com/office/2006/metadata/properties"/>
    <ds:schemaRef ds:uri="http://schemas.microsoft.com/office/infopath/2007/PartnerControls"/>
    <ds:schemaRef ds:uri="68FB1655-4610-427E-9FC0-E1B78D69D053"/>
  </ds:schemaRefs>
</ds:datastoreItem>
</file>

<file path=docProps/app.xml><?xml version="1.0" encoding="utf-8"?>
<Properties xmlns="http://schemas.openxmlformats.org/officeDocument/2006/extended-properties" xmlns:vt="http://schemas.openxmlformats.org/officeDocument/2006/docPropsVTypes">
  <Template>template_-_principal_instrument_0 (2).dotx</Template>
  <TotalTime>11</TotalTime>
  <Pages>14</Pages>
  <Words>2341</Words>
  <Characters>11778</Characters>
  <Application>Microsoft Office Word</Application>
  <DocSecurity>0</DocSecurity>
  <Lines>436</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Presneill, Asher</dc:creator>
  <cp:lastModifiedBy>NOWLAND,Samuel</cp:lastModifiedBy>
  <cp:revision>7</cp:revision>
  <cp:lastPrinted>2022-04-21T22:10:00Z</cp:lastPrinted>
  <dcterms:created xsi:type="dcterms:W3CDTF">2022-06-22T06:13:00Z</dcterms:created>
  <dcterms:modified xsi:type="dcterms:W3CDTF">2022-06-24T01:56:00Z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0x010100266966F133664895A6EE3632470D45F500845D56D28A914F40871A1B9680F456FA</vt:lpwstr>
  </property>
  <property fmtid="{D5CDD505-2E9C-101B-9397-08002B2CF9AE}" pid="3" name="MSIP_Label_79d889eb-932f-4752-8739-64d25806ef64_Enabled">
    <vt:lpwstr>true</vt:lpwstr>
  </property>
  <property fmtid="{D5CDD505-2E9C-101B-9397-08002B2CF9AE}" pid="4" name="MSIP_Label_79d889eb-932f-4752-8739-64d25806ef64_SetDate">
    <vt:lpwstr>2022-06-22T06:13:13Z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d326c328-eb44-46d4-bd89-3cd84943bab3</vt:lpwstr>
  </property>
  <property fmtid="{D5CDD505-2E9C-101B-9397-08002B2CF9AE}" pid="9" name="MSIP_Label_79d889eb-932f-4752-8739-64d25806ef64_ContentBits">
    <vt:lpwstr>0</vt:lpwstr>
  </property>
</Properties>
</file>