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0F4C2C" w:rsidRDefault="00FF6E25" w:rsidP="00FF6E25">
      <w:pPr>
        <w:jc w:val="center"/>
        <w:rPr>
          <w:rFonts w:asciiTheme="minorHAnsi" w:hAnsiTheme="minorHAnsi" w:cstheme="minorHAnsi"/>
          <w:b/>
          <w:szCs w:val="24"/>
          <w:u w:val="single"/>
        </w:rPr>
      </w:pPr>
      <w:r w:rsidRPr="000F4C2C">
        <w:rPr>
          <w:rFonts w:asciiTheme="minorHAnsi" w:hAnsiTheme="minorHAnsi" w:cstheme="minorHAnsi"/>
          <w:b/>
          <w:szCs w:val="24"/>
          <w:u w:val="single"/>
        </w:rPr>
        <w:t>EXPLANATORY STATEMENT</w:t>
      </w:r>
    </w:p>
    <w:p w14:paraId="145EC655" w14:textId="1F8ED555" w:rsidR="0088497A" w:rsidRPr="000F4C2C" w:rsidRDefault="0088497A" w:rsidP="00FF6E25">
      <w:pPr>
        <w:jc w:val="center"/>
        <w:rPr>
          <w:rFonts w:asciiTheme="minorHAnsi" w:hAnsiTheme="minorHAnsi" w:cstheme="minorHAnsi"/>
          <w:szCs w:val="24"/>
          <w:u w:val="single"/>
        </w:rPr>
      </w:pPr>
      <w:r w:rsidRPr="000F4C2C">
        <w:rPr>
          <w:rFonts w:asciiTheme="minorHAnsi" w:hAnsiTheme="minorHAnsi" w:cstheme="minorHAnsi"/>
          <w:szCs w:val="24"/>
          <w:u w:val="single"/>
        </w:rPr>
        <w:t xml:space="preserve">Issued by the authority of </w:t>
      </w:r>
      <w:r w:rsidR="009410A3" w:rsidRPr="000F4C2C">
        <w:rPr>
          <w:rFonts w:asciiTheme="minorHAnsi" w:hAnsiTheme="minorHAnsi" w:cstheme="minorHAnsi"/>
          <w:szCs w:val="24"/>
          <w:u w:val="single"/>
        </w:rPr>
        <w:t>Brendan O’Connor, Minister for Skills and Training</w:t>
      </w:r>
    </w:p>
    <w:p w14:paraId="28113E20" w14:textId="77777777" w:rsidR="00D27078" w:rsidRPr="000F4C2C" w:rsidRDefault="00D27078" w:rsidP="009410A3">
      <w:pPr>
        <w:spacing w:before="240"/>
        <w:jc w:val="center"/>
        <w:rPr>
          <w:rFonts w:asciiTheme="minorHAnsi" w:hAnsiTheme="minorHAnsi" w:cstheme="minorHAnsi"/>
          <w:b/>
          <w:i/>
          <w:szCs w:val="24"/>
        </w:rPr>
      </w:pPr>
      <w:r w:rsidRPr="000F4C2C">
        <w:rPr>
          <w:rFonts w:asciiTheme="minorHAnsi" w:hAnsiTheme="minorHAnsi" w:cstheme="minorHAnsi"/>
          <w:b/>
          <w:i/>
          <w:szCs w:val="24"/>
        </w:rPr>
        <w:t xml:space="preserve">National Vocational Education and Training Regulator (Charges) Act 2012 </w:t>
      </w:r>
    </w:p>
    <w:p w14:paraId="0A88971A" w14:textId="459AE62F" w:rsidR="00B300B0" w:rsidRPr="000F4C2C" w:rsidRDefault="00B300B0" w:rsidP="009410A3">
      <w:pPr>
        <w:pStyle w:val="Heading2"/>
        <w:jc w:val="center"/>
        <w:rPr>
          <w:rFonts w:asciiTheme="minorHAnsi" w:eastAsiaTheme="minorHAnsi" w:hAnsiTheme="minorHAnsi" w:cstheme="minorHAnsi"/>
          <w:i/>
          <w:color w:val="auto"/>
          <w:szCs w:val="24"/>
        </w:rPr>
      </w:pPr>
      <w:bookmarkStart w:id="0" w:name="_Toc23942238"/>
      <w:bookmarkStart w:id="1" w:name="_Toc34293358"/>
      <w:r w:rsidRPr="000F4C2C">
        <w:rPr>
          <w:rFonts w:asciiTheme="minorHAnsi" w:eastAsiaTheme="minorHAnsi" w:hAnsiTheme="minorHAnsi" w:cstheme="minorHAnsi"/>
          <w:i/>
          <w:color w:val="auto"/>
          <w:szCs w:val="24"/>
        </w:rPr>
        <w:t>National Vocational Education and Training Regulator (Charges) Determination 2022</w:t>
      </w:r>
    </w:p>
    <w:p w14:paraId="2E837F42" w14:textId="77777777" w:rsidR="00B300B0" w:rsidRPr="000F4C2C" w:rsidRDefault="00B300B0" w:rsidP="00F513EB">
      <w:pPr>
        <w:pStyle w:val="Heading2"/>
        <w:rPr>
          <w:rFonts w:asciiTheme="minorHAnsi" w:eastAsiaTheme="minorHAnsi" w:hAnsiTheme="minorHAnsi" w:cstheme="minorHAnsi"/>
          <w:i/>
          <w:color w:val="auto"/>
          <w:szCs w:val="24"/>
        </w:rPr>
      </w:pPr>
    </w:p>
    <w:p w14:paraId="33AB2D38" w14:textId="35198156" w:rsidR="00455C2A" w:rsidRPr="000F4C2C" w:rsidRDefault="00144950" w:rsidP="00F513EB">
      <w:pPr>
        <w:pStyle w:val="Heading2"/>
        <w:rPr>
          <w:rFonts w:asciiTheme="minorHAnsi" w:hAnsiTheme="minorHAnsi" w:cstheme="minorHAnsi"/>
          <w:color w:val="auto"/>
        </w:rPr>
      </w:pPr>
      <w:r w:rsidRPr="000F4C2C">
        <w:rPr>
          <w:rFonts w:asciiTheme="minorHAnsi" w:hAnsiTheme="minorHAnsi" w:cstheme="minorHAnsi"/>
          <w:color w:val="auto"/>
        </w:rPr>
        <w:t>AUTHORITY</w:t>
      </w:r>
    </w:p>
    <w:p w14:paraId="692CF172" w14:textId="4E7FAE06" w:rsidR="00E605F3" w:rsidRPr="000F4C2C" w:rsidRDefault="00E605F3" w:rsidP="00D4682D">
      <w:pPr>
        <w:spacing w:before="120" w:after="120"/>
        <w:rPr>
          <w:rFonts w:asciiTheme="minorHAnsi" w:hAnsiTheme="minorHAnsi" w:cstheme="minorHAnsi"/>
          <w:szCs w:val="24"/>
        </w:rPr>
      </w:pPr>
      <w:r w:rsidRPr="000F4C2C">
        <w:rPr>
          <w:rFonts w:asciiTheme="minorHAnsi" w:hAnsiTheme="minorHAnsi" w:cstheme="minorHAnsi"/>
          <w:szCs w:val="24"/>
        </w:rPr>
        <w:t xml:space="preserve">The </w:t>
      </w:r>
      <w:r w:rsidRPr="000F4C2C">
        <w:rPr>
          <w:rFonts w:asciiTheme="minorHAnsi" w:hAnsiTheme="minorHAnsi" w:cstheme="minorHAnsi"/>
          <w:i/>
          <w:iCs/>
          <w:szCs w:val="24"/>
        </w:rPr>
        <w:t xml:space="preserve">National Vocational Education and Training Regulator (Charges) Determination 2022 </w:t>
      </w:r>
      <w:r w:rsidRPr="000F4C2C">
        <w:rPr>
          <w:rFonts w:asciiTheme="minorHAnsi" w:hAnsiTheme="minorHAnsi" w:cstheme="minorHAnsi"/>
          <w:szCs w:val="24"/>
        </w:rPr>
        <w:t xml:space="preserve">(the </w:t>
      </w:r>
      <w:r w:rsidR="009E3BF0" w:rsidRPr="000F4C2C">
        <w:rPr>
          <w:rFonts w:asciiTheme="minorHAnsi" w:hAnsiTheme="minorHAnsi" w:cstheme="minorHAnsi"/>
          <w:szCs w:val="24"/>
        </w:rPr>
        <w:t>i</w:t>
      </w:r>
      <w:r w:rsidRPr="000F4C2C">
        <w:rPr>
          <w:rFonts w:asciiTheme="minorHAnsi" w:hAnsiTheme="minorHAnsi" w:cstheme="minorHAnsi"/>
          <w:szCs w:val="24"/>
        </w:rPr>
        <w:t>nstrument) is made under subsection 6</w:t>
      </w:r>
      <w:proofErr w:type="gramStart"/>
      <w:r w:rsidRPr="000F4C2C">
        <w:rPr>
          <w:rFonts w:asciiTheme="minorHAnsi" w:hAnsiTheme="minorHAnsi" w:cstheme="minorHAnsi"/>
          <w:szCs w:val="24"/>
        </w:rPr>
        <w:t>B(</w:t>
      </w:r>
      <w:proofErr w:type="gramEnd"/>
      <w:r w:rsidRPr="000F4C2C">
        <w:rPr>
          <w:rFonts w:asciiTheme="minorHAnsi" w:hAnsiTheme="minorHAnsi" w:cstheme="minorHAnsi"/>
          <w:szCs w:val="24"/>
        </w:rPr>
        <w:t xml:space="preserve">1), subsection 9(2), subsection 12(2) and paragraph 13(b) of the </w:t>
      </w:r>
      <w:r w:rsidRPr="000F4C2C">
        <w:rPr>
          <w:rFonts w:asciiTheme="minorHAnsi" w:hAnsiTheme="minorHAnsi" w:cstheme="minorHAnsi"/>
          <w:i/>
          <w:iCs/>
          <w:szCs w:val="24"/>
        </w:rPr>
        <w:t xml:space="preserve">National Vocational Education and Training Regulator (Charges) Act 2012 </w:t>
      </w:r>
      <w:r w:rsidRPr="000F4C2C">
        <w:rPr>
          <w:rFonts w:asciiTheme="minorHAnsi" w:hAnsiTheme="minorHAnsi" w:cstheme="minorHAnsi"/>
          <w:szCs w:val="24"/>
        </w:rPr>
        <w:t>(the Act).</w:t>
      </w:r>
    </w:p>
    <w:p w14:paraId="1251FEF8" w14:textId="2DD96ECD" w:rsidR="009410A3" w:rsidRPr="000F4C2C" w:rsidRDefault="009410A3" w:rsidP="00D4682D">
      <w:pPr>
        <w:spacing w:before="120" w:after="120"/>
        <w:rPr>
          <w:rFonts w:asciiTheme="minorHAnsi" w:hAnsiTheme="minorHAnsi" w:cstheme="minorHAnsi"/>
          <w:szCs w:val="24"/>
        </w:rPr>
      </w:pPr>
      <w:r w:rsidRPr="000F4C2C">
        <w:rPr>
          <w:rFonts w:asciiTheme="minorHAnsi" w:hAnsiTheme="minorHAnsi" w:cstheme="minorHAnsi"/>
          <w:szCs w:val="24"/>
        </w:rPr>
        <w:t>Subsection 6</w:t>
      </w:r>
      <w:proofErr w:type="gramStart"/>
      <w:r w:rsidRPr="000F4C2C">
        <w:rPr>
          <w:rFonts w:asciiTheme="minorHAnsi" w:hAnsiTheme="minorHAnsi" w:cstheme="minorHAnsi"/>
          <w:szCs w:val="24"/>
        </w:rPr>
        <w:t>B(</w:t>
      </w:r>
      <w:proofErr w:type="gramEnd"/>
      <w:r w:rsidRPr="000F4C2C">
        <w:rPr>
          <w:rFonts w:asciiTheme="minorHAnsi" w:hAnsiTheme="minorHAnsi" w:cstheme="minorHAnsi"/>
          <w:szCs w:val="24"/>
        </w:rPr>
        <w:t>1) of the</w:t>
      </w:r>
      <w:r w:rsidR="00E605F3" w:rsidRPr="000F4C2C">
        <w:rPr>
          <w:rFonts w:asciiTheme="minorHAnsi" w:hAnsiTheme="minorHAnsi" w:cstheme="minorHAnsi"/>
          <w:szCs w:val="24"/>
        </w:rPr>
        <w:t xml:space="preserve"> Act</w:t>
      </w:r>
      <w:r w:rsidRPr="000F4C2C">
        <w:rPr>
          <w:rFonts w:asciiTheme="minorHAnsi" w:hAnsiTheme="minorHAnsi" w:cstheme="minorHAnsi"/>
          <w:szCs w:val="24"/>
        </w:rPr>
        <w:t xml:space="preserve"> </w:t>
      </w:r>
      <w:r w:rsidR="00E605F3" w:rsidRPr="000F4C2C">
        <w:rPr>
          <w:rFonts w:asciiTheme="minorHAnsi" w:hAnsiTheme="minorHAnsi" w:cstheme="minorHAnsi"/>
          <w:szCs w:val="24"/>
        </w:rPr>
        <w:t>empowers the Minister to</w:t>
      </w:r>
      <w:r w:rsidRPr="000F4C2C">
        <w:rPr>
          <w:rFonts w:asciiTheme="minorHAnsi" w:hAnsiTheme="minorHAnsi" w:cstheme="minorHAnsi"/>
          <w:szCs w:val="24"/>
        </w:rPr>
        <w:t xml:space="preserve">, by legislative instrument, determine an amount of National VET Regulator annual registration charge for a financial year, or a method for working out such an amount, payable by a person to whom section 232A of the </w:t>
      </w:r>
      <w:r w:rsidRPr="000F4C2C">
        <w:rPr>
          <w:rFonts w:asciiTheme="minorHAnsi" w:hAnsiTheme="minorHAnsi" w:cstheme="minorHAnsi"/>
          <w:i/>
          <w:iCs/>
          <w:szCs w:val="24"/>
        </w:rPr>
        <w:t xml:space="preserve">National Vocational Education and Training Regulator Act 2011 </w:t>
      </w:r>
      <w:r w:rsidRPr="000F4C2C">
        <w:rPr>
          <w:rFonts w:asciiTheme="minorHAnsi" w:hAnsiTheme="minorHAnsi" w:cstheme="minorHAnsi"/>
          <w:szCs w:val="24"/>
        </w:rPr>
        <w:t xml:space="preserve">applies, for the purposes of that section. </w:t>
      </w:r>
      <w:r w:rsidR="00E605F3" w:rsidRPr="000F4C2C">
        <w:rPr>
          <w:rFonts w:asciiTheme="minorHAnsi" w:hAnsiTheme="minorHAnsi" w:cstheme="minorHAnsi"/>
          <w:szCs w:val="24"/>
        </w:rPr>
        <w:t xml:space="preserve">Paragraph 6B(2)(b) of the Act prohibits the Minister from determining the amount of the charge or method unless the Ministerial Council has agreed to the amount or method. The Ministerial Council has agreed to the method set out in </w:t>
      </w:r>
      <w:r w:rsidR="002866E9" w:rsidRPr="000F4C2C">
        <w:rPr>
          <w:rFonts w:asciiTheme="minorHAnsi" w:hAnsiTheme="minorHAnsi" w:cstheme="minorHAnsi"/>
          <w:szCs w:val="24"/>
        </w:rPr>
        <w:t xml:space="preserve">the Instrument in accordance with section 191 of the </w:t>
      </w:r>
      <w:r w:rsidR="002866E9" w:rsidRPr="000F4C2C">
        <w:rPr>
          <w:rFonts w:asciiTheme="minorHAnsi" w:hAnsiTheme="minorHAnsi" w:cstheme="minorHAnsi"/>
          <w:i/>
          <w:iCs/>
          <w:szCs w:val="24"/>
        </w:rPr>
        <w:t>National Vocational Education and Training Regulator Act 2011</w:t>
      </w:r>
      <w:r w:rsidR="002866E9" w:rsidRPr="000F4C2C">
        <w:rPr>
          <w:rFonts w:asciiTheme="minorHAnsi" w:hAnsiTheme="minorHAnsi" w:cstheme="minorHAnsi"/>
          <w:szCs w:val="24"/>
        </w:rPr>
        <w:t>.</w:t>
      </w:r>
    </w:p>
    <w:p w14:paraId="58628CF4" w14:textId="08CD526C" w:rsidR="00E605F3" w:rsidRPr="000F4C2C" w:rsidRDefault="00E605F3" w:rsidP="00D4682D">
      <w:pPr>
        <w:spacing w:before="120" w:after="120"/>
        <w:rPr>
          <w:rFonts w:asciiTheme="minorHAnsi" w:hAnsiTheme="minorHAnsi" w:cstheme="minorHAnsi"/>
          <w:szCs w:val="24"/>
        </w:rPr>
      </w:pPr>
      <w:r w:rsidRPr="000F4C2C">
        <w:rPr>
          <w:rFonts w:asciiTheme="minorHAnsi" w:hAnsiTheme="minorHAnsi" w:cstheme="minorHAnsi"/>
          <w:szCs w:val="24"/>
        </w:rPr>
        <w:t xml:space="preserve">Subsection 9(2) of the Act requires the Minister to, by legislative instrument, determine the formula for calculating a charge payable under Part 2 of the Act (a charge for a compliance audit). </w:t>
      </w:r>
    </w:p>
    <w:p w14:paraId="4651606A" w14:textId="3AECA869" w:rsidR="00E605F3" w:rsidRPr="000F4C2C" w:rsidRDefault="00E605F3" w:rsidP="00D4682D">
      <w:pPr>
        <w:spacing w:before="120" w:after="120"/>
        <w:rPr>
          <w:rFonts w:asciiTheme="minorHAnsi" w:hAnsiTheme="minorHAnsi" w:cstheme="minorHAnsi"/>
          <w:szCs w:val="24"/>
        </w:rPr>
      </w:pPr>
      <w:r w:rsidRPr="000F4C2C">
        <w:rPr>
          <w:rFonts w:asciiTheme="minorHAnsi" w:hAnsiTheme="minorHAnsi" w:cstheme="minorHAnsi"/>
          <w:szCs w:val="24"/>
        </w:rPr>
        <w:t xml:space="preserve">Subsection 12(2) of the Act requires the Minister to, by legislative instrument, determine the formula for calculating a charge payable under Part 3 of the Act (a charge for the investigation of a complaint about an NVR registered training organisation). </w:t>
      </w:r>
    </w:p>
    <w:p w14:paraId="42437CF3" w14:textId="3E0ED1F8" w:rsidR="00E605F3" w:rsidRPr="000F4C2C" w:rsidRDefault="00E605F3" w:rsidP="00D4682D">
      <w:pPr>
        <w:spacing w:before="120" w:after="120"/>
        <w:rPr>
          <w:rFonts w:asciiTheme="minorHAnsi" w:hAnsiTheme="minorHAnsi" w:cstheme="minorHAnsi"/>
          <w:szCs w:val="24"/>
        </w:rPr>
      </w:pPr>
      <w:r w:rsidRPr="000F4C2C">
        <w:rPr>
          <w:rFonts w:asciiTheme="minorHAnsi" w:hAnsiTheme="minorHAnsi" w:cstheme="minorHAnsi"/>
          <w:szCs w:val="24"/>
        </w:rPr>
        <w:t>Paragraph 13(b) of the Act empowers the Minister to, by legislative instrument, determine the circumstances in which the National VET Regulator</w:t>
      </w:r>
      <w:r w:rsidR="00536D75" w:rsidRPr="000F4C2C">
        <w:rPr>
          <w:rFonts w:asciiTheme="minorHAnsi" w:hAnsiTheme="minorHAnsi" w:cstheme="minorHAnsi"/>
          <w:szCs w:val="24"/>
        </w:rPr>
        <w:t xml:space="preserve"> (the Regulator)</w:t>
      </w:r>
      <w:r w:rsidRPr="000F4C2C">
        <w:rPr>
          <w:rFonts w:asciiTheme="minorHAnsi" w:hAnsiTheme="minorHAnsi" w:cstheme="minorHAnsi"/>
          <w:szCs w:val="24"/>
        </w:rPr>
        <w:t xml:space="preserve"> may, on behalf of the Commonwealth, waive a charge under the Act (in whole or in part).</w:t>
      </w:r>
    </w:p>
    <w:p w14:paraId="3DC8FEF2" w14:textId="2634E686" w:rsidR="00D4682D" w:rsidRPr="000F4C2C" w:rsidRDefault="002866E9" w:rsidP="00D4682D">
      <w:pPr>
        <w:spacing w:before="120" w:after="120"/>
        <w:rPr>
          <w:rFonts w:asciiTheme="minorHAnsi" w:hAnsiTheme="minorHAnsi" w:cstheme="minorHAnsi"/>
          <w:szCs w:val="24"/>
        </w:rPr>
      </w:pPr>
      <w:r w:rsidRPr="000F4C2C">
        <w:rPr>
          <w:rFonts w:asciiTheme="minorHAnsi" w:hAnsiTheme="minorHAnsi" w:cstheme="minorHAnsi"/>
          <w:szCs w:val="24"/>
        </w:rPr>
        <w:t>S</w:t>
      </w:r>
      <w:r w:rsidR="00D4682D" w:rsidRPr="000F4C2C">
        <w:rPr>
          <w:rFonts w:asciiTheme="minorHAnsi" w:hAnsiTheme="minorHAnsi" w:cstheme="minorHAnsi"/>
          <w:szCs w:val="24"/>
        </w:rPr>
        <w:t xml:space="preserve">ubsection 33(3) of the </w:t>
      </w:r>
      <w:r w:rsidR="00D4682D" w:rsidRPr="000F4C2C">
        <w:rPr>
          <w:rFonts w:asciiTheme="minorHAnsi" w:hAnsiTheme="minorHAnsi" w:cstheme="minorHAnsi"/>
          <w:i/>
          <w:iCs/>
          <w:szCs w:val="24"/>
        </w:rPr>
        <w:t>Acts Interpretation Ac</w:t>
      </w:r>
      <w:r w:rsidRPr="000F4C2C">
        <w:rPr>
          <w:rFonts w:asciiTheme="minorHAnsi" w:hAnsiTheme="minorHAnsi" w:cstheme="minorHAnsi"/>
          <w:i/>
          <w:iCs/>
          <w:szCs w:val="24"/>
        </w:rPr>
        <w:t>t 1901</w:t>
      </w:r>
      <w:r w:rsidRPr="000F4C2C">
        <w:rPr>
          <w:rFonts w:asciiTheme="minorHAnsi" w:hAnsiTheme="minorHAnsi" w:cstheme="minorHAnsi"/>
          <w:szCs w:val="24"/>
        </w:rPr>
        <w:t xml:space="preserve"> provides that,</w:t>
      </w:r>
      <w:r w:rsidR="00D4682D" w:rsidRPr="000F4C2C">
        <w:rPr>
          <w:rFonts w:asciiTheme="minorHAnsi" w:hAnsiTheme="minorHAnsi" w:cstheme="minorHAnsi"/>
          <w:szCs w:val="24"/>
        </w:rPr>
        <w:t xml:space="preserve">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w:t>
      </w:r>
    </w:p>
    <w:p w14:paraId="0510A83D" w14:textId="3973121B" w:rsidR="002E32FD" w:rsidRPr="000F4C2C" w:rsidRDefault="002E32FD" w:rsidP="00D4682D">
      <w:pPr>
        <w:spacing w:before="120" w:after="120"/>
        <w:rPr>
          <w:rFonts w:asciiTheme="minorHAnsi" w:hAnsiTheme="minorHAnsi" w:cstheme="minorHAnsi"/>
          <w:szCs w:val="24"/>
        </w:rPr>
      </w:pPr>
      <w:r w:rsidRPr="000F4C2C">
        <w:rPr>
          <w:rFonts w:asciiTheme="minorHAnsi" w:hAnsiTheme="minorHAnsi" w:cstheme="minorHAnsi"/>
          <w:szCs w:val="24"/>
        </w:rPr>
        <w:t xml:space="preserve">Paragraph 54(1)(a) of the </w:t>
      </w:r>
      <w:r w:rsidRPr="000F4C2C">
        <w:rPr>
          <w:rFonts w:asciiTheme="minorHAnsi" w:hAnsiTheme="minorHAnsi" w:cstheme="minorHAnsi"/>
          <w:i/>
          <w:iCs/>
          <w:szCs w:val="24"/>
        </w:rPr>
        <w:t xml:space="preserve">Legislation Act 2003 </w:t>
      </w:r>
      <w:r w:rsidRPr="000F4C2C">
        <w:rPr>
          <w:rFonts w:asciiTheme="minorHAnsi" w:hAnsiTheme="minorHAnsi" w:cstheme="minorHAnsi"/>
          <w:szCs w:val="24"/>
        </w:rPr>
        <w:t xml:space="preserve">has the effect of exempting </w:t>
      </w:r>
      <w:r w:rsidR="0039281E" w:rsidRPr="000F4C2C">
        <w:rPr>
          <w:rFonts w:asciiTheme="minorHAnsi" w:hAnsiTheme="minorHAnsi" w:cstheme="minorHAnsi"/>
          <w:szCs w:val="24"/>
        </w:rPr>
        <w:t>an instrument</w:t>
      </w:r>
      <w:r w:rsidRPr="000F4C2C">
        <w:rPr>
          <w:rFonts w:asciiTheme="minorHAnsi" w:hAnsiTheme="minorHAnsi" w:cstheme="minorHAnsi"/>
          <w:szCs w:val="24"/>
        </w:rPr>
        <w:t xml:space="preserve"> from sunsetting (see Part 4 of the </w:t>
      </w:r>
      <w:r w:rsidRPr="000F4C2C">
        <w:rPr>
          <w:rFonts w:asciiTheme="minorHAnsi" w:hAnsiTheme="minorHAnsi" w:cstheme="minorHAnsi"/>
          <w:i/>
          <w:iCs/>
          <w:szCs w:val="24"/>
        </w:rPr>
        <w:t>Legislation Act 2003</w:t>
      </w:r>
      <w:r w:rsidR="0039281E" w:rsidRPr="000F4C2C">
        <w:rPr>
          <w:rFonts w:asciiTheme="minorHAnsi" w:hAnsiTheme="minorHAnsi" w:cstheme="minorHAnsi"/>
          <w:szCs w:val="24"/>
        </w:rPr>
        <w:t>) if the enabling legislation for the instrument</w:t>
      </w:r>
      <w:r w:rsidRPr="000F4C2C">
        <w:rPr>
          <w:rFonts w:asciiTheme="minorHAnsi" w:hAnsiTheme="minorHAnsi" w:cstheme="minorHAnsi"/>
          <w:szCs w:val="24"/>
        </w:rPr>
        <w:t>:</w:t>
      </w:r>
    </w:p>
    <w:p w14:paraId="567C60F2" w14:textId="0E8A5C52" w:rsidR="002866E9" w:rsidRPr="000F4C2C" w:rsidRDefault="002E32FD" w:rsidP="002E32FD">
      <w:pPr>
        <w:pStyle w:val="ListParagraph"/>
        <w:numPr>
          <w:ilvl w:val="0"/>
          <w:numId w:val="19"/>
        </w:numPr>
        <w:spacing w:before="120" w:after="120"/>
        <w:rPr>
          <w:rFonts w:asciiTheme="minorHAnsi" w:hAnsiTheme="minorHAnsi" w:cstheme="minorHAnsi"/>
          <w:szCs w:val="24"/>
        </w:rPr>
      </w:pPr>
      <w:r w:rsidRPr="000F4C2C">
        <w:rPr>
          <w:rFonts w:asciiTheme="minorHAnsi" w:hAnsiTheme="minorHAnsi" w:cstheme="minorHAnsi"/>
          <w:szCs w:val="24"/>
        </w:rPr>
        <w:lastRenderedPageBreak/>
        <w:t>facilitate</w:t>
      </w:r>
      <w:r w:rsidR="0039281E" w:rsidRPr="000F4C2C">
        <w:rPr>
          <w:rFonts w:asciiTheme="minorHAnsi" w:hAnsiTheme="minorHAnsi" w:cstheme="minorHAnsi"/>
          <w:szCs w:val="24"/>
        </w:rPr>
        <w:t>s</w:t>
      </w:r>
      <w:r w:rsidRPr="000F4C2C">
        <w:rPr>
          <w:rFonts w:asciiTheme="minorHAnsi" w:hAnsiTheme="minorHAnsi" w:cstheme="minorHAnsi"/>
          <w:szCs w:val="24"/>
        </w:rPr>
        <w:t xml:space="preserve"> the establishment or operation of an intergovernmental body or scheme involving the Commonwealth and one or more States or Territories; and</w:t>
      </w:r>
    </w:p>
    <w:p w14:paraId="2B46F035" w14:textId="6D046657" w:rsidR="002E32FD" w:rsidRPr="000F4C2C" w:rsidRDefault="002E32FD" w:rsidP="002E32FD">
      <w:pPr>
        <w:pStyle w:val="ListParagraph"/>
        <w:numPr>
          <w:ilvl w:val="0"/>
          <w:numId w:val="19"/>
        </w:numPr>
        <w:spacing w:before="120" w:after="120"/>
        <w:rPr>
          <w:rFonts w:asciiTheme="minorHAnsi" w:hAnsiTheme="minorHAnsi" w:cstheme="minorHAnsi"/>
          <w:szCs w:val="24"/>
        </w:rPr>
      </w:pPr>
      <w:r w:rsidRPr="000F4C2C">
        <w:rPr>
          <w:rFonts w:asciiTheme="minorHAnsi" w:hAnsiTheme="minorHAnsi" w:cstheme="minorHAnsi"/>
          <w:szCs w:val="24"/>
        </w:rPr>
        <w:t>authorise</w:t>
      </w:r>
      <w:r w:rsidR="0039281E" w:rsidRPr="000F4C2C">
        <w:rPr>
          <w:rFonts w:asciiTheme="minorHAnsi" w:hAnsiTheme="minorHAnsi" w:cstheme="minorHAnsi"/>
          <w:szCs w:val="24"/>
        </w:rPr>
        <w:t>s</w:t>
      </w:r>
      <w:r w:rsidRPr="000F4C2C">
        <w:rPr>
          <w:rFonts w:asciiTheme="minorHAnsi" w:hAnsiTheme="minorHAnsi" w:cstheme="minorHAnsi"/>
          <w:szCs w:val="24"/>
        </w:rPr>
        <w:t xml:space="preserve"> the instrument to be made by the body or for the purposes of the body or scheme.</w:t>
      </w:r>
    </w:p>
    <w:p w14:paraId="07099A76" w14:textId="027E0B5C" w:rsidR="002E32FD" w:rsidRPr="000F4C2C" w:rsidRDefault="002E32FD" w:rsidP="002E32FD">
      <w:pPr>
        <w:spacing w:before="120" w:after="120"/>
        <w:rPr>
          <w:rFonts w:asciiTheme="minorHAnsi" w:hAnsiTheme="minorHAnsi" w:cstheme="minorHAnsi"/>
          <w:szCs w:val="24"/>
        </w:rPr>
      </w:pPr>
      <w:r w:rsidRPr="000F4C2C">
        <w:rPr>
          <w:rFonts w:asciiTheme="minorHAnsi" w:hAnsiTheme="minorHAnsi" w:cstheme="minorHAnsi"/>
          <w:szCs w:val="24"/>
        </w:rPr>
        <w:t>The</w:t>
      </w:r>
      <w:r w:rsidR="00B541E7" w:rsidRPr="000F4C2C">
        <w:rPr>
          <w:rFonts w:asciiTheme="minorHAnsi" w:hAnsiTheme="minorHAnsi" w:cstheme="minorHAnsi"/>
          <w:szCs w:val="24"/>
        </w:rPr>
        <w:t xml:space="preserve"> Act and the</w:t>
      </w:r>
      <w:r w:rsidRPr="000F4C2C">
        <w:rPr>
          <w:rFonts w:asciiTheme="minorHAnsi" w:hAnsiTheme="minorHAnsi" w:cstheme="minorHAnsi"/>
          <w:szCs w:val="24"/>
        </w:rPr>
        <w:t xml:space="preserve"> </w:t>
      </w:r>
      <w:r w:rsidRPr="000F4C2C">
        <w:rPr>
          <w:rFonts w:asciiTheme="minorHAnsi" w:hAnsiTheme="minorHAnsi" w:cstheme="minorHAnsi"/>
          <w:i/>
          <w:iCs/>
          <w:szCs w:val="24"/>
        </w:rPr>
        <w:t xml:space="preserve">National Vocational Education and Training Regulator Act 2011 </w:t>
      </w:r>
      <w:r w:rsidRPr="000F4C2C">
        <w:rPr>
          <w:rFonts w:asciiTheme="minorHAnsi" w:hAnsiTheme="minorHAnsi" w:cstheme="minorHAnsi"/>
          <w:szCs w:val="24"/>
        </w:rPr>
        <w:t>establishes a national scheme for the regulation of vocational education and training</w:t>
      </w:r>
      <w:r w:rsidR="00B541E7" w:rsidRPr="000F4C2C">
        <w:rPr>
          <w:rFonts w:asciiTheme="minorHAnsi" w:hAnsiTheme="minorHAnsi" w:cstheme="minorHAnsi"/>
          <w:szCs w:val="24"/>
        </w:rPr>
        <w:t xml:space="preserve">, giving effect to the matters set out in the </w:t>
      </w:r>
      <w:r w:rsidR="00B541E7" w:rsidRPr="000F4C2C">
        <w:rPr>
          <w:rFonts w:asciiTheme="minorHAnsi" w:hAnsiTheme="minorHAnsi" w:cstheme="minorHAnsi"/>
          <w:i/>
          <w:iCs/>
          <w:szCs w:val="24"/>
        </w:rPr>
        <w:t>Intergovernmental Agreement for Regulatory Reform in Vocational Education and Training</w:t>
      </w:r>
      <w:r w:rsidR="00B541E7" w:rsidRPr="000F4C2C">
        <w:rPr>
          <w:rFonts w:asciiTheme="minorHAnsi" w:hAnsiTheme="minorHAnsi" w:cstheme="minorHAnsi"/>
          <w:szCs w:val="24"/>
        </w:rPr>
        <w:t>. Given the instrument facilitates the operation of, and is made for the purposes of, this intergovernmental scheme, the instrument is not subject to sunsetting.</w:t>
      </w:r>
    </w:p>
    <w:p w14:paraId="52EF7C7C" w14:textId="77777777" w:rsidR="00B541E7" w:rsidRPr="000F4C2C" w:rsidRDefault="00B541E7" w:rsidP="002E32FD">
      <w:pPr>
        <w:spacing w:before="120" w:after="120"/>
        <w:rPr>
          <w:rFonts w:asciiTheme="minorHAnsi" w:hAnsiTheme="minorHAnsi" w:cstheme="minorHAnsi"/>
          <w:szCs w:val="24"/>
        </w:rPr>
      </w:pPr>
    </w:p>
    <w:bookmarkEnd w:id="0"/>
    <w:bookmarkEnd w:id="1"/>
    <w:p w14:paraId="56CDA376" w14:textId="77777777" w:rsidR="00DA552F" w:rsidRPr="000F4C2C" w:rsidRDefault="00144950" w:rsidP="00F513EB">
      <w:pPr>
        <w:pStyle w:val="Heading2"/>
        <w:rPr>
          <w:rFonts w:asciiTheme="minorHAnsi" w:hAnsiTheme="minorHAnsi" w:cstheme="minorHAnsi"/>
          <w:color w:val="auto"/>
        </w:rPr>
      </w:pPr>
      <w:r w:rsidRPr="000F4C2C">
        <w:rPr>
          <w:rFonts w:asciiTheme="minorHAnsi" w:hAnsiTheme="minorHAnsi" w:cstheme="minorHAnsi"/>
          <w:color w:val="auto"/>
        </w:rPr>
        <w:t>PURPOSE AND OPERATION</w:t>
      </w:r>
    </w:p>
    <w:p w14:paraId="3069A849" w14:textId="082A4716" w:rsidR="00EE6ABF" w:rsidRPr="000F4C2C" w:rsidRDefault="00536D75" w:rsidP="00DA552F">
      <w:pPr>
        <w:spacing w:before="120" w:after="120"/>
        <w:rPr>
          <w:rFonts w:asciiTheme="minorHAnsi" w:hAnsiTheme="minorHAnsi" w:cstheme="minorHAnsi"/>
          <w:szCs w:val="24"/>
        </w:rPr>
      </w:pPr>
      <w:r w:rsidRPr="000F4C2C">
        <w:rPr>
          <w:rFonts w:asciiTheme="minorHAnsi" w:hAnsiTheme="minorHAnsi" w:cstheme="minorHAnsi"/>
          <w:szCs w:val="24"/>
        </w:rPr>
        <w:t xml:space="preserve">The </w:t>
      </w:r>
      <w:r w:rsidR="00537D89" w:rsidRPr="000F4C2C">
        <w:rPr>
          <w:rFonts w:asciiTheme="minorHAnsi" w:hAnsiTheme="minorHAnsi" w:cstheme="minorHAnsi"/>
          <w:szCs w:val="24"/>
        </w:rPr>
        <w:t>i</w:t>
      </w:r>
      <w:r w:rsidRPr="000F4C2C">
        <w:rPr>
          <w:rFonts w:asciiTheme="minorHAnsi" w:hAnsiTheme="minorHAnsi" w:cstheme="minorHAnsi"/>
          <w:szCs w:val="24"/>
        </w:rPr>
        <w:t xml:space="preserve">nstrument gives effect to the Australian Government’s decision that, from 1 July 2022, the Regulator </w:t>
      </w:r>
      <w:r w:rsidR="00C67A91" w:rsidRPr="000F4C2C">
        <w:rPr>
          <w:rFonts w:asciiTheme="minorHAnsi" w:hAnsiTheme="minorHAnsi" w:cstheme="minorHAnsi"/>
          <w:szCs w:val="24"/>
        </w:rPr>
        <w:t>to recover</w:t>
      </w:r>
      <w:r w:rsidR="00EE6ABF" w:rsidRPr="000F4C2C">
        <w:rPr>
          <w:rFonts w:asciiTheme="minorHAnsi" w:hAnsiTheme="minorHAnsi" w:cstheme="minorHAnsi"/>
          <w:szCs w:val="24"/>
        </w:rPr>
        <w:t xml:space="preserve"> the costs of </w:t>
      </w:r>
      <w:proofErr w:type="gramStart"/>
      <w:r w:rsidR="00675A1F" w:rsidRPr="000F4C2C">
        <w:rPr>
          <w:rFonts w:asciiTheme="minorHAnsi" w:hAnsiTheme="minorHAnsi" w:cstheme="minorHAnsi"/>
          <w:szCs w:val="24"/>
        </w:rPr>
        <w:t>the majority</w:t>
      </w:r>
      <w:r w:rsidR="00EE6ABF" w:rsidRPr="000F4C2C">
        <w:rPr>
          <w:rFonts w:asciiTheme="minorHAnsi" w:hAnsiTheme="minorHAnsi" w:cstheme="minorHAnsi"/>
          <w:szCs w:val="24"/>
        </w:rPr>
        <w:t xml:space="preserve"> of</w:t>
      </w:r>
      <w:proofErr w:type="gramEnd"/>
      <w:r w:rsidR="00EE6ABF" w:rsidRPr="000F4C2C">
        <w:rPr>
          <w:rFonts w:asciiTheme="minorHAnsi" w:hAnsiTheme="minorHAnsi" w:cstheme="minorHAnsi"/>
          <w:szCs w:val="24"/>
        </w:rPr>
        <w:t xml:space="preserve"> its regulatory activities</w:t>
      </w:r>
      <w:r w:rsidRPr="000F4C2C">
        <w:rPr>
          <w:rFonts w:asciiTheme="minorHAnsi" w:hAnsiTheme="minorHAnsi" w:cstheme="minorHAnsi"/>
          <w:szCs w:val="24"/>
        </w:rPr>
        <w:t xml:space="preserve">. </w:t>
      </w:r>
    </w:p>
    <w:p w14:paraId="126831B9" w14:textId="5600D740" w:rsidR="00536D75" w:rsidRPr="000F4C2C" w:rsidRDefault="00536D75" w:rsidP="00DA552F">
      <w:pPr>
        <w:spacing w:before="120" w:after="120"/>
        <w:rPr>
          <w:rFonts w:asciiTheme="minorHAnsi" w:hAnsiTheme="minorHAnsi" w:cstheme="minorHAnsi"/>
          <w:szCs w:val="24"/>
        </w:rPr>
      </w:pPr>
      <w:r w:rsidRPr="000F4C2C">
        <w:rPr>
          <w:rFonts w:asciiTheme="minorHAnsi" w:hAnsiTheme="minorHAnsi" w:cstheme="minorHAnsi"/>
          <w:szCs w:val="24"/>
        </w:rPr>
        <w:t xml:space="preserve">The Australian Government announced in its 2018-19 Budget that the Regulator would </w:t>
      </w:r>
      <w:r w:rsidR="00EE6ABF" w:rsidRPr="000F4C2C">
        <w:rPr>
          <w:rFonts w:asciiTheme="minorHAnsi" w:hAnsiTheme="minorHAnsi" w:cstheme="minorHAnsi"/>
          <w:szCs w:val="24"/>
        </w:rPr>
        <w:t>transition from partial cost recovery to full cost recovery</w:t>
      </w:r>
      <w:r w:rsidRPr="000F4C2C">
        <w:rPr>
          <w:rFonts w:asciiTheme="minorHAnsi" w:hAnsiTheme="minorHAnsi" w:cstheme="minorHAnsi"/>
          <w:szCs w:val="24"/>
        </w:rPr>
        <w:t xml:space="preserve">. This transition was deferred to 2021-22 as part of a package of measures announced in April 2020 to lift financial pressures on vocational education and training providers impacted by the COVID-19 pandemic. </w:t>
      </w:r>
    </w:p>
    <w:p w14:paraId="5DFC8944" w14:textId="7A778DEA" w:rsidR="00654F28" w:rsidRPr="000F4C2C" w:rsidRDefault="00654F28" w:rsidP="00DA552F">
      <w:pPr>
        <w:spacing w:before="120" w:after="120"/>
        <w:rPr>
          <w:rFonts w:asciiTheme="minorHAnsi" w:hAnsiTheme="minorHAnsi" w:cstheme="minorHAnsi"/>
          <w:szCs w:val="24"/>
        </w:rPr>
      </w:pPr>
      <w:r w:rsidRPr="000F4C2C">
        <w:rPr>
          <w:rFonts w:asciiTheme="minorHAnsi" w:hAnsiTheme="minorHAnsi" w:cstheme="minorHAnsi"/>
          <w:szCs w:val="24"/>
        </w:rPr>
        <w:t xml:space="preserve">The </w:t>
      </w:r>
      <w:r w:rsidR="00537D89" w:rsidRPr="000F4C2C">
        <w:rPr>
          <w:rFonts w:asciiTheme="minorHAnsi" w:hAnsiTheme="minorHAnsi" w:cstheme="minorHAnsi"/>
          <w:szCs w:val="24"/>
        </w:rPr>
        <w:t>i</w:t>
      </w:r>
      <w:r w:rsidRPr="000F4C2C">
        <w:rPr>
          <w:rFonts w:asciiTheme="minorHAnsi" w:hAnsiTheme="minorHAnsi" w:cstheme="minorHAnsi"/>
          <w:szCs w:val="24"/>
        </w:rPr>
        <w:t xml:space="preserve">nstrument repeals and replaces the </w:t>
      </w:r>
      <w:r w:rsidRPr="000F4C2C">
        <w:rPr>
          <w:rFonts w:asciiTheme="minorHAnsi" w:hAnsiTheme="minorHAnsi" w:cstheme="minorHAnsi"/>
          <w:i/>
          <w:iCs/>
          <w:szCs w:val="24"/>
        </w:rPr>
        <w:t>National Vocational Education and Training Regulator (Charges) Determination 2013 (No. 1)</w:t>
      </w:r>
      <w:r w:rsidRPr="000F4C2C">
        <w:rPr>
          <w:rFonts w:asciiTheme="minorHAnsi" w:hAnsiTheme="minorHAnsi" w:cstheme="minorHAnsi"/>
          <w:szCs w:val="24"/>
        </w:rPr>
        <w:t xml:space="preserve"> to determine:</w:t>
      </w:r>
    </w:p>
    <w:p w14:paraId="76D5300B" w14:textId="1331FC5B" w:rsidR="00654F28" w:rsidRPr="000F4C2C" w:rsidRDefault="00654F28" w:rsidP="00654F28">
      <w:pPr>
        <w:pStyle w:val="ListParagraph"/>
        <w:numPr>
          <w:ilvl w:val="0"/>
          <w:numId w:val="4"/>
        </w:numPr>
        <w:spacing w:before="120" w:after="120"/>
        <w:rPr>
          <w:rFonts w:asciiTheme="minorHAnsi" w:hAnsiTheme="minorHAnsi" w:cstheme="minorHAnsi"/>
          <w:szCs w:val="24"/>
        </w:rPr>
      </w:pPr>
      <w:r w:rsidRPr="000F4C2C">
        <w:rPr>
          <w:rFonts w:asciiTheme="minorHAnsi" w:hAnsiTheme="minorHAnsi" w:cstheme="minorHAnsi"/>
          <w:szCs w:val="24"/>
        </w:rPr>
        <w:t xml:space="preserve">an updated method for working out an amount of National VET Regulator annual registration charge for a financial year payable by a person to whom section 232A of the </w:t>
      </w:r>
      <w:r w:rsidRPr="000F4C2C">
        <w:rPr>
          <w:rFonts w:asciiTheme="minorHAnsi" w:hAnsiTheme="minorHAnsi" w:cstheme="minorHAnsi"/>
          <w:i/>
          <w:iCs/>
          <w:szCs w:val="24"/>
        </w:rPr>
        <w:t xml:space="preserve">National Vocational Education and Training Regulator Act 2011 </w:t>
      </w:r>
      <w:r w:rsidRPr="000F4C2C">
        <w:rPr>
          <w:rFonts w:asciiTheme="minorHAnsi" w:hAnsiTheme="minorHAnsi" w:cstheme="minorHAnsi"/>
          <w:szCs w:val="24"/>
        </w:rPr>
        <w:t xml:space="preserve">applies, for the purposes of that </w:t>
      </w:r>
      <w:proofErr w:type="gramStart"/>
      <w:r w:rsidRPr="000F4C2C">
        <w:rPr>
          <w:rFonts w:asciiTheme="minorHAnsi" w:hAnsiTheme="minorHAnsi" w:cstheme="minorHAnsi"/>
          <w:szCs w:val="24"/>
        </w:rPr>
        <w:t>section;</w:t>
      </w:r>
      <w:proofErr w:type="gramEnd"/>
    </w:p>
    <w:p w14:paraId="6BA10F14" w14:textId="0CB25D4C" w:rsidR="00654F28" w:rsidRPr="000F4C2C" w:rsidRDefault="00654F28" w:rsidP="00654F28">
      <w:pPr>
        <w:pStyle w:val="ListParagraph"/>
        <w:numPr>
          <w:ilvl w:val="0"/>
          <w:numId w:val="4"/>
        </w:numPr>
        <w:spacing w:before="120" w:after="120"/>
        <w:rPr>
          <w:rFonts w:asciiTheme="minorHAnsi" w:hAnsiTheme="minorHAnsi" w:cstheme="minorHAnsi"/>
          <w:szCs w:val="24"/>
        </w:rPr>
      </w:pPr>
      <w:r w:rsidRPr="000F4C2C">
        <w:rPr>
          <w:rFonts w:asciiTheme="minorHAnsi" w:hAnsiTheme="minorHAnsi" w:cstheme="minorHAnsi"/>
          <w:szCs w:val="24"/>
        </w:rPr>
        <w:t xml:space="preserve">an updated formula for calculating a charge for a compliance </w:t>
      </w:r>
      <w:proofErr w:type="gramStart"/>
      <w:r w:rsidRPr="000F4C2C">
        <w:rPr>
          <w:rFonts w:asciiTheme="minorHAnsi" w:hAnsiTheme="minorHAnsi" w:cstheme="minorHAnsi"/>
          <w:szCs w:val="24"/>
        </w:rPr>
        <w:t>audit;</w:t>
      </w:r>
      <w:proofErr w:type="gramEnd"/>
    </w:p>
    <w:p w14:paraId="1CCC607D" w14:textId="10FF9162" w:rsidR="00654F28" w:rsidRPr="000F4C2C" w:rsidRDefault="00654F28" w:rsidP="00654F28">
      <w:pPr>
        <w:pStyle w:val="ListParagraph"/>
        <w:numPr>
          <w:ilvl w:val="0"/>
          <w:numId w:val="4"/>
        </w:numPr>
        <w:spacing w:before="120" w:after="120"/>
        <w:rPr>
          <w:rFonts w:asciiTheme="minorHAnsi" w:hAnsiTheme="minorHAnsi" w:cstheme="minorHAnsi"/>
          <w:szCs w:val="24"/>
        </w:rPr>
      </w:pPr>
      <w:r w:rsidRPr="000F4C2C">
        <w:rPr>
          <w:rFonts w:asciiTheme="minorHAnsi" w:hAnsiTheme="minorHAnsi" w:cstheme="minorHAnsi"/>
          <w:szCs w:val="24"/>
        </w:rPr>
        <w:t xml:space="preserve">an updated formula for calculating a charge for the investigation of a complaint about an NVR registered training organisation; and </w:t>
      </w:r>
    </w:p>
    <w:p w14:paraId="679E5660" w14:textId="2F1862C0" w:rsidR="00654F28" w:rsidRPr="000F4C2C" w:rsidRDefault="00654F28" w:rsidP="00654F28">
      <w:pPr>
        <w:pStyle w:val="ListParagraph"/>
        <w:numPr>
          <w:ilvl w:val="0"/>
          <w:numId w:val="4"/>
        </w:numPr>
        <w:spacing w:before="120" w:after="120"/>
        <w:rPr>
          <w:rFonts w:asciiTheme="minorHAnsi" w:hAnsiTheme="minorHAnsi" w:cstheme="minorHAnsi"/>
          <w:szCs w:val="24"/>
        </w:rPr>
      </w:pPr>
      <w:r w:rsidRPr="000F4C2C">
        <w:rPr>
          <w:rFonts w:asciiTheme="minorHAnsi" w:hAnsiTheme="minorHAnsi" w:cstheme="minorHAnsi"/>
          <w:szCs w:val="24"/>
        </w:rPr>
        <w:t>the circumstances in which the National VET Regulator may, on behalf of the Commonwealth, waive a charge under the Act (in whole or in part).</w:t>
      </w:r>
    </w:p>
    <w:p w14:paraId="29066ECB" w14:textId="7DD6CF82" w:rsidR="00654F28" w:rsidRPr="000F4C2C" w:rsidRDefault="00EE6ABF" w:rsidP="00DA552F">
      <w:pPr>
        <w:spacing w:before="120" w:after="120"/>
        <w:rPr>
          <w:rFonts w:asciiTheme="minorHAnsi" w:hAnsiTheme="minorHAnsi" w:cstheme="minorHAnsi"/>
          <w:szCs w:val="24"/>
        </w:rPr>
      </w:pPr>
      <w:r w:rsidRPr="000F4C2C">
        <w:rPr>
          <w:rFonts w:asciiTheme="minorHAnsi" w:hAnsiTheme="minorHAnsi" w:cstheme="minorHAnsi"/>
          <w:szCs w:val="24"/>
        </w:rPr>
        <w:t xml:space="preserve">The updated methods and formulas for these charges support the Regulator’s transition to full cost recovery, and are consistent with </w:t>
      </w:r>
      <w:r w:rsidR="002E67B3" w:rsidRPr="000F4C2C">
        <w:rPr>
          <w:rFonts w:asciiTheme="minorHAnsi" w:hAnsiTheme="minorHAnsi" w:cstheme="minorHAnsi"/>
          <w:szCs w:val="24"/>
        </w:rPr>
        <w:t xml:space="preserve">the Australian Government Charging Framework (which, as of 9 June 2022, could be accessed at </w:t>
      </w:r>
      <w:hyperlink r:id="rId11" w:history="1">
        <w:r w:rsidR="002E67B3" w:rsidRPr="000F4C2C">
          <w:rPr>
            <w:rStyle w:val="Hyperlink"/>
            <w:rFonts w:asciiTheme="minorHAnsi" w:hAnsiTheme="minorHAnsi" w:cstheme="minorHAnsi"/>
            <w:szCs w:val="24"/>
          </w:rPr>
          <w:t>https://www.finance.gov.au/government/managing-commonwealth-resources/managing-money-property/managing-money/australian-government-charging-framework</w:t>
        </w:r>
      </w:hyperlink>
      <w:r w:rsidR="002E67B3" w:rsidRPr="000F4C2C">
        <w:rPr>
          <w:rFonts w:asciiTheme="minorHAnsi" w:hAnsiTheme="minorHAnsi" w:cstheme="minorHAnsi"/>
          <w:szCs w:val="24"/>
        </w:rPr>
        <w:t xml:space="preserve">).  </w:t>
      </w:r>
    </w:p>
    <w:p w14:paraId="61FD6A79" w14:textId="77777777" w:rsidR="00704121" w:rsidRPr="000F4C2C" w:rsidRDefault="00704121" w:rsidP="00DA552F">
      <w:pPr>
        <w:spacing w:before="120" w:after="120"/>
        <w:rPr>
          <w:rFonts w:asciiTheme="minorHAnsi" w:hAnsiTheme="minorHAnsi" w:cstheme="minorHAnsi"/>
          <w:szCs w:val="24"/>
        </w:rPr>
      </w:pPr>
    </w:p>
    <w:p w14:paraId="626F1531" w14:textId="77777777" w:rsidR="00350779" w:rsidRPr="000F4C2C" w:rsidRDefault="00144950" w:rsidP="00350779">
      <w:pPr>
        <w:pStyle w:val="Heading2"/>
        <w:rPr>
          <w:rFonts w:asciiTheme="minorHAnsi" w:hAnsiTheme="minorHAnsi" w:cstheme="minorHAnsi"/>
          <w:color w:val="auto"/>
        </w:rPr>
      </w:pPr>
      <w:r w:rsidRPr="000F4C2C">
        <w:rPr>
          <w:rFonts w:asciiTheme="minorHAnsi" w:hAnsiTheme="minorHAnsi" w:cstheme="minorHAnsi"/>
          <w:color w:val="auto"/>
        </w:rPr>
        <w:lastRenderedPageBreak/>
        <w:t>REGULATORY IMPACT</w:t>
      </w:r>
    </w:p>
    <w:p w14:paraId="49CA84B5" w14:textId="38ADC63B" w:rsidR="00547C8F" w:rsidRPr="000F4C2C" w:rsidRDefault="002E67B3" w:rsidP="00DA552F">
      <w:pPr>
        <w:spacing w:before="120" w:after="120"/>
        <w:rPr>
          <w:rFonts w:asciiTheme="minorHAnsi" w:hAnsiTheme="minorHAnsi" w:cstheme="minorHAnsi"/>
          <w:szCs w:val="24"/>
        </w:rPr>
      </w:pPr>
      <w:r w:rsidRPr="000F4C2C">
        <w:rPr>
          <w:rFonts w:asciiTheme="minorHAnsi" w:hAnsiTheme="minorHAnsi" w:cstheme="minorHAnsi"/>
          <w:szCs w:val="24"/>
        </w:rPr>
        <w:t>The Office of Best Practice Regulation advised that a Regulation Impact Statement is not required</w:t>
      </w:r>
      <w:r w:rsidR="00573739" w:rsidRPr="000F4C2C">
        <w:rPr>
          <w:rFonts w:asciiTheme="minorHAnsi" w:hAnsiTheme="minorHAnsi" w:cstheme="minorHAnsi"/>
          <w:szCs w:val="24"/>
        </w:rPr>
        <w:t xml:space="preserve"> (OBPR </w:t>
      </w:r>
      <w:r w:rsidRPr="000F4C2C">
        <w:rPr>
          <w:rFonts w:asciiTheme="minorHAnsi" w:hAnsiTheme="minorHAnsi" w:cstheme="minorHAnsi"/>
          <w:szCs w:val="24"/>
        </w:rPr>
        <w:t>R</w:t>
      </w:r>
      <w:r w:rsidR="00573739" w:rsidRPr="000F4C2C">
        <w:rPr>
          <w:rFonts w:asciiTheme="minorHAnsi" w:hAnsiTheme="minorHAnsi" w:cstheme="minorHAnsi"/>
          <w:szCs w:val="24"/>
        </w:rPr>
        <w:t>eference</w:t>
      </w:r>
      <w:r w:rsidRPr="000F4C2C">
        <w:rPr>
          <w:rFonts w:asciiTheme="minorHAnsi" w:hAnsiTheme="minorHAnsi" w:cstheme="minorHAnsi"/>
          <w:szCs w:val="24"/>
        </w:rPr>
        <w:t xml:space="preserve"> ID</w:t>
      </w:r>
      <w:r w:rsidR="00573739" w:rsidRPr="000F4C2C">
        <w:rPr>
          <w:rFonts w:asciiTheme="minorHAnsi" w:hAnsiTheme="minorHAnsi" w:cstheme="minorHAnsi"/>
          <w:szCs w:val="24"/>
        </w:rPr>
        <w:t>: 23083).</w:t>
      </w:r>
    </w:p>
    <w:p w14:paraId="7D9A936E" w14:textId="77777777" w:rsidR="009E3BF0" w:rsidRPr="000F4C2C" w:rsidRDefault="009E3BF0" w:rsidP="00DA552F">
      <w:pPr>
        <w:spacing w:before="120" w:after="120"/>
        <w:rPr>
          <w:rFonts w:asciiTheme="minorHAnsi" w:hAnsiTheme="minorHAnsi" w:cstheme="minorHAnsi"/>
          <w:szCs w:val="24"/>
        </w:rPr>
      </w:pPr>
    </w:p>
    <w:p w14:paraId="4818CCF0" w14:textId="77777777" w:rsidR="00696CF0" w:rsidRPr="000F4C2C" w:rsidRDefault="00144950" w:rsidP="0088497A">
      <w:pPr>
        <w:pStyle w:val="Heading2"/>
        <w:rPr>
          <w:rFonts w:asciiTheme="minorHAnsi" w:hAnsiTheme="minorHAnsi" w:cstheme="minorHAnsi"/>
          <w:color w:val="auto"/>
        </w:rPr>
      </w:pPr>
      <w:r w:rsidRPr="000F4C2C">
        <w:rPr>
          <w:rFonts w:asciiTheme="minorHAnsi" w:hAnsiTheme="minorHAnsi" w:cstheme="minorHAnsi"/>
          <w:color w:val="auto"/>
        </w:rPr>
        <w:t>COMMENCEMENT</w:t>
      </w:r>
    </w:p>
    <w:p w14:paraId="7A7AF185" w14:textId="3B3BB479" w:rsidR="00696CF0" w:rsidRPr="000F4C2C" w:rsidRDefault="00C00444" w:rsidP="00DA552F">
      <w:pPr>
        <w:spacing w:before="120" w:after="120"/>
        <w:rPr>
          <w:rFonts w:asciiTheme="minorHAnsi" w:hAnsiTheme="minorHAnsi" w:cstheme="minorHAnsi"/>
          <w:iCs/>
          <w:szCs w:val="24"/>
        </w:rPr>
      </w:pPr>
      <w:r w:rsidRPr="000F4C2C">
        <w:rPr>
          <w:rFonts w:asciiTheme="minorHAnsi" w:hAnsiTheme="minorHAnsi" w:cstheme="minorHAnsi"/>
          <w:iCs/>
          <w:szCs w:val="24"/>
        </w:rPr>
        <w:t xml:space="preserve">The </w:t>
      </w:r>
      <w:r w:rsidR="00537D89" w:rsidRPr="000F4C2C">
        <w:rPr>
          <w:rFonts w:asciiTheme="minorHAnsi" w:hAnsiTheme="minorHAnsi" w:cstheme="minorHAnsi"/>
          <w:iCs/>
          <w:szCs w:val="24"/>
        </w:rPr>
        <w:t>i</w:t>
      </w:r>
      <w:r w:rsidRPr="000F4C2C">
        <w:rPr>
          <w:rFonts w:asciiTheme="minorHAnsi" w:hAnsiTheme="minorHAnsi" w:cstheme="minorHAnsi"/>
          <w:iCs/>
          <w:szCs w:val="24"/>
        </w:rPr>
        <w:t xml:space="preserve">nstrument commences on </w:t>
      </w:r>
      <w:r w:rsidR="009F3E5A" w:rsidRPr="000F4C2C">
        <w:rPr>
          <w:rFonts w:asciiTheme="minorHAnsi" w:hAnsiTheme="minorHAnsi" w:cstheme="minorHAnsi"/>
          <w:iCs/>
          <w:szCs w:val="24"/>
        </w:rPr>
        <w:t>1 July 2022.</w:t>
      </w:r>
      <w:r w:rsidR="002E67B3" w:rsidRPr="000F4C2C">
        <w:rPr>
          <w:rFonts w:asciiTheme="minorHAnsi" w:hAnsiTheme="minorHAnsi" w:cstheme="minorHAnsi"/>
          <w:iCs/>
          <w:szCs w:val="24"/>
        </w:rPr>
        <w:t xml:space="preserve"> </w:t>
      </w:r>
    </w:p>
    <w:p w14:paraId="3F96EE1C" w14:textId="77777777" w:rsidR="009E3BF0" w:rsidRPr="000F4C2C" w:rsidRDefault="009E3BF0" w:rsidP="00DA552F">
      <w:pPr>
        <w:spacing w:before="120" w:after="120"/>
        <w:rPr>
          <w:rFonts w:asciiTheme="minorHAnsi" w:hAnsiTheme="minorHAnsi" w:cstheme="minorHAnsi"/>
          <w:iCs/>
          <w:szCs w:val="24"/>
        </w:rPr>
      </w:pPr>
    </w:p>
    <w:p w14:paraId="59906F74" w14:textId="77777777" w:rsidR="00696CF0" w:rsidRPr="000F4C2C" w:rsidRDefault="00144950" w:rsidP="00696CF0">
      <w:pPr>
        <w:pStyle w:val="Heading2"/>
        <w:rPr>
          <w:rFonts w:asciiTheme="minorHAnsi" w:hAnsiTheme="minorHAnsi" w:cstheme="minorHAnsi"/>
          <w:color w:val="auto"/>
        </w:rPr>
      </w:pPr>
      <w:bookmarkStart w:id="2" w:name="_Toc34293360"/>
      <w:r w:rsidRPr="000F4C2C">
        <w:rPr>
          <w:rFonts w:asciiTheme="minorHAnsi" w:hAnsiTheme="minorHAnsi" w:cstheme="minorHAnsi"/>
          <w:color w:val="auto"/>
        </w:rPr>
        <w:t>CONSULTATION</w:t>
      </w:r>
      <w:bookmarkEnd w:id="2"/>
    </w:p>
    <w:p w14:paraId="1BEDA737" w14:textId="230B0356" w:rsidR="009E3BF0" w:rsidRPr="000F4C2C" w:rsidRDefault="00B47DA8" w:rsidP="00B22F73">
      <w:pPr>
        <w:spacing w:before="120" w:after="120"/>
        <w:rPr>
          <w:rFonts w:ascii="Calibri" w:hAnsi="Calibri" w:cs="Calibri"/>
          <w:szCs w:val="24"/>
        </w:rPr>
      </w:pPr>
      <w:r w:rsidRPr="000F4C2C">
        <w:rPr>
          <w:rFonts w:ascii="Calibri" w:hAnsi="Calibri" w:cs="Calibri"/>
          <w:szCs w:val="24"/>
        </w:rPr>
        <w:t>The Australian Government Department of Education, Skills and Employment (</w:t>
      </w:r>
      <w:r w:rsidRPr="000F4C2C">
        <w:rPr>
          <w:rFonts w:ascii="Calibri" w:hAnsi="Calibri" w:cs="Calibri"/>
          <w:b/>
          <w:bCs/>
          <w:szCs w:val="24"/>
        </w:rPr>
        <w:t>the department</w:t>
      </w:r>
      <w:r w:rsidRPr="000F4C2C">
        <w:rPr>
          <w:rFonts w:ascii="Calibri" w:hAnsi="Calibri" w:cs="Calibri"/>
          <w:szCs w:val="24"/>
        </w:rPr>
        <w:t>) worked closely with the Australian Skills Quality Authority (</w:t>
      </w:r>
      <w:r w:rsidRPr="000F4C2C">
        <w:rPr>
          <w:rFonts w:ascii="Calibri" w:hAnsi="Calibri" w:cs="Calibri"/>
          <w:b/>
          <w:bCs/>
          <w:szCs w:val="24"/>
        </w:rPr>
        <w:t>ASQA</w:t>
      </w:r>
      <w:r w:rsidRPr="000F4C2C">
        <w:rPr>
          <w:rFonts w:ascii="Calibri" w:hAnsi="Calibri" w:cs="Calibri"/>
          <w:szCs w:val="24"/>
        </w:rPr>
        <w:t>) in the preparation of the instrument.</w:t>
      </w:r>
    </w:p>
    <w:p w14:paraId="788BCA43" w14:textId="47AFB1A8" w:rsidR="00433014" w:rsidRPr="000F4C2C" w:rsidRDefault="00BC18F5" w:rsidP="00B22F73">
      <w:pPr>
        <w:spacing w:before="120" w:after="120"/>
        <w:rPr>
          <w:rFonts w:ascii="Calibri" w:hAnsi="Calibri" w:cs="Calibri"/>
          <w:szCs w:val="24"/>
        </w:rPr>
      </w:pPr>
      <w:r w:rsidRPr="000F4C2C">
        <w:rPr>
          <w:rFonts w:ascii="Calibri" w:hAnsi="Calibri" w:cs="Calibri"/>
          <w:szCs w:val="24"/>
        </w:rPr>
        <w:t xml:space="preserve">ASQA has consulted extensively with representatives from the vocational education and training sector. ASQA commenced this consultation in November 2019 with a consultation paper (which, as of 9 June 2022, could be accessed at </w:t>
      </w:r>
      <w:hyperlink r:id="rId12" w:history="1">
        <w:r w:rsidRPr="000F4C2C">
          <w:rPr>
            <w:rStyle w:val="Hyperlink"/>
            <w:rFonts w:ascii="Calibri" w:hAnsi="Calibri" w:cs="Calibri"/>
            <w:szCs w:val="24"/>
          </w:rPr>
          <w:t>https://www.asqa.gov.au/sites/default/files/2019-11/ASQA%20Fees%20and%20charges%20proposal%202020-21%20Consultation%20paper_0.pdf</w:t>
        </w:r>
      </w:hyperlink>
      <w:r w:rsidRPr="000F4C2C">
        <w:rPr>
          <w:rFonts w:ascii="Calibri" w:hAnsi="Calibri" w:cs="Calibri"/>
          <w:szCs w:val="24"/>
        </w:rPr>
        <w:t xml:space="preserve">). Following the Australian Government’s decision to defer </w:t>
      </w:r>
      <w:r w:rsidR="00961455" w:rsidRPr="000F4C2C">
        <w:rPr>
          <w:rFonts w:ascii="Calibri" w:hAnsi="Calibri" w:cs="Calibri"/>
          <w:szCs w:val="24"/>
        </w:rPr>
        <w:t xml:space="preserve">the Regulator’s transition to full cost recovery, ASQA recommenced consultation in December 2021 and, in early 2022, sought feedback on its draft 2022-23 cost recovery implementation statement (which, as of 9 June 2022, could be accessed at </w:t>
      </w:r>
      <w:hyperlink r:id="rId13" w:history="1">
        <w:r w:rsidR="00961455" w:rsidRPr="000F4C2C">
          <w:rPr>
            <w:rStyle w:val="Hyperlink"/>
            <w:rFonts w:ascii="Calibri" w:hAnsi="Calibri" w:cs="Calibri"/>
            <w:szCs w:val="24"/>
          </w:rPr>
          <w:t>https://www.asqa.gov.au/sites/default/files/2022-01/ASQA%20draft%20Cost%20Recovery%20Implementation%20Statement%20from%20July%202022%20v1.pdf</w:t>
        </w:r>
      </w:hyperlink>
      <w:r w:rsidR="00961455" w:rsidRPr="000F4C2C">
        <w:rPr>
          <w:rFonts w:ascii="Calibri" w:hAnsi="Calibri" w:cs="Calibri"/>
          <w:szCs w:val="24"/>
        </w:rPr>
        <w:t>) through its website, as well as through targeted engagement by way of its stakeholder liaison group and provider roundtable cost recovery working group.</w:t>
      </w:r>
    </w:p>
    <w:p w14:paraId="6E3CA042" w14:textId="15B34D2F" w:rsidR="00537D89" w:rsidRPr="000F4C2C" w:rsidRDefault="00433014" w:rsidP="00B22F73">
      <w:pPr>
        <w:spacing w:before="120" w:after="120"/>
        <w:rPr>
          <w:rFonts w:ascii="Calibri" w:hAnsi="Calibri" w:cs="Calibri"/>
          <w:szCs w:val="24"/>
        </w:rPr>
      </w:pPr>
      <w:r w:rsidRPr="000F4C2C">
        <w:rPr>
          <w:rFonts w:ascii="Calibri" w:hAnsi="Calibri" w:cs="Calibri"/>
          <w:szCs w:val="24"/>
        </w:rPr>
        <w:t xml:space="preserve">The </w:t>
      </w:r>
      <w:r w:rsidR="007C758E" w:rsidRPr="000F4C2C">
        <w:rPr>
          <w:rFonts w:ascii="Calibri" w:hAnsi="Calibri" w:cs="Calibri"/>
          <w:szCs w:val="24"/>
        </w:rPr>
        <w:t xml:space="preserve">Regulator </w:t>
      </w:r>
      <w:r w:rsidR="00537D89" w:rsidRPr="000F4C2C">
        <w:rPr>
          <w:rFonts w:ascii="Calibri" w:hAnsi="Calibri" w:cs="Calibri"/>
          <w:szCs w:val="24"/>
        </w:rPr>
        <w:t>consulted all state and territory governments</w:t>
      </w:r>
      <w:r w:rsidR="005A5F78" w:rsidRPr="000F4C2C">
        <w:rPr>
          <w:rFonts w:ascii="Calibri" w:hAnsi="Calibri" w:cs="Calibri"/>
          <w:szCs w:val="24"/>
        </w:rPr>
        <w:t xml:space="preserve"> on the updated method and formulas </w:t>
      </w:r>
      <w:r w:rsidR="00537D89" w:rsidRPr="000F4C2C">
        <w:rPr>
          <w:rFonts w:ascii="Calibri" w:hAnsi="Calibri" w:cs="Calibri"/>
          <w:szCs w:val="24"/>
        </w:rPr>
        <w:t xml:space="preserve">in accordance with the arrangements set out in the </w:t>
      </w:r>
      <w:r w:rsidR="00537D89" w:rsidRPr="000F4C2C">
        <w:rPr>
          <w:rFonts w:ascii="Calibri" w:hAnsi="Calibri" w:cs="Calibri"/>
          <w:i/>
          <w:iCs/>
          <w:szCs w:val="24"/>
        </w:rPr>
        <w:t>Intergovernmental Agreement for Regulatory Reform in Vocational Education and Training</w:t>
      </w:r>
      <w:r w:rsidR="00537D89" w:rsidRPr="000F4C2C">
        <w:rPr>
          <w:rFonts w:ascii="Calibri" w:hAnsi="Calibri" w:cs="Calibri"/>
          <w:szCs w:val="24"/>
        </w:rPr>
        <w:t>. Clause 5.2.1 of that agreement states that the Australian Government will consult with state and territory governments on proposals to make amendments to the National VET Regulator legislation. Th</w:t>
      </w:r>
      <w:r w:rsidR="007C758E" w:rsidRPr="000F4C2C">
        <w:rPr>
          <w:rFonts w:ascii="Calibri" w:hAnsi="Calibri" w:cs="Calibri"/>
          <w:szCs w:val="24"/>
        </w:rPr>
        <w:t xml:space="preserve">is </w:t>
      </w:r>
      <w:r w:rsidR="00537D89" w:rsidRPr="000F4C2C">
        <w:rPr>
          <w:rFonts w:ascii="Calibri" w:hAnsi="Calibri" w:cs="Calibri"/>
          <w:szCs w:val="24"/>
        </w:rPr>
        <w:t xml:space="preserve">consultation </w:t>
      </w:r>
      <w:r w:rsidR="007C758E" w:rsidRPr="000F4C2C">
        <w:rPr>
          <w:rFonts w:ascii="Calibri" w:hAnsi="Calibri" w:cs="Calibri"/>
          <w:szCs w:val="24"/>
        </w:rPr>
        <w:t xml:space="preserve">is undertaken </w:t>
      </w:r>
      <w:r w:rsidR="00537D89" w:rsidRPr="000F4C2C">
        <w:rPr>
          <w:rFonts w:ascii="Calibri" w:hAnsi="Calibri" w:cs="Calibri"/>
          <w:szCs w:val="24"/>
        </w:rPr>
        <w:t xml:space="preserve">through the Skills Senior Official’s Network, which consists of senior officials from each state and territory government responsible for vocational education and training. State and territory governments </w:t>
      </w:r>
      <w:r w:rsidR="007C758E" w:rsidRPr="000F4C2C">
        <w:rPr>
          <w:rFonts w:ascii="Calibri" w:hAnsi="Calibri" w:cs="Calibri"/>
          <w:szCs w:val="24"/>
        </w:rPr>
        <w:t xml:space="preserve">were consulted on 5 January 2022 and </w:t>
      </w:r>
      <w:r w:rsidR="00537D89" w:rsidRPr="000F4C2C">
        <w:rPr>
          <w:rFonts w:ascii="Calibri" w:hAnsi="Calibri" w:cs="Calibri"/>
          <w:szCs w:val="24"/>
        </w:rPr>
        <w:t>raised no concerns in relation to the updated method and formulas.</w:t>
      </w:r>
    </w:p>
    <w:p w14:paraId="0316A297" w14:textId="1AA4D3F3" w:rsidR="00537D89" w:rsidRPr="000F4C2C" w:rsidRDefault="005A5F78" w:rsidP="00B22F73">
      <w:pPr>
        <w:spacing w:before="120" w:after="120"/>
        <w:rPr>
          <w:rFonts w:asciiTheme="minorHAnsi" w:hAnsiTheme="minorHAnsi" w:cstheme="minorHAnsi"/>
          <w:szCs w:val="24"/>
        </w:rPr>
      </w:pPr>
      <w:r w:rsidRPr="000F4C2C">
        <w:rPr>
          <w:rFonts w:ascii="Calibri" w:hAnsi="Calibri" w:cs="Calibri"/>
          <w:szCs w:val="24"/>
        </w:rPr>
        <w:t xml:space="preserve">In its capacity as the Ministerial Council, the Skills Ministers’ Meeting has agreed – in accordance with section 191 of the </w:t>
      </w:r>
      <w:r w:rsidR="00B47DA8" w:rsidRPr="000F4C2C">
        <w:rPr>
          <w:rFonts w:asciiTheme="minorHAnsi" w:hAnsiTheme="minorHAnsi" w:cstheme="minorHAnsi"/>
          <w:i/>
          <w:iCs/>
          <w:szCs w:val="24"/>
        </w:rPr>
        <w:t>National Vocational Education and Training Regulator Act 2011</w:t>
      </w:r>
      <w:r w:rsidR="00B47DA8" w:rsidRPr="000F4C2C">
        <w:rPr>
          <w:rFonts w:asciiTheme="minorHAnsi" w:hAnsiTheme="minorHAnsi" w:cstheme="minorHAnsi"/>
          <w:szCs w:val="24"/>
        </w:rPr>
        <w:t xml:space="preserve"> – to the updated method for working out an amount of National VET Regulator annual registration charge. The Skills Ministers’ Meeting consists of ministers from the </w:t>
      </w:r>
      <w:r w:rsidR="00B47DA8" w:rsidRPr="000F4C2C">
        <w:rPr>
          <w:rFonts w:asciiTheme="minorHAnsi" w:hAnsiTheme="minorHAnsi" w:cstheme="minorHAnsi"/>
          <w:szCs w:val="24"/>
        </w:rPr>
        <w:lastRenderedPageBreak/>
        <w:t>Australian Government and state and territory governments with portfolio responsibility for skills matters.</w:t>
      </w:r>
    </w:p>
    <w:p w14:paraId="1A1CA51C" w14:textId="77777777" w:rsidR="005905EA" w:rsidRPr="000F4C2C" w:rsidRDefault="005905EA">
      <w:pPr>
        <w:spacing w:after="160" w:line="259" w:lineRule="auto"/>
        <w:rPr>
          <w:rFonts w:asciiTheme="minorHAnsi" w:eastAsiaTheme="majorEastAsia" w:hAnsiTheme="minorHAnsi" w:cstheme="minorHAnsi"/>
          <w:b/>
          <w:szCs w:val="26"/>
        </w:rPr>
      </w:pPr>
      <w:bookmarkStart w:id="3" w:name="_Toc23942241"/>
      <w:bookmarkStart w:id="4" w:name="_Toc34293362"/>
      <w:r w:rsidRPr="000F4C2C">
        <w:rPr>
          <w:rFonts w:asciiTheme="minorHAnsi" w:hAnsiTheme="minorHAnsi" w:cstheme="minorHAnsi"/>
        </w:rPr>
        <w:br w:type="page"/>
      </w:r>
    </w:p>
    <w:p w14:paraId="2023D52E" w14:textId="502AEEEC" w:rsidR="00DA552F" w:rsidRPr="000F4C2C" w:rsidRDefault="00DA552F" w:rsidP="00F62708">
      <w:pPr>
        <w:pStyle w:val="Heading2"/>
        <w:jc w:val="center"/>
        <w:rPr>
          <w:rFonts w:asciiTheme="minorHAnsi" w:hAnsiTheme="minorHAnsi" w:cstheme="minorHAnsi"/>
          <w:color w:val="auto"/>
        </w:rPr>
      </w:pPr>
      <w:r w:rsidRPr="000F4C2C">
        <w:rPr>
          <w:rFonts w:asciiTheme="minorHAnsi" w:hAnsiTheme="minorHAnsi" w:cstheme="minorHAnsi"/>
          <w:color w:val="auto"/>
        </w:rPr>
        <w:lastRenderedPageBreak/>
        <w:t>STATEMENT OF COMPATIBILITY WITH HUMAN RIGHTS</w:t>
      </w:r>
      <w:bookmarkEnd w:id="3"/>
      <w:bookmarkEnd w:id="4"/>
    </w:p>
    <w:p w14:paraId="19B61A02" w14:textId="77777777" w:rsidR="00DA552F" w:rsidRPr="000F4C2C" w:rsidRDefault="00DA552F" w:rsidP="00DA552F">
      <w:pPr>
        <w:spacing w:before="120" w:after="120"/>
        <w:jc w:val="center"/>
        <w:rPr>
          <w:rFonts w:asciiTheme="minorHAnsi" w:hAnsiTheme="minorHAnsi" w:cstheme="minorHAnsi"/>
          <w:szCs w:val="24"/>
        </w:rPr>
      </w:pPr>
      <w:r w:rsidRPr="000F4C2C">
        <w:rPr>
          <w:rFonts w:asciiTheme="minorHAnsi" w:hAnsiTheme="minorHAnsi" w:cstheme="minorHAnsi"/>
          <w:i/>
          <w:szCs w:val="24"/>
        </w:rPr>
        <w:t xml:space="preserve">Prepared in accordance with Part 3 of the Human Rights (Parliamentary </w:t>
      </w:r>
      <w:r w:rsidR="003440C7" w:rsidRPr="000F4C2C">
        <w:rPr>
          <w:rFonts w:asciiTheme="minorHAnsi" w:hAnsiTheme="minorHAnsi" w:cstheme="minorHAnsi"/>
          <w:i/>
          <w:szCs w:val="24"/>
        </w:rPr>
        <w:t>Scrutiny) Act 2011</w:t>
      </w:r>
    </w:p>
    <w:p w14:paraId="7A107F76" w14:textId="57F6E0B0" w:rsidR="00DA552F" w:rsidRPr="000F4C2C" w:rsidRDefault="007A7113" w:rsidP="00DA552F">
      <w:pPr>
        <w:spacing w:before="120" w:after="120"/>
        <w:jc w:val="center"/>
        <w:rPr>
          <w:rFonts w:asciiTheme="minorHAnsi" w:hAnsiTheme="minorHAnsi" w:cstheme="minorHAnsi"/>
          <w:i/>
          <w:iCs/>
          <w:szCs w:val="24"/>
        </w:rPr>
      </w:pPr>
      <w:r w:rsidRPr="000F4C2C">
        <w:rPr>
          <w:rFonts w:asciiTheme="minorHAnsi" w:hAnsiTheme="minorHAnsi" w:cstheme="minorHAnsi"/>
          <w:i/>
          <w:iCs/>
          <w:szCs w:val="24"/>
        </w:rPr>
        <w:t>National Vocational Education and Training Regulator (Charges) Determination 2022</w:t>
      </w:r>
    </w:p>
    <w:p w14:paraId="35169EA6" w14:textId="77777777" w:rsidR="005905EA" w:rsidRPr="000F4C2C" w:rsidRDefault="005905EA" w:rsidP="00DA552F">
      <w:pPr>
        <w:spacing w:before="120" w:after="120"/>
        <w:jc w:val="center"/>
        <w:rPr>
          <w:rFonts w:asciiTheme="minorHAnsi" w:hAnsiTheme="minorHAnsi" w:cstheme="minorHAnsi"/>
          <w:i/>
          <w:iCs/>
          <w:szCs w:val="24"/>
        </w:rPr>
      </w:pPr>
    </w:p>
    <w:p w14:paraId="65F6CFAB" w14:textId="0A6F7328" w:rsidR="00DA552F" w:rsidRPr="000F4C2C" w:rsidRDefault="005905EA" w:rsidP="00DA552F">
      <w:pPr>
        <w:spacing w:before="120" w:after="120"/>
        <w:rPr>
          <w:rFonts w:asciiTheme="minorHAnsi" w:hAnsiTheme="minorHAnsi" w:cstheme="minorHAnsi"/>
          <w:szCs w:val="24"/>
        </w:rPr>
      </w:pPr>
      <w:r w:rsidRPr="000F4C2C">
        <w:rPr>
          <w:rFonts w:asciiTheme="minorHAnsi" w:hAnsiTheme="minorHAnsi" w:cstheme="minorHAnsi"/>
          <w:szCs w:val="24"/>
        </w:rPr>
        <w:t xml:space="preserve">The </w:t>
      </w:r>
      <w:r w:rsidRPr="000F4C2C">
        <w:rPr>
          <w:rFonts w:asciiTheme="minorHAnsi" w:hAnsiTheme="minorHAnsi" w:cstheme="minorHAnsi"/>
          <w:i/>
          <w:iCs/>
          <w:szCs w:val="24"/>
        </w:rPr>
        <w:t xml:space="preserve">National Vocational Education and Training Regulator (Charges) Determination 2022 </w:t>
      </w:r>
      <w:r w:rsidRPr="000F4C2C">
        <w:rPr>
          <w:rFonts w:asciiTheme="minorHAnsi" w:hAnsiTheme="minorHAnsi" w:cstheme="minorHAnsi"/>
          <w:szCs w:val="24"/>
        </w:rPr>
        <w:t>(the instrument)</w:t>
      </w:r>
      <w:r w:rsidR="001E52EB" w:rsidRPr="000F4C2C">
        <w:rPr>
          <w:rFonts w:asciiTheme="minorHAnsi" w:hAnsiTheme="minorHAnsi" w:cstheme="minorHAnsi"/>
          <w:szCs w:val="24"/>
        </w:rPr>
        <w:t xml:space="preserve"> </w:t>
      </w:r>
      <w:r w:rsidR="002B5C28" w:rsidRPr="000F4C2C">
        <w:rPr>
          <w:rFonts w:asciiTheme="minorHAnsi" w:hAnsiTheme="minorHAnsi" w:cstheme="minorHAnsi"/>
          <w:szCs w:val="24"/>
        </w:rPr>
        <w:t xml:space="preserve">is </w:t>
      </w:r>
      <w:r w:rsidR="00F9205E" w:rsidRPr="000F4C2C">
        <w:rPr>
          <w:rFonts w:asciiTheme="minorHAnsi" w:hAnsiTheme="minorHAnsi" w:cstheme="minorHAnsi"/>
          <w:szCs w:val="24"/>
        </w:rPr>
        <w:t xml:space="preserve">compatible with the human rights and freedoms recognised or declared in the international instruments listed in section 3 of the </w:t>
      </w:r>
      <w:r w:rsidR="00F9205E" w:rsidRPr="000F4C2C">
        <w:rPr>
          <w:rFonts w:asciiTheme="minorHAnsi" w:hAnsiTheme="minorHAnsi" w:cstheme="minorHAnsi"/>
          <w:i/>
          <w:szCs w:val="24"/>
        </w:rPr>
        <w:t>Human Rights (Parliamentary Scrutiny) Act 2011</w:t>
      </w:r>
      <w:r w:rsidR="00F9205E" w:rsidRPr="000F4C2C">
        <w:rPr>
          <w:rFonts w:asciiTheme="minorHAnsi" w:hAnsiTheme="minorHAnsi" w:cstheme="minorHAnsi"/>
          <w:szCs w:val="24"/>
        </w:rPr>
        <w:t>.</w:t>
      </w:r>
    </w:p>
    <w:p w14:paraId="4889D26D" w14:textId="07531593" w:rsidR="00F9205E" w:rsidRPr="000F4C2C" w:rsidRDefault="00F9205E" w:rsidP="00DA552F">
      <w:pPr>
        <w:spacing w:before="120" w:after="120"/>
        <w:rPr>
          <w:rFonts w:asciiTheme="minorHAnsi" w:hAnsiTheme="minorHAnsi" w:cstheme="minorHAnsi"/>
          <w:szCs w:val="24"/>
        </w:rPr>
      </w:pPr>
      <w:r w:rsidRPr="000F4C2C">
        <w:rPr>
          <w:rFonts w:asciiTheme="minorHAnsi" w:hAnsiTheme="minorHAnsi" w:cstheme="minorHAnsi"/>
          <w:b/>
          <w:szCs w:val="24"/>
        </w:rPr>
        <w:t>Overview of the</w:t>
      </w:r>
      <w:r w:rsidR="00C67A91" w:rsidRPr="000F4C2C">
        <w:rPr>
          <w:rFonts w:asciiTheme="minorHAnsi" w:hAnsiTheme="minorHAnsi" w:cstheme="minorHAnsi"/>
          <w:b/>
          <w:szCs w:val="24"/>
        </w:rPr>
        <w:t xml:space="preserve"> disallowable legislative</w:t>
      </w:r>
      <w:r w:rsidRPr="000F4C2C">
        <w:rPr>
          <w:rFonts w:asciiTheme="minorHAnsi" w:hAnsiTheme="minorHAnsi" w:cstheme="minorHAnsi"/>
          <w:b/>
          <w:szCs w:val="24"/>
        </w:rPr>
        <w:t xml:space="preserve"> </w:t>
      </w:r>
      <w:r w:rsidR="00C67A91" w:rsidRPr="000F4C2C">
        <w:rPr>
          <w:rFonts w:asciiTheme="minorHAnsi" w:hAnsiTheme="minorHAnsi" w:cstheme="minorHAnsi"/>
          <w:b/>
          <w:szCs w:val="24"/>
        </w:rPr>
        <w:t>i</w:t>
      </w:r>
      <w:r w:rsidR="002C40FB" w:rsidRPr="000F4C2C">
        <w:rPr>
          <w:rFonts w:asciiTheme="minorHAnsi" w:hAnsiTheme="minorHAnsi" w:cstheme="minorHAnsi"/>
          <w:b/>
          <w:szCs w:val="24"/>
        </w:rPr>
        <w:t>nstrument</w:t>
      </w:r>
    </w:p>
    <w:p w14:paraId="5D2EEED0" w14:textId="7FF65337" w:rsidR="00C67A91" w:rsidRPr="000F4C2C" w:rsidRDefault="00C67A91" w:rsidP="005905EA">
      <w:pPr>
        <w:spacing w:before="120" w:after="120"/>
        <w:rPr>
          <w:rFonts w:asciiTheme="minorHAnsi" w:hAnsiTheme="minorHAnsi" w:cstheme="minorHAnsi"/>
          <w:i/>
          <w:iCs/>
          <w:szCs w:val="24"/>
          <w:u w:val="single"/>
        </w:rPr>
      </w:pPr>
      <w:r w:rsidRPr="000F4C2C">
        <w:rPr>
          <w:rFonts w:asciiTheme="minorHAnsi" w:hAnsiTheme="minorHAnsi" w:cstheme="minorHAnsi"/>
          <w:i/>
          <w:iCs/>
          <w:szCs w:val="24"/>
          <w:u w:val="single"/>
        </w:rPr>
        <w:t>Authority</w:t>
      </w:r>
    </w:p>
    <w:p w14:paraId="59CCC0D4" w14:textId="77777777" w:rsidR="00222BF5" w:rsidRPr="000F4C2C" w:rsidRDefault="005905EA" w:rsidP="00875BD2">
      <w:pPr>
        <w:spacing w:before="120" w:after="120"/>
        <w:rPr>
          <w:rFonts w:asciiTheme="minorHAnsi" w:hAnsiTheme="minorHAnsi" w:cstheme="minorHAnsi"/>
          <w:szCs w:val="24"/>
        </w:rPr>
      </w:pPr>
      <w:r w:rsidRPr="000F4C2C">
        <w:rPr>
          <w:rFonts w:asciiTheme="minorHAnsi" w:hAnsiTheme="minorHAnsi" w:cstheme="minorHAnsi"/>
          <w:szCs w:val="24"/>
        </w:rPr>
        <w:t>Subsection 6</w:t>
      </w:r>
      <w:proofErr w:type="gramStart"/>
      <w:r w:rsidRPr="000F4C2C">
        <w:rPr>
          <w:rFonts w:asciiTheme="minorHAnsi" w:hAnsiTheme="minorHAnsi" w:cstheme="minorHAnsi"/>
          <w:szCs w:val="24"/>
        </w:rPr>
        <w:t>B(</w:t>
      </w:r>
      <w:proofErr w:type="gramEnd"/>
      <w:r w:rsidRPr="000F4C2C">
        <w:rPr>
          <w:rFonts w:asciiTheme="minorHAnsi" w:hAnsiTheme="minorHAnsi" w:cstheme="minorHAnsi"/>
          <w:szCs w:val="24"/>
        </w:rPr>
        <w:t>1) of</w:t>
      </w:r>
      <w:r w:rsidR="00C67A91" w:rsidRPr="000F4C2C">
        <w:rPr>
          <w:rFonts w:asciiTheme="minorHAnsi" w:hAnsiTheme="minorHAnsi" w:cstheme="minorHAnsi"/>
          <w:szCs w:val="24"/>
        </w:rPr>
        <w:t xml:space="preserve"> the</w:t>
      </w:r>
      <w:r w:rsidRPr="000F4C2C">
        <w:rPr>
          <w:rFonts w:asciiTheme="minorHAnsi" w:hAnsiTheme="minorHAnsi" w:cstheme="minorHAnsi"/>
          <w:szCs w:val="24"/>
        </w:rPr>
        <w:t xml:space="preserve"> </w:t>
      </w:r>
      <w:r w:rsidR="00C67A91" w:rsidRPr="000F4C2C">
        <w:rPr>
          <w:rFonts w:asciiTheme="minorHAnsi" w:hAnsiTheme="minorHAnsi" w:cstheme="minorHAnsi"/>
          <w:i/>
          <w:iCs/>
          <w:szCs w:val="24"/>
        </w:rPr>
        <w:t xml:space="preserve">National Vocational Education and Training Regulator (Charges) Act 2012 </w:t>
      </w:r>
      <w:r w:rsidR="00C67A91" w:rsidRPr="000F4C2C">
        <w:rPr>
          <w:rFonts w:asciiTheme="minorHAnsi" w:hAnsiTheme="minorHAnsi" w:cstheme="minorHAnsi"/>
          <w:szCs w:val="24"/>
        </w:rPr>
        <w:t>(the Act)</w:t>
      </w:r>
      <w:r w:rsidRPr="000F4C2C">
        <w:rPr>
          <w:rFonts w:asciiTheme="minorHAnsi" w:hAnsiTheme="minorHAnsi" w:cstheme="minorHAnsi"/>
          <w:szCs w:val="24"/>
        </w:rPr>
        <w:t xml:space="preserve"> empowers the Minister to, by legislative instrument, </w:t>
      </w:r>
      <w:r w:rsidR="00D80742" w:rsidRPr="000F4C2C">
        <w:rPr>
          <w:rFonts w:asciiTheme="minorHAnsi" w:hAnsiTheme="minorHAnsi" w:cstheme="minorHAnsi"/>
          <w:szCs w:val="24"/>
        </w:rPr>
        <w:t>determine an amount of National VET Regulator annual registration charge for a financial year, or a method for working out such an amount, payable by a person to whom section 232A of the National Vocational Education and Training Regulator Act 2011 applies, for the purposes of that section.</w:t>
      </w:r>
    </w:p>
    <w:p w14:paraId="377907C3" w14:textId="0B04FF8F" w:rsidR="00875BD2" w:rsidRPr="000F4C2C" w:rsidRDefault="00875BD2" w:rsidP="00875BD2">
      <w:pPr>
        <w:spacing w:before="120" w:after="120"/>
        <w:rPr>
          <w:rFonts w:asciiTheme="minorHAnsi" w:hAnsiTheme="minorHAnsi" w:cstheme="minorHAnsi"/>
          <w:szCs w:val="24"/>
        </w:rPr>
      </w:pPr>
      <w:r w:rsidRPr="000F4C2C">
        <w:rPr>
          <w:rFonts w:asciiTheme="minorHAnsi" w:hAnsiTheme="minorHAnsi" w:cstheme="minorHAnsi"/>
          <w:szCs w:val="24"/>
        </w:rPr>
        <w:t xml:space="preserve">Subsection 9(2) of the Act requires the Minister to, by legislative instrument, determine the formula for calculating a charge payable under Part 2 of the Act (a charge for a compliance audit). </w:t>
      </w:r>
    </w:p>
    <w:p w14:paraId="392B8F4B" w14:textId="77777777" w:rsidR="00875BD2" w:rsidRPr="000F4C2C" w:rsidRDefault="00875BD2" w:rsidP="00875BD2">
      <w:pPr>
        <w:spacing w:before="120" w:after="120"/>
        <w:rPr>
          <w:rFonts w:asciiTheme="minorHAnsi" w:hAnsiTheme="minorHAnsi" w:cstheme="minorHAnsi"/>
          <w:szCs w:val="24"/>
        </w:rPr>
      </w:pPr>
      <w:r w:rsidRPr="000F4C2C">
        <w:rPr>
          <w:rFonts w:asciiTheme="minorHAnsi" w:hAnsiTheme="minorHAnsi" w:cstheme="minorHAnsi"/>
          <w:szCs w:val="24"/>
        </w:rPr>
        <w:t xml:space="preserve">Subsection 12(2) of the Act requires the Minister to, by legislative instrument, determine the formula for calculating a charge payable under Part 3 of the Act (a charge for the investigation of a complaint about an NVR registered training organisation). </w:t>
      </w:r>
    </w:p>
    <w:p w14:paraId="578EB41A" w14:textId="77777777" w:rsidR="005905EA" w:rsidRPr="000F4C2C" w:rsidRDefault="005905EA" w:rsidP="005905EA">
      <w:pPr>
        <w:spacing w:before="120" w:after="120"/>
        <w:rPr>
          <w:rFonts w:asciiTheme="minorHAnsi" w:hAnsiTheme="minorHAnsi" w:cstheme="minorHAnsi"/>
          <w:szCs w:val="24"/>
        </w:rPr>
      </w:pPr>
      <w:r w:rsidRPr="000F4C2C">
        <w:rPr>
          <w:rFonts w:asciiTheme="minorHAnsi" w:hAnsiTheme="minorHAnsi" w:cstheme="minorHAnsi"/>
          <w:szCs w:val="24"/>
        </w:rPr>
        <w:t>Paragraph 13(b) of the Act empowers the Minister to, by legislative instrument, determine the circumstances in which the National VET Regulator (the Regulator) may, on behalf of the Commonwealth, waive a charge under the Act (in whole or in part).</w:t>
      </w:r>
    </w:p>
    <w:p w14:paraId="26B3C5D6" w14:textId="27E35B4B" w:rsidR="005905EA" w:rsidRPr="000F4C2C" w:rsidRDefault="005905EA" w:rsidP="005905EA">
      <w:pPr>
        <w:spacing w:before="120" w:after="120"/>
        <w:rPr>
          <w:rFonts w:asciiTheme="minorHAnsi" w:hAnsiTheme="minorHAnsi" w:cstheme="minorHAnsi"/>
          <w:szCs w:val="24"/>
        </w:rPr>
      </w:pPr>
      <w:r w:rsidRPr="000F4C2C">
        <w:rPr>
          <w:rFonts w:asciiTheme="minorHAnsi" w:hAnsiTheme="minorHAnsi" w:cstheme="minorHAnsi"/>
          <w:szCs w:val="24"/>
        </w:rPr>
        <w:t xml:space="preserve">Subsection 33(3) of the </w:t>
      </w:r>
      <w:r w:rsidRPr="000F4C2C">
        <w:rPr>
          <w:rFonts w:asciiTheme="minorHAnsi" w:hAnsiTheme="minorHAnsi" w:cstheme="minorHAnsi"/>
          <w:i/>
          <w:iCs/>
          <w:szCs w:val="24"/>
        </w:rPr>
        <w:t>Acts Interpretation Act 1901</w:t>
      </w:r>
      <w:r w:rsidRPr="000F4C2C">
        <w:rPr>
          <w:rFonts w:asciiTheme="minorHAnsi" w:hAnsiTheme="minorHAnsi" w:cstheme="minorHAnsi"/>
          <w:szCs w:val="24"/>
        </w:rPr>
        <w:t xml:space="preserve"> provides that,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w:t>
      </w:r>
    </w:p>
    <w:p w14:paraId="58321EE4" w14:textId="25990FB2" w:rsidR="00C67A91" w:rsidRPr="000F4C2C" w:rsidRDefault="00C67A91" w:rsidP="005905EA">
      <w:pPr>
        <w:spacing w:before="120" w:after="120"/>
        <w:rPr>
          <w:rFonts w:asciiTheme="minorHAnsi" w:hAnsiTheme="minorHAnsi" w:cstheme="minorHAnsi"/>
          <w:i/>
          <w:iCs/>
          <w:color w:val="FF0000"/>
          <w:u w:val="single"/>
        </w:rPr>
      </w:pPr>
      <w:r w:rsidRPr="000F4C2C">
        <w:rPr>
          <w:rFonts w:asciiTheme="minorHAnsi" w:hAnsiTheme="minorHAnsi" w:cstheme="minorHAnsi"/>
          <w:i/>
          <w:iCs/>
          <w:szCs w:val="24"/>
          <w:u w:val="single"/>
        </w:rPr>
        <w:t>Purpose and operation</w:t>
      </w:r>
    </w:p>
    <w:p w14:paraId="3F8F00DF" w14:textId="742A2FFE" w:rsidR="00C67A91" w:rsidRPr="000F4C2C" w:rsidRDefault="00C67A91" w:rsidP="00C67A91">
      <w:pPr>
        <w:spacing w:before="120" w:after="120"/>
        <w:rPr>
          <w:rFonts w:asciiTheme="minorHAnsi" w:hAnsiTheme="minorHAnsi" w:cstheme="minorHAnsi"/>
          <w:szCs w:val="24"/>
        </w:rPr>
      </w:pPr>
      <w:r w:rsidRPr="000F4C2C">
        <w:rPr>
          <w:rFonts w:asciiTheme="minorHAnsi" w:hAnsiTheme="minorHAnsi" w:cstheme="minorHAnsi"/>
          <w:szCs w:val="24"/>
        </w:rPr>
        <w:t xml:space="preserve">The instrument gives effect to the Australian Government’s decision that, from 1 July 2022, the Regulator </w:t>
      </w:r>
      <w:r w:rsidR="00675A1F" w:rsidRPr="000F4C2C">
        <w:rPr>
          <w:rFonts w:asciiTheme="minorHAnsi" w:hAnsiTheme="minorHAnsi" w:cstheme="minorHAnsi"/>
          <w:szCs w:val="24"/>
        </w:rPr>
        <w:t>continues its transition</w:t>
      </w:r>
      <w:r w:rsidRPr="000F4C2C">
        <w:rPr>
          <w:rFonts w:asciiTheme="minorHAnsi" w:hAnsiTheme="minorHAnsi" w:cstheme="minorHAnsi"/>
          <w:szCs w:val="24"/>
        </w:rPr>
        <w:t xml:space="preserve"> to recover the costs of </w:t>
      </w:r>
      <w:proofErr w:type="gramStart"/>
      <w:r w:rsidR="00675A1F" w:rsidRPr="000F4C2C">
        <w:rPr>
          <w:rFonts w:asciiTheme="minorHAnsi" w:hAnsiTheme="minorHAnsi" w:cstheme="minorHAnsi"/>
          <w:szCs w:val="24"/>
        </w:rPr>
        <w:t>the majority</w:t>
      </w:r>
      <w:r w:rsidRPr="000F4C2C">
        <w:rPr>
          <w:rFonts w:asciiTheme="minorHAnsi" w:hAnsiTheme="minorHAnsi" w:cstheme="minorHAnsi"/>
          <w:szCs w:val="24"/>
        </w:rPr>
        <w:t xml:space="preserve"> of</w:t>
      </w:r>
      <w:proofErr w:type="gramEnd"/>
      <w:r w:rsidRPr="000F4C2C">
        <w:rPr>
          <w:rFonts w:asciiTheme="minorHAnsi" w:hAnsiTheme="minorHAnsi" w:cstheme="minorHAnsi"/>
          <w:szCs w:val="24"/>
        </w:rPr>
        <w:t xml:space="preserve"> its regulatory activities. </w:t>
      </w:r>
    </w:p>
    <w:p w14:paraId="6C214B98" w14:textId="77777777" w:rsidR="00C67A91" w:rsidRPr="000F4C2C" w:rsidRDefault="00C67A91" w:rsidP="00C67A91">
      <w:pPr>
        <w:spacing w:before="120" w:after="120"/>
        <w:rPr>
          <w:rFonts w:asciiTheme="minorHAnsi" w:hAnsiTheme="minorHAnsi" w:cstheme="minorHAnsi"/>
          <w:szCs w:val="24"/>
        </w:rPr>
      </w:pPr>
      <w:r w:rsidRPr="000F4C2C">
        <w:rPr>
          <w:rFonts w:asciiTheme="minorHAnsi" w:hAnsiTheme="minorHAnsi" w:cstheme="minorHAnsi"/>
          <w:szCs w:val="24"/>
        </w:rPr>
        <w:t xml:space="preserve">The Australian Government announced in its 2018-19 Budget that the Regulator would transition from partial cost recovery to full cost recovery. This transition was deferred to </w:t>
      </w:r>
      <w:r w:rsidRPr="000F4C2C">
        <w:rPr>
          <w:rFonts w:asciiTheme="minorHAnsi" w:hAnsiTheme="minorHAnsi" w:cstheme="minorHAnsi"/>
          <w:szCs w:val="24"/>
        </w:rPr>
        <w:lastRenderedPageBreak/>
        <w:t xml:space="preserve">2021-22 as part of a package of measures announced in April 2020 to lift financial pressures on vocational education and training providers impacted by the COVID-19 pandemic. </w:t>
      </w:r>
    </w:p>
    <w:p w14:paraId="545DE53A" w14:textId="28C972CE" w:rsidR="00C67A91" w:rsidRPr="000F4C2C" w:rsidRDefault="00C67A91" w:rsidP="00C67A91">
      <w:pPr>
        <w:spacing w:before="120" w:after="120"/>
        <w:rPr>
          <w:rFonts w:asciiTheme="minorHAnsi" w:hAnsiTheme="minorHAnsi" w:cstheme="minorHAnsi"/>
          <w:szCs w:val="24"/>
        </w:rPr>
      </w:pPr>
      <w:r w:rsidRPr="000F4C2C">
        <w:rPr>
          <w:rFonts w:asciiTheme="minorHAnsi" w:hAnsiTheme="minorHAnsi" w:cstheme="minorHAnsi"/>
          <w:szCs w:val="24"/>
        </w:rPr>
        <w:t xml:space="preserve">The instrument repeals and replaces the </w:t>
      </w:r>
      <w:r w:rsidRPr="000F4C2C">
        <w:rPr>
          <w:rFonts w:asciiTheme="minorHAnsi" w:hAnsiTheme="minorHAnsi" w:cstheme="minorHAnsi"/>
          <w:i/>
          <w:iCs/>
          <w:szCs w:val="24"/>
        </w:rPr>
        <w:t>National Vocational Education and Training Regulator (Charges) Determination 2013 (No. 1)</w:t>
      </w:r>
      <w:r w:rsidRPr="000F4C2C">
        <w:rPr>
          <w:rFonts w:asciiTheme="minorHAnsi" w:hAnsiTheme="minorHAnsi" w:cstheme="minorHAnsi"/>
          <w:szCs w:val="24"/>
        </w:rPr>
        <w:t xml:space="preserve"> </w:t>
      </w:r>
      <w:r w:rsidR="00A009E0" w:rsidRPr="000F4C2C">
        <w:rPr>
          <w:rFonts w:asciiTheme="minorHAnsi" w:hAnsiTheme="minorHAnsi" w:cstheme="minorHAnsi"/>
          <w:szCs w:val="24"/>
        </w:rPr>
        <w:t>and</w:t>
      </w:r>
      <w:r w:rsidRPr="000F4C2C">
        <w:rPr>
          <w:rFonts w:asciiTheme="minorHAnsi" w:hAnsiTheme="minorHAnsi" w:cstheme="minorHAnsi"/>
          <w:szCs w:val="24"/>
        </w:rPr>
        <w:t xml:space="preserve"> determine</w:t>
      </w:r>
      <w:r w:rsidR="00A009E0" w:rsidRPr="000F4C2C">
        <w:rPr>
          <w:rFonts w:asciiTheme="minorHAnsi" w:hAnsiTheme="minorHAnsi" w:cstheme="minorHAnsi"/>
          <w:szCs w:val="24"/>
        </w:rPr>
        <w:t>s</w:t>
      </w:r>
      <w:r w:rsidRPr="000F4C2C">
        <w:rPr>
          <w:rFonts w:asciiTheme="minorHAnsi" w:hAnsiTheme="minorHAnsi" w:cstheme="minorHAnsi"/>
          <w:szCs w:val="24"/>
        </w:rPr>
        <w:t>:</w:t>
      </w:r>
    </w:p>
    <w:p w14:paraId="696B1D71" w14:textId="4D214A61" w:rsidR="00875BD2" w:rsidRPr="000F4C2C" w:rsidRDefault="00875BD2" w:rsidP="00875BD2">
      <w:pPr>
        <w:pStyle w:val="ListParagraph"/>
        <w:numPr>
          <w:ilvl w:val="0"/>
          <w:numId w:val="4"/>
        </w:numPr>
        <w:spacing w:before="120" w:after="120"/>
        <w:rPr>
          <w:rFonts w:asciiTheme="minorHAnsi" w:hAnsiTheme="minorHAnsi" w:cstheme="minorHAnsi"/>
          <w:szCs w:val="24"/>
        </w:rPr>
      </w:pPr>
      <w:r w:rsidRPr="000F4C2C">
        <w:rPr>
          <w:rFonts w:asciiTheme="minorHAnsi" w:hAnsiTheme="minorHAnsi" w:cstheme="minorHAnsi"/>
          <w:szCs w:val="24"/>
        </w:rPr>
        <w:t>an updated</w:t>
      </w:r>
      <w:r w:rsidR="00222BF5" w:rsidRPr="000F4C2C">
        <w:rPr>
          <w:rFonts w:asciiTheme="minorHAnsi" w:hAnsiTheme="minorHAnsi" w:cstheme="minorHAnsi"/>
          <w:szCs w:val="24"/>
        </w:rPr>
        <w:t xml:space="preserve"> </w:t>
      </w:r>
      <w:r w:rsidRPr="000F4C2C">
        <w:rPr>
          <w:rFonts w:asciiTheme="minorHAnsi" w:hAnsiTheme="minorHAnsi" w:cstheme="minorHAnsi"/>
          <w:szCs w:val="24"/>
        </w:rPr>
        <w:t xml:space="preserve">method for working out an amount of National VET Regulator annual registration charge for a financial year payable by a person to whom section 232A of the </w:t>
      </w:r>
      <w:r w:rsidRPr="000F4C2C">
        <w:rPr>
          <w:rFonts w:asciiTheme="minorHAnsi" w:hAnsiTheme="minorHAnsi" w:cstheme="minorHAnsi"/>
          <w:i/>
          <w:iCs/>
          <w:szCs w:val="24"/>
        </w:rPr>
        <w:t xml:space="preserve">National Vocational Education and Training Regulator Act 2011 </w:t>
      </w:r>
      <w:r w:rsidRPr="000F4C2C">
        <w:rPr>
          <w:rFonts w:asciiTheme="minorHAnsi" w:hAnsiTheme="minorHAnsi" w:cstheme="minorHAnsi"/>
          <w:szCs w:val="24"/>
        </w:rPr>
        <w:t xml:space="preserve">applies, for the purposes of that </w:t>
      </w:r>
      <w:proofErr w:type="gramStart"/>
      <w:r w:rsidRPr="000F4C2C">
        <w:rPr>
          <w:rFonts w:asciiTheme="minorHAnsi" w:hAnsiTheme="minorHAnsi" w:cstheme="minorHAnsi"/>
          <w:szCs w:val="24"/>
        </w:rPr>
        <w:t>section;</w:t>
      </w:r>
      <w:proofErr w:type="gramEnd"/>
    </w:p>
    <w:p w14:paraId="4D5565AC" w14:textId="77777777" w:rsidR="00875BD2" w:rsidRPr="000F4C2C" w:rsidRDefault="00875BD2" w:rsidP="00875BD2">
      <w:pPr>
        <w:pStyle w:val="ListParagraph"/>
        <w:numPr>
          <w:ilvl w:val="0"/>
          <w:numId w:val="4"/>
        </w:numPr>
        <w:spacing w:before="120" w:after="120"/>
        <w:rPr>
          <w:rFonts w:asciiTheme="minorHAnsi" w:hAnsiTheme="minorHAnsi" w:cstheme="minorHAnsi"/>
          <w:szCs w:val="24"/>
        </w:rPr>
      </w:pPr>
      <w:r w:rsidRPr="000F4C2C">
        <w:rPr>
          <w:rFonts w:asciiTheme="minorHAnsi" w:hAnsiTheme="minorHAnsi" w:cstheme="minorHAnsi"/>
          <w:szCs w:val="24"/>
        </w:rPr>
        <w:t xml:space="preserve">an updated formula for calculating a charge for a compliance </w:t>
      </w:r>
      <w:proofErr w:type="gramStart"/>
      <w:r w:rsidRPr="000F4C2C">
        <w:rPr>
          <w:rFonts w:asciiTheme="minorHAnsi" w:hAnsiTheme="minorHAnsi" w:cstheme="minorHAnsi"/>
          <w:szCs w:val="24"/>
        </w:rPr>
        <w:t>audit;</w:t>
      </w:r>
      <w:proofErr w:type="gramEnd"/>
    </w:p>
    <w:p w14:paraId="602A475B" w14:textId="77777777" w:rsidR="00875BD2" w:rsidRPr="000F4C2C" w:rsidRDefault="00875BD2" w:rsidP="00875BD2">
      <w:pPr>
        <w:pStyle w:val="ListParagraph"/>
        <w:numPr>
          <w:ilvl w:val="0"/>
          <w:numId w:val="4"/>
        </w:numPr>
        <w:spacing w:before="120" w:after="120"/>
        <w:rPr>
          <w:rFonts w:asciiTheme="minorHAnsi" w:hAnsiTheme="minorHAnsi" w:cstheme="minorHAnsi"/>
          <w:szCs w:val="24"/>
        </w:rPr>
      </w:pPr>
      <w:r w:rsidRPr="000F4C2C">
        <w:rPr>
          <w:rFonts w:asciiTheme="minorHAnsi" w:hAnsiTheme="minorHAnsi" w:cstheme="minorHAnsi"/>
          <w:szCs w:val="24"/>
        </w:rPr>
        <w:t xml:space="preserve">an updated formula for calculating a charge for the investigation of a complaint about an NVR registered training organisation; and </w:t>
      </w:r>
    </w:p>
    <w:p w14:paraId="51006006" w14:textId="77777777" w:rsidR="00875BD2" w:rsidRPr="000F4C2C" w:rsidRDefault="00875BD2" w:rsidP="00875BD2">
      <w:pPr>
        <w:pStyle w:val="ListParagraph"/>
        <w:numPr>
          <w:ilvl w:val="0"/>
          <w:numId w:val="4"/>
        </w:numPr>
        <w:spacing w:before="120" w:after="120"/>
        <w:rPr>
          <w:rFonts w:asciiTheme="minorHAnsi" w:hAnsiTheme="minorHAnsi" w:cstheme="minorHAnsi"/>
          <w:szCs w:val="24"/>
        </w:rPr>
      </w:pPr>
      <w:r w:rsidRPr="000F4C2C">
        <w:rPr>
          <w:rFonts w:asciiTheme="minorHAnsi" w:hAnsiTheme="minorHAnsi" w:cstheme="minorHAnsi"/>
          <w:szCs w:val="24"/>
        </w:rPr>
        <w:t>the circumstances in which the National VET Regulator may, on behalf of the Commonwealth, waive a charge under the Act (in whole or in part).</w:t>
      </w:r>
    </w:p>
    <w:p w14:paraId="05916F71" w14:textId="77777777" w:rsidR="00C67A91" w:rsidRPr="000F4C2C" w:rsidRDefault="00C67A91" w:rsidP="00C67A91">
      <w:pPr>
        <w:spacing w:before="120" w:after="120"/>
        <w:rPr>
          <w:rFonts w:asciiTheme="minorHAnsi" w:hAnsiTheme="minorHAnsi" w:cstheme="minorHAnsi"/>
          <w:szCs w:val="24"/>
        </w:rPr>
      </w:pPr>
      <w:r w:rsidRPr="000F4C2C">
        <w:rPr>
          <w:rFonts w:asciiTheme="minorHAnsi" w:hAnsiTheme="minorHAnsi" w:cstheme="minorHAnsi"/>
          <w:szCs w:val="24"/>
        </w:rPr>
        <w:t xml:space="preserve">The updated methods and formulas for these charges support the Regulator’s transition to full cost recovery, and are consistent with the Australian Government Charging Framework (which, as of 9 June 2022, could be accessed at </w:t>
      </w:r>
      <w:hyperlink r:id="rId14" w:history="1">
        <w:r w:rsidRPr="000F4C2C">
          <w:rPr>
            <w:rStyle w:val="Hyperlink"/>
            <w:rFonts w:asciiTheme="minorHAnsi" w:hAnsiTheme="minorHAnsi" w:cstheme="minorHAnsi"/>
            <w:szCs w:val="24"/>
          </w:rPr>
          <w:t>https://www.finance.gov.au/government/managing-commonwealth-resources/managing-money-property/managing-money/australian-government-charging-framework</w:t>
        </w:r>
      </w:hyperlink>
      <w:r w:rsidRPr="000F4C2C">
        <w:rPr>
          <w:rFonts w:asciiTheme="minorHAnsi" w:hAnsiTheme="minorHAnsi" w:cstheme="minorHAnsi"/>
          <w:szCs w:val="24"/>
        </w:rPr>
        <w:t xml:space="preserve">).  </w:t>
      </w:r>
    </w:p>
    <w:p w14:paraId="57CC71C9" w14:textId="77777777" w:rsidR="00F9205E" w:rsidRPr="000F4C2C" w:rsidRDefault="00F9205E" w:rsidP="00DA552F">
      <w:pPr>
        <w:spacing w:before="120" w:after="120"/>
        <w:rPr>
          <w:rFonts w:asciiTheme="minorHAnsi" w:hAnsiTheme="minorHAnsi" w:cstheme="minorHAnsi"/>
          <w:szCs w:val="24"/>
        </w:rPr>
      </w:pPr>
      <w:r w:rsidRPr="000F4C2C">
        <w:rPr>
          <w:rFonts w:asciiTheme="minorHAnsi" w:hAnsiTheme="minorHAnsi" w:cstheme="minorHAnsi"/>
          <w:b/>
          <w:szCs w:val="24"/>
        </w:rPr>
        <w:t>Human rights implications</w:t>
      </w:r>
    </w:p>
    <w:p w14:paraId="6622197F" w14:textId="034EECDE" w:rsidR="00F9205E" w:rsidRPr="000F4C2C" w:rsidRDefault="00F9205E" w:rsidP="00DA552F">
      <w:pPr>
        <w:spacing w:before="120" w:after="120"/>
        <w:rPr>
          <w:rFonts w:asciiTheme="minorHAnsi" w:hAnsiTheme="minorHAnsi" w:cstheme="minorHAnsi"/>
          <w:szCs w:val="24"/>
        </w:rPr>
      </w:pPr>
      <w:r w:rsidRPr="000F4C2C">
        <w:rPr>
          <w:rFonts w:asciiTheme="minorHAnsi" w:hAnsiTheme="minorHAnsi" w:cstheme="minorHAnsi"/>
          <w:szCs w:val="24"/>
        </w:rPr>
        <w:t xml:space="preserve">The </w:t>
      </w:r>
      <w:r w:rsidR="00C67A91" w:rsidRPr="000F4C2C">
        <w:rPr>
          <w:rFonts w:asciiTheme="minorHAnsi" w:hAnsiTheme="minorHAnsi" w:cstheme="minorHAnsi"/>
          <w:szCs w:val="24"/>
        </w:rPr>
        <w:t>instrument</w:t>
      </w:r>
      <w:r w:rsidRPr="000F4C2C">
        <w:rPr>
          <w:rFonts w:asciiTheme="minorHAnsi" w:hAnsiTheme="minorHAnsi" w:cstheme="minorHAnsi"/>
          <w:szCs w:val="24"/>
        </w:rPr>
        <w:t xml:space="preserve"> engages the following rights:</w:t>
      </w:r>
    </w:p>
    <w:p w14:paraId="3C5C6864" w14:textId="6CEE47DE" w:rsidR="00EC21DD" w:rsidRPr="000F4C2C" w:rsidRDefault="00EC21DD" w:rsidP="00514C35">
      <w:pPr>
        <w:pStyle w:val="ListParagraph"/>
        <w:numPr>
          <w:ilvl w:val="0"/>
          <w:numId w:val="2"/>
        </w:numPr>
        <w:spacing w:after="160" w:line="259" w:lineRule="auto"/>
        <w:rPr>
          <w:rFonts w:ascii="Calibri" w:hAnsi="Calibri" w:cs="Calibri"/>
          <w:szCs w:val="24"/>
        </w:rPr>
      </w:pPr>
      <w:r w:rsidRPr="000F4C2C">
        <w:rPr>
          <w:rFonts w:ascii="Calibri" w:hAnsi="Calibri" w:cs="Calibri"/>
          <w:szCs w:val="24"/>
        </w:rPr>
        <w:t xml:space="preserve">the right to education in Article 13 of the </w:t>
      </w:r>
      <w:r w:rsidRPr="000F4C2C">
        <w:rPr>
          <w:rFonts w:ascii="Calibri" w:hAnsi="Calibri" w:cs="Calibri"/>
          <w:i/>
          <w:iCs/>
          <w:szCs w:val="24"/>
        </w:rPr>
        <w:t>International Covenant on Economic, Social and Cultural Rights</w:t>
      </w:r>
      <w:r w:rsidRPr="000F4C2C">
        <w:rPr>
          <w:rFonts w:ascii="Calibri" w:hAnsi="Calibri" w:cs="Calibri"/>
          <w:szCs w:val="24"/>
        </w:rPr>
        <w:t xml:space="preserve"> (ICESCR)</w:t>
      </w:r>
      <w:r w:rsidR="00C67A91" w:rsidRPr="000F4C2C">
        <w:rPr>
          <w:rFonts w:ascii="Calibri" w:hAnsi="Calibri" w:cs="Calibri"/>
          <w:szCs w:val="24"/>
        </w:rPr>
        <w:t xml:space="preserve">, </w:t>
      </w:r>
      <w:r w:rsidRPr="000F4C2C">
        <w:rPr>
          <w:rFonts w:ascii="Calibri" w:hAnsi="Calibri" w:cs="Calibri"/>
          <w:szCs w:val="24"/>
        </w:rPr>
        <w:t>read with Article 2</w:t>
      </w:r>
      <w:r w:rsidR="00C67A91" w:rsidRPr="000F4C2C">
        <w:rPr>
          <w:rFonts w:ascii="Calibri" w:hAnsi="Calibri" w:cs="Calibri"/>
          <w:szCs w:val="24"/>
        </w:rPr>
        <w:t>,</w:t>
      </w:r>
      <w:r w:rsidRPr="000F4C2C">
        <w:rPr>
          <w:rFonts w:ascii="Calibri" w:hAnsi="Calibri" w:cs="Calibri"/>
          <w:szCs w:val="24"/>
        </w:rPr>
        <w:t xml:space="preserve"> and Article 1 of the </w:t>
      </w:r>
      <w:r w:rsidRPr="000F4C2C">
        <w:rPr>
          <w:rFonts w:ascii="Calibri" w:hAnsi="Calibri" w:cs="Calibri"/>
          <w:i/>
          <w:iCs/>
          <w:szCs w:val="24"/>
        </w:rPr>
        <w:t>International Labour Organization’s Human Resources Development Convention</w:t>
      </w:r>
      <w:r w:rsidRPr="000F4C2C">
        <w:rPr>
          <w:rFonts w:ascii="Calibri" w:hAnsi="Calibri" w:cs="Calibri"/>
          <w:szCs w:val="24"/>
        </w:rPr>
        <w:t xml:space="preserve"> (ILO Convention No. 142); and</w:t>
      </w:r>
    </w:p>
    <w:p w14:paraId="3786EE0D" w14:textId="1819D6F4" w:rsidR="00E8671C" w:rsidRPr="000F4C2C" w:rsidRDefault="00EC21DD" w:rsidP="00514C35">
      <w:pPr>
        <w:pStyle w:val="ListParagraph"/>
        <w:numPr>
          <w:ilvl w:val="0"/>
          <w:numId w:val="2"/>
        </w:numPr>
        <w:spacing w:after="160" w:line="259" w:lineRule="auto"/>
        <w:rPr>
          <w:rFonts w:ascii="Calibri" w:hAnsi="Calibri" w:cs="Calibri"/>
          <w:szCs w:val="24"/>
        </w:rPr>
      </w:pPr>
      <w:r w:rsidRPr="000F4C2C">
        <w:rPr>
          <w:rFonts w:ascii="Calibri" w:hAnsi="Calibri" w:cs="Calibri"/>
          <w:szCs w:val="24"/>
        </w:rPr>
        <w:t>the right to work in Article 6 of the ICESCR</w:t>
      </w:r>
      <w:r w:rsidR="00C67A91" w:rsidRPr="000F4C2C">
        <w:rPr>
          <w:rFonts w:ascii="Calibri" w:hAnsi="Calibri" w:cs="Calibri"/>
          <w:szCs w:val="24"/>
        </w:rPr>
        <w:t xml:space="preserve">, </w:t>
      </w:r>
      <w:r w:rsidRPr="000F4C2C">
        <w:rPr>
          <w:rFonts w:ascii="Calibri" w:hAnsi="Calibri" w:cs="Calibri"/>
          <w:szCs w:val="24"/>
        </w:rPr>
        <w:t>read with Article 2</w:t>
      </w:r>
      <w:r w:rsidR="00C67A91" w:rsidRPr="000F4C2C">
        <w:rPr>
          <w:rFonts w:ascii="Calibri" w:hAnsi="Calibri" w:cs="Calibri"/>
          <w:szCs w:val="24"/>
        </w:rPr>
        <w:t>,</w:t>
      </w:r>
      <w:r w:rsidRPr="000F4C2C">
        <w:rPr>
          <w:rFonts w:ascii="Calibri" w:hAnsi="Calibri" w:cs="Calibri"/>
          <w:szCs w:val="24"/>
        </w:rPr>
        <w:t xml:space="preserve"> and Article 1 of the </w:t>
      </w:r>
      <w:r w:rsidRPr="000F4C2C">
        <w:rPr>
          <w:rFonts w:ascii="Calibri" w:hAnsi="Calibri" w:cs="Calibri"/>
          <w:i/>
          <w:iCs/>
          <w:szCs w:val="24"/>
        </w:rPr>
        <w:t>International Labour Organization’s Employment Policy Convention</w:t>
      </w:r>
      <w:r w:rsidRPr="000F4C2C">
        <w:rPr>
          <w:rFonts w:ascii="Calibri" w:hAnsi="Calibri" w:cs="Calibri"/>
          <w:szCs w:val="24"/>
        </w:rPr>
        <w:t xml:space="preserve"> (ILO Convention No. 122).</w:t>
      </w:r>
    </w:p>
    <w:p w14:paraId="68A294CE" w14:textId="04E12880" w:rsidR="008310AA" w:rsidRPr="000F4C2C" w:rsidRDefault="00EC21DD" w:rsidP="00DA552F">
      <w:pPr>
        <w:spacing w:before="120" w:after="120"/>
        <w:rPr>
          <w:rFonts w:asciiTheme="minorHAnsi" w:hAnsiTheme="minorHAnsi" w:cstheme="minorHAnsi"/>
          <w:i/>
          <w:iCs/>
          <w:szCs w:val="24"/>
          <w:u w:val="single"/>
        </w:rPr>
      </w:pPr>
      <w:r w:rsidRPr="000F4C2C">
        <w:rPr>
          <w:rFonts w:asciiTheme="minorHAnsi" w:hAnsiTheme="minorHAnsi" w:cstheme="minorHAnsi"/>
          <w:i/>
          <w:iCs/>
          <w:szCs w:val="24"/>
          <w:u w:val="single"/>
        </w:rPr>
        <w:t>Right to education</w:t>
      </w:r>
    </w:p>
    <w:p w14:paraId="766CF87F" w14:textId="77777777" w:rsidR="00C67A91" w:rsidRPr="000F4C2C" w:rsidRDefault="00C67A91" w:rsidP="00614018">
      <w:pPr>
        <w:shd w:val="clear" w:color="auto" w:fill="FFFFFF"/>
        <w:spacing w:after="120"/>
        <w:rPr>
          <w:rFonts w:eastAsia="Times New Roman" w:cs="Times New Roman"/>
          <w:color w:val="000000"/>
          <w:szCs w:val="24"/>
          <w:lang w:eastAsia="en-AU"/>
        </w:rPr>
      </w:pPr>
      <w:r w:rsidRPr="000F4C2C">
        <w:rPr>
          <w:rFonts w:ascii="Calibri" w:eastAsia="Times New Roman" w:hAnsi="Calibri" w:cs="Calibri"/>
          <w:color w:val="000000"/>
          <w:szCs w:val="24"/>
          <w:lang w:eastAsia="en-AU"/>
        </w:rPr>
        <w:t>Article 2(1) of the ICESCR provides that each State Party to the ICESCR undertakes to take steps to the maximum of its available resources, with a view to achieving progressively the full realisation of the rights recognised in that Covenant by all appropriate means, including particularly the adoption of legislative measures.</w:t>
      </w:r>
    </w:p>
    <w:p w14:paraId="4D860870" w14:textId="727E9576" w:rsidR="00C67A91" w:rsidRPr="000F4C2C" w:rsidRDefault="00C67A91" w:rsidP="00614018">
      <w:pPr>
        <w:shd w:val="clear" w:color="auto" w:fill="FFFFFF"/>
        <w:spacing w:before="240" w:after="120"/>
        <w:rPr>
          <w:rFonts w:ascii="Calibri" w:eastAsia="Times New Roman" w:hAnsi="Calibri" w:cs="Calibri"/>
          <w:color w:val="000000"/>
          <w:szCs w:val="24"/>
          <w:lang w:eastAsia="en-AU"/>
        </w:rPr>
      </w:pPr>
      <w:r w:rsidRPr="000F4C2C">
        <w:rPr>
          <w:rFonts w:ascii="Calibri" w:eastAsia="Times New Roman" w:hAnsi="Calibri" w:cs="Calibri"/>
          <w:color w:val="000000"/>
          <w:szCs w:val="24"/>
          <w:lang w:eastAsia="en-AU"/>
        </w:rPr>
        <w:t>Article 13(1) of the ICESCR provides that the State Parties to the covenant:</w:t>
      </w:r>
    </w:p>
    <w:p w14:paraId="7D38CC05" w14:textId="1F0D9908" w:rsidR="00C67A91" w:rsidRPr="000F4C2C" w:rsidRDefault="00C67A91" w:rsidP="00614018">
      <w:pPr>
        <w:pStyle w:val="ListParagraph"/>
        <w:numPr>
          <w:ilvl w:val="0"/>
          <w:numId w:val="9"/>
        </w:numPr>
        <w:shd w:val="clear" w:color="auto" w:fill="FFFFFF"/>
        <w:spacing w:before="240" w:after="120"/>
        <w:rPr>
          <w:rFonts w:eastAsia="Times New Roman" w:cs="Times New Roman"/>
          <w:color w:val="000000"/>
          <w:szCs w:val="24"/>
          <w:lang w:eastAsia="en-AU"/>
        </w:rPr>
      </w:pPr>
      <w:r w:rsidRPr="000F4C2C">
        <w:rPr>
          <w:rFonts w:asciiTheme="minorHAnsi" w:eastAsia="Times New Roman" w:hAnsiTheme="minorHAnsi" w:cstheme="minorHAnsi"/>
          <w:color w:val="000000"/>
          <w:szCs w:val="24"/>
          <w:lang w:eastAsia="en-AU"/>
        </w:rPr>
        <w:t xml:space="preserve">recognise the right of everyone to </w:t>
      </w:r>
      <w:proofErr w:type="gramStart"/>
      <w:r w:rsidRPr="000F4C2C">
        <w:rPr>
          <w:rFonts w:asciiTheme="minorHAnsi" w:eastAsia="Times New Roman" w:hAnsiTheme="minorHAnsi" w:cstheme="minorHAnsi"/>
          <w:color w:val="000000"/>
          <w:szCs w:val="24"/>
          <w:lang w:eastAsia="en-AU"/>
        </w:rPr>
        <w:t>education;</w:t>
      </w:r>
      <w:proofErr w:type="gramEnd"/>
    </w:p>
    <w:p w14:paraId="242F3910" w14:textId="1F01FA6E" w:rsidR="00C67A91" w:rsidRPr="000F4C2C" w:rsidRDefault="00C67A91" w:rsidP="00614018">
      <w:pPr>
        <w:pStyle w:val="ListParagraph"/>
        <w:numPr>
          <w:ilvl w:val="0"/>
          <w:numId w:val="9"/>
        </w:numPr>
        <w:shd w:val="clear" w:color="auto" w:fill="FFFFFF"/>
        <w:spacing w:before="240" w:after="120"/>
        <w:rPr>
          <w:rFonts w:ascii="Calibri" w:eastAsia="Times New Roman" w:hAnsi="Calibri" w:cs="Calibri"/>
          <w:color w:val="000000"/>
          <w:szCs w:val="24"/>
          <w:lang w:eastAsia="en-AU"/>
        </w:rPr>
      </w:pPr>
      <w:r w:rsidRPr="000F4C2C">
        <w:rPr>
          <w:rFonts w:asciiTheme="minorHAnsi" w:eastAsia="Times New Roman" w:hAnsiTheme="minorHAnsi" w:cstheme="minorHAnsi"/>
          <w:color w:val="000000"/>
          <w:szCs w:val="24"/>
          <w:lang w:eastAsia="en-AU"/>
        </w:rPr>
        <w:t xml:space="preserve">agree that education shall be directed </w:t>
      </w:r>
      <w:r w:rsidRPr="000F4C2C">
        <w:rPr>
          <w:rFonts w:ascii="Calibri" w:eastAsia="Times New Roman" w:hAnsi="Calibri" w:cs="Calibri"/>
          <w:color w:val="000000"/>
          <w:szCs w:val="24"/>
          <w:lang w:eastAsia="en-AU"/>
        </w:rPr>
        <w:t>to the full development of the human personality and the sense of its dignity, and shall strengthen the respect for human rights and fundamental freedoms; and</w:t>
      </w:r>
    </w:p>
    <w:p w14:paraId="42ACE49E" w14:textId="591D02B3" w:rsidR="00C67A91" w:rsidRPr="000F4C2C" w:rsidRDefault="00C67A91" w:rsidP="00614018">
      <w:pPr>
        <w:pStyle w:val="ListParagraph"/>
        <w:numPr>
          <w:ilvl w:val="0"/>
          <w:numId w:val="9"/>
        </w:numPr>
        <w:shd w:val="clear" w:color="auto" w:fill="FFFFFF"/>
        <w:spacing w:before="240" w:after="120"/>
        <w:rPr>
          <w:rFonts w:ascii="Calibri" w:eastAsia="Times New Roman" w:hAnsi="Calibri" w:cs="Calibri"/>
          <w:color w:val="000000"/>
          <w:szCs w:val="24"/>
          <w:lang w:eastAsia="en-AU"/>
        </w:rPr>
      </w:pPr>
      <w:r w:rsidRPr="000F4C2C">
        <w:rPr>
          <w:rFonts w:ascii="Calibri" w:eastAsia="Times New Roman" w:hAnsi="Calibri" w:cs="Calibri"/>
          <w:color w:val="000000"/>
          <w:szCs w:val="24"/>
          <w:lang w:eastAsia="en-AU"/>
        </w:rPr>
        <w:lastRenderedPageBreak/>
        <w:t xml:space="preserve">agree that education shall enable all persons to participate effectively in a free society, promote understanding, </w:t>
      </w:r>
      <w:proofErr w:type="gramStart"/>
      <w:r w:rsidRPr="000F4C2C">
        <w:rPr>
          <w:rFonts w:ascii="Calibri" w:eastAsia="Times New Roman" w:hAnsi="Calibri" w:cs="Calibri"/>
          <w:color w:val="000000"/>
          <w:szCs w:val="24"/>
          <w:lang w:eastAsia="en-AU"/>
        </w:rPr>
        <w:t>tolerance</w:t>
      </w:r>
      <w:proofErr w:type="gramEnd"/>
      <w:r w:rsidRPr="000F4C2C">
        <w:rPr>
          <w:rFonts w:ascii="Calibri" w:eastAsia="Times New Roman" w:hAnsi="Calibri" w:cs="Calibri"/>
          <w:color w:val="000000"/>
          <w:szCs w:val="24"/>
          <w:lang w:eastAsia="en-AU"/>
        </w:rPr>
        <w:t xml:space="preserve"> and friendship among all the nations and all racial, ethnic or religious groups, and further the activities of the United Nations for the maintenance of peace.</w:t>
      </w:r>
    </w:p>
    <w:p w14:paraId="7DCB5803" w14:textId="77777777" w:rsidR="00C67A91" w:rsidRPr="000F4C2C" w:rsidRDefault="00C67A91" w:rsidP="00614018">
      <w:pPr>
        <w:shd w:val="clear" w:color="auto" w:fill="FFFFFF"/>
        <w:spacing w:before="120" w:after="120"/>
        <w:rPr>
          <w:rFonts w:eastAsia="Times New Roman" w:cs="Times New Roman"/>
          <w:color w:val="000000"/>
          <w:szCs w:val="24"/>
          <w:lang w:eastAsia="en-AU"/>
        </w:rPr>
      </w:pPr>
      <w:r w:rsidRPr="000F4C2C">
        <w:rPr>
          <w:rFonts w:ascii="Calibri" w:eastAsia="Times New Roman" w:hAnsi="Calibri" w:cs="Calibri"/>
          <w:color w:val="000000"/>
          <w:szCs w:val="24"/>
          <w:lang w:eastAsia="en-AU"/>
        </w:rPr>
        <w:t xml:space="preserve">Article 13(2)(b) of the ICESCR provides that secondary education in its different forms, including technical and vocational secondary education, shall be made generally available and accessible to all by every appropriate means, and </w:t>
      </w:r>
      <w:proofErr w:type="gramStart"/>
      <w:r w:rsidRPr="000F4C2C">
        <w:rPr>
          <w:rFonts w:ascii="Calibri" w:eastAsia="Times New Roman" w:hAnsi="Calibri" w:cs="Calibri"/>
          <w:color w:val="000000"/>
          <w:szCs w:val="24"/>
          <w:lang w:eastAsia="en-AU"/>
        </w:rPr>
        <w:t>in particular by</w:t>
      </w:r>
      <w:proofErr w:type="gramEnd"/>
      <w:r w:rsidRPr="000F4C2C">
        <w:rPr>
          <w:rFonts w:ascii="Calibri" w:eastAsia="Times New Roman" w:hAnsi="Calibri" w:cs="Calibri"/>
          <w:color w:val="000000"/>
          <w:szCs w:val="24"/>
          <w:lang w:eastAsia="en-AU"/>
        </w:rPr>
        <w:t xml:space="preserve"> the progressive introduction of free education.</w:t>
      </w:r>
    </w:p>
    <w:p w14:paraId="7CFC6A64" w14:textId="401C14F1" w:rsidR="00C67A91" w:rsidRPr="000F4C2C" w:rsidRDefault="00C67A91" w:rsidP="00614018">
      <w:pPr>
        <w:shd w:val="clear" w:color="auto" w:fill="FFFFFF"/>
        <w:spacing w:before="120" w:after="120"/>
        <w:rPr>
          <w:rFonts w:ascii="Calibri" w:eastAsia="Times New Roman" w:hAnsi="Calibri" w:cs="Calibri"/>
          <w:color w:val="000000"/>
          <w:szCs w:val="24"/>
          <w:lang w:eastAsia="en-AU"/>
        </w:rPr>
      </w:pPr>
      <w:r w:rsidRPr="000F4C2C">
        <w:rPr>
          <w:rFonts w:ascii="Calibri" w:eastAsia="Times New Roman" w:hAnsi="Calibri" w:cs="Calibri"/>
          <w:color w:val="000000"/>
          <w:szCs w:val="24"/>
          <w:lang w:eastAsia="en-AU"/>
        </w:rPr>
        <w:t>Article 1(1) of the ILO Convention 142 provides that each State Party to the convention shall adopt and develop comprehensive and coordinated policies and programs of vocational guidance and vocational training, closely linked with employment.</w:t>
      </w:r>
    </w:p>
    <w:p w14:paraId="0C09E81C" w14:textId="5D82818C" w:rsidR="004B3B89" w:rsidRPr="000F4C2C" w:rsidRDefault="00875BD2" w:rsidP="00614018">
      <w:pPr>
        <w:shd w:val="clear" w:color="auto" w:fill="FFFFFF"/>
        <w:spacing w:before="120" w:after="120"/>
        <w:rPr>
          <w:rFonts w:ascii="Calibri" w:eastAsia="Times New Roman" w:hAnsi="Calibri" w:cs="Calibri"/>
          <w:color w:val="000000"/>
          <w:szCs w:val="24"/>
          <w:lang w:eastAsia="en-AU"/>
        </w:rPr>
      </w:pPr>
      <w:r w:rsidRPr="000F4C2C">
        <w:rPr>
          <w:rFonts w:ascii="Calibri" w:eastAsia="Times New Roman" w:hAnsi="Calibri" w:cs="Calibri"/>
          <w:color w:val="000000"/>
          <w:szCs w:val="24"/>
          <w:lang w:eastAsia="en-AU"/>
        </w:rPr>
        <w:t xml:space="preserve">The updated </w:t>
      </w:r>
      <w:r w:rsidR="004B3B89" w:rsidRPr="000F4C2C">
        <w:rPr>
          <w:rFonts w:ascii="Calibri" w:eastAsia="Times New Roman" w:hAnsi="Calibri" w:cs="Calibri"/>
          <w:color w:val="000000"/>
          <w:szCs w:val="24"/>
          <w:lang w:eastAsia="en-AU"/>
        </w:rPr>
        <w:t xml:space="preserve">charge </w:t>
      </w:r>
      <w:r w:rsidRPr="000F4C2C">
        <w:rPr>
          <w:rFonts w:ascii="Calibri" w:eastAsia="Times New Roman" w:hAnsi="Calibri" w:cs="Calibri"/>
          <w:color w:val="000000"/>
          <w:szCs w:val="24"/>
          <w:lang w:eastAsia="en-AU"/>
        </w:rPr>
        <w:t xml:space="preserve">method and formulas in the instrument </w:t>
      </w:r>
      <w:r w:rsidR="004B3B89" w:rsidRPr="000F4C2C">
        <w:rPr>
          <w:rFonts w:ascii="Calibri" w:eastAsia="Times New Roman" w:hAnsi="Calibri" w:cs="Calibri"/>
          <w:color w:val="000000"/>
          <w:szCs w:val="24"/>
          <w:lang w:eastAsia="en-AU"/>
        </w:rPr>
        <w:t xml:space="preserve">help to implement new arrangements </w:t>
      </w:r>
      <w:r w:rsidR="007749D2" w:rsidRPr="000F4C2C">
        <w:rPr>
          <w:rFonts w:ascii="Calibri" w:eastAsia="Times New Roman" w:hAnsi="Calibri" w:cs="Calibri"/>
          <w:color w:val="000000"/>
          <w:szCs w:val="24"/>
          <w:lang w:eastAsia="en-AU"/>
        </w:rPr>
        <w:t>for</w:t>
      </w:r>
      <w:r w:rsidR="004B3B89" w:rsidRPr="000F4C2C">
        <w:rPr>
          <w:rFonts w:ascii="Calibri" w:eastAsia="Times New Roman" w:hAnsi="Calibri" w:cs="Calibri"/>
          <w:color w:val="000000"/>
          <w:szCs w:val="24"/>
          <w:lang w:eastAsia="en-AU"/>
        </w:rPr>
        <w:t xml:space="preserve"> the Regulator to recover </w:t>
      </w:r>
      <w:proofErr w:type="gramStart"/>
      <w:r w:rsidR="00CA1322" w:rsidRPr="000F4C2C">
        <w:rPr>
          <w:rFonts w:ascii="Calibri" w:eastAsia="Times New Roman" w:hAnsi="Calibri" w:cs="Calibri"/>
          <w:color w:val="000000"/>
          <w:szCs w:val="24"/>
          <w:lang w:eastAsia="en-AU"/>
        </w:rPr>
        <w:t>the majority</w:t>
      </w:r>
      <w:r w:rsidR="004B3B89" w:rsidRPr="000F4C2C">
        <w:rPr>
          <w:rFonts w:ascii="Calibri" w:eastAsia="Times New Roman" w:hAnsi="Calibri" w:cs="Calibri"/>
          <w:color w:val="000000"/>
          <w:szCs w:val="24"/>
          <w:lang w:eastAsia="en-AU"/>
        </w:rPr>
        <w:t xml:space="preserve"> of</w:t>
      </w:r>
      <w:proofErr w:type="gramEnd"/>
      <w:r w:rsidR="004B3B89" w:rsidRPr="000F4C2C">
        <w:rPr>
          <w:rFonts w:ascii="Calibri" w:eastAsia="Times New Roman" w:hAnsi="Calibri" w:cs="Calibri"/>
          <w:color w:val="000000"/>
          <w:szCs w:val="24"/>
          <w:lang w:eastAsia="en-AU"/>
        </w:rPr>
        <w:t xml:space="preserve"> the costs associated with its regulatory activities, in turn promoting more effective regulation in the sector. </w:t>
      </w:r>
      <w:r w:rsidR="00614018" w:rsidRPr="000F4C2C">
        <w:rPr>
          <w:rFonts w:ascii="Calibri" w:eastAsia="Times New Roman" w:hAnsi="Calibri" w:cs="Calibri"/>
          <w:color w:val="000000"/>
          <w:szCs w:val="24"/>
          <w:lang w:eastAsia="en-AU"/>
        </w:rPr>
        <w:t>This seeks to ensure that NVR registered training organisations and relevant ESOS agencies are properly resourced to fulfil their ongoing obligations in an efficient and effective manner so that the quality and integrity of Australia’s vocational education and training system is maintained. A strong vocational and education system promotes and supports the right to education.</w:t>
      </w:r>
    </w:p>
    <w:p w14:paraId="34F7B111" w14:textId="77777777" w:rsidR="00841EFE" w:rsidRPr="000F4C2C" w:rsidRDefault="00841EFE" w:rsidP="00841EFE">
      <w:pPr>
        <w:rPr>
          <w:rFonts w:ascii="Calibri" w:hAnsi="Calibri" w:cs="Calibri"/>
          <w:i/>
          <w:iCs/>
          <w:szCs w:val="24"/>
          <w:u w:val="single"/>
        </w:rPr>
      </w:pPr>
      <w:r w:rsidRPr="000F4C2C">
        <w:rPr>
          <w:rFonts w:ascii="Calibri" w:hAnsi="Calibri" w:cs="Calibri"/>
          <w:i/>
          <w:iCs/>
          <w:szCs w:val="24"/>
          <w:u w:val="single"/>
        </w:rPr>
        <w:t>Right to work</w:t>
      </w:r>
    </w:p>
    <w:p w14:paraId="6EAE447A" w14:textId="77777777" w:rsidR="00614018" w:rsidRPr="000F4C2C" w:rsidRDefault="00614018" w:rsidP="00614018">
      <w:pPr>
        <w:shd w:val="clear" w:color="auto" w:fill="FFFFFF"/>
        <w:spacing w:before="240"/>
        <w:rPr>
          <w:rFonts w:eastAsia="Times New Roman" w:cs="Times New Roman"/>
          <w:color w:val="000000"/>
          <w:szCs w:val="24"/>
          <w:lang w:eastAsia="en-AU"/>
        </w:rPr>
      </w:pPr>
      <w:r w:rsidRPr="000F4C2C">
        <w:rPr>
          <w:rFonts w:ascii="Calibri" w:eastAsia="Times New Roman" w:hAnsi="Calibri" w:cs="Calibri"/>
          <w:color w:val="000000"/>
          <w:szCs w:val="24"/>
          <w:lang w:eastAsia="en-AU"/>
        </w:rPr>
        <w:t xml:space="preserve">Article 6(1) of the ICESCR provides that State Parties to the convention recognised the right to work (which includes the right of everyone to the opportunity to gain their living by work which they freely choose or accept) and take appropriate steps to safeguard this right. Article 6(2) of the ICESCR sets out the steps to be taken by the State Parties to achieve the full realisation of that right, including providing technical and vocational guidance and training programs, </w:t>
      </w:r>
      <w:proofErr w:type="gramStart"/>
      <w:r w:rsidRPr="000F4C2C">
        <w:rPr>
          <w:rFonts w:ascii="Calibri" w:eastAsia="Times New Roman" w:hAnsi="Calibri" w:cs="Calibri"/>
          <w:color w:val="000000"/>
          <w:szCs w:val="24"/>
          <w:lang w:eastAsia="en-AU"/>
        </w:rPr>
        <w:t>policies</w:t>
      </w:r>
      <w:proofErr w:type="gramEnd"/>
      <w:r w:rsidRPr="000F4C2C">
        <w:rPr>
          <w:rFonts w:ascii="Calibri" w:eastAsia="Times New Roman" w:hAnsi="Calibri" w:cs="Calibri"/>
          <w:color w:val="000000"/>
          <w:szCs w:val="24"/>
          <w:lang w:eastAsia="en-AU"/>
        </w:rPr>
        <w:t xml:space="preserve"> and techniques to achieve steady economic, social and cultural development and full and productive employment under conditions safeguarding fundamental political and economic freedom to the individual.</w:t>
      </w:r>
    </w:p>
    <w:p w14:paraId="45CA7641" w14:textId="20C10568" w:rsidR="00614018" w:rsidRPr="000F4C2C" w:rsidRDefault="00614018" w:rsidP="00614018">
      <w:pPr>
        <w:shd w:val="clear" w:color="auto" w:fill="FFFFFF"/>
        <w:spacing w:after="0"/>
        <w:rPr>
          <w:rFonts w:ascii="Calibri" w:eastAsia="Times New Roman" w:hAnsi="Calibri" w:cs="Calibri"/>
          <w:color w:val="000000"/>
          <w:szCs w:val="24"/>
          <w:lang w:eastAsia="en-AU"/>
        </w:rPr>
      </w:pPr>
      <w:r w:rsidRPr="000F4C2C">
        <w:rPr>
          <w:rFonts w:ascii="Calibri" w:eastAsia="Times New Roman" w:hAnsi="Calibri" w:cs="Calibri"/>
          <w:color w:val="000000"/>
          <w:szCs w:val="24"/>
          <w:lang w:eastAsia="en-AU"/>
        </w:rPr>
        <w:t xml:space="preserve">Article 1(1) of the ILO Convention No. 122 provides that (among other things), with a view to stimulating economic growth and development, raising levels of living, meeting manpower requirements and overcoming unemployment and underemployment, each member shall declare and pursue, as a major goal, an active policy to promote full, </w:t>
      </w:r>
      <w:proofErr w:type="gramStart"/>
      <w:r w:rsidRPr="000F4C2C">
        <w:rPr>
          <w:rFonts w:ascii="Calibri" w:eastAsia="Times New Roman" w:hAnsi="Calibri" w:cs="Calibri"/>
          <w:color w:val="000000"/>
          <w:szCs w:val="24"/>
          <w:lang w:eastAsia="en-AU"/>
        </w:rPr>
        <w:t>productive</w:t>
      </w:r>
      <w:proofErr w:type="gramEnd"/>
      <w:r w:rsidRPr="000F4C2C">
        <w:rPr>
          <w:rFonts w:ascii="Calibri" w:eastAsia="Times New Roman" w:hAnsi="Calibri" w:cs="Calibri"/>
          <w:color w:val="000000"/>
          <w:szCs w:val="24"/>
          <w:lang w:eastAsia="en-AU"/>
        </w:rPr>
        <w:t xml:space="preserve"> and freely chosen employment.</w:t>
      </w:r>
    </w:p>
    <w:p w14:paraId="1D7C4CF7" w14:textId="0372259A" w:rsidR="00614018" w:rsidRPr="000F4C2C" w:rsidRDefault="007749D2" w:rsidP="00614018">
      <w:pPr>
        <w:shd w:val="clear" w:color="auto" w:fill="FFFFFF"/>
        <w:spacing w:before="120" w:after="120"/>
        <w:rPr>
          <w:rFonts w:ascii="Calibri" w:eastAsia="Times New Roman" w:hAnsi="Calibri" w:cs="Calibri"/>
          <w:color w:val="000000"/>
          <w:szCs w:val="24"/>
          <w:lang w:eastAsia="en-AU"/>
        </w:rPr>
      </w:pPr>
      <w:r w:rsidRPr="000F4C2C">
        <w:rPr>
          <w:rFonts w:ascii="Calibri" w:eastAsia="Times New Roman" w:hAnsi="Calibri" w:cs="Calibri"/>
          <w:color w:val="000000"/>
          <w:szCs w:val="24"/>
          <w:lang w:eastAsia="en-AU"/>
        </w:rPr>
        <w:t xml:space="preserve">The updated charge method and formulas in the instrument help to implement new arrangements for the Regulator to recover </w:t>
      </w:r>
      <w:proofErr w:type="gramStart"/>
      <w:r w:rsidR="00CA1322" w:rsidRPr="000F4C2C">
        <w:rPr>
          <w:rFonts w:ascii="Calibri" w:eastAsia="Times New Roman" w:hAnsi="Calibri" w:cs="Calibri"/>
          <w:color w:val="000000"/>
          <w:szCs w:val="24"/>
          <w:lang w:eastAsia="en-AU"/>
        </w:rPr>
        <w:t>the majority</w:t>
      </w:r>
      <w:r w:rsidRPr="000F4C2C">
        <w:rPr>
          <w:rFonts w:ascii="Calibri" w:eastAsia="Times New Roman" w:hAnsi="Calibri" w:cs="Calibri"/>
          <w:color w:val="000000"/>
          <w:szCs w:val="24"/>
          <w:lang w:eastAsia="en-AU"/>
        </w:rPr>
        <w:t xml:space="preserve"> of</w:t>
      </w:r>
      <w:proofErr w:type="gramEnd"/>
      <w:r w:rsidRPr="000F4C2C">
        <w:rPr>
          <w:rFonts w:ascii="Calibri" w:eastAsia="Times New Roman" w:hAnsi="Calibri" w:cs="Calibri"/>
          <w:color w:val="000000"/>
          <w:szCs w:val="24"/>
          <w:lang w:eastAsia="en-AU"/>
        </w:rPr>
        <w:t xml:space="preserve"> the costs associated with its regulatory activities</w:t>
      </w:r>
      <w:r w:rsidR="00614018" w:rsidRPr="000F4C2C">
        <w:rPr>
          <w:rFonts w:ascii="Calibri" w:eastAsia="Times New Roman" w:hAnsi="Calibri" w:cs="Calibri"/>
          <w:color w:val="000000"/>
          <w:szCs w:val="24"/>
          <w:lang w:eastAsia="en-AU"/>
        </w:rPr>
        <w:t xml:space="preserve">, in turn promoting more effective regulation in the sector. This seeks to ensure that NVR registered training organisations and relevant ESOS agencies are properly resourced to fulfil their ongoing obligations in an efficient and effective manner so that the quality and integrity of Australia’s vocational education and training system is maintained. A </w:t>
      </w:r>
      <w:r w:rsidR="00614018" w:rsidRPr="000F4C2C">
        <w:rPr>
          <w:rFonts w:ascii="Calibri" w:eastAsia="Times New Roman" w:hAnsi="Calibri" w:cs="Calibri"/>
          <w:color w:val="000000"/>
          <w:szCs w:val="24"/>
          <w:lang w:eastAsia="en-AU"/>
        </w:rPr>
        <w:lastRenderedPageBreak/>
        <w:t xml:space="preserve">strong vocational and education system boosts preparedness for employment opportunities, in turn promoting and supporting the right to work. </w:t>
      </w:r>
    </w:p>
    <w:p w14:paraId="0D664062" w14:textId="77777777" w:rsidR="00DA552F" w:rsidRPr="000F4C2C" w:rsidRDefault="00F9205E" w:rsidP="00DA552F">
      <w:pPr>
        <w:spacing w:before="120" w:after="120"/>
        <w:rPr>
          <w:rFonts w:asciiTheme="minorHAnsi" w:hAnsiTheme="minorHAnsi" w:cstheme="minorHAnsi"/>
          <w:szCs w:val="24"/>
        </w:rPr>
      </w:pPr>
      <w:r w:rsidRPr="000F4C2C">
        <w:rPr>
          <w:rFonts w:asciiTheme="minorHAnsi" w:hAnsiTheme="minorHAnsi" w:cstheme="minorHAnsi"/>
          <w:b/>
          <w:szCs w:val="24"/>
        </w:rPr>
        <w:t>Conclusion</w:t>
      </w:r>
    </w:p>
    <w:p w14:paraId="400A9FF2" w14:textId="6604F8C9" w:rsidR="00274BD0" w:rsidRPr="000F4C2C" w:rsidRDefault="00274BD0" w:rsidP="00274BD0">
      <w:pPr>
        <w:rPr>
          <w:rFonts w:ascii="Calibri" w:hAnsi="Calibri" w:cs="Calibri"/>
          <w:szCs w:val="24"/>
        </w:rPr>
      </w:pPr>
      <w:r w:rsidRPr="000F4C2C">
        <w:rPr>
          <w:rFonts w:ascii="Calibri" w:hAnsi="Calibri" w:cs="Calibri"/>
          <w:szCs w:val="24"/>
        </w:rPr>
        <w:t xml:space="preserve">The </w:t>
      </w:r>
      <w:r w:rsidR="00614018" w:rsidRPr="000F4C2C">
        <w:rPr>
          <w:rFonts w:ascii="Calibri" w:eastAsia="Times New Roman" w:hAnsi="Calibri" w:cs="Calibri"/>
          <w:color w:val="000000"/>
          <w:szCs w:val="24"/>
          <w:lang w:eastAsia="en-AU"/>
        </w:rPr>
        <w:t>instrument</w:t>
      </w:r>
      <w:r w:rsidR="00D96E0E" w:rsidRPr="000F4C2C">
        <w:rPr>
          <w:rFonts w:ascii="Calibri" w:eastAsia="Times New Roman" w:hAnsi="Calibri" w:cs="Calibri"/>
          <w:color w:val="000000"/>
          <w:szCs w:val="24"/>
          <w:lang w:eastAsia="en-AU"/>
        </w:rPr>
        <w:t xml:space="preserve"> </w:t>
      </w:r>
      <w:r w:rsidRPr="000F4C2C">
        <w:rPr>
          <w:rFonts w:ascii="Calibri" w:hAnsi="Calibri" w:cs="Calibri"/>
          <w:szCs w:val="24"/>
        </w:rPr>
        <w:t>is compatible with human rights</w:t>
      </w:r>
      <w:r w:rsidR="00614018" w:rsidRPr="000F4C2C">
        <w:rPr>
          <w:rFonts w:ascii="Calibri" w:hAnsi="Calibri" w:cs="Calibri"/>
          <w:szCs w:val="24"/>
        </w:rPr>
        <w:t xml:space="preserve"> as it promotes the protection of human rights.</w:t>
      </w:r>
      <w:r w:rsidRPr="000F4C2C">
        <w:rPr>
          <w:rFonts w:ascii="Calibri" w:hAnsi="Calibri" w:cs="Calibri"/>
          <w:szCs w:val="24"/>
        </w:rPr>
        <w:t xml:space="preserve"> </w:t>
      </w:r>
    </w:p>
    <w:p w14:paraId="72A6E9AB" w14:textId="77777777" w:rsidR="00274BD0" w:rsidRPr="000F4C2C" w:rsidRDefault="00274BD0" w:rsidP="00274BD0">
      <w:pPr>
        <w:shd w:val="clear" w:color="auto" w:fill="FFFFFF"/>
        <w:spacing w:after="0" w:line="240" w:lineRule="auto"/>
        <w:rPr>
          <w:rFonts w:ascii="Calibri" w:eastAsia="Times New Roman" w:hAnsi="Calibri" w:cs="Calibri"/>
          <w:color w:val="000000"/>
          <w:szCs w:val="24"/>
          <w:lang w:eastAsia="en-AU"/>
        </w:rPr>
      </w:pPr>
    </w:p>
    <w:p w14:paraId="1103BC73" w14:textId="51D64C86" w:rsidR="00DA552F" w:rsidRPr="000F4C2C" w:rsidRDefault="00274BD0" w:rsidP="00A113EF">
      <w:pPr>
        <w:shd w:val="clear" w:color="auto" w:fill="FFFFFF"/>
        <w:spacing w:after="0" w:line="240" w:lineRule="auto"/>
        <w:jc w:val="center"/>
        <w:rPr>
          <w:rFonts w:ascii="Calibri" w:eastAsia="Times New Roman" w:hAnsi="Calibri" w:cs="Calibri"/>
          <w:b/>
          <w:bCs/>
          <w:color w:val="000000"/>
          <w:szCs w:val="24"/>
          <w:lang w:eastAsia="en-AU"/>
        </w:rPr>
        <w:sectPr w:rsidR="00DA552F" w:rsidRPr="000F4C2C" w:rsidSect="00785B1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pPr>
      <w:r w:rsidRPr="000F4C2C">
        <w:rPr>
          <w:rFonts w:ascii="Calibri" w:eastAsia="Times New Roman" w:hAnsi="Calibri" w:cs="Calibri"/>
          <w:b/>
          <w:bCs/>
          <w:color w:val="000000"/>
          <w:szCs w:val="24"/>
          <w:lang w:eastAsia="en-AU"/>
        </w:rPr>
        <w:t xml:space="preserve">Minister for </w:t>
      </w:r>
      <w:r w:rsidR="00614018" w:rsidRPr="000F4C2C">
        <w:rPr>
          <w:rFonts w:ascii="Calibri" w:eastAsia="Times New Roman" w:hAnsi="Calibri" w:cs="Calibri"/>
          <w:b/>
          <w:bCs/>
          <w:color w:val="000000"/>
          <w:szCs w:val="24"/>
          <w:lang w:eastAsia="en-AU"/>
        </w:rPr>
        <w:t>Skills and Training, the Hon Brendan O’Connor MP</w:t>
      </w:r>
    </w:p>
    <w:p w14:paraId="093B07B8" w14:textId="2ABD80BA" w:rsidR="00164DE0" w:rsidRPr="000F4C2C" w:rsidRDefault="00954C23" w:rsidP="00A113EF">
      <w:pPr>
        <w:pStyle w:val="Heading2"/>
        <w:jc w:val="center"/>
        <w:rPr>
          <w:rFonts w:asciiTheme="minorHAnsi" w:hAnsiTheme="minorHAnsi" w:cstheme="minorHAnsi"/>
          <w:bCs/>
          <w:iCs/>
          <w:szCs w:val="24"/>
        </w:rPr>
      </w:pPr>
      <w:r w:rsidRPr="000F4C2C">
        <w:rPr>
          <w:rFonts w:asciiTheme="minorHAnsi" w:hAnsiTheme="minorHAnsi" w:cstheme="minorHAnsi"/>
          <w:bCs/>
          <w:iCs/>
          <w:szCs w:val="24"/>
        </w:rPr>
        <w:lastRenderedPageBreak/>
        <w:t>NATIONAL VOCATIONAL EDUCATION AND TRAINING REGULATOR (CHARGES) DETERMINATION 2022</w:t>
      </w:r>
    </w:p>
    <w:p w14:paraId="43001824" w14:textId="77777777" w:rsidR="00954C23" w:rsidRPr="000F4C2C" w:rsidRDefault="00954C23" w:rsidP="00954C23"/>
    <w:p w14:paraId="3FDC0ECF" w14:textId="25499BD6" w:rsidR="00A32AA2" w:rsidRPr="000F4C2C" w:rsidRDefault="00DB6247" w:rsidP="00A32AA2">
      <w:pPr>
        <w:pStyle w:val="Heading2"/>
        <w:jc w:val="center"/>
        <w:rPr>
          <w:rFonts w:asciiTheme="minorHAnsi" w:hAnsiTheme="minorHAnsi" w:cstheme="minorHAnsi"/>
          <w:color w:val="auto"/>
        </w:rPr>
      </w:pPr>
      <w:r w:rsidRPr="000F4C2C">
        <w:rPr>
          <w:rFonts w:asciiTheme="minorHAnsi" w:hAnsiTheme="minorHAnsi" w:cstheme="minorHAnsi"/>
          <w:color w:val="auto"/>
        </w:rPr>
        <w:t>EXPLANATION OF PROVISIONS</w:t>
      </w:r>
    </w:p>
    <w:p w14:paraId="6773A49A" w14:textId="4DDF3D5F" w:rsidR="00A32AA2" w:rsidRPr="000F4C2C" w:rsidRDefault="00A32AA2" w:rsidP="00F62708">
      <w:pPr>
        <w:keepNext/>
        <w:rPr>
          <w:rFonts w:asciiTheme="minorHAnsi" w:hAnsiTheme="minorHAnsi" w:cstheme="minorHAnsi"/>
          <w:b/>
        </w:rPr>
      </w:pPr>
      <w:r w:rsidRPr="000F4C2C">
        <w:rPr>
          <w:rFonts w:asciiTheme="minorHAnsi" w:hAnsiTheme="minorHAnsi" w:cstheme="minorHAnsi"/>
          <w:b/>
        </w:rPr>
        <w:t>Part 1</w:t>
      </w:r>
      <w:r w:rsidR="002B79E9" w:rsidRPr="000F4C2C">
        <w:rPr>
          <w:rFonts w:asciiTheme="minorHAnsi" w:hAnsiTheme="minorHAnsi" w:cstheme="minorHAnsi"/>
          <w:b/>
        </w:rPr>
        <w:t xml:space="preserve"> –</w:t>
      </w:r>
      <w:r w:rsidRPr="000F4C2C">
        <w:rPr>
          <w:rFonts w:asciiTheme="minorHAnsi" w:hAnsiTheme="minorHAnsi" w:cstheme="minorHAnsi"/>
          <w:b/>
        </w:rPr>
        <w:t xml:space="preserve"> Preliminary</w:t>
      </w:r>
    </w:p>
    <w:p w14:paraId="5C8B7FC1" w14:textId="40D2DEE7" w:rsidR="00DA552F" w:rsidRPr="000F4C2C" w:rsidRDefault="00DB6247" w:rsidP="00F62708">
      <w:pPr>
        <w:keepNext/>
        <w:rPr>
          <w:rFonts w:asciiTheme="minorHAnsi" w:hAnsiTheme="minorHAnsi" w:cstheme="minorHAnsi"/>
          <w:b/>
        </w:rPr>
      </w:pPr>
      <w:r w:rsidRPr="000F4C2C">
        <w:rPr>
          <w:rFonts w:asciiTheme="minorHAnsi" w:hAnsiTheme="minorHAnsi" w:cstheme="minorHAnsi"/>
          <w:b/>
        </w:rPr>
        <w:t>Section</w:t>
      </w:r>
      <w:r w:rsidR="00DA552F" w:rsidRPr="000F4C2C">
        <w:rPr>
          <w:rFonts w:asciiTheme="minorHAnsi" w:hAnsiTheme="minorHAnsi" w:cstheme="minorHAnsi"/>
          <w:b/>
        </w:rPr>
        <w:t xml:space="preserve"> 1</w:t>
      </w:r>
      <w:r w:rsidR="002B79E9" w:rsidRPr="000F4C2C">
        <w:rPr>
          <w:rFonts w:asciiTheme="minorHAnsi" w:hAnsiTheme="minorHAnsi" w:cstheme="minorHAnsi"/>
          <w:b/>
        </w:rPr>
        <w:tab/>
      </w:r>
      <w:r w:rsidR="00E631F9" w:rsidRPr="000F4C2C">
        <w:rPr>
          <w:rFonts w:asciiTheme="minorHAnsi" w:hAnsiTheme="minorHAnsi" w:cstheme="minorHAnsi"/>
          <w:b/>
        </w:rPr>
        <w:t>Name</w:t>
      </w:r>
    </w:p>
    <w:p w14:paraId="1FDA0CF2" w14:textId="3F7CA5DF" w:rsidR="00AE2BF6" w:rsidRPr="000F4C2C" w:rsidRDefault="00614018" w:rsidP="002B79E9">
      <w:pPr>
        <w:spacing w:after="120"/>
        <w:rPr>
          <w:rFonts w:asciiTheme="minorHAnsi" w:hAnsiTheme="minorHAnsi" w:cstheme="minorHAnsi"/>
          <w:szCs w:val="24"/>
        </w:rPr>
      </w:pPr>
      <w:r w:rsidRPr="000F4C2C">
        <w:rPr>
          <w:rFonts w:ascii="Calibri" w:hAnsi="Calibri" w:cs="Calibri"/>
          <w:color w:val="000000"/>
          <w:shd w:val="clear" w:color="auto" w:fill="FFFFFF"/>
        </w:rPr>
        <w:t>Section 1</w:t>
      </w:r>
      <w:r w:rsidR="00AE2BF6" w:rsidRPr="000F4C2C">
        <w:rPr>
          <w:rFonts w:ascii="Calibri" w:hAnsi="Calibri" w:cs="Calibri"/>
          <w:color w:val="000000"/>
          <w:shd w:val="clear" w:color="auto" w:fill="FFFFFF"/>
        </w:rPr>
        <w:t xml:space="preserve"> provides that the name</w:t>
      </w:r>
      <w:r w:rsidR="00AE2BF6" w:rsidRPr="000F4C2C">
        <w:rPr>
          <w:rFonts w:ascii="Calibri" w:hAnsi="Calibri" w:cs="Calibri"/>
          <w:b/>
          <w:bCs/>
          <w:color w:val="000000"/>
          <w:shd w:val="clear" w:color="auto" w:fill="FFFFFF"/>
        </w:rPr>
        <w:t> </w:t>
      </w:r>
      <w:r w:rsidR="00AE2BF6" w:rsidRPr="000F4C2C">
        <w:rPr>
          <w:rFonts w:ascii="Calibri" w:hAnsi="Calibri" w:cs="Calibri"/>
          <w:color w:val="000000"/>
          <w:shd w:val="clear" w:color="auto" w:fill="FFFFFF"/>
        </w:rPr>
        <w:t xml:space="preserve">of the </w:t>
      </w:r>
      <w:r w:rsidRPr="000F4C2C">
        <w:rPr>
          <w:rFonts w:ascii="Calibri" w:hAnsi="Calibri" w:cs="Calibri"/>
          <w:color w:val="000000"/>
          <w:shd w:val="clear" w:color="auto" w:fill="FFFFFF"/>
        </w:rPr>
        <w:t>i</w:t>
      </w:r>
      <w:r w:rsidR="00AE2BF6" w:rsidRPr="000F4C2C">
        <w:rPr>
          <w:rFonts w:ascii="Calibri" w:hAnsi="Calibri" w:cs="Calibri"/>
          <w:color w:val="000000"/>
          <w:shd w:val="clear" w:color="auto" w:fill="FFFFFF"/>
        </w:rPr>
        <w:t>nstrument is the</w:t>
      </w:r>
      <w:r w:rsidR="00AE2BF6" w:rsidRPr="000F4C2C">
        <w:rPr>
          <w:rFonts w:asciiTheme="minorHAnsi" w:hAnsiTheme="minorHAnsi" w:cstheme="minorHAnsi"/>
          <w:bCs/>
          <w:i/>
          <w:szCs w:val="24"/>
        </w:rPr>
        <w:t xml:space="preserve"> National Vocational Education and Training Regulator (Charges) Determination 2022</w:t>
      </w:r>
      <w:r w:rsidR="00AE2BF6" w:rsidRPr="000F4C2C">
        <w:rPr>
          <w:rFonts w:asciiTheme="minorHAnsi" w:hAnsiTheme="minorHAnsi" w:cstheme="minorHAnsi"/>
          <w:szCs w:val="24"/>
        </w:rPr>
        <w:t>.</w:t>
      </w:r>
    </w:p>
    <w:p w14:paraId="153E9ACC" w14:textId="2B986EC6" w:rsidR="00DA552F" w:rsidRPr="000F4C2C" w:rsidRDefault="00DB6247" w:rsidP="00F62708">
      <w:pPr>
        <w:keepNext/>
        <w:rPr>
          <w:rFonts w:asciiTheme="minorHAnsi" w:hAnsiTheme="minorHAnsi" w:cstheme="minorHAnsi"/>
          <w:b/>
        </w:rPr>
      </w:pPr>
      <w:r w:rsidRPr="000F4C2C">
        <w:rPr>
          <w:rFonts w:asciiTheme="minorHAnsi" w:hAnsiTheme="minorHAnsi" w:cstheme="minorHAnsi"/>
          <w:b/>
        </w:rPr>
        <w:t>Section</w:t>
      </w:r>
      <w:r w:rsidR="00DA552F" w:rsidRPr="000F4C2C">
        <w:rPr>
          <w:rFonts w:asciiTheme="minorHAnsi" w:hAnsiTheme="minorHAnsi" w:cstheme="minorHAnsi"/>
          <w:b/>
        </w:rPr>
        <w:t xml:space="preserve"> 2</w:t>
      </w:r>
      <w:r w:rsidR="002B79E9" w:rsidRPr="000F4C2C">
        <w:rPr>
          <w:rFonts w:asciiTheme="minorHAnsi" w:hAnsiTheme="minorHAnsi" w:cstheme="minorHAnsi"/>
          <w:b/>
        </w:rPr>
        <w:tab/>
      </w:r>
      <w:r w:rsidR="00DA552F" w:rsidRPr="000F4C2C">
        <w:rPr>
          <w:rFonts w:asciiTheme="minorHAnsi" w:hAnsiTheme="minorHAnsi" w:cstheme="minorHAnsi"/>
          <w:b/>
        </w:rPr>
        <w:t>Commencement</w:t>
      </w:r>
    </w:p>
    <w:p w14:paraId="6D9B0061" w14:textId="690D5855" w:rsidR="00701EB0" w:rsidRPr="000F4C2C" w:rsidRDefault="00614018" w:rsidP="002B79E9">
      <w:pPr>
        <w:spacing w:after="120"/>
        <w:rPr>
          <w:rFonts w:asciiTheme="minorHAnsi" w:hAnsiTheme="minorHAnsi" w:cstheme="minorHAnsi"/>
          <w:szCs w:val="24"/>
        </w:rPr>
      </w:pPr>
      <w:r w:rsidRPr="000F4C2C">
        <w:rPr>
          <w:rFonts w:asciiTheme="minorHAnsi" w:hAnsiTheme="minorHAnsi" w:cstheme="minorHAnsi"/>
          <w:bCs/>
        </w:rPr>
        <w:t>Section 2</w:t>
      </w:r>
      <w:r w:rsidR="00701EB0" w:rsidRPr="000F4C2C">
        <w:rPr>
          <w:rFonts w:asciiTheme="minorHAnsi" w:hAnsiTheme="minorHAnsi" w:cstheme="minorHAnsi"/>
          <w:bCs/>
        </w:rPr>
        <w:t xml:space="preserve"> provides that the whole of the instrument commences on 1 July 2022. </w:t>
      </w:r>
    </w:p>
    <w:p w14:paraId="3287C071" w14:textId="141643E8" w:rsidR="00E631F9" w:rsidRPr="000F4C2C" w:rsidRDefault="00E631F9" w:rsidP="00701EB0">
      <w:pPr>
        <w:spacing w:after="120"/>
        <w:rPr>
          <w:rFonts w:asciiTheme="minorHAnsi" w:hAnsiTheme="minorHAnsi" w:cstheme="minorHAnsi"/>
          <w:szCs w:val="24"/>
        </w:rPr>
      </w:pPr>
      <w:r w:rsidRPr="000F4C2C">
        <w:rPr>
          <w:rFonts w:asciiTheme="minorHAnsi" w:hAnsiTheme="minorHAnsi" w:cstheme="minorHAnsi"/>
          <w:b/>
        </w:rPr>
        <w:t>Section 3</w:t>
      </w:r>
      <w:r w:rsidR="002B79E9" w:rsidRPr="000F4C2C">
        <w:rPr>
          <w:rFonts w:asciiTheme="minorHAnsi" w:hAnsiTheme="minorHAnsi" w:cstheme="minorHAnsi"/>
          <w:b/>
        </w:rPr>
        <w:t xml:space="preserve"> </w:t>
      </w:r>
      <w:r w:rsidR="002B79E9" w:rsidRPr="000F4C2C">
        <w:rPr>
          <w:rFonts w:asciiTheme="minorHAnsi" w:hAnsiTheme="minorHAnsi" w:cstheme="minorHAnsi"/>
          <w:b/>
        </w:rPr>
        <w:tab/>
      </w:r>
      <w:r w:rsidRPr="000F4C2C">
        <w:rPr>
          <w:rFonts w:asciiTheme="minorHAnsi" w:hAnsiTheme="minorHAnsi" w:cstheme="minorHAnsi"/>
          <w:b/>
        </w:rPr>
        <w:t>Authority</w:t>
      </w:r>
    </w:p>
    <w:p w14:paraId="1CEE71F7" w14:textId="2CA53F45" w:rsidR="00E631F9" w:rsidRPr="000F4C2C" w:rsidRDefault="00614018" w:rsidP="002B79E9">
      <w:pPr>
        <w:keepNext/>
        <w:spacing w:after="120"/>
        <w:rPr>
          <w:rFonts w:asciiTheme="minorHAnsi" w:hAnsiTheme="minorHAnsi" w:cstheme="minorHAnsi"/>
          <w:i/>
          <w:color w:val="FF0000"/>
        </w:rPr>
      </w:pPr>
      <w:r w:rsidRPr="000F4C2C">
        <w:rPr>
          <w:rFonts w:asciiTheme="minorHAnsi" w:hAnsiTheme="minorHAnsi" w:cstheme="minorHAnsi"/>
          <w:iCs/>
        </w:rPr>
        <w:t>Section 3</w:t>
      </w:r>
      <w:r w:rsidR="00C86F7C" w:rsidRPr="000F4C2C">
        <w:rPr>
          <w:rFonts w:asciiTheme="minorHAnsi" w:hAnsiTheme="minorHAnsi" w:cstheme="minorHAnsi"/>
          <w:iCs/>
        </w:rPr>
        <w:t xml:space="preserve"> provides that the instrument is made under subsection 6</w:t>
      </w:r>
      <w:proofErr w:type="gramStart"/>
      <w:r w:rsidR="00C86F7C" w:rsidRPr="000F4C2C">
        <w:rPr>
          <w:rFonts w:asciiTheme="minorHAnsi" w:hAnsiTheme="minorHAnsi" w:cstheme="minorHAnsi"/>
          <w:iCs/>
        </w:rPr>
        <w:t>B(</w:t>
      </w:r>
      <w:proofErr w:type="gramEnd"/>
      <w:r w:rsidR="00C86F7C" w:rsidRPr="000F4C2C">
        <w:rPr>
          <w:rFonts w:asciiTheme="minorHAnsi" w:hAnsiTheme="minorHAnsi" w:cstheme="minorHAnsi"/>
          <w:iCs/>
        </w:rPr>
        <w:t xml:space="preserve">1), </w:t>
      </w:r>
      <w:r w:rsidR="002B79E9" w:rsidRPr="000F4C2C">
        <w:rPr>
          <w:rFonts w:asciiTheme="minorHAnsi" w:hAnsiTheme="minorHAnsi" w:cstheme="minorHAnsi"/>
          <w:iCs/>
        </w:rPr>
        <w:t xml:space="preserve">subsection </w:t>
      </w:r>
      <w:r w:rsidR="00C86F7C" w:rsidRPr="000F4C2C">
        <w:rPr>
          <w:rFonts w:asciiTheme="minorHAnsi" w:hAnsiTheme="minorHAnsi" w:cstheme="minorHAnsi"/>
          <w:iCs/>
        </w:rPr>
        <w:t xml:space="preserve">9(2), </w:t>
      </w:r>
      <w:r w:rsidR="002B79E9" w:rsidRPr="000F4C2C">
        <w:rPr>
          <w:rFonts w:asciiTheme="minorHAnsi" w:hAnsiTheme="minorHAnsi" w:cstheme="minorHAnsi"/>
          <w:iCs/>
        </w:rPr>
        <w:t xml:space="preserve">subsection </w:t>
      </w:r>
      <w:r w:rsidR="00C86F7C" w:rsidRPr="000F4C2C">
        <w:rPr>
          <w:rFonts w:asciiTheme="minorHAnsi" w:hAnsiTheme="minorHAnsi" w:cstheme="minorHAnsi"/>
          <w:iCs/>
        </w:rPr>
        <w:t xml:space="preserve">12(2) and </w:t>
      </w:r>
      <w:r w:rsidR="002B79E9" w:rsidRPr="000F4C2C">
        <w:rPr>
          <w:rFonts w:asciiTheme="minorHAnsi" w:hAnsiTheme="minorHAnsi" w:cstheme="minorHAnsi"/>
          <w:iCs/>
        </w:rPr>
        <w:t xml:space="preserve">paragraph </w:t>
      </w:r>
      <w:r w:rsidR="00C86F7C" w:rsidRPr="000F4C2C">
        <w:rPr>
          <w:rFonts w:asciiTheme="minorHAnsi" w:hAnsiTheme="minorHAnsi" w:cstheme="minorHAnsi"/>
          <w:iCs/>
        </w:rPr>
        <w:t xml:space="preserve">13(b) of </w:t>
      </w:r>
      <w:r w:rsidR="00C86F7C" w:rsidRPr="000F4C2C">
        <w:rPr>
          <w:rFonts w:asciiTheme="minorHAnsi" w:hAnsiTheme="minorHAnsi" w:cstheme="minorHAnsi"/>
          <w:i/>
        </w:rPr>
        <w:t xml:space="preserve">the </w:t>
      </w:r>
      <w:r w:rsidR="00762B5F" w:rsidRPr="000F4C2C">
        <w:rPr>
          <w:rFonts w:asciiTheme="minorHAnsi" w:hAnsiTheme="minorHAnsi" w:cstheme="minorHAnsi"/>
          <w:i/>
        </w:rPr>
        <w:t>National Vocational Education and Training Regulator (Charges) Act 2012.</w:t>
      </w:r>
    </w:p>
    <w:p w14:paraId="0296CC14" w14:textId="783F2673" w:rsidR="00DA552F" w:rsidRPr="000F4C2C" w:rsidRDefault="00E631F9" w:rsidP="00614018">
      <w:pPr>
        <w:keepNext/>
        <w:spacing w:after="120"/>
        <w:rPr>
          <w:rFonts w:asciiTheme="minorHAnsi" w:hAnsiTheme="minorHAnsi" w:cstheme="minorHAnsi"/>
          <w:b/>
        </w:rPr>
      </w:pPr>
      <w:r w:rsidRPr="000F4C2C">
        <w:rPr>
          <w:rFonts w:asciiTheme="minorHAnsi" w:hAnsiTheme="minorHAnsi" w:cstheme="minorHAnsi"/>
          <w:b/>
        </w:rPr>
        <w:t>Section 4</w:t>
      </w:r>
      <w:r w:rsidR="002B79E9" w:rsidRPr="000F4C2C">
        <w:rPr>
          <w:rFonts w:asciiTheme="minorHAnsi" w:hAnsiTheme="minorHAnsi" w:cstheme="minorHAnsi"/>
          <w:b/>
        </w:rPr>
        <w:tab/>
      </w:r>
      <w:r w:rsidR="00F0015A" w:rsidRPr="000F4C2C">
        <w:rPr>
          <w:rFonts w:asciiTheme="minorHAnsi" w:hAnsiTheme="minorHAnsi" w:cstheme="minorHAnsi"/>
          <w:b/>
        </w:rPr>
        <w:t>Definitions</w:t>
      </w:r>
    </w:p>
    <w:p w14:paraId="11180A2A" w14:textId="79843164" w:rsidR="002B79E9" w:rsidRPr="000F4C2C" w:rsidRDefault="00614018" w:rsidP="002B79E9">
      <w:pPr>
        <w:spacing w:after="120"/>
        <w:rPr>
          <w:rFonts w:asciiTheme="minorHAnsi" w:hAnsiTheme="minorHAnsi" w:cstheme="minorHAnsi"/>
          <w:bCs/>
        </w:rPr>
      </w:pPr>
      <w:r w:rsidRPr="000F4C2C">
        <w:rPr>
          <w:rFonts w:asciiTheme="minorHAnsi" w:hAnsiTheme="minorHAnsi" w:cstheme="minorHAnsi"/>
          <w:bCs/>
        </w:rPr>
        <w:t>Section 4</w:t>
      </w:r>
      <w:r w:rsidR="00323AAF" w:rsidRPr="000F4C2C">
        <w:rPr>
          <w:rFonts w:asciiTheme="minorHAnsi" w:hAnsiTheme="minorHAnsi" w:cstheme="minorHAnsi"/>
          <w:bCs/>
        </w:rPr>
        <w:t xml:space="preserve"> </w:t>
      </w:r>
      <w:r w:rsidR="00A32AA2" w:rsidRPr="000F4C2C">
        <w:rPr>
          <w:rFonts w:asciiTheme="minorHAnsi" w:hAnsiTheme="minorHAnsi" w:cstheme="minorHAnsi"/>
          <w:bCs/>
        </w:rPr>
        <w:t xml:space="preserve">defines expressions used in the instrument. The note at the beginning of the section </w:t>
      </w:r>
      <w:r w:rsidR="002B79E9" w:rsidRPr="000F4C2C">
        <w:rPr>
          <w:rFonts w:asciiTheme="minorHAnsi" w:hAnsiTheme="minorHAnsi" w:cstheme="minorHAnsi"/>
          <w:bCs/>
        </w:rPr>
        <w:t xml:space="preserve">identifies </w:t>
      </w:r>
      <w:proofErr w:type="gramStart"/>
      <w:r w:rsidR="002B79E9" w:rsidRPr="000F4C2C">
        <w:rPr>
          <w:rFonts w:asciiTheme="minorHAnsi" w:hAnsiTheme="minorHAnsi" w:cstheme="minorHAnsi"/>
          <w:bCs/>
        </w:rPr>
        <w:t>a number of</w:t>
      </w:r>
      <w:proofErr w:type="gramEnd"/>
      <w:r w:rsidR="002B79E9" w:rsidRPr="000F4C2C">
        <w:rPr>
          <w:rFonts w:asciiTheme="minorHAnsi" w:hAnsiTheme="minorHAnsi" w:cstheme="minorHAnsi"/>
          <w:bCs/>
        </w:rPr>
        <w:t xml:space="preserve"> terms defined in the </w:t>
      </w:r>
      <w:r w:rsidR="002B79E9" w:rsidRPr="000F4C2C">
        <w:rPr>
          <w:rFonts w:asciiTheme="minorHAnsi" w:hAnsiTheme="minorHAnsi" w:cstheme="minorHAnsi"/>
          <w:bCs/>
          <w:i/>
          <w:iCs/>
        </w:rPr>
        <w:t>National Vocational Education and Training Regulator Act 2003</w:t>
      </w:r>
      <w:r w:rsidR="002B79E9" w:rsidRPr="000F4C2C">
        <w:rPr>
          <w:rFonts w:asciiTheme="minorHAnsi" w:hAnsiTheme="minorHAnsi" w:cstheme="minorHAnsi"/>
          <w:bCs/>
        </w:rPr>
        <w:t xml:space="preserve">, including </w:t>
      </w:r>
      <w:r w:rsidR="002B79E9" w:rsidRPr="000F4C2C">
        <w:rPr>
          <w:rFonts w:asciiTheme="minorHAnsi" w:hAnsiTheme="minorHAnsi" w:cstheme="minorHAnsi"/>
          <w:bCs/>
          <w:i/>
          <w:iCs/>
        </w:rPr>
        <w:t>compliance audit</w:t>
      </w:r>
      <w:r w:rsidR="002B79E9" w:rsidRPr="000F4C2C">
        <w:rPr>
          <w:rFonts w:asciiTheme="minorHAnsi" w:hAnsiTheme="minorHAnsi" w:cstheme="minorHAnsi"/>
          <w:bCs/>
        </w:rPr>
        <w:t xml:space="preserve">, </w:t>
      </w:r>
      <w:r w:rsidR="002B79E9" w:rsidRPr="000F4C2C">
        <w:rPr>
          <w:rFonts w:asciiTheme="minorHAnsi" w:hAnsiTheme="minorHAnsi" w:cstheme="minorHAnsi"/>
          <w:bCs/>
          <w:i/>
          <w:iCs/>
        </w:rPr>
        <w:t>Data Provision Requirements</w:t>
      </w:r>
      <w:r w:rsidR="002B79E9" w:rsidRPr="000F4C2C">
        <w:rPr>
          <w:rFonts w:asciiTheme="minorHAnsi" w:hAnsiTheme="minorHAnsi" w:cstheme="minorHAnsi"/>
          <w:bCs/>
        </w:rPr>
        <w:t xml:space="preserve">, </w:t>
      </w:r>
      <w:r w:rsidR="002B79E9" w:rsidRPr="000F4C2C">
        <w:rPr>
          <w:rFonts w:asciiTheme="minorHAnsi" w:hAnsiTheme="minorHAnsi" w:cstheme="minorHAnsi"/>
          <w:bCs/>
          <w:i/>
          <w:iCs/>
        </w:rPr>
        <w:t>National VET Regulator</w:t>
      </w:r>
      <w:r w:rsidR="002B79E9" w:rsidRPr="000F4C2C">
        <w:rPr>
          <w:rFonts w:asciiTheme="minorHAnsi" w:hAnsiTheme="minorHAnsi" w:cstheme="minorHAnsi"/>
          <w:bCs/>
        </w:rPr>
        <w:t xml:space="preserve">, </w:t>
      </w:r>
      <w:r w:rsidR="002B79E9" w:rsidRPr="000F4C2C">
        <w:rPr>
          <w:rFonts w:asciiTheme="minorHAnsi" w:hAnsiTheme="minorHAnsi" w:cstheme="minorHAnsi"/>
          <w:bCs/>
          <w:i/>
          <w:iCs/>
        </w:rPr>
        <w:t>NVR registered training organisation</w:t>
      </w:r>
      <w:r w:rsidR="002B79E9" w:rsidRPr="000F4C2C">
        <w:rPr>
          <w:rFonts w:asciiTheme="minorHAnsi" w:hAnsiTheme="minorHAnsi" w:cstheme="minorHAnsi"/>
          <w:bCs/>
        </w:rPr>
        <w:t xml:space="preserve"> and </w:t>
      </w:r>
      <w:r w:rsidR="002B79E9" w:rsidRPr="000F4C2C">
        <w:rPr>
          <w:rFonts w:asciiTheme="minorHAnsi" w:hAnsiTheme="minorHAnsi" w:cstheme="minorHAnsi"/>
          <w:bCs/>
          <w:i/>
          <w:iCs/>
        </w:rPr>
        <w:t>VET course</w:t>
      </w:r>
      <w:r w:rsidR="002B79E9" w:rsidRPr="000F4C2C">
        <w:rPr>
          <w:rFonts w:asciiTheme="minorHAnsi" w:hAnsiTheme="minorHAnsi" w:cstheme="minorHAnsi"/>
          <w:bCs/>
        </w:rPr>
        <w:t>.</w:t>
      </w:r>
    </w:p>
    <w:p w14:paraId="1BEDF24E" w14:textId="3EFBD117" w:rsidR="00DC2E19" w:rsidRPr="000F4C2C" w:rsidRDefault="00DC2E19" w:rsidP="00DC2E19">
      <w:pPr>
        <w:pStyle w:val="subsection"/>
        <w:tabs>
          <w:tab w:val="clear" w:pos="1021"/>
          <w:tab w:val="right" w:pos="0"/>
        </w:tabs>
        <w:ind w:left="0" w:firstLine="0"/>
        <w:rPr>
          <w:rFonts w:asciiTheme="minorHAnsi" w:hAnsiTheme="minorHAnsi" w:cstheme="minorHAnsi"/>
          <w:sz w:val="24"/>
          <w:szCs w:val="24"/>
        </w:rPr>
      </w:pPr>
      <w:r w:rsidRPr="000F4C2C">
        <w:rPr>
          <w:rFonts w:asciiTheme="minorHAnsi" w:hAnsiTheme="minorHAnsi" w:cstheme="minorHAnsi"/>
          <w:b/>
          <w:i/>
          <w:sz w:val="24"/>
          <w:szCs w:val="24"/>
        </w:rPr>
        <w:t>Act</w:t>
      </w:r>
      <w:r w:rsidRPr="000F4C2C">
        <w:rPr>
          <w:rFonts w:asciiTheme="minorHAnsi" w:hAnsiTheme="minorHAnsi" w:cstheme="minorHAnsi"/>
          <w:sz w:val="24"/>
          <w:szCs w:val="24"/>
        </w:rPr>
        <w:t xml:space="preserve"> is defined to mean the </w:t>
      </w:r>
      <w:r w:rsidRPr="000F4C2C">
        <w:rPr>
          <w:rFonts w:asciiTheme="minorHAnsi" w:hAnsiTheme="minorHAnsi" w:cstheme="minorHAnsi"/>
          <w:i/>
          <w:iCs/>
          <w:sz w:val="24"/>
          <w:szCs w:val="24"/>
        </w:rPr>
        <w:t>National Vocational Education and Training Regulator (Charges) Act 2012</w:t>
      </w:r>
      <w:r w:rsidRPr="000F4C2C">
        <w:rPr>
          <w:rFonts w:asciiTheme="minorHAnsi" w:hAnsiTheme="minorHAnsi" w:cstheme="minorHAnsi"/>
          <w:sz w:val="24"/>
          <w:szCs w:val="24"/>
        </w:rPr>
        <w:t>.</w:t>
      </w:r>
    </w:p>
    <w:p w14:paraId="12755B9A" w14:textId="059737DE" w:rsidR="00DC2E19" w:rsidRPr="000F4C2C" w:rsidRDefault="00DC2E19" w:rsidP="00DC2E19">
      <w:pPr>
        <w:pStyle w:val="Definition"/>
        <w:ind w:left="0"/>
        <w:rPr>
          <w:rFonts w:asciiTheme="minorHAnsi" w:hAnsiTheme="minorHAnsi" w:cstheme="minorHAnsi"/>
          <w:bCs/>
          <w:iCs/>
          <w:sz w:val="24"/>
          <w:szCs w:val="24"/>
        </w:rPr>
      </w:pPr>
      <w:bookmarkStart w:id="5" w:name="_Hlk97118302"/>
      <w:r w:rsidRPr="000F4C2C">
        <w:rPr>
          <w:rFonts w:asciiTheme="minorHAnsi" w:hAnsiTheme="minorHAnsi" w:cstheme="minorHAnsi"/>
          <w:b/>
          <w:i/>
          <w:sz w:val="24"/>
          <w:szCs w:val="24"/>
        </w:rPr>
        <w:t xml:space="preserve">National VET Regulator annual registration charge </w:t>
      </w:r>
      <w:r w:rsidRPr="000F4C2C">
        <w:rPr>
          <w:rFonts w:asciiTheme="minorHAnsi" w:hAnsiTheme="minorHAnsi" w:cstheme="minorHAnsi"/>
          <w:bCs/>
          <w:iCs/>
          <w:sz w:val="24"/>
          <w:szCs w:val="24"/>
        </w:rPr>
        <w:t>is defined to mean the charge imposed by Part 1A of the Act.</w:t>
      </w:r>
    </w:p>
    <w:p w14:paraId="70BCC5BC" w14:textId="5CEE75A9" w:rsidR="00D50056" w:rsidRPr="000F4C2C" w:rsidRDefault="00DC2E19" w:rsidP="00DC2E19">
      <w:pPr>
        <w:pStyle w:val="Definition"/>
        <w:ind w:left="0"/>
        <w:rPr>
          <w:rFonts w:asciiTheme="minorHAnsi" w:hAnsiTheme="minorHAnsi" w:cstheme="minorHAnsi"/>
          <w:bCs/>
          <w:iCs/>
          <w:sz w:val="24"/>
          <w:szCs w:val="24"/>
        </w:rPr>
      </w:pPr>
      <w:r w:rsidRPr="000F4C2C">
        <w:rPr>
          <w:rFonts w:asciiTheme="minorHAnsi" w:hAnsiTheme="minorHAnsi" w:cstheme="minorHAnsi"/>
          <w:b/>
          <w:i/>
          <w:sz w:val="24"/>
          <w:szCs w:val="24"/>
        </w:rPr>
        <w:t xml:space="preserve">Number of reported students for the previous calendar year </w:t>
      </w:r>
      <w:r w:rsidRPr="000F4C2C">
        <w:rPr>
          <w:rFonts w:asciiTheme="minorHAnsi" w:hAnsiTheme="minorHAnsi" w:cstheme="minorHAnsi"/>
          <w:bCs/>
          <w:iCs/>
          <w:sz w:val="24"/>
          <w:szCs w:val="24"/>
        </w:rPr>
        <w:t xml:space="preserve">is defined to mean the number of unique student enrolments in a VET course or part of a VET course as reported by a person to whom section 232A of the </w:t>
      </w:r>
      <w:r w:rsidRPr="000F4C2C">
        <w:rPr>
          <w:rFonts w:asciiTheme="minorHAnsi" w:hAnsiTheme="minorHAnsi" w:cstheme="minorHAnsi"/>
          <w:bCs/>
          <w:i/>
          <w:sz w:val="24"/>
          <w:szCs w:val="24"/>
        </w:rPr>
        <w:t xml:space="preserve">National Vocational Education and Training Regulator Act 2011 </w:t>
      </w:r>
      <w:r w:rsidRPr="000F4C2C">
        <w:rPr>
          <w:rFonts w:asciiTheme="minorHAnsi" w:hAnsiTheme="minorHAnsi" w:cstheme="minorHAnsi"/>
          <w:bCs/>
          <w:iCs/>
          <w:sz w:val="24"/>
          <w:szCs w:val="24"/>
        </w:rPr>
        <w:t xml:space="preserve">applies for the previous calendar year in accordance with the person’s reporting obligations under the Data Provision Requirements. </w:t>
      </w:r>
    </w:p>
    <w:p w14:paraId="6833FC46" w14:textId="63AC1D57" w:rsidR="00D50056" w:rsidRPr="000F4C2C" w:rsidRDefault="00D50056" w:rsidP="00D50056">
      <w:pPr>
        <w:keepNext/>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lastRenderedPageBreak/>
        <w:t xml:space="preserve">Section 232A of the </w:t>
      </w:r>
      <w:r w:rsidRPr="000F4C2C">
        <w:rPr>
          <w:rFonts w:asciiTheme="minorHAnsi" w:hAnsiTheme="minorHAnsi" w:cstheme="minorHAnsi"/>
          <w:i/>
          <w:iCs/>
          <w:color w:val="000000"/>
          <w:szCs w:val="24"/>
          <w:shd w:val="clear" w:color="auto" w:fill="FFFFFF"/>
        </w:rPr>
        <w:t xml:space="preserve">National Vocational Education and Training Regulator Act 2011 </w:t>
      </w:r>
      <w:r w:rsidRPr="000F4C2C">
        <w:rPr>
          <w:rFonts w:asciiTheme="minorHAnsi" w:hAnsiTheme="minorHAnsi" w:cstheme="minorHAnsi"/>
          <w:color w:val="000000"/>
          <w:szCs w:val="24"/>
          <w:shd w:val="clear" w:color="auto" w:fill="FFFFFF"/>
        </w:rPr>
        <w:t>applies to a person if:</w:t>
      </w:r>
    </w:p>
    <w:p w14:paraId="2D6201B1" w14:textId="77777777" w:rsidR="00D50056" w:rsidRPr="000F4C2C" w:rsidRDefault="00D50056" w:rsidP="00D50056">
      <w:pPr>
        <w:pStyle w:val="ListParagraph"/>
        <w:keepNext/>
        <w:numPr>
          <w:ilvl w:val="0"/>
          <w:numId w:val="15"/>
        </w:numPr>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the person starts or continues to be registered during a financial year under that Act as an NVR registered training organisation; or</w:t>
      </w:r>
    </w:p>
    <w:p w14:paraId="23E7AB3C" w14:textId="77777777" w:rsidR="00D50056" w:rsidRPr="000F4C2C" w:rsidRDefault="00D50056" w:rsidP="00D50056">
      <w:pPr>
        <w:pStyle w:val="ListParagraph"/>
        <w:keepNext/>
        <w:numPr>
          <w:ilvl w:val="0"/>
          <w:numId w:val="15"/>
        </w:numPr>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both:</w:t>
      </w:r>
    </w:p>
    <w:p w14:paraId="09A0DEAA" w14:textId="77777777" w:rsidR="00D50056" w:rsidRPr="000F4C2C" w:rsidRDefault="00D50056" w:rsidP="00D50056">
      <w:pPr>
        <w:pStyle w:val="ListParagraph"/>
        <w:keepNext/>
        <w:numPr>
          <w:ilvl w:val="0"/>
          <w:numId w:val="16"/>
        </w:numPr>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the person starts or continues to be registered during a financial year under the </w:t>
      </w:r>
      <w:r w:rsidRPr="000F4C2C">
        <w:rPr>
          <w:rFonts w:asciiTheme="minorHAnsi" w:hAnsiTheme="minorHAnsi" w:cstheme="minorHAnsi"/>
          <w:i/>
          <w:iCs/>
          <w:color w:val="000000"/>
          <w:szCs w:val="24"/>
          <w:shd w:val="clear" w:color="auto" w:fill="FFFFFF"/>
        </w:rPr>
        <w:t xml:space="preserve">Education Services for Overseas Students Act 2000 </w:t>
      </w:r>
      <w:r w:rsidRPr="000F4C2C">
        <w:rPr>
          <w:rFonts w:asciiTheme="minorHAnsi" w:hAnsiTheme="minorHAnsi" w:cstheme="minorHAnsi"/>
          <w:color w:val="000000"/>
          <w:szCs w:val="24"/>
          <w:shd w:val="clear" w:color="auto" w:fill="FFFFFF"/>
        </w:rPr>
        <w:t>as a registered provider; and</w:t>
      </w:r>
    </w:p>
    <w:p w14:paraId="7B8AC645" w14:textId="77777777" w:rsidR="00D50056" w:rsidRPr="000F4C2C" w:rsidRDefault="00D50056" w:rsidP="00D50056">
      <w:pPr>
        <w:pStyle w:val="ListParagraph"/>
        <w:keepNext/>
        <w:numPr>
          <w:ilvl w:val="0"/>
          <w:numId w:val="16"/>
        </w:numPr>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the National VET Regulator is the ESOS agency for the registered provider (within the meaning of that Act). </w:t>
      </w:r>
    </w:p>
    <w:p w14:paraId="302A96BB" w14:textId="375890C4" w:rsidR="00D50056" w:rsidRPr="000F4C2C" w:rsidRDefault="00D50056" w:rsidP="00DC2E19">
      <w:pPr>
        <w:pStyle w:val="Definition"/>
        <w:ind w:left="0"/>
        <w:rPr>
          <w:rFonts w:asciiTheme="minorHAnsi" w:hAnsiTheme="minorHAnsi" w:cstheme="minorHAnsi"/>
          <w:bCs/>
          <w:sz w:val="24"/>
          <w:szCs w:val="24"/>
        </w:rPr>
      </w:pPr>
      <w:r w:rsidRPr="000F4C2C">
        <w:rPr>
          <w:rFonts w:asciiTheme="minorHAnsi" w:hAnsiTheme="minorHAnsi" w:cstheme="minorHAnsi"/>
          <w:bCs/>
          <w:iCs/>
          <w:sz w:val="24"/>
          <w:szCs w:val="24"/>
        </w:rPr>
        <w:t xml:space="preserve">Subsection 187(1) of the </w:t>
      </w:r>
      <w:r w:rsidRPr="000F4C2C">
        <w:rPr>
          <w:rFonts w:asciiTheme="minorHAnsi" w:hAnsiTheme="minorHAnsi" w:cstheme="minorHAnsi"/>
          <w:i/>
          <w:iCs/>
          <w:color w:val="000000"/>
          <w:szCs w:val="24"/>
          <w:shd w:val="clear" w:color="auto" w:fill="FFFFFF"/>
        </w:rPr>
        <w:t xml:space="preserve">National Vocational Education and Training Regulator Act 2011 </w:t>
      </w:r>
      <w:r w:rsidRPr="000F4C2C">
        <w:rPr>
          <w:rFonts w:asciiTheme="minorHAnsi" w:hAnsiTheme="minorHAnsi" w:cstheme="minorHAnsi"/>
          <w:color w:val="000000"/>
          <w:szCs w:val="24"/>
          <w:shd w:val="clear" w:color="auto" w:fill="FFFFFF"/>
        </w:rPr>
        <w:t xml:space="preserve">empowers the Minister to, by legislative instrument, make Data Provision Requirements. As of 9 June 2022, those requirements could be accessed at </w:t>
      </w:r>
      <w:hyperlink r:id="rId21" w:history="1">
        <w:r w:rsidRPr="000F4C2C">
          <w:rPr>
            <w:rStyle w:val="Hyperlink"/>
            <w:rFonts w:asciiTheme="minorHAnsi" w:hAnsiTheme="minorHAnsi" w:cstheme="minorHAnsi"/>
            <w:szCs w:val="24"/>
            <w:shd w:val="clear" w:color="auto" w:fill="FFFFFF"/>
          </w:rPr>
          <w:t>https://www.legislation.gov.au/Series/F2020L01517</w:t>
        </w:r>
      </w:hyperlink>
      <w:r w:rsidRPr="000F4C2C">
        <w:rPr>
          <w:rFonts w:asciiTheme="minorHAnsi" w:hAnsiTheme="minorHAnsi" w:cstheme="minorHAnsi"/>
          <w:color w:val="000000"/>
          <w:szCs w:val="24"/>
          <w:shd w:val="clear" w:color="auto" w:fill="FFFFFF"/>
        </w:rPr>
        <w:t xml:space="preserve">. </w:t>
      </w:r>
    </w:p>
    <w:p w14:paraId="4F2D5111" w14:textId="41515723" w:rsidR="00DC2E19" w:rsidRPr="000F4C2C" w:rsidRDefault="00DC2E19" w:rsidP="00DC2E19">
      <w:pPr>
        <w:pStyle w:val="subsection"/>
        <w:tabs>
          <w:tab w:val="clear" w:pos="1021"/>
          <w:tab w:val="right" w:pos="0"/>
        </w:tabs>
        <w:ind w:left="0" w:firstLine="0"/>
        <w:rPr>
          <w:rFonts w:asciiTheme="minorHAnsi" w:hAnsiTheme="minorHAnsi" w:cstheme="minorHAnsi"/>
          <w:bCs/>
          <w:iCs/>
          <w:sz w:val="24"/>
          <w:szCs w:val="24"/>
        </w:rPr>
      </w:pPr>
      <w:r w:rsidRPr="000F4C2C">
        <w:rPr>
          <w:rFonts w:asciiTheme="minorHAnsi" w:hAnsiTheme="minorHAnsi" w:cstheme="minorHAnsi"/>
          <w:b/>
          <w:i/>
          <w:sz w:val="24"/>
          <w:szCs w:val="24"/>
        </w:rPr>
        <w:t xml:space="preserve">Number of VET courses the organisation is registered to offer on the first day of the financial year </w:t>
      </w:r>
      <w:r w:rsidRPr="000F4C2C">
        <w:rPr>
          <w:rFonts w:asciiTheme="minorHAnsi" w:hAnsiTheme="minorHAnsi" w:cstheme="minorHAnsi"/>
          <w:bCs/>
          <w:iCs/>
          <w:sz w:val="24"/>
          <w:szCs w:val="24"/>
        </w:rPr>
        <w:t xml:space="preserve">is defined to mean the number of unique VET courses a person to whom section 232A of the </w:t>
      </w:r>
      <w:r w:rsidRPr="000F4C2C">
        <w:rPr>
          <w:rFonts w:asciiTheme="minorHAnsi" w:hAnsiTheme="minorHAnsi" w:cstheme="minorHAnsi"/>
          <w:bCs/>
          <w:i/>
          <w:sz w:val="24"/>
          <w:szCs w:val="24"/>
        </w:rPr>
        <w:t xml:space="preserve">National Vocational Education and Training Regulator Act 2011 </w:t>
      </w:r>
      <w:r w:rsidRPr="000F4C2C">
        <w:rPr>
          <w:rFonts w:asciiTheme="minorHAnsi" w:hAnsiTheme="minorHAnsi" w:cstheme="minorHAnsi"/>
          <w:bCs/>
          <w:iCs/>
          <w:sz w:val="24"/>
          <w:szCs w:val="24"/>
        </w:rPr>
        <w:t>applies is registered to offer on the first day of the financial year, in accordance with its registration under:</w:t>
      </w:r>
    </w:p>
    <w:p w14:paraId="735E75F6" w14:textId="77777777" w:rsidR="00DC2E19" w:rsidRPr="000F4C2C" w:rsidRDefault="00DC2E19" w:rsidP="00DC2E19">
      <w:pPr>
        <w:pStyle w:val="subsection"/>
        <w:numPr>
          <w:ilvl w:val="0"/>
          <w:numId w:val="12"/>
        </w:numPr>
        <w:tabs>
          <w:tab w:val="clear" w:pos="1021"/>
          <w:tab w:val="right" w:pos="0"/>
        </w:tabs>
        <w:rPr>
          <w:rFonts w:asciiTheme="minorHAnsi" w:hAnsiTheme="minorHAnsi" w:cstheme="minorHAnsi"/>
          <w:bCs/>
          <w:iCs/>
          <w:sz w:val="24"/>
          <w:szCs w:val="24"/>
        </w:rPr>
      </w:pPr>
      <w:r w:rsidRPr="000F4C2C">
        <w:rPr>
          <w:rFonts w:asciiTheme="minorHAnsi" w:hAnsiTheme="minorHAnsi" w:cstheme="minorHAnsi"/>
          <w:bCs/>
          <w:iCs/>
          <w:sz w:val="24"/>
          <w:szCs w:val="24"/>
        </w:rPr>
        <w:t xml:space="preserve">the </w:t>
      </w:r>
      <w:r w:rsidRPr="000F4C2C">
        <w:rPr>
          <w:rFonts w:asciiTheme="minorHAnsi" w:hAnsiTheme="minorHAnsi" w:cstheme="minorHAnsi"/>
          <w:bCs/>
          <w:i/>
          <w:sz w:val="24"/>
          <w:szCs w:val="24"/>
        </w:rPr>
        <w:t xml:space="preserve">National Vocational Education and Training Regulator Act </w:t>
      </w:r>
      <w:proofErr w:type="gramStart"/>
      <w:r w:rsidRPr="000F4C2C">
        <w:rPr>
          <w:rFonts w:asciiTheme="minorHAnsi" w:hAnsiTheme="minorHAnsi" w:cstheme="minorHAnsi"/>
          <w:bCs/>
          <w:i/>
          <w:sz w:val="24"/>
          <w:szCs w:val="24"/>
        </w:rPr>
        <w:t>2011</w:t>
      </w:r>
      <w:r w:rsidRPr="000F4C2C">
        <w:rPr>
          <w:rFonts w:asciiTheme="minorHAnsi" w:hAnsiTheme="minorHAnsi" w:cstheme="minorHAnsi"/>
          <w:bCs/>
          <w:iCs/>
          <w:sz w:val="24"/>
          <w:szCs w:val="24"/>
        </w:rPr>
        <w:t>;</w:t>
      </w:r>
      <w:proofErr w:type="gramEnd"/>
      <w:r w:rsidRPr="000F4C2C">
        <w:rPr>
          <w:rFonts w:asciiTheme="minorHAnsi" w:hAnsiTheme="minorHAnsi" w:cstheme="minorHAnsi"/>
          <w:bCs/>
          <w:iCs/>
          <w:sz w:val="24"/>
          <w:szCs w:val="24"/>
        </w:rPr>
        <w:t xml:space="preserve"> </w:t>
      </w:r>
    </w:p>
    <w:p w14:paraId="5B153AC2" w14:textId="77777777" w:rsidR="00DC2E19" w:rsidRPr="000F4C2C" w:rsidRDefault="00DC2E19" w:rsidP="00DC2E19">
      <w:pPr>
        <w:pStyle w:val="subsection"/>
        <w:numPr>
          <w:ilvl w:val="0"/>
          <w:numId w:val="12"/>
        </w:numPr>
        <w:tabs>
          <w:tab w:val="clear" w:pos="1021"/>
          <w:tab w:val="right" w:pos="0"/>
        </w:tabs>
        <w:spacing w:before="0"/>
        <w:rPr>
          <w:rFonts w:asciiTheme="minorHAnsi" w:hAnsiTheme="minorHAnsi" w:cstheme="minorHAnsi"/>
          <w:bCs/>
          <w:iCs/>
          <w:sz w:val="24"/>
          <w:szCs w:val="24"/>
        </w:rPr>
      </w:pPr>
      <w:r w:rsidRPr="000F4C2C">
        <w:rPr>
          <w:rFonts w:asciiTheme="minorHAnsi" w:hAnsiTheme="minorHAnsi" w:cstheme="minorHAnsi"/>
          <w:bCs/>
          <w:iCs/>
          <w:sz w:val="24"/>
          <w:szCs w:val="24"/>
        </w:rPr>
        <w:t xml:space="preserve">the </w:t>
      </w:r>
      <w:r w:rsidRPr="000F4C2C">
        <w:rPr>
          <w:rFonts w:asciiTheme="minorHAnsi" w:hAnsiTheme="minorHAnsi" w:cstheme="minorHAnsi"/>
          <w:bCs/>
          <w:i/>
          <w:sz w:val="24"/>
          <w:szCs w:val="24"/>
        </w:rPr>
        <w:t>Education Services for Overseas Students Act 2000</w:t>
      </w:r>
      <w:r w:rsidRPr="000F4C2C">
        <w:rPr>
          <w:rFonts w:asciiTheme="minorHAnsi" w:hAnsiTheme="minorHAnsi" w:cstheme="minorHAnsi"/>
          <w:bCs/>
          <w:iCs/>
          <w:sz w:val="24"/>
          <w:szCs w:val="24"/>
        </w:rPr>
        <w:t>; or</w:t>
      </w:r>
    </w:p>
    <w:p w14:paraId="55F9D55A" w14:textId="34667EA4" w:rsidR="00DC2E19" w:rsidRPr="000F4C2C" w:rsidRDefault="00DC2E19" w:rsidP="00DC2E19">
      <w:pPr>
        <w:pStyle w:val="subsection"/>
        <w:numPr>
          <w:ilvl w:val="0"/>
          <w:numId w:val="12"/>
        </w:numPr>
        <w:tabs>
          <w:tab w:val="clear" w:pos="1021"/>
          <w:tab w:val="right" w:pos="0"/>
        </w:tabs>
        <w:spacing w:before="0"/>
        <w:rPr>
          <w:rFonts w:asciiTheme="minorHAnsi" w:hAnsiTheme="minorHAnsi" w:cstheme="minorHAnsi"/>
          <w:bCs/>
          <w:iCs/>
          <w:sz w:val="24"/>
          <w:szCs w:val="24"/>
        </w:rPr>
      </w:pPr>
      <w:r w:rsidRPr="000F4C2C">
        <w:rPr>
          <w:rFonts w:asciiTheme="minorHAnsi" w:hAnsiTheme="minorHAnsi" w:cstheme="minorHAnsi"/>
          <w:bCs/>
          <w:iCs/>
          <w:sz w:val="24"/>
          <w:szCs w:val="24"/>
        </w:rPr>
        <w:t xml:space="preserve">both the </w:t>
      </w:r>
      <w:r w:rsidRPr="000F4C2C">
        <w:rPr>
          <w:rFonts w:asciiTheme="minorHAnsi" w:hAnsiTheme="minorHAnsi" w:cstheme="minorHAnsi"/>
          <w:bCs/>
          <w:i/>
          <w:sz w:val="24"/>
          <w:szCs w:val="24"/>
        </w:rPr>
        <w:t>National Vocational Education and Training Regulator Act 2011</w:t>
      </w:r>
      <w:r w:rsidRPr="000F4C2C">
        <w:rPr>
          <w:rFonts w:asciiTheme="minorHAnsi" w:hAnsiTheme="minorHAnsi" w:cstheme="minorHAnsi"/>
          <w:bCs/>
          <w:iCs/>
          <w:sz w:val="24"/>
          <w:szCs w:val="24"/>
        </w:rPr>
        <w:t xml:space="preserve"> and the </w:t>
      </w:r>
      <w:r w:rsidRPr="000F4C2C">
        <w:rPr>
          <w:rFonts w:asciiTheme="minorHAnsi" w:hAnsiTheme="minorHAnsi" w:cstheme="minorHAnsi"/>
          <w:bCs/>
          <w:i/>
          <w:sz w:val="24"/>
          <w:szCs w:val="24"/>
        </w:rPr>
        <w:t>Education Services for Overseas Students Act 2000</w:t>
      </w:r>
      <w:r w:rsidRPr="000F4C2C">
        <w:rPr>
          <w:rFonts w:asciiTheme="minorHAnsi" w:hAnsiTheme="minorHAnsi" w:cstheme="minorHAnsi"/>
          <w:bCs/>
          <w:iCs/>
          <w:sz w:val="24"/>
          <w:szCs w:val="24"/>
        </w:rPr>
        <w:t>,</w:t>
      </w:r>
    </w:p>
    <w:p w14:paraId="6C7ABDFA" w14:textId="1C1323F7" w:rsidR="00DC2E19" w:rsidRPr="000F4C2C" w:rsidRDefault="00DC2E19" w:rsidP="00DC2E19">
      <w:pPr>
        <w:pStyle w:val="subsection"/>
        <w:spacing w:after="240"/>
        <w:rPr>
          <w:rFonts w:asciiTheme="minorHAnsi" w:hAnsiTheme="minorHAnsi" w:cstheme="minorHAnsi"/>
          <w:bCs/>
          <w:iCs/>
          <w:sz w:val="24"/>
          <w:szCs w:val="24"/>
        </w:rPr>
      </w:pPr>
      <w:r w:rsidRPr="000F4C2C">
        <w:rPr>
          <w:rFonts w:asciiTheme="minorHAnsi" w:hAnsiTheme="minorHAnsi" w:cstheme="minorHAnsi"/>
          <w:bCs/>
          <w:iCs/>
          <w:sz w:val="24"/>
          <w:szCs w:val="24"/>
        </w:rPr>
        <w:t>as applicable.</w:t>
      </w:r>
    </w:p>
    <w:bookmarkEnd w:id="5"/>
    <w:p w14:paraId="5641F4BF" w14:textId="59F213A4" w:rsidR="006D4594" w:rsidRPr="000F4C2C" w:rsidRDefault="006D4594" w:rsidP="006D4594">
      <w:pPr>
        <w:spacing w:after="120"/>
        <w:rPr>
          <w:rFonts w:asciiTheme="minorHAnsi" w:hAnsiTheme="minorHAnsi" w:cstheme="minorHAnsi"/>
          <w:szCs w:val="24"/>
        </w:rPr>
      </w:pPr>
      <w:r w:rsidRPr="000F4C2C">
        <w:rPr>
          <w:rFonts w:asciiTheme="minorHAnsi" w:hAnsiTheme="minorHAnsi" w:cstheme="minorHAnsi"/>
          <w:b/>
        </w:rPr>
        <w:t>Section 5</w:t>
      </w:r>
      <w:r w:rsidR="00DC2E19" w:rsidRPr="000F4C2C">
        <w:rPr>
          <w:rFonts w:asciiTheme="minorHAnsi" w:hAnsiTheme="minorHAnsi" w:cstheme="minorHAnsi"/>
          <w:b/>
        </w:rPr>
        <w:tab/>
      </w:r>
      <w:r w:rsidRPr="000F4C2C">
        <w:rPr>
          <w:rFonts w:asciiTheme="minorHAnsi" w:hAnsiTheme="minorHAnsi" w:cstheme="minorHAnsi"/>
          <w:b/>
        </w:rPr>
        <w:t xml:space="preserve">Schedules </w:t>
      </w:r>
    </w:p>
    <w:p w14:paraId="3B5737E7" w14:textId="1DFDEB9F" w:rsidR="006D4594" w:rsidRPr="000F4C2C" w:rsidRDefault="00A32AA2" w:rsidP="00DC2E19">
      <w:pPr>
        <w:spacing w:after="120"/>
        <w:rPr>
          <w:rFonts w:asciiTheme="minorHAnsi" w:hAnsiTheme="minorHAnsi" w:cstheme="minorHAnsi"/>
          <w:szCs w:val="24"/>
        </w:rPr>
      </w:pPr>
      <w:r w:rsidRPr="000F4C2C">
        <w:rPr>
          <w:rFonts w:asciiTheme="minorHAnsi" w:hAnsiTheme="minorHAnsi" w:cstheme="minorHAnsi"/>
          <w:bCs/>
        </w:rPr>
        <w:t>Section 5</w:t>
      </w:r>
      <w:r w:rsidR="006D4594" w:rsidRPr="000F4C2C">
        <w:rPr>
          <w:rFonts w:asciiTheme="minorHAnsi" w:hAnsiTheme="minorHAnsi" w:cstheme="minorHAnsi"/>
          <w:bCs/>
        </w:rPr>
        <w:t xml:space="preserve"> provides that </w:t>
      </w:r>
      <w:r w:rsidRPr="000F4C2C">
        <w:rPr>
          <w:rFonts w:asciiTheme="minorHAnsi" w:hAnsiTheme="minorHAnsi" w:cstheme="minorHAnsi"/>
          <w:bCs/>
        </w:rPr>
        <w:t>each instrument that is specified in a Schedule to the instrument is amended or repealed as set out in the applicable items in the Schedule concerned, and any other item in a Schedule to the instrument has effect according to its terms</w:t>
      </w:r>
      <w:r w:rsidR="006D4594" w:rsidRPr="000F4C2C">
        <w:rPr>
          <w:rFonts w:asciiTheme="minorHAnsi" w:hAnsiTheme="minorHAnsi" w:cstheme="minorHAnsi"/>
          <w:szCs w:val="24"/>
        </w:rPr>
        <w:t>.</w:t>
      </w:r>
    </w:p>
    <w:p w14:paraId="5512B836" w14:textId="49683354" w:rsidR="00A32AA2" w:rsidRPr="000F4C2C" w:rsidRDefault="00A32AA2" w:rsidP="006D4594">
      <w:pPr>
        <w:spacing w:after="120"/>
        <w:rPr>
          <w:rFonts w:asciiTheme="minorHAnsi" w:hAnsiTheme="minorHAnsi" w:cstheme="minorHAnsi"/>
          <w:b/>
          <w:bCs/>
          <w:szCs w:val="24"/>
        </w:rPr>
      </w:pPr>
      <w:r w:rsidRPr="000F4C2C">
        <w:rPr>
          <w:rFonts w:asciiTheme="minorHAnsi" w:hAnsiTheme="minorHAnsi" w:cstheme="minorHAnsi"/>
          <w:b/>
          <w:bCs/>
          <w:szCs w:val="24"/>
        </w:rPr>
        <w:t>Part 2</w:t>
      </w:r>
      <w:r w:rsidR="00DC2E19" w:rsidRPr="000F4C2C">
        <w:rPr>
          <w:rFonts w:asciiTheme="minorHAnsi" w:hAnsiTheme="minorHAnsi" w:cstheme="minorHAnsi"/>
          <w:b/>
          <w:bCs/>
          <w:szCs w:val="24"/>
        </w:rPr>
        <w:t xml:space="preserve"> – </w:t>
      </w:r>
      <w:r w:rsidRPr="000F4C2C">
        <w:rPr>
          <w:rFonts w:asciiTheme="minorHAnsi" w:hAnsiTheme="minorHAnsi" w:cstheme="minorHAnsi"/>
          <w:b/>
          <w:bCs/>
          <w:szCs w:val="24"/>
        </w:rPr>
        <w:t>Determination of National VET Regulator annual registration charge</w:t>
      </w:r>
    </w:p>
    <w:p w14:paraId="74A1E93E" w14:textId="22EAE3D4" w:rsidR="00B70FFE" w:rsidRPr="000F4C2C" w:rsidRDefault="001552A3" w:rsidP="006D4594">
      <w:pPr>
        <w:spacing w:after="120"/>
        <w:rPr>
          <w:rFonts w:asciiTheme="minorHAnsi" w:hAnsiTheme="minorHAnsi" w:cstheme="minorHAnsi"/>
          <w:szCs w:val="24"/>
        </w:rPr>
      </w:pPr>
      <w:r w:rsidRPr="000F4C2C">
        <w:rPr>
          <w:rFonts w:asciiTheme="minorHAnsi" w:hAnsiTheme="minorHAnsi" w:cstheme="minorHAnsi"/>
          <w:b/>
          <w:bCs/>
          <w:szCs w:val="24"/>
        </w:rPr>
        <w:t>Section 6</w:t>
      </w:r>
      <w:r w:rsidR="00DC2E19" w:rsidRPr="000F4C2C">
        <w:rPr>
          <w:rFonts w:asciiTheme="minorHAnsi" w:hAnsiTheme="minorHAnsi" w:cstheme="minorHAnsi"/>
          <w:b/>
          <w:bCs/>
          <w:szCs w:val="24"/>
        </w:rPr>
        <w:tab/>
      </w:r>
      <w:r w:rsidR="006968D1" w:rsidRPr="000F4C2C">
        <w:rPr>
          <w:rFonts w:asciiTheme="minorHAnsi" w:hAnsiTheme="minorHAnsi" w:cstheme="minorHAnsi"/>
          <w:b/>
          <w:bCs/>
          <w:szCs w:val="24"/>
        </w:rPr>
        <w:t>Method for working out amount of charge</w:t>
      </w:r>
      <w:r w:rsidRPr="000F4C2C">
        <w:rPr>
          <w:rFonts w:asciiTheme="minorHAnsi" w:hAnsiTheme="minorHAnsi" w:cstheme="minorHAnsi"/>
          <w:b/>
          <w:bCs/>
          <w:szCs w:val="24"/>
        </w:rPr>
        <w:t xml:space="preserve"> </w:t>
      </w:r>
    </w:p>
    <w:p w14:paraId="1184AC3A" w14:textId="32E16491" w:rsidR="00D50056" w:rsidRPr="000F4C2C" w:rsidRDefault="00DC2E19" w:rsidP="00D50056">
      <w:pPr>
        <w:keepNext/>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Section 6 </w:t>
      </w:r>
      <w:r w:rsidR="00CC78D8" w:rsidRPr="000F4C2C">
        <w:rPr>
          <w:rFonts w:asciiTheme="minorHAnsi" w:hAnsiTheme="minorHAnsi" w:cstheme="minorHAnsi"/>
          <w:color w:val="000000"/>
          <w:szCs w:val="24"/>
          <w:shd w:val="clear" w:color="auto" w:fill="FFFFFF"/>
        </w:rPr>
        <w:t>determines</w:t>
      </w:r>
      <w:r w:rsidRPr="000F4C2C">
        <w:rPr>
          <w:rFonts w:asciiTheme="minorHAnsi" w:hAnsiTheme="minorHAnsi" w:cstheme="minorHAnsi"/>
          <w:color w:val="000000"/>
          <w:szCs w:val="24"/>
          <w:shd w:val="clear" w:color="auto" w:fill="FFFFFF"/>
        </w:rPr>
        <w:t xml:space="preserve"> the method for working out the amount of National VET Regulator annual registration charge payable by a person to whom section 232A of the </w:t>
      </w:r>
      <w:r w:rsidRPr="000F4C2C">
        <w:rPr>
          <w:rFonts w:asciiTheme="minorHAnsi" w:hAnsiTheme="minorHAnsi" w:cstheme="minorHAnsi"/>
          <w:i/>
          <w:iCs/>
          <w:color w:val="000000"/>
          <w:szCs w:val="24"/>
          <w:shd w:val="clear" w:color="auto" w:fill="FFFFFF"/>
        </w:rPr>
        <w:t xml:space="preserve">National </w:t>
      </w:r>
      <w:r w:rsidRPr="000F4C2C">
        <w:rPr>
          <w:rFonts w:asciiTheme="minorHAnsi" w:hAnsiTheme="minorHAnsi" w:cstheme="minorHAnsi"/>
          <w:i/>
          <w:iCs/>
          <w:color w:val="000000"/>
          <w:szCs w:val="24"/>
          <w:shd w:val="clear" w:color="auto" w:fill="FFFFFF"/>
        </w:rPr>
        <w:lastRenderedPageBreak/>
        <w:t xml:space="preserve">Vocational Education and Training Regulator Act 2011 </w:t>
      </w:r>
      <w:r w:rsidRPr="000F4C2C">
        <w:rPr>
          <w:rFonts w:asciiTheme="minorHAnsi" w:hAnsiTheme="minorHAnsi" w:cstheme="minorHAnsi"/>
          <w:color w:val="000000"/>
          <w:szCs w:val="24"/>
          <w:shd w:val="clear" w:color="auto" w:fill="FFFFFF"/>
        </w:rPr>
        <w:t xml:space="preserve">applies for the financial year commencing on 1 July 2022 and each later financial year. </w:t>
      </w:r>
    </w:p>
    <w:p w14:paraId="5018477E" w14:textId="2A0D9EF8" w:rsidR="00DC2E19" w:rsidRPr="000F4C2C" w:rsidRDefault="00DC2E19" w:rsidP="00DC2E19">
      <w:pPr>
        <w:keepNext/>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Subsection 6(1) provides that the amount of National VET Regulator annual registration charge payable by such a person for such a financial year is worked out using the following table:</w:t>
      </w:r>
    </w:p>
    <w:tbl>
      <w:tblPr>
        <w:tblW w:w="892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3152"/>
        <w:gridCol w:w="3119"/>
        <w:gridCol w:w="1951"/>
      </w:tblGrid>
      <w:tr w:rsidR="00DC2E19" w:rsidRPr="000F4C2C" w14:paraId="57EC5C9D" w14:textId="77777777" w:rsidTr="00D20847">
        <w:trPr>
          <w:trHeight w:val="367"/>
          <w:tblHeader/>
        </w:trPr>
        <w:tc>
          <w:tcPr>
            <w:tcW w:w="3856" w:type="dxa"/>
            <w:gridSpan w:val="2"/>
            <w:tcBorders>
              <w:top w:val="single" w:sz="12" w:space="0" w:color="auto"/>
              <w:bottom w:val="single" w:sz="12" w:space="0" w:color="auto"/>
            </w:tcBorders>
            <w:shd w:val="clear" w:color="auto" w:fill="auto"/>
          </w:tcPr>
          <w:p w14:paraId="025CB7A5" w14:textId="77777777" w:rsidR="00DC2E19" w:rsidRPr="000F4C2C" w:rsidRDefault="00DC2E19" w:rsidP="00D20847">
            <w:pPr>
              <w:pStyle w:val="TableHeading"/>
              <w:rPr>
                <w:sz w:val="22"/>
                <w:szCs w:val="22"/>
              </w:rPr>
            </w:pPr>
            <w:r w:rsidRPr="000F4C2C">
              <w:rPr>
                <w:sz w:val="22"/>
                <w:szCs w:val="22"/>
              </w:rPr>
              <w:t>Table 1</w:t>
            </w:r>
          </w:p>
        </w:tc>
        <w:tc>
          <w:tcPr>
            <w:tcW w:w="3119" w:type="dxa"/>
            <w:tcBorders>
              <w:top w:val="single" w:sz="12" w:space="0" w:color="auto"/>
              <w:bottom w:val="single" w:sz="12" w:space="0" w:color="auto"/>
            </w:tcBorders>
            <w:shd w:val="clear" w:color="auto" w:fill="auto"/>
          </w:tcPr>
          <w:p w14:paraId="39FDD829" w14:textId="77777777" w:rsidR="00DC2E19" w:rsidRPr="000F4C2C" w:rsidRDefault="00DC2E19" w:rsidP="00D20847">
            <w:pPr>
              <w:pStyle w:val="TableHeading"/>
              <w:rPr>
                <w:sz w:val="22"/>
                <w:szCs w:val="22"/>
              </w:rPr>
            </w:pPr>
          </w:p>
        </w:tc>
        <w:tc>
          <w:tcPr>
            <w:tcW w:w="1951" w:type="dxa"/>
            <w:tcBorders>
              <w:top w:val="single" w:sz="12" w:space="0" w:color="auto"/>
              <w:bottom w:val="single" w:sz="12" w:space="0" w:color="auto"/>
            </w:tcBorders>
          </w:tcPr>
          <w:p w14:paraId="5A5A5E9C" w14:textId="77777777" w:rsidR="00DC2E19" w:rsidRPr="000F4C2C" w:rsidRDefault="00DC2E19" w:rsidP="00D20847">
            <w:pPr>
              <w:pStyle w:val="TableHeading"/>
              <w:rPr>
                <w:sz w:val="22"/>
                <w:szCs w:val="22"/>
              </w:rPr>
            </w:pPr>
          </w:p>
        </w:tc>
      </w:tr>
      <w:tr w:rsidR="00DC2E19" w:rsidRPr="000F4C2C" w14:paraId="0155EB27" w14:textId="77777777" w:rsidTr="00D20847">
        <w:trPr>
          <w:trHeight w:val="702"/>
          <w:tblHeader/>
        </w:trPr>
        <w:tc>
          <w:tcPr>
            <w:tcW w:w="704" w:type="dxa"/>
            <w:tcBorders>
              <w:top w:val="single" w:sz="12" w:space="0" w:color="auto"/>
              <w:bottom w:val="single" w:sz="12" w:space="0" w:color="auto"/>
            </w:tcBorders>
            <w:shd w:val="clear" w:color="auto" w:fill="auto"/>
          </w:tcPr>
          <w:p w14:paraId="21A9D9FD" w14:textId="77777777" w:rsidR="00DC2E19" w:rsidRPr="000F4C2C" w:rsidRDefault="00DC2E19" w:rsidP="00D20847">
            <w:pPr>
              <w:pStyle w:val="TableHeading"/>
              <w:rPr>
                <w:sz w:val="22"/>
                <w:szCs w:val="22"/>
              </w:rPr>
            </w:pPr>
            <w:r w:rsidRPr="000F4C2C">
              <w:rPr>
                <w:sz w:val="22"/>
                <w:szCs w:val="22"/>
              </w:rPr>
              <w:t>Item</w:t>
            </w:r>
          </w:p>
        </w:tc>
        <w:tc>
          <w:tcPr>
            <w:tcW w:w="3152" w:type="dxa"/>
            <w:tcBorders>
              <w:top w:val="single" w:sz="12" w:space="0" w:color="auto"/>
              <w:bottom w:val="single" w:sz="12" w:space="0" w:color="auto"/>
            </w:tcBorders>
            <w:shd w:val="clear" w:color="auto" w:fill="auto"/>
          </w:tcPr>
          <w:p w14:paraId="0C1C886B" w14:textId="77777777" w:rsidR="00DC2E19" w:rsidRPr="000F4C2C" w:rsidRDefault="00DC2E19" w:rsidP="00D20847">
            <w:pPr>
              <w:pStyle w:val="TableHeading"/>
              <w:rPr>
                <w:sz w:val="22"/>
                <w:szCs w:val="22"/>
              </w:rPr>
            </w:pPr>
            <w:r w:rsidRPr="000F4C2C">
              <w:rPr>
                <w:sz w:val="22"/>
                <w:szCs w:val="22"/>
              </w:rPr>
              <w:t xml:space="preserve">If the number VET courses the organisation is registered to offer on the first day of </w:t>
            </w:r>
            <w:proofErr w:type="gramStart"/>
            <w:r w:rsidRPr="000F4C2C">
              <w:rPr>
                <w:sz w:val="22"/>
                <w:szCs w:val="22"/>
              </w:rPr>
              <w:t>the  financial</w:t>
            </w:r>
            <w:proofErr w:type="gramEnd"/>
            <w:r w:rsidRPr="000F4C2C">
              <w:rPr>
                <w:sz w:val="22"/>
                <w:szCs w:val="22"/>
              </w:rPr>
              <w:t xml:space="preserve"> year is…</w:t>
            </w:r>
          </w:p>
        </w:tc>
        <w:tc>
          <w:tcPr>
            <w:tcW w:w="3119" w:type="dxa"/>
            <w:tcBorders>
              <w:top w:val="single" w:sz="12" w:space="0" w:color="auto"/>
              <w:bottom w:val="single" w:sz="12" w:space="0" w:color="auto"/>
            </w:tcBorders>
            <w:shd w:val="clear" w:color="auto" w:fill="auto"/>
          </w:tcPr>
          <w:p w14:paraId="3DAA2B9E" w14:textId="77777777" w:rsidR="00DC2E19" w:rsidRPr="000F4C2C" w:rsidRDefault="00DC2E19" w:rsidP="00D20847">
            <w:pPr>
              <w:pStyle w:val="TableHeading"/>
              <w:rPr>
                <w:sz w:val="22"/>
                <w:szCs w:val="22"/>
              </w:rPr>
            </w:pPr>
            <w:r w:rsidRPr="000F4C2C">
              <w:rPr>
                <w:sz w:val="22"/>
                <w:szCs w:val="22"/>
              </w:rPr>
              <w:t>and the number of reported students for the previous calendar year is…</w:t>
            </w:r>
          </w:p>
        </w:tc>
        <w:tc>
          <w:tcPr>
            <w:tcW w:w="1951" w:type="dxa"/>
            <w:tcBorders>
              <w:top w:val="single" w:sz="12" w:space="0" w:color="auto"/>
              <w:bottom w:val="single" w:sz="12" w:space="0" w:color="auto"/>
            </w:tcBorders>
          </w:tcPr>
          <w:p w14:paraId="44580F76" w14:textId="77777777" w:rsidR="00DC2E19" w:rsidRPr="000F4C2C" w:rsidRDefault="00DC2E19" w:rsidP="00D20847">
            <w:pPr>
              <w:pStyle w:val="TableHeading"/>
              <w:rPr>
                <w:sz w:val="22"/>
                <w:szCs w:val="22"/>
              </w:rPr>
            </w:pPr>
            <w:r w:rsidRPr="000F4C2C">
              <w:rPr>
                <w:sz w:val="22"/>
                <w:szCs w:val="22"/>
              </w:rPr>
              <w:t>the amount payable for the financial year is…</w:t>
            </w:r>
          </w:p>
        </w:tc>
      </w:tr>
      <w:tr w:rsidR="00DC2E19" w:rsidRPr="000F4C2C" w14:paraId="30A26E85" w14:textId="77777777" w:rsidTr="00D20847">
        <w:trPr>
          <w:trHeight w:val="394"/>
        </w:trPr>
        <w:tc>
          <w:tcPr>
            <w:tcW w:w="704" w:type="dxa"/>
            <w:vMerge w:val="restart"/>
            <w:shd w:val="clear" w:color="auto" w:fill="auto"/>
          </w:tcPr>
          <w:p w14:paraId="582ADD01" w14:textId="77777777" w:rsidR="00DC2E19" w:rsidRPr="000F4C2C" w:rsidRDefault="00DC2E19" w:rsidP="00D20847">
            <w:pPr>
              <w:pStyle w:val="Tabletext"/>
              <w:rPr>
                <w:sz w:val="22"/>
                <w:szCs w:val="22"/>
              </w:rPr>
            </w:pPr>
            <w:r w:rsidRPr="000F4C2C">
              <w:rPr>
                <w:sz w:val="22"/>
                <w:szCs w:val="22"/>
              </w:rPr>
              <w:t>1</w:t>
            </w:r>
          </w:p>
        </w:tc>
        <w:tc>
          <w:tcPr>
            <w:tcW w:w="3152" w:type="dxa"/>
            <w:vMerge w:val="restart"/>
            <w:shd w:val="clear" w:color="auto" w:fill="auto"/>
          </w:tcPr>
          <w:p w14:paraId="7F6D6526" w14:textId="77777777" w:rsidR="00DC2E19" w:rsidRPr="000F4C2C" w:rsidRDefault="00DC2E19" w:rsidP="00D20847">
            <w:pPr>
              <w:pStyle w:val="Tabletext"/>
              <w:rPr>
                <w:sz w:val="22"/>
                <w:szCs w:val="22"/>
              </w:rPr>
            </w:pPr>
            <w:r w:rsidRPr="000F4C2C">
              <w:rPr>
                <w:sz w:val="22"/>
                <w:szCs w:val="22"/>
              </w:rPr>
              <w:t>0 to 4</w:t>
            </w:r>
          </w:p>
        </w:tc>
        <w:tc>
          <w:tcPr>
            <w:tcW w:w="3119" w:type="dxa"/>
            <w:tcBorders>
              <w:bottom w:val="single" w:sz="2" w:space="0" w:color="auto"/>
            </w:tcBorders>
            <w:shd w:val="clear" w:color="auto" w:fill="auto"/>
          </w:tcPr>
          <w:p w14:paraId="22CE5CCA" w14:textId="77777777" w:rsidR="00DC2E19" w:rsidRPr="000F4C2C" w:rsidRDefault="00DC2E19" w:rsidP="00D20847">
            <w:pPr>
              <w:pStyle w:val="Tabletext"/>
              <w:rPr>
                <w:sz w:val="22"/>
                <w:szCs w:val="22"/>
              </w:rPr>
            </w:pPr>
            <w:r w:rsidRPr="000F4C2C">
              <w:rPr>
                <w:sz w:val="22"/>
                <w:szCs w:val="22"/>
              </w:rPr>
              <w:t>0 to 99</w:t>
            </w:r>
          </w:p>
        </w:tc>
        <w:tc>
          <w:tcPr>
            <w:tcW w:w="1951" w:type="dxa"/>
            <w:tcBorders>
              <w:bottom w:val="single" w:sz="2" w:space="0" w:color="auto"/>
            </w:tcBorders>
          </w:tcPr>
          <w:p w14:paraId="61CA8021" w14:textId="77777777" w:rsidR="00DC2E19" w:rsidRPr="000F4C2C" w:rsidRDefault="00DC2E19" w:rsidP="00D20847">
            <w:pPr>
              <w:pStyle w:val="Tabletext"/>
              <w:rPr>
                <w:sz w:val="22"/>
                <w:szCs w:val="22"/>
              </w:rPr>
            </w:pPr>
            <w:r w:rsidRPr="000F4C2C">
              <w:rPr>
                <w:sz w:val="22"/>
                <w:szCs w:val="22"/>
              </w:rPr>
              <w:t>$1,500</w:t>
            </w:r>
          </w:p>
        </w:tc>
      </w:tr>
      <w:tr w:rsidR="00DC2E19" w:rsidRPr="000F4C2C" w14:paraId="6259B9E5" w14:textId="77777777" w:rsidTr="00D20847">
        <w:trPr>
          <w:trHeight w:val="394"/>
        </w:trPr>
        <w:tc>
          <w:tcPr>
            <w:tcW w:w="704" w:type="dxa"/>
            <w:vMerge/>
            <w:shd w:val="clear" w:color="auto" w:fill="auto"/>
          </w:tcPr>
          <w:p w14:paraId="6276B9CF" w14:textId="77777777" w:rsidR="00DC2E19" w:rsidRPr="000F4C2C" w:rsidRDefault="00DC2E19" w:rsidP="00D20847">
            <w:pPr>
              <w:pStyle w:val="Tabletext"/>
              <w:rPr>
                <w:sz w:val="22"/>
                <w:szCs w:val="22"/>
              </w:rPr>
            </w:pPr>
          </w:p>
        </w:tc>
        <w:tc>
          <w:tcPr>
            <w:tcW w:w="3152" w:type="dxa"/>
            <w:vMerge/>
            <w:shd w:val="clear" w:color="auto" w:fill="auto"/>
          </w:tcPr>
          <w:p w14:paraId="7FC31DB3"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7B57649E" w14:textId="77777777" w:rsidR="00DC2E19" w:rsidRPr="000F4C2C" w:rsidRDefault="00DC2E19" w:rsidP="00D20847">
            <w:pPr>
              <w:pStyle w:val="Tabletext"/>
              <w:rPr>
                <w:sz w:val="22"/>
                <w:szCs w:val="22"/>
              </w:rPr>
            </w:pPr>
            <w:r w:rsidRPr="000F4C2C">
              <w:rPr>
                <w:sz w:val="22"/>
                <w:szCs w:val="22"/>
              </w:rPr>
              <w:t>100 to 249</w:t>
            </w:r>
          </w:p>
        </w:tc>
        <w:tc>
          <w:tcPr>
            <w:tcW w:w="1951" w:type="dxa"/>
            <w:tcBorders>
              <w:bottom w:val="single" w:sz="2" w:space="0" w:color="auto"/>
            </w:tcBorders>
          </w:tcPr>
          <w:p w14:paraId="62BC06B2" w14:textId="77777777" w:rsidR="00DC2E19" w:rsidRPr="000F4C2C" w:rsidRDefault="00DC2E19" w:rsidP="00D20847">
            <w:pPr>
              <w:pStyle w:val="Tabletext"/>
              <w:rPr>
                <w:sz w:val="22"/>
                <w:szCs w:val="22"/>
              </w:rPr>
            </w:pPr>
            <w:r w:rsidRPr="000F4C2C">
              <w:rPr>
                <w:sz w:val="22"/>
                <w:szCs w:val="22"/>
              </w:rPr>
              <w:t>$2,300</w:t>
            </w:r>
          </w:p>
        </w:tc>
      </w:tr>
      <w:tr w:rsidR="00DC2E19" w:rsidRPr="000F4C2C" w14:paraId="18679DB2" w14:textId="77777777" w:rsidTr="00D20847">
        <w:trPr>
          <w:trHeight w:val="394"/>
        </w:trPr>
        <w:tc>
          <w:tcPr>
            <w:tcW w:w="704" w:type="dxa"/>
            <w:vMerge/>
            <w:shd w:val="clear" w:color="auto" w:fill="auto"/>
          </w:tcPr>
          <w:p w14:paraId="273D813A" w14:textId="77777777" w:rsidR="00DC2E19" w:rsidRPr="000F4C2C" w:rsidRDefault="00DC2E19" w:rsidP="00D20847">
            <w:pPr>
              <w:pStyle w:val="Tabletext"/>
              <w:rPr>
                <w:sz w:val="22"/>
                <w:szCs w:val="22"/>
              </w:rPr>
            </w:pPr>
          </w:p>
        </w:tc>
        <w:tc>
          <w:tcPr>
            <w:tcW w:w="3152" w:type="dxa"/>
            <w:vMerge/>
            <w:shd w:val="clear" w:color="auto" w:fill="auto"/>
          </w:tcPr>
          <w:p w14:paraId="7D934B49"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16BC18B9" w14:textId="77777777" w:rsidR="00DC2E19" w:rsidRPr="000F4C2C" w:rsidRDefault="00DC2E19" w:rsidP="00D20847">
            <w:pPr>
              <w:pStyle w:val="Tabletext"/>
              <w:rPr>
                <w:sz w:val="22"/>
                <w:szCs w:val="22"/>
              </w:rPr>
            </w:pPr>
            <w:r w:rsidRPr="000F4C2C">
              <w:rPr>
                <w:sz w:val="22"/>
                <w:szCs w:val="22"/>
              </w:rPr>
              <w:t>250 to 499</w:t>
            </w:r>
          </w:p>
        </w:tc>
        <w:tc>
          <w:tcPr>
            <w:tcW w:w="1951" w:type="dxa"/>
            <w:tcBorders>
              <w:bottom w:val="single" w:sz="2" w:space="0" w:color="auto"/>
            </w:tcBorders>
          </w:tcPr>
          <w:p w14:paraId="490D2595" w14:textId="77777777" w:rsidR="00DC2E19" w:rsidRPr="000F4C2C" w:rsidRDefault="00DC2E19" w:rsidP="00D20847">
            <w:pPr>
              <w:pStyle w:val="Tabletext"/>
              <w:rPr>
                <w:sz w:val="22"/>
                <w:szCs w:val="22"/>
              </w:rPr>
            </w:pPr>
            <w:r w:rsidRPr="000F4C2C">
              <w:rPr>
                <w:sz w:val="22"/>
                <w:szCs w:val="22"/>
              </w:rPr>
              <w:t>$3,400</w:t>
            </w:r>
          </w:p>
        </w:tc>
      </w:tr>
      <w:tr w:rsidR="00DC2E19" w:rsidRPr="000F4C2C" w14:paraId="43CDCF30" w14:textId="77777777" w:rsidTr="00D20847">
        <w:trPr>
          <w:trHeight w:val="394"/>
        </w:trPr>
        <w:tc>
          <w:tcPr>
            <w:tcW w:w="704" w:type="dxa"/>
            <w:vMerge/>
            <w:shd w:val="clear" w:color="auto" w:fill="auto"/>
          </w:tcPr>
          <w:p w14:paraId="5A1983F6" w14:textId="77777777" w:rsidR="00DC2E19" w:rsidRPr="000F4C2C" w:rsidRDefault="00DC2E19" w:rsidP="00D20847">
            <w:pPr>
              <w:pStyle w:val="Tabletext"/>
              <w:rPr>
                <w:sz w:val="22"/>
                <w:szCs w:val="22"/>
              </w:rPr>
            </w:pPr>
          </w:p>
        </w:tc>
        <w:tc>
          <w:tcPr>
            <w:tcW w:w="3152" w:type="dxa"/>
            <w:vMerge/>
            <w:shd w:val="clear" w:color="auto" w:fill="auto"/>
          </w:tcPr>
          <w:p w14:paraId="1FE86D74"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32BBC2FF" w14:textId="77777777" w:rsidR="00DC2E19" w:rsidRPr="000F4C2C" w:rsidRDefault="00DC2E19" w:rsidP="00D20847">
            <w:pPr>
              <w:pStyle w:val="Tabletext"/>
              <w:rPr>
                <w:sz w:val="22"/>
                <w:szCs w:val="22"/>
              </w:rPr>
            </w:pPr>
            <w:r w:rsidRPr="000F4C2C">
              <w:rPr>
                <w:sz w:val="22"/>
                <w:szCs w:val="22"/>
              </w:rPr>
              <w:t>500 to 900</w:t>
            </w:r>
          </w:p>
        </w:tc>
        <w:tc>
          <w:tcPr>
            <w:tcW w:w="1951" w:type="dxa"/>
            <w:tcBorders>
              <w:bottom w:val="single" w:sz="2" w:space="0" w:color="auto"/>
            </w:tcBorders>
          </w:tcPr>
          <w:p w14:paraId="683491E4" w14:textId="77777777" w:rsidR="00DC2E19" w:rsidRPr="000F4C2C" w:rsidRDefault="00DC2E19" w:rsidP="00D20847">
            <w:pPr>
              <w:pStyle w:val="Tabletext"/>
              <w:rPr>
                <w:sz w:val="22"/>
                <w:szCs w:val="22"/>
              </w:rPr>
            </w:pPr>
            <w:r w:rsidRPr="000F4C2C">
              <w:rPr>
                <w:sz w:val="22"/>
                <w:szCs w:val="22"/>
              </w:rPr>
              <w:t>$5,100</w:t>
            </w:r>
          </w:p>
        </w:tc>
      </w:tr>
      <w:tr w:rsidR="00DC2E19" w:rsidRPr="000F4C2C" w14:paraId="4BDFFD73" w14:textId="77777777" w:rsidTr="00D20847">
        <w:trPr>
          <w:trHeight w:val="394"/>
        </w:trPr>
        <w:tc>
          <w:tcPr>
            <w:tcW w:w="704" w:type="dxa"/>
            <w:vMerge/>
            <w:tcBorders>
              <w:bottom w:val="single" w:sz="2" w:space="0" w:color="auto"/>
            </w:tcBorders>
            <w:shd w:val="clear" w:color="auto" w:fill="auto"/>
          </w:tcPr>
          <w:p w14:paraId="49924BD7" w14:textId="77777777" w:rsidR="00DC2E19" w:rsidRPr="000F4C2C" w:rsidRDefault="00DC2E19" w:rsidP="00D20847">
            <w:pPr>
              <w:pStyle w:val="Tabletext"/>
              <w:rPr>
                <w:sz w:val="22"/>
                <w:szCs w:val="22"/>
              </w:rPr>
            </w:pPr>
          </w:p>
        </w:tc>
        <w:tc>
          <w:tcPr>
            <w:tcW w:w="3152" w:type="dxa"/>
            <w:vMerge/>
            <w:tcBorders>
              <w:bottom w:val="single" w:sz="2" w:space="0" w:color="auto"/>
            </w:tcBorders>
            <w:shd w:val="clear" w:color="auto" w:fill="auto"/>
          </w:tcPr>
          <w:p w14:paraId="0C74440F"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6363BBD4" w14:textId="77777777" w:rsidR="00DC2E19" w:rsidRPr="000F4C2C" w:rsidRDefault="00DC2E19" w:rsidP="00D20847">
            <w:pPr>
              <w:pStyle w:val="Tabletext"/>
              <w:rPr>
                <w:sz w:val="22"/>
                <w:szCs w:val="22"/>
              </w:rPr>
            </w:pPr>
            <w:r w:rsidRPr="000F4C2C">
              <w:rPr>
                <w:sz w:val="22"/>
                <w:szCs w:val="22"/>
              </w:rPr>
              <w:t>1000 or more</w:t>
            </w:r>
          </w:p>
        </w:tc>
        <w:tc>
          <w:tcPr>
            <w:tcW w:w="1951" w:type="dxa"/>
            <w:tcBorders>
              <w:bottom w:val="single" w:sz="2" w:space="0" w:color="auto"/>
            </w:tcBorders>
          </w:tcPr>
          <w:p w14:paraId="04299FB1" w14:textId="77777777" w:rsidR="00DC2E19" w:rsidRPr="000F4C2C" w:rsidRDefault="00DC2E19" w:rsidP="00D20847">
            <w:pPr>
              <w:pStyle w:val="Tabletext"/>
              <w:rPr>
                <w:sz w:val="22"/>
                <w:szCs w:val="22"/>
              </w:rPr>
            </w:pPr>
            <w:r w:rsidRPr="000F4C2C">
              <w:rPr>
                <w:sz w:val="22"/>
                <w:szCs w:val="22"/>
              </w:rPr>
              <w:t>$7,700</w:t>
            </w:r>
          </w:p>
        </w:tc>
      </w:tr>
      <w:tr w:rsidR="00DC2E19" w:rsidRPr="000F4C2C" w14:paraId="57C24B2C" w14:textId="77777777" w:rsidTr="00D20847">
        <w:trPr>
          <w:trHeight w:val="394"/>
        </w:trPr>
        <w:tc>
          <w:tcPr>
            <w:tcW w:w="704" w:type="dxa"/>
            <w:vMerge w:val="restart"/>
            <w:shd w:val="clear" w:color="auto" w:fill="auto"/>
          </w:tcPr>
          <w:p w14:paraId="6B0B0ECC" w14:textId="77777777" w:rsidR="00DC2E19" w:rsidRPr="000F4C2C" w:rsidRDefault="00DC2E19" w:rsidP="00D20847">
            <w:pPr>
              <w:pStyle w:val="Tabletext"/>
              <w:rPr>
                <w:sz w:val="22"/>
                <w:szCs w:val="22"/>
              </w:rPr>
            </w:pPr>
            <w:r w:rsidRPr="000F4C2C">
              <w:rPr>
                <w:sz w:val="22"/>
                <w:szCs w:val="22"/>
              </w:rPr>
              <w:t>2</w:t>
            </w:r>
          </w:p>
        </w:tc>
        <w:tc>
          <w:tcPr>
            <w:tcW w:w="3152" w:type="dxa"/>
            <w:vMerge w:val="restart"/>
            <w:shd w:val="clear" w:color="auto" w:fill="auto"/>
          </w:tcPr>
          <w:p w14:paraId="2243A923" w14:textId="77777777" w:rsidR="00DC2E19" w:rsidRPr="000F4C2C" w:rsidRDefault="00DC2E19" w:rsidP="00D20847">
            <w:pPr>
              <w:pStyle w:val="Tabletext"/>
              <w:rPr>
                <w:sz w:val="22"/>
                <w:szCs w:val="22"/>
              </w:rPr>
            </w:pPr>
            <w:r w:rsidRPr="000F4C2C">
              <w:rPr>
                <w:sz w:val="22"/>
                <w:szCs w:val="22"/>
              </w:rPr>
              <w:t>5 to 10</w:t>
            </w:r>
          </w:p>
        </w:tc>
        <w:tc>
          <w:tcPr>
            <w:tcW w:w="3119" w:type="dxa"/>
            <w:tcBorders>
              <w:bottom w:val="single" w:sz="2" w:space="0" w:color="auto"/>
            </w:tcBorders>
            <w:shd w:val="clear" w:color="auto" w:fill="auto"/>
          </w:tcPr>
          <w:p w14:paraId="18BC7577" w14:textId="77777777" w:rsidR="00DC2E19" w:rsidRPr="000F4C2C" w:rsidRDefault="00DC2E19" w:rsidP="00D20847">
            <w:pPr>
              <w:pStyle w:val="Tabletext"/>
              <w:rPr>
                <w:sz w:val="22"/>
                <w:szCs w:val="22"/>
              </w:rPr>
            </w:pPr>
            <w:r w:rsidRPr="000F4C2C">
              <w:rPr>
                <w:sz w:val="22"/>
                <w:szCs w:val="22"/>
              </w:rPr>
              <w:t>0 to 99</w:t>
            </w:r>
          </w:p>
        </w:tc>
        <w:tc>
          <w:tcPr>
            <w:tcW w:w="1951" w:type="dxa"/>
            <w:tcBorders>
              <w:bottom w:val="single" w:sz="2" w:space="0" w:color="auto"/>
            </w:tcBorders>
          </w:tcPr>
          <w:p w14:paraId="10F3103A" w14:textId="77777777" w:rsidR="00DC2E19" w:rsidRPr="000F4C2C" w:rsidRDefault="00DC2E19" w:rsidP="00D20847">
            <w:pPr>
              <w:pStyle w:val="Tabletext"/>
              <w:rPr>
                <w:sz w:val="22"/>
                <w:szCs w:val="22"/>
              </w:rPr>
            </w:pPr>
            <w:r w:rsidRPr="000F4C2C">
              <w:rPr>
                <w:sz w:val="22"/>
                <w:szCs w:val="22"/>
              </w:rPr>
              <w:t>$4,400</w:t>
            </w:r>
          </w:p>
        </w:tc>
      </w:tr>
      <w:tr w:rsidR="00DC2E19" w:rsidRPr="000F4C2C" w14:paraId="6688585B" w14:textId="77777777" w:rsidTr="00D20847">
        <w:trPr>
          <w:trHeight w:val="394"/>
        </w:trPr>
        <w:tc>
          <w:tcPr>
            <w:tcW w:w="704" w:type="dxa"/>
            <w:vMerge/>
            <w:shd w:val="clear" w:color="auto" w:fill="auto"/>
          </w:tcPr>
          <w:p w14:paraId="53CAC979" w14:textId="77777777" w:rsidR="00DC2E19" w:rsidRPr="000F4C2C" w:rsidRDefault="00DC2E19" w:rsidP="00D20847">
            <w:pPr>
              <w:pStyle w:val="Tabletext"/>
              <w:rPr>
                <w:sz w:val="22"/>
                <w:szCs w:val="22"/>
              </w:rPr>
            </w:pPr>
          </w:p>
        </w:tc>
        <w:tc>
          <w:tcPr>
            <w:tcW w:w="3152" w:type="dxa"/>
            <w:vMerge/>
            <w:shd w:val="clear" w:color="auto" w:fill="auto"/>
          </w:tcPr>
          <w:p w14:paraId="25A015C7"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09703F93" w14:textId="77777777" w:rsidR="00DC2E19" w:rsidRPr="000F4C2C" w:rsidRDefault="00DC2E19" w:rsidP="00D20847">
            <w:pPr>
              <w:pStyle w:val="Tabletext"/>
              <w:rPr>
                <w:sz w:val="22"/>
                <w:szCs w:val="22"/>
              </w:rPr>
            </w:pPr>
            <w:r w:rsidRPr="000F4C2C">
              <w:rPr>
                <w:sz w:val="22"/>
                <w:szCs w:val="22"/>
              </w:rPr>
              <w:t>100 to 249</w:t>
            </w:r>
          </w:p>
        </w:tc>
        <w:tc>
          <w:tcPr>
            <w:tcW w:w="1951" w:type="dxa"/>
            <w:tcBorders>
              <w:bottom w:val="single" w:sz="2" w:space="0" w:color="auto"/>
            </w:tcBorders>
          </w:tcPr>
          <w:p w14:paraId="32439A6F" w14:textId="77777777" w:rsidR="00DC2E19" w:rsidRPr="000F4C2C" w:rsidRDefault="00DC2E19" w:rsidP="00D20847">
            <w:pPr>
              <w:pStyle w:val="Tabletext"/>
              <w:rPr>
                <w:sz w:val="22"/>
                <w:szCs w:val="22"/>
              </w:rPr>
            </w:pPr>
            <w:r w:rsidRPr="000F4C2C">
              <w:rPr>
                <w:sz w:val="22"/>
                <w:szCs w:val="22"/>
              </w:rPr>
              <w:t>$5,300</w:t>
            </w:r>
          </w:p>
        </w:tc>
      </w:tr>
      <w:tr w:rsidR="00DC2E19" w:rsidRPr="000F4C2C" w14:paraId="38DEBC1D" w14:textId="77777777" w:rsidTr="00D20847">
        <w:trPr>
          <w:trHeight w:val="394"/>
        </w:trPr>
        <w:tc>
          <w:tcPr>
            <w:tcW w:w="704" w:type="dxa"/>
            <w:vMerge/>
            <w:shd w:val="clear" w:color="auto" w:fill="auto"/>
          </w:tcPr>
          <w:p w14:paraId="17B29891" w14:textId="77777777" w:rsidR="00DC2E19" w:rsidRPr="000F4C2C" w:rsidRDefault="00DC2E19" w:rsidP="00D20847">
            <w:pPr>
              <w:pStyle w:val="Tabletext"/>
              <w:rPr>
                <w:sz w:val="22"/>
                <w:szCs w:val="22"/>
              </w:rPr>
            </w:pPr>
          </w:p>
        </w:tc>
        <w:tc>
          <w:tcPr>
            <w:tcW w:w="3152" w:type="dxa"/>
            <w:vMerge/>
            <w:shd w:val="clear" w:color="auto" w:fill="auto"/>
          </w:tcPr>
          <w:p w14:paraId="3993AFAB"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71C7076A" w14:textId="77777777" w:rsidR="00DC2E19" w:rsidRPr="000F4C2C" w:rsidRDefault="00DC2E19" w:rsidP="00D20847">
            <w:pPr>
              <w:pStyle w:val="Tabletext"/>
              <w:rPr>
                <w:sz w:val="22"/>
                <w:szCs w:val="22"/>
              </w:rPr>
            </w:pPr>
            <w:r w:rsidRPr="000F4C2C">
              <w:rPr>
                <w:sz w:val="22"/>
                <w:szCs w:val="22"/>
              </w:rPr>
              <w:t>250 to 499</w:t>
            </w:r>
          </w:p>
        </w:tc>
        <w:tc>
          <w:tcPr>
            <w:tcW w:w="1951" w:type="dxa"/>
            <w:tcBorders>
              <w:bottom w:val="single" w:sz="2" w:space="0" w:color="auto"/>
            </w:tcBorders>
          </w:tcPr>
          <w:p w14:paraId="7B74549B" w14:textId="77777777" w:rsidR="00DC2E19" w:rsidRPr="000F4C2C" w:rsidRDefault="00DC2E19" w:rsidP="00D20847">
            <w:pPr>
              <w:pStyle w:val="Tabletext"/>
              <w:rPr>
                <w:sz w:val="22"/>
                <w:szCs w:val="22"/>
              </w:rPr>
            </w:pPr>
            <w:r w:rsidRPr="000F4C2C">
              <w:rPr>
                <w:sz w:val="22"/>
                <w:szCs w:val="22"/>
              </w:rPr>
              <w:t>$6,300</w:t>
            </w:r>
          </w:p>
        </w:tc>
      </w:tr>
      <w:tr w:rsidR="00DC2E19" w:rsidRPr="000F4C2C" w14:paraId="515D02A5" w14:textId="77777777" w:rsidTr="00D20847">
        <w:trPr>
          <w:trHeight w:val="394"/>
        </w:trPr>
        <w:tc>
          <w:tcPr>
            <w:tcW w:w="704" w:type="dxa"/>
            <w:vMerge/>
            <w:shd w:val="clear" w:color="auto" w:fill="auto"/>
          </w:tcPr>
          <w:p w14:paraId="53E37D79" w14:textId="77777777" w:rsidR="00DC2E19" w:rsidRPr="000F4C2C" w:rsidRDefault="00DC2E19" w:rsidP="00D20847">
            <w:pPr>
              <w:pStyle w:val="Tabletext"/>
              <w:rPr>
                <w:sz w:val="22"/>
                <w:szCs w:val="22"/>
              </w:rPr>
            </w:pPr>
          </w:p>
        </w:tc>
        <w:tc>
          <w:tcPr>
            <w:tcW w:w="3152" w:type="dxa"/>
            <w:vMerge/>
            <w:shd w:val="clear" w:color="auto" w:fill="auto"/>
          </w:tcPr>
          <w:p w14:paraId="59517C19"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2612AF90" w14:textId="77777777" w:rsidR="00DC2E19" w:rsidRPr="000F4C2C" w:rsidRDefault="00DC2E19" w:rsidP="00D20847">
            <w:pPr>
              <w:pStyle w:val="Tabletext"/>
              <w:rPr>
                <w:sz w:val="22"/>
                <w:szCs w:val="22"/>
              </w:rPr>
            </w:pPr>
            <w:r w:rsidRPr="000F4C2C">
              <w:rPr>
                <w:sz w:val="22"/>
                <w:szCs w:val="22"/>
              </w:rPr>
              <w:t>500 to 900</w:t>
            </w:r>
          </w:p>
        </w:tc>
        <w:tc>
          <w:tcPr>
            <w:tcW w:w="1951" w:type="dxa"/>
            <w:tcBorders>
              <w:bottom w:val="single" w:sz="2" w:space="0" w:color="auto"/>
            </w:tcBorders>
          </w:tcPr>
          <w:p w14:paraId="35E5F10B" w14:textId="77777777" w:rsidR="00DC2E19" w:rsidRPr="000F4C2C" w:rsidRDefault="00DC2E19" w:rsidP="00D20847">
            <w:pPr>
              <w:pStyle w:val="Tabletext"/>
              <w:rPr>
                <w:sz w:val="22"/>
                <w:szCs w:val="22"/>
              </w:rPr>
            </w:pPr>
            <w:r w:rsidRPr="000F4C2C">
              <w:rPr>
                <w:sz w:val="22"/>
                <w:szCs w:val="22"/>
              </w:rPr>
              <w:t>$7,500</w:t>
            </w:r>
          </w:p>
        </w:tc>
      </w:tr>
      <w:tr w:rsidR="00DC2E19" w:rsidRPr="000F4C2C" w14:paraId="0D54DDBD" w14:textId="77777777" w:rsidTr="00D20847">
        <w:trPr>
          <w:trHeight w:val="394"/>
        </w:trPr>
        <w:tc>
          <w:tcPr>
            <w:tcW w:w="704" w:type="dxa"/>
            <w:vMerge/>
            <w:tcBorders>
              <w:bottom w:val="single" w:sz="2" w:space="0" w:color="auto"/>
            </w:tcBorders>
            <w:shd w:val="clear" w:color="auto" w:fill="auto"/>
          </w:tcPr>
          <w:p w14:paraId="783B5100" w14:textId="77777777" w:rsidR="00DC2E19" w:rsidRPr="000F4C2C" w:rsidRDefault="00DC2E19" w:rsidP="00D20847">
            <w:pPr>
              <w:pStyle w:val="Tabletext"/>
              <w:rPr>
                <w:sz w:val="22"/>
                <w:szCs w:val="22"/>
              </w:rPr>
            </w:pPr>
          </w:p>
        </w:tc>
        <w:tc>
          <w:tcPr>
            <w:tcW w:w="3152" w:type="dxa"/>
            <w:vMerge/>
            <w:tcBorders>
              <w:bottom w:val="single" w:sz="2" w:space="0" w:color="auto"/>
            </w:tcBorders>
            <w:shd w:val="clear" w:color="auto" w:fill="auto"/>
          </w:tcPr>
          <w:p w14:paraId="169F5DC5"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7ADD1046" w14:textId="77777777" w:rsidR="00DC2E19" w:rsidRPr="000F4C2C" w:rsidRDefault="00DC2E19" w:rsidP="00D20847">
            <w:pPr>
              <w:pStyle w:val="Tabletext"/>
              <w:rPr>
                <w:sz w:val="22"/>
                <w:szCs w:val="22"/>
              </w:rPr>
            </w:pPr>
            <w:r w:rsidRPr="000F4C2C">
              <w:rPr>
                <w:sz w:val="22"/>
                <w:szCs w:val="22"/>
              </w:rPr>
              <w:t>1000 or more</w:t>
            </w:r>
          </w:p>
        </w:tc>
        <w:tc>
          <w:tcPr>
            <w:tcW w:w="1951" w:type="dxa"/>
            <w:tcBorders>
              <w:bottom w:val="single" w:sz="2" w:space="0" w:color="auto"/>
            </w:tcBorders>
          </w:tcPr>
          <w:p w14:paraId="0DC65919" w14:textId="77777777" w:rsidR="00DC2E19" w:rsidRPr="000F4C2C" w:rsidRDefault="00DC2E19" w:rsidP="00D20847">
            <w:pPr>
              <w:pStyle w:val="Tabletext"/>
              <w:rPr>
                <w:sz w:val="22"/>
                <w:szCs w:val="22"/>
              </w:rPr>
            </w:pPr>
            <w:r w:rsidRPr="000F4C2C">
              <w:rPr>
                <w:sz w:val="22"/>
                <w:szCs w:val="22"/>
              </w:rPr>
              <w:t>$9,000</w:t>
            </w:r>
          </w:p>
        </w:tc>
      </w:tr>
      <w:tr w:rsidR="00DC2E19" w:rsidRPr="000F4C2C" w14:paraId="1FD514B3" w14:textId="77777777" w:rsidTr="00D20847">
        <w:trPr>
          <w:trHeight w:val="394"/>
        </w:trPr>
        <w:tc>
          <w:tcPr>
            <w:tcW w:w="704" w:type="dxa"/>
            <w:vMerge w:val="restart"/>
            <w:shd w:val="clear" w:color="auto" w:fill="auto"/>
          </w:tcPr>
          <w:p w14:paraId="0BCB6458" w14:textId="77777777" w:rsidR="00DC2E19" w:rsidRPr="000F4C2C" w:rsidRDefault="00DC2E19" w:rsidP="00D20847">
            <w:pPr>
              <w:pStyle w:val="Tabletext"/>
              <w:rPr>
                <w:sz w:val="22"/>
                <w:szCs w:val="22"/>
              </w:rPr>
            </w:pPr>
            <w:r w:rsidRPr="000F4C2C">
              <w:rPr>
                <w:sz w:val="22"/>
                <w:szCs w:val="22"/>
              </w:rPr>
              <w:t>3</w:t>
            </w:r>
          </w:p>
        </w:tc>
        <w:tc>
          <w:tcPr>
            <w:tcW w:w="3152" w:type="dxa"/>
            <w:vMerge w:val="restart"/>
            <w:shd w:val="clear" w:color="auto" w:fill="auto"/>
          </w:tcPr>
          <w:p w14:paraId="14D53ECA" w14:textId="77777777" w:rsidR="00DC2E19" w:rsidRPr="000F4C2C" w:rsidRDefault="00DC2E19" w:rsidP="00D20847">
            <w:pPr>
              <w:pStyle w:val="Tabletext"/>
              <w:rPr>
                <w:sz w:val="22"/>
                <w:szCs w:val="22"/>
              </w:rPr>
            </w:pPr>
            <w:r w:rsidRPr="000F4C2C">
              <w:rPr>
                <w:sz w:val="22"/>
                <w:szCs w:val="22"/>
              </w:rPr>
              <w:t>11 to 25</w:t>
            </w:r>
          </w:p>
        </w:tc>
        <w:tc>
          <w:tcPr>
            <w:tcW w:w="3119" w:type="dxa"/>
            <w:tcBorders>
              <w:bottom w:val="single" w:sz="2" w:space="0" w:color="auto"/>
            </w:tcBorders>
            <w:shd w:val="clear" w:color="auto" w:fill="auto"/>
          </w:tcPr>
          <w:p w14:paraId="53D69569" w14:textId="77777777" w:rsidR="00DC2E19" w:rsidRPr="000F4C2C" w:rsidRDefault="00DC2E19" w:rsidP="00D20847">
            <w:pPr>
              <w:pStyle w:val="Tabletext"/>
              <w:rPr>
                <w:sz w:val="22"/>
                <w:szCs w:val="22"/>
              </w:rPr>
            </w:pPr>
            <w:r w:rsidRPr="000F4C2C">
              <w:rPr>
                <w:sz w:val="22"/>
                <w:szCs w:val="22"/>
              </w:rPr>
              <w:t>0 to 99</w:t>
            </w:r>
          </w:p>
        </w:tc>
        <w:tc>
          <w:tcPr>
            <w:tcW w:w="1951" w:type="dxa"/>
            <w:tcBorders>
              <w:bottom w:val="single" w:sz="2" w:space="0" w:color="auto"/>
            </w:tcBorders>
          </w:tcPr>
          <w:p w14:paraId="6A2EC8AA" w14:textId="77777777" w:rsidR="00DC2E19" w:rsidRPr="000F4C2C" w:rsidRDefault="00DC2E19" w:rsidP="00D20847">
            <w:pPr>
              <w:pStyle w:val="Tabletext"/>
              <w:rPr>
                <w:sz w:val="22"/>
                <w:szCs w:val="22"/>
              </w:rPr>
            </w:pPr>
            <w:r w:rsidRPr="000F4C2C">
              <w:rPr>
                <w:sz w:val="22"/>
                <w:szCs w:val="22"/>
              </w:rPr>
              <w:t>$7,900</w:t>
            </w:r>
          </w:p>
        </w:tc>
      </w:tr>
      <w:tr w:rsidR="00DC2E19" w:rsidRPr="000F4C2C" w14:paraId="571CCB4E" w14:textId="77777777" w:rsidTr="00D20847">
        <w:trPr>
          <w:trHeight w:val="394"/>
        </w:trPr>
        <w:tc>
          <w:tcPr>
            <w:tcW w:w="704" w:type="dxa"/>
            <w:vMerge/>
            <w:shd w:val="clear" w:color="auto" w:fill="auto"/>
          </w:tcPr>
          <w:p w14:paraId="4C87E2EE" w14:textId="77777777" w:rsidR="00DC2E19" w:rsidRPr="000F4C2C" w:rsidRDefault="00DC2E19" w:rsidP="00D20847">
            <w:pPr>
              <w:pStyle w:val="Tabletext"/>
              <w:rPr>
                <w:sz w:val="22"/>
                <w:szCs w:val="22"/>
              </w:rPr>
            </w:pPr>
          </w:p>
        </w:tc>
        <w:tc>
          <w:tcPr>
            <w:tcW w:w="3152" w:type="dxa"/>
            <w:vMerge/>
            <w:shd w:val="clear" w:color="auto" w:fill="auto"/>
          </w:tcPr>
          <w:p w14:paraId="14199E61"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35DDA184" w14:textId="77777777" w:rsidR="00DC2E19" w:rsidRPr="000F4C2C" w:rsidRDefault="00DC2E19" w:rsidP="00D20847">
            <w:pPr>
              <w:pStyle w:val="Tabletext"/>
              <w:rPr>
                <w:sz w:val="22"/>
                <w:szCs w:val="22"/>
              </w:rPr>
            </w:pPr>
            <w:r w:rsidRPr="000F4C2C">
              <w:rPr>
                <w:sz w:val="22"/>
                <w:szCs w:val="22"/>
              </w:rPr>
              <w:t>100 to 249</w:t>
            </w:r>
          </w:p>
        </w:tc>
        <w:tc>
          <w:tcPr>
            <w:tcW w:w="1951" w:type="dxa"/>
            <w:tcBorders>
              <w:bottom w:val="single" w:sz="2" w:space="0" w:color="auto"/>
            </w:tcBorders>
          </w:tcPr>
          <w:p w14:paraId="128A1A3A" w14:textId="77777777" w:rsidR="00DC2E19" w:rsidRPr="000F4C2C" w:rsidRDefault="00DC2E19" w:rsidP="00D20847">
            <w:pPr>
              <w:pStyle w:val="Tabletext"/>
              <w:rPr>
                <w:sz w:val="22"/>
                <w:szCs w:val="22"/>
              </w:rPr>
            </w:pPr>
            <w:r w:rsidRPr="000F4C2C">
              <w:rPr>
                <w:sz w:val="22"/>
                <w:szCs w:val="22"/>
              </w:rPr>
              <w:t>$8,700</w:t>
            </w:r>
          </w:p>
        </w:tc>
      </w:tr>
      <w:tr w:rsidR="00DC2E19" w:rsidRPr="000F4C2C" w14:paraId="23DA30A6" w14:textId="77777777" w:rsidTr="00D20847">
        <w:trPr>
          <w:trHeight w:val="394"/>
        </w:trPr>
        <w:tc>
          <w:tcPr>
            <w:tcW w:w="704" w:type="dxa"/>
            <w:vMerge/>
            <w:shd w:val="clear" w:color="auto" w:fill="auto"/>
          </w:tcPr>
          <w:p w14:paraId="06B05DEF" w14:textId="77777777" w:rsidR="00DC2E19" w:rsidRPr="000F4C2C" w:rsidRDefault="00DC2E19" w:rsidP="00D20847">
            <w:pPr>
              <w:pStyle w:val="Tabletext"/>
              <w:rPr>
                <w:sz w:val="22"/>
                <w:szCs w:val="22"/>
              </w:rPr>
            </w:pPr>
          </w:p>
        </w:tc>
        <w:tc>
          <w:tcPr>
            <w:tcW w:w="3152" w:type="dxa"/>
            <w:vMerge/>
            <w:shd w:val="clear" w:color="auto" w:fill="auto"/>
          </w:tcPr>
          <w:p w14:paraId="37105132"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0807CDEC" w14:textId="77777777" w:rsidR="00DC2E19" w:rsidRPr="000F4C2C" w:rsidRDefault="00DC2E19" w:rsidP="00D20847">
            <w:pPr>
              <w:pStyle w:val="Tabletext"/>
              <w:rPr>
                <w:sz w:val="22"/>
                <w:szCs w:val="22"/>
              </w:rPr>
            </w:pPr>
            <w:r w:rsidRPr="000F4C2C">
              <w:rPr>
                <w:sz w:val="22"/>
                <w:szCs w:val="22"/>
              </w:rPr>
              <w:t>250 to 499</w:t>
            </w:r>
          </w:p>
        </w:tc>
        <w:tc>
          <w:tcPr>
            <w:tcW w:w="1951" w:type="dxa"/>
            <w:tcBorders>
              <w:bottom w:val="single" w:sz="2" w:space="0" w:color="auto"/>
            </w:tcBorders>
          </w:tcPr>
          <w:p w14:paraId="2E7399A6" w14:textId="77777777" w:rsidR="00DC2E19" w:rsidRPr="000F4C2C" w:rsidRDefault="00DC2E19" w:rsidP="00D20847">
            <w:pPr>
              <w:pStyle w:val="Tabletext"/>
              <w:rPr>
                <w:sz w:val="22"/>
                <w:szCs w:val="22"/>
              </w:rPr>
            </w:pPr>
            <w:r w:rsidRPr="000F4C2C">
              <w:rPr>
                <w:sz w:val="22"/>
                <w:szCs w:val="22"/>
              </w:rPr>
              <w:t>$9,700</w:t>
            </w:r>
          </w:p>
        </w:tc>
      </w:tr>
      <w:tr w:rsidR="00DC2E19" w:rsidRPr="000F4C2C" w14:paraId="76280756" w14:textId="77777777" w:rsidTr="00D20847">
        <w:trPr>
          <w:trHeight w:val="394"/>
        </w:trPr>
        <w:tc>
          <w:tcPr>
            <w:tcW w:w="704" w:type="dxa"/>
            <w:vMerge/>
            <w:shd w:val="clear" w:color="auto" w:fill="auto"/>
          </w:tcPr>
          <w:p w14:paraId="048924C1" w14:textId="77777777" w:rsidR="00DC2E19" w:rsidRPr="000F4C2C" w:rsidRDefault="00DC2E19" w:rsidP="00D20847">
            <w:pPr>
              <w:pStyle w:val="Tabletext"/>
              <w:rPr>
                <w:sz w:val="22"/>
                <w:szCs w:val="22"/>
              </w:rPr>
            </w:pPr>
          </w:p>
        </w:tc>
        <w:tc>
          <w:tcPr>
            <w:tcW w:w="3152" w:type="dxa"/>
            <w:vMerge/>
            <w:shd w:val="clear" w:color="auto" w:fill="auto"/>
          </w:tcPr>
          <w:p w14:paraId="1C53A86D"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50712CCC" w14:textId="77777777" w:rsidR="00DC2E19" w:rsidRPr="000F4C2C" w:rsidRDefault="00DC2E19" w:rsidP="00D20847">
            <w:pPr>
              <w:pStyle w:val="Tabletext"/>
              <w:rPr>
                <w:sz w:val="22"/>
                <w:szCs w:val="22"/>
              </w:rPr>
            </w:pPr>
            <w:r w:rsidRPr="000F4C2C">
              <w:rPr>
                <w:sz w:val="22"/>
                <w:szCs w:val="22"/>
              </w:rPr>
              <w:t>500 to 900</w:t>
            </w:r>
          </w:p>
        </w:tc>
        <w:tc>
          <w:tcPr>
            <w:tcW w:w="1951" w:type="dxa"/>
            <w:tcBorders>
              <w:bottom w:val="single" w:sz="2" w:space="0" w:color="auto"/>
            </w:tcBorders>
          </w:tcPr>
          <w:p w14:paraId="20D067BA" w14:textId="77777777" w:rsidR="00DC2E19" w:rsidRPr="000F4C2C" w:rsidRDefault="00DC2E19" w:rsidP="00D20847">
            <w:pPr>
              <w:pStyle w:val="Tabletext"/>
              <w:rPr>
                <w:sz w:val="22"/>
                <w:szCs w:val="22"/>
              </w:rPr>
            </w:pPr>
            <w:r w:rsidRPr="000F4C2C">
              <w:rPr>
                <w:sz w:val="22"/>
                <w:szCs w:val="22"/>
              </w:rPr>
              <w:t>$10,700</w:t>
            </w:r>
          </w:p>
        </w:tc>
      </w:tr>
      <w:tr w:rsidR="00DC2E19" w:rsidRPr="000F4C2C" w14:paraId="5D8268F5" w14:textId="77777777" w:rsidTr="00D20847">
        <w:trPr>
          <w:trHeight w:val="394"/>
        </w:trPr>
        <w:tc>
          <w:tcPr>
            <w:tcW w:w="704" w:type="dxa"/>
            <w:vMerge/>
            <w:tcBorders>
              <w:bottom w:val="single" w:sz="2" w:space="0" w:color="auto"/>
            </w:tcBorders>
            <w:shd w:val="clear" w:color="auto" w:fill="auto"/>
          </w:tcPr>
          <w:p w14:paraId="78AE53FE" w14:textId="77777777" w:rsidR="00DC2E19" w:rsidRPr="000F4C2C" w:rsidRDefault="00DC2E19" w:rsidP="00D20847">
            <w:pPr>
              <w:pStyle w:val="Tabletext"/>
              <w:rPr>
                <w:sz w:val="22"/>
                <w:szCs w:val="22"/>
              </w:rPr>
            </w:pPr>
          </w:p>
        </w:tc>
        <w:tc>
          <w:tcPr>
            <w:tcW w:w="3152" w:type="dxa"/>
            <w:vMerge/>
            <w:tcBorders>
              <w:bottom w:val="single" w:sz="2" w:space="0" w:color="auto"/>
            </w:tcBorders>
            <w:shd w:val="clear" w:color="auto" w:fill="auto"/>
          </w:tcPr>
          <w:p w14:paraId="52D92AE3"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704F2ACB" w14:textId="77777777" w:rsidR="00DC2E19" w:rsidRPr="000F4C2C" w:rsidRDefault="00DC2E19" w:rsidP="00D20847">
            <w:pPr>
              <w:pStyle w:val="Tabletext"/>
              <w:rPr>
                <w:sz w:val="22"/>
                <w:szCs w:val="22"/>
              </w:rPr>
            </w:pPr>
            <w:r w:rsidRPr="000F4C2C">
              <w:rPr>
                <w:sz w:val="22"/>
                <w:szCs w:val="22"/>
              </w:rPr>
              <w:t>1000 or more</w:t>
            </w:r>
          </w:p>
        </w:tc>
        <w:tc>
          <w:tcPr>
            <w:tcW w:w="1951" w:type="dxa"/>
            <w:tcBorders>
              <w:bottom w:val="single" w:sz="2" w:space="0" w:color="auto"/>
            </w:tcBorders>
          </w:tcPr>
          <w:p w14:paraId="28298FE7" w14:textId="77777777" w:rsidR="00DC2E19" w:rsidRPr="000F4C2C" w:rsidRDefault="00DC2E19" w:rsidP="00D20847">
            <w:pPr>
              <w:pStyle w:val="Tabletext"/>
              <w:rPr>
                <w:sz w:val="22"/>
                <w:szCs w:val="22"/>
              </w:rPr>
            </w:pPr>
            <w:r w:rsidRPr="000F4C2C">
              <w:rPr>
                <w:sz w:val="22"/>
                <w:szCs w:val="22"/>
              </w:rPr>
              <w:t>$11,900</w:t>
            </w:r>
          </w:p>
        </w:tc>
      </w:tr>
      <w:tr w:rsidR="00DC2E19" w:rsidRPr="000F4C2C" w14:paraId="2C0B66BE" w14:textId="77777777" w:rsidTr="00D20847">
        <w:trPr>
          <w:trHeight w:val="394"/>
        </w:trPr>
        <w:tc>
          <w:tcPr>
            <w:tcW w:w="704" w:type="dxa"/>
            <w:vMerge w:val="restart"/>
            <w:shd w:val="clear" w:color="auto" w:fill="auto"/>
          </w:tcPr>
          <w:p w14:paraId="6F016940" w14:textId="77777777" w:rsidR="00DC2E19" w:rsidRPr="000F4C2C" w:rsidRDefault="00DC2E19" w:rsidP="00D20847">
            <w:pPr>
              <w:pStyle w:val="Tabletext"/>
              <w:rPr>
                <w:sz w:val="22"/>
                <w:szCs w:val="22"/>
              </w:rPr>
            </w:pPr>
            <w:r w:rsidRPr="000F4C2C">
              <w:rPr>
                <w:sz w:val="22"/>
                <w:szCs w:val="22"/>
              </w:rPr>
              <w:t>4</w:t>
            </w:r>
          </w:p>
        </w:tc>
        <w:tc>
          <w:tcPr>
            <w:tcW w:w="3152" w:type="dxa"/>
            <w:vMerge w:val="restart"/>
            <w:shd w:val="clear" w:color="auto" w:fill="auto"/>
          </w:tcPr>
          <w:p w14:paraId="242FABD2" w14:textId="77777777" w:rsidR="00DC2E19" w:rsidRPr="000F4C2C" w:rsidRDefault="00DC2E19" w:rsidP="00D20847">
            <w:pPr>
              <w:pStyle w:val="Tabletext"/>
              <w:rPr>
                <w:sz w:val="22"/>
                <w:szCs w:val="22"/>
              </w:rPr>
            </w:pPr>
            <w:r w:rsidRPr="000F4C2C">
              <w:rPr>
                <w:sz w:val="22"/>
                <w:szCs w:val="22"/>
              </w:rPr>
              <w:t>26 to 50</w:t>
            </w:r>
          </w:p>
        </w:tc>
        <w:tc>
          <w:tcPr>
            <w:tcW w:w="3119" w:type="dxa"/>
            <w:tcBorders>
              <w:bottom w:val="single" w:sz="2" w:space="0" w:color="auto"/>
            </w:tcBorders>
            <w:shd w:val="clear" w:color="auto" w:fill="auto"/>
          </w:tcPr>
          <w:p w14:paraId="53DF5C99" w14:textId="77777777" w:rsidR="00DC2E19" w:rsidRPr="000F4C2C" w:rsidRDefault="00DC2E19" w:rsidP="00D20847">
            <w:pPr>
              <w:pStyle w:val="Tabletext"/>
              <w:rPr>
                <w:sz w:val="22"/>
                <w:szCs w:val="22"/>
              </w:rPr>
            </w:pPr>
            <w:r w:rsidRPr="000F4C2C">
              <w:rPr>
                <w:sz w:val="22"/>
                <w:szCs w:val="22"/>
              </w:rPr>
              <w:t>0 to 99</w:t>
            </w:r>
          </w:p>
        </w:tc>
        <w:tc>
          <w:tcPr>
            <w:tcW w:w="1951" w:type="dxa"/>
            <w:tcBorders>
              <w:bottom w:val="single" w:sz="2" w:space="0" w:color="auto"/>
            </w:tcBorders>
          </w:tcPr>
          <w:p w14:paraId="3AF03419" w14:textId="77777777" w:rsidR="00DC2E19" w:rsidRPr="000F4C2C" w:rsidRDefault="00DC2E19" w:rsidP="00D20847">
            <w:pPr>
              <w:pStyle w:val="Tabletext"/>
              <w:rPr>
                <w:sz w:val="22"/>
                <w:szCs w:val="22"/>
              </w:rPr>
            </w:pPr>
            <w:r w:rsidRPr="000F4C2C">
              <w:rPr>
                <w:sz w:val="22"/>
                <w:szCs w:val="22"/>
              </w:rPr>
              <w:t>$11,300</w:t>
            </w:r>
          </w:p>
        </w:tc>
      </w:tr>
      <w:tr w:rsidR="00DC2E19" w:rsidRPr="000F4C2C" w14:paraId="31E68F2F" w14:textId="77777777" w:rsidTr="00D20847">
        <w:trPr>
          <w:trHeight w:val="394"/>
        </w:trPr>
        <w:tc>
          <w:tcPr>
            <w:tcW w:w="704" w:type="dxa"/>
            <w:vMerge/>
            <w:shd w:val="clear" w:color="auto" w:fill="auto"/>
          </w:tcPr>
          <w:p w14:paraId="4C7161B0" w14:textId="77777777" w:rsidR="00DC2E19" w:rsidRPr="000F4C2C" w:rsidRDefault="00DC2E19" w:rsidP="00D20847">
            <w:pPr>
              <w:pStyle w:val="Tabletext"/>
              <w:rPr>
                <w:sz w:val="22"/>
                <w:szCs w:val="22"/>
              </w:rPr>
            </w:pPr>
          </w:p>
        </w:tc>
        <w:tc>
          <w:tcPr>
            <w:tcW w:w="3152" w:type="dxa"/>
            <w:vMerge/>
            <w:shd w:val="clear" w:color="auto" w:fill="auto"/>
          </w:tcPr>
          <w:p w14:paraId="34BD6E89"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62465030" w14:textId="77777777" w:rsidR="00DC2E19" w:rsidRPr="000F4C2C" w:rsidRDefault="00DC2E19" w:rsidP="00D20847">
            <w:pPr>
              <w:pStyle w:val="Tabletext"/>
              <w:rPr>
                <w:sz w:val="22"/>
                <w:szCs w:val="22"/>
              </w:rPr>
            </w:pPr>
            <w:r w:rsidRPr="000F4C2C">
              <w:rPr>
                <w:sz w:val="22"/>
                <w:szCs w:val="22"/>
              </w:rPr>
              <w:t>100 to 249</w:t>
            </w:r>
          </w:p>
        </w:tc>
        <w:tc>
          <w:tcPr>
            <w:tcW w:w="1951" w:type="dxa"/>
            <w:tcBorders>
              <w:bottom w:val="single" w:sz="2" w:space="0" w:color="auto"/>
            </w:tcBorders>
          </w:tcPr>
          <w:p w14:paraId="3E7F3A26" w14:textId="77777777" w:rsidR="00DC2E19" w:rsidRPr="000F4C2C" w:rsidRDefault="00DC2E19" w:rsidP="00D20847">
            <w:pPr>
              <w:pStyle w:val="Tabletext"/>
              <w:rPr>
                <w:sz w:val="22"/>
                <w:szCs w:val="22"/>
              </w:rPr>
            </w:pPr>
            <w:r w:rsidRPr="000F4C2C">
              <w:rPr>
                <w:sz w:val="22"/>
                <w:szCs w:val="22"/>
              </w:rPr>
              <w:t>$12,500</w:t>
            </w:r>
          </w:p>
        </w:tc>
      </w:tr>
      <w:tr w:rsidR="00DC2E19" w:rsidRPr="000F4C2C" w14:paraId="61B181AF" w14:textId="77777777" w:rsidTr="00D20847">
        <w:trPr>
          <w:trHeight w:val="394"/>
        </w:trPr>
        <w:tc>
          <w:tcPr>
            <w:tcW w:w="704" w:type="dxa"/>
            <w:vMerge/>
            <w:shd w:val="clear" w:color="auto" w:fill="auto"/>
          </w:tcPr>
          <w:p w14:paraId="750FCD92" w14:textId="77777777" w:rsidR="00DC2E19" w:rsidRPr="000F4C2C" w:rsidRDefault="00DC2E19" w:rsidP="00D20847">
            <w:pPr>
              <w:pStyle w:val="Tabletext"/>
              <w:rPr>
                <w:sz w:val="22"/>
                <w:szCs w:val="22"/>
              </w:rPr>
            </w:pPr>
          </w:p>
        </w:tc>
        <w:tc>
          <w:tcPr>
            <w:tcW w:w="3152" w:type="dxa"/>
            <w:vMerge/>
            <w:shd w:val="clear" w:color="auto" w:fill="auto"/>
          </w:tcPr>
          <w:p w14:paraId="7A4E4F86"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294DC0B1" w14:textId="77777777" w:rsidR="00DC2E19" w:rsidRPr="000F4C2C" w:rsidRDefault="00DC2E19" w:rsidP="00D20847">
            <w:pPr>
              <w:pStyle w:val="Tabletext"/>
              <w:rPr>
                <w:sz w:val="22"/>
                <w:szCs w:val="22"/>
              </w:rPr>
            </w:pPr>
            <w:r w:rsidRPr="000F4C2C">
              <w:rPr>
                <w:sz w:val="22"/>
                <w:szCs w:val="22"/>
              </w:rPr>
              <w:t>250 to 499</w:t>
            </w:r>
          </w:p>
        </w:tc>
        <w:tc>
          <w:tcPr>
            <w:tcW w:w="1951" w:type="dxa"/>
            <w:tcBorders>
              <w:bottom w:val="single" w:sz="2" w:space="0" w:color="auto"/>
            </w:tcBorders>
          </w:tcPr>
          <w:p w14:paraId="26E60744" w14:textId="77777777" w:rsidR="00DC2E19" w:rsidRPr="000F4C2C" w:rsidRDefault="00DC2E19" w:rsidP="00D20847">
            <w:pPr>
              <w:pStyle w:val="Tabletext"/>
              <w:rPr>
                <w:sz w:val="22"/>
                <w:szCs w:val="22"/>
              </w:rPr>
            </w:pPr>
            <w:r w:rsidRPr="000F4C2C">
              <w:rPr>
                <w:sz w:val="22"/>
                <w:szCs w:val="22"/>
              </w:rPr>
              <w:t>$13,800</w:t>
            </w:r>
          </w:p>
        </w:tc>
      </w:tr>
      <w:tr w:rsidR="00DC2E19" w:rsidRPr="000F4C2C" w14:paraId="3634387B" w14:textId="77777777" w:rsidTr="00D20847">
        <w:trPr>
          <w:trHeight w:val="394"/>
        </w:trPr>
        <w:tc>
          <w:tcPr>
            <w:tcW w:w="704" w:type="dxa"/>
            <w:vMerge/>
            <w:shd w:val="clear" w:color="auto" w:fill="auto"/>
          </w:tcPr>
          <w:p w14:paraId="71C90970" w14:textId="77777777" w:rsidR="00DC2E19" w:rsidRPr="000F4C2C" w:rsidRDefault="00DC2E19" w:rsidP="00D20847">
            <w:pPr>
              <w:pStyle w:val="Tabletext"/>
              <w:rPr>
                <w:sz w:val="22"/>
                <w:szCs w:val="22"/>
              </w:rPr>
            </w:pPr>
          </w:p>
        </w:tc>
        <w:tc>
          <w:tcPr>
            <w:tcW w:w="3152" w:type="dxa"/>
            <w:vMerge/>
            <w:shd w:val="clear" w:color="auto" w:fill="auto"/>
          </w:tcPr>
          <w:p w14:paraId="487BF8FC"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570BB995" w14:textId="77777777" w:rsidR="00DC2E19" w:rsidRPr="000F4C2C" w:rsidRDefault="00DC2E19" w:rsidP="00D20847">
            <w:pPr>
              <w:pStyle w:val="Tabletext"/>
              <w:rPr>
                <w:sz w:val="22"/>
                <w:szCs w:val="22"/>
              </w:rPr>
            </w:pPr>
            <w:r w:rsidRPr="000F4C2C">
              <w:rPr>
                <w:sz w:val="22"/>
                <w:szCs w:val="22"/>
              </w:rPr>
              <w:t>500 to 900</w:t>
            </w:r>
          </w:p>
        </w:tc>
        <w:tc>
          <w:tcPr>
            <w:tcW w:w="1951" w:type="dxa"/>
            <w:tcBorders>
              <w:bottom w:val="single" w:sz="2" w:space="0" w:color="auto"/>
            </w:tcBorders>
          </w:tcPr>
          <w:p w14:paraId="77DB6164" w14:textId="77777777" w:rsidR="00DC2E19" w:rsidRPr="000F4C2C" w:rsidRDefault="00DC2E19" w:rsidP="00D20847">
            <w:pPr>
              <w:pStyle w:val="Tabletext"/>
              <w:rPr>
                <w:sz w:val="22"/>
                <w:szCs w:val="22"/>
              </w:rPr>
            </w:pPr>
            <w:r w:rsidRPr="000F4C2C">
              <w:rPr>
                <w:sz w:val="22"/>
                <w:szCs w:val="22"/>
              </w:rPr>
              <w:t>$15,300</w:t>
            </w:r>
          </w:p>
        </w:tc>
      </w:tr>
      <w:tr w:rsidR="00DC2E19" w:rsidRPr="000F4C2C" w14:paraId="19712677" w14:textId="77777777" w:rsidTr="00D20847">
        <w:trPr>
          <w:trHeight w:val="394"/>
        </w:trPr>
        <w:tc>
          <w:tcPr>
            <w:tcW w:w="704" w:type="dxa"/>
            <w:vMerge/>
            <w:tcBorders>
              <w:bottom w:val="single" w:sz="2" w:space="0" w:color="auto"/>
            </w:tcBorders>
            <w:shd w:val="clear" w:color="auto" w:fill="auto"/>
          </w:tcPr>
          <w:p w14:paraId="0C67A9F8" w14:textId="77777777" w:rsidR="00DC2E19" w:rsidRPr="000F4C2C" w:rsidRDefault="00DC2E19" w:rsidP="00D20847">
            <w:pPr>
              <w:pStyle w:val="Tabletext"/>
              <w:rPr>
                <w:sz w:val="22"/>
                <w:szCs w:val="22"/>
              </w:rPr>
            </w:pPr>
          </w:p>
        </w:tc>
        <w:tc>
          <w:tcPr>
            <w:tcW w:w="3152" w:type="dxa"/>
            <w:vMerge/>
            <w:tcBorders>
              <w:bottom w:val="single" w:sz="2" w:space="0" w:color="auto"/>
            </w:tcBorders>
            <w:shd w:val="clear" w:color="auto" w:fill="auto"/>
          </w:tcPr>
          <w:p w14:paraId="7FF0360E"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3D56A24F" w14:textId="77777777" w:rsidR="00DC2E19" w:rsidRPr="000F4C2C" w:rsidRDefault="00DC2E19" w:rsidP="00D20847">
            <w:pPr>
              <w:pStyle w:val="Tabletext"/>
              <w:rPr>
                <w:sz w:val="22"/>
                <w:szCs w:val="22"/>
              </w:rPr>
            </w:pPr>
            <w:r w:rsidRPr="000F4C2C">
              <w:rPr>
                <w:sz w:val="22"/>
                <w:szCs w:val="22"/>
              </w:rPr>
              <w:t>1000 or more</w:t>
            </w:r>
          </w:p>
        </w:tc>
        <w:tc>
          <w:tcPr>
            <w:tcW w:w="1951" w:type="dxa"/>
            <w:tcBorders>
              <w:bottom w:val="single" w:sz="2" w:space="0" w:color="auto"/>
            </w:tcBorders>
          </w:tcPr>
          <w:p w14:paraId="3F9D87D7" w14:textId="77777777" w:rsidR="00DC2E19" w:rsidRPr="000F4C2C" w:rsidRDefault="00DC2E19" w:rsidP="00D20847">
            <w:pPr>
              <w:pStyle w:val="Tabletext"/>
              <w:rPr>
                <w:sz w:val="22"/>
                <w:szCs w:val="22"/>
              </w:rPr>
            </w:pPr>
            <w:r w:rsidRPr="000F4C2C">
              <w:rPr>
                <w:sz w:val="22"/>
                <w:szCs w:val="22"/>
              </w:rPr>
              <w:t>$16,900</w:t>
            </w:r>
          </w:p>
        </w:tc>
      </w:tr>
      <w:tr w:rsidR="00DC2E19" w:rsidRPr="000F4C2C" w14:paraId="058CAA2A" w14:textId="77777777" w:rsidTr="00D20847">
        <w:trPr>
          <w:trHeight w:val="394"/>
        </w:trPr>
        <w:tc>
          <w:tcPr>
            <w:tcW w:w="704" w:type="dxa"/>
            <w:vMerge w:val="restart"/>
            <w:shd w:val="clear" w:color="auto" w:fill="auto"/>
          </w:tcPr>
          <w:p w14:paraId="24DD512A" w14:textId="77777777" w:rsidR="00DC2E19" w:rsidRPr="000F4C2C" w:rsidRDefault="00DC2E19" w:rsidP="00D20847">
            <w:pPr>
              <w:pStyle w:val="Tabletext"/>
              <w:rPr>
                <w:sz w:val="22"/>
                <w:szCs w:val="22"/>
              </w:rPr>
            </w:pPr>
            <w:r w:rsidRPr="000F4C2C">
              <w:rPr>
                <w:sz w:val="22"/>
                <w:szCs w:val="22"/>
              </w:rPr>
              <w:t>5</w:t>
            </w:r>
          </w:p>
        </w:tc>
        <w:tc>
          <w:tcPr>
            <w:tcW w:w="3152" w:type="dxa"/>
            <w:vMerge w:val="restart"/>
            <w:shd w:val="clear" w:color="auto" w:fill="auto"/>
          </w:tcPr>
          <w:p w14:paraId="597F78FF" w14:textId="77777777" w:rsidR="00DC2E19" w:rsidRPr="000F4C2C" w:rsidRDefault="00DC2E19" w:rsidP="00D20847">
            <w:pPr>
              <w:pStyle w:val="Tabletext"/>
              <w:rPr>
                <w:sz w:val="22"/>
                <w:szCs w:val="22"/>
              </w:rPr>
            </w:pPr>
            <w:r w:rsidRPr="000F4C2C">
              <w:rPr>
                <w:sz w:val="22"/>
                <w:szCs w:val="22"/>
              </w:rPr>
              <w:t>51 or more</w:t>
            </w:r>
          </w:p>
        </w:tc>
        <w:tc>
          <w:tcPr>
            <w:tcW w:w="3119" w:type="dxa"/>
            <w:tcBorders>
              <w:bottom w:val="single" w:sz="2" w:space="0" w:color="auto"/>
            </w:tcBorders>
            <w:shd w:val="clear" w:color="auto" w:fill="auto"/>
          </w:tcPr>
          <w:p w14:paraId="0A51A615" w14:textId="77777777" w:rsidR="00DC2E19" w:rsidRPr="000F4C2C" w:rsidRDefault="00DC2E19" w:rsidP="00D20847">
            <w:pPr>
              <w:pStyle w:val="Tabletext"/>
              <w:rPr>
                <w:sz w:val="22"/>
                <w:szCs w:val="22"/>
              </w:rPr>
            </w:pPr>
            <w:r w:rsidRPr="000F4C2C">
              <w:rPr>
                <w:sz w:val="22"/>
                <w:szCs w:val="22"/>
              </w:rPr>
              <w:t>0 to 99</w:t>
            </w:r>
          </w:p>
        </w:tc>
        <w:tc>
          <w:tcPr>
            <w:tcW w:w="1951" w:type="dxa"/>
            <w:tcBorders>
              <w:bottom w:val="single" w:sz="2" w:space="0" w:color="auto"/>
            </w:tcBorders>
          </w:tcPr>
          <w:p w14:paraId="795D2621" w14:textId="77777777" w:rsidR="00DC2E19" w:rsidRPr="000F4C2C" w:rsidRDefault="00DC2E19" w:rsidP="00D20847">
            <w:pPr>
              <w:pStyle w:val="Tabletext"/>
              <w:rPr>
                <w:sz w:val="22"/>
                <w:szCs w:val="22"/>
              </w:rPr>
            </w:pPr>
            <w:r w:rsidRPr="000F4C2C">
              <w:rPr>
                <w:sz w:val="22"/>
                <w:szCs w:val="22"/>
              </w:rPr>
              <w:t>$15,900</w:t>
            </w:r>
          </w:p>
        </w:tc>
      </w:tr>
      <w:tr w:rsidR="00DC2E19" w:rsidRPr="000F4C2C" w14:paraId="5373C669" w14:textId="77777777" w:rsidTr="00D20847">
        <w:trPr>
          <w:trHeight w:val="394"/>
        </w:trPr>
        <w:tc>
          <w:tcPr>
            <w:tcW w:w="704" w:type="dxa"/>
            <w:vMerge/>
            <w:shd w:val="clear" w:color="auto" w:fill="auto"/>
          </w:tcPr>
          <w:p w14:paraId="0068CF93" w14:textId="77777777" w:rsidR="00DC2E19" w:rsidRPr="000F4C2C" w:rsidRDefault="00DC2E19" w:rsidP="00D20847">
            <w:pPr>
              <w:pStyle w:val="Tabletext"/>
              <w:rPr>
                <w:sz w:val="22"/>
                <w:szCs w:val="22"/>
              </w:rPr>
            </w:pPr>
          </w:p>
        </w:tc>
        <w:tc>
          <w:tcPr>
            <w:tcW w:w="3152" w:type="dxa"/>
            <w:vMerge/>
            <w:shd w:val="clear" w:color="auto" w:fill="auto"/>
          </w:tcPr>
          <w:p w14:paraId="4FEFE45D"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411892D6" w14:textId="77777777" w:rsidR="00DC2E19" w:rsidRPr="000F4C2C" w:rsidRDefault="00DC2E19" w:rsidP="00D20847">
            <w:pPr>
              <w:pStyle w:val="Tabletext"/>
              <w:rPr>
                <w:sz w:val="22"/>
                <w:szCs w:val="22"/>
              </w:rPr>
            </w:pPr>
            <w:r w:rsidRPr="000F4C2C">
              <w:rPr>
                <w:sz w:val="22"/>
                <w:szCs w:val="22"/>
              </w:rPr>
              <w:t>100 to 249</w:t>
            </w:r>
          </w:p>
        </w:tc>
        <w:tc>
          <w:tcPr>
            <w:tcW w:w="1951" w:type="dxa"/>
            <w:tcBorders>
              <w:bottom w:val="single" w:sz="2" w:space="0" w:color="auto"/>
            </w:tcBorders>
          </w:tcPr>
          <w:p w14:paraId="66C5F5CE" w14:textId="77777777" w:rsidR="00DC2E19" w:rsidRPr="000F4C2C" w:rsidRDefault="00DC2E19" w:rsidP="00D20847">
            <w:pPr>
              <w:pStyle w:val="Tabletext"/>
              <w:rPr>
                <w:sz w:val="22"/>
                <w:szCs w:val="22"/>
              </w:rPr>
            </w:pPr>
            <w:r w:rsidRPr="000F4C2C">
              <w:rPr>
                <w:sz w:val="22"/>
                <w:szCs w:val="22"/>
              </w:rPr>
              <w:t>$17,600</w:t>
            </w:r>
          </w:p>
        </w:tc>
      </w:tr>
      <w:tr w:rsidR="00DC2E19" w:rsidRPr="000F4C2C" w14:paraId="505E1400" w14:textId="77777777" w:rsidTr="00D20847">
        <w:trPr>
          <w:trHeight w:val="394"/>
        </w:trPr>
        <w:tc>
          <w:tcPr>
            <w:tcW w:w="704" w:type="dxa"/>
            <w:vMerge/>
            <w:shd w:val="clear" w:color="auto" w:fill="auto"/>
          </w:tcPr>
          <w:p w14:paraId="1B8F9D89" w14:textId="77777777" w:rsidR="00DC2E19" w:rsidRPr="000F4C2C" w:rsidRDefault="00DC2E19" w:rsidP="00D20847">
            <w:pPr>
              <w:pStyle w:val="Tabletext"/>
              <w:rPr>
                <w:sz w:val="22"/>
                <w:szCs w:val="22"/>
              </w:rPr>
            </w:pPr>
          </w:p>
        </w:tc>
        <w:tc>
          <w:tcPr>
            <w:tcW w:w="3152" w:type="dxa"/>
            <w:vMerge/>
            <w:shd w:val="clear" w:color="auto" w:fill="auto"/>
          </w:tcPr>
          <w:p w14:paraId="6F9B601E"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36C34673" w14:textId="77777777" w:rsidR="00DC2E19" w:rsidRPr="000F4C2C" w:rsidRDefault="00DC2E19" w:rsidP="00D20847">
            <w:pPr>
              <w:pStyle w:val="Tabletext"/>
              <w:rPr>
                <w:sz w:val="22"/>
                <w:szCs w:val="22"/>
              </w:rPr>
            </w:pPr>
            <w:r w:rsidRPr="000F4C2C">
              <w:rPr>
                <w:sz w:val="22"/>
                <w:szCs w:val="22"/>
              </w:rPr>
              <w:t>250 to 499</w:t>
            </w:r>
          </w:p>
        </w:tc>
        <w:tc>
          <w:tcPr>
            <w:tcW w:w="1951" w:type="dxa"/>
            <w:tcBorders>
              <w:bottom w:val="single" w:sz="2" w:space="0" w:color="auto"/>
            </w:tcBorders>
          </w:tcPr>
          <w:p w14:paraId="7C7284D0" w14:textId="77777777" w:rsidR="00DC2E19" w:rsidRPr="000F4C2C" w:rsidRDefault="00DC2E19" w:rsidP="00D20847">
            <w:pPr>
              <w:pStyle w:val="Tabletext"/>
              <w:rPr>
                <w:sz w:val="22"/>
                <w:szCs w:val="22"/>
              </w:rPr>
            </w:pPr>
            <w:r w:rsidRPr="000F4C2C">
              <w:rPr>
                <w:sz w:val="22"/>
                <w:szCs w:val="22"/>
              </w:rPr>
              <w:t>$19,500</w:t>
            </w:r>
          </w:p>
        </w:tc>
      </w:tr>
      <w:tr w:rsidR="00DC2E19" w:rsidRPr="000F4C2C" w14:paraId="6595F3E2" w14:textId="77777777" w:rsidTr="00D20847">
        <w:trPr>
          <w:trHeight w:val="394"/>
        </w:trPr>
        <w:tc>
          <w:tcPr>
            <w:tcW w:w="704" w:type="dxa"/>
            <w:vMerge/>
            <w:shd w:val="clear" w:color="auto" w:fill="auto"/>
          </w:tcPr>
          <w:p w14:paraId="44322854" w14:textId="77777777" w:rsidR="00DC2E19" w:rsidRPr="000F4C2C" w:rsidRDefault="00DC2E19" w:rsidP="00D20847">
            <w:pPr>
              <w:pStyle w:val="Tabletext"/>
              <w:rPr>
                <w:sz w:val="22"/>
                <w:szCs w:val="22"/>
              </w:rPr>
            </w:pPr>
          </w:p>
        </w:tc>
        <w:tc>
          <w:tcPr>
            <w:tcW w:w="3152" w:type="dxa"/>
            <w:vMerge/>
            <w:shd w:val="clear" w:color="auto" w:fill="auto"/>
          </w:tcPr>
          <w:p w14:paraId="534200AC"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26209E61" w14:textId="77777777" w:rsidR="00DC2E19" w:rsidRPr="000F4C2C" w:rsidRDefault="00DC2E19" w:rsidP="00D20847">
            <w:pPr>
              <w:pStyle w:val="Tabletext"/>
              <w:rPr>
                <w:sz w:val="22"/>
                <w:szCs w:val="22"/>
              </w:rPr>
            </w:pPr>
            <w:r w:rsidRPr="000F4C2C">
              <w:rPr>
                <w:sz w:val="22"/>
                <w:szCs w:val="22"/>
              </w:rPr>
              <w:t>500 to 900</w:t>
            </w:r>
          </w:p>
        </w:tc>
        <w:tc>
          <w:tcPr>
            <w:tcW w:w="1951" w:type="dxa"/>
            <w:tcBorders>
              <w:bottom w:val="single" w:sz="2" w:space="0" w:color="auto"/>
            </w:tcBorders>
          </w:tcPr>
          <w:p w14:paraId="4C68A530" w14:textId="77777777" w:rsidR="00DC2E19" w:rsidRPr="000F4C2C" w:rsidRDefault="00DC2E19" w:rsidP="00D20847">
            <w:pPr>
              <w:pStyle w:val="Tabletext"/>
              <w:rPr>
                <w:sz w:val="22"/>
                <w:szCs w:val="22"/>
              </w:rPr>
            </w:pPr>
            <w:r w:rsidRPr="000F4C2C">
              <w:rPr>
                <w:sz w:val="22"/>
                <w:szCs w:val="22"/>
              </w:rPr>
              <w:t>$21,600</w:t>
            </w:r>
          </w:p>
        </w:tc>
      </w:tr>
      <w:tr w:rsidR="00DC2E19" w:rsidRPr="000F4C2C" w14:paraId="60FF6136" w14:textId="77777777" w:rsidTr="00D20847">
        <w:trPr>
          <w:trHeight w:val="394"/>
        </w:trPr>
        <w:tc>
          <w:tcPr>
            <w:tcW w:w="704" w:type="dxa"/>
            <w:vMerge/>
            <w:tcBorders>
              <w:bottom w:val="single" w:sz="2" w:space="0" w:color="auto"/>
            </w:tcBorders>
            <w:shd w:val="clear" w:color="auto" w:fill="auto"/>
          </w:tcPr>
          <w:p w14:paraId="44BA0FF3" w14:textId="77777777" w:rsidR="00DC2E19" w:rsidRPr="000F4C2C" w:rsidRDefault="00DC2E19" w:rsidP="00D20847">
            <w:pPr>
              <w:pStyle w:val="Tabletext"/>
              <w:rPr>
                <w:sz w:val="22"/>
                <w:szCs w:val="22"/>
              </w:rPr>
            </w:pPr>
          </w:p>
        </w:tc>
        <w:tc>
          <w:tcPr>
            <w:tcW w:w="3152" w:type="dxa"/>
            <w:vMerge/>
            <w:tcBorders>
              <w:bottom w:val="single" w:sz="2" w:space="0" w:color="auto"/>
            </w:tcBorders>
            <w:shd w:val="clear" w:color="auto" w:fill="auto"/>
          </w:tcPr>
          <w:p w14:paraId="3102B7DE" w14:textId="77777777" w:rsidR="00DC2E19" w:rsidRPr="000F4C2C" w:rsidRDefault="00DC2E19" w:rsidP="00D20847">
            <w:pPr>
              <w:pStyle w:val="Tabletext"/>
              <w:rPr>
                <w:sz w:val="22"/>
                <w:szCs w:val="22"/>
              </w:rPr>
            </w:pPr>
          </w:p>
        </w:tc>
        <w:tc>
          <w:tcPr>
            <w:tcW w:w="3119" w:type="dxa"/>
            <w:tcBorders>
              <w:bottom w:val="single" w:sz="2" w:space="0" w:color="auto"/>
            </w:tcBorders>
            <w:shd w:val="clear" w:color="auto" w:fill="auto"/>
          </w:tcPr>
          <w:p w14:paraId="50548A47" w14:textId="77777777" w:rsidR="00DC2E19" w:rsidRPr="000F4C2C" w:rsidRDefault="00DC2E19" w:rsidP="00D20847">
            <w:pPr>
              <w:pStyle w:val="Tabletext"/>
              <w:rPr>
                <w:sz w:val="22"/>
                <w:szCs w:val="22"/>
              </w:rPr>
            </w:pPr>
            <w:r w:rsidRPr="000F4C2C">
              <w:rPr>
                <w:sz w:val="22"/>
                <w:szCs w:val="22"/>
              </w:rPr>
              <w:t>1000 or more</w:t>
            </w:r>
          </w:p>
        </w:tc>
        <w:tc>
          <w:tcPr>
            <w:tcW w:w="1951" w:type="dxa"/>
            <w:tcBorders>
              <w:bottom w:val="single" w:sz="2" w:space="0" w:color="auto"/>
            </w:tcBorders>
          </w:tcPr>
          <w:p w14:paraId="56499C56" w14:textId="77777777" w:rsidR="00DC2E19" w:rsidRPr="000F4C2C" w:rsidRDefault="00DC2E19" w:rsidP="00D20847">
            <w:pPr>
              <w:pStyle w:val="Tabletext"/>
              <w:rPr>
                <w:sz w:val="22"/>
                <w:szCs w:val="22"/>
              </w:rPr>
            </w:pPr>
            <w:r w:rsidRPr="000F4C2C">
              <w:rPr>
                <w:sz w:val="22"/>
                <w:szCs w:val="22"/>
              </w:rPr>
              <w:t>$23,900</w:t>
            </w:r>
          </w:p>
        </w:tc>
      </w:tr>
    </w:tbl>
    <w:p w14:paraId="67984EE2" w14:textId="5917162E" w:rsidR="00DC2E19" w:rsidRPr="000F4C2C" w:rsidRDefault="00DC2E19" w:rsidP="00DC2E19">
      <w:pPr>
        <w:keepNext/>
        <w:spacing w:after="120"/>
        <w:rPr>
          <w:rFonts w:asciiTheme="minorHAnsi" w:hAnsiTheme="minorHAnsi" w:cstheme="minorHAnsi"/>
          <w:color w:val="000000"/>
          <w:szCs w:val="24"/>
          <w:shd w:val="clear" w:color="auto" w:fill="FFFFFF"/>
        </w:rPr>
      </w:pPr>
    </w:p>
    <w:p w14:paraId="65BAD9FF" w14:textId="0E7B8BAA" w:rsidR="00DC2E19" w:rsidRPr="000F4C2C" w:rsidRDefault="00DC2E19" w:rsidP="00DC2E19">
      <w:pPr>
        <w:keepNext/>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Subsection 6(2) provides that, if a person to whom section 232A of the </w:t>
      </w:r>
      <w:r w:rsidRPr="000F4C2C">
        <w:rPr>
          <w:rFonts w:asciiTheme="minorHAnsi" w:hAnsiTheme="minorHAnsi" w:cstheme="minorHAnsi"/>
          <w:i/>
          <w:iCs/>
          <w:color w:val="000000"/>
          <w:szCs w:val="24"/>
          <w:shd w:val="clear" w:color="auto" w:fill="FFFFFF"/>
        </w:rPr>
        <w:t xml:space="preserve">National Vocational Education and Training Regulator Act 2011 </w:t>
      </w:r>
      <w:r w:rsidRPr="000F4C2C">
        <w:rPr>
          <w:rFonts w:asciiTheme="minorHAnsi" w:hAnsiTheme="minorHAnsi" w:cstheme="minorHAnsi"/>
          <w:color w:val="000000"/>
          <w:szCs w:val="24"/>
          <w:shd w:val="clear" w:color="auto" w:fill="FFFFFF"/>
        </w:rPr>
        <w:t>applies</w:t>
      </w:r>
      <w:r w:rsidR="00BC4F00" w:rsidRPr="000F4C2C">
        <w:rPr>
          <w:rFonts w:asciiTheme="minorHAnsi" w:hAnsiTheme="minorHAnsi" w:cstheme="minorHAnsi"/>
          <w:color w:val="000000"/>
          <w:szCs w:val="24"/>
          <w:shd w:val="clear" w:color="auto" w:fill="FFFFFF"/>
        </w:rPr>
        <w:t xml:space="preserve"> both:</w:t>
      </w:r>
    </w:p>
    <w:p w14:paraId="34A99E8B" w14:textId="3D25DE64" w:rsidR="00BC4F00" w:rsidRPr="000F4C2C" w:rsidRDefault="00BC4F00" w:rsidP="00BC4F00">
      <w:pPr>
        <w:pStyle w:val="ListParagraph"/>
        <w:keepNext/>
        <w:numPr>
          <w:ilvl w:val="0"/>
          <w:numId w:val="13"/>
        </w:numPr>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starts or continues to be registered during the financial year under the </w:t>
      </w:r>
      <w:r w:rsidRPr="000F4C2C">
        <w:rPr>
          <w:rFonts w:asciiTheme="minorHAnsi" w:hAnsiTheme="minorHAnsi" w:cstheme="minorHAnsi"/>
          <w:i/>
          <w:iCs/>
          <w:color w:val="000000"/>
          <w:szCs w:val="24"/>
          <w:shd w:val="clear" w:color="auto" w:fill="FFFFFF"/>
        </w:rPr>
        <w:t xml:space="preserve">National Vocational Education and Training Regulator Act 2011 </w:t>
      </w:r>
      <w:r w:rsidRPr="000F4C2C">
        <w:rPr>
          <w:rFonts w:asciiTheme="minorHAnsi" w:hAnsiTheme="minorHAnsi" w:cstheme="minorHAnsi"/>
          <w:color w:val="000000"/>
          <w:szCs w:val="24"/>
          <w:shd w:val="clear" w:color="auto" w:fill="FFFFFF"/>
        </w:rPr>
        <w:t>as an NVR registered organisation; and</w:t>
      </w:r>
    </w:p>
    <w:p w14:paraId="70D1847B" w14:textId="7AEC35D5" w:rsidR="00BC4F00" w:rsidRPr="000F4C2C" w:rsidRDefault="00BC4F00" w:rsidP="00BC4F00">
      <w:pPr>
        <w:pStyle w:val="ListParagraph"/>
        <w:keepNext/>
        <w:numPr>
          <w:ilvl w:val="0"/>
          <w:numId w:val="13"/>
        </w:numPr>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starts or continues to be registered during the financial year under the </w:t>
      </w:r>
      <w:r w:rsidRPr="000F4C2C">
        <w:rPr>
          <w:rFonts w:asciiTheme="minorHAnsi" w:hAnsiTheme="minorHAnsi" w:cstheme="minorHAnsi"/>
          <w:i/>
          <w:iCs/>
          <w:color w:val="000000"/>
          <w:szCs w:val="24"/>
          <w:shd w:val="clear" w:color="auto" w:fill="FFFFFF"/>
        </w:rPr>
        <w:t>Education Services for Overseas Students Act 2000</w:t>
      </w:r>
      <w:r w:rsidRPr="000F4C2C">
        <w:rPr>
          <w:rFonts w:asciiTheme="minorHAnsi" w:hAnsiTheme="minorHAnsi" w:cstheme="minorHAnsi"/>
          <w:color w:val="000000"/>
          <w:szCs w:val="24"/>
          <w:shd w:val="clear" w:color="auto" w:fill="FFFFFF"/>
        </w:rPr>
        <w:t xml:space="preserve"> as a registered provider and the National VET Regulator is the ESOS agency for the registered provider,</w:t>
      </w:r>
    </w:p>
    <w:p w14:paraId="52DA15F4" w14:textId="20816F8C" w:rsidR="00BC4F00" w:rsidRPr="000F4C2C" w:rsidRDefault="00BC4F00" w:rsidP="00BC4F00">
      <w:pPr>
        <w:keepNext/>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the person is taken to discharge their liability to pay a charge for both registrations by paying the applicable amount of the relevant charge at subsection (1) once.</w:t>
      </w:r>
    </w:p>
    <w:p w14:paraId="20A11F89" w14:textId="370B8280" w:rsidR="00BC4F00" w:rsidRPr="000F4C2C" w:rsidRDefault="00BC4F00" w:rsidP="00BC4F00">
      <w:pPr>
        <w:keepNext/>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Subsection 6(3) provides that, if section 232A of the </w:t>
      </w:r>
      <w:r w:rsidRPr="000F4C2C">
        <w:rPr>
          <w:rFonts w:asciiTheme="minorHAnsi" w:hAnsiTheme="minorHAnsi" w:cstheme="minorHAnsi"/>
          <w:i/>
          <w:iCs/>
          <w:color w:val="000000"/>
          <w:szCs w:val="24"/>
          <w:shd w:val="clear" w:color="auto" w:fill="FFFFFF"/>
        </w:rPr>
        <w:t xml:space="preserve">National Vocational Education and Training Regulator Act 2011 </w:t>
      </w:r>
      <w:r w:rsidRPr="000F4C2C">
        <w:rPr>
          <w:rFonts w:asciiTheme="minorHAnsi" w:hAnsiTheme="minorHAnsi" w:cstheme="minorHAnsi"/>
          <w:color w:val="000000"/>
          <w:szCs w:val="24"/>
          <w:shd w:val="clear" w:color="auto" w:fill="FFFFFF"/>
        </w:rPr>
        <w:t>does not apply to a person at the start of a financial year and that section begins to apply to the person during that year, the following proportion of the charge worked out at subsection (1) is payable in relation to that year:</w:t>
      </w:r>
    </w:p>
    <w:p w14:paraId="6DD0B14E" w14:textId="77777777" w:rsidR="00BC4F00" w:rsidRPr="000F4C2C" w:rsidRDefault="000F4C2C" w:rsidP="00BC4F00">
      <w:pPr>
        <w:pStyle w:val="subsection"/>
        <w:tabs>
          <w:tab w:val="clear" w:pos="1021"/>
          <w:tab w:val="right" w:pos="142"/>
        </w:tabs>
        <w:ind w:left="0" w:firstLine="0"/>
        <w:rPr>
          <w:sz w:val="18"/>
          <w:szCs w:val="16"/>
        </w:rPr>
      </w:pPr>
      <m:oMathPara>
        <m:oMath>
          <m:f>
            <m:fPr>
              <m:ctrlPr>
                <w:rPr>
                  <w:rFonts w:ascii="Cambria Math" w:hAnsi="Cambria Math"/>
                  <w:snapToGrid w:val="0"/>
                  <w:sz w:val="18"/>
                  <w:szCs w:val="16"/>
                  <w:lang w:eastAsia="en-US"/>
                </w:rPr>
              </m:ctrlPr>
            </m:fPr>
            <m:num>
              <w:bookmarkStart w:id="6" w:name="_Hlk97041768"/>
              <m:r>
                <m:rPr>
                  <m:sty m:val="p"/>
                </m:rPr>
                <w:rPr>
                  <w:rFonts w:ascii="Cambria Math" w:hAnsi="Cambria Math"/>
                  <w:sz w:val="18"/>
                  <w:szCs w:val="16"/>
                </w:rPr>
                <m:t xml:space="preserve">Number </m:t>
              </m:r>
              <w:bookmarkEnd w:id="6"/>
              <m:r>
                <m:rPr>
                  <m:sty m:val="p"/>
                </m:rPr>
                <w:rPr>
                  <w:rFonts w:ascii="Cambria Math" w:hAnsi="Cambria Math"/>
                  <w:sz w:val="18"/>
                  <w:szCs w:val="16"/>
                </w:rPr>
                <m:t xml:space="preserve">of whole months remaining in the financial year after the day section 232A applies to person </m:t>
              </m:r>
            </m:num>
            <m:den>
              <m:r>
                <m:rPr>
                  <m:sty m:val="p"/>
                </m:rPr>
                <w:rPr>
                  <w:rFonts w:ascii="Cambria Math" w:hAnsi="Cambria Math"/>
                  <w:snapToGrid w:val="0"/>
                  <w:sz w:val="18"/>
                  <w:szCs w:val="16"/>
                  <w:lang w:eastAsia="en-US"/>
                </w:rPr>
                <m:t>12</m:t>
              </m:r>
            </m:den>
          </m:f>
        </m:oMath>
      </m:oMathPara>
    </w:p>
    <w:p w14:paraId="4F9A2EA2" w14:textId="1F5C94A4" w:rsidR="00BC4F00" w:rsidRPr="000F4C2C" w:rsidRDefault="00BC4F00" w:rsidP="00BC4F00">
      <w:pPr>
        <w:keepNext/>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A note at the bottom of subsection 6(3) clarifies that, if a person ceases to be registered under </w:t>
      </w:r>
      <w:r w:rsidR="00A009E0" w:rsidRPr="000F4C2C">
        <w:rPr>
          <w:rFonts w:asciiTheme="minorHAnsi" w:hAnsiTheme="minorHAnsi" w:cstheme="minorHAnsi"/>
          <w:color w:val="000000"/>
          <w:szCs w:val="24"/>
          <w:shd w:val="clear" w:color="auto" w:fill="FFFFFF"/>
        </w:rPr>
        <w:t>either</w:t>
      </w:r>
      <w:r w:rsidRPr="000F4C2C">
        <w:rPr>
          <w:rFonts w:asciiTheme="minorHAnsi" w:hAnsiTheme="minorHAnsi" w:cstheme="minorHAnsi"/>
          <w:color w:val="000000"/>
          <w:szCs w:val="24"/>
          <w:shd w:val="clear" w:color="auto" w:fill="FFFFFF"/>
        </w:rPr>
        <w:t xml:space="preserve"> the </w:t>
      </w:r>
      <w:r w:rsidRPr="000F4C2C">
        <w:rPr>
          <w:rFonts w:asciiTheme="minorHAnsi" w:hAnsiTheme="minorHAnsi" w:cstheme="minorHAnsi"/>
          <w:i/>
          <w:iCs/>
          <w:color w:val="000000"/>
          <w:szCs w:val="24"/>
          <w:shd w:val="clear" w:color="auto" w:fill="FFFFFF"/>
        </w:rPr>
        <w:t>National Vocational Education and Training Regulator Act 2011</w:t>
      </w:r>
      <w:r w:rsidRPr="000F4C2C">
        <w:rPr>
          <w:rFonts w:asciiTheme="minorHAnsi" w:hAnsiTheme="minorHAnsi" w:cstheme="minorHAnsi"/>
          <w:color w:val="000000"/>
          <w:szCs w:val="24"/>
          <w:shd w:val="clear" w:color="auto" w:fill="FFFFFF"/>
        </w:rPr>
        <w:t xml:space="preserve"> </w:t>
      </w:r>
      <w:r w:rsidR="00A009E0" w:rsidRPr="000F4C2C">
        <w:rPr>
          <w:rFonts w:asciiTheme="minorHAnsi" w:hAnsiTheme="minorHAnsi" w:cstheme="minorHAnsi"/>
          <w:color w:val="000000"/>
          <w:szCs w:val="24"/>
          <w:shd w:val="clear" w:color="auto" w:fill="FFFFFF"/>
        </w:rPr>
        <w:t>or</w:t>
      </w:r>
      <w:r w:rsidRPr="000F4C2C">
        <w:rPr>
          <w:rFonts w:asciiTheme="minorHAnsi" w:hAnsiTheme="minorHAnsi" w:cstheme="minorHAnsi"/>
          <w:color w:val="000000"/>
          <w:szCs w:val="24"/>
          <w:shd w:val="clear" w:color="auto" w:fill="FFFFFF"/>
        </w:rPr>
        <w:t xml:space="preserve"> the </w:t>
      </w:r>
      <w:r w:rsidRPr="000F4C2C">
        <w:rPr>
          <w:rFonts w:asciiTheme="minorHAnsi" w:hAnsiTheme="minorHAnsi" w:cstheme="minorHAnsi"/>
          <w:i/>
          <w:iCs/>
          <w:color w:val="000000"/>
          <w:szCs w:val="24"/>
          <w:shd w:val="clear" w:color="auto" w:fill="FFFFFF"/>
        </w:rPr>
        <w:t xml:space="preserve">Education Services for Overseas Students Act 2000 </w:t>
      </w:r>
      <w:r w:rsidRPr="000F4C2C">
        <w:rPr>
          <w:rFonts w:asciiTheme="minorHAnsi" w:hAnsiTheme="minorHAnsi" w:cstheme="minorHAnsi"/>
          <w:color w:val="000000"/>
          <w:szCs w:val="24"/>
          <w:shd w:val="clear" w:color="auto" w:fill="FFFFFF"/>
        </w:rPr>
        <w:t>during a financial year,</w:t>
      </w:r>
      <w:r w:rsidR="00A009E0" w:rsidRPr="000F4C2C">
        <w:rPr>
          <w:rFonts w:asciiTheme="minorHAnsi" w:hAnsiTheme="minorHAnsi" w:cstheme="minorHAnsi"/>
          <w:color w:val="000000"/>
          <w:szCs w:val="24"/>
          <w:shd w:val="clear" w:color="auto" w:fill="FFFFFF"/>
        </w:rPr>
        <w:t xml:space="preserve"> such that the person is no longer registered under either of those Acts, </w:t>
      </w:r>
      <w:r w:rsidRPr="000F4C2C">
        <w:rPr>
          <w:rFonts w:asciiTheme="minorHAnsi" w:hAnsiTheme="minorHAnsi" w:cstheme="minorHAnsi"/>
          <w:color w:val="000000"/>
          <w:szCs w:val="24"/>
          <w:shd w:val="clear" w:color="auto" w:fill="FFFFFF"/>
        </w:rPr>
        <w:t>a pro rata refund worked out on the same basis is payable to the person. The note directs the reader to see subsection 232</w:t>
      </w:r>
      <w:proofErr w:type="gramStart"/>
      <w:r w:rsidRPr="000F4C2C">
        <w:rPr>
          <w:rFonts w:asciiTheme="minorHAnsi" w:hAnsiTheme="minorHAnsi" w:cstheme="minorHAnsi"/>
          <w:color w:val="000000"/>
          <w:szCs w:val="24"/>
          <w:shd w:val="clear" w:color="auto" w:fill="FFFFFF"/>
        </w:rPr>
        <w:t>A(</w:t>
      </w:r>
      <w:proofErr w:type="gramEnd"/>
      <w:r w:rsidRPr="000F4C2C">
        <w:rPr>
          <w:rFonts w:asciiTheme="minorHAnsi" w:hAnsiTheme="minorHAnsi" w:cstheme="minorHAnsi"/>
          <w:color w:val="000000"/>
          <w:szCs w:val="24"/>
          <w:shd w:val="clear" w:color="auto" w:fill="FFFFFF"/>
        </w:rPr>
        <w:t xml:space="preserve">4) of the </w:t>
      </w:r>
      <w:r w:rsidRPr="000F4C2C">
        <w:rPr>
          <w:rFonts w:asciiTheme="minorHAnsi" w:hAnsiTheme="minorHAnsi" w:cstheme="minorHAnsi"/>
          <w:i/>
          <w:iCs/>
          <w:color w:val="000000"/>
          <w:szCs w:val="24"/>
          <w:shd w:val="clear" w:color="auto" w:fill="FFFFFF"/>
        </w:rPr>
        <w:t>National Vocational Education and Training Regulator Act 2011</w:t>
      </w:r>
      <w:r w:rsidRPr="000F4C2C">
        <w:rPr>
          <w:rFonts w:asciiTheme="minorHAnsi" w:hAnsiTheme="minorHAnsi" w:cstheme="minorHAnsi"/>
          <w:color w:val="000000"/>
          <w:szCs w:val="24"/>
          <w:shd w:val="clear" w:color="auto" w:fill="FFFFFF"/>
        </w:rPr>
        <w:t>.</w:t>
      </w:r>
    </w:p>
    <w:p w14:paraId="61D27876" w14:textId="29B2A365" w:rsidR="00BC4F00" w:rsidRPr="000F4C2C" w:rsidRDefault="00BC4F00" w:rsidP="00BC4F00">
      <w:pPr>
        <w:spacing w:after="120"/>
        <w:rPr>
          <w:rFonts w:asciiTheme="minorHAnsi" w:hAnsiTheme="minorHAnsi" w:cstheme="minorHAnsi"/>
          <w:b/>
          <w:bCs/>
          <w:szCs w:val="24"/>
        </w:rPr>
      </w:pPr>
      <w:r w:rsidRPr="000F4C2C">
        <w:rPr>
          <w:rFonts w:asciiTheme="minorHAnsi" w:hAnsiTheme="minorHAnsi" w:cstheme="minorHAnsi"/>
          <w:b/>
          <w:bCs/>
          <w:szCs w:val="24"/>
        </w:rPr>
        <w:t>Part 3 – Charge for compliance audit</w:t>
      </w:r>
    </w:p>
    <w:p w14:paraId="6264304A" w14:textId="386C119B" w:rsidR="00BC4F00" w:rsidRPr="000F4C2C" w:rsidRDefault="00BC4F00" w:rsidP="00BC4F00">
      <w:pPr>
        <w:spacing w:after="120"/>
        <w:rPr>
          <w:rFonts w:asciiTheme="minorHAnsi" w:hAnsiTheme="minorHAnsi" w:cstheme="minorHAnsi"/>
          <w:szCs w:val="24"/>
        </w:rPr>
      </w:pPr>
      <w:r w:rsidRPr="000F4C2C">
        <w:rPr>
          <w:rFonts w:asciiTheme="minorHAnsi" w:hAnsiTheme="minorHAnsi" w:cstheme="minorHAnsi"/>
          <w:b/>
          <w:bCs/>
          <w:szCs w:val="24"/>
        </w:rPr>
        <w:t>Section 7</w:t>
      </w:r>
      <w:r w:rsidRPr="000F4C2C">
        <w:rPr>
          <w:rFonts w:asciiTheme="minorHAnsi" w:hAnsiTheme="minorHAnsi" w:cstheme="minorHAnsi"/>
          <w:b/>
          <w:bCs/>
          <w:szCs w:val="24"/>
        </w:rPr>
        <w:tab/>
        <w:t xml:space="preserve">Amount and calculation of charge </w:t>
      </w:r>
    </w:p>
    <w:p w14:paraId="56BE6917" w14:textId="63345C2C" w:rsidR="00BC4F00" w:rsidRPr="000F4C2C" w:rsidRDefault="00BC4F00" w:rsidP="00BC4F00">
      <w:pPr>
        <w:keepNext/>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Section 7 </w:t>
      </w:r>
      <w:r w:rsidR="00CC78D8" w:rsidRPr="000F4C2C">
        <w:rPr>
          <w:rFonts w:asciiTheme="minorHAnsi" w:hAnsiTheme="minorHAnsi" w:cstheme="minorHAnsi"/>
          <w:color w:val="000000"/>
          <w:szCs w:val="24"/>
          <w:shd w:val="clear" w:color="auto" w:fill="FFFFFF"/>
        </w:rPr>
        <w:t>determines</w:t>
      </w:r>
      <w:r w:rsidRPr="000F4C2C">
        <w:rPr>
          <w:rFonts w:asciiTheme="minorHAnsi" w:hAnsiTheme="minorHAnsi" w:cstheme="minorHAnsi"/>
          <w:color w:val="000000"/>
          <w:szCs w:val="24"/>
          <w:shd w:val="clear" w:color="auto" w:fill="FFFFFF"/>
        </w:rPr>
        <w:t xml:space="preserve"> the amount and calculation of a charge for </w:t>
      </w:r>
      <w:r w:rsidR="00CC78D8" w:rsidRPr="000F4C2C">
        <w:rPr>
          <w:rFonts w:asciiTheme="minorHAnsi" w:hAnsiTheme="minorHAnsi" w:cstheme="minorHAnsi"/>
          <w:color w:val="000000"/>
          <w:szCs w:val="24"/>
          <w:shd w:val="clear" w:color="auto" w:fill="FFFFFF"/>
        </w:rPr>
        <w:t>the National VET Regulator conducting a compliance audit of an NVR registered training organisation’s operations</w:t>
      </w:r>
      <w:r w:rsidRPr="000F4C2C">
        <w:rPr>
          <w:rFonts w:asciiTheme="minorHAnsi" w:hAnsiTheme="minorHAnsi" w:cstheme="minorHAnsi"/>
          <w:color w:val="000000"/>
          <w:szCs w:val="24"/>
          <w:shd w:val="clear" w:color="auto" w:fill="FFFFFF"/>
        </w:rPr>
        <w:t>.</w:t>
      </w:r>
    </w:p>
    <w:p w14:paraId="4BBFB9E6" w14:textId="175AA71B" w:rsidR="00BC4F00" w:rsidRPr="000F4C2C" w:rsidRDefault="00BC4F00" w:rsidP="00BC4F00">
      <w:pPr>
        <w:keepNext/>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Subsection 7(1) provides that the amount of a charge for a compliance audit payable by an NVR registered training organisation for the financial year commencing on 1 July 2022 and each later year is to be worked out according to the formula in subsection (2). </w:t>
      </w:r>
    </w:p>
    <w:p w14:paraId="2FF1D1DA" w14:textId="545AB927" w:rsidR="00222BF5" w:rsidRPr="000F4C2C" w:rsidRDefault="00BC4F00" w:rsidP="00BC4F00">
      <w:pPr>
        <w:keepNext/>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Subsection 7(2) provides that the amount of charge payable is $250 per hour the National VET Regulator spends on conducting the compliance audit, with charges applied in 15</w:t>
      </w:r>
      <w:r w:rsidRPr="000F4C2C">
        <w:rPr>
          <w:rFonts w:asciiTheme="minorHAnsi" w:hAnsiTheme="minorHAnsi" w:cstheme="minorHAnsi"/>
          <w:color w:val="000000"/>
          <w:szCs w:val="24"/>
          <w:shd w:val="clear" w:color="auto" w:fill="FFFFFF"/>
        </w:rPr>
        <w:noBreakHyphen/>
        <w:t>minute increments on a pro-rata basis.</w:t>
      </w:r>
    </w:p>
    <w:p w14:paraId="41A04B82" w14:textId="3D7D9604" w:rsidR="00222BF5" w:rsidRPr="000F4C2C" w:rsidRDefault="00222BF5" w:rsidP="00222BF5">
      <w:pPr>
        <w:spacing w:after="160" w:line="259" w:lineRule="auto"/>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br w:type="page"/>
      </w:r>
    </w:p>
    <w:p w14:paraId="71AB42C5" w14:textId="55D25BA8" w:rsidR="00BC4F00" w:rsidRPr="000F4C2C" w:rsidRDefault="00BC4F00" w:rsidP="00BC4F00">
      <w:pPr>
        <w:spacing w:after="120"/>
        <w:rPr>
          <w:rFonts w:asciiTheme="minorHAnsi" w:hAnsiTheme="minorHAnsi" w:cstheme="minorHAnsi"/>
          <w:b/>
          <w:bCs/>
          <w:szCs w:val="24"/>
        </w:rPr>
      </w:pPr>
      <w:r w:rsidRPr="000F4C2C">
        <w:rPr>
          <w:rFonts w:asciiTheme="minorHAnsi" w:hAnsiTheme="minorHAnsi" w:cstheme="minorHAnsi"/>
          <w:b/>
          <w:bCs/>
          <w:szCs w:val="24"/>
        </w:rPr>
        <w:lastRenderedPageBreak/>
        <w:t>Part 4 – Charge for the investigation of a complaint about an NVR registered training organisation</w:t>
      </w:r>
    </w:p>
    <w:p w14:paraId="522D76ED" w14:textId="324071EB" w:rsidR="00BC4F00" w:rsidRPr="000F4C2C" w:rsidRDefault="00BC4F00" w:rsidP="00BC4F00">
      <w:pPr>
        <w:spacing w:after="120"/>
        <w:rPr>
          <w:rFonts w:asciiTheme="minorHAnsi" w:hAnsiTheme="minorHAnsi" w:cstheme="minorHAnsi"/>
          <w:szCs w:val="24"/>
        </w:rPr>
      </w:pPr>
      <w:r w:rsidRPr="000F4C2C">
        <w:rPr>
          <w:rFonts w:asciiTheme="minorHAnsi" w:hAnsiTheme="minorHAnsi" w:cstheme="minorHAnsi"/>
          <w:b/>
          <w:bCs/>
          <w:szCs w:val="24"/>
        </w:rPr>
        <w:t>Section 8</w:t>
      </w:r>
      <w:r w:rsidRPr="000F4C2C">
        <w:rPr>
          <w:rFonts w:asciiTheme="minorHAnsi" w:hAnsiTheme="minorHAnsi" w:cstheme="minorHAnsi"/>
          <w:b/>
          <w:bCs/>
          <w:szCs w:val="24"/>
        </w:rPr>
        <w:tab/>
        <w:t xml:space="preserve">Amount and calculation of charge </w:t>
      </w:r>
    </w:p>
    <w:p w14:paraId="0144BF98" w14:textId="3BC1671D" w:rsidR="00BC4F00" w:rsidRPr="000F4C2C" w:rsidRDefault="00BC4F00" w:rsidP="00BC4F00">
      <w:pPr>
        <w:keepNext/>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Section 8 </w:t>
      </w:r>
      <w:r w:rsidR="00CC78D8" w:rsidRPr="000F4C2C">
        <w:rPr>
          <w:rFonts w:asciiTheme="minorHAnsi" w:hAnsiTheme="minorHAnsi" w:cstheme="minorHAnsi"/>
          <w:color w:val="000000"/>
          <w:szCs w:val="24"/>
          <w:shd w:val="clear" w:color="auto" w:fill="FFFFFF"/>
        </w:rPr>
        <w:t>determines</w:t>
      </w:r>
      <w:r w:rsidRPr="000F4C2C">
        <w:rPr>
          <w:rFonts w:asciiTheme="minorHAnsi" w:hAnsiTheme="minorHAnsi" w:cstheme="minorHAnsi"/>
          <w:color w:val="000000"/>
          <w:szCs w:val="24"/>
          <w:shd w:val="clear" w:color="auto" w:fill="FFFFFF"/>
        </w:rPr>
        <w:t xml:space="preserve"> the amount and calculation of a charge </w:t>
      </w:r>
      <w:r w:rsidR="00CC78D8" w:rsidRPr="000F4C2C">
        <w:rPr>
          <w:rFonts w:asciiTheme="minorHAnsi" w:hAnsiTheme="minorHAnsi" w:cstheme="minorHAnsi"/>
          <w:color w:val="000000"/>
          <w:szCs w:val="24"/>
          <w:shd w:val="clear" w:color="auto" w:fill="FFFFFF"/>
        </w:rPr>
        <w:t xml:space="preserve">the National VET Regulator investigating a complaint about an NVR registered training organisation, where the National VET Regulator finds that the complaint is substantiated. </w:t>
      </w:r>
    </w:p>
    <w:p w14:paraId="3BA15C81" w14:textId="62C5785B" w:rsidR="00CC78D8" w:rsidRPr="000F4C2C" w:rsidRDefault="00CC78D8" w:rsidP="00BC4F00">
      <w:pPr>
        <w:keepNext/>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Subsection 8(1) provides that the amount of charge payable by an NVR registered training organisation for the financial year commencing on 1 July 2022 and each later financial year is to be worked out according to the formula set out in subsection (2), subject to subsections (3) and (4).</w:t>
      </w:r>
    </w:p>
    <w:p w14:paraId="4CA73065" w14:textId="0A955F81" w:rsidR="00CC78D8" w:rsidRPr="000F4C2C" w:rsidRDefault="00CC78D8" w:rsidP="00BC4F00">
      <w:pPr>
        <w:keepNext/>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Subsection 8(2) provides that the amount of charge payable is:</w:t>
      </w:r>
    </w:p>
    <w:p w14:paraId="1F7D91B6" w14:textId="4BB95CC2" w:rsidR="00CC78D8" w:rsidRPr="000F4C2C" w:rsidRDefault="00CC78D8" w:rsidP="00CC78D8">
      <w:pPr>
        <w:pStyle w:val="ListParagraph"/>
        <w:keepNext/>
        <w:numPr>
          <w:ilvl w:val="0"/>
          <w:numId w:val="14"/>
        </w:numPr>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$250 per hour the National VET Regulator spends on conducting the investigation, with charges applied in 15-minute increments on a pro-rata basis; plus</w:t>
      </w:r>
    </w:p>
    <w:p w14:paraId="21285924" w14:textId="253EDDA4" w:rsidR="00CC78D8" w:rsidRPr="000F4C2C" w:rsidRDefault="00CC78D8" w:rsidP="00CC78D8">
      <w:pPr>
        <w:pStyle w:val="ListParagraph"/>
        <w:keepNext/>
        <w:numPr>
          <w:ilvl w:val="0"/>
          <w:numId w:val="14"/>
        </w:numPr>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if a compliance audit is conducted as part of the investigation, $250 per hour the Regulator spends on conducting the audit, with charges applied in 15-minute increments on a pro-rata basis.</w:t>
      </w:r>
    </w:p>
    <w:p w14:paraId="77C9AB06" w14:textId="533B247E" w:rsidR="00CC78D8" w:rsidRPr="000F4C2C" w:rsidRDefault="00CC78D8" w:rsidP="00CC78D8">
      <w:pPr>
        <w:keepNext/>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Subsection 8(3) provides that there is no charge payable for the Regulator investigating a complaint if the total time the Regulator spends on conducting the investigation is less than 30 minutes. </w:t>
      </w:r>
    </w:p>
    <w:p w14:paraId="54941C61" w14:textId="2962E72C" w:rsidR="00222BF5" w:rsidRPr="000F4C2C" w:rsidRDefault="00CC78D8" w:rsidP="00CC78D8">
      <w:pPr>
        <w:keepNext/>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Subsection 8(4) provides that there is no charge payable for the Regulator conducting a compliance audit as part of an investigation into a complaint if the total time the Regulator spends on conducting the audit is less than 30 minutes.</w:t>
      </w:r>
    </w:p>
    <w:p w14:paraId="070621CE" w14:textId="114B91DD" w:rsidR="00222BF5" w:rsidRPr="000F4C2C" w:rsidRDefault="00222BF5" w:rsidP="00222BF5">
      <w:pPr>
        <w:spacing w:after="160" w:line="259" w:lineRule="auto"/>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br w:type="page"/>
      </w:r>
    </w:p>
    <w:p w14:paraId="207FF900" w14:textId="4C542979" w:rsidR="00CC78D8" w:rsidRPr="000F4C2C" w:rsidRDefault="00CC78D8" w:rsidP="00CC78D8">
      <w:pPr>
        <w:spacing w:after="120"/>
        <w:rPr>
          <w:rFonts w:asciiTheme="minorHAnsi" w:hAnsiTheme="minorHAnsi" w:cstheme="minorHAnsi"/>
          <w:b/>
          <w:bCs/>
          <w:szCs w:val="24"/>
        </w:rPr>
      </w:pPr>
      <w:r w:rsidRPr="000F4C2C">
        <w:rPr>
          <w:rFonts w:asciiTheme="minorHAnsi" w:hAnsiTheme="minorHAnsi" w:cstheme="minorHAnsi"/>
          <w:b/>
          <w:bCs/>
          <w:szCs w:val="24"/>
        </w:rPr>
        <w:lastRenderedPageBreak/>
        <w:t>Part 5 – Circumstances in which a charge may be waived</w:t>
      </w:r>
    </w:p>
    <w:p w14:paraId="68803510" w14:textId="27B98BEC" w:rsidR="00CC78D8" w:rsidRPr="000F4C2C" w:rsidRDefault="00CC78D8" w:rsidP="00CC78D8">
      <w:pPr>
        <w:spacing w:after="120"/>
        <w:rPr>
          <w:rFonts w:asciiTheme="minorHAnsi" w:hAnsiTheme="minorHAnsi" w:cstheme="minorHAnsi"/>
          <w:szCs w:val="24"/>
        </w:rPr>
      </w:pPr>
      <w:r w:rsidRPr="000F4C2C">
        <w:rPr>
          <w:rFonts w:asciiTheme="minorHAnsi" w:hAnsiTheme="minorHAnsi" w:cstheme="minorHAnsi"/>
          <w:b/>
          <w:bCs/>
          <w:szCs w:val="24"/>
        </w:rPr>
        <w:t>Section 9</w:t>
      </w:r>
      <w:r w:rsidRPr="000F4C2C">
        <w:rPr>
          <w:rFonts w:asciiTheme="minorHAnsi" w:hAnsiTheme="minorHAnsi" w:cstheme="minorHAnsi"/>
          <w:b/>
          <w:bCs/>
          <w:szCs w:val="24"/>
        </w:rPr>
        <w:tab/>
        <w:t xml:space="preserve">Circumstances in which a charge may be waived in whole or in part </w:t>
      </w:r>
    </w:p>
    <w:p w14:paraId="5F0DB8B7" w14:textId="7560C5A0" w:rsidR="00CC78D8" w:rsidRPr="000F4C2C" w:rsidRDefault="00CC78D8" w:rsidP="00CC78D8">
      <w:pPr>
        <w:keepNext/>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Section 9 determines the circumstances in which a charged imposed by the Act may be waived in whole or in part.</w:t>
      </w:r>
    </w:p>
    <w:p w14:paraId="1C8A8316" w14:textId="3AB38147" w:rsidR="00D50056" w:rsidRPr="000F4C2C" w:rsidRDefault="00D50056" w:rsidP="00CC78D8">
      <w:pPr>
        <w:keepNext/>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Subsection 9(1) provides that the National VET Regulator may waive a charge under the Act, in whole or in part, where the Regulator determines that:</w:t>
      </w:r>
    </w:p>
    <w:p w14:paraId="137345EB" w14:textId="65B2061B" w:rsidR="00D50056" w:rsidRPr="000F4C2C" w:rsidRDefault="00D50056" w:rsidP="00D50056">
      <w:pPr>
        <w:pStyle w:val="ListParagraph"/>
        <w:keepNext/>
        <w:numPr>
          <w:ilvl w:val="0"/>
          <w:numId w:val="17"/>
        </w:numPr>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special or unusual circumstances exist which cause the charge to be unreasonable or inequitable; or</w:t>
      </w:r>
    </w:p>
    <w:p w14:paraId="79A1143E" w14:textId="000B65FE" w:rsidR="00D50056" w:rsidRPr="000F4C2C" w:rsidRDefault="00D50056" w:rsidP="00D50056">
      <w:pPr>
        <w:pStyle w:val="ListParagraph"/>
        <w:keepNext/>
        <w:numPr>
          <w:ilvl w:val="0"/>
          <w:numId w:val="17"/>
        </w:numPr>
        <w:spacing w:before="240"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it would be uneconomical to pursue the amount of the charge that remains unpaid. </w:t>
      </w:r>
    </w:p>
    <w:p w14:paraId="4AF23F9C" w14:textId="1814EC08" w:rsidR="00DC2E19" w:rsidRPr="000F4C2C" w:rsidRDefault="00D50056" w:rsidP="00DC2E19">
      <w:pPr>
        <w:keepNext/>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Subsection 9(2) provides that </w:t>
      </w:r>
      <w:r w:rsidR="00322FE8" w:rsidRPr="000F4C2C">
        <w:rPr>
          <w:rFonts w:asciiTheme="minorHAnsi" w:hAnsiTheme="minorHAnsi" w:cstheme="minorHAnsi"/>
          <w:color w:val="000000"/>
          <w:szCs w:val="24"/>
          <w:shd w:val="clear" w:color="auto" w:fill="FFFFFF"/>
        </w:rPr>
        <w:t>the following circumstances do not constitute special or unusual circumstances:</w:t>
      </w:r>
    </w:p>
    <w:p w14:paraId="75AFB257" w14:textId="22341797" w:rsidR="00322FE8" w:rsidRPr="000F4C2C" w:rsidRDefault="00322FE8" w:rsidP="00322FE8">
      <w:pPr>
        <w:pStyle w:val="ListParagraph"/>
        <w:keepNext/>
        <w:numPr>
          <w:ilvl w:val="0"/>
          <w:numId w:val="18"/>
        </w:numPr>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where the person required to pay the charge did not consent to the compliance audit or complaint investigation that resulted in the imposition of a charge; or</w:t>
      </w:r>
    </w:p>
    <w:p w14:paraId="4379B7F3" w14:textId="0B2B9DE1" w:rsidR="00322FE8" w:rsidRPr="000F4C2C" w:rsidRDefault="00322FE8" w:rsidP="00322FE8">
      <w:pPr>
        <w:pStyle w:val="ListParagraph"/>
        <w:keepNext/>
        <w:numPr>
          <w:ilvl w:val="0"/>
          <w:numId w:val="18"/>
        </w:numPr>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where the person required to pay the charge does not agree with the outcome of the compliance audit or complaint investigation that resulted in the imposition of a charge; or</w:t>
      </w:r>
    </w:p>
    <w:p w14:paraId="23546DC6" w14:textId="482CA0B3" w:rsidR="00322FE8" w:rsidRPr="000F4C2C" w:rsidRDefault="00322FE8" w:rsidP="00322FE8">
      <w:pPr>
        <w:pStyle w:val="ListParagraph"/>
        <w:keepNext/>
        <w:numPr>
          <w:ilvl w:val="0"/>
          <w:numId w:val="18"/>
        </w:numPr>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 xml:space="preserve">where the person required to pay the charge ceases to </w:t>
      </w:r>
      <w:proofErr w:type="gramStart"/>
      <w:r w:rsidRPr="000F4C2C">
        <w:rPr>
          <w:rFonts w:asciiTheme="minorHAnsi" w:hAnsiTheme="minorHAnsi" w:cstheme="minorHAnsi"/>
          <w:color w:val="000000"/>
          <w:szCs w:val="24"/>
          <w:shd w:val="clear" w:color="auto" w:fill="FFFFFF"/>
        </w:rPr>
        <w:t>exist, or</w:t>
      </w:r>
      <w:proofErr w:type="gramEnd"/>
      <w:r w:rsidRPr="000F4C2C">
        <w:rPr>
          <w:rFonts w:asciiTheme="minorHAnsi" w:hAnsiTheme="minorHAnsi" w:cstheme="minorHAnsi"/>
          <w:color w:val="000000"/>
          <w:szCs w:val="24"/>
          <w:shd w:val="clear" w:color="auto" w:fill="FFFFFF"/>
        </w:rPr>
        <w:t xml:space="preserve"> ceases to be registered under either the </w:t>
      </w:r>
      <w:r w:rsidRPr="000F4C2C">
        <w:rPr>
          <w:rFonts w:asciiTheme="minorHAnsi" w:hAnsiTheme="minorHAnsi" w:cstheme="minorHAnsi"/>
          <w:i/>
          <w:iCs/>
          <w:color w:val="000000"/>
          <w:szCs w:val="24"/>
          <w:shd w:val="clear" w:color="auto" w:fill="FFFFFF"/>
        </w:rPr>
        <w:t>National Vocational Education and Training Regulator Act 2011</w:t>
      </w:r>
      <w:r w:rsidRPr="000F4C2C">
        <w:rPr>
          <w:rFonts w:asciiTheme="minorHAnsi" w:hAnsiTheme="minorHAnsi" w:cstheme="minorHAnsi"/>
          <w:color w:val="000000"/>
          <w:szCs w:val="24"/>
          <w:shd w:val="clear" w:color="auto" w:fill="FFFFFF"/>
        </w:rPr>
        <w:t xml:space="preserve"> or the </w:t>
      </w:r>
      <w:r w:rsidRPr="000F4C2C">
        <w:rPr>
          <w:rFonts w:asciiTheme="minorHAnsi" w:hAnsiTheme="minorHAnsi" w:cstheme="minorHAnsi"/>
          <w:i/>
          <w:iCs/>
          <w:color w:val="000000"/>
          <w:szCs w:val="24"/>
          <w:shd w:val="clear" w:color="auto" w:fill="FFFFFF"/>
        </w:rPr>
        <w:t>Education Services for Overseas Students Act 2000</w:t>
      </w:r>
      <w:r w:rsidRPr="000F4C2C">
        <w:rPr>
          <w:rFonts w:asciiTheme="minorHAnsi" w:hAnsiTheme="minorHAnsi" w:cstheme="minorHAnsi"/>
          <w:color w:val="000000"/>
          <w:szCs w:val="24"/>
          <w:shd w:val="clear" w:color="auto" w:fill="FFFFFF"/>
        </w:rPr>
        <w:t>.</w:t>
      </w:r>
    </w:p>
    <w:p w14:paraId="54B64869" w14:textId="4BDD6653" w:rsidR="00D50056" w:rsidRDefault="00322FE8" w:rsidP="00DC2E19">
      <w:pPr>
        <w:keepNext/>
        <w:spacing w:after="120"/>
        <w:rPr>
          <w:rFonts w:asciiTheme="minorHAnsi" w:hAnsiTheme="minorHAnsi" w:cstheme="minorHAnsi"/>
          <w:color w:val="000000"/>
          <w:szCs w:val="24"/>
          <w:shd w:val="clear" w:color="auto" w:fill="FFFFFF"/>
        </w:rPr>
      </w:pPr>
      <w:r w:rsidRPr="000F4C2C">
        <w:rPr>
          <w:rFonts w:asciiTheme="minorHAnsi" w:hAnsiTheme="minorHAnsi" w:cstheme="minorHAnsi"/>
          <w:color w:val="000000"/>
          <w:szCs w:val="24"/>
          <w:shd w:val="clear" w:color="auto" w:fill="FFFFFF"/>
        </w:rPr>
        <w:t>Subsection 9(3) clarifies that circumstances related to the COVID-19 pandemic are special or unusual circumstances which could cause the charge to be unreasonable or inequitable for the purposes of paragraph (1)(a).</w:t>
      </w:r>
    </w:p>
    <w:sectPr w:rsidR="00D50056" w:rsidSect="00D5005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793D" w14:textId="77777777" w:rsidR="00BB29FB" w:rsidRDefault="00BB29FB" w:rsidP="00783FAB">
      <w:pPr>
        <w:spacing w:after="0" w:line="240" w:lineRule="auto"/>
      </w:pPr>
      <w:r>
        <w:separator/>
      </w:r>
    </w:p>
  </w:endnote>
  <w:endnote w:type="continuationSeparator" w:id="0">
    <w:p w14:paraId="39894EC6" w14:textId="77777777" w:rsidR="00BB29FB" w:rsidRDefault="00BB29FB" w:rsidP="00783FAB">
      <w:pPr>
        <w:spacing w:after="0" w:line="240" w:lineRule="auto"/>
      </w:pPr>
      <w:r>
        <w:continuationSeparator/>
      </w:r>
    </w:p>
  </w:endnote>
  <w:endnote w:type="continuationNotice" w:id="1">
    <w:p w14:paraId="052C7859" w14:textId="77777777" w:rsidR="00BB29FB" w:rsidRDefault="00BB2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2E56" w14:textId="77777777" w:rsidR="00257456" w:rsidRDefault="00257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2B6E" w14:textId="77777777" w:rsidR="00257456" w:rsidRDefault="00257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1C6B3" w14:textId="77777777" w:rsidR="00BB29FB" w:rsidRDefault="00BB29FB" w:rsidP="00783FAB">
      <w:pPr>
        <w:spacing w:after="0" w:line="240" w:lineRule="auto"/>
      </w:pPr>
      <w:r>
        <w:separator/>
      </w:r>
    </w:p>
  </w:footnote>
  <w:footnote w:type="continuationSeparator" w:id="0">
    <w:p w14:paraId="066A35F6" w14:textId="77777777" w:rsidR="00BB29FB" w:rsidRDefault="00BB29FB" w:rsidP="00783FAB">
      <w:pPr>
        <w:spacing w:after="0" w:line="240" w:lineRule="auto"/>
      </w:pPr>
      <w:r>
        <w:continuationSeparator/>
      </w:r>
    </w:p>
  </w:footnote>
  <w:footnote w:type="continuationNotice" w:id="1">
    <w:p w14:paraId="538C2EBA" w14:textId="77777777" w:rsidR="00BB29FB" w:rsidRDefault="00BB29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7EC2" w14:textId="77777777" w:rsidR="00257456" w:rsidRDefault="00257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ACA8" w14:textId="77777777" w:rsidR="00257456" w:rsidRDefault="00257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DD65" w14:textId="77777777" w:rsidR="00257456" w:rsidRDefault="00257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A17"/>
    <w:multiLevelType w:val="hybridMultilevel"/>
    <w:tmpl w:val="6094665C"/>
    <w:lvl w:ilvl="0" w:tplc="6BC01262">
      <w:start w:val="1"/>
      <w:numFmt w:val="decimal"/>
      <w:lvlText w:val="%1."/>
      <w:lvlJc w:val="left"/>
      <w:pPr>
        <w:ind w:left="720" w:hanging="360"/>
      </w:pPr>
      <w:rPr>
        <w:rFonts w:ascii="Calibri" w:hAnsi="Calibri" w:cs="Calibri" w:hint="default"/>
        <w:i w:val="0"/>
        <w:iCs/>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76DA2"/>
    <w:multiLevelType w:val="hybridMultilevel"/>
    <w:tmpl w:val="7BBAF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D566B8"/>
    <w:multiLevelType w:val="hybridMultilevel"/>
    <w:tmpl w:val="811A24AE"/>
    <w:lvl w:ilvl="0" w:tplc="6A34C062">
      <w:start w:val="1"/>
      <w:numFmt w:val="lowerLetter"/>
      <w:lvlText w:val="(%1)"/>
      <w:lvlJc w:val="left"/>
      <w:pPr>
        <w:ind w:left="1494" w:hanging="360"/>
      </w:pPr>
      <w:rPr>
        <w:rFonts w:hint="default"/>
        <w:b w:val="0"/>
        <w:bCs w:val="0"/>
        <w:i w:val="0"/>
        <w:iCs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5F28B4"/>
    <w:multiLevelType w:val="hybridMultilevel"/>
    <w:tmpl w:val="C11AB52C"/>
    <w:lvl w:ilvl="0" w:tplc="BE88D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5D6C9F"/>
    <w:multiLevelType w:val="hybridMultilevel"/>
    <w:tmpl w:val="38BAA792"/>
    <w:lvl w:ilvl="0" w:tplc="0A70A7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AA75E1E"/>
    <w:multiLevelType w:val="hybridMultilevel"/>
    <w:tmpl w:val="D714C63A"/>
    <w:lvl w:ilvl="0" w:tplc="64E62A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0D43DCB"/>
    <w:multiLevelType w:val="hybridMultilevel"/>
    <w:tmpl w:val="51D862F4"/>
    <w:lvl w:ilvl="0" w:tplc="31BE92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D56666"/>
    <w:multiLevelType w:val="hybridMultilevel"/>
    <w:tmpl w:val="C65E95BE"/>
    <w:lvl w:ilvl="0" w:tplc="6ACE02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2C6526"/>
    <w:multiLevelType w:val="hybridMultilevel"/>
    <w:tmpl w:val="4016F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EE62A5"/>
    <w:multiLevelType w:val="hybridMultilevel"/>
    <w:tmpl w:val="2946D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4A4CFD"/>
    <w:multiLevelType w:val="hybridMultilevel"/>
    <w:tmpl w:val="6B507A48"/>
    <w:lvl w:ilvl="0" w:tplc="AFA2515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5A1330"/>
    <w:multiLevelType w:val="hybridMultilevel"/>
    <w:tmpl w:val="7586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B6EE4"/>
    <w:multiLevelType w:val="hybridMultilevel"/>
    <w:tmpl w:val="0BAACF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300423"/>
    <w:multiLevelType w:val="hybridMultilevel"/>
    <w:tmpl w:val="A1EA189E"/>
    <w:lvl w:ilvl="0" w:tplc="6B4813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C54DE6"/>
    <w:multiLevelType w:val="hybridMultilevel"/>
    <w:tmpl w:val="EE06170E"/>
    <w:lvl w:ilvl="0" w:tplc="8544FD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CE1704"/>
    <w:multiLevelType w:val="hybridMultilevel"/>
    <w:tmpl w:val="6368084A"/>
    <w:lvl w:ilvl="0" w:tplc="837A64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A40266"/>
    <w:multiLevelType w:val="hybridMultilevel"/>
    <w:tmpl w:val="71206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182402"/>
    <w:multiLevelType w:val="hybridMultilevel"/>
    <w:tmpl w:val="16842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A22891"/>
    <w:multiLevelType w:val="hybridMultilevel"/>
    <w:tmpl w:val="FA34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124F58"/>
    <w:multiLevelType w:val="hybridMultilevel"/>
    <w:tmpl w:val="61CC23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4"/>
  </w:num>
  <w:num w:numId="4">
    <w:abstractNumId w:val="18"/>
  </w:num>
  <w:num w:numId="5">
    <w:abstractNumId w:val="19"/>
  </w:num>
  <w:num w:numId="6">
    <w:abstractNumId w:val="20"/>
  </w:num>
  <w:num w:numId="7">
    <w:abstractNumId w:val="12"/>
  </w:num>
  <w:num w:numId="8">
    <w:abstractNumId w:val="14"/>
  </w:num>
  <w:num w:numId="9">
    <w:abstractNumId w:val="1"/>
  </w:num>
  <w:num w:numId="10">
    <w:abstractNumId w:val="0"/>
  </w:num>
  <w:num w:numId="11">
    <w:abstractNumId w:val="2"/>
  </w:num>
  <w:num w:numId="12">
    <w:abstractNumId w:val="9"/>
  </w:num>
  <w:num w:numId="13">
    <w:abstractNumId w:val="17"/>
  </w:num>
  <w:num w:numId="14">
    <w:abstractNumId w:val="7"/>
  </w:num>
  <w:num w:numId="15">
    <w:abstractNumId w:val="5"/>
  </w:num>
  <w:num w:numId="16">
    <w:abstractNumId w:val="6"/>
  </w:num>
  <w:num w:numId="17">
    <w:abstractNumId w:val="8"/>
  </w:num>
  <w:num w:numId="18">
    <w:abstractNumId w:val="16"/>
  </w:num>
  <w:num w:numId="19">
    <w:abstractNumId w:val="21"/>
  </w:num>
  <w:num w:numId="20">
    <w:abstractNumId w:val="11"/>
  </w:num>
  <w:num w:numId="21">
    <w:abstractNumId w:val="15"/>
  </w:num>
  <w:num w:numId="22">
    <w:abstractNumId w:val="10"/>
  </w:num>
  <w:num w:numId="2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4C8"/>
    <w:rsid w:val="00011E4D"/>
    <w:rsid w:val="000138CF"/>
    <w:rsid w:val="000140D5"/>
    <w:rsid w:val="000146FA"/>
    <w:rsid w:val="0001554B"/>
    <w:rsid w:val="00016AFF"/>
    <w:rsid w:val="00017F54"/>
    <w:rsid w:val="0002233E"/>
    <w:rsid w:val="000305EA"/>
    <w:rsid w:val="00031E3C"/>
    <w:rsid w:val="00032CB3"/>
    <w:rsid w:val="00036FAE"/>
    <w:rsid w:val="00044508"/>
    <w:rsid w:val="000451B6"/>
    <w:rsid w:val="00047668"/>
    <w:rsid w:val="00047712"/>
    <w:rsid w:val="00047A2A"/>
    <w:rsid w:val="0005020B"/>
    <w:rsid w:val="00050784"/>
    <w:rsid w:val="00057815"/>
    <w:rsid w:val="00057A1E"/>
    <w:rsid w:val="000614A1"/>
    <w:rsid w:val="00062794"/>
    <w:rsid w:val="0006484E"/>
    <w:rsid w:val="000668B0"/>
    <w:rsid w:val="00075530"/>
    <w:rsid w:val="00076E76"/>
    <w:rsid w:val="00083516"/>
    <w:rsid w:val="00083F41"/>
    <w:rsid w:val="000846B7"/>
    <w:rsid w:val="00085F57"/>
    <w:rsid w:val="0009791C"/>
    <w:rsid w:val="000A2A28"/>
    <w:rsid w:val="000A2D3A"/>
    <w:rsid w:val="000A3124"/>
    <w:rsid w:val="000A35D6"/>
    <w:rsid w:val="000B1BE1"/>
    <w:rsid w:val="000B3914"/>
    <w:rsid w:val="000B6430"/>
    <w:rsid w:val="000C0DD8"/>
    <w:rsid w:val="000C224C"/>
    <w:rsid w:val="000C34FD"/>
    <w:rsid w:val="000C4D6B"/>
    <w:rsid w:val="000C56F1"/>
    <w:rsid w:val="000D1472"/>
    <w:rsid w:val="000D5E6D"/>
    <w:rsid w:val="000E0AF8"/>
    <w:rsid w:val="000E3516"/>
    <w:rsid w:val="000E57DB"/>
    <w:rsid w:val="000E6FD6"/>
    <w:rsid w:val="000E7C90"/>
    <w:rsid w:val="000F1811"/>
    <w:rsid w:val="000F4C2C"/>
    <w:rsid w:val="000F7A8C"/>
    <w:rsid w:val="00103015"/>
    <w:rsid w:val="00103253"/>
    <w:rsid w:val="001042BA"/>
    <w:rsid w:val="00106D26"/>
    <w:rsid w:val="0011074D"/>
    <w:rsid w:val="00115148"/>
    <w:rsid w:val="001202B2"/>
    <w:rsid w:val="00120A34"/>
    <w:rsid w:val="00124260"/>
    <w:rsid w:val="00125A8E"/>
    <w:rsid w:val="00125C6E"/>
    <w:rsid w:val="0012629A"/>
    <w:rsid w:val="00127CD8"/>
    <w:rsid w:val="001301AD"/>
    <w:rsid w:val="00131B56"/>
    <w:rsid w:val="001334D9"/>
    <w:rsid w:val="0013412B"/>
    <w:rsid w:val="001377D9"/>
    <w:rsid w:val="00137ACD"/>
    <w:rsid w:val="00140DAD"/>
    <w:rsid w:val="00140E3D"/>
    <w:rsid w:val="001421FE"/>
    <w:rsid w:val="001437EA"/>
    <w:rsid w:val="00144950"/>
    <w:rsid w:val="001457F4"/>
    <w:rsid w:val="00145BE1"/>
    <w:rsid w:val="0015276C"/>
    <w:rsid w:val="00152947"/>
    <w:rsid w:val="0015508C"/>
    <w:rsid w:val="001552A3"/>
    <w:rsid w:val="00160153"/>
    <w:rsid w:val="00161A1F"/>
    <w:rsid w:val="00163982"/>
    <w:rsid w:val="00164DE0"/>
    <w:rsid w:val="0017006A"/>
    <w:rsid w:val="00173A64"/>
    <w:rsid w:val="00173E0C"/>
    <w:rsid w:val="00185491"/>
    <w:rsid w:val="00195030"/>
    <w:rsid w:val="0019696D"/>
    <w:rsid w:val="00197C3F"/>
    <w:rsid w:val="001A2FE9"/>
    <w:rsid w:val="001A4389"/>
    <w:rsid w:val="001B2664"/>
    <w:rsid w:val="001B3C7A"/>
    <w:rsid w:val="001B4B24"/>
    <w:rsid w:val="001D00E3"/>
    <w:rsid w:val="001D0AF3"/>
    <w:rsid w:val="001D1736"/>
    <w:rsid w:val="001D1D8A"/>
    <w:rsid w:val="001D36EE"/>
    <w:rsid w:val="001E07CE"/>
    <w:rsid w:val="001E0B0D"/>
    <w:rsid w:val="001E52EB"/>
    <w:rsid w:val="001E5A0B"/>
    <w:rsid w:val="001F127D"/>
    <w:rsid w:val="001F3626"/>
    <w:rsid w:val="001F7336"/>
    <w:rsid w:val="00200358"/>
    <w:rsid w:val="002005CD"/>
    <w:rsid w:val="00201F75"/>
    <w:rsid w:val="00202EC1"/>
    <w:rsid w:val="00204283"/>
    <w:rsid w:val="00204EEF"/>
    <w:rsid w:val="00205DBD"/>
    <w:rsid w:val="00207297"/>
    <w:rsid w:val="00210338"/>
    <w:rsid w:val="0021337D"/>
    <w:rsid w:val="0021350E"/>
    <w:rsid w:val="0021367D"/>
    <w:rsid w:val="00216A1C"/>
    <w:rsid w:val="00220622"/>
    <w:rsid w:val="002228EC"/>
    <w:rsid w:val="00222BF5"/>
    <w:rsid w:val="00223F82"/>
    <w:rsid w:val="00224C52"/>
    <w:rsid w:val="00232304"/>
    <w:rsid w:val="002378EE"/>
    <w:rsid w:val="002415C5"/>
    <w:rsid w:val="00242198"/>
    <w:rsid w:val="002445E3"/>
    <w:rsid w:val="00247EBF"/>
    <w:rsid w:val="00252816"/>
    <w:rsid w:val="00257456"/>
    <w:rsid w:val="00261499"/>
    <w:rsid w:val="002672A4"/>
    <w:rsid w:val="002747E8"/>
    <w:rsid w:val="00274BD0"/>
    <w:rsid w:val="00274C6D"/>
    <w:rsid w:val="00274EEA"/>
    <w:rsid w:val="0027686D"/>
    <w:rsid w:val="002808A9"/>
    <w:rsid w:val="00284C9D"/>
    <w:rsid w:val="00285324"/>
    <w:rsid w:val="002866E9"/>
    <w:rsid w:val="00286BD0"/>
    <w:rsid w:val="0028704C"/>
    <w:rsid w:val="00292863"/>
    <w:rsid w:val="00294430"/>
    <w:rsid w:val="00296CA7"/>
    <w:rsid w:val="00296FAF"/>
    <w:rsid w:val="00297EAB"/>
    <w:rsid w:val="002A15F1"/>
    <w:rsid w:val="002A4961"/>
    <w:rsid w:val="002B313C"/>
    <w:rsid w:val="002B5C28"/>
    <w:rsid w:val="002B79E9"/>
    <w:rsid w:val="002C1F84"/>
    <w:rsid w:val="002C40FB"/>
    <w:rsid w:val="002D1504"/>
    <w:rsid w:val="002D564A"/>
    <w:rsid w:val="002E12E6"/>
    <w:rsid w:val="002E296E"/>
    <w:rsid w:val="002E32FD"/>
    <w:rsid w:val="002E3E92"/>
    <w:rsid w:val="002E67B3"/>
    <w:rsid w:val="002F55B6"/>
    <w:rsid w:val="002F76C6"/>
    <w:rsid w:val="00304A88"/>
    <w:rsid w:val="00304E64"/>
    <w:rsid w:val="00307358"/>
    <w:rsid w:val="0031070C"/>
    <w:rsid w:val="00313612"/>
    <w:rsid w:val="00316053"/>
    <w:rsid w:val="003170AC"/>
    <w:rsid w:val="00322FE8"/>
    <w:rsid w:val="00323AAF"/>
    <w:rsid w:val="00326C24"/>
    <w:rsid w:val="0033070E"/>
    <w:rsid w:val="003342E1"/>
    <w:rsid w:val="0034053F"/>
    <w:rsid w:val="003440C7"/>
    <w:rsid w:val="00344475"/>
    <w:rsid w:val="00350779"/>
    <w:rsid w:val="00353D81"/>
    <w:rsid w:val="00354743"/>
    <w:rsid w:val="00365D2C"/>
    <w:rsid w:val="00367C2D"/>
    <w:rsid w:val="0037028F"/>
    <w:rsid w:val="003719BF"/>
    <w:rsid w:val="00372942"/>
    <w:rsid w:val="00375010"/>
    <w:rsid w:val="0037728A"/>
    <w:rsid w:val="00377427"/>
    <w:rsid w:val="00386B68"/>
    <w:rsid w:val="00386E17"/>
    <w:rsid w:val="0038758C"/>
    <w:rsid w:val="003913F1"/>
    <w:rsid w:val="0039281E"/>
    <w:rsid w:val="00393A61"/>
    <w:rsid w:val="00394454"/>
    <w:rsid w:val="00395655"/>
    <w:rsid w:val="003A0965"/>
    <w:rsid w:val="003A35D1"/>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CE2"/>
    <w:rsid w:val="003E4413"/>
    <w:rsid w:val="003E5B26"/>
    <w:rsid w:val="003E616F"/>
    <w:rsid w:val="003E7CBE"/>
    <w:rsid w:val="003F09F7"/>
    <w:rsid w:val="003F1AA1"/>
    <w:rsid w:val="003F24BC"/>
    <w:rsid w:val="003F77C3"/>
    <w:rsid w:val="00402CC7"/>
    <w:rsid w:val="00402D70"/>
    <w:rsid w:val="00403CE4"/>
    <w:rsid w:val="004075A3"/>
    <w:rsid w:val="004104E9"/>
    <w:rsid w:val="00410A3F"/>
    <w:rsid w:val="0041144F"/>
    <w:rsid w:val="004143B1"/>
    <w:rsid w:val="00415A55"/>
    <w:rsid w:val="00420249"/>
    <w:rsid w:val="00421DE7"/>
    <w:rsid w:val="00425A1E"/>
    <w:rsid w:val="00425FCB"/>
    <w:rsid w:val="00430F1B"/>
    <w:rsid w:val="004327E1"/>
    <w:rsid w:val="00433014"/>
    <w:rsid w:val="00434240"/>
    <w:rsid w:val="00434641"/>
    <w:rsid w:val="00434CDD"/>
    <w:rsid w:val="004355D0"/>
    <w:rsid w:val="004355E8"/>
    <w:rsid w:val="00436435"/>
    <w:rsid w:val="004427C7"/>
    <w:rsid w:val="004447A9"/>
    <w:rsid w:val="00445460"/>
    <w:rsid w:val="00446B03"/>
    <w:rsid w:val="0044797F"/>
    <w:rsid w:val="00455C2A"/>
    <w:rsid w:val="004670C3"/>
    <w:rsid w:val="0046789E"/>
    <w:rsid w:val="00472F61"/>
    <w:rsid w:val="00481DE1"/>
    <w:rsid w:val="00484B5C"/>
    <w:rsid w:val="00484DBC"/>
    <w:rsid w:val="00490BA0"/>
    <w:rsid w:val="00494834"/>
    <w:rsid w:val="0049486C"/>
    <w:rsid w:val="004A2F70"/>
    <w:rsid w:val="004A409F"/>
    <w:rsid w:val="004A48D9"/>
    <w:rsid w:val="004A6B2D"/>
    <w:rsid w:val="004B2C3F"/>
    <w:rsid w:val="004B3B89"/>
    <w:rsid w:val="004D2C64"/>
    <w:rsid w:val="004D5695"/>
    <w:rsid w:val="004D665B"/>
    <w:rsid w:val="004D7B86"/>
    <w:rsid w:val="004E2C68"/>
    <w:rsid w:val="004F53E6"/>
    <w:rsid w:val="004F54FF"/>
    <w:rsid w:val="00503218"/>
    <w:rsid w:val="00505873"/>
    <w:rsid w:val="00506F28"/>
    <w:rsid w:val="005146EC"/>
    <w:rsid w:val="00514C35"/>
    <w:rsid w:val="00515BBE"/>
    <w:rsid w:val="005169CB"/>
    <w:rsid w:val="00517337"/>
    <w:rsid w:val="005173FC"/>
    <w:rsid w:val="00524226"/>
    <w:rsid w:val="00527330"/>
    <w:rsid w:val="00532DF9"/>
    <w:rsid w:val="00536596"/>
    <w:rsid w:val="005366FF"/>
    <w:rsid w:val="00536D75"/>
    <w:rsid w:val="00537A32"/>
    <w:rsid w:val="00537D89"/>
    <w:rsid w:val="0054602B"/>
    <w:rsid w:val="00546375"/>
    <w:rsid w:val="00547C8F"/>
    <w:rsid w:val="005620CA"/>
    <w:rsid w:val="00572401"/>
    <w:rsid w:val="005732E6"/>
    <w:rsid w:val="00573739"/>
    <w:rsid w:val="00577C30"/>
    <w:rsid w:val="005812FF"/>
    <w:rsid w:val="005819C8"/>
    <w:rsid w:val="0058422E"/>
    <w:rsid w:val="005844B6"/>
    <w:rsid w:val="00584B84"/>
    <w:rsid w:val="005905A0"/>
    <w:rsid w:val="005905EA"/>
    <w:rsid w:val="00591EC0"/>
    <w:rsid w:val="005943D8"/>
    <w:rsid w:val="00597535"/>
    <w:rsid w:val="005A44D1"/>
    <w:rsid w:val="005A54B4"/>
    <w:rsid w:val="005A5F78"/>
    <w:rsid w:val="005A7050"/>
    <w:rsid w:val="005B3CBC"/>
    <w:rsid w:val="005B510A"/>
    <w:rsid w:val="005C0740"/>
    <w:rsid w:val="005C18D0"/>
    <w:rsid w:val="005D1FC7"/>
    <w:rsid w:val="005D31E4"/>
    <w:rsid w:val="005D3236"/>
    <w:rsid w:val="005E2026"/>
    <w:rsid w:val="005F4914"/>
    <w:rsid w:val="005F51E7"/>
    <w:rsid w:val="005F5DF6"/>
    <w:rsid w:val="005F5FA1"/>
    <w:rsid w:val="005F7D42"/>
    <w:rsid w:val="0060088C"/>
    <w:rsid w:val="0060311B"/>
    <w:rsid w:val="00604F05"/>
    <w:rsid w:val="00611D31"/>
    <w:rsid w:val="00614018"/>
    <w:rsid w:val="006202A1"/>
    <w:rsid w:val="0062319E"/>
    <w:rsid w:val="00625432"/>
    <w:rsid w:val="00626E42"/>
    <w:rsid w:val="00627EDA"/>
    <w:rsid w:val="00632017"/>
    <w:rsid w:val="00636200"/>
    <w:rsid w:val="00641F65"/>
    <w:rsid w:val="00645DC7"/>
    <w:rsid w:val="0064724F"/>
    <w:rsid w:val="006507CB"/>
    <w:rsid w:val="00651D68"/>
    <w:rsid w:val="00652D30"/>
    <w:rsid w:val="00654F28"/>
    <w:rsid w:val="00656314"/>
    <w:rsid w:val="00661BE8"/>
    <w:rsid w:val="00667B6F"/>
    <w:rsid w:val="00667F82"/>
    <w:rsid w:val="006700AA"/>
    <w:rsid w:val="00675A1F"/>
    <w:rsid w:val="00677A0D"/>
    <w:rsid w:val="00682BFA"/>
    <w:rsid w:val="00683087"/>
    <w:rsid w:val="00684A4C"/>
    <w:rsid w:val="00685653"/>
    <w:rsid w:val="006930D1"/>
    <w:rsid w:val="006931AD"/>
    <w:rsid w:val="006940BB"/>
    <w:rsid w:val="006968D1"/>
    <w:rsid w:val="00696CF0"/>
    <w:rsid w:val="00697001"/>
    <w:rsid w:val="006A1788"/>
    <w:rsid w:val="006A666D"/>
    <w:rsid w:val="006B054A"/>
    <w:rsid w:val="006B2ABD"/>
    <w:rsid w:val="006B2D99"/>
    <w:rsid w:val="006B6E38"/>
    <w:rsid w:val="006D0E62"/>
    <w:rsid w:val="006D4594"/>
    <w:rsid w:val="006D5081"/>
    <w:rsid w:val="006D58E2"/>
    <w:rsid w:val="006D7B6B"/>
    <w:rsid w:val="006E3838"/>
    <w:rsid w:val="006E3C40"/>
    <w:rsid w:val="006E7699"/>
    <w:rsid w:val="006F27AC"/>
    <w:rsid w:val="006F3E5C"/>
    <w:rsid w:val="006F627D"/>
    <w:rsid w:val="00701CB8"/>
    <w:rsid w:val="00701E47"/>
    <w:rsid w:val="00701EB0"/>
    <w:rsid w:val="00704121"/>
    <w:rsid w:val="00707D96"/>
    <w:rsid w:val="00707E57"/>
    <w:rsid w:val="00707F49"/>
    <w:rsid w:val="007103B5"/>
    <w:rsid w:val="007213BB"/>
    <w:rsid w:val="0072309D"/>
    <w:rsid w:val="0072758F"/>
    <w:rsid w:val="007314EF"/>
    <w:rsid w:val="0073763E"/>
    <w:rsid w:val="007452A0"/>
    <w:rsid w:val="00745FCA"/>
    <w:rsid w:val="00747943"/>
    <w:rsid w:val="00752BD5"/>
    <w:rsid w:val="00753090"/>
    <w:rsid w:val="0075573F"/>
    <w:rsid w:val="00756861"/>
    <w:rsid w:val="00756D99"/>
    <w:rsid w:val="00756F20"/>
    <w:rsid w:val="00760772"/>
    <w:rsid w:val="00760DDE"/>
    <w:rsid w:val="007620AE"/>
    <w:rsid w:val="00762B5F"/>
    <w:rsid w:val="00772715"/>
    <w:rsid w:val="007749D2"/>
    <w:rsid w:val="0077536C"/>
    <w:rsid w:val="00782538"/>
    <w:rsid w:val="007828DD"/>
    <w:rsid w:val="00783FAB"/>
    <w:rsid w:val="00785B13"/>
    <w:rsid w:val="00791AAC"/>
    <w:rsid w:val="00795969"/>
    <w:rsid w:val="007A6AF0"/>
    <w:rsid w:val="007A7113"/>
    <w:rsid w:val="007B44CD"/>
    <w:rsid w:val="007B4836"/>
    <w:rsid w:val="007B5055"/>
    <w:rsid w:val="007C5020"/>
    <w:rsid w:val="007C758E"/>
    <w:rsid w:val="007D12B2"/>
    <w:rsid w:val="007D1F16"/>
    <w:rsid w:val="007D4E08"/>
    <w:rsid w:val="007E00A8"/>
    <w:rsid w:val="007E16D6"/>
    <w:rsid w:val="007E2197"/>
    <w:rsid w:val="007E3446"/>
    <w:rsid w:val="007E3447"/>
    <w:rsid w:val="007E36E5"/>
    <w:rsid w:val="007E6EC6"/>
    <w:rsid w:val="007F563E"/>
    <w:rsid w:val="00803447"/>
    <w:rsid w:val="008035CF"/>
    <w:rsid w:val="0080584E"/>
    <w:rsid w:val="00805FEB"/>
    <w:rsid w:val="00811E34"/>
    <w:rsid w:val="00812C37"/>
    <w:rsid w:val="008134D5"/>
    <w:rsid w:val="00813A38"/>
    <w:rsid w:val="00823B66"/>
    <w:rsid w:val="00824A98"/>
    <w:rsid w:val="008310AA"/>
    <w:rsid w:val="00834114"/>
    <w:rsid w:val="00840DDF"/>
    <w:rsid w:val="00841EFE"/>
    <w:rsid w:val="00844D23"/>
    <w:rsid w:val="008462A5"/>
    <w:rsid w:val="008517D8"/>
    <w:rsid w:val="00855239"/>
    <w:rsid w:val="00855836"/>
    <w:rsid w:val="00856BC4"/>
    <w:rsid w:val="00860FDD"/>
    <w:rsid w:val="00866A62"/>
    <w:rsid w:val="00867101"/>
    <w:rsid w:val="008755D8"/>
    <w:rsid w:val="00875BD2"/>
    <w:rsid w:val="0088497A"/>
    <w:rsid w:val="008A1F97"/>
    <w:rsid w:val="008A6224"/>
    <w:rsid w:val="008B37E0"/>
    <w:rsid w:val="008B478B"/>
    <w:rsid w:val="008B61B7"/>
    <w:rsid w:val="008B61BB"/>
    <w:rsid w:val="008C48EF"/>
    <w:rsid w:val="008C497B"/>
    <w:rsid w:val="008C76FD"/>
    <w:rsid w:val="008D72EA"/>
    <w:rsid w:val="008D7625"/>
    <w:rsid w:val="008E30D6"/>
    <w:rsid w:val="008E30D9"/>
    <w:rsid w:val="008E68D3"/>
    <w:rsid w:val="008E79DF"/>
    <w:rsid w:val="008F002D"/>
    <w:rsid w:val="008F43E8"/>
    <w:rsid w:val="0090069C"/>
    <w:rsid w:val="009009C2"/>
    <w:rsid w:val="00902A26"/>
    <w:rsid w:val="00903257"/>
    <w:rsid w:val="00904410"/>
    <w:rsid w:val="009048A2"/>
    <w:rsid w:val="00905C61"/>
    <w:rsid w:val="00907D61"/>
    <w:rsid w:val="00910064"/>
    <w:rsid w:val="009114DC"/>
    <w:rsid w:val="00911D92"/>
    <w:rsid w:val="009121D3"/>
    <w:rsid w:val="009147DC"/>
    <w:rsid w:val="009176F5"/>
    <w:rsid w:val="0093285C"/>
    <w:rsid w:val="00933AD6"/>
    <w:rsid w:val="00936335"/>
    <w:rsid w:val="009410A3"/>
    <w:rsid w:val="009421AA"/>
    <w:rsid w:val="0094388B"/>
    <w:rsid w:val="0094476A"/>
    <w:rsid w:val="0094774B"/>
    <w:rsid w:val="00954C23"/>
    <w:rsid w:val="00961455"/>
    <w:rsid w:val="009621B9"/>
    <w:rsid w:val="00967FC5"/>
    <w:rsid w:val="00970AAB"/>
    <w:rsid w:val="00974504"/>
    <w:rsid w:val="00975A4A"/>
    <w:rsid w:val="00976413"/>
    <w:rsid w:val="009767B4"/>
    <w:rsid w:val="00977D37"/>
    <w:rsid w:val="009807AE"/>
    <w:rsid w:val="00990334"/>
    <w:rsid w:val="00991158"/>
    <w:rsid w:val="0099199E"/>
    <w:rsid w:val="00995C44"/>
    <w:rsid w:val="009A04A5"/>
    <w:rsid w:val="009A0A0F"/>
    <w:rsid w:val="009A35A0"/>
    <w:rsid w:val="009A7CFA"/>
    <w:rsid w:val="009B0C51"/>
    <w:rsid w:val="009B2183"/>
    <w:rsid w:val="009B29AC"/>
    <w:rsid w:val="009B4B7F"/>
    <w:rsid w:val="009C0F35"/>
    <w:rsid w:val="009C10C1"/>
    <w:rsid w:val="009C4F55"/>
    <w:rsid w:val="009C5E5D"/>
    <w:rsid w:val="009D1C6C"/>
    <w:rsid w:val="009D23FB"/>
    <w:rsid w:val="009D327E"/>
    <w:rsid w:val="009D5319"/>
    <w:rsid w:val="009D53F8"/>
    <w:rsid w:val="009D7562"/>
    <w:rsid w:val="009E05DD"/>
    <w:rsid w:val="009E0803"/>
    <w:rsid w:val="009E3BF0"/>
    <w:rsid w:val="009E52A4"/>
    <w:rsid w:val="009E53C5"/>
    <w:rsid w:val="009E7C1C"/>
    <w:rsid w:val="009E7EF2"/>
    <w:rsid w:val="009F13BF"/>
    <w:rsid w:val="009F1D34"/>
    <w:rsid w:val="009F230F"/>
    <w:rsid w:val="009F3E5A"/>
    <w:rsid w:val="009F4C47"/>
    <w:rsid w:val="009F528F"/>
    <w:rsid w:val="009F6AC9"/>
    <w:rsid w:val="00A009E0"/>
    <w:rsid w:val="00A07D2F"/>
    <w:rsid w:val="00A105DA"/>
    <w:rsid w:val="00A113EF"/>
    <w:rsid w:val="00A12E68"/>
    <w:rsid w:val="00A20031"/>
    <w:rsid w:val="00A202D5"/>
    <w:rsid w:val="00A23CDC"/>
    <w:rsid w:val="00A24596"/>
    <w:rsid w:val="00A24B24"/>
    <w:rsid w:val="00A25E6C"/>
    <w:rsid w:val="00A26D3A"/>
    <w:rsid w:val="00A3193C"/>
    <w:rsid w:val="00A32AA2"/>
    <w:rsid w:val="00A40E3D"/>
    <w:rsid w:val="00A40EA6"/>
    <w:rsid w:val="00A40F98"/>
    <w:rsid w:val="00A47C4E"/>
    <w:rsid w:val="00A52753"/>
    <w:rsid w:val="00A550E8"/>
    <w:rsid w:val="00A556D1"/>
    <w:rsid w:val="00A56E8B"/>
    <w:rsid w:val="00A71133"/>
    <w:rsid w:val="00A7209C"/>
    <w:rsid w:val="00A761C7"/>
    <w:rsid w:val="00A77D42"/>
    <w:rsid w:val="00A82E17"/>
    <w:rsid w:val="00A85075"/>
    <w:rsid w:val="00A90245"/>
    <w:rsid w:val="00A93F1F"/>
    <w:rsid w:val="00A96B50"/>
    <w:rsid w:val="00AA12F7"/>
    <w:rsid w:val="00AA3173"/>
    <w:rsid w:val="00AA3A3E"/>
    <w:rsid w:val="00AB19B6"/>
    <w:rsid w:val="00AB3DD4"/>
    <w:rsid w:val="00AC14C4"/>
    <w:rsid w:val="00AC6ABA"/>
    <w:rsid w:val="00AD1C80"/>
    <w:rsid w:val="00AD2E24"/>
    <w:rsid w:val="00AD5627"/>
    <w:rsid w:val="00AD65C9"/>
    <w:rsid w:val="00AD6639"/>
    <w:rsid w:val="00AE2BF6"/>
    <w:rsid w:val="00AE4A25"/>
    <w:rsid w:val="00AE5CCB"/>
    <w:rsid w:val="00AE6582"/>
    <w:rsid w:val="00AE7179"/>
    <w:rsid w:val="00AF58D0"/>
    <w:rsid w:val="00AF6215"/>
    <w:rsid w:val="00AF6F6E"/>
    <w:rsid w:val="00B00A18"/>
    <w:rsid w:val="00B027C7"/>
    <w:rsid w:val="00B11323"/>
    <w:rsid w:val="00B13A2F"/>
    <w:rsid w:val="00B145D2"/>
    <w:rsid w:val="00B1743D"/>
    <w:rsid w:val="00B178D3"/>
    <w:rsid w:val="00B22F73"/>
    <w:rsid w:val="00B23150"/>
    <w:rsid w:val="00B300B0"/>
    <w:rsid w:val="00B339F8"/>
    <w:rsid w:val="00B4065C"/>
    <w:rsid w:val="00B42ACB"/>
    <w:rsid w:val="00B43512"/>
    <w:rsid w:val="00B4471A"/>
    <w:rsid w:val="00B47DA8"/>
    <w:rsid w:val="00B52CD8"/>
    <w:rsid w:val="00B541E7"/>
    <w:rsid w:val="00B604EB"/>
    <w:rsid w:val="00B6108C"/>
    <w:rsid w:val="00B67092"/>
    <w:rsid w:val="00B67F7B"/>
    <w:rsid w:val="00B70FFE"/>
    <w:rsid w:val="00B739E2"/>
    <w:rsid w:val="00B74219"/>
    <w:rsid w:val="00B7582E"/>
    <w:rsid w:val="00B8151D"/>
    <w:rsid w:val="00B819AA"/>
    <w:rsid w:val="00BA54AA"/>
    <w:rsid w:val="00BB2109"/>
    <w:rsid w:val="00BB29FB"/>
    <w:rsid w:val="00BB2C6B"/>
    <w:rsid w:val="00BB38D4"/>
    <w:rsid w:val="00BB4D85"/>
    <w:rsid w:val="00BB61E4"/>
    <w:rsid w:val="00BB631E"/>
    <w:rsid w:val="00BB71A8"/>
    <w:rsid w:val="00BC18F5"/>
    <w:rsid w:val="00BC4BD5"/>
    <w:rsid w:val="00BC4F00"/>
    <w:rsid w:val="00BC50A3"/>
    <w:rsid w:val="00BD41D4"/>
    <w:rsid w:val="00BD465A"/>
    <w:rsid w:val="00BD47A9"/>
    <w:rsid w:val="00BD5316"/>
    <w:rsid w:val="00BD5A86"/>
    <w:rsid w:val="00BD6AC2"/>
    <w:rsid w:val="00BD7446"/>
    <w:rsid w:val="00BE214C"/>
    <w:rsid w:val="00BE68F9"/>
    <w:rsid w:val="00BF0E04"/>
    <w:rsid w:val="00BF2A9B"/>
    <w:rsid w:val="00BF3BDF"/>
    <w:rsid w:val="00BF3DAE"/>
    <w:rsid w:val="00C00444"/>
    <w:rsid w:val="00C02595"/>
    <w:rsid w:val="00C12197"/>
    <w:rsid w:val="00C1330A"/>
    <w:rsid w:val="00C145EB"/>
    <w:rsid w:val="00C2416A"/>
    <w:rsid w:val="00C300CA"/>
    <w:rsid w:val="00C30E45"/>
    <w:rsid w:val="00C325A5"/>
    <w:rsid w:val="00C36A15"/>
    <w:rsid w:val="00C3701B"/>
    <w:rsid w:val="00C37043"/>
    <w:rsid w:val="00C40BDE"/>
    <w:rsid w:val="00C4300F"/>
    <w:rsid w:val="00C45661"/>
    <w:rsid w:val="00C5010C"/>
    <w:rsid w:val="00C62BC1"/>
    <w:rsid w:val="00C64879"/>
    <w:rsid w:val="00C66953"/>
    <w:rsid w:val="00C675CE"/>
    <w:rsid w:val="00C67A91"/>
    <w:rsid w:val="00C73133"/>
    <w:rsid w:val="00C731FA"/>
    <w:rsid w:val="00C747D7"/>
    <w:rsid w:val="00C7617C"/>
    <w:rsid w:val="00C82C91"/>
    <w:rsid w:val="00C846A2"/>
    <w:rsid w:val="00C859D9"/>
    <w:rsid w:val="00C86F7C"/>
    <w:rsid w:val="00C90EFC"/>
    <w:rsid w:val="00C90FC4"/>
    <w:rsid w:val="00C954B7"/>
    <w:rsid w:val="00C9591A"/>
    <w:rsid w:val="00C9768E"/>
    <w:rsid w:val="00CA1322"/>
    <w:rsid w:val="00CA46AC"/>
    <w:rsid w:val="00CA4F71"/>
    <w:rsid w:val="00CB337B"/>
    <w:rsid w:val="00CB45D5"/>
    <w:rsid w:val="00CB7A83"/>
    <w:rsid w:val="00CC081E"/>
    <w:rsid w:val="00CC1845"/>
    <w:rsid w:val="00CC1AC7"/>
    <w:rsid w:val="00CC3AE0"/>
    <w:rsid w:val="00CC3C0B"/>
    <w:rsid w:val="00CC3CD3"/>
    <w:rsid w:val="00CC4C6D"/>
    <w:rsid w:val="00CC78D8"/>
    <w:rsid w:val="00CD20F8"/>
    <w:rsid w:val="00CD2CB8"/>
    <w:rsid w:val="00CD3705"/>
    <w:rsid w:val="00CD6E72"/>
    <w:rsid w:val="00CE3EA5"/>
    <w:rsid w:val="00CF1ADC"/>
    <w:rsid w:val="00CF1C96"/>
    <w:rsid w:val="00CF5A8C"/>
    <w:rsid w:val="00D010D3"/>
    <w:rsid w:val="00D05A8C"/>
    <w:rsid w:val="00D119DD"/>
    <w:rsid w:val="00D14A9D"/>
    <w:rsid w:val="00D17A67"/>
    <w:rsid w:val="00D17FC6"/>
    <w:rsid w:val="00D217D1"/>
    <w:rsid w:val="00D2517F"/>
    <w:rsid w:val="00D27078"/>
    <w:rsid w:val="00D3758C"/>
    <w:rsid w:val="00D42742"/>
    <w:rsid w:val="00D46134"/>
    <w:rsid w:val="00D4682D"/>
    <w:rsid w:val="00D468A9"/>
    <w:rsid w:val="00D50056"/>
    <w:rsid w:val="00D50946"/>
    <w:rsid w:val="00D5387E"/>
    <w:rsid w:val="00D56056"/>
    <w:rsid w:val="00D56A3B"/>
    <w:rsid w:val="00D61A73"/>
    <w:rsid w:val="00D63270"/>
    <w:rsid w:val="00D63CDD"/>
    <w:rsid w:val="00D647C6"/>
    <w:rsid w:val="00D66B65"/>
    <w:rsid w:val="00D700B3"/>
    <w:rsid w:val="00D70EAE"/>
    <w:rsid w:val="00D73415"/>
    <w:rsid w:val="00D74B9B"/>
    <w:rsid w:val="00D773CB"/>
    <w:rsid w:val="00D80742"/>
    <w:rsid w:val="00D8103E"/>
    <w:rsid w:val="00D81757"/>
    <w:rsid w:val="00D818BA"/>
    <w:rsid w:val="00D835B2"/>
    <w:rsid w:val="00D842A2"/>
    <w:rsid w:val="00D84946"/>
    <w:rsid w:val="00D92FF7"/>
    <w:rsid w:val="00D93741"/>
    <w:rsid w:val="00D96E0E"/>
    <w:rsid w:val="00DA0685"/>
    <w:rsid w:val="00DA3294"/>
    <w:rsid w:val="00DA552F"/>
    <w:rsid w:val="00DB1C9E"/>
    <w:rsid w:val="00DB2434"/>
    <w:rsid w:val="00DB461B"/>
    <w:rsid w:val="00DB4D35"/>
    <w:rsid w:val="00DB6247"/>
    <w:rsid w:val="00DC2E19"/>
    <w:rsid w:val="00DC3E8C"/>
    <w:rsid w:val="00DC4B5E"/>
    <w:rsid w:val="00DC7BE3"/>
    <w:rsid w:val="00DD1234"/>
    <w:rsid w:val="00DD408F"/>
    <w:rsid w:val="00DD5F43"/>
    <w:rsid w:val="00DD651A"/>
    <w:rsid w:val="00DD7496"/>
    <w:rsid w:val="00DD7B03"/>
    <w:rsid w:val="00DE02BB"/>
    <w:rsid w:val="00DE563C"/>
    <w:rsid w:val="00DE5F92"/>
    <w:rsid w:val="00DE715E"/>
    <w:rsid w:val="00DE7C37"/>
    <w:rsid w:val="00DF13F3"/>
    <w:rsid w:val="00DF3683"/>
    <w:rsid w:val="00DF46B2"/>
    <w:rsid w:val="00DF61B7"/>
    <w:rsid w:val="00E01C32"/>
    <w:rsid w:val="00E01F85"/>
    <w:rsid w:val="00E1257E"/>
    <w:rsid w:val="00E24E50"/>
    <w:rsid w:val="00E251EE"/>
    <w:rsid w:val="00E26216"/>
    <w:rsid w:val="00E302D5"/>
    <w:rsid w:val="00E33927"/>
    <w:rsid w:val="00E33FED"/>
    <w:rsid w:val="00E43542"/>
    <w:rsid w:val="00E5541C"/>
    <w:rsid w:val="00E55D04"/>
    <w:rsid w:val="00E605F3"/>
    <w:rsid w:val="00E60A2A"/>
    <w:rsid w:val="00E61ED5"/>
    <w:rsid w:val="00E62C51"/>
    <w:rsid w:val="00E631F9"/>
    <w:rsid w:val="00E662FD"/>
    <w:rsid w:val="00E72FD0"/>
    <w:rsid w:val="00E757D0"/>
    <w:rsid w:val="00E767BE"/>
    <w:rsid w:val="00E82DAF"/>
    <w:rsid w:val="00E8671C"/>
    <w:rsid w:val="00E90298"/>
    <w:rsid w:val="00E916A2"/>
    <w:rsid w:val="00E91930"/>
    <w:rsid w:val="00EA6D4F"/>
    <w:rsid w:val="00EA716A"/>
    <w:rsid w:val="00EA7EA8"/>
    <w:rsid w:val="00EC0A15"/>
    <w:rsid w:val="00EC21DD"/>
    <w:rsid w:val="00EC2B68"/>
    <w:rsid w:val="00EC71D8"/>
    <w:rsid w:val="00EE412B"/>
    <w:rsid w:val="00EE6ABF"/>
    <w:rsid w:val="00EF4ACB"/>
    <w:rsid w:val="00F0015A"/>
    <w:rsid w:val="00F00674"/>
    <w:rsid w:val="00F03635"/>
    <w:rsid w:val="00F04057"/>
    <w:rsid w:val="00F0455E"/>
    <w:rsid w:val="00F0609A"/>
    <w:rsid w:val="00F1230D"/>
    <w:rsid w:val="00F134E7"/>
    <w:rsid w:val="00F14BCE"/>
    <w:rsid w:val="00F21042"/>
    <w:rsid w:val="00F21FAC"/>
    <w:rsid w:val="00F3264E"/>
    <w:rsid w:val="00F34D20"/>
    <w:rsid w:val="00F36014"/>
    <w:rsid w:val="00F36E18"/>
    <w:rsid w:val="00F37BC2"/>
    <w:rsid w:val="00F43DAD"/>
    <w:rsid w:val="00F45857"/>
    <w:rsid w:val="00F513EB"/>
    <w:rsid w:val="00F51DC9"/>
    <w:rsid w:val="00F5236B"/>
    <w:rsid w:val="00F5252A"/>
    <w:rsid w:val="00F5418B"/>
    <w:rsid w:val="00F54266"/>
    <w:rsid w:val="00F552D2"/>
    <w:rsid w:val="00F5679F"/>
    <w:rsid w:val="00F60D6A"/>
    <w:rsid w:val="00F60F15"/>
    <w:rsid w:val="00F62708"/>
    <w:rsid w:val="00F6460E"/>
    <w:rsid w:val="00F64CB4"/>
    <w:rsid w:val="00F65889"/>
    <w:rsid w:val="00F676A9"/>
    <w:rsid w:val="00F72398"/>
    <w:rsid w:val="00F73C77"/>
    <w:rsid w:val="00F74CC9"/>
    <w:rsid w:val="00F77106"/>
    <w:rsid w:val="00F843D0"/>
    <w:rsid w:val="00F85B48"/>
    <w:rsid w:val="00F861AE"/>
    <w:rsid w:val="00F871D7"/>
    <w:rsid w:val="00F87FB6"/>
    <w:rsid w:val="00F90098"/>
    <w:rsid w:val="00F9205E"/>
    <w:rsid w:val="00F92FA5"/>
    <w:rsid w:val="00F935BD"/>
    <w:rsid w:val="00F93F31"/>
    <w:rsid w:val="00F96889"/>
    <w:rsid w:val="00FA6309"/>
    <w:rsid w:val="00FA6319"/>
    <w:rsid w:val="00FB14CA"/>
    <w:rsid w:val="00FB46DD"/>
    <w:rsid w:val="00FB53EC"/>
    <w:rsid w:val="00FB656A"/>
    <w:rsid w:val="00FB7019"/>
    <w:rsid w:val="00FC0772"/>
    <w:rsid w:val="00FC425C"/>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UnresolvedMention">
    <w:name w:val="Unresolved Mention"/>
    <w:basedOn w:val="DefaultParagraphFont"/>
    <w:uiPriority w:val="99"/>
    <w:semiHidden/>
    <w:unhideWhenUsed/>
    <w:rsid w:val="002E67B3"/>
    <w:rPr>
      <w:color w:val="605E5C"/>
      <w:shd w:val="clear" w:color="auto" w:fill="E1DFDD"/>
    </w:rPr>
  </w:style>
  <w:style w:type="paragraph" w:customStyle="1" w:styleId="subsection">
    <w:name w:val="subsection"/>
    <w:aliases w:val="ss,Subsection"/>
    <w:basedOn w:val="Normal"/>
    <w:link w:val="subsectionChar"/>
    <w:rsid w:val="00DC2E19"/>
    <w:pPr>
      <w:tabs>
        <w:tab w:val="right" w:pos="1021"/>
      </w:tabs>
      <w:spacing w:before="180" w:after="0" w:line="240" w:lineRule="auto"/>
      <w:ind w:left="1134" w:hanging="1134"/>
    </w:pPr>
    <w:rPr>
      <w:rFonts w:eastAsia="Times New Roman" w:cs="Times New Roman"/>
      <w:sz w:val="22"/>
      <w:szCs w:val="20"/>
      <w:lang w:eastAsia="en-AU"/>
    </w:rPr>
  </w:style>
  <w:style w:type="paragraph" w:customStyle="1" w:styleId="Definition">
    <w:name w:val="Definition"/>
    <w:aliases w:val="dd"/>
    <w:basedOn w:val="Normal"/>
    <w:rsid w:val="00DC2E19"/>
    <w:pPr>
      <w:spacing w:before="180" w:after="0" w:line="240" w:lineRule="auto"/>
      <w:ind w:left="113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locked/>
    <w:rsid w:val="00DC2E19"/>
    <w:rPr>
      <w:rFonts w:eastAsia="Times New Roman" w:cs="Times New Roman"/>
      <w:sz w:val="22"/>
      <w:szCs w:val="20"/>
      <w:lang w:eastAsia="en-AU"/>
    </w:rPr>
  </w:style>
  <w:style w:type="paragraph" w:customStyle="1" w:styleId="Tabletext">
    <w:name w:val="Tabletext"/>
    <w:aliases w:val="tt"/>
    <w:basedOn w:val="Normal"/>
    <w:rsid w:val="00DC2E19"/>
    <w:pPr>
      <w:spacing w:before="60" w:after="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DC2E19"/>
    <w:pPr>
      <w:keepNext/>
      <w:spacing w:before="60" w:after="0" w:line="240" w:lineRule="atLeast"/>
    </w:pPr>
    <w:rPr>
      <w:rFonts w:eastAsia="Times New Roman" w:cs="Times New Roman"/>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66434">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210068415">
      <w:bodyDiv w:val="1"/>
      <w:marLeft w:val="0"/>
      <w:marRight w:val="0"/>
      <w:marTop w:val="0"/>
      <w:marBottom w:val="0"/>
      <w:divBdr>
        <w:top w:val="none" w:sz="0" w:space="0" w:color="auto"/>
        <w:left w:val="none" w:sz="0" w:space="0" w:color="auto"/>
        <w:bottom w:val="none" w:sz="0" w:space="0" w:color="auto"/>
        <w:right w:val="none" w:sz="0" w:space="0" w:color="auto"/>
      </w:divBdr>
    </w:div>
    <w:div w:id="1262954595">
      <w:bodyDiv w:val="1"/>
      <w:marLeft w:val="0"/>
      <w:marRight w:val="0"/>
      <w:marTop w:val="0"/>
      <w:marBottom w:val="0"/>
      <w:divBdr>
        <w:top w:val="none" w:sz="0" w:space="0" w:color="auto"/>
        <w:left w:val="none" w:sz="0" w:space="0" w:color="auto"/>
        <w:bottom w:val="none" w:sz="0" w:space="0" w:color="auto"/>
        <w:right w:val="none" w:sz="0" w:space="0" w:color="auto"/>
      </w:divBdr>
    </w:div>
    <w:div w:id="1291670848">
      <w:bodyDiv w:val="1"/>
      <w:marLeft w:val="0"/>
      <w:marRight w:val="0"/>
      <w:marTop w:val="0"/>
      <w:marBottom w:val="0"/>
      <w:divBdr>
        <w:top w:val="none" w:sz="0" w:space="0" w:color="auto"/>
        <w:left w:val="none" w:sz="0" w:space="0" w:color="auto"/>
        <w:bottom w:val="none" w:sz="0" w:space="0" w:color="auto"/>
        <w:right w:val="none" w:sz="0" w:space="0" w:color="auto"/>
      </w:divBdr>
    </w:div>
    <w:div w:id="1525165450">
      <w:bodyDiv w:val="1"/>
      <w:marLeft w:val="0"/>
      <w:marRight w:val="0"/>
      <w:marTop w:val="0"/>
      <w:marBottom w:val="0"/>
      <w:divBdr>
        <w:top w:val="none" w:sz="0" w:space="0" w:color="auto"/>
        <w:left w:val="none" w:sz="0" w:space="0" w:color="auto"/>
        <w:bottom w:val="none" w:sz="0" w:space="0" w:color="auto"/>
        <w:right w:val="none" w:sz="0" w:space="0" w:color="auto"/>
      </w:divBdr>
    </w:div>
    <w:div w:id="1537429878">
      <w:bodyDiv w:val="1"/>
      <w:marLeft w:val="0"/>
      <w:marRight w:val="0"/>
      <w:marTop w:val="0"/>
      <w:marBottom w:val="0"/>
      <w:divBdr>
        <w:top w:val="none" w:sz="0" w:space="0" w:color="auto"/>
        <w:left w:val="none" w:sz="0" w:space="0" w:color="auto"/>
        <w:bottom w:val="none" w:sz="0" w:space="0" w:color="auto"/>
        <w:right w:val="none" w:sz="0" w:space="0" w:color="auto"/>
      </w:divBdr>
    </w:div>
    <w:div w:id="193149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qa.gov.au/sites/default/files/2022-01/ASQA%20draft%20Cost%20Recovery%20Implementation%20Statement%20from%20July%202022%20v1.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gov.au/Series/F2020L01517" TargetMode="External"/><Relationship Id="rId7" Type="http://schemas.openxmlformats.org/officeDocument/2006/relationships/settings" Target="settings.xml"/><Relationship Id="rId12" Type="http://schemas.openxmlformats.org/officeDocument/2006/relationships/hyperlink" Target="https://www.asqa.gov.au/sites/default/files/2019-11/ASQA%20Fees%20and%20charges%20proposal%202020-21%20Consultation%20paper_0.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managing-commonwealth-resources/managing-money-property/managing-money/australian-government-charging-framewor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ce.gov.au/government/managing-commonwealth-resources/managing-money-property/managing-money/australian-government-charging-frame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8FB1655-4610-427E-9FC0-E1B78D69D0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45D56D28A914F40871A1B9680F456FA" ma:contentTypeVersion="" ma:contentTypeDescription="PDMS Document Site Content Type" ma:contentTypeScope="" ma:versionID="db87cf1c9a81839b6e51031839170d88">
  <xsd:schema xmlns:xsd="http://www.w3.org/2001/XMLSchema" xmlns:xs="http://www.w3.org/2001/XMLSchema" xmlns:p="http://schemas.microsoft.com/office/2006/metadata/properties" xmlns:ns2="68FB1655-4610-427E-9FC0-E1B78D69D053" targetNamespace="http://schemas.microsoft.com/office/2006/metadata/properties" ma:root="true" ma:fieldsID="03a9332e46cb0256a2af64bc6795e38c" ns2:_="">
    <xsd:import namespace="68FB1655-4610-427E-9FC0-E1B78D69D0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B1655-4610-427E-9FC0-E1B78D69D0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76c08405-89e9-4c57-a585-b31d7bded94b"/>
    <ds:schemaRef ds:uri="http://schemas.microsoft.com/sharepoint/v4"/>
    <ds:schemaRef ds:uri="http://schemas.microsoft.com/sharepoint/v3"/>
    <ds:schemaRef ds:uri="68FB1655-4610-427E-9FC0-E1B78D69D053"/>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4.xml><?xml version="1.0" encoding="utf-8"?>
<ds:datastoreItem xmlns:ds="http://schemas.openxmlformats.org/officeDocument/2006/customXml" ds:itemID="{243D99B3-762A-4F4F-BD4F-E235A1E84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B1655-4610-427E-9FC0-E1B78D69D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4002</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NOWLAND,Samuel</cp:lastModifiedBy>
  <cp:revision>3</cp:revision>
  <cp:lastPrinted>2022-06-10T04:14:00Z</cp:lastPrinted>
  <dcterms:created xsi:type="dcterms:W3CDTF">2022-06-22T06:15:00Z</dcterms:created>
  <dcterms:modified xsi:type="dcterms:W3CDTF">2022-06-23T02:28:00Z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0x010100266966F133664895A6EE3632470D45F500845D56D28A914F40871A1B9680F456FA</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2022-04-11T04:28:14Z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bb3cc485-43f5-4668-9e6b-8809223d5a14</vt:lpwstr>
  </property>
  <property fmtid="{D5CDD505-2E9C-101B-9397-08002B2CF9AE}" pid="17" name="MSIP_Label_79d889eb-932f-4752-8739-64d25806ef64_ContentBits">
    <vt:lpwstr>0</vt:lpwstr>
  </property>
</Properties>
</file>