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CD13" w14:textId="77777777" w:rsidR="00715914" w:rsidRPr="00720C28" w:rsidRDefault="00DA186E" w:rsidP="00715914">
      <w:pPr>
        <w:rPr>
          <w:sz w:val="28"/>
        </w:rPr>
      </w:pPr>
      <w:r w:rsidRPr="00720C28">
        <w:rPr>
          <w:noProof/>
          <w:lang w:eastAsia="en-AU"/>
        </w:rPr>
        <w:drawing>
          <wp:inline distT="0" distB="0" distL="0" distR="0" wp14:anchorId="5C42D8EA" wp14:editId="0B887AF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22500" w14:textId="77777777" w:rsidR="00715914" w:rsidRPr="00720C28" w:rsidRDefault="00715914" w:rsidP="00715914">
      <w:pPr>
        <w:rPr>
          <w:sz w:val="19"/>
        </w:rPr>
      </w:pPr>
    </w:p>
    <w:p w14:paraId="40023556" w14:textId="36A06485" w:rsidR="00554826" w:rsidRPr="00720C28" w:rsidRDefault="007B3A16" w:rsidP="00554826">
      <w:pPr>
        <w:pStyle w:val="ShortT"/>
      </w:pPr>
      <w:r w:rsidRPr="00720C28">
        <w:t xml:space="preserve">National Vocational Education and Training Regulator (Charges) Determination 2022 </w:t>
      </w:r>
    </w:p>
    <w:p w14:paraId="2FC4F0E5" w14:textId="710B4BF4" w:rsidR="00554826" w:rsidRPr="00720C28" w:rsidRDefault="00554826" w:rsidP="00554826">
      <w:pPr>
        <w:pStyle w:val="SignCoverPageStart"/>
        <w:spacing w:before="240"/>
        <w:ind w:right="91"/>
        <w:rPr>
          <w:szCs w:val="22"/>
        </w:rPr>
      </w:pPr>
      <w:r w:rsidRPr="00720C28">
        <w:rPr>
          <w:szCs w:val="22"/>
        </w:rPr>
        <w:t xml:space="preserve">I, </w:t>
      </w:r>
      <w:r w:rsidR="00050997" w:rsidRPr="00720C28">
        <w:rPr>
          <w:szCs w:val="22"/>
        </w:rPr>
        <w:t>Brendan O’Connor</w:t>
      </w:r>
      <w:r w:rsidRPr="00720C28">
        <w:rPr>
          <w:szCs w:val="22"/>
        </w:rPr>
        <w:t xml:space="preserve">, </w:t>
      </w:r>
      <w:r w:rsidR="00050997" w:rsidRPr="00720C28">
        <w:rPr>
          <w:szCs w:val="22"/>
        </w:rPr>
        <w:t>Minister for Skills and Training</w:t>
      </w:r>
      <w:r w:rsidRPr="00720C28">
        <w:rPr>
          <w:szCs w:val="22"/>
        </w:rPr>
        <w:t xml:space="preserve">, make the following </w:t>
      </w:r>
      <w:r w:rsidR="00445C1F" w:rsidRPr="00720C28">
        <w:rPr>
          <w:szCs w:val="22"/>
        </w:rPr>
        <w:t>determination</w:t>
      </w:r>
      <w:r w:rsidRPr="00720C28">
        <w:rPr>
          <w:szCs w:val="22"/>
        </w:rPr>
        <w:t>.</w:t>
      </w:r>
    </w:p>
    <w:p w14:paraId="315A5410" w14:textId="2F0B69AC" w:rsidR="00554826" w:rsidRPr="00720C28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20C28">
        <w:rPr>
          <w:szCs w:val="22"/>
        </w:rPr>
        <w:t>Dated</w:t>
      </w:r>
      <w:r w:rsidR="001E7F99">
        <w:rPr>
          <w:szCs w:val="22"/>
        </w:rPr>
        <w:t xml:space="preserve"> 16 June 2022</w:t>
      </w:r>
      <w:r w:rsidRPr="00720C28">
        <w:rPr>
          <w:szCs w:val="22"/>
        </w:rPr>
        <w:tab/>
      </w:r>
      <w:r w:rsidRPr="00720C28">
        <w:rPr>
          <w:szCs w:val="22"/>
        </w:rPr>
        <w:tab/>
      </w:r>
      <w:r w:rsidRPr="00720C28">
        <w:rPr>
          <w:szCs w:val="22"/>
        </w:rPr>
        <w:tab/>
      </w:r>
      <w:r w:rsidRPr="00720C28">
        <w:rPr>
          <w:szCs w:val="22"/>
        </w:rPr>
        <w:tab/>
      </w:r>
    </w:p>
    <w:p w14:paraId="7157BF9A" w14:textId="2A6FFFEF" w:rsidR="00554826" w:rsidRPr="00720C28" w:rsidRDefault="0005099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20C28">
        <w:rPr>
          <w:szCs w:val="22"/>
        </w:rPr>
        <w:t>Brendan O’Connor</w:t>
      </w:r>
    </w:p>
    <w:p w14:paraId="4E5E7653" w14:textId="2F5418CF" w:rsidR="00554826" w:rsidRPr="00720C28" w:rsidRDefault="00050997" w:rsidP="00554826">
      <w:pPr>
        <w:pStyle w:val="SignCoverPageEnd"/>
        <w:ind w:right="91"/>
        <w:rPr>
          <w:sz w:val="22"/>
        </w:rPr>
      </w:pPr>
      <w:r w:rsidRPr="00720C28">
        <w:rPr>
          <w:sz w:val="22"/>
        </w:rPr>
        <w:t>Minister for Skills and Training</w:t>
      </w:r>
    </w:p>
    <w:p w14:paraId="18EE1FE7" w14:textId="77777777" w:rsidR="00554826" w:rsidRPr="00720C28" w:rsidRDefault="00554826" w:rsidP="00554826"/>
    <w:p w14:paraId="024A9AEB" w14:textId="77777777" w:rsidR="00554826" w:rsidRPr="00720C28" w:rsidRDefault="00554826" w:rsidP="00554826"/>
    <w:p w14:paraId="0325CD1E" w14:textId="77777777" w:rsidR="00F6696E" w:rsidRPr="00720C28" w:rsidRDefault="00F6696E" w:rsidP="00F6696E"/>
    <w:p w14:paraId="5C3A9DAA" w14:textId="77777777" w:rsidR="00F6696E" w:rsidRPr="00720C28" w:rsidRDefault="00F6696E" w:rsidP="00F6696E">
      <w:pPr>
        <w:sectPr w:rsidR="00F6696E" w:rsidRPr="00720C28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FBF6236" w14:textId="77777777" w:rsidR="007500C8" w:rsidRPr="00720C28" w:rsidRDefault="00715914" w:rsidP="00715914">
      <w:pPr>
        <w:outlineLvl w:val="0"/>
        <w:rPr>
          <w:sz w:val="36"/>
        </w:rPr>
      </w:pPr>
      <w:r w:rsidRPr="00720C28">
        <w:rPr>
          <w:sz w:val="36"/>
        </w:rPr>
        <w:lastRenderedPageBreak/>
        <w:t>Contents</w:t>
      </w:r>
    </w:p>
    <w:p w14:paraId="313B5AB9" w14:textId="36C7D3E5" w:rsidR="00564667" w:rsidRPr="00720C28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0C28">
        <w:fldChar w:fldCharType="begin"/>
      </w:r>
      <w:r w:rsidRPr="00720C28">
        <w:instrText xml:space="preserve"> TOC \o "1-9" </w:instrText>
      </w:r>
      <w:r w:rsidRPr="00720C28">
        <w:fldChar w:fldCharType="separate"/>
      </w:r>
      <w:r w:rsidR="00564667" w:rsidRPr="00720C28">
        <w:rPr>
          <w:noProof/>
        </w:rPr>
        <w:t>Part 1—Preliminary</w:t>
      </w:r>
      <w:r w:rsidR="00564667" w:rsidRPr="00720C28">
        <w:rPr>
          <w:noProof/>
        </w:rPr>
        <w:tab/>
      </w:r>
      <w:r w:rsidR="00564667" w:rsidRPr="00720C28">
        <w:rPr>
          <w:noProof/>
        </w:rPr>
        <w:fldChar w:fldCharType="begin"/>
      </w:r>
      <w:r w:rsidR="00564667" w:rsidRPr="00720C28">
        <w:rPr>
          <w:noProof/>
        </w:rPr>
        <w:instrText xml:space="preserve"> PAGEREF _Toc96605977 \h </w:instrText>
      </w:r>
      <w:r w:rsidR="00564667" w:rsidRPr="00720C28">
        <w:rPr>
          <w:noProof/>
        </w:rPr>
      </w:r>
      <w:r w:rsidR="00564667" w:rsidRPr="00720C28">
        <w:rPr>
          <w:noProof/>
        </w:rPr>
        <w:fldChar w:fldCharType="separate"/>
      </w:r>
      <w:r w:rsidR="0092214D" w:rsidRPr="00720C28">
        <w:rPr>
          <w:noProof/>
        </w:rPr>
        <w:t>1</w:t>
      </w:r>
      <w:r w:rsidR="00564667" w:rsidRPr="00720C28">
        <w:rPr>
          <w:noProof/>
        </w:rPr>
        <w:fldChar w:fldCharType="end"/>
      </w:r>
    </w:p>
    <w:p w14:paraId="4D14329D" w14:textId="6EB1F771" w:rsidR="00564667" w:rsidRPr="00720C28" w:rsidRDefault="005646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0C28">
        <w:rPr>
          <w:noProof/>
        </w:rPr>
        <w:t>1  Name</w:t>
      </w:r>
      <w:r w:rsidRPr="00720C28">
        <w:rPr>
          <w:noProof/>
        </w:rPr>
        <w:tab/>
      </w:r>
      <w:r w:rsidRPr="00720C28">
        <w:rPr>
          <w:noProof/>
        </w:rPr>
        <w:fldChar w:fldCharType="begin"/>
      </w:r>
      <w:r w:rsidRPr="00720C28">
        <w:rPr>
          <w:noProof/>
        </w:rPr>
        <w:instrText xml:space="preserve"> PAGEREF _Toc96605978 \h </w:instrText>
      </w:r>
      <w:r w:rsidRPr="00720C28">
        <w:rPr>
          <w:noProof/>
        </w:rPr>
      </w:r>
      <w:r w:rsidRPr="00720C28">
        <w:rPr>
          <w:noProof/>
        </w:rPr>
        <w:fldChar w:fldCharType="separate"/>
      </w:r>
      <w:r w:rsidR="0092214D" w:rsidRPr="00720C28">
        <w:rPr>
          <w:noProof/>
        </w:rPr>
        <w:t>1</w:t>
      </w:r>
      <w:r w:rsidRPr="00720C28">
        <w:rPr>
          <w:noProof/>
        </w:rPr>
        <w:fldChar w:fldCharType="end"/>
      </w:r>
    </w:p>
    <w:p w14:paraId="1AE68ED9" w14:textId="7C2495C1" w:rsidR="00564667" w:rsidRPr="00720C28" w:rsidRDefault="005646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0C28">
        <w:rPr>
          <w:noProof/>
        </w:rPr>
        <w:t>2  Commencement</w:t>
      </w:r>
      <w:r w:rsidRPr="00720C28">
        <w:rPr>
          <w:noProof/>
        </w:rPr>
        <w:tab/>
      </w:r>
      <w:r w:rsidRPr="00720C28">
        <w:rPr>
          <w:noProof/>
        </w:rPr>
        <w:fldChar w:fldCharType="begin"/>
      </w:r>
      <w:r w:rsidRPr="00720C28">
        <w:rPr>
          <w:noProof/>
        </w:rPr>
        <w:instrText xml:space="preserve"> PAGEREF _Toc96605979 \h </w:instrText>
      </w:r>
      <w:r w:rsidRPr="00720C28">
        <w:rPr>
          <w:noProof/>
        </w:rPr>
      </w:r>
      <w:r w:rsidRPr="00720C28">
        <w:rPr>
          <w:noProof/>
        </w:rPr>
        <w:fldChar w:fldCharType="separate"/>
      </w:r>
      <w:r w:rsidR="0092214D" w:rsidRPr="00720C28">
        <w:rPr>
          <w:noProof/>
        </w:rPr>
        <w:t>1</w:t>
      </w:r>
      <w:r w:rsidRPr="00720C28">
        <w:rPr>
          <w:noProof/>
        </w:rPr>
        <w:fldChar w:fldCharType="end"/>
      </w:r>
    </w:p>
    <w:p w14:paraId="1A02DE32" w14:textId="571019DD" w:rsidR="00564667" w:rsidRPr="00720C28" w:rsidRDefault="005646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0C28">
        <w:rPr>
          <w:noProof/>
        </w:rPr>
        <w:t>3  Authority</w:t>
      </w:r>
      <w:r w:rsidRPr="00720C28">
        <w:rPr>
          <w:noProof/>
        </w:rPr>
        <w:tab/>
      </w:r>
      <w:r w:rsidRPr="00720C28">
        <w:rPr>
          <w:noProof/>
        </w:rPr>
        <w:fldChar w:fldCharType="begin"/>
      </w:r>
      <w:r w:rsidRPr="00720C28">
        <w:rPr>
          <w:noProof/>
        </w:rPr>
        <w:instrText xml:space="preserve"> PAGEREF _Toc96605980 \h </w:instrText>
      </w:r>
      <w:r w:rsidRPr="00720C28">
        <w:rPr>
          <w:noProof/>
        </w:rPr>
      </w:r>
      <w:r w:rsidRPr="00720C28">
        <w:rPr>
          <w:noProof/>
        </w:rPr>
        <w:fldChar w:fldCharType="separate"/>
      </w:r>
      <w:r w:rsidR="0092214D" w:rsidRPr="00720C28">
        <w:rPr>
          <w:noProof/>
        </w:rPr>
        <w:t>1</w:t>
      </w:r>
      <w:r w:rsidRPr="00720C28">
        <w:rPr>
          <w:noProof/>
        </w:rPr>
        <w:fldChar w:fldCharType="end"/>
      </w:r>
    </w:p>
    <w:p w14:paraId="7B12E2F3" w14:textId="371143BB" w:rsidR="00564667" w:rsidRPr="00720C28" w:rsidRDefault="005646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0C28">
        <w:rPr>
          <w:noProof/>
        </w:rPr>
        <w:t>4  Definitions</w:t>
      </w:r>
      <w:r w:rsidRPr="00720C28">
        <w:rPr>
          <w:noProof/>
        </w:rPr>
        <w:tab/>
      </w:r>
      <w:r w:rsidRPr="00720C28">
        <w:rPr>
          <w:noProof/>
        </w:rPr>
        <w:fldChar w:fldCharType="begin"/>
      </w:r>
      <w:r w:rsidRPr="00720C28">
        <w:rPr>
          <w:noProof/>
        </w:rPr>
        <w:instrText xml:space="preserve"> PAGEREF _Toc96605981 \h </w:instrText>
      </w:r>
      <w:r w:rsidRPr="00720C28">
        <w:rPr>
          <w:noProof/>
        </w:rPr>
      </w:r>
      <w:r w:rsidRPr="00720C28">
        <w:rPr>
          <w:noProof/>
        </w:rPr>
        <w:fldChar w:fldCharType="separate"/>
      </w:r>
      <w:r w:rsidR="0092214D" w:rsidRPr="00720C28">
        <w:rPr>
          <w:noProof/>
        </w:rPr>
        <w:t>1</w:t>
      </w:r>
      <w:r w:rsidRPr="00720C28">
        <w:rPr>
          <w:noProof/>
        </w:rPr>
        <w:fldChar w:fldCharType="end"/>
      </w:r>
    </w:p>
    <w:p w14:paraId="1E998CB9" w14:textId="020DFC83" w:rsidR="00564667" w:rsidRPr="00720C28" w:rsidRDefault="005646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0C28">
        <w:rPr>
          <w:noProof/>
        </w:rPr>
        <w:t>5  Schedules</w:t>
      </w:r>
      <w:r w:rsidRPr="00720C28">
        <w:rPr>
          <w:noProof/>
        </w:rPr>
        <w:tab/>
      </w:r>
      <w:r w:rsidRPr="00720C28">
        <w:rPr>
          <w:noProof/>
        </w:rPr>
        <w:fldChar w:fldCharType="begin"/>
      </w:r>
      <w:r w:rsidRPr="00720C28">
        <w:rPr>
          <w:noProof/>
        </w:rPr>
        <w:instrText xml:space="preserve"> PAGEREF _Toc96605982 \h </w:instrText>
      </w:r>
      <w:r w:rsidRPr="00720C28">
        <w:rPr>
          <w:noProof/>
        </w:rPr>
      </w:r>
      <w:r w:rsidRPr="00720C28">
        <w:rPr>
          <w:noProof/>
        </w:rPr>
        <w:fldChar w:fldCharType="separate"/>
      </w:r>
      <w:r w:rsidR="0092214D" w:rsidRPr="00720C28">
        <w:rPr>
          <w:noProof/>
        </w:rPr>
        <w:t>2</w:t>
      </w:r>
      <w:r w:rsidRPr="00720C28">
        <w:rPr>
          <w:noProof/>
        </w:rPr>
        <w:fldChar w:fldCharType="end"/>
      </w:r>
    </w:p>
    <w:p w14:paraId="03B86635" w14:textId="6F5B2952" w:rsidR="00564667" w:rsidRPr="00720C28" w:rsidRDefault="0056466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0C28">
        <w:rPr>
          <w:noProof/>
        </w:rPr>
        <w:t>Part 2—National VET Regulator annual registration charge</w:t>
      </w:r>
      <w:r w:rsidRPr="00720C28">
        <w:rPr>
          <w:noProof/>
        </w:rPr>
        <w:tab/>
      </w:r>
      <w:r w:rsidR="00BA33FD" w:rsidRPr="00720C28">
        <w:rPr>
          <w:noProof/>
        </w:rPr>
        <w:t>3</w:t>
      </w:r>
    </w:p>
    <w:p w14:paraId="5435C04A" w14:textId="745B3C0D" w:rsidR="00564667" w:rsidRPr="00720C28" w:rsidRDefault="005646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0C28">
        <w:rPr>
          <w:noProof/>
        </w:rPr>
        <w:t>6  Amount of annual registration charge</w:t>
      </w:r>
      <w:r w:rsidRPr="00720C28">
        <w:rPr>
          <w:noProof/>
        </w:rPr>
        <w:tab/>
      </w:r>
      <w:r w:rsidR="00BA33FD" w:rsidRPr="00720C28">
        <w:rPr>
          <w:noProof/>
        </w:rPr>
        <w:t>3</w:t>
      </w:r>
    </w:p>
    <w:p w14:paraId="2D1ECA33" w14:textId="34B4C568" w:rsidR="00564667" w:rsidRPr="00720C28" w:rsidRDefault="0056466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0C28">
        <w:rPr>
          <w:noProof/>
        </w:rPr>
        <w:t>Part 3—</w:t>
      </w:r>
      <w:r w:rsidR="00EA7004" w:rsidRPr="00720C28">
        <w:rPr>
          <w:noProof/>
        </w:rPr>
        <w:t>Charge for compliance audit</w:t>
      </w:r>
      <w:r w:rsidRPr="00720C28">
        <w:rPr>
          <w:noProof/>
        </w:rPr>
        <w:tab/>
      </w:r>
      <w:r w:rsidR="00BA33FD" w:rsidRPr="00720C28">
        <w:rPr>
          <w:noProof/>
        </w:rPr>
        <w:t>5</w:t>
      </w:r>
    </w:p>
    <w:p w14:paraId="113FCEE9" w14:textId="120C51D8" w:rsidR="00564667" w:rsidRPr="00720C28" w:rsidRDefault="005646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0C28">
        <w:rPr>
          <w:noProof/>
        </w:rPr>
        <w:t xml:space="preserve">7  Amount of </w:t>
      </w:r>
      <w:r w:rsidR="00EA7004" w:rsidRPr="00720C28">
        <w:rPr>
          <w:noProof/>
        </w:rPr>
        <w:t>and calculation of charge</w:t>
      </w:r>
      <w:r w:rsidRPr="00720C28">
        <w:rPr>
          <w:noProof/>
        </w:rPr>
        <w:tab/>
      </w:r>
      <w:r w:rsidR="00BA33FD" w:rsidRPr="00720C28">
        <w:rPr>
          <w:noProof/>
        </w:rPr>
        <w:t>5</w:t>
      </w:r>
    </w:p>
    <w:p w14:paraId="2B6ABAE1" w14:textId="68C51201" w:rsidR="00EA7004" w:rsidRPr="00720C28" w:rsidRDefault="00EA7004" w:rsidP="00EA700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0C28">
        <w:rPr>
          <w:noProof/>
        </w:rPr>
        <w:t>Part 4—Charge for the investigation of a complaint about an NVR registered training organisation</w:t>
      </w:r>
      <w:r w:rsidRPr="00720C28">
        <w:rPr>
          <w:noProof/>
        </w:rPr>
        <w:tab/>
      </w:r>
      <w:r w:rsidR="00BA33FD" w:rsidRPr="00720C28">
        <w:rPr>
          <w:noProof/>
        </w:rPr>
        <w:t>6</w:t>
      </w:r>
    </w:p>
    <w:p w14:paraId="389018B7" w14:textId="4F49EE8D" w:rsidR="00EA7004" w:rsidRPr="00720C28" w:rsidRDefault="00EA7004" w:rsidP="00EA7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0C28">
        <w:rPr>
          <w:noProof/>
        </w:rPr>
        <w:t>8  Amount and calculation of charge</w:t>
      </w:r>
      <w:r w:rsidRPr="00720C28">
        <w:rPr>
          <w:noProof/>
        </w:rPr>
        <w:tab/>
      </w:r>
      <w:r w:rsidR="00BA33FD" w:rsidRPr="00720C28">
        <w:rPr>
          <w:noProof/>
        </w:rPr>
        <w:t>6</w:t>
      </w:r>
    </w:p>
    <w:p w14:paraId="64CAECA8" w14:textId="76D15652" w:rsidR="00EA7004" w:rsidRPr="00720C28" w:rsidRDefault="00EA7004" w:rsidP="00EA700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0C28">
        <w:rPr>
          <w:noProof/>
        </w:rPr>
        <w:t>Part 5—Circumstances in which a charge may be waived</w:t>
      </w:r>
      <w:r w:rsidRPr="00720C28">
        <w:rPr>
          <w:noProof/>
        </w:rPr>
        <w:tab/>
      </w:r>
      <w:r w:rsidR="00BA33FD" w:rsidRPr="00720C28">
        <w:rPr>
          <w:noProof/>
        </w:rPr>
        <w:t>7</w:t>
      </w:r>
    </w:p>
    <w:p w14:paraId="57E5CEDC" w14:textId="711DAA18" w:rsidR="00EA7004" w:rsidRPr="00720C28" w:rsidRDefault="00EA7004" w:rsidP="00EA70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20C28">
        <w:rPr>
          <w:noProof/>
        </w:rPr>
        <w:t>9  Circumstances in which a charge may be waived in whole or in part</w:t>
      </w:r>
      <w:r w:rsidRPr="00720C28">
        <w:rPr>
          <w:noProof/>
        </w:rPr>
        <w:tab/>
      </w:r>
      <w:r w:rsidR="00BA33FD" w:rsidRPr="00720C28">
        <w:rPr>
          <w:noProof/>
        </w:rPr>
        <w:t>7</w:t>
      </w:r>
    </w:p>
    <w:p w14:paraId="67ACBC27" w14:textId="2987FDCB" w:rsidR="00564667" w:rsidRPr="00720C28" w:rsidRDefault="005646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20C28">
        <w:rPr>
          <w:noProof/>
        </w:rPr>
        <w:t>Schedule 1—Repeals</w:t>
      </w:r>
      <w:r w:rsidRPr="00720C28">
        <w:rPr>
          <w:noProof/>
        </w:rPr>
        <w:tab/>
      </w:r>
      <w:r w:rsidR="00BA33FD" w:rsidRPr="00720C28">
        <w:rPr>
          <w:noProof/>
        </w:rPr>
        <w:t>8</w:t>
      </w:r>
    </w:p>
    <w:p w14:paraId="68BB0E30" w14:textId="1D620F44" w:rsidR="00564667" w:rsidRPr="00720C28" w:rsidRDefault="005646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20C28">
        <w:rPr>
          <w:noProof/>
        </w:rPr>
        <w:t>National Vocational Education and Training Regulator (Charges) Determination 2013 (No. 1)</w:t>
      </w:r>
      <w:r w:rsidRPr="00720C28">
        <w:rPr>
          <w:noProof/>
        </w:rPr>
        <w:tab/>
      </w:r>
      <w:r w:rsidR="00BA33FD" w:rsidRPr="00720C28">
        <w:rPr>
          <w:i w:val="0"/>
          <w:iCs/>
          <w:noProof/>
        </w:rPr>
        <w:t>8</w:t>
      </w:r>
    </w:p>
    <w:p w14:paraId="5E679C67" w14:textId="6B1C4876" w:rsidR="00F6696E" w:rsidRPr="00720C28" w:rsidRDefault="00B418CB" w:rsidP="00F6696E">
      <w:pPr>
        <w:outlineLvl w:val="0"/>
      </w:pPr>
      <w:r w:rsidRPr="00720C28">
        <w:fldChar w:fldCharType="end"/>
      </w:r>
    </w:p>
    <w:p w14:paraId="47E7F3AF" w14:textId="77777777" w:rsidR="00F6696E" w:rsidRPr="00720C28" w:rsidRDefault="00F6696E" w:rsidP="00F6696E">
      <w:pPr>
        <w:outlineLvl w:val="0"/>
        <w:rPr>
          <w:sz w:val="20"/>
        </w:rPr>
      </w:pPr>
    </w:p>
    <w:p w14:paraId="287C595E" w14:textId="77777777" w:rsidR="00F6696E" w:rsidRPr="00720C28" w:rsidRDefault="00F6696E" w:rsidP="00F6696E">
      <w:pPr>
        <w:sectPr w:rsidR="00F6696E" w:rsidRPr="00720C28" w:rsidSect="008B419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AD17CE3" w14:textId="3634B25D" w:rsidR="003D3D1A" w:rsidRPr="00720C28" w:rsidRDefault="003D3D1A" w:rsidP="003D3D1A">
      <w:pPr>
        <w:pStyle w:val="ActHead2"/>
      </w:pPr>
      <w:bookmarkStart w:id="0" w:name="_Toc96605977"/>
      <w:r w:rsidRPr="00720C28">
        <w:lastRenderedPageBreak/>
        <w:t>Part 1—Preliminary</w:t>
      </w:r>
      <w:bookmarkEnd w:id="0"/>
    </w:p>
    <w:p w14:paraId="457D27FD" w14:textId="7A36FE94" w:rsidR="00554826" w:rsidRPr="00720C28" w:rsidRDefault="00554826" w:rsidP="00554826">
      <w:pPr>
        <w:pStyle w:val="ActHead5"/>
      </w:pPr>
      <w:bookmarkStart w:id="1" w:name="_Toc96605978"/>
      <w:r w:rsidRPr="00720C28">
        <w:t>1  Name</w:t>
      </w:r>
      <w:bookmarkEnd w:id="1"/>
    </w:p>
    <w:p w14:paraId="6D7401A1" w14:textId="7A6519C1" w:rsidR="00554826" w:rsidRPr="00720C28" w:rsidRDefault="00554826" w:rsidP="00554826">
      <w:pPr>
        <w:pStyle w:val="subsection"/>
      </w:pPr>
      <w:r w:rsidRPr="00720C28">
        <w:tab/>
      </w:r>
      <w:r w:rsidRPr="00720C28">
        <w:tab/>
        <w:t xml:space="preserve">This instrument is the </w:t>
      </w:r>
      <w:r w:rsidR="007B3A16" w:rsidRPr="00720C28">
        <w:rPr>
          <w:i/>
          <w:iCs/>
        </w:rPr>
        <w:t>National Vocational Education and Training Regulator (Charges) Determination 2022</w:t>
      </w:r>
      <w:r w:rsidR="007B3A16" w:rsidRPr="00720C28">
        <w:t>.</w:t>
      </w:r>
    </w:p>
    <w:p w14:paraId="166F6CD6" w14:textId="77777777" w:rsidR="00554826" w:rsidRPr="00720C28" w:rsidRDefault="00554826" w:rsidP="00554826">
      <w:pPr>
        <w:pStyle w:val="ActHead5"/>
      </w:pPr>
      <w:bookmarkStart w:id="2" w:name="_Toc96605979"/>
      <w:r w:rsidRPr="00720C28">
        <w:t>2  Commencement</w:t>
      </w:r>
      <w:bookmarkEnd w:id="2"/>
    </w:p>
    <w:p w14:paraId="4BAEFE38" w14:textId="77777777" w:rsidR="003767E2" w:rsidRPr="00720C28" w:rsidRDefault="003767E2" w:rsidP="003767E2">
      <w:pPr>
        <w:pStyle w:val="subsection"/>
      </w:pPr>
      <w:r w:rsidRPr="00720C28">
        <w:tab/>
        <w:t>(1)</w:t>
      </w:r>
      <w:r w:rsidRPr="00720C2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35B9831" w14:textId="77777777" w:rsidR="003767E2" w:rsidRPr="00720C28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720C28" w14:paraId="26C77996" w14:textId="77777777" w:rsidTr="008B41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EA4E37" w14:textId="77777777" w:rsidR="003767E2" w:rsidRPr="00720C28" w:rsidRDefault="003767E2" w:rsidP="008B4197">
            <w:pPr>
              <w:pStyle w:val="TableHeading"/>
            </w:pPr>
            <w:r w:rsidRPr="00720C28">
              <w:t>Commencement information</w:t>
            </w:r>
          </w:p>
        </w:tc>
      </w:tr>
      <w:tr w:rsidR="003767E2" w:rsidRPr="00720C28" w14:paraId="6A388A13" w14:textId="77777777" w:rsidTr="008B41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902EA8" w14:textId="77777777" w:rsidR="003767E2" w:rsidRPr="00720C28" w:rsidRDefault="003767E2" w:rsidP="008B4197">
            <w:pPr>
              <w:pStyle w:val="TableHeading"/>
            </w:pPr>
            <w:r w:rsidRPr="00720C2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5AC198" w14:textId="77777777" w:rsidR="003767E2" w:rsidRPr="00720C28" w:rsidRDefault="003767E2" w:rsidP="008B4197">
            <w:pPr>
              <w:pStyle w:val="TableHeading"/>
            </w:pPr>
            <w:r w:rsidRPr="00720C2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7C1A089" w14:textId="77777777" w:rsidR="003767E2" w:rsidRPr="00720C28" w:rsidRDefault="003767E2" w:rsidP="008B4197">
            <w:pPr>
              <w:pStyle w:val="TableHeading"/>
            </w:pPr>
            <w:r w:rsidRPr="00720C28">
              <w:t>Column 3</w:t>
            </w:r>
          </w:p>
        </w:tc>
      </w:tr>
      <w:tr w:rsidR="003767E2" w:rsidRPr="00720C28" w14:paraId="231AF3C1" w14:textId="77777777" w:rsidTr="008B41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15E0BC" w14:textId="77777777" w:rsidR="003767E2" w:rsidRPr="00720C28" w:rsidRDefault="003767E2" w:rsidP="008B4197">
            <w:pPr>
              <w:pStyle w:val="TableHeading"/>
            </w:pPr>
            <w:r w:rsidRPr="00720C2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5B3A00" w14:textId="77777777" w:rsidR="003767E2" w:rsidRPr="00720C28" w:rsidRDefault="003767E2" w:rsidP="008B4197">
            <w:pPr>
              <w:pStyle w:val="TableHeading"/>
            </w:pPr>
            <w:r w:rsidRPr="00720C2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CD0A90" w14:textId="77777777" w:rsidR="003767E2" w:rsidRPr="00720C28" w:rsidRDefault="003767E2" w:rsidP="008B4197">
            <w:pPr>
              <w:pStyle w:val="TableHeading"/>
            </w:pPr>
            <w:r w:rsidRPr="00720C28">
              <w:t>Date/Details</w:t>
            </w:r>
          </w:p>
        </w:tc>
      </w:tr>
      <w:tr w:rsidR="003767E2" w:rsidRPr="00720C28" w14:paraId="1D2D56C4" w14:textId="77777777" w:rsidTr="008B41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060ADA" w14:textId="71E43770" w:rsidR="003767E2" w:rsidRPr="00720C28" w:rsidRDefault="003767E2" w:rsidP="008B4197">
            <w:pPr>
              <w:pStyle w:val="Tabletext"/>
              <w:rPr>
                <w:i/>
              </w:rPr>
            </w:pPr>
            <w:r w:rsidRPr="00720C28">
              <w:t xml:space="preserve">1.  </w:t>
            </w:r>
            <w:r w:rsidR="00593B28" w:rsidRPr="00720C28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DB41EE" w14:textId="4F6A0A50" w:rsidR="003767E2" w:rsidRPr="00720C28" w:rsidRDefault="00593B28" w:rsidP="008B4197">
            <w:pPr>
              <w:pStyle w:val="Tabletext"/>
              <w:rPr>
                <w:iCs/>
              </w:rPr>
            </w:pPr>
            <w:r w:rsidRPr="00720C28">
              <w:rPr>
                <w:iCs/>
              </w:rPr>
              <w:t>1 July 2022</w:t>
            </w:r>
            <w:r w:rsidR="003767E2" w:rsidRPr="00720C28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7D4783" w14:textId="2BF47324" w:rsidR="003767E2" w:rsidRPr="00720C28" w:rsidRDefault="00593B28" w:rsidP="008B4197">
            <w:pPr>
              <w:pStyle w:val="Tabletext"/>
              <w:rPr>
                <w:iCs/>
              </w:rPr>
            </w:pPr>
            <w:r w:rsidRPr="00720C28">
              <w:rPr>
                <w:iCs/>
              </w:rPr>
              <w:t>1 July 2022</w:t>
            </w:r>
          </w:p>
        </w:tc>
      </w:tr>
    </w:tbl>
    <w:p w14:paraId="6F665F83" w14:textId="77777777" w:rsidR="003767E2" w:rsidRPr="00720C28" w:rsidRDefault="003767E2" w:rsidP="003767E2">
      <w:pPr>
        <w:pStyle w:val="notetext"/>
      </w:pPr>
      <w:r w:rsidRPr="00720C28">
        <w:rPr>
          <w:snapToGrid w:val="0"/>
          <w:lang w:eastAsia="en-US"/>
        </w:rPr>
        <w:t>Note:</w:t>
      </w:r>
      <w:r w:rsidRPr="00720C28">
        <w:rPr>
          <w:snapToGrid w:val="0"/>
          <w:lang w:eastAsia="en-US"/>
        </w:rPr>
        <w:tab/>
        <w:t>This table relates only to the provisions of this instrument</w:t>
      </w:r>
      <w:r w:rsidRPr="00720C28">
        <w:t xml:space="preserve"> </w:t>
      </w:r>
      <w:r w:rsidRPr="00720C28">
        <w:rPr>
          <w:snapToGrid w:val="0"/>
          <w:lang w:eastAsia="en-US"/>
        </w:rPr>
        <w:t>as originally made. It will not be amended to deal with any later amendments of this instrument.</w:t>
      </w:r>
    </w:p>
    <w:p w14:paraId="456B1B47" w14:textId="77777777" w:rsidR="003767E2" w:rsidRPr="00720C28" w:rsidRDefault="003767E2" w:rsidP="003767E2">
      <w:pPr>
        <w:pStyle w:val="subsection"/>
      </w:pPr>
      <w:r w:rsidRPr="00720C28">
        <w:tab/>
        <w:t>(2)</w:t>
      </w:r>
      <w:r w:rsidRPr="00720C2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90241D8" w14:textId="77777777" w:rsidR="00554826" w:rsidRPr="00720C28" w:rsidRDefault="00554826" w:rsidP="00554826">
      <w:pPr>
        <w:pStyle w:val="ActHead5"/>
      </w:pPr>
      <w:bookmarkStart w:id="3" w:name="_Toc96605980"/>
      <w:r w:rsidRPr="00720C28">
        <w:t>3  Authority</w:t>
      </w:r>
      <w:bookmarkEnd w:id="3"/>
    </w:p>
    <w:p w14:paraId="26A4C726" w14:textId="0A24E8CD" w:rsidR="00554826" w:rsidRPr="00720C28" w:rsidRDefault="00554826" w:rsidP="00554826">
      <w:pPr>
        <w:pStyle w:val="subsection"/>
        <w:rPr>
          <w:i/>
          <w:iCs/>
        </w:rPr>
      </w:pPr>
      <w:r w:rsidRPr="00720C28">
        <w:tab/>
      </w:r>
      <w:r w:rsidRPr="00720C28">
        <w:tab/>
        <w:t>This instrument is made under</w:t>
      </w:r>
      <w:r w:rsidR="007B3A16" w:rsidRPr="00720C28">
        <w:t xml:space="preserve"> </w:t>
      </w:r>
      <w:r w:rsidR="00593B28" w:rsidRPr="00720C28">
        <w:t>sub</w:t>
      </w:r>
      <w:r w:rsidR="007B3A16" w:rsidRPr="00720C28">
        <w:t>section 6B</w:t>
      </w:r>
      <w:r w:rsidR="00593B28" w:rsidRPr="00720C28">
        <w:t>(1)</w:t>
      </w:r>
      <w:r w:rsidR="007B3A16" w:rsidRPr="00720C28">
        <w:t>,</w:t>
      </w:r>
      <w:r w:rsidR="00782BC0" w:rsidRPr="00720C28">
        <w:t xml:space="preserve"> </w:t>
      </w:r>
      <w:r w:rsidR="00F80A58" w:rsidRPr="00720C28">
        <w:t>subsection</w:t>
      </w:r>
      <w:r w:rsidR="007B3A16" w:rsidRPr="00720C28">
        <w:t xml:space="preserve"> 9</w:t>
      </w:r>
      <w:r w:rsidR="00F80A58" w:rsidRPr="00720C28">
        <w:t>(2)</w:t>
      </w:r>
      <w:r w:rsidR="00782BC0" w:rsidRPr="00720C28">
        <w:t>, subsection</w:t>
      </w:r>
      <w:r w:rsidR="00827C83" w:rsidRPr="00720C28">
        <w:t xml:space="preserve"> </w:t>
      </w:r>
      <w:r w:rsidR="007B3A16" w:rsidRPr="00720C28">
        <w:t>12</w:t>
      </w:r>
      <w:r w:rsidR="00593B28" w:rsidRPr="00720C28">
        <w:t>(2)</w:t>
      </w:r>
      <w:r w:rsidR="00827C83" w:rsidRPr="00720C28">
        <w:t xml:space="preserve"> and paragraph 13(b)</w:t>
      </w:r>
      <w:r w:rsidR="007B3A16" w:rsidRPr="00720C28">
        <w:t xml:space="preserve"> of the</w:t>
      </w:r>
      <w:r w:rsidR="00B873CD" w:rsidRPr="00720C28">
        <w:t xml:space="preserve"> </w:t>
      </w:r>
      <w:r w:rsidR="00B873CD" w:rsidRPr="00720C28">
        <w:rPr>
          <w:i/>
          <w:iCs/>
        </w:rPr>
        <w:t>National Vocational Education and Training Regulator (Charges)</w:t>
      </w:r>
      <w:r w:rsidR="007B3A16" w:rsidRPr="00720C28">
        <w:rPr>
          <w:i/>
          <w:iCs/>
        </w:rPr>
        <w:t xml:space="preserve"> Act</w:t>
      </w:r>
      <w:r w:rsidR="00B873CD" w:rsidRPr="00720C28">
        <w:rPr>
          <w:i/>
          <w:iCs/>
        </w:rPr>
        <w:t xml:space="preserve"> 2012</w:t>
      </w:r>
      <w:r w:rsidR="007B3A16" w:rsidRPr="00720C28">
        <w:rPr>
          <w:i/>
          <w:iCs/>
        </w:rPr>
        <w:t xml:space="preserve">. </w:t>
      </w:r>
    </w:p>
    <w:p w14:paraId="1A78C1D1" w14:textId="77777777" w:rsidR="00554826" w:rsidRPr="00720C28" w:rsidRDefault="00554826" w:rsidP="00554826">
      <w:pPr>
        <w:pStyle w:val="ActHead5"/>
      </w:pPr>
      <w:bookmarkStart w:id="4" w:name="_Toc96605981"/>
      <w:r w:rsidRPr="00720C28">
        <w:t>4  Definitions</w:t>
      </w:r>
      <w:bookmarkEnd w:id="4"/>
    </w:p>
    <w:p w14:paraId="25B02D91" w14:textId="341127CF" w:rsidR="00554826" w:rsidRPr="00720C28" w:rsidRDefault="00554826" w:rsidP="00554826">
      <w:pPr>
        <w:pStyle w:val="notetext"/>
      </w:pPr>
      <w:r w:rsidRPr="00720C28">
        <w:t>Note</w:t>
      </w:r>
      <w:r w:rsidR="00B30547" w:rsidRPr="00720C28">
        <w:t xml:space="preserve"> 1</w:t>
      </w:r>
      <w:r w:rsidRPr="00720C28">
        <w:t>:</w:t>
      </w:r>
      <w:r w:rsidRPr="00720C28">
        <w:tab/>
        <w:t>A number of expressions used in this instrument are defined in</w:t>
      </w:r>
      <w:r w:rsidR="00445C1F" w:rsidRPr="00720C28">
        <w:t xml:space="preserve"> section 3 of</w:t>
      </w:r>
      <w:r w:rsidR="00590DC4" w:rsidRPr="00720C28">
        <w:t xml:space="preserve"> the</w:t>
      </w:r>
      <w:r w:rsidR="000663E3" w:rsidRPr="00720C28">
        <w:t xml:space="preserve"> Act and the </w:t>
      </w:r>
      <w:r w:rsidR="00445C1F" w:rsidRPr="00720C28">
        <w:rPr>
          <w:i/>
          <w:iCs/>
        </w:rPr>
        <w:t>National Vocational Education and Training Regulator Act 2011</w:t>
      </w:r>
      <w:r w:rsidR="00B873CD" w:rsidRPr="00720C28">
        <w:t>,</w:t>
      </w:r>
      <w:r w:rsidRPr="00720C28">
        <w:t xml:space="preserve"> including the following:</w:t>
      </w:r>
    </w:p>
    <w:p w14:paraId="72D0E7D1" w14:textId="5AC01485" w:rsidR="00554826" w:rsidRPr="00720C28" w:rsidRDefault="00590DC4" w:rsidP="00A051AC">
      <w:pPr>
        <w:pStyle w:val="notepara"/>
        <w:numPr>
          <w:ilvl w:val="0"/>
          <w:numId w:val="3"/>
        </w:numPr>
      </w:pPr>
      <w:r w:rsidRPr="00720C28">
        <w:t>compliance audit</w:t>
      </w:r>
      <w:r w:rsidR="00554826" w:rsidRPr="00720C28">
        <w:t>;</w:t>
      </w:r>
    </w:p>
    <w:p w14:paraId="1470888A" w14:textId="03739E9B" w:rsidR="001C6512" w:rsidRPr="00720C28" w:rsidRDefault="001C6512" w:rsidP="00A051AC">
      <w:pPr>
        <w:pStyle w:val="notepara"/>
        <w:numPr>
          <w:ilvl w:val="0"/>
          <w:numId w:val="3"/>
        </w:numPr>
      </w:pPr>
      <w:r w:rsidRPr="00720C28">
        <w:t>Data Provision Requirements</w:t>
      </w:r>
      <w:r w:rsidR="00050997" w:rsidRPr="00720C28">
        <w:t>;</w:t>
      </w:r>
    </w:p>
    <w:p w14:paraId="535A3C74" w14:textId="7BEB7EE8" w:rsidR="00554826" w:rsidRPr="00720C28" w:rsidRDefault="00590DC4" w:rsidP="00A051AC">
      <w:pPr>
        <w:pStyle w:val="notepara"/>
        <w:numPr>
          <w:ilvl w:val="0"/>
          <w:numId w:val="3"/>
        </w:numPr>
      </w:pPr>
      <w:r w:rsidRPr="00720C28">
        <w:t>National VET Regulator;</w:t>
      </w:r>
    </w:p>
    <w:p w14:paraId="19286506" w14:textId="144C1F25" w:rsidR="0058661C" w:rsidRPr="00720C28" w:rsidRDefault="00590DC4" w:rsidP="00A051AC">
      <w:pPr>
        <w:pStyle w:val="notepara"/>
        <w:numPr>
          <w:ilvl w:val="0"/>
          <w:numId w:val="3"/>
        </w:numPr>
      </w:pPr>
      <w:r w:rsidRPr="00720C28">
        <w:t>NVR registered training organisation;</w:t>
      </w:r>
      <w:r w:rsidR="0058661C" w:rsidRPr="00720C28">
        <w:t xml:space="preserve"> </w:t>
      </w:r>
      <w:r w:rsidR="00363502" w:rsidRPr="00720C28">
        <w:t>and</w:t>
      </w:r>
    </w:p>
    <w:p w14:paraId="26277C26" w14:textId="4AD5F2D5" w:rsidR="00152E18" w:rsidRPr="00720C28" w:rsidRDefault="00152E18" w:rsidP="00A051AC">
      <w:pPr>
        <w:pStyle w:val="notepara"/>
        <w:numPr>
          <w:ilvl w:val="0"/>
          <w:numId w:val="3"/>
        </w:numPr>
      </w:pPr>
      <w:r w:rsidRPr="00720C28">
        <w:t>VET course</w:t>
      </w:r>
      <w:r w:rsidR="00363502" w:rsidRPr="00720C28">
        <w:t>.</w:t>
      </w:r>
    </w:p>
    <w:p w14:paraId="47CE0DF9" w14:textId="77777777" w:rsidR="00554826" w:rsidRPr="00720C28" w:rsidRDefault="00554826" w:rsidP="00554826">
      <w:pPr>
        <w:pStyle w:val="subsection"/>
      </w:pPr>
      <w:r w:rsidRPr="00720C28">
        <w:tab/>
      </w:r>
      <w:r w:rsidRPr="00720C28">
        <w:tab/>
      </w:r>
      <w:bookmarkStart w:id="5" w:name="_Hlk105680494"/>
      <w:r w:rsidRPr="00720C28">
        <w:t>In this instrument:</w:t>
      </w:r>
    </w:p>
    <w:p w14:paraId="46FAEF82" w14:textId="6B7D7EFE" w:rsidR="00554826" w:rsidRPr="00720C28" w:rsidRDefault="00554826" w:rsidP="00554826">
      <w:pPr>
        <w:pStyle w:val="Definition"/>
      </w:pPr>
      <w:r w:rsidRPr="00720C28">
        <w:rPr>
          <w:b/>
          <w:i/>
        </w:rPr>
        <w:t>Act</w:t>
      </w:r>
      <w:r w:rsidRPr="00720C28">
        <w:t xml:space="preserve"> means the</w:t>
      </w:r>
      <w:r w:rsidR="007B3A16" w:rsidRPr="00720C28">
        <w:t xml:space="preserve"> </w:t>
      </w:r>
      <w:r w:rsidR="007B3A16" w:rsidRPr="00720C28">
        <w:rPr>
          <w:i/>
          <w:iCs/>
        </w:rPr>
        <w:t>National Vocational Education and Training Regulator (Charges) Act 2012</w:t>
      </w:r>
      <w:r w:rsidRPr="00720C28">
        <w:t>.</w:t>
      </w:r>
    </w:p>
    <w:p w14:paraId="65DD95C3" w14:textId="72CCFFD3" w:rsidR="00935328" w:rsidRPr="00720C28" w:rsidRDefault="00935328" w:rsidP="00554826">
      <w:pPr>
        <w:pStyle w:val="Definition"/>
        <w:rPr>
          <w:bCs/>
          <w:iCs/>
        </w:rPr>
      </w:pPr>
      <w:bookmarkStart w:id="6" w:name="_Hlk97118302"/>
      <w:r w:rsidRPr="00720C28">
        <w:rPr>
          <w:b/>
          <w:i/>
        </w:rPr>
        <w:t xml:space="preserve">National VET Regulator annual registration charge </w:t>
      </w:r>
      <w:r w:rsidRPr="00720C28">
        <w:rPr>
          <w:bCs/>
          <w:iCs/>
        </w:rPr>
        <w:t>means the charge imposed by Part 1A of the Act.</w:t>
      </w:r>
    </w:p>
    <w:p w14:paraId="7136C12D" w14:textId="6C58E3CB" w:rsidR="001E1D3D" w:rsidRPr="00720C28" w:rsidRDefault="001E1D3D" w:rsidP="00554826">
      <w:pPr>
        <w:pStyle w:val="Definition"/>
        <w:rPr>
          <w:bCs/>
          <w:iCs/>
        </w:rPr>
      </w:pPr>
      <w:r w:rsidRPr="00720C28">
        <w:rPr>
          <w:b/>
          <w:i/>
        </w:rPr>
        <w:lastRenderedPageBreak/>
        <w:t xml:space="preserve">Number of reported </w:t>
      </w:r>
      <w:r w:rsidR="006C44A3" w:rsidRPr="00720C28">
        <w:rPr>
          <w:b/>
          <w:i/>
        </w:rPr>
        <w:t>students</w:t>
      </w:r>
      <w:r w:rsidR="00770FE6" w:rsidRPr="00720C28">
        <w:rPr>
          <w:b/>
          <w:i/>
        </w:rPr>
        <w:t xml:space="preserve"> for the previous calendar year</w:t>
      </w:r>
      <w:r w:rsidRPr="00720C28">
        <w:rPr>
          <w:b/>
          <w:i/>
        </w:rPr>
        <w:t xml:space="preserve"> </w:t>
      </w:r>
      <w:r w:rsidRPr="00720C28">
        <w:rPr>
          <w:bCs/>
          <w:iCs/>
        </w:rPr>
        <w:t xml:space="preserve">means the number of </w:t>
      </w:r>
      <w:r w:rsidR="0031582B" w:rsidRPr="00720C28">
        <w:rPr>
          <w:bCs/>
          <w:iCs/>
        </w:rPr>
        <w:t xml:space="preserve">unique student </w:t>
      </w:r>
      <w:r w:rsidRPr="00720C28">
        <w:rPr>
          <w:bCs/>
          <w:iCs/>
        </w:rPr>
        <w:t>enrolments in a VET course or part of a VET course</w:t>
      </w:r>
      <w:r w:rsidR="00C77845" w:rsidRPr="00720C28">
        <w:rPr>
          <w:bCs/>
          <w:iCs/>
        </w:rPr>
        <w:t xml:space="preserve"> </w:t>
      </w:r>
      <w:r w:rsidR="0031582B" w:rsidRPr="00720C28">
        <w:rPr>
          <w:bCs/>
          <w:iCs/>
        </w:rPr>
        <w:t xml:space="preserve">as reported by </w:t>
      </w:r>
      <w:r w:rsidR="00C77845" w:rsidRPr="00720C28">
        <w:rPr>
          <w:bCs/>
          <w:iCs/>
        </w:rPr>
        <w:t xml:space="preserve">a </w:t>
      </w:r>
      <w:r w:rsidR="00363502" w:rsidRPr="00720C28">
        <w:rPr>
          <w:bCs/>
          <w:iCs/>
        </w:rPr>
        <w:t xml:space="preserve">person to whom section 232A of the </w:t>
      </w:r>
      <w:r w:rsidR="00363502" w:rsidRPr="00720C28">
        <w:rPr>
          <w:bCs/>
          <w:i/>
        </w:rPr>
        <w:t xml:space="preserve">National Vocational Education and Training Regulator Act 2011 </w:t>
      </w:r>
      <w:r w:rsidR="00363502" w:rsidRPr="00720C28">
        <w:rPr>
          <w:bCs/>
          <w:iCs/>
        </w:rPr>
        <w:t xml:space="preserve">applies </w:t>
      </w:r>
      <w:r w:rsidR="00494B1E" w:rsidRPr="00720C28">
        <w:rPr>
          <w:bCs/>
          <w:iCs/>
        </w:rPr>
        <w:t>for the previous calendar year</w:t>
      </w:r>
      <w:r w:rsidR="0031582B" w:rsidRPr="00720C28">
        <w:rPr>
          <w:bCs/>
          <w:iCs/>
        </w:rPr>
        <w:t xml:space="preserve"> in accordance with </w:t>
      </w:r>
      <w:r w:rsidR="000D2A17" w:rsidRPr="00720C28">
        <w:rPr>
          <w:bCs/>
          <w:iCs/>
        </w:rPr>
        <w:t xml:space="preserve">the </w:t>
      </w:r>
      <w:r w:rsidR="007C3B6F" w:rsidRPr="00720C28">
        <w:rPr>
          <w:bCs/>
          <w:iCs/>
        </w:rPr>
        <w:t xml:space="preserve">person’s </w:t>
      </w:r>
      <w:r w:rsidR="0031582B" w:rsidRPr="00720C28">
        <w:rPr>
          <w:bCs/>
          <w:iCs/>
        </w:rPr>
        <w:t xml:space="preserve">reporting obligations under the </w:t>
      </w:r>
      <w:r w:rsidR="00136C34" w:rsidRPr="00720C28">
        <w:rPr>
          <w:bCs/>
          <w:iCs/>
        </w:rPr>
        <w:t>Data Provision Requirements</w:t>
      </w:r>
      <w:r w:rsidR="0094088A" w:rsidRPr="00720C28">
        <w:rPr>
          <w:bCs/>
          <w:iCs/>
        </w:rPr>
        <w:t>.</w:t>
      </w:r>
      <w:r w:rsidR="00136C34" w:rsidRPr="00720C28">
        <w:rPr>
          <w:bCs/>
          <w:iCs/>
        </w:rPr>
        <w:t xml:space="preserve"> </w:t>
      </w:r>
      <w:r w:rsidR="00C77845" w:rsidRPr="00720C28">
        <w:rPr>
          <w:bCs/>
          <w:iCs/>
        </w:rPr>
        <w:t xml:space="preserve"> </w:t>
      </w:r>
    </w:p>
    <w:p w14:paraId="1C75C700" w14:textId="02CD4308" w:rsidR="0098739E" w:rsidRPr="00720C28" w:rsidRDefault="00A463AF" w:rsidP="00827C83">
      <w:pPr>
        <w:pStyle w:val="subsection"/>
        <w:rPr>
          <w:bCs/>
          <w:iCs/>
        </w:rPr>
      </w:pPr>
      <w:r w:rsidRPr="00720C28">
        <w:rPr>
          <w:b/>
          <w:i/>
        </w:rPr>
        <w:tab/>
      </w:r>
      <w:r w:rsidRPr="00720C28">
        <w:rPr>
          <w:b/>
          <w:i/>
        </w:rPr>
        <w:tab/>
      </w:r>
      <w:r w:rsidR="00FB4DAA" w:rsidRPr="00720C28">
        <w:rPr>
          <w:b/>
          <w:i/>
        </w:rPr>
        <w:t xml:space="preserve">Number of VET courses </w:t>
      </w:r>
      <w:r w:rsidR="00136C34" w:rsidRPr="00720C28">
        <w:rPr>
          <w:b/>
          <w:i/>
        </w:rPr>
        <w:t>the organisation is registered to offer</w:t>
      </w:r>
      <w:r w:rsidR="00294CB0" w:rsidRPr="00720C28">
        <w:rPr>
          <w:b/>
          <w:i/>
        </w:rPr>
        <w:t xml:space="preserve"> on the first day of the financial year</w:t>
      </w:r>
      <w:r w:rsidR="00FB4DAA" w:rsidRPr="00720C28">
        <w:rPr>
          <w:b/>
          <w:i/>
        </w:rPr>
        <w:t xml:space="preserve"> </w:t>
      </w:r>
      <w:r w:rsidR="00FB4DAA" w:rsidRPr="00720C28">
        <w:rPr>
          <w:bCs/>
          <w:iCs/>
        </w:rPr>
        <w:t>means the number of unique VET courses a</w:t>
      </w:r>
      <w:r w:rsidR="008E427B" w:rsidRPr="00720C28">
        <w:rPr>
          <w:bCs/>
          <w:iCs/>
        </w:rPr>
        <w:t xml:space="preserve"> </w:t>
      </w:r>
      <w:r w:rsidR="006F1210" w:rsidRPr="00720C28">
        <w:rPr>
          <w:bCs/>
          <w:iCs/>
        </w:rPr>
        <w:t xml:space="preserve">person to whom section 232A of the </w:t>
      </w:r>
      <w:r w:rsidR="006F1210" w:rsidRPr="00720C28">
        <w:rPr>
          <w:bCs/>
          <w:i/>
        </w:rPr>
        <w:t xml:space="preserve">National Vocational Education and Training Regulator Act 2011 </w:t>
      </w:r>
      <w:r w:rsidR="006F1210" w:rsidRPr="00720C28">
        <w:rPr>
          <w:bCs/>
          <w:iCs/>
        </w:rPr>
        <w:t>applies</w:t>
      </w:r>
      <w:r w:rsidR="00FB4DAA" w:rsidRPr="00720C28">
        <w:rPr>
          <w:bCs/>
          <w:iCs/>
        </w:rPr>
        <w:t xml:space="preserve"> </w:t>
      </w:r>
      <w:r w:rsidR="00136C34" w:rsidRPr="00720C28">
        <w:rPr>
          <w:bCs/>
          <w:iCs/>
        </w:rPr>
        <w:t xml:space="preserve">is registered to offer </w:t>
      </w:r>
      <w:r w:rsidR="00D62B81" w:rsidRPr="00720C28">
        <w:rPr>
          <w:bCs/>
          <w:iCs/>
        </w:rPr>
        <w:t>on the first day of the financial year</w:t>
      </w:r>
      <w:r w:rsidR="00FB4DAA" w:rsidRPr="00720C28">
        <w:rPr>
          <w:bCs/>
          <w:iCs/>
        </w:rPr>
        <w:t xml:space="preserve">, </w:t>
      </w:r>
      <w:r w:rsidR="00CF25CB" w:rsidRPr="00720C28">
        <w:rPr>
          <w:bCs/>
          <w:iCs/>
        </w:rPr>
        <w:t>in</w:t>
      </w:r>
      <w:r w:rsidR="00FB4DAA" w:rsidRPr="00720C28">
        <w:rPr>
          <w:bCs/>
          <w:iCs/>
        </w:rPr>
        <w:t xml:space="preserve"> accordance with its registration</w:t>
      </w:r>
      <w:r w:rsidR="00CF25CB" w:rsidRPr="00720C28">
        <w:rPr>
          <w:bCs/>
          <w:iCs/>
        </w:rPr>
        <w:t xml:space="preserve"> under</w:t>
      </w:r>
      <w:r w:rsidR="0098739E" w:rsidRPr="00720C28">
        <w:rPr>
          <w:bCs/>
          <w:iCs/>
        </w:rPr>
        <w:t>:</w:t>
      </w:r>
    </w:p>
    <w:p w14:paraId="6A127B94" w14:textId="1791390A" w:rsidR="0098739E" w:rsidRPr="00720C28" w:rsidRDefault="00CF25CB" w:rsidP="00A051AC">
      <w:pPr>
        <w:pStyle w:val="subsection"/>
        <w:numPr>
          <w:ilvl w:val="0"/>
          <w:numId w:val="4"/>
        </w:numPr>
        <w:rPr>
          <w:bCs/>
          <w:iCs/>
        </w:rPr>
      </w:pPr>
      <w:r w:rsidRPr="00720C28">
        <w:rPr>
          <w:bCs/>
          <w:iCs/>
        </w:rPr>
        <w:t xml:space="preserve">the </w:t>
      </w:r>
      <w:r w:rsidR="001164BF" w:rsidRPr="00720C28">
        <w:rPr>
          <w:bCs/>
          <w:i/>
        </w:rPr>
        <w:t>National Vocational Education and Training Regulator Act 2011</w:t>
      </w:r>
      <w:r w:rsidR="0098739E" w:rsidRPr="00720C28">
        <w:rPr>
          <w:bCs/>
          <w:iCs/>
        </w:rPr>
        <w:t xml:space="preserve">; </w:t>
      </w:r>
    </w:p>
    <w:p w14:paraId="310E29E1" w14:textId="3945F1C7" w:rsidR="0098739E" w:rsidRPr="00720C28" w:rsidRDefault="008E62F9" w:rsidP="00A051AC">
      <w:pPr>
        <w:pStyle w:val="subsection"/>
        <w:numPr>
          <w:ilvl w:val="0"/>
          <w:numId w:val="4"/>
        </w:numPr>
        <w:rPr>
          <w:bCs/>
          <w:iCs/>
        </w:rPr>
      </w:pPr>
      <w:r w:rsidRPr="00720C28">
        <w:rPr>
          <w:bCs/>
          <w:iCs/>
        </w:rPr>
        <w:t xml:space="preserve">the </w:t>
      </w:r>
      <w:r w:rsidR="001164BF" w:rsidRPr="00720C28">
        <w:rPr>
          <w:bCs/>
          <w:i/>
        </w:rPr>
        <w:t>Education Services for Overseas Students Act 2000</w:t>
      </w:r>
      <w:r w:rsidR="0098739E" w:rsidRPr="00720C28">
        <w:rPr>
          <w:bCs/>
          <w:iCs/>
        </w:rPr>
        <w:t>; or</w:t>
      </w:r>
    </w:p>
    <w:p w14:paraId="7B139F37" w14:textId="37E64B0D" w:rsidR="0098739E" w:rsidRPr="00720C28" w:rsidRDefault="00D03B11" w:rsidP="00A051AC">
      <w:pPr>
        <w:pStyle w:val="subsection"/>
        <w:numPr>
          <w:ilvl w:val="0"/>
          <w:numId w:val="4"/>
        </w:numPr>
        <w:rPr>
          <w:bCs/>
          <w:iCs/>
        </w:rPr>
      </w:pPr>
      <w:r w:rsidRPr="00720C28">
        <w:rPr>
          <w:bCs/>
          <w:iCs/>
        </w:rPr>
        <w:t>both</w:t>
      </w:r>
      <w:r w:rsidR="0098739E" w:rsidRPr="00720C28">
        <w:rPr>
          <w:bCs/>
          <w:iCs/>
        </w:rPr>
        <w:t xml:space="preserve"> the </w:t>
      </w:r>
      <w:r w:rsidR="001164BF" w:rsidRPr="00720C28">
        <w:rPr>
          <w:bCs/>
          <w:i/>
        </w:rPr>
        <w:t>National Vocational Education and Training Regulator Act 2011</w:t>
      </w:r>
      <w:r w:rsidR="0098739E" w:rsidRPr="00720C28">
        <w:rPr>
          <w:bCs/>
          <w:iCs/>
        </w:rPr>
        <w:t xml:space="preserve"> and the </w:t>
      </w:r>
      <w:r w:rsidR="001164BF" w:rsidRPr="00720C28">
        <w:rPr>
          <w:bCs/>
          <w:i/>
        </w:rPr>
        <w:t>Education Services for Overseas Students Act 2000</w:t>
      </w:r>
      <w:r w:rsidR="0098739E" w:rsidRPr="00720C28">
        <w:rPr>
          <w:bCs/>
          <w:iCs/>
        </w:rPr>
        <w:t>,</w:t>
      </w:r>
    </w:p>
    <w:p w14:paraId="0AF2BE29" w14:textId="713250C4" w:rsidR="001C6512" w:rsidRPr="00720C28" w:rsidRDefault="007C477C" w:rsidP="00050997">
      <w:pPr>
        <w:pStyle w:val="subsection"/>
        <w:ind w:firstLine="0"/>
        <w:rPr>
          <w:bCs/>
          <w:iCs/>
        </w:rPr>
      </w:pPr>
      <w:r w:rsidRPr="00720C28">
        <w:rPr>
          <w:bCs/>
          <w:iCs/>
        </w:rPr>
        <w:t>as applicable.</w:t>
      </w:r>
    </w:p>
    <w:p w14:paraId="3BE21D23" w14:textId="02157C65" w:rsidR="00554826" w:rsidRPr="00720C28" w:rsidRDefault="00554826" w:rsidP="00554826">
      <w:pPr>
        <w:pStyle w:val="ActHead5"/>
      </w:pPr>
      <w:bookmarkStart w:id="7" w:name="_Toc454781205"/>
      <w:bookmarkStart w:id="8" w:name="_Toc96605982"/>
      <w:bookmarkEnd w:id="6"/>
      <w:bookmarkEnd w:id="5"/>
      <w:r w:rsidRPr="00720C28">
        <w:t>5  Schedules</w:t>
      </w:r>
      <w:bookmarkEnd w:id="7"/>
      <w:bookmarkEnd w:id="8"/>
    </w:p>
    <w:p w14:paraId="03CC2DB0" w14:textId="223D5904" w:rsidR="00D8358A" w:rsidRPr="00720C28" w:rsidRDefault="00554826" w:rsidP="00D8358A">
      <w:pPr>
        <w:pStyle w:val="subsection"/>
      </w:pPr>
      <w:r w:rsidRPr="00720C28">
        <w:tab/>
      </w:r>
      <w:r w:rsidRPr="00720C28">
        <w:tab/>
      </w:r>
      <w:r w:rsidR="00D8358A" w:rsidRPr="00720C28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FBF063" w14:textId="77777777" w:rsidR="000663E3" w:rsidRPr="00720C28" w:rsidRDefault="000663E3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9" w:name="_Toc96605983"/>
      <w:bookmarkStart w:id="10" w:name="_Toc86688440"/>
      <w:bookmarkStart w:id="11" w:name="_Hlk86844333"/>
      <w:r w:rsidRPr="00720C28">
        <w:br w:type="page"/>
      </w:r>
    </w:p>
    <w:p w14:paraId="49813612" w14:textId="51329E9E" w:rsidR="003D3D1A" w:rsidRPr="00720C28" w:rsidRDefault="003D3D1A" w:rsidP="003D3D1A">
      <w:pPr>
        <w:pStyle w:val="ActHead2"/>
      </w:pPr>
      <w:r w:rsidRPr="00720C28">
        <w:lastRenderedPageBreak/>
        <w:t>Part 2—</w:t>
      </w:r>
      <w:bookmarkEnd w:id="9"/>
      <w:r w:rsidR="00782BC0" w:rsidRPr="00720C28">
        <w:t>Determination of National VET Regulator annual registration charge</w:t>
      </w:r>
    </w:p>
    <w:p w14:paraId="32DE84D4" w14:textId="3FB46E28" w:rsidR="008B4197" w:rsidRPr="00720C28" w:rsidRDefault="00D76635" w:rsidP="008B4197">
      <w:pPr>
        <w:pStyle w:val="ActHead5"/>
      </w:pPr>
      <w:bookmarkStart w:id="12" w:name="_Toc96605984"/>
      <w:r w:rsidRPr="00720C28">
        <w:t>6</w:t>
      </w:r>
      <w:r w:rsidR="00593B28" w:rsidRPr="00720C28">
        <w:t xml:space="preserve">  </w:t>
      </w:r>
      <w:bookmarkEnd w:id="10"/>
      <w:bookmarkEnd w:id="11"/>
      <w:r w:rsidR="00F80A58" w:rsidRPr="00720C28">
        <w:t>Method for working out a</w:t>
      </w:r>
      <w:r w:rsidR="008B4197" w:rsidRPr="00720C28">
        <w:t>mount of</w:t>
      </w:r>
      <w:r w:rsidR="00F80A58" w:rsidRPr="00720C28">
        <w:t xml:space="preserve"> </w:t>
      </w:r>
      <w:r w:rsidRPr="00720C28">
        <w:t>charge</w:t>
      </w:r>
      <w:bookmarkEnd w:id="12"/>
      <w:r w:rsidRPr="00720C28">
        <w:t xml:space="preserve"> </w:t>
      </w:r>
    </w:p>
    <w:p w14:paraId="29369752" w14:textId="48F1DA5E" w:rsidR="001C2837" w:rsidRPr="00720C28" w:rsidRDefault="00273B7A" w:rsidP="008B4197">
      <w:pPr>
        <w:pStyle w:val="subsection"/>
      </w:pPr>
      <w:r w:rsidRPr="00720C28">
        <w:tab/>
      </w:r>
      <w:r w:rsidR="008C0C3D" w:rsidRPr="00720C28">
        <w:t>(1)</w:t>
      </w:r>
      <w:r w:rsidRPr="00720C28">
        <w:tab/>
      </w:r>
      <w:r w:rsidR="001C2837" w:rsidRPr="00720C28">
        <w:t>For the purposes of subsection 6B(1) of the Act</w:t>
      </w:r>
      <w:r w:rsidR="00CC7CFF" w:rsidRPr="00720C28">
        <w:t>,</w:t>
      </w:r>
      <w:r w:rsidR="001C2837" w:rsidRPr="00720C28">
        <w:t xml:space="preserve"> the </w:t>
      </w:r>
      <w:r w:rsidR="00AC70EC" w:rsidRPr="00720C28">
        <w:t>amount of annual registration charge payable by a</w:t>
      </w:r>
      <w:r w:rsidR="00590DC4" w:rsidRPr="00720C28">
        <w:t xml:space="preserve"> </w:t>
      </w:r>
      <w:r w:rsidR="00C07E9E" w:rsidRPr="00720C28">
        <w:t>person to whom section 232A of the</w:t>
      </w:r>
      <w:r w:rsidR="00D506EC" w:rsidRPr="00720C28">
        <w:t xml:space="preserve"> </w:t>
      </w:r>
      <w:r w:rsidR="001164BF" w:rsidRPr="00720C28">
        <w:rPr>
          <w:bCs/>
          <w:i/>
        </w:rPr>
        <w:t>National Vocational Education and Training Regulator Act 2011</w:t>
      </w:r>
      <w:r w:rsidR="00C07E9E" w:rsidRPr="00720C28">
        <w:rPr>
          <w:i/>
          <w:iCs/>
        </w:rPr>
        <w:t xml:space="preserve"> </w:t>
      </w:r>
      <w:r w:rsidR="00C07E9E" w:rsidRPr="00720C28">
        <w:t>applies</w:t>
      </w:r>
      <w:r w:rsidR="00590DC4" w:rsidRPr="00720C28">
        <w:t xml:space="preserve"> </w:t>
      </w:r>
      <w:r w:rsidR="00E12866" w:rsidRPr="00720C28">
        <w:t xml:space="preserve">for </w:t>
      </w:r>
      <w:r w:rsidR="001867DB" w:rsidRPr="00720C28">
        <w:t>the financial year commencing on 1 July 2022 and each later</w:t>
      </w:r>
      <w:r w:rsidR="003F4977" w:rsidRPr="00720C28">
        <w:t xml:space="preserve"> financial</w:t>
      </w:r>
      <w:r w:rsidR="001867DB" w:rsidRPr="00720C28">
        <w:t xml:space="preserve"> year </w:t>
      </w:r>
      <w:r w:rsidR="00AC70EC" w:rsidRPr="00720C28">
        <w:t xml:space="preserve">is to be </w:t>
      </w:r>
      <w:r w:rsidR="001C2837" w:rsidRPr="00720C28">
        <w:t>worked out in accordance with the following table.</w:t>
      </w:r>
    </w:p>
    <w:p w14:paraId="2D1F27E3" w14:textId="77777777" w:rsidR="005C5AE2" w:rsidRPr="00720C28" w:rsidRDefault="005C5AE2" w:rsidP="007C55D6">
      <w:pPr>
        <w:pStyle w:val="subsection"/>
        <w:ind w:left="0" w:firstLine="0"/>
      </w:pPr>
    </w:p>
    <w:tbl>
      <w:tblPr>
        <w:tblW w:w="8926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52"/>
        <w:gridCol w:w="3119"/>
        <w:gridCol w:w="1951"/>
      </w:tblGrid>
      <w:tr w:rsidR="005C5AE2" w:rsidRPr="00720C28" w14:paraId="5CE050D2" w14:textId="77777777" w:rsidTr="005C5AE2">
        <w:trPr>
          <w:trHeight w:val="367"/>
          <w:tblHeader/>
        </w:trPr>
        <w:tc>
          <w:tcPr>
            <w:tcW w:w="38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AF219A" w14:textId="77777777" w:rsidR="005C5AE2" w:rsidRPr="00720C28" w:rsidRDefault="005C5AE2" w:rsidP="003D3D1A">
            <w:pPr>
              <w:pStyle w:val="TableHeading"/>
              <w:rPr>
                <w:sz w:val="22"/>
                <w:szCs w:val="22"/>
              </w:rPr>
            </w:pPr>
            <w:bookmarkStart w:id="13" w:name="_Hlk105681017"/>
            <w:r w:rsidRPr="00720C28">
              <w:rPr>
                <w:sz w:val="22"/>
                <w:szCs w:val="22"/>
              </w:rPr>
              <w:t>Table 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A8BCC8" w14:textId="77777777" w:rsidR="005C5AE2" w:rsidRPr="00720C28" w:rsidRDefault="005C5AE2" w:rsidP="003D3D1A">
            <w:pPr>
              <w:pStyle w:val="TableHeading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14:paraId="495F0219" w14:textId="77777777" w:rsidR="005C5AE2" w:rsidRPr="00720C28" w:rsidRDefault="005C5AE2" w:rsidP="003D3D1A">
            <w:pPr>
              <w:pStyle w:val="TableHeading"/>
              <w:rPr>
                <w:sz w:val="22"/>
                <w:szCs w:val="22"/>
              </w:rPr>
            </w:pPr>
          </w:p>
        </w:tc>
      </w:tr>
      <w:tr w:rsidR="005C5AE2" w:rsidRPr="00720C28" w14:paraId="7326B82E" w14:textId="77777777" w:rsidTr="005C5AE2">
        <w:trPr>
          <w:trHeight w:val="702"/>
          <w:tblHeader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897D08" w14:textId="77777777" w:rsidR="005C5AE2" w:rsidRPr="00720C28" w:rsidRDefault="005C5AE2" w:rsidP="003D3D1A">
            <w:pPr>
              <w:pStyle w:val="TableHeading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Item</w:t>
            </w:r>
          </w:p>
        </w:tc>
        <w:tc>
          <w:tcPr>
            <w:tcW w:w="31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8E4F3B" w14:textId="5010790E" w:rsidR="005C5AE2" w:rsidRPr="00720C28" w:rsidRDefault="005C5AE2" w:rsidP="003D3D1A">
            <w:pPr>
              <w:pStyle w:val="TableHeading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 xml:space="preserve">If the number </w:t>
            </w:r>
            <w:r w:rsidR="0058661C" w:rsidRPr="00720C28">
              <w:rPr>
                <w:sz w:val="22"/>
                <w:szCs w:val="22"/>
              </w:rPr>
              <w:t>VET course</w:t>
            </w:r>
            <w:r w:rsidR="006C44A3" w:rsidRPr="00720C28">
              <w:rPr>
                <w:sz w:val="22"/>
                <w:szCs w:val="22"/>
              </w:rPr>
              <w:t xml:space="preserve">s the organisation </w:t>
            </w:r>
            <w:r w:rsidR="00D62B81" w:rsidRPr="00720C28">
              <w:rPr>
                <w:sz w:val="22"/>
                <w:szCs w:val="22"/>
              </w:rPr>
              <w:t xml:space="preserve">is registered to offer on the first day of the </w:t>
            </w:r>
            <w:r w:rsidR="006C44A3" w:rsidRPr="00720C28">
              <w:rPr>
                <w:sz w:val="22"/>
                <w:szCs w:val="22"/>
              </w:rPr>
              <w:t xml:space="preserve"> </w:t>
            </w:r>
            <w:r w:rsidR="00E1103E" w:rsidRPr="00720C28">
              <w:rPr>
                <w:sz w:val="22"/>
                <w:szCs w:val="22"/>
              </w:rPr>
              <w:t>financial</w:t>
            </w:r>
            <w:r w:rsidR="006C44A3" w:rsidRPr="00720C28">
              <w:rPr>
                <w:sz w:val="22"/>
                <w:szCs w:val="22"/>
              </w:rPr>
              <w:t xml:space="preserve"> year </w:t>
            </w:r>
            <w:r w:rsidR="002E325D" w:rsidRPr="00720C28">
              <w:rPr>
                <w:sz w:val="22"/>
                <w:szCs w:val="22"/>
              </w:rPr>
              <w:t>is</w:t>
            </w:r>
            <w:r w:rsidR="006C44A3" w:rsidRPr="00720C28">
              <w:rPr>
                <w:sz w:val="22"/>
                <w:szCs w:val="22"/>
              </w:rPr>
              <w:t>…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827487" w14:textId="42105E2F" w:rsidR="005C5AE2" w:rsidRPr="00720C28" w:rsidRDefault="005C5AE2" w:rsidP="003D3D1A">
            <w:pPr>
              <w:pStyle w:val="TableHeading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and the number of</w:t>
            </w:r>
            <w:r w:rsidR="0058661C" w:rsidRPr="00720C28">
              <w:rPr>
                <w:sz w:val="22"/>
                <w:szCs w:val="22"/>
              </w:rPr>
              <w:t xml:space="preserve"> </w:t>
            </w:r>
            <w:r w:rsidR="00C77845" w:rsidRPr="00720C28">
              <w:rPr>
                <w:sz w:val="22"/>
                <w:szCs w:val="22"/>
              </w:rPr>
              <w:t xml:space="preserve">reported </w:t>
            </w:r>
            <w:r w:rsidRPr="00720C28">
              <w:rPr>
                <w:sz w:val="22"/>
                <w:szCs w:val="22"/>
              </w:rPr>
              <w:t xml:space="preserve">students </w:t>
            </w:r>
            <w:r w:rsidR="00E12866" w:rsidRPr="00720C28">
              <w:rPr>
                <w:sz w:val="22"/>
                <w:szCs w:val="22"/>
              </w:rPr>
              <w:t xml:space="preserve">for </w:t>
            </w:r>
            <w:r w:rsidR="00723199" w:rsidRPr="00720C28">
              <w:rPr>
                <w:sz w:val="22"/>
                <w:szCs w:val="22"/>
              </w:rPr>
              <w:t>the previous calendar year</w:t>
            </w:r>
            <w:r w:rsidRPr="00720C28">
              <w:rPr>
                <w:sz w:val="22"/>
                <w:szCs w:val="22"/>
              </w:rPr>
              <w:t xml:space="preserve"> is…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14:paraId="6EBD6709" w14:textId="2D8E6E95" w:rsidR="005C5AE2" w:rsidRPr="00720C28" w:rsidRDefault="005C5AE2" w:rsidP="003D3D1A">
            <w:pPr>
              <w:pStyle w:val="TableHeading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 xml:space="preserve">the amount payable </w:t>
            </w:r>
            <w:r w:rsidR="00E12866" w:rsidRPr="00720C28">
              <w:rPr>
                <w:sz w:val="22"/>
                <w:szCs w:val="22"/>
              </w:rPr>
              <w:t>for th</w:t>
            </w:r>
            <w:r w:rsidR="00723199" w:rsidRPr="00720C28">
              <w:rPr>
                <w:sz w:val="22"/>
                <w:szCs w:val="22"/>
              </w:rPr>
              <w:t xml:space="preserve">e </w:t>
            </w:r>
            <w:r w:rsidR="00CC7CFF" w:rsidRPr="00720C28">
              <w:rPr>
                <w:sz w:val="22"/>
                <w:szCs w:val="22"/>
              </w:rPr>
              <w:t xml:space="preserve">financial </w:t>
            </w:r>
            <w:r w:rsidR="00E12866" w:rsidRPr="00720C28">
              <w:rPr>
                <w:sz w:val="22"/>
                <w:szCs w:val="22"/>
              </w:rPr>
              <w:t xml:space="preserve">year </w:t>
            </w:r>
            <w:r w:rsidRPr="00720C28">
              <w:rPr>
                <w:sz w:val="22"/>
                <w:szCs w:val="22"/>
              </w:rPr>
              <w:t>is…</w:t>
            </w:r>
          </w:p>
        </w:tc>
      </w:tr>
      <w:tr w:rsidR="005C5AE2" w:rsidRPr="00720C28" w14:paraId="5C30FFF0" w14:textId="77777777" w:rsidTr="005C5AE2">
        <w:trPr>
          <w:trHeight w:val="394"/>
        </w:trPr>
        <w:tc>
          <w:tcPr>
            <w:tcW w:w="704" w:type="dxa"/>
            <w:vMerge w:val="restart"/>
            <w:shd w:val="clear" w:color="auto" w:fill="auto"/>
          </w:tcPr>
          <w:p w14:paraId="2F74BCEA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vMerge w:val="restart"/>
            <w:shd w:val="clear" w:color="auto" w:fill="auto"/>
          </w:tcPr>
          <w:p w14:paraId="2C802EC2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0 to 4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4C8E8278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0 to 99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12302610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$1,500</w:t>
            </w:r>
          </w:p>
        </w:tc>
      </w:tr>
      <w:tr w:rsidR="005C5AE2" w:rsidRPr="00720C28" w14:paraId="2A3468BC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5ED78901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0DAFDE02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2EE4A2C2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100 to 249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1444B084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$2,300</w:t>
            </w:r>
          </w:p>
        </w:tc>
      </w:tr>
      <w:tr w:rsidR="005C5AE2" w:rsidRPr="00720C28" w14:paraId="332AC936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37A2B14A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7778382D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5A0FFD73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250 to 499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327AFC38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$3,400</w:t>
            </w:r>
          </w:p>
        </w:tc>
      </w:tr>
      <w:tr w:rsidR="005C5AE2" w:rsidRPr="00720C28" w14:paraId="563440E2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0B75E06E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442F9E33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71D4D3E1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500 to 900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0CD15847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$5,100</w:t>
            </w:r>
          </w:p>
        </w:tc>
      </w:tr>
      <w:tr w:rsidR="005C5AE2" w:rsidRPr="00720C28" w14:paraId="2F33D5EC" w14:textId="77777777" w:rsidTr="005C5AE2">
        <w:trPr>
          <w:trHeight w:val="394"/>
        </w:trPr>
        <w:tc>
          <w:tcPr>
            <w:tcW w:w="70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DA9F492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C18500A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7BC38903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1000 or more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176C422F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$7,700</w:t>
            </w:r>
          </w:p>
        </w:tc>
      </w:tr>
      <w:tr w:rsidR="005C5AE2" w:rsidRPr="00720C28" w14:paraId="137838C2" w14:textId="77777777" w:rsidTr="005C5AE2">
        <w:trPr>
          <w:trHeight w:val="394"/>
        </w:trPr>
        <w:tc>
          <w:tcPr>
            <w:tcW w:w="704" w:type="dxa"/>
            <w:vMerge w:val="restart"/>
            <w:shd w:val="clear" w:color="auto" w:fill="auto"/>
          </w:tcPr>
          <w:p w14:paraId="72A29832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2</w:t>
            </w:r>
          </w:p>
        </w:tc>
        <w:tc>
          <w:tcPr>
            <w:tcW w:w="3152" w:type="dxa"/>
            <w:vMerge w:val="restart"/>
            <w:shd w:val="clear" w:color="auto" w:fill="auto"/>
          </w:tcPr>
          <w:p w14:paraId="62B5B1B8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5 to 10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6F6FCDE9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0 to 99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2F3B5D54" w14:textId="5E6CA3B8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$4,400</w:t>
            </w:r>
          </w:p>
        </w:tc>
      </w:tr>
      <w:tr w:rsidR="005C5AE2" w:rsidRPr="00720C28" w14:paraId="016FD681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06262AC5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01437534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13F3F0C2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100 to 249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1068040B" w14:textId="71AA75F5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$5,300</w:t>
            </w:r>
          </w:p>
        </w:tc>
      </w:tr>
      <w:tr w:rsidR="005C5AE2" w:rsidRPr="00720C28" w14:paraId="615B0677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3A84CD0C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13BB0DB5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0A0992E7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250 to 499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2C555999" w14:textId="311A1FAD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$6,300</w:t>
            </w:r>
          </w:p>
        </w:tc>
      </w:tr>
      <w:tr w:rsidR="005C5AE2" w:rsidRPr="00720C28" w14:paraId="47F20167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7C13F2CC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245667B5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21D55E4D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500 to 900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118F77C2" w14:textId="3B944C90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$7,500</w:t>
            </w:r>
          </w:p>
        </w:tc>
      </w:tr>
      <w:tr w:rsidR="005C5AE2" w:rsidRPr="00720C28" w14:paraId="7D579855" w14:textId="77777777" w:rsidTr="005C5AE2">
        <w:trPr>
          <w:trHeight w:val="394"/>
        </w:trPr>
        <w:tc>
          <w:tcPr>
            <w:tcW w:w="70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A2CA18A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D3DEBCD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1B8BC196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1000 or more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5B8E4E1D" w14:textId="04C26A61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$9,000</w:t>
            </w:r>
          </w:p>
        </w:tc>
      </w:tr>
      <w:tr w:rsidR="005C5AE2" w:rsidRPr="00720C28" w14:paraId="012DB129" w14:textId="77777777" w:rsidTr="005C5AE2">
        <w:trPr>
          <w:trHeight w:val="394"/>
        </w:trPr>
        <w:tc>
          <w:tcPr>
            <w:tcW w:w="704" w:type="dxa"/>
            <w:vMerge w:val="restart"/>
            <w:shd w:val="clear" w:color="auto" w:fill="auto"/>
          </w:tcPr>
          <w:p w14:paraId="247BE101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3</w:t>
            </w:r>
          </w:p>
        </w:tc>
        <w:tc>
          <w:tcPr>
            <w:tcW w:w="3152" w:type="dxa"/>
            <w:vMerge w:val="restart"/>
            <w:shd w:val="clear" w:color="auto" w:fill="auto"/>
          </w:tcPr>
          <w:p w14:paraId="3F739B09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11 to 25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510F8089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0 to 99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5AC2E08F" w14:textId="43819351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$7,900</w:t>
            </w:r>
          </w:p>
        </w:tc>
      </w:tr>
      <w:tr w:rsidR="005C5AE2" w:rsidRPr="00720C28" w14:paraId="132E5755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50F211E3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71A520CF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66E8875A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100 to 249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019D861A" w14:textId="15BCAC72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$8,700</w:t>
            </w:r>
          </w:p>
        </w:tc>
      </w:tr>
      <w:tr w:rsidR="005C5AE2" w:rsidRPr="00720C28" w14:paraId="1C9455F1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73D92115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6BD719BA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3602D6CD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250 to 499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25F75569" w14:textId="0B367F7A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$9,700</w:t>
            </w:r>
          </w:p>
        </w:tc>
      </w:tr>
      <w:tr w:rsidR="005C5AE2" w:rsidRPr="00720C28" w14:paraId="00C062DD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01B1CC41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1CF59AF4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1546451B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500 to 900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43D5EBB5" w14:textId="12ECAB32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$10,700</w:t>
            </w:r>
          </w:p>
        </w:tc>
      </w:tr>
      <w:tr w:rsidR="005C5AE2" w:rsidRPr="00720C28" w14:paraId="34E31B12" w14:textId="77777777" w:rsidTr="005C5AE2">
        <w:trPr>
          <w:trHeight w:val="394"/>
        </w:trPr>
        <w:tc>
          <w:tcPr>
            <w:tcW w:w="70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F9D5F2C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358FF3E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0844ADE4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1000 or more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4DCFB86D" w14:textId="4C5094EB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$11,900</w:t>
            </w:r>
          </w:p>
        </w:tc>
      </w:tr>
      <w:tr w:rsidR="005C5AE2" w:rsidRPr="00720C28" w14:paraId="23C89142" w14:textId="77777777" w:rsidTr="005C5AE2">
        <w:trPr>
          <w:trHeight w:val="394"/>
        </w:trPr>
        <w:tc>
          <w:tcPr>
            <w:tcW w:w="704" w:type="dxa"/>
            <w:vMerge w:val="restart"/>
            <w:shd w:val="clear" w:color="auto" w:fill="auto"/>
          </w:tcPr>
          <w:p w14:paraId="0792437B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4</w:t>
            </w:r>
          </w:p>
        </w:tc>
        <w:tc>
          <w:tcPr>
            <w:tcW w:w="3152" w:type="dxa"/>
            <w:vMerge w:val="restart"/>
            <w:shd w:val="clear" w:color="auto" w:fill="auto"/>
          </w:tcPr>
          <w:p w14:paraId="1133732B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26 to 50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7DD5F5E9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0 to 99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1447DBD1" w14:textId="12F86801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$11,300</w:t>
            </w:r>
          </w:p>
        </w:tc>
      </w:tr>
      <w:tr w:rsidR="005C5AE2" w:rsidRPr="00720C28" w14:paraId="6F440249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60794A85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282CBD57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57687118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100 to 249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5CC7924A" w14:textId="2181DF75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$12,500</w:t>
            </w:r>
          </w:p>
        </w:tc>
      </w:tr>
      <w:tr w:rsidR="005C5AE2" w:rsidRPr="00720C28" w14:paraId="41CDA407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1F18AFD2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111DC42A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3DFB2D90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250 to 499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680FD0E4" w14:textId="21A5944B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$13,800</w:t>
            </w:r>
          </w:p>
        </w:tc>
      </w:tr>
      <w:tr w:rsidR="005C5AE2" w:rsidRPr="00720C28" w14:paraId="32F9BF22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091A7B49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57F851B8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6C63F481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500 to 900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51A7F1F2" w14:textId="744B182E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$15,300</w:t>
            </w:r>
          </w:p>
        </w:tc>
      </w:tr>
      <w:tr w:rsidR="005C5AE2" w:rsidRPr="00720C28" w14:paraId="64B9DC3B" w14:textId="77777777" w:rsidTr="005C5AE2">
        <w:trPr>
          <w:trHeight w:val="394"/>
        </w:trPr>
        <w:tc>
          <w:tcPr>
            <w:tcW w:w="70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2265C9C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04BB9DAC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2C9C9086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1000 or more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0D6131A2" w14:textId="5148DFF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$16,900</w:t>
            </w:r>
          </w:p>
        </w:tc>
      </w:tr>
      <w:tr w:rsidR="005C5AE2" w:rsidRPr="00720C28" w14:paraId="424618AB" w14:textId="77777777" w:rsidTr="005C5AE2">
        <w:trPr>
          <w:trHeight w:val="394"/>
        </w:trPr>
        <w:tc>
          <w:tcPr>
            <w:tcW w:w="704" w:type="dxa"/>
            <w:vMerge w:val="restart"/>
            <w:shd w:val="clear" w:color="auto" w:fill="auto"/>
          </w:tcPr>
          <w:p w14:paraId="4942AF1B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5</w:t>
            </w:r>
          </w:p>
        </w:tc>
        <w:tc>
          <w:tcPr>
            <w:tcW w:w="3152" w:type="dxa"/>
            <w:vMerge w:val="restart"/>
            <w:shd w:val="clear" w:color="auto" w:fill="auto"/>
          </w:tcPr>
          <w:p w14:paraId="1E447953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51 or more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43EF28D0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0 to 99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48FD8E3A" w14:textId="13E7863A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$15,900</w:t>
            </w:r>
          </w:p>
        </w:tc>
      </w:tr>
      <w:tr w:rsidR="005C5AE2" w:rsidRPr="00720C28" w14:paraId="23E0C901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162D2A8C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5DC5E8D7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0C8271DA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100 to 249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03566156" w14:textId="7186D140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$17,600</w:t>
            </w:r>
          </w:p>
        </w:tc>
      </w:tr>
      <w:tr w:rsidR="005C5AE2" w:rsidRPr="00720C28" w14:paraId="5FA942C1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018BFE03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729C79FA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78005132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250 to 499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3F37EDC4" w14:textId="5AB129E8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$19,500</w:t>
            </w:r>
          </w:p>
        </w:tc>
      </w:tr>
      <w:tr w:rsidR="005C5AE2" w:rsidRPr="00720C28" w14:paraId="10A021B5" w14:textId="77777777" w:rsidTr="005C5AE2">
        <w:trPr>
          <w:trHeight w:val="394"/>
        </w:trPr>
        <w:tc>
          <w:tcPr>
            <w:tcW w:w="704" w:type="dxa"/>
            <w:vMerge/>
            <w:shd w:val="clear" w:color="auto" w:fill="auto"/>
          </w:tcPr>
          <w:p w14:paraId="7B72DC0C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shd w:val="clear" w:color="auto" w:fill="auto"/>
          </w:tcPr>
          <w:p w14:paraId="0070B4D2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7ED58486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500 to 900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6049F746" w14:textId="1B5DC023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$21,600</w:t>
            </w:r>
          </w:p>
        </w:tc>
      </w:tr>
      <w:tr w:rsidR="005C5AE2" w:rsidRPr="00720C28" w14:paraId="0127619D" w14:textId="77777777" w:rsidTr="005C5AE2">
        <w:trPr>
          <w:trHeight w:val="394"/>
        </w:trPr>
        <w:tc>
          <w:tcPr>
            <w:tcW w:w="70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6A39D818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52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8240B87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14:paraId="29DB08B8" w14:textId="77777777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1000 or more</w:t>
            </w:r>
          </w:p>
        </w:tc>
        <w:tc>
          <w:tcPr>
            <w:tcW w:w="1951" w:type="dxa"/>
            <w:tcBorders>
              <w:bottom w:val="single" w:sz="2" w:space="0" w:color="auto"/>
            </w:tcBorders>
          </w:tcPr>
          <w:p w14:paraId="52EA4A0B" w14:textId="340517BA" w:rsidR="005C5AE2" w:rsidRPr="00720C28" w:rsidRDefault="005C5AE2" w:rsidP="003D3D1A">
            <w:pPr>
              <w:pStyle w:val="Tabletext"/>
              <w:rPr>
                <w:sz w:val="22"/>
                <w:szCs w:val="22"/>
              </w:rPr>
            </w:pPr>
            <w:r w:rsidRPr="00720C28">
              <w:rPr>
                <w:sz w:val="22"/>
                <w:szCs w:val="22"/>
              </w:rPr>
              <w:t>$23,900</w:t>
            </w:r>
          </w:p>
        </w:tc>
      </w:tr>
    </w:tbl>
    <w:bookmarkEnd w:id="13"/>
    <w:p w14:paraId="2B5F8EDA" w14:textId="1BC08DD7" w:rsidR="00723199" w:rsidRPr="00720C28" w:rsidRDefault="008C0C3D" w:rsidP="00050997">
      <w:pPr>
        <w:pStyle w:val="subsection"/>
      </w:pPr>
      <w:r w:rsidRPr="00720C28">
        <w:tab/>
        <w:t>(2)</w:t>
      </w:r>
      <w:r w:rsidRPr="00720C28">
        <w:tab/>
      </w:r>
      <w:r w:rsidR="00723199" w:rsidRPr="00720C28">
        <w:t xml:space="preserve">If a </w:t>
      </w:r>
      <w:r w:rsidR="00C07E9E" w:rsidRPr="00720C28">
        <w:t xml:space="preserve">person to whom section 232A of the </w:t>
      </w:r>
      <w:r w:rsidR="001164BF" w:rsidRPr="00720C28">
        <w:rPr>
          <w:bCs/>
          <w:i/>
        </w:rPr>
        <w:t>National Vocational Education and Training Regulator Act 2011</w:t>
      </w:r>
      <w:r w:rsidR="001164BF" w:rsidRPr="00720C28">
        <w:rPr>
          <w:i/>
          <w:iCs/>
        </w:rPr>
        <w:t xml:space="preserve"> </w:t>
      </w:r>
      <w:r w:rsidR="00C07E9E" w:rsidRPr="00720C28">
        <w:t>applies</w:t>
      </w:r>
      <w:r w:rsidR="00723199" w:rsidRPr="00720C28">
        <w:t xml:space="preserve"> both:</w:t>
      </w:r>
    </w:p>
    <w:p w14:paraId="4FBEBCD7" w14:textId="450E2122" w:rsidR="00B23653" w:rsidRPr="00720C28" w:rsidRDefault="00B23653" w:rsidP="0078250C">
      <w:pPr>
        <w:pStyle w:val="paragraph"/>
      </w:pPr>
      <w:r w:rsidRPr="00720C28">
        <w:tab/>
        <w:t>(a)</w:t>
      </w:r>
      <w:r w:rsidR="0078250C" w:rsidRPr="00720C28">
        <w:tab/>
      </w:r>
      <w:r w:rsidR="00723199" w:rsidRPr="00720C28">
        <w:t xml:space="preserve">starts or continues to be </w:t>
      </w:r>
      <w:r w:rsidRPr="00720C28">
        <w:t>registered</w:t>
      </w:r>
      <w:r w:rsidR="00723199" w:rsidRPr="00720C28">
        <w:t xml:space="preserve"> during the financial year under the </w:t>
      </w:r>
      <w:r w:rsidR="001164BF" w:rsidRPr="00720C28">
        <w:rPr>
          <w:bCs/>
          <w:i/>
        </w:rPr>
        <w:t>National Vocational Education and Training Regulator Act 2011</w:t>
      </w:r>
      <w:r w:rsidRPr="00720C28">
        <w:t xml:space="preserve"> </w:t>
      </w:r>
      <w:r w:rsidR="003F4977" w:rsidRPr="00720C28">
        <w:t>as a</w:t>
      </w:r>
      <w:r w:rsidRPr="00720C28">
        <w:t>n NVR registered training organisation;</w:t>
      </w:r>
      <w:r w:rsidR="008C0C3D" w:rsidRPr="00720C28">
        <w:t xml:space="preserve"> and</w:t>
      </w:r>
      <w:r w:rsidRPr="00720C28">
        <w:t xml:space="preserve"> </w:t>
      </w:r>
    </w:p>
    <w:p w14:paraId="38C5DD70" w14:textId="4A19FFC0" w:rsidR="00B23653" w:rsidRPr="00720C28" w:rsidRDefault="00B23653" w:rsidP="0078250C">
      <w:pPr>
        <w:pStyle w:val="paragraph"/>
      </w:pPr>
      <w:r w:rsidRPr="00720C28">
        <w:tab/>
        <w:t>(b)</w:t>
      </w:r>
      <w:r w:rsidR="0078250C" w:rsidRPr="00720C28">
        <w:tab/>
      </w:r>
      <w:r w:rsidR="00723199" w:rsidRPr="00720C28">
        <w:t xml:space="preserve">starts or continues to be registered during the financial year under the </w:t>
      </w:r>
      <w:r w:rsidR="001164BF" w:rsidRPr="00720C28">
        <w:rPr>
          <w:bCs/>
          <w:i/>
        </w:rPr>
        <w:t>Education Services for Overseas Students Act 2000</w:t>
      </w:r>
      <w:r w:rsidR="00723199" w:rsidRPr="00720C28">
        <w:rPr>
          <w:i/>
          <w:iCs/>
        </w:rPr>
        <w:t xml:space="preserve"> </w:t>
      </w:r>
      <w:r w:rsidR="00723199" w:rsidRPr="00720C28">
        <w:t>as a registered provider and the National VET Regulator is the ESOS agency for the registered provider</w:t>
      </w:r>
      <w:r w:rsidR="008C0C3D" w:rsidRPr="00720C28">
        <w:t>,</w:t>
      </w:r>
    </w:p>
    <w:p w14:paraId="024CEF56" w14:textId="4C56A585" w:rsidR="008C0C3D" w:rsidRPr="00720C28" w:rsidRDefault="008C0C3D" w:rsidP="000C22FB">
      <w:pPr>
        <w:pStyle w:val="subsection"/>
        <w:tabs>
          <w:tab w:val="clear" w:pos="1021"/>
          <w:tab w:val="right" w:pos="1276"/>
        </w:tabs>
      </w:pPr>
      <w:r w:rsidRPr="00720C28">
        <w:t xml:space="preserve"> </w:t>
      </w:r>
      <w:r w:rsidR="000C22FB" w:rsidRPr="00720C28">
        <w:tab/>
      </w:r>
      <w:r w:rsidR="000C22FB" w:rsidRPr="00720C28">
        <w:tab/>
      </w:r>
      <w:r w:rsidRPr="00720C28">
        <w:t xml:space="preserve">the </w:t>
      </w:r>
      <w:r w:rsidR="00C07E9E" w:rsidRPr="00720C28">
        <w:t>person</w:t>
      </w:r>
      <w:r w:rsidRPr="00720C28">
        <w:t xml:space="preserve"> is taken to discharge their liability to pay a charge for </w:t>
      </w:r>
      <w:r w:rsidR="0078250C" w:rsidRPr="00720C28">
        <w:t xml:space="preserve">both </w:t>
      </w:r>
      <w:r w:rsidRPr="00720C28">
        <w:t>registration</w:t>
      </w:r>
      <w:r w:rsidR="0078250C" w:rsidRPr="00720C28">
        <w:t>s</w:t>
      </w:r>
      <w:r w:rsidRPr="00720C28">
        <w:t xml:space="preserve"> by paying</w:t>
      </w:r>
      <w:r w:rsidR="000C22FB" w:rsidRPr="00720C28">
        <w:t xml:space="preserve"> </w:t>
      </w:r>
      <w:r w:rsidRPr="00720C28">
        <w:t xml:space="preserve">the applicable amount of </w:t>
      </w:r>
      <w:r w:rsidR="000C22FB" w:rsidRPr="00720C28">
        <w:t xml:space="preserve">the </w:t>
      </w:r>
      <w:r w:rsidR="00AF6DCA" w:rsidRPr="00720C28">
        <w:t xml:space="preserve">relevant </w:t>
      </w:r>
      <w:r w:rsidRPr="00720C28">
        <w:t>charge at</w:t>
      </w:r>
      <w:r w:rsidR="00E12866" w:rsidRPr="00720C28">
        <w:t xml:space="preserve"> subsection (1)</w:t>
      </w:r>
      <w:r w:rsidR="0078250C" w:rsidRPr="00720C28">
        <w:t xml:space="preserve"> once</w:t>
      </w:r>
      <w:r w:rsidRPr="00720C28">
        <w:t>.</w:t>
      </w:r>
    </w:p>
    <w:p w14:paraId="5ADA95A9" w14:textId="7AEC2C25" w:rsidR="00E0463B" w:rsidRPr="00720C28" w:rsidRDefault="00D9035B" w:rsidP="00D9035B">
      <w:pPr>
        <w:pStyle w:val="subsection"/>
        <w:tabs>
          <w:tab w:val="clear" w:pos="1021"/>
          <w:tab w:val="right" w:pos="1701"/>
        </w:tabs>
        <w:rPr>
          <w:i/>
          <w:iCs/>
        </w:rPr>
      </w:pPr>
      <w:r w:rsidRPr="00720C28">
        <w:rPr>
          <w:i/>
          <w:iCs/>
        </w:rPr>
        <w:tab/>
      </w:r>
      <w:r w:rsidR="00E0463B" w:rsidRPr="00720C28">
        <w:rPr>
          <w:i/>
          <w:iCs/>
        </w:rPr>
        <w:t>If person becomes registered during a financial year</w:t>
      </w:r>
    </w:p>
    <w:p w14:paraId="1D00401F" w14:textId="08B07940" w:rsidR="00CC7CFF" w:rsidRPr="00720C28" w:rsidRDefault="00CC7CFF" w:rsidP="00CC7CFF">
      <w:pPr>
        <w:pStyle w:val="subsection"/>
      </w:pPr>
      <w:r w:rsidRPr="00720C28">
        <w:rPr>
          <w:i/>
          <w:iCs/>
        </w:rPr>
        <w:tab/>
      </w:r>
      <w:r w:rsidRPr="00720C28">
        <w:t>(</w:t>
      </w:r>
      <w:r w:rsidR="00E0463B" w:rsidRPr="00720C28">
        <w:t>3</w:t>
      </w:r>
      <w:r w:rsidRPr="00720C28">
        <w:t>)</w:t>
      </w:r>
      <w:r w:rsidRPr="00720C28">
        <w:tab/>
        <w:t>If</w:t>
      </w:r>
      <w:r w:rsidR="007C3B6F" w:rsidRPr="00720C28">
        <w:t xml:space="preserve"> section </w:t>
      </w:r>
      <w:r w:rsidR="007C3B6F" w:rsidRPr="00720C28">
        <w:rPr>
          <w:bCs/>
          <w:iCs/>
        </w:rPr>
        <w:t xml:space="preserve">232A of the </w:t>
      </w:r>
      <w:r w:rsidR="007C3B6F" w:rsidRPr="00720C28">
        <w:rPr>
          <w:bCs/>
          <w:i/>
        </w:rPr>
        <w:t xml:space="preserve">National Vocational Education and Training Regulator Act 2011 </w:t>
      </w:r>
      <w:r w:rsidR="007C3B6F" w:rsidRPr="00720C28">
        <w:rPr>
          <w:bCs/>
          <w:iCs/>
        </w:rPr>
        <w:t>does not apply to</w:t>
      </w:r>
      <w:r w:rsidRPr="00720C28">
        <w:t xml:space="preserve"> </w:t>
      </w:r>
      <w:r w:rsidR="00B23653" w:rsidRPr="00720C28">
        <w:t>a</w:t>
      </w:r>
      <w:r w:rsidRPr="00720C28">
        <w:t xml:space="preserve"> person at the start of a financial year and</w:t>
      </w:r>
      <w:r w:rsidR="007C3B6F" w:rsidRPr="00720C28">
        <w:t xml:space="preserve"> that section begins to apply to</w:t>
      </w:r>
      <w:r w:rsidRPr="00720C28">
        <w:t xml:space="preserve"> the person during th</w:t>
      </w:r>
      <w:r w:rsidR="00E0463B" w:rsidRPr="00720C28">
        <w:t>at</w:t>
      </w:r>
      <w:r w:rsidRPr="00720C28">
        <w:t xml:space="preserve"> year, the following proportion of </w:t>
      </w:r>
      <w:bookmarkStart w:id="14" w:name="_Hlk105681289"/>
      <w:r w:rsidRPr="00720C28">
        <w:t>the charge</w:t>
      </w:r>
      <w:r w:rsidR="00E0463B" w:rsidRPr="00720C28">
        <w:t xml:space="preserve"> worked out at subsection (1)</w:t>
      </w:r>
      <w:r w:rsidRPr="00720C28">
        <w:t xml:space="preserve"> is payable in relation to that year:</w:t>
      </w:r>
    </w:p>
    <w:p w14:paraId="2098E142" w14:textId="2729B153" w:rsidR="009872D0" w:rsidRPr="00720C28" w:rsidRDefault="001E7F99" w:rsidP="00CC7CFF">
      <w:pPr>
        <w:pStyle w:val="subsection"/>
        <w:rPr>
          <w:sz w:val="18"/>
          <w:szCs w:val="16"/>
        </w:rPr>
      </w:pPr>
      <m:oMathPara>
        <m:oMath>
          <m:f>
            <m:fPr>
              <m:ctrlPr>
                <w:rPr>
                  <w:rFonts w:ascii="Cambria Math" w:hAnsi="Cambria Math"/>
                  <w:snapToGrid w:val="0"/>
                  <w:sz w:val="18"/>
                  <w:szCs w:val="16"/>
                  <w:lang w:eastAsia="en-US"/>
                </w:rPr>
              </m:ctrlPr>
            </m:fPr>
            <m:num>
              <w:bookmarkStart w:id="15" w:name="_Hlk97041768"/>
              <m:r>
                <m:rPr>
                  <m:sty m:val="p"/>
                </m:rPr>
                <w:rPr>
                  <w:rFonts w:ascii="Cambria Math" w:hAnsi="Cambria Math"/>
                  <w:sz w:val="18"/>
                  <w:szCs w:val="16"/>
                </w:rPr>
                <m:t xml:space="preserve">Number </m:t>
              </m:r>
              <w:bookmarkEnd w:id="15"/>
              <m:r>
                <m:rPr>
                  <m:sty m:val="p"/>
                </m:rPr>
                <w:rPr>
                  <w:rFonts w:ascii="Cambria Math" w:hAnsi="Cambria Math"/>
                  <w:sz w:val="18"/>
                  <w:szCs w:val="16"/>
                </w:rPr>
                <m:t xml:space="preserve">of whole months remaining in the financial year after the day section 232A applies to person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napToGrid w:val="0"/>
                  <w:sz w:val="18"/>
                  <w:szCs w:val="16"/>
                  <w:lang w:eastAsia="en-US"/>
                </w:rPr>
                <m:t>12</m:t>
              </m:r>
            </m:den>
          </m:f>
        </m:oMath>
      </m:oMathPara>
    </w:p>
    <w:p w14:paraId="762267C1" w14:textId="4F47E480" w:rsidR="00CC7CFF" w:rsidRPr="00720C28" w:rsidRDefault="00CC7CFF" w:rsidP="00E0463B">
      <w:pPr>
        <w:pStyle w:val="notetext"/>
        <w:rPr>
          <w:snapToGrid w:val="0"/>
          <w:lang w:eastAsia="en-US"/>
        </w:rPr>
      </w:pPr>
      <w:bookmarkStart w:id="16" w:name="BKCheck15B_4"/>
      <w:bookmarkEnd w:id="16"/>
      <w:bookmarkEnd w:id="14"/>
      <w:r w:rsidRPr="00720C28">
        <w:rPr>
          <w:snapToGrid w:val="0"/>
          <w:lang w:eastAsia="en-US"/>
        </w:rPr>
        <w:t>Note:</w:t>
      </w:r>
      <w:r w:rsidR="00E0463B" w:rsidRPr="00720C28">
        <w:rPr>
          <w:snapToGrid w:val="0"/>
          <w:lang w:eastAsia="en-US"/>
        </w:rPr>
        <w:tab/>
      </w:r>
      <w:r w:rsidRPr="00720C28">
        <w:rPr>
          <w:snapToGrid w:val="0"/>
          <w:lang w:eastAsia="en-US"/>
        </w:rPr>
        <w:t>If a person</w:t>
      </w:r>
      <w:r w:rsidR="00E0463B" w:rsidRPr="00720C28">
        <w:rPr>
          <w:snapToGrid w:val="0"/>
          <w:lang w:eastAsia="en-US"/>
        </w:rPr>
        <w:t xml:space="preserve"> ceases to be registered under </w:t>
      </w:r>
      <w:r w:rsidR="008E7E7A" w:rsidRPr="00720C28">
        <w:rPr>
          <w:snapToGrid w:val="0"/>
          <w:lang w:eastAsia="en-US"/>
        </w:rPr>
        <w:t>either</w:t>
      </w:r>
      <w:r w:rsidR="00E0463B" w:rsidRPr="00720C28">
        <w:rPr>
          <w:snapToGrid w:val="0"/>
          <w:lang w:eastAsia="en-US"/>
        </w:rPr>
        <w:t xml:space="preserve"> the </w:t>
      </w:r>
      <w:r w:rsidR="001164BF" w:rsidRPr="00720C28">
        <w:rPr>
          <w:bCs/>
          <w:i/>
        </w:rPr>
        <w:t>National Vocational Education and Training Regulator Act 2011</w:t>
      </w:r>
      <w:r w:rsidR="00E0463B" w:rsidRPr="00720C28">
        <w:rPr>
          <w:snapToGrid w:val="0"/>
          <w:lang w:eastAsia="en-US"/>
        </w:rPr>
        <w:t xml:space="preserve"> </w:t>
      </w:r>
      <w:r w:rsidR="008E7E7A" w:rsidRPr="00720C28">
        <w:rPr>
          <w:snapToGrid w:val="0"/>
          <w:lang w:eastAsia="en-US"/>
        </w:rPr>
        <w:t>or</w:t>
      </w:r>
      <w:r w:rsidR="000663E3" w:rsidRPr="00720C28">
        <w:rPr>
          <w:snapToGrid w:val="0"/>
          <w:lang w:eastAsia="en-US"/>
        </w:rPr>
        <w:t xml:space="preserve"> the</w:t>
      </w:r>
      <w:r w:rsidR="00E0463B" w:rsidRPr="00720C28">
        <w:rPr>
          <w:snapToGrid w:val="0"/>
          <w:lang w:eastAsia="en-US"/>
        </w:rPr>
        <w:t xml:space="preserve"> </w:t>
      </w:r>
      <w:r w:rsidR="001164BF" w:rsidRPr="00720C28">
        <w:rPr>
          <w:bCs/>
          <w:i/>
        </w:rPr>
        <w:t>Education Services for Overseas Students Act 2000</w:t>
      </w:r>
      <w:r w:rsidR="00E0463B" w:rsidRPr="00720C28">
        <w:rPr>
          <w:snapToGrid w:val="0"/>
          <w:lang w:eastAsia="en-US"/>
        </w:rPr>
        <w:t xml:space="preserve"> </w:t>
      </w:r>
      <w:r w:rsidRPr="00720C28">
        <w:rPr>
          <w:snapToGrid w:val="0"/>
          <w:lang w:eastAsia="en-US"/>
        </w:rPr>
        <w:t>during a financial year,</w:t>
      </w:r>
      <w:r w:rsidR="008E7E7A" w:rsidRPr="00720C28">
        <w:rPr>
          <w:snapToGrid w:val="0"/>
          <w:lang w:eastAsia="en-US"/>
        </w:rPr>
        <w:t xml:space="preserve"> such that the</w:t>
      </w:r>
      <w:r w:rsidR="00836A43" w:rsidRPr="00720C28">
        <w:rPr>
          <w:snapToGrid w:val="0"/>
          <w:lang w:eastAsia="en-US"/>
        </w:rPr>
        <w:t xml:space="preserve"> person is</w:t>
      </w:r>
      <w:r w:rsidR="008E7E7A" w:rsidRPr="00720C28">
        <w:rPr>
          <w:snapToGrid w:val="0"/>
          <w:lang w:eastAsia="en-US"/>
        </w:rPr>
        <w:t xml:space="preserve"> no longer registered</w:t>
      </w:r>
      <w:r w:rsidR="00836A43" w:rsidRPr="00720C28">
        <w:rPr>
          <w:snapToGrid w:val="0"/>
          <w:lang w:eastAsia="en-US"/>
        </w:rPr>
        <w:t xml:space="preserve"> under</w:t>
      </w:r>
      <w:r w:rsidR="008E7E7A" w:rsidRPr="00720C28">
        <w:rPr>
          <w:snapToGrid w:val="0"/>
          <w:lang w:eastAsia="en-US"/>
        </w:rPr>
        <w:t xml:space="preserve"> either of those Acts,</w:t>
      </w:r>
      <w:r w:rsidRPr="00720C28">
        <w:rPr>
          <w:snapToGrid w:val="0"/>
          <w:lang w:eastAsia="en-US"/>
        </w:rPr>
        <w:t xml:space="preserve"> a pro rata refund worked out on the same basis is payable to the person: see subsection 232A(4) of the </w:t>
      </w:r>
      <w:r w:rsidR="001164BF" w:rsidRPr="00720C28">
        <w:rPr>
          <w:bCs/>
          <w:i/>
        </w:rPr>
        <w:t>National Vocational Education and Training Regulator Act 2011</w:t>
      </w:r>
      <w:r w:rsidR="007D5416" w:rsidRPr="00720C28">
        <w:rPr>
          <w:snapToGrid w:val="0"/>
          <w:lang w:eastAsia="en-US"/>
        </w:rPr>
        <w:t>.</w:t>
      </w:r>
    </w:p>
    <w:p w14:paraId="0646A4E3" w14:textId="77777777" w:rsidR="00C73A1C" w:rsidRPr="00720C28" w:rsidRDefault="00C73A1C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17" w:name="_Toc96605985"/>
      <w:r w:rsidRPr="00720C28">
        <w:br w:type="page"/>
      </w:r>
    </w:p>
    <w:p w14:paraId="3B547911" w14:textId="1360DE8E" w:rsidR="00B30547" w:rsidRPr="00720C28" w:rsidRDefault="00B30547" w:rsidP="00B30547">
      <w:pPr>
        <w:pStyle w:val="ActHead2"/>
      </w:pPr>
      <w:r w:rsidRPr="00720C28">
        <w:lastRenderedPageBreak/>
        <w:t>Part 3—C</w:t>
      </w:r>
      <w:r w:rsidR="00782BC0" w:rsidRPr="00720C28">
        <w:t>harge for c</w:t>
      </w:r>
      <w:r w:rsidRPr="00720C28">
        <w:t xml:space="preserve">ompliance audit </w:t>
      </w:r>
      <w:bookmarkEnd w:id="17"/>
    </w:p>
    <w:p w14:paraId="57D14E7A" w14:textId="44FC2DCC" w:rsidR="00B30547" w:rsidRPr="00720C28" w:rsidRDefault="00B30547" w:rsidP="00B30547">
      <w:pPr>
        <w:pStyle w:val="ActHead5"/>
      </w:pPr>
      <w:bookmarkStart w:id="18" w:name="_Toc96605986"/>
      <w:r w:rsidRPr="00720C28">
        <w:t xml:space="preserve">7  Amount </w:t>
      </w:r>
      <w:r w:rsidR="00F80A58" w:rsidRPr="00720C28">
        <w:t>and calculation of</w:t>
      </w:r>
      <w:r w:rsidRPr="00720C28">
        <w:t xml:space="preserve"> charge </w:t>
      </w:r>
      <w:bookmarkEnd w:id="18"/>
    </w:p>
    <w:p w14:paraId="187CBE4E" w14:textId="7F36574C" w:rsidR="00B30547" w:rsidRPr="00720C28" w:rsidRDefault="00B30547" w:rsidP="00B30547">
      <w:pPr>
        <w:pStyle w:val="subsection"/>
      </w:pPr>
      <w:r w:rsidRPr="00720C28">
        <w:tab/>
        <w:t>(1)</w:t>
      </w:r>
      <w:r w:rsidRPr="00720C28">
        <w:tab/>
        <w:t xml:space="preserve">For the purposes of </w:t>
      </w:r>
      <w:r w:rsidR="00F80A58" w:rsidRPr="00720C28">
        <w:t>sub</w:t>
      </w:r>
      <w:r w:rsidR="00DE3500" w:rsidRPr="00720C28">
        <w:t>section</w:t>
      </w:r>
      <w:r w:rsidRPr="00720C28">
        <w:t xml:space="preserve"> </w:t>
      </w:r>
      <w:r w:rsidR="00782BC0" w:rsidRPr="00720C28">
        <w:t>9</w:t>
      </w:r>
      <w:r w:rsidR="00F80A58" w:rsidRPr="00720C28">
        <w:t>(2)</w:t>
      </w:r>
      <w:r w:rsidRPr="00720C28">
        <w:t xml:space="preserve"> of the Act,</w:t>
      </w:r>
      <w:r w:rsidR="00F80A58" w:rsidRPr="00720C28">
        <w:t xml:space="preserve"> the</w:t>
      </w:r>
      <w:r w:rsidRPr="00720C28">
        <w:t xml:space="preserve"> amount of charge</w:t>
      </w:r>
      <w:r w:rsidR="00F80A58" w:rsidRPr="00720C28">
        <w:t xml:space="preserve"> for a compliance audit</w:t>
      </w:r>
      <w:r w:rsidRPr="00720C28">
        <w:t xml:space="preserve"> payable by an</w:t>
      </w:r>
      <w:r w:rsidR="00564667" w:rsidRPr="00720C28">
        <w:t xml:space="preserve"> NVR registered training organisation</w:t>
      </w:r>
      <w:r w:rsidR="001867DB" w:rsidRPr="00720C28">
        <w:t xml:space="preserve"> for the financial year commencing on 1 July 2022 and each later year</w:t>
      </w:r>
      <w:r w:rsidRPr="00720C28">
        <w:t xml:space="preserve"> is to be worked out </w:t>
      </w:r>
      <w:r w:rsidR="00127B99" w:rsidRPr="00720C28">
        <w:t>according to</w:t>
      </w:r>
      <w:r w:rsidRPr="00720C28">
        <w:t xml:space="preserve"> the </w:t>
      </w:r>
      <w:r w:rsidR="00DE3500" w:rsidRPr="00720C28">
        <w:t xml:space="preserve">formula </w:t>
      </w:r>
      <w:r w:rsidR="00F80A58" w:rsidRPr="00720C28">
        <w:t>set out in</w:t>
      </w:r>
      <w:r w:rsidR="00DE3500" w:rsidRPr="00720C28">
        <w:t xml:space="preserve"> subsection (2)</w:t>
      </w:r>
      <w:r w:rsidRPr="00720C28">
        <w:t>.</w:t>
      </w:r>
    </w:p>
    <w:p w14:paraId="6E775101" w14:textId="0BB3EF24" w:rsidR="00B30547" w:rsidRPr="00720C28" w:rsidRDefault="00DE3500" w:rsidP="00050997">
      <w:pPr>
        <w:pStyle w:val="subsection"/>
      </w:pPr>
      <w:r w:rsidRPr="00720C28">
        <w:tab/>
        <w:t>(2)</w:t>
      </w:r>
      <w:r w:rsidRPr="00720C28">
        <w:tab/>
        <w:t>The amount of charge payable is</w:t>
      </w:r>
      <w:r w:rsidR="00581767" w:rsidRPr="00720C28">
        <w:t xml:space="preserve"> </w:t>
      </w:r>
      <w:r w:rsidRPr="00720C28">
        <w:t xml:space="preserve">$250 per hour </w:t>
      </w:r>
      <w:r w:rsidR="002E57E2" w:rsidRPr="00720C28">
        <w:t xml:space="preserve">the National VET Regulator </w:t>
      </w:r>
      <w:r w:rsidRPr="00720C28">
        <w:t>spen</w:t>
      </w:r>
      <w:r w:rsidR="002E57E2" w:rsidRPr="00720C28">
        <w:t>ds</w:t>
      </w:r>
      <w:r w:rsidRPr="00720C28">
        <w:t xml:space="preserve"> on conducting the compliance audit</w:t>
      </w:r>
      <w:r w:rsidR="00A051AC" w:rsidRPr="00720C28">
        <w:t>, with charges applied in 15-minute increments on a pro-rata basis</w:t>
      </w:r>
      <w:r w:rsidRPr="00720C28">
        <w:t>.</w:t>
      </w:r>
    </w:p>
    <w:p w14:paraId="31EC32CB" w14:textId="57C7CEBC" w:rsidR="002E57E2" w:rsidRPr="00720C28" w:rsidRDefault="002E57E2" w:rsidP="00050997">
      <w:pPr>
        <w:pStyle w:val="subsection"/>
      </w:pPr>
    </w:p>
    <w:p w14:paraId="5A3F8976" w14:textId="77777777" w:rsidR="000663E3" w:rsidRPr="00720C28" w:rsidRDefault="000663E3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19" w:name="_Toc96605987"/>
      <w:r w:rsidRPr="00720C28">
        <w:br w:type="page"/>
      </w:r>
    </w:p>
    <w:p w14:paraId="44D47991" w14:textId="0A1B740B" w:rsidR="00782BC0" w:rsidRPr="00720C28" w:rsidRDefault="00782BC0" w:rsidP="00782BC0">
      <w:pPr>
        <w:pStyle w:val="ActHead2"/>
      </w:pPr>
      <w:r w:rsidRPr="00720C28">
        <w:lastRenderedPageBreak/>
        <w:t xml:space="preserve">Part 4—Charge for the investigation of a complaint about an NVR registered training organisation </w:t>
      </w:r>
    </w:p>
    <w:p w14:paraId="1745B917" w14:textId="2BE11FCC" w:rsidR="00B30547" w:rsidRPr="00720C28" w:rsidRDefault="004C0008" w:rsidP="00B30547">
      <w:pPr>
        <w:pStyle w:val="ActHead5"/>
      </w:pPr>
      <w:r w:rsidRPr="00720C28">
        <w:t>8</w:t>
      </w:r>
      <w:r w:rsidR="00B30547" w:rsidRPr="00720C28">
        <w:t xml:space="preserve">  Amount </w:t>
      </w:r>
      <w:r w:rsidR="00F80A58" w:rsidRPr="00720C28">
        <w:t xml:space="preserve">and calculation </w:t>
      </w:r>
      <w:r w:rsidR="00B30547" w:rsidRPr="00720C28">
        <w:t>of charge</w:t>
      </w:r>
      <w:bookmarkEnd w:id="19"/>
      <w:r w:rsidR="00B30547" w:rsidRPr="00720C28">
        <w:t xml:space="preserve"> </w:t>
      </w:r>
    </w:p>
    <w:p w14:paraId="68DA7714" w14:textId="0E47F7FE" w:rsidR="00B30547" w:rsidRPr="00720C28" w:rsidRDefault="00B30547" w:rsidP="00B30547">
      <w:pPr>
        <w:pStyle w:val="subsection"/>
      </w:pPr>
      <w:r w:rsidRPr="00720C28">
        <w:tab/>
        <w:t>(1)</w:t>
      </w:r>
      <w:r w:rsidRPr="00720C28">
        <w:tab/>
        <w:t xml:space="preserve">For the purposes of </w:t>
      </w:r>
      <w:r w:rsidR="00F80A58" w:rsidRPr="00720C28">
        <w:t>sub</w:t>
      </w:r>
      <w:r w:rsidR="00F468A1" w:rsidRPr="00720C28">
        <w:t>section</w:t>
      </w:r>
      <w:r w:rsidRPr="00720C28">
        <w:t xml:space="preserve"> </w:t>
      </w:r>
      <w:r w:rsidR="006D6311" w:rsidRPr="00720C28">
        <w:t>12</w:t>
      </w:r>
      <w:r w:rsidR="00F80A58" w:rsidRPr="00720C28">
        <w:t>(2)</w:t>
      </w:r>
      <w:r w:rsidR="00F468A1" w:rsidRPr="00720C28">
        <w:t xml:space="preserve"> </w:t>
      </w:r>
      <w:r w:rsidRPr="00720C28">
        <w:t xml:space="preserve">of the Act, the amount of charge payable by an </w:t>
      </w:r>
      <w:r w:rsidR="00564667" w:rsidRPr="00720C28">
        <w:t xml:space="preserve">NVR registered training organisation </w:t>
      </w:r>
      <w:r w:rsidR="001867DB" w:rsidRPr="00720C28">
        <w:t>for the financial year commencing on 1 July 2022 and each later</w:t>
      </w:r>
      <w:r w:rsidR="00AF6DCA" w:rsidRPr="00720C28">
        <w:t xml:space="preserve"> financial</w:t>
      </w:r>
      <w:r w:rsidR="001867DB" w:rsidRPr="00720C28">
        <w:t xml:space="preserve"> year </w:t>
      </w:r>
      <w:r w:rsidRPr="00720C28">
        <w:t xml:space="preserve">is to be worked out </w:t>
      </w:r>
      <w:r w:rsidR="00127B99" w:rsidRPr="00720C28">
        <w:t>according to</w:t>
      </w:r>
      <w:r w:rsidRPr="00720C28">
        <w:t xml:space="preserve"> the formula</w:t>
      </w:r>
      <w:r w:rsidR="00F468A1" w:rsidRPr="00720C28">
        <w:t xml:space="preserve"> </w:t>
      </w:r>
      <w:r w:rsidR="00F80A58" w:rsidRPr="00720C28">
        <w:t>set out in</w:t>
      </w:r>
      <w:r w:rsidR="00F468A1" w:rsidRPr="00720C28">
        <w:t xml:space="preserve"> subsection (2)</w:t>
      </w:r>
      <w:r w:rsidR="00F56F26" w:rsidRPr="00720C28">
        <w:t>,</w:t>
      </w:r>
      <w:r w:rsidR="0083042B" w:rsidRPr="00720C28">
        <w:t xml:space="preserve"> subject to subsections (3) and (4)</w:t>
      </w:r>
      <w:r w:rsidRPr="00720C28">
        <w:t>.</w:t>
      </w:r>
    </w:p>
    <w:p w14:paraId="51502AB9" w14:textId="77777777" w:rsidR="00F468A1" w:rsidRPr="00720C28" w:rsidRDefault="00F468A1" w:rsidP="00F468A1">
      <w:pPr>
        <w:pStyle w:val="subsection"/>
      </w:pPr>
      <w:r w:rsidRPr="00720C28">
        <w:tab/>
        <w:t>(2)</w:t>
      </w:r>
      <w:r w:rsidRPr="00720C28">
        <w:tab/>
        <w:t xml:space="preserve">The amount of charge payable is: </w:t>
      </w:r>
    </w:p>
    <w:p w14:paraId="0B83DF51" w14:textId="6DAE3555" w:rsidR="00F468A1" w:rsidRPr="00720C28" w:rsidRDefault="00F468A1" w:rsidP="00F468A1">
      <w:pPr>
        <w:pStyle w:val="paragraph"/>
      </w:pPr>
      <w:r w:rsidRPr="00720C28">
        <w:tab/>
        <w:t>(a)</w:t>
      </w:r>
      <w:r w:rsidRPr="00720C28">
        <w:tab/>
      </w:r>
      <w:r w:rsidR="004C0008" w:rsidRPr="00720C28">
        <w:t xml:space="preserve">$250 per hour </w:t>
      </w:r>
      <w:r w:rsidR="000375D8" w:rsidRPr="00720C28">
        <w:t xml:space="preserve">the National VET Regulator </w:t>
      </w:r>
      <w:r w:rsidR="004C0008" w:rsidRPr="00720C28">
        <w:t>spen</w:t>
      </w:r>
      <w:r w:rsidR="000375D8" w:rsidRPr="00720C28">
        <w:t>ds</w:t>
      </w:r>
      <w:r w:rsidR="004C0008" w:rsidRPr="00720C28">
        <w:t xml:space="preserve"> on conducting the investigation</w:t>
      </w:r>
      <w:r w:rsidR="00E2427B" w:rsidRPr="00720C28">
        <w:t>, with charges applied in 15</w:t>
      </w:r>
      <w:r w:rsidR="00CB7613" w:rsidRPr="00720C28">
        <w:t>-</w:t>
      </w:r>
      <w:r w:rsidR="00E2427B" w:rsidRPr="00720C28">
        <w:t>minute increments on a pro</w:t>
      </w:r>
      <w:r w:rsidR="00DB73AD" w:rsidRPr="00720C28">
        <w:t>-</w:t>
      </w:r>
      <w:r w:rsidR="00E2427B" w:rsidRPr="00720C28">
        <w:t>rata basis</w:t>
      </w:r>
      <w:r w:rsidRPr="00720C28">
        <w:t>; plus</w:t>
      </w:r>
    </w:p>
    <w:p w14:paraId="0F756B8E" w14:textId="3FA6116D" w:rsidR="004C0008" w:rsidRPr="00720C28" w:rsidRDefault="004C0008" w:rsidP="00F468A1">
      <w:pPr>
        <w:pStyle w:val="paragraph"/>
      </w:pPr>
      <w:r w:rsidRPr="00720C28">
        <w:tab/>
        <w:t>(b)</w:t>
      </w:r>
      <w:r w:rsidRPr="00720C28">
        <w:tab/>
        <w:t>if a compliance audit is conducted as part of the investigation—$250 per hour</w:t>
      </w:r>
      <w:r w:rsidR="000375D8" w:rsidRPr="00720C28">
        <w:t xml:space="preserve"> the Regulator</w:t>
      </w:r>
      <w:r w:rsidRPr="00720C28">
        <w:t xml:space="preserve"> spen</w:t>
      </w:r>
      <w:r w:rsidR="000375D8" w:rsidRPr="00720C28">
        <w:t>ds</w:t>
      </w:r>
      <w:r w:rsidRPr="00720C28">
        <w:t xml:space="preserve"> on conducting the audit</w:t>
      </w:r>
      <w:r w:rsidR="00AA716C" w:rsidRPr="00720C28">
        <w:t>, with charges applied in 15</w:t>
      </w:r>
      <w:r w:rsidR="00CB7613" w:rsidRPr="00720C28">
        <w:t>-</w:t>
      </w:r>
      <w:r w:rsidR="00AA716C" w:rsidRPr="00720C28">
        <w:t>minute increments on a pro</w:t>
      </w:r>
      <w:r w:rsidR="00DB73AD" w:rsidRPr="00720C28">
        <w:t>-</w:t>
      </w:r>
      <w:r w:rsidR="00AA716C" w:rsidRPr="00720C28">
        <w:t>rata basis</w:t>
      </w:r>
      <w:r w:rsidR="00185C72" w:rsidRPr="00720C28">
        <w:t>.</w:t>
      </w:r>
    </w:p>
    <w:p w14:paraId="6145C9DA" w14:textId="77777777" w:rsidR="00BA33FD" w:rsidRPr="00720C28" w:rsidRDefault="00BA33FD" w:rsidP="00BA33FD">
      <w:pPr>
        <w:pStyle w:val="subsection"/>
      </w:pPr>
      <w:r w:rsidRPr="00720C28">
        <w:tab/>
        <w:t>(3)</w:t>
      </w:r>
      <w:r w:rsidRPr="00720C28">
        <w:tab/>
        <w:t>There is no charge payable for the Regulator investigating a complaint if the total time the Regulator spends on conducting the investigation is less than 30 minutes.</w:t>
      </w:r>
    </w:p>
    <w:p w14:paraId="7BF61D9B" w14:textId="4E629DEB" w:rsidR="00BA33FD" w:rsidRPr="00720C28" w:rsidRDefault="00BA33FD" w:rsidP="00BA33FD">
      <w:pPr>
        <w:pStyle w:val="subsection"/>
      </w:pPr>
      <w:r w:rsidRPr="00720C28">
        <w:tab/>
        <w:t>(4)</w:t>
      </w:r>
      <w:r w:rsidRPr="00720C28">
        <w:tab/>
        <w:t>There is no charge payable for the Regulator conducting a compliance audit as part of an investigation into a complaint if the total time the Regulator spends on conducting the audit is less than 30 minutes.</w:t>
      </w:r>
    </w:p>
    <w:p w14:paraId="73A8C104" w14:textId="77777777" w:rsidR="00BA33FD" w:rsidRPr="00720C28" w:rsidRDefault="00BA33FD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bookmarkStart w:id="20" w:name="_Toc524103655"/>
      <w:r w:rsidRPr="00720C28">
        <w:br w:type="page"/>
      </w:r>
    </w:p>
    <w:p w14:paraId="431610BF" w14:textId="5076ABC7" w:rsidR="00731529" w:rsidRPr="00720C28" w:rsidRDefault="00731529" w:rsidP="00731529">
      <w:pPr>
        <w:pStyle w:val="ActHead2"/>
      </w:pPr>
      <w:r w:rsidRPr="00720C28">
        <w:lastRenderedPageBreak/>
        <w:t xml:space="preserve">Part 5—Circumstances in which a charge may be waived </w:t>
      </w:r>
    </w:p>
    <w:p w14:paraId="2598DC59" w14:textId="0997C64A" w:rsidR="00540AAB" w:rsidRPr="00720C28" w:rsidRDefault="00540AAB" w:rsidP="00540AAB">
      <w:pPr>
        <w:pStyle w:val="ActHead5"/>
      </w:pPr>
      <w:r w:rsidRPr="00720C28">
        <w:t>9  Circumstances in which a charge may be waived in whole or in part</w:t>
      </w:r>
      <w:bookmarkEnd w:id="20"/>
    </w:p>
    <w:p w14:paraId="5678C013" w14:textId="105800D1" w:rsidR="00540AAB" w:rsidRPr="00720C28" w:rsidRDefault="00540AAB" w:rsidP="00540AAB">
      <w:pPr>
        <w:pStyle w:val="subsection"/>
      </w:pPr>
      <w:bookmarkStart w:id="21" w:name="_Hlk97111893"/>
      <w:r w:rsidRPr="00720C28">
        <w:tab/>
        <w:t>(1)</w:t>
      </w:r>
      <w:r w:rsidRPr="00720C28">
        <w:tab/>
        <w:t xml:space="preserve">For the purpose of subsection 13(b) of the Act, </w:t>
      </w:r>
      <w:r w:rsidR="00A63667" w:rsidRPr="00720C28">
        <w:t xml:space="preserve">the National VET Regulator may waive a charge under the Act, in whole or in part, </w:t>
      </w:r>
      <w:r w:rsidRPr="00720C28">
        <w:t>where</w:t>
      </w:r>
      <w:r w:rsidR="00A63667" w:rsidRPr="00720C28">
        <w:t xml:space="preserve"> the Regulator determines that:</w:t>
      </w:r>
    </w:p>
    <w:p w14:paraId="102525B2" w14:textId="3CE77E75" w:rsidR="00540AAB" w:rsidRPr="00720C28" w:rsidRDefault="00540AAB" w:rsidP="00540AAB">
      <w:pPr>
        <w:pStyle w:val="paragraph"/>
      </w:pPr>
      <w:r w:rsidRPr="00720C28">
        <w:tab/>
        <w:t>(a)</w:t>
      </w:r>
      <w:r w:rsidRPr="00720C28">
        <w:tab/>
        <w:t xml:space="preserve">special or unusual circumstances exist which cause the charge to be unreasonable or inequitable; or  </w:t>
      </w:r>
    </w:p>
    <w:p w14:paraId="08290094" w14:textId="70720335" w:rsidR="00540AAB" w:rsidRPr="00720C28" w:rsidRDefault="00540AAB" w:rsidP="00540AAB">
      <w:pPr>
        <w:pStyle w:val="paragraph"/>
      </w:pPr>
      <w:r w:rsidRPr="00720C28">
        <w:tab/>
        <w:t>(b)</w:t>
      </w:r>
      <w:r w:rsidRPr="00720C28">
        <w:tab/>
      </w:r>
      <w:r w:rsidR="00021D25" w:rsidRPr="00720C28">
        <w:t xml:space="preserve">it would be uneconomical to pursue </w:t>
      </w:r>
      <w:r w:rsidRPr="00720C28">
        <w:t>the amount of the charge that remains unpaid.</w:t>
      </w:r>
    </w:p>
    <w:p w14:paraId="2807D88D" w14:textId="0079D14C" w:rsidR="00540AAB" w:rsidRPr="00720C28" w:rsidRDefault="00540AAB" w:rsidP="00540AAB">
      <w:pPr>
        <w:pStyle w:val="subsection"/>
      </w:pPr>
      <w:bookmarkStart w:id="22" w:name="_Hlk97112515"/>
      <w:bookmarkEnd w:id="21"/>
      <w:r w:rsidRPr="00720C28">
        <w:tab/>
        <w:t>(2)</w:t>
      </w:r>
      <w:r w:rsidRPr="00720C28">
        <w:tab/>
        <w:t xml:space="preserve">For the purposes of paragraph (1)(a), the following circumstances do not constitute </w:t>
      </w:r>
      <w:r w:rsidR="003B1430" w:rsidRPr="00720C28">
        <w:t>special or unusual circumstances</w:t>
      </w:r>
      <w:r w:rsidRPr="00720C28">
        <w:t>:</w:t>
      </w:r>
    </w:p>
    <w:bookmarkEnd w:id="22"/>
    <w:p w14:paraId="500B6832" w14:textId="5648F3B7" w:rsidR="00540AAB" w:rsidRPr="00720C28" w:rsidRDefault="00540AAB" w:rsidP="00540AAB">
      <w:pPr>
        <w:pStyle w:val="paragraph"/>
      </w:pPr>
      <w:r w:rsidRPr="00720C28">
        <w:tab/>
        <w:t>(a)</w:t>
      </w:r>
      <w:r w:rsidRPr="00720C28">
        <w:tab/>
        <w:t>where the</w:t>
      </w:r>
      <w:r w:rsidR="00A63667" w:rsidRPr="00720C28">
        <w:t xml:space="preserve"> person</w:t>
      </w:r>
      <w:r w:rsidRPr="00720C28">
        <w:t xml:space="preserve"> required to pay the charge did not consent to the compliance audit or complaint investigation that resulted in the imposition of a charge; or</w:t>
      </w:r>
    </w:p>
    <w:p w14:paraId="60A9313C" w14:textId="2EC6D843" w:rsidR="00540AAB" w:rsidRPr="00720C28" w:rsidRDefault="00540AAB" w:rsidP="00540AAB">
      <w:pPr>
        <w:pStyle w:val="paragraph"/>
      </w:pPr>
      <w:r w:rsidRPr="00720C28">
        <w:tab/>
        <w:t>(b)</w:t>
      </w:r>
      <w:r w:rsidRPr="00720C28">
        <w:tab/>
        <w:t xml:space="preserve">where the </w:t>
      </w:r>
      <w:r w:rsidR="00A63667" w:rsidRPr="00720C28">
        <w:t>person</w:t>
      </w:r>
      <w:r w:rsidRPr="00720C28">
        <w:t xml:space="preserve"> required to pay the charge does not agree with the outcome of the compliance audit or complaint investigation that resulted in the imposition of a charge; or</w:t>
      </w:r>
    </w:p>
    <w:p w14:paraId="10418D84" w14:textId="3AD28F22" w:rsidR="00540AAB" w:rsidRPr="00720C28" w:rsidRDefault="00540AAB" w:rsidP="00540AAB">
      <w:pPr>
        <w:pStyle w:val="paragraph"/>
      </w:pPr>
      <w:r w:rsidRPr="00720C28">
        <w:tab/>
        <w:t>(c)</w:t>
      </w:r>
      <w:r w:rsidRPr="00720C28">
        <w:tab/>
      </w:r>
      <w:bookmarkStart w:id="23" w:name="_Hlk97112610"/>
      <w:r w:rsidRPr="00720C28">
        <w:t>where the</w:t>
      </w:r>
      <w:r w:rsidR="00A63667" w:rsidRPr="00720C28">
        <w:t xml:space="preserve"> person</w:t>
      </w:r>
      <w:r w:rsidRPr="00720C28">
        <w:t xml:space="preserve"> required to pay the charge ceases to exist, or ceases to be </w:t>
      </w:r>
      <w:r w:rsidR="00A63667" w:rsidRPr="00720C28">
        <w:t>registered under</w:t>
      </w:r>
      <w:r w:rsidR="00890143" w:rsidRPr="00720C28">
        <w:t xml:space="preserve"> either</w:t>
      </w:r>
      <w:r w:rsidR="00A63667" w:rsidRPr="00720C28">
        <w:t xml:space="preserve"> the </w:t>
      </w:r>
      <w:r w:rsidR="001164BF" w:rsidRPr="00720C28">
        <w:rPr>
          <w:bCs/>
          <w:i/>
        </w:rPr>
        <w:t>National Vocational Education and Training Regulator Act 2011</w:t>
      </w:r>
      <w:r w:rsidR="00A63667" w:rsidRPr="00720C28">
        <w:t xml:space="preserve"> </w:t>
      </w:r>
      <w:r w:rsidR="00890143" w:rsidRPr="00720C28">
        <w:t>or</w:t>
      </w:r>
      <w:r w:rsidR="00A63667" w:rsidRPr="00720C28">
        <w:t xml:space="preserve"> </w:t>
      </w:r>
      <w:r w:rsidR="001164BF" w:rsidRPr="00720C28">
        <w:rPr>
          <w:bCs/>
          <w:i/>
        </w:rPr>
        <w:t>Education Services for Overseas Students Act 2000</w:t>
      </w:r>
      <w:r w:rsidRPr="00720C28">
        <w:t>.</w:t>
      </w:r>
      <w:bookmarkEnd w:id="23"/>
    </w:p>
    <w:p w14:paraId="3DDEB242" w14:textId="28B87208" w:rsidR="00540AAB" w:rsidRPr="00720C28" w:rsidRDefault="00540AAB" w:rsidP="00540AAB">
      <w:pPr>
        <w:pStyle w:val="subsection"/>
      </w:pPr>
      <w:r w:rsidRPr="00720C28">
        <w:tab/>
        <w:t>(3)</w:t>
      </w:r>
      <w:r w:rsidRPr="00720C28">
        <w:tab/>
      </w:r>
      <w:r w:rsidR="00CC23D9" w:rsidRPr="00720C28">
        <w:t>To avoid doubt, c</w:t>
      </w:r>
      <w:r w:rsidRPr="00720C28">
        <w:t xml:space="preserve">ircumstances related to the COVID-19 pandemic are special or unusual circumstances which could cause the charge to be unreasonable or inequitable for the purposes of paragraph (1)(a). </w:t>
      </w:r>
    </w:p>
    <w:p w14:paraId="1DE67A03" w14:textId="4E5AA0A9" w:rsidR="00731529" w:rsidRPr="00720C28" w:rsidRDefault="00731529" w:rsidP="0092214D">
      <w:pPr>
        <w:pStyle w:val="subsection"/>
        <w:tabs>
          <w:tab w:val="clear" w:pos="1021"/>
          <w:tab w:val="right" w:pos="142"/>
        </w:tabs>
        <w:rPr>
          <w:i/>
          <w:iCs/>
        </w:rPr>
      </w:pPr>
    </w:p>
    <w:p w14:paraId="19DF59DE" w14:textId="584D49F0" w:rsidR="00554826" w:rsidRPr="00720C28" w:rsidRDefault="00554826" w:rsidP="00C06B7F">
      <w:pPr>
        <w:spacing w:line="240" w:lineRule="auto"/>
      </w:pPr>
      <w:r w:rsidRPr="00720C28">
        <w:br w:type="page"/>
      </w:r>
    </w:p>
    <w:p w14:paraId="2887578A" w14:textId="77777777" w:rsidR="00D6537E" w:rsidRPr="00720C28" w:rsidRDefault="004E1307" w:rsidP="00D6537E">
      <w:pPr>
        <w:pStyle w:val="ActHead6"/>
      </w:pPr>
      <w:bookmarkStart w:id="24" w:name="_Toc96605988"/>
      <w:r w:rsidRPr="00720C28">
        <w:lastRenderedPageBreak/>
        <w:t xml:space="preserve">Schedule </w:t>
      </w:r>
      <w:r w:rsidR="00D6537E" w:rsidRPr="00720C28">
        <w:t>1—Repeals</w:t>
      </w:r>
      <w:bookmarkEnd w:id="24"/>
    </w:p>
    <w:p w14:paraId="6B362451" w14:textId="210F04F4" w:rsidR="00D6537E" w:rsidRPr="00720C28" w:rsidRDefault="007B3A16" w:rsidP="00D6537E">
      <w:pPr>
        <w:pStyle w:val="ActHead9"/>
      </w:pPr>
      <w:bookmarkStart w:id="25" w:name="_Toc96605989"/>
      <w:r w:rsidRPr="00720C28">
        <w:t>National Vocational Education and Training Regulator (Charges) Determination 2013 (No. 1)</w:t>
      </w:r>
      <w:bookmarkEnd w:id="25"/>
    </w:p>
    <w:p w14:paraId="171C39CE" w14:textId="77777777" w:rsidR="00D6537E" w:rsidRPr="00720C28" w:rsidRDefault="00D6537E" w:rsidP="00D6537E">
      <w:pPr>
        <w:pStyle w:val="ItemHead"/>
      </w:pPr>
      <w:r w:rsidRPr="00720C28">
        <w:t xml:space="preserve">1  </w:t>
      </w:r>
      <w:r w:rsidR="00BB1533" w:rsidRPr="00720C28">
        <w:t>The w</w:t>
      </w:r>
      <w:r w:rsidRPr="00720C28">
        <w:t>hole of the instrument</w:t>
      </w:r>
    </w:p>
    <w:p w14:paraId="6F063597" w14:textId="1BEE2365" w:rsidR="00A75FE9" w:rsidRPr="006D6311" w:rsidRDefault="00D6537E" w:rsidP="006D6311">
      <w:pPr>
        <w:pStyle w:val="Item"/>
      </w:pPr>
      <w:r w:rsidRPr="00720C28">
        <w:t>Repeal the instrument</w:t>
      </w:r>
    </w:p>
    <w:sectPr w:rsidR="00A75FE9" w:rsidRPr="006D6311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5C62" w14:textId="77777777" w:rsidR="00D330A8" w:rsidRDefault="00D330A8" w:rsidP="00715914">
      <w:pPr>
        <w:spacing w:line="240" w:lineRule="auto"/>
      </w:pPr>
      <w:r>
        <w:separator/>
      </w:r>
    </w:p>
  </w:endnote>
  <w:endnote w:type="continuationSeparator" w:id="0">
    <w:p w14:paraId="56B1F46B" w14:textId="77777777" w:rsidR="00D330A8" w:rsidRDefault="00D330A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fontKey="{55B8E603-CB65-435D-BF10-85ABB5F35E6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37A0" w14:textId="77777777" w:rsidR="00371B40" w:rsidRPr="00E33C1C" w:rsidRDefault="00371B4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1B40" w14:paraId="2A58C94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A5D8ED" w14:textId="77777777" w:rsidR="00371B40" w:rsidRDefault="00371B4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7FFA34" w14:textId="52B09992" w:rsidR="00371B40" w:rsidRPr="004E1307" w:rsidRDefault="00371B4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214D">
            <w:rPr>
              <w:i/>
              <w:noProof/>
              <w:sz w:val="18"/>
            </w:rPr>
            <w:t>National Vocational Education and Training Regulator (Charges)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AE6B57" w14:textId="77777777" w:rsidR="00371B40" w:rsidRDefault="00371B4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71B40" w14:paraId="1D29066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2DF552" w14:textId="77777777" w:rsidR="00371B40" w:rsidRDefault="00371B40" w:rsidP="00A369E3">
          <w:pPr>
            <w:jc w:val="right"/>
            <w:rPr>
              <w:sz w:val="18"/>
            </w:rPr>
          </w:pPr>
        </w:p>
      </w:tc>
    </w:tr>
  </w:tbl>
  <w:p w14:paraId="49E89A47" w14:textId="77777777" w:rsidR="00371B40" w:rsidRPr="00ED79B6" w:rsidRDefault="00371B4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7908" w14:textId="77777777" w:rsidR="00371B40" w:rsidRPr="00E33C1C" w:rsidRDefault="00371B4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371B40" w14:paraId="63BCF5C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14F383" w14:textId="77777777" w:rsidR="00371B40" w:rsidRDefault="00371B4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CEA6A1" w14:textId="134A394F" w:rsidR="00371B40" w:rsidRDefault="00371B4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214D">
            <w:rPr>
              <w:i/>
              <w:noProof/>
              <w:sz w:val="18"/>
            </w:rPr>
            <w:t>National Vocational Education and Training Regulator (Charges)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DB579C" w14:textId="77777777" w:rsidR="00371B40" w:rsidRDefault="00371B4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1B40" w14:paraId="1308EE5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2EBCAC" w14:textId="77777777" w:rsidR="00371B40" w:rsidRDefault="00371B40" w:rsidP="00A369E3">
          <w:pPr>
            <w:rPr>
              <w:sz w:val="18"/>
            </w:rPr>
          </w:pPr>
        </w:p>
      </w:tc>
    </w:tr>
  </w:tbl>
  <w:p w14:paraId="58AC9A55" w14:textId="77777777" w:rsidR="00371B40" w:rsidRPr="00ED79B6" w:rsidRDefault="00371B4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26B2" w14:textId="77777777" w:rsidR="00371B40" w:rsidRPr="00E33C1C" w:rsidRDefault="00371B4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71B40" w14:paraId="0D127A1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895A7F" w14:textId="77777777" w:rsidR="00371B40" w:rsidRDefault="00371B4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61A030" w14:textId="77777777" w:rsidR="00371B40" w:rsidRDefault="00371B4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4B3A90" w14:textId="77777777" w:rsidR="00371B40" w:rsidRDefault="00371B4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8E25451" w14:textId="77777777" w:rsidR="00371B40" w:rsidRPr="00ED79B6" w:rsidRDefault="00371B4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D69E" w14:textId="77777777" w:rsidR="00371B40" w:rsidRPr="002B0EA5" w:rsidRDefault="00371B40" w:rsidP="008B41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71B40" w14:paraId="53D45399" w14:textId="77777777" w:rsidTr="008B4197">
      <w:tc>
        <w:tcPr>
          <w:tcW w:w="365" w:type="pct"/>
        </w:tcPr>
        <w:p w14:paraId="5A912FBB" w14:textId="77777777" w:rsidR="00371B40" w:rsidRDefault="00371B40" w:rsidP="008B41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EE10BF4" w14:textId="123117DD" w:rsidR="00371B40" w:rsidRDefault="00371B40" w:rsidP="008B419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214D">
            <w:rPr>
              <w:i/>
              <w:noProof/>
              <w:sz w:val="18"/>
            </w:rPr>
            <w:t>National Vocational Education and Training Regulator (Charges)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A943C25" w14:textId="77777777" w:rsidR="00371B40" w:rsidRDefault="00371B40" w:rsidP="008B4197">
          <w:pPr>
            <w:spacing w:line="0" w:lineRule="atLeast"/>
            <w:jc w:val="right"/>
            <w:rPr>
              <w:sz w:val="18"/>
            </w:rPr>
          </w:pPr>
        </w:p>
      </w:tc>
    </w:tr>
    <w:tr w:rsidR="00371B40" w14:paraId="4682D854" w14:textId="77777777" w:rsidTr="008B4197">
      <w:tc>
        <w:tcPr>
          <w:tcW w:w="5000" w:type="pct"/>
          <w:gridSpan w:val="3"/>
        </w:tcPr>
        <w:p w14:paraId="1397ED9A" w14:textId="77777777" w:rsidR="00371B40" w:rsidRDefault="00371B40" w:rsidP="008B4197">
          <w:pPr>
            <w:jc w:val="right"/>
            <w:rPr>
              <w:sz w:val="18"/>
            </w:rPr>
          </w:pPr>
        </w:p>
      </w:tc>
    </w:tr>
  </w:tbl>
  <w:p w14:paraId="24B1EEE0" w14:textId="77777777" w:rsidR="00371B40" w:rsidRPr="00ED79B6" w:rsidRDefault="00371B40" w:rsidP="008B419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27D0" w14:textId="77777777" w:rsidR="00371B40" w:rsidRPr="002B0EA5" w:rsidRDefault="00371B40" w:rsidP="008B41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71B40" w14:paraId="5D56B64F" w14:textId="77777777" w:rsidTr="008B4197">
      <w:tc>
        <w:tcPr>
          <w:tcW w:w="947" w:type="pct"/>
        </w:tcPr>
        <w:p w14:paraId="711E1F04" w14:textId="77777777" w:rsidR="00371B40" w:rsidRDefault="00371B40" w:rsidP="008B419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B98CF18" w14:textId="68D6359A" w:rsidR="00371B40" w:rsidRDefault="00371B40" w:rsidP="008B419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7F99">
            <w:rPr>
              <w:i/>
              <w:noProof/>
              <w:sz w:val="18"/>
            </w:rPr>
            <w:t>National Vocational Education and Training Regulator (Charges)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04DA243" w14:textId="77777777" w:rsidR="00371B40" w:rsidRDefault="00371B40" w:rsidP="008B41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1B40" w14:paraId="38C86679" w14:textId="77777777" w:rsidTr="008B4197">
      <w:tc>
        <w:tcPr>
          <w:tcW w:w="5000" w:type="pct"/>
          <w:gridSpan w:val="3"/>
        </w:tcPr>
        <w:p w14:paraId="629CE9F6" w14:textId="77777777" w:rsidR="00371B40" w:rsidRDefault="00371B40" w:rsidP="008B4197">
          <w:pPr>
            <w:rPr>
              <w:sz w:val="18"/>
            </w:rPr>
          </w:pPr>
        </w:p>
      </w:tc>
    </w:tr>
  </w:tbl>
  <w:p w14:paraId="7B0FFD34" w14:textId="77777777" w:rsidR="00371B40" w:rsidRPr="00ED79B6" w:rsidRDefault="00371B40" w:rsidP="008B419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31F3" w14:textId="77777777" w:rsidR="00371B40" w:rsidRPr="002B0EA5" w:rsidRDefault="00371B40" w:rsidP="008B41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71B40" w14:paraId="5DD36B44" w14:textId="77777777" w:rsidTr="008B4197">
      <w:tc>
        <w:tcPr>
          <w:tcW w:w="365" w:type="pct"/>
        </w:tcPr>
        <w:p w14:paraId="3B0F031B" w14:textId="77777777" w:rsidR="00371B40" w:rsidRDefault="00371B40" w:rsidP="008B41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9F6F5C1" w14:textId="2E936204" w:rsidR="00371B40" w:rsidRDefault="00371B40" w:rsidP="008B419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7F99">
            <w:rPr>
              <w:i/>
              <w:noProof/>
              <w:sz w:val="18"/>
            </w:rPr>
            <w:t>National Vocational Education and Training Regulator (Charges)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3EC9E0" w14:textId="77777777" w:rsidR="00371B40" w:rsidRDefault="00371B40" w:rsidP="008B4197">
          <w:pPr>
            <w:spacing w:line="0" w:lineRule="atLeast"/>
            <w:jc w:val="right"/>
            <w:rPr>
              <w:sz w:val="18"/>
            </w:rPr>
          </w:pPr>
        </w:p>
      </w:tc>
    </w:tr>
    <w:tr w:rsidR="00371B40" w14:paraId="7891F645" w14:textId="77777777" w:rsidTr="008B4197">
      <w:tc>
        <w:tcPr>
          <w:tcW w:w="5000" w:type="pct"/>
          <w:gridSpan w:val="3"/>
        </w:tcPr>
        <w:p w14:paraId="12C70831" w14:textId="77777777" w:rsidR="00371B40" w:rsidRDefault="00371B40" w:rsidP="008B4197">
          <w:pPr>
            <w:jc w:val="right"/>
            <w:rPr>
              <w:sz w:val="18"/>
            </w:rPr>
          </w:pPr>
        </w:p>
      </w:tc>
    </w:tr>
  </w:tbl>
  <w:p w14:paraId="12A1B74B" w14:textId="77777777" w:rsidR="00371B40" w:rsidRPr="00ED79B6" w:rsidRDefault="00371B40" w:rsidP="008B419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BBD8" w14:textId="77777777" w:rsidR="00371B40" w:rsidRPr="002B0EA5" w:rsidRDefault="00371B40" w:rsidP="008B41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71B40" w14:paraId="15BB95F8" w14:textId="77777777" w:rsidTr="008B4197">
      <w:tc>
        <w:tcPr>
          <w:tcW w:w="947" w:type="pct"/>
        </w:tcPr>
        <w:p w14:paraId="626BF734" w14:textId="77777777" w:rsidR="00371B40" w:rsidRDefault="00371B40" w:rsidP="008B419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2F76665" w14:textId="52758A6F" w:rsidR="00371B40" w:rsidRDefault="00371B40" w:rsidP="008B419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E7F99">
            <w:rPr>
              <w:i/>
              <w:noProof/>
              <w:sz w:val="18"/>
            </w:rPr>
            <w:t>National Vocational Education and Training Regulator (Charges)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8202F18" w14:textId="77777777" w:rsidR="00371B40" w:rsidRDefault="00371B40" w:rsidP="008B41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1B40" w14:paraId="1E989335" w14:textId="77777777" w:rsidTr="008B4197">
      <w:tc>
        <w:tcPr>
          <w:tcW w:w="5000" w:type="pct"/>
          <w:gridSpan w:val="3"/>
        </w:tcPr>
        <w:p w14:paraId="5875144C" w14:textId="77777777" w:rsidR="00371B40" w:rsidRDefault="00371B40" w:rsidP="008B4197">
          <w:pPr>
            <w:rPr>
              <w:sz w:val="18"/>
            </w:rPr>
          </w:pPr>
        </w:p>
      </w:tc>
    </w:tr>
  </w:tbl>
  <w:p w14:paraId="5E542BCC" w14:textId="77777777" w:rsidR="00371B40" w:rsidRPr="00ED79B6" w:rsidRDefault="00371B40" w:rsidP="008B419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262B" w14:textId="77777777" w:rsidR="00D330A8" w:rsidRDefault="00D330A8" w:rsidP="00715914">
      <w:pPr>
        <w:spacing w:line="240" w:lineRule="auto"/>
      </w:pPr>
      <w:r>
        <w:separator/>
      </w:r>
    </w:p>
  </w:footnote>
  <w:footnote w:type="continuationSeparator" w:id="0">
    <w:p w14:paraId="4C7AF5FC" w14:textId="77777777" w:rsidR="00D330A8" w:rsidRDefault="00D330A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A1CB" w14:textId="77777777" w:rsidR="00371B40" w:rsidRPr="005F1388" w:rsidRDefault="00371B4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D9C4" w14:textId="77777777" w:rsidR="00371B40" w:rsidRPr="005F1388" w:rsidRDefault="00371B4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4DFD" w14:textId="77777777" w:rsidR="002B4996" w:rsidRDefault="002B49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D3EF" w14:textId="77777777" w:rsidR="00371B40" w:rsidRPr="00ED79B6" w:rsidRDefault="00371B40" w:rsidP="008B419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11D7" w14:textId="77777777" w:rsidR="00371B40" w:rsidRPr="00ED79B6" w:rsidRDefault="00371B40" w:rsidP="008B419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5C91" w14:textId="77777777" w:rsidR="00371B40" w:rsidRPr="00ED79B6" w:rsidRDefault="00371B4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E009" w14:textId="77777777" w:rsidR="00371B40" w:rsidRDefault="00371B40" w:rsidP="00715914">
    <w:pPr>
      <w:rPr>
        <w:sz w:val="20"/>
      </w:rPr>
    </w:pPr>
  </w:p>
  <w:p w14:paraId="0A8B8EFE" w14:textId="77777777" w:rsidR="00371B40" w:rsidRDefault="00371B40" w:rsidP="00715914">
    <w:pPr>
      <w:rPr>
        <w:sz w:val="20"/>
      </w:rPr>
    </w:pPr>
  </w:p>
  <w:p w14:paraId="26F951F5" w14:textId="77777777" w:rsidR="00371B40" w:rsidRPr="007A1328" w:rsidRDefault="00371B40" w:rsidP="00715914">
    <w:pPr>
      <w:rPr>
        <w:sz w:val="20"/>
      </w:rPr>
    </w:pPr>
  </w:p>
  <w:p w14:paraId="45C9F9DF" w14:textId="77777777" w:rsidR="00371B40" w:rsidRPr="007A1328" w:rsidRDefault="00371B40" w:rsidP="00715914">
    <w:pPr>
      <w:rPr>
        <w:b/>
        <w:sz w:val="24"/>
      </w:rPr>
    </w:pPr>
  </w:p>
  <w:p w14:paraId="7083BFFE" w14:textId="77777777" w:rsidR="00371B40" w:rsidRPr="007A1328" w:rsidRDefault="00371B4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5613" w14:textId="77777777" w:rsidR="00371B40" w:rsidRPr="007A1328" w:rsidRDefault="00371B40" w:rsidP="00715914">
    <w:pPr>
      <w:jc w:val="right"/>
      <w:rPr>
        <w:sz w:val="20"/>
      </w:rPr>
    </w:pPr>
  </w:p>
  <w:p w14:paraId="6711DD7C" w14:textId="77777777" w:rsidR="00371B40" w:rsidRPr="007A1328" w:rsidRDefault="00371B40" w:rsidP="00715914">
    <w:pPr>
      <w:jc w:val="right"/>
      <w:rPr>
        <w:sz w:val="20"/>
      </w:rPr>
    </w:pPr>
  </w:p>
  <w:p w14:paraId="336ABBEF" w14:textId="77777777" w:rsidR="00371B40" w:rsidRPr="007A1328" w:rsidRDefault="00371B40" w:rsidP="00715914">
    <w:pPr>
      <w:jc w:val="right"/>
      <w:rPr>
        <w:sz w:val="20"/>
      </w:rPr>
    </w:pPr>
  </w:p>
  <w:p w14:paraId="20B88A28" w14:textId="77777777" w:rsidR="00371B40" w:rsidRPr="007A1328" w:rsidRDefault="00371B40" w:rsidP="00715914">
    <w:pPr>
      <w:jc w:val="right"/>
      <w:rPr>
        <w:b/>
        <w:sz w:val="24"/>
      </w:rPr>
    </w:pPr>
  </w:p>
  <w:p w14:paraId="6298DB33" w14:textId="77777777" w:rsidR="00371B40" w:rsidRPr="007A1328" w:rsidRDefault="00371B4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134"/>
    <w:multiLevelType w:val="hybridMultilevel"/>
    <w:tmpl w:val="C59203A6"/>
    <w:lvl w:ilvl="0" w:tplc="59F8E93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BB21D7"/>
    <w:multiLevelType w:val="hybridMultilevel"/>
    <w:tmpl w:val="EE3067DC"/>
    <w:lvl w:ilvl="0" w:tplc="BD88B35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E714044"/>
    <w:multiLevelType w:val="hybridMultilevel"/>
    <w:tmpl w:val="7F8C8F10"/>
    <w:lvl w:ilvl="0" w:tplc="E1783B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4D566B8"/>
    <w:multiLevelType w:val="hybridMultilevel"/>
    <w:tmpl w:val="811A24AE"/>
    <w:lvl w:ilvl="0" w:tplc="6A34C06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0C2026"/>
    <w:multiLevelType w:val="hybridMultilevel"/>
    <w:tmpl w:val="64267204"/>
    <w:lvl w:ilvl="0" w:tplc="E1783B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2E55A51"/>
    <w:multiLevelType w:val="hybridMultilevel"/>
    <w:tmpl w:val="0B7251DA"/>
    <w:lvl w:ilvl="0" w:tplc="70865ADC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AF829A4"/>
    <w:multiLevelType w:val="hybridMultilevel"/>
    <w:tmpl w:val="653897BA"/>
    <w:lvl w:ilvl="0" w:tplc="0F42A2B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F0C251F"/>
    <w:multiLevelType w:val="hybridMultilevel"/>
    <w:tmpl w:val="7F8C8F10"/>
    <w:lvl w:ilvl="0" w:tplc="E1783B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3F57AE8"/>
    <w:multiLevelType w:val="hybridMultilevel"/>
    <w:tmpl w:val="F8069F5E"/>
    <w:lvl w:ilvl="0" w:tplc="86A60DF0">
      <w:start w:val="1"/>
      <w:numFmt w:val="lowerRoman"/>
      <w:lvlText w:val="(%1)"/>
      <w:lvlJc w:val="left"/>
      <w:pPr>
        <w:ind w:left="25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6AAA5164"/>
    <w:multiLevelType w:val="hybridMultilevel"/>
    <w:tmpl w:val="653897BA"/>
    <w:lvl w:ilvl="0" w:tplc="0F42A2B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481467F"/>
    <w:multiLevelType w:val="hybridMultilevel"/>
    <w:tmpl w:val="2D8CCF9A"/>
    <w:lvl w:ilvl="0" w:tplc="E1783B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12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16"/>
    <w:rsid w:val="00004174"/>
    <w:rsid w:val="00004390"/>
    <w:rsid w:val="00004470"/>
    <w:rsid w:val="000136AF"/>
    <w:rsid w:val="00021D25"/>
    <w:rsid w:val="00022006"/>
    <w:rsid w:val="00023C22"/>
    <w:rsid w:val="00023F3F"/>
    <w:rsid w:val="00024C99"/>
    <w:rsid w:val="000258B1"/>
    <w:rsid w:val="0003465F"/>
    <w:rsid w:val="000375D8"/>
    <w:rsid w:val="00040A89"/>
    <w:rsid w:val="000437C1"/>
    <w:rsid w:val="00043823"/>
    <w:rsid w:val="00043DE7"/>
    <w:rsid w:val="0004455A"/>
    <w:rsid w:val="00046A18"/>
    <w:rsid w:val="00050997"/>
    <w:rsid w:val="0005365D"/>
    <w:rsid w:val="00055FB5"/>
    <w:rsid w:val="0005727D"/>
    <w:rsid w:val="000614BF"/>
    <w:rsid w:val="0006527A"/>
    <w:rsid w:val="000663E3"/>
    <w:rsid w:val="0006709C"/>
    <w:rsid w:val="00072F98"/>
    <w:rsid w:val="00074376"/>
    <w:rsid w:val="000813EA"/>
    <w:rsid w:val="00083CE4"/>
    <w:rsid w:val="000872DB"/>
    <w:rsid w:val="000978F5"/>
    <w:rsid w:val="000B15CD"/>
    <w:rsid w:val="000B1D4E"/>
    <w:rsid w:val="000B35EB"/>
    <w:rsid w:val="000B7A4E"/>
    <w:rsid w:val="000C22FB"/>
    <w:rsid w:val="000D05EF"/>
    <w:rsid w:val="000D2A17"/>
    <w:rsid w:val="000E2261"/>
    <w:rsid w:val="000E78B7"/>
    <w:rsid w:val="000F1FAC"/>
    <w:rsid w:val="000F21C1"/>
    <w:rsid w:val="000F5B59"/>
    <w:rsid w:val="0010745C"/>
    <w:rsid w:val="00114AD9"/>
    <w:rsid w:val="001164BF"/>
    <w:rsid w:val="001203B2"/>
    <w:rsid w:val="00123D64"/>
    <w:rsid w:val="00127B99"/>
    <w:rsid w:val="00132CEB"/>
    <w:rsid w:val="001339B0"/>
    <w:rsid w:val="0013500F"/>
    <w:rsid w:val="0013639D"/>
    <w:rsid w:val="00136C34"/>
    <w:rsid w:val="00141484"/>
    <w:rsid w:val="00142B62"/>
    <w:rsid w:val="001441B7"/>
    <w:rsid w:val="00150ADB"/>
    <w:rsid w:val="001516CB"/>
    <w:rsid w:val="00152336"/>
    <w:rsid w:val="00152644"/>
    <w:rsid w:val="00152E18"/>
    <w:rsid w:val="00157B8B"/>
    <w:rsid w:val="0016176D"/>
    <w:rsid w:val="001626B2"/>
    <w:rsid w:val="0016640E"/>
    <w:rsid w:val="00166C2F"/>
    <w:rsid w:val="00173875"/>
    <w:rsid w:val="00174892"/>
    <w:rsid w:val="001809D7"/>
    <w:rsid w:val="00185C72"/>
    <w:rsid w:val="001867DB"/>
    <w:rsid w:val="00192C7C"/>
    <w:rsid w:val="001939E1"/>
    <w:rsid w:val="00194C3E"/>
    <w:rsid w:val="00195382"/>
    <w:rsid w:val="001A4D60"/>
    <w:rsid w:val="001B120F"/>
    <w:rsid w:val="001B2CB6"/>
    <w:rsid w:val="001B6678"/>
    <w:rsid w:val="001C2837"/>
    <w:rsid w:val="001C61C5"/>
    <w:rsid w:val="001C6512"/>
    <w:rsid w:val="001C69C4"/>
    <w:rsid w:val="001D37EF"/>
    <w:rsid w:val="001D720F"/>
    <w:rsid w:val="001E0BAC"/>
    <w:rsid w:val="001E1D3D"/>
    <w:rsid w:val="001E3590"/>
    <w:rsid w:val="001E3BEB"/>
    <w:rsid w:val="001E5754"/>
    <w:rsid w:val="001E7407"/>
    <w:rsid w:val="001E7B69"/>
    <w:rsid w:val="001E7F99"/>
    <w:rsid w:val="001F5D5E"/>
    <w:rsid w:val="001F6219"/>
    <w:rsid w:val="001F6CD4"/>
    <w:rsid w:val="001F782E"/>
    <w:rsid w:val="00201056"/>
    <w:rsid w:val="0020679E"/>
    <w:rsid w:val="00206C4D"/>
    <w:rsid w:val="00215AF1"/>
    <w:rsid w:val="00224FDF"/>
    <w:rsid w:val="002264B2"/>
    <w:rsid w:val="002321E8"/>
    <w:rsid w:val="00232984"/>
    <w:rsid w:val="0024010F"/>
    <w:rsid w:val="00240749"/>
    <w:rsid w:val="00243018"/>
    <w:rsid w:val="002564A4"/>
    <w:rsid w:val="0026736C"/>
    <w:rsid w:val="0027058B"/>
    <w:rsid w:val="00273807"/>
    <w:rsid w:val="00273B7A"/>
    <w:rsid w:val="00281308"/>
    <w:rsid w:val="00284719"/>
    <w:rsid w:val="00291A8F"/>
    <w:rsid w:val="00294CB0"/>
    <w:rsid w:val="00297ECB"/>
    <w:rsid w:val="002A4F04"/>
    <w:rsid w:val="002A7BCF"/>
    <w:rsid w:val="002B3D6C"/>
    <w:rsid w:val="002B3EF4"/>
    <w:rsid w:val="002B4996"/>
    <w:rsid w:val="002C0A4B"/>
    <w:rsid w:val="002C0D5A"/>
    <w:rsid w:val="002C3FD1"/>
    <w:rsid w:val="002C7698"/>
    <w:rsid w:val="002D043A"/>
    <w:rsid w:val="002D266B"/>
    <w:rsid w:val="002D6224"/>
    <w:rsid w:val="002D7550"/>
    <w:rsid w:val="002E13C1"/>
    <w:rsid w:val="002E325D"/>
    <w:rsid w:val="002E57E2"/>
    <w:rsid w:val="002F0087"/>
    <w:rsid w:val="002F4C80"/>
    <w:rsid w:val="002F6D2B"/>
    <w:rsid w:val="002F7011"/>
    <w:rsid w:val="00304C66"/>
    <w:rsid w:val="00304F8B"/>
    <w:rsid w:val="003064A4"/>
    <w:rsid w:val="00311255"/>
    <w:rsid w:val="00313E4F"/>
    <w:rsid w:val="0031582B"/>
    <w:rsid w:val="00324997"/>
    <w:rsid w:val="00335BC6"/>
    <w:rsid w:val="003415D3"/>
    <w:rsid w:val="00344338"/>
    <w:rsid w:val="00344701"/>
    <w:rsid w:val="0035185B"/>
    <w:rsid w:val="00352B0F"/>
    <w:rsid w:val="00360459"/>
    <w:rsid w:val="00363502"/>
    <w:rsid w:val="00371B40"/>
    <w:rsid w:val="0037367D"/>
    <w:rsid w:val="00375305"/>
    <w:rsid w:val="003767E2"/>
    <w:rsid w:val="0038049F"/>
    <w:rsid w:val="00384BB5"/>
    <w:rsid w:val="00385019"/>
    <w:rsid w:val="0039299E"/>
    <w:rsid w:val="003A1F5A"/>
    <w:rsid w:val="003B1430"/>
    <w:rsid w:val="003C51C2"/>
    <w:rsid w:val="003C6231"/>
    <w:rsid w:val="003C6FB4"/>
    <w:rsid w:val="003D0BFE"/>
    <w:rsid w:val="003D10D3"/>
    <w:rsid w:val="003D18EF"/>
    <w:rsid w:val="003D3D1A"/>
    <w:rsid w:val="003D5700"/>
    <w:rsid w:val="003E1B50"/>
    <w:rsid w:val="003E341B"/>
    <w:rsid w:val="003E4D00"/>
    <w:rsid w:val="003F4977"/>
    <w:rsid w:val="004116CD"/>
    <w:rsid w:val="00417EB9"/>
    <w:rsid w:val="0042452E"/>
    <w:rsid w:val="00424CA9"/>
    <w:rsid w:val="004276DF"/>
    <w:rsid w:val="00430988"/>
    <w:rsid w:val="00431E9B"/>
    <w:rsid w:val="004337AF"/>
    <w:rsid w:val="00434F22"/>
    <w:rsid w:val="004379E3"/>
    <w:rsid w:val="0044015E"/>
    <w:rsid w:val="00441D7D"/>
    <w:rsid w:val="0044291A"/>
    <w:rsid w:val="00444607"/>
    <w:rsid w:val="00445C1F"/>
    <w:rsid w:val="00455EA3"/>
    <w:rsid w:val="004578CB"/>
    <w:rsid w:val="0046484E"/>
    <w:rsid w:val="00466AFA"/>
    <w:rsid w:val="00467661"/>
    <w:rsid w:val="00472DBE"/>
    <w:rsid w:val="00474616"/>
    <w:rsid w:val="00474A19"/>
    <w:rsid w:val="00477830"/>
    <w:rsid w:val="00486DDF"/>
    <w:rsid w:val="00487764"/>
    <w:rsid w:val="00491DC2"/>
    <w:rsid w:val="00494B1E"/>
    <w:rsid w:val="00496F97"/>
    <w:rsid w:val="004A6079"/>
    <w:rsid w:val="004B6C48"/>
    <w:rsid w:val="004C0008"/>
    <w:rsid w:val="004C3177"/>
    <w:rsid w:val="004C4E59"/>
    <w:rsid w:val="004C6809"/>
    <w:rsid w:val="004D7DFE"/>
    <w:rsid w:val="004E063A"/>
    <w:rsid w:val="004E1307"/>
    <w:rsid w:val="004E7BEC"/>
    <w:rsid w:val="004F69E1"/>
    <w:rsid w:val="004F70BF"/>
    <w:rsid w:val="00505D3D"/>
    <w:rsid w:val="00506AF6"/>
    <w:rsid w:val="0051218B"/>
    <w:rsid w:val="0051534F"/>
    <w:rsid w:val="00516A00"/>
    <w:rsid w:val="00516B8D"/>
    <w:rsid w:val="00517A12"/>
    <w:rsid w:val="00520D49"/>
    <w:rsid w:val="00524A39"/>
    <w:rsid w:val="00526BCC"/>
    <w:rsid w:val="005301FA"/>
    <w:rsid w:val="005303C8"/>
    <w:rsid w:val="00531593"/>
    <w:rsid w:val="00537FBC"/>
    <w:rsid w:val="00540AAB"/>
    <w:rsid w:val="00541002"/>
    <w:rsid w:val="00543688"/>
    <w:rsid w:val="005451B4"/>
    <w:rsid w:val="005462D4"/>
    <w:rsid w:val="00547A44"/>
    <w:rsid w:val="00547B52"/>
    <w:rsid w:val="005544EC"/>
    <w:rsid w:val="00554826"/>
    <w:rsid w:val="00562877"/>
    <w:rsid w:val="00564667"/>
    <w:rsid w:val="005667DB"/>
    <w:rsid w:val="005670F8"/>
    <w:rsid w:val="00574538"/>
    <w:rsid w:val="005769EB"/>
    <w:rsid w:val="00576AD9"/>
    <w:rsid w:val="00581767"/>
    <w:rsid w:val="005832D3"/>
    <w:rsid w:val="00584811"/>
    <w:rsid w:val="00585784"/>
    <w:rsid w:val="0058661C"/>
    <w:rsid w:val="00590DC4"/>
    <w:rsid w:val="00593AA6"/>
    <w:rsid w:val="00593B28"/>
    <w:rsid w:val="00594161"/>
    <w:rsid w:val="00594749"/>
    <w:rsid w:val="005A4EC5"/>
    <w:rsid w:val="005A65D5"/>
    <w:rsid w:val="005B4067"/>
    <w:rsid w:val="005B44F9"/>
    <w:rsid w:val="005B5323"/>
    <w:rsid w:val="005B642D"/>
    <w:rsid w:val="005C3F41"/>
    <w:rsid w:val="005C5AE2"/>
    <w:rsid w:val="005D1D92"/>
    <w:rsid w:val="005D2D09"/>
    <w:rsid w:val="005F67A5"/>
    <w:rsid w:val="00600219"/>
    <w:rsid w:val="00600C95"/>
    <w:rsid w:val="00604F2A"/>
    <w:rsid w:val="0061607B"/>
    <w:rsid w:val="00620076"/>
    <w:rsid w:val="0062263D"/>
    <w:rsid w:val="00623D1F"/>
    <w:rsid w:val="00624953"/>
    <w:rsid w:val="00627E0A"/>
    <w:rsid w:val="00631236"/>
    <w:rsid w:val="00637231"/>
    <w:rsid w:val="0064305B"/>
    <w:rsid w:val="00643C2D"/>
    <w:rsid w:val="006511E1"/>
    <w:rsid w:val="0065487E"/>
    <w:rsid w:val="0065488B"/>
    <w:rsid w:val="00662683"/>
    <w:rsid w:val="00670EA1"/>
    <w:rsid w:val="00675456"/>
    <w:rsid w:val="00677CC2"/>
    <w:rsid w:val="00686625"/>
    <w:rsid w:val="0068744B"/>
    <w:rsid w:val="006905DE"/>
    <w:rsid w:val="0069207B"/>
    <w:rsid w:val="00696429"/>
    <w:rsid w:val="006A154F"/>
    <w:rsid w:val="006A1F6F"/>
    <w:rsid w:val="006A437B"/>
    <w:rsid w:val="006B5789"/>
    <w:rsid w:val="006C30C5"/>
    <w:rsid w:val="006C44A3"/>
    <w:rsid w:val="006C7F8C"/>
    <w:rsid w:val="006D54C3"/>
    <w:rsid w:val="006D5FF2"/>
    <w:rsid w:val="006D6311"/>
    <w:rsid w:val="006E2E1C"/>
    <w:rsid w:val="006E6246"/>
    <w:rsid w:val="006E69C2"/>
    <w:rsid w:val="006E6DCC"/>
    <w:rsid w:val="006F1210"/>
    <w:rsid w:val="006F1CB7"/>
    <w:rsid w:val="006F318F"/>
    <w:rsid w:val="0070017E"/>
    <w:rsid w:val="00700B2C"/>
    <w:rsid w:val="007050A2"/>
    <w:rsid w:val="00713084"/>
    <w:rsid w:val="00714F20"/>
    <w:rsid w:val="0071590F"/>
    <w:rsid w:val="00715914"/>
    <w:rsid w:val="00720C28"/>
    <w:rsid w:val="0072147A"/>
    <w:rsid w:val="00723199"/>
    <w:rsid w:val="00723791"/>
    <w:rsid w:val="007257EB"/>
    <w:rsid w:val="00731529"/>
    <w:rsid w:val="00731E00"/>
    <w:rsid w:val="007341FD"/>
    <w:rsid w:val="007440B7"/>
    <w:rsid w:val="007500C8"/>
    <w:rsid w:val="007510E1"/>
    <w:rsid w:val="00756272"/>
    <w:rsid w:val="00762D38"/>
    <w:rsid w:val="00770FE6"/>
    <w:rsid w:val="007715C9"/>
    <w:rsid w:val="00771613"/>
    <w:rsid w:val="00774EDD"/>
    <w:rsid w:val="007757EC"/>
    <w:rsid w:val="007757F0"/>
    <w:rsid w:val="007803EA"/>
    <w:rsid w:val="00780AA3"/>
    <w:rsid w:val="0078250C"/>
    <w:rsid w:val="00782BC0"/>
    <w:rsid w:val="00783E89"/>
    <w:rsid w:val="00786615"/>
    <w:rsid w:val="007874FD"/>
    <w:rsid w:val="00793915"/>
    <w:rsid w:val="007A3070"/>
    <w:rsid w:val="007B3A16"/>
    <w:rsid w:val="007B4E73"/>
    <w:rsid w:val="007C2253"/>
    <w:rsid w:val="007C3B6F"/>
    <w:rsid w:val="007C477C"/>
    <w:rsid w:val="007C55D6"/>
    <w:rsid w:val="007C65D1"/>
    <w:rsid w:val="007C774F"/>
    <w:rsid w:val="007D5416"/>
    <w:rsid w:val="007D7911"/>
    <w:rsid w:val="007E163D"/>
    <w:rsid w:val="007E17A5"/>
    <w:rsid w:val="007E2AA7"/>
    <w:rsid w:val="007E667A"/>
    <w:rsid w:val="007E7146"/>
    <w:rsid w:val="007F28C9"/>
    <w:rsid w:val="007F4006"/>
    <w:rsid w:val="007F411F"/>
    <w:rsid w:val="007F51B2"/>
    <w:rsid w:val="008040DD"/>
    <w:rsid w:val="008117E9"/>
    <w:rsid w:val="00824498"/>
    <w:rsid w:val="00825CAA"/>
    <w:rsid w:val="00826BD1"/>
    <w:rsid w:val="00827C83"/>
    <w:rsid w:val="0083042B"/>
    <w:rsid w:val="0083096B"/>
    <w:rsid w:val="00836A43"/>
    <w:rsid w:val="00853367"/>
    <w:rsid w:val="00853B91"/>
    <w:rsid w:val="00854D0B"/>
    <w:rsid w:val="00856A31"/>
    <w:rsid w:val="00860B4E"/>
    <w:rsid w:val="00864AE4"/>
    <w:rsid w:val="00864B80"/>
    <w:rsid w:val="00867B37"/>
    <w:rsid w:val="0087150F"/>
    <w:rsid w:val="008754D0"/>
    <w:rsid w:val="00875D13"/>
    <w:rsid w:val="008855C9"/>
    <w:rsid w:val="00886456"/>
    <w:rsid w:val="00887A1B"/>
    <w:rsid w:val="00890143"/>
    <w:rsid w:val="00893FF3"/>
    <w:rsid w:val="00894867"/>
    <w:rsid w:val="00896176"/>
    <w:rsid w:val="00896794"/>
    <w:rsid w:val="008A33F7"/>
    <w:rsid w:val="008A46E1"/>
    <w:rsid w:val="008A4F43"/>
    <w:rsid w:val="008B2706"/>
    <w:rsid w:val="008B2EBD"/>
    <w:rsid w:val="008B4197"/>
    <w:rsid w:val="008C0C3D"/>
    <w:rsid w:val="008C181F"/>
    <w:rsid w:val="008C2EAC"/>
    <w:rsid w:val="008C5191"/>
    <w:rsid w:val="008D0EE0"/>
    <w:rsid w:val="008D16B5"/>
    <w:rsid w:val="008D1854"/>
    <w:rsid w:val="008E0027"/>
    <w:rsid w:val="008E427B"/>
    <w:rsid w:val="008E6067"/>
    <w:rsid w:val="008E62F9"/>
    <w:rsid w:val="008E7E7A"/>
    <w:rsid w:val="008F54E7"/>
    <w:rsid w:val="00900F9C"/>
    <w:rsid w:val="00901AB4"/>
    <w:rsid w:val="009023F7"/>
    <w:rsid w:val="00903422"/>
    <w:rsid w:val="0090429E"/>
    <w:rsid w:val="0092214D"/>
    <w:rsid w:val="009254C3"/>
    <w:rsid w:val="00932377"/>
    <w:rsid w:val="00935328"/>
    <w:rsid w:val="009366EC"/>
    <w:rsid w:val="0094088A"/>
    <w:rsid w:val="00941236"/>
    <w:rsid w:val="00941F06"/>
    <w:rsid w:val="009421A1"/>
    <w:rsid w:val="00943FD5"/>
    <w:rsid w:val="0094767E"/>
    <w:rsid w:val="00947D5A"/>
    <w:rsid w:val="00952B28"/>
    <w:rsid w:val="009532A5"/>
    <w:rsid w:val="0095351F"/>
    <w:rsid w:val="009545BD"/>
    <w:rsid w:val="009552E8"/>
    <w:rsid w:val="00955BFF"/>
    <w:rsid w:val="00956EB1"/>
    <w:rsid w:val="00964CF0"/>
    <w:rsid w:val="00977806"/>
    <w:rsid w:val="00982242"/>
    <w:rsid w:val="009868E9"/>
    <w:rsid w:val="009872D0"/>
    <w:rsid w:val="0098739E"/>
    <w:rsid w:val="009900A3"/>
    <w:rsid w:val="00996B02"/>
    <w:rsid w:val="009A0065"/>
    <w:rsid w:val="009A49B7"/>
    <w:rsid w:val="009A6656"/>
    <w:rsid w:val="009B3371"/>
    <w:rsid w:val="009B483E"/>
    <w:rsid w:val="009C3413"/>
    <w:rsid w:val="009C5101"/>
    <w:rsid w:val="009D1D66"/>
    <w:rsid w:val="009F021F"/>
    <w:rsid w:val="009F635A"/>
    <w:rsid w:val="00A0441E"/>
    <w:rsid w:val="00A04E63"/>
    <w:rsid w:val="00A051AC"/>
    <w:rsid w:val="00A07BCC"/>
    <w:rsid w:val="00A12128"/>
    <w:rsid w:val="00A17C8B"/>
    <w:rsid w:val="00A22C98"/>
    <w:rsid w:val="00A231E2"/>
    <w:rsid w:val="00A369E3"/>
    <w:rsid w:val="00A4028A"/>
    <w:rsid w:val="00A406A3"/>
    <w:rsid w:val="00A463AF"/>
    <w:rsid w:val="00A53AB3"/>
    <w:rsid w:val="00A54F2B"/>
    <w:rsid w:val="00A57600"/>
    <w:rsid w:val="00A5775D"/>
    <w:rsid w:val="00A606A2"/>
    <w:rsid w:val="00A61952"/>
    <w:rsid w:val="00A63667"/>
    <w:rsid w:val="00A64912"/>
    <w:rsid w:val="00A6611D"/>
    <w:rsid w:val="00A70A74"/>
    <w:rsid w:val="00A75FE9"/>
    <w:rsid w:val="00A76469"/>
    <w:rsid w:val="00A82987"/>
    <w:rsid w:val="00A84CC6"/>
    <w:rsid w:val="00A9418C"/>
    <w:rsid w:val="00AA3E73"/>
    <w:rsid w:val="00AA716C"/>
    <w:rsid w:val="00AA7B24"/>
    <w:rsid w:val="00AB528E"/>
    <w:rsid w:val="00AC6DF4"/>
    <w:rsid w:val="00AC70EC"/>
    <w:rsid w:val="00AD3637"/>
    <w:rsid w:val="00AD53CC"/>
    <w:rsid w:val="00AD5641"/>
    <w:rsid w:val="00AD7390"/>
    <w:rsid w:val="00AF06CF"/>
    <w:rsid w:val="00AF6DCA"/>
    <w:rsid w:val="00B00B54"/>
    <w:rsid w:val="00B0504B"/>
    <w:rsid w:val="00B07CDB"/>
    <w:rsid w:val="00B16A31"/>
    <w:rsid w:val="00B17DFD"/>
    <w:rsid w:val="00B23653"/>
    <w:rsid w:val="00B25306"/>
    <w:rsid w:val="00B267E9"/>
    <w:rsid w:val="00B27831"/>
    <w:rsid w:val="00B30547"/>
    <w:rsid w:val="00B308FE"/>
    <w:rsid w:val="00B33709"/>
    <w:rsid w:val="00B33B3C"/>
    <w:rsid w:val="00B36392"/>
    <w:rsid w:val="00B408A0"/>
    <w:rsid w:val="00B418CB"/>
    <w:rsid w:val="00B47444"/>
    <w:rsid w:val="00B50ADC"/>
    <w:rsid w:val="00B566B1"/>
    <w:rsid w:val="00B63834"/>
    <w:rsid w:val="00B67D3D"/>
    <w:rsid w:val="00B80199"/>
    <w:rsid w:val="00B83204"/>
    <w:rsid w:val="00B856E7"/>
    <w:rsid w:val="00B86A8A"/>
    <w:rsid w:val="00B873CD"/>
    <w:rsid w:val="00B92F9B"/>
    <w:rsid w:val="00B97A5D"/>
    <w:rsid w:val="00BA220B"/>
    <w:rsid w:val="00BA33FD"/>
    <w:rsid w:val="00BA3A57"/>
    <w:rsid w:val="00BA69D0"/>
    <w:rsid w:val="00BB1533"/>
    <w:rsid w:val="00BB4E1A"/>
    <w:rsid w:val="00BC015E"/>
    <w:rsid w:val="00BC1DF6"/>
    <w:rsid w:val="00BC6DF8"/>
    <w:rsid w:val="00BC76AC"/>
    <w:rsid w:val="00BD0ECB"/>
    <w:rsid w:val="00BD3075"/>
    <w:rsid w:val="00BE2155"/>
    <w:rsid w:val="00BE719A"/>
    <w:rsid w:val="00BE720A"/>
    <w:rsid w:val="00BF0D73"/>
    <w:rsid w:val="00BF2465"/>
    <w:rsid w:val="00C05986"/>
    <w:rsid w:val="00C065AF"/>
    <w:rsid w:val="00C06B7F"/>
    <w:rsid w:val="00C078AF"/>
    <w:rsid w:val="00C07E9E"/>
    <w:rsid w:val="00C1022A"/>
    <w:rsid w:val="00C158F9"/>
    <w:rsid w:val="00C16619"/>
    <w:rsid w:val="00C24E54"/>
    <w:rsid w:val="00C25E7F"/>
    <w:rsid w:val="00C2746F"/>
    <w:rsid w:val="00C323D6"/>
    <w:rsid w:val="00C324A0"/>
    <w:rsid w:val="00C33A9F"/>
    <w:rsid w:val="00C37C4C"/>
    <w:rsid w:val="00C42BF8"/>
    <w:rsid w:val="00C50043"/>
    <w:rsid w:val="00C5112F"/>
    <w:rsid w:val="00C517FF"/>
    <w:rsid w:val="00C55C2D"/>
    <w:rsid w:val="00C62AE8"/>
    <w:rsid w:val="00C73A1C"/>
    <w:rsid w:val="00C7573B"/>
    <w:rsid w:val="00C76BDB"/>
    <w:rsid w:val="00C77845"/>
    <w:rsid w:val="00C95C43"/>
    <w:rsid w:val="00C97A54"/>
    <w:rsid w:val="00C97F22"/>
    <w:rsid w:val="00CA1C0A"/>
    <w:rsid w:val="00CA2F8F"/>
    <w:rsid w:val="00CA5B23"/>
    <w:rsid w:val="00CA6638"/>
    <w:rsid w:val="00CB2ECE"/>
    <w:rsid w:val="00CB602E"/>
    <w:rsid w:val="00CB7613"/>
    <w:rsid w:val="00CB7E90"/>
    <w:rsid w:val="00CC051E"/>
    <w:rsid w:val="00CC23D9"/>
    <w:rsid w:val="00CC44D3"/>
    <w:rsid w:val="00CC656A"/>
    <w:rsid w:val="00CC7CFF"/>
    <w:rsid w:val="00CD171A"/>
    <w:rsid w:val="00CD1C4E"/>
    <w:rsid w:val="00CD787F"/>
    <w:rsid w:val="00CE051D"/>
    <w:rsid w:val="00CE1335"/>
    <w:rsid w:val="00CE21A3"/>
    <w:rsid w:val="00CE493D"/>
    <w:rsid w:val="00CF07FA"/>
    <w:rsid w:val="00CF0BB2"/>
    <w:rsid w:val="00CF25CB"/>
    <w:rsid w:val="00CF3EE8"/>
    <w:rsid w:val="00D03B11"/>
    <w:rsid w:val="00D072F2"/>
    <w:rsid w:val="00D13441"/>
    <w:rsid w:val="00D150E7"/>
    <w:rsid w:val="00D26CBB"/>
    <w:rsid w:val="00D27F27"/>
    <w:rsid w:val="00D330A8"/>
    <w:rsid w:val="00D425AB"/>
    <w:rsid w:val="00D506EC"/>
    <w:rsid w:val="00D51962"/>
    <w:rsid w:val="00D52DC2"/>
    <w:rsid w:val="00D53BCC"/>
    <w:rsid w:val="00D54C9E"/>
    <w:rsid w:val="00D62B81"/>
    <w:rsid w:val="00D62ECC"/>
    <w:rsid w:val="00D6537E"/>
    <w:rsid w:val="00D70DFB"/>
    <w:rsid w:val="00D71018"/>
    <w:rsid w:val="00D76635"/>
    <w:rsid w:val="00D766DF"/>
    <w:rsid w:val="00D8206C"/>
    <w:rsid w:val="00D8358A"/>
    <w:rsid w:val="00D873FD"/>
    <w:rsid w:val="00D9035B"/>
    <w:rsid w:val="00D91F10"/>
    <w:rsid w:val="00D96893"/>
    <w:rsid w:val="00DA186E"/>
    <w:rsid w:val="00DA22C5"/>
    <w:rsid w:val="00DA4116"/>
    <w:rsid w:val="00DB251C"/>
    <w:rsid w:val="00DB4630"/>
    <w:rsid w:val="00DB73AD"/>
    <w:rsid w:val="00DC4F88"/>
    <w:rsid w:val="00DE107C"/>
    <w:rsid w:val="00DE3500"/>
    <w:rsid w:val="00DE3746"/>
    <w:rsid w:val="00DE67E9"/>
    <w:rsid w:val="00DF2388"/>
    <w:rsid w:val="00E032E1"/>
    <w:rsid w:val="00E0463B"/>
    <w:rsid w:val="00E05704"/>
    <w:rsid w:val="00E1103E"/>
    <w:rsid w:val="00E12866"/>
    <w:rsid w:val="00E14F1D"/>
    <w:rsid w:val="00E16AAA"/>
    <w:rsid w:val="00E17839"/>
    <w:rsid w:val="00E21847"/>
    <w:rsid w:val="00E2427B"/>
    <w:rsid w:val="00E328F3"/>
    <w:rsid w:val="00E338EF"/>
    <w:rsid w:val="00E36FBC"/>
    <w:rsid w:val="00E544BB"/>
    <w:rsid w:val="00E55912"/>
    <w:rsid w:val="00E74DC7"/>
    <w:rsid w:val="00E8075A"/>
    <w:rsid w:val="00E93164"/>
    <w:rsid w:val="00E940D8"/>
    <w:rsid w:val="00E94D5E"/>
    <w:rsid w:val="00E979BD"/>
    <w:rsid w:val="00EA0EBD"/>
    <w:rsid w:val="00EA7004"/>
    <w:rsid w:val="00EA7100"/>
    <w:rsid w:val="00EA7F9F"/>
    <w:rsid w:val="00EB1274"/>
    <w:rsid w:val="00EB1453"/>
    <w:rsid w:val="00EB415F"/>
    <w:rsid w:val="00EB72C6"/>
    <w:rsid w:val="00ED2BB6"/>
    <w:rsid w:val="00ED34E1"/>
    <w:rsid w:val="00ED3B8D"/>
    <w:rsid w:val="00EE4A0A"/>
    <w:rsid w:val="00EE5E36"/>
    <w:rsid w:val="00EF2E3A"/>
    <w:rsid w:val="00EF3876"/>
    <w:rsid w:val="00EF3964"/>
    <w:rsid w:val="00F01C5F"/>
    <w:rsid w:val="00F02C7C"/>
    <w:rsid w:val="00F072A7"/>
    <w:rsid w:val="00F078DC"/>
    <w:rsid w:val="00F14ADD"/>
    <w:rsid w:val="00F20C2A"/>
    <w:rsid w:val="00F228AA"/>
    <w:rsid w:val="00F2551B"/>
    <w:rsid w:val="00F32BA8"/>
    <w:rsid w:val="00F32EE0"/>
    <w:rsid w:val="00F349F1"/>
    <w:rsid w:val="00F4350D"/>
    <w:rsid w:val="00F468A1"/>
    <w:rsid w:val="00F479C4"/>
    <w:rsid w:val="00F5152A"/>
    <w:rsid w:val="00F51AC9"/>
    <w:rsid w:val="00F567F7"/>
    <w:rsid w:val="00F56F26"/>
    <w:rsid w:val="00F60789"/>
    <w:rsid w:val="00F6696E"/>
    <w:rsid w:val="00F73BD6"/>
    <w:rsid w:val="00F80A58"/>
    <w:rsid w:val="00F83989"/>
    <w:rsid w:val="00F85099"/>
    <w:rsid w:val="00F9379C"/>
    <w:rsid w:val="00F9632C"/>
    <w:rsid w:val="00F97004"/>
    <w:rsid w:val="00FA074C"/>
    <w:rsid w:val="00FA1A8F"/>
    <w:rsid w:val="00FA1E52"/>
    <w:rsid w:val="00FB4DAA"/>
    <w:rsid w:val="00FB5A08"/>
    <w:rsid w:val="00FB5E72"/>
    <w:rsid w:val="00FC2C8A"/>
    <w:rsid w:val="00FC6A80"/>
    <w:rsid w:val="00FD588D"/>
    <w:rsid w:val="00FD5DB1"/>
    <w:rsid w:val="00FE4688"/>
    <w:rsid w:val="00FE486A"/>
    <w:rsid w:val="00FF5704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72314B"/>
  <w15:docId w15:val="{03885E6E-1EFD-4EB6-B0B7-4431B529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93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B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B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B28"/>
    <w:rPr>
      <w:b/>
      <w:bCs/>
    </w:rPr>
  </w:style>
  <w:style w:type="character" w:customStyle="1" w:styleId="ActHead5Char">
    <w:name w:val="ActHead 5 Char"/>
    <w:aliases w:val="s Char"/>
    <w:link w:val="ActHead5"/>
    <w:rsid w:val="00593B28"/>
    <w:rPr>
      <w:rFonts w:eastAsia="Times New Roman" w:cs="Times New Roman"/>
      <w:b/>
      <w:kern w:val="28"/>
      <w:sz w:val="24"/>
      <w:lang w:eastAsia="en-AU"/>
    </w:rPr>
  </w:style>
  <w:style w:type="paragraph" w:customStyle="1" w:styleId="subsectionhead0">
    <w:name w:val="subsectionhead"/>
    <w:basedOn w:val="Normal"/>
    <w:rsid w:val="00CC7C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CC7C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CC7C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872D0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40AAB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540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D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6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088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3327\Downloads\template_-_principal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FB1655-4610-427E-9FC0-E1B78D69D0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45D56D28A914F40871A1B9680F456FA" ma:contentTypeVersion="" ma:contentTypeDescription="PDMS Document Site Content Type" ma:contentTypeScope="" ma:versionID="db87cf1c9a81839b6e51031839170d88">
  <xsd:schema xmlns:xsd="http://www.w3.org/2001/XMLSchema" xmlns:xs="http://www.w3.org/2001/XMLSchema" xmlns:p="http://schemas.microsoft.com/office/2006/metadata/properties" xmlns:ns2="68FB1655-4610-427E-9FC0-E1B78D69D053" targetNamespace="http://schemas.microsoft.com/office/2006/metadata/properties" ma:root="true" ma:fieldsID="03a9332e46cb0256a2af64bc6795e38c" ns2:_="">
    <xsd:import namespace="68FB1655-4610-427E-9FC0-E1B78D69D05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1655-4610-427E-9FC0-E1B78D69D05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B6422-B66C-4A71-A093-6FC1CB74C30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fc004bcc-5c7c-4fff-b2ec-76b052a6505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2da2bdf3-f916-4217-8c0c-f6b35c0d814e"/>
    <ds:schemaRef ds:uri="http://purl.org/dc/dcmitype/"/>
    <ds:schemaRef ds:uri="68FB1655-4610-427E-9FC0-E1B78D69D053"/>
  </ds:schemaRefs>
</ds:datastoreItem>
</file>

<file path=customXml/itemProps3.xml><?xml version="1.0" encoding="utf-8"?>
<ds:datastoreItem xmlns:ds="http://schemas.openxmlformats.org/officeDocument/2006/customXml" ds:itemID="{A5241308-16ED-44CC-8AC8-DBF4776A66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EA458-2D83-400A-AD6B-BE6E8F27F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B1655-4610-427E-9FC0-E1B78D69D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(1).dotx</Template>
  <TotalTime>5</TotalTime>
  <Pages>12</Pages>
  <Words>1677</Words>
  <Characters>8590</Characters>
  <Application>Microsoft Office Word</Application>
  <DocSecurity>0</DocSecurity>
  <Lines>268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Presneill, Asher</dc:creator>
  <cp:lastModifiedBy>NOWLAND,Samuel</cp:lastModifiedBy>
  <cp:revision>4</cp:revision>
  <cp:lastPrinted>2022-06-07T04:44:00Z</cp:lastPrinted>
  <dcterms:created xsi:type="dcterms:W3CDTF">2022-06-22T06:13:00Z</dcterms:created>
  <dcterms:modified xsi:type="dcterms:W3CDTF">2022-06-24T00:52:00Z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2022-05-02T02:43:08Z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3dd6c9af-91c1-4f31-b6fa-678b3a64b815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0x010100266966F133664895A6EE3632470D45F500845D56D28A914F40871A1B9680F456FA</vt:lpwstr>
  </property>
</Properties>
</file>