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6190C" w:rsidRDefault="00086BF0" w:rsidP="00086BF0">
      <w:pPr>
        <w:rPr>
          <w:rFonts w:ascii="Times New Roman" w:hAnsi="Times New Roman" w:cs="Times New Roman"/>
          <w:sz w:val="28"/>
        </w:rPr>
      </w:pPr>
      <w:r w:rsidRPr="0086190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DAC9FFE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6190C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DDFD564" w:rsidR="00086BF0" w:rsidRPr="0086190C" w:rsidRDefault="00773804" w:rsidP="00086BF0">
      <w:pPr>
        <w:pStyle w:val="ShortT"/>
      </w:pPr>
      <w:bookmarkStart w:id="0" w:name="_Hlk43887946"/>
      <w:r w:rsidRPr="0086190C">
        <w:t>Radiocommunications (</w:t>
      </w:r>
      <w:r w:rsidR="002F5530">
        <w:t>Mobile</w:t>
      </w:r>
      <w:r w:rsidR="009C4434">
        <w:t>-</w:t>
      </w:r>
      <w:r w:rsidR="002F5530">
        <w:t>Satellite</w:t>
      </w:r>
      <w:r w:rsidR="00AB7391">
        <w:t xml:space="preserve"> Service</w:t>
      </w:r>
      <w:r w:rsidR="00A13DEA">
        <w:t>)</w:t>
      </w:r>
      <w:r w:rsidR="003D337E">
        <w:t xml:space="preserve"> </w:t>
      </w:r>
      <w:r w:rsidR="00A13DEA">
        <w:t>(</w:t>
      </w:r>
      <w:r w:rsidR="002F5530">
        <w:t>1980</w:t>
      </w:r>
      <w:r w:rsidR="00A13DEA">
        <w:t>–2</w:t>
      </w:r>
      <w:r w:rsidR="002F5530">
        <w:t>0</w:t>
      </w:r>
      <w:r w:rsidR="00A13DEA">
        <w:t>10</w:t>
      </w:r>
      <w:r w:rsidR="002F5530">
        <w:t> </w:t>
      </w:r>
      <w:r w:rsidR="00A13DEA">
        <w:t>M</w:t>
      </w:r>
      <w:r w:rsidR="005D5B0F">
        <w:t xml:space="preserve">Hz </w:t>
      </w:r>
      <w:r w:rsidR="00A13DEA">
        <w:t xml:space="preserve">and </w:t>
      </w:r>
      <w:r w:rsidR="002F5530">
        <w:t>2170</w:t>
      </w:r>
      <w:r w:rsidR="00A13DEA">
        <w:t>–2</w:t>
      </w:r>
      <w:r w:rsidR="002F5530">
        <w:t>2</w:t>
      </w:r>
      <w:r w:rsidR="00A13DEA">
        <w:t>00 MHz</w:t>
      </w:r>
      <w:r w:rsidR="00C06DBE" w:rsidRPr="0086190C">
        <w:t xml:space="preserve">) </w:t>
      </w:r>
      <w:r w:rsidR="00A13DEA">
        <w:t>Frequency Band Plan</w:t>
      </w:r>
      <w:r w:rsidR="00C06DBE" w:rsidRPr="0086190C">
        <w:t xml:space="preserve"> 202</w:t>
      </w:r>
      <w:r w:rsidR="00AB7391">
        <w:t>2</w:t>
      </w:r>
      <w:bookmarkEnd w:id="0"/>
    </w:p>
    <w:p w14:paraId="75AA3C11" w14:textId="77777777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987E42D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  <w:r w:rsidRPr="0086190C">
        <w:rPr>
          <w:szCs w:val="22"/>
        </w:rPr>
        <w:t xml:space="preserve">The Australian Communications and Media Authority makes the following </w:t>
      </w:r>
      <w:r w:rsidR="00A96D00">
        <w:rPr>
          <w:szCs w:val="22"/>
        </w:rPr>
        <w:t>frequency band plan</w:t>
      </w:r>
      <w:r w:rsidRPr="0086190C">
        <w:rPr>
          <w:szCs w:val="22"/>
        </w:rPr>
        <w:t xml:space="preserve"> under </w:t>
      </w:r>
      <w:r w:rsidR="00C06DBE" w:rsidRPr="0086190C">
        <w:rPr>
          <w:szCs w:val="22"/>
        </w:rPr>
        <w:t xml:space="preserve">subsection </w:t>
      </w:r>
      <w:r w:rsidR="00A96D00">
        <w:rPr>
          <w:szCs w:val="22"/>
        </w:rPr>
        <w:t>32</w:t>
      </w:r>
      <w:r w:rsidR="00C06DBE" w:rsidRPr="0086190C">
        <w:rPr>
          <w:szCs w:val="22"/>
        </w:rPr>
        <w:t>(</w:t>
      </w:r>
      <w:r w:rsidR="00A96D00">
        <w:rPr>
          <w:szCs w:val="22"/>
        </w:rPr>
        <w:t>1</w:t>
      </w:r>
      <w:r w:rsidR="00C06DBE" w:rsidRPr="0086190C">
        <w:rPr>
          <w:szCs w:val="22"/>
        </w:rPr>
        <w:t>)</w:t>
      </w:r>
      <w:r w:rsidRPr="0086190C">
        <w:t xml:space="preserve"> of the </w:t>
      </w:r>
      <w:r w:rsidR="00C06DBE" w:rsidRPr="0086190C">
        <w:rPr>
          <w:i/>
        </w:rPr>
        <w:t>Radiocommunications Act 1992</w:t>
      </w:r>
      <w:r w:rsidRPr="0086190C">
        <w:t>.</w:t>
      </w:r>
    </w:p>
    <w:p w14:paraId="11CC4671" w14:textId="61D6501A" w:rsidR="00086BF0" w:rsidRPr="0086190C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86190C">
        <w:rPr>
          <w:rFonts w:ascii="Times New Roman" w:hAnsi="Times New Roman" w:cs="Times New Roman"/>
        </w:rPr>
        <w:t>:</w:t>
      </w:r>
      <w:r w:rsidR="00D526B9">
        <w:rPr>
          <w:rFonts w:ascii="Times New Roman" w:hAnsi="Times New Roman" w:cs="Times New Roman"/>
        </w:rPr>
        <w:t xml:space="preserve"> </w:t>
      </w:r>
      <w:r w:rsidR="007816E9">
        <w:rPr>
          <w:rFonts w:ascii="Times New Roman" w:hAnsi="Times New Roman" w:cs="Times New Roman"/>
        </w:rPr>
        <w:t>23 June 2022</w:t>
      </w:r>
    </w:p>
    <w:p w14:paraId="059DA914" w14:textId="7777777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7E09C54" w14:textId="08122F8E" w:rsidR="00D526B9" w:rsidRDefault="007816E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077F43DE" w14:textId="42F1D922" w:rsidR="00D526B9" w:rsidRDefault="007816E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r w:rsidR="00EC4320">
        <w:rPr>
          <w:rFonts w:ascii="Times New Roman" w:hAnsi="Times New Roman" w:cs="Times New Roman"/>
        </w:rPr>
        <w:t xml:space="preserve"> </w:t>
      </w:r>
    </w:p>
    <w:p w14:paraId="64B7188B" w14:textId="7DC1AA0C" w:rsidR="00086BF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Member</w:t>
      </w:r>
      <w:bookmarkStart w:id="2" w:name="Minister"/>
    </w:p>
    <w:p w14:paraId="09A5807B" w14:textId="31BA654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783E338" w14:textId="01595689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16E9">
        <w:rPr>
          <w:rFonts w:ascii="Times New Roman" w:hAnsi="Times New Roman" w:cs="Times New Roman"/>
        </w:rPr>
        <w:t>Cathy Rainsford</w:t>
      </w:r>
    </w:p>
    <w:p w14:paraId="1CB04BE7" w14:textId="2AEAF8E6" w:rsidR="00D526B9" w:rsidRPr="0086190C" w:rsidRDefault="007816E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r w:rsidR="00EC4320">
        <w:rPr>
          <w:rFonts w:ascii="Times New Roman" w:hAnsi="Times New Roman" w:cs="Times New Roman"/>
        </w:rPr>
        <w:t xml:space="preserve"> </w:t>
      </w:r>
    </w:p>
    <w:p w14:paraId="5F356EE0" w14:textId="77777777" w:rsidR="00086BF0" w:rsidRPr="00EC432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816E9">
        <w:rPr>
          <w:rFonts w:ascii="Times New Roman" w:hAnsi="Times New Roman" w:cs="Times New Roman"/>
          <w:strike/>
        </w:rPr>
        <w:t>Member</w:t>
      </w:r>
      <w:r w:rsidRPr="00EC4320">
        <w:rPr>
          <w:rFonts w:ascii="Times New Roman" w:hAnsi="Times New Roman" w:cs="Times New Roman"/>
        </w:rPr>
        <w:t>/General Manager</w:t>
      </w:r>
      <w:bookmarkEnd w:id="2"/>
    </w:p>
    <w:p w14:paraId="1FEB742C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  <w:r w:rsidRPr="0086190C">
        <w:rPr>
          <w:szCs w:val="22"/>
        </w:rPr>
        <w:t>Australian Communications and Media Authority</w:t>
      </w:r>
    </w:p>
    <w:p w14:paraId="43092265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6190C" w:rsidRDefault="00086BF0" w:rsidP="00086BF0">
      <w:pPr>
        <w:spacing w:after="0"/>
        <w:rPr>
          <w:rFonts w:ascii="Times New Roman" w:hAnsi="Times New Roman" w:cs="Times New Roman"/>
        </w:rPr>
        <w:sectPr w:rsidR="00086BF0" w:rsidRPr="008619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7777777" w:rsidR="00086BF0" w:rsidRPr="0086190C" w:rsidRDefault="00086BF0" w:rsidP="008B1ACA">
      <w:pPr>
        <w:pStyle w:val="Heading1"/>
      </w:pPr>
      <w:bookmarkStart w:id="3" w:name="_Toc65596028"/>
      <w:bookmarkStart w:id="4" w:name="_Toc444596031"/>
      <w:r w:rsidRPr="0086190C">
        <w:rPr>
          <w:rStyle w:val="CharSectno"/>
        </w:rPr>
        <w:lastRenderedPageBreak/>
        <w:t>1</w:t>
      </w:r>
      <w:r w:rsidRPr="0086190C">
        <w:t xml:space="preserve">  Name</w:t>
      </w:r>
      <w:bookmarkEnd w:id="3"/>
    </w:p>
    <w:p w14:paraId="0BA01627" w14:textId="63AC1CD6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This is the</w:t>
      </w:r>
      <w:r w:rsidR="006205A6">
        <w:t xml:space="preserve"> </w:t>
      </w:r>
      <w:r w:rsidR="006205A6">
        <w:rPr>
          <w:i/>
          <w:iCs/>
        </w:rPr>
        <w:t>Radiocommunications (</w:t>
      </w:r>
      <w:r w:rsidR="002F5530">
        <w:rPr>
          <w:i/>
          <w:iCs/>
        </w:rPr>
        <w:t>Mobile</w:t>
      </w:r>
      <w:r w:rsidR="009C4434">
        <w:rPr>
          <w:i/>
          <w:iCs/>
        </w:rPr>
        <w:t>-</w:t>
      </w:r>
      <w:r w:rsidR="002F5530">
        <w:rPr>
          <w:i/>
          <w:iCs/>
        </w:rPr>
        <w:t>Satellite</w:t>
      </w:r>
      <w:r w:rsidR="00AB7391">
        <w:rPr>
          <w:i/>
          <w:iCs/>
        </w:rPr>
        <w:t xml:space="preserve"> Service</w:t>
      </w:r>
      <w:r w:rsidR="006205A6">
        <w:rPr>
          <w:i/>
          <w:iCs/>
        </w:rPr>
        <w:t>)</w:t>
      </w:r>
      <w:r w:rsidR="00A96D00">
        <w:rPr>
          <w:i/>
          <w:iCs/>
        </w:rPr>
        <w:t xml:space="preserve"> (</w:t>
      </w:r>
      <w:r w:rsidR="002F5530">
        <w:rPr>
          <w:i/>
          <w:iCs/>
        </w:rPr>
        <w:t>1980</w:t>
      </w:r>
      <w:r w:rsidR="00A96D00">
        <w:rPr>
          <w:i/>
          <w:iCs/>
        </w:rPr>
        <w:t>–2</w:t>
      </w:r>
      <w:r w:rsidR="002F5530">
        <w:rPr>
          <w:i/>
          <w:iCs/>
        </w:rPr>
        <w:t>0</w:t>
      </w:r>
      <w:r w:rsidR="00A96D00">
        <w:rPr>
          <w:i/>
          <w:iCs/>
        </w:rPr>
        <w:t xml:space="preserve">10 MHz and </w:t>
      </w:r>
      <w:r w:rsidR="002F5530">
        <w:rPr>
          <w:i/>
          <w:iCs/>
        </w:rPr>
        <w:t>2170</w:t>
      </w:r>
      <w:r w:rsidR="00A96D00">
        <w:rPr>
          <w:i/>
          <w:iCs/>
        </w:rPr>
        <w:t>–2</w:t>
      </w:r>
      <w:r w:rsidR="002F5530">
        <w:rPr>
          <w:i/>
          <w:iCs/>
        </w:rPr>
        <w:t>2</w:t>
      </w:r>
      <w:r w:rsidR="00A96D00">
        <w:rPr>
          <w:i/>
          <w:iCs/>
        </w:rPr>
        <w:t>00</w:t>
      </w:r>
      <w:r w:rsidR="0087512D">
        <w:rPr>
          <w:i/>
          <w:iCs/>
        </w:rPr>
        <w:t> </w:t>
      </w:r>
      <w:r w:rsidR="00A96D00">
        <w:rPr>
          <w:i/>
          <w:iCs/>
        </w:rPr>
        <w:t>MHz) Frequency Band Plan</w:t>
      </w:r>
      <w:r w:rsidR="006205A6">
        <w:rPr>
          <w:i/>
          <w:iCs/>
        </w:rPr>
        <w:t xml:space="preserve"> 202</w:t>
      </w:r>
      <w:bookmarkStart w:id="5" w:name="BKCheck15B_3"/>
      <w:bookmarkEnd w:id="5"/>
      <w:r w:rsidR="00A96D00">
        <w:rPr>
          <w:i/>
          <w:iCs/>
        </w:rPr>
        <w:t>2</w:t>
      </w:r>
      <w:r w:rsidRPr="0086190C">
        <w:t>.</w:t>
      </w:r>
    </w:p>
    <w:p w14:paraId="177E90D7" w14:textId="77777777" w:rsidR="00086BF0" w:rsidRPr="0086190C" w:rsidRDefault="00086BF0" w:rsidP="008B1ACA">
      <w:pPr>
        <w:pStyle w:val="Heading1"/>
      </w:pPr>
      <w:bookmarkStart w:id="6" w:name="_Toc444596032"/>
      <w:bookmarkStart w:id="7" w:name="_Toc65596029"/>
      <w:r w:rsidRPr="0086190C">
        <w:rPr>
          <w:rStyle w:val="CharSectno"/>
        </w:rPr>
        <w:t>2</w:t>
      </w:r>
      <w:r w:rsidRPr="0086190C">
        <w:t xml:space="preserve">  Commencement</w:t>
      </w:r>
      <w:bookmarkEnd w:id="6"/>
      <w:bookmarkEnd w:id="7"/>
    </w:p>
    <w:p w14:paraId="6D874432" w14:textId="77777777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795025ED" w14:textId="304F006F" w:rsidR="00086BF0" w:rsidRPr="0086190C" w:rsidRDefault="00086BF0" w:rsidP="00086BF0">
      <w:pPr>
        <w:pStyle w:val="LI-BodyTextNote"/>
        <w:spacing w:before="122"/>
      </w:pPr>
      <w:r w:rsidRPr="0086190C">
        <w:t>Note:</w:t>
      </w:r>
      <w:r w:rsidRPr="0086190C">
        <w:tab/>
        <w:t>The Federal Register of Legislation may be accessed</w:t>
      </w:r>
      <w:r w:rsidR="009B4793">
        <w:t>,</w:t>
      </w:r>
      <w:r w:rsidRPr="0086190C">
        <w:t xml:space="preserve"> free of charge</w:t>
      </w:r>
      <w:r w:rsidR="009B4793">
        <w:t>,</w:t>
      </w:r>
      <w:r w:rsidRPr="0086190C">
        <w:t xml:space="preserve"> at </w:t>
      </w:r>
      <w:hyperlink r:id="rId19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350F747B" w:rsidR="00086BF0" w:rsidRPr="0086190C" w:rsidRDefault="008D1C48" w:rsidP="008B1ACA">
      <w:pPr>
        <w:pStyle w:val="Heading1"/>
      </w:pPr>
      <w:bookmarkStart w:id="8" w:name="_Toc444596033"/>
      <w:bookmarkStart w:id="9" w:name="_Toc65596031"/>
      <w:r>
        <w:rPr>
          <w:rStyle w:val="CharSectno"/>
        </w:rPr>
        <w:t>3</w:t>
      </w:r>
      <w:r w:rsidR="00086BF0" w:rsidRPr="0086190C">
        <w:t xml:space="preserve">  Authority</w:t>
      </w:r>
      <w:bookmarkEnd w:id="8"/>
      <w:bookmarkEnd w:id="9"/>
    </w:p>
    <w:p w14:paraId="3377B4C6" w14:textId="4EA27D87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is made under </w:t>
      </w:r>
      <w:r w:rsidR="00DE481E" w:rsidRPr="0086190C">
        <w:t xml:space="preserve">subsection </w:t>
      </w:r>
      <w:r w:rsidR="00CA3D13">
        <w:t>32</w:t>
      </w:r>
      <w:r w:rsidR="00DE481E" w:rsidRPr="0086190C">
        <w:t>(</w:t>
      </w:r>
      <w:r w:rsidR="00CA3D13">
        <w:t>1</w:t>
      </w:r>
      <w:r w:rsidR="00DE481E" w:rsidRPr="0086190C">
        <w:t>)</w:t>
      </w:r>
      <w:r w:rsidRPr="0086190C">
        <w:t xml:space="preserve"> of the</w:t>
      </w:r>
      <w:r w:rsidR="00EB5305">
        <w:t xml:space="preserve"> Act</w:t>
      </w:r>
      <w:r w:rsidRPr="0086190C">
        <w:t>.</w:t>
      </w:r>
    </w:p>
    <w:p w14:paraId="616032F1" w14:textId="5529C399" w:rsidR="00086BF0" w:rsidRPr="0086190C" w:rsidRDefault="008D1C48" w:rsidP="008B1ACA">
      <w:pPr>
        <w:pStyle w:val="Heading1"/>
      </w:pPr>
      <w:bookmarkStart w:id="10" w:name="_Toc444596034"/>
      <w:bookmarkStart w:id="11" w:name="_Toc65596032"/>
      <w:r>
        <w:rPr>
          <w:rStyle w:val="CharSectno"/>
        </w:rPr>
        <w:t>4</w:t>
      </w:r>
      <w:r w:rsidR="00086BF0" w:rsidRPr="0086190C">
        <w:t xml:space="preserve">  </w:t>
      </w:r>
      <w:bookmarkEnd w:id="10"/>
      <w:bookmarkEnd w:id="11"/>
      <w:r w:rsidR="00262EB8">
        <w:t>Interpretation</w:t>
      </w:r>
    </w:p>
    <w:p w14:paraId="428F2C2E" w14:textId="42BAAD10" w:rsidR="00086BF0" w:rsidRPr="0086190C" w:rsidRDefault="00C0652E" w:rsidP="007A1A6B">
      <w:pPr>
        <w:pStyle w:val="subsection"/>
      </w:pPr>
      <w:r w:rsidRPr="0086190C">
        <w:tab/>
      </w:r>
      <w:r w:rsidR="00D95052" w:rsidRPr="0086190C">
        <w:t>(1)</w:t>
      </w:r>
      <w:r w:rsidR="00D95052" w:rsidRPr="0086190C">
        <w:tab/>
      </w:r>
      <w:r w:rsidR="00086BF0" w:rsidRPr="0086190C">
        <w:t>In this instrument</w:t>
      </w:r>
      <w:r w:rsidR="000721CD">
        <w:t xml:space="preserve">, </w:t>
      </w:r>
      <w:r w:rsidR="000721CD">
        <w:rPr>
          <w:color w:val="000000"/>
          <w:szCs w:val="22"/>
          <w:shd w:val="clear" w:color="auto" w:fill="FFFFFF"/>
        </w:rPr>
        <w:t>unless the contrary intention appears</w:t>
      </w:r>
      <w:r w:rsidR="00086BF0" w:rsidRPr="0086190C">
        <w:t>:</w:t>
      </w:r>
    </w:p>
    <w:p w14:paraId="60A54A39" w14:textId="0D7231FE" w:rsidR="00BC3D20" w:rsidRPr="0053200B" w:rsidRDefault="00BC3D20" w:rsidP="00BB2919">
      <w:pPr>
        <w:pStyle w:val="Definition"/>
        <w:rPr>
          <w:bCs/>
          <w:iCs/>
        </w:rPr>
      </w:pPr>
      <w:r>
        <w:rPr>
          <w:b/>
          <w:i/>
        </w:rPr>
        <w:t xml:space="preserve">ASMG </w:t>
      </w:r>
      <w:r>
        <w:rPr>
          <w:bCs/>
          <w:iCs/>
        </w:rPr>
        <w:t>means the Australian Spectrum Map Grid 2012, published by the ACMA on its web</w:t>
      </w:r>
      <w:r w:rsidR="0053200B">
        <w:rPr>
          <w:bCs/>
          <w:iCs/>
        </w:rPr>
        <w:t>site.</w:t>
      </w:r>
    </w:p>
    <w:p w14:paraId="2022AE81" w14:textId="509362DD" w:rsidR="0053200B" w:rsidRDefault="0053200B" w:rsidP="0053200B">
      <w:pPr>
        <w:pStyle w:val="notetext"/>
        <w:keepNext/>
      </w:pPr>
      <w:r>
        <w:t>Note:</w:t>
      </w:r>
      <w:r>
        <w:tab/>
        <w:t>The ASMG can be obtained, free of charge</w:t>
      </w:r>
      <w:r w:rsidR="00845EAC">
        <w:t xml:space="preserve">, on the ACMA’s website at </w:t>
      </w:r>
      <w:hyperlink r:id="rId20" w:history="1">
        <w:r w:rsidR="00845EAC" w:rsidRPr="00CE050E">
          <w:rPr>
            <w:rStyle w:val="Hyperlink"/>
          </w:rPr>
          <w:t>www.acma.gov.au</w:t>
        </w:r>
      </w:hyperlink>
      <w:r w:rsidR="00845EAC">
        <w:t>.</w:t>
      </w:r>
    </w:p>
    <w:p w14:paraId="0636C395" w14:textId="2684935B" w:rsidR="00CA5360" w:rsidRDefault="00CA5360" w:rsidP="00BB2919">
      <w:pPr>
        <w:pStyle w:val="Definition"/>
        <w:rPr>
          <w:bCs/>
          <w:iCs/>
        </w:rPr>
      </w:pPr>
      <w:r>
        <w:rPr>
          <w:b/>
          <w:i/>
        </w:rPr>
        <w:t xml:space="preserve">designated </w:t>
      </w:r>
      <w:r w:rsidR="003459B1">
        <w:rPr>
          <w:b/>
          <w:i/>
        </w:rPr>
        <w:t>area</w:t>
      </w:r>
      <w:r w:rsidRPr="00CA5360">
        <w:rPr>
          <w:bCs/>
          <w:iCs/>
        </w:rPr>
        <w:t xml:space="preserve">: see </w:t>
      </w:r>
      <w:r w:rsidR="00671A8A">
        <w:rPr>
          <w:bCs/>
          <w:iCs/>
        </w:rPr>
        <w:t>subclause</w:t>
      </w:r>
      <w:r w:rsidR="003459B1">
        <w:rPr>
          <w:bCs/>
          <w:iCs/>
        </w:rPr>
        <w:t>s</w:t>
      </w:r>
      <w:r w:rsidRPr="00CA5360">
        <w:rPr>
          <w:bCs/>
          <w:iCs/>
        </w:rPr>
        <w:t xml:space="preserve"> 1(1)</w:t>
      </w:r>
      <w:r w:rsidR="003459B1">
        <w:rPr>
          <w:bCs/>
          <w:iCs/>
        </w:rPr>
        <w:t xml:space="preserve"> and 1(5)</w:t>
      </w:r>
      <w:r w:rsidRPr="00CA5360">
        <w:rPr>
          <w:bCs/>
          <w:iCs/>
        </w:rPr>
        <w:t xml:space="preserve"> of Schedule 2.</w:t>
      </w:r>
    </w:p>
    <w:p w14:paraId="4F0AFC9B" w14:textId="53A29882" w:rsidR="002A6A3E" w:rsidRPr="00C65DE2" w:rsidRDefault="00DA47FE" w:rsidP="00BB2919">
      <w:pPr>
        <w:pStyle w:val="Definition"/>
        <w:rPr>
          <w:bCs/>
          <w:iCs/>
        </w:rPr>
      </w:pPr>
      <w:r>
        <w:rPr>
          <w:b/>
          <w:i/>
        </w:rPr>
        <w:t>f</w:t>
      </w:r>
      <w:r w:rsidR="002A6A3E">
        <w:rPr>
          <w:b/>
          <w:i/>
        </w:rPr>
        <w:t>ixed service</w:t>
      </w:r>
      <w:r w:rsidR="00C65DE2">
        <w:rPr>
          <w:bCs/>
          <w:iCs/>
        </w:rPr>
        <w:t xml:space="preserve"> has the meaning given by the spectrum plan.</w:t>
      </w:r>
    </w:p>
    <w:p w14:paraId="3CC0A749" w14:textId="67D0C463" w:rsidR="002B33C3" w:rsidRDefault="002B33C3" w:rsidP="00BB2919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>means the geodetic datum designated as the “Geocentric Datum of Australia</w:t>
      </w:r>
      <w:r w:rsidR="006C0FEC">
        <w:rPr>
          <w:bCs/>
          <w:iCs/>
        </w:rPr>
        <w:t xml:space="preserve"> (GDA)”, gazetted in the Commonwealth of Australia </w:t>
      </w:r>
      <w:r w:rsidR="006C0FEC">
        <w:rPr>
          <w:bCs/>
          <w:i/>
        </w:rPr>
        <w:t>Gazette</w:t>
      </w:r>
      <w:r w:rsidR="006C0FEC">
        <w:rPr>
          <w:bCs/>
          <w:iCs/>
        </w:rPr>
        <w:t xml:space="preserve"> No. GN 35, on 6</w:t>
      </w:r>
      <w:r w:rsidR="007502F5">
        <w:rPr>
          <w:bCs/>
          <w:iCs/>
        </w:rPr>
        <w:t> </w:t>
      </w:r>
      <w:r w:rsidR="006C0FEC">
        <w:rPr>
          <w:bCs/>
          <w:iCs/>
        </w:rPr>
        <w:t>September 1995, as existing on that date.</w:t>
      </w:r>
    </w:p>
    <w:p w14:paraId="42F86A85" w14:textId="21F27A38" w:rsidR="00AD5231" w:rsidRDefault="006C0FEC" w:rsidP="006C0FEC">
      <w:pPr>
        <w:pStyle w:val="notetext"/>
        <w:rPr>
          <w:bCs/>
          <w:iCs/>
        </w:rPr>
      </w:pPr>
      <w:r>
        <w:rPr>
          <w:bCs/>
          <w:iCs/>
        </w:rPr>
        <w:t>Note</w:t>
      </w:r>
      <w:r w:rsidR="00AD5231">
        <w:rPr>
          <w:bCs/>
          <w:iCs/>
        </w:rPr>
        <w:t xml:space="preserve"> 1</w:t>
      </w:r>
      <w:r>
        <w:rPr>
          <w:bCs/>
          <w:iCs/>
        </w:rPr>
        <w:t>:</w:t>
      </w:r>
      <w:r>
        <w:rPr>
          <w:bCs/>
          <w:iCs/>
        </w:rPr>
        <w:tab/>
        <w:t xml:space="preserve">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>No. GN 35</w:t>
      </w:r>
      <w:r w:rsidR="00AD5231">
        <w:rPr>
          <w:bCs/>
          <w:iCs/>
        </w:rPr>
        <w:t xml:space="preserve"> is available, free of charge, from the Federal Register of Legislation at </w:t>
      </w:r>
      <w:hyperlink r:id="rId21" w:history="1">
        <w:r w:rsidR="00AD5231" w:rsidRPr="009858BE">
          <w:rPr>
            <w:rStyle w:val="Hyperlink"/>
            <w:bCs/>
            <w:iCs/>
          </w:rPr>
          <w:t>www.legislation.gov.au</w:t>
        </w:r>
      </w:hyperlink>
      <w:r w:rsidR="00AD5231">
        <w:rPr>
          <w:bCs/>
          <w:iCs/>
        </w:rPr>
        <w:t>.</w:t>
      </w:r>
    </w:p>
    <w:p w14:paraId="5A3F8799" w14:textId="3AD94E4C" w:rsidR="006C0FEC" w:rsidRPr="006C0FEC" w:rsidRDefault="00AD5231" w:rsidP="006C0FEC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More information on GDA94 can be obtained, free of charge, from Geoscience Australia </w:t>
      </w:r>
      <w:r w:rsidR="008A16E4">
        <w:rPr>
          <w:bCs/>
          <w:iCs/>
        </w:rPr>
        <w:t xml:space="preserve">at </w:t>
      </w:r>
      <w:hyperlink r:id="rId22" w:history="1">
        <w:r w:rsidR="008A16E4" w:rsidRPr="009858BE">
          <w:rPr>
            <w:rStyle w:val="Hyperlink"/>
            <w:bCs/>
            <w:iCs/>
          </w:rPr>
          <w:t>www.ga.gov.au</w:t>
        </w:r>
      </w:hyperlink>
      <w:r w:rsidR="00BE38D6">
        <w:rPr>
          <w:bCs/>
          <w:iCs/>
        </w:rPr>
        <w:t xml:space="preserve"> a</w:t>
      </w:r>
      <w:r w:rsidR="00426523">
        <w:rPr>
          <w:bCs/>
          <w:iCs/>
        </w:rPr>
        <w:t xml:space="preserve">nd from the Intergovernmental Committee on Surveying and Mapping at </w:t>
      </w:r>
      <w:hyperlink r:id="rId23" w:history="1">
        <w:r w:rsidR="00426523" w:rsidRPr="009858BE">
          <w:rPr>
            <w:rStyle w:val="Hyperlink"/>
            <w:bCs/>
            <w:iCs/>
          </w:rPr>
          <w:t>www.icsm.gov.au</w:t>
        </w:r>
      </w:hyperlink>
      <w:r w:rsidR="00426523">
        <w:rPr>
          <w:bCs/>
          <w:iCs/>
        </w:rPr>
        <w:t xml:space="preserve">. </w:t>
      </w:r>
    </w:p>
    <w:p w14:paraId="2AFFC46D" w14:textId="77DD3DE9" w:rsidR="000001B6" w:rsidRPr="00201EA9" w:rsidRDefault="000001B6" w:rsidP="009F60F9">
      <w:pPr>
        <w:pStyle w:val="Definition"/>
        <w:rPr>
          <w:bCs/>
          <w:iCs/>
        </w:rPr>
      </w:pPr>
      <w:r>
        <w:rPr>
          <w:b/>
          <w:i/>
        </w:rPr>
        <w:t xml:space="preserve">HCIS </w:t>
      </w:r>
      <w:r>
        <w:rPr>
          <w:bCs/>
          <w:iCs/>
        </w:rPr>
        <w:t>means the cell grouping hierarchy scheme used to describe geographic areas</w:t>
      </w:r>
      <w:r w:rsidR="00201EA9">
        <w:rPr>
          <w:bCs/>
          <w:iCs/>
        </w:rPr>
        <w:t xml:space="preserve"> in the ASMG.</w:t>
      </w:r>
    </w:p>
    <w:p w14:paraId="1A0155D4" w14:textId="28E47CD8" w:rsidR="000001B6" w:rsidRDefault="00F42632" w:rsidP="009F60F9">
      <w:pPr>
        <w:pStyle w:val="Definition"/>
        <w:rPr>
          <w:bCs/>
          <w:iCs/>
        </w:rPr>
      </w:pPr>
      <w:r>
        <w:rPr>
          <w:b/>
          <w:i/>
        </w:rPr>
        <w:t xml:space="preserve">HCIS identifier </w:t>
      </w:r>
      <w:r>
        <w:rPr>
          <w:bCs/>
          <w:iCs/>
        </w:rPr>
        <w:t xml:space="preserve">means </w:t>
      </w:r>
      <w:r w:rsidR="000001B6">
        <w:rPr>
          <w:bCs/>
          <w:iCs/>
        </w:rPr>
        <w:t>an identifier used to describe a geographic area in the HCIS.</w:t>
      </w:r>
    </w:p>
    <w:p w14:paraId="0B20FFB0" w14:textId="77777777" w:rsidR="00746037" w:rsidRDefault="00746037" w:rsidP="00746037">
      <w:pPr>
        <w:pStyle w:val="Definition"/>
        <w:rPr>
          <w:bCs/>
          <w:iCs/>
        </w:rPr>
      </w:pPr>
      <w:r>
        <w:rPr>
          <w:b/>
          <w:i/>
        </w:rPr>
        <w:t xml:space="preserve">metropolitan area </w:t>
      </w:r>
      <w:r>
        <w:rPr>
          <w:bCs/>
          <w:iCs/>
        </w:rPr>
        <w:t>means an area specified in Schedule 1.</w:t>
      </w:r>
    </w:p>
    <w:p w14:paraId="3F05DE51" w14:textId="76118AA8" w:rsidR="009F60F9" w:rsidRDefault="009F60F9" w:rsidP="009F60F9">
      <w:pPr>
        <w:pStyle w:val="Definition"/>
        <w:rPr>
          <w:bCs/>
          <w:iCs/>
        </w:rPr>
      </w:pPr>
      <w:r>
        <w:rPr>
          <w:b/>
          <w:i/>
        </w:rPr>
        <w:t xml:space="preserve">mobile-satellite service </w:t>
      </w:r>
      <w:r>
        <w:rPr>
          <w:bCs/>
          <w:iCs/>
        </w:rPr>
        <w:t>has the meaning given by the spectrum plan.</w:t>
      </w:r>
    </w:p>
    <w:p w14:paraId="62B0CAEF" w14:textId="771E7875" w:rsidR="0098797C" w:rsidRDefault="0098797C" w:rsidP="009F60F9">
      <w:pPr>
        <w:pStyle w:val="Definition"/>
        <w:rPr>
          <w:bCs/>
          <w:iCs/>
        </w:rPr>
      </w:pPr>
      <w:r>
        <w:rPr>
          <w:b/>
          <w:i/>
        </w:rPr>
        <w:t>mobile-satellite service</w:t>
      </w:r>
      <w:r w:rsidR="005F5103">
        <w:rPr>
          <w:b/>
          <w:i/>
        </w:rPr>
        <w:t xml:space="preserve"> (Earth-to-space) </w:t>
      </w:r>
      <w:r w:rsidR="005F5103">
        <w:rPr>
          <w:bCs/>
          <w:iCs/>
        </w:rPr>
        <w:t>means a mobile-satellite service</w:t>
      </w:r>
      <w:r w:rsidR="00A36506">
        <w:rPr>
          <w:bCs/>
          <w:iCs/>
        </w:rPr>
        <w:t xml:space="preserve"> used to </w:t>
      </w:r>
      <w:r w:rsidR="00B963BB">
        <w:rPr>
          <w:bCs/>
          <w:iCs/>
        </w:rPr>
        <w:t xml:space="preserve">transmit radiocommunications from </w:t>
      </w:r>
      <w:r w:rsidR="004E7214">
        <w:rPr>
          <w:bCs/>
          <w:iCs/>
        </w:rPr>
        <w:t>a mobile earth station</w:t>
      </w:r>
      <w:r w:rsidR="00B963BB">
        <w:rPr>
          <w:bCs/>
          <w:iCs/>
        </w:rPr>
        <w:t xml:space="preserve"> to a </w:t>
      </w:r>
      <w:r w:rsidR="002B1B88">
        <w:rPr>
          <w:bCs/>
          <w:iCs/>
        </w:rPr>
        <w:t>space receive station</w:t>
      </w:r>
      <w:r w:rsidR="004D45AE">
        <w:rPr>
          <w:bCs/>
          <w:iCs/>
        </w:rPr>
        <w:t>.</w:t>
      </w:r>
    </w:p>
    <w:p w14:paraId="27B98FF2" w14:textId="045C683F" w:rsidR="004D45AE" w:rsidRPr="005F5103" w:rsidRDefault="004D45AE" w:rsidP="009F60F9">
      <w:pPr>
        <w:pStyle w:val="Definition"/>
        <w:rPr>
          <w:bCs/>
          <w:iCs/>
        </w:rPr>
      </w:pPr>
      <w:r>
        <w:rPr>
          <w:b/>
          <w:i/>
        </w:rPr>
        <w:t xml:space="preserve">mobile-satellite service (space-to-Earth) </w:t>
      </w:r>
      <w:r>
        <w:rPr>
          <w:bCs/>
          <w:iCs/>
        </w:rPr>
        <w:t xml:space="preserve">means a mobile-satellite service used to transmit radiocommunications from a space </w:t>
      </w:r>
      <w:r w:rsidR="00F5643B">
        <w:rPr>
          <w:bCs/>
          <w:iCs/>
        </w:rPr>
        <w:t>station</w:t>
      </w:r>
      <w:r>
        <w:rPr>
          <w:bCs/>
          <w:iCs/>
        </w:rPr>
        <w:t xml:space="preserve"> to</w:t>
      </w:r>
      <w:r w:rsidR="00BD6050">
        <w:rPr>
          <w:bCs/>
          <w:iCs/>
        </w:rPr>
        <w:t xml:space="preserve"> a</w:t>
      </w:r>
      <w:r w:rsidR="005F380B">
        <w:rPr>
          <w:bCs/>
          <w:iCs/>
        </w:rPr>
        <w:t>n earth receive station</w:t>
      </w:r>
      <w:r>
        <w:rPr>
          <w:bCs/>
          <w:iCs/>
        </w:rPr>
        <w:t>.</w:t>
      </w:r>
    </w:p>
    <w:p w14:paraId="33B6C137" w14:textId="0E46E7FA" w:rsidR="00F5643B" w:rsidRPr="00F5643B" w:rsidRDefault="00F5643B" w:rsidP="00BB2919">
      <w:pPr>
        <w:pStyle w:val="Definition"/>
        <w:rPr>
          <w:bCs/>
          <w:iCs/>
        </w:rPr>
      </w:pPr>
      <w:r>
        <w:rPr>
          <w:b/>
          <w:i/>
        </w:rPr>
        <w:t>space station</w:t>
      </w:r>
      <w:r>
        <w:rPr>
          <w:bCs/>
          <w:iCs/>
        </w:rPr>
        <w:t xml:space="preserve"> has the meaning given by the spectrum plan.</w:t>
      </w:r>
    </w:p>
    <w:p w14:paraId="246D9C90" w14:textId="1647280B" w:rsidR="002D5A96" w:rsidRDefault="004852C9" w:rsidP="003459B1">
      <w:pPr>
        <w:pStyle w:val="Definition"/>
        <w:keepNext/>
        <w:rPr>
          <w:bCs/>
          <w:iCs/>
        </w:rPr>
      </w:pPr>
      <w:r>
        <w:rPr>
          <w:b/>
          <w:i/>
        </w:rPr>
        <w:lastRenderedPageBreak/>
        <w:t>television outside broad</w:t>
      </w:r>
      <w:r w:rsidR="001B531A">
        <w:rPr>
          <w:b/>
          <w:i/>
        </w:rPr>
        <w:t>c</w:t>
      </w:r>
      <w:r>
        <w:rPr>
          <w:b/>
          <w:i/>
        </w:rPr>
        <w:t>a</w:t>
      </w:r>
      <w:r w:rsidR="001B531A">
        <w:rPr>
          <w:b/>
          <w:i/>
        </w:rPr>
        <w:t xml:space="preserve">st service </w:t>
      </w:r>
      <w:r w:rsidR="001B531A">
        <w:rPr>
          <w:bCs/>
          <w:iCs/>
        </w:rPr>
        <w:t xml:space="preserve">means radiocommunications </w:t>
      </w:r>
      <w:r w:rsidR="00240EE3">
        <w:rPr>
          <w:bCs/>
          <w:iCs/>
        </w:rPr>
        <w:t>made by the operation of</w:t>
      </w:r>
      <w:r w:rsidR="00BA7C65">
        <w:rPr>
          <w:bCs/>
          <w:iCs/>
        </w:rPr>
        <w:t xml:space="preserve"> a television outside broadcast station.</w:t>
      </w:r>
    </w:p>
    <w:p w14:paraId="48C9D38F" w14:textId="1F994F90" w:rsidR="00B17245" w:rsidRPr="0086190C" w:rsidRDefault="00B17245" w:rsidP="006974D2">
      <w:pPr>
        <w:pStyle w:val="notetext"/>
        <w:keepNext/>
      </w:pPr>
      <w:r w:rsidRPr="0086190C">
        <w:t>Note</w:t>
      </w:r>
      <w:r w:rsidR="00240EE3">
        <w:t xml:space="preserve"> 1</w:t>
      </w:r>
      <w:r w:rsidRPr="0086190C">
        <w:t>:</w:t>
      </w:r>
      <w:r w:rsidRPr="0086190C">
        <w:tab/>
        <w:t>A number of other expressions used in this instrument are defined in the Act, including the following:</w:t>
      </w:r>
    </w:p>
    <w:p w14:paraId="6D2E3CDF" w14:textId="3CE36A48" w:rsidR="00145861" w:rsidRDefault="00145861" w:rsidP="00B17245">
      <w:pPr>
        <w:pStyle w:val="notepara"/>
        <w:numPr>
          <w:ilvl w:val="0"/>
          <w:numId w:val="20"/>
        </w:numPr>
      </w:pPr>
      <w:r>
        <w:t>AAT;</w:t>
      </w:r>
    </w:p>
    <w:p w14:paraId="01C5EB6C" w14:textId="6DBFABC9" w:rsidR="00B17245" w:rsidRDefault="00B17245" w:rsidP="00B17245">
      <w:pPr>
        <w:pStyle w:val="notepara"/>
        <w:numPr>
          <w:ilvl w:val="0"/>
          <w:numId w:val="20"/>
        </w:numPr>
      </w:pPr>
      <w:r w:rsidRPr="0086190C">
        <w:t>ACMA;</w:t>
      </w:r>
    </w:p>
    <w:p w14:paraId="13DD8E67" w14:textId="77777777" w:rsidR="00B17245" w:rsidRPr="0086190C" w:rsidRDefault="00B17245" w:rsidP="00B17245">
      <w:pPr>
        <w:pStyle w:val="notepara"/>
        <w:numPr>
          <w:ilvl w:val="0"/>
          <w:numId w:val="20"/>
        </w:numPr>
      </w:pPr>
      <w:r w:rsidRPr="0086190C">
        <w:t>frequency band;</w:t>
      </w:r>
    </w:p>
    <w:p w14:paraId="5971B8A2" w14:textId="1136A922" w:rsidR="008567E3" w:rsidRPr="0086190C" w:rsidRDefault="008567E3" w:rsidP="00B17245">
      <w:pPr>
        <w:pStyle w:val="notepara"/>
        <w:numPr>
          <w:ilvl w:val="0"/>
          <w:numId w:val="20"/>
        </w:numPr>
      </w:pPr>
      <w:r>
        <w:t>operate;</w:t>
      </w:r>
    </w:p>
    <w:p w14:paraId="702CBEF6" w14:textId="2CEE1F31" w:rsidR="00F007F3" w:rsidRDefault="00F007F3" w:rsidP="00B17245">
      <w:pPr>
        <w:pStyle w:val="notepara"/>
        <w:numPr>
          <w:ilvl w:val="0"/>
          <w:numId w:val="20"/>
        </w:numPr>
      </w:pPr>
      <w:r>
        <w:t>radiocommunication;</w:t>
      </w:r>
    </w:p>
    <w:p w14:paraId="3D6C244E" w14:textId="4D8FE107" w:rsidR="00B17245" w:rsidRDefault="00B17245" w:rsidP="00B17245">
      <w:pPr>
        <w:pStyle w:val="notepara"/>
        <w:numPr>
          <w:ilvl w:val="0"/>
          <w:numId w:val="20"/>
        </w:numPr>
      </w:pPr>
      <w:r w:rsidRPr="0086190C">
        <w:t>radiocommunications device;</w:t>
      </w:r>
    </w:p>
    <w:p w14:paraId="02FBE146" w14:textId="77777777" w:rsidR="00B17245" w:rsidRPr="0086190C" w:rsidRDefault="00B17245" w:rsidP="00B17245">
      <w:pPr>
        <w:pStyle w:val="notepara"/>
        <w:numPr>
          <w:ilvl w:val="0"/>
          <w:numId w:val="20"/>
        </w:numPr>
      </w:pPr>
      <w:r w:rsidRPr="0086190C">
        <w:t>radiocommunications transmitter;</w:t>
      </w:r>
    </w:p>
    <w:p w14:paraId="7DD15EC1" w14:textId="6D3EC931" w:rsidR="008F6CFE" w:rsidRDefault="00F007F3" w:rsidP="00B17245">
      <w:pPr>
        <w:pStyle w:val="notepara"/>
        <w:numPr>
          <w:ilvl w:val="0"/>
          <w:numId w:val="20"/>
        </w:numPr>
      </w:pPr>
      <w:r>
        <w:t>spectrum plan</w:t>
      </w:r>
      <w:r w:rsidR="008F6CFE">
        <w:t>;</w:t>
      </w:r>
    </w:p>
    <w:p w14:paraId="203FDC3B" w14:textId="609DD5E9" w:rsidR="00B17245" w:rsidRPr="0086190C" w:rsidRDefault="008F6CFE" w:rsidP="00B17245">
      <w:pPr>
        <w:pStyle w:val="notepara"/>
        <w:numPr>
          <w:ilvl w:val="0"/>
          <w:numId w:val="20"/>
        </w:numPr>
      </w:pPr>
      <w:r>
        <w:t>transmitter licence</w:t>
      </w:r>
      <w:r w:rsidR="00F007F3">
        <w:t>.</w:t>
      </w:r>
    </w:p>
    <w:p w14:paraId="5EA6397C" w14:textId="6A40A753" w:rsidR="00240EE3" w:rsidRDefault="00240EE3" w:rsidP="009429EE">
      <w:pPr>
        <w:pStyle w:val="notetext"/>
        <w:keepNext/>
      </w:pPr>
      <w:r>
        <w:t>Note 2:</w:t>
      </w:r>
      <w:r>
        <w:tab/>
      </w:r>
      <w:r w:rsidR="0006629B">
        <w:t>A</w:t>
      </w:r>
      <w:r>
        <w:t xml:space="preserve"> number of other expressions used in this instrument </w:t>
      </w:r>
      <w:r w:rsidR="00B10112">
        <w:t>may be</w:t>
      </w:r>
      <w:r>
        <w:t xml:space="preserve"> defined in a determination made under section 6</w:t>
      </w:r>
      <w:r w:rsidR="00CB4B3D">
        <w:t xml:space="preserve">4 of the </w:t>
      </w:r>
      <w:r w:rsidR="00CB4B3D">
        <w:rPr>
          <w:i/>
          <w:iCs/>
        </w:rPr>
        <w:t>Australian Communications and Media Authority Act 2005</w:t>
      </w:r>
      <w:r w:rsidR="00CB4B3D">
        <w:t xml:space="preserve">. At the time this instrument was made, the following expressions were defined in </w:t>
      </w:r>
      <w:r w:rsidR="009429EE">
        <w:t>such a</w:t>
      </w:r>
      <w:r w:rsidR="00A72CDB">
        <w:t xml:space="preserve"> </w:t>
      </w:r>
      <w:r w:rsidR="00CB4B3D">
        <w:t>determination:</w:t>
      </w:r>
    </w:p>
    <w:p w14:paraId="2B9B4B95" w14:textId="0D66BCD6" w:rsidR="00CB4B3D" w:rsidRDefault="00803F86" w:rsidP="00CB4B3D">
      <w:pPr>
        <w:pStyle w:val="notepara"/>
        <w:numPr>
          <w:ilvl w:val="0"/>
          <w:numId w:val="20"/>
        </w:numPr>
      </w:pPr>
      <w:r>
        <w:t>Act;</w:t>
      </w:r>
    </w:p>
    <w:p w14:paraId="39670FF2" w14:textId="2116CFB1" w:rsidR="00136886" w:rsidRDefault="00136886" w:rsidP="00CB4B3D">
      <w:pPr>
        <w:pStyle w:val="notepara"/>
        <w:numPr>
          <w:ilvl w:val="0"/>
          <w:numId w:val="20"/>
        </w:numPr>
      </w:pPr>
      <w:r>
        <w:t>earth receive station;</w:t>
      </w:r>
    </w:p>
    <w:p w14:paraId="032A7BFE" w14:textId="5DF6839B" w:rsidR="00236234" w:rsidRDefault="00236234" w:rsidP="00CB4B3D">
      <w:pPr>
        <w:pStyle w:val="notepara"/>
        <w:numPr>
          <w:ilvl w:val="0"/>
          <w:numId w:val="20"/>
        </w:numPr>
      </w:pPr>
      <w:r>
        <w:t>fixed licence;</w:t>
      </w:r>
    </w:p>
    <w:p w14:paraId="08B9D7E3" w14:textId="01BEDF4C" w:rsidR="00241DF5" w:rsidRDefault="00241DF5" w:rsidP="00CB4B3D">
      <w:pPr>
        <w:pStyle w:val="notepara"/>
        <w:numPr>
          <w:ilvl w:val="0"/>
          <w:numId w:val="20"/>
        </w:numPr>
      </w:pPr>
      <w:r>
        <w:t>harmful interference;</w:t>
      </w:r>
    </w:p>
    <w:p w14:paraId="29F04BF0" w14:textId="0BB0625A" w:rsidR="004E4D1E" w:rsidRDefault="004E4D1E" w:rsidP="00CB4B3D">
      <w:pPr>
        <w:pStyle w:val="notepara"/>
        <w:numPr>
          <w:ilvl w:val="0"/>
          <w:numId w:val="20"/>
        </w:numPr>
      </w:pPr>
      <w:r>
        <w:t>mobile earth station;</w:t>
      </w:r>
    </w:p>
    <w:p w14:paraId="7FD17BF5" w14:textId="78DE0301" w:rsidR="00803F86" w:rsidRDefault="00BB4163" w:rsidP="00CB4B3D">
      <w:pPr>
        <w:pStyle w:val="notepara"/>
        <w:numPr>
          <w:ilvl w:val="0"/>
          <w:numId w:val="20"/>
        </w:numPr>
      </w:pPr>
      <w:r>
        <w:t>point to point station</w:t>
      </w:r>
      <w:r w:rsidR="00C71A86">
        <w:t>;</w:t>
      </w:r>
    </w:p>
    <w:p w14:paraId="7CE6B6FF" w14:textId="696D971C" w:rsidR="0010058E" w:rsidRDefault="0010058E" w:rsidP="00CB4B3D">
      <w:pPr>
        <w:pStyle w:val="notepara"/>
        <w:numPr>
          <w:ilvl w:val="0"/>
          <w:numId w:val="20"/>
        </w:numPr>
      </w:pPr>
      <w:r>
        <w:t>space licence</w:t>
      </w:r>
      <w:r w:rsidR="00DD2A46">
        <w:t>;</w:t>
      </w:r>
    </w:p>
    <w:p w14:paraId="5EA46394" w14:textId="53668CB5" w:rsidR="0010058E" w:rsidRDefault="0010058E" w:rsidP="00CB4B3D">
      <w:pPr>
        <w:pStyle w:val="notepara"/>
        <w:numPr>
          <w:ilvl w:val="0"/>
          <w:numId w:val="20"/>
        </w:numPr>
      </w:pPr>
      <w:r>
        <w:t>space receive licence</w:t>
      </w:r>
      <w:r w:rsidR="00DD2A46">
        <w:t>;</w:t>
      </w:r>
    </w:p>
    <w:p w14:paraId="78263D6A" w14:textId="1AB72E48" w:rsidR="002B1B88" w:rsidRDefault="002B1B88" w:rsidP="00CB4B3D">
      <w:pPr>
        <w:pStyle w:val="notepara"/>
        <w:numPr>
          <w:ilvl w:val="0"/>
          <w:numId w:val="20"/>
        </w:numPr>
      </w:pPr>
      <w:r>
        <w:t>space receive station</w:t>
      </w:r>
      <w:r w:rsidR="00DD2A46">
        <w:t>;</w:t>
      </w:r>
    </w:p>
    <w:p w14:paraId="5A45D6D4" w14:textId="3E9895BF" w:rsidR="00C71A86" w:rsidRPr="00CB4B3D" w:rsidRDefault="003F79C8">
      <w:pPr>
        <w:pStyle w:val="notepara"/>
        <w:numPr>
          <w:ilvl w:val="0"/>
          <w:numId w:val="20"/>
        </w:numPr>
      </w:pPr>
      <w:r>
        <w:t>t</w:t>
      </w:r>
      <w:r w:rsidR="00F007F3">
        <w:t>elevision outside broadcast station.</w:t>
      </w:r>
    </w:p>
    <w:p w14:paraId="72A3B726" w14:textId="1F931A4A" w:rsidR="00164C03" w:rsidRPr="002520D7" w:rsidRDefault="00164C03" w:rsidP="00C45C46">
      <w:pPr>
        <w:pStyle w:val="subsection"/>
        <w:keepNext/>
      </w:pPr>
      <w:r w:rsidRPr="002520D7">
        <w:tab/>
      </w:r>
      <w:r w:rsidRPr="0086190C">
        <w:t>(</w:t>
      </w:r>
      <w:r w:rsidR="00F33B93">
        <w:t>2</w:t>
      </w:r>
      <w:r w:rsidRPr="0086190C">
        <w:t>)</w:t>
      </w:r>
      <w:r w:rsidRPr="0086190C">
        <w:tab/>
        <w:t xml:space="preserve">In this </w:t>
      </w:r>
      <w:r w:rsidR="00582E45" w:rsidRPr="0086190C">
        <w:t>instrument</w:t>
      </w:r>
      <w:r w:rsidRPr="0086190C">
        <w:t xml:space="preserve">, unless otherwise specified, </w:t>
      </w:r>
      <w:r w:rsidR="007E499A">
        <w:t>a reference to a frequency band includes all frequencies that are greater than but not including the lower frequency, up to and including the higher frequency</w:t>
      </w:r>
      <w:r w:rsidR="00D83D86" w:rsidRPr="0086190C">
        <w:t>.</w:t>
      </w:r>
    </w:p>
    <w:p w14:paraId="4AED9296" w14:textId="560052EA" w:rsidR="00CC5413" w:rsidRPr="00C45C46" w:rsidRDefault="007E499A" w:rsidP="00C45C46">
      <w:pPr>
        <w:pStyle w:val="notetext"/>
      </w:pPr>
      <w:r w:rsidRPr="00C45C46">
        <w:t>Note:</w:t>
      </w:r>
      <w:r w:rsidR="00013EE2" w:rsidRPr="00C45C46">
        <w:tab/>
      </w:r>
      <w:r w:rsidR="00101D52" w:rsidRPr="00C45C46">
        <w:t xml:space="preserve">This </w:t>
      </w:r>
      <w:r w:rsidR="008A7C92" w:rsidRPr="00C45C46">
        <w:t>s</w:t>
      </w:r>
      <w:r w:rsidRPr="00C45C46">
        <w:t>ubsection means the lower number in the reference to a frequency band is not included in the frequency band.</w:t>
      </w:r>
    </w:p>
    <w:p w14:paraId="6A1512EE" w14:textId="44AE1CD8" w:rsidR="003509BF" w:rsidRDefault="003509BF" w:rsidP="0013696F">
      <w:pPr>
        <w:pStyle w:val="subsection"/>
        <w:keepNext/>
      </w:pPr>
      <w:bookmarkStart w:id="12" w:name="_Toc65596033"/>
      <w:r w:rsidRPr="0013696F">
        <w:tab/>
        <w:t>(</w:t>
      </w:r>
      <w:r w:rsidR="00F33B93">
        <w:t>3</w:t>
      </w:r>
      <w:r w:rsidRPr="0013696F">
        <w:t>)</w:t>
      </w:r>
      <w:r w:rsidRPr="0013696F">
        <w:tab/>
      </w:r>
      <w:r w:rsidR="001273B1" w:rsidRPr="0013696F">
        <w:t>In this instrument, geographic coordinates describing a point</w:t>
      </w:r>
      <w:r w:rsidR="008A16E4">
        <w:t xml:space="preserve"> </w:t>
      </w:r>
      <w:r w:rsidR="00B115F2">
        <w:t>do so with reference to GDA94.</w:t>
      </w:r>
    </w:p>
    <w:p w14:paraId="13C406F7" w14:textId="3AFE276C" w:rsidR="00086BF0" w:rsidRPr="0086190C" w:rsidRDefault="007D008D" w:rsidP="008B1ACA">
      <w:pPr>
        <w:pStyle w:val="Heading1"/>
      </w:pPr>
      <w:r>
        <w:rPr>
          <w:rStyle w:val="CharSectno"/>
        </w:rPr>
        <w:t>5</w:t>
      </w:r>
      <w:r w:rsidR="00086BF0" w:rsidRPr="0086190C">
        <w:t xml:space="preserve">  References to other instruments</w:t>
      </w:r>
      <w:bookmarkEnd w:id="12"/>
    </w:p>
    <w:p w14:paraId="624BF9E2" w14:textId="77777777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In this instrument, unless the contrary intention appears:</w:t>
      </w:r>
    </w:p>
    <w:p w14:paraId="17BE503C" w14:textId="262B0833" w:rsidR="00086BF0" w:rsidRPr="0086190C" w:rsidRDefault="00086BF0" w:rsidP="00FB7E41">
      <w:pPr>
        <w:pStyle w:val="paragraph"/>
        <w:tabs>
          <w:tab w:val="clear" w:pos="1531"/>
        </w:tabs>
        <w:ind w:left="1560" w:hanging="426"/>
      </w:pPr>
      <w:r w:rsidRPr="0086190C">
        <w:t>(a)</w:t>
      </w:r>
      <w:r w:rsidRPr="0086190C">
        <w:tab/>
        <w:t>a reference to any other legislative instrument is a reference to that other legislative instrument as in force from time to time; and</w:t>
      </w:r>
    </w:p>
    <w:p w14:paraId="7B18CE4F" w14:textId="1736780A" w:rsidR="00086BF0" w:rsidRPr="0086190C" w:rsidRDefault="00086BF0" w:rsidP="00FB7E41">
      <w:pPr>
        <w:pStyle w:val="paragraph"/>
        <w:tabs>
          <w:tab w:val="clear" w:pos="1531"/>
        </w:tabs>
        <w:ind w:left="1560" w:hanging="426"/>
      </w:pPr>
      <w:r w:rsidRPr="0086190C">
        <w:t>(b)</w:t>
      </w:r>
      <w:r w:rsidRPr="0086190C">
        <w:tab/>
        <w:t xml:space="preserve">a reference to any other kind of instrument </w:t>
      </w:r>
      <w:r w:rsidR="008446DA" w:rsidRPr="0086190C">
        <w:t xml:space="preserve">or writing </w:t>
      </w:r>
      <w:r w:rsidRPr="0086190C">
        <w:t xml:space="preserve">is a reference to that other instrument </w:t>
      </w:r>
      <w:r w:rsidR="00D20185" w:rsidRPr="0086190C">
        <w:t xml:space="preserve">or writing </w:t>
      </w:r>
      <w:r w:rsidRPr="0086190C">
        <w:t xml:space="preserve">as in force </w:t>
      </w:r>
      <w:r w:rsidR="00D20185" w:rsidRPr="0086190C">
        <w:t xml:space="preserve">or existing </w:t>
      </w:r>
      <w:r w:rsidRPr="0086190C">
        <w:t>from time to time.</w:t>
      </w:r>
    </w:p>
    <w:p w14:paraId="01AF959A" w14:textId="77777777" w:rsidR="00086BF0" w:rsidRPr="0086190C" w:rsidRDefault="00086BF0" w:rsidP="00086BF0">
      <w:pPr>
        <w:pStyle w:val="notetext"/>
      </w:pPr>
      <w:r w:rsidRPr="0086190C">
        <w:t>Note 1:</w:t>
      </w:r>
      <w:r w:rsidRPr="0086190C">
        <w:tab/>
        <w:t xml:space="preserve">For references to Commonwealth Acts, see section 10 of the </w:t>
      </w:r>
      <w:r w:rsidRPr="0086190C">
        <w:rPr>
          <w:i/>
        </w:rPr>
        <w:t>Acts Interpretation Act 1901</w:t>
      </w:r>
      <w:r w:rsidRPr="0086190C">
        <w:t xml:space="preserve">; and see also subsection 13(1) of the </w:t>
      </w:r>
      <w:r w:rsidRPr="0086190C">
        <w:rPr>
          <w:i/>
        </w:rPr>
        <w:t>Legislation Act 2003</w:t>
      </w:r>
      <w:r w:rsidRPr="0086190C">
        <w:t xml:space="preserve"> for the application of the </w:t>
      </w:r>
      <w:r w:rsidRPr="0086190C">
        <w:rPr>
          <w:i/>
        </w:rPr>
        <w:t>Acts Interpretation Act 1901</w:t>
      </w:r>
      <w:r w:rsidRPr="0086190C">
        <w:t xml:space="preserve"> to legislative instruments.</w:t>
      </w:r>
    </w:p>
    <w:p w14:paraId="480AF3CF" w14:textId="3716BC7C" w:rsidR="00086BF0" w:rsidRPr="0086190C" w:rsidRDefault="00086BF0" w:rsidP="00086BF0">
      <w:pPr>
        <w:pStyle w:val="notetext"/>
      </w:pPr>
      <w:r w:rsidRPr="0086190C">
        <w:t>Note 2:</w:t>
      </w:r>
      <w:r w:rsidRPr="0086190C">
        <w:tab/>
        <w:t xml:space="preserve">All Commonwealth Acts and legislative instruments are registered on the Federal Register of Legislation. </w:t>
      </w:r>
    </w:p>
    <w:p w14:paraId="66305F77" w14:textId="682DEA64" w:rsidR="00086BF0" w:rsidRPr="0086190C" w:rsidRDefault="00673E82" w:rsidP="00D20185">
      <w:pPr>
        <w:pStyle w:val="notetext"/>
      </w:pPr>
      <w:r w:rsidRPr="0086190C">
        <w:t>Note 3:</w:t>
      </w:r>
      <w:r w:rsidRPr="0086190C">
        <w:tab/>
        <w:t>See section 314A of the Act.</w:t>
      </w:r>
      <w:bookmarkEnd w:id="4"/>
    </w:p>
    <w:p w14:paraId="33A86765" w14:textId="77777777" w:rsidR="00DC1AE9" w:rsidRPr="0086190C" w:rsidRDefault="00DC1AE9" w:rsidP="00DC1AE9">
      <w:pPr>
        <w:pStyle w:val="Heading1"/>
      </w:pPr>
      <w:bookmarkStart w:id="13" w:name="_Toc65596035"/>
      <w:r>
        <w:rPr>
          <w:rStyle w:val="CharSectno"/>
        </w:rPr>
        <w:t>6</w:t>
      </w:r>
      <w:r w:rsidRPr="0086190C">
        <w:t xml:space="preserve">  </w:t>
      </w:r>
      <w:r>
        <w:t>Purpose of 1980–2010 MHz and 2170–2200 MHz frequency bands</w:t>
      </w:r>
    </w:p>
    <w:p w14:paraId="5E936C66" w14:textId="12796D3C" w:rsidR="00DC1AE9" w:rsidRDefault="00DC1AE9" w:rsidP="00DC1AE9">
      <w:pPr>
        <w:pStyle w:val="subsection"/>
        <w:keepNext/>
      </w:pPr>
      <w:r w:rsidRPr="0086190C">
        <w:tab/>
      </w:r>
      <w:r>
        <w:t>(1)</w:t>
      </w:r>
      <w:r w:rsidRPr="0086190C">
        <w:tab/>
      </w:r>
      <w:r>
        <w:t>The 1980 MHz to 2010 MHz frequency band may be used for the following purposes:</w:t>
      </w:r>
    </w:p>
    <w:p w14:paraId="58B275AC" w14:textId="77777777" w:rsidR="00DC1AE9" w:rsidRDefault="00DC1AE9" w:rsidP="00DC1AE9">
      <w:pPr>
        <w:pStyle w:val="paragraph"/>
        <w:tabs>
          <w:tab w:val="clear" w:pos="1531"/>
        </w:tabs>
        <w:ind w:hanging="510"/>
      </w:pPr>
      <w:r>
        <w:t>(a)</w:t>
      </w:r>
      <w:r>
        <w:tab/>
        <w:t>a mobile-satellite service (Earth-to-space);</w:t>
      </w:r>
    </w:p>
    <w:p w14:paraId="5159218C" w14:textId="77777777" w:rsidR="00DC1AE9" w:rsidRDefault="00DC1AE9" w:rsidP="00DC1AE9">
      <w:pPr>
        <w:pStyle w:val="paragraph"/>
        <w:tabs>
          <w:tab w:val="clear" w:pos="1531"/>
        </w:tabs>
        <w:ind w:hanging="510"/>
      </w:pPr>
      <w:r>
        <w:t>(b)</w:t>
      </w:r>
      <w:r>
        <w:tab/>
        <w:t>subject to section 7 – a television outside broadcasting service;</w:t>
      </w:r>
    </w:p>
    <w:p w14:paraId="492A3BB7" w14:textId="1647B48B" w:rsidR="00DC1AE9" w:rsidRDefault="00DC1AE9" w:rsidP="00DC1AE9">
      <w:pPr>
        <w:pStyle w:val="paragraph"/>
        <w:tabs>
          <w:tab w:val="clear" w:pos="1531"/>
        </w:tabs>
        <w:ind w:hanging="510"/>
      </w:pPr>
      <w:r>
        <w:lastRenderedPageBreak/>
        <w:t>(c)</w:t>
      </w:r>
      <w:r>
        <w:tab/>
        <w:t>subject to section 8 – the operation of a point to point station for a fixed service</w:t>
      </w:r>
      <w:r w:rsidR="00551714">
        <w:t>.</w:t>
      </w:r>
    </w:p>
    <w:p w14:paraId="33F58BB7" w14:textId="4E5B1ECC" w:rsidR="00DC1AE9" w:rsidRDefault="00DC1AE9" w:rsidP="00DC1AE9">
      <w:pPr>
        <w:pStyle w:val="subsection"/>
      </w:pPr>
      <w:r w:rsidRPr="0086190C">
        <w:tab/>
      </w:r>
      <w:r>
        <w:t>(2)</w:t>
      </w:r>
      <w:r w:rsidRPr="0086190C">
        <w:tab/>
      </w:r>
      <w:r>
        <w:t>The 2170 MHz to 2200 MHz frequency band may be used for the following purposes:</w:t>
      </w:r>
    </w:p>
    <w:p w14:paraId="6DFDB98E" w14:textId="77777777" w:rsidR="00DC1AE9" w:rsidRDefault="00DC1AE9" w:rsidP="00DC1AE9">
      <w:pPr>
        <w:pStyle w:val="paragraph"/>
        <w:tabs>
          <w:tab w:val="clear" w:pos="1531"/>
        </w:tabs>
        <w:ind w:hanging="510"/>
      </w:pPr>
      <w:r>
        <w:t>(a)</w:t>
      </w:r>
      <w:r>
        <w:tab/>
        <w:t>a mobile-satellite service (space-to-Earth);</w:t>
      </w:r>
    </w:p>
    <w:p w14:paraId="39C460C4" w14:textId="77777777" w:rsidR="00DC1AE9" w:rsidRDefault="00DC1AE9" w:rsidP="00DC1AE9">
      <w:pPr>
        <w:pStyle w:val="paragraph"/>
        <w:tabs>
          <w:tab w:val="clear" w:pos="1531"/>
        </w:tabs>
        <w:ind w:hanging="510"/>
      </w:pPr>
      <w:r>
        <w:t>(b)</w:t>
      </w:r>
      <w:r>
        <w:tab/>
        <w:t>subject to section 7 – a television outside broadcast service;</w:t>
      </w:r>
    </w:p>
    <w:p w14:paraId="3DC1137F" w14:textId="78E36153" w:rsidR="00DC1AE9" w:rsidRDefault="00DC1AE9" w:rsidP="00DC1AE9">
      <w:pPr>
        <w:pStyle w:val="paragraph"/>
        <w:tabs>
          <w:tab w:val="clear" w:pos="1531"/>
        </w:tabs>
        <w:ind w:hanging="510"/>
      </w:pPr>
      <w:r>
        <w:t>(c)</w:t>
      </w:r>
      <w:r>
        <w:tab/>
        <w:t>subject to section 8 – the operation of a point to point station for a fixed service</w:t>
      </w:r>
      <w:r w:rsidR="001662E6">
        <w:t>.</w:t>
      </w:r>
    </w:p>
    <w:p w14:paraId="051F8A19" w14:textId="0E5E3738" w:rsidR="00450C23" w:rsidRPr="0086190C" w:rsidRDefault="00D069E8" w:rsidP="00450C23">
      <w:pPr>
        <w:pStyle w:val="Heading1"/>
      </w:pPr>
      <w:r>
        <w:rPr>
          <w:rStyle w:val="CharSectno"/>
        </w:rPr>
        <w:t>7</w:t>
      </w:r>
      <w:r w:rsidR="00450C23" w:rsidRPr="0086190C">
        <w:t xml:space="preserve">  </w:t>
      </w:r>
      <w:r w:rsidR="00450C23">
        <w:t>Television outside broadcast service</w:t>
      </w:r>
      <w:r w:rsidR="00B91B65">
        <w:t>s</w:t>
      </w:r>
    </w:p>
    <w:p w14:paraId="4880923F" w14:textId="79E08584" w:rsidR="006475C3" w:rsidRDefault="006475C3" w:rsidP="004B0211">
      <w:pPr>
        <w:pStyle w:val="subsection"/>
      </w:pPr>
      <w:r>
        <w:tab/>
        <w:t>(1)</w:t>
      </w:r>
      <w:r>
        <w:tab/>
        <w:t xml:space="preserve">A frequency band specified in section 6 </w:t>
      </w:r>
      <w:r w:rsidR="00586593">
        <w:t>may</w:t>
      </w:r>
      <w:r>
        <w:t xml:space="preserve"> be used for the purpose</w:t>
      </w:r>
      <w:r w:rsidR="0083460B">
        <w:t>s</w:t>
      </w:r>
      <w:r>
        <w:t xml:space="preserve"> of television outside broadcast services </w:t>
      </w:r>
      <w:r w:rsidR="00586593">
        <w:t xml:space="preserve">only </w:t>
      </w:r>
      <w:r w:rsidR="00C33F03">
        <w:t>as specified in this section.</w:t>
      </w:r>
    </w:p>
    <w:p w14:paraId="68706FBC" w14:textId="4F002714" w:rsidR="00614A19" w:rsidRDefault="00450C23" w:rsidP="004B0211">
      <w:pPr>
        <w:pStyle w:val="subsection"/>
      </w:pPr>
      <w:r w:rsidRPr="0086190C">
        <w:tab/>
      </w:r>
      <w:r w:rsidR="006475C3">
        <w:t>(</w:t>
      </w:r>
      <w:r w:rsidR="00C33F03">
        <w:t>2</w:t>
      </w:r>
      <w:r w:rsidR="006475C3">
        <w:t>)</w:t>
      </w:r>
      <w:r w:rsidRPr="0086190C">
        <w:tab/>
      </w:r>
      <w:r w:rsidR="00C33F03">
        <w:t>A frequency band specified in section 6 may be used for the purposes of television outside broadcast services</w:t>
      </w:r>
      <w:r w:rsidR="00614A19">
        <w:t>:</w:t>
      </w:r>
    </w:p>
    <w:p w14:paraId="66931540" w14:textId="3C79C533" w:rsidR="00614A19" w:rsidRDefault="00614A19" w:rsidP="00614A19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21536C">
        <w:t xml:space="preserve">in </w:t>
      </w:r>
      <w:r w:rsidR="000146DD">
        <w:t>a</w:t>
      </w:r>
      <w:r w:rsidR="003406A6">
        <w:t xml:space="preserve"> </w:t>
      </w:r>
      <w:r w:rsidR="00F7659D">
        <w:t>metropolitan</w:t>
      </w:r>
      <w:r w:rsidR="00F0609A">
        <w:t xml:space="preserve"> area</w:t>
      </w:r>
      <w:r>
        <w:t xml:space="preserve"> – </w:t>
      </w:r>
      <w:r w:rsidR="00C02EE7">
        <w:t xml:space="preserve">before </w:t>
      </w:r>
      <w:r>
        <w:t>1 March 2026;</w:t>
      </w:r>
      <w:r w:rsidR="00A4214E">
        <w:t xml:space="preserve"> or</w:t>
      </w:r>
    </w:p>
    <w:p w14:paraId="7C48F3A3" w14:textId="79F8CDA5" w:rsidR="00DC14F8" w:rsidRDefault="00614A19" w:rsidP="00614A19">
      <w:pPr>
        <w:pStyle w:val="paragraph"/>
        <w:tabs>
          <w:tab w:val="clear" w:pos="1531"/>
        </w:tabs>
        <w:ind w:hanging="510"/>
      </w:pPr>
      <w:r>
        <w:t>(b)</w:t>
      </w:r>
      <w:r>
        <w:tab/>
        <w:t xml:space="preserve">in </w:t>
      </w:r>
      <w:r w:rsidR="00403978">
        <w:t xml:space="preserve">place that is not in </w:t>
      </w:r>
      <w:r>
        <w:t xml:space="preserve">a </w:t>
      </w:r>
      <w:r w:rsidR="00F7659D">
        <w:t xml:space="preserve">metropolitan </w:t>
      </w:r>
      <w:r>
        <w:t xml:space="preserve">area – </w:t>
      </w:r>
      <w:r w:rsidR="00C02EE7">
        <w:t xml:space="preserve">before </w:t>
      </w:r>
      <w:r>
        <w:t>1 March 2024</w:t>
      </w:r>
      <w:r w:rsidR="00C33F03">
        <w:t>.</w:t>
      </w:r>
    </w:p>
    <w:p w14:paraId="0C166317" w14:textId="4902BAC3" w:rsidR="00C33F03" w:rsidRDefault="00C33F03" w:rsidP="004B0211">
      <w:pPr>
        <w:pStyle w:val="subsection"/>
      </w:pPr>
      <w:r>
        <w:tab/>
        <w:t>(3)</w:t>
      </w:r>
      <w:r>
        <w:tab/>
        <w:t xml:space="preserve">A frequency band specified in section 6 may be used for the purposes of television outside broadcast services </w:t>
      </w:r>
      <w:r w:rsidR="00802B1F">
        <w:t>if:</w:t>
      </w:r>
    </w:p>
    <w:p w14:paraId="71035547" w14:textId="77777777" w:rsidR="00285E60" w:rsidRDefault="00285E60" w:rsidP="00285E60">
      <w:pPr>
        <w:pStyle w:val="paragraph"/>
        <w:tabs>
          <w:tab w:val="clear" w:pos="1531"/>
        </w:tabs>
        <w:ind w:hanging="510"/>
      </w:pPr>
      <w:r>
        <w:t>(a)</w:t>
      </w:r>
      <w:r>
        <w:tab/>
        <w:t>either:</w:t>
      </w:r>
    </w:p>
    <w:p w14:paraId="27EB73D7" w14:textId="58D5886D" w:rsidR="00285E60" w:rsidRDefault="00285E60" w:rsidP="00285E60">
      <w:pPr>
        <w:pStyle w:val="paragraphsub"/>
        <w:tabs>
          <w:tab w:val="clear" w:pos="1985"/>
        </w:tabs>
        <w:ind w:left="2041" w:hanging="397"/>
      </w:pPr>
      <w:r>
        <w:t>(i)</w:t>
      </w:r>
      <w:r>
        <w:tab/>
        <w:t xml:space="preserve">the use occurs on or after 1 March 2026, in </w:t>
      </w:r>
      <w:r w:rsidR="003406A6">
        <w:t>a metropolitan</w:t>
      </w:r>
      <w:r>
        <w:t xml:space="preserve"> area; or</w:t>
      </w:r>
    </w:p>
    <w:p w14:paraId="0EC7BA14" w14:textId="451682E5" w:rsidR="00285E60" w:rsidRDefault="00285E60" w:rsidP="00285E60">
      <w:pPr>
        <w:pStyle w:val="paragraphsub"/>
        <w:tabs>
          <w:tab w:val="clear" w:pos="1985"/>
        </w:tabs>
        <w:ind w:left="2041" w:hanging="397"/>
      </w:pPr>
      <w:r>
        <w:t>(ii)</w:t>
      </w:r>
      <w:r>
        <w:tab/>
        <w:t>the use occurs on or after 1 March 2024, in</w:t>
      </w:r>
      <w:r w:rsidR="00247DB3">
        <w:t xml:space="preserve"> a</w:t>
      </w:r>
      <w:r>
        <w:t xml:space="preserve"> place that is not in a </w:t>
      </w:r>
      <w:r w:rsidR="003406A6">
        <w:t>metropolitan</w:t>
      </w:r>
      <w:r>
        <w:t xml:space="preserve"> area; and</w:t>
      </w:r>
    </w:p>
    <w:p w14:paraId="59D97126" w14:textId="09D10EBD" w:rsidR="00F75CF8" w:rsidRDefault="00F75CF8" w:rsidP="00F246FD">
      <w:pPr>
        <w:pStyle w:val="paragraph"/>
        <w:tabs>
          <w:tab w:val="clear" w:pos="1531"/>
        </w:tabs>
        <w:ind w:hanging="510"/>
      </w:pPr>
      <w:r>
        <w:t>(</w:t>
      </w:r>
      <w:r w:rsidR="00553C86">
        <w:t>b</w:t>
      </w:r>
      <w:r>
        <w:t>)</w:t>
      </w:r>
      <w:r>
        <w:tab/>
      </w:r>
      <w:r w:rsidR="005B56C6">
        <w:t>the person who uses the</w:t>
      </w:r>
      <w:r w:rsidR="006901D9">
        <w:t xml:space="preserve"> frequency band </w:t>
      </w:r>
      <w:r w:rsidR="005B56C6">
        <w:t xml:space="preserve">does so by operation of a radiocommunications transmitter authorised by a </w:t>
      </w:r>
      <w:r w:rsidR="0013290C">
        <w:t>transmitter</w:t>
      </w:r>
      <w:r w:rsidR="004C75C2">
        <w:t xml:space="preserve"> </w:t>
      </w:r>
      <w:r w:rsidR="005B56C6">
        <w:t>licence; and</w:t>
      </w:r>
    </w:p>
    <w:p w14:paraId="1521F47E" w14:textId="06302DA3" w:rsidR="005B56C6" w:rsidRDefault="005B56C6" w:rsidP="00F246FD">
      <w:pPr>
        <w:pStyle w:val="paragraph"/>
        <w:tabs>
          <w:tab w:val="clear" w:pos="1531"/>
        </w:tabs>
        <w:ind w:hanging="510"/>
      </w:pPr>
      <w:r>
        <w:t>(</w:t>
      </w:r>
      <w:r w:rsidR="00553C86">
        <w:t>c</w:t>
      </w:r>
      <w:r>
        <w:t>)</w:t>
      </w:r>
      <w:r>
        <w:tab/>
        <w:t xml:space="preserve">before the </w:t>
      </w:r>
      <w:r w:rsidR="0013290C">
        <w:t>transmitter</w:t>
      </w:r>
      <w:r w:rsidR="004C75C2">
        <w:t xml:space="preserve"> </w:t>
      </w:r>
      <w:r>
        <w:t xml:space="preserve">licence was issued, the ACMA was satisfied that </w:t>
      </w:r>
      <w:r w:rsidR="00626A64">
        <w:t xml:space="preserve">the operation of the radiocommunications transmitter in accordance with the licence would not cause </w:t>
      </w:r>
      <w:r w:rsidR="00D7406F">
        <w:t xml:space="preserve">harmful </w:t>
      </w:r>
      <w:r w:rsidR="00626A64">
        <w:t xml:space="preserve">interference to </w:t>
      </w:r>
      <w:r w:rsidR="00535130">
        <w:t>a mobile-satellite service.</w:t>
      </w:r>
    </w:p>
    <w:p w14:paraId="6A2585F0" w14:textId="325075E9" w:rsidR="00535130" w:rsidRDefault="00535130" w:rsidP="00535130">
      <w:pPr>
        <w:pStyle w:val="notetext"/>
      </w:pPr>
      <w:r>
        <w:t>Note:</w:t>
      </w:r>
      <w:r>
        <w:tab/>
        <w:t xml:space="preserve">See </w:t>
      </w:r>
      <w:r w:rsidR="00F540E4">
        <w:t>subsection 32(5A)</w:t>
      </w:r>
      <w:r w:rsidR="00541DB6">
        <w:t>,</w:t>
      </w:r>
      <w:r w:rsidR="00F540E4">
        <w:t xml:space="preserve"> </w:t>
      </w:r>
      <w:r w:rsidR="002324EC">
        <w:t xml:space="preserve">and </w:t>
      </w:r>
      <w:r w:rsidR="0013290C">
        <w:t>section</w:t>
      </w:r>
      <w:r w:rsidR="002324EC">
        <w:t>s</w:t>
      </w:r>
      <w:r w:rsidR="0013290C">
        <w:t xml:space="preserve"> 97</w:t>
      </w:r>
      <w:r w:rsidR="00D4677C">
        <w:t xml:space="preserve"> and</w:t>
      </w:r>
      <w:r w:rsidR="0013290C">
        <w:t xml:space="preserve"> </w:t>
      </w:r>
      <w:r w:rsidR="006E0D89">
        <w:t>100</w:t>
      </w:r>
      <w:r w:rsidR="00F540E4">
        <w:t xml:space="preserve"> of the Act.</w:t>
      </w:r>
    </w:p>
    <w:p w14:paraId="13AE4A15" w14:textId="15320779" w:rsidR="007F7B21" w:rsidRDefault="007F7B21" w:rsidP="007F7B21">
      <w:pPr>
        <w:pStyle w:val="subsection"/>
      </w:pPr>
      <w:r>
        <w:tab/>
        <w:t>(</w:t>
      </w:r>
      <w:r w:rsidR="00BD2C26">
        <w:t>4</w:t>
      </w:r>
      <w:r>
        <w:t>)</w:t>
      </w:r>
      <w:r>
        <w:tab/>
        <w:t>A frequency band specified in section 6 may be used for the purposes of television outside broadcast services if:</w:t>
      </w:r>
    </w:p>
    <w:p w14:paraId="205CC778" w14:textId="77777777" w:rsidR="007F7B21" w:rsidRDefault="007F7B21" w:rsidP="007F7B21">
      <w:pPr>
        <w:pStyle w:val="paragraph"/>
        <w:tabs>
          <w:tab w:val="clear" w:pos="1531"/>
        </w:tabs>
        <w:ind w:hanging="510"/>
      </w:pPr>
      <w:r>
        <w:t>(a)</w:t>
      </w:r>
      <w:r>
        <w:tab/>
        <w:t>the use occurs in the period commencing on 1 March 2024 and ending on 28 February 2026; and</w:t>
      </w:r>
    </w:p>
    <w:p w14:paraId="225D1725" w14:textId="4E18F7FD" w:rsidR="007F7B21" w:rsidRDefault="007F7B21" w:rsidP="007F7B21">
      <w:pPr>
        <w:pStyle w:val="paragraph"/>
        <w:tabs>
          <w:tab w:val="clear" w:pos="1531"/>
        </w:tabs>
        <w:ind w:hanging="510"/>
      </w:pPr>
      <w:r>
        <w:t>(b)</w:t>
      </w:r>
      <w:r>
        <w:tab/>
        <w:t xml:space="preserve">the use occurs in a </w:t>
      </w:r>
      <w:r w:rsidR="00552CB6">
        <w:t xml:space="preserve">place that is not in a </w:t>
      </w:r>
      <w:r w:rsidR="00553C86">
        <w:t>metropolitan</w:t>
      </w:r>
      <w:r w:rsidR="00552CB6">
        <w:t xml:space="preserve"> </w:t>
      </w:r>
      <w:r>
        <w:t>area; and</w:t>
      </w:r>
    </w:p>
    <w:p w14:paraId="684DA408" w14:textId="7BA13066" w:rsidR="007F7B21" w:rsidRDefault="007F7B21" w:rsidP="007F7B21">
      <w:pPr>
        <w:pStyle w:val="paragraph"/>
        <w:tabs>
          <w:tab w:val="clear" w:pos="1531"/>
        </w:tabs>
        <w:ind w:hanging="510"/>
      </w:pPr>
      <w:r>
        <w:t>(c)</w:t>
      </w:r>
      <w:r>
        <w:tab/>
        <w:t xml:space="preserve">the use occurs only </w:t>
      </w:r>
      <w:r w:rsidR="008B2856">
        <w:t xml:space="preserve">in </w:t>
      </w:r>
      <w:r>
        <w:t xml:space="preserve">a designated </w:t>
      </w:r>
      <w:r w:rsidR="008B2856">
        <w:t>area</w:t>
      </w:r>
      <w:r>
        <w:t>.</w:t>
      </w:r>
    </w:p>
    <w:p w14:paraId="059AAC96" w14:textId="06D86C1C" w:rsidR="007F7B21" w:rsidRDefault="007F7B21" w:rsidP="007F7B21">
      <w:pPr>
        <w:pStyle w:val="notetext"/>
      </w:pPr>
      <w:r>
        <w:t>Note:</w:t>
      </w:r>
      <w:r>
        <w:tab/>
        <w:t xml:space="preserve">For designated </w:t>
      </w:r>
      <w:r w:rsidR="00B10186">
        <w:t>areas</w:t>
      </w:r>
      <w:r>
        <w:t>, see Schedule 2.</w:t>
      </w:r>
    </w:p>
    <w:p w14:paraId="521FEEB1" w14:textId="50502533" w:rsidR="00F540E4" w:rsidRDefault="00F540E4" w:rsidP="00F540E4">
      <w:pPr>
        <w:pStyle w:val="subsection"/>
      </w:pPr>
      <w:r>
        <w:tab/>
        <w:t>(</w:t>
      </w:r>
      <w:r w:rsidR="00C12D75">
        <w:t>5</w:t>
      </w:r>
      <w:r>
        <w:t>)</w:t>
      </w:r>
      <w:r>
        <w:tab/>
        <w:t>A frequency band specified in section 6 may be used for the purposes of television outside broadcast services if:</w:t>
      </w:r>
    </w:p>
    <w:p w14:paraId="2AE13344" w14:textId="77777777" w:rsidR="00687D04" w:rsidRDefault="00F540E4" w:rsidP="00F540E4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687D04">
        <w:t>either:</w:t>
      </w:r>
    </w:p>
    <w:p w14:paraId="2E14E444" w14:textId="18CCD854" w:rsidR="00F540E4" w:rsidRDefault="00687D04" w:rsidP="00687D04">
      <w:pPr>
        <w:pStyle w:val="paragraphsub"/>
        <w:tabs>
          <w:tab w:val="clear" w:pos="1985"/>
        </w:tabs>
        <w:ind w:left="2041" w:hanging="397"/>
      </w:pPr>
      <w:r>
        <w:t>(i)</w:t>
      </w:r>
      <w:r>
        <w:tab/>
      </w:r>
      <w:r w:rsidR="00F540E4">
        <w:t>the use</w:t>
      </w:r>
      <w:r w:rsidR="00ED1E59">
        <w:t xml:space="preserve"> occurs</w:t>
      </w:r>
      <w:r w:rsidR="00F540E4">
        <w:t xml:space="preserve"> </w:t>
      </w:r>
      <w:r w:rsidR="003D4535">
        <w:t xml:space="preserve">on or after 1 March 2026, </w:t>
      </w:r>
      <w:r>
        <w:t xml:space="preserve">in </w:t>
      </w:r>
      <w:r w:rsidR="00553C86">
        <w:t>a metropolitan</w:t>
      </w:r>
      <w:r>
        <w:t xml:space="preserve"> area</w:t>
      </w:r>
      <w:r w:rsidR="00F540E4">
        <w:t xml:space="preserve">; </w:t>
      </w:r>
      <w:r>
        <w:t>or</w:t>
      </w:r>
    </w:p>
    <w:p w14:paraId="17328469" w14:textId="3BF39ED3" w:rsidR="00687D04" w:rsidRDefault="00687D04" w:rsidP="00687D04">
      <w:pPr>
        <w:pStyle w:val="paragraphsub"/>
        <w:tabs>
          <w:tab w:val="clear" w:pos="1985"/>
        </w:tabs>
        <w:ind w:left="2041" w:hanging="397"/>
      </w:pPr>
      <w:r>
        <w:t>(ii)</w:t>
      </w:r>
      <w:r>
        <w:tab/>
        <w:t xml:space="preserve">the use occurs </w:t>
      </w:r>
      <w:r w:rsidR="003D4535">
        <w:t xml:space="preserve">on or after 1 March 2024, </w:t>
      </w:r>
      <w:r>
        <w:t xml:space="preserve">in </w:t>
      </w:r>
      <w:r w:rsidR="00247DB3">
        <w:t xml:space="preserve">a </w:t>
      </w:r>
      <w:r w:rsidR="00552CB6">
        <w:t xml:space="preserve">place that is not in a </w:t>
      </w:r>
      <w:r w:rsidR="00553C86">
        <w:t>metropolitan</w:t>
      </w:r>
      <w:r>
        <w:t xml:space="preserve"> area;</w:t>
      </w:r>
      <w:r w:rsidR="00CA4C6E">
        <w:t xml:space="preserve"> and</w:t>
      </w:r>
    </w:p>
    <w:p w14:paraId="5501CF4A" w14:textId="45BB1ECE" w:rsidR="00F540E4" w:rsidRDefault="00F540E4" w:rsidP="00F540E4">
      <w:pPr>
        <w:pStyle w:val="paragraph"/>
        <w:tabs>
          <w:tab w:val="clear" w:pos="1531"/>
        </w:tabs>
        <w:ind w:hanging="510"/>
      </w:pPr>
      <w:r>
        <w:t>(</w:t>
      </w:r>
      <w:r w:rsidR="00687D04">
        <w:t>b</w:t>
      </w:r>
      <w:r>
        <w:t>)</w:t>
      </w:r>
      <w:r>
        <w:tab/>
      </w:r>
      <w:r w:rsidR="006443FA">
        <w:t xml:space="preserve">the person who uses the </w:t>
      </w:r>
      <w:r w:rsidR="006901D9">
        <w:t>frequency band</w:t>
      </w:r>
      <w:r w:rsidR="006443FA">
        <w:t xml:space="preserve"> </w:t>
      </w:r>
      <w:r w:rsidR="006901D9">
        <w:t>(</w:t>
      </w:r>
      <w:r w:rsidR="006901D9" w:rsidRPr="006443FA">
        <w:rPr>
          <w:b/>
          <w:bCs/>
          <w:i/>
          <w:iCs/>
        </w:rPr>
        <w:t>the relevant person</w:t>
      </w:r>
      <w:r w:rsidR="006901D9">
        <w:t xml:space="preserve">) </w:t>
      </w:r>
      <w:r w:rsidR="006443FA">
        <w:t xml:space="preserve">does so by operation of a radiocommunications transmitter authorised by </w:t>
      </w:r>
      <w:r w:rsidR="00F32A04">
        <w:t xml:space="preserve">a </w:t>
      </w:r>
      <w:r w:rsidR="002A20C0">
        <w:t xml:space="preserve">transmitter </w:t>
      </w:r>
      <w:r w:rsidR="006443FA">
        <w:t>licence; and</w:t>
      </w:r>
    </w:p>
    <w:p w14:paraId="73089738" w14:textId="092AF356" w:rsidR="006901D9" w:rsidRDefault="006901D9" w:rsidP="00F540E4">
      <w:pPr>
        <w:pStyle w:val="paragraph"/>
        <w:tabs>
          <w:tab w:val="clear" w:pos="1531"/>
        </w:tabs>
        <w:ind w:hanging="510"/>
      </w:pPr>
      <w:r>
        <w:t>(</w:t>
      </w:r>
      <w:r w:rsidR="00687D04">
        <w:t>c</w:t>
      </w:r>
      <w:r>
        <w:t>)</w:t>
      </w:r>
      <w:r>
        <w:tab/>
        <w:t xml:space="preserve">the </w:t>
      </w:r>
      <w:r w:rsidR="0020270F">
        <w:t xml:space="preserve">transmitter </w:t>
      </w:r>
      <w:r w:rsidR="006E0D89">
        <w:t xml:space="preserve">licence authorises the operation of a radiocommunications transmitter only at a location </w:t>
      </w:r>
      <w:r w:rsidR="00D06055">
        <w:t>(</w:t>
      </w:r>
      <w:r w:rsidR="00D06055" w:rsidRPr="00D06055">
        <w:rPr>
          <w:b/>
          <w:bCs/>
          <w:i/>
          <w:iCs/>
        </w:rPr>
        <w:t>the specified location</w:t>
      </w:r>
      <w:r w:rsidR="00D06055">
        <w:t xml:space="preserve">) </w:t>
      </w:r>
      <w:r w:rsidR="006E0D89">
        <w:t>or within a</w:t>
      </w:r>
      <w:r w:rsidR="00D06055">
        <w:t>n</w:t>
      </w:r>
      <w:r w:rsidR="006E0D89">
        <w:t xml:space="preserve"> area</w:t>
      </w:r>
      <w:r w:rsidR="00D06055">
        <w:t xml:space="preserve"> (</w:t>
      </w:r>
      <w:r w:rsidR="00D06055" w:rsidRPr="00D06055">
        <w:rPr>
          <w:b/>
          <w:bCs/>
          <w:i/>
          <w:iCs/>
        </w:rPr>
        <w:t>the specified area</w:t>
      </w:r>
      <w:r w:rsidR="00D06055">
        <w:t>) specified in a condition o</w:t>
      </w:r>
      <w:r w:rsidR="00DA10FD">
        <w:t>f the licence</w:t>
      </w:r>
      <w:r w:rsidR="006E0D89">
        <w:t>; and</w:t>
      </w:r>
    </w:p>
    <w:p w14:paraId="31606FED" w14:textId="51B6E684" w:rsidR="006443FA" w:rsidRDefault="006443FA" w:rsidP="00FD0F4B">
      <w:pPr>
        <w:pStyle w:val="paragraph"/>
        <w:keepNext/>
        <w:tabs>
          <w:tab w:val="clear" w:pos="1531"/>
        </w:tabs>
        <w:ind w:hanging="510"/>
      </w:pPr>
      <w:r>
        <w:lastRenderedPageBreak/>
        <w:t>(</w:t>
      </w:r>
      <w:r w:rsidR="00687D04">
        <w:t>d</w:t>
      </w:r>
      <w:r>
        <w:t>)</w:t>
      </w:r>
      <w:r>
        <w:tab/>
        <w:t xml:space="preserve">before the </w:t>
      </w:r>
      <w:r w:rsidR="0020270F">
        <w:t xml:space="preserve">transmitter </w:t>
      </w:r>
      <w:r>
        <w:t>licence was issued, the relevant person:</w:t>
      </w:r>
    </w:p>
    <w:p w14:paraId="3F6F0EA9" w14:textId="467CA5DF" w:rsidR="00C71DC1" w:rsidRDefault="006443FA" w:rsidP="006974D2">
      <w:pPr>
        <w:pStyle w:val="paragraphsub"/>
        <w:keepNext/>
        <w:tabs>
          <w:tab w:val="clear" w:pos="1985"/>
        </w:tabs>
        <w:ind w:left="2041" w:hanging="397"/>
      </w:pPr>
      <w:r>
        <w:t>(i)</w:t>
      </w:r>
      <w:r>
        <w:tab/>
      </w:r>
      <w:r w:rsidR="004E3EAD">
        <w:t xml:space="preserve">obtained agreement, in writing, </w:t>
      </w:r>
      <w:r w:rsidR="00FF69BB">
        <w:t>to the provision of television outside broadcast services</w:t>
      </w:r>
      <w:r w:rsidR="006901D9">
        <w:t xml:space="preserve"> at the </w:t>
      </w:r>
      <w:r w:rsidR="006E0D89">
        <w:t xml:space="preserve">specified </w:t>
      </w:r>
      <w:r w:rsidR="006901D9">
        <w:t xml:space="preserve">location </w:t>
      </w:r>
      <w:r w:rsidR="006E0D89">
        <w:t>or within the specified area</w:t>
      </w:r>
      <w:r w:rsidR="00C71DC1">
        <w:t>, from:</w:t>
      </w:r>
    </w:p>
    <w:p w14:paraId="48D5EFCD" w14:textId="50357FD9" w:rsidR="006443FA" w:rsidRDefault="00C71DC1" w:rsidP="00070A79">
      <w:pPr>
        <w:pStyle w:val="paragraphsub"/>
        <w:tabs>
          <w:tab w:val="clear" w:pos="1985"/>
        </w:tabs>
        <w:ind w:left="2694" w:hanging="567"/>
      </w:pPr>
      <w:r>
        <w:t>(A)</w:t>
      </w:r>
      <w:r>
        <w:tab/>
        <w:t xml:space="preserve">the licensee of each space licence </w:t>
      </w:r>
      <w:r w:rsidR="00070A79">
        <w:t>in the frequency band</w:t>
      </w:r>
      <w:r w:rsidR="005E4049">
        <w:t xml:space="preserve">; and </w:t>
      </w:r>
    </w:p>
    <w:p w14:paraId="03FCEB0E" w14:textId="1EC349BD" w:rsidR="00070A79" w:rsidRDefault="00070A79" w:rsidP="00390E88">
      <w:pPr>
        <w:pStyle w:val="paragraphsub"/>
        <w:tabs>
          <w:tab w:val="clear" w:pos="1985"/>
        </w:tabs>
        <w:ind w:left="2694" w:hanging="567"/>
      </w:pPr>
      <w:r>
        <w:t>(B)</w:t>
      </w:r>
      <w:r>
        <w:tab/>
        <w:t xml:space="preserve">the licensee of </w:t>
      </w:r>
      <w:r w:rsidR="002F52EF">
        <w:t>each space receive licence in the frequency ba</w:t>
      </w:r>
      <w:r w:rsidR="0010058E">
        <w:t>nd;</w:t>
      </w:r>
      <w:r w:rsidR="005961AB">
        <w:t xml:space="preserve"> and</w:t>
      </w:r>
    </w:p>
    <w:p w14:paraId="290090D5" w14:textId="6049046A" w:rsidR="005E4049" w:rsidRDefault="005E4049" w:rsidP="006443FA">
      <w:pPr>
        <w:pStyle w:val="paragraphsub"/>
        <w:tabs>
          <w:tab w:val="clear" w:pos="1985"/>
        </w:tabs>
        <w:ind w:left="2041" w:hanging="397"/>
      </w:pPr>
      <w:r>
        <w:t>(ii)</w:t>
      </w:r>
      <w:r>
        <w:tab/>
        <w:t>provided a copy of each such agreement to the ACMA.</w:t>
      </w:r>
    </w:p>
    <w:p w14:paraId="49D80C29" w14:textId="44C27BDB" w:rsidR="006E0D89" w:rsidRDefault="006E0D89" w:rsidP="006E0D89">
      <w:pPr>
        <w:pStyle w:val="notetext"/>
      </w:pPr>
      <w:r>
        <w:t>Note 1:</w:t>
      </w:r>
      <w:r>
        <w:tab/>
        <w:t>See subsection 32(5A)</w:t>
      </w:r>
      <w:r w:rsidR="001F36F3">
        <w:t>,</w:t>
      </w:r>
      <w:r>
        <w:t xml:space="preserve"> </w:t>
      </w:r>
      <w:r w:rsidR="00390E88">
        <w:t xml:space="preserve">and </w:t>
      </w:r>
      <w:r>
        <w:t>section</w:t>
      </w:r>
      <w:r w:rsidR="00390E88">
        <w:t>s</w:t>
      </w:r>
      <w:r>
        <w:t xml:space="preserve"> </w:t>
      </w:r>
      <w:r w:rsidR="00937904">
        <w:t>97</w:t>
      </w:r>
      <w:r w:rsidR="005E0009">
        <w:t xml:space="preserve"> and</w:t>
      </w:r>
      <w:r w:rsidR="00937904">
        <w:t xml:space="preserve"> </w:t>
      </w:r>
      <w:r>
        <w:t>100 of the Act.</w:t>
      </w:r>
    </w:p>
    <w:p w14:paraId="6C3B2F12" w14:textId="58E96117" w:rsidR="006E0D89" w:rsidRDefault="006E0D89" w:rsidP="006E0D89">
      <w:pPr>
        <w:pStyle w:val="notetext"/>
      </w:pPr>
      <w:r>
        <w:t>Note 2:</w:t>
      </w:r>
      <w:r>
        <w:tab/>
      </w:r>
      <w:r w:rsidR="00925DBA">
        <w:t xml:space="preserve">The ACMA may still refuse to issue a person a </w:t>
      </w:r>
      <w:r w:rsidR="00937904">
        <w:t>transmitter</w:t>
      </w:r>
      <w:r w:rsidR="00AE657B">
        <w:t xml:space="preserve"> </w:t>
      </w:r>
      <w:r w:rsidR="00925DBA">
        <w:t>licence, even if the person obtains the agreements mentioned in subparagraph (</w:t>
      </w:r>
      <w:r w:rsidR="005E01EB">
        <w:t>d</w:t>
      </w:r>
      <w:r w:rsidR="00925DBA">
        <w:t>)(i).</w:t>
      </w:r>
    </w:p>
    <w:p w14:paraId="0C3E8E4B" w14:textId="16CAA5FC" w:rsidR="00E7149C" w:rsidRDefault="00E7149C" w:rsidP="006E0D89">
      <w:pPr>
        <w:pStyle w:val="notetext"/>
      </w:pPr>
      <w:r>
        <w:t>Note 3:</w:t>
      </w:r>
      <w:r>
        <w:tab/>
        <w:t xml:space="preserve">A </w:t>
      </w:r>
      <w:r w:rsidR="002D53A1">
        <w:t xml:space="preserve">single person may hold both </w:t>
      </w:r>
      <w:r w:rsidR="006B4EDB">
        <w:t>a</w:t>
      </w:r>
      <w:r w:rsidR="0072468E">
        <w:t xml:space="preserve"> space licence and a space receive licence in the frequency band</w:t>
      </w:r>
      <w:r w:rsidR="002D53A1">
        <w:t>.</w:t>
      </w:r>
    </w:p>
    <w:p w14:paraId="2BDB305B" w14:textId="6BF036AC" w:rsidR="008D15D8" w:rsidRPr="0086190C" w:rsidRDefault="005933AD" w:rsidP="008D15D8">
      <w:pPr>
        <w:pStyle w:val="Heading1"/>
      </w:pPr>
      <w:r>
        <w:rPr>
          <w:rStyle w:val="CharSectno"/>
        </w:rPr>
        <w:t>8</w:t>
      </w:r>
      <w:r w:rsidR="008D15D8" w:rsidRPr="0086190C">
        <w:t xml:space="preserve">  </w:t>
      </w:r>
      <w:r w:rsidR="008D15D8">
        <w:t>Point to point station</w:t>
      </w:r>
    </w:p>
    <w:p w14:paraId="12DAD992" w14:textId="6BF60E9B" w:rsidR="008D15D8" w:rsidRDefault="008D15D8" w:rsidP="008D15D8">
      <w:pPr>
        <w:pStyle w:val="subsection"/>
      </w:pPr>
      <w:r>
        <w:tab/>
        <w:t>(1)</w:t>
      </w:r>
      <w:r>
        <w:tab/>
        <w:t xml:space="preserve">A frequency band specified in section 6 </w:t>
      </w:r>
      <w:r w:rsidR="00A57107">
        <w:t>may</w:t>
      </w:r>
      <w:r>
        <w:t xml:space="preserve"> be used for the purpose</w:t>
      </w:r>
      <w:r w:rsidR="00192E74">
        <w:t>s</w:t>
      </w:r>
      <w:r>
        <w:t xml:space="preserve"> of </w:t>
      </w:r>
      <w:r w:rsidR="0081121A">
        <w:t>operati</w:t>
      </w:r>
      <w:r w:rsidR="00192E74">
        <w:t>ng</w:t>
      </w:r>
      <w:r w:rsidR="0081121A">
        <w:t xml:space="preserve"> a point to point station </w:t>
      </w:r>
      <w:r w:rsidR="00493F64">
        <w:t xml:space="preserve">for a fixed service </w:t>
      </w:r>
      <w:r w:rsidR="00A57107">
        <w:t xml:space="preserve">only </w:t>
      </w:r>
      <w:r>
        <w:t>as specified in this section.</w:t>
      </w:r>
    </w:p>
    <w:p w14:paraId="585F03A3" w14:textId="0CD39D3A" w:rsidR="0081121A" w:rsidRDefault="0025136C" w:rsidP="0081121A">
      <w:pPr>
        <w:pStyle w:val="subsection"/>
      </w:pPr>
      <w:r>
        <w:tab/>
      </w:r>
      <w:r w:rsidR="0081121A">
        <w:t>(2</w:t>
      </w:r>
      <w:r>
        <w:t>)</w:t>
      </w:r>
      <w:r>
        <w:tab/>
      </w:r>
      <w:r w:rsidR="0081121A">
        <w:t xml:space="preserve">A frequency band specified in section 6 may be used for the purposes of the operation of a point to point station </w:t>
      </w:r>
      <w:r w:rsidR="00155F33">
        <w:t xml:space="preserve">authorised by a fixed licence </w:t>
      </w:r>
      <w:r w:rsidR="0081121A">
        <w:t>if</w:t>
      </w:r>
      <w:r w:rsidR="00A57107" w:rsidRPr="00A57107">
        <w:t xml:space="preserve"> </w:t>
      </w:r>
      <w:r w:rsidR="00A57107">
        <w:t>either</w:t>
      </w:r>
      <w:r w:rsidR="00F92A27">
        <w:t>:</w:t>
      </w:r>
    </w:p>
    <w:p w14:paraId="28D4F8EB" w14:textId="5C47D2A6" w:rsidR="00273509" w:rsidRDefault="0081121A" w:rsidP="00273509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155F33">
        <w:t xml:space="preserve">the fixed licence was issued under section 100 of the Act before the commencement of this instrument; </w:t>
      </w:r>
      <w:r w:rsidR="00845B2A">
        <w:t>or</w:t>
      </w:r>
    </w:p>
    <w:p w14:paraId="2480EFCC" w14:textId="3309EE8B" w:rsidR="00273509" w:rsidRDefault="00273509" w:rsidP="0081121A">
      <w:pPr>
        <w:pStyle w:val="paragraph"/>
        <w:tabs>
          <w:tab w:val="clear" w:pos="1531"/>
        </w:tabs>
        <w:ind w:hanging="510"/>
      </w:pPr>
      <w:r>
        <w:t>(b)</w:t>
      </w:r>
      <w:r>
        <w:tab/>
      </w:r>
      <w:r w:rsidR="00155F33">
        <w:t>the fixed licence was issued under section 130 of the Act as the result of one or more renewals of a fixed licence mentioned in paragraph (a).</w:t>
      </w:r>
    </w:p>
    <w:bookmarkEnd w:id="13"/>
    <w:p w14:paraId="22FA92F9" w14:textId="77777777" w:rsidR="00086BF0" w:rsidRDefault="00086BF0" w:rsidP="00086BF0">
      <w:pPr>
        <w:spacing w:after="0"/>
        <w:rPr>
          <w:lang w:eastAsia="en-AU"/>
        </w:rPr>
      </w:pPr>
    </w:p>
    <w:p w14:paraId="6CD5FA5A" w14:textId="149E9659" w:rsidR="00AE429E" w:rsidRPr="0086190C" w:rsidRDefault="00AE429E" w:rsidP="00086BF0">
      <w:pPr>
        <w:spacing w:after="0"/>
        <w:rPr>
          <w:lang w:eastAsia="en-AU"/>
        </w:rPr>
        <w:sectPr w:rsidR="00AE429E" w:rsidRPr="0086190C" w:rsidSect="00082F81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36D634AF" w14:textId="60494220" w:rsidR="00FD75BA" w:rsidRPr="00A872A6" w:rsidRDefault="00FD75BA" w:rsidP="00FD75BA">
      <w:pPr>
        <w:pStyle w:val="Heading1"/>
        <w:rPr>
          <w:rStyle w:val="CharSectno"/>
          <w:sz w:val="32"/>
          <w:szCs w:val="32"/>
        </w:rPr>
      </w:pPr>
      <w:bookmarkStart w:id="14" w:name="_Toc65596039"/>
      <w:r w:rsidRPr="00A872A6">
        <w:rPr>
          <w:rStyle w:val="CharSectno"/>
          <w:sz w:val="32"/>
          <w:szCs w:val="32"/>
        </w:rPr>
        <w:lastRenderedPageBreak/>
        <w:t xml:space="preserve">Schedule </w:t>
      </w:r>
      <w:r>
        <w:rPr>
          <w:rStyle w:val="CharSectno"/>
          <w:sz w:val="32"/>
          <w:szCs w:val="32"/>
        </w:rPr>
        <w:t>1</w:t>
      </w:r>
      <w:r w:rsidRPr="00A872A6">
        <w:rPr>
          <w:rStyle w:val="CharSectno"/>
          <w:sz w:val="32"/>
          <w:szCs w:val="32"/>
        </w:rPr>
        <w:tab/>
      </w:r>
      <w:r w:rsidR="009A4152">
        <w:rPr>
          <w:rStyle w:val="CharSectno"/>
          <w:sz w:val="32"/>
          <w:szCs w:val="32"/>
        </w:rPr>
        <w:t xml:space="preserve">Metropolitan </w:t>
      </w:r>
      <w:r>
        <w:rPr>
          <w:rStyle w:val="CharSectno"/>
          <w:sz w:val="32"/>
          <w:szCs w:val="32"/>
        </w:rPr>
        <w:t>areas</w:t>
      </w:r>
    </w:p>
    <w:p w14:paraId="52AFFD1B" w14:textId="296F7FA0" w:rsidR="00FD75BA" w:rsidRPr="0086190C" w:rsidRDefault="00FD75BA" w:rsidP="00FD75BA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>
        <w:rPr>
          <w:sz w:val="18"/>
          <w:szCs w:val="16"/>
        </w:rPr>
        <w:t>(</w:t>
      </w:r>
      <w:r w:rsidRPr="0086190C">
        <w:rPr>
          <w:sz w:val="18"/>
          <w:szCs w:val="16"/>
        </w:rPr>
        <w:t xml:space="preserve">section </w:t>
      </w:r>
      <w:r>
        <w:rPr>
          <w:sz w:val="18"/>
          <w:szCs w:val="16"/>
        </w:rPr>
        <w:t>4</w:t>
      </w:r>
      <w:r w:rsidR="00F90781">
        <w:rPr>
          <w:sz w:val="18"/>
          <w:szCs w:val="16"/>
        </w:rPr>
        <w:t>, section 7</w:t>
      </w:r>
      <w:r w:rsidRPr="0086190C">
        <w:rPr>
          <w:sz w:val="18"/>
          <w:szCs w:val="16"/>
        </w:rPr>
        <w:t>)</w:t>
      </w:r>
    </w:p>
    <w:p w14:paraId="448DE55A" w14:textId="504AB993" w:rsidR="00FD75BA" w:rsidRPr="0086190C" w:rsidRDefault="00FD75BA" w:rsidP="00FD75BA">
      <w:pPr>
        <w:pStyle w:val="Heading1"/>
      </w:pPr>
      <w:r>
        <w:rPr>
          <w:rStyle w:val="CharSectno"/>
        </w:rPr>
        <w:t>1</w:t>
      </w:r>
      <w:r w:rsidRPr="0086190C">
        <w:t xml:space="preserve">  </w:t>
      </w:r>
      <w:r w:rsidR="009A4152">
        <w:t>Metropolitan</w:t>
      </w:r>
      <w:r w:rsidR="00916F48">
        <w:t xml:space="preserve"> </w:t>
      </w:r>
      <w:r>
        <w:t>areas</w:t>
      </w:r>
    </w:p>
    <w:p w14:paraId="0C3F98DF" w14:textId="2A6C6818" w:rsidR="00FD75BA" w:rsidRDefault="00FD75BA" w:rsidP="00910C90">
      <w:pPr>
        <w:pStyle w:val="subsection"/>
        <w:spacing w:after="120"/>
        <w:rPr>
          <w:rStyle w:val="CharSectno"/>
          <w:sz w:val="32"/>
          <w:szCs w:val="32"/>
        </w:rPr>
      </w:pPr>
      <w:r w:rsidRPr="0086190C">
        <w:tab/>
      </w:r>
      <w:r w:rsidRPr="0086190C">
        <w:tab/>
      </w:r>
      <w:r w:rsidR="00493AF6">
        <w:t xml:space="preserve">Each area that consists of the HCIS identifiers specified in column 2 of the table is a </w:t>
      </w:r>
      <w:r w:rsidR="009A4152">
        <w:rPr>
          <w:b/>
          <w:bCs/>
          <w:i/>
          <w:iCs/>
        </w:rPr>
        <w:t>metropolitan</w:t>
      </w:r>
      <w:r w:rsidR="00916F48">
        <w:rPr>
          <w:b/>
          <w:bCs/>
          <w:i/>
          <w:iCs/>
        </w:rPr>
        <w:t xml:space="preserve"> </w:t>
      </w:r>
      <w:r w:rsidR="00493AF6">
        <w:rPr>
          <w:b/>
          <w:bCs/>
          <w:i/>
          <w:iCs/>
        </w:rPr>
        <w:t>area</w:t>
      </w:r>
      <w:r w:rsidR="00493AF6">
        <w:t>.</w:t>
      </w:r>
    </w:p>
    <w:tbl>
      <w:tblPr>
        <w:tblStyle w:val="TableGrid"/>
        <w:tblpPr w:leftFromText="180" w:rightFromText="180" w:vertAnchor="text" w:horzAnchor="margin" w:tblpY="62"/>
        <w:tblW w:w="49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2209"/>
        <w:gridCol w:w="4591"/>
      </w:tblGrid>
      <w:tr w:rsidR="00741986" w:rsidRPr="00FF3517" w14:paraId="62634B91" w14:textId="77777777" w:rsidTr="0055654E"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</w:tcPr>
          <w:p w14:paraId="044BE4B0" w14:textId="77777777" w:rsidR="00DE7F77" w:rsidRPr="00612709" w:rsidRDefault="00DE7F77" w:rsidP="00DE7F77">
            <w:pPr>
              <w:pStyle w:val="subsection"/>
              <w:ind w:left="0" w:firstLine="0"/>
              <w:jc w:val="center"/>
              <w:rPr>
                <w:b/>
              </w:rPr>
            </w:pPr>
            <w:bookmarkStart w:id="15" w:name="_Hlk33691001"/>
            <w:r w:rsidRPr="00612709">
              <w:rPr>
                <w:b/>
              </w:rPr>
              <w:t>Item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</w:tcPr>
          <w:p w14:paraId="6E90E876" w14:textId="77777777" w:rsidR="00DE7F77" w:rsidRPr="00FF3517" w:rsidRDefault="00DE7F77" w:rsidP="00DE7F77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12" w:space="0" w:color="auto"/>
            </w:tcBorders>
          </w:tcPr>
          <w:p w14:paraId="4832DD5E" w14:textId="77777777" w:rsidR="00DE7F77" w:rsidRPr="00FF3517" w:rsidRDefault="00DE7F77" w:rsidP="00DE7F77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741986" w:rsidRPr="00FF3517" w14:paraId="213443C3" w14:textId="77777777" w:rsidTr="0055654E"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</w:tcPr>
          <w:p w14:paraId="1656F383" w14:textId="77777777" w:rsidR="00DE7F77" w:rsidRPr="00FF3517" w:rsidRDefault="00DE7F77" w:rsidP="00DE7F77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</w:tcPr>
          <w:p w14:paraId="20C8A968" w14:textId="6FB2801B" w:rsidR="00DE7F77" w:rsidRPr="00FF3517" w:rsidRDefault="00910C90" w:rsidP="00DE7F77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12" w:space="0" w:color="auto"/>
            </w:tcBorders>
          </w:tcPr>
          <w:p w14:paraId="4D17B2D4" w14:textId="2D0DF85E" w:rsidR="00DE7F77" w:rsidRDefault="00493AF6" w:rsidP="00DE7F77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HCIS identifiers</w:t>
            </w:r>
          </w:p>
        </w:tc>
      </w:tr>
      <w:tr w:rsidR="0055654E" w:rsidRPr="00FF3517" w14:paraId="137D9146" w14:textId="77777777" w:rsidTr="0055654E">
        <w:tc>
          <w:tcPr>
            <w:tcW w:w="1158" w:type="pct"/>
            <w:tcBorders>
              <w:top w:val="single" w:sz="12" w:space="0" w:color="auto"/>
              <w:bottom w:val="single" w:sz="2" w:space="0" w:color="auto"/>
            </w:tcBorders>
          </w:tcPr>
          <w:p w14:paraId="6D185406" w14:textId="77777777" w:rsidR="0055654E" w:rsidRPr="00612709" w:rsidRDefault="0055654E" w:rsidP="0055654E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2" w:space="0" w:color="auto"/>
            </w:tcBorders>
          </w:tcPr>
          <w:p w14:paraId="595C4F42" w14:textId="3648F285" w:rsidR="0055654E" w:rsidRPr="00FF3517" w:rsidRDefault="0055654E" w:rsidP="0055654E">
            <w:pPr>
              <w:pStyle w:val="subsection"/>
              <w:tabs>
                <w:tab w:val="left" w:pos="519"/>
              </w:tabs>
              <w:ind w:left="0" w:firstLine="0"/>
            </w:pPr>
            <w:r w:rsidRPr="00402030">
              <w:t>Adelaide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2" w:space="0" w:color="auto"/>
            </w:tcBorders>
          </w:tcPr>
          <w:p w14:paraId="4559722A" w14:textId="278C9E60" w:rsidR="0055654E" w:rsidRDefault="0055654E" w:rsidP="0055654E">
            <w:pPr>
              <w:pStyle w:val="subsection"/>
              <w:tabs>
                <w:tab w:val="left" w:pos="519"/>
              </w:tabs>
              <w:ind w:left="0" w:firstLine="0"/>
            </w:pPr>
            <w:r w:rsidRPr="007B07D8">
              <w:t>IW3O, IW3J8, IW3J9, IW3K4, IW3K5, IW3K7, IW3K8, IW3K9, IW3L7, IW3N2, IW3N3, IW3N5, IW3N6, IW3N8, IW3N9, IW3P1, IW3P2, IW3P4, IW3P5, IW3P7, IW3P8, IW6B2, IW6B3, IW6B6, IW6C1, IW6C2, IW6C3, IW6C4, IW6C5, IW6C6, IW6D1, IW6D2, IW6D4</w:t>
            </w:r>
          </w:p>
        </w:tc>
      </w:tr>
      <w:tr w:rsidR="0055654E" w:rsidRPr="00FF3517" w14:paraId="164196D0" w14:textId="77777777" w:rsidTr="0055654E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533AE001" w14:textId="77777777" w:rsidR="0055654E" w:rsidRPr="00612709" w:rsidRDefault="0055654E" w:rsidP="0055654E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14B05B56" w14:textId="58A49C58" w:rsidR="0055654E" w:rsidRPr="00FF3517" w:rsidRDefault="0055654E" w:rsidP="0055654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02030">
              <w:t>Brisbane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4CACA4F8" w14:textId="3E0EC325" w:rsidR="0055654E" w:rsidRDefault="0055654E" w:rsidP="0055654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EE033F">
              <w:t>NT8D, NT8G, NT8H, NT8L, NT8P, NT9A, NT9E, NT9I, NT9J, NT9M, NT9N, NU3A, NU3B, NT5P2, NT5P3, NT5P4, NT5P5, NT5P6, NT5P7, NT5P8, NT5P9, NT6M4, NT6M5, NT6M7, NT6M8, NT6M9, NT8C3, NT8C5, NT8C6, NT8C8, NT8C9, NT8F9, NT8K1, NT8K2, NT8K3, NT8K5, NT8K6, NT8K8, NT8K9, NT8O3, NT8O6, NT9B4, NT9B7, NT9F1, NT9F4, NT9F5, NT9F7, NT9F8, NT9K7, NT9O1, NT9O4, NT9O5, NT9O7, NT9O8, NU2D2, NU2D3, NU2D5, NU2D6, NU2D9, NU3C1, NU3C2, NU3C4, NU3C5, NU3C6, NU3C7, NU3C8, NU3C9, NU3E1, NU3E2, NU3E3, NU3E4, NU3E5, NU3E6, NU3F1, NU3F2, NU3F3, NU3F4, NU3F5, NU3F6, NU3G1, NU3G2</w:t>
            </w:r>
          </w:p>
        </w:tc>
      </w:tr>
      <w:tr w:rsidR="0055654E" w:rsidRPr="00FF3517" w14:paraId="35AA0974" w14:textId="77777777" w:rsidTr="0055654E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6D435F6F" w14:textId="77777777" w:rsidR="0055654E" w:rsidRPr="00612709" w:rsidRDefault="0055654E" w:rsidP="0055654E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40AC3860" w14:textId="576140DA" w:rsidR="0055654E" w:rsidRDefault="0055654E" w:rsidP="0055654E">
            <w:pPr>
              <w:pStyle w:val="subsection"/>
              <w:tabs>
                <w:tab w:val="left" w:pos="519"/>
              </w:tabs>
              <w:ind w:left="0" w:firstLine="0"/>
            </w:pPr>
            <w:r w:rsidRPr="00402030">
              <w:t>Canberra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29FBA307" w14:textId="4901BFF0" w:rsidR="0055654E" w:rsidRDefault="0055654E" w:rsidP="0055654E">
            <w:pPr>
              <w:pStyle w:val="subsection"/>
              <w:tabs>
                <w:tab w:val="left" w:pos="519"/>
              </w:tabs>
              <w:ind w:left="0" w:firstLine="0"/>
            </w:pPr>
            <w:r w:rsidRPr="00EE033F">
              <w:t>MW4D9, MW4H3, MW5A4, MW5A5, MW5A6, MW5A7, MW5A8, MW5A9, MW5E1, MW5E2, MW5E3, MW5E4, MW5E5, MW5E6, MW5E7, MW5E8, MW5F1, MW5F4</w:t>
            </w:r>
          </w:p>
        </w:tc>
      </w:tr>
      <w:tr w:rsidR="0055654E" w:rsidRPr="00FF3517" w14:paraId="19C79B9F" w14:textId="77777777" w:rsidTr="00372CB3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57396CAC" w14:textId="77777777" w:rsidR="0055654E" w:rsidRPr="00612709" w:rsidRDefault="0055654E" w:rsidP="0055654E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4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2BEF0894" w14:textId="632D44BC" w:rsidR="0055654E" w:rsidRPr="00FF3517" w:rsidRDefault="0055654E" w:rsidP="0055654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02030">
              <w:t>Darwin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0C28F18E" w14:textId="5AB2C560" w:rsidR="0055654E" w:rsidRDefault="0055654E" w:rsidP="0055654E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EE033F">
              <w:t>GO7H, GO8E, GO7D7, GO7D8, GO7D9, GO7G6, GO7G9, GO7L1, GO7L2, GO7L3, GO7L4, GO7L5, GO7L6, GO8A7, GO8A8, GO8I1, GO8I2, GO8I3, GO8I4, GO8I5</w:t>
            </w:r>
          </w:p>
        </w:tc>
      </w:tr>
      <w:tr w:rsidR="006A7C1F" w:rsidRPr="00FF3517" w14:paraId="3834EF5F" w14:textId="77777777" w:rsidTr="00372CB3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60F6F9EB" w14:textId="33631C24" w:rsidR="006A7C1F" w:rsidRPr="00612709" w:rsidRDefault="006A7C1F" w:rsidP="006A7C1F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7DDE9544" w14:textId="1F3E75EA" w:rsidR="006A7C1F" w:rsidRPr="00FF3517" w:rsidRDefault="006A7C1F" w:rsidP="006A7C1F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54212">
              <w:t>Hobart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5F115D4B" w14:textId="3A3E5CF0" w:rsidR="006A7C1F" w:rsidRDefault="006A7C1F" w:rsidP="006A7C1F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A50A1C">
              <w:t>LY9I9, LY9J7, LY9M2, LY9M3, LY9M5, LY9M6, LY9M8, LY9M9, LY9N1, LY9N2, LY9N4, LY9N5, LY9N7, LY9N8</w:t>
            </w:r>
          </w:p>
        </w:tc>
      </w:tr>
      <w:tr w:rsidR="006A7C1F" w:rsidRPr="00FF3517" w14:paraId="28EB2586" w14:textId="77777777" w:rsidTr="00372CB3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2F93B9EF" w14:textId="55D21148" w:rsidR="006A7C1F" w:rsidRPr="00612709" w:rsidRDefault="006A7C1F" w:rsidP="006A7C1F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5150E249" w14:textId="05802F3E" w:rsidR="006A7C1F" w:rsidRPr="00FF3517" w:rsidRDefault="006A7C1F" w:rsidP="006A7C1F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54212">
              <w:t>Melbourne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2705E9E8" w14:textId="21A11F03" w:rsidR="006A7C1F" w:rsidRDefault="006A7C1F" w:rsidP="006A7C1F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A50A1C">
              <w:t>KX3G, KX3H, KX3J, KX3K, KX3L, KX3N, KX3O, KX3P, KX6B, KX6C, KX6D, KX6F, KX6G, KX6H, LX1I, LX1J, LX1M, LX1N, LX4A, KX3I3, KX3I5, KX3I6, KX3I8, KX3I9, KX3M2, KX3M3, KX3M5, KX3M6, KX3M8, KX3M9, KX6A2, KX6A3, KX6A5, KX6A6, KX6A8, KX6A9, KX6E2, KX6E3, KX6E5, KX6E6, KX6E8, KX6E9, LX4B1, LX4B2, LX4B3, LX4B4, LX4E1, LX4E2, LX4E3, LX4E4, LX4E5, LX4E6</w:t>
            </w:r>
          </w:p>
        </w:tc>
      </w:tr>
      <w:tr w:rsidR="00261531" w:rsidRPr="00FF3517" w14:paraId="04436F54" w14:textId="77777777" w:rsidTr="00372CB3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519B4541" w14:textId="6E6238F1" w:rsidR="00261531" w:rsidRPr="00612709" w:rsidRDefault="00261531" w:rsidP="00261531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4CBCA0A9" w14:textId="5AB46811" w:rsidR="00261531" w:rsidRPr="00FF3517" w:rsidRDefault="00261531" w:rsidP="0026153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54212">
              <w:t>Perth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7B6C4942" w14:textId="56094863" w:rsidR="00261531" w:rsidRDefault="00261531" w:rsidP="0026153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A50A1C">
              <w:t>BV1P, BV2M, BV4D, BV5A, BV1K8, BV1K9, BV1L7, BV1L8, BV1L9, BV1O2, BV1O3, BV1O5, BV1O6, BV1O8, BV1O9, BV2I7, BV2I8, BV2I9, BV4C2, BV4C3, BV4C5, BV4C6, BV4C8, BV4C9, BV4G2, BV4G3, BV4G5, BV4G6, BV4H1, BV4H2, BV4H3, BV4H4, BV4H5, BV4H6, BV5E1, BV5E2, BV5E3, BV5E4, BV5E5, BV5E6</w:t>
            </w:r>
          </w:p>
        </w:tc>
      </w:tr>
      <w:tr w:rsidR="00261531" w:rsidRPr="00FF3517" w14:paraId="5893F7CF" w14:textId="77777777" w:rsidTr="0055654E">
        <w:tc>
          <w:tcPr>
            <w:tcW w:w="1158" w:type="pct"/>
            <w:tcBorders>
              <w:top w:val="single" w:sz="2" w:space="0" w:color="auto"/>
              <w:bottom w:val="single" w:sz="12" w:space="0" w:color="auto"/>
            </w:tcBorders>
          </w:tcPr>
          <w:p w14:paraId="6A3FFBB6" w14:textId="032401E4" w:rsidR="00261531" w:rsidRPr="00612709" w:rsidRDefault="00261531" w:rsidP="00261531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12" w:space="0" w:color="auto"/>
            </w:tcBorders>
          </w:tcPr>
          <w:p w14:paraId="33A86270" w14:textId="3D2AF39A" w:rsidR="00261531" w:rsidRPr="00FF3517" w:rsidRDefault="00261531" w:rsidP="0026153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454212">
              <w:t>Sydney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12" w:space="0" w:color="auto"/>
            </w:tcBorders>
          </w:tcPr>
          <w:p w14:paraId="5DD53D0D" w14:textId="33D03B87" w:rsidR="00261531" w:rsidRDefault="00261531" w:rsidP="0026153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A50A1C">
              <w:t>MV9H, MV9K, MV9L, MV9N, MV9O, MV9P, MW3B, MW3C, MW3D, MW3G, MW3H, NV4N, NV4O, NV4P, NV5M, NV7A, NV7B, NV7C, NV7D, NV7E, NV7F, NV7G, NV7I, NV7J, NV7M, NV7N, NW1A, MV9D3, MV9D5, MV9D6, MV9D7, MV9D8, MV9D9, MV9G3, MV9G6, MV9G8, MV9G9, MV9J6, MV9J8, MV9J9, MV9M6, MV9M8, MV9M9, MW3A1, MW3A2, MW3A3, MW3A5, MW3A6, MW3A9, MW3F1, MW3F2, MW3F3, MW3F5, MW3F6, MW3F9, MW3K1, MW3K2, MW3K3, MW3K5, MW3K6, MW3K9, MW3L1, MW3L2, MW3L3, MW3L4, MW3L5, MW3L6, MW3L7, MW3L8, MW3P1, NV4J6, NV4J8, NV4J9, NV4K2, NV4K3, NV4K4, NV4K5, NV4K6, NV4K7, NV4K8, NV4K9, NV4L1, NV4L2, NV4L4, NV4L5, NV4L6, NV4L7, NV4L8, NV4L9, NV4M5, NV4M6, NV4M7, NV4M8, NV4M9, NV5I7, NV5I8, NV5I9, NV5J7, NV5J8, NV5N1, NV5N2, NV5N4, NV7H1, NV7H2, NV7H3, NV7H4, NV7H5, NV7H7, NV7K1, NV7K2, NV7K3, NV7K4, NV7K5, NV7K6, NV7K7, NV7K8, NV7O1, NW1B1, NW1B2, NW1B4, NW1B7, NW1E1, NW1E2, NW1E3, NW1E4, NW1E5, NW1E7, NW1I1</w:t>
            </w:r>
          </w:p>
        </w:tc>
      </w:tr>
    </w:tbl>
    <w:bookmarkEnd w:id="15"/>
    <w:p w14:paraId="65833F35" w14:textId="23555294" w:rsidR="00DE7F77" w:rsidRDefault="00910C90" w:rsidP="00910C90">
      <w:pPr>
        <w:pStyle w:val="notetext"/>
      </w:pPr>
      <w:r>
        <w:t>Note:</w:t>
      </w:r>
      <w:r>
        <w:tab/>
        <w:t>Column 1 is included for information only.</w:t>
      </w:r>
    </w:p>
    <w:p w14:paraId="3CBE629F" w14:textId="77777777" w:rsidR="00DE7F77" w:rsidRDefault="00DE7F77" w:rsidP="00DE7F77">
      <w:pPr>
        <w:rPr>
          <w:lang w:eastAsia="en-AU"/>
        </w:rPr>
      </w:pPr>
    </w:p>
    <w:p w14:paraId="2C65B242" w14:textId="1CE29D6F" w:rsidR="00DE7F77" w:rsidRPr="00DE7F77" w:rsidRDefault="00DE7F77" w:rsidP="00DE7F77">
      <w:pPr>
        <w:rPr>
          <w:lang w:eastAsia="en-AU"/>
        </w:rPr>
        <w:sectPr w:rsidR="00DE7F77" w:rsidRPr="00DE7F77" w:rsidSect="00957210">
          <w:headerReference w:type="even" r:id="rId28"/>
          <w:headerReference w:type="default" r:id="rId29"/>
          <w:head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E673F8" w14:textId="117EDD56" w:rsidR="00196E10" w:rsidRPr="00A872A6" w:rsidRDefault="00196E10" w:rsidP="008B1ACA">
      <w:pPr>
        <w:pStyle w:val="Heading1"/>
        <w:rPr>
          <w:rStyle w:val="CharSectno"/>
          <w:sz w:val="32"/>
          <w:szCs w:val="32"/>
        </w:rPr>
      </w:pPr>
      <w:r w:rsidRPr="00A872A6">
        <w:rPr>
          <w:rStyle w:val="CharSectno"/>
          <w:sz w:val="32"/>
          <w:szCs w:val="32"/>
        </w:rPr>
        <w:lastRenderedPageBreak/>
        <w:t xml:space="preserve">Schedule </w:t>
      </w:r>
      <w:r w:rsidR="00FF2C07">
        <w:rPr>
          <w:rStyle w:val="CharSectno"/>
          <w:sz w:val="32"/>
          <w:szCs w:val="32"/>
        </w:rPr>
        <w:t>2</w:t>
      </w:r>
      <w:r w:rsidR="000D21FC" w:rsidRPr="00A872A6">
        <w:rPr>
          <w:rStyle w:val="CharSectno"/>
          <w:sz w:val="32"/>
          <w:szCs w:val="32"/>
        </w:rPr>
        <w:tab/>
      </w:r>
      <w:bookmarkEnd w:id="14"/>
      <w:r w:rsidR="00950A55">
        <w:rPr>
          <w:rStyle w:val="CharSectno"/>
          <w:sz w:val="32"/>
          <w:szCs w:val="32"/>
        </w:rPr>
        <w:t xml:space="preserve">Designated </w:t>
      </w:r>
      <w:r w:rsidR="00D22523">
        <w:rPr>
          <w:rStyle w:val="CharSectno"/>
          <w:sz w:val="32"/>
          <w:szCs w:val="32"/>
        </w:rPr>
        <w:t>areas</w:t>
      </w:r>
    </w:p>
    <w:p w14:paraId="37756176" w14:textId="7CEDAFD9" w:rsidR="000D21FC" w:rsidRPr="0086190C" w:rsidRDefault="006A3FD0" w:rsidP="00412D88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="00FB3A5D" w:rsidRPr="0086190C">
        <w:rPr>
          <w:sz w:val="18"/>
          <w:szCs w:val="16"/>
        </w:rPr>
        <w:tab/>
      </w:r>
      <w:r w:rsidR="004D5D0C">
        <w:rPr>
          <w:sz w:val="18"/>
          <w:szCs w:val="16"/>
        </w:rPr>
        <w:t>(</w:t>
      </w:r>
      <w:r w:rsidR="000D21FC" w:rsidRPr="0086190C">
        <w:rPr>
          <w:sz w:val="18"/>
          <w:szCs w:val="16"/>
        </w:rPr>
        <w:t xml:space="preserve">section </w:t>
      </w:r>
      <w:r w:rsidR="00AE2ED1">
        <w:rPr>
          <w:sz w:val="18"/>
          <w:szCs w:val="16"/>
        </w:rPr>
        <w:t>4</w:t>
      </w:r>
      <w:r w:rsidR="00417320">
        <w:rPr>
          <w:sz w:val="18"/>
          <w:szCs w:val="16"/>
        </w:rPr>
        <w:t xml:space="preserve">, subsection </w:t>
      </w:r>
      <w:r w:rsidR="0064224C">
        <w:rPr>
          <w:sz w:val="18"/>
          <w:szCs w:val="16"/>
        </w:rPr>
        <w:t>7</w:t>
      </w:r>
      <w:r w:rsidR="00417320">
        <w:rPr>
          <w:sz w:val="18"/>
          <w:szCs w:val="16"/>
        </w:rPr>
        <w:t>(</w:t>
      </w:r>
      <w:r w:rsidR="00DF7D5B">
        <w:rPr>
          <w:sz w:val="18"/>
          <w:szCs w:val="16"/>
        </w:rPr>
        <w:t>4</w:t>
      </w:r>
      <w:r w:rsidR="00417320">
        <w:rPr>
          <w:sz w:val="18"/>
          <w:szCs w:val="16"/>
        </w:rPr>
        <w:t>)</w:t>
      </w:r>
      <w:r w:rsidR="00FB3A5D" w:rsidRPr="0086190C">
        <w:rPr>
          <w:sz w:val="18"/>
          <w:szCs w:val="16"/>
        </w:rPr>
        <w:t>)</w:t>
      </w:r>
    </w:p>
    <w:p w14:paraId="18A60829" w14:textId="7DECEB45" w:rsidR="004D5D0C" w:rsidRPr="0086190C" w:rsidRDefault="00250B29" w:rsidP="004D5D0C">
      <w:pPr>
        <w:pStyle w:val="Heading1"/>
      </w:pPr>
      <w:r>
        <w:rPr>
          <w:rStyle w:val="CharSectno"/>
        </w:rPr>
        <w:t>1</w:t>
      </w:r>
      <w:r w:rsidR="004D5D0C" w:rsidRPr="0086190C">
        <w:t xml:space="preserve">  </w:t>
      </w:r>
      <w:r w:rsidR="00C63642">
        <w:t xml:space="preserve">Designated </w:t>
      </w:r>
      <w:r w:rsidR="001B685D">
        <w:t>area</w:t>
      </w:r>
    </w:p>
    <w:p w14:paraId="3493C0AC" w14:textId="204FADFD" w:rsidR="004D5D0C" w:rsidRDefault="004D5D0C" w:rsidP="00DF7D5B">
      <w:pPr>
        <w:pStyle w:val="subsection"/>
      </w:pPr>
      <w:r w:rsidRPr="0086190C">
        <w:tab/>
      </w:r>
      <w:r w:rsidR="00C63642">
        <w:t>(1)</w:t>
      </w:r>
      <w:r w:rsidRPr="0086190C">
        <w:tab/>
      </w:r>
      <w:r w:rsidR="00157840">
        <w:t>Subject to subclause (3), t</w:t>
      </w:r>
      <w:r w:rsidR="000B3288">
        <w:t xml:space="preserve">he </w:t>
      </w:r>
      <w:r w:rsidR="00C63642">
        <w:t>ACMA may, b</w:t>
      </w:r>
      <w:r w:rsidR="00950A55">
        <w:t>y</w:t>
      </w:r>
      <w:r w:rsidR="00C63642">
        <w:t xml:space="preserve"> notifiable instrument</w:t>
      </w:r>
      <w:r w:rsidR="00FD75BA">
        <w:t>,</w:t>
      </w:r>
      <w:r w:rsidR="00C63642">
        <w:t xml:space="preserve"> designate</w:t>
      </w:r>
      <w:r w:rsidR="00AB3013">
        <w:t xml:space="preserve"> </w:t>
      </w:r>
      <w:r w:rsidR="00D22523">
        <w:t>an area</w:t>
      </w:r>
      <w:r w:rsidR="00950A55">
        <w:t xml:space="preserve"> (</w:t>
      </w:r>
      <w:r w:rsidR="00950A55" w:rsidRPr="00950A55">
        <w:rPr>
          <w:b/>
          <w:bCs/>
          <w:i/>
          <w:iCs/>
        </w:rPr>
        <w:t xml:space="preserve">designated </w:t>
      </w:r>
      <w:r w:rsidR="00D22523">
        <w:rPr>
          <w:b/>
          <w:bCs/>
          <w:i/>
          <w:iCs/>
        </w:rPr>
        <w:t>area</w:t>
      </w:r>
      <w:r w:rsidR="00950A55">
        <w:t>)</w:t>
      </w:r>
      <w:r w:rsidR="00C63642">
        <w:t xml:space="preserve"> for the purposes of section 4 and </w:t>
      </w:r>
      <w:r w:rsidR="00950A55">
        <w:t>paragraph</w:t>
      </w:r>
      <w:r w:rsidR="00DD505A">
        <w:t xml:space="preserve"> </w:t>
      </w:r>
      <w:r w:rsidR="00D22523">
        <w:t>7(4)(c)</w:t>
      </w:r>
      <w:r w:rsidR="00AB3013">
        <w:t>.</w:t>
      </w:r>
    </w:p>
    <w:p w14:paraId="2FEA7DB3" w14:textId="09E1CAA3" w:rsidR="00950A55" w:rsidRDefault="00950A55" w:rsidP="00950A55">
      <w:pPr>
        <w:pStyle w:val="notetext"/>
      </w:pPr>
      <w:r>
        <w:t>Note:</w:t>
      </w:r>
      <w:r>
        <w:tab/>
        <w:t>See subsection 32(5A) of the Act.</w:t>
      </w:r>
    </w:p>
    <w:p w14:paraId="341BB890" w14:textId="5B207C25" w:rsidR="00950A55" w:rsidRDefault="0013169E" w:rsidP="004D5D0C">
      <w:pPr>
        <w:pStyle w:val="subsection"/>
      </w:pPr>
      <w:r>
        <w:tab/>
        <w:t>(</w:t>
      </w:r>
      <w:r w:rsidR="00BE4E8A">
        <w:t>2</w:t>
      </w:r>
      <w:r>
        <w:t>)</w:t>
      </w:r>
      <w:r>
        <w:tab/>
      </w:r>
      <w:r w:rsidR="003751AC">
        <w:t xml:space="preserve">Before the ACMA </w:t>
      </w:r>
      <w:r w:rsidR="00A47224">
        <w:t>makes a notifiable instrument</w:t>
      </w:r>
      <w:r w:rsidR="003751AC">
        <w:t xml:space="preserve"> under subclause (1), the ACMA must</w:t>
      </w:r>
      <w:r w:rsidR="009079CE">
        <w:t xml:space="preserve"> have regard to:</w:t>
      </w:r>
    </w:p>
    <w:p w14:paraId="6D943AE3" w14:textId="30051B79" w:rsidR="009079CE" w:rsidRDefault="009079CE" w:rsidP="009079CE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CE3C5D">
        <w:t xml:space="preserve">the effect on radiocommunications of the </w:t>
      </w:r>
      <w:r w:rsidR="00A47224">
        <w:t>potential</w:t>
      </w:r>
      <w:r w:rsidR="00CE3C5D">
        <w:t xml:space="preserve"> operation of a radiocommunications device</w:t>
      </w:r>
      <w:r w:rsidR="00EE3596">
        <w:t>,</w:t>
      </w:r>
      <w:r w:rsidR="00CE3C5D">
        <w:t xml:space="preserve"> for the purposes of television outside broadcast services</w:t>
      </w:r>
      <w:r w:rsidR="00EE3596">
        <w:t>,</w:t>
      </w:r>
      <w:r w:rsidR="00EE3596" w:rsidRPr="00EE3596">
        <w:t xml:space="preserve"> </w:t>
      </w:r>
      <w:r w:rsidR="00D22523">
        <w:t>in the area</w:t>
      </w:r>
      <w:r w:rsidR="00CE3C5D">
        <w:t>;</w:t>
      </w:r>
    </w:p>
    <w:p w14:paraId="479710DA" w14:textId="4EFBAEFF" w:rsidR="00A47224" w:rsidRDefault="00A47224" w:rsidP="009079CE">
      <w:pPr>
        <w:pStyle w:val="paragraph"/>
        <w:tabs>
          <w:tab w:val="clear" w:pos="1531"/>
        </w:tabs>
        <w:ind w:hanging="510"/>
      </w:pPr>
      <w:r>
        <w:t>(b)</w:t>
      </w:r>
      <w:r>
        <w:tab/>
        <w:t>the effect on radiocommunications of the potential operation of a radiocommunications device</w:t>
      </w:r>
      <w:r w:rsidR="00EE3596">
        <w:t>,</w:t>
      </w:r>
      <w:r>
        <w:t xml:space="preserve"> for the purposes of mobile-satellite services</w:t>
      </w:r>
      <w:r w:rsidR="00EE3596">
        <w:t>,</w:t>
      </w:r>
      <w:r w:rsidR="00EE3596" w:rsidRPr="00EE3596">
        <w:t xml:space="preserve"> </w:t>
      </w:r>
      <w:r w:rsidR="00E94E96">
        <w:t xml:space="preserve">in and </w:t>
      </w:r>
      <w:r w:rsidR="001B685D">
        <w:t>near the area</w:t>
      </w:r>
      <w:r>
        <w:t>;</w:t>
      </w:r>
      <w:r w:rsidR="004822ED">
        <w:t xml:space="preserve"> and</w:t>
      </w:r>
      <w:r>
        <w:t xml:space="preserve"> </w:t>
      </w:r>
    </w:p>
    <w:p w14:paraId="7D92EBC6" w14:textId="52761FB8" w:rsidR="00CE3C5D" w:rsidRDefault="00CE3C5D" w:rsidP="009079CE">
      <w:pPr>
        <w:pStyle w:val="paragraph"/>
        <w:tabs>
          <w:tab w:val="clear" w:pos="1531"/>
        </w:tabs>
        <w:ind w:hanging="510"/>
      </w:pPr>
      <w:r>
        <w:t>(</w:t>
      </w:r>
      <w:r w:rsidR="004822ED">
        <w:t>c</w:t>
      </w:r>
      <w:r>
        <w:t>)</w:t>
      </w:r>
      <w:r>
        <w:tab/>
      </w:r>
      <w:r w:rsidR="004069B0">
        <w:t>all other matters the ACMA considers relevant.</w:t>
      </w:r>
    </w:p>
    <w:p w14:paraId="04137147" w14:textId="6E605580" w:rsidR="00683BC4" w:rsidRDefault="00157840" w:rsidP="004D5D0C">
      <w:pPr>
        <w:pStyle w:val="subsection"/>
      </w:pPr>
      <w:r>
        <w:tab/>
        <w:t>(3)</w:t>
      </w:r>
      <w:r>
        <w:tab/>
        <w:t>The ACMA must not make a notifiable instrument under subclause (1) on or after 1 March 2026.</w:t>
      </w:r>
    </w:p>
    <w:p w14:paraId="00BD0B96" w14:textId="7E32C8E6" w:rsidR="00DF5D9A" w:rsidRDefault="007C2B12" w:rsidP="004D5D0C">
      <w:pPr>
        <w:pStyle w:val="subsection"/>
      </w:pPr>
      <w:r>
        <w:tab/>
        <w:t>(4)</w:t>
      </w:r>
      <w:r>
        <w:tab/>
        <w:t>The ACMA may make an instrument under subclause (1) regardless of whether a person has made an application under clause 2.</w:t>
      </w:r>
    </w:p>
    <w:p w14:paraId="581F20B5" w14:textId="1129B092" w:rsidR="00D71D32" w:rsidRDefault="00D71D32" w:rsidP="00D71D32">
      <w:pPr>
        <w:pStyle w:val="subsection"/>
        <w:spacing w:after="120"/>
        <w:rPr>
          <w:rStyle w:val="CharSectno"/>
          <w:sz w:val="32"/>
          <w:szCs w:val="32"/>
        </w:rPr>
      </w:pPr>
      <w:r>
        <w:tab/>
        <w:t>(5)</w:t>
      </w:r>
      <w:r>
        <w:tab/>
        <w:t xml:space="preserve">Each area that consists of the HCIS identifiers specified in column 2 of the table is </w:t>
      </w:r>
      <w:r w:rsidR="00542953">
        <w:t xml:space="preserve">also </w:t>
      </w:r>
      <w:r>
        <w:t xml:space="preserve">a </w:t>
      </w:r>
      <w:r>
        <w:rPr>
          <w:b/>
          <w:bCs/>
          <w:i/>
          <w:iCs/>
        </w:rPr>
        <w:t>designated area</w:t>
      </w:r>
      <w:r>
        <w:t>.</w:t>
      </w:r>
    </w:p>
    <w:tbl>
      <w:tblPr>
        <w:tblStyle w:val="TableGrid"/>
        <w:tblpPr w:leftFromText="180" w:rightFromText="180" w:vertAnchor="text" w:horzAnchor="margin" w:tblpY="62"/>
        <w:tblW w:w="49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2209"/>
        <w:gridCol w:w="4591"/>
      </w:tblGrid>
      <w:tr w:rsidR="00D71D32" w:rsidRPr="00FF3517" w14:paraId="6FBDD408" w14:textId="77777777" w:rsidTr="00D04204"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</w:tcPr>
          <w:p w14:paraId="3D369CAA" w14:textId="77777777" w:rsidR="00D71D32" w:rsidRPr="00612709" w:rsidRDefault="00D71D32" w:rsidP="00723C41">
            <w:pPr>
              <w:pStyle w:val="subsection"/>
              <w:ind w:left="0" w:firstLine="0"/>
              <w:jc w:val="center"/>
              <w:rPr>
                <w:b/>
              </w:rPr>
            </w:pPr>
            <w:r w:rsidRPr="00612709">
              <w:rPr>
                <w:b/>
              </w:rPr>
              <w:t>Item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</w:tcPr>
          <w:p w14:paraId="73250896" w14:textId="77777777" w:rsidR="00D71D32" w:rsidRPr="00FF3517" w:rsidRDefault="00D71D32" w:rsidP="00723C41">
            <w:pPr>
              <w:pStyle w:val="subsection"/>
              <w:ind w:left="0" w:firstLine="0"/>
              <w:rPr>
                <w:b/>
              </w:rPr>
            </w:pPr>
            <w:r w:rsidRPr="00FF3517">
              <w:rPr>
                <w:b/>
              </w:rPr>
              <w:t xml:space="preserve">Column </w:t>
            </w:r>
            <w:r>
              <w:rPr>
                <w:b/>
              </w:rPr>
              <w:t>1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12" w:space="0" w:color="auto"/>
            </w:tcBorders>
          </w:tcPr>
          <w:p w14:paraId="6EC752BB" w14:textId="77777777" w:rsidR="00D71D32" w:rsidRPr="00FF3517" w:rsidRDefault="00D71D32" w:rsidP="00723C41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D71D32" w:rsidRPr="00FF3517" w14:paraId="6127C98D" w14:textId="77777777" w:rsidTr="00D04204"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</w:tcPr>
          <w:p w14:paraId="607C19BC" w14:textId="77777777" w:rsidR="00D71D32" w:rsidRPr="00FF3517" w:rsidRDefault="00D71D32" w:rsidP="00723C41">
            <w:pPr>
              <w:pStyle w:val="subsection"/>
              <w:ind w:left="0" w:firstLine="0"/>
              <w:jc w:val="center"/>
              <w:rPr>
                <w:bCs/>
                <w:i/>
                <w:iCs/>
              </w:rPr>
            </w:pPr>
          </w:p>
        </w:tc>
        <w:tc>
          <w:tcPr>
            <w:tcW w:w="1248" w:type="pct"/>
            <w:tcBorders>
              <w:top w:val="single" w:sz="12" w:space="0" w:color="auto"/>
              <w:bottom w:val="single" w:sz="12" w:space="0" w:color="auto"/>
            </w:tcBorders>
          </w:tcPr>
          <w:p w14:paraId="13F4319E" w14:textId="77777777" w:rsidR="00D71D32" w:rsidRPr="00FF3517" w:rsidRDefault="00D71D32" w:rsidP="00723C41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12" w:space="0" w:color="auto"/>
            </w:tcBorders>
          </w:tcPr>
          <w:p w14:paraId="1A203897" w14:textId="77777777" w:rsidR="00D71D32" w:rsidRDefault="00D71D32" w:rsidP="00723C41">
            <w:pPr>
              <w:pStyle w:val="subsection"/>
              <w:ind w:left="0" w:firstLine="0"/>
              <w:rPr>
                <w:b/>
              </w:rPr>
            </w:pPr>
            <w:r>
              <w:rPr>
                <w:b/>
              </w:rPr>
              <w:t>HCIS identifiers</w:t>
            </w:r>
          </w:p>
        </w:tc>
      </w:tr>
      <w:tr w:rsidR="00D04204" w:rsidRPr="00FF3517" w14:paraId="2E364D01" w14:textId="77777777" w:rsidTr="00D04204">
        <w:tc>
          <w:tcPr>
            <w:tcW w:w="1158" w:type="pct"/>
            <w:tcBorders>
              <w:top w:val="single" w:sz="12" w:space="0" w:color="auto"/>
              <w:bottom w:val="single" w:sz="2" w:space="0" w:color="auto"/>
            </w:tcBorders>
          </w:tcPr>
          <w:p w14:paraId="4E6C181D" w14:textId="77777777" w:rsidR="00D04204" w:rsidRPr="00612709" w:rsidRDefault="00D04204" w:rsidP="00D04204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1</w:t>
            </w:r>
          </w:p>
        </w:tc>
        <w:tc>
          <w:tcPr>
            <w:tcW w:w="1248" w:type="pct"/>
            <w:tcBorders>
              <w:top w:val="single" w:sz="12" w:space="0" w:color="auto"/>
              <w:bottom w:val="single" w:sz="2" w:space="0" w:color="auto"/>
            </w:tcBorders>
          </w:tcPr>
          <w:p w14:paraId="23E5EDF9" w14:textId="690740E4" w:rsidR="00D04204" w:rsidRPr="00FF3517" w:rsidRDefault="00D04204" w:rsidP="00D04204">
            <w:pPr>
              <w:pStyle w:val="subsection"/>
              <w:tabs>
                <w:tab w:val="left" w:pos="519"/>
              </w:tabs>
              <w:ind w:left="0" w:firstLine="0"/>
            </w:pPr>
            <w:r w:rsidRPr="00C30E5C">
              <w:t>Ballarat, Victoria</w:t>
            </w:r>
          </w:p>
        </w:tc>
        <w:tc>
          <w:tcPr>
            <w:tcW w:w="2594" w:type="pct"/>
            <w:tcBorders>
              <w:top w:val="single" w:sz="12" w:space="0" w:color="auto"/>
              <w:bottom w:val="single" w:sz="2" w:space="0" w:color="auto"/>
            </w:tcBorders>
          </w:tcPr>
          <w:p w14:paraId="46E73057" w14:textId="56515992" w:rsidR="00D04204" w:rsidRPr="00002E7A" w:rsidRDefault="00D04204" w:rsidP="00D04204">
            <w:pPr>
              <w:pStyle w:val="subsection"/>
              <w:tabs>
                <w:tab w:val="left" w:pos="519"/>
              </w:tabs>
              <w:ind w:left="0" w:firstLine="0"/>
            </w:pPr>
            <w:r w:rsidRPr="00002E7A">
              <w:t>KX2L1, KX2L2</w:t>
            </w:r>
          </w:p>
        </w:tc>
      </w:tr>
      <w:tr w:rsidR="00D04204" w:rsidRPr="00FF3517" w14:paraId="537BD2E8" w14:textId="77777777" w:rsidTr="00D04204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7434D934" w14:textId="77777777" w:rsidR="00D04204" w:rsidRPr="00612709" w:rsidRDefault="00D04204" w:rsidP="00D04204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2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2A7DA8C9" w14:textId="09E621B7" w:rsidR="00D04204" w:rsidRPr="00FF3517" w:rsidRDefault="00D04204" w:rsidP="00D04204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Bathurst, New South Wales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31C0FB77" w14:textId="5CA81DA1" w:rsidR="00D04204" w:rsidRPr="00002E7A" w:rsidRDefault="00D04204" w:rsidP="00D04204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MV8G4, MV8G5, MV8G7, MV8G8</w:t>
            </w:r>
          </w:p>
        </w:tc>
      </w:tr>
      <w:tr w:rsidR="00D04204" w:rsidRPr="00FF3517" w14:paraId="3E707F6A" w14:textId="77777777" w:rsidTr="00D04204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5056DD7B" w14:textId="77777777" w:rsidR="00D04204" w:rsidRPr="00612709" w:rsidRDefault="00D04204" w:rsidP="00D04204">
            <w:pPr>
              <w:pStyle w:val="subsection"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3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2F7B914D" w14:textId="38859383" w:rsidR="00D04204" w:rsidRDefault="00D04204" w:rsidP="00D04204">
            <w:pPr>
              <w:pStyle w:val="subsection"/>
              <w:tabs>
                <w:tab w:val="left" w:pos="519"/>
              </w:tabs>
              <w:ind w:left="0" w:firstLine="0"/>
            </w:pPr>
            <w:r w:rsidRPr="00201DC9">
              <w:t>Bendigo, Victoria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3281F3BE" w14:textId="7778E340" w:rsidR="00D04204" w:rsidRPr="00002E7A" w:rsidRDefault="00D04204" w:rsidP="00D04204">
            <w:pPr>
              <w:pStyle w:val="subsection"/>
              <w:tabs>
                <w:tab w:val="left" w:pos="519"/>
              </w:tabs>
              <w:ind w:left="0" w:firstLine="0"/>
            </w:pPr>
            <w:r w:rsidRPr="00002E7A">
              <w:t xml:space="preserve">KW9J7, </w:t>
            </w:r>
            <w:r w:rsidRPr="00155BD7">
              <w:rPr>
                <w:color w:val="000000"/>
              </w:rPr>
              <w:t>KW9N1</w:t>
            </w:r>
          </w:p>
        </w:tc>
      </w:tr>
      <w:tr w:rsidR="00D04204" w:rsidRPr="00FF3517" w14:paraId="2680DDDF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7CD4D29B" w14:textId="77777777" w:rsidR="00D04204" w:rsidRPr="00612709" w:rsidRDefault="00D04204" w:rsidP="00D04204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612709">
              <w:rPr>
                <w:bCs/>
              </w:rPr>
              <w:t>4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0BA080FE" w14:textId="73B30635" w:rsidR="00D04204" w:rsidRPr="00FF3517" w:rsidRDefault="00D04204" w:rsidP="00D04204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Bunbury, Western Australia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27814D58" w14:textId="3602181D" w:rsidR="00D04204" w:rsidRPr="00002E7A" w:rsidRDefault="00D04204" w:rsidP="00D04204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BV7G5</w:t>
            </w:r>
          </w:p>
        </w:tc>
      </w:tr>
      <w:tr w:rsidR="00AA5D46" w:rsidRPr="00FF3517" w14:paraId="0A75E28B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3F516E96" w14:textId="42BFA2B8" w:rsidR="00AA5D46" w:rsidRPr="00612709" w:rsidRDefault="00AA5D46" w:rsidP="00AA5D46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5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320C3474" w14:textId="4CD232C0" w:rsidR="00AA5D46" w:rsidRPr="00201DC9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Cairns, Queensland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19451651" w14:textId="36F1DBA6" w:rsidR="00AA5D46" w:rsidRPr="00002E7A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LQ1O9, LQ1P7</w:t>
            </w:r>
          </w:p>
        </w:tc>
      </w:tr>
      <w:tr w:rsidR="00AA5D46" w:rsidRPr="00FF3517" w14:paraId="666C90F0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765C8B8D" w14:textId="7784385B" w:rsidR="00AA5D46" w:rsidRPr="00612709" w:rsidRDefault="00AA5D46" w:rsidP="00AA5D46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6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576286A6" w14:textId="2672FF16" w:rsidR="00AA5D46" w:rsidRPr="00201DC9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Launceston, Tasmania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79D473D4" w14:textId="24B0A491" w:rsidR="00AA5D46" w:rsidRPr="00002E7A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LY6E8</w:t>
            </w:r>
          </w:p>
        </w:tc>
      </w:tr>
      <w:tr w:rsidR="00AA5D46" w:rsidRPr="00FF3517" w14:paraId="53D62B80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7690B0CF" w14:textId="27A623A5" w:rsidR="00AA5D46" w:rsidRPr="00612709" w:rsidRDefault="00AA5D46" w:rsidP="00AA5D46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7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27DBDE7A" w14:textId="2BB24A08" w:rsidR="00AA5D46" w:rsidRPr="00201DC9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Mackay, Queensland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38F2C0AB" w14:textId="71CEED9E" w:rsidR="00AA5D46" w:rsidRPr="00002E7A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MR8A5, MR8A6, MR8A9</w:t>
            </w:r>
          </w:p>
        </w:tc>
      </w:tr>
      <w:tr w:rsidR="00AA5D46" w:rsidRPr="00FF3517" w14:paraId="20947A6E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0E093C52" w14:textId="2A7EC900" w:rsidR="00AA5D46" w:rsidRPr="00612709" w:rsidRDefault="00AA5D46" w:rsidP="00AA5D46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8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135BD4CF" w14:textId="5CF1CF8D" w:rsidR="00AA5D46" w:rsidRPr="00201DC9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Phillip Island, Victoria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44FFB375" w14:textId="43B44A29" w:rsidR="00AA5D46" w:rsidRPr="00002E7A" w:rsidRDefault="00AA5D46" w:rsidP="00AA5D46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LX4E9, LX4I3</w:t>
            </w:r>
          </w:p>
        </w:tc>
      </w:tr>
      <w:tr w:rsidR="002C2E41" w:rsidRPr="00FF3517" w14:paraId="1A30556C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41FE29D4" w14:textId="6BEB87A6" w:rsidR="002C2E41" w:rsidRPr="00201DC9" w:rsidRDefault="002C2E41" w:rsidP="002C2E41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9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4E978A4C" w14:textId="45BFC90A" w:rsidR="002C2E41" w:rsidRPr="00201DC9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Sunshine Coast, Queensland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26A16F1C" w14:textId="69906776" w:rsidR="002C2E41" w:rsidRPr="00002E7A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NT6I8</w:t>
            </w:r>
          </w:p>
        </w:tc>
      </w:tr>
      <w:tr w:rsidR="002C2E41" w:rsidRPr="00FF3517" w14:paraId="5029D962" w14:textId="77777777" w:rsidTr="00155BD7">
        <w:tc>
          <w:tcPr>
            <w:tcW w:w="1158" w:type="pct"/>
            <w:tcBorders>
              <w:top w:val="single" w:sz="2" w:space="0" w:color="auto"/>
              <w:bottom w:val="single" w:sz="2" w:space="0" w:color="auto"/>
            </w:tcBorders>
          </w:tcPr>
          <w:p w14:paraId="518065EA" w14:textId="63DE0A1C" w:rsidR="002C2E41" w:rsidRPr="00201DC9" w:rsidRDefault="002C2E41" w:rsidP="002C2E41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10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2" w:space="0" w:color="auto"/>
            </w:tcBorders>
          </w:tcPr>
          <w:p w14:paraId="45D2AAD5" w14:textId="5836B1C2" w:rsidR="002C2E41" w:rsidRPr="00201DC9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Townsville, Queensland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2" w:space="0" w:color="auto"/>
            </w:tcBorders>
          </w:tcPr>
          <w:p w14:paraId="3DF08BA4" w14:textId="454E344C" w:rsidR="002C2E41" w:rsidRPr="00002E7A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LR2G3, LR2H1</w:t>
            </w:r>
          </w:p>
        </w:tc>
      </w:tr>
      <w:tr w:rsidR="002C2E41" w:rsidRPr="00FF3517" w14:paraId="42E8DC16" w14:textId="77777777" w:rsidTr="00D04204">
        <w:tc>
          <w:tcPr>
            <w:tcW w:w="1158" w:type="pct"/>
            <w:tcBorders>
              <w:top w:val="single" w:sz="2" w:space="0" w:color="auto"/>
              <w:bottom w:val="single" w:sz="12" w:space="0" w:color="auto"/>
            </w:tcBorders>
          </w:tcPr>
          <w:p w14:paraId="27FA8F33" w14:textId="643912C3" w:rsidR="002C2E41" w:rsidRPr="00201DC9" w:rsidRDefault="002C2E41" w:rsidP="002C2E41">
            <w:pPr>
              <w:pStyle w:val="subsection"/>
              <w:keepNext/>
              <w:keepLines/>
              <w:ind w:left="0" w:firstLine="0"/>
              <w:jc w:val="center"/>
              <w:rPr>
                <w:bCs/>
              </w:rPr>
            </w:pPr>
            <w:r w:rsidRPr="00201DC9">
              <w:rPr>
                <w:bCs/>
              </w:rPr>
              <w:t>11</w:t>
            </w:r>
          </w:p>
        </w:tc>
        <w:tc>
          <w:tcPr>
            <w:tcW w:w="1248" w:type="pct"/>
            <w:tcBorders>
              <w:top w:val="single" w:sz="2" w:space="0" w:color="auto"/>
              <w:bottom w:val="single" w:sz="12" w:space="0" w:color="auto"/>
            </w:tcBorders>
          </w:tcPr>
          <w:p w14:paraId="52546FB8" w14:textId="7C91A3CB" w:rsidR="002C2E41" w:rsidRPr="00201DC9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201DC9">
              <w:t>Wanneroo, Western Australia</w:t>
            </w:r>
          </w:p>
        </w:tc>
        <w:tc>
          <w:tcPr>
            <w:tcW w:w="2594" w:type="pct"/>
            <w:tcBorders>
              <w:top w:val="single" w:sz="2" w:space="0" w:color="auto"/>
              <w:bottom w:val="single" w:sz="12" w:space="0" w:color="auto"/>
            </w:tcBorders>
          </w:tcPr>
          <w:p w14:paraId="0C4EB7AB" w14:textId="7A45A498" w:rsidR="002C2E41" w:rsidRPr="00002E7A" w:rsidRDefault="002C2E41" w:rsidP="002C2E41">
            <w:pPr>
              <w:pStyle w:val="subsection"/>
              <w:keepNext/>
              <w:keepLines/>
              <w:tabs>
                <w:tab w:val="left" w:pos="519"/>
              </w:tabs>
              <w:ind w:left="0" w:firstLine="0"/>
            </w:pPr>
            <w:r w:rsidRPr="00002E7A">
              <w:t>BV1L4, BV1L7</w:t>
            </w:r>
          </w:p>
        </w:tc>
      </w:tr>
    </w:tbl>
    <w:p w14:paraId="4D6BC749" w14:textId="77777777" w:rsidR="00333627" w:rsidRDefault="00D71D32" w:rsidP="00155BD7">
      <w:pPr>
        <w:pStyle w:val="notetext"/>
      </w:pPr>
      <w:r>
        <w:t>Note:</w:t>
      </w:r>
      <w:r>
        <w:tab/>
        <w:t>Column 1 is included for information only.</w:t>
      </w:r>
    </w:p>
    <w:p w14:paraId="7042EB4C" w14:textId="3A1E5DE1" w:rsidR="007C2B12" w:rsidRPr="0086190C" w:rsidRDefault="007C2B12" w:rsidP="007C2B12">
      <w:pPr>
        <w:pStyle w:val="Heading1"/>
      </w:pPr>
      <w:r>
        <w:rPr>
          <w:rStyle w:val="CharSectno"/>
        </w:rPr>
        <w:lastRenderedPageBreak/>
        <w:t>2</w:t>
      </w:r>
      <w:r w:rsidRPr="0086190C">
        <w:t xml:space="preserve">  </w:t>
      </w:r>
      <w:r>
        <w:t xml:space="preserve">Application </w:t>
      </w:r>
      <w:r w:rsidR="002A63D6">
        <w:t xml:space="preserve">for </w:t>
      </w:r>
      <w:r>
        <w:t xml:space="preserve">notifiable instrument </w:t>
      </w:r>
      <w:r w:rsidR="002A63D6">
        <w:t xml:space="preserve">to </w:t>
      </w:r>
      <w:r>
        <w:t>be made</w:t>
      </w:r>
    </w:p>
    <w:p w14:paraId="5249BAF2" w14:textId="50A5130F" w:rsidR="007C2B12" w:rsidRDefault="007C2B12" w:rsidP="007C2B12">
      <w:pPr>
        <w:pStyle w:val="subsection"/>
      </w:pPr>
      <w:r w:rsidRPr="0086190C">
        <w:tab/>
      </w:r>
      <w:r>
        <w:t>(1)</w:t>
      </w:r>
      <w:r w:rsidRPr="0086190C">
        <w:tab/>
      </w:r>
      <w:r>
        <w:t>A person may apply, in writing, for the ACMA to make an instrument under subclause 1(1)</w:t>
      </w:r>
      <w:r w:rsidR="0041251B">
        <w:t xml:space="preserve"> in relation to a</w:t>
      </w:r>
      <w:r w:rsidR="001B685D">
        <w:t>n</w:t>
      </w:r>
      <w:r w:rsidR="0041251B">
        <w:t xml:space="preserve"> </w:t>
      </w:r>
      <w:r w:rsidR="001B685D">
        <w:t xml:space="preserve">area </w:t>
      </w:r>
      <w:r w:rsidR="0041251B">
        <w:t>specified in the application.</w:t>
      </w:r>
    </w:p>
    <w:p w14:paraId="2B361675" w14:textId="5FCDFFF3" w:rsidR="0041251B" w:rsidRDefault="0041251B" w:rsidP="007C2B12">
      <w:pPr>
        <w:pStyle w:val="subsection"/>
      </w:pPr>
      <w:r>
        <w:tab/>
        <w:t>(2)</w:t>
      </w:r>
      <w:r>
        <w:tab/>
        <w:t>An application under subclause (1) must be:</w:t>
      </w:r>
    </w:p>
    <w:p w14:paraId="7CE0FC2B" w14:textId="4263C6B5" w:rsidR="0041251B" w:rsidRDefault="0041251B" w:rsidP="0041251B">
      <w:pPr>
        <w:pStyle w:val="paragraph"/>
        <w:tabs>
          <w:tab w:val="clear" w:pos="1531"/>
        </w:tabs>
        <w:ind w:hanging="510"/>
      </w:pPr>
      <w:r>
        <w:t>(a)</w:t>
      </w:r>
      <w:r>
        <w:tab/>
        <w:t>in a form approved by the ACMA (if any); and</w:t>
      </w:r>
    </w:p>
    <w:p w14:paraId="08CAD517" w14:textId="395007DF" w:rsidR="0041251B" w:rsidRDefault="0041251B" w:rsidP="0041251B">
      <w:pPr>
        <w:pStyle w:val="paragraph"/>
        <w:tabs>
          <w:tab w:val="clear" w:pos="1531"/>
        </w:tabs>
        <w:ind w:hanging="510"/>
      </w:pPr>
      <w:r>
        <w:t>(b)</w:t>
      </w:r>
      <w:r>
        <w:tab/>
        <w:t xml:space="preserve">made </w:t>
      </w:r>
      <w:r w:rsidR="009B509D">
        <w:t>in a manner approved by the ACMA (if any).</w:t>
      </w:r>
    </w:p>
    <w:p w14:paraId="4E4AB95F" w14:textId="7EB485CA" w:rsidR="009B509D" w:rsidRDefault="009B509D" w:rsidP="009B509D">
      <w:pPr>
        <w:pStyle w:val="subsection"/>
      </w:pPr>
      <w:r>
        <w:tab/>
        <w:t>(3)</w:t>
      </w:r>
      <w:r>
        <w:tab/>
        <w:t xml:space="preserve">If a person makes an application under subclause (1), the ACMA must decide whether to </w:t>
      </w:r>
      <w:r w:rsidR="007B2616">
        <w:t>grant the application</w:t>
      </w:r>
      <w:r>
        <w:t xml:space="preserve"> </w:t>
      </w:r>
      <w:r w:rsidR="007B2616">
        <w:t>within 90 days after the application is made, or such longer period as agreed between the ACMA and the applicant.</w:t>
      </w:r>
    </w:p>
    <w:p w14:paraId="6E7D8E57" w14:textId="71101AF9" w:rsidR="00DC5736" w:rsidRDefault="00DC5736" w:rsidP="009B509D">
      <w:pPr>
        <w:pStyle w:val="subsection"/>
      </w:pPr>
      <w:r>
        <w:tab/>
        <w:t>(4)</w:t>
      </w:r>
      <w:r>
        <w:tab/>
        <w:t>The ACMA must, within 14 days after the decision under subclause (3) is made, give the applicant a written notice of:</w:t>
      </w:r>
    </w:p>
    <w:p w14:paraId="11E7C164" w14:textId="6356F541" w:rsidR="00DC5736" w:rsidRDefault="00DC5736" w:rsidP="00DC5736">
      <w:pPr>
        <w:pStyle w:val="paragraph"/>
        <w:tabs>
          <w:tab w:val="clear" w:pos="1531"/>
        </w:tabs>
        <w:ind w:hanging="510"/>
      </w:pPr>
      <w:r>
        <w:t>(a)</w:t>
      </w:r>
      <w:r>
        <w:tab/>
        <w:t>the decision; and</w:t>
      </w:r>
    </w:p>
    <w:p w14:paraId="1A0BA5A4" w14:textId="6BD50D02" w:rsidR="00DC5736" w:rsidRDefault="00DC5736" w:rsidP="00DC5736">
      <w:pPr>
        <w:pStyle w:val="paragraph"/>
        <w:tabs>
          <w:tab w:val="clear" w:pos="1531"/>
        </w:tabs>
        <w:ind w:hanging="510"/>
      </w:pPr>
      <w:r>
        <w:t>(b)</w:t>
      </w:r>
      <w:r>
        <w:tab/>
        <w:t>if the decision is not to grant the application – the reasons for the decision and the applicant’s right to request a reconsideration of the decision under clause 3.</w:t>
      </w:r>
    </w:p>
    <w:p w14:paraId="6760EFAC" w14:textId="0F32F113" w:rsidR="00DC5736" w:rsidRDefault="00DC5736" w:rsidP="00DC5736">
      <w:pPr>
        <w:pStyle w:val="subsection"/>
      </w:pPr>
      <w:r>
        <w:tab/>
        <w:t>(5)</w:t>
      </w:r>
      <w:r>
        <w:tab/>
        <w:t xml:space="preserve">If the decision is to grant the application, the ACMA must, within 14 days after the decision is made, make an instrument under subclause 1(1) designating the </w:t>
      </w:r>
      <w:r w:rsidR="001B685D">
        <w:t xml:space="preserve">area </w:t>
      </w:r>
      <w:r>
        <w:t>specified in the application.</w:t>
      </w:r>
    </w:p>
    <w:p w14:paraId="0A9C4797" w14:textId="32CEEB61" w:rsidR="00941BD3" w:rsidRPr="0086190C" w:rsidRDefault="007C2B12" w:rsidP="00941BD3">
      <w:pPr>
        <w:pStyle w:val="Heading1"/>
      </w:pPr>
      <w:r>
        <w:rPr>
          <w:rStyle w:val="CharSectno"/>
        </w:rPr>
        <w:t>3</w:t>
      </w:r>
      <w:r w:rsidR="00941BD3" w:rsidRPr="0086190C">
        <w:t xml:space="preserve">  </w:t>
      </w:r>
      <w:r w:rsidR="00941BD3">
        <w:t>Reconsideration and external review</w:t>
      </w:r>
    </w:p>
    <w:p w14:paraId="2873161E" w14:textId="3A045303" w:rsidR="00941BD3" w:rsidRDefault="00941BD3" w:rsidP="00941BD3">
      <w:pPr>
        <w:pStyle w:val="subsection"/>
      </w:pPr>
      <w:r w:rsidRPr="0086190C">
        <w:tab/>
      </w:r>
      <w:r>
        <w:t>(1)</w:t>
      </w:r>
      <w:r w:rsidRPr="0086190C">
        <w:tab/>
      </w:r>
      <w:r w:rsidR="009A09EF">
        <w:t xml:space="preserve">If the ACMA refuses to grant an application made under subclause 2(1), the applicant may, within 30 days after being notified under </w:t>
      </w:r>
      <w:r w:rsidR="002A63D6">
        <w:t xml:space="preserve">paragraph </w:t>
      </w:r>
      <w:r w:rsidR="00D83069">
        <w:t>2(4)(b),</w:t>
      </w:r>
      <w:r w:rsidR="009A09EF">
        <w:t xml:space="preserve"> request the ACMA to reconsider the decision.</w:t>
      </w:r>
    </w:p>
    <w:p w14:paraId="5FFF94B6" w14:textId="35A2CEDF" w:rsidR="004D5758" w:rsidRDefault="00DC5736" w:rsidP="004D5D0C">
      <w:pPr>
        <w:pStyle w:val="subsection"/>
      </w:pPr>
      <w:r>
        <w:tab/>
        <w:t>(2)</w:t>
      </w:r>
      <w:r>
        <w:tab/>
      </w:r>
      <w:r w:rsidR="009A09EF">
        <w:t>A request under subclause (1) must:</w:t>
      </w:r>
    </w:p>
    <w:p w14:paraId="0ABE43E0" w14:textId="23D77B13" w:rsidR="009A09EF" w:rsidRDefault="009A09EF" w:rsidP="009A09EF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D83069">
        <w:t xml:space="preserve">be </w:t>
      </w:r>
      <w:r>
        <w:t>made in writing;</w:t>
      </w:r>
      <w:r w:rsidR="00D83069">
        <w:t xml:space="preserve"> and</w:t>
      </w:r>
    </w:p>
    <w:p w14:paraId="7BA9D3ED" w14:textId="52FC600D" w:rsidR="009A09EF" w:rsidRDefault="009A09EF" w:rsidP="009A09EF">
      <w:pPr>
        <w:pStyle w:val="paragraph"/>
        <w:tabs>
          <w:tab w:val="clear" w:pos="1531"/>
        </w:tabs>
        <w:ind w:hanging="510"/>
      </w:pPr>
      <w:r>
        <w:t>(b)</w:t>
      </w:r>
      <w:r>
        <w:tab/>
        <w:t>set out the reasons for the request</w:t>
      </w:r>
      <w:r w:rsidR="00D83069">
        <w:t>.</w:t>
      </w:r>
    </w:p>
    <w:p w14:paraId="671DEDA5" w14:textId="202FF54B" w:rsidR="0053531E" w:rsidRDefault="0053531E" w:rsidP="00D83069">
      <w:pPr>
        <w:pStyle w:val="subsection"/>
      </w:pPr>
      <w:r>
        <w:tab/>
        <w:t>(3)</w:t>
      </w:r>
      <w:r>
        <w:tab/>
        <w:t>The ACMA must, within 90 days after the request is received, reconsider the relevant decision and either:</w:t>
      </w:r>
    </w:p>
    <w:p w14:paraId="6AE2117D" w14:textId="03199567" w:rsidR="0053531E" w:rsidRDefault="0053531E" w:rsidP="0053531E">
      <w:pPr>
        <w:pStyle w:val="paragraph"/>
        <w:tabs>
          <w:tab w:val="clear" w:pos="1531"/>
        </w:tabs>
        <w:ind w:hanging="510"/>
      </w:pPr>
      <w:r>
        <w:t>(a)</w:t>
      </w:r>
      <w:r>
        <w:tab/>
        <w:t>affirm the decision; or</w:t>
      </w:r>
    </w:p>
    <w:p w14:paraId="0785373C" w14:textId="0B7971C0" w:rsidR="0053531E" w:rsidRDefault="0053531E" w:rsidP="0053531E">
      <w:pPr>
        <w:pStyle w:val="paragraph"/>
        <w:tabs>
          <w:tab w:val="clear" w:pos="1531"/>
        </w:tabs>
        <w:ind w:hanging="510"/>
      </w:pPr>
      <w:r>
        <w:t>(b)</w:t>
      </w:r>
      <w:r>
        <w:tab/>
        <w:t xml:space="preserve">make a fresh decision to the effect that the ACMA must, within 14 days after the decision is made, make an instrument under subclause 1(1) designating the </w:t>
      </w:r>
      <w:r w:rsidR="00B10186">
        <w:t xml:space="preserve">area </w:t>
      </w:r>
      <w:r>
        <w:t>specified in the application.</w:t>
      </w:r>
    </w:p>
    <w:p w14:paraId="52FC0D25" w14:textId="713D6E2A" w:rsidR="00D83069" w:rsidRDefault="00D83069" w:rsidP="00D83069">
      <w:pPr>
        <w:pStyle w:val="subsection"/>
      </w:pPr>
      <w:r>
        <w:tab/>
        <w:t>(4)</w:t>
      </w:r>
      <w:r>
        <w:tab/>
        <w:t xml:space="preserve">The ACMA must, within 14 days after </w:t>
      </w:r>
      <w:r w:rsidR="007A303E">
        <w:t>affirming the decision or making a fresh decision</w:t>
      </w:r>
      <w:r>
        <w:t xml:space="preserve"> under subclause (</w:t>
      </w:r>
      <w:r w:rsidR="000D1CB9">
        <w:t>3</w:t>
      </w:r>
      <w:r>
        <w:t>), give the applicant a written notice of:</w:t>
      </w:r>
    </w:p>
    <w:p w14:paraId="2A9136C9" w14:textId="1C9C8EBF" w:rsidR="00D83069" w:rsidRDefault="00D83069" w:rsidP="00D83069">
      <w:pPr>
        <w:pStyle w:val="paragraph"/>
        <w:tabs>
          <w:tab w:val="clear" w:pos="1531"/>
        </w:tabs>
        <w:ind w:hanging="510"/>
      </w:pPr>
      <w:r>
        <w:t>(a)</w:t>
      </w:r>
      <w:r>
        <w:tab/>
      </w:r>
      <w:r w:rsidR="002A6A50">
        <w:t>whether the ACMA has affirmed the decision or made a fresh decision</w:t>
      </w:r>
      <w:r>
        <w:t>; and</w:t>
      </w:r>
    </w:p>
    <w:p w14:paraId="1FEF778A" w14:textId="4D6912C9" w:rsidR="00D83069" w:rsidRDefault="00D83069" w:rsidP="00D83069">
      <w:pPr>
        <w:pStyle w:val="paragraph"/>
        <w:tabs>
          <w:tab w:val="clear" w:pos="1531"/>
        </w:tabs>
        <w:ind w:hanging="510"/>
      </w:pPr>
      <w:r>
        <w:t>(b)</w:t>
      </w:r>
      <w:r>
        <w:tab/>
        <w:t xml:space="preserve">if </w:t>
      </w:r>
      <w:r w:rsidR="002A63D6">
        <w:t xml:space="preserve">the </w:t>
      </w:r>
      <w:r w:rsidR="002A6A50">
        <w:t>ACMA affirms the decision</w:t>
      </w:r>
      <w:r>
        <w:t xml:space="preserve"> – the reasons for </w:t>
      </w:r>
      <w:r w:rsidR="002A6A50">
        <w:t xml:space="preserve">affirming </w:t>
      </w:r>
      <w:r>
        <w:t xml:space="preserve">the decision and the applicant’s right </w:t>
      </w:r>
      <w:r w:rsidR="00AF3A1C">
        <w:t xml:space="preserve">to </w:t>
      </w:r>
      <w:r w:rsidR="000D1CB9">
        <w:t>have</w:t>
      </w:r>
      <w:r>
        <w:t xml:space="preserve"> the </w:t>
      </w:r>
      <w:r w:rsidR="000D1CB9">
        <w:t xml:space="preserve">affirmation of the </w:t>
      </w:r>
      <w:r>
        <w:t xml:space="preserve">decision </w:t>
      </w:r>
      <w:r w:rsidR="000D1CB9">
        <w:t>reviewed under subclause (5)</w:t>
      </w:r>
      <w:r>
        <w:t>.</w:t>
      </w:r>
    </w:p>
    <w:p w14:paraId="67C1A334" w14:textId="6B663029" w:rsidR="000D1CB9" w:rsidRDefault="000D1CB9" w:rsidP="000D1CB9">
      <w:pPr>
        <w:pStyle w:val="subsection"/>
      </w:pPr>
      <w:r>
        <w:tab/>
        <w:t>(5)</w:t>
      </w:r>
      <w:r>
        <w:tab/>
        <w:t xml:space="preserve">If the ACMA affirms the decision under </w:t>
      </w:r>
      <w:r w:rsidR="006C08A8">
        <w:t xml:space="preserve">subclause (3), the applicant may apply to the AAT for review of the decision to refuse to grant </w:t>
      </w:r>
      <w:r w:rsidR="00145861">
        <w:t>the application.</w:t>
      </w:r>
    </w:p>
    <w:p w14:paraId="36FDACA3" w14:textId="77777777" w:rsidR="00D83069" w:rsidRDefault="00D83069" w:rsidP="00D83069">
      <w:pPr>
        <w:pStyle w:val="paragraph"/>
        <w:tabs>
          <w:tab w:val="clear" w:pos="1531"/>
        </w:tabs>
      </w:pPr>
    </w:p>
    <w:sectPr w:rsidR="00D83069" w:rsidSect="00957210">
      <w:headerReference w:type="even" r:id="rId31"/>
      <w:headerReference w:type="default" r:id="rId32"/>
      <w:head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54E8" w14:textId="77777777" w:rsidR="0051264D" w:rsidRDefault="0051264D" w:rsidP="0017734A">
      <w:pPr>
        <w:spacing w:after="0" w:line="240" w:lineRule="auto"/>
      </w:pPr>
      <w:r>
        <w:separator/>
      </w:r>
    </w:p>
  </w:endnote>
  <w:endnote w:type="continuationSeparator" w:id="0">
    <w:p w14:paraId="4B5005DE" w14:textId="77777777" w:rsidR="0051264D" w:rsidRDefault="0051264D" w:rsidP="0017734A">
      <w:pPr>
        <w:spacing w:after="0" w:line="240" w:lineRule="auto"/>
      </w:pPr>
      <w:r>
        <w:continuationSeparator/>
      </w:r>
    </w:p>
  </w:endnote>
  <w:endnote w:type="continuationNotice" w:id="1">
    <w:p w14:paraId="451871BA" w14:textId="77777777" w:rsidR="0051264D" w:rsidRDefault="00512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0FF5" w14:textId="77777777" w:rsidR="00082F81" w:rsidRDefault="0008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72C4" w14:textId="77777777" w:rsidR="00082F81" w:rsidRDefault="00082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F0F0" w14:textId="77777777" w:rsidR="00082F81" w:rsidRDefault="00082F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88C2" w14:textId="71896800" w:rsidR="00516F1A" w:rsidRDefault="00516F1A" w:rsidP="00FB7E41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7E41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427AD9">
      <w:rPr>
        <w:rFonts w:ascii="Times New Roman" w:hAnsi="Times New Roman" w:cs="Times New Roman"/>
        <w:i/>
        <w:iCs/>
        <w:sz w:val="20"/>
        <w:szCs w:val="20"/>
      </w:rPr>
      <w:t>Mobile</w:t>
    </w:r>
    <w:r w:rsidR="009C4434">
      <w:rPr>
        <w:rFonts w:ascii="Times New Roman" w:hAnsi="Times New Roman" w:cs="Times New Roman"/>
        <w:i/>
        <w:iCs/>
        <w:sz w:val="20"/>
        <w:szCs w:val="20"/>
      </w:rPr>
      <w:t>-</w:t>
    </w:r>
    <w:r w:rsidR="00427AD9">
      <w:rPr>
        <w:rFonts w:ascii="Times New Roman" w:hAnsi="Times New Roman" w:cs="Times New Roman"/>
        <w:i/>
        <w:iCs/>
        <w:sz w:val="20"/>
        <w:szCs w:val="20"/>
      </w:rPr>
      <w:t>Satellite</w:t>
    </w:r>
    <w:r w:rsidR="008F04F2">
      <w:rPr>
        <w:rFonts w:ascii="Times New Roman" w:hAnsi="Times New Roman" w:cs="Times New Roman"/>
        <w:i/>
        <w:iCs/>
        <w:sz w:val="20"/>
        <w:szCs w:val="20"/>
      </w:rPr>
      <w:t xml:space="preserve"> Service</w:t>
    </w:r>
    <w:r w:rsidRPr="00FB7E41">
      <w:rPr>
        <w:rFonts w:ascii="Times New Roman" w:hAnsi="Times New Roman" w:cs="Times New Roman"/>
        <w:i/>
        <w:iCs/>
        <w:sz w:val="20"/>
        <w:szCs w:val="20"/>
      </w:rPr>
      <w:t>)</w:t>
    </w:r>
    <w:r w:rsidR="003F79C8">
      <w:rPr>
        <w:rFonts w:ascii="Times New Roman" w:hAnsi="Times New Roman" w:cs="Times New Roman"/>
        <w:i/>
        <w:iCs/>
        <w:sz w:val="20"/>
        <w:szCs w:val="20"/>
      </w:rPr>
      <w:t xml:space="preserve"> (</w:t>
    </w:r>
    <w:r w:rsidR="00427AD9">
      <w:rPr>
        <w:rFonts w:ascii="Times New Roman" w:hAnsi="Times New Roman" w:cs="Times New Roman"/>
        <w:i/>
        <w:iCs/>
        <w:sz w:val="20"/>
        <w:szCs w:val="20"/>
      </w:rPr>
      <w:t>1980</w:t>
    </w:r>
    <w:r w:rsidR="003F79C8">
      <w:rPr>
        <w:rFonts w:ascii="Times New Roman" w:hAnsi="Times New Roman" w:cs="Times New Roman"/>
        <w:i/>
        <w:iCs/>
        <w:sz w:val="20"/>
        <w:szCs w:val="20"/>
      </w:rPr>
      <w:t>–2</w:t>
    </w:r>
    <w:r w:rsidR="00427AD9">
      <w:rPr>
        <w:rFonts w:ascii="Times New Roman" w:hAnsi="Times New Roman" w:cs="Times New Roman"/>
        <w:i/>
        <w:iCs/>
        <w:sz w:val="20"/>
        <w:szCs w:val="20"/>
      </w:rPr>
      <w:t>0</w:t>
    </w:r>
    <w:r w:rsidR="003F79C8">
      <w:rPr>
        <w:rFonts w:ascii="Times New Roman" w:hAnsi="Times New Roman" w:cs="Times New Roman"/>
        <w:i/>
        <w:iCs/>
        <w:sz w:val="20"/>
        <w:szCs w:val="20"/>
      </w:rPr>
      <w:t xml:space="preserve">10 MHz and </w:t>
    </w:r>
    <w:r w:rsidR="00427AD9">
      <w:rPr>
        <w:rFonts w:ascii="Times New Roman" w:hAnsi="Times New Roman" w:cs="Times New Roman"/>
        <w:i/>
        <w:iCs/>
        <w:sz w:val="20"/>
        <w:szCs w:val="20"/>
      </w:rPr>
      <w:t>2170</w:t>
    </w:r>
    <w:r w:rsidR="003F79C8">
      <w:rPr>
        <w:rFonts w:ascii="Times New Roman" w:hAnsi="Times New Roman" w:cs="Times New Roman"/>
        <w:i/>
        <w:iCs/>
        <w:sz w:val="20"/>
        <w:szCs w:val="20"/>
      </w:rPr>
      <w:t>–2</w:t>
    </w:r>
    <w:r w:rsidR="00427AD9">
      <w:rPr>
        <w:rFonts w:ascii="Times New Roman" w:hAnsi="Times New Roman" w:cs="Times New Roman"/>
        <w:i/>
        <w:iCs/>
        <w:sz w:val="20"/>
        <w:szCs w:val="20"/>
      </w:rPr>
      <w:t>2</w:t>
    </w:r>
    <w:r w:rsidR="003F79C8">
      <w:rPr>
        <w:rFonts w:ascii="Times New Roman" w:hAnsi="Times New Roman" w:cs="Times New Roman"/>
        <w:i/>
        <w:iCs/>
        <w:sz w:val="20"/>
        <w:szCs w:val="20"/>
      </w:rPr>
      <w:t>00 MHz)</w:t>
    </w:r>
    <w:r w:rsidRPr="00FB7E41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F79C8">
      <w:rPr>
        <w:rFonts w:ascii="Times New Roman" w:hAnsi="Times New Roman" w:cs="Times New Roman"/>
        <w:i/>
        <w:iCs/>
        <w:sz w:val="20"/>
        <w:szCs w:val="20"/>
      </w:rPr>
      <w:t>Frequency Band Plan 2022</w:t>
    </w:r>
  </w:p>
  <w:p w14:paraId="12C91AC8" w14:textId="3BBC9B8E" w:rsidR="00516F1A" w:rsidRDefault="00516F1A" w:rsidP="00FB7E41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noProof/>
        <w:sz w:val="20"/>
        <w:szCs w:val="20"/>
      </w:rPr>
    </w:pPr>
    <w:r w:rsidRPr="00FB7E41">
      <w:rPr>
        <w:rFonts w:ascii="Times New Roman" w:hAnsi="Times New Roman" w:cs="Times New Roman"/>
        <w:sz w:val="20"/>
        <w:szCs w:val="20"/>
      </w:rPr>
      <w:fldChar w:fldCharType="begin"/>
    </w:r>
    <w:r w:rsidRPr="00FB7E4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B7E41">
      <w:rPr>
        <w:rFonts w:ascii="Times New Roman" w:hAnsi="Times New Roman" w:cs="Times New Roman"/>
        <w:sz w:val="20"/>
        <w:szCs w:val="20"/>
      </w:rPr>
      <w:fldChar w:fldCharType="separate"/>
    </w:r>
    <w:r w:rsidRPr="00FB7E41">
      <w:rPr>
        <w:rFonts w:ascii="Times New Roman" w:hAnsi="Times New Roman" w:cs="Times New Roman"/>
        <w:noProof/>
        <w:sz w:val="20"/>
        <w:szCs w:val="20"/>
      </w:rPr>
      <w:t>1</w:t>
    </w:r>
    <w:r w:rsidRPr="00FB7E4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C7E5" w14:textId="77777777" w:rsidR="0051264D" w:rsidRDefault="0051264D" w:rsidP="0017734A">
      <w:pPr>
        <w:spacing w:after="0" w:line="240" w:lineRule="auto"/>
      </w:pPr>
      <w:r>
        <w:separator/>
      </w:r>
    </w:p>
  </w:footnote>
  <w:footnote w:type="continuationSeparator" w:id="0">
    <w:p w14:paraId="72E86E6B" w14:textId="77777777" w:rsidR="0051264D" w:rsidRDefault="0051264D" w:rsidP="0017734A">
      <w:pPr>
        <w:spacing w:after="0" w:line="240" w:lineRule="auto"/>
      </w:pPr>
      <w:r>
        <w:continuationSeparator/>
      </w:r>
    </w:p>
  </w:footnote>
  <w:footnote w:type="continuationNotice" w:id="1">
    <w:p w14:paraId="2439952C" w14:textId="77777777" w:rsidR="0051264D" w:rsidRDefault="00512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1DA" w14:textId="22BDFD32" w:rsidR="00C27B05" w:rsidRDefault="00082F81">
    <w:pPr>
      <w:pStyle w:val="Header"/>
    </w:pPr>
    <w:r>
      <w:rPr>
        <w:noProof/>
      </w:rPr>
      <w:pict w14:anchorId="31D06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66" o:spid="_x0000_s2050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A2D" w14:textId="45DBFDFA" w:rsidR="00C27B05" w:rsidRDefault="00082F81">
    <w:pPr>
      <w:pStyle w:val="Header"/>
    </w:pPr>
    <w:r>
      <w:rPr>
        <w:noProof/>
      </w:rPr>
      <w:pict w14:anchorId="1776D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75" o:spid="_x0000_s2059" type="#_x0000_t136" style="position:absolute;margin-left:0;margin-top:0;width:424.2pt;height:212.1pt;rotation:315;z-index:-25165823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5736" w14:textId="062F9C25" w:rsidR="007271EC" w:rsidRPr="00FB7E41" w:rsidRDefault="007271EC" w:rsidP="002903E5">
    <w:pPr>
      <w:pStyle w:val="Header"/>
      <w:pBdr>
        <w:bottom w:val="single" w:sz="4" w:space="1" w:color="auto"/>
      </w:pBdr>
      <w:tabs>
        <w:tab w:val="clear" w:pos="4513"/>
        <w:tab w:val="left" w:pos="127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DE4A" w14:textId="5A325523" w:rsidR="00C27B05" w:rsidRDefault="00082F81">
    <w:pPr>
      <w:pStyle w:val="Header"/>
    </w:pPr>
    <w:r>
      <w:rPr>
        <w:noProof/>
      </w:rPr>
      <w:pict w14:anchorId="4BECE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74" o:spid="_x0000_s2058" type="#_x0000_t136" style="position:absolute;margin-left:0;margin-top:0;width:424.2pt;height:212.1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C392" w14:textId="77777777" w:rsidR="00082F81" w:rsidRDefault="00082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1DFA" w14:textId="5ED1143E" w:rsidR="00C27B05" w:rsidRDefault="00082F81">
    <w:pPr>
      <w:pStyle w:val="Header"/>
    </w:pPr>
    <w:r>
      <w:rPr>
        <w:noProof/>
      </w:rPr>
      <w:pict w14:anchorId="65393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65" o:spid="_x0000_s2049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BF7" w14:textId="7FAA217B" w:rsidR="00516F1A" w:rsidRDefault="00082F81">
    <w:pPr>
      <w:pStyle w:val="Header"/>
    </w:pPr>
    <w:r>
      <w:rPr>
        <w:noProof/>
      </w:rPr>
      <w:pict w14:anchorId="7BBC3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69" o:spid="_x0000_s2053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21C1" w14:textId="1875B50F" w:rsidR="00516F1A" w:rsidRPr="00FB7E41" w:rsidRDefault="00516F1A" w:rsidP="002903E5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B7E41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082F8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13031100" w14:textId="77777777" w:rsidR="00516F1A" w:rsidRDefault="00516F1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87F8" w14:textId="26422AEA" w:rsidR="00516F1A" w:rsidRDefault="00082F81">
    <w:pPr>
      <w:pStyle w:val="Header"/>
    </w:pPr>
    <w:r>
      <w:rPr>
        <w:noProof/>
      </w:rPr>
      <w:pict w14:anchorId="088D0D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68" o:spid="_x0000_s2052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F003" w14:textId="3AD069AA" w:rsidR="00516F1A" w:rsidRDefault="00082F81">
    <w:pPr>
      <w:pStyle w:val="Header"/>
    </w:pPr>
    <w:r>
      <w:rPr>
        <w:noProof/>
      </w:rPr>
      <w:pict w14:anchorId="5F32C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72" o:spid="_x0000_s2056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50D0" w14:textId="77B7FA49" w:rsidR="00516F1A" w:rsidRPr="00FB7E41" w:rsidRDefault="00516F1A" w:rsidP="00FD75BA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280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FD75BA">
      <w:rPr>
        <w:rFonts w:ascii="Times New Roman" w:hAnsi="Times New Roman" w:cs="Times New Roman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395" w14:textId="74869E8F" w:rsidR="00516F1A" w:rsidRDefault="00082F81">
    <w:pPr>
      <w:pStyle w:val="Header"/>
    </w:pPr>
    <w:r>
      <w:rPr>
        <w:noProof/>
      </w:rPr>
      <w:pict w14:anchorId="6AFFD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72271" o:spid="_x0000_s2055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49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7590EEC"/>
    <w:multiLevelType w:val="hybridMultilevel"/>
    <w:tmpl w:val="94AAA14A"/>
    <w:lvl w:ilvl="0" w:tplc="D37CC01C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57B1E"/>
    <w:multiLevelType w:val="hybridMultilevel"/>
    <w:tmpl w:val="11EAC46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E108ED"/>
    <w:multiLevelType w:val="hybridMultilevel"/>
    <w:tmpl w:val="51A23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D1E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E54F9"/>
    <w:multiLevelType w:val="hybridMultilevel"/>
    <w:tmpl w:val="42F28EB8"/>
    <w:lvl w:ilvl="0" w:tplc="1EEE1A1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414DC"/>
    <w:multiLevelType w:val="hybridMultilevel"/>
    <w:tmpl w:val="3F089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B1A"/>
    <w:multiLevelType w:val="hybridMultilevel"/>
    <w:tmpl w:val="51A46778"/>
    <w:lvl w:ilvl="0" w:tplc="B65A4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519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0097E"/>
    <w:multiLevelType w:val="hybridMultilevel"/>
    <w:tmpl w:val="A2CE2FF6"/>
    <w:lvl w:ilvl="0" w:tplc="E4BEEB5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25B0"/>
    <w:multiLevelType w:val="hybridMultilevel"/>
    <w:tmpl w:val="3580B91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C7064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437775D8"/>
    <w:multiLevelType w:val="hybridMultilevel"/>
    <w:tmpl w:val="D8D27CEE"/>
    <w:lvl w:ilvl="0" w:tplc="4D621532">
      <w:start w:val="1"/>
      <w:numFmt w:val="lowerLetter"/>
      <w:lvlText w:val="(%1)"/>
      <w:lvlJc w:val="left"/>
      <w:pPr>
        <w:ind w:left="168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3C17D47"/>
    <w:multiLevelType w:val="hybridMultilevel"/>
    <w:tmpl w:val="86807764"/>
    <w:lvl w:ilvl="0" w:tplc="CAA46CA6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4714"/>
    <w:multiLevelType w:val="hybridMultilevel"/>
    <w:tmpl w:val="0E7C072C"/>
    <w:lvl w:ilvl="0" w:tplc="A36847AC">
      <w:start w:val="1"/>
      <w:numFmt w:val="lowerRoman"/>
      <w:lvlText w:val="(%1)"/>
      <w:lvlJc w:val="left"/>
      <w:pPr>
        <w:ind w:left="3596" w:hanging="720"/>
      </w:pPr>
      <w:rPr>
        <w:rFonts w:ascii="Times New Roman" w:eastAsiaTheme="minorHAnsi" w:hAnsi="Times New Roman" w:cstheme="minorBidi"/>
      </w:rPr>
    </w:lvl>
    <w:lvl w:ilvl="1" w:tplc="0C090019">
      <w:start w:val="1"/>
      <w:numFmt w:val="lowerLetter"/>
      <w:lvlText w:val="%2."/>
      <w:lvlJc w:val="left"/>
      <w:pPr>
        <w:ind w:left="3956" w:hanging="360"/>
      </w:pPr>
    </w:lvl>
    <w:lvl w:ilvl="2" w:tplc="0C09001B" w:tentative="1">
      <w:start w:val="1"/>
      <w:numFmt w:val="lowerRoman"/>
      <w:lvlText w:val="%3."/>
      <w:lvlJc w:val="right"/>
      <w:pPr>
        <w:ind w:left="4676" w:hanging="180"/>
      </w:pPr>
    </w:lvl>
    <w:lvl w:ilvl="3" w:tplc="0C09000F" w:tentative="1">
      <w:start w:val="1"/>
      <w:numFmt w:val="decimal"/>
      <w:lvlText w:val="%4."/>
      <w:lvlJc w:val="left"/>
      <w:pPr>
        <w:ind w:left="5396" w:hanging="360"/>
      </w:pPr>
    </w:lvl>
    <w:lvl w:ilvl="4" w:tplc="0C090019" w:tentative="1">
      <w:start w:val="1"/>
      <w:numFmt w:val="lowerLetter"/>
      <w:lvlText w:val="%5."/>
      <w:lvlJc w:val="left"/>
      <w:pPr>
        <w:ind w:left="6116" w:hanging="360"/>
      </w:pPr>
    </w:lvl>
    <w:lvl w:ilvl="5" w:tplc="0C09001B" w:tentative="1">
      <w:start w:val="1"/>
      <w:numFmt w:val="lowerRoman"/>
      <w:lvlText w:val="%6."/>
      <w:lvlJc w:val="right"/>
      <w:pPr>
        <w:ind w:left="6836" w:hanging="180"/>
      </w:pPr>
    </w:lvl>
    <w:lvl w:ilvl="6" w:tplc="0C09000F" w:tentative="1">
      <w:start w:val="1"/>
      <w:numFmt w:val="decimal"/>
      <w:lvlText w:val="%7."/>
      <w:lvlJc w:val="left"/>
      <w:pPr>
        <w:ind w:left="7556" w:hanging="360"/>
      </w:pPr>
    </w:lvl>
    <w:lvl w:ilvl="7" w:tplc="0C090019" w:tentative="1">
      <w:start w:val="1"/>
      <w:numFmt w:val="lowerLetter"/>
      <w:lvlText w:val="%8."/>
      <w:lvlJc w:val="left"/>
      <w:pPr>
        <w:ind w:left="8276" w:hanging="360"/>
      </w:pPr>
    </w:lvl>
    <w:lvl w:ilvl="8" w:tplc="0C09001B" w:tentative="1">
      <w:start w:val="1"/>
      <w:numFmt w:val="lowerRoman"/>
      <w:lvlText w:val="%9."/>
      <w:lvlJc w:val="right"/>
      <w:pPr>
        <w:ind w:left="8996" w:hanging="180"/>
      </w:pPr>
    </w:lvl>
  </w:abstractNum>
  <w:abstractNum w:abstractNumId="23" w15:restartNumberingAfterBreak="0">
    <w:nsid w:val="6D05243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1A3F5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C17AA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6"/>
  </w:num>
  <w:num w:numId="13">
    <w:abstractNumId w:val="5"/>
  </w:num>
  <w:num w:numId="14">
    <w:abstractNumId w:val="11"/>
  </w:num>
  <w:num w:numId="15">
    <w:abstractNumId w:val="24"/>
  </w:num>
  <w:num w:numId="16">
    <w:abstractNumId w:val="10"/>
  </w:num>
  <w:num w:numId="17">
    <w:abstractNumId w:val="25"/>
  </w:num>
  <w:num w:numId="18">
    <w:abstractNumId w:val="4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17"/>
  </w:num>
  <w:num w:numId="24">
    <w:abstractNumId w:val="20"/>
  </w:num>
  <w:num w:numId="25">
    <w:abstractNumId w:val="14"/>
  </w:num>
  <w:num w:numId="26">
    <w:abstractNumId w:val="22"/>
  </w:num>
  <w:num w:numId="27">
    <w:abstractNumId w:val="3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0D3"/>
    <w:rsid w:val="000001B6"/>
    <w:rsid w:val="00001FF4"/>
    <w:rsid w:val="00002E7A"/>
    <w:rsid w:val="0000312E"/>
    <w:rsid w:val="00004518"/>
    <w:rsid w:val="00006FDE"/>
    <w:rsid w:val="00012FC9"/>
    <w:rsid w:val="0001337D"/>
    <w:rsid w:val="00013EE2"/>
    <w:rsid w:val="000146DD"/>
    <w:rsid w:val="00014B70"/>
    <w:rsid w:val="00023A66"/>
    <w:rsid w:val="00025202"/>
    <w:rsid w:val="00025FEB"/>
    <w:rsid w:val="00027C6B"/>
    <w:rsid w:val="00031C79"/>
    <w:rsid w:val="000340E0"/>
    <w:rsid w:val="000377A3"/>
    <w:rsid w:val="00040796"/>
    <w:rsid w:val="000411D7"/>
    <w:rsid w:val="00041583"/>
    <w:rsid w:val="00041603"/>
    <w:rsid w:val="00042B90"/>
    <w:rsid w:val="00042F07"/>
    <w:rsid w:val="0004347B"/>
    <w:rsid w:val="00044E44"/>
    <w:rsid w:val="00047671"/>
    <w:rsid w:val="00050895"/>
    <w:rsid w:val="00050BF0"/>
    <w:rsid w:val="000526A5"/>
    <w:rsid w:val="00052D0A"/>
    <w:rsid w:val="000538D9"/>
    <w:rsid w:val="00053B83"/>
    <w:rsid w:val="00053ED9"/>
    <w:rsid w:val="00056DE4"/>
    <w:rsid w:val="000575C0"/>
    <w:rsid w:val="000626E0"/>
    <w:rsid w:val="00064AD4"/>
    <w:rsid w:val="00065A2B"/>
    <w:rsid w:val="0006605B"/>
    <w:rsid w:val="0006629B"/>
    <w:rsid w:val="00066E57"/>
    <w:rsid w:val="00066FE6"/>
    <w:rsid w:val="00070A79"/>
    <w:rsid w:val="000710F9"/>
    <w:rsid w:val="0007187D"/>
    <w:rsid w:val="000721CD"/>
    <w:rsid w:val="0007315D"/>
    <w:rsid w:val="00073463"/>
    <w:rsid w:val="00073B82"/>
    <w:rsid w:val="00074336"/>
    <w:rsid w:val="00075A73"/>
    <w:rsid w:val="00076235"/>
    <w:rsid w:val="0007761D"/>
    <w:rsid w:val="00077632"/>
    <w:rsid w:val="00081D91"/>
    <w:rsid w:val="00081FAD"/>
    <w:rsid w:val="00082F81"/>
    <w:rsid w:val="000855FA"/>
    <w:rsid w:val="000860C3"/>
    <w:rsid w:val="00086297"/>
    <w:rsid w:val="000864E0"/>
    <w:rsid w:val="00086818"/>
    <w:rsid w:val="00086BBF"/>
    <w:rsid w:val="00086BF0"/>
    <w:rsid w:val="0008730E"/>
    <w:rsid w:val="00087F5A"/>
    <w:rsid w:val="0009141F"/>
    <w:rsid w:val="00091823"/>
    <w:rsid w:val="00092E27"/>
    <w:rsid w:val="000932ED"/>
    <w:rsid w:val="0009338A"/>
    <w:rsid w:val="000955E4"/>
    <w:rsid w:val="00096745"/>
    <w:rsid w:val="00097890"/>
    <w:rsid w:val="000A01D2"/>
    <w:rsid w:val="000A0300"/>
    <w:rsid w:val="000A1B41"/>
    <w:rsid w:val="000A399D"/>
    <w:rsid w:val="000A5B26"/>
    <w:rsid w:val="000A7D04"/>
    <w:rsid w:val="000B0C5E"/>
    <w:rsid w:val="000B1073"/>
    <w:rsid w:val="000B3288"/>
    <w:rsid w:val="000B3D84"/>
    <w:rsid w:val="000B417F"/>
    <w:rsid w:val="000B5935"/>
    <w:rsid w:val="000B5CF6"/>
    <w:rsid w:val="000B5D60"/>
    <w:rsid w:val="000B734E"/>
    <w:rsid w:val="000B7E97"/>
    <w:rsid w:val="000C0BCC"/>
    <w:rsid w:val="000C1BB6"/>
    <w:rsid w:val="000C506D"/>
    <w:rsid w:val="000C640D"/>
    <w:rsid w:val="000C66FB"/>
    <w:rsid w:val="000C7EEB"/>
    <w:rsid w:val="000D0B6D"/>
    <w:rsid w:val="000D1CB9"/>
    <w:rsid w:val="000D21FC"/>
    <w:rsid w:val="000D384F"/>
    <w:rsid w:val="000D6066"/>
    <w:rsid w:val="000D6AE3"/>
    <w:rsid w:val="000D7363"/>
    <w:rsid w:val="000E01C8"/>
    <w:rsid w:val="000E0C64"/>
    <w:rsid w:val="000E1AAB"/>
    <w:rsid w:val="000E25A7"/>
    <w:rsid w:val="000E349B"/>
    <w:rsid w:val="000E35B9"/>
    <w:rsid w:val="000E3662"/>
    <w:rsid w:val="000E3888"/>
    <w:rsid w:val="000E4900"/>
    <w:rsid w:val="000E4C17"/>
    <w:rsid w:val="000E51C5"/>
    <w:rsid w:val="000E5E77"/>
    <w:rsid w:val="000E60F1"/>
    <w:rsid w:val="000E6731"/>
    <w:rsid w:val="000F05F2"/>
    <w:rsid w:val="000F1010"/>
    <w:rsid w:val="000F1A4C"/>
    <w:rsid w:val="000F1BE4"/>
    <w:rsid w:val="000F1CE3"/>
    <w:rsid w:val="000F2057"/>
    <w:rsid w:val="000F251C"/>
    <w:rsid w:val="000F2E5A"/>
    <w:rsid w:val="000F6A6A"/>
    <w:rsid w:val="000F6B92"/>
    <w:rsid w:val="000F7380"/>
    <w:rsid w:val="000F7BAC"/>
    <w:rsid w:val="000F7E71"/>
    <w:rsid w:val="000F7FF4"/>
    <w:rsid w:val="0010058E"/>
    <w:rsid w:val="001007DC"/>
    <w:rsid w:val="00101D52"/>
    <w:rsid w:val="00101DE0"/>
    <w:rsid w:val="00102816"/>
    <w:rsid w:val="00102C69"/>
    <w:rsid w:val="00105311"/>
    <w:rsid w:val="001059BC"/>
    <w:rsid w:val="0010660F"/>
    <w:rsid w:val="0010694A"/>
    <w:rsid w:val="00106D9A"/>
    <w:rsid w:val="00106F69"/>
    <w:rsid w:val="0010713F"/>
    <w:rsid w:val="00111FD0"/>
    <w:rsid w:val="00112184"/>
    <w:rsid w:val="0011222D"/>
    <w:rsid w:val="00112A16"/>
    <w:rsid w:val="00113C0B"/>
    <w:rsid w:val="00113D33"/>
    <w:rsid w:val="00113DFB"/>
    <w:rsid w:val="00113E2A"/>
    <w:rsid w:val="00117B20"/>
    <w:rsid w:val="00117E0D"/>
    <w:rsid w:val="00122218"/>
    <w:rsid w:val="001260AE"/>
    <w:rsid w:val="00126364"/>
    <w:rsid w:val="001273B1"/>
    <w:rsid w:val="001307BB"/>
    <w:rsid w:val="0013169E"/>
    <w:rsid w:val="00131CB9"/>
    <w:rsid w:val="0013201A"/>
    <w:rsid w:val="001320A0"/>
    <w:rsid w:val="001324C8"/>
    <w:rsid w:val="0013290C"/>
    <w:rsid w:val="00135C65"/>
    <w:rsid w:val="001360C5"/>
    <w:rsid w:val="00136886"/>
    <w:rsid w:val="0013696F"/>
    <w:rsid w:val="001401B4"/>
    <w:rsid w:val="00140B0C"/>
    <w:rsid w:val="00145861"/>
    <w:rsid w:val="00146E0E"/>
    <w:rsid w:val="00150D72"/>
    <w:rsid w:val="00152AEF"/>
    <w:rsid w:val="00152CE6"/>
    <w:rsid w:val="00152F56"/>
    <w:rsid w:val="00154B1C"/>
    <w:rsid w:val="00154D71"/>
    <w:rsid w:val="00154ECA"/>
    <w:rsid w:val="00155936"/>
    <w:rsid w:val="00155BD7"/>
    <w:rsid w:val="00155F33"/>
    <w:rsid w:val="001562E2"/>
    <w:rsid w:val="00157597"/>
    <w:rsid w:val="00157840"/>
    <w:rsid w:val="0016053A"/>
    <w:rsid w:val="00160BC0"/>
    <w:rsid w:val="00160F8E"/>
    <w:rsid w:val="001610E9"/>
    <w:rsid w:val="0016214F"/>
    <w:rsid w:val="001622D8"/>
    <w:rsid w:val="001626F0"/>
    <w:rsid w:val="00162C46"/>
    <w:rsid w:val="00163581"/>
    <w:rsid w:val="001637BC"/>
    <w:rsid w:val="00164C03"/>
    <w:rsid w:val="001662E6"/>
    <w:rsid w:val="00170ACF"/>
    <w:rsid w:val="00172B13"/>
    <w:rsid w:val="00172DD9"/>
    <w:rsid w:val="0017350F"/>
    <w:rsid w:val="00173A8F"/>
    <w:rsid w:val="001746B8"/>
    <w:rsid w:val="001751FF"/>
    <w:rsid w:val="00176501"/>
    <w:rsid w:val="00176D91"/>
    <w:rsid w:val="0017734A"/>
    <w:rsid w:val="00181B83"/>
    <w:rsid w:val="00181D22"/>
    <w:rsid w:val="00182448"/>
    <w:rsid w:val="00182A02"/>
    <w:rsid w:val="00183569"/>
    <w:rsid w:val="00183F81"/>
    <w:rsid w:val="0018476A"/>
    <w:rsid w:val="00184779"/>
    <w:rsid w:val="001848A5"/>
    <w:rsid w:val="00185BEC"/>
    <w:rsid w:val="00190ACA"/>
    <w:rsid w:val="00191841"/>
    <w:rsid w:val="00192933"/>
    <w:rsid w:val="00192E74"/>
    <w:rsid w:val="00193609"/>
    <w:rsid w:val="00193655"/>
    <w:rsid w:val="00193C4D"/>
    <w:rsid w:val="0019568F"/>
    <w:rsid w:val="00195B5F"/>
    <w:rsid w:val="00196629"/>
    <w:rsid w:val="00196E10"/>
    <w:rsid w:val="001976D4"/>
    <w:rsid w:val="001A0038"/>
    <w:rsid w:val="001A01AF"/>
    <w:rsid w:val="001A2AEA"/>
    <w:rsid w:val="001A2B69"/>
    <w:rsid w:val="001A4B39"/>
    <w:rsid w:val="001A4F31"/>
    <w:rsid w:val="001B0366"/>
    <w:rsid w:val="001B0E97"/>
    <w:rsid w:val="001B160F"/>
    <w:rsid w:val="001B250B"/>
    <w:rsid w:val="001B2574"/>
    <w:rsid w:val="001B2C1F"/>
    <w:rsid w:val="001B3203"/>
    <w:rsid w:val="001B4CE3"/>
    <w:rsid w:val="001B531A"/>
    <w:rsid w:val="001B64F9"/>
    <w:rsid w:val="001B685D"/>
    <w:rsid w:val="001B7211"/>
    <w:rsid w:val="001C25D4"/>
    <w:rsid w:val="001C3477"/>
    <w:rsid w:val="001C3913"/>
    <w:rsid w:val="001D0A26"/>
    <w:rsid w:val="001D21AF"/>
    <w:rsid w:val="001D53DA"/>
    <w:rsid w:val="001D6846"/>
    <w:rsid w:val="001E0709"/>
    <w:rsid w:val="001E0AA6"/>
    <w:rsid w:val="001E1377"/>
    <w:rsid w:val="001E1810"/>
    <w:rsid w:val="001E3399"/>
    <w:rsid w:val="001E340E"/>
    <w:rsid w:val="001E372D"/>
    <w:rsid w:val="001E4219"/>
    <w:rsid w:val="001E45EA"/>
    <w:rsid w:val="001E7996"/>
    <w:rsid w:val="001F10FB"/>
    <w:rsid w:val="001F3228"/>
    <w:rsid w:val="001F36F3"/>
    <w:rsid w:val="001F4F22"/>
    <w:rsid w:val="001F5B7F"/>
    <w:rsid w:val="001F7693"/>
    <w:rsid w:val="001F7FFC"/>
    <w:rsid w:val="00200728"/>
    <w:rsid w:val="00201560"/>
    <w:rsid w:val="00201EA9"/>
    <w:rsid w:val="0020270F"/>
    <w:rsid w:val="002031D0"/>
    <w:rsid w:val="002033E7"/>
    <w:rsid w:val="0020381F"/>
    <w:rsid w:val="00204EDE"/>
    <w:rsid w:val="002052F1"/>
    <w:rsid w:val="002067A0"/>
    <w:rsid w:val="002073AC"/>
    <w:rsid w:val="00210644"/>
    <w:rsid w:val="00212FE2"/>
    <w:rsid w:val="00213E87"/>
    <w:rsid w:val="00214160"/>
    <w:rsid w:val="0021489D"/>
    <w:rsid w:val="0021536C"/>
    <w:rsid w:val="0021797B"/>
    <w:rsid w:val="0022062E"/>
    <w:rsid w:val="00220737"/>
    <w:rsid w:val="00220A23"/>
    <w:rsid w:val="00222319"/>
    <w:rsid w:val="002230CC"/>
    <w:rsid w:val="00223993"/>
    <w:rsid w:val="00226381"/>
    <w:rsid w:val="00230A19"/>
    <w:rsid w:val="002324EC"/>
    <w:rsid w:val="00232A37"/>
    <w:rsid w:val="002332A2"/>
    <w:rsid w:val="00234968"/>
    <w:rsid w:val="002359DE"/>
    <w:rsid w:val="00236234"/>
    <w:rsid w:val="002402C7"/>
    <w:rsid w:val="00240EE3"/>
    <w:rsid w:val="00241DF5"/>
    <w:rsid w:val="002435CA"/>
    <w:rsid w:val="00243C3B"/>
    <w:rsid w:val="0024488C"/>
    <w:rsid w:val="00245500"/>
    <w:rsid w:val="0024598F"/>
    <w:rsid w:val="00246ACE"/>
    <w:rsid w:val="00246F0A"/>
    <w:rsid w:val="00247911"/>
    <w:rsid w:val="00247DB3"/>
    <w:rsid w:val="00250796"/>
    <w:rsid w:val="00250B29"/>
    <w:rsid w:val="0025136C"/>
    <w:rsid w:val="002516B1"/>
    <w:rsid w:val="002520D7"/>
    <w:rsid w:val="002545F1"/>
    <w:rsid w:val="00254993"/>
    <w:rsid w:val="002564B8"/>
    <w:rsid w:val="002569B5"/>
    <w:rsid w:val="00256EF6"/>
    <w:rsid w:val="00257175"/>
    <w:rsid w:val="0025778B"/>
    <w:rsid w:val="00261531"/>
    <w:rsid w:val="00262EB8"/>
    <w:rsid w:val="00264142"/>
    <w:rsid w:val="00265510"/>
    <w:rsid w:val="00267724"/>
    <w:rsid w:val="002677F3"/>
    <w:rsid w:val="002701EB"/>
    <w:rsid w:val="00271217"/>
    <w:rsid w:val="00271A7C"/>
    <w:rsid w:val="00273509"/>
    <w:rsid w:val="002743E7"/>
    <w:rsid w:val="002751D7"/>
    <w:rsid w:val="00277669"/>
    <w:rsid w:val="00277A00"/>
    <w:rsid w:val="00281C1E"/>
    <w:rsid w:val="00281C81"/>
    <w:rsid w:val="00284161"/>
    <w:rsid w:val="0028420B"/>
    <w:rsid w:val="00284359"/>
    <w:rsid w:val="00285E60"/>
    <w:rsid w:val="00287AA6"/>
    <w:rsid w:val="002903E5"/>
    <w:rsid w:val="0029053C"/>
    <w:rsid w:val="00290862"/>
    <w:rsid w:val="00291C8D"/>
    <w:rsid w:val="00291F46"/>
    <w:rsid w:val="002935B6"/>
    <w:rsid w:val="002940A0"/>
    <w:rsid w:val="002944F5"/>
    <w:rsid w:val="002945D5"/>
    <w:rsid w:val="00294F09"/>
    <w:rsid w:val="002961F4"/>
    <w:rsid w:val="002978DF"/>
    <w:rsid w:val="002A087D"/>
    <w:rsid w:val="002A20C0"/>
    <w:rsid w:val="002A255C"/>
    <w:rsid w:val="002A5080"/>
    <w:rsid w:val="002A527F"/>
    <w:rsid w:val="002A57AF"/>
    <w:rsid w:val="002A63D6"/>
    <w:rsid w:val="002A6609"/>
    <w:rsid w:val="002A6A3E"/>
    <w:rsid w:val="002A6A50"/>
    <w:rsid w:val="002A6F81"/>
    <w:rsid w:val="002B1639"/>
    <w:rsid w:val="002B1B88"/>
    <w:rsid w:val="002B2682"/>
    <w:rsid w:val="002B2956"/>
    <w:rsid w:val="002B33C3"/>
    <w:rsid w:val="002B3484"/>
    <w:rsid w:val="002B3C78"/>
    <w:rsid w:val="002B3DCD"/>
    <w:rsid w:val="002B437C"/>
    <w:rsid w:val="002B4A28"/>
    <w:rsid w:val="002B5968"/>
    <w:rsid w:val="002B5D69"/>
    <w:rsid w:val="002B6A9B"/>
    <w:rsid w:val="002B73D8"/>
    <w:rsid w:val="002B743C"/>
    <w:rsid w:val="002B7455"/>
    <w:rsid w:val="002C1748"/>
    <w:rsid w:val="002C1BE1"/>
    <w:rsid w:val="002C1CB9"/>
    <w:rsid w:val="002C28F3"/>
    <w:rsid w:val="002C29C5"/>
    <w:rsid w:val="002C2E41"/>
    <w:rsid w:val="002C2F76"/>
    <w:rsid w:val="002C3983"/>
    <w:rsid w:val="002C56C3"/>
    <w:rsid w:val="002D04EA"/>
    <w:rsid w:val="002D1592"/>
    <w:rsid w:val="002D2152"/>
    <w:rsid w:val="002D31B2"/>
    <w:rsid w:val="002D4108"/>
    <w:rsid w:val="002D53A1"/>
    <w:rsid w:val="002D5899"/>
    <w:rsid w:val="002D5A96"/>
    <w:rsid w:val="002D5C1C"/>
    <w:rsid w:val="002D6E25"/>
    <w:rsid w:val="002D7EBB"/>
    <w:rsid w:val="002E0C70"/>
    <w:rsid w:val="002E25A4"/>
    <w:rsid w:val="002E2ACC"/>
    <w:rsid w:val="002E2CC1"/>
    <w:rsid w:val="002E303D"/>
    <w:rsid w:val="002E5B01"/>
    <w:rsid w:val="002E73D1"/>
    <w:rsid w:val="002F0E3F"/>
    <w:rsid w:val="002F3404"/>
    <w:rsid w:val="002F52EF"/>
    <w:rsid w:val="002F5530"/>
    <w:rsid w:val="002F558A"/>
    <w:rsid w:val="002F6E63"/>
    <w:rsid w:val="002F7598"/>
    <w:rsid w:val="0030155D"/>
    <w:rsid w:val="003028FF"/>
    <w:rsid w:val="00302FEA"/>
    <w:rsid w:val="00303905"/>
    <w:rsid w:val="00304E66"/>
    <w:rsid w:val="003057CA"/>
    <w:rsid w:val="003059DA"/>
    <w:rsid w:val="003078F9"/>
    <w:rsid w:val="00311962"/>
    <w:rsid w:val="003128DF"/>
    <w:rsid w:val="003132E4"/>
    <w:rsid w:val="0031428F"/>
    <w:rsid w:val="00314524"/>
    <w:rsid w:val="0031596F"/>
    <w:rsid w:val="00316675"/>
    <w:rsid w:val="003166CF"/>
    <w:rsid w:val="0032127B"/>
    <w:rsid w:val="00321EF1"/>
    <w:rsid w:val="003223C9"/>
    <w:rsid w:val="003224CD"/>
    <w:rsid w:val="00322DF9"/>
    <w:rsid w:val="003242BC"/>
    <w:rsid w:val="0032731E"/>
    <w:rsid w:val="00330572"/>
    <w:rsid w:val="00330669"/>
    <w:rsid w:val="00330900"/>
    <w:rsid w:val="003321D0"/>
    <w:rsid w:val="00333627"/>
    <w:rsid w:val="003338EF"/>
    <w:rsid w:val="00333E99"/>
    <w:rsid w:val="00335265"/>
    <w:rsid w:val="003353F2"/>
    <w:rsid w:val="003406A6"/>
    <w:rsid w:val="003406F3"/>
    <w:rsid w:val="00341C98"/>
    <w:rsid w:val="00342077"/>
    <w:rsid w:val="00342191"/>
    <w:rsid w:val="00342E7F"/>
    <w:rsid w:val="00344479"/>
    <w:rsid w:val="00344543"/>
    <w:rsid w:val="00345460"/>
    <w:rsid w:val="003459B1"/>
    <w:rsid w:val="003465CC"/>
    <w:rsid w:val="00346E44"/>
    <w:rsid w:val="00347293"/>
    <w:rsid w:val="00347684"/>
    <w:rsid w:val="003509BF"/>
    <w:rsid w:val="003517B2"/>
    <w:rsid w:val="003523E4"/>
    <w:rsid w:val="00352B61"/>
    <w:rsid w:val="00353313"/>
    <w:rsid w:val="00354E66"/>
    <w:rsid w:val="00360945"/>
    <w:rsid w:val="00361554"/>
    <w:rsid w:val="0036165E"/>
    <w:rsid w:val="003641BC"/>
    <w:rsid w:val="00364492"/>
    <w:rsid w:val="00366C9C"/>
    <w:rsid w:val="003717F4"/>
    <w:rsid w:val="00371F0F"/>
    <w:rsid w:val="003726D0"/>
    <w:rsid w:val="00372902"/>
    <w:rsid w:val="00372CB3"/>
    <w:rsid w:val="00372D68"/>
    <w:rsid w:val="003751AC"/>
    <w:rsid w:val="00375BBA"/>
    <w:rsid w:val="00376208"/>
    <w:rsid w:val="00376427"/>
    <w:rsid w:val="003772AF"/>
    <w:rsid w:val="003774E0"/>
    <w:rsid w:val="003814DE"/>
    <w:rsid w:val="003819CE"/>
    <w:rsid w:val="00382FBE"/>
    <w:rsid w:val="0038355D"/>
    <w:rsid w:val="003835F7"/>
    <w:rsid w:val="00383650"/>
    <w:rsid w:val="00384B00"/>
    <w:rsid w:val="0038533C"/>
    <w:rsid w:val="0038681E"/>
    <w:rsid w:val="00390E88"/>
    <w:rsid w:val="003932EE"/>
    <w:rsid w:val="003940DD"/>
    <w:rsid w:val="00395204"/>
    <w:rsid w:val="003973D0"/>
    <w:rsid w:val="003A0E46"/>
    <w:rsid w:val="003A13DF"/>
    <w:rsid w:val="003A19F6"/>
    <w:rsid w:val="003A2D6B"/>
    <w:rsid w:val="003A2EF8"/>
    <w:rsid w:val="003A3A1A"/>
    <w:rsid w:val="003A4210"/>
    <w:rsid w:val="003A4DD6"/>
    <w:rsid w:val="003A6722"/>
    <w:rsid w:val="003A7137"/>
    <w:rsid w:val="003A76D8"/>
    <w:rsid w:val="003B0F99"/>
    <w:rsid w:val="003B1674"/>
    <w:rsid w:val="003B1FD2"/>
    <w:rsid w:val="003B2C48"/>
    <w:rsid w:val="003B55A1"/>
    <w:rsid w:val="003B64CF"/>
    <w:rsid w:val="003B7D29"/>
    <w:rsid w:val="003C0096"/>
    <w:rsid w:val="003C1321"/>
    <w:rsid w:val="003C1CCA"/>
    <w:rsid w:val="003C1F47"/>
    <w:rsid w:val="003C23E1"/>
    <w:rsid w:val="003C26C8"/>
    <w:rsid w:val="003C2EAB"/>
    <w:rsid w:val="003C3F9B"/>
    <w:rsid w:val="003C40F9"/>
    <w:rsid w:val="003C4CDC"/>
    <w:rsid w:val="003C5AB6"/>
    <w:rsid w:val="003C73B3"/>
    <w:rsid w:val="003C79ED"/>
    <w:rsid w:val="003D0BDB"/>
    <w:rsid w:val="003D1B24"/>
    <w:rsid w:val="003D337E"/>
    <w:rsid w:val="003D4535"/>
    <w:rsid w:val="003D49EE"/>
    <w:rsid w:val="003D5923"/>
    <w:rsid w:val="003D5A76"/>
    <w:rsid w:val="003D5CB1"/>
    <w:rsid w:val="003D6F50"/>
    <w:rsid w:val="003D7819"/>
    <w:rsid w:val="003D7978"/>
    <w:rsid w:val="003E1838"/>
    <w:rsid w:val="003E24B1"/>
    <w:rsid w:val="003E293E"/>
    <w:rsid w:val="003E4A81"/>
    <w:rsid w:val="003E7968"/>
    <w:rsid w:val="003F3917"/>
    <w:rsid w:val="003F5660"/>
    <w:rsid w:val="003F7175"/>
    <w:rsid w:val="003F79C8"/>
    <w:rsid w:val="003F7CCB"/>
    <w:rsid w:val="0040027D"/>
    <w:rsid w:val="0040065B"/>
    <w:rsid w:val="004019DC"/>
    <w:rsid w:val="00401B7A"/>
    <w:rsid w:val="00401C06"/>
    <w:rsid w:val="00402276"/>
    <w:rsid w:val="00403978"/>
    <w:rsid w:val="00403DA2"/>
    <w:rsid w:val="00404900"/>
    <w:rsid w:val="004069B0"/>
    <w:rsid w:val="00406E57"/>
    <w:rsid w:val="00407866"/>
    <w:rsid w:val="004106C2"/>
    <w:rsid w:val="00411134"/>
    <w:rsid w:val="0041251B"/>
    <w:rsid w:val="00412D88"/>
    <w:rsid w:val="00412E5E"/>
    <w:rsid w:val="00413636"/>
    <w:rsid w:val="0041651E"/>
    <w:rsid w:val="00416E07"/>
    <w:rsid w:val="00417320"/>
    <w:rsid w:val="00417B8B"/>
    <w:rsid w:val="00417F84"/>
    <w:rsid w:val="00420E14"/>
    <w:rsid w:val="00421B37"/>
    <w:rsid w:val="00422674"/>
    <w:rsid w:val="0042390F"/>
    <w:rsid w:val="00424038"/>
    <w:rsid w:val="00424D8F"/>
    <w:rsid w:val="00425B9F"/>
    <w:rsid w:val="00426523"/>
    <w:rsid w:val="00426844"/>
    <w:rsid w:val="00426FE8"/>
    <w:rsid w:val="0042741A"/>
    <w:rsid w:val="00427AD9"/>
    <w:rsid w:val="00432E09"/>
    <w:rsid w:val="004336FF"/>
    <w:rsid w:val="00434B53"/>
    <w:rsid w:val="004361D9"/>
    <w:rsid w:val="00436A71"/>
    <w:rsid w:val="00436F42"/>
    <w:rsid w:val="004376B0"/>
    <w:rsid w:val="00440610"/>
    <w:rsid w:val="00441527"/>
    <w:rsid w:val="004425CA"/>
    <w:rsid w:val="00444AF7"/>
    <w:rsid w:val="00445145"/>
    <w:rsid w:val="004474A5"/>
    <w:rsid w:val="00447C64"/>
    <w:rsid w:val="00450C23"/>
    <w:rsid w:val="004512BF"/>
    <w:rsid w:val="00452A57"/>
    <w:rsid w:val="00454539"/>
    <w:rsid w:val="00454ECE"/>
    <w:rsid w:val="004550F6"/>
    <w:rsid w:val="00456113"/>
    <w:rsid w:val="004562E8"/>
    <w:rsid w:val="00456FDA"/>
    <w:rsid w:val="00456FE6"/>
    <w:rsid w:val="00457316"/>
    <w:rsid w:val="004633A9"/>
    <w:rsid w:val="00463B1A"/>
    <w:rsid w:val="00463C6B"/>
    <w:rsid w:val="004643B3"/>
    <w:rsid w:val="00464A09"/>
    <w:rsid w:val="00465458"/>
    <w:rsid w:val="004654CB"/>
    <w:rsid w:val="00465BF4"/>
    <w:rsid w:val="00465F54"/>
    <w:rsid w:val="00466033"/>
    <w:rsid w:val="00471AED"/>
    <w:rsid w:val="00473280"/>
    <w:rsid w:val="004756A2"/>
    <w:rsid w:val="004779D4"/>
    <w:rsid w:val="00480F27"/>
    <w:rsid w:val="004822ED"/>
    <w:rsid w:val="00482C66"/>
    <w:rsid w:val="004840BA"/>
    <w:rsid w:val="00484793"/>
    <w:rsid w:val="00484E5C"/>
    <w:rsid w:val="004852C9"/>
    <w:rsid w:val="00486726"/>
    <w:rsid w:val="0049048E"/>
    <w:rsid w:val="0049050A"/>
    <w:rsid w:val="00491916"/>
    <w:rsid w:val="0049327F"/>
    <w:rsid w:val="00493AF6"/>
    <w:rsid w:val="00493BA4"/>
    <w:rsid w:val="00493F64"/>
    <w:rsid w:val="00496D8C"/>
    <w:rsid w:val="004A1720"/>
    <w:rsid w:val="004A21CD"/>
    <w:rsid w:val="004A25CE"/>
    <w:rsid w:val="004A2719"/>
    <w:rsid w:val="004A38F3"/>
    <w:rsid w:val="004A3B26"/>
    <w:rsid w:val="004A52B4"/>
    <w:rsid w:val="004A5AC7"/>
    <w:rsid w:val="004A6BDB"/>
    <w:rsid w:val="004A6D0E"/>
    <w:rsid w:val="004B0211"/>
    <w:rsid w:val="004B2108"/>
    <w:rsid w:val="004B2C80"/>
    <w:rsid w:val="004B3269"/>
    <w:rsid w:val="004B36E2"/>
    <w:rsid w:val="004B4796"/>
    <w:rsid w:val="004B7BA6"/>
    <w:rsid w:val="004C0727"/>
    <w:rsid w:val="004C0BC2"/>
    <w:rsid w:val="004C115A"/>
    <w:rsid w:val="004C11F4"/>
    <w:rsid w:val="004C2D97"/>
    <w:rsid w:val="004C2DC4"/>
    <w:rsid w:val="004C2DFD"/>
    <w:rsid w:val="004C34C5"/>
    <w:rsid w:val="004C365B"/>
    <w:rsid w:val="004C48B2"/>
    <w:rsid w:val="004C48B8"/>
    <w:rsid w:val="004C4DCE"/>
    <w:rsid w:val="004C63AD"/>
    <w:rsid w:val="004C701B"/>
    <w:rsid w:val="004C74E1"/>
    <w:rsid w:val="004C75C2"/>
    <w:rsid w:val="004D085D"/>
    <w:rsid w:val="004D1857"/>
    <w:rsid w:val="004D2E36"/>
    <w:rsid w:val="004D394F"/>
    <w:rsid w:val="004D3E19"/>
    <w:rsid w:val="004D4555"/>
    <w:rsid w:val="004D45AE"/>
    <w:rsid w:val="004D5758"/>
    <w:rsid w:val="004D5D0C"/>
    <w:rsid w:val="004D6B79"/>
    <w:rsid w:val="004D6C8D"/>
    <w:rsid w:val="004E0E76"/>
    <w:rsid w:val="004E1E18"/>
    <w:rsid w:val="004E21AE"/>
    <w:rsid w:val="004E3164"/>
    <w:rsid w:val="004E3525"/>
    <w:rsid w:val="004E3E4C"/>
    <w:rsid w:val="004E3EAD"/>
    <w:rsid w:val="004E4D1E"/>
    <w:rsid w:val="004E7214"/>
    <w:rsid w:val="004F0BEE"/>
    <w:rsid w:val="004F151C"/>
    <w:rsid w:val="004F1AC2"/>
    <w:rsid w:val="004F6A7C"/>
    <w:rsid w:val="004F7384"/>
    <w:rsid w:val="004F73A4"/>
    <w:rsid w:val="00500E11"/>
    <w:rsid w:val="00502445"/>
    <w:rsid w:val="00503856"/>
    <w:rsid w:val="005039FA"/>
    <w:rsid w:val="00507D03"/>
    <w:rsid w:val="00510273"/>
    <w:rsid w:val="0051078E"/>
    <w:rsid w:val="005113BE"/>
    <w:rsid w:val="005122F5"/>
    <w:rsid w:val="0051264D"/>
    <w:rsid w:val="00513292"/>
    <w:rsid w:val="00513836"/>
    <w:rsid w:val="00514F0A"/>
    <w:rsid w:val="0051568C"/>
    <w:rsid w:val="00515829"/>
    <w:rsid w:val="00516F1A"/>
    <w:rsid w:val="0051707F"/>
    <w:rsid w:val="005207D0"/>
    <w:rsid w:val="00520BD7"/>
    <w:rsid w:val="00521CE3"/>
    <w:rsid w:val="0052219E"/>
    <w:rsid w:val="00524F1B"/>
    <w:rsid w:val="00525FAD"/>
    <w:rsid w:val="00530CC4"/>
    <w:rsid w:val="00530EED"/>
    <w:rsid w:val="0053200B"/>
    <w:rsid w:val="00533186"/>
    <w:rsid w:val="005336BF"/>
    <w:rsid w:val="0053506A"/>
    <w:rsid w:val="00535130"/>
    <w:rsid w:val="0053531E"/>
    <w:rsid w:val="005358A9"/>
    <w:rsid w:val="00536788"/>
    <w:rsid w:val="00536C75"/>
    <w:rsid w:val="005377B5"/>
    <w:rsid w:val="00541DB6"/>
    <w:rsid w:val="00542953"/>
    <w:rsid w:val="00544D40"/>
    <w:rsid w:val="00544D74"/>
    <w:rsid w:val="005455FA"/>
    <w:rsid w:val="00545634"/>
    <w:rsid w:val="00546930"/>
    <w:rsid w:val="00547052"/>
    <w:rsid w:val="005477F6"/>
    <w:rsid w:val="00550C8E"/>
    <w:rsid w:val="00551248"/>
    <w:rsid w:val="00551714"/>
    <w:rsid w:val="00552167"/>
    <w:rsid w:val="00552A26"/>
    <w:rsid w:val="00552CB6"/>
    <w:rsid w:val="005531F9"/>
    <w:rsid w:val="005534F9"/>
    <w:rsid w:val="00553568"/>
    <w:rsid w:val="005535BF"/>
    <w:rsid w:val="00553C86"/>
    <w:rsid w:val="00554DF1"/>
    <w:rsid w:val="00555F5B"/>
    <w:rsid w:val="0055654E"/>
    <w:rsid w:val="00556D90"/>
    <w:rsid w:val="00557E24"/>
    <w:rsid w:val="00562576"/>
    <w:rsid w:val="00562CCC"/>
    <w:rsid w:val="005666F8"/>
    <w:rsid w:val="00566BB2"/>
    <w:rsid w:val="00566BDC"/>
    <w:rsid w:val="00572335"/>
    <w:rsid w:val="00572F5A"/>
    <w:rsid w:val="0057379C"/>
    <w:rsid w:val="005738E4"/>
    <w:rsid w:val="00573E84"/>
    <w:rsid w:val="00573F75"/>
    <w:rsid w:val="0057678D"/>
    <w:rsid w:val="005774B8"/>
    <w:rsid w:val="00582C0B"/>
    <w:rsid w:val="00582E45"/>
    <w:rsid w:val="00583F0E"/>
    <w:rsid w:val="00586593"/>
    <w:rsid w:val="00586BB6"/>
    <w:rsid w:val="005872FC"/>
    <w:rsid w:val="005900E6"/>
    <w:rsid w:val="00592189"/>
    <w:rsid w:val="005927C7"/>
    <w:rsid w:val="00592B5F"/>
    <w:rsid w:val="005933AD"/>
    <w:rsid w:val="005934B1"/>
    <w:rsid w:val="00594439"/>
    <w:rsid w:val="005957A6"/>
    <w:rsid w:val="005961AB"/>
    <w:rsid w:val="00596BD1"/>
    <w:rsid w:val="00596F36"/>
    <w:rsid w:val="0059732C"/>
    <w:rsid w:val="005A02F3"/>
    <w:rsid w:val="005A0B28"/>
    <w:rsid w:val="005A0BB6"/>
    <w:rsid w:val="005A0DD3"/>
    <w:rsid w:val="005A134E"/>
    <w:rsid w:val="005A158C"/>
    <w:rsid w:val="005A16D6"/>
    <w:rsid w:val="005A182E"/>
    <w:rsid w:val="005A270C"/>
    <w:rsid w:val="005A3582"/>
    <w:rsid w:val="005A43D9"/>
    <w:rsid w:val="005A447B"/>
    <w:rsid w:val="005B12B3"/>
    <w:rsid w:val="005B12C3"/>
    <w:rsid w:val="005B258D"/>
    <w:rsid w:val="005B2D05"/>
    <w:rsid w:val="005B30AA"/>
    <w:rsid w:val="005B39E6"/>
    <w:rsid w:val="005B56C6"/>
    <w:rsid w:val="005B65C0"/>
    <w:rsid w:val="005B7326"/>
    <w:rsid w:val="005B735A"/>
    <w:rsid w:val="005C0555"/>
    <w:rsid w:val="005C2A21"/>
    <w:rsid w:val="005C3B24"/>
    <w:rsid w:val="005C4EA8"/>
    <w:rsid w:val="005C5A08"/>
    <w:rsid w:val="005C7A1D"/>
    <w:rsid w:val="005D3857"/>
    <w:rsid w:val="005D43B5"/>
    <w:rsid w:val="005D5B0F"/>
    <w:rsid w:val="005D5BFC"/>
    <w:rsid w:val="005D5C17"/>
    <w:rsid w:val="005E0009"/>
    <w:rsid w:val="005E01EB"/>
    <w:rsid w:val="005E0B92"/>
    <w:rsid w:val="005E0FA5"/>
    <w:rsid w:val="005E3390"/>
    <w:rsid w:val="005E4049"/>
    <w:rsid w:val="005E45BB"/>
    <w:rsid w:val="005E54C3"/>
    <w:rsid w:val="005E5536"/>
    <w:rsid w:val="005E6DFE"/>
    <w:rsid w:val="005E7755"/>
    <w:rsid w:val="005E7E33"/>
    <w:rsid w:val="005F18AE"/>
    <w:rsid w:val="005F2E0D"/>
    <w:rsid w:val="005F2E2E"/>
    <w:rsid w:val="005F380B"/>
    <w:rsid w:val="005F39B5"/>
    <w:rsid w:val="005F3AFC"/>
    <w:rsid w:val="005F3E97"/>
    <w:rsid w:val="005F3F82"/>
    <w:rsid w:val="005F4468"/>
    <w:rsid w:val="005F474D"/>
    <w:rsid w:val="005F5103"/>
    <w:rsid w:val="005F6FE7"/>
    <w:rsid w:val="00600A75"/>
    <w:rsid w:val="0060170C"/>
    <w:rsid w:val="00604D0F"/>
    <w:rsid w:val="00607723"/>
    <w:rsid w:val="00607ED8"/>
    <w:rsid w:val="00610D6E"/>
    <w:rsid w:val="00614552"/>
    <w:rsid w:val="00614A19"/>
    <w:rsid w:val="006151A3"/>
    <w:rsid w:val="006160B7"/>
    <w:rsid w:val="006173E3"/>
    <w:rsid w:val="00617F52"/>
    <w:rsid w:val="006205A6"/>
    <w:rsid w:val="006206A6"/>
    <w:rsid w:val="00622069"/>
    <w:rsid w:val="00622D35"/>
    <w:rsid w:val="0062410F"/>
    <w:rsid w:val="006251C6"/>
    <w:rsid w:val="006254D7"/>
    <w:rsid w:val="00626A64"/>
    <w:rsid w:val="006306AA"/>
    <w:rsid w:val="00630979"/>
    <w:rsid w:val="00632239"/>
    <w:rsid w:val="006325F2"/>
    <w:rsid w:val="00634EE0"/>
    <w:rsid w:val="00635902"/>
    <w:rsid w:val="00635AE2"/>
    <w:rsid w:val="00636935"/>
    <w:rsid w:val="0064036E"/>
    <w:rsid w:val="00640815"/>
    <w:rsid w:val="00640849"/>
    <w:rsid w:val="00640891"/>
    <w:rsid w:val="0064224C"/>
    <w:rsid w:val="006437D6"/>
    <w:rsid w:val="00643ED2"/>
    <w:rsid w:val="006443FA"/>
    <w:rsid w:val="00644D2A"/>
    <w:rsid w:val="006453A3"/>
    <w:rsid w:val="006472FF"/>
    <w:rsid w:val="006475C3"/>
    <w:rsid w:val="00650C3E"/>
    <w:rsid w:val="00651259"/>
    <w:rsid w:val="00652AAB"/>
    <w:rsid w:val="00652B26"/>
    <w:rsid w:val="00653343"/>
    <w:rsid w:val="00653939"/>
    <w:rsid w:val="0065420A"/>
    <w:rsid w:val="00654BFC"/>
    <w:rsid w:val="006555C2"/>
    <w:rsid w:val="00656C16"/>
    <w:rsid w:val="006608EE"/>
    <w:rsid w:val="0066141B"/>
    <w:rsid w:val="00661EED"/>
    <w:rsid w:val="0066563D"/>
    <w:rsid w:val="0066597A"/>
    <w:rsid w:val="00667CD2"/>
    <w:rsid w:val="00671A8A"/>
    <w:rsid w:val="00673945"/>
    <w:rsid w:val="00673E82"/>
    <w:rsid w:val="00675280"/>
    <w:rsid w:val="00675931"/>
    <w:rsid w:val="0067649A"/>
    <w:rsid w:val="006801F5"/>
    <w:rsid w:val="00680D83"/>
    <w:rsid w:val="00681361"/>
    <w:rsid w:val="00683BC4"/>
    <w:rsid w:val="006843E2"/>
    <w:rsid w:val="006854BC"/>
    <w:rsid w:val="00685697"/>
    <w:rsid w:val="006873A9"/>
    <w:rsid w:val="00687D04"/>
    <w:rsid w:val="006901D9"/>
    <w:rsid w:val="00690A67"/>
    <w:rsid w:val="0069172E"/>
    <w:rsid w:val="00692444"/>
    <w:rsid w:val="006935E0"/>
    <w:rsid w:val="00693D4F"/>
    <w:rsid w:val="00694764"/>
    <w:rsid w:val="00694B92"/>
    <w:rsid w:val="0069500E"/>
    <w:rsid w:val="006974D2"/>
    <w:rsid w:val="00697C25"/>
    <w:rsid w:val="006A092E"/>
    <w:rsid w:val="006A0B9D"/>
    <w:rsid w:val="006A0D09"/>
    <w:rsid w:val="006A113E"/>
    <w:rsid w:val="006A1F73"/>
    <w:rsid w:val="006A2A59"/>
    <w:rsid w:val="006A3FD0"/>
    <w:rsid w:val="006A57AA"/>
    <w:rsid w:val="006A5ADB"/>
    <w:rsid w:val="006A67DF"/>
    <w:rsid w:val="006A7434"/>
    <w:rsid w:val="006A7C1F"/>
    <w:rsid w:val="006B14C4"/>
    <w:rsid w:val="006B3769"/>
    <w:rsid w:val="006B3899"/>
    <w:rsid w:val="006B4EDB"/>
    <w:rsid w:val="006B5DC8"/>
    <w:rsid w:val="006B6F09"/>
    <w:rsid w:val="006C0251"/>
    <w:rsid w:val="006C0270"/>
    <w:rsid w:val="006C08A8"/>
    <w:rsid w:val="006C0FEC"/>
    <w:rsid w:val="006C1EFA"/>
    <w:rsid w:val="006C3B43"/>
    <w:rsid w:val="006C3B4C"/>
    <w:rsid w:val="006C6A1B"/>
    <w:rsid w:val="006D1D0D"/>
    <w:rsid w:val="006D36DE"/>
    <w:rsid w:val="006D3BFB"/>
    <w:rsid w:val="006D41D6"/>
    <w:rsid w:val="006D5ECF"/>
    <w:rsid w:val="006D65FB"/>
    <w:rsid w:val="006D6872"/>
    <w:rsid w:val="006D6B65"/>
    <w:rsid w:val="006D7EC0"/>
    <w:rsid w:val="006E042D"/>
    <w:rsid w:val="006E08B1"/>
    <w:rsid w:val="006E0D89"/>
    <w:rsid w:val="006E17B9"/>
    <w:rsid w:val="006E1808"/>
    <w:rsid w:val="006E1CFE"/>
    <w:rsid w:val="006E2B30"/>
    <w:rsid w:val="006E2EAB"/>
    <w:rsid w:val="006E4DB0"/>
    <w:rsid w:val="006E5B82"/>
    <w:rsid w:val="006E5E9C"/>
    <w:rsid w:val="006E63FE"/>
    <w:rsid w:val="006F003D"/>
    <w:rsid w:val="006F0A7C"/>
    <w:rsid w:val="006F2DA1"/>
    <w:rsid w:val="006F450B"/>
    <w:rsid w:val="006F5CF2"/>
    <w:rsid w:val="006F662B"/>
    <w:rsid w:val="006F7959"/>
    <w:rsid w:val="00701388"/>
    <w:rsid w:val="00702AD0"/>
    <w:rsid w:val="00703828"/>
    <w:rsid w:val="007040DB"/>
    <w:rsid w:val="00706B87"/>
    <w:rsid w:val="007078AD"/>
    <w:rsid w:val="007079D4"/>
    <w:rsid w:val="0071142C"/>
    <w:rsid w:val="007139FB"/>
    <w:rsid w:val="007146C2"/>
    <w:rsid w:val="00715997"/>
    <w:rsid w:val="00715A4B"/>
    <w:rsid w:val="00715B25"/>
    <w:rsid w:val="0071740D"/>
    <w:rsid w:val="00717CBD"/>
    <w:rsid w:val="00721966"/>
    <w:rsid w:val="00721EDF"/>
    <w:rsid w:val="00722708"/>
    <w:rsid w:val="0072468E"/>
    <w:rsid w:val="00724873"/>
    <w:rsid w:val="0072564D"/>
    <w:rsid w:val="007271EC"/>
    <w:rsid w:val="00730A7B"/>
    <w:rsid w:val="00732EBF"/>
    <w:rsid w:val="00733FB0"/>
    <w:rsid w:val="00735258"/>
    <w:rsid w:val="0073554F"/>
    <w:rsid w:val="00736019"/>
    <w:rsid w:val="00737379"/>
    <w:rsid w:val="007402C2"/>
    <w:rsid w:val="00740EB6"/>
    <w:rsid w:val="00741986"/>
    <w:rsid w:val="00741AA7"/>
    <w:rsid w:val="00741F5E"/>
    <w:rsid w:val="0074214D"/>
    <w:rsid w:val="007423BE"/>
    <w:rsid w:val="00742445"/>
    <w:rsid w:val="007425AA"/>
    <w:rsid w:val="00743ABC"/>
    <w:rsid w:val="00744D8E"/>
    <w:rsid w:val="00745C28"/>
    <w:rsid w:val="00745EB1"/>
    <w:rsid w:val="00746037"/>
    <w:rsid w:val="007502F5"/>
    <w:rsid w:val="00750821"/>
    <w:rsid w:val="00750A74"/>
    <w:rsid w:val="007511C8"/>
    <w:rsid w:val="00751305"/>
    <w:rsid w:val="00754E45"/>
    <w:rsid w:val="00754EFE"/>
    <w:rsid w:val="007561E7"/>
    <w:rsid w:val="00757315"/>
    <w:rsid w:val="00757384"/>
    <w:rsid w:val="00763880"/>
    <w:rsid w:val="00770264"/>
    <w:rsid w:val="0077234E"/>
    <w:rsid w:val="007724E1"/>
    <w:rsid w:val="0077295F"/>
    <w:rsid w:val="00772DB2"/>
    <w:rsid w:val="00773804"/>
    <w:rsid w:val="00773C54"/>
    <w:rsid w:val="0077574F"/>
    <w:rsid w:val="00776074"/>
    <w:rsid w:val="007764F0"/>
    <w:rsid w:val="0077680E"/>
    <w:rsid w:val="007771BB"/>
    <w:rsid w:val="007772CE"/>
    <w:rsid w:val="007816E9"/>
    <w:rsid w:val="0078189D"/>
    <w:rsid w:val="00781FBD"/>
    <w:rsid w:val="00782ADA"/>
    <w:rsid w:val="007830D5"/>
    <w:rsid w:val="00784959"/>
    <w:rsid w:val="007937C4"/>
    <w:rsid w:val="007946DA"/>
    <w:rsid w:val="0079605E"/>
    <w:rsid w:val="00796DAA"/>
    <w:rsid w:val="007A02ED"/>
    <w:rsid w:val="007A1A6B"/>
    <w:rsid w:val="007A1AAB"/>
    <w:rsid w:val="007A2151"/>
    <w:rsid w:val="007A2C9D"/>
    <w:rsid w:val="007A303E"/>
    <w:rsid w:val="007A5476"/>
    <w:rsid w:val="007A6204"/>
    <w:rsid w:val="007B04F8"/>
    <w:rsid w:val="007B2616"/>
    <w:rsid w:val="007B407A"/>
    <w:rsid w:val="007B5D96"/>
    <w:rsid w:val="007B5DFC"/>
    <w:rsid w:val="007C0262"/>
    <w:rsid w:val="007C12E8"/>
    <w:rsid w:val="007C2B12"/>
    <w:rsid w:val="007C5FBE"/>
    <w:rsid w:val="007C665F"/>
    <w:rsid w:val="007D008D"/>
    <w:rsid w:val="007D01FE"/>
    <w:rsid w:val="007D093E"/>
    <w:rsid w:val="007D1C42"/>
    <w:rsid w:val="007D1E89"/>
    <w:rsid w:val="007D2DA5"/>
    <w:rsid w:val="007D34C2"/>
    <w:rsid w:val="007D4627"/>
    <w:rsid w:val="007D4E36"/>
    <w:rsid w:val="007D5C5A"/>
    <w:rsid w:val="007E096A"/>
    <w:rsid w:val="007E1912"/>
    <w:rsid w:val="007E214F"/>
    <w:rsid w:val="007E2F18"/>
    <w:rsid w:val="007E3B0C"/>
    <w:rsid w:val="007E3EEC"/>
    <w:rsid w:val="007E4059"/>
    <w:rsid w:val="007E4656"/>
    <w:rsid w:val="007E499A"/>
    <w:rsid w:val="007E6F13"/>
    <w:rsid w:val="007F1151"/>
    <w:rsid w:val="007F154A"/>
    <w:rsid w:val="007F1BA9"/>
    <w:rsid w:val="007F267C"/>
    <w:rsid w:val="007F3F04"/>
    <w:rsid w:val="007F3FAA"/>
    <w:rsid w:val="007F3FE2"/>
    <w:rsid w:val="007F478D"/>
    <w:rsid w:val="007F599E"/>
    <w:rsid w:val="007F5BA2"/>
    <w:rsid w:val="007F64CD"/>
    <w:rsid w:val="007F65E2"/>
    <w:rsid w:val="007F7B21"/>
    <w:rsid w:val="00800926"/>
    <w:rsid w:val="00802B1F"/>
    <w:rsid w:val="00803F86"/>
    <w:rsid w:val="0080455A"/>
    <w:rsid w:val="008103CE"/>
    <w:rsid w:val="0081121A"/>
    <w:rsid w:val="00811571"/>
    <w:rsid w:val="00811E8D"/>
    <w:rsid w:val="0081244E"/>
    <w:rsid w:val="00812A22"/>
    <w:rsid w:val="008141CB"/>
    <w:rsid w:val="0081455A"/>
    <w:rsid w:val="00814838"/>
    <w:rsid w:val="00816933"/>
    <w:rsid w:val="00817965"/>
    <w:rsid w:val="008207DF"/>
    <w:rsid w:val="008217F1"/>
    <w:rsid w:val="008219AC"/>
    <w:rsid w:val="008252F7"/>
    <w:rsid w:val="008263BB"/>
    <w:rsid w:val="0082772C"/>
    <w:rsid w:val="00830C97"/>
    <w:rsid w:val="00833051"/>
    <w:rsid w:val="00834373"/>
    <w:rsid w:val="0083460B"/>
    <w:rsid w:val="00834714"/>
    <w:rsid w:val="00834F9E"/>
    <w:rsid w:val="008351CB"/>
    <w:rsid w:val="008357C9"/>
    <w:rsid w:val="00835BE3"/>
    <w:rsid w:val="008362B0"/>
    <w:rsid w:val="0083641D"/>
    <w:rsid w:val="00836D93"/>
    <w:rsid w:val="00837239"/>
    <w:rsid w:val="0084190B"/>
    <w:rsid w:val="00841B72"/>
    <w:rsid w:val="00842EA4"/>
    <w:rsid w:val="00842F17"/>
    <w:rsid w:val="008439DC"/>
    <w:rsid w:val="008446DA"/>
    <w:rsid w:val="00844728"/>
    <w:rsid w:val="00844F8B"/>
    <w:rsid w:val="008455C2"/>
    <w:rsid w:val="00845B2A"/>
    <w:rsid w:val="00845EAC"/>
    <w:rsid w:val="008462A2"/>
    <w:rsid w:val="008464D9"/>
    <w:rsid w:val="0084666A"/>
    <w:rsid w:val="008479E2"/>
    <w:rsid w:val="00847FFE"/>
    <w:rsid w:val="00850450"/>
    <w:rsid w:val="0085052B"/>
    <w:rsid w:val="00851220"/>
    <w:rsid w:val="00854E86"/>
    <w:rsid w:val="00855CD5"/>
    <w:rsid w:val="008567E3"/>
    <w:rsid w:val="008577AD"/>
    <w:rsid w:val="00861633"/>
    <w:rsid w:val="0086190C"/>
    <w:rsid w:val="0086239F"/>
    <w:rsid w:val="00866899"/>
    <w:rsid w:val="00867EA8"/>
    <w:rsid w:val="0087090D"/>
    <w:rsid w:val="00871F3F"/>
    <w:rsid w:val="0087512D"/>
    <w:rsid w:val="0088070D"/>
    <w:rsid w:val="00880F9B"/>
    <w:rsid w:val="00882C87"/>
    <w:rsid w:val="00882C9E"/>
    <w:rsid w:val="00882DCA"/>
    <w:rsid w:val="008830FB"/>
    <w:rsid w:val="0088440E"/>
    <w:rsid w:val="00884D61"/>
    <w:rsid w:val="0088526F"/>
    <w:rsid w:val="00886C5C"/>
    <w:rsid w:val="0088716D"/>
    <w:rsid w:val="00887A04"/>
    <w:rsid w:val="008912A0"/>
    <w:rsid w:val="008912BB"/>
    <w:rsid w:val="00892002"/>
    <w:rsid w:val="00892025"/>
    <w:rsid w:val="00892659"/>
    <w:rsid w:val="0089278F"/>
    <w:rsid w:val="00893056"/>
    <w:rsid w:val="0089389E"/>
    <w:rsid w:val="00893C06"/>
    <w:rsid w:val="00895A0D"/>
    <w:rsid w:val="00895EE2"/>
    <w:rsid w:val="00896A23"/>
    <w:rsid w:val="00896F29"/>
    <w:rsid w:val="0089719C"/>
    <w:rsid w:val="00897273"/>
    <w:rsid w:val="00897A1B"/>
    <w:rsid w:val="008A0D53"/>
    <w:rsid w:val="008A0DE3"/>
    <w:rsid w:val="008A12AF"/>
    <w:rsid w:val="008A16E4"/>
    <w:rsid w:val="008A2496"/>
    <w:rsid w:val="008A399B"/>
    <w:rsid w:val="008A3EED"/>
    <w:rsid w:val="008A4B8C"/>
    <w:rsid w:val="008A5C08"/>
    <w:rsid w:val="008A6CD6"/>
    <w:rsid w:val="008A7C92"/>
    <w:rsid w:val="008B05BA"/>
    <w:rsid w:val="008B098A"/>
    <w:rsid w:val="008B0DCC"/>
    <w:rsid w:val="008B1ACA"/>
    <w:rsid w:val="008B1C74"/>
    <w:rsid w:val="008B2856"/>
    <w:rsid w:val="008B4913"/>
    <w:rsid w:val="008B4A16"/>
    <w:rsid w:val="008B4B39"/>
    <w:rsid w:val="008B534B"/>
    <w:rsid w:val="008B747B"/>
    <w:rsid w:val="008C0940"/>
    <w:rsid w:val="008C1227"/>
    <w:rsid w:val="008C24F8"/>
    <w:rsid w:val="008C2738"/>
    <w:rsid w:val="008C27F6"/>
    <w:rsid w:val="008C2C9A"/>
    <w:rsid w:val="008C5362"/>
    <w:rsid w:val="008C6924"/>
    <w:rsid w:val="008C750E"/>
    <w:rsid w:val="008C7FEB"/>
    <w:rsid w:val="008D0C27"/>
    <w:rsid w:val="008D15D8"/>
    <w:rsid w:val="008D1C48"/>
    <w:rsid w:val="008D1F44"/>
    <w:rsid w:val="008D3136"/>
    <w:rsid w:val="008D59BC"/>
    <w:rsid w:val="008D5C57"/>
    <w:rsid w:val="008D642E"/>
    <w:rsid w:val="008D7EAA"/>
    <w:rsid w:val="008E0102"/>
    <w:rsid w:val="008E0266"/>
    <w:rsid w:val="008E0ACF"/>
    <w:rsid w:val="008E141B"/>
    <w:rsid w:val="008E17DE"/>
    <w:rsid w:val="008F013C"/>
    <w:rsid w:val="008F015D"/>
    <w:rsid w:val="008F04F2"/>
    <w:rsid w:val="008F0688"/>
    <w:rsid w:val="008F075F"/>
    <w:rsid w:val="008F0A75"/>
    <w:rsid w:val="008F0D09"/>
    <w:rsid w:val="008F175B"/>
    <w:rsid w:val="008F42B5"/>
    <w:rsid w:val="008F5385"/>
    <w:rsid w:val="008F5CB9"/>
    <w:rsid w:val="008F6CFE"/>
    <w:rsid w:val="009007EC"/>
    <w:rsid w:val="00902A59"/>
    <w:rsid w:val="00903870"/>
    <w:rsid w:val="0090629D"/>
    <w:rsid w:val="00906A4E"/>
    <w:rsid w:val="009079CE"/>
    <w:rsid w:val="00907DA2"/>
    <w:rsid w:val="00910C90"/>
    <w:rsid w:val="00912C9C"/>
    <w:rsid w:val="0091449C"/>
    <w:rsid w:val="009153B0"/>
    <w:rsid w:val="00916F48"/>
    <w:rsid w:val="00917875"/>
    <w:rsid w:val="0091792E"/>
    <w:rsid w:val="00917D0D"/>
    <w:rsid w:val="00920680"/>
    <w:rsid w:val="009225E7"/>
    <w:rsid w:val="00922617"/>
    <w:rsid w:val="00924A6F"/>
    <w:rsid w:val="00925DBA"/>
    <w:rsid w:val="00926DBE"/>
    <w:rsid w:val="00934147"/>
    <w:rsid w:val="0093632F"/>
    <w:rsid w:val="009366C1"/>
    <w:rsid w:val="00936E66"/>
    <w:rsid w:val="009378DC"/>
    <w:rsid w:val="00937904"/>
    <w:rsid w:val="00937E00"/>
    <w:rsid w:val="00937F8A"/>
    <w:rsid w:val="00940097"/>
    <w:rsid w:val="0094028D"/>
    <w:rsid w:val="009402C8"/>
    <w:rsid w:val="009410CC"/>
    <w:rsid w:val="00941BD3"/>
    <w:rsid w:val="00942623"/>
    <w:rsid w:val="009429EE"/>
    <w:rsid w:val="0094317C"/>
    <w:rsid w:val="00943A54"/>
    <w:rsid w:val="00943E71"/>
    <w:rsid w:val="00946E36"/>
    <w:rsid w:val="00947E0D"/>
    <w:rsid w:val="00950A55"/>
    <w:rsid w:val="00950AA6"/>
    <w:rsid w:val="00950E65"/>
    <w:rsid w:val="00951B43"/>
    <w:rsid w:val="00951C58"/>
    <w:rsid w:val="00951CDD"/>
    <w:rsid w:val="00953081"/>
    <w:rsid w:val="009537FE"/>
    <w:rsid w:val="00953BD1"/>
    <w:rsid w:val="009544BF"/>
    <w:rsid w:val="00954745"/>
    <w:rsid w:val="00954CD9"/>
    <w:rsid w:val="00957044"/>
    <w:rsid w:val="00957210"/>
    <w:rsid w:val="00957982"/>
    <w:rsid w:val="00957C84"/>
    <w:rsid w:val="00960472"/>
    <w:rsid w:val="009641C8"/>
    <w:rsid w:val="00965342"/>
    <w:rsid w:val="00965B2E"/>
    <w:rsid w:val="00965F88"/>
    <w:rsid w:val="00966602"/>
    <w:rsid w:val="00966DA5"/>
    <w:rsid w:val="0096718C"/>
    <w:rsid w:val="009672E9"/>
    <w:rsid w:val="009710B0"/>
    <w:rsid w:val="00971BB3"/>
    <w:rsid w:val="00971D13"/>
    <w:rsid w:val="0097346D"/>
    <w:rsid w:val="009746F7"/>
    <w:rsid w:val="009752C0"/>
    <w:rsid w:val="00975BFA"/>
    <w:rsid w:val="009766E3"/>
    <w:rsid w:val="00976A34"/>
    <w:rsid w:val="0097715F"/>
    <w:rsid w:val="00981B72"/>
    <w:rsid w:val="00985CDD"/>
    <w:rsid w:val="00987472"/>
    <w:rsid w:val="00987751"/>
    <w:rsid w:val="0098797C"/>
    <w:rsid w:val="00987A5F"/>
    <w:rsid w:val="00992140"/>
    <w:rsid w:val="0099278B"/>
    <w:rsid w:val="00992AD9"/>
    <w:rsid w:val="009A039D"/>
    <w:rsid w:val="009A09EF"/>
    <w:rsid w:val="009A4152"/>
    <w:rsid w:val="009A44D8"/>
    <w:rsid w:val="009B01EE"/>
    <w:rsid w:val="009B098B"/>
    <w:rsid w:val="009B14CC"/>
    <w:rsid w:val="009B188B"/>
    <w:rsid w:val="009B1D5D"/>
    <w:rsid w:val="009B26A9"/>
    <w:rsid w:val="009B2B23"/>
    <w:rsid w:val="009B2E11"/>
    <w:rsid w:val="009B3E70"/>
    <w:rsid w:val="009B4131"/>
    <w:rsid w:val="009B4793"/>
    <w:rsid w:val="009B4E7B"/>
    <w:rsid w:val="009B509D"/>
    <w:rsid w:val="009B797F"/>
    <w:rsid w:val="009C05BD"/>
    <w:rsid w:val="009C140A"/>
    <w:rsid w:val="009C2A1D"/>
    <w:rsid w:val="009C405A"/>
    <w:rsid w:val="009C4434"/>
    <w:rsid w:val="009C4844"/>
    <w:rsid w:val="009C552A"/>
    <w:rsid w:val="009C6868"/>
    <w:rsid w:val="009D3167"/>
    <w:rsid w:val="009D4331"/>
    <w:rsid w:val="009D4AA7"/>
    <w:rsid w:val="009D4B66"/>
    <w:rsid w:val="009D7FC6"/>
    <w:rsid w:val="009E0490"/>
    <w:rsid w:val="009E0662"/>
    <w:rsid w:val="009E22E8"/>
    <w:rsid w:val="009E2417"/>
    <w:rsid w:val="009E2AC2"/>
    <w:rsid w:val="009E3023"/>
    <w:rsid w:val="009E34C9"/>
    <w:rsid w:val="009E4E93"/>
    <w:rsid w:val="009E60ED"/>
    <w:rsid w:val="009E7111"/>
    <w:rsid w:val="009E7F4D"/>
    <w:rsid w:val="009F0632"/>
    <w:rsid w:val="009F14C7"/>
    <w:rsid w:val="009F1891"/>
    <w:rsid w:val="009F2A64"/>
    <w:rsid w:val="009F3195"/>
    <w:rsid w:val="009F5083"/>
    <w:rsid w:val="009F60F9"/>
    <w:rsid w:val="00A00160"/>
    <w:rsid w:val="00A003B3"/>
    <w:rsid w:val="00A0075F"/>
    <w:rsid w:val="00A03097"/>
    <w:rsid w:val="00A036E9"/>
    <w:rsid w:val="00A03C2A"/>
    <w:rsid w:val="00A05C13"/>
    <w:rsid w:val="00A06552"/>
    <w:rsid w:val="00A06A37"/>
    <w:rsid w:val="00A0721C"/>
    <w:rsid w:val="00A07C62"/>
    <w:rsid w:val="00A07D85"/>
    <w:rsid w:val="00A100F3"/>
    <w:rsid w:val="00A12930"/>
    <w:rsid w:val="00A12B8C"/>
    <w:rsid w:val="00A131DD"/>
    <w:rsid w:val="00A1366F"/>
    <w:rsid w:val="00A13DEA"/>
    <w:rsid w:val="00A14637"/>
    <w:rsid w:val="00A16351"/>
    <w:rsid w:val="00A1797E"/>
    <w:rsid w:val="00A17AFD"/>
    <w:rsid w:val="00A20F92"/>
    <w:rsid w:val="00A21F0D"/>
    <w:rsid w:val="00A22EB9"/>
    <w:rsid w:val="00A24DA8"/>
    <w:rsid w:val="00A25538"/>
    <w:rsid w:val="00A26179"/>
    <w:rsid w:val="00A27AA4"/>
    <w:rsid w:val="00A30538"/>
    <w:rsid w:val="00A31468"/>
    <w:rsid w:val="00A326AD"/>
    <w:rsid w:val="00A328A2"/>
    <w:rsid w:val="00A33797"/>
    <w:rsid w:val="00A35DBD"/>
    <w:rsid w:val="00A36506"/>
    <w:rsid w:val="00A373CD"/>
    <w:rsid w:val="00A37D93"/>
    <w:rsid w:val="00A406DA"/>
    <w:rsid w:val="00A41DFC"/>
    <w:rsid w:val="00A4214E"/>
    <w:rsid w:val="00A43599"/>
    <w:rsid w:val="00A43B78"/>
    <w:rsid w:val="00A43EF9"/>
    <w:rsid w:val="00A4472B"/>
    <w:rsid w:val="00A44B1E"/>
    <w:rsid w:val="00A4508A"/>
    <w:rsid w:val="00A459BC"/>
    <w:rsid w:val="00A47224"/>
    <w:rsid w:val="00A47B19"/>
    <w:rsid w:val="00A5148B"/>
    <w:rsid w:val="00A515B6"/>
    <w:rsid w:val="00A52E02"/>
    <w:rsid w:val="00A533E4"/>
    <w:rsid w:val="00A53AB9"/>
    <w:rsid w:val="00A56F71"/>
    <w:rsid w:val="00A57107"/>
    <w:rsid w:val="00A57879"/>
    <w:rsid w:val="00A6110D"/>
    <w:rsid w:val="00A62FDB"/>
    <w:rsid w:val="00A64AA9"/>
    <w:rsid w:val="00A64E00"/>
    <w:rsid w:val="00A65111"/>
    <w:rsid w:val="00A67D2F"/>
    <w:rsid w:val="00A7053E"/>
    <w:rsid w:val="00A706E2"/>
    <w:rsid w:val="00A70B47"/>
    <w:rsid w:val="00A710DC"/>
    <w:rsid w:val="00A7272C"/>
    <w:rsid w:val="00A72CDB"/>
    <w:rsid w:val="00A730F3"/>
    <w:rsid w:val="00A75255"/>
    <w:rsid w:val="00A77899"/>
    <w:rsid w:val="00A80044"/>
    <w:rsid w:val="00A80068"/>
    <w:rsid w:val="00A804C4"/>
    <w:rsid w:val="00A82623"/>
    <w:rsid w:val="00A859AC"/>
    <w:rsid w:val="00A85EB6"/>
    <w:rsid w:val="00A872A6"/>
    <w:rsid w:val="00A87309"/>
    <w:rsid w:val="00A87621"/>
    <w:rsid w:val="00A87AEC"/>
    <w:rsid w:val="00A92406"/>
    <w:rsid w:val="00A942FE"/>
    <w:rsid w:val="00A94FCA"/>
    <w:rsid w:val="00A95500"/>
    <w:rsid w:val="00A965A3"/>
    <w:rsid w:val="00A96D00"/>
    <w:rsid w:val="00A9700D"/>
    <w:rsid w:val="00AA0079"/>
    <w:rsid w:val="00AA035E"/>
    <w:rsid w:val="00AA0E36"/>
    <w:rsid w:val="00AA0F9A"/>
    <w:rsid w:val="00AA3883"/>
    <w:rsid w:val="00AA3CA0"/>
    <w:rsid w:val="00AA4068"/>
    <w:rsid w:val="00AA4A5D"/>
    <w:rsid w:val="00AA4B8A"/>
    <w:rsid w:val="00AA5950"/>
    <w:rsid w:val="00AA5D46"/>
    <w:rsid w:val="00AA718C"/>
    <w:rsid w:val="00AB2AA1"/>
    <w:rsid w:val="00AB2EF9"/>
    <w:rsid w:val="00AB3013"/>
    <w:rsid w:val="00AB6F88"/>
    <w:rsid w:val="00AB7391"/>
    <w:rsid w:val="00AB7D95"/>
    <w:rsid w:val="00AC0184"/>
    <w:rsid w:val="00AC2442"/>
    <w:rsid w:val="00AC3461"/>
    <w:rsid w:val="00AC3965"/>
    <w:rsid w:val="00AC4C7C"/>
    <w:rsid w:val="00AC4E18"/>
    <w:rsid w:val="00AC4FBF"/>
    <w:rsid w:val="00AC5C0C"/>
    <w:rsid w:val="00AC5FC8"/>
    <w:rsid w:val="00AC647A"/>
    <w:rsid w:val="00AC69D5"/>
    <w:rsid w:val="00AC6D1C"/>
    <w:rsid w:val="00AC6E55"/>
    <w:rsid w:val="00AC7445"/>
    <w:rsid w:val="00AC7617"/>
    <w:rsid w:val="00AD0591"/>
    <w:rsid w:val="00AD1276"/>
    <w:rsid w:val="00AD14AA"/>
    <w:rsid w:val="00AD1712"/>
    <w:rsid w:val="00AD1EEA"/>
    <w:rsid w:val="00AD2AE7"/>
    <w:rsid w:val="00AD3720"/>
    <w:rsid w:val="00AD5231"/>
    <w:rsid w:val="00AD65DE"/>
    <w:rsid w:val="00AE1ECA"/>
    <w:rsid w:val="00AE2ED1"/>
    <w:rsid w:val="00AE364A"/>
    <w:rsid w:val="00AE39D5"/>
    <w:rsid w:val="00AE429E"/>
    <w:rsid w:val="00AE460C"/>
    <w:rsid w:val="00AE50D5"/>
    <w:rsid w:val="00AE657B"/>
    <w:rsid w:val="00AE6783"/>
    <w:rsid w:val="00AE78B9"/>
    <w:rsid w:val="00AF083D"/>
    <w:rsid w:val="00AF0F0A"/>
    <w:rsid w:val="00AF1BDF"/>
    <w:rsid w:val="00AF3A1C"/>
    <w:rsid w:val="00AF40A3"/>
    <w:rsid w:val="00AF4460"/>
    <w:rsid w:val="00AF5949"/>
    <w:rsid w:val="00AF6C53"/>
    <w:rsid w:val="00AF6E13"/>
    <w:rsid w:val="00B0131F"/>
    <w:rsid w:val="00B01DB5"/>
    <w:rsid w:val="00B01DC5"/>
    <w:rsid w:val="00B02D5A"/>
    <w:rsid w:val="00B0338E"/>
    <w:rsid w:val="00B05D93"/>
    <w:rsid w:val="00B062B7"/>
    <w:rsid w:val="00B06C5A"/>
    <w:rsid w:val="00B070DE"/>
    <w:rsid w:val="00B07611"/>
    <w:rsid w:val="00B10112"/>
    <w:rsid w:val="00B10140"/>
    <w:rsid w:val="00B10186"/>
    <w:rsid w:val="00B10971"/>
    <w:rsid w:val="00B115F2"/>
    <w:rsid w:val="00B1312C"/>
    <w:rsid w:val="00B13B65"/>
    <w:rsid w:val="00B1568F"/>
    <w:rsid w:val="00B17245"/>
    <w:rsid w:val="00B22B8B"/>
    <w:rsid w:val="00B22FA4"/>
    <w:rsid w:val="00B23427"/>
    <w:rsid w:val="00B26DEA"/>
    <w:rsid w:val="00B27F14"/>
    <w:rsid w:val="00B30A37"/>
    <w:rsid w:val="00B3132D"/>
    <w:rsid w:val="00B3171B"/>
    <w:rsid w:val="00B322A2"/>
    <w:rsid w:val="00B32A08"/>
    <w:rsid w:val="00B34A4D"/>
    <w:rsid w:val="00B35B55"/>
    <w:rsid w:val="00B363B7"/>
    <w:rsid w:val="00B36518"/>
    <w:rsid w:val="00B3730C"/>
    <w:rsid w:val="00B3755E"/>
    <w:rsid w:val="00B410E7"/>
    <w:rsid w:val="00B4232A"/>
    <w:rsid w:val="00B43374"/>
    <w:rsid w:val="00B43B00"/>
    <w:rsid w:val="00B46A24"/>
    <w:rsid w:val="00B474DB"/>
    <w:rsid w:val="00B50F51"/>
    <w:rsid w:val="00B52397"/>
    <w:rsid w:val="00B53718"/>
    <w:rsid w:val="00B539FE"/>
    <w:rsid w:val="00B545EC"/>
    <w:rsid w:val="00B54714"/>
    <w:rsid w:val="00B551E4"/>
    <w:rsid w:val="00B568D7"/>
    <w:rsid w:val="00B56F4C"/>
    <w:rsid w:val="00B600B6"/>
    <w:rsid w:val="00B60AD5"/>
    <w:rsid w:val="00B62331"/>
    <w:rsid w:val="00B62A25"/>
    <w:rsid w:val="00B64894"/>
    <w:rsid w:val="00B70099"/>
    <w:rsid w:val="00B712D3"/>
    <w:rsid w:val="00B7137B"/>
    <w:rsid w:val="00B71E6B"/>
    <w:rsid w:val="00B7213A"/>
    <w:rsid w:val="00B7359B"/>
    <w:rsid w:val="00B74143"/>
    <w:rsid w:val="00B74728"/>
    <w:rsid w:val="00B74C19"/>
    <w:rsid w:val="00B74D1D"/>
    <w:rsid w:val="00B7622F"/>
    <w:rsid w:val="00B7668A"/>
    <w:rsid w:val="00B804DA"/>
    <w:rsid w:val="00B81A00"/>
    <w:rsid w:val="00B81B24"/>
    <w:rsid w:val="00B82A3D"/>
    <w:rsid w:val="00B82DF7"/>
    <w:rsid w:val="00B83809"/>
    <w:rsid w:val="00B84555"/>
    <w:rsid w:val="00B87256"/>
    <w:rsid w:val="00B90C3E"/>
    <w:rsid w:val="00B90F17"/>
    <w:rsid w:val="00B91B65"/>
    <w:rsid w:val="00B92311"/>
    <w:rsid w:val="00B93FD7"/>
    <w:rsid w:val="00B94518"/>
    <w:rsid w:val="00B9528F"/>
    <w:rsid w:val="00B963BB"/>
    <w:rsid w:val="00B97152"/>
    <w:rsid w:val="00B97202"/>
    <w:rsid w:val="00B976C4"/>
    <w:rsid w:val="00BA09A2"/>
    <w:rsid w:val="00BA0F8B"/>
    <w:rsid w:val="00BA4326"/>
    <w:rsid w:val="00BA7265"/>
    <w:rsid w:val="00BA7C65"/>
    <w:rsid w:val="00BA7DB7"/>
    <w:rsid w:val="00BB00CF"/>
    <w:rsid w:val="00BB10C1"/>
    <w:rsid w:val="00BB1D6B"/>
    <w:rsid w:val="00BB221D"/>
    <w:rsid w:val="00BB2919"/>
    <w:rsid w:val="00BB2934"/>
    <w:rsid w:val="00BB3BF3"/>
    <w:rsid w:val="00BB4163"/>
    <w:rsid w:val="00BB4E9C"/>
    <w:rsid w:val="00BB55B8"/>
    <w:rsid w:val="00BB59C6"/>
    <w:rsid w:val="00BB6EC9"/>
    <w:rsid w:val="00BC02FE"/>
    <w:rsid w:val="00BC30F7"/>
    <w:rsid w:val="00BC35D2"/>
    <w:rsid w:val="00BC39E8"/>
    <w:rsid w:val="00BC3D20"/>
    <w:rsid w:val="00BC5F57"/>
    <w:rsid w:val="00BC61C3"/>
    <w:rsid w:val="00BC6EF7"/>
    <w:rsid w:val="00BD00DE"/>
    <w:rsid w:val="00BD1356"/>
    <w:rsid w:val="00BD2C26"/>
    <w:rsid w:val="00BD2E9D"/>
    <w:rsid w:val="00BD35AF"/>
    <w:rsid w:val="00BD3C09"/>
    <w:rsid w:val="00BD6050"/>
    <w:rsid w:val="00BD6BD1"/>
    <w:rsid w:val="00BD72A6"/>
    <w:rsid w:val="00BD77C9"/>
    <w:rsid w:val="00BD7BDE"/>
    <w:rsid w:val="00BE095C"/>
    <w:rsid w:val="00BE0A07"/>
    <w:rsid w:val="00BE17E4"/>
    <w:rsid w:val="00BE1C69"/>
    <w:rsid w:val="00BE2A0C"/>
    <w:rsid w:val="00BE32A2"/>
    <w:rsid w:val="00BE38D6"/>
    <w:rsid w:val="00BE3F7E"/>
    <w:rsid w:val="00BE4743"/>
    <w:rsid w:val="00BE4BC7"/>
    <w:rsid w:val="00BE4E8A"/>
    <w:rsid w:val="00BE5A14"/>
    <w:rsid w:val="00BF0070"/>
    <w:rsid w:val="00BF1F65"/>
    <w:rsid w:val="00BF4017"/>
    <w:rsid w:val="00BF5132"/>
    <w:rsid w:val="00BF53CB"/>
    <w:rsid w:val="00BF67D0"/>
    <w:rsid w:val="00BF786F"/>
    <w:rsid w:val="00C00841"/>
    <w:rsid w:val="00C01C81"/>
    <w:rsid w:val="00C0234C"/>
    <w:rsid w:val="00C02EE7"/>
    <w:rsid w:val="00C044C8"/>
    <w:rsid w:val="00C04BC4"/>
    <w:rsid w:val="00C05C5F"/>
    <w:rsid w:val="00C05E25"/>
    <w:rsid w:val="00C0635B"/>
    <w:rsid w:val="00C0652E"/>
    <w:rsid w:val="00C06DBE"/>
    <w:rsid w:val="00C0704A"/>
    <w:rsid w:val="00C10335"/>
    <w:rsid w:val="00C105E3"/>
    <w:rsid w:val="00C10C93"/>
    <w:rsid w:val="00C12D75"/>
    <w:rsid w:val="00C13466"/>
    <w:rsid w:val="00C140F0"/>
    <w:rsid w:val="00C165FA"/>
    <w:rsid w:val="00C16E6E"/>
    <w:rsid w:val="00C1749F"/>
    <w:rsid w:val="00C20261"/>
    <w:rsid w:val="00C203B0"/>
    <w:rsid w:val="00C20897"/>
    <w:rsid w:val="00C20EF2"/>
    <w:rsid w:val="00C227FB"/>
    <w:rsid w:val="00C23748"/>
    <w:rsid w:val="00C24781"/>
    <w:rsid w:val="00C25D70"/>
    <w:rsid w:val="00C25DB4"/>
    <w:rsid w:val="00C26981"/>
    <w:rsid w:val="00C2784B"/>
    <w:rsid w:val="00C27B05"/>
    <w:rsid w:val="00C27C39"/>
    <w:rsid w:val="00C301B9"/>
    <w:rsid w:val="00C32160"/>
    <w:rsid w:val="00C33F03"/>
    <w:rsid w:val="00C34924"/>
    <w:rsid w:val="00C34CDB"/>
    <w:rsid w:val="00C34FA8"/>
    <w:rsid w:val="00C36624"/>
    <w:rsid w:val="00C40DB3"/>
    <w:rsid w:val="00C44249"/>
    <w:rsid w:val="00C44542"/>
    <w:rsid w:val="00C4527E"/>
    <w:rsid w:val="00C45C46"/>
    <w:rsid w:val="00C45C9E"/>
    <w:rsid w:val="00C45CA6"/>
    <w:rsid w:val="00C5287B"/>
    <w:rsid w:val="00C534D3"/>
    <w:rsid w:val="00C53A7B"/>
    <w:rsid w:val="00C5476E"/>
    <w:rsid w:val="00C55B99"/>
    <w:rsid w:val="00C5724C"/>
    <w:rsid w:val="00C603AE"/>
    <w:rsid w:val="00C6247F"/>
    <w:rsid w:val="00C62E25"/>
    <w:rsid w:val="00C6356B"/>
    <w:rsid w:val="00C63642"/>
    <w:rsid w:val="00C64E06"/>
    <w:rsid w:val="00C659AB"/>
    <w:rsid w:val="00C65B09"/>
    <w:rsid w:val="00C65DE2"/>
    <w:rsid w:val="00C674DA"/>
    <w:rsid w:val="00C7176F"/>
    <w:rsid w:val="00C71A86"/>
    <w:rsid w:val="00C71DC1"/>
    <w:rsid w:val="00C737E7"/>
    <w:rsid w:val="00C73932"/>
    <w:rsid w:val="00C73CEC"/>
    <w:rsid w:val="00C7564E"/>
    <w:rsid w:val="00C75C03"/>
    <w:rsid w:val="00C75C23"/>
    <w:rsid w:val="00C7636B"/>
    <w:rsid w:val="00C76D9C"/>
    <w:rsid w:val="00C83F69"/>
    <w:rsid w:val="00C86FB7"/>
    <w:rsid w:val="00C901F6"/>
    <w:rsid w:val="00C9071E"/>
    <w:rsid w:val="00C9186C"/>
    <w:rsid w:val="00C91A9A"/>
    <w:rsid w:val="00C92FE8"/>
    <w:rsid w:val="00C935BE"/>
    <w:rsid w:val="00C9448D"/>
    <w:rsid w:val="00C94C2D"/>
    <w:rsid w:val="00C95237"/>
    <w:rsid w:val="00C95338"/>
    <w:rsid w:val="00C954B3"/>
    <w:rsid w:val="00CA2ABD"/>
    <w:rsid w:val="00CA2F07"/>
    <w:rsid w:val="00CA3D13"/>
    <w:rsid w:val="00CA4AC9"/>
    <w:rsid w:val="00CA4C6E"/>
    <w:rsid w:val="00CA5086"/>
    <w:rsid w:val="00CA5206"/>
    <w:rsid w:val="00CA5360"/>
    <w:rsid w:val="00CA559F"/>
    <w:rsid w:val="00CA782A"/>
    <w:rsid w:val="00CA79E9"/>
    <w:rsid w:val="00CB0274"/>
    <w:rsid w:val="00CB123D"/>
    <w:rsid w:val="00CB1762"/>
    <w:rsid w:val="00CB1E08"/>
    <w:rsid w:val="00CB3649"/>
    <w:rsid w:val="00CB4571"/>
    <w:rsid w:val="00CB4B3D"/>
    <w:rsid w:val="00CB5563"/>
    <w:rsid w:val="00CB65A8"/>
    <w:rsid w:val="00CB70C6"/>
    <w:rsid w:val="00CB7288"/>
    <w:rsid w:val="00CB76BC"/>
    <w:rsid w:val="00CB77F2"/>
    <w:rsid w:val="00CC146D"/>
    <w:rsid w:val="00CC3F0C"/>
    <w:rsid w:val="00CC5413"/>
    <w:rsid w:val="00CC54B7"/>
    <w:rsid w:val="00CC64DD"/>
    <w:rsid w:val="00CC7184"/>
    <w:rsid w:val="00CC784D"/>
    <w:rsid w:val="00CC7F72"/>
    <w:rsid w:val="00CD14E9"/>
    <w:rsid w:val="00CD1A49"/>
    <w:rsid w:val="00CD2FCD"/>
    <w:rsid w:val="00CD47EB"/>
    <w:rsid w:val="00CD553B"/>
    <w:rsid w:val="00CD7FD8"/>
    <w:rsid w:val="00CE189F"/>
    <w:rsid w:val="00CE2A9C"/>
    <w:rsid w:val="00CE3C5D"/>
    <w:rsid w:val="00CE3CA3"/>
    <w:rsid w:val="00CE3E59"/>
    <w:rsid w:val="00CE44DD"/>
    <w:rsid w:val="00CE4D65"/>
    <w:rsid w:val="00CE5887"/>
    <w:rsid w:val="00CE5AFF"/>
    <w:rsid w:val="00CE5B04"/>
    <w:rsid w:val="00CE606A"/>
    <w:rsid w:val="00CE62A9"/>
    <w:rsid w:val="00CE69D1"/>
    <w:rsid w:val="00CF003D"/>
    <w:rsid w:val="00CF0F47"/>
    <w:rsid w:val="00CF11B9"/>
    <w:rsid w:val="00CF200D"/>
    <w:rsid w:val="00CF25B7"/>
    <w:rsid w:val="00CF2D66"/>
    <w:rsid w:val="00CF2DB0"/>
    <w:rsid w:val="00CF31C6"/>
    <w:rsid w:val="00CF4A41"/>
    <w:rsid w:val="00CF5A84"/>
    <w:rsid w:val="00CF7B38"/>
    <w:rsid w:val="00D01D7C"/>
    <w:rsid w:val="00D020EE"/>
    <w:rsid w:val="00D02ABB"/>
    <w:rsid w:val="00D04204"/>
    <w:rsid w:val="00D04468"/>
    <w:rsid w:val="00D047A9"/>
    <w:rsid w:val="00D04935"/>
    <w:rsid w:val="00D05CEC"/>
    <w:rsid w:val="00D06055"/>
    <w:rsid w:val="00D06861"/>
    <w:rsid w:val="00D069E8"/>
    <w:rsid w:val="00D06AEC"/>
    <w:rsid w:val="00D0724D"/>
    <w:rsid w:val="00D073DB"/>
    <w:rsid w:val="00D102B9"/>
    <w:rsid w:val="00D12C83"/>
    <w:rsid w:val="00D13EAB"/>
    <w:rsid w:val="00D14293"/>
    <w:rsid w:val="00D15609"/>
    <w:rsid w:val="00D15825"/>
    <w:rsid w:val="00D15B57"/>
    <w:rsid w:val="00D15BB4"/>
    <w:rsid w:val="00D15CBF"/>
    <w:rsid w:val="00D15DAE"/>
    <w:rsid w:val="00D20185"/>
    <w:rsid w:val="00D22523"/>
    <w:rsid w:val="00D22A6F"/>
    <w:rsid w:val="00D24815"/>
    <w:rsid w:val="00D24E2D"/>
    <w:rsid w:val="00D27447"/>
    <w:rsid w:val="00D305DD"/>
    <w:rsid w:val="00D31F3F"/>
    <w:rsid w:val="00D32CB8"/>
    <w:rsid w:val="00D35662"/>
    <w:rsid w:val="00D37319"/>
    <w:rsid w:val="00D4136D"/>
    <w:rsid w:val="00D42ABF"/>
    <w:rsid w:val="00D43900"/>
    <w:rsid w:val="00D43E57"/>
    <w:rsid w:val="00D462C3"/>
    <w:rsid w:val="00D4677C"/>
    <w:rsid w:val="00D46CF5"/>
    <w:rsid w:val="00D46D06"/>
    <w:rsid w:val="00D46EC4"/>
    <w:rsid w:val="00D505BB"/>
    <w:rsid w:val="00D510ED"/>
    <w:rsid w:val="00D51298"/>
    <w:rsid w:val="00D526B9"/>
    <w:rsid w:val="00D53E99"/>
    <w:rsid w:val="00D5470A"/>
    <w:rsid w:val="00D55126"/>
    <w:rsid w:val="00D55DC4"/>
    <w:rsid w:val="00D56CCA"/>
    <w:rsid w:val="00D620F0"/>
    <w:rsid w:val="00D62DCD"/>
    <w:rsid w:val="00D63001"/>
    <w:rsid w:val="00D65F59"/>
    <w:rsid w:val="00D6774F"/>
    <w:rsid w:val="00D71D32"/>
    <w:rsid w:val="00D72965"/>
    <w:rsid w:val="00D729C0"/>
    <w:rsid w:val="00D7406F"/>
    <w:rsid w:val="00D75C9E"/>
    <w:rsid w:val="00D76095"/>
    <w:rsid w:val="00D76880"/>
    <w:rsid w:val="00D8078B"/>
    <w:rsid w:val="00D810F4"/>
    <w:rsid w:val="00D8209F"/>
    <w:rsid w:val="00D83069"/>
    <w:rsid w:val="00D83D86"/>
    <w:rsid w:val="00D83E01"/>
    <w:rsid w:val="00D84104"/>
    <w:rsid w:val="00D84DA3"/>
    <w:rsid w:val="00D852C6"/>
    <w:rsid w:val="00D8735C"/>
    <w:rsid w:val="00D90B98"/>
    <w:rsid w:val="00D913F9"/>
    <w:rsid w:val="00D9157B"/>
    <w:rsid w:val="00D928B3"/>
    <w:rsid w:val="00D94373"/>
    <w:rsid w:val="00D9460B"/>
    <w:rsid w:val="00D95052"/>
    <w:rsid w:val="00D9545D"/>
    <w:rsid w:val="00D9664F"/>
    <w:rsid w:val="00D97971"/>
    <w:rsid w:val="00DA0FAD"/>
    <w:rsid w:val="00DA10FD"/>
    <w:rsid w:val="00DA1AC3"/>
    <w:rsid w:val="00DA1FD1"/>
    <w:rsid w:val="00DA2D42"/>
    <w:rsid w:val="00DA2D75"/>
    <w:rsid w:val="00DA33F4"/>
    <w:rsid w:val="00DA3F1E"/>
    <w:rsid w:val="00DA474D"/>
    <w:rsid w:val="00DA47FE"/>
    <w:rsid w:val="00DA4AE9"/>
    <w:rsid w:val="00DA4E81"/>
    <w:rsid w:val="00DA578C"/>
    <w:rsid w:val="00DA6DC3"/>
    <w:rsid w:val="00DA7B08"/>
    <w:rsid w:val="00DA7B7C"/>
    <w:rsid w:val="00DB240D"/>
    <w:rsid w:val="00DB2A62"/>
    <w:rsid w:val="00DB3783"/>
    <w:rsid w:val="00DB4E26"/>
    <w:rsid w:val="00DB7119"/>
    <w:rsid w:val="00DC09B5"/>
    <w:rsid w:val="00DC0CDF"/>
    <w:rsid w:val="00DC0FD7"/>
    <w:rsid w:val="00DC14F8"/>
    <w:rsid w:val="00DC1AE9"/>
    <w:rsid w:val="00DC1C81"/>
    <w:rsid w:val="00DC20FA"/>
    <w:rsid w:val="00DC31AF"/>
    <w:rsid w:val="00DC4533"/>
    <w:rsid w:val="00DC5736"/>
    <w:rsid w:val="00DD042A"/>
    <w:rsid w:val="00DD2A46"/>
    <w:rsid w:val="00DD3258"/>
    <w:rsid w:val="00DD4416"/>
    <w:rsid w:val="00DD505A"/>
    <w:rsid w:val="00DD5D86"/>
    <w:rsid w:val="00DE1F61"/>
    <w:rsid w:val="00DE2B39"/>
    <w:rsid w:val="00DE2B54"/>
    <w:rsid w:val="00DE2E38"/>
    <w:rsid w:val="00DE4472"/>
    <w:rsid w:val="00DE481E"/>
    <w:rsid w:val="00DE7C7A"/>
    <w:rsid w:val="00DE7E8E"/>
    <w:rsid w:val="00DE7F77"/>
    <w:rsid w:val="00DF0C92"/>
    <w:rsid w:val="00DF2680"/>
    <w:rsid w:val="00DF2D7C"/>
    <w:rsid w:val="00DF3E68"/>
    <w:rsid w:val="00DF420B"/>
    <w:rsid w:val="00DF5D9A"/>
    <w:rsid w:val="00DF6C1F"/>
    <w:rsid w:val="00DF736B"/>
    <w:rsid w:val="00DF7D5B"/>
    <w:rsid w:val="00E00132"/>
    <w:rsid w:val="00E00A94"/>
    <w:rsid w:val="00E01144"/>
    <w:rsid w:val="00E01E81"/>
    <w:rsid w:val="00E03BF5"/>
    <w:rsid w:val="00E05F7C"/>
    <w:rsid w:val="00E06E72"/>
    <w:rsid w:val="00E10B3F"/>
    <w:rsid w:val="00E1191F"/>
    <w:rsid w:val="00E12C92"/>
    <w:rsid w:val="00E13491"/>
    <w:rsid w:val="00E1371F"/>
    <w:rsid w:val="00E13AA0"/>
    <w:rsid w:val="00E13CA7"/>
    <w:rsid w:val="00E164C4"/>
    <w:rsid w:val="00E17F48"/>
    <w:rsid w:val="00E20735"/>
    <w:rsid w:val="00E211E2"/>
    <w:rsid w:val="00E2164D"/>
    <w:rsid w:val="00E21F45"/>
    <w:rsid w:val="00E22A28"/>
    <w:rsid w:val="00E248E9"/>
    <w:rsid w:val="00E25920"/>
    <w:rsid w:val="00E25B89"/>
    <w:rsid w:val="00E307BE"/>
    <w:rsid w:val="00E30A04"/>
    <w:rsid w:val="00E318F7"/>
    <w:rsid w:val="00E33621"/>
    <w:rsid w:val="00E36538"/>
    <w:rsid w:val="00E404EC"/>
    <w:rsid w:val="00E41B8C"/>
    <w:rsid w:val="00E43CFB"/>
    <w:rsid w:val="00E458FD"/>
    <w:rsid w:val="00E46192"/>
    <w:rsid w:val="00E469AF"/>
    <w:rsid w:val="00E4752F"/>
    <w:rsid w:val="00E47B4F"/>
    <w:rsid w:val="00E50FA2"/>
    <w:rsid w:val="00E51250"/>
    <w:rsid w:val="00E5184A"/>
    <w:rsid w:val="00E53E97"/>
    <w:rsid w:val="00E5591F"/>
    <w:rsid w:val="00E60FEA"/>
    <w:rsid w:val="00E618B6"/>
    <w:rsid w:val="00E65749"/>
    <w:rsid w:val="00E65D75"/>
    <w:rsid w:val="00E67CF1"/>
    <w:rsid w:val="00E70A49"/>
    <w:rsid w:val="00E7149C"/>
    <w:rsid w:val="00E71E57"/>
    <w:rsid w:val="00E726B7"/>
    <w:rsid w:val="00E7332E"/>
    <w:rsid w:val="00E8081F"/>
    <w:rsid w:val="00E81CF4"/>
    <w:rsid w:val="00E829E9"/>
    <w:rsid w:val="00E84656"/>
    <w:rsid w:val="00E860DA"/>
    <w:rsid w:val="00E864CE"/>
    <w:rsid w:val="00E86A80"/>
    <w:rsid w:val="00E86DCB"/>
    <w:rsid w:val="00E87254"/>
    <w:rsid w:val="00E90412"/>
    <w:rsid w:val="00E9041A"/>
    <w:rsid w:val="00E90B30"/>
    <w:rsid w:val="00E934DA"/>
    <w:rsid w:val="00E94D0C"/>
    <w:rsid w:val="00E94E96"/>
    <w:rsid w:val="00E95452"/>
    <w:rsid w:val="00E96C0B"/>
    <w:rsid w:val="00E97568"/>
    <w:rsid w:val="00E97740"/>
    <w:rsid w:val="00E97747"/>
    <w:rsid w:val="00EA0507"/>
    <w:rsid w:val="00EA223C"/>
    <w:rsid w:val="00EA3349"/>
    <w:rsid w:val="00EA37D0"/>
    <w:rsid w:val="00EA42D9"/>
    <w:rsid w:val="00EA4AB7"/>
    <w:rsid w:val="00EA4CAC"/>
    <w:rsid w:val="00EA6B73"/>
    <w:rsid w:val="00EA6E8C"/>
    <w:rsid w:val="00EA7898"/>
    <w:rsid w:val="00EA7C5E"/>
    <w:rsid w:val="00EB066F"/>
    <w:rsid w:val="00EB0F32"/>
    <w:rsid w:val="00EB24A5"/>
    <w:rsid w:val="00EB2B5D"/>
    <w:rsid w:val="00EB3CCB"/>
    <w:rsid w:val="00EB48FD"/>
    <w:rsid w:val="00EB5305"/>
    <w:rsid w:val="00EB624D"/>
    <w:rsid w:val="00EB6740"/>
    <w:rsid w:val="00EB6B5F"/>
    <w:rsid w:val="00EC2131"/>
    <w:rsid w:val="00EC26C1"/>
    <w:rsid w:val="00EC2A94"/>
    <w:rsid w:val="00EC4320"/>
    <w:rsid w:val="00EC54C3"/>
    <w:rsid w:val="00EC559A"/>
    <w:rsid w:val="00EC56A8"/>
    <w:rsid w:val="00EC5B45"/>
    <w:rsid w:val="00EC724C"/>
    <w:rsid w:val="00ED16F0"/>
    <w:rsid w:val="00ED1E59"/>
    <w:rsid w:val="00ED2E8B"/>
    <w:rsid w:val="00ED3A5F"/>
    <w:rsid w:val="00ED76BB"/>
    <w:rsid w:val="00EE1002"/>
    <w:rsid w:val="00EE2B06"/>
    <w:rsid w:val="00EE2D4E"/>
    <w:rsid w:val="00EE3596"/>
    <w:rsid w:val="00EE3EAF"/>
    <w:rsid w:val="00EE4C14"/>
    <w:rsid w:val="00EE4D89"/>
    <w:rsid w:val="00EE7B2F"/>
    <w:rsid w:val="00EF0A1E"/>
    <w:rsid w:val="00EF3502"/>
    <w:rsid w:val="00EF39D5"/>
    <w:rsid w:val="00EF487B"/>
    <w:rsid w:val="00EF4ABA"/>
    <w:rsid w:val="00EF54CD"/>
    <w:rsid w:val="00EF5DB9"/>
    <w:rsid w:val="00F007F3"/>
    <w:rsid w:val="00F00EBD"/>
    <w:rsid w:val="00F01A34"/>
    <w:rsid w:val="00F01D2C"/>
    <w:rsid w:val="00F02575"/>
    <w:rsid w:val="00F02872"/>
    <w:rsid w:val="00F02CE1"/>
    <w:rsid w:val="00F031DB"/>
    <w:rsid w:val="00F03B82"/>
    <w:rsid w:val="00F044FF"/>
    <w:rsid w:val="00F04641"/>
    <w:rsid w:val="00F0579C"/>
    <w:rsid w:val="00F0609A"/>
    <w:rsid w:val="00F07A2C"/>
    <w:rsid w:val="00F1028A"/>
    <w:rsid w:val="00F133E8"/>
    <w:rsid w:val="00F138F5"/>
    <w:rsid w:val="00F1448E"/>
    <w:rsid w:val="00F179AE"/>
    <w:rsid w:val="00F2221E"/>
    <w:rsid w:val="00F246FD"/>
    <w:rsid w:val="00F2541F"/>
    <w:rsid w:val="00F25FCF"/>
    <w:rsid w:val="00F26237"/>
    <w:rsid w:val="00F26D85"/>
    <w:rsid w:val="00F27994"/>
    <w:rsid w:val="00F3031D"/>
    <w:rsid w:val="00F30C62"/>
    <w:rsid w:val="00F31C7E"/>
    <w:rsid w:val="00F31EC9"/>
    <w:rsid w:val="00F323EA"/>
    <w:rsid w:val="00F32A04"/>
    <w:rsid w:val="00F32D57"/>
    <w:rsid w:val="00F33492"/>
    <w:rsid w:val="00F33B93"/>
    <w:rsid w:val="00F35572"/>
    <w:rsid w:val="00F361CA"/>
    <w:rsid w:val="00F36A09"/>
    <w:rsid w:val="00F376A3"/>
    <w:rsid w:val="00F41E2F"/>
    <w:rsid w:val="00F42632"/>
    <w:rsid w:val="00F42D0C"/>
    <w:rsid w:val="00F42F24"/>
    <w:rsid w:val="00F4372A"/>
    <w:rsid w:val="00F44C19"/>
    <w:rsid w:val="00F45F35"/>
    <w:rsid w:val="00F467BE"/>
    <w:rsid w:val="00F47933"/>
    <w:rsid w:val="00F47DC7"/>
    <w:rsid w:val="00F50C61"/>
    <w:rsid w:val="00F50D23"/>
    <w:rsid w:val="00F50D4B"/>
    <w:rsid w:val="00F51487"/>
    <w:rsid w:val="00F5236D"/>
    <w:rsid w:val="00F525BB"/>
    <w:rsid w:val="00F52F1C"/>
    <w:rsid w:val="00F5343B"/>
    <w:rsid w:val="00F5357C"/>
    <w:rsid w:val="00F540E4"/>
    <w:rsid w:val="00F55837"/>
    <w:rsid w:val="00F5643B"/>
    <w:rsid w:val="00F564AA"/>
    <w:rsid w:val="00F56BDB"/>
    <w:rsid w:val="00F5790D"/>
    <w:rsid w:val="00F601E0"/>
    <w:rsid w:val="00F60F2F"/>
    <w:rsid w:val="00F61EA5"/>
    <w:rsid w:val="00F621C5"/>
    <w:rsid w:val="00F62C1E"/>
    <w:rsid w:val="00F62E09"/>
    <w:rsid w:val="00F63280"/>
    <w:rsid w:val="00F636F5"/>
    <w:rsid w:val="00F65020"/>
    <w:rsid w:val="00F66575"/>
    <w:rsid w:val="00F67A53"/>
    <w:rsid w:val="00F70402"/>
    <w:rsid w:val="00F71BC1"/>
    <w:rsid w:val="00F728B2"/>
    <w:rsid w:val="00F73887"/>
    <w:rsid w:val="00F75CF8"/>
    <w:rsid w:val="00F7659D"/>
    <w:rsid w:val="00F76A32"/>
    <w:rsid w:val="00F77DB5"/>
    <w:rsid w:val="00F80880"/>
    <w:rsid w:val="00F80A0C"/>
    <w:rsid w:val="00F81E33"/>
    <w:rsid w:val="00F830FB"/>
    <w:rsid w:val="00F83733"/>
    <w:rsid w:val="00F856A6"/>
    <w:rsid w:val="00F85ED9"/>
    <w:rsid w:val="00F86F11"/>
    <w:rsid w:val="00F87C9E"/>
    <w:rsid w:val="00F87D34"/>
    <w:rsid w:val="00F90642"/>
    <w:rsid w:val="00F906E0"/>
    <w:rsid w:val="00F90781"/>
    <w:rsid w:val="00F912EE"/>
    <w:rsid w:val="00F9231F"/>
    <w:rsid w:val="00F9284C"/>
    <w:rsid w:val="00F92A27"/>
    <w:rsid w:val="00F931F6"/>
    <w:rsid w:val="00F9553E"/>
    <w:rsid w:val="00F95565"/>
    <w:rsid w:val="00FA0079"/>
    <w:rsid w:val="00FA037C"/>
    <w:rsid w:val="00FA110E"/>
    <w:rsid w:val="00FA1769"/>
    <w:rsid w:val="00FA4664"/>
    <w:rsid w:val="00FA5088"/>
    <w:rsid w:val="00FB0CB3"/>
    <w:rsid w:val="00FB1145"/>
    <w:rsid w:val="00FB1F67"/>
    <w:rsid w:val="00FB33E7"/>
    <w:rsid w:val="00FB3A5D"/>
    <w:rsid w:val="00FB42A7"/>
    <w:rsid w:val="00FB5252"/>
    <w:rsid w:val="00FB5891"/>
    <w:rsid w:val="00FB59C1"/>
    <w:rsid w:val="00FB649E"/>
    <w:rsid w:val="00FB6735"/>
    <w:rsid w:val="00FB6DF9"/>
    <w:rsid w:val="00FB700D"/>
    <w:rsid w:val="00FB745E"/>
    <w:rsid w:val="00FB7E41"/>
    <w:rsid w:val="00FC0302"/>
    <w:rsid w:val="00FC69E6"/>
    <w:rsid w:val="00FD0C5A"/>
    <w:rsid w:val="00FD0F4B"/>
    <w:rsid w:val="00FD15C5"/>
    <w:rsid w:val="00FD228A"/>
    <w:rsid w:val="00FD2741"/>
    <w:rsid w:val="00FD319F"/>
    <w:rsid w:val="00FD323F"/>
    <w:rsid w:val="00FD5A55"/>
    <w:rsid w:val="00FD67EE"/>
    <w:rsid w:val="00FD75BA"/>
    <w:rsid w:val="00FD7A26"/>
    <w:rsid w:val="00FE0121"/>
    <w:rsid w:val="00FE081F"/>
    <w:rsid w:val="00FE15F6"/>
    <w:rsid w:val="00FE3B06"/>
    <w:rsid w:val="00FE6283"/>
    <w:rsid w:val="00FE6F42"/>
    <w:rsid w:val="00FF02BC"/>
    <w:rsid w:val="00FF0DE5"/>
    <w:rsid w:val="00FF2C07"/>
    <w:rsid w:val="00FF4A49"/>
    <w:rsid w:val="00FF5AF1"/>
    <w:rsid w:val="00FF5D07"/>
    <w:rsid w:val="00FF61FB"/>
    <w:rsid w:val="00FF65AC"/>
    <w:rsid w:val="00FF69BB"/>
    <w:rsid w:val="00FF6DD9"/>
    <w:rsid w:val="00FF6EC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8B1ACA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unhideWhenUsed/>
    <w:rsid w:val="00AA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363"/>
    <w:rPr>
      <w:color w:val="954F72" w:themeColor="followedHyperlink"/>
      <w:u w:val="single"/>
    </w:rPr>
  </w:style>
  <w:style w:type="paragraph" w:customStyle="1" w:styleId="Item">
    <w:name w:val="Item"/>
    <w:aliases w:val="i"/>
    <w:basedOn w:val="Normal"/>
    <w:next w:val="ItemHead"/>
    <w:rsid w:val="00196E1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196E1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A33797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definition">
    <w:name w:val="z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8B1ACA"/>
    <w:pPr>
      <w:tabs>
        <w:tab w:val="right" w:leader="dot" w:pos="9016"/>
      </w:tabs>
      <w:spacing w:before="240" w:after="120"/>
    </w:pPr>
    <w:rPr>
      <w:rFonts w:ascii="Times New Roman" w:hAnsi="Times New Roman" w:cs="Times New Roman"/>
      <w:b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ACA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B1ACA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1ACA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1ACA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1ACA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1ACA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1ACA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1ACA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AC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ZNote">
    <w:name w:val="ZNote"/>
    <w:basedOn w:val="note"/>
    <w:rsid w:val="007E499A"/>
    <w:pPr>
      <w:keepNext/>
      <w:keepLines/>
      <w:spacing w:before="120" w:beforeAutospacing="0" w:after="0" w:afterAutospacing="0" w:line="220" w:lineRule="exact"/>
      <w:ind w:left="964"/>
      <w:jc w:val="both"/>
    </w:pPr>
    <w:rPr>
      <w:sz w:val="20"/>
    </w:rPr>
  </w:style>
  <w:style w:type="paragraph" w:customStyle="1" w:styleId="definition0">
    <w:name w:val="definition"/>
    <w:basedOn w:val="Normal"/>
    <w:rsid w:val="00834373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172B13"/>
  </w:style>
  <w:style w:type="character" w:customStyle="1" w:styleId="CharAmSchText">
    <w:name w:val="CharAmSchText"/>
    <w:basedOn w:val="DefaultParagraphFont"/>
    <w:rsid w:val="00172B13"/>
  </w:style>
  <w:style w:type="paragraph" w:customStyle="1" w:styleId="Scheduletitle">
    <w:name w:val="Schedule title"/>
    <w:basedOn w:val="Normal"/>
    <w:next w:val="Normal"/>
    <w:rsid w:val="00172B13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650C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0">
    <w:name w:val="Note"/>
    <w:basedOn w:val="Normal"/>
    <w:rsid w:val="00650C3E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listlevel1">
    <w:name w:val="list level 1"/>
    <w:rsid w:val="00594439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12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">
    <w:name w:val="hr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30CC4"/>
  </w:style>
  <w:style w:type="paragraph" w:customStyle="1" w:styleId="r10">
    <w:name w:val="r1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95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3321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acma.gov.au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icsm.gov.au" TargetMode="External"/><Relationship Id="rId28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ga.gov.au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UQVA7MFFXVNW-2139912385-923</_dlc_DocId>
    <_dlc_DocIdUrl xmlns="04b8ec43-391f-4ce4-8841-d6a482add564">
      <Url>http://collaboration/organisation/auth/Chair/Auth/_layouts/15/DocIdRedir.aspx?ID=UQVA7MFFXVNW-2139912385-923</Url>
      <Description>UQVA7MFFXVNW-2139912385-923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D5D5-D3F2-4591-A9F5-A483092F8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149D3-8C30-41EE-B8F3-568B423178A4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04b8ec43-391f-4ce4-8841-d6a482add56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26d8262-4725-4a9c-834e-3f991ab17ff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E7F460-47B7-4FEE-86D3-53968CF3E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FA73C-9F63-43A3-840E-C137836540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2A10FE-90D6-4814-A2D6-D147D145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Links>
    <vt:vector size="30" baseType="variant">
      <vt:variant>
        <vt:i4>2818094</vt:i4>
      </vt:variant>
      <vt:variant>
        <vt:i4>12</vt:i4>
      </vt:variant>
      <vt:variant>
        <vt:i4>0</vt:i4>
      </vt:variant>
      <vt:variant>
        <vt:i4>5</vt:i4>
      </vt:variant>
      <vt:variant>
        <vt:lpwstr>http://www.icsm.gov.au/</vt:lpwstr>
      </vt:variant>
      <vt:variant>
        <vt:lpwstr/>
      </vt:variant>
      <vt:variant>
        <vt:i4>5636161</vt:i4>
      </vt:variant>
      <vt:variant>
        <vt:i4>9</vt:i4>
      </vt:variant>
      <vt:variant>
        <vt:i4>0</vt:i4>
      </vt:variant>
      <vt:variant>
        <vt:i4>5</vt:i4>
      </vt:variant>
      <vt:variant>
        <vt:lpwstr>http://www.ga.gov.au/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2022-06-17T00:28:00Z</dcterms:created>
  <dcterms:modified xsi:type="dcterms:W3CDTF">2022-06-27T01:03:00Z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d3cdabb9-bf1c-4c7d-9f78-349ec24d5403</vt:lpwstr>
  </property>
</Properties>
</file>