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943E1" w14:textId="77777777" w:rsidR="00030C77" w:rsidRDefault="00030C77" w:rsidP="00030C77">
      <w:pPr>
        <w:numPr>
          <w:ilvl w:val="0"/>
          <w:numId w:val="49"/>
        </w:numPr>
        <w:spacing w:after="240"/>
        <w:jc w:val="both"/>
      </w:pPr>
      <w:r>
        <w:rPr>
          <w:noProof/>
        </w:rPr>
        <w:drawing>
          <wp:inline distT="0" distB="0" distL="0" distR="0" wp14:anchorId="4ADA7C8C" wp14:editId="3AE8E891">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034DC79D" w14:textId="77777777" w:rsidR="00030C77" w:rsidRPr="003862FE" w:rsidRDefault="00030C77" w:rsidP="00030C77">
      <w:pPr>
        <w:numPr>
          <w:ilvl w:val="0"/>
          <w:numId w:val="49"/>
        </w:numPr>
        <w:jc w:val="both"/>
        <w:rPr>
          <w:rFonts w:ascii="Arial" w:hAnsi="Arial" w:cs="Arial"/>
          <w:b/>
          <w:sz w:val="32"/>
          <w:szCs w:val="32"/>
        </w:rPr>
      </w:pPr>
      <w:r w:rsidRPr="003862FE">
        <w:rPr>
          <w:rFonts w:ascii="Arial" w:hAnsi="Arial" w:cs="Arial"/>
          <w:b/>
          <w:sz w:val="32"/>
          <w:szCs w:val="32"/>
        </w:rPr>
        <w:t>Insurance (prudential standard) determination</w:t>
      </w:r>
    </w:p>
    <w:p w14:paraId="59EF8057" w14:textId="77777777" w:rsidR="00030C77" w:rsidRPr="003862FE" w:rsidRDefault="00030C77" w:rsidP="00030C77">
      <w:pPr>
        <w:numPr>
          <w:ilvl w:val="0"/>
          <w:numId w:val="49"/>
        </w:numPr>
        <w:jc w:val="both"/>
        <w:rPr>
          <w:rFonts w:ascii="Arial" w:hAnsi="Arial" w:cs="Arial"/>
          <w:b/>
          <w:sz w:val="32"/>
          <w:szCs w:val="32"/>
        </w:rPr>
      </w:pPr>
      <w:r w:rsidRPr="003862FE">
        <w:rPr>
          <w:rFonts w:ascii="Arial" w:hAnsi="Arial" w:cs="Arial"/>
          <w:b/>
          <w:sz w:val="32"/>
          <w:szCs w:val="32"/>
        </w:rPr>
        <w:t>No. 1 of 2022</w:t>
      </w:r>
    </w:p>
    <w:p w14:paraId="541B6D30" w14:textId="77777777" w:rsidR="00030C77" w:rsidRPr="003862FE" w:rsidRDefault="00030C77" w:rsidP="00030C77">
      <w:pPr>
        <w:pStyle w:val="ActTitle"/>
        <w:spacing w:before="240"/>
        <w:rPr>
          <w:rFonts w:cs="Arial"/>
          <w:b/>
          <w:i w:val="0"/>
        </w:rPr>
      </w:pPr>
      <w:r w:rsidRPr="003862FE">
        <w:rPr>
          <w:rFonts w:cs="Arial"/>
          <w:b/>
          <w:i w:val="0"/>
        </w:rPr>
        <w:t>Prudential Standard GPS 001 Definitions</w:t>
      </w:r>
    </w:p>
    <w:p w14:paraId="3B38A447" w14:textId="77777777" w:rsidR="00030C77" w:rsidRPr="003862FE" w:rsidRDefault="00030C77" w:rsidP="00030C77">
      <w:pPr>
        <w:pStyle w:val="ActTitle"/>
        <w:spacing w:before="240"/>
        <w:rPr>
          <w:rFonts w:cs="Arial"/>
        </w:rPr>
      </w:pPr>
      <w:r w:rsidRPr="003862FE">
        <w:rPr>
          <w:rFonts w:cs="Arial"/>
        </w:rPr>
        <w:t>Insurance Act 1973</w:t>
      </w:r>
    </w:p>
    <w:p w14:paraId="07030978" w14:textId="4FF6296B" w:rsidR="00030C77" w:rsidRPr="003862FE" w:rsidRDefault="00030C77" w:rsidP="00030C77">
      <w:pPr>
        <w:pStyle w:val="IntroTo"/>
        <w:ind w:left="0" w:firstLine="0"/>
        <w:jc w:val="both"/>
        <w:rPr>
          <w:rFonts w:ascii="Arial" w:hAnsi="Arial" w:cs="Arial"/>
          <w:sz w:val="22"/>
          <w:szCs w:val="22"/>
        </w:rPr>
      </w:pPr>
      <w:r w:rsidRPr="003862FE">
        <w:rPr>
          <w:rFonts w:ascii="Arial" w:hAnsi="Arial" w:cs="Arial"/>
          <w:sz w:val="22"/>
          <w:szCs w:val="22"/>
        </w:rPr>
        <w:t>I, Helen Rowell, a delegate of APRA:</w:t>
      </w:r>
    </w:p>
    <w:p w14:paraId="1A8EF39F" w14:textId="77777777" w:rsidR="00030C77" w:rsidRPr="003862FE" w:rsidRDefault="00030C77" w:rsidP="00030C77">
      <w:pPr>
        <w:pStyle w:val="IntroTo"/>
        <w:ind w:left="0" w:firstLine="0"/>
        <w:jc w:val="both"/>
        <w:rPr>
          <w:rFonts w:ascii="Arial" w:hAnsi="Arial" w:cs="Arial"/>
          <w:sz w:val="22"/>
          <w:szCs w:val="22"/>
        </w:rPr>
      </w:pPr>
    </w:p>
    <w:p w14:paraId="7924E8FC" w14:textId="77777777" w:rsidR="00030C77" w:rsidRPr="003862FE" w:rsidRDefault="00030C77" w:rsidP="00030C77">
      <w:pPr>
        <w:pStyle w:val="instrument"/>
        <w:numPr>
          <w:ilvl w:val="1"/>
          <w:numId w:val="50"/>
        </w:numPr>
        <w:tabs>
          <w:tab w:val="clear" w:pos="567"/>
        </w:tabs>
        <w:ind w:left="567"/>
        <w:rPr>
          <w:rFonts w:ascii="Arial" w:hAnsi="Arial" w:cs="Arial"/>
          <w:sz w:val="22"/>
          <w:szCs w:val="22"/>
        </w:rPr>
      </w:pPr>
      <w:r w:rsidRPr="003862FE">
        <w:rPr>
          <w:rFonts w:ascii="Arial" w:hAnsi="Arial" w:cs="Arial"/>
          <w:sz w:val="22"/>
          <w:szCs w:val="22"/>
        </w:rPr>
        <w:t xml:space="preserve">under subsection 32(4) of the </w:t>
      </w:r>
      <w:r w:rsidRPr="003862FE">
        <w:rPr>
          <w:rFonts w:ascii="Arial" w:hAnsi="Arial" w:cs="Arial"/>
          <w:i/>
          <w:sz w:val="22"/>
          <w:szCs w:val="22"/>
        </w:rPr>
        <w:t>Insurance Act 1973</w:t>
      </w:r>
      <w:r w:rsidRPr="003862FE">
        <w:rPr>
          <w:rFonts w:ascii="Arial" w:hAnsi="Arial" w:cs="Arial"/>
          <w:sz w:val="22"/>
          <w:szCs w:val="22"/>
        </w:rPr>
        <w:t xml:space="preserve"> (the Act), revoke Insurance (prudential standard) determination No. 2 of 2018, including </w:t>
      </w:r>
      <w:r w:rsidRPr="003862FE">
        <w:rPr>
          <w:rFonts w:ascii="Arial" w:hAnsi="Arial" w:cs="Arial"/>
          <w:i/>
          <w:sz w:val="22"/>
          <w:szCs w:val="22"/>
        </w:rPr>
        <w:t>Prudential Standard GPS 001 Definitions</w:t>
      </w:r>
      <w:r w:rsidRPr="003862FE">
        <w:rPr>
          <w:rFonts w:ascii="Arial" w:hAnsi="Arial" w:cs="Arial"/>
          <w:sz w:val="22"/>
          <w:szCs w:val="22"/>
        </w:rPr>
        <w:t xml:space="preserve">, made under that </w:t>
      </w:r>
      <w:proofErr w:type="gramStart"/>
      <w:r w:rsidRPr="003862FE">
        <w:rPr>
          <w:rFonts w:ascii="Arial" w:hAnsi="Arial" w:cs="Arial"/>
          <w:sz w:val="22"/>
          <w:szCs w:val="22"/>
        </w:rPr>
        <w:t>determination;</w:t>
      </w:r>
      <w:proofErr w:type="gramEnd"/>
      <w:r w:rsidRPr="003862FE">
        <w:rPr>
          <w:rFonts w:ascii="Arial" w:hAnsi="Arial" w:cs="Arial"/>
          <w:sz w:val="22"/>
          <w:szCs w:val="22"/>
        </w:rPr>
        <w:t xml:space="preserve"> and</w:t>
      </w:r>
    </w:p>
    <w:p w14:paraId="180AFDAA" w14:textId="77777777" w:rsidR="00030C77" w:rsidRPr="003862FE" w:rsidRDefault="00030C77" w:rsidP="00030C77">
      <w:pPr>
        <w:pStyle w:val="instrument"/>
        <w:numPr>
          <w:ilvl w:val="1"/>
          <w:numId w:val="50"/>
        </w:numPr>
        <w:tabs>
          <w:tab w:val="clear" w:pos="567"/>
        </w:tabs>
        <w:ind w:left="567"/>
        <w:rPr>
          <w:rFonts w:ascii="Arial" w:hAnsi="Arial" w:cs="Arial"/>
          <w:sz w:val="22"/>
          <w:szCs w:val="22"/>
        </w:rPr>
      </w:pPr>
      <w:r w:rsidRPr="003862FE">
        <w:rPr>
          <w:rFonts w:ascii="Arial" w:hAnsi="Arial" w:cs="Arial"/>
          <w:sz w:val="22"/>
          <w:szCs w:val="22"/>
        </w:rPr>
        <w:t xml:space="preserve">under subsection 32(1) of the Act determine </w:t>
      </w:r>
      <w:r w:rsidRPr="003862FE">
        <w:rPr>
          <w:rFonts w:ascii="Arial" w:hAnsi="Arial" w:cs="Arial"/>
          <w:i/>
          <w:sz w:val="22"/>
          <w:szCs w:val="22"/>
        </w:rPr>
        <w:t>Prudential Standard GPS 001 Definitions</w:t>
      </w:r>
      <w:r w:rsidRPr="003862FE">
        <w:rPr>
          <w:rFonts w:ascii="Arial" w:hAnsi="Arial" w:cs="Arial"/>
          <w:sz w:val="22"/>
          <w:szCs w:val="22"/>
        </w:rPr>
        <w:t>, in the form set out in the Schedule, which applies to:</w:t>
      </w:r>
    </w:p>
    <w:p w14:paraId="78B22ECF" w14:textId="77777777" w:rsidR="00030C77" w:rsidRPr="003862FE" w:rsidRDefault="00030C77" w:rsidP="00030C77">
      <w:pPr>
        <w:pStyle w:val="BodyText3"/>
        <w:numPr>
          <w:ilvl w:val="2"/>
          <w:numId w:val="50"/>
        </w:numPr>
        <w:tabs>
          <w:tab w:val="num" w:pos="2160"/>
        </w:tabs>
        <w:spacing w:after="240"/>
        <w:ind w:left="993" w:hanging="426"/>
        <w:jc w:val="both"/>
        <w:rPr>
          <w:rFonts w:ascii="Arial" w:hAnsi="Arial" w:cs="Arial"/>
          <w:sz w:val="22"/>
          <w:szCs w:val="22"/>
        </w:rPr>
      </w:pPr>
      <w:r w:rsidRPr="003862FE">
        <w:rPr>
          <w:rFonts w:ascii="Arial" w:hAnsi="Arial" w:cs="Arial"/>
          <w:sz w:val="22"/>
          <w:szCs w:val="22"/>
        </w:rPr>
        <w:t>all general insurers and authorised NOHCs; and</w:t>
      </w:r>
    </w:p>
    <w:p w14:paraId="66BAA30C" w14:textId="77777777" w:rsidR="00030C77" w:rsidRPr="003862FE" w:rsidRDefault="00030C77" w:rsidP="00030C77">
      <w:pPr>
        <w:pStyle w:val="BodyText3"/>
        <w:numPr>
          <w:ilvl w:val="2"/>
          <w:numId w:val="50"/>
        </w:numPr>
        <w:tabs>
          <w:tab w:val="num" w:pos="2160"/>
        </w:tabs>
        <w:spacing w:after="240"/>
        <w:ind w:left="993" w:hanging="426"/>
        <w:jc w:val="both"/>
        <w:rPr>
          <w:rFonts w:ascii="Arial" w:hAnsi="Arial" w:cs="Arial"/>
          <w:sz w:val="22"/>
          <w:szCs w:val="22"/>
        </w:rPr>
      </w:pPr>
      <w:r w:rsidRPr="003862FE">
        <w:rPr>
          <w:rFonts w:ascii="Arial" w:hAnsi="Arial" w:cs="Arial"/>
          <w:sz w:val="22"/>
          <w:szCs w:val="22"/>
        </w:rPr>
        <w:t>a subsidiary of a general insurer or authorised NOHC, where that subsidiary is a parent entity of a Level 2 insurance group.</w:t>
      </w:r>
    </w:p>
    <w:p w14:paraId="210DFA46" w14:textId="77777777" w:rsidR="00030C77" w:rsidRPr="003862FE" w:rsidRDefault="00030C77" w:rsidP="00030C77">
      <w:pPr>
        <w:pStyle w:val="IntroTo"/>
        <w:tabs>
          <w:tab w:val="left" w:pos="1528"/>
        </w:tabs>
        <w:ind w:left="0" w:firstLine="0"/>
        <w:jc w:val="both"/>
        <w:rPr>
          <w:rFonts w:ascii="Arial" w:hAnsi="Arial" w:cs="Arial"/>
          <w:sz w:val="22"/>
          <w:szCs w:val="22"/>
        </w:rPr>
      </w:pPr>
      <w:r w:rsidRPr="003862FE">
        <w:rPr>
          <w:rFonts w:ascii="Arial" w:hAnsi="Arial" w:cs="Arial"/>
          <w:sz w:val="22"/>
          <w:szCs w:val="22"/>
        </w:rPr>
        <w:t>This instrument commences on 1 July 2022.</w:t>
      </w:r>
      <w:r w:rsidRPr="003862FE">
        <w:rPr>
          <w:rFonts w:ascii="Arial" w:hAnsi="Arial" w:cs="Arial"/>
          <w:sz w:val="22"/>
          <w:szCs w:val="22"/>
        </w:rPr>
        <w:tab/>
      </w:r>
    </w:p>
    <w:p w14:paraId="30470D06" w14:textId="77777777" w:rsidR="00030C77" w:rsidRPr="003862FE" w:rsidRDefault="00030C77" w:rsidP="00030C77">
      <w:pPr>
        <w:pStyle w:val="IntroTo"/>
        <w:jc w:val="both"/>
        <w:rPr>
          <w:rFonts w:ascii="Arial" w:hAnsi="Arial" w:cs="Arial"/>
          <w:sz w:val="22"/>
          <w:szCs w:val="22"/>
        </w:rPr>
      </w:pPr>
    </w:p>
    <w:p w14:paraId="30CB5E7F" w14:textId="6309A7C4" w:rsidR="00030C77" w:rsidRPr="003862FE" w:rsidRDefault="00030C77" w:rsidP="00030C77">
      <w:pPr>
        <w:pStyle w:val="IntroTo"/>
        <w:jc w:val="both"/>
        <w:rPr>
          <w:rFonts w:ascii="Arial" w:hAnsi="Arial" w:cs="Arial"/>
          <w:sz w:val="22"/>
          <w:szCs w:val="22"/>
        </w:rPr>
      </w:pPr>
      <w:r w:rsidRPr="003862FE">
        <w:rPr>
          <w:rFonts w:ascii="Arial" w:hAnsi="Arial" w:cs="Arial"/>
          <w:sz w:val="22"/>
          <w:szCs w:val="22"/>
        </w:rPr>
        <w:t>Dated</w:t>
      </w:r>
      <w:r w:rsidR="007A276E" w:rsidRPr="003862FE">
        <w:rPr>
          <w:rFonts w:ascii="Arial" w:hAnsi="Arial" w:cs="Arial"/>
          <w:sz w:val="22"/>
          <w:szCs w:val="22"/>
        </w:rPr>
        <w:t>:</w:t>
      </w:r>
      <w:r w:rsidR="00BF0498">
        <w:rPr>
          <w:rFonts w:ascii="Arial" w:hAnsi="Arial" w:cs="Arial"/>
          <w:sz w:val="22"/>
          <w:szCs w:val="22"/>
        </w:rPr>
        <w:t xml:space="preserve"> 22 June 2022</w:t>
      </w:r>
    </w:p>
    <w:p w14:paraId="04F4F446" w14:textId="77777777" w:rsidR="00030C77" w:rsidRPr="003862FE" w:rsidRDefault="00030C77" w:rsidP="00030C77">
      <w:pPr>
        <w:pStyle w:val="IntroTo"/>
        <w:jc w:val="both"/>
        <w:rPr>
          <w:rFonts w:ascii="Arial" w:hAnsi="Arial" w:cs="Arial"/>
          <w:b/>
          <w:sz w:val="22"/>
          <w:szCs w:val="22"/>
          <w:highlight w:val="yellow"/>
        </w:rPr>
      </w:pPr>
    </w:p>
    <w:p w14:paraId="444BD581" w14:textId="21EC9709" w:rsidR="00030C77" w:rsidRPr="003862FE" w:rsidRDefault="00C02913" w:rsidP="00030C77">
      <w:pPr>
        <w:pStyle w:val="IntroTo"/>
        <w:rPr>
          <w:rFonts w:ascii="Arial" w:hAnsi="Arial" w:cs="Arial"/>
          <w:sz w:val="22"/>
          <w:szCs w:val="22"/>
        </w:rPr>
      </w:pPr>
      <w:r>
        <w:rPr>
          <w:rFonts w:ascii="Arial" w:hAnsi="Arial" w:cs="Arial"/>
          <w:sz w:val="22"/>
          <w:szCs w:val="22"/>
        </w:rPr>
        <w:t>[Signed]</w:t>
      </w:r>
    </w:p>
    <w:p w14:paraId="731EE142" w14:textId="77777777" w:rsidR="00BA25AC" w:rsidRPr="003862FE" w:rsidRDefault="00BA25AC" w:rsidP="006160C6">
      <w:pPr>
        <w:pStyle w:val="IntroTo"/>
        <w:ind w:left="0" w:firstLine="0"/>
        <w:rPr>
          <w:rFonts w:ascii="Arial" w:hAnsi="Arial" w:cs="Arial"/>
          <w:sz w:val="22"/>
          <w:szCs w:val="22"/>
        </w:rPr>
      </w:pPr>
    </w:p>
    <w:p w14:paraId="6AED330E" w14:textId="1B155D0E" w:rsidR="00030C77" w:rsidRPr="003862FE" w:rsidRDefault="00030C77" w:rsidP="00030C77">
      <w:pPr>
        <w:numPr>
          <w:ilvl w:val="0"/>
          <w:numId w:val="49"/>
        </w:numPr>
        <w:autoSpaceDE w:val="0"/>
        <w:autoSpaceDN w:val="0"/>
        <w:adjustRightInd w:val="0"/>
        <w:jc w:val="both"/>
        <w:rPr>
          <w:rFonts w:ascii="Arial" w:hAnsi="Arial" w:cs="Arial"/>
          <w:sz w:val="22"/>
          <w:szCs w:val="22"/>
        </w:rPr>
      </w:pPr>
      <w:r w:rsidRPr="003862FE">
        <w:rPr>
          <w:rFonts w:ascii="Arial" w:hAnsi="Arial" w:cs="Arial"/>
          <w:sz w:val="22"/>
          <w:szCs w:val="22"/>
        </w:rPr>
        <w:t>Helen Rowell</w:t>
      </w:r>
    </w:p>
    <w:p w14:paraId="1D9F957D" w14:textId="0CC63E19" w:rsidR="00030C77" w:rsidRPr="003862FE" w:rsidRDefault="00B54875" w:rsidP="00030C77">
      <w:pPr>
        <w:numPr>
          <w:ilvl w:val="0"/>
          <w:numId w:val="49"/>
        </w:numPr>
        <w:autoSpaceDE w:val="0"/>
        <w:autoSpaceDN w:val="0"/>
        <w:adjustRightInd w:val="0"/>
        <w:jc w:val="both"/>
        <w:rPr>
          <w:rFonts w:ascii="Arial" w:hAnsi="Arial" w:cs="Arial"/>
          <w:sz w:val="22"/>
          <w:szCs w:val="22"/>
        </w:rPr>
      </w:pPr>
      <w:r w:rsidRPr="003862FE">
        <w:rPr>
          <w:rFonts w:ascii="Arial" w:hAnsi="Arial" w:cs="Arial"/>
          <w:sz w:val="22"/>
          <w:szCs w:val="22"/>
        </w:rPr>
        <w:t>Deputy Chair</w:t>
      </w:r>
    </w:p>
    <w:p w14:paraId="28CC870A" w14:textId="77777777" w:rsidR="00030C77" w:rsidRPr="003862FE" w:rsidRDefault="00030C77" w:rsidP="00030C77">
      <w:pPr>
        <w:pStyle w:val="IntroTo"/>
        <w:ind w:left="0" w:firstLine="0"/>
        <w:rPr>
          <w:rFonts w:ascii="Arial" w:hAnsi="Arial" w:cs="Arial"/>
          <w:sz w:val="22"/>
          <w:szCs w:val="22"/>
        </w:rPr>
      </w:pPr>
    </w:p>
    <w:p w14:paraId="49655449" w14:textId="77777777" w:rsidR="00030C77" w:rsidRPr="003862FE" w:rsidRDefault="00030C77" w:rsidP="00030C77">
      <w:pPr>
        <w:numPr>
          <w:ilvl w:val="0"/>
          <w:numId w:val="49"/>
        </w:numPr>
        <w:spacing w:before="120"/>
        <w:jc w:val="both"/>
        <w:rPr>
          <w:rFonts w:ascii="Arial" w:hAnsi="Arial" w:cs="Arial"/>
          <w:b/>
          <w:sz w:val="22"/>
          <w:szCs w:val="22"/>
        </w:rPr>
      </w:pPr>
      <w:r w:rsidRPr="003862FE">
        <w:rPr>
          <w:rFonts w:ascii="Arial" w:hAnsi="Arial" w:cs="Arial"/>
          <w:b/>
          <w:sz w:val="22"/>
          <w:szCs w:val="22"/>
        </w:rPr>
        <w:t>Interpretation</w:t>
      </w:r>
    </w:p>
    <w:p w14:paraId="197B6C7F" w14:textId="77777777" w:rsidR="00030C77" w:rsidRPr="003862FE" w:rsidRDefault="00030C77" w:rsidP="00030C77">
      <w:pPr>
        <w:numPr>
          <w:ilvl w:val="0"/>
          <w:numId w:val="49"/>
        </w:numPr>
        <w:spacing w:before="120"/>
        <w:jc w:val="both"/>
        <w:rPr>
          <w:rFonts w:ascii="Arial" w:hAnsi="Arial" w:cs="Arial"/>
          <w:sz w:val="22"/>
          <w:szCs w:val="22"/>
        </w:rPr>
      </w:pPr>
      <w:r w:rsidRPr="003862FE">
        <w:rPr>
          <w:rFonts w:ascii="Arial" w:hAnsi="Arial" w:cs="Arial"/>
          <w:sz w:val="22"/>
          <w:szCs w:val="22"/>
        </w:rPr>
        <w:t>In this Determination:</w:t>
      </w:r>
    </w:p>
    <w:p w14:paraId="2EFE0E2B" w14:textId="77777777" w:rsidR="00030C77" w:rsidRPr="003862FE" w:rsidRDefault="00030C77" w:rsidP="00030C77">
      <w:pPr>
        <w:pStyle w:val="introto0"/>
        <w:shd w:val="clear" w:color="auto" w:fill="FFFFFF"/>
        <w:spacing w:before="120" w:beforeAutospacing="0" w:after="0" w:afterAutospacing="0"/>
        <w:jc w:val="both"/>
        <w:rPr>
          <w:rFonts w:ascii="Arial" w:hAnsi="Arial" w:cs="Arial"/>
          <w:color w:val="000000"/>
          <w:sz w:val="22"/>
          <w:szCs w:val="22"/>
        </w:rPr>
      </w:pPr>
      <w:r w:rsidRPr="003862FE">
        <w:rPr>
          <w:rFonts w:ascii="Arial" w:hAnsi="Arial" w:cs="Arial"/>
          <w:b/>
          <w:bCs/>
          <w:i/>
          <w:iCs/>
          <w:color w:val="000000"/>
          <w:sz w:val="22"/>
          <w:szCs w:val="22"/>
        </w:rPr>
        <w:t>APRA</w:t>
      </w:r>
      <w:r w:rsidRPr="003862FE">
        <w:rPr>
          <w:rFonts w:ascii="Arial" w:hAnsi="Arial" w:cs="Arial"/>
          <w:color w:val="000000"/>
          <w:sz w:val="22"/>
          <w:szCs w:val="22"/>
        </w:rPr>
        <w:t> means the Australian Prudential Regulation Authority.</w:t>
      </w:r>
    </w:p>
    <w:p w14:paraId="63724CC7" w14:textId="77777777" w:rsidR="00030C77" w:rsidRPr="003862FE" w:rsidRDefault="00030C77" w:rsidP="00030C77">
      <w:pPr>
        <w:pStyle w:val="introto0"/>
        <w:shd w:val="clear" w:color="auto" w:fill="FFFFFF"/>
        <w:spacing w:before="120" w:beforeAutospacing="0" w:after="0" w:afterAutospacing="0"/>
        <w:jc w:val="both"/>
        <w:rPr>
          <w:rFonts w:ascii="Arial" w:hAnsi="Arial" w:cs="Arial"/>
          <w:color w:val="000000"/>
          <w:sz w:val="22"/>
          <w:szCs w:val="22"/>
        </w:rPr>
      </w:pPr>
      <w:r w:rsidRPr="003862FE">
        <w:rPr>
          <w:rFonts w:ascii="Arial" w:hAnsi="Arial" w:cs="Arial"/>
          <w:b/>
          <w:bCs/>
          <w:i/>
          <w:iCs/>
          <w:color w:val="000000"/>
          <w:sz w:val="22"/>
          <w:szCs w:val="22"/>
        </w:rPr>
        <w:t>authorised NOHC</w:t>
      </w:r>
      <w:r w:rsidRPr="003862FE">
        <w:rPr>
          <w:rFonts w:ascii="Arial" w:hAnsi="Arial" w:cs="Arial"/>
          <w:color w:val="000000"/>
          <w:sz w:val="22"/>
          <w:szCs w:val="22"/>
        </w:rPr>
        <w:t> has the meaning given in section 3 of the Act.</w:t>
      </w:r>
    </w:p>
    <w:p w14:paraId="32F8613C" w14:textId="77777777" w:rsidR="00030C77" w:rsidRPr="003862FE" w:rsidRDefault="00030C77" w:rsidP="00030C77">
      <w:pPr>
        <w:pStyle w:val="introto0"/>
        <w:shd w:val="clear" w:color="auto" w:fill="FFFFFF"/>
        <w:spacing w:before="120" w:beforeAutospacing="0" w:after="0" w:afterAutospacing="0"/>
        <w:jc w:val="both"/>
        <w:rPr>
          <w:rFonts w:ascii="Arial" w:hAnsi="Arial" w:cs="Arial"/>
          <w:color w:val="000000"/>
          <w:sz w:val="22"/>
          <w:szCs w:val="22"/>
        </w:rPr>
      </w:pPr>
      <w:r w:rsidRPr="003862FE">
        <w:rPr>
          <w:rFonts w:ascii="Arial" w:hAnsi="Arial" w:cs="Arial"/>
          <w:b/>
          <w:bCs/>
          <w:i/>
          <w:iCs/>
          <w:color w:val="000000"/>
          <w:sz w:val="22"/>
          <w:szCs w:val="22"/>
        </w:rPr>
        <w:t>general insurer </w:t>
      </w:r>
      <w:r w:rsidRPr="003862FE">
        <w:rPr>
          <w:rFonts w:ascii="Arial" w:hAnsi="Arial" w:cs="Arial"/>
          <w:color w:val="000000"/>
          <w:sz w:val="22"/>
          <w:szCs w:val="22"/>
        </w:rPr>
        <w:t>has the meaning given in section 11 of the Act.</w:t>
      </w:r>
    </w:p>
    <w:p w14:paraId="7DB706B2" w14:textId="77777777" w:rsidR="00030C77" w:rsidRPr="003862FE" w:rsidRDefault="00030C77" w:rsidP="00030C77">
      <w:pPr>
        <w:pStyle w:val="introto0"/>
        <w:shd w:val="clear" w:color="auto" w:fill="FFFFFF"/>
        <w:spacing w:before="120" w:beforeAutospacing="0" w:after="0" w:afterAutospacing="0"/>
        <w:jc w:val="both"/>
        <w:rPr>
          <w:rFonts w:ascii="Arial" w:hAnsi="Arial" w:cs="Arial"/>
          <w:color w:val="000000"/>
          <w:sz w:val="22"/>
          <w:szCs w:val="22"/>
        </w:rPr>
      </w:pPr>
      <w:r w:rsidRPr="003862FE">
        <w:rPr>
          <w:rFonts w:ascii="Arial" w:hAnsi="Arial" w:cs="Arial"/>
          <w:b/>
          <w:bCs/>
          <w:i/>
          <w:iCs/>
          <w:color w:val="000000"/>
          <w:sz w:val="22"/>
          <w:szCs w:val="22"/>
        </w:rPr>
        <w:t>Level 2 insurance group</w:t>
      </w:r>
      <w:r w:rsidRPr="003862FE">
        <w:rPr>
          <w:rFonts w:ascii="Arial" w:hAnsi="Arial" w:cs="Arial"/>
          <w:color w:val="000000"/>
          <w:sz w:val="22"/>
          <w:szCs w:val="22"/>
        </w:rPr>
        <w:t> has the meaning given in </w:t>
      </w:r>
      <w:r w:rsidRPr="003862FE">
        <w:rPr>
          <w:rFonts w:ascii="Arial" w:hAnsi="Arial" w:cs="Arial"/>
          <w:i/>
          <w:iCs/>
          <w:color w:val="000000"/>
          <w:sz w:val="22"/>
          <w:szCs w:val="22"/>
        </w:rPr>
        <w:t>Prudential Standard GPS 001 Definitions.</w:t>
      </w:r>
    </w:p>
    <w:p w14:paraId="7188DAF0" w14:textId="77777777" w:rsidR="00030C77" w:rsidRPr="003862FE" w:rsidRDefault="00030C77" w:rsidP="00030C77">
      <w:pPr>
        <w:pStyle w:val="introto0"/>
        <w:shd w:val="clear" w:color="auto" w:fill="FFFFFF"/>
        <w:spacing w:before="120" w:beforeAutospacing="0" w:after="0" w:afterAutospacing="0"/>
        <w:jc w:val="both"/>
        <w:rPr>
          <w:rFonts w:ascii="Arial" w:hAnsi="Arial" w:cs="Arial"/>
          <w:color w:val="000000"/>
          <w:sz w:val="22"/>
          <w:szCs w:val="22"/>
        </w:rPr>
      </w:pPr>
      <w:r w:rsidRPr="003862FE">
        <w:rPr>
          <w:rFonts w:ascii="Arial" w:hAnsi="Arial" w:cs="Arial"/>
          <w:b/>
          <w:bCs/>
          <w:i/>
          <w:iCs/>
          <w:color w:val="000000"/>
          <w:sz w:val="22"/>
          <w:szCs w:val="22"/>
        </w:rPr>
        <w:t>parent entity</w:t>
      </w:r>
      <w:r w:rsidRPr="003862FE">
        <w:rPr>
          <w:rFonts w:ascii="Arial" w:hAnsi="Arial" w:cs="Arial"/>
          <w:color w:val="000000"/>
          <w:sz w:val="22"/>
          <w:szCs w:val="22"/>
        </w:rPr>
        <w:t> has the meaning given in </w:t>
      </w:r>
      <w:r w:rsidRPr="003862FE">
        <w:rPr>
          <w:rFonts w:ascii="Arial" w:hAnsi="Arial" w:cs="Arial"/>
          <w:i/>
          <w:iCs/>
          <w:color w:val="000000"/>
          <w:sz w:val="22"/>
          <w:szCs w:val="22"/>
        </w:rPr>
        <w:t>Prudential Standard GPS 001 Definitions.</w:t>
      </w:r>
    </w:p>
    <w:p w14:paraId="2A442831" w14:textId="77777777" w:rsidR="00030C77" w:rsidRPr="003862FE" w:rsidRDefault="00030C77" w:rsidP="00030C77">
      <w:pPr>
        <w:pStyle w:val="introto0"/>
        <w:shd w:val="clear" w:color="auto" w:fill="FFFFFF"/>
        <w:spacing w:before="120" w:beforeAutospacing="0" w:after="0" w:afterAutospacing="0"/>
        <w:jc w:val="both"/>
        <w:rPr>
          <w:rFonts w:ascii="Arial" w:hAnsi="Arial" w:cs="Arial"/>
          <w:color w:val="000000"/>
          <w:sz w:val="22"/>
          <w:szCs w:val="22"/>
        </w:rPr>
      </w:pPr>
      <w:r w:rsidRPr="003862FE">
        <w:rPr>
          <w:rFonts w:ascii="Arial" w:hAnsi="Arial" w:cs="Arial"/>
          <w:b/>
          <w:bCs/>
          <w:i/>
          <w:iCs/>
          <w:color w:val="000000"/>
          <w:sz w:val="22"/>
          <w:szCs w:val="22"/>
        </w:rPr>
        <w:t>subsidiary</w:t>
      </w:r>
      <w:r w:rsidRPr="003862FE">
        <w:rPr>
          <w:rFonts w:ascii="Arial" w:hAnsi="Arial" w:cs="Arial"/>
          <w:color w:val="000000"/>
          <w:sz w:val="22"/>
          <w:szCs w:val="22"/>
        </w:rPr>
        <w:t> has the meaning given in </w:t>
      </w:r>
      <w:r w:rsidRPr="003862FE">
        <w:rPr>
          <w:rFonts w:ascii="Arial" w:hAnsi="Arial" w:cs="Arial"/>
          <w:i/>
          <w:iCs/>
          <w:color w:val="000000"/>
          <w:sz w:val="22"/>
          <w:szCs w:val="22"/>
        </w:rPr>
        <w:t>Prudential Standard GPS 001 Definitions.</w:t>
      </w:r>
    </w:p>
    <w:p w14:paraId="49202202" w14:textId="036ADD5B" w:rsidR="00030C77" w:rsidRPr="00BA25AC" w:rsidRDefault="006A20BC" w:rsidP="009E0E2F">
      <w:pPr>
        <w:rPr>
          <w:rFonts w:ascii="Arial" w:hAnsi="Arial" w:cs="Arial"/>
          <w:sz w:val="28"/>
          <w:szCs w:val="28"/>
        </w:rPr>
      </w:pPr>
      <w:r w:rsidRPr="003862FE">
        <w:rPr>
          <w:rFonts w:ascii="Arial" w:hAnsi="Arial" w:cs="Arial"/>
          <w:sz w:val="22"/>
          <w:szCs w:val="22"/>
        </w:rPr>
        <w:br w:type="page"/>
      </w:r>
      <w:r w:rsidR="00030C77" w:rsidRPr="00BA25AC">
        <w:rPr>
          <w:rFonts w:ascii="Arial" w:hAnsi="Arial" w:cs="Arial"/>
          <w:b/>
          <w:sz w:val="28"/>
          <w:szCs w:val="28"/>
        </w:rPr>
        <w:lastRenderedPageBreak/>
        <w:t xml:space="preserve">Schedule </w:t>
      </w:r>
    </w:p>
    <w:p w14:paraId="70C59132" w14:textId="77777777" w:rsidR="00030C77" w:rsidRPr="00BA25AC" w:rsidRDefault="00030C77" w:rsidP="00030C77">
      <w:pPr>
        <w:numPr>
          <w:ilvl w:val="0"/>
          <w:numId w:val="49"/>
        </w:numPr>
        <w:spacing w:before="120" w:after="240"/>
        <w:jc w:val="both"/>
        <w:rPr>
          <w:rFonts w:ascii="Arial" w:hAnsi="Arial" w:cs="Arial"/>
          <w:bCs/>
          <w:sz w:val="22"/>
          <w:szCs w:val="22"/>
        </w:rPr>
      </w:pPr>
      <w:proofErr w:type="gramStart"/>
      <w:r w:rsidRPr="00BA25AC">
        <w:rPr>
          <w:rFonts w:ascii="Arial" w:hAnsi="Arial" w:cs="Arial"/>
          <w:i/>
          <w:sz w:val="22"/>
          <w:szCs w:val="22"/>
        </w:rPr>
        <w:t>Prudential Standard GPS 001 Definitions</w:t>
      </w:r>
      <w:r w:rsidRPr="00BA25AC">
        <w:rPr>
          <w:rFonts w:ascii="Arial" w:hAnsi="Arial" w:cs="Arial"/>
          <w:bCs/>
          <w:i/>
          <w:sz w:val="22"/>
          <w:szCs w:val="22"/>
        </w:rPr>
        <w:t>,</w:t>
      </w:r>
      <w:proofErr w:type="gramEnd"/>
      <w:r w:rsidRPr="00BA25AC">
        <w:rPr>
          <w:rFonts w:ascii="Arial" w:hAnsi="Arial" w:cs="Arial"/>
          <w:bCs/>
          <w:i/>
          <w:sz w:val="22"/>
          <w:szCs w:val="22"/>
        </w:rPr>
        <w:t xml:space="preserve"> </w:t>
      </w:r>
      <w:r w:rsidRPr="00BA25AC">
        <w:rPr>
          <w:rFonts w:ascii="Arial" w:hAnsi="Arial" w:cs="Arial"/>
          <w:bCs/>
          <w:sz w:val="22"/>
          <w:szCs w:val="22"/>
        </w:rPr>
        <w:t>comprises the document commencing on the following page.</w:t>
      </w:r>
    </w:p>
    <w:p w14:paraId="57F8F10F" w14:textId="77777777" w:rsidR="002F6C16" w:rsidRDefault="002F6C16" w:rsidP="002F6C16">
      <w:pPr>
        <w:spacing w:after="240"/>
        <w:jc w:val="both"/>
        <w:rPr>
          <w:rFonts w:cs="Arial"/>
          <w:sz w:val="32"/>
          <w:szCs w:val="32"/>
        </w:rPr>
        <w:sectPr w:rsidR="002F6C16" w:rsidSect="002F5B6C">
          <w:footerReference w:type="default" r:id="rId14"/>
          <w:pgSz w:w="11906" w:h="16838"/>
          <w:pgMar w:top="1440" w:right="1800" w:bottom="1440" w:left="1800" w:header="708" w:footer="708" w:gutter="0"/>
          <w:pgNumType w:start="1"/>
          <w:cols w:space="708"/>
          <w:docGrid w:linePitch="360"/>
        </w:sectPr>
      </w:pPr>
    </w:p>
    <w:p w14:paraId="5A675FFE" w14:textId="77777777" w:rsidR="00030C77" w:rsidRPr="002F6C16" w:rsidRDefault="00030C77" w:rsidP="002F6C16">
      <w:pPr>
        <w:spacing w:after="240"/>
        <w:jc w:val="both"/>
        <w:rPr>
          <w:rFonts w:cs="Arial"/>
          <w:sz w:val="32"/>
          <w:szCs w:val="32"/>
        </w:rPr>
      </w:pPr>
    </w:p>
    <w:p w14:paraId="523EB2DE" w14:textId="77777777" w:rsidR="00A976D2" w:rsidRPr="003B393D" w:rsidRDefault="00B14CB1" w:rsidP="00DC1D97">
      <w:pPr>
        <w:pStyle w:val="Heading5"/>
        <w:spacing w:after="240"/>
        <w:jc w:val="both"/>
      </w:pPr>
      <w:r>
        <w:rPr>
          <w:noProof/>
        </w:rPr>
        <w:drawing>
          <wp:anchor distT="0" distB="0" distL="114300" distR="114300" simplePos="0" relativeHeight="251657728" behindDoc="0" locked="0" layoutInCell="1" allowOverlap="1" wp14:anchorId="523EB4CD" wp14:editId="523EB4CE">
            <wp:simplePos x="0" y="0"/>
            <wp:positionH relativeFrom="column">
              <wp:align>left</wp:align>
            </wp:positionH>
            <wp:positionV relativeFrom="paragraph">
              <wp:posOffset>1905</wp:posOffset>
            </wp:positionV>
            <wp:extent cx="1419225" cy="1104900"/>
            <wp:effectExtent l="0" t="0" r="9525" b="0"/>
            <wp:wrapSquare wrapText="r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3EB2DF" w14:textId="77777777" w:rsidR="00030279" w:rsidRDefault="00030279" w:rsidP="00036117">
      <w:pPr>
        <w:pStyle w:val="Heading5"/>
        <w:spacing w:before="120" w:after="360"/>
        <w:jc w:val="both"/>
        <w:rPr>
          <w:rFonts w:ascii="Arial" w:hAnsi="Arial" w:cs="Arial"/>
          <w:sz w:val="40"/>
          <w:szCs w:val="40"/>
        </w:rPr>
      </w:pPr>
    </w:p>
    <w:p w14:paraId="523EB2E0" w14:textId="77777777" w:rsidR="00030279" w:rsidRDefault="00030279" w:rsidP="00036117">
      <w:pPr>
        <w:pStyle w:val="Heading5"/>
        <w:spacing w:before="120" w:after="360"/>
        <w:jc w:val="both"/>
        <w:rPr>
          <w:rFonts w:ascii="Arial" w:hAnsi="Arial" w:cs="Arial"/>
          <w:sz w:val="40"/>
          <w:szCs w:val="40"/>
        </w:rPr>
      </w:pPr>
    </w:p>
    <w:p w14:paraId="523EB2E1" w14:textId="77777777" w:rsidR="00A976D2" w:rsidRPr="003B393D" w:rsidRDefault="00A976D2" w:rsidP="00036117">
      <w:pPr>
        <w:pStyle w:val="Heading5"/>
        <w:spacing w:before="120" w:after="360"/>
        <w:jc w:val="both"/>
        <w:rPr>
          <w:rFonts w:ascii="Arial" w:hAnsi="Arial" w:cs="Arial"/>
          <w:sz w:val="40"/>
          <w:szCs w:val="40"/>
        </w:rPr>
      </w:pPr>
      <w:r w:rsidRPr="003B393D">
        <w:rPr>
          <w:rFonts w:ascii="Arial" w:hAnsi="Arial" w:cs="Arial"/>
          <w:sz w:val="40"/>
          <w:szCs w:val="40"/>
        </w:rPr>
        <w:t>Prudential Standard GPS 001</w:t>
      </w:r>
    </w:p>
    <w:p w14:paraId="523EB2E2" w14:textId="77777777" w:rsidR="000E129C" w:rsidRDefault="00A976D2" w:rsidP="00036117">
      <w:pPr>
        <w:pStyle w:val="Heading1"/>
        <w:spacing w:before="120" w:after="360"/>
        <w:jc w:val="both"/>
        <w:rPr>
          <w:sz w:val="40"/>
          <w:szCs w:val="40"/>
        </w:rPr>
      </w:pPr>
      <w:r w:rsidRPr="003B393D">
        <w:rPr>
          <w:sz w:val="40"/>
          <w:szCs w:val="40"/>
        </w:rPr>
        <w:t xml:space="preserve">Definitions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5"/>
      </w:tblGrid>
      <w:tr w:rsidR="00A976D2" w:rsidRPr="003B393D" w14:paraId="523EB2E6" w14:textId="77777777" w:rsidTr="00FB1C63">
        <w:tc>
          <w:tcPr>
            <w:tcW w:w="8525" w:type="dxa"/>
            <w:shd w:val="pct10" w:color="auto" w:fill="FFFFFF"/>
          </w:tcPr>
          <w:p w14:paraId="523EB2E3" w14:textId="77777777" w:rsidR="000E129C" w:rsidRDefault="00A976D2" w:rsidP="00DB6F75">
            <w:pPr>
              <w:pStyle w:val="Heading3"/>
              <w:spacing w:before="120" w:after="360"/>
              <w:jc w:val="both"/>
              <w:rPr>
                <w:sz w:val="32"/>
                <w:szCs w:val="32"/>
              </w:rPr>
            </w:pPr>
            <w:r w:rsidRPr="003B393D">
              <w:rPr>
                <w:sz w:val="32"/>
                <w:szCs w:val="32"/>
              </w:rPr>
              <w:t>Objective and key requirements of this Prudential Standard</w:t>
            </w:r>
          </w:p>
          <w:p w14:paraId="523EB2E4" w14:textId="77777777" w:rsidR="00ED5944" w:rsidRPr="00ED5944" w:rsidRDefault="00ED5944" w:rsidP="00DC1D97">
            <w:pPr>
              <w:jc w:val="both"/>
              <w:rPr>
                <w:bCs/>
              </w:rPr>
            </w:pPr>
            <w:r w:rsidRPr="00ED5944">
              <w:rPr>
                <w:bCs/>
              </w:rPr>
              <w:t xml:space="preserve">This Prudential Standard defines key terms referred to in other </w:t>
            </w:r>
            <w:r w:rsidR="00045FFC">
              <w:rPr>
                <w:bCs/>
              </w:rPr>
              <w:t>p</w:t>
            </w:r>
            <w:r w:rsidRPr="00ED5944">
              <w:rPr>
                <w:bCs/>
              </w:rPr>
              <w:t xml:space="preserve">rudential </w:t>
            </w:r>
            <w:r w:rsidR="00045FFC">
              <w:rPr>
                <w:bCs/>
              </w:rPr>
              <w:t>s</w:t>
            </w:r>
            <w:r w:rsidRPr="00ED5944">
              <w:rPr>
                <w:bCs/>
              </w:rPr>
              <w:t xml:space="preserve">tandards applicable to general insurers and Level 2 insurance groups. All </w:t>
            </w:r>
            <w:r w:rsidR="00045FFC">
              <w:rPr>
                <w:bCs/>
              </w:rPr>
              <w:t>p</w:t>
            </w:r>
            <w:r w:rsidRPr="00ED5944">
              <w:rPr>
                <w:bCs/>
              </w:rPr>
              <w:t xml:space="preserve">rudential </w:t>
            </w:r>
            <w:r w:rsidR="00045FFC">
              <w:rPr>
                <w:bCs/>
              </w:rPr>
              <w:t>s</w:t>
            </w:r>
            <w:r w:rsidRPr="00ED5944">
              <w:rPr>
                <w:bCs/>
              </w:rPr>
              <w:t>tandards applicable to general insurers and Level 2 insurance groups must be read in conjunction with this Prudential Standard.</w:t>
            </w:r>
          </w:p>
          <w:p w14:paraId="523EB2E5" w14:textId="77777777" w:rsidR="00A976D2" w:rsidRPr="003B393D" w:rsidRDefault="00A976D2" w:rsidP="00DC1D97">
            <w:pPr>
              <w:jc w:val="both"/>
            </w:pPr>
          </w:p>
        </w:tc>
      </w:tr>
    </w:tbl>
    <w:p w14:paraId="523EB2E7" w14:textId="77777777" w:rsidR="000E129C" w:rsidRDefault="000E129C" w:rsidP="00DC1D97">
      <w:pPr>
        <w:pStyle w:val="Heading"/>
        <w:spacing w:before="120" w:after="240"/>
        <w:jc w:val="both"/>
      </w:pPr>
    </w:p>
    <w:p w14:paraId="523EB2E8" w14:textId="77777777" w:rsidR="00591632" w:rsidRPr="00036117" w:rsidRDefault="00A976D2" w:rsidP="00591632">
      <w:pPr>
        <w:pStyle w:val="Heading"/>
        <w:spacing w:before="120" w:after="240"/>
        <w:jc w:val="both"/>
        <w:rPr>
          <w:rFonts w:ascii="Arial" w:hAnsi="Arial"/>
          <w:i/>
          <w:sz w:val="24"/>
          <w:szCs w:val="24"/>
        </w:rPr>
      </w:pPr>
      <w:r w:rsidRPr="003B393D">
        <w:br w:type="page"/>
      </w:r>
      <w:r w:rsidRPr="00036117">
        <w:rPr>
          <w:rFonts w:ascii="Arial" w:hAnsi="Arial"/>
          <w:bCs/>
          <w:sz w:val="24"/>
          <w:szCs w:val="24"/>
        </w:rPr>
        <w:lastRenderedPageBreak/>
        <w:t xml:space="preserve"> </w:t>
      </w:r>
      <w:r w:rsidR="00591632" w:rsidRPr="00036117">
        <w:rPr>
          <w:rFonts w:ascii="Arial" w:hAnsi="Arial"/>
          <w:bCs/>
          <w:sz w:val="24"/>
          <w:szCs w:val="24"/>
        </w:rPr>
        <w:t xml:space="preserve">Authority </w:t>
      </w:r>
    </w:p>
    <w:p w14:paraId="523EB2E9" w14:textId="77777777" w:rsidR="00591632" w:rsidRPr="003B393D" w:rsidRDefault="00591632" w:rsidP="00591632">
      <w:pPr>
        <w:pStyle w:val="BodyText"/>
        <w:rPr>
          <w:sz w:val="24"/>
          <w:szCs w:val="24"/>
        </w:rPr>
      </w:pPr>
      <w:r w:rsidRPr="003B393D">
        <w:rPr>
          <w:sz w:val="24"/>
          <w:szCs w:val="24"/>
        </w:rPr>
        <w:t xml:space="preserve">This Prudential Standard is made under section 32 of the </w:t>
      </w:r>
      <w:r w:rsidRPr="003B393D">
        <w:rPr>
          <w:i/>
          <w:sz w:val="24"/>
          <w:szCs w:val="24"/>
        </w:rPr>
        <w:t>Insurance Act 1973</w:t>
      </w:r>
      <w:r w:rsidRPr="003B393D">
        <w:rPr>
          <w:sz w:val="24"/>
          <w:szCs w:val="24"/>
        </w:rPr>
        <w:t xml:space="preserve"> (</w:t>
      </w:r>
      <w:r w:rsidRPr="000C6A0A">
        <w:rPr>
          <w:sz w:val="24"/>
          <w:szCs w:val="24"/>
        </w:rPr>
        <w:t>the Act</w:t>
      </w:r>
      <w:r w:rsidRPr="003B393D">
        <w:rPr>
          <w:sz w:val="24"/>
          <w:szCs w:val="24"/>
        </w:rPr>
        <w:t>).</w:t>
      </w:r>
    </w:p>
    <w:p w14:paraId="523EB2EA" w14:textId="77777777" w:rsidR="00591632" w:rsidRPr="00036117" w:rsidRDefault="00591632" w:rsidP="00591632">
      <w:pPr>
        <w:pStyle w:val="Heading"/>
        <w:spacing w:before="120" w:after="240"/>
        <w:jc w:val="both"/>
        <w:rPr>
          <w:rFonts w:ascii="Arial" w:hAnsi="Arial"/>
          <w:bCs/>
          <w:sz w:val="24"/>
          <w:szCs w:val="24"/>
        </w:rPr>
      </w:pPr>
      <w:r w:rsidRPr="00036117">
        <w:rPr>
          <w:rFonts w:ascii="Arial" w:hAnsi="Arial"/>
          <w:bCs/>
          <w:sz w:val="24"/>
          <w:szCs w:val="24"/>
        </w:rPr>
        <w:t>Application</w:t>
      </w:r>
    </w:p>
    <w:p w14:paraId="523EB2EB" w14:textId="4683BFBA" w:rsidR="00591632" w:rsidRPr="00FD586C" w:rsidRDefault="00591632" w:rsidP="00591632">
      <w:pPr>
        <w:pStyle w:val="BodyText"/>
        <w:rPr>
          <w:sz w:val="24"/>
          <w:szCs w:val="24"/>
        </w:rPr>
      </w:pPr>
      <w:r w:rsidRPr="003B393D">
        <w:rPr>
          <w:sz w:val="24"/>
          <w:szCs w:val="24"/>
        </w:rPr>
        <w:t xml:space="preserve">This Prudential </w:t>
      </w:r>
      <w:r w:rsidRPr="00FD586C">
        <w:rPr>
          <w:sz w:val="24"/>
          <w:szCs w:val="24"/>
        </w:rPr>
        <w:t xml:space="preserve">Standard </w:t>
      </w:r>
      <w:r w:rsidR="00777D4A">
        <w:rPr>
          <w:sz w:val="24"/>
          <w:szCs w:val="24"/>
        </w:rPr>
        <w:t>commences on</w:t>
      </w:r>
      <w:r w:rsidRPr="00FD586C">
        <w:rPr>
          <w:sz w:val="24"/>
          <w:szCs w:val="24"/>
        </w:rPr>
        <w:t xml:space="preserve"> 1 </w:t>
      </w:r>
      <w:r>
        <w:rPr>
          <w:sz w:val="24"/>
          <w:szCs w:val="24"/>
        </w:rPr>
        <w:t>J</w:t>
      </w:r>
      <w:r w:rsidR="00DF1EE6">
        <w:rPr>
          <w:sz w:val="24"/>
          <w:szCs w:val="24"/>
        </w:rPr>
        <w:t>uly</w:t>
      </w:r>
      <w:r w:rsidRPr="00FD586C">
        <w:rPr>
          <w:sz w:val="24"/>
          <w:szCs w:val="24"/>
        </w:rPr>
        <w:t xml:space="preserve"> </w:t>
      </w:r>
      <w:r w:rsidR="002A0C41">
        <w:rPr>
          <w:sz w:val="24"/>
          <w:szCs w:val="24"/>
        </w:rPr>
        <w:t>2022</w:t>
      </w:r>
      <w:r w:rsidRPr="00FD586C">
        <w:rPr>
          <w:sz w:val="24"/>
          <w:szCs w:val="24"/>
        </w:rPr>
        <w:t>.</w:t>
      </w:r>
    </w:p>
    <w:p w14:paraId="523EB2EC" w14:textId="77777777" w:rsidR="00591632" w:rsidRPr="003B393D" w:rsidRDefault="00591632" w:rsidP="00591632">
      <w:pPr>
        <w:pStyle w:val="BodyText"/>
        <w:rPr>
          <w:sz w:val="24"/>
          <w:szCs w:val="24"/>
        </w:rPr>
      </w:pPr>
      <w:r w:rsidRPr="003B393D">
        <w:rPr>
          <w:sz w:val="24"/>
          <w:szCs w:val="24"/>
        </w:rPr>
        <w:t xml:space="preserve">Unless the contrary intention appears, definitions in this Prudential Standard apply to all </w:t>
      </w:r>
      <w:r>
        <w:rPr>
          <w:sz w:val="24"/>
          <w:szCs w:val="24"/>
        </w:rPr>
        <w:t>p</w:t>
      </w:r>
      <w:r w:rsidRPr="003B393D">
        <w:rPr>
          <w:sz w:val="24"/>
          <w:szCs w:val="24"/>
        </w:rPr>
        <w:t xml:space="preserve">rudential </w:t>
      </w:r>
      <w:r>
        <w:rPr>
          <w:sz w:val="24"/>
          <w:szCs w:val="24"/>
        </w:rPr>
        <w:t>s</w:t>
      </w:r>
      <w:r w:rsidRPr="003B393D">
        <w:rPr>
          <w:sz w:val="24"/>
          <w:szCs w:val="24"/>
        </w:rPr>
        <w:t xml:space="preserve">tandards made under section 32 of the Act (collectively </w:t>
      </w:r>
      <w:r w:rsidRPr="003B393D">
        <w:rPr>
          <w:b/>
          <w:sz w:val="24"/>
          <w:szCs w:val="24"/>
        </w:rPr>
        <w:t>GI Prudential Standards</w:t>
      </w:r>
      <w:r w:rsidRPr="003B393D">
        <w:rPr>
          <w:sz w:val="24"/>
          <w:szCs w:val="24"/>
        </w:rPr>
        <w:t>).</w:t>
      </w:r>
    </w:p>
    <w:p w14:paraId="523EB2ED" w14:textId="77777777" w:rsidR="00591632" w:rsidRPr="00036117" w:rsidRDefault="00591632" w:rsidP="00591632">
      <w:pPr>
        <w:pStyle w:val="Heading"/>
        <w:spacing w:before="120" w:after="240"/>
        <w:jc w:val="both"/>
        <w:rPr>
          <w:rFonts w:ascii="Arial" w:hAnsi="Arial"/>
          <w:b w:val="0"/>
          <w:bCs/>
          <w:sz w:val="24"/>
          <w:szCs w:val="24"/>
        </w:rPr>
      </w:pPr>
      <w:r w:rsidRPr="00036117">
        <w:rPr>
          <w:rFonts w:ascii="Arial" w:hAnsi="Arial"/>
          <w:bCs/>
          <w:sz w:val="24"/>
          <w:szCs w:val="24"/>
        </w:rPr>
        <w:t>Definitions</w:t>
      </w:r>
    </w:p>
    <w:p w14:paraId="523EB2EE" w14:textId="77777777" w:rsidR="00591632" w:rsidRPr="00157E03" w:rsidRDefault="00591632" w:rsidP="00591632">
      <w:pPr>
        <w:pStyle w:val="BodyText"/>
        <w:rPr>
          <w:b/>
          <w:sz w:val="24"/>
          <w:szCs w:val="24"/>
        </w:rPr>
      </w:pPr>
      <w:r>
        <w:rPr>
          <w:sz w:val="24"/>
          <w:szCs w:val="24"/>
        </w:rPr>
        <w:t>K</w:t>
      </w:r>
      <w:r w:rsidRPr="003B393D">
        <w:rPr>
          <w:sz w:val="24"/>
          <w:szCs w:val="24"/>
        </w:rPr>
        <w:t>ey terms referred to in the GI Prudential Standards are defined as follows:</w:t>
      </w:r>
    </w:p>
    <w:p w14:paraId="523EB2EF" w14:textId="77777777" w:rsidR="00591632" w:rsidRPr="00157E03" w:rsidRDefault="00591632" w:rsidP="00591632">
      <w:pPr>
        <w:spacing w:after="240"/>
        <w:ind w:left="567"/>
        <w:jc w:val="both"/>
        <w:rPr>
          <w:bCs/>
        </w:rPr>
      </w:pPr>
      <w:r w:rsidRPr="00D60937">
        <w:rPr>
          <w:b/>
          <w:bCs/>
        </w:rPr>
        <w:t>AASB</w:t>
      </w:r>
      <w:r>
        <w:rPr>
          <w:b/>
          <w:bCs/>
        </w:rPr>
        <w:t xml:space="preserve"> </w:t>
      </w:r>
      <w:r w:rsidRPr="00E1133D">
        <w:rPr>
          <w:bCs/>
        </w:rPr>
        <w:t>means</w:t>
      </w:r>
      <w:r>
        <w:rPr>
          <w:b/>
          <w:bCs/>
        </w:rPr>
        <w:t xml:space="preserve"> </w:t>
      </w:r>
      <w:r w:rsidRPr="00DC34C6">
        <w:rPr>
          <w:bCs/>
        </w:rPr>
        <w:t>Australian Accounting Standard</w:t>
      </w:r>
      <w:r>
        <w:rPr>
          <w:bCs/>
        </w:rPr>
        <w:t>s</w:t>
      </w:r>
      <w:r w:rsidRPr="00DC34C6">
        <w:rPr>
          <w:bCs/>
        </w:rPr>
        <w:t xml:space="preserve"> Board</w:t>
      </w:r>
      <w:r>
        <w:rPr>
          <w:bCs/>
        </w:rPr>
        <w:t xml:space="preserve">. </w:t>
      </w:r>
    </w:p>
    <w:p w14:paraId="523EB2F0" w14:textId="77777777" w:rsidR="00591632" w:rsidRPr="003B393D" w:rsidRDefault="00591632" w:rsidP="00591632">
      <w:pPr>
        <w:pStyle w:val="BodyText"/>
        <w:numPr>
          <w:ilvl w:val="0"/>
          <w:numId w:val="0"/>
        </w:numPr>
        <w:ind w:left="567"/>
        <w:rPr>
          <w:rFonts w:ascii="time" w:hAnsi="time" w:cs="time"/>
          <w:snapToGrid w:val="0"/>
        </w:rPr>
      </w:pPr>
      <w:r w:rsidRPr="003B393D">
        <w:rPr>
          <w:b/>
          <w:sz w:val="24"/>
          <w:szCs w:val="24"/>
        </w:rPr>
        <w:t>Accounts</w:t>
      </w:r>
      <w:r w:rsidRPr="003B393D">
        <w:rPr>
          <w:rFonts w:ascii="time" w:hAnsi="time" w:cs="time"/>
          <w:snapToGrid w:val="0"/>
        </w:rPr>
        <w:t xml:space="preserve"> </w:t>
      </w:r>
      <w:r w:rsidRPr="003B393D">
        <w:rPr>
          <w:sz w:val="24"/>
          <w:szCs w:val="24"/>
        </w:rPr>
        <w:t xml:space="preserve">of a </w:t>
      </w:r>
      <w:r w:rsidRPr="00F23969">
        <w:rPr>
          <w:b/>
          <w:sz w:val="24"/>
          <w:szCs w:val="24"/>
        </w:rPr>
        <w:t>Level 2 insurance group</w:t>
      </w:r>
      <w:r w:rsidRPr="003B393D">
        <w:rPr>
          <w:sz w:val="24"/>
          <w:szCs w:val="24"/>
        </w:rPr>
        <w:t xml:space="preserve">, for the purposes of the prudential </w:t>
      </w:r>
      <w:r>
        <w:rPr>
          <w:sz w:val="24"/>
          <w:szCs w:val="24"/>
        </w:rPr>
        <w:t>requirements</w:t>
      </w:r>
      <w:r w:rsidRPr="003B393D">
        <w:rPr>
          <w:sz w:val="24"/>
          <w:szCs w:val="24"/>
        </w:rPr>
        <w:t xml:space="preserve"> applicable to Level 2 insurance groups, refers to accounts constituting reporting documents required to be prepared by the </w:t>
      </w:r>
      <w:r>
        <w:rPr>
          <w:sz w:val="24"/>
          <w:szCs w:val="24"/>
        </w:rPr>
        <w:t xml:space="preserve">parent entity of the </w:t>
      </w:r>
      <w:r w:rsidRPr="003B393D">
        <w:rPr>
          <w:sz w:val="24"/>
          <w:szCs w:val="24"/>
        </w:rPr>
        <w:t xml:space="preserve">group in compliance with reporting standards made under the </w:t>
      </w:r>
      <w:r w:rsidRPr="003B393D">
        <w:rPr>
          <w:i/>
          <w:sz w:val="24"/>
          <w:szCs w:val="24"/>
        </w:rPr>
        <w:t>Financial Sector (Collection of Data) Act 2001</w:t>
      </w:r>
      <w:r w:rsidRPr="003B393D">
        <w:rPr>
          <w:sz w:val="24"/>
          <w:szCs w:val="24"/>
        </w:rPr>
        <w:t xml:space="preserve"> (</w:t>
      </w:r>
      <w:r w:rsidRPr="000C6A0A">
        <w:rPr>
          <w:sz w:val="24"/>
          <w:szCs w:val="24"/>
        </w:rPr>
        <w:t>Collection of Data Act</w:t>
      </w:r>
      <w:r w:rsidRPr="003B393D">
        <w:rPr>
          <w:sz w:val="24"/>
          <w:szCs w:val="24"/>
        </w:rPr>
        <w:t>) and includes both</w:t>
      </w:r>
      <w:r w:rsidRPr="003B393D">
        <w:rPr>
          <w:b/>
          <w:sz w:val="24"/>
          <w:szCs w:val="24"/>
        </w:rPr>
        <w:t xml:space="preserve"> </w:t>
      </w:r>
      <w:r w:rsidRPr="003B393D">
        <w:rPr>
          <w:sz w:val="24"/>
          <w:szCs w:val="24"/>
        </w:rPr>
        <w:t>annual accounts</w:t>
      </w:r>
      <w:r w:rsidRPr="003B393D">
        <w:rPr>
          <w:b/>
          <w:sz w:val="24"/>
          <w:szCs w:val="24"/>
        </w:rPr>
        <w:t xml:space="preserve"> </w:t>
      </w:r>
      <w:r w:rsidRPr="003B393D">
        <w:rPr>
          <w:sz w:val="24"/>
          <w:szCs w:val="24"/>
        </w:rPr>
        <w:t>and</w:t>
      </w:r>
      <w:r w:rsidRPr="003B393D">
        <w:rPr>
          <w:b/>
          <w:sz w:val="24"/>
          <w:szCs w:val="24"/>
        </w:rPr>
        <w:t xml:space="preserve"> </w:t>
      </w:r>
      <w:r w:rsidRPr="003B393D">
        <w:rPr>
          <w:sz w:val="24"/>
          <w:szCs w:val="24"/>
        </w:rPr>
        <w:t xml:space="preserve">half-yearly accounts </w:t>
      </w:r>
      <w:r>
        <w:rPr>
          <w:sz w:val="24"/>
          <w:szCs w:val="24"/>
        </w:rPr>
        <w:t xml:space="preserve">in respect of a group’s </w:t>
      </w:r>
      <w:r w:rsidRPr="00553202">
        <w:rPr>
          <w:b/>
          <w:sz w:val="24"/>
          <w:szCs w:val="24"/>
        </w:rPr>
        <w:t>financial year</w:t>
      </w:r>
      <w:r>
        <w:rPr>
          <w:sz w:val="24"/>
          <w:szCs w:val="24"/>
        </w:rPr>
        <w:t xml:space="preserve">. </w:t>
      </w:r>
    </w:p>
    <w:p w14:paraId="2AEED565" w14:textId="7AFD26A1" w:rsidR="00486ACC" w:rsidRPr="008E57EF" w:rsidRDefault="00486ACC" w:rsidP="00486ACC">
      <w:pPr>
        <w:pStyle w:val="BodyText"/>
        <w:numPr>
          <w:ilvl w:val="0"/>
          <w:numId w:val="0"/>
        </w:numPr>
        <w:ind w:left="567"/>
        <w:rPr>
          <w:sz w:val="24"/>
          <w:szCs w:val="24"/>
          <w:highlight w:val="green"/>
        </w:rPr>
      </w:pPr>
      <w:r>
        <w:rPr>
          <w:b/>
          <w:sz w:val="24"/>
          <w:szCs w:val="24"/>
        </w:rPr>
        <w:t>Actuarial</w:t>
      </w:r>
      <w:r w:rsidRPr="008E57EF">
        <w:rPr>
          <w:b/>
          <w:sz w:val="24"/>
          <w:szCs w:val="24"/>
        </w:rPr>
        <w:t xml:space="preserve"> Valuation Report </w:t>
      </w:r>
      <w:r>
        <w:rPr>
          <w:sz w:val="24"/>
          <w:szCs w:val="24"/>
        </w:rPr>
        <w:t>(A</w:t>
      </w:r>
      <w:r w:rsidRPr="00496352">
        <w:rPr>
          <w:sz w:val="24"/>
          <w:szCs w:val="24"/>
        </w:rPr>
        <w:t>VR)</w:t>
      </w:r>
      <w:r w:rsidRPr="008E57EF">
        <w:rPr>
          <w:b/>
          <w:sz w:val="24"/>
          <w:szCs w:val="24"/>
        </w:rPr>
        <w:t xml:space="preserve"> </w:t>
      </w:r>
      <w:r w:rsidRPr="008E57EF">
        <w:rPr>
          <w:sz w:val="24"/>
          <w:szCs w:val="24"/>
        </w:rPr>
        <w:t xml:space="preserve">is as defined in </w:t>
      </w:r>
      <w:r>
        <w:rPr>
          <w:sz w:val="24"/>
          <w:szCs w:val="24"/>
        </w:rPr>
        <w:t>C</w:t>
      </w:r>
      <w:r w:rsidRPr="008E57EF">
        <w:rPr>
          <w:sz w:val="24"/>
          <w:szCs w:val="24"/>
        </w:rPr>
        <w:t>PS 320</w:t>
      </w:r>
      <w:r w:rsidRPr="008E57EF">
        <w:rPr>
          <w:i/>
          <w:sz w:val="24"/>
          <w:szCs w:val="24"/>
        </w:rPr>
        <w:t>.</w:t>
      </w:r>
    </w:p>
    <w:p w14:paraId="523EB2F1" w14:textId="77777777" w:rsidR="00591632" w:rsidRPr="008D14A0" w:rsidRDefault="00591632" w:rsidP="00591632">
      <w:pPr>
        <w:pStyle w:val="BodyText"/>
        <w:numPr>
          <w:ilvl w:val="0"/>
          <w:numId w:val="0"/>
        </w:numPr>
        <w:ind w:left="567"/>
        <w:rPr>
          <w:i/>
          <w:sz w:val="24"/>
          <w:szCs w:val="24"/>
        </w:rPr>
      </w:pPr>
      <w:r w:rsidRPr="00052305">
        <w:rPr>
          <w:b/>
          <w:sz w:val="24"/>
          <w:szCs w:val="24"/>
        </w:rPr>
        <w:t>Additional Tier 1</w:t>
      </w:r>
      <w:r>
        <w:rPr>
          <w:b/>
          <w:sz w:val="24"/>
          <w:szCs w:val="24"/>
        </w:rPr>
        <w:t xml:space="preserve"> Capital</w:t>
      </w:r>
      <w:r w:rsidRPr="00C5607D">
        <w:rPr>
          <w:b/>
          <w:sz w:val="24"/>
          <w:szCs w:val="24"/>
        </w:rPr>
        <w:t xml:space="preserve"> </w:t>
      </w:r>
      <w:r w:rsidRPr="00C5607D">
        <w:rPr>
          <w:sz w:val="24"/>
          <w:szCs w:val="24"/>
        </w:rPr>
        <w:t>is as</w:t>
      </w:r>
      <w:r>
        <w:rPr>
          <w:sz w:val="24"/>
          <w:szCs w:val="24"/>
        </w:rPr>
        <w:t xml:space="preserve"> defined in </w:t>
      </w:r>
      <w:r>
        <w:rPr>
          <w:i/>
          <w:sz w:val="24"/>
          <w:szCs w:val="24"/>
        </w:rPr>
        <w:t xml:space="preserve">Prudential Standard GPS 112 Capital Adequacy: Measurement of Capital </w:t>
      </w:r>
      <w:r w:rsidRPr="00F23969">
        <w:rPr>
          <w:sz w:val="24"/>
          <w:szCs w:val="24"/>
        </w:rPr>
        <w:t>(</w:t>
      </w:r>
      <w:r w:rsidRPr="000C6A0A">
        <w:rPr>
          <w:sz w:val="24"/>
          <w:szCs w:val="24"/>
        </w:rPr>
        <w:t>GPS 112</w:t>
      </w:r>
      <w:r w:rsidRPr="00F23969">
        <w:rPr>
          <w:sz w:val="24"/>
          <w:szCs w:val="24"/>
        </w:rPr>
        <w:t>)</w:t>
      </w:r>
      <w:r>
        <w:rPr>
          <w:i/>
          <w:sz w:val="24"/>
          <w:szCs w:val="24"/>
        </w:rPr>
        <w:t>.</w:t>
      </w:r>
    </w:p>
    <w:p w14:paraId="523EB2F2" w14:textId="77777777" w:rsidR="00591632" w:rsidRPr="003B393D" w:rsidRDefault="00591632" w:rsidP="00591632">
      <w:pPr>
        <w:pStyle w:val="BodyText"/>
        <w:numPr>
          <w:ilvl w:val="0"/>
          <w:numId w:val="0"/>
        </w:numPr>
        <w:ind w:left="567"/>
        <w:rPr>
          <w:sz w:val="24"/>
          <w:szCs w:val="24"/>
        </w:rPr>
      </w:pPr>
      <w:r w:rsidRPr="003B393D">
        <w:rPr>
          <w:b/>
          <w:sz w:val="24"/>
          <w:szCs w:val="24"/>
        </w:rPr>
        <w:t>Agent in Australia</w:t>
      </w:r>
      <w:r w:rsidRPr="003B393D">
        <w:rPr>
          <w:sz w:val="24"/>
          <w:szCs w:val="24"/>
        </w:rPr>
        <w:t xml:space="preserve"> has the same meaning as in the Act.</w:t>
      </w:r>
    </w:p>
    <w:p w14:paraId="523EB2F3" w14:textId="77777777" w:rsidR="00591632" w:rsidRPr="003B393D" w:rsidRDefault="00591632" w:rsidP="00591632">
      <w:pPr>
        <w:pStyle w:val="BodyText"/>
        <w:numPr>
          <w:ilvl w:val="0"/>
          <w:numId w:val="0"/>
        </w:numPr>
        <w:ind w:left="567"/>
        <w:rPr>
          <w:sz w:val="24"/>
          <w:szCs w:val="24"/>
        </w:rPr>
      </w:pPr>
      <w:r w:rsidRPr="003B393D">
        <w:rPr>
          <w:b/>
          <w:sz w:val="24"/>
          <w:szCs w:val="24"/>
        </w:rPr>
        <w:t>Appointed Actuary</w:t>
      </w:r>
      <w:r w:rsidRPr="003B393D">
        <w:rPr>
          <w:sz w:val="24"/>
          <w:szCs w:val="24"/>
        </w:rPr>
        <w:t xml:space="preserve"> means an actuary appointed under paragraph 39(1)(b) of the Act</w:t>
      </w:r>
      <w:r>
        <w:rPr>
          <w:sz w:val="24"/>
          <w:szCs w:val="24"/>
        </w:rPr>
        <w:t>.</w:t>
      </w:r>
    </w:p>
    <w:p w14:paraId="523EB2F4" w14:textId="77777777" w:rsidR="00591632" w:rsidRDefault="00591632" w:rsidP="00591632">
      <w:pPr>
        <w:pStyle w:val="BodyText"/>
        <w:numPr>
          <w:ilvl w:val="0"/>
          <w:numId w:val="0"/>
        </w:numPr>
        <w:ind w:left="567"/>
      </w:pPr>
      <w:r w:rsidRPr="003B393D">
        <w:rPr>
          <w:b/>
          <w:sz w:val="24"/>
          <w:szCs w:val="24"/>
        </w:rPr>
        <w:t>Appointed Auditor</w:t>
      </w:r>
      <w:r w:rsidRPr="003B393D">
        <w:rPr>
          <w:sz w:val="24"/>
          <w:szCs w:val="24"/>
        </w:rPr>
        <w:t xml:space="preserve"> means an auditor appointed under paragraph 39(1)(a) of the Act.</w:t>
      </w:r>
    </w:p>
    <w:p w14:paraId="523EB2F5" w14:textId="602CD612" w:rsidR="00591632" w:rsidRDefault="00591632" w:rsidP="00591632">
      <w:pPr>
        <w:spacing w:after="240"/>
        <w:ind w:left="567"/>
        <w:jc w:val="both"/>
        <w:rPr>
          <w:b/>
          <w:szCs w:val="24"/>
        </w:rPr>
      </w:pPr>
      <w:r w:rsidRPr="00A976D2">
        <w:rPr>
          <w:b/>
          <w:szCs w:val="24"/>
        </w:rPr>
        <w:t xml:space="preserve">APRA-authorised reinsurer </w:t>
      </w:r>
      <w:r w:rsidRPr="00A976D2">
        <w:rPr>
          <w:szCs w:val="24"/>
        </w:rPr>
        <w:t xml:space="preserve">means an </w:t>
      </w:r>
      <w:r w:rsidRPr="00F23969">
        <w:rPr>
          <w:b/>
          <w:szCs w:val="24"/>
        </w:rPr>
        <w:t>insurer</w:t>
      </w:r>
      <w:r w:rsidRPr="00A976D2">
        <w:rPr>
          <w:szCs w:val="24"/>
        </w:rPr>
        <w:t xml:space="preserve"> carrying on reinsurance business. For the purposes of this definition, a Lloyd’s underwriter as defined under the Act is an APRA-authorised reinsurer if it carries on reinsurance </w:t>
      </w:r>
      <w:r w:rsidRPr="00C5607D">
        <w:rPr>
          <w:szCs w:val="24"/>
        </w:rPr>
        <w:t>business.</w:t>
      </w:r>
      <w:r w:rsidR="006F607C">
        <w:rPr>
          <w:szCs w:val="24"/>
        </w:rPr>
        <w:t xml:space="preserve"> The Australian Reinsurance Pool Corporation is also considered an APRA-authorised reinsurer for the purposes of this definition. </w:t>
      </w:r>
    </w:p>
    <w:p w14:paraId="523EB2F6" w14:textId="77777777" w:rsidR="00591632" w:rsidRPr="00C5607D" w:rsidRDefault="00591632" w:rsidP="00591632">
      <w:pPr>
        <w:pStyle w:val="BodyText"/>
        <w:numPr>
          <w:ilvl w:val="0"/>
          <w:numId w:val="0"/>
        </w:numPr>
        <w:ind w:left="567"/>
        <w:rPr>
          <w:bCs/>
          <w:i/>
          <w:sz w:val="24"/>
        </w:rPr>
      </w:pPr>
      <w:r w:rsidRPr="00052305">
        <w:rPr>
          <w:b/>
          <w:sz w:val="24"/>
        </w:rPr>
        <w:t>Asset Concentration Risk Charge</w:t>
      </w:r>
      <w:r w:rsidRPr="00C5607D">
        <w:rPr>
          <w:b/>
          <w:sz w:val="24"/>
        </w:rPr>
        <w:t xml:space="preserve"> </w:t>
      </w:r>
      <w:r w:rsidRPr="00C5607D">
        <w:rPr>
          <w:bCs/>
          <w:sz w:val="24"/>
        </w:rPr>
        <w:t xml:space="preserve">means the risk charge determined under </w:t>
      </w:r>
      <w:r w:rsidRPr="00C5607D">
        <w:rPr>
          <w:bCs/>
          <w:i/>
          <w:sz w:val="24"/>
        </w:rPr>
        <w:t>Prudential Standard GPS 117 Capital Adequacy: Asset Concentration Risk Charge.</w:t>
      </w:r>
    </w:p>
    <w:p w14:paraId="523EB2F7" w14:textId="77777777" w:rsidR="00591632" w:rsidRPr="00C5607D" w:rsidRDefault="00591632" w:rsidP="00591632">
      <w:pPr>
        <w:pStyle w:val="BodyText"/>
        <w:numPr>
          <w:ilvl w:val="0"/>
          <w:numId w:val="0"/>
        </w:numPr>
        <w:ind w:left="567"/>
        <w:rPr>
          <w:b/>
          <w:sz w:val="24"/>
        </w:rPr>
      </w:pPr>
      <w:r w:rsidRPr="00052305">
        <w:rPr>
          <w:b/>
          <w:sz w:val="24"/>
        </w:rPr>
        <w:t>Asset Risk Charge</w:t>
      </w:r>
      <w:r w:rsidRPr="00C5607D">
        <w:rPr>
          <w:b/>
          <w:sz w:val="24"/>
        </w:rPr>
        <w:t xml:space="preserve"> </w:t>
      </w:r>
      <w:r w:rsidRPr="00C5607D">
        <w:rPr>
          <w:bCs/>
          <w:sz w:val="24"/>
        </w:rPr>
        <w:t xml:space="preserve">means the risk charge determined under </w:t>
      </w:r>
      <w:r w:rsidRPr="00C5607D">
        <w:rPr>
          <w:bCs/>
          <w:i/>
          <w:sz w:val="24"/>
        </w:rPr>
        <w:t>Prudential Standard GPS 114 Capital Adequacy: Asset Risk Charge</w:t>
      </w:r>
      <w:r w:rsidRPr="00C5607D">
        <w:rPr>
          <w:bCs/>
          <w:sz w:val="24"/>
        </w:rPr>
        <w:t>.</w:t>
      </w:r>
    </w:p>
    <w:p w14:paraId="523EB2F8" w14:textId="77777777" w:rsidR="00591632" w:rsidRPr="008E57EF" w:rsidRDefault="00591632" w:rsidP="00591632">
      <w:pPr>
        <w:pStyle w:val="BodyText"/>
        <w:numPr>
          <w:ilvl w:val="0"/>
          <w:numId w:val="0"/>
        </w:numPr>
        <w:ind w:left="567"/>
        <w:rPr>
          <w:i/>
          <w:sz w:val="24"/>
        </w:rPr>
      </w:pPr>
      <w:r>
        <w:rPr>
          <w:b/>
          <w:sz w:val="24"/>
        </w:rPr>
        <w:lastRenderedPageBreak/>
        <w:t xml:space="preserve">Associate </w:t>
      </w:r>
      <w:r>
        <w:rPr>
          <w:sz w:val="24"/>
        </w:rPr>
        <w:t xml:space="preserve">means an associate as defined under </w:t>
      </w:r>
      <w:r>
        <w:rPr>
          <w:i/>
          <w:sz w:val="24"/>
        </w:rPr>
        <w:t xml:space="preserve">Australian Accounting Standard AASB 128 Investments in Associates and Joint Ventures. </w:t>
      </w:r>
    </w:p>
    <w:p w14:paraId="523EB2F9" w14:textId="77777777" w:rsidR="00591632" w:rsidRPr="003B393D" w:rsidRDefault="00591632" w:rsidP="00591632">
      <w:pPr>
        <w:pStyle w:val="BodyText"/>
        <w:numPr>
          <w:ilvl w:val="0"/>
          <w:numId w:val="0"/>
        </w:numPr>
        <w:ind w:left="567"/>
        <w:rPr>
          <w:sz w:val="24"/>
          <w:szCs w:val="24"/>
        </w:rPr>
      </w:pPr>
      <w:r w:rsidRPr="00C5607D">
        <w:rPr>
          <w:b/>
          <w:sz w:val="24"/>
        </w:rPr>
        <w:t>Auditing and</w:t>
      </w:r>
      <w:r w:rsidRPr="003B393D">
        <w:rPr>
          <w:b/>
          <w:sz w:val="24"/>
        </w:rPr>
        <w:t xml:space="preserve"> Assurance Standards</w:t>
      </w:r>
      <w:r w:rsidRPr="003B393D">
        <w:rPr>
          <w:sz w:val="24"/>
        </w:rPr>
        <w:t xml:space="preserve"> is a reference to the Auditing and Assurance Standards issued by the Auditing and Assurance Standards Board</w:t>
      </w:r>
      <w:r>
        <w:rPr>
          <w:sz w:val="24"/>
        </w:rPr>
        <w:t xml:space="preserve"> </w:t>
      </w:r>
      <w:r w:rsidRPr="002E58BB">
        <w:rPr>
          <w:sz w:val="24"/>
        </w:rPr>
        <w:t>(</w:t>
      </w:r>
      <w:r w:rsidRPr="00FD314C">
        <w:rPr>
          <w:sz w:val="24"/>
        </w:rPr>
        <w:t>AUASB</w:t>
      </w:r>
      <w:r w:rsidRPr="002E58BB">
        <w:rPr>
          <w:sz w:val="24"/>
        </w:rPr>
        <w:t xml:space="preserve">) </w:t>
      </w:r>
      <w:r w:rsidRPr="003B393D">
        <w:rPr>
          <w:sz w:val="24"/>
        </w:rPr>
        <w:t>as may be amended from time to time.</w:t>
      </w:r>
    </w:p>
    <w:p w14:paraId="523EB2FA" w14:textId="77777777" w:rsidR="00591632" w:rsidRPr="003B393D" w:rsidRDefault="00591632" w:rsidP="00591632">
      <w:pPr>
        <w:pStyle w:val="BodyText"/>
        <w:numPr>
          <w:ilvl w:val="0"/>
          <w:numId w:val="0"/>
        </w:numPr>
        <w:ind w:left="567"/>
        <w:rPr>
          <w:sz w:val="24"/>
          <w:szCs w:val="24"/>
        </w:rPr>
      </w:pPr>
      <w:r w:rsidRPr="003B393D">
        <w:rPr>
          <w:b/>
          <w:sz w:val="24"/>
          <w:szCs w:val="24"/>
        </w:rPr>
        <w:t>Australian Accounting Standards</w:t>
      </w:r>
      <w:r w:rsidRPr="003B393D">
        <w:rPr>
          <w:sz w:val="24"/>
          <w:szCs w:val="24"/>
        </w:rPr>
        <w:t xml:space="preserve"> is a reference to the Australian Accounting Standards issued by the Australian Accounting Standards Board</w:t>
      </w:r>
      <w:r w:rsidRPr="002E58BB">
        <w:rPr>
          <w:sz w:val="24"/>
          <w:szCs w:val="24"/>
        </w:rPr>
        <w:t xml:space="preserve"> (</w:t>
      </w:r>
      <w:r w:rsidRPr="00FD314C">
        <w:rPr>
          <w:sz w:val="24"/>
          <w:szCs w:val="24"/>
        </w:rPr>
        <w:t>AASB</w:t>
      </w:r>
      <w:r w:rsidRPr="002E58BB">
        <w:rPr>
          <w:sz w:val="24"/>
          <w:szCs w:val="24"/>
        </w:rPr>
        <w:t>)</w:t>
      </w:r>
      <w:r w:rsidRPr="00A4430A">
        <w:rPr>
          <w:b/>
          <w:sz w:val="24"/>
          <w:szCs w:val="24"/>
        </w:rPr>
        <w:t xml:space="preserve"> </w:t>
      </w:r>
      <w:r w:rsidRPr="003B393D">
        <w:rPr>
          <w:sz w:val="24"/>
          <w:szCs w:val="24"/>
        </w:rPr>
        <w:t>as may be amended from time to time.</w:t>
      </w:r>
    </w:p>
    <w:p w14:paraId="523EB2FB" w14:textId="77777777" w:rsidR="00591632" w:rsidRPr="003B393D" w:rsidRDefault="00591632" w:rsidP="00591632">
      <w:pPr>
        <w:pStyle w:val="BodyText"/>
        <w:numPr>
          <w:ilvl w:val="0"/>
          <w:numId w:val="0"/>
        </w:numPr>
        <w:ind w:left="567"/>
        <w:rPr>
          <w:b/>
          <w:sz w:val="24"/>
          <w:szCs w:val="24"/>
        </w:rPr>
      </w:pPr>
      <w:r w:rsidRPr="003B393D">
        <w:rPr>
          <w:b/>
          <w:sz w:val="24"/>
          <w:szCs w:val="24"/>
        </w:rPr>
        <w:t xml:space="preserve">Australian business </w:t>
      </w:r>
      <w:r w:rsidRPr="003B393D">
        <w:rPr>
          <w:sz w:val="24"/>
          <w:szCs w:val="24"/>
        </w:rPr>
        <w:t xml:space="preserve">of a Level 2 insurance group, for the purposes of the prudential </w:t>
      </w:r>
      <w:r>
        <w:rPr>
          <w:sz w:val="24"/>
          <w:szCs w:val="24"/>
        </w:rPr>
        <w:t>requirements</w:t>
      </w:r>
      <w:r w:rsidRPr="003B393D">
        <w:rPr>
          <w:sz w:val="24"/>
          <w:szCs w:val="24"/>
        </w:rPr>
        <w:t xml:space="preserve"> applicable to Level 2 insurance groups, means insurance </w:t>
      </w:r>
      <w:proofErr w:type="gramStart"/>
      <w:r w:rsidRPr="003B393D">
        <w:rPr>
          <w:sz w:val="24"/>
          <w:szCs w:val="24"/>
        </w:rPr>
        <w:t>business  carried</w:t>
      </w:r>
      <w:proofErr w:type="gramEnd"/>
      <w:r w:rsidRPr="003B393D">
        <w:rPr>
          <w:sz w:val="24"/>
          <w:szCs w:val="24"/>
        </w:rPr>
        <w:t xml:space="preserve"> on (whether in Australia or elsewhere) by any </w:t>
      </w:r>
      <w:r w:rsidRPr="00F23969">
        <w:rPr>
          <w:b/>
          <w:sz w:val="24"/>
          <w:szCs w:val="24"/>
        </w:rPr>
        <w:t>Level 1 insurer</w:t>
      </w:r>
      <w:r w:rsidRPr="003B393D">
        <w:rPr>
          <w:sz w:val="24"/>
          <w:szCs w:val="24"/>
        </w:rPr>
        <w:t xml:space="preserve"> within the group.</w:t>
      </w:r>
    </w:p>
    <w:p w14:paraId="523EB2FC" w14:textId="77777777" w:rsidR="00591632" w:rsidRPr="003B393D" w:rsidRDefault="00591632" w:rsidP="00591632">
      <w:pPr>
        <w:pStyle w:val="BodyText"/>
        <w:numPr>
          <w:ilvl w:val="0"/>
          <w:numId w:val="0"/>
        </w:numPr>
        <w:ind w:left="567"/>
        <w:rPr>
          <w:sz w:val="24"/>
          <w:szCs w:val="24"/>
        </w:rPr>
      </w:pPr>
      <w:r w:rsidRPr="003B393D">
        <w:rPr>
          <w:b/>
          <w:sz w:val="24"/>
          <w:szCs w:val="24"/>
        </w:rPr>
        <w:t xml:space="preserve">Authorised deposit-taking institution </w:t>
      </w:r>
      <w:r w:rsidRPr="00460687">
        <w:rPr>
          <w:sz w:val="24"/>
          <w:szCs w:val="24"/>
        </w:rPr>
        <w:t>(</w:t>
      </w:r>
      <w:r w:rsidRPr="00FD314C">
        <w:rPr>
          <w:sz w:val="24"/>
          <w:szCs w:val="24"/>
        </w:rPr>
        <w:t>ADI</w:t>
      </w:r>
      <w:r w:rsidRPr="00460687">
        <w:rPr>
          <w:sz w:val="24"/>
          <w:szCs w:val="24"/>
        </w:rPr>
        <w:t>)</w:t>
      </w:r>
      <w:r>
        <w:rPr>
          <w:b/>
          <w:sz w:val="24"/>
          <w:szCs w:val="24"/>
        </w:rPr>
        <w:t xml:space="preserve"> </w:t>
      </w:r>
      <w:r w:rsidRPr="003B393D">
        <w:rPr>
          <w:sz w:val="24"/>
          <w:szCs w:val="24"/>
        </w:rPr>
        <w:t xml:space="preserve">has the same meaning as in the </w:t>
      </w:r>
      <w:r w:rsidRPr="003B393D">
        <w:rPr>
          <w:i/>
          <w:sz w:val="24"/>
          <w:szCs w:val="24"/>
        </w:rPr>
        <w:t>Banking Act 1959</w:t>
      </w:r>
      <w:r>
        <w:rPr>
          <w:i/>
          <w:sz w:val="24"/>
          <w:szCs w:val="24"/>
        </w:rPr>
        <w:t xml:space="preserve"> </w:t>
      </w:r>
      <w:r>
        <w:rPr>
          <w:sz w:val="24"/>
          <w:szCs w:val="24"/>
        </w:rPr>
        <w:t>(</w:t>
      </w:r>
      <w:r w:rsidRPr="00FD314C">
        <w:rPr>
          <w:sz w:val="24"/>
          <w:szCs w:val="24"/>
        </w:rPr>
        <w:t>Banking Act</w:t>
      </w:r>
      <w:r>
        <w:rPr>
          <w:sz w:val="24"/>
          <w:szCs w:val="24"/>
        </w:rPr>
        <w:t>)</w:t>
      </w:r>
      <w:r w:rsidRPr="003B393D">
        <w:rPr>
          <w:sz w:val="24"/>
          <w:szCs w:val="24"/>
        </w:rPr>
        <w:t>.</w:t>
      </w:r>
      <w:r>
        <w:rPr>
          <w:sz w:val="24"/>
          <w:szCs w:val="24"/>
        </w:rPr>
        <w:t xml:space="preserve"> It includes foreign ADIs as defined in the Banking Act. </w:t>
      </w:r>
    </w:p>
    <w:p w14:paraId="523EB2FD" w14:textId="77777777" w:rsidR="00591632" w:rsidRPr="003B393D" w:rsidRDefault="00591632" w:rsidP="00591632">
      <w:pPr>
        <w:pStyle w:val="BodyText"/>
        <w:numPr>
          <w:ilvl w:val="0"/>
          <w:numId w:val="0"/>
        </w:numPr>
        <w:ind w:left="567"/>
        <w:rPr>
          <w:sz w:val="24"/>
          <w:szCs w:val="24"/>
        </w:rPr>
      </w:pPr>
      <w:r w:rsidRPr="003B393D">
        <w:rPr>
          <w:b/>
          <w:sz w:val="24"/>
          <w:szCs w:val="24"/>
        </w:rPr>
        <w:t>Authorised NOHC</w:t>
      </w:r>
      <w:r w:rsidRPr="003B393D">
        <w:rPr>
          <w:sz w:val="24"/>
          <w:szCs w:val="24"/>
        </w:rPr>
        <w:t xml:space="preserve"> has the same meaning as in the Act.</w:t>
      </w:r>
    </w:p>
    <w:p w14:paraId="523EB2FE" w14:textId="77777777" w:rsidR="00591632" w:rsidRPr="003C6B96" w:rsidRDefault="00591632" w:rsidP="00591632">
      <w:pPr>
        <w:pStyle w:val="BodyText"/>
        <w:numPr>
          <w:ilvl w:val="0"/>
          <w:numId w:val="0"/>
        </w:numPr>
        <w:ind w:left="567"/>
        <w:rPr>
          <w:sz w:val="24"/>
          <w:szCs w:val="24"/>
        </w:rPr>
      </w:pPr>
      <w:r>
        <w:rPr>
          <w:b/>
          <w:sz w:val="24"/>
          <w:szCs w:val="24"/>
        </w:rPr>
        <w:t xml:space="preserve">Board </w:t>
      </w:r>
      <w:r>
        <w:rPr>
          <w:sz w:val="24"/>
          <w:szCs w:val="24"/>
        </w:rPr>
        <w:t xml:space="preserve">means the Board of directors or, where relevant, the </w:t>
      </w:r>
      <w:r w:rsidRPr="003C6B96">
        <w:rPr>
          <w:b/>
          <w:sz w:val="24"/>
          <w:szCs w:val="24"/>
        </w:rPr>
        <w:t>senior officer outside Australia</w:t>
      </w:r>
      <w:r>
        <w:rPr>
          <w:sz w:val="24"/>
          <w:szCs w:val="24"/>
        </w:rPr>
        <w:t>.</w:t>
      </w:r>
    </w:p>
    <w:p w14:paraId="523EB2FF" w14:textId="77777777" w:rsidR="00591632" w:rsidRPr="003B393D" w:rsidRDefault="00591632" w:rsidP="00591632">
      <w:pPr>
        <w:pStyle w:val="BodyText"/>
        <w:numPr>
          <w:ilvl w:val="0"/>
          <w:numId w:val="0"/>
        </w:numPr>
        <w:ind w:left="567"/>
        <w:rPr>
          <w:sz w:val="24"/>
          <w:szCs w:val="24"/>
        </w:rPr>
      </w:pPr>
      <w:r w:rsidRPr="003B393D">
        <w:rPr>
          <w:b/>
          <w:sz w:val="24"/>
          <w:szCs w:val="24"/>
        </w:rPr>
        <w:t>Business day</w:t>
      </w:r>
      <w:r w:rsidRPr="003B393D">
        <w:rPr>
          <w:sz w:val="24"/>
          <w:szCs w:val="24"/>
        </w:rPr>
        <w:t xml:space="preserve"> has the same meaning as in the Act.</w:t>
      </w:r>
    </w:p>
    <w:p w14:paraId="523EB300" w14:textId="77777777" w:rsidR="00591632" w:rsidRDefault="00591632" w:rsidP="00591632">
      <w:pPr>
        <w:pStyle w:val="normaltextcharcharcharcharchar"/>
        <w:ind w:firstLine="0"/>
        <w:rPr>
          <w:rFonts w:ascii="Times New Roman" w:hAnsi="Times New Roman"/>
          <w:b/>
        </w:rPr>
      </w:pPr>
      <w:r>
        <w:rPr>
          <w:rFonts w:ascii="Times New Roman" w:hAnsi="Times New Roman"/>
          <w:b/>
          <w:bCs/>
        </w:rPr>
        <w:t xml:space="preserve">Business Plan </w:t>
      </w:r>
      <w:r>
        <w:rPr>
          <w:rFonts w:ascii="Times New Roman" w:hAnsi="Times New Roman"/>
          <w:bCs/>
        </w:rPr>
        <w:t xml:space="preserve">refers to a written business plan as part of an insurer’s risk management framework as required under </w:t>
      </w:r>
      <w:r w:rsidRPr="00D65158">
        <w:rPr>
          <w:rFonts w:ascii="Times New Roman" w:hAnsi="Times New Roman"/>
          <w:bCs/>
          <w:i/>
        </w:rPr>
        <w:t xml:space="preserve">Prudential Standard </w:t>
      </w:r>
      <w:r w:rsidR="0065380A">
        <w:rPr>
          <w:rFonts w:ascii="Times New Roman" w:hAnsi="Times New Roman"/>
          <w:bCs/>
          <w:i/>
        </w:rPr>
        <w:t>C</w:t>
      </w:r>
      <w:r w:rsidR="0065380A" w:rsidRPr="00D65158">
        <w:rPr>
          <w:rFonts w:ascii="Times New Roman" w:hAnsi="Times New Roman"/>
          <w:bCs/>
          <w:i/>
        </w:rPr>
        <w:t xml:space="preserve">PS </w:t>
      </w:r>
      <w:r w:rsidRPr="00D65158">
        <w:rPr>
          <w:rFonts w:ascii="Times New Roman" w:hAnsi="Times New Roman"/>
          <w:bCs/>
          <w:i/>
        </w:rPr>
        <w:t xml:space="preserve">220 Risk Management </w:t>
      </w:r>
      <w:r>
        <w:rPr>
          <w:rFonts w:ascii="Times New Roman" w:hAnsi="Times New Roman"/>
          <w:bCs/>
        </w:rPr>
        <w:t>(</w:t>
      </w:r>
      <w:r w:rsidR="0065380A">
        <w:rPr>
          <w:rFonts w:ascii="Times New Roman" w:hAnsi="Times New Roman"/>
          <w:bCs/>
        </w:rPr>
        <w:t>C</w:t>
      </w:r>
      <w:r w:rsidR="0065380A" w:rsidRPr="00496352">
        <w:rPr>
          <w:rFonts w:ascii="Times New Roman" w:hAnsi="Times New Roman"/>
          <w:bCs/>
        </w:rPr>
        <w:t xml:space="preserve">PS </w:t>
      </w:r>
      <w:r w:rsidRPr="00496352">
        <w:rPr>
          <w:rFonts w:ascii="Times New Roman" w:hAnsi="Times New Roman"/>
          <w:bCs/>
        </w:rPr>
        <w:t>220</w:t>
      </w:r>
      <w:r>
        <w:rPr>
          <w:rFonts w:ascii="Times New Roman" w:hAnsi="Times New Roman"/>
          <w:bCs/>
        </w:rPr>
        <w:t xml:space="preserve">). </w:t>
      </w:r>
    </w:p>
    <w:p w14:paraId="523EB301" w14:textId="77777777" w:rsidR="00591632" w:rsidRPr="00B36CC4" w:rsidRDefault="00591632" w:rsidP="00591632">
      <w:pPr>
        <w:pStyle w:val="normaltextcharcharcharcharchar"/>
        <w:ind w:firstLine="0"/>
        <w:rPr>
          <w:rFonts w:ascii="Times New Roman" w:hAnsi="Times New Roman"/>
        </w:rPr>
      </w:pPr>
      <w:r w:rsidRPr="00052305">
        <w:rPr>
          <w:rFonts w:ascii="Times New Roman" w:hAnsi="Times New Roman"/>
          <w:b/>
        </w:rPr>
        <w:t>Capital base</w:t>
      </w:r>
      <w:r w:rsidRPr="00C5607D">
        <w:rPr>
          <w:rFonts w:ascii="Times New Roman" w:hAnsi="Times New Roman"/>
          <w:b/>
        </w:rPr>
        <w:t xml:space="preserve"> </w:t>
      </w:r>
      <w:r w:rsidRPr="00C5607D">
        <w:rPr>
          <w:rFonts w:ascii="Times New Roman" w:hAnsi="Times New Roman"/>
        </w:rPr>
        <w:t>is as defined</w:t>
      </w:r>
      <w:r>
        <w:rPr>
          <w:rFonts w:ascii="Times New Roman" w:hAnsi="Times New Roman"/>
        </w:rPr>
        <w:t xml:space="preserve"> in </w:t>
      </w:r>
      <w:r w:rsidRPr="00F23969">
        <w:rPr>
          <w:rFonts w:ascii="Times New Roman" w:hAnsi="Times New Roman"/>
        </w:rPr>
        <w:t>GPS 112</w:t>
      </w:r>
      <w:r>
        <w:rPr>
          <w:rFonts w:ascii="Times New Roman" w:hAnsi="Times New Roman"/>
        </w:rPr>
        <w:t>.</w:t>
      </w:r>
    </w:p>
    <w:p w14:paraId="523EB302" w14:textId="77777777" w:rsidR="00591632" w:rsidRDefault="00591632" w:rsidP="00591632">
      <w:pPr>
        <w:pStyle w:val="normaltextcharcharcharcharchar"/>
        <w:ind w:firstLine="0"/>
        <w:rPr>
          <w:rFonts w:ascii="Times New Roman" w:hAnsi="Times New Roman"/>
        </w:rPr>
      </w:pPr>
      <w:r w:rsidRPr="003B393D">
        <w:rPr>
          <w:rFonts w:ascii="Times New Roman" w:hAnsi="Times New Roman"/>
          <w:b/>
        </w:rPr>
        <w:t>Capital standards</w:t>
      </w:r>
      <w:r w:rsidRPr="003B393D">
        <w:rPr>
          <w:rFonts w:ascii="Times New Roman" w:hAnsi="Times New Roman"/>
        </w:rPr>
        <w:t xml:space="preserve"> refers collectively to </w:t>
      </w:r>
      <w:r>
        <w:rPr>
          <w:rFonts w:ascii="Times New Roman" w:hAnsi="Times New Roman"/>
        </w:rPr>
        <w:t xml:space="preserve">all </w:t>
      </w:r>
      <w:r w:rsidRPr="00F23969">
        <w:rPr>
          <w:rFonts w:ascii="Times New Roman" w:hAnsi="Times New Roman"/>
        </w:rPr>
        <w:t>GI Prudential Standards</w:t>
      </w:r>
      <w:r w:rsidRPr="003B393D">
        <w:rPr>
          <w:rFonts w:ascii="Times New Roman" w:hAnsi="Times New Roman"/>
        </w:rPr>
        <w:t xml:space="preserve"> relating to capital adequacy.  </w:t>
      </w:r>
    </w:p>
    <w:p w14:paraId="523EB303" w14:textId="77777777" w:rsidR="00591632" w:rsidRPr="00676FE8" w:rsidRDefault="00591632" w:rsidP="00591632">
      <w:pPr>
        <w:pStyle w:val="normaltextcharcharcharcharchar"/>
        <w:ind w:firstLine="0"/>
        <w:rPr>
          <w:rFonts w:ascii="Times New Roman" w:hAnsi="Times New Roman"/>
          <w:b/>
        </w:rPr>
      </w:pPr>
      <w:r w:rsidRPr="00052305">
        <w:rPr>
          <w:rFonts w:ascii="Times New Roman" w:hAnsi="Times New Roman"/>
          <w:b/>
        </w:rPr>
        <w:t>Categories of insurer</w:t>
      </w:r>
      <w:r w:rsidRPr="00C5607D">
        <w:rPr>
          <w:rFonts w:ascii="Times New Roman" w:hAnsi="Times New Roman"/>
          <w:b/>
        </w:rPr>
        <w:t xml:space="preserve"> </w:t>
      </w:r>
      <w:r w:rsidRPr="00C5607D">
        <w:rPr>
          <w:rFonts w:ascii="Times New Roman" w:hAnsi="Times New Roman"/>
        </w:rPr>
        <w:t>are</w:t>
      </w:r>
      <w:r w:rsidRPr="000E129C">
        <w:rPr>
          <w:rFonts w:ascii="Times New Roman" w:hAnsi="Times New Roman"/>
        </w:rPr>
        <w:t xml:space="preserve"> </w:t>
      </w:r>
      <w:r>
        <w:rPr>
          <w:rFonts w:ascii="Times New Roman" w:hAnsi="Times New Roman"/>
        </w:rPr>
        <w:t xml:space="preserve">as </w:t>
      </w:r>
      <w:r w:rsidRPr="000E129C">
        <w:rPr>
          <w:rFonts w:ascii="Times New Roman" w:hAnsi="Times New Roman"/>
        </w:rPr>
        <w:t>defined in Attachment A of this Prudential Standard.</w:t>
      </w:r>
    </w:p>
    <w:p w14:paraId="523EB304" w14:textId="77777777" w:rsidR="00591632" w:rsidRPr="00DF413B" w:rsidRDefault="00591632" w:rsidP="00591632">
      <w:pPr>
        <w:pStyle w:val="normaltextcharcharcharcharchar"/>
        <w:ind w:firstLine="0"/>
        <w:rPr>
          <w:rFonts w:ascii="Times New Roman" w:hAnsi="Times New Roman"/>
        </w:rPr>
      </w:pPr>
      <w:r w:rsidRPr="00052305">
        <w:rPr>
          <w:rFonts w:ascii="Times New Roman" w:hAnsi="Times New Roman"/>
          <w:b/>
        </w:rPr>
        <w:t>Classes of business</w:t>
      </w:r>
      <w:r>
        <w:rPr>
          <w:rFonts w:ascii="Times New Roman" w:hAnsi="Times New Roman"/>
          <w:b/>
        </w:rPr>
        <w:t>,</w:t>
      </w:r>
      <w:r w:rsidRPr="00C5607D">
        <w:rPr>
          <w:rFonts w:ascii="Times New Roman" w:hAnsi="Times New Roman"/>
        </w:rPr>
        <w:t xml:space="preserve"> including</w:t>
      </w:r>
      <w:r>
        <w:rPr>
          <w:rFonts w:ascii="Times New Roman" w:hAnsi="Times New Roman"/>
        </w:rPr>
        <w:t xml:space="preserve"> </w:t>
      </w:r>
      <w:r w:rsidRPr="000E129C">
        <w:rPr>
          <w:rFonts w:ascii="Times New Roman" w:hAnsi="Times New Roman"/>
          <w:b/>
        </w:rPr>
        <w:t>d</w:t>
      </w:r>
      <w:r>
        <w:rPr>
          <w:rFonts w:ascii="Times New Roman" w:hAnsi="Times New Roman"/>
          <w:b/>
        </w:rPr>
        <w:t>irect classes of business</w:t>
      </w:r>
      <w:r>
        <w:rPr>
          <w:rFonts w:ascii="Times New Roman" w:hAnsi="Times New Roman"/>
        </w:rPr>
        <w:t xml:space="preserve"> and </w:t>
      </w:r>
      <w:r w:rsidRPr="000E129C">
        <w:rPr>
          <w:rFonts w:ascii="Times New Roman" w:hAnsi="Times New Roman"/>
          <w:b/>
        </w:rPr>
        <w:t>r</w:t>
      </w:r>
      <w:r w:rsidRPr="00992C8B">
        <w:rPr>
          <w:rFonts w:ascii="Times New Roman" w:hAnsi="Times New Roman"/>
          <w:b/>
        </w:rPr>
        <w:t>e</w:t>
      </w:r>
      <w:r>
        <w:rPr>
          <w:rFonts w:ascii="Times New Roman" w:hAnsi="Times New Roman"/>
          <w:b/>
        </w:rPr>
        <w:t>insurance classes of business,</w:t>
      </w:r>
      <w:r>
        <w:rPr>
          <w:rFonts w:ascii="Times New Roman" w:hAnsi="Times New Roman"/>
        </w:rPr>
        <w:t xml:space="preserve"> are as defined in Attachment B of this Prudential Standard.</w:t>
      </w:r>
    </w:p>
    <w:p w14:paraId="523EB305" w14:textId="77777777" w:rsidR="00591632" w:rsidRDefault="00591632" w:rsidP="00591632">
      <w:pPr>
        <w:pStyle w:val="BodyText"/>
        <w:numPr>
          <w:ilvl w:val="0"/>
          <w:numId w:val="0"/>
        </w:numPr>
        <w:ind w:left="567"/>
        <w:rPr>
          <w:b/>
          <w:sz w:val="24"/>
          <w:szCs w:val="24"/>
        </w:rPr>
      </w:pPr>
      <w:r>
        <w:rPr>
          <w:b/>
          <w:sz w:val="24"/>
          <w:szCs w:val="24"/>
        </w:rPr>
        <w:t>Common E</w:t>
      </w:r>
      <w:r w:rsidRPr="00052305">
        <w:rPr>
          <w:b/>
          <w:sz w:val="24"/>
          <w:szCs w:val="24"/>
        </w:rPr>
        <w:t>quity Tier 1</w:t>
      </w:r>
      <w:r>
        <w:rPr>
          <w:b/>
          <w:sz w:val="24"/>
          <w:szCs w:val="24"/>
        </w:rPr>
        <w:t xml:space="preserve"> Capital</w:t>
      </w:r>
      <w:r w:rsidRPr="00C5607D">
        <w:rPr>
          <w:b/>
          <w:sz w:val="24"/>
          <w:szCs w:val="24"/>
        </w:rPr>
        <w:t xml:space="preserve"> </w:t>
      </w:r>
      <w:r w:rsidRPr="00C5607D">
        <w:rPr>
          <w:sz w:val="24"/>
          <w:szCs w:val="24"/>
        </w:rPr>
        <w:t>is as</w:t>
      </w:r>
      <w:r>
        <w:rPr>
          <w:sz w:val="24"/>
          <w:szCs w:val="24"/>
        </w:rPr>
        <w:t xml:space="preserve"> defined in </w:t>
      </w:r>
      <w:r w:rsidRPr="00052FF3">
        <w:rPr>
          <w:sz w:val="24"/>
          <w:szCs w:val="24"/>
        </w:rPr>
        <w:t>GPS 112</w:t>
      </w:r>
      <w:r>
        <w:rPr>
          <w:i/>
          <w:sz w:val="24"/>
          <w:szCs w:val="24"/>
        </w:rPr>
        <w:t>.</w:t>
      </w:r>
    </w:p>
    <w:p w14:paraId="523EB306" w14:textId="77777777" w:rsidR="00591632" w:rsidRPr="003B393D" w:rsidRDefault="00591632" w:rsidP="00591632">
      <w:pPr>
        <w:pStyle w:val="BodyText"/>
        <w:numPr>
          <w:ilvl w:val="0"/>
          <w:numId w:val="0"/>
        </w:numPr>
        <w:ind w:left="567"/>
        <w:rPr>
          <w:b/>
          <w:sz w:val="24"/>
          <w:szCs w:val="24"/>
        </w:rPr>
      </w:pPr>
      <w:r w:rsidRPr="003B393D">
        <w:rPr>
          <w:b/>
          <w:sz w:val="24"/>
          <w:szCs w:val="24"/>
        </w:rPr>
        <w:t>Controlled entity</w:t>
      </w:r>
      <w:r w:rsidRPr="003B393D">
        <w:rPr>
          <w:sz w:val="24"/>
          <w:szCs w:val="24"/>
        </w:rPr>
        <w:t xml:space="preserve"> of a </w:t>
      </w:r>
      <w:r w:rsidRPr="00F23969">
        <w:rPr>
          <w:b/>
          <w:sz w:val="24"/>
          <w:szCs w:val="24"/>
        </w:rPr>
        <w:t>non-operating holding company</w:t>
      </w:r>
      <w:r w:rsidRPr="003B393D">
        <w:rPr>
          <w:sz w:val="24"/>
          <w:szCs w:val="24"/>
        </w:rPr>
        <w:t xml:space="preserve"> or insurer, for the purposes of the prudential </w:t>
      </w:r>
      <w:r>
        <w:rPr>
          <w:sz w:val="24"/>
          <w:szCs w:val="24"/>
        </w:rPr>
        <w:t>requirements</w:t>
      </w:r>
      <w:r w:rsidRPr="003B393D">
        <w:rPr>
          <w:sz w:val="24"/>
          <w:szCs w:val="24"/>
        </w:rPr>
        <w:t xml:space="preserve"> applicable to Level 2 insurance groups, means a subsidiary as defined in Australian Accounting Standards for the purposes of determining the entities included in consolidated general purpose financial statements.</w:t>
      </w:r>
    </w:p>
    <w:p w14:paraId="523EB307" w14:textId="77777777" w:rsidR="00591632" w:rsidRDefault="00591632" w:rsidP="00591632">
      <w:pPr>
        <w:pStyle w:val="BodyText"/>
        <w:numPr>
          <w:ilvl w:val="0"/>
          <w:numId w:val="0"/>
        </w:numPr>
        <w:ind w:left="567"/>
        <w:rPr>
          <w:sz w:val="24"/>
          <w:szCs w:val="24"/>
        </w:rPr>
      </w:pPr>
      <w:r w:rsidRPr="003B393D">
        <w:rPr>
          <w:b/>
          <w:sz w:val="24"/>
          <w:szCs w:val="24"/>
        </w:rPr>
        <w:t>Corporate agent</w:t>
      </w:r>
      <w:r w:rsidRPr="003B393D">
        <w:rPr>
          <w:sz w:val="24"/>
          <w:szCs w:val="24"/>
        </w:rPr>
        <w:t xml:space="preserve"> has the same meaning as in the Act.</w:t>
      </w:r>
    </w:p>
    <w:p w14:paraId="523EB308" w14:textId="77777777" w:rsidR="00591632" w:rsidRDefault="00591632" w:rsidP="00591632">
      <w:pPr>
        <w:pStyle w:val="BodyText"/>
        <w:numPr>
          <w:ilvl w:val="0"/>
          <w:numId w:val="0"/>
        </w:numPr>
        <w:ind w:left="567"/>
        <w:rPr>
          <w:sz w:val="24"/>
          <w:szCs w:val="24"/>
        </w:rPr>
      </w:pPr>
      <w:r w:rsidRPr="003B393D">
        <w:rPr>
          <w:b/>
          <w:sz w:val="24"/>
          <w:szCs w:val="24"/>
        </w:rPr>
        <w:lastRenderedPageBreak/>
        <w:t xml:space="preserve">Corporate group </w:t>
      </w:r>
      <w:r w:rsidRPr="00C6481D">
        <w:rPr>
          <w:bCs/>
          <w:sz w:val="24"/>
          <w:szCs w:val="24"/>
        </w:rPr>
        <w:t xml:space="preserve">is a group of entities comprising two or more companies that are related bodies corporate within the meaning of section 50 of the </w:t>
      </w:r>
      <w:r w:rsidRPr="00C6481D">
        <w:rPr>
          <w:bCs/>
          <w:i/>
          <w:sz w:val="24"/>
          <w:szCs w:val="24"/>
        </w:rPr>
        <w:t>Corporations Act 2001</w:t>
      </w:r>
      <w:r w:rsidRPr="00C6481D">
        <w:rPr>
          <w:bCs/>
          <w:sz w:val="24"/>
          <w:szCs w:val="24"/>
        </w:rPr>
        <w:t xml:space="preserve"> (Corporations Act)</w:t>
      </w:r>
      <w:r w:rsidRPr="003B393D">
        <w:rPr>
          <w:sz w:val="24"/>
          <w:szCs w:val="24"/>
        </w:rPr>
        <w:t>.</w:t>
      </w:r>
    </w:p>
    <w:p w14:paraId="523EB309" w14:textId="77777777" w:rsidR="00591632" w:rsidRDefault="00591632" w:rsidP="00591632">
      <w:pPr>
        <w:pStyle w:val="BodyText"/>
        <w:numPr>
          <w:ilvl w:val="0"/>
          <w:numId w:val="0"/>
        </w:numPr>
        <w:ind w:left="567"/>
        <w:rPr>
          <w:sz w:val="24"/>
          <w:szCs w:val="24"/>
        </w:rPr>
      </w:pPr>
      <w:r w:rsidRPr="00052305">
        <w:rPr>
          <w:b/>
          <w:bCs/>
          <w:sz w:val="24"/>
        </w:rPr>
        <w:t>Counterparty grade</w:t>
      </w:r>
      <w:r w:rsidRPr="00B821A9">
        <w:rPr>
          <w:bCs/>
          <w:sz w:val="24"/>
        </w:rPr>
        <w:t xml:space="preserve"> refers</w:t>
      </w:r>
      <w:r>
        <w:rPr>
          <w:bCs/>
          <w:sz w:val="24"/>
        </w:rPr>
        <w:t xml:space="preserve"> to the classification applied to an investment or exposure as per the requirements of Attachment C of this Prudential Standard. </w:t>
      </w:r>
    </w:p>
    <w:p w14:paraId="523EB30A" w14:textId="77777777" w:rsidR="00591632" w:rsidRDefault="00591632" w:rsidP="00591632">
      <w:pPr>
        <w:pStyle w:val="BodyText"/>
        <w:numPr>
          <w:ilvl w:val="0"/>
          <w:numId w:val="0"/>
        </w:numPr>
        <w:ind w:left="567"/>
      </w:pPr>
      <w:r w:rsidRPr="00052305">
        <w:rPr>
          <w:b/>
          <w:sz w:val="24"/>
          <w:szCs w:val="24"/>
        </w:rPr>
        <w:t>Debt obligations</w:t>
      </w:r>
      <w:r w:rsidRPr="00B821A9">
        <w:rPr>
          <w:b/>
          <w:sz w:val="24"/>
          <w:szCs w:val="24"/>
        </w:rPr>
        <w:t xml:space="preserve"> </w:t>
      </w:r>
      <w:r w:rsidRPr="00B821A9">
        <w:rPr>
          <w:sz w:val="24"/>
          <w:szCs w:val="24"/>
        </w:rPr>
        <w:t>for</w:t>
      </w:r>
      <w:r>
        <w:rPr>
          <w:sz w:val="24"/>
          <w:szCs w:val="24"/>
        </w:rPr>
        <w:t xml:space="preserve"> the purposes of the </w:t>
      </w:r>
      <w:r w:rsidRPr="00F23969">
        <w:rPr>
          <w:sz w:val="24"/>
          <w:szCs w:val="24"/>
        </w:rPr>
        <w:t>Asset Risk Charge</w:t>
      </w:r>
      <w:r>
        <w:rPr>
          <w:sz w:val="24"/>
          <w:szCs w:val="24"/>
        </w:rPr>
        <w:t xml:space="preserve"> and </w:t>
      </w:r>
      <w:r w:rsidRPr="00F23969">
        <w:rPr>
          <w:sz w:val="24"/>
          <w:szCs w:val="24"/>
        </w:rPr>
        <w:t>Asset Concentration Risk Charge</w:t>
      </w:r>
      <w:r w:rsidRPr="00052305">
        <w:rPr>
          <w:b/>
          <w:sz w:val="24"/>
          <w:szCs w:val="24"/>
        </w:rPr>
        <w:t xml:space="preserve"> </w:t>
      </w:r>
      <w:r>
        <w:rPr>
          <w:sz w:val="24"/>
          <w:szCs w:val="24"/>
        </w:rPr>
        <w:t>refers to all loans, deposits, placements, interest rate securities and other receivables.</w:t>
      </w:r>
    </w:p>
    <w:p w14:paraId="523EB30B" w14:textId="7A1C4824" w:rsidR="00591632" w:rsidRPr="00B821A9" w:rsidRDefault="00591632" w:rsidP="00591632">
      <w:pPr>
        <w:pStyle w:val="BodyText"/>
        <w:numPr>
          <w:ilvl w:val="0"/>
          <w:numId w:val="0"/>
        </w:numPr>
        <w:ind w:left="567"/>
        <w:rPr>
          <w:b/>
          <w:sz w:val="24"/>
          <w:szCs w:val="24"/>
        </w:rPr>
      </w:pPr>
      <w:r w:rsidRPr="0045661C">
        <w:rPr>
          <w:b/>
          <w:sz w:val="24"/>
          <w:szCs w:val="24"/>
        </w:rPr>
        <w:t>Deferred reinsurance expense</w:t>
      </w:r>
      <w:r>
        <w:rPr>
          <w:b/>
          <w:sz w:val="24"/>
          <w:szCs w:val="24"/>
        </w:rPr>
        <w:t xml:space="preserve"> </w:t>
      </w:r>
      <w:r w:rsidRPr="00D14CC7">
        <w:rPr>
          <w:sz w:val="24"/>
          <w:szCs w:val="24"/>
        </w:rPr>
        <w:t>(</w:t>
      </w:r>
      <w:r w:rsidRPr="00C6481D">
        <w:rPr>
          <w:sz w:val="24"/>
          <w:szCs w:val="24"/>
        </w:rPr>
        <w:t>DRE</w:t>
      </w:r>
      <w:r w:rsidRPr="00D14CC7">
        <w:rPr>
          <w:sz w:val="24"/>
          <w:szCs w:val="24"/>
        </w:rPr>
        <w:t>)</w:t>
      </w:r>
      <w:r>
        <w:rPr>
          <w:b/>
          <w:sz w:val="24"/>
          <w:szCs w:val="24"/>
        </w:rPr>
        <w:t xml:space="preserve"> </w:t>
      </w:r>
      <w:r w:rsidRPr="0045661C">
        <w:rPr>
          <w:sz w:val="24"/>
          <w:szCs w:val="24"/>
        </w:rPr>
        <w:t>represent</w:t>
      </w:r>
      <w:r>
        <w:rPr>
          <w:sz w:val="24"/>
          <w:szCs w:val="24"/>
        </w:rPr>
        <w:t>s</w:t>
      </w:r>
      <w:r w:rsidRPr="0045661C">
        <w:rPr>
          <w:sz w:val="24"/>
          <w:szCs w:val="24"/>
        </w:rPr>
        <w:t xml:space="preserve"> the amount of reinsurance expense </w:t>
      </w:r>
      <w:r>
        <w:rPr>
          <w:sz w:val="24"/>
          <w:szCs w:val="24"/>
        </w:rPr>
        <w:t>that</w:t>
      </w:r>
      <w:r w:rsidRPr="0045661C">
        <w:rPr>
          <w:sz w:val="24"/>
          <w:szCs w:val="24"/>
        </w:rPr>
        <w:t xml:space="preserve"> is capitalised as an asset over the life of the reinsurance </w:t>
      </w:r>
      <w:r>
        <w:rPr>
          <w:sz w:val="24"/>
          <w:szCs w:val="24"/>
        </w:rPr>
        <w:t>contract</w:t>
      </w:r>
      <w:r w:rsidRPr="0045661C">
        <w:rPr>
          <w:sz w:val="24"/>
          <w:szCs w:val="24"/>
        </w:rPr>
        <w:t xml:space="preserve"> in accordance </w:t>
      </w:r>
      <w:r w:rsidRPr="007A0D2D">
        <w:rPr>
          <w:sz w:val="24"/>
          <w:szCs w:val="24"/>
        </w:rPr>
        <w:t xml:space="preserve">with </w:t>
      </w:r>
      <w:r w:rsidRPr="007A0D2D">
        <w:rPr>
          <w:i/>
          <w:sz w:val="24"/>
          <w:szCs w:val="24"/>
        </w:rPr>
        <w:t xml:space="preserve">Prudential Standard </w:t>
      </w:r>
      <w:r w:rsidR="00275023">
        <w:rPr>
          <w:i/>
          <w:sz w:val="24"/>
          <w:szCs w:val="24"/>
        </w:rPr>
        <w:t>C</w:t>
      </w:r>
      <w:r w:rsidRPr="007A0D2D">
        <w:rPr>
          <w:i/>
          <w:sz w:val="24"/>
          <w:szCs w:val="24"/>
        </w:rPr>
        <w:t xml:space="preserve">PS </w:t>
      </w:r>
      <w:r>
        <w:rPr>
          <w:i/>
          <w:sz w:val="24"/>
          <w:szCs w:val="24"/>
        </w:rPr>
        <w:t>3</w:t>
      </w:r>
      <w:r w:rsidRPr="007A0D2D">
        <w:rPr>
          <w:i/>
          <w:sz w:val="24"/>
          <w:szCs w:val="24"/>
        </w:rPr>
        <w:t xml:space="preserve">20 </w:t>
      </w:r>
      <w:r>
        <w:rPr>
          <w:i/>
          <w:sz w:val="24"/>
          <w:szCs w:val="24"/>
        </w:rPr>
        <w:t>Actuarial and Related</w:t>
      </w:r>
      <w:r w:rsidRPr="007A0D2D">
        <w:rPr>
          <w:i/>
          <w:sz w:val="24"/>
          <w:szCs w:val="24"/>
        </w:rPr>
        <w:t xml:space="preserve"> </w:t>
      </w:r>
      <w:r w:rsidRPr="00B821A9">
        <w:rPr>
          <w:i/>
          <w:sz w:val="24"/>
          <w:szCs w:val="24"/>
        </w:rPr>
        <w:t>Matters</w:t>
      </w:r>
      <w:r>
        <w:rPr>
          <w:i/>
          <w:sz w:val="24"/>
          <w:szCs w:val="24"/>
        </w:rPr>
        <w:t xml:space="preserve"> </w:t>
      </w:r>
      <w:r>
        <w:rPr>
          <w:sz w:val="24"/>
          <w:szCs w:val="24"/>
        </w:rPr>
        <w:t>(</w:t>
      </w:r>
      <w:r w:rsidR="00275023">
        <w:rPr>
          <w:sz w:val="24"/>
          <w:szCs w:val="24"/>
        </w:rPr>
        <w:t>C</w:t>
      </w:r>
      <w:r w:rsidRPr="00C6481D">
        <w:rPr>
          <w:sz w:val="24"/>
          <w:szCs w:val="24"/>
        </w:rPr>
        <w:t>PS 320</w:t>
      </w:r>
      <w:r>
        <w:rPr>
          <w:sz w:val="24"/>
          <w:szCs w:val="24"/>
        </w:rPr>
        <w:t>)</w:t>
      </w:r>
      <w:r w:rsidRPr="00B821A9">
        <w:rPr>
          <w:sz w:val="24"/>
          <w:szCs w:val="24"/>
        </w:rPr>
        <w:t>.</w:t>
      </w:r>
    </w:p>
    <w:p w14:paraId="523EB30C" w14:textId="77777777" w:rsidR="00591632" w:rsidRPr="00DF413B" w:rsidRDefault="00591632" w:rsidP="00591632">
      <w:pPr>
        <w:pStyle w:val="BodyText"/>
        <w:numPr>
          <w:ilvl w:val="0"/>
          <w:numId w:val="0"/>
        </w:numPr>
        <w:ind w:left="567"/>
        <w:rPr>
          <w:sz w:val="24"/>
          <w:szCs w:val="24"/>
        </w:rPr>
      </w:pPr>
      <w:r w:rsidRPr="00052305">
        <w:rPr>
          <w:b/>
          <w:sz w:val="24"/>
          <w:szCs w:val="24"/>
        </w:rPr>
        <w:t>Direct classes of business</w:t>
      </w:r>
      <w:r w:rsidRPr="00B821A9">
        <w:rPr>
          <w:b/>
          <w:sz w:val="24"/>
          <w:szCs w:val="24"/>
        </w:rPr>
        <w:t xml:space="preserve"> </w:t>
      </w:r>
      <w:r w:rsidRPr="00B821A9">
        <w:rPr>
          <w:sz w:val="24"/>
          <w:szCs w:val="24"/>
        </w:rPr>
        <w:t>are</w:t>
      </w:r>
      <w:r w:rsidRPr="000E129C">
        <w:rPr>
          <w:sz w:val="24"/>
          <w:szCs w:val="24"/>
        </w:rPr>
        <w:t xml:space="preserve"> as</w:t>
      </w:r>
      <w:r>
        <w:rPr>
          <w:sz w:val="24"/>
          <w:szCs w:val="24"/>
        </w:rPr>
        <w:t xml:space="preserve"> defined in Attachment B of this Prudential Standard.</w:t>
      </w:r>
    </w:p>
    <w:p w14:paraId="523EB30D" w14:textId="77777777" w:rsidR="00591632" w:rsidRDefault="00591632" w:rsidP="00591632">
      <w:pPr>
        <w:pStyle w:val="BodyText"/>
        <w:numPr>
          <w:ilvl w:val="0"/>
          <w:numId w:val="0"/>
        </w:numPr>
        <w:ind w:left="567"/>
        <w:rPr>
          <w:sz w:val="24"/>
          <w:szCs w:val="24"/>
        </w:rPr>
      </w:pPr>
      <w:r w:rsidRPr="003B393D">
        <w:rPr>
          <w:b/>
          <w:sz w:val="24"/>
          <w:szCs w:val="24"/>
        </w:rPr>
        <w:t xml:space="preserve">Director </w:t>
      </w:r>
      <w:r w:rsidRPr="003B393D">
        <w:rPr>
          <w:sz w:val="24"/>
          <w:szCs w:val="24"/>
        </w:rPr>
        <w:t>has the same meaning as in the Act.</w:t>
      </w:r>
    </w:p>
    <w:p w14:paraId="523EB30E" w14:textId="77777777" w:rsidR="00B155E9" w:rsidRPr="00B155E9" w:rsidRDefault="00B155E9" w:rsidP="00591632">
      <w:pPr>
        <w:pStyle w:val="BodyText"/>
        <w:numPr>
          <w:ilvl w:val="0"/>
          <w:numId w:val="0"/>
        </w:numPr>
        <w:ind w:left="567"/>
        <w:rPr>
          <w:bCs/>
          <w:sz w:val="24"/>
          <w:szCs w:val="24"/>
        </w:rPr>
      </w:pPr>
      <w:r>
        <w:rPr>
          <w:b/>
          <w:sz w:val="24"/>
          <w:szCs w:val="24"/>
        </w:rPr>
        <w:t>Ensure</w:t>
      </w:r>
      <w:r>
        <w:rPr>
          <w:sz w:val="24"/>
          <w:szCs w:val="24"/>
        </w:rPr>
        <w:t xml:space="preserve"> </w:t>
      </w:r>
      <w:r w:rsidRPr="00B155E9">
        <w:rPr>
          <w:sz w:val="24"/>
          <w:szCs w:val="24"/>
        </w:rPr>
        <w:t>when used in relation to a responsibility of the board, means to take all reasonable steps and make all reasonable enquiries as are appropriate for a board so that the board can determine, to the best of its knowledge, that the stated matter has been properly addressed.</w:t>
      </w:r>
    </w:p>
    <w:p w14:paraId="523EB30F" w14:textId="1712F7FA" w:rsidR="00591632" w:rsidRPr="005E5757" w:rsidRDefault="00591632" w:rsidP="00591632">
      <w:pPr>
        <w:pStyle w:val="BodyText"/>
        <w:numPr>
          <w:ilvl w:val="0"/>
          <w:numId w:val="0"/>
        </w:numPr>
        <w:ind w:left="567"/>
        <w:rPr>
          <w:sz w:val="24"/>
          <w:szCs w:val="24"/>
        </w:rPr>
      </w:pPr>
      <w:r w:rsidRPr="003B393D">
        <w:rPr>
          <w:b/>
          <w:bCs/>
          <w:sz w:val="24"/>
          <w:szCs w:val="24"/>
        </w:rPr>
        <w:t>Expected reinsurance recoveries</w:t>
      </w:r>
      <w:r w:rsidRPr="003B393D">
        <w:rPr>
          <w:bCs/>
          <w:sz w:val="24"/>
          <w:szCs w:val="24"/>
        </w:rPr>
        <w:t xml:space="preserve"> means any amounts due to an insurer, or to an entity that carries on international business within a Level 2 insurance group, from a reinsurer that </w:t>
      </w:r>
      <w:r w:rsidRPr="007A0D2D">
        <w:rPr>
          <w:bCs/>
          <w:sz w:val="24"/>
          <w:szCs w:val="24"/>
        </w:rPr>
        <w:t xml:space="preserve">arise from the recognition of </w:t>
      </w:r>
      <w:r>
        <w:rPr>
          <w:bCs/>
          <w:sz w:val="24"/>
          <w:szCs w:val="24"/>
        </w:rPr>
        <w:t>p</w:t>
      </w:r>
      <w:r w:rsidRPr="007A0D2D">
        <w:rPr>
          <w:bCs/>
          <w:sz w:val="24"/>
          <w:szCs w:val="24"/>
        </w:rPr>
        <w:t xml:space="preserve">remiums </w:t>
      </w:r>
      <w:r>
        <w:rPr>
          <w:bCs/>
          <w:sz w:val="24"/>
          <w:szCs w:val="24"/>
        </w:rPr>
        <w:t>l</w:t>
      </w:r>
      <w:r w:rsidRPr="007A0D2D">
        <w:rPr>
          <w:bCs/>
          <w:sz w:val="24"/>
          <w:szCs w:val="24"/>
        </w:rPr>
        <w:t xml:space="preserve">iabilities referred to in the </w:t>
      </w:r>
      <w:r>
        <w:rPr>
          <w:bCs/>
          <w:sz w:val="24"/>
          <w:szCs w:val="24"/>
        </w:rPr>
        <w:t>GI Prudential S</w:t>
      </w:r>
      <w:r w:rsidRPr="007A0D2D">
        <w:rPr>
          <w:bCs/>
          <w:sz w:val="24"/>
          <w:szCs w:val="24"/>
        </w:rPr>
        <w:t xml:space="preserve">tandards </w:t>
      </w:r>
      <w:r>
        <w:rPr>
          <w:bCs/>
          <w:sz w:val="24"/>
          <w:szCs w:val="24"/>
        </w:rPr>
        <w:t>(including</w:t>
      </w:r>
      <w:r w:rsidRPr="007A0D2D">
        <w:rPr>
          <w:bCs/>
          <w:sz w:val="24"/>
          <w:szCs w:val="24"/>
        </w:rPr>
        <w:t xml:space="preserve"> </w:t>
      </w:r>
      <w:r w:rsidR="00213E08" w:rsidRPr="007A0D2D">
        <w:rPr>
          <w:i/>
          <w:sz w:val="24"/>
          <w:szCs w:val="24"/>
        </w:rPr>
        <w:t xml:space="preserve">Prudential Standard </w:t>
      </w:r>
      <w:r w:rsidR="00213E08">
        <w:rPr>
          <w:i/>
          <w:sz w:val="24"/>
          <w:szCs w:val="24"/>
        </w:rPr>
        <w:t>G</w:t>
      </w:r>
      <w:r w:rsidR="00213E08" w:rsidRPr="007A0D2D">
        <w:rPr>
          <w:i/>
          <w:sz w:val="24"/>
          <w:szCs w:val="24"/>
        </w:rPr>
        <w:t xml:space="preserve">PS </w:t>
      </w:r>
      <w:r w:rsidR="00213E08">
        <w:rPr>
          <w:i/>
          <w:sz w:val="24"/>
          <w:szCs w:val="24"/>
        </w:rPr>
        <w:t>34</w:t>
      </w:r>
      <w:r w:rsidR="00213E08" w:rsidRPr="007A0D2D">
        <w:rPr>
          <w:i/>
          <w:sz w:val="24"/>
          <w:szCs w:val="24"/>
        </w:rPr>
        <w:t>0</w:t>
      </w:r>
      <w:r w:rsidR="00213E08">
        <w:rPr>
          <w:i/>
          <w:sz w:val="24"/>
          <w:szCs w:val="24"/>
        </w:rPr>
        <w:t xml:space="preserve"> Insurance Liability Valuation)</w:t>
      </w:r>
      <w:r w:rsidRPr="007A0D2D">
        <w:rPr>
          <w:bCs/>
          <w:sz w:val="24"/>
          <w:szCs w:val="24"/>
        </w:rPr>
        <w:t xml:space="preserve">. This is distinguished from reinsurance </w:t>
      </w:r>
      <w:proofErr w:type="spellStart"/>
      <w:r w:rsidRPr="007A0D2D">
        <w:rPr>
          <w:bCs/>
          <w:sz w:val="24"/>
          <w:szCs w:val="24"/>
        </w:rPr>
        <w:t>recoverables</w:t>
      </w:r>
      <w:proofErr w:type="spellEnd"/>
      <w:r w:rsidRPr="003B393D">
        <w:rPr>
          <w:bCs/>
          <w:sz w:val="24"/>
          <w:szCs w:val="24"/>
        </w:rPr>
        <w:t>.</w:t>
      </w:r>
    </w:p>
    <w:p w14:paraId="523EB310" w14:textId="77777777" w:rsidR="00591632" w:rsidRPr="00E973FC" w:rsidRDefault="00591632" w:rsidP="00591632">
      <w:pPr>
        <w:spacing w:after="240"/>
        <w:ind w:left="567"/>
        <w:jc w:val="both"/>
        <w:rPr>
          <w:bCs/>
        </w:rPr>
      </w:pPr>
      <w:r>
        <w:rPr>
          <w:b/>
          <w:bCs/>
        </w:rPr>
        <w:t xml:space="preserve">Fair value </w:t>
      </w:r>
      <w:r w:rsidRPr="007C3F8B">
        <w:rPr>
          <w:bCs/>
        </w:rPr>
        <w:t xml:space="preserve">has the same meaning as it </w:t>
      </w:r>
      <w:r>
        <w:rPr>
          <w:bCs/>
        </w:rPr>
        <w:t>does</w:t>
      </w:r>
      <w:r>
        <w:rPr>
          <w:b/>
          <w:bCs/>
        </w:rPr>
        <w:t xml:space="preserve"> </w:t>
      </w:r>
      <w:r>
        <w:rPr>
          <w:bCs/>
        </w:rPr>
        <w:t>in the Australian Accounting Standards and refers to t</w:t>
      </w:r>
      <w:r w:rsidRPr="007D22E8">
        <w:rPr>
          <w:bCs/>
        </w:rPr>
        <w:t xml:space="preserve">he amount for which an asset could be exchanged, </w:t>
      </w:r>
      <w:r>
        <w:rPr>
          <w:bCs/>
        </w:rPr>
        <w:t xml:space="preserve">or </w:t>
      </w:r>
      <w:r w:rsidRPr="007D22E8">
        <w:rPr>
          <w:bCs/>
        </w:rPr>
        <w:t>a liability settled, between knowledgeable, willing parties in an arm’s length transaction.</w:t>
      </w:r>
    </w:p>
    <w:p w14:paraId="523EB311" w14:textId="4DBFE1EC" w:rsidR="00591632" w:rsidRDefault="00591632" w:rsidP="00591632">
      <w:pPr>
        <w:pStyle w:val="BodyText"/>
        <w:numPr>
          <w:ilvl w:val="0"/>
          <w:numId w:val="0"/>
        </w:numPr>
        <w:ind w:left="567"/>
        <w:rPr>
          <w:b/>
          <w:bCs/>
          <w:sz w:val="24"/>
          <w:szCs w:val="24"/>
        </w:rPr>
      </w:pPr>
      <w:r>
        <w:rPr>
          <w:b/>
          <w:bCs/>
          <w:sz w:val="24"/>
          <w:szCs w:val="24"/>
        </w:rPr>
        <w:t>Financial Condition R</w:t>
      </w:r>
      <w:r w:rsidRPr="00052305">
        <w:rPr>
          <w:b/>
          <w:bCs/>
          <w:sz w:val="24"/>
          <w:szCs w:val="24"/>
        </w:rPr>
        <w:t>eport</w:t>
      </w:r>
      <w:r>
        <w:rPr>
          <w:b/>
          <w:bCs/>
          <w:sz w:val="24"/>
          <w:szCs w:val="24"/>
        </w:rPr>
        <w:t xml:space="preserve"> </w:t>
      </w:r>
      <w:r w:rsidRPr="00D65158">
        <w:rPr>
          <w:bCs/>
          <w:sz w:val="24"/>
          <w:szCs w:val="24"/>
        </w:rPr>
        <w:t>(</w:t>
      </w:r>
      <w:r w:rsidRPr="00496352">
        <w:rPr>
          <w:bCs/>
          <w:sz w:val="24"/>
          <w:szCs w:val="24"/>
        </w:rPr>
        <w:t>FCR</w:t>
      </w:r>
      <w:r w:rsidRPr="00D65158">
        <w:rPr>
          <w:bCs/>
          <w:sz w:val="24"/>
          <w:szCs w:val="24"/>
        </w:rPr>
        <w:t>)</w:t>
      </w:r>
      <w:r w:rsidRPr="00C5607D">
        <w:rPr>
          <w:b/>
          <w:bCs/>
          <w:sz w:val="24"/>
          <w:szCs w:val="24"/>
        </w:rPr>
        <w:t xml:space="preserve"> </w:t>
      </w:r>
      <w:r w:rsidRPr="00C5607D">
        <w:rPr>
          <w:bCs/>
          <w:sz w:val="24"/>
          <w:szCs w:val="24"/>
        </w:rPr>
        <w:t>is as defined</w:t>
      </w:r>
      <w:r>
        <w:rPr>
          <w:bCs/>
          <w:sz w:val="24"/>
          <w:szCs w:val="24"/>
        </w:rPr>
        <w:t xml:space="preserve"> in </w:t>
      </w:r>
      <w:r w:rsidR="00275023">
        <w:rPr>
          <w:bCs/>
          <w:sz w:val="24"/>
          <w:szCs w:val="24"/>
        </w:rPr>
        <w:t>C</w:t>
      </w:r>
      <w:r w:rsidRPr="00F23969">
        <w:rPr>
          <w:bCs/>
          <w:sz w:val="24"/>
          <w:szCs w:val="24"/>
        </w:rPr>
        <w:t>PS 320</w:t>
      </w:r>
      <w:r>
        <w:rPr>
          <w:bCs/>
          <w:sz w:val="24"/>
          <w:szCs w:val="24"/>
        </w:rPr>
        <w:t>.</w:t>
      </w:r>
    </w:p>
    <w:p w14:paraId="523EB312" w14:textId="77777777" w:rsidR="00591632" w:rsidRPr="005E5757" w:rsidRDefault="00591632" w:rsidP="00591632">
      <w:pPr>
        <w:pStyle w:val="BodyText"/>
        <w:numPr>
          <w:ilvl w:val="0"/>
          <w:numId w:val="0"/>
        </w:numPr>
        <w:ind w:left="567"/>
        <w:rPr>
          <w:sz w:val="24"/>
          <w:szCs w:val="24"/>
        </w:rPr>
      </w:pPr>
      <w:r w:rsidRPr="009B0F8C">
        <w:rPr>
          <w:b/>
          <w:bCs/>
          <w:sz w:val="24"/>
          <w:szCs w:val="24"/>
        </w:rPr>
        <w:t>Financial year</w:t>
      </w:r>
      <w:r w:rsidRPr="009B0F8C">
        <w:rPr>
          <w:bCs/>
          <w:sz w:val="24"/>
          <w:szCs w:val="24"/>
        </w:rPr>
        <w:t xml:space="preserve">, in relation to a Level 2 insurance group, means the financial year (within the meaning of the </w:t>
      </w:r>
      <w:r w:rsidRPr="00045FFC">
        <w:rPr>
          <w:bCs/>
          <w:sz w:val="24"/>
          <w:szCs w:val="24"/>
        </w:rPr>
        <w:t>Corporations Act</w:t>
      </w:r>
      <w:r w:rsidRPr="009B0F8C">
        <w:rPr>
          <w:bCs/>
          <w:sz w:val="24"/>
          <w:szCs w:val="24"/>
        </w:rPr>
        <w:t xml:space="preserve">) of the </w:t>
      </w:r>
      <w:r w:rsidRPr="00045FFC">
        <w:rPr>
          <w:b/>
          <w:bCs/>
          <w:sz w:val="24"/>
          <w:szCs w:val="24"/>
        </w:rPr>
        <w:t>parent entity</w:t>
      </w:r>
      <w:r w:rsidRPr="009B0F8C">
        <w:rPr>
          <w:bCs/>
          <w:sz w:val="24"/>
          <w:szCs w:val="24"/>
        </w:rPr>
        <w:t xml:space="preserve"> of the Level 2 insurance group.</w:t>
      </w:r>
    </w:p>
    <w:p w14:paraId="523EB313" w14:textId="77777777" w:rsidR="00591632" w:rsidRPr="003B393D" w:rsidRDefault="00591632" w:rsidP="00591632">
      <w:pPr>
        <w:pStyle w:val="BodyText"/>
        <w:numPr>
          <w:ilvl w:val="0"/>
          <w:numId w:val="0"/>
        </w:numPr>
        <w:ind w:left="567"/>
        <w:rPr>
          <w:sz w:val="24"/>
          <w:szCs w:val="24"/>
        </w:rPr>
      </w:pPr>
      <w:r w:rsidRPr="003B393D">
        <w:rPr>
          <w:b/>
          <w:sz w:val="24"/>
          <w:szCs w:val="24"/>
        </w:rPr>
        <w:t xml:space="preserve">General insurer </w:t>
      </w:r>
      <w:r w:rsidRPr="003B393D">
        <w:rPr>
          <w:sz w:val="24"/>
          <w:szCs w:val="24"/>
        </w:rPr>
        <w:t>has the same meaning as in the Act.</w:t>
      </w:r>
    </w:p>
    <w:p w14:paraId="523EB314" w14:textId="77777777" w:rsidR="00591632" w:rsidRDefault="00591632" w:rsidP="00591632">
      <w:pPr>
        <w:pStyle w:val="BodyText"/>
        <w:numPr>
          <w:ilvl w:val="0"/>
          <w:numId w:val="0"/>
        </w:numPr>
        <w:ind w:left="567"/>
        <w:rPr>
          <w:b/>
          <w:sz w:val="24"/>
          <w:szCs w:val="24"/>
        </w:rPr>
      </w:pPr>
      <w:r w:rsidRPr="00052305">
        <w:rPr>
          <w:b/>
          <w:sz w:val="24"/>
          <w:szCs w:val="24"/>
        </w:rPr>
        <w:t>GI Prudential Standards</w:t>
      </w:r>
      <w:r>
        <w:rPr>
          <w:sz w:val="24"/>
          <w:szCs w:val="24"/>
        </w:rPr>
        <w:t xml:space="preserve"> are all p</w:t>
      </w:r>
      <w:r w:rsidRPr="003B393D">
        <w:rPr>
          <w:sz w:val="24"/>
          <w:szCs w:val="24"/>
        </w:rPr>
        <w:t xml:space="preserve">rudential </w:t>
      </w:r>
      <w:r>
        <w:rPr>
          <w:sz w:val="24"/>
          <w:szCs w:val="24"/>
        </w:rPr>
        <w:t>s</w:t>
      </w:r>
      <w:r w:rsidRPr="003B393D">
        <w:rPr>
          <w:sz w:val="24"/>
          <w:szCs w:val="24"/>
        </w:rPr>
        <w:t>tandards made under section 32 of the Act</w:t>
      </w:r>
      <w:r>
        <w:rPr>
          <w:sz w:val="24"/>
          <w:szCs w:val="24"/>
        </w:rPr>
        <w:t>.</w:t>
      </w:r>
      <w:r w:rsidRPr="003B393D">
        <w:rPr>
          <w:sz w:val="24"/>
          <w:szCs w:val="24"/>
        </w:rPr>
        <w:t xml:space="preserve"> </w:t>
      </w:r>
    </w:p>
    <w:p w14:paraId="523EB315" w14:textId="554B0C1A" w:rsidR="00591632" w:rsidRPr="007A0D2D" w:rsidRDefault="00591632" w:rsidP="00591632">
      <w:pPr>
        <w:pStyle w:val="BodyText"/>
        <w:numPr>
          <w:ilvl w:val="0"/>
          <w:numId w:val="0"/>
        </w:numPr>
        <w:ind w:left="567"/>
        <w:rPr>
          <w:sz w:val="24"/>
          <w:szCs w:val="24"/>
        </w:rPr>
      </w:pPr>
      <w:r w:rsidRPr="00052305">
        <w:rPr>
          <w:b/>
          <w:sz w:val="24"/>
          <w:szCs w:val="24"/>
        </w:rPr>
        <w:t>Group Actuary</w:t>
      </w:r>
      <w:r w:rsidRPr="00C5607D">
        <w:rPr>
          <w:b/>
          <w:bCs/>
          <w:szCs w:val="24"/>
        </w:rPr>
        <w:t xml:space="preserve"> </w:t>
      </w:r>
      <w:r w:rsidRPr="00C5607D">
        <w:rPr>
          <w:sz w:val="24"/>
          <w:szCs w:val="24"/>
        </w:rPr>
        <w:t>is as</w:t>
      </w:r>
      <w:r w:rsidRPr="003B393D">
        <w:rPr>
          <w:sz w:val="24"/>
          <w:szCs w:val="24"/>
        </w:rPr>
        <w:t xml:space="preserve"> defined </w:t>
      </w:r>
      <w:r w:rsidRPr="007A0D2D">
        <w:rPr>
          <w:sz w:val="24"/>
          <w:szCs w:val="24"/>
        </w:rPr>
        <w:t xml:space="preserve">in </w:t>
      </w:r>
      <w:r w:rsidR="00275023">
        <w:rPr>
          <w:sz w:val="24"/>
          <w:szCs w:val="24"/>
        </w:rPr>
        <w:t>C</w:t>
      </w:r>
      <w:r w:rsidRPr="00F23969">
        <w:rPr>
          <w:sz w:val="24"/>
          <w:szCs w:val="24"/>
        </w:rPr>
        <w:t>PS 320</w:t>
      </w:r>
      <w:r>
        <w:rPr>
          <w:sz w:val="24"/>
          <w:szCs w:val="24"/>
        </w:rPr>
        <w:t>.</w:t>
      </w:r>
    </w:p>
    <w:p w14:paraId="523EB316" w14:textId="77777777" w:rsidR="00591632" w:rsidRPr="00D747BC" w:rsidRDefault="00591632" w:rsidP="00591632">
      <w:pPr>
        <w:autoSpaceDE w:val="0"/>
        <w:autoSpaceDN w:val="0"/>
        <w:adjustRightInd w:val="0"/>
        <w:ind w:left="567"/>
        <w:jc w:val="both"/>
        <w:rPr>
          <w:bCs/>
          <w:i/>
          <w:szCs w:val="24"/>
        </w:rPr>
      </w:pPr>
      <w:r w:rsidRPr="00052305">
        <w:rPr>
          <w:b/>
          <w:bCs/>
          <w:szCs w:val="24"/>
        </w:rPr>
        <w:lastRenderedPageBreak/>
        <w:t>Group Auditor</w:t>
      </w:r>
      <w:r w:rsidRPr="00C5607D">
        <w:rPr>
          <w:b/>
          <w:bCs/>
          <w:szCs w:val="24"/>
        </w:rPr>
        <w:t xml:space="preserve"> </w:t>
      </w:r>
      <w:r w:rsidRPr="00C5607D">
        <w:rPr>
          <w:bCs/>
          <w:szCs w:val="24"/>
        </w:rPr>
        <w:t>is</w:t>
      </w:r>
      <w:r>
        <w:rPr>
          <w:bCs/>
          <w:szCs w:val="24"/>
        </w:rPr>
        <w:t xml:space="preserve"> as defined in </w:t>
      </w:r>
      <w:r>
        <w:rPr>
          <w:bCs/>
          <w:i/>
          <w:szCs w:val="24"/>
        </w:rPr>
        <w:t>Prudential Standard GPS 310 Audit and Related Matters.</w:t>
      </w:r>
    </w:p>
    <w:p w14:paraId="523EB317" w14:textId="77777777" w:rsidR="00591632" w:rsidRDefault="00591632" w:rsidP="00591632">
      <w:pPr>
        <w:autoSpaceDE w:val="0"/>
        <w:autoSpaceDN w:val="0"/>
        <w:adjustRightInd w:val="0"/>
        <w:ind w:left="567"/>
        <w:jc w:val="both"/>
        <w:rPr>
          <w:b/>
          <w:bCs/>
          <w:szCs w:val="24"/>
        </w:rPr>
      </w:pPr>
    </w:p>
    <w:p w14:paraId="523EB318" w14:textId="77777777" w:rsidR="00591632" w:rsidRDefault="00591632" w:rsidP="00591632">
      <w:pPr>
        <w:autoSpaceDE w:val="0"/>
        <w:autoSpaceDN w:val="0"/>
        <w:adjustRightInd w:val="0"/>
        <w:ind w:left="567"/>
        <w:jc w:val="both"/>
        <w:rPr>
          <w:rFonts w:ascii="TimesNewRoman" w:hAnsi="TimesNewRoman" w:cs="TimesNewRoman"/>
          <w:szCs w:val="24"/>
        </w:rPr>
      </w:pPr>
      <w:r w:rsidRPr="003B393D">
        <w:rPr>
          <w:b/>
          <w:bCs/>
          <w:szCs w:val="24"/>
        </w:rPr>
        <w:t xml:space="preserve">Insurance business </w:t>
      </w:r>
      <w:r w:rsidRPr="003B393D">
        <w:rPr>
          <w:rFonts w:ascii="TimesNewRoman" w:hAnsi="TimesNewRoman" w:cs="TimesNewRoman"/>
          <w:szCs w:val="24"/>
        </w:rPr>
        <w:t>has the same meaning as in the Act.</w:t>
      </w:r>
    </w:p>
    <w:p w14:paraId="523EB31A" w14:textId="77777777" w:rsidR="00CF1702" w:rsidRDefault="00CF1702" w:rsidP="00591632">
      <w:pPr>
        <w:autoSpaceDE w:val="0"/>
        <w:autoSpaceDN w:val="0"/>
        <w:adjustRightInd w:val="0"/>
        <w:ind w:left="567"/>
        <w:jc w:val="both"/>
        <w:rPr>
          <w:b/>
          <w:bCs/>
        </w:rPr>
      </w:pPr>
    </w:p>
    <w:p w14:paraId="523EB31B" w14:textId="77777777" w:rsidR="00591632" w:rsidRDefault="00591632" w:rsidP="00591632">
      <w:pPr>
        <w:autoSpaceDE w:val="0"/>
        <w:autoSpaceDN w:val="0"/>
        <w:adjustRightInd w:val="0"/>
        <w:ind w:left="567"/>
        <w:jc w:val="both"/>
        <w:rPr>
          <w:rFonts w:ascii="TimesNewRoman" w:hAnsi="TimesNewRoman" w:cs="TimesNewRoman"/>
        </w:rPr>
      </w:pPr>
      <w:r w:rsidRPr="003B393D">
        <w:rPr>
          <w:b/>
          <w:bCs/>
        </w:rPr>
        <w:t xml:space="preserve">Insurance group </w:t>
      </w:r>
      <w:r w:rsidRPr="003B393D">
        <w:rPr>
          <w:rFonts w:ascii="TimesNewRoman" w:hAnsi="TimesNewRoman" w:cs="TimesNewRoman"/>
        </w:rPr>
        <w:t xml:space="preserve">means a group of </w:t>
      </w:r>
      <w:r>
        <w:rPr>
          <w:rFonts w:ascii="TimesNewRoman" w:hAnsi="TimesNewRoman" w:cs="TimesNewRoman"/>
        </w:rPr>
        <w:t>entities</w:t>
      </w:r>
      <w:r w:rsidRPr="003B393D">
        <w:rPr>
          <w:rFonts w:ascii="TimesNewRoman" w:hAnsi="TimesNewRoman" w:cs="TimesNewRoman"/>
        </w:rPr>
        <w:t xml:space="preserve"> comprising:</w:t>
      </w:r>
    </w:p>
    <w:p w14:paraId="523EB31C" w14:textId="77777777" w:rsidR="00591632" w:rsidRDefault="00591632" w:rsidP="00591632">
      <w:pPr>
        <w:autoSpaceDE w:val="0"/>
        <w:autoSpaceDN w:val="0"/>
        <w:adjustRightInd w:val="0"/>
        <w:ind w:left="540"/>
        <w:jc w:val="both"/>
        <w:rPr>
          <w:rFonts w:ascii="TimesNewRoman" w:hAnsi="TimesNewRoman" w:cs="TimesNewRoman"/>
        </w:rPr>
      </w:pPr>
    </w:p>
    <w:p w14:paraId="523EB31D" w14:textId="77777777" w:rsidR="00591632" w:rsidRDefault="00591632" w:rsidP="00591632">
      <w:pPr>
        <w:pStyle w:val="BodyText"/>
        <w:numPr>
          <w:ilvl w:val="0"/>
          <w:numId w:val="14"/>
        </w:numPr>
        <w:rPr>
          <w:sz w:val="24"/>
          <w:szCs w:val="24"/>
        </w:rPr>
      </w:pPr>
      <w:r w:rsidRPr="009B2BB7">
        <w:rPr>
          <w:sz w:val="24"/>
          <w:szCs w:val="24"/>
        </w:rPr>
        <w:t xml:space="preserve">a </w:t>
      </w:r>
      <w:r w:rsidRPr="003B393D">
        <w:rPr>
          <w:sz w:val="24"/>
          <w:szCs w:val="24"/>
        </w:rPr>
        <w:t>company that is either:</w:t>
      </w:r>
    </w:p>
    <w:p w14:paraId="523EB31E" w14:textId="77777777" w:rsidR="00591632" w:rsidRDefault="00591632" w:rsidP="00591632">
      <w:pPr>
        <w:pStyle w:val="BodyText"/>
        <w:numPr>
          <w:ilvl w:val="1"/>
          <w:numId w:val="10"/>
        </w:numPr>
        <w:tabs>
          <w:tab w:val="clear" w:pos="1440"/>
          <w:tab w:val="num" w:pos="1701"/>
        </w:tabs>
        <w:spacing w:after="0"/>
        <w:ind w:left="1701" w:hanging="567"/>
        <w:rPr>
          <w:sz w:val="24"/>
          <w:szCs w:val="24"/>
        </w:rPr>
      </w:pPr>
      <w:r>
        <w:rPr>
          <w:sz w:val="24"/>
          <w:szCs w:val="24"/>
        </w:rPr>
        <w:t>an insurer; or</w:t>
      </w:r>
    </w:p>
    <w:p w14:paraId="523EB31F" w14:textId="77777777" w:rsidR="00591632" w:rsidRDefault="00591632" w:rsidP="00591632">
      <w:pPr>
        <w:pStyle w:val="BodyText"/>
        <w:numPr>
          <w:ilvl w:val="0"/>
          <w:numId w:val="0"/>
        </w:numPr>
        <w:tabs>
          <w:tab w:val="num" w:pos="1701"/>
        </w:tabs>
        <w:spacing w:after="0"/>
        <w:ind w:left="1701" w:hanging="567"/>
        <w:rPr>
          <w:sz w:val="24"/>
          <w:szCs w:val="24"/>
        </w:rPr>
      </w:pPr>
    </w:p>
    <w:p w14:paraId="523EB320" w14:textId="77777777" w:rsidR="00591632" w:rsidRDefault="00591632" w:rsidP="00591632">
      <w:pPr>
        <w:pStyle w:val="BodyText"/>
        <w:numPr>
          <w:ilvl w:val="1"/>
          <w:numId w:val="10"/>
        </w:numPr>
        <w:tabs>
          <w:tab w:val="clear" w:pos="1440"/>
          <w:tab w:val="num" w:pos="1701"/>
        </w:tabs>
        <w:spacing w:after="120"/>
        <w:ind w:left="1701" w:hanging="567"/>
        <w:rPr>
          <w:sz w:val="24"/>
          <w:szCs w:val="24"/>
        </w:rPr>
      </w:pPr>
      <w:r w:rsidRPr="003B393D">
        <w:rPr>
          <w:sz w:val="24"/>
          <w:szCs w:val="24"/>
        </w:rPr>
        <w:t>an authorised non-operating holding company of an insurer; and</w:t>
      </w:r>
    </w:p>
    <w:p w14:paraId="523EB321" w14:textId="77777777" w:rsidR="00591632" w:rsidRPr="009B2BB7" w:rsidRDefault="00591632" w:rsidP="00591632">
      <w:pPr>
        <w:pStyle w:val="BodyText"/>
        <w:numPr>
          <w:ilvl w:val="0"/>
          <w:numId w:val="14"/>
        </w:numPr>
        <w:spacing w:before="240"/>
        <w:rPr>
          <w:sz w:val="24"/>
          <w:szCs w:val="24"/>
        </w:rPr>
      </w:pPr>
      <w:r w:rsidRPr="003B393D">
        <w:rPr>
          <w:sz w:val="24"/>
          <w:szCs w:val="24"/>
        </w:rPr>
        <w:t xml:space="preserve">one or more </w:t>
      </w:r>
      <w:r>
        <w:rPr>
          <w:sz w:val="24"/>
          <w:szCs w:val="24"/>
        </w:rPr>
        <w:t xml:space="preserve">controlled entities, including, but not limited to, </w:t>
      </w:r>
      <w:r w:rsidRPr="003B393D">
        <w:rPr>
          <w:sz w:val="24"/>
          <w:szCs w:val="24"/>
        </w:rPr>
        <w:t>subsidiary companies</w:t>
      </w:r>
      <w:r>
        <w:rPr>
          <w:sz w:val="24"/>
          <w:szCs w:val="24"/>
        </w:rPr>
        <w:t xml:space="preserve"> and trusts,</w:t>
      </w:r>
      <w:r w:rsidRPr="003B393D">
        <w:rPr>
          <w:sz w:val="24"/>
          <w:szCs w:val="24"/>
        </w:rPr>
        <w:t xml:space="preserve"> or parent companies of the company referred to in </w:t>
      </w:r>
      <w:r>
        <w:rPr>
          <w:sz w:val="24"/>
          <w:szCs w:val="24"/>
        </w:rPr>
        <w:t>sub</w:t>
      </w:r>
      <w:r w:rsidRPr="003B393D">
        <w:rPr>
          <w:sz w:val="24"/>
          <w:szCs w:val="24"/>
        </w:rPr>
        <w:t>paragraph (a)</w:t>
      </w:r>
    </w:p>
    <w:p w14:paraId="523EB322" w14:textId="77777777" w:rsidR="00591632" w:rsidRPr="003B393D" w:rsidRDefault="00591632" w:rsidP="00591632">
      <w:pPr>
        <w:pStyle w:val="BodyText"/>
        <w:numPr>
          <w:ilvl w:val="0"/>
          <w:numId w:val="0"/>
        </w:numPr>
        <w:spacing w:after="0"/>
        <w:ind w:left="567"/>
        <w:rPr>
          <w:sz w:val="20"/>
        </w:rPr>
      </w:pPr>
      <w:r w:rsidRPr="003B393D">
        <w:rPr>
          <w:sz w:val="24"/>
          <w:szCs w:val="24"/>
        </w:rPr>
        <w:t>within a corporate group. There may be more than one insurance group within a</w:t>
      </w:r>
      <w:r>
        <w:rPr>
          <w:sz w:val="24"/>
          <w:szCs w:val="24"/>
        </w:rPr>
        <w:t xml:space="preserve"> </w:t>
      </w:r>
      <w:r w:rsidRPr="003B393D">
        <w:rPr>
          <w:sz w:val="24"/>
          <w:szCs w:val="24"/>
        </w:rPr>
        <w:t>corporate group. An insurance group includes but is not necessarily limited to a</w:t>
      </w:r>
      <w:r>
        <w:rPr>
          <w:sz w:val="24"/>
          <w:szCs w:val="24"/>
        </w:rPr>
        <w:t xml:space="preserve"> </w:t>
      </w:r>
      <w:r w:rsidRPr="003B393D">
        <w:rPr>
          <w:sz w:val="24"/>
          <w:szCs w:val="24"/>
        </w:rPr>
        <w:t>Level</w:t>
      </w:r>
      <w:r w:rsidRPr="003B393D">
        <w:rPr>
          <w:rFonts w:ascii="TimesNewRoman" w:hAnsi="TimesNewRoman" w:cs="TimesNewRoman"/>
          <w:sz w:val="24"/>
        </w:rPr>
        <w:t xml:space="preserve"> 2 insurance group as defined in this Prudential Standard.</w:t>
      </w:r>
    </w:p>
    <w:p w14:paraId="523EB323" w14:textId="77777777" w:rsidR="00591632" w:rsidRPr="008E57EF" w:rsidRDefault="00591632" w:rsidP="00591632">
      <w:pPr>
        <w:ind w:left="567"/>
        <w:jc w:val="both"/>
        <w:rPr>
          <w:szCs w:val="24"/>
        </w:rPr>
      </w:pPr>
    </w:p>
    <w:p w14:paraId="523EB324" w14:textId="77777777" w:rsidR="00591632" w:rsidRPr="008E57EF" w:rsidRDefault="00591632" w:rsidP="00591632">
      <w:pPr>
        <w:pStyle w:val="BodyText"/>
        <w:numPr>
          <w:ilvl w:val="0"/>
          <w:numId w:val="0"/>
        </w:numPr>
        <w:ind w:left="567"/>
        <w:rPr>
          <w:i/>
          <w:sz w:val="24"/>
          <w:szCs w:val="24"/>
          <w:highlight w:val="green"/>
        </w:rPr>
      </w:pPr>
      <w:r w:rsidRPr="008E57EF">
        <w:rPr>
          <w:b/>
          <w:sz w:val="24"/>
          <w:szCs w:val="24"/>
        </w:rPr>
        <w:t xml:space="preserve">Insurance Concentration Risk Charge </w:t>
      </w:r>
      <w:r w:rsidRPr="008E57EF">
        <w:rPr>
          <w:sz w:val="24"/>
          <w:szCs w:val="24"/>
        </w:rPr>
        <w:t xml:space="preserve">means the risk charge determined under </w:t>
      </w:r>
      <w:r w:rsidRPr="008E57EF">
        <w:rPr>
          <w:i/>
          <w:sz w:val="24"/>
          <w:szCs w:val="24"/>
        </w:rPr>
        <w:t>Prudential Standard GPS 116 Capital Adequacy: Insurance Concentration Risk Charge.</w:t>
      </w:r>
    </w:p>
    <w:p w14:paraId="523EB326" w14:textId="77777777" w:rsidR="00591632" w:rsidRPr="008E57EF" w:rsidRDefault="00591632" w:rsidP="00591632">
      <w:pPr>
        <w:pStyle w:val="BodyText"/>
        <w:numPr>
          <w:ilvl w:val="0"/>
          <w:numId w:val="0"/>
        </w:numPr>
        <w:ind w:left="567"/>
        <w:rPr>
          <w:b/>
          <w:sz w:val="24"/>
          <w:szCs w:val="24"/>
        </w:rPr>
      </w:pPr>
      <w:r w:rsidRPr="008E57EF">
        <w:rPr>
          <w:b/>
          <w:sz w:val="24"/>
          <w:szCs w:val="24"/>
        </w:rPr>
        <w:t xml:space="preserve">Insurance Risk Charge </w:t>
      </w:r>
      <w:r w:rsidRPr="008E57EF">
        <w:rPr>
          <w:bCs/>
          <w:sz w:val="24"/>
          <w:szCs w:val="24"/>
        </w:rPr>
        <w:t xml:space="preserve">means the risk charge determined under </w:t>
      </w:r>
      <w:r w:rsidRPr="008E57EF">
        <w:rPr>
          <w:bCs/>
          <w:i/>
          <w:sz w:val="24"/>
          <w:szCs w:val="24"/>
        </w:rPr>
        <w:t>Prudential Standard GPS 115 Capital Adequacy: Insurance Risk Charge</w:t>
      </w:r>
      <w:r w:rsidRPr="008E57EF">
        <w:rPr>
          <w:bCs/>
          <w:sz w:val="24"/>
          <w:szCs w:val="24"/>
        </w:rPr>
        <w:t>.</w:t>
      </w:r>
    </w:p>
    <w:p w14:paraId="523EB327" w14:textId="32123148" w:rsidR="00591632" w:rsidRPr="008E57EF" w:rsidRDefault="00591632" w:rsidP="00591632">
      <w:pPr>
        <w:pStyle w:val="BodyText"/>
        <w:numPr>
          <w:ilvl w:val="0"/>
          <w:numId w:val="0"/>
        </w:numPr>
        <w:ind w:left="567"/>
        <w:rPr>
          <w:sz w:val="24"/>
          <w:szCs w:val="24"/>
        </w:rPr>
      </w:pPr>
      <w:r w:rsidRPr="008E57EF">
        <w:rPr>
          <w:b/>
          <w:sz w:val="24"/>
          <w:szCs w:val="24"/>
        </w:rPr>
        <w:t>Insurer</w:t>
      </w:r>
      <w:r w:rsidRPr="008E57EF">
        <w:rPr>
          <w:sz w:val="24"/>
          <w:szCs w:val="24"/>
        </w:rPr>
        <w:t xml:space="preserve"> means a general insurer as defined in the Act</w:t>
      </w:r>
      <w:r w:rsidR="007028B8">
        <w:rPr>
          <w:sz w:val="24"/>
          <w:szCs w:val="24"/>
        </w:rPr>
        <w:t xml:space="preserve">, </w:t>
      </w:r>
      <w:r w:rsidR="00F633EA">
        <w:rPr>
          <w:sz w:val="24"/>
          <w:szCs w:val="24"/>
        </w:rPr>
        <w:t>other than</w:t>
      </w:r>
      <w:r w:rsidR="007028B8">
        <w:rPr>
          <w:sz w:val="24"/>
          <w:szCs w:val="24"/>
        </w:rPr>
        <w:t xml:space="preserve"> in CPS 320.</w:t>
      </w:r>
      <w:r w:rsidR="00275023">
        <w:rPr>
          <w:rStyle w:val="FootnoteReference"/>
          <w:sz w:val="24"/>
          <w:szCs w:val="24"/>
        </w:rPr>
        <w:footnoteReference w:id="1"/>
      </w:r>
    </w:p>
    <w:p w14:paraId="523EB328" w14:textId="77777777" w:rsidR="00591632" w:rsidRPr="008E57EF" w:rsidRDefault="00591632" w:rsidP="00591632">
      <w:pPr>
        <w:pStyle w:val="BodyText"/>
        <w:numPr>
          <w:ilvl w:val="0"/>
          <w:numId w:val="0"/>
        </w:numPr>
        <w:ind w:left="567"/>
        <w:rPr>
          <w:i/>
          <w:sz w:val="24"/>
          <w:szCs w:val="24"/>
        </w:rPr>
      </w:pPr>
      <w:r w:rsidRPr="008E57EF">
        <w:rPr>
          <w:b/>
          <w:sz w:val="24"/>
          <w:szCs w:val="24"/>
        </w:rPr>
        <w:t xml:space="preserve">Internal Capital Adequacy Assessment Process </w:t>
      </w:r>
      <w:r w:rsidRPr="008E57EF">
        <w:rPr>
          <w:sz w:val="24"/>
          <w:szCs w:val="24"/>
        </w:rPr>
        <w:t>(</w:t>
      </w:r>
      <w:r w:rsidRPr="00496352">
        <w:rPr>
          <w:sz w:val="24"/>
          <w:szCs w:val="24"/>
        </w:rPr>
        <w:t>ICAAP</w:t>
      </w:r>
      <w:r w:rsidRPr="008E57EF">
        <w:rPr>
          <w:sz w:val="24"/>
          <w:szCs w:val="24"/>
        </w:rPr>
        <w:t>)</w:t>
      </w:r>
      <w:r w:rsidRPr="008E57EF">
        <w:rPr>
          <w:b/>
          <w:sz w:val="24"/>
          <w:szCs w:val="24"/>
        </w:rPr>
        <w:t xml:space="preserve"> </w:t>
      </w:r>
      <w:r w:rsidRPr="008E57EF">
        <w:rPr>
          <w:sz w:val="24"/>
          <w:szCs w:val="24"/>
        </w:rPr>
        <w:t xml:space="preserve">is as described in </w:t>
      </w:r>
      <w:r w:rsidRPr="008E57EF">
        <w:rPr>
          <w:i/>
          <w:sz w:val="24"/>
          <w:szCs w:val="24"/>
        </w:rPr>
        <w:t xml:space="preserve">Prudential Standard GPS 110 Capital Adequacy </w:t>
      </w:r>
      <w:r w:rsidRPr="008E57EF">
        <w:rPr>
          <w:sz w:val="24"/>
          <w:szCs w:val="24"/>
        </w:rPr>
        <w:t>(</w:t>
      </w:r>
      <w:r w:rsidRPr="00496352">
        <w:rPr>
          <w:sz w:val="24"/>
          <w:szCs w:val="24"/>
        </w:rPr>
        <w:t>GPS 110</w:t>
      </w:r>
      <w:r w:rsidRPr="008E57EF">
        <w:rPr>
          <w:sz w:val="24"/>
          <w:szCs w:val="24"/>
        </w:rPr>
        <w:t>)</w:t>
      </w:r>
      <w:r w:rsidRPr="008E57EF">
        <w:rPr>
          <w:i/>
          <w:sz w:val="24"/>
          <w:szCs w:val="24"/>
        </w:rPr>
        <w:t>.</w:t>
      </w:r>
    </w:p>
    <w:p w14:paraId="523EB329" w14:textId="77777777" w:rsidR="00591632" w:rsidRPr="008E57EF" w:rsidRDefault="00591632" w:rsidP="00591632">
      <w:pPr>
        <w:pStyle w:val="BodyText"/>
        <w:numPr>
          <w:ilvl w:val="0"/>
          <w:numId w:val="0"/>
        </w:numPr>
        <w:ind w:left="567"/>
        <w:rPr>
          <w:sz w:val="24"/>
          <w:szCs w:val="24"/>
        </w:rPr>
      </w:pPr>
      <w:r w:rsidRPr="008E57EF">
        <w:rPr>
          <w:b/>
          <w:sz w:val="24"/>
          <w:szCs w:val="24"/>
        </w:rPr>
        <w:t>Internal Model-</w:t>
      </w:r>
      <w:r>
        <w:rPr>
          <w:b/>
          <w:sz w:val="24"/>
          <w:szCs w:val="24"/>
        </w:rPr>
        <w:t>b</w:t>
      </w:r>
      <w:r w:rsidRPr="008E57EF">
        <w:rPr>
          <w:b/>
          <w:sz w:val="24"/>
          <w:szCs w:val="24"/>
        </w:rPr>
        <w:t xml:space="preserve">ased Method </w:t>
      </w:r>
      <w:r w:rsidRPr="008E57EF">
        <w:rPr>
          <w:sz w:val="24"/>
          <w:szCs w:val="24"/>
        </w:rPr>
        <w:t xml:space="preserve">is the method by which an insurer determines its </w:t>
      </w:r>
      <w:r w:rsidRPr="008E57EF">
        <w:rPr>
          <w:b/>
          <w:sz w:val="24"/>
          <w:szCs w:val="24"/>
        </w:rPr>
        <w:t>prescribed capital amount</w:t>
      </w:r>
      <w:r w:rsidRPr="008E57EF">
        <w:rPr>
          <w:sz w:val="24"/>
          <w:szCs w:val="24"/>
        </w:rPr>
        <w:t xml:space="preserve"> based on its own economic capital model</w:t>
      </w:r>
      <w:r>
        <w:rPr>
          <w:sz w:val="24"/>
          <w:szCs w:val="24"/>
        </w:rPr>
        <w:t xml:space="preserve"> in accordance with </w:t>
      </w:r>
      <w:r>
        <w:rPr>
          <w:i/>
          <w:sz w:val="24"/>
          <w:szCs w:val="24"/>
        </w:rPr>
        <w:t>Prudential Standard GPS 113 Capital Adequacy: Internal Model-based Method</w:t>
      </w:r>
      <w:r>
        <w:rPr>
          <w:sz w:val="24"/>
          <w:szCs w:val="24"/>
        </w:rPr>
        <w:t xml:space="preserve">. </w:t>
      </w:r>
    </w:p>
    <w:p w14:paraId="523EB32A" w14:textId="77777777" w:rsidR="00591632" w:rsidRPr="008E57EF" w:rsidRDefault="00591632" w:rsidP="00591632">
      <w:pPr>
        <w:pStyle w:val="BodyText"/>
        <w:numPr>
          <w:ilvl w:val="0"/>
          <w:numId w:val="0"/>
        </w:numPr>
        <w:ind w:left="567"/>
        <w:rPr>
          <w:b/>
          <w:bCs/>
          <w:sz w:val="24"/>
          <w:szCs w:val="24"/>
        </w:rPr>
      </w:pPr>
      <w:r w:rsidRPr="008E57EF">
        <w:rPr>
          <w:b/>
          <w:sz w:val="24"/>
          <w:szCs w:val="24"/>
        </w:rPr>
        <w:t>International business</w:t>
      </w:r>
      <w:r w:rsidRPr="008E57EF">
        <w:rPr>
          <w:sz w:val="24"/>
          <w:szCs w:val="24"/>
        </w:rPr>
        <w:t xml:space="preserve"> of a Level 2 insurance group means, for the purposes of the prudential requirements applicable to Level 2 insurance groups, insurance business carried on by any entity within the group that is not authorised under the Act.</w:t>
      </w:r>
      <w:r w:rsidRPr="008E57EF">
        <w:rPr>
          <w:b/>
          <w:bCs/>
          <w:sz w:val="24"/>
          <w:szCs w:val="24"/>
        </w:rPr>
        <w:t xml:space="preserve"> </w:t>
      </w:r>
    </w:p>
    <w:p w14:paraId="523EB32B" w14:textId="77777777" w:rsidR="00591632" w:rsidRPr="008E57EF" w:rsidRDefault="00591632" w:rsidP="00591632">
      <w:pPr>
        <w:pStyle w:val="BodyText"/>
        <w:numPr>
          <w:ilvl w:val="0"/>
          <w:numId w:val="0"/>
        </w:numPr>
        <w:ind w:left="567"/>
        <w:rPr>
          <w:sz w:val="24"/>
          <w:szCs w:val="24"/>
        </w:rPr>
      </w:pPr>
      <w:r w:rsidRPr="008E57EF">
        <w:rPr>
          <w:b/>
          <w:bCs/>
          <w:sz w:val="24"/>
          <w:szCs w:val="24"/>
        </w:rPr>
        <w:t xml:space="preserve">Lenders mortgage insurance </w:t>
      </w:r>
      <w:r w:rsidRPr="008E57EF">
        <w:rPr>
          <w:sz w:val="24"/>
          <w:szCs w:val="24"/>
        </w:rPr>
        <w:t xml:space="preserve">has its ordinary commercial meaning and includes insurance under a policy </w:t>
      </w:r>
      <w:r>
        <w:rPr>
          <w:sz w:val="24"/>
          <w:szCs w:val="24"/>
        </w:rPr>
        <w:t>that</w:t>
      </w:r>
      <w:r w:rsidRPr="008E57EF">
        <w:rPr>
          <w:sz w:val="24"/>
          <w:szCs w:val="24"/>
        </w:rPr>
        <w:t xml:space="preserve"> protects a lender from losses in the event of borrower default on a loan secured by a mortgage over residential or other property.</w:t>
      </w:r>
    </w:p>
    <w:p w14:paraId="523EB32C" w14:textId="77777777" w:rsidR="00591632" w:rsidRPr="008E57EF" w:rsidRDefault="00591632" w:rsidP="00591632">
      <w:pPr>
        <w:pStyle w:val="BodyText"/>
        <w:numPr>
          <w:ilvl w:val="0"/>
          <w:numId w:val="0"/>
        </w:numPr>
        <w:ind w:left="567"/>
        <w:rPr>
          <w:sz w:val="24"/>
          <w:szCs w:val="24"/>
        </w:rPr>
      </w:pPr>
      <w:r w:rsidRPr="008E57EF">
        <w:rPr>
          <w:b/>
          <w:sz w:val="24"/>
          <w:szCs w:val="24"/>
        </w:rPr>
        <w:lastRenderedPageBreak/>
        <w:t>Lenders mortgage insurer</w:t>
      </w:r>
      <w:r w:rsidRPr="008E57EF">
        <w:rPr>
          <w:sz w:val="24"/>
          <w:szCs w:val="24"/>
        </w:rPr>
        <w:t xml:space="preserve"> means an insurer that has written or reinsured, or proposes to write or reinsure, policies of lenders mortgage insurance. </w:t>
      </w:r>
    </w:p>
    <w:p w14:paraId="523EB32D" w14:textId="77777777" w:rsidR="00591632" w:rsidRDefault="00591632" w:rsidP="00591632">
      <w:pPr>
        <w:pStyle w:val="BodyText"/>
        <w:numPr>
          <w:ilvl w:val="0"/>
          <w:numId w:val="0"/>
        </w:numPr>
        <w:ind w:left="567"/>
        <w:rPr>
          <w:sz w:val="24"/>
          <w:szCs w:val="24"/>
        </w:rPr>
      </w:pPr>
      <w:r w:rsidRPr="00AE2E2F">
        <w:rPr>
          <w:b/>
          <w:sz w:val="24"/>
          <w:szCs w:val="24"/>
        </w:rPr>
        <w:t>Level 1 insurer</w:t>
      </w:r>
      <w:r w:rsidRPr="00D658C3">
        <w:rPr>
          <w:sz w:val="24"/>
          <w:szCs w:val="24"/>
        </w:rPr>
        <w:t>,</w:t>
      </w:r>
      <w:r w:rsidRPr="00AE2E2F">
        <w:rPr>
          <w:sz w:val="24"/>
          <w:szCs w:val="24"/>
        </w:rPr>
        <w:t xml:space="preserve"> for the purposes of the prudential </w:t>
      </w:r>
      <w:r>
        <w:rPr>
          <w:sz w:val="24"/>
          <w:szCs w:val="24"/>
        </w:rPr>
        <w:t>requirements</w:t>
      </w:r>
      <w:r w:rsidRPr="00AE2E2F">
        <w:rPr>
          <w:sz w:val="24"/>
          <w:szCs w:val="24"/>
        </w:rPr>
        <w:t xml:space="preserve"> applicable to Level 2 insurance groups, means an individual insurer that is authorised under the Act and is part of a Level 2 insurance group.</w:t>
      </w:r>
    </w:p>
    <w:p w14:paraId="523EB32E" w14:textId="77777777" w:rsidR="00591632" w:rsidRPr="00E66F69" w:rsidRDefault="00591632" w:rsidP="00591632">
      <w:pPr>
        <w:pStyle w:val="BodyText"/>
        <w:numPr>
          <w:ilvl w:val="0"/>
          <w:numId w:val="0"/>
        </w:numPr>
        <w:ind w:left="567"/>
        <w:rPr>
          <w:b/>
          <w:sz w:val="24"/>
          <w:szCs w:val="24"/>
          <w:highlight w:val="green"/>
        </w:rPr>
      </w:pPr>
      <w:r w:rsidRPr="00052305">
        <w:rPr>
          <w:b/>
          <w:sz w:val="24"/>
          <w:szCs w:val="24"/>
        </w:rPr>
        <w:t>Level 2 insurance group</w:t>
      </w:r>
      <w:r w:rsidRPr="00C5607D">
        <w:rPr>
          <w:sz w:val="24"/>
          <w:szCs w:val="24"/>
        </w:rPr>
        <w:t xml:space="preserve"> is as</w:t>
      </w:r>
      <w:r>
        <w:rPr>
          <w:sz w:val="24"/>
          <w:szCs w:val="24"/>
        </w:rPr>
        <w:t xml:space="preserve"> </w:t>
      </w:r>
      <w:r w:rsidRPr="000E129C">
        <w:rPr>
          <w:sz w:val="24"/>
          <w:szCs w:val="24"/>
        </w:rPr>
        <w:t>defined in Attachment D of this Prudential Standard.</w:t>
      </w:r>
    </w:p>
    <w:p w14:paraId="523EB32F" w14:textId="77777777" w:rsidR="00591632" w:rsidRPr="003B393D" w:rsidRDefault="00591632" w:rsidP="00591632">
      <w:pPr>
        <w:pStyle w:val="BodyText"/>
        <w:numPr>
          <w:ilvl w:val="0"/>
          <w:numId w:val="0"/>
        </w:numPr>
        <w:ind w:left="567"/>
        <w:rPr>
          <w:sz w:val="24"/>
          <w:szCs w:val="24"/>
        </w:rPr>
      </w:pPr>
      <w:r w:rsidRPr="003B393D">
        <w:rPr>
          <w:b/>
          <w:sz w:val="24"/>
          <w:szCs w:val="24"/>
        </w:rPr>
        <w:t>Limited assurance</w:t>
      </w:r>
      <w:r w:rsidRPr="003B393D">
        <w:rPr>
          <w:sz w:val="24"/>
          <w:szCs w:val="24"/>
        </w:rPr>
        <w:t xml:space="preserve"> is as defined according to </w:t>
      </w:r>
      <w:r w:rsidRPr="003B393D">
        <w:rPr>
          <w:i/>
          <w:sz w:val="24"/>
          <w:szCs w:val="24"/>
        </w:rPr>
        <w:t>Framework for Assurance Engagements</w:t>
      </w:r>
      <w:r w:rsidRPr="003B393D">
        <w:rPr>
          <w:sz w:val="24"/>
          <w:szCs w:val="24"/>
        </w:rPr>
        <w:t xml:space="preserve"> issued by the AUASB as may be amended from time to time.</w:t>
      </w:r>
    </w:p>
    <w:p w14:paraId="523EB330" w14:textId="77777777" w:rsidR="00591632" w:rsidRPr="003B393D" w:rsidRDefault="00591632" w:rsidP="00591632">
      <w:pPr>
        <w:pStyle w:val="BodyText"/>
        <w:numPr>
          <w:ilvl w:val="0"/>
          <w:numId w:val="0"/>
        </w:numPr>
        <w:ind w:left="567"/>
        <w:rPr>
          <w:sz w:val="24"/>
          <w:szCs w:val="24"/>
        </w:rPr>
      </w:pPr>
      <w:r w:rsidRPr="003B393D">
        <w:rPr>
          <w:b/>
          <w:sz w:val="24"/>
          <w:szCs w:val="24"/>
        </w:rPr>
        <w:t>Non-APRA-authorised reinsurer</w:t>
      </w:r>
      <w:r w:rsidRPr="003B393D">
        <w:rPr>
          <w:sz w:val="24"/>
          <w:szCs w:val="24"/>
        </w:rPr>
        <w:t xml:space="preserve"> means any reinsurer that is not an APRA-authorised reinsurer.</w:t>
      </w:r>
    </w:p>
    <w:p w14:paraId="523EB331" w14:textId="77777777" w:rsidR="00591632" w:rsidRDefault="00591632" w:rsidP="00591632">
      <w:pPr>
        <w:pStyle w:val="BodyText"/>
        <w:numPr>
          <w:ilvl w:val="0"/>
          <w:numId w:val="0"/>
        </w:numPr>
        <w:ind w:left="567"/>
        <w:rPr>
          <w:sz w:val="24"/>
          <w:szCs w:val="24"/>
        </w:rPr>
      </w:pPr>
      <w:r w:rsidRPr="003B393D">
        <w:rPr>
          <w:b/>
          <w:sz w:val="24"/>
          <w:szCs w:val="24"/>
        </w:rPr>
        <w:t>Non-operating holding company</w:t>
      </w:r>
      <w:r>
        <w:rPr>
          <w:sz w:val="24"/>
          <w:szCs w:val="24"/>
        </w:rPr>
        <w:t xml:space="preserve"> </w:t>
      </w:r>
      <w:r w:rsidRPr="00496352">
        <w:rPr>
          <w:sz w:val="24"/>
          <w:szCs w:val="24"/>
        </w:rPr>
        <w:t>(NOHC</w:t>
      </w:r>
      <w:r>
        <w:rPr>
          <w:sz w:val="24"/>
          <w:szCs w:val="24"/>
        </w:rPr>
        <w:t>)</w:t>
      </w:r>
      <w:r w:rsidRPr="002E58BB">
        <w:rPr>
          <w:b/>
          <w:sz w:val="24"/>
          <w:szCs w:val="24"/>
        </w:rPr>
        <w:t xml:space="preserve"> </w:t>
      </w:r>
      <w:r w:rsidRPr="003B393D">
        <w:rPr>
          <w:sz w:val="24"/>
          <w:szCs w:val="24"/>
        </w:rPr>
        <w:t>has the same meaning as in the Act.</w:t>
      </w:r>
    </w:p>
    <w:p w14:paraId="523EB332" w14:textId="7EF96B86" w:rsidR="00591632" w:rsidRPr="00B821A9" w:rsidRDefault="00591632" w:rsidP="00591632">
      <w:pPr>
        <w:pStyle w:val="BodyText"/>
        <w:numPr>
          <w:ilvl w:val="0"/>
          <w:numId w:val="0"/>
        </w:numPr>
        <w:ind w:left="567"/>
        <w:rPr>
          <w:sz w:val="24"/>
          <w:szCs w:val="24"/>
        </w:rPr>
      </w:pPr>
      <w:r w:rsidRPr="00052305">
        <w:rPr>
          <w:b/>
          <w:sz w:val="24"/>
          <w:szCs w:val="24"/>
        </w:rPr>
        <w:t>Non-reinsurance recoveries</w:t>
      </w:r>
      <w:r w:rsidRPr="00B821A9">
        <w:rPr>
          <w:b/>
          <w:sz w:val="24"/>
          <w:szCs w:val="24"/>
        </w:rPr>
        <w:t xml:space="preserve"> </w:t>
      </w:r>
      <w:r w:rsidRPr="00B821A9">
        <w:rPr>
          <w:sz w:val="24"/>
          <w:szCs w:val="24"/>
        </w:rPr>
        <w:t xml:space="preserve">are recoveries determined under </w:t>
      </w:r>
      <w:r w:rsidR="00275023">
        <w:rPr>
          <w:sz w:val="24"/>
          <w:szCs w:val="24"/>
        </w:rPr>
        <w:t>C</w:t>
      </w:r>
      <w:r w:rsidRPr="00F23969">
        <w:rPr>
          <w:sz w:val="24"/>
          <w:szCs w:val="24"/>
        </w:rPr>
        <w:t>PS 320</w:t>
      </w:r>
      <w:r w:rsidRPr="00B821A9">
        <w:rPr>
          <w:b/>
          <w:i/>
          <w:sz w:val="24"/>
          <w:szCs w:val="24"/>
        </w:rPr>
        <w:t xml:space="preserve"> </w:t>
      </w:r>
      <w:r>
        <w:rPr>
          <w:sz w:val="24"/>
          <w:szCs w:val="24"/>
        </w:rPr>
        <w:t>that</w:t>
      </w:r>
      <w:r w:rsidRPr="00B821A9">
        <w:rPr>
          <w:sz w:val="24"/>
          <w:szCs w:val="24"/>
        </w:rPr>
        <w:t xml:space="preserve"> do not relate to exposures </w:t>
      </w:r>
      <w:r>
        <w:rPr>
          <w:sz w:val="24"/>
          <w:szCs w:val="24"/>
        </w:rPr>
        <w:t>to</w:t>
      </w:r>
      <w:r w:rsidRPr="00B821A9">
        <w:rPr>
          <w:sz w:val="24"/>
          <w:szCs w:val="24"/>
        </w:rPr>
        <w:t xml:space="preserve"> a reinsurer.</w:t>
      </w:r>
    </w:p>
    <w:p w14:paraId="523EB333" w14:textId="77777777" w:rsidR="00591632" w:rsidRPr="00B821A9" w:rsidRDefault="00591632" w:rsidP="00591632">
      <w:pPr>
        <w:pStyle w:val="BodyText"/>
        <w:numPr>
          <w:ilvl w:val="0"/>
          <w:numId w:val="0"/>
        </w:numPr>
        <w:ind w:left="567"/>
        <w:rPr>
          <w:sz w:val="24"/>
          <w:szCs w:val="24"/>
        </w:rPr>
      </w:pPr>
      <w:r w:rsidRPr="00052305">
        <w:rPr>
          <w:b/>
          <w:sz w:val="24"/>
          <w:szCs w:val="24"/>
        </w:rPr>
        <w:t>Operational Risk Charge</w:t>
      </w:r>
      <w:r w:rsidRPr="00B821A9">
        <w:rPr>
          <w:b/>
          <w:sz w:val="24"/>
          <w:szCs w:val="24"/>
        </w:rPr>
        <w:t xml:space="preserve"> </w:t>
      </w:r>
      <w:r w:rsidRPr="00B821A9">
        <w:rPr>
          <w:sz w:val="24"/>
          <w:szCs w:val="24"/>
        </w:rPr>
        <w:t xml:space="preserve">means the risk charge determined under </w:t>
      </w:r>
      <w:r w:rsidRPr="00B821A9">
        <w:rPr>
          <w:i/>
          <w:sz w:val="24"/>
          <w:szCs w:val="24"/>
        </w:rPr>
        <w:t>Prudential Standard GPS 118 Capital Adequacy: Operational Risk Charge</w:t>
      </w:r>
      <w:r w:rsidRPr="00B821A9">
        <w:rPr>
          <w:sz w:val="24"/>
          <w:szCs w:val="24"/>
        </w:rPr>
        <w:t>.</w:t>
      </w:r>
    </w:p>
    <w:p w14:paraId="523EB334" w14:textId="77777777" w:rsidR="00591632" w:rsidRPr="00B821A9" w:rsidRDefault="00591632" w:rsidP="00591632">
      <w:pPr>
        <w:pStyle w:val="BodyText"/>
        <w:numPr>
          <w:ilvl w:val="0"/>
          <w:numId w:val="0"/>
        </w:numPr>
        <w:ind w:left="567"/>
        <w:rPr>
          <w:sz w:val="24"/>
          <w:szCs w:val="24"/>
        </w:rPr>
      </w:pPr>
      <w:r w:rsidRPr="00052305">
        <w:rPr>
          <w:b/>
          <w:sz w:val="24"/>
          <w:szCs w:val="24"/>
        </w:rPr>
        <w:t>Parent entity</w:t>
      </w:r>
      <w:r w:rsidRPr="00B821A9">
        <w:rPr>
          <w:sz w:val="24"/>
          <w:szCs w:val="24"/>
        </w:rPr>
        <w:t xml:space="preserve"> is as defined in Attachment D of this Prudential Standard.</w:t>
      </w:r>
    </w:p>
    <w:p w14:paraId="523EB335" w14:textId="77777777" w:rsidR="00591632" w:rsidRPr="00213CD3" w:rsidRDefault="00591632" w:rsidP="00591632">
      <w:pPr>
        <w:pStyle w:val="BodyText"/>
        <w:numPr>
          <w:ilvl w:val="0"/>
          <w:numId w:val="0"/>
        </w:numPr>
        <w:ind w:left="567"/>
        <w:rPr>
          <w:bCs/>
          <w:sz w:val="24"/>
        </w:rPr>
      </w:pPr>
      <w:r w:rsidRPr="00052305">
        <w:rPr>
          <w:b/>
          <w:sz w:val="24"/>
          <w:szCs w:val="24"/>
        </w:rPr>
        <w:t>Prescribed capital amount</w:t>
      </w:r>
      <w:r w:rsidRPr="00B821A9">
        <w:rPr>
          <w:bCs/>
          <w:sz w:val="24"/>
        </w:rPr>
        <w:t xml:space="preserve"> is as defined in </w:t>
      </w:r>
      <w:r w:rsidRPr="00F23969">
        <w:rPr>
          <w:bCs/>
          <w:sz w:val="24"/>
        </w:rPr>
        <w:t>GPS 110</w:t>
      </w:r>
      <w:r w:rsidRPr="00B821A9">
        <w:rPr>
          <w:bCs/>
          <w:i/>
          <w:sz w:val="24"/>
        </w:rPr>
        <w:t>.</w:t>
      </w:r>
    </w:p>
    <w:p w14:paraId="523EB336" w14:textId="77777777" w:rsidR="00591632" w:rsidRDefault="00591632" w:rsidP="00591632">
      <w:pPr>
        <w:pStyle w:val="BodyText"/>
        <w:numPr>
          <w:ilvl w:val="0"/>
          <w:numId w:val="0"/>
        </w:numPr>
        <w:ind w:left="567"/>
        <w:rPr>
          <w:b/>
          <w:sz w:val="24"/>
          <w:szCs w:val="24"/>
        </w:rPr>
      </w:pPr>
      <w:r w:rsidRPr="00052305">
        <w:rPr>
          <w:b/>
          <w:sz w:val="24"/>
          <w:szCs w:val="24"/>
        </w:rPr>
        <w:t>Prudential Capital Requirement</w:t>
      </w:r>
      <w:r>
        <w:rPr>
          <w:b/>
          <w:sz w:val="24"/>
          <w:szCs w:val="24"/>
        </w:rPr>
        <w:t xml:space="preserve"> </w:t>
      </w:r>
      <w:r w:rsidRPr="00D65158">
        <w:rPr>
          <w:sz w:val="24"/>
          <w:szCs w:val="24"/>
        </w:rPr>
        <w:t>(</w:t>
      </w:r>
      <w:r w:rsidRPr="00496352">
        <w:rPr>
          <w:sz w:val="24"/>
          <w:szCs w:val="24"/>
        </w:rPr>
        <w:t>PCR)</w:t>
      </w:r>
      <w:r w:rsidRPr="00B821A9">
        <w:rPr>
          <w:b/>
          <w:sz w:val="24"/>
          <w:szCs w:val="24"/>
        </w:rPr>
        <w:t xml:space="preserve"> </w:t>
      </w:r>
      <w:r w:rsidRPr="00B821A9">
        <w:rPr>
          <w:sz w:val="24"/>
          <w:szCs w:val="24"/>
        </w:rPr>
        <w:t xml:space="preserve">means the minimum amount of capital that an </w:t>
      </w:r>
      <w:r w:rsidRPr="00F23969">
        <w:rPr>
          <w:sz w:val="24"/>
          <w:szCs w:val="24"/>
        </w:rPr>
        <w:t>insurer</w:t>
      </w:r>
      <w:r w:rsidRPr="00B821A9">
        <w:rPr>
          <w:sz w:val="24"/>
          <w:szCs w:val="24"/>
        </w:rPr>
        <w:t xml:space="preserve"> or </w:t>
      </w:r>
      <w:r w:rsidRPr="00F23969">
        <w:rPr>
          <w:sz w:val="24"/>
          <w:szCs w:val="24"/>
        </w:rPr>
        <w:t>Level 2 insurance group</w:t>
      </w:r>
      <w:r w:rsidRPr="005E1700">
        <w:rPr>
          <w:sz w:val="24"/>
          <w:szCs w:val="24"/>
        </w:rPr>
        <w:t xml:space="preserve"> must hold as </w:t>
      </w:r>
      <w:r>
        <w:rPr>
          <w:sz w:val="24"/>
          <w:szCs w:val="24"/>
        </w:rPr>
        <w:t>defined</w:t>
      </w:r>
      <w:r w:rsidRPr="005E1700">
        <w:rPr>
          <w:sz w:val="24"/>
          <w:szCs w:val="24"/>
        </w:rPr>
        <w:t xml:space="preserve"> in </w:t>
      </w:r>
      <w:r w:rsidRPr="00F23969">
        <w:rPr>
          <w:sz w:val="24"/>
          <w:szCs w:val="24"/>
        </w:rPr>
        <w:t>GPS 110</w:t>
      </w:r>
      <w:r w:rsidRPr="005E1700">
        <w:rPr>
          <w:sz w:val="24"/>
          <w:szCs w:val="24"/>
        </w:rPr>
        <w:t>.</w:t>
      </w:r>
    </w:p>
    <w:p w14:paraId="523EB337" w14:textId="77777777" w:rsidR="00591632" w:rsidRPr="003B393D" w:rsidRDefault="00591632" w:rsidP="00591632">
      <w:pPr>
        <w:pStyle w:val="BodyText"/>
        <w:numPr>
          <w:ilvl w:val="0"/>
          <w:numId w:val="0"/>
        </w:numPr>
        <w:ind w:left="567"/>
        <w:rPr>
          <w:b/>
          <w:sz w:val="24"/>
          <w:szCs w:val="24"/>
        </w:rPr>
      </w:pPr>
      <w:r w:rsidRPr="003B393D">
        <w:rPr>
          <w:b/>
          <w:sz w:val="24"/>
          <w:szCs w:val="24"/>
        </w:rPr>
        <w:t xml:space="preserve">Prudential matters </w:t>
      </w:r>
      <w:proofErr w:type="gramStart"/>
      <w:r w:rsidRPr="003B393D">
        <w:rPr>
          <w:sz w:val="24"/>
          <w:szCs w:val="24"/>
        </w:rPr>
        <w:t>has</w:t>
      </w:r>
      <w:proofErr w:type="gramEnd"/>
      <w:r w:rsidRPr="003B393D">
        <w:rPr>
          <w:sz w:val="24"/>
          <w:szCs w:val="24"/>
        </w:rPr>
        <w:t xml:space="preserve"> the same meaning as in the Act.</w:t>
      </w:r>
    </w:p>
    <w:p w14:paraId="523EB338" w14:textId="77777777" w:rsidR="00591632" w:rsidRDefault="00591632" w:rsidP="00591632">
      <w:pPr>
        <w:pStyle w:val="normaltextcharcharcharcharchar"/>
        <w:ind w:firstLine="0"/>
        <w:rPr>
          <w:rFonts w:ascii="Times New Roman" w:hAnsi="Times New Roman"/>
        </w:rPr>
      </w:pPr>
      <w:r w:rsidRPr="003B393D">
        <w:rPr>
          <w:rFonts w:ascii="Times New Roman" w:hAnsi="Times New Roman"/>
          <w:b/>
        </w:rPr>
        <w:t>Prudential requirements</w:t>
      </w:r>
      <w:r w:rsidRPr="003B393D">
        <w:rPr>
          <w:rFonts w:ascii="Times New Roman" w:hAnsi="Times New Roman"/>
        </w:rPr>
        <w:t xml:space="preserve"> </w:t>
      </w:r>
      <w:proofErr w:type="gramStart"/>
      <w:r w:rsidRPr="003B393D">
        <w:rPr>
          <w:rFonts w:ascii="Times New Roman" w:hAnsi="Times New Roman"/>
        </w:rPr>
        <w:t>includes</w:t>
      </w:r>
      <w:proofErr w:type="gramEnd"/>
      <w:r w:rsidRPr="003B393D">
        <w:rPr>
          <w:rFonts w:ascii="Times New Roman" w:hAnsi="Times New Roman"/>
        </w:rPr>
        <w:t xml:space="preserve"> requirements imposed by the Act, </w:t>
      </w:r>
      <w:r>
        <w:rPr>
          <w:rFonts w:ascii="Times New Roman" w:hAnsi="Times New Roman"/>
        </w:rPr>
        <w:t xml:space="preserve">the </w:t>
      </w:r>
      <w:r>
        <w:rPr>
          <w:rFonts w:ascii="Times New Roman" w:hAnsi="Times New Roman"/>
          <w:i/>
        </w:rPr>
        <w:t xml:space="preserve">Insurance </w:t>
      </w:r>
      <w:r w:rsidRPr="00361067">
        <w:rPr>
          <w:rFonts w:ascii="Times New Roman" w:hAnsi="Times New Roman"/>
          <w:i/>
        </w:rPr>
        <w:t>Regulations 2002</w:t>
      </w:r>
      <w:r>
        <w:rPr>
          <w:rFonts w:ascii="Times New Roman" w:hAnsi="Times New Roman"/>
        </w:rPr>
        <w:t xml:space="preserve">, </w:t>
      </w:r>
      <w:r w:rsidRPr="00553202">
        <w:rPr>
          <w:rFonts w:ascii="Times New Roman" w:hAnsi="Times New Roman"/>
        </w:rPr>
        <w:t>prudential</w:t>
      </w:r>
      <w:r w:rsidRPr="003B393D">
        <w:rPr>
          <w:rFonts w:ascii="Times New Roman" w:hAnsi="Times New Roman"/>
        </w:rPr>
        <w:t xml:space="preserve"> standards</w:t>
      </w:r>
      <w:r>
        <w:rPr>
          <w:rFonts w:ascii="Times New Roman" w:hAnsi="Times New Roman"/>
        </w:rPr>
        <w:t xml:space="preserve"> determined under the Act</w:t>
      </w:r>
      <w:r w:rsidRPr="003B393D">
        <w:rPr>
          <w:rFonts w:ascii="Times New Roman" w:hAnsi="Times New Roman"/>
        </w:rPr>
        <w:t xml:space="preserve">, the </w:t>
      </w:r>
      <w:r w:rsidRPr="00371CC1">
        <w:rPr>
          <w:rFonts w:ascii="Times New Roman" w:hAnsi="Times New Roman"/>
        </w:rPr>
        <w:t>Collection of Data Act</w:t>
      </w:r>
      <w:r w:rsidRPr="003B393D">
        <w:rPr>
          <w:rFonts w:ascii="Times New Roman" w:hAnsi="Times New Roman"/>
        </w:rPr>
        <w:t>, reporting standards</w:t>
      </w:r>
      <w:r>
        <w:rPr>
          <w:rFonts w:ascii="Times New Roman" w:hAnsi="Times New Roman"/>
        </w:rPr>
        <w:t>,</w:t>
      </w:r>
      <w:r w:rsidRPr="003B393D">
        <w:rPr>
          <w:rFonts w:ascii="Times New Roman" w:hAnsi="Times New Roman"/>
        </w:rPr>
        <w:t xml:space="preserve"> conditions</w:t>
      </w:r>
      <w:r>
        <w:rPr>
          <w:rFonts w:ascii="Times New Roman" w:hAnsi="Times New Roman"/>
        </w:rPr>
        <w:t xml:space="preserve"> imposed under the Act</w:t>
      </w:r>
      <w:r w:rsidRPr="003B393D">
        <w:rPr>
          <w:rFonts w:ascii="Times New Roman" w:hAnsi="Times New Roman"/>
        </w:rPr>
        <w:t xml:space="preserve"> on the insurer’s authorisation</w:t>
      </w:r>
      <w:r>
        <w:rPr>
          <w:rFonts w:ascii="Times New Roman" w:hAnsi="Times New Roman"/>
        </w:rPr>
        <w:t>, directions issued by APRA pursuant to the Act</w:t>
      </w:r>
      <w:r w:rsidRPr="003B393D">
        <w:rPr>
          <w:rFonts w:ascii="Times New Roman" w:hAnsi="Times New Roman"/>
        </w:rPr>
        <w:t xml:space="preserve"> and any other requirements imposed by APRA in writing.</w:t>
      </w:r>
    </w:p>
    <w:p w14:paraId="523EB339" w14:textId="77777777" w:rsidR="00591632" w:rsidRDefault="00591632" w:rsidP="00591632">
      <w:pPr>
        <w:pStyle w:val="BodyText"/>
        <w:numPr>
          <w:ilvl w:val="0"/>
          <w:numId w:val="0"/>
        </w:numPr>
        <w:ind w:left="567"/>
        <w:rPr>
          <w:b/>
          <w:sz w:val="24"/>
          <w:szCs w:val="24"/>
        </w:rPr>
      </w:pPr>
      <w:r w:rsidRPr="00052305">
        <w:rPr>
          <w:b/>
          <w:sz w:val="24"/>
          <w:szCs w:val="24"/>
        </w:rPr>
        <w:t>Regulated institutions</w:t>
      </w:r>
      <w:r w:rsidRPr="00B821A9">
        <w:rPr>
          <w:sz w:val="24"/>
          <w:szCs w:val="24"/>
        </w:rPr>
        <w:t xml:space="preserve"> </w:t>
      </w:r>
      <w:proofErr w:type="gramStart"/>
      <w:r>
        <w:rPr>
          <w:sz w:val="24"/>
          <w:szCs w:val="24"/>
        </w:rPr>
        <w:t>refers</w:t>
      </w:r>
      <w:proofErr w:type="gramEnd"/>
      <w:r>
        <w:rPr>
          <w:sz w:val="24"/>
          <w:szCs w:val="24"/>
        </w:rPr>
        <w:t xml:space="preserve"> collectively to both </w:t>
      </w:r>
      <w:r w:rsidRPr="00C51833">
        <w:rPr>
          <w:sz w:val="24"/>
          <w:szCs w:val="24"/>
        </w:rPr>
        <w:t>insurer</w:t>
      </w:r>
      <w:r>
        <w:rPr>
          <w:sz w:val="24"/>
          <w:szCs w:val="24"/>
        </w:rPr>
        <w:t>s and Level 2 insurance groups.</w:t>
      </w:r>
      <w:r>
        <w:rPr>
          <w:b/>
          <w:sz w:val="24"/>
          <w:szCs w:val="24"/>
        </w:rPr>
        <w:t xml:space="preserve"> </w:t>
      </w:r>
    </w:p>
    <w:p w14:paraId="523EB33A" w14:textId="77777777" w:rsidR="00591632" w:rsidRPr="003B393D" w:rsidRDefault="00591632" w:rsidP="00591632">
      <w:pPr>
        <w:pStyle w:val="BodyText"/>
        <w:numPr>
          <w:ilvl w:val="0"/>
          <w:numId w:val="0"/>
        </w:numPr>
        <w:ind w:left="567"/>
        <w:rPr>
          <w:b/>
          <w:sz w:val="24"/>
          <w:szCs w:val="24"/>
        </w:rPr>
      </w:pPr>
      <w:r w:rsidRPr="003B393D">
        <w:rPr>
          <w:b/>
          <w:sz w:val="24"/>
          <w:szCs w:val="24"/>
        </w:rPr>
        <w:t xml:space="preserve">Reinsurance </w:t>
      </w:r>
      <w:r w:rsidRPr="003B393D">
        <w:rPr>
          <w:sz w:val="24"/>
          <w:szCs w:val="24"/>
        </w:rPr>
        <w:t xml:space="preserve">includes retrocession and </w:t>
      </w:r>
      <w:r w:rsidRPr="008C3497">
        <w:rPr>
          <w:sz w:val="24"/>
          <w:szCs w:val="24"/>
        </w:rPr>
        <w:t>reinsurer</w:t>
      </w:r>
      <w:r w:rsidRPr="003B393D">
        <w:rPr>
          <w:sz w:val="24"/>
          <w:szCs w:val="24"/>
        </w:rPr>
        <w:t xml:space="preserve"> includes </w:t>
      </w:r>
      <w:proofErr w:type="spellStart"/>
      <w:r w:rsidRPr="003B393D">
        <w:rPr>
          <w:sz w:val="24"/>
          <w:szCs w:val="24"/>
        </w:rPr>
        <w:t>retrocessionaire</w:t>
      </w:r>
      <w:proofErr w:type="spellEnd"/>
      <w:r w:rsidRPr="003B393D">
        <w:rPr>
          <w:sz w:val="24"/>
          <w:szCs w:val="24"/>
        </w:rPr>
        <w:t>.</w:t>
      </w:r>
    </w:p>
    <w:p w14:paraId="523EB33B" w14:textId="77777777" w:rsidR="00591632" w:rsidRPr="00E977CC" w:rsidRDefault="00591632" w:rsidP="00591632">
      <w:pPr>
        <w:pStyle w:val="BodyText"/>
        <w:numPr>
          <w:ilvl w:val="0"/>
          <w:numId w:val="0"/>
        </w:numPr>
        <w:ind w:left="567"/>
        <w:rPr>
          <w:i/>
          <w:sz w:val="24"/>
          <w:szCs w:val="24"/>
        </w:rPr>
      </w:pPr>
      <w:r>
        <w:rPr>
          <w:b/>
          <w:sz w:val="24"/>
          <w:szCs w:val="24"/>
        </w:rPr>
        <w:t xml:space="preserve">Reinsurance Arrangements Statement </w:t>
      </w:r>
      <w:r>
        <w:rPr>
          <w:sz w:val="24"/>
          <w:szCs w:val="24"/>
        </w:rPr>
        <w:t xml:space="preserve">is as defined in </w:t>
      </w:r>
      <w:r>
        <w:rPr>
          <w:bCs/>
          <w:i/>
          <w:sz w:val="24"/>
          <w:szCs w:val="24"/>
        </w:rPr>
        <w:t>Prudential Standard GPS 230 Reinsurance Management</w:t>
      </w:r>
      <w:r>
        <w:rPr>
          <w:bCs/>
          <w:sz w:val="24"/>
          <w:szCs w:val="24"/>
        </w:rPr>
        <w:t xml:space="preserve"> (</w:t>
      </w:r>
      <w:r w:rsidRPr="00496352">
        <w:rPr>
          <w:bCs/>
          <w:sz w:val="24"/>
          <w:szCs w:val="24"/>
        </w:rPr>
        <w:t>GPS 230</w:t>
      </w:r>
      <w:r w:rsidRPr="00361067">
        <w:rPr>
          <w:bCs/>
          <w:sz w:val="24"/>
          <w:szCs w:val="24"/>
        </w:rPr>
        <w:t>)</w:t>
      </w:r>
      <w:r>
        <w:rPr>
          <w:bCs/>
          <w:sz w:val="24"/>
          <w:szCs w:val="24"/>
        </w:rPr>
        <w:t>.</w:t>
      </w:r>
      <w:r>
        <w:rPr>
          <w:sz w:val="24"/>
          <w:szCs w:val="24"/>
        </w:rPr>
        <w:t xml:space="preserve"> </w:t>
      </w:r>
    </w:p>
    <w:p w14:paraId="523EB33C" w14:textId="77777777" w:rsidR="00591632" w:rsidRPr="003B393D" w:rsidRDefault="00591632" w:rsidP="00591632">
      <w:pPr>
        <w:pStyle w:val="BodyText"/>
        <w:keepNext/>
        <w:numPr>
          <w:ilvl w:val="0"/>
          <w:numId w:val="0"/>
        </w:numPr>
        <w:ind w:left="567"/>
        <w:rPr>
          <w:sz w:val="24"/>
          <w:szCs w:val="24"/>
        </w:rPr>
      </w:pPr>
      <w:r w:rsidRPr="003B393D">
        <w:rPr>
          <w:b/>
          <w:sz w:val="24"/>
          <w:szCs w:val="24"/>
        </w:rPr>
        <w:lastRenderedPageBreak/>
        <w:t>Reinsurance assets</w:t>
      </w:r>
      <w:r w:rsidRPr="003B393D">
        <w:rPr>
          <w:sz w:val="24"/>
          <w:szCs w:val="24"/>
        </w:rPr>
        <w:t xml:space="preserve"> </w:t>
      </w:r>
      <w:r>
        <w:rPr>
          <w:sz w:val="24"/>
          <w:szCs w:val="24"/>
        </w:rPr>
        <w:t>in relation to an insurer or an entity that carries on international business within a Level 2 insurance group comprises</w:t>
      </w:r>
      <w:r w:rsidRPr="003B393D">
        <w:rPr>
          <w:sz w:val="24"/>
          <w:szCs w:val="24"/>
        </w:rPr>
        <w:t>:</w:t>
      </w:r>
    </w:p>
    <w:p w14:paraId="523EB33D" w14:textId="77777777" w:rsidR="00591632" w:rsidRDefault="00591632" w:rsidP="00591632">
      <w:pPr>
        <w:pStyle w:val="BodyText"/>
        <w:keepNext/>
        <w:numPr>
          <w:ilvl w:val="0"/>
          <w:numId w:val="11"/>
        </w:numPr>
        <w:rPr>
          <w:sz w:val="24"/>
          <w:szCs w:val="24"/>
        </w:rPr>
      </w:pPr>
      <w:r w:rsidRPr="003B393D">
        <w:rPr>
          <w:sz w:val="24"/>
          <w:szCs w:val="24"/>
        </w:rPr>
        <w:t xml:space="preserve">reinsurance </w:t>
      </w:r>
      <w:proofErr w:type="spellStart"/>
      <w:r w:rsidRPr="003B393D">
        <w:rPr>
          <w:sz w:val="24"/>
          <w:szCs w:val="24"/>
        </w:rPr>
        <w:t>recoverables</w:t>
      </w:r>
      <w:proofErr w:type="spellEnd"/>
      <w:r w:rsidRPr="003B393D">
        <w:rPr>
          <w:sz w:val="24"/>
          <w:szCs w:val="24"/>
        </w:rPr>
        <w:t>; and</w:t>
      </w:r>
    </w:p>
    <w:p w14:paraId="523EB33E" w14:textId="77777777" w:rsidR="00591632" w:rsidRPr="00B821A9" w:rsidRDefault="00591632" w:rsidP="00591632">
      <w:pPr>
        <w:pStyle w:val="BodyText"/>
        <w:numPr>
          <w:ilvl w:val="0"/>
          <w:numId w:val="11"/>
        </w:numPr>
        <w:rPr>
          <w:sz w:val="24"/>
          <w:szCs w:val="24"/>
        </w:rPr>
      </w:pPr>
      <w:r w:rsidRPr="00B821A9">
        <w:rPr>
          <w:sz w:val="24"/>
          <w:szCs w:val="24"/>
        </w:rPr>
        <w:t>deferred reinsurance expense.</w:t>
      </w:r>
    </w:p>
    <w:p w14:paraId="523EB33F" w14:textId="77777777" w:rsidR="00591632" w:rsidRDefault="00591632" w:rsidP="00591632">
      <w:pPr>
        <w:pStyle w:val="BodyText"/>
        <w:numPr>
          <w:ilvl w:val="0"/>
          <w:numId w:val="0"/>
        </w:numPr>
        <w:ind w:left="567"/>
        <w:rPr>
          <w:bCs/>
          <w:sz w:val="24"/>
          <w:szCs w:val="24"/>
        </w:rPr>
      </w:pPr>
      <w:r w:rsidRPr="00052305">
        <w:rPr>
          <w:b/>
          <w:bCs/>
          <w:sz w:val="24"/>
          <w:szCs w:val="24"/>
        </w:rPr>
        <w:t>Reinsurance classes of business</w:t>
      </w:r>
      <w:r w:rsidRPr="00B821A9">
        <w:rPr>
          <w:bCs/>
          <w:sz w:val="24"/>
          <w:szCs w:val="24"/>
        </w:rPr>
        <w:t xml:space="preserve"> are</w:t>
      </w:r>
      <w:r>
        <w:rPr>
          <w:bCs/>
          <w:sz w:val="24"/>
          <w:szCs w:val="24"/>
        </w:rPr>
        <w:t xml:space="preserve"> as defined in Attachment B of this Prudential Standard.</w:t>
      </w:r>
    </w:p>
    <w:p w14:paraId="523EB340" w14:textId="77777777" w:rsidR="00591632" w:rsidRPr="00781581" w:rsidRDefault="00591632" w:rsidP="00591632">
      <w:pPr>
        <w:pStyle w:val="BodyText"/>
        <w:numPr>
          <w:ilvl w:val="0"/>
          <w:numId w:val="0"/>
        </w:numPr>
        <w:ind w:left="567"/>
        <w:rPr>
          <w:bCs/>
          <w:i/>
          <w:sz w:val="24"/>
          <w:szCs w:val="24"/>
        </w:rPr>
      </w:pPr>
      <w:r>
        <w:rPr>
          <w:b/>
          <w:bCs/>
          <w:sz w:val="24"/>
          <w:szCs w:val="24"/>
        </w:rPr>
        <w:t xml:space="preserve">Reinsurance Management Strategy </w:t>
      </w:r>
      <w:r w:rsidRPr="00F23969">
        <w:rPr>
          <w:bCs/>
          <w:sz w:val="24"/>
          <w:szCs w:val="24"/>
        </w:rPr>
        <w:t xml:space="preserve">is as defined in </w:t>
      </w:r>
      <w:r w:rsidRPr="00E977CC">
        <w:rPr>
          <w:bCs/>
          <w:sz w:val="24"/>
          <w:szCs w:val="24"/>
        </w:rPr>
        <w:t>GPS 230.</w:t>
      </w:r>
      <w:r>
        <w:rPr>
          <w:bCs/>
          <w:i/>
          <w:sz w:val="24"/>
          <w:szCs w:val="24"/>
        </w:rPr>
        <w:t xml:space="preserve"> </w:t>
      </w:r>
    </w:p>
    <w:p w14:paraId="523EB341" w14:textId="419EE1C0" w:rsidR="00591632" w:rsidRPr="003B393D" w:rsidRDefault="00591632" w:rsidP="00591632">
      <w:pPr>
        <w:pStyle w:val="BodyText"/>
        <w:numPr>
          <w:ilvl w:val="0"/>
          <w:numId w:val="0"/>
        </w:numPr>
        <w:ind w:left="567"/>
        <w:rPr>
          <w:bCs/>
          <w:sz w:val="24"/>
          <w:szCs w:val="24"/>
        </w:rPr>
      </w:pPr>
      <w:r w:rsidRPr="003B393D">
        <w:rPr>
          <w:b/>
          <w:bCs/>
          <w:sz w:val="24"/>
          <w:szCs w:val="24"/>
        </w:rPr>
        <w:t xml:space="preserve">Reinsurance </w:t>
      </w:r>
      <w:proofErr w:type="spellStart"/>
      <w:r w:rsidRPr="003B393D">
        <w:rPr>
          <w:b/>
          <w:bCs/>
          <w:sz w:val="24"/>
          <w:szCs w:val="24"/>
        </w:rPr>
        <w:t>recoverables</w:t>
      </w:r>
      <w:proofErr w:type="spellEnd"/>
      <w:r w:rsidRPr="003B393D">
        <w:rPr>
          <w:bCs/>
          <w:sz w:val="24"/>
          <w:szCs w:val="24"/>
        </w:rPr>
        <w:t xml:space="preserve"> means any amounts due to an insurer, or to an entity that carries on international business within a Level 2 insurance group, from a reinsurer that arise from the recognition of </w:t>
      </w:r>
      <w:r>
        <w:rPr>
          <w:bCs/>
          <w:sz w:val="24"/>
          <w:szCs w:val="24"/>
        </w:rPr>
        <w:t>o</w:t>
      </w:r>
      <w:r w:rsidRPr="003B393D">
        <w:rPr>
          <w:bCs/>
          <w:sz w:val="24"/>
          <w:szCs w:val="24"/>
        </w:rPr>
        <w:t xml:space="preserve">utstanding </w:t>
      </w:r>
      <w:r>
        <w:rPr>
          <w:bCs/>
          <w:sz w:val="24"/>
          <w:szCs w:val="24"/>
        </w:rPr>
        <w:t>c</w:t>
      </w:r>
      <w:r w:rsidRPr="003B393D">
        <w:rPr>
          <w:bCs/>
          <w:sz w:val="24"/>
          <w:szCs w:val="24"/>
        </w:rPr>
        <w:t xml:space="preserve">laims </w:t>
      </w:r>
      <w:r>
        <w:rPr>
          <w:bCs/>
          <w:sz w:val="24"/>
          <w:szCs w:val="24"/>
        </w:rPr>
        <w:t>l</w:t>
      </w:r>
      <w:r w:rsidRPr="003B393D">
        <w:rPr>
          <w:bCs/>
          <w:sz w:val="24"/>
          <w:szCs w:val="24"/>
        </w:rPr>
        <w:t xml:space="preserve">iabilities referred to in the capital standards </w:t>
      </w:r>
      <w:r w:rsidRPr="007A0D2D">
        <w:rPr>
          <w:bCs/>
          <w:sz w:val="24"/>
          <w:szCs w:val="24"/>
        </w:rPr>
        <w:t xml:space="preserve">and </w:t>
      </w:r>
      <w:r w:rsidR="00275023">
        <w:rPr>
          <w:bCs/>
          <w:sz w:val="24"/>
          <w:szCs w:val="24"/>
        </w:rPr>
        <w:t>C</w:t>
      </w:r>
      <w:r w:rsidRPr="00F23969">
        <w:rPr>
          <w:bCs/>
          <w:sz w:val="24"/>
          <w:szCs w:val="24"/>
        </w:rPr>
        <w:t>PS 320</w:t>
      </w:r>
      <w:r w:rsidRPr="007A0D2D">
        <w:rPr>
          <w:bCs/>
          <w:i/>
          <w:sz w:val="24"/>
          <w:szCs w:val="24"/>
        </w:rPr>
        <w:t>.</w:t>
      </w:r>
      <w:r w:rsidRPr="000E129C">
        <w:rPr>
          <w:bCs/>
          <w:i/>
          <w:sz w:val="24"/>
          <w:szCs w:val="24"/>
        </w:rPr>
        <w:t xml:space="preserve"> </w:t>
      </w:r>
      <w:r w:rsidRPr="007A0D2D">
        <w:rPr>
          <w:bCs/>
          <w:sz w:val="24"/>
          <w:szCs w:val="24"/>
        </w:rPr>
        <w:t>This is distinguished fro</w:t>
      </w:r>
      <w:r w:rsidRPr="003B393D">
        <w:rPr>
          <w:bCs/>
          <w:sz w:val="24"/>
          <w:szCs w:val="24"/>
        </w:rPr>
        <w:t xml:space="preserve">m expected reinsurance recoveries and forms part of reinsurance assets. </w:t>
      </w:r>
    </w:p>
    <w:p w14:paraId="523EB342" w14:textId="77777777" w:rsidR="00591632" w:rsidRPr="00B821A9" w:rsidRDefault="00591632" w:rsidP="00591632">
      <w:pPr>
        <w:pStyle w:val="BodyText"/>
        <w:numPr>
          <w:ilvl w:val="0"/>
          <w:numId w:val="0"/>
        </w:numPr>
        <w:ind w:left="567"/>
        <w:rPr>
          <w:sz w:val="24"/>
          <w:szCs w:val="24"/>
        </w:rPr>
      </w:pPr>
      <w:r w:rsidRPr="003B393D">
        <w:rPr>
          <w:b/>
          <w:sz w:val="24"/>
          <w:szCs w:val="24"/>
        </w:rPr>
        <w:t>Related body corporate</w:t>
      </w:r>
      <w:r w:rsidRPr="003B393D">
        <w:rPr>
          <w:sz w:val="24"/>
          <w:szCs w:val="24"/>
        </w:rPr>
        <w:t xml:space="preserve">, or </w:t>
      </w:r>
      <w:r w:rsidRPr="003B393D">
        <w:rPr>
          <w:b/>
          <w:sz w:val="24"/>
          <w:szCs w:val="24"/>
        </w:rPr>
        <w:t>related company</w:t>
      </w:r>
      <w:r w:rsidRPr="003B393D">
        <w:rPr>
          <w:sz w:val="24"/>
          <w:szCs w:val="24"/>
        </w:rPr>
        <w:t xml:space="preserve">, has the same meaning as in </w:t>
      </w:r>
      <w:r w:rsidRPr="00B821A9">
        <w:rPr>
          <w:sz w:val="24"/>
          <w:szCs w:val="24"/>
        </w:rPr>
        <w:t>section 50 of the Corporations Act.</w:t>
      </w:r>
    </w:p>
    <w:p w14:paraId="523EB343" w14:textId="77777777" w:rsidR="00591632" w:rsidRDefault="00591632" w:rsidP="00591632">
      <w:pPr>
        <w:spacing w:after="240"/>
        <w:ind w:left="567"/>
        <w:jc w:val="both"/>
        <w:rPr>
          <w:bCs/>
        </w:rPr>
      </w:pPr>
      <w:r w:rsidRPr="00213DAE">
        <w:rPr>
          <w:b/>
          <w:bCs/>
        </w:rPr>
        <w:t xml:space="preserve">Related </w:t>
      </w:r>
      <w:r>
        <w:rPr>
          <w:b/>
          <w:bCs/>
        </w:rPr>
        <w:t>e</w:t>
      </w:r>
      <w:r w:rsidRPr="00213DAE">
        <w:rPr>
          <w:b/>
          <w:bCs/>
        </w:rPr>
        <w:t>ntity</w:t>
      </w:r>
      <w:r>
        <w:rPr>
          <w:bCs/>
        </w:rPr>
        <w:t xml:space="preserve"> </w:t>
      </w:r>
      <w:r w:rsidRPr="00645F36">
        <w:rPr>
          <w:bCs/>
        </w:rPr>
        <w:t>means an entity which is a ‘related party’ within the meaning of the relevant Australian Accounting Standards.</w:t>
      </w:r>
    </w:p>
    <w:p w14:paraId="523EB344" w14:textId="77777777" w:rsidR="00591632" w:rsidRPr="00B821A9" w:rsidRDefault="00591632" w:rsidP="00591632">
      <w:pPr>
        <w:pStyle w:val="BodyText"/>
        <w:numPr>
          <w:ilvl w:val="0"/>
          <w:numId w:val="0"/>
        </w:numPr>
        <w:ind w:left="567"/>
        <w:rPr>
          <w:sz w:val="24"/>
          <w:szCs w:val="24"/>
        </w:rPr>
      </w:pPr>
      <w:r w:rsidRPr="00B821A9">
        <w:rPr>
          <w:b/>
          <w:sz w:val="24"/>
          <w:szCs w:val="24"/>
        </w:rPr>
        <w:t>Related firms</w:t>
      </w:r>
      <w:r w:rsidRPr="00B821A9">
        <w:rPr>
          <w:sz w:val="24"/>
          <w:szCs w:val="24"/>
        </w:rPr>
        <w:t>, in the context of Appointed Auditors, Appointed Actuaries and Reviewing Actuaries, means either two or more firms, or a firm and a body corporate, that have common ownership or management, or where one has a substantial shareholding in the other.</w:t>
      </w:r>
    </w:p>
    <w:p w14:paraId="523EB345" w14:textId="77777777" w:rsidR="00591632" w:rsidRPr="00B821A9" w:rsidRDefault="00591632" w:rsidP="00591632">
      <w:pPr>
        <w:pStyle w:val="BodyText"/>
        <w:numPr>
          <w:ilvl w:val="0"/>
          <w:numId w:val="0"/>
        </w:numPr>
        <w:ind w:left="567"/>
        <w:rPr>
          <w:sz w:val="24"/>
          <w:szCs w:val="24"/>
        </w:rPr>
      </w:pPr>
      <w:r w:rsidRPr="00052305">
        <w:rPr>
          <w:b/>
          <w:sz w:val="24"/>
          <w:szCs w:val="24"/>
        </w:rPr>
        <w:t xml:space="preserve">Reporting period </w:t>
      </w:r>
      <w:r w:rsidRPr="00B821A9">
        <w:rPr>
          <w:sz w:val="24"/>
          <w:szCs w:val="24"/>
        </w:rPr>
        <w:t xml:space="preserve">is the period that the insurer or Level 2 insurance group is required to report under the relevant reporting standards made under the </w:t>
      </w:r>
      <w:r w:rsidRPr="00F23969">
        <w:rPr>
          <w:sz w:val="24"/>
          <w:szCs w:val="24"/>
        </w:rPr>
        <w:t>Collection of Data Act</w:t>
      </w:r>
      <w:r w:rsidRPr="008D6DB6">
        <w:rPr>
          <w:sz w:val="24"/>
          <w:szCs w:val="24"/>
        </w:rPr>
        <w:t>.</w:t>
      </w:r>
    </w:p>
    <w:p w14:paraId="523EB346" w14:textId="77777777" w:rsidR="00591632" w:rsidRPr="00B821A9" w:rsidRDefault="00591632" w:rsidP="00591632">
      <w:pPr>
        <w:pStyle w:val="BodyText"/>
        <w:numPr>
          <w:ilvl w:val="0"/>
          <w:numId w:val="0"/>
        </w:numPr>
        <w:ind w:left="567"/>
        <w:rPr>
          <w:b/>
          <w:sz w:val="24"/>
          <w:szCs w:val="24"/>
        </w:rPr>
      </w:pPr>
      <w:r w:rsidRPr="00052305">
        <w:rPr>
          <w:b/>
          <w:sz w:val="24"/>
          <w:szCs w:val="24"/>
        </w:rPr>
        <w:t>Reporting date</w:t>
      </w:r>
      <w:r w:rsidRPr="00B821A9">
        <w:rPr>
          <w:b/>
          <w:sz w:val="24"/>
          <w:szCs w:val="24"/>
        </w:rPr>
        <w:t xml:space="preserve"> </w:t>
      </w:r>
      <w:r w:rsidRPr="00B821A9">
        <w:rPr>
          <w:sz w:val="24"/>
          <w:szCs w:val="24"/>
        </w:rPr>
        <w:t>is the last day of the reporting period of the insurer or Level 2 insurance group.</w:t>
      </w:r>
      <w:r w:rsidRPr="00052305">
        <w:rPr>
          <w:b/>
          <w:sz w:val="24"/>
          <w:szCs w:val="24"/>
        </w:rPr>
        <w:t xml:space="preserve">   </w:t>
      </w:r>
    </w:p>
    <w:p w14:paraId="523EB347" w14:textId="77777777" w:rsidR="00591632" w:rsidRPr="007A0D2D" w:rsidRDefault="00591632" w:rsidP="00591632">
      <w:pPr>
        <w:pStyle w:val="BodyText"/>
        <w:numPr>
          <w:ilvl w:val="0"/>
          <w:numId w:val="0"/>
        </w:numPr>
        <w:ind w:left="567"/>
        <w:rPr>
          <w:sz w:val="24"/>
          <w:szCs w:val="24"/>
        </w:rPr>
      </w:pPr>
      <w:r w:rsidRPr="003B393D">
        <w:rPr>
          <w:b/>
          <w:sz w:val="24"/>
          <w:szCs w:val="24"/>
        </w:rPr>
        <w:t xml:space="preserve">Responsible auditor </w:t>
      </w:r>
      <w:r w:rsidRPr="003B393D">
        <w:rPr>
          <w:sz w:val="24"/>
          <w:szCs w:val="24"/>
        </w:rPr>
        <w:t xml:space="preserve">is as defined </w:t>
      </w:r>
      <w:r w:rsidRPr="007A0D2D">
        <w:rPr>
          <w:sz w:val="24"/>
          <w:szCs w:val="24"/>
        </w:rPr>
        <w:t xml:space="preserve">in </w:t>
      </w:r>
      <w:r w:rsidRPr="007A0D2D">
        <w:rPr>
          <w:i/>
          <w:sz w:val="24"/>
          <w:szCs w:val="24"/>
        </w:rPr>
        <w:t>Prudential Standard C</w:t>
      </w:r>
      <w:r>
        <w:rPr>
          <w:i/>
          <w:sz w:val="24"/>
          <w:szCs w:val="24"/>
        </w:rPr>
        <w:t>PS 520 Fit and Proper</w:t>
      </w:r>
      <w:r>
        <w:rPr>
          <w:sz w:val="24"/>
          <w:szCs w:val="24"/>
        </w:rPr>
        <w:t>.</w:t>
      </w:r>
    </w:p>
    <w:p w14:paraId="523EB348" w14:textId="56C0A9A6" w:rsidR="00591632" w:rsidRPr="007A0D2D" w:rsidRDefault="00591632" w:rsidP="00591632">
      <w:pPr>
        <w:pStyle w:val="BodyText"/>
        <w:numPr>
          <w:ilvl w:val="0"/>
          <w:numId w:val="0"/>
        </w:numPr>
        <w:ind w:left="567"/>
        <w:rPr>
          <w:i/>
          <w:sz w:val="24"/>
          <w:szCs w:val="24"/>
        </w:rPr>
      </w:pPr>
      <w:r w:rsidRPr="007A0D2D">
        <w:rPr>
          <w:b/>
          <w:sz w:val="24"/>
          <w:szCs w:val="24"/>
        </w:rPr>
        <w:t>Reviewing Actuary</w:t>
      </w:r>
      <w:r w:rsidRPr="007A0D2D">
        <w:rPr>
          <w:sz w:val="24"/>
          <w:szCs w:val="24"/>
        </w:rPr>
        <w:t xml:space="preserve"> means an actuary appointed by an insurer for the purpose of reviewing the </w:t>
      </w:r>
      <w:r w:rsidR="00CF01CA">
        <w:rPr>
          <w:sz w:val="24"/>
          <w:szCs w:val="24"/>
        </w:rPr>
        <w:t>A</w:t>
      </w:r>
      <w:r>
        <w:rPr>
          <w:sz w:val="24"/>
          <w:szCs w:val="24"/>
        </w:rPr>
        <w:t>VR</w:t>
      </w:r>
      <w:r w:rsidRPr="007A0D2D">
        <w:rPr>
          <w:sz w:val="24"/>
          <w:szCs w:val="24"/>
        </w:rPr>
        <w:t xml:space="preserve"> under </w:t>
      </w:r>
      <w:r w:rsidR="00275023">
        <w:rPr>
          <w:sz w:val="24"/>
          <w:szCs w:val="24"/>
        </w:rPr>
        <w:t>C</w:t>
      </w:r>
      <w:r w:rsidRPr="00F23969">
        <w:rPr>
          <w:sz w:val="24"/>
          <w:szCs w:val="24"/>
        </w:rPr>
        <w:t>PS 320</w:t>
      </w:r>
      <w:r>
        <w:rPr>
          <w:sz w:val="24"/>
          <w:szCs w:val="24"/>
        </w:rPr>
        <w:t>.</w:t>
      </w:r>
    </w:p>
    <w:p w14:paraId="523EB349" w14:textId="77777777" w:rsidR="00591632" w:rsidRDefault="00591632" w:rsidP="00591632">
      <w:pPr>
        <w:pStyle w:val="BodyText"/>
        <w:numPr>
          <w:ilvl w:val="0"/>
          <w:numId w:val="0"/>
        </w:numPr>
        <w:ind w:left="567"/>
        <w:rPr>
          <w:sz w:val="24"/>
          <w:szCs w:val="24"/>
        </w:rPr>
      </w:pPr>
      <w:r>
        <w:rPr>
          <w:b/>
          <w:sz w:val="24"/>
          <w:szCs w:val="24"/>
        </w:rPr>
        <w:t xml:space="preserve">Risk </w:t>
      </w:r>
      <w:r w:rsidR="00331222">
        <w:rPr>
          <w:b/>
          <w:sz w:val="24"/>
          <w:szCs w:val="24"/>
        </w:rPr>
        <w:t>m</w:t>
      </w:r>
      <w:r>
        <w:rPr>
          <w:b/>
          <w:sz w:val="24"/>
          <w:szCs w:val="24"/>
        </w:rPr>
        <w:t xml:space="preserve">anagement </w:t>
      </w:r>
      <w:r w:rsidR="00331222">
        <w:rPr>
          <w:b/>
          <w:sz w:val="24"/>
          <w:szCs w:val="24"/>
        </w:rPr>
        <w:t>d</w:t>
      </w:r>
      <w:r>
        <w:rPr>
          <w:b/>
          <w:sz w:val="24"/>
          <w:szCs w:val="24"/>
        </w:rPr>
        <w:t>eclaration</w:t>
      </w:r>
      <w:r>
        <w:rPr>
          <w:sz w:val="24"/>
          <w:szCs w:val="24"/>
        </w:rPr>
        <w:t xml:space="preserve"> is as defined in </w:t>
      </w:r>
      <w:r w:rsidR="0027374C">
        <w:rPr>
          <w:sz w:val="24"/>
          <w:szCs w:val="24"/>
        </w:rPr>
        <w:t xml:space="preserve">CPS </w:t>
      </w:r>
      <w:r>
        <w:rPr>
          <w:sz w:val="24"/>
          <w:szCs w:val="24"/>
        </w:rPr>
        <w:t xml:space="preserve">220. </w:t>
      </w:r>
    </w:p>
    <w:p w14:paraId="523EB34A" w14:textId="77777777" w:rsidR="00591632" w:rsidRDefault="00591632" w:rsidP="00591632">
      <w:pPr>
        <w:pStyle w:val="BodyText"/>
        <w:numPr>
          <w:ilvl w:val="0"/>
          <w:numId w:val="0"/>
        </w:numPr>
        <w:ind w:left="567"/>
        <w:rPr>
          <w:sz w:val="24"/>
          <w:szCs w:val="24"/>
        </w:rPr>
      </w:pPr>
      <w:r>
        <w:rPr>
          <w:b/>
          <w:sz w:val="24"/>
          <w:szCs w:val="24"/>
        </w:rPr>
        <w:t>Risk management framework</w:t>
      </w:r>
      <w:r>
        <w:rPr>
          <w:sz w:val="24"/>
          <w:szCs w:val="24"/>
        </w:rPr>
        <w:t xml:space="preserve"> is as defined in </w:t>
      </w:r>
      <w:r w:rsidR="0027374C">
        <w:rPr>
          <w:sz w:val="24"/>
          <w:szCs w:val="24"/>
        </w:rPr>
        <w:t xml:space="preserve">CPS </w:t>
      </w:r>
      <w:r>
        <w:rPr>
          <w:sz w:val="24"/>
          <w:szCs w:val="24"/>
        </w:rPr>
        <w:t xml:space="preserve">220. </w:t>
      </w:r>
    </w:p>
    <w:p w14:paraId="523EB34B" w14:textId="77777777" w:rsidR="00591632" w:rsidRPr="00157E03" w:rsidRDefault="00591632" w:rsidP="00591632">
      <w:pPr>
        <w:pStyle w:val="BodyText"/>
        <w:numPr>
          <w:ilvl w:val="0"/>
          <w:numId w:val="0"/>
        </w:numPr>
        <w:ind w:left="567"/>
        <w:rPr>
          <w:sz w:val="24"/>
          <w:szCs w:val="24"/>
        </w:rPr>
      </w:pPr>
      <w:r>
        <w:rPr>
          <w:b/>
          <w:sz w:val="24"/>
          <w:szCs w:val="24"/>
        </w:rPr>
        <w:t xml:space="preserve">Risk </w:t>
      </w:r>
      <w:r w:rsidR="00331222">
        <w:rPr>
          <w:b/>
          <w:sz w:val="24"/>
          <w:szCs w:val="24"/>
        </w:rPr>
        <w:t>m</w:t>
      </w:r>
      <w:r>
        <w:rPr>
          <w:b/>
          <w:sz w:val="24"/>
          <w:szCs w:val="24"/>
        </w:rPr>
        <w:t xml:space="preserve">anagement </w:t>
      </w:r>
      <w:r w:rsidR="00331222">
        <w:rPr>
          <w:b/>
          <w:sz w:val="24"/>
          <w:szCs w:val="24"/>
        </w:rPr>
        <w:t>s</w:t>
      </w:r>
      <w:r>
        <w:rPr>
          <w:b/>
          <w:sz w:val="24"/>
          <w:szCs w:val="24"/>
        </w:rPr>
        <w:t>trategy</w:t>
      </w:r>
      <w:r>
        <w:rPr>
          <w:sz w:val="24"/>
          <w:szCs w:val="24"/>
        </w:rPr>
        <w:t xml:space="preserve"> is as defined in </w:t>
      </w:r>
      <w:r w:rsidR="0027374C">
        <w:rPr>
          <w:sz w:val="24"/>
          <w:szCs w:val="24"/>
        </w:rPr>
        <w:t xml:space="preserve">CPS </w:t>
      </w:r>
      <w:r>
        <w:rPr>
          <w:sz w:val="24"/>
          <w:szCs w:val="24"/>
        </w:rPr>
        <w:t xml:space="preserve">220. </w:t>
      </w:r>
    </w:p>
    <w:p w14:paraId="523EB34C" w14:textId="77777777" w:rsidR="00591632" w:rsidRPr="007A0D2D" w:rsidRDefault="00591632" w:rsidP="00591632">
      <w:pPr>
        <w:pStyle w:val="BodyText"/>
        <w:numPr>
          <w:ilvl w:val="0"/>
          <w:numId w:val="0"/>
        </w:numPr>
        <w:ind w:left="567"/>
        <w:rPr>
          <w:sz w:val="24"/>
          <w:szCs w:val="24"/>
        </w:rPr>
      </w:pPr>
      <w:r w:rsidRPr="007A0D2D">
        <w:rPr>
          <w:b/>
          <w:sz w:val="24"/>
          <w:szCs w:val="24"/>
        </w:rPr>
        <w:t>Run-off insurer</w:t>
      </w:r>
      <w:r w:rsidRPr="007A0D2D">
        <w:rPr>
          <w:sz w:val="24"/>
          <w:szCs w:val="24"/>
        </w:rPr>
        <w:t xml:space="preserve"> means an insurer that is closed to new business and has not written renewal business for a period of at least 12 months. </w:t>
      </w:r>
    </w:p>
    <w:p w14:paraId="523EB34D" w14:textId="77777777" w:rsidR="00591632" w:rsidRDefault="00591632" w:rsidP="00591632">
      <w:pPr>
        <w:pStyle w:val="BodyText"/>
        <w:numPr>
          <w:ilvl w:val="0"/>
          <w:numId w:val="0"/>
        </w:numPr>
        <w:ind w:left="567"/>
        <w:rPr>
          <w:sz w:val="24"/>
          <w:szCs w:val="24"/>
        </w:rPr>
      </w:pPr>
      <w:r w:rsidRPr="007A0D2D">
        <w:rPr>
          <w:b/>
          <w:sz w:val="24"/>
          <w:szCs w:val="24"/>
        </w:rPr>
        <w:t>Senior manager</w:t>
      </w:r>
      <w:r w:rsidRPr="007A0D2D">
        <w:rPr>
          <w:sz w:val="24"/>
          <w:szCs w:val="24"/>
        </w:rPr>
        <w:t xml:space="preserve"> has the same meaning as in the Act.</w:t>
      </w:r>
    </w:p>
    <w:p w14:paraId="523EB34E" w14:textId="77777777" w:rsidR="00591632" w:rsidRPr="003C6B96" w:rsidRDefault="00591632" w:rsidP="00591632">
      <w:pPr>
        <w:pStyle w:val="BodyText"/>
        <w:numPr>
          <w:ilvl w:val="0"/>
          <w:numId w:val="0"/>
        </w:numPr>
        <w:ind w:left="567"/>
        <w:rPr>
          <w:sz w:val="24"/>
          <w:szCs w:val="24"/>
        </w:rPr>
      </w:pPr>
      <w:r>
        <w:rPr>
          <w:b/>
          <w:sz w:val="24"/>
          <w:szCs w:val="24"/>
        </w:rPr>
        <w:lastRenderedPageBreak/>
        <w:t xml:space="preserve">Senior officer outside Australia </w:t>
      </w:r>
      <w:r>
        <w:rPr>
          <w:sz w:val="24"/>
          <w:szCs w:val="24"/>
        </w:rPr>
        <w:t xml:space="preserve">is as defined in </w:t>
      </w:r>
      <w:r w:rsidRPr="003C6B96">
        <w:rPr>
          <w:i/>
          <w:sz w:val="24"/>
          <w:szCs w:val="24"/>
        </w:rPr>
        <w:t>Prudential Standard CPS 510 Governance</w:t>
      </w:r>
      <w:r>
        <w:rPr>
          <w:sz w:val="24"/>
          <w:szCs w:val="24"/>
        </w:rPr>
        <w:t>.</w:t>
      </w:r>
    </w:p>
    <w:p w14:paraId="523EB34F" w14:textId="77777777" w:rsidR="00591632" w:rsidRPr="007A0D2D" w:rsidRDefault="00591632" w:rsidP="00591632">
      <w:pPr>
        <w:pStyle w:val="BodyText"/>
        <w:keepNext/>
        <w:numPr>
          <w:ilvl w:val="0"/>
          <w:numId w:val="0"/>
        </w:numPr>
        <w:ind w:left="567"/>
        <w:rPr>
          <w:sz w:val="24"/>
          <w:szCs w:val="24"/>
        </w:rPr>
      </w:pPr>
      <w:r w:rsidRPr="007A0D2D">
        <w:rPr>
          <w:b/>
          <w:sz w:val="24"/>
          <w:szCs w:val="24"/>
        </w:rPr>
        <w:t>Small insurer</w:t>
      </w:r>
      <w:r w:rsidRPr="007A0D2D">
        <w:rPr>
          <w:sz w:val="24"/>
          <w:szCs w:val="24"/>
        </w:rPr>
        <w:t xml:space="preserve"> means an insurer that satisfies the following criteria:</w:t>
      </w:r>
    </w:p>
    <w:p w14:paraId="523EB350" w14:textId="383927D6" w:rsidR="00591632" w:rsidRPr="007A0D2D" w:rsidRDefault="00591632" w:rsidP="00591632">
      <w:pPr>
        <w:pStyle w:val="BodyText"/>
        <w:keepNext/>
        <w:numPr>
          <w:ilvl w:val="0"/>
          <w:numId w:val="5"/>
        </w:numPr>
        <w:rPr>
          <w:sz w:val="24"/>
          <w:szCs w:val="24"/>
        </w:rPr>
      </w:pPr>
      <w:r w:rsidRPr="007A0D2D">
        <w:rPr>
          <w:sz w:val="24"/>
          <w:szCs w:val="24"/>
        </w:rPr>
        <w:t xml:space="preserve">the gross insurance liabilities of the insurer are less than $20 million when valued in accordance with </w:t>
      </w:r>
      <w:r w:rsidR="00275023">
        <w:rPr>
          <w:sz w:val="24"/>
          <w:szCs w:val="24"/>
        </w:rPr>
        <w:t>C</w:t>
      </w:r>
      <w:r w:rsidRPr="00F23969">
        <w:rPr>
          <w:sz w:val="24"/>
          <w:szCs w:val="24"/>
        </w:rPr>
        <w:t>PS 320</w:t>
      </w:r>
      <w:r>
        <w:rPr>
          <w:sz w:val="24"/>
          <w:szCs w:val="24"/>
        </w:rPr>
        <w:t>;</w:t>
      </w:r>
      <w:r w:rsidRPr="007A0D2D">
        <w:rPr>
          <w:sz w:val="24"/>
          <w:szCs w:val="24"/>
        </w:rPr>
        <w:t xml:space="preserve"> and</w:t>
      </w:r>
    </w:p>
    <w:p w14:paraId="523EB351" w14:textId="77777777" w:rsidR="00591632" w:rsidRDefault="00591632" w:rsidP="00591632">
      <w:pPr>
        <w:pStyle w:val="BodyText"/>
        <w:numPr>
          <w:ilvl w:val="0"/>
          <w:numId w:val="5"/>
        </w:numPr>
        <w:rPr>
          <w:sz w:val="24"/>
          <w:szCs w:val="24"/>
        </w:rPr>
      </w:pPr>
      <w:r w:rsidRPr="003B393D">
        <w:rPr>
          <w:sz w:val="24"/>
          <w:szCs w:val="24"/>
        </w:rPr>
        <w:t>the gross insurance liabilities of the insurer do not include a material amount in respect of long-tail business (comprising classes of business where the claims are typically settled more than one year after the date of occurrence of the event that gives rise to the claim).</w:t>
      </w:r>
    </w:p>
    <w:p w14:paraId="523EB352" w14:textId="77777777" w:rsidR="00591632" w:rsidRPr="00157E03" w:rsidRDefault="00591632" w:rsidP="00591632">
      <w:pPr>
        <w:pStyle w:val="BodyText"/>
        <w:numPr>
          <w:ilvl w:val="0"/>
          <w:numId w:val="0"/>
        </w:numPr>
        <w:ind w:left="567"/>
        <w:rPr>
          <w:sz w:val="24"/>
          <w:szCs w:val="24"/>
        </w:rPr>
      </w:pPr>
      <w:r>
        <w:rPr>
          <w:b/>
          <w:sz w:val="24"/>
          <w:szCs w:val="24"/>
        </w:rPr>
        <w:t>Special Purpose Vehicle</w:t>
      </w:r>
      <w:r>
        <w:rPr>
          <w:sz w:val="24"/>
          <w:szCs w:val="24"/>
        </w:rPr>
        <w:t xml:space="preserve"> (SPV) </w:t>
      </w:r>
      <w:r>
        <w:rPr>
          <w:bCs/>
          <w:sz w:val="24"/>
        </w:rPr>
        <w:t>refers to an entity that is not a related entity and whose activities are restricted to the acquisition and financing of specific assets.</w:t>
      </w:r>
    </w:p>
    <w:p w14:paraId="523EB353" w14:textId="77777777" w:rsidR="00591632" w:rsidRPr="00072979" w:rsidRDefault="00591632" w:rsidP="00591632">
      <w:pPr>
        <w:pStyle w:val="BodyText"/>
        <w:numPr>
          <w:ilvl w:val="0"/>
          <w:numId w:val="0"/>
        </w:numPr>
        <w:ind w:left="567"/>
        <w:rPr>
          <w:i/>
          <w:sz w:val="24"/>
          <w:szCs w:val="24"/>
        </w:rPr>
      </w:pPr>
      <w:r>
        <w:rPr>
          <w:b/>
          <w:sz w:val="24"/>
          <w:szCs w:val="24"/>
        </w:rPr>
        <w:t>Standard Method</w:t>
      </w:r>
      <w:r>
        <w:rPr>
          <w:sz w:val="24"/>
          <w:szCs w:val="24"/>
        </w:rPr>
        <w:t xml:space="preserve"> is as defined under </w:t>
      </w:r>
      <w:r w:rsidRPr="00F23969">
        <w:rPr>
          <w:sz w:val="24"/>
          <w:szCs w:val="24"/>
        </w:rPr>
        <w:t>GPS 110</w:t>
      </w:r>
      <w:r>
        <w:rPr>
          <w:i/>
          <w:sz w:val="24"/>
          <w:szCs w:val="24"/>
        </w:rPr>
        <w:t>.</w:t>
      </w:r>
    </w:p>
    <w:p w14:paraId="523EB354" w14:textId="77777777" w:rsidR="00591632" w:rsidRPr="005A2C1D" w:rsidRDefault="00591632" w:rsidP="00591632">
      <w:pPr>
        <w:pStyle w:val="BodyText"/>
        <w:numPr>
          <w:ilvl w:val="0"/>
          <w:numId w:val="0"/>
        </w:numPr>
        <w:ind w:left="567"/>
        <w:rPr>
          <w:i/>
          <w:sz w:val="24"/>
          <w:szCs w:val="24"/>
        </w:rPr>
      </w:pPr>
      <w:r>
        <w:rPr>
          <w:b/>
          <w:sz w:val="24"/>
          <w:szCs w:val="24"/>
        </w:rPr>
        <w:t>Statutory accounts</w:t>
      </w:r>
      <w:r>
        <w:rPr>
          <w:sz w:val="24"/>
          <w:szCs w:val="24"/>
        </w:rPr>
        <w:t xml:space="preserve"> </w:t>
      </w:r>
      <w:proofErr w:type="gramStart"/>
      <w:r>
        <w:rPr>
          <w:sz w:val="24"/>
          <w:szCs w:val="24"/>
        </w:rPr>
        <w:t>means</w:t>
      </w:r>
      <w:proofErr w:type="gramEnd"/>
      <w:r>
        <w:rPr>
          <w:sz w:val="24"/>
          <w:szCs w:val="24"/>
        </w:rPr>
        <w:t xml:space="preserve"> the reporting documents that an insurer is required to lodge with APRA under section 13 of the </w:t>
      </w:r>
      <w:r w:rsidRPr="005A2C1D">
        <w:rPr>
          <w:sz w:val="24"/>
          <w:szCs w:val="24"/>
        </w:rPr>
        <w:t>Collection of Data Act.</w:t>
      </w:r>
    </w:p>
    <w:p w14:paraId="523EB355" w14:textId="77777777" w:rsidR="00591632" w:rsidRPr="00B821A9" w:rsidRDefault="00591632" w:rsidP="00591632">
      <w:pPr>
        <w:pStyle w:val="BodyText"/>
        <w:numPr>
          <w:ilvl w:val="0"/>
          <w:numId w:val="0"/>
        </w:numPr>
        <w:ind w:left="567"/>
        <w:rPr>
          <w:sz w:val="24"/>
          <w:szCs w:val="24"/>
        </w:rPr>
      </w:pPr>
      <w:r w:rsidRPr="00B821A9">
        <w:rPr>
          <w:b/>
          <w:sz w:val="24"/>
          <w:szCs w:val="24"/>
        </w:rPr>
        <w:t>Subsidiary</w:t>
      </w:r>
      <w:r w:rsidRPr="00B821A9">
        <w:rPr>
          <w:sz w:val="24"/>
          <w:szCs w:val="24"/>
        </w:rPr>
        <w:t xml:space="preserve"> means a subsidiary as defined under the Corporations Act.</w:t>
      </w:r>
    </w:p>
    <w:p w14:paraId="523EB356" w14:textId="77777777" w:rsidR="00591632" w:rsidRPr="00B821A9" w:rsidRDefault="00591632" w:rsidP="00591632">
      <w:pPr>
        <w:spacing w:after="240"/>
        <w:ind w:left="567"/>
        <w:jc w:val="both"/>
        <w:rPr>
          <w:i/>
          <w:szCs w:val="24"/>
        </w:rPr>
      </w:pPr>
      <w:r w:rsidRPr="00052305">
        <w:rPr>
          <w:b/>
          <w:szCs w:val="24"/>
        </w:rPr>
        <w:t>Supervisory adjustment</w:t>
      </w:r>
      <w:r w:rsidRPr="00B821A9">
        <w:rPr>
          <w:szCs w:val="24"/>
        </w:rPr>
        <w:t xml:space="preserve"> is as defined under </w:t>
      </w:r>
      <w:r w:rsidRPr="00F23969">
        <w:rPr>
          <w:szCs w:val="24"/>
        </w:rPr>
        <w:t>GPS 110</w:t>
      </w:r>
      <w:r w:rsidRPr="00B821A9">
        <w:rPr>
          <w:i/>
          <w:szCs w:val="24"/>
        </w:rPr>
        <w:t>.</w:t>
      </w:r>
    </w:p>
    <w:p w14:paraId="523EB357" w14:textId="77777777" w:rsidR="00591632" w:rsidRPr="00213CD3" w:rsidRDefault="00591632" w:rsidP="00591632">
      <w:pPr>
        <w:spacing w:after="240"/>
        <w:ind w:left="567"/>
        <w:jc w:val="both"/>
        <w:rPr>
          <w:b/>
          <w:szCs w:val="24"/>
        </w:rPr>
      </w:pPr>
      <w:r w:rsidRPr="00052305">
        <w:rPr>
          <w:b/>
          <w:szCs w:val="24"/>
        </w:rPr>
        <w:t xml:space="preserve">Tier 1 </w:t>
      </w:r>
      <w:r>
        <w:rPr>
          <w:b/>
          <w:szCs w:val="24"/>
        </w:rPr>
        <w:t>C</w:t>
      </w:r>
      <w:r w:rsidRPr="00052305">
        <w:rPr>
          <w:b/>
          <w:szCs w:val="24"/>
        </w:rPr>
        <w:t>apital</w:t>
      </w:r>
      <w:r w:rsidRPr="00B821A9">
        <w:rPr>
          <w:b/>
          <w:szCs w:val="24"/>
        </w:rPr>
        <w:t xml:space="preserve"> </w:t>
      </w:r>
      <w:r w:rsidRPr="00B821A9">
        <w:rPr>
          <w:szCs w:val="24"/>
        </w:rPr>
        <w:t>is as</w:t>
      </w:r>
      <w:r w:rsidRPr="00B821A9">
        <w:rPr>
          <w:b/>
          <w:szCs w:val="24"/>
        </w:rPr>
        <w:t xml:space="preserve"> </w:t>
      </w:r>
      <w:r w:rsidRPr="00B821A9">
        <w:rPr>
          <w:szCs w:val="24"/>
        </w:rPr>
        <w:t xml:space="preserve">defined </w:t>
      </w:r>
      <w:r>
        <w:rPr>
          <w:szCs w:val="24"/>
        </w:rPr>
        <w:t>in</w:t>
      </w:r>
      <w:r w:rsidRPr="00B821A9">
        <w:rPr>
          <w:szCs w:val="24"/>
        </w:rPr>
        <w:t xml:space="preserve"> </w:t>
      </w:r>
      <w:r w:rsidRPr="008B0866">
        <w:t>GPS 112</w:t>
      </w:r>
      <w:r w:rsidRPr="00B821A9">
        <w:rPr>
          <w:i/>
          <w:szCs w:val="24"/>
        </w:rPr>
        <w:t>.</w:t>
      </w:r>
    </w:p>
    <w:p w14:paraId="523EB358" w14:textId="77777777" w:rsidR="00591632" w:rsidRPr="00213CD3" w:rsidRDefault="00591632" w:rsidP="00591632">
      <w:pPr>
        <w:spacing w:after="240"/>
        <w:ind w:left="567"/>
        <w:jc w:val="both"/>
        <w:rPr>
          <w:b/>
          <w:szCs w:val="24"/>
        </w:rPr>
      </w:pPr>
      <w:r w:rsidRPr="00052305">
        <w:rPr>
          <w:b/>
          <w:szCs w:val="24"/>
        </w:rPr>
        <w:t xml:space="preserve">Tier 2 </w:t>
      </w:r>
      <w:r>
        <w:rPr>
          <w:b/>
          <w:szCs w:val="24"/>
        </w:rPr>
        <w:t>C</w:t>
      </w:r>
      <w:r w:rsidRPr="00052305">
        <w:rPr>
          <w:b/>
          <w:szCs w:val="24"/>
        </w:rPr>
        <w:t>apital</w:t>
      </w:r>
      <w:r w:rsidRPr="00B821A9">
        <w:rPr>
          <w:b/>
          <w:szCs w:val="24"/>
        </w:rPr>
        <w:t xml:space="preserve"> </w:t>
      </w:r>
      <w:r w:rsidRPr="00B821A9">
        <w:rPr>
          <w:szCs w:val="24"/>
        </w:rPr>
        <w:t>is as</w:t>
      </w:r>
      <w:r>
        <w:rPr>
          <w:b/>
          <w:szCs w:val="24"/>
        </w:rPr>
        <w:t xml:space="preserve"> </w:t>
      </w:r>
      <w:r w:rsidRPr="0030011B">
        <w:rPr>
          <w:szCs w:val="24"/>
        </w:rPr>
        <w:t>defined</w:t>
      </w:r>
      <w:r>
        <w:rPr>
          <w:szCs w:val="24"/>
        </w:rPr>
        <w:t xml:space="preserve"> in </w:t>
      </w:r>
      <w:r w:rsidRPr="008B0866">
        <w:t>GPS 112</w:t>
      </w:r>
      <w:r>
        <w:rPr>
          <w:i/>
          <w:szCs w:val="24"/>
        </w:rPr>
        <w:t>.</w:t>
      </w:r>
    </w:p>
    <w:p w14:paraId="523EB359" w14:textId="77777777" w:rsidR="00591632" w:rsidRPr="003B393D" w:rsidRDefault="00591632" w:rsidP="00591632">
      <w:pPr>
        <w:spacing w:after="240"/>
        <w:ind w:left="567"/>
        <w:jc w:val="both"/>
        <w:rPr>
          <w:szCs w:val="24"/>
        </w:rPr>
      </w:pPr>
      <w:r w:rsidRPr="003B393D">
        <w:rPr>
          <w:b/>
          <w:szCs w:val="24"/>
        </w:rPr>
        <w:t>Yearly statutory accounts</w:t>
      </w:r>
      <w:r w:rsidRPr="003B393D">
        <w:rPr>
          <w:szCs w:val="24"/>
        </w:rPr>
        <w:t xml:space="preserve"> </w:t>
      </w:r>
      <w:proofErr w:type="gramStart"/>
      <w:r w:rsidRPr="003B393D">
        <w:rPr>
          <w:szCs w:val="24"/>
        </w:rPr>
        <w:t>has</w:t>
      </w:r>
      <w:proofErr w:type="gramEnd"/>
      <w:r w:rsidRPr="003B393D">
        <w:rPr>
          <w:szCs w:val="24"/>
        </w:rPr>
        <w:t xml:space="preserve"> the same meaning as in the Act.</w:t>
      </w:r>
    </w:p>
    <w:p w14:paraId="523EB35A" w14:textId="77777777" w:rsidR="00591632" w:rsidRPr="00036117" w:rsidRDefault="00591632" w:rsidP="00591632">
      <w:pPr>
        <w:pStyle w:val="BodyText"/>
        <w:numPr>
          <w:ilvl w:val="0"/>
          <w:numId w:val="0"/>
        </w:numPr>
        <w:spacing w:before="120"/>
        <w:ind w:left="567" w:hanging="567"/>
        <w:rPr>
          <w:sz w:val="24"/>
          <w:szCs w:val="24"/>
        </w:rPr>
      </w:pPr>
      <w:r w:rsidRPr="00036117">
        <w:rPr>
          <w:rFonts w:ascii="Arial" w:hAnsi="Arial" w:cs="Arial"/>
          <w:b/>
          <w:sz w:val="24"/>
          <w:szCs w:val="24"/>
        </w:rPr>
        <w:t xml:space="preserve">Determinations made under previous prudential standards </w:t>
      </w:r>
    </w:p>
    <w:p w14:paraId="523EB35B" w14:textId="77777777" w:rsidR="00634222" w:rsidRPr="00634222" w:rsidRDefault="00591632" w:rsidP="00634222">
      <w:pPr>
        <w:pStyle w:val="BodyText"/>
        <w:rPr>
          <w:strike/>
        </w:rPr>
      </w:pPr>
      <w:r w:rsidRPr="009A0B1E">
        <w:rPr>
          <w:sz w:val="24"/>
          <w:szCs w:val="24"/>
        </w:rPr>
        <w:t xml:space="preserve">An exercise of APRA’s discretion (such as an approval, </w:t>
      </w:r>
      <w:proofErr w:type="gramStart"/>
      <w:r w:rsidRPr="009A0B1E">
        <w:rPr>
          <w:sz w:val="24"/>
          <w:szCs w:val="24"/>
        </w:rPr>
        <w:t>waiver</w:t>
      </w:r>
      <w:proofErr w:type="gramEnd"/>
      <w:r w:rsidRPr="009A0B1E">
        <w:rPr>
          <w:sz w:val="24"/>
          <w:szCs w:val="24"/>
        </w:rPr>
        <w:t xml:space="preserve"> or direction) under a previous version of this Prudential Standard continues to have effect as though exercised pursuant to a corresponding power (if any) exercisable by APRA under this Prudential Standard</w:t>
      </w:r>
      <w:r w:rsidRPr="00634222">
        <w:rPr>
          <w:sz w:val="24"/>
          <w:szCs w:val="24"/>
        </w:rPr>
        <w:t xml:space="preserve">. </w:t>
      </w:r>
    </w:p>
    <w:p w14:paraId="523EB35C" w14:textId="77777777" w:rsidR="00591632" w:rsidRPr="00634222" w:rsidRDefault="00591632" w:rsidP="00634222">
      <w:pPr>
        <w:spacing w:after="240"/>
        <w:jc w:val="both"/>
        <w:rPr>
          <w:strike/>
        </w:rPr>
      </w:pPr>
    </w:p>
    <w:p w14:paraId="523EB35D" w14:textId="77777777" w:rsidR="006E6E5F" w:rsidRDefault="006E6E5F" w:rsidP="006E6E5F">
      <w:pPr>
        <w:pStyle w:val="BodyText"/>
        <w:numPr>
          <w:ilvl w:val="0"/>
          <w:numId w:val="0"/>
        </w:numPr>
        <w:spacing w:before="120"/>
        <w:ind w:left="567" w:hanging="567"/>
        <w:rPr>
          <w:b/>
        </w:rPr>
      </w:pPr>
    </w:p>
    <w:p w14:paraId="523EB35E" w14:textId="77777777" w:rsidR="00591632" w:rsidRPr="006E6E5F" w:rsidRDefault="00591632" w:rsidP="006E6E5F">
      <w:pPr>
        <w:pStyle w:val="BodyText"/>
        <w:numPr>
          <w:ilvl w:val="0"/>
          <w:numId w:val="0"/>
        </w:numPr>
        <w:spacing w:before="120"/>
        <w:ind w:left="567" w:hanging="567"/>
        <w:rPr>
          <w:sz w:val="24"/>
          <w:szCs w:val="24"/>
        </w:rPr>
      </w:pPr>
      <w:r w:rsidRPr="006E6E5F">
        <w:rPr>
          <w:b/>
        </w:rPr>
        <w:br w:type="page"/>
      </w:r>
      <w:r w:rsidRPr="006E6E5F">
        <w:rPr>
          <w:rFonts w:ascii="Arial" w:hAnsi="Arial"/>
          <w:b/>
          <w:bCs/>
          <w:szCs w:val="24"/>
        </w:rPr>
        <w:lastRenderedPageBreak/>
        <w:t>Attachment A</w:t>
      </w:r>
    </w:p>
    <w:p w14:paraId="523EB35F" w14:textId="77777777" w:rsidR="00591632" w:rsidRPr="00036117" w:rsidRDefault="00591632" w:rsidP="00591632">
      <w:pPr>
        <w:pStyle w:val="Heading"/>
        <w:spacing w:before="120" w:after="240"/>
        <w:jc w:val="both"/>
        <w:rPr>
          <w:rFonts w:ascii="Arial" w:hAnsi="Arial"/>
          <w:b w:val="0"/>
          <w:bCs/>
          <w:sz w:val="24"/>
          <w:szCs w:val="24"/>
        </w:rPr>
      </w:pPr>
      <w:r w:rsidRPr="00036117">
        <w:rPr>
          <w:rFonts w:ascii="Arial" w:hAnsi="Arial"/>
          <w:bCs/>
          <w:sz w:val="24"/>
          <w:szCs w:val="24"/>
        </w:rPr>
        <w:t xml:space="preserve">Category of </w:t>
      </w:r>
      <w:r>
        <w:rPr>
          <w:rFonts w:ascii="Arial" w:hAnsi="Arial"/>
          <w:bCs/>
          <w:sz w:val="24"/>
          <w:szCs w:val="24"/>
        </w:rPr>
        <w:t>i</w:t>
      </w:r>
      <w:r w:rsidRPr="00036117">
        <w:rPr>
          <w:rFonts w:ascii="Arial" w:hAnsi="Arial"/>
          <w:bCs/>
          <w:sz w:val="24"/>
          <w:szCs w:val="24"/>
        </w:rPr>
        <w:t>nsurer</w:t>
      </w:r>
    </w:p>
    <w:p w14:paraId="523EB360" w14:textId="77777777" w:rsidR="00591632" w:rsidRDefault="00591632" w:rsidP="00591632">
      <w:pPr>
        <w:pStyle w:val="BodyText"/>
        <w:numPr>
          <w:ilvl w:val="2"/>
          <w:numId w:val="10"/>
        </w:numPr>
        <w:ind w:left="567" w:hanging="567"/>
        <w:rPr>
          <w:sz w:val="24"/>
          <w:szCs w:val="24"/>
        </w:rPr>
      </w:pPr>
      <w:r>
        <w:rPr>
          <w:sz w:val="24"/>
          <w:szCs w:val="24"/>
        </w:rPr>
        <w:t xml:space="preserve">The </w:t>
      </w:r>
      <w:r w:rsidRPr="000E129C">
        <w:rPr>
          <w:b/>
          <w:sz w:val="24"/>
          <w:szCs w:val="24"/>
        </w:rPr>
        <w:t>categor</w:t>
      </w:r>
      <w:r>
        <w:rPr>
          <w:b/>
          <w:sz w:val="24"/>
          <w:szCs w:val="24"/>
        </w:rPr>
        <w:t>ies</w:t>
      </w:r>
      <w:r w:rsidRPr="000E129C">
        <w:rPr>
          <w:b/>
          <w:sz w:val="24"/>
          <w:szCs w:val="24"/>
        </w:rPr>
        <w:t xml:space="preserve"> of insurer</w:t>
      </w:r>
      <w:r>
        <w:rPr>
          <w:sz w:val="24"/>
          <w:szCs w:val="24"/>
        </w:rPr>
        <w:t xml:space="preserve"> referred to in the GI Prudential Standards are as follows:</w:t>
      </w:r>
    </w:p>
    <w:p w14:paraId="523EB361" w14:textId="77777777" w:rsidR="00591632" w:rsidRDefault="00591632" w:rsidP="00591632">
      <w:pPr>
        <w:pStyle w:val="BodyText"/>
        <w:numPr>
          <w:ilvl w:val="0"/>
          <w:numId w:val="25"/>
        </w:numPr>
        <w:ind w:left="1134" w:hanging="567"/>
        <w:rPr>
          <w:sz w:val="24"/>
          <w:szCs w:val="24"/>
        </w:rPr>
      </w:pPr>
      <w:r w:rsidRPr="003B393D">
        <w:rPr>
          <w:b/>
          <w:sz w:val="24"/>
          <w:szCs w:val="24"/>
        </w:rPr>
        <w:t>Category A insurer</w:t>
      </w:r>
      <w:r w:rsidRPr="003B393D">
        <w:rPr>
          <w:sz w:val="24"/>
          <w:szCs w:val="24"/>
        </w:rPr>
        <w:t xml:space="preserve"> means an insurer incorporated in Australia. This category excludes all insurers falling within any of the other categories.  For the purposes of clarification, </w:t>
      </w:r>
      <w:proofErr w:type="gramStart"/>
      <w:r w:rsidRPr="003B393D">
        <w:rPr>
          <w:sz w:val="24"/>
          <w:szCs w:val="24"/>
        </w:rPr>
        <w:t>wholly</w:t>
      </w:r>
      <w:r>
        <w:rPr>
          <w:sz w:val="24"/>
          <w:szCs w:val="24"/>
        </w:rPr>
        <w:t>-</w:t>
      </w:r>
      <w:r w:rsidRPr="003B393D">
        <w:rPr>
          <w:sz w:val="24"/>
          <w:szCs w:val="24"/>
        </w:rPr>
        <w:t>owned</w:t>
      </w:r>
      <w:proofErr w:type="gramEnd"/>
      <w:r w:rsidRPr="003B393D">
        <w:rPr>
          <w:sz w:val="24"/>
          <w:szCs w:val="24"/>
        </w:rPr>
        <w:t xml:space="preserve"> subsidiaries of corporate groups that are not insurance groups fall into this category</w:t>
      </w:r>
      <w:r w:rsidRPr="003B393D">
        <w:t xml:space="preserve"> </w:t>
      </w:r>
      <w:r w:rsidRPr="003B393D">
        <w:rPr>
          <w:sz w:val="24"/>
          <w:szCs w:val="24"/>
        </w:rPr>
        <w:t>where they do not already fall into another category of insurer under this Prudential Standard. Category A insurers could be mutual companies or shareholder companies.</w:t>
      </w:r>
    </w:p>
    <w:p w14:paraId="523EB362" w14:textId="77777777" w:rsidR="00591632" w:rsidRDefault="00591632" w:rsidP="00591632">
      <w:pPr>
        <w:pStyle w:val="BodyText"/>
        <w:numPr>
          <w:ilvl w:val="0"/>
          <w:numId w:val="25"/>
        </w:numPr>
        <w:ind w:left="1134" w:hanging="567"/>
        <w:rPr>
          <w:sz w:val="24"/>
          <w:szCs w:val="24"/>
        </w:rPr>
      </w:pPr>
      <w:r w:rsidRPr="003B393D">
        <w:rPr>
          <w:b/>
          <w:sz w:val="24"/>
          <w:szCs w:val="24"/>
        </w:rPr>
        <w:t>Category B insurer</w:t>
      </w:r>
      <w:r w:rsidRPr="003B393D">
        <w:rPr>
          <w:sz w:val="24"/>
          <w:szCs w:val="24"/>
        </w:rPr>
        <w:t xml:space="preserve"> means an insurer that is:</w:t>
      </w:r>
    </w:p>
    <w:p w14:paraId="523EB363" w14:textId="77777777" w:rsidR="00591632" w:rsidRDefault="00591632" w:rsidP="00591632">
      <w:pPr>
        <w:pStyle w:val="BodyText"/>
        <w:numPr>
          <w:ilvl w:val="0"/>
          <w:numId w:val="4"/>
        </w:numPr>
        <w:tabs>
          <w:tab w:val="clear" w:pos="1440"/>
          <w:tab w:val="num" w:pos="1701"/>
        </w:tabs>
        <w:ind w:left="1701"/>
        <w:rPr>
          <w:sz w:val="24"/>
          <w:szCs w:val="24"/>
        </w:rPr>
      </w:pPr>
      <w:r w:rsidRPr="003B393D">
        <w:rPr>
          <w:sz w:val="24"/>
          <w:szCs w:val="24"/>
        </w:rPr>
        <w:t>incorporated in Australia; and</w:t>
      </w:r>
    </w:p>
    <w:p w14:paraId="523EB364" w14:textId="77777777" w:rsidR="00591632" w:rsidRDefault="00591632" w:rsidP="00591632">
      <w:pPr>
        <w:pStyle w:val="BodyText"/>
        <w:numPr>
          <w:ilvl w:val="0"/>
          <w:numId w:val="4"/>
        </w:numPr>
        <w:tabs>
          <w:tab w:val="clear" w:pos="1440"/>
          <w:tab w:val="num" w:pos="1701"/>
        </w:tabs>
        <w:ind w:left="1701"/>
        <w:rPr>
          <w:sz w:val="24"/>
          <w:szCs w:val="24"/>
        </w:rPr>
      </w:pPr>
      <w:r w:rsidRPr="003B393D">
        <w:rPr>
          <w:sz w:val="24"/>
          <w:szCs w:val="24"/>
        </w:rPr>
        <w:t>a subsidiary of a local or foreign insurance group.</w:t>
      </w:r>
    </w:p>
    <w:p w14:paraId="523EB365" w14:textId="77777777" w:rsidR="00591632" w:rsidRDefault="00591632" w:rsidP="00591632">
      <w:pPr>
        <w:pStyle w:val="BodyText"/>
        <w:numPr>
          <w:ilvl w:val="0"/>
          <w:numId w:val="0"/>
        </w:numPr>
        <w:ind w:left="1134"/>
        <w:rPr>
          <w:sz w:val="24"/>
          <w:szCs w:val="24"/>
        </w:rPr>
      </w:pPr>
      <w:r w:rsidRPr="003B393D">
        <w:rPr>
          <w:sz w:val="24"/>
          <w:szCs w:val="24"/>
        </w:rPr>
        <w:t>Category B insurers are part of a local or foreign insurance group. They could be subsidiaries of mutual or shareholder companies. An insurance group captive is not a Category B insurer.</w:t>
      </w:r>
    </w:p>
    <w:p w14:paraId="523EB366" w14:textId="77777777" w:rsidR="00591632" w:rsidRDefault="00591632" w:rsidP="00591632">
      <w:pPr>
        <w:pStyle w:val="BodyText"/>
        <w:numPr>
          <w:ilvl w:val="0"/>
          <w:numId w:val="25"/>
        </w:numPr>
        <w:ind w:left="1134" w:hanging="567"/>
        <w:rPr>
          <w:sz w:val="24"/>
          <w:szCs w:val="24"/>
        </w:rPr>
      </w:pPr>
      <w:r w:rsidRPr="003B393D">
        <w:rPr>
          <w:b/>
          <w:sz w:val="24"/>
          <w:szCs w:val="24"/>
        </w:rPr>
        <w:t>Category C insurer</w:t>
      </w:r>
      <w:r w:rsidRPr="003B393D">
        <w:rPr>
          <w:sz w:val="24"/>
          <w:szCs w:val="24"/>
        </w:rPr>
        <w:t xml:space="preserve"> means a ‘foreign general insurer’ defined under subsection 3(1) of the Act. A Category C insurer is a foreign insurer operating as a foreign branch in Australia and could be a branch of a foreign mutual or shareholder company.</w:t>
      </w:r>
    </w:p>
    <w:p w14:paraId="523EB367" w14:textId="77777777" w:rsidR="00591632" w:rsidRPr="001C2189" w:rsidRDefault="00591632" w:rsidP="00591632">
      <w:pPr>
        <w:pStyle w:val="BodyText"/>
        <w:numPr>
          <w:ilvl w:val="0"/>
          <w:numId w:val="0"/>
        </w:numPr>
        <w:ind w:left="1134" w:hanging="567"/>
        <w:rPr>
          <w:sz w:val="24"/>
          <w:szCs w:val="24"/>
        </w:rPr>
      </w:pPr>
      <w:r w:rsidRPr="001C2189">
        <w:rPr>
          <w:sz w:val="24"/>
          <w:szCs w:val="24"/>
        </w:rPr>
        <w:t>(d)</w:t>
      </w:r>
      <w:r>
        <w:rPr>
          <w:b/>
          <w:sz w:val="24"/>
          <w:szCs w:val="24"/>
        </w:rPr>
        <w:t xml:space="preserve"> </w:t>
      </w:r>
      <w:r>
        <w:rPr>
          <w:b/>
          <w:sz w:val="24"/>
          <w:szCs w:val="24"/>
        </w:rPr>
        <w:tab/>
      </w:r>
      <w:r w:rsidRPr="001C2189">
        <w:rPr>
          <w:b/>
          <w:sz w:val="24"/>
          <w:szCs w:val="24"/>
        </w:rPr>
        <w:t>Category D insurer</w:t>
      </w:r>
      <w:r w:rsidRPr="000E129C">
        <w:rPr>
          <w:b/>
          <w:sz w:val="24"/>
          <w:szCs w:val="24"/>
        </w:rPr>
        <w:t xml:space="preserve"> </w:t>
      </w:r>
      <w:r w:rsidRPr="001C2189">
        <w:rPr>
          <w:sz w:val="24"/>
          <w:szCs w:val="24"/>
        </w:rPr>
        <w:t>means an insurer incorporated in Australia that:</w:t>
      </w:r>
    </w:p>
    <w:p w14:paraId="523EB368" w14:textId="77777777" w:rsidR="00591632" w:rsidRDefault="00591632" w:rsidP="00591632">
      <w:pPr>
        <w:pStyle w:val="BodyText"/>
        <w:numPr>
          <w:ilvl w:val="0"/>
          <w:numId w:val="26"/>
        </w:numPr>
        <w:tabs>
          <w:tab w:val="clear" w:pos="1440"/>
          <w:tab w:val="num" w:pos="1701"/>
        </w:tabs>
        <w:ind w:left="1701"/>
        <w:rPr>
          <w:sz w:val="24"/>
          <w:szCs w:val="24"/>
        </w:rPr>
      </w:pPr>
      <w:r w:rsidRPr="003B393D">
        <w:rPr>
          <w:sz w:val="24"/>
          <w:szCs w:val="24"/>
        </w:rPr>
        <w:t>is owned by an industry or a professional association, or by the members of the industry or professional association</w:t>
      </w:r>
      <w:r>
        <w:rPr>
          <w:sz w:val="24"/>
          <w:szCs w:val="24"/>
        </w:rPr>
        <w:t>,</w:t>
      </w:r>
      <w:r w:rsidRPr="003B393D">
        <w:rPr>
          <w:sz w:val="24"/>
          <w:szCs w:val="24"/>
        </w:rPr>
        <w:t xml:space="preserve"> or a combination of both; and </w:t>
      </w:r>
    </w:p>
    <w:p w14:paraId="523EB369" w14:textId="77777777" w:rsidR="00591632" w:rsidRDefault="00591632" w:rsidP="00591632">
      <w:pPr>
        <w:pStyle w:val="BodyText"/>
        <w:numPr>
          <w:ilvl w:val="0"/>
          <w:numId w:val="26"/>
        </w:numPr>
        <w:tabs>
          <w:tab w:val="clear" w:pos="1440"/>
          <w:tab w:val="num" w:pos="1701"/>
        </w:tabs>
        <w:ind w:left="1701"/>
        <w:rPr>
          <w:sz w:val="24"/>
          <w:szCs w:val="24"/>
        </w:rPr>
      </w:pPr>
      <w:r w:rsidRPr="003B393D">
        <w:rPr>
          <w:sz w:val="24"/>
          <w:szCs w:val="24"/>
        </w:rPr>
        <w:t>only underwrites business risks of the members of the association or those who are eligible, under the articles of association or constitution of the association, to become members of the association; but</w:t>
      </w:r>
    </w:p>
    <w:p w14:paraId="523EB36A" w14:textId="77777777" w:rsidR="00591632" w:rsidRDefault="00591632" w:rsidP="00591632">
      <w:pPr>
        <w:pStyle w:val="BodyText"/>
        <w:numPr>
          <w:ilvl w:val="0"/>
          <w:numId w:val="26"/>
        </w:numPr>
        <w:ind w:left="1701"/>
        <w:rPr>
          <w:sz w:val="24"/>
          <w:szCs w:val="24"/>
        </w:rPr>
      </w:pPr>
      <w:r w:rsidRPr="003B393D">
        <w:rPr>
          <w:sz w:val="24"/>
          <w:szCs w:val="24"/>
        </w:rPr>
        <w:t xml:space="preserve">is not a medical indemnity insurer as defined under the </w:t>
      </w:r>
      <w:r>
        <w:rPr>
          <w:i/>
          <w:sz w:val="24"/>
          <w:szCs w:val="24"/>
        </w:rPr>
        <w:t xml:space="preserve">Medical Indemnity </w:t>
      </w:r>
      <w:r w:rsidRPr="003B393D">
        <w:rPr>
          <w:i/>
          <w:sz w:val="24"/>
          <w:szCs w:val="24"/>
        </w:rPr>
        <w:t xml:space="preserve">Act </w:t>
      </w:r>
      <w:proofErr w:type="gramStart"/>
      <w:r w:rsidRPr="003B393D">
        <w:rPr>
          <w:i/>
          <w:sz w:val="24"/>
          <w:szCs w:val="24"/>
        </w:rPr>
        <w:t>2002</w:t>
      </w:r>
      <w:r w:rsidRPr="003B393D">
        <w:rPr>
          <w:sz w:val="24"/>
          <w:szCs w:val="24"/>
        </w:rPr>
        <w:t>.</w:t>
      </w:r>
      <w:proofErr w:type="gramEnd"/>
    </w:p>
    <w:p w14:paraId="523EB36B" w14:textId="77777777" w:rsidR="00591632" w:rsidRDefault="00591632" w:rsidP="00591632">
      <w:pPr>
        <w:pStyle w:val="BodyText"/>
        <w:numPr>
          <w:ilvl w:val="0"/>
          <w:numId w:val="0"/>
        </w:numPr>
        <w:ind w:left="1134"/>
        <w:rPr>
          <w:sz w:val="24"/>
          <w:szCs w:val="24"/>
        </w:rPr>
      </w:pPr>
      <w:r w:rsidRPr="003B393D">
        <w:rPr>
          <w:sz w:val="24"/>
          <w:szCs w:val="24"/>
        </w:rPr>
        <w:t>Category D insurers are often referred to as ‘association captives’ and could be mutual companies or shareholder companies.</w:t>
      </w:r>
    </w:p>
    <w:p w14:paraId="523EB36C" w14:textId="77777777" w:rsidR="00591632" w:rsidRDefault="00591632" w:rsidP="00591632">
      <w:pPr>
        <w:rPr>
          <w:szCs w:val="24"/>
        </w:rPr>
      </w:pPr>
      <w:r>
        <w:rPr>
          <w:szCs w:val="24"/>
        </w:rPr>
        <w:br w:type="page"/>
      </w:r>
    </w:p>
    <w:p w14:paraId="523EB36D" w14:textId="77777777" w:rsidR="00591632" w:rsidRDefault="00591632" w:rsidP="00591632">
      <w:pPr>
        <w:pStyle w:val="BodyText"/>
        <w:numPr>
          <w:ilvl w:val="0"/>
          <w:numId w:val="0"/>
        </w:numPr>
        <w:ind w:left="1134" w:hanging="567"/>
        <w:rPr>
          <w:sz w:val="24"/>
          <w:szCs w:val="24"/>
        </w:rPr>
      </w:pPr>
      <w:r w:rsidRPr="001C2189">
        <w:rPr>
          <w:sz w:val="24"/>
          <w:szCs w:val="24"/>
        </w:rPr>
        <w:lastRenderedPageBreak/>
        <w:t>(e)</w:t>
      </w:r>
      <w:r>
        <w:rPr>
          <w:b/>
          <w:sz w:val="24"/>
          <w:szCs w:val="24"/>
        </w:rPr>
        <w:t xml:space="preserve"> </w:t>
      </w:r>
      <w:r>
        <w:rPr>
          <w:b/>
          <w:sz w:val="24"/>
          <w:szCs w:val="24"/>
        </w:rPr>
        <w:tab/>
      </w:r>
      <w:r w:rsidRPr="003B393D">
        <w:rPr>
          <w:b/>
          <w:sz w:val="24"/>
          <w:szCs w:val="24"/>
        </w:rPr>
        <w:t>Category E insurer</w:t>
      </w:r>
      <w:r w:rsidRPr="003B393D">
        <w:rPr>
          <w:sz w:val="24"/>
          <w:szCs w:val="24"/>
        </w:rPr>
        <w:t xml:space="preserve"> means an insurer incorporated in Australia that is a:</w:t>
      </w:r>
    </w:p>
    <w:p w14:paraId="523EB36E" w14:textId="77777777" w:rsidR="00591632" w:rsidRDefault="00591632" w:rsidP="00591632">
      <w:pPr>
        <w:pStyle w:val="BodyText"/>
        <w:numPr>
          <w:ilvl w:val="0"/>
          <w:numId w:val="27"/>
        </w:numPr>
        <w:tabs>
          <w:tab w:val="left" w:pos="1701"/>
        </w:tabs>
        <w:ind w:left="1701" w:hanging="567"/>
        <w:rPr>
          <w:sz w:val="24"/>
          <w:szCs w:val="24"/>
        </w:rPr>
      </w:pPr>
      <w:r w:rsidRPr="003B393D">
        <w:rPr>
          <w:sz w:val="24"/>
          <w:szCs w:val="24"/>
        </w:rPr>
        <w:t>corporate captive</w:t>
      </w:r>
      <w:r>
        <w:rPr>
          <w:sz w:val="24"/>
          <w:szCs w:val="24"/>
        </w:rPr>
        <w:t xml:space="preserve"> as defined in paragraphs </w:t>
      </w:r>
      <w:r w:rsidR="001A0E48">
        <w:rPr>
          <w:sz w:val="24"/>
          <w:szCs w:val="24"/>
        </w:rPr>
        <w:fldChar w:fldCharType="begin"/>
      </w:r>
      <w:r w:rsidR="001A0E48">
        <w:rPr>
          <w:sz w:val="24"/>
          <w:szCs w:val="24"/>
        </w:rPr>
        <w:instrText xml:space="preserve"> REF _Ref392592914 \r \h </w:instrText>
      </w:r>
      <w:r w:rsidR="001A0E48">
        <w:rPr>
          <w:sz w:val="24"/>
          <w:szCs w:val="24"/>
        </w:rPr>
      </w:r>
      <w:r w:rsidR="001A0E48">
        <w:rPr>
          <w:sz w:val="24"/>
          <w:szCs w:val="24"/>
        </w:rPr>
        <w:fldChar w:fldCharType="separate"/>
      </w:r>
      <w:r w:rsidR="00C421EB">
        <w:rPr>
          <w:sz w:val="24"/>
          <w:szCs w:val="24"/>
        </w:rPr>
        <w:t>2</w:t>
      </w:r>
      <w:r w:rsidR="001A0E48">
        <w:rPr>
          <w:sz w:val="24"/>
          <w:szCs w:val="24"/>
        </w:rPr>
        <w:fldChar w:fldCharType="end"/>
      </w:r>
      <w:r>
        <w:rPr>
          <w:sz w:val="24"/>
          <w:szCs w:val="24"/>
        </w:rPr>
        <w:t xml:space="preserve"> and </w:t>
      </w:r>
      <w:r w:rsidR="001A0E48">
        <w:rPr>
          <w:sz w:val="24"/>
          <w:szCs w:val="24"/>
        </w:rPr>
        <w:fldChar w:fldCharType="begin"/>
      </w:r>
      <w:r w:rsidR="001A0E48">
        <w:rPr>
          <w:sz w:val="24"/>
          <w:szCs w:val="24"/>
        </w:rPr>
        <w:instrText xml:space="preserve"> REF _Ref392592924 \r \h </w:instrText>
      </w:r>
      <w:r w:rsidR="001A0E48">
        <w:rPr>
          <w:sz w:val="24"/>
          <w:szCs w:val="24"/>
        </w:rPr>
      </w:r>
      <w:r w:rsidR="001A0E48">
        <w:rPr>
          <w:sz w:val="24"/>
          <w:szCs w:val="24"/>
        </w:rPr>
        <w:fldChar w:fldCharType="separate"/>
      </w:r>
      <w:r w:rsidR="00C421EB">
        <w:rPr>
          <w:sz w:val="24"/>
          <w:szCs w:val="24"/>
        </w:rPr>
        <w:t>3</w:t>
      </w:r>
      <w:r w:rsidR="001A0E48">
        <w:rPr>
          <w:sz w:val="24"/>
          <w:szCs w:val="24"/>
        </w:rPr>
        <w:fldChar w:fldCharType="end"/>
      </w:r>
      <w:r>
        <w:rPr>
          <w:sz w:val="24"/>
          <w:szCs w:val="24"/>
        </w:rPr>
        <w:t xml:space="preserve"> of this Attachment</w:t>
      </w:r>
      <w:r w:rsidRPr="003B393D">
        <w:rPr>
          <w:sz w:val="24"/>
          <w:szCs w:val="24"/>
        </w:rPr>
        <w:t>; or</w:t>
      </w:r>
    </w:p>
    <w:p w14:paraId="523EB36F" w14:textId="77777777" w:rsidR="00591632" w:rsidRDefault="00591632" w:rsidP="00591632">
      <w:pPr>
        <w:pStyle w:val="BodyText"/>
        <w:numPr>
          <w:ilvl w:val="0"/>
          <w:numId w:val="27"/>
        </w:numPr>
        <w:tabs>
          <w:tab w:val="left" w:pos="1701"/>
        </w:tabs>
        <w:ind w:left="1701" w:hanging="567"/>
        <w:rPr>
          <w:sz w:val="24"/>
          <w:szCs w:val="24"/>
        </w:rPr>
      </w:pPr>
      <w:r w:rsidRPr="003B393D">
        <w:rPr>
          <w:sz w:val="24"/>
          <w:szCs w:val="24"/>
        </w:rPr>
        <w:t>partnership captive</w:t>
      </w:r>
      <w:r>
        <w:rPr>
          <w:sz w:val="24"/>
          <w:szCs w:val="24"/>
        </w:rPr>
        <w:t xml:space="preserve"> as defined in paragraph </w:t>
      </w:r>
      <w:r w:rsidR="001A0E48">
        <w:rPr>
          <w:sz w:val="24"/>
          <w:szCs w:val="24"/>
        </w:rPr>
        <w:fldChar w:fldCharType="begin"/>
      </w:r>
      <w:r w:rsidR="001A0E48">
        <w:rPr>
          <w:sz w:val="24"/>
          <w:szCs w:val="24"/>
        </w:rPr>
        <w:instrText xml:space="preserve"> REF _Ref392592948 \r \h </w:instrText>
      </w:r>
      <w:r w:rsidR="001A0E48">
        <w:rPr>
          <w:sz w:val="24"/>
          <w:szCs w:val="24"/>
        </w:rPr>
      </w:r>
      <w:r w:rsidR="001A0E48">
        <w:rPr>
          <w:sz w:val="24"/>
          <w:szCs w:val="24"/>
        </w:rPr>
        <w:fldChar w:fldCharType="separate"/>
      </w:r>
      <w:r w:rsidR="00C421EB">
        <w:rPr>
          <w:sz w:val="24"/>
          <w:szCs w:val="24"/>
        </w:rPr>
        <w:t>4</w:t>
      </w:r>
      <w:r w:rsidR="001A0E48">
        <w:rPr>
          <w:sz w:val="24"/>
          <w:szCs w:val="24"/>
        </w:rPr>
        <w:fldChar w:fldCharType="end"/>
      </w:r>
      <w:r>
        <w:rPr>
          <w:sz w:val="24"/>
          <w:szCs w:val="24"/>
        </w:rPr>
        <w:t xml:space="preserve"> of this Attachment</w:t>
      </w:r>
      <w:r w:rsidRPr="003B393D">
        <w:rPr>
          <w:sz w:val="24"/>
          <w:szCs w:val="24"/>
        </w:rPr>
        <w:t>.</w:t>
      </w:r>
    </w:p>
    <w:p w14:paraId="523EB370" w14:textId="77777777" w:rsidR="00591632" w:rsidRPr="003B393D" w:rsidRDefault="00591632" w:rsidP="00591632">
      <w:pPr>
        <w:pStyle w:val="BodyText"/>
        <w:numPr>
          <w:ilvl w:val="0"/>
          <w:numId w:val="0"/>
        </w:numPr>
        <w:ind w:left="1134"/>
        <w:rPr>
          <w:sz w:val="24"/>
          <w:szCs w:val="24"/>
        </w:rPr>
      </w:pPr>
      <w:r w:rsidRPr="003B393D">
        <w:rPr>
          <w:sz w:val="24"/>
          <w:szCs w:val="24"/>
        </w:rPr>
        <w:t>Category E insurers, often referred to as ‘sole parent captives’, will generally be shareholder companies.</w:t>
      </w:r>
    </w:p>
    <w:p w14:paraId="523EB371" w14:textId="77777777" w:rsidR="00591632" w:rsidRDefault="00591632" w:rsidP="00591632">
      <w:pPr>
        <w:pStyle w:val="BodyText"/>
        <w:numPr>
          <w:ilvl w:val="2"/>
          <w:numId w:val="10"/>
        </w:numPr>
        <w:ind w:left="567" w:hanging="567"/>
        <w:rPr>
          <w:sz w:val="24"/>
          <w:szCs w:val="24"/>
        </w:rPr>
      </w:pPr>
      <w:bookmarkStart w:id="0" w:name="_Ref392592914"/>
      <w:r w:rsidRPr="0051749E">
        <w:rPr>
          <w:b/>
          <w:sz w:val="24"/>
          <w:szCs w:val="24"/>
        </w:rPr>
        <w:t>Corporate</w:t>
      </w:r>
      <w:r w:rsidRPr="003B393D">
        <w:rPr>
          <w:b/>
          <w:sz w:val="24"/>
          <w:szCs w:val="24"/>
        </w:rPr>
        <w:t xml:space="preserve"> captive</w:t>
      </w:r>
      <w:r w:rsidRPr="003B393D">
        <w:rPr>
          <w:sz w:val="24"/>
          <w:szCs w:val="24"/>
        </w:rPr>
        <w:t xml:space="preserve"> means an insurer that:</w:t>
      </w:r>
      <w:bookmarkEnd w:id="0"/>
    </w:p>
    <w:p w14:paraId="523EB372" w14:textId="77777777" w:rsidR="00591632" w:rsidRDefault="00591632" w:rsidP="00591632">
      <w:pPr>
        <w:pStyle w:val="BodyText"/>
        <w:numPr>
          <w:ilvl w:val="0"/>
          <w:numId w:val="3"/>
        </w:numPr>
        <w:rPr>
          <w:sz w:val="24"/>
          <w:szCs w:val="24"/>
        </w:rPr>
      </w:pPr>
      <w:r w:rsidRPr="003B393D">
        <w:rPr>
          <w:sz w:val="24"/>
          <w:szCs w:val="24"/>
        </w:rPr>
        <w:t>is owned by a single company or a group of related bodies corporate; and</w:t>
      </w:r>
    </w:p>
    <w:p w14:paraId="523EB373" w14:textId="77777777" w:rsidR="00591632" w:rsidRDefault="00591632" w:rsidP="00591632">
      <w:pPr>
        <w:pStyle w:val="BodyText"/>
        <w:numPr>
          <w:ilvl w:val="0"/>
          <w:numId w:val="3"/>
        </w:numPr>
        <w:rPr>
          <w:sz w:val="24"/>
          <w:szCs w:val="24"/>
        </w:rPr>
      </w:pPr>
      <w:r w:rsidRPr="003B393D">
        <w:rPr>
          <w:sz w:val="24"/>
          <w:szCs w:val="24"/>
        </w:rPr>
        <w:t>exists for the purpose of underwriting risks of the parent company or members of a group of related</w:t>
      </w:r>
      <w:r>
        <w:rPr>
          <w:sz w:val="24"/>
          <w:szCs w:val="24"/>
        </w:rPr>
        <w:t xml:space="preserve"> entities</w:t>
      </w:r>
      <w:r w:rsidRPr="003B393D">
        <w:rPr>
          <w:sz w:val="24"/>
          <w:szCs w:val="24"/>
        </w:rPr>
        <w:t>, which may include the risks of joint venture partners and contractors of members of the group of companies.</w:t>
      </w:r>
    </w:p>
    <w:p w14:paraId="523EB374" w14:textId="77777777" w:rsidR="00591632" w:rsidRPr="003B393D" w:rsidRDefault="00591632" w:rsidP="00591632">
      <w:pPr>
        <w:pStyle w:val="BodyText"/>
        <w:numPr>
          <w:ilvl w:val="0"/>
          <w:numId w:val="0"/>
        </w:numPr>
        <w:ind w:left="567"/>
        <w:rPr>
          <w:sz w:val="24"/>
          <w:szCs w:val="24"/>
        </w:rPr>
      </w:pPr>
      <w:r w:rsidRPr="003B393D">
        <w:rPr>
          <w:sz w:val="24"/>
          <w:szCs w:val="24"/>
        </w:rPr>
        <w:t xml:space="preserve">Corporate captives include insurance group captives.  </w:t>
      </w:r>
    </w:p>
    <w:p w14:paraId="523EB375" w14:textId="77777777" w:rsidR="00591632" w:rsidRPr="003B393D" w:rsidRDefault="00591632" w:rsidP="00591632">
      <w:pPr>
        <w:pStyle w:val="BodyText"/>
        <w:numPr>
          <w:ilvl w:val="2"/>
          <w:numId w:val="10"/>
        </w:numPr>
        <w:ind w:left="567" w:hanging="567"/>
        <w:rPr>
          <w:sz w:val="24"/>
          <w:szCs w:val="24"/>
        </w:rPr>
      </w:pPr>
      <w:bookmarkStart w:id="1" w:name="_Ref392592924"/>
      <w:r w:rsidRPr="0051749E">
        <w:rPr>
          <w:b/>
          <w:sz w:val="24"/>
          <w:szCs w:val="24"/>
        </w:rPr>
        <w:t>Insurance group captive</w:t>
      </w:r>
      <w:r w:rsidRPr="003B393D">
        <w:rPr>
          <w:sz w:val="24"/>
          <w:szCs w:val="24"/>
        </w:rPr>
        <w:t xml:space="preserve"> </w:t>
      </w:r>
      <w:r>
        <w:rPr>
          <w:sz w:val="24"/>
          <w:szCs w:val="24"/>
        </w:rPr>
        <w:t>means</w:t>
      </w:r>
      <w:r w:rsidRPr="003B393D">
        <w:rPr>
          <w:sz w:val="24"/>
          <w:szCs w:val="24"/>
        </w:rPr>
        <w:t xml:space="preserve"> an insurer that:</w:t>
      </w:r>
      <w:bookmarkEnd w:id="1"/>
    </w:p>
    <w:p w14:paraId="523EB376" w14:textId="77777777" w:rsidR="00591632" w:rsidRDefault="00591632" w:rsidP="00591632">
      <w:pPr>
        <w:pStyle w:val="BodyText"/>
        <w:numPr>
          <w:ilvl w:val="0"/>
          <w:numId w:val="6"/>
        </w:numPr>
        <w:rPr>
          <w:sz w:val="24"/>
          <w:szCs w:val="24"/>
        </w:rPr>
      </w:pPr>
      <w:r w:rsidRPr="003B393D">
        <w:rPr>
          <w:sz w:val="24"/>
          <w:szCs w:val="24"/>
        </w:rPr>
        <w:t>is a subsidiary of an insurer or an authorised NOHC; and</w:t>
      </w:r>
    </w:p>
    <w:p w14:paraId="523EB377" w14:textId="77777777" w:rsidR="00591632" w:rsidRDefault="00591632" w:rsidP="00591632">
      <w:pPr>
        <w:pStyle w:val="BodyText"/>
        <w:numPr>
          <w:ilvl w:val="0"/>
          <w:numId w:val="6"/>
        </w:numPr>
        <w:rPr>
          <w:sz w:val="24"/>
          <w:szCs w:val="24"/>
        </w:rPr>
      </w:pPr>
      <w:r w:rsidRPr="003B393D">
        <w:rPr>
          <w:sz w:val="24"/>
          <w:szCs w:val="24"/>
        </w:rPr>
        <w:t>exists for the purpose of reinsuring the risks of the insurer or members of the insurance group, which may include the risks of joint venture partners of the members of the insurance group.</w:t>
      </w:r>
    </w:p>
    <w:p w14:paraId="523EB378" w14:textId="77777777" w:rsidR="00591632" w:rsidRPr="003B393D" w:rsidRDefault="00591632" w:rsidP="00591632">
      <w:pPr>
        <w:pStyle w:val="BodyText"/>
        <w:numPr>
          <w:ilvl w:val="2"/>
          <w:numId w:val="10"/>
        </w:numPr>
        <w:ind w:left="567" w:hanging="567"/>
        <w:rPr>
          <w:sz w:val="24"/>
          <w:szCs w:val="24"/>
        </w:rPr>
      </w:pPr>
      <w:bookmarkStart w:id="2" w:name="_Ref392592948"/>
      <w:r w:rsidRPr="0051749E">
        <w:rPr>
          <w:b/>
          <w:sz w:val="24"/>
          <w:szCs w:val="24"/>
        </w:rPr>
        <w:t>Partnership captive</w:t>
      </w:r>
      <w:r w:rsidRPr="003B393D">
        <w:rPr>
          <w:sz w:val="24"/>
          <w:szCs w:val="24"/>
        </w:rPr>
        <w:t xml:space="preserve"> means an insurer that:</w:t>
      </w:r>
      <w:bookmarkEnd w:id="2"/>
    </w:p>
    <w:p w14:paraId="523EB379" w14:textId="77777777" w:rsidR="00591632" w:rsidRDefault="00591632" w:rsidP="00591632">
      <w:pPr>
        <w:pStyle w:val="BodyText"/>
        <w:numPr>
          <w:ilvl w:val="1"/>
          <w:numId w:val="3"/>
        </w:numPr>
        <w:rPr>
          <w:sz w:val="24"/>
          <w:szCs w:val="24"/>
        </w:rPr>
      </w:pPr>
      <w:r w:rsidRPr="003B393D">
        <w:rPr>
          <w:sz w:val="24"/>
          <w:szCs w:val="24"/>
        </w:rPr>
        <w:t>is owned by a partnership; and</w:t>
      </w:r>
    </w:p>
    <w:p w14:paraId="523EB37A" w14:textId="77777777" w:rsidR="00591632" w:rsidRDefault="00591632" w:rsidP="00591632">
      <w:pPr>
        <w:pStyle w:val="BodyText"/>
        <w:numPr>
          <w:ilvl w:val="1"/>
          <w:numId w:val="3"/>
        </w:numPr>
        <w:rPr>
          <w:szCs w:val="24"/>
        </w:rPr>
      </w:pPr>
      <w:r w:rsidRPr="003B393D">
        <w:rPr>
          <w:sz w:val="24"/>
          <w:szCs w:val="24"/>
        </w:rPr>
        <w:t>exists for the purpose of underwriting the business risks of the partners and/or the partnership.</w:t>
      </w:r>
    </w:p>
    <w:p w14:paraId="523EB37B" w14:textId="77777777" w:rsidR="00591632" w:rsidRPr="00036117" w:rsidRDefault="00591632" w:rsidP="00591632">
      <w:pPr>
        <w:pStyle w:val="Heading"/>
        <w:spacing w:before="120" w:after="240"/>
        <w:jc w:val="both"/>
        <w:rPr>
          <w:rFonts w:ascii="Arial" w:hAnsi="Arial"/>
          <w:bCs/>
          <w:sz w:val="24"/>
          <w:szCs w:val="24"/>
        </w:rPr>
      </w:pPr>
      <w:r>
        <w:rPr>
          <w:rFonts w:ascii="Arial" w:hAnsi="Arial"/>
          <w:bCs/>
          <w:sz w:val="24"/>
          <w:szCs w:val="24"/>
        </w:rPr>
        <w:br w:type="page"/>
      </w:r>
      <w:r w:rsidRPr="00036117">
        <w:rPr>
          <w:rFonts w:ascii="Arial" w:hAnsi="Arial"/>
          <w:bCs/>
          <w:sz w:val="24"/>
          <w:szCs w:val="24"/>
        </w:rPr>
        <w:lastRenderedPageBreak/>
        <w:t>Attachment B</w:t>
      </w:r>
    </w:p>
    <w:p w14:paraId="523EB37C" w14:textId="77777777" w:rsidR="00591632" w:rsidRPr="00036117" w:rsidRDefault="00591632" w:rsidP="00591632">
      <w:pPr>
        <w:pStyle w:val="Heading"/>
        <w:spacing w:before="120" w:after="240"/>
        <w:jc w:val="both"/>
        <w:rPr>
          <w:rFonts w:ascii="Arial" w:hAnsi="Arial"/>
          <w:bCs/>
          <w:sz w:val="24"/>
          <w:szCs w:val="24"/>
        </w:rPr>
      </w:pPr>
      <w:r w:rsidRPr="00036117">
        <w:rPr>
          <w:rFonts w:ascii="Arial" w:hAnsi="Arial"/>
          <w:bCs/>
          <w:sz w:val="24"/>
          <w:szCs w:val="24"/>
        </w:rPr>
        <w:t>Class</w:t>
      </w:r>
      <w:r>
        <w:rPr>
          <w:rFonts w:ascii="Arial" w:hAnsi="Arial"/>
          <w:bCs/>
          <w:sz w:val="24"/>
          <w:szCs w:val="24"/>
        </w:rPr>
        <w:t>es</w:t>
      </w:r>
      <w:r w:rsidRPr="00036117">
        <w:rPr>
          <w:rFonts w:ascii="Arial" w:hAnsi="Arial"/>
          <w:bCs/>
          <w:sz w:val="24"/>
          <w:szCs w:val="24"/>
        </w:rPr>
        <w:t xml:space="preserve"> of </w:t>
      </w:r>
      <w:r>
        <w:rPr>
          <w:rFonts w:ascii="Arial" w:hAnsi="Arial"/>
          <w:bCs/>
          <w:sz w:val="24"/>
          <w:szCs w:val="24"/>
        </w:rPr>
        <w:t>b</w:t>
      </w:r>
      <w:r w:rsidRPr="00036117">
        <w:rPr>
          <w:rFonts w:ascii="Arial" w:hAnsi="Arial"/>
          <w:bCs/>
          <w:sz w:val="24"/>
          <w:szCs w:val="24"/>
        </w:rPr>
        <w:t>usiness</w:t>
      </w:r>
    </w:p>
    <w:p w14:paraId="523EB37D" w14:textId="77777777" w:rsidR="00591632" w:rsidRDefault="00591632" w:rsidP="00591632">
      <w:pPr>
        <w:pStyle w:val="BodyText"/>
        <w:numPr>
          <w:ilvl w:val="0"/>
          <w:numId w:val="17"/>
        </w:numPr>
        <w:rPr>
          <w:sz w:val="24"/>
          <w:szCs w:val="24"/>
        </w:rPr>
      </w:pPr>
      <w:bookmarkStart w:id="3" w:name="_Ref392593065"/>
      <w:r w:rsidRPr="000E129C">
        <w:rPr>
          <w:b/>
          <w:sz w:val="24"/>
          <w:szCs w:val="24"/>
        </w:rPr>
        <w:t>Direct classes of business</w:t>
      </w:r>
      <w:r w:rsidRPr="000E129C">
        <w:rPr>
          <w:sz w:val="24"/>
          <w:szCs w:val="24"/>
        </w:rPr>
        <w:t xml:space="preserve"> referred to in </w:t>
      </w:r>
      <w:r>
        <w:rPr>
          <w:sz w:val="24"/>
          <w:szCs w:val="24"/>
        </w:rPr>
        <w:t>the GI P</w:t>
      </w:r>
      <w:r w:rsidRPr="000E129C">
        <w:rPr>
          <w:sz w:val="24"/>
          <w:szCs w:val="24"/>
        </w:rPr>
        <w:t xml:space="preserve">rudential </w:t>
      </w:r>
      <w:r>
        <w:rPr>
          <w:sz w:val="24"/>
          <w:szCs w:val="24"/>
        </w:rPr>
        <w:t>S</w:t>
      </w:r>
      <w:r w:rsidRPr="000E129C">
        <w:rPr>
          <w:sz w:val="24"/>
          <w:szCs w:val="24"/>
        </w:rPr>
        <w:t>tandards are defined as follows:</w:t>
      </w:r>
      <w:bookmarkEnd w:id="3"/>
    </w:p>
    <w:p w14:paraId="523EB37E" w14:textId="77777777" w:rsidR="00591632" w:rsidRDefault="00591632" w:rsidP="00591632">
      <w:pPr>
        <w:numPr>
          <w:ilvl w:val="0"/>
          <w:numId w:val="13"/>
        </w:numPr>
        <w:tabs>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1134" w:hanging="567"/>
        <w:jc w:val="both"/>
        <w:rPr>
          <w:b/>
          <w:szCs w:val="24"/>
        </w:rPr>
      </w:pPr>
      <w:r w:rsidRPr="00C75BF1">
        <w:rPr>
          <w:b/>
          <w:szCs w:val="24"/>
        </w:rPr>
        <w:t>Householders</w:t>
      </w:r>
    </w:p>
    <w:p w14:paraId="523EB37F" w14:textId="77777777" w:rsidR="00591632" w:rsidRPr="00C75BF1" w:rsidRDefault="00591632" w:rsidP="00591632">
      <w:pPr>
        <w:pStyle w:val="Header"/>
        <w:spacing w:after="240"/>
        <w:ind w:left="567"/>
        <w:jc w:val="both"/>
        <w:rPr>
          <w:snapToGrid w:val="0"/>
          <w:szCs w:val="24"/>
          <w:lang w:eastAsia="en-US"/>
        </w:rPr>
      </w:pPr>
      <w:r w:rsidRPr="00C75BF1">
        <w:rPr>
          <w:snapToGrid w:val="0"/>
          <w:szCs w:val="24"/>
          <w:lang w:eastAsia="en-US"/>
        </w:rPr>
        <w:t>This class covers the common H</w:t>
      </w:r>
      <w:r>
        <w:rPr>
          <w:snapToGrid w:val="0"/>
          <w:szCs w:val="24"/>
          <w:lang w:eastAsia="en-US"/>
        </w:rPr>
        <w:t>ouseholders</w:t>
      </w:r>
      <w:r w:rsidRPr="00C75BF1">
        <w:rPr>
          <w:snapToGrid w:val="0"/>
          <w:szCs w:val="24"/>
          <w:lang w:eastAsia="en-US"/>
        </w:rPr>
        <w:t xml:space="preserve"> policies</w:t>
      </w:r>
      <w:r>
        <w:rPr>
          <w:snapToGrid w:val="0"/>
          <w:szCs w:val="24"/>
          <w:lang w:eastAsia="en-US"/>
        </w:rPr>
        <w:t>,</w:t>
      </w:r>
      <w:r w:rsidRPr="00C75BF1">
        <w:rPr>
          <w:snapToGrid w:val="0"/>
          <w:szCs w:val="24"/>
          <w:lang w:eastAsia="en-US"/>
        </w:rPr>
        <w:t xml:space="preserve"> inclu</w:t>
      </w:r>
      <w:r>
        <w:rPr>
          <w:snapToGrid w:val="0"/>
          <w:szCs w:val="24"/>
          <w:lang w:eastAsia="en-US"/>
        </w:rPr>
        <w:t>ding the following classes/risks</w:t>
      </w:r>
      <w:r w:rsidRPr="00C75BF1">
        <w:rPr>
          <w:snapToGrid w:val="0"/>
          <w:szCs w:val="24"/>
          <w:lang w:eastAsia="en-US"/>
        </w:rPr>
        <w:t>:</w:t>
      </w:r>
    </w:p>
    <w:p w14:paraId="523EB380"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proofErr w:type="gramStart"/>
      <w:r w:rsidRPr="00C75BF1">
        <w:rPr>
          <w:snapToGrid w:val="0"/>
          <w:szCs w:val="24"/>
          <w:lang w:eastAsia="en-US"/>
        </w:rPr>
        <w:t>Contents;</w:t>
      </w:r>
      <w:proofErr w:type="gramEnd"/>
      <w:r w:rsidRPr="00C75BF1">
        <w:rPr>
          <w:snapToGrid w:val="0"/>
          <w:szCs w:val="24"/>
          <w:lang w:eastAsia="en-US"/>
        </w:rPr>
        <w:t xml:space="preserve"> </w:t>
      </w:r>
    </w:p>
    <w:p w14:paraId="523EB381"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 xml:space="preserve">Personal </w:t>
      </w:r>
      <w:proofErr w:type="gramStart"/>
      <w:r w:rsidRPr="00C75BF1">
        <w:rPr>
          <w:snapToGrid w:val="0"/>
          <w:szCs w:val="24"/>
          <w:lang w:eastAsia="en-US"/>
        </w:rPr>
        <w:t>property;</w:t>
      </w:r>
      <w:proofErr w:type="gramEnd"/>
      <w:r w:rsidRPr="00C75BF1">
        <w:rPr>
          <w:snapToGrid w:val="0"/>
          <w:szCs w:val="24"/>
          <w:lang w:eastAsia="en-US"/>
        </w:rPr>
        <w:t xml:space="preserve"> </w:t>
      </w:r>
    </w:p>
    <w:p w14:paraId="523EB382"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Arson; and</w:t>
      </w:r>
    </w:p>
    <w:p w14:paraId="523EB383"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 xml:space="preserve">Burglary.  </w:t>
      </w:r>
    </w:p>
    <w:p w14:paraId="523EB384" w14:textId="77777777" w:rsidR="00591632" w:rsidRDefault="00591632" w:rsidP="00591632">
      <w:pPr>
        <w:pStyle w:val="Header"/>
        <w:spacing w:after="240"/>
        <w:ind w:left="567"/>
        <w:jc w:val="both"/>
        <w:rPr>
          <w:snapToGrid w:val="0"/>
          <w:szCs w:val="24"/>
          <w:lang w:eastAsia="en-US"/>
        </w:rPr>
      </w:pPr>
      <w:r w:rsidRPr="00C75BF1">
        <w:rPr>
          <w:snapToGrid w:val="0"/>
          <w:szCs w:val="24"/>
          <w:lang w:eastAsia="en-US"/>
        </w:rPr>
        <w:t xml:space="preserve">Public liability normally attaching to these products </w:t>
      </w:r>
      <w:r>
        <w:rPr>
          <w:snapToGrid w:val="0"/>
          <w:szCs w:val="24"/>
          <w:lang w:eastAsia="en-US"/>
        </w:rPr>
        <w:t>is</w:t>
      </w:r>
      <w:r w:rsidRPr="00C75BF1">
        <w:rPr>
          <w:snapToGrid w:val="0"/>
          <w:szCs w:val="24"/>
          <w:lang w:eastAsia="en-US"/>
        </w:rPr>
        <w:t xml:space="preserve"> to be separated and included in </w:t>
      </w:r>
      <w:r>
        <w:rPr>
          <w:snapToGrid w:val="0"/>
          <w:szCs w:val="24"/>
          <w:lang w:eastAsia="en-US"/>
        </w:rPr>
        <w:t xml:space="preserve">the </w:t>
      </w:r>
      <w:r w:rsidRPr="00C75BF1">
        <w:rPr>
          <w:snapToGrid w:val="0"/>
          <w:szCs w:val="24"/>
          <w:lang w:eastAsia="en-US"/>
        </w:rPr>
        <w:t xml:space="preserve">Public and Product Liability class of business – item </w:t>
      </w:r>
      <w:r>
        <w:rPr>
          <w:snapToGrid w:val="0"/>
          <w:szCs w:val="24"/>
          <w:lang w:eastAsia="en-US"/>
        </w:rPr>
        <w:t>(m)</w:t>
      </w:r>
      <w:r w:rsidRPr="00C75BF1">
        <w:rPr>
          <w:snapToGrid w:val="0"/>
          <w:szCs w:val="24"/>
          <w:lang w:eastAsia="en-US"/>
        </w:rPr>
        <w:t>.</w:t>
      </w:r>
      <w:r>
        <w:rPr>
          <w:snapToGrid w:val="0"/>
          <w:szCs w:val="24"/>
          <w:lang w:eastAsia="en-US"/>
        </w:rPr>
        <w:t xml:space="preserve"> Similarly, Domestic Workers’ Compensation attaching to these products is to be separated and included in the Employers’ Liability class of business – item (o). </w:t>
      </w:r>
    </w:p>
    <w:p w14:paraId="523EB385" w14:textId="77777777" w:rsidR="00591632" w:rsidRDefault="00591632" w:rsidP="00591632">
      <w:pPr>
        <w:numPr>
          <w:ilvl w:val="0"/>
          <w:numId w:val="13"/>
        </w:numPr>
        <w:tabs>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1134" w:hanging="567"/>
        <w:jc w:val="both"/>
        <w:rPr>
          <w:b/>
          <w:szCs w:val="24"/>
        </w:rPr>
      </w:pPr>
      <w:r w:rsidRPr="00C75BF1">
        <w:rPr>
          <w:b/>
          <w:szCs w:val="24"/>
        </w:rPr>
        <w:t xml:space="preserve"> Commercial Motor </w:t>
      </w:r>
    </w:p>
    <w:p w14:paraId="523EB386" w14:textId="77777777" w:rsidR="00591632" w:rsidRPr="00C75BF1" w:rsidRDefault="00591632" w:rsidP="00591632">
      <w:pPr>
        <w:pStyle w:val="Header"/>
        <w:spacing w:after="240"/>
        <w:ind w:left="567"/>
        <w:jc w:val="both"/>
        <w:rPr>
          <w:snapToGrid w:val="0"/>
          <w:szCs w:val="24"/>
          <w:lang w:eastAsia="en-US"/>
        </w:rPr>
      </w:pPr>
      <w:r w:rsidRPr="00C75BF1">
        <w:rPr>
          <w:snapToGrid w:val="0"/>
          <w:szCs w:val="24"/>
        </w:rPr>
        <w:t>Motor vehicle insurance (including third party property damage) other than insurance covering vehicles defined below under Domestic Motor. It includes long and medium haul trucks, cranes and special vehicles</w:t>
      </w:r>
      <w:r>
        <w:rPr>
          <w:snapToGrid w:val="0"/>
          <w:szCs w:val="24"/>
        </w:rPr>
        <w:t>,</w:t>
      </w:r>
      <w:r w:rsidRPr="00C75BF1">
        <w:rPr>
          <w:snapToGrid w:val="0"/>
          <w:szCs w:val="24"/>
        </w:rPr>
        <w:t xml:space="preserve"> and policies covering fleets.</w:t>
      </w:r>
    </w:p>
    <w:p w14:paraId="523EB387" w14:textId="77777777" w:rsidR="00591632" w:rsidRDefault="00591632" w:rsidP="00591632">
      <w:pPr>
        <w:numPr>
          <w:ilvl w:val="0"/>
          <w:numId w:val="13"/>
        </w:numPr>
        <w:tabs>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1134" w:hanging="567"/>
        <w:jc w:val="both"/>
        <w:rPr>
          <w:b/>
          <w:szCs w:val="24"/>
        </w:rPr>
      </w:pPr>
      <w:r w:rsidRPr="00C75BF1">
        <w:rPr>
          <w:b/>
          <w:szCs w:val="24"/>
        </w:rPr>
        <w:t xml:space="preserve">Domestic Motor </w:t>
      </w:r>
    </w:p>
    <w:p w14:paraId="523EB388" w14:textId="77777777" w:rsidR="00591632" w:rsidRPr="00C75BF1" w:rsidRDefault="00591632" w:rsidP="00591632">
      <w:pPr>
        <w:pStyle w:val="Header"/>
        <w:spacing w:after="240"/>
        <w:ind w:left="567"/>
        <w:jc w:val="both"/>
        <w:rPr>
          <w:szCs w:val="24"/>
        </w:rPr>
      </w:pPr>
      <w:r w:rsidRPr="00C75BF1">
        <w:rPr>
          <w:szCs w:val="24"/>
        </w:rPr>
        <w:t xml:space="preserve">Motor vehicle insurance (including third party property damage) covering private use motor vehicles including utilities and lorries, </w:t>
      </w:r>
      <w:proofErr w:type="gramStart"/>
      <w:r w:rsidRPr="00C75BF1">
        <w:rPr>
          <w:szCs w:val="24"/>
        </w:rPr>
        <w:t>motor cycles</w:t>
      </w:r>
      <w:proofErr w:type="gramEnd"/>
      <w:r w:rsidRPr="00C75BF1">
        <w:rPr>
          <w:szCs w:val="24"/>
        </w:rPr>
        <w:t>, private caravans, box and boat trailers</w:t>
      </w:r>
      <w:r>
        <w:rPr>
          <w:szCs w:val="24"/>
        </w:rPr>
        <w:t>,</w:t>
      </w:r>
      <w:r w:rsidRPr="00C75BF1">
        <w:rPr>
          <w:szCs w:val="24"/>
        </w:rPr>
        <w:t xml:space="preserve"> and other vehicles not normally covered by business or commercial policies.</w:t>
      </w:r>
    </w:p>
    <w:p w14:paraId="523EB389" w14:textId="77777777" w:rsidR="00591632" w:rsidRDefault="00591632" w:rsidP="00591632">
      <w:pPr>
        <w:numPr>
          <w:ilvl w:val="0"/>
          <w:numId w:val="13"/>
        </w:numPr>
        <w:tabs>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1134" w:hanging="567"/>
        <w:jc w:val="both"/>
        <w:rPr>
          <w:b/>
          <w:szCs w:val="24"/>
        </w:rPr>
      </w:pPr>
      <w:r w:rsidRPr="00C75BF1">
        <w:rPr>
          <w:b/>
          <w:szCs w:val="24"/>
        </w:rPr>
        <w:t>Travel</w:t>
      </w:r>
    </w:p>
    <w:p w14:paraId="523EB38A" w14:textId="77777777" w:rsidR="00591632" w:rsidRPr="00C75BF1" w:rsidRDefault="00591632" w:rsidP="00591632">
      <w:pPr>
        <w:pStyle w:val="Header"/>
        <w:spacing w:after="240"/>
        <w:ind w:left="567"/>
        <w:jc w:val="both"/>
        <w:rPr>
          <w:szCs w:val="24"/>
        </w:rPr>
      </w:pPr>
      <w:r w:rsidRPr="00C75BF1">
        <w:rPr>
          <w:szCs w:val="24"/>
        </w:rPr>
        <w:t xml:space="preserve">Insurance against losses associated with </w:t>
      </w:r>
      <w:r w:rsidRPr="00C75BF1">
        <w:rPr>
          <w:snapToGrid w:val="0"/>
          <w:szCs w:val="24"/>
        </w:rPr>
        <w:t>travel</w:t>
      </w:r>
      <w:r w:rsidRPr="00C75BF1">
        <w:rPr>
          <w:szCs w:val="24"/>
        </w:rPr>
        <w:t xml:space="preserve"> including loss of baggage and personal effects, losses on flight cancellations and overseas medical costs.</w:t>
      </w:r>
    </w:p>
    <w:p w14:paraId="523EB38B" w14:textId="77777777" w:rsidR="00591632" w:rsidRDefault="00591632" w:rsidP="00591632">
      <w:pPr>
        <w:numPr>
          <w:ilvl w:val="0"/>
          <w:numId w:val="13"/>
        </w:numPr>
        <w:tabs>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1134" w:hanging="567"/>
        <w:jc w:val="both"/>
        <w:rPr>
          <w:b/>
          <w:szCs w:val="24"/>
        </w:rPr>
      </w:pPr>
      <w:r w:rsidRPr="00C75BF1">
        <w:rPr>
          <w:b/>
          <w:szCs w:val="24"/>
        </w:rPr>
        <w:t xml:space="preserve">Fire and Industrial Special Risks </w:t>
      </w:r>
      <w:r w:rsidRPr="000076E9">
        <w:rPr>
          <w:szCs w:val="24"/>
        </w:rPr>
        <w:t>(ISR)</w:t>
      </w:r>
    </w:p>
    <w:p w14:paraId="523EB38C" w14:textId="77777777" w:rsidR="00591632" w:rsidRPr="00C75BF1" w:rsidRDefault="00591632" w:rsidP="00591632">
      <w:pPr>
        <w:pStyle w:val="Heading5"/>
        <w:spacing w:after="240"/>
        <w:ind w:left="567"/>
        <w:jc w:val="both"/>
        <w:rPr>
          <w:b w:val="0"/>
          <w:sz w:val="24"/>
          <w:szCs w:val="24"/>
        </w:rPr>
      </w:pPr>
      <w:r w:rsidRPr="00C75BF1">
        <w:rPr>
          <w:b w:val="0"/>
          <w:i/>
          <w:sz w:val="24"/>
          <w:szCs w:val="24"/>
        </w:rPr>
        <w:t>Fire</w:t>
      </w:r>
      <w:r w:rsidRPr="00C75BF1">
        <w:rPr>
          <w:b w:val="0"/>
          <w:sz w:val="24"/>
          <w:szCs w:val="24"/>
        </w:rPr>
        <w:t xml:space="preserve"> </w:t>
      </w:r>
    </w:p>
    <w:p w14:paraId="523EB38D" w14:textId="77777777" w:rsidR="00591632" w:rsidRPr="00C75BF1" w:rsidRDefault="00591632" w:rsidP="00591632">
      <w:pPr>
        <w:pStyle w:val="Header"/>
        <w:spacing w:after="240"/>
        <w:ind w:left="567"/>
        <w:jc w:val="both"/>
        <w:rPr>
          <w:szCs w:val="24"/>
        </w:rPr>
      </w:pPr>
      <w:r w:rsidRPr="00C75BF1">
        <w:rPr>
          <w:szCs w:val="24"/>
        </w:rPr>
        <w:t>Includes all policies normally classified as 'Fire' and includes:</w:t>
      </w:r>
    </w:p>
    <w:p w14:paraId="523EB38E"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Pr>
          <w:snapToGrid w:val="0"/>
          <w:szCs w:val="24"/>
          <w:lang w:eastAsia="en-US"/>
        </w:rPr>
        <w:t>S</w:t>
      </w:r>
      <w:r w:rsidRPr="00C75BF1">
        <w:rPr>
          <w:snapToGrid w:val="0"/>
          <w:szCs w:val="24"/>
          <w:lang w:eastAsia="en-US"/>
        </w:rPr>
        <w:t xml:space="preserve">prinkler </w:t>
      </w:r>
      <w:proofErr w:type="gramStart"/>
      <w:r w:rsidRPr="00C75BF1">
        <w:rPr>
          <w:snapToGrid w:val="0"/>
          <w:szCs w:val="24"/>
          <w:lang w:eastAsia="en-US"/>
        </w:rPr>
        <w:t>leakage;</w:t>
      </w:r>
      <w:proofErr w:type="gramEnd"/>
      <w:r w:rsidRPr="00C75BF1">
        <w:rPr>
          <w:snapToGrid w:val="0"/>
          <w:szCs w:val="24"/>
          <w:lang w:eastAsia="en-US"/>
        </w:rPr>
        <w:t xml:space="preserve"> </w:t>
      </w:r>
    </w:p>
    <w:p w14:paraId="523EB38F"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proofErr w:type="gramStart"/>
      <w:r>
        <w:rPr>
          <w:snapToGrid w:val="0"/>
          <w:szCs w:val="24"/>
          <w:lang w:eastAsia="en-US"/>
        </w:rPr>
        <w:lastRenderedPageBreak/>
        <w:t>S</w:t>
      </w:r>
      <w:r w:rsidRPr="00C75BF1">
        <w:rPr>
          <w:snapToGrid w:val="0"/>
          <w:szCs w:val="24"/>
          <w:lang w:eastAsia="en-US"/>
        </w:rPr>
        <w:t>ubsidence;</w:t>
      </w:r>
      <w:proofErr w:type="gramEnd"/>
      <w:r w:rsidRPr="00C75BF1">
        <w:rPr>
          <w:snapToGrid w:val="0"/>
          <w:szCs w:val="24"/>
          <w:lang w:eastAsia="en-US"/>
        </w:rPr>
        <w:t xml:space="preserve"> </w:t>
      </w:r>
    </w:p>
    <w:p w14:paraId="523EB390"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proofErr w:type="gramStart"/>
      <w:r>
        <w:rPr>
          <w:snapToGrid w:val="0"/>
          <w:szCs w:val="24"/>
          <w:lang w:eastAsia="en-US"/>
        </w:rPr>
        <w:t>W</w:t>
      </w:r>
      <w:r w:rsidRPr="00C75BF1">
        <w:rPr>
          <w:snapToGrid w:val="0"/>
          <w:szCs w:val="24"/>
          <w:lang w:eastAsia="en-US"/>
        </w:rPr>
        <w:t>indstorm;</w:t>
      </w:r>
      <w:proofErr w:type="gramEnd"/>
      <w:r w:rsidRPr="00C75BF1">
        <w:rPr>
          <w:snapToGrid w:val="0"/>
          <w:szCs w:val="24"/>
          <w:lang w:eastAsia="en-US"/>
        </w:rPr>
        <w:t xml:space="preserve"> </w:t>
      </w:r>
    </w:p>
    <w:p w14:paraId="523EB391"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proofErr w:type="gramStart"/>
      <w:r>
        <w:rPr>
          <w:snapToGrid w:val="0"/>
          <w:szCs w:val="24"/>
          <w:lang w:eastAsia="en-US"/>
        </w:rPr>
        <w:t>H</w:t>
      </w:r>
      <w:r w:rsidRPr="00C75BF1">
        <w:rPr>
          <w:snapToGrid w:val="0"/>
          <w:szCs w:val="24"/>
          <w:lang w:eastAsia="en-US"/>
        </w:rPr>
        <w:t>ailstone;</w:t>
      </w:r>
      <w:proofErr w:type="gramEnd"/>
      <w:r w:rsidRPr="00C75BF1">
        <w:rPr>
          <w:snapToGrid w:val="0"/>
          <w:szCs w:val="24"/>
          <w:lang w:eastAsia="en-US"/>
        </w:rPr>
        <w:t xml:space="preserve"> </w:t>
      </w:r>
    </w:p>
    <w:p w14:paraId="523EB392"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proofErr w:type="gramStart"/>
      <w:r>
        <w:rPr>
          <w:snapToGrid w:val="0"/>
          <w:szCs w:val="24"/>
          <w:lang w:eastAsia="en-US"/>
        </w:rPr>
        <w:t>C</w:t>
      </w:r>
      <w:r w:rsidRPr="00C75BF1">
        <w:rPr>
          <w:snapToGrid w:val="0"/>
          <w:szCs w:val="24"/>
          <w:lang w:eastAsia="en-US"/>
        </w:rPr>
        <w:t>rop;</w:t>
      </w:r>
      <w:proofErr w:type="gramEnd"/>
      <w:r w:rsidRPr="00C75BF1">
        <w:rPr>
          <w:snapToGrid w:val="0"/>
          <w:szCs w:val="24"/>
          <w:lang w:eastAsia="en-US"/>
        </w:rPr>
        <w:t xml:space="preserve"> </w:t>
      </w:r>
    </w:p>
    <w:p w14:paraId="523EB393"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Pr>
          <w:snapToGrid w:val="0"/>
          <w:szCs w:val="24"/>
          <w:lang w:eastAsia="en-US"/>
        </w:rPr>
        <w:t>A</w:t>
      </w:r>
      <w:r w:rsidRPr="00C75BF1">
        <w:rPr>
          <w:snapToGrid w:val="0"/>
          <w:szCs w:val="24"/>
          <w:lang w:eastAsia="en-US"/>
        </w:rPr>
        <w:t>rson; and</w:t>
      </w:r>
    </w:p>
    <w:p w14:paraId="523EB394"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 xml:space="preserve">loss of profits and any extraneous risk normally covered under fire policies, </w:t>
      </w:r>
      <w:proofErr w:type="gramStart"/>
      <w:r w:rsidRPr="00C75BF1">
        <w:rPr>
          <w:snapToGrid w:val="0"/>
          <w:szCs w:val="24"/>
          <w:lang w:eastAsia="en-US"/>
        </w:rPr>
        <w:t>e.g.</w:t>
      </w:r>
      <w:proofErr w:type="gramEnd"/>
      <w:r w:rsidRPr="00C75BF1">
        <w:rPr>
          <w:snapToGrid w:val="0"/>
          <w:szCs w:val="24"/>
          <w:lang w:eastAsia="en-US"/>
        </w:rPr>
        <w:t xml:space="preserve"> flood.</w:t>
      </w:r>
    </w:p>
    <w:p w14:paraId="523EB395" w14:textId="77777777" w:rsidR="00591632" w:rsidRDefault="00591632" w:rsidP="00591632">
      <w:pPr>
        <w:pStyle w:val="Heading5"/>
        <w:spacing w:after="240"/>
        <w:ind w:left="567"/>
        <w:jc w:val="both"/>
        <w:rPr>
          <w:b w:val="0"/>
          <w:i/>
          <w:sz w:val="24"/>
          <w:szCs w:val="24"/>
        </w:rPr>
      </w:pPr>
      <w:r w:rsidRPr="00C75BF1">
        <w:rPr>
          <w:b w:val="0"/>
          <w:i/>
          <w:sz w:val="24"/>
          <w:szCs w:val="24"/>
        </w:rPr>
        <w:t>ISR</w:t>
      </w:r>
    </w:p>
    <w:p w14:paraId="523EB396" w14:textId="77777777" w:rsidR="00591632" w:rsidRPr="00C75BF1" w:rsidRDefault="00591632" w:rsidP="00591632">
      <w:pPr>
        <w:pStyle w:val="Header"/>
        <w:spacing w:after="240"/>
        <w:ind w:left="567"/>
        <w:jc w:val="both"/>
        <w:rPr>
          <w:szCs w:val="24"/>
        </w:rPr>
      </w:pPr>
      <w:r w:rsidRPr="00C75BF1">
        <w:rPr>
          <w:szCs w:val="24"/>
        </w:rPr>
        <w:t xml:space="preserve">Standard policy wordings exist for this type of policy. All policies </w:t>
      </w:r>
      <w:r>
        <w:rPr>
          <w:szCs w:val="24"/>
        </w:rPr>
        <w:t>that</w:t>
      </w:r>
      <w:r w:rsidRPr="00C75BF1">
        <w:rPr>
          <w:szCs w:val="24"/>
        </w:rPr>
        <w:t xml:space="preserve"> contain such standard wordings or </w:t>
      </w:r>
      <w:r>
        <w:rPr>
          <w:szCs w:val="24"/>
        </w:rPr>
        <w:t>substantially similar</w:t>
      </w:r>
      <w:r w:rsidRPr="00C75BF1">
        <w:rPr>
          <w:szCs w:val="24"/>
        </w:rPr>
        <w:t xml:space="preserve"> wording are to be classified as ISR.</w:t>
      </w:r>
    </w:p>
    <w:p w14:paraId="523EB397" w14:textId="77777777" w:rsidR="00591632" w:rsidRDefault="00591632" w:rsidP="00591632">
      <w:pPr>
        <w:numPr>
          <w:ilvl w:val="0"/>
          <w:numId w:val="13"/>
        </w:numPr>
        <w:tabs>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1134" w:hanging="567"/>
        <w:jc w:val="both"/>
        <w:rPr>
          <w:b/>
          <w:szCs w:val="24"/>
        </w:rPr>
      </w:pPr>
      <w:r w:rsidRPr="00C75BF1">
        <w:rPr>
          <w:b/>
          <w:szCs w:val="24"/>
        </w:rPr>
        <w:t xml:space="preserve">Marine </w:t>
      </w:r>
    </w:p>
    <w:p w14:paraId="523EB398" w14:textId="77777777" w:rsidR="00591632" w:rsidRDefault="00591632" w:rsidP="00591632">
      <w:pPr>
        <w:pStyle w:val="Header"/>
        <w:spacing w:after="240"/>
        <w:ind w:left="567"/>
        <w:jc w:val="both"/>
        <w:rPr>
          <w:szCs w:val="24"/>
        </w:rPr>
      </w:pPr>
      <w:r w:rsidRPr="00C75BF1">
        <w:rPr>
          <w:szCs w:val="24"/>
        </w:rPr>
        <w:t xml:space="preserve">Includes Marine Hull </w:t>
      </w:r>
      <w:r>
        <w:rPr>
          <w:szCs w:val="24"/>
        </w:rPr>
        <w:t xml:space="preserve">and Marine Liability </w:t>
      </w:r>
      <w:r w:rsidRPr="00C75BF1">
        <w:rPr>
          <w:szCs w:val="24"/>
        </w:rPr>
        <w:t>(including pleasure craft)</w:t>
      </w:r>
      <w:r>
        <w:rPr>
          <w:szCs w:val="24"/>
        </w:rPr>
        <w:t>, and</w:t>
      </w:r>
      <w:r w:rsidRPr="00C75BF1">
        <w:rPr>
          <w:szCs w:val="24"/>
        </w:rPr>
        <w:t xml:space="preserve"> Marine Cargo (including sea and inland transit insurance). </w:t>
      </w:r>
    </w:p>
    <w:p w14:paraId="523EB399" w14:textId="77777777" w:rsidR="00591632" w:rsidRDefault="00591632" w:rsidP="00591632">
      <w:pPr>
        <w:numPr>
          <w:ilvl w:val="0"/>
          <w:numId w:val="13"/>
        </w:numPr>
        <w:tabs>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1134" w:hanging="567"/>
        <w:jc w:val="both"/>
        <w:rPr>
          <w:b/>
          <w:szCs w:val="24"/>
        </w:rPr>
      </w:pPr>
      <w:r w:rsidRPr="00C75BF1">
        <w:rPr>
          <w:b/>
          <w:szCs w:val="24"/>
        </w:rPr>
        <w:t>Aviation</w:t>
      </w:r>
    </w:p>
    <w:p w14:paraId="523EB39A" w14:textId="77777777" w:rsidR="00591632" w:rsidRPr="00C75BF1" w:rsidRDefault="00591632" w:rsidP="00591632">
      <w:pPr>
        <w:pStyle w:val="Header"/>
        <w:spacing w:after="240"/>
        <w:ind w:left="567"/>
        <w:jc w:val="both"/>
        <w:rPr>
          <w:szCs w:val="24"/>
        </w:rPr>
      </w:pPr>
      <w:r w:rsidRPr="00C75BF1">
        <w:rPr>
          <w:szCs w:val="24"/>
        </w:rPr>
        <w:t>Aviation (including aircraft hull and aircraft liability).</w:t>
      </w:r>
    </w:p>
    <w:p w14:paraId="523EB39B" w14:textId="77777777" w:rsidR="00591632" w:rsidRDefault="00591632" w:rsidP="00591632">
      <w:pPr>
        <w:numPr>
          <w:ilvl w:val="0"/>
          <w:numId w:val="13"/>
        </w:numPr>
        <w:tabs>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1134" w:hanging="567"/>
        <w:jc w:val="both"/>
        <w:rPr>
          <w:b/>
          <w:szCs w:val="24"/>
        </w:rPr>
      </w:pPr>
      <w:r w:rsidRPr="00C75BF1">
        <w:rPr>
          <w:b/>
          <w:szCs w:val="24"/>
        </w:rPr>
        <w:t>Mortgage</w:t>
      </w:r>
    </w:p>
    <w:p w14:paraId="523EB39C" w14:textId="77777777" w:rsidR="00591632" w:rsidRDefault="00591632" w:rsidP="00591632">
      <w:pPr>
        <w:pStyle w:val="Header"/>
        <w:spacing w:after="240"/>
        <w:ind w:left="567"/>
        <w:jc w:val="both"/>
        <w:rPr>
          <w:szCs w:val="24"/>
        </w:rPr>
      </w:pPr>
      <w:r w:rsidRPr="00C75BF1">
        <w:rPr>
          <w:szCs w:val="24"/>
        </w:rPr>
        <w:t xml:space="preserve">Insurance against losses </w:t>
      </w:r>
      <w:r>
        <w:rPr>
          <w:szCs w:val="24"/>
        </w:rPr>
        <w:t>to a lender in the event of borrower default on a loan secured by a mortgage over residential or other property</w:t>
      </w:r>
      <w:r w:rsidRPr="00C75BF1">
        <w:rPr>
          <w:szCs w:val="24"/>
        </w:rPr>
        <w:t xml:space="preserve">. </w:t>
      </w:r>
    </w:p>
    <w:p w14:paraId="523EB39D" w14:textId="77777777" w:rsidR="00591632" w:rsidRDefault="00591632" w:rsidP="00591632">
      <w:pPr>
        <w:numPr>
          <w:ilvl w:val="0"/>
          <w:numId w:val="13"/>
        </w:numPr>
        <w:tabs>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1134" w:hanging="567"/>
        <w:jc w:val="both"/>
        <w:rPr>
          <w:b/>
          <w:szCs w:val="24"/>
        </w:rPr>
      </w:pPr>
      <w:r w:rsidRPr="00C75BF1">
        <w:rPr>
          <w:b/>
          <w:szCs w:val="24"/>
        </w:rPr>
        <w:t xml:space="preserve">Consumer Credit </w:t>
      </w:r>
      <w:r w:rsidRPr="000076E9">
        <w:rPr>
          <w:szCs w:val="24"/>
        </w:rPr>
        <w:t>(CCI)</w:t>
      </w:r>
    </w:p>
    <w:p w14:paraId="523EB39E" w14:textId="77777777" w:rsidR="00591632" w:rsidRPr="00C75BF1" w:rsidRDefault="00591632" w:rsidP="00591632">
      <w:pPr>
        <w:pStyle w:val="Header"/>
        <w:spacing w:after="240"/>
        <w:ind w:left="567"/>
        <w:jc w:val="both"/>
        <w:rPr>
          <w:szCs w:val="24"/>
        </w:rPr>
      </w:pPr>
      <w:r w:rsidRPr="00C75BF1">
        <w:rPr>
          <w:szCs w:val="24"/>
        </w:rPr>
        <w:t xml:space="preserve">Insurance to protect a consumer's ability to meet the loan repayments on personal loans and credit card finance in the event of death or loss of income due to injury, </w:t>
      </w:r>
      <w:proofErr w:type="gramStart"/>
      <w:r w:rsidRPr="00C75BF1">
        <w:rPr>
          <w:szCs w:val="24"/>
        </w:rPr>
        <w:t>illness</w:t>
      </w:r>
      <w:proofErr w:type="gramEnd"/>
      <w:r w:rsidRPr="00C75BF1">
        <w:rPr>
          <w:szCs w:val="24"/>
        </w:rPr>
        <w:t xml:space="preserve"> or unemployment.</w:t>
      </w:r>
    </w:p>
    <w:p w14:paraId="523EB39F" w14:textId="77777777" w:rsidR="00591632" w:rsidRDefault="00591632" w:rsidP="00591632">
      <w:pPr>
        <w:numPr>
          <w:ilvl w:val="0"/>
          <w:numId w:val="13"/>
        </w:numPr>
        <w:tabs>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1134" w:hanging="567"/>
        <w:jc w:val="both"/>
        <w:rPr>
          <w:b/>
          <w:szCs w:val="24"/>
        </w:rPr>
      </w:pPr>
      <w:r w:rsidRPr="00C75BF1">
        <w:rPr>
          <w:b/>
          <w:szCs w:val="24"/>
        </w:rPr>
        <w:t>Other Accident</w:t>
      </w:r>
    </w:p>
    <w:p w14:paraId="523EB3A0" w14:textId="77777777" w:rsidR="00591632" w:rsidRPr="00C75BF1" w:rsidRDefault="00591632" w:rsidP="00591632">
      <w:pPr>
        <w:pStyle w:val="Header"/>
        <w:spacing w:after="240"/>
        <w:ind w:left="567"/>
        <w:jc w:val="both"/>
        <w:rPr>
          <w:szCs w:val="24"/>
        </w:rPr>
      </w:pPr>
      <w:r w:rsidRPr="00C75BF1">
        <w:rPr>
          <w:szCs w:val="24"/>
        </w:rPr>
        <w:t>Includes the following types of insurance:</w:t>
      </w:r>
    </w:p>
    <w:p w14:paraId="523EB3A1"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Miscellaneous accident (involving cash in transit, theft, loss of money</w:t>
      </w:r>
      <w:proofErr w:type="gramStart"/>
      <w:r w:rsidRPr="00C75BF1">
        <w:rPr>
          <w:snapToGrid w:val="0"/>
          <w:szCs w:val="24"/>
          <w:lang w:eastAsia="en-US"/>
        </w:rPr>
        <w:t>);</w:t>
      </w:r>
      <w:proofErr w:type="gramEnd"/>
    </w:p>
    <w:p w14:paraId="523EB3A2"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All risks (baggage, sporting equipment, guns</w:t>
      </w:r>
      <w:proofErr w:type="gramStart"/>
      <w:r w:rsidRPr="00C75BF1">
        <w:rPr>
          <w:snapToGrid w:val="0"/>
          <w:szCs w:val="24"/>
          <w:lang w:eastAsia="en-US"/>
        </w:rPr>
        <w:t>);</w:t>
      </w:r>
      <w:proofErr w:type="gramEnd"/>
    </w:p>
    <w:p w14:paraId="523EB3A3"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 xml:space="preserve">Engineering when not part of ISR or Fire </w:t>
      </w:r>
      <w:proofErr w:type="gramStart"/>
      <w:r w:rsidRPr="00C75BF1">
        <w:rPr>
          <w:snapToGrid w:val="0"/>
          <w:szCs w:val="24"/>
          <w:lang w:eastAsia="en-US"/>
        </w:rPr>
        <w:t>policy;</w:t>
      </w:r>
      <w:proofErr w:type="gramEnd"/>
    </w:p>
    <w:p w14:paraId="523EB3A4"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Plate glass when not part of packaged policy (</w:t>
      </w:r>
      <w:proofErr w:type="gramStart"/>
      <w:r w:rsidRPr="00C75BF1">
        <w:rPr>
          <w:snapToGrid w:val="0"/>
          <w:szCs w:val="24"/>
          <w:lang w:eastAsia="en-US"/>
        </w:rPr>
        <w:t>e.g.</w:t>
      </w:r>
      <w:proofErr w:type="gramEnd"/>
      <w:r w:rsidRPr="00C75BF1">
        <w:rPr>
          <w:snapToGrid w:val="0"/>
          <w:szCs w:val="24"/>
          <w:lang w:eastAsia="en-US"/>
        </w:rPr>
        <w:t xml:space="preserve"> </w:t>
      </w:r>
      <w:r>
        <w:rPr>
          <w:snapToGrid w:val="0"/>
          <w:szCs w:val="24"/>
          <w:lang w:eastAsia="en-US"/>
        </w:rPr>
        <w:t>H</w:t>
      </w:r>
      <w:r w:rsidRPr="00C75BF1">
        <w:rPr>
          <w:snapToGrid w:val="0"/>
          <w:szCs w:val="24"/>
          <w:lang w:eastAsia="en-US"/>
        </w:rPr>
        <w:t>ouseholders)</w:t>
      </w:r>
      <w:r>
        <w:rPr>
          <w:snapToGrid w:val="0"/>
          <w:szCs w:val="24"/>
          <w:lang w:eastAsia="en-US"/>
        </w:rPr>
        <w:t>;</w:t>
      </w:r>
    </w:p>
    <w:p w14:paraId="523EB3A5"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proofErr w:type="gramStart"/>
      <w:r w:rsidRPr="00C75BF1">
        <w:rPr>
          <w:snapToGrid w:val="0"/>
          <w:szCs w:val="24"/>
          <w:lang w:eastAsia="en-US"/>
        </w:rPr>
        <w:lastRenderedPageBreak/>
        <w:t>Live</w:t>
      </w:r>
      <w:r>
        <w:rPr>
          <w:snapToGrid w:val="0"/>
          <w:szCs w:val="24"/>
          <w:lang w:eastAsia="en-US"/>
        </w:rPr>
        <w:t>s</w:t>
      </w:r>
      <w:r w:rsidRPr="00C75BF1">
        <w:rPr>
          <w:snapToGrid w:val="0"/>
          <w:szCs w:val="24"/>
          <w:lang w:eastAsia="en-US"/>
        </w:rPr>
        <w:t>tock;</w:t>
      </w:r>
      <w:proofErr w:type="gramEnd"/>
    </w:p>
    <w:p w14:paraId="523EB3A6"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Pluvius; and</w:t>
      </w:r>
    </w:p>
    <w:p w14:paraId="523EB3A7"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Sickness and Accident</w:t>
      </w:r>
      <w:r>
        <w:rPr>
          <w:snapToGrid w:val="0"/>
          <w:szCs w:val="24"/>
          <w:lang w:eastAsia="en-US"/>
        </w:rPr>
        <w:t>,</w:t>
      </w:r>
      <w:r w:rsidRPr="00C75BF1">
        <w:rPr>
          <w:snapToGrid w:val="0"/>
          <w:szCs w:val="24"/>
          <w:lang w:eastAsia="en-US"/>
        </w:rPr>
        <w:t xml:space="preserve"> </w:t>
      </w:r>
      <w:r>
        <w:rPr>
          <w:snapToGrid w:val="0"/>
          <w:szCs w:val="24"/>
          <w:lang w:eastAsia="en-US"/>
        </w:rPr>
        <w:t>which, by the terms of the policy, provides benefits for no more than 3 years.</w:t>
      </w:r>
      <w:r w:rsidRPr="00C75BF1" w:rsidDel="00DD2ED3">
        <w:rPr>
          <w:snapToGrid w:val="0"/>
          <w:szCs w:val="24"/>
          <w:lang w:eastAsia="en-US"/>
        </w:rPr>
        <w:t xml:space="preserve"> </w:t>
      </w:r>
    </w:p>
    <w:p w14:paraId="523EB3A8" w14:textId="77777777" w:rsidR="00591632" w:rsidRDefault="00591632" w:rsidP="00591632">
      <w:pPr>
        <w:numPr>
          <w:ilvl w:val="0"/>
          <w:numId w:val="13"/>
        </w:numPr>
        <w:tabs>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1134" w:hanging="567"/>
        <w:jc w:val="both"/>
        <w:rPr>
          <w:b/>
          <w:spacing w:val="-2"/>
          <w:szCs w:val="24"/>
        </w:rPr>
      </w:pPr>
      <w:r w:rsidRPr="000E129C">
        <w:rPr>
          <w:b/>
          <w:spacing w:val="-2"/>
          <w:szCs w:val="24"/>
        </w:rPr>
        <w:t>Other</w:t>
      </w:r>
    </w:p>
    <w:p w14:paraId="523EB3A9" w14:textId="77777777" w:rsidR="00591632" w:rsidRPr="00C75BF1" w:rsidRDefault="00591632" w:rsidP="00591632">
      <w:pPr>
        <w:pStyle w:val="Header"/>
        <w:spacing w:after="240"/>
        <w:ind w:left="567"/>
        <w:jc w:val="both"/>
        <w:rPr>
          <w:szCs w:val="24"/>
        </w:rPr>
      </w:pPr>
      <w:r w:rsidRPr="00C75BF1">
        <w:rPr>
          <w:szCs w:val="24"/>
        </w:rPr>
        <w:t>All other insurance business not specifically mentioned elsewhere.  It includes:</w:t>
      </w:r>
    </w:p>
    <w:p w14:paraId="523EB3AA"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 xml:space="preserve">Trade </w:t>
      </w:r>
      <w:proofErr w:type="gramStart"/>
      <w:r w:rsidRPr="00C75BF1">
        <w:rPr>
          <w:snapToGrid w:val="0"/>
          <w:szCs w:val="24"/>
          <w:lang w:eastAsia="en-US"/>
        </w:rPr>
        <w:t>Credit;</w:t>
      </w:r>
      <w:proofErr w:type="gramEnd"/>
    </w:p>
    <w:p w14:paraId="523EB3AB"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 xml:space="preserve">Extended Warranty (includes insurance by a third party for a period in excess of the </w:t>
      </w:r>
      <w:proofErr w:type="gramStart"/>
      <w:r w:rsidRPr="00C75BF1">
        <w:rPr>
          <w:snapToGrid w:val="0"/>
          <w:szCs w:val="24"/>
          <w:lang w:eastAsia="en-US"/>
        </w:rPr>
        <w:t>manufacturer's</w:t>
      </w:r>
      <w:proofErr w:type="gramEnd"/>
      <w:r w:rsidRPr="00C75BF1">
        <w:rPr>
          <w:snapToGrid w:val="0"/>
          <w:szCs w:val="24"/>
          <w:lang w:eastAsia="en-US"/>
        </w:rPr>
        <w:t xml:space="preserve"> or seller’s normal warranty</w:t>
      </w:r>
      <w:r>
        <w:rPr>
          <w:snapToGrid w:val="0"/>
          <w:szCs w:val="24"/>
          <w:lang w:eastAsia="en-US"/>
        </w:rPr>
        <w:t>)</w:t>
      </w:r>
      <w:r w:rsidRPr="00C75BF1">
        <w:rPr>
          <w:snapToGrid w:val="0"/>
          <w:szCs w:val="24"/>
          <w:lang w:eastAsia="en-US"/>
        </w:rPr>
        <w:t>;</w:t>
      </w:r>
    </w:p>
    <w:p w14:paraId="523EB3AC"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Kidnap and Ransom; and</w:t>
      </w:r>
    </w:p>
    <w:p w14:paraId="523EB3AD"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Contingency.</w:t>
      </w:r>
    </w:p>
    <w:p w14:paraId="523EB3AE" w14:textId="77777777" w:rsidR="00591632" w:rsidRDefault="00591632" w:rsidP="00591632">
      <w:pPr>
        <w:numPr>
          <w:ilvl w:val="0"/>
          <w:numId w:val="13"/>
        </w:numPr>
        <w:tabs>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1134" w:hanging="567"/>
        <w:jc w:val="both"/>
        <w:rPr>
          <w:spacing w:val="-2"/>
          <w:szCs w:val="24"/>
        </w:rPr>
      </w:pPr>
      <w:r w:rsidRPr="00C75BF1">
        <w:rPr>
          <w:b/>
          <w:spacing w:val="-2"/>
          <w:szCs w:val="24"/>
        </w:rPr>
        <w:t xml:space="preserve">Compulsory Third Party Motor Vehicle </w:t>
      </w:r>
      <w:r w:rsidRPr="000076E9">
        <w:rPr>
          <w:spacing w:val="-2"/>
          <w:szCs w:val="24"/>
        </w:rPr>
        <w:t>(CTP)</w:t>
      </w:r>
    </w:p>
    <w:p w14:paraId="523EB3AF" w14:textId="77777777" w:rsidR="00591632" w:rsidRDefault="00591632" w:rsidP="00591632">
      <w:pPr>
        <w:pStyle w:val="Header"/>
        <w:spacing w:after="240"/>
        <w:ind w:left="567"/>
        <w:jc w:val="both"/>
        <w:rPr>
          <w:szCs w:val="24"/>
        </w:rPr>
      </w:pPr>
      <w:r w:rsidRPr="00C75BF1">
        <w:rPr>
          <w:szCs w:val="24"/>
        </w:rPr>
        <w:t>This class consists only of CTP business.</w:t>
      </w:r>
    </w:p>
    <w:p w14:paraId="523EB3B0" w14:textId="77777777" w:rsidR="00591632" w:rsidRDefault="00591632" w:rsidP="00591632">
      <w:pPr>
        <w:numPr>
          <w:ilvl w:val="0"/>
          <w:numId w:val="13"/>
        </w:numPr>
        <w:tabs>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1134" w:hanging="567"/>
        <w:jc w:val="both"/>
        <w:rPr>
          <w:b/>
          <w:szCs w:val="24"/>
        </w:rPr>
      </w:pPr>
      <w:r w:rsidRPr="00C75BF1">
        <w:rPr>
          <w:b/>
          <w:szCs w:val="24"/>
        </w:rPr>
        <w:t>Public and Product Liability</w:t>
      </w:r>
    </w:p>
    <w:p w14:paraId="523EB3B1"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Public Liability covers legal liability to the public in respect of bodily injury or property damage arising out of the operation of the insured's business.  Product Liability includes policies that provide for compensation for loss and</w:t>
      </w:r>
      <w:r>
        <w:rPr>
          <w:snapToGrid w:val="0"/>
          <w:szCs w:val="24"/>
          <w:lang w:eastAsia="en-US"/>
        </w:rPr>
        <w:t>/</w:t>
      </w:r>
      <w:r w:rsidRPr="00C75BF1">
        <w:rPr>
          <w:snapToGrid w:val="0"/>
          <w:szCs w:val="24"/>
          <w:lang w:eastAsia="en-US"/>
        </w:rPr>
        <w:t xml:space="preserve">or injury caused by, or </w:t>
      </w:r>
      <w:proofErr w:type="gramStart"/>
      <w:r w:rsidRPr="00C75BF1">
        <w:rPr>
          <w:snapToGrid w:val="0"/>
          <w:szCs w:val="24"/>
          <w:lang w:eastAsia="en-US"/>
        </w:rPr>
        <w:t>as a result of</w:t>
      </w:r>
      <w:proofErr w:type="gramEnd"/>
      <w:r w:rsidRPr="00C75BF1">
        <w:rPr>
          <w:snapToGrid w:val="0"/>
          <w:szCs w:val="24"/>
          <w:lang w:eastAsia="en-US"/>
        </w:rPr>
        <w:t>, the use of goods and environmental clean-up caused by pollution spills where not covered by Fire and ISR policies.</w:t>
      </w:r>
    </w:p>
    <w:p w14:paraId="523EB3B2"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Pr>
          <w:snapToGrid w:val="0"/>
          <w:szCs w:val="24"/>
          <w:lang w:eastAsia="en-US"/>
        </w:rPr>
        <w:t>I</w:t>
      </w:r>
      <w:r w:rsidRPr="00C75BF1">
        <w:rPr>
          <w:snapToGrid w:val="0"/>
          <w:szCs w:val="24"/>
          <w:lang w:eastAsia="en-US"/>
        </w:rPr>
        <w:t>nclude</w:t>
      </w:r>
      <w:r>
        <w:rPr>
          <w:snapToGrid w:val="0"/>
          <w:szCs w:val="24"/>
          <w:lang w:eastAsia="en-US"/>
        </w:rPr>
        <w:t>s</w:t>
      </w:r>
      <w:r w:rsidRPr="00C75BF1">
        <w:rPr>
          <w:snapToGrid w:val="0"/>
          <w:szCs w:val="24"/>
          <w:lang w:eastAsia="en-US"/>
        </w:rPr>
        <w:t xml:space="preserve"> </w:t>
      </w:r>
      <w:r>
        <w:rPr>
          <w:snapToGrid w:val="0"/>
          <w:szCs w:val="24"/>
          <w:lang w:eastAsia="en-US"/>
        </w:rPr>
        <w:t>B</w:t>
      </w:r>
      <w:r w:rsidRPr="00C75BF1">
        <w:rPr>
          <w:snapToGrid w:val="0"/>
          <w:szCs w:val="24"/>
          <w:lang w:eastAsia="en-US"/>
        </w:rPr>
        <w:t xml:space="preserve">uilders </w:t>
      </w:r>
      <w:r>
        <w:rPr>
          <w:snapToGrid w:val="0"/>
          <w:szCs w:val="24"/>
          <w:lang w:eastAsia="en-US"/>
        </w:rPr>
        <w:t>W</w:t>
      </w:r>
      <w:r w:rsidRPr="00C75BF1">
        <w:rPr>
          <w:snapToGrid w:val="0"/>
          <w:szCs w:val="24"/>
          <w:lang w:eastAsia="en-US"/>
        </w:rPr>
        <w:t xml:space="preserve">arranty </w:t>
      </w:r>
      <w:r>
        <w:rPr>
          <w:snapToGrid w:val="0"/>
          <w:szCs w:val="24"/>
          <w:lang w:eastAsia="en-US"/>
        </w:rPr>
        <w:t>I</w:t>
      </w:r>
      <w:r w:rsidRPr="00C75BF1">
        <w:rPr>
          <w:snapToGrid w:val="0"/>
          <w:szCs w:val="24"/>
          <w:lang w:eastAsia="en-US"/>
        </w:rPr>
        <w:t xml:space="preserve">nsurance. </w:t>
      </w:r>
    </w:p>
    <w:p w14:paraId="523EB3B3"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pacing w:val="-2"/>
          <w:szCs w:val="24"/>
        </w:rPr>
      </w:pPr>
      <w:r w:rsidRPr="00C75BF1">
        <w:rPr>
          <w:snapToGrid w:val="0"/>
          <w:szCs w:val="24"/>
          <w:lang w:eastAsia="en-US"/>
        </w:rPr>
        <w:t xml:space="preserve">Includes public liability attaching to </w:t>
      </w:r>
      <w:proofErr w:type="gramStart"/>
      <w:r>
        <w:rPr>
          <w:snapToGrid w:val="0"/>
          <w:szCs w:val="24"/>
          <w:lang w:eastAsia="en-US"/>
        </w:rPr>
        <w:t>Householders</w:t>
      </w:r>
      <w:proofErr w:type="gramEnd"/>
      <w:r w:rsidRPr="00C75BF1">
        <w:rPr>
          <w:snapToGrid w:val="0"/>
          <w:szCs w:val="24"/>
          <w:lang w:eastAsia="en-US"/>
        </w:rPr>
        <w:t xml:space="preserve"> policies</w:t>
      </w:r>
      <w:r w:rsidRPr="00C75BF1">
        <w:rPr>
          <w:szCs w:val="24"/>
        </w:rPr>
        <w:t>.</w:t>
      </w:r>
    </w:p>
    <w:p w14:paraId="523EB3B4" w14:textId="77777777" w:rsidR="00591632" w:rsidRDefault="00591632" w:rsidP="00591632">
      <w:pPr>
        <w:numPr>
          <w:ilvl w:val="0"/>
          <w:numId w:val="13"/>
        </w:numPr>
        <w:tabs>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1134" w:hanging="567"/>
        <w:jc w:val="both"/>
        <w:rPr>
          <w:b/>
          <w:szCs w:val="24"/>
        </w:rPr>
      </w:pPr>
      <w:r w:rsidRPr="00C75BF1">
        <w:rPr>
          <w:b/>
          <w:szCs w:val="24"/>
        </w:rPr>
        <w:t xml:space="preserve">Professional Indemnity </w:t>
      </w:r>
      <w:r w:rsidRPr="000076E9">
        <w:rPr>
          <w:szCs w:val="24"/>
        </w:rPr>
        <w:t>(PI)</w:t>
      </w:r>
    </w:p>
    <w:p w14:paraId="523EB3B5"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E424E1">
        <w:rPr>
          <w:snapToGrid w:val="0"/>
          <w:szCs w:val="24"/>
          <w:lang w:eastAsia="en-US"/>
        </w:rPr>
        <w:t xml:space="preserve">PI covers professionals against liability incurred </w:t>
      </w:r>
      <w:proofErr w:type="gramStart"/>
      <w:r w:rsidRPr="00E424E1">
        <w:rPr>
          <w:snapToGrid w:val="0"/>
          <w:szCs w:val="24"/>
          <w:lang w:eastAsia="en-US"/>
        </w:rPr>
        <w:t>as a result of</w:t>
      </w:r>
      <w:proofErr w:type="gramEnd"/>
      <w:r w:rsidRPr="00E424E1">
        <w:rPr>
          <w:snapToGrid w:val="0"/>
          <w:szCs w:val="24"/>
          <w:lang w:eastAsia="en-US"/>
        </w:rPr>
        <w:t xml:space="preserve"> errors and omissions </w:t>
      </w:r>
      <w:r>
        <w:rPr>
          <w:snapToGrid w:val="0"/>
          <w:szCs w:val="24"/>
          <w:lang w:eastAsia="en-US"/>
        </w:rPr>
        <w:t xml:space="preserve">made </w:t>
      </w:r>
      <w:r w:rsidRPr="00E424E1">
        <w:rPr>
          <w:snapToGrid w:val="0"/>
          <w:szCs w:val="24"/>
          <w:lang w:eastAsia="en-US"/>
        </w:rPr>
        <w:t>in performing professional services</w:t>
      </w:r>
      <w:r>
        <w:rPr>
          <w:snapToGrid w:val="0"/>
          <w:szCs w:val="24"/>
          <w:lang w:eastAsia="en-US"/>
        </w:rPr>
        <w:t xml:space="preserve"> that has resulted in economic losses suffered by third parties.</w:t>
      </w:r>
      <w:r w:rsidRPr="00E424E1">
        <w:rPr>
          <w:snapToGrid w:val="0"/>
          <w:szCs w:val="24"/>
          <w:lang w:eastAsia="en-US"/>
        </w:rPr>
        <w:t xml:space="preserve"> </w:t>
      </w:r>
    </w:p>
    <w:p w14:paraId="523EB3B6"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zCs w:val="24"/>
        </w:rPr>
      </w:pPr>
      <w:r w:rsidRPr="00C75BF1">
        <w:rPr>
          <w:szCs w:val="24"/>
        </w:rPr>
        <w:t xml:space="preserve">Includes Directors' and Officers' </w:t>
      </w:r>
      <w:r>
        <w:rPr>
          <w:szCs w:val="24"/>
        </w:rPr>
        <w:t>L</w:t>
      </w:r>
      <w:r w:rsidRPr="00C75BF1">
        <w:rPr>
          <w:szCs w:val="24"/>
        </w:rPr>
        <w:t>iability insurance plus legal expense insurance. Cover for legal expenses is generally included in this type of policy.</w:t>
      </w:r>
    </w:p>
    <w:p w14:paraId="523EB3B7" w14:textId="77777777" w:rsidR="00591632" w:rsidRDefault="00591632" w:rsidP="00591632">
      <w:pPr>
        <w:numPr>
          <w:ilvl w:val="0"/>
          <w:numId w:val="13"/>
        </w:numPr>
        <w:tabs>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1134" w:hanging="567"/>
        <w:jc w:val="both"/>
        <w:rPr>
          <w:b/>
          <w:szCs w:val="24"/>
        </w:rPr>
      </w:pPr>
      <w:r w:rsidRPr="00C75BF1">
        <w:rPr>
          <w:b/>
          <w:szCs w:val="24"/>
        </w:rPr>
        <w:t>Employers</w:t>
      </w:r>
      <w:r>
        <w:rPr>
          <w:b/>
          <w:szCs w:val="24"/>
        </w:rPr>
        <w:t>’</w:t>
      </w:r>
      <w:r w:rsidRPr="00C75BF1">
        <w:rPr>
          <w:b/>
          <w:szCs w:val="24"/>
        </w:rPr>
        <w:t xml:space="preserve"> Liability </w:t>
      </w:r>
      <w:r w:rsidRPr="000076E9">
        <w:rPr>
          <w:szCs w:val="24"/>
        </w:rPr>
        <w:t>(EL)</w:t>
      </w:r>
    </w:p>
    <w:p w14:paraId="523EB3B8" w14:textId="77777777" w:rsidR="00591632" w:rsidRPr="00C75BF1" w:rsidRDefault="00591632" w:rsidP="00591632">
      <w:pPr>
        <w:pStyle w:val="Header"/>
        <w:spacing w:after="240"/>
        <w:ind w:left="567"/>
        <w:jc w:val="both"/>
        <w:rPr>
          <w:szCs w:val="24"/>
        </w:rPr>
      </w:pPr>
      <w:r w:rsidRPr="00C75BF1">
        <w:rPr>
          <w:szCs w:val="24"/>
        </w:rPr>
        <w:t>Includes:</w:t>
      </w:r>
    </w:p>
    <w:p w14:paraId="523EB3B9"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 xml:space="preserve">Workers' </w:t>
      </w:r>
      <w:proofErr w:type="gramStart"/>
      <w:r>
        <w:rPr>
          <w:snapToGrid w:val="0"/>
          <w:szCs w:val="24"/>
          <w:lang w:eastAsia="en-US"/>
        </w:rPr>
        <w:t>C</w:t>
      </w:r>
      <w:r w:rsidRPr="00C75BF1">
        <w:rPr>
          <w:snapToGrid w:val="0"/>
          <w:szCs w:val="24"/>
          <w:lang w:eastAsia="en-US"/>
        </w:rPr>
        <w:t>ompensation;</w:t>
      </w:r>
      <w:proofErr w:type="gramEnd"/>
      <w:r w:rsidRPr="00C75BF1">
        <w:rPr>
          <w:snapToGrid w:val="0"/>
          <w:szCs w:val="24"/>
          <w:lang w:eastAsia="en-US"/>
        </w:rPr>
        <w:t xml:space="preserve"> </w:t>
      </w:r>
    </w:p>
    <w:p w14:paraId="523EB3BA"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lastRenderedPageBreak/>
        <w:t xml:space="preserve">Seamen's </w:t>
      </w:r>
      <w:r>
        <w:rPr>
          <w:snapToGrid w:val="0"/>
          <w:szCs w:val="24"/>
          <w:lang w:eastAsia="en-US"/>
        </w:rPr>
        <w:t>C</w:t>
      </w:r>
      <w:r w:rsidRPr="00C75BF1">
        <w:rPr>
          <w:snapToGrid w:val="0"/>
          <w:szCs w:val="24"/>
          <w:lang w:eastAsia="en-US"/>
        </w:rPr>
        <w:t xml:space="preserve">ompensation; and </w:t>
      </w:r>
    </w:p>
    <w:p w14:paraId="523EB3BB"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 xml:space="preserve">Domestic </w:t>
      </w:r>
      <w:r>
        <w:rPr>
          <w:snapToGrid w:val="0"/>
          <w:szCs w:val="24"/>
          <w:lang w:eastAsia="en-US"/>
        </w:rPr>
        <w:t>W</w:t>
      </w:r>
      <w:r w:rsidRPr="00C75BF1">
        <w:rPr>
          <w:snapToGrid w:val="0"/>
          <w:szCs w:val="24"/>
          <w:lang w:eastAsia="en-US"/>
        </w:rPr>
        <w:t>orkers</w:t>
      </w:r>
      <w:r>
        <w:rPr>
          <w:snapToGrid w:val="0"/>
          <w:szCs w:val="24"/>
          <w:lang w:eastAsia="en-US"/>
        </w:rPr>
        <w:t>’</w:t>
      </w:r>
      <w:r w:rsidRPr="00C75BF1">
        <w:rPr>
          <w:snapToGrid w:val="0"/>
          <w:szCs w:val="24"/>
          <w:lang w:eastAsia="en-US"/>
        </w:rPr>
        <w:t xml:space="preserve"> </w:t>
      </w:r>
      <w:r>
        <w:rPr>
          <w:snapToGrid w:val="0"/>
          <w:szCs w:val="24"/>
          <w:lang w:eastAsia="en-US"/>
        </w:rPr>
        <w:t>C</w:t>
      </w:r>
      <w:r w:rsidRPr="00C75BF1">
        <w:rPr>
          <w:snapToGrid w:val="0"/>
          <w:szCs w:val="24"/>
          <w:lang w:eastAsia="en-US"/>
        </w:rPr>
        <w:t>ompensation.</w:t>
      </w:r>
    </w:p>
    <w:p w14:paraId="523EB3BC" w14:textId="77777777" w:rsidR="00591632" w:rsidRDefault="00591632" w:rsidP="00591632">
      <w:pPr>
        <w:pStyle w:val="BodyText"/>
        <w:numPr>
          <w:ilvl w:val="0"/>
          <w:numId w:val="17"/>
        </w:numPr>
        <w:rPr>
          <w:sz w:val="24"/>
          <w:szCs w:val="24"/>
        </w:rPr>
      </w:pPr>
      <w:r w:rsidRPr="000E129C">
        <w:rPr>
          <w:b/>
          <w:sz w:val="24"/>
          <w:szCs w:val="24"/>
        </w:rPr>
        <w:t>Reinsurance classes of business</w:t>
      </w:r>
      <w:r w:rsidRPr="00E06576">
        <w:rPr>
          <w:sz w:val="24"/>
          <w:szCs w:val="24"/>
        </w:rPr>
        <w:t xml:space="preserve"> referred to in </w:t>
      </w:r>
      <w:r>
        <w:rPr>
          <w:sz w:val="24"/>
          <w:szCs w:val="24"/>
        </w:rPr>
        <w:t>the GI P</w:t>
      </w:r>
      <w:r w:rsidRPr="00E06576">
        <w:rPr>
          <w:sz w:val="24"/>
          <w:szCs w:val="24"/>
        </w:rPr>
        <w:t xml:space="preserve">rudential </w:t>
      </w:r>
      <w:r>
        <w:rPr>
          <w:sz w:val="24"/>
          <w:szCs w:val="24"/>
        </w:rPr>
        <w:t>S</w:t>
      </w:r>
      <w:r w:rsidRPr="00E06576">
        <w:rPr>
          <w:sz w:val="24"/>
          <w:szCs w:val="24"/>
        </w:rPr>
        <w:t xml:space="preserve">tandards are defined </w:t>
      </w:r>
      <w:r>
        <w:rPr>
          <w:sz w:val="24"/>
          <w:szCs w:val="24"/>
        </w:rPr>
        <w:t xml:space="preserve">in accordance with both the direct classes of business defined in paragraph </w:t>
      </w:r>
      <w:r w:rsidR="001A0E48">
        <w:rPr>
          <w:sz w:val="24"/>
          <w:szCs w:val="24"/>
        </w:rPr>
        <w:fldChar w:fldCharType="begin"/>
      </w:r>
      <w:r w:rsidR="001A0E48">
        <w:rPr>
          <w:sz w:val="24"/>
          <w:szCs w:val="24"/>
        </w:rPr>
        <w:instrText xml:space="preserve"> REF _Ref392593065 \r \h </w:instrText>
      </w:r>
      <w:r w:rsidR="001A0E48">
        <w:rPr>
          <w:sz w:val="24"/>
          <w:szCs w:val="24"/>
        </w:rPr>
      </w:r>
      <w:r w:rsidR="001A0E48">
        <w:rPr>
          <w:sz w:val="24"/>
          <w:szCs w:val="24"/>
        </w:rPr>
        <w:fldChar w:fldCharType="separate"/>
      </w:r>
      <w:r w:rsidR="00C421EB">
        <w:rPr>
          <w:sz w:val="24"/>
          <w:szCs w:val="24"/>
        </w:rPr>
        <w:t>1</w:t>
      </w:r>
      <w:r w:rsidR="001A0E48">
        <w:rPr>
          <w:sz w:val="24"/>
          <w:szCs w:val="24"/>
        </w:rPr>
        <w:fldChar w:fldCharType="end"/>
      </w:r>
      <w:r>
        <w:rPr>
          <w:sz w:val="24"/>
          <w:szCs w:val="24"/>
        </w:rPr>
        <w:t xml:space="preserve"> of this Attachment and by the following types of reinsurance classification</w:t>
      </w:r>
      <w:r w:rsidRPr="00E06576">
        <w:rPr>
          <w:sz w:val="24"/>
          <w:szCs w:val="24"/>
        </w:rPr>
        <w:t>:</w:t>
      </w:r>
    </w:p>
    <w:p w14:paraId="523EB3BD" w14:textId="77777777" w:rsidR="00591632" w:rsidRDefault="00591632" w:rsidP="00591632">
      <w:pPr>
        <w:pStyle w:val="ListParagraph"/>
        <w:numPr>
          <w:ilvl w:val="2"/>
          <w:numId w:val="7"/>
        </w:numPr>
        <w:tabs>
          <w:tab w:val="clear" w:pos="1080"/>
        </w:tabs>
        <w:spacing w:after="240"/>
        <w:ind w:left="1134" w:hanging="567"/>
        <w:jc w:val="both"/>
        <w:rPr>
          <w:b/>
          <w:szCs w:val="24"/>
        </w:rPr>
      </w:pPr>
      <w:r w:rsidRPr="00AF2143">
        <w:rPr>
          <w:b/>
          <w:szCs w:val="24"/>
        </w:rPr>
        <w:t>Proportional</w:t>
      </w:r>
      <w:r>
        <w:rPr>
          <w:b/>
          <w:szCs w:val="24"/>
        </w:rPr>
        <w:t xml:space="preserve"> reinsurance</w:t>
      </w:r>
      <w:r w:rsidRPr="00C75BF1">
        <w:rPr>
          <w:b/>
          <w:szCs w:val="24"/>
        </w:rPr>
        <w:t xml:space="preserve"> </w:t>
      </w:r>
    </w:p>
    <w:p w14:paraId="523EB3BE" w14:textId="77777777" w:rsidR="00591632" w:rsidRDefault="00591632" w:rsidP="00591632">
      <w:pPr>
        <w:tabs>
          <w:tab w:val="num" w:pos="1701"/>
        </w:tabs>
        <w:spacing w:after="240"/>
        <w:ind w:left="567"/>
        <w:jc w:val="both"/>
        <w:rPr>
          <w:szCs w:val="24"/>
        </w:rPr>
      </w:pPr>
      <w:r>
        <w:rPr>
          <w:szCs w:val="24"/>
        </w:rPr>
        <w:t>This refers to either:</w:t>
      </w:r>
    </w:p>
    <w:p w14:paraId="523EB3BF" w14:textId="77777777" w:rsidR="00591632" w:rsidRDefault="00591632" w:rsidP="00591632">
      <w:pPr>
        <w:pStyle w:val="ListParagraph"/>
        <w:numPr>
          <w:ilvl w:val="5"/>
          <w:numId w:val="7"/>
        </w:numPr>
        <w:tabs>
          <w:tab w:val="clear" w:pos="1495"/>
          <w:tab w:val="num" w:pos="1701"/>
        </w:tabs>
        <w:spacing w:after="240"/>
        <w:ind w:left="1701" w:hanging="567"/>
        <w:contextualSpacing w:val="0"/>
        <w:jc w:val="both"/>
        <w:rPr>
          <w:szCs w:val="24"/>
        </w:rPr>
      </w:pPr>
      <w:r>
        <w:rPr>
          <w:szCs w:val="24"/>
        </w:rPr>
        <w:t xml:space="preserve">traditional forms of quota share and/or surplus reinsurance placed </w:t>
      </w:r>
      <w:r w:rsidRPr="004A6790">
        <w:rPr>
          <w:szCs w:val="24"/>
        </w:rPr>
        <w:t>on a treaty reinsurance basis</w:t>
      </w:r>
      <w:r>
        <w:rPr>
          <w:szCs w:val="24"/>
        </w:rPr>
        <w:t>; or</w:t>
      </w:r>
      <w:r w:rsidRPr="004A6790">
        <w:rPr>
          <w:szCs w:val="24"/>
        </w:rPr>
        <w:t xml:space="preserve"> </w:t>
      </w:r>
    </w:p>
    <w:p w14:paraId="523EB3C0" w14:textId="77777777" w:rsidR="00591632" w:rsidRDefault="00591632" w:rsidP="00591632">
      <w:pPr>
        <w:pStyle w:val="ListParagraph"/>
        <w:numPr>
          <w:ilvl w:val="5"/>
          <w:numId w:val="7"/>
        </w:numPr>
        <w:tabs>
          <w:tab w:val="clear" w:pos="1495"/>
          <w:tab w:val="num" w:pos="1701"/>
        </w:tabs>
        <w:spacing w:after="240"/>
        <w:ind w:left="1701" w:hanging="567"/>
        <w:contextualSpacing w:val="0"/>
        <w:jc w:val="both"/>
        <w:rPr>
          <w:szCs w:val="24"/>
        </w:rPr>
      </w:pPr>
      <w:r>
        <w:rPr>
          <w:szCs w:val="24"/>
        </w:rPr>
        <w:t xml:space="preserve">reinsurance written </w:t>
      </w:r>
      <w:r w:rsidRPr="00D60FFA">
        <w:rPr>
          <w:szCs w:val="24"/>
        </w:rPr>
        <w:t xml:space="preserve">on an individual offer and acceptance </w:t>
      </w:r>
      <w:proofErr w:type="gramStart"/>
      <w:r w:rsidRPr="00D60FFA">
        <w:rPr>
          <w:szCs w:val="24"/>
        </w:rPr>
        <w:t>basis</w:t>
      </w:r>
      <w:r>
        <w:rPr>
          <w:szCs w:val="24"/>
        </w:rPr>
        <w:t>;</w:t>
      </w:r>
      <w:proofErr w:type="gramEnd"/>
      <w:r>
        <w:rPr>
          <w:szCs w:val="24"/>
        </w:rPr>
        <w:t xml:space="preserve"> </w:t>
      </w:r>
    </w:p>
    <w:p w14:paraId="523EB3C1" w14:textId="77777777" w:rsidR="00591632" w:rsidRPr="004A6790" w:rsidRDefault="00591632" w:rsidP="00591632">
      <w:pPr>
        <w:spacing w:after="240"/>
        <w:ind w:left="1134"/>
        <w:jc w:val="both"/>
        <w:rPr>
          <w:szCs w:val="24"/>
        </w:rPr>
      </w:pPr>
      <w:r>
        <w:rPr>
          <w:szCs w:val="24"/>
        </w:rPr>
        <w:t xml:space="preserve">where the reinsurer and reinsured </w:t>
      </w:r>
      <w:r w:rsidRPr="004A6790">
        <w:rPr>
          <w:szCs w:val="24"/>
        </w:rPr>
        <w:t>share</w:t>
      </w:r>
      <w:r>
        <w:rPr>
          <w:szCs w:val="24"/>
        </w:rPr>
        <w:t>,</w:t>
      </w:r>
      <w:r w:rsidRPr="004A6790">
        <w:rPr>
          <w:szCs w:val="24"/>
        </w:rPr>
        <w:t xml:space="preserve"> in proportion</w:t>
      </w:r>
      <w:r>
        <w:rPr>
          <w:szCs w:val="24"/>
        </w:rPr>
        <w:t>,</w:t>
      </w:r>
      <w:r w:rsidRPr="004A6790">
        <w:rPr>
          <w:szCs w:val="24"/>
        </w:rPr>
        <w:t xml:space="preserve"> </w:t>
      </w:r>
      <w:r>
        <w:rPr>
          <w:szCs w:val="24"/>
        </w:rPr>
        <w:t>the</w:t>
      </w:r>
      <w:r w:rsidRPr="004A6790">
        <w:rPr>
          <w:szCs w:val="24"/>
        </w:rPr>
        <w:t xml:space="preserve"> premium and losses of the reinsured.</w:t>
      </w:r>
    </w:p>
    <w:p w14:paraId="523EB3C2" w14:textId="77777777" w:rsidR="00591632" w:rsidRPr="002374C8" w:rsidRDefault="00591632" w:rsidP="00591632">
      <w:pPr>
        <w:pStyle w:val="ListParagraph"/>
        <w:numPr>
          <w:ilvl w:val="2"/>
          <w:numId w:val="7"/>
        </w:numPr>
        <w:tabs>
          <w:tab w:val="clear" w:pos="1080"/>
          <w:tab w:val="num" w:pos="1134"/>
        </w:tabs>
        <w:spacing w:after="240"/>
        <w:ind w:left="1134" w:hanging="567"/>
        <w:jc w:val="both"/>
        <w:rPr>
          <w:szCs w:val="24"/>
        </w:rPr>
      </w:pPr>
      <w:r>
        <w:rPr>
          <w:b/>
          <w:szCs w:val="24"/>
        </w:rPr>
        <w:t>Non-proportional reinsurance</w:t>
      </w:r>
    </w:p>
    <w:p w14:paraId="523EB3C3" w14:textId="77777777" w:rsidR="00591632" w:rsidRDefault="00591632" w:rsidP="00591632">
      <w:pPr>
        <w:pStyle w:val="ListParagraph"/>
        <w:spacing w:after="240"/>
        <w:ind w:left="1134"/>
        <w:jc w:val="both"/>
        <w:rPr>
          <w:szCs w:val="24"/>
        </w:rPr>
      </w:pPr>
    </w:p>
    <w:p w14:paraId="523EB3C4" w14:textId="77777777" w:rsidR="00591632" w:rsidRDefault="00591632" w:rsidP="00591632">
      <w:pPr>
        <w:pStyle w:val="ListParagraph"/>
        <w:spacing w:after="240"/>
        <w:ind w:left="567"/>
        <w:contextualSpacing w:val="0"/>
        <w:jc w:val="both"/>
        <w:rPr>
          <w:szCs w:val="24"/>
        </w:rPr>
      </w:pPr>
      <w:r>
        <w:rPr>
          <w:szCs w:val="24"/>
        </w:rPr>
        <w:t>This refers to either:</w:t>
      </w:r>
    </w:p>
    <w:p w14:paraId="523EB3C5" w14:textId="77777777" w:rsidR="00591632" w:rsidRDefault="00591632" w:rsidP="00591632">
      <w:pPr>
        <w:pStyle w:val="ListParagraph"/>
        <w:numPr>
          <w:ilvl w:val="5"/>
          <w:numId w:val="7"/>
        </w:numPr>
        <w:tabs>
          <w:tab w:val="clear" w:pos="1495"/>
          <w:tab w:val="num" w:pos="1701"/>
        </w:tabs>
        <w:spacing w:after="240"/>
        <w:ind w:left="1701" w:hanging="566"/>
        <w:contextualSpacing w:val="0"/>
        <w:jc w:val="both"/>
        <w:rPr>
          <w:szCs w:val="24"/>
        </w:rPr>
      </w:pPr>
      <w:r>
        <w:rPr>
          <w:szCs w:val="24"/>
        </w:rPr>
        <w:t>traditional forms of excess of loss reinsurance arrangements written on a treaty reinsurance arrangement basis; or</w:t>
      </w:r>
    </w:p>
    <w:p w14:paraId="523EB3C6" w14:textId="77777777" w:rsidR="00591632" w:rsidRDefault="00591632" w:rsidP="00591632">
      <w:pPr>
        <w:pStyle w:val="ListParagraph"/>
        <w:numPr>
          <w:ilvl w:val="5"/>
          <w:numId w:val="7"/>
        </w:numPr>
        <w:tabs>
          <w:tab w:val="clear" w:pos="1495"/>
          <w:tab w:val="num" w:pos="1701"/>
        </w:tabs>
        <w:spacing w:after="240"/>
        <w:ind w:left="1701" w:hanging="566"/>
        <w:contextualSpacing w:val="0"/>
        <w:jc w:val="both"/>
        <w:rPr>
          <w:szCs w:val="24"/>
        </w:rPr>
      </w:pPr>
      <w:r>
        <w:rPr>
          <w:szCs w:val="24"/>
        </w:rPr>
        <w:t xml:space="preserve">reinsurance written on an individual offer and acceptance </w:t>
      </w:r>
      <w:proofErr w:type="gramStart"/>
      <w:r>
        <w:rPr>
          <w:szCs w:val="24"/>
        </w:rPr>
        <w:t>basis;</w:t>
      </w:r>
      <w:proofErr w:type="gramEnd"/>
      <w:r>
        <w:rPr>
          <w:szCs w:val="24"/>
        </w:rPr>
        <w:t xml:space="preserve"> </w:t>
      </w:r>
    </w:p>
    <w:p w14:paraId="523EB3C7" w14:textId="77777777" w:rsidR="00591632" w:rsidRDefault="00591632" w:rsidP="00591632">
      <w:pPr>
        <w:spacing w:after="240"/>
        <w:ind w:left="1134"/>
        <w:jc w:val="both"/>
        <w:rPr>
          <w:szCs w:val="24"/>
        </w:rPr>
      </w:pPr>
      <w:r>
        <w:rPr>
          <w:szCs w:val="24"/>
        </w:rPr>
        <w:t xml:space="preserve">where </w:t>
      </w:r>
      <w:r w:rsidRPr="004A6790">
        <w:rPr>
          <w:szCs w:val="24"/>
        </w:rPr>
        <w:t>the reinsurer pays losses only above an agreed retention</w:t>
      </w:r>
      <w:r>
        <w:rPr>
          <w:szCs w:val="24"/>
        </w:rPr>
        <w:t>/deductible</w:t>
      </w:r>
      <w:r w:rsidRPr="004A6790">
        <w:rPr>
          <w:szCs w:val="24"/>
        </w:rPr>
        <w:t xml:space="preserve"> up to an agreed maximum </w:t>
      </w:r>
      <w:r>
        <w:rPr>
          <w:szCs w:val="24"/>
        </w:rPr>
        <w:t>limit</w:t>
      </w:r>
      <w:r w:rsidRPr="004A6790">
        <w:rPr>
          <w:szCs w:val="24"/>
        </w:rPr>
        <w:t xml:space="preserve">. </w:t>
      </w:r>
    </w:p>
    <w:p w14:paraId="523EB3C8" w14:textId="77777777" w:rsidR="00591632" w:rsidRPr="00036117" w:rsidRDefault="00591632" w:rsidP="00591632">
      <w:pPr>
        <w:pStyle w:val="Heading"/>
        <w:spacing w:before="120" w:after="240"/>
        <w:jc w:val="both"/>
        <w:rPr>
          <w:rFonts w:ascii="Arial" w:hAnsi="Arial"/>
          <w:bCs/>
          <w:sz w:val="24"/>
          <w:szCs w:val="24"/>
        </w:rPr>
      </w:pPr>
      <w:r>
        <w:rPr>
          <w:rFonts w:ascii="Arial" w:hAnsi="Arial"/>
          <w:bCs/>
          <w:sz w:val="24"/>
          <w:szCs w:val="24"/>
        </w:rPr>
        <w:br w:type="page"/>
      </w:r>
      <w:r w:rsidRPr="00036117">
        <w:rPr>
          <w:rFonts w:ascii="Arial" w:hAnsi="Arial"/>
          <w:bCs/>
          <w:sz w:val="24"/>
          <w:szCs w:val="24"/>
        </w:rPr>
        <w:lastRenderedPageBreak/>
        <w:t>Attachment C</w:t>
      </w:r>
    </w:p>
    <w:p w14:paraId="523EB3C9" w14:textId="77777777" w:rsidR="00591632" w:rsidRPr="00036117" w:rsidRDefault="00591632" w:rsidP="00591632">
      <w:pPr>
        <w:pStyle w:val="Heading3"/>
        <w:spacing w:before="120" w:after="240"/>
        <w:jc w:val="both"/>
        <w:rPr>
          <w:sz w:val="24"/>
          <w:szCs w:val="24"/>
        </w:rPr>
      </w:pPr>
      <w:r w:rsidRPr="00036117">
        <w:rPr>
          <w:sz w:val="24"/>
          <w:szCs w:val="24"/>
        </w:rPr>
        <w:t>Counterparty grades</w:t>
      </w:r>
    </w:p>
    <w:p w14:paraId="523EB3CA" w14:textId="77777777" w:rsidR="00591632" w:rsidRDefault="00591632" w:rsidP="00591632">
      <w:pPr>
        <w:pStyle w:val="ListParagraph"/>
        <w:numPr>
          <w:ilvl w:val="0"/>
          <w:numId w:val="19"/>
        </w:numPr>
        <w:spacing w:after="240"/>
        <w:ind w:left="567" w:hanging="567"/>
        <w:contextualSpacing w:val="0"/>
        <w:jc w:val="both"/>
        <w:rPr>
          <w:szCs w:val="24"/>
        </w:rPr>
      </w:pPr>
      <w:bookmarkStart w:id="4" w:name="_Ref387848483"/>
      <w:r w:rsidRPr="00385ABA">
        <w:rPr>
          <w:szCs w:val="24"/>
        </w:rPr>
        <w:t>Assets subject to credit risk must be assigned a counterparty grade using one of the following methods:</w:t>
      </w:r>
      <w:bookmarkEnd w:id="4"/>
    </w:p>
    <w:p w14:paraId="523EB3CB" w14:textId="77777777" w:rsidR="00591632" w:rsidRDefault="00591632" w:rsidP="00591632">
      <w:pPr>
        <w:pStyle w:val="ListParagraph"/>
        <w:numPr>
          <w:ilvl w:val="0"/>
          <w:numId w:val="20"/>
        </w:numPr>
        <w:spacing w:after="240"/>
        <w:ind w:left="1134" w:hanging="567"/>
        <w:contextualSpacing w:val="0"/>
        <w:jc w:val="both"/>
        <w:rPr>
          <w:szCs w:val="24"/>
        </w:rPr>
      </w:pPr>
      <w:r>
        <w:rPr>
          <w:szCs w:val="24"/>
        </w:rPr>
        <w:t>f</w:t>
      </w:r>
      <w:r w:rsidRPr="00385ABA">
        <w:rPr>
          <w:szCs w:val="24"/>
        </w:rPr>
        <w:t>or publicly rated assets refer to paragraph</w:t>
      </w:r>
      <w:r>
        <w:rPr>
          <w:szCs w:val="24"/>
        </w:rPr>
        <w:t>s</w:t>
      </w:r>
      <w:r w:rsidRPr="00385ABA">
        <w:rPr>
          <w:szCs w:val="24"/>
        </w:rPr>
        <w:t xml:space="preserve"> </w:t>
      </w:r>
      <w:r w:rsidR="00344FAE">
        <w:rPr>
          <w:szCs w:val="24"/>
        </w:rPr>
        <w:fldChar w:fldCharType="begin"/>
      </w:r>
      <w:r w:rsidR="00344FAE">
        <w:rPr>
          <w:szCs w:val="24"/>
        </w:rPr>
        <w:instrText xml:space="preserve"> REF _Ref392593107 \r \h </w:instrText>
      </w:r>
      <w:r w:rsidR="00344FAE">
        <w:rPr>
          <w:szCs w:val="24"/>
        </w:rPr>
      </w:r>
      <w:r w:rsidR="00344FAE">
        <w:rPr>
          <w:szCs w:val="24"/>
        </w:rPr>
        <w:fldChar w:fldCharType="separate"/>
      </w:r>
      <w:r w:rsidR="00C421EB">
        <w:rPr>
          <w:szCs w:val="24"/>
        </w:rPr>
        <w:t>2</w:t>
      </w:r>
      <w:r w:rsidR="00344FAE">
        <w:rPr>
          <w:szCs w:val="24"/>
        </w:rPr>
        <w:fldChar w:fldCharType="end"/>
      </w:r>
      <w:r>
        <w:rPr>
          <w:szCs w:val="24"/>
        </w:rPr>
        <w:t xml:space="preserve"> and </w:t>
      </w:r>
      <w:r w:rsidR="00344FAE">
        <w:rPr>
          <w:szCs w:val="24"/>
        </w:rPr>
        <w:fldChar w:fldCharType="begin"/>
      </w:r>
      <w:r w:rsidR="00344FAE">
        <w:rPr>
          <w:szCs w:val="24"/>
        </w:rPr>
        <w:instrText xml:space="preserve"> REF _Ref392593117 \r \h </w:instrText>
      </w:r>
      <w:r w:rsidR="00344FAE">
        <w:rPr>
          <w:szCs w:val="24"/>
        </w:rPr>
      </w:r>
      <w:r w:rsidR="00344FAE">
        <w:rPr>
          <w:szCs w:val="24"/>
        </w:rPr>
        <w:fldChar w:fldCharType="separate"/>
      </w:r>
      <w:r w:rsidR="00C421EB">
        <w:rPr>
          <w:szCs w:val="24"/>
        </w:rPr>
        <w:t>3</w:t>
      </w:r>
      <w:r w:rsidR="00344FAE">
        <w:rPr>
          <w:szCs w:val="24"/>
        </w:rPr>
        <w:fldChar w:fldCharType="end"/>
      </w:r>
      <w:r>
        <w:rPr>
          <w:szCs w:val="24"/>
        </w:rPr>
        <w:t xml:space="preserve"> of this </w:t>
      </w:r>
      <w:proofErr w:type="gramStart"/>
      <w:r>
        <w:rPr>
          <w:szCs w:val="24"/>
        </w:rPr>
        <w:t>Attachment</w:t>
      </w:r>
      <w:r w:rsidRPr="00385ABA">
        <w:rPr>
          <w:szCs w:val="24"/>
        </w:rPr>
        <w:t>;</w:t>
      </w:r>
      <w:proofErr w:type="gramEnd"/>
      <w:r>
        <w:rPr>
          <w:szCs w:val="24"/>
        </w:rPr>
        <w:t xml:space="preserve"> </w:t>
      </w:r>
    </w:p>
    <w:p w14:paraId="523EB3CC" w14:textId="77777777" w:rsidR="00591632" w:rsidRDefault="00591632" w:rsidP="00591632">
      <w:pPr>
        <w:pStyle w:val="ListParagraph"/>
        <w:numPr>
          <w:ilvl w:val="0"/>
          <w:numId w:val="20"/>
        </w:numPr>
        <w:spacing w:after="240"/>
        <w:ind w:left="1134" w:hanging="567"/>
        <w:contextualSpacing w:val="0"/>
        <w:jc w:val="both"/>
        <w:rPr>
          <w:szCs w:val="24"/>
        </w:rPr>
      </w:pPr>
      <w:r>
        <w:rPr>
          <w:szCs w:val="24"/>
        </w:rPr>
        <w:t>f</w:t>
      </w:r>
      <w:r w:rsidRPr="00385ABA">
        <w:rPr>
          <w:szCs w:val="24"/>
        </w:rPr>
        <w:t xml:space="preserve">or non-publicly rated </w:t>
      </w:r>
      <w:r>
        <w:rPr>
          <w:szCs w:val="24"/>
        </w:rPr>
        <w:t xml:space="preserve">assets </w:t>
      </w:r>
      <w:proofErr w:type="gramStart"/>
      <w:r w:rsidRPr="00385ABA">
        <w:rPr>
          <w:szCs w:val="24"/>
        </w:rPr>
        <w:t xml:space="preserve">secured  </w:t>
      </w:r>
      <w:r>
        <w:rPr>
          <w:szCs w:val="24"/>
        </w:rPr>
        <w:t>by</w:t>
      </w:r>
      <w:proofErr w:type="gramEnd"/>
      <w:r>
        <w:rPr>
          <w:szCs w:val="24"/>
        </w:rPr>
        <w:t xml:space="preserve"> a residential </w:t>
      </w:r>
      <w:r w:rsidRPr="00385ABA">
        <w:rPr>
          <w:szCs w:val="24"/>
        </w:rPr>
        <w:t>mortgage refer to paragraph</w:t>
      </w:r>
      <w:r>
        <w:rPr>
          <w:szCs w:val="24"/>
        </w:rPr>
        <w:t>s</w:t>
      </w:r>
      <w:r w:rsidRPr="00385ABA">
        <w:rPr>
          <w:szCs w:val="24"/>
        </w:rPr>
        <w:t xml:space="preserve"> </w:t>
      </w:r>
      <w:r w:rsidR="00F13250">
        <w:fldChar w:fldCharType="begin"/>
      </w:r>
      <w:r w:rsidR="00F13250">
        <w:rPr>
          <w:szCs w:val="24"/>
        </w:rPr>
        <w:instrText xml:space="preserve"> REF _Ref307817066 \r \h </w:instrText>
      </w:r>
      <w:r w:rsidR="00F13250">
        <w:fldChar w:fldCharType="separate"/>
      </w:r>
      <w:r w:rsidR="00C421EB">
        <w:rPr>
          <w:szCs w:val="24"/>
        </w:rPr>
        <w:t>8</w:t>
      </w:r>
      <w:r w:rsidR="00F13250">
        <w:fldChar w:fldCharType="end"/>
      </w:r>
      <w:r>
        <w:rPr>
          <w:szCs w:val="24"/>
        </w:rPr>
        <w:t xml:space="preserve"> to </w:t>
      </w:r>
      <w:r w:rsidR="00F13250">
        <w:fldChar w:fldCharType="begin"/>
      </w:r>
      <w:r w:rsidR="00F13250">
        <w:rPr>
          <w:szCs w:val="24"/>
        </w:rPr>
        <w:instrText xml:space="preserve"> REF _Ref307817075 \r \h </w:instrText>
      </w:r>
      <w:r w:rsidR="00F13250">
        <w:fldChar w:fldCharType="separate"/>
      </w:r>
      <w:r w:rsidR="00C421EB">
        <w:rPr>
          <w:szCs w:val="24"/>
        </w:rPr>
        <w:t>12</w:t>
      </w:r>
      <w:r w:rsidR="00F13250">
        <w:fldChar w:fldCharType="end"/>
      </w:r>
      <w:r>
        <w:t xml:space="preserve"> of this Attachment</w:t>
      </w:r>
      <w:r w:rsidRPr="00385ABA">
        <w:rPr>
          <w:szCs w:val="24"/>
        </w:rPr>
        <w:t>. A</w:t>
      </w:r>
      <w:r>
        <w:rPr>
          <w:szCs w:val="24"/>
        </w:rPr>
        <w:t>n asset</w:t>
      </w:r>
      <w:r w:rsidRPr="00385ABA">
        <w:rPr>
          <w:szCs w:val="24"/>
        </w:rPr>
        <w:t xml:space="preserve"> secured </w:t>
      </w:r>
      <w:r>
        <w:rPr>
          <w:szCs w:val="24"/>
        </w:rPr>
        <w:t>by</w:t>
      </w:r>
      <w:r w:rsidRPr="00385ABA">
        <w:rPr>
          <w:szCs w:val="24"/>
        </w:rPr>
        <w:t xml:space="preserve"> </w:t>
      </w:r>
      <w:r>
        <w:rPr>
          <w:szCs w:val="24"/>
        </w:rPr>
        <w:t xml:space="preserve">a residential </w:t>
      </w:r>
      <w:r w:rsidRPr="00385ABA">
        <w:rPr>
          <w:szCs w:val="24"/>
        </w:rPr>
        <w:t xml:space="preserve">mortgage comprises an investment held by way of a registered lien, </w:t>
      </w:r>
      <w:proofErr w:type="gramStart"/>
      <w:r w:rsidRPr="00385ABA">
        <w:rPr>
          <w:szCs w:val="24"/>
        </w:rPr>
        <w:t>charge</w:t>
      </w:r>
      <w:proofErr w:type="gramEnd"/>
      <w:r w:rsidRPr="00385ABA">
        <w:rPr>
          <w:szCs w:val="24"/>
        </w:rPr>
        <w:t xml:space="preserve"> or mortgage over residential property. The valuation must have been performed by a qualified valuer</w:t>
      </w:r>
      <w:r>
        <w:rPr>
          <w:szCs w:val="24"/>
        </w:rPr>
        <w:t xml:space="preserve">.  The property cannot be a speculative construction or a property </w:t>
      </w:r>
      <w:proofErr w:type="gramStart"/>
      <w:r>
        <w:rPr>
          <w:szCs w:val="24"/>
        </w:rPr>
        <w:t>development;</w:t>
      </w:r>
      <w:proofErr w:type="gramEnd"/>
      <w:r>
        <w:rPr>
          <w:szCs w:val="24"/>
        </w:rPr>
        <w:t xml:space="preserve"> </w:t>
      </w:r>
    </w:p>
    <w:p w14:paraId="523EB3CD" w14:textId="77777777" w:rsidR="00591632" w:rsidRDefault="00591632" w:rsidP="00591632">
      <w:pPr>
        <w:pStyle w:val="ListParagraph"/>
        <w:numPr>
          <w:ilvl w:val="0"/>
          <w:numId w:val="20"/>
        </w:numPr>
        <w:spacing w:after="240"/>
        <w:ind w:left="1134" w:hanging="567"/>
        <w:contextualSpacing w:val="0"/>
        <w:jc w:val="both"/>
        <w:rPr>
          <w:szCs w:val="24"/>
        </w:rPr>
      </w:pPr>
      <w:r>
        <w:rPr>
          <w:szCs w:val="24"/>
        </w:rPr>
        <w:t xml:space="preserve">assets other than those referred to in (a) and (b) </w:t>
      </w:r>
      <w:r w:rsidRPr="00385ABA">
        <w:rPr>
          <w:szCs w:val="24"/>
        </w:rPr>
        <w:t xml:space="preserve">may be rated using private external ratings or a </w:t>
      </w:r>
      <w:r>
        <w:rPr>
          <w:szCs w:val="24"/>
        </w:rPr>
        <w:t>regulated institution</w:t>
      </w:r>
      <w:r w:rsidRPr="00385ABA">
        <w:rPr>
          <w:szCs w:val="24"/>
        </w:rPr>
        <w:t>’s own ratings, but only with the prior approval of APRA;</w:t>
      </w:r>
      <w:r>
        <w:rPr>
          <w:szCs w:val="24"/>
        </w:rPr>
        <w:t xml:space="preserve"> or</w:t>
      </w:r>
    </w:p>
    <w:p w14:paraId="523EB3CE" w14:textId="77777777" w:rsidR="00591632" w:rsidRDefault="00591632" w:rsidP="00591632">
      <w:pPr>
        <w:pStyle w:val="ListParagraph"/>
        <w:numPr>
          <w:ilvl w:val="0"/>
          <w:numId w:val="20"/>
        </w:numPr>
        <w:spacing w:after="240"/>
        <w:ind w:left="1134" w:hanging="567"/>
        <w:contextualSpacing w:val="0"/>
        <w:jc w:val="both"/>
        <w:rPr>
          <w:b/>
          <w:szCs w:val="24"/>
        </w:rPr>
      </w:pPr>
      <w:r>
        <w:rPr>
          <w:szCs w:val="24"/>
        </w:rPr>
        <w:t>assets other than those referred to in (a) and (b)</w:t>
      </w:r>
      <w:r w:rsidRPr="00385ABA">
        <w:rPr>
          <w:szCs w:val="24"/>
        </w:rPr>
        <w:t xml:space="preserve"> that have not been rated using methods approved by APRA must be assigned a counterparty grade of </w:t>
      </w:r>
      <w:r>
        <w:rPr>
          <w:szCs w:val="24"/>
        </w:rPr>
        <w:t>5.</w:t>
      </w:r>
    </w:p>
    <w:p w14:paraId="523EB3CF" w14:textId="77777777" w:rsidR="00591632" w:rsidRDefault="00591632" w:rsidP="00591632">
      <w:pPr>
        <w:pStyle w:val="ListParagraph"/>
        <w:numPr>
          <w:ilvl w:val="0"/>
          <w:numId w:val="19"/>
        </w:numPr>
        <w:spacing w:after="240"/>
        <w:ind w:left="567" w:hanging="567"/>
        <w:contextualSpacing w:val="0"/>
        <w:jc w:val="both"/>
        <w:rPr>
          <w:szCs w:val="24"/>
        </w:rPr>
      </w:pPr>
      <w:bookmarkStart w:id="5" w:name="_Ref392593107"/>
      <w:r>
        <w:rPr>
          <w:szCs w:val="24"/>
        </w:rPr>
        <w:t>P</w:t>
      </w:r>
      <w:r w:rsidRPr="00FF37C3">
        <w:rPr>
          <w:szCs w:val="24"/>
        </w:rPr>
        <w:t xml:space="preserve">ublicly rated assets are assigned </w:t>
      </w:r>
      <w:r>
        <w:rPr>
          <w:szCs w:val="24"/>
        </w:rPr>
        <w:t xml:space="preserve">a counterparty grade based on </w:t>
      </w:r>
      <w:r w:rsidRPr="00FF37C3">
        <w:rPr>
          <w:szCs w:val="24"/>
        </w:rPr>
        <w:t xml:space="preserve">the following tables. </w:t>
      </w:r>
      <w:r>
        <w:rPr>
          <w:szCs w:val="24"/>
        </w:rPr>
        <w:t>The s</w:t>
      </w:r>
      <w:r w:rsidRPr="00385ABA">
        <w:rPr>
          <w:szCs w:val="24"/>
        </w:rPr>
        <w:t xml:space="preserve">hort-term ratings </w:t>
      </w:r>
      <w:r>
        <w:rPr>
          <w:szCs w:val="24"/>
        </w:rPr>
        <w:t xml:space="preserve">in Table 1 </w:t>
      </w:r>
      <w:r w:rsidRPr="00385ABA">
        <w:rPr>
          <w:szCs w:val="24"/>
        </w:rPr>
        <w:t xml:space="preserve">are typically used for assets with original term to maturity of not more than 13 months. For other assets the long-term ratings </w:t>
      </w:r>
      <w:r>
        <w:rPr>
          <w:szCs w:val="24"/>
        </w:rPr>
        <w:t xml:space="preserve">in Table 2 </w:t>
      </w:r>
      <w:r w:rsidRPr="00385ABA">
        <w:rPr>
          <w:szCs w:val="24"/>
        </w:rPr>
        <w:t>apply.</w:t>
      </w:r>
      <w:r>
        <w:rPr>
          <w:szCs w:val="24"/>
        </w:rPr>
        <w:t xml:space="preserve"> The credit ratings in Table 1 and Table 2 include structured finance ratings with the (sf) indicator.</w:t>
      </w:r>
      <w:bookmarkEnd w:id="5"/>
    </w:p>
    <w:p w14:paraId="523EB3D0" w14:textId="77777777" w:rsidR="00591632" w:rsidRDefault="00591632" w:rsidP="00591632">
      <w:pPr>
        <w:ind w:firstLine="567"/>
        <w:jc w:val="both"/>
        <w:rPr>
          <w:b/>
        </w:rPr>
      </w:pPr>
      <w:r>
        <w:rPr>
          <w:b/>
        </w:rPr>
        <w:t xml:space="preserve">Table 1: </w:t>
      </w:r>
      <w:r w:rsidRPr="00385ABA">
        <w:rPr>
          <w:b/>
        </w:rPr>
        <w:t>Short-term ratings</w:t>
      </w:r>
    </w:p>
    <w:p w14:paraId="523EB3D1" w14:textId="77777777" w:rsidR="00591632" w:rsidRDefault="00591632" w:rsidP="00591632">
      <w:pPr>
        <w:jc w:val="both"/>
        <w:rPr>
          <w:b/>
        </w:rPr>
      </w:pPr>
    </w:p>
    <w:tbl>
      <w:tblPr>
        <w:tblW w:w="7797" w:type="dxa"/>
        <w:tblInd w:w="675" w:type="dxa"/>
        <w:tblBorders>
          <w:top w:val="nil"/>
          <w:left w:val="nil"/>
          <w:bottom w:val="nil"/>
          <w:right w:val="nil"/>
        </w:tblBorders>
        <w:tblLayout w:type="fixed"/>
        <w:tblLook w:val="0000" w:firstRow="0" w:lastRow="0" w:firstColumn="0" w:lastColumn="0" w:noHBand="0" w:noVBand="0"/>
      </w:tblPr>
      <w:tblGrid>
        <w:gridCol w:w="1134"/>
        <w:gridCol w:w="1665"/>
        <w:gridCol w:w="1666"/>
        <w:gridCol w:w="1666"/>
        <w:gridCol w:w="1666"/>
      </w:tblGrid>
      <w:tr w:rsidR="00591632" w:rsidRPr="00385ABA" w14:paraId="523EB3D7" w14:textId="77777777" w:rsidTr="001F0A57">
        <w:trPr>
          <w:trHeight w:val="297"/>
        </w:trPr>
        <w:tc>
          <w:tcPr>
            <w:tcW w:w="1134" w:type="dxa"/>
            <w:tcBorders>
              <w:top w:val="single" w:sz="8" w:space="0" w:color="000000"/>
              <w:left w:val="single" w:sz="8" w:space="0" w:color="000000"/>
              <w:bottom w:val="single" w:sz="8" w:space="0" w:color="000000"/>
              <w:right w:val="single" w:sz="8" w:space="0" w:color="000000"/>
            </w:tcBorders>
          </w:tcPr>
          <w:p w14:paraId="523EB3D2" w14:textId="77777777" w:rsidR="00591632" w:rsidRDefault="00591632" w:rsidP="001F0A57">
            <w:pPr>
              <w:autoSpaceDE w:val="0"/>
              <w:autoSpaceDN w:val="0"/>
              <w:adjustRightInd w:val="0"/>
              <w:jc w:val="center"/>
              <w:rPr>
                <w:color w:val="000000"/>
              </w:rPr>
            </w:pPr>
            <w:r w:rsidRPr="00385ABA">
              <w:rPr>
                <w:b/>
                <w:bCs/>
                <w:color w:val="000000"/>
              </w:rPr>
              <w:t>Grade</w:t>
            </w:r>
          </w:p>
        </w:tc>
        <w:tc>
          <w:tcPr>
            <w:tcW w:w="1665" w:type="dxa"/>
            <w:tcBorders>
              <w:top w:val="single" w:sz="8" w:space="0" w:color="000000"/>
              <w:right w:val="single" w:sz="8" w:space="0" w:color="000000"/>
            </w:tcBorders>
          </w:tcPr>
          <w:p w14:paraId="523EB3D3" w14:textId="77777777" w:rsidR="00591632" w:rsidRDefault="00591632" w:rsidP="001F0A57">
            <w:pPr>
              <w:autoSpaceDE w:val="0"/>
              <w:autoSpaceDN w:val="0"/>
              <w:adjustRightInd w:val="0"/>
              <w:jc w:val="center"/>
              <w:rPr>
                <w:color w:val="000000"/>
              </w:rPr>
            </w:pPr>
            <w:r w:rsidRPr="00385ABA">
              <w:rPr>
                <w:b/>
                <w:bCs/>
                <w:color w:val="000000"/>
              </w:rPr>
              <w:t>Standard &amp; Poor’s</w:t>
            </w:r>
          </w:p>
        </w:tc>
        <w:tc>
          <w:tcPr>
            <w:tcW w:w="1666" w:type="dxa"/>
            <w:tcBorders>
              <w:top w:val="single" w:sz="8" w:space="0" w:color="000000"/>
              <w:right w:val="single" w:sz="8" w:space="0" w:color="000000"/>
            </w:tcBorders>
          </w:tcPr>
          <w:p w14:paraId="523EB3D4" w14:textId="77777777" w:rsidR="00591632" w:rsidRDefault="00591632" w:rsidP="001F0A57">
            <w:pPr>
              <w:autoSpaceDE w:val="0"/>
              <w:autoSpaceDN w:val="0"/>
              <w:adjustRightInd w:val="0"/>
              <w:jc w:val="center"/>
              <w:rPr>
                <w:color w:val="000000"/>
              </w:rPr>
            </w:pPr>
            <w:r w:rsidRPr="00385ABA">
              <w:rPr>
                <w:b/>
                <w:bCs/>
                <w:color w:val="000000"/>
              </w:rPr>
              <w:t>Moody’s</w:t>
            </w:r>
          </w:p>
        </w:tc>
        <w:tc>
          <w:tcPr>
            <w:tcW w:w="1666" w:type="dxa"/>
            <w:tcBorders>
              <w:top w:val="single" w:sz="8" w:space="0" w:color="000000"/>
              <w:right w:val="single" w:sz="8" w:space="0" w:color="000000"/>
            </w:tcBorders>
          </w:tcPr>
          <w:p w14:paraId="523EB3D5" w14:textId="77777777" w:rsidR="00591632" w:rsidRDefault="00591632" w:rsidP="001F0A57">
            <w:pPr>
              <w:autoSpaceDE w:val="0"/>
              <w:autoSpaceDN w:val="0"/>
              <w:adjustRightInd w:val="0"/>
              <w:jc w:val="center"/>
              <w:rPr>
                <w:color w:val="000000"/>
              </w:rPr>
            </w:pPr>
            <w:r w:rsidRPr="00385ABA">
              <w:rPr>
                <w:b/>
                <w:bCs/>
                <w:color w:val="000000"/>
              </w:rPr>
              <w:t>AM Best</w:t>
            </w:r>
          </w:p>
        </w:tc>
        <w:tc>
          <w:tcPr>
            <w:tcW w:w="1666" w:type="dxa"/>
            <w:tcBorders>
              <w:top w:val="single" w:sz="8" w:space="0" w:color="000000"/>
              <w:bottom w:val="single" w:sz="8" w:space="0" w:color="000000"/>
              <w:right w:val="single" w:sz="8" w:space="0" w:color="000000"/>
            </w:tcBorders>
          </w:tcPr>
          <w:p w14:paraId="523EB3D6" w14:textId="77777777" w:rsidR="00591632" w:rsidRDefault="00591632" w:rsidP="001F0A57">
            <w:pPr>
              <w:autoSpaceDE w:val="0"/>
              <w:autoSpaceDN w:val="0"/>
              <w:adjustRightInd w:val="0"/>
              <w:jc w:val="center"/>
              <w:rPr>
                <w:color w:val="000000"/>
              </w:rPr>
            </w:pPr>
            <w:r w:rsidRPr="00385ABA">
              <w:rPr>
                <w:b/>
                <w:bCs/>
                <w:color w:val="000000"/>
              </w:rPr>
              <w:t>Fitch</w:t>
            </w:r>
          </w:p>
        </w:tc>
      </w:tr>
      <w:tr w:rsidR="00591632" w:rsidRPr="00385ABA" w14:paraId="523EB3DD" w14:textId="77777777" w:rsidTr="001F0A57">
        <w:trPr>
          <w:trHeight w:val="157"/>
        </w:trPr>
        <w:tc>
          <w:tcPr>
            <w:tcW w:w="1134" w:type="dxa"/>
            <w:tcBorders>
              <w:top w:val="single" w:sz="8" w:space="0" w:color="000000"/>
              <w:left w:val="single" w:sz="8" w:space="0" w:color="000000"/>
              <w:bottom w:val="single" w:sz="8" w:space="0" w:color="000000"/>
              <w:right w:val="single" w:sz="8" w:space="0" w:color="000000"/>
            </w:tcBorders>
          </w:tcPr>
          <w:p w14:paraId="523EB3D8" w14:textId="77777777" w:rsidR="00591632" w:rsidRDefault="00591632" w:rsidP="001F0A57">
            <w:pPr>
              <w:autoSpaceDE w:val="0"/>
              <w:autoSpaceDN w:val="0"/>
              <w:adjustRightInd w:val="0"/>
              <w:jc w:val="center"/>
              <w:rPr>
                <w:color w:val="000000"/>
              </w:rPr>
            </w:pPr>
            <w:r w:rsidRPr="00385ABA">
              <w:rPr>
                <w:color w:val="000000"/>
              </w:rPr>
              <w:t>1</w:t>
            </w:r>
          </w:p>
        </w:tc>
        <w:tc>
          <w:tcPr>
            <w:tcW w:w="1665" w:type="dxa"/>
            <w:tcBorders>
              <w:top w:val="single" w:sz="8" w:space="0" w:color="000000"/>
              <w:right w:val="single" w:sz="8" w:space="0" w:color="000000"/>
            </w:tcBorders>
          </w:tcPr>
          <w:p w14:paraId="523EB3D9" w14:textId="77777777" w:rsidR="00591632" w:rsidRDefault="00591632" w:rsidP="001F0A57">
            <w:pPr>
              <w:autoSpaceDE w:val="0"/>
              <w:autoSpaceDN w:val="0"/>
              <w:adjustRightInd w:val="0"/>
              <w:jc w:val="center"/>
              <w:rPr>
                <w:color w:val="000000"/>
              </w:rPr>
            </w:pPr>
            <w:r w:rsidRPr="00385ABA">
              <w:rPr>
                <w:color w:val="000000"/>
              </w:rPr>
              <w:t>A1+</w:t>
            </w:r>
          </w:p>
        </w:tc>
        <w:tc>
          <w:tcPr>
            <w:tcW w:w="1666" w:type="dxa"/>
            <w:tcBorders>
              <w:top w:val="single" w:sz="8" w:space="0" w:color="000000"/>
              <w:right w:val="single" w:sz="8" w:space="0" w:color="000000"/>
            </w:tcBorders>
          </w:tcPr>
          <w:p w14:paraId="523EB3DA" w14:textId="77777777" w:rsidR="00591632" w:rsidRDefault="00591632" w:rsidP="001F0A57">
            <w:pPr>
              <w:autoSpaceDE w:val="0"/>
              <w:autoSpaceDN w:val="0"/>
              <w:adjustRightInd w:val="0"/>
              <w:jc w:val="center"/>
              <w:rPr>
                <w:color w:val="000000"/>
              </w:rPr>
            </w:pPr>
          </w:p>
        </w:tc>
        <w:tc>
          <w:tcPr>
            <w:tcW w:w="1666" w:type="dxa"/>
            <w:tcBorders>
              <w:top w:val="single" w:sz="8" w:space="0" w:color="000000"/>
              <w:right w:val="single" w:sz="8" w:space="0" w:color="000000"/>
            </w:tcBorders>
          </w:tcPr>
          <w:p w14:paraId="523EB3DB" w14:textId="77777777" w:rsidR="00591632" w:rsidRDefault="00591632" w:rsidP="001F0A57">
            <w:pPr>
              <w:autoSpaceDE w:val="0"/>
              <w:autoSpaceDN w:val="0"/>
              <w:adjustRightInd w:val="0"/>
              <w:jc w:val="center"/>
              <w:rPr>
                <w:color w:val="000000"/>
              </w:rPr>
            </w:pPr>
            <w:r w:rsidRPr="00385ABA">
              <w:rPr>
                <w:color w:val="000000"/>
              </w:rPr>
              <w:t>AMB-1+</w:t>
            </w:r>
          </w:p>
        </w:tc>
        <w:tc>
          <w:tcPr>
            <w:tcW w:w="1666" w:type="dxa"/>
            <w:tcBorders>
              <w:top w:val="single" w:sz="8" w:space="0" w:color="000000"/>
              <w:bottom w:val="single" w:sz="8" w:space="0" w:color="000000"/>
              <w:right w:val="single" w:sz="8" w:space="0" w:color="000000"/>
            </w:tcBorders>
          </w:tcPr>
          <w:p w14:paraId="523EB3DC" w14:textId="77777777" w:rsidR="00591632" w:rsidRDefault="00591632" w:rsidP="001F0A57">
            <w:pPr>
              <w:autoSpaceDE w:val="0"/>
              <w:autoSpaceDN w:val="0"/>
              <w:adjustRightInd w:val="0"/>
              <w:jc w:val="center"/>
              <w:rPr>
                <w:color w:val="000000"/>
              </w:rPr>
            </w:pPr>
            <w:r w:rsidRPr="00385ABA">
              <w:rPr>
                <w:color w:val="000000"/>
              </w:rPr>
              <w:t>F1+</w:t>
            </w:r>
          </w:p>
        </w:tc>
      </w:tr>
      <w:tr w:rsidR="00591632" w:rsidRPr="00385ABA" w14:paraId="523EB3E3" w14:textId="77777777" w:rsidTr="001F0A57">
        <w:trPr>
          <w:trHeight w:val="433"/>
        </w:trPr>
        <w:tc>
          <w:tcPr>
            <w:tcW w:w="1134" w:type="dxa"/>
            <w:tcBorders>
              <w:top w:val="single" w:sz="8" w:space="0" w:color="000000"/>
              <w:left w:val="single" w:sz="8" w:space="0" w:color="000000"/>
              <w:bottom w:val="single" w:sz="8" w:space="0" w:color="000000"/>
              <w:right w:val="single" w:sz="8" w:space="0" w:color="000000"/>
            </w:tcBorders>
          </w:tcPr>
          <w:p w14:paraId="523EB3DE" w14:textId="77777777" w:rsidR="00591632" w:rsidRDefault="00591632" w:rsidP="001F0A57">
            <w:pPr>
              <w:autoSpaceDE w:val="0"/>
              <w:autoSpaceDN w:val="0"/>
              <w:adjustRightInd w:val="0"/>
              <w:jc w:val="center"/>
              <w:rPr>
                <w:color w:val="000000"/>
              </w:rPr>
            </w:pPr>
            <w:r w:rsidRPr="00385ABA">
              <w:rPr>
                <w:color w:val="000000"/>
              </w:rPr>
              <w:t>2</w:t>
            </w:r>
          </w:p>
        </w:tc>
        <w:tc>
          <w:tcPr>
            <w:tcW w:w="1665" w:type="dxa"/>
            <w:tcBorders>
              <w:top w:val="single" w:sz="8" w:space="0" w:color="000000"/>
              <w:bottom w:val="single" w:sz="8" w:space="0" w:color="000000"/>
              <w:right w:val="single" w:sz="8" w:space="0" w:color="000000"/>
            </w:tcBorders>
          </w:tcPr>
          <w:p w14:paraId="523EB3DF" w14:textId="77777777" w:rsidR="00591632" w:rsidRDefault="00591632" w:rsidP="001F0A57">
            <w:pPr>
              <w:autoSpaceDE w:val="0"/>
              <w:autoSpaceDN w:val="0"/>
              <w:adjustRightInd w:val="0"/>
              <w:jc w:val="center"/>
              <w:rPr>
                <w:color w:val="000000"/>
              </w:rPr>
            </w:pPr>
            <w:r w:rsidRPr="00385ABA">
              <w:rPr>
                <w:color w:val="000000"/>
              </w:rPr>
              <w:t>A1</w:t>
            </w:r>
          </w:p>
        </w:tc>
        <w:tc>
          <w:tcPr>
            <w:tcW w:w="1666" w:type="dxa"/>
            <w:tcBorders>
              <w:top w:val="single" w:sz="8" w:space="0" w:color="000000"/>
              <w:bottom w:val="single" w:sz="8" w:space="0" w:color="000000"/>
              <w:right w:val="single" w:sz="8" w:space="0" w:color="000000"/>
            </w:tcBorders>
          </w:tcPr>
          <w:p w14:paraId="523EB3E0" w14:textId="77777777" w:rsidR="00591632" w:rsidRDefault="00591632" w:rsidP="001F0A57">
            <w:pPr>
              <w:autoSpaceDE w:val="0"/>
              <w:autoSpaceDN w:val="0"/>
              <w:adjustRightInd w:val="0"/>
              <w:jc w:val="center"/>
              <w:rPr>
                <w:color w:val="000000"/>
              </w:rPr>
            </w:pPr>
            <w:r w:rsidRPr="00385ABA">
              <w:rPr>
                <w:color w:val="000000"/>
              </w:rPr>
              <w:t>P1</w:t>
            </w:r>
          </w:p>
        </w:tc>
        <w:tc>
          <w:tcPr>
            <w:tcW w:w="1666" w:type="dxa"/>
            <w:tcBorders>
              <w:top w:val="single" w:sz="8" w:space="0" w:color="000000"/>
              <w:bottom w:val="single" w:sz="8" w:space="0" w:color="000000"/>
              <w:right w:val="single" w:sz="8" w:space="0" w:color="000000"/>
            </w:tcBorders>
          </w:tcPr>
          <w:p w14:paraId="523EB3E1" w14:textId="77777777" w:rsidR="00591632" w:rsidRDefault="00591632" w:rsidP="001F0A57">
            <w:pPr>
              <w:autoSpaceDE w:val="0"/>
              <w:autoSpaceDN w:val="0"/>
              <w:adjustRightInd w:val="0"/>
              <w:jc w:val="center"/>
              <w:rPr>
                <w:color w:val="000000"/>
              </w:rPr>
            </w:pPr>
            <w:r w:rsidRPr="00385ABA">
              <w:rPr>
                <w:color w:val="000000"/>
              </w:rPr>
              <w:t>AMB-1</w:t>
            </w:r>
          </w:p>
        </w:tc>
        <w:tc>
          <w:tcPr>
            <w:tcW w:w="1666" w:type="dxa"/>
            <w:tcBorders>
              <w:top w:val="single" w:sz="8" w:space="0" w:color="000000"/>
              <w:bottom w:val="single" w:sz="8" w:space="0" w:color="000000"/>
              <w:right w:val="single" w:sz="8" w:space="0" w:color="000000"/>
            </w:tcBorders>
          </w:tcPr>
          <w:p w14:paraId="523EB3E2" w14:textId="77777777" w:rsidR="00591632" w:rsidRDefault="00591632" w:rsidP="001F0A57">
            <w:pPr>
              <w:autoSpaceDE w:val="0"/>
              <w:autoSpaceDN w:val="0"/>
              <w:adjustRightInd w:val="0"/>
              <w:jc w:val="center"/>
              <w:rPr>
                <w:color w:val="000000"/>
              </w:rPr>
            </w:pPr>
            <w:r w:rsidRPr="00385ABA">
              <w:rPr>
                <w:color w:val="000000"/>
              </w:rPr>
              <w:t>F1</w:t>
            </w:r>
          </w:p>
        </w:tc>
      </w:tr>
      <w:tr w:rsidR="00591632" w:rsidRPr="00385ABA" w14:paraId="523EB3E9" w14:textId="77777777" w:rsidTr="001F0A57">
        <w:trPr>
          <w:trHeight w:val="433"/>
        </w:trPr>
        <w:tc>
          <w:tcPr>
            <w:tcW w:w="1134" w:type="dxa"/>
            <w:tcBorders>
              <w:top w:val="single" w:sz="8" w:space="0" w:color="000000"/>
              <w:left w:val="single" w:sz="8" w:space="0" w:color="000000"/>
              <w:bottom w:val="single" w:sz="8" w:space="0" w:color="000000"/>
              <w:right w:val="single" w:sz="8" w:space="0" w:color="000000"/>
            </w:tcBorders>
          </w:tcPr>
          <w:p w14:paraId="523EB3E4" w14:textId="77777777" w:rsidR="00591632" w:rsidRDefault="00591632" w:rsidP="001F0A57">
            <w:pPr>
              <w:autoSpaceDE w:val="0"/>
              <w:autoSpaceDN w:val="0"/>
              <w:adjustRightInd w:val="0"/>
              <w:jc w:val="center"/>
              <w:rPr>
                <w:color w:val="000000"/>
              </w:rPr>
            </w:pPr>
            <w:r w:rsidRPr="00385ABA">
              <w:rPr>
                <w:color w:val="000000"/>
              </w:rPr>
              <w:t>3</w:t>
            </w:r>
          </w:p>
        </w:tc>
        <w:tc>
          <w:tcPr>
            <w:tcW w:w="1665" w:type="dxa"/>
            <w:tcBorders>
              <w:top w:val="single" w:sz="8" w:space="0" w:color="000000"/>
              <w:bottom w:val="single" w:sz="8" w:space="0" w:color="000000"/>
              <w:right w:val="single" w:sz="8" w:space="0" w:color="000000"/>
            </w:tcBorders>
          </w:tcPr>
          <w:p w14:paraId="523EB3E5" w14:textId="77777777" w:rsidR="00591632" w:rsidRDefault="00591632" w:rsidP="001F0A57">
            <w:pPr>
              <w:autoSpaceDE w:val="0"/>
              <w:autoSpaceDN w:val="0"/>
              <w:adjustRightInd w:val="0"/>
              <w:jc w:val="center"/>
              <w:rPr>
                <w:color w:val="000000"/>
              </w:rPr>
            </w:pPr>
            <w:r w:rsidRPr="00385ABA">
              <w:rPr>
                <w:color w:val="000000"/>
              </w:rPr>
              <w:t>A2</w:t>
            </w:r>
          </w:p>
        </w:tc>
        <w:tc>
          <w:tcPr>
            <w:tcW w:w="1666" w:type="dxa"/>
            <w:tcBorders>
              <w:top w:val="single" w:sz="8" w:space="0" w:color="000000"/>
              <w:bottom w:val="single" w:sz="8" w:space="0" w:color="000000"/>
              <w:right w:val="single" w:sz="8" w:space="0" w:color="000000"/>
            </w:tcBorders>
          </w:tcPr>
          <w:p w14:paraId="523EB3E6" w14:textId="77777777" w:rsidR="00591632" w:rsidRDefault="00591632" w:rsidP="001F0A57">
            <w:pPr>
              <w:autoSpaceDE w:val="0"/>
              <w:autoSpaceDN w:val="0"/>
              <w:adjustRightInd w:val="0"/>
              <w:jc w:val="center"/>
              <w:rPr>
                <w:color w:val="000000"/>
              </w:rPr>
            </w:pPr>
            <w:r w:rsidRPr="00385ABA">
              <w:rPr>
                <w:color w:val="000000"/>
              </w:rPr>
              <w:t>P2</w:t>
            </w:r>
          </w:p>
        </w:tc>
        <w:tc>
          <w:tcPr>
            <w:tcW w:w="1666" w:type="dxa"/>
            <w:tcBorders>
              <w:top w:val="single" w:sz="8" w:space="0" w:color="000000"/>
              <w:bottom w:val="single" w:sz="8" w:space="0" w:color="000000"/>
              <w:right w:val="single" w:sz="8" w:space="0" w:color="000000"/>
            </w:tcBorders>
          </w:tcPr>
          <w:p w14:paraId="523EB3E7" w14:textId="77777777" w:rsidR="00591632" w:rsidRDefault="00591632" w:rsidP="001F0A57">
            <w:pPr>
              <w:autoSpaceDE w:val="0"/>
              <w:autoSpaceDN w:val="0"/>
              <w:adjustRightInd w:val="0"/>
              <w:jc w:val="center"/>
              <w:rPr>
                <w:color w:val="000000"/>
              </w:rPr>
            </w:pPr>
            <w:r w:rsidRPr="00385ABA">
              <w:rPr>
                <w:color w:val="000000"/>
              </w:rPr>
              <w:t>AMB-2</w:t>
            </w:r>
          </w:p>
        </w:tc>
        <w:tc>
          <w:tcPr>
            <w:tcW w:w="1666" w:type="dxa"/>
            <w:tcBorders>
              <w:top w:val="single" w:sz="8" w:space="0" w:color="000000"/>
              <w:bottom w:val="single" w:sz="8" w:space="0" w:color="000000"/>
              <w:right w:val="single" w:sz="8" w:space="0" w:color="000000"/>
            </w:tcBorders>
          </w:tcPr>
          <w:p w14:paraId="523EB3E8" w14:textId="77777777" w:rsidR="00591632" w:rsidRDefault="00591632" w:rsidP="001F0A57">
            <w:pPr>
              <w:autoSpaceDE w:val="0"/>
              <w:autoSpaceDN w:val="0"/>
              <w:adjustRightInd w:val="0"/>
              <w:jc w:val="center"/>
              <w:rPr>
                <w:color w:val="000000"/>
              </w:rPr>
            </w:pPr>
            <w:r w:rsidRPr="00385ABA">
              <w:rPr>
                <w:color w:val="000000"/>
              </w:rPr>
              <w:t>F2</w:t>
            </w:r>
          </w:p>
        </w:tc>
      </w:tr>
      <w:tr w:rsidR="00591632" w:rsidRPr="00385ABA" w14:paraId="523EB3EF" w14:textId="77777777" w:rsidTr="001F0A57">
        <w:trPr>
          <w:trHeight w:val="433"/>
        </w:trPr>
        <w:tc>
          <w:tcPr>
            <w:tcW w:w="1134" w:type="dxa"/>
            <w:tcBorders>
              <w:top w:val="single" w:sz="8" w:space="0" w:color="000000"/>
              <w:left w:val="single" w:sz="8" w:space="0" w:color="000000"/>
              <w:bottom w:val="single" w:sz="8" w:space="0" w:color="000000"/>
              <w:right w:val="single" w:sz="8" w:space="0" w:color="000000"/>
            </w:tcBorders>
          </w:tcPr>
          <w:p w14:paraId="523EB3EA" w14:textId="77777777" w:rsidR="00591632" w:rsidRDefault="00591632" w:rsidP="001F0A57">
            <w:pPr>
              <w:autoSpaceDE w:val="0"/>
              <w:autoSpaceDN w:val="0"/>
              <w:adjustRightInd w:val="0"/>
              <w:jc w:val="center"/>
              <w:rPr>
                <w:color w:val="000000"/>
              </w:rPr>
            </w:pPr>
            <w:r w:rsidRPr="00385ABA">
              <w:rPr>
                <w:color w:val="000000"/>
              </w:rPr>
              <w:t>4</w:t>
            </w:r>
          </w:p>
        </w:tc>
        <w:tc>
          <w:tcPr>
            <w:tcW w:w="1665" w:type="dxa"/>
            <w:tcBorders>
              <w:top w:val="single" w:sz="8" w:space="0" w:color="000000"/>
              <w:bottom w:val="single" w:sz="8" w:space="0" w:color="000000"/>
              <w:right w:val="single" w:sz="8" w:space="0" w:color="000000"/>
            </w:tcBorders>
          </w:tcPr>
          <w:p w14:paraId="523EB3EB" w14:textId="77777777" w:rsidR="00591632" w:rsidRDefault="00591632" w:rsidP="001F0A57">
            <w:pPr>
              <w:autoSpaceDE w:val="0"/>
              <w:autoSpaceDN w:val="0"/>
              <w:adjustRightInd w:val="0"/>
              <w:jc w:val="center"/>
              <w:rPr>
                <w:color w:val="000000"/>
              </w:rPr>
            </w:pPr>
            <w:r w:rsidRPr="00385ABA">
              <w:rPr>
                <w:color w:val="000000"/>
              </w:rPr>
              <w:t>A3</w:t>
            </w:r>
          </w:p>
        </w:tc>
        <w:tc>
          <w:tcPr>
            <w:tcW w:w="1666" w:type="dxa"/>
            <w:tcBorders>
              <w:top w:val="single" w:sz="8" w:space="0" w:color="000000"/>
              <w:bottom w:val="single" w:sz="8" w:space="0" w:color="000000"/>
              <w:right w:val="single" w:sz="8" w:space="0" w:color="000000"/>
            </w:tcBorders>
          </w:tcPr>
          <w:p w14:paraId="523EB3EC" w14:textId="77777777" w:rsidR="00591632" w:rsidRDefault="00591632" w:rsidP="001F0A57">
            <w:pPr>
              <w:autoSpaceDE w:val="0"/>
              <w:autoSpaceDN w:val="0"/>
              <w:adjustRightInd w:val="0"/>
              <w:jc w:val="center"/>
              <w:rPr>
                <w:color w:val="000000"/>
              </w:rPr>
            </w:pPr>
            <w:r w:rsidRPr="00385ABA">
              <w:rPr>
                <w:color w:val="000000"/>
              </w:rPr>
              <w:t>P3</w:t>
            </w:r>
          </w:p>
        </w:tc>
        <w:tc>
          <w:tcPr>
            <w:tcW w:w="1666" w:type="dxa"/>
            <w:tcBorders>
              <w:top w:val="single" w:sz="8" w:space="0" w:color="000000"/>
              <w:bottom w:val="single" w:sz="8" w:space="0" w:color="000000"/>
              <w:right w:val="single" w:sz="8" w:space="0" w:color="000000"/>
            </w:tcBorders>
          </w:tcPr>
          <w:p w14:paraId="523EB3ED" w14:textId="77777777" w:rsidR="00591632" w:rsidRDefault="00591632" w:rsidP="001F0A57">
            <w:pPr>
              <w:autoSpaceDE w:val="0"/>
              <w:autoSpaceDN w:val="0"/>
              <w:adjustRightInd w:val="0"/>
              <w:jc w:val="center"/>
              <w:rPr>
                <w:color w:val="000000"/>
              </w:rPr>
            </w:pPr>
            <w:r w:rsidRPr="00385ABA">
              <w:rPr>
                <w:color w:val="000000"/>
              </w:rPr>
              <w:t>AMB-3</w:t>
            </w:r>
          </w:p>
        </w:tc>
        <w:tc>
          <w:tcPr>
            <w:tcW w:w="1666" w:type="dxa"/>
            <w:tcBorders>
              <w:top w:val="single" w:sz="8" w:space="0" w:color="000000"/>
              <w:bottom w:val="single" w:sz="8" w:space="0" w:color="000000"/>
              <w:right w:val="single" w:sz="8" w:space="0" w:color="000000"/>
            </w:tcBorders>
          </w:tcPr>
          <w:p w14:paraId="523EB3EE" w14:textId="77777777" w:rsidR="00591632" w:rsidRDefault="00591632" w:rsidP="001F0A57">
            <w:pPr>
              <w:autoSpaceDE w:val="0"/>
              <w:autoSpaceDN w:val="0"/>
              <w:adjustRightInd w:val="0"/>
              <w:jc w:val="center"/>
              <w:rPr>
                <w:color w:val="000000"/>
              </w:rPr>
            </w:pPr>
            <w:r w:rsidRPr="00385ABA">
              <w:rPr>
                <w:color w:val="000000"/>
              </w:rPr>
              <w:t>F3</w:t>
            </w:r>
          </w:p>
        </w:tc>
      </w:tr>
      <w:tr w:rsidR="00591632" w:rsidRPr="00385ABA" w14:paraId="523EB3F5" w14:textId="77777777" w:rsidTr="001F0A57">
        <w:trPr>
          <w:trHeight w:val="157"/>
        </w:trPr>
        <w:tc>
          <w:tcPr>
            <w:tcW w:w="1134" w:type="dxa"/>
            <w:tcBorders>
              <w:top w:val="single" w:sz="8" w:space="0" w:color="000000"/>
              <w:left w:val="single" w:sz="8" w:space="0" w:color="000000"/>
              <w:bottom w:val="single" w:sz="8" w:space="0" w:color="000000"/>
              <w:right w:val="single" w:sz="8" w:space="0" w:color="000000"/>
            </w:tcBorders>
          </w:tcPr>
          <w:p w14:paraId="523EB3F0" w14:textId="77777777" w:rsidR="00591632" w:rsidRDefault="00591632" w:rsidP="001F0A57">
            <w:pPr>
              <w:autoSpaceDE w:val="0"/>
              <w:autoSpaceDN w:val="0"/>
              <w:adjustRightInd w:val="0"/>
              <w:jc w:val="center"/>
              <w:rPr>
                <w:color w:val="000000"/>
              </w:rPr>
            </w:pPr>
            <w:r w:rsidRPr="00385ABA">
              <w:rPr>
                <w:color w:val="000000"/>
              </w:rPr>
              <w:t>5</w:t>
            </w:r>
          </w:p>
        </w:tc>
        <w:tc>
          <w:tcPr>
            <w:tcW w:w="1665" w:type="dxa"/>
            <w:tcBorders>
              <w:top w:val="single" w:sz="8" w:space="0" w:color="000000"/>
              <w:bottom w:val="single" w:sz="8" w:space="0" w:color="000000"/>
              <w:right w:val="single" w:sz="8" w:space="0" w:color="000000"/>
            </w:tcBorders>
          </w:tcPr>
          <w:p w14:paraId="523EB3F1" w14:textId="77777777" w:rsidR="00591632" w:rsidRDefault="00591632" w:rsidP="001F0A57">
            <w:pPr>
              <w:autoSpaceDE w:val="0"/>
              <w:autoSpaceDN w:val="0"/>
              <w:adjustRightInd w:val="0"/>
              <w:jc w:val="center"/>
              <w:rPr>
                <w:color w:val="000000"/>
              </w:rPr>
            </w:pPr>
          </w:p>
        </w:tc>
        <w:tc>
          <w:tcPr>
            <w:tcW w:w="1666" w:type="dxa"/>
            <w:tcBorders>
              <w:top w:val="single" w:sz="8" w:space="0" w:color="000000"/>
              <w:bottom w:val="single" w:sz="8" w:space="0" w:color="000000"/>
              <w:right w:val="single" w:sz="8" w:space="0" w:color="000000"/>
            </w:tcBorders>
          </w:tcPr>
          <w:p w14:paraId="523EB3F2" w14:textId="77777777" w:rsidR="00591632" w:rsidRDefault="00591632" w:rsidP="001F0A57">
            <w:pPr>
              <w:autoSpaceDE w:val="0"/>
              <w:autoSpaceDN w:val="0"/>
              <w:adjustRightInd w:val="0"/>
              <w:jc w:val="center"/>
              <w:rPr>
                <w:color w:val="000000"/>
              </w:rPr>
            </w:pPr>
          </w:p>
        </w:tc>
        <w:tc>
          <w:tcPr>
            <w:tcW w:w="1666" w:type="dxa"/>
            <w:tcBorders>
              <w:top w:val="single" w:sz="8" w:space="0" w:color="000000"/>
              <w:bottom w:val="single" w:sz="8" w:space="0" w:color="000000"/>
              <w:right w:val="single" w:sz="8" w:space="0" w:color="000000"/>
            </w:tcBorders>
          </w:tcPr>
          <w:p w14:paraId="523EB3F3" w14:textId="77777777" w:rsidR="00591632" w:rsidRDefault="00591632" w:rsidP="001F0A57">
            <w:pPr>
              <w:autoSpaceDE w:val="0"/>
              <w:autoSpaceDN w:val="0"/>
              <w:adjustRightInd w:val="0"/>
              <w:jc w:val="center"/>
              <w:rPr>
                <w:color w:val="000000"/>
              </w:rPr>
            </w:pPr>
          </w:p>
        </w:tc>
        <w:tc>
          <w:tcPr>
            <w:tcW w:w="1666" w:type="dxa"/>
            <w:tcBorders>
              <w:top w:val="single" w:sz="8" w:space="0" w:color="000000"/>
              <w:bottom w:val="single" w:sz="8" w:space="0" w:color="000000"/>
              <w:right w:val="single" w:sz="8" w:space="0" w:color="000000"/>
            </w:tcBorders>
          </w:tcPr>
          <w:p w14:paraId="523EB3F4" w14:textId="77777777" w:rsidR="00591632" w:rsidRDefault="00591632" w:rsidP="001F0A57">
            <w:pPr>
              <w:autoSpaceDE w:val="0"/>
              <w:autoSpaceDN w:val="0"/>
              <w:adjustRightInd w:val="0"/>
              <w:jc w:val="center"/>
              <w:rPr>
                <w:color w:val="000000"/>
              </w:rPr>
            </w:pPr>
          </w:p>
        </w:tc>
      </w:tr>
      <w:tr w:rsidR="00591632" w:rsidRPr="00385ABA" w14:paraId="523EB3FD" w14:textId="77777777" w:rsidTr="001F0A57">
        <w:trPr>
          <w:trHeight w:val="157"/>
        </w:trPr>
        <w:tc>
          <w:tcPr>
            <w:tcW w:w="1134" w:type="dxa"/>
            <w:tcBorders>
              <w:top w:val="single" w:sz="8" w:space="0" w:color="000000"/>
              <w:left w:val="single" w:sz="8" w:space="0" w:color="000000"/>
              <w:bottom w:val="single" w:sz="8" w:space="0" w:color="000000"/>
              <w:right w:val="single" w:sz="8" w:space="0" w:color="000000"/>
            </w:tcBorders>
          </w:tcPr>
          <w:p w14:paraId="523EB3F6" w14:textId="77777777" w:rsidR="00591632" w:rsidRDefault="00591632" w:rsidP="001F0A57">
            <w:pPr>
              <w:autoSpaceDE w:val="0"/>
              <w:autoSpaceDN w:val="0"/>
              <w:adjustRightInd w:val="0"/>
              <w:jc w:val="center"/>
              <w:rPr>
                <w:color w:val="000000"/>
              </w:rPr>
            </w:pPr>
            <w:r w:rsidRPr="00385ABA">
              <w:rPr>
                <w:color w:val="000000"/>
              </w:rPr>
              <w:t>6</w:t>
            </w:r>
          </w:p>
        </w:tc>
        <w:tc>
          <w:tcPr>
            <w:tcW w:w="1665" w:type="dxa"/>
            <w:tcBorders>
              <w:top w:val="single" w:sz="8" w:space="0" w:color="000000"/>
              <w:bottom w:val="single" w:sz="8" w:space="0" w:color="000000"/>
              <w:right w:val="single" w:sz="8" w:space="0" w:color="000000"/>
            </w:tcBorders>
          </w:tcPr>
          <w:p w14:paraId="523EB3F7" w14:textId="77777777" w:rsidR="00591632" w:rsidRDefault="00591632" w:rsidP="001F0A57">
            <w:pPr>
              <w:autoSpaceDE w:val="0"/>
              <w:autoSpaceDN w:val="0"/>
              <w:adjustRightInd w:val="0"/>
              <w:jc w:val="center"/>
              <w:rPr>
                <w:color w:val="000000"/>
              </w:rPr>
            </w:pPr>
            <w:r w:rsidRPr="00385ABA">
              <w:rPr>
                <w:color w:val="000000"/>
              </w:rPr>
              <w:t>B</w:t>
            </w:r>
          </w:p>
        </w:tc>
        <w:tc>
          <w:tcPr>
            <w:tcW w:w="1666" w:type="dxa"/>
            <w:tcBorders>
              <w:top w:val="single" w:sz="8" w:space="0" w:color="000000"/>
              <w:bottom w:val="single" w:sz="8" w:space="0" w:color="000000"/>
              <w:right w:val="single" w:sz="8" w:space="0" w:color="000000"/>
            </w:tcBorders>
          </w:tcPr>
          <w:p w14:paraId="523EB3F8" w14:textId="77777777" w:rsidR="00591632" w:rsidRDefault="00591632" w:rsidP="001F0A57">
            <w:pPr>
              <w:autoSpaceDE w:val="0"/>
              <w:autoSpaceDN w:val="0"/>
              <w:adjustRightInd w:val="0"/>
              <w:jc w:val="center"/>
              <w:rPr>
                <w:color w:val="000000"/>
              </w:rPr>
            </w:pPr>
            <w:r w:rsidRPr="00385ABA">
              <w:rPr>
                <w:color w:val="000000"/>
              </w:rPr>
              <w:t>NP Vulnerable</w:t>
            </w:r>
          </w:p>
        </w:tc>
        <w:tc>
          <w:tcPr>
            <w:tcW w:w="1666" w:type="dxa"/>
            <w:tcBorders>
              <w:top w:val="single" w:sz="8" w:space="0" w:color="000000"/>
              <w:bottom w:val="single" w:sz="8" w:space="0" w:color="000000"/>
              <w:right w:val="single" w:sz="8" w:space="0" w:color="000000"/>
            </w:tcBorders>
          </w:tcPr>
          <w:p w14:paraId="523EB3F9" w14:textId="77777777" w:rsidR="00591632" w:rsidRDefault="00591632" w:rsidP="001F0A57">
            <w:pPr>
              <w:autoSpaceDE w:val="0"/>
              <w:autoSpaceDN w:val="0"/>
              <w:adjustRightInd w:val="0"/>
              <w:jc w:val="center"/>
              <w:rPr>
                <w:color w:val="000000"/>
              </w:rPr>
            </w:pPr>
            <w:r w:rsidRPr="00385ABA">
              <w:rPr>
                <w:color w:val="000000"/>
              </w:rPr>
              <w:t>AMB-4</w:t>
            </w:r>
          </w:p>
        </w:tc>
        <w:tc>
          <w:tcPr>
            <w:tcW w:w="1666" w:type="dxa"/>
            <w:tcBorders>
              <w:top w:val="single" w:sz="8" w:space="0" w:color="000000"/>
              <w:bottom w:val="single" w:sz="8" w:space="0" w:color="000000"/>
              <w:right w:val="single" w:sz="8" w:space="0" w:color="000000"/>
            </w:tcBorders>
          </w:tcPr>
          <w:p w14:paraId="523EB3FA" w14:textId="77777777" w:rsidR="00591632" w:rsidRDefault="00591632" w:rsidP="001F0A57">
            <w:pPr>
              <w:autoSpaceDE w:val="0"/>
              <w:autoSpaceDN w:val="0"/>
              <w:adjustRightInd w:val="0"/>
              <w:jc w:val="center"/>
              <w:rPr>
                <w:color w:val="000000"/>
              </w:rPr>
            </w:pPr>
            <w:r w:rsidRPr="00385ABA">
              <w:rPr>
                <w:color w:val="000000"/>
              </w:rPr>
              <w:t>B</w:t>
            </w:r>
          </w:p>
          <w:p w14:paraId="523EB3FB" w14:textId="77777777" w:rsidR="00591632" w:rsidRDefault="00591632" w:rsidP="001F0A57">
            <w:pPr>
              <w:autoSpaceDE w:val="0"/>
              <w:autoSpaceDN w:val="0"/>
              <w:adjustRightInd w:val="0"/>
              <w:jc w:val="center"/>
              <w:rPr>
                <w:color w:val="000000"/>
              </w:rPr>
            </w:pPr>
          </w:p>
          <w:p w14:paraId="523EB3FC" w14:textId="77777777" w:rsidR="00591632" w:rsidRDefault="00591632" w:rsidP="001F0A57">
            <w:pPr>
              <w:autoSpaceDE w:val="0"/>
              <w:autoSpaceDN w:val="0"/>
              <w:adjustRightInd w:val="0"/>
              <w:jc w:val="center"/>
              <w:rPr>
                <w:color w:val="000000"/>
              </w:rPr>
            </w:pPr>
          </w:p>
        </w:tc>
      </w:tr>
      <w:tr w:rsidR="00591632" w:rsidRPr="00385ABA" w14:paraId="523EB403" w14:textId="77777777" w:rsidTr="001F0A57">
        <w:trPr>
          <w:trHeight w:val="157"/>
        </w:trPr>
        <w:tc>
          <w:tcPr>
            <w:tcW w:w="1134" w:type="dxa"/>
            <w:tcBorders>
              <w:top w:val="single" w:sz="8" w:space="0" w:color="000000"/>
              <w:left w:val="single" w:sz="8" w:space="0" w:color="000000"/>
              <w:bottom w:val="single" w:sz="8" w:space="0" w:color="000000"/>
              <w:right w:val="single" w:sz="8" w:space="0" w:color="000000"/>
            </w:tcBorders>
          </w:tcPr>
          <w:p w14:paraId="523EB3FE" w14:textId="77777777" w:rsidR="00591632" w:rsidRDefault="00591632" w:rsidP="001F0A57">
            <w:pPr>
              <w:autoSpaceDE w:val="0"/>
              <w:autoSpaceDN w:val="0"/>
              <w:adjustRightInd w:val="0"/>
              <w:jc w:val="center"/>
              <w:rPr>
                <w:color w:val="000000"/>
              </w:rPr>
            </w:pPr>
            <w:r w:rsidRPr="00385ABA">
              <w:rPr>
                <w:color w:val="000000"/>
              </w:rPr>
              <w:t>7</w:t>
            </w:r>
          </w:p>
        </w:tc>
        <w:tc>
          <w:tcPr>
            <w:tcW w:w="1665" w:type="dxa"/>
            <w:tcBorders>
              <w:top w:val="single" w:sz="8" w:space="0" w:color="000000"/>
              <w:bottom w:val="single" w:sz="8" w:space="0" w:color="000000"/>
              <w:right w:val="single" w:sz="8" w:space="0" w:color="000000"/>
            </w:tcBorders>
          </w:tcPr>
          <w:p w14:paraId="523EB3FF" w14:textId="77777777" w:rsidR="00591632" w:rsidRDefault="00591632" w:rsidP="001F0A57">
            <w:pPr>
              <w:autoSpaceDE w:val="0"/>
              <w:autoSpaceDN w:val="0"/>
              <w:adjustRightInd w:val="0"/>
              <w:jc w:val="center"/>
              <w:rPr>
                <w:color w:val="000000"/>
              </w:rPr>
            </w:pPr>
            <w:r w:rsidRPr="00385ABA">
              <w:rPr>
                <w:color w:val="000000"/>
              </w:rPr>
              <w:t>C</w:t>
            </w:r>
          </w:p>
        </w:tc>
        <w:tc>
          <w:tcPr>
            <w:tcW w:w="1666" w:type="dxa"/>
            <w:tcBorders>
              <w:top w:val="single" w:sz="8" w:space="0" w:color="000000"/>
              <w:bottom w:val="single" w:sz="8" w:space="0" w:color="000000"/>
              <w:right w:val="single" w:sz="8" w:space="0" w:color="000000"/>
            </w:tcBorders>
          </w:tcPr>
          <w:p w14:paraId="523EB400" w14:textId="77777777" w:rsidR="00591632" w:rsidRDefault="00591632" w:rsidP="001F0A57">
            <w:pPr>
              <w:autoSpaceDE w:val="0"/>
              <w:autoSpaceDN w:val="0"/>
              <w:adjustRightInd w:val="0"/>
              <w:jc w:val="center"/>
              <w:rPr>
                <w:color w:val="000000"/>
              </w:rPr>
            </w:pPr>
            <w:r w:rsidRPr="00385ABA">
              <w:rPr>
                <w:color w:val="000000"/>
              </w:rPr>
              <w:t>NP Currently Vulnerable</w:t>
            </w:r>
          </w:p>
        </w:tc>
        <w:tc>
          <w:tcPr>
            <w:tcW w:w="1666" w:type="dxa"/>
            <w:tcBorders>
              <w:top w:val="single" w:sz="8" w:space="0" w:color="000000"/>
              <w:bottom w:val="single" w:sz="8" w:space="0" w:color="000000"/>
              <w:right w:val="single" w:sz="8" w:space="0" w:color="000000"/>
            </w:tcBorders>
          </w:tcPr>
          <w:p w14:paraId="523EB401" w14:textId="77777777" w:rsidR="00591632" w:rsidRDefault="00591632" w:rsidP="001F0A57">
            <w:pPr>
              <w:autoSpaceDE w:val="0"/>
              <w:autoSpaceDN w:val="0"/>
              <w:adjustRightInd w:val="0"/>
              <w:jc w:val="center"/>
              <w:rPr>
                <w:color w:val="000000"/>
              </w:rPr>
            </w:pPr>
          </w:p>
        </w:tc>
        <w:tc>
          <w:tcPr>
            <w:tcW w:w="1666" w:type="dxa"/>
            <w:tcBorders>
              <w:top w:val="single" w:sz="8" w:space="0" w:color="000000"/>
              <w:bottom w:val="single" w:sz="8" w:space="0" w:color="000000"/>
              <w:right w:val="single" w:sz="8" w:space="0" w:color="000000"/>
            </w:tcBorders>
          </w:tcPr>
          <w:p w14:paraId="523EB402" w14:textId="77777777" w:rsidR="00591632" w:rsidRDefault="00591632" w:rsidP="001F0A57">
            <w:pPr>
              <w:autoSpaceDE w:val="0"/>
              <w:autoSpaceDN w:val="0"/>
              <w:adjustRightInd w:val="0"/>
              <w:jc w:val="center"/>
              <w:rPr>
                <w:color w:val="000000"/>
              </w:rPr>
            </w:pPr>
            <w:r w:rsidRPr="00385ABA">
              <w:rPr>
                <w:color w:val="000000"/>
              </w:rPr>
              <w:t>C</w:t>
            </w:r>
          </w:p>
        </w:tc>
      </w:tr>
    </w:tbl>
    <w:p w14:paraId="523EB404" w14:textId="77777777" w:rsidR="00591632" w:rsidRDefault="00591632" w:rsidP="00591632">
      <w:pPr>
        <w:jc w:val="both"/>
      </w:pPr>
    </w:p>
    <w:p w14:paraId="523EB405" w14:textId="77777777" w:rsidR="00591632" w:rsidRDefault="00591632" w:rsidP="00591632">
      <w:pPr>
        <w:ind w:firstLine="567"/>
        <w:jc w:val="both"/>
        <w:rPr>
          <w:b/>
        </w:rPr>
      </w:pPr>
    </w:p>
    <w:p w14:paraId="523EB406" w14:textId="77777777" w:rsidR="00591632" w:rsidRDefault="00591632" w:rsidP="00591632">
      <w:pPr>
        <w:ind w:firstLine="567"/>
        <w:jc w:val="both"/>
        <w:rPr>
          <w:b/>
        </w:rPr>
      </w:pPr>
      <w:r>
        <w:rPr>
          <w:b/>
        </w:rPr>
        <w:br w:type="page"/>
      </w:r>
      <w:r>
        <w:rPr>
          <w:b/>
        </w:rPr>
        <w:lastRenderedPageBreak/>
        <w:t xml:space="preserve">Table 2: </w:t>
      </w:r>
      <w:r w:rsidRPr="00385ABA">
        <w:rPr>
          <w:b/>
        </w:rPr>
        <w:t>Long-term ratings</w:t>
      </w:r>
    </w:p>
    <w:p w14:paraId="523EB407" w14:textId="77777777" w:rsidR="00591632" w:rsidRDefault="00591632" w:rsidP="00591632">
      <w:pPr>
        <w:ind w:firstLine="567"/>
        <w:jc w:val="both"/>
        <w:rPr>
          <w:b/>
        </w:rPr>
      </w:pPr>
    </w:p>
    <w:tbl>
      <w:tblPr>
        <w:tblW w:w="7797" w:type="dxa"/>
        <w:tblInd w:w="675" w:type="dxa"/>
        <w:tblBorders>
          <w:top w:val="nil"/>
          <w:left w:val="nil"/>
          <w:bottom w:val="nil"/>
          <w:right w:val="nil"/>
        </w:tblBorders>
        <w:tblLayout w:type="fixed"/>
        <w:tblLook w:val="0000" w:firstRow="0" w:lastRow="0" w:firstColumn="0" w:lastColumn="0" w:noHBand="0" w:noVBand="0"/>
      </w:tblPr>
      <w:tblGrid>
        <w:gridCol w:w="992"/>
        <w:gridCol w:w="1361"/>
        <w:gridCol w:w="1361"/>
        <w:gridCol w:w="1361"/>
        <w:gridCol w:w="1361"/>
        <w:gridCol w:w="1361"/>
      </w:tblGrid>
      <w:tr w:rsidR="00591632" w:rsidRPr="00385ABA" w14:paraId="523EB40D" w14:textId="77777777" w:rsidTr="001F0A57">
        <w:trPr>
          <w:trHeight w:val="278"/>
        </w:trPr>
        <w:tc>
          <w:tcPr>
            <w:tcW w:w="993" w:type="dxa"/>
            <w:vMerge w:val="restart"/>
            <w:tcBorders>
              <w:top w:val="single" w:sz="8" w:space="0" w:color="000000"/>
              <w:left w:val="single" w:sz="8" w:space="0" w:color="000000"/>
              <w:right w:val="single" w:sz="8" w:space="0" w:color="000000"/>
            </w:tcBorders>
          </w:tcPr>
          <w:p w14:paraId="523EB408" w14:textId="77777777" w:rsidR="00591632" w:rsidRDefault="00591632" w:rsidP="001F0A57">
            <w:pPr>
              <w:autoSpaceDE w:val="0"/>
              <w:autoSpaceDN w:val="0"/>
              <w:adjustRightInd w:val="0"/>
              <w:jc w:val="center"/>
              <w:rPr>
                <w:color w:val="000000"/>
              </w:rPr>
            </w:pPr>
            <w:r w:rsidRPr="00385ABA">
              <w:rPr>
                <w:b/>
                <w:bCs/>
                <w:color w:val="000000"/>
              </w:rPr>
              <w:t>Grade</w:t>
            </w:r>
          </w:p>
        </w:tc>
        <w:tc>
          <w:tcPr>
            <w:tcW w:w="1361" w:type="dxa"/>
            <w:vMerge w:val="restart"/>
            <w:tcBorders>
              <w:top w:val="single" w:sz="8" w:space="0" w:color="000000"/>
              <w:left w:val="single" w:sz="4" w:space="0" w:color="auto"/>
              <w:right w:val="single" w:sz="8" w:space="0" w:color="000000"/>
            </w:tcBorders>
          </w:tcPr>
          <w:p w14:paraId="523EB409" w14:textId="77777777" w:rsidR="00591632" w:rsidRDefault="00591632" w:rsidP="001F0A57">
            <w:pPr>
              <w:autoSpaceDE w:val="0"/>
              <w:autoSpaceDN w:val="0"/>
              <w:adjustRightInd w:val="0"/>
              <w:jc w:val="center"/>
              <w:rPr>
                <w:color w:val="000000"/>
              </w:rPr>
            </w:pPr>
            <w:r w:rsidRPr="00385ABA">
              <w:rPr>
                <w:b/>
                <w:bCs/>
                <w:color w:val="000000"/>
              </w:rPr>
              <w:t>Standard &amp; Poor’s</w:t>
            </w:r>
          </w:p>
        </w:tc>
        <w:tc>
          <w:tcPr>
            <w:tcW w:w="1361" w:type="dxa"/>
            <w:vMerge w:val="restart"/>
            <w:tcBorders>
              <w:top w:val="single" w:sz="8" w:space="0" w:color="000000"/>
              <w:right w:val="single" w:sz="8" w:space="0" w:color="000000"/>
            </w:tcBorders>
          </w:tcPr>
          <w:p w14:paraId="523EB40A" w14:textId="77777777" w:rsidR="00591632" w:rsidRDefault="00591632" w:rsidP="001F0A57">
            <w:pPr>
              <w:autoSpaceDE w:val="0"/>
              <w:autoSpaceDN w:val="0"/>
              <w:adjustRightInd w:val="0"/>
              <w:jc w:val="center"/>
              <w:rPr>
                <w:color w:val="000000"/>
              </w:rPr>
            </w:pPr>
            <w:r w:rsidRPr="00385ABA">
              <w:rPr>
                <w:b/>
                <w:bCs/>
                <w:color w:val="000000"/>
              </w:rPr>
              <w:t>Moody’s</w:t>
            </w:r>
          </w:p>
        </w:tc>
        <w:tc>
          <w:tcPr>
            <w:tcW w:w="1361" w:type="dxa"/>
            <w:gridSpan w:val="2"/>
            <w:tcBorders>
              <w:top w:val="single" w:sz="8" w:space="0" w:color="000000"/>
              <w:right w:val="single" w:sz="8" w:space="0" w:color="000000"/>
            </w:tcBorders>
          </w:tcPr>
          <w:p w14:paraId="523EB40B" w14:textId="77777777" w:rsidR="00591632" w:rsidRDefault="00591632" w:rsidP="001F0A57">
            <w:pPr>
              <w:autoSpaceDE w:val="0"/>
              <w:autoSpaceDN w:val="0"/>
              <w:adjustRightInd w:val="0"/>
              <w:jc w:val="center"/>
              <w:rPr>
                <w:color w:val="000000"/>
              </w:rPr>
            </w:pPr>
            <w:r w:rsidRPr="00385ABA">
              <w:rPr>
                <w:b/>
                <w:bCs/>
                <w:color w:val="000000"/>
              </w:rPr>
              <w:t>AM Best</w:t>
            </w:r>
          </w:p>
        </w:tc>
        <w:tc>
          <w:tcPr>
            <w:tcW w:w="1361" w:type="dxa"/>
            <w:vMerge w:val="restart"/>
            <w:tcBorders>
              <w:top w:val="single" w:sz="8" w:space="0" w:color="000000"/>
              <w:right w:val="single" w:sz="8" w:space="0" w:color="000000"/>
            </w:tcBorders>
          </w:tcPr>
          <w:p w14:paraId="523EB40C" w14:textId="77777777" w:rsidR="00591632" w:rsidRDefault="00591632" w:rsidP="001F0A57">
            <w:pPr>
              <w:autoSpaceDE w:val="0"/>
              <w:autoSpaceDN w:val="0"/>
              <w:adjustRightInd w:val="0"/>
              <w:jc w:val="center"/>
              <w:rPr>
                <w:color w:val="000000"/>
              </w:rPr>
            </w:pPr>
            <w:r w:rsidRPr="00385ABA">
              <w:rPr>
                <w:b/>
                <w:bCs/>
                <w:color w:val="000000"/>
              </w:rPr>
              <w:t>Fitch</w:t>
            </w:r>
          </w:p>
        </w:tc>
      </w:tr>
      <w:tr w:rsidR="00591632" w:rsidRPr="00385ABA" w14:paraId="523EB414" w14:textId="77777777" w:rsidTr="001F0A57">
        <w:trPr>
          <w:trHeight w:val="277"/>
        </w:trPr>
        <w:tc>
          <w:tcPr>
            <w:tcW w:w="993" w:type="dxa"/>
            <w:vMerge/>
            <w:tcBorders>
              <w:left w:val="single" w:sz="8" w:space="0" w:color="000000"/>
              <w:bottom w:val="single" w:sz="8" w:space="0" w:color="000000"/>
              <w:right w:val="single" w:sz="8" w:space="0" w:color="000000"/>
            </w:tcBorders>
          </w:tcPr>
          <w:p w14:paraId="523EB40E" w14:textId="77777777" w:rsidR="00591632" w:rsidRPr="00385ABA" w:rsidRDefault="00591632" w:rsidP="001F0A57">
            <w:pPr>
              <w:autoSpaceDE w:val="0"/>
              <w:autoSpaceDN w:val="0"/>
              <w:adjustRightInd w:val="0"/>
              <w:jc w:val="center"/>
              <w:rPr>
                <w:b/>
                <w:bCs/>
                <w:color w:val="000000"/>
              </w:rPr>
            </w:pPr>
          </w:p>
        </w:tc>
        <w:tc>
          <w:tcPr>
            <w:tcW w:w="1361" w:type="dxa"/>
            <w:vMerge/>
            <w:tcBorders>
              <w:left w:val="single" w:sz="4" w:space="0" w:color="auto"/>
              <w:right w:val="single" w:sz="8" w:space="0" w:color="000000"/>
            </w:tcBorders>
          </w:tcPr>
          <w:p w14:paraId="523EB40F" w14:textId="77777777" w:rsidR="00591632" w:rsidRPr="00385ABA" w:rsidRDefault="00591632" w:rsidP="001F0A57">
            <w:pPr>
              <w:autoSpaceDE w:val="0"/>
              <w:autoSpaceDN w:val="0"/>
              <w:adjustRightInd w:val="0"/>
              <w:jc w:val="center"/>
              <w:rPr>
                <w:b/>
                <w:bCs/>
                <w:color w:val="000000"/>
              </w:rPr>
            </w:pPr>
          </w:p>
        </w:tc>
        <w:tc>
          <w:tcPr>
            <w:tcW w:w="1361" w:type="dxa"/>
            <w:vMerge/>
            <w:tcBorders>
              <w:right w:val="single" w:sz="8" w:space="0" w:color="000000"/>
            </w:tcBorders>
          </w:tcPr>
          <w:p w14:paraId="523EB410" w14:textId="77777777" w:rsidR="00591632" w:rsidRPr="00385ABA" w:rsidRDefault="00591632" w:rsidP="001F0A57">
            <w:pPr>
              <w:autoSpaceDE w:val="0"/>
              <w:autoSpaceDN w:val="0"/>
              <w:adjustRightInd w:val="0"/>
              <w:jc w:val="center"/>
              <w:rPr>
                <w:b/>
                <w:bCs/>
                <w:color w:val="000000"/>
              </w:rPr>
            </w:pPr>
          </w:p>
        </w:tc>
        <w:tc>
          <w:tcPr>
            <w:tcW w:w="1361" w:type="dxa"/>
            <w:tcBorders>
              <w:top w:val="single" w:sz="8" w:space="0" w:color="000000"/>
              <w:right w:val="single" w:sz="8" w:space="0" w:color="000000"/>
            </w:tcBorders>
          </w:tcPr>
          <w:p w14:paraId="523EB411" w14:textId="77777777" w:rsidR="00591632" w:rsidRPr="00464A43" w:rsidRDefault="00591632" w:rsidP="001F0A57">
            <w:pPr>
              <w:autoSpaceDE w:val="0"/>
              <w:autoSpaceDN w:val="0"/>
              <w:adjustRightInd w:val="0"/>
              <w:jc w:val="center"/>
              <w:rPr>
                <w:b/>
                <w:bCs/>
                <w:color w:val="000000"/>
                <w:szCs w:val="24"/>
              </w:rPr>
            </w:pPr>
            <w:r w:rsidRPr="00464A43">
              <w:rPr>
                <w:b/>
                <w:bCs/>
                <w:color w:val="000000"/>
                <w:szCs w:val="24"/>
              </w:rPr>
              <w:t>Debt</w:t>
            </w:r>
          </w:p>
        </w:tc>
        <w:tc>
          <w:tcPr>
            <w:tcW w:w="1361" w:type="dxa"/>
            <w:tcBorders>
              <w:top w:val="single" w:sz="8" w:space="0" w:color="000000"/>
              <w:right w:val="single" w:sz="8" w:space="0" w:color="000000"/>
            </w:tcBorders>
          </w:tcPr>
          <w:p w14:paraId="523EB412" w14:textId="77777777" w:rsidR="00591632" w:rsidRPr="00464A43" w:rsidRDefault="00591632" w:rsidP="001F0A57">
            <w:pPr>
              <w:autoSpaceDE w:val="0"/>
              <w:autoSpaceDN w:val="0"/>
              <w:adjustRightInd w:val="0"/>
              <w:jc w:val="center"/>
              <w:rPr>
                <w:b/>
                <w:bCs/>
                <w:color w:val="000000"/>
                <w:szCs w:val="24"/>
              </w:rPr>
            </w:pPr>
            <w:r w:rsidRPr="00464A43">
              <w:rPr>
                <w:b/>
                <w:bCs/>
                <w:color w:val="000000"/>
                <w:szCs w:val="24"/>
              </w:rPr>
              <w:t>FSR</w:t>
            </w:r>
            <w:r>
              <w:rPr>
                <w:rStyle w:val="FootnoteReference"/>
                <w:b/>
                <w:bCs/>
                <w:color w:val="000000"/>
                <w:szCs w:val="24"/>
              </w:rPr>
              <w:footnoteReference w:id="2"/>
            </w:r>
          </w:p>
        </w:tc>
        <w:tc>
          <w:tcPr>
            <w:tcW w:w="1361" w:type="dxa"/>
            <w:vMerge/>
            <w:tcBorders>
              <w:bottom w:val="single" w:sz="8" w:space="0" w:color="000000"/>
              <w:right w:val="single" w:sz="8" w:space="0" w:color="000000"/>
            </w:tcBorders>
          </w:tcPr>
          <w:p w14:paraId="523EB413" w14:textId="77777777" w:rsidR="00591632" w:rsidRPr="00385ABA" w:rsidRDefault="00591632" w:rsidP="001F0A57">
            <w:pPr>
              <w:autoSpaceDE w:val="0"/>
              <w:autoSpaceDN w:val="0"/>
              <w:adjustRightInd w:val="0"/>
              <w:jc w:val="center"/>
              <w:rPr>
                <w:b/>
                <w:bCs/>
                <w:color w:val="000000"/>
              </w:rPr>
            </w:pPr>
          </w:p>
        </w:tc>
      </w:tr>
      <w:tr w:rsidR="00591632" w:rsidRPr="00385ABA" w14:paraId="523EB41B" w14:textId="77777777" w:rsidTr="001F0A57">
        <w:trPr>
          <w:trHeight w:val="157"/>
        </w:trPr>
        <w:tc>
          <w:tcPr>
            <w:tcW w:w="993" w:type="dxa"/>
            <w:tcBorders>
              <w:top w:val="single" w:sz="8" w:space="0" w:color="000000"/>
              <w:left w:val="single" w:sz="8" w:space="0" w:color="000000"/>
              <w:bottom w:val="single" w:sz="8" w:space="0" w:color="000000"/>
              <w:right w:val="single" w:sz="8" w:space="0" w:color="000000"/>
            </w:tcBorders>
          </w:tcPr>
          <w:p w14:paraId="523EB415" w14:textId="77777777" w:rsidR="00591632" w:rsidRDefault="00591632" w:rsidP="001F0A57">
            <w:pPr>
              <w:autoSpaceDE w:val="0"/>
              <w:autoSpaceDN w:val="0"/>
              <w:adjustRightInd w:val="0"/>
              <w:jc w:val="center"/>
              <w:rPr>
                <w:color w:val="000000"/>
              </w:rPr>
            </w:pPr>
            <w:r w:rsidRPr="00385ABA">
              <w:rPr>
                <w:color w:val="000000"/>
              </w:rPr>
              <w:t>1</w:t>
            </w:r>
          </w:p>
        </w:tc>
        <w:tc>
          <w:tcPr>
            <w:tcW w:w="1361" w:type="dxa"/>
            <w:tcBorders>
              <w:top w:val="single" w:sz="8" w:space="0" w:color="000000"/>
              <w:left w:val="single" w:sz="4" w:space="0" w:color="auto"/>
              <w:bottom w:val="single" w:sz="4" w:space="0" w:color="auto"/>
              <w:right w:val="single" w:sz="8" w:space="0" w:color="000000"/>
            </w:tcBorders>
          </w:tcPr>
          <w:p w14:paraId="523EB416" w14:textId="77777777" w:rsidR="00591632" w:rsidRDefault="00591632" w:rsidP="001F0A57">
            <w:pPr>
              <w:autoSpaceDE w:val="0"/>
              <w:autoSpaceDN w:val="0"/>
              <w:adjustRightInd w:val="0"/>
              <w:jc w:val="center"/>
              <w:rPr>
                <w:color w:val="000000"/>
              </w:rPr>
            </w:pPr>
            <w:r w:rsidRPr="00385ABA">
              <w:rPr>
                <w:color w:val="000000"/>
              </w:rPr>
              <w:t>AAA</w:t>
            </w:r>
          </w:p>
        </w:tc>
        <w:tc>
          <w:tcPr>
            <w:tcW w:w="1361" w:type="dxa"/>
            <w:tcBorders>
              <w:top w:val="single" w:sz="8" w:space="0" w:color="000000"/>
              <w:bottom w:val="single" w:sz="4" w:space="0" w:color="auto"/>
              <w:right w:val="single" w:sz="8" w:space="0" w:color="000000"/>
            </w:tcBorders>
          </w:tcPr>
          <w:p w14:paraId="523EB417" w14:textId="77777777" w:rsidR="00591632" w:rsidRDefault="00591632" w:rsidP="001F0A57">
            <w:pPr>
              <w:autoSpaceDE w:val="0"/>
              <w:autoSpaceDN w:val="0"/>
              <w:adjustRightInd w:val="0"/>
              <w:jc w:val="center"/>
              <w:rPr>
                <w:color w:val="000000"/>
              </w:rPr>
            </w:pPr>
            <w:proofErr w:type="spellStart"/>
            <w:r w:rsidRPr="00385ABA">
              <w:rPr>
                <w:color w:val="000000"/>
              </w:rPr>
              <w:t>Aaa</w:t>
            </w:r>
            <w:proofErr w:type="spellEnd"/>
          </w:p>
        </w:tc>
        <w:tc>
          <w:tcPr>
            <w:tcW w:w="1361" w:type="dxa"/>
            <w:tcBorders>
              <w:top w:val="single" w:sz="8" w:space="0" w:color="000000"/>
              <w:bottom w:val="single" w:sz="4" w:space="0" w:color="auto"/>
              <w:right w:val="single" w:sz="8" w:space="0" w:color="000000"/>
            </w:tcBorders>
          </w:tcPr>
          <w:p w14:paraId="523EB418" w14:textId="77777777" w:rsidR="00591632" w:rsidRDefault="00591632" w:rsidP="001F0A57">
            <w:pPr>
              <w:autoSpaceDE w:val="0"/>
              <w:autoSpaceDN w:val="0"/>
              <w:adjustRightInd w:val="0"/>
              <w:jc w:val="center"/>
              <w:rPr>
                <w:color w:val="000000"/>
              </w:rPr>
            </w:pPr>
            <w:proofErr w:type="spellStart"/>
            <w:r w:rsidRPr="00385ABA">
              <w:rPr>
                <w:color w:val="000000"/>
              </w:rPr>
              <w:t>aaa</w:t>
            </w:r>
            <w:proofErr w:type="spellEnd"/>
          </w:p>
        </w:tc>
        <w:tc>
          <w:tcPr>
            <w:tcW w:w="1361" w:type="dxa"/>
            <w:tcBorders>
              <w:top w:val="single" w:sz="8" w:space="0" w:color="000000"/>
              <w:bottom w:val="single" w:sz="4" w:space="0" w:color="auto"/>
              <w:right w:val="single" w:sz="8" w:space="0" w:color="000000"/>
            </w:tcBorders>
          </w:tcPr>
          <w:p w14:paraId="523EB419" w14:textId="77777777" w:rsidR="00591632" w:rsidRDefault="00591632" w:rsidP="001F0A57">
            <w:pPr>
              <w:autoSpaceDE w:val="0"/>
              <w:autoSpaceDN w:val="0"/>
              <w:adjustRightInd w:val="0"/>
              <w:jc w:val="center"/>
              <w:rPr>
                <w:color w:val="000000"/>
              </w:rPr>
            </w:pPr>
            <w:r>
              <w:rPr>
                <w:color w:val="000000"/>
              </w:rPr>
              <w:t>A++</w:t>
            </w:r>
          </w:p>
        </w:tc>
        <w:tc>
          <w:tcPr>
            <w:tcW w:w="1361" w:type="dxa"/>
            <w:tcBorders>
              <w:top w:val="single" w:sz="8" w:space="0" w:color="000000"/>
              <w:bottom w:val="single" w:sz="4" w:space="0" w:color="auto"/>
              <w:right w:val="single" w:sz="8" w:space="0" w:color="000000"/>
            </w:tcBorders>
          </w:tcPr>
          <w:p w14:paraId="523EB41A" w14:textId="77777777" w:rsidR="00591632" w:rsidRDefault="00591632" w:rsidP="001F0A57">
            <w:pPr>
              <w:autoSpaceDE w:val="0"/>
              <w:autoSpaceDN w:val="0"/>
              <w:adjustRightInd w:val="0"/>
              <w:jc w:val="center"/>
              <w:rPr>
                <w:color w:val="000000"/>
              </w:rPr>
            </w:pPr>
            <w:r w:rsidRPr="00385ABA">
              <w:rPr>
                <w:color w:val="000000"/>
              </w:rPr>
              <w:t>AAA</w:t>
            </w:r>
          </w:p>
        </w:tc>
      </w:tr>
      <w:tr w:rsidR="00591632" w:rsidRPr="00385ABA" w14:paraId="523EB429" w14:textId="77777777" w:rsidTr="001F0A57">
        <w:trPr>
          <w:trHeight w:val="433"/>
        </w:trPr>
        <w:tc>
          <w:tcPr>
            <w:tcW w:w="993" w:type="dxa"/>
            <w:tcBorders>
              <w:top w:val="single" w:sz="8" w:space="0" w:color="000000"/>
              <w:left w:val="single" w:sz="8" w:space="0" w:color="000000"/>
              <w:bottom w:val="single" w:sz="8" w:space="0" w:color="000000"/>
              <w:right w:val="single" w:sz="8" w:space="0" w:color="000000"/>
            </w:tcBorders>
          </w:tcPr>
          <w:p w14:paraId="523EB41C" w14:textId="77777777" w:rsidR="00591632" w:rsidRDefault="00591632" w:rsidP="001F0A57">
            <w:pPr>
              <w:autoSpaceDE w:val="0"/>
              <w:autoSpaceDN w:val="0"/>
              <w:adjustRightInd w:val="0"/>
              <w:jc w:val="center"/>
              <w:rPr>
                <w:color w:val="000000"/>
              </w:rPr>
            </w:pPr>
            <w:r w:rsidRPr="00385ABA">
              <w:rPr>
                <w:color w:val="000000"/>
              </w:rPr>
              <w:t>2</w:t>
            </w:r>
          </w:p>
        </w:tc>
        <w:tc>
          <w:tcPr>
            <w:tcW w:w="1361" w:type="dxa"/>
            <w:tcBorders>
              <w:top w:val="single" w:sz="4" w:space="0" w:color="auto"/>
              <w:left w:val="single" w:sz="4" w:space="0" w:color="auto"/>
              <w:bottom w:val="single" w:sz="8" w:space="0" w:color="000000"/>
              <w:right w:val="single" w:sz="8" w:space="0" w:color="000000"/>
            </w:tcBorders>
          </w:tcPr>
          <w:p w14:paraId="523EB41D" w14:textId="77777777" w:rsidR="00591632" w:rsidRDefault="00591632" w:rsidP="001F0A57">
            <w:pPr>
              <w:autoSpaceDE w:val="0"/>
              <w:autoSpaceDN w:val="0"/>
              <w:adjustRightInd w:val="0"/>
              <w:jc w:val="center"/>
              <w:rPr>
                <w:color w:val="000000"/>
              </w:rPr>
            </w:pPr>
            <w:r w:rsidRPr="00385ABA">
              <w:rPr>
                <w:color w:val="000000"/>
              </w:rPr>
              <w:t>AA+</w:t>
            </w:r>
          </w:p>
          <w:p w14:paraId="523EB41E" w14:textId="77777777" w:rsidR="00591632" w:rsidRDefault="00591632" w:rsidP="001F0A57">
            <w:pPr>
              <w:autoSpaceDE w:val="0"/>
              <w:autoSpaceDN w:val="0"/>
              <w:adjustRightInd w:val="0"/>
              <w:jc w:val="center"/>
              <w:rPr>
                <w:color w:val="000000"/>
              </w:rPr>
            </w:pPr>
            <w:r w:rsidRPr="00385ABA">
              <w:rPr>
                <w:color w:val="000000"/>
              </w:rPr>
              <w:t>AA</w:t>
            </w:r>
          </w:p>
          <w:p w14:paraId="523EB41F" w14:textId="77777777" w:rsidR="00591632" w:rsidRDefault="00591632" w:rsidP="001F0A57">
            <w:pPr>
              <w:autoSpaceDE w:val="0"/>
              <w:autoSpaceDN w:val="0"/>
              <w:adjustRightInd w:val="0"/>
              <w:jc w:val="center"/>
              <w:rPr>
                <w:color w:val="000000"/>
              </w:rPr>
            </w:pPr>
            <w:r w:rsidRPr="00385ABA">
              <w:rPr>
                <w:color w:val="000000"/>
              </w:rPr>
              <w:t>AA-</w:t>
            </w:r>
          </w:p>
        </w:tc>
        <w:tc>
          <w:tcPr>
            <w:tcW w:w="1361" w:type="dxa"/>
            <w:tcBorders>
              <w:top w:val="single" w:sz="4" w:space="0" w:color="auto"/>
              <w:bottom w:val="single" w:sz="8" w:space="0" w:color="000000"/>
              <w:right w:val="single" w:sz="8" w:space="0" w:color="000000"/>
            </w:tcBorders>
          </w:tcPr>
          <w:p w14:paraId="523EB420" w14:textId="77777777" w:rsidR="00591632" w:rsidRDefault="00591632" w:rsidP="001F0A57">
            <w:pPr>
              <w:autoSpaceDE w:val="0"/>
              <w:autoSpaceDN w:val="0"/>
              <w:adjustRightInd w:val="0"/>
              <w:jc w:val="center"/>
              <w:rPr>
                <w:color w:val="000000"/>
              </w:rPr>
            </w:pPr>
            <w:r w:rsidRPr="00385ABA">
              <w:rPr>
                <w:color w:val="000000"/>
              </w:rPr>
              <w:t>Aa1</w:t>
            </w:r>
          </w:p>
          <w:p w14:paraId="523EB421" w14:textId="77777777" w:rsidR="00591632" w:rsidRDefault="00591632" w:rsidP="001F0A57">
            <w:pPr>
              <w:autoSpaceDE w:val="0"/>
              <w:autoSpaceDN w:val="0"/>
              <w:adjustRightInd w:val="0"/>
              <w:jc w:val="center"/>
              <w:rPr>
                <w:color w:val="000000"/>
              </w:rPr>
            </w:pPr>
            <w:r w:rsidRPr="00385ABA">
              <w:rPr>
                <w:color w:val="000000"/>
              </w:rPr>
              <w:t>Aa2</w:t>
            </w:r>
          </w:p>
          <w:p w14:paraId="523EB422" w14:textId="77777777" w:rsidR="00591632" w:rsidRDefault="00591632" w:rsidP="001F0A57">
            <w:pPr>
              <w:autoSpaceDE w:val="0"/>
              <w:autoSpaceDN w:val="0"/>
              <w:adjustRightInd w:val="0"/>
              <w:jc w:val="center"/>
              <w:rPr>
                <w:color w:val="000000"/>
              </w:rPr>
            </w:pPr>
            <w:r w:rsidRPr="00385ABA">
              <w:rPr>
                <w:color w:val="000000"/>
              </w:rPr>
              <w:t>Aa3</w:t>
            </w:r>
          </w:p>
        </w:tc>
        <w:tc>
          <w:tcPr>
            <w:tcW w:w="1361" w:type="dxa"/>
            <w:tcBorders>
              <w:top w:val="single" w:sz="4" w:space="0" w:color="auto"/>
              <w:bottom w:val="single" w:sz="8" w:space="0" w:color="000000"/>
              <w:right w:val="single" w:sz="8" w:space="0" w:color="000000"/>
            </w:tcBorders>
          </w:tcPr>
          <w:p w14:paraId="523EB423" w14:textId="77777777" w:rsidR="00591632" w:rsidRDefault="00591632" w:rsidP="001F0A57">
            <w:pPr>
              <w:autoSpaceDE w:val="0"/>
              <w:autoSpaceDN w:val="0"/>
              <w:adjustRightInd w:val="0"/>
              <w:jc w:val="center"/>
              <w:rPr>
                <w:color w:val="000000"/>
              </w:rPr>
            </w:pPr>
            <w:r w:rsidRPr="00385ABA">
              <w:rPr>
                <w:color w:val="000000"/>
              </w:rPr>
              <w:t>aa+</w:t>
            </w:r>
          </w:p>
          <w:p w14:paraId="523EB424" w14:textId="77777777" w:rsidR="00591632" w:rsidRDefault="00591632" w:rsidP="001F0A57">
            <w:pPr>
              <w:autoSpaceDE w:val="0"/>
              <w:autoSpaceDN w:val="0"/>
              <w:adjustRightInd w:val="0"/>
              <w:jc w:val="center"/>
              <w:rPr>
                <w:color w:val="000000"/>
              </w:rPr>
            </w:pPr>
            <w:r w:rsidRPr="00385ABA">
              <w:rPr>
                <w:color w:val="000000"/>
              </w:rPr>
              <w:t>aa</w:t>
            </w:r>
          </w:p>
          <w:p w14:paraId="523EB425" w14:textId="77777777" w:rsidR="00591632" w:rsidRDefault="00591632" w:rsidP="001F0A57">
            <w:pPr>
              <w:autoSpaceDE w:val="0"/>
              <w:autoSpaceDN w:val="0"/>
              <w:adjustRightInd w:val="0"/>
              <w:jc w:val="center"/>
              <w:rPr>
                <w:color w:val="000000"/>
              </w:rPr>
            </w:pPr>
            <w:r>
              <w:rPr>
                <w:color w:val="000000"/>
              </w:rPr>
              <w:t>aa-</w:t>
            </w:r>
          </w:p>
        </w:tc>
        <w:tc>
          <w:tcPr>
            <w:tcW w:w="1361" w:type="dxa"/>
            <w:tcBorders>
              <w:top w:val="single" w:sz="4" w:space="0" w:color="auto"/>
              <w:bottom w:val="single" w:sz="8" w:space="0" w:color="000000"/>
              <w:right w:val="single" w:sz="8" w:space="0" w:color="000000"/>
            </w:tcBorders>
          </w:tcPr>
          <w:p w14:paraId="523EB426" w14:textId="77777777" w:rsidR="00591632" w:rsidRDefault="00591632" w:rsidP="001F0A57">
            <w:pPr>
              <w:autoSpaceDE w:val="0"/>
              <w:autoSpaceDN w:val="0"/>
              <w:adjustRightInd w:val="0"/>
              <w:jc w:val="center"/>
              <w:rPr>
                <w:color w:val="000000"/>
              </w:rPr>
            </w:pPr>
          </w:p>
          <w:p w14:paraId="523EB427" w14:textId="77777777" w:rsidR="00591632" w:rsidRDefault="00591632" w:rsidP="001F0A57">
            <w:pPr>
              <w:autoSpaceDE w:val="0"/>
              <w:autoSpaceDN w:val="0"/>
              <w:adjustRightInd w:val="0"/>
              <w:jc w:val="center"/>
              <w:rPr>
                <w:color w:val="000000"/>
              </w:rPr>
            </w:pPr>
            <w:r>
              <w:rPr>
                <w:color w:val="000000"/>
              </w:rPr>
              <w:t>A+</w:t>
            </w:r>
          </w:p>
        </w:tc>
        <w:tc>
          <w:tcPr>
            <w:tcW w:w="1361" w:type="dxa"/>
            <w:tcBorders>
              <w:top w:val="single" w:sz="4" w:space="0" w:color="auto"/>
              <w:bottom w:val="single" w:sz="8" w:space="0" w:color="000000"/>
              <w:right w:val="single" w:sz="8" w:space="0" w:color="000000"/>
            </w:tcBorders>
          </w:tcPr>
          <w:p w14:paraId="523EB428" w14:textId="77777777" w:rsidR="00591632" w:rsidRDefault="00591632" w:rsidP="001F0A57">
            <w:pPr>
              <w:autoSpaceDE w:val="0"/>
              <w:autoSpaceDN w:val="0"/>
              <w:adjustRightInd w:val="0"/>
              <w:jc w:val="center"/>
              <w:rPr>
                <w:color w:val="000000"/>
              </w:rPr>
            </w:pPr>
            <w:r w:rsidRPr="00385ABA">
              <w:rPr>
                <w:color w:val="000000"/>
              </w:rPr>
              <w:t xml:space="preserve">AA+ </w:t>
            </w:r>
            <w:r w:rsidRPr="00385ABA">
              <w:rPr>
                <w:color w:val="000000"/>
              </w:rPr>
              <w:br/>
              <w:t>AA</w:t>
            </w:r>
            <w:r w:rsidRPr="00385ABA">
              <w:rPr>
                <w:color w:val="000000"/>
              </w:rPr>
              <w:br/>
            </w:r>
            <w:proofErr w:type="spellStart"/>
            <w:r w:rsidRPr="00385ABA">
              <w:rPr>
                <w:color w:val="000000"/>
              </w:rPr>
              <w:t>AA</w:t>
            </w:r>
            <w:proofErr w:type="spellEnd"/>
            <w:r w:rsidRPr="00385ABA">
              <w:rPr>
                <w:color w:val="000000"/>
              </w:rPr>
              <w:t>-</w:t>
            </w:r>
          </w:p>
        </w:tc>
      </w:tr>
      <w:tr w:rsidR="00591632" w:rsidRPr="00385ABA" w14:paraId="523EB437" w14:textId="77777777" w:rsidTr="001F0A57">
        <w:trPr>
          <w:trHeight w:val="433"/>
        </w:trPr>
        <w:tc>
          <w:tcPr>
            <w:tcW w:w="993" w:type="dxa"/>
            <w:tcBorders>
              <w:top w:val="single" w:sz="8" w:space="0" w:color="000000"/>
              <w:left w:val="single" w:sz="8" w:space="0" w:color="000000"/>
              <w:bottom w:val="single" w:sz="8" w:space="0" w:color="000000"/>
              <w:right w:val="single" w:sz="8" w:space="0" w:color="000000"/>
            </w:tcBorders>
          </w:tcPr>
          <w:p w14:paraId="523EB42A" w14:textId="77777777" w:rsidR="00591632" w:rsidRDefault="00591632" w:rsidP="001F0A57">
            <w:pPr>
              <w:autoSpaceDE w:val="0"/>
              <w:autoSpaceDN w:val="0"/>
              <w:adjustRightInd w:val="0"/>
              <w:jc w:val="center"/>
              <w:rPr>
                <w:color w:val="000000"/>
              </w:rPr>
            </w:pPr>
            <w:r w:rsidRPr="00385ABA">
              <w:rPr>
                <w:color w:val="000000"/>
              </w:rPr>
              <w:t>3</w:t>
            </w:r>
          </w:p>
        </w:tc>
        <w:tc>
          <w:tcPr>
            <w:tcW w:w="1361" w:type="dxa"/>
            <w:tcBorders>
              <w:top w:val="single" w:sz="8" w:space="0" w:color="000000"/>
              <w:left w:val="single" w:sz="4" w:space="0" w:color="auto"/>
              <w:bottom w:val="single" w:sz="8" w:space="0" w:color="000000"/>
              <w:right w:val="single" w:sz="8" w:space="0" w:color="000000"/>
            </w:tcBorders>
          </w:tcPr>
          <w:p w14:paraId="523EB42B" w14:textId="77777777" w:rsidR="00591632" w:rsidRDefault="00591632" w:rsidP="001F0A57">
            <w:pPr>
              <w:autoSpaceDE w:val="0"/>
              <w:autoSpaceDN w:val="0"/>
              <w:adjustRightInd w:val="0"/>
              <w:jc w:val="center"/>
              <w:rPr>
                <w:color w:val="000000"/>
              </w:rPr>
            </w:pPr>
            <w:r w:rsidRPr="00385ABA">
              <w:rPr>
                <w:color w:val="000000"/>
              </w:rPr>
              <w:t>A+</w:t>
            </w:r>
          </w:p>
          <w:p w14:paraId="523EB42C" w14:textId="77777777" w:rsidR="00591632" w:rsidRDefault="00591632" w:rsidP="001F0A57">
            <w:pPr>
              <w:autoSpaceDE w:val="0"/>
              <w:autoSpaceDN w:val="0"/>
              <w:adjustRightInd w:val="0"/>
              <w:jc w:val="center"/>
              <w:rPr>
                <w:color w:val="000000"/>
              </w:rPr>
            </w:pPr>
            <w:r w:rsidRPr="00385ABA">
              <w:rPr>
                <w:color w:val="000000"/>
              </w:rPr>
              <w:t>A</w:t>
            </w:r>
          </w:p>
          <w:p w14:paraId="523EB42D" w14:textId="77777777" w:rsidR="00591632" w:rsidRDefault="00591632" w:rsidP="001F0A57">
            <w:pPr>
              <w:autoSpaceDE w:val="0"/>
              <w:autoSpaceDN w:val="0"/>
              <w:adjustRightInd w:val="0"/>
              <w:jc w:val="center"/>
              <w:rPr>
                <w:color w:val="000000"/>
              </w:rPr>
            </w:pPr>
            <w:r w:rsidRPr="00385ABA">
              <w:rPr>
                <w:color w:val="000000"/>
              </w:rPr>
              <w:t>A-</w:t>
            </w:r>
          </w:p>
        </w:tc>
        <w:tc>
          <w:tcPr>
            <w:tcW w:w="1361" w:type="dxa"/>
            <w:tcBorders>
              <w:top w:val="single" w:sz="8" w:space="0" w:color="000000"/>
              <w:bottom w:val="single" w:sz="8" w:space="0" w:color="000000"/>
              <w:right w:val="single" w:sz="8" w:space="0" w:color="000000"/>
            </w:tcBorders>
          </w:tcPr>
          <w:p w14:paraId="523EB42E" w14:textId="77777777" w:rsidR="00591632" w:rsidRDefault="00591632" w:rsidP="001F0A57">
            <w:pPr>
              <w:autoSpaceDE w:val="0"/>
              <w:autoSpaceDN w:val="0"/>
              <w:adjustRightInd w:val="0"/>
              <w:jc w:val="center"/>
              <w:rPr>
                <w:color w:val="000000"/>
              </w:rPr>
            </w:pPr>
            <w:r w:rsidRPr="00385ABA">
              <w:rPr>
                <w:color w:val="000000"/>
              </w:rPr>
              <w:t>A1</w:t>
            </w:r>
          </w:p>
          <w:p w14:paraId="523EB42F" w14:textId="77777777" w:rsidR="00591632" w:rsidRDefault="00591632" w:rsidP="001F0A57">
            <w:pPr>
              <w:autoSpaceDE w:val="0"/>
              <w:autoSpaceDN w:val="0"/>
              <w:adjustRightInd w:val="0"/>
              <w:jc w:val="center"/>
              <w:rPr>
                <w:color w:val="000000"/>
              </w:rPr>
            </w:pPr>
            <w:r w:rsidRPr="00385ABA">
              <w:rPr>
                <w:color w:val="000000"/>
              </w:rPr>
              <w:t>A2</w:t>
            </w:r>
          </w:p>
          <w:p w14:paraId="523EB430" w14:textId="77777777" w:rsidR="00591632" w:rsidRDefault="00591632" w:rsidP="001F0A57">
            <w:pPr>
              <w:autoSpaceDE w:val="0"/>
              <w:autoSpaceDN w:val="0"/>
              <w:adjustRightInd w:val="0"/>
              <w:jc w:val="center"/>
              <w:rPr>
                <w:color w:val="000000"/>
              </w:rPr>
            </w:pPr>
            <w:r w:rsidRPr="00385ABA">
              <w:rPr>
                <w:color w:val="000000"/>
              </w:rPr>
              <w:t>A3</w:t>
            </w:r>
          </w:p>
        </w:tc>
        <w:tc>
          <w:tcPr>
            <w:tcW w:w="1361" w:type="dxa"/>
            <w:tcBorders>
              <w:top w:val="single" w:sz="8" w:space="0" w:color="000000"/>
              <w:bottom w:val="single" w:sz="8" w:space="0" w:color="000000"/>
              <w:right w:val="single" w:sz="8" w:space="0" w:color="000000"/>
            </w:tcBorders>
          </w:tcPr>
          <w:p w14:paraId="523EB431" w14:textId="77777777" w:rsidR="00591632" w:rsidRDefault="00591632" w:rsidP="001F0A57">
            <w:pPr>
              <w:autoSpaceDE w:val="0"/>
              <w:autoSpaceDN w:val="0"/>
              <w:adjustRightInd w:val="0"/>
              <w:jc w:val="center"/>
              <w:rPr>
                <w:color w:val="000000"/>
              </w:rPr>
            </w:pPr>
            <w:r w:rsidRPr="00385ABA">
              <w:rPr>
                <w:color w:val="000000"/>
              </w:rPr>
              <w:t>a+</w:t>
            </w:r>
            <w:r w:rsidRPr="00385ABA">
              <w:rPr>
                <w:color w:val="000000"/>
              </w:rPr>
              <w:br/>
              <w:t>a</w:t>
            </w:r>
          </w:p>
          <w:p w14:paraId="523EB432" w14:textId="77777777" w:rsidR="00591632" w:rsidRDefault="00591632" w:rsidP="001F0A57">
            <w:pPr>
              <w:autoSpaceDE w:val="0"/>
              <w:autoSpaceDN w:val="0"/>
              <w:adjustRightInd w:val="0"/>
              <w:jc w:val="center"/>
              <w:rPr>
                <w:color w:val="000000"/>
              </w:rPr>
            </w:pPr>
            <w:r>
              <w:rPr>
                <w:color w:val="000000"/>
              </w:rPr>
              <w:t>a-</w:t>
            </w:r>
          </w:p>
        </w:tc>
        <w:tc>
          <w:tcPr>
            <w:tcW w:w="1361" w:type="dxa"/>
            <w:tcBorders>
              <w:top w:val="single" w:sz="8" w:space="0" w:color="000000"/>
              <w:bottom w:val="single" w:sz="8" w:space="0" w:color="000000"/>
              <w:right w:val="single" w:sz="8" w:space="0" w:color="000000"/>
            </w:tcBorders>
          </w:tcPr>
          <w:p w14:paraId="523EB433" w14:textId="77777777" w:rsidR="00591632" w:rsidRDefault="00591632" w:rsidP="001F0A57">
            <w:pPr>
              <w:autoSpaceDE w:val="0"/>
              <w:autoSpaceDN w:val="0"/>
              <w:adjustRightInd w:val="0"/>
              <w:jc w:val="center"/>
              <w:rPr>
                <w:color w:val="000000"/>
              </w:rPr>
            </w:pPr>
          </w:p>
          <w:p w14:paraId="523EB434" w14:textId="77777777" w:rsidR="00591632" w:rsidRDefault="00591632" w:rsidP="001F0A57">
            <w:pPr>
              <w:autoSpaceDE w:val="0"/>
              <w:autoSpaceDN w:val="0"/>
              <w:adjustRightInd w:val="0"/>
              <w:jc w:val="center"/>
              <w:rPr>
                <w:color w:val="000000"/>
              </w:rPr>
            </w:pPr>
            <w:r>
              <w:rPr>
                <w:color w:val="000000"/>
              </w:rPr>
              <w:t>A</w:t>
            </w:r>
          </w:p>
          <w:p w14:paraId="523EB435" w14:textId="77777777" w:rsidR="00591632" w:rsidRDefault="00591632" w:rsidP="001F0A57">
            <w:pPr>
              <w:autoSpaceDE w:val="0"/>
              <w:autoSpaceDN w:val="0"/>
              <w:adjustRightInd w:val="0"/>
              <w:jc w:val="center"/>
              <w:rPr>
                <w:color w:val="000000"/>
              </w:rPr>
            </w:pPr>
            <w:r>
              <w:rPr>
                <w:color w:val="000000"/>
              </w:rPr>
              <w:t>A-</w:t>
            </w:r>
          </w:p>
        </w:tc>
        <w:tc>
          <w:tcPr>
            <w:tcW w:w="1361" w:type="dxa"/>
            <w:tcBorders>
              <w:top w:val="single" w:sz="8" w:space="0" w:color="000000"/>
              <w:bottom w:val="single" w:sz="8" w:space="0" w:color="000000"/>
              <w:right w:val="single" w:sz="8" w:space="0" w:color="000000"/>
            </w:tcBorders>
          </w:tcPr>
          <w:p w14:paraId="523EB436" w14:textId="77777777" w:rsidR="00591632" w:rsidRDefault="00591632" w:rsidP="001F0A57">
            <w:pPr>
              <w:autoSpaceDE w:val="0"/>
              <w:autoSpaceDN w:val="0"/>
              <w:adjustRightInd w:val="0"/>
              <w:jc w:val="center"/>
              <w:rPr>
                <w:color w:val="000000"/>
              </w:rPr>
            </w:pPr>
            <w:r w:rsidRPr="00385ABA">
              <w:rPr>
                <w:color w:val="000000"/>
              </w:rPr>
              <w:t>A+</w:t>
            </w:r>
            <w:r w:rsidRPr="00385ABA">
              <w:rPr>
                <w:color w:val="000000"/>
              </w:rPr>
              <w:br/>
              <w:t>A</w:t>
            </w:r>
            <w:r w:rsidRPr="00385ABA">
              <w:rPr>
                <w:color w:val="000000"/>
              </w:rPr>
              <w:br/>
            </w:r>
            <w:proofErr w:type="spellStart"/>
            <w:r w:rsidRPr="00385ABA">
              <w:rPr>
                <w:color w:val="000000"/>
              </w:rPr>
              <w:t>A</w:t>
            </w:r>
            <w:proofErr w:type="spellEnd"/>
            <w:r w:rsidRPr="00385ABA">
              <w:rPr>
                <w:color w:val="000000"/>
              </w:rPr>
              <w:t>-</w:t>
            </w:r>
          </w:p>
        </w:tc>
      </w:tr>
      <w:tr w:rsidR="00591632" w:rsidRPr="00385ABA" w14:paraId="523EB442" w14:textId="77777777" w:rsidTr="001F0A57">
        <w:trPr>
          <w:trHeight w:val="433"/>
        </w:trPr>
        <w:tc>
          <w:tcPr>
            <w:tcW w:w="993" w:type="dxa"/>
            <w:tcBorders>
              <w:top w:val="single" w:sz="8" w:space="0" w:color="000000"/>
              <w:left w:val="single" w:sz="8" w:space="0" w:color="000000"/>
              <w:bottom w:val="single" w:sz="8" w:space="0" w:color="000000"/>
              <w:right w:val="single" w:sz="8" w:space="0" w:color="000000"/>
            </w:tcBorders>
          </w:tcPr>
          <w:p w14:paraId="523EB438" w14:textId="77777777" w:rsidR="00591632" w:rsidRDefault="00591632" w:rsidP="001F0A57">
            <w:pPr>
              <w:autoSpaceDE w:val="0"/>
              <w:autoSpaceDN w:val="0"/>
              <w:adjustRightInd w:val="0"/>
              <w:jc w:val="center"/>
              <w:rPr>
                <w:color w:val="000000"/>
              </w:rPr>
            </w:pPr>
            <w:r w:rsidRPr="00385ABA">
              <w:rPr>
                <w:color w:val="000000"/>
              </w:rPr>
              <w:t>4</w:t>
            </w:r>
          </w:p>
        </w:tc>
        <w:tc>
          <w:tcPr>
            <w:tcW w:w="1361" w:type="dxa"/>
            <w:tcBorders>
              <w:top w:val="single" w:sz="8" w:space="0" w:color="000000"/>
              <w:left w:val="single" w:sz="4" w:space="0" w:color="auto"/>
              <w:bottom w:val="single" w:sz="8" w:space="0" w:color="000000"/>
              <w:right w:val="single" w:sz="8" w:space="0" w:color="000000"/>
            </w:tcBorders>
          </w:tcPr>
          <w:p w14:paraId="523EB439" w14:textId="77777777" w:rsidR="00591632" w:rsidRDefault="00591632" w:rsidP="001F0A57">
            <w:pPr>
              <w:autoSpaceDE w:val="0"/>
              <w:autoSpaceDN w:val="0"/>
              <w:adjustRightInd w:val="0"/>
              <w:jc w:val="center"/>
              <w:rPr>
                <w:color w:val="000000"/>
              </w:rPr>
            </w:pPr>
            <w:r w:rsidRPr="00385ABA">
              <w:rPr>
                <w:color w:val="000000"/>
              </w:rPr>
              <w:t>BBB+</w:t>
            </w:r>
            <w:r w:rsidRPr="00385ABA">
              <w:rPr>
                <w:color w:val="000000"/>
              </w:rPr>
              <w:br/>
              <w:t>BBB</w:t>
            </w:r>
            <w:r w:rsidRPr="00385ABA">
              <w:rPr>
                <w:color w:val="000000"/>
              </w:rPr>
              <w:br/>
            </w:r>
            <w:proofErr w:type="spellStart"/>
            <w:r w:rsidRPr="00385ABA">
              <w:rPr>
                <w:color w:val="000000"/>
              </w:rPr>
              <w:t>BBB</w:t>
            </w:r>
            <w:proofErr w:type="spellEnd"/>
            <w:r w:rsidRPr="00385ABA">
              <w:rPr>
                <w:color w:val="000000"/>
              </w:rPr>
              <w:t>-</w:t>
            </w:r>
          </w:p>
        </w:tc>
        <w:tc>
          <w:tcPr>
            <w:tcW w:w="1361" w:type="dxa"/>
            <w:tcBorders>
              <w:top w:val="single" w:sz="8" w:space="0" w:color="000000"/>
              <w:bottom w:val="single" w:sz="8" w:space="0" w:color="000000"/>
              <w:right w:val="single" w:sz="8" w:space="0" w:color="000000"/>
            </w:tcBorders>
          </w:tcPr>
          <w:p w14:paraId="523EB43A" w14:textId="77777777" w:rsidR="00591632" w:rsidRDefault="00591632" w:rsidP="001F0A57">
            <w:pPr>
              <w:autoSpaceDE w:val="0"/>
              <w:autoSpaceDN w:val="0"/>
              <w:adjustRightInd w:val="0"/>
              <w:jc w:val="center"/>
              <w:rPr>
                <w:color w:val="000000"/>
              </w:rPr>
            </w:pPr>
            <w:r w:rsidRPr="00385ABA">
              <w:rPr>
                <w:color w:val="000000"/>
              </w:rPr>
              <w:t>Baa1</w:t>
            </w:r>
          </w:p>
          <w:p w14:paraId="523EB43B" w14:textId="77777777" w:rsidR="00591632" w:rsidRDefault="00591632" w:rsidP="001F0A57">
            <w:pPr>
              <w:autoSpaceDE w:val="0"/>
              <w:autoSpaceDN w:val="0"/>
              <w:adjustRightInd w:val="0"/>
              <w:jc w:val="center"/>
              <w:rPr>
                <w:color w:val="000000"/>
              </w:rPr>
            </w:pPr>
            <w:r w:rsidRPr="00385ABA">
              <w:rPr>
                <w:color w:val="000000"/>
              </w:rPr>
              <w:t>Baa2</w:t>
            </w:r>
            <w:r w:rsidRPr="00385ABA">
              <w:rPr>
                <w:color w:val="000000"/>
              </w:rPr>
              <w:br/>
              <w:t>Baa3</w:t>
            </w:r>
          </w:p>
        </w:tc>
        <w:tc>
          <w:tcPr>
            <w:tcW w:w="1361" w:type="dxa"/>
            <w:tcBorders>
              <w:top w:val="single" w:sz="8" w:space="0" w:color="000000"/>
              <w:bottom w:val="single" w:sz="8" w:space="0" w:color="000000"/>
              <w:right w:val="single" w:sz="8" w:space="0" w:color="000000"/>
            </w:tcBorders>
          </w:tcPr>
          <w:p w14:paraId="523EB43C" w14:textId="77777777" w:rsidR="00591632" w:rsidRDefault="00591632" w:rsidP="001F0A57">
            <w:pPr>
              <w:autoSpaceDE w:val="0"/>
              <w:autoSpaceDN w:val="0"/>
              <w:adjustRightInd w:val="0"/>
              <w:jc w:val="center"/>
              <w:rPr>
                <w:color w:val="000000"/>
              </w:rPr>
            </w:pPr>
            <w:proofErr w:type="spellStart"/>
            <w:r w:rsidRPr="00385ABA">
              <w:rPr>
                <w:color w:val="000000"/>
              </w:rPr>
              <w:t>bbb</w:t>
            </w:r>
            <w:proofErr w:type="spellEnd"/>
            <w:r w:rsidRPr="00385ABA">
              <w:rPr>
                <w:color w:val="000000"/>
              </w:rPr>
              <w:t>+</w:t>
            </w:r>
            <w:r w:rsidRPr="00385ABA">
              <w:rPr>
                <w:color w:val="000000"/>
              </w:rPr>
              <w:br/>
            </w:r>
            <w:proofErr w:type="spellStart"/>
            <w:r w:rsidRPr="00385ABA">
              <w:rPr>
                <w:color w:val="000000"/>
              </w:rPr>
              <w:t>bbb</w:t>
            </w:r>
            <w:proofErr w:type="spellEnd"/>
            <w:r w:rsidRPr="00385ABA">
              <w:rPr>
                <w:color w:val="000000"/>
              </w:rPr>
              <w:t xml:space="preserve"> </w:t>
            </w:r>
          </w:p>
          <w:p w14:paraId="523EB43D" w14:textId="77777777" w:rsidR="00591632" w:rsidRDefault="00591632" w:rsidP="001F0A57">
            <w:pPr>
              <w:autoSpaceDE w:val="0"/>
              <w:autoSpaceDN w:val="0"/>
              <w:adjustRightInd w:val="0"/>
              <w:jc w:val="center"/>
              <w:rPr>
                <w:color w:val="000000"/>
              </w:rPr>
            </w:pPr>
            <w:proofErr w:type="spellStart"/>
            <w:r w:rsidRPr="00385ABA">
              <w:rPr>
                <w:color w:val="000000"/>
              </w:rPr>
              <w:t>bbb</w:t>
            </w:r>
            <w:proofErr w:type="spellEnd"/>
            <w:r w:rsidRPr="00385ABA">
              <w:rPr>
                <w:color w:val="000000"/>
              </w:rPr>
              <w:t>-</w:t>
            </w:r>
          </w:p>
        </w:tc>
        <w:tc>
          <w:tcPr>
            <w:tcW w:w="1361" w:type="dxa"/>
            <w:tcBorders>
              <w:top w:val="single" w:sz="8" w:space="0" w:color="000000"/>
              <w:bottom w:val="single" w:sz="8" w:space="0" w:color="000000"/>
              <w:right w:val="single" w:sz="8" w:space="0" w:color="000000"/>
            </w:tcBorders>
          </w:tcPr>
          <w:p w14:paraId="523EB43E" w14:textId="77777777" w:rsidR="00591632" w:rsidRDefault="00591632" w:rsidP="001F0A57">
            <w:pPr>
              <w:autoSpaceDE w:val="0"/>
              <w:autoSpaceDN w:val="0"/>
              <w:adjustRightInd w:val="0"/>
              <w:jc w:val="center"/>
              <w:rPr>
                <w:color w:val="000000"/>
              </w:rPr>
            </w:pPr>
          </w:p>
          <w:p w14:paraId="523EB43F" w14:textId="77777777" w:rsidR="00591632" w:rsidRDefault="00591632" w:rsidP="001F0A57">
            <w:pPr>
              <w:autoSpaceDE w:val="0"/>
              <w:autoSpaceDN w:val="0"/>
              <w:adjustRightInd w:val="0"/>
              <w:jc w:val="center"/>
              <w:rPr>
                <w:color w:val="000000"/>
              </w:rPr>
            </w:pPr>
            <w:r>
              <w:rPr>
                <w:color w:val="000000"/>
              </w:rPr>
              <w:t>B++</w:t>
            </w:r>
          </w:p>
          <w:p w14:paraId="523EB440" w14:textId="77777777" w:rsidR="00591632" w:rsidRDefault="00591632" w:rsidP="001F0A57">
            <w:pPr>
              <w:autoSpaceDE w:val="0"/>
              <w:autoSpaceDN w:val="0"/>
              <w:adjustRightInd w:val="0"/>
              <w:jc w:val="center"/>
              <w:rPr>
                <w:color w:val="000000"/>
              </w:rPr>
            </w:pPr>
            <w:r>
              <w:rPr>
                <w:color w:val="000000"/>
              </w:rPr>
              <w:t>B+</w:t>
            </w:r>
          </w:p>
        </w:tc>
        <w:tc>
          <w:tcPr>
            <w:tcW w:w="1361" w:type="dxa"/>
            <w:tcBorders>
              <w:top w:val="single" w:sz="8" w:space="0" w:color="000000"/>
              <w:bottom w:val="single" w:sz="8" w:space="0" w:color="000000"/>
              <w:right w:val="single" w:sz="8" w:space="0" w:color="000000"/>
            </w:tcBorders>
          </w:tcPr>
          <w:p w14:paraId="523EB441" w14:textId="77777777" w:rsidR="00591632" w:rsidRDefault="00591632" w:rsidP="001F0A57">
            <w:pPr>
              <w:autoSpaceDE w:val="0"/>
              <w:autoSpaceDN w:val="0"/>
              <w:adjustRightInd w:val="0"/>
              <w:jc w:val="center"/>
              <w:rPr>
                <w:color w:val="000000"/>
              </w:rPr>
            </w:pPr>
            <w:r w:rsidRPr="00385ABA">
              <w:rPr>
                <w:color w:val="000000"/>
              </w:rPr>
              <w:t>BBB+</w:t>
            </w:r>
            <w:r w:rsidRPr="00385ABA">
              <w:rPr>
                <w:color w:val="000000"/>
              </w:rPr>
              <w:br/>
              <w:t>BBB</w:t>
            </w:r>
            <w:r w:rsidRPr="00385ABA">
              <w:rPr>
                <w:color w:val="000000"/>
              </w:rPr>
              <w:br/>
            </w:r>
            <w:proofErr w:type="spellStart"/>
            <w:r w:rsidRPr="00385ABA">
              <w:rPr>
                <w:color w:val="000000"/>
              </w:rPr>
              <w:t>BBB</w:t>
            </w:r>
            <w:proofErr w:type="spellEnd"/>
            <w:r w:rsidRPr="00385ABA">
              <w:rPr>
                <w:color w:val="000000"/>
              </w:rPr>
              <w:t>-</w:t>
            </w:r>
          </w:p>
        </w:tc>
      </w:tr>
      <w:tr w:rsidR="00591632" w:rsidRPr="00385ABA" w14:paraId="523EB453" w14:textId="77777777" w:rsidTr="001F0A57">
        <w:trPr>
          <w:trHeight w:val="157"/>
        </w:trPr>
        <w:tc>
          <w:tcPr>
            <w:tcW w:w="993" w:type="dxa"/>
            <w:tcBorders>
              <w:top w:val="single" w:sz="8" w:space="0" w:color="000000"/>
              <w:left w:val="single" w:sz="8" w:space="0" w:color="000000"/>
              <w:bottom w:val="single" w:sz="8" w:space="0" w:color="000000"/>
              <w:right w:val="single" w:sz="8" w:space="0" w:color="000000"/>
            </w:tcBorders>
          </w:tcPr>
          <w:p w14:paraId="523EB443" w14:textId="77777777" w:rsidR="00591632" w:rsidRDefault="00591632" w:rsidP="001F0A57">
            <w:pPr>
              <w:autoSpaceDE w:val="0"/>
              <w:autoSpaceDN w:val="0"/>
              <w:adjustRightInd w:val="0"/>
              <w:jc w:val="center"/>
              <w:rPr>
                <w:color w:val="000000"/>
              </w:rPr>
            </w:pPr>
            <w:r w:rsidRPr="00385ABA">
              <w:rPr>
                <w:color w:val="000000"/>
              </w:rPr>
              <w:t>5</w:t>
            </w:r>
          </w:p>
        </w:tc>
        <w:tc>
          <w:tcPr>
            <w:tcW w:w="1361" w:type="dxa"/>
            <w:tcBorders>
              <w:top w:val="single" w:sz="8" w:space="0" w:color="000000"/>
              <w:left w:val="single" w:sz="4" w:space="0" w:color="auto"/>
              <w:bottom w:val="single" w:sz="8" w:space="0" w:color="000000"/>
              <w:right w:val="single" w:sz="8" w:space="0" w:color="000000"/>
            </w:tcBorders>
          </w:tcPr>
          <w:p w14:paraId="523EB444" w14:textId="77777777" w:rsidR="00591632" w:rsidRDefault="00591632" w:rsidP="001F0A57">
            <w:pPr>
              <w:autoSpaceDE w:val="0"/>
              <w:autoSpaceDN w:val="0"/>
              <w:adjustRightInd w:val="0"/>
              <w:jc w:val="center"/>
              <w:rPr>
                <w:color w:val="000000"/>
              </w:rPr>
            </w:pPr>
            <w:r w:rsidRPr="00385ABA">
              <w:rPr>
                <w:color w:val="000000"/>
              </w:rPr>
              <w:t>BB+</w:t>
            </w:r>
          </w:p>
          <w:p w14:paraId="523EB445" w14:textId="77777777" w:rsidR="00591632" w:rsidRDefault="00591632" w:rsidP="001F0A57">
            <w:pPr>
              <w:autoSpaceDE w:val="0"/>
              <w:autoSpaceDN w:val="0"/>
              <w:adjustRightInd w:val="0"/>
              <w:jc w:val="center"/>
              <w:rPr>
                <w:color w:val="000000"/>
              </w:rPr>
            </w:pPr>
            <w:r w:rsidRPr="00385ABA">
              <w:rPr>
                <w:color w:val="000000"/>
              </w:rPr>
              <w:t>BB</w:t>
            </w:r>
          </w:p>
          <w:p w14:paraId="523EB446" w14:textId="77777777" w:rsidR="00591632" w:rsidRDefault="00591632" w:rsidP="001F0A57">
            <w:pPr>
              <w:autoSpaceDE w:val="0"/>
              <w:autoSpaceDN w:val="0"/>
              <w:adjustRightInd w:val="0"/>
              <w:jc w:val="center"/>
              <w:rPr>
                <w:color w:val="000000"/>
              </w:rPr>
            </w:pPr>
            <w:r w:rsidRPr="00385ABA">
              <w:rPr>
                <w:color w:val="000000"/>
              </w:rPr>
              <w:t>BB-</w:t>
            </w:r>
          </w:p>
        </w:tc>
        <w:tc>
          <w:tcPr>
            <w:tcW w:w="1361" w:type="dxa"/>
            <w:tcBorders>
              <w:top w:val="single" w:sz="8" w:space="0" w:color="000000"/>
              <w:bottom w:val="single" w:sz="8" w:space="0" w:color="000000"/>
              <w:right w:val="single" w:sz="8" w:space="0" w:color="000000"/>
            </w:tcBorders>
          </w:tcPr>
          <w:p w14:paraId="523EB447" w14:textId="77777777" w:rsidR="00591632" w:rsidRDefault="00591632" w:rsidP="001F0A57">
            <w:pPr>
              <w:autoSpaceDE w:val="0"/>
              <w:autoSpaceDN w:val="0"/>
              <w:adjustRightInd w:val="0"/>
              <w:jc w:val="center"/>
              <w:rPr>
                <w:color w:val="000000"/>
              </w:rPr>
            </w:pPr>
            <w:r w:rsidRPr="00385ABA">
              <w:rPr>
                <w:color w:val="000000"/>
              </w:rPr>
              <w:t>Ba1</w:t>
            </w:r>
          </w:p>
          <w:p w14:paraId="523EB448" w14:textId="77777777" w:rsidR="00591632" w:rsidRDefault="00591632" w:rsidP="001F0A57">
            <w:pPr>
              <w:autoSpaceDE w:val="0"/>
              <w:autoSpaceDN w:val="0"/>
              <w:adjustRightInd w:val="0"/>
              <w:jc w:val="center"/>
              <w:rPr>
                <w:color w:val="000000"/>
              </w:rPr>
            </w:pPr>
            <w:r w:rsidRPr="00385ABA">
              <w:rPr>
                <w:color w:val="000000"/>
              </w:rPr>
              <w:t>Ba2</w:t>
            </w:r>
          </w:p>
          <w:p w14:paraId="523EB449" w14:textId="77777777" w:rsidR="00591632" w:rsidRDefault="00591632" w:rsidP="001F0A57">
            <w:pPr>
              <w:autoSpaceDE w:val="0"/>
              <w:autoSpaceDN w:val="0"/>
              <w:adjustRightInd w:val="0"/>
              <w:jc w:val="center"/>
              <w:rPr>
                <w:color w:val="000000"/>
              </w:rPr>
            </w:pPr>
            <w:r w:rsidRPr="00385ABA">
              <w:rPr>
                <w:color w:val="000000"/>
              </w:rPr>
              <w:t>Ba3</w:t>
            </w:r>
          </w:p>
        </w:tc>
        <w:tc>
          <w:tcPr>
            <w:tcW w:w="1361" w:type="dxa"/>
            <w:tcBorders>
              <w:top w:val="single" w:sz="8" w:space="0" w:color="000000"/>
              <w:bottom w:val="single" w:sz="8" w:space="0" w:color="000000"/>
              <w:right w:val="single" w:sz="8" w:space="0" w:color="000000"/>
            </w:tcBorders>
          </w:tcPr>
          <w:p w14:paraId="523EB44A" w14:textId="77777777" w:rsidR="00591632" w:rsidRDefault="00591632" w:rsidP="001F0A57">
            <w:pPr>
              <w:autoSpaceDE w:val="0"/>
              <w:autoSpaceDN w:val="0"/>
              <w:adjustRightInd w:val="0"/>
              <w:jc w:val="center"/>
              <w:rPr>
                <w:color w:val="000000"/>
              </w:rPr>
            </w:pPr>
            <w:r w:rsidRPr="00385ABA">
              <w:rPr>
                <w:color w:val="000000"/>
              </w:rPr>
              <w:t>bb+</w:t>
            </w:r>
          </w:p>
          <w:p w14:paraId="523EB44B" w14:textId="77777777" w:rsidR="00591632" w:rsidRDefault="00591632" w:rsidP="001F0A57">
            <w:pPr>
              <w:autoSpaceDE w:val="0"/>
              <w:autoSpaceDN w:val="0"/>
              <w:adjustRightInd w:val="0"/>
              <w:jc w:val="center"/>
              <w:rPr>
                <w:color w:val="000000"/>
              </w:rPr>
            </w:pPr>
            <w:r w:rsidRPr="00385ABA">
              <w:rPr>
                <w:color w:val="000000"/>
              </w:rPr>
              <w:t>bb</w:t>
            </w:r>
          </w:p>
          <w:p w14:paraId="523EB44C" w14:textId="77777777" w:rsidR="00591632" w:rsidRDefault="00591632" w:rsidP="001F0A57">
            <w:pPr>
              <w:autoSpaceDE w:val="0"/>
              <w:autoSpaceDN w:val="0"/>
              <w:adjustRightInd w:val="0"/>
              <w:jc w:val="center"/>
              <w:rPr>
                <w:color w:val="000000"/>
              </w:rPr>
            </w:pPr>
            <w:r>
              <w:rPr>
                <w:color w:val="000000"/>
              </w:rPr>
              <w:t>bb-</w:t>
            </w:r>
          </w:p>
        </w:tc>
        <w:tc>
          <w:tcPr>
            <w:tcW w:w="1361" w:type="dxa"/>
            <w:tcBorders>
              <w:top w:val="single" w:sz="8" w:space="0" w:color="000000"/>
              <w:bottom w:val="single" w:sz="8" w:space="0" w:color="000000"/>
              <w:right w:val="single" w:sz="8" w:space="0" w:color="000000"/>
            </w:tcBorders>
          </w:tcPr>
          <w:p w14:paraId="523EB44D" w14:textId="77777777" w:rsidR="00591632" w:rsidRDefault="00591632" w:rsidP="001F0A57">
            <w:pPr>
              <w:autoSpaceDE w:val="0"/>
              <w:autoSpaceDN w:val="0"/>
              <w:adjustRightInd w:val="0"/>
              <w:jc w:val="center"/>
              <w:rPr>
                <w:color w:val="000000"/>
              </w:rPr>
            </w:pPr>
          </w:p>
          <w:p w14:paraId="523EB44E" w14:textId="77777777" w:rsidR="00591632" w:rsidRDefault="00591632" w:rsidP="001F0A57">
            <w:pPr>
              <w:autoSpaceDE w:val="0"/>
              <w:autoSpaceDN w:val="0"/>
              <w:adjustRightInd w:val="0"/>
              <w:jc w:val="center"/>
              <w:rPr>
                <w:color w:val="000000"/>
              </w:rPr>
            </w:pPr>
            <w:r>
              <w:rPr>
                <w:color w:val="000000"/>
              </w:rPr>
              <w:t>B</w:t>
            </w:r>
          </w:p>
          <w:p w14:paraId="523EB44F" w14:textId="77777777" w:rsidR="00591632" w:rsidRDefault="00591632" w:rsidP="001F0A57">
            <w:pPr>
              <w:autoSpaceDE w:val="0"/>
              <w:autoSpaceDN w:val="0"/>
              <w:adjustRightInd w:val="0"/>
              <w:jc w:val="center"/>
              <w:rPr>
                <w:color w:val="000000"/>
              </w:rPr>
            </w:pPr>
            <w:r>
              <w:rPr>
                <w:color w:val="000000"/>
              </w:rPr>
              <w:t>B-</w:t>
            </w:r>
          </w:p>
        </w:tc>
        <w:tc>
          <w:tcPr>
            <w:tcW w:w="1361" w:type="dxa"/>
            <w:tcBorders>
              <w:top w:val="single" w:sz="8" w:space="0" w:color="000000"/>
              <w:bottom w:val="single" w:sz="8" w:space="0" w:color="000000"/>
              <w:right w:val="single" w:sz="8" w:space="0" w:color="000000"/>
            </w:tcBorders>
          </w:tcPr>
          <w:p w14:paraId="523EB450" w14:textId="77777777" w:rsidR="00591632" w:rsidRDefault="00591632" w:rsidP="001F0A57">
            <w:pPr>
              <w:autoSpaceDE w:val="0"/>
              <w:autoSpaceDN w:val="0"/>
              <w:adjustRightInd w:val="0"/>
              <w:jc w:val="center"/>
              <w:rPr>
                <w:color w:val="000000"/>
              </w:rPr>
            </w:pPr>
            <w:r w:rsidRPr="00385ABA">
              <w:rPr>
                <w:color w:val="000000"/>
              </w:rPr>
              <w:t>BB+</w:t>
            </w:r>
          </w:p>
          <w:p w14:paraId="523EB451" w14:textId="77777777" w:rsidR="00591632" w:rsidRDefault="00591632" w:rsidP="001F0A57">
            <w:pPr>
              <w:autoSpaceDE w:val="0"/>
              <w:autoSpaceDN w:val="0"/>
              <w:adjustRightInd w:val="0"/>
              <w:jc w:val="center"/>
              <w:rPr>
                <w:color w:val="000000"/>
              </w:rPr>
            </w:pPr>
            <w:r w:rsidRPr="00385ABA">
              <w:rPr>
                <w:color w:val="000000"/>
              </w:rPr>
              <w:t>BB</w:t>
            </w:r>
          </w:p>
          <w:p w14:paraId="523EB452" w14:textId="77777777" w:rsidR="00591632" w:rsidRDefault="00591632" w:rsidP="001F0A57">
            <w:pPr>
              <w:autoSpaceDE w:val="0"/>
              <w:autoSpaceDN w:val="0"/>
              <w:adjustRightInd w:val="0"/>
              <w:jc w:val="center"/>
              <w:rPr>
                <w:color w:val="000000"/>
              </w:rPr>
            </w:pPr>
            <w:r w:rsidRPr="00385ABA">
              <w:rPr>
                <w:color w:val="000000"/>
              </w:rPr>
              <w:t>BB-</w:t>
            </w:r>
          </w:p>
        </w:tc>
      </w:tr>
      <w:tr w:rsidR="00591632" w:rsidRPr="00385ABA" w14:paraId="523EB464" w14:textId="77777777" w:rsidTr="001F0A57">
        <w:trPr>
          <w:trHeight w:val="157"/>
        </w:trPr>
        <w:tc>
          <w:tcPr>
            <w:tcW w:w="993" w:type="dxa"/>
            <w:tcBorders>
              <w:top w:val="single" w:sz="8" w:space="0" w:color="000000"/>
              <w:left w:val="single" w:sz="8" w:space="0" w:color="000000"/>
              <w:bottom w:val="single" w:sz="8" w:space="0" w:color="000000"/>
              <w:right w:val="single" w:sz="8" w:space="0" w:color="000000"/>
            </w:tcBorders>
          </w:tcPr>
          <w:p w14:paraId="523EB454" w14:textId="77777777" w:rsidR="00591632" w:rsidRDefault="00591632" w:rsidP="001F0A57">
            <w:pPr>
              <w:autoSpaceDE w:val="0"/>
              <w:autoSpaceDN w:val="0"/>
              <w:adjustRightInd w:val="0"/>
              <w:jc w:val="center"/>
              <w:rPr>
                <w:color w:val="000000"/>
              </w:rPr>
            </w:pPr>
            <w:r w:rsidRPr="00385ABA">
              <w:rPr>
                <w:color w:val="000000"/>
              </w:rPr>
              <w:t>6</w:t>
            </w:r>
          </w:p>
        </w:tc>
        <w:tc>
          <w:tcPr>
            <w:tcW w:w="1361" w:type="dxa"/>
            <w:tcBorders>
              <w:top w:val="single" w:sz="8" w:space="0" w:color="000000"/>
              <w:left w:val="single" w:sz="4" w:space="0" w:color="auto"/>
              <w:bottom w:val="single" w:sz="8" w:space="0" w:color="000000"/>
              <w:right w:val="single" w:sz="8" w:space="0" w:color="000000"/>
            </w:tcBorders>
          </w:tcPr>
          <w:p w14:paraId="523EB455" w14:textId="77777777" w:rsidR="00591632" w:rsidRDefault="00591632" w:rsidP="001F0A57">
            <w:pPr>
              <w:autoSpaceDE w:val="0"/>
              <w:autoSpaceDN w:val="0"/>
              <w:adjustRightInd w:val="0"/>
              <w:jc w:val="center"/>
              <w:rPr>
                <w:color w:val="000000"/>
              </w:rPr>
            </w:pPr>
            <w:r w:rsidRPr="00385ABA">
              <w:rPr>
                <w:color w:val="000000"/>
              </w:rPr>
              <w:t>B+</w:t>
            </w:r>
          </w:p>
          <w:p w14:paraId="523EB456" w14:textId="77777777" w:rsidR="00591632" w:rsidRDefault="00591632" w:rsidP="001F0A57">
            <w:pPr>
              <w:autoSpaceDE w:val="0"/>
              <w:autoSpaceDN w:val="0"/>
              <w:adjustRightInd w:val="0"/>
              <w:jc w:val="center"/>
              <w:rPr>
                <w:color w:val="000000"/>
              </w:rPr>
            </w:pPr>
            <w:r w:rsidRPr="00385ABA">
              <w:rPr>
                <w:color w:val="000000"/>
              </w:rPr>
              <w:t>B</w:t>
            </w:r>
          </w:p>
          <w:p w14:paraId="523EB457" w14:textId="77777777" w:rsidR="00591632" w:rsidRDefault="00591632" w:rsidP="001F0A57">
            <w:pPr>
              <w:autoSpaceDE w:val="0"/>
              <w:autoSpaceDN w:val="0"/>
              <w:adjustRightInd w:val="0"/>
              <w:jc w:val="center"/>
              <w:rPr>
                <w:color w:val="000000"/>
              </w:rPr>
            </w:pPr>
            <w:r w:rsidRPr="00385ABA">
              <w:rPr>
                <w:color w:val="000000"/>
              </w:rPr>
              <w:t>B-</w:t>
            </w:r>
          </w:p>
        </w:tc>
        <w:tc>
          <w:tcPr>
            <w:tcW w:w="1361" w:type="dxa"/>
            <w:tcBorders>
              <w:top w:val="single" w:sz="8" w:space="0" w:color="000000"/>
              <w:bottom w:val="single" w:sz="8" w:space="0" w:color="000000"/>
              <w:right w:val="single" w:sz="8" w:space="0" w:color="000000"/>
            </w:tcBorders>
          </w:tcPr>
          <w:p w14:paraId="523EB458" w14:textId="77777777" w:rsidR="00591632" w:rsidRDefault="00591632" w:rsidP="001F0A57">
            <w:pPr>
              <w:autoSpaceDE w:val="0"/>
              <w:autoSpaceDN w:val="0"/>
              <w:adjustRightInd w:val="0"/>
              <w:jc w:val="center"/>
              <w:rPr>
                <w:color w:val="000000"/>
              </w:rPr>
            </w:pPr>
            <w:r w:rsidRPr="00385ABA">
              <w:rPr>
                <w:color w:val="000000"/>
              </w:rPr>
              <w:t>B1</w:t>
            </w:r>
          </w:p>
          <w:p w14:paraId="523EB459" w14:textId="77777777" w:rsidR="00591632" w:rsidRDefault="00591632" w:rsidP="001F0A57">
            <w:pPr>
              <w:autoSpaceDE w:val="0"/>
              <w:autoSpaceDN w:val="0"/>
              <w:adjustRightInd w:val="0"/>
              <w:jc w:val="center"/>
              <w:rPr>
                <w:color w:val="000000"/>
              </w:rPr>
            </w:pPr>
            <w:r w:rsidRPr="00385ABA">
              <w:rPr>
                <w:color w:val="000000"/>
              </w:rPr>
              <w:t>B2</w:t>
            </w:r>
          </w:p>
          <w:p w14:paraId="523EB45A" w14:textId="77777777" w:rsidR="00591632" w:rsidRDefault="00591632" w:rsidP="001F0A57">
            <w:pPr>
              <w:autoSpaceDE w:val="0"/>
              <w:autoSpaceDN w:val="0"/>
              <w:adjustRightInd w:val="0"/>
              <w:jc w:val="center"/>
              <w:rPr>
                <w:color w:val="000000"/>
              </w:rPr>
            </w:pPr>
            <w:r w:rsidRPr="00385ABA">
              <w:rPr>
                <w:color w:val="000000"/>
              </w:rPr>
              <w:t>B3</w:t>
            </w:r>
          </w:p>
        </w:tc>
        <w:tc>
          <w:tcPr>
            <w:tcW w:w="1361" w:type="dxa"/>
            <w:tcBorders>
              <w:top w:val="single" w:sz="8" w:space="0" w:color="000000"/>
              <w:bottom w:val="single" w:sz="8" w:space="0" w:color="000000"/>
              <w:right w:val="single" w:sz="8" w:space="0" w:color="000000"/>
            </w:tcBorders>
          </w:tcPr>
          <w:p w14:paraId="523EB45B" w14:textId="77777777" w:rsidR="00591632" w:rsidRDefault="00591632" w:rsidP="001F0A57">
            <w:pPr>
              <w:autoSpaceDE w:val="0"/>
              <w:autoSpaceDN w:val="0"/>
              <w:adjustRightInd w:val="0"/>
              <w:jc w:val="center"/>
              <w:rPr>
                <w:color w:val="000000"/>
              </w:rPr>
            </w:pPr>
            <w:r w:rsidRPr="00385ABA">
              <w:rPr>
                <w:color w:val="000000"/>
              </w:rPr>
              <w:t>b+</w:t>
            </w:r>
          </w:p>
          <w:p w14:paraId="523EB45C" w14:textId="77777777" w:rsidR="00591632" w:rsidRDefault="00591632" w:rsidP="001F0A57">
            <w:pPr>
              <w:autoSpaceDE w:val="0"/>
              <w:autoSpaceDN w:val="0"/>
              <w:adjustRightInd w:val="0"/>
              <w:jc w:val="center"/>
              <w:rPr>
                <w:color w:val="000000"/>
              </w:rPr>
            </w:pPr>
            <w:r w:rsidRPr="00385ABA">
              <w:rPr>
                <w:color w:val="000000"/>
              </w:rPr>
              <w:t>b</w:t>
            </w:r>
          </w:p>
          <w:p w14:paraId="523EB45D" w14:textId="77777777" w:rsidR="00591632" w:rsidRDefault="00591632" w:rsidP="001F0A57">
            <w:pPr>
              <w:autoSpaceDE w:val="0"/>
              <w:autoSpaceDN w:val="0"/>
              <w:adjustRightInd w:val="0"/>
              <w:jc w:val="center"/>
              <w:rPr>
                <w:color w:val="000000"/>
              </w:rPr>
            </w:pPr>
            <w:r>
              <w:rPr>
                <w:color w:val="000000"/>
              </w:rPr>
              <w:t>b-</w:t>
            </w:r>
          </w:p>
        </w:tc>
        <w:tc>
          <w:tcPr>
            <w:tcW w:w="1361" w:type="dxa"/>
            <w:tcBorders>
              <w:top w:val="single" w:sz="8" w:space="0" w:color="000000"/>
              <w:bottom w:val="single" w:sz="8" w:space="0" w:color="000000"/>
              <w:right w:val="single" w:sz="8" w:space="0" w:color="000000"/>
            </w:tcBorders>
          </w:tcPr>
          <w:p w14:paraId="523EB45E" w14:textId="77777777" w:rsidR="00591632" w:rsidRDefault="00591632" w:rsidP="001F0A57">
            <w:pPr>
              <w:autoSpaceDE w:val="0"/>
              <w:autoSpaceDN w:val="0"/>
              <w:adjustRightInd w:val="0"/>
              <w:jc w:val="center"/>
              <w:rPr>
                <w:color w:val="000000"/>
              </w:rPr>
            </w:pPr>
            <w:r>
              <w:rPr>
                <w:color w:val="000000"/>
              </w:rPr>
              <w:t>C++, C+</w:t>
            </w:r>
          </w:p>
          <w:p w14:paraId="523EB45F" w14:textId="77777777" w:rsidR="00591632" w:rsidRDefault="00591632" w:rsidP="001F0A57">
            <w:pPr>
              <w:autoSpaceDE w:val="0"/>
              <w:autoSpaceDN w:val="0"/>
              <w:adjustRightInd w:val="0"/>
              <w:jc w:val="center"/>
              <w:rPr>
                <w:color w:val="000000"/>
              </w:rPr>
            </w:pPr>
            <w:r>
              <w:rPr>
                <w:color w:val="000000"/>
              </w:rPr>
              <w:t xml:space="preserve">C </w:t>
            </w:r>
          </w:p>
          <w:p w14:paraId="523EB460" w14:textId="77777777" w:rsidR="00591632" w:rsidRDefault="00591632" w:rsidP="001F0A57">
            <w:pPr>
              <w:autoSpaceDE w:val="0"/>
              <w:autoSpaceDN w:val="0"/>
              <w:adjustRightInd w:val="0"/>
              <w:jc w:val="center"/>
              <w:rPr>
                <w:color w:val="000000"/>
              </w:rPr>
            </w:pPr>
            <w:r>
              <w:rPr>
                <w:color w:val="000000"/>
              </w:rPr>
              <w:t>C-</w:t>
            </w:r>
          </w:p>
        </w:tc>
        <w:tc>
          <w:tcPr>
            <w:tcW w:w="1361" w:type="dxa"/>
            <w:tcBorders>
              <w:top w:val="single" w:sz="8" w:space="0" w:color="000000"/>
              <w:bottom w:val="single" w:sz="8" w:space="0" w:color="000000"/>
              <w:right w:val="single" w:sz="8" w:space="0" w:color="000000"/>
            </w:tcBorders>
          </w:tcPr>
          <w:p w14:paraId="523EB461" w14:textId="77777777" w:rsidR="00591632" w:rsidRDefault="00591632" w:rsidP="001F0A57">
            <w:pPr>
              <w:autoSpaceDE w:val="0"/>
              <w:autoSpaceDN w:val="0"/>
              <w:adjustRightInd w:val="0"/>
              <w:jc w:val="center"/>
              <w:rPr>
                <w:color w:val="000000"/>
              </w:rPr>
            </w:pPr>
            <w:r w:rsidRPr="00385ABA">
              <w:rPr>
                <w:color w:val="000000"/>
              </w:rPr>
              <w:t>B+</w:t>
            </w:r>
          </w:p>
          <w:p w14:paraId="523EB462" w14:textId="77777777" w:rsidR="00591632" w:rsidRDefault="00591632" w:rsidP="001F0A57">
            <w:pPr>
              <w:autoSpaceDE w:val="0"/>
              <w:autoSpaceDN w:val="0"/>
              <w:adjustRightInd w:val="0"/>
              <w:jc w:val="center"/>
              <w:rPr>
                <w:color w:val="000000"/>
              </w:rPr>
            </w:pPr>
            <w:r w:rsidRPr="00385ABA">
              <w:rPr>
                <w:color w:val="000000"/>
              </w:rPr>
              <w:t>B</w:t>
            </w:r>
          </w:p>
          <w:p w14:paraId="523EB463" w14:textId="77777777" w:rsidR="00591632" w:rsidRDefault="00591632" w:rsidP="001F0A57">
            <w:pPr>
              <w:autoSpaceDE w:val="0"/>
              <w:autoSpaceDN w:val="0"/>
              <w:adjustRightInd w:val="0"/>
              <w:jc w:val="center"/>
              <w:rPr>
                <w:color w:val="000000"/>
              </w:rPr>
            </w:pPr>
            <w:r w:rsidRPr="00385ABA">
              <w:rPr>
                <w:color w:val="000000"/>
              </w:rPr>
              <w:t>B-</w:t>
            </w:r>
          </w:p>
        </w:tc>
      </w:tr>
      <w:tr w:rsidR="00591632" w:rsidRPr="00385ABA" w14:paraId="523EB46B" w14:textId="77777777" w:rsidTr="001F0A57">
        <w:trPr>
          <w:trHeight w:val="157"/>
        </w:trPr>
        <w:tc>
          <w:tcPr>
            <w:tcW w:w="993" w:type="dxa"/>
            <w:tcBorders>
              <w:top w:val="single" w:sz="8" w:space="0" w:color="000000"/>
              <w:left w:val="single" w:sz="8" w:space="0" w:color="000000"/>
              <w:bottom w:val="single" w:sz="8" w:space="0" w:color="000000"/>
              <w:right w:val="single" w:sz="8" w:space="0" w:color="000000"/>
            </w:tcBorders>
          </w:tcPr>
          <w:p w14:paraId="523EB465" w14:textId="77777777" w:rsidR="00591632" w:rsidRDefault="00591632" w:rsidP="001F0A57">
            <w:pPr>
              <w:autoSpaceDE w:val="0"/>
              <w:autoSpaceDN w:val="0"/>
              <w:adjustRightInd w:val="0"/>
              <w:jc w:val="center"/>
              <w:rPr>
                <w:color w:val="000000"/>
              </w:rPr>
            </w:pPr>
            <w:r w:rsidRPr="00385ABA">
              <w:rPr>
                <w:color w:val="000000"/>
              </w:rPr>
              <w:t>7</w:t>
            </w:r>
          </w:p>
        </w:tc>
        <w:tc>
          <w:tcPr>
            <w:tcW w:w="1361" w:type="dxa"/>
            <w:tcBorders>
              <w:top w:val="single" w:sz="8" w:space="0" w:color="000000"/>
              <w:left w:val="single" w:sz="4" w:space="0" w:color="auto"/>
              <w:bottom w:val="single" w:sz="8" w:space="0" w:color="000000"/>
              <w:right w:val="single" w:sz="8" w:space="0" w:color="000000"/>
            </w:tcBorders>
          </w:tcPr>
          <w:p w14:paraId="523EB466" w14:textId="77777777" w:rsidR="00591632" w:rsidRDefault="00591632" w:rsidP="001F0A57">
            <w:pPr>
              <w:autoSpaceDE w:val="0"/>
              <w:autoSpaceDN w:val="0"/>
              <w:adjustRightInd w:val="0"/>
              <w:jc w:val="center"/>
              <w:rPr>
                <w:color w:val="000000"/>
              </w:rPr>
            </w:pPr>
            <w:r>
              <w:rPr>
                <w:color w:val="000000"/>
              </w:rPr>
              <w:t>Below B-</w:t>
            </w:r>
          </w:p>
        </w:tc>
        <w:tc>
          <w:tcPr>
            <w:tcW w:w="1361" w:type="dxa"/>
            <w:tcBorders>
              <w:top w:val="single" w:sz="8" w:space="0" w:color="000000"/>
              <w:bottom w:val="single" w:sz="8" w:space="0" w:color="000000"/>
              <w:right w:val="single" w:sz="8" w:space="0" w:color="000000"/>
            </w:tcBorders>
          </w:tcPr>
          <w:p w14:paraId="523EB467" w14:textId="77777777" w:rsidR="00591632" w:rsidRDefault="00591632" w:rsidP="001F0A57">
            <w:pPr>
              <w:autoSpaceDE w:val="0"/>
              <w:autoSpaceDN w:val="0"/>
              <w:adjustRightInd w:val="0"/>
              <w:jc w:val="center"/>
              <w:rPr>
                <w:color w:val="000000"/>
              </w:rPr>
            </w:pPr>
            <w:r>
              <w:rPr>
                <w:color w:val="000000"/>
              </w:rPr>
              <w:t>Below B3</w:t>
            </w:r>
          </w:p>
        </w:tc>
        <w:tc>
          <w:tcPr>
            <w:tcW w:w="1361" w:type="dxa"/>
            <w:tcBorders>
              <w:top w:val="single" w:sz="8" w:space="0" w:color="000000"/>
              <w:bottom w:val="single" w:sz="8" w:space="0" w:color="000000"/>
              <w:right w:val="single" w:sz="8" w:space="0" w:color="000000"/>
            </w:tcBorders>
          </w:tcPr>
          <w:p w14:paraId="523EB468" w14:textId="77777777" w:rsidR="00591632" w:rsidRDefault="00591632" w:rsidP="001F0A57">
            <w:pPr>
              <w:autoSpaceDE w:val="0"/>
              <w:autoSpaceDN w:val="0"/>
              <w:adjustRightInd w:val="0"/>
              <w:jc w:val="center"/>
              <w:rPr>
                <w:color w:val="000000"/>
              </w:rPr>
            </w:pPr>
            <w:r w:rsidRPr="00385ABA">
              <w:rPr>
                <w:color w:val="000000"/>
              </w:rPr>
              <w:t>Below b</w:t>
            </w:r>
            <w:r>
              <w:rPr>
                <w:color w:val="000000"/>
              </w:rPr>
              <w:t>-</w:t>
            </w:r>
          </w:p>
        </w:tc>
        <w:tc>
          <w:tcPr>
            <w:tcW w:w="1361" w:type="dxa"/>
            <w:tcBorders>
              <w:top w:val="single" w:sz="8" w:space="0" w:color="000000"/>
              <w:bottom w:val="single" w:sz="8" w:space="0" w:color="000000"/>
              <w:right w:val="single" w:sz="8" w:space="0" w:color="000000"/>
            </w:tcBorders>
          </w:tcPr>
          <w:p w14:paraId="523EB469" w14:textId="77777777" w:rsidR="00591632" w:rsidRDefault="00591632" w:rsidP="001F0A57">
            <w:pPr>
              <w:autoSpaceDE w:val="0"/>
              <w:autoSpaceDN w:val="0"/>
              <w:adjustRightInd w:val="0"/>
              <w:jc w:val="center"/>
              <w:rPr>
                <w:color w:val="000000"/>
              </w:rPr>
            </w:pPr>
            <w:r>
              <w:rPr>
                <w:color w:val="000000"/>
              </w:rPr>
              <w:t>Below C-</w:t>
            </w:r>
          </w:p>
        </w:tc>
        <w:tc>
          <w:tcPr>
            <w:tcW w:w="1361" w:type="dxa"/>
            <w:tcBorders>
              <w:top w:val="single" w:sz="8" w:space="0" w:color="000000"/>
              <w:bottom w:val="single" w:sz="8" w:space="0" w:color="000000"/>
              <w:right w:val="single" w:sz="8" w:space="0" w:color="000000"/>
            </w:tcBorders>
          </w:tcPr>
          <w:p w14:paraId="523EB46A" w14:textId="77777777" w:rsidR="00591632" w:rsidRDefault="00591632" w:rsidP="001F0A57">
            <w:pPr>
              <w:autoSpaceDE w:val="0"/>
              <w:autoSpaceDN w:val="0"/>
              <w:adjustRightInd w:val="0"/>
              <w:jc w:val="center"/>
              <w:rPr>
                <w:color w:val="000000"/>
              </w:rPr>
            </w:pPr>
            <w:r>
              <w:rPr>
                <w:color w:val="000000"/>
              </w:rPr>
              <w:t>B</w:t>
            </w:r>
            <w:r w:rsidRPr="00385ABA">
              <w:rPr>
                <w:color w:val="000000"/>
              </w:rPr>
              <w:t>elow</w:t>
            </w:r>
            <w:r>
              <w:rPr>
                <w:color w:val="000000"/>
              </w:rPr>
              <w:t xml:space="preserve"> B-</w:t>
            </w:r>
          </w:p>
        </w:tc>
      </w:tr>
    </w:tbl>
    <w:p w14:paraId="523EB46C" w14:textId="77777777" w:rsidR="00591632" w:rsidRDefault="00591632" w:rsidP="00591632">
      <w:pPr>
        <w:pStyle w:val="ListParagraph"/>
        <w:ind w:left="1287"/>
        <w:jc w:val="both"/>
        <w:rPr>
          <w:szCs w:val="24"/>
        </w:rPr>
      </w:pPr>
    </w:p>
    <w:p w14:paraId="523EB46D" w14:textId="77777777" w:rsidR="00591632" w:rsidRDefault="00591632" w:rsidP="00591632">
      <w:pPr>
        <w:pStyle w:val="ListParagraph"/>
        <w:numPr>
          <w:ilvl w:val="0"/>
          <w:numId w:val="19"/>
        </w:numPr>
        <w:spacing w:after="240"/>
        <w:ind w:left="567" w:hanging="567"/>
        <w:contextualSpacing w:val="0"/>
        <w:jc w:val="both"/>
        <w:rPr>
          <w:szCs w:val="24"/>
        </w:rPr>
      </w:pPr>
      <w:bookmarkStart w:id="6" w:name="_Ref392593117"/>
      <w:r w:rsidRPr="00385ABA">
        <w:rPr>
          <w:szCs w:val="24"/>
        </w:rPr>
        <w:t xml:space="preserve">Where investments are held via a trust </w:t>
      </w:r>
      <w:r>
        <w:rPr>
          <w:szCs w:val="24"/>
        </w:rPr>
        <w:t>that</w:t>
      </w:r>
      <w:r w:rsidRPr="00385ABA">
        <w:rPr>
          <w:szCs w:val="24"/>
        </w:rPr>
        <w:t xml:space="preserve"> has itself been separately rated by a recognised rating agency, that rating may be applied to all the investments in the trust in lieu of the ratings of the individual trust assets, provided that the trust is treated as a single investment for asset concentration purposes and is not subject to ‘look-through’. When a ‘look-through’ approach is adopted the underlying assets need to be individually rated. If the trust is separately rated, that overall trust rating cannot be applied to the individual underlying assets.</w:t>
      </w:r>
      <w:bookmarkEnd w:id="6"/>
    </w:p>
    <w:p w14:paraId="523EB46E" w14:textId="77777777" w:rsidR="00591632" w:rsidRDefault="00591632" w:rsidP="00591632">
      <w:pPr>
        <w:pStyle w:val="ListParagraph"/>
        <w:numPr>
          <w:ilvl w:val="0"/>
          <w:numId w:val="19"/>
        </w:numPr>
        <w:spacing w:after="240"/>
        <w:ind w:left="567" w:hanging="567"/>
        <w:contextualSpacing w:val="0"/>
        <w:jc w:val="both"/>
        <w:rPr>
          <w:szCs w:val="24"/>
        </w:rPr>
      </w:pPr>
      <w:r w:rsidRPr="00385ABA">
        <w:rPr>
          <w:szCs w:val="24"/>
        </w:rPr>
        <w:t xml:space="preserve">For Level 2 </w:t>
      </w:r>
      <w:r>
        <w:rPr>
          <w:szCs w:val="24"/>
        </w:rPr>
        <w:t xml:space="preserve">insurance </w:t>
      </w:r>
      <w:r w:rsidRPr="00385ABA">
        <w:rPr>
          <w:szCs w:val="24"/>
        </w:rPr>
        <w:t xml:space="preserve">groups, APRA may determine the counterparty grade of a non-APRA-authorised reinsurer </w:t>
      </w:r>
      <w:r>
        <w:rPr>
          <w:szCs w:val="24"/>
        </w:rPr>
        <w:t>that</w:t>
      </w:r>
      <w:r w:rsidRPr="00385ABA">
        <w:rPr>
          <w:szCs w:val="24"/>
        </w:rPr>
        <w:t>:</w:t>
      </w:r>
    </w:p>
    <w:p w14:paraId="523EB46F" w14:textId="77777777" w:rsidR="00591632" w:rsidRDefault="00591632" w:rsidP="00591632">
      <w:pPr>
        <w:pStyle w:val="ListParagraph"/>
        <w:numPr>
          <w:ilvl w:val="0"/>
          <w:numId w:val="22"/>
        </w:numPr>
        <w:spacing w:after="240"/>
        <w:ind w:left="1134" w:hanging="567"/>
        <w:contextualSpacing w:val="0"/>
        <w:jc w:val="both"/>
        <w:rPr>
          <w:szCs w:val="24"/>
        </w:rPr>
      </w:pPr>
      <w:r w:rsidRPr="00385ABA">
        <w:rPr>
          <w:szCs w:val="24"/>
        </w:rPr>
        <w:t>has no external credit rating; and</w:t>
      </w:r>
    </w:p>
    <w:p w14:paraId="523EB470" w14:textId="77777777" w:rsidR="00591632" w:rsidRDefault="00591632" w:rsidP="00591632">
      <w:pPr>
        <w:pStyle w:val="ListParagraph"/>
        <w:numPr>
          <w:ilvl w:val="0"/>
          <w:numId w:val="22"/>
        </w:numPr>
        <w:spacing w:after="240"/>
        <w:ind w:left="1134" w:hanging="567"/>
        <w:contextualSpacing w:val="0"/>
        <w:jc w:val="both"/>
        <w:rPr>
          <w:szCs w:val="24"/>
        </w:rPr>
      </w:pPr>
      <w:r w:rsidRPr="00385ABA">
        <w:rPr>
          <w:szCs w:val="24"/>
        </w:rPr>
        <w:t xml:space="preserve">is a member of the </w:t>
      </w:r>
      <w:r>
        <w:rPr>
          <w:szCs w:val="24"/>
        </w:rPr>
        <w:t xml:space="preserve">Level 2 insurance </w:t>
      </w:r>
      <w:r w:rsidRPr="00385ABA">
        <w:rPr>
          <w:szCs w:val="24"/>
        </w:rPr>
        <w:t>group.</w:t>
      </w:r>
    </w:p>
    <w:p w14:paraId="523EB471" w14:textId="77777777" w:rsidR="00591632" w:rsidRDefault="00591632" w:rsidP="00591632">
      <w:pPr>
        <w:pStyle w:val="ListParagraph"/>
        <w:numPr>
          <w:ilvl w:val="0"/>
          <w:numId w:val="19"/>
        </w:numPr>
        <w:spacing w:after="240"/>
        <w:ind w:left="567" w:hanging="567"/>
        <w:contextualSpacing w:val="0"/>
        <w:jc w:val="both"/>
        <w:rPr>
          <w:szCs w:val="24"/>
        </w:rPr>
      </w:pPr>
      <w:bookmarkStart w:id="7" w:name="_Ref387848434"/>
      <w:r w:rsidRPr="00385ABA">
        <w:rPr>
          <w:szCs w:val="24"/>
        </w:rPr>
        <w:t xml:space="preserve">A </w:t>
      </w:r>
      <w:r>
        <w:rPr>
          <w:szCs w:val="24"/>
        </w:rPr>
        <w:t>regulated institution</w:t>
      </w:r>
      <w:r w:rsidRPr="00385ABA">
        <w:rPr>
          <w:szCs w:val="24"/>
        </w:rPr>
        <w:t xml:space="preserve"> must, in general, use the same rating agency for determining </w:t>
      </w:r>
      <w:r>
        <w:rPr>
          <w:szCs w:val="24"/>
        </w:rPr>
        <w:t xml:space="preserve">all </w:t>
      </w:r>
      <w:r w:rsidRPr="00385ABA">
        <w:rPr>
          <w:szCs w:val="24"/>
        </w:rPr>
        <w:t xml:space="preserve">counterparty grades. A </w:t>
      </w:r>
      <w:r>
        <w:rPr>
          <w:szCs w:val="24"/>
        </w:rPr>
        <w:t>regulated institution</w:t>
      </w:r>
      <w:r w:rsidRPr="00385ABA">
        <w:rPr>
          <w:szCs w:val="24"/>
        </w:rPr>
        <w:t xml:space="preserve"> may depart from this general rule where there are good reasons for doing so, such as under the following circumstances:</w:t>
      </w:r>
      <w:bookmarkEnd w:id="7"/>
    </w:p>
    <w:p w14:paraId="523EB472" w14:textId="77777777" w:rsidR="00591632" w:rsidRDefault="00591632" w:rsidP="00591632">
      <w:pPr>
        <w:pStyle w:val="ListParagraph"/>
        <w:numPr>
          <w:ilvl w:val="0"/>
          <w:numId w:val="23"/>
        </w:numPr>
        <w:spacing w:after="240"/>
        <w:ind w:left="1134" w:hanging="567"/>
        <w:contextualSpacing w:val="0"/>
        <w:jc w:val="both"/>
        <w:rPr>
          <w:szCs w:val="24"/>
        </w:rPr>
      </w:pPr>
      <w:r w:rsidRPr="00385ABA">
        <w:rPr>
          <w:szCs w:val="24"/>
        </w:rPr>
        <w:t xml:space="preserve">where the rating agencies usually monitored by a </w:t>
      </w:r>
      <w:r>
        <w:rPr>
          <w:szCs w:val="24"/>
        </w:rPr>
        <w:t>regulated institution</w:t>
      </w:r>
      <w:r w:rsidRPr="00385ABA">
        <w:rPr>
          <w:szCs w:val="24"/>
        </w:rPr>
        <w:t xml:space="preserve"> do not issue a solicited credit rating</w:t>
      </w:r>
      <w:r>
        <w:rPr>
          <w:rStyle w:val="FootnoteReference"/>
          <w:szCs w:val="24"/>
        </w:rPr>
        <w:footnoteReference w:id="3"/>
      </w:r>
      <w:r w:rsidRPr="00385ABA">
        <w:rPr>
          <w:szCs w:val="24"/>
        </w:rPr>
        <w:t xml:space="preserve"> for a particular debt obligation and only one other rating agency issues a solicited credit rating for that debt obligation, </w:t>
      </w:r>
      <w:r>
        <w:rPr>
          <w:szCs w:val="24"/>
        </w:rPr>
        <w:t>a regulated institution</w:t>
      </w:r>
      <w:r w:rsidRPr="00385ABA">
        <w:rPr>
          <w:szCs w:val="24"/>
        </w:rPr>
        <w:t xml:space="preserve"> may use that solicited credit </w:t>
      </w:r>
      <w:proofErr w:type="gramStart"/>
      <w:r w:rsidRPr="00385ABA">
        <w:rPr>
          <w:szCs w:val="24"/>
        </w:rPr>
        <w:t>rating;</w:t>
      </w:r>
      <w:proofErr w:type="gramEnd"/>
      <w:r w:rsidRPr="00385ABA">
        <w:rPr>
          <w:szCs w:val="24"/>
        </w:rPr>
        <w:t xml:space="preserve"> or</w:t>
      </w:r>
    </w:p>
    <w:p w14:paraId="523EB473" w14:textId="77777777" w:rsidR="00591632" w:rsidRDefault="00591632" w:rsidP="00591632">
      <w:pPr>
        <w:pStyle w:val="ListParagraph"/>
        <w:numPr>
          <w:ilvl w:val="0"/>
          <w:numId w:val="23"/>
        </w:numPr>
        <w:spacing w:after="240"/>
        <w:ind w:left="1134" w:hanging="567"/>
        <w:contextualSpacing w:val="0"/>
        <w:jc w:val="both"/>
        <w:rPr>
          <w:szCs w:val="24"/>
        </w:rPr>
      </w:pPr>
      <w:r w:rsidRPr="00385ABA">
        <w:rPr>
          <w:szCs w:val="24"/>
        </w:rPr>
        <w:lastRenderedPageBreak/>
        <w:t xml:space="preserve">where the rating agencies usually monitored by the </w:t>
      </w:r>
      <w:r>
        <w:rPr>
          <w:szCs w:val="24"/>
        </w:rPr>
        <w:t xml:space="preserve">regulated institution </w:t>
      </w:r>
      <w:r w:rsidRPr="00385ABA">
        <w:rPr>
          <w:szCs w:val="24"/>
        </w:rPr>
        <w:t xml:space="preserve">do not issue a solicited credit rating for a particular debt obligation, the credit ratings issued by all other rating agencies listed in the table above must be reviewed and the rule in paragraph 6 of this Attachment must be used to determine </w:t>
      </w:r>
      <w:r>
        <w:rPr>
          <w:szCs w:val="24"/>
        </w:rPr>
        <w:t>the</w:t>
      </w:r>
      <w:r w:rsidRPr="00385ABA">
        <w:rPr>
          <w:szCs w:val="24"/>
        </w:rPr>
        <w:t xml:space="preserve"> rating agency used to determine the counterparty grade and therefore the credit spreads or default factors to be applied; or</w:t>
      </w:r>
    </w:p>
    <w:p w14:paraId="523EB474" w14:textId="77777777" w:rsidR="00591632" w:rsidRDefault="00591632" w:rsidP="00591632">
      <w:pPr>
        <w:pStyle w:val="ListParagraph"/>
        <w:numPr>
          <w:ilvl w:val="0"/>
          <w:numId w:val="23"/>
        </w:numPr>
        <w:spacing w:after="240"/>
        <w:ind w:left="1134" w:hanging="567"/>
        <w:contextualSpacing w:val="0"/>
        <w:jc w:val="both"/>
        <w:rPr>
          <w:szCs w:val="24"/>
        </w:rPr>
      </w:pPr>
      <w:r w:rsidRPr="00385ABA">
        <w:rPr>
          <w:szCs w:val="24"/>
        </w:rPr>
        <w:t xml:space="preserve">the rule in paragraph </w:t>
      </w:r>
      <w:r w:rsidR="000654ED">
        <w:rPr>
          <w:szCs w:val="24"/>
        </w:rPr>
        <w:fldChar w:fldCharType="begin"/>
      </w:r>
      <w:r w:rsidR="000654ED">
        <w:rPr>
          <w:szCs w:val="24"/>
        </w:rPr>
        <w:instrText xml:space="preserve"> REF _Ref387848413 \r \h </w:instrText>
      </w:r>
      <w:r w:rsidR="000654ED">
        <w:rPr>
          <w:szCs w:val="24"/>
        </w:rPr>
      </w:r>
      <w:r w:rsidR="000654ED">
        <w:rPr>
          <w:szCs w:val="24"/>
        </w:rPr>
        <w:fldChar w:fldCharType="separate"/>
      </w:r>
      <w:r w:rsidR="00C421EB">
        <w:rPr>
          <w:szCs w:val="24"/>
        </w:rPr>
        <w:t>6</w:t>
      </w:r>
      <w:r w:rsidR="000654ED">
        <w:rPr>
          <w:szCs w:val="24"/>
        </w:rPr>
        <w:fldChar w:fldCharType="end"/>
      </w:r>
      <w:r w:rsidRPr="00385ABA">
        <w:rPr>
          <w:szCs w:val="24"/>
        </w:rPr>
        <w:t xml:space="preserve"> of this Attachment may also be applied where a </w:t>
      </w:r>
      <w:r>
        <w:rPr>
          <w:szCs w:val="24"/>
        </w:rPr>
        <w:t>regulated institution</w:t>
      </w:r>
      <w:r w:rsidRPr="00385ABA">
        <w:rPr>
          <w:szCs w:val="24"/>
        </w:rPr>
        <w:t xml:space="preserve"> monitors multiple rating agencies that provide different solicited credit ratings for a particular debt obligation.</w:t>
      </w:r>
    </w:p>
    <w:p w14:paraId="523EB475" w14:textId="77777777" w:rsidR="00591632" w:rsidRDefault="00591632" w:rsidP="00591632">
      <w:pPr>
        <w:pStyle w:val="ListParagraph"/>
        <w:numPr>
          <w:ilvl w:val="0"/>
          <w:numId w:val="19"/>
        </w:numPr>
        <w:spacing w:after="240"/>
        <w:ind w:left="567" w:hanging="425"/>
        <w:contextualSpacing w:val="0"/>
        <w:jc w:val="both"/>
        <w:rPr>
          <w:szCs w:val="24"/>
        </w:rPr>
      </w:pPr>
      <w:bookmarkStart w:id="8" w:name="_Ref387848413"/>
      <w:r w:rsidRPr="0073394B">
        <w:rPr>
          <w:szCs w:val="24"/>
        </w:rPr>
        <w:t xml:space="preserve">For the purposes of paragraph </w:t>
      </w:r>
      <w:r w:rsidR="000654ED">
        <w:rPr>
          <w:szCs w:val="24"/>
        </w:rPr>
        <w:fldChar w:fldCharType="begin"/>
      </w:r>
      <w:r w:rsidR="000654ED">
        <w:rPr>
          <w:szCs w:val="24"/>
        </w:rPr>
        <w:instrText xml:space="preserve"> REF _Ref387848434 \r \h </w:instrText>
      </w:r>
      <w:r w:rsidR="000654ED">
        <w:rPr>
          <w:szCs w:val="24"/>
        </w:rPr>
      </w:r>
      <w:r w:rsidR="000654ED">
        <w:rPr>
          <w:szCs w:val="24"/>
        </w:rPr>
        <w:fldChar w:fldCharType="separate"/>
      </w:r>
      <w:r w:rsidR="00C421EB">
        <w:rPr>
          <w:szCs w:val="24"/>
        </w:rPr>
        <w:t>5</w:t>
      </w:r>
      <w:r w:rsidR="000654ED">
        <w:rPr>
          <w:szCs w:val="24"/>
        </w:rPr>
        <w:fldChar w:fldCharType="end"/>
      </w:r>
      <w:r w:rsidRPr="0073394B">
        <w:rPr>
          <w:szCs w:val="24"/>
        </w:rPr>
        <w:t xml:space="preserve"> </w:t>
      </w:r>
      <w:r>
        <w:rPr>
          <w:szCs w:val="24"/>
        </w:rPr>
        <w:t xml:space="preserve">of this Attachment </w:t>
      </w:r>
      <w:r w:rsidRPr="0073394B">
        <w:rPr>
          <w:szCs w:val="24"/>
        </w:rPr>
        <w:t xml:space="preserve">the following rule </w:t>
      </w:r>
      <w:proofErr w:type="gramStart"/>
      <w:r w:rsidRPr="0073394B">
        <w:rPr>
          <w:szCs w:val="24"/>
        </w:rPr>
        <w:t>applies</w:t>
      </w:r>
      <w:r>
        <w:rPr>
          <w:szCs w:val="24"/>
        </w:rPr>
        <w:t>:</w:t>
      </w:r>
      <w:proofErr w:type="gramEnd"/>
      <w:r w:rsidRPr="0073394B">
        <w:rPr>
          <w:szCs w:val="24"/>
        </w:rPr>
        <w:t xml:space="preserve"> </w:t>
      </w:r>
      <w:r>
        <w:rPr>
          <w:szCs w:val="24"/>
        </w:rPr>
        <w:t>w</w:t>
      </w:r>
      <w:r w:rsidRPr="0073394B">
        <w:rPr>
          <w:szCs w:val="24"/>
        </w:rPr>
        <w:t>here</w:t>
      </w:r>
      <w:r w:rsidRPr="00385ABA">
        <w:rPr>
          <w:szCs w:val="24"/>
        </w:rPr>
        <w:t xml:space="preserve"> a counterparty or debt obligation has solicited credit ratings from multiple rating agencies, the following guidelines </w:t>
      </w:r>
      <w:r>
        <w:rPr>
          <w:szCs w:val="24"/>
        </w:rPr>
        <w:t>must be</w:t>
      </w:r>
      <w:r w:rsidRPr="00385ABA">
        <w:rPr>
          <w:szCs w:val="24"/>
        </w:rPr>
        <w:t xml:space="preserve"> followed in determining the counterparty grade:</w:t>
      </w:r>
      <w:bookmarkEnd w:id="8"/>
    </w:p>
    <w:p w14:paraId="523EB476" w14:textId="77777777" w:rsidR="00591632" w:rsidRDefault="00591632" w:rsidP="00591632">
      <w:pPr>
        <w:pStyle w:val="ListParagraph"/>
        <w:numPr>
          <w:ilvl w:val="0"/>
          <w:numId w:val="24"/>
        </w:numPr>
        <w:spacing w:after="240"/>
        <w:ind w:left="1134" w:hanging="567"/>
        <w:contextualSpacing w:val="0"/>
        <w:jc w:val="both"/>
        <w:rPr>
          <w:szCs w:val="24"/>
        </w:rPr>
      </w:pPr>
      <w:r w:rsidRPr="00385ABA">
        <w:rPr>
          <w:szCs w:val="24"/>
        </w:rPr>
        <w:t xml:space="preserve">if there are two solicited ratings </w:t>
      </w:r>
      <w:r>
        <w:rPr>
          <w:szCs w:val="24"/>
        </w:rPr>
        <w:t>that</w:t>
      </w:r>
      <w:r w:rsidRPr="00385ABA">
        <w:rPr>
          <w:szCs w:val="24"/>
        </w:rPr>
        <w:t xml:space="preserve"> correspond to different counterparty grade</w:t>
      </w:r>
      <w:r>
        <w:rPr>
          <w:szCs w:val="24"/>
        </w:rPr>
        <w:t>s</w:t>
      </w:r>
      <w:r w:rsidRPr="00385ABA">
        <w:rPr>
          <w:szCs w:val="24"/>
        </w:rPr>
        <w:t xml:space="preserve">, the </w:t>
      </w:r>
      <w:r>
        <w:rPr>
          <w:szCs w:val="24"/>
        </w:rPr>
        <w:t>lower</w:t>
      </w:r>
      <w:r w:rsidRPr="00385ABA">
        <w:rPr>
          <w:szCs w:val="24"/>
        </w:rPr>
        <w:t xml:space="preserve"> counterparty grade must be used for the debt </w:t>
      </w:r>
      <w:proofErr w:type="gramStart"/>
      <w:r w:rsidRPr="00385ABA">
        <w:rPr>
          <w:szCs w:val="24"/>
        </w:rPr>
        <w:t>obligation;</w:t>
      </w:r>
      <w:proofErr w:type="gramEnd"/>
      <w:r w:rsidRPr="00385ABA">
        <w:rPr>
          <w:szCs w:val="24"/>
        </w:rPr>
        <w:t xml:space="preserve"> or</w:t>
      </w:r>
    </w:p>
    <w:p w14:paraId="523EB477" w14:textId="77777777" w:rsidR="00591632" w:rsidRDefault="00591632" w:rsidP="00591632">
      <w:pPr>
        <w:pStyle w:val="ListParagraph"/>
        <w:numPr>
          <w:ilvl w:val="0"/>
          <w:numId w:val="24"/>
        </w:numPr>
        <w:spacing w:after="240"/>
        <w:ind w:left="1134" w:hanging="567"/>
        <w:contextualSpacing w:val="0"/>
        <w:jc w:val="both"/>
        <w:rPr>
          <w:szCs w:val="24"/>
        </w:rPr>
      </w:pPr>
      <w:r w:rsidRPr="00385ABA">
        <w:rPr>
          <w:szCs w:val="24"/>
        </w:rPr>
        <w:t>if there are three or more solicited ratings that correspond to different counterparty grades, the ratings corresponding to the second-best of those counterparty grades must be used for the debt obligation.</w:t>
      </w:r>
    </w:p>
    <w:p w14:paraId="523EB478" w14:textId="77777777" w:rsidR="00591632" w:rsidRDefault="00591632" w:rsidP="00591632">
      <w:pPr>
        <w:pStyle w:val="ListParagraph"/>
        <w:numPr>
          <w:ilvl w:val="0"/>
          <w:numId w:val="19"/>
        </w:numPr>
        <w:spacing w:after="240"/>
        <w:ind w:left="567" w:hanging="567"/>
        <w:contextualSpacing w:val="0"/>
        <w:jc w:val="both"/>
        <w:rPr>
          <w:szCs w:val="24"/>
        </w:rPr>
      </w:pPr>
      <w:r w:rsidRPr="00385ABA">
        <w:rPr>
          <w:szCs w:val="24"/>
        </w:rPr>
        <w:t xml:space="preserve">APRA’s written approval must be sought if a </w:t>
      </w:r>
      <w:r>
        <w:rPr>
          <w:szCs w:val="24"/>
        </w:rPr>
        <w:t>regulated institution</w:t>
      </w:r>
      <w:r w:rsidRPr="00385ABA">
        <w:rPr>
          <w:szCs w:val="24"/>
        </w:rPr>
        <w:t xml:space="preserve"> wishes to use the rating determined by a rating agency not included in </w:t>
      </w:r>
      <w:r>
        <w:rPr>
          <w:szCs w:val="24"/>
        </w:rPr>
        <w:t>the t</w:t>
      </w:r>
      <w:r w:rsidRPr="00385ABA">
        <w:rPr>
          <w:szCs w:val="24"/>
        </w:rPr>
        <w:t>able</w:t>
      </w:r>
      <w:r>
        <w:rPr>
          <w:szCs w:val="24"/>
        </w:rPr>
        <w:t>s above</w:t>
      </w:r>
      <w:r w:rsidRPr="00385ABA">
        <w:rPr>
          <w:szCs w:val="24"/>
        </w:rPr>
        <w:t>.</w:t>
      </w:r>
    </w:p>
    <w:p w14:paraId="523EB479" w14:textId="77777777" w:rsidR="00591632" w:rsidRDefault="00591632" w:rsidP="00591632">
      <w:pPr>
        <w:pStyle w:val="ListParagraph"/>
        <w:numPr>
          <w:ilvl w:val="0"/>
          <w:numId w:val="19"/>
        </w:numPr>
        <w:spacing w:after="240"/>
        <w:ind w:left="567" w:hanging="567"/>
        <w:contextualSpacing w:val="0"/>
        <w:jc w:val="both"/>
        <w:rPr>
          <w:szCs w:val="24"/>
        </w:rPr>
      </w:pPr>
      <w:bookmarkStart w:id="9" w:name="_Ref307817066"/>
      <w:r w:rsidRPr="00385ABA">
        <w:rPr>
          <w:szCs w:val="24"/>
        </w:rPr>
        <w:t xml:space="preserve">The </w:t>
      </w:r>
      <w:r>
        <w:rPr>
          <w:szCs w:val="24"/>
        </w:rPr>
        <w:t>c</w:t>
      </w:r>
      <w:r w:rsidRPr="00385ABA">
        <w:rPr>
          <w:szCs w:val="24"/>
        </w:rPr>
        <w:t xml:space="preserve">ounterparty </w:t>
      </w:r>
      <w:r>
        <w:rPr>
          <w:szCs w:val="24"/>
        </w:rPr>
        <w:t>g</w:t>
      </w:r>
      <w:r w:rsidRPr="00385ABA">
        <w:rPr>
          <w:szCs w:val="24"/>
        </w:rPr>
        <w:t xml:space="preserve">rade for </w:t>
      </w:r>
      <w:r>
        <w:rPr>
          <w:szCs w:val="24"/>
        </w:rPr>
        <w:t xml:space="preserve">assets </w:t>
      </w:r>
      <w:r w:rsidRPr="00385ABA">
        <w:rPr>
          <w:szCs w:val="24"/>
        </w:rPr>
        <w:t>secured</w:t>
      </w:r>
      <w:r>
        <w:rPr>
          <w:szCs w:val="24"/>
        </w:rPr>
        <w:t xml:space="preserve"> by residential</w:t>
      </w:r>
      <w:r w:rsidRPr="00385ABA">
        <w:rPr>
          <w:szCs w:val="24"/>
        </w:rPr>
        <w:t xml:space="preserve"> mortgage</w:t>
      </w:r>
      <w:r>
        <w:rPr>
          <w:szCs w:val="24"/>
        </w:rPr>
        <w:t>s</w:t>
      </w:r>
      <w:r w:rsidRPr="00385ABA">
        <w:rPr>
          <w:szCs w:val="24"/>
        </w:rPr>
        <w:t xml:space="preserve"> </w:t>
      </w:r>
      <w:r>
        <w:rPr>
          <w:szCs w:val="24"/>
        </w:rPr>
        <w:t xml:space="preserve">(as defined in paragraph </w:t>
      </w:r>
      <w:r w:rsidR="000654ED">
        <w:rPr>
          <w:szCs w:val="24"/>
        </w:rPr>
        <w:fldChar w:fldCharType="begin"/>
      </w:r>
      <w:r w:rsidR="000654ED">
        <w:rPr>
          <w:szCs w:val="24"/>
        </w:rPr>
        <w:instrText xml:space="preserve"> REF _Ref387848483 \r \h </w:instrText>
      </w:r>
      <w:r w:rsidR="000654ED">
        <w:rPr>
          <w:szCs w:val="24"/>
        </w:rPr>
      </w:r>
      <w:r w:rsidR="000654ED">
        <w:rPr>
          <w:szCs w:val="24"/>
        </w:rPr>
        <w:fldChar w:fldCharType="separate"/>
      </w:r>
      <w:r w:rsidR="00C421EB">
        <w:rPr>
          <w:szCs w:val="24"/>
        </w:rPr>
        <w:t>1</w:t>
      </w:r>
      <w:r w:rsidR="000654ED">
        <w:rPr>
          <w:szCs w:val="24"/>
        </w:rPr>
        <w:fldChar w:fldCharType="end"/>
      </w:r>
      <w:r>
        <w:rPr>
          <w:szCs w:val="24"/>
        </w:rPr>
        <w:t xml:space="preserve">(b)) of this Attachment) </w:t>
      </w:r>
      <w:r w:rsidRPr="00385ABA">
        <w:rPr>
          <w:szCs w:val="24"/>
        </w:rPr>
        <w:t>is determined from the following table.</w:t>
      </w:r>
      <w:bookmarkEnd w:id="9"/>
    </w:p>
    <w:p w14:paraId="523EB47A" w14:textId="77777777" w:rsidR="00591632" w:rsidRPr="00865FB1" w:rsidRDefault="00591632" w:rsidP="00591632">
      <w:pPr>
        <w:pStyle w:val="ListParagraph"/>
        <w:spacing w:after="240"/>
        <w:ind w:left="567"/>
        <w:jc w:val="both"/>
        <w:rPr>
          <w:b/>
          <w:szCs w:val="24"/>
        </w:rPr>
      </w:pPr>
      <w:r w:rsidRPr="00865FB1">
        <w:rPr>
          <w:b/>
          <w:szCs w:val="24"/>
        </w:rPr>
        <w:t>Table 3:</w:t>
      </w:r>
      <w:r>
        <w:rPr>
          <w:b/>
          <w:szCs w:val="24"/>
        </w:rPr>
        <w:t xml:space="preserve"> Assets secured by residential mortgages</w:t>
      </w:r>
    </w:p>
    <w:tbl>
      <w:tblPr>
        <w:tblW w:w="7797" w:type="dxa"/>
        <w:tblInd w:w="675" w:type="dxa"/>
        <w:tblBorders>
          <w:top w:val="nil"/>
          <w:left w:val="nil"/>
          <w:bottom w:val="nil"/>
          <w:right w:val="nil"/>
        </w:tblBorders>
        <w:tblLayout w:type="fixed"/>
        <w:tblLook w:val="0000" w:firstRow="0" w:lastRow="0" w:firstColumn="0" w:lastColumn="0" w:noHBand="0" w:noVBand="0"/>
      </w:tblPr>
      <w:tblGrid>
        <w:gridCol w:w="2268"/>
        <w:gridCol w:w="1276"/>
        <w:gridCol w:w="1418"/>
        <w:gridCol w:w="1417"/>
        <w:gridCol w:w="1418"/>
      </w:tblGrid>
      <w:tr w:rsidR="00591632" w:rsidRPr="00385ABA" w14:paraId="523EB47E" w14:textId="77777777" w:rsidTr="001F0A57">
        <w:trPr>
          <w:trHeight w:val="297"/>
        </w:trPr>
        <w:tc>
          <w:tcPr>
            <w:tcW w:w="2268" w:type="dxa"/>
            <w:tcBorders>
              <w:top w:val="single" w:sz="8" w:space="0" w:color="000000"/>
              <w:left w:val="single" w:sz="8" w:space="0" w:color="000000"/>
              <w:bottom w:val="single" w:sz="8" w:space="0" w:color="000000"/>
              <w:right w:val="single" w:sz="8" w:space="0" w:color="000000"/>
            </w:tcBorders>
          </w:tcPr>
          <w:p w14:paraId="523EB47B" w14:textId="77777777" w:rsidR="00591632" w:rsidRDefault="00591632" w:rsidP="001F0A57">
            <w:pPr>
              <w:autoSpaceDE w:val="0"/>
              <w:autoSpaceDN w:val="0"/>
              <w:adjustRightInd w:val="0"/>
              <w:jc w:val="center"/>
              <w:rPr>
                <w:color w:val="000000"/>
              </w:rPr>
            </w:pPr>
            <w:r w:rsidRPr="00385ABA">
              <w:rPr>
                <w:b/>
                <w:bCs/>
                <w:color w:val="000000"/>
              </w:rPr>
              <w:t xml:space="preserve">Counterparty </w:t>
            </w:r>
            <w:r>
              <w:rPr>
                <w:b/>
                <w:bCs/>
                <w:color w:val="000000"/>
              </w:rPr>
              <w:t>g</w:t>
            </w:r>
            <w:r w:rsidRPr="00385ABA">
              <w:rPr>
                <w:b/>
                <w:bCs/>
                <w:color w:val="000000"/>
              </w:rPr>
              <w:t>rade</w:t>
            </w:r>
          </w:p>
        </w:tc>
        <w:tc>
          <w:tcPr>
            <w:tcW w:w="2694" w:type="dxa"/>
            <w:gridSpan w:val="2"/>
            <w:tcBorders>
              <w:top w:val="single" w:sz="8" w:space="0" w:color="000000"/>
              <w:right w:val="single" w:sz="8" w:space="0" w:color="000000"/>
            </w:tcBorders>
          </w:tcPr>
          <w:p w14:paraId="523EB47C" w14:textId="77777777" w:rsidR="00591632" w:rsidRDefault="00591632" w:rsidP="001F0A57">
            <w:pPr>
              <w:autoSpaceDE w:val="0"/>
              <w:autoSpaceDN w:val="0"/>
              <w:adjustRightInd w:val="0"/>
              <w:jc w:val="center"/>
              <w:rPr>
                <w:color w:val="000000"/>
              </w:rPr>
            </w:pPr>
            <w:r w:rsidRPr="00385ABA">
              <w:rPr>
                <w:b/>
                <w:bCs/>
                <w:color w:val="000000"/>
              </w:rPr>
              <w:t>Standard residential mortgages</w:t>
            </w:r>
          </w:p>
        </w:tc>
        <w:tc>
          <w:tcPr>
            <w:tcW w:w="2835" w:type="dxa"/>
            <w:gridSpan w:val="2"/>
            <w:tcBorders>
              <w:top w:val="single" w:sz="8" w:space="0" w:color="000000"/>
              <w:right w:val="single" w:sz="8" w:space="0" w:color="000000"/>
            </w:tcBorders>
          </w:tcPr>
          <w:p w14:paraId="523EB47D" w14:textId="77777777" w:rsidR="00591632" w:rsidRDefault="00591632" w:rsidP="001F0A57">
            <w:pPr>
              <w:autoSpaceDE w:val="0"/>
              <w:autoSpaceDN w:val="0"/>
              <w:adjustRightInd w:val="0"/>
              <w:jc w:val="center"/>
              <w:rPr>
                <w:color w:val="000000"/>
              </w:rPr>
            </w:pPr>
            <w:r w:rsidRPr="00385ABA">
              <w:rPr>
                <w:b/>
                <w:bCs/>
                <w:color w:val="000000"/>
              </w:rPr>
              <w:t xml:space="preserve">Other </w:t>
            </w:r>
            <w:r>
              <w:rPr>
                <w:b/>
                <w:bCs/>
                <w:color w:val="000000"/>
              </w:rPr>
              <w:t>residential mortgages</w:t>
            </w:r>
          </w:p>
        </w:tc>
      </w:tr>
      <w:tr w:rsidR="00591632" w:rsidRPr="00385ABA" w14:paraId="523EB484" w14:textId="77777777" w:rsidTr="001F0A57">
        <w:trPr>
          <w:trHeight w:val="157"/>
        </w:trPr>
        <w:tc>
          <w:tcPr>
            <w:tcW w:w="2268" w:type="dxa"/>
            <w:tcBorders>
              <w:top w:val="single" w:sz="8" w:space="0" w:color="000000"/>
              <w:left w:val="single" w:sz="8" w:space="0" w:color="000000"/>
              <w:bottom w:val="single" w:sz="8" w:space="0" w:color="000000"/>
              <w:right w:val="single" w:sz="8" w:space="0" w:color="000000"/>
            </w:tcBorders>
          </w:tcPr>
          <w:p w14:paraId="523EB47F" w14:textId="77777777" w:rsidR="00591632" w:rsidRDefault="00591632" w:rsidP="001F0A57">
            <w:pPr>
              <w:autoSpaceDE w:val="0"/>
              <w:autoSpaceDN w:val="0"/>
              <w:adjustRightInd w:val="0"/>
              <w:jc w:val="center"/>
              <w:rPr>
                <w:color w:val="000000"/>
              </w:rPr>
            </w:pPr>
            <w:r>
              <w:rPr>
                <w:color w:val="000000"/>
              </w:rPr>
              <w:t>‘</w:t>
            </w:r>
            <w:r w:rsidRPr="00385ABA">
              <w:rPr>
                <w:color w:val="000000"/>
              </w:rPr>
              <w:t xml:space="preserve">Loan to </w:t>
            </w:r>
            <w:r>
              <w:rPr>
                <w:color w:val="000000"/>
              </w:rPr>
              <w:t>v</w:t>
            </w:r>
            <w:r w:rsidRPr="00385ABA">
              <w:rPr>
                <w:color w:val="000000"/>
              </w:rPr>
              <w:t xml:space="preserve">alue </w:t>
            </w:r>
            <w:r>
              <w:rPr>
                <w:color w:val="000000"/>
              </w:rPr>
              <w:t>r</w:t>
            </w:r>
            <w:r w:rsidRPr="00385ABA">
              <w:rPr>
                <w:color w:val="000000"/>
              </w:rPr>
              <w:t>atio</w:t>
            </w:r>
            <w:r>
              <w:rPr>
                <w:color w:val="000000"/>
              </w:rPr>
              <w:t>’</w:t>
            </w:r>
          </w:p>
        </w:tc>
        <w:tc>
          <w:tcPr>
            <w:tcW w:w="1276" w:type="dxa"/>
            <w:tcBorders>
              <w:top w:val="single" w:sz="8" w:space="0" w:color="000000"/>
              <w:right w:val="single" w:sz="8" w:space="0" w:color="000000"/>
            </w:tcBorders>
          </w:tcPr>
          <w:p w14:paraId="523EB480" w14:textId="77777777" w:rsidR="00591632" w:rsidRDefault="00591632" w:rsidP="001F0A57">
            <w:pPr>
              <w:autoSpaceDE w:val="0"/>
              <w:autoSpaceDN w:val="0"/>
              <w:adjustRightInd w:val="0"/>
              <w:jc w:val="center"/>
              <w:rPr>
                <w:color w:val="000000"/>
              </w:rPr>
            </w:pPr>
            <w:r w:rsidRPr="00385ABA">
              <w:rPr>
                <w:color w:val="000000"/>
              </w:rPr>
              <w:t>No LMI</w:t>
            </w:r>
          </w:p>
        </w:tc>
        <w:tc>
          <w:tcPr>
            <w:tcW w:w="1418" w:type="dxa"/>
            <w:tcBorders>
              <w:top w:val="single" w:sz="8" w:space="0" w:color="000000"/>
              <w:right w:val="single" w:sz="8" w:space="0" w:color="000000"/>
            </w:tcBorders>
          </w:tcPr>
          <w:p w14:paraId="523EB481" w14:textId="77777777" w:rsidR="00591632" w:rsidRDefault="00591632" w:rsidP="001F0A57">
            <w:pPr>
              <w:autoSpaceDE w:val="0"/>
              <w:autoSpaceDN w:val="0"/>
              <w:adjustRightInd w:val="0"/>
              <w:jc w:val="center"/>
              <w:rPr>
                <w:color w:val="000000"/>
              </w:rPr>
            </w:pPr>
            <w:r w:rsidRPr="00385ABA">
              <w:rPr>
                <w:color w:val="000000"/>
              </w:rPr>
              <w:t>&gt;40% LMI</w:t>
            </w:r>
          </w:p>
        </w:tc>
        <w:tc>
          <w:tcPr>
            <w:tcW w:w="1417" w:type="dxa"/>
            <w:tcBorders>
              <w:top w:val="single" w:sz="8" w:space="0" w:color="000000"/>
              <w:right w:val="single" w:sz="8" w:space="0" w:color="000000"/>
            </w:tcBorders>
          </w:tcPr>
          <w:p w14:paraId="523EB482" w14:textId="77777777" w:rsidR="00591632" w:rsidRDefault="00591632" w:rsidP="001F0A57">
            <w:pPr>
              <w:autoSpaceDE w:val="0"/>
              <w:autoSpaceDN w:val="0"/>
              <w:adjustRightInd w:val="0"/>
              <w:jc w:val="center"/>
              <w:rPr>
                <w:color w:val="000000"/>
              </w:rPr>
            </w:pPr>
            <w:r w:rsidRPr="00385ABA">
              <w:rPr>
                <w:color w:val="000000"/>
              </w:rPr>
              <w:t>No LMI</w:t>
            </w:r>
          </w:p>
        </w:tc>
        <w:tc>
          <w:tcPr>
            <w:tcW w:w="1418" w:type="dxa"/>
            <w:tcBorders>
              <w:top w:val="single" w:sz="8" w:space="0" w:color="000000"/>
              <w:bottom w:val="single" w:sz="8" w:space="0" w:color="000000"/>
              <w:right w:val="single" w:sz="8" w:space="0" w:color="000000"/>
            </w:tcBorders>
          </w:tcPr>
          <w:p w14:paraId="523EB483" w14:textId="77777777" w:rsidR="00591632" w:rsidRDefault="00591632" w:rsidP="001F0A57">
            <w:pPr>
              <w:autoSpaceDE w:val="0"/>
              <w:autoSpaceDN w:val="0"/>
              <w:adjustRightInd w:val="0"/>
              <w:jc w:val="center"/>
              <w:rPr>
                <w:color w:val="000000"/>
              </w:rPr>
            </w:pPr>
            <w:r w:rsidRPr="00385ABA">
              <w:rPr>
                <w:color w:val="000000"/>
              </w:rPr>
              <w:t>&gt;40% LMI</w:t>
            </w:r>
          </w:p>
        </w:tc>
      </w:tr>
      <w:tr w:rsidR="00591632" w:rsidRPr="00385ABA" w14:paraId="523EB48A" w14:textId="77777777" w:rsidTr="001F0A57">
        <w:trPr>
          <w:trHeight w:val="399"/>
        </w:trPr>
        <w:tc>
          <w:tcPr>
            <w:tcW w:w="2268" w:type="dxa"/>
            <w:tcBorders>
              <w:top w:val="single" w:sz="8" w:space="0" w:color="000000"/>
              <w:left w:val="single" w:sz="8" w:space="0" w:color="000000"/>
              <w:bottom w:val="single" w:sz="8" w:space="0" w:color="000000"/>
              <w:right w:val="single" w:sz="8" w:space="0" w:color="000000"/>
            </w:tcBorders>
          </w:tcPr>
          <w:p w14:paraId="523EB485" w14:textId="77777777" w:rsidR="00591632" w:rsidRDefault="00591632" w:rsidP="001F0A57">
            <w:pPr>
              <w:autoSpaceDE w:val="0"/>
              <w:autoSpaceDN w:val="0"/>
              <w:adjustRightInd w:val="0"/>
              <w:jc w:val="center"/>
              <w:rPr>
                <w:color w:val="000000"/>
              </w:rPr>
            </w:pPr>
            <w:r w:rsidRPr="00385ABA">
              <w:rPr>
                <w:color w:val="000000"/>
              </w:rPr>
              <w:t>≤ 60%</w:t>
            </w:r>
          </w:p>
        </w:tc>
        <w:tc>
          <w:tcPr>
            <w:tcW w:w="1276" w:type="dxa"/>
            <w:tcBorders>
              <w:top w:val="single" w:sz="8" w:space="0" w:color="000000"/>
              <w:right w:val="single" w:sz="8" w:space="0" w:color="000000"/>
            </w:tcBorders>
          </w:tcPr>
          <w:p w14:paraId="523EB486" w14:textId="77777777" w:rsidR="00591632" w:rsidRDefault="00591632" w:rsidP="001F0A57">
            <w:pPr>
              <w:autoSpaceDE w:val="0"/>
              <w:autoSpaceDN w:val="0"/>
              <w:adjustRightInd w:val="0"/>
              <w:jc w:val="center"/>
              <w:rPr>
                <w:color w:val="000000"/>
              </w:rPr>
            </w:pPr>
            <w:r w:rsidRPr="00385ABA">
              <w:rPr>
                <w:color w:val="000000"/>
              </w:rPr>
              <w:t>2</w:t>
            </w:r>
          </w:p>
        </w:tc>
        <w:tc>
          <w:tcPr>
            <w:tcW w:w="1418" w:type="dxa"/>
            <w:tcBorders>
              <w:top w:val="single" w:sz="8" w:space="0" w:color="000000"/>
              <w:right w:val="single" w:sz="8" w:space="0" w:color="000000"/>
            </w:tcBorders>
          </w:tcPr>
          <w:p w14:paraId="523EB487" w14:textId="77777777" w:rsidR="00591632" w:rsidRDefault="00591632" w:rsidP="001F0A57">
            <w:pPr>
              <w:autoSpaceDE w:val="0"/>
              <w:autoSpaceDN w:val="0"/>
              <w:adjustRightInd w:val="0"/>
              <w:jc w:val="center"/>
              <w:rPr>
                <w:color w:val="000000"/>
              </w:rPr>
            </w:pPr>
            <w:r w:rsidRPr="00385ABA">
              <w:rPr>
                <w:color w:val="000000"/>
              </w:rPr>
              <w:t>2</w:t>
            </w:r>
          </w:p>
        </w:tc>
        <w:tc>
          <w:tcPr>
            <w:tcW w:w="1417" w:type="dxa"/>
            <w:tcBorders>
              <w:top w:val="single" w:sz="8" w:space="0" w:color="000000"/>
              <w:right w:val="single" w:sz="8" w:space="0" w:color="000000"/>
            </w:tcBorders>
          </w:tcPr>
          <w:p w14:paraId="523EB488" w14:textId="77777777" w:rsidR="00591632" w:rsidRDefault="00591632" w:rsidP="001F0A57">
            <w:pPr>
              <w:autoSpaceDE w:val="0"/>
              <w:autoSpaceDN w:val="0"/>
              <w:adjustRightInd w:val="0"/>
              <w:jc w:val="center"/>
              <w:rPr>
                <w:color w:val="000000"/>
              </w:rPr>
            </w:pPr>
            <w:r w:rsidRPr="00385ABA">
              <w:rPr>
                <w:color w:val="000000"/>
              </w:rPr>
              <w:t>3</w:t>
            </w:r>
          </w:p>
        </w:tc>
        <w:tc>
          <w:tcPr>
            <w:tcW w:w="1418" w:type="dxa"/>
            <w:tcBorders>
              <w:top w:val="single" w:sz="8" w:space="0" w:color="000000"/>
              <w:bottom w:val="single" w:sz="8" w:space="0" w:color="000000"/>
              <w:right w:val="single" w:sz="8" w:space="0" w:color="000000"/>
            </w:tcBorders>
          </w:tcPr>
          <w:p w14:paraId="523EB489" w14:textId="77777777" w:rsidR="00591632" w:rsidRDefault="00591632" w:rsidP="001F0A57">
            <w:pPr>
              <w:autoSpaceDE w:val="0"/>
              <w:autoSpaceDN w:val="0"/>
              <w:adjustRightInd w:val="0"/>
              <w:jc w:val="center"/>
              <w:rPr>
                <w:color w:val="000000"/>
              </w:rPr>
            </w:pPr>
            <w:r w:rsidRPr="00385ABA">
              <w:rPr>
                <w:color w:val="000000"/>
              </w:rPr>
              <w:t>2</w:t>
            </w:r>
          </w:p>
        </w:tc>
      </w:tr>
      <w:tr w:rsidR="00591632" w:rsidRPr="00385ABA" w14:paraId="523EB490" w14:textId="77777777" w:rsidTr="001F0A57">
        <w:trPr>
          <w:trHeight w:val="433"/>
        </w:trPr>
        <w:tc>
          <w:tcPr>
            <w:tcW w:w="2268" w:type="dxa"/>
            <w:tcBorders>
              <w:top w:val="single" w:sz="8" w:space="0" w:color="000000"/>
              <w:left w:val="single" w:sz="8" w:space="0" w:color="000000"/>
              <w:bottom w:val="single" w:sz="8" w:space="0" w:color="000000"/>
              <w:right w:val="single" w:sz="8" w:space="0" w:color="000000"/>
            </w:tcBorders>
          </w:tcPr>
          <w:p w14:paraId="523EB48B" w14:textId="77777777" w:rsidR="00591632" w:rsidRDefault="00591632" w:rsidP="001F0A57">
            <w:pPr>
              <w:autoSpaceDE w:val="0"/>
              <w:autoSpaceDN w:val="0"/>
              <w:adjustRightInd w:val="0"/>
              <w:jc w:val="center"/>
              <w:rPr>
                <w:color w:val="000000"/>
              </w:rPr>
            </w:pPr>
            <w:r w:rsidRPr="00385ABA">
              <w:rPr>
                <w:color w:val="000000"/>
              </w:rPr>
              <w:t>&gt; 60% but ≤ 80%</w:t>
            </w:r>
          </w:p>
        </w:tc>
        <w:tc>
          <w:tcPr>
            <w:tcW w:w="1276" w:type="dxa"/>
            <w:tcBorders>
              <w:top w:val="single" w:sz="8" w:space="0" w:color="000000"/>
              <w:bottom w:val="single" w:sz="8" w:space="0" w:color="000000"/>
              <w:right w:val="single" w:sz="8" w:space="0" w:color="000000"/>
            </w:tcBorders>
          </w:tcPr>
          <w:p w14:paraId="523EB48C" w14:textId="77777777" w:rsidR="00591632" w:rsidRDefault="00591632" w:rsidP="001F0A57">
            <w:pPr>
              <w:autoSpaceDE w:val="0"/>
              <w:autoSpaceDN w:val="0"/>
              <w:adjustRightInd w:val="0"/>
              <w:jc w:val="center"/>
              <w:rPr>
                <w:color w:val="000000"/>
              </w:rPr>
            </w:pPr>
            <w:r w:rsidRPr="00385ABA">
              <w:rPr>
                <w:color w:val="000000"/>
              </w:rPr>
              <w:t>2</w:t>
            </w:r>
          </w:p>
        </w:tc>
        <w:tc>
          <w:tcPr>
            <w:tcW w:w="1418" w:type="dxa"/>
            <w:tcBorders>
              <w:top w:val="single" w:sz="8" w:space="0" w:color="000000"/>
              <w:bottom w:val="single" w:sz="8" w:space="0" w:color="000000"/>
              <w:right w:val="single" w:sz="8" w:space="0" w:color="000000"/>
            </w:tcBorders>
          </w:tcPr>
          <w:p w14:paraId="523EB48D" w14:textId="77777777" w:rsidR="00591632" w:rsidRDefault="00591632" w:rsidP="001F0A57">
            <w:pPr>
              <w:autoSpaceDE w:val="0"/>
              <w:autoSpaceDN w:val="0"/>
              <w:adjustRightInd w:val="0"/>
              <w:jc w:val="center"/>
              <w:rPr>
                <w:color w:val="000000"/>
              </w:rPr>
            </w:pPr>
            <w:r w:rsidRPr="00385ABA">
              <w:rPr>
                <w:color w:val="000000"/>
              </w:rPr>
              <w:t>2</w:t>
            </w:r>
          </w:p>
        </w:tc>
        <w:tc>
          <w:tcPr>
            <w:tcW w:w="1417" w:type="dxa"/>
            <w:tcBorders>
              <w:top w:val="single" w:sz="8" w:space="0" w:color="000000"/>
              <w:bottom w:val="single" w:sz="8" w:space="0" w:color="000000"/>
              <w:right w:val="single" w:sz="8" w:space="0" w:color="000000"/>
            </w:tcBorders>
          </w:tcPr>
          <w:p w14:paraId="523EB48E" w14:textId="77777777" w:rsidR="00591632" w:rsidRDefault="00591632" w:rsidP="001F0A57">
            <w:pPr>
              <w:autoSpaceDE w:val="0"/>
              <w:autoSpaceDN w:val="0"/>
              <w:adjustRightInd w:val="0"/>
              <w:jc w:val="center"/>
              <w:rPr>
                <w:color w:val="000000"/>
              </w:rPr>
            </w:pPr>
            <w:r w:rsidRPr="00385ABA">
              <w:rPr>
                <w:color w:val="000000"/>
              </w:rPr>
              <w:t>4</w:t>
            </w:r>
          </w:p>
        </w:tc>
        <w:tc>
          <w:tcPr>
            <w:tcW w:w="1418" w:type="dxa"/>
            <w:tcBorders>
              <w:top w:val="single" w:sz="8" w:space="0" w:color="000000"/>
              <w:bottom w:val="single" w:sz="8" w:space="0" w:color="000000"/>
              <w:right w:val="single" w:sz="8" w:space="0" w:color="000000"/>
            </w:tcBorders>
          </w:tcPr>
          <w:p w14:paraId="523EB48F" w14:textId="77777777" w:rsidR="00591632" w:rsidRDefault="00591632" w:rsidP="001F0A57">
            <w:pPr>
              <w:autoSpaceDE w:val="0"/>
              <w:autoSpaceDN w:val="0"/>
              <w:adjustRightInd w:val="0"/>
              <w:jc w:val="center"/>
              <w:rPr>
                <w:color w:val="000000"/>
              </w:rPr>
            </w:pPr>
            <w:r w:rsidRPr="00385ABA">
              <w:rPr>
                <w:color w:val="000000"/>
              </w:rPr>
              <w:t>3</w:t>
            </w:r>
          </w:p>
        </w:tc>
      </w:tr>
      <w:tr w:rsidR="00591632" w:rsidRPr="00385ABA" w14:paraId="523EB496" w14:textId="77777777" w:rsidTr="001F0A57">
        <w:trPr>
          <w:trHeight w:val="433"/>
        </w:trPr>
        <w:tc>
          <w:tcPr>
            <w:tcW w:w="2268" w:type="dxa"/>
            <w:tcBorders>
              <w:top w:val="single" w:sz="8" w:space="0" w:color="000000"/>
              <w:left w:val="single" w:sz="8" w:space="0" w:color="000000"/>
              <w:bottom w:val="single" w:sz="8" w:space="0" w:color="000000"/>
              <w:right w:val="single" w:sz="8" w:space="0" w:color="000000"/>
            </w:tcBorders>
          </w:tcPr>
          <w:p w14:paraId="523EB491" w14:textId="77777777" w:rsidR="00591632" w:rsidRDefault="00591632" w:rsidP="001F0A57">
            <w:pPr>
              <w:autoSpaceDE w:val="0"/>
              <w:autoSpaceDN w:val="0"/>
              <w:adjustRightInd w:val="0"/>
              <w:jc w:val="center"/>
              <w:rPr>
                <w:color w:val="000000"/>
              </w:rPr>
            </w:pPr>
            <w:r w:rsidRPr="00385ABA">
              <w:rPr>
                <w:color w:val="000000"/>
              </w:rPr>
              <w:t>&gt; 80% but ≤ 90%</w:t>
            </w:r>
          </w:p>
        </w:tc>
        <w:tc>
          <w:tcPr>
            <w:tcW w:w="1276" w:type="dxa"/>
            <w:tcBorders>
              <w:top w:val="single" w:sz="8" w:space="0" w:color="000000"/>
              <w:bottom w:val="single" w:sz="8" w:space="0" w:color="000000"/>
              <w:right w:val="single" w:sz="8" w:space="0" w:color="000000"/>
            </w:tcBorders>
          </w:tcPr>
          <w:p w14:paraId="523EB492" w14:textId="77777777" w:rsidR="00591632" w:rsidRDefault="00591632" w:rsidP="001F0A57">
            <w:pPr>
              <w:autoSpaceDE w:val="0"/>
              <w:autoSpaceDN w:val="0"/>
              <w:adjustRightInd w:val="0"/>
              <w:jc w:val="center"/>
              <w:rPr>
                <w:color w:val="000000"/>
              </w:rPr>
            </w:pPr>
            <w:r w:rsidRPr="00385ABA">
              <w:rPr>
                <w:color w:val="000000"/>
              </w:rPr>
              <w:t>3</w:t>
            </w:r>
          </w:p>
        </w:tc>
        <w:tc>
          <w:tcPr>
            <w:tcW w:w="1418" w:type="dxa"/>
            <w:tcBorders>
              <w:top w:val="single" w:sz="8" w:space="0" w:color="000000"/>
              <w:bottom w:val="single" w:sz="8" w:space="0" w:color="000000"/>
              <w:right w:val="single" w:sz="8" w:space="0" w:color="000000"/>
            </w:tcBorders>
          </w:tcPr>
          <w:p w14:paraId="523EB493" w14:textId="77777777" w:rsidR="00591632" w:rsidRDefault="00591632" w:rsidP="001F0A57">
            <w:pPr>
              <w:autoSpaceDE w:val="0"/>
              <w:autoSpaceDN w:val="0"/>
              <w:adjustRightInd w:val="0"/>
              <w:jc w:val="center"/>
              <w:rPr>
                <w:color w:val="000000"/>
              </w:rPr>
            </w:pPr>
            <w:r w:rsidRPr="00385ABA">
              <w:rPr>
                <w:color w:val="000000"/>
              </w:rPr>
              <w:t>2</w:t>
            </w:r>
          </w:p>
        </w:tc>
        <w:tc>
          <w:tcPr>
            <w:tcW w:w="1417" w:type="dxa"/>
            <w:tcBorders>
              <w:top w:val="single" w:sz="8" w:space="0" w:color="000000"/>
              <w:bottom w:val="single" w:sz="8" w:space="0" w:color="000000"/>
              <w:right w:val="single" w:sz="8" w:space="0" w:color="000000"/>
            </w:tcBorders>
          </w:tcPr>
          <w:p w14:paraId="523EB494" w14:textId="77777777" w:rsidR="00591632" w:rsidRDefault="00591632" w:rsidP="001F0A57">
            <w:pPr>
              <w:autoSpaceDE w:val="0"/>
              <w:autoSpaceDN w:val="0"/>
              <w:adjustRightInd w:val="0"/>
              <w:jc w:val="center"/>
              <w:rPr>
                <w:color w:val="000000"/>
              </w:rPr>
            </w:pPr>
            <w:r w:rsidRPr="00385ABA">
              <w:rPr>
                <w:color w:val="000000"/>
              </w:rPr>
              <w:t>5</w:t>
            </w:r>
          </w:p>
        </w:tc>
        <w:tc>
          <w:tcPr>
            <w:tcW w:w="1418" w:type="dxa"/>
            <w:tcBorders>
              <w:top w:val="single" w:sz="8" w:space="0" w:color="000000"/>
              <w:bottom w:val="single" w:sz="8" w:space="0" w:color="000000"/>
              <w:right w:val="single" w:sz="8" w:space="0" w:color="000000"/>
            </w:tcBorders>
          </w:tcPr>
          <w:p w14:paraId="523EB495" w14:textId="77777777" w:rsidR="00591632" w:rsidRDefault="00591632" w:rsidP="001F0A57">
            <w:pPr>
              <w:autoSpaceDE w:val="0"/>
              <w:autoSpaceDN w:val="0"/>
              <w:adjustRightInd w:val="0"/>
              <w:jc w:val="center"/>
              <w:rPr>
                <w:color w:val="000000"/>
              </w:rPr>
            </w:pPr>
            <w:r w:rsidRPr="00385ABA">
              <w:rPr>
                <w:color w:val="000000"/>
              </w:rPr>
              <w:t>4</w:t>
            </w:r>
          </w:p>
        </w:tc>
      </w:tr>
      <w:tr w:rsidR="00591632" w:rsidRPr="00385ABA" w14:paraId="523EB49C" w14:textId="77777777" w:rsidTr="001F0A57">
        <w:trPr>
          <w:trHeight w:val="433"/>
        </w:trPr>
        <w:tc>
          <w:tcPr>
            <w:tcW w:w="2268" w:type="dxa"/>
            <w:tcBorders>
              <w:top w:val="single" w:sz="8" w:space="0" w:color="000000"/>
              <w:left w:val="single" w:sz="8" w:space="0" w:color="000000"/>
              <w:bottom w:val="single" w:sz="8" w:space="0" w:color="000000"/>
              <w:right w:val="single" w:sz="8" w:space="0" w:color="000000"/>
            </w:tcBorders>
          </w:tcPr>
          <w:p w14:paraId="523EB497" w14:textId="77777777" w:rsidR="00591632" w:rsidRDefault="00591632" w:rsidP="001F0A57">
            <w:pPr>
              <w:autoSpaceDE w:val="0"/>
              <w:autoSpaceDN w:val="0"/>
              <w:adjustRightInd w:val="0"/>
              <w:jc w:val="center"/>
              <w:rPr>
                <w:color w:val="000000"/>
              </w:rPr>
            </w:pPr>
            <w:r w:rsidRPr="00385ABA">
              <w:rPr>
                <w:color w:val="000000"/>
              </w:rPr>
              <w:t>&gt; 90% but ≤ 100%</w:t>
            </w:r>
          </w:p>
        </w:tc>
        <w:tc>
          <w:tcPr>
            <w:tcW w:w="1276" w:type="dxa"/>
            <w:tcBorders>
              <w:top w:val="single" w:sz="8" w:space="0" w:color="000000"/>
              <w:bottom w:val="single" w:sz="8" w:space="0" w:color="000000"/>
              <w:right w:val="single" w:sz="8" w:space="0" w:color="000000"/>
            </w:tcBorders>
          </w:tcPr>
          <w:p w14:paraId="523EB498" w14:textId="77777777" w:rsidR="00591632" w:rsidRDefault="00591632" w:rsidP="001F0A57">
            <w:pPr>
              <w:autoSpaceDE w:val="0"/>
              <w:autoSpaceDN w:val="0"/>
              <w:adjustRightInd w:val="0"/>
              <w:jc w:val="center"/>
              <w:rPr>
                <w:color w:val="000000"/>
              </w:rPr>
            </w:pPr>
            <w:r w:rsidRPr="00385ABA">
              <w:rPr>
                <w:color w:val="000000"/>
              </w:rPr>
              <w:t>4</w:t>
            </w:r>
          </w:p>
        </w:tc>
        <w:tc>
          <w:tcPr>
            <w:tcW w:w="1418" w:type="dxa"/>
            <w:tcBorders>
              <w:top w:val="single" w:sz="8" w:space="0" w:color="000000"/>
              <w:bottom w:val="single" w:sz="8" w:space="0" w:color="000000"/>
              <w:right w:val="single" w:sz="8" w:space="0" w:color="000000"/>
            </w:tcBorders>
          </w:tcPr>
          <w:p w14:paraId="523EB499" w14:textId="77777777" w:rsidR="00591632" w:rsidRDefault="00591632" w:rsidP="001F0A57">
            <w:pPr>
              <w:autoSpaceDE w:val="0"/>
              <w:autoSpaceDN w:val="0"/>
              <w:adjustRightInd w:val="0"/>
              <w:jc w:val="center"/>
              <w:rPr>
                <w:color w:val="000000"/>
              </w:rPr>
            </w:pPr>
            <w:r w:rsidRPr="00385ABA">
              <w:rPr>
                <w:color w:val="000000"/>
              </w:rPr>
              <w:t>3</w:t>
            </w:r>
          </w:p>
        </w:tc>
        <w:tc>
          <w:tcPr>
            <w:tcW w:w="1417" w:type="dxa"/>
            <w:tcBorders>
              <w:top w:val="single" w:sz="8" w:space="0" w:color="000000"/>
              <w:bottom w:val="single" w:sz="8" w:space="0" w:color="000000"/>
              <w:right w:val="single" w:sz="8" w:space="0" w:color="000000"/>
            </w:tcBorders>
          </w:tcPr>
          <w:p w14:paraId="523EB49A" w14:textId="77777777" w:rsidR="00591632" w:rsidRDefault="00591632" w:rsidP="001F0A57">
            <w:pPr>
              <w:autoSpaceDE w:val="0"/>
              <w:autoSpaceDN w:val="0"/>
              <w:adjustRightInd w:val="0"/>
              <w:jc w:val="center"/>
              <w:rPr>
                <w:color w:val="000000"/>
              </w:rPr>
            </w:pPr>
            <w:r w:rsidRPr="00385ABA">
              <w:rPr>
                <w:color w:val="000000"/>
              </w:rPr>
              <w:t>5</w:t>
            </w:r>
          </w:p>
        </w:tc>
        <w:tc>
          <w:tcPr>
            <w:tcW w:w="1418" w:type="dxa"/>
            <w:tcBorders>
              <w:top w:val="single" w:sz="8" w:space="0" w:color="000000"/>
              <w:bottom w:val="single" w:sz="8" w:space="0" w:color="000000"/>
              <w:right w:val="single" w:sz="8" w:space="0" w:color="000000"/>
            </w:tcBorders>
          </w:tcPr>
          <w:p w14:paraId="523EB49B" w14:textId="77777777" w:rsidR="00591632" w:rsidRDefault="00591632" w:rsidP="001F0A57">
            <w:pPr>
              <w:autoSpaceDE w:val="0"/>
              <w:autoSpaceDN w:val="0"/>
              <w:adjustRightInd w:val="0"/>
              <w:jc w:val="center"/>
              <w:rPr>
                <w:color w:val="000000"/>
              </w:rPr>
            </w:pPr>
            <w:r w:rsidRPr="00385ABA">
              <w:rPr>
                <w:color w:val="000000"/>
              </w:rPr>
              <w:t>4</w:t>
            </w:r>
          </w:p>
        </w:tc>
      </w:tr>
      <w:tr w:rsidR="00591632" w:rsidRPr="00385ABA" w14:paraId="523EB4A2" w14:textId="77777777" w:rsidTr="001F0A57">
        <w:trPr>
          <w:trHeight w:val="157"/>
        </w:trPr>
        <w:tc>
          <w:tcPr>
            <w:tcW w:w="2268" w:type="dxa"/>
            <w:tcBorders>
              <w:top w:val="single" w:sz="8" w:space="0" w:color="000000"/>
              <w:left w:val="single" w:sz="8" w:space="0" w:color="000000"/>
              <w:bottom w:val="single" w:sz="8" w:space="0" w:color="000000"/>
              <w:right w:val="single" w:sz="8" w:space="0" w:color="000000"/>
            </w:tcBorders>
          </w:tcPr>
          <w:p w14:paraId="523EB49D" w14:textId="77777777" w:rsidR="00591632" w:rsidRDefault="00591632" w:rsidP="001F0A57">
            <w:pPr>
              <w:autoSpaceDE w:val="0"/>
              <w:autoSpaceDN w:val="0"/>
              <w:adjustRightInd w:val="0"/>
              <w:jc w:val="center"/>
              <w:rPr>
                <w:color w:val="000000"/>
              </w:rPr>
            </w:pPr>
            <w:r w:rsidRPr="00385ABA">
              <w:rPr>
                <w:color w:val="000000"/>
              </w:rPr>
              <w:t xml:space="preserve">&gt; 100% </w:t>
            </w:r>
          </w:p>
        </w:tc>
        <w:tc>
          <w:tcPr>
            <w:tcW w:w="1276" w:type="dxa"/>
            <w:tcBorders>
              <w:top w:val="single" w:sz="8" w:space="0" w:color="000000"/>
              <w:bottom w:val="single" w:sz="8" w:space="0" w:color="000000"/>
              <w:right w:val="single" w:sz="8" w:space="0" w:color="000000"/>
            </w:tcBorders>
          </w:tcPr>
          <w:p w14:paraId="523EB49E" w14:textId="77777777" w:rsidR="00591632" w:rsidRDefault="00591632" w:rsidP="001F0A57">
            <w:pPr>
              <w:autoSpaceDE w:val="0"/>
              <w:autoSpaceDN w:val="0"/>
              <w:adjustRightInd w:val="0"/>
              <w:jc w:val="center"/>
              <w:rPr>
                <w:color w:val="000000"/>
              </w:rPr>
            </w:pPr>
            <w:r w:rsidRPr="00385ABA">
              <w:rPr>
                <w:color w:val="000000"/>
              </w:rPr>
              <w:t>5</w:t>
            </w:r>
          </w:p>
        </w:tc>
        <w:tc>
          <w:tcPr>
            <w:tcW w:w="1418" w:type="dxa"/>
            <w:tcBorders>
              <w:top w:val="single" w:sz="8" w:space="0" w:color="000000"/>
              <w:bottom w:val="single" w:sz="8" w:space="0" w:color="000000"/>
              <w:right w:val="single" w:sz="8" w:space="0" w:color="000000"/>
            </w:tcBorders>
          </w:tcPr>
          <w:p w14:paraId="523EB49F" w14:textId="77777777" w:rsidR="00591632" w:rsidRDefault="00591632" w:rsidP="001F0A57">
            <w:pPr>
              <w:autoSpaceDE w:val="0"/>
              <w:autoSpaceDN w:val="0"/>
              <w:adjustRightInd w:val="0"/>
              <w:jc w:val="center"/>
              <w:rPr>
                <w:color w:val="000000"/>
              </w:rPr>
            </w:pPr>
            <w:r w:rsidRPr="00385ABA">
              <w:rPr>
                <w:color w:val="000000"/>
              </w:rPr>
              <w:t>4</w:t>
            </w:r>
          </w:p>
        </w:tc>
        <w:tc>
          <w:tcPr>
            <w:tcW w:w="1417" w:type="dxa"/>
            <w:tcBorders>
              <w:top w:val="single" w:sz="8" w:space="0" w:color="000000"/>
              <w:bottom w:val="single" w:sz="8" w:space="0" w:color="000000"/>
              <w:right w:val="single" w:sz="8" w:space="0" w:color="000000"/>
            </w:tcBorders>
          </w:tcPr>
          <w:p w14:paraId="523EB4A0" w14:textId="77777777" w:rsidR="00591632" w:rsidRDefault="00591632" w:rsidP="001F0A57">
            <w:pPr>
              <w:autoSpaceDE w:val="0"/>
              <w:autoSpaceDN w:val="0"/>
              <w:adjustRightInd w:val="0"/>
              <w:jc w:val="center"/>
              <w:rPr>
                <w:color w:val="000000"/>
              </w:rPr>
            </w:pPr>
            <w:r w:rsidRPr="00385ABA">
              <w:rPr>
                <w:color w:val="000000"/>
              </w:rPr>
              <w:t>5</w:t>
            </w:r>
          </w:p>
        </w:tc>
        <w:tc>
          <w:tcPr>
            <w:tcW w:w="1418" w:type="dxa"/>
            <w:tcBorders>
              <w:top w:val="single" w:sz="8" w:space="0" w:color="000000"/>
              <w:bottom w:val="single" w:sz="8" w:space="0" w:color="000000"/>
              <w:right w:val="single" w:sz="8" w:space="0" w:color="000000"/>
            </w:tcBorders>
          </w:tcPr>
          <w:p w14:paraId="523EB4A1" w14:textId="77777777" w:rsidR="00591632" w:rsidRDefault="00591632" w:rsidP="001F0A57">
            <w:pPr>
              <w:autoSpaceDE w:val="0"/>
              <w:autoSpaceDN w:val="0"/>
              <w:adjustRightInd w:val="0"/>
              <w:jc w:val="center"/>
              <w:rPr>
                <w:color w:val="000000"/>
              </w:rPr>
            </w:pPr>
            <w:r w:rsidRPr="00385ABA">
              <w:rPr>
                <w:color w:val="000000"/>
              </w:rPr>
              <w:t>5</w:t>
            </w:r>
          </w:p>
        </w:tc>
      </w:tr>
    </w:tbl>
    <w:p w14:paraId="523EB4A3" w14:textId="77777777" w:rsidR="00591632" w:rsidRDefault="00591632" w:rsidP="00591632">
      <w:pPr>
        <w:spacing w:after="240"/>
        <w:ind w:left="567"/>
        <w:jc w:val="both"/>
      </w:pPr>
    </w:p>
    <w:p w14:paraId="523EB4A4" w14:textId="77777777" w:rsidR="00591632" w:rsidRDefault="00591632" w:rsidP="00591632">
      <w:pPr>
        <w:pStyle w:val="ListParagraph"/>
        <w:numPr>
          <w:ilvl w:val="0"/>
          <w:numId w:val="19"/>
        </w:numPr>
        <w:spacing w:after="240"/>
        <w:ind w:left="567" w:hanging="567"/>
        <w:contextualSpacing w:val="0"/>
        <w:jc w:val="both"/>
        <w:rPr>
          <w:szCs w:val="24"/>
        </w:rPr>
      </w:pPr>
      <w:r>
        <w:rPr>
          <w:szCs w:val="24"/>
        </w:rPr>
        <w:t>‘</w:t>
      </w:r>
      <w:r w:rsidRPr="00385ABA">
        <w:rPr>
          <w:szCs w:val="24"/>
        </w:rPr>
        <w:t xml:space="preserve">Loan to </w:t>
      </w:r>
      <w:r>
        <w:rPr>
          <w:szCs w:val="24"/>
        </w:rPr>
        <w:t>v</w:t>
      </w:r>
      <w:r w:rsidRPr="00385ABA">
        <w:rPr>
          <w:szCs w:val="24"/>
        </w:rPr>
        <w:t xml:space="preserve">alue </w:t>
      </w:r>
      <w:r>
        <w:rPr>
          <w:szCs w:val="24"/>
        </w:rPr>
        <w:t>r</w:t>
      </w:r>
      <w:r w:rsidRPr="00385ABA">
        <w:rPr>
          <w:szCs w:val="24"/>
        </w:rPr>
        <w:t>atio</w:t>
      </w:r>
      <w:r>
        <w:rPr>
          <w:szCs w:val="24"/>
        </w:rPr>
        <w:t>’</w:t>
      </w:r>
      <w:r w:rsidRPr="00385ABA">
        <w:rPr>
          <w:szCs w:val="24"/>
        </w:rPr>
        <w:t xml:space="preserve"> is the ratio of the value of the asset (</w:t>
      </w:r>
      <w:proofErr w:type="gramStart"/>
      <w:r w:rsidRPr="00385ABA">
        <w:rPr>
          <w:szCs w:val="24"/>
        </w:rPr>
        <w:t>i.e.</w:t>
      </w:r>
      <w:proofErr w:type="gramEnd"/>
      <w:r w:rsidRPr="00385ABA">
        <w:rPr>
          <w:szCs w:val="24"/>
        </w:rPr>
        <w:t xml:space="preserve"> loan) to the market value of the collateral. The market value of the collateral is the value at inception or, where a substantive valuation has subsequently been carried out, this subsequent valuation.</w:t>
      </w:r>
    </w:p>
    <w:p w14:paraId="523EB4A5" w14:textId="77777777" w:rsidR="00CF1702" w:rsidRPr="00CF1702" w:rsidRDefault="00CF1702" w:rsidP="00CF1702">
      <w:pPr>
        <w:spacing w:after="240"/>
        <w:jc w:val="both"/>
        <w:rPr>
          <w:szCs w:val="24"/>
        </w:rPr>
      </w:pPr>
    </w:p>
    <w:p w14:paraId="523EB4A6" w14:textId="77777777" w:rsidR="00591632" w:rsidRDefault="00591632" w:rsidP="00591632">
      <w:pPr>
        <w:pStyle w:val="ListParagraph"/>
        <w:numPr>
          <w:ilvl w:val="0"/>
          <w:numId w:val="19"/>
        </w:numPr>
        <w:spacing w:after="240"/>
        <w:ind w:left="567" w:hanging="567"/>
        <w:contextualSpacing w:val="0"/>
        <w:jc w:val="both"/>
        <w:rPr>
          <w:szCs w:val="24"/>
        </w:rPr>
      </w:pPr>
      <w:bookmarkStart w:id="10" w:name="_Ref387848529"/>
      <w:r w:rsidRPr="008958F4">
        <w:rPr>
          <w:szCs w:val="24"/>
        </w:rPr>
        <w:lastRenderedPageBreak/>
        <w:t>A standard residential mortgage is defined as a mortgage on an existing residential property where the regulated institution has:</w:t>
      </w:r>
      <w:bookmarkEnd w:id="10"/>
    </w:p>
    <w:p w14:paraId="523EB4A7" w14:textId="77777777" w:rsidR="00591632" w:rsidRDefault="00591632" w:rsidP="00591632">
      <w:pPr>
        <w:pStyle w:val="ListParagraph"/>
        <w:numPr>
          <w:ilvl w:val="0"/>
          <w:numId w:val="21"/>
        </w:numPr>
        <w:spacing w:after="240"/>
        <w:ind w:left="1134" w:hanging="567"/>
        <w:contextualSpacing w:val="0"/>
        <w:jc w:val="both"/>
        <w:rPr>
          <w:szCs w:val="24"/>
        </w:rPr>
      </w:pPr>
      <w:r w:rsidRPr="008958F4">
        <w:rPr>
          <w:szCs w:val="24"/>
        </w:rPr>
        <w:t>prior to loan approval and as part of the loan origination and approval process, documented, assessed and verified the ability of the borr</w:t>
      </w:r>
      <w:r w:rsidRPr="00385ABA">
        <w:rPr>
          <w:szCs w:val="24"/>
        </w:rPr>
        <w:t xml:space="preserve">owers to meet their repayment </w:t>
      </w:r>
      <w:proofErr w:type="gramStart"/>
      <w:r w:rsidRPr="00385ABA">
        <w:rPr>
          <w:szCs w:val="24"/>
        </w:rPr>
        <w:t>obligation;</w:t>
      </w:r>
      <w:proofErr w:type="gramEnd"/>
    </w:p>
    <w:p w14:paraId="523EB4A8" w14:textId="77777777" w:rsidR="00591632" w:rsidRDefault="00591632" w:rsidP="00591632">
      <w:pPr>
        <w:pStyle w:val="ListParagraph"/>
        <w:numPr>
          <w:ilvl w:val="0"/>
          <w:numId w:val="21"/>
        </w:numPr>
        <w:spacing w:after="240"/>
        <w:ind w:left="1134" w:hanging="567"/>
        <w:contextualSpacing w:val="0"/>
        <w:jc w:val="both"/>
        <w:rPr>
          <w:szCs w:val="24"/>
        </w:rPr>
      </w:pPr>
      <w:r w:rsidRPr="00385ABA">
        <w:rPr>
          <w:szCs w:val="24"/>
        </w:rPr>
        <w:t xml:space="preserve">valued any residential property offered as </w:t>
      </w:r>
      <w:proofErr w:type="gramStart"/>
      <w:r w:rsidRPr="00385ABA">
        <w:rPr>
          <w:szCs w:val="24"/>
        </w:rPr>
        <w:t>security;</w:t>
      </w:r>
      <w:proofErr w:type="gramEnd"/>
    </w:p>
    <w:p w14:paraId="523EB4A9" w14:textId="77777777" w:rsidR="00591632" w:rsidRDefault="00591632" w:rsidP="00591632">
      <w:pPr>
        <w:pStyle w:val="ListParagraph"/>
        <w:numPr>
          <w:ilvl w:val="0"/>
          <w:numId w:val="21"/>
        </w:numPr>
        <w:spacing w:after="240"/>
        <w:ind w:left="1134" w:hanging="567"/>
        <w:contextualSpacing w:val="0"/>
        <w:jc w:val="both"/>
        <w:rPr>
          <w:szCs w:val="24"/>
        </w:rPr>
      </w:pPr>
      <w:r w:rsidRPr="00385ABA">
        <w:rPr>
          <w:szCs w:val="24"/>
        </w:rPr>
        <w:t>established that any property offered as security for the loan is readily marketable; and</w:t>
      </w:r>
    </w:p>
    <w:p w14:paraId="523EB4AA" w14:textId="77777777" w:rsidR="00591632" w:rsidRDefault="00591632" w:rsidP="00591632">
      <w:pPr>
        <w:pStyle w:val="ListParagraph"/>
        <w:numPr>
          <w:ilvl w:val="0"/>
          <w:numId w:val="21"/>
        </w:numPr>
        <w:spacing w:after="240"/>
        <w:ind w:left="1134" w:hanging="567"/>
        <w:contextualSpacing w:val="0"/>
        <w:jc w:val="both"/>
        <w:rPr>
          <w:szCs w:val="24"/>
        </w:rPr>
      </w:pPr>
      <w:r w:rsidRPr="00385ABA">
        <w:rPr>
          <w:szCs w:val="24"/>
        </w:rPr>
        <w:t xml:space="preserve">the </w:t>
      </w:r>
      <w:r>
        <w:rPr>
          <w:szCs w:val="24"/>
        </w:rPr>
        <w:t>regulated institution</w:t>
      </w:r>
      <w:r w:rsidRPr="00385ABA">
        <w:rPr>
          <w:szCs w:val="24"/>
        </w:rPr>
        <w:t xml:space="preserve"> </w:t>
      </w:r>
      <w:proofErr w:type="gramStart"/>
      <w:r w:rsidRPr="00385ABA">
        <w:rPr>
          <w:szCs w:val="24"/>
        </w:rPr>
        <w:t>has at all times</w:t>
      </w:r>
      <w:proofErr w:type="gramEnd"/>
      <w:r w:rsidRPr="00385ABA">
        <w:rPr>
          <w:szCs w:val="24"/>
        </w:rPr>
        <w:t xml:space="preserve"> unequivocal enforcement rights over the mortgaged property (including a power of sale and a right to possession) in the event of default by the borrower.</w:t>
      </w:r>
    </w:p>
    <w:p w14:paraId="523EB4AB" w14:textId="77777777" w:rsidR="00591632" w:rsidRDefault="00591632" w:rsidP="00591632">
      <w:pPr>
        <w:spacing w:after="240"/>
        <w:ind w:left="567"/>
        <w:jc w:val="both"/>
      </w:pPr>
      <w:r w:rsidRPr="00385ABA">
        <w:t xml:space="preserve">The </w:t>
      </w:r>
      <w:r>
        <w:t>regulated institution</w:t>
      </w:r>
      <w:r w:rsidRPr="00385ABA">
        <w:t xml:space="preserve"> must also revalue any property offered as security for such loans when it becomes aware of a material change in the market value of property in an area or region.</w:t>
      </w:r>
    </w:p>
    <w:p w14:paraId="523EB4AC" w14:textId="77777777" w:rsidR="00591632" w:rsidRDefault="00591632" w:rsidP="00591632">
      <w:pPr>
        <w:pStyle w:val="ListParagraph"/>
        <w:numPr>
          <w:ilvl w:val="0"/>
          <w:numId w:val="19"/>
        </w:numPr>
        <w:spacing w:after="240"/>
        <w:ind w:left="567" w:hanging="567"/>
        <w:contextualSpacing w:val="0"/>
        <w:jc w:val="both"/>
        <w:rPr>
          <w:szCs w:val="24"/>
        </w:rPr>
      </w:pPr>
      <w:r w:rsidRPr="00385ABA">
        <w:rPr>
          <w:szCs w:val="24"/>
        </w:rPr>
        <w:t xml:space="preserve">Loans that are secured by residential properties but fail to meet the criteria detailed in paragraph </w:t>
      </w:r>
      <w:r w:rsidR="000654ED">
        <w:rPr>
          <w:szCs w:val="24"/>
        </w:rPr>
        <w:fldChar w:fldCharType="begin"/>
      </w:r>
      <w:r w:rsidR="000654ED">
        <w:rPr>
          <w:szCs w:val="24"/>
        </w:rPr>
        <w:instrText xml:space="preserve"> REF _Ref387848529 \r \h </w:instrText>
      </w:r>
      <w:r w:rsidR="000654ED">
        <w:rPr>
          <w:szCs w:val="24"/>
        </w:rPr>
      </w:r>
      <w:r w:rsidR="000654ED">
        <w:rPr>
          <w:szCs w:val="24"/>
        </w:rPr>
        <w:fldChar w:fldCharType="separate"/>
      </w:r>
      <w:r w:rsidR="00C421EB">
        <w:rPr>
          <w:szCs w:val="24"/>
        </w:rPr>
        <w:t>10</w:t>
      </w:r>
      <w:r w:rsidR="000654ED">
        <w:rPr>
          <w:szCs w:val="24"/>
        </w:rPr>
        <w:fldChar w:fldCharType="end"/>
      </w:r>
      <w:r w:rsidRPr="00385ABA">
        <w:rPr>
          <w:szCs w:val="24"/>
        </w:rPr>
        <w:t xml:space="preserve"> of this Attachment must be classified as other </w:t>
      </w:r>
      <w:r>
        <w:rPr>
          <w:szCs w:val="24"/>
        </w:rPr>
        <w:t>residential mortgages</w:t>
      </w:r>
      <w:r w:rsidRPr="00385ABA">
        <w:rPr>
          <w:szCs w:val="24"/>
        </w:rPr>
        <w:t xml:space="preserve">. Such loans may be reclassified as standard residential mortgages where the borrowers have met their contractual loan repayments to the </w:t>
      </w:r>
      <w:r>
        <w:rPr>
          <w:szCs w:val="24"/>
        </w:rPr>
        <w:t>regulated institution</w:t>
      </w:r>
      <w:r w:rsidRPr="00385ABA">
        <w:rPr>
          <w:szCs w:val="24"/>
        </w:rPr>
        <w:t xml:space="preserve"> continuously over the previous 36 months.</w:t>
      </w:r>
    </w:p>
    <w:p w14:paraId="523EB4AD" w14:textId="77777777" w:rsidR="00591632" w:rsidRDefault="00591632" w:rsidP="00591632">
      <w:pPr>
        <w:pStyle w:val="ListParagraph"/>
        <w:numPr>
          <w:ilvl w:val="0"/>
          <w:numId w:val="19"/>
        </w:numPr>
        <w:spacing w:after="240"/>
        <w:ind w:left="567" w:hanging="567"/>
        <w:jc w:val="both"/>
        <w:rPr>
          <w:szCs w:val="24"/>
        </w:rPr>
      </w:pPr>
      <w:bookmarkStart w:id="11" w:name="_Ref307817075"/>
      <w:r w:rsidRPr="00385ABA">
        <w:rPr>
          <w:szCs w:val="24"/>
        </w:rPr>
        <w:t xml:space="preserve">LMI refers to lenders mortgage insurance. </w:t>
      </w:r>
      <w:r>
        <w:rPr>
          <w:szCs w:val="24"/>
        </w:rPr>
        <w:t>‘</w:t>
      </w:r>
      <w:r w:rsidRPr="00385ABA">
        <w:rPr>
          <w:szCs w:val="24"/>
        </w:rPr>
        <w:t>&gt;40% LMI</w:t>
      </w:r>
      <w:r>
        <w:rPr>
          <w:szCs w:val="24"/>
        </w:rPr>
        <w:t>’</w:t>
      </w:r>
      <w:r w:rsidRPr="00385ABA">
        <w:rPr>
          <w:szCs w:val="24"/>
        </w:rPr>
        <w:t xml:space="preserve"> refers to mortgages where insurance cover has been obtained for all realised losses up to at least 40 per cent of the higher of the original loan amount and outstanding loan amount (if higher than the original loan amount). Such insurance must be with a lenders mortgage insurer that is regulated by APRA.</w:t>
      </w:r>
      <w:bookmarkEnd w:id="11"/>
    </w:p>
    <w:p w14:paraId="523EB4AE" w14:textId="77777777" w:rsidR="00591632" w:rsidRPr="000E129C" w:rsidRDefault="00591632" w:rsidP="00591632">
      <w:pPr>
        <w:jc w:val="both"/>
        <w:rPr>
          <w:rFonts w:ascii="Arial" w:hAnsi="Arial"/>
          <w:b/>
          <w:bCs/>
          <w:szCs w:val="24"/>
        </w:rPr>
      </w:pPr>
    </w:p>
    <w:p w14:paraId="523EB4AF" w14:textId="77777777" w:rsidR="00591632" w:rsidRPr="00036117" w:rsidRDefault="00591632" w:rsidP="00591632">
      <w:pPr>
        <w:pStyle w:val="Heading"/>
        <w:spacing w:before="120" w:after="240"/>
        <w:jc w:val="both"/>
        <w:rPr>
          <w:rFonts w:ascii="Arial" w:hAnsi="Arial"/>
          <w:bCs/>
          <w:sz w:val="24"/>
          <w:szCs w:val="24"/>
        </w:rPr>
      </w:pPr>
      <w:r>
        <w:rPr>
          <w:rFonts w:ascii="Arial" w:hAnsi="Arial"/>
          <w:bCs/>
          <w:sz w:val="24"/>
          <w:szCs w:val="24"/>
        </w:rPr>
        <w:br w:type="page"/>
      </w:r>
      <w:r w:rsidRPr="00036117">
        <w:rPr>
          <w:rFonts w:ascii="Arial" w:hAnsi="Arial"/>
          <w:bCs/>
          <w:sz w:val="24"/>
          <w:szCs w:val="24"/>
        </w:rPr>
        <w:lastRenderedPageBreak/>
        <w:t>Attachment D</w:t>
      </w:r>
    </w:p>
    <w:p w14:paraId="523EB4B0" w14:textId="77777777" w:rsidR="00591632" w:rsidRPr="00036117" w:rsidRDefault="00591632" w:rsidP="00591632">
      <w:pPr>
        <w:pStyle w:val="Heading"/>
        <w:spacing w:before="120" w:after="240"/>
        <w:jc w:val="both"/>
        <w:rPr>
          <w:rFonts w:ascii="Arial" w:hAnsi="Arial"/>
          <w:bCs/>
          <w:sz w:val="24"/>
          <w:szCs w:val="24"/>
        </w:rPr>
      </w:pPr>
      <w:r w:rsidRPr="00036117">
        <w:rPr>
          <w:rFonts w:ascii="Arial" w:hAnsi="Arial"/>
          <w:bCs/>
          <w:sz w:val="24"/>
          <w:szCs w:val="24"/>
        </w:rPr>
        <w:t xml:space="preserve">Level 2 </w:t>
      </w:r>
      <w:r>
        <w:rPr>
          <w:rFonts w:ascii="Arial" w:hAnsi="Arial"/>
          <w:bCs/>
          <w:sz w:val="24"/>
          <w:szCs w:val="24"/>
        </w:rPr>
        <w:t>i</w:t>
      </w:r>
      <w:r w:rsidRPr="00036117">
        <w:rPr>
          <w:rFonts w:ascii="Arial" w:hAnsi="Arial"/>
          <w:bCs/>
          <w:sz w:val="24"/>
          <w:szCs w:val="24"/>
        </w:rPr>
        <w:t xml:space="preserve">nsurance </w:t>
      </w:r>
      <w:r>
        <w:rPr>
          <w:rFonts w:ascii="Arial" w:hAnsi="Arial"/>
          <w:bCs/>
          <w:sz w:val="24"/>
          <w:szCs w:val="24"/>
        </w:rPr>
        <w:t>g</w:t>
      </w:r>
      <w:r w:rsidRPr="00036117">
        <w:rPr>
          <w:rFonts w:ascii="Arial" w:hAnsi="Arial"/>
          <w:bCs/>
          <w:sz w:val="24"/>
          <w:szCs w:val="24"/>
        </w:rPr>
        <w:t>roup</w:t>
      </w:r>
      <w:r>
        <w:rPr>
          <w:rFonts w:ascii="Arial" w:hAnsi="Arial"/>
          <w:bCs/>
          <w:sz w:val="24"/>
          <w:szCs w:val="24"/>
        </w:rPr>
        <w:t>s</w:t>
      </w:r>
    </w:p>
    <w:p w14:paraId="523EB4B1" w14:textId="77777777" w:rsidR="00591632" w:rsidRPr="00335C30" w:rsidRDefault="00591632" w:rsidP="00335C30">
      <w:pPr>
        <w:pStyle w:val="BodyText"/>
        <w:numPr>
          <w:ilvl w:val="0"/>
          <w:numId w:val="47"/>
        </w:numPr>
        <w:rPr>
          <w:sz w:val="24"/>
          <w:szCs w:val="24"/>
        </w:rPr>
      </w:pPr>
      <w:r w:rsidRPr="00335C30">
        <w:rPr>
          <w:sz w:val="24"/>
          <w:szCs w:val="24"/>
        </w:rPr>
        <w:t>A</w:t>
      </w:r>
      <w:r w:rsidRPr="00335C30">
        <w:rPr>
          <w:b/>
          <w:sz w:val="24"/>
          <w:szCs w:val="24"/>
        </w:rPr>
        <w:t xml:space="preserve"> </w:t>
      </w:r>
      <w:r w:rsidRPr="00335C30">
        <w:rPr>
          <w:sz w:val="24"/>
          <w:szCs w:val="24"/>
        </w:rPr>
        <w:t>Level 2 insurance group is:</w:t>
      </w:r>
    </w:p>
    <w:p w14:paraId="523EB4B2" w14:textId="77777777" w:rsidR="00591632" w:rsidRDefault="00591632" w:rsidP="00591632">
      <w:pPr>
        <w:pStyle w:val="BodyText"/>
        <w:numPr>
          <w:ilvl w:val="2"/>
          <w:numId w:val="3"/>
        </w:numPr>
        <w:tabs>
          <w:tab w:val="clear" w:pos="1134"/>
          <w:tab w:val="num" w:pos="567"/>
        </w:tabs>
        <w:rPr>
          <w:sz w:val="24"/>
          <w:szCs w:val="24"/>
        </w:rPr>
      </w:pPr>
      <w:r w:rsidRPr="00956E86">
        <w:rPr>
          <w:sz w:val="24"/>
          <w:szCs w:val="24"/>
          <w:lang w:eastAsia="en-US"/>
        </w:rPr>
        <w:t>where there is no authorised NOHC</w:t>
      </w:r>
      <w:r w:rsidRPr="00956E86">
        <w:rPr>
          <w:sz w:val="24"/>
          <w:szCs w:val="24"/>
        </w:rPr>
        <w:t xml:space="preserve"> and an insurer has controlled entities, the consolidation of the insurer and its controlled entities, subject to paragraphs </w:t>
      </w:r>
      <w:r w:rsidR="00335C30">
        <w:rPr>
          <w:sz w:val="24"/>
          <w:szCs w:val="24"/>
        </w:rPr>
        <w:fldChar w:fldCharType="begin"/>
      </w:r>
      <w:r w:rsidR="00335C30">
        <w:rPr>
          <w:sz w:val="24"/>
          <w:szCs w:val="24"/>
        </w:rPr>
        <w:instrText xml:space="preserve"> REF _Ref307816256 \r \h </w:instrText>
      </w:r>
      <w:r w:rsidR="00335C30">
        <w:rPr>
          <w:sz w:val="24"/>
          <w:szCs w:val="24"/>
        </w:rPr>
      </w:r>
      <w:r w:rsidR="00335C30">
        <w:rPr>
          <w:sz w:val="24"/>
          <w:szCs w:val="24"/>
        </w:rPr>
        <w:fldChar w:fldCharType="separate"/>
      </w:r>
      <w:r w:rsidR="00C421EB">
        <w:rPr>
          <w:sz w:val="24"/>
          <w:szCs w:val="24"/>
        </w:rPr>
        <w:t>2</w:t>
      </w:r>
      <w:r w:rsidR="00335C30">
        <w:rPr>
          <w:sz w:val="24"/>
          <w:szCs w:val="24"/>
        </w:rPr>
        <w:fldChar w:fldCharType="end"/>
      </w:r>
      <w:r w:rsidRPr="00956E86">
        <w:rPr>
          <w:sz w:val="24"/>
          <w:szCs w:val="24"/>
        </w:rPr>
        <w:t xml:space="preserve"> to </w:t>
      </w:r>
      <w:r w:rsidR="00335C30">
        <w:rPr>
          <w:sz w:val="24"/>
          <w:szCs w:val="24"/>
        </w:rPr>
        <w:fldChar w:fldCharType="begin"/>
      </w:r>
      <w:r w:rsidR="00335C30">
        <w:rPr>
          <w:sz w:val="24"/>
          <w:szCs w:val="24"/>
        </w:rPr>
        <w:instrText xml:space="preserve"> REF _Ref307816270 \r \h </w:instrText>
      </w:r>
      <w:r w:rsidR="00335C30">
        <w:rPr>
          <w:sz w:val="24"/>
          <w:szCs w:val="24"/>
        </w:rPr>
      </w:r>
      <w:r w:rsidR="00335C30">
        <w:rPr>
          <w:sz w:val="24"/>
          <w:szCs w:val="24"/>
        </w:rPr>
        <w:fldChar w:fldCharType="separate"/>
      </w:r>
      <w:r w:rsidR="00C421EB">
        <w:rPr>
          <w:sz w:val="24"/>
          <w:szCs w:val="24"/>
        </w:rPr>
        <w:t>4</w:t>
      </w:r>
      <w:r w:rsidR="00335C30">
        <w:rPr>
          <w:sz w:val="24"/>
          <w:szCs w:val="24"/>
        </w:rPr>
        <w:fldChar w:fldCharType="end"/>
      </w:r>
      <w:r w:rsidRPr="00853C3E">
        <w:rPr>
          <w:sz w:val="24"/>
          <w:szCs w:val="24"/>
        </w:rPr>
        <w:t xml:space="preserve"> (inclusive)</w:t>
      </w:r>
      <w:r>
        <w:rPr>
          <w:sz w:val="24"/>
          <w:szCs w:val="24"/>
        </w:rPr>
        <w:t xml:space="preserve"> of this Attachment</w:t>
      </w:r>
      <w:r w:rsidRPr="00853C3E">
        <w:rPr>
          <w:sz w:val="24"/>
          <w:szCs w:val="24"/>
        </w:rPr>
        <w:t>; or</w:t>
      </w:r>
    </w:p>
    <w:p w14:paraId="523EB4B3" w14:textId="77777777" w:rsidR="00591632" w:rsidRDefault="00591632" w:rsidP="00591632">
      <w:pPr>
        <w:pStyle w:val="BodyText"/>
        <w:numPr>
          <w:ilvl w:val="2"/>
          <w:numId w:val="3"/>
        </w:numPr>
        <w:tabs>
          <w:tab w:val="num" w:pos="567"/>
        </w:tabs>
        <w:rPr>
          <w:sz w:val="24"/>
          <w:szCs w:val="24"/>
        </w:rPr>
      </w:pPr>
      <w:r w:rsidRPr="00853C3E">
        <w:rPr>
          <w:sz w:val="24"/>
          <w:szCs w:val="24"/>
        </w:rPr>
        <w:t xml:space="preserve">where there is an authorised NOHC, the consolidation of the authorised NOHC and its controlled entities, subject to </w:t>
      </w:r>
      <w:r w:rsidRPr="00956E86">
        <w:rPr>
          <w:sz w:val="24"/>
          <w:szCs w:val="24"/>
        </w:rPr>
        <w:t xml:space="preserve">paragraphs </w:t>
      </w:r>
      <w:r w:rsidR="00335C30">
        <w:rPr>
          <w:sz w:val="24"/>
          <w:szCs w:val="24"/>
        </w:rPr>
        <w:fldChar w:fldCharType="begin"/>
      </w:r>
      <w:r w:rsidR="00335C30">
        <w:rPr>
          <w:sz w:val="24"/>
          <w:szCs w:val="24"/>
        </w:rPr>
        <w:instrText xml:space="preserve"> REF _Ref307816256 \r \h </w:instrText>
      </w:r>
      <w:r w:rsidR="00335C30">
        <w:rPr>
          <w:sz w:val="24"/>
          <w:szCs w:val="24"/>
        </w:rPr>
      </w:r>
      <w:r w:rsidR="00335C30">
        <w:rPr>
          <w:sz w:val="24"/>
          <w:szCs w:val="24"/>
        </w:rPr>
        <w:fldChar w:fldCharType="separate"/>
      </w:r>
      <w:r w:rsidR="00C421EB">
        <w:rPr>
          <w:sz w:val="24"/>
          <w:szCs w:val="24"/>
        </w:rPr>
        <w:t>2</w:t>
      </w:r>
      <w:r w:rsidR="00335C30">
        <w:rPr>
          <w:sz w:val="24"/>
          <w:szCs w:val="24"/>
        </w:rPr>
        <w:fldChar w:fldCharType="end"/>
      </w:r>
      <w:r w:rsidRPr="00956E86">
        <w:rPr>
          <w:sz w:val="24"/>
          <w:szCs w:val="24"/>
        </w:rPr>
        <w:t xml:space="preserve"> to </w:t>
      </w:r>
      <w:r w:rsidR="00335C30">
        <w:rPr>
          <w:sz w:val="24"/>
          <w:szCs w:val="24"/>
        </w:rPr>
        <w:fldChar w:fldCharType="begin"/>
      </w:r>
      <w:r w:rsidR="00335C30">
        <w:rPr>
          <w:sz w:val="24"/>
          <w:szCs w:val="24"/>
        </w:rPr>
        <w:instrText xml:space="preserve"> REF _Ref307816270 \r \h </w:instrText>
      </w:r>
      <w:r w:rsidR="00335C30">
        <w:rPr>
          <w:sz w:val="24"/>
          <w:szCs w:val="24"/>
        </w:rPr>
      </w:r>
      <w:r w:rsidR="00335C30">
        <w:rPr>
          <w:sz w:val="24"/>
          <w:szCs w:val="24"/>
        </w:rPr>
        <w:fldChar w:fldCharType="separate"/>
      </w:r>
      <w:r w:rsidR="00C421EB">
        <w:rPr>
          <w:sz w:val="24"/>
          <w:szCs w:val="24"/>
        </w:rPr>
        <w:t>4</w:t>
      </w:r>
      <w:r w:rsidR="00335C30">
        <w:rPr>
          <w:sz w:val="24"/>
          <w:szCs w:val="24"/>
        </w:rPr>
        <w:fldChar w:fldCharType="end"/>
      </w:r>
      <w:r w:rsidRPr="00956E86">
        <w:rPr>
          <w:sz w:val="24"/>
          <w:szCs w:val="24"/>
        </w:rPr>
        <w:t xml:space="preserve"> (inclusive</w:t>
      </w:r>
      <w:r w:rsidRPr="00853C3E">
        <w:rPr>
          <w:sz w:val="24"/>
          <w:szCs w:val="24"/>
        </w:rPr>
        <w:t>)</w:t>
      </w:r>
      <w:r>
        <w:rPr>
          <w:sz w:val="24"/>
          <w:szCs w:val="24"/>
        </w:rPr>
        <w:t xml:space="preserve"> of this Attachment</w:t>
      </w:r>
      <w:r w:rsidRPr="00853C3E">
        <w:t xml:space="preserve">; </w:t>
      </w:r>
      <w:r w:rsidRPr="00853C3E">
        <w:rPr>
          <w:sz w:val="24"/>
          <w:szCs w:val="24"/>
        </w:rPr>
        <w:t>or</w:t>
      </w:r>
    </w:p>
    <w:p w14:paraId="523EB4B4" w14:textId="77777777" w:rsidR="00591632" w:rsidRDefault="00591632" w:rsidP="00591632">
      <w:pPr>
        <w:pStyle w:val="Default"/>
        <w:numPr>
          <w:ilvl w:val="0"/>
          <w:numId w:val="3"/>
        </w:numPr>
        <w:spacing w:after="240"/>
        <w:jc w:val="both"/>
        <w:rPr>
          <w:color w:val="auto"/>
        </w:rPr>
      </w:pPr>
      <w:r w:rsidRPr="00853C3E">
        <w:rPr>
          <w:color w:val="auto"/>
        </w:rPr>
        <w:t xml:space="preserve">where there is no authorised NOHC and an insurer does not have controlled entities, the consolidation of the insurer and any entity that meets the following criteria: </w:t>
      </w:r>
    </w:p>
    <w:p w14:paraId="523EB4B5" w14:textId="77777777" w:rsidR="00591632" w:rsidRDefault="00591632" w:rsidP="00591632">
      <w:pPr>
        <w:pStyle w:val="Default"/>
        <w:numPr>
          <w:ilvl w:val="0"/>
          <w:numId w:val="15"/>
        </w:numPr>
        <w:tabs>
          <w:tab w:val="left" w:pos="1701"/>
        </w:tabs>
        <w:spacing w:after="267"/>
        <w:ind w:left="1701" w:hanging="567"/>
        <w:jc w:val="both"/>
        <w:rPr>
          <w:color w:val="auto"/>
        </w:rPr>
      </w:pPr>
      <w:r w:rsidRPr="00853C3E">
        <w:rPr>
          <w:color w:val="auto"/>
        </w:rPr>
        <w:t xml:space="preserve">the entity is subject to control by an entity or group of related entities that are the same or very similar to the entity or group of related entities that control the </w:t>
      </w:r>
      <w:proofErr w:type="gramStart"/>
      <w:r w:rsidRPr="00853C3E">
        <w:rPr>
          <w:color w:val="auto"/>
        </w:rPr>
        <w:t>insurer;</w:t>
      </w:r>
      <w:proofErr w:type="gramEnd"/>
      <w:r w:rsidRPr="00853C3E">
        <w:rPr>
          <w:color w:val="auto"/>
        </w:rPr>
        <w:t xml:space="preserve"> </w:t>
      </w:r>
    </w:p>
    <w:p w14:paraId="523EB4B6" w14:textId="77777777" w:rsidR="00591632" w:rsidRDefault="00591632" w:rsidP="00591632">
      <w:pPr>
        <w:pStyle w:val="Default"/>
        <w:numPr>
          <w:ilvl w:val="0"/>
          <w:numId w:val="15"/>
        </w:numPr>
        <w:tabs>
          <w:tab w:val="left" w:pos="1701"/>
        </w:tabs>
        <w:spacing w:after="267"/>
        <w:ind w:left="1701" w:hanging="567"/>
        <w:jc w:val="both"/>
        <w:rPr>
          <w:color w:val="auto"/>
        </w:rPr>
      </w:pPr>
      <w:r>
        <w:rPr>
          <w:color w:val="auto"/>
        </w:rPr>
        <w:t>the entity</w:t>
      </w:r>
      <w:r w:rsidRPr="00853C3E">
        <w:rPr>
          <w:color w:val="auto"/>
        </w:rPr>
        <w:t xml:space="preserve"> conducts insurance business or business related to insurance business</w:t>
      </w:r>
      <w:r>
        <w:rPr>
          <w:rStyle w:val="FootnoteReference"/>
          <w:color w:val="auto"/>
        </w:rPr>
        <w:footnoteReference w:id="4"/>
      </w:r>
      <w:r w:rsidRPr="00853C3E">
        <w:rPr>
          <w:color w:val="auto"/>
        </w:rPr>
        <w:t xml:space="preserve">; and  </w:t>
      </w:r>
    </w:p>
    <w:p w14:paraId="523EB4B7" w14:textId="77777777" w:rsidR="00591632" w:rsidRDefault="00591632" w:rsidP="00591632">
      <w:pPr>
        <w:pStyle w:val="Default"/>
        <w:numPr>
          <w:ilvl w:val="0"/>
          <w:numId w:val="15"/>
        </w:numPr>
        <w:spacing w:after="267"/>
        <w:ind w:left="1701" w:hanging="567"/>
        <w:jc w:val="both"/>
        <w:rPr>
          <w:color w:val="auto"/>
        </w:rPr>
      </w:pPr>
      <w:r w:rsidRPr="00853C3E">
        <w:rPr>
          <w:color w:val="auto"/>
        </w:rPr>
        <w:t xml:space="preserve">APRA determines, in writing, that the entity is to be consolidated. </w:t>
      </w:r>
    </w:p>
    <w:p w14:paraId="523EB4B8" w14:textId="77777777" w:rsidR="00591632" w:rsidRPr="003B393D" w:rsidRDefault="00591632" w:rsidP="00591632">
      <w:pPr>
        <w:pStyle w:val="BodyText"/>
        <w:numPr>
          <w:ilvl w:val="0"/>
          <w:numId w:val="0"/>
        </w:numPr>
        <w:ind w:left="540"/>
        <w:rPr>
          <w:sz w:val="24"/>
          <w:szCs w:val="24"/>
        </w:rPr>
      </w:pPr>
      <w:r w:rsidRPr="003B393D">
        <w:rPr>
          <w:sz w:val="24"/>
          <w:szCs w:val="24"/>
        </w:rPr>
        <w:t xml:space="preserve">However, APRA may, in writing, determine that a group that meets </w:t>
      </w:r>
      <w:r>
        <w:rPr>
          <w:sz w:val="24"/>
          <w:szCs w:val="24"/>
        </w:rPr>
        <w:t>sub</w:t>
      </w:r>
      <w:r w:rsidRPr="003B393D">
        <w:rPr>
          <w:sz w:val="24"/>
          <w:szCs w:val="24"/>
        </w:rPr>
        <w:t>paragraph (a) or</w:t>
      </w:r>
      <w:r>
        <w:rPr>
          <w:sz w:val="24"/>
          <w:szCs w:val="24"/>
        </w:rPr>
        <w:t xml:space="preserve"> </w:t>
      </w:r>
      <w:r w:rsidRPr="003B393D">
        <w:rPr>
          <w:sz w:val="24"/>
          <w:szCs w:val="24"/>
        </w:rPr>
        <w:t>(b) is not to be treated as a Level 2 insurance group.</w:t>
      </w:r>
    </w:p>
    <w:p w14:paraId="523EB4B9" w14:textId="77777777" w:rsidR="00591632" w:rsidRPr="003B393D" w:rsidRDefault="00591632" w:rsidP="00591632">
      <w:pPr>
        <w:pStyle w:val="BodyText"/>
        <w:rPr>
          <w:sz w:val="24"/>
          <w:szCs w:val="24"/>
        </w:rPr>
      </w:pPr>
      <w:bookmarkStart w:id="12" w:name="_Ref307816256"/>
      <w:r w:rsidRPr="003B393D">
        <w:rPr>
          <w:sz w:val="24"/>
          <w:szCs w:val="24"/>
        </w:rPr>
        <w:t>For the purposes of the prudential supervision of insurance groups at Level 2, all entities conducting insurance business (subject to paragraphs</w:t>
      </w:r>
      <w:r w:rsidRPr="00956E86">
        <w:rPr>
          <w:sz w:val="24"/>
          <w:szCs w:val="24"/>
        </w:rPr>
        <w:t xml:space="preserve"> </w:t>
      </w:r>
      <w:r w:rsidR="00335C30">
        <w:rPr>
          <w:sz w:val="24"/>
          <w:szCs w:val="24"/>
        </w:rPr>
        <w:fldChar w:fldCharType="begin"/>
      </w:r>
      <w:r w:rsidR="00335C30">
        <w:rPr>
          <w:sz w:val="24"/>
          <w:szCs w:val="24"/>
        </w:rPr>
        <w:instrText xml:space="preserve"> REF _Ref307817609 \r \h </w:instrText>
      </w:r>
      <w:r w:rsidR="00335C30">
        <w:rPr>
          <w:sz w:val="24"/>
          <w:szCs w:val="24"/>
        </w:rPr>
      </w:r>
      <w:r w:rsidR="00335C30">
        <w:rPr>
          <w:sz w:val="24"/>
          <w:szCs w:val="24"/>
        </w:rPr>
        <w:fldChar w:fldCharType="separate"/>
      </w:r>
      <w:r w:rsidR="00C421EB">
        <w:rPr>
          <w:sz w:val="24"/>
          <w:szCs w:val="24"/>
        </w:rPr>
        <w:t>3</w:t>
      </w:r>
      <w:r w:rsidR="00335C30">
        <w:rPr>
          <w:sz w:val="24"/>
          <w:szCs w:val="24"/>
        </w:rPr>
        <w:fldChar w:fldCharType="end"/>
      </w:r>
      <w:r w:rsidRPr="00956E86">
        <w:rPr>
          <w:sz w:val="24"/>
          <w:szCs w:val="24"/>
        </w:rPr>
        <w:t xml:space="preserve"> and </w:t>
      </w:r>
      <w:r w:rsidR="00335C30">
        <w:rPr>
          <w:sz w:val="24"/>
          <w:szCs w:val="24"/>
        </w:rPr>
        <w:fldChar w:fldCharType="begin"/>
      </w:r>
      <w:r w:rsidR="00335C30">
        <w:rPr>
          <w:sz w:val="24"/>
          <w:szCs w:val="24"/>
        </w:rPr>
        <w:instrText xml:space="preserve"> REF _Ref307816270 \r \h </w:instrText>
      </w:r>
      <w:r w:rsidR="00335C30">
        <w:rPr>
          <w:sz w:val="24"/>
          <w:szCs w:val="24"/>
        </w:rPr>
      </w:r>
      <w:r w:rsidR="00335C30">
        <w:rPr>
          <w:sz w:val="24"/>
          <w:szCs w:val="24"/>
        </w:rPr>
        <w:fldChar w:fldCharType="separate"/>
      </w:r>
      <w:r w:rsidR="00C421EB">
        <w:rPr>
          <w:sz w:val="24"/>
          <w:szCs w:val="24"/>
        </w:rPr>
        <w:t>4</w:t>
      </w:r>
      <w:r w:rsidR="00335C30">
        <w:rPr>
          <w:sz w:val="24"/>
          <w:szCs w:val="24"/>
        </w:rPr>
        <w:fldChar w:fldCharType="end"/>
      </w:r>
      <w:r>
        <w:rPr>
          <w:sz w:val="24"/>
          <w:szCs w:val="24"/>
        </w:rPr>
        <w:t xml:space="preserve"> of this Attachment</w:t>
      </w:r>
      <w:r w:rsidRPr="00956E86">
        <w:rPr>
          <w:sz w:val="24"/>
          <w:szCs w:val="24"/>
        </w:rPr>
        <w:t>)</w:t>
      </w:r>
      <w:r w:rsidRPr="003B393D">
        <w:rPr>
          <w:sz w:val="24"/>
          <w:szCs w:val="24"/>
        </w:rPr>
        <w:t xml:space="preserve">, both regulated and unregulated, within the insurance group must be consolidated. Consolidation at Level 2 must be in accordance with the requirements of </w:t>
      </w:r>
      <w:r>
        <w:rPr>
          <w:sz w:val="24"/>
          <w:szCs w:val="24"/>
        </w:rPr>
        <w:t xml:space="preserve">the </w:t>
      </w:r>
      <w:r w:rsidRPr="003B393D">
        <w:rPr>
          <w:sz w:val="24"/>
          <w:szCs w:val="24"/>
        </w:rPr>
        <w:t>Australian Accounting Standards for the production of consolidated financial statements except where APRA determines under paragraph</w:t>
      </w:r>
      <w:r w:rsidRPr="00956E86">
        <w:rPr>
          <w:sz w:val="24"/>
          <w:szCs w:val="24"/>
        </w:rPr>
        <w:t xml:space="preserve"> </w:t>
      </w:r>
      <w:r w:rsidR="00335C30">
        <w:rPr>
          <w:sz w:val="24"/>
          <w:szCs w:val="24"/>
        </w:rPr>
        <w:fldChar w:fldCharType="begin"/>
      </w:r>
      <w:r w:rsidR="00335C30">
        <w:rPr>
          <w:sz w:val="24"/>
          <w:szCs w:val="24"/>
        </w:rPr>
        <w:instrText xml:space="preserve"> REF _Ref307817609 \r \h </w:instrText>
      </w:r>
      <w:r w:rsidR="00335C30">
        <w:rPr>
          <w:sz w:val="24"/>
          <w:szCs w:val="24"/>
        </w:rPr>
      </w:r>
      <w:r w:rsidR="00335C30">
        <w:rPr>
          <w:sz w:val="24"/>
          <w:szCs w:val="24"/>
        </w:rPr>
        <w:fldChar w:fldCharType="separate"/>
      </w:r>
      <w:r w:rsidR="00C421EB">
        <w:rPr>
          <w:sz w:val="24"/>
          <w:szCs w:val="24"/>
        </w:rPr>
        <w:t>3</w:t>
      </w:r>
      <w:r w:rsidR="00335C30">
        <w:rPr>
          <w:sz w:val="24"/>
          <w:szCs w:val="24"/>
        </w:rPr>
        <w:fldChar w:fldCharType="end"/>
      </w:r>
      <w:r w:rsidRPr="00956E86">
        <w:rPr>
          <w:sz w:val="24"/>
          <w:szCs w:val="24"/>
        </w:rPr>
        <w:t xml:space="preserve"> </w:t>
      </w:r>
      <w:r w:rsidRPr="003B393D">
        <w:rPr>
          <w:sz w:val="24"/>
          <w:szCs w:val="24"/>
        </w:rPr>
        <w:t>that an additional entity is to be consolidated or where an entity is to be treated as a non-consolidated subsidiary under paragrap</w:t>
      </w:r>
      <w:r w:rsidRPr="00956E86">
        <w:rPr>
          <w:sz w:val="24"/>
          <w:szCs w:val="24"/>
        </w:rPr>
        <w:t xml:space="preserve">h </w:t>
      </w:r>
      <w:r w:rsidR="00335C30">
        <w:rPr>
          <w:sz w:val="24"/>
          <w:szCs w:val="24"/>
        </w:rPr>
        <w:fldChar w:fldCharType="begin"/>
      </w:r>
      <w:r w:rsidR="00335C30">
        <w:rPr>
          <w:sz w:val="24"/>
          <w:szCs w:val="24"/>
        </w:rPr>
        <w:instrText xml:space="preserve"> REF _Ref307816270 \r \h </w:instrText>
      </w:r>
      <w:r w:rsidR="00335C30">
        <w:rPr>
          <w:sz w:val="24"/>
          <w:szCs w:val="24"/>
        </w:rPr>
      </w:r>
      <w:r w:rsidR="00335C30">
        <w:rPr>
          <w:sz w:val="24"/>
          <w:szCs w:val="24"/>
        </w:rPr>
        <w:fldChar w:fldCharType="separate"/>
      </w:r>
      <w:r w:rsidR="00C421EB">
        <w:rPr>
          <w:sz w:val="24"/>
          <w:szCs w:val="24"/>
        </w:rPr>
        <w:t>4</w:t>
      </w:r>
      <w:r w:rsidR="00335C30">
        <w:rPr>
          <w:sz w:val="24"/>
          <w:szCs w:val="24"/>
        </w:rPr>
        <w:fldChar w:fldCharType="end"/>
      </w:r>
      <w:r>
        <w:rPr>
          <w:sz w:val="24"/>
          <w:szCs w:val="24"/>
        </w:rPr>
        <w:t>.</w:t>
      </w:r>
      <w:bookmarkEnd w:id="12"/>
    </w:p>
    <w:p w14:paraId="523EB4BA" w14:textId="77777777" w:rsidR="00591632" w:rsidRPr="003B393D" w:rsidRDefault="00591632" w:rsidP="00591632">
      <w:pPr>
        <w:pStyle w:val="BodyText"/>
        <w:rPr>
          <w:sz w:val="24"/>
          <w:szCs w:val="24"/>
        </w:rPr>
      </w:pPr>
      <w:bookmarkStart w:id="13" w:name="_Ref307817609"/>
      <w:r w:rsidRPr="003B393D">
        <w:rPr>
          <w:sz w:val="24"/>
          <w:szCs w:val="24"/>
        </w:rPr>
        <w:t>APRA may, in writing, determine that an entity is to be consolidated, despite that entity not being a controlled entity of the insurer or authorised NOHC, if:</w:t>
      </w:r>
      <w:bookmarkEnd w:id="13"/>
      <w:r w:rsidRPr="003B393D">
        <w:rPr>
          <w:sz w:val="24"/>
          <w:szCs w:val="24"/>
        </w:rPr>
        <w:t xml:space="preserve"> </w:t>
      </w:r>
    </w:p>
    <w:p w14:paraId="523EB4BB" w14:textId="77777777" w:rsidR="00591632" w:rsidRDefault="00591632" w:rsidP="00591632">
      <w:pPr>
        <w:pStyle w:val="BodyText"/>
        <w:numPr>
          <w:ilvl w:val="0"/>
          <w:numId w:val="9"/>
        </w:numPr>
        <w:rPr>
          <w:sz w:val="24"/>
          <w:szCs w:val="24"/>
        </w:rPr>
      </w:pPr>
      <w:r w:rsidRPr="003B393D">
        <w:rPr>
          <w:sz w:val="24"/>
          <w:szCs w:val="24"/>
        </w:rPr>
        <w:t xml:space="preserve">the entity is subject to control by an entity or group of related entities that are the same or very similar to the entity or group of related entities that control other members of the Level 2 insurance </w:t>
      </w:r>
      <w:proofErr w:type="gramStart"/>
      <w:r w:rsidRPr="003B393D">
        <w:rPr>
          <w:sz w:val="24"/>
          <w:szCs w:val="24"/>
        </w:rPr>
        <w:t>group;</w:t>
      </w:r>
      <w:proofErr w:type="gramEnd"/>
      <w:r w:rsidRPr="003B393D">
        <w:rPr>
          <w:sz w:val="24"/>
          <w:szCs w:val="24"/>
        </w:rPr>
        <w:t xml:space="preserve"> and </w:t>
      </w:r>
    </w:p>
    <w:p w14:paraId="523EB4BC" w14:textId="77777777" w:rsidR="00591632" w:rsidRDefault="00591632" w:rsidP="00591632">
      <w:pPr>
        <w:rPr>
          <w:szCs w:val="24"/>
        </w:rPr>
      </w:pPr>
      <w:r>
        <w:rPr>
          <w:szCs w:val="24"/>
        </w:rPr>
        <w:br w:type="page"/>
      </w:r>
    </w:p>
    <w:p w14:paraId="523EB4BD" w14:textId="77777777" w:rsidR="00591632" w:rsidRDefault="00591632" w:rsidP="00591632">
      <w:pPr>
        <w:pStyle w:val="BodyText"/>
        <w:numPr>
          <w:ilvl w:val="0"/>
          <w:numId w:val="9"/>
        </w:numPr>
        <w:rPr>
          <w:sz w:val="24"/>
          <w:szCs w:val="24"/>
        </w:rPr>
      </w:pPr>
      <w:r w:rsidRPr="0081269E">
        <w:rPr>
          <w:sz w:val="24"/>
          <w:szCs w:val="24"/>
        </w:rPr>
        <w:lastRenderedPageBreak/>
        <w:t>it conducts insurance business or business related to insurance business.</w:t>
      </w:r>
      <w:r w:rsidRPr="003B393D">
        <w:rPr>
          <w:rStyle w:val="FootnoteReference"/>
          <w:sz w:val="24"/>
          <w:szCs w:val="24"/>
        </w:rPr>
        <w:footnoteReference w:id="5"/>
      </w:r>
      <w:r w:rsidRPr="0081269E">
        <w:rPr>
          <w:sz w:val="24"/>
          <w:szCs w:val="24"/>
        </w:rPr>
        <w:t xml:space="preserve"> </w:t>
      </w:r>
    </w:p>
    <w:p w14:paraId="523EB4BE" w14:textId="77777777" w:rsidR="00591632" w:rsidRPr="003B393D" w:rsidRDefault="00591632" w:rsidP="00591632">
      <w:pPr>
        <w:pStyle w:val="BodyText"/>
        <w:rPr>
          <w:sz w:val="24"/>
          <w:szCs w:val="24"/>
        </w:rPr>
      </w:pPr>
      <w:bookmarkStart w:id="14" w:name="_Ref307816270"/>
      <w:r w:rsidRPr="003B393D">
        <w:rPr>
          <w:sz w:val="24"/>
          <w:szCs w:val="24"/>
        </w:rPr>
        <w:t xml:space="preserve">The following types of controlled entities are to be treated as </w:t>
      </w:r>
      <w:r>
        <w:rPr>
          <w:sz w:val="24"/>
          <w:szCs w:val="24"/>
        </w:rPr>
        <w:t>‘</w:t>
      </w:r>
      <w:r w:rsidRPr="00846D70">
        <w:rPr>
          <w:sz w:val="24"/>
          <w:szCs w:val="24"/>
        </w:rPr>
        <w:t>non-consolidated subsidiaries</w:t>
      </w:r>
      <w:r>
        <w:rPr>
          <w:sz w:val="24"/>
          <w:szCs w:val="24"/>
        </w:rPr>
        <w:t>’</w:t>
      </w:r>
      <w:r w:rsidRPr="00986F4D">
        <w:rPr>
          <w:rStyle w:val="FootnoteReference"/>
          <w:sz w:val="24"/>
          <w:szCs w:val="24"/>
        </w:rPr>
        <w:footnoteReference w:id="6"/>
      </w:r>
      <w:r w:rsidRPr="003B393D">
        <w:rPr>
          <w:sz w:val="24"/>
          <w:szCs w:val="24"/>
        </w:rPr>
        <w:t xml:space="preserve"> (unless APRA, in writing, determines otherwise):</w:t>
      </w:r>
      <w:bookmarkEnd w:id="14"/>
    </w:p>
    <w:p w14:paraId="523EB4BF" w14:textId="77777777" w:rsidR="00591632" w:rsidRPr="00846D70" w:rsidRDefault="00591632" w:rsidP="00591632">
      <w:pPr>
        <w:pStyle w:val="BodyText"/>
        <w:numPr>
          <w:ilvl w:val="1"/>
          <w:numId w:val="28"/>
        </w:numPr>
        <w:rPr>
          <w:sz w:val="24"/>
          <w:szCs w:val="24"/>
        </w:rPr>
      </w:pPr>
      <w:r w:rsidRPr="003B393D">
        <w:rPr>
          <w:sz w:val="24"/>
          <w:szCs w:val="24"/>
        </w:rPr>
        <w:t xml:space="preserve">prudentially regulated entities that are neither insurers nor entities carrying </w:t>
      </w:r>
      <w:r w:rsidRPr="00846D70">
        <w:rPr>
          <w:sz w:val="24"/>
          <w:szCs w:val="24"/>
        </w:rPr>
        <w:t xml:space="preserve">on international </w:t>
      </w:r>
      <w:proofErr w:type="gramStart"/>
      <w:r w:rsidRPr="00846D70">
        <w:rPr>
          <w:sz w:val="24"/>
          <w:szCs w:val="24"/>
        </w:rPr>
        <w:t>business;</w:t>
      </w:r>
      <w:proofErr w:type="gramEnd"/>
    </w:p>
    <w:p w14:paraId="523EB4C0" w14:textId="77777777" w:rsidR="00591632" w:rsidRPr="00846D70" w:rsidRDefault="00591632" w:rsidP="00591632">
      <w:pPr>
        <w:pStyle w:val="BodyText"/>
        <w:numPr>
          <w:ilvl w:val="1"/>
          <w:numId w:val="28"/>
        </w:numPr>
        <w:rPr>
          <w:sz w:val="24"/>
          <w:szCs w:val="24"/>
        </w:rPr>
      </w:pPr>
      <w:r w:rsidRPr="00846D70">
        <w:rPr>
          <w:sz w:val="24"/>
          <w:szCs w:val="24"/>
        </w:rPr>
        <w:t>entities acting as manager, responsible entity, approved trustee, trustee or similar role in relation to funds management (including superannuation or pension fund business</w:t>
      </w:r>
      <w:proofErr w:type="gramStart"/>
      <w:r w:rsidRPr="00846D70">
        <w:rPr>
          <w:sz w:val="24"/>
          <w:szCs w:val="24"/>
        </w:rPr>
        <w:t>);</w:t>
      </w:r>
      <w:proofErr w:type="gramEnd"/>
      <w:r w:rsidRPr="00846D70">
        <w:rPr>
          <w:sz w:val="24"/>
          <w:szCs w:val="24"/>
        </w:rPr>
        <w:t xml:space="preserve"> </w:t>
      </w:r>
    </w:p>
    <w:p w14:paraId="523EB4C1" w14:textId="77777777" w:rsidR="00591632" w:rsidRPr="00846D70" w:rsidRDefault="00591632" w:rsidP="00591632">
      <w:pPr>
        <w:pStyle w:val="BodyText"/>
        <w:numPr>
          <w:ilvl w:val="1"/>
          <w:numId w:val="28"/>
        </w:numPr>
        <w:rPr>
          <w:sz w:val="24"/>
          <w:szCs w:val="24"/>
        </w:rPr>
      </w:pPr>
      <w:r w:rsidRPr="00846D70">
        <w:rPr>
          <w:sz w:val="24"/>
          <w:szCs w:val="24"/>
        </w:rPr>
        <w:t xml:space="preserve">entities involved in non-financial (commercial) </w:t>
      </w:r>
      <w:proofErr w:type="gramStart"/>
      <w:r w:rsidRPr="00846D70">
        <w:rPr>
          <w:sz w:val="24"/>
          <w:szCs w:val="24"/>
        </w:rPr>
        <w:t>operations;</w:t>
      </w:r>
      <w:proofErr w:type="gramEnd"/>
      <w:r w:rsidRPr="00846D70">
        <w:rPr>
          <w:sz w:val="24"/>
          <w:szCs w:val="24"/>
        </w:rPr>
        <w:t xml:space="preserve"> </w:t>
      </w:r>
    </w:p>
    <w:p w14:paraId="523EB4C2" w14:textId="77777777" w:rsidR="00591632" w:rsidRPr="00846D70" w:rsidRDefault="00591632" w:rsidP="00591632">
      <w:pPr>
        <w:pStyle w:val="BodyText"/>
        <w:numPr>
          <w:ilvl w:val="1"/>
          <w:numId w:val="28"/>
        </w:numPr>
        <w:rPr>
          <w:sz w:val="24"/>
          <w:szCs w:val="24"/>
        </w:rPr>
      </w:pPr>
      <w:r w:rsidRPr="00846D70">
        <w:rPr>
          <w:sz w:val="24"/>
          <w:szCs w:val="24"/>
        </w:rPr>
        <w:t>securitisation special purpose vehicles to which assets and/or liabilities have been transferred in accordance with any prudential standard made under section 32 of the Act; and</w:t>
      </w:r>
    </w:p>
    <w:p w14:paraId="523EB4C3" w14:textId="77777777" w:rsidR="00591632" w:rsidRPr="00846D70" w:rsidRDefault="00591632" w:rsidP="00591632">
      <w:pPr>
        <w:pStyle w:val="BodyText"/>
        <w:numPr>
          <w:ilvl w:val="1"/>
          <w:numId w:val="28"/>
        </w:numPr>
        <w:rPr>
          <w:sz w:val="24"/>
          <w:szCs w:val="24"/>
        </w:rPr>
      </w:pPr>
      <w:r w:rsidRPr="00846D70">
        <w:rPr>
          <w:sz w:val="24"/>
          <w:szCs w:val="24"/>
        </w:rPr>
        <w:t>an entity that APRA has determined, in writing, is to be deconsolidated because APRA is satisfied that its principal business is not related to any insurance business of the group or is immaterial to the group’s total business.</w:t>
      </w:r>
    </w:p>
    <w:p w14:paraId="523EB4C4" w14:textId="77777777" w:rsidR="00591632" w:rsidRPr="00846D70" w:rsidRDefault="00591632" w:rsidP="00591632">
      <w:pPr>
        <w:pStyle w:val="BodyText"/>
        <w:rPr>
          <w:sz w:val="24"/>
          <w:szCs w:val="24"/>
        </w:rPr>
      </w:pPr>
      <w:r w:rsidRPr="00846D70">
        <w:rPr>
          <w:sz w:val="24"/>
          <w:szCs w:val="24"/>
        </w:rPr>
        <w:t xml:space="preserve">Subject to paragraph </w:t>
      </w:r>
      <w:r w:rsidR="002A3F22">
        <w:rPr>
          <w:sz w:val="24"/>
          <w:szCs w:val="24"/>
        </w:rPr>
        <w:fldChar w:fldCharType="begin"/>
      </w:r>
      <w:r w:rsidR="002A3F22">
        <w:rPr>
          <w:sz w:val="24"/>
          <w:szCs w:val="24"/>
        </w:rPr>
        <w:instrText xml:space="preserve"> REF _Ref307817636 \r \h </w:instrText>
      </w:r>
      <w:r w:rsidR="002A3F22">
        <w:rPr>
          <w:sz w:val="24"/>
          <w:szCs w:val="24"/>
        </w:rPr>
      </w:r>
      <w:r w:rsidR="002A3F22">
        <w:rPr>
          <w:sz w:val="24"/>
          <w:szCs w:val="24"/>
        </w:rPr>
        <w:fldChar w:fldCharType="separate"/>
      </w:r>
      <w:r w:rsidR="00C421EB">
        <w:rPr>
          <w:sz w:val="24"/>
          <w:szCs w:val="24"/>
        </w:rPr>
        <w:t>6</w:t>
      </w:r>
      <w:r w:rsidR="002A3F22">
        <w:rPr>
          <w:sz w:val="24"/>
          <w:szCs w:val="24"/>
        </w:rPr>
        <w:fldChar w:fldCharType="end"/>
      </w:r>
      <w:r w:rsidRPr="00846D70">
        <w:rPr>
          <w:sz w:val="24"/>
          <w:szCs w:val="24"/>
        </w:rPr>
        <w:t>, the parent entity of a Level 2 insurance group is:</w:t>
      </w:r>
    </w:p>
    <w:p w14:paraId="523EB4C5" w14:textId="77777777" w:rsidR="00591632" w:rsidRPr="00846D70" w:rsidRDefault="00591632" w:rsidP="00591632">
      <w:pPr>
        <w:pStyle w:val="BodyText"/>
        <w:numPr>
          <w:ilvl w:val="0"/>
          <w:numId w:val="8"/>
        </w:numPr>
        <w:rPr>
          <w:sz w:val="24"/>
          <w:szCs w:val="24"/>
        </w:rPr>
      </w:pPr>
      <w:r w:rsidRPr="00846D70">
        <w:rPr>
          <w:sz w:val="24"/>
          <w:szCs w:val="24"/>
        </w:rPr>
        <w:t xml:space="preserve">where the Level 2 insurance group is headed by an authorised NOHC, the authorised </w:t>
      </w:r>
      <w:proofErr w:type="gramStart"/>
      <w:r w:rsidRPr="00846D70">
        <w:rPr>
          <w:sz w:val="24"/>
          <w:szCs w:val="24"/>
        </w:rPr>
        <w:t>NOHC;</w:t>
      </w:r>
      <w:proofErr w:type="gramEnd"/>
      <w:r w:rsidRPr="00846D70">
        <w:rPr>
          <w:sz w:val="24"/>
          <w:szCs w:val="24"/>
        </w:rPr>
        <w:t xml:space="preserve"> and</w:t>
      </w:r>
    </w:p>
    <w:p w14:paraId="523EB4C6" w14:textId="77777777" w:rsidR="00591632" w:rsidRDefault="00591632" w:rsidP="00591632">
      <w:pPr>
        <w:pStyle w:val="BodyText"/>
        <w:numPr>
          <w:ilvl w:val="0"/>
          <w:numId w:val="8"/>
        </w:numPr>
        <w:rPr>
          <w:sz w:val="24"/>
          <w:szCs w:val="24"/>
        </w:rPr>
      </w:pPr>
      <w:r w:rsidRPr="00846D70">
        <w:rPr>
          <w:sz w:val="24"/>
          <w:szCs w:val="24"/>
        </w:rPr>
        <w:t>where the Level 2 insurance group is</w:t>
      </w:r>
      <w:r w:rsidRPr="003B393D">
        <w:rPr>
          <w:sz w:val="24"/>
          <w:szCs w:val="24"/>
        </w:rPr>
        <w:t xml:space="preserve"> headed by an insurer, the insurer.</w:t>
      </w:r>
    </w:p>
    <w:p w14:paraId="523EB4C7" w14:textId="77777777" w:rsidR="00591632" w:rsidRPr="003B393D" w:rsidRDefault="00591632" w:rsidP="00591632">
      <w:pPr>
        <w:spacing w:after="240"/>
        <w:ind w:left="567"/>
        <w:jc w:val="both"/>
        <w:rPr>
          <w:i/>
          <w:sz w:val="20"/>
        </w:rPr>
      </w:pPr>
      <w:r w:rsidRPr="003B393D">
        <w:rPr>
          <w:i/>
          <w:sz w:val="20"/>
        </w:rPr>
        <w:t>Note: ‘authorised NOHC’ does not refer to the holding company of a wider corporate group which includes the Level 2 insurance group where the holding company has not been authorised under the Act as a NOHC.</w:t>
      </w:r>
    </w:p>
    <w:p w14:paraId="523EB4C8" w14:textId="77777777" w:rsidR="00591632" w:rsidRPr="003B393D" w:rsidRDefault="00591632" w:rsidP="00591632">
      <w:pPr>
        <w:pStyle w:val="BodyText"/>
        <w:rPr>
          <w:sz w:val="24"/>
          <w:szCs w:val="24"/>
        </w:rPr>
      </w:pPr>
      <w:bookmarkStart w:id="15" w:name="_Ref307817636"/>
      <w:r w:rsidRPr="003B393D">
        <w:rPr>
          <w:sz w:val="24"/>
          <w:szCs w:val="24"/>
        </w:rPr>
        <w:t>APRA may, in writing, determine that a different entity within a Level 2 insurance group (which must be an insurer, authorised NOHC or a subsidiary of an insurer or authorised NOHC) is the parent entity of that group.</w:t>
      </w:r>
      <w:bookmarkEnd w:id="15"/>
      <w:r w:rsidRPr="003B393D">
        <w:rPr>
          <w:sz w:val="24"/>
          <w:szCs w:val="24"/>
        </w:rPr>
        <w:t xml:space="preserve">   </w:t>
      </w:r>
    </w:p>
    <w:p w14:paraId="523EB4C9" w14:textId="77777777" w:rsidR="00591632" w:rsidRDefault="00591632" w:rsidP="00591632">
      <w:pPr>
        <w:pStyle w:val="BodyText"/>
      </w:pPr>
      <w:r w:rsidRPr="003B393D">
        <w:rPr>
          <w:sz w:val="24"/>
          <w:szCs w:val="24"/>
        </w:rPr>
        <w:t xml:space="preserve">APRA may apply transition arrangements to a Level 2 insurance group in respect of entities </w:t>
      </w:r>
      <w:r>
        <w:rPr>
          <w:sz w:val="24"/>
          <w:szCs w:val="24"/>
        </w:rPr>
        <w:t>that</w:t>
      </w:r>
      <w:r w:rsidRPr="003B393D">
        <w:rPr>
          <w:sz w:val="24"/>
          <w:szCs w:val="24"/>
        </w:rPr>
        <w:t xml:space="preserve"> would otherwise be consolidated within the group.  APRA may agree, in writing, upon these arrangements with such Level 2 insurance groups on a case-by-case basis to allow a transition period before these entities are required to be consolidated w</w:t>
      </w:r>
      <w:r>
        <w:rPr>
          <w:sz w:val="24"/>
          <w:szCs w:val="24"/>
        </w:rPr>
        <w:t>ithin a Level 2 insurance group.</w:t>
      </w:r>
    </w:p>
    <w:p w14:paraId="523EB4CA" w14:textId="77777777" w:rsidR="000E129C" w:rsidRDefault="000E129C" w:rsidP="00591632">
      <w:pPr>
        <w:pStyle w:val="Heading"/>
        <w:spacing w:before="120" w:after="240"/>
        <w:jc w:val="both"/>
      </w:pPr>
    </w:p>
    <w:sectPr w:rsidR="000E129C" w:rsidSect="002F5B6C">
      <w:headerReference w:type="default" r:id="rId15"/>
      <w:footerReference w:type="default" r:id="rId16"/>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EB4D1" w14:textId="77777777" w:rsidR="00FC42B1" w:rsidRDefault="00FC42B1">
      <w:r>
        <w:separator/>
      </w:r>
    </w:p>
  </w:endnote>
  <w:endnote w:type="continuationSeparator" w:id="0">
    <w:p w14:paraId="523EB4D2" w14:textId="77777777" w:rsidR="00FC42B1" w:rsidRDefault="00FC4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EC12" w14:textId="215816A3" w:rsidR="00FC42B1" w:rsidRPr="002F5B6C" w:rsidRDefault="00FC42B1">
    <w:pPr>
      <w:pStyle w:val="Footer"/>
      <w:jc w:val="right"/>
      <w:rPr>
        <w:b/>
      </w:rPr>
    </w:pPr>
  </w:p>
  <w:p w14:paraId="580D307A" w14:textId="77777777" w:rsidR="00FC42B1" w:rsidRDefault="00FC42B1" w:rsidP="00FD31B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2065013255"/>
      <w:docPartObj>
        <w:docPartGallery w:val="Page Numbers (Bottom of Page)"/>
        <w:docPartUnique/>
      </w:docPartObj>
    </w:sdtPr>
    <w:sdtEndPr/>
    <w:sdtContent>
      <w:sdt>
        <w:sdtPr>
          <w:rPr>
            <w:b/>
          </w:rPr>
          <w:id w:val="1698035715"/>
          <w:docPartObj>
            <w:docPartGallery w:val="Page Numbers (Top of Page)"/>
            <w:docPartUnique/>
          </w:docPartObj>
        </w:sdtPr>
        <w:sdtEndPr/>
        <w:sdtContent>
          <w:p w14:paraId="751F34D6" w14:textId="77777777" w:rsidR="002F6C16" w:rsidRPr="002F5B6C" w:rsidRDefault="002F6C16">
            <w:pPr>
              <w:pStyle w:val="Footer"/>
              <w:jc w:val="right"/>
              <w:rPr>
                <w:b/>
              </w:rPr>
            </w:pPr>
            <w:r w:rsidRPr="002F5B6C">
              <w:rPr>
                <w:b/>
              </w:rPr>
              <w:t xml:space="preserve">GPS 001 - </w:t>
            </w:r>
            <w:r w:rsidRPr="002F5B6C">
              <w:rPr>
                <w:b/>
                <w:bCs/>
                <w:szCs w:val="24"/>
              </w:rPr>
              <w:fldChar w:fldCharType="begin"/>
            </w:r>
            <w:r w:rsidRPr="002F5B6C">
              <w:rPr>
                <w:b/>
                <w:bCs/>
              </w:rPr>
              <w:instrText xml:space="preserve"> PAGE </w:instrText>
            </w:r>
            <w:r w:rsidRPr="002F5B6C">
              <w:rPr>
                <w:b/>
                <w:bCs/>
                <w:szCs w:val="24"/>
              </w:rPr>
              <w:fldChar w:fldCharType="separate"/>
            </w:r>
            <w:r>
              <w:rPr>
                <w:b/>
                <w:bCs/>
                <w:noProof/>
              </w:rPr>
              <w:t>1</w:t>
            </w:r>
            <w:r w:rsidRPr="002F5B6C">
              <w:rPr>
                <w:b/>
                <w:bCs/>
                <w:szCs w:val="24"/>
              </w:rPr>
              <w:fldChar w:fldCharType="end"/>
            </w:r>
          </w:p>
        </w:sdtContent>
      </w:sdt>
    </w:sdtContent>
  </w:sdt>
  <w:p w14:paraId="493AE3A9" w14:textId="77777777" w:rsidR="002F6C16" w:rsidRDefault="002F6C16" w:rsidP="00FD31B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EB4CF" w14:textId="77777777" w:rsidR="00FC42B1" w:rsidRDefault="00FC42B1">
      <w:r>
        <w:separator/>
      </w:r>
    </w:p>
  </w:footnote>
  <w:footnote w:type="continuationSeparator" w:id="0">
    <w:p w14:paraId="523EB4D0" w14:textId="77777777" w:rsidR="00FC42B1" w:rsidRDefault="00FC42B1">
      <w:r>
        <w:continuationSeparator/>
      </w:r>
    </w:p>
  </w:footnote>
  <w:footnote w:id="1">
    <w:p w14:paraId="523EB4DA" w14:textId="025814BA" w:rsidR="00FC42B1" w:rsidRDefault="00FC42B1" w:rsidP="00BE46C8">
      <w:pPr>
        <w:pStyle w:val="FootnoteText"/>
        <w:jc w:val="both"/>
      </w:pPr>
      <w:r w:rsidRPr="00BE46C8">
        <w:rPr>
          <w:rStyle w:val="FootnoteReference"/>
          <w:rFonts w:ascii="Times New Roman" w:hAnsi="Times New Roman"/>
        </w:rPr>
        <w:footnoteRef/>
      </w:r>
      <w:r w:rsidRPr="00BE46C8">
        <w:rPr>
          <w:rFonts w:ascii="Times New Roman" w:hAnsi="Times New Roman"/>
        </w:rPr>
        <w:t xml:space="preserve"> For the purposes of CPS 320, the term insurers refers to all general insurers, parent entities of Level 2 insurance groups; all life companies, including friendly societies and eligible foreign life insurance companies; and all private health insurers</w:t>
      </w:r>
      <w:r>
        <w:t>.</w:t>
      </w:r>
    </w:p>
  </w:footnote>
  <w:footnote w:id="2">
    <w:p w14:paraId="523EB4DB" w14:textId="77777777" w:rsidR="00FC42B1" w:rsidRPr="00231C96" w:rsidRDefault="00FC42B1" w:rsidP="00591632">
      <w:pPr>
        <w:pStyle w:val="FootnoteText"/>
        <w:ind w:left="567" w:hanging="567"/>
        <w:jc w:val="both"/>
        <w:rPr>
          <w:rFonts w:ascii="Times New Roman" w:hAnsi="Times New Roman"/>
        </w:rPr>
      </w:pPr>
      <w:r w:rsidRPr="00231C96">
        <w:rPr>
          <w:rStyle w:val="FootnoteReference"/>
          <w:rFonts w:ascii="Times New Roman" w:hAnsi="Times New Roman"/>
        </w:rPr>
        <w:footnoteRef/>
      </w:r>
      <w:r w:rsidRPr="00231C96">
        <w:rPr>
          <w:rFonts w:ascii="Times New Roman" w:hAnsi="Times New Roman"/>
        </w:rPr>
        <w:t xml:space="preserve"> </w:t>
      </w:r>
      <w:r>
        <w:rPr>
          <w:rFonts w:ascii="Times New Roman" w:hAnsi="Times New Roman"/>
        </w:rPr>
        <w:tab/>
      </w:r>
      <w:r w:rsidRPr="00231C96">
        <w:rPr>
          <w:rFonts w:ascii="Times New Roman" w:hAnsi="Times New Roman"/>
        </w:rPr>
        <w:t>‘FSR’ refers to the Financial Strength Rating issued by AM Best</w:t>
      </w:r>
      <w:r>
        <w:rPr>
          <w:rFonts w:ascii="Times New Roman" w:hAnsi="Times New Roman"/>
        </w:rPr>
        <w:t>.</w:t>
      </w:r>
    </w:p>
  </w:footnote>
  <w:footnote w:id="3">
    <w:p w14:paraId="523EB4DC" w14:textId="77777777" w:rsidR="00FC42B1" w:rsidRPr="00C56043" w:rsidRDefault="00FC42B1" w:rsidP="00591632">
      <w:pPr>
        <w:pStyle w:val="FootnoteText"/>
        <w:ind w:left="567" w:hanging="567"/>
        <w:jc w:val="both"/>
        <w:rPr>
          <w:rFonts w:ascii="Times New Roman" w:hAnsi="Times New Roman"/>
        </w:rPr>
      </w:pPr>
      <w:r w:rsidRPr="00C56043">
        <w:rPr>
          <w:rStyle w:val="FootnoteReference"/>
          <w:rFonts w:ascii="Times New Roman" w:hAnsi="Times New Roman"/>
        </w:rPr>
        <w:footnoteRef/>
      </w:r>
      <w:r w:rsidRPr="00C56043">
        <w:rPr>
          <w:rFonts w:ascii="Times New Roman" w:hAnsi="Times New Roman"/>
        </w:rPr>
        <w:t xml:space="preserve"> </w:t>
      </w:r>
      <w:r>
        <w:rPr>
          <w:rFonts w:ascii="Times New Roman" w:hAnsi="Times New Roman"/>
        </w:rPr>
        <w:tab/>
      </w:r>
      <w:r w:rsidRPr="00C56043">
        <w:rPr>
          <w:rFonts w:ascii="Times New Roman" w:hAnsi="Times New Roman"/>
        </w:rPr>
        <w:t xml:space="preserve">A solicited </w:t>
      </w:r>
      <w:r>
        <w:rPr>
          <w:rFonts w:ascii="Times New Roman" w:hAnsi="Times New Roman"/>
        </w:rPr>
        <w:t xml:space="preserve">credit </w:t>
      </w:r>
      <w:r w:rsidRPr="00C56043">
        <w:rPr>
          <w:rFonts w:ascii="Times New Roman" w:hAnsi="Times New Roman"/>
        </w:rPr>
        <w:t>rating is a rating that has been initiated and paid for by the issuer or rated counterparty or a commercial associate of the issuer or rated counterparty.</w:t>
      </w:r>
    </w:p>
  </w:footnote>
  <w:footnote w:id="4">
    <w:p w14:paraId="523EB4DD" w14:textId="77777777" w:rsidR="00FC42B1" w:rsidRPr="00036117" w:rsidRDefault="00FC42B1" w:rsidP="00591632">
      <w:pPr>
        <w:pStyle w:val="FootnoteText"/>
        <w:ind w:left="567" w:hanging="567"/>
        <w:jc w:val="both"/>
        <w:rPr>
          <w:rFonts w:ascii="Times New Roman" w:hAnsi="Times New Roman"/>
        </w:rPr>
      </w:pPr>
      <w:r w:rsidRPr="00CF5C36">
        <w:rPr>
          <w:rStyle w:val="FootnoteReference"/>
          <w:rFonts w:ascii="Times New Roman" w:hAnsi="Times New Roman"/>
        </w:rPr>
        <w:footnoteRef/>
      </w:r>
      <w:r w:rsidRPr="00036117">
        <w:rPr>
          <w:rFonts w:ascii="Times New Roman" w:hAnsi="Times New Roman"/>
        </w:rPr>
        <w:t xml:space="preserve"> </w:t>
      </w:r>
      <w:r w:rsidRPr="00036117">
        <w:rPr>
          <w:rFonts w:ascii="Times New Roman" w:hAnsi="Times New Roman"/>
        </w:rPr>
        <w:tab/>
        <w:t>This includes controlled entities which provide a financing role to the insurance business, insurance intermediaries and service companies.</w:t>
      </w:r>
    </w:p>
  </w:footnote>
  <w:footnote w:id="5">
    <w:p w14:paraId="523EB4DE" w14:textId="77777777" w:rsidR="00FC42B1" w:rsidRPr="00036117" w:rsidRDefault="00FC42B1" w:rsidP="00591632">
      <w:pPr>
        <w:pStyle w:val="FootnoteText"/>
        <w:ind w:left="567" w:hanging="567"/>
        <w:jc w:val="both"/>
        <w:rPr>
          <w:rFonts w:ascii="Times New Roman" w:hAnsi="Times New Roman"/>
        </w:rPr>
      </w:pPr>
      <w:r w:rsidRPr="00036117">
        <w:rPr>
          <w:rFonts w:ascii="Times New Roman" w:hAnsi="Times New Roman"/>
          <w:vertAlign w:val="superscript"/>
        </w:rPr>
        <w:footnoteRef/>
      </w:r>
      <w:r w:rsidRPr="00036117">
        <w:rPr>
          <w:rFonts w:ascii="Times New Roman" w:hAnsi="Times New Roman"/>
        </w:rPr>
        <w:t xml:space="preserve"> </w:t>
      </w:r>
      <w:r w:rsidRPr="00036117">
        <w:rPr>
          <w:rFonts w:ascii="Times New Roman" w:hAnsi="Times New Roman"/>
        </w:rPr>
        <w:tab/>
        <w:t xml:space="preserve">This includes controlled entities </w:t>
      </w:r>
      <w:r>
        <w:rPr>
          <w:rFonts w:ascii="Times New Roman" w:hAnsi="Times New Roman"/>
        </w:rPr>
        <w:t>that</w:t>
      </w:r>
      <w:r w:rsidRPr="00036117">
        <w:rPr>
          <w:rFonts w:ascii="Times New Roman" w:hAnsi="Times New Roman"/>
        </w:rPr>
        <w:t xml:space="preserve"> provide a financing role to the insurance business, insurance intermediaries and service companies.</w:t>
      </w:r>
    </w:p>
  </w:footnote>
  <w:footnote w:id="6">
    <w:p w14:paraId="523EB4DF" w14:textId="77777777" w:rsidR="00FC42B1" w:rsidRDefault="00FC42B1" w:rsidP="00591632">
      <w:pPr>
        <w:pStyle w:val="FootnoteText"/>
        <w:ind w:left="567" w:hanging="567"/>
        <w:jc w:val="both"/>
      </w:pPr>
      <w:r w:rsidRPr="00036117">
        <w:rPr>
          <w:rStyle w:val="FootnoteReference"/>
          <w:rFonts w:ascii="Times New Roman" w:hAnsi="Times New Roman"/>
        </w:rPr>
        <w:footnoteRef/>
      </w:r>
      <w:r w:rsidRPr="00036117">
        <w:rPr>
          <w:rFonts w:ascii="Times New Roman" w:hAnsi="Times New Roman"/>
        </w:rPr>
        <w:t xml:space="preserve"> </w:t>
      </w:r>
      <w:r w:rsidRPr="00036117">
        <w:rPr>
          <w:rFonts w:ascii="Times New Roman" w:hAnsi="Times New Roman"/>
        </w:rPr>
        <w:tab/>
        <w:t xml:space="preserve">However, any entity specified in subparagraphs (a), (b), (c) and (d) </w:t>
      </w:r>
      <w:r>
        <w:rPr>
          <w:rFonts w:ascii="Times New Roman" w:hAnsi="Times New Roman"/>
        </w:rPr>
        <w:t>that</w:t>
      </w:r>
      <w:r w:rsidRPr="00036117">
        <w:rPr>
          <w:rFonts w:ascii="Times New Roman" w:hAnsi="Times New Roman"/>
        </w:rPr>
        <w:t xml:space="preserve"> is not material may be consolidated.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E99F" w14:textId="2F4E5040" w:rsidR="002F6C16" w:rsidRPr="002F6C16" w:rsidRDefault="002F6C16">
    <w:pPr>
      <w:pStyle w:val="Header"/>
      <w:rPr>
        <w:b/>
      </w:rPr>
    </w:pPr>
    <w:r>
      <w:tab/>
    </w:r>
    <w:r>
      <w:rPr>
        <w:b/>
      </w:rPr>
      <w:tab/>
      <w:t>J</w:t>
    </w:r>
    <w:r w:rsidR="002B6F80">
      <w:rPr>
        <w:b/>
      </w:rPr>
      <w:t>uly</w:t>
    </w:r>
    <w:r>
      <w:rPr>
        <w:b/>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68D887"/>
    <w:multiLevelType w:val="hybridMultilevel"/>
    <w:tmpl w:val="03C11230"/>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83E46"/>
    <w:multiLevelType w:val="hybridMultilevel"/>
    <w:tmpl w:val="58484EA2"/>
    <w:lvl w:ilvl="0" w:tplc="312A8E74">
      <w:start w:val="1"/>
      <w:numFmt w:val="lowerLetter"/>
      <w:lvlText w:val="(%1)"/>
      <w:lvlJc w:val="left"/>
      <w:pPr>
        <w:tabs>
          <w:tab w:val="num" w:pos="1134"/>
        </w:tabs>
        <w:ind w:left="1134" w:hanging="567"/>
      </w:pPr>
      <w:rPr>
        <w:rFonts w:ascii="Times New Roman" w:hAnsi="Times New Roman" w:hint="default"/>
        <w:b w:val="0"/>
        <w:i w:val="0"/>
        <w:sz w:val="24"/>
        <w:szCs w:val="24"/>
      </w:rPr>
    </w:lvl>
    <w:lvl w:ilvl="1" w:tplc="2CA2A194">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3A50A14"/>
    <w:multiLevelType w:val="hybridMultilevel"/>
    <w:tmpl w:val="BC48AA3C"/>
    <w:lvl w:ilvl="0" w:tplc="C0A056A2">
      <w:start w:val="1"/>
      <w:numFmt w:val="lowerLetter"/>
      <w:lvlText w:val="(%1)"/>
      <w:lvlJc w:val="left"/>
      <w:pPr>
        <w:tabs>
          <w:tab w:val="num" w:pos="1134"/>
        </w:tabs>
        <w:ind w:left="1134" w:hanging="567"/>
      </w:pPr>
      <w:rPr>
        <w:rFonts w:hint="default"/>
        <w:b w:val="0"/>
        <w:i w:val="0"/>
        <w:sz w:val="24"/>
        <w:szCs w:val="24"/>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47A604F"/>
    <w:multiLevelType w:val="hybridMultilevel"/>
    <w:tmpl w:val="07D6F1CA"/>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085F5251"/>
    <w:multiLevelType w:val="hybridMultilevel"/>
    <w:tmpl w:val="7F0C5A40"/>
    <w:lvl w:ilvl="0" w:tplc="C19887F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 w15:restartNumberingAfterBreak="0">
    <w:nsid w:val="13914916"/>
    <w:multiLevelType w:val="hybridMultilevel"/>
    <w:tmpl w:val="15547BE2"/>
    <w:lvl w:ilvl="0" w:tplc="1B4E043A">
      <w:start w:val="1"/>
      <w:numFmt w:val="lowerLetter"/>
      <w:lvlText w:val="(%1)"/>
      <w:lvlJc w:val="left"/>
      <w:pPr>
        <w:ind w:left="720" w:hanging="360"/>
      </w:pPr>
      <w:rPr>
        <w:rFonts w:ascii="Times New Roman" w:hAnsi="Times New Roman" w:hint="default"/>
        <w:b w:val="0"/>
        <w:i w:val="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9255DE"/>
    <w:multiLevelType w:val="hybridMultilevel"/>
    <w:tmpl w:val="F274E3B8"/>
    <w:lvl w:ilvl="0" w:tplc="31E6BCE8">
      <w:start w:val="1"/>
      <w:numFmt w:val="lowerRoman"/>
      <w:lvlText w:val="(%1)"/>
      <w:lvlJc w:val="left"/>
      <w:pPr>
        <w:ind w:left="6183" w:hanging="360"/>
      </w:pPr>
      <w:rPr>
        <w:rFonts w:hint="default"/>
        <w:b w:val="0"/>
        <w:i w:val="0"/>
        <w:sz w:val="24"/>
        <w:szCs w:val="24"/>
      </w:rPr>
    </w:lvl>
    <w:lvl w:ilvl="1" w:tplc="0C090019">
      <w:start w:val="1"/>
      <w:numFmt w:val="lowerLetter"/>
      <w:lvlText w:val="%2."/>
      <w:lvlJc w:val="left"/>
      <w:pPr>
        <w:ind w:left="6903" w:hanging="360"/>
      </w:pPr>
    </w:lvl>
    <w:lvl w:ilvl="2" w:tplc="0C09001B">
      <w:start w:val="1"/>
      <w:numFmt w:val="lowerRoman"/>
      <w:lvlText w:val="%3."/>
      <w:lvlJc w:val="right"/>
      <w:pPr>
        <w:ind w:left="7623" w:hanging="180"/>
      </w:pPr>
    </w:lvl>
    <w:lvl w:ilvl="3" w:tplc="0C09000F" w:tentative="1">
      <w:start w:val="1"/>
      <w:numFmt w:val="decimal"/>
      <w:lvlText w:val="%4."/>
      <w:lvlJc w:val="left"/>
      <w:pPr>
        <w:ind w:left="8343" w:hanging="360"/>
      </w:pPr>
    </w:lvl>
    <w:lvl w:ilvl="4" w:tplc="0C090019" w:tentative="1">
      <w:start w:val="1"/>
      <w:numFmt w:val="lowerLetter"/>
      <w:lvlText w:val="%5."/>
      <w:lvlJc w:val="left"/>
      <w:pPr>
        <w:ind w:left="9063" w:hanging="360"/>
      </w:pPr>
    </w:lvl>
    <w:lvl w:ilvl="5" w:tplc="0C09001B" w:tentative="1">
      <w:start w:val="1"/>
      <w:numFmt w:val="lowerRoman"/>
      <w:lvlText w:val="%6."/>
      <w:lvlJc w:val="right"/>
      <w:pPr>
        <w:ind w:left="9783" w:hanging="180"/>
      </w:pPr>
    </w:lvl>
    <w:lvl w:ilvl="6" w:tplc="0C09000F" w:tentative="1">
      <w:start w:val="1"/>
      <w:numFmt w:val="decimal"/>
      <w:lvlText w:val="%7."/>
      <w:lvlJc w:val="left"/>
      <w:pPr>
        <w:ind w:left="10503" w:hanging="360"/>
      </w:pPr>
    </w:lvl>
    <w:lvl w:ilvl="7" w:tplc="0C090019" w:tentative="1">
      <w:start w:val="1"/>
      <w:numFmt w:val="lowerLetter"/>
      <w:lvlText w:val="%8."/>
      <w:lvlJc w:val="left"/>
      <w:pPr>
        <w:ind w:left="11223" w:hanging="360"/>
      </w:pPr>
    </w:lvl>
    <w:lvl w:ilvl="8" w:tplc="0C09001B" w:tentative="1">
      <w:start w:val="1"/>
      <w:numFmt w:val="lowerRoman"/>
      <w:lvlText w:val="%9."/>
      <w:lvlJc w:val="right"/>
      <w:pPr>
        <w:ind w:left="11943" w:hanging="180"/>
      </w:pPr>
    </w:lvl>
  </w:abstractNum>
  <w:abstractNum w:abstractNumId="7" w15:restartNumberingAfterBreak="0">
    <w:nsid w:val="14A35D7E"/>
    <w:multiLevelType w:val="hybridMultilevel"/>
    <w:tmpl w:val="F774DD32"/>
    <w:lvl w:ilvl="0" w:tplc="596288C6">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8" w15:restartNumberingAfterBreak="0">
    <w:nsid w:val="16463545"/>
    <w:multiLevelType w:val="multilevel"/>
    <w:tmpl w:val="130E79A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84252ED"/>
    <w:multiLevelType w:val="hybridMultilevel"/>
    <w:tmpl w:val="9B3CC9A0"/>
    <w:lvl w:ilvl="0" w:tplc="D3AAD4A4">
      <w:start w:val="1"/>
      <w:numFmt w:val="lowerLetter"/>
      <w:lvlText w:val="(%1)"/>
      <w:lvlJc w:val="left"/>
      <w:pPr>
        <w:ind w:left="1070" w:hanging="360"/>
      </w:pPr>
      <w:rPr>
        <w:rFonts w:hint="default"/>
        <w:b w:val="0"/>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0" w15:restartNumberingAfterBreak="0">
    <w:nsid w:val="204061C8"/>
    <w:multiLevelType w:val="hybridMultilevel"/>
    <w:tmpl w:val="1E6A3C7A"/>
    <w:lvl w:ilvl="0" w:tplc="596288C6">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1" w15:restartNumberingAfterBreak="0">
    <w:nsid w:val="2099474A"/>
    <w:multiLevelType w:val="hybridMultilevel"/>
    <w:tmpl w:val="198C69A2"/>
    <w:lvl w:ilvl="0" w:tplc="F8D250CC">
      <w:start w:val="1"/>
      <w:numFmt w:val="lowerLetter"/>
      <w:lvlText w:val="(%1)"/>
      <w:lvlJc w:val="left"/>
      <w:pPr>
        <w:tabs>
          <w:tab w:val="num" w:pos="1134"/>
        </w:tabs>
        <w:ind w:left="1134" w:hanging="567"/>
      </w:pPr>
      <w:rPr>
        <w:rFonts w:hint="default"/>
      </w:rPr>
    </w:lvl>
    <w:lvl w:ilvl="1" w:tplc="DDB02BC2">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F674BD9"/>
    <w:multiLevelType w:val="hybridMultilevel"/>
    <w:tmpl w:val="C6A2CCFC"/>
    <w:lvl w:ilvl="0" w:tplc="526094B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B57C4E"/>
    <w:multiLevelType w:val="hybridMultilevel"/>
    <w:tmpl w:val="31225230"/>
    <w:lvl w:ilvl="0" w:tplc="89BC6ECA">
      <w:start w:val="1"/>
      <w:numFmt w:val="lowerLetter"/>
      <w:lvlText w:val="(%1)"/>
      <w:lvlJc w:val="left"/>
      <w:pPr>
        <w:ind w:left="1440" w:hanging="360"/>
      </w:pPr>
      <w:rPr>
        <w:rFonts w:hint="default"/>
        <w:b w:val="0"/>
      </w:rPr>
    </w:lvl>
    <w:lvl w:ilvl="1" w:tplc="A0DA4762" w:tentative="1">
      <w:start w:val="1"/>
      <w:numFmt w:val="lowerLetter"/>
      <w:lvlText w:val="%2."/>
      <w:lvlJc w:val="left"/>
      <w:pPr>
        <w:ind w:left="2160" w:hanging="360"/>
      </w:pPr>
    </w:lvl>
    <w:lvl w:ilvl="2" w:tplc="C7BCFF26" w:tentative="1">
      <w:start w:val="1"/>
      <w:numFmt w:val="lowerRoman"/>
      <w:lvlText w:val="%3."/>
      <w:lvlJc w:val="right"/>
      <w:pPr>
        <w:ind w:left="2880" w:hanging="180"/>
      </w:pPr>
    </w:lvl>
    <w:lvl w:ilvl="3" w:tplc="01046750" w:tentative="1">
      <w:start w:val="1"/>
      <w:numFmt w:val="decimal"/>
      <w:lvlText w:val="%4."/>
      <w:lvlJc w:val="left"/>
      <w:pPr>
        <w:ind w:left="3600" w:hanging="360"/>
      </w:pPr>
    </w:lvl>
    <w:lvl w:ilvl="4" w:tplc="C03C37D6" w:tentative="1">
      <w:start w:val="1"/>
      <w:numFmt w:val="lowerLetter"/>
      <w:lvlText w:val="%5."/>
      <w:lvlJc w:val="left"/>
      <w:pPr>
        <w:ind w:left="4320" w:hanging="360"/>
      </w:pPr>
    </w:lvl>
    <w:lvl w:ilvl="5" w:tplc="8ADEED4C" w:tentative="1">
      <w:start w:val="1"/>
      <w:numFmt w:val="lowerRoman"/>
      <w:lvlText w:val="%6."/>
      <w:lvlJc w:val="right"/>
      <w:pPr>
        <w:ind w:left="5040" w:hanging="180"/>
      </w:pPr>
    </w:lvl>
    <w:lvl w:ilvl="6" w:tplc="FD82F3F6" w:tentative="1">
      <w:start w:val="1"/>
      <w:numFmt w:val="decimal"/>
      <w:lvlText w:val="%7."/>
      <w:lvlJc w:val="left"/>
      <w:pPr>
        <w:ind w:left="5760" w:hanging="360"/>
      </w:pPr>
    </w:lvl>
    <w:lvl w:ilvl="7" w:tplc="E3F6E4AC" w:tentative="1">
      <w:start w:val="1"/>
      <w:numFmt w:val="lowerLetter"/>
      <w:lvlText w:val="%8."/>
      <w:lvlJc w:val="left"/>
      <w:pPr>
        <w:ind w:left="6480" w:hanging="360"/>
      </w:pPr>
    </w:lvl>
    <w:lvl w:ilvl="8" w:tplc="33BAEC86" w:tentative="1">
      <w:start w:val="1"/>
      <w:numFmt w:val="lowerRoman"/>
      <w:lvlText w:val="%9."/>
      <w:lvlJc w:val="right"/>
      <w:pPr>
        <w:ind w:left="7200" w:hanging="180"/>
      </w:pPr>
    </w:lvl>
  </w:abstractNum>
  <w:abstractNum w:abstractNumId="14" w15:restartNumberingAfterBreak="0">
    <w:nsid w:val="34B117EE"/>
    <w:multiLevelType w:val="multilevel"/>
    <w:tmpl w:val="7DDCF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7864394"/>
    <w:multiLevelType w:val="multilevel"/>
    <w:tmpl w:val="AA96DB1E"/>
    <w:lvl w:ilvl="0">
      <w:start w:val="1"/>
      <w:numFmt w:val="decimal"/>
      <w:lvlText w:val="%1."/>
      <w:lvlJc w:val="left"/>
      <w:pPr>
        <w:tabs>
          <w:tab w:val="num" w:pos="567"/>
        </w:tabs>
        <w:ind w:left="567" w:hanging="567"/>
      </w:pPr>
      <w:rPr>
        <w:rFonts w:ascii="Times New Roman" w:hAnsi="Times New Roman" w:hint="default"/>
        <w:b w:val="0"/>
        <w:i w:val="0"/>
        <w:sz w:val="26"/>
      </w:rPr>
    </w:lvl>
    <w:lvl w:ilvl="1">
      <w:start w:val="1"/>
      <w:numFmt w:val="lowerLetter"/>
      <w:lvlText w:val="(%2)"/>
      <w:lvlJc w:val="left"/>
      <w:pPr>
        <w:tabs>
          <w:tab w:val="num" w:pos="1134"/>
        </w:tabs>
        <w:ind w:left="1134" w:hanging="567"/>
      </w:pPr>
      <w:rPr>
        <w:rFonts w:hint="default"/>
      </w:rPr>
    </w:lvl>
    <w:lvl w:ilvl="2">
      <w:start w:val="1"/>
      <w:numFmt w:val="lowerLetter"/>
      <w:lvlText w:val="(%3)"/>
      <w:lvlJc w:val="left"/>
      <w:pPr>
        <w:tabs>
          <w:tab w:val="num" w:pos="1080"/>
        </w:tabs>
        <w:ind w:left="1080" w:hanging="360"/>
      </w:pPr>
      <w:rPr>
        <w:rFonts w:ascii="Times New Roman" w:hAnsi="Times New Roman" w:hint="default"/>
        <w:b w:val="0"/>
        <w:i w:val="0"/>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BEF7A21"/>
    <w:multiLevelType w:val="hybridMultilevel"/>
    <w:tmpl w:val="35C08832"/>
    <w:lvl w:ilvl="0" w:tplc="413CF5EA">
      <w:start w:val="1"/>
      <w:numFmt w:val="bullet"/>
      <w:lvlText w:val=""/>
      <w:lvlJc w:val="left"/>
      <w:pPr>
        <w:tabs>
          <w:tab w:val="num" w:pos="1134"/>
        </w:tabs>
        <w:ind w:left="1134" w:hanging="567"/>
      </w:pPr>
      <w:rPr>
        <w:rFonts w:ascii="Symbol" w:hAnsi="Symbol" w:hint="default"/>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9F3D0A"/>
    <w:multiLevelType w:val="hybridMultilevel"/>
    <w:tmpl w:val="8D00CBEE"/>
    <w:lvl w:ilvl="0" w:tplc="E0AA65EE">
      <w:start w:val="1"/>
      <w:numFmt w:val="lowerLetter"/>
      <w:lvlText w:val="(%1)"/>
      <w:lvlJc w:val="left"/>
      <w:pPr>
        <w:tabs>
          <w:tab w:val="num" w:pos="567"/>
        </w:tabs>
        <w:ind w:left="1134" w:hanging="567"/>
      </w:pPr>
      <w:rPr>
        <w:rFonts w:cs="Times New Roman"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F921471"/>
    <w:multiLevelType w:val="hybridMultilevel"/>
    <w:tmpl w:val="EBF47D94"/>
    <w:lvl w:ilvl="0" w:tplc="1B4E043A">
      <w:start w:val="1"/>
      <w:numFmt w:val="lowerLetter"/>
      <w:lvlText w:val="(%1)"/>
      <w:lvlJc w:val="left"/>
      <w:pPr>
        <w:tabs>
          <w:tab w:val="num" w:pos="1134"/>
        </w:tabs>
        <w:ind w:left="1134" w:hanging="567"/>
      </w:pPr>
      <w:rPr>
        <w:rFonts w:ascii="Times New Roman" w:hAnsi="Times New Roman" w:hint="default"/>
        <w:b w:val="0"/>
        <w:i w:val="0"/>
        <w:sz w:val="22"/>
        <w:szCs w:val="22"/>
      </w:rPr>
    </w:lvl>
    <w:lvl w:ilvl="1" w:tplc="6E1A5488">
      <w:start w:val="1"/>
      <w:numFmt w:val="lowerLetter"/>
      <w:lvlText w:val="(%2)"/>
      <w:lvlJc w:val="left"/>
      <w:pPr>
        <w:tabs>
          <w:tab w:val="num" w:pos="1134"/>
        </w:tabs>
        <w:ind w:left="1134" w:hanging="567"/>
      </w:pPr>
      <w:rPr>
        <w:rFonts w:ascii="Times New Roman" w:hAnsi="Times New Roman" w:hint="default"/>
        <w:b w:val="0"/>
        <w:i w:val="0"/>
        <w:sz w:val="24"/>
        <w:szCs w:val="24"/>
      </w:rPr>
    </w:lvl>
    <w:lvl w:ilvl="2" w:tplc="F282FC8A">
      <w:start w:val="1"/>
      <w:numFmt w:val="lowerLetter"/>
      <w:lvlText w:val="(%3)"/>
      <w:lvlJc w:val="left"/>
      <w:pPr>
        <w:tabs>
          <w:tab w:val="num" w:pos="1134"/>
        </w:tabs>
        <w:ind w:left="1134" w:hanging="567"/>
      </w:pPr>
      <w:rPr>
        <w:rFonts w:ascii="Times New Roman" w:hAnsi="Times New Roman" w:hint="default"/>
        <w:b w:val="0"/>
        <w:i w:val="0"/>
        <w:sz w:val="24"/>
        <w:szCs w:val="24"/>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45FE70FC"/>
    <w:multiLevelType w:val="singleLevel"/>
    <w:tmpl w:val="8F24E37A"/>
    <w:lvl w:ilvl="0">
      <w:start w:val="1"/>
      <w:numFmt w:val="decimal"/>
      <w:pStyle w:val="BodyText"/>
      <w:lvlText w:val="%1."/>
      <w:lvlJc w:val="left"/>
      <w:pPr>
        <w:tabs>
          <w:tab w:val="num" w:pos="567"/>
        </w:tabs>
        <w:ind w:left="567" w:hanging="567"/>
      </w:pPr>
      <w:rPr>
        <w:rFonts w:ascii="Times New Roman" w:hAnsi="Times New Roman"/>
        <w:b w:val="0"/>
        <w:strike w:val="0"/>
        <w:color w:val="auto"/>
        <w:sz w:val="24"/>
        <w:szCs w:val="24"/>
      </w:rPr>
    </w:lvl>
  </w:abstractNum>
  <w:abstractNum w:abstractNumId="20" w15:restartNumberingAfterBreak="0">
    <w:nsid w:val="4A683471"/>
    <w:multiLevelType w:val="hybridMultilevel"/>
    <w:tmpl w:val="32E88056"/>
    <w:lvl w:ilvl="0" w:tplc="596288C6">
      <w:start w:val="1"/>
      <w:numFmt w:val="lowerLetter"/>
      <w:lvlText w:val="(%1)"/>
      <w:lvlJc w:val="left"/>
      <w:pPr>
        <w:ind w:left="1897" w:hanging="360"/>
      </w:pPr>
      <w:rPr>
        <w:rFonts w:hint="default"/>
      </w:rPr>
    </w:lvl>
    <w:lvl w:ilvl="1" w:tplc="0C090019" w:tentative="1">
      <w:start w:val="1"/>
      <w:numFmt w:val="lowerLetter"/>
      <w:lvlText w:val="%2."/>
      <w:lvlJc w:val="left"/>
      <w:pPr>
        <w:ind w:left="2617" w:hanging="360"/>
      </w:pPr>
    </w:lvl>
    <w:lvl w:ilvl="2" w:tplc="0C09001B" w:tentative="1">
      <w:start w:val="1"/>
      <w:numFmt w:val="lowerRoman"/>
      <w:lvlText w:val="%3."/>
      <w:lvlJc w:val="right"/>
      <w:pPr>
        <w:ind w:left="3337" w:hanging="180"/>
      </w:pPr>
    </w:lvl>
    <w:lvl w:ilvl="3" w:tplc="0C09000F" w:tentative="1">
      <w:start w:val="1"/>
      <w:numFmt w:val="decimal"/>
      <w:lvlText w:val="%4."/>
      <w:lvlJc w:val="left"/>
      <w:pPr>
        <w:ind w:left="4057" w:hanging="360"/>
      </w:pPr>
    </w:lvl>
    <w:lvl w:ilvl="4" w:tplc="0C090019" w:tentative="1">
      <w:start w:val="1"/>
      <w:numFmt w:val="lowerLetter"/>
      <w:lvlText w:val="%5."/>
      <w:lvlJc w:val="left"/>
      <w:pPr>
        <w:ind w:left="4777" w:hanging="360"/>
      </w:pPr>
    </w:lvl>
    <w:lvl w:ilvl="5" w:tplc="0C09001B" w:tentative="1">
      <w:start w:val="1"/>
      <w:numFmt w:val="lowerRoman"/>
      <w:lvlText w:val="%6."/>
      <w:lvlJc w:val="right"/>
      <w:pPr>
        <w:ind w:left="5497" w:hanging="180"/>
      </w:pPr>
    </w:lvl>
    <w:lvl w:ilvl="6" w:tplc="0C09000F" w:tentative="1">
      <w:start w:val="1"/>
      <w:numFmt w:val="decimal"/>
      <w:lvlText w:val="%7."/>
      <w:lvlJc w:val="left"/>
      <w:pPr>
        <w:ind w:left="6217" w:hanging="360"/>
      </w:pPr>
    </w:lvl>
    <w:lvl w:ilvl="7" w:tplc="0C090019" w:tentative="1">
      <w:start w:val="1"/>
      <w:numFmt w:val="lowerLetter"/>
      <w:lvlText w:val="%8."/>
      <w:lvlJc w:val="left"/>
      <w:pPr>
        <w:ind w:left="6937" w:hanging="360"/>
      </w:pPr>
    </w:lvl>
    <w:lvl w:ilvl="8" w:tplc="0C09001B" w:tentative="1">
      <w:start w:val="1"/>
      <w:numFmt w:val="lowerRoman"/>
      <w:lvlText w:val="%9."/>
      <w:lvlJc w:val="right"/>
      <w:pPr>
        <w:ind w:left="7657" w:hanging="180"/>
      </w:pPr>
    </w:lvl>
  </w:abstractNum>
  <w:abstractNum w:abstractNumId="21" w15:restartNumberingAfterBreak="0">
    <w:nsid w:val="4C326B5C"/>
    <w:multiLevelType w:val="hybridMultilevel"/>
    <w:tmpl w:val="76DC4C70"/>
    <w:lvl w:ilvl="0" w:tplc="1B4E043A">
      <w:start w:val="1"/>
      <w:numFmt w:val="lowerLetter"/>
      <w:lvlText w:val="(%1)"/>
      <w:lvlJc w:val="left"/>
      <w:pPr>
        <w:ind w:left="1287" w:hanging="360"/>
      </w:pPr>
      <w:rPr>
        <w:rFonts w:ascii="Times New Roman" w:hAnsi="Times New Roman" w:hint="default"/>
        <w:b w:val="0"/>
        <w:i w:val="0"/>
        <w:sz w:val="22"/>
        <w:szCs w:val="22"/>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1B4E043A">
      <w:start w:val="1"/>
      <w:numFmt w:val="lowerLetter"/>
      <w:lvlText w:val="(%5)"/>
      <w:lvlJc w:val="left"/>
      <w:pPr>
        <w:ind w:left="4167" w:hanging="360"/>
      </w:pPr>
      <w:rPr>
        <w:rFonts w:ascii="Times New Roman" w:hAnsi="Times New Roman" w:hint="default"/>
        <w:b w:val="0"/>
        <w:i w:val="0"/>
        <w:sz w:val="22"/>
        <w:szCs w:val="22"/>
      </w:r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15:restartNumberingAfterBreak="0">
    <w:nsid w:val="4D23006D"/>
    <w:multiLevelType w:val="hybridMultilevel"/>
    <w:tmpl w:val="FCAAB5AC"/>
    <w:lvl w:ilvl="0" w:tplc="31E6BCE8">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3" w15:restartNumberingAfterBreak="0">
    <w:nsid w:val="4E4C0BE3"/>
    <w:multiLevelType w:val="hybridMultilevel"/>
    <w:tmpl w:val="58484EA2"/>
    <w:lvl w:ilvl="0" w:tplc="312A8E74">
      <w:start w:val="1"/>
      <w:numFmt w:val="lowerLetter"/>
      <w:lvlText w:val="(%1)"/>
      <w:lvlJc w:val="left"/>
      <w:pPr>
        <w:tabs>
          <w:tab w:val="num" w:pos="1134"/>
        </w:tabs>
        <w:ind w:left="1134" w:hanging="567"/>
      </w:pPr>
      <w:rPr>
        <w:rFonts w:ascii="Times New Roman" w:hAnsi="Times New Roman" w:hint="default"/>
        <w:b w:val="0"/>
        <w:i w:val="0"/>
        <w:sz w:val="24"/>
        <w:szCs w:val="24"/>
      </w:rPr>
    </w:lvl>
    <w:lvl w:ilvl="1" w:tplc="2CA2A194">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06E3FB0"/>
    <w:multiLevelType w:val="hybridMultilevel"/>
    <w:tmpl w:val="B5ECB004"/>
    <w:lvl w:ilvl="0" w:tplc="C37267C0">
      <w:start w:val="1"/>
      <w:numFmt w:val="lowerRoman"/>
      <w:lvlText w:val="(%1)"/>
      <w:lvlJc w:val="left"/>
      <w:pPr>
        <w:ind w:left="1500" w:hanging="72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25" w15:restartNumberingAfterBreak="0">
    <w:nsid w:val="50CE2BA9"/>
    <w:multiLevelType w:val="hybridMultilevel"/>
    <w:tmpl w:val="6694CCD0"/>
    <w:lvl w:ilvl="0" w:tplc="31E6BCE8">
      <w:start w:val="1"/>
      <w:numFmt w:val="lowerRoman"/>
      <w:lvlText w:val="(%1)"/>
      <w:lvlJc w:val="left"/>
      <w:pPr>
        <w:tabs>
          <w:tab w:val="num" w:pos="1440"/>
        </w:tabs>
        <w:ind w:left="1440" w:hanging="567"/>
      </w:pPr>
      <w:rPr>
        <w:rFonts w:hint="default"/>
        <w:b w:val="0"/>
        <w:i w:val="0"/>
        <w:sz w:val="24"/>
        <w:szCs w:val="24"/>
      </w:rPr>
    </w:lvl>
    <w:lvl w:ilvl="1" w:tplc="0C090019" w:tentative="1">
      <w:start w:val="1"/>
      <w:numFmt w:val="lowerLetter"/>
      <w:lvlText w:val="%2."/>
      <w:lvlJc w:val="left"/>
      <w:pPr>
        <w:tabs>
          <w:tab w:val="num" w:pos="1746"/>
        </w:tabs>
        <w:ind w:left="1746" w:hanging="360"/>
      </w:pPr>
    </w:lvl>
    <w:lvl w:ilvl="2" w:tplc="0C09001B" w:tentative="1">
      <w:start w:val="1"/>
      <w:numFmt w:val="lowerRoman"/>
      <w:lvlText w:val="%3."/>
      <w:lvlJc w:val="right"/>
      <w:pPr>
        <w:tabs>
          <w:tab w:val="num" w:pos="2466"/>
        </w:tabs>
        <w:ind w:left="2466" w:hanging="180"/>
      </w:pPr>
    </w:lvl>
    <w:lvl w:ilvl="3" w:tplc="0C09000F" w:tentative="1">
      <w:start w:val="1"/>
      <w:numFmt w:val="decimal"/>
      <w:lvlText w:val="%4."/>
      <w:lvlJc w:val="left"/>
      <w:pPr>
        <w:tabs>
          <w:tab w:val="num" w:pos="3186"/>
        </w:tabs>
        <w:ind w:left="3186" w:hanging="360"/>
      </w:pPr>
    </w:lvl>
    <w:lvl w:ilvl="4" w:tplc="0C090019" w:tentative="1">
      <w:start w:val="1"/>
      <w:numFmt w:val="lowerLetter"/>
      <w:lvlText w:val="%5."/>
      <w:lvlJc w:val="left"/>
      <w:pPr>
        <w:tabs>
          <w:tab w:val="num" w:pos="3906"/>
        </w:tabs>
        <w:ind w:left="3906" w:hanging="360"/>
      </w:pPr>
    </w:lvl>
    <w:lvl w:ilvl="5" w:tplc="0C09001B" w:tentative="1">
      <w:start w:val="1"/>
      <w:numFmt w:val="lowerRoman"/>
      <w:lvlText w:val="%6."/>
      <w:lvlJc w:val="right"/>
      <w:pPr>
        <w:tabs>
          <w:tab w:val="num" w:pos="4626"/>
        </w:tabs>
        <w:ind w:left="4626" w:hanging="180"/>
      </w:pPr>
    </w:lvl>
    <w:lvl w:ilvl="6" w:tplc="0C09000F" w:tentative="1">
      <w:start w:val="1"/>
      <w:numFmt w:val="decimal"/>
      <w:lvlText w:val="%7."/>
      <w:lvlJc w:val="left"/>
      <w:pPr>
        <w:tabs>
          <w:tab w:val="num" w:pos="5346"/>
        </w:tabs>
        <w:ind w:left="5346" w:hanging="360"/>
      </w:pPr>
    </w:lvl>
    <w:lvl w:ilvl="7" w:tplc="0C090019" w:tentative="1">
      <w:start w:val="1"/>
      <w:numFmt w:val="lowerLetter"/>
      <w:lvlText w:val="%8."/>
      <w:lvlJc w:val="left"/>
      <w:pPr>
        <w:tabs>
          <w:tab w:val="num" w:pos="6066"/>
        </w:tabs>
        <w:ind w:left="6066" w:hanging="360"/>
      </w:pPr>
    </w:lvl>
    <w:lvl w:ilvl="8" w:tplc="0C09001B" w:tentative="1">
      <w:start w:val="1"/>
      <w:numFmt w:val="lowerRoman"/>
      <w:lvlText w:val="%9."/>
      <w:lvlJc w:val="right"/>
      <w:pPr>
        <w:tabs>
          <w:tab w:val="num" w:pos="6786"/>
        </w:tabs>
        <w:ind w:left="6786" w:hanging="180"/>
      </w:pPr>
    </w:lvl>
  </w:abstractNum>
  <w:abstractNum w:abstractNumId="26" w15:restartNumberingAfterBreak="0">
    <w:nsid w:val="538A14A8"/>
    <w:multiLevelType w:val="hybridMultilevel"/>
    <w:tmpl w:val="DDFCC090"/>
    <w:lvl w:ilvl="0" w:tplc="41907E00">
      <w:start w:val="1"/>
      <w:numFmt w:val="lowerLetter"/>
      <w:lvlText w:val="(%1)"/>
      <w:lvlJc w:val="left"/>
      <w:pPr>
        <w:ind w:left="720" w:hanging="360"/>
      </w:pPr>
      <w:rPr>
        <w:rFonts w:hint="default"/>
        <w:color w:val="auto"/>
      </w:rPr>
    </w:lvl>
    <w:lvl w:ilvl="1" w:tplc="989E7CA8">
      <w:start w:val="1"/>
      <w:numFmt w:val="lowerRoman"/>
      <w:lvlText w:val="(%2)"/>
      <w:lvlJc w:val="center"/>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69F703FD"/>
    <w:multiLevelType w:val="hybridMultilevel"/>
    <w:tmpl w:val="BFDAAB5A"/>
    <w:lvl w:ilvl="0" w:tplc="2BD03882">
      <w:start w:val="1"/>
      <w:numFmt w:val="lowerLetter"/>
      <w:lvlText w:val="(%1)"/>
      <w:lvlJc w:val="left"/>
      <w:pPr>
        <w:tabs>
          <w:tab w:val="num" w:pos="1134"/>
        </w:tabs>
        <w:ind w:left="1134" w:hanging="567"/>
      </w:pPr>
      <w:rPr>
        <w:rFonts w:ascii="Times New Roman" w:hAnsi="Times New Roman" w:hint="default"/>
        <w:b w:val="0"/>
        <w:i w:val="0"/>
        <w:sz w:val="24"/>
        <w:szCs w:val="24"/>
      </w:rPr>
    </w:lvl>
    <w:lvl w:ilvl="1" w:tplc="3CBC6B26">
      <w:start w:val="1"/>
      <w:numFmt w:val="lowerRoman"/>
      <w:lvlText w:val="(%2)"/>
      <w:lvlJc w:val="left"/>
      <w:pPr>
        <w:tabs>
          <w:tab w:val="num" w:pos="1440"/>
        </w:tabs>
        <w:ind w:left="1440" w:hanging="360"/>
      </w:pPr>
      <w:rPr>
        <w:rFonts w:hint="default"/>
      </w:rPr>
    </w:lvl>
    <w:lvl w:ilvl="2" w:tplc="F2C8A1C8">
      <w:start w:val="1"/>
      <w:numFmt w:val="decimal"/>
      <w:lvlText w:val="%3."/>
      <w:lvlJc w:val="left"/>
      <w:pPr>
        <w:ind w:left="2340" w:hanging="360"/>
      </w:pPr>
      <w:rPr>
        <w:rFonts w:hint="default"/>
      </w:rPr>
    </w:lvl>
    <w:lvl w:ilvl="3" w:tplc="1C3234CC" w:tentative="1">
      <w:start w:val="1"/>
      <w:numFmt w:val="decimal"/>
      <w:lvlText w:val="%4."/>
      <w:lvlJc w:val="left"/>
      <w:pPr>
        <w:tabs>
          <w:tab w:val="num" w:pos="2880"/>
        </w:tabs>
        <w:ind w:left="2880" w:hanging="360"/>
      </w:pPr>
    </w:lvl>
    <w:lvl w:ilvl="4" w:tplc="F4109476" w:tentative="1">
      <w:start w:val="1"/>
      <w:numFmt w:val="lowerLetter"/>
      <w:lvlText w:val="%5."/>
      <w:lvlJc w:val="left"/>
      <w:pPr>
        <w:tabs>
          <w:tab w:val="num" w:pos="3600"/>
        </w:tabs>
        <w:ind w:left="3600" w:hanging="360"/>
      </w:pPr>
    </w:lvl>
    <w:lvl w:ilvl="5" w:tplc="077A4DBC">
      <w:start w:val="1"/>
      <w:numFmt w:val="lowerRoman"/>
      <w:lvlText w:val="%6."/>
      <w:lvlJc w:val="right"/>
      <w:pPr>
        <w:tabs>
          <w:tab w:val="num" w:pos="4320"/>
        </w:tabs>
        <w:ind w:left="4320" w:hanging="180"/>
      </w:pPr>
    </w:lvl>
    <w:lvl w:ilvl="6" w:tplc="A51A444E" w:tentative="1">
      <w:start w:val="1"/>
      <w:numFmt w:val="decimal"/>
      <w:lvlText w:val="%7."/>
      <w:lvlJc w:val="left"/>
      <w:pPr>
        <w:tabs>
          <w:tab w:val="num" w:pos="5040"/>
        </w:tabs>
        <w:ind w:left="5040" w:hanging="360"/>
      </w:pPr>
    </w:lvl>
    <w:lvl w:ilvl="7" w:tplc="B2E21ED0" w:tentative="1">
      <w:start w:val="1"/>
      <w:numFmt w:val="lowerLetter"/>
      <w:lvlText w:val="%8."/>
      <w:lvlJc w:val="left"/>
      <w:pPr>
        <w:tabs>
          <w:tab w:val="num" w:pos="5760"/>
        </w:tabs>
        <w:ind w:left="5760" w:hanging="360"/>
      </w:pPr>
    </w:lvl>
    <w:lvl w:ilvl="8" w:tplc="71DEF1A2" w:tentative="1">
      <w:start w:val="1"/>
      <w:numFmt w:val="lowerRoman"/>
      <w:lvlText w:val="%9."/>
      <w:lvlJc w:val="right"/>
      <w:pPr>
        <w:tabs>
          <w:tab w:val="num" w:pos="6480"/>
        </w:tabs>
        <w:ind w:left="6480" w:hanging="180"/>
      </w:pPr>
    </w:lvl>
  </w:abstractNum>
  <w:abstractNum w:abstractNumId="29" w15:restartNumberingAfterBreak="0">
    <w:nsid w:val="6DD314EF"/>
    <w:multiLevelType w:val="singleLevel"/>
    <w:tmpl w:val="05EC9F4A"/>
    <w:lvl w:ilvl="0">
      <w:start w:val="1"/>
      <w:numFmt w:val="lowerLetter"/>
      <w:pStyle w:val="bullet"/>
      <w:lvlText w:val="(%1)"/>
      <w:lvlJc w:val="left"/>
      <w:pPr>
        <w:tabs>
          <w:tab w:val="num" w:pos="1134"/>
        </w:tabs>
        <w:ind w:left="1134" w:hanging="567"/>
      </w:pPr>
      <w:rPr>
        <w:rFonts w:hint="default"/>
        <w:sz w:val="24"/>
        <w:szCs w:val="24"/>
      </w:rPr>
    </w:lvl>
  </w:abstractNum>
  <w:abstractNum w:abstractNumId="30" w15:restartNumberingAfterBreak="0">
    <w:nsid w:val="74650A3A"/>
    <w:multiLevelType w:val="hybridMultilevel"/>
    <w:tmpl w:val="E4448E90"/>
    <w:lvl w:ilvl="0" w:tplc="1EE0B7F6">
      <w:start w:val="1"/>
      <w:numFmt w:val="lowerRoman"/>
      <w:lvlText w:val="(%1)"/>
      <w:lvlJc w:val="left"/>
      <w:pPr>
        <w:tabs>
          <w:tab w:val="num" w:pos="1440"/>
        </w:tabs>
        <w:ind w:left="1440" w:hanging="567"/>
      </w:pPr>
      <w:rPr>
        <w:rFonts w:hint="default"/>
        <w:b w:val="0"/>
        <w:i w:val="0"/>
        <w:sz w:val="24"/>
        <w:szCs w:val="24"/>
      </w:rPr>
    </w:lvl>
    <w:lvl w:ilvl="1" w:tplc="F4AE6C1A" w:tentative="1">
      <w:start w:val="1"/>
      <w:numFmt w:val="lowerLetter"/>
      <w:lvlText w:val="%2."/>
      <w:lvlJc w:val="left"/>
      <w:pPr>
        <w:tabs>
          <w:tab w:val="num" w:pos="1746"/>
        </w:tabs>
        <w:ind w:left="1746" w:hanging="360"/>
      </w:pPr>
    </w:lvl>
    <w:lvl w:ilvl="2" w:tplc="BC56DBAC" w:tentative="1">
      <w:start w:val="1"/>
      <w:numFmt w:val="lowerRoman"/>
      <w:lvlText w:val="%3."/>
      <w:lvlJc w:val="right"/>
      <w:pPr>
        <w:tabs>
          <w:tab w:val="num" w:pos="2466"/>
        </w:tabs>
        <w:ind w:left="2466" w:hanging="180"/>
      </w:pPr>
    </w:lvl>
    <w:lvl w:ilvl="3" w:tplc="F5DC9C1E" w:tentative="1">
      <w:start w:val="1"/>
      <w:numFmt w:val="decimal"/>
      <w:lvlText w:val="%4."/>
      <w:lvlJc w:val="left"/>
      <w:pPr>
        <w:tabs>
          <w:tab w:val="num" w:pos="3186"/>
        </w:tabs>
        <w:ind w:left="3186" w:hanging="360"/>
      </w:pPr>
    </w:lvl>
    <w:lvl w:ilvl="4" w:tplc="964A33C2" w:tentative="1">
      <w:start w:val="1"/>
      <w:numFmt w:val="lowerLetter"/>
      <w:lvlText w:val="%5."/>
      <w:lvlJc w:val="left"/>
      <w:pPr>
        <w:tabs>
          <w:tab w:val="num" w:pos="3906"/>
        </w:tabs>
        <w:ind w:left="3906" w:hanging="360"/>
      </w:pPr>
    </w:lvl>
    <w:lvl w:ilvl="5" w:tplc="F54E4C64" w:tentative="1">
      <w:start w:val="1"/>
      <w:numFmt w:val="lowerRoman"/>
      <w:lvlText w:val="%6."/>
      <w:lvlJc w:val="right"/>
      <w:pPr>
        <w:tabs>
          <w:tab w:val="num" w:pos="4626"/>
        </w:tabs>
        <w:ind w:left="4626" w:hanging="180"/>
      </w:pPr>
    </w:lvl>
    <w:lvl w:ilvl="6" w:tplc="F59601CC" w:tentative="1">
      <w:start w:val="1"/>
      <w:numFmt w:val="decimal"/>
      <w:lvlText w:val="%7."/>
      <w:lvlJc w:val="left"/>
      <w:pPr>
        <w:tabs>
          <w:tab w:val="num" w:pos="5346"/>
        </w:tabs>
        <w:ind w:left="5346" w:hanging="360"/>
      </w:pPr>
    </w:lvl>
    <w:lvl w:ilvl="7" w:tplc="67F69E8E" w:tentative="1">
      <w:start w:val="1"/>
      <w:numFmt w:val="lowerLetter"/>
      <w:lvlText w:val="%8."/>
      <w:lvlJc w:val="left"/>
      <w:pPr>
        <w:tabs>
          <w:tab w:val="num" w:pos="6066"/>
        </w:tabs>
        <w:ind w:left="6066" w:hanging="360"/>
      </w:pPr>
    </w:lvl>
    <w:lvl w:ilvl="8" w:tplc="55C4A0C8" w:tentative="1">
      <w:start w:val="1"/>
      <w:numFmt w:val="lowerRoman"/>
      <w:lvlText w:val="%9."/>
      <w:lvlJc w:val="right"/>
      <w:pPr>
        <w:tabs>
          <w:tab w:val="num" w:pos="6786"/>
        </w:tabs>
        <w:ind w:left="6786" w:hanging="180"/>
      </w:pPr>
    </w:lvl>
  </w:abstractNum>
  <w:abstractNum w:abstractNumId="31" w15:restartNumberingAfterBreak="0">
    <w:nsid w:val="77DD1944"/>
    <w:multiLevelType w:val="multilevel"/>
    <w:tmpl w:val="AA96DB1E"/>
    <w:lvl w:ilvl="0">
      <w:start w:val="1"/>
      <w:numFmt w:val="decimal"/>
      <w:lvlText w:val="%1."/>
      <w:lvlJc w:val="left"/>
      <w:pPr>
        <w:tabs>
          <w:tab w:val="num" w:pos="567"/>
        </w:tabs>
        <w:ind w:left="567" w:hanging="567"/>
      </w:pPr>
      <w:rPr>
        <w:rFonts w:ascii="Times New Roman" w:hAnsi="Times New Roman" w:hint="default"/>
        <w:b w:val="0"/>
        <w:i w:val="0"/>
        <w:sz w:val="26"/>
      </w:rPr>
    </w:lvl>
    <w:lvl w:ilvl="1">
      <w:start w:val="1"/>
      <w:numFmt w:val="lowerLetter"/>
      <w:lvlText w:val="(%2)"/>
      <w:lvlJc w:val="left"/>
      <w:pPr>
        <w:tabs>
          <w:tab w:val="num" w:pos="1134"/>
        </w:tabs>
        <w:ind w:left="1134" w:hanging="567"/>
      </w:pPr>
      <w:rPr>
        <w:rFonts w:hint="default"/>
      </w:rPr>
    </w:lvl>
    <w:lvl w:ilvl="2">
      <w:start w:val="1"/>
      <w:numFmt w:val="lowerLetter"/>
      <w:lvlText w:val="(%3)"/>
      <w:lvlJc w:val="left"/>
      <w:pPr>
        <w:tabs>
          <w:tab w:val="num" w:pos="1080"/>
        </w:tabs>
        <w:ind w:left="1080" w:hanging="360"/>
      </w:pPr>
      <w:rPr>
        <w:rFonts w:ascii="Times New Roman" w:hAnsi="Times New Roman" w:hint="default"/>
        <w:b w:val="0"/>
        <w:i w:val="0"/>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1495"/>
        </w:tabs>
        <w:ind w:left="1495"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9242538"/>
    <w:multiLevelType w:val="hybridMultilevel"/>
    <w:tmpl w:val="89CE2F92"/>
    <w:lvl w:ilvl="0" w:tplc="C7C4664C">
      <w:start w:val="1"/>
      <w:numFmt w:val="lowerLetter"/>
      <w:lvlText w:val="(%1)"/>
      <w:lvlJc w:val="left"/>
      <w:pPr>
        <w:tabs>
          <w:tab w:val="num" w:pos="1134"/>
        </w:tabs>
        <w:ind w:left="1134" w:hanging="567"/>
      </w:pPr>
      <w:rPr>
        <w:rFonts w:ascii="Times New Roman" w:hAnsi="Times New Roman" w:hint="default"/>
        <w:b w:val="0"/>
        <w:i w:val="0"/>
        <w:sz w:val="22"/>
        <w:szCs w:val="22"/>
      </w:rPr>
    </w:lvl>
    <w:lvl w:ilvl="1" w:tplc="C8560ADA">
      <w:start w:val="1"/>
      <w:numFmt w:val="lowerLetter"/>
      <w:lvlText w:val="(%2)"/>
      <w:lvlJc w:val="left"/>
      <w:pPr>
        <w:tabs>
          <w:tab w:val="num" w:pos="1455"/>
        </w:tabs>
        <w:ind w:left="1455" w:hanging="375"/>
      </w:pPr>
      <w:rPr>
        <w:rFonts w:hint="default"/>
      </w:rPr>
    </w:lvl>
    <w:lvl w:ilvl="2" w:tplc="CC62713A" w:tentative="1">
      <w:start w:val="1"/>
      <w:numFmt w:val="lowerRoman"/>
      <w:lvlText w:val="%3."/>
      <w:lvlJc w:val="right"/>
      <w:pPr>
        <w:tabs>
          <w:tab w:val="num" w:pos="2160"/>
        </w:tabs>
        <w:ind w:left="2160" w:hanging="180"/>
      </w:pPr>
    </w:lvl>
    <w:lvl w:ilvl="3" w:tplc="3A96EE5E" w:tentative="1">
      <w:start w:val="1"/>
      <w:numFmt w:val="decimal"/>
      <w:lvlText w:val="%4."/>
      <w:lvlJc w:val="left"/>
      <w:pPr>
        <w:tabs>
          <w:tab w:val="num" w:pos="2880"/>
        </w:tabs>
        <w:ind w:left="2880" w:hanging="360"/>
      </w:pPr>
    </w:lvl>
    <w:lvl w:ilvl="4" w:tplc="33F6F4D6" w:tentative="1">
      <w:start w:val="1"/>
      <w:numFmt w:val="lowerLetter"/>
      <w:lvlText w:val="%5."/>
      <w:lvlJc w:val="left"/>
      <w:pPr>
        <w:tabs>
          <w:tab w:val="num" w:pos="3600"/>
        </w:tabs>
        <w:ind w:left="3600" w:hanging="360"/>
      </w:pPr>
    </w:lvl>
    <w:lvl w:ilvl="5" w:tplc="6FAC7A80" w:tentative="1">
      <w:start w:val="1"/>
      <w:numFmt w:val="lowerRoman"/>
      <w:lvlText w:val="%6."/>
      <w:lvlJc w:val="right"/>
      <w:pPr>
        <w:tabs>
          <w:tab w:val="num" w:pos="4320"/>
        </w:tabs>
        <w:ind w:left="4320" w:hanging="180"/>
      </w:pPr>
    </w:lvl>
    <w:lvl w:ilvl="6" w:tplc="1C705EEE" w:tentative="1">
      <w:start w:val="1"/>
      <w:numFmt w:val="decimal"/>
      <w:lvlText w:val="%7."/>
      <w:lvlJc w:val="left"/>
      <w:pPr>
        <w:tabs>
          <w:tab w:val="num" w:pos="5040"/>
        </w:tabs>
        <w:ind w:left="5040" w:hanging="360"/>
      </w:pPr>
    </w:lvl>
    <w:lvl w:ilvl="7" w:tplc="50AAF1F6" w:tentative="1">
      <w:start w:val="1"/>
      <w:numFmt w:val="lowerLetter"/>
      <w:lvlText w:val="%8."/>
      <w:lvlJc w:val="left"/>
      <w:pPr>
        <w:tabs>
          <w:tab w:val="num" w:pos="5760"/>
        </w:tabs>
        <w:ind w:left="5760" w:hanging="360"/>
      </w:pPr>
    </w:lvl>
    <w:lvl w:ilvl="8" w:tplc="F0A48008" w:tentative="1">
      <w:start w:val="1"/>
      <w:numFmt w:val="lowerRoman"/>
      <w:lvlText w:val="%9."/>
      <w:lvlJc w:val="right"/>
      <w:pPr>
        <w:tabs>
          <w:tab w:val="num" w:pos="6480"/>
        </w:tabs>
        <w:ind w:left="6480" w:hanging="180"/>
      </w:pPr>
    </w:lvl>
  </w:abstractNum>
  <w:num w:numId="1">
    <w:abstractNumId w:val="29"/>
  </w:num>
  <w:num w:numId="2">
    <w:abstractNumId w:val="19"/>
  </w:num>
  <w:num w:numId="3">
    <w:abstractNumId w:val="18"/>
  </w:num>
  <w:num w:numId="4">
    <w:abstractNumId w:val="25"/>
  </w:num>
  <w:num w:numId="5">
    <w:abstractNumId w:val="11"/>
  </w:num>
  <w:num w:numId="6">
    <w:abstractNumId w:val="32"/>
  </w:num>
  <w:num w:numId="7">
    <w:abstractNumId w:val="31"/>
  </w:num>
  <w:num w:numId="8">
    <w:abstractNumId w:val="23"/>
  </w:num>
  <w:num w:numId="9">
    <w:abstractNumId w:val="17"/>
  </w:num>
  <w:num w:numId="10">
    <w:abstractNumId w:val="28"/>
  </w:num>
  <w:num w:numId="11">
    <w:abstractNumId w:val="2"/>
  </w:num>
  <w:num w:numId="12">
    <w:abstractNumId w:val="16"/>
  </w:num>
  <w:num w:numId="13">
    <w:abstractNumId w:val="5"/>
  </w:num>
  <w:num w:numId="14">
    <w:abstractNumId w:val="1"/>
  </w:num>
  <w:num w:numId="15">
    <w:abstractNumId w:val="22"/>
  </w:num>
  <w:num w:numId="16">
    <w:abstractNumId w:val="21"/>
  </w:num>
  <w:num w:numId="17">
    <w:abstractNumId w:val="19"/>
    <w:lvlOverride w:ilvl="0">
      <w:startOverride w:val="1"/>
    </w:lvlOverride>
  </w:num>
  <w:num w:numId="18">
    <w:abstractNumId w:val="19"/>
    <w:lvlOverride w:ilvl="0">
      <w:startOverride w:val="1"/>
    </w:lvlOverride>
  </w:num>
  <w:num w:numId="19">
    <w:abstractNumId w:val="3"/>
  </w:num>
  <w:num w:numId="20">
    <w:abstractNumId w:val="13"/>
  </w:num>
  <w:num w:numId="21">
    <w:abstractNumId w:val="4"/>
  </w:num>
  <w:num w:numId="22">
    <w:abstractNumId w:val="10"/>
  </w:num>
  <w:num w:numId="23">
    <w:abstractNumId w:val="7"/>
  </w:num>
  <w:num w:numId="24">
    <w:abstractNumId w:val="20"/>
  </w:num>
  <w:num w:numId="25">
    <w:abstractNumId w:val="9"/>
  </w:num>
  <w:num w:numId="26">
    <w:abstractNumId w:val="30"/>
  </w:num>
  <w:num w:numId="27">
    <w:abstractNumId w:val="6"/>
  </w:num>
  <w:num w:numId="28">
    <w:abstractNumId w:val="15"/>
  </w:num>
  <w:num w:numId="29">
    <w:abstractNumId w:val="0"/>
  </w:num>
  <w:num w:numId="30">
    <w:abstractNumId w:val="12"/>
  </w:num>
  <w:num w:numId="31">
    <w:abstractNumId w:val="1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24"/>
  </w:num>
  <w:num w:numId="47">
    <w:abstractNumId w:val="19"/>
    <w:lvlOverride w:ilvl="0">
      <w:startOverride w:val="1"/>
    </w:lvlOverride>
  </w:num>
  <w:num w:numId="48">
    <w:abstractNumId w:val="26"/>
  </w:num>
  <w:num w:numId="49">
    <w:abstractNumId w:val="27"/>
  </w:num>
  <w:num w:numId="50">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34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EB3"/>
    <w:rsid w:val="00000181"/>
    <w:rsid w:val="000007D2"/>
    <w:rsid w:val="00001020"/>
    <w:rsid w:val="000010FE"/>
    <w:rsid w:val="0000117B"/>
    <w:rsid w:val="00002BDF"/>
    <w:rsid w:val="00003569"/>
    <w:rsid w:val="000038A9"/>
    <w:rsid w:val="000045E3"/>
    <w:rsid w:val="000047BA"/>
    <w:rsid w:val="0000495F"/>
    <w:rsid w:val="000059F3"/>
    <w:rsid w:val="00007443"/>
    <w:rsid w:val="000076E9"/>
    <w:rsid w:val="00011096"/>
    <w:rsid w:val="00012416"/>
    <w:rsid w:val="000127BD"/>
    <w:rsid w:val="00012EC6"/>
    <w:rsid w:val="000133E6"/>
    <w:rsid w:val="0001354E"/>
    <w:rsid w:val="000137FB"/>
    <w:rsid w:val="000140C0"/>
    <w:rsid w:val="0001483B"/>
    <w:rsid w:val="00016524"/>
    <w:rsid w:val="00016EFE"/>
    <w:rsid w:val="00016FAC"/>
    <w:rsid w:val="00021761"/>
    <w:rsid w:val="00022AD8"/>
    <w:rsid w:val="00023228"/>
    <w:rsid w:val="00025741"/>
    <w:rsid w:val="00025A5E"/>
    <w:rsid w:val="00026B50"/>
    <w:rsid w:val="00030279"/>
    <w:rsid w:val="0003081F"/>
    <w:rsid w:val="00030C77"/>
    <w:rsid w:val="00030CD4"/>
    <w:rsid w:val="000325F4"/>
    <w:rsid w:val="00036117"/>
    <w:rsid w:val="00036C31"/>
    <w:rsid w:val="00036D06"/>
    <w:rsid w:val="00036E3C"/>
    <w:rsid w:val="00037BBF"/>
    <w:rsid w:val="000407FC"/>
    <w:rsid w:val="000410FA"/>
    <w:rsid w:val="00041663"/>
    <w:rsid w:val="00042437"/>
    <w:rsid w:val="000424BD"/>
    <w:rsid w:val="000429E0"/>
    <w:rsid w:val="000434DF"/>
    <w:rsid w:val="00043DFE"/>
    <w:rsid w:val="00044216"/>
    <w:rsid w:val="000444C8"/>
    <w:rsid w:val="00045121"/>
    <w:rsid w:val="0004543C"/>
    <w:rsid w:val="00045FFC"/>
    <w:rsid w:val="00046A34"/>
    <w:rsid w:val="00046E40"/>
    <w:rsid w:val="000477B2"/>
    <w:rsid w:val="0005115F"/>
    <w:rsid w:val="00051520"/>
    <w:rsid w:val="00051527"/>
    <w:rsid w:val="000520D1"/>
    <w:rsid w:val="00052305"/>
    <w:rsid w:val="00052B98"/>
    <w:rsid w:val="00052FF3"/>
    <w:rsid w:val="00053145"/>
    <w:rsid w:val="000542DD"/>
    <w:rsid w:val="00055490"/>
    <w:rsid w:val="00055703"/>
    <w:rsid w:val="00055ED3"/>
    <w:rsid w:val="00056744"/>
    <w:rsid w:val="00056C87"/>
    <w:rsid w:val="00056D69"/>
    <w:rsid w:val="00057048"/>
    <w:rsid w:val="000573E0"/>
    <w:rsid w:val="000574F0"/>
    <w:rsid w:val="00057595"/>
    <w:rsid w:val="000576B8"/>
    <w:rsid w:val="0005789F"/>
    <w:rsid w:val="00057E74"/>
    <w:rsid w:val="00060A6F"/>
    <w:rsid w:val="00061241"/>
    <w:rsid w:val="0006158B"/>
    <w:rsid w:val="000618F8"/>
    <w:rsid w:val="0006447B"/>
    <w:rsid w:val="00064AA4"/>
    <w:rsid w:val="000654ED"/>
    <w:rsid w:val="00065DCC"/>
    <w:rsid w:val="00065E39"/>
    <w:rsid w:val="0006661E"/>
    <w:rsid w:val="000669DD"/>
    <w:rsid w:val="0006749F"/>
    <w:rsid w:val="00067BF2"/>
    <w:rsid w:val="00070A64"/>
    <w:rsid w:val="00071381"/>
    <w:rsid w:val="0007213F"/>
    <w:rsid w:val="00072979"/>
    <w:rsid w:val="00074065"/>
    <w:rsid w:val="00074D5E"/>
    <w:rsid w:val="000752AA"/>
    <w:rsid w:val="0007696C"/>
    <w:rsid w:val="000776E4"/>
    <w:rsid w:val="00077E5D"/>
    <w:rsid w:val="0008024C"/>
    <w:rsid w:val="000803A2"/>
    <w:rsid w:val="00080412"/>
    <w:rsid w:val="0008065F"/>
    <w:rsid w:val="00080CB9"/>
    <w:rsid w:val="0008156C"/>
    <w:rsid w:val="00081802"/>
    <w:rsid w:val="00082CAF"/>
    <w:rsid w:val="00082EB7"/>
    <w:rsid w:val="00082F0F"/>
    <w:rsid w:val="000832B9"/>
    <w:rsid w:val="00083DCF"/>
    <w:rsid w:val="00083E13"/>
    <w:rsid w:val="00084293"/>
    <w:rsid w:val="00084953"/>
    <w:rsid w:val="00084EC3"/>
    <w:rsid w:val="0008673E"/>
    <w:rsid w:val="00087323"/>
    <w:rsid w:val="00087C88"/>
    <w:rsid w:val="00087D10"/>
    <w:rsid w:val="00087FD0"/>
    <w:rsid w:val="00090027"/>
    <w:rsid w:val="00090395"/>
    <w:rsid w:val="0009046B"/>
    <w:rsid w:val="00090479"/>
    <w:rsid w:val="00090F82"/>
    <w:rsid w:val="00091055"/>
    <w:rsid w:val="00091096"/>
    <w:rsid w:val="00091133"/>
    <w:rsid w:val="00091168"/>
    <w:rsid w:val="0009258D"/>
    <w:rsid w:val="00092987"/>
    <w:rsid w:val="00092FED"/>
    <w:rsid w:val="0009340B"/>
    <w:rsid w:val="00093DDA"/>
    <w:rsid w:val="00097B6A"/>
    <w:rsid w:val="000A0374"/>
    <w:rsid w:val="000A0F02"/>
    <w:rsid w:val="000A1F62"/>
    <w:rsid w:val="000A39B3"/>
    <w:rsid w:val="000A3E82"/>
    <w:rsid w:val="000A3F41"/>
    <w:rsid w:val="000A40A1"/>
    <w:rsid w:val="000A4D35"/>
    <w:rsid w:val="000A4DCD"/>
    <w:rsid w:val="000A5299"/>
    <w:rsid w:val="000A564F"/>
    <w:rsid w:val="000A5A7F"/>
    <w:rsid w:val="000A6987"/>
    <w:rsid w:val="000A6F8A"/>
    <w:rsid w:val="000A731A"/>
    <w:rsid w:val="000A7B32"/>
    <w:rsid w:val="000A7CAF"/>
    <w:rsid w:val="000B18F9"/>
    <w:rsid w:val="000B2907"/>
    <w:rsid w:val="000B2E37"/>
    <w:rsid w:val="000B3FAA"/>
    <w:rsid w:val="000B507F"/>
    <w:rsid w:val="000B626E"/>
    <w:rsid w:val="000B633A"/>
    <w:rsid w:val="000C06DF"/>
    <w:rsid w:val="000C09FE"/>
    <w:rsid w:val="000C0DE8"/>
    <w:rsid w:val="000C18D2"/>
    <w:rsid w:val="000C1A14"/>
    <w:rsid w:val="000C1E0C"/>
    <w:rsid w:val="000C2340"/>
    <w:rsid w:val="000C2675"/>
    <w:rsid w:val="000C2704"/>
    <w:rsid w:val="000C3C34"/>
    <w:rsid w:val="000C55CD"/>
    <w:rsid w:val="000C5960"/>
    <w:rsid w:val="000C5D25"/>
    <w:rsid w:val="000C65FB"/>
    <w:rsid w:val="000C6A0A"/>
    <w:rsid w:val="000C7553"/>
    <w:rsid w:val="000C7E27"/>
    <w:rsid w:val="000D0417"/>
    <w:rsid w:val="000D0AC1"/>
    <w:rsid w:val="000D2272"/>
    <w:rsid w:val="000D2B6F"/>
    <w:rsid w:val="000D3C73"/>
    <w:rsid w:val="000D5B21"/>
    <w:rsid w:val="000D61BD"/>
    <w:rsid w:val="000D62E7"/>
    <w:rsid w:val="000D66A4"/>
    <w:rsid w:val="000D693F"/>
    <w:rsid w:val="000D6AF7"/>
    <w:rsid w:val="000D6DF2"/>
    <w:rsid w:val="000D7CE1"/>
    <w:rsid w:val="000E00B6"/>
    <w:rsid w:val="000E08A6"/>
    <w:rsid w:val="000E129C"/>
    <w:rsid w:val="000E30AC"/>
    <w:rsid w:val="000E34B9"/>
    <w:rsid w:val="000E401B"/>
    <w:rsid w:val="000E441F"/>
    <w:rsid w:val="000E4BAD"/>
    <w:rsid w:val="000E4E2F"/>
    <w:rsid w:val="000E4F04"/>
    <w:rsid w:val="000E4FC9"/>
    <w:rsid w:val="000E511D"/>
    <w:rsid w:val="000E5392"/>
    <w:rsid w:val="000E5C35"/>
    <w:rsid w:val="000E5CFC"/>
    <w:rsid w:val="000E5FF1"/>
    <w:rsid w:val="000E6442"/>
    <w:rsid w:val="000E710D"/>
    <w:rsid w:val="000E79B2"/>
    <w:rsid w:val="000E7EDC"/>
    <w:rsid w:val="000F1E83"/>
    <w:rsid w:val="000F2375"/>
    <w:rsid w:val="000F307B"/>
    <w:rsid w:val="000F4D87"/>
    <w:rsid w:val="000F517F"/>
    <w:rsid w:val="000F574D"/>
    <w:rsid w:val="000F5994"/>
    <w:rsid w:val="000F617D"/>
    <w:rsid w:val="000F68B3"/>
    <w:rsid w:val="000F6E88"/>
    <w:rsid w:val="000F75DC"/>
    <w:rsid w:val="001003AB"/>
    <w:rsid w:val="00100697"/>
    <w:rsid w:val="00101133"/>
    <w:rsid w:val="00101165"/>
    <w:rsid w:val="00101614"/>
    <w:rsid w:val="0010268E"/>
    <w:rsid w:val="0010365D"/>
    <w:rsid w:val="00103A96"/>
    <w:rsid w:val="00103C04"/>
    <w:rsid w:val="00103C7A"/>
    <w:rsid w:val="00104EC5"/>
    <w:rsid w:val="00107099"/>
    <w:rsid w:val="0010771A"/>
    <w:rsid w:val="001107BA"/>
    <w:rsid w:val="00111A6A"/>
    <w:rsid w:val="00112A7A"/>
    <w:rsid w:val="00112F64"/>
    <w:rsid w:val="00113B7A"/>
    <w:rsid w:val="00113F5B"/>
    <w:rsid w:val="00114090"/>
    <w:rsid w:val="001148D6"/>
    <w:rsid w:val="00114D8C"/>
    <w:rsid w:val="0011525B"/>
    <w:rsid w:val="00120ADB"/>
    <w:rsid w:val="00120CE4"/>
    <w:rsid w:val="00121A69"/>
    <w:rsid w:val="001236E8"/>
    <w:rsid w:val="0012426F"/>
    <w:rsid w:val="00124D5E"/>
    <w:rsid w:val="00124F48"/>
    <w:rsid w:val="0012578E"/>
    <w:rsid w:val="00125F18"/>
    <w:rsid w:val="00126EA2"/>
    <w:rsid w:val="00127605"/>
    <w:rsid w:val="00130362"/>
    <w:rsid w:val="00130C82"/>
    <w:rsid w:val="00130F06"/>
    <w:rsid w:val="001326C4"/>
    <w:rsid w:val="001328EF"/>
    <w:rsid w:val="0013330B"/>
    <w:rsid w:val="001343FF"/>
    <w:rsid w:val="00135A69"/>
    <w:rsid w:val="00135C8C"/>
    <w:rsid w:val="0013604C"/>
    <w:rsid w:val="00136375"/>
    <w:rsid w:val="001365C4"/>
    <w:rsid w:val="00136AC2"/>
    <w:rsid w:val="001405DA"/>
    <w:rsid w:val="00140D3C"/>
    <w:rsid w:val="00141164"/>
    <w:rsid w:val="00142528"/>
    <w:rsid w:val="00142588"/>
    <w:rsid w:val="001427B2"/>
    <w:rsid w:val="0014541A"/>
    <w:rsid w:val="0014565E"/>
    <w:rsid w:val="00145794"/>
    <w:rsid w:val="00145925"/>
    <w:rsid w:val="00145B91"/>
    <w:rsid w:val="00146011"/>
    <w:rsid w:val="00146695"/>
    <w:rsid w:val="001467BE"/>
    <w:rsid w:val="001471F1"/>
    <w:rsid w:val="00147476"/>
    <w:rsid w:val="0014799D"/>
    <w:rsid w:val="00150C91"/>
    <w:rsid w:val="001527EE"/>
    <w:rsid w:val="00152F9C"/>
    <w:rsid w:val="0015307F"/>
    <w:rsid w:val="001532B2"/>
    <w:rsid w:val="0015359A"/>
    <w:rsid w:val="00154F00"/>
    <w:rsid w:val="00155413"/>
    <w:rsid w:val="001555FF"/>
    <w:rsid w:val="001561B3"/>
    <w:rsid w:val="00156228"/>
    <w:rsid w:val="001562DC"/>
    <w:rsid w:val="001564F0"/>
    <w:rsid w:val="00156EE1"/>
    <w:rsid w:val="00157128"/>
    <w:rsid w:val="00157335"/>
    <w:rsid w:val="00157E03"/>
    <w:rsid w:val="001608F1"/>
    <w:rsid w:val="00160F66"/>
    <w:rsid w:val="00161067"/>
    <w:rsid w:val="001610C2"/>
    <w:rsid w:val="00161375"/>
    <w:rsid w:val="00161573"/>
    <w:rsid w:val="00161881"/>
    <w:rsid w:val="001637B9"/>
    <w:rsid w:val="00164B6A"/>
    <w:rsid w:val="00164E10"/>
    <w:rsid w:val="001662CB"/>
    <w:rsid w:val="0016678B"/>
    <w:rsid w:val="0016720F"/>
    <w:rsid w:val="001674FA"/>
    <w:rsid w:val="00167841"/>
    <w:rsid w:val="001704D3"/>
    <w:rsid w:val="00170906"/>
    <w:rsid w:val="00170F92"/>
    <w:rsid w:val="00171316"/>
    <w:rsid w:val="00171F06"/>
    <w:rsid w:val="00171FB2"/>
    <w:rsid w:val="00172C8D"/>
    <w:rsid w:val="00172EB9"/>
    <w:rsid w:val="00173330"/>
    <w:rsid w:val="00173B55"/>
    <w:rsid w:val="00173E9E"/>
    <w:rsid w:val="00173F45"/>
    <w:rsid w:val="0017423C"/>
    <w:rsid w:val="00175C3D"/>
    <w:rsid w:val="00176796"/>
    <w:rsid w:val="00176ECC"/>
    <w:rsid w:val="001816C2"/>
    <w:rsid w:val="00183434"/>
    <w:rsid w:val="001839CF"/>
    <w:rsid w:val="001844DB"/>
    <w:rsid w:val="00185540"/>
    <w:rsid w:val="00185F19"/>
    <w:rsid w:val="001860BA"/>
    <w:rsid w:val="00186A49"/>
    <w:rsid w:val="00186D59"/>
    <w:rsid w:val="00186E5D"/>
    <w:rsid w:val="001925E3"/>
    <w:rsid w:val="001931C1"/>
    <w:rsid w:val="00193452"/>
    <w:rsid w:val="0019382F"/>
    <w:rsid w:val="00194D21"/>
    <w:rsid w:val="0019683C"/>
    <w:rsid w:val="00196DBD"/>
    <w:rsid w:val="001976F4"/>
    <w:rsid w:val="00197E8B"/>
    <w:rsid w:val="001A06E1"/>
    <w:rsid w:val="001A0E48"/>
    <w:rsid w:val="001A1DA0"/>
    <w:rsid w:val="001A28FB"/>
    <w:rsid w:val="001A299D"/>
    <w:rsid w:val="001A2B4F"/>
    <w:rsid w:val="001A3ADA"/>
    <w:rsid w:val="001A4F02"/>
    <w:rsid w:val="001A51C5"/>
    <w:rsid w:val="001A526E"/>
    <w:rsid w:val="001A63BA"/>
    <w:rsid w:val="001A6985"/>
    <w:rsid w:val="001A6AE4"/>
    <w:rsid w:val="001A6B6A"/>
    <w:rsid w:val="001A7143"/>
    <w:rsid w:val="001A71BA"/>
    <w:rsid w:val="001A72A3"/>
    <w:rsid w:val="001A78D1"/>
    <w:rsid w:val="001A7EE8"/>
    <w:rsid w:val="001B010B"/>
    <w:rsid w:val="001B018C"/>
    <w:rsid w:val="001B12BC"/>
    <w:rsid w:val="001B2AAC"/>
    <w:rsid w:val="001B32E9"/>
    <w:rsid w:val="001B38C1"/>
    <w:rsid w:val="001B40B2"/>
    <w:rsid w:val="001B41E8"/>
    <w:rsid w:val="001B4C91"/>
    <w:rsid w:val="001B4FC4"/>
    <w:rsid w:val="001B561E"/>
    <w:rsid w:val="001B598A"/>
    <w:rsid w:val="001B6ACC"/>
    <w:rsid w:val="001B7352"/>
    <w:rsid w:val="001C16A9"/>
    <w:rsid w:val="001C20D2"/>
    <w:rsid w:val="001C2189"/>
    <w:rsid w:val="001C2223"/>
    <w:rsid w:val="001C24DD"/>
    <w:rsid w:val="001C2946"/>
    <w:rsid w:val="001C29AA"/>
    <w:rsid w:val="001C3A5A"/>
    <w:rsid w:val="001C4082"/>
    <w:rsid w:val="001C4693"/>
    <w:rsid w:val="001C4E00"/>
    <w:rsid w:val="001C55E8"/>
    <w:rsid w:val="001C5B82"/>
    <w:rsid w:val="001C5C18"/>
    <w:rsid w:val="001C6078"/>
    <w:rsid w:val="001C695E"/>
    <w:rsid w:val="001C777F"/>
    <w:rsid w:val="001D0280"/>
    <w:rsid w:val="001D077C"/>
    <w:rsid w:val="001D0AF0"/>
    <w:rsid w:val="001D0D0B"/>
    <w:rsid w:val="001D198E"/>
    <w:rsid w:val="001D2B98"/>
    <w:rsid w:val="001D38B0"/>
    <w:rsid w:val="001D3B54"/>
    <w:rsid w:val="001D480A"/>
    <w:rsid w:val="001D717A"/>
    <w:rsid w:val="001D7703"/>
    <w:rsid w:val="001E243B"/>
    <w:rsid w:val="001E2473"/>
    <w:rsid w:val="001E2DB7"/>
    <w:rsid w:val="001E2F2C"/>
    <w:rsid w:val="001E33F5"/>
    <w:rsid w:val="001E380E"/>
    <w:rsid w:val="001E3EB2"/>
    <w:rsid w:val="001E40F7"/>
    <w:rsid w:val="001E4C2A"/>
    <w:rsid w:val="001E4F99"/>
    <w:rsid w:val="001E651B"/>
    <w:rsid w:val="001E791A"/>
    <w:rsid w:val="001E7D65"/>
    <w:rsid w:val="001F0A57"/>
    <w:rsid w:val="001F0D99"/>
    <w:rsid w:val="001F100C"/>
    <w:rsid w:val="001F13A1"/>
    <w:rsid w:val="001F149A"/>
    <w:rsid w:val="001F2509"/>
    <w:rsid w:val="001F26D3"/>
    <w:rsid w:val="001F2C0D"/>
    <w:rsid w:val="001F4549"/>
    <w:rsid w:val="001F45B7"/>
    <w:rsid w:val="001F473E"/>
    <w:rsid w:val="001F4967"/>
    <w:rsid w:val="001F49A2"/>
    <w:rsid w:val="001F4CAE"/>
    <w:rsid w:val="001F543D"/>
    <w:rsid w:val="001F5600"/>
    <w:rsid w:val="001F57EE"/>
    <w:rsid w:val="001F6227"/>
    <w:rsid w:val="001F687B"/>
    <w:rsid w:val="001F7194"/>
    <w:rsid w:val="00200E41"/>
    <w:rsid w:val="00201226"/>
    <w:rsid w:val="00201831"/>
    <w:rsid w:val="00201899"/>
    <w:rsid w:val="0020209A"/>
    <w:rsid w:val="0020210B"/>
    <w:rsid w:val="002021BC"/>
    <w:rsid w:val="00202AB6"/>
    <w:rsid w:val="00202C62"/>
    <w:rsid w:val="00207127"/>
    <w:rsid w:val="002071A6"/>
    <w:rsid w:val="002101DE"/>
    <w:rsid w:val="002101FF"/>
    <w:rsid w:val="00210897"/>
    <w:rsid w:val="002116BB"/>
    <w:rsid w:val="00211D6B"/>
    <w:rsid w:val="00211EC5"/>
    <w:rsid w:val="002126CB"/>
    <w:rsid w:val="00213A77"/>
    <w:rsid w:val="00213A84"/>
    <w:rsid w:val="00213B7C"/>
    <w:rsid w:val="00213CA0"/>
    <w:rsid w:val="00213CD3"/>
    <w:rsid w:val="00213E08"/>
    <w:rsid w:val="00213F39"/>
    <w:rsid w:val="00214B08"/>
    <w:rsid w:val="00214E41"/>
    <w:rsid w:val="00215053"/>
    <w:rsid w:val="00215DD5"/>
    <w:rsid w:val="00215E1C"/>
    <w:rsid w:val="002162C3"/>
    <w:rsid w:val="002167B0"/>
    <w:rsid w:val="00217188"/>
    <w:rsid w:val="0021783A"/>
    <w:rsid w:val="00220E24"/>
    <w:rsid w:val="00220E3E"/>
    <w:rsid w:val="00222292"/>
    <w:rsid w:val="002223EF"/>
    <w:rsid w:val="00223441"/>
    <w:rsid w:val="00223D52"/>
    <w:rsid w:val="00224320"/>
    <w:rsid w:val="0022463A"/>
    <w:rsid w:val="00224E1A"/>
    <w:rsid w:val="002265FA"/>
    <w:rsid w:val="00226695"/>
    <w:rsid w:val="00226740"/>
    <w:rsid w:val="00226A4E"/>
    <w:rsid w:val="002273B9"/>
    <w:rsid w:val="00227DC5"/>
    <w:rsid w:val="00227F75"/>
    <w:rsid w:val="00231162"/>
    <w:rsid w:val="002311C5"/>
    <w:rsid w:val="002313D6"/>
    <w:rsid w:val="00231414"/>
    <w:rsid w:val="00231E76"/>
    <w:rsid w:val="002336EA"/>
    <w:rsid w:val="0023373F"/>
    <w:rsid w:val="0023513F"/>
    <w:rsid w:val="00236BDD"/>
    <w:rsid w:val="002370AB"/>
    <w:rsid w:val="002374A4"/>
    <w:rsid w:val="002374C8"/>
    <w:rsid w:val="00237942"/>
    <w:rsid w:val="00240493"/>
    <w:rsid w:val="00240C69"/>
    <w:rsid w:val="0024227E"/>
    <w:rsid w:val="0024278C"/>
    <w:rsid w:val="00244287"/>
    <w:rsid w:val="002455C1"/>
    <w:rsid w:val="00245B4D"/>
    <w:rsid w:val="00246244"/>
    <w:rsid w:val="002464D4"/>
    <w:rsid w:val="00250665"/>
    <w:rsid w:val="00250D63"/>
    <w:rsid w:val="00250F4E"/>
    <w:rsid w:val="0025190F"/>
    <w:rsid w:val="0025302C"/>
    <w:rsid w:val="00253244"/>
    <w:rsid w:val="002538C6"/>
    <w:rsid w:val="00253ED0"/>
    <w:rsid w:val="00254670"/>
    <w:rsid w:val="00254E90"/>
    <w:rsid w:val="00255074"/>
    <w:rsid w:val="002567D0"/>
    <w:rsid w:val="00256D30"/>
    <w:rsid w:val="00256DEA"/>
    <w:rsid w:val="0025732E"/>
    <w:rsid w:val="002573E5"/>
    <w:rsid w:val="002577AA"/>
    <w:rsid w:val="00257E98"/>
    <w:rsid w:val="0026188F"/>
    <w:rsid w:val="00261AED"/>
    <w:rsid w:val="00262ACB"/>
    <w:rsid w:val="002631F8"/>
    <w:rsid w:val="00263CD4"/>
    <w:rsid w:val="00265070"/>
    <w:rsid w:val="002653F8"/>
    <w:rsid w:val="0026634A"/>
    <w:rsid w:val="002663FA"/>
    <w:rsid w:val="002664F2"/>
    <w:rsid w:val="00266511"/>
    <w:rsid w:val="002668B1"/>
    <w:rsid w:val="00266A38"/>
    <w:rsid w:val="0026771D"/>
    <w:rsid w:val="002677F6"/>
    <w:rsid w:val="00267810"/>
    <w:rsid w:val="00270284"/>
    <w:rsid w:val="00270465"/>
    <w:rsid w:val="002705CC"/>
    <w:rsid w:val="00271A49"/>
    <w:rsid w:val="00271B3D"/>
    <w:rsid w:val="0027286B"/>
    <w:rsid w:val="0027306F"/>
    <w:rsid w:val="002730A0"/>
    <w:rsid w:val="0027374C"/>
    <w:rsid w:val="00273783"/>
    <w:rsid w:val="002740AB"/>
    <w:rsid w:val="002747F8"/>
    <w:rsid w:val="002749D8"/>
    <w:rsid w:val="00274D08"/>
    <w:rsid w:val="00275023"/>
    <w:rsid w:val="00275A45"/>
    <w:rsid w:val="00275EA5"/>
    <w:rsid w:val="0027741F"/>
    <w:rsid w:val="00277655"/>
    <w:rsid w:val="00277801"/>
    <w:rsid w:val="00277FA9"/>
    <w:rsid w:val="002801F7"/>
    <w:rsid w:val="0028130C"/>
    <w:rsid w:val="00282056"/>
    <w:rsid w:val="00282654"/>
    <w:rsid w:val="002836BE"/>
    <w:rsid w:val="00284159"/>
    <w:rsid w:val="00284D34"/>
    <w:rsid w:val="002874D6"/>
    <w:rsid w:val="002901B0"/>
    <w:rsid w:val="00290CDF"/>
    <w:rsid w:val="00293F53"/>
    <w:rsid w:val="00294F3D"/>
    <w:rsid w:val="0029560E"/>
    <w:rsid w:val="00295686"/>
    <w:rsid w:val="00296C0D"/>
    <w:rsid w:val="00297038"/>
    <w:rsid w:val="00297267"/>
    <w:rsid w:val="00297588"/>
    <w:rsid w:val="00297628"/>
    <w:rsid w:val="00297B72"/>
    <w:rsid w:val="002A0C41"/>
    <w:rsid w:val="002A0F77"/>
    <w:rsid w:val="002A1515"/>
    <w:rsid w:val="002A1B92"/>
    <w:rsid w:val="002A1D40"/>
    <w:rsid w:val="002A208C"/>
    <w:rsid w:val="002A2F71"/>
    <w:rsid w:val="002A3270"/>
    <w:rsid w:val="002A38E8"/>
    <w:rsid w:val="002A39E6"/>
    <w:rsid w:val="002A3F22"/>
    <w:rsid w:val="002A4F87"/>
    <w:rsid w:val="002A55ED"/>
    <w:rsid w:val="002A6015"/>
    <w:rsid w:val="002A6DDE"/>
    <w:rsid w:val="002A6FAF"/>
    <w:rsid w:val="002A7445"/>
    <w:rsid w:val="002A752E"/>
    <w:rsid w:val="002B045D"/>
    <w:rsid w:val="002B0747"/>
    <w:rsid w:val="002B0E7E"/>
    <w:rsid w:val="002B13C4"/>
    <w:rsid w:val="002B179C"/>
    <w:rsid w:val="002B1865"/>
    <w:rsid w:val="002B1DD6"/>
    <w:rsid w:val="002B1E22"/>
    <w:rsid w:val="002B2EEB"/>
    <w:rsid w:val="002B3C4D"/>
    <w:rsid w:val="002B403A"/>
    <w:rsid w:val="002B41EF"/>
    <w:rsid w:val="002B4458"/>
    <w:rsid w:val="002B47E4"/>
    <w:rsid w:val="002B4DE5"/>
    <w:rsid w:val="002B5344"/>
    <w:rsid w:val="002B53E8"/>
    <w:rsid w:val="002B566A"/>
    <w:rsid w:val="002B589C"/>
    <w:rsid w:val="002B591E"/>
    <w:rsid w:val="002B5A79"/>
    <w:rsid w:val="002B5E05"/>
    <w:rsid w:val="002B6F80"/>
    <w:rsid w:val="002C2793"/>
    <w:rsid w:val="002C3217"/>
    <w:rsid w:val="002C3218"/>
    <w:rsid w:val="002C3225"/>
    <w:rsid w:val="002C3E2F"/>
    <w:rsid w:val="002C4494"/>
    <w:rsid w:val="002C47C9"/>
    <w:rsid w:val="002C6B09"/>
    <w:rsid w:val="002C73F4"/>
    <w:rsid w:val="002D0C18"/>
    <w:rsid w:val="002D1562"/>
    <w:rsid w:val="002D16B4"/>
    <w:rsid w:val="002D18DA"/>
    <w:rsid w:val="002D2F4B"/>
    <w:rsid w:val="002D36A6"/>
    <w:rsid w:val="002D3767"/>
    <w:rsid w:val="002D4B80"/>
    <w:rsid w:val="002D5080"/>
    <w:rsid w:val="002D529E"/>
    <w:rsid w:val="002D5CD4"/>
    <w:rsid w:val="002D6896"/>
    <w:rsid w:val="002D75FE"/>
    <w:rsid w:val="002D78F6"/>
    <w:rsid w:val="002E0253"/>
    <w:rsid w:val="002E0B90"/>
    <w:rsid w:val="002E0C59"/>
    <w:rsid w:val="002E15CF"/>
    <w:rsid w:val="002E17A5"/>
    <w:rsid w:val="002E1D9F"/>
    <w:rsid w:val="002E1F61"/>
    <w:rsid w:val="002E2237"/>
    <w:rsid w:val="002E290B"/>
    <w:rsid w:val="002E37BB"/>
    <w:rsid w:val="002E3C4F"/>
    <w:rsid w:val="002E432E"/>
    <w:rsid w:val="002E58BB"/>
    <w:rsid w:val="002E5B3A"/>
    <w:rsid w:val="002E6598"/>
    <w:rsid w:val="002E773A"/>
    <w:rsid w:val="002F2A50"/>
    <w:rsid w:val="002F36A3"/>
    <w:rsid w:val="002F4756"/>
    <w:rsid w:val="002F4ADA"/>
    <w:rsid w:val="002F585A"/>
    <w:rsid w:val="002F5B6C"/>
    <w:rsid w:val="002F5B72"/>
    <w:rsid w:val="002F5D3E"/>
    <w:rsid w:val="002F6C16"/>
    <w:rsid w:val="002F7FAE"/>
    <w:rsid w:val="0030011B"/>
    <w:rsid w:val="00300A01"/>
    <w:rsid w:val="00300DC1"/>
    <w:rsid w:val="0030102A"/>
    <w:rsid w:val="0030127A"/>
    <w:rsid w:val="00302445"/>
    <w:rsid w:val="00302B23"/>
    <w:rsid w:val="00302BDA"/>
    <w:rsid w:val="00303A95"/>
    <w:rsid w:val="00304372"/>
    <w:rsid w:val="00305000"/>
    <w:rsid w:val="0030559B"/>
    <w:rsid w:val="003058E1"/>
    <w:rsid w:val="00305D6C"/>
    <w:rsid w:val="00306304"/>
    <w:rsid w:val="00306483"/>
    <w:rsid w:val="00306EFA"/>
    <w:rsid w:val="0030701E"/>
    <w:rsid w:val="00307972"/>
    <w:rsid w:val="00307977"/>
    <w:rsid w:val="00307B0F"/>
    <w:rsid w:val="00307FD5"/>
    <w:rsid w:val="003105D7"/>
    <w:rsid w:val="0031083F"/>
    <w:rsid w:val="00310895"/>
    <w:rsid w:val="00311514"/>
    <w:rsid w:val="00311ABE"/>
    <w:rsid w:val="00311D98"/>
    <w:rsid w:val="0031243B"/>
    <w:rsid w:val="00312B22"/>
    <w:rsid w:val="00316CB9"/>
    <w:rsid w:val="003202A4"/>
    <w:rsid w:val="00320D1F"/>
    <w:rsid w:val="00321A4C"/>
    <w:rsid w:val="003223E8"/>
    <w:rsid w:val="003225D4"/>
    <w:rsid w:val="00322814"/>
    <w:rsid w:val="00322886"/>
    <w:rsid w:val="003228B8"/>
    <w:rsid w:val="0032316C"/>
    <w:rsid w:val="003241BD"/>
    <w:rsid w:val="003252CD"/>
    <w:rsid w:val="0032576A"/>
    <w:rsid w:val="003257D0"/>
    <w:rsid w:val="0032588A"/>
    <w:rsid w:val="003259BF"/>
    <w:rsid w:val="00325C3A"/>
    <w:rsid w:val="00327D43"/>
    <w:rsid w:val="00327F0B"/>
    <w:rsid w:val="00327F66"/>
    <w:rsid w:val="00330776"/>
    <w:rsid w:val="00330892"/>
    <w:rsid w:val="003308ED"/>
    <w:rsid w:val="00331222"/>
    <w:rsid w:val="00331759"/>
    <w:rsid w:val="00332ED7"/>
    <w:rsid w:val="0033423C"/>
    <w:rsid w:val="00335C30"/>
    <w:rsid w:val="00336A65"/>
    <w:rsid w:val="00337750"/>
    <w:rsid w:val="00337CB6"/>
    <w:rsid w:val="00337F26"/>
    <w:rsid w:val="00340268"/>
    <w:rsid w:val="00340F95"/>
    <w:rsid w:val="00341082"/>
    <w:rsid w:val="00341515"/>
    <w:rsid w:val="003418EE"/>
    <w:rsid w:val="00341D8A"/>
    <w:rsid w:val="00341F34"/>
    <w:rsid w:val="00342D85"/>
    <w:rsid w:val="00342F81"/>
    <w:rsid w:val="00343A94"/>
    <w:rsid w:val="00344A78"/>
    <w:rsid w:val="00344FAE"/>
    <w:rsid w:val="00345042"/>
    <w:rsid w:val="00345F13"/>
    <w:rsid w:val="00346DBD"/>
    <w:rsid w:val="003470C4"/>
    <w:rsid w:val="003479D8"/>
    <w:rsid w:val="003504F4"/>
    <w:rsid w:val="00350508"/>
    <w:rsid w:val="00350C32"/>
    <w:rsid w:val="003518DA"/>
    <w:rsid w:val="00351B7F"/>
    <w:rsid w:val="00352B05"/>
    <w:rsid w:val="00352D32"/>
    <w:rsid w:val="00353C11"/>
    <w:rsid w:val="00354479"/>
    <w:rsid w:val="00354E12"/>
    <w:rsid w:val="00355372"/>
    <w:rsid w:val="003563CE"/>
    <w:rsid w:val="00356405"/>
    <w:rsid w:val="003569FF"/>
    <w:rsid w:val="00360ECA"/>
    <w:rsid w:val="00361067"/>
    <w:rsid w:val="00362325"/>
    <w:rsid w:val="003625BB"/>
    <w:rsid w:val="003628CD"/>
    <w:rsid w:val="00363559"/>
    <w:rsid w:val="00363CCA"/>
    <w:rsid w:val="003650D6"/>
    <w:rsid w:val="003652B9"/>
    <w:rsid w:val="00366240"/>
    <w:rsid w:val="0036692E"/>
    <w:rsid w:val="0036752B"/>
    <w:rsid w:val="00370546"/>
    <w:rsid w:val="003705A0"/>
    <w:rsid w:val="00370C86"/>
    <w:rsid w:val="00371CC1"/>
    <w:rsid w:val="00372057"/>
    <w:rsid w:val="00372297"/>
    <w:rsid w:val="00373D6E"/>
    <w:rsid w:val="0037473A"/>
    <w:rsid w:val="00375867"/>
    <w:rsid w:val="00375B85"/>
    <w:rsid w:val="00375CBB"/>
    <w:rsid w:val="003764F9"/>
    <w:rsid w:val="00376690"/>
    <w:rsid w:val="0037670E"/>
    <w:rsid w:val="0037729A"/>
    <w:rsid w:val="0037742E"/>
    <w:rsid w:val="00377718"/>
    <w:rsid w:val="00377FCA"/>
    <w:rsid w:val="00380762"/>
    <w:rsid w:val="00381205"/>
    <w:rsid w:val="00381A96"/>
    <w:rsid w:val="00382556"/>
    <w:rsid w:val="00383352"/>
    <w:rsid w:val="003848C4"/>
    <w:rsid w:val="00384FEE"/>
    <w:rsid w:val="0038536D"/>
    <w:rsid w:val="003854EA"/>
    <w:rsid w:val="003862FE"/>
    <w:rsid w:val="0038700B"/>
    <w:rsid w:val="00390149"/>
    <w:rsid w:val="00390593"/>
    <w:rsid w:val="003912CD"/>
    <w:rsid w:val="00391407"/>
    <w:rsid w:val="00391A62"/>
    <w:rsid w:val="00391BBD"/>
    <w:rsid w:val="0039261C"/>
    <w:rsid w:val="00392E88"/>
    <w:rsid w:val="00393D7E"/>
    <w:rsid w:val="00393DE9"/>
    <w:rsid w:val="00393E42"/>
    <w:rsid w:val="00394863"/>
    <w:rsid w:val="00394A9B"/>
    <w:rsid w:val="0039525D"/>
    <w:rsid w:val="00395749"/>
    <w:rsid w:val="0039574D"/>
    <w:rsid w:val="00395F9C"/>
    <w:rsid w:val="00396590"/>
    <w:rsid w:val="00396652"/>
    <w:rsid w:val="00396D06"/>
    <w:rsid w:val="00397EA8"/>
    <w:rsid w:val="003A0287"/>
    <w:rsid w:val="003A0BA2"/>
    <w:rsid w:val="003A1CF7"/>
    <w:rsid w:val="003A1F12"/>
    <w:rsid w:val="003A3E53"/>
    <w:rsid w:val="003A48AD"/>
    <w:rsid w:val="003A6317"/>
    <w:rsid w:val="003A63B8"/>
    <w:rsid w:val="003A6668"/>
    <w:rsid w:val="003A72F0"/>
    <w:rsid w:val="003A7481"/>
    <w:rsid w:val="003B0FEB"/>
    <w:rsid w:val="003B1132"/>
    <w:rsid w:val="003B27DA"/>
    <w:rsid w:val="003B292A"/>
    <w:rsid w:val="003B2AA4"/>
    <w:rsid w:val="003B31A9"/>
    <w:rsid w:val="003B33D9"/>
    <w:rsid w:val="003B393D"/>
    <w:rsid w:val="003B5A7B"/>
    <w:rsid w:val="003B5B88"/>
    <w:rsid w:val="003B5FC3"/>
    <w:rsid w:val="003B60E4"/>
    <w:rsid w:val="003B64AD"/>
    <w:rsid w:val="003B6AF0"/>
    <w:rsid w:val="003B70F3"/>
    <w:rsid w:val="003B7259"/>
    <w:rsid w:val="003B7784"/>
    <w:rsid w:val="003C1B9D"/>
    <w:rsid w:val="003C1E39"/>
    <w:rsid w:val="003C20E7"/>
    <w:rsid w:val="003C257D"/>
    <w:rsid w:val="003C2CC5"/>
    <w:rsid w:val="003C2F9D"/>
    <w:rsid w:val="003C418E"/>
    <w:rsid w:val="003C4215"/>
    <w:rsid w:val="003C4487"/>
    <w:rsid w:val="003C4EC1"/>
    <w:rsid w:val="003C520F"/>
    <w:rsid w:val="003C5D81"/>
    <w:rsid w:val="003C5DAA"/>
    <w:rsid w:val="003C6B96"/>
    <w:rsid w:val="003C74F2"/>
    <w:rsid w:val="003D0086"/>
    <w:rsid w:val="003D0B65"/>
    <w:rsid w:val="003D16E6"/>
    <w:rsid w:val="003D2732"/>
    <w:rsid w:val="003D2C30"/>
    <w:rsid w:val="003D2C91"/>
    <w:rsid w:val="003D2FCC"/>
    <w:rsid w:val="003D418C"/>
    <w:rsid w:val="003D42D9"/>
    <w:rsid w:val="003D50FB"/>
    <w:rsid w:val="003D61BC"/>
    <w:rsid w:val="003D6754"/>
    <w:rsid w:val="003D711F"/>
    <w:rsid w:val="003D76AC"/>
    <w:rsid w:val="003D779F"/>
    <w:rsid w:val="003E17F4"/>
    <w:rsid w:val="003E24A1"/>
    <w:rsid w:val="003E2961"/>
    <w:rsid w:val="003E2F37"/>
    <w:rsid w:val="003E336A"/>
    <w:rsid w:val="003E3A53"/>
    <w:rsid w:val="003E41E8"/>
    <w:rsid w:val="003E62E8"/>
    <w:rsid w:val="003E674F"/>
    <w:rsid w:val="003E7437"/>
    <w:rsid w:val="003E75E1"/>
    <w:rsid w:val="003F0039"/>
    <w:rsid w:val="003F03A7"/>
    <w:rsid w:val="003F0997"/>
    <w:rsid w:val="003F0FE8"/>
    <w:rsid w:val="003F11FC"/>
    <w:rsid w:val="003F1630"/>
    <w:rsid w:val="003F1658"/>
    <w:rsid w:val="003F28CB"/>
    <w:rsid w:val="003F30B6"/>
    <w:rsid w:val="003F34E8"/>
    <w:rsid w:val="003F440E"/>
    <w:rsid w:val="003F4526"/>
    <w:rsid w:val="003F553F"/>
    <w:rsid w:val="003F5C6B"/>
    <w:rsid w:val="003F5CF7"/>
    <w:rsid w:val="003F5F4A"/>
    <w:rsid w:val="003F6EEF"/>
    <w:rsid w:val="003F7E02"/>
    <w:rsid w:val="00400045"/>
    <w:rsid w:val="00400081"/>
    <w:rsid w:val="004012D4"/>
    <w:rsid w:val="00401707"/>
    <w:rsid w:val="0040278B"/>
    <w:rsid w:val="00402A43"/>
    <w:rsid w:val="004039BA"/>
    <w:rsid w:val="004039DA"/>
    <w:rsid w:val="00403D53"/>
    <w:rsid w:val="0040479B"/>
    <w:rsid w:val="0040588A"/>
    <w:rsid w:val="00405E29"/>
    <w:rsid w:val="00406006"/>
    <w:rsid w:val="00407ABE"/>
    <w:rsid w:val="004107DB"/>
    <w:rsid w:val="0041144F"/>
    <w:rsid w:val="00411A42"/>
    <w:rsid w:val="00411C69"/>
    <w:rsid w:val="00412911"/>
    <w:rsid w:val="00412AED"/>
    <w:rsid w:val="0041382D"/>
    <w:rsid w:val="00413BB5"/>
    <w:rsid w:val="00414136"/>
    <w:rsid w:val="00414ED2"/>
    <w:rsid w:val="0041514C"/>
    <w:rsid w:val="00415364"/>
    <w:rsid w:val="00415436"/>
    <w:rsid w:val="00415458"/>
    <w:rsid w:val="00415E28"/>
    <w:rsid w:val="004162D8"/>
    <w:rsid w:val="0041678A"/>
    <w:rsid w:val="00416C13"/>
    <w:rsid w:val="00417081"/>
    <w:rsid w:val="00420242"/>
    <w:rsid w:val="00420919"/>
    <w:rsid w:val="00420F9B"/>
    <w:rsid w:val="00421228"/>
    <w:rsid w:val="0042126F"/>
    <w:rsid w:val="00421D0C"/>
    <w:rsid w:val="00421D21"/>
    <w:rsid w:val="00421FAB"/>
    <w:rsid w:val="00423255"/>
    <w:rsid w:val="004249F5"/>
    <w:rsid w:val="00425EB2"/>
    <w:rsid w:val="00426107"/>
    <w:rsid w:val="004261D9"/>
    <w:rsid w:val="00427874"/>
    <w:rsid w:val="00427CA2"/>
    <w:rsid w:val="00430E69"/>
    <w:rsid w:val="00431C58"/>
    <w:rsid w:val="00432403"/>
    <w:rsid w:val="0043251A"/>
    <w:rsid w:val="0043280A"/>
    <w:rsid w:val="00432A91"/>
    <w:rsid w:val="00432AD8"/>
    <w:rsid w:val="00432BDA"/>
    <w:rsid w:val="00432C7F"/>
    <w:rsid w:val="00434057"/>
    <w:rsid w:val="0043463F"/>
    <w:rsid w:val="004348DF"/>
    <w:rsid w:val="00435488"/>
    <w:rsid w:val="004361E0"/>
    <w:rsid w:val="004377EA"/>
    <w:rsid w:val="00437B1D"/>
    <w:rsid w:val="00440240"/>
    <w:rsid w:val="0044054D"/>
    <w:rsid w:val="00440676"/>
    <w:rsid w:val="00440A5F"/>
    <w:rsid w:val="004415E4"/>
    <w:rsid w:val="0044175A"/>
    <w:rsid w:val="00441AC8"/>
    <w:rsid w:val="00442FC7"/>
    <w:rsid w:val="00443891"/>
    <w:rsid w:val="00446A9B"/>
    <w:rsid w:val="00447CF2"/>
    <w:rsid w:val="00451271"/>
    <w:rsid w:val="00451664"/>
    <w:rsid w:val="004517D3"/>
    <w:rsid w:val="004519CB"/>
    <w:rsid w:val="00451C79"/>
    <w:rsid w:val="00452276"/>
    <w:rsid w:val="0045281E"/>
    <w:rsid w:val="0045346F"/>
    <w:rsid w:val="00454323"/>
    <w:rsid w:val="00454EA9"/>
    <w:rsid w:val="00455D32"/>
    <w:rsid w:val="0045690E"/>
    <w:rsid w:val="00460687"/>
    <w:rsid w:val="00461B91"/>
    <w:rsid w:val="00461FF0"/>
    <w:rsid w:val="00462B47"/>
    <w:rsid w:val="00464153"/>
    <w:rsid w:val="0046426D"/>
    <w:rsid w:val="004648BE"/>
    <w:rsid w:val="00464A43"/>
    <w:rsid w:val="00464CAB"/>
    <w:rsid w:val="004659A4"/>
    <w:rsid w:val="00465BC0"/>
    <w:rsid w:val="00466ECB"/>
    <w:rsid w:val="004673D2"/>
    <w:rsid w:val="00467C94"/>
    <w:rsid w:val="004700D5"/>
    <w:rsid w:val="004709E5"/>
    <w:rsid w:val="00470AD0"/>
    <w:rsid w:val="00472256"/>
    <w:rsid w:val="00472AB2"/>
    <w:rsid w:val="004737E8"/>
    <w:rsid w:val="00475017"/>
    <w:rsid w:val="00475860"/>
    <w:rsid w:val="00476094"/>
    <w:rsid w:val="004767E8"/>
    <w:rsid w:val="00476A8F"/>
    <w:rsid w:val="00477C31"/>
    <w:rsid w:val="004807AB"/>
    <w:rsid w:val="00480DE7"/>
    <w:rsid w:val="004816A2"/>
    <w:rsid w:val="00483957"/>
    <w:rsid w:val="004843E1"/>
    <w:rsid w:val="004844E6"/>
    <w:rsid w:val="00484683"/>
    <w:rsid w:val="00485B15"/>
    <w:rsid w:val="00485BAA"/>
    <w:rsid w:val="004864F0"/>
    <w:rsid w:val="00486792"/>
    <w:rsid w:val="00486ACC"/>
    <w:rsid w:val="00486D6D"/>
    <w:rsid w:val="0048761D"/>
    <w:rsid w:val="004876AE"/>
    <w:rsid w:val="00487CE5"/>
    <w:rsid w:val="00490AC4"/>
    <w:rsid w:val="00491075"/>
    <w:rsid w:val="00492861"/>
    <w:rsid w:val="004941E8"/>
    <w:rsid w:val="004954BD"/>
    <w:rsid w:val="0049562B"/>
    <w:rsid w:val="00496352"/>
    <w:rsid w:val="0049764A"/>
    <w:rsid w:val="004A0028"/>
    <w:rsid w:val="004A0EF3"/>
    <w:rsid w:val="004A0F27"/>
    <w:rsid w:val="004A187B"/>
    <w:rsid w:val="004A1E8A"/>
    <w:rsid w:val="004A2449"/>
    <w:rsid w:val="004A2C58"/>
    <w:rsid w:val="004A318B"/>
    <w:rsid w:val="004A391F"/>
    <w:rsid w:val="004A431A"/>
    <w:rsid w:val="004A590F"/>
    <w:rsid w:val="004A5C51"/>
    <w:rsid w:val="004A6790"/>
    <w:rsid w:val="004A6908"/>
    <w:rsid w:val="004B064B"/>
    <w:rsid w:val="004B06A0"/>
    <w:rsid w:val="004B1115"/>
    <w:rsid w:val="004B1999"/>
    <w:rsid w:val="004B1D8C"/>
    <w:rsid w:val="004B1DE1"/>
    <w:rsid w:val="004B304E"/>
    <w:rsid w:val="004B3B89"/>
    <w:rsid w:val="004B3EF0"/>
    <w:rsid w:val="004B406A"/>
    <w:rsid w:val="004B5F88"/>
    <w:rsid w:val="004B6745"/>
    <w:rsid w:val="004B7231"/>
    <w:rsid w:val="004B7328"/>
    <w:rsid w:val="004C00F7"/>
    <w:rsid w:val="004C08E9"/>
    <w:rsid w:val="004C2A12"/>
    <w:rsid w:val="004C2C96"/>
    <w:rsid w:val="004C330A"/>
    <w:rsid w:val="004C3433"/>
    <w:rsid w:val="004C34A2"/>
    <w:rsid w:val="004C3652"/>
    <w:rsid w:val="004C3766"/>
    <w:rsid w:val="004C3B8D"/>
    <w:rsid w:val="004C3C45"/>
    <w:rsid w:val="004C5217"/>
    <w:rsid w:val="004C5A44"/>
    <w:rsid w:val="004C5AA3"/>
    <w:rsid w:val="004C61F9"/>
    <w:rsid w:val="004C65FE"/>
    <w:rsid w:val="004C6B83"/>
    <w:rsid w:val="004C6C73"/>
    <w:rsid w:val="004C6F1E"/>
    <w:rsid w:val="004C797E"/>
    <w:rsid w:val="004D0E3E"/>
    <w:rsid w:val="004D15B2"/>
    <w:rsid w:val="004D16AB"/>
    <w:rsid w:val="004D2007"/>
    <w:rsid w:val="004D22C0"/>
    <w:rsid w:val="004D24F1"/>
    <w:rsid w:val="004D29D6"/>
    <w:rsid w:val="004D2A83"/>
    <w:rsid w:val="004D2A93"/>
    <w:rsid w:val="004D2CCF"/>
    <w:rsid w:val="004D3429"/>
    <w:rsid w:val="004D3B01"/>
    <w:rsid w:val="004D474C"/>
    <w:rsid w:val="004D5309"/>
    <w:rsid w:val="004D56A5"/>
    <w:rsid w:val="004D603E"/>
    <w:rsid w:val="004D6F82"/>
    <w:rsid w:val="004D7AD1"/>
    <w:rsid w:val="004D7C1C"/>
    <w:rsid w:val="004E081C"/>
    <w:rsid w:val="004E1346"/>
    <w:rsid w:val="004E1648"/>
    <w:rsid w:val="004E227A"/>
    <w:rsid w:val="004E267B"/>
    <w:rsid w:val="004E2BAB"/>
    <w:rsid w:val="004E3619"/>
    <w:rsid w:val="004E3E32"/>
    <w:rsid w:val="004E51F4"/>
    <w:rsid w:val="004E5213"/>
    <w:rsid w:val="004E5793"/>
    <w:rsid w:val="004E6CF9"/>
    <w:rsid w:val="004E6F10"/>
    <w:rsid w:val="004E7109"/>
    <w:rsid w:val="004E7F13"/>
    <w:rsid w:val="004F15D4"/>
    <w:rsid w:val="004F2334"/>
    <w:rsid w:val="004F3009"/>
    <w:rsid w:val="004F397E"/>
    <w:rsid w:val="004F4AED"/>
    <w:rsid w:val="004F5B58"/>
    <w:rsid w:val="004F625F"/>
    <w:rsid w:val="004F6C36"/>
    <w:rsid w:val="004F7AFF"/>
    <w:rsid w:val="004F7C6B"/>
    <w:rsid w:val="004F7EEA"/>
    <w:rsid w:val="0050013F"/>
    <w:rsid w:val="005013C9"/>
    <w:rsid w:val="00501F2D"/>
    <w:rsid w:val="0050230F"/>
    <w:rsid w:val="00502BBF"/>
    <w:rsid w:val="0050327D"/>
    <w:rsid w:val="00503894"/>
    <w:rsid w:val="00503935"/>
    <w:rsid w:val="00503A64"/>
    <w:rsid w:val="005051A9"/>
    <w:rsid w:val="00505826"/>
    <w:rsid w:val="005058D1"/>
    <w:rsid w:val="005101B1"/>
    <w:rsid w:val="005103B8"/>
    <w:rsid w:val="00510910"/>
    <w:rsid w:val="00511B3C"/>
    <w:rsid w:val="00511F81"/>
    <w:rsid w:val="005126E4"/>
    <w:rsid w:val="00512928"/>
    <w:rsid w:val="00513E87"/>
    <w:rsid w:val="00513FD1"/>
    <w:rsid w:val="00515030"/>
    <w:rsid w:val="005153C7"/>
    <w:rsid w:val="00515C9B"/>
    <w:rsid w:val="005163F9"/>
    <w:rsid w:val="0051652B"/>
    <w:rsid w:val="00516CBF"/>
    <w:rsid w:val="005170A2"/>
    <w:rsid w:val="0051749E"/>
    <w:rsid w:val="005175B3"/>
    <w:rsid w:val="00517944"/>
    <w:rsid w:val="00517AE7"/>
    <w:rsid w:val="00517B6F"/>
    <w:rsid w:val="00520F0D"/>
    <w:rsid w:val="00522D38"/>
    <w:rsid w:val="00522D89"/>
    <w:rsid w:val="005239BC"/>
    <w:rsid w:val="00524261"/>
    <w:rsid w:val="005242F4"/>
    <w:rsid w:val="00525016"/>
    <w:rsid w:val="00525218"/>
    <w:rsid w:val="005252CC"/>
    <w:rsid w:val="00525CE6"/>
    <w:rsid w:val="005273E4"/>
    <w:rsid w:val="00527880"/>
    <w:rsid w:val="00530823"/>
    <w:rsid w:val="005308D4"/>
    <w:rsid w:val="00530CCE"/>
    <w:rsid w:val="00531808"/>
    <w:rsid w:val="00531A5D"/>
    <w:rsid w:val="0053234D"/>
    <w:rsid w:val="00532583"/>
    <w:rsid w:val="00532E7C"/>
    <w:rsid w:val="00534893"/>
    <w:rsid w:val="0053565A"/>
    <w:rsid w:val="005357EC"/>
    <w:rsid w:val="00535D19"/>
    <w:rsid w:val="00536121"/>
    <w:rsid w:val="00536BF0"/>
    <w:rsid w:val="00537348"/>
    <w:rsid w:val="005375ED"/>
    <w:rsid w:val="00540058"/>
    <w:rsid w:val="0054060D"/>
    <w:rsid w:val="005408D4"/>
    <w:rsid w:val="00540B1B"/>
    <w:rsid w:val="00541B80"/>
    <w:rsid w:val="00541DCE"/>
    <w:rsid w:val="00542CE5"/>
    <w:rsid w:val="00543092"/>
    <w:rsid w:val="00543D27"/>
    <w:rsid w:val="00544206"/>
    <w:rsid w:val="00545CDF"/>
    <w:rsid w:val="005463BE"/>
    <w:rsid w:val="00547798"/>
    <w:rsid w:val="00547D63"/>
    <w:rsid w:val="0055000E"/>
    <w:rsid w:val="0055070B"/>
    <w:rsid w:val="00550892"/>
    <w:rsid w:val="005513FC"/>
    <w:rsid w:val="0055143C"/>
    <w:rsid w:val="005522E9"/>
    <w:rsid w:val="00552C9D"/>
    <w:rsid w:val="00553107"/>
    <w:rsid w:val="00553202"/>
    <w:rsid w:val="005536A9"/>
    <w:rsid w:val="0055498D"/>
    <w:rsid w:val="00554D10"/>
    <w:rsid w:val="00554E93"/>
    <w:rsid w:val="0055556B"/>
    <w:rsid w:val="00555F5E"/>
    <w:rsid w:val="005560C1"/>
    <w:rsid w:val="0055708A"/>
    <w:rsid w:val="0055709A"/>
    <w:rsid w:val="00557B29"/>
    <w:rsid w:val="00557C56"/>
    <w:rsid w:val="00560A9B"/>
    <w:rsid w:val="00560C21"/>
    <w:rsid w:val="00560D96"/>
    <w:rsid w:val="00560FF1"/>
    <w:rsid w:val="00561488"/>
    <w:rsid w:val="005618B2"/>
    <w:rsid w:val="00562005"/>
    <w:rsid w:val="00562CA2"/>
    <w:rsid w:val="00562EA8"/>
    <w:rsid w:val="00563665"/>
    <w:rsid w:val="005655E8"/>
    <w:rsid w:val="00565E80"/>
    <w:rsid w:val="0056655E"/>
    <w:rsid w:val="00566A5D"/>
    <w:rsid w:val="00566E44"/>
    <w:rsid w:val="00567BC6"/>
    <w:rsid w:val="00571881"/>
    <w:rsid w:val="00573323"/>
    <w:rsid w:val="00573E31"/>
    <w:rsid w:val="00574A1D"/>
    <w:rsid w:val="00576939"/>
    <w:rsid w:val="005770A8"/>
    <w:rsid w:val="005777D4"/>
    <w:rsid w:val="005811DA"/>
    <w:rsid w:val="00581DFD"/>
    <w:rsid w:val="005820B2"/>
    <w:rsid w:val="00582816"/>
    <w:rsid w:val="005829BB"/>
    <w:rsid w:val="00582F34"/>
    <w:rsid w:val="00584509"/>
    <w:rsid w:val="00584B7D"/>
    <w:rsid w:val="00584DCA"/>
    <w:rsid w:val="005851A1"/>
    <w:rsid w:val="00585309"/>
    <w:rsid w:val="00585C07"/>
    <w:rsid w:val="005876D0"/>
    <w:rsid w:val="00587BAE"/>
    <w:rsid w:val="00590BD2"/>
    <w:rsid w:val="00591632"/>
    <w:rsid w:val="00591A26"/>
    <w:rsid w:val="0059252D"/>
    <w:rsid w:val="005929EB"/>
    <w:rsid w:val="00593325"/>
    <w:rsid w:val="005937C4"/>
    <w:rsid w:val="00595C31"/>
    <w:rsid w:val="00595E95"/>
    <w:rsid w:val="005962BF"/>
    <w:rsid w:val="0059676D"/>
    <w:rsid w:val="00596862"/>
    <w:rsid w:val="005976E3"/>
    <w:rsid w:val="005A1262"/>
    <w:rsid w:val="005A1267"/>
    <w:rsid w:val="005A1F2E"/>
    <w:rsid w:val="005A2C1D"/>
    <w:rsid w:val="005A31E8"/>
    <w:rsid w:val="005A3AAF"/>
    <w:rsid w:val="005A3D69"/>
    <w:rsid w:val="005A45E3"/>
    <w:rsid w:val="005A4D09"/>
    <w:rsid w:val="005A6E2E"/>
    <w:rsid w:val="005A6F65"/>
    <w:rsid w:val="005A7EAF"/>
    <w:rsid w:val="005B1245"/>
    <w:rsid w:val="005B1F2B"/>
    <w:rsid w:val="005B29A3"/>
    <w:rsid w:val="005B3443"/>
    <w:rsid w:val="005B3A57"/>
    <w:rsid w:val="005B3AA1"/>
    <w:rsid w:val="005B4558"/>
    <w:rsid w:val="005B4B76"/>
    <w:rsid w:val="005B571B"/>
    <w:rsid w:val="005B5B43"/>
    <w:rsid w:val="005B79F5"/>
    <w:rsid w:val="005C0168"/>
    <w:rsid w:val="005C0728"/>
    <w:rsid w:val="005C1559"/>
    <w:rsid w:val="005C1632"/>
    <w:rsid w:val="005C1FC7"/>
    <w:rsid w:val="005C2630"/>
    <w:rsid w:val="005C34C5"/>
    <w:rsid w:val="005C3B7D"/>
    <w:rsid w:val="005C4539"/>
    <w:rsid w:val="005C481D"/>
    <w:rsid w:val="005C4ABB"/>
    <w:rsid w:val="005C4BC8"/>
    <w:rsid w:val="005C5194"/>
    <w:rsid w:val="005C5552"/>
    <w:rsid w:val="005C5955"/>
    <w:rsid w:val="005C6154"/>
    <w:rsid w:val="005C62AB"/>
    <w:rsid w:val="005C6882"/>
    <w:rsid w:val="005C73DF"/>
    <w:rsid w:val="005C78DB"/>
    <w:rsid w:val="005C7A7F"/>
    <w:rsid w:val="005C7FF9"/>
    <w:rsid w:val="005D0075"/>
    <w:rsid w:val="005D0369"/>
    <w:rsid w:val="005D074D"/>
    <w:rsid w:val="005D152E"/>
    <w:rsid w:val="005D2933"/>
    <w:rsid w:val="005D2BEB"/>
    <w:rsid w:val="005D2CC6"/>
    <w:rsid w:val="005D3588"/>
    <w:rsid w:val="005D4235"/>
    <w:rsid w:val="005D46B5"/>
    <w:rsid w:val="005D4CC5"/>
    <w:rsid w:val="005D62F4"/>
    <w:rsid w:val="005D63C1"/>
    <w:rsid w:val="005D6448"/>
    <w:rsid w:val="005D68F5"/>
    <w:rsid w:val="005D6931"/>
    <w:rsid w:val="005D6BA5"/>
    <w:rsid w:val="005D6DB3"/>
    <w:rsid w:val="005D7330"/>
    <w:rsid w:val="005D7354"/>
    <w:rsid w:val="005D7A51"/>
    <w:rsid w:val="005E1700"/>
    <w:rsid w:val="005E1DFF"/>
    <w:rsid w:val="005E24CB"/>
    <w:rsid w:val="005E25B0"/>
    <w:rsid w:val="005E2D38"/>
    <w:rsid w:val="005E3F3F"/>
    <w:rsid w:val="005E4F0E"/>
    <w:rsid w:val="005E5757"/>
    <w:rsid w:val="005E58BA"/>
    <w:rsid w:val="005E718B"/>
    <w:rsid w:val="005F0C89"/>
    <w:rsid w:val="005F0C99"/>
    <w:rsid w:val="005F1071"/>
    <w:rsid w:val="005F1370"/>
    <w:rsid w:val="005F200B"/>
    <w:rsid w:val="005F2793"/>
    <w:rsid w:val="005F2EC8"/>
    <w:rsid w:val="005F2F04"/>
    <w:rsid w:val="005F309F"/>
    <w:rsid w:val="005F31BA"/>
    <w:rsid w:val="005F4431"/>
    <w:rsid w:val="005F459C"/>
    <w:rsid w:val="005F4B2A"/>
    <w:rsid w:val="005F6070"/>
    <w:rsid w:val="005F62E9"/>
    <w:rsid w:val="00600234"/>
    <w:rsid w:val="00600F6A"/>
    <w:rsid w:val="00601399"/>
    <w:rsid w:val="00601A24"/>
    <w:rsid w:val="00602253"/>
    <w:rsid w:val="00602646"/>
    <w:rsid w:val="00602A1D"/>
    <w:rsid w:val="00602BFE"/>
    <w:rsid w:val="00603A92"/>
    <w:rsid w:val="00603C46"/>
    <w:rsid w:val="0060401C"/>
    <w:rsid w:val="0060403D"/>
    <w:rsid w:val="0060499D"/>
    <w:rsid w:val="00604A94"/>
    <w:rsid w:val="00604B38"/>
    <w:rsid w:val="00605856"/>
    <w:rsid w:val="006076BC"/>
    <w:rsid w:val="00610236"/>
    <w:rsid w:val="00610692"/>
    <w:rsid w:val="00611401"/>
    <w:rsid w:val="00611E55"/>
    <w:rsid w:val="00611FC6"/>
    <w:rsid w:val="00612CBE"/>
    <w:rsid w:val="00612F83"/>
    <w:rsid w:val="0061373F"/>
    <w:rsid w:val="00615462"/>
    <w:rsid w:val="00615738"/>
    <w:rsid w:val="00615BD4"/>
    <w:rsid w:val="006160C6"/>
    <w:rsid w:val="00616882"/>
    <w:rsid w:val="00616E96"/>
    <w:rsid w:val="0062039F"/>
    <w:rsid w:val="00620542"/>
    <w:rsid w:val="00620B0B"/>
    <w:rsid w:val="00621542"/>
    <w:rsid w:val="006216B0"/>
    <w:rsid w:val="0062193D"/>
    <w:rsid w:val="00621E57"/>
    <w:rsid w:val="00622597"/>
    <w:rsid w:val="006229AA"/>
    <w:rsid w:val="00622B9A"/>
    <w:rsid w:val="00623908"/>
    <w:rsid w:val="00623B08"/>
    <w:rsid w:val="00624832"/>
    <w:rsid w:val="006248B0"/>
    <w:rsid w:val="00626700"/>
    <w:rsid w:val="0062680D"/>
    <w:rsid w:val="0062692D"/>
    <w:rsid w:val="006272A8"/>
    <w:rsid w:val="00630C47"/>
    <w:rsid w:val="00632E41"/>
    <w:rsid w:val="00633605"/>
    <w:rsid w:val="00633F49"/>
    <w:rsid w:val="00634222"/>
    <w:rsid w:val="00634DAD"/>
    <w:rsid w:val="00634F6E"/>
    <w:rsid w:val="00636465"/>
    <w:rsid w:val="00636C07"/>
    <w:rsid w:val="00636D97"/>
    <w:rsid w:val="00637693"/>
    <w:rsid w:val="00637CD7"/>
    <w:rsid w:val="00637FA2"/>
    <w:rsid w:val="00640125"/>
    <w:rsid w:val="00640620"/>
    <w:rsid w:val="006416C6"/>
    <w:rsid w:val="00641933"/>
    <w:rsid w:val="00641B17"/>
    <w:rsid w:val="00641BCC"/>
    <w:rsid w:val="00642EA5"/>
    <w:rsid w:val="006437B7"/>
    <w:rsid w:val="00643EA9"/>
    <w:rsid w:val="006443C5"/>
    <w:rsid w:val="0064604D"/>
    <w:rsid w:val="00646149"/>
    <w:rsid w:val="006462EA"/>
    <w:rsid w:val="00646772"/>
    <w:rsid w:val="0064685A"/>
    <w:rsid w:val="00646AAD"/>
    <w:rsid w:val="00647ACA"/>
    <w:rsid w:val="0065010C"/>
    <w:rsid w:val="00650E1C"/>
    <w:rsid w:val="006511F0"/>
    <w:rsid w:val="006520A7"/>
    <w:rsid w:val="00652B39"/>
    <w:rsid w:val="00652CD8"/>
    <w:rsid w:val="0065380A"/>
    <w:rsid w:val="00653FCB"/>
    <w:rsid w:val="00654415"/>
    <w:rsid w:val="00654D4B"/>
    <w:rsid w:val="006550AF"/>
    <w:rsid w:val="00655BA4"/>
    <w:rsid w:val="0065611F"/>
    <w:rsid w:val="0065653F"/>
    <w:rsid w:val="00656E1C"/>
    <w:rsid w:val="00657137"/>
    <w:rsid w:val="00657458"/>
    <w:rsid w:val="00660420"/>
    <w:rsid w:val="006607AE"/>
    <w:rsid w:val="00661343"/>
    <w:rsid w:val="0066178B"/>
    <w:rsid w:val="00661856"/>
    <w:rsid w:val="00661BD5"/>
    <w:rsid w:val="006638E7"/>
    <w:rsid w:val="00664289"/>
    <w:rsid w:val="00664BC8"/>
    <w:rsid w:val="00664CD2"/>
    <w:rsid w:val="00667F29"/>
    <w:rsid w:val="0067045C"/>
    <w:rsid w:val="00670F4F"/>
    <w:rsid w:val="00671F40"/>
    <w:rsid w:val="00672538"/>
    <w:rsid w:val="00673FC9"/>
    <w:rsid w:val="00674FE3"/>
    <w:rsid w:val="006757D5"/>
    <w:rsid w:val="00675C79"/>
    <w:rsid w:val="00676FE8"/>
    <w:rsid w:val="0068000C"/>
    <w:rsid w:val="0068024B"/>
    <w:rsid w:val="0068095F"/>
    <w:rsid w:val="006834B7"/>
    <w:rsid w:val="006834E8"/>
    <w:rsid w:val="00686D23"/>
    <w:rsid w:val="0068749B"/>
    <w:rsid w:val="0068756C"/>
    <w:rsid w:val="00690010"/>
    <w:rsid w:val="006903D8"/>
    <w:rsid w:val="00690C72"/>
    <w:rsid w:val="00691AA3"/>
    <w:rsid w:val="00693ED6"/>
    <w:rsid w:val="006946E8"/>
    <w:rsid w:val="006948B1"/>
    <w:rsid w:val="00695199"/>
    <w:rsid w:val="006951C3"/>
    <w:rsid w:val="00695470"/>
    <w:rsid w:val="00695723"/>
    <w:rsid w:val="00696902"/>
    <w:rsid w:val="00696B89"/>
    <w:rsid w:val="00697536"/>
    <w:rsid w:val="006977D5"/>
    <w:rsid w:val="006A05A8"/>
    <w:rsid w:val="006A1622"/>
    <w:rsid w:val="006A1C52"/>
    <w:rsid w:val="006A20BC"/>
    <w:rsid w:val="006A2470"/>
    <w:rsid w:val="006A2D55"/>
    <w:rsid w:val="006A2E6B"/>
    <w:rsid w:val="006A33A5"/>
    <w:rsid w:val="006A55B8"/>
    <w:rsid w:val="006A60E8"/>
    <w:rsid w:val="006A6500"/>
    <w:rsid w:val="006A672D"/>
    <w:rsid w:val="006B047D"/>
    <w:rsid w:val="006B0A2A"/>
    <w:rsid w:val="006B11B4"/>
    <w:rsid w:val="006B142B"/>
    <w:rsid w:val="006B14BB"/>
    <w:rsid w:val="006B1ACE"/>
    <w:rsid w:val="006B2EA9"/>
    <w:rsid w:val="006B5419"/>
    <w:rsid w:val="006B63EF"/>
    <w:rsid w:val="006B7625"/>
    <w:rsid w:val="006C0050"/>
    <w:rsid w:val="006C0819"/>
    <w:rsid w:val="006C08E5"/>
    <w:rsid w:val="006C0A5C"/>
    <w:rsid w:val="006C1D86"/>
    <w:rsid w:val="006C203D"/>
    <w:rsid w:val="006C27EE"/>
    <w:rsid w:val="006C2DC5"/>
    <w:rsid w:val="006C3196"/>
    <w:rsid w:val="006C32CC"/>
    <w:rsid w:val="006C3427"/>
    <w:rsid w:val="006C379C"/>
    <w:rsid w:val="006C3A13"/>
    <w:rsid w:val="006C4480"/>
    <w:rsid w:val="006C5D76"/>
    <w:rsid w:val="006C7D50"/>
    <w:rsid w:val="006D08E5"/>
    <w:rsid w:val="006D11FC"/>
    <w:rsid w:val="006D3F56"/>
    <w:rsid w:val="006D4D05"/>
    <w:rsid w:val="006D5BD7"/>
    <w:rsid w:val="006D5FAD"/>
    <w:rsid w:val="006D69A1"/>
    <w:rsid w:val="006D7054"/>
    <w:rsid w:val="006D70CC"/>
    <w:rsid w:val="006D7839"/>
    <w:rsid w:val="006D79D2"/>
    <w:rsid w:val="006D7EF9"/>
    <w:rsid w:val="006E0380"/>
    <w:rsid w:val="006E150C"/>
    <w:rsid w:val="006E1515"/>
    <w:rsid w:val="006E2F44"/>
    <w:rsid w:val="006E344F"/>
    <w:rsid w:val="006E4AD8"/>
    <w:rsid w:val="006E56EF"/>
    <w:rsid w:val="006E5E79"/>
    <w:rsid w:val="006E62DA"/>
    <w:rsid w:val="006E680B"/>
    <w:rsid w:val="006E6AFE"/>
    <w:rsid w:val="006E6E5F"/>
    <w:rsid w:val="006F0AB4"/>
    <w:rsid w:val="006F1675"/>
    <w:rsid w:val="006F1764"/>
    <w:rsid w:val="006F21F0"/>
    <w:rsid w:val="006F2A1F"/>
    <w:rsid w:val="006F3F1E"/>
    <w:rsid w:val="006F4034"/>
    <w:rsid w:val="006F484F"/>
    <w:rsid w:val="006F485C"/>
    <w:rsid w:val="006F4EAC"/>
    <w:rsid w:val="006F607C"/>
    <w:rsid w:val="006F6272"/>
    <w:rsid w:val="006F6EAE"/>
    <w:rsid w:val="006F7C06"/>
    <w:rsid w:val="00701222"/>
    <w:rsid w:val="007013DC"/>
    <w:rsid w:val="00701B10"/>
    <w:rsid w:val="00702216"/>
    <w:rsid w:val="007028B8"/>
    <w:rsid w:val="0070388E"/>
    <w:rsid w:val="0070452B"/>
    <w:rsid w:val="007045FC"/>
    <w:rsid w:val="00704CCE"/>
    <w:rsid w:val="00705283"/>
    <w:rsid w:val="007059F0"/>
    <w:rsid w:val="00706595"/>
    <w:rsid w:val="00706B03"/>
    <w:rsid w:val="00706D83"/>
    <w:rsid w:val="00707573"/>
    <w:rsid w:val="0070767D"/>
    <w:rsid w:val="00707AF2"/>
    <w:rsid w:val="007104ED"/>
    <w:rsid w:val="00710F4A"/>
    <w:rsid w:val="0071208C"/>
    <w:rsid w:val="00712292"/>
    <w:rsid w:val="00712CC9"/>
    <w:rsid w:val="00713684"/>
    <w:rsid w:val="00713964"/>
    <w:rsid w:val="00713F99"/>
    <w:rsid w:val="00714F8C"/>
    <w:rsid w:val="00715389"/>
    <w:rsid w:val="0071586F"/>
    <w:rsid w:val="00715CEC"/>
    <w:rsid w:val="0071705B"/>
    <w:rsid w:val="007214D6"/>
    <w:rsid w:val="007217B3"/>
    <w:rsid w:val="007220B1"/>
    <w:rsid w:val="00722AE8"/>
    <w:rsid w:val="00722E8C"/>
    <w:rsid w:val="00722FB6"/>
    <w:rsid w:val="00723078"/>
    <w:rsid w:val="00724118"/>
    <w:rsid w:val="0072470A"/>
    <w:rsid w:val="00724B2C"/>
    <w:rsid w:val="00724B4B"/>
    <w:rsid w:val="00724F71"/>
    <w:rsid w:val="00725A97"/>
    <w:rsid w:val="007265D6"/>
    <w:rsid w:val="00726DE2"/>
    <w:rsid w:val="00726E06"/>
    <w:rsid w:val="00726FD3"/>
    <w:rsid w:val="00727694"/>
    <w:rsid w:val="00730614"/>
    <w:rsid w:val="00731D5B"/>
    <w:rsid w:val="007331C4"/>
    <w:rsid w:val="00733454"/>
    <w:rsid w:val="00735035"/>
    <w:rsid w:val="00735075"/>
    <w:rsid w:val="007355FA"/>
    <w:rsid w:val="007375D6"/>
    <w:rsid w:val="0073776E"/>
    <w:rsid w:val="00737CF4"/>
    <w:rsid w:val="007407C5"/>
    <w:rsid w:val="0074101C"/>
    <w:rsid w:val="00742E3A"/>
    <w:rsid w:val="00743618"/>
    <w:rsid w:val="00743A4B"/>
    <w:rsid w:val="00744456"/>
    <w:rsid w:val="00745353"/>
    <w:rsid w:val="00745914"/>
    <w:rsid w:val="00745BB8"/>
    <w:rsid w:val="0074739E"/>
    <w:rsid w:val="00750291"/>
    <w:rsid w:val="00750821"/>
    <w:rsid w:val="00750A3B"/>
    <w:rsid w:val="00750DA8"/>
    <w:rsid w:val="007515B5"/>
    <w:rsid w:val="00751A79"/>
    <w:rsid w:val="00752264"/>
    <w:rsid w:val="00753A62"/>
    <w:rsid w:val="00753E09"/>
    <w:rsid w:val="007540C8"/>
    <w:rsid w:val="00754A5B"/>
    <w:rsid w:val="00754EC1"/>
    <w:rsid w:val="00755095"/>
    <w:rsid w:val="0075660D"/>
    <w:rsid w:val="0075709B"/>
    <w:rsid w:val="00757A66"/>
    <w:rsid w:val="00757EC4"/>
    <w:rsid w:val="00757F85"/>
    <w:rsid w:val="0076099C"/>
    <w:rsid w:val="00761B21"/>
    <w:rsid w:val="00761BE6"/>
    <w:rsid w:val="00761DD2"/>
    <w:rsid w:val="007637D5"/>
    <w:rsid w:val="00763CD8"/>
    <w:rsid w:val="00764443"/>
    <w:rsid w:val="00764E53"/>
    <w:rsid w:val="0076589C"/>
    <w:rsid w:val="00766451"/>
    <w:rsid w:val="0077061D"/>
    <w:rsid w:val="00770766"/>
    <w:rsid w:val="00771FB0"/>
    <w:rsid w:val="00773104"/>
    <w:rsid w:val="00773788"/>
    <w:rsid w:val="00773AE8"/>
    <w:rsid w:val="00773D9B"/>
    <w:rsid w:val="00773F0F"/>
    <w:rsid w:val="007740DC"/>
    <w:rsid w:val="00774927"/>
    <w:rsid w:val="00776BB0"/>
    <w:rsid w:val="00777D4A"/>
    <w:rsid w:val="00780A59"/>
    <w:rsid w:val="00780BBE"/>
    <w:rsid w:val="00781581"/>
    <w:rsid w:val="00781DBE"/>
    <w:rsid w:val="00783B41"/>
    <w:rsid w:val="0078465E"/>
    <w:rsid w:val="007849F5"/>
    <w:rsid w:val="00784A84"/>
    <w:rsid w:val="00784B0B"/>
    <w:rsid w:val="00784CB6"/>
    <w:rsid w:val="0078519F"/>
    <w:rsid w:val="0078537D"/>
    <w:rsid w:val="00786E8A"/>
    <w:rsid w:val="00787312"/>
    <w:rsid w:val="007877B6"/>
    <w:rsid w:val="00790542"/>
    <w:rsid w:val="00790B1D"/>
    <w:rsid w:val="0079180C"/>
    <w:rsid w:val="00791ACE"/>
    <w:rsid w:val="0079260D"/>
    <w:rsid w:val="00793004"/>
    <w:rsid w:val="0079559D"/>
    <w:rsid w:val="0079585E"/>
    <w:rsid w:val="007958A7"/>
    <w:rsid w:val="0079614F"/>
    <w:rsid w:val="007968D5"/>
    <w:rsid w:val="00796D4A"/>
    <w:rsid w:val="00796E41"/>
    <w:rsid w:val="0079715F"/>
    <w:rsid w:val="007A03B0"/>
    <w:rsid w:val="007A0A37"/>
    <w:rsid w:val="007A0D2D"/>
    <w:rsid w:val="007A276E"/>
    <w:rsid w:val="007A2A3D"/>
    <w:rsid w:val="007A2DBF"/>
    <w:rsid w:val="007A3BCB"/>
    <w:rsid w:val="007A6439"/>
    <w:rsid w:val="007A683F"/>
    <w:rsid w:val="007A6F12"/>
    <w:rsid w:val="007A7954"/>
    <w:rsid w:val="007A7DAF"/>
    <w:rsid w:val="007B10CE"/>
    <w:rsid w:val="007B29DD"/>
    <w:rsid w:val="007B41C1"/>
    <w:rsid w:val="007B41CC"/>
    <w:rsid w:val="007B5814"/>
    <w:rsid w:val="007B5C6C"/>
    <w:rsid w:val="007B6E70"/>
    <w:rsid w:val="007B709E"/>
    <w:rsid w:val="007B75CA"/>
    <w:rsid w:val="007B7985"/>
    <w:rsid w:val="007B79FF"/>
    <w:rsid w:val="007B7E72"/>
    <w:rsid w:val="007C01F9"/>
    <w:rsid w:val="007C0613"/>
    <w:rsid w:val="007C0DDA"/>
    <w:rsid w:val="007C1656"/>
    <w:rsid w:val="007C1DFF"/>
    <w:rsid w:val="007C323A"/>
    <w:rsid w:val="007C3CF5"/>
    <w:rsid w:val="007C3F8B"/>
    <w:rsid w:val="007C4766"/>
    <w:rsid w:val="007C49F2"/>
    <w:rsid w:val="007C5D82"/>
    <w:rsid w:val="007C7808"/>
    <w:rsid w:val="007C7B47"/>
    <w:rsid w:val="007C7BDD"/>
    <w:rsid w:val="007D01D2"/>
    <w:rsid w:val="007D3131"/>
    <w:rsid w:val="007D3886"/>
    <w:rsid w:val="007D3A8A"/>
    <w:rsid w:val="007D3E3C"/>
    <w:rsid w:val="007D3E4B"/>
    <w:rsid w:val="007D4343"/>
    <w:rsid w:val="007D4712"/>
    <w:rsid w:val="007D4917"/>
    <w:rsid w:val="007D4F41"/>
    <w:rsid w:val="007D4FB3"/>
    <w:rsid w:val="007D5044"/>
    <w:rsid w:val="007D7015"/>
    <w:rsid w:val="007D7A08"/>
    <w:rsid w:val="007E0485"/>
    <w:rsid w:val="007E04F8"/>
    <w:rsid w:val="007E05C5"/>
    <w:rsid w:val="007E0F88"/>
    <w:rsid w:val="007E11FD"/>
    <w:rsid w:val="007E2747"/>
    <w:rsid w:val="007E3578"/>
    <w:rsid w:val="007E4ACB"/>
    <w:rsid w:val="007E4C2E"/>
    <w:rsid w:val="007E4E7A"/>
    <w:rsid w:val="007E59A6"/>
    <w:rsid w:val="007E6B3C"/>
    <w:rsid w:val="007E7930"/>
    <w:rsid w:val="007F0729"/>
    <w:rsid w:val="007F0A6F"/>
    <w:rsid w:val="007F0ABE"/>
    <w:rsid w:val="007F1FEF"/>
    <w:rsid w:val="007F2569"/>
    <w:rsid w:val="007F334A"/>
    <w:rsid w:val="007F34EE"/>
    <w:rsid w:val="007F3A26"/>
    <w:rsid w:val="007F40B2"/>
    <w:rsid w:val="007F411F"/>
    <w:rsid w:val="007F42F3"/>
    <w:rsid w:val="007F4782"/>
    <w:rsid w:val="007F4AAF"/>
    <w:rsid w:val="007F4D9F"/>
    <w:rsid w:val="007F58A0"/>
    <w:rsid w:val="007F595D"/>
    <w:rsid w:val="007F610E"/>
    <w:rsid w:val="007F65F5"/>
    <w:rsid w:val="007F67AF"/>
    <w:rsid w:val="007F7D6B"/>
    <w:rsid w:val="007F7D96"/>
    <w:rsid w:val="00800E71"/>
    <w:rsid w:val="008011D9"/>
    <w:rsid w:val="00801469"/>
    <w:rsid w:val="008014F1"/>
    <w:rsid w:val="00801AFD"/>
    <w:rsid w:val="00802120"/>
    <w:rsid w:val="00802B83"/>
    <w:rsid w:val="00802D8A"/>
    <w:rsid w:val="00803110"/>
    <w:rsid w:val="00803CF4"/>
    <w:rsid w:val="00803F90"/>
    <w:rsid w:val="008048BC"/>
    <w:rsid w:val="00805C5E"/>
    <w:rsid w:val="00805ED7"/>
    <w:rsid w:val="00806EC9"/>
    <w:rsid w:val="00806F57"/>
    <w:rsid w:val="00807C98"/>
    <w:rsid w:val="00807EEF"/>
    <w:rsid w:val="00810109"/>
    <w:rsid w:val="008101AC"/>
    <w:rsid w:val="00810898"/>
    <w:rsid w:val="00810FA2"/>
    <w:rsid w:val="0081169E"/>
    <w:rsid w:val="00811E18"/>
    <w:rsid w:val="0081269E"/>
    <w:rsid w:val="00813789"/>
    <w:rsid w:val="00814BCF"/>
    <w:rsid w:val="00814F81"/>
    <w:rsid w:val="008152B1"/>
    <w:rsid w:val="00816F4A"/>
    <w:rsid w:val="00817A59"/>
    <w:rsid w:val="0082029F"/>
    <w:rsid w:val="0082085E"/>
    <w:rsid w:val="008217FB"/>
    <w:rsid w:val="00823FF5"/>
    <w:rsid w:val="008246C0"/>
    <w:rsid w:val="00825685"/>
    <w:rsid w:val="00826111"/>
    <w:rsid w:val="008265E1"/>
    <w:rsid w:val="0082696D"/>
    <w:rsid w:val="00826AD9"/>
    <w:rsid w:val="00826DDA"/>
    <w:rsid w:val="00830CDD"/>
    <w:rsid w:val="00831CA3"/>
    <w:rsid w:val="008335FB"/>
    <w:rsid w:val="00833D08"/>
    <w:rsid w:val="0083434F"/>
    <w:rsid w:val="00834535"/>
    <w:rsid w:val="00834728"/>
    <w:rsid w:val="00834F93"/>
    <w:rsid w:val="00834F9B"/>
    <w:rsid w:val="00836FF7"/>
    <w:rsid w:val="00837573"/>
    <w:rsid w:val="008377A2"/>
    <w:rsid w:val="00840AB1"/>
    <w:rsid w:val="0084132C"/>
    <w:rsid w:val="0084187F"/>
    <w:rsid w:val="00842D7C"/>
    <w:rsid w:val="00842ED0"/>
    <w:rsid w:val="00845DA3"/>
    <w:rsid w:val="00846128"/>
    <w:rsid w:val="00846462"/>
    <w:rsid w:val="00846508"/>
    <w:rsid w:val="00846D70"/>
    <w:rsid w:val="00847D90"/>
    <w:rsid w:val="008519DA"/>
    <w:rsid w:val="00851C23"/>
    <w:rsid w:val="008526C1"/>
    <w:rsid w:val="00853C3E"/>
    <w:rsid w:val="008546BE"/>
    <w:rsid w:val="008546F8"/>
    <w:rsid w:val="00854C22"/>
    <w:rsid w:val="00855C97"/>
    <w:rsid w:val="00856BFE"/>
    <w:rsid w:val="008578C8"/>
    <w:rsid w:val="00860935"/>
    <w:rsid w:val="00860B2D"/>
    <w:rsid w:val="00860BC3"/>
    <w:rsid w:val="00861467"/>
    <w:rsid w:val="00861FC3"/>
    <w:rsid w:val="00861FCE"/>
    <w:rsid w:val="00862BFE"/>
    <w:rsid w:val="00863811"/>
    <w:rsid w:val="00864062"/>
    <w:rsid w:val="008642F9"/>
    <w:rsid w:val="008644BC"/>
    <w:rsid w:val="008656A8"/>
    <w:rsid w:val="008659CC"/>
    <w:rsid w:val="00867279"/>
    <w:rsid w:val="00867AD0"/>
    <w:rsid w:val="00867C85"/>
    <w:rsid w:val="0087002B"/>
    <w:rsid w:val="00870543"/>
    <w:rsid w:val="0087174F"/>
    <w:rsid w:val="008718B8"/>
    <w:rsid w:val="00871B2A"/>
    <w:rsid w:val="00871BD2"/>
    <w:rsid w:val="00871D6C"/>
    <w:rsid w:val="00873AD4"/>
    <w:rsid w:val="008742AE"/>
    <w:rsid w:val="00874986"/>
    <w:rsid w:val="00874A42"/>
    <w:rsid w:val="008750CE"/>
    <w:rsid w:val="00875B4D"/>
    <w:rsid w:val="00875B83"/>
    <w:rsid w:val="00875BBB"/>
    <w:rsid w:val="00877137"/>
    <w:rsid w:val="00880634"/>
    <w:rsid w:val="008808E9"/>
    <w:rsid w:val="008816D9"/>
    <w:rsid w:val="00881D4D"/>
    <w:rsid w:val="00881E3C"/>
    <w:rsid w:val="00882840"/>
    <w:rsid w:val="00885943"/>
    <w:rsid w:val="00885AAB"/>
    <w:rsid w:val="00886266"/>
    <w:rsid w:val="00886ACE"/>
    <w:rsid w:val="00886F88"/>
    <w:rsid w:val="00890A51"/>
    <w:rsid w:val="00891898"/>
    <w:rsid w:val="00892426"/>
    <w:rsid w:val="00892654"/>
    <w:rsid w:val="008926F6"/>
    <w:rsid w:val="00893A18"/>
    <w:rsid w:val="00893BB4"/>
    <w:rsid w:val="008958F4"/>
    <w:rsid w:val="00895D16"/>
    <w:rsid w:val="00895F48"/>
    <w:rsid w:val="008965C3"/>
    <w:rsid w:val="0089661E"/>
    <w:rsid w:val="00896B5E"/>
    <w:rsid w:val="00897022"/>
    <w:rsid w:val="008A076B"/>
    <w:rsid w:val="008A0B77"/>
    <w:rsid w:val="008A16CC"/>
    <w:rsid w:val="008A249D"/>
    <w:rsid w:val="008A2C0C"/>
    <w:rsid w:val="008A3AC3"/>
    <w:rsid w:val="008A461C"/>
    <w:rsid w:val="008A6DA3"/>
    <w:rsid w:val="008A718D"/>
    <w:rsid w:val="008A7330"/>
    <w:rsid w:val="008A75AE"/>
    <w:rsid w:val="008A7DFE"/>
    <w:rsid w:val="008B0866"/>
    <w:rsid w:val="008B1B9C"/>
    <w:rsid w:val="008B22D4"/>
    <w:rsid w:val="008B2590"/>
    <w:rsid w:val="008B262F"/>
    <w:rsid w:val="008B2D21"/>
    <w:rsid w:val="008B300F"/>
    <w:rsid w:val="008B36FE"/>
    <w:rsid w:val="008B4DB4"/>
    <w:rsid w:val="008B4DED"/>
    <w:rsid w:val="008B5A84"/>
    <w:rsid w:val="008B5B4D"/>
    <w:rsid w:val="008B5E06"/>
    <w:rsid w:val="008B5EF0"/>
    <w:rsid w:val="008B65C3"/>
    <w:rsid w:val="008B6C9B"/>
    <w:rsid w:val="008B70FC"/>
    <w:rsid w:val="008C0350"/>
    <w:rsid w:val="008C0630"/>
    <w:rsid w:val="008C1A26"/>
    <w:rsid w:val="008C2351"/>
    <w:rsid w:val="008C31BD"/>
    <w:rsid w:val="008C3497"/>
    <w:rsid w:val="008C3604"/>
    <w:rsid w:val="008C3FE8"/>
    <w:rsid w:val="008C4B76"/>
    <w:rsid w:val="008C4D27"/>
    <w:rsid w:val="008C5156"/>
    <w:rsid w:val="008C5900"/>
    <w:rsid w:val="008C5AA3"/>
    <w:rsid w:val="008C6AB8"/>
    <w:rsid w:val="008C7147"/>
    <w:rsid w:val="008C781A"/>
    <w:rsid w:val="008D08BA"/>
    <w:rsid w:val="008D09DE"/>
    <w:rsid w:val="008D14A0"/>
    <w:rsid w:val="008D1A6C"/>
    <w:rsid w:val="008D1D48"/>
    <w:rsid w:val="008D1E21"/>
    <w:rsid w:val="008D219A"/>
    <w:rsid w:val="008D2231"/>
    <w:rsid w:val="008D4812"/>
    <w:rsid w:val="008D6357"/>
    <w:rsid w:val="008D6DB6"/>
    <w:rsid w:val="008D77F0"/>
    <w:rsid w:val="008E17DD"/>
    <w:rsid w:val="008E29C0"/>
    <w:rsid w:val="008E405F"/>
    <w:rsid w:val="008E57EF"/>
    <w:rsid w:val="008E6022"/>
    <w:rsid w:val="008E6642"/>
    <w:rsid w:val="008E79DB"/>
    <w:rsid w:val="008F0E0F"/>
    <w:rsid w:val="008F10F1"/>
    <w:rsid w:val="008F17D8"/>
    <w:rsid w:val="008F1BB5"/>
    <w:rsid w:val="008F2367"/>
    <w:rsid w:val="008F2789"/>
    <w:rsid w:val="008F2FAA"/>
    <w:rsid w:val="008F33EB"/>
    <w:rsid w:val="008F40E7"/>
    <w:rsid w:val="008F4392"/>
    <w:rsid w:val="008F4AF3"/>
    <w:rsid w:val="008F5942"/>
    <w:rsid w:val="008F606A"/>
    <w:rsid w:val="008F6526"/>
    <w:rsid w:val="008F708B"/>
    <w:rsid w:val="008F7621"/>
    <w:rsid w:val="008F77B6"/>
    <w:rsid w:val="009004A0"/>
    <w:rsid w:val="0090053C"/>
    <w:rsid w:val="009011E6"/>
    <w:rsid w:val="00902103"/>
    <w:rsid w:val="00902B47"/>
    <w:rsid w:val="0090332D"/>
    <w:rsid w:val="00903553"/>
    <w:rsid w:val="00903936"/>
    <w:rsid w:val="009041BD"/>
    <w:rsid w:val="009061DC"/>
    <w:rsid w:val="00907305"/>
    <w:rsid w:val="00907ACF"/>
    <w:rsid w:val="009118AA"/>
    <w:rsid w:val="00911A37"/>
    <w:rsid w:val="00913D18"/>
    <w:rsid w:val="00913E8B"/>
    <w:rsid w:val="00914511"/>
    <w:rsid w:val="00914A37"/>
    <w:rsid w:val="00914D0B"/>
    <w:rsid w:val="00915C38"/>
    <w:rsid w:val="00916446"/>
    <w:rsid w:val="00916AAE"/>
    <w:rsid w:val="00917327"/>
    <w:rsid w:val="00920BD1"/>
    <w:rsid w:val="009218DC"/>
    <w:rsid w:val="009230D5"/>
    <w:rsid w:val="00923D40"/>
    <w:rsid w:val="00924B92"/>
    <w:rsid w:val="00925FEB"/>
    <w:rsid w:val="009274E3"/>
    <w:rsid w:val="00930E16"/>
    <w:rsid w:val="00930FFC"/>
    <w:rsid w:val="009312C8"/>
    <w:rsid w:val="0093170E"/>
    <w:rsid w:val="0093404C"/>
    <w:rsid w:val="009342B3"/>
    <w:rsid w:val="00936001"/>
    <w:rsid w:val="00936028"/>
    <w:rsid w:val="009368AA"/>
    <w:rsid w:val="00940C5F"/>
    <w:rsid w:val="00940EC9"/>
    <w:rsid w:val="00940EDF"/>
    <w:rsid w:val="00941331"/>
    <w:rsid w:val="00941D77"/>
    <w:rsid w:val="00941D82"/>
    <w:rsid w:val="00941E4D"/>
    <w:rsid w:val="009428E0"/>
    <w:rsid w:val="00943146"/>
    <w:rsid w:val="00943F8A"/>
    <w:rsid w:val="009449C6"/>
    <w:rsid w:val="009450B4"/>
    <w:rsid w:val="00945735"/>
    <w:rsid w:val="00946773"/>
    <w:rsid w:val="00946E88"/>
    <w:rsid w:val="00947004"/>
    <w:rsid w:val="009473D0"/>
    <w:rsid w:val="0094799E"/>
    <w:rsid w:val="00953054"/>
    <w:rsid w:val="009539EC"/>
    <w:rsid w:val="009544ED"/>
    <w:rsid w:val="00954753"/>
    <w:rsid w:val="0095501A"/>
    <w:rsid w:val="009551E6"/>
    <w:rsid w:val="009565E9"/>
    <w:rsid w:val="0095660F"/>
    <w:rsid w:val="00956E86"/>
    <w:rsid w:val="009579BC"/>
    <w:rsid w:val="009602E8"/>
    <w:rsid w:val="00960C48"/>
    <w:rsid w:val="00960F9A"/>
    <w:rsid w:val="00962687"/>
    <w:rsid w:val="00962BC1"/>
    <w:rsid w:val="00963457"/>
    <w:rsid w:val="00963961"/>
    <w:rsid w:val="00963FF2"/>
    <w:rsid w:val="0096419F"/>
    <w:rsid w:val="00964F3B"/>
    <w:rsid w:val="009654B4"/>
    <w:rsid w:val="00966513"/>
    <w:rsid w:val="00966996"/>
    <w:rsid w:val="00967093"/>
    <w:rsid w:val="009672BF"/>
    <w:rsid w:val="00967E37"/>
    <w:rsid w:val="009701AE"/>
    <w:rsid w:val="0097043E"/>
    <w:rsid w:val="00970D93"/>
    <w:rsid w:val="00970DF9"/>
    <w:rsid w:val="00970E97"/>
    <w:rsid w:val="00971195"/>
    <w:rsid w:val="0097150C"/>
    <w:rsid w:val="009717C0"/>
    <w:rsid w:val="00972179"/>
    <w:rsid w:val="009749BD"/>
    <w:rsid w:val="009754A8"/>
    <w:rsid w:val="00975522"/>
    <w:rsid w:val="0097631D"/>
    <w:rsid w:val="00977727"/>
    <w:rsid w:val="00977CD2"/>
    <w:rsid w:val="009800F5"/>
    <w:rsid w:val="00980E51"/>
    <w:rsid w:val="00981538"/>
    <w:rsid w:val="00981BFA"/>
    <w:rsid w:val="00981CEE"/>
    <w:rsid w:val="00981F58"/>
    <w:rsid w:val="00982898"/>
    <w:rsid w:val="00982AD9"/>
    <w:rsid w:val="009838EB"/>
    <w:rsid w:val="00984C0D"/>
    <w:rsid w:val="009853B3"/>
    <w:rsid w:val="00986224"/>
    <w:rsid w:val="00986F4D"/>
    <w:rsid w:val="009877EE"/>
    <w:rsid w:val="0099055F"/>
    <w:rsid w:val="00990ACD"/>
    <w:rsid w:val="0099108B"/>
    <w:rsid w:val="009917CF"/>
    <w:rsid w:val="00991924"/>
    <w:rsid w:val="00991B86"/>
    <w:rsid w:val="00992C8B"/>
    <w:rsid w:val="00993DD4"/>
    <w:rsid w:val="009958E0"/>
    <w:rsid w:val="00995C70"/>
    <w:rsid w:val="0099658C"/>
    <w:rsid w:val="009967CB"/>
    <w:rsid w:val="009972C7"/>
    <w:rsid w:val="00997B7A"/>
    <w:rsid w:val="009A0447"/>
    <w:rsid w:val="009A0B1E"/>
    <w:rsid w:val="009A0C97"/>
    <w:rsid w:val="009A0CF8"/>
    <w:rsid w:val="009A0DAB"/>
    <w:rsid w:val="009A1D3C"/>
    <w:rsid w:val="009A2479"/>
    <w:rsid w:val="009A3E0B"/>
    <w:rsid w:val="009A4788"/>
    <w:rsid w:val="009A51D8"/>
    <w:rsid w:val="009A5799"/>
    <w:rsid w:val="009A641E"/>
    <w:rsid w:val="009A664C"/>
    <w:rsid w:val="009A7B03"/>
    <w:rsid w:val="009B060D"/>
    <w:rsid w:val="009B0F8C"/>
    <w:rsid w:val="009B2169"/>
    <w:rsid w:val="009B2BB7"/>
    <w:rsid w:val="009B31E2"/>
    <w:rsid w:val="009B381E"/>
    <w:rsid w:val="009B5735"/>
    <w:rsid w:val="009B5CB4"/>
    <w:rsid w:val="009B6557"/>
    <w:rsid w:val="009B7097"/>
    <w:rsid w:val="009B7200"/>
    <w:rsid w:val="009B7EE5"/>
    <w:rsid w:val="009B7FB6"/>
    <w:rsid w:val="009C104A"/>
    <w:rsid w:val="009C112A"/>
    <w:rsid w:val="009C1905"/>
    <w:rsid w:val="009C24EB"/>
    <w:rsid w:val="009C2EB1"/>
    <w:rsid w:val="009C4268"/>
    <w:rsid w:val="009C4802"/>
    <w:rsid w:val="009C5638"/>
    <w:rsid w:val="009C633C"/>
    <w:rsid w:val="009C6BDD"/>
    <w:rsid w:val="009C6DBE"/>
    <w:rsid w:val="009C6DC6"/>
    <w:rsid w:val="009D26AE"/>
    <w:rsid w:val="009D3EFB"/>
    <w:rsid w:val="009D529C"/>
    <w:rsid w:val="009D5496"/>
    <w:rsid w:val="009D5938"/>
    <w:rsid w:val="009D70E5"/>
    <w:rsid w:val="009D71D1"/>
    <w:rsid w:val="009D72D3"/>
    <w:rsid w:val="009D734F"/>
    <w:rsid w:val="009D776F"/>
    <w:rsid w:val="009E0E2F"/>
    <w:rsid w:val="009E0F95"/>
    <w:rsid w:val="009E1318"/>
    <w:rsid w:val="009E1D6E"/>
    <w:rsid w:val="009E1E5A"/>
    <w:rsid w:val="009E25FF"/>
    <w:rsid w:val="009E3492"/>
    <w:rsid w:val="009E3D54"/>
    <w:rsid w:val="009E3EE7"/>
    <w:rsid w:val="009E3FED"/>
    <w:rsid w:val="009E4FDE"/>
    <w:rsid w:val="009E5DD0"/>
    <w:rsid w:val="009E6AF8"/>
    <w:rsid w:val="009F006F"/>
    <w:rsid w:val="009F0222"/>
    <w:rsid w:val="009F096B"/>
    <w:rsid w:val="009F2E53"/>
    <w:rsid w:val="009F5128"/>
    <w:rsid w:val="009F5A8F"/>
    <w:rsid w:val="009F6C81"/>
    <w:rsid w:val="009F71C8"/>
    <w:rsid w:val="00A006D4"/>
    <w:rsid w:val="00A019E8"/>
    <w:rsid w:val="00A01C78"/>
    <w:rsid w:val="00A02144"/>
    <w:rsid w:val="00A02383"/>
    <w:rsid w:val="00A029D4"/>
    <w:rsid w:val="00A02FFC"/>
    <w:rsid w:val="00A03183"/>
    <w:rsid w:val="00A04070"/>
    <w:rsid w:val="00A04C7B"/>
    <w:rsid w:val="00A04EEA"/>
    <w:rsid w:val="00A05E5F"/>
    <w:rsid w:val="00A05F9F"/>
    <w:rsid w:val="00A066DA"/>
    <w:rsid w:val="00A0769E"/>
    <w:rsid w:val="00A07E60"/>
    <w:rsid w:val="00A113F1"/>
    <w:rsid w:val="00A1199B"/>
    <w:rsid w:val="00A1248D"/>
    <w:rsid w:val="00A146B0"/>
    <w:rsid w:val="00A14D48"/>
    <w:rsid w:val="00A15771"/>
    <w:rsid w:val="00A15D3B"/>
    <w:rsid w:val="00A16123"/>
    <w:rsid w:val="00A16EE1"/>
    <w:rsid w:val="00A17121"/>
    <w:rsid w:val="00A1776C"/>
    <w:rsid w:val="00A20364"/>
    <w:rsid w:val="00A205C9"/>
    <w:rsid w:val="00A21447"/>
    <w:rsid w:val="00A235F9"/>
    <w:rsid w:val="00A23B44"/>
    <w:rsid w:val="00A2498F"/>
    <w:rsid w:val="00A2554B"/>
    <w:rsid w:val="00A25B38"/>
    <w:rsid w:val="00A27B4F"/>
    <w:rsid w:val="00A30315"/>
    <w:rsid w:val="00A314D1"/>
    <w:rsid w:val="00A32332"/>
    <w:rsid w:val="00A323EF"/>
    <w:rsid w:val="00A3247C"/>
    <w:rsid w:val="00A32AF3"/>
    <w:rsid w:val="00A33FB3"/>
    <w:rsid w:val="00A34DF1"/>
    <w:rsid w:val="00A35097"/>
    <w:rsid w:val="00A36316"/>
    <w:rsid w:val="00A402B2"/>
    <w:rsid w:val="00A40656"/>
    <w:rsid w:val="00A40A41"/>
    <w:rsid w:val="00A410DD"/>
    <w:rsid w:val="00A42E3A"/>
    <w:rsid w:val="00A4430A"/>
    <w:rsid w:val="00A455FA"/>
    <w:rsid w:val="00A45A5C"/>
    <w:rsid w:val="00A4624C"/>
    <w:rsid w:val="00A46E5C"/>
    <w:rsid w:val="00A505AA"/>
    <w:rsid w:val="00A50A21"/>
    <w:rsid w:val="00A514BF"/>
    <w:rsid w:val="00A518B0"/>
    <w:rsid w:val="00A51FD7"/>
    <w:rsid w:val="00A5234C"/>
    <w:rsid w:val="00A5244D"/>
    <w:rsid w:val="00A532AF"/>
    <w:rsid w:val="00A537DC"/>
    <w:rsid w:val="00A539BC"/>
    <w:rsid w:val="00A5604F"/>
    <w:rsid w:val="00A5658A"/>
    <w:rsid w:val="00A56ABA"/>
    <w:rsid w:val="00A57B98"/>
    <w:rsid w:val="00A57DE8"/>
    <w:rsid w:val="00A60E83"/>
    <w:rsid w:val="00A63150"/>
    <w:rsid w:val="00A63E6A"/>
    <w:rsid w:val="00A64008"/>
    <w:rsid w:val="00A644CC"/>
    <w:rsid w:val="00A64992"/>
    <w:rsid w:val="00A64C64"/>
    <w:rsid w:val="00A64E8D"/>
    <w:rsid w:val="00A65719"/>
    <w:rsid w:val="00A66398"/>
    <w:rsid w:val="00A6690F"/>
    <w:rsid w:val="00A66DEC"/>
    <w:rsid w:val="00A67B8C"/>
    <w:rsid w:val="00A701D2"/>
    <w:rsid w:val="00A70286"/>
    <w:rsid w:val="00A70500"/>
    <w:rsid w:val="00A70993"/>
    <w:rsid w:val="00A709EB"/>
    <w:rsid w:val="00A71A86"/>
    <w:rsid w:val="00A71D29"/>
    <w:rsid w:val="00A72D8D"/>
    <w:rsid w:val="00A73C9A"/>
    <w:rsid w:val="00A73D1F"/>
    <w:rsid w:val="00A746D7"/>
    <w:rsid w:val="00A74B0C"/>
    <w:rsid w:val="00A760A4"/>
    <w:rsid w:val="00A760F7"/>
    <w:rsid w:val="00A764F9"/>
    <w:rsid w:val="00A76D8C"/>
    <w:rsid w:val="00A7771F"/>
    <w:rsid w:val="00A779CB"/>
    <w:rsid w:val="00A77F80"/>
    <w:rsid w:val="00A807A7"/>
    <w:rsid w:val="00A80D6C"/>
    <w:rsid w:val="00A81887"/>
    <w:rsid w:val="00A819B3"/>
    <w:rsid w:val="00A821A1"/>
    <w:rsid w:val="00A82979"/>
    <w:rsid w:val="00A82D81"/>
    <w:rsid w:val="00A83D03"/>
    <w:rsid w:val="00A844BA"/>
    <w:rsid w:val="00A848AB"/>
    <w:rsid w:val="00A85511"/>
    <w:rsid w:val="00A86DCC"/>
    <w:rsid w:val="00A871CB"/>
    <w:rsid w:val="00A87514"/>
    <w:rsid w:val="00A87BAD"/>
    <w:rsid w:val="00A90EB0"/>
    <w:rsid w:val="00A9152C"/>
    <w:rsid w:val="00A916C3"/>
    <w:rsid w:val="00A927A3"/>
    <w:rsid w:val="00A94BFD"/>
    <w:rsid w:val="00A95F54"/>
    <w:rsid w:val="00A965D5"/>
    <w:rsid w:val="00A976D2"/>
    <w:rsid w:val="00AA0604"/>
    <w:rsid w:val="00AA0CB5"/>
    <w:rsid w:val="00AA0DB3"/>
    <w:rsid w:val="00AA13AD"/>
    <w:rsid w:val="00AA2D25"/>
    <w:rsid w:val="00AA2E1B"/>
    <w:rsid w:val="00AA303D"/>
    <w:rsid w:val="00AA374B"/>
    <w:rsid w:val="00AA3881"/>
    <w:rsid w:val="00AA398B"/>
    <w:rsid w:val="00AA3F1E"/>
    <w:rsid w:val="00AA4AFB"/>
    <w:rsid w:val="00AA4BE9"/>
    <w:rsid w:val="00AA51BD"/>
    <w:rsid w:val="00AA541B"/>
    <w:rsid w:val="00AA5A86"/>
    <w:rsid w:val="00AA6D94"/>
    <w:rsid w:val="00AB0DA9"/>
    <w:rsid w:val="00AB1A9A"/>
    <w:rsid w:val="00AB269D"/>
    <w:rsid w:val="00AB2EFC"/>
    <w:rsid w:val="00AB4F5F"/>
    <w:rsid w:val="00AB6306"/>
    <w:rsid w:val="00AB6EF7"/>
    <w:rsid w:val="00AB78DA"/>
    <w:rsid w:val="00AC100C"/>
    <w:rsid w:val="00AC110D"/>
    <w:rsid w:val="00AC13AC"/>
    <w:rsid w:val="00AC19AE"/>
    <w:rsid w:val="00AC1E2D"/>
    <w:rsid w:val="00AC2036"/>
    <w:rsid w:val="00AC3A2D"/>
    <w:rsid w:val="00AC64ED"/>
    <w:rsid w:val="00AC6BA7"/>
    <w:rsid w:val="00AC6FA2"/>
    <w:rsid w:val="00AC7BF1"/>
    <w:rsid w:val="00AD0254"/>
    <w:rsid w:val="00AD06CE"/>
    <w:rsid w:val="00AD1BFF"/>
    <w:rsid w:val="00AD2003"/>
    <w:rsid w:val="00AD31ED"/>
    <w:rsid w:val="00AD3D9D"/>
    <w:rsid w:val="00AD6612"/>
    <w:rsid w:val="00AD6A42"/>
    <w:rsid w:val="00AD779B"/>
    <w:rsid w:val="00AD7AF9"/>
    <w:rsid w:val="00AD7EE9"/>
    <w:rsid w:val="00AD7F45"/>
    <w:rsid w:val="00AE032A"/>
    <w:rsid w:val="00AE0380"/>
    <w:rsid w:val="00AE091C"/>
    <w:rsid w:val="00AE12F8"/>
    <w:rsid w:val="00AE14B5"/>
    <w:rsid w:val="00AE2E2F"/>
    <w:rsid w:val="00AE3587"/>
    <w:rsid w:val="00AE35BE"/>
    <w:rsid w:val="00AE3D8E"/>
    <w:rsid w:val="00AE5508"/>
    <w:rsid w:val="00AE5939"/>
    <w:rsid w:val="00AE5ADB"/>
    <w:rsid w:val="00AE6826"/>
    <w:rsid w:val="00AE76B7"/>
    <w:rsid w:val="00AE7818"/>
    <w:rsid w:val="00AE7B18"/>
    <w:rsid w:val="00AF0442"/>
    <w:rsid w:val="00AF1D3D"/>
    <w:rsid w:val="00AF1E21"/>
    <w:rsid w:val="00AF2065"/>
    <w:rsid w:val="00AF2143"/>
    <w:rsid w:val="00AF268D"/>
    <w:rsid w:val="00AF2776"/>
    <w:rsid w:val="00AF2D1D"/>
    <w:rsid w:val="00AF3ABE"/>
    <w:rsid w:val="00AF461D"/>
    <w:rsid w:val="00AF47A8"/>
    <w:rsid w:val="00AF63D7"/>
    <w:rsid w:val="00B021A8"/>
    <w:rsid w:val="00B03797"/>
    <w:rsid w:val="00B03D50"/>
    <w:rsid w:val="00B045F6"/>
    <w:rsid w:val="00B054C4"/>
    <w:rsid w:val="00B0574C"/>
    <w:rsid w:val="00B05F79"/>
    <w:rsid w:val="00B0631F"/>
    <w:rsid w:val="00B0762A"/>
    <w:rsid w:val="00B0773C"/>
    <w:rsid w:val="00B07E5A"/>
    <w:rsid w:val="00B07E9E"/>
    <w:rsid w:val="00B101C4"/>
    <w:rsid w:val="00B10998"/>
    <w:rsid w:val="00B11247"/>
    <w:rsid w:val="00B115CA"/>
    <w:rsid w:val="00B11A83"/>
    <w:rsid w:val="00B11BF8"/>
    <w:rsid w:val="00B11C0E"/>
    <w:rsid w:val="00B11E75"/>
    <w:rsid w:val="00B12E5F"/>
    <w:rsid w:val="00B13229"/>
    <w:rsid w:val="00B146BE"/>
    <w:rsid w:val="00B1479A"/>
    <w:rsid w:val="00B14CB1"/>
    <w:rsid w:val="00B14FF7"/>
    <w:rsid w:val="00B155E9"/>
    <w:rsid w:val="00B17A7C"/>
    <w:rsid w:val="00B20163"/>
    <w:rsid w:val="00B2099A"/>
    <w:rsid w:val="00B20BDA"/>
    <w:rsid w:val="00B20F2B"/>
    <w:rsid w:val="00B210A2"/>
    <w:rsid w:val="00B22762"/>
    <w:rsid w:val="00B22E27"/>
    <w:rsid w:val="00B22E64"/>
    <w:rsid w:val="00B231CA"/>
    <w:rsid w:val="00B231D1"/>
    <w:rsid w:val="00B239AB"/>
    <w:rsid w:val="00B23DBE"/>
    <w:rsid w:val="00B23F0D"/>
    <w:rsid w:val="00B25319"/>
    <w:rsid w:val="00B256A5"/>
    <w:rsid w:val="00B25F67"/>
    <w:rsid w:val="00B263A6"/>
    <w:rsid w:val="00B27735"/>
    <w:rsid w:val="00B27788"/>
    <w:rsid w:val="00B306C3"/>
    <w:rsid w:val="00B30F63"/>
    <w:rsid w:val="00B31C77"/>
    <w:rsid w:val="00B31D41"/>
    <w:rsid w:val="00B31F75"/>
    <w:rsid w:val="00B32DB0"/>
    <w:rsid w:val="00B33949"/>
    <w:rsid w:val="00B34013"/>
    <w:rsid w:val="00B34393"/>
    <w:rsid w:val="00B345AE"/>
    <w:rsid w:val="00B3608F"/>
    <w:rsid w:val="00B361A8"/>
    <w:rsid w:val="00B36CC4"/>
    <w:rsid w:val="00B36FF1"/>
    <w:rsid w:val="00B37B10"/>
    <w:rsid w:val="00B37B21"/>
    <w:rsid w:val="00B40C9C"/>
    <w:rsid w:val="00B40D3B"/>
    <w:rsid w:val="00B40E46"/>
    <w:rsid w:val="00B41DD4"/>
    <w:rsid w:val="00B42586"/>
    <w:rsid w:val="00B43C2C"/>
    <w:rsid w:val="00B43C65"/>
    <w:rsid w:val="00B43FAE"/>
    <w:rsid w:val="00B44161"/>
    <w:rsid w:val="00B457E8"/>
    <w:rsid w:val="00B45F0F"/>
    <w:rsid w:val="00B463F2"/>
    <w:rsid w:val="00B46415"/>
    <w:rsid w:val="00B465C2"/>
    <w:rsid w:val="00B465EF"/>
    <w:rsid w:val="00B46B01"/>
    <w:rsid w:val="00B46DE0"/>
    <w:rsid w:val="00B50F7D"/>
    <w:rsid w:val="00B5141A"/>
    <w:rsid w:val="00B518CB"/>
    <w:rsid w:val="00B52433"/>
    <w:rsid w:val="00B524B0"/>
    <w:rsid w:val="00B528C2"/>
    <w:rsid w:val="00B536E7"/>
    <w:rsid w:val="00B5377F"/>
    <w:rsid w:val="00B53BBA"/>
    <w:rsid w:val="00B542CC"/>
    <w:rsid w:val="00B54711"/>
    <w:rsid w:val="00B5485E"/>
    <w:rsid w:val="00B54875"/>
    <w:rsid w:val="00B55F63"/>
    <w:rsid w:val="00B606DD"/>
    <w:rsid w:val="00B61BCE"/>
    <w:rsid w:val="00B61C4B"/>
    <w:rsid w:val="00B61EB3"/>
    <w:rsid w:val="00B61EEC"/>
    <w:rsid w:val="00B629CD"/>
    <w:rsid w:val="00B6316A"/>
    <w:rsid w:val="00B63A9B"/>
    <w:rsid w:val="00B64726"/>
    <w:rsid w:val="00B647DB"/>
    <w:rsid w:val="00B652A2"/>
    <w:rsid w:val="00B66A4A"/>
    <w:rsid w:val="00B670CF"/>
    <w:rsid w:val="00B6711E"/>
    <w:rsid w:val="00B673D8"/>
    <w:rsid w:val="00B67950"/>
    <w:rsid w:val="00B67C78"/>
    <w:rsid w:val="00B67CDB"/>
    <w:rsid w:val="00B70191"/>
    <w:rsid w:val="00B70311"/>
    <w:rsid w:val="00B70B70"/>
    <w:rsid w:val="00B70EB5"/>
    <w:rsid w:val="00B7190D"/>
    <w:rsid w:val="00B732A5"/>
    <w:rsid w:val="00B735F7"/>
    <w:rsid w:val="00B737AE"/>
    <w:rsid w:val="00B73EEC"/>
    <w:rsid w:val="00B741BC"/>
    <w:rsid w:val="00B741F4"/>
    <w:rsid w:val="00B74356"/>
    <w:rsid w:val="00B7437F"/>
    <w:rsid w:val="00B7567C"/>
    <w:rsid w:val="00B75FD9"/>
    <w:rsid w:val="00B75FF5"/>
    <w:rsid w:val="00B763C3"/>
    <w:rsid w:val="00B763C4"/>
    <w:rsid w:val="00B76789"/>
    <w:rsid w:val="00B76D7B"/>
    <w:rsid w:val="00B77A3B"/>
    <w:rsid w:val="00B77C36"/>
    <w:rsid w:val="00B77E32"/>
    <w:rsid w:val="00B800D7"/>
    <w:rsid w:val="00B816E2"/>
    <w:rsid w:val="00B8172F"/>
    <w:rsid w:val="00B821A9"/>
    <w:rsid w:val="00B8264E"/>
    <w:rsid w:val="00B84074"/>
    <w:rsid w:val="00B84CEA"/>
    <w:rsid w:val="00B86059"/>
    <w:rsid w:val="00B86574"/>
    <w:rsid w:val="00B8758D"/>
    <w:rsid w:val="00B90D04"/>
    <w:rsid w:val="00B932F6"/>
    <w:rsid w:val="00B939B0"/>
    <w:rsid w:val="00B93C21"/>
    <w:rsid w:val="00B9435D"/>
    <w:rsid w:val="00B94660"/>
    <w:rsid w:val="00B94F45"/>
    <w:rsid w:val="00B951BB"/>
    <w:rsid w:val="00B95207"/>
    <w:rsid w:val="00B95A16"/>
    <w:rsid w:val="00B95C38"/>
    <w:rsid w:val="00B96501"/>
    <w:rsid w:val="00B969FE"/>
    <w:rsid w:val="00B96E1C"/>
    <w:rsid w:val="00B973E6"/>
    <w:rsid w:val="00B9786C"/>
    <w:rsid w:val="00B97B2B"/>
    <w:rsid w:val="00B97EC7"/>
    <w:rsid w:val="00BA0FDC"/>
    <w:rsid w:val="00BA2303"/>
    <w:rsid w:val="00BA2507"/>
    <w:rsid w:val="00BA25AC"/>
    <w:rsid w:val="00BA27CF"/>
    <w:rsid w:val="00BA4B2F"/>
    <w:rsid w:val="00BA55F4"/>
    <w:rsid w:val="00BA60C2"/>
    <w:rsid w:val="00BA672C"/>
    <w:rsid w:val="00BA7E2C"/>
    <w:rsid w:val="00BA7FC6"/>
    <w:rsid w:val="00BB0662"/>
    <w:rsid w:val="00BB1185"/>
    <w:rsid w:val="00BB1794"/>
    <w:rsid w:val="00BB185C"/>
    <w:rsid w:val="00BB280D"/>
    <w:rsid w:val="00BB2AA4"/>
    <w:rsid w:val="00BB3122"/>
    <w:rsid w:val="00BB413E"/>
    <w:rsid w:val="00BB444E"/>
    <w:rsid w:val="00BB462D"/>
    <w:rsid w:val="00BB5177"/>
    <w:rsid w:val="00BB5220"/>
    <w:rsid w:val="00BB53BB"/>
    <w:rsid w:val="00BB65AD"/>
    <w:rsid w:val="00BB710B"/>
    <w:rsid w:val="00BB718C"/>
    <w:rsid w:val="00BB725D"/>
    <w:rsid w:val="00BB74BD"/>
    <w:rsid w:val="00BC1CB9"/>
    <w:rsid w:val="00BC259A"/>
    <w:rsid w:val="00BC269C"/>
    <w:rsid w:val="00BC41E6"/>
    <w:rsid w:val="00BC449B"/>
    <w:rsid w:val="00BC5442"/>
    <w:rsid w:val="00BC5968"/>
    <w:rsid w:val="00BC5AC4"/>
    <w:rsid w:val="00BC7E5D"/>
    <w:rsid w:val="00BD047F"/>
    <w:rsid w:val="00BD0F50"/>
    <w:rsid w:val="00BD0F83"/>
    <w:rsid w:val="00BD192B"/>
    <w:rsid w:val="00BD1BBF"/>
    <w:rsid w:val="00BD1D76"/>
    <w:rsid w:val="00BD1FF6"/>
    <w:rsid w:val="00BD24D2"/>
    <w:rsid w:val="00BD2AE3"/>
    <w:rsid w:val="00BD2FE4"/>
    <w:rsid w:val="00BD3E47"/>
    <w:rsid w:val="00BD3F33"/>
    <w:rsid w:val="00BD40CA"/>
    <w:rsid w:val="00BD462A"/>
    <w:rsid w:val="00BD4868"/>
    <w:rsid w:val="00BD4869"/>
    <w:rsid w:val="00BD5352"/>
    <w:rsid w:val="00BD58C0"/>
    <w:rsid w:val="00BD5999"/>
    <w:rsid w:val="00BD60AB"/>
    <w:rsid w:val="00BD66C7"/>
    <w:rsid w:val="00BD6CFB"/>
    <w:rsid w:val="00BD707C"/>
    <w:rsid w:val="00BD7484"/>
    <w:rsid w:val="00BE03CD"/>
    <w:rsid w:val="00BE095F"/>
    <w:rsid w:val="00BE099C"/>
    <w:rsid w:val="00BE0D5D"/>
    <w:rsid w:val="00BE15AA"/>
    <w:rsid w:val="00BE1D8F"/>
    <w:rsid w:val="00BE2C39"/>
    <w:rsid w:val="00BE3356"/>
    <w:rsid w:val="00BE3913"/>
    <w:rsid w:val="00BE3EC5"/>
    <w:rsid w:val="00BE3F06"/>
    <w:rsid w:val="00BE46C8"/>
    <w:rsid w:val="00BE59A4"/>
    <w:rsid w:val="00BE611D"/>
    <w:rsid w:val="00BE650B"/>
    <w:rsid w:val="00BF0498"/>
    <w:rsid w:val="00BF09B2"/>
    <w:rsid w:val="00BF1943"/>
    <w:rsid w:val="00BF27FC"/>
    <w:rsid w:val="00BF3D99"/>
    <w:rsid w:val="00BF3F2B"/>
    <w:rsid w:val="00BF3FE6"/>
    <w:rsid w:val="00BF4253"/>
    <w:rsid w:val="00BF4EB0"/>
    <w:rsid w:val="00BF5E2E"/>
    <w:rsid w:val="00BF618B"/>
    <w:rsid w:val="00BF6A78"/>
    <w:rsid w:val="00BF6C81"/>
    <w:rsid w:val="00BF6FE0"/>
    <w:rsid w:val="00BF7025"/>
    <w:rsid w:val="00C004BE"/>
    <w:rsid w:val="00C00E43"/>
    <w:rsid w:val="00C00E9B"/>
    <w:rsid w:val="00C02913"/>
    <w:rsid w:val="00C02EB4"/>
    <w:rsid w:val="00C02FF6"/>
    <w:rsid w:val="00C031BA"/>
    <w:rsid w:val="00C0345F"/>
    <w:rsid w:val="00C04182"/>
    <w:rsid w:val="00C04A48"/>
    <w:rsid w:val="00C05048"/>
    <w:rsid w:val="00C05AA1"/>
    <w:rsid w:val="00C06FF4"/>
    <w:rsid w:val="00C07191"/>
    <w:rsid w:val="00C1061D"/>
    <w:rsid w:val="00C106AE"/>
    <w:rsid w:val="00C108AF"/>
    <w:rsid w:val="00C10C70"/>
    <w:rsid w:val="00C110C8"/>
    <w:rsid w:val="00C12644"/>
    <w:rsid w:val="00C12725"/>
    <w:rsid w:val="00C148D7"/>
    <w:rsid w:val="00C14FD4"/>
    <w:rsid w:val="00C16C8E"/>
    <w:rsid w:val="00C1741E"/>
    <w:rsid w:val="00C174FC"/>
    <w:rsid w:val="00C1752D"/>
    <w:rsid w:val="00C17A2A"/>
    <w:rsid w:val="00C17EDB"/>
    <w:rsid w:val="00C20943"/>
    <w:rsid w:val="00C21226"/>
    <w:rsid w:val="00C21970"/>
    <w:rsid w:val="00C224A5"/>
    <w:rsid w:val="00C22731"/>
    <w:rsid w:val="00C22F88"/>
    <w:rsid w:val="00C23063"/>
    <w:rsid w:val="00C2338A"/>
    <w:rsid w:val="00C23484"/>
    <w:rsid w:val="00C244DE"/>
    <w:rsid w:val="00C252D4"/>
    <w:rsid w:val="00C2581A"/>
    <w:rsid w:val="00C26128"/>
    <w:rsid w:val="00C261A7"/>
    <w:rsid w:val="00C26983"/>
    <w:rsid w:val="00C272E3"/>
    <w:rsid w:val="00C30CFA"/>
    <w:rsid w:val="00C30DC0"/>
    <w:rsid w:val="00C30EB6"/>
    <w:rsid w:val="00C31C40"/>
    <w:rsid w:val="00C3206F"/>
    <w:rsid w:val="00C33EBE"/>
    <w:rsid w:val="00C343F9"/>
    <w:rsid w:val="00C35157"/>
    <w:rsid w:val="00C361E5"/>
    <w:rsid w:val="00C37467"/>
    <w:rsid w:val="00C37849"/>
    <w:rsid w:val="00C40576"/>
    <w:rsid w:val="00C40B76"/>
    <w:rsid w:val="00C416D5"/>
    <w:rsid w:val="00C41F6D"/>
    <w:rsid w:val="00C42001"/>
    <w:rsid w:val="00C421EB"/>
    <w:rsid w:val="00C42283"/>
    <w:rsid w:val="00C42517"/>
    <w:rsid w:val="00C42827"/>
    <w:rsid w:val="00C44011"/>
    <w:rsid w:val="00C44417"/>
    <w:rsid w:val="00C449EE"/>
    <w:rsid w:val="00C44B7E"/>
    <w:rsid w:val="00C44CE7"/>
    <w:rsid w:val="00C46262"/>
    <w:rsid w:val="00C47639"/>
    <w:rsid w:val="00C476A0"/>
    <w:rsid w:val="00C51833"/>
    <w:rsid w:val="00C53A09"/>
    <w:rsid w:val="00C53B0B"/>
    <w:rsid w:val="00C5489C"/>
    <w:rsid w:val="00C54CDE"/>
    <w:rsid w:val="00C54FFC"/>
    <w:rsid w:val="00C5507A"/>
    <w:rsid w:val="00C556F5"/>
    <w:rsid w:val="00C55E24"/>
    <w:rsid w:val="00C56043"/>
    <w:rsid w:val="00C5607D"/>
    <w:rsid w:val="00C56438"/>
    <w:rsid w:val="00C568DC"/>
    <w:rsid w:val="00C5775A"/>
    <w:rsid w:val="00C57D9F"/>
    <w:rsid w:val="00C630E9"/>
    <w:rsid w:val="00C642C2"/>
    <w:rsid w:val="00C6481D"/>
    <w:rsid w:val="00C6486F"/>
    <w:rsid w:val="00C64C94"/>
    <w:rsid w:val="00C64E92"/>
    <w:rsid w:val="00C656CA"/>
    <w:rsid w:val="00C66339"/>
    <w:rsid w:val="00C66E03"/>
    <w:rsid w:val="00C67B8F"/>
    <w:rsid w:val="00C7066A"/>
    <w:rsid w:val="00C7096C"/>
    <w:rsid w:val="00C70B10"/>
    <w:rsid w:val="00C711F1"/>
    <w:rsid w:val="00C72792"/>
    <w:rsid w:val="00C72CC5"/>
    <w:rsid w:val="00C73129"/>
    <w:rsid w:val="00C7399A"/>
    <w:rsid w:val="00C7408E"/>
    <w:rsid w:val="00C75222"/>
    <w:rsid w:val="00C7528D"/>
    <w:rsid w:val="00C75447"/>
    <w:rsid w:val="00C75885"/>
    <w:rsid w:val="00C7589B"/>
    <w:rsid w:val="00C75E2F"/>
    <w:rsid w:val="00C7636C"/>
    <w:rsid w:val="00C770A0"/>
    <w:rsid w:val="00C7753E"/>
    <w:rsid w:val="00C77542"/>
    <w:rsid w:val="00C77F3B"/>
    <w:rsid w:val="00C803E2"/>
    <w:rsid w:val="00C81838"/>
    <w:rsid w:val="00C82155"/>
    <w:rsid w:val="00C8279B"/>
    <w:rsid w:val="00C83115"/>
    <w:rsid w:val="00C831B4"/>
    <w:rsid w:val="00C834BD"/>
    <w:rsid w:val="00C83596"/>
    <w:rsid w:val="00C835F9"/>
    <w:rsid w:val="00C8360A"/>
    <w:rsid w:val="00C84143"/>
    <w:rsid w:val="00C8506A"/>
    <w:rsid w:val="00C855F0"/>
    <w:rsid w:val="00C85EAB"/>
    <w:rsid w:val="00C8638E"/>
    <w:rsid w:val="00C8676C"/>
    <w:rsid w:val="00C86AB4"/>
    <w:rsid w:val="00C86BF0"/>
    <w:rsid w:val="00C87C53"/>
    <w:rsid w:val="00C90D84"/>
    <w:rsid w:val="00C921AC"/>
    <w:rsid w:val="00C922AD"/>
    <w:rsid w:val="00C931DC"/>
    <w:rsid w:val="00C9426A"/>
    <w:rsid w:val="00C94708"/>
    <w:rsid w:val="00C94A14"/>
    <w:rsid w:val="00C94FED"/>
    <w:rsid w:val="00C9535F"/>
    <w:rsid w:val="00C96570"/>
    <w:rsid w:val="00C965E8"/>
    <w:rsid w:val="00C968DC"/>
    <w:rsid w:val="00C97928"/>
    <w:rsid w:val="00CA02DB"/>
    <w:rsid w:val="00CA05F3"/>
    <w:rsid w:val="00CA08E7"/>
    <w:rsid w:val="00CA0F79"/>
    <w:rsid w:val="00CA160B"/>
    <w:rsid w:val="00CA1EA9"/>
    <w:rsid w:val="00CA2B7A"/>
    <w:rsid w:val="00CA4946"/>
    <w:rsid w:val="00CA6313"/>
    <w:rsid w:val="00CA7056"/>
    <w:rsid w:val="00CA72C6"/>
    <w:rsid w:val="00CA77E9"/>
    <w:rsid w:val="00CA790F"/>
    <w:rsid w:val="00CA7FE1"/>
    <w:rsid w:val="00CB1730"/>
    <w:rsid w:val="00CB1E49"/>
    <w:rsid w:val="00CB204C"/>
    <w:rsid w:val="00CB33C1"/>
    <w:rsid w:val="00CB4484"/>
    <w:rsid w:val="00CB492D"/>
    <w:rsid w:val="00CB4C13"/>
    <w:rsid w:val="00CB4E6E"/>
    <w:rsid w:val="00CB6172"/>
    <w:rsid w:val="00CB634E"/>
    <w:rsid w:val="00CC0858"/>
    <w:rsid w:val="00CC34CC"/>
    <w:rsid w:val="00CC3600"/>
    <w:rsid w:val="00CC3634"/>
    <w:rsid w:val="00CC5F75"/>
    <w:rsid w:val="00CC64E2"/>
    <w:rsid w:val="00CC72C1"/>
    <w:rsid w:val="00CC72F7"/>
    <w:rsid w:val="00CD01D7"/>
    <w:rsid w:val="00CD086E"/>
    <w:rsid w:val="00CD0E84"/>
    <w:rsid w:val="00CD1858"/>
    <w:rsid w:val="00CD21EA"/>
    <w:rsid w:val="00CD392E"/>
    <w:rsid w:val="00CD3B5B"/>
    <w:rsid w:val="00CD3F6C"/>
    <w:rsid w:val="00CD58A1"/>
    <w:rsid w:val="00CD5934"/>
    <w:rsid w:val="00CD638F"/>
    <w:rsid w:val="00CD6495"/>
    <w:rsid w:val="00CD7558"/>
    <w:rsid w:val="00CE0093"/>
    <w:rsid w:val="00CE168E"/>
    <w:rsid w:val="00CE2EFD"/>
    <w:rsid w:val="00CE4456"/>
    <w:rsid w:val="00CE457C"/>
    <w:rsid w:val="00CE57E6"/>
    <w:rsid w:val="00CE59B8"/>
    <w:rsid w:val="00CE5D29"/>
    <w:rsid w:val="00CE69FA"/>
    <w:rsid w:val="00CE6BDE"/>
    <w:rsid w:val="00CE74EB"/>
    <w:rsid w:val="00CE75AA"/>
    <w:rsid w:val="00CE7AE8"/>
    <w:rsid w:val="00CF01CA"/>
    <w:rsid w:val="00CF0E23"/>
    <w:rsid w:val="00CF1332"/>
    <w:rsid w:val="00CF1702"/>
    <w:rsid w:val="00CF20F4"/>
    <w:rsid w:val="00CF24C8"/>
    <w:rsid w:val="00CF344B"/>
    <w:rsid w:val="00CF4255"/>
    <w:rsid w:val="00CF4DB5"/>
    <w:rsid w:val="00CF4F05"/>
    <w:rsid w:val="00CF5C36"/>
    <w:rsid w:val="00CF6000"/>
    <w:rsid w:val="00CF6696"/>
    <w:rsid w:val="00CF75EF"/>
    <w:rsid w:val="00CF7BF6"/>
    <w:rsid w:val="00CF7C53"/>
    <w:rsid w:val="00CF7E64"/>
    <w:rsid w:val="00D00392"/>
    <w:rsid w:val="00D013A0"/>
    <w:rsid w:val="00D013A8"/>
    <w:rsid w:val="00D01F1E"/>
    <w:rsid w:val="00D02C55"/>
    <w:rsid w:val="00D02EEC"/>
    <w:rsid w:val="00D04122"/>
    <w:rsid w:val="00D041A0"/>
    <w:rsid w:val="00D041A5"/>
    <w:rsid w:val="00D0492A"/>
    <w:rsid w:val="00D068F8"/>
    <w:rsid w:val="00D07DDE"/>
    <w:rsid w:val="00D07F85"/>
    <w:rsid w:val="00D102D6"/>
    <w:rsid w:val="00D1148C"/>
    <w:rsid w:val="00D11CB7"/>
    <w:rsid w:val="00D121C2"/>
    <w:rsid w:val="00D1338C"/>
    <w:rsid w:val="00D14F02"/>
    <w:rsid w:val="00D15456"/>
    <w:rsid w:val="00D154BD"/>
    <w:rsid w:val="00D155A6"/>
    <w:rsid w:val="00D15CF2"/>
    <w:rsid w:val="00D16E44"/>
    <w:rsid w:val="00D20786"/>
    <w:rsid w:val="00D20F6F"/>
    <w:rsid w:val="00D216FD"/>
    <w:rsid w:val="00D2192F"/>
    <w:rsid w:val="00D21CE5"/>
    <w:rsid w:val="00D21FE3"/>
    <w:rsid w:val="00D2210F"/>
    <w:rsid w:val="00D2250F"/>
    <w:rsid w:val="00D23A85"/>
    <w:rsid w:val="00D2417A"/>
    <w:rsid w:val="00D253A5"/>
    <w:rsid w:val="00D2568B"/>
    <w:rsid w:val="00D25F83"/>
    <w:rsid w:val="00D26802"/>
    <w:rsid w:val="00D26AF0"/>
    <w:rsid w:val="00D26BE2"/>
    <w:rsid w:val="00D309D9"/>
    <w:rsid w:val="00D328A1"/>
    <w:rsid w:val="00D32B56"/>
    <w:rsid w:val="00D34C68"/>
    <w:rsid w:val="00D351B4"/>
    <w:rsid w:val="00D35289"/>
    <w:rsid w:val="00D36AB8"/>
    <w:rsid w:val="00D371F5"/>
    <w:rsid w:val="00D37C42"/>
    <w:rsid w:val="00D40C81"/>
    <w:rsid w:val="00D412DF"/>
    <w:rsid w:val="00D429BD"/>
    <w:rsid w:val="00D42A77"/>
    <w:rsid w:val="00D43125"/>
    <w:rsid w:val="00D438B8"/>
    <w:rsid w:val="00D43978"/>
    <w:rsid w:val="00D44873"/>
    <w:rsid w:val="00D44F59"/>
    <w:rsid w:val="00D4536B"/>
    <w:rsid w:val="00D4552D"/>
    <w:rsid w:val="00D46800"/>
    <w:rsid w:val="00D46C1F"/>
    <w:rsid w:val="00D52837"/>
    <w:rsid w:val="00D52C1D"/>
    <w:rsid w:val="00D535FC"/>
    <w:rsid w:val="00D539BD"/>
    <w:rsid w:val="00D540F6"/>
    <w:rsid w:val="00D54586"/>
    <w:rsid w:val="00D548F5"/>
    <w:rsid w:val="00D57222"/>
    <w:rsid w:val="00D57E5A"/>
    <w:rsid w:val="00D604BF"/>
    <w:rsid w:val="00D60DDC"/>
    <w:rsid w:val="00D60F94"/>
    <w:rsid w:val="00D60FFA"/>
    <w:rsid w:val="00D612C1"/>
    <w:rsid w:val="00D62595"/>
    <w:rsid w:val="00D62C14"/>
    <w:rsid w:val="00D62D79"/>
    <w:rsid w:val="00D6315F"/>
    <w:rsid w:val="00D65158"/>
    <w:rsid w:val="00D662CD"/>
    <w:rsid w:val="00D70BB3"/>
    <w:rsid w:val="00D70D7A"/>
    <w:rsid w:val="00D71F61"/>
    <w:rsid w:val="00D7225B"/>
    <w:rsid w:val="00D7226A"/>
    <w:rsid w:val="00D722EB"/>
    <w:rsid w:val="00D735D0"/>
    <w:rsid w:val="00D73D77"/>
    <w:rsid w:val="00D74771"/>
    <w:rsid w:val="00D747BC"/>
    <w:rsid w:val="00D7526D"/>
    <w:rsid w:val="00D75A35"/>
    <w:rsid w:val="00D775E2"/>
    <w:rsid w:val="00D8134F"/>
    <w:rsid w:val="00D8150B"/>
    <w:rsid w:val="00D8226B"/>
    <w:rsid w:val="00D82AA8"/>
    <w:rsid w:val="00D83389"/>
    <w:rsid w:val="00D83519"/>
    <w:rsid w:val="00D8376E"/>
    <w:rsid w:val="00D83C1F"/>
    <w:rsid w:val="00D85127"/>
    <w:rsid w:val="00D85A9D"/>
    <w:rsid w:val="00D8607D"/>
    <w:rsid w:val="00D87B4C"/>
    <w:rsid w:val="00D901D8"/>
    <w:rsid w:val="00D91A7B"/>
    <w:rsid w:val="00D9398A"/>
    <w:rsid w:val="00D948E6"/>
    <w:rsid w:val="00D950F4"/>
    <w:rsid w:val="00D9554B"/>
    <w:rsid w:val="00D96BD5"/>
    <w:rsid w:val="00D970CB"/>
    <w:rsid w:val="00D97253"/>
    <w:rsid w:val="00D97843"/>
    <w:rsid w:val="00DA08A8"/>
    <w:rsid w:val="00DA174F"/>
    <w:rsid w:val="00DA23DA"/>
    <w:rsid w:val="00DA31DB"/>
    <w:rsid w:val="00DA3A42"/>
    <w:rsid w:val="00DA481E"/>
    <w:rsid w:val="00DA5FA4"/>
    <w:rsid w:val="00DA698E"/>
    <w:rsid w:val="00DA7B06"/>
    <w:rsid w:val="00DB023E"/>
    <w:rsid w:val="00DB1384"/>
    <w:rsid w:val="00DB138E"/>
    <w:rsid w:val="00DB256D"/>
    <w:rsid w:val="00DB38FD"/>
    <w:rsid w:val="00DB4E94"/>
    <w:rsid w:val="00DB57A5"/>
    <w:rsid w:val="00DB5CD7"/>
    <w:rsid w:val="00DB6F46"/>
    <w:rsid w:val="00DB6F75"/>
    <w:rsid w:val="00DB76D9"/>
    <w:rsid w:val="00DC003C"/>
    <w:rsid w:val="00DC02A1"/>
    <w:rsid w:val="00DC1D97"/>
    <w:rsid w:val="00DC356C"/>
    <w:rsid w:val="00DC3DC3"/>
    <w:rsid w:val="00DC4236"/>
    <w:rsid w:val="00DC5706"/>
    <w:rsid w:val="00DC5A80"/>
    <w:rsid w:val="00DC5CA8"/>
    <w:rsid w:val="00DD3A14"/>
    <w:rsid w:val="00DD3BA2"/>
    <w:rsid w:val="00DD5118"/>
    <w:rsid w:val="00DD524A"/>
    <w:rsid w:val="00DD5D44"/>
    <w:rsid w:val="00DD65A3"/>
    <w:rsid w:val="00DD6BCC"/>
    <w:rsid w:val="00DD75C9"/>
    <w:rsid w:val="00DD792F"/>
    <w:rsid w:val="00DE01FE"/>
    <w:rsid w:val="00DE1BA1"/>
    <w:rsid w:val="00DE2B3B"/>
    <w:rsid w:val="00DE4205"/>
    <w:rsid w:val="00DE44F6"/>
    <w:rsid w:val="00DE475A"/>
    <w:rsid w:val="00DE4CED"/>
    <w:rsid w:val="00DE5031"/>
    <w:rsid w:val="00DE584F"/>
    <w:rsid w:val="00DE5ED4"/>
    <w:rsid w:val="00DE5F30"/>
    <w:rsid w:val="00DE60FB"/>
    <w:rsid w:val="00DE67CD"/>
    <w:rsid w:val="00DE71E1"/>
    <w:rsid w:val="00DE73FB"/>
    <w:rsid w:val="00DE75FD"/>
    <w:rsid w:val="00DE7F18"/>
    <w:rsid w:val="00DF0185"/>
    <w:rsid w:val="00DF1EE6"/>
    <w:rsid w:val="00DF21B4"/>
    <w:rsid w:val="00DF299D"/>
    <w:rsid w:val="00DF2DAE"/>
    <w:rsid w:val="00DF36C4"/>
    <w:rsid w:val="00DF3B1F"/>
    <w:rsid w:val="00DF413B"/>
    <w:rsid w:val="00DF5011"/>
    <w:rsid w:val="00DF51C7"/>
    <w:rsid w:val="00DF5C91"/>
    <w:rsid w:val="00DF6E32"/>
    <w:rsid w:val="00DF6ECD"/>
    <w:rsid w:val="00DF7A38"/>
    <w:rsid w:val="00DF7EE2"/>
    <w:rsid w:val="00E0034D"/>
    <w:rsid w:val="00E020CF"/>
    <w:rsid w:val="00E02208"/>
    <w:rsid w:val="00E02D7A"/>
    <w:rsid w:val="00E03735"/>
    <w:rsid w:val="00E04311"/>
    <w:rsid w:val="00E0451C"/>
    <w:rsid w:val="00E047DB"/>
    <w:rsid w:val="00E04D7C"/>
    <w:rsid w:val="00E05D28"/>
    <w:rsid w:val="00E06576"/>
    <w:rsid w:val="00E06EB2"/>
    <w:rsid w:val="00E0743E"/>
    <w:rsid w:val="00E101C2"/>
    <w:rsid w:val="00E10420"/>
    <w:rsid w:val="00E10667"/>
    <w:rsid w:val="00E107ED"/>
    <w:rsid w:val="00E109A5"/>
    <w:rsid w:val="00E10B13"/>
    <w:rsid w:val="00E114D6"/>
    <w:rsid w:val="00E117A8"/>
    <w:rsid w:val="00E133A2"/>
    <w:rsid w:val="00E13740"/>
    <w:rsid w:val="00E149F2"/>
    <w:rsid w:val="00E14ACD"/>
    <w:rsid w:val="00E14FB5"/>
    <w:rsid w:val="00E1523E"/>
    <w:rsid w:val="00E152AC"/>
    <w:rsid w:val="00E16494"/>
    <w:rsid w:val="00E168B1"/>
    <w:rsid w:val="00E17341"/>
    <w:rsid w:val="00E200AF"/>
    <w:rsid w:val="00E2058A"/>
    <w:rsid w:val="00E20A06"/>
    <w:rsid w:val="00E20D8A"/>
    <w:rsid w:val="00E2117A"/>
    <w:rsid w:val="00E21CEC"/>
    <w:rsid w:val="00E21F2D"/>
    <w:rsid w:val="00E2221B"/>
    <w:rsid w:val="00E22961"/>
    <w:rsid w:val="00E22F4C"/>
    <w:rsid w:val="00E23202"/>
    <w:rsid w:val="00E24237"/>
    <w:rsid w:val="00E2458E"/>
    <w:rsid w:val="00E2495B"/>
    <w:rsid w:val="00E258D3"/>
    <w:rsid w:val="00E267D0"/>
    <w:rsid w:val="00E27AF9"/>
    <w:rsid w:val="00E30504"/>
    <w:rsid w:val="00E30559"/>
    <w:rsid w:val="00E30596"/>
    <w:rsid w:val="00E30A0F"/>
    <w:rsid w:val="00E3107F"/>
    <w:rsid w:val="00E32AAF"/>
    <w:rsid w:val="00E32D11"/>
    <w:rsid w:val="00E32FC1"/>
    <w:rsid w:val="00E35249"/>
    <w:rsid w:val="00E3587C"/>
    <w:rsid w:val="00E365ED"/>
    <w:rsid w:val="00E37DB0"/>
    <w:rsid w:val="00E4007B"/>
    <w:rsid w:val="00E408C1"/>
    <w:rsid w:val="00E40A5B"/>
    <w:rsid w:val="00E40EF0"/>
    <w:rsid w:val="00E40F75"/>
    <w:rsid w:val="00E41120"/>
    <w:rsid w:val="00E424E1"/>
    <w:rsid w:val="00E43AD1"/>
    <w:rsid w:val="00E44163"/>
    <w:rsid w:val="00E44E5C"/>
    <w:rsid w:val="00E45381"/>
    <w:rsid w:val="00E459FD"/>
    <w:rsid w:val="00E46153"/>
    <w:rsid w:val="00E46B3E"/>
    <w:rsid w:val="00E46C3B"/>
    <w:rsid w:val="00E46CE0"/>
    <w:rsid w:val="00E47C99"/>
    <w:rsid w:val="00E505F0"/>
    <w:rsid w:val="00E5227B"/>
    <w:rsid w:val="00E52A86"/>
    <w:rsid w:val="00E52D29"/>
    <w:rsid w:val="00E535B5"/>
    <w:rsid w:val="00E53B87"/>
    <w:rsid w:val="00E54213"/>
    <w:rsid w:val="00E548D0"/>
    <w:rsid w:val="00E55621"/>
    <w:rsid w:val="00E5585A"/>
    <w:rsid w:val="00E55917"/>
    <w:rsid w:val="00E57FD1"/>
    <w:rsid w:val="00E60139"/>
    <w:rsid w:val="00E605A3"/>
    <w:rsid w:val="00E614E4"/>
    <w:rsid w:val="00E61991"/>
    <w:rsid w:val="00E61A79"/>
    <w:rsid w:val="00E623DD"/>
    <w:rsid w:val="00E62D8F"/>
    <w:rsid w:val="00E62DEC"/>
    <w:rsid w:val="00E63654"/>
    <w:rsid w:val="00E64622"/>
    <w:rsid w:val="00E649BA"/>
    <w:rsid w:val="00E64C2F"/>
    <w:rsid w:val="00E64DED"/>
    <w:rsid w:val="00E650DB"/>
    <w:rsid w:val="00E66344"/>
    <w:rsid w:val="00E66803"/>
    <w:rsid w:val="00E66DF8"/>
    <w:rsid w:val="00E66F69"/>
    <w:rsid w:val="00E674B1"/>
    <w:rsid w:val="00E67B4A"/>
    <w:rsid w:val="00E71A03"/>
    <w:rsid w:val="00E71D7B"/>
    <w:rsid w:val="00E7285D"/>
    <w:rsid w:val="00E73AF6"/>
    <w:rsid w:val="00E75021"/>
    <w:rsid w:val="00E755C2"/>
    <w:rsid w:val="00E76EB6"/>
    <w:rsid w:val="00E772DA"/>
    <w:rsid w:val="00E81A6B"/>
    <w:rsid w:val="00E81D62"/>
    <w:rsid w:val="00E81F31"/>
    <w:rsid w:val="00E82A13"/>
    <w:rsid w:val="00E83657"/>
    <w:rsid w:val="00E8418E"/>
    <w:rsid w:val="00E84483"/>
    <w:rsid w:val="00E8505B"/>
    <w:rsid w:val="00E85E11"/>
    <w:rsid w:val="00E86C20"/>
    <w:rsid w:val="00E87601"/>
    <w:rsid w:val="00E90AFA"/>
    <w:rsid w:val="00E90E14"/>
    <w:rsid w:val="00E917DE"/>
    <w:rsid w:val="00E917F1"/>
    <w:rsid w:val="00E91F68"/>
    <w:rsid w:val="00E9230F"/>
    <w:rsid w:val="00E93923"/>
    <w:rsid w:val="00E9619A"/>
    <w:rsid w:val="00E970DD"/>
    <w:rsid w:val="00E973FC"/>
    <w:rsid w:val="00E977CC"/>
    <w:rsid w:val="00E979C8"/>
    <w:rsid w:val="00EA0616"/>
    <w:rsid w:val="00EA117E"/>
    <w:rsid w:val="00EA11AD"/>
    <w:rsid w:val="00EA3146"/>
    <w:rsid w:val="00EA334C"/>
    <w:rsid w:val="00EA3E47"/>
    <w:rsid w:val="00EA46BC"/>
    <w:rsid w:val="00EA65F3"/>
    <w:rsid w:val="00EA6742"/>
    <w:rsid w:val="00EB08AE"/>
    <w:rsid w:val="00EB08B8"/>
    <w:rsid w:val="00EB1103"/>
    <w:rsid w:val="00EB233D"/>
    <w:rsid w:val="00EB334E"/>
    <w:rsid w:val="00EB3C65"/>
    <w:rsid w:val="00EB40DC"/>
    <w:rsid w:val="00EB464C"/>
    <w:rsid w:val="00EB4FEB"/>
    <w:rsid w:val="00EB51E4"/>
    <w:rsid w:val="00EB573E"/>
    <w:rsid w:val="00EB5CE5"/>
    <w:rsid w:val="00EB674A"/>
    <w:rsid w:val="00EB6EEF"/>
    <w:rsid w:val="00EB75DF"/>
    <w:rsid w:val="00EC03D6"/>
    <w:rsid w:val="00EC04AE"/>
    <w:rsid w:val="00EC0854"/>
    <w:rsid w:val="00EC1FBD"/>
    <w:rsid w:val="00EC3910"/>
    <w:rsid w:val="00EC42A3"/>
    <w:rsid w:val="00EC4582"/>
    <w:rsid w:val="00EC58A9"/>
    <w:rsid w:val="00EC5C98"/>
    <w:rsid w:val="00EC6F59"/>
    <w:rsid w:val="00EC738E"/>
    <w:rsid w:val="00EC77FD"/>
    <w:rsid w:val="00EC7F51"/>
    <w:rsid w:val="00ED00F0"/>
    <w:rsid w:val="00ED069D"/>
    <w:rsid w:val="00ED0DB3"/>
    <w:rsid w:val="00ED107B"/>
    <w:rsid w:val="00ED1150"/>
    <w:rsid w:val="00ED135E"/>
    <w:rsid w:val="00ED19C0"/>
    <w:rsid w:val="00ED2561"/>
    <w:rsid w:val="00ED31CB"/>
    <w:rsid w:val="00ED51B4"/>
    <w:rsid w:val="00ED593E"/>
    <w:rsid w:val="00ED5944"/>
    <w:rsid w:val="00ED6475"/>
    <w:rsid w:val="00EE0C0C"/>
    <w:rsid w:val="00EE0C3D"/>
    <w:rsid w:val="00EE0CA1"/>
    <w:rsid w:val="00EE0D6D"/>
    <w:rsid w:val="00EE12CC"/>
    <w:rsid w:val="00EE222F"/>
    <w:rsid w:val="00EE2347"/>
    <w:rsid w:val="00EE27E8"/>
    <w:rsid w:val="00EE2800"/>
    <w:rsid w:val="00EE34C0"/>
    <w:rsid w:val="00EE3B02"/>
    <w:rsid w:val="00EE4003"/>
    <w:rsid w:val="00EE44C9"/>
    <w:rsid w:val="00EE4586"/>
    <w:rsid w:val="00EE5043"/>
    <w:rsid w:val="00EE53F7"/>
    <w:rsid w:val="00EE544C"/>
    <w:rsid w:val="00EE660F"/>
    <w:rsid w:val="00EE71B2"/>
    <w:rsid w:val="00EF0E78"/>
    <w:rsid w:val="00EF10A4"/>
    <w:rsid w:val="00EF12B4"/>
    <w:rsid w:val="00EF17A7"/>
    <w:rsid w:val="00EF1F91"/>
    <w:rsid w:val="00EF211E"/>
    <w:rsid w:val="00EF3E07"/>
    <w:rsid w:val="00EF4F9D"/>
    <w:rsid w:val="00EF5C0D"/>
    <w:rsid w:val="00EF673E"/>
    <w:rsid w:val="00EF7072"/>
    <w:rsid w:val="00EF70C2"/>
    <w:rsid w:val="00EF72FE"/>
    <w:rsid w:val="00EF7C65"/>
    <w:rsid w:val="00EF7CE5"/>
    <w:rsid w:val="00F0117C"/>
    <w:rsid w:val="00F041A8"/>
    <w:rsid w:val="00F04226"/>
    <w:rsid w:val="00F0472D"/>
    <w:rsid w:val="00F04A94"/>
    <w:rsid w:val="00F06000"/>
    <w:rsid w:val="00F062DD"/>
    <w:rsid w:val="00F06CEB"/>
    <w:rsid w:val="00F078F7"/>
    <w:rsid w:val="00F1027A"/>
    <w:rsid w:val="00F10F62"/>
    <w:rsid w:val="00F1104C"/>
    <w:rsid w:val="00F126B3"/>
    <w:rsid w:val="00F12D10"/>
    <w:rsid w:val="00F13250"/>
    <w:rsid w:val="00F13FD8"/>
    <w:rsid w:val="00F14B7B"/>
    <w:rsid w:val="00F14EB7"/>
    <w:rsid w:val="00F1547B"/>
    <w:rsid w:val="00F17944"/>
    <w:rsid w:val="00F20D39"/>
    <w:rsid w:val="00F2222A"/>
    <w:rsid w:val="00F2261F"/>
    <w:rsid w:val="00F22C4F"/>
    <w:rsid w:val="00F236D3"/>
    <w:rsid w:val="00F2375A"/>
    <w:rsid w:val="00F23821"/>
    <w:rsid w:val="00F23925"/>
    <w:rsid w:val="00F23969"/>
    <w:rsid w:val="00F23B08"/>
    <w:rsid w:val="00F24708"/>
    <w:rsid w:val="00F2676B"/>
    <w:rsid w:val="00F267DF"/>
    <w:rsid w:val="00F26E24"/>
    <w:rsid w:val="00F30F8F"/>
    <w:rsid w:val="00F310AD"/>
    <w:rsid w:val="00F32290"/>
    <w:rsid w:val="00F3346E"/>
    <w:rsid w:val="00F3366A"/>
    <w:rsid w:val="00F35145"/>
    <w:rsid w:val="00F35F2C"/>
    <w:rsid w:val="00F36811"/>
    <w:rsid w:val="00F36B29"/>
    <w:rsid w:val="00F372A5"/>
    <w:rsid w:val="00F400CC"/>
    <w:rsid w:val="00F425C7"/>
    <w:rsid w:val="00F43DDC"/>
    <w:rsid w:val="00F44592"/>
    <w:rsid w:val="00F4469E"/>
    <w:rsid w:val="00F446BF"/>
    <w:rsid w:val="00F450F5"/>
    <w:rsid w:val="00F45107"/>
    <w:rsid w:val="00F453E2"/>
    <w:rsid w:val="00F45BC6"/>
    <w:rsid w:val="00F463C2"/>
    <w:rsid w:val="00F46E2C"/>
    <w:rsid w:val="00F470B0"/>
    <w:rsid w:val="00F47149"/>
    <w:rsid w:val="00F507AD"/>
    <w:rsid w:val="00F51786"/>
    <w:rsid w:val="00F519FF"/>
    <w:rsid w:val="00F53E23"/>
    <w:rsid w:val="00F54189"/>
    <w:rsid w:val="00F5443C"/>
    <w:rsid w:val="00F548B1"/>
    <w:rsid w:val="00F56A52"/>
    <w:rsid w:val="00F5782A"/>
    <w:rsid w:val="00F57E83"/>
    <w:rsid w:val="00F6102D"/>
    <w:rsid w:val="00F61AA0"/>
    <w:rsid w:val="00F61AC6"/>
    <w:rsid w:val="00F61F69"/>
    <w:rsid w:val="00F62B41"/>
    <w:rsid w:val="00F633EA"/>
    <w:rsid w:val="00F63B02"/>
    <w:rsid w:val="00F63F04"/>
    <w:rsid w:val="00F64B94"/>
    <w:rsid w:val="00F65818"/>
    <w:rsid w:val="00F658AE"/>
    <w:rsid w:val="00F66AB1"/>
    <w:rsid w:val="00F67D70"/>
    <w:rsid w:val="00F70227"/>
    <w:rsid w:val="00F717A9"/>
    <w:rsid w:val="00F71A7D"/>
    <w:rsid w:val="00F71D5D"/>
    <w:rsid w:val="00F71F98"/>
    <w:rsid w:val="00F71FF4"/>
    <w:rsid w:val="00F723FC"/>
    <w:rsid w:val="00F728D2"/>
    <w:rsid w:val="00F75178"/>
    <w:rsid w:val="00F75AE4"/>
    <w:rsid w:val="00F76870"/>
    <w:rsid w:val="00F76B57"/>
    <w:rsid w:val="00F76EC8"/>
    <w:rsid w:val="00F772BA"/>
    <w:rsid w:val="00F77469"/>
    <w:rsid w:val="00F77BBE"/>
    <w:rsid w:val="00F77F65"/>
    <w:rsid w:val="00F8006F"/>
    <w:rsid w:val="00F80DBB"/>
    <w:rsid w:val="00F80E85"/>
    <w:rsid w:val="00F81370"/>
    <w:rsid w:val="00F81532"/>
    <w:rsid w:val="00F8196D"/>
    <w:rsid w:val="00F81C24"/>
    <w:rsid w:val="00F82AFC"/>
    <w:rsid w:val="00F84D9D"/>
    <w:rsid w:val="00F85157"/>
    <w:rsid w:val="00F85277"/>
    <w:rsid w:val="00F8547E"/>
    <w:rsid w:val="00F8700C"/>
    <w:rsid w:val="00F90468"/>
    <w:rsid w:val="00F90DCF"/>
    <w:rsid w:val="00F91741"/>
    <w:rsid w:val="00F91A1B"/>
    <w:rsid w:val="00F9350D"/>
    <w:rsid w:val="00F93D45"/>
    <w:rsid w:val="00F94D10"/>
    <w:rsid w:val="00F95524"/>
    <w:rsid w:val="00F960B9"/>
    <w:rsid w:val="00F96713"/>
    <w:rsid w:val="00F96D4C"/>
    <w:rsid w:val="00F9742B"/>
    <w:rsid w:val="00F97C87"/>
    <w:rsid w:val="00FA07C2"/>
    <w:rsid w:val="00FA1872"/>
    <w:rsid w:val="00FA1C1D"/>
    <w:rsid w:val="00FA1E12"/>
    <w:rsid w:val="00FA2373"/>
    <w:rsid w:val="00FA29FC"/>
    <w:rsid w:val="00FA3A48"/>
    <w:rsid w:val="00FA44F6"/>
    <w:rsid w:val="00FA496D"/>
    <w:rsid w:val="00FA587E"/>
    <w:rsid w:val="00FA61F7"/>
    <w:rsid w:val="00FA62CF"/>
    <w:rsid w:val="00FA6424"/>
    <w:rsid w:val="00FA684C"/>
    <w:rsid w:val="00FA7519"/>
    <w:rsid w:val="00FA7663"/>
    <w:rsid w:val="00FA7C64"/>
    <w:rsid w:val="00FB12D3"/>
    <w:rsid w:val="00FB1602"/>
    <w:rsid w:val="00FB18E6"/>
    <w:rsid w:val="00FB1C63"/>
    <w:rsid w:val="00FB2E21"/>
    <w:rsid w:val="00FB30C4"/>
    <w:rsid w:val="00FB3FEA"/>
    <w:rsid w:val="00FB4A8B"/>
    <w:rsid w:val="00FB4E06"/>
    <w:rsid w:val="00FB50FF"/>
    <w:rsid w:val="00FB6205"/>
    <w:rsid w:val="00FB7581"/>
    <w:rsid w:val="00FB77AB"/>
    <w:rsid w:val="00FB77D5"/>
    <w:rsid w:val="00FB7979"/>
    <w:rsid w:val="00FC0E7B"/>
    <w:rsid w:val="00FC1887"/>
    <w:rsid w:val="00FC42B1"/>
    <w:rsid w:val="00FC5501"/>
    <w:rsid w:val="00FC5999"/>
    <w:rsid w:val="00FC5AE6"/>
    <w:rsid w:val="00FC60B3"/>
    <w:rsid w:val="00FC6860"/>
    <w:rsid w:val="00FC7806"/>
    <w:rsid w:val="00FD0993"/>
    <w:rsid w:val="00FD16C2"/>
    <w:rsid w:val="00FD210C"/>
    <w:rsid w:val="00FD2F69"/>
    <w:rsid w:val="00FD314C"/>
    <w:rsid w:val="00FD31BA"/>
    <w:rsid w:val="00FD38A1"/>
    <w:rsid w:val="00FD4E3E"/>
    <w:rsid w:val="00FD511D"/>
    <w:rsid w:val="00FD542F"/>
    <w:rsid w:val="00FD573C"/>
    <w:rsid w:val="00FD586C"/>
    <w:rsid w:val="00FD58DA"/>
    <w:rsid w:val="00FD6CE3"/>
    <w:rsid w:val="00FD6F68"/>
    <w:rsid w:val="00FD7777"/>
    <w:rsid w:val="00FD7967"/>
    <w:rsid w:val="00FD7BCA"/>
    <w:rsid w:val="00FD7CA1"/>
    <w:rsid w:val="00FE13BB"/>
    <w:rsid w:val="00FE1B9C"/>
    <w:rsid w:val="00FE2C5A"/>
    <w:rsid w:val="00FE6866"/>
    <w:rsid w:val="00FE7A41"/>
    <w:rsid w:val="00FE7E2B"/>
    <w:rsid w:val="00FF0A10"/>
    <w:rsid w:val="00FF0E39"/>
    <w:rsid w:val="00FF16A9"/>
    <w:rsid w:val="00FF1709"/>
    <w:rsid w:val="00FF2784"/>
    <w:rsid w:val="00FF2968"/>
    <w:rsid w:val="00FF2CC1"/>
    <w:rsid w:val="00FF2F2E"/>
    <w:rsid w:val="00FF37C3"/>
    <w:rsid w:val="00FF4728"/>
    <w:rsid w:val="00FF5EF7"/>
    <w:rsid w:val="00FF6261"/>
    <w:rsid w:val="00FF64A6"/>
    <w:rsid w:val="00FF6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4497"/>
    <o:shapelayout v:ext="edit">
      <o:idmap v:ext="edit" data="1"/>
    </o:shapelayout>
  </w:shapeDefaults>
  <w:decimalSymbol w:val="."/>
  <w:listSeparator w:val=","/>
  <w14:docId w14:val="523EB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nhideWhenUsed="1"/>
    <w:lsdException w:name="List Number" w:semiHidden="1" w:unhideWhenUsed="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6B4"/>
    <w:rPr>
      <w:sz w:val="24"/>
    </w:rPr>
  </w:style>
  <w:style w:type="paragraph" w:styleId="Heading1">
    <w:name w:val="heading 1"/>
    <w:basedOn w:val="Normal"/>
    <w:next w:val="Normal"/>
    <w:qFormat/>
    <w:rsid w:val="00B9435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9435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9435D"/>
    <w:pPr>
      <w:keepNext/>
      <w:spacing w:before="240" w:after="60"/>
      <w:outlineLvl w:val="2"/>
    </w:pPr>
    <w:rPr>
      <w:rFonts w:ascii="Arial" w:hAnsi="Arial" w:cs="Arial"/>
      <w:b/>
      <w:bCs/>
      <w:sz w:val="26"/>
      <w:szCs w:val="26"/>
    </w:rPr>
  </w:style>
  <w:style w:type="paragraph" w:styleId="Heading4">
    <w:name w:val="heading 4"/>
    <w:basedOn w:val="Normal"/>
    <w:next w:val="Normal"/>
    <w:qFormat/>
    <w:rsid w:val="002D16B4"/>
    <w:pPr>
      <w:keepNext/>
      <w:outlineLvl w:val="3"/>
    </w:pPr>
    <w:rPr>
      <w:b/>
      <w:i/>
      <w:sz w:val="32"/>
    </w:rPr>
  </w:style>
  <w:style w:type="paragraph" w:styleId="Heading5">
    <w:name w:val="heading 5"/>
    <w:basedOn w:val="Normal"/>
    <w:next w:val="Normal"/>
    <w:qFormat/>
    <w:rsid w:val="002D16B4"/>
    <w:pPr>
      <w:keepNext/>
      <w:outlineLvl w:val="4"/>
    </w:pPr>
    <w:rPr>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B9435D"/>
    <w:rPr>
      <w:b/>
      <w:sz w:val="26"/>
    </w:rPr>
  </w:style>
  <w:style w:type="paragraph" w:customStyle="1" w:styleId="SubHeading">
    <w:name w:val="Sub Heading"/>
    <w:basedOn w:val="Normal"/>
    <w:rsid w:val="00B9435D"/>
    <w:rPr>
      <w:b/>
    </w:rPr>
  </w:style>
  <w:style w:type="paragraph" w:styleId="BodyText">
    <w:name w:val="Body Text"/>
    <w:basedOn w:val="Normal"/>
    <w:autoRedefine/>
    <w:rsid w:val="002D16B4"/>
    <w:pPr>
      <w:numPr>
        <w:numId w:val="2"/>
      </w:numPr>
      <w:spacing w:after="240"/>
      <w:jc w:val="both"/>
    </w:pPr>
    <w:rPr>
      <w:sz w:val="26"/>
    </w:rPr>
  </w:style>
  <w:style w:type="character" w:styleId="CommentReference">
    <w:name w:val="annotation reference"/>
    <w:basedOn w:val="DefaultParagraphFont"/>
    <w:uiPriority w:val="99"/>
    <w:semiHidden/>
    <w:rsid w:val="002D16B4"/>
    <w:rPr>
      <w:sz w:val="16"/>
    </w:rPr>
  </w:style>
  <w:style w:type="paragraph" w:styleId="FootnoteText">
    <w:name w:val="footnote text"/>
    <w:aliases w:val="Footnote Text Char"/>
    <w:basedOn w:val="Normal"/>
    <w:link w:val="FootnoteTextChar1"/>
    <w:semiHidden/>
    <w:rsid w:val="002D16B4"/>
    <w:rPr>
      <w:rFonts w:ascii="Arial" w:hAnsi="Arial"/>
      <w:sz w:val="20"/>
    </w:rPr>
  </w:style>
  <w:style w:type="paragraph" w:customStyle="1" w:styleId="bullet">
    <w:name w:val="bullet"/>
    <w:basedOn w:val="BodyText"/>
    <w:rsid w:val="002D16B4"/>
    <w:pPr>
      <w:numPr>
        <w:numId w:val="1"/>
      </w:numPr>
    </w:pPr>
  </w:style>
  <w:style w:type="character" w:styleId="FootnoteReference">
    <w:name w:val="footnote reference"/>
    <w:basedOn w:val="DefaultParagraphFont"/>
    <w:semiHidden/>
    <w:rsid w:val="002D16B4"/>
    <w:rPr>
      <w:vertAlign w:val="superscript"/>
    </w:rPr>
  </w:style>
  <w:style w:type="character" w:customStyle="1" w:styleId="StyleBodyText13ptCharCharChar">
    <w:name w:val="Style Body Text + 13 pt Char Char Char"/>
    <w:basedOn w:val="DefaultParagraphFont"/>
    <w:rsid w:val="002D16B4"/>
    <w:rPr>
      <w:sz w:val="24"/>
      <w:lang w:val="en-AU" w:eastAsia="en-AU" w:bidi="ar-SA"/>
    </w:rPr>
  </w:style>
  <w:style w:type="paragraph" w:styleId="BalloonText">
    <w:name w:val="Balloon Text"/>
    <w:basedOn w:val="Normal"/>
    <w:semiHidden/>
    <w:rsid w:val="00B11C0E"/>
    <w:rPr>
      <w:rFonts w:ascii="Tahoma" w:hAnsi="Tahoma" w:cs="Tahoma"/>
      <w:sz w:val="16"/>
      <w:szCs w:val="16"/>
    </w:rPr>
  </w:style>
  <w:style w:type="paragraph" w:styleId="Header">
    <w:name w:val="header"/>
    <w:basedOn w:val="Normal"/>
    <w:rsid w:val="003A0287"/>
    <w:pPr>
      <w:tabs>
        <w:tab w:val="center" w:pos="4153"/>
        <w:tab w:val="right" w:pos="8306"/>
      </w:tabs>
    </w:pPr>
  </w:style>
  <w:style w:type="paragraph" w:styleId="Footer">
    <w:name w:val="footer"/>
    <w:basedOn w:val="Normal"/>
    <w:link w:val="FooterChar"/>
    <w:uiPriority w:val="99"/>
    <w:rsid w:val="003A0287"/>
    <w:pPr>
      <w:tabs>
        <w:tab w:val="center" w:pos="4153"/>
        <w:tab w:val="right" w:pos="8306"/>
      </w:tabs>
    </w:pPr>
  </w:style>
  <w:style w:type="paragraph" w:styleId="CommentText">
    <w:name w:val="annotation text"/>
    <w:basedOn w:val="Normal"/>
    <w:link w:val="CommentTextChar"/>
    <w:uiPriority w:val="99"/>
    <w:rsid w:val="00EA65F3"/>
    <w:rPr>
      <w:sz w:val="20"/>
    </w:rPr>
  </w:style>
  <w:style w:type="paragraph" w:styleId="CommentSubject">
    <w:name w:val="annotation subject"/>
    <w:basedOn w:val="CommentText"/>
    <w:next w:val="CommentText"/>
    <w:semiHidden/>
    <w:rsid w:val="00EA65F3"/>
    <w:rPr>
      <w:b/>
      <w:bCs/>
    </w:rPr>
  </w:style>
  <w:style w:type="character" w:styleId="PageNumber">
    <w:name w:val="page number"/>
    <w:basedOn w:val="DefaultParagraphFont"/>
    <w:rsid w:val="00896B5E"/>
  </w:style>
  <w:style w:type="paragraph" w:customStyle="1" w:styleId="Normalalpha">
    <w:name w:val="Normal alpha"/>
    <w:basedOn w:val="Normal"/>
    <w:rsid w:val="00725A97"/>
    <w:pPr>
      <w:spacing w:after="240"/>
      <w:jc w:val="both"/>
    </w:pPr>
  </w:style>
  <w:style w:type="table" w:styleId="TableGrid">
    <w:name w:val="Table Grid"/>
    <w:basedOn w:val="TableNormal"/>
    <w:rsid w:val="00725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1A526E"/>
    <w:pPr>
      <w:spacing w:before="240" w:after="60"/>
      <w:jc w:val="center"/>
      <w:outlineLvl w:val="0"/>
    </w:pPr>
    <w:rPr>
      <w:rFonts w:ascii="Arial" w:hAnsi="Arial" w:cs="Arial"/>
      <w:b/>
      <w:bCs/>
      <w:kern w:val="28"/>
      <w:sz w:val="32"/>
      <w:szCs w:val="32"/>
    </w:rPr>
  </w:style>
  <w:style w:type="paragraph" w:customStyle="1" w:styleId="ActTitle">
    <w:name w:val="Act Title"/>
    <w:basedOn w:val="Normal"/>
    <w:next w:val="IntroTo"/>
    <w:rsid w:val="001A526E"/>
    <w:pPr>
      <w:pBdr>
        <w:bottom w:val="single" w:sz="4" w:space="3" w:color="auto"/>
      </w:pBdr>
      <w:spacing w:before="480" w:after="240"/>
    </w:pPr>
    <w:rPr>
      <w:rFonts w:ascii="Arial" w:hAnsi="Arial"/>
      <w:i/>
      <w:iCs/>
      <w:sz w:val="28"/>
    </w:rPr>
  </w:style>
  <w:style w:type="paragraph" w:customStyle="1" w:styleId="IntroTo">
    <w:name w:val="IntroTo:"/>
    <w:basedOn w:val="Normal"/>
    <w:rsid w:val="001A526E"/>
    <w:pPr>
      <w:ind w:left="720" w:hanging="720"/>
    </w:pPr>
    <w:rPr>
      <w:lang w:eastAsia="en-US"/>
    </w:rPr>
  </w:style>
  <w:style w:type="paragraph" w:customStyle="1" w:styleId="IH">
    <w:name w:val="IH"/>
    <w:aliases w:val="Interpretation heading"/>
    <w:basedOn w:val="Normal"/>
    <w:next w:val="Normal"/>
    <w:rsid w:val="001A526E"/>
    <w:pPr>
      <w:keepNext/>
      <w:spacing w:before="480"/>
      <w:ind w:left="964" w:hanging="964"/>
    </w:pPr>
    <w:rPr>
      <w:rFonts w:ascii="Arial" w:hAnsi="Arial"/>
      <w:b/>
      <w:szCs w:val="24"/>
      <w:lang w:eastAsia="en-US"/>
    </w:rPr>
  </w:style>
  <w:style w:type="paragraph" w:customStyle="1" w:styleId="IP">
    <w:name w:val="IP"/>
    <w:aliases w:val="Interpretation paragraph"/>
    <w:basedOn w:val="Normal"/>
    <w:next w:val="Normal"/>
    <w:rsid w:val="001A526E"/>
    <w:pPr>
      <w:keepNext/>
      <w:tabs>
        <w:tab w:val="right" w:pos="794"/>
      </w:tabs>
      <w:spacing w:before="120" w:line="260" w:lineRule="exact"/>
      <w:ind w:left="964" w:hanging="964"/>
      <w:jc w:val="both"/>
    </w:pPr>
    <w:rPr>
      <w:szCs w:val="24"/>
      <w:lang w:eastAsia="en-US"/>
    </w:rPr>
  </w:style>
  <w:style w:type="paragraph" w:customStyle="1" w:styleId="AS">
    <w:name w:val="AS"/>
    <w:aliases w:val="Schedule title Amendment"/>
    <w:basedOn w:val="Normal"/>
    <w:next w:val="Normal"/>
    <w:rsid w:val="001A526E"/>
    <w:pPr>
      <w:keepNext/>
      <w:autoSpaceDE w:val="0"/>
      <w:autoSpaceDN w:val="0"/>
      <w:spacing w:before="480"/>
      <w:ind w:left="2410" w:hanging="2410"/>
    </w:pPr>
    <w:rPr>
      <w:rFonts w:ascii="Arial" w:hAnsi="Arial" w:cs="Arial"/>
      <w:b/>
      <w:bCs/>
      <w:sz w:val="32"/>
      <w:szCs w:val="32"/>
    </w:rPr>
  </w:style>
  <w:style w:type="character" w:customStyle="1" w:styleId="CharSchNo">
    <w:name w:val="CharSchNo"/>
    <w:basedOn w:val="DefaultParagraphFont"/>
    <w:rsid w:val="001A526E"/>
  </w:style>
  <w:style w:type="character" w:customStyle="1" w:styleId="FootnoteTextChar1">
    <w:name w:val="Footnote Text Char1"/>
    <w:aliases w:val="Footnote Text Char Char"/>
    <w:basedOn w:val="DefaultParagraphFont"/>
    <w:link w:val="FootnoteText"/>
    <w:rsid w:val="00270284"/>
    <w:rPr>
      <w:rFonts w:ascii="Arial" w:hAnsi="Arial"/>
      <w:lang w:val="en-AU" w:eastAsia="en-AU" w:bidi="ar-SA"/>
    </w:rPr>
  </w:style>
  <w:style w:type="paragraph" w:customStyle="1" w:styleId="normaltextcharcharcharcharchar">
    <w:name w:val="normaltextcharcharcharcharchar"/>
    <w:basedOn w:val="Normal"/>
    <w:rsid w:val="00270284"/>
    <w:pPr>
      <w:spacing w:after="240"/>
      <w:ind w:left="567" w:hanging="567"/>
      <w:jc w:val="both"/>
    </w:pPr>
    <w:rPr>
      <w:rFonts w:ascii="Trebuchet MS" w:hAnsi="Trebuchet MS"/>
      <w:szCs w:val="24"/>
    </w:rPr>
  </w:style>
  <w:style w:type="paragraph" w:styleId="BodyTextIndent">
    <w:name w:val="Body Text Indent"/>
    <w:basedOn w:val="Normal"/>
    <w:link w:val="BodyTextIndentChar"/>
    <w:uiPriority w:val="99"/>
    <w:semiHidden/>
    <w:unhideWhenUsed/>
    <w:rsid w:val="006E344F"/>
    <w:pPr>
      <w:spacing w:after="120"/>
      <w:ind w:left="283"/>
    </w:pPr>
  </w:style>
  <w:style w:type="character" w:customStyle="1" w:styleId="BodyTextIndentChar">
    <w:name w:val="Body Text Indent Char"/>
    <w:basedOn w:val="DefaultParagraphFont"/>
    <w:link w:val="BodyTextIndent"/>
    <w:uiPriority w:val="99"/>
    <w:semiHidden/>
    <w:rsid w:val="006E344F"/>
    <w:rPr>
      <w:sz w:val="24"/>
    </w:rPr>
  </w:style>
  <w:style w:type="paragraph" w:styleId="NormalWeb">
    <w:name w:val="Normal (Web)"/>
    <w:basedOn w:val="Normal"/>
    <w:uiPriority w:val="99"/>
    <w:semiHidden/>
    <w:unhideWhenUsed/>
    <w:rsid w:val="008B5B4D"/>
    <w:pPr>
      <w:spacing w:before="120" w:after="240"/>
    </w:pPr>
    <w:rPr>
      <w:szCs w:val="24"/>
    </w:rPr>
  </w:style>
  <w:style w:type="paragraph" w:styleId="ListParagraph">
    <w:name w:val="List Paragraph"/>
    <w:basedOn w:val="Normal"/>
    <w:uiPriority w:val="34"/>
    <w:qFormat/>
    <w:rsid w:val="008B5B4D"/>
    <w:pPr>
      <w:ind w:left="720"/>
      <w:contextualSpacing/>
    </w:pPr>
  </w:style>
  <w:style w:type="paragraph" w:customStyle="1" w:styleId="Default">
    <w:name w:val="Default"/>
    <w:rsid w:val="0081269E"/>
    <w:pPr>
      <w:autoSpaceDE w:val="0"/>
      <w:autoSpaceDN w:val="0"/>
      <w:adjustRightInd w:val="0"/>
    </w:pPr>
    <w:rPr>
      <w:color w:val="000000"/>
      <w:sz w:val="24"/>
      <w:szCs w:val="24"/>
      <w:lang w:eastAsia="en-US"/>
    </w:rPr>
  </w:style>
  <w:style w:type="character" w:customStyle="1" w:styleId="CommentTextChar">
    <w:name w:val="Comment Text Char"/>
    <w:basedOn w:val="DefaultParagraphFont"/>
    <w:link w:val="CommentText"/>
    <w:uiPriority w:val="99"/>
    <w:rsid w:val="00E85E11"/>
  </w:style>
  <w:style w:type="paragraph" w:styleId="Revision">
    <w:name w:val="Revision"/>
    <w:hidden/>
    <w:uiPriority w:val="99"/>
    <w:semiHidden/>
    <w:rsid w:val="00120CE4"/>
    <w:rPr>
      <w:sz w:val="24"/>
    </w:rPr>
  </w:style>
  <w:style w:type="paragraph" w:customStyle="1" w:styleId="ASref">
    <w:name w:val="AS ref"/>
    <w:basedOn w:val="Normal"/>
    <w:next w:val="Normal"/>
    <w:rsid w:val="008217FB"/>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8217FB"/>
  </w:style>
  <w:style w:type="character" w:customStyle="1" w:styleId="FooterChar">
    <w:name w:val="Footer Char"/>
    <w:basedOn w:val="DefaultParagraphFont"/>
    <w:link w:val="Footer"/>
    <w:uiPriority w:val="99"/>
    <w:rsid w:val="00C40B76"/>
    <w:rPr>
      <w:sz w:val="24"/>
    </w:rPr>
  </w:style>
  <w:style w:type="paragraph" w:styleId="BodyText3">
    <w:name w:val="Body Text 3"/>
    <w:basedOn w:val="Normal"/>
    <w:link w:val="BodyText3Char"/>
    <w:unhideWhenUsed/>
    <w:qFormat/>
    <w:rsid w:val="00030C77"/>
    <w:pPr>
      <w:spacing w:after="120"/>
    </w:pPr>
    <w:rPr>
      <w:sz w:val="16"/>
      <w:szCs w:val="16"/>
    </w:rPr>
  </w:style>
  <w:style w:type="character" w:customStyle="1" w:styleId="BodyText3Char">
    <w:name w:val="Body Text 3 Char"/>
    <w:basedOn w:val="DefaultParagraphFont"/>
    <w:link w:val="BodyText3"/>
    <w:rsid w:val="00030C77"/>
    <w:rPr>
      <w:sz w:val="16"/>
      <w:szCs w:val="16"/>
    </w:rPr>
  </w:style>
  <w:style w:type="character" w:styleId="PlaceholderText">
    <w:name w:val="Placeholder Text"/>
    <w:basedOn w:val="DefaultParagraphFont"/>
    <w:uiPriority w:val="99"/>
    <w:semiHidden/>
    <w:rsid w:val="00030C77"/>
    <w:rPr>
      <w:noProof w:val="0"/>
      <w:color w:val="000000" w:themeColor="text1"/>
      <w:sz w:val="22"/>
      <w:lang w:val="en-AU"/>
    </w:rPr>
  </w:style>
  <w:style w:type="paragraph" w:styleId="List">
    <w:name w:val="List"/>
    <w:basedOn w:val="Normal"/>
    <w:uiPriority w:val="17"/>
    <w:qFormat/>
    <w:rsid w:val="00030C77"/>
    <w:pPr>
      <w:tabs>
        <w:tab w:val="num" w:pos="425"/>
      </w:tabs>
      <w:spacing w:after="240"/>
      <w:ind w:left="425" w:hanging="425"/>
      <w:jc w:val="both"/>
    </w:pPr>
    <w:rPr>
      <w:rFonts w:ascii="Arial" w:eastAsiaTheme="minorHAnsi" w:hAnsi="Arial" w:cstheme="minorBidi"/>
      <w:color w:val="000000"/>
      <w:sz w:val="22"/>
      <w:szCs w:val="22"/>
      <w:lang w:eastAsia="en-US"/>
    </w:rPr>
  </w:style>
  <w:style w:type="paragraph" w:styleId="List2">
    <w:name w:val="List 2"/>
    <w:basedOn w:val="Normal"/>
    <w:uiPriority w:val="17"/>
    <w:qFormat/>
    <w:rsid w:val="00030C77"/>
    <w:pPr>
      <w:tabs>
        <w:tab w:val="num" w:pos="851"/>
      </w:tabs>
      <w:spacing w:after="240"/>
      <w:ind w:left="851" w:hanging="426"/>
      <w:jc w:val="both"/>
    </w:pPr>
    <w:rPr>
      <w:rFonts w:ascii="Arial" w:eastAsiaTheme="minorHAnsi" w:hAnsi="Arial" w:cstheme="minorBidi"/>
      <w:color w:val="000000"/>
      <w:sz w:val="22"/>
      <w:szCs w:val="22"/>
      <w:lang w:eastAsia="en-US"/>
    </w:rPr>
  </w:style>
  <w:style w:type="paragraph" w:styleId="List3">
    <w:name w:val="List 3"/>
    <w:basedOn w:val="Normal"/>
    <w:uiPriority w:val="17"/>
    <w:qFormat/>
    <w:rsid w:val="00030C77"/>
    <w:pPr>
      <w:tabs>
        <w:tab w:val="num" w:pos="1276"/>
      </w:tabs>
      <w:spacing w:after="240"/>
      <w:ind w:left="1276" w:hanging="425"/>
      <w:jc w:val="both"/>
    </w:pPr>
    <w:rPr>
      <w:rFonts w:ascii="Arial" w:eastAsiaTheme="minorHAnsi" w:hAnsi="Arial" w:cstheme="minorBidi"/>
      <w:color w:val="000000"/>
      <w:sz w:val="22"/>
      <w:szCs w:val="22"/>
      <w:lang w:eastAsia="en-US"/>
    </w:rPr>
  </w:style>
  <w:style w:type="numbering" w:styleId="1ai">
    <w:name w:val="Outline List 1"/>
    <w:basedOn w:val="NoList"/>
    <w:uiPriority w:val="99"/>
    <w:semiHidden/>
    <w:unhideWhenUsed/>
    <w:rsid w:val="00030C77"/>
    <w:pPr>
      <w:numPr>
        <w:numId w:val="49"/>
      </w:numPr>
    </w:pPr>
  </w:style>
  <w:style w:type="paragraph" w:customStyle="1" w:styleId="instrument">
    <w:name w:val="instrument"/>
    <w:basedOn w:val="BodyText2"/>
    <w:qFormat/>
    <w:rsid w:val="00030C77"/>
    <w:pPr>
      <w:tabs>
        <w:tab w:val="left" w:pos="567"/>
      </w:tabs>
      <w:spacing w:after="240" w:line="240" w:lineRule="auto"/>
      <w:ind w:left="425" w:hanging="425"/>
      <w:jc w:val="both"/>
    </w:pPr>
    <w:rPr>
      <w:rFonts w:eastAsia="Calibri"/>
      <w:szCs w:val="24"/>
    </w:rPr>
  </w:style>
  <w:style w:type="paragraph" w:customStyle="1" w:styleId="introto0">
    <w:name w:val="introto"/>
    <w:basedOn w:val="Normal"/>
    <w:rsid w:val="00030C77"/>
    <w:pPr>
      <w:spacing w:before="100" w:beforeAutospacing="1" w:after="100" w:afterAutospacing="1"/>
    </w:pPr>
    <w:rPr>
      <w:szCs w:val="24"/>
    </w:rPr>
  </w:style>
  <w:style w:type="paragraph" w:styleId="BodyText2">
    <w:name w:val="Body Text 2"/>
    <w:basedOn w:val="Normal"/>
    <w:link w:val="BodyText2Char"/>
    <w:uiPriority w:val="99"/>
    <w:semiHidden/>
    <w:unhideWhenUsed/>
    <w:rsid w:val="00030C77"/>
    <w:pPr>
      <w:spacing w:after="120" w:line="480" w:lineRule="auto"/>
    </w:pPr>
  </w:style>
  <w:style w:type="character" w:customStyle="1" w:styleId="BodyText2Char">
    <w:name w:val="Body Text 2 Char"/>
    <w:basedOn w:val="DefaultParagraphFont"/>
    <w:link w:val="BodyText2"/>
    <w:uiPriority w:val="99"/>
    <w:semiHidden/>
    <w:rsid w:val="00030C7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3585">
      <w:bodyDiv w:val="1"/>
      <w:marLeft w:val="0"/>
      <w:marRight w:val="0"/>
      <w:marTop w:val="0"/>
      <w:marBottom w:val="0"/>
      <w:divBdr>
        <w:top w:val="none" w:sz="0" w:space="0" w:color="auto"/>
        <w:left w:val="none" w:sz="0" w:space="0" w:color="auto"/>
        <w:bottom w:val="none" w:sz="0" w:space="0" w:color="auto"/>
        <w:right w:val="none" w:sz="0" w:space="0" w:color="auto"/>
      </w:divBdr>
    </w:div>
    <w:div w:id="251864140">
      <w:bodyDiv w:val="1"/>
      <w:marLeft w:val="0"/>
      <w:marRight w:val="0"/>
      <w:marTop w:val="0"/>
      <w:marBottom w:val="0"/>
      <w:divBdr>
        <w:top w:val="none" w:sz="0" w:space="0" w:color="auto"/>
        <w:left w:val="none" w:sz="0" w:space="0" w:color="auto"/>
        <w:bottom w:val="none" w:sz="0" w:space="0" w:color="auto"/>
        <w:right w:val="none" w:sz="0" w:space="0" w:color="auto"/>
      </w:divBdr>
    </w:div>
    <w:div w:id="1032879750">
      <w:bodyDiv w:val="1"/>
      <w:marLeft w:val="75"/>
      <w:marRight w:val="75"/>
      <w:marTop w:val="75"/>
      <w:marBottom w:val="75"/>
      <w:divBdr>
        <w:top w:val="none" w:sz="0" w:space="0" w:color="auto"/>
        <w:left w:val="none" w:sz="0" w:space="0" w:color="auto"/>
        <w:bottom w:val="none" w:sz="0" w:space="0" w:color="auto"/>
        <w:right w:val="none" w:sz="0" w:space="0" w:color="auto"/>
      </w:divBdr>
      <w:divsChild>
        <w:div w:id="2077167498">
          <w:marLeft w:val="0"/>
          <w:marRight w:val="0"/>
          <w:marTop w:val="0"/>
          <w:marBottom w:val="0"/>
          <w:divBdr>
            <w:top w:val="single" w:sz="6" w:space="0" w:color="012F50"/>
            <w:left w:val="none" w:sz="0" w:space="0" w:color="012F50"/>
            <w:bottom w:val="single" w:sz="6" w:space="0" w:color="012F50"/>
            <w:right w:val="none" w:sz="0" w:space="0" w:color="012F50"/>
          </w:divBdr>
          <w:divsChild>
            <w:div w:id="565142398">
              <w:marLeft w:val="0"/>
              <w:marRight w:val="0"/>
              <w:marTop w:val="0"/>
              <w:marBottom w:val="0"/>
              <w:divBdr>
                <w:top w:val="none" w:sz="0" w:space="0" w:color="auto"/>
                <w:left w:val="none" w:sz="0" w:space="0" w:color="auto"/>
                <w:bottom w:val="none" w:sz="0" w:space="0" w:color="auto"/>
                <w:right w:val="none" w:sz="0" w:space="0" w:color="auto"/>
              </w:divBdr>
              <w:divsChild>
                <w:div w:id="1546674684">
                  <w:marLeft w:val="0"/>
                  <w:marRight w:val="0"/>
                  <w:marTop w:val="0"/>
                  <w:marBottom w:val="0"/>
                  <w:divBdr>
                    <w:top w:val="none" w:sz="0" w:space="0" w:color="auto"/>
                    <w:left w:val="none" w:sz="0" w:space="0" w:color="auto"/>
                    <w:bottom w:val="none" w:sz="0" w:space="0" w:color="auto"/>
                    <w:right w:val="none" w:sz="0" w:space="0" w:color="auto"/>
                  </w:divBdr>
                  <w:divsChild>
                    <w:div w:id="1109935521">
                      <w:marLeft w:val="0"/>
                      <w:marRight w:val="0"/>
                      <w:marTop w:val="0"/>
                      <w:marBottom w:val="0"/>
                      <w:divBdr>
                        <w:top w:val="none" w:sz="0" w:space="0" w:color="auto"/>
                        <w:left w:val="none" w:sz="0" w:space="0" w:color="auto"/>
                        <w:bottom w:val="none" w:sz="0" w:space="0" w:color="auto"/>
                        <w:right w:val="none" w:sz="0" w:space="0" w:color="auto"/>
                      </w:divBdr>
                      <w:divsChild>
                        <w:div w:id="1906792306">
                          <w:marLeft w:val="0"/>
                          <w:marRight w:val="0"/>
                          <w:marTop w:val="0"/>
                          <w:marBottom w:val="0"/>
                          <w:divBdr>
                            <w:top w:val="none" w:sz="0" w:space="0" w:color="auto"/>
                            <w:left w:val="none" w:sz="0" w:space="0" w:color="auto"/>
                            <w:bottom w:val="none" w:sz="0" w:space="0" w:color="auto"/>
                            <w:right w:val="none" w:sz="0" w:space="0" w:color="auto"/>
                          </w:divBdr>
                          <w:divsChild>
                            <w:div w:id="1084109080">
                              <w:marLeft w:val="0"/>
                              <w:marRight w:val="0"/>
                              <w:marTop w:val="0"/>
                              <w:marBottom w:val="0"/>
                              <w:divBdr>
                                <w:top w:val="none" w:sz="0" w:space="0" w:color="auto"/>
                                <w:left w:val="none" w:sz="0" w:space="0" w:color="auto"/>
                                <w:bottom w:val="none" w:sz="0" w:space="0" w:color="auto"/>
                                <w:right w:val="none" w:sz="0" w:space="0" w:color="auto"/>
                              </w:divBdr>
                              <w:divsChild>
                                <w:div w:id="281157876">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sChild>
                </w:div>
              </w:divsChild>
            </w:div>
          </w:divsChild>
        </w:div>
      </w:divsChild>
    </w:div>
    <w:div w:id="1056706501">
      <w:bodyDiv w:val="1"/>
      <w:marLeft w:val="0"/>
      <w:marRight w:val="0"/>
      <w:marTop w:val="0"/>
      <w:marBottom w:val="0"/>
      <w:divBdr>
        <w:top w:val="none" w:sz="0" w:space="0" w:color="auto"/>
        <w:left w:val="none" w:sz="0" w:space="0" w:color="auto"/>
        <w:bottom w:val="none" w:sz="0" w:space="0" w:color="auto"/>
        <w:right w:val="none" w:sz="0" w:space="0" w:color="auto"/>
      </w:divBdr>
    </w:div>
    <w:div w:id="1892111200">
      <w:bodyDiv w:val="1"/>
      <w:marLeft w:val="0"/>
      <w:marRight w:val="0"/>
      <w:marTop w:val="0"/>
      <w:marBottom w:val="0"/>
      <w:divBdr>
        <w:top w:val="none" w:sz="0" w:space="0" w:color="auto"/>
        <w:left w:val="none" w:sz="0" w:space="0" w:color="auto"/>
        <w:bottom w:val="none" w:sz="0" w:space="0" w:color="auto"/>
        <w:right w:val="none" w:sz="0" w:space="0" w:color="auto"/>
      </w:divBdr>
    </w:div>
    <w:div w:id="201537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APRAOwner xmlns="814d62cb-2db6-4c25-ab62-b9075facbc11">
      <UserInfo>
        <DisplayName/>
        <AccountId xsi:nil="true"/>
        <AccountType/>
      </UserInfo>
    </APRAOwner>
    <APRASecurityClassification xmlns="814d62cb-2db6-4c25-ab62-b9075facbc11">OFFICIAL</APRASecurityClassification>
    <APRAApprovalDate xmlns="814d62cb-2db6-4c25-ab62-b9075facbc11" xsi:nil="true"/>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58</Value>
      <Value>134</Value>
      <Value>10</Value>
      <Value>26</Value>
      <Value>93</Value>
      <Value>109</Value>
      <Value>142</Value>
      <Value>19</Value>
    </TaxCatchAll>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GPS 001 Definitions</APRADescription>
    <APRAActivityID xmlns="814d62cb-2db6-4c25-ab62-b9075facbc11" xsi:nil="true"/>
    <i08e72d8ce2b4ffa9361f9f4e0a63abc xmlns="814d62cb-2db6-4c25-ab62-b9075facbc11">
      <Terms xmlns="http://schemas.microsoft.com/office/infopath/2007/PartnerControls"/>
    </i08e72d8ce2b4ffa9361f9f4e0a63abc>
    <APRADocScanCheck xmlns="814d62cb-2db6-4c25-ab62-b9075facbc11">true</APRADocScanCheck>
    <aa36a5a650d54f768f171f4d17b8b238 xmlns="814d62cb-2db6-4c25-ab62-b9075facbc11">
      <Terms xmlns="http://schemas.microsoft.com/office/infopath/2007/PartnerControls"/>
    </aa36a5a650d54f768f171f4d17b8b238>
    <_dlc_DocId xmlns="814d62cb-2db6-4c25-ab62-b9075facbc11">5JENXJJSCC7A-445999044-11769</_dlc_DocId>
    <_dlc_DocIdUrl xmlns="814d62cb-2db6-4c25-ab62-b9075facbc11">
      <Url>https://im/teams/LEGAL/_layouts/15/DocIdRedir.aspx?ID=5JENXJJSCC7A-445999044-11769</Url>
      <Description>5JENXJJSCC7A-445999044-11769</Description>
    </_dlc_DocIdUrl>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ic4067bd02f14cf3a95ad35878404a71 xmlns="814d62cb-2db6-4c25-ab62-b9075facbc11">
      <Terms xmlns="http://schemas.microsoft.com/office/infopath/2007/PartnerControls"/>
    </ic4067bd02f14cf3a95ad35878404a71>
    <j724204a644741eb9f777fcb03fe8840 xmlns="814d62cb-2db6-4c25-ab62-b9075facbc11">
      <Terms xmlns="http://schemas.microsoft.com/office/infopath/2007/PartnerControls"/>
    </j724204a644741eb9f777fcb03fe8840>
    <k4bcc0d734474fea9fb713d9c415b4b0 xmlns="814d62cb-2db6-4c25-ab62-b9075facbc11">
      <Terms xmlns="http://schemas.microsoft.com/office/infopath/2007/PartnerControls"/>
    </k4bcc0d734474fea9fb713d9c415b4b0>
    <pa005173035e41c3986b37b8e650f3ef xmlns="814d62cb-2db6-4c25-ab62-b9075facbc11">
      <Terms xmlns="http://schemas.microsoft.com/office/infopath/2007/PartnerControls"/>
    </pa005173035e41c3986b37b8e650f3ef>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00B282-7283-4870-903D-7D05E7C923AC}">
  <ds:schemaRefs>
    <ds:schemaRef ds:uri="http://purl.org/dc/dcmitype/"/>
    <ds:schemaRef ds:uri="http://schemas.microsoft.com/office/2006/metadata/properti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814d62cb-2db6-4c25-ab62-b9075facbc11"/>
  </ds:schemaRefs>
</ds:datastoreItem>
</file>

<file path=customXml/itemProps2.xml><?xml version="1.0" encoding="utf-8"?>
<ds:datastoreItem xmlns:ds="http://schemas.openxmlformats.org/officeDocument/2006/customXml" ds:itemID="{9E057227-AB41-40CA-961D-21AF62837AB1}">
  <ds:schemaRefs>
    <ds:schemaRef ds:uri="http://schemas.microsoft.com/sharepoint/v3/contenttype/forms"/>
  </ds:schemaRefs>
</ds:datastoreItem>
</file>

<file path=customXml/itemProps3.xml><?xml version="1.0" encoding="utf-8"?>
<ds:datastoreItem xmlns:ds="http://schemas.openxmlformats.org/officeDocument/2006/customXml" ds:itemID="{E0202A1C-DF22-47D5-BE92-9A19DA4070A3}">
  <ds:schemaRefs>
    <ds:schemaRef ds:uri="Microsoft.SharePoint.Taxonomy.ContentTypeSync"/>
  </ds:schemaRefs>
</ds:datastoreItem>
</file>

<file path=customXml/itemProps4.xml><?xml version="1.0" encoding="utf-8"?>
<ds:datastoreItem xmlns:ds="http://schemas.openxmlformats.org/officeDocument/2006/customXml" ds:itemID="{534E10A5-7A8F-4DD2-B353-084E9263B39C}">
  <ds:schemaRefs>
    <ds:schemaRef ds:uri="http://schemas.microsoft.com/sharepoint/events"/>
  </ds:schemaRefs>
</ds:datastoreItem>
</file>

<file path=customXml/itemProps5.xml><?xml version="1.0" encoding="utf-8"?>
<ds:datastoreItem xmlns:ds="http://schemas.openxmlformats.org/officeDocument/2006/customXml" ds:itemID="{806C74A5-5583-4B3C-9D58-B2D52AC21088}">
  <ds:schemaRefs>
    <ds:schemaRef ds:uri="http://schemas.openxmlformats.org/officeDocument/2006/bibliography"/>
  </ds:schemaRefs>
</ds:datastoreItem>
</file>

<file path=customXml/itemProps6.xml><?xml version="1.0" encoding="utf-8"?>
<ds:datastoreItem xmlns:ds="http://schemas.openxmlformats.org/officeDocument/2006/customXml" ds:itemID="{EA542EF2-247D-4522-825D-28996F50E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5586</Words>
  <Characters>29556</Characters>
  <Application>Microsoft Office Word</Application>
  <DocSecurity>0</DocSecurity>
  <Lines>844</Lines>
  <Paragraphs>540</Paragraphs>
  <ScaleCrop>false</ScaleCrop>
  <HeadingPairs>
    <vt:vector size="2" baseType="variant">
      <vt:variant>
        <vt:lpstr>Title</vt:lpstr>
      </vt:variant>
      <vt:variant>
        <vt:i4>1</vt:i4>
      </vt:variant>
    </vt:vector>
  </HeadingPairs>
  <TitlesOfParts>
    <vt:vector size="1" baseType="lpstr">
      <vt:lpstr>Final Prudential Standard GPS 001 Definitions</vt:lpstr>
    </vt:vector>
  </TitlesOfParts>
  <LinksUpToDate>false</LinksUpToDate>
  <CharactersWithSpaces>34602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Insurance (prudential standard) determination No. 1 of 2022</dc:title>
  <dc:creator/>
  <cp:keywords>[SEC=OFFICIAL]</cp:keywords>
  <cp:lastModifiedBy/>
  <cp:revision>1</cp:revision>
  <dcterms:created xsi:type="dcterms:W3CDTF">2022-06-27T10:54:00Z</dcterms:created>
  <dcterms:modified xsi:type="dcterms:W3CDTF">2022-06-27T10:54:00Z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Originator_Hash_SHA1">
    <vt:lpwstr>C3AD57350F36D8E1BD75F8F67CB06D435C9C43CA</vt:lpwstr>
  </property>
  <property fmtid="{D5CDD505-2E9C-101B-9397-08002B2CF9AE}" pid="5" name="PM_SecurityClassification">
    <vt:lpwstr>OFFICIAL</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Hash_SHA1">
    <vt:lpwstr>C04C795C7702DFA25555AA88C4E36E8CEBA311F3</vt:lpwstr>
  </property>
  <property fmtid="{D5CDD505-2E9C-101B-9397-08002B2CF9AE}" pid="9" name="PM_ProtectiveMarkingImage_Header">
    <vt:lpwstr>C:\Program Files\Common Files\janusNET Shared\janusSEAL\Images\DocumentSlashBlue.png</vt:lpwstr>
  </property>
  <property fmtid="{D5CDD505-2E9C-101B-9397-08002B2CF9AE}" pid="10" name="PM_InsertionValue">
    <vt:lpwstr>OFFICIAL</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Originating_FileId">
    <vt:lpwstr>38E92FE3030F4FA6AFB31028113DB2D9</vt:lpwstr>
  </property>
  <property fmtid="{D5CDD505-2E9C-101B-9397-08002B2CF9AE}" pid="16" name="PM_OriginationTimeStamp">
    <vt:lpwstr>2022-06-27T10:53:52Z</vt:lpwstr>
  </property>
  <property fmtid="{D5CDD505-2E9C-101B-9397-08002B2CF9AE}" pid="17" name="PM_Hash_Version">
    <vt:lpwstr>2018.0</vt:lpwstr>
  </property>
  <property fmtid="{D5CDD505-2E9C-101B-9397-08002B2CF9AE}" pid="18" name="PM_Hash_Salt_Prev">
    <vt:lpwstr>CACAC9CEC7047BCA79CBF19780048DA9</vt:lpwstr>
  </property>
  <property fmtid="{D5CDD505-2E9C-101B-9397-08002B2CF9AE}" pid="19" name="PM_Hash_Salt">
    <vt:lpwstr>DE87B058FF45F8DA32E556DD8959A5C8</vt:lpwstr>
  </property>
  <property fmtid="{D5CDD505-2E9C-101B-9397-08002B2CF9AE}" pid="20" name="ContentTypeId">
    <vt:lpwstr>0x0101008CA7A4F8331B45C7B0D3158B4994D0CA0200577EC0F5A1FBFC498F9A8436B963F8A6</vt:lpwstr>
  </property>
  <property fmtid="{D5CDD505-2E9C-101B-9397-08002B2CF9AE}" pid="21" name="APRAPeriod">
    <vt:lpwstr/>
  </property>
  <property fmtid="{D5CDD505-2E9C-101B-9397-08002B2CF9AE}" pid="22" name="APRAYear">
    <vt:lpwstr/>
  </property>
  <property fmtid="{D5CDD505-2E9C-101B-9397-08002B2CF9AE}" pid="23" name="APRAIndustry">
    <vt:lpwstr/>
  </property>
  <property fmtid="{D5CDD505-2E9C-101B-9397-08002B2CF9AE}" pid="24" name="APRACategory">
    <vt:lpwstr/>
  </property>
  <property fmtid="{D5CDD505-2E9C-101B-9397-08002B2CF9AE}" pid="25" name="APRAPRSG">
    <vt:lpwstr/>
  </property>
  <property fmtid="{D5CDD505-2E9C-101B-9397-08002B2CF9AE}" pid="26" name="_dlc_DocIdItemGuid">
    <vt:lpwstr>9be4cb33-d651-417c-93d5-ab985cf17bf8</vt:lpwstr>
  </property>
  <property fmtid="{D5CDD505-2E9C-101B-9397-08002B2CF9AE}" pid="27" name="IsLocked">
    <vt:lpwstr>False</vt:lpwstr>
  </property>
  <property fmtid="{D5CDD505-2E9C-101B-9397-08002B2CF9AE}" pid="28"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29" name="IT system type">
    <vt:lpwstr/>
  </property>
  <property fmtid="{D5CDD505-2E9C-101B-9397-08002B2CF9AE}" pid="30" name="APRADocumentType">
    <vt:lpwstr>142;#Prudential standard|6ce5a155-9ab2-41e3-9b2a-5baab4b7f1d1;#58;#Legal instrument|71fd6ed3-d6d6-4975-ba99-bfe45802e734</vt:lpwstr>
  </property>
  <property fmtid="{D5CDD505-2E9C-101B-9397-08002B2CF9AE}" pid="31" name="APRAStatus">
    <vt:lpwstr>19;#Final|84d6b2d0-8498-4d62-bf46-bab38babbe9e</vt:lpwstr>
  </property>
  <property fmtid="{D5CDD505-2E9C-101B-9397-08002B2CF9AE}" pid="32" name="APRAActivity">
    <vt:lpwstr>10;#Registration|390476ce-d76d-4e8d-905f-28e32d2df127;#109;#Statutory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WebId">
    <vt:lpwstr>{75a71c27-8d66-4282-ae60-1bfc22a83be1}</vt:lpwstr>
  </property>
  <property fmtid="{D5CDD505-2E9C-101B-9397-08002B2CF9AE}" pid="39" name="RecordPoint_ActiveItemSiteId">
    <vt:lpwstr>{88691c01-5bbb-4215-adc0-66cb7065b0af}</vt:lpwstr>
  </property>
  <property fmtid="{D5CDD505-2E9C-101B-9397-08002B2CF9AE}" pid="40" name="RecordPoint_ActiveItemListId">
    <vt:lpwstr>{0e59e171-09d8-4401-800a-327154450cb3}</vt:lpwstr>
  </property>
  <property fmtid="{D5CDD505-2E9C-101B-9397-08002B2CF9AE}" pid="41" name="RecordPoint_ActiveItemUniqueId">
    <vt:lpwstr>{9be4cb33-d651-417c-93d5-ab985cf17bf8}</vt:lpwstr>
  </property>
  <property fmtid="{D5CDD505-2E9C-101B-9397-08002B2CF9AE}" pid="42" name="RecordPoint_RecordNumberSubmitted">
    <vt:lpwstr>R0001610129</vt:lpwstr>
  </property>
  <property fmtid="{D5CDD505-2E9C-101B-9397-08002B2CF9AE}" pid="43" name="RecordPoint_SubmissionCompleted">
    <vt:lpwstr>2022-06-28T03:23:18.4857296+10:00</vt:lpwstr>
  </property>
  <property fmtid="{D5CDD505-2E9C-101B-9397-08002B2CF9AE}" pid="44" name="p10c80fc2da942ae8f2ea9b33b6ea0ba">
    <vt:lpwstr/>
  </property>
  <property fmtid="{D5CDD505-2E9C-101B-9397-08002B2CF9AE}" pid="45" name="pa005173035e41c3986b37b8e650f3ef">
    <vt:lpwstr/>
  </property>
  <property fmtid="{D5CDD505-2E9C-101B-9397-08002B2CF9AE}" pid="46" name="ic4067bd02f14cf3a95ad35878404a71">
    <vt:lpwstr/>
  </property>
  <property fmtid="{D5CDD505-2E9C-101B-9397-08002B2CF9AE}" pid="47" name="k4bcc0d734474fea9fb713d9c415b4b0">
    <vt:lpwstr/>
  </property>
  <property fmtid="{D5CDD505-2E9C-101B-9397-08002B2CF9AE}" pid="48" name="j724204a644741eb9f777fcb03fe8840">
    <vt:lpwstr/>
  </property>
  <property fmtid="{D5CDD505-2E9C-101B-9397-08002B2CF9AE}" pid="49" name="d9a849fd1b8e46ada0321eb0681a10ee">
    <vt:lpwstr/>
  </property>
  <property fmtid="{D5CDD505-2E9C-101B-9397-08002B2CF9AE}" pid="50" name="b37d8d7e823543f58f89056343a9035c">
    <vt:lpwstr/>
  </property>
  <property fmtid="{D5CDD505-2E9C-101B-9397-08002B2CF9AE}" pid="51" name="RecordPoint_SubmissionDate">
    <vt:lpwstr/>
  </property>
  <property fmtid="{D5CDD505-2E9C-101B-9397-08002B2CF9AE}" pid="52" name="RecordPoint_ActiveItemMoved">
    <vt:lpwstr/>
  </property>
  <property fmtid="{D5CDD505-2E9C-101B-9397-08002B2CF9AE}" pid="53" name="RecordPoint_RecordFormat">
    <vt:lpwstr/>
  </property>
  <property fmtid="{D5CDD505-2E9C-101B-9397-08002B2CF9AE}" pid="54" name="PM_SecurityClassification_Prev">
    <vt:lpwstr>OFFICIAL</vt:lpwstr>
  </property>
  <property fmtid="{D5CDD505-2E9C-101B-9397-08002B2CF9AE}" pid="55" name="PM_Qualifier_Prev">
    <vt:lpwstr/>
  </property>
  <property fmtid="{D5CDD505-2E9C-101B-9397-08002B2CF9AE}" pid="56" name="PM_Note">
    <vt:lpwstr/>
  </property>
  <property fmtid="{D5CDD505-2E9C-101B-9397-08002B2CF9AE}" pid="57" name="PM_Markers">
    <vt:lpwstr/>
  </property>
  <property fmtid="{D5CDD505-2E9C-101B-9397-08002B2CF9AE}" pid="58" name="PM_Display">
    <vt:lpwstr>OFFICIAL</vt:lpwstr>
  </property>
  <property fmtid="{D5CDD505-2E9C-101B-9397-08002B2CF9AE}" pid="59" name="PMUuid">
    <vt:lpwstr>ABBFF5E2-9674-55C9-B08D-C9980002FD58</vt:lpwstr>
  </property>
  <property fmtid="{D5CDD505-2E9C-101B-9397-08002B2CF9AE}" pid="60" name="PMUuidVer">
    <vt:lpwstr>2022.1</vt:lpwstr>
  </property>
  <property fmtid="{D5CDD505-2E9C-101B-9397-08002B2CF9AE}" pid="61" name="PM_OriginatorUserAccountName_SHA256">
    <vt:lpwstr>6E3018F28A186D2E5FF5207C041E7A82E907C3008E071057026A53705873B72E</vt:lpwstr>
  </property>
  <property fmtid="{D5CDD505-2E9C-101B-9397-08002B2CF9AE}" pid="62" name="PM_OriginatorDomainName_SHA256">
    <vt:lpwstr>ECBDE2B44A971754412B3FB70606937A119CC0D4B6C1B658A40FBD41C30BE3EC</vt:lpwstr>
  </property>
  <property fmtid="{D5CDD505-2E9C-101B-9397-08002B2CF9AE}" pid="63" name="PM_MinimumSecurityClassification">
    <vt:lpwstr/>
  </property>
  <property fmtid="{D5CDD505-2E9C-101B-9397-08002B2CF9AE}" pid="64" name="MSIP_Label_c0129afb-6481-4f92-bc9f-5a4a6346364d_SetDate">
    <vt:lpwstr>2022-06-22T03:01:30Z</vt:lpwstr>
  </property>
  <property fmtid="{D5CDD505-2E9C-101B-9397-08002B2CF9AE}" pid="65" name="MSIP_Label_c0129afb-6481-4f92-bc9f-5a4a6346364d_Name">
    <vt:lpwstr>OFFICIAL</vt:lpwstr>
  </property>
  <property fmtid="{D5CDD505-2E9C-101B-9397-08002B2CF9AE}" pid="66" name="MSIP_Label_c0129afb-6481-4f92-bc9f-5a4a6346364d_SiteId">
    <vt:lpwstr>c05e3ffd-b491-4431-9809-e61d4dc78816</vt:lpwstr>
  </property>
  <property fmtid="{D5CDD505-2E9C-101B-9397-08002B2CF9AE}" pid="67" name="MSIP_Label_c0129afb-6481-4f92-bc9f-5a4a6346364d_Enabled">
    <vt:lpwstr>true</vt:lpwstr>
  </property>
</Properties>
</file>