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F89B4" w14:textId="479260DA" w:rsidR="00B06E21" w:rsidRPr="00BC1E70" w:rsidRDefault="00B06E21" w:rsidP="00B06E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E70">
        <w:rPr>
          <w:rFonts w:ascii="Times New Roman" w:hAnsi="Times New Roman" w:cs="Times New Roman"/>
          <w:b/>
          <w:sz w:val="24"/>
          <w:szCs w:val="24"/>
        </w:rPr>
        <w:t>Insurance (prudential standard) determination</w:t>
      </w:r>
      <w:r w:rsidR="00663820">
        <w:rPr>
          <w:rFonts w:ascii="Times New Roman" w:hAnsi="Times New Roman" w:cs="Times New Roman"/>
          <w:b/>
          <w:sz w:val="24"/>
          <w:szCs w:val="24"/>
        </w:rPr>
        <w:t>s</w:t>
      </w:r>
      <w:r w:rsidRPr="00BC1E70">
        <w:rPr>
          <w:rFonts w:ascii="Times New Roman" w:hAnsi="Times New Roman" w:cs="Times New Roman"/>
          <w:b/>
          <w:sz w:val="24"/>
          <w:szCs w:val="24"/>
        </w:rPr>
        <w:t xml:space="preserve"> Nos. </w:t>
      </w:r>
      <w:r w:rsidR="00073F77">
        <w:rPr>
          <w:rFonts w:ascii="Times New Roman" w:hAnsi="Times New Roman" w:cs="Times New Roman"/>
          <w:b/>
          <w:sz w:val="24"/>
          <w:szCs w:val="24"/>
        </w:rPr>
        <w:t xml:space="preserve">1 to 4 </w:t>
      </w:r>
      <w:r w:rsidRPr="00BC1E70">
        <w:rPr>
          <w:rFonts w:ascii="Times New Roman" w:hAnsi="Times New Roman" w:cs="Times New Roman"/>
          <w:b/>
          <w:sz w:val="24"/>
          <w:szCs w:val="24"/>
        </w:rPr>
        <w:t>of 2022</w:t>
      </w:r>
    </w:p>
    <w:p w14:paraId="35F2A8B7" w14:textId="77777777" w:rsidR="00B06E21" w:rsidRPr="00D5162F" w:rsidRDefault="00B06E21" w:rsidP="00B06E21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D5162F">
        <w:rPr>
          <w:rFonts w:ascii="Times New Roman" w:hAnsi="Times New Roman" w:cs="Times New Roman"/>
          <w:b/>
          <w:bCs/>
          <w:sz w:val="24"/>
          <w:szCs w:val="24"/>
          <w:u w:val="single"/>
        </w:rPr>
        <w:t>EXPLANATORY STATEMENT</w:t>
      </w:r>
    </w:p>
    <w:p w14:paraId="393F44A8" w14:textId="77777777" w:rsidR="00B06E21" w:rsidRPr="00D5162F" w:rsidRDefault="00B06E21" w:rsidP="00B06E21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D5162F">
        <w:rPr>
          <w:rFonts w:ascii="Times New Roman" w:hAnsi="Times New Roman" w:cs="Times New Roman"/>
          <w:b/>
          <w:bCs/>
          <w:sz w:val="24"/>
          <w:szCs w:val="24"/>
        </w:rPr>
        <w:t>Prepared by the Australian Prudential Regulation Authority (APRA)</w:t>
      </w:r>
    </w:p>
    <w:p w14:paraId="4B39A225" w14:textId="6CB2D7DB" w:rsidR="00B06E21" w:rsidRPr="00D5162F" w:rsidRDefault="00B06E21" w:rsidP="00B06E21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kExplanatory"/>
      <w:bookmarkStart w:id="1" w:name="bkAct"/>
      <w:bookmarkEnd w:id="0"/>
      <w:bookmarkEnd w:id="1"/>
      <w:r w:rsidRPr="00D5162F">
        <w:rPr>
          <w:rFonts w:ascii="Times New Roman" w:hAnsi="Times New Roman" w:cs="Times New Roman"/>
          <w:i/>
          <w:iCs/>
          <w:sz w:val="24"/>
          <w:szCs w:val="24"/>
        </w:rPr>
        <w:t>Insurance Act 1973</w:t>
      </w:r>
      <w:r w:rsidRPr="00D5162F">
        <w:rPr>
          <w:rFonts w:ascii="Times New Roman" w:hAnsi="Times New Roman" w:cs="Times New Roman"/>
          <w:sz w:val="24"/>
          <w:szCs w:val="24"/>
        </w:rPr>
        <w:t>, section 32</w:t>
      </w:r>
    </w:p>
    <w:p w14:paraId="3A78E62F" w14:textId="011F48EB" w:rsidR="00B06E21" w:rsidRPr="00FC071B" w:rsidRDefault="00B06E21" w:rsidP="00BC1E70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615C7">
        <w:rPr>
          <w:rFonts w:ascii="Times New Roman" w:hAnsi="Times New Roman" w:cs="Times New Roman"/>
          <w:sz w:val="24"/>
          <w:szCs w:val="24"/>
        </w:rPr>
        <w:t xml:space="preserve">APRA may, in writing, determine, </w:t>
      </w:r>
      <w:proofErr w:type="gramStart"/>
      <w:r w:rsidRPr="00D615C7">
        <w:rPr>
          <w:rFonts w:ascii="Times New Roman" w:hAnsi="Times New Roman" w:cs="Times New Roman"/>
          <w:sz w:val="24"/>
          <w:szCs w:val="24"/>
        </w:rPr>
        <w:t>vary</w:t>
      </w:r>
      <w:proofErr w:type="gramEnd"/>
      <w:r w:rsidRPr="00D615C7">
        <w:rPr>
          <w:rFonts w:ascii="Times New Roman" w:hAnsi="Times New Roman" w:cs="Times New Roman"/>
          <w:sz w:val="24"/>
          <w:szCs w:val="24"/>
        </w:rPr>
        <w:t xml:space="preserve"> or revoke a prudential standard that applies to an APRA-regulated institution under subsections 32(</w:t>
      </w:r>
      <w:r w:rsidRPr="005921A3">
        <w:rPr>
          <w:rFonts w:ascii="Times New Roman" w:hAnsi="Times New Roman" w:cs="Times New Roman"/>
          <w:sz w:val="24"/>
          <w:szCs w:val="24"/>
        </w:rPr>
        <w:t xml:space="preserve">1) and (4) of the </w:t>
      </w:r>
      <w:r w:rsidRPr="005921A3">
        <w:rPr>
          <w:rFonts w:ascii="Times New Roman" w:hAnsi="Times New Roman" w:cs="Times New Roman"/>
          <w:i/>
          <w:iCs/>
          <w:sz w:val="24"/>
          <w:szCs w:val="24"/>
        </w:rPr>
        <w:t>Insurance Act 1973</w:t>
      </w:r>
      <w:r w:rsidRPr="005921A3">
        <w:rPr>
          <w:rFonts w:ascii="Times New Roman" w:hAnsi="Times New Roman" w:cs="Times New Roman"/>
          <w:sz w:val="24"/>
          <w:szCs w:val="24"/>
        </w:rPr>
        <w:t xml:space="preserve"> (the Act), in relation to general insurers, authorised non-operating holding companies (authorised insurance NOHCs), and subsidiaries of general insurers and authorised insurance NOHCs</w:t>
      </w:r>
      <w:r w:rsidR="00670B59" w:rsidRPr="00FC071B">
        <w:rPr>
          <w:rFonts w:ascii="Times New Roman" w:hAnsi="Times New Roman" w:cs="Times New Roman"/>
          <w:sz w:val="24"/>
          <w:szCs w:val="24"/>
        </w:rPr>
        <w:t>.</w:t>
      </w:r>
      <w:r w:rsidRPr="00FC07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5D9939" w14:textId="3E4156E0" w:rsidR="00211AFD" w:rsidRPr="00BC1E70" w:rsidRDefault="00211AFD" w:rsidP="00211AFD">
      <w:pPr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BC1E70">
        <w:rPr>
          <w:rFonts w:ascii="Times New Roman" w:hAnsi="Times New Roman" w:cs="Times New Roman"/>
          <w:sz w:val="24"/>
          <w:szCs w:val="24"/>
        </w:rPr>
        <w:t>On</w:t>
      </w:r>
      <w:r w:rsidR="00F41BD7">
        <w:rPr>
          <w:rFonts w:ascii="Times New Roman" w:hAnsi="Times New Roman" w:cs="Times New Roman"/>
          <w:sz w:val="24"/>
          <w:szCs w:val="24"/>
        </w:rPr>
        <w:t xml:space="preserve"> 22 June</w:t>
      </w:r>
      <w:r w:rsidR="00B06E21" w:rsidRPr="00BC1E70">
        <w:rPr>
          <w:rFonts w:ascii="Times New Roman" w:hAnsi="Times New Roman" w:cs="Times New Roman"/>
          <w:sz w:val="24"/>
          <w:szCs w:val="24"/>
        </w:rPr>
        <w:t xml:space="preserve"> 2022</w:t>
      </w:r>
      <w:r w:rsidRPr="00BC1E70">
        <w:rPr>
          <w:rFonts w:ascii="Times New Roman" w:hAnsi="Times New Roman" w:cs="Times New Roman"/>
          <w:sz w:val="24"/>
          <w:szCs w:val="24"/>
        </w:rPr>
        <w:t>, APRA made the following determinations (the Instruments):</w:t>
      </w:r>
    </w:p>
    <w:p w14:paraId="6DCBE829" w14:textId="253E1E20" w:rsidR="00211AFD" w:rsidRPr="00BC1E70" w:rsidRDefault="00211AFD" w:rsidP="00BC1E70">
      <w:pPr>
        <w:pStyle w:val="ListParagraph"/>
        <w:numPr>
          <w:ilvl w:val="0"/>
          <w:numId w:val="12"/>
        </w:numPr>
        <w:tabs>
          <w:tab w:val="clear" w:pos="425"/>
          <w:tab w:val="clear" w:pos="851"/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BC1E70">
        <w:rPr>
          <w:rFonts w:ascii="Times New Roman" w:hAnsi="Times New Roman" w:cs="Times New Roman"/>
          <w:sz w:val="24"/>
          <w:szCs w:val="24"/>
        </w:rPr>
        <w:t xml:space="preserve">Insurance (prudential standard) determination No. </w:t>
      </w:r>
      <w:r w:rsidR="00FE0985">
        <w:rPr>
          <w:rFonts w:ascii="Times New Roman" w:hAnsi="Times New Roman" w:cs="Times New Roman"/>
          <w:sz w:val="24"/>
          <w:szCs w:val="24"/>
        </w:rPr>
        <w:t>1</w:t>
      </w:r>
      <w:r w:rsidRPr="00BC1E70">
        <w:rPr>
          <w:rFonts w:ascii="Times New Roman" w:hAnsi="Times New Roman" w:cs="Times New Roman"/>
          <w:sz w:val="24"/>
          <w:szCs w:val="24"/>
        </w:rPr>
        <w:t xml:space="preserve"> of 2022 which </w:t>
      </w:r>
      <w:r w:rsidRPr="00BC1E70">
        <w:rPr>
          <w:rFonts w:ascii="Times New Roman" w:hAnsi="Times New Roman" w:cs="Times New Roman"/>
          <w:sz w:val="24"/>
          <w:szCs w:val="24"/>
          <w:shd w:val="clear" w:color="auto" w:fill="FFFFFF"/>
        </w:rPr>
        <w:t>revokes</w:t>
      </w:r>
      <w:r w:rsidR="00010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C1E70">
        <w:rPr>
          <w:rFonts w:ascii="Times New Roman" w:hAnsi="Times New Roman" w:cs="Times New Roman"/>
          <w:i/>
          <w:iCs/>
          <w:sz w:val="24"/>
          <w:szCs w:val="24"/>
        </w:rPr>
        <w:t>Prudential Standard</w:t>
      </w:r>
      <w:r w:rsidR="000107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C1E70">
        <w:rPr>
          <w:rFonts w:ascii="Times New Roman" w:hAnsi="Times New Roman" w:cs="Times New Roman"/>
          <w:i/>
          <w:iCs/>
          <w:sz w:val="24"/>
          <w:szCs w:val="24"/>
        </w:rPr>
        <w:t xml:space="preserve">GPS 001 Definitions </w:t>
      </w:r>
      <w:r w:rsidRPr="00BC1E70">
        <w:rPr>
          <w:rFonts w:ascii="Times New Roman" w:hAnsi="Times New Roman" w:cs="Times New Roman"/>
          <w:sz w:val="24"/>
          <w:szCs w:val="24"/>
        </w:rPr>
        <w:t>made under Insurance determination No. 2 of 2018 and determines a</w:t>
      </w:r>
      <w:r w:rsidR="00010789">
        <w:rPr>
          <w:rFonts w:ascii="Times New Roman" w:hAnsi="Times New Roman" w:cs="Times New Roman"/>
          <w:sz w:val="24"/>
          <w:szCs w:val="24"/>
        </w:rPr>
        <w:t xml:space="preserve"> </w:t>
      </w:r>
      <w:r w:rsidRPr="00BC1E70">
        <w:rPr>
          <w:rFonts w:ascii="Times New Roman" w:hAnsi="Times New Roman" w:cs="Times New Roman"/>
          <w:sz w:val="24"/>
          <w:szCs w:val="24"/>
          <w:shd w:val="clear" w:color="auto" w:fill="FFFFFF"/>
        </w:rPr>
        <w:t>new</w:t>
      </w:r>
      <w:r w:rsidR="00010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C1E70">
        <w:rPr>
          <w:rFonts w:ascii="Times New Roman" w:hAnsi="Times New Roman" w:cs="Times New Roman"/>
          <w:i/>
          <w:iCs/>
          <w:sz w:val="24"/>
          <w:szCs w:val="24"/>
        </w:rPr>
        <w:t xml:space="preserve">Prudential Standard GPS 001 </w:t>
      </w:r>
      <w:proofErr w:type="gramStart"/>
      <w:r w:rsidRPr="00BC1E70">
        <w:rPr>
          <w:rFonts w:ascii="Times New Roman" w:hAnsi="Times New Roman" w:cs="Times New Roman"/>
          <w:i/>
          <w:iCs/>
          <w:sz w:val="24"/>
          <w:szCs w:val="24"/>
        </w:rPr>
        <w:t>Definitions</w:t>
      </w:r>
      <w:r w:rsidRPr="00BC1E7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2965F89" w14:textId="77777777" w:rsidR="00211AFD" w:rsidRPr="00BC1E70" w:rsidRDefault="00211AFD" w:rsidP="00BC1E70">
      <w:pPr>
        <w:pStyle w:val="ListParagraph"/>
        <w:tabs>
          <w:tab w:val="clear" w:pos="425"/>
          <w:tab w:val="clear" w:pos="851"/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1DDBE150" w14:textId="0A10EFFE" w:rsidR="00211AFD" w:rsidRPr="00BC1E70" w:rsidRDefault="00211AFD" w:rsidP="00BC1E70">
      <w:pPr>
        <w:pStyle w:val="ListParagraph"/>
        <w:numPr>
          <w:ilvl w:val="0"/>
          <w:numId w:val="12"/>
        </w:numPr>
        <w:tabs>
          <w:tab w:val="clear" w:pos="425"/>
          <w:tab w:val="clear" w:pos="851"/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BC1E70">
        <w:rPr>
          <w:rFonts w:ascii="Times New Roman" w:hAnsi="Times New Roman" w:cs="Times New Roman"/>
          <w:sz w:val="24"/>
          <w:szCs w:val="24"/>
        </w:rPr>
        <w:t>Insurance (prudential standard) determination No.</w:t>
      </w:r>
      <w:r w:rsidR="00FE0985">
        <w:rPr>
          <w:rFonts w:ascii="Times New Roman" w:hAnsi="Times New Roman" w:cs="Times New Roman"/>
          <w:sz w:val="24"/>
          <w:szCs w:val="24"/>
        </w:rPr>
        <w:t>2</w:t>
      </w:r>
      <w:r w:rsidRPr="00BC1E70">
        <w:rPr>
          <w:rFonts w:ascii="Times New Roman" w:hAnsi="Times New Roman" w:cs="Times New Roman"/>
          <w:sz w:val="24"/>
          <w:szCs w:val="24"/>
        </w:rPr>
        <w:t xml:space="preserve"> of 2022 which</w:t>
      </w:r>
      <w:r w:rsidR="00010789">
        <w:rPr>
          <w:rFonts w:ascii="Times New Roman" w:hAnsi="Times New Roman" w:cs="Times New Roman"/>
          <w:sz w:val="24"/>
          <w:szCs w:val="24"/>
        </w:rPr>
        <w:t xml:space="preserve"> </w:t>
      </w:r>
      <w:r w:rsidRPr="00BC1E70">
        <w:rPr>
          <w:rFonts w:ascii="Times New Roman" w:hAnsi="Times New Roman" w:cs="Times New Roman"/>
          <w:sz w:val="24"/>
          <w:szCs w:val="24"/>
          <w:shd w:val="clear" w:color="auto" w:fill="FFFFFF"/>
        </w:rPr>
        <w:t>revokes</w:t>
      </w:r>
      <w:r w:rsidR="00010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C1E70">
        <w:rPr>
          <w:rFonts w:ascii="Times New Roman" w:hAnsi="Times New Roman" w:cs="Times New Roman"/>
          <w:i/>
          <w:iCs/>
          <w:sz w:val="24"/>
          <w:szCs w:val="24"/>
        </w:rPr>
        <w:t>Prudential Standard</w:t>
      </w:r>
      <w:r w:rsidR="000107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C1E70">
        <w:rPr>
          <w:rFonts w:ascii="Times New Roman" w:hAnsi="Times New Roman" w:cs="Times New Roman"/>
          <w:i/>
          <w:iCs/>
          <w:sz w:val="24"/>
          <w:szCs w:val="24"/>
        </w:rPr>
        <w:t xml:space="preserve">GPS 114 Capital Adequacy: Asset Risk Charge </w:t>
      </w:r>
      <w:r w:rsidRPr="00BC1E70">
        <w:rPr>
          <w:rFonts w:ascii="Times New Roman" w:hAnsi="Times New Roman" w:cs="Times New Roman"/>
          <w:sz w:val="24"/>
          <w:szCs w:val="24"/>
        </w:rPr>
        <w:t>made under Insurance determination No. 4 of 2019 and determines a</w:t>
      </w:r>
      <w:r w:rsidR="00010789">
        <w:rPr>
          <w:rFonts w:ascii="Times New Roman" w:hAnsi="Times New Roman" w:cs="Times New Roman"/>
          <w:sz w:val="24"/>
          <w:szCs w:val="24"/>
        </w:rPr>
        <w:t xml:space="preserve"> </w:t>
      </w:r>
      <w:r w:rsidRPr="00BC1E70">
        <w:rPr>
          <w:rFonts w:ascii="Times New Roman" w:hAnsi="Times New Roman" w:cs="Times New Roman"/>
          <w:sz w:val="24"/>
          <w:szCs w:val="24"/>
          <w:shd w:val="clear" w:color="auto" w:fill="FFFFFF"/>
        </w:rPr>
        <w:t>new</w:t>
      </w:r>
      <w:r w:rsidR="00010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C1E70">
        <w:rPr>
          <w:rFonts w:ascii="Times New Roman" w:hAnsi="Times New Roman" w:cs="Times New Roman"/>
          <w:i/>
          <w:iCs/>
          <w:sz w:val="24"/>
          <w:szCs w:val="24"/>
        </w:rPr>
        <w:t xml:space="preserve">Prudential Standard GPS 114 Capital Adequacy: Asset Risk </w:t>
      </w:r>
      <w:proofErr w:type="gramStart"/>
      <w:r w:rsidRPr="00BC1E70">
        <w:rPr>
          <w:rFonts w:ascii="Times New Roman" w:hAnsi="Times New Roman" w:cs="Times New Roman"/>
          <w:i/>
          <w:iCs/>
          <w:sz w:val="24"/>
          <w:szCs w:val="24"/>
        </w:rPr>
        <w:t>Charge</w:t>
      </w:r>
      <w:r w:rsidRPr="00BC1E7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175F8C09" w14:textId="77777777" w:rsidR="00211AFD" w:rsidRPr="00BC1E70" w:rsidRDefault="00211AFD" w:rsidP="00BC1E70">
      <w:pPr>
        <w:pStyle w:val="ListParagraph"/>
        <w:tabs>
          <w:tab w:val="clear" w:pos="425"/>
          <w:tab w:val="clear" w:pos="851"/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478C042B" w14:textId="5D376D11" w:rsidR="00211AFD" w:rsidRPr="00BC1E70" w:rsidRDefault="00211AFD" w:rsidP="00BC1E70">
      <w:pPr>
        <w:pStyle w:val="ListParagraph"/>
        <w:numPr>
          <w:ilvl w:val="0"/>
          <w:numId w:val="12"/>
        </w:numPr>
        <w:tabs>
          <w:tab w:val="clear" w:pos="425"/>
          <w:tab w:val="clear" w:pos="851"/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BC1E70">
        <w:rPr>
          <w:rFonts w:ascii="Times New Roman" w:hAnsi="Times New Roman" w:cs="Times New Roman"/>
          <w:sz w:val="24"/>
          <w:szCs w:val="24"/>
        </w:rPr>
        <w:t xml:space="preserve">Insurance (prudential standard) determination No. </w:t>
      </w:r>
      <w:r w:rsidR="00FE0985">
        <w:rPr>
          <w:rFonts w:ascii="Times New Roman" w:hAnsi="Times New Roman" w:cs="Times New Roman"/>
          <w:sz w:val="24"/>
          <w:szCs w:val="24"/>
        </w:rPr>
        <w:t>3</w:t>
      </w:r>
      <w:r w:rsidRPr="00BC1E70">
        <w:rPr>
          <w:rFonts w:ascii="Times New Roman" w:hAnsi="Times New Roman" w:cs="Times New Roman"/>
          <w:sz w:val="24"/>
          <w:szCs w:val="24"/>
        </w:rPr>
        <w:t xml:space="preserve"> of 2022 which</w:t>
      </w:r>
      <w:r w:rsidR="00010789">
        <w:rPr>
          <w:rFonts w:ascii="Times New Roman" w:hAnsi="Times New Roman" w:cs="Times New Roman"/>
          <w:sz w:val="24"/>
          <w:szCs w:val="24"/>
        </w:rPr>
        <w:t xml:space="preserve"> </w:t>
      </w:r>
      <w:r w:rsidRPr="00BC1E70">
        <w:rPr>
          <w:rFonts w:ascii="Times New Roman" w:hAnsi="Times New Roman" w:cs="Times New Roman"/>
          <w:sz w:val="24"/>
          <w:szCs w:val="24"/>
          <w:shd w:val="clear" w:color="auto" w:fill="FFFFFF"/>
        </w:rPr>
        <w:t>revokes</w:t>
      </w:r>
      <w:r w:rsidR="00010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C1E70">
        <w:rPr>
          <w:rFonts w:ascii="Times New Roman" w:hAnsi="Times New Roman" w:cs="Times New Roman"/>
          <w:i/>
          <w:iCs/>
          <w:sz w:val="24"/>
          <w:szCs w:val="24"/>
        </w:rPr>
        <w:t>Prudential Standard</w:t>
      </w:r>
      <w:r w:rsidR="00FE09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C1E70">
        <w:rPr>
          <w:rFonts w:ascii="Times New Roman" w:hAnsi="Times New Roman" w:cs="Times New Roman"/>
          <w:i/>
          <w:iCs/>
          <w:sz w:val="24"/>
          <w:szCs w:val="24"/>
        </w:rPr>
        <w:t>GPS 116 Capital Adequacy: Insurance Concentration Risk Charge</w:t>
      </w:r>
      <w:r w:rsidR="000107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C1E70">
        <w:rPr>
          <w:rFonts w:ascii="Times New Roman" w:hAnsi="Times New Roman" w:cs="Times New Roman"/>
          <w:sz w:val="24"/>
          <w:szCs w:val="24"/>
        </w:rPr>
        <w:t>made under Insurance determination No. 13 of 2019 and determines a</w:t>
      </w:r>
      <w:r w:rsidR="00010789">
        <w:rPr>
          <w:rFonts w:ascii="Times New Roman" w:hAnsi="Times New Roman" w:cs="Times New Roman"/>
          <w:sz w:val="24"/>
          <w:szCs w:val="24"/>
        </w:rPr>
        <w:t xml:space="preserve"> </w:t>
      </w:r>
      <w:r w:rsidRPr="00BC1E70">
        <w:rPr>
          <w:rFonts w:ascii="Times New Roman" w:hAnsi="Times New Roman" w:cs="Times New Roman"/>
          <w:sz w:val="24"/>
          <w:szCs w:val="24"/>
          <w:shd w:val="clear" w:color="auto" w:fill="FFFFFF"/>
        </w:rPr>
        <w:t>new</w:t>
      </w:r>
      <w:r w:rsidR="00010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C1E70">
        <w:rPr>
          <w:rFonts w:ascii="Times New Roman" w:hAnsi="Times New Roman" w:cs="Times New Roman"/>
          <w:i/>
          <w:iCs/>
          <w:sz w:val="24"/>
          <w:szCs w:val="24"/>
        </w:rPr>
        <w:t>Prudential Standard GPS 116: Capital Adequacy: Insurance Concentration Risk Charge</w:t>
      </w:r>
      <w:r w:rsidRPr="00BC1E70">
        <w:rPr>
          <w:rFonts w:ascii="Times New Roman" w:hAnsi="Times New Roman" w:cs="Times New Roman"/>
          <w:sz w:val="24"/>
          <w:szCs w:val="24"/>
        </w:rPr>
        <w:t>; and</w:t>
      </w:r>
    </w:p>
    <w:p w14:paraId="6188C9B9" w14:textId="77777777" w:rsidR="00211AFD" w:rsidRPr="00BC1E70" w:rsidRDefault="00211AFD" w:rsidP="00BC1E70">
      <w:pPr>
        <w:pStyle w:val="ListParagraph"/>
        <w:tabs>
          <w:tab w:val="clear" w:pos="425"/>
          <w:tab w:val="clear" w:pos="851"/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57AFB1D2" w14:textId="40677D1C" w:rsidR="00211AFD" w:rsidRPr="00BC1E70" w:rsidRDefault="00211AFD" w:rsidP="00BC1E70">
      <w:pPr>
        <w:pStyle w:val="ListParagraph"/>
        <w:numPr>
          <w:ilvl w:val="0"/>
          <w:numId w:val="12"/>
        </w:numPr>
        <w:tabs>
          <w:tab w:val="clear" w:pos="425"/>
          <w:tab w:val="clear" w:pos="851"/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BC1E70">
        <w:rPr>
          <w:rFonts w:ascii="Times New Roman" w:hAnsi="Times New Roman" w:cs="Times New Roman"/>
          <w:sz w:val="24"/>
          <w:szCs w:val="24"/>
        </w:rPr>
        <w:t xml:space="preserve">Insurance (prudential standard) determination No. </w:t>
      </w:r>
      <w:r w:rsidR="00FE0985">
        <w:rPr>
          <w:rFonts w:ascii="Times New Roman" w:hAnsi="Times New Roman" w:cs="Times New Roman"/>
          <w:sz w:val="24"/>
          <w:szCs w:val="24"/>
        </w:rPr>
        <w:t>4</w:t>
      </w:r>
      <w:r w:rsidRPr="00BC1E70">
        <w:rPr>
          <w:rFonts w:ascii="Times New Roman" w:hAnsi="Times New Roman" w:cs="Times New Roman"/>
          <w:sz w:val="24"/>
          <w:szCs w:val="24"/>
        </w:rPr>
        <w:t xml:space="preserve"> of 2022 which </w:t>
      </w:r>
      <w:r w:rsidRPr="00BC1E70">
        <w:rPr>
          <w:rFonts w:ascii="Times New Roman" w:hAnsi="Times New Roman" w:cs="Times New Roman"/>
          <w:sz w:val="24"/>
          <w:szCs w:val="24"/>
          <w:shd w:val="clear" w:color="auto" w:fill="FFFFFF"/>
        </w:rPr>
        <w:t>revokes</w:t>
      </w:r>
      <w:r w:rsidR="00010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C1E70">
        <w:rPr>
          <w:rFonts w:ascii="Times New Roman" w:hAnsi="Times New Roman" w:cs="Times New Roman"/>
          <w:i/>
          <w:iCs/>
          <w:sz w:val="24"/>
          <w:szCs w:val="24"/>
        </w:rPr>
        <w:t>Prudential Standard</w:t>
      </w:r>
      <w:r w:rsidR="000107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C1E70">
        <w:rPr>
          <w:rFonts w:ascii="Times New Roman" w:hAnsi="Times New Roman" w:cs="Times New Roman"/>
          <w:i/>
          <w:iCs/>
          <w:sz w:val="24"/>
          <w:szCs w:val="24"/>
        </w:rPr>
        <w:t>GPS 117 Capital Adequacy: Asset Concentration Risk Charge</w:t>
      </w:r>
      <w:r w:rsidR="000107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C1E70">
        <w:rPr>
          <w:rFonts w:ascii="Times New Roman" w:hAnsi="Times New Roman" w:cs="Times New Roman"/>
          <w:sz w:val="24"/>
          <w:szCs w:val="24"/>
        </w:rPr>
        <w:t>made under Insurance determination No. 2 of 2017 and determines a</w:t>
      </w:r>
      <w:r w:rsidR="00010789">
        <w:rPr>
          <w:rFonts w:ascii="Times New Roman" w:hAnsi="Times New Roman" w:cs="Times New Roman"/>
          <w:sz w:val="24"/>
          <w:szCs w:val="24"/>
        </w:rPr>
        <w:t xml:space="preserve"> </w:t>
      </w:r>
      <w:r w:rsidRPr="00BC1E70">
        <w:rPr>
          <w:rFonts w:ascii="Times New Roman" w:hAnsi="Times New Roman" w:cs="Times New Roman"/>
          <w:sz w:val="24"/>
          <w:szCs w:val="24"/>
          <w:shd w:val="clear" w:color="auto" w:fill="FFFFFF"/>
        </w:rPr>
        <w:t>new</w:t>
      </w:r>
      <w:r w:rsidR="00010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C1E70">
        <w:rPr>
          <w:rFonts w:ascii="Times New Roman" w:hAnsi="Times New Roman" w:cs="Times New Roman"/>
          <w:i/>
          <w:iCs/>
          <w:sz w:val="24"/>
          <w:szCs w:val="24"/>
        </w:rPr>
        <w:t>Prudential Standard GPS 117 Capital Adequacy: Asset Concentration Risk Charge</w:t>
      </w:r>
      <w:r w:rsidRPr="00BC1E70">
        <w:rPr>
          <w:rFonts w:ascii="Times New Roman" w:hAnsi="Times New Roman" w:cs="Times New Roman"/>
          <w:sz w:val="24"/>
          <w:szCs w:val="24"/>
        </w:rPr>
        <w:t>.</w:t>
      </w:r>
    </w:p>
    <w:p w14:paraId="2D8614AF" w14:textId="32601379" w:rsidR="00211AFD" w:rsidRPr="00BC1E70" w:rsidRDefault="00211AFD" w:rsidP="00211AFD">
      <w:pPr>
        <w:rPr>
          <w:rFonts w:ascii="Times New Roman" w:hAnsi="Times New Roman" w:cs="Times New Roman"/>
          <w:sz w:val="24"/>
          <w:szCs w:val="24"/>
        </w:rPr>
      </w:pPr>
      <w:r w:rsidRPr="00BC1E70">
        <w:rPr>
          <w:rFonts w:ascii="Times New Roman" w:hAnsi="Times New Roman" w:cs="Times New Roman"/>
          <w:sz w:val="24"/>
          <w:szCs w:val="24"/>
        </w:rPr>
        <w:t xml:space="preserve">These </w:t>
      </w:r>
      <w:r w:rsidR="00EC67E3" w:rsidRPr="00BC1E70">
        <w:rPr>
          <w:rFonts w:ascii="Times New Roman" w:hAnsi="Times New Roman" w:cs="Times New Roman"/>
          <w:sz w:val="24"/>
          <w:szCs w:val="24"/>
        </w:rPr>
        <w:t>I</w:t>
      </w:r>
      <w:r w:rsidRPr="00BC1E70">
        <w:rPr>
          <w:rFonts w:ascii="Times New Roman" w:hAnsi="Times New Roman" w:cs="Times New Roman"/>
          <w:sz w:val="24"/>
          <w:szCs w:val="24"/>
        </w:rPr>
        <w:t xml:space="preserve">nstruments commence on </w:t>
      </w:r>
      <w:r w:rsidR="00543472" w:rsidRPr="00E22FD8">
        <w:rPr>
          <w:rFonts w:ascii="Times New Roman" w:hAnsi="Times New Roman" w:cs="Times New Roman"/>
          <w:sz w:val="24"/>
          <w:szCs w:val="24"/>
        </w:rPr>
        <w:t>1</w:t>
      </w:r>
      <w:r w:rsidRPr="00E22FD8">
        <w:rPr>
          <w:rFonts w:ascii="Times New Roman" w:hAnsi="Times New Roman" w:cs="Times New Roman"/>
          <w:sz w:val="24"/>
          <w:szCs w:val="24"/>
        </w:rPr>
        <w:t xml:space="preserve"> July 2022.</w:t>
      </w:r>
    </w:p>
    <w:p w14:paraId="44D216EA" w14:textId="77777777" w:rsidR="00B670E9" w:rsidRPr="00BC1E70" w:rsidRDefault="00B670E9" w:rsidP="00211AFD">
      <w:pPr>
        <w:numPr>
          <w:ilvl w:val="0"/>
          <w:numId w:val="0"/>
        </w:numPr>
        <w:rPr>
          <w:rFonts w:ascii="Times New Roman" w:hAnsi="Times New Roman" w:cs="Times New Roman"/>
          <w:b/>
          <w:sz w:val="24"/>
          <w:szCs w:val="24"/>
        </w:rPr>
      </w:pPr>
      <w:r w:rsidRPr="00BC1E70">
        <w:rPr>
          <w:rFonts w:ascii="Times New Roman" w:hAnsi="Times New Roman" w:cs="Times New Roman"/>
          <w:b/>
          <w:sz w:val="24"/>
          <w:szCs w:val="24"/>
        </w:rPr>
        <w:t>1.</w:t>
      </w:r>
      <w:r w:rsidRPr="00BC1E70">
        <w:rPr>
          <w:rFonts w:ascii="Times New Roman" w:hAnsi="Times New Roman" w:cs="Times New Roman"/>
          <w:b/>
          <w:sz w:val="24"/>
          <w:szCs w:val="24"/>
        </w:rPr>
        <w:tab/>
      </w:r>
      <w:r w:rsidR="00211AFD" w:rsidRPr="00BC1E70">
        <w:rPr>
          <w:rFonts w:ascii="Times New Roman" w:hAnsi="Times New Roman" w:cs="Times New Roman"/>
          <w:b/>
          <w:sz w:val="24"/>
          <w:szCs w:val="24"/>
        </w:rPr>
        <w:t>Background</w:t>
      </w:r>
    </w:p>
    <w:p w14:paraId="6C7DAB6D" w14:textId="05802F3A" w:rsidR="00211AFD" w:rsidRPr="00BC1E70" w:rsidRDefault="00211AFD" w:rsidP="00211AFD">
      <w:pPr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BC1E70">
        <w:rPr>
          <w:rFonts w:ascii="Times New Roman" w:hAnsi="Times New Roman" w:cs="Times New Roman"/>
          <w:sz w:val="24"/>
          <w:szCs w:val="24"/>
        </w:rPr>
        <w:t>On</w:t>
      </w:r>
      <w:r w:rsidR="00F41BD7">
        <w:rPr>
          <w:rFonts w:ascii="Times New Roman" w:hAnsi="Times New Roman" w:cs="Times New Roman"/>
          <w:sz w:val="24"/>
          <w:szCs w:val="24"/>
        </w:rPr>
        <w:t xml:space="preserve"> 22 June</w:t>
      </w:r>
      <w:r w:rsidR="00EC67E3" w:rsidRPr="00BC1E70">
        <w:rPr>
          <w:rFonts w:ascii="Times New Roman" w:hAnsi="Times New Roman" w:cs="Times New Roman"/>
          <w:sz w:val="24"/>
          <w:szCs w:val="24"/>
        </w:rPr>
        <w:t xml:space="preserve"> 2022</w:t>
      </w:r>
      <w:r w:rsidRPr="00BC1E70">
        <w:rPr>
          <w:rFonts w:ascii="Times New Roman" w:hAnsi="Times New Roman" w:cs="Times New Roman"/>
          <w:sz w:val="24"/>
          <w:szCs w:val="24"/>
        </w:rPr>
        <w:t xml:space="preserve">, APRA determined four general insurance prudential standards </w:t>
      </w:r>
      <w:r w:rsidR="003A4D41" w:rsidRPr="00BC1E70">
        <w:rPr>
          <w:rFonts w:ascii="Times New Roman" w:hAnsi="Times New Roman" w:cs="Times New Roman"/>
          <w:sz w:val="24"/>
          <w:szCs w:val="24"/>
        </w:rPr>
        <w:t xml:space="preserve">incorporating </w:t>
      </w:r>
      <w:r w:rsidRPr="00BC1E70">
        <w:rPr>
          <w:rFonts w:ascii="Times New Roman" w:hAnsi="Times New Roman" w:cs="Times New Roman"/>
          <w:sz w:val="24"/>
          <w:szCs w:val="24"/>
        </w:rPr>
        <w:t xml:space="preserve">consequential amendments to the prudential framework to support the operation of the </w:t>
      </w:r>
      <w:r w:rsidR="00AD72D9" w:rsidRPr="00BC1E70">
        <w:rPr>
          <w:rFonts w:ascii="Times New Roman" w:hAnsi="Times New Roman" w:cs="Times New Roman"/>
          <w:sz w:val="24"/>
          <w:szCs w:val="24"/>
        </w:rPr>
        <w:t xml:space="preserve">Australian </w:t>
      </w:r>
      <w:r w:rsidRPr="00BC1E70">
        <w:rPr>
          <w:rFonts w:ascii="Times New Roman" w:hAnsi="Times New Roman" w:cs="Times New Roman"/>
          <w:sz w:val="24"/>
          <w:szCs w:val="24"/>
        </w:rPr>
        <w:t xml:space="preserve">Government’s cyclone </w:t>
      </w:r>
      <w:r w:rsidR="0077507F">
        <w:rPr>
          <w:rFonts w:ascii="Times New Roman" w:hAnsi="Times New Roman" w:cs="Times New Roman"/>
          <w:sz w:val="24"/>
          <w:szCs w:val="24"/>
        </w:rPr>
        <w:t xml:space="preserve">and related flood damage </w:t>
      </w:r>
      <w:r w:rsidRPr="00BC1E70">
        <w:rPr>
          <w:rFonts w:ascii="Times New Roman" w:hAnsi="Times New Roman" w:cs="Times New Roman"/>
          <w:sz w:val="24"/>
          <w:szCs w:val="24"/>
        </w:rPr>
        <w:t xml:space="preserve">reinsurance pool. </w:t>
      </w:r>
      <w:r w:rsidR="007E1D1C" w:rsidRPr="00BC1E70">
        <w:rPr>
          <w:rFonts w:ascii="Times New Roman" w:hAnsi="Times New Roman" w:cs="Times New Roman"/>
          <w:sz w:val="24"/>
          <w:szCs w:val="24"/>
        </w:rPr>
        <w:t xml:space="preserve">The amendments clarify that </w:t>
      </w:r>
      <w:r w:rsidR="00222497" w:rsidRPr="00BC1E70">
        <w:rPr>
          <w:rFonts w:ascii="Times New Roman" w:hAnsi="Times New Roman" w:cs="Times New Roman"/>
          <w:sz w:val="24"/>
          <w:szCs w:val="24"/>
        </w:rPr>
        <w:t>reinsurance provided by the Australian Reinsurance Pool Corporation</w:t>
      </w:r>
      <w:r w:rsidR="00AD72D9" w:rsidRPr="00BC1E70">
        <w:rPr>
          <w:rFonts w:ascii="Times New Roman" w:hAnsi="Times New Roman" w:cs="Times New Roman"/>
          <w:sz w:val="24"/>
          <w:szCs w:val="24"/>
        </w:rPr>
        <w:t xml:space="preserve"> (ARPC)</w:t>
      </w:r>
      <w:r w:rsidR="00222497" w:rsidRPr="00BC1E70">
        <w:rPr>
          <w:rFonts w:ascii="Times New Roman" w:hAnsi="Times New Roman" w:cs="Times New Roman"/>
          <w:sz w:val="24"/>
          <w:szCs w:val="24"/>
        </w:rPr>
        <w:t xml:space="preserve"> are not subject to a capital charge in recognition of the Australian Government guarantee</w:t>
      </w:r>
      <w:r w:rsidR="00CB2E3D" w:rsidRPr="00BC1E70">
        <w:rPr>
          <w:rFonts w:ascii="Times New Roman" w:hAnsi="Times New Roman" w:cs="Times New Roman"/>
          <w:sz w:val="24"/>
          <w:szCs w:val="24"/>
        </w:rPr>
        <w:t xml:space="preserve"> that supports the reinsurance pool</w:t>
      </w:r>
      <w:r w:rsidR="00222497" w:rsidRPr="00BC1E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266FEE" w14:textId="2AD7CAD2" w:rsidR="00211AFD" w:rsidRPr="00BC1E70" w:rsidRDefault="00211AFD" w:rsidP="00211AFD">
      <w:pPr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BC1E70">
        <w:rPr>
          <w:rFonts w:ascii="Times New Roman" w:hAnsi="Times New Roman" w:cs="Times New Roman"/>
          <w:sz w:val="24"/>
          <w:szCs w:val="24"/>
        </w:rPr>
        <w:t xml:space="preserve">The </w:t>
      </w:r>
      <w:r w:rsidR="0046020A" w:rsidRPr="00BC1E70">
        <w:rPr>
          <w:rFonts w:ascii="Times New Roman" w:hAnsi="Times New Roman" w:cs="Times New Roman"/>
          <w:sz w:val="24"/>
          <w:szCs w:val="24"/>
        </w:rPr>
        <w:t>I</w:t>
      </w:r>
      <w:r w:rsidRPr="00BC1E70">
        <w:rPr>
          <w:rFonts w:ascii="Times New Roman" w:hAnsi="Times New Roman" w:cs="Times New Roman"/>
          <w:sz w:val="24"/>
          <w:szCs w:val="24"/>
        </w:rPr>
        <w:t xml:space="preserve">nstruments: </w:t>
      </w:r>
    </w:p>
    <w:p w14:paraId="59A0D6B3" w14:textId="35F5DE09" w:rsidR="00211AFD" w:rsidRPr="00BC1E70" w:rsidRDefault="00211AFD" w:rsidP="00211AF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1E70">
        <w:rPr>
          <w:rFonts w:ascii="Times New Roman" w:hAnsi="Times New Roman" w:cs="Times New Roman"/>
          <w:sz w:val="24"/>
          <w:szCs w:val="24"/>
        </w:rPr>
        <w:t>amend the definition of an APRA</w:t>
      </w:r>
      <w:r w:rsidR="00922C7C">
        <w:rPr>
          <w:rFonts w:ascii="Times New Roman" w:hAnsi="Times New Roman" w:cs="Times New Roman"/>
          <w:sz w:val="24"/>
          <w:szCs w:val="24"/>
        </w:rPr>
        <w:t>-</w:t>
      </w:r>
      <w:r w:rsidRPr="00BC1E70">
        <w:rPr>
          <w:rFonts w:ascii="Times New Roman" w:hAnsi="Times New Roman" w:cs="Times New Roman"/>
          <w:sz w:val="24"/>
          <w:szCs w:val="24"/>
        </w:rPr>
        <w:t xml:space="preserve">authorised reinsurer to include the </w:t>
      </w:r>
      <w:proofErr w:type="gramStart"/>
      <w:r w:rsidRPr="00BC1E70">
        <w:rPr>
          <w:rFonts w:ascii="Times New Roman" w:hAnsi="Times New Roman" w:cs="Times New Roman"/>
          <w:sz w:val="24"/>
          <w:szCs w:val="24"/>
        </w:rPr>
        <w:t>A</w:t>
      </w:r>
      <w:r w:rsidR="00DE1106">
        <w:rPr>
          <w:rFonts w:ascii="Times New Roman" w:hAnsi="Times New Roman" w:cs="Times New Roman"/>
          <w:sz w:val="24"/>
          <w:szCs w:val="24"/>
        </w:rPr>
        <w:t>RPC</w:t>
      </w:r>
      <w:r w:rsidRPr="00BC1E7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0A5977AF" w14:textId="0EA9F4C3" w:rsidR="00211AFD" w:rsidRPr="00BC1E70" w:rsidRDefault="00211AFD" w:rsidP="00211AF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1E70">
        <w:rPr>
          <w:rFonts w:ascii="Times New Roman" w:hAnsi="Times New Roman" w:cs="Times New Roman"/>
          <w:sz w:val="24"/>
          <w:szCs w:val="24"/>
        </w:rPr>
        <w:t xml:space="preserve">remove footnotes made redundant by the change to the definition of an APRA-authorised reinsurer; and </w:t>
      </w:r>
    </w:p>
    <w:p w14:paraId="25512235" w14:textId="051279BF" w:rsidR="00211AFD" w:rsidRPr="00BC1E70" w:rsidRDefault="00211AFD" w:rsidP="00211AF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1E70">
        <w:rPr>
          <w:rFonts w:ascii="Times New Roman" w:hAnsi="Times New Roman" w:cs="Times New Roman"/>
          <w:sz w:val="24"/>
          <w:szCs w:val="24"/>
        </w:rPr>
        <w:t>add</w:t>
      </w:r>
      <w:r w:rsidR="00F655AA">
        <w:rPr>
          <w:rFonts w:ascii="Times New Roman" w:hAnsi="Times New Roman" w:cs="Times New Roman"/>
          <w:sz w:val="24"/>
          <w:szCs w:val="24"/>
        </w:rPr>
        <w:t xml:space="preserve"> </w:t>
      </w:r>
      <w:r w:rsidRPr="00BC1E70">
        <w:rPr>
          <w:rFonts w:ascii="Times New Roman" w:hAnsi="Times New Roman" w:cs="Times New Roman"/>
          <w:sz w:val="24"/>
          <w:szCs w:val="24"/>
        </w:rPr>
        <w:t>footnotes t</w:t>
      </w:r>
      <w:r w:rsidR="00F655AA">
        <w:rPr>
          <w:rFonts w:ascii="Times New Roman" w:hAnsi="Times New Roman" w:cs="Times New Roman"/>
          <w:sz w:val="24"/>
          <w:szCs w:val="24"/>
        </w:rPr>
        <w:t xml:space="preserve">o </w:t>
      </w:r>
      <w:r w:rsidRPr="00BC1E70">
        <w:rPr>
          <w:rFonts w:ascii="Times New Roman" w:hAnsi="Times New Roman" w:cs="Times New Roman"/>
          <w:sz w:val="24"/>
          <w:szCs w:val="24"/>
        </w:rPr>
        <w:t xml:space="preserve">clarify the treatment of reinsurance cover provided by the ARPC.  </w:t>
      </w:r>
    </w:p>
    <w:p w14:paraId="349A167C" w14:textId="35C92905" w:rsidR="00211AFD" w:rsidRPr="00BC1E70" w:rsidRDefault="00B670E9" w:rsidP="00211AFD">
      <w:pPr>
        <w:numPr>
          <w:ilvl w:val="0"/>
          <w:numId w:val="0"/>
        </w:numPr>
        <w:rPr>
          <w:rFonts w:ascii="Times New Roman" w:hAnsi="Times New Roman" w:cs="Times New Roman"/>
          <w:b/>
          <w:sz w:val="24"/>
          <w:szCs w:val="24"/>
        </w:rPr>
      </w:pPr>
      <w:r w:rsidRPr="00BC1E70">
        <w:rPr>
          <w:rFonts w:ascii="Times New Roman" w:hAnsi="Times New Roman" w:cs="Times New Roman"/>
          <w:b/>
          <w:sz w:val="24"/>
          <w:szCs w:val="24"/>
        </w:rPr>
        <w:t>2.</w:t>
      </w:r>
      <w:r w:rsidRPr="00BC1E70">
        <w:rPr>
          <w:rFonts w:ascii="Times New Roman" w:hAnsi="Times New Roman" w:cs="Times New Roman"/>
          <w:b/>
          <w:sz w:val="24"/>
          <w:szCs w:val="24"/>
        </w:rPr>
        <w:tab/>
      </w:r>
      <w:r w:rsidR="00211AFD" w:rsidRPr="00BC1E70">
        <w:rPr>
          <w:rFonts w:ascii="Times New Roman" w:hAnsi="Times New Roman" w:cs="Times New Roman"/>
          <w:b/>
          <w:sz w:val="24"/>
          <w:szCs w:val="24"/>
        </w:rPr>
        <w:t xml:space="preserve">Purpose and operation of the instruments </w:t>
      </w:r>
    </w:p>
    <w:p w14:paraId="165D549D" w14:textId="30D5373B" w:rsidR="00211AFD" w:rsidRPr="00BC1E70" w:rsidRDefault="00211AFD" w:rsidP="00211AFD">
      <w:pPr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BC1E70">
        <w:rPr>
          <w:rFonts w:ascii="Times New Roman" w:hAnsi="Times New Roman" w:cs="Times New Roman"/>
          <w:sz w:val="24"/>
          <w:szCs w:val="24"/>
        </w:rPr>
        <w:lastRenderedPageBreak/>
        <w:t xml:space="preserve">The purpose of these </w:t>
      </w:r>
      <w:r w:rsidR="006F4962" w:rsidRPr="00BC1E70">
        <w:rPr>
          <w:rFonts w:ascii="Times New Roman" w:hAnsi="Times New Roman" w:cs="Times New Roman"/>
          <w:sz w:val="24"/>
          <w:szCs w:val="24"/>
        </w:rPr>
        <w:t>I</w:t>
      </w:r>
      <w:r w:rsidRPr="00BC1E70">
        <w:rPr>
          <w:rFonts w:ascii="Times New Roman" w:hAnsi="Times New Roman" w:cs="Times New Roman"/>
          <w:sz w:val="24"/>
          <w:szCs w:val="24"/>
        </w:rPr>
        <w:t>nstruments is to revoke the four existing prudential standards requiring consequential amendments and replace them with corresponding standards which incorporate appropriate amendments.</w:t>
      </w:r>
    </w:p>
    <w:p w14:paraId="1343AEB0" w14:textId="52EF27AF" w:rsidR="00AD72D9" w:rsidRPr="00BC1E70" w:rsidRDefault="00AD72D9" w:rsidP="00211AFD">
      <w:pPr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BC1E70">
        <w:rPr>
          <w:rFonts w:ascii="Times New Roman" w:hAnsi="Times New Roman" w:cs="Times New Roman"/>
          <w:sz w:val="24"/>
          <w:szCs w:val="24"/>
        </w:rPr>
        <w:t xml:space="preserve">The </w:t>
      </w:r>
      <w:r w:rsidR="00C86A64" w:rsidRPr="00BC1E70">
        <w:rPr>
          <w:rFonts w:ascii="Times New Roman" w:hAnsi="Times New Roman" w:cs="Times New Roman"/>
          <w:sz w:val="24"/>
          <w:szCs w:val="24"/>
        </w:rPr>
        <w:t xml:space="preserve">determined </w:t>
      </w:r>
      <w:r w:rsidRPr="00BC1E70">
        <w:rPr>
          <w:rFonts w:ascii="Times New Roman" w:hAnsi="Times New Roman" w:cs="Times New Roman"/>
          <w:sz w:val="24"/>
          <w:szCs w:val="24"/>
        </w:rPr>
        <w:t xml:space="preserve">prudential standards will recognise the ARPC as a high-grade APRA-authorised </w:t>
      </w:r>
      <w:r w:rsidR="005C641B" w:rsidRPr="00BC1E70">
        <w:rPr>
          <w:rFonts w:ascii="Times New Roman" w:hAnsi="Times New Roman" w:cs="Times New Roman"/>
          <w:sz w:val="24"/>
          <w:szCs w:val="24"/>
        </w:rPr>
        <w:t>reinsur</w:t>
      </w:r>
      <w:r w:rsidR="005C641B">
        <w:rPr>
          <w:rFonts w:ascii="Times New Roman" w:hAnsi="Times New Roman" w:cs="Times New Roman"/>
          <w:sz w:val="24"/>
          <w:szCs w:val="24"/>
        </w:rPr>
        <w:t>er</w:t>
      </w:r>
      <w:r w:rsidR="005C641B" w:rsidRPr="00BC1E70">
        <w:rPr>
          <w:rFonts w:ascii="Times New Roman" w:hAnsi="Times New Roman" w:cs="Times New Roman"/>
          <w:sz w:val="24"/>
          <w:szCs w:val="24"/>
        </w:rPr>
        <w:t xml:space="preserve"> </w:t>
      </w:r>
      <w:r w:rsidRPr="00BC1E70">
        <w:rPr>
          <w:rFonts w:ascii="Times New Roman" w:hAnsi="Times New Roman" w:cs="Times New Roman"/>
          <w:sz w:val="24"/>
          <w:szCs w:val="24"/>
        </w:rPr>
        <w:t xml:space="preserve">and ensure that reinsurance </w:t>
      </w:r>
      <w:proofErr w:type="spellStart"/>
      <w:r w:rsidRPr="00BC1E70">
        <w:rPr>
          <w:rFonts w:ascii="Times New Roman" w:hAnsi="Times New Roman" w:cs="Times New Roman"/>
          <w:sz w:val="24"/>
          <w:szCs w:val="24"/>
        </w:rPr>
        <w:t>recoverables</w:t>
      </w:r>
      <w:proofErr w:type="spellEnd"/>
      <w:r w:rsidRPr="00BC1E70">
        <w:rPr>
          <w:rFonts w:ascii="Times New Roman" w:hAnsi="Times New Roman" w:cs="Times New Roman"/>
          <w:sz w:val="24"/>
          <w:szCs w:val="24"/>
        </w:rPr>
        <w:t xml:space="preserve"> from the A</w:t>
      </w:r>
      <w:r w:rsidR="00C86A64" w:rsidRPr="00BC1E70">
        <w:rPr>
          <w:rFonts w:ascii="Times New Roman" w:hAnsi="Times New Roman" w:cs="Times New Roman"/>
          <w:sz w:val="24"/>
          <w:szCs w:val="24"/>
        </w:rPr>
        <w:t>RP</w:t>
      </w:r>
      <w:r w:rsidRPr="00BC1E70">
        <w:rPr>
          <w:rFonts w:ascii="Times New Roman" w:hAnsi="Times New Roman" w:cs="Times New Roman"/>
          <w:sz w:val="24"/>
          <w:szCs w:val="24"/>
        </w:rPr>
        <w:t>C are not subject to a capital charge in recognition of the Australian Government guarantee that supports the pool.</w:t>
      </w:r>
    </w:p>
    <w:p w14:paraId="1583BC0B" w14:textId="77777777" w:rsidR="00211AFD" w:rsidRPr="00BC1E70" w:rsidRDefault="00211AFD" w:rsidP="00211AFD">
      <w:pPr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BC1E70">
        <w:rPr>
          <w:rFonts w:ascii="Times New Roman" w:hAnsi="Times New Roman" w:cs="Times New Roman"/>
          <w:sz w:val="24"/>
          <w:szCs w:val="24"/>
        </w:rPr>
        <w:t>The prudential standards which have been revoked and replaced are:</w:t>
      </w:r>
    </w:p>
    <w:p w14:paraId="79D19D87" w14:textId="77777777" w:rsidR="00211AFD" w:rsidRPr="00BC1E70" w:rsidRDefault="00211AFD" w:rsidP="00211AF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 w:rsidRPr="00BC1E70">
        <w:rPr>
          <w:rFonts w:ascii="Times New Roman" w:hAnsi="Times New Roman" w:cs="Times New Roman"/>
          <w:i/>
          <w:sz w:val="24"/>
          <w:szCs w:val="24"/>
        </w:rPr>
        <w:t xml:space="preserve">Prudential Standard GPS 001 </w:t>
      </w:r>
      <w:proofErr w:type="gramStart"/>
      <w:r w:rsidRPr="00BC1E70">
        <w:rPr>
          <w:rFonts w:ascii="Times New Roman" w:hAnsi="Times New Roman" w:cs="Times New Roman"/>
          <w:i/>
          <w:sz w:val="24"/>
          <w:szCs w:val="24"/>
        </w:rPr>
        <w:t>Definitions;</w:t>
      </w:r>
      <w:proofErr w:type="gramEnd"/>
      <w:r w:rsidRPr="00BC1E7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9953256" w14:textId="77777777" w:rsidR="00211AFD" w:rsidRPr="00BC1E70" w:rsidRDefault="00211AFD" w:rsidP="00211AF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 w:rsidRPr="00BC1E70">
        <w:rPr>
          <w:rFonts w:ascii="Times New Roman" w:hAnsi="Times New Roman" w:cs="Times New Roman"/>
          <w:i/>
          <w:sz w:val="24"/>
          <w:szCs w:val="24"/>
        </w:rPr>
        <w:t xml:space="preserve">Prudential Standard GPS 114 Capital Adequacy: Asset Risk </w:t>
      </w:r>
      <w:proofErr w:type="gramStart"/>
      <w:r w:rsidRPr="00BC1E70">
        <w:rPr>
          <w:rFonts w:ascii="Times New Roman" w:hAnsi="Times New Roman" w:cs="Times New Roman"/>
          <w:i/>
          <w:sz w:val="24"/>
          <w:szCs w:val="24"/>
        </w:rPr>
        <w:t>Charge;</w:t>
      </w:r>
      <w:proofErr w:type="gramEnd"/>
    </w:p>
    <w:p w14:paraId="6BB8F577" w14:textId="77777777" w:rsidR="00211AFD" w:rsidRPr="00BC1E70" w:rsidRDefault="00211AFD" w:rsidP="00211AF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 w:rsidRPr="00BC1E70">
        <w:rPr>
          <w:rFonts w:ascii="Times New Roman" w:hAnsi="Times New Roman" w:cs="Times New Roman"/>
          <w:i/>
          <w:sz w:val="24"/>
          <w:szCs w:val="24"/>
        </w:rPr>
        <w:t xml:space="preserve">Prudential Standard GPS 116 Capital Adequacy: Insurance Concentration Risk Charge; </w:t>
      </w:r>
      <w:r w:rsidRPr="00BC1E70">
        <w:rPr>
          <w:rFonts w:ascii="Times New Roman" w:hAnsi="Times New Roman" w:cs="Times New Roman"/>
          <w:sz w:val="24"/>
          <w:szCs w:val="24"/>
        </w:rPr>
        <w:t>and</w:t>
      </w:r>
    </w:p>
    <w:p w14:paraId="31ADC98C" w14:textId="77777777" w:rsidR="00211AFD" w:rsidRPr="00BC1E70" w:rsidRDefault="00211AFD" w:rsidP="00211AF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 w:rsidRPr="00BC1E70">
        <w:rPr>
          <w:rFonts w:ascii="Times New Roman" w:hAnsi="Times New Roman" w:cs="Times New Roman"/>
          <w:i/>
          <w:sz w:val="24"/>
          <w:szCs w:val="24"/>
        </w:rPr>
        <w:t>Prudential Standard GPS 117 Capital Adequacy: Asset Concentration Risk Charge.</w:t>
      </w:r>
    </w:p>
    <w:p w14:paraId="7319C850" w14:textId="77777777" w:rsidR="00211AFD" w:rsidRPr="00BC1E70" w:rsidRDefault="00211AFD" w:rsidP="00211AFD">
      <w:pPr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BC1E70">
        <w:rPr>
          <w:rFonts w:ascii="Times New Roman" w:hAnsi="Times New Roman" w:cs="Times New Roman"/>
          <w:sz w:val="24"/>
          <w:szCs w:val="24"/>
        </w:rPr>
        <w:t xml:space="preserve">Where these standards refer to an Act, Regulation or Prudential Standard, this is a reference to the document as it exists from time to time, and which is available on the Federal Register of Legislation at </w:t>
      </w:r>
      <w:hyperlink r:id="rId13" w:history="1">
        <w:r w:rsidRPr="00BC1E70">
          <w:rPr>
            <w:rStyle w:val="Hyperlink"/>
            <w:rFonts w:ascii="Times New Roman" w:hAnsi="Times New Roman" w:cs="Times New Roman"/>
            <w:color w:val="0F569E"/>
            <w:sz w:val="24"/>
            <w:szCs w:val="24"/>
            <w:shd w:val="clear" w:color="auto" w:fill="FFFFFF"/>
          </w:rPr>
          <w:t>www.legislation.gov.au</w:t>
        </w:r>
      </w:hyperlink>
      <w:r w:rsidRPr="00BC1E7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F2697B4" w14:textId="788770AB" w:rsidR="00211AFD" w:rsidRPr="00BC1E70" w:rsidRDefault="00B670E9" w:rsidP="00211AFD">
      <w:pPr>
        <w:numPr>
          <w:ilvl w:val="0"/>
          <w:numId w:val="0"/>
        </w:numPr>
        <w:rPr>
          <w:rFonts w:ascii="Times New Roman" w:hAnsi="Times New Roman" w:cs="Times New Roman"/>
          <w:b/>
          <w:sz w:val="24"/>
          <w:szCs w:val="24"/>
        </w:rPr>
      </w:pPr>
      <w:r w:rsidRPr="00BC1E70">
        <w:rPr>
          <w:rFonts w:ascii="Times New Roman" w:hAnsi="Times New Roman" w:cs="Times New Roman"/>
          <w:b/>
          <w:sz w:val="24"/>
          <w:szCs w:val="24"/>
        </w:rPr>
        <w:t>3.</w:t>
      </w:r>
      <w:r w:rsidRPr="00BC1E70">
        <w:rPr>
          <w:rFonts w:ascii="Times New Roman" w:hAnsi="Times New Roman" w:cs="Times New Roman"/>
          <w:b/>
          <w:sz w:val="24"/>
          <w:szCs w:val="24"/>
        </w:rPr>
        <w:tab/>
      </w:r>
      <w:r w:rsidR="00211AFD" w:rsidRPr="00BC1E70">
        <w:rPr>
          <w:rFonts w:ascii="Times New Roman" w:hAnsi="Times New Roman" w:cs="Times New Roman"/>
          <w:b/>
          <w:sz w:val="24"/>
          <w:szCs w:val="24"/>
        </w:rPr>
        <w:t>Consultation</w:t>
      </w:r>
    </w:p>
    <w:p w14:paraId="4A3D027D" w14:textId="4EAE1B5E" w:rsidR="0006638F" w:rsidRPr="00BC1E70" w:rsidRDefault="009B161B" w:rsidP="0006638F">
      <w:pPr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BC1E70">
        <w:rPr>
          <w:rFonts w:ascii="Times New Roman" w:hAnsi="Times New Roman" w:cs="Times New Roman"/>
          <w:sz w:val="24"/>
          <w:szCs w:val="24"/>
        </w:rPr>
        <w:t xml:space="preserve">On 28 April 2022, APRA </w:t>
      </w:r>
      <w:r w:rsidR="00ED4C82" w:rsidRPr="00BC1E70">
        <w:rPr>
          <w:rFonts w:ascii="Times New Roman" w:hAnsi="Times New Roman" w:cs="Times New Roman"/>
          <w:sz w:val="24"/>
          <w:szCs w:val="24"/>
        </w:rPr>
        <w:t>undertook consultation</w:t>
      </w:r>
      <w:r w:rsidR="00873384" w:rsidRPr="00BC1E70">
        <w:rPr>
          <w:rFonts w:ascii="Times New Roman" w:hAnsi="Times New Roman" w:cs="Times New Roman"/>
          <w:sz w:val="24"/>
          <w:szCs w:val="24"/>
        </w:rPr>
        <w:t xml:space="preserve"> </w:t>
      </w:r>
      <w:r w:rsidR="00237201">
        <w:rPr>
          <w:rFonts w:ascii="Times New Roman" w:hAnsi="Times New Roman" w:cs="Times New Roman"/>
          <w:sz w:val="24"/>
          <w:szCs w:val="24"/>
        </w:rPr>
        <w:t xml:space="preserve">with </w:t>
      </w:r>
      <w:r w:rsidR="00237201" w:rsidRPr="00BC1E70">
        <w:rPr>
          <w:rFonts w:ascii="Times New Roman" w:hAnsi="Times New Roman" w:cs="Times New Roman"/>
          <w:sz w:val="24"/>
          <w:szCs w:val="24"/>
        </w:rPr>
        <w:t xml:space="preserve">all general insurers </w:t>
      </w:r>
      <w:r w:rsidR="00ED4C82" w:rsidRPr="00BC1E70">
        <w:rPr>
          <w:rFonts w:ascii="Times New Roman" w:hAnsi="Times New Roman" w:cs="Times New Roman"/>
          <w:sz w:val="24"/>
          <w:szCs w:val="24"/>
        </w:rPr>
        <w:t xml:space="preserve">in relation to </w:t>
      </w:r>
      <w:r w:rsidRPr="00BC1E70">
        <w:rPr>
          <w:rFonts w:ascii="Times New Roman" w:hAnsi="Times New Roman" w:cs="Times New Roman"/>
          <w:sz w:val="24"/>
          <w:szCs w:val="24"/>
        </w:rPr>
        <w:t xml:space="preserve">its proposed consequential amendments to the prudential framework to support the operation of the </w:t>
      </w:r>
      <w:r w:rsidR="00873384" w:rsidRPr="00BC1E70">
        <w:rPr>
          <w:rFonts w:ascii="Times New Roman" w:hAnsi="Times New Roman" w:cs="Times New Roman"/>
          <w:sz w:val="24"/>
          <w:szCs w:val="24"/>
        </w:rPr>
        <w:t xml:space="preserve">Australian </w:t>
      </w:r>
      <w:r w:rsidRPr="00BC1E70">
        <w:rPr>
          <w:rFonts w:ascii="Times New Roman" w:hAnsi="Times New Roman" w:cs="Times New Roman"/>
          <w:sz w:val="24"/>
          <w:szCs w:val="24"/>
        </w:rPr>
        <w:t xml:space="preserve">Government’s cyclone and related flood damage reinsurance pool. </w:t>
      </w:r>
    </w:p>
    <w:p w14:paraId="05EE83CC" w14:textId="5B7F310F" w:rsidR="00A50B51" w:rsidRPr="003D292C" w:rsidRDefault="00ED4C82" w:rsidP="00A50B51">
      <w:pPr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BC1E70">
        <w:rPr>
          <w:rFonts w:ascii="Times New Roman" w:hAnsi="Times New Roman" w:cs="Times New Roman"/>
          <w:sz w:val="24"/>
          <w:szCs w:val="24"/>
        </w:rPr>
        <w:t xml:space="preserve">As part of the consultation, </w:t>
      </w:r>
      <w:r w:rsidR="0006638F" w:rsidRPr="00BC1E70">
        <w:rPr>
          <w:rFonts w:ascii="Times New Roman" w:hAnsi="Times New Roman" w:cs="Times New Roman"/>
          <w:sz w:val="24"/>
          <w:szCs w:val="24"/>
        </w:rPr>
        <w:t>APRA requested w</w:t>
      </w:r>
      <w:r w:rsidR="009B161B" w:rsidRPr="00BC1E70">
        <w:rPr>
          <w:rFonts w:ascii="Times New Roman" w:hAnsi="Times New Roman" w:cs="Times New Roman"/>
          <w:sz w:val="24"/>
          <w:szCs w:val="24"/>
        </w:rPr>
        <w:t xml:space="preserve">ritten submissions </w:t>
      </w:r>
      <w:r w:rsidR="00A50B51" w:rsidRPr="00BC1E70">
        <w:rPr>
          <w:rFonts w:ascii="Times New Roman" w:hAnsi="Times New Roman" w:cs="Times New Roman"/>
          <w:sz w:val="24"/>
          <w:szCs w:val="24"/>
        </w:rPr>
        <w:t>by 1 June 2022</w:t>
      </w:r>
      <w:r w:rsidR="008E712A">
        <w:rPr>
          <w:rFonts w:ascii="Times New Roman" w:hAnsi="Times New Roman" w:cs="Times New Roman"/>
          <w:sz w:val="24"/>
          <w:szCs w:val="24"/>
        </w:rPr>
        <w:t xml:space="preserve"> </w:t>
      </w:r>
      <w:r w:rsidR="00A50B51">
        <w:rPr>
          <w:rFonts w:ascii="Times New Roman" w:hAnsi="Times New Roman" w:cs="Times New Roman"/>
          <w:sz w:val="24"/>
          <w:szCs w:val="24"/>
        </w:rPr>
        <w:t xml:space="preserve">on its proposal to </w:t>
      </w:r>
      <w:r w:rsidR="00A50B51" w:rsidRPr="00BC1E70">
        <w:rPr>
          <w:rFonts w:ascii="Times New Roman" w:hAnsi="Times New Roman" w:cs="Times New Roman"/>
          <w:sz w:val="24"/>
          <w:szCs w:val="24"/>
        </w:rPr>
        <w:t xml:space="preserve">recognise the ARPC as a high-grade APRA-authorised reinsurance and </w:t>
      </w:r>
      <w:r w:rsidR="008E712A">
        <w:rPr>
          <w:rFonts w:ascii="Times New Roman" w:hAnsi="Times New Roman" w:cs="Times New Roman"/>
          <w:sz w:val="24"/>
          <w:szCs w:val="24"/>
        </w:rPr>
        <w:t xml:space="preserve">its proposal </w:t>
      </w:r>
      <w:r w:rsidR="00A50B51" w:rsidRPr="00BC1E70">
        <w:rPr>
          <w:rFonts w:ascii="Times New Roman" w:hAnsi="Times New Roman" w:cs="Times New Roman"/>
          <w:sz w:val="24"/>
          <w:szCs w:val="24"/>
        </w:rPr>
        <w:t xml:space="preserve">that reinsurance </w:t>
      </w:r>
      <w:proofErr w:type="spellStart"/>
      <w:r w:rsidR="00A50B51" w:rsidRPr="00BC1E70">
        <w:rPr>
          <w:rFonts w:ascii="Times New Roman" w:hAnsi="Times New Roman" w:cs="Times New Roman"/>
          <w:sz w:val="24"/>
          <w:szCs w:val="24"/>
        </w:rPr>
        <w:t>recoverables</w:t>
      </w:r>
      <w:proofErr w:type="spellEnd"/>
      <w:r w:rsidR="00A50B51" w:rsidRPr="00BC1E70">
        <w:rPr>
          <w:rFonts w:ascii="Times New Roman" w:hAnsi="Times New Roman" w:cs="Times New Roman"/>
          <w:sz w:val="24"/>
          <w:szCs w:val="24"/>
        </w:rPr>
        <w:t xml:space="preserve"> from the ARPC are not subject to a capital charge in recognition </w:t>
      </w:r>
      <w:r w:rsidR="00A50B51" w:rsidRPr="003D292C">
        <w:rPr>
          <w:rFonts w:ascii="Times New Roman" w:hAnsi="Times New Roman" w:cs="Times New Roman"/>
          <w:sz w:val="24"/>
          <w:szCs w:val="24"/>
        </w:rPr>
        <w:t>of the Australian Government guarantee that supports the pool.</w:t>
      </w:r>
    </w:p>
    <w:p w14:paraId="3F7A95D7" w14:textId="703B0F07" w:rsidR="00B670E9" w:rsidRPr="00A50B51" w:rsidRDefault="00AD72D9" w:rsidP="00ED4C82">
      <w:pPr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3D292C">
        <w:rPr>
          <w:rFonts w:ascii="Times New Roman" w:hAnsi="Times New Roman" w:cs="Times New Roman"/>
          <w:sz w:val="24"/>
          <w:szCs w:val="24"/>
        </w:rPr>
        <w:t xml:space="preserve">No submissions were received. </w:t>
      </w:r>
      <w:r w:rsidR="00ED4C82" w:rsidRPr="003D292C">
        <w:rPr>
          <w:rFonts w:ascii="Times New Roman" w:hAnsi="Times New Roman" w:cs="Times New Roman"/>
          <w:sz w:val="24"/>
          <w:szCs w:val="24"/>
        </w:rPr>
        <w:t xml:space="preserve">APRA is satisfied the consultation was appropriate and reasonably practicable as the </w:t>
      </w:r>
      <w:r w:rsidR="00B670E9" w:rsidRPr="003D292C">
        <w:rPr>
          <w:rFonts w:ascii="Times New Roman" w:hAnsi="Times New Roman" w:cs="Times New Roman"/>
          <w:sz w:val="24"/>
          <w:szCs w:val="24"/>
        </w:rPr>
        <w:t xml:space="preserve">consequential amendments </w:t>
      </w:r>
      <w:r w:rsidR="00134B76" w:rsidRPr="003D292C">
        <w:rPr>
          <w:rFonts w:ascii="Times New Roman" w:hAnsi="Times New Roman" w:cs="Times New Roman"/>
          <w:sz w:val="24"/>
          <w:szCs w:val="24"/>
        </w:rPr>
        <w:t xml:space="preserve">can be regarded as </w:t>
      </w:r>
      <w:r w:rsidR="00B670E9" w:rsidRPr="003D292C">
        <w:rPr>
          <w:rFonts w:ascii="Times New Roman" w:hAnsi="Times New Roman" w:cs="Times New Roman"/>
          <w:sz w:val="24"/>
          <w:szCs w:val="24"/>
        </w:rPr>
        <w:t>minor and machinery.</w:t>
      </w:r>
    </w:p>
    <w:p w14:paraId="1D2864CC" w14:textId="05A2D7DE" w:rsidR="00211AFD" w:rsidRPr="00A50B51" w:rsidRDefault="00B670E9" w:rsidP="00211AFD">
      <w:pPr>
        <w:numPr>
          <w:ilvl w:val="0"/>
          <w:numId w:val="0"/>
        </w:numPr>
        <w:rPr>
          <w:rFonts w:ascii="Times New Roman" w:hAnsi="Times New Roman" w:cs="Times New Roman"/>
          <w:b/>
          <w:sz w:val="24"/>
          <w:szCs w:val="24"/>
        </w:rPr>
      </w:pPr>
      <w:r w:rsidRPr="00A50B51">
        <w:rPr>
          <w:rFonts w:ascii="Times New Roman" w:hAnsi="Times New Roman" w:cs="Times New Roman"/>
          <w:b/>
          <w:sz w:val="24"/>
          <w:szCs w:val="24"/>
        </w:rPr>
        <w:t>4.</w:t>
      </w:r>
      <w:r w:rsidRPr="00A50B51">
        <w:rPr>
          <w:rFonts w:ascii="Times New Roman" w:hAnsi="Times New Roman" w:cs="Times New Roman"/>
          <w:b/>
          <w:sz w:val="24"/>
          <w:szCs w:val="24"/>
        </w:rPr>
        <w:tab/>
      </w:r>
      <w:r w:rsidR="00211AFD" w:rsidRPr="00A50B51">
        <w:rPr>
          <w:rFonts w:ascii="Times New Roman" w:hAnsi="Times New Roman" w:cs="Times New Roman"/>
          <w:b/>
          <w:sz w:val="24"/>
          <w:szCs w:val="24"/>
        </w:rPr>
        <w:t>Regulation Impact Statement</w:t>
      </w:r>
    </w:p>
    <w:p w14:paraId="31AFB503" w14:textId="77777777" w:rsidR="00211AFD" w:rsidRPr="00A50B51" w:rsidRDefault="00211AFD" w:rsidP="00211AFD">
      <w:pPr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A50B51">
        <w:rPr>
          <w:rFonts w:ascii="Times New Roman" w:hAnsi="Times New Roman" w:cs="Times New Roman"/>
          <w:sz w:val="24"/>
          <w:szCs w:val="24"/>
        </w:rPr>
        <w:t xml:space="preserve">The OBPR confirmed that a Regulation Impact Statement was not required for the changes described in this explanatory statement as they were considered minor and machinery. </w:t>
      </w:r>
    </w:p>
    <w:p w14:paraId="476EB71B" w14:textId="17812B34" w:rsidR="00B670E9" w:rsidRPr="00DE1106" w:rsidRDefault="00B670E9" w:rsidP="003163CB">
      <w:pPr>
        <w:pStyle w:val="Heading"/>
        <w:spacing w:before="0" w:after="240"/>
        <w:jc w:val="both"/>
        <w:rPr>
          <w:rFonts w:cs="Times New Roman"/>
          <w:i/>
          <w:sz w:val="24"/>
          <w:szCs w:val="24"/>
        </w:rPr>
      </w:pPr>
      <w:r w:rsidRPr="00BC1E70">
        <w:rPr>
          <w:rFonts w:cs="Times New Roman"/>
          <w:sz w:val="24"/>
          <w:szCs w:val="24"/>
        </w:rPr>
        <w:t>5.</w:t>
      </w:r>
      <w:r w:rsidRPr="00BC1E70">
        <w:rPr>
          <w:rFonts w:cs="Times New Roman"/>
          <w:sz w:val="24"/>
          <w:szCs w:val="24"/>
        </w:rPr>
        <w:tab/>
        <w:t xml:space="preserve">Statement of compatibility prepared in accordance with Part 3 of the </w:t>
      </w:r>
      <w:r w:rsidRPr="00BC1E70">
        <w:rPr>
          <w:rFonts w:cs="Times New Roman"/>
          <w:i/>
          <w:sz w:val="24"/>
          <w:szCs w:val="24"/>
        </w:rPr>
        <w:t>Human Right</w:t>
      </w:r>
      <w:r w:rsidRPr="00DE1106">
        <w:rPr>
          <w:rFonts w:cs="Times New Roman"/>
          <w:i/>
          <w:sz w:val="24"/>
          <w:szCs w:val="24"/>
        </w:rPr>
        <w:t>s (Parliamentary Scrutiny) Act 2011</w:t>
      </w:r>
    </w:p>
    <w:p w14:paraId="7D7364B1" w14:textId="77777777" w:rsidR="00B670E9" w:rsidRPr="00D5162F" w:rsidRDefault="00B670E9" w:rsidP="00B670E9">
      <w:pPr>
        <w:pStyle w:val="Heading"/>
        <w:spacing w:before="0" w:after="240"/>
        <w:jc w:val="both"/>
        <w:rPr>
          <w:rFonts w:cs="Times New Roman"/>
          <w:b w:val="0"/>
          <w:kern w:val="0"/>
          <w:sz w:val="24"/>
          <w:szCs w:val="24"/>
          <w:lang w:val="en-GB"/>
        </w:rPr>
      </w:pPr>
      <w:r w:rsidRPr="00D5162F">
        <w:rPr>
          <w:rFonts w:cs="Times New Roman"/>
          <w:b w:val="0"/>
          <w:kern w:val="0"/>
          <w:sz w:val="24"/>
          <w:szCs w:val="24"/>
          <w:lang w:val="en-GB"/>
        </w:rPr>
        <w:t xml:space="preserve">A Statement of compatibility prepared in accordance with Part 3 of the </w:t>
      </w:r>
      <w:r w:rsidRPr="00D5162F">
        <w:rPr>
          <w:rFonts w:cs="Times New Roman"/>
          <w:b w:val="0"/>
          <w:i/>
          <w:sz w:val="24"/>
          <w:szCs w:val="24"/>
          <w:lang w:val="en-GB"/>
        </w:rPr>
        <w:t>Human Rights (Parliamentary Scrutiny) Act 2011</w:t>
      </w:r>
      <w:r w:rsidRPr="00D5162F">
        <w:rPr>
          <w:rFonts w:cs="Times New Roman"/>
          <w:b w:val="0"/>
          <w:kern w:val="0"/>
          <w:sz w:val="24"/>
          <w:szCs w:val="24"/>
          <w:lang w:val="en-GB"/>
        </w:rPr>
        <w:t xml:space="preserve"> is provided at Attachment A to this Explanatory Statement.</w:t>
      </w:r>
    </w:p>
    <w:p w14:paraId="06190B02" w14:textId="34819669" w:rsidR="00B670E9" w:rsidRPr="000A1A15" w:rsidRDefault="00B670E9" w:rsidP="00A34ADD">
      <w:pPr>
        <w:rPr>
          <w:rFonts w:ascii="Times New Roman" w:hAnsi="Times New Roman" w:cs="Times New Roman"/>
          <w:sz w:val="24"/>
          <w:szCs w:val="24"/>
        </w:rPr>
      </w:pPr>
      <w:r w:rsidRPr="000A1A15">
        <w:rPr>
          <w:rFonts w:ascii="Times New Roman" w:hAnsi="Times New Roman" w:cs="Times New Roman"/>
          <w:sz w:val="24"/>
          <w:szCs w:val="24"/>
        </w:rPr>
        <w:br w:type="page"/>
      </w:r>
    </w:p>
    <w:p w14:paraId="00B6ED2A" w14:textId="77777777" w:rsidR="00B670E9" w:rsidRPr="00BC1E70" w:rsidRDefault="00B670E9" w:rsidP="00B670E9">
      <w:pPr>
        <w:pStyle w:val="Heading"/>
        <w:keepNext w:val="0"/>
        <w:spacing w:before="0" w:after="240"/>
        <w:jc w:val="center"/>
        <w:rPr>
          <w:rFonts w:cs="Times New Roman"/>
          <w:sz w:val="24"/>
          <w:szCs w:val="24"/>
        </w:rPr>
      </w:pPr>
      <w:r w:rsidRPr="00BC1E70">
        <w:rPr>
          <w:rFonts w:cs="Times New Roman"/>
          <w:sz w:val="24"/>
          <w:szCs w:val="24"/>
          <w:lang w:val="en-GB"/>
        </w:rPr>
        <w:lastRenderedPageBreak/>
        <w:t>ATTACHMENT A</w:t>
      </w:r>
    </w:p>
    <w:p w14:paraId="04B51A0F" w14:textId="77777777" w:rsidR="00B670E9" w:rsidRPr="00D5162F" w:rsidRDefault="00B670E9" w:rsidP="00B670E9">
      <w:pPr>
        <w:pStyle w:val="Heading"/>
        <w:keepNext w:val="0"/>
        <w:spacing w:before="0" w:after="240"/>
        <w:jc w:val="center"/>
        <w:rPr>
          <w:rFonts w:cs="Times New Roman"/>
          <w:sz w:val="24"/>
          <w:szCs w:val="24"/>
        </w:rPr>
      </w:pPr>
      <w:r w:rsidRPr="00D5162F">
        <w:rPr>
          <w:rFonts w:cs="Times New Roman"/>
          <w:sz w:val="24"/>
          <w:szCs w:val="24"/>
        </w:rPr>
        <w:t>Statement of Compatibility with Human Rights</w:t>
      </w:r>
    </w:p>
    <w:p w14:paraId="32B574F6" w14:textId="77777777" w:rsidR="00B670E9" w:rsidRPr="00D615C7" w:rsidRDefault="00B670E9" w:rsidP="00B670E9">
      <w:pPr>
        <w:pStyle w:val="Heading1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D615C7">
        <w:rPr>
          <w:rFonts w:ascii="Times New Roman" w:hAnsi="Times New Roman" w:cs="Times New Roman"/>
          <w:b w:val="0"/>
          <w:sz w:val="24"/>
          <w:szCs w:val="24"/>
        </w:rPr>
        <w:t xml:space="preserve">Prepared in accordance with Part 3 of the </w:t>
      </w:r>
      <w:r w:rsidRPr="00D615C7">
        <w:rPr>
          <w:rFonts w:ascii="Times New Roman" w:hAnsi="Times New Roman" w:cs="Times New Roman"/>
          <w:b w:val="0"/>
          <w:i/>
          <w:sz w:val="24"/>
          <w:szCs w:val="24"/>
        </w:rPr>
        <w:t>Human Rights (Parliamentary Scrutiny) Act 2011</w:t>
      </w:r>
    </w:p>
    <w:p w14:paraId="302C56B4" w14:textId="1578CEDD" w:rsidR="00B670E9" w:rsidRPr="005921A3" w:rsidRDefault="00B670E9" w:rsidP="00B670E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5921A3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Insurance (prudential standard) determinations Nos. </w:t>
      </w:r>
      <w:r w:rsidR="0025287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1 to 4 of 2022</w:t>
      </w:r>
    </w:p>
    <w:p w14:paraId="06CCC3E0" w14:textId="0A4875DA" w:rsidR="00B670E9" w:rsidRPr="00CC30A1" w:rsidRDefault="00B670E9" w:rsidP="00B670E9">
      <w:pPr>
        <w:rPr>
          <w:rFonts w:ascii="Times New Roman" w:hAnsi="Times New Roman" w:cs="Times New Roman"/>
          <w:sz w:val="24"/>
          <w:szCs w:val="24"/>
        </w:rPr>
      </w:pPr>
      <w:r w:rsidRPr="005921A3">
        <w:rPr>
          <w:rFonts w:ascii="Times New Roman" w:hAnsi="Times New Roman" w:cs="Times New Roman"/>
          <w:sz w:val="24"/>
          <w:szCs w:val="24"/>
        </w:rPr>
        <w:t xml:space="preserve">These Legislative Instruments are compatible with the human rights and freedoms recognised or declared in the international instrument listed in section 3 of the </w:t>
      </w:r>
      <w:r w:rsidRPr="00FC071B">
        <w:rPr>
          <w:rFonts w:ascii="Times New Roman" w:hAnsi="Times New Roman" w:cs="Times New Roman"/>
          <w:i/>
          <w:sz w:val="24"/>
          <w:szCs w:val="24"/>
        </w:rPr>
        <w:t>Human Rights (Parliamentary Scrutiny) Act 2011</w:t>
      </w:r>
      <w:r w:rsidRPr="00CC30A1">
        <w:rPr>
          <w:rFonts w:ascii="Times New Roman" w:hAnsi="Times New Roman" w:cs="Times New Roman"/>
          <w:sz w:val="24"/>
          <w:szCs w:val="24"/>
        </w:rPr>
        <w:t xml:space="preserve"> (HRPS Act).</w:t>
      </w:r>
    </w:p>
    <w:p w14:paraId="14812826" w14:textId="6BC11DC9" w:rsidR="008567D0" w:rsidRPr="00E51C2C" w:rsidRDefault="008567D0" w:rsidP="008567D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en-AU"/>
        </w:rPr>
      </w:pPr>
      <w:r w:rsidRPr="000A1A15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Insurance (prudential standard) determination No. </w:t>
      </w:r>
      <w:r w:rsidR="0025287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1 </w:t>
      </w:r>
      <w:r w:rsidR="0044482D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of 2022</w:t>
      </w:r>
    </w:p>
    <w:p w14:paraId="78D707C3" w14:textId="13E5A394" w:rsidR="008567D0" w:rsidRPr="000A1A15" w:rsidRDefault="008567D0" w:rsidP="008567D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0A1A15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Insurance (prudential standard) determination No. </w:t>
      </w:r>
      <w:r w:rsidR="0044482D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2 of 2022</w:t>
      </w:r>
    </w:p>
    <w:p w14:paraId="18A6C2A3" w14:textId="2E6E9645" w:rsidR="008567D0" w:rsidRPr="000A1A15" w:rsidRDefault="008567D0" w:rsidP="008567D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0A1A15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Insurance (prudential standard) determination </w:t>
      </w:r>
      <w:r w:rsidR="0044482D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No. 3 of 2022</w:t>
      </w:r>
    </w:p>
    <w:p w14:paraId="0BFDF698" w14:textId="656B2827" w:rsidR="008567D0" w:rsidRPr="000A1A15" w:rsidRDefault="008567D0" w:rsidP="008567D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0A1A15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Insurance (prudential standard) determination No. </w:t>
      </w:r>
      <w:r w:rsidR="0044482D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4 of 2022</w:t>
      </w:r>
    </w:p>
    <w:p w14:paraId="78831E52" w14:textId="6A1D5288" w:rsidR="00B670E9" w:rsidRPr="00DE1106" w:rsidRDefault="00B670E9" w:rsidP="00B670E9">
      <w:pPr>
        <w:rPr>
          <w:rFonts w:ascii="Times New Roman" w:hAnsi="Times New Roman" w:cs="Times New Roman"/>
          <w:sz w:val="24"/>
          <w:szCs w:val="24"/>
        </w:rPr>
      </w:pPr>
      <w:r w:rsidRPr="00BC1E70">
        <w:rPr>
          <w:rFonts w:ascii="Times New Roman" w:hAnsi="Times New Roman" w:cs="Times New Roman"/>
          <w:b/>
          <w:sz w:val="24"/>
          <w:szCs w:val="24"/>
        </w:rPr>
        <w:t>Overview of the Legislative Instruments</w:t>
      </w:r>
    </w:p>
    <w:p w14:paraId="751DCF46" w14:textId="0DDEE118" w:rsidR="00CD1253" w:rsidRPr="00663820" w:rsidRDefault="00CD1253" w:rsidP="00BC1E70">
      <w:pPr>
        <w:rPr>
          <w:rFonts w:ascii="Times New Roman" w:hAnsi="Times New Roman" w:cs="Times New Roman"/>
          <w:sz w:val="24"/>
          <w:szCs w:val="24"/>
        </w:rPr>
      </w:pPr>
      <w:r w:rsidRPr="00DE1106">
        <w:rPr>
          <w:rFonts w:ascii="Times New Roman" w:hAnsi="Times New Roman" w:cs="Times New Roman"/>
          <w:sz w:val="24"/>
          <w:szCs w:val="24"/>
        </w:rPr>
        <w:t>The</w:t>
      </w:r>
      <w:r w:rsidR="00142132" w:rsidRPr="00A50B51">
        <w:rPr>
          <w:rFonts w:ascii="Times New Roman" w:hAnsi="Times New Roman" w:cs="Times New Roman"/>
          <w:sz w:val="24"/>
          <w:szCs w:val="24"/>
        </w:rPr>
        <w:t xml:space="preserve"> </w:t>
      </w:r>
      <w:r w:rsidRPr="00A50B51">
        <w:rPr>
          <w:rFonts w:ascii="Times New Roman" w:hAnsi="Times New Roman" w:cs="Times New Roman"/>
          <w:sz w:val="24"/>
          <w:szCs w:val="24"/>
        </w:rPr>
        <w:t xml:space="preserve">purpose </w:t>
      </w:r>
      <w:r w:rsidR="009136D0" w:rsidRPr="00A50B51">
        <w:rPr>
          <w:rFonts w:ascii="Times New Roman" w:hAnsi="Times New Roman" w:cs="Times New Roman"/>
          <w:sz w:val="24"/>
          <w:szCs w:val="24"/>
        </w:rPr>
        <w:t xml:space="preserve">of the </w:t>
      </w:r>
      <w:r w:rsidR="009136D0" w:rsidRPr="00A50B51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>Legislative Instruments</w:t>
      </w:r>
      <w:r w:rsidR="009136D0" w:rsidRPr="008E712A">
        <w:rPr>
          <w:rFonts w:ascii="Times New Roman" w:hAnsi="Times New Roman" w:cs="Times New Roman"/>
          <w:sz w:val="24"/>
          <w:szCs w:val="24"/>
        </w:rPr>
        <w:t xml:space="preserve"> </w:t>
      </w:r>
      <w:r w:rsidRPr="00237201">
        <w:rPr>
          <w:rFonts w:ascii="Times New Roman" w:hAnsi="Times New Roman" w:cs="Times New Roman"/>
          <w:sz w:val="24"/>
          <w:szCs w:val="24"/>
        </w:rPr>
        <w:t xml:space="preserve">is to </w:t>
      </w:r>
      <w:r w:rsidR="00142132" w:rsidRPr="00237201">
        <w:rPr>
          <w:rFonts w:ascii="Times New Roman" w:hAnsi="Times New Roman" w:cs="Times New Roman"/>
          <w:sz w:val="24"/>
          <w:szCs w:val="24"/>
        </w:rPr>
        <w:t xml:space="preserve">make </w:t>
      </w:r>
      <w:r w:rsidR="00142132" w:rsidRPr="00F826F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consequential </w:t>
      </w:r>
      <w:r w:rsidR="00142132" w:rsidRPr="000A1A1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changes to </w:t>
      </w:r>
      <w:r w:rsidRPr="000A1A15">
        <w:rPr>
          <w:rFonts w:ascii="Times New Roman" w:hAnsi="Times New Roman" w:cs="Times New Roman"/>
          <w:sz w:val="24"/>
          <w:szCs w:val="24"/>
        </w:rPr>
        <w:t>Prudential Standard GPS 001 Definitions</w:t>
      </w:r>
      <w:r w:rsidR="00142132" w:rsidRPr="00BC1E70">
        <w:rPr>
          <w:rFonts w:ascii="Times New Roman" w:hAnsi="Times New Roman" w:cs="Times New Roman"/>
          <w:sz w:val="24"/>
          <w:szCs w:val="24"/>
        </w:rPr>
        <w:t>,</w:t>
      </w:r>
      <w:r w:rsidRPr="000A1A15">
        <w:rPr>
          <w:rFonts w:ascii="Times New Roman" w:hAnsi="Times New Roman" w:cs="Times New Roman"/>
          <w:sz w:val="24"/>
          <w:szCs w:val="24"/>
        </w:rPr>
        <w:t xml:space="preserve"> Prudential Standard GPS 114 Capital Adequacy: Asset Risk Charge</w:t>
      </w:r>
      <w:r w:rsidR="00142132" w:rsidRPr="00BC1E70">
        <w:rPr>
          <w:rFonts w:ascii="Times New Roman" w:hAnsi="Times New Roman" w:cs="Times New Roman"/>
          <w:sz w:val="24"/>
          <w:szCs w:val="24"/>
        </w:rPr>
        <w:t>,</w:t>
      </w:r>
      <w:r w:rsidR="00142132" w:rsidRPr="000A1A15">
        <w:rPr>
          <w:rFonts w:ascii="Times New Roman" w:hAnsi="Times New Roman" w:cs="Times New Roman"/>
          <w:sz w:val="24"/>
          <w:szCs w:val="24"/>
        </w:rPr>
        <w:t xml:space="preserve"> </w:t>
      </w:r>
      <w:r w:rsidRPr="000A1A15">
        <w:rPr>
          <w:rFonts w:ascii="Times New Roman" w:hAnsi="Times New Roman" w:cs="Times New Roman"/>
          <w:sz w:val="24"/>
          <w:szCs w:val="24"/>
        </w:rPr>
        <w:t>Prudential Standard GPS 116 Capital Adequacy: Insurance Concentration Risk Charge and</w:t>
      </w:r>
      <w:r w:rsidR="00142132" w:rsidRPr="000A1A15">
        <w:rPr>
          <w:rFonts w:ascii="Times New Roman" w:hAnsi="Times New Roman" w:cs="Times New Roman"/>
          <w:sz w:val="24"/>
          <w:szCs w:val="24"/>
        </w:rPr>
        <w:t xml:space="preserve"> </w:t>
      </w:r>
      <w:r w:rsidRPr="000A1A15">
        <w:rPr>
          <w:rFonts w:ascii="Times New Roman" w:hAnsi="Times New Roman" w:cs="Times New Roman"/>
          <w:sz w:val="24"/>
          <w:szCs w:val="24"/>
        </w:rPr>
        <w:t>Prudential Standard GPS 117 Capital Adequacy: Asset Concentration Risk Charge</w:t>
      </w:r>
      <w:r w:rsidR="00142132" w:rsidRPr="00BC1E70">
        <w:rPr>
          <w:rFonts w:ascii="Times New Roman" w:hAnsi="Times New Roman" w:cs="Times New Roman"/>
          <w:sz w:val="24"/>
          <w:szCs w:val="24"/>
        </w:rPr>
        <w:t xml:space="preserve"> t</w:t>
      </w:r>
      <w:r w:rsidRPr="00DE1106">
        <w:rPr>
          <w:rFonts w:ascii="Times New Roman" w:hAnsi="Times New Roman" w:cs="Times New Roman"/>
          <w:sz w:val="24"/>
          <w:szCs w:val="24"/>
        </w:rPr>
        <w:t>o recognise the Australi</w:t>
      </w:r>
      <w:r w:rsidRPr="00D615C7">
        <w:rPr>
          <w:rFonts w:ascii="Times New Roman" w:hAnsi="Times New Roman" w:cs="Times New Roman"/>
          <w:sz w:val="24"/>
          <w:szCs w:val="24"/>
        </w:rPr>
        <w:t xml:space="preserve">an Reinsurance Pool Corporation (ARPC) as a high-grade APRA-authorised </w:t>
      </w:r>
      <w:r w:rsidR="005C641B" w:rsidRPr="00D615C7">
        <w:rPr>
          <w:rFonts w:ascii="Times New Roman" w:hAnsi="Times New Roman" w:cs="Times New Roman"/>
          <w:sz w:val="24"/>
          <w:szCs w:val="24"/>
        </w:rPr>
        <w:t>reinsur</w:t>
      </w:r>
      <w:r w:rsidR="005C641B">
        <w:rPr>
          <w:rFonts w:ascii="Times New Roman" w:hAnsi="Times New Roman" w:cs="Times New Roman"/>
          <w:sz w:val="24"/>
          <w:szCs w:val="24"/>
        </w:rPr>
        <w:t>er</w:t>
      </w:r>
      <w:r w:rsidR="005C641B" w:rsidRPr="00D615C7">
        <w:rPr>
          <w:rFonts w:ascii="Times New Roman" w:hAnsi="Times New Roman" w:cs="Times New Roman"/>
          <w:sz w:val="24"/>
          <w:szCs w:val="24"/>
        </w:rPr>
        <w:t xml:space="preserve"> </w:t>
      </w:r>
      <w:r w:rsidRPr="00D615C7">
        <w:rPr>
          <w:rFonts w:ascii="Times New Roman" w:hAnsi="Times New Roman" w:cs="Times New Roman"/>
          <w:sz w:val="24"/>
          <w:szCs w:val="24"/>
        </w:rPr>
        <w:t xml:space="preserve">and </w:t>
      </w:r>
      <w:r w:rsidR="00663820">
        <w:rPr>
          <w:rFonts w:ascii="Times New Roman" w:hAnsi="Times New Roman" w:cs="Times New Roman"/>
          <w:sz w:val="24"/>
          <w:szCs w:val="24"/>
        </w:rPr>
        <w:t xml:space="preserve">to </w:t>
      </w:r>
      <w:r w:rsidRPr="00663820">
        <w:rPr>
          <w:rFonts w:ascii="Times New Roman" w:hAnsi="Times New Roman" w:cs="Times New Roman"/>
          <w:sz w:val="24"/>
          <w:szCs w:val="24"/>
        </w:rPr>
        <w:t xml:space="preserve">ensure that reinsurance </w:t>
      </w:r>
      <w:proofErr w:type="spellStart"/>
      <w:r w:rsidRPr="00663820">
        <w:rPr>
          <w:rFonts w:ascii="Times New Roman" w:hAnsi="Times New Roman" w:cs="Times New Roman"/>
          <w:sz w:val="24"/>
          <w:szCs w:val="24"/>
        </w:rPr>
        <w:t>recoverables</w:t>
      </w:r>
      <w:proofErr w:type="spellEnd"/>
      <w:r w:rsidRPr="00663820">
        <w:rPr>
          <w:rFonts w:ascii="Times New Roman" w:hAnsi="Times New Roman" w:cs="Times New Roman"/>
          <w:sz w:val="24"/>
          <w:szCs w:val="24"/>
        </w:rPr>
        <w:t xml:space="preserve"> from the </w:t>
      </w:r>
      <w:r w:rsidR="00CC30A1">
        <w:rPr>
          <w:rFonts w:ascii="Times New Roman" w:hAnsi="Times New Roman" w:cs="Times New Roman"/>
          <w:sz w:val="24"/>
          <w:szCs w:val="24"/>
        </w:rPr>
        <w:t>ARPC</w:t>
      </w:r>
      <w:r w:rsidR="00CC30A1" w:rsidRPr="00663820">
        <w:rPr>
          <w:rFonts w:ascii="Times New Roman" w:hAnsi="Times New Roman" w:cs="Times New Roman"/>
          <w:sz w:val="24"/>
          <w:szCs w:val="24"/>
        </w:rPr>
        <w:t xml:space="preserve"> </w:t>
      </w:r>
      <w:r w:rsidRPr="00663820">
        <w:rPr>
          <w:rFonts w:ascii="Times New Roman" w:hAnsi="Times New Roman" w:cs="Times New Roman"/>
          <w:sz w:val="24"/>
          <w:szCs w:val="24"/>
        </w:rPr>
        <w:t>are not subject to a capital charge in recognition of the Australian Government guarantee that supports the scheme.</w:t>
      </w:r>
    </w:p>
    <w:p w14:paraId="010F0382" w14:textId="77777777" w:rsidR="00B670E9" w:rsidRPr="00D615C7" w:rsidRDefault="00B670E9" w:rsidP="00B670E9">
      <w:pPr>
        <w:rPr>
          <w:rFonts w:ascii="Times New Roman" w:hAnsi="Times New Roman" w:cs="Times New Roman"/>
          <w:sz w:val="24"/>
          <w:szCs w:val="24"/>
        </w:rPr>
      </w:pPr>
      <w:r w:rsidRPr="00D615C7">
        <w:rPr>
          <w:rFonts w:ascii="Times New Roman" w:hAnsi="Times New Roman" w:cs="Times New Roman"/>
          <w:b/>
          <w:sz w:val="24"/>
          <w:szCs w:val="24"/>
        </w:rPr>
        <w:t>Human rights implications</w:t>
      </w:r>
    </w:p>
    <w:p w14:paraId="23D2FE0E" w14:textId="6E381560" w:rsidR="009136D0" w:rsidRPr="000A1A15" w:rsidRDefault="009136D0" w:rsidP="00B670E9">
      <w:pPr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</w:pPr>
      <w:r w:rsidRPr="000A1A15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APRA has assessed the </w:t>
      </w:r>
      <w:r w:rsidRPr="00BC1E70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Legislative </w:t>
      </w:r>
      <w:r w:rsidRPr="000A1A15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Instruments and is of the view that they do not engage any of the applicable rights or freedoms recognised or declared in the international instruments listed in section 3 of the HRPS Act. Accordingly, in APRA's assessment, the Instruments are compatible with human rights. </w:t>
      </w:r>
    </w:p>
    <w:p w14:paraId="64D4EEBE" w14:textId="77777777" w:rsidR="00B670E9" w:rsidRPr="000A1A15" w:rsidRDefault="00B670E9" w:rsidP="00B670E9">
      <w:pPr>
        <w:rPr>
          <w:rFonts w:ascii="Times New Roman" w:hAnsi="Times New Roman" w:cs="Times New Roman"/>
          <w:b/>
          <w:sz w:val="24"/>
          <w:szCs w:val="24"/>
        </w:rPr>
      </w:pPr>
      <w:r w:rsidRPr="000A1A15">
        <w:rPr>
          <w:rFonts w:ascii="Times New Roman" w:hAnsi="Times New Roman" w:cs="Times New Roman"/>
          <w:b/>
          <w:sz w:val="24"/>
          <w:szCs w:val="24"/>
        </w:rPr>
        <w:t>Conclusion</w:t>
      </w:r>
    </w:p>
    <w:p w14:paraId="57D7D167" w14:textId="77777777" w:rsidR="00B670E9" w:rsidRPr="000A1A15" w:rsidRDefault="00B670E9" w:rsidP="00B670E9">
      <w:pPr>
        <w:rPr>
          <w:rFonts w:ascii="Times New Roman" w:hAnsi="Times New Roman" w:cs="Times New Roman"/>
          <w:sz w:val="24"/>
          <w:szCs w:val="24"/>
        </w:rPr>
      </w:pPr>
      <w:r w:rsidRPr="000A1A15">
        <w:rPr>
          <w:rFonts w:ascii="Times New Roman" w:hAnsi="Times New Roman" w:cs="Times New Roman"/>
          <w:sz w:val="24"/>
          <w:szCs w:val="24"/>
        </w:rPr>
        <w:t>These Legislative Instruments are compatible with human rights as they do not raise any human rights issues.</w:t>
      </w:r>
    </w:p>
    <w:p w14:paraId="6A740A2A" w14:textId="77777777" w:rsidR="00211AFD" w:rsidRPr="00B06E21" w:rsidRDefault="00211AFD" w:rsidP="00A34ADD">
      <w:pPr>
        <w:rPr>
          <w:rFonts w:ascii="Times New Roman" w:hAnsi="Times New Roman" w:cs="Times New Roman"/>
        </w:rPr>
      </w:pPr>
    </w:p>
    <w:sectPr w:rsidR="00211AFD" w:rsidRPr="00B06E21" w:rsidSect="00B06E21">
      <w:pgSz w:w="11906" w:h="16838" w:code="9"/>
      <w:pgMar w:top="993" w:right="1440" w:bottom="1440" w:left="1440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3B96F" w14:textId="77777777" w:rsidR="00211AFD" w:rsidRPr="000D4EDE" w:rsidRDefault="00211AFD" w:rsidP="000D4EDE">
      <w:r>
        <w:separator/>
      </w:r>
    </w:p>
  </w:endnote>
  <w:endnote w:type="continuationSeparator" w:id="0">
    <w:p w14:paraId="7EBF1C68" w14:textId="77777777" w:rsidR="00211AFD" w:rsidRPr="000D4EDE" w:rsidRDefault="00211AFD" w:rsidP="000D4EDE">
      <w:r>
        <w:continuationSeparator/>
      </w:r>
    </w:p>
  </w:endnote>
  <w:endnote w:type="continuationNotice" w:id="1">
    <w:p w14:paraId="30CAE51F" w14:textId="77777777" w:rsidR="00AC6B54" w:rsidRDefault="00AC6B5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689CA" w14:textId="77777777" w:rsidR="00211AFD" w:rsidRPr="000D4EDE" w:rsidRDefault="00211AFD" w:rsidP="000D4EDE">
      <w:r>
        <w:separator/>
      </w:r>
    </w:p>
  </w:footnote>
  <w:footnote w:type="continuationSeparator" w:id="0">
    <w:p w14:paraId="33D80D26" w14:textId="77777777" w:rsidR="00211AFD" w:rsidRPr="000D4EDE" w:rsidRDefault="00211AFD" w:rsidP="000D4EDE">
      <w:r>
        <w:continuationSeparator/>
      </w:r>
    </w:p>
  </w:footnote>
  <w:footnote w:type="continuationNotice" w:id="1">
    <w:p w14:paraId="16BD0DC9" w14:textId="77777777" w:rsidR="00AC6B54" w:rsidRDefault="00AC6B5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C92E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2A3626B"/>
    <w:multiLevelType w:val="hybridMultilevel"/>
    <w:tmpl w:val="8D6E2C0C"/>
    <w:lvl w:ilvl="0" w:tplc="36F84146">
      <w:start w:val="1"/>
      <w:numFmt w:val="decimal"/>
      <w:lvlText w:val="(%1)"/>
      <w:lvlJc w:val="left"/>
      <w:pPr>
        <w:ind w:left="1020" w:hanging="6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93595"/>
    <w:multiLevelType w:val="multilevel"/>
    <w:tmpl w:val="44EEB5B2"/>
    <w:lvl w:ilvl="0">
      <w:start w:val="1"/>
      <w:numFmt w:val="decimal"/>
      <w:pStyle w:val="ListNumber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6983867"/>
    <w:multiLevelType w:val="multilevel"/>
    <w:tmpl w:val="6034109E"/>
    <w:styleLink w:val="AppendixList"/>
    <w:lvl w:ilvl="0">
      <w:start w:val="1"/>
      <w:numFmt w:val="upperLetter"/>
      <w:pStyle w:val="AppendixHeading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73A5CAE"/>
    <w:multiLevelType w:val="multilevel"/>
    <w:tmpl w:val="845645BE"/>
    <w:lvl w:ilvl="0">
      <w:start w:val="1"/>
      <w:numFmt w:val="decimal"/>
      <w:pStyle w:val="Heading1Number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Numbers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Numbers"/>
      <w:lvlText w:val="%1.%2.%3"/>
      <w:lvlJc w:val="left"/>
      <w:pPr>
        <w:tabs>
          <w:tab w:val="num" w:pos="1276"/>
        </w:tabs>
        <w:ind w:left="851" w:hanging="851"/>
      </w:pPr>
      <w:rPr>
        <w:rFonts w:hint="default"/>
      </w:rPr>
    </w:lvl>
    <w:lvl w:ilvl="3">
      <w:start w:val="1"/>
      <w:numFmt w:val="decimal"/>
      <w:pStyle w:val="Heading4NoNumber"/>
      <w:lvlText w:val="%1.%2.%3.%4"/>
      <w:lvlJc w:val="left"/>
      <w:pPr>
        <w:tabs>
          <w:tab w:val="num" w:pos="1276"/>
        </w:tabs>
        <w:ind w:left="851" w:hanging="85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03B2DF9"/>
    <w:multiLevelType w:val="hybridMultilevel"/>
    <w:tmpl w:val="CC3821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F50AC"/>
    <w:multiLevelType w:val="multilevel"/>
    <w:tmpl w:val="AC5E151C"/>
    <w:styleLink w:val="BulletList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color w:val="000000" w:themeColor="text1"/>
      </w:rPr>
    </w:lvl>
    <w:lvl w:ilvl="2">
      <w:start w:val="1"/>
      <w:numFmt w:val="bullet"/>
      <w:pStyle w:val="ListBullet3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  <w:color w:val="000000" w:themeColor="text1"/>
      </w:rPr>
    </w:lvl>
    <w:lvl w:ilvl="3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</w:abstractNum>
  <w:abstractNum w:abstractNumId="9" w15:restartNumberingAfterBreak="0">
    <w:nsid w:val="34130106"/>
    <w:multiLevelType w:val="hybridMultilevel"/>
    <w:tmpl w:val="E82EC54C"/>
    <w:lvl w:ilvl="0" w:tplc="379E15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71738"/>
    <w:multiLevelType w:val="hybridMultilevel"/>
    <w:tmpl w:val="E19811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FE1B54"/>
    <w:multiLevelType w:val="multilevel"/>
    <w:tmpl w:val="03EA69FC"/>
    <w:styleLink w:val="HeadingList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6"/>
        </w:tabs>
        <w:ind w:left="851" w:hanging="85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40E5588"/>
    <w:multiLevelType w:val="multilevel"/>
    <w:tmpl w:val="060A2B94"/>
    <w:styleLink w:val="111111"/>
    <w:lvl w:ilvl="0">
      <w:start w:val="1"/>
      <w:numFmt w:val="decimal"/>
      <w:lvlText w:val="%1."/>
      <w:lvlJc w:val="left"/>
      <w:pPr>
        <w:tabs>
          <w:tab w:val="num" w:pos="851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851" w:hanging="42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DF4124F"/>
    <w:multiLevelType w:val="hybridMultilevel"/>
    <w:tmpl w:val="F8AC6C28"/>
    <w:lvl w:ilvl="0" w:tplc="92289F6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970EB"/>
    <w:multiLevelType w:val="hybridMultilevel"/>
    <w:tmpl w:val="80363C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B17A3F"/>
    <w:multiLevelType w:val="multilevel"/>
    <w:tmpl w:val="8EA00C60"/>
    <w:styleLink w:val="1ai"/>
    <w:lvl w:ilvl="0">
      <w:start w:val="1"/>
      <w:numFmt w:val="none"/>
      <w:pStyle w:val="Normal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pStyle w:val="List2"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lowerRoman"/>
      <w:pStyle w:val="List3"/>
      <w:lvlText w:val="%4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AD95ACD"/>
    <w:multiLevelType w:val="hybridMultilevel"/>
    <w:tmpl w:val="8B2EDD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2"/>
  </w:num>
  <w:num w:numId="5">
    <w:abstractNumId w:val="15"/>
  </w:num>
  <w:num w:numId="6">
    <w:abstractNumId w:val="1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6"/>
  </w:num>
  <w:num w:numId="11">
    <w:abstractNumId w:val="4"/>
  </w:num>
  <w:num w:numId="12">
    <w:abstractNumId w:val="3"/>
  </w:num>
  <w:num w:numId="13">
    <w:abstractNumId w:val="16"/>
  </w:num>
  <w:num w:numId="14">
    <w:abstractNumId w:val="10"/>
  </w:num>
  <w:num w:numId="15">
    <w:abstractNumId w:val="7"/>
  </w:num>
  <w:num w:numId="16">
    <w:abstractNumId w:val="9"/>
  </w:num>
  <w:num w:numId="17">
    <w:abstractNumId w:val="13"/>
  </w:num>
  <w:num w:numId="18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styleLockTheme/>
  <w:styleLockQFSet/>
  <w:defaultTabStop w:val="425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FD"/>
    <w:rsid w:val="00004ED1"/>
    <w:rsid w:val="00005D98"/>
    <w:rsid w:val="00005F96"/>
    <w:rsid w:val="00007262"/>
    <w:rsid w:val="00010789"/>
    <w:rsid w:val="00011C96"/>
    <w:rsid w:val="000141B9"/>
    <w:rsid w:val="00020E4C"/>
    <w:rsid w:val="00034A19"/>
    <w:rsid w:val="00036F9E"/>
    <w:rsid w:val="000413B3"/>
    <w:rsid w:val="000453D9"/>
    <w:rsid w:val="000573E5"/>
    <w:rsid w:val="00057B71"/>
    <w:rsid w:val="0006638F"/>
    <w:rsid w:val="0007202C"/>
    <w:rsid w:val="00072B30"/>
    <w:rsid w:val="0007319C"/>
    <w:rsid w:val="000732AA"/>
    <w:rsid w:val="00073F77"/>
    <w:rsid w:val="000767DD"/>
    <w:rsid w:val="0008011A"/>
    <w:rsid w:val="00084F8B"/>
    <w:rsid w:val="000851D0"/>
    <w:rsid w:val="00086D07"/>
    <w:rsid w:val="00086F71"/>
    <w:rsid w:val="00093915"/>
    <w:rsid w:val="000949AD"/>
    <w:rsid w:val="00095109"/>
    <w:rsid w:val="00096B0F"/>
    <w:rsid w:val="000A1A15"/>
    <w:rsid w:val="000A490E"/>
    <w:rsid w:val="000B04C5"/>
    <w:rsid w:val="000B63CA"/>
    <w:rsid w:val="000B752A"/>
    <w:rsid w:val="000C14D9"/>
    <w:rsid w:val="000C15C7"/>
    <w:rsid w:val="000D4EDE"/>
    <w:rsid w:val="000E2460"/>
    <w:rsid w:val="000E43AC"/>
    <w:rsid w:val="000E6E37"/>
    <w:rsid w:val="000F0E6F"/>
    <w:rsid w:val="001018A5"/>
    <w:rsid w:val="00106F56"/>
    <w:rsid w:val="00115A39"/>
    <w:rsid w:val="00117479"/>
    <w:rsid w:val="00123576"/>
    <w:rsid w:val="001241CB"/>
    <w:rsid w:val="00124B21"/>
    <w:rsid w:val="001327B8"/>
    <w:rsid w:val="0013471B"/>
    <w:rsid w:val="00134B76"/>
    <w:rsid w:val="001352D4"/>
    <w:rsid w:val="00142132"/>
    <w:rsid w:val="00155789"/>
    <w:rsid w:val="00157C98"/>
    <w:rsid w:val="001653B6"/>
    <w:rsid w:val="00165BF6"/>
    <w:rsid w:val="00174B0F"/>
    <w:rsid w:val="0018235E"/>
    <w:rsid w:val="00184187"/>
    <w:rsid w:val="001A4EA4"/>
    <w:rsid w:val="001A664F"/>
    <w:rsid w:val="001B2DB7"/>
    <w:rsid w:val="001B3A9F"/>
    <w:rsid w:val="001D0C02"/>
    <w:rsid w:val="001D3D43"/>
    <w:rsid w:val="001E0F51"/>
    <w:rsid w:val="001E55BF"/>
    <w:rsid w:val="001F6E1A"/>
    <w:rsid w:val="001F780A"/>
    <w:rsid w:val="001F7917"/>
    <w:rsid w:val="00200613"/>
    <w:rsid w:val="00211AFD"/>
    <w:rsid w:val="00214883"/>
    <w:rsid w:val="002156F6"/>
    <w:rsid w:val="00220550"/>
    <w:rsid w:val="00222497"/>
    <w:rsid w:val="002301A2"/>
    <w:rsid w:val="00236C2D"/>
    <w:rsid w:val="00237201"/>
    <w:rsid w:val="002374B7"/>
    <w:rsid w:val="00240126"/>
    <w:rsid w:val="00241D16"/>
    <w:rsid w:val="00242384"/>
    <w:rsid w:val="0024304D"/>
    <w:rsid w:val="00244826"/>
    <w:rsid w:val="00247ACA"/>
    <w:rsid w:val="0025287F"/>
    <w:rsid w:val="00252E6A"/>
    <w:rsid w:val="00255A20"/>
    <w:rsid w:val="0025782A"/>
    <w:rsid w:val="00263414"/>
    <w:rsid w:val="002661A6"/>
    <w:rsid w:val="00266C23"/>
    <w:rsid w:val="00277D6C"/>
    <w:rsid w:val="00286EAD"/>
    <w:rsid w:val="00292A60"/>
    <w:rsid w:val="0029389B"/>
    <w:rsid w:val="002A1894"/>
    <w:rsid w:val="002A2188"/>
    <w:rsid w:val="002A36F2"/>
    <w:rsid w:val="002A7D14"/>
    <w:rsid w:val="002B0913"/>
    <w:rsid w:val="002B28E4"/>
    <w:rsid w:val="002B49A3"/>
    <w:rsid w:val="002B7504"/>
    <w:rsid w:val="002C0D97"/>
    <w:rsid w:val="002C66D1"/>
    <w:rsid w:val="002C7065"/>
    <w:rsid w:val="002C7D73"/>
    <w:rsid w:val="002C7F4A"/>
    <w:rsid w:val="002D2804"/>
    <w:rsid w:val="002D4B6C"/>
    <w:rsid w:val="002D5274"/>
    <w:rsid w:val="002E1EE3"/>
    <w:rsid w:val="002F0135"/>
    <w:rsid w:val="002F0C2C"/>
    <w:rsid w:val="00300655"/>
    <w:rsid w:val="00301BB1"/>
    <w:rsid w:val="00303D18"/>
    <w:rsid w:val="00307ADD"/>
    <w:rsid w:val="00307E55"/>
    <w:rsid w:val="00312A66"/>
    <w:rsid w:val="003130CA"/>
    <w:rsid w:val="003163CB"/>
    <w:rsid w:val="00321180"/>
    <w:rsid w:val="0032180D"/>
    <w:rsid w:val="003306A5"/>
    <w:rsid w:val="00355D40"/>
    <w:rsid w:val="00371AAC"/>
    <w:rsid w:val="00371F54"/>
    <w:rsid w:val="0037770C"/>
    <w:rsid w:val="00377C8B"/>
    <w:rsid w:val="00383A95"/>
    <w:rsid w:val="00385CA0"/>
    <w:rsid w:val="0039585F"/>
    <w:rsid w:val="003A2733"/>
    <w:rsid w:val="003A3021"/>
    <w:rsid w:val="003A4483"/>
    <w:rsid w:val="003A4D41"/>
    <w:rsid w:val="003A627E"/>
    <w:rsid w:val="003A79EE"/>
    <w:rsid w:val="003B6E16"/>
    <w:rsid w:val="003C180A"/>
    <w:rsid w:val="003C1E25"/>
    <w:rsid w:val="003D27CB"/>
    <w:rsid w:val="003D292C"/>
    <w:rsid w:val="003D329D"/>
    <w:rsid w:val="003E6BF6"/>
    <w:rsid w:val="003F0F0D"/>
    <w:rsid w:val="0040173E"/>
    <w:rsid w:val="00435339"/>
    <w:rsid w:val="004410DC"/>
    <w:rsid w:val="0044447D"/>
    <w:rsid w:val="0044482D"/>
    <w:rsid w:val="00450C67"/>
    <w:rsid w:val="0046020A"/>
    <w:rsid w:val="00460CF7"/>
    <w:rsid w:val="00463FA8"/>
    <w:rsid w:val="00464196"/>
    <w:rsid w:val="00466648"/>
    <w:rsid w:val="00472CBC"/>
    <w:rsid w:val="004765B3"/>
    <w:rsid w:val="004843CA"/>
    <w:rsid w:val="00493DAA"/>
    <w:rsid w:val="00494335"/>
    <w:rsid w:val="00495A4C"/>
    <w:rsid w:val="004967A1"/>
    <w:rsid w:val="004A0FE7"/>
    <w:rsid w:val="004A1AB5"/>
    <w:rsid w:val="004B584E"/>
    <w:rsid w:val="004C1106"/>
    <w:rsid w:val="004C6D4B"/>
    <w:rsid w:val="004C766B"/>
    <w:rsid w:val="004D33E3"/>
    <w:rsid w:val="004D76C1"/>
    <w:rsid w:val="004D7C22"/>
    <w:rsid w:val="004E2269"/>
    <w:rsid w:val="004E451A"/>
    <w:rsid w:val="004F3339"/>
    <w:rsid w:val="004F72A2"/>
    <w:rsid w:val="004F78E5"/>
    <w:rsid w:val="005026D4"/>
    <w:rsid w:val="00503A51"/>
    <w:rsid w:val="00506774"/>
    <w:rsid w:val="00512309"/>
    <w:rsid w:val="00541D54"/>
    <w:rsid w:val="00542522"/>
    <w:rsid w:val="00543472"/>
    <w:rsid w:val="0054526E"/>
    <w:rsid w:val="00545CE1"/>
    <w:rsid w:val="00546297"/>
    <w:rsid w:val="005476B5"/>
    <w:rsid w:val="005549D7"/>
    <w:rsid w:val="005602DA"/>
    <w:rsid w:val="00562087"/>
    <w:rsid w:val="005678FC"/>
    <w:rsid w:val="0057138A"/>
    <w:rsid w:val="00573327"/>
    <w:rsid w:val="00577D9B"/>
    <w:rsid w:val="005921A3"/>
    <w:rsid w:val="00592F64"/>
    <w:rsid w:val="005A3F63"/>
    <w:rsid w:val="005A59D0"/>
    <w:rsid w:val="005B073E"/>
    <w:rsid w:val="005B227F"/>
    <w:rsid w:val="005B7801"/>
    <w:rsid w:val="005C5891"/>
    <w:rsid w:val="005C641B"/>
    <w:rsid w:val="005D04CC"/>
    <w:rsid w:val="005D5FAE"/>
    <w:rsid w:val="005E4BC9"/>
    <w:rsid w:val="005F29B7"/>
    <w:rsid w:val="00606EB5"/>
    <w:rsid w:val="00606FC8"/>
    <w:rsid w:val="00616C90"/>
    <w:rsid w:val="00617FDA"/>
    <w:rsid w:val="0062116F"/>
    <w:rsid w:val="00623FD7"/>
    <w:rsid w:val="00626087"/>
    <w:rsid w:val="00634E4C"/>
    <w:rsid w:val="00636B8B"/>
    <w:rsid w:val="00641EAA"/>
    <w:rsid w:val="006427FE"/>
    <w:rsid w:val="006506C1"/>
    <w:rsid w:val="00657459"/>
    <w:rsid w:val="0065747A"/>
    <w:rsid w:val="00662E28"/>
    <w:rsid w:val="00663820"/>
    <w:rsid w:val="0066674D"/>
    <w:rsid w:val="00666A78"/>
    <w:rsid w:val="00670B59"/>
    <w:rsid w:val="00676C12"/>
    <w:rsid w:val="0069375D"/>
    <w:rsid w:val="0069407C"/>
    <w:rsid w:val="0069574E"/>
    <w:rsid w:val="006969C0"/>
    <w:rsid w:val="006A1921"/>
    <w:rsid w:val="006A1B8B"/>
    <w:rsid w:val="006A2303"/>
    <w:rsid w:val="006A2C82"/>
    <w:rsid w:val="006D2A45"/>
    <w:rsid w:val="006D315C"/>
    <w:rsid w:val="006D71B8"/>
    <w:rsid w:val="006E4272"/>
    <w:rsid w:val="006F145A"/>
    <w:rsid w:val="006F27CB"/>
    <w:rsid w:val="006F359B"/>
    <w:rsid w:val="006F4962"/>
    <w:rsid w:val="006F5865"/>
    <w:rsid w:val="00701EC6"/>
    <w:rsid w:val="00706179"/>
    <w:rsid w:val="00714F78"/>
    <w:rsid w:val="007152B0"/>
    <w:rsid w:val="007170F7"/>
    <w:rsid w:val="00717589"/>
    <w:rsid w:val="00722F9F"/>
    <w:rsid w:val="007253B8"/>
    <w:rsid w:val="00736E7D"/>
    <w:rsid w:val="007509A6"/>
    <w:rsid w:val="00753F83"/>
    <w:rsid w:val="007541B0"/>
    <w:rsid w:val="0075469B"/>
    <w:rsid w:val="00755163"/>
    <w:rsid w:val="00756AAB"/>
    <w:rsid w:val="00757F63"/>
    <w:rsid w:val="007645AE"/>
    <w:rsid w:val="00764992"/>
    <w:rsid w:val="00765749"/>
    <w:rsid w:val="0077507F"/>
    <w:rsid w:val="00775AA0"/>
    <w:rsid w:val="007770FA"/>
    <w:rsid w:val="00791738"/>
    <w:rsid w:val="00791780"/>
    <w:rsid w:val="00792D37"/>
    <w:rsid w:val="007A0EB7"/>
    <w:rsid w:val="007B2C90"/>
    <w:rsid w:val="007B6871"/>
    <w:rsid w:val="007B7899"/>
    <w:rsid w:val="007C08B1"/>
    <w:rsid w:val="007C2CC2"/>
    <w:rsid w:val="007C38BD"/>
    <w:rsid w:val="007C79AA"/>
    <w:rsid w:val="007D31DA"/>
    <w:rsid w:val="007D72C5"/>
    <w:rsid w:val="007E1D1C"/>
    <w:rsid w:val="007E525D"/>
    <w:rsid w:val="007F0323"/>
    <w:rsid w:val="007F379E"/>
    <w:rsid w:val="007F471C"/>
    <w:rsid w:val="00800C90"/>
    <w:rsid w:val="008125F8"/>
    <w:rsid w:val="008208A8"/>
    <w:rsid w:val="00826012"/>
    <w:rsid w:val="00834CE0"/>
    <w:rsid w:val="0084110F"/>
    <w:rsid w:val="00844B1D"/>
    <w:rsid w:val="00844F5C"/>
    <w:rsid w:val="00845843"/>
    <w:rsid w:val="00846D34"/>
    <w:rsid w:val="008567D0"/>
    <w:rsid w:val="00863020"/>
    <w:rsid w:val="008637EC"/>
    <w:rsid w:val="00870BC6"/>
    <w:rsid w:val="00873384"/>
    <w:rsid w:val="00875DAD"/>
    <w:rsid w:val="00877B84"/>
    <w:rsid w:val="00877E5F"/>
    <w:rsid w:val="0088036D"/>
    <w:rsid w:val="00881155"/>
    <w:rsid w:val="00882892"/>
    <w:rsid w:val="00885A14"/>
    <w:rsid w:val="0088689B"/>
    <w:rsid w:val="00890FA0"/>
    <w:rsid w:val="008947BF"/>
    <w:rsid w:val="008A0CBE"/>
    <w:rsid w:val="008A1CA8"/>
    <w:rsid w:val="008A214D"/>
    <w:rsid w:val="008A6F4A"/>
    <w:rsid w:val="008A72D2"/>
    <w:rsid w:val="008A74A3"/>
    <w:rsid w:val="008B6868"/>
    <w:rsid w:val="008B6D24"/>
    <w:rsid w:val="008C34F7"/>
    <w:rsid w:val="008C6A43"/>
    <w:rsid w:val="008D080C"/>
    <w:rsid w:val="008D1867"/>
    <w:rsid w:val="008D6437"/>
    <w:rsid w:val="008D6EDF"/>
    <w:rsid w:val="008E3EF5"/>
    <w:rsid w:val="008E712A"/>
    <w:rsid w:val="008F33B5"/>
    <w:rsid w:val="00901414"/>
    <w:rsid w:val="00906799"/>
    <w:rsid w:val="009136D0"/>
    <w:rsid w:val="00922193"/>
    <w:rsid w:val="00922C7C"/>
    <w:rsid w:val="00924152"/>
    <w:rsid w:val="0093194D"/>
    <w:rsid w:val="00934C3F"/>
    <w:rsid w:val="009417AE"/>
    <w:rsid w:val="00945B3F"/>
    <w:rsid w:val="00950DCB"/>
    <w:rsid w:val="00952D47"/>
    <w:rsid w:val="00952D4C"/>
    <w:rsid w:val="00960246"/>
    <w:rsid w:val="009720E1"/>
    <w:rsid w:val="00974F0E"/>
    <w:rsid w:val="00975CD7"/>
    <w:rsid w:val="00980CA1"/>
    <w:rsid w:val="00985E70"/>
    <w:rsid w:val="0098783B"/>
    <w:rsid w:val="00993C2B"/>
    <w:rsid w:val="00996086"/>
    <w:rsid w:val="009979F4"/>
    <w:rsid w:val="009A246D"/>
    <w:rsid w:val="009A45B2"/>
    <w:rsid w:val="009A5585"/>
    <w:rsid w:val="009A59D5"/>
    <w:rsid w:val="009B161B"/>
    <w:rsid w:val="009B2CB7"/>
    <w:rsid w:val="009C2198"/>
    <w:rsid w:val="009D2DDD"/>
    <w:rsid w:val="009E0C10"/>
    <w:rsid w:val="009E4116"/>
    <w:rsid w:val="009E529F"/>
    <w:rsid w:val="00A10DA6"/>
    <w:rsid w:val="00A151E9"/>
    <w:rsid w:val="00A15DBB"/>
    <w:rsid w:val="00A259F2"/>
    <w:rsid w:val="00A2758A"/>
    <w:rsid w:val="00A33802"/>
    <w:rsid w:val="00A34ADD"/>
    <w:rsid w:val="00A37162"/>
    <w:rsid w:val="00A37E51"/>
    <w:rsid w:val="00A50B51"/>
    <w:rsid w:val="00A51E2D"/>
    <w:rsid w:val="00A5319F"/>
    <w:rsid w:val="00A533A9"/>
    <w:rsid w:val="00A53690"/>
    <w:rsid w:val="00A62D31"/>
    <w:rsid w:val="00A63380"/>
    <w:rsid w:val="00A8129D"/>
    <w:rsid w:val="00A82188"/>
    <w:rsid w:val="00A865C7"/>
    <w:rsid w:val="00A909CC"/>
    <w:rsid w:val="00A964A5"/>
    <w:rsid w:val="00A97E3B"/>
    <w:rsid w:val="00AA00CB"/>
    <w:rsid w:val="00AA20A1"/>
    <w:rsid w:val="00AA41F2"/>
    <w:rsid w:val="00AB039E"/>
    <w:rsid w:val="00AB1362"/>
    <w:rsid w:val="00AB4206"/>
    <w:rsid w:val="00AC6B54"/>
    <w:rsid w:val="00AC7E54"/>
    <w:rsid w:val="00AD72D9"/>
    <w:rsid w:val="00AE6A4E"/>
    <w:rsid w:val="00AE7B98"/>
    <w:rsid w:val="00AF129F"/>
    <w:rsid w:val="00B06E21"/>
    <w:rsid w:val="00B12DC9"/>
    <w:rsid w:val="00B13F84"/>
    <w:rsid w:val="00B14604"/>
    <w:rsid w:val="00B15ABA"/>
    <w:rsid w:val="00B20FA0"/>
    <w:rsid w:val="00B24DD4"/>
    <w:rsid w:val="00B34339"/>
    <w:rsid w:val="00B40B7D"/>
    <w:rsid w:val="00B42B2F"/>
    <w:rsid w:val="00B44900"/>
    <w:rsid w:val="00B467F6"/>
    <w:rsid w:val="00B472E1"/>
    <w:rsid w:val="00B52821"/>
    <w:rsid w:val="00B56C63"/>
    <w:rsid w:val="00B664C7"/>
    <w:rsid w:val="00B670E9"/>
    <w:rsid w:val="00B71170"/>
    <w:rsid w:val="00B80BCE"/>
    <w:rsid w:val="00B81524"/>
    <w:rsid w:val="00B81740"/>
    <w:rsid w:val="00B83542"/>
    <w:rsid w:val="00B85D7B"/>
    <w:rsid w:val="00B900EA"/>
    <w:rsid w:val="00B91069"/>
    <w:rsid w:val="00B92842"/>
    <w:rsid w:val="00BA2713"/>
    <w:rsid w:val="00BA2941"/>
    <w:rsid w:val="00BA4C61"/>
    <w:rsid w:val="00BA627A"/>
    <w:rsid w:val="00BB22FA"/>
    <w:rsid w:val="00BC1E70"/>
    <w:rsid w:val="00BD12A1"/>
    <w:rsid w:val="00BD1D09"/>
    <w:rsid w:val="00BD7B83"/>
    <w:rsid w:val="00BE625B"/>
    <w:rsid w:val="00BF17C6"/>
    <w:rsid w:val="00BF6F09"/>
    <w:rsid w:val="00C00FDA"/>
    <w:rsid w:val="00C02EB9"/>
    <w:rsid w:val="00C0373C"/>
    <w:rsid w:val="00C04E4B"/>
    <w:rsid w:val="00C11531"/>
    <w:rsid w:val="00C11B56"/>
    <w:rsid w:val="00C14C04"/>
    <w:rsid w:val="00C1529E"/>
    <w:rsid w:val="00C16045"/>
    <w:rsid w:val="00C21E27"/>
    <w:rsid w:val="00C2332A"/>
    <w:rsid w:val="00C42EA5"/>
    <w:rsid w:val="00C62BF5"/>
    <w:rsid w:val="00C636DA"/>
    <w:rsid w:val="00C67E22"/>
    <w:rsid w:val="00C72271"/>
    <w:rsid w:val="00C72A17"/>
    <w:rsid w:val="00C81356"/>
    <w:rsid w:val="00C813CD"/>
    <w:rsid w:val="00C858D9"/>
    <w:rsid w:val="00C86A64"/>
    <w:rsid w:val="00C87DA0"/>
    <w:rsid w:val="00CA4E4D"/>
    <w:rsid w:val="00CA6FF9"/>
    <w:rsid w:val="00CA73DA"/>
    <w:rsid w:val="00CB2E3D"/>
    <w:rsid w:val="00CB4238"/>
    <w:rsid w:val="00CB5938"/>
    <w:rsid w:val="00CB5B27"/>
    <w:rsid w:val="00CC13F5"/>
    <w:rsid w:val="00CC1A64"/>
    <w:rsid w:val="00CC30A1"/>
    <w:rsid w:val="00CC34EB"/>
    <w:rsid w:val="00CC4C58"/>
    <w:rsid w:val="00CC66EA"/>
    <w:rsid w:val="00CD1253"/>
    <w:rsid w:val="00CD3C17"/>
    <w:rsid w:val="00CE1F9C"/>
    <w:rsid w:val="00CE2E48"/>
    <w:rsid w:val="00CF0184"/>
    <w:rsid w:val="00CF55F6"/>
    <w:rsid w:val="00CF59E0"/>
    <w:rsid w:val="00CF6672"/>
    <w:rsid w:val="00D021F7"/>
    <w:rsid w:val="00D069C7"/>
    <w:rsid w:val="00D078A2"/>
    <w:rsid w:val="00D21123"/>
    <w:rsid w:val="00D26BB7"/>
    <w:rsid w:val="00D367EB"/>
    <w:rsid w:val="00D36C91"/>
    <w:rsid w:val="00D41871"/>
    <w:rsid w:val="00D45954"/>
    <w:rsid w:val="00D461C2"/>
    <w:rsid w:val="00D5162F"/>
    <w:rsid w:val="00D575EC"/>
    <w:rsid w:val="00D615C7"/>
    <w:rsid w:val="00D61AAE"/>
    <w:rsid w:val="00D64CB8"/>
    <w:rsid w:val="00D720AE"/>
    <w:rsid w:val="00D72FD8"/>
    <w:rsid w:val="00D92A45"/>
    <w:rsid w:val="00D9697A"/>
    <w:rsid w:val="00DA2B14"/>
    <w:rsid w:val="00DA3023"/>
    <w:rsid w:val="00DA4C48"/>
    <w:rsid w:val="00DA727D"/>
    <w:rsid w:val="00DB53A7"/>
    <w:rsid w:val="00DD170F"/>
    <w:rsid w:val="00DE0A8A"/>
    <w:rsid w:val="00DE1106"/>
    <w:rsid w:val="00DF2F8B"/>
    <w:rsid w:val="00DF6837"/>
    <w:rsid w:val="00DF68E4"/>
    <w:rsid w:val="00DF6E54"/>
    <w:rsid w:val="00E04228"/>
    <w:rsid w:val="00E04457"/>
    <w:rsid w:val="00E04BBC"/>
    <w:rsid w:val="00E10450"/>
    <w:rsid w:val="00E1478E"/>
    <w:rsid w:val="00E159D7"/>
    <w:rsid w:val="00E213AB"/>
    <w:rsid w:val="00E21653"/>
    <w:rsid w:val="00E21C9B"/>
    <w:rsid w:val="00E22FD8"/>
    <w:rsid w:val="00E2414E"/>
    <w:rsid w:val="00E25E14"/>
    <w:rsid w:val="00E26830"/>
    <w:rsid w:val="00E26FAF"/>
    <w:rsid w:val="00E40B36"/>
    <w:rsid w:val="00E51672"/>
    <w:rsid w:val="00E51C2C"/>
    <w:rsid w:val="00E522FC"/>
    <w:rsid w:val="00E55EE5"/>
    <w:rsid w:val="00E61784"/>
    <w:rsid w:val="00E625B3"/>
    <w:rsid w:val="00E64743"/>
    <w:rsid w:val="00E7257D"/>
    <w:rsid w:val="00E728CB"/>
    <w:rsid w:val="00E7336F"/>
    <w:rsid w:val="00E74F3B"/>
    <w:rsid w:val="00E76262"/>
    <w:rsid w:val="00E84A6B"/>
    <w:rsid w:val="00E92385"/>
    <w:rsid w:val="00E93F74"/>
    <w:rsid w:val="00E96DEA"/>
    <w:rsid w:val="00EA1585"/>
    <w:rsid w:val="00EA48AE"/>
    <w:rsid w:val="00EB09E2"/>
    <w:rsid w:val="00EB74A5"/>
    <w:rsid w:val="00EC67E3"/>
    <w:rsid w:val="00ED4C82"/>
    <w:rsid w:val="00EE0126"/>
    <w:rsid w:val="00EE0C89"/>
    <w:rsid w:val="00EE47FE"/>
    <w:rsid w:val="00EE50C6"/>
    <w:rsid w:val="00EE5D41"/>
    <w:rsid w:val="00EE766D"/>
    <w:rsid w:val="00EF2A15"/>
    <w:rsid w:val="00EF5BFD"/>
    <w:rsid w:val="00EF7B33"/>
    <w:rsid w:val="00F00470"/>
    <w:rsid w:val="00F01C6F"/>
    <w:rsid w:val="00F0509B"/>
    <w:rsid w:val="00F06EE2"/>
    <w:rsid w:val="00F074DC"/>
    <w:rsid w:val="00F15632"/>
    <w:rsid w:val="00F17535"/>
    <w:rsid w:val="00F20949"/>
    <w:rsid w:val="00F24F8F"/>
    <w:rsid w:val="00F303B2"/>
    <w:rsid w:val="00F307E0"/>
    <w:rsid w:val="00F34D63"/>
    <w:rsid w:val="00F41BD7"/>
    <w:rsid w:val="00F57F7A"/>
    <w:rsid w:val="00F62D33"/>
    <w:rsid w:val="00F64AB3"/>
    <w:rsid w:val="00F655AA"/>
    <w:rsid w:val="00F6570B"/>
    <w:rsid w:val="00F66681"/>
    <w:rsid w:val="00F67615"/>
    <w:rsid w:val="00F76C98"/>
    <w:rsid w:val="00F804CD"/>
    <w:rsid w:val="00F80750"/>
    <w:rsid w:val="00F826F6"/>
    <w:rsid w:val="00F85F59"/>
    <w:rsid w:val="00F86538"/>
    <w:rsid w:val="00F86717"/>
    <w:rsid w:val="00F86DD4"/>
    <w:rsid w:val="00F97C7A"/>
    <w:rsid w:val="00FA2909"/>
    <w:rsid w:val="00FA3CEC"/>
    <w:rsid w:val="00FB4CF2"/>
    <w:rsid w:val="00FC071B"/>
    <w:rsid w:val="00FC4845"/>
    <w:rsid w:val="00FC6B03"/>
    <w:rsid w:val="00FD06D5"/>
    <w:rsid w:val="00FD28FF"/>
    <w:rsid w:val="00FD68A1"/>
    <w:rsid w:val="00FE0985"/>
    <w:rsid w:val="00FE419E"/>
    <w:rsid w:val="00FF2484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968DD4A"/>
  <w15:chartTrackingRefBased/>
  <w15:docId w15:val="{F2F67522-6D66-450A-9094-3EA41D33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/>
        <w:sz w:val="22"/>
        <w:szCs w:val="22"/>
        <w:lang w:val="en-AU" w:eastAsia="en-US" w:bidi="ar-SA"/>
      </w:rPr>
    </w:rPrDefault>
    <w:pPrDefault>
      <w:pPr>
        <w:spacing w:after="240"/>
        <w:jc w:val="both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nhideWhenUsed="1"/>
    <w:lsdException w:name="header" w:locked="0" w:uiPriority="0" w:unhideWhenUsed="1"/>
    <w:lsdException w:name="footer" w:locked="0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unhideWhenUsed="1"/>
    <w:lsdException w:name="endnote text" w:locked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7" w:unhideWhenUsed="1" w:qFormat="1"/>
    <w:lsdException w:name="List Bullet" w:unhideWhenUsed="1" w:qFormat="1"/>
    <w:lsdException w:name="List Number" w:qFormat="1"/>
    <w:lsdException w:name="List 2" w:semiHidden="1" w:uiPriority="17" w:unhideWhenUsed="1" w:qFormat="1"/>
    <w:lsdException w:name="List 3" w:semiHidden="1" w:uiPriority="17" w:unhideWhenUsed="1" w:qFormat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unhideWhenUsed="1" w:qFormat="1"/>
    <w:lsdException w:name="List Bullet 4" w:semiHidden="1" w:qFormat="1"/>
    <w:lsdException w:name="List Bullet 5" w:semiHidden="1" w:unhideWhenUsed="1"/>
    <w:lsdException w:name="List Number 2" w:unhideWhenUsed="1" w:qFormat="1"/>
    <w:lsdException w:name="List Number 3" w:unhideWhenUsed="1" w:qFormat="1"/>
    <w:lsdException w:name="List Number 4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locked="0" w:semiHidden="1" w:unhideWhenUsed="1"/>
    <w:lsdException w:name="Outline List 2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locked="0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4D76C1"/>
    <w:pPr>
      <w:numPr>
        <w:numId w:val="5"/>
      </w:numPr>
    </w:pPr>
  </w:style>
  <w:style w:type="paragraph" w:styleId="Heading1">
    <w:name w:val="heading 1"/>
    <w:basedOn w:val="Normal"/>
    <w:next w:val="Normal"/>
    <w:link w:val="Heading1Char"/>
    <w:uiPriority w:val="5"/>
    <w:qFormat/>
    <w:rsid w:val="00004ED1"/>
    <w:pPr>
      <w:keepNext/>
      <w:keepLines/>
      <w:numPr>
        <w:numId w:val="0"/>
      </w:numPr>
      <w:spacing w:before="3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4ED1"/>
    <w:pPr>
      <w:keepNext/>
      <w:keepLines/>
      <w:numPr>
        <w:numId w:val="0"/>
      </w:numPr>
      <w:spacing w:before="360"/>
      <w:outlineLvl w:val="1"/>
    </w:pPr>
    <w:rPr>
      <w:rFonts w:asciiTheme="majorHAnsi" w:eastAsiaTheme="majorEastAsia" w:hAnsiTheme="majorHAnsi" w:cstheme="majorBidi"/>
      <w:b/>
      <w:bCs/>
      <w:i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529F"/>
    <w:pPr>
      <w:keepNext/>
      <w:keepLines/>
      <w:numPr>
        <w:numId w:val="0"/>
      </w:numPr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5D04CC"/>
    <w:pPr>
      <w:keepNext/>
      <w:keepLines/>
      <w:numPr>
        <w:numId w:val="0"/>
      </w:numPr>
      <w:spacing w:before="240" w:after="12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9E529F"/>
    <w:pPr>
      <w:keepNext/>
      <w:keepLines/>
      <w:numPr>
        <w:numId w:val="0"/>
      </w:numPr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qFormat/>
    <w:rsid w:val="00E522FC"/>
    <w:pPr>
      <w:keepNext/>
      <w:keepLines/>
      <w:numPr>
        <w:numId w:val="0"/>
      </w:numPr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56C63"/>
    <w:pPr>
      <w:keepNext/>
      <w:keepLines/>
      <w:numPr>
        <w:numId w:val="0"/>
      </w:numPr>
      <w:spacing w:before="240" w:after="12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56C63"/>
    <w:pPr>
      <w:keepNext/>
      <w:keepLines/>
      <w:numPr>
        <w:numId w:val="0"/>
      </w:numPr>
      <w:spacing w:before="240" w:after="120"/>
      <w:outlineLvl w:val="7"/>
    </w:pPr>
    <w:rPr>
      <w:rFonts w:asciiTheme="majorHAnsi" w:eastAsiaTheme="majorEastAsia" w:hAnsiTheme="majorHAnsi" w:cstheme="majorBidi"/>
      <w:i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56C63"/>
    <w:pPr>
      <w:keepNext/>
      <w:keepLines/>
      <w:numPr>
        <w:numId w:val="0"/>
      </w:numPr>
      <w:spacing w:before="240" w:after="120"/>
      <w:outlineLvl w:val="8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5"/>
    <w:rsid w:val="00004ED1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04ED1"/>
    <w:rPr>
      <w:rFonts w:asciiTheme="majorHAnsi" w:eastAsiaTheme="majorEastAsia" w:hAnsiTheme="majorHAnsi" w:cstheme="majorBidi"/>
      <w:b/>
      <w:bCs/>
      <w:i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529F"/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paragraph" w:customStyle="1" w:styleId="CoverSubtitle">
    <w:name w:val="Cover Subtitle"/>
    <w:basedOn w:val="Normal"/>
    <w:next w:val="Normal"/>
    <w:uiPriority w:val="21"/>
    <w:semiHidden/>
    <w:locked/>
    <w:rsid w:val="00072B30"/>
    <w:pPr>
      <w:numPr>
        <w:numId w:val="0"/>
      </w:numPr>
      <w:spacing w:after="0"/>
    </w:pPr>
    <w:rPr>
      <w:rFonts w:asciiTheme="majorHAnsi" w:hAnsiTheme="majorHAnsi"/>
      <w:b/>
      <w:color w:val="000000" w:themeColor="text1"/>
      <w:sz w:val="48"/>
    </w:rPr>
  </w:style>
  <w:style w:type="paragraph" w:customStyle="1" w:styleId="SubHeadingNoTOC">
    <w:name w:val="Sub Heading (No TOC)"/>
    <w:basedOn w:val="Normal"/>
    <w:next w:val="Normal"/>
    <w:uiPriority w:val="9"/>
    <w:qFormat/>
    <w:rsid w:val="00F64AB3"/>
    <w:pPr>
      <w:keepNext/>
      <w:keepLines/>
      <w:numPr>
        <w:numId w:val="0"/>
      </w:numPr>
      <w:spacing w:before="240" w:after="120"/>
    </w:pPr>
    <w:rPr>
      <w:b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D04CC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ListBullet">
    <w:name w:val="List Bullet"/>
    <w:basedOn w:val="Normal"/>
    <w:uiPriority w:val="13"/>
    <w:qFormat/>
    <w:rsid w:val="00641EAA"/>
    <w:pPr>
      <w:numPr>
        <w:numId w:val="8"/>
      </w:numPr>
    </w:pPr>
  </w:style>
  <w:style w:type="paragraph" w:styleId="ListBullet2">
    <w:name w:val="List Bullet 2"/>
    <w:basedOn w:val="ListBullet"/>
    <w:uiPriority w:val="13"/>
    <w:qFormat/>
    <w:rsid w:val="00641EAA"/>
    <w:pPr>
      <w:numPr>
        <w:ilvl w:val="1"/>
      </w:numPr>
    </w:pPr>
  </w:style>
  <w:style w:type="paragraph" w:styleId="ListNumber">
    <w:name w:val="List Number"/>
    <w:basedOn w:val="Normal"/>
    <w:uiPriority w:val="15"/>
    <w:qFormat/>
    <w:rsid w:val="00662E28"/>
    <w:pPr>
      <w:numPr>
        <w:numId w:val="11"/>
      </w:numPr>
    </w:pPr>
  </w:style>
  <w:style w:type="paragraph" w:styleId="ListNumber2">
    <w:name w:val="List Number 2"/>
    <w:basedOn w:val="Normal"/>
    <w:uiPriority w:val="16"/>
    <w:qFormat/>
    <w:rsid w:val="00662E28"/>
    <w:pPr>
      <w:numPr>
        <w:ilvl w:val="1"/>
        <w:numId w:val="11"/>
      </w:numPr>
    </w:pPr>
  </w:style>
  <w:style w:type="numbering" w:customStyle="1" w:styleId="HeadingList">
    <w:name w:val="Heading List"/>
    <w:uiPriority w:val="99"/>
    <w:rsid w:val="001241CB"/>
    <w:pPr>
      <w:numPr>
        <w:numId w:val="6"/>
      </w:numPr>
    </w:pPr>
  </w:style>
  <w:style w:type="paragraph" w:styleId="ListNumber3">
    <w:name w:val="List Number 3"/>
    <w:basedOn w:val="Normal"/>
    <w:uiPriority w:val="16"/>
    <w:qFormat/>
    <w:rsid w:val="00662E28"/>
    <w:pPr>
      <w:numPr>
        <w:ilvl w:val="2"/>
        <w:numId w:val="11"/>
      </w:numPr>
    </w:pPr>
  </w:style>
  <w:style w:type="paragraph" w:styleId="Title">
    <w:name w:val="Title"/>
    <w:basedOn w:val="Normal"/>
    <w:next w:val="Normal"/>
    <w:link w:val="TitleChar"/>
    <w:uiPriority w:val="1"/>
    <w:rsid w:val="0057138A"/>
    <w:pPr>
      <w:numPr>
        <w:numId w:val="0"/>
      </w:numPr>
    </w:pPr>
    <w:rPr>
      <w:rFonts w:asciiTheme="majorHAnsi" w:eastAsiaTheme="majorEastAsia" w:hAnsiTheme="majorHAnsi" w:cstheme="majorBidi"/>
      <w:b/>
      <w:caps/>
      <w:color w:val="000000" w:themeColor="text1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57138A"/>
    <w:rPr>
      <w:rFonts w:asciiTheme="majorHAnsi" w:eastAsiaTheme="majorEastAsia" w:hAnsiTheme="majorHAnsi" w:cstheme="majorBidi"/>
      <w:b/>
      <w:caps/>
      <w:color w:val="000000" w:themeColor="text1"/>
      <w:sz w:val="40"/>
      <w:szCs w:val="52"/>
    </w:rPr>
  </w:style>
  <w:style w:type="numbering" w:styleId="111111">
    <w:name w:val="Outline List 2"/>
    <w:basedOn w:val="NoList"/>
    <w:uiPriority w:val="99"/>
    <w:semiHidden/>
    <w:unhideWhenUsed/>
    <w:locked/>
    <w:rsid w:val="00466648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0453D9"/>
    <w:pPr>
      <w:numPr>
        <w:numId w:val="0"/>
      </w:numPr>
      <w:tabs>
        <w:tab w:val="left" w:pos="851"/>
        <w:tab w:val="right" w:pos="9027"/>
      </w:tabs>
      <w:ind w:left="851" w:hanging="851"/>
      <w:jc w:val="left"/>
    </w:pPr>
    <w:rPr>
      <w:i/>
      <w:sz w:val="28"/>
    </w:rPr>
  </w:style>
  <w:style w:type="paragraph" w:styleId="TOCHeading">
    <w:name w:val="TOC Heading"/>
    <w:basedOn w:val="Heading1"/>
    <w:next w:val="Normal"/>
    <w:uiPriority w:val="38"/>
    <w:unhideWhenUsed/>
    <w:rsid w:val="000453D9"/>
    <w:pPr>
      <w:outlineLvl w:val="9"/>
    </w:pPr>
    <w:rPr>
      <w:b w:val="0"/>
      <w:i/>
    </w:rPr>
  </w:style>
  <w:style w:type="paragraph" w:styleId="Footer">
    <w:name w:val="footer"/>
    <w:basedOn w:val="Normal"/>
    <w:link w:val="FooterChar"/>
    <w:uiPriority w:val="99"/>
    <w:rsid w:val="00722F9F"/>
    <w:pPr>
      <w:numPr>
        <w:numId w:val="0"/>
      </w:numPr>
      <w:tabs>
        <w:tab w:val="right" w:pos="9639"/>
      </w:tabs>
      <w:spacing w:after="0" w:line="200" w:lineRule="exact"/>
      <w:contextualSpacing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14F78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3"/>
    <w:qFormat/>
    <w:rsid w:val="00641EAA"/>
    <w:pPr>
      <w:numPr>
        <w:ilvl w:val="2"/>
        <w:numId w:val="8"/>
      </w:numPr>
    </w:pPr>
  </w:style>
  <w:style w:type="table" w:styleId="TableGrid">
    <w:name w:val="Table Grid"/>
    <w:basedOn w:val="TableNormal"/>
    <w:uiPriority w:val="59"/>
    <w:rsid w:val="00826012"/>
    <w:pPr>
      <w:spacing w:before="60" w:after="60"/>
      <w:jc w:val="left"/>
    </w:pPr>
    <w:tblPr>
      <w:tblStyleRowBandSize w:val="1"/>
      <w:tblStyleColBandSize w:val="1"/>
      <w:tblBorders>
        <w:bottom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EAECEE" w:themeFill="accent4" w:themeFillTint="33"/>
    </w:tcPr>
    <w:tblStylePr w:type="firstRow">
      <w:rPr>
        <w:b w:val="0"/>
        <w:color w:val="FFFFFF" w:themeColor="background1"/>
      </w:rPr>
      <w:tblPr/>
      <w:trPr>
        <w:cantSplit/>
        <w:tblHeader/>
      </w:trPr>
      <w:tcPr>
        <w:shd w:val="clear" w:color="auto" w:fill="012169" w:themeFill="accent1"/>
      </w:tcPr>
    </w:tblStylePr>
    <w:tblStylePr w:type="lastRow">
      <w:rPr>
        <w:b/>
      </w:rPr>
      <w:tblPr/>
      <w:tcPr>
        <w:shd w:val="clear" w:color="auto" w:fill="EAECEE" w:themeFill="accent4" w:themeFillTint="33"/>
      </w:tcPr>
    </w:tblStylePr>
    <w:tblStylePr w:type="firstCol">
      <w:rPr>
        <w:b/>
        <w:color w:val="auto"/>
      </w:rPr>
    </w:tblStylePr>
    <w:tblStylePr w:type="lastCol">
      <w:pPr>
        <w:jc w:val="right"/>
      </w:pPr>
      <w:rPr>
        <w:b/>
      </w:rPr>
    </w:tblStylePr>
    <w:tblStylePr w:type="band1Horz">
      <w:tblPr/>
      <w:tcPr>
        <w:shd w:val="clear" w:color="auto" w:fill="EAECEE" w:themeFill="accent4" w:themeFillTint="33"/>
      </w:tcPr>
    </w:tblStylePr>
    <w:tblStylePr w:type="band2Horz">
      <w:tblPr/>
      <w:tcPr>
        <w:shd w:val="clear" w:color="auto" w:fill="C1C8CE" w:themeFill="accent4" w:themeFillTint="99"/>
      </w:tcPr>
    </w:tblStylePr>
  </w:style>
  <w:style w:type="paragraph" w:styleId="Caption">
    <w:name w:val="caption"/>
    <w:next w:val="Normal"/>
    <w:uiPriority w:val="34"/>
    <w:qFormat/>
    <w:rsid w:val="00F15632"/>
    <w:pPr>
      <w:spacing w:before="60" w:after="360"/>
    </w:pPr>
    <w:rPr>
      <w:bCs/>
      <w:i/>
      <w:sz w:val="16"/>
      <w:szCs w:val="18"/>
    </w:rPr>
  </w:style>
  <w:style w:type="paragraph" w:styleId="Header">
    <w:name w:val="header"/>
    <w:basedOn w:val="Normal"/>
    <w:link w:val="HeaderChar"/>
    <w:uiPriority w:val="99"/>
    <w:rsid w:val="00722F9F"/>
    <w:pPr>
      <w:numPr>
        <w:numId w:val="0"/>
      </w:num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E93F74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E0C10"/>
    <w:rPr>
      <w:noProof w:val="0"/>
      <w:color w:val="000000" w:themeColor="text1"/>
      <w:sz w:val="22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A909CC"/>
    <w:pPr>
      <w:numPr>
        <w:numId w:val="0"/>
      </w:numPr>
    </w:pPr>
  </w:style>
  <w:style w:type="character" w:styleId="Hyperlink">
    <w:name w:val="Hyperlink"/>
    <w:basedOn w:val="DefaultParagraphFont"/>
    <w:uiPriority w:val="99"/>
    <w:rsid w:val="00616C90"/>
    <w:rPr>
      <w:noProof w:val="0"/>
      <w:color w:val="0000FF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12169" w:themeColor="accent1"/>
        <w:left w:val="single" w:sz="2" w:space="10" w:color="012169" w:themeColor="accent1"/>
        <w:bottom w:val="single" w:sz="2" w:space="10" w:color="012169" w:themeColor="accent1"/>
        <w:right w:val="single" w:sz="2" w:space="10" w:color="012169" w:themeColor="accent1"/>
      </w:pBdr>
      <w:ind w:left="1152" w:right="1152"/>
    </w:pPr>
    <w:rPr>
      <w:rFonts w:asciiTheme="minorHAnsi" w:eastAsiaTheme="minorEastAsia" w:hAnsiTheme="minorHAnsi"/>
      <w:i/>
      <w:iCs/>
      <w:color w:val="01216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</w:style>
  <w:style w:type="table" w:styleId="ColorfulGrid">
    <w:name w:val="Colorful Grid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C7FE" w:themeFill="accent1" w:themeFillTint="33"/>
    </w:tcPr>
    <w:tblStylePr w:type="firstRow">
      <w:rPr>
        <w:b/>
        <w:bCs/>
      </w:rPr>
      <w:tblPr/>
      <w:tcPr>
        <w:shd w:val="clear" w:color="auto" w:fill="5E8FF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E8FF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184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184E" w:themeFill="accent1" w:themeFillShade="BF"/>
      </w:tcPr>
    </w:tblStylePr>
    <w:tblStylePr w:type="band1Vert">
      <w:tblPr/>
      <w:tcPr>
        <w:shd w:val="clear" w:color="auto" w:fill="3773FD" w:themeFill="accent1" w:themeFillTint="7F"/>
      </w:tcPr>
    </w:tblStylePr>
    <w:tblStylePr w:type="band1Horz">
      <w:tblPr/>
      <w:tcPr>
        <w:shd w:val="clear" w:color="auto" w:fill="3773FD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0FF" w:themeFill="accent2" w:themeFillTint="33"/>
    </w:tcPr>
    <w:tblStylePr w:type="firstRow">
      <w:rPr>
        <w:b/>
        <w:bCs/>
      </w:rPr>
      <w:tblPr/>
      <w:tcPr>
        <w:shd w:val="clear" w:color="auto" w:fill="8CE2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2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EA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EA7" w:themeFill="accent2" w:themeFillShade="BF"/>
      </w:tcPr>
    </w:tblStylePr>
    <w:tblStylePr w:type="band1Vert">
      <w:tblPr/>
      <w:tcPr>
        <w:shd w:val="clear" w:color="auto" w:fill="70DBFF" w:themeFill="accent2" w:themeFillTint="7F"/>
      </w:tcPr>
    </w:tblStylePr>
    <w:tblStylePr w:type="band1Horz">
      <w:tblPr/>
      <w:tcPr>
        <w:shd w:val="clear" w:color="auto" w:fill="70DBFF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3FF" w:themeFill="accent3" w:themeFillTint="33"/>
    </w:tcPr>
    <w:tblStylePr w:type="firstRow">
      <w:rPr>
        <w:b/>
        <w:bCs/>
      </w:rPr>
      <w:tblPr/>
      <w:tcPr>
        <w:shd w:val="clear" w:color="auto" w:fill="85C8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C8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5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59A" w:themeFill="accent3" w:themeFillShade="BF"/>
      </w:tcPr>
    </w:tblStylePr>
    <w:tblStylePr w:type="band1Vert">
      <w:tblPr/>
      <w:tcPr>
        <w:shd w:val="clear" w:color="auto" w:fill="67BBFF" w:themeFill="accent3" w:themeFillTint="7F"/>
      </w:tcPr>
    </w:tblStylePr>
    <w:tblStylePr w:type="band1Horz">
      <w:tblPr/>
      <w:tcPr>
        <w:shd w:val="clear" w:color="auto" w:fill="67BBFF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CEE" w:themeFill="accent4" w:themeFillTint="33"/>
    </w:tcPr>
    <w:tblStylePr w:type="firstRow">
      <w:rPr>
        <w:b/>
        <w:bCs/>
      </w:rPr>
      <w:tblPr/>
      <w:tcPr>
        <w:shd w:val="clear" w:color="auto" w:fill="D5DA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A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B7B8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B7B88" w:themeFill="accent4" w:themeFillShade="BF"/>
      </w:tcPr>
    </w:tblStylePr>
    <w:tblStylePr w:type="band1Vert">
      <w:tblPr/>
      <w:tcPr>
        <w:shd w:val="clear" w:color="auto" w:fill="CBD1D6" w:themeFill="accent4" w:themeFillTint="7F"/>
      </w:tcPr>
    </w:tblStylePr>
    <w:tblStylePr w:type="band1Horz">
      <w:tblPr/>
      <w:tcPr>
        <w:shd w:val="clear" w:color="auto" w:fill="CBD1D6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3E9" w:themeFill="accent5" w:themeFillTint="33"/>
    </w:tcPr>
    <w:tblStylePr w:type="firstRow">
      <w:rPr>
        <w:b/>
        <w:bCs/>
      </w:rPr>
      <w:tblPr/>
      <w:tcPr>
        <w:shd w:val="clear" w:color="auto" w:fill="B4C8D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8D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B576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B5767" w:themeFill="accent5" w:themeFillShade="BF"/>
      </w:tcPr>
    </w:tblStylePr>
    <w:tblStylePr w:type="band1Vert">
      <w:tblPr/>
      <w:tcPr>
        <w:shd w:val="clear" w:color="auto" w:fill="A2BBCA" w:themeFill="accent5" w:themeFillTint="7F"/>
      </w:tcPr>
    </w:tblStylePr>
    <w:tblStylePr w:type="band1Horz">
      <w:tblPr/>
      <w:tcPr>
        <w:shd w:val="clear" w:color="auto" w:fill="A2BBCA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F3FA" w:themeFill="accent6" w:themeFillTint="33"/>
    </w:tcPr>
    <w:tblStylePr w:type="firstRow">
      <w:rPr>
        <w:b/>
        <w:bCs/>
      </w:rPr>
      <w:tblPr/>
      <w:tcPr>
        <w:shd w:val="clear" w:color="auto" w:fill="C6E7F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6E7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6A6D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6A6DC" w:themeFill="accent6" w:themeFillShade="BF"/>
      </w:tcPr>
    </w:tblStylePr>
    <w:tblStylePr w:type="band1Vert">
      <w:tblPr/>
      <w:tcPr>
        <w:shd w:val="clear" w:color="auto" w:fill="B8E2F3" w:themeFill="accent6" w:themeFillTint="7F"/>
      </w:tcPr>
    </w:tblStylePr>
    <w:tblStylePr w:type="band1Horz">
      <w:tblPr/>
      <w:tcPr>
        <w:shd w:val="clear" w:color="auto" w:fill="B8E2F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6B3" w:themeFill="accent2" w:themeFillShade="CC"/>
      </w:tcPr>
    </w:tblStylePr>
    <w:tblStylePr w:type="lastRow">
      <w:rPr>
        <w:b/>
        <w:bCs/>
        <w:color w:val="0086B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D7E3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6B3" w:themeFill="accent2" w:themeFillShade="CC"/>
      </w:tcPr>
    </w:tblStylePr>
    <w:tblStylePr w:type="lastRow">
      <w:rPr>
        <w:b/>
        <w:bCs/>
        <w:color w:val="0086B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9FE" w:themeFill="accent1" w:themeFillTint="3F"/>
      </w:tcPr>
    </w:tblStylePr>
    <w:tblStylePr w:type="band1Horz">
      <w:tblPr/>
      <w:tcPr>
        <w:shd w:val="clear" w:color="auto" w:fill="AEC7FE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2F8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6B3" w:themeFill="accent2" w:themeFillShade="CC"/>
      </w:tcPr>
    </w:tblStylePr>
    <w:tblStylePr w:type="lastRow">
      <w:rPr>
        <w:b/>
        <w:bCs/>
        <w:color w:val="0086B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EDFF" w:themeFill="accent2" w:themeFillTint="3F"/>
      </w:tcPr>
    </w:tblStylePr>
    <w:tblStylePr w:type="band1Horz">
      <w:tblPr/>
      <w:tcPr>
        <w:shd w:val="clear" w:color="auto" w:fill="C5F0FF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1F1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8391" w:themeFill="accent4" w:themeFillShade="CC"/>
      </w:tcPr>
    </w:tblStylePr>
    <w:tblStylePr w:type="lastRow">
      <w:rPr>
        <w:b/>
        <w:bCs/>
        <w:color w:val="73839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DDFF" w:themeFill="accent3" w:themeFillTint="3F"/>
      </w:tcPr>
    </w:tblStylePr>
    <w:tblStylePr w:type="band1Horz">
      <w:tblPr/>
      <w:tcPr>
        <w:shd w:val="clear" w:color="auto" w:fill="C2E3FF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4F5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A4" w:themeFill="accent3" w:themeFillShade="CC"/>
      </w:tcPr>
    </w:tblStylePr>
    <w:tblStylePr w:type="lastRow">
      <w:rPr>
        <w:b/>
        <w:bCs/>
        <w:color w:val="005B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B" w:themeFill="accent4" w:themeFillTint="3F"/>
      </w:tcPr>
    </w:tblStylePr>
    <w:tblStylePr w:type="band1Horz">
      <w:tblPr/>
      <w:tcPr>
        <w:shd w:val="clear" w:color="auto" w:fill="EAECEE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CF1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ACDE" w:themeFill="accent6" w:themeFillShade="CC"/>
      </w:tcPr>
    </w:tblStylePr>
    <w:tblStylePr w:type="lastRow">
      <w:rPr>
        <w:b/>
        <w:bCs/>
        <w:color w:val="35ACD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DE4" w:themeFill="accent5" w:themeFillTint="3F"/>
      </w:tcPr>
    </w:tblStylePr>
    <w:tblStylePr w:type="band1Horz">
      <w:tblPr/>
      <w:tcPr>
        <w:shd w:val="clear" w:color="auto" w:fill="D9E3E9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0F9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5D6F" w:themeFill="accent5" w:themeFillShade="CC"/>
      </w:tcPr>
    </w:tblStylePr>
    <w:tblStylePr w:type="lastRow">
      <w:rPr>
        <w:b/>
        <w:bCs/>
        <w:color w:val="3F5D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0F9" w:themeFill="accent6" w:themeFillTint="3F"/>
      </w:tcPr>
    </w:tblStylePr>
    <w:tblStylePr w:type="band1Horz">
      <w:tblPr/>
      <w:tcPr>
        <w:shd w:val="clear" w:color="auto" w:fill="E2F3FA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A9E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A9E0" w:themeColor="accent2"/>
        <w:left w:val="single" w:sz="4" w:space="0" w:color="012169" w:themeColor="accent1"/>
        <w:bottom w:val="single" w:sz="4" w:space="0" w:color="012169" w:themeColor="accent1"/>
        <w:right w:val="single" w:sz="4" w:space="0" w:color="01216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3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33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33E" w:themeColor="accent1" w:themeShade="99"/>
          <w:insideV w:val="nil"/>
        </w:tcBorders>
        <w:shd w:val="clear" w:color="auto" w:fill="00133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33E" w:themeFill="accent1" w:themeFillShade="99"/>
      </w:tcPr>
    </w:tblStylePr>
    <w:tblStylePr w:type="band1Vert">
      <w:tblPr/>
      <w:tcPr>
        <w:shd w:val="clear" w:color="auto" w:fill="5E8FFD" w:themeFill="accent1" w:themeFillTint="66"/>
      </w:tcPr>
    </w:tblStylePr>
    <w:tblStylePr w:type="band1Horz">
      <w:tblPr/>
      <w:tcPr>
        <w:shd w:val="clear" w:color="auto" w:fill="3773F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A9E0" w:themeColor="accent2"/>
        <w:left w:val="single" w:sz="4" w:space="0" w:color="00A9E0" w:themeColor="accent2"/>
        <w:bottom w:val="single" w:sz="4" w:space="0" w:color="00A9E0" w:themeColor="accent2"/>
        <w:right w:val="single" w:sz="4" w:space="0" w:color="00A9E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8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86" w:themeColor="accent2" w:themeShade="99"/>
          <w:insideV w:val="nil"/>
        </w:tcBorders>
        <w:shd w:val="clear" w:color="auto" w:fill="00658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86" w:themeFill="accent2" w:themeFillShade="99"/>
      </w:tcPr>
    </w:tblStylePr>
    <w:tblStylePr w:type="band1Vert">
      <w:tblPr/>
      <w:tcPr>
        <w:shd w:val="clear" w:color="auto" w:fill="8CE2FF" w:themeFill="accent2" w:themeFillTint="66"/>
      </w:tcPr>
    </w:tblStylePr>
    <w:tblStylePr w:type="band1Horz">
      <w:tblPr/>
      <w:tcPr>
        <w:shd w:val="clear" w:color="auto" w:fill="70DB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98A4AE" w:themeColor="accent4"/>
        <w:left w:val="single" w:sz="4" w:space="0" w:color="0072CE" w:themeColor="accent3"/>
        <w:bottom w:val="single" w:sz="4" w:space="0" w:color="0072CE" w:themeColor="accent3"/>
        <w:right w:val="single" w:sz="4" w:space="0" w:color="0072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1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8A4A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B" w:themeColor="accent3" w:themeShade="99"/>
          <w:insideV w:val="nil"/>
        </w:tcBorders>
        <w:shd w:val="clear" w:color="auto" w:fill="0044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B" w:themeFill="accent3" w:themeFillShade="99"/>
      </w:tcPr>
    </w:tblStylePr>
    <w:tblStylePr w:type="band1Vert">
      <w:tblPr/>
      <w:tcPr>
        <w:shd w:val="clear" w:color="auto" w:fill="85C8FF" w:themeFill="accent3" w:themeFillTint="66"/>
      </w:tcPr>
    </w:tblStylePr>
    <w:tblStylePr w:type="band1Horz">
      <w:tblPr/>
      <w:tcPr>
        <w:shd w:val="clear" w:color="auto" w:fill="67BB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72CE" w:themeColor="accent3"/>
        <w:left w:val="single" w:sz="4" w:space="0" w:color="98A4AE" w:themeColor="accent4"/>
        <w:bottom w:val="single" w:sz="4" w:space="0" w:color="98A4AE" w:themeColor="accent4"/>
        <w:right w:val="single" w:sz="4" w:space="0" w:color="98A4A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626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626D" w:themeColor="accent4" w:themeShade="99"/>
          <w:insideV w:val="nil"/>
        </w:tcBorders>
        <w:shd w:val="clear" w:color="auto" w:fill="56626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626D" w:themeFill="accent4" w:themeFillShade="99"/>
      </w:tcPr>
    </w:tblStylePr>
    <w:tblStylePr w:type="band1Vert">
      <w:tblPr/>
      <w:tcPr>
        <w:shd w:val="clear" w:color="auto" w:fill="D5DADE" w:themeFill="accent4" w:themeFillTint="66"/>
      </w:tcPr>
    </w:tblStylePr>
    <w:tblStylePr w:type="band1Horz">
      <w:tblPr/>
      <w:tcPr>
        <w:shd w:val="clear" w:color="auto" w:fill="CBD1D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71C5E8" w:themeColor="accent6"/>
        <w:left w:val="single" w:sz="4" w:space="0" w:color="4F758B" w:themeColor="accent5"/>
        <w:bottom w:val="single" w:sz="4" w:space="0" w:color="4F758B" w:themeColor="accent5"/>
        <w:right w:val="single" w:sz="4" w:space="0" w:color="4F75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C5E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46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4653" w:themeColor="accent5" w:themeShade="99"/>
          <w:insideV w:val="nil"/>
        </w:tcBorders>
        <w:shd w:val="clear" w:color="auto" w:fill="2F46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4653" w:themeFill="accent5" w:themeFillShade="99"/>
      </w:tcPr>
    </w:tblStylePr>
    <w:tblStylePr w:type="band1Vert">
      <w:tblPr/>
      <w:tcPr>
        <w:shd w:val="clear" w:color="auto" w:fill="B4C8D4" w:themeFill="accent5" w:themeFillTint="66"/>
      </w:tcPr>
    </w:tblStylePr>
    <w:tblStylePr w:type="band1Horz">
      <w:tblPr/>
      <w:tcPr>
        <w:shd w:val="clear" w:color="auto" w:fill="A2BBC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4F758B" w:themeColor="accent5"/>
        <w:left w:val="single" w:sz="4" w:space="0" w:color="71C5E8" w:themeColor="accent6"/>
        <w:bottom w:val="single" w:sz="4" w:space="0" w:color="71C5E8" w:themeColor="accent6"/>
        <w:right w:val="single" w:sz="4" w:space="0" w:color="71C5E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9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75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D86B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D86B2" w:themeColor="accent6" w:themeShade="99"/>
          <w:insideV w:val="nil"/>
        </w:tcBorders>
        <w:shd w:val="clear" w:color="auto" w:fill="1D86B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6B2" w:themeFill="accent6" w:themeFillShade="99"/>
      </w:tcPr>
    </w:tblStylePr>
    <w:tblStylePr w:type="band1Vert">
      <w:tblPr/>
      <w:tcPr>
        <w:shd w:val="clear" w:color="auto" w:fill="C6E7F5" w:themeFill="accent6" w:themeFillTint="66"/>
      </w:tcPr>
    </w:tblStylePr>
    <w:tblStylePr w:type="band1Horz">
      <w:tblPr/>
      <w:tcPr>
        <w:shd w:val="clear" w:color="auto" w:fill="B8E2F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</w:rPr>
  </w:style>
  <w:style w:type="table" w:styleId="DarkList">
    <w:name w:val="Dark List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216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03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84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84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84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84E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A9E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36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A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A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A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A7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2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A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8A4A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525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7B8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7B8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7B8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7B88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75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3A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576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576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576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5767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1C5E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6F9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A6D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A6D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A6D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A6DC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semiHidden/>
    <w:rsid w:val="00E64743"/>
    <w:rPr>
      <w:noProof w:val="0"/>
      <w:sz w:val="16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semiHidden/>
    <w:rsid w:val="00722F9F"/>
    <w:pPr>
      <w:numPr>
        <w:numId w:val="0"/>
      </w:numPr>
      <w:spacing w:after="0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73E5"/>
    <w:rPr>
      <w:sz w:val="16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rsid w:val="00355D40"/>
    <w:rPr>
      <w:noProof w:val="0"/>
      <w:color w:val="7030A0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0573E5"/>
    <w:rPr>
      <w:noProof w:val="0"/>
      <w:sz w:val="18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C0373C"/>
    <w:pPr>
      <w:numPr>
        <w:numId w:val="0"/>
      </w:numPr>
      <w:tabs>
        <w:tab w:val="left" w:pos="170"/>
      </w:tabs>
      <w:spacing w:after="120"/>
      <w:ind w:left="170" w:hanging="17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373C"/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9E529F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004ED1"/>
    <w:rPr>
      <w:rFonts w:asciiTheme="majorHAnsi" w:eastAsiaTheme="majorEastAsia" w:hAnsiTheme="majorHAnsi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6C6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6C63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6C63"/>
    <w:rPr>
      <w:rFonts w:asciiTheme="majorHAnsi" w:eastAsiaTheme="majorEastAsia" w:hAnsiTheme="majorHAnsi" w:cstheme="majorBidi"/>
      <w:i/>
      <w:iCs/>
      <w:color w:val="000000" w:themeColor="text1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12169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12169" w:themeColor="accent1"/>
      </w:pBdr>
      <w:spacing w:before="200" w:after="280"/>
      <w:ind w:left="936" w:right="936"/>
    </w:pPr>
    <w:rPr>
      <w:b/>
      <w:bCs/>
      <w:i/>
      <w:iCs/>
      <w:color w:val="01216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color w:val="012169" w:themeColor="accent1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00A9E0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12169" w:themeColor="accent1"/>
        <w:left w:val="single" w:sz="8" w:space="0" w:color="012169" w:themeColor="accent1"/>
        <w:bottom w:val="single" w:sz="8" w:space="0" w:color="012169" w:themeColor="accent1"/>
        <w:right w:val="single" w:sz="8" w:space="0" w:color="012169" w:themeColor="accent1"/>
        <w:insideH w:val="single" w:sz="8" w:space="0" w:color="012169" w:themeColor="accent1"/>
        <w:insideV w:val="single" w:sz="8" w:space="0" w:color="01216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18" w:space="0" w:color="012169" w:themeColor="accent1"/>
          <w:right w:val="single" w:sz="8" w:space="0" w:color="012169" w:themeColor="accent1"/>
          <w:insideH w:val="nil"/>
          <w:insideV w:val="single" w:sz="8" w:space="0" w:color="01216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  <w:insideH w:val="nil"/>
          <w:insideV w:val="single" w:sz="8" w:space="0" w:color="01216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</w:tcPr>
    </w:tblStylePr>
    <w:tblStylePr w:type="band1Vert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  <w:shd w:val="clear" w:color="auto" w:fill="9BB9FE" w:themeFill="accent1" w:themeFillTint="3F"/>
      </w:tcPr>
    </w:tblStylePr>
    <w:tblStylePr w:type="band1Horz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  <w:insideV w:val="single" w:sz="8" w:space="0" w:color="012169" w:themeColor="accent1"/>
        </w:tcBorders>
        <w:shd w:val="clear" w:color="auto" w:fill="9BB9FE" w:themeFill="accent1" w:themeFillTint="3F"/>
      </w:tcPr>
    </w:tblStylePr>
    <w:tblStylePr w:type="band2Horz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  <w:insideV w:val="single" w:sz="8" w:space="0" w:color="012169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9E0" w:themeColor="accent2"/>
        <w:left w:val="single" w:sz="8" w:space="0" w:color="00A9E0" w:themeColor="accent2"/>
        <w:bottom w:val="single" w:sz="8" w:space="0" w:color="00A9E0" w:themeColor="accent2"/>
        <w:right w:val="single" w:sz="8" w:space="0" w:color="00A9E0" w:themeColor="accent2"/>
        <w:insideH w:val="single" w:sz="8" w:space="0" w:color="00A9E0" w:themeColor="accent2"/>
        <w:insideV w:val="single" w:sz="8" w:space="0" w:color="00A9E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18" w:space="0" w:color="00A9E0" w:themeColor="accent2"/>
          <w:right w:val="single" w:sz="8" w:space="0" w:color="00A9E0" w:themeColor="accent2"/>
          <w:insideH w:val="nil"/>
          <w:insideV w:val="single" w:sz="8" w:space="0" w:color="00A9E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  <w:insideH w:val="nil"/>
          <w:insideV w:val="single" w:sz="8" w:space="0" w:color="00A9E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</w:tcBorders>
      </w:tcPr>
    </w:tblStylePr>
    <w:tblStylePr w:type="band1Vert"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</w:tcBorders>
        <w:shd w:val="clear" w:color="auto" w:fill="B8EDFF" w:themeFill="accent2" w:themeFillTint="3F"/>
      </w:tcPr>
    </w:tblStylePr>
    <w:tblStylePr w:type="band1Horz"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  <w:insideV w:val="single" w:sz="8" w:space="0" w:color="00A9E0" w:themeColor="accent2"/>
        </w:tcBorders>
        <w:shd w:val="clear" w:color="auto" w:fill="B8EDFF" w:themeFill="accent2" w:themeFillTint="3F"/>
      </w:tcPr>
    </w:tblStylePr>
    <w:tblStylePr w:type="band2Horz"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  <w:insideV w:val="single" w:sz="8" w:space="0" w:color="00A9E0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72CE" w:themeColor="accent3"/>
        <w:left w:val="single" w:sz="8" w:space="0" w:color="0072CE" w:themeColor="accent3"/>
        <w:bottom w:val="single" w:sz="8" w:space="0" w:color="0072CE" w:themeColor="accent3"/>
        <w:right w:val="single" w:sz="8" w:space="0" w:color="0072CE" w:themeColor="accent3"/>
        <w:insideH w:val="single" w:sz="8" w:space="0" w:color="0072CE" w:themeColor="accent3"/>
        <w:insideV w:val="single" w:sz="8" w:space="0" w:color="0072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18" w:space="0" w:color="0072CE" w:themeColor="accent3"/>
          <w:right w:val="single" w:sz="8" w:space="0" w:color="0072CE" w:themeColor="accent3"/>
          <w:insideH w:val="nil"/>
          <w:insideV w:val="single" w:sz="8" w:space="0" w:color="0072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  <w:insideH w:val="nil"/>
          <w:insideV w:val="single" w:sz="8" w:space="0" w:color="0072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</w:tcBorders>
      </w:tcPr>
    </w:tblStylePr>
    <w:tblStylePr w:type="band1Vert"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</w:tcBorders>
        <w:shd w:val="clear" w:color="auto" w:fill="B3DDFF" w:themeFill="accent3" w:themeFillTint="3F"/>
      </w:tcPr>
    </w:tblStylePr>
    <w:tblStylePr w:type="band1Horz"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  <w:insideV w:val="single" w:sz="8" w:space="0" w:color="0072CE" w:themeColor="accent3"/>
        </w:tcBorders>
        <w:shd w:val="clear" w:color="auto" w:fill="B3DDFF" w:themeFill="accent3" w:themeFillTint="3F"/>
      </w:tcPr>
    </w:tblStylePr>
    <w:tblStylePr w:type="band2Horz"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  <w:insideV w:val="single" w:sz="8" w:space="0" w:color="0072CE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8A4AE" w:themeColor="accent4"/>
        <w:left w:val="single" w:sz="8" w:space="0" w:color="98A4AE" w:themeColor="accent4"/>
        <w:bottom w:val="single" w:sz="8" w:space="0" w:color="98A4AE" w:themeColor="accent4"/>
        <w:right w:val="single" w:sz="8" w:space="0" w:color="98A4AE" w:themeColor="accent4"/>
        <w:insideH w:val="single" w:sz="8" w:space="0" w:color="98A4AE" w:themeColor="accent4"/>
        <w:insideV w:val="single" w:sz="8" w:space="0" w:color="98A4A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18" w:space="0" w:color="98A4AE" w:themeColor="accent4"/>
          <w:right w:val="single" w:sz="8" w:space="0" w:color="98A4AE" w:themeColor="accent4"/>
          <w:insideH w:val="nil"/>
          <w:insideV w:val="single" w:sz="8" w:space="0" w:color="98A4A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  <w:insideH w:val="nil"/>
          <w:insideV w:val="single" w:sz="8" w:space="0" w:color="98A4A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</w:tcBorders>
      </w:tcPr>
    </w:tblStylePr>
    <w:tblStylePr w:type="band1Vert"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</w:tcBorders>
        <w:shd w:val="clear" w:color="auto" w:fill="E5E8EB" w:themeFill="accent4" w:themeFillTint="3F"/>
      </w:tcPr>
    </w:tblStylePr>
    <w:tblStylePr w:type="band1Horz"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  <w:insideV w:val="single" w:sz="8" w:space="0" w:color="98A4AE" w:themeColor="accent4"/>
        </w:tcBorders>
        <w:shd w:val="clear" w:color="auto" w:fill="E5E8EB" w:themeFill="accent4" w:themeFillTint="3F"/>
      </w:tcPr>
    </w:tblStylePr>
    <w:tblStylePr w:type="band2Horz"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  <w:insideV w:val="single" w:sz="8" w:space="0" w:color="98A4AE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F758B" w:themeColor="accent5"/>
        <w:left w:val="single" w:sz="8" w:space="0" w:color="4F758B" w:themeColor="accent5"/>
        <w:bottom w:val="single" w:sz="8" w:space="0" w:color="4F758B" w:themeColor="accent5"/>
        <w:right w:val="single" w:sz="8" w:space="0" w:color="4F758B" w:themeColor="accent5"/>
        <w:insideH w:val="single" w:sz="8" w:space="0" w:color="4F758B" w:themeColor="accent5"/>
        <w:insideV w:val="single" w:sz="8" w:space="0" w:color="4F75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18" w:space="0" w:color="4F758B" w:themeColor="accent5"/>
          <w:right w:val="single" w:sz="8" w:space="0" w:color="4F758B" w:themeColor="accent5"/>
          <w:insideH w:val="nil"/>
          <w:insideV w:val="single" w:sz="8" w:space="0" w:color="4F75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  <w:insideH w:val="nil"/>
          <w:insideV w:val="single" w:sz="8" w:space="0" w:color="4F75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</w:tcBorders>
      </w:tcPr>
    </w:tblStylePr>
    <w:tblStylePr w:type="band1Vert"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</w:tcBorders>
        <w:shd w:val="clear" w:color="auto" w:fill="D0DDE4" w:themeFill="accent5" w:themeFillTint="3F"/>
      </w:tcPr>
    </w:tblStylePr>
    <w:tblStylePr w:type="band1Horz"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  <w:insideV w:val="single" w:sz="8" w:space="0" w:color="4F758B" w:themeColor="accent5"/>
        </w:tcBorders>
        <w:shd w:val="clear" w:color="auto" w:fill="D0DDE4" w:themeFill="accent5" w:themeFillTint="3F"/>
      </w:tcPr>
    </w:tblStylePr>
    <w:tblStylePr w:type="band2Horz"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  <w:insideV w:val="single" w:sz="8" w:space="0" w:color="4F758B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1C5E8" w:themeColor="accent6"/>
        <w:left w:val="single" w:sz="8" w:space="0" w:color="71C5E8" w:themeColor="accent6"/>
        <w:bottom w:val="single" w:sz="8" w:space="0" w:color="71C5E8" w:themeColor="accent6"/>
        <w:right w:val="single" w:sz="8" w:space="0" w:color="71C5E8" w:themeColor="accent6"/>
        <w:insideH w:val="single" w:sz="8" w:space="0" w:color="71C5E8" w:themeColor="accent6"/>
        <w:insideV w:val="single" w:sz="8" w:space="0" w:color="71C5E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18" w:space="0" w:color="71C5E8" w:themeColor="accent6"/>
          <w:right w:val="single" w:sz="8" w:space="0" w:color="71C5E8" w:themeColor="accent6"/>
          <w:insideH w:val="nil"/>
          <w:insideV w:val="single" w:sz="8" w:space="0" w:color="71C5E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  <w:insideH w:val="nil"/>
          <w:insideV w:val="single" w:sz="8" w:space="0" w:color="71C5E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</w:tcBorders>
      </w:tcPr>
    </w:tblStylePr>
    <w:tblStylePr w:type="band1Vert"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</w:tcBorders>
        <w:shd w:val="clear" w:color="auto" w:fill="DBF0F9" w:themeFill="accent6" w:themeFillTint="3F"/>
      </w:tcPr>
    </w:tblStylePr>
    <w:tblStylePr w:type="band1Horz"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  <w:insideV w:val="single" w:sz="8" w:space="0" w:color="71C5E8" w:themeColor="accent6"/>
        </w:tcBorders>
        <w:shd w:val="clear" w:color="auto" w:fill="DBF0F9" w:themeFill="accent6" w:themeFillTint="3F"/>
      </w:tcPr>
    </w:tblStylePr>
    <w:tblStylePr w:type="band2Horz"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  <w:insideV w:val="single" w:sz="8" w:space="0" w:color="71C5E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12169" w:themeColor="accent1"/>
        <w:left w:val="single" w:sz="8" w:space="0" w:color="012169" w:themeColor="accent1"/>
        <w:bottom w:val="single" w:sz="8" w:space="0" w:color="012169" w:themeColor="accent1"/>
        <w:right w:val="single" w:sz="8" w:space="0" w:color="01216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216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</w:tcPr>
    </w:tblStylePr>
    <w:tblStylePr w:type="band1Horz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9E0" w:themeColor="accent2"/>
        <w:left w:val="single" w:sz="8" w:space="0" w:color="00A9E0" w:themeColor="accent2"/>
        <w:bottom w:val="single" w:sz="8" w:space="0" w:color="00A9E0" w:themeColor="accent2"/>
        <w:right w:val="single" w:sz="8" w:space="0" w:color="00A9E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E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</w:tcBorders>
      </w:tcPr>
    </w:tblStylePr>
    <w:tblStylePr w:type="band1Horz"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72CE" w:themeColor="accent3"/>
        <w:left w:val="single" w:sz="8" w:space="0" w:color="0072CE" w:themeColor="accent3"/>
        <w:bottom w:val="single" w:sz="8" w:space="0" w:color="0072CE" w:themeColor="accent3"/>
        <w:right w:val="single" w:sz="8" w:space="0" w:color="0072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</w:tcBorders>
      </w:tcPr>
    </w:tblStylePr>
    <w:tblStylePr w:type="band1Horz"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8A4AE" w:themeColor="accent4"/>
        <w:left w:val="single" w:sz="8" w:space="0" w:color="98A4AE" w:themeColor="accent4"/>
        <w:bottom w:val="single" w:sz="8" w:space="0" w:color="98A4AE" w:themeColor="accent4"/>
        <w:right w:val="single" w:sz="8" w:space="0" w:color="98A4A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A4A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</w:tcBorders>
      </w:tcPr>
    </w:tblStylePr>
    <w:tblStylePr w:type="band1Horz"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F758B" w:themeColor="accent5"/>
        <w:left w:val="single" w:sz="8" w:space="0" w:color="4F758B" w:themeColor="accent5"/>
        <w:bottom w:val="single" w:sz="8" w:space="0" w:color="4F758B" w:themeColor="accent5"/>
        <w:right w:val="single" w:sz="8" w:space="0" w:color="4F75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75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</w:tcBorders>
      </w:tcPr>
    </w:tblStylePr>
    <w:tblStylePr w:type="band1Horz"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1C5E8" w:themeColor="accent6"/>
        <w:left w:val="single" w:sz="8" w:space="0" w:color="71C5E8" w:themeColor="accent6"/>
        <w:bottom w:val="single" w:sz="8" w:space="0" w:color="71C5E8" w:themeColor="accent6"/>
        <w:right w:val="single" w:sz="8" w:space="0" w:color="71C5E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C5E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</w:tcBorders>
      </w:tcPr>
    </w:tblStylePr>
    <w:tblStylePr w:type="band1Horz"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/>
    </w:pPr>
    <w:rPr>
      <w:color w:val="00184E" w:themeColor="accent1" w:themeShade="BF"/>
    </w:rPr>
    <w:tblPr>
      <w:tblStyleRowBandSize w:val="1"/>
      <w:tblStyleColBandSize w:val="1"/>
      <w:tblBorders>
        <w:top w:val="single" w:sz="8" w:space="0" w:color="012169" w:themeColor="accent1"/>
        <w:bottom w:val="single" w:sz="8" w:space="0" w:color="01216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2169" w:themeColor="accent1"/>
          <w:left w:val="nil"/>
          <w:bottom w:val="single" w:sz="8" w:space="0" w:color="01216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2169" w:themeColor="accent1"/>
          <w:left w:val="nil"/>
          <w:bottom w:val="single" w:sz="8" w:space="0" w:color="01216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B9F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B9FE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/>
    </w:pPr>
    <w:rPr>
      <w:color w:val="007EA7" w:themeColor="accent2" w:themeShade="BF"/>
    </w:rPr>
    <w:tblPr>
      <w:tblStyleRowBandSize w:val="1"/>
      <w:tblStyleColBandSize w:val="1"/>
      <w:tblBorders>
        <w:top w:val="single" w:sz="8" w:space="0" w:color="00A9E0" w:themeColor="accent2"/>
        <w:bottom w:val="single" w:sz="8" w:space="0" w:color="00A9E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E0" w:themeColor="accent2"/>
          <w:left w:val="nil"/>
          <w:bottom w:val="single" w:sz="8" w:space="0" w:color="00A9E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E0" w:themeColor="accent2"/>
          <w:left w:val="nil"/>
          <w:bottom w:val="single" w:sz="8" w:space="0" w:color="00A9E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DFF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/>
    </w:pPr>
    <w:rPr>
      <w:color w:val="00559A" w:themeColor="accent3" w:themeShade="BF"/>
    </w:rPr>
    <w:tblPr>
      <w:tblStyleRowBandSize w:val="1"/>
      <w:tblStyleColBandSize w:val="1"/>
      <w:tblBorders>
        <w:top w:val="single" w:sz="8" w:space="0" w:color="0072CE" w:themeColor="accent3"/>
        <w:bottom w:val="single" w:sz="8" w:space="0" w:color="0072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E" w:themeColor="accent3"/>
          <w:left w:val="nil"/>
          <w:bottom w:val="single" w:sz="8" w:space="0" w:color="0072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E" w:themeColor="accent3"/>
          <w:left w:val="nil"/>
          <w:bottom w:val="single" w:sz="8" w:space="0" w:color="0072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/>
    </w:pPr>
    <w:rPr>
      <w:color w:val="6B7B88" w:themeColor="accent4" w:themeShade="BF"/>
    </w:rPr>
    <w:tblPr>
      <w:tblStyleRowBandSize w:val="1"/>
      <w:tblStyleColBandSize w:val="1"/>
      <w:tblBorders>
        <w:top w:val="single" w:sz="8" w:space="0" w:color="98A4AE" w:themeColor="accent4"/>
        <w:bottom w:val="single" w:sz="8" w:space="0" w:color="98A4A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A4AE" w:themeColor="accent4"/>
          <w:left w:val="nil"/>
          <w:bottom w:val="single" w:sz="8" w:space="0" w:color="98A4A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A4AE" w:themeColor="accent4"/>
          <w:left w:val="nil"/>
          <w:bottom w:val="single" w:sz="8" w:space="0" w:color="98A4A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8EB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/>
    </w:pPr>
    <w:rPr>
      <w:color w:val="3B5767" w:themeColor="accent5" w:themeShade="BF"/>
    </w:rPr>
    <w:tblPr>
      <w:tblStyleRowBandSize w:val="1"/>
      <w:tblStyleColBandSize w:val="1"/>
      <w:tblBorders>
        <w:top w:val="single" w:sz="8" w:space="0" w:color="4F758B" w:themeColor="accent5"/>
        <w:bottom w:val="single" w:sz="8" w:space="0" w:color="4F75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758B" w:themeColor="accent5"/>
          <w:left w:val="nil"/>
          <w:bottom w:val="single" w:sz="8" w:space="0" w:color="4F75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758B" w:themeColor="accent5"/>
          <w:left w:val="nil"/>
          <w:bottom w:val="single" w:sz="8" w:space="0" w:color="4F75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DE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DE4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/>
    </w:pPr>
    <w:rPr>
      <w:color w:val="26A6DC" w:themeColor="accent6" w:themeShade="BF"/>
    </w:rPr>
    <w:tblPr>
      <w:tblStyleRowBandSize w:val="1"/>
      <w:tblStyleColBandSize w:val="1"/>
      <w:tblBorders>
        <w:top w:val="single" w:sz="8" w:space="0" w:color="71C5E8" w:themeColor="accent6"/>
        <w:bottom w:val="single" w:sz="8" w:space="0" w:color="71C5E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C5E8" w:themeColor="accent6"/>
          <w:left w:val="nil"/>
          <w:bottom w:val="single" w:sz="8" w:space="0" w:color="71C5E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C5E8" w:themeColor="accent6"/>
          <w:left w:val="nil"/>
          <w:bottom w:val="single" w:sz="8" w:space="0" w:color="71C5E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F0F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F0F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17"/>
    <w:qFormat/>
    <w:rsid w:val="00A8129D"/>
    <w:pPr>
      <w:numPr>
        <w:ilvl w:val="1"/>
      </w:numPr>
    </w:pPr>
  </w:style>
  <w:style w:type="paragraph" w:styleId="List2">
    <w:name w:val="List 2"/>
    <w:basedOn w:val="Normal"/>
    <w:uiPriority w:val="17"/>
    <w:qFormat/>
    <w:rsid w:val="00A8129D"/>
    <w:pPr>
      <w:numPr>
        <w:ilvl w:val="2"/>
      </w:numPr>
    </w:pPr>
  </w:style>
  <w:style w:type="paragraph" w:styleId="List3">
    <w:name w:val="List 3"/>
    <w:basedOn w:val="Normal"/>
    <w:uiPriority w:val="17"/>
    <w:qFormat/>
    <w:rsid w:val="00A8129D"/>
    <w:pPr>
      <w:numPr>
        <w:ilvl w:val="3"/>
      </w:numPr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"/>
      </w:numPr>
      <w:contextualSpacing/>
    </w:pPr>
  </w:style>
  <w:style w:type="paragraph" w:styleId="ListParagraph">
    <w:name w:val="List Paragraph"/>
    <w:uiPriority w:val="17"/>
    <w:qFormat/>
    <w:rsid w:val="006D315C"/>
    <w:pPr>
      <w:tabs>
        <w:tab w:val="left" w:pos="425"/>
        <w:tab w:val="left" w:pos="851"/>
      </w:tabs>
      <w:ind w:left="425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240CD" w:themeColor="accent1" w:themeTint="BF"/>
        <w:left w:val="single" w:sz="8" w:space="0" w:color="0240CD" w:themeColor="accent1" w:themeTint="BF"/>
        <w:bottom w:val="single" w:sz="8" w:space="0" w:color="0240CD" w:themeColor="accent1" w:themeTint="BF"/>
        <w:right w:val="single" w:sz="8" w:space="0" w:color="0240CD" w:themeColor="accent1" w:themeTint="BF"/>
        <w:insideH w:val="single" w:sz="8" w:space="0" w:color="0240CD" w:themeColor="accent1" w:themeTint="BF"/>
        <w:insideV w:val="single" w:sz="8" w:space="0" w:color="0240CD" w:themeColor="accent1" w:themeTint="BF"/>
      </w:tblBorders>
    </w:tblPr>
    <w:tcPr>
      <w:shd w:val="clear" w:color="auto" w:fill="9BB9F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4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773FD" w:themeFill="accent1" w:themeFillTint="7F"/>
      </w:tcPr>
    </w:tblStylePr>
    <w:tblStylePr w:type="band1Horz">
      <w:tblPr/>
      <w:tcPr>
        <w:shd w:val="clear" w:color="auto" w:fill="3773FD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28CAFF" w:themeColor="accent2" w:themeTint="BF"/>
        <w:left w:val="single" w:sz="8" w:space="0" w:color="28CAFF" w:themeColor="accent2" w:themeTint="BF"/>
        <w:bottom w:val="single" w:sz="8" w:space="0" w:color="28CAFF" w:themeColor="accent2" w:themeTint="BF"/>
        <w:right w:val="single" w:sz="8" w:space="0" w:color="28CAFF" w:themeColor="accent2" w:themeTint="BF"/>
        <w:insideH w:val="single" w:sz="8" w:space="0" w:color="28CAFF" w:themeColor="accent2" w:themeTint="BF"/>
        <w:insideV w:val="single" w:sz="8" w:space="0" w:color="28CAFF" w:themeColor="accent2" w:themeTint="BF"/>
      </w:tblBorders>
    </w:tblPr>
    <w:tcPr>
      <w:shd w:val="clear" w:color="auto" w:fill="B8E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8CA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0DBFF" w:themeFill="accent2" w:themeFillTint="7F"/>
      </w:tcPr>
    </w:tblStylePr>
    <w:tblStylePr w:type="band1Horz">
      <w:tblPr/>
      <w:tcPr>
        <w:shd w:val="clear" w:color="auto" w:fill="70DBFF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1B99FF" w:themeColor="accent3" w:themeTint="BF"/>
        <w:left w:val="single" w:sz="8" w:space="0" w:color="1B99FF" w:themeColor="accent3" w:themeTint="BF"/>
        <w:bottom w:val="single" w:sz="8" w:space="0" w:color="1B99FF" w:themeColor="accent3" w:themeTint="BF"/>
        <w:right w:val="single" w:sz="8" w:space="0" w:color="1B99FF" w:themeColor="accent3" w:themeTint="BF"/>
        <w:insideH w:val="single" w:sz="8" w:space="0" w:color="1B99FF" w:themeColor="accent3" w:themeTint="BF"/>
        <w:insideV w:val="single" w:sz="8" w:space="0" w:color="1B99FF" w:themeColor="accent3" w:themeTint="BF"/>
      </w:tblBorders>
    </w:tblPr>
    <w:tcPr>
      <w:shd w:val="clear" w:color="auto" w:fill="B3DD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99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BBFF" w:themeFill="accent3" w:themeFillTint="7F"/>
      </w:tcPr>
    </w:tblStylePr>
    <w:tblStylePr w:type="band1Horz">
      <w:tblPr/>
      <w:tcPr>
        <w:shd w:val="clear" w:color="auto" w:fill="67BBFF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B1BAC2" w:themeColor="accent4" w:themeTint="BF"/>
        <w:left w:val="single" w:sz="8" w:space="0" w:color="B1BAC2" w:themeColor="accent4" w:themeTint="BF"/>
        <w:bottom w:val="single" w:sz="8" w:space="0" w:color="B1BAC2" w:themeColor="accent4" w:themeTint="BF"/>
        <w:right w:val="single" w:sz="8" w:space="0" w:color="B1BAC2" w:themeColor="accent4" w:themeTint="BF"/>
        <w:insideH w:val="single" w:sz="8" w:space="0" w:color="B1BAC2" w:themeColor="accent4" w:themeTint="BF"/>
        <w:insideV w:val="single" w:sz="8" w:space="0" w:color="B1BAC2" w:themeColor="accent4" w:themeTint="BF"/>
      </w:tblBorders>
    </w:tblPr>
    <w:tcPr>
      <w:shd w:val="clear" w:color="auto" w:fill="E5E8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1BAC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1D6" w:themeFill="accent4" w:themeFillTint="7F"/>
      </w:tcPr>
    </w:tblStylePr>
    <w:tblStylePr w:type="band1Horz">
      <w:tblPr/>
      <w:tcPr>
        <w:shd w:val="clear" w:color="auto" w:fill="CBD1D6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399AF" w:themeColor="accent5" w:themeTint="BF"/>
        <w:left w:val="single" w:sz="8" w:space="0" w:color="7399AF" w:themeColor="accent5" w:themeTint="BF"/>
        <w:bottom w:val="single" w:sz="8" w:space="0" w:color="7399AF" w:themeColor="accent5" w:themeTint="BF"/>
        <w:right w:val="single" w:sz="8" w:space="0" w:color="7399AF" w:themeColor="accent5" w:themeTint="BF"/>
        <w:insideH w:val="single" w:sz="8" w:space="0" w:color="7399AF" w:themeColor="accent5" w:themeTint="BF"/>
        <w:insideV w:val="single" w:sz="8" w:space="0" w:color="7399AF" w:themeColor="accent5" w:themeTint="BF"/>
      </w:tblBorders>
    </w:tblPr>
    <w:tcPr>
      <w:shd w:val="clear" w:color="auto" w:fill="D0DDE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399A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BCA" w:themeFill="accent5" w:themeFillTint="7F"/>
      </w:tcPr>
    </w:tblStylePr>
    <w:tblStylePr w:type="band1Horz">
      <w:tblPr/>
      <w:tcPr>
        <w:shd w:val="clear" w:color="auto" w:fill="A2BBCA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4D3ED" w:themeColor="accent6" w:themeTint="BF"/>
        <w:left w:val="single" w:sz="8" w:space="0" w:color="94D3ED" w:themeColor="accent6" w:themeTint="BF"/>
        <w:bottom w:val="single" w:sz="8" w:space="0" w:color="94D3ED" w:themeColor="accent6" w:themeTint="BF"/>
        <w:right w:val="single" w:sz="8" w:space="0" w:color="94D3ED" w:themeColor="accent6" w:themeTint="BF"/>
        <w:insideH w:val="single" w:sz="8" w:space="0" w:color="94D3ED" w:themeColor="accent6" w:themeTint="BF"/>
        <w:insideV w:val="single" w:sz="8" w:space="0" w:color="94D3ED" w:themeColor="accent6" w:themeTint="BF"/>
      </w:tblBorders>
    </w:tblPr>
    <w:tcPr>
      <w:shd w:val="clear" w:color="auto" w:fill="DBF0F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4D3E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2F3" w:themeFill="accent6" w:themeFillTint="7F"/>
      </w:tcPr>
    </w:tblStylePr>
    <w:tblStylePr w:type="band1Horz">
      <w:tblPr/>
      <w:tcPr>
        <w:shd w:val="clear" w:color="auto" w:fill="B8E2F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12169" w:themeColor="accent1"/>
        <w:left w:val="single" w:sz="8" w:space="0" w:color="012169" w:themeColor="accent1"/>
        <w:bottom w:val="single" w:sz="8" w:space="0" w:color="012169" w:themeColor="accent1"/>
        <w:right w:val="single" w:sz="8" w:space="0" w:color="012169" w:themeColor="accent1"/>
        <w:insideH w:val="single" w:sz="8" w:space="0" w:color="012169" w:themeColor="accent1"/>
        <w:insideV w:val="single" w:sz="8" w:space="0" w:color="012169" w:themeColor="accent1"/>
      </w:tblBorders>
    </w:tblPr>
    <w:tcPr>
      <w:shd w:val="clear" w:color="auto" w:fill="9BB9F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E3F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C7FE" w:themeFill="accent1" w:themeFillTint="33"/>
      </w:tcPr>
    </w:tblStylePr>
    <w:tblStylePr w:type="band1Vert">
      <w:tblPr/>
      <w:tcPr>
        <w:shd w:val="clear" w:color="auto" w:fill="3773FD" w:themeFill="accent1" w:themeFillTint="7F"/>
      </w:tcPr>
    </w:tblStylePr>
    <w:tblStylePr w:type="band1Horz">
      <w:tblPr/>
      <w:tcPr>
        <w:tcBorders>
          <w:insideH w:val="single" w:sz="6" w:space="0" w:color="012169" w:themeColor="accent1"/>
          <w:insideV w:val="single" w:sz="6" w:space="0" w:color="012169" w:themeColor="accent1"/>
        </w:tcBorders>
        <w:shd w:val="clear" w:color="auto" w:fill="3773F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9E0" w:themeColor="accent2"/>
        <w:left w:val="single" w:sz="8" w:space="0" w:color="00A9E0" w:themeColor="accent2"/>
        <w:bottom w:val="single" w:sz="8" w:space="0" w:color="00A9E0" w:themeColor="accent2"/>
        <w:right w:val="single" w:sz="8" w:space="0" w:color="00A9E0" w:themeColor="accent2"/>
        <w:insideH w:val="single" w:sz="8" w:space="0" w:color="00A9E0" w:themeColor="accent2"/>
        <w:insideV w:val="single" w:sz="8" w:space="0" w:color="00A9E0" w:themeColor="accent2"/>
      </w:tblBorders>
    </w:tblPr>
    <w:tcPr>
      <w:shd w:val="clear" w:color="auto" w:fill="B8E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0FF" w:themeFill="accent2" w:themeFillTint="33"/>
      </w:tcPr>
    </w:tblStylePr>
    <w:tblStylePr w:type="band1Vert">
      <w:tblPr/>
      <w:tcPr>
        <w:shd w:val="clear" w:color="auto" w:fill="70DBFF" w:themeFill="accent2" w:themeFillTint="7F"/>
      </w:tcPr>
    </w:tblStylePr>
    <w:tblStylePr w:type="band1Horz">
      <w:tblPr/>
      <w:tcPr>
        <w:tcBorders>
          <w:insideH w:val="single" w:sz="6" w:space="0" w:color="00A9E0" w:themeColor="accent2"/>
          <w:insideV w:val="single" w:sz="6" w:space="0" w:color="00A9E0" w:themeColor="accent2"/>
        </w:tcBorders>
        <w:shd w:val="clear" w:color="auto" w:fill="70DB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72CE" w:themeColor="accent3"/>
        <w:left w:val="single" w:sz="8" w:space="0" w:color="0072CE" w:themeColor="accent3"/>
        <w:bottom w:val="single" w:sz="8" w:space="0" w:color="0072CE" w:themeColor="accent3"/>
        <w:right w:val="single" w:sz="8" w:space="0" w:color="0072CE" w:themeColor="accent3"/>
        <w:insideH w:val="single" w:sz="8" w:space="0" w:color="0072CE" w:themeColor="accent3"/>
        <w:insideV w:val="single" w:sz="8" w:space="0" w:color="0072CE" w:themeColor="accent3"/>
      </w:tblBorders>
    </w:tblPr>
    <w:tcPr>
      <w:shd w:val="clear" w:color="auto" w:fill="B3DD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3FF" w:themeFill="accent3" w:themeFillTint="33"/>
      </w:tcPr>
    </w:tblStylePr>
    <w:tblStylePr w:type="band1Vert">
      <w:tblPr/>
      <w:tcPr>
        <w:shd w:val="clear" w:color="auto" w:fill="67BBFF" w:themeFill="accent3" w:themeFillTint="7F"/>
      </w:tcPr>
    </w:tblStylePr>
    <w:tblStylePr w:type="band1Horz">
      <w:tblPr/>
      <w:tcPr>
        <w:tcBorders>
          <w:insideH w:val="single" w:sz="6" w:space="0" w:color="0072CE" w:themeColor="accent3"/>
          <w:insideV w:val="single" w:sz="6" w:space="0" w:color="0072CE" w:themeColor="accent3"/>
        </w:tcBorders>
        <w:shd w:val="clear" w:color="auto" w:fill="67BB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8A4AE" w:themeColor="accent4"/>
        <w:left w:val="single" w:sz="8" w:space="0" w:color="98A4AE" w:themeColor="accent4"/>
        <w:bottom w:val="single" w:sz="8" w:space="0" w:color="98A4AE" w:themeColor="accent4"/>
        <w:right w:val="single" w:sz="8" w:space="0" w:color="98A4AE" w:themeColor="accent4"/>
        <w:insideH w:val="single" w:sz="8" w:space="0" w:color="98A4AE" w:themeColor="accent4"/>
        <w:insideV w:val="single" w:sz="8" w:space="0" w:color="98A4AE" w:themeColor="accent4"/>
      </w:tblBorders>
    </w:tblPr>
    <w:tcPr>
      <w:shd w:val="clear" w:color="auto" w:fill="E5E8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CEE" w:themeFill="accent4" w:themeFillTint="33"/>
      </w:tcPr>
    </w:tblStylePr>
    <w:tblStylePr w:type="band1Vert">
      <w:tblPr/>
      <w:tcPr>
        <w:shd w:val="clear" w:color="auto" w:fill="CBD1D6" w:themeFill="accent4" w:themeFillTint="7F"/>
      </w:tcPr>
    </w:tblStylePr>
    <w:tblStylePr w:type="band1Horz">
      <w:tblPr/>
      <w:tcPr>
        <w:tcBorders>
          <w:insideH w:val="single" w:sz="6" w:space="0" w:color="98A4AE" w:themeColor="accent4"/>
          <w:insideV w:val="single" w:sz="6" w:space="0" w:color="98A4AE" w:themeColor="accent4"/>
        </w:tcBorders>
        <w:shd w:val="clear" w:color="auto" w:fill="CBD1D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758B" w:themeColor="accent5"/>
        <w:left w:val="single" w:sz="8" w:space="0" w:color="4F758B" w:themeColor="accent5"/>
        <w:bottom w:val="single" w:sz="8" w:space="0" w:color="4F758B" w:themeColor="accent5"/>
        <w:right w:val="single" w:sz="8" w:space="0" w:color="4F758B" w:themeColor="accent5"/>
        <w:insideH w:val="single" w:sz="8" w:space="0" w:color="4F758B" w:themeColor="accent5"/>
        <w:insideV w:val="single" w:sz="8" w:space="0" w:color="4F758B" w:themeColor="accent5"/>
      </w:tblBorders>
    </w:tblPr>
    <w:tcPr>
      <w:shd w:val="clear" w:color="auto" w:fill="D0DDE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3E9" w:themeFill="accent5" w:themeFillTint="33"/>
      </w:tcPr>
    </w:tblStylePr>
    <w:tblStylePr w:type="band1Vert">
      <w:tblPr/>
      <w:tcPr>
        <w:shd w:val="clear" w:color="auto" w:fill="A2BBCA" w:themeFill="accent5" w:themeFillTint="7F"/>
      </w:tcPr>
    </w:tblStylePr>
    <w:tblStylePr w:type="band1Horz">
      <w:tblPr/>
      <w:tcPr>
        <w:tcBorders>
          <w:insideH w:val="single" w:sz="6" w:space="0" w:color="4F758B" w:themeColor="accent5"/>
          <w:insideV w:val="single" w:sz="6" w:space="0" w:color="4F758B" w:themeColor="accent5"/>
        </w:tcBorders>
        <w:shd w:val="clear" w:color="auto" w:fill="A2BBC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1C5E8" w:themeColor="accent6"/>
        <w:left w:val="single" w:sz="8" w:space="0" w:color="71C5E8" w:themeColor="accent6"/>
        <w:bottom w:val="single" w:sz="8" w:space="0" w:color="71C5E8" w:themeColor="accent6"/>
        <w:right w:val="single" w:sz="8" w:space="0" w:color="71C5E8" w:themeColor="accent6"/>
        <w:insideH w:val="single" w:sz="8" w:space="0" w:color="71C5E8" w:themeColor="accent6"/>
        <w:insideV w:val="single" w:sz="8" w:space="0" w:color="71C5E8" w:themeColor="accent6"/>
      </w:tblBorders>
    </w:tblPr>
    <w:tcPr>
      <w:shd w:val="clear" w:color="auto" w:fill="DBF0F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9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 w:themeFill="accent6" w:themeFillTint="33"/>
      </w:tcPr>
    </w:tblStylePr>
    <w:tblStylePr w:type="band1Vert">
      <w:tblPr/>
      <w:tcPr>
        <w:shd w:val="clear" w:color="auto" w:fill="B8E2F3" w:themeFill="accent6" w:themeFillTint="7F"/>
      </w:tcPr>
    </w:tblStylePr>
    <w:tblStylePr w:type="band1Horz">
      <w:tblPr/>
      <w:tcPr>
        <w:tcBorders>
          <w:insideH w:val="single" w:sz="6" w:space="0" w:color="71C5E8" w:themeColor="accent6"/>
          <w:insideV w:val="single" w:sz="6" w:space="0" w:color="71C5E8" w:themeColor="accent6"/>
        </w:tcBorders>
        <w:shd w:val="clear" w:color="auto" w:fill="B8E2F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B9F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216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216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216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216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773F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773FD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E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E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E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E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E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0DB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0DBFF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DD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BB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BBFF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8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A4A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A4A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A4A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A4A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BD1D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BD1D6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DE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75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75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75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75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BC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BCA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F0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C5E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C5E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C5E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C5E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8E2F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8E2F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12169" w:themeColor="accent1"/>
        <w:bottom w:val="single" w:sz="8" w:space="0" w:color="01216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2169" w:themeColor="accent1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012169" w:themeColor="accent1"/>
          <w:bottom w:val="single" w:sz="8" w:space="0" w:color="0121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2169" w:themeColor="accent1"/>
          <w:bottom w:val="single" w:sz="8" w:space="0" w:color="012169" w:themeColor="accent1"/>
        </w:tcBorders>
      </w:tcPr>
    </w:tblStylePr>
    <w:tblStylePr w:type="band1Vert">
      <w:tblPr/>
      <w:tcPr>
        <w:shd w:val="clear" w:color="auto" w:fill="9BB9FE" w:themeFill="accent1" w:themeFillTint="3F"/>
      </w:tcPr>
    </w:tblStylePr>
    <w:tblStylePr w:type="band1Horz">
      <w:tblPr/>
      <w:tcPr>
        <w:shd w:val="clear" w:color="auto" w:fill="9BB9FE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9E0" w:themeColor="accent2"/>
        <w:bottom w:val="single" w:sz="8" w:space="0" w:color="00A9E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E0" w:themeColor="accent2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00A9E0" w:themeColor="accent2"/>
          <w:bottom w:val="single" w:sz="8" w:space="0" w:color="00A9E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E0" w:themeColor="accent2"/>
          <w:bottom w:val="single" w:sz="8" w:space="0" w:color="00A9E0" w:themeColor="accent2"/>
        </w:tcBorders>
      </w:tcPr>
    </w:tblStylePr>
    <w:tblStylePr w:type="band1Vert">
      <w:tblPr/>
      <w:tcPr>
        <w:shd w:val="clear" w:color="auto" w:fill="B8EDFF" w:themeFill="accent2" w:themeFillTint="3F"/>
      </w:tcPr>
    </w:tblStylePr>
    <w:tblStylePr w:type="band1Horz">
      <w:tblPr/>
      <w:tcPr>
        <w:shd w:val="clear" w:color="auto" w:fill="B8EDFF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72CE" w:themeColor="accent3"/>
        <w:bottom w:val="single" w:sz="8" w:space="0" w:color="0072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E" w:themeColor="accent3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0072CE" w:themeColor="accent3"/>
          <w:bottom w:val="single" w:sz="8" w:space="0" w:color="0072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E" w:themeColor="accent3"/>
          <w:bottom w:val="single" w:sz="8" w:space="0" w:color="0072CE" w:themeColor="accent3"/>
        </w:tcBorders>
      </w:tcPr>
    </w:tblStylePr>
    <w:tblStylePr w:type="band1Vert">
      <w:tblPr/>
      <w:tcPr>
        <w:shd w:val="clear" w:color="auto" w:fill="B3DDFF" w:themeFill="accent3" w:themeFillTint="3F"/>
      </w:tcPr>
    </w:tblStylePr>
    <w:tblStylePr w:type="band1Horz">
      <w:tblPr/>
      <w:tcPr>
        <w:shd w:val="clear" w:color="auto" w:fill="B3DDFF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8A4AE" w:themeColor="accent4"/>
        <w:bottom w:val="single" w:sz="8" w:space="0" w:color="98A4A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A4AE" w:themeColor="accent4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98A4AE" w:themeColor="accent4"/>
          <w:bottom w:val="single" w:sz="8" w:space="0" w:color="98A4A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A4AE" w:themeColor="accent4"/>
          <w:bottom w:val="single" w:sz="8" w:space="0" w:color="98A4AE" w:themeColor="accent4"/>
        </w:tcBorders>
      </w:tcPr>
    </w:tblStylePr>
    <w:tblStylePr w:type="band1Vert">
      <w:tblPr/>
      <w:tcPr>
        <w:shd w:val="clear" w:color="auto" w:fill="E5E8EB" w:themeFill="accent4" w:themeFillTint="3F"/>
      </w:tcPr>
    </w:tblStylePr>
    <w:tblStylePr w:type="band1Horz">
      <w:tblPr/>
      <w:tcPr>
        <w:shd w:val="clear" w:color="auto" w:fill="E5E8EB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F758B" w:themeColor="accent5"/>
        <w:bottom w:val="single" w:sz="8" w:space="0" w:color="4F75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758B" w:themeColor="accent5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4F758B" w:themeColor="accent5"/>
          <w:bottom w:val="single" w:sz="8" w:space="0" w:color="4F75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758B" w:themeColor="accent5"/>
          <w:bottom w:val="single" w:sz="8" w:space="0" w:color="4F758B" w:themeColor="accent5"/>
        </w:tcBorders>
      </w:tcPr>
    </w:tblStylePr>
    <w:tblStylePr w:type="band1Vert">
      <w:tblPr/>
      <w:tcPr>
        <w:shd w:val="clear" w:color="auto" w:fill="D0DDE4" w:themeFill="accent5" w:themeFillTint="3F"/>
      </w:tcPr>
    </w:tblStylePr>
    <w:tblStylePr w:type="band1Horz">
      <w:tblPr/>
      <w:tcPr>
        <w:shd w:val="clear" w:color="auto" w:fill="D0DDE4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1C5E8" w:themeColor="accent6"/>
        <w:bottom w:val="single" w:sz="8" w:space="0" w:color="71C5E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C5E8" w:themeColor="accent6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71C5E8" w:themeColor="accent6"/>
          <w:bottom w:val="single" w:sz="8" w:space="0" w:color="71C5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C5E8" w:themeColor="accent6"/>
          <w:bottom w:val="single" w:sz="8" w:space="0" w:color="71C5E8" w:themeColor="accent6"/>
        </w:tcBorders>
      </w:tcPr>
    </w:tblStylePr>
    <w:tblStylePr w:type="band1Vert">
      <w:tblPr/>
      <w:tcPr>
        <w:shd w:val="clear" w:color="auto" w:fill="DBF0F9" w:themeFill="accent6" w:themeFillTint="3F"/>
      </w:tcPr>
    </w:tblStylePr>
    <w:tblStylePr w:type="band1Horz">
      <w:tblPr/>
      <w:tcPr>
        <w:shd w:val="clear" w:color="auto" w:fill="DBF0F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12169" w:themeColor="accent1"/>
        <w:left w:val="single" w:sz="8" w:space="0" w:color="012169" w:themeColor="accent1"/>
        <w:bottom w:val="single" w:sz="8" w:space="0" w:color="012169" w:themeColor="accent1"/>
        <w:right w:val="single" w:sz="8" w:space="0" w:color="01216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216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1216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216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216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B9F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B9F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9E0" w:themeColor="accent2"/>
        <w:left w:val="single" w:sz="8" w:space="0" w:color="00A9E0" w:themeColor="accent2"/>
        <w:bottom w:val="single" w:sz="8" w:space="0" w:color="00A9E0" w:themeColor="accent2"/>
        <w:right w:val="single" w:sz="8" w:space="0" w:color="00A9E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9E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E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E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E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72CE" w:themeColor="accent3"/>
        <w:left w:val="single" w:sz="8" w:space="0" w:color="0072CE" w:themeColor="accent3"/>
        <w:bottom w:val="single" w:sz="8" w:space="0" w:color="0072CE" w:themeColor="accent3"/>
        <w:right w:val="single" w:sz="8" w:space="0" w:color="0072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2C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DD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8A4AE" w:themeColor="accent4"/>
        <w:left w:val="single" w:sz="8" w:space="0" w:color="98A4AE" w:themeColor="accent4"/>
        <w:bottom w:val="single" w:sz="8" w:space="0" w:color="98A4AE" w:themeColor="accent4"/>
        <w:right w:val="single" w:sz="8" w:space="0" w:color="98A4A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A4A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8A4A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A4A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A4A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8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8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758B" w:themeColor="accent5"/>
        <w:left w:val="single" w:sz="8" w:space="0" w:color="4F758B" w:themeColor="accent5"/>
        <w:bottom w:val="single" w:sz="8" w:space="0" w:color="4F758B" w:themeColor="accent5"/>
        <w:right w:val="single" w:sz="8" w:space="0" w:color="4F75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75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75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75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75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DE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DE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1C5E8" w:themeColor="accent6"/>
        <w:left w:val="single" w:sz="8" w:space="0" w:color="71C5E8" w:themeColor="accent6"/>
        <w:bottom w:val="single" w:sz="8" w:space="0" w:color="71C5E8" w:themeColor="accent6"/>
        <w:right w:val="single" w:sz="8" w:space="0" w:color="71C5E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C5E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1C5E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C5E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C5E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F0F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F0F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240CD" w:themeColor="accent1" w:themeTint="BF"/>
        <w:left w:val="single" w:sz="8" w:space="0" w:color="0240CD" w:themeColor="accent1" w:themeTint="BF"/>
        <w:bottom w:val="single" w:sz="8" w:space="0" w:color="0240CD" w:themeColor="accent1" w:themeTint="BF"/>
        <w:right w:val="single" w:sz="8" w:space="0" w:color="0240CD" w:themeColor="accent1" w:themeTint="BF"/>
        <w:insideH w:val="single" w:sz="8" w:space="0" w:color="024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40CD" w:themeColor="accent1" w:themeTint="BF"/>
          <w:left w:val="single" w:sz="8" w:space="0" w:color="0240CD" w:themeColor="accent1" w:themeTint="BF"/>
          <w:bottom w:val="single" w:sz="8" w:space="0" w:color="0240CD" w:themeColor="accent1" w:themeTint="BF"/>
          <w:right w:val="single" w:sz="8" w:space="0" w:color="0240CD" w:themeColor="accent1" w:themeTint="BF"/>
          <w:insideH w:val="nil"/>
          <w:insideV w:val="nil"/>
        </w:tcBorders>
        <w:shd w:val="clear" w:color="auto" w:fill="01216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40CD" w:themeColor="accent1" w:themeTint="BF"/>
          <w:left w:val="single" w:sz="8" w:space="0" w:color="0240CD" w:themeColor="accent1" w:themeTint="BF"/>
          <w:bottom w:val="single" w:sz="8" w:space="0" w:color="0240CD" w:themeColor="accent1" w:themeTint="BF"/>
          <w:right w:val="single" w:sz="8" w:space="0" w:color="024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B9F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B9F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28CAFF" w:themeColor="accent2" w:themeTint="BF"/>
        <w:left w:val="single" w:sz="8" w:space="0" w:color="28CAFF" w:themeColor="accent2" w:themeTint="BF"/>
        <w:bottom w:val="single" w:sz="8" w:space="0" w:color="28CAFF" w:themeColor="accent2" w:themeTint="BF"/>
        <w:right w:val="single" w:sz="8" w:space="0" w:color="28CAFF" w:themeColor="accent2" w:themeTint="BF"/>
        <w:insideH w:val="single" w:sz="8" w:space="0" w:color="28CA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8CAFF" w:themeColor="accent2" w:themeTint="BF"/>
          <w:left w:val="single" w:sz="8" w:space="0" w:color="28CAFF" w:themeColor="accent2" w:themeTint="BF"/>
          <w:bottom w:val="single" w:sz="8" w:space="0" w:color="28CAFF" w:themeColor="accent2" w:themeTint="BF"/>
          <w:right w:val="single" w:sz="8" w:space="0" w:color="28CAFF" w:themeColor="accent2" w:themeTint="BF"/>
          <w:insideH w:val="nil"/>
          <w:insideV w:val="nil"/>
        </w:tcBorders>
        <w:shd w:val="clear" w:color="auto" w:fill="00A9E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CAFF" w:themeColor="accent2" w:themeTint="BF"/>
          <w:left w:val="single" w:sz="8" w:space="0" w:color="28CAFF" w:themeColor="accent2" w:themeTint="BF"/>
          <w:bottom w:val="single" w:sz="8" w:space="0" w:color="28CAFF" w:themeColor="accent2" w:themeTint="BF"/>
          <w:right w:val="single" w:sz="8" w:space="0" w:color="28CA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E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1B99FF" w:themeColor="accent3" w:themeTint="BF"/>
        <w:left w:val="single" w:sz="8" w:space="0" w:color="1B99FF" w:themeColor="accent3" w:themeTint="BF"/>
        <w:bottom w:val="single" w:sz="8" w:space="0" w:color="1B99FF" w:themeColor="accent3" w:themeTint="BF"/>
        <w:right w:val="single" w:sz="8" w:space="0" w:color="1B99FF" w:themeColor="accent3" w:themeTint="BF"/>
        <w:insideH w:val="single" w:sz="8" w:space="0" w:color="1B99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99FF" w:themeColor="accent3" w:themeTint="BF"/>
          <w:left w:val="single" w:sz="8" w:space="0" w:color="1B99FF" w:themeColor="accent3" w:themeTint="BF"/>
          <w:bottom w:val="single" w:sz="8" w:space="0" w:color="1B99FF" w:themeColor="accent3" w:themeTint="BF"/>
          <w:right w:val="single" w:sz="8" w:space="0" w:color="1B99FF" w:themeColor="accent3" w:themeTint="BF"/>
          <w:insideH w:val="nil"/>
          <w:insideV w:val="nil"/>
        </w:tcBorders>
        <w:shd w:val="clear" w:color="auto" w:fill="0072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9FF" w:themeColor="accent3" w:themeTint="BF"/>
          <w:left w:val="single" w:sz="8" w:space="0" w:color="1B99FF" w:themeColor="accent3" w:themeTint="BF"/>
          <w:bottom w:val="single" w:sz="8" w:space="0" w:color="1B99FF" w:themeColor="accent3" w:themeTint="BF"/>
          <w:right w:val="single" w:sz="8" w:space="0" w:color="1B99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D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B1BAC2" w:themeColor="accent4" w:themeTint="BF"/>
        <w:left w:val="single" w:sz="8" w:space="0" w:color="B1BAC2" w:themeColor="accent4" w:themeTint="BF"/>
        <w:bottom w:val="single" w:sz="8" w:space="0" w:color="B1BAC2" w:themeColor="accent4" w:themeTint="BF"/>
        <w:right w:val="single" w:sz="8" w:space="0" w:color="B1BAC2" w:themeColor="accent4" w:themeTint="BF"/>
        <w:insideH w:val="single" w:sz="8" w:space="0" w:color="B1BAC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1BAC2" w:themeColor="accent4" w:themeTint="BF"/>
          <w:left w:val="single" w:sz="8" w:space="0" w:color="B1BAC2" w:themeColor="accent4" w:themeTint="BF"/>
          <w:bottom w:val="single" w:sz="8" w:space="0" w:color="B1BAC2" w:themeColor="accent4" w:themeTint="BF"/>
          <w:right w:val="single" w:sz="8" w:space="0" w:color="B1BAC2" w:themeColor="accent4" w:themeTint="BF"/>
          <w:insideH w:val="nil"/>
          <w:insideV w:val="nil"/>
        </w:tcBorders>
        <w:shd w:val="clear" w:color="auto" w:fill="98A4A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BAC2" w:themeColor="accent4" w:themeTint="BF"/>
          <w:left w:val="single" w:sz="8" w:space="0" w:color="B1BAC2" w:themeColor="accent4" w:themeTint="BF"/>
          <w:bottom w:val="single" w:sz="8" w:space="0" w:color="B1BAC2" w:themeColor="accent4" w:themeTint="BF"/>
          <w:right w:val="single" w:sz="8" w:space="0" w:color="B1BAC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8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399AF" w:themeColor="accent5" w:themeTint="BF"/>
        <w:left w:val="single" w:sz="8" w:space="0" w:color="7399AF" w:themeColor="accent5" w:themeTint="BF"/>
        <w:bottom w:val="single" w:sz="8" w:space="0" w:color="7399AF" w:themeColor="accent5" w:themeTint="BF"/>
        <w:right w:val="single" w:sz="8" w:space="0" w:color="7399AF" w:themeColor="accent5" w:themeTint="BF"/>
        <w:insideH w:val="single" w:sz="8" w:space="0" w:color="7399A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399AF" w:themeColor="accent5" w:themeTint="BF"/>
          <w:left w:val="single" w:sz="8" w:space="0" w:color="7399AF" w:themeColor="accent5" w:themeTint="BF"/>
          <w:bottom w:val="single" w:sz="8" w:space="0" w:color="7399AF" w:themeColor="accent5" w:themeTint="BF"/>
          <w:right w:val="single" w:sz="8" w:space="0" w:color="7399AF" w:themeColor="accent5" w:themeTint="BF"/>
          <w:insideH w:val="nil"/>
          <w:insideV w:val="nil"/>
        </w:tcBorders>
        <w:shd w:val="clear" w:color="auto" w:fill="4F75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99AF" w:themeColor="accent5" w:themeTint="BF"/>
          <w:left w:val="single" w:sz="8" w:space="0" w:color="7399AF" w:themeColor="accent5" w:themeTint="BF"/>
          <w:bottom w:val="single" w:sz="8" w:space="0" w:color="7399AF" w:themeColor="accent5" w:themeTint="BF"/>
          <w:right w:val="single" w:sz="8" w:space="0" w:color="7399A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DE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DE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4D3ED" w:themeColor="accent6" w:themeTint="BF"/>
        <w:left w:val="single" w:sz="8" w:space="0" w:color="94D3ED" w:themeColor="accent6" w:themeTint="BF"/>
        <w:bottom w:val="single" w:sz="8" w:space="0" w:color="94D3ED" w:themeColor="accent6" w:themeTint="BF"/>
        <w:right w:val="single" w:sz="8" w:space="0" w:color="94D3ED" w:themeColor="accent6" w:themeTint="BF"/>
        <w:insideH w:val="single" w:sz="8" w:space="0" w:color="94D3E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4D3ED" w:themeColor="accent6" w:themeTint="BF"/>
          <w:left w:val="single" w:sz="8" w:space="0" w:color="94D3ED" w:themeColor="accent6" w:themeTint="BF"/>
          <w:bottom w:val="single" w:sz="8" w:space="0" w:color="94D3ED" w:themeColor="accent6" w:themeTint="BF"/>
          <w:right w:val="single" w:sz="8" w:space="0" w:color="94D3ED" w:themeColor="accent6" w:themeTint="BF"/>
          <w:insideH w:val="nil"/>
          <w:insideV w:val="nil"/>
        </w:tcBorders>
        <w:shd w:val="clear" w:color="auto" w:fill="71C5E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D3ED" w:themeColor="accent6" w:themeTint="BF"/>
          <w:left w:val="single" w:sz="8" w:space="0" w:color="94D3ED" w:themeColor="accent6" w:themeTint="BF"/>
          <w:bottom w:val="single" w:sz="8" w:space="0" w:color="94D3ED" w:themeColor="accent6" w:themeTint="BF"/>
          <w:right w:val="single" w:sz="8" w:space="0" w:color="94D3E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F0F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216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216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216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E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E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E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A4A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A4A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8A4A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75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75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75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C5E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C5E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C5E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F80750"/>
    <w:pPr>
      <w:spacing w:after="0"/>
    </w:pPr>
  </w:style>
  <w:style w:type="paragraph" w:styleId="NormalWeb">
    <w:name w:val="Normal (Web)"/>
    <w:basedOn w:val="Normal"/>
    <w:uiPriority w:val="20"/>
    <w:rsid w:val="00606FC8"/>
    <w:pPr>
      <w:numPr>
        <w:numId w:val="0"/>
      </w:numPr>
    </w:pPr>
    <w:rPr>
      <w:rFonts w:asciiTheme="minorHAnsi" w:hAnsiTheme="minorHAnsi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</w:style>
  <w:style w:type="character" w:styleId="PageNumber">
    <w:name w:val="pag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19"/>
    <w:qFormat/>
    <w:rsid w:val="005D04CC"/>
    <w:pPr>
      <w:numPr>
        <w:numId w:val="0"/>
      </w:numPr>
      <w:ind w:left="425" w:right="425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19"/>
    <w:rsid w:val="005D04CC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</w:style>
  <w:style w:type="paragraph" w:styleId="Signature">
    <w:name w:val="Signature"/>
    <w:basedOn w:val="Normal"/>
    <w:link w:val="SignatureChar"/>
    <w:uiPriority w:val="29"/>
    <w:semiHidden/>
    <w:locked/>
    <w:rsid w:val="00F00470"/>
    <w:pPr>
      <w:numPr>
        <w:numId w:val="0"/>
      </w:numPr>
      <w:contextualSpacing/>
      <w:jc w:val="left"/>
    </w:pPr>
  </w:style>
  <w:style w:type="character" w:customStyle="1" w:styleId="SignatureChar">
    <w:name w:val="Signature Char"/>
    <w:basedOn w:val="DefaultParagraphFont"/>
    <w:link w:val="Signature"/>
    <w:uiPriority w:val="29"/>
    <w:semiHidden/>
    <w:rsid w:val="00EE50C6"/>
  </w:style>
  <w:style w:type="character" w:styleId="Strong">
    <w:name w:val="Strong"/>
    <w:basedOn w:val="DefaultParagraphFont"/>
    <w:uiPriority w:val="22"/>
    <w:semiHidden/>
    <w:qFormat/>
    <w:locked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locked/>
    <w:rsid w:val="00F80750"/>
    <w:pPr>
      <w:tabs>
        <w:tab w:val="num" w:pos="357"/>
      </w:tabs>
      <w:ind w:left="357" w:hanging="357"/>
    </w:pPr>
    <w:rPr>
      <w:rFonts w:asciiTheme="majorHAnsi" w:eastAsiaTheme="majorEastAsia" w:hAnsiTheme="majorHAnsi" w:cstheme="majorBidi"/>
      <w:i/>
      <w:iCs/>
      <w:color w:val="012169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80750"/>
    <w:rPr>
      <w:rFonts w:asciiTheme="majorHAnsi" w:eastAsiaTheme="majorEastAsia" w:hAnsiTheme="majorHAnsi" w:cstheme="majorBidi"/>
      <w:i/>
      <w:iCs/>
      <w:color w:val="012169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00A9E0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0453D9"/>
    <w:pPr>
      <w:numPr>
        <w:numId w:val="0"/>
      </w:numPr>
      <w:tabs>
        <w:tab w:val="left" w:pos="851"/>
        <w:tab w:val="right" w:pos="9027"/>
      </w:tabs>
      <w:ind w:left="851" w:hanging="851"/>
      <w:jc w:val="left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21C9B"/>
    <w:pPr>
      <w:numPr>
        <w:numId w:val="0"/>
      </w:numPr>
      <w:tabs>
        <w:tab w:val="left" w:pos="851"/>
        <w:tab w:val="right" w:pos="9038"/>
      </w:tabs>
      <w:ind w:left="851" w:hanging="851"/>
      <w:jc w:val="left"/>
    </w:pPr>
    <w:rPr>
      <w:b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3D9"/>
    <w:pPr>
      <w:numPr>
        <w:numId w:val="0"/>
      </w:numPr>
      <w:tabs>
        <w:tab w:val="left" w:pos="851"/>
        <w:tab w:val="right" w:pos="9027"/>
      </w:tabs>
    </w:pPr>
    <w:rPr>
      <w:i/>
      <w:sz w:val="28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3D9"/>
    <w:pPr>
      <w:numPr>
        <w:numId w:val="0"/>
      </w:numPr>
      <w:tabs>
        <w:tab w:val="left" w:pos="851"/>
        <w:tab w:val="right" w:pos="9027"/>
      </w:tabs>
    </w:pPr>
    <w:rPr>
      <w:b/>
      <w:sz w:val="24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E21C9B"/>
    <w:pPr>
      <w:numPr>
        <w:numId w:val="0"/>
      </w:numPr>
      <w:tabs>
        <w:tab w:val="left" w:pos="851"/>
        <w:tab w:val="right" w:pos="9027"/>
      </w:tabs>
    </w:pPr>
    <w:rPr>
      <w:b/>
    </w:r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numbering" w:styleId="1ai">
    <w:name w:val="Outline List 1"/>
    <w:basedOn w:val="NoList"/>
    <w:uiPriority w:val="99"/>
    <w:semiHidden/>
    <w:unhideWhenUsed/>
    <w:rsid w:val="00A8129D"/>
    <w:pPr>
      <w:numPr>
        <w:numId w:val="5"/>
      </w:numPr>
    </w:pPr>
  </w:style>
  <w:style w:type="numbering" w:customStyle="1" w:styleId="BulletList">
    <w:name w:val="Bullet List"/>
    <w:uiPriority w:val="99"/>
    <w:rsid w:val="00641EAA"/>
    <w:pPr>
      <w:numPr>
        <w:numId w:val="8"/>
      </w:numPr>
    </w:pPr>
  </w:style>
  <w:style w:type="paragraph" w:customStyle="1" w:styleId="Introduction">
    <w:name w:val="Introduction"/>
    <w:basedOn w:val="Normal"/>
    <w:uiPriority w:val="11"/>
    <w:semiHidden/>
    <w:qFormat/>
    <w:rsid w:val="00072B30"/>
    <w:pPr>
      <w:numPr>
        <w:numId w:val="0"/>
      </w:numPr>
    </w:pPr>
    <w:rPr>
      <w:b/>
      <w:color w:val="000000" w:themeColor="text1"/>
    </w:rPr>
  </w:style>
  <w:style w:type="table" w:styleId="TableGridLight">
    <w:name w:val="Grid Table Light"/>
    <w:aliases w:val="Hidden"/>
    <w:basedOn w:val="TableNormal"/>
    <w:uiPriority w:val="40"/>
    <w:locked/>
    <w:rsid w:val="00592F64"/>
    <w:tblPr>
      <w:tblCellMar>
        <w:left w:w="0" w:type="dxa"/>
        <w:right w:w="0" w:type="dxa"/>
      </w:tblCellMar>
    </w:tblPr>
  </w:style>
  <w:style w:type="numbering" w:customStyle="1" w:styleId="AppendixList">
    <w:name w:val="Appendix List"/>
    <w:uiPriority w:val="99"/>
    <w:rsid w:val="00495A4C"/>
    <w:pPr>
      <w:numPr>
        <w:numId w:val="3"/>
      </w:numPr>
    </w:pPr>
  </w:style>
  <w:style w:type="paragraph" w:customStyle="1" w:styleId="AppendixHeading">
    <w:name w:val="Appendix Heading"/>
    <w:basedOn w:val="Heading1"/>
    <w:uiPriority w:val="10"/>
    <w:semiHidden/>
    <w:qFormat/>
    <w:rsid w:val="003A2733"/>
    <w:pPr>
      <w:numPr>
        <w:numId w:val="3"/>
      </w:numPr>
    </w:pPr>
  </w:style>
  <w:style w:type="paragraph" w:customStyle="1" w:styleId="AppendixSubHeading">
    <w:name w:val="Appendix Sub Heading"/>
    <w:basedOn w:val="Heading2"/>
    <w:uiPriority w:val="10"/>
    <w:semiHidden/>
    <w:qFormat/>
    <w:rsid w:val="003A2733"/>
  </w:style>
  <w:style w:type="paragraph" w:customStyle="1" w:styleId="Heading1Numbers">
    <w:name w:val="Heading 1 Numbers"/>
    <w:basedOn w:val="Heading1"/>
    <w:next w:val="Normal"/>
    <w:uiPriority w:val="9"/>
    <w:qFormat/>
    <w:rsid w:val="00BA627A"/>
    <w:pPr>
      <w:numPr>
        <w:numId w:val="10"/>
      </w:numPr>
    </w:pPr>
  </w:style>
  <w:style w:type="paragraph" w:customStyle="1" w:styleId="Heading2Numbers">
    <w:name w:val="Heading 2 Numbers"/>
    <w:basedOn w:val="Heading2"/>
    <w:next w:val="Normal"/>
    <w:uiPriority w:val="9"/>
    <w:qFormat/>
    <w:rsid w:val="00E61784"/>
    <w:pPr>
      <w:numPr>
        <w:ilvl w:val="1"/>
        <w:numId w:val="10"/>
      </w:numPr>
    </w:pPr>
    <w:rPr>
      <w:bCs w:val="0"/>
    </w:rPr>
  </w:style>
  <w:style w:type="paragraph" w:customStyle="1" w:styleId="Heading3Numbers">
    <w:name w:val="Heading 3 Numbers"/>
    <w:basedOn w:val="Heading3"/>
    <w:next w:val="Normal"/>
    <w:uiPriority w:val="9"/>
    <w:qFormat/>
    <w:rsid w:val="00BA627A"/>
    <w:pPr>
      <w:numPr>
        <w:ilvl w:val="2"/>
        <w:numId w:val="10"/>
      </w:numPr>
    </w:pPr>
  </w:style>
  <w:style w:type="paragraph" w:customStyle="1" w:styleId="Heading4NoNumber">
    <w:name w:val="Heading 4 No Number"/>
    <w:basedOn w:val="Heading4"/>
    <w:uiPriority w:val="9"/>
    <w:qFormat/>
    <w:rsid w:val="00BA627A"/>
    <w:pPr>
      <w:numPr>
        <w:ilvl w:val="3"/>
        <w:numId w:val="10"/>
      </w:numPr>
    </w:pPr>
  </w:style>
  <w:style w:type="paragraph" w:customStyle="1" w:styleId="JanusSeal">
    <w:name w:val="Janus Seal"/>
    <w:basedOn w:val="Normal"/>
    <w:uiPriority w:val="18"/>
    <w:qFormat/>
    <w:rsid w:val="00877B84"/>
    <w:pPr>
      <w:jc w:val="center"/>
    </w:pPr>
    <w:rPr>
      <w:b/>
      <w:color w:val="FF0000"/>
      <w:sz w:val="24"/>
    </w:rPr>
  </w:style>
  <w:style w:type="paragraph" w:customStyle="1" w:styleId="LetterCAPSTitle">
    <w:name w:val="Letter CAPS Title"/>
    <w:basedOn w:val="Normal"/>
    <w:uiPriority w:val="19"/>
    <w:qFormat/>
    <w:rsid w:val="00722F9F"/>
    <w:pPr>
      <w:numPr>
        <w:numId w:val="0"/>
      </w:numPr>
    </w:pPr>
    <w:rPr>
      <w:b/>
      <w:caps/>
      <w:shd w:val="clear" w:color="auto" w:fill="FFFFFF"/>
    </w:rPr>
  </w:style>
  <w:style w:type="table" w:styleId="PlainTable5">
    <w:name w:val="Plain Table 5"/>
    <w:basedOn w:val="TableNormal"/>
    <w:uiPriority w:val="45"/>
    <w:locked/>
    <w:rsid w:val="00F0509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overdate">
    <w:name w:val="Cover date"/>
    <w:basedOn w:val="Address"/>
    <w:uiPriority w:val="29"/>
    <w:semiHidden/>
    <w:qFormat/>
    <w:rsid w:val="00592F64"/>
  </w:style>
  <w:style w:type="paragraph" w:customStyle="1" w:styleId="Address">
    <w:name w:val="Address"/>
    <w:basedOn w:val="Normal"/>
    <w:uiPriority w:val="19"/>
    <w:qFormat/>
    <w:rsid w:val="00592F64"/>
    <w:pPr>
      <w:numPr>
        <w:numId w:val="0"/>
      </w:numPr>
      <w:spacing w:after="840"/>
      <w:contextualSpacing/>
    </w:pPr>
  </w:style>
  <w:style w:type="paragraph" w:customStyle="1" w:styleId="Sincerely">
    <w:name w:val="Sincerely"/>
    <w:basedOn w:val="Normal"/>
    <w:uiPriority w:val="29"/>
    <w:semiHidden/>
    <w:qFormat/>
    <w:rsid w:val="00592F64"/>
    <w:pPr>
      <w:numPr>
        <w:numId w:val="0"/>
      </w:numPr>
      <w:spacing w:before="720" w:after="600"/>
    </w:pPr>
  </w:style>
  <w:style w:type="paragraph" w:customStyle="1" w:styleId="Subject">
    <w:name w:val="Subject"/>
    <w:basedOn w:val="Normal"/>
    <w:uiPriority w:val="29"/>
    <w:semiHidden/>
    <w:qFormat/>
    <w:rsid w:val="00592F64"/>
    <w:pPr>
      <w:numPr>
        <w:numId w:val="0"/>
      </w:numPr>
      <w:spacing w:before="480" w:after="480"/>
    </w:pPr>
    <w:rPr>
      <w:b/>
    </w:rPr>
  </w:style>
  <w:style w:type="table" w:customStyle="1" w:styleId="TableOption2">
    <w:name w:val="Table Option 2"/>
    <w:basedOn w:val="TableGrid"/>
    <w:uiPriority w:val="99"/>
    <w:rsid w:val="00826012"/>
    <w:tblPr/>
    <w:tcPr>
      <w:shd w:val="clear" w:color="auto" w:fill="EAECEE" w:themeFill="accent4" w:themeFillTint="33"/>
    </w:tcPr>
    <w:tblStylePr w:type="firstRow">
      <w:rPr>
        <w:b w:val="0"/>
        <w:color w:val="FFFFFF" w:themeColor="background1"/>
      </w:rPr>
      <w:tblPr/>
      <w:trPr>
        <w:cantSplit/>
        <w:tblHeader/>
      </w:trPr>
      <w:tcPr>
        <w:shd w:val="clear" w:color="auto" w:fill="012169" w:themeFill="accent1"/>
      </w:tcPr>
    </w:tblStylePr>
    <w:tblStylePr w:type="lastRow">
      <w:rPr>
        <w:b/>
      </w:rPr>
      <w:tblPr/>
      <w:tcPr>
        <w:shd w:val="clear" w:color="auto" w:fill="EAECEE" w:themeFill="accent4" w:themeFillTint="33"/>
      </w:tcPr>
    </w:tblStylePr>
    <w:tblStylePr w:type="firstCol">
      <w:rPr>
        <w:b w:val="0"/>
        <w:color w:val="auto"/>
      </w:rPr>
      <w:tblPr/>
      <w:tcPr>
        <w:shd w:val="clear" w:color="auto" w:fill="012169" w:themeFill="accent1"/>
      </w:tcPr>
    </w:tblStylePr>
    <w:tblStylePr w:type="lastCol">
      <w:pPr>
        <w:jc w:val="right"/>
      </w:pPr>
      <w:rPr>
        <w:b/>
      </w:rPr>
    </w:tblStylePr>
    <w:tblStylePr w:type="band1Horz">
      <w:tblPr/>
      <w:tcPr>
        <w:shd w:val="clear" w:color="auto" w:fill="EAECEE" w:themeFill="accent4" w:themeFillTint="33"/>
      </w:tcPr>
    </w:tblStylePr>
    <w:tblStylePr w:type="band2Horz">
      <w:tblPr/>
      <w:tcPr>
        <w:shd w:val="clear" w:color="auto" w:fill="C1C8CE" w:themeFill="accent4" w:themeFillTint="99"/>
      </w:tcPr>
    </w:tblStylePr>
  </w:style>
  <w:style w:type="paragraph" w:customStyle="1" w:styleId="TableHeading">
    <w:name w:val="Table Heading"/>
    <w:basedOn w:val="Normal"/>
    <w:next w:val="Normal"/>
    <w:uiPriority w:val="10"/>
    <w:qFormat/>
    <w:rsid w:val="004C766B"/>
    <w:pPr>
      <w:keepNext/>
      <w:numPr>
        <w:numId w:val="0"/>
      </w:numPr>
      <w:spacing w:before="240" w:after="120"/>
    </w:pPr>
    <w:rPr>
      <w:b/>
      <w:i/>
    </w:rPr>
  </w:style>
  <w:style w:type="paragraph" w:customStyle="1" w:styleId="NameTitleDivision">
    <w:name w:val="Name/Title/Division"/>
    <w:basedOn w:val="Normal"/>
    <w:uiPriority w:val="18"/>
    <w:qFormat/>
    <w:rsid w:val="000573E5"/>
    <w:pPr>
      <w:numPr>
        <w:numId w:val="0"/>
      </w:numPr>
      <w:contextualSpacing/>
    </w:pPr>
    <w:rPr>
      <w:i/>
    </w:rPr>
  </w:style>
  <w:style w:type="paragraph" w:customStyle="1" w:styleId="TableText">
    <w:name w:val="Table Text"/>
    <w:basedOn w:val="Normal"/>
    <w:uiPriority w:val="10"/>
    <w:qFormat/>
    <w:rsid w:val="009E529F"/>
    <w:pPr>
      <w:numPr>
        <w:numId w:val="0"/>
      </w:numPr>
      <w:spacing w:before="60" w:after="60"/>
      <w:jc w:val="left"/>
    </w:pPr>
  </w:style>
  <w:style w:type="paragraph" w:customStyle="1" w:styleId="Postscript">
    <w:name w:val="Postscript"/>
    <w:basedOn w:val="Normal"/>
    <w:uiPriority w:val="19"/>
    <w:qFormat/>
    <w:rsid w:val="00B40B7D"/>
    <w:pPr>
      <w:numPr>
        <w:numId w:val="0"/>
      </w:numPr>
    </w:pPr>
    <w:rPr>
      <w:sz w:val="20"/>
    </w:rPr>
  </w:style>
  <w:style w:type="paragraph" w:customStyle="1" w:styleId="Heading">
    <w:name w:val="Heading"/>
    <w:basedOn w:val="Normal"/>
    <w:rsid w:val="00B670E9"/>
    <w:pPr>
      <w:keepNext/>
      <w:numPr>
        <w:numId w:val="0"/>
      </w:numPr>
      <w:spacing w:before="240" w:after="60"/>
      <w:jc w:val="left"/>
      <w:outlineLvl w:val="0"/>
    </w:pPr>
    <w:rPr>
      <w:rFonts w:ascii="Times New Roman" w:eastAsia="Times New Roman" w:hAnsi="Times New Roman" w:cs="Arial"/>
      <w:b/>
      <w:color w:val="auto"/>
      <w:kern w:val="32"/>
      <w:sz w:val="2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legislation.gov.au/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PRA">
      <a:dk1>
        <a:sysClr val="windowText" lastClr="000000"/>
      </a:dk1>
      <a:lt1>
        <a:sysClr val="window" lastClr="FFFFFF"/>
      </a:lt1>
      <a:dk2>
        <a:srgbClr val="012169"/>
      </a:dk2>
      <a:lt2>
        <a:srgbClr val="00A9E0"/>
      </a:lt2>
      <a:accent1>
        <a:srgbClr val="012169"/>
      </a:accent1>
      <a:accent2>
        <a:srgbClr val="00A9E0"/>
      </a:accent2>
      <a:accent3>
        <a:srgbClr val="0072CE"/>
      </a:accent3>
      <a:accent4>
        <a:srgbClr val="98A4AE"/>
      </a:accent4>
      <a:accent5>
        <a:srgbClr val="4F758B"/>
      </a:accent5>
      <a:accent6>
        <a:srgbClr val="71C5E8"/>
      </a:accent6>
      <a:hlink>
        <a:srgbClr val="0000FF"/>
      </a:hlink>
      <a:folHlink>
        <a:srgbClr val="7030A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Registration</TermName>
          <TermId xmlns="http://schemas.microsoft.com/office/infopath/2007/PartnerControls">390476ce-d76d-4e8d-905f-28e32d2df127</TermId>
        </TermInfo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Explanatory statement</TermName>
          <TermId xmlns="http://schemas.microsoft.com/office/infopath/2007/PartnerControls">b22f2e2f-3f73-411b-9a7c-34264d26fa25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OFFICIAL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TaxCatchAll xmlns="814d62cb-2db6-4c25-ab62-b9075facbc11">
      <Value>24</Value>
      <Value>83</Value>
      <Value>234</Value>
      <Value>134</Value>
      <Value>10</Value>
      <Value>26</Value>
      <Value>93</Value>
      <Value>109</Value>
      <Value>19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/>
    </l003ee8eff60461aa1bd0027aba92ea4>
    <APRADescription xmlns="814d62cb-2db6-4c25-ab62-b9075facbc11">Explanatory Statement (ES) for Insurance (prudential standard) determinations No. 1-4 of 2022</APRADescription>
    <APRAActivityID xmlns="814d62cb-2db6-4c25-ab62-b9075facbc11" xsi:nil="true"/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</Terms>
    </p10c80fc2da942ae8f2ea9b33b6ea0ba>
    <i08e72d8ce2b4ffa9361f9f4e0a63abc xmlns="814d62cb-2db6-4c25-ab62-b9075facbc11">
      <Terms xmlns="http://schemas.microsoft.com/office/infopath/2007/PartnerControls"/>
    </i08e72d8ce2b4ffa9361f9f4e0a63abc>
    <APRADocScanCheck xmlns="814d62cb-2db6-4c25-ab62-b9075facbc11">true</APRADocScanCheck>
    <aa36a5a650d54f768f171f4d17b8b238 xmlns="814d62cb-2db6-4c25-ab62-b9075facbc11">
      <Terms xmlns="http://schemas.microsoft.com/office/infopath/2007/PartnerControls"/>
    </aa36a5a650d54f768f171f4d17b8b238>
    <_dlc_DocId xmlns="814d62cb-2db6-4c25-ab62-b9075facbc11">5JENXJJSCC7A-445999044-11773</_dlc_DocId>
    <_dlc_DocIdUrl xmlns="814d62cb-2db6-4c25-ab62-b9075facbc11">
      <Url>https://im/teams/LEGAL/_layouts/15/DocIdRedir.aspx?ID=5JENXJJSCC7A-445999044-11773</Url>
      <Description>5JENXJJSCC7A-445999044-11773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73" ma:contentTypeDescription="Create a new document." ma:contentTypeScope="" ma:versionID="73e2e2cfc32a2691ee31d7af9bd362de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7be0268868a1afd65d01f44ca09bb39c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OFFICIAL: Sensitive" ma:hidden="true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OFFICIAL: Sensitive: NATIONAL CABINET"/>
          <xsd:enumeration value="OFFICIAL: Sensitive: NATIONAL CABINET (APRA Act s56)"/>
          <xsd:enumeration value="OFFICIAL: Sensitive: NATIONAL CABINET (Personal privacy)"/>
          <xsd:enumeration value="OFFICIAL: Sensitive: NATIONAL CABINET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PROTECTED: NATIONAL CABINET"/>
          <xsd:enumeration value="PROTECTED: NATIONAL CABINET (APRA Act s56)"/>
          <xsd:enumeration value="PROTECTED: NATIONAL CABINET (Personal privacy)"/>
          <xsd:enumeration value="PROTECTED: NATIONAL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D6CA8-EEBC-4854-BDC8-72670CB4FC8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42C6391-6478-4F96-8299-48832D182D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8A39F2-5068-45BF-85CC-A816CCABDD3E}">
  <ds:schemaRefs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814d62cb-2db6-4c25-ab62-b9075facbc11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F99F6737-CFE8-42D7-AD31-851C77546D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0891AF-6DFF-40E7-844F-963DE9FF65A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A7774EF-60E5-4F70-A3EC-F2A46138E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970</Words>
  <Characters>5821</Characters>
  <Application>Microsoft Office Word</Application>
  <DocSecurity>0</DocSecurity>
  <Lines>105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wording for explanatory memorandum</vt:lpstr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 - Insurance (prudential standard) determinations No. 1-4 of 2022</dc:title>
  <dc:subject/>
  <dc:creator>Eleanor Earl</dc:creator>
  <cp:keywords>[SEC=OFFICIAL]</cp:keywords>
  <dc:description/>
  <cp:lastModifiedBy>Toni Michalis</cp:lastModifiedBy>
  <cp:revision>2</cp:revision>
  <cp:lastPrinted>2014-02-02T12:10:00Z</cp:lastPrinted>
  <dcterms:created xsi:type="dcterms:W3CDTF">2022-06-27T10:59:00Z</dcterms:created>
  <dcterms:modified xsi:type="dcterms:W3CDTF">2022-06-27T10:59:00Z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73BB359DE67C4467B113C70A6C8971F2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C3AD57350F36D8E1BD75F8F67CB06D435C9C43CA</vt:lpwstr>
  </property>
  <property fmtid="{D5CDD505-2E9C-101B-9397-08002B2CF9AE}" pid="11" name="PM_OriginationTimeStamp">
    <vt:lpwstr>2022-06-27T10:59:12Z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Uuid">
    <vt:lpwstr>ABBFF5E2-9674-55C9-B08D-C9980002FD58</vt:lpwstr>
  </property>
  <property fmtid="{D5CDD505-2E9C-101B-9397-08002B2CF9AE}" pid="20" name="PMUuidVer">
    <vt:lpwstr>2022.1</vt:lpwstr>
  </property>
  <property fmtid="{D5CDD505-2E9C-101B-9397-08002B2CF9AE}" pid="21" name="PM_Hash_Version">
    <vt:lpwstr>2018.0</vt:lpwstr>
  </property>
  <property fmtid="{D5CDD505-2E9C-101B-9397-08002B2CF9AE}" pid="22" name="PM_Hash_Salt_Prev">
    <vt:lpwstr>69ED39B94927E3B2E3EFE7FDF403F517</vt:lpwstr>
  </property>
  <property fmtid="{D5CDD505-2E9C-101B-9397-08002B2CF9AE}" pid="23" name="PM_Hash_Salt">
    <vt:lpwstr>39ED049A971FC899D272539C168DF37E</vt:lpwstr>
  </property>
  <property fmtid="{D5CDD505-2E9C-101B-9397-08002B2CF9AE}" pid="24" name="PM_Hash_SHA1">
    <vt:lpwstr>E5E757792A11892F4BA9D62D6390F7C4092479F9</vt:lpwstr>
  </property>
  <property fmtid="{D5CDD505-2E9C-101B-9397-08002B2CF9AE}" pid="25" name="PM_OriginatorUserAccountName_SHA256">
    <vt:lpwstr>6E3018F28A186D2E5FF5207C041E7A82E907C3008E071057026A53705873B72E</vt:lpwstr>
  </property>
  <property fmtid="{D5CDD505-2E9C-101B-9397-08002B2CF9AE}" pid="26" name="PM_OriginatorDomainName_SHA256">
    <vt:lpwstr>ECBDE2B44A971754412B3FB70606937A119CC0D4B6C1B658A40FBD41C30BE3EC</vt:lpwstr>
  </property>
  <property fmtid="{D5CDD505-2E9C-101B-9397-08002B2CF9AE}" pid="27" name="PM_MinimumSecurityClassification">
    <vt:lpwstr/>
  </property>
  <property fmtid="{D5CDD505-2E9C-101B-9397-08002B2CF9AE}" pid="28" name="ContentTypeId">
    <vt:lpwstr>0x0101008CA7A4F8331B45C7B0D3158B4994D0CA0200577EC0F5A1FBFC498F9A8436B963F8A6</vt:lpwstr>
  </property>
  <property fmtid="{D5CDD505-2E9C-101B-9397-08002B2CF9AE}" pid="29" name="APRAPeriod">
    <vt:lpwstr/>
  </property>
  <property fmtid="{D5CDD505-2E9C-101B-9397-08002B2CF9AE}" pid="30" name="APRAPRSG">
    <vt:lpwstr/>
  </property>
  <property fmtid="{D5CDD505-2E9C-101B-9397-08002B2CF9AE}" pid="31" name="APRAYear">
    <vt:lpwstr/>
  </property>
  <property fmtid="{D5CDD505-2E9C-101B-9397-08002B2CF9AE}" pid="32" name="APRAIndustry">
    <vt:lpwstr/>
  </property>
  <property fmtid="{D5CDD505-2E9C-101B-9397-08002B2CF9AE}" pid="33" name="_dlc_DocIdItemGuid">
    <vt:lpwstr>277e51d7-2860-463b-9c12-662eaa9faa51</vt:lpwstr>
  </property>
  <property fmtid="{D5CDD505-2E9C-101B-9397-08002B2CF9AE}" pid="34" name="IsLocked">
    <vt:lpwstr>False</vt:lpwstr>
  </property>
  <property fmtid="{D5CDD505-2E9C-101B-9397-08002B2CF9AE}" pid="35" name="APRACostCentre">
    <vt:lpwstr>24;#Legal - ADI|652d8d2a-ab45-47b4-ac6e-fe6ac9299b39;#26;#Legal - Insurance: General|8229dc1a-d7f2-47b2-844a-b026fed0c13d;#93;#Legal - Insurance: Health|21611e62-d688-4f0d-8807-02701cc43699;#83;#Legal - Insurance: Life|56f18b50-6605-4f3f-97e3-cad1cb5394e0;#134;#Legal - Superannuation|cce3181d-fd23-4eee-94d3-c66abc2350cf</vt:lpwstr>
  </property>
  <property fmtid="{D5CDD505-2E9C-101B-9397-08002B2CF9AE}" pid="36" name="IT system type">
    <vt:lpwstr/>
  </property>
  <property fmtid="{D5CDD505-2E9C-101B-9397-08002B2CF9AE}" pid="37" name="APRACategory">
    <vt:lpwstr/>
  </property>
  <property fmtid="{D5CDD505-2E9C-101B-9397-08002B2CF9AE}" pid="38" name="APRADocumentType">
    <vt:lpwstr>234;#Explanatory statement|b22f2e2f-3f73-411b-9a7c-34264d26fa25</vt:lpwstr>
  </property>
  <property fmtid="{D5CDD505-2E9C-101B-9397-08002B2CF9AE}" pid="39" name="APRAStatus">
    <vt:lpwstr>19;#Final|84d6b2d0-8498-4d62-bf46-bab38babbe9e</vt:lpwstr>
  </property>
  <property fmtid="{D5CDD505-2E9C-101B-9397-08002B2CF9AE}" pid="40" name="APRAActivity">
    <vt:lpwstr>10;#Registration|390476ce-d76d-4e8d-905f-28e32d2df127;#109;#Statutory instrument|fe68928c-5a9c-4caf-bc8c-6c18cedcb17f</vt:lpwstr>
  </property>
  <property fmtid="{D5CDD505-2E9C-101B-9397-08002B2CF9AE}" pid="41" name="APRAEntityAdviceSupport">
    <vt:lpwstr/>
  </property>
  <property fmtid="{D5CDD505-2E9C-101B-9397-08002B2CF9AE}" pid="42" name="APRALegislation">
    <vt:lpwstr/>
  </property>
  <property fmtid="{D5CDD505-2E9C-101B-9397-08002B2CF9AE}" pid="43" name="APRAExternalOrganisation">
    <vt:lpwstr/>
  </property>
  <property fmtid="{D5CDD505-2E9C-101B-9397-08002B2CF9AE}" pid="44" name="APRAIRTR">
    <vt:lpwstr/>
  </property>
  <property fmtid="{D5CDD505-2E9C-101B-9397-08002B2CF9AE}" pid="45" name="RecordPoint_WorkflowType">
    <vt:lpwstr>ActiveSubmitStub</vt:lpwstr>
  </property>
  <property fmtid="{D5CDD505-2E9C-101B-9397-08002B2CF9AE}" pid="46" name="RecordPoint_ActiveItemSiteId">
    <vt:lpwstr>{88691c01-5bbb-4215-adc0-66cb7065b0af}</vt:lpwstr>
  </property>
  <property fmtid="{D5CDD505-2E9C-101B-9397-08002B2CF9AE}" pid="47" name="RecordPoint_ActiveItemListId">
    <vt:lpwstr>{0e59e171-09d8-4401-800a-327154450cb3}</vt:lpwstr>
  </property>
  <property fmtid="{D5CDD505-2E9C-101B-9397-08002B2CF9AE}" pid="48" name="RecordPoint_ActiveItemUniqueId">
    <vt:lpwstr>{277e51d7-2860-463b-9c12-662eaa9faa51}</vt:lpwstr>
  </property>
  <property fmtid="{D5CDD505-2E9C-101B-9397-08002B2CF9AE}" pid="49" name="RecordPoint_ActiveItemWebId">
    <vt:lpwstr>{75a71c27-8d66-4282-ae60-1bfc22a83be1}</vt:lpwstr>
  </property>
  <property fmtid="{D5CDD505-2E9C-101B-9397-08002B2CF9AE}" pid="50" name="RecordPoint_RecordNumberSubmitted">
    <vt:lpwstr>R0001610133</vt:lpwstr>
  </property>
  <property fmtid="{D5CDD505-2E9C-101B-9397-08002B2CF9AE}" pid="51" name="RecordPoint_SubmissionCompleted">
    <vt:lpwstr>2022-06-28T03:22:30.4586214+10:00</vt:lpwstr>
  </property>
  <property fmtid="{D5CDD505-2E9C-101B-9397-08002B2CF9AE}" pid="52" name="PM_SecurityClassification_Prev">
    <vt:lpwstr>OFFICIAL</vt:lpwstr>
  </property>
  <property fmtid="{D5CDD505-2E9C-101B-9397-08002B2CF9AE}" pid="53" name="PM_Qualifier_Prev">
    <vt:lpwstr/>
  </property>
  <property fmtid="{D5CDD505-2E9C-101B-9397-08002B2CF9AE}" pid="54" name="RecordPoint_SubmissionDate">
    <vt:lpwstr/>
  </property>
  <property fmtid="{D5CDD505-2E9C-101B-9397-08002B2CF9AE}" pid="55" name="RecordPoint_ActiveItemMoved">
    <vt:lpwstr/>
  </property>
  <property fmtid="{D5CDD505-2E9C-101B-9397-08002B2CF9AE}" pid="56" name="RecordPoint_RecordFormat">
    <vt:lpwstr/>
  </property>
  <property fmtid="{D5CDD505-2E9C-101B-9397-08002B2CF9AE}" pid="57" name="MSIP_Label_c0129afb-6481-4f92-bc9f-5a4a6346364d_SetDate">
    <vt:lpwstr>2022-06-22T03:00:18Z</vt:lpwstr>
  </property>
  <property fmtid="{D5CDD505-2E9C-101B-9397-08002B2CF9AE}" pid="58" name="MSIP_Label_c0129afb-6481-4f92-bc9f-5a4a6346364d_Name">
    <vt:lpwstr>OFFICIAL</vt:lpwstr>
  </property>
  <property fmtid="{D5CDD505-2E9C-101B-9397-08002B2CF9AE}" pid="59" name="MSIP_Label_c0129afb-6481-4f92-bc9f-5a4a6346364d_SiteId">
    <vt:lpwstr>c05e3ffd-b491-4431-9809-e61d4dc78816</vt:lpwstr>
  </property>
  <property fmtid="{D5CDD505-2E9C-101B-9397-08002B2CF9AE}" pid="60" name="MSIP_Label_c0129afb-6481-4f92-bc9f-5a4a6346364d_Enabled">
    <vt:lpwstr>true</vt:lpwstr>
  </property>
</Properties>
</file>