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D46F" w14:textId="77777777" w:rsidR="00435DAF" w:rsidRDefault="00435DAF" w:rsidP="00435DAF">
      <w:pPr>
        <w:numPr>
          <w:ilvl w:val="0"/>
          <w:numId w:val="9"/>
        </w:numPr>
        <w:spacing w:after="240"/>
        <w:jc w:val="both"/>
      </w:pPr>
      <w:r>
        <w:rPr>
          <w:noProof/>
          <w:lang w:eastAsia="en-AU"/>
        </w:rPr>
        <w:drawing>
          <wp:inline distT="0" distB="0" distL="0" distR="0" wp14:anchorId="77F1FBB3" wp14:editId="1951F1E6">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2836139" w14:textId="77777777" w:rsidR="00435DAF" w:rsidRPr="00435DAF" w:rsidRDefault="00435DAF" w:rsidP="00435DAF">
      <w:pPr>
        <w:numPr>
          <w:ilvl w:val="0"/>
          <w:numId w:val="9"/>
        </w:numPr>
        <w:jc w:val="both"/>
        <w:rPr>
          <w:rFonts w:ascii="Arial" w:hAnsi="Arial" w:cs="Arial"/>
          <w:b/>
          <w:sz w:val="32"/>
          <w:szCs w:val="32"/>
        </w:rPr>
      </w:pPr>
      <w:r w:rsidRPr="00435DAF">
        <w:rPr>
          <w:rFonts w:ascii="Arial" w:hAnsi="Arial" w:cs="Arial"/>
          <w:b/>
          <w:sz w:val="32"/>
          <w:szCs w:val="32"/>
        </w:rPr>
        <w:t>Insurance (prudential standard) determination</w:t>
      </w:r>
    </w:p>
    <w:p w14:paraId="05357258" w14:textId="77777777" w:rsidR="00435DAF" w:rsidRPr="00435DAF" w:rsidRDefault="00435DAF" w:rsidP="00435DAF">
      <w:pPr>
        <w:numPr>
          <w:ilvl w:val="0"/>
          <w:numId w:val="9"/>
        </w:numPr>
        <w:jc w:val="both"/>
        <w:rPr>
          <w:rFonts w:ascii="Arial" w:hAnsi="Arial" w:cs="Arial"/>
          <w:b/>
          <w:sz w:val="32"/>
          <w:szCs w:val="32"/>
        </w:rPr>
      </w:pPr>
      <w:r w:rsidRPr="00435DAF">
        <w:rPr>
          <w:rFonts w:ascii="Arial" w:hAnsi="Arial" w:cs="Arial"/>
          <w:b/>
          <w:sz w:val="32"/>
          <w:szCs w:val="32"/>
        </w:rPr>
        <w:t>No. 4 of 2022</w:t>
      </w:r>
    </w:p>
    <w:p w14:paraId="6E705B02" w14:textId="77777777" w:rsidR="00435DAF" w:rsidRPr="00435DAF" w:rsidRDefault="00435DAF" w:rsidP="00435DAF">
      <w:pPr>
        <w:pStyle w:val="ActTitle"/>
        <w:spacing w:before="240"/>
        <w:rPr>
          <w:rFonts w:cs="Arial"/>
          <w:b/>
          <w:i w:val="0"/>
        </w:rPr>
      </w:pPr>
      <w:r w:rsidRPr="00435DAF">
        <w:rPr>
          <w:rFonts w:cs="Arial"/>
          <w:b/>
          <w:i w:val="0"/>
        </w:rPr>
        <w:t>Prudential Standard GPS 117 Capital Adequacy: Asset Concentration Risk Charge</w:t>
      </w:r>
    </w:p>
    <w:p w14:paraId="67603FAB" w14:textId="77777777" w:rsidR="00435DAF" w:rsidRDefault="00435DAF" w:rsidP="00435DAF">
      <w:pPr>
        <w:pStyle w:val="ActTitle"/>
        <w:spacing w:before="240"/>
      </w:pPr>
      <w:r>
        <w:t>Insurance Act 1973</w:t>
      </w:r>
    </w:p>
    <w:p w14:paraId="72778006" w14:textId="0FE4C025" w:rsidR="00435DAF" w:rsidRPr="00435DAF" w:rsidRDefault="00435DAF" w:rsidP="00435DAF">
      <w:pPr>
        <w:pStyle w:val="IntroTo"/>
        <w:ind w:left="0" w:firstLine="0"/>
        <w:jc w:val="both"/>
        <w:rPr>
          <w:rFonts w:ascii="Arial" w:hAnsi="Arial" w:cs="Arial"/>
          <w:sz w:val="22"/>
          <w:szCs w:val="22"/>
        </w:rPr>
      </w:pPr>
      <w:r w:rsidRPr="00435DAF">
        <w:rPr>
          <w:rFonts w:ascii="Arial" w:hAnsi="Arial" w:cs="Arial"/>
          <w:sz w:val="22"/>
          <w:szCs w:val="22"/>
        </w:rPr>
        <w:t>I, Helen Rowell, a delegate of APRA:</w:t>
      </w:r>
    </w:p>
    <w:p w14:paraId="6D775E83" w14:textId="77777777" w:rsidR="00435DAF" w:rsidRPr="00435DAF" w:rsidRDefault="00435DAF" w:rsidP="00435DAF">
      <w:pPr>
        <w:pStyle w:val="IntroTo"/>
        <w:ind w:left="0" w:firstLine="0"/>
        <w:jc w:val="both"/>
        <w:rPr>
          <w:rFonts w:ascii="Arial" w:hAnsi="Arial" w:cs="Arial"/>
          <w:sz w:val="22"/>
          <w:szCs w:val="22"/>
        </w:rPr>
      </w:pPr>
    </w:p>
    <w:p w14:paraId="1771BD01" w14:textId="77777777" w:rsidR="00435DAF" w:rsidRPr="00435DAF" w:rsidRDefault="00435DAF" w:rsidP="00435DAF">
      <w:pPr>
        <w:pStyle w:val="instrument"/>
        <w:numPr>
          <w:ilvl w:val="1"/>
          <w:numId w:val="10"/>
        </w:numPr>
        <w:tabs>
          <w:tab w:val="clear" w:pos="567"/>
        </w:tabs>
        <w:ind w:left="567"/>
        <w:rPr>
          <w:rFonts w:ascii="Arial" w:hAnsi="Arial" w:cs="Arial"/>
          <w:sz w:val="22"/>
          <w:szCs w:val="22"/>
        </w:rPr>
      </w:pPr>
      <w:r w:rsidRPr="00435DAF">
        <w:rPr>
          <w:rFonts w:ascii="Arial" w:hAnsi="Arial" w:cs="Arial"/>
          <w:sz w:val="22"/>
          <w:szCs w:val="22"/>
        </w:rPr>
        <w:t xml:space="preserve">under subsection 32(4) of the </w:t>
      </w:r>
      <w:r w:rsidRPr="00435DAF">
        <w:rPr>
          <w:rFonts w:ascii="Arial" w:hAnsi="Arial" w:cs="Arial"/>
          <w:i/>
          <w:sz w:val="22"/>
          <w:szCs w:val="22"/>
        </w:rPr>
        <w:t>Insurance Act 1973</w:t>
      </w:r>
      <w:r w:rsidRPr="00435DAF">
        <w:rPr>
          <w:rFonts w:ascii="Arial" w:hAnsi="Arial" w:cs="Arial"/>
          <w:sz w:val="22"/>
          <w:szCs w:val="22"/>
        </w:rPr>
        <w:t xml:space="preserve"> (the Act), revoke Insurance (prudential standard) determination No. 2 of 2017, including </w:t>
      </w:r>
      <w:r w:rsidRPr="00435DAF">
        <w:rPr>
          <w:rFonts w:ascii="Arial" w:hAnsi="Arial" w:cs="Arial"/>
          <w:i/>
          <w:sz w:val="22"/>
          <w:szCs w:val="22"/>
        </w:rPr>
        <w:t>Prudential Standard GPS 117 Capital Adequacy: Asset Concentration Risk Charge</w:t>
      </w:r>
      <w:r w:rsidRPr="00435DAF">
        <w:rPr>
          <w:rFonts w:ascii="Arial" w:hAnsi="Arial" w:cs="Arial"/>
          <w:sz w:val="22"/>
          <w:szCs w:val="22"/>
        </w:rPr>
        <w:t>, made under that determination; and</w:t>
      </w:r>
    </w:p>
    <w:p w14:paraId="016C9B1F" w14:textId="77777777" w:rsidR="00435DAF" w:rsidRPr="00435DAF" w:rsidRDefault="00435DAF" w:rsidP="00435DAF">
      <w:pPr>
        <w:pStyle w:val="instrument"/>
        <w:numPr>
          <w:ilvl w:val="1"/>
          <w:numId w:val="10"/>
        </w:numPr>
        <w:tabs>
          <w:tab w:val="clear" w:pos="567"/>
        </w:tabs>
        <w:ind w:left="567"/>
        <w:rPr>
          <w:rFonts w:ascii="Arial" w:hAnsi="Arial" w:cs="Arial"/>
          <w:sz w:val="22"/>
          <w:szCs w:val="22"/>
        </w:rPr>
      </w:pPr>
      <w:r w:rsidRPr="00435DAF">
        <w:rPr>
          <w:rFonts w:ascii="Arial" w:hAnsi="Arial" w:cs="Arial"/>
          <w:sz w:val="22"/>
          <w:szCs w:val="22"/>
        </w:rPr>
        <w:t xml:space="preserve">under subsection 32(1) of the Act determine </w:t>
      </w:r>
      <w:r w:rsidRPr="00435DAF">
        <w:rPr>
          <w:rFonts w:ascii="Arial" w:hAnsi="Arial" w:cs="Arial"/>
          <w:i/>
          <w:sz w:val="22"/>
          <w:szCs w:val="22"/>
        </w:rPr>
        <w:t>Prudential Standard GPS 117 Capital Adequacy: Asset Concentration Risk Charge</w:t>
      </w:r>
      <w:r w:rsidRPr="00435DAF">
        <w:rPr>
          <w:rFonts w:ascii="Arial" w:hAnsi="Arial" w:cs="Arial"/>
          <w:sz w:val="22"/>
          <w:szCs w:val="22"/>
        </w:rPr>
        <w:t>, in the form set out in the Schedule, which applies to:</w:t>
      </w:r>
    </w:p>
    <w:p w14:paraId="3E8799E0" w14:textId="77777777" w:rsidR="00435DAF" w:rsidRPr="00435DAF" w:rsidRDefault="00435DAF" w:rsidP="00435DAF">
      <w:pPr>
        <w:pStyle w:val="BodyText3"/>
        <w:numPr>
          <w:ilvl w:val="2"/>
          <w:numId w:val="10"/>
        </w:numPr>
        <w:tabs>
          <w:tab w:val="num" w:pos="2160"/>
        </w:tabs>
        <w:spacing w:after="240"/>
        <w:ind w:left="993" w:hanging="426"/>
        <w:jc w:val="both"/>
        <w:rPr>
          <w:rFonts w:ascii="Arial" w:hAnsi="Arial" w:cs="Arial"/>
          <w:sz w:val="22"/>
          <w:szCs w:val="22"/>
        </w:rPr>
      </w:pPr>
      <w:r w:rsidRPr="00435DAF">
        <w:rPr>
          <w:rFonts w:ascii="Arial" w:hAnsi="Arial" w:cs="Arial"/>
          <w:sz w:val="22"/>
          <w:szCs w:val="22"/>
        </w:rPr>
        <w:t>all general insurers and authorised NOHCs; and</w:t>
      </w:r>
    </w:p>
    <w:p w14:paraId="73270741" w14:textId="77777777" w:rsidR="00435DAF" w:rsidRPr="00435DAF" w:rsidRDefault="00435DAF" w:rsidP="00435DAF">
      <w:pPr>
        <w:pStyle w:val="BodyText3"/>
        <w:numPr>
          <w:ilvl w:val="2"/>
          <w:numId w:val="10"/>
        </w:numPr>
        <w:tabs>
          <w:tab w:val="num" w:pos="2160"/>
        </w:tabs>
        <w:spacing w:after="240"/>
        <w:ind w:left="993" w:hanging="426"/>
        <w:jc w:val="both"/>
        <w:rPr>
          <w:rFonts w:ascii="Arial" w:hAnsi="Arial" w:cs="Arial"/>
          <w:sz w:val="22"/>
          <w:szCs w:val="22"/>
        </w:rPr>
      </w:pPr>
      <w:r w:rsidRPr="00435DAF">
        <w:rPr>
          <w:rFonts w:ascii="Arial" w:hAnsi="Arial" w:cs="Arial"/>
          <w:sz w:val="22"/>
          <w:szCs w:val="22"/>
        </w:rPr>
        <w:t>a subsidiary of a general insurer or authorised NOHC, where that subsidiary is a parent entity of a Level 2 insurance group.</w:t>
      </w:r>
    </w:p>
    <w:p w14:paraId="3B4E4EF6" w14:textId="77777777" w:rsidR="00435DAF" w:rsidRDefault="00435DAF" w:rsidP="00435DAF">
      <w:pPr>
        <w:pStyle w:val="IntroTo"/>
        <w:tabs>
          <w:tab w:val="left" w:pos="1528"/>
        </w:tabs>
        <w:ind w:left="0" w:firstLine="0"/>
        <w:jc w:val="both"/>
        <w:rPr>
          <w:rFonts w:ascii="Arial" w:hAnsi="Arial" w:cs="Arial"/>
          <w:sz w:val="22"/>
          <w:szCs w:val="22"/>
        </w:rPr>
      </w:pPr>
      <w:r w:rsidRPr="00435DAF">
        <w:rPr>
          <w:rFonts w:ascii="Arial" w:hAnsi="Arial" w:cs="Arial"/>
          <w:sz w:val="22"/>
          <w:szCs w:val="22"/>
        </w:rPr>
        <w:t>This instrument commences on 1 July 2022.</w:t>
      </w:r>
      <w:r>
        <w:rPr>
          <w:rFonts w:ascii="Arial" w:hAnsi="Arial" w:cs="Arial"/>
          <w:sz w:val="22"/>
          <w:szCs w:val="22"/>
        </w:rPr>
        <w:tab/>
      </w:r>
    </w:p>
    <w:p w14:paraId="46380111" w14:textId="77777777" w:rsidR="00435DAF" w:rsidRPr="00C72C1A" w:rsidRDefault="00435DAF" w:rsidP="00435DAF">
      <w:pPr>
        <w:pStyle w:val="IntroTo"/>
        <w:jc w:val="both"/>
        <w:rPr>
          <w:rFonts w:ascii="Arial" w:hAnsi="Arial" w:cs="Arial"/>
          <w:sz w:val="22"/>
          <w:szCs w:val="22"/>
        </w:rPr>
      </w:pPr>
    </w:p>
    <w:p w14:paraId="6D8DD0E0" w14:textId="6E88E43E" w:rsidR="00435DAF" w:rsidRPr="00C72C1A" w:rsidRDefault="00435DAF" w:rsidP="00435DAF">
      <w:pPr>
        <w:pStyle w:val="IntroTo"/>
        <w:jc w:val="both"/>
        <w:rPr>
          <w:rFonts w:ascii="Arial" w:hAnsi="Arial" w:cs="Arial"/>
          <w:sz w:val="22"/>
          <w:szCs w:val="22"/>
        </w:rPr>
      </w:pPr>
      <w:r w:rsidRPr="00C72C1A">
        <w:rPr>
          <w:rFonts w:ascii="Arial" w:hAnsi="Arial" w:cs="Arial"/>
          <w:sz w:val="22"/>
          <w:szCs w:val="22"/>
        </w:rPr>
        <w:t>Dated</w:t>
      </w:r>
      <w:r>
        <w:rPr>
          <w:rFonts w:ascii="Arial" w:hAnsi="Arial" w:cs="Arial"/>
          <w:sz w:val="22"/>
          <w:szCs w:val="22"/>
        </w:rPr>
        <w:t>:</w:t>
      </w:r>
      <w:r w:rsidR="00E13E8D">
        <w:rPr>
          <w:rFonts w:ascii="Arial" w:hAnsi="Arial" w:cs="Arial"/>
          <w:sz w:val="22"/>
          <w:szCs w:val="22"/>
        </w:rPr>
        <w:t xml:space="preserve"> 22 June 2022</w:t>
      </w:r>
    </w:p>
    <w:p w14:paraId="74930A32" w14:textId="77777777" w:rsidR="00435DAF" w:rsidRDefault="00435DAF" w:rsidP="00435DAF">
      <w:pPr>
        <w:pStyle w:val="IntroTo"/>
        <w:jc w:val="both"/>
        <w:rPr>
          <w:rFonts w:ascii="Arial" w:hAnsi="Arial" w:cs="Arial"/>
          <w:b/>
          <w:sz w:val="22"/>
          <w:szCs w:val="22"/>
          <w:highlight w:val="yellow"/>
        </w:rPr>
      </w:pPr>
    </w:p>
    <w:p w14:paraId="47FB24DD" w14:textId="308D4CAE" w:rsidR="00435DAF" w:rsidRDefault="00E13E8D" w:rsidP="00435DAF">
      <w:pPr>
        <w:pStyle w:val="IntroTo"/>
        <w:rPr>
          <w:rFonts w:ascii="Arial" w:hAnsi="Arial" w:cs="Arial"/>
          <w:sz w:val="22"/>
          <w:szCs w:val="22"/>
        </w:rPr>
      </w:pPr>
      <w:r>
        <w:rPr>
          <w:rFonts w:ascii="Arial" w:hAnsi="Arial" w:cs="Arial"/>
          <w:sz w:val="22"/>
          <w:szCs w:val="22"/>
        </w:rPr>
        <w:t>[Signed]</w:t>
      </w:r>
    </w:p>
    <w:p w14:paraId="08C20024" w14:textId="77777777" w:rsidR="00435DAF" w:rsidRPr="00C72C1A" w:rsidRDefault="00435DAF" w:rsidP="00435DAF">
      <w:pPr>
        <w:pStyle w:val="IntroTo"/>
        <w:rPr>
          <w:rFonts w:ascii="Arial" w:hAnsi="Arial" w:cs="Arial"/>
          <w:sz w:val="22"/>
          <w:szCs w:val="22"/>
        </w:rPr>
      </w:pPr>
    </w:p>
    <w:p w14:paraId="0A1E57C9" w14:textId="57E00B6A" w:rsidR="00435DAF" w:rsidRPr="00435DAF" w:rsidRDefault="00435DAF" w:rsidP="00435DAF">
      <w:pPr>
        <w:numPr>
          <w:ilvl w:val="0"/>
          <w:numId w:val="9"/>
        </w:numPr>
        <w:autoSpaceDE w:val="0"/>
        <w:autoSpaceDN w:val="0"/>
        <w:adjustRightInd w:val="0"/>
        <w:jc w:val="both"/>
        <w:rPr>
          <w:rFonts w:ascii="Arial" w:hAnsi="Arial" w:cs="Arial"/>
        </w:rPr>
      </w:pPr>
      <w:r w:rsidRPr="00435DAF">
        <w:rPr>
          <w:rFonts w:ascii="Arial" w:hAnsi="Arial" w:cs="Arial"/>
        </w:rPr>
        <w:t>Helen Rowell</w:t>
      </w:r>
    </w:p>
    <w:p w14:paraId="4922B414" w14:textId="27BECA8A" w:rsidR="00435DAF" w:rsidRPr="00435DAF" w:rsidRDefault="00435DAF" w:rsidP="00435DAF">
      <w:pPr>
        <w:numPr>
          <w:ilvl w:val="0"/>
          <w:numId w:val="9"/>
        </w:numPr>
        <w:autoSpaceDE w:val="0"/>
        <w:autoSpaceDN w:val="0"/>
        <w:adjustRightInd w:val="0"/>
        <w:jc w:val="both"/>
        <w:rPr>
          <w:rFonts w:ascii="Arial" w:hAnsi="Arial" w:cs="Arial"/>
        </w:rPr>
      </w:pPr>
      <w:r w:rsidRPr="00435DAF">
        <w:rPr>
          <w:rFonts w:ascii="Arial" w:hAnsi="Arial" w:cs="Arial"/>
        </w:rPr>
        <w:t>Deputy Chair</w:t>
      </w:r>
    </w:p>
    <w:p w14:paraId="491A79C9" w14:textId="77777777" w:rsidR="00435DAF" w:rsidRPr="00C72C1A" w:rsidRDefault="00435DAF" w:rsidP="00435DAF">
      <w:pPr>
        <w:pStyle w:val="IntroTo"/>
        <w:ind w:left="0" w:firstLine="0"/>
        <w:rPr>
          <w:rFonts w:ascii="Arial" w:hAnsi="Arial" w:cs="Arial"/>
          <w:sz w:val="22"/>
          <w:szCs w:val="22"/>
        </w:rPr>
      </w:pPr>
    </w:p>
    <w:p w14:paraId="17BEDD9A" w14:textId="77777777" w:rsidR="00435DAF" w:rsidRPr="00435DAF" w:rsidRDefault="00435DAF" w:rsidP="00435DAF">
      <w:pPr>
        <w:numPr>
          <w:ilvl w:val="0"/>
          <w:numId w:val="9"/>
        </w:numPr>
        <w:spacing w:before="120"/>
        <w:jc w:val="both"/>
        <w:rPr>
          <w:rFonts w:ascii="Arial" w:hAnsi="Arial" w:cs="Arial"/>
          <w:b/>
        </w:rPr>
      </w:pPr>
      <w:r w:rsidRPr="00435DAF">
        <w:rPr>
          <w:rFonts w:ascii="Arial" w:hAnsi="Arial" w:cs="Arial"/>
          <w:b/>
        </w:rPr>
        <w:t>Interpretation</w:t>
      </w:r>
    </w:p>
    <w:p w14:paraId="39CCF856" w14:textId="77777777" w:rsidR="00435DAF" w:rsidRPr="00435DAF" w:rsidRDefault="00435DAF" w:rsidP="00435DAF">
      <w:pPr>
        <w:numPr>
          <w:ilvl w:val="0"/>
          <w:numId w:val="9"/>
        </w:numPr>
        <w:spacing w:before="120"/>
        <w:jc w:val="both"/>
        <w:rPr>
          <w:rFonts w:ascii="Arial" w:hAnsi="Arial" w:cs="Arial"/>
        </w:rPr>
      </w:pPr>
      <w:r w:rsidRPr="00435DAF">
        <w:rPr>
          <w:rFonts w:ascii="Arial" w:hAnsi="Arial" w:cs="Arial"/>
        </w:rPr>
        <w:t>In this Determination:</w:t>
      </w:r>
    </w:p>
    <w:p w14:paraId="075FC4E7" w14:textId="77777777" w:rsidR="00435DAF" w:rsidRPr="00435DAF" w:rsidRDefault="00435DAF" w:rsidP="00435DAF">
      <w:pPr>
        <w:pStyle w:val="introto0"/>
        <w:shd w:val="clear" w:color="auto" w:fill="FFFFFF"/>
        <w:spacing w:before="120" w:beforeAutospacing="0" w:after="0" w:afterAutospacing="0"/>
        <w:jc w:val="both"/>
        <w:rPr>
          <w:rFonts w:ascii="Arial" w:hAnsi="Arial" w:cs="Arial"/>
          <w:color w:val="000000"/>
          <w:sz w:val="22"/>
          <w:szCs w:val="22"/>
        </w:rPr>
      </w:pPr>
      <w:r w:rsidRPr="00435DAF">
        <w:rPr>
          <w:rFonts w:ascii="Arial" w:hAnsi="Arial" w:cs="Arial"/>
          <w:b/>
          <w:bCs/>
          <w:i/>
          <w:iCs/>
          <w:color w:val="000000"/>
          <w:sz w:val="22"/>
          <w:szCs w:val="22"/>
        </w:rPr>
        <w:t>APRA</w:t>
      </w:r>
      <w:r w:rsidRPr="00435DAF">
        <w:rPr>
          <w:rFonts w:ascii="Arial" w:hAnsi="Arial" w:cs="Arial"/>
          <w:color w:val="000000"/>
          <w:sz w:val="22"/>
          <w:szCs w:val="22"/>
        </w:rPr>
        <w:t> means the Australian Prudential Regulation Authority.</w:t>
      </w:r>
    </w:p>
    <w:p w14:paraId="0011743D" w14:textId="77777777" w:rsidR="00435DAF" w:rsidRPr="00435DAF" w:rsidRDefault="00435DAF" w:rsidP="00435DAF">
      <w:pPr>
        <w:pStyle w:val="introto0"/>
        <w:shd w:val="clear" w:color="auto" w:fill="FFFFFF"/>
        <w:spacing w:before="120" w:beforeAutospacing="0" w:after="0" w:afterAutospacing="0"/>
        <w:jc w:val="both"/>
        <w:rPr>
          <w:rFonts w:ascii="Arial" w:hAnsi="Arial" w:cs="Arial"/>
          <w:color w:val="000000"/>
          <w:sz w:val="22"/>
          <w:szCs w:val="22"/>
        </w:rPr>
      </w:pPr>
      <w:r w:rsidRPr="00435DAF">
        <w:rPr>
          <w:rFonts w:ascii="Arial" w:hAnsi="Arial" w:cs="Arial"/>
          <w:b/>
          <w:bCs/>
          <w:i/>
          <w:iCs/>
          <w:color w:val="000000"/>
          <w:sz w:val="22"/>
          <w:szCs w:val="22"/>
        </w:rPr>
        <w:t>authorised NOHC</w:t>
      </w:r>
      <w:r w:rsidRPr="00435DAF">
        <w:rPr>
          <w:rFonts w:ascii="Arial" w:hAnsi="Arial" w:cs="Arial"/>
          <w:color w:val="000000"/>
          <w:sz w:val="22"/>
          <w:szCs w:val="22"/>
        </w:rPr>
        <w:t> has the meaning given in section 3 of the Act.</w:t>
      </w:r>
    </w:p>
    <w:p w14:paraId="38A502FB" w14:textId="77777777" w:rsidR="00435DAF" w:rsidRPr="00435DAF" w:rsidRDefault="00435DAF" w:rsidP="00435DAF">
      <w:pPr>
        <w:pStyle w:val="introto0"/>
        <w:shd w:val="clear" w:color="auto" w:fill="FFFFFF"/>
        <w:spacing w:before="120" w:beforeAutospacing="0" w:after="0" w:afterAutospacing="0"/>
        <w:jc w:val="both"/>
        <w:rPr>
          <w:rFonts w:ascii="Arial" w:hAnsi="Arial" w:cs="Arial"/>
          <w:color w:val="000000"/>
          <w:sz w:val="22"/>
          <w:szCs w:val="22"/>
        </w:rPr>
      </w:pPr>
      <w:r w:rsidRPr="00435DAF">
        <w:rPr>
          <w:rFonts w:ascii="Arial" w:hAnsi="Arial" w:cs="Arial"/>
          <w:b/>
          <w:bCs/>
          <w:i/>
          <w:iCs/>
          <w:color w:val="000000"/>
          <w:sz w:val="22"/>
          <w:szCs w:val="22"/>
        </w:rPr>
        <w:t>general insurer </w:t>
      </w:r>
      <w:r w:rsidRPr="00435DAF">
        <w:rPr>
          <w:rFonts w:ascii="Arial" w:hAnsi="Arial" w:cs="Arial"/>
          <w:color w:val="000000"/>
          <w:sz w:val="22"/>
          <w:szCs w:val="22"/>
        </w:rPr>
        <w:t>has the meaning given in section 11 of the Act.</w:t>
      </w:r>
    </w:p>
    <w:p w14:paraId="2D702137" w14:textId="77777777" w:rsidR="00435DAF" w:rsidRPr="00435DAF" w:rsidRDefault="00435DAF" w:rsidP="00435DAF">
      <w:pPr>
        <w:pStyle w:val="introto0"/>
        <w:shd w:val="clear" w:color="auto" w:fill="FFFFFF"/>
        <w:spacing w:before="120" w:beforeAutospacing="0" w:after="0" w:afterAutospacing="0"/>
        <w:jc w:val="both"/>
        <w:rPr>
          <w:rFonts w:ascii="Arial" w:hAnsi="Arial" w:cs="Arial"/>
          <w:color w:val="000000"/>
          <w:sz w:val="22"/>
          <w:szCs w:val="22"/>
        </w:rPr>
      </w:pPr>
      <w:r w:rsidRPr="00435DAF">
        <w:rPr>
          <w:rFonts w:ascii="Arial" w:hAnsi="Arial" w:cs="Arial"/>
          <w:b/>
          <w:bCs/>
          <w:i/>
          <w:iCs/>
          <w:color w:val="000000"/>
          <w:sz w:val="22"/>
          <w:szCs w:val="22"/>
        </w:rPr>
        <w:t>Level 2 insurance group</w:t>
      </w:r>
      <w:r w:rsidRPr="00435DAF">
        <w:rPr>
          <w:rFonts w:ascii="Arial" w:hAnsi="Arial" w:cs="Arial"/>
          <w:color w:val="000000"/>
          <w:sz w:val="22"/>
          <w:szCs w:val="22"/>
        </w:rPr>
        <w:t> has the meaning given in </w:t>
      </w:r>
      <w:r w:rsidRPr="00435DAF">
        <w:rPr>
          <w:rFonts w:ascii="Arial" w:hAnsi="Arial" w:cs="Arial"/>
          <w:i/>
          <w:iCs/>
          <w:color w:val="000000"/>
          <w:sz w:val="22"/>
          <w:szCs w:val="22"/>
        </w:rPr>
        <w:t>Prudential Standard GPS 001 Definitions.</w:t>
      </w:r>
    </w:p>
    <w:p w14:paraId="41B70DC7" w14:textId="77777777" w:rsidR="00435DAF" w:rsidRPr="005F6526" w:rsidRDefault="00435DAF" w:rsidP="00435DAF">
      <w:pPr>
        <w:pStyle w:val="introto0"/>
        <w:shd w:val="clear" w:color="auto" w:fill="FFFFFF"/>
        <w:spacing w:before="120" w:beforeAutospacing="0" w:after="0" w:afterAutospacing="0"/>
        <w:jc w:val="both"/>
        <w:rPr>
          <w:rFonts w:ascii="Arial" w:hAnsi="Arial" w:cs="Arial"/>
          <w:color w:val="000000"/>
          <w:sz w:val="22"/>
          <w:szCs w:val="22"/>
        </w:rPr>
      </w:pPr>
      <w:r w:rsidRPr="00435DAF">
        <w:rPr>
          <w:rFonts w:ascii="Arial" w:hAnsi="Arial" w:cs="Arial"/>
          <w:b/>
          <w:bCs/>
          <w:i/>
          <w:iCs/>
          <w:color w:val="000000"/>
          <w:sz w:val="22"/>
          <w:szCs w:val="22"/>
        </w:rPr>
        <w:t>parent entity</w:t>
      </w:r>
      <w:r w:rsidRPr="00435DAF">
        <w:rPr>
          <w:rFonts w:ascii="Arial" w:hAnsi="Arial" w:cs="Arial"/>
          <w:color w:val="000000"/>
          <w:sz w:val="22"/>
          <w:szCs w:val="22"/>
        </w:rPr>
        <w:t> has the meaning given in </w:t>
      </w:r>
      <w:r w:rsidRPr="00435DAF">
        <w:rPr>
          <w:rFonts w:ascii="Arial" w:hAnsi="Arial" w:cs="Arial"/>
          <w:i/>
          <w:iCs/>
          <w:color w:val="000000"/>
          <w:sz w:val="22"/>
          <w:szCs w:val="22"/>
        </w:rPr>
        <w:t>Prudential Standard GPS 001 Definitions</w:t>
      </w:r>
      <w:r w:rsidRPr="005F6526">
        <w:rPr>
          <w:rFonts w:ascii="Arial" w:hAnsi="Arial" w:cs="Arial"/>
          <w:i/>
          <w:iCs/>
          <w:color w:val="000000"/>
          <w:sz w:val="22"/>
          <w:szCs w:val="22"/>
        </w:rPr>
        <w:t>.</w:t>
      </w:r>
    </w:p>
    <w:p w14:paraId="26985A1F" w14:textId="77777777" w:rsidR="00435DAF" w:rsidRPr="005F6526" w:rsidRDefault="00435DAF" w:rsidP="00435DAF">
      <w:pPr>
        <w:pStyle w:val="introto0"/>
        <w:shd w:val="clear" w:color="auto" w:fill="FFFFFF"/>
        <w:spacing w:before="120" w:beforeAutospacing="0" w:after="0" w:afterAutospacing="0"/>
        <w:jc w:val="both"/>
        <w:rPr>
          <w:rFonts w:ascii="Arial" w:hAnsi="Arial" w:cs="Arial"/>
          <w:color w:val="000000"/>
          <w:sz w:val="22"/>
          <w:szCs w:val="22"/>
        </w:rPr>
      </w:pPr>
      <w:r w:rsidRPr="005F6526">
        <w:rPr>
          <w:rFonts w:ascii="Arial" w:hAnsi="Arial" w:cs="Arial"/>
          <w:b/>
          <w:bCs/>
          <w:i/>
          <w:iCs/>
          <w:color w:val="000000"/>
          <w:sz w:val="22"/>
          <w:szCs w:val="22"/>
        </w:rPr>
        <w:t>subsidiary</w:t>
      </w:r>
      <w:r w:rsidRPr="005F6526">
        <w:rPr>
          <w:rFonts w:ascii="Arial" w:hAnsi="Arial" w:cs="Arial"/>
          <w:color w:val="000000"/>
          <w:sz w:val="22"/>
          <w:szCs w:val="22"/>
        </w:rPr>
        <w:t> has the meaning given in </w:t>
      </w:r>
      <w:r w:rsidRPr="005F6526">
        <w:rPr>
          <w:rFonts w:ascii="Arial" w:hAnsi="Arial" w:cs="Arial"/>
          <w:i/>
          <w:iCs/>
          <w:color w:val="000000"/>
          <w:sz w:val="22"/>
          <w:szCs w:val="22"/>
        </w:rPr>
        <w:t>Prudential Standard GPS 001 Definitions.</w:t>
      </w:r>
    </w:p>
    <w:p w14:paraId="721540A4" w14:textId="77777777" w:rsidR="00435DAF" w:rsidRPr="00435DAF" w:rsidRDefault="00435DAF" w:rsidP="00435DAF">
      <w:pPr>
        <w:numPr>
          <w:ilvl w:val="0"/>
          <w:numId w:val="9"/>
        </w:numPr>
        <w:spacing w:after="240"/>
        <w:jc w:val="both"/>
        <w:rPr>
          <w:rFonts w:ascii="Arial" w:eastAsia="Times New Roman" w:hAnsi="Arial" w:cs="Arial"/>
          <w:sz w:val="28"/>
          <w:szCs w:val="28"/>
        </w:rPr>
      </w:pPr>
      <w:r w:rsidRPr="00435DAF">
        <w:rPr>
          <w:rFonts w:ascii="Arial" w:hAnsi="Arial" w:cs="Arial"/>
          <w:b/>
          <w:sz w:val="28"/>
          <w:szCs w:val="28"/>
        </w:rPr>
        <w:lastRenderedPageBreak/>
        <w:t xml:space="preserve">Schedule </w:t>
      </w:r>
    </w:p>
    <w:p w14:paraId="345DB775" w14:textId="77777777" w:rsidR="00435DAF" w:rsidRPr="00435DAF" w:rsidRDefault="00435DAF" w:rsidP="00435DAF">
      <w:pPr>
        <w:numPr>
          <w:ilvl w:val="0"/>
          <w:numId w:val="9"/>
        </w:numPr>
        <w:spacing w:before="120" w:after="240"/>
        <w:jc w:val="both"/>
        <w:rPr>
          <w:rFonts w:ascii="Arial" w:hAnsi="Arial" w:cs="Arial"/>
          <w:bCs/>
        </w:rPr>
      </w:pPr>
      <w:r w:rsidRPr="00435DAF">
        <w:rPr>
          <w:rFonts w:ascii="Arial" w:hAnsi="Arial" w:cs="Arial"/>
          <w:i/>
        </w:rPr>
        <w:t>Prudential Standard GPS 117 Capital Adequacy: Asset Concentration Risk Charge</w:t>
      </w:r>
      <w:r w:rsidRPr="00435DAF">
        <w:rPr>
          <w:rFonts w:ascii="Arial" w:hAnsi="Arial" w:cs="Arial"/>
          <w:bCs/>
          <w:i/>
        </w:rPr>
        <w:t xml:space="preserve">, </w:t>
      </w:r>
      <w:r w:rsidRPr="00435DAF">
        <w:rPr>
          <w:rFonts w:ascii="Arial" w:hAnsi="Arial" w:cs="Arial"/>
          <w:bCs/>
        </w:rPr>
        <w:t>comprises the document commencing on the following page.</w:t>
      </w:r>
    </w:p>
    <w:p w14:paraId="0A53E24B" w14:textId="77777777" w:rsidR="00435DAF" w:rsidRPr="00A95177" w:rsidRDefault="00435DAF" w:rsidP="00435DAF">
      <w:pPr>
        <w:numPr>
          <w:ilvl w:val="0"/>
          <w:numId w:val="9"/>
        </w:numPr>
        <w:spacing w:after="240"/>
        <w:jc w:val="both"/>
        <w:rPr>
          <w:rFonts w:eastAsia="Times New Roman" w:cs="Arial"/>
          <w:sz w:val="32"/>
          <w:szCs w:val="32"/>
        </w:rPr>
      </w:pPr>
    </w:p>
    <w:p w14:paraId="4F1D021B" w14:textId="77777777" w:rsidR="00435DAF" w:rsidRDefault="00435DAF" w:rsidP="00435DAF">
      <w:pPr>
        <w:numPr>
          <w:ilvl w:val="0"/>
          <w:numId w:val="9"/>
        </w:numPr>
        <w:spacing w:after="240"/>
        <w:jc w:val="both"/>
      </w:pPr>
    </w:p>
    <w:p w14:paraId="26E69BC1" w14:textId="77777777" w:rsidR="00435DAF" w:rsidRPr="00A34ADD" w:rsidRDefault="00435DAF" w:rsidP="00435DAF"/>
    <w:p w14:paraId="66873DE9" w14:textId="77777777" w:rsidR="00435DAF" w:rsidRDefault="00435DAF" w:rsidP="00E176D4">
      <w:pPr>
        <w:pStyle w:val="Heading5"/>
        <w:spacing w:after="600"/>
        <w:jc w:val="both"/>
        <w:sectPr w:rsidR="00435DAF" w:rsidSect="00435DAF">
          <w:headerReference w:type="default" r:id="rId15"/>
          <w:footerReference w:type="default" r:id="rId16"/>
          <w:pgSz w:w="11906" w:h="16838" w:code="9"/>
          <w:pgMar w:top="1440" w:right="1797" w:bottom="1276" w:left="1797" w:header="709" w:footer="709" w:gutter="0"/>
          <w:pgNumType w:start="1"/>
          <w:cols w:space="708"/>
          <w:docGrid w:linePitch="360"/>
        </w:sectPr>
      </w:pPr>
    </w:p>
    <w:p w14:paraId="50137FDF" w14:textId="0DCC0277" w:rsidR="00E176D4" w:rsidRPr="00834109" w:rsidRDefault="000844B1" w:rsidP="00E176D4">
      <w:pPr>
        <w:pStyle w:val="Heading5"/>
        <w:spacing w:after="600"/>
        <w:jc w:val="both"/>
      </w:pPr>
      <w:r>
        <w:rPr>
          <w:noProof/>
          <w:lang w:eastAsia="en-AU"/>
        </w:rPr>
        <w:lastRenderedPageBreak/>
        <w:drawing>
          <wp:inline distT="0" distB="0" distL="0" distR="0" wp14:anchorId="63FBA1CC" wp14:editId="45DA02F3">
            <wp:extent cx="1412875" cy="1104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2875" cy="1104265"/>
                    </a:xfrm>
                    <a:prstGeom prst="rect">
                      <a:avLst/>
                    </a:prstGeom>
                    <a:noFill/>
                    <a:ln>
                      <a:noFill/>
                    </a:ln>
                  </pic:spPr>
                </pic:pic>
              </a:graphicData>
            </a:graphic>
          </wp:inline>
        </w:drawing>
      </w:r>
    </w:p>
    <w:p w14:paraId="171D73B1" w14:textId="77777777" w:rsidR="00E176D4" w:rsidRPr="00834109" w:rsidRDefault="00E176D4" w:rsidP="003C1E9C">
      <w:pPr>
        <w:pStyle w:val="Heading5"/>
        <w:spacing w:before="120" w:after="360"/>
        <w:jc w:val="both"/>
        <w:rPr>
          <w:rFonts w:ascii="Arial" w:hAnsi="Arial" w:cs="Arial"/>
          <w:sz w:val="40"/>
          <w:szCs w:val="40"/>
        </w:rPr>
      </w:pPr>
      <w:r w:rsidRPr="00834109">
        <w:rPr>
          <w:rFonts w:ascii="Arial" w:hAnsi="Arial" w:cs="Arial"/>
          <w:sz w:val="40"/>
          <w:szCs w:val="40"/>
        </w:rPr>
        <w:t xml:space="preserve">Prudential Standard </w:t>
      </w:r>
      <w:smartTag w:uri="urn:schemas-microsoft-com:office:smarttags" w:element="stockticker">
        <w:r w:rsidRPr="00834109">
          <w:rPr>
            <w:rFonts w:ascii="Arial" w:hAnsi="Arial" w:cs="Arial"/>
            <w:sz w:val="40"/>
            <w:szCs w:val="40"/>
          </w:rPr>
          <w:t>GPS</w:t>
        </w:r>
      </w:smartTag>
      <w:r w:rsidRPr="00834109">
        <w:rPr>
          <w:rFonts w:ascii="Arial" w:hAnsi="Arial" w:cs="Arial"/>
          <w:sz w:val="40"/>
          <w:szCs w:val="40"/>
        </w:rPr>
        <w:t xml:space="preserve"> 117</w:t>
      </w:r>
    </w:p>
    <w:p w14:paraId="5FEC136F" w14:textId="77777777" w:rsidR="00E176D4" w:rsidRPr="00834109" w:rsidRDefault="00E176D4" w:rsidP="003C1E9C">
      <w:pPr>
        <w:pStyle w:val="Heading1"/>
        <w:spacing w:before="120" w:after="360"/>
        <w:rPr>
          <w:rFonts w:ascii="Arial" w:hAnsi="Arial" w:cs="Arial"/>
          <w:color w:val="auto"/>
          <w:sz w:val="40"/>
          <w:szCs w:val="40"/>
        </w:rPr>
      </w:pPr>
      <w:r w:rsidRPr="00834109">
        <w:rPr>
          <w:rFonts w:ascii="Arial" w:hAnsi="Arial" w:cs="Arial"/>
          <w:color w:val="auto"/>
          <w:sz w:val="40"/>
          <w:szCs w:val="40"/>
        </w:rPr>
        <w:t xml:space="preserve">Capital Adequacy: Asset Concentration Risk Charge </w:t>
      </w:r>
    </w:p>
    <w:p w14:paraId="7EB263C2" w14:textId="77777777" w:rsidR="00E176D4" w:rsidRPr="00834109" w:rsidRDefault="00E176D4" w:rsidP="003C1E9C">
      <w:pPr>
        <w:pBdr>
          <w:top w:val="single" w:sz="4" w:space="1" w:color="auto"/>
          <w:left w:val="single" w:sz="4" w:space="4" w:color="auto"/>
          <w:bottom w:val="single" w:sz="4" w:space="0" w:color="auto"/>
          <w:right w:val="single" w:sz="4" w:space="4" w:color="auto"/>
        </w:pBdr>
        <w:shd w:val="pct10" w:color="auto" w:fill="auto"/>
        <w:spacing w:before="120" w:after="360"/>
        <w:jc w:val="both"/>
        <w:rPr>
          <w:rFonts w:ascii="Arial" w:hAnsi="Arial" w:cs="Arial"/>
          <w:b/>
          <w:sz w:val="32"/>
          <w:szCs w:val="32"/>
        </w:rPr>
      </w:pPr>
      <w:r w:rsidRPr="00834109">
        <w:rPr>
          <w:rFonts w:ascii="Arial" w:hAnsi="Arial" w:cs="Arial"/>
          <w:b/>
          <w:sz w:val="32"/>
          <w:szCs w:val="32"/>
        </w:rPr>
        <w:t>Objectives and key requirements of this Prudential Standard</w:t>
      </w:r>
    </w:p>
    <w:p w14:paraId="1CAA12E6" w14:textId="77777777" w:rsidR="00373100" w:rsidRPr="00834109" w:rsidRDefault="00E26692" w:rsidP="00E26692">
      <w:pPr>
        <w:pBdr>
          <w:top w:val="single" w:sz="4" w:space="1" w:color="auto"/>
          <w:left w:val="single" w:sz="4" w:space="4" w:color="auto"/>
          <w:bottom w:val="single" w:sz="4" w:space="0" w:color="auto"/>
          <w:right w:val="single" w:sz="4" w:space="4" w:color="auto"/>
        </w:pBdr>
        <w:shd w:val="pct10" w:color="auto" w:fill="auto"/>
        <w:spacing w:after="240"/>
        <w:jc w:val="both"/>
        <w:rPr>
          <w:rFonts w:ascii="Times New Roman" w:hAnsi="Times New Roman"/>
          <w:bCs/>
          <w:sz w:val="24"/>
          <w:szCs w:val="24"/>
        </w:rPr>
      </w:pPr>
      <w:r w:rsidRPr="00834109">
        <w:rPr>
          <w:rFonts w:ascii="Times New Roman" w:hAnsi="Times New Roman"/>
          <w:bCs/>
          <w:sz w:val="24"/>
          <w:szCs w:val="24"/>
        </w:rPr>
        <w:t xml:space="preserve">This Prudential Standard </w:t>
      </w:r>
      <w:r w:rsidR="009D2A99" w:rsidRPr="00834109">
        <w:rPr>
          <w:rFonts w:ascii="Times New Roman" w:hAnsi="Times New Roman"/>
          <w:bCs/>
          <w:sz w:val="24"/>
          <w:szCs w:val="24"/>
        </w:rPr>
        <w:t>requires a</w:t>
      </w:r>
      <w:r w:rsidRPr="00834109">
        <w:rPr>
          <w:rFonts w:ascii="Times New Roman" w:hAnsi="Times New Roman"/>
          <w:bCs/>
          <w:sz w:val="24"/>
          <w:szCs w:val="24"/>
        </w:rPr>
        <w:t xml:space="preserve"> general insurer </w:t>
      </w:r>
      <w:r w:rsidR="009D2A99" w:rsidRPr="00834109">
        <w:rPr>
          <w:rFonts w:ascii="Times New Roman" w:hAnsi="Times New Roman"/>
          <w:bCs/>
          <w:sz w:val="24"/>
          <w:szCs w:val="24"/>
        </w:rPr>
        <w:t>or</w:t>
      </w:r>
      <w:r w:rsidRPr="00834109">
        <w:rPr>
          <w:rFonts w:ascii="Times New Roman" w:hAnsi="Times New Roman"/>
          <w:bCs/>
          <w:sz w:val="24"/>
          <w:szCs w:val="24"/>
        </w:rPr>
        <w:t xml:space="preserve"> Level 2 insurance group</w:t>
      </w:r>
      <w:r w:rsidR="009D2A99" w:rsidRPr="00834109">
        <w:rPr>
          <w:rFonts w:ascii="Times New Roman" w:hAnsi="Times New Roman"/>
          <w:bCs/>
          <w:sz w:val="24"/>
          <w:szCs w:val="24"/>
        </w:rPr>
        <w:t xml:space="preserve"> to</w:t>
      </w:r>
      <w:r w:rsidRPr="00834109">
        <w:rPr>
          <w:rFonts w:ascii="Times New Roman" w:hAnsi="Times New Roman"/>
          <w:bCs/>
          <w:sz w:val="24"/>
          <w:szCs w:val="24"/>
        </w:rPr>
        <w:t xml:space="preserve"> maintain adequate capital against the risks associated with asset concentration in </w:t>
      </w:r>
      <w:r w:rsidR="005017A1" w:rsidRPr="00834109">
        <w:rPr>
          <w:rFonts w:ascii="Times New Roman" w:hAnsi="Times New Roman"/>
          <w:bCs/>
          <w:sz w:val="24"/>
          <w:szCs w:val="24"/>
        </w:rPr>
        <w:t xml:space="preserve">its </w:t>
      </w:r>
      <w:r w:rsidRPr="00834109">
        <w:rPr>
          <w:rFonts w:ascii="Times New Roman" w:hAnsi="Times New Roman"/>
          <w:bCs/>
          <w:sz w:val="24"/>
          <w:szCs w:val="24"/>
        </w:rPr>
        <w:t xml:space="preserve">activities. </w:t>
      </w:r>
    </w:p>
    <w:p w14:paraId="43A3BA20" w14:textId="77777777" w:rsidR="009D2A99" w:rsidRPr="00834109" w:rsidRDefault="009D2A99" w:rsidP="00E26692">
      <w:pPr>
        <w:pBdr>
          <w:top w:val="single" w:sz="4" w:space="1" w:color="auto"/>
          <w:left w:val="single" w:sz="4" w:space="4" w:color="auto"/>
          <w:bottom w:val="single" w:sz="4" w:space="0" w:color="auto"/>
          <w:right w:val="single" w:sz="4" w:space="4" w:color="auto"/>
        </w:pBdr>
        <w:shd w:val="pct10" w:color="auto" w:fill="auto"/>
        <w:spacing w:after="240"/>
        <w:jc w:val="both"/>
        <w:rPr>
          <w:rFonts w:ascii="Times New Roman" w:hAnsi="Times New Roman"/>
          <w:sz w:val="24"/>
          <w:szCs w:val="24"/>
        </w:rPr>
      </w:pPr>
      <w:r w:rsidRPr="00834109">
        <w:rPr>
          <w:rFonts w:ascii="Times New Roman" w:hAnsi="Times New Roman"/>
          <w:sz w:val="24"/>
          <w:szCs w:val="24"/>
        </w:rPr>
        <w:t>The ultimate responsibility for the prudent management of capital of a general insurer or Level 2 insurance group rests with its Board o</w:t>
      </w:r>
      <w:r w:rsidR="00A95B9B" w:rsidRPr="00834109">
        <w:rPr>
          <w:rFonts w:ascii="Times New Roman" w:hAnsi="Times New Roman"/>
          <w:sz w:val="24"/>
          <w:szCs w:val="24"/>
        </w:rPr>
        <w:t>f</w:t>
      </w:r>
      <w:r w:rsidRPr="00834109">
        <w:rPr>
          <w:rFonts w:ascii="Times New Roman" w:hAnsi="Times New Roman"/>
          <w:sz w:val="24"/>
          <w:szCs w:val="24"/>
        </w:rPr>
        <w:t xml:space="preserve"> directors. The Board must ensure that the general insurer or Level 2 insurance group maintains an </w:t>
      </w:r>
      <w:r w:rsidR="005017A1" w:rsidRPr="00834109">
        <w:rPr>
          <w:rFonts w:ascii="Times New Roman" w:hAnsi="Times New Roman"/>
          <w:sz w:val="24"/>
          <w:szCs w:val="24"/>
        </w:rPr>
        <w:t xml:space="preserve">adequate </w:t>
      </w:r>
      <w:r w:rsidRPr="00834109">
        <w:rPr>
          <w:rFonts w:ascii="Times New Roman" w:hAnsi="Times New Roman"/>
          <w:sz w:val="24"/>
          <w:szCs w:val="24"/>
        </w:rPr>
        <w:t>level and quality of capital commensurate with the scale, nature and complexity of its business and risk profile, such that it is able to meet its operations under a wide range of circumstances.</w:t>
      </w:r>
    </w:p>
    <w:p w14:paraId="7B283CC8" w14:textId="77777777" w:rsidR="00135EC9" w:rsidRPr="00834109" w:rsidRDefault="00E26692" w:rsidP="00135EC9">
      <w:pPr>
        <w:pBdr>
          <w:top w:val="single" w:sz="4" w:space="1" w:color="auto"/>
          <w:left w:val="single" w:sz="4" w:space="4" w:color="auto"/>
          <w:bottom w:val="single" w:sz="4" w:space="0" w:color="auto"/>
          <w:right w:val="single" w:sz="4" w:space="4" w:color="auto"/>
        </w:pBdr>
        <w:shd w:val="pct10" w:color="auto" w:fill="auto"/>
        <w:jc w:val="both"/>
        <w:rPr>
          <w:rFonts w:ascii="Times New Roman" w:hAnsi="Times New Roman"/>
          <w:sz w:val="24"/>
          <w:szCs w:val="24"/>
        </w:rPr>
      </w:pPr>
      <w:r w:rsidRPr="00834109">
        <w:rPr>
          <w:rFonts w:ascii="Times New Roman" w:hAnsi="Times New Roman"/>
          <w:sz w:val="24"/>
          <w:szCs w:val="24"/>
        </w:rPr>
        <w:t xml:space="preserve">The Asset Concentration Risk Charge is the minimum amount of capital required to be held against asset concentration risks. The Asset Concentration Risk Charge relates to the risk of a concentration in </w:t>
      </w:r>
      <w:r w:rsidR="003C6D09" w:rsidRPr="00834109">
        <w:rPr>
          <w:rFonts w:ascii="Times New Roman" w:hAnsi="Times New Roman"/>
          <w:sz w:val="24"/>
          <w:szCs w:val="24"/>
        </w:rPr>
        <w:t>exposures to a particular asset, counterparty or group of related counterparties</w:t>
      </w:r>
      <w:r w:rsidR="001A19F4" w:rsidRPr="00834109">
        <w:rPr>
          <w:rFonts w:ascii="Times New Roman" w:hAnsi="Times New Roman"/>
          <w:sz w:val="24"/>
          <w:szCs w:val="24"/>
        </w:rPr>
        <w:t xml:space="preserve"> </w:t>
      </w:r>
      <w:r w:rsidRPr="00834109">
        <w:rPr>
          <w:rFonts w:ascii="Times New Roman" w:hAnsi="Times New Roman"/>
          <w:sz w:val="24"/>
          <w:szCs w:val="24"/>
        </w:rPr>
        <w:t>resulting in adverse movements in the general insurer</w:t>
      </w:r>
      <w:r w:rsidR="005017A1" w:rsidRPr="00834109">
        <w:rPr>
          <w:rFonts w:ascii="Times New Roman" w:hAnsi="Times New Roman"/>
          <w:sz w:val="24"/>
          <w:szCs w:val="24"/>
        </w:rPr>
        <w:t>’s</w:t>
      </w:r>
      <w:r w:rsidRPr="00834109">
        <w:rPr>
          <w:rFonts w:ascii="Times New Roman" w:hAnsi="Times New Roman"/>
          <w:sz w:val="24"/>
          <w:szCs w:val="24"/>
        </w:rPr>
        <w:t xml:space="preserve"> </w:t>
      </w:r>
      <w:r w:rsidR="005E47F2" w:rsidRPr="00834109">
        <w:rPr>
          <w:rFonts w:ascii="Times New Roman" w:hAnsi="Times New Roman"/>
          <w:sz w:val="24"/>
          <w:szCs w:val="24"/>
        </w:rPr>
        <w:t xml:space="preserve">or </w:t>
      </w:r>
      <w:r w:rsidRPr="00834109">
        <w:rPr>
          <w:rFonts w:ascii="Times New Roman" w:hAnsi="Times New Roman"/>
          <w:sz w:val="24"/>
          <w:szCs w:val="24"/>
        </w:rPr>
        <w:t>Level 2 insurance group’s capital base.</w:t>
      </w:r>
    </w:p>
    <w:p w14:paraId="51B0B8B8" w14:textId="77777777" w:rsidR="005B32CC" w:rsidRPr="00834109" w:rsidRDefault="005B32CC" w:rsidP="00135EC9">
      <w:pPr>
        <w:pBdr>
          <w:top w:val="single" w:sz="4" w:space="1" w:color="auto"/>
          <w:left w:val="single" w:sz="4" w:space="4" w:color="auto"/>
          <w:bottom w:val="single" w:sz="4" w:space="0" w:color="auto"/>
          <w:right w:val="single" w:sz="4" w:space="4" w:color="auto"/>
        </w:pBdr>
        <w:shd w:val="pct10" w:color="auto" w:fill="auto"/>
        <w:jc w:val="both"/>
        <w:rPr>
          <w:rFonts w:ascii="Times New Roman" w:hAnsi="Times New Roman"/>
          <w:sz w:val="24"/>
          <w:szCs w:val="24"/>
        </w:rPr>
      </w:pPr>
    </w:p>
    <w:p w14:paraId="03AB52A0" w14:textId="77777777" w:rsidR="005B32CC" w:rsidRPr="00834109" w:rsidRDefault="005B32CC" w:rsidP="00135EC9">
      <w:pPr>
        <w:pBdr>
          <w:top w:val="single" w:sz="4" w:space="1" w:color="auto"/>
          <w:left w:val="single" w:sz="4" w:space="4" w:color="auto"/>
          <w:bottom w:val="single" w:sz="4" w:space="0" w:color="auto"/>
          <w:right w:val="single" w:sz="4" w:space="4" w:color="auto"/>
        </w:pBdr>
        <w:shd w:val="pct10" w:color="auto" w:fill="auto"/>
        <w:jc w:val="both"/>
        <w:rPr>
          <w:rFonts w:ascii="Times New Roman" w:hAnsi="Times New Roman"/>
          <w:sz w:val="24"/>
          <w:szCs w:val="24"/>
        </w:rPr>
      </w:pPr>
      <w:r w:rsidRPr="00834109">
        <w:rPr>
          <w:rFonts w:ascii="Times New Roman" w:hAnsi="Times New Roman"/>
          <w:sz w:val="24"/>
          <w:szCs w:val="24"/>
        </w:rPr>
        <w:t>This Prudential Standard sets out the method for calculating the A</w:t>
      </w:r>
      <w:r w:rsidR="0066518F" w:rsidRPr="00834109">
        <w:rPr>
          <w:rFonts w:ascii="Times New Roman" w:hAnsi="Times New Roman"/>
          <w:sz w:val="24"/>
          <w:szCs w:val="24"/>
        </w:rPr>
        <w:t>sset Concentration Risk Charge.</w:t>
      </w:r>
      <w:r w:rsidRPr="00834109">
        <w:rPr>
          <w:rFonts w:ascii="Times New Roman" w:hAnsi="Times New Roman"/>
          <w:sz w:val="24"/>
          <w:szCs w:val="24"/>
        </w:rPr>
        <w:t xml:space="preserve"> This charge is one of the components of the Standard Method for calculating the </w:t>
      </w:r>
      <w:r w:rsidR="00124A20" w:rsidRPr="00834109">
        <w:rPr>
          <w:rFonts w:ascii="Times New Roman" w:hAnsi="Times New Roman"/>
          <w:sz w:val="24"/>
        </w:rPr>
        <w:t xml:space="preserve">prescribed capital amount </w:t>
      </w:r>
      <w:r w:rsidRPr="00834109">
        <w:rPr>
          <w:rFonts w:ascii="Times New Roman" w:hAnsi="Times New Roman"/>
          <w:sz w:val="24"/>
          <w:szCs w:val="24"/>
        </w:rPr>
        <w:t>for general insurers and Level 2 insurance groups.</w:t>
      </w:r>
    </w:p>
    <w:p w14:paraId="5E8D6731" w14:textId="77777777" w:rsidR="00135EC9" w:rsidRPr="00834109" w:rsidRDefault="00135EC9" w:rsidP="00135EC9">
      <w:pPr>
        <w:pBdr>
          <w:top w:val="single" w:sz="4" w:space="1" w:color="auto"/>
          <w:left w:val="single" w:sz="4" w:space="4" w:color="auto"/>
          <w:bottom w:val="single" w:sz="4" w:space="0" w:color="auto"/>
          <w:right w:val="single" w:sz="4" w:space="4" w:color="auto"/>
        </w:pBdr>
        <w:shd w:val="pct10" w:color="auto" w:fill="auto"/>
        <w:spacing w:after="360"/>
        <w:jc w:val="both"/>
        <w:rPr>
          <w:rFonts w:ascii="Times New Roman" w:hAnsi="Times New Roman"/>
          <w:sz w:val="24"/>
          <w:szCs w:val="24"/>
        </w:rPr>
      </w:pPr>
    </w:p>
    <w:p w14:paraId="71BC9CF0" w14:textId="77777777" w:rsidR="00E176D4" w:rsidRPr="00834109" w:rsidRDefault="00E176D4" w:rsidP="00E176D4">
      <w:pPr>
        <w:pStyle w:val="TOC1"/>
        <w:rPr>
          <w:rFonts w:ascii="Times New Roman" w:hAnsi="Times New Roman"/>
          <w:b w:val="0"/>
          <w:bCs/>
          <w:iCs/>
        </w:rPr>
      </w:pPr>
    </w:p>
    <w:p w14:paraId="6BDD90BB" w14:textId="77777777" w:rsidR="00E176D4" w:rsidRPr="00834109" w:rsidRDefault="00E176D4" w:rsidP="00E176D4"/>
    <w:p w14:paraId="2E06455A" w14:textId="77777777" w:rsidR="00E176D4" w:rsidRPr="00435DAF" w:rsidRDefault="00E176D4" w:rsidP="00E176D4">
      <w:pPr>
        <w:pStyle w:val="Heading"/>
        <w:spacing w:before="120" w:after="240"/>
      </w:pPr>
    </w:p>
    <w:p w14:paraId="419F6B6E" w14:textId="77777777" w:rsidR="00E176D4" w:rsidRPr="00834109" w:rsidRDefault="00E176D4" w:rsidP="00E176D4">
      <w:pPr>
        <w:pStyle w:val="Heading"/>
        <w:spacing w:before="120" w:after="240" w:line="480" w:lineRule="auto"/>
      </w:pPr>
      <w:r w:rsidRPr="00834109">
        <w:t xml:space="preserve"> </w:t>
      </w:r>
    </w:p>
    <w:p w14:paraId="1BE93DB8" w14:textId="77777777" w:rsidR="00E176D4" w:rsidRPr="00834109" w:rsidRDefault="00E176D4" w:rsidP="003C1E9C">
      <w:pPr>
        <w:pStyle w:val="Heading"/>
        <w:spacing w:before="120" w:after="240"/>
        <w:rPr>
          <w:rFonts w:ascii="Arial" w:hAnsi="Arial" w:cs="Arial"/>
          <w:sz w:val="24"/>
          <w:szCs w:val="24"/>
        </w:rPr>
      </w:pPr>
      <w:r w:rsidRPr="00834109">
        <w:rPr>
          <w:rFonts w:ascii="Arial" w:hAnsi="Arial" w:cs="Arial"/>
          <w:bCs/>
          <w:sz w:val="24"/>
          <w:szCs w:val="24"/>
        </w:rPr>
        <w:lastRenderedPageBreak/>
        <w:t xml:space="preserve">Authority </w:t>
      </w:r>
    </w:p>
    <w:p w14:paraId="5DF17EC1" w14:textId="77777777" w:rsidR="00E176D4" w:rsidRPr="00834109" w:rsidRDefault="00E176D4" w:rsidP="00E176D4">
      <w:pPr>
        <w:pStyle w:val="BodyText"/>
        <w:rPr>
          <w:sz w:val="24"/>
          <w:szCs w:val="24"/>
        </w:rPr>
      </w:pPr>
      <w:r w:rsidRPr="00834109">
        <w:rPr>
          <w:sz w:val="24"/>
          <w:szCs w:val="24"/>
        </w:rPr>
        <w:t xml:space="preserve">This Prudential Standard is made under section 32 of the </w:t>
      </w:r>
      <w:r w:rsidR="00763271" w:rsidRPr="00834109">
        <w:rPr>
          <w:i/>
          <w:sz w:val="24"/>
          <w:szCs w:val="24"/>
        </w:rPr>
        <w:t>Insurance Act 1973</w:t>
      </w:r>
      <w:r w:rsidRPr="00834109">
        <w:rPr>
          <w:sz w:val="24"/>
          <w:szCs w:val="24"/>
        </w:rPr>
        <w:t xml:space="preserve"> (the Act).</w:t>
      </w:r>
    </w:p>
    <w:p w14:paraId="149893D3" w14:textId="77777777" w:rsidR="00E176D4" w:rsidRPr="00834109" w:rsidRDefault="00E176D4" w:rsidP="003C1E9C">
      <w:pPr>
        <w:pStyle w:val="Heading"/>
        <w:spacing w:before="120" w:after="240"/>
        <w:rPr>
          <w:rFonts w:ascii="Arial" w:hAnsi="Arial" w:cs="Arial"/>
          <w:bCs/>
          <w:sz w:val="24"/>
          <w:szCs w:val="24"/>
        </w:rPr>
      </w:pPr>
      <w:r w:rsidRPr="00834109">
        <w:rPr>
          <w:rFonts w:ascii="Arial" w:hAnsi="Arial" w:cs="Arial"/>
          <w:bCs/>
          <w:sz w:val="24"/>
          <w:szCs w:val="24"/>
        </w:rPr>
        <w:t>Application</w:t>
      </w:r>
    </w:p>
    <w:p w14:paraId="3C6BB3BC" w14:textId="77777777" w:rsidR="00E176D4" w:rsidRPr="00834109" w:rsidRDefault="00E176D4" w:rsidP="00E176D4">
      <w:pPr>
        <w:pStyle w:val="BodyText"/>
        <w:autoSpaceDE w:val="0"/>
        <w:rPr>
          <w:sz w:val="24"/>
          <w:szCs w:val="24"/>
        </w:rPr>
      </w:pPr>
      <w:r w:rsidRPr="00834109">
        <w:rPr>
          <w:sz w:val="24"/>
          <w:szCs w:val="24"/>
        </w:rPr>
        <w:t>This Prudential Standard applies to each:</w:t>
      </w:r>
    </w:p>
    <w:p w14:paraId="0ADB01FA" w14:textId="77777777" w:rsidR="00E176D4" w:rsidRPr="00834109" w:rsidRDefault="00E176D4" w:rsidP="00435DAF">
      <w:pPr>
        <w:pStyle w:val="BodyText"/>
        <w:numPr>
          <w:ilvl w:val="0"/>
          <w:numId w:val="6"/>
        </w:numPr>
        <w:autoSpaceDE w:val="0"/>
        <w:ind w:left="1134" w:hanging="567"/>
        <w:rPr>
          <w:sz w:val="24"/>
          <w:szCs w:val="24"/>
        </w:rPr>
      </w:pPr>
      <w:r w:rsidRPr="00834109">
        <w:rPr>
          <w:rStyle w:val="StyleBodyText13ptCharCharChar"/>
          <w:b/>
          <w:szCs w:val="24"/>
        </w:rPr>
        <w:t>general insurer</w:t>
      </w:r>
      <w:r w:rsidRPr="00834109">
        <w:rPr>
          <w:rStyle w:val="StyleBodyText13ptCharCharChar"/>
          <w:szCs w:val="24"/>
        </w:rPr>
        <w:t xml:space="preserve"> </w:t>
      </w:r>
      <w:r w:rsidRPr="00834109">
        <w:rPr>
          <w:sz w:val="24"/>
          <w:szCs w:val="24"/>
        </w:rPr>
        <w:t>authorised under the Act (</w:t>
      </w:r>
      <w:r w:rsidRPr="00834109">
        <w:rPr>
          <w:b/>
          <w:sz w:val="24"/>
          <w:szCs w:val="24"/>
        </w:rPr>
        <w:t>insurer</w:t>
      </w:r>
      <w:r w:rsidRPr="00834109">
        <w:rPr>
          <w:sz w:val="24"/>
          <w:szCs w:val="24"/>
        </w:rPr>
        <w:t>); and</w:t>
      </w:r>
    </w:p>
    <w:p w14:paraId="0EE77CA9" w14:textId="77777777" w:rsidR="00E176D4" w:rsidRPr="00834109" w:rsidRDefault="00E176D4" w:rsidP="00435DAF">
      <w:pPr>
        <w:pStyle w:val="BodyText"/>
        <w:numPr>
          <w:ilvl w:val="0"/>
          <w:numId w:val="6"/>
        </w:numPr>
        <w:autoSpaceDE w:val="0"/>
        <w:ind w:left="1134" w:hanging="567"/>
        <w:rPr>
          <w:sz w:val="24"/>
          <w:szCs w:val="24"/>
        </w:rPr>
      </w:pPr>
      <w:r w:rsidRPr="00834109">
        <w:rPr>
          <w:b/>
          <w:sz w:val="24"/>
          <w:szCs w:val="24"/>
        </w:rPr>
        <w:t>Level 2 insurance group</w:t>
      </w:r>
      <w:r w:rsidRPr="00834109">
        <w:rPr>
          <w:sz w:val="24"/>
          <w:szCs w:val="24"/>
        </w:rPr>
        <w:t xml:space="preserve"> as defined in </w:t>
      </w:r>
      <w:r w:rsidRPr="00834109">
        <w:rPr>
          <w:i/>
          <w:sz w:val="24"/>
          <w:szCs w:val="24"/>
        </w:rPr>
        <w:t xml:space="preserve">Prudential Standard GPS 001 Definitions </w:t>
      </w:r>
      <w:r w:rsidRPr="00834109">
        <w:rPr>
          <w:sz w:val="24"/>
          <w:szCs w:val="24"/>
        </w:rPr>
        <w:t>(GPS 001)</w:t>
      </w:r>
      <w:r w:rsidR="00A111C3" w:rsidRPr="00834109">
        <w:rPr>
          <w:sz w:val="24"/>
          <w:szCs w:val="24"/>
        </w:rPr>
        <w:t>.</w:t>
      </w:r>
    </w:p>
    <w:p w14:paraId="61A612A5" w14:textId="77777777" w:rsidR="00E176D4" w:rsidRPr="00834109" w:rsidRDefault="00E176D4" w:rsidP="00E176D4">
      <w:pPr>
        <w:pStyle w:val="BodyText"/>
        <w:numPr>
          <w:ilvl w:val="0"/>
          <w:numId w:val="0"/>
        </w:numPr>
        <w:autoSpaceDE w:val="0"/>
        <w:ind w:left="567"/>
        <w:rPr>
          <w:sz w:val="24"/>
          <w:szCs w:val="24"/>
        </w:rPr>
      </w:pPr>
      <w:r w:rsidRPr="00834109">
        <w:rPr>
          <w:sz w:val="24"/>
          <w:szCs w:val="24"/>
        </w:rPr>
        <w:t xml:space="preserve">Where a requirement is </w:t>
      </w:r>
      <w:r w:rsidR="002A30F6" w:rsidRPr="00834109">
        <w:rPr>
          <w:sz w:val="24"/>
          <w:szCs w:val="24"/>
        </w:rPr>
        <w:t xml:space="preserve">made in respect of </w:t>
      </w:r>
      <w:r w:rsidRPr="00834109">
        <w:rPr>
          <w:sz w:val="24"/>
          <w:szCs w:val="24"/>
        </w:rPr>
        <w:t xml:space="preserve">a Level 2 insurance group, </w:t>
      </w:r>
      <w:r w:rsidR="002A30F6" w:rsidRPr="00834109">
        <w:rPr>
          <w:sz w:val="24"/>
          <w:szCs w:val="24"/>
        </w:rPr>
        <w:t xml:space="preserve">the requirement is </w:t>
      </w:r>
      <w:r w:rsidRPr="00834109">
        <w:rPr>
          <w:sz w:val="24"/>
          <w:szCs w:val="24"/>
        </w:rPr>
        <w:t xml:space="preserve">imposed on the </w:t>
      </w:r>
      <w:r w:rsidRPr="00834109">
        <w:rPr>
          <w:b/>
          <w:sz w:val="24"/>
          <w:szCs w:val="24"/>
        </w:rPr>
        <w:t>parent entity</w:t>
      </w:r>
      <w:r w:rsidRPr="00834109">
        <w:rPr>
          <w:sz w:val="24"/>
          <w:szCs w:val="24"/>
        </w:rPr>
        <w:t xml:space="preserve"> of the Level 2 insurance group.</w:t>
      </w:r>
    </w:p>
    <w:p w14:paraId="3B262712" w14:textId="3811F13F" w:rsidR="00E176D4" w:rsidRPr="00834109" w:rsidRDefault="00F36B73" w:rsidP="00E176D4">
      <w:pPr>
        <w:pStyle w:val="BodyText"/>
        <w:rPr>
          <w:sz w:val="24"/>
          <w:szCs w:val="24"/>
        </w:rPr>
      </w:pPr>
      <w:r w:rsidRPr="00834109">
        <w:rPr>
          <w:sz w:val="24"/>
          <w:szCs w:val="24"/>
        </w:rPr>
        <w:t>This</w:t>
      </w:r>
      <w:r w:rsidR="00E176D4" w:rsidRPr="00834109">
        <w:rPr>
          <w:sz w:val="24"/>
          <w:szCs w:val="24"/>
        </w:rPr>
        <w:t xml:space="preserve"> Prudential Standard applies to </w:t>
      </w:r>
      <w:r w:rsidR="002A30F6" w:rsidRPr="00834109">
        <w:rPr>
          <w:sz w:val="24"/>
          <w:szCs w:val="24"/>
        </w:rPr>
        <w:t>insurers and Level 2 insurance groups (</w:t>
      </w:r>
      <w:r w:rsidR="005E6F54" w:rsidRPr="00834109">
        <w:rPr>
          <w:b/>
          <w:sz w:val="24"/>
          <w:szCs w:val="24"/>
        </w:rPr>
        <w:t>regulated institutions</w:t>
      </w:r>
      <w:r w:rsidR="005E6F54" w:rsidRPr="00834109">
        <w:rPr>
          <w:sz w:val="24"/>
          <w:szCs w:val="24"/>
        </w:rPr>
        <w:t>)</w:t>
      </w:r>
      <w:r w:rsidR="00E176D4" w:rsidRPr="00834109">
        <w:rPr>
          <w:sz w:val="24"/>
          <w:szCs w:val="24"/>
        </w:rPr>
        <w:t xml:space="preserve"> from </w:t>
      </w:r>
      <w:r w:rsidR="002D065D">
        <w:rPr>
          <w:sz w:val="24"/>
          <w:szCs w:val="24"/>
        </w:rPr>
        <w:t>1 July 2022</w:t>
      </w:r>
      <w:r w:rsidR="00E176D4" w:rsidRPr="00F341EA">
        <w:rPr>
          <w:sz w:val="24"/>
          <w:szCs w:val="24"/>
        </w:rPr>
        <w:t>.</w:t>
      </w:r>
    </w:p>
    <w:p w14:paraId="41B5C34B" w14:textId="77777777" w:rsidR="00E176D4" w:rsidRPr="00834109" w:rsidRDefault="00E176D4" w:rsidP="003C1E9C">
      <w:pPr>
        <w:pStyle w:val="Heading"/>
        <w:spacing w:before="120" w:after="240"/>
        <w:rPr>
          <w:rFonts w:ascii="Arial" w:hAnsi="Arial" w:cs="Arial"/>
          <w:bCs/>
          <w:sz w:val="24"/>
          <w:szCs w:val="24"/>
        </w:rPr>
      </w:pPr>
      <w:r w:rsidRPr="00834109">
        <w:rPr>
          <w:rFonts w:ascii="Arial" w:hAnsi="Arial" w:cs="Arial"/>
          <w:bCs/>
          <w:sz w:val="24"/>
          <w:szCs w:val="24"/>
        </w:rPr>
        <w:t>Interpretation</w:t>
      </w:r>
    </w:p>
    <w:p w14:paraId="7511E158" w14:textId="77777777" w:rsidR="00BC527B" w:rsidRPr="00834109" w:rsidRDefault="00415CAA" w:rsidP="00E176D4">
      <w:pPr>
        <w:pStyle w:val="BodyText"/>
        <w:rPr>
          <w:rFonts w:ascii="Arial" w:hAnsi="Arial"/>
          <w:bCs/>
          <w:i/>
          <w:sz w:val="24"/>
          <w:szCs w:val="24"/>
        </w:rPr>
      </w:pPr>
      <w:r w:rsidRPr="00834109">
        <w:rPr>
          <w:bCs/>
          <w:sz w:val="24"/>
          <w:szCs w:val="24"/>
        </w:rPr>
        <w:t xml:space="preserve">Terms that are </w:t>
      </w:r>
      <w:r w:rsidR="00E176D4" w:rsidRPr="00834109">
        <w:rPr>
          <w:bCs/>
          <w:sz w:val="24"/>
          <w:szCs w:val="24"/>
        </w:rPr>
        <w:t>defined in GPS 001</w:t>
      </w:r>
      <w:r w:rsidR="00073098" w:rsidRPr="00834109">
        <w:rPr>
          <w:bCs/>
          <w:sz w:val="24"/>
          <w:szCs w:val="24"/>
        </w:rPr>
        <w:t xml:space="preserve"> </w:t>
      </w:r>
      <w:r w:rsidR="00073098" w:rsidRPr="00834109">
        <w:rPr>
          <w:sz w:val="24"/>
        </w:rPr>
        <w:t>appear in bold the first time they are used in this Prudential Standard</w:t>
      </w:r>
      <w:r w:rsidR="00E176D4" w:rsidRPr="00834109">
        <w:rPr>
          <w:bCs/>
          <w:sz w:val="24"/>
          <w:szCs w:val="24"/>
        </w:rPr>
        <w:t>.</w:t>
      </w:r>
    </w:p>
    <w:p w14:paraId="49FEE9A6" w14:textId="77777777" w:rsidR="00BC527B" w:rsidRPr="00834109" w:rsidRDefault="00BC527B" w:rsidP="00E176D4">
      <w:pPr>
        <w:pStyle w:val="BodyText"/>
        <w:rPr>
          <w:rFonts w:ascii="Arial" w:hAnsi="Arial"/>
          <w:bCs/>
          <w:i/>
          <w:sz w:val="24"/>
          <w:szCs w:val="24"/>
        </w:rPr>
      </w:pPr>
      <w:r w:rsidRPr="00834109">
        <w:rPr>
          <w:bCs/>
          <w:sz w:val="24"/>
          <w:szCs w:val="24"/>
        </w:rPr>
        <w:t>For the purposes of this Prudential Standard:</w:t>
      </w:r>
    </w:p>
    <w:p w14:paraId="535668BC" w14:textId="77777777" w:rsidR="005F7241" w:rsidRPr="00834109" w:rsidRDefault="00073098" w:rsidP="00435DAF">
      <w:pPr>
        <w:pStyle w:val="BodyText"/>
        <w:numPr>
          <w:ilvl w:val="0"/>
          <w:numId w:val="8"/>
        </w:numPr>
        <w:ind w:left="1134" w:hanging="567"/>
        <w:rPr>
          <w:bCs/>
          <w:sz w:val="24"/>
          <w:szCs w:val="24"/>
        </w:rPr>
      </w:pPr>
      <w:r w:rsidRPr="00834109">
        <w:rPr>
          <w:bCs/>
          <w:sz w:val="24"/>
          <w:szCs w:val="24"/>
        </w:rPr>
        <w:t>‘</w:t>
      </w:r>
      <w:r w:rsidR="000D55D7" w:rsidRPr="00834109">
        <w:rPr>
          <w:bCs/>
          <w:sz w:val="24"/>
          <w:szCs w:val="24"/>
        </w:rPr>
        <w:t>E</w:t>
      </w:r>
      <w:r w:rsidR="005F7241" w:rsidRPr="00834109">
        <w:rPr>
          <w:bCs/>
          <w:sz w:val="24"/>
          <w:szCs w:val="24"/>
        </w:rPr>
        <w:t xml:space="preserve">ligible </w:t>
      </w:r>
      <w:r w:rsidR="000D55D7" w:rsidRPr="00834109">
        <w:rPr>
          <w:bCs/>
          <w:sz w:val="24"/>
          <w:szCs w:val="24"/>
        </w:rPr>
        <w:t>C</w:t>
      </w:r>
      <w:r w:rsidR="005F7241" w:rsidRPr="00834109">
        <w:rPr>
          <w:bCs/>
          <w:sz w:val="24"/>
          <w:szCs w:val="24"/>
        </w:rPr>
        <w:t xml:space="preserve">ollateral </w:t>
      </w:r>
      <w:r w:rsidR="000D55D7" w:rsidRPr="00834109">
        <w:rPr>
          <w:bCs/>
          <w:sz w:val="24"/>
          <w:szCs w:val="24"/>
        </w:rPr>
        <w:t>I</w:t>
      </w:r>
      <w:r w:rsidR="005F7241" w:rsidRPr="00834109">
        <w:rPr>
          <w:bCs/>
          <w:sz w:val="24"/>
          <w:szCs w:val="24"/>
        </w:rPr>
        <w:t>tem</w:t>
      </w:r>
      <w:r w:rsidR="00A867F8">
        <w:rPr>
          <w:bCs/>
          <w:sz w:val="24"/>
          <w:szCs w:val="24"/>
        </w:rPr>
        <w:t>s</w:t>
      </w:r>
      <w:r w:rsidRPr="00834109">
        <w:rPr>
          <w:bCs/>
          <w:sz w:val="24"/>
          <w:szCs w:val="24"/>
        </w:rPr>
        <w:t>’</w:t>
      </w:r>
      <w:r w:rsidR="005F7241" w:rsidRPr="00834109">
        <w:rPr>
          <w:b/>
          <w:bCs/>
          <w:sz w:val="24"/>
          <w:szCs w:val="24"/>
        </w:rPr>
        <w:t xml:space="preserve"> </w:t>
      </w:r>
      <w:r w:rsidR="00A867F8">
        <w:rPr>
          <w:bCs/>
          <w:sz w:val="24"/>
          <w:szCs w:val="24"/>
        </w:rPr>
        <w:t>are</w:t>
      </w:r>
      <w:r w:rsidR="00A867F8" w:rsidRPr="00834109">
        <w:rPr>
          <w:bCs/>
          <w:sz w:val="24"/>
          <w:szCs w:val="24"/>
        </w:rPr>
        <w:t xml:space="preserve"> </w:t>
      </w:r>
      <w:r w:rsidR="005F7241" w:rsidRPr="00834109">
        <w:rPr>
          <w:bCs/>
          <w:sz w:val="24"/>
          <w:szCs w:val="24"/>
        </w:rPr>
        <w:t xml:space="preserve">cash, government securities or </w:t>
      </w:r>
      <w:r w:rsidR="005F7241" w:rsidRPr="00A867F8">
        <w:rPr>
          <w:b/>
          <w:bCs/>
          <w:sz w:val="24"/>
          <w:szCs w:val="24"/>
        </w:rPr>
        <w:t>debt obligations</w:t>
      </w:r>
      <w:r w:rsidR="005F7241" w:rsidRPr="00834109">
        <w:rPr>
          <w:bCs/>
          <w:sz w:val="24"/>
          <w:szCs w:val="24"/>
        </w:rPr>
        <w:t xml:space="preserve"> </w:t>
      </w:r>
      <w:r w:rsidR="00A867F8">
        <w:rPr>
          <w:bCs/>
          <w:sz w:val="24"/>
          <w:szCs w:val="24"/>
        </w:rPr>
        <w:t xml:space="preserve">(i.e. loans, deposits, placements, interest rate securities and other receivables) </w:t>
      </w:r>
      <w:r w:rsidR="005F7241" w:rsidRPr="00834109">
        <w:rPr>
          <w:bCs/>
          <w:sz w:val="24"/>
          <w:szCs w:val="24"/>
        </w:rPr>
        <w:t xml:space="preserve">where the </w:t>
      </w:r>
      <w:r w:rsidR="00A867F8">
        <w:rPr>
          <w:bCs/>
          <w:sz w:val="24"/>
          <w:szCs w:val="24"/>
        </w:rPr>
        <w:t>counterparty</w:t>
      </w:r>
      <w:r w:rsidR="00A867F8" w:rsidRPr="00834109">
        <w:rPr>
          <w:bCs/>
          <w:sz w:val="24"/>
          <w:szCs w:val="24"/>
        </w:rPr>
        <w:t xml:space="preserve"> </w:t>
      </w:r>
      <w:r w:rsidR="005F7241" w:rsidRPr="00834109">
        <w:rPr>
          <w:bCs/>
          <w:sz w:val="24"/>
          <w:szCs w:val="24"/>
        </w:rPr>
        <w:t xml:space="preserve">has a counterparty </w:t>
      </w:r>
      <w:r w:rsidR="00A867F8">
        <w:rPr>
          <w:bCs/>
          <w:sz w:val="24"/>
          <w:szCs w:val="24"/>
        </w:rPr>
        <w:t>g</w:t>
      </w:r>
      <w:r w:rsidR="005F7241" w:rsidRPr="00834109">
        <w:rPr>
          <w:bCs/>
          <w:sz w:val="24"/>
          <w:szCs w:val="24"/>
        </w:rPr>
        <w:t>rade</w:t>
      </w:r>
      <w:r w:rsidR="00A867F8">
        <w:rPr>
          <w:bCs/>
          <w:sz w:val="24"/>
          <w:szCs w:val="24"/>
        </w:rPr>
        <w:t xml:space="preserve"> of</w:t>
      </w:r>
      <w:r w:rsidR="005F7241" w:rsidRPr="00834109">
        <w:rPr>
          <w:bCs/>
          <w:sz w:val="24"/>
          <w:szCs w:val="24"/>
        </w:rPr>
        <w:t xml:space="preserve"> 1, 2 or 3 as defined in Attachment C of GPS 001</w:t>
      </w:r>
      <w:r w:rsidR="002C4D4C" w:rsidRPr="00834109">
        <w:rPr>
          <w:bCs/>
          <w:sz w:val="24"/>
          <w:szCs w:val="24"/>
        </w:rPr>
        <w:t>;</w:t>
      </w:r>
    </w:p>
    <w:p w14:paraId="34FCCF8F" w14:textId="77777777" w:rsidR="005F7241" w:rsidRPr="00834109" w:rsidRDefault="00073098" w:rsidP="00435DAF">
      <w:pPr>
        <w:pStyle w:val="BodyText"/>
        <w:numPr>
          <w:ilvl w:val="0"/>
          <w:numId w:val="8"/>
        </w:numPr>
        <w:ind w:left="1134" w:hanging="567"/>
        <w:rPr>
          <w:sz w:val="24"/>
          <w:szCs w:val="24"/>
        </w:rPr>
      </w:pPr>
      <w:r w:rsidRPr="00834109">
        <w:rPr>
          <w:bCs/>
          <w:sz w:val="24"/>
          <w:szCs w:val="24"/>
        </w:rPr>
        <w:t>‘</w:t>
      </w:r>
      <w:r w:rsidR="005F7241" w:rsidRPr="00834109">
        <w:rPr>
          <w:bCs/>
          <w:sz w:val="24"/>
          <w:szCs w:val="24"/>
        </w:rPr>
        <w:t>non-reinsurance exposures</w:t>
      </w:r>
      <w:r w:rsidRPr="00834109">
        <w:rPr>
          <w:bCs/>
          <w:sz w:val="24"/>
          <w:szCs w:val="24"/>
        </w:rPr>
        <w:t>’</w:t>
      </w:r>
      <w:r w:rsidR="005F7241" w:rsidRPr="00834109">
        <w:rPr>
          <w:b/>
          <w:bCs/>
          <w:sz w:val="24"/>
          <w:szCs w:val="24"/>
        </w:rPr>
        <w:t xml:space="preserve"> </w:t>
      </w:r>
      <w:r w:rsidR="005F7241" w:rsidRPr="00834109">
        <w:rPr>
          <w:bCs/>
          <w:sz w:val="24"/>
          <w:szCs w:val="24"/>
        </w:rPr>
        <w:t xml:space="preserve">are the on- and off-balance sheet </w:t>
      </w:r>
      <w:r w:rsidR="005F7241" w:rsidRPr="00834109">
        <w:rPr>
          <w:sz w:val="24"/>
          <w:szCs w:val="24"/>
        </w:rPr>
        <w:t>exposures of an insurer or Level 2 insurance group other than exposures to a reinsurer;</w:t>
      </w:r>
    </w:p>
    <w:p w14:paraId="61B383EE" w14:textId="77777777" w:rsidR="00BC527B" w:rsidRPr="00834109" w:rsidRDefault="00073098" w:rsidP="00435DAF">
      <w:pPr>
        <w:pStyle w:val="BodyText"/>
        <w:numPr>
          <w:ilvl w:val="0"/>
          <w:numId w:val="8"/>
        </w:numPr>
        <w:ind w:left="1134" w:hanging="567"/>
        <w:rPr>
          <w:sz w:val="24"/>
          <w:szCs w:val="24"/>
        </w:rPr>
      </w:pPr>
      <w:r w:rsidRPr="00834109">
        <w:rPr>
          <w:sz w:val="24"/>
          <w:szCs w:val="24"/>
        </w:rPr>
        <w:t>‘</w:t>
      </w:r>
      <w:r w:rsidR="00BC527B" w:rsidRPr="00834109">
        <w:rPr>
          <w:sz w:val="24"/>
          <w:szCs w:val="24"/>
        </w:rPr>
        <w:t>reinsurance exposures</w:t>
      </w:r>
      <w:r w:rsidRPr="00834109">
        <w:t>’</w:t>
      </w:r>
      <w:r w:rsidR="00BC527B" w:rsidRPr="00834109">
        <w:rPr>
          <w:b/>
        </w:rPr>
        <w:t xml:space="preserve"> </w:t>
      </w:r>
      <w:r w:rsidR="00BC527B" w:rsidRPr="00834109">
        <w:rPr>
          <w:bCs/>
          <w:sz w:val="24"/>
          <w:szCs w:val="24"/>
        </w:rPr>
        <w:t xml:space="preserve">are the on- and off- balance sheet </w:t>
      </w:r>
      <w:r w:rsidR="00BC527B" w:rsidRPr="00834109">
        <w:rPr>
          <w:sz w:val="24"/>
          <w:szCs w:val="24"/>
        </w:rPr>
        <w:t xml:space="preserve">exposures of an insurer or Level 2 insurance group to </w:t>
      </w:r>
      <w:r w:rsidR="00BC527B" w:rsidRPr="00834109">
        <w:rPr>
          <w:b/>
          <w:sz w:val="24"/>
          <w:szCs w:val="24"/>
        </w:rPr>
        <w:t>reinsurance assets</w:t>
      </w:r>
      <w:r w:rsidR="00BC527B" w:rsidRPr="00834109">
        <w:rPr>
          <w:sz w:val="24"/>
          <w:szCs w:val="24"/>
        </w:rPr>
        <w:t>;</w:t>
      </w:r>
      <w:r w:rsidR="005F7241" w:rsidRPr="00834109">
        <w:rPr>
          <w:sz w:val="24"/>
          <w:szCs w:val="24"/>
        </w:rPr>
        <w:t xml:space="preserve"> and</w:t>
      </w:r>
      <w:r w:rsidR="00BC527B" w:rsidRPr="00834109">
        <w:rPr>
          <w:sz w:val="24"/>
          <w:szCs w:val="24"/>
        </w:rPr>
        <w:t xml:space="preserve"> </w:t>
      </w:r>
    </w:p>
    <w:p w14:paraId="3ED91947" w14:textId="77777777" w:rsidR="00BC527B" w:rsidRPr="00834109" w:rsidRDefault="00073098" w:rsidP="00435DAF">
      <w:pPr>
        <w:pStyle w:val="BodyText"/>
        <w:numPr>
          <w:ilvl w:val="0"/>
          <w:numId w:val="8"/>
        </w:numPr>
        <w:ind w:left="1134" w:hanging="567"/>
        <w:rPr>
          <w:sz w:val="24"/>
          <w:szCs w:val="24"/>
        </w:rPr>
      </w:pPr>
      <w:r w:rsidRPr="00834109">
        <w:rPr>
          <w:sz w:val="24"/>
          <w:szCs w:val="24"/>
        </w:rPr>
        <w:t>‘</w:t>
      </w:r>
      <w:r w:rsidR="005F7241" w:rsidRPr="00834109">
        <w:rPr>
          <w:sz w:val="24"/>
          <w:szCs w:val="24"/>
        </w:rPr>
        <w:t>r</w:t>
      </w:r>
      <w:r w:rsidR="00BC527B" w:rsidRPr="00834109">
        <w:rPr>
          <w:sz w:val="24"/>
          <w:szCs w:val="24"/>
        </w:rPr>
        <w:t>esidual maturity</w:t>
      </w:r>
      <w:r w:rsidRPr="00834109">
        <w:rPr>
          <w:sz w:val="24"/>
          <w:szCs w:val="24"/>
        </w:rPr>
        <w:t>’</w:t>
      </w:r>
      <w:r w:rsidR="00BC527B" w:rsidRPr="00834109">
        <w:rPr>
          <w:b/>
          <w:sz w:val="24"/>
          <w:szCs w:val="24"/>
        </w:rPr>
        <w:t xml:space="preserve"> </w:t>
      </w:r>
      <w:r w:rsidR="00BC527B" w:rsidRPr="00834109">
        <w:rPr>
          <w:sz w:val="24"/>
          <w:szCs w:val="24"/>
        </w:rPr>
        <w:t>is the remaining time until the expiration or the repayment of a financial instrument</w:t>
      </w:r>
      <w:r w:rsidR="002C4D4C" w:rsidRPr="00834109">
        <w:rPr>
          <w:sz w:val="24"/>
          <w:szCs w:val="24"/>
        </w:rPr>
        <w:t>.</w:t>
      </w:r>
    </w:p>
    <w:p w14:paraId="29AB8E23" w14:textId="77777777" w:rsidR="00D22EAB" w:rsidRPr="00834109" w:rsidRDefault="00D22EAB" w:rsidP="00D22EAB">
      <w:pPr>
        <w:pStyle w:val="BodyText"/>
        <w:rPr>
          <w:rFonts w:ascii="Arial" w:hAnsi="Arial"/>
          <w:bCs/>
          <w:i/>
          <w:sz w:val="24"/>
          <w:szCs w:val="24"/>
        </w:rPr>
      </w:pPr>
      <w:r>
        <w:rPr>
          <w:bCs/>
          <w:sz w:val="24"/>
          <w:szCs w:val="24"/>
        </w:rPr>
        <w:t>Where this Prudential Standard provides for APRA to exercise a power or discretion, this power or discretion is to be exercised in writing</w:t>
      </w:r>
      <w:r w:rsidRPr="00834109">
        <w:rPr>
          <w:bCs/>
          <w:sz w:val="24"/>
          <w:szCs w:val="24"/>
        </w:rPr>
        <w:t>.</w:t>
      </w:r>
    </w:p>
    <w:p w14:paraId="3578AA49" w14:textId="77777777" w:rsidR="00E176D4" w:rsidRPr="00834109" w:rsidRDefault="00E176D4" w:rsidP="003C1E9C">
      <w:pPr>
        <w:pStyle w:val="Heading"/>
        <w:spacing w:before="120" w:after="240"/>
        <w:rPr>
          <w:rFonts w:ascii="Arial" w:hAnsi="Arial" w:cs="Arial"/>
          <w:bCs/>
          <w:sz w:val="24"/>
          <w:szCs w:val="24"/>
        </w:rPr>
      </w:pPr>
      <w:r w:rsidRPr="00834109">
        <w:rPr>
          <w:rFonts w:ascii="Arial" w:hAnsi="Arial" w:cs="Arial"/>
          <w:bCs/>
          <w:sz w:val="24"/>
          <w:szCs w:val="24"/>
        </w:rPr>
        <w:t>Asset Concentration Risk Charge</w:t>
      </w:r>
      <w:r w:rsidR="006F2A29" w:rsidRPr="00834109">
        <w:rPr>
          <w:rFonts w:ascii="Arial" w:hAnsi="Arial" w:cs="Arial"/>
          <w:bCs/>
          <w:sz w:val="24"/>
          <w:szCs w:val="24"/>
        </w:rPr>
        <w:t xml:space="preserve"> principles</w:t>
      </w:r>
    </w:p>
    <w:p w14:paraId="712976A0" w14:textId="77777777" w:rsidR="00E176D4" w:rsidRPr="00834109" w:rsidRDefault="00E176D4" w:rsidP="00E176D4">
      <w:pPr>
        <w:pStyle w:val="BodyText"/>
        <w:rPr>
          <w:sz w:val="24"/>
          <w:szCs w:val="24"/>
        </w:rPr>
      </w:pPr>
      <w:r w:rsidRPr="00834109">
        <w:rPr>
          <w:sz w:val="24"/>
          <w:szCs w:val="24"/>
        </w:rPr>
        <w:t xml:space="preserve">This Prudential Standard sets out the method for calculating the </w:t>
      </w:r>
      <w:r w:rsidRPr="00834109">
        <w:rPr>
          <w:b/>
          <w:sz w:val="24"/>
          <w:szCs w:val="24"/>
        </w:rPr>
        <w:t xml:space="preserve">Asset Concentration Risk Charge </w:t>
      </w:r>
      <w:r w:rsidRPr="00834109">
        <w:rPr>
          <w:sz w:val="24"/>
          <w:szCs w:val="24"/>
        </w:rPr>
        <w:t xml:space="preserve">for a regulated institution using the </w:t>
      </w:r>
      <w:r w:rsidR="0090775F" w:rsidRPr="00834109">
        <w:rPr>
          <w:b/>
          <w:sz w:val="24"/>
          <w:szCs w:val="24"/>
        </w:rPr>
        <w:t xml:space="preserve">Standard </w:t>
      </w:r>
      <w:r w:rsidRPr="00834109">
        <w:rPr>
          <w:b/>
          <w:sz w:val="24"/>
          <w:szCs w:val="24"/>
        </w:rPr>
        <w:t>Method</w:t>
      </w:r>
      <w:r w:rsidRPr="00834109">
        <w:rPr>
          <w:sz w:val="24"/>
          <w:szCs w:val="24"/>
        </w:rPr>
        <w:t xml:space="preserve"> to determine its </w:t>
      </w:r>
      <w:r w:rsidRPr="00834109">
        <w:rPr>
          <w:b/>
          <w:sz w:val="24"/>
          <w:szCs w:val="24"/>
        </w:rPr>
        <w:t>prescribed capital amount</w:t>
      </w:r>
      <w:r w:rsidRPr="00834109">
        <w:rPr>
          <w:sz w:val="24"/>
          <w:szCs w:val="24"/>
        </w:rPr>
        <w:t>.</w:t>
      </w:r>
    </w:p>
    <w:p w14:paraId="5EB8DC99" w14:textId="77777777" w:rsidR="005F7241" w:rsidRPr="00834109" w:rsidRDefault="005F7241" w:rsidP="005F7241">
      <w:pPr>
        <w:pStyle w:val="BodyText"/>
        <w:rPr>
          <w:sz w:val="24"/>
          <w:szCs w:val="24"/>
        </w:rPr>
      </w:pPr>
      <w:r w:rsidRPr="00834109">
        <w:rPr>
          <w:sz w:val="24"/>
          <w:szCs w:val="24"/>
        </w:rPr>
        <w:t xml:space="preserve">The Asset Concentration Risk Charge relates to the risk of a regulated institution’s concentrations in </w:t>
      </w:r>
      <w:r w:rsidR="00025139" w:rsidRPr="00834109">
        <w:rPr>
          <w:sz w:val="24"/>
          <w:szCs w:val="24"/>
        </w:rPr>
        <w:t xml:space="preserve">exposures to a particular asset, counterparty </w:t>
      </w:r>
      <w:r w:rsidR="007B0D8F" w:rsidRPr="00834109">
        <w:rPr>
          <w:sz w:val="24"/>
          <w:szCs w:val="24"/>
        </w:rPr>
        <w:t xml:space="preserve">or </w:t>
      </w:r>
      <w:r w:rsidR="00025139" w:rsidRPr="00834109">
        <w:rPr>
          <w:sz w:val="24"/>
          <w:szCs w:val="24"/>
        </w:rPr>
        <w:lastRenderedPageBreak/>
        <w:t xml:space="preserve">group of related counterparties </w:t>
      </w:r>
      <w:r w:rsidRPr="00834109">
        <w:rPr>
          <w:sz w:val="24"/>
          <w:szCs w:val="24"/>
        </w:rPr>
        <w:t xml:space="preserve">resulting in adverse movements in the regulated institution’s </w:t>
      </w:r>
      <w:r w:rsidRPr="00834109">
        <w:rPr>
          <w:b/>
          <w:sz w:val="24"/>
          <w:szCs w:val="24"/>
        </w:rPr>
        <w:t>capital base</w:t>
      </w:r>
      <w:r w:rsidRPr="00834109">
        <w:rPr>
          <w:sz w:val="24"/>
          <w:szCs w:val="24"/>
        </w:rPr>
        <w:t>.</w:t>
      </w:r>
    </w:p>
    <w:p w14:paraId="74F3B8D0" w14:textId="77777777" w:rsidR="00E176D4" w:rsidRPr="00834109" w:rsidRDefault="00E176D4" w:rsidP="00E176D4">
      <w:pPr>
        <w:pStyle w:val="BodyText"/>
        <w:rPr>
          <w:sz w:val="24"/>
          <w:szCs w:val="24"/>
        </w:rPr>
      </w:pPr>
      <w:r w:rsidRPr="00834109">
        <w:rPr>
          <w:sz w:val="24"/>
          <w:szCs w:val="24"/>
        </w:rPr>
        <w:t xml:space="preserve">For the purposes of the Asset Concentration Risk Charge, exposures include all on- and off-balance sheet exposures of the regulated institution. On-balance sheet exposures of the institution should be net of any </w:t>
      </w:r>
      <w:r w:rsidR="00135EC9" w:rsidRPr="00834109">
        <w:rPr>
          <w:sz w:val="24"/>
          <w:szCs w:val="24"/>
        </w:rPr>
        <w:t xml:space="preserve">regulatory adjustments </w:t>
      </w:r>
      <w:r w:rsidR="00D87E36" w:rsidRPr="00834109">
        <w:rPr>
          <w:sz w:val="24"/>
          <w:szCs w:val="24"/>
        </w:rPr>
        <w:t xml:space="preserve">expressly related to the item that are </w:t>
      </w:r>
      <w:r w:rsidRPr="00834109">
        <w:rPr>
          <w:sz w:val="24"/>
          <w:szCs w:val="24"/>
        </w:rPr>
        <w:t xml:space="preserve">required under </w:t>
      </w:r>
      <w:r w:rsidRPr="00834109">
        <w:rPr>
          <w:i/>
          <w:sz w:val="24"/>
          <w:szCs w:val="24"/>
        </w:rPr>
        <w:t>Prudential Standard GPS 112 Capital Adequacy: Measurement of Capital</w:t>
      </w:r>
      <w:r w:rsidRPr="00834109">
        <w:rPr>
          <w:sz w:val="24"/>
          <w:szCs w:val="24"/>
        </w:rPr>
        <w:t>.</w:t>
      </w:r>
    </w:p>
    <w:p w14:paraId="4505FE98" w14:textId="77777777" w:rsidR="00E176D4" w:rsidRPr="00834109" w:rsidRDefault="00E176D4" w:rsidP="00E176D4">
      <w:pPr>
        <w:pStyle w:val="BodyText"/>
        <w:rPr>
          <w:sz w:val="24"/>
          <w:szCs w:val="24"/>
        </w:rPr>
      </w:pPr>
      <w:r w:rsidRPr="00834109">
        <w:rPr>
          <w:sz w:val="24"/>
          <w:szCs w:val="24"/>
        </w:rPr>
        <w:t xml:space="preserve">All exposures should be converted to Australian dollars (AUD) as at the reporting date. </w:t>
      </w:r>
    </w:p>
    <w:p w14:paraId="1204F0F4" w14:textId="77777777" w:rsidR="006F2A29" w:rsidRPr="00834109" w:rsidRDefault="006F2A29" w:rsidP="006F2A29">
      <w:pPr>
        <w:pStyle w:val="BodyText"/>
        <w:rPr>
          <w:sz w:val="24"/>
          <w:szCs w:val="24"/>
        </w:rPr>
      </w:pPr>
      <w:r w:rsidRPr="00834109">
        <w:rPr>
          <w:sz w:val="24"/>
          <w:szCs w:val="24"/>
        </w:rPr>
        <w:t xml:space="preserve">The </w:t>
      </w:r>
      <w:r w:rsidR="00F621C7" w:rsidRPr="00834109">
        <w:rPr>
          <w:sz w:val="24"/>
          <w:szCs w:val="24"/>
        </w:rPr>
        <w:t xml:space="preserve">portion </w:t>
      </w:r>
      <w:r w:rsidRPr="00834109">
        <w:rPr>
          <w:sz w:val="24"/>
          <w:szCs w:val="24"/>
        </w:rPr>
        <w:t xml:space="preserve">of any exposure which is subject to the Asset Concentration Risk Charge must </w:t>
      </w:r>
      <w:r w:rsidR="00763271" w:rsidRPr="00834109">
        <w:rPr>
          <w:sz w:val="24"/>
          <w:szCs w:val="24"/>
          <w:u w:val="single"/>
        </w:rPr>
        <w:t>not</w:t>
      </w:r>
      <w:r w:rsidRPr="00834109">
        <w:rPr>
          <w:sz w:val="24"/>
          <w:szCs w:val="24"/>
        </w:rPr>
        <w:t xml:space="preserve"> be subject to the </w:t>
      </w:r>
      <w:r w:rsidRPr="00834109">
        <w:rPr>
          <w:b/>
          <w:sz w:val="24"/>
          <w:szCs w:val="24"/>
        </w:rPr>
        <w:t>Asset Risk Charge</w:t>
      </w:r>
      <w:r w:rsidRPr="00834109">
        <w:rPr>
          <w:sz w:val="24"/>
          <w:szCs w:val="24"/>
        </w:rPr>
        <w:t xml:space="preserve"> as defined in </w:t>
      </w:r>
      <w:r w:rsidRPr="00834109">
        <w:rPr>
          <w:i/>
          <w:sz w:val="24"/>
          <w:szCs w:val="24"/>
        </w:rPr>
        <w:t>Prudential Standard GPS 114 Capital Adequacy: Asset Risk Charge</w:t>
      </w:r>
      <w:r w:rsidRPr="00834109">
        <w:rPr>
          <w:sz w:val="24"/>
          <w:szCs w:val="24"/>
        </w:rPr>
        <w:t xml:space="preserve">. The portion of </w:t>
      </w:r>
      <w:r w:rsidR="004E55B8" w:rsidRPr="00834109">
        <w:rPr>
          <w:sz w:val="24"/>
          <w:szCs w:val="24"/>
        </w:rPr>
        <w:t xml:space="preserve">any </w:t>
      </w:r>
      <w:r w:rsidRPr="00834109">
        <w:rPr>
          <w:sz w:val="24"/>
          <w:szCs w:val="24"/>
        </w:rPr>
        <w:t xml:space="preserve">exposure which is not subject to the Asset Concentration Risk Charge </w:t>
      </w:r>
      <w:r w:rsidR="00763271" w:rsidRPr="00834109">
        <w:rPr>
          <w:sz w:val="24"/>
          <w:szCs w:val="24"/>
          <w:u w:val="single"/>
        </w:rPr>
        <w:t>must</w:t>
      </w:r>
      <w:r w:rsidRPr="00834109">
        <w:rPr>
          <w:sz w:val="24"/>
          <w:szCs w:val="24"/>
        </w:rPr>
        <w:t xml:space="preserve"> be subject to the Asset Risk Charge. </w:t>
      </w:r>
    </w:p>
    <w:p w14:paraId="629C6B0C" w14:textId="77777777" w:rsidR="00035BE1" w:rsidRPr="00834109" w:rsidRDefault="00035BE1" w:rsidP="006F2A29">
      <w:pPr>
        <w:pStyle w:val="BodyText"/>
        <w:rPr>
          <w:sz w:val="24"/>
          <w:szCs w:val="24"/>
        </w:rPr>
      </w:pPr>
      <w:r w:rsidRPr="00834109">
        <w:rPr>
          <w:sz w:val="24"/>
          <w:szCs w:val="24"/>
        </w:rPr>
        <w:t>If a look-through basis has been used for assets under GPS 114, the same look-through basis must be used for the purposes of this Prudential Standard.</w:t>
      </w:r>
    </w:p>
    <w:p w14:paraId="25C3A438" w14:textId="77777777" w:rsidR="0012194D" w:rsidRPr="00834109" w:rsidRDefault="0012194D" w:rsidP="0012194D">
      <w:pPr>
        <w:pStyle w:val="BodyText"/>
        <w:rPr>
          <w:sz w:val="24"/>
          <w:szCs w:val="24"/>
        </w:rPr>
      </w:pPr>
      <w:r w:rsidRPr="00834109">
        <w:rPr>
          <w:sz w:val="24"/>
          <w:szCs w:val="24"/>
        </w:rPr>
        <w:t xml:space="preserve">For </w:t>
      </w:r>
      <w:r w:rsidRPr="00834109">
        <w:rPr>
          <w:b/>
          <w:sz w:val="24"/>
          <w:szCs w:val="24"/>
        </w:rPr>
        <w:t>Category C insurers</w:t>
      </w:r>
      <w:r w:rsidRPr="00834109">
        <w:rPr>
          <w:sz w:val="24"/>
          <w:szCs w:val="24"/>
        </w:rPr>
        <w:t xml:space="preserve">, the Asset Concentration Risk Charge must be applied to the assets in Australia only of the Category C insurer, consistent with reporting standards made under the </w:t>
      </w:r>
      <w:r w:rsidRPr="00834109">
        <w:rPr>
          <w:i/>
          <w:sz w:val="24"/>
          <w:szCs w:val="24"/>
        </w:rPr>
        <w:t>Financial Sector (Collection of Data) Act 2001</w:t>
      </w:r>
      <w:r w:rsidRPr="00834109">
        <w:rPr>
          <w:sz w:val="24"/>
          <w:szCs w:val="24"/>
        </w:rPr>
        <w:t>.</w:t>
      </w:r>
    </w:p>
    <w:p w14:paraId="5D7FD1A8" w14:textId="77777777" w:rsidR="0090775F" w:rsidRPr="00834109" w:rsidRDefault="00D20304" w:rsidP="003C1E9C">
      <w:pPr>
        <w:pStyle w:val="Heading"/>
        <w:spacing w:before="120" w:after="240"/>
        <w:rPr>
          <w:rFonts w:ascii="Arial" w:hAnsi="Arial" w:cs="Arial"/>
          <w:bCs/>
          <w:sz w:val="24"/>
          <w:szCs w:val="24"/>
        </w:rPr>
      </w:pPr>
      <w:r w:rsidRPr="00834109">
        <w:rPr>
          <w:rFonts w:ascii="Arial" w:hAnsi="Arial" w:cs="Arial"/>
          <w:bCs/>
          <w:sz w:val="24"/>
          <w:szCs w:val="24"/>
        </w:rPr>
        <w:t>Definitions</w:t>
      </w:r>
    </w:p>
    <w:p w14:paraId="0B9B07A8" w14:textId="77777777" w:rsidR="00E176D4" w:rsidRPr="00834109" w:rsidRDefault="005D2440" w:rsidP="0090775F">
      <w:pPr>
        <w:pStyle w:val="BodyText"/>
        <w:rPr>
          <w:sz w:val="24"/>
          <w:szCs w:val="24"/>
        </w:rPr>
      </w:pPr>
      <w:r w:rsidRPr="00834109">
        <w:rPr>
          <w:sz w:val="24"/>
          <w:szCs w:val="24"/>
        </w:rPr>
        <w:t>T</w:t>
      </w:r>
      <w:r w:rsidR="00E176D4" w:rsidRPr="00834109">
        <w:rPr>
          <w:sz w:val="24"/>
          <w:szCs w:val="24"/>
        </w:rPr>
        <w:t xml:space="preserve">wo or more counterparties will form a </w:t>
      </w:r>
      <w:r w:rsidR="00752855" w:rsidRPr="00834109">
        <w:rPr>
          <w:sz w:val="24"/>
          <w:szCs w:val="24"/>
        </w:rPr>
        <w:t>‘</w:t>
      </w:r>
      <w:r w:rsidR="005E6F54" w:rsidRPr="00834109">
        <w:rPr>
          <w:sz w:val="24"/>
          <w:szCs w:val="24"/>
        </w:rPr>
        <w:t>group of related counterparties</w:t>
      </w:r>
      <w:r w:rsidR="00752855" w:rsidRPr="00834109">
        <w:rPr>
          <w:sz w:val="24"/>
          <w:szCs w:val="24"/>
        </w:rPr>
        <w:t>’</w:t>
      </w:r>
      <w:r w:rsidR="00E176D4" w:rsidRPr="00834109">
        <w:rPr>
          <w:sz w:val="24"/>
          <w:szCs w:val="24"/>
        </w:rPr>
        <w:t xml:space="preserve"> if they are linked by:</w:t>
      </w:r>
    </w:p>
    <w:p w14:paraId="5581618A" w14:textId="77777777" w:rsidR="00E176D4" w:rsidRPr="00834109" w:rsidRDefault="00E176D4" w:rsidP="00435DAF">
      <w:pPr>
        <w:pStyle w:val="BodyText"/>
        <w:numPr>
          <w:ilvl w:val="0"/>
          <w:numId w:val="2"/>
        </w:numPr>
        <w:rPr>
          <w:sz w:val="24"/>
          <w:szCs w:val="24"/>
        </w:rPr>
      </w:pPr>
      <w:r w:rsidRPr="00834109">
        <w:rPr>
          <w:sz w:val="24"/>
          <w:szCs w:val="24"/>
        </w:rPr>
        <w:t>cross guarantees;</w:t>
      </w:r>
    </w:p>
    <w:p w14:paraId="5F87DD19" w14:textId="77777777" w:rsidR="00E176D4" w:rsidRPr="00834109" w:rsidRDefault="00E176D4" w:rsidP="00435DAF">
      <w:pPr>
        <w:pStyle w:val="BodyText"/>
        <w:numPr>
          <w:ilvl w:val="0"/>
          <w:numId w:val="2"/>
        </w:numPr>
        <w:rPr>
          <w:sz w:val="24"/>
          <w:szCs w:val="24"/>
        </w:rPr>
      </w:pPr>
      <w:r w:rsidRPr="00834109">
        <w:rPr>
          <w:sz w:val="24"/>
          <w:szCs w:val="24"/>
        </w:rPr>
        <w:t>common ownership or management;</w:t>
      </w:r>
    </w:p>
    <w:p w14:paraId="7A39EC7C" w14:textId="77777777" w:rsidR="00E176D4" w:rsidRPr="00834109" w:rsidRDefault="00E176D4" w:rsidP="00435DAF">
      <w:pPr>
        <w:pStyle w:val="BodyText"/>
        <w:numPr>
          <w:ilvl w:val="0"/>
          <w:numId w:val="2"/>
        </w:numPr>
        <w:rPr>
          <w:sz w:val="24"/>
          <w:szCs w:val="24"/>
        </w:rPr>
      </w:pPr>
      <w:r w:rsidRPr="00834109">
        <w:rPr>
          <w:sz w:val="24"/>
          <w:szCs w:val="24"/>
        </w:rPr>
        <w:t xml:space="preserve">the ability of a counterparty to exercise control (defined in accordance with </w:t>
      </w:r>
      <w:r w:rsidR="002A30F6" w:rsidRPr="00834109">
        <w:rPr>
          <w:sz w:val="24"/>
          <w:szCs w:val="24"/>
        </w:rPr>
        <w:t xml:space="preserve">the </w:t>
      </w:r>
      <w:r w:rsidRPr="00834109">
        <w:rPr>
          <w:b/>
          <w:sz w:val="24"/>
          <w:szCs w:val="24"/>
        </w:rPr>
        <w:t>Australian Accounting Standards</w:t>
      </w:r>
      <w:r w:rsidRPr="00834109">
        <w:rPr>
          <w:sz w:val="24"/>
          <w:szCs w:val="24"/>
        </w:rPr>
        <w:t>) over the other(s), whe</w:t>
      </w:r>
      <w:r w:rsidR="002A30F6" w:rsidRPr="00834109">
        <w:rPr>
          <w:sz w:val="24"/>
          <w:szCs w:val="24"/>
        </w:rPr>
        <w:t>ther</w:t>
      </w:r>
      <w:r w:rsidRPr="00834109">
        <w:rPr>
          <w:sz w:val="24"/>
          <w:szCs w:val="24"/>
        </w:rPr>
        <w:t xml:space="preserve"> direct or indirect;</w:t>
      </w:r>
    </w:p>
    <w:p w14:paraId="1B323A2D" w14:textId="77777777" w:rsidR="00E176D4" w:rsidRPr="00834109" w:rsidRDefault="00E176D4" w:rsidP="00435DAF">
      <w:pPr>
        <w:pStyle w:val="BodyText"/>
        <w:numPr>
          <w:ilvl w:val="0"/>
          <w:numId w:val="2"/>
        </w:numPr>
        <w:rPr>
          <w:sz w:val="24"/>
          <w:szCs w:val="24"/>
        </w:rPr>
      </w:pPr>
      <w:r w:rsidRPr="00834109">
        <w:rPr>
          <w:sz w:val="24"/>
          <w:szCs w:val="24"/>
        </w:rPr>
        <w:t>financial interdependency such that the financial soundness of any of them may affect the financial soundness of the other(s); or</w:t>
      </w:r>
    </w:p>
    <w:p w14:paraId="70EE7DD4" w14:textId="77777777" w:rsidR="00E176D4" w:rsidRPr="00834109" w:rsidRDefault="00E176D4" w:rsidP="00435DAF">
      <w:pPr>
        <w:pStyle w:val="BodyText"/>
        <w:numPr>
          <w:ilvl w:val="0"/>
          <w:numId w:val="2"/>
        </w:numPr>
        <w:rPr>
          <w:sz w:val="24"/>
          <w:szCs w:val="24"/>
        </w:rPr>
      </w:pPr>
      <w:r w:rsidRPr="00834109">
        <w:rPr>
          <w:sz w:val="24"/>
          <w:szCs w:val="24"/>
        </w:rPr>
        <w:t xml:space="preserve">other connections or relationships </w:t>
      </w:r>
      <w:r w:rsidR="007526ED" w:rsidRPr="00834109">
        <w:rPr>
          <w:sz w:val="24"/>
          <w:szCs w:val="24"/>
        </w:rPr>
        <w:t xml:space="preserve">that </w:t>
      </w:r>
      <w:r w:rsidR="002A30F6" w:rsidRPr="00834109">
        <w:rPr>
          <w:sz w:val="24"/>
          <w:szCs w:val="24"/>
        </w:rPr>
        <w:t xml:space="preserve">exist between counterparties, </w:t>
      </w:r>
      <w:r w:rsidR="007526ED" w:rsidRPr="00834109">
        <w:rPr>
          <w:sz w:val="24"/>
          <w:szCs w:val="24"/>
        </w:rPr>
        <w:t xml:space="preserve">that </w:t>
      </w:r>
      <w:r w:rsidR="002A30F6" w:rsidRPr="00834109">
        <w:rPr>
          <w:sz w:val="24"/>
          <w:szCs w:val="24"/>
        </w:rPr>
        <w:t xml:space="preserve">in </w:t>
      </w:r>
      <w:r w:rsidRPr="00834109">
        <w:rPr>
          <w:sz w:val="24"/>
          <w:szCs w:val="24"/>
        </w:rPr>
        <w:t xml:space="preserve">the regulated institution’s assessment, </w:t>
      </w:r>
      <w:r w:rsidR="002A30F6" w:rsidRPr="00834109">
        <w:rPr>
          <w:sz w:val="24"/>
          <w:szCs w:val="24"/>
        </w:rPr>
        <w:t xml:space="preserve">constitute exposure to the counterparties as </w:t>
      </w:r>
      <w:r w:rsidRPr="00834109">
        <w:rPr>
          <w:sz w:val="24"/>
          <w:szCs w:val="24"/>
        </w:rPr>
        <w:t>a single risk.</w:t>
      </w:r>
    </w:p>
    <w:p w14:paraId="085E11AD" w14:textId="77777777" w:rsidR="00E176D4" w:rsidRPr="00834109" w:rsidRDefault="00E176D4" w:rsidP="00E176D4">
      <w:pPr>
        <w:pStyle w:val="BodyText"/>
        <w:rPr>
          <w:sz w:val="24"/>
          <w:szCs w:val="24"/>
        </w:rPr>
      </w:pPr>
      <w:bookmarkStart w:id="0" w:name="_Ref306123035"/>
      <w:r w:rsidRPr="00834109">
        <w:rPr>
          <w:sz w:val="24"/>
          <w:szCs w:val="24"/>
        </w:rPr>
        <w:t xml:space="preserve">In respect of any overseas entities within a Level 2 insurance group carrying on </w:t>
      </w:r>
      <w:r w:rsidRPr="00834109">
        <w:rPr>
          <w:b/>
          <w:sz w:val="24"/>
          <w:szCs w:val="24"/>
        </w:rPr>
        <w:t>international business</w:t>
      </w:r>
      <w:r w:rsidRPr="00834109">
        <w:rPr>
          <w:sz w:val="24"/>
          <w:szCs w:val="24"/>
        </w:rPr>
        <w:t>,</w:t>
      </w:r>
      <w:r w:rsidRPr="00834109">
        <w:rPr>
          <w:b/>
          <w:sz w:val="24"/>
          <w:szCs w:val="24"/>
        </w:rPr>
        <w:t xml:space="preserve"> </w:t>
      </w:r>
      <w:r w:rsidRPr="00834109">
        <w:rPr>
          <w:sz w:val="24"/>
          <w:szCs w:val="24"/>
        </w:rPr>
        <w:t>identification of asset or counterparty exposures is to be carried out on a best endeavours basis using information held by entities within the Level 2 insurance group, or otherwise publicly available information, in a manner consistent with the group’s documented risk management policies.</w:t>
      </w:r>
      <w:bookmarkEnd w:id="0"/>
    </w:p>
    <w:p w14:paraId="1BD8BD71" w14:textId="77777777" w:rsidR="00E176D4" w:rsidRPr="00834109" w:rsidRDefault="00E176D4" w:rsidP="006F2A29">
      <w:pPr>
        <w:pStyle w:val="BodyText"/>
        <w:rPr>
          <w:rFonts w:ascii="Arial" w:hAnsi="Arial"/>
          <w:bCs/>
          <w:sz w:val="24"/>
          <w:szCs w:val="24"/>
        </w:rPr>
      </w:pPr>
      <w:bookmarkStart w:id="1" w:name="_Ref337462191"/>
      <w:r w:rsidRPr="00834109">
        <w:rPr>
          <w:bCs/>
          <w:sz w:val="24"/>
          <w:szCs w:val="24"/>
        </w:rPr>
        <w:lastRenderedPageBreak/>
        <w:t xml:space="preserve">For the purposes of the limits in </w:t>
      </w:r>
      <w:r w:rsidR="00E26692" w:rsidRPr="00834109">
        <w:rPr>
          <w:bCs/>
          <w:sz w:val="24"/>
          <w:szCs w:val="24"/>
        </w:rPr>
        <w:t xml:space="preserve">respect of non-reinsurance exposures in </w:t>
      </w:r>
      <w:r w:rsidRPr="00834109">
        <w:rPr>
          <w:bCs/>
          <w:sz w:val="24"/>
          <w:szCs w:val="24"/>
        </w:rPr>
        <w:t xml:space="preserve">Attachment A, exposures are classified depending on whether </w:t>
      </w:r>
      <w:r w:rsidR="002A30F6" w:rsidRPr="00834109">
        <w:rPr>
          <w:bCs/>
          <w:sz w:val="24"/>
          <w:szCs w:val="24"/>
        </w:rPr>
        <w:t xml:space="preserve">or not </w:t>
      </w:r>
      <w:r w:rsidRPr="00834109">
        <w:rPr>
          <w:bCs/>
          <w:sz w:val="24"/>
          <w:szCs w:val="24"/>
        </w:rPr>
        <w:t xml:space="preserve">the counterparty is </w:t>
      </w:r>
      <w:r w:rsidR="001D5FDA">
        <w:rPr>
          <w:bCs/>
          <w:sz w:val="24"/>
          <w:szCs w:val="24"/>
        </w:rPr>
        <w:t xml:space="preserve">APRA-regulated or </w:t>
      </w:r>
      <w:r w:rsidR="00434CD9" w:rsidRPr="00834109">
        <w:rPr>
          <w:bCs/>
          <w:sz w:val="24"/>
          <w:szCs w:val="24"/>
        </w:rPr>
        <w:t xml:space="preserve">part of an </w:t>
      </w:r>
      <w:r w:rsidR="00763271" w:rsidRPr="00834109">
        <w:rPr>
          <w:bCs/>
          <w:sz w:val="24"/>
          <w:szCs w:val="24"/>
        </w:rPr>
        <w:t>APRA-regulated group</w:t>
      </w:r>
      <w:r w:rsidRPr="00834109">
        <w:rPr>
          <w:bCs/>
          <w:sz w:val="24"/>
          <w:szCs w:val="24"/>
        </w:rPr>
        <w:t>.</w:t>
      </w:r>
      <w:r w:rsidRPr="00834109">
        <w:rPr>
          <w:b/>
          <w:bCs/>
          <w:sz w:val="24"/>
          <w:szCs w:val="24"/>
        </w:rPr>
        <w:t xml:space="preserve"> </w:t>
      </w:r>
      <w:r w:rsidR="00434CD9" w:rsidRPr="00834109">
        <w:rPr>
          <w:bCs/>
          <w:sz w:val="24"/>
          <w:szCs w:val="24"/>
        </w:rPr>
        <w:t>A counterparty</w:t>
      </w:r>
      <w:r w:rsidR="001D5FDA">
        <w:rPr>
          <w:bCs/>
          <w:sz w:val="24"/>
          <w:szCs w:val="24"/>
        </w:rPr>
        <w:t xml:space="preserve"> meets this requirement if the specific counterparty or its</w:t>
      </w:r>
      <w:r w:rsidR="00434CD9" w:rsidRPr="00834109">
        <w:rPr>
          <w:bCs/>
          <w:sz w:val="24"/>
          <w:szCs w:val="24"/>
        </w:rPr>
        <w:t xml:space="preserve"> </w:t>
      </w:r>
      <w:r w:rsidR="002A30F6" w:rsidRPr="00834109">
        <w:rPr>
          <w:bCs/>
          <w:sz w:val="24"/>
          <w:szCs w:val="24"/>
        </w:rPr>
        <w:t>ultimate parent is</w:t>
      </w:r>
      <w:r w:rsidRPr="00834109">
        <w:rPr>
          <w:bCs/>
          <w:sz w:val="24"/>
          <w:szCs w:val="24"/>
        </w:rPr>
        <w:t>:</w:t>
      </w:r>
      <w:bookmarkEnd w:id="1"/>
      <w:r w:rsidRPr="00834109">
        <w:rPr>
          <w:bCs/>
          <w:sz w:val="24"/>
          <w:szCs w:val="24"/>
        </w:rPr>
        <w:t xml:space="preserve"> </w:t>
      </w:r>
    </w:p>
    <w:p w14:paraId="64E8563D" w14:textId="77777777" w:rsidR="00E176D4" w:rsidRPr="00834109" w:rsidRDefault="00E176D4" w:rsidP="00435DAF">
      <w:pPr>
        <w:pStyle w:val="BodyText"/>
        <w:numPr>
          <w:ilvl w:val="0"/>
          <w:numId w:val="7"/>
        </w:numPr>
        <w:ind w:left="1134" w:hanging="567"/>
        <w:rPr>
          <w:rFonts w:ascii="Arial" w:hAnsi="Arial"/>
          <w:bCs/>
          <w:sz w:val="24"/>
          <w:szCs w:val="24"/>
        </w:rPr>
      </w:pPr>
      <w:r w:rsidRPr="00834109">
        <w:rPr>
          <w:bCs/>
          <w:sz w:val="24"/>
          <w:szCs w:val="24"/>
        </w:rPr>
        <w:t xml:space="preserve">authorised by APRA under the Act as a general insurer or </w:t>
      </w:r>
      <w:r w:rsidRPr="00834109">
        <w:rPr>
          <w:b/>
          <w:bCs/>
          <w:sz w:val="24"/>
          <w:szCs w:val="24"/>
        </w:rPr>
        <w:t>authorised NOHC</w:t>
      </w:r>
      <w:r w:rsidRPr="00834109">
        <w:rPr>
          <w:bCs/>
          <w:sz w:val="24"/>
          <w:szCs w:val="24"/>
        </w:rPr>
        <w:t xml:space="preserve">; or </w:t>
      </w:r>
    </w:p>
    <w:p w14:paraId="40415939" w14:textId="77777777" w:rsidR="0090775F" w:rsidRPr="00834109" w:rsidRDefault="00E176D4" w:rsidP="00435DAF">
      <w:pPr>
        <w:pStyle w:val="BodyText"/>
        <w:numPr>
          <w:ilvl w:val="0"/>
          <w:numId w:val="7"/>
        </w:numPr>
        <w:ind w:left="1134" w:hanging="567"/>
        <w:rPr>
          <w:bCs/>
          <w:sz w:val="24"/>
          <w:szCs w:val="24"/>
        </w:rPr>
      </w:pPr>
      <w:r w:rsidRPr="00834109">
        <w:rPr>
          <w:bCs/>
          <w:sz w:val="24"/>
          <w:szCs w:val="24"/>
        </w:rPr>
        <w:t xml:space="preserve">authorised by APRA under the </w:t>
      </w:r>
      <w:r w:rsidRPr="00834109">
        <w:rPr>
          <w:bCs/>
          <w:i/>
          <w:sz w:val="24"/>
          <w:szCs w:val="24"/>
        </w:rPr>
        <w:t>Banking Act 1959</w:t>
      </w:r>
      <w:r w:rsidRPr="00834109">
        <w:rPr>
          <w:bCs/>
          <w:sz w:val="24"/>
          <w:szCs w:val="24"/>
        </w:rPr>
        <w:t xml:space="preserve"> as a</w:t>
      </w:r>
      <w:r w:rsidR="00434CD9" w:rsidRPr="00834109">
        <w:rPr>
          <w:bCs/>
          <w:sz w:val="24"/>
          <w:szCs w:val="24"/>
        </w:rPr>
        <w:t>n</w:t>
      </w:r>
      <w:r w:rsidRPr="00834109">
        <w:rPr>
          <w:bCs/>
          <w:sz w:val="24"/>
          <w:szCs w:val="24"/>
        </w:rPr>
        <w:t xml:space="preserve"> </w:t>
      </w:r>
      <w:r w:rsidRPr="00834109">
        <w:rPr>
          <w:b/>
          <w:bCs/>
          <w:sz w:val="24"/>
          <w:szCs w:val="24"/>
        </w:rPr>
        <w:t xml:space="preserve">authorised deposit-taking institution </w:t>
      </w:r>
      <w:r w:rsidR="00434CD9" w:rsidRPr="00834109">
        <w:rPr>
          <w:bCs/>
          <w:sz w:val="24"/>
          <w:szCs w:val="24"/>
        </w:rPr>
        <w:t>(ADI)</w:t>
      </w:r>
      <w:r w:rsidR="00434CD9" w:rsidRPr="00834109">
        <w:rPr>
          <w:b/>
          <w:bCs/>
          <w:sz w:val="24"/>
          <w:szCs w:val="24"/>
        </w:rPr>
        <w:t xml:space="preserve"> </w:t>
      </w:r>
      <w:r w:rsidRPr="00834109">
        <w:rPr>
          <w:bCs/>
          <w:sz w:val="24"/>
          <w:szCs w:val="24"/>
        </w:rPr>
        <w:t>or authorised NOHC</w:t>
      </w:r>
      <w:r w:rsidR="00434CD9" w:rsidRPr="00834109">
        <w:rPr>
          <w:bCs/>
          <w:sz w:val="24"/>
          <w:szCs w:val="24"/>
        </w:rPr>
        <w:t xml:space="preserve"> of an ADI</w:t>
      </w:r>
      <w:r w:rsidR="0090775F" w:rsidRPr="00834109">
        <w:rPr>
          <w:bCs/>
          <w:sz w:val="24"/>
          <w:szCs w:val="24"/>
        </w:rPr>
        <w:t>; or</w:t>
      </w:r>
    </w:p>
    <w:p w14:paraId="2608AB3D" w14:textId="77777777" w:rsidR="00E176D4" w:rsidRPr="00834109" w:rsidRDefault="0090775F" w:rsidP="00435DAF">
      <w:pPr>
        <w:pStyle w:val="BodyText"/>
        <w:numPr>
          <w:ilvl w:val="0"/>
          <w:numId w:val="7"/>
        </w:numPr>
        <w:ind w:left="1134" w:hanging="567"/>
        <w:rPr>
          <w:rFonts w:ascii="Arial" w:hAnsi="Arial"/>
          <w:bCs/>
          <w:sz w:val="24"/>
          <w:szCs w:val="24"/>
        </w:rPr>
      </w:pPr>
      <w:r w:rsidRPr="00834109">
        <w:rPr>
          <w:bCs/>
          <w:sz w:val="24"/>
          <w:szCs w:val="24"/>
        </w:rPr>
        <w:t xml:space="preserve">registered by APRA under the </w:t>
      </w:r>
      <w:r w:rsidRPr="00834109">
        <w:rPr>
          <w:bCs/>
          <w:i/>
          <w:sz w:val="24"/>
          <w:szCs w:val="24"/>
        </w:rPr>
        <w:t>Life Insurance Act 1995</w:t>
      </w:r>
      <w:r w:rsidRPr="00834109">
        <w:rPr>
          <w:b/>
          <w:bCs/>
          <w:i/>
          <w:sz w:val="24"/>
          <w:szCs w:val="24"/>
        </w:rPr>
        <w:t xml:space="preserve"> </w:t>
      </w:r>
      <w:r w:rsidRPr="00834109">
        <w:rPr>
          <w:bCs/>
          <w:sz w:val="24"/>
          <w:szCs w:val="24"/>
        </w:rPr>
        <w:t>as a life company</w:t>
      </w:r>
      <w:r w:rsidR="00141736">
        <w:rPr>
          <w:bCs/>
          <w:sz w:val="24"/>
          <w:szCs w:val="24"/>
        </w:rPr>
        <w:t xml:space="preserve"> or authorised NOHC of a life company</w:t>
      </w:r>
      <w:r w:rsidR="00A111C3" w:rsidRPr="00834109">
        <w:rPr>
          <w:bCs/>
          <w:sz w:val="24"/>
          <w:szCs w:val="24"/>
        </w:rPr>
        <w:t>.</w:t>
      </w:r>
    </w:p>
    <w:p w14:paraId="359DFA3C" w14:textId="77777777" w:rsidR="00E176D4" w:rsidRPr="00834109" w:rsidRDefault="00E176D4" w:rsidP="00E176D4">
      <w:pPr>
        <w:pStyle w:val="BodyText"/>
        <w:rPr>
          <w:sz w:val="24"/>
          <w:szCs w:val="24"/>
        </w:rPr>
      </w:pPr>
      <w:bookmarkStart w:id="2" w:name="_Ref337614954"/>
      <w:r w:rsidRPr="00834109">
        <w:rPr>
          <w:sz w:val="24"/>
          <w:szCs w:val="24"/>
        </w:rPr>
        <w:t xml:space="preserve">For the purposes of the limits in </w:t>
      </w:r>
      <w:r w:rsidR="0090775F" w:rsidRPr="00834109">
        <w:rPr>
          <w:sz w:val="24"/>
          <w:szCs w:val="24"/>
        </w:rPr>
        <w:t xml:space="preserve">Table 2(c) of </w:t>
      </w:r>
      <w:r w:rsidRPr="00834109">
        <w:rPr>
          <w:sz w:val="24"/>
          <w:szCs w:val="24"/>
        </w:rPr>
        <w:t xml:space="preserve">Attachment A, exposures are classified as either short-term or long-term. </w:t>
      </w:r>
      <w:r w:rsidR="005017A1" w:rsidRPr="00834109">
        <w:rPr>
          <w:sz w:val="24"/>
          <w:szCs w:val="24"/>
        </w:rPr>
        <w:t>‘</w:t>
      </w:r>
      <w:r w:rsidRPr="00834109">
        <w:rPr>
          <w:sz w:val="24"/>
          <w:szCs w:val="24"/>
        </w:rPr>
        <w:t>Short-term</w:t>
      </w:r>
      <w:r w:rsidR="005017A1" w:rsidRPr="00834109">
        <w:rPr>
          <w:sz w:val="24"/>
          <w:szCs w:val="24"/>
        </w:rPr>
        <w:t>’</w:t>
      </w:r>
      <w:r w:rsidRPr="00834109">
        <w:rPr>
          <w:sz w:val="24"/>
          <w:szCs w:val="24"/>
        </w:rPr>
        <w:t xml:space="preserve"> means a residual maturity of less than or equal to one year. </w:t>
      </w:r>
      <w:r w:rsidR="005017A1" w:rsidRPr="00834109">
        <w:rPr>
          <w:sz w:val="24"/>
          <w:szCs w:val="24"/>
        </w:rPr>
        <w:t>‘</w:t>
      </w:r>
      <w:r w:rsidRPr="00834109">
        <w:rPr>
          <w:sz w:val="24"/>
          <w:szCs w:val="24"/>
        </w:rPr>
        <w:t>Long-term</w:t>
      </w:r>
      <w:r w:rsidR="005017A1" w:rsidRPr="00834109">
        <w:rPr>
          <w:sz w:val="24"/>
          <w:szCs w:val="24"/>
        </w:rPr>
        <w:t>’</w:t>
      </w:r>
      <w:r w:rsidRPr="00834109">
        <w:rPr>
          <w:sz w:val="24"/>
          <w:szCs w:val="24"/>
        </w:rPr>
        <w:t xml:space="preserve"> means perpetual or a residual maturity of greater than one year.</w:t>
      </w:r>
      <w:bookmarkEnd w:id="2"/>
    </w:p>
    <w:p w14:paraId="089596AF" w14:textId="77777777" w:rsidR="006F2A29" w:rsidRPr="00834109" w:rsidRDefault="006F2A29" w:rsidP="003C1E9C">
      <w:pPr>
        <w:pStyle w:val="Heading"/>
        <w:spacing w:before="120" w:after="240"/>
        <w:rPr>
          <w:rFonts w:ascii="Arial" w:hAnsi="Arial" w:cs="Arial"/>
          <w:bCs/>
          <w:sz w:val="24"/>
          <w:szCs w:val="24"/>
        </w:rPr>
      </w:pPr>
      <w:r w:rsidRPr="00834109">
        <w:rPr>
          <w:rFonts w:ascii="Arial" w:hAnsi="Arial" w:cs="Arial"/>
          <w:bCs/>
          <w:sz w:val="24"/>
          <w:szCs w:val="24"/>
        </w:rPr>
        <w:t>Asset Concentration Risk Charge calculation</w:t>
      </w:r>
    </w:p>
    <w:p w14:paraId="6DC2649B" w14:textId="77777777" w:rsidR="00257C94" w:rsidRPr="00834109" w:rsidRDefault="006F2A29" w:rsidP="006F2A29">
      <w:pPr>
        <w:pStyle w:val="BodyText"/>
        <w:rPr>
          <w:sz w:val="24"/>
          <w:szCs w:val="24"/>
        </w:rPr>
      </w:pPr>
      <w:r w:rsidRPr="00834109">
        <w:rPr>
          <w:sz w:val="24"/>
          <w:szCs w:val="24"/>
        </w:rPr>
        <w:t xml:space="preserve">The </w:t>
      </w:r>
      <w:r w:rsidR="003F5383" w:rsidRPr="00834109">
        <w:rPr>
          <w:sz w:val="24"/>
          <w:szCs w:val="24"/>
        </w:rPr>
        <w:t>A</w:t>
      </w:r>
      <w:r w:rsidRPr="00834109">
        <w:rPr>
          <w:sz w:val="24"/>
          <w:szCs w:val="24"/>
        </w:rPr>
        <w:t xml:space="preserve">sset </w:t>
      </w:r>
      <w:r w:rsidR="003F5383" w:rsidRPr="00834109">
        <w:rPr>
          <w:sz w:val="24"/>
          <w:szCs w:val="24"/>
        </w:rPr>
        <w:t>C</w:t>
      </w:r>
      <w:r w:rsidRPr="00834109">
        <w:rPr>
          <w:sz w:val="24"/>
          <w:szCs w:val="24"/>
        </w:rPr>
        <w:t xml:space="preserve">oncentration </w:t>
      </w:r>
      <w:r w:rsidR="003F5383" w:rsidRPr="00834109">
        <w:rPr>
          <w:sz w:val="24"/>
          <w:szCs w:val="24"/>
        </w:rPr>
        <w:t>R</w:t>
      </w:r>
      <w:r w:rsidRPr="00834109">
        <w:rPr>
          <w:sz w:val="24"/>
          <w:szCs w:val="24"/>
        </w:rPr>
        <w:t xml:space="preserve">isk </w:t>
      </w:r>
      <w:r w:rsidR="003F5383" w:rsidRPr="00834109">
        <w:rPr>
          <w:sz w:val="24"/>
          <w:szCs w:val="24"/>
        </w:rPr>
        <w:t>C</w:t>
      </w:r>
      <w:r w:rsidRPr="00834109">
        <w:rPr>
          <w:sz w:val="24"/>
          <w:szCs w:val="24"/>
        </w:rPr>
        <w:t xml:space="preserve">harge </w:t>
      </w:r>
      <w:r w:rsidR="00D912BE" w:rsidRPr="00834109">
        <w:rPr>
          <w:sz w:val="24"/>
          <w:szCs w:val="24"/>
        </w:rPr>
        <w:t xml:space="preserve">for </w:t>
      </w:r>
      <w:r w:rsidRPr="00834109">
        <w:rPr>
          <w:sz w:val="24"/>
          <w:szCs w:val="24"/>
        </w:rPr>
        <w:t xml:space="preserve">each exposure of a regulated institution to a particular asset, counterparty or group of related counterparties </w:t>
      </w:r>
      <w:r w:rsidR="00257C94" w:rsidRPr="00834109">
        <w:rPr>
          <w:sz w:val="24"/>
          <w:szCs w:val="24"/>
        </w:rPr>
        <w:t xml:space="preserve">is the amount by which this exposure </w:t>
      </w:r>
      <w:r w:rsidRPr="00834109">
        <w:rPr>
          <w:sz w:val="24"/>
          <w:szCs w:val="24"/>
        </w:rPr>
        <w:t>exceed</w:t>
      </w:r>
      <w:r w:rsidR="00257C94" w:rsidRPr="00834109">
        <w:rPr>
          <w:sz w:val="24"/>
          <w:szCs w:val="24"/>
        </w:rPr>
        <w:t>s</w:t>
      </w:r>
      <w:r w:rsidRPr="00834109">
        <w:rPr>
          <w:sz w:val="24"/>
          <w:szCs w:val="24"/>
        </w:rPr>
        <w:t xml:space="preserve"> </w:t>
      </w:r>
      <w:r w:rsidR="00257C94" w:rsidRPr="00834109">
        <w:rPr>
          <w:sz w:val="24"/>
          <w:szCs w:val="24"/>
        </w:rPr>
        <w:t>t</w:t>
      </w:r>
      <w:r w:rsidRPr="00834109">
        <w:rPr>
          <w:sz w:val="24"/>
          <w:szCs w:val="24"/>
        </w:rPr>
        <w:t xml:space="preserve">he limits set out in Attachment A.  Separate treatment applies for </w:t>
      </w:r>
      <w:r w:rsidR="00763271" w:rsidRPr="00834109">
        <w:rPr>
          <w:sz w:val="24"/>
          <w:szCs w:val="24"/>
        </w:rPr>
        <w:t>reinsurance exposures</w:t>
      </w:r>
      <w:r w:rsidRPr="00834109">
        <w:rPr>
          <w:sz w:val="24"/>
          <w:szCs w:val="24"/>
        </w:rPr>
        <w:t xml:space="preserve"> and </w:t>
      </w:r>
      <w:r w:rsidR="00763271" w:rsidRPr="00834109">
        <w:rPr>
          <w:sz w:val="24"/>
          <w:szCs w:val="24"/>
        </w:rPr>
        <w:t>non-reinsurance exposures</w:t>
      </w:r>
      <w:r w:rsidRPr="00834109">
        <w:rPr>
          <w:sz w:val="24"/>
          <w:szCs w:val="24"/>
        </w:rPr>
        <w:t>.</w:t>
      </w:r>
      <w:r w:rsidR="00257C94" w:rsidRPr="00834109">
        <w:rPr>
          <w:sz w:val="24"/>
          <w:szCs w:val="24"/>
        </w:rPr>
        <w:t xml:space="preserve"> A differing treatment also applies for collateral, guarantees and </w:t>
      </w:r>
      <w:r w:rsidR="00257C94" w:rsidRPr="00834109">
        <w:rPr>
          <w:b/>
          <w:sz w:val="24"/>
          <w:szCs w:val="24"/>
        </w:rPr>
        <w:t>reinsurance recoverables</w:t>
      </w:r>
      <w:r w:rsidR="00257C94" w:rsidRPr="00834109">
        <w:rPr>
          <w:sz w:val="24"/>
          <w:szCs w:val="24"/>
        </w:rPr>
        <w:t xml:space="preserve"> </w:t>
      </w:r>
      <w:r w:rsidR="000D55D7" w:rsidRPr="00834109">
        <w:rPr>
          <w:sz w:val="24"/>
          <w:szCs w:val="24"/>
        </w:rPr>
        <w:t xml:space="preserve">due </w:t>
      </w:r>
      <w:r w:rsidR="00257C94" w:rsidRPr="00834109">
        <w:rPr>
          <w:sz w:val="24"/>
          <w:szCs w:val="24"/>
        </w:rPr>
        <w:t xml:space="preserve">from </w:t>
      </w:r>
      <w:r w:rsidR="00763271" w:rsidRPr="00834109">
        <w:rPr>
          <w:b/>
          <w:sz w:val="24"/>
          <w:szCs w:val="24"/>
        </w:rPr>
        <w:t>non-APRA-authorised reinsurers</w:t>
      </w:r>
      <w:r w:rsidR="00257C94" w:rsidRPr="00834109">
        <w:rPr>
          <w:sz w:val="24"/>
          <w:szCs w:val="24"/>
        </w:rPr>
        <w:t xml:space="preserve"> as set out in paragraphs </w:t>
      </w:r>
      <w:r w:rsidR="001E7E7B" w:rsidRPr="00834109">
        <w:rPr>
          <w:sz w:val="24"/>
          <w:szCs w:val="24"/>
        </w:rPr>
        <w:fldChar w:fldCharType="begin"/>
      </w:r>
      <w:r w:rsidR="00257C94" w:rsidRPr="00834109">
        <w:rPr>
          <w:sz w:val="24"/>
          <w:szCs w:val="24"/>
        </w:rPr>
        <w:instrText xml:space="preserve"> REF _Ref308426586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22</w:t>
      </w:r>
      <w:r w:rsidR="001E7E7B" w:rsidRPr="00834109">
        <w:rPr>
          <w:sz w:val="24"/>
          <w:szCs w:val="24"/>
        </w:rPr>
        <w:fldChar w:fldCharType="end"/>
      </w:r>
      <w:r w:rsidR="00257C94" w:rsidRPr="00834109">
        <w:rPr>
          <w:sz w:val="24"/>
          <w:szCs w:val="24"/>
        </w:rPr>
        <w:t xml:space="preserve"> to</w:t>
      </w:r>
      <w:r w:rsidR="000D6E5F" w:rsidRPr="00834109">
        <w:rPr>
          <w:sz w:val="24"/>
          <w:szCs w:val="24"/>
        </w:rPr>
        <w:t xml:space="preserve"> </w:t>
      </w:r>
      <w:r w:rsidR="001E7E7B" w:rsidRPr="00834109">
        <w:rPr>
          <w:sz w:val="24"/>
          <w:szCs w:val="24"/>
        </w:rPr>
        <w:fldChar w:fldCharType="begin"/>
      </w:r>
      <w:r w:rsidR="000D6E5F" w:rsidRPr="00834109">
        <w:rPr>
          <w:sz w:val="24"/>
          <w:szCs w:val="24"/>
        </w:rPr>
        <w:instrText xml:space="preserve"> REF _Ref324261909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34</w:t>
      </w:r>
      <w:r w:rsidR="001E7E7B" w:rsidRPr="00834109">
        <w:rPr>
          <w:sz w:val="24"/>
          <w:szCs w:val="24"/>
        </w:rPr>
        <w:fldChar w:fldCharType="end"/>
      </w:r>
      <w:r w:rsidR="00257C94" w:rsidRPr="00834109">
        <w:rPr>
          <w:sz w:val="24"/>
          <w:szCs w:val="24"/>
        </w:rPr>
        <w:t>.</w:t>
      </w:r>
    </w:p>
    <w:p w14:paraId="559A6E84" w14:textId="77777777" w:rsidR="00E176D4" w:rsidRPr="00834109" w:rsidRDefault="00E176D4" w:rsidP="00E176D4">
      <w:pPr>
        <w:pStyle w:val="BodyText"/>
        <w:rPr>
          <w:sz w:val="24"/>
          <w:szCs w:val="24"/>
        </w:rPr>
      </w:pPr>
      <w:r w:rsidRPr="00834109">
        <w:rPr>
          <w:sz w:val="24"/>
          <w:szCs w:val="24"/>
        </w:rPr>
        <w:t xml:space="preserve">For </w:t>
      </w:r>
      <w:r w:rsidR="008B322E" w:rsidRPr="00834109">
        <w:rPr>
          <w:sz w:val="24"/>
          <w:szCs w:val="24"/>
        </w:rPr>
        <w:t xml:space="preserve">non-reinsurance </w:t>
      </w:r>
      <w:r w:rsidRPr="00834109">
        <w:rPr>
          <w:sz w:val="24"/>
          <w:szCs w:val="24"/>
        </w:rPr>
        <w:t xml:space="preserve">exposures to unrelated parties that are </w:t>
      </w:r>
      <w:r w:rsidR="002A30F6" w:rsidRPr="00834109">
        <w:rPr>
          <w:sz w:val="24"/>
          <w:szCs w:val="24"/>
        </w:rPr>
        <w:t xml:space="preserve">part of an </w:t>
      </w:r>
      <w:r w:rsidRPr="00834109">
        <w:rPr>
          <w:sz w:val="24"/>
          <w:szCs w:val="24"/>
        </w:rPr>
        <w:t xml:space="preserve">APRA-regulated </w:t>
      </w:r>
      <w:r w:rsidR="002A30F6" w:rsidRPr="00834109">
        <w:rPr>
          <w:sz w:val="24"/>
          <w:szCs w:val="24"/>
        </w:rPr>
        <w:t xml:space="preserve">group </w:t>
      </w:r>
      <w:r w:rsidRPr="00834109">
        <w:rPr>
          <w:sz w:val="24"/>
          <w:szCs w:val="24"/>
        </w:rPr>
        <w:t xml:space="preserve">(Table 2(c) of Attachment A), the </w:t>
      </w:r>
      <w:r w:rsidR="003F5383" w:rsidRPr="00834109">
        <w:rPr>
          <w:sz w:val="24"/>
          <w:szCs w:val="24"/>
        </w:rPr>
        <w:t>A</w:t>
      </w:r>
      <w:r w:rsidRPr="00834109">
        <w:rPr>
          <w:sz w:val="24"/>
          <w:szCs w:val="24"/>
        </w:rPr>
        <w:t xml:space="preserve">sset </w:t>
      </w:r>
      <w:r w:rsidR="003F5383" w:rsidRPr="00834109">
        <w:rPr>
          <w:sz w:val="24"/>
          <w:szCs w:val="24"/>
        </w:rPr>
        <w:t>C</w:t>
      </w:r>
      <w:r w:rsidRPr="00834109">
        <w:rPr>
          <w:sz w:val="24"/>
          <w:szCs w:val="24"/>
        </w:rPr>
        <w:t xml:space="preserve">oncentration </w:t>
      </w:r>
      <w:r w:rsidR="003F5383" w:rsidRPr="00834109">
        <w:rPr>
          <w:sz w:val="24"/>
          <w:szCs w:val="24"/>
        </w:rPr>
        <w:t>R</w:t>
      </w:r>
      <w:r w:rsidRPr="00834109">
        <w:rPr>
          <w:sz w:val="24"/>
          <w:szCs w:val="24"/>
        </w:rPr>
        <w:t xml:space="preserve">isk </w:t>
      </w:r>
      <w:r w:rsidR="003F5383" w:rsidRPr="00834109">
        <w:rPr>
          <w:sz w:val="24"/>
          <w:szCs w:val="24"/>
        </w:rPr>
        <w:t>C</w:t>
      </w:r>
      <w:r w:rsidRPr="00834109">
        <w:rPr>
          <w:sz w:val="24"/>
          <w:szCs w:val="24"/>
        </w:rPr>
        <w:t>harge is calculated as the maximum amount after applying each of the sub-limits to the relevant exposures.</w:t>
      </w:r>
    </w:p>
    <w:p w14:paraId="208EA07C" w14:textId="77777777" w:rsidR="00080B06" w:rsidRPr="00834109" w:rsidRDefault="00E176D4" w:rsidP="00E176D4">
      <w:pPr>
        <w:pStyle w:val="BodyText"/>
        <w:rPr>
          <w:sz w:val="24"/>
          <w:szCs w:val="24"/>
        </w:rPr>
      </w:pPr>
      <w:r w:rsidRPr="00834109">
        <w:rPr>
          <w:sz w:val="24"/>
          <w:szCs w:val="24"/>
        </w:rPr>
        <w:t xml:space="preserve">In the case of </w:t>
      </w:r>
      <w:r w:rsidR="00257C94" w:rsidRPr="00834109">
        <w:rPr>
          <w:sz w:val="24"/>
          <w:szCs w:val="24"/>
        </w:rPr>
        <w:t xml:space="preserve">reinsurance </w:t>
      </w:r>
      <w:r w:rsidRPr="00834109">
        <w:rPr>
          <w:sz w:val="24"/>
          <w:szCs w:val="24"/>
        </w:rPr>
        <w:t xml:space="preserve">exposures (both on-balance and off-balance sheet) to a group of related counterparties, exposures </w:t>
      </w:r>
      <w:r w:rsidR="00257C94" w:rsidRPr="00834109">
        <w:rPr>
          <w:sz w:val="24"/>
          <w:szCs w:val="24"/>
        </w:rPr>
        <w:t>need to be compared and aggregated against each of the limits in Table 1 of Attachment A. This means that</w:t>
      </w:r>
      <w:r w:rsidR="00080B06" w:rsidRPr="00834109">
        <w:rPr>
          <w:sz w:val="24"/>
          <w:szCs w:val="24"/>
        </w:rPr>
        <w:t>:</w:t>
      </w:r>
      <w:r w:rsidR="00257C94" w:rsidRPr="00834109">
        <w:rPr>
          <w:sz w:val="24"/>
          <w:szCs w:val="24"/>
        </w:rPr>
        <w:t xml:space="preserve"> </w:t>
      </w:r>
    </w:p>
    <w:p w14:paraId="1AAF896B" w14:textId="77777777" w:rsidR="00080B06" w:rsidRPr="00834109" w:rsidRDefault="008B322E" w:rsidP="00435DAF">
      <w:pPr>
        <w:pStyle w:val="BodyText"/>
        <w:numPr>
          <w:ilvl w:val="1"/>
          <w:numId w:val="2"/>
        </w:numPr>
        <w:rPr>
          <w:sz w:val="24"/>
          <w:szCs w:val="24"/>
        </w:rPr>
      </w:pPr>
      <w:r w:rsidRPr="00834109">
        <w:rPr>
          <w:sz w:val="24"/>
          <w:szCs w:val="24"/>
        </w:rPr>
        <w:t xml:space="preserve">reinsurance </w:t>
      </w:r>
      <w:r w:rsidR="00257C94" w:rsidRPr="00834109">
        <w:rPr>
          <w:sz w:val="24"/>
          <w:szCs w:val="24"/>
        </w:rPr>
        <w:t xml:space="preserve">exposures within the group that have a counterparty grade of 5 or below are compared to the limit </w:t>
      </w:r>
      <w:r w:rsidR="000C41E3" w:rsidRPr="00834109">
        <w:rPr>
          <w:sz w:val="24"/>
          <w:szCs w:val="24"/>
        </w:rPr>
        <w:t xml:space="preserve">(Table 1(c)) </w:t>
      </w:r>
      <w:r w:rsidR="00257C94" w:rsidRPr="00834109">
        <w:rPr>
          <w:sz w:val="24"/>
          <w:szCs w:val="24"/>
        </w:rPr>
        <w:t xml:space="preserve">and an </w:t>
      </w:r>
      <w:r w:rsidR="001A19F4" w:rsidRPr="00834109">
        <w:rPr>
          <w:sz w:val="24"/>
          <w:szCs w:val="24"/>
        </w:rPr>
        <w:t xml:space="preserve">amount </w:t>
      </w:r>
      <w:r w:rsidR="00257C94" w:rsidRPr="00834109">
        <w:rPr>
          <w:sz w:val="24"/>
          <w:szCs w:val="24"/>
        </w:rPr>
        <w:t>is determined</w:t>
      </w:r>
      <w:r w:rsidR="00080B06" w:rsidRPr="00834109">
        <w:rPr>
          <w:sz w:val="24"/>
          <w:szCs w:val="24"/>
        </w:rPr>
        <w:t>;</w:t>
      </w:r>
    </w:p>
    <w:p w14:paraId="5B379593" w14:textId="77777777" w:rsidR="00080B06" w:rsidRPr="00834109" w:rsidRDefault="00257C94" w:rsidP="00435DAF">
      <w:pPr>
        <w:pStyle w:val="BodyText"/>
        <w:numPr>
          <w:ilvl w:val="1"/>
          <w:numId w:val="2"/>
        </w:numPr>
        <w:rPr>
          <w:sz w:val="24"/>
          <w:szCs w:val="24"/>
        </w:rPr>
      </w:pPr>
      <w:r w:rsidRPr="00834109">
        <w:rPr>
          <w:sz w:val="24"/>
          <w:szCs w:val="24"/>
        </w:rPr>
        <w:t>reinsurance exposures of grade 5 and below th</w:t>
      </w:r>
      <w:r w:rsidR="000C41E3" w:rsidRPr="00834109">
        <w:rPr>
          <w:sz w:val="24"/>
          <w:szCs w:val="24"/>
        </w:rPr>
        <w:t xml:space="preserve">at are not part of the </w:t>
      </w:r>
      <w:r w:rsidR="001A19F4" w:rsidRPr="00834109">
        <w:rPr>
          <w:sz w:val="24"/>
          <w:szCs w:val="24"/>
        </w:rPr>
        <w:t xml:space="preserve">calculation in sub-paragraph (a) </w:t>
      </w:r>
      <w:r w:rsidRPr="00834109">
        <w:rPr>
          <w:sz w:val="24"/>
          <w:szCs w:val="24"/>
        </w:rPr>
        <w:t xml:space="preserve">are then added with those with a counterparty grade of 4 and compared to the limit </w:t>
      </w:r>
      <w:r w:rsidR="000C41E3" w:rsidRPr="00834109">
        <w:rPr>
          <w:sz w:val="24"/>
          <w:szCs w:val="24"/>
        </w:rPr>
        <w:t>(Table 1(b))</w:t>
      </w:r>
      <w:r w:rsidR="003F5383" w:rsidRPr="00834109">
        <w:rPr>
          <w:sz w:val="24"/>
          <w:szCs w:val="24"/>
        </w:rPr>
        <w:t>,</w:t>
      </w:r>
      <w:r w:rsidR="000C41E3" w:rsidRPr="00834109">
        <w:rPr>
          <w:sz w:val="24"/>
          <w:szCs w:val="24"/>
        </w:rPr>
        <w:t xml:space="preserve"> </w:t>
      </w:r>
      <w:r w:rsidRPr="00834109">
        <w:rPr>
          <w:sz w:val="24"/>
          <w:szCs w:val="24"/>
        </w:rPr>
        <w:t xml:space="preserve">and a further </w:t>
      </w:r>
      <w:r w:rsidR="001A19F4" w:rsidRPr="00834109">
        <w:rPr>
          <w:sz w:val="24"/>
          <w:szCs w:val="24"/>
        </w:rPr>
        <w:t xml:space="preserve">amount </w:t>
      </w:r>
      <w:r w:rsidR="000C41E3" w:rsidRPr="00834109">
        <w:rPr>
          <w:sz w:val="24"/>
          <w:szCs w:val="24"/>
        </w:rPr>
        <w:t>is determine</w:t>
      </w:r>
      <w:r w:rsidR="00080B06" w:rsidRPr="00834109">
        <w:rPr>
          <w:sz w:val="24"/>
          <w:szCs w:val="24"/>
        </w:rPr>
        <w:t>d;</w:t>
      </w:r>
      <w:r w:rsidR="000C41E3" w:rsidRPr="00834109">
        <w:rPr>
          <w:sz w:val="24"/>
          <w:szCs w:val="24"/>
        </w:rPr>
        <w:t xml:space="preserve"> </w:t>
      </w:r>
      <w:r w:rsidR="001A19F4" w:rsidRPr="00834109">
        <w:rPr>
          <w:sz w:val="24"/>
          <w:szCs w:val="24"/>
        </w:rPr>
        <w:t>and</w:t>
      </w:r>
    </w:p>
    <w:p w14:paraId="7E722215" w14:textId="77777777" w:rsidR="00080B06" w:rsidRPr="00834109" w:rsidRDefault="000C41E3" w:rsidP="00435DAF">
      <w:pPr>
        <w:pStyle w:val="BodyText"/>
        <w:numPr>
          <w:ilvl w:val="1"/>
          <w:numId w:val="2"/>
        </w:numPr>
        <w:rPr>
          <w:sz w:val="24"/>
          <w:szCs w:val="24"/>
        </w:rPr>
      </w:pPr>
      <w:r w:rsidRPr="00834109">
        <w:rPr>
          <w:sz w:val="24"/>
          <w:szCs w:val="24"/>
        </w:rPr>
        <w:t xml:space="preserve">reinsurance exposures of grade 4 and below that are not part of the </w:t>
      </w:r>
      <w:r w:rsidR="001A19F4" w:rsidRPr="00834109">
        <w:rPr>
          <w:sz w:val="24"/>
          <w:szCs w:val="24"/>
        </w:rPr>
        <w:t xml:space="preserve">calculation in sub-paragraphs (a) or (b) </w:t>
      </w:r>
      <w:r w:rsidRPr="00834109">
        <w:rPr>
          <w:sz w:val="24"/>
          <w:szCs w:val="24"/>
        </w:rPr>
        <w:t>are th</w:t>
      </w:r>
      <w:r w:rsidR="00E26692" w:rsidRPr="00834109">
        <w:rPr>
          <w:sz w:val="24"/>
          <w:szCs w:val="24"/>
        </w:rPr>
        <w:t>e</w:t>
      </w:r>
      <w:r w:rsidRPr="00834109">
        <w:rPr>
          <w:sz w:val="24"/>
          <w:szCs w:val="24"/>
        </w:rPr>
        <w:t xml:space="preserve">n added </w:t>
      </w:r>
      <w:r w:rsidR="00E26692" w:rsidRPr="00834109">
        <w:rPr>
          <w:sz w:val="24"/>
          <w:szCs w:val="24"/>
        </w:rPr>
        <w:t xml:space="preserve">to </w:t>
      </w:r>
      <w:r w:rsidRPr="00834109">
        <w:rPr>
          <w:sz w:val="24"/>
          <w:szCs w:val="24"/>
        </w:rPr>
        <w:t xml:space="preserve">those with a counterparty grade above 4 and compared to the limit (Table 1(a)). </w:t>
      </w:r>
    </w:p>
    <w:p w14:paraId="7B927F3A" w14:textId="77777777" w:rsidR="00E176D4" w:rsidRPr="00834109" w:rsidRDefault="000C41E3" w:rsidP="00080B06">
      <w:pPr>
        <w:pStyle w:val="BodyText"/>
        <w:numPr>
          <w:ilvl w:val="0"/>
          <w:numId w:val="0"/>
        </w:numPr>
        <w:ind w:left="567"/>
        <w:rPr>
          <w:sz w:val="24"/>
          <w:szCs w:val="24"/>
        </w:rPr>
      </w:pPr>
      <w:r w:rsidRPr="00834109">
        <w:rPr>
          <w:sz w:val="24"/>
          <w:szCs w:val="24"/>
        </w:rPr>
        <w:lastRenderedPageBreak/>
        <w:t xml:space="preserve">The total </w:t>
      </w:r>
      <w:r w:rsidR="003F5383" w:rsidRPr="00834109">
        <w:rPr>
          <w:sz w:val="24"/>
          <w:szCs w:val="24"/>
        </w:rPr>
        <w:t>A</w:t>
      </w:r>
      <w:r w:rsidRPr="00834109">
        <w:rPr>
          <w:sz w:val="24"/>
          <w:szCs w:val="24"/>
        </w:rPr>
        <w:t xml:space="preserve">sset </w:t>
      </w:r>
      <w:r w:rsidR="003F5383" w:rsidRPr="00834109">
        <w:rPr>
          <w:sz w:val="24"/>
          <w:szCs w:val="24"/>
        </w:rPr>
        <w:t>C</w:t>
      </w:r>
      <w:r w:rsidRPr="00834109">
        <w:rPr>
          <w:sz w:val="24"/>
          <w:szCs w:val="24"/>
        </w:rPr>
        <w:t xml:space="preserve">oncentration </w:t>
      </w:r>
      <w:r w:rsidR="003F5383" w:rsidRPr="00834109">
        <w:rPr>
          <w:sz w:val="24"/>
          <w:szCs w:val="24"/>
        </w:rPr>
        <w:t>R</w:t>
      </w:r>
      <w:r w:rsidRPr="00834109">
        <w:rPr>
          <w:sz w:val="24"/>
          <w:szCs w:val="24"/>
        </w:rPr>
        <w:t xml:space="preserve">isk </w:t>
      </w:r>
      <w:r w:rsidR="003F5383" w:rsidRPr="00834109">
        <w:rPr>
          <w:sz w:val="24"/>
          <w:szCs w:val="24"/>
        </w:rPr>
        <w:t>C</w:t>
      </w:r>
      <w:r w:rsidRPr="00834109">
        <w:rPr>
          <w:sz w:val="24"/>
          <w:szCs w:val="24"/>
        </w:rPr>
        <w:t xml:space="preserve">harge for the reinsurance exposure is the sum of the </w:t>
      </w:r>
      <w:r w:rsidR="001A19F4" w:rsidRPr="00834109">
        <w:rPr>
          <w:sz w:val="24"/>
          <w:szCs w:val="24"/>
        </w:rPr>
        <w:t>amounts</w:t>
      </w:r>
      <w:r w:rsidR="00676294" w:rsidRPr="00834109">
        <w:rPr>
          <w:sz w:val="24"/>
          <w:szCs w:val="24"/>
        </w:rPr>
        <w:t xml:space="preserve"> from each sub-paragraph above</w:t>
      </w:r>
      <w:r w:rsidRPr="00834109">
        <w:rPr>
          <w:sz w:val="24"/>
          <w:szCs w:val="24"/>
        </w:rPr>
        <w:t xml:space="preserve">. </w:t>
      </w:r>
    </w:p>
    <w:p w14:paraId="3E27E129" w14:textId="77777777" w:rsidR="00257C94" w:rsidRPr="00834109" w:rsidRDefault="00257C94" w:rsidP="00257C94">
      <w:pPr>
        <w:pStyle w:val="BodyText"/>
        <w:rPr>
          <w:sz w:val="24"/>
          <w:szCs w:val="24"/>
        </w:rPr>
      </w:pPr>
      <w:r w:rsidRPr="00834109">
        <w:rPr>
          <w:sz w:val="24"/>
          <w:szCs w:val="24"/>
        </w:rPr>
        <w:t xml:space="preserve">The total Asset Concentration Risk Charge is the sum of each resulting risk charge for each exposure of the regulated institution. </w:t>
      </w:r>
    </w:p>
    <w:p w14:paraId="1AF5BCEF" w14:textId="77777777" w:rsidR="00E176D4" w:rsidRPr="00834109" w:rsidRDefault="00E176D4" w:rsidP="003C1E9C">
      <w:pPr>
        <w:pStyle w:val="Heading"/>
        <w:spacing w:before="120" w:after="240"/>
        <w:rPr>
          <w:rFonts w:ascii="Arial" w:hAnsi="Arial" w:cs="Arial"/>
          <w:bCs/>
          <w:sz w:val="24"/>
          <w:szCs w:val="24"/>
        </w:rPr>
      </w:pPr>
      <w:r w:rsidRPr="00834109">
        <w:rPr>
          <w:rFonts w:ascii="Arial" w:hAnsi="Arial" w:cs="Arial"/>
          <w:bCs/>
          <w:sz w:val="24"/>
          <w:szCs w:val="24"/>
        </w:rPr>
        <w:t xml:space="preserve">Treatment of collateral and guarantees as risk mitigants </w:t>
      </w:r>
    </w:p>
    <w:p w14:paraId="605DEAE6" w14:textId="77777777" w:rsidR="001F4E97" w:rsidRPr="00834109" w:rsidRDefault="00294F37" w:rsidP="001F4E97">
      <w:pPr>
        <w:pStyle w:val="BodyText"/>
        <w:rPr>
          <w:rFonts w:ascii="Arial" w:hAnsi="Arial" w:cs="Arial"/>
          <w:i/>
        </w:rPr>
      </w:pPr>
      <w:bookmarkStart w:id="3" w:name="_Ref308426586"/>
      <w:r w:rsidRPr="00834109">
        <w:rPr>
          <w:sz w:val="24"/>
          <w:szCs w:val="24"/>
        </w:rPr>
        <w:t xml:space="preserve">A </w:t>
      </w:r>
      <w:r w:rsidR="00E176D4" w:rsidRPr="00834109">
        <w:rPr>
          <w:sz w:val="24"/>
          <w:szCs w:val="24"/>
        </w:rPr>
        <w:t xml:space="preserve">regulated institution </w:t>
      </w:r>
      <w:r w:rsidR="00F247DE" w:rsidRPr="00834109">
        <w:rPr>
          <w:sz w:val="24"/>
          <w:szCs w:val="24"/>
        </w:rPr>
        <w:t>that</w:t>
      </w:r>
      <w:r w:rsidRPr="00834109">
        <w:rPr>
          <w:sz w:val="24"/>
          <w:szCs w:val="24"/>
        </w:rPr>
        <w:t xml:space="preserve"> </w:t>
      </w:r>
      <w:r w:rsidR="00E176D4" w:rsidRPr="00834109">
        <w:rPr>
          <w:sz w:val="24"/>
          <w:szCs w:val="24"/>
        </w:rPr>
        <w:t>holds certain types of collateral against an asset, or where the asset has been guaranteed, as a means of reducing risk</w:t>
      </w:r>
      <w:r w:rsidR="00D912BE" w:rsidRPr="00834109">
        <w:rPr>
          <w:sz w:val="24"/>
          <w:szCs w:val="24"/>
        </w:rPr>
        <w:t xml:space="preserve"> may apply a different approach to determining the </w:t>
      </w:r>
      <w:r w:rsidR="003F5383" w:rsidRPr="00834109">
        <w:rPr>
          <w:sz w:val="24"/>
          <w:szCs w:val="24"/>
        </w:rPr>
        <w:t>A</w:t>
      </w:r>
      <w:r w:rsidR="00D912BE" w:rsidRPr="00834109">
        <w:rPr>
          <w:sz w:val="24"/>
          <w:szCs w:val="24"/>
        </w:rPr>
        <w:t xml:space="preserve">sset </w:t>
      </w:r>
      <w:r w:rsidR="003F5383" w:rsidRPr="00834109">
        <w:rPr>
          <w:sz w:val="24"/>
          <w:szCs w:val="24"/>
        </w:rPr>
        <w:t>C</w:t>
      </w:r>
      <w:r w:rsidR="00D912BE" w:rsidRPr="00834109">
        <w:rPr>
          <w:sz w:val="24"/>
          <w:szCs w:val="24"/>
        </w:rPr>
        <w:t xml:space="preserve">oncentration </w:t>
      </w:r>
      <w:r w:rsidR="003F5383" w:rsidRPr="00834109">
        <w:rPr>
          <w:sz w:val="24"/>
          <w:szCs w:val="24"/>
        </w:rPr>
        <w:t>R</w:t>
      </w:r>
      <w:r w:rsidR="00D912BE" w:rsidRPr="00834109">
        <w:rPr>
          <w:sz w:val="24"/>
          <w:szCs w:val="24"/>
        </w:rPr>
        <w:t xml:space="preserve">isk </w:t>
      </w:r>
      <w:r w:rsidR="003F5383" w:rsidRPr="00834109">
        <w:rPr>
          <w:sz w:val="24"/>
          <w:szCs w:val="24"/>
        </w:rPr>
        <w:t>C</w:t>
      </w:r>
      <w:r w:rsidR="00D912BE" w:rsidRPr="00834109">
        <w:rPr>
          <w:sz w:val="24"/>
          <w:szCs w:val="24"/>
        </w:rPr>
        <w:t>harge</w:t>
      </w:r>
      <w:r w:rsidR="00257C94" w:rsidRPr="00834109">
        <w:rPr>
          <w:sz w:val="24"/>
          <w:szCs w:val="24"/>
        </w:rPr>
        <w:t xml:space="preserve"> for that asset</w:t>
      </w:r>
      <w:r w:rsidR="00E176D4" w:rsidRPr="00834109">
        <w:rPr>
          <w:sz w:val="24"/>
          <w:szCs w:val="24"/>
        </w:rPr>
        <w:t xml:space="preserve">. Where the assets in question are reinsurance recoverables due from </w:t>
      </w:r>
      <w:r w:rsidR="00763271" w:rsidRPr="00834109">
        <w:rPr>
          <w:sz w:val="24"/>
          <w:szCs w:val="24"/>
        </w:rPr>
        <w:t>non-APRA-authorised reinsurers</w:t>
      </w:r>
      <w:r w:rsidR="00E176D4" w:rsidRPr="00834109">
        <w:rPr>
          <w:sz w:val="24"/>
          <w:szCs w:val="24"/>
        </w:rPr>
        <w:t xml:space="preserve">, different rules regarding treatment of collateral and guarantees apply (refer to paragraphs </w:t>
      </w:r>
      <w:r w:rsidR="001E7E7B" w:rsidRPr="00834109">
        <w:rPr>
          <w:sz w:val="24"/>
          <w:szCs w:val="24"/>
        </w:rPr>
        <w:fldChar w:fldCharType="begin"/>
      </w:r>
      <w:r w:rsidR="00442627" w:rsidRPr="00834109">
        <w:rPr>
          <w:sz w:val="24"/>
          <w:szCs w:val="24"/>
        </w:rPr>
        <w:instrText xml:space="preserve"> REF _Ref309804932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28</w:t>
      </w:r>
      <w:r w:rsidR="001E7E7B" w:rsidRPr="00834109">
        <w:rPr>
          <w:sz w:val="24"/>
          <w:szCs w:val="24"/>
        </w:rPr>
        <w:fldChar w:fldCharType="end"/>
      </w:r>
      <w:r w:rsidR="00E176D4" w:rsidRPr="00834109">
        <w:rPr>
          <w:sz w:val="24"/>
          <w:szCs w:val="24"/>
        </w:rPr>
        <w:t xml:space="preserve"> to</w:t>
      </w:r>
      <w:r w:rsidR="008B322E" w:rsidRPr="00834109">
        <w:rPr>
          <w:sz w:val="24"/>
          <w:szCs w:val="24"/>
        </w:rPr>
        <w:t xml:space="preserve"> </w:t>
      </w:r>
      <w:r w:rsidR="001E7E7B" w:rsidRPr="00834109">
        <w:rPr>
          <w:sz w:val="24"/>
          <w:szCs w:val="24"/>
        </w:rPr>
        <w:fldChar w:fldCharType="begin"/>
      </w:r>
      <w:r w:rsidR="008B322E" w:rsidRPr="00834109">
        <w:rPr>
          <w:sz w:val="24"/>
          <w:szCs w:val="24"/>
        </w:rPr>
        <w:instrText xml:space="preserve"> REF _Ref324261909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34</w:t>
      </w:r>
      <w:r w:rsidR="001E7E7B" w:rsidRPr="00834109">
        <w:rPr>
          <w:sz w:val="24"/>
          <w:szCs w:val="24"/>
        </w:rPr>
        <w:fldChar w:fldCharType="end"/>
      </w:r>
      <w:r w:rsidR="00E176D4" w:rsidRPr="00834109">
        <w:rPr>
          <w:sz w:val="24"/>
          <w:szCs w:val="24"/>
        </w:rPr>
        <w:t>).</w:t>
      </w:r>
      <w:bookmarkEnd w:id="3"/>
    </w:p>
    <w:p w14:paraId="0E095DBD" w14:textId="77777777" w:rsidR="00E176D4" w:rsidRPr="00834109" w:rsidRDefault="00763271" w:rsidP="00E176D4">
      <w:pPr>
        <w:pStyle w:val="Heading4"/>
        <w:spacing w:after="240"/>
        <w:jc w:val="both"/>
        <w:rPr>
          <w:rFonts w:ascii="Arial" w:hAnsi="Arial" w:cs="Arial"/>
          <w:i/>
          <w:color w:val="auto"/>
          <w:sz w:val="24"/>
          <w:szCs w:val="24"/>
        </w:rPr>
      </w:pPr>
      <w:r w:rsidRPr="00834109">
        <w:rPr>
          <w:rFonts w:ascii="Arial" w:hAnsi="Arial" w:cs="Arial"/>
          <w:i/>
          <w:color w:val="auto"/>
          <w:sz w:val="24"/>
          <w:szCs w:val="24"/>
        </w:rPr>
        <w:t>Collateral</w:t>
      </w:r>
    </w:p>
    <w:p w14:paraId="185DC985" w14:textId="77777777" w:rsidR="006F2A29" w:rsidRPr="00834109" w:rsidRDefault="00E176D4" w:rsidP="00E176D4">
      <w:pPr>
        <w:pStyle w:val="BodyText"/>
        <w:rPr>
          <w:sz w:val="24"/>
          <w:szCs w:val="24"/>
        </w:rPr>
      </w:pPr>
      <w:bookmarkStart w:id="4" w:name="_Ref308425217"/>
      <w:bookmarkStart w:id="5" w:name="_Ref486666837"/>
      <w:r w:rsidRPr="00834109">
        <w:rPr>
          <w:snapToGrid w:val="0"/>
          <w:sz w:val="24"/>
          <w:szCs w:val="24"/>
          <w:lang w:eastAsia="en-US"/>
        </w:rPr>
        <w:t>Subject to paragraph</w:t>
      </w:r>
      <w:r w:rsidR="0040090D" w:rsidRPr="00834109">
        <w:rPr>
          <w:snapToGrid w:val="0"/>
          <w:sz w:val="24"/>
          <w:szCs w:val="24"/>
          <w:lang w:eastAsia="en-US"/>
        </w:rPr>
        <w:t xml:space="preserve"> </w:t>
      </w:r>
      <w:r w:rsidR="001E7E7B" w:rsidRPr="00834109">
        <w:rPr>
          <w:snapToGrid w:val="0"/>
          <w:sz w:val="24"/>
          <w:szCs w:val="24"/>
          <w:lang w:eastAsia="en-US"/>
        </w:rPr>
        <w:fldChar w:fldCharType="begin"/>
      </w:r>
      <w:r w:rsidR="0040090D" w:rsidRPr="00834109">
        <w:rPr>
          <w:snapToGrid w:val="0"/>
          <w:sz w:val="24"/>
          <w:szCs w:val="24"/>
          <w:lang w:eastAsia="en-US"/>
        </w:rPr>
        <w:instrText xml:space="preserve"> REF _Ref337462737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24</w:t>
      </w:r>
      <w:r w:rsidR="001E7E7B" w:rsidRPr="00834109">
        <w:rPr>
          <w:snapToGrid w:val="0"/>
          <w:sz w:val="24"/>
          <w:szCs w:val="24"/>
          <w:lang w:eastAsia="en-US"/>
        </w:rPr>
        <w:fldChar w:fldCharType="end"/>
      </w:r>
      <w:r w:rsidRPr="00834109">
        <w:rPr>
          <w:snapToGrid w:val="0"/>
          <w:sz w:val="24"/>
          <w:szCs w:val="24"/>
          <w:lang w:eastAsia="en-US"/>
        </w:rPr>
        <w:t xml:space="preserve">, where a regulated institution possesses </w:t>
      </w:r>
      <w:r w:rsidR="006F2A29" w:rsidRPr="00834109">
        <w:rPr>
          <w:snapToGrid w:val="0"/>
          <w:sz w:val="24"/>
          <w:szCs w:val="24"/>
          <w:lang w:eastAsia="en-US"/>
        </w:rPr>
        <w:t xml:space="preserve">eligible </w:t>
      </w:r>
      <w:r w:rsidRPr="00834109">
        <w:rPr>
          <w:snapToGrid w:val="0"/>
          <w:sz w:val="24"/>
          <w:szCs w:val="24"/>
          <w:lang w:eastAsia="en-US"/>
        </w:rPr>
        <w:t xml:space="preserve">collateral against an asset (other than reinsurance recoverables due from non-APRA-authorised reinsurers), it may </w:t>
      </w:r>
      <w:r w:rsidR="00D912BE" w:rsidRPr="00834109">
        <w:rPr>
          <w:snapToGrid w:val="0"/>
          <w:sz w:val="24"/>
          <w:szCs w:val="24"/>
          <w:lang w:eastAsia="en-US"/>
        </w:rPr>
        <w:t xml:space="preserve">treat the underlying asset as an exposure to the </w:t>
      </w:r>
      <w:r w:rsidR="00A867F8">
        <w:rPr>
          <w:snapToGrid w:val="0"/>
          <w:sz w:val="24"/>
          <w:szCs w:val="24"/>
          <w:lang w:eastAsia="en-US"/>
        </w:rPr>
        <w:t>E</w:t>
      </w:r>
      <w:r w:rsidR="00763271" w:rsidRPr="00834109">
        <w:rPr>
          <w:snapToGrid w:val="0"/>
          <w:sz w:val="24"/>
          <w:szCs w:val="24"/>
          <w:lang w:eastAsia="en-US"/>
        </w:rPr>
        <w:t xml:space="preserve">ligible </w:t>
      </w:r>
      <w:r w:rsidR="00A867F8">
        <w:rPr>
          <w:snapToGrid w:val="0"/>
          <w:sz w:val="24"/>
          <w:szCs w:val="24"/>
          <w:lang w:eastAsia="en-US"/>
        </w:rPr>
        <w:t>C</w:t>
      </w:r>
      <w:r w:rsidR="00763271" w:rsidRPr="00834109">
        <w:rPr>
          <w:snapToGrid w:val="0"/>
          <w:sz w:val="24"/>
          <w:szCs w:val="24"/>
          <w:lang w:eastAsia="en-US"/>
        </w:rPr>
        <w:t xml:space="preserve">ollateral </w:t>
      </w:r>
      <w:r w:rsidR="00A867F8">
        <w:rPr>
          <w:snapToGrid w:val="0"/>
          <w:sz w:val="24"/>
          <w:szCs w:val="24"/>
          <w:lang w:eastAsia="en-US"/>
        </w:rPr>
        <w:t>I</w:t>
      </w:r>
      <w:r w:rsidR="00763271" w:rsidRPr="00834109">
        <w:rPr>
          <w:snapToGrid w:val="0"/>
          <w:sz w:val="24"/>
          <w:szCs w:val="24"/>
          <w:lang w:eastAsia="en-US"/>
        </w:rPr>
        <w:t>tem</w:t>
      </w:r>
      <w:r w:rsidR="00D912BE" w:rsidRPr="00834109">
        <w:rPr>
          <w:snapToGrid w:val="0"/>
          <w:sz w:val="24"/>
          <w:szCs w:val="24"/>
          <w:lang w:eastAsia="en-US"/>
        </w:rPr>
        <w:t>. This means that the asset is included in the limits in Attachment A with respect to the collateral, rather than the underlying counterparty.</w:t>
      </w:r>
      <w:bookmarkEnd w:id="4"/>
    </w:p>
    <w:p w14:paraId="6108AD16" w14:textId="77777777" w:rsidR="00E176D4" w:rsidRPr="00834109" w:rsidRDefault="00E176D4" w:rsidP="00E176D4">
      <w:pPr>
        <w:pStyle w:val="BodyText"/>
        <w:rPr>
          <w:sz w:val="24"/>
          <w:szCs w:val="24"/>
        </w:rPr>
      </w:pPr>
      <w:bookmarkStart w:id="6" w:name="_Ref337462737"/>
      <w:r w:rsidRPr="00834109">
        <w:rPr>
          <w:snapToGrid w:val="0"/>
          <w:sz w:val="24"/>
          <w:szCs w:val="24"/>
          <w:lang w:eastAsia="en-US"/>
        </w:rPr>
        <w:t xml:space="preserve">For the purposes </w:t>
      </w:r>
      <w:r w:rsidR="00306C35" w:rsidRPr="00834109">
        <w:rPr>
          <w:snapToGrid w:val="0"/>
          <w:sz w:val="24"/>
          <w:szCs w:val="24"/>
          <w:lang w:eastAsia="en-US"/>
        </w:rPr>
        <w:t xml:space="preserve">of </w:t>
      </w:r>
      <w:r w:rsidRPr="00834109">
        <w:rPr>
          <w:snapToGrid w:val="0"/>
          <w:sz w:val="24"/>
          <w:szCs w:val="24"/>
          <w:lang w:eastAsia="en-US"/>
        </w:rPr>
        <w:t>paragraph</w:t>
      </w:r>
      <w:r w:rsidR="006F2A29" w:rsidRPr="00834109">
        <w:rPr>
          <w:snapToGrid w:val="0"/>
          <w:sz w:val="24"/>
          <w:szCs w:val="24"/>
          <w:lang w:eastAsia="en-US"/>
        </w:rPr>
        <w:t xml:space="preserve"> </w:t>
      </w:r>
      <w:r w:rsidR="001E7E7B" w:rsidRPr="00834109">
        <w:rPr>
          <w:snapToGrid w:val="0"/>
          <w:sz w:val="24"/>
          <w:szCs w:val="24"/>
          <w:lang w:eastAsia="en-US"/>
        </w:rPr>
        <w:fldChar w:fldCharType="begin"/>
      </w:r>
      <w:r w:rsidR="00F247DE" w:rsidRPr="00834109">
        <w:rPr>
          <w:snapToGrid w:val="0"/>
          <w:sz w:val="24"/>
          <w:szCs w:val="24"/>
          <w:lang w:eastAsia="en-US"/>
        </w:rPr>
        <w:instrText xml:space="preserve"> REF _Ref308425217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23</w:t>
      </w:r>
      <w:r w:rsidR="001E7E7B" w:rsidRPr="00834109">
        <w:rPr>
          <w:snapToGrid w:val="0"/>
          <w:sz w:val="24"/>
          <w:szCs w:val="24"/>
          <w:lang w:eastAsia="en-US"/>
        </w:rPr>
        <w:fldChar w:fldCharType="end"/>
      </w:r>
      <w:r w:rsidRPr="00834109">
        <w:rPr>
          <w:snapToGrid w:val="0"/>
          <w:sz w:val="24"/>
          <w:szCs w:val="24"/>
          <w:lang w:eastAsia="en-US"/>
        </w:rPr>
        <w:t xml:space="preserve">, collateral is recognised only to the extent that it takes the form of a </w:t>
      </w:r>
      <w:r w:rsidR="00325F94">
        <w:rPr>
          <w:snapToGrid w:val="0"/>
          <w:sz w:val="24"/>
          <w:szCs w:val="24"/>
          <w:lang w:eastAsia="en-US"/>
        </w:rPr>
        <w:t xml:space="preserve">registered </w:t>
      </w:r>
      <w:r w:rsidRPr="00834109">
        <w:rPr>
          <w:snapToGrid w:val="0"/>
          <w:sz w:val="24"/>
          <w:szCs w:val="24"/>
          <w:lang w:eastAsia="en-US"/>
        </w:rPr>
        <w:t xml:space="preserve">charge, </w:t>
      </w:r>
      <w:r w:rsidR="00325F94">
        <w:rPr>
          <w:snapToGrid w:val="0"/>
          <w:sz w:val="24"/>
          <w:szCs w:val="24"/>
          <w:lang w:eastAsia="en-US"/>
        </w:rPr>
        <w:t xml:space="preserve">registered </w:t>
      </w:r>
      <w:r w:rsidRPr="00834109">
        <w:rPr>
          <w:snapToGrid w:val="0"/>
          <w:sz w:val="24"/>
          <w:szCs w:val="24"/>
          <w:lang w:eastAsia="en-US"/>
        </w:rPr>
        <w:t>mortgage or other</w:t>
      </w:r>
      <w:r w:rsidR="00325F94">
        <w:rPr>
          <w:snapToGrid w:val="0"/>
          <w:sz w:val="24"/>
          <w:szCs w:val="24"/>
          <w:lang w:eastAsia="en-US"/>
        </w:rPr>
        <w:t xml:space="preserve"> legally enforceable</w:t>
      </w:r>
      <w:r w:rsidRPr="00834109">
        <w:rPr>
          <w:snapToGrid w:val="0"/>
          <w:sz w:val="24"/>
          <w:szCs w:val="24"/>
          <w:lang w:eastAsia="en-US"/>
        </w:rPr>
        <w:t xml:space="preserve"> security interest in, or over, an </w:t>
      </w:r>
      <w:r w:rsidR="00325F94">
        <w:rPr>
          <w:snapToGrid w:val="0"/>
          <w:sz w:val="24"/>
          <w:szCs w:val="24"/>
          <w:lang w:eastAsia="en-US"/>
        </w:rPr>
        <w:t>E</w:t>
      </w:r>
      <w:r w:rsidRPr="00834109">
        <w:rPr>
          <w:snapToGrid w:val="0"/>
          <w:sz w:val="24"/>
          <w:szCs w:val="24"/>
          <w:lang w:eastAsia="en-US"/>
        </w:rPr>
        <w:t xml:space="preserve">ligible </w:t>
      </w:r>
      <w:r w:rsidR="00325F94">
        <w:rPr>
          <w:snapToGrid w:val="0"/>
          <w:sz w:val="24"/>
          <w:szCs w:val="24"/>
          <w:lang w:eastAsia="en-US"/>
        </w:rPr>
        <w:t>C</w:t>
      </w:r>
      <w:r w:rsidRPr="00834109">
        <w:rPr>
          <w:snapToGrid w:val="0"/>
          <w:sz w:val="24"/>
          <w:szCs w:val="24"/>
          <w:lang w:eastAsia="en-US"/>
        </w:rPr>
        <w:t xml:space="preserve">ollateral </w:t>
      </w:r>
      <w:r w:rsidR="00325F94">
        <w:rPr>
          <w:snapToGrid w:val="0"/>
          <w:sz w:val="24"/>
          <w:szCs w:val="24"/>
          <w:lang w:eastAsia="en-US"/>
        </w:rPr>
        <w:t>I</w:t>
      </w:r>
      <w:r w:rsidRPr="00834109">
        <w:rPr>
          <w:snapToGrid w:val="0"/>
          <w:sz w:val="24"/>
          <w:szCs w:val="24"/>
          <w:lang w:eastAsia="en-US"/>
        </w:rPr>
        <w:t xml:space="preserve">tem. </w:t>
      </w:r>
      <w:r w:rsidR="00795EF8" w:rsidRPr="003B684C">
        <w:rPr>
          <w:sz w:val="24"/>
          <w:szCs w:val="24"/>
        </w:rPr>
        <w:t xml:space="preserve">Eligible Collateral Items are cash, government securities, or debt obligations (i.e. loans, deposits, placements, interest rate securities and other receivables) where the counterparty has a counterparty grade of 1, 2 or 3. </w:t>
      </w:r>
      <w:r w:rsidRPr="00834109">
        <w:rPr>
          <w:snapToGrid w:val="0"/>
          <w:sz w:val="24"/>
          <w:szCs w:val="24"/>
          <w:lang w:eastAsia="en-US"/>
        </w:rPr>
        <w:t xml:space="preserve">The </w:t>
      </w:r>
      <w:r w:rsidR="00325F94">
        <w:rPr>
          <w:snapToGrid w:val="0"/>
          <w:sz w:val="24"/>
          <w:szCs w:val="24"/>
          <w:lang w:eastAsia="en-US"/>
        </w:rPr>
        <w:t>E</w:t>
      </w:r>
      <w:r w:rsidRPr="00834109">
        <w:rPr>
          <w:snapToGrid w:val="0"/>
          <w:sz w:val="24"/>
          <w:szCs w:val="24"/>
          <w:lang w:eastAsia="en-US"/>
        </w:rPr>
        <w:t xml:space="preserve">ligible </w:t>
      </w:r>
      <w:r w:rsidR="00325F94">
        <w:rPr>
          <w:snapToGrid w:val="0"/>
          <w:sz w:val="24"/>
          <w:szCs w:val="24"/>
          <w:lang w:eastAsia="en-US"/>
        </w:rPr>
        <w:t>C</w:t>
      </w:r>
      <w:r w:rsidRPr="00834109">
        <w:rPr>
          <w:snapToGrid w:val="0"/>
          <w:sz w:val="24"/>
          <w:szCs w:val="24"/>
          <w:lang w:eastAsia="en-US"/>
        </w:rPr>
        <w:t xml:space="preserve">ollateral </w:t>
      </w:r>
      <w:r w:rsidR="00325F94">
        <w:rPr>
          <w:snapToGrid w:val="0"/>
          <w:sz w:val="24"/>
          <w:szCs w:val="24"/>
          <w:lang w:eastAsia="en-US"/>
        </w:rPr>
        <w:t>I</w:t>
      </w:r>
      <w:r w:rsidRPr="00834109">
        <w:rPr>
          <w:snapToGrid w:val="0"/>
          <w:sz w:val="24"/>
          <w:szCs w:val="24"/>
          <w:lang w:eastAsia="en-US"/>
        </w:rPr>
        <w:t xml:space="preserve">tem must be held for </w:t>
      </w:r>
      <w:r w:rsidR="00325F94">
        <w:rPr>
          <w:snapToGrid w:val="0"/>
          <w:sz w:val="24"/>
          <w:szCs w:val="24"/>
          <w:lang w:eastAsia="en-US"/>
        </w:rPr>
        <w:t>a</w:t>
      </w:r>
      <w:r w:rsidR="00325F94" w:rsidRPr="00834109">
        <w:rPr>
          <w:snapToGrid w:val="0"/>
          <w:sz w:val="24"/>
          <w:szCs w:val="24"/>
          <w:lang w:eastAsia="en-US"/>
        </w:rPr>
        <w:t xml:space="preserve"> </w:t>
      </w:r>
      <w:r w:rsidRPr="00834109">
        <w:rPr>
          <w:snapToGrid w:val="0"/>
          <w:sz w:val="24"/>
          <w:szCs w:val="24"/>
          <w:lang w:eastAsia="en-US"/>
        </w:rPr>
        <w:t xml:space="preserve">period </w:t>
      </w:r>
      <w:r w:rsidR="00325F94">
        <w:rPr>
          <w:snapToGrid w:val="0"/>
          <w:sz w:val="24"/>
          <w:szCs w:val="24"/>
          <w:lang w:eastAsia="en-US"/>
        </w:rPr>
        <w:t xml:space="preserve">not less than that </w:t>
      </w:r>
      <w:r w:rsidRPr="00834109">
        <w:rPr>
          <w:snapToGrid w:val="0"/>
          <w:sz w:val="24"/>
          <w:szCs w:val="24"/>
          <w:lang w:eastAsia="en-US"/>
        </w:rPr>
        <w:t>for which the asset is held.</w:t>
      </w:r>
      <w:bookmarkEnd w:id="6"/>
      <w:r w:rsidRPr="00834109">
        <w:rPr>
          <w:snapToGrid w:val="0"/>
          <w:sz w:val="24"/>
          <w:szCs w:val="24"/>
          <w:lang w:eastAsia="en-US"/>
        </w:rPr>
        <w:t xml:space="preserve">  </w:t>
      </w:r>
    </w:p>
    <w:p w14:paraId="24E5008E" w14:textId="77777777" w:rsidR="00E176D4" w:rsidRPr="00834109" w:rsidRDefault="00E176D4" w:rsidP="00E176D4">
      <w:pPr>
        <w:pStyle w:val="BodyText"/>
        <w:rPr>
          <w:sz w:val="24"/>
          <w:szCs w:val="24"/>
        </w:rPr>
      </w:pPr>
      <w:bookmarkStart w:id="7" w:name="_Ref306123070"/>
      <w:r w:rsidRPr="00834109">
        <w:rPr>
          <w:snapToGrid w:val="0"/>
          <w:sz w:val="24"/>
          <w:szCs w:val="24"/>
          <w:lang w:eastAsia="en-US"/>
        </w:rPr>
        <w:t xml:space="preserve">Where the </w:t>
      </w:r>
      <w:r w:rsidRPr="00834109">
        <w:rPr>
          <w:b/>
          <w:snapToGrid w:val="0"/>
          <w:sz w:val="24"/>
          <w:szCs w:val="24"/>
          <w:lang w:eastAsia="en-US"/>
        </w:rPr>
        <w:t>fair value</w:t>
      </w:r>
      <w:r w:rsidRPr="00834109">
        <w:rPr>
          <w:snapToGrid w:val="0"/>
          <w:sz w:val="24"/>
          <w:szCs w:val="24"/>
          <w:lang w:eastAsia="en-US"/>
        </w:rPr>
        <w:t xml:space="preserve"> of the collateral does not cover the full value of the asset, the collateral </w:t>
      </w:r>
      <w:r w:rsidR="00D912BE" w:rsidRPr="00834109">
        <w:rPr>
          <w:snapToGrid w:val="0"/>
          <w:sz w:val="24"/>
          <w:szCs w:val="24"/>
          <w:lang w:eastAsia="en-US"/>
        </w:rPr>
        <w:t xml:space="preserve">counterparty rating </w:t>
      </w:r>
      <w:r w:rsidRPr="00834109">
        <w:rPr>
          <w:snapToGrid w:val="0"/>
          <w:sz w:val="24"/>
          <w:szCs w:val="24"/>
          <w:lang w:eastAsia="en-US"/>
        </w:rPr>
        <w:t>can only replace that part of the asset that is covered by the collateral</w:t>
      </w:r>
      <w:r w:rsidRPr="00834109">
        <w:rPr>
          <w:sz w:val="24"/>
          <w:szCs w:val="24"/>
        </w:rPr>
        <w:t>.</w:t>
      </w:r>
      <w:bookmarkEnd w:id="5"/>
      <w:bookmarkEnd w:id="7"/>
      <w:r w:rsidR="00D912BE" w:rsidRPr="00834109">
        <w:rPr>
          <w:sz w:val="24"/>
          <w:szCs w:val="24"/>
        </w:rPr>
        <w:t xml:space="preserve"> The remaining portion of the asset must be treated as an exposure to the underlying counterparty.</w:t>
      </w:r>
    </w:p>
    <w:p w14:paraId="00532015" w14:textId="77777777" w:rsidR="00E176D4" w:rsidRPr="00834109" w:rsidRDefault="00763271" w:rsidP="00E176D4">
      <w:pPr>
        <w:pStyle w:val="Heading4"/>
        <w:spacing w:after="240"/>
        <w:jc w:val="both"/>
        <w:rPr>
          <w:rFonts w:ascii="Arial" w:hAnsi="Arial" w:cs="Arial"/>
          <w:i/>
          <w:color w:val="auto"/>
          <w:sz w:val="24"/>
          <w:szCs w:val="24"/>
        </w:rPr>
      </w:pPr>
      <w:r w:rsidRPr="00834109">
        <w:rPr>
          <w:rFonts w:ascii="Arial" w:hAnsi="Arial" w:cs="Arial"/>
          <w:i/>
          <w:color w:val="auto"/>
          <w:sz w:val="24"/>
          <w:szCs w:val="24"/>
        </w:rPr>
        <w:t>Guarantees</w:t>
      </w:r>
    </w:p>
    <w:p w14:paraId="1002669A" w14:textId="328B235C" w:rsidR="00E176D4" w:rsidRPr="00834109" w:rsidRDefault="00E176D4" w:rsidP="00E176D4">
      <w:pPr>
        <w:pStyle w:val="BodyText"/>
        <w:rPr>
          <w:sz w:val="24"/>
          <w:szCs w:val="24"/>
        </w:rPr>
      </w:pPr>
      <w:bookmarkStart w:id="8" w:name="_Ref71610712"/>
      <w:r w:rsidRPr="00834109">
        <w:rPr>
          <w:sz w:val="24"/>
          <w:szCs w:val="24"/>
        </w:rPr>
        <w:t xml:space="preserve">Subject to paragraph </w:t>
      </w:r>
      <w:r w:rsidR="001E7E7B" w:rsidRPr="00834109">
        <w:rPr>
          <w:sz w:val="24"/>
          <w:szCs w:val="24"/>
        </w:rPr>
        <w:fldChar w:fldCharType="begin"/>
      </w:r>
      <w:r w:rsidRPr="00834109">
        <w:rPr>
          <w:sz w:val="24"/>
          <w:szCs w:val="24"/>
        </w:rPr>
        <w:instrText xml:space="preserve"> REF _Ref486666848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27</w:t>
      </w:r>
      <w:r w:rsidR="001E7E7B" w:rsidRPr="00834109">
        <w:rPr>
          <w:sz w:val="24"/>
          <w:szCs w:val="24"/>
        </w:rPr>
        <w:fldChar w:fldCharType="end"/>
      </w:r>
      <w:r w:rsidRPr="00834109">
        <w:rPr>
          <w:sz w:val="24"/>
          <w:szCs w:val="24"/>
        </w:rPr>
        <w:t xml:space="preserve">, </w:t>
      </w:r>
      <w:r w:rsidR="006F2A29" w:rsidRPr="00834109">
        <w:rPr>
          <w:sz w:val="24"/>
          <w:szCs w:val="24"/>
        </w:rPr>
        <w:t xml:space="preserve">where a regulated institution </w:t>
      </w:r>
      <w:r w:rsidR="00F247DE" w:rsidRPr="00834109">
        <w:rPr>
          <w:sz w:val="24"/>
          <w:szCs w:val="24"/>
        </w:rPr>
        <w:t>pos</w:t>
      </w:r>
      <w:r w:rsidR="002B103C" w:rsidRPr="00834109">
        <w:rPr>
          <w:sz w:val="24"/>
          <w:szCs w:val="24"/>
        </w:rPr>
        <w:t>s</w:t>
      </w:r>
      <w:r w:rsidR="00F247DE" w:rsidRPr="00834109">
        <w:rPr>
          <w:sz w:val="24"/>
          <w:szCs w:val="24"/>
        </w:rPr>
        <w:t>es</w:t>
      </w:r>
      <w:r w:rsidR="002B103C" w:rsidRPr="00834109">
        <w:rPr>
          <w:sz w:val="24"/>
          <w:szCs w:val="24"/>
        </w:rPr>
        <w:t>s</w:t>
      </w:r>
      <w:r w:rsidR="00E26692" w:rsidRPr="00834109">
        <w:rPr>
          <w:sz w:val="24"/>
          <w:szCs w:val="24"/>
        </w:rPr>
        <w:t>es</w:t>
      </w:r>
      <w:r w:rsidR="00F247DE" w:rsidRPr="00834109">
        <w:rPr>
          <w:sz w:val="24"/>
          <w:szCs w:val="24"/>
        </w:rPr>
        <w:t xml:space="preserve"> </w:t>
      </w:r>
      <w:r w:rsidR="006F2A29" w:rsidRPr="00834109">
        <w:rPr>
          <w:sz w:val="24"/>
          <w:szCs w:val="24"/>
        </w:rPr>
        <w:t xml:space="preserve">an </w:t>
      </w:r>
      <w:r w:rsidRPr="00834109">
        <w:rPr>
          <w:sz w:val="24"/>
          <w:szCs w:val="24"/>
        </w:rPr>
        <w:t xml:space="preserve">asset (other than reinsurance recoverables due from non-APRA-authorised reinsurers) </w:t>
      </w:r>
      <w:r w:rsidR="006F2A29" w:rsidRPr="00834109">
        <w:rPr>
          <w:sz w:val="24"/>
          <w:szCs w:val="24"/>
        </w:rPr>
        <w:t xml:space="preserve">that has </w:t>
      </w:r>
      <w:r w:rsidRPr="00834109">
        <w:rPr>
          <w:sz w:val="24"/>
          <w:szCs w:val="24"/>
        </w:rPr>
        <w:t xml:space="preserve">been explicitly, unconditionally and irrevocably guaranteed for </w:t>
      </w:r>
      <w:r w:rsidR="002B103C" w:rsidRPr="00834109">
        <w:rPr>
          <w:sz w:val="24"/>
          <w:szCs w:val="24"/>
        </w:rPr>
        <w:t xml:space="preserve">its </w:t>
      </w:r>
      <w:r w:rsidRPr="00834109">
        <w:rPr>
          <w:sz w:val="24"/>
          <w:szCs w:val="24"/>
        </w:rPr>
        <w:t xml:space="preserve"> remaining term to maturity by a guarantor with a counterparty rating (or for governments, the long-term foreign currency </w:t>
      </w:r>
      <w:r w:rsidRPr="00834109">
        <w:rPr>
          <w:snapToGrid w:val="0"/>
          <w:sz w:val="24"/>
          <w:szCs w:val="24"/>
          <w:lang w:val="en-US" w:eastAsia="en-US"/>
        </w:rPr>
        <w:t>credit</w:t>
      </w:r>
      <w:r w:rsidRPr="00834109">
        <w:rPr>
          <w:sz w:val="24"/>
          <w:szCs w:val="24"/>
        </w:rPr>
        <w:t xml:space="preserve"> rating) </w:t>
      </w:r>
      <w:r w:rsidR="00243E26" w:rsidRPr="00834109">
        <w:rPr>
          <w:sz w:val="24"/>
          <w:szCs w:val="24"/>
        </w:rPr>
        <w:t>of g</w:t>
      </w:r>
      <w:r w:rsidRPr="00834109">
        <w:rPr>
          <w:sz w:val="24"/>
          <w:szCs w:val="24"/>
        </w:rPr>
        <w:t>rade 1, 2 or 3</w:t>
      </w:r>
      <w:r w:rsidR="00F247DE" w:rsidRPr="00834109">
        <w:rPr>
          <w:sz w:val="24"/>
          <w:szCs w:val="24"/>
        </w:rPr>
        <w:t>, it</w:t>
      </w:r>
      <w:r w:rsidRPr="00834109">
        <w:rPr>
          <w:sz w:val="24"/>
          <w:szCs w:val="24"/>
        </w:rPr>
        <w:t xml:space="preserve"> may </w:t>
      </w:r>
      <w:r w:rsidR="00D912BE" w:rsidRPr="00834109">
        <w:rPr>
          <w:sz w:val="24"/>
          <w:szCs w:val="24"/>
        </w:rPr>
        <w:t>treat the underlying asset as an exposure to the counterparty providing the guarantee</w:t>
      </w:r>
      <w:bookmarkEnd w:id="8"/>
      <w:r w:rsidR="00D912BE" w:rsidRPr="00834109">
        <w:rPr>
          <w:sz w:val="24"/>
          <w:szCs w:val="24"/>
        </w:rPr>
        <w:t>.</w:t>
      </w:r>
      <w:r w:rsidR="00F247DE" w:rsidRPr="00834109">
        <w:rPr>
          <w:snapToGrid w:val="0"/>
          <w:sz w:val="24"/>
          <w:szCs w:val="24"/>
          <w:lang w:eastAsia="en-US"/>
        </w:rPr>
        <w:t xml:space="preserve"> </w:t>
      </w:r>
      <w:r w:rsidR="0049390C" w:rsidRPr="00834109">
        <w:rPr>
          <w:snapToGrid w:val="0"/>
          <w:sz w:val="24"/>
          <w:szCs w:val="24"/>
          <w:lang w:eastAsia="en-US"/>
        </w:rPr>
        <w:t>This means that the asset is included in the limits in Attachment A with respect to the guarantee, rather than the underlying counterparty.</w:t>
      </w:r>
    </w:p>
    <w:p w14:paraId="4726D26D" w14:textId="77777777" w:rsidR="00E176D4" w:rsidRPr="00834109" w:rsidRDefault="00E176D4" w:rsidP="00E176D4">
      <w:pPr>
        <w:pStyle w:val="BodyText"/>
        <w:rPr>
          <w:sz w:val="24"/>
          <w:szCs w:val="24"/>
        </w:rPr>
      </w:pPr>
      <w:bookmarkStart w:id="9" w:name="_Ref486666848"/>
      <w:r w:rsidRPr="00834109">
        <w:rPr>
          <w:sz w:val="24"/>
          <w:szCs w:val="24"/>
        </w:rPr>
        <w:t xml:space="preserve">Guarantees provided to a regulated institution by its own parent or a related entity are not eligible for the treatment provided for in paragraph </w:t>
      </w:r>
      <w:r w:rsidR="001E7E7B" w:rsidRPr="00834109">
        <w:rPr>
          <w:sz w:val="24"/>
          <w:szCs w:val="24"/>
        </w:rPr>
        <w:fldChar w:fldCharType="begin"/>
      </w:r>
      <w:r w:rsidRPr="00834109">
        <w:rPr>
          <w:sz w:val="24"/>
          <w:szCs w:val="24"/>
        </w:rPr>
        <w:instrText xml:space="preserve"> REF _Ref71610712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26</w:t>
      </w:r>
      <w:r w:rsidR="001E7E7B" w:rsidRPr="00834109">
        <w:rPr>
          <w:sz w:val="24"/>
          <w:szCs w:val="24"/>
        </w:rPr>
        <w:fldChar w:fldCharType="end"/>
      </w:r>
      <w:r w:rsidRPr="00834109">
        <w:rPr>
          <w:sz w:val="24"/>
          <w:szCs w:val="24"/>
        </w:rPr>
        <w:t>.</w:t>
      </w:r>
      <w:bookmarkEnd w:id="9"/>
    </w:p>
    <w:p w14:paraId="37637573" w14:textId="77777777" w:rsidR="00BC527B" w:rsidRPr="00834109" w:rsidRDefault="00F247DE" w:rsidP="009F2146">
      <w:pPr>
        <w:pStyle w:val="Heading"/>
        <w:keepNext/>
        <w:spacing w:before="120" w:after="240"/>
        <w:rPr>
          <w:rFonts w:ascii="Arial" w:hAnsi="Arial" w:cs="Arial"/>
          <w:bCs/>
          <w:sz w:val="24"/>
          <w:szCs w:val="24"/>
        </w:rPr>
      </w:pPr>
      <w:r w:rsidRPr="00834109">
        <w:rPr>
          <w:rFonts w:ascii="Arial" w:hAnsi="Arial" w:cs="Arial"/>
          <w:bCs/>
          <w:sz w:val="24"/>
          <w:szCs w:val="24"/>
        </w:rPr>
        <w:lastRenderedPageBreak/>
        <w:t>R</w:t>
      </w:r>
      <w:r w:rsidR="005E6F54" w:rsidRPr="00834109">
        <w:rPr>
          <w:rFonts w:ascii="Arial" w:hAnsi="Arial" w:cs="Arial"/>
          <w:bCs/>
          <w:sz w:val="24"/>
          <w:szCs w:val="24"/>
        </w:rPr>
        <w:t>einsurance recoverables due from non-APRA-authorised reinsurers</w:t>
      </w:r>
    </w:p>
    <w:p w14:paraId="7D9D7E43" w14:textId="77777777" w:rsidR="003C1E9C" w:rsidRPr="00834109" w:rsidRDefault="00763271" w:rsidP="003C1E9C">
      <w:pPr>
        <w:pStyle w:val="Heading4"/>
        <w:spacing w:after="240"/>
        <w:jc w:val="both"/>
        <w:rPr>
          <w:rFonts w:ascii="Arial" w:hAnsi="Arial" w:cs="Arial"/>
          <w:i/>
          <w:color w:val="auto"/>
          <w:sz w:val="24"/>
          <w:szCs w:val="24"/>
        </w:rPr>
      </w:pPr>
      <w:bookmarkStart w:id="10" w:name="_Ref308425389"/>
      <w:bookmarkStart w:id="11" w:name="_Ref306123048"/>
      <w:r w:rsidRPr="00834109">
        <w:rPr>
          <w:rFonts w:ascii="Arial" w:hAnsi="Arial" w:cs="Arial"/>
          <w:i/>
          <w:color w:val="auto"/>
          <w:sz w:val="24"/>
          <w:szCs w:val="24"/>
        </w:rPr>
        <w:t>Collateral</w:t>
      </w:r>
    </w:p>
    <w:p w14:paraId="1E01C71B" w14:textId="77777777" w:rsidR="0051434B" w:rsidRPr="00834109" w:rsidRDefault="00E176D4" w:rsidP="00A8453E">
      <w:pPr>
        <w:pStyle w:val="BodyText"/>
        <w:rPr>
          <w:snapToGrid w:val="0"/>
          <w:sz w:val="24"/>
          <w:szCs w:val="24"/>
        </w:rPr>
      </w:pPr>
      <w:bookmarkStart w:id="12" w:name="_Ref309804932"/>
      <w:r w:rsidRPr="00834109">
        <w:rPr>
          <w:snapToGrid w:val="0"/>
          <w:sz w:val="24"/>
          <w:szCs w:val="24"/>
          <w:lang w:eastAsia="en-US"/>
        </w:rPr>
        <w:t>Subject to paragraphs</w:t>
      </w:r>
      <w:r w:rsidR="00F247DE" w:rsidRPr="00834109">
        <w:rPr>
          <w:snapToGrid w:val="0"/>
          <w:sz w:val="24"/>
          <w:szCs w:val="24"/>
          <w:lang w:eastAsia="en-US"/>
        </w:rPr>
        <w:t xml:space="preserve"> </w:t>
      </w:r>
      <w:r w:rsidR="001E7E7B" w:rsidRPr="00834109">
        <w:rPr>
          <w:snapToGrid w:val="0"/>
          <w:sz w:val="24"/>
          <w:szCs w:val="24"/>
          <w:lang w:eastAsia="en-US"/>
        </w:rPr>
        <w:fldChar w:fldCharType="begin"/>
      </w:r>
      <w:r w:rsidR="00141A5D" w:rsidRPr="00834109">
        <w:rPr>
          <w:snapToGrid w:val="0"/>
          <w:sz w:val="24"/>
          <w:szCs w:val="24"/>
          <w:lang w:eastAsia="en-US"/>
        </w:rPr>
        <w:instrText xml:space="preserve"> REF _Ref326221276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29</w:t>
      </w:r>
      <w:r w:rsidR="001E7E7B" w:rsidRPr="00834109">
        <w:rPr>
          <w:snapToGrid w:val="0"/>
          <w:sz w:val="24"/>
          <w:szCs w:val="24"/>
          <w:lang w:eastAsia="en-US"/>
        </w:rPr>
        <w:fldChar w:fldCharType="end"/>
      </w:r>
      <w:r w:rsidR="00F247DE" w:rsidRPr="00834109">
        <w:rPr>
          <w:snapToGrid w:val="0"/>
          <w:sz w:val="24"/>
          <w:szCs w:val="24"/>
          <w:lang w:eastAsia="en-US"/>
        </w:rPr>
        <w:t xml:space="preserve">, </w:t>
      </w:r>
      <w:r w:rsidR="001E7E7B" w:rsidRPr="00834109">
        <w:rPr>
          <w:snapToGrid w:val="0"/>
          <w:sz w:val="24"/>
          <w:szCs w:val="24"/>
          <w:lang w:eastAsia="en-US"/>
        </w:rPr>
        <w:fldChar w:fldCharType="begin"/>
      </w:r>
      <w:r w:rsidRPr="00834109">
        <w:rPr>
          <w:snapToGrid w:val="0"/>
          <w:sz w:val="24"/>
          <w:szCs w:val="24"/>
          <w:lang w:eastAsia="en-US"/>
        </w:rPr>
        <w:instrText xml:space="preserve"> REF _Ref306123086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30</w:t>
      </w:r>
      <w:r w:rsidR="001E7E7B" w:rsidRPr="00834109">
        <w:rPr>
          <w:snapToGrid w:val="0"/>
          <w:sz w:val="24"/>
          <w:szCs w:val="24"/>
          <w:lang w:eastAsia="en-US"/>
        </w:rPr>
        <w:fldChar w:fldCharType="end"/>
      </w:r>
      <w:r w:rsidRPr="00834109">
        <w:rPr>
          <w:snapToGrid w:val="0"/>
          <w:sz w:val="24"/>
          <w:szCs w:val="24"/>
          <w:lang w:eastAsia="en-US"/>
        </w:rPr>
        <w:t xml:space="preserve"> and </w:t>
      </w:r>
      <w:r w:rsidR="001E7E7B" w:rsidRPr="00834109">
        <w:rPr>
          <w:snapToGrid w:val="0"/>
          <w:sz w:val="24"/>
          <w:szCs w:val="24"/>
          <w:lang w:eastAsia="en-US"/>
        </w:rPr>
        <w:fldChar w:fldCharType="begin"/>
      </w:r>
      <w:r w:rsidRPr="00834109">
        <w:rPr>
          <w:snapToGrid w:val="0"/>
          <w:sz w:val="24"/>
          <w:szCs w:val="24"/>
          <w:lang w:eastAsia="en-US"/>
        </w:rPr>
        <w:instrText xml:space="preserve"> REF _Ref306123094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33</w:t>
      </w:r>
      <w:r w:rsidR="001E7E7B" w:rsidRPr="00834109">
        <w:rPr>
          <w:snapToGrid w:val="0"/>
          <w:sz w:val="24"/>
          <w:szCs w:val="24"/>
          <w:lang w:eastAsia="en-US"/>
        </w:rPr>
        <w:fldChar w:fldCharType="end"/>
      </w:r>
      <w:r w:rsidRPr="00834109">
        <w:rPr>
          <w:snapToGrid w:val="0"/>
          <w:sz w:val="24"/>
          <w:szCs w:val="24"/>
          <w:lang w:eastAsia="en-US"/>
        </w:rPr>
        <w:t xml:space="preserve">, where a regulated institution possesses </w:t>
      </w:r>
      <w:r w:rsidR="002A30F6" w:rsidRPr="00834109">
        <w:rPr>
          <w:snapToGrid w:val="0"/>
          <w:sz w:val="24"/>
          <w:szCs w:val="24"/>
          <w:lang w:eastAsia="en-US"/>
        </w:rPr>
        <w:t xml:space="preserve">eligible </w:t>
      </w:r>
      <w:r w:rsidRPr="00834109">
        <w:rPr>
          <w:snapToGrid w:val="0"/>
          <w:sz w:val="24"/>
          <w:szCs w:val="24"/>
          <w:lang w:eastAsia="en-US"/>
        </w:rPr>
        <w:t xml:space="preserve">collateral in Australia against reinsurance recoverables due from a non-APRA-authorised reinsurer, it may </w:t>
      </w:r>
      <w:r w:rsidR="00D912BE" w:rsidRPr="00834109">
        <w:rPr>
          <w:snapToGrid w:val="0"/>
          <w:sz w:val="24"/>
          <w:szCs w:val="24"/>
          <w:lang w:eastAsia="en-US"/>
        </w:rPr>
        <w:t>elect to treat the reinsurance recoverable as an exposure to the eligible collateral.</w:t>
      </w:r>
      <w:r w:rsidR="0049390C" w:rsidRPr="00834109">
        <w:rPr>
          <w:snapToGrid w:val="0"/>
          <w:sz w:val="24"/>
          <w:szCs w:val="24"/>
          <w:lang w:eastAsia="en-US"/>
        </w:rPr>
        <w:t xml:space="preserve"> This means that the asset is included in the limits in Attachment A with respect to the collateral, rather than the underlying </w:t>
      </w:r>
      <w:r w:rsidR="00D20304" w:rsidRPr="00834109">
        <w:rPr>
          <w:snapToGrid w:val="0"/>
          <w:sz w:val="24"/>
          <w:szCs w:val="24"/>
          <w:lang w:eastAsia="en-US"/>
        </w:rPr>
        <w:t>reinsurer</w:t>
      </w:r>
      <w:r w:rsidR="0049390C" w:rsidRPr="00834109">
        <w:rPr>
          <w:snapToGrid w:val="0"/>
          <w:sz w:val="24"/>
          <w:szCs w:val="24"/>
          <w:lang w:eastAsia="en-US"/>
        </w:rPr>
        <w:t>.</w:t>
      </w:r>
      <w:bookmarkStart w:id="13" w:name="_Ref308425415"/>
      <w:bookmarkEnd w:id="10"/>
      <w:bookmarkEnd w:id="12"/>
    </w:p>
    <w:p w14:paraId="4540068A" w14:textId="77777777" w:rsidR="00E176D4" w:rsidRPr="00834109" w:rsidRDefault="00E176D4" w:rsidP="00E176D4">
      <w:pPr>
        <w:pStyle w:val="BodyText"/>
        <w:rPr>
          <w:sz w:val="24"/>
          <w:szCs w:val="24"/>
        </w:rPr>
      </w:pPr>
      <w:bookmarkStart w:id="14" w:name="_Ref326221276"/>
      <w:r w:rsidRPr="00834109">
        <w:rPr>
          <w:snapToGrid w:val="0"/>
          <w:sz w:val="24"/>
          <w:szCs w:val="24"/>
          <w:lang w:eastAsia="en-US"/>
        </w:rPr>
        <w:t>For the purposes of paragraph</w:t>
      </w:r>
      <w:r w:rsidR="00442627" w:rsidRPr="00834109">
        <w:rPr>
          <w:snapToGrid w:val="0"/>
          <w:sz w:val="24"/>
          <w:szCs w:val="24"/>
          <w:lang w:eastAsia="en-US"/>
        </w:rPr>
        <w:t xml:space="preserve"> </w:t>
      </w:r>
      <w:r w:rsidR="001E7E7B" w:rsidRPr="00834109">
        <w:rPr>
          <w:snapToGrid w:val="0"/>
          <w:sz w:val="24"/>
          <w:szCs w:val="24"/>
          <w:lang w:eastAsia="en-US"/>
        </w:rPr>
        <w:fldChar w:fldCharType="begin"/>
      </w:r>
      <w:r w:rsidR="00442627" w:rsidRPr="00834109">
        <w:rPr>
          <w:snapToGrid w:val="0"/>
          <w:sz w:val="24"/>
          <w:szCs w:val="24"/>
          <w:lang w:eastAsia="en-US"/>
        </w:rPr>
        <w:instrText xml:space="preserve"> REF _Ref309804932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28</w:t>
      </w:r>
      <w:r w:rsidR="001E7E7B" w:rsidRPr="00834109">
        <w:rPr>
          <w:snapToGrid w:val="0"/>
          <w:sz w:val="24"/>
          <w:szCs w:val="24"/>
          <w:lang w:eastAsia="en-US"/>
        </w:rPr>
        <w:fldChar w:fldCharType="end"/>
      </w:r>
      <w:r w:rsidRPr="00834109">
        <w:rPr>
          <w:snapToGrid w:val="0"/>
          <w:sz w:val="24"/>
          <w:szCs w:val="24"/>
          <w:lang w:eastAsia="en-US"/>
        </w:rPr>
        <w:t xml:space="preserve">, </w:t>
      </w:r>
      <w:r w:rsidR="002A30F6" w:rsidRPr="00834109">
        <w:rPr>
          <w:snapToGrid w:val="0"/>
          <w:sz w:val="24"/>
          <w:szCs w:val="24"/>
          <w:lang w:eastAsia="en-US"/>
        </w:rPr>
        <w:t xml:space="preserve">eligible </w:t>
      </w:r>
      <w:r w:rsidRPr="00834109">
        <w:rPr>
          <w:snapToGrid w:val="0"/>
          <w:sz w:val="24"/>
          <w:szCs w:val="24"/>
          <w:lang w:eastAsia="en-US"/>
        </w:rPr>
        <w:t>collateral is recognised only:</w:t>
      </w:r>
      <w:bookmarkEnd w:id="11"/>
      <w:bookmarkEnd w:id="13"/>
      <w:bookmarkEnd w:id="14"/>
    </w:p>
    <w:p w14:paraId="4447AAA8" w14:textId="77777777" w:rsidR="00E176D4" w:rsidRPr="00834109" w:rsidRDefault="00E176D4" w:rsidP="00435DAF">
      <w:pPr>
        <w:pStyle w:val="BodyText"/>
        <w:numPr>
          <w:ilvl w:val="0"/>
          <w:numId w:val="5"/>
        </w:numPr>
        <w:rPr>
          <w:sz w:val="24"/>
          <w:szCs w:val="24"/>
        </w:rPr>
      </w:pPr>
      <w:r w:rsidRPr="00834109">
        <w:rPr>
          <w:snapToGrid w:val="0"/>
          <w:sz w:val="24"/>
          <w:szCs w:val="24"/>
          <w:lang w:eastAsia="en-US"/>
        </w:rPr>
        <w:t>to the extent that it takes the form of:</w:t>
      </w:r>
    </w:p>
    <w:p w14:paraId="0C6AD6A9" w14:textId="77777777" w:rsidR="00E176D4" w:rsidRPr="00834109" w:rsidRDefault="00E176D4" w:rsidP="00435DAF">
      <w:pPr>
        <w:pStyle w:val="BodyText"/>
        <w:numPr>
          <w:ilvl w:val="1"/>
          <w:numId w:val="5"/>
        </w:numPr>
        <w:rPr>
          <w:snapToGrid w:val="0"/>
          <w:sz w:val="24"/>
          <w:szCs w:val="24"/>
          <w:lang w:eastAsia="en-US"/>
        </w:rPr>
      </w:pPr>
      <w:r w:rsidRPr="00834109">
        <w:rPr>
          <w:snapToGrid w:val="0"/>
          <w:sz w:val="24"/>
          <w:szCs w:val="24"/>
          <w:lang w:eastAsia="en-US"/>
        </w:rPr>
        <w:t xml:space="preserve">assets held in </w:t>
      </w:r>
      <w:smartTag w:uri="urn:schemas-microsoft-com:office:smarttags" w:element="country-region">
        <w:smartTag w:uri="urn:schemas-microsoft-com:office:smarttags" w:element="place">
          <w:r w:rsidRPr="00834109">
            <w:rPr>
              <w:snapToGrid w:val="0"/>
              <w:sz w:val="24"/>
              <w:szCs w:val="24"/>
              <w:lang w:eastAsia="en-US"/>
            </w:rPr>
            <w:t>Australia</w:t>
          </w:r>
        </w:smartTag>
      </w:smartTag>
      <w:r w:rsidRPr="00834109">
        <w:rPr>
          <w:snapToGrid w:val="0"/>
          <w:sz w:val="24"/>
          <w:szCs w:val="24"/>
          <w:lang w:eastAsia="en-US"/>
        </w:rPr>
        <w:t xml:space="preserve"> which form part of a trust fund maintained by a trustee resident in Australia;</w:t>
      </w:r>
    </w:p>
    <w:p w14:paraId="79B9CCE2" w14:textId="77777777" w:rsidR="00E176D4" w:rsidRPr="00834109" w:rsidRDefault="00E176D4" w:rsidP="00435DAF">
      <w:pPr>
        <w:pStyle w:val="BodyText"/>
        <w:numPr>
          <w:ilvl w:val="1"/>
          <w:numId w:val="5"/>
        </w:numPr>
        <w:rPr>
          <w:snapToGrid w:val="0"/>
          <w:sz w:val="24"/>
          <w:szCs w:val="24"/>
          <w:lang w:eastAsia="en-US"/>
        </w:rPr>
      </w:pPr>
      <w:r w:rsidRPr="00834109">
        <w:rPr>
          <w:snapToGrid w:val="0"/>
          <w:sz w:val="24"/>
          <w:szCs w:val="24"/>
          <w:lang w:eastAsia="en-US"/>
        </w:rPr>
        <w:t>deposits held by the regulated institution in Australia made by the non-APRA-authorised reinsurer;</w:t>
      </w:r>
    </w:p>
    <w:p w14:paraId="67F602D8" w14:textId="77777777" w:rsidR="00E176D4" w:rsidRPr="00834109" w:rsidRDefault="00E176D4" w:rsidP="00435DAF">
      <w:pPr>
        <w:pStyle w:val="BodyText"/>
        <w:numPr>
          <w:ilvl w:val="1"/>
          <w:numId w:val="5"/>
        </w:numPr>
        <w:rPr>
          <w:snapToGrid w:val="0"/>
          <w:sz w:val="24"/>
          <w:szCs w:val="24"/>
          <w:lang w:eastAsia="en-US"/>
        </w:rPr>
      </w:pPr>
      <w:r w:rsidRPr="00834109">
        <w:rPr>
          <w:snapToGrid w:val="0"/>
          <w:sz w:val="24"/>
          <w:szCs w:val="24"/>
          <w:lang w:eastAsia="en-US"/>
        </w:rPr>
        <w:t>a combination of the two forms of collateral specified in sub-paragraphs (i) and (ii); or</w:t>
      </w:r>
    </w:p>
    <w:p w14:paraId="63D80556" w14:textId="77777777" w:rsidR="00E176D4" w:rsidRPr="00834109" w:rsidRDefault="00E176D4" w:rsidP="00435DAF">
      <w:pPr>
        <w:pStyle w:val="BodyText"/>
        <w:numPr>
          <w:ilvl w:val="1"/>
          <w:numId w:val="5"/>
        </w:numPr>
        <w:rPr>
          <w:snapToGrid w:val="0"/>
          <w:sz w:val="24"/>
          <w:szCs w:val="24"/>
          <w:lang w:eastAsia="en-US"/>
        </w:rPr>
      </w:pPr>
      <w:r w:rsidRPr="00834109">
        <w:rPr>
          <w:snapToGrid w:val="0"/>
          <w:sz w:val="24"/>
          <w:szCs w:val="24"/>
          <w:lang w:eastAsia="en-US"/>
        </w:rPr>
        <w:t>any other form of collateral as may be approved by APRA in a particular case;</w:t>
      </w:r>
    </w:p>
    <w:p w14:paraId="7151B185" w14:textId="77777777" w:rsidR="00E176D4" w:rsidRPr="00834109" w:rsidRDefault="00E176D4" w:rsidP="00435DAF">
      <w:pPr>
        <w:pStyle w:val="BodyText"/>
        <w:numPr>
          <w:ilvl w:val="0"/>
          <w:numId w:val="5"/>
        </w:numPr>
        <w:rPr>
          <w:snapToGrid w:val="0"/>
          <w:sz w:val="24"/>
          <w:szCs w:val="24"/>
          <w:lang w:eastAsia="en-US"/>
        </w:rPr>
      </w:pPr>
      <w:r w:rsidRPr="00834109">
        <w:rPr>
          <w:snapToGrid w:val="0"/>
          <w:sz w:val="24"/>
          <w:szCs w:val="24"/>
          <w:lang w:eastAsia="en-US"/>
        </w:rPr>
        <w:t>if it provides effective security against liabilities arising under the reinsurance contract; and</w:t>
      </w:r>
    </w:p>
    <w:p w14:paraId="66143021" w14:textId="77777777" w:rsidR="00E176D4" w:rsidRPr="00834109" w:rsidRDefault="00E176D4" w:rsidP="00435DAF">
      <w:pPr>
        <w:pStyle w:val="BodyText"/>
        <w:numPr>
          <w:ilvl w:val="0"/>
          <w:numId w:val="5"/>
        </w:numPr>
        <w:rPr>
          <w:snapToGrid w:val="0"/>
          <w:sz w:val="24"/>
          <w:szCs w:val="24"/>
          <w:lang w:eastAsia="en-US"/>
        </w:rPr>
      </w:pPr>
      <w:r w:rsidRPr="00834109">
        <w:rPr>
          <w:snapToGrid w:val="0"/>
          <w:sz w:val="24"/>
          <w:szCs w:val="24"/>
          <w:lang w:eastAsia="en-US"/>
        </w:rPr>
        <w:t>if it is not available for distribution to creditors of the reinsurer other than the institution in the event of insolvency of the reinsurer.</w:t>
      </w:r>
    </w:p>
    <w:p w14:paraId="2F8742B9" w14:textId="77777777" w:rsidR="00E176D4" w:rsidRPr="00834109" w:rsidRDefault="00E176D4" w:rsidP="00E176D4">
      <w:pPr>
        <w:pStyle w:val="BodyText"/>
        <w:rPr>
          <w:snapToGrid w:val="0"/>
          <w:sz w:val="24"/>
          <w:szCs w:val="24"/>
          <w:lang w:eastAsia="en-US"/>
        </w:rPr>
      </w:pPr>
      <w:bookmarkStart w:id="15" w:name="_Ref306123086"/>
      <w:r w:rsidRPr="00834109">
        <w:rPr>
          <w:snapToGrid w:val="0"/>
          <w:sz w:val="24"/>
          <w:szCs w:val="24"/>
          <w:lang w:eastAsia="en-US"/>
        </w:rPr>
        <w:t>Where the fair value of the collateral does not cover the full value of the reinsurance recoverables, only th</w:t>
      </w:r>
      <w:r w:rsidR="007D6B0E" w:rsidRPr="00834109">
        <w:rPr>
          <w:snapToGrid w:val="0"/>
          <w:sz w:val="24"/>
          <w:szCs w:val="24"/>
          <w:lang w:eastAsia="en-US"/>
        </w:rPr>
        <w:t>e</w:t>
      </w:r>
      <w:r w:rsidRPr="00834109">
        <w:rPr>
          <w:snapToGrid w:val="0"/>
          <w:sz w:val="24"/>
          <w:szCs w:val="24"/>
          <w:lang w:eastAsia="en-US"/>
        </w:rPr>
        <w:t xml:space="preserve"> part of the value of the reinsurance recoverables that is covered by collateral may be assigned the counterparty grade of the collateral.</w:t>
      </w:r>
      <w:bookmarkEnd w:id="15"/>
      <w:r w:rsidR="00D912BE" w:rsidRPr="00834109">
        <w:rPr>
          <w:snapToGrid w:val="0"/>
          <w:sz w:val="24"/>
          <w:szCs w:val="24"/>
          <w:lang w:eastAsia="en-US"/>
        </w:rPr>
        <w:t xml:space="preserve"> </w:t>
      </w:r>
      <w:r w:rsidR="00D912BE" w:rsidRPr="00834109">
        <w:rPr>
          <w:sz w:val="24"/>
          <w:szCs w:val="24"/>
        </w:rPr>
        <w:t>The remaining portion of the reinsurance recoverable must be treated as an exposure to the underlying reinsurer.</w:t>
      </w:r>
    </w:p>
    <w:p w14:paraId="731779C9" w14:textId="77777777" w:rsidR="003C1E9C" w:rsidRPr="00834109" w:rsidRDefault="003C1E9C" w:rsidP="003C1E9C">
      <w:pPr>
        <w:pStyle w:val="Heading4"/>
        <w:spacing w:after="240"/>
        <w:jc w:val="both"/>
        <w:rPr>
          <w:rFonts w:ascii="Arial" w:hAnsi="Arial" w:cs="Arial"/>
          <w:i/>
          <w:color w:val="auto"/>
          <w:sz w:val="24"/>
          <w:szCs w:val="24"/>
        </w:rPr>
      </w:pPr>
      <w:bookmarkStart w:id="16" w:name="_Ref306123120"/>
      <w:r w:rsidRPr="00834109">
        <w:rPr>
          <w:rFonts w:ascii="Arial" w:hAnsi="Arial" w:cs="Arial"/>
          <w:i/>
          <w:color w:val="auto"/>
          <w:sz w:val="24"/>
          <w:szCs w:val="24"/>
        </w:rPr>
        <w:t>Guarantees</w:t>
      </w:r>
    </w:p>
    <w:p w14:paraId="66A81844" w14:textId="77777777" w:rsidR="00E176D4" w:rsidRPr="00834109" w:rsidRDefault="00E176D4" w:rsidP="00E176D4">
      <w:pPr>
        <w:pStyle w:val="BodyText"/>
        <w:rPr>
          <w:sz w:val="24"/>
          <w:szCs w:val="24"/>
        </w:rPr>
      </w:pPr>
      <w:bookmarkStart w:id="17" w:name="_Ref309804961"/>
      <w:r w:rsidRPr="00834109">
        <w:rPr>
          <w:sz w:val="24"/>
          <w:szCs w:val="24"/>
        </w:rPr>
        <w:t xml:space="preserve">Subject to paragraph </w:t>
      </w:r>
      <w:r w:rsidR="001E7E7B" w:rsidRPr="00834109">
        <w:rPr>
          <w:sz w:val="24"/>
          <w:szCs w:val="24"/>
        </w:rPr>
        <w:fldChar w:fldCharType="begin"/>
      </w:r>
      <w:r w:rsidRPr="00834109">
        <w:rPr>
          <w:sz w:val="24"/>
          <w:szCs w:val="24"/>
        </w:rPr>
        <w:instrText xml:space="preserve"> REF _Ref306123094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33</w:t>
      </w:r>
      <w:r w:rsidR="001E7E7B" w:rsidRPr="00834109">
        <w:rPr>
          <w:sz w:val="24"/>
          <w:szCs w:val="24"/>
        </w:rPr>
        <w:fldChar w:fldCharType="end"/>
      </w:r>
      <w:r w:rsidRPr="00834109">
        <w:rPr>
          <w:sz w:val="24"/>
          <w:szCs w:val="24"/>
        </w:rPr>
        <w:t xml:space="preserve">, where a regulated institution possesses a guarantee or letter of credit in respect of the reinsurance recoverables due from a non-APRA-authorised reinsurer, it may </w:t>
      </w:r>
      <w:r w:rsidR="00D912BE" w:rsidRPr="00834109">
        <w:rPr>
          <w:sz w:val="24"/>
          <w:szCs w:val="24"/>
        </w:rPr>
        <w:t>elect to treat the reinsurance recoverable</w:t>
      </w:r>
      <w:r w:rsidR="00243E26" w:rsidRPr="00834109">
        <w:rPr>
          <w:sz w:val="24"/>
          <w:szCs w:val="24"/>
        </w:rPr>
        <w:t>s</w:t>
      </w:r>
      <w:r w:rsidR="00D912BE" w:rsidRPr="00834109">
        <w:rPr>
          <w:sz w:val="24"/>
          <w:szCs w:val="24"/>
        </w:rPr>
        <w:t xml:space="preserve"> as an exposure to the </w:t>
      </w:r>
      <w:r w:rsidRPr="00834109">
        <w:rPr>
          <w:sz w:val="24"/>
          <w:szCs w:val="24"/>
        </w:rPr>
        <w:t xml:space="preserve">guarantor or the issuer of the letter of credit (as applicable). </w:t>
      </w:r>
      <w:r w:rsidR="0049390C" w:rsidRPr="00834109">
        <w:rPr>
          <w:snapToGrid w:val="0"/>
          <w:sz w:val="24"/>
          <w:szCs w:val="24"/>
          <w:lang w:eastAsia="en-US"/>
        </w:rPr>
        <w:t>This means that the asset is included in the limits in Attachment A with respect to the</w:t>
      </w:r>
      <w:r w:rsidR="00D20304" w:rsidRPr="00834109">
        <w:rPr>
          <w:snapToGrid w:val="0"/>
          <w:sz w:val="24"/>
          <w:szCs w:val="24"/>
          <w:lang w:eastAsia="en-US"/>
        </w:rPr>
        <w:t xml:space="preserve"> guarantor or issuer of the letter of credit</w:t>
      </w:r>
      <w:r w:rsidR="0049390C" w:rsidRPr="00834109">
        <w:rPr>
          <w:snapToGrid w:val="0"/>
          <w:sz w:val="24"/>
          <w:szCs w:val="24"/>
          <w:lang w:eastAsia="en-US"/>
        </w:rPr>
        <w:t xml:space="preserve">, rather than the underlying </w:t>
      </w:r>
      <w:r w:rsidR="00D20304" w:rsidRPr="00834109">
        <w:rPr>
          <w:snapToGrid w:val="0"/>
          <w:sz w:val="24"/>
          <w:szCs w:val="24"/>
          <w:lang w:eastAsia="en-US"/>
        </w:rPr>
        <w:t>reinsurer</w:t>
      </w:r>
      <w:r w:rsidR="0049390C" w:rsidRPr="00834109">
        <w:rPr>
          <w:snapToGrid w:val="0"/>
          <w:sz w:val="24"/>
          <w:szCs w:val="24"/>
          <w:lang w:eastAsia="en-US"/>
        </w:rPr>
        <w:t xml:space="preserve">. </w:t>
      </w:r>
      <w:r w:rsidRPr="00834109">
        <w:rPr>
          <w:sz w:val="24"/>
          <w:szCs w:val="24"/>
        </w:rPr>
        <w:t>This paragraph applies only if:</w:t>
      </w:r>
      <w:bookmarkEnd w:id="16"/>
      <w:bookmarkEnd w:id="17"/>
    </w:p>
    <w:p w14:paraId="59B7D978" w14:textId="77777777" w:rsidR="00E176D4" w:rsidRPr="00834109" w:rsidRDefault="00E176D4" w:rsidP="00435DAF">
      <w:pPr>
        <w:pStyle w:val="BodyText"/>
        <w:numPr>
          <w:ilvl w:val="0"/>
          <w:numId w:val="3"/>
        </w:numPr>
        <w:rPr>
          <w:sz w:val="24"/>
          <w:szCs w:val="24"/>
        </w:rPr>
      </w:pPr>
      <w:r w:rsidRPr="00834109">
        <w:rPr>
          <w:sz w:val="24"/>
          <w:szCs w:val="24"/>
        </w:rPr>
        <w:t xml:space="preserve">the guarantor or issuer of the letter of credit is an </w:t>
      </w:r>
      <w:r w:rsidR="003F5383" w:rsidRPr="00834109">
        <w:rPr>
          <w:sz w:val="24"/>
          <w:szCs w:val="24"/>
        </w:rPr>
        <w:t>ADI</w:t>
      </w:r>
      <w:r w:rsidRPr="00834109">
        <w:rPr>
          <w:sz w:val="24"/>
          <w:szCs w:val="24"/>
        </w:rPr>
        <w:t xml:space="preserve"> or, in the case of a </w:t>
      </w:r>
      <w:r w:rsidRPr="00834109">
        <w:rPr>
          <w:b/>
          <w:sz w:val="24"/>
          <w:szCs w:val="24"/>
        </w:rPr>
        <w:t>Category E insurer</w:t>
      </w:r>
      <w:r w:rsidRPr="00834109">
        <w:rPr>
          <w:sz w:val="24"/>
          <w:szCs w:val="24"/>
        </w:rPr>
        <w:t xml:space="preserve">, its parent entity or other related entity provided the entity has a counterparty rating of </w:t>
      </w:r>
      <w:r w:rsidR="00243E26" w:rsidRPr="00834109">
        <w:rPr>
          <w:sz w:val="24"/>
          <w:szCs w:val="24"/>
        </w:rPr>
        <w:t>g</w:t>
      </w:r>
      <w:r w:rsidRPr="00834109">
        <w:rPr>
          <w:sz w:val="24"/>
          <w:szCs w:val="24"/>
        </w:rPr>
        <w:t>rade 1, 2 or 3;</w:t>
      </w:r>
    </w:p>
    <w:p w14:paraId="7D1EB897" w14:textId="77777777" w:rsidR="00E176D4" w:rsidRPr="00834109" w:rsidRDefault="00E176D4" w:rsidP="00435DAF">
      <w:pPr>
        <w:pStyle w:val="BodyText"/>
        <w:numPr>
          <w:ilvl w:val="0"/>
          <w:numId w:val="3"/>
        </w:numPr>
        <w:rPr>
          <w:sz w:val="24"/>
          <w:szCs w:val="24"/>
        </w:rPr>
      </w:pPr>
      <w:r w:rsidRPr="00834109">
        <w:rPr>
          <w:sz w:val="24"/>
          <w:szCs w:val="24"/>
        </w:rPr>
        <w:lastRenderedPageBreak/>
        <w:t>the guarantee or letter of credit is explicit, unconditional and irrevocable;</w:t>
      </w:r>
    </w:p>
    <w:p w14:paraId="1E9C7D8E" w14:textId="77777777" w:rsidR="00E176D4" w:rsidRPr="00834109" w:rsidRDefault="00E176D4" w:rsidP="00435DAF">
      <w:pPr>
        <w:pStyle w:val="BodyText"/>
        <w:numPr>
          <w:ilvl w:val="0"/>
          <w:numId w:val="3"/>
        </w:numPr>
        <w:rPr>
          <w:sz w:val="24"/>
          <w:szCs w:val="24"/>
        </w:rPr>
      </w:pPr>
      <w:r w:rsidRPr="00834109">
        <w:rPr>
          <w:sz w:val="24"/>
          <w:szCs w:val="24"/>
        </w:rPr>
        <w:t>the guarantor or issuer of the letter of credit is obliged to pay the institution in Australia; and</w:t>
      </w:r>
      <w:r w:rsidR="007320B5">
        <w:rPr>
          <w:sz w:val="24"/>
          <w:szCs w:val="24"/>
        </w:rPr>
        <w:t xml:space="preserve"> </w:t>
      </w:r>
    </w:p>
    <w:p w14:paraId="74897E6F" w14:textId="77777777" w:rsidR="00E176D4" w:rsidRPr="00834109" w:rsidRDefault="00E176D4" w:rsidP="00435DAF">
      <w:pPr>
        <w:pStyle w:val="BodyText"/>
        <w:numPr>
          <w:ilvl w:val="0"/>
          <w:numId w:val="3"/>
        </w:numPr>
        <w:rPr>
          <w:sz w:val="24"/>
          <w:szCs w:val="24"/>
        </w:rPr>
      </w:pPr>
      <w:r w:rsidRPr="00834109">
        <w:rPr>
          <w:sz w:val="24"/>
          <w:szCs w:val="24"/>
        </w:rPr>
        <w:t xml:space="preserve">the obligation of the guarantor or issuer of the letter of credit to pay the institution is specifically linked to performance of the reinsurance contract or contracts under which the reinsurance recoverables arise.  </w:t>
      </w:r>
    </w:p>
    <w:p w14:paraId="59C45DF6" w14:textId="77777777" w:rsidR="00E176D4" w:rsidRPr="00834109" w:rsidRDefault="00E176D4" w:rsidP="00E176D4">
      <w:pPr>
        <w:pStyle w:val="BodyText"/>
        <w:rPr>
          <w:snapToGrid w:val="0"/>
          <w:sz w:val="24"/>
          <w:szCs w:val="24"/>
          <w:lang w:eastAsia="en-US"/>
        </w:rPr>
      </w:pPr>
      <w:bookmarkStart w:id="18" w:name="_Ref309805042"/>
      <w:r w:rsidRPr="00834109">
        <w:rPr>
          <w:snapToGrid w:val="0"/>
          <w:sz w:val="24"/>
          <w:szCs w:val="24"/>
          <w:lang w:eastAsia="en-US"/>
        </w:rPr>
        <w:t>Except in the case of a Category E insurer, a guarantee or letter of credit provided to a regulated institution by its parent entity or other related entity is not eligible for the treatment provided for in paragraph</w:t>
      </w:r>
      <w:r w:rsidR="00442627" w:rsidRPr="00834109">
        <w:rPr>
          <w:snapToGrid w:val="0"/>
          <w:sz w:val="24"/>
          <w:szCs w:val="24"/>
          <w:lang w:eastAsia="en-US"/>
        </w:rPr>
        <w:t xml:space="preserve"> </w:t>
      </w:r>
      <w:r w:rsidR="001E7E7B" w:rsidRPr="00834109">
        <w:rPr>
          <w:snapToGrid w:val="0"/>
          <w:sz w:val="24"/>
          <w:szCs w:val="24"/>
          <w:lang w:eastAsia="en-US"/>
        </w:rPr>
        <w:fldChar w:fldCharType="begin"/>
      </w:r>
      <w:r w:rsidR="00442627" w:rsidRPr="00834109">
        <w:rPr>
          <w:snapToGrid w:val="0"/>
          <w:sz w:val="24"/>
          <w:szCs w:val="24"/>
          <w:lang w:eastAsia="en-US"/>
        </w:rPr>
        <w:instrText xml:space="preserve"> REF _Ref309804961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31</w:t>
      </w:r>
      <w:r w:rsidR="001E7E7B" w:rsidRPr="00834109">
        <w:rPr>
          <w:snapToGrid w:val="0"/>
          <w:sz w:val="24"/>
          <w:szCs w:val="24"/>
          <w:lang w:eastAsia="en-US"/>
        </w:rPr>
        <w:fldChar w:fldCharType="end"/>
      </w:r>
      <w:r w:rsidRPr="00834109">
        <w:rPr>
          <w:snapToGrid w:val="0"/>
          <w:sz w:val="24"/>
          <w:szCs w:val="24"/>
          <w:lang w:eastAsia="en-US"/>
        </w:rPr>
        <w:t>.</w:t>
      </w:r>
      <w:bookmarkEnd w:id="18"/>
    </w:p>
    <w:p w14:paraId="5D558719" w14:textId="77777777" w:rsidR="00E176D4" w:rsidRPr="00834109" w:rsidRDefault="00E176D4" w:rsidP="00E176D4">
      <w:pPr>
        <w:pStyle w:val="BodyText"/>
        <w:rPr>
          <w:sz w:val="24"/>
          <w:szCs w:val="24"/>
        </w:rPr>
      </w:pPr>
      <w:bookmarkStart w:id="19" w:name="_Ref306123094"/>
      <w:r w:rsidRPr="00834109">
        <w:rPr>
          <w:snapToGrid w:val="0"/>
          <w:sz w:val="24"/>
          <w:szCs w:val="24"/>
          <w:lang w:eastAsia="en-US"/>
        </w:rPr>
        <w:t xml:space="preserve">The collateral, guarantee or letter of credit referred to in paragraphs </w:t>
      </w:r>
      <w:r w:rsidR="001E7E7B" w:rsidRPr="00834109">
        <w:rPr>
          <w:snapToGrid w:val="0"/>
          <w:sz w:val="24"/>
          <w:szCs w:val="24"/>
          <w:lang w:eastAsia="en-US"/>
        </w:rPr>
        <w:fldChar w:fldCharType="begin"/>
      </w:r>
      <w:r w:rsidR="00373100" w:rsidRPr="00834109">
        <w:rPr>
          <w:snapToGrid w:val="0"/>
          <w:sz w:val="24"/>
          <w:szCs w:val="24"/>
          <w:lang w:eastAsia="en-US"/>
        </w:rPr>
        <w:instrText xml:space="preserve"> REF _Ref309804932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28</w:t>
      </w:r>
      <w:r w:rsidR="001E7E7B" w:rsidRPr="00834109">
        <w:rPr>
          <w:snapToGrid w:val="0"/>
          <w:sz w:val="24"/>
          <w:szCs w:val="24"/>
          <w:lang w:eastAsia="en-US"/>
        </w:rPr>
        <w:fldChar w:fldCharType="end"/>
      </w:r>
      <w:r w:rsidRPr="00834109">
        <w:rPr>
          <w:snapToGrid w:val="0"/>
          <w:sz w:val="24"/>
          <w:szCs w:val="24"/>
          <w:lang w:eastAsia="en-US"/>
        </w:rPr>
        <w:t xml:space="preserve"> and </w:t>
      </w:r>
      <w:r w:rsidR="001E7E7B" w:rsidRPr="00834109">
        <w:rPr>
          <w:snapToGrid w:val="0"/>
          <w:sz w:val="24"/>
          <w:szCs w:val="24"/>
          <w:lang w:eastAsia="en-US"/>
        </w:rPr>
        <w:fldChar w:fldCharType="begin"/>
      </w:r>
      <w:r w:rsidR="00373100" w:rsidRPr="00834109">
        <w:rPr>
          <w:snapToGrid w:val="0"/>
          <w:sz w:val="24"/>
          <w:szCs w:val="24"/>
          <w:lang w:eastAsia="en-US"/>
        </w:rPr>
        <w:instrText xml:space="preserve"> REF _Ref309804961 \r \h </w:instrText>
      </w:r>
      <w:r w:rsidR="00834109" w:rsidRPr="00834109">
        <w:rPr>
          <w:snapToGrid w:val="0"/>
          <w:sz w:val="24"/>
          <w:szCs w:val="24"/>
          <w:lang w:eastAsia="en-US"/>
        </w:rPr>
        <w:instrText xml:space="preserve"> \* MERGEFORMAT </w:instrText>
      </w:r>
      <w:r w:rsidR="001E7E7B" w:rsidRPr="00834109">
        <w:rPr>
          <w:snapToGrid w:val="0"/>
          <w:sz w:val="24"/>
          <w:szCs w:val="24"/>
          <w:lang w:eastAsia="en-US"/>
        </w:rPr>
      </w:r>
      <w:r w:rsidR="001E7E7B" w:rsidRPr="00834109">
        <w:rPr>
          <w:snapToGrid w:val="0"/>
          <w:sz w:val="24"/>
          <w:szCs w:val="24"/>
          <w:lang w:eastAsia="en-US"/>
        </w:rPr>
        <w:fldChar w:fldCharType="separate"/>
      </w:r>
      <w:r w:rsidR="00D75B6D">
        <w:rPr>
          <w:snapToGrid w:val="0"/>
          <w:sz w:val="24"/>
          <w:szCs w:val="24"/>
          <w:lang w:eastAsia="en-US"/>
        </w:rPr>
        <w:t>31</w:t>
      </w:r>
      <w:r w:rsidR="001E7E7B" w:rsidRPr="00834109">
        <w:rPr>
          <w:snapToGrid w:val="0"/>
          <w:sz w:val="24"/>
          <w:szCs w:val="24"/>
          <w:lang w:eastAsia="en-US"/>
        </w:rPr>
        <w:fldChar w:fldCharType="end"/>
      </w:r>
      <w:r w:rsidRPr="00834109">
        <w:rPr>
          <w:snapToGrid w:val="0"/>
          <w:sz w:val="24"/>
          <w:szCs w:val="24"/>
          <w:lang w:eastAsia="en-US"/>
        </w:rPr>
        <w:t xml:space="preserve"> must be effective for the expected period for payment of claims under the reinsurance contract under which the reinsurance recoverables arise. If this is impractical, the collateral, guarantee or letter of credit must be effective for </w:t>
      </w:r>
      <w:r w:rsidR="000D55D7" w:rsidRPr="00834109">
        <w:rPr>
          <w:snapToGrid w:val="0"/>
          <w:sz w:val="24"/>
          <w:szCs w:val="24"/>
          <w:lang w:eastAsia="en-US"/>
        </w:rPr>
        <w:t xml:space="preserve">a period of </w:t>
      </w:r>
      <w:r w:rsidRPr="00834109">
        <w:rPr>
          <w:snapToGrid w:val="0"/>
          <w:sz w:val="24"/>
          <w:szCs w:val="24"/>
          <w:lang w:eastAsia="en-US"/>
        </w:rPr>
        <w:t xml:space="preserve">at least </w:t>
      </w:r>
      <w:r w:rsidR="000D55D7" w:rsidRPr="00834109">
        <w:rPr>
          <w:snapToGrid w:val="0"/>
          <w:sz w:val="24"/>
          <w:szCs w:val="24"/>
          <w:lang w:eastAsia="en-US"/>
        </w:rPr>
        <w:t xml:space="preserve">24 months </w:t>
      </w:r>
      <w:r w:rsidRPr="00834109">
        <w:rPr>
          <w:snapToGrid w:val="0"/>
          <w:sz w:val="24"/>
          <w:szCs w:val="24"/>
          <w:lang w:eastAsia="en-US"/>
        </w:rPr>
        <w:t xml:space="preserve">but be renegotiable each year to allow at least </w:t>
      </w:r>
      <w:r w:rsidR="000D55D7" w:rsidRPr="00834109">
        <w:rPr>
          <w:snapToGrid w:val="0"/>
          <w:sz w:val="24"/>
          <w:szCs w:val="24"/>
          <w:lang w:eastAsia="en-US"/>
        </w:rPr>
        <w:t xml:space="preserve">12 months </w:t>
      </w:r>
      <w:r w:rsidRPr="00834109">
        <w:rPr>
          <w:snapToGrid w:val="0"/>
          <w:sz w:val="24"/>
          <w:szCs w:val="24"/>
          <w:lang w:eastAsia="en-US"/>
        </w:rPr>
        <w:t>to identify alternative arrangements if the collateral, guarantee or letter of credit cannot be renegotiated.</w:t>
      </w:r>
      <w:bookmarkEnd w:id="19"/>
    </w:p>
    <w:p w14:paraId="352CB707" w14:textId="77777777" w:rsidR="00E176D4" w:rsidRPr="00834109" w:rsidRDefault="000D163A" w:rsidP="00E176D4">
      <w:pPr>
        <w:pStyle w:val="BodyText"/>
        <w:rPr>
          <w:sz w:val="24"/>
          <w:szCs w:val="24"/>
        </w:rPr>
      </w:pPr>
      <w:bookmarkStart w:id="20" w:name="_Ref306343214"/>
      <w:bookmarkStart w:id="21" w:name="_Ref324261909"/>
      <w:bookmarkStart w:id="22" w:name="_Ref306123057"/>
      <w:r w:rsidRPr="00834109">
        <w:rPr>
          <w:sz w:val="24"/>
          <w:szCs w:val="24"/>
        </w:rPr>
        <w:t xml:space="preserve">A </w:t>
      </w:r>
      <w:r w:rsidR="00E176D4" w:rsidRPr="00834109">
        <w:rPr>
          <w:sz w:val="24"/>
          <w:szCs w:val="24"/>
        </w:rPr>
        <w:t xml:space="preserve">regulated institution may elect to not apply the treatment for reinsurance recoverables from non-APRA-authorised reinsurers in paragraphs </w:t>
      </w:r>
      <w:r w:rsidR="001E7E7B" w:rsidRPr="00834109">
        <w:rPr>
          <w:sz w:val="24"/>
          <w:szCs w:val="24"/>
        </w:rPr>
        <w:fldChar w:fldCharType="begin"/>
      </w:r>
      <w:r w:rsidR="00442627" w:rsidRPr="00834109">
        <w:rPr>
          <w:sz w:val="24"/>
          <w:szCs w:val="24"/>
        </w:rPr>
        <w:instrText xml:space="preserve"> REF _Ref309804932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28</w:t>
      </w:r>
      <w:r w:rsidR="001E7E7B" w:rsidRPr="00834109">
        <w:rPr>
          <w:sz w:val="24"/>
          <w:szCs w:val="24"/>
        </w:rPr>
        <w:fldChar w:fldCharType="end"/>
      </w:r>
      <w:r w:rsidR="00E176D4" w:rsidRPr="00834109">
        <w:rPr>
          <w:sz w:val="24"/>
          <w:szCs w:val="24"/>
        </w:rPr>
        <w:t xml:space="preserve"> and </w:t>
      </w:r>
      <w:r w:rsidR="001E7E7B" w:rsidRPr="00834109">
        <w:rPr>
          <w:sz w:val="24"/>
          <w:szCs w:val="24"/>
        </w:rPr>
        <w:fldChar w:fldCharType="begin"/>
      </w:r>
      <w:r w:rsidR="00442627" w:rsidRPr="00834109">
        <w:rPr>
          <w:sz w:val="24"/>
          <w:szCs w:val="24"/>
        </w:rPr>
        <w:instrText xml:space="preserve"> REF _Ref309804961 \r \h </w:instrText>
      </w:r>
      <w:r w:rsidR="00834109" w:rsidRPr="00834109">
        <w:rPr>
          <w:sz w:val="24"/>
          <w:szCs w:val="24"/>
        </w:rPr>
        <w:instrText xml:space="preserve"> \* MERGEFORMAT </w:instrText>
      </w:r>
      <w:r w:rsidR="001E7E7B" w:rsidRPr="00834109">
        <w:rPr>
          <w:sz w:val="24"/>
          <w:szCs w:val="24"/>
        </w:rPr>
      </w:r>
      <w:r w:rsidR="001E7E7B" w:rsidRPr="00834109">
        <w:rPr>
          <w:sz w:val="24"/>
          <w:szCs w:val="24"/>
        </w:rPr>
        <w:fldChar w:fldCharType="separate"/>
      </w:r>
      <w:r w:rsidR="00D75B6D">
        <w:rPr>
          <w:sz w:val="24"/>
          <w:szCs w:val="24"/>
        </w:rPr>
        <w:t>31</w:t>
      </w:r>
      <w:r w:rsidR="001E7E7B" w:rsidRPr="00834109">
        <w:rPr>
          <w:sz w:val="24"/>
          <w:szCs w:val="24"/>
        </w:rPr>
        <w:fldChar w:fldCharType="end"/>
      </w:r>
      <w:r w:rsidR="00E176D4" w:rsidRPr="00834109">
        <w:rPr>
          <w:sz w:val="24"/>
          <w:szCs w:val="24"/>
        </w:rPr>
        <w:t xml:space="preserve"> and instead apply the counterparty grade of the non-APRA-authorised reinsurer in order to determine the Asset Concentration Risk Charge.</w:t>
      </w:r>
      <w:bookmarkEnd w:id="20"/>
      <w:r w:rsidRPr="00834109">
        <w:rPr>
          <w:sz w:val="24"/>
          <w:szCs w:val="24"/>
        </w:rPr>
        <w:t xml:space="preserve"> APRA may</w:t>
      </w:r>
      <w:r w:rsidR="00D22EAB">
        <w:rPr>
          <w:sz w:val="24"/>
          <w:szCs w:val="24"/>
        </w:rPr>
        <w:t xml:space="preserve"> </w:t>
      </w:r>
      <w:r w:rsidRPr="00834109">
        <w:rPr>
          <w:sz w:val="24"/>
          <w:szCs w:val="24"/>
        </w:rPr>
        <w:t>require a institution to apply a specified treatment to reinsurance recoverable</w:t>
      </w:r>
      <w:r w:rsidR="006E5C85" w:rsidRPr="00834109">
        <w:rPr>
          <w:sz w:val="24"/>
          <w:szCs w:val="24"/>
        </w:rPr>
        <w:t>s</w:t>
      </w:r>
      <w:r w:rsidRPr="00834109">
        <w:rPr>
          <w:sz w:val="24"/>
          <w:szCs w:val="24"/>
        </w:rPr>
        <w:t xml:space="preserve"> from non-APRA-authorised reinsurers supported by collateral, guarantee or letter of credit, rather than the treatment that would otherwise apply under this paragraph.</w:t>
      </w:r>
      <w:bookmarkEnd w:id="21"/>
    </w:p>
    <w:bookmarkEnd w:id="22"/>
    <w:p w14:paraId="0F76656E" w14:textId="77777777" w:rsidR="00E176D4" w:rsidRPr="00834109" w:rsidRDefault="00E176D4" w:rsidP="003C1E9C">
      <w:pPr>
        <w:pStyle w:val="Heading"/>
        <w:spacing w:before="120" w:after="240"/>
        <w:rPr>
          <w:rFonts w:ascii="Arial" w:hAnsi="Arial" w:cs="Arial"/>
          <w:bCs/>
          <w:sz w:val="24"/>
          <w:szCs w:val="24"/>
        </w:rPr>
      </w:pPr>
      <w:r w:rsidRPr="00834109">
        <w:rPr>
          <w:rFonts w:ascii="Arial" w:hAnsi="Arial" w:cs="Arial"/>
          <w:bCs/>
          <w:sz w:val="24"/>
          <w:szCs w:val="24"/>
        </w:rPr>
        <w:t>Adjustments and exclusions</w:t>
      </w:r>
    </w:p>
    <w:p w14:paraId="4C1DF74A" w14:textId="77777777" w:rsidR="00E176D4" w:rsidRPr="00834109" w:rsidRDefault="00763271" w:rsidP="00E176D4">
      <w:pPr>
        <w:pStyle w:val="BodyText"/>
        <w:rPr>
          <w:sz w:val="24"/>
          <w:szCs w:val="24"/>
        </w:rPr>
      </w:pPr>
      <w:bookmarkStart w:id="23" w:name="_Hlt524768033"/>
      <w:bookmarkStart w:id="24" w:name="_Hlt524768043"/>
      <w:bookmarkStart w:id="25" w:name="_Ref508419845"/>
      <w:bookmarkStart w:id="26" w:name="_Ref71610566"/>
      <w:bookmarkEnd w:id="23"/>
      <w:bookmarkEnd w:id="24"/>
      <w:r w:rsidRPr="00834109">
        <w:rPr>
          <w:sz w:val="24"/>
          <w:szCs w:val="24"/>
        </w:rPr>
        <w:t>A regulated institution may apply to APRA to vary the application of the limits in Attachment A. In deciding whether</w:t>
      </w:r>
      <w:r w:rsidR="00E176D4" w:rsidRPr="00834109">
        <w:rPr>
          <w:sz w:val="24"/>
          <w:szCs w:val="24"/>
        </w:rPr>
        <w:t xml:space="preserve"> to grant the application, APRA will have regard to the type of exposure, the term of the exposure, the ability for the institution to mitigate the Asset Concentration Risk Charge by other means and any other matters which APRA considers relevant. APRA may grant approval for such variation subject to conditions and may specify any period of time for such variation. </w:t>
      </w:r>
    </w:p>
    <w:p w14:paraId="34A4B2EA" w14:textId="77777777" w:rsidR="00E176D4" w:rsidRPr="00834109" w:rsidRDefault="00E176D4" w:rsidP="00E176D4">
      <w:pPr>
        <w:pStyle w:val="BodyText"/>
        <w:rPr>
          <w:sz w:val="24"/>
          <w:szCs w:val="24"/>
        </w:rPr>
      </w:pPr>
      <w:r w:rsidRPr="00834109">
        <w:rPr>
          <w:sz w:val="24"/>
          <w:szCs w:val="24"/>
        </w:rPr>
        <w:t xml:space="preserve">APRA may adjust or exclude a specific requirement in this Prudential Standard in relation to </w:t>
      </w:r>
      <w:r w:rsidR="0094029E">
        <w:rPr>
          <w:sz w:val="24"/>
          <w:szCs w:val="24"/>
        </w:rPr>
        <w:t>a</w:t>
      </w:r>
      <w:r w:rsidRPr="00834109">
        <w:rPr>
          <w:sz w:val="24"/>
          <w:szCs w:val="24"/>
        </w:rPr>
        <w:t xml:space="preserve"> regulated institution.</w:t>
      </w:r>
    </w:p>
    <w:p w14:paraId="2D709D77" w14:textId="77777777" w:rsidR="00825597" w:rsidRDefault="00825597" w:rsidP="002C66D0">
      <w:pPr>
        <w:pStyle w:val="Heading"/>
        <w:keepNext/>
        <w:spacing w:before="120" w:after="240"/>
        <w:rPr>
          <w:rFonts w:ascii="Arial" w:hAnsi="Arial" w:cs="Arial"/>
          <w:bCs/>
          <w:sz w:val="24"/>
          <w:szCs w:val="24"/>
        </w:rPr>
      </w:pPr>
      <w:r>
        <w:rPr>
          <w:rFonts w:ascii="Arial" w:hAnsi="Arial" w:cs="Arial"/>
          <w:bCs/>
          <w:sz w:val="24"/>
          <w:szCs w:val="24"/>
        </w:rPr>
        <w:t>Determinations made under previous prudential standards</w:t>
      </w:r>
    </w:p>
    <w:p w14:paraId="5455ABA1" w14:textId="77777777" w:rsidR="004E4314" w:rsidRPr="00A252C4" w:rsidRDefault="00825597" w:rsidP="004E4314">
      <w:pPr>
        <w:pStyle w:val="BodyText"/>
        <w:rPr>
          <w:sz w:val="24"/>
          <w:szCs w:val="24"/>
        </w:rPr>
      </w:pPr>
      <w:r w:rsidRPr="00A252C4">
        <w:rPr>
          <w:sz w:val="24"/>
          <w:szCs w:val="24"/>
        </w:rPr>
        <w:t xml:space="preserve">An exercise of APRA’s discretion (such as an approval, waiver or direction) under a previous version of </w:t>
      </w:r>
      <w:r w:rsidR="0094029E" w:rsidRPr="00A252C4">
        <w:rPr>
          <w:sz w:val="24"/>
          <w:szCs w:val="24"/>
        </w:rPr>
        <w:t>this</w:t>
      </w:r>
      <w:r w:rsidRPr="00A252C4">
        <w:rPr>
          <w:sz w:val="24"/>
          <w:szCs w:val="24"/>
        </w:rPr>
        <w:t xml:space="preserve"> </w:t>
      </w:r>
      <w:r w:rsidR="004E4314" w:rsidRPr="00A252C4">
        <w:rPr>
          <w:sz w:val="24"/>
          <w:szCs w:val="24"/>
        </w:rPr>
        <w:t>P</w:t>
      </w:r>
      <w:r w:rsidRPr="00A252C4">
        <w:rPr>
          <w:sz w:val="24"/>
          <w:szCs w:val="24"/>
        </w:rPr>
        <w:t xml:space="preserve">rudential </w:t>
      </w:r>
      <w:r w:rsidR="004E4314" w:rsidRPr="00A252C4">
        <w:rPr>
          <w:sz w:val="24"/>
          <w:szCs w:val="24"/>
        </w:rPr>
        <w:t>S</w:t>
      </w:r>
      <w:r w:rsidRPr="00A252C4">
        <w:rPr>
          <w:sz w:val="24"/>
          <w:szCs w:val="24"/>
        </w:rPr>
        <w:t>tandard continues to have effect as though exercised pursuant to a corresponding power (if any) exercisable by APRA under this Prudential Standard.</w:t>
      </w:r>
    </w:p>
    <w:bookmarkEnd w:id="25"/>
    <w:bookmarkEnd w:id="26"/>
    <w:p w14:paraId="75A631AD" w14:textId="77777777" w:rsidR="00E176D4" w:rsidRPr="00834109" w:rsidRDefault="00E176D4" w:rsidP="00282F05">
      <w:pPr>
        <w:pStyle w:val="BodyText"/>
        <w:numPr>
          <w:ilvl w:val="0"/>
          <w:numId w:val="0"/>
        </w:numPr>
        <w:ind w:left="567" w:hanging="567"/>
        <w:rPr>
          <w:rFonts w:ascii="Arial" w:hAnsi="Arial"/>
          <w:bCs/>
        </w:rPr>
      </w:pPr>
      <w:r w:rsidRPr="00834109">
        <w:br w:type="page"/>
      </w:r>
      <w:r w:rsidRPr="00282F05">
        <w:rPr>
          <w:rFonts w:ascii="Arial" w:hAnsi="Arial" w:cs="Arial"/>
          <w:b/>
          <w:bCs/>
          <w:sz w:val="24"/>
          <w:szCs w:val="24"/>
        </w:rPr>
        <w:lastRenderedPageBreak/>
        <w:t>Attachment A</w:t>
      </w:r>
    </w:p>
    <w:p w14:paraId="03CCB329" w14:textId="77777777" w:rsidR="00E176D4" w:rsidRPr="00834109" w:rsidRDefault="00E176D4" w:rsidP="00435DAF">
      <w:pPr>
        <w:pStyle w:val="Footer"/>
        <w:numPr>
          <w:ilvl w:val="0"/>
          <w:numId w:val="4"/>
        </w:numPr>
        <w:tabs>
          <w:tab w:val="clear" w:pos="4513"/>
          <w:tab w:val="clear" w:pos="9026"/>
        </w:tabs>
        <w:spacing w:after="240"/>
        <w:jc w:val="both"/>
        <w:rPr>
          <w:rFonts w:ascii="Times New Roman" w:hAnsi="Times New Roman"/>
          <w:sz w:val="24"/>
          <w:szCs w:val="24"/>
        </w:rPr>
      </w:pPr>
      <w:r w:rsidRPr="00834109">
        <w:rPr>
          <w:rFonts w:ascii="Times New Roman" w:hAnsi="Times New Roman"/>
          <w:sz w:val="24"/>
          <w:szCs w:val="24"/>
        </w:rPr>
        <w:t>This attachment sets out the Asset Concentration Risk Charge limits for exposures to single assets, counterparties and groups of related counterparties.</w:t>
      </w:r>
    </w:p>
    <w:p w14:paraId="5F01E25E" w14:textId="77777777" w:rsidR="00E176D4" w:rsidRPr="00834109" w:rsidRDefault="00E176D4" w:rsidP="00E176D4">
      <w:pPr>
        <w:pStyle w:val="Heading"/>
        <w:spacing w:before="120" w:after="240"/>
        <w:rPr>
          <w:bCs/>
          <w:sz w:val="24"/>
          <w:szCs w:val="24"/>
        </w:rPr>
      </w:pPr>
      <w:r w:rsidRPr="00834109">
        <w:rPr>
          <w:bCs/>
          <w:sz w:val="24"/>
          <w:szCs w:val="24"/>
        </w:rPr>
        <w:t>Table 1: Reinsurance exposures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640"/>
        <w:gridCol w:w="3130"/>
      </w:tblGrid>
      <w:tr w:rsidR="00E176D4" w:rsidRPr="00834109" w14:paraId="7E3C8B03" w14:textId="77777777" w:rsidTr="00E176D4">
        <w:tc>
          <w:tcPr>
            <w:tcW w:w="534" w:type="dxa"/>
          </w:tcPr>
          <w:p w14:paraId="66560C02" w14:textId="77777777" w:rsidR="00E176D4" w:rsidRPr="00834109" w:rsidRDefault="00E176D4" w:rsidP="00E176D4">
            <w:pPr>
              <w:spacing w:after="240"/>
              <w:jc w:val="both"/>
              <w:rPr>
                <w:rFonts w:ascii="Times New Roman" w:hAnsi="Times New Roman"/>
                <w:b/>
                <w:sz w:val="24"/>
                <w:szCs w:val="24"/>
              </w:rPr>
            </w:pPr>
          </w:p>
        </w:tc>
        <w:tc>
          <w:tcPr>
            <w:tcW w:w="4763" w:type="dxa"/>
          </w:tcPr>
          <w:p w14:paraId="0E179D18" w14:textId="77777777" w:rsidR="00E176D4" w:rsidRPr="00834109" w:rsidRDefault="00E176D4" w:rsidP="00E176D4">
            <w:pPr>
              <w:spacing w:after="240"/>
              <w:jc w:val="both"/>
              <w:rPr>
                <w:rFonts w:ascii="Times New Roman" w:hAnsi="Times New Roman"/>
                <w:b/>
                <w:sz w:val="24"/>
                <w:szCs w:val="24"/>
              </w:rPr>
            </w:pPr>
            <w:r w:rsidRPr="00834109">
              <w:rPr>
                <w:rFonts w:ascii="Times New Roman" w:hAnsi="Times New Roman"/>
                <w:b/>
                <w:sz w:val="24"/>
                <w:szCs w:val="24"/>
              </w:rPr>
              <w:t>Exposure – reinsurance counterparty or group of counterparties</w:t>
            </w:r>
          </w:p>
        </w:tc>
        <w:tc>
          <w:tcPr>
            <w:tcW w:w="3225" w:type="dxa"/>
          </w:tcPr>
          <w:p w14:paraId="3AF25891" w14:textId="77777777" w:rsidR="00E176D4" w:rsidRPr="00834109" w:rsidRDefault="00E176D4" w:rsidP="00E176D4">
            <w:pPr>
              <w:spacing w:after="240"/>
              <w:jc w:val="both"/>
              <w:rPr>
                <w:rFonts w:ascii="Times New Roman" w:hAnsi="Times New Roman"/>
                <w:b/>
                <w:sz w:val="24"/>
                <w:szCs w:val="24"/>
              </w:rPr>
            </w:pPr>
            <w:r w:rsidRPr="00834109">
              <w:rPr>
                <w:rFonts w:ascii="Times New Roman" w:hAnsi="Times New Roman"/>
                <w:b/>
                <w:sz w:val="24"/>
                <w:szCs w:val="24"/>
              </w:rPr>
              <w:t>AUD limit</w:t>
            </w:r>
          </w:p>
        </w:tc>
      </w:tr>
      <w:tr w:rsidR="00E176D4" w:rsidRPr="00834109" w14:paraId="16CB02D0" w14:textId="77777777" w:rsidTr="00E176D4">
        <w:tc>
          <w:tcPr>
            <w:tcW w:w="534" w:type="dxa"/>
          </w:tcPr>
          <w:p w14:paraId="73ADF835"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(a)</w:t>
            </w:r>
          </w:p>
        </w:tc>
        <w:tc>
          <w:tcPr>
            <w:tcW w:w="4763" w:type="dxa"/>
          </w:tcPr>
          <w:p w14:paraId="74180ED9"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Exposures to reinsurers with a counterparty grade of 1, 2 or 3</w:t>
            </w:r>
          </w:p>
        </w:tc>
        <w:tc>
          <w:tcPr>
            <w:tcW w:w="3225" w:type="dxa"/>
          </w:tcPr>
          <w:p w14:paraId="59FE95F0"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No limit</w:t>
            </w:r>
          </w:p>
        </w:tc>
      </w:tr>
      <w:tr w:rsidR="00E176D4" w:rsidRPr="00834109" w14:paraId="1C812A12" w14:textId="77777777" w:rsidTr="00E176D4">
        <w:tc>
          <w:tcPr>
            <w:tcW w:w="534" w:type="dxa"/>
          </w:tcPr>
          <w:p w14:paraId="0537AB40"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(b)</w:t>
            </w:r>
          </w:p>
        </w:tc>
        <w:tc>
          <w:tcPr>
            <w:tcW w:w="4763" w:type="dxa"/>
          </w:tcPr>
          <w:p w14:paraId="43B166E1"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Exposures to reinsurers with a counterparty grade of 4</w:t>
            </w:r>
          </w:p>
        </w:tc>
        <w:tc>
          <w:tcPr>
            <w:tcW w:w="3225" w:type="dxa"/>
          </w:tcPr>
          <w:p w14:paraId="07C49B29"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50% of capital base</w:t>
            </w:r>
          </w:p>
        </w:tc>
      </w:tr>
      <w:tr w:rsidR="00E176D4" w:rsidRPr="00834109" w14:paraId="4E9AF58A" w14:textId="77777777" w:rsidTr="00E176D4">
        <w:tc>
          <w:tcPr>
            <w:tcW w:w="534" w:type="dxa"/>
          </w:tcPr>
          <w:p w14:paraId="2237B488"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(c)</w:t>
            </w:r>
          </w:p>
        </w:tc>
        <w:tc>
          <w:tcPr>
            <w:tcW w:w="4763" w:type="dxa"/>
          </w:tcPr>
          <w:p w14:paraId="4E157D87" w14:textId="77777777" w:rsidR="00E176D4" w:rsidRPr="00834109" w:rsidRDefault="00E176D4" w:rsidP="00D7143C">
            <w:pPr>
              <w:spacing w:after="240"/>
              <w:jc w:val="both"/>
              <w:rPr>
                <w:rFonts w:ascii="Times New Roman" w:hAnsi="Times New Roman"/>
                <w:sz w:val="24"/>
                <w:szCs w:val="24"/>
              </w:rPr>
            </w:pPr>
            <w:r w:rsidRPr="00834109">
              <w:rPr>
                <w:rFonts w:ascii="Times New Roman" w:hAnsi="Times New Roman"/>
                <w:sz w:val="24"/>
                <w:szCs w:val="24"/>
              </w:rPr>
              <w:t>Exposures to reinsurers with a counterparty grade of 5, 6 or 7</w:t>
            </w:r>
          </w:p>
        </w:tc>
        <w:tc>
          <w:tcPr>
            <w:tcW w:w="3225" w:type="dxa"/>
          </w:tcPr>
          <w:p w14:paraId="297D7FC2"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25% of capital base</w:t>
            </w:r>
          </w:p>
        </w:tc>
      </w:tr>
    </w:tbl>
    <w:p w14:paraId="29CA9496" w14:textId="77777777" w:rsidR="00E176D4" w:rsidRPr="00834109" w:rsidRDefault="00E176D4" w:rsidP="00E176D4">
      <w:pPr>
        <w:rPr>
          <w:rFonts w:ascii="Times New Roman" w:hAnsi="Times New Roman"/>
          <w:sz w:val="24"/>
          <w:szCs w:val="24"/>
        </w:rPr>
      </w:pPr>
    </w:p>
    <w:p w14:paraId="5BB31615" w14:textId="77777777" w:rsidR="00E176D4" w:rsidRPr="00834109" w:rsidRDefault="00E176D4" w:rsidP="00E176D4">
      <w:pPr>
        <w:pStyle w:val="Heading"/>
        <w:spacing w:before="120" w:after="240"/>
        <w:rPr>
          <w:bCs/>
          <w:sz w:val="24"/>
          <w:szCs w:val="24"/>
        </w:rPr>
      </w:pPr>
      <w:r w:rsidRPr="00834109">
        <w:rPr>
          <w:bCs/>
          <w:sz w:val="24"/>
          <w:szCs w:val="24"/>
        </w:rPr>
        <w:t>Table 2: Non-reinsurance exposures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653"/>
        <w:gridCol w:w="3117"/>
      </w:tblGrid>
      <w:tr w:rsidR="00E176D4" w:rsidRPr="00834109" w14:paraId="729C3068" w14:textId="77777777" w:rsidTr="00E176D4">
        <w:tc>
          <w:tcPr>
            <w:tcW w:w="534" w:type="dxa"/>
          </w:tcPr>
          <w:p w14:paraId="00630A6F" w14:textId="77777777" w:rsidR="00E176D4" w:rsidRPr="00834109" w:rsidRDefault="00E176D4" w:rsidP="00E176D4">
            <w:pPr>
              <w:spacing w:after="240"/>
              <w:jc w:val="both"/>
              <w:rPr>
                <w:rFonts w:ascii="Times New Roman" w:hAnsi="Times New Roman"/>
                <w:b/>
                <w:sz w:val="24"/>
                <w:szCs w:val="24"/>
              </w:rPr>
            </w:pPr>
          </w:p>
        </w:tc>
        <w:tc>
          <w:tcPr>
            <w:tcW w:w="4763" w:type="dxa"/>
          </w:tcPr>
          <w:p w14:paraId="7293FFE4" w14:textId="77777777" w:rsidR="00E176D4" w:rsidRPr="00834109" w:rsidRDefault="00E176D4" w:rsidP="00E176D4">
            <w:pPr>
              <w:spacing w:after="240"/>
              <w:jc w:val="both"/>
              <w:rPr>
                <w:rFonts w:ascii="Times New Roman" w:hAnsi="Times New Roman"/>
                <w:b/>
                <w:sz w:val="24"/>
                <w:szCs w:val="24"/>
              </w:rPr>
            </w:pPr>
            <w:r w:rsidRPr="00834109">
              <w:rPr>
                <w:rFonts w:ascii="Times New Roman" w:hAnsi="Times New Roman"/>
                <w:b/>
                <w:sz w:val="24"/>
                <w:szCs w:val="24"/>
              </w:rPr>
              <w:t>Exposure – asset, counterparty or group of counterparties</w:t>
            </w:r>
          </w:p>
        </w:tc>
        <w:tc>
          <w:tcPr>
            <w:tcW w:w="3225" w:type="dxa"/>
          </w:tcPr>
          <w:p w14:paraId="32CCB72E" w14:textId="77777777" w:rsidR="00E176D4" w:rsidRPr="00834109" w:rsidRDefault="00E176D4" w:rsidP="00E176D4">
            <w:pPr>
              <w:spacing w:after="240"/>
              <w:jc w:val="both"/>
              <w:rPr>
                <w:rFonts w:ascii="Times New Roman" w:hAnsi="Times New Roman"/>
                <w:b/>
                <w:sz w:val="24"/>
                <w:szCs w:val="24"/>
              </w:rPr>
            </w:pPr>
            <w:r w:rsidRPr="00834109">
              <w:rPr>
                <w:rFonts w:ascii="Times New Roman" w:hAnsi="Times New Roman"/>
                <w:b/>
                <w:sz w:val="24"/>
                <w:szCs w:val="24"/>
              </w:rPr>
              <w:t>AUD limit</w:t>
            </w:r>
          </w:p>
        </w:tc>
      </w:tr>
      <w:tr w:rsidR="00E176D4" w:rsidRPr="00834109" w14:paraId="148342AB" w14:textId="77777777" w:rsidTr="00E176D4">
        <w:tc>
          <w:tcPr>
            <w:tcW w:w="534" w:type="dxa"/>
          </w:tcPr>
          <w:p w14:paraId="6CF9F7AB"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(a)</w:t>
            </w:r>
          </w:p>
        </w:tc>
        <w:tc>
          <w:tcPr>
            <w:tcW w:w="4763" w:type="dxa"/>
          </w:tcPr>
          <w:p w14:paraId="4C9F5EEB"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Governments with a counterparty grade 1 or 2</w:t>
            </w:r>
            <w:r w:rsidR="00F10A82" w:rsidRPr="00834109">
              <w:rPr>
                <w:rStyle w:val="FootnoteReference"/>
                <w:rFonts w:ascii="Times New Roman" w:hAnsi="Times New Roman"/>
                <w:sz w:val="24"/>
                <w:szCs w:val="24"/>
              </w:rPr>
              <w:footnoteReference w:id="1"/>
            </w:r>
          </w:p>
        </w:tc>
        <w:tc>
          <w:tcPr>
            <w:tcW w:w="3225" w:type="dxa"/>
          </w:tcPr>
          <w:p w14:paraId="19094AB2"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No limit</w:t>
            </w:r>
          </w:p>
        </w:tc>
      </w:tr>
      <w:tr w:rsidR="00E176D4" w:rsidRPr="00834109" w14:paraId="13FFADAD" w14:textId="77777777" w:rsidTr="00E176D4">
        <w:tc>
          <w:tcPr>
            <w:tcW w:w="534" w:type="dxa"/>
          </w:tcPr>
          <w:p w14:paraId="0AA14FD9"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(b)</w:t>
            </w:r>
          </w:p>
        </w:tc>
        <w:tc>
          <w:tcPr>
            <w:tcW w:w="4763" w:type="dxa"/>
          </w:tcPr>
          <w:p w14:paraId="6980F45F"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Related parties that are</w:t>
            </w:r>
            <w:r w:rsidR="001D5FDA">
              <w:rPr>
                <w:rFonts w:ascii="Times New Roman" w:hAnsi="Times New Roman"/>
                <w:sz w:val="24"/>
                <w:szCs w:val="24"/>
              </w:rPr>
              <w:t xml:space="preserve"> APRA-regulated or</w:t>
            </w:r>
            <w:r w:rsidRPr="00834109">
              <w:rPr>
                <w:rFonts w:ascii="Times New Roman" w:hAnsi="Times New Roman"/>
                <w:sz w:val="24"/>
                <w:szCs w:val="24"/>
              </w:rPr>
              <w:t xml:space="preserve"> </w:t>
            </w:r>
            <w:r w:rsidR="002A30F6" w:rsidRPr="00834109">
              <w:rPr>
                <w:rFonts w:ascii="Times New Roman" w:hAnsi="Times New Roman"/>
                <w:sz w:val="24"/>
                <w:szCs w:val="24"/>
              </w:rPr>
              <w:t xml:space="preserve">part of an </w:t>
            </w:r>
            <w:r w:rsidRPr="00834109">
              <w:rPr>
                <w:rFonts w:ascii="Times New Roman" w:hAnsi="Times New Roman"/>
                <w:sz w:val="24"/>
                <w:szCs w:val="24"/>
              </w:rPr>
              <w:t xml:space="preserve">APRA-regulated </w:t>
            </w:r>
            <w:r w:rsidR="002A30F6" w:rsidRPr="00834109">
              <w:rPr>
                <w:rFonts w:ascii="Times New Roman" w:hAnsi="Times New Roman"/>
                <w:sz w:val="24"/>
                <w:szCs w:val="24"/>
              </w:rPr>
              <w:t>group</w:t>
            </w:r>
            <w:r w:rsidR="000D55D7" w:rsidRPr="00834109">
              <w:rPr>
                <w:rStyle w:val="FootnoteReference"/>
                <w:rFonts w:ascii="Times New Roman" w:hAnsi="Times New Roman"/>
                <w:sz w:val="24"/>
                <w:szCs w:val="24"/>
              </w:rPr>
              <w:footnoteReference w:id="2"/>
            </w:r>
          </w:p>
        </w:tc>
        <w:tc>
          <w:tcPr>
            <w:tcW w:w="3225" w:type="dxa"/>
          </w:tcPr>
          <w:p w14:paraId="132BD7BA"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Greater of $20 million and 100% of capital base</w:t>
            </w:r>
          </w:p>
        </w:tc>
      </w:tr>
      <w:tr w:rsidR="00E176D4" w:rsidRPr="00834109" w14:paraId="68E9446E" w14:textId="77777777" w:rsidTr="00E176D4">
        <w:tc>
          <w:tcPr>
            <w:tcW w:w="534" w:type="dxa"/>
          </w:tcPr>
          <w:p w14:paraId="52B674AD"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(c)</w:t>
            </w:r>
          </w:p>
        </w:tc>
        <w:tc>
          <w:tcPr>
            <w:tcW w:w="4763" w:type="dxa"/>
          </w:tcPr>
          <w:p w14:paraId="3CA6FED8"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 xml:space="preserve">Unrelated parties that are </w:t>
            </w:r>
            <w:r w:rsidR="001D5FDA">
              <w:rPr>
                <w:rFonts w:ascii="Times New Roman" w:hAnsi="Times New Roman"/>
                <w:sz w:val="24"/>
                <w:szCs w:val="24"/>
              </w:rPr>
              <w:t xml:space="preserve">APRA-regulated or </w:t>
            </w:r>
            <w:r w:rsidR="002A30F6" w:rsidRPr="00834109">
              <w:rPr>
                <w:rFonts w:ascii="Times New Roman" w:hAnsi="Times New Roman"/>
                <w:sz w:val="24"/>
                <w:szCs w:val="24"/>
              </w:rPr>
              <w:t xml:space="preserve">part of an </w:t>
            </w:r>
            <w:r w:rsidRPr="00834109">
              <w:rPr>
                <w:rFonts w:ascii="Times New Roman" w:hAnsi="Times New Roman"/>
                <w:sz w:val="24"/>
                <w:szCs w:val="24"/>
              </w:rPr>
              <w:t>APRA-regulated</w:t>
            </w:r>
            <w:r w:rsidR="002A30F6" w:rsidRPr="00834109">
              <w:rPr>
                <w:rFonts w:ascii="Times New Roman" w:hAnsi="Times New Roman"/>
                <w:sz w:val="24"/>
                <w:szCs w:val="24"/>
              </w:rPr>
              <w:t xml:space="preserve"> group</w:t>
            </w:r>
            <w:r w:rsidR="000D55D7" w:rsidRPr="00834109">
              <w:rPr>
                <w:rStyle w:val="FootnoteReference"/>
                <w:rFonts w:ascii="Times New Roman" w:hAnsi="Times New Roman"/>
                <w:sz w:val="24"/>
                <w:szCs w:val="24"/>
              </w:rPr>
              <w:footnoteReference w:id="3"/>
            </w:r>
            <w:r w:rsidRPr="00834109">
              <w:rPr>
                <w:rFonts w:ascii="Times New Roman" w:hAnsi="Times New Roman"/>
                <w:sz w:val="24"/>
                <w:szCs w:val="24"/>
              </w:rPr>
              <w:t xml:space="preserve">: </w:t>
            </w:r>
          </w:p>
          <w:p w14:paraId="6D8B70D1" w14:textId="77777777" w:rsidR="00E176D4" w:rsidRPr="00834109" w:rsidRDefault="00E176D4" w:rsidP="00435DAF">
            <w:pPr>
              <w:numPr>
                <w:ilvl w:val="1"/>
                <w:numId w:val="5"/>
              </w:numPr>
              <w:tabs>
                <w:tab w:val="clear" w:pos="1701"/>
              </w:tabs>
              <w:spacing w:after="480"/>
              <w:ind w:left="1167"/>
              <w:jc w:val="both"/>
              <w:rPr>
                <w:rFonts w:ascii="Times New Roman" w:hAnsi="Times New Roman"/>
                <w:sz w:val="24"/>
                <w:szCs w:val="24"/>
              </w:rPr>
            </w:pPr>
            <w:r w:rsidRPr="00834109">
              <w:rPr>
                <w:rFonts w:ascii="Times New Roman" w:hAnsi="Times New Roman"/>
                <w:sz w:val="24"/>
                <w:szCs w:val="24"/>
              </w:rPr>
              <w:t>Short</w:t>
            </w:r>
            <w:r w:rsidR="00F1275F" w:rsidRPr="00834109">
              <w:rPr>
                <w:rFonts w:ascii="Times New Roman" w:hAnsi="Times New Roman"/>
                <w:sz w:val="24"/>
                <w:szCs w:val="24"/>
              </w:rPr>
              <w:t>-</w:t>
            </w:r>
            <w:r w:rsidRPr="00834109">
              <w:rPr>
                <w:rFonts w:ascii="Times New Roman" w:hAnsi="Times New Roman"/>
                <w:sz w:val="24"/>
                <w:szCs w:val="24"/>
              </w:rPr>
              <w:t>term exposures</w:t>
            </w:r>
            <w:r w:rsidR="0001636D" w:rsidRPr="00834109">
              <w:rPr>
                <w:rStyle w:val="FootnoteReference"/>
                <w:rFonts w:ascii="Times New Roman" w:hAnsi="Times New Roman"/>
                <w:sz w:val="24"/>
                <w:szCs w:val="24"/>
              </w:rPr>
              <w:footnoteReference w:id="4"/>
            </w:r>
          </w:p>
          <w:p w14:paraId="197405A7" w14:textId="77777777" w:rsidR="00E176D4" w:rsidRPr="00834109" w:rsidRDefault="00E176D4" w:rsidP="00435DAF">
            <w:pPr>
              <w:numPr>
                <w:ilvl w:val="1"/>
                <w:numId w:val="5"/>
              </w:numPr>
              <w:tabs>
                <w:tab w:val="clear" w:pos="1701"/>
              </w:tabs>
              <w:spacing w:after="480"/>
              <w:ind w:left="1167"/>
              <w:jc w:val="both"/>
              <w:rPr>
                <w:rFonts w:ascii="Times New Roman" w:hAnsi="Times New Roman"/>
                <w:sz w:val="24"/>
                <w:szCs w:val="24"/>
              </w:rPr>
            </w:pPr>
            <w:r w:rsidRPr="00834109">
              <w:rPr>
                <w:rFonts w:ascii="Times New Roman" w:hAnsi="Times New Roman"/>
                <w:sz w:val="24"/>
                <w:szCs w:val="24"/>
              </w:rPr>
              <w:t>Long</w:t>
            </w:r>
            <w:r w:rsidR="00F1275F" w:rsidRPr="00834109">
              <w:rPr>
                <w:rFonts w:ascii="Times New Roman" w:hAnsi="Times New Roman"/>
                <w:sz w:val="24"/>
                <w:szCs w:val="24"/>
              </w:rPr>
              <w:t>-</w:t>
            </w:r>
            <w:r w:rsidRPr="00834109">
              <w:rPr>
                <w:rFonts w:ascii="Times New Roman" w:hAnsi="Times New Roman"/>
                <w:sz w:val="24"/>
                <w:szCs w:val="24"/>
              </w:rPr>
              <w:t>term exposures</w:t>
            </w:r>
            <w:r w:rsidR="0001636D" w:rsidRPr="00834109">
              <w:rPr>
                <w:rStyle w:val="FootnoteReference"/>
                <w:rFonts w:ascii="Times New Roman" w:hAnsi="Times New Roman"/>
                <w:sz w:val="24"/>
                <w:szCs w:val="24"/>
              </w:rPr>
              <w:footnoteReference w:id="5"/>
            </w:r>
          </w:p>
          <w:p w14:paraId="130997BC" w14:textId="77777777" w:rsidR="00E176D4" w:rsidRPr="00834109" w:rsidRDefault="00E176D4" w:rsidP="00435DAF">
            <w:pPr>
              <w:numPr>
                <w:ilvl w:val="1"/>
                <w:numId w:val="5"/>
              </w:numPr>
              <w:tabs>
                <w:tab w:val="clear" w:pos="1701"/>
              </w:tabs>
              <w:spacing w:after="240"/>
              <w:ind w:left="1167"/>
              <w:jc w:val="both"/>
              <w:rPr>
                <w:rFonts w:ascii="Times New Roman" w:hAnsi="Times New Roman"/>
                <w:sz w:val="24"/>
                <w:szCs w:val="24"/>
              </w:rPr>
            </w:pPr>
            <w:r w:rsidRPr="00834109">
              <w:rPr>
                <w:rFonts w:ascii="Times New Roman" w:hAnsi="Times New Roman"/>
                <w:sz w:val="24"/>
                <w:szCs w:val="24"/>
              </w:rPr>
              <w:t>Total exposure</w:t>
            </w:r>
          </w:p>
        </w:tc>
        <w:tc>
          <w:tcPr>
            <w:tcW w:w="3225" w:type="dxa"/>
          </w:tcPr>
          <w:p w14:paraId="720EC662" w14:textId="77777777" w:rsidR="002A30F6" w:rsidRPr="00834109" w:rsidRDefault="002A30F6" w:rsidP="002A30F6">
            <w:pPr>
              <w:spacing w:after="480"/>
              <w:jc w:val="both"/>
              <w:rPr>
                <w:rFonts w:ascii="Times New Roman" w:hAnsi="Times New Roman"/>
                <w:sz w:val="24"/>
                <w:szCs w:val="24"/>
              </w:rPr>
            </w:pPr>
          </w:p>
          <w:p w14:paraId="3BDD9B8E"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Greater of $20 million and 100% of capital base</w:t>
            </w:r>
          </w:p>
          <w:p w14:paraId="3FA57D76"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Greater of $10 million and 50% of capital base</w:t>
            </w:r>
          </w:p>
          <w:p w14:paraId="4ACB00C4"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Greater of $20 million and 100% of capital base</w:t>
            </w:r>
          </w:p>
        </w:tc>
      </w:tr>
      <w:tr w:rsidR="00E176D4" w:rsidRPr="00834109" w14:paraId="3B0F2DC4" w14:textId="77777777" w:rsidTr="00E176D4">
        <w:tc>
          <w:tcPr>
            <w:tcW w:w="534" w:type="dxa"/>
          </w:tcPr>
          <w:p w14:paraId="57F31902"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(d)</w:t>
            </w:r>
          </w:p>
        </w:tc>
        <w:tc>
          <w:tcPr>
            <w:tcW w:w="4763" w:type="dxa"/>
          </w:tcPr>
          <w:p w14:paraId="241354E5"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All other exposures</w:t>
            </w:r>
          </w:p>
        </w:tc>
        <w:tc>
          <w:tcPr>
            <w:tcW w:w="3225" w:type="dxa"/>
          </w:tcPr>
          <w:p w14:paraId="14AC8FA3" w14:textId="77777777" w:rsidR="00E176D4" w:rsidRPr="00834109" w:rsidRDefault="00E176D4" w:rsidP="00E176D4">
            <w:pPr>
              <w:spacing w:after="240"/>
              <w:jc w:val="both"/>
              <w:rPr>
                <w:rFonts w:ascii="Times New Roman" w:hAnsi="Times New Roman"/>
                <w:sz w:val="24"/>
                <w:szCs w:val="24"/>
              </w:rPr>
            </w:pPr>
            <w:r w:rsidRPr="00834109">
              <w:rPr>
                <w:rFonts w:ascii="Times New Roman" w:hAnsi="Times New Roman"/>
                <w:sz w:val="24"/>
                <w:szCs w:val="24"/>
              </w:rPr>
              <w:t>25% of capital base</w:t>
            </w:r>
          </w:p>
        </w:tc>
      </w:tr>
    </w:tbl>
    <w:p w14:paraId="505B91F7" w14:textId="77777777" w:rsidR="00AB0FB3" w:rsidRPr="00834109" w:rsidRDefault="00AB0FB3" w:rsidP="00C74596">
      <w:pPr>
        <w:rPr>
          <w:rFonts w:ascii="Times New Roman" w:hAnsi="Times New Roman"/>
          <w:b/>
          <w:sz w:val="24"/>
          <w:szCs w:val="24"/>
        </w:rPr>
      </w:pPr>
    </w:p>
    <w:sectPr w:rsidR="00AB0FB3" w:rsidRPr="00834109" w:rsidSect="00303470">
      <w:headerReference w:type="default" r:id="rId17"/>
      <w:footerReference w:type="default" r:id="rId18"/>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E063" w14:textId="77777777" w:rsidR="009A6E74" w:rsidRDefault="009A6E74" w:rsidP="0082501C">
      <w:r>
        <w:separator/>
      </w:r>
    </w:p>
  </w:endnote>
  <w:endnote w:type="continuationSeparator" w:id="0">
    <w:p w14:paraId="67685F92" w14:textId="77777777" w:rsidR="009A6E74" w:rsidRDefault="009A6E74" w:rsidP="0082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oday SB">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11D9" w14:textId="77777777" w:rsidR="00303470" w:rsidRDefault="00303470" w:rsidP="008250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00C0" w14:textId="77777777" w:rsidR="00435DAF" w:rsidRPr="00434CD9" w:rsidRDefault="00435DAF">
    <w:pPr>
      <w:pStyle w:val="Footer"/>
      <w:jc w:val="right"/>
      <w:rPr>
        <w:rFonts w:ascii="Times New Roman" w:hAnsi="Times New Roman"/>
        <w:b/>
        <w:sz w:val="24"/>
        <w:szCs w:val="24"/>
      </w:rPr>
    </w:pPr>
    <w:r w:rsidRPr="00434CD9">
      <w:rPr>
        <w:rFonts w:ascii="Times New Roman" w:hAnsi="Times New Roman"/>
        <w:b/>
        <w:sz w:val="24"/>
        <w:szCs w:val="24"/>
      </w:rPr>
      <w:t xml:space="preserve">GPS 117 - </w:t>
    </w:r>
    <w:r w:rsidRPr="00434CD9">
      <w:rPr>
        <w:rFonts w:ascii="Times New Roman" w:hAnsi="Times New Roman"/>
        <w:b/>
        <w:sz w:val="24"/>
        <w:szCs w:val="24"/>
      </w:rPr>
      <w:fldChar w:fldCharType="begin"/>
    </w:r>
    <w:r w:rsidRPr="00434CD9">
      <w:rPr>
        <w:rFonts w:ascii="Times New Roman" w:hAnsi="Times New Roman"/>
        <w:b/>
        <w:sz w:val="24"/>
        <w:szCs w:val="24"/>
      </w:rPr>
      <w:instrText xml:space="preserve"> PAGE   \* MERGEFORMAT </w:instrText>
    </w:r>
    <w:r w:rsidRPr="00434CD9">
      <w:rPr>
        <w:rFonts w:ascii="Times New Roman" w:hAnsi="Times New Roman"/>
        <w:b/>
        <w:sz w:val="24"/>
        <w:szCs w:val="24"/>
      </w:rPr>
      <w:fldChar w:fldCharType="separate"/>
    </w:r>
    <w:r>
      <w:rPr>
        <w:rFonts w:ascii="Times New Roman" w:hAnsi="Times New Roman"/>
        <w:b/>
        <w:noProof/>
        <w:sz w:val="24"/>
        <w:szCs w:val="24"/>
      </w:rPr>
      <w:t>2</w:t>
    </w:r>
    <w:r w:rsidRPr="00434CD9">
      <w:rPr>
        <w:rFonts w:ascii="Times New Roman" w:hAnsi="Times New Roman"/>
        <w:b/>
        <w:sz w:val="24"/>
        <w:szCs w:val="24"/>
      </w:rPr>
      <w:fldChar w:fldCharType="end"/>
    </w:r>
  </w:p>
  <w:p w14:paraId="45349447" w14:textId="77777777" w:rsidR="00435DAF" w:rsidRDefault="00435DAF" w:rsidP="008250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D9D" w14:textId="77777777" w:rsidR="009A6E74" w:rsidRDefault="009A6E74" w:rsidP="0082501C">
      <w:r>
        <w:separator/>
      </w:r>
    </w:p>
  </w:footnote>
  <w:footnote w:type="continuationSeparator" w:id="0">
    <w:p w14:paraId="4775FA48" w14:textId="77777777" w:rsidR="009A6E74" w:rsidRDefault="009A6E74" w:rsidP="0082501C">
      <w:r>
        <w:continuationSeparator/>
      </w:r>
    </w:p>
  </w:footnote>
  <w:footnote w:id="1">
    <w:p w14:paraId="5EACDDFF" w14:textId="77777777" w:rsidR="00F10A82" w:rsidRDefault="00F10A82" w:rsidP="001F66BA">
      <w:pPr>
        <w:pStyle w:val="FootnoteText"/>
        <w:ind w:left="567" w:hanging="567"/>
        <w:jc w:val="both"/>
      </w:pPr>
      <w:r>
        <w:rPr>
          <w:rStyle w:val="FootnoteReference"/>
        </w:rPr>
        <w:footnoteRef/>
      </w:r>
      <w:r>
        <w:t xml:space="preserve"> </w:t>
      </w:r>
      <w:r>
        <w:tab/>
      </w:r>
      <w:r w:rsidR="00602187">
        <w:rPr>
          <w:rFonts w:ascii="Times New Roman" w:hAnsi="Times New Roman"/>
        </w:rPr>
        <w:t>This</w:t>
      </w:r>
      <w:r w:rsidR="00602187" w:rsidRPr="00602187">
        <w:rPr>
          <w:rFonts w:ascii="Times New Roman" w:hAnsi="Times New Roman"/>
        </w:rPr>
        <w:t xml:space="preserve"> includes assets </w:t>
      </w:r>
      <w:r w:rsidR="00602187">
        <w:rPr>
          <w:rFonts w:ascii="Times New Roman" w:hAnsi="Times New Roman"/>
        </w:rPr>
        <w:t xml:space="preserve">with a counterparty grade 1 or 2 </w:t>
      </w:r>
      <w:r>
        <w:rPr>
          <w:rFonts w:ascii="Times New Roman" w:hAnsi="Times New Roman"/>
        </w:rPr>
        <w:t xml:space="preserve">that are </w:t>
      </w:r>
      <w:r w:rsidRPr="00F10A82">
        <w:rPr>
          <w:rFonts w:ascii="Times New Roman" w:hAnsi="Times New Roman"/>
        </w:rPr>
        <w:t>guaranteed by the Commonwealth Government, Australian state and territory governments and foreign governments</w:t>
      </w:r>
      <w:r w:rsidR="00602187">
        <w:rPr>
          <w:rFonts w:ascii="Times New Roman" w:hAnsi="Times New Roman"/>
        </w:rPr>
        <w:t>.</w:t>
      </w:r>
    </w:p>
  </w:footnote>
  <w:footnote w:id="2">
    <w:p w14:paraId="28CD5847" w14:textId="77777777" w:rsidR="000D55D7" w:rsidRPr="000D55D7" w:rsidRDefault="000D55D7" w:rsidP="000D55D7">
      <w:pPr>
        <w:pStyle w:val="FootnoteText"/>
        <w:ind w:left="567" w:hanging="567"/>
        <w:rPr>
          <w:rFonts w:ascii="Times New Roman" w:hAnsi="Times New Roman"/>
        </w:rPr>
      </w:pPr>
      <w:r w:rsidRPr="000D55D7">
        <w:rPr>
          <w:rStyle w:val="FootnoteReference"/>
          <w:rFonts w:ascii="Times New Roman" w:hAnsi="Times New Roman"/>
        </w:rPr>
        <w:footnoteRef/>
      </w:r>
      <w:r w:rsidRPr="000D55D7">
        <w:rPr>
          <w:rFonts w:ascii="Times New Roman" w:hAnsi="Times New Roman"/>
        </w:rPr>
        <w:t xml:space="preserve"> </w:t>
      </w:r>
      <w:r>
        <w:rPr>
          <w:rFonts w:ascii="Times New Roman" w:hAnsi="Times New Roman"/>
        </w:rPr>
        <w:tab/>
      </w:r>
      <w:r w:rsidRPr="000D55D7">
        <w:rPr>
          <w:rFonts w:ascii="Times New Roman" w:hAnsi="Times New Roman"/>
        </w:rPr>
        <w:t xml:space="preserve">As defined in paragraph </w:t>
      </w:r>
      <w:r w:rsidR="001E7E7B">
        <w:fldChar w:fldCharType="begin"/>
      </w:r>
      <w:r w:rsidR="001E7E7B">
        <w:instrText xml:space="preserve"> REF _Ref337462191 \r \h  \* MERGEFORMAT </w:instrText>
      </w:r>
      <w:r w:rsidR="001E7E7B">
        <w:fldChar w:fldCharType="separate"/>
      </w:r>
      <w:r w:rsidR="00D75B6D" w:rsidRPr="00D75B6D">
        <w:rPr>
          <w:rFonts w:ascii="Times New Roman" w:hAnsi="Times New Roman"/>
        </w:rPr>
        <w:t>16</w:t>
      </w:r>
      <w:r w:rsidR="001E7E7B">
        <w:fldChar w:fldCharType="end"/>
      </w:r>
      <w:r w:rsidRPr="000D55D7">
        <w:rPr>
          <w:rFonts w:ascii="Times New Roman" w:hAnsi="Times New Roman"/>
        </w:rPr>
        <w:t xml:space="preserve"> of this Prudential Standard</w:t>
      </w:r>
      <w:r w:rsidR="004D596E">
        <w:rPr>
          <w:rFonts w:ascii="Times New Roman" w:hAnsi="Times New Roman"/>
        </w:rPr>
        <w:t>.</w:t>
      </w:r>
    </w:p>
  </w:footnote>
  <w:footnote w:id="3">
    <w:p w14:paraId="68C0710F" w14:textId="77777777" w:rsidR="000D55D7" w:rsidRDefault="000D55D7" w:rsidP="000D55D7">
      <w:pPr>
        <w:pStyle w:val="FootnoteText"/>
        <w:ind w:left="567" w:hanging="567"/>
      </w:pPr>
      <w:r>
        <w:rPr>
          <w:rStyle w:val="FootnoteReference"/>
        </w:rPr>
        <w:footnoteRef/>
      </w:r>
      <w:r>
        <w:t xml:space="preserve"> </w:t>
      </w:r>
      <w:r>
        <w:tab/>
      </w:r>
      <w:r w:rsidRPr="000D55D7">
        <w:rPr>
          <w:rFonts w:ascii="Times New Roman" w:hAnsi="Times New Roman"/>
        </w:rPr>
        <w:t xml:space="preserve">As defined in paragraph </w:t>
      </w:r>
      <w:r w:rsidR="001E7E7B">
        <w:fldChar w:fldCharType="begin"/>
      </w:r>
      <w:r w:rsidR="001E7E7B">
        <w:instrText xml:space="preserve"> REF _Ref337462191 \r \h  \* MERGEFORMAT </w:instrText>
      </w:r>
      <w:r w:rsidR="001E7E7B">
        <w:fldChar w:fldCharType="separate"/>
      </w:r>
      <w:r w:rsidR="00D75B6D" w:rsidRPr="00D75B6D">
        <w:rPr>
          <w:rFonts w:ascii="Times New Roman" w:hAnsi="Times New Roman"/>
        </w:rPr>
        <w:t>16</w:t>
      </w:r>
      <w:r w:rsidR="001E7E7B">
        <w:fldChar w:fldCharType="end"/>
      </w:r>
      <w:r w:rsidRPr="000D55D7">
        <w:rPr>
          <w:rFonts w:ascii="Times New Roman" w:hAnsi="Times New Roman"/>
        </w:rPr>
        <w:t xml:space="preserve"> of this Prudential Standard</w:t>
      </w:r>
      <w:r w:rsidR="004D596E">
        <w:rPr>
          <w:rFonts w:ascii="Times New Roman" w:hAnsi="Times New Roman"/>
        </w:rPr>
        <w:t>.</w:t>
      </w:r>
    </w:p>
  </w:footnote>
  <w:footnote w:id="4">
    <w:p w14:paraId="39BE416A" w14:textId="77777777" w:rsidR="004D113F" w:rsidRPr="0051434B" w:rsidRDefault="004D113F" w:rsidP="000D55D7">
      <w:pPr>
        <w:pStyle w:val="FootnoteText"/>
        <w:ind w:left="567" w:hanging="567"/>
        <w:rPr>
          <w:rFonts w:ascii="Times New Roman" w:hAnsi="Times New Roman"/>
          <w:color w:val="000000"/>
        </w:rPr>
      </w:pPr>
      <w:r w:rsidRPr="00E2369A">
        <w:rPr>
          <w:rStyle w:val="FootnoteReference"/>
          <w:rFonts w:ascii="Times New Roman" w:hAnsi="Times New Roman"/>
        </w:rPr>
        <w:footnoteRef/>
      </w:r>
      <w:r w:rsidRPr="00E2369A">
        <w:rPr>
          <w:rFonts w:ascii="Times New Roman" w:hAnsi="Times New Roman"/>
        </w:rPr>
        <w:t xml:space="preserve"> </w:t>
      </w:r>
      <w:r w:rsidR="000D55D7">
        <w:rPr>
          <w:rFonts w:ascii="Times New Roman" w:hAnsi="Times New Roman"/>
        </w:rPr>
        <w:tab/>
      </w:r>
      <w:r w:rsidRPr="000749FA">
        <w:rPr>
          <w:rFonts w:ascii="Times New Roman" w:hAnsi="Times New Roman"/>
          <w:color w:val="000000"/>
        </w:rPr>
        <w:t xml:space="preserve">As defined in paragraph </w:t>
      </w:r>
      <w:r w:rsidR="001E7E7B">
        <w:rPr>
          <w:rFonts w:ascii="Times New Roman" w:hAnsi="Times New Roman"/>
          <w:color w:val="000000"/>
        </w:rPr>
        <w:fldChar w:fldCharType="begin"/>
      </w:r>
      <w:r w:rsidR="00CB7273">
        <w:rPr>
          <w:rFonts w:ascii="Times New Roman" w:hAnsi="Times New Roman"/>
          <w:color w:val="000000"/>
        </w:rPr>
        <w:instrText xml:space="preserve"> REF _Ref337614954 \r \h </w:instrText>
      </w:r>
      <w:r w:rsidR="001E7E7B">
        <w:rPr>
          <w:rFonts w:ascii="Times New Roman" w:hAnsi="Times New Roman"/>
          <w:color w:val="000000"/>
        </w:rPr>
      </w:r>
      <w:r w:rsidR="001E7E7B">
        <w:rPr>
          <w:rFonts w:ascii="Times New Roman" w:hAnsi="Times New Roman"/>
          <w:color w:val="000000"/>
        </w:rPr>
        <w:fldChar w:fldCharType="separate"/>
      </w:r>
      <w:r w:rsidR="00D75B6D">
        <w:rPr>
          <w:rFonts w:ascii="Times New Roman" w:hAnsi="Times New Roman"/>
          <w:color w:val="000000"/>
        </w:rPr>
        <w:t>17</w:t>
      </w:r>
      <w:r w:rsidR="001E7E7B">
        <w:rPr>
          <w:rFonts w:ascii="Times New Roman" w:hAnsi="Times New Roman"/>
          <w:color w:val="000000"/>
        </w:rPr>
        <w:fldChar w:fldCharType="end"/>
      </w:r>
      <w:r w:rsidR="00CB7273">
        <w:rPr>
          <w:rFonts w:ascii="Times New Roman" w:hAnsi="Times New Roman"/>
          <w:color w:val="000000"/>
        </w:rPr>
        <w:t xml:space="preserve"> </w:t>
      </w:r>
      <w:r w:rsidRPr="000749FA">
        <w:rPr>
          <w:rFonts w:ascii="Times New Roman" w:hAnsi="Times New Roman"/>
          <w:color w:val="000000"/>
        </w:rPr>
        <w:t>of this Prudential Standard.</w:t>
      </w:r>
    </w:p>
  </w:footnote>
  <w:footnote w:id="5">
    <w:p w14:paraId="52E047BD" w14:textId="77777777" w:rsidR="004D113F" w:rsidRDefault="004D113F" w:rsidP="000D55D7">
      <w:pPr>
        <w:pStyle w:val="FootnoteText"/>
        <w:ind w:left="567" w:hanging="567"/>
      </w:pPr>
      <w:r w:rsidRPr="000749FA">
        <w:rPr>
          <w:rStyle w:val="FootnoteReference"/>
          <w:rFonts w:ascii="Times New Roman" w:hAnsi="Times New Roman"/>
          <w:color w:val="000000"/>
        </w:rPr>
        <w:footnoteRef/>
      </w:r>
      <w:r w:rsidRPr="000749FA">
        <w:rPr>
          <w:rFonts w:ascii="Times New Roman" w:hAnsi="Times New Roman"/>
          <w:color w:val="000000"/>
        </w:rPr>
        <w:t xml:space="preserve"> </w:t>
      </w:r>
      <w:r w:rsidR="000D55D7">
        <w:rPr>
          <w:rFonts w:ascii="Times New Roman" w:hAnsi="Times New Roman"/>
          <w:color w:val="000000"/>
        </w:rPr>
        <w:tab/>
      </w:r>
      <w:r w:rsidRPr="000749FA">
        <w:rPr>
          <w:rFonts w:ascii="Times New Roman" w:hAnsi="Times New Roman"/>
          <w:color w:val="000000"/>
        </w:rPr>
        <w:t xml:space="preserve">As defined in paragraph </w:t>
      </w:r>
      <w:r w:rsidR="001E7E7B">
        <w:rPr>
          <w:rFonts w:ascii="Times New Roman" w:hAnsi="Times New Roman"/>
          <w:color w:val="000000"/>
        </w:rPr>
        <w:fldChar w:fldCharType="begin"/>
      </w:r>
      <w:r w:rsidR="00CB7273">
        <w:rPr>
          <w:rFonts w:ascii="Times New Roman" w:hAnsi="Times New Roman"/>
          <w:color w:val="000000"/>
        </w:rPr>
        <w:instrText xml:space="preserve"> REF _Ref337614954 \r \h </w:instrText>
      </w:r>
      <w:r w:rsidR="001E7E7B">
        <w:rPr>
          <w:rFonts w:ascii="Times New Roman" w:hAnsi="Times New Roman"/>
          <w:color w:val="000000"/>
        </w:rPr>
      </w:r>
      <w:r w:rsidR="001E7E7B">
        <w:rPr>
          <w:rFonts w:ascii="Times New Roman" w:hAnsi="Times New Roman"/>
          <w:color w:val="000000"/>
        </w:rPr>
        <w:fldChar w:fldCharType="separate"/>
      </w:r>
      <w:r w:rsidR="00D75B6D">
        <w:rPr>
          <w:rFonts w:ascii="Times New Roman" w:hAnsi="Times New Roman"/>
          <w:color w:val="000000"/>
        </w:rPr>
        <w:t>17</w:t>
      </w:r>
      <w:r w:rsidR="001E7E7B">
        <w:rPr>
          <w:rFonts w:ascii="Times New Roman" w:hAnsi="Times New Roman"/>
          <w:color w:val="000000"/>
        </w:rPr>
        <w:fldChar w:fldCharType="end"/>
      </w:r>
      <w:r w:rsidR="00CB7273">
        <w:rPr>
          <w:rFonts w:ascii="Times New Roman" w:hAnsi="Times New Roman"/>
          <w:color w:val="000000"/>
        </w:rPr>
        <w:t xml:space="preserve"> </w:t>
      </w:r>
      <w:r w:rsidRPr="000749FA">
        <w:rPr>
          <w:rFonts w:ascii="Times New Roman" w:hAnsi="Times New Roman"/>
          <w:color w:val="000000"/>
        </w:rPr>
        <w:t>of this Prudential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7EA0" w14:textId="4B4269E1" w:rsidR="00F4664A" w:rsidRPr="005A3E5D" w:rsidRDefault="00F4664A" w:rsidP="005A3E5D">
    <w:pPr>
      <w:pStyle w:val="Header"/>
      <w:tabs>
        <w:tab w:val="clear" w:pos="9026"/>
        <w:tab w:val="left" w:pos="2429"/>
        <w:tab w:val="right" w:pos="8364"/>
      </w:tabs>
      <w:rPr>
        <w:rFonts w:ascii="Times New Roman" w:hAnsi="Times New Roman"/>
        <w:b/>
        <w:sz w:val="24"/>
        <w:szCs w:val="24"/>
      </w:rPr>
    </w:pPr>
    <w:r>
      <w:tab/>
    </w:r>
    <w:r w:rsidR="005A3E5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D4EE" w14:textId="73E6CFC8" w:rsidR="00435DAF" w:rsidRPr="005A3E5D" w:rsidRDefault="00435DAF" w:rsidP="005A3E5D">
    <w:pPr>
      <w:pStyle w:val="Header"/>
      <w:tabs>
        <w:tab w:val="clear" w:pos="9026"/>
        <w:tab w:val="left" w:pos="2429"/>
        <w:tab w:val="right" w:pos="8364"/>
      </w:tabs>
      <w:rPr>
        <w:rFonts w:ascii="Times New Roman" w:hAnsi="Times New Roman"/>
        <w:b/>
        <w:sz w:val="24"/>
        <w:szCs w:val="24"/>
      </w:rPr>
    </w:pPr>
    <w:r>
      <w:tab/>
    </w:r>
    <w:r>
      <w:ptab w:relativeTo="margin" w:alignment="right" w:leader="none"/>
    </w:r>
    <w:r w:rsidRPr="005A3E5D">
      <w:rPr>
        <w:rFonts w:ascii="Times New Roman" w:hAnsi="Times New Roman"/>
        <w:b/>
        <w:sz w:val="24"/>
        <w:szCs w:val="24"/>
      </w:rPr>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976"/>
    <w:multiLevelType w:val="hybridMultilevel"/>
    <w:tmpl w:val="9D007224"/>
    <w:lvl w:ilvl="0" w:tplc="603A0B3E">
      <w:start w:val="1"/>
      <w:numFmt w:val="lowerLetter"/>
      <w:lvlText w:val="(%1)"/>
      <w:lvlJc w:val="left"/>
      <w:pPr>
        <w:ind w:left="1077" w:hanging="360"/>
      </w:pPr>
      <w:rPr>
        <w:rFonts w:hint="default"/>
        <w:b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09C57B2D"/>
    <w:multiLevelType w:val="hybridMultilevel"/>
    <w:tmpl w:val="5E9C10B8"/>
    <w:lvl w:ilvl="0" w:tplc="51302ED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463545"/>
    <w:multiLevelType w:val="multilevel"/>
    <w:tmpl w:val="130E7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777F22"/>
    <w:multiLevelType w:val="hybridMultilevel"/>
    <w:tmpl w:val="1D52393E"/>
    <w:lvl w:ilvl="0" w:tplc="6EB492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0301A6"/>
    <w:multiLevelType w:val="hybridMultilevel"/>
    <w:tmpl w:val="E37EE90E"/>
    <w:lvl w:ilvl="0" w:tplc="5AE44252">
      <w:start w:val="1"/>
      <w:numFmt w:val="decimal"/>
      <w:lvlText w:val="%1."/>
      <w:lvlJc w:val="left"/>
      <w:pPr>
        <w:tabs>
          <w:tab w:val="num" w:pos="567"/>
        </w:tabs>
        <w:ind w:left="567" w:hanging="567"/>
      </w:pPr>
      <w:rPr>
        <w:rFonts w:hint="default"/>
      </w:rPr>
    </w:lvl>
    <w:lvl w:ilvl="1" w:tplc="DF00823E">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5FE70FC"/>
    <w:multiLevelType w:val="singleLevel"/>
    <w:tmpl w:val="5A6E811C"/>
    <w:lvl w:ilvl="0">
      <w:start w:val="1"/>
      <w:numFmt w:val="decimal"/>
      <w:pStyle w:val="BodyText"/>
      <w:lvlText w:val="%1."/>
      <w:lvlJc w:val="left"/>
      <w:pPr>
        <w:tabs>
          <w:tab w:val="num" w:pos="567"/>
        </w:tabs>
        <w:ind w:left="567" w:hanging="567"/>
      </w:pPr>
      <w:rPr>
        <w:rFonts w:ascii="Times New Roman" w:hAnsi="Times New Roman"/>
        <w:i w:val="0"/>
        <w:sz w:val="24"/>
        <w:szCs w:val="24"/>
      </w:rPr>
    </w:lvl>
  </w:abstractNum>
  <w:abstractNum w:abstractNumId="6" w15:restartNumberingAfterBreak="0">
    <w:nsid w:val="47793474"/>
    <w:multiLevelType w:val="hybridMultilevel"/>
    <w:tmpl w:val="0868C35C"/>
    <w:lvl w:ilvl="0" w:tplc="476684D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CBAAC26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5FF2D34"/>
    <w:multiLevelType w:val="hybridMultilevel"/>
    <w:tmpl w:val="37F89AE0"/>
    <w:lvl w:ilvl="0" w:tplc="6EB492D2">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B425F24"/>
    <w:multiLevelType w:val="hybridMultilevel"/>
    <w:tmpl w:val="CE007796"/>
    <w:lvl w:ilvl="0" w:tplc="FC028A0E">
      <w:start w:val="1"/>
      <w:numFmt w:val="lowerLetter"/>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6"/>
  </w:num>
  <w:num w:numId="6">
    <w:abstractNumId w:val="0"/>
  </w:num>
  <w:num w:numId="7">
    <w:abstractNumId w:val="9"/>
  </w:num>
  <w:num w:numId="8">
    <w:abstractNumId w:val="3"/>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C0"/>
    <w:rsid w:val="00005922"/>
    <w:rsid w:val="00013CF5"/>
    <w:rsid w:val="0001636D"/>
    <w:rsid w:val="00020A0E"/>
    <w:rsid w:val="00025139"/>
    <w:rsid w:val="00026DEC"/>
    <w:rsid w:val="00026FE5"/>
    <w:rsid w:val="00031ABC"/>
    <w:rsid w:val="00032623"/>
    <w:rsid w:val="00035BE1"/>
    <w:rsid w:val="00037DBC"/>
    <w:rsid w:val="00040CC3"/>
    <w:rsid w:val="00050E17"/>
    <w:rsid w:val="00055548"/>
    <w:rsid w:val="0006345A"/>
    <w:rsid w:val="00073098"/>
    <w:rsid w:val="000749FA"/>
    <w:rsid w:val="00080B06"/>
    <w:rsid w:val="000844B1"/>
    <w:rsid w:val="0008552D"/>
    <w:rsid w:val="0009784D"/>
    <w:rsid w:val="000A4A33"/>
    <w:rsid w:val="000B0523"/>
    <w:rsid w:val="000C16FB"/>
    <w:rsid w:val="000C216F"/>
    <w:rsid w:val="000C2C8D"/>
    <w:rsid w:val="000C41E3"/>
    <w:rsid w:val="000D163A"/>
    <w:rsid w:val="000D38E4"/>
    <w:rsid w:val="000D55D7"/>
    <w:rsid w:val="000D5E3B"/>
    <w:rsid w:val="000D6E5F"/>
    <w:rsid w:val="000D7DA2"/>
    <w:rsid w:val="00110012"/>
    <w:rsid w:val="001140D0"/>
    <w:rsid w:val="001149CC"/>
    <w:rsid w:val="001214F4"/>
    <w:rsid w:val="0012194D"/>
    <w:rsid w:val="00124A20"/>
    <w:rsid w:val="00126513"/>
    <w:rsid w:val="0012685E"/>
    <w:rsid w:val="00133272"/>
    <w:rsid w:val="00135EC9"/>
    <w:rsid w:val="00140669"/>
    <w:rsid w:val="00140C03"/>
    <w:rsid w:val="00141736"/>
    <w:rsid w:val="00141A5D"/>
    <w:rsid w:val="001456AB"/>
    <w:rsid w:val="00147076"/>
    <w:rsid w:val="001475A6"/>
    <w:rsid w:val="001475D5"/>
    <w:rsid w:val="00150D41"/>
    <w:rsid w:val="00157BC4"/>
    <w:rsid w:val="00164D86"/>
    <w:rsid w:val="00182FA1"/>
    <w:rsid w:val="001914D4"/>
    <w:rsid w:val="001A19F4"/>
    <w:rsid w:val="001A470B"/>
    <w:rsid w:val="001A5B85"/>
    <w:rsid w:val="001B4964"/>
    <w:rsid w:val="001B51B9"/>
    <w:rsid w:val="001C215F"/>
    <w:rsid w:val="001C615F"/>
    <w:rsid w:val="001D4C7A"/>
    <w:rsid w:val="001D5FDA"/>
    <w:rsid w:val="001E349B"/>
    <w:rsid w:val="001E7832"/>
    <w:rsid w:val="001E7E7B"/>
    <w:rsid w:val="001F039A"/>
    <w:rsid w:val="001F35FD"/>
    <w:rsid w:val="001F4E97"/>
    <w:rsid w:val="001F66BA"/>
    <w:rsid w:val="0020327C"/>
    <w:rsid w:val="00211325"/>
    <w:rsid w:val="00217915"/>
    <w:rsid w:val="0022044C"/>
    <w:rsid w:val="002337B8"/>
    <w:rsid w:val="00233FA8"/>
    <w:rsid w:val="00240C5E"/>
    <w:rsid w:val="00243E26"/>
    <w:rsid w:val="00251A27"/>
    <w:rsid w:val="00255B98"/>
    <w:rsid w:val="00256F86"/>
    <w:rsid w:val="0025723A"/>
    <w:rsid w:val="00257C94"/>
    <w:rsid w:val="0026780B"/>
    <w:rsid w:val="00280919"/>
    <w:rsid w:val="002811D6"/>
    <w:rsid w:val="00281DDA"/>
    <w:rsid w:val="00282F05"/>
    <w:rsid w:val="00286D27"/>
    <w:rsid w:val="00294CE9"/>
    <w:rsid w:val="00294F37"/>
    <w:rsid w:val="002A1CEA"/>
    <w:rsid w:val="002A2309"/>
    <w:rsid w:val="002A30F6"/>
    <w:rsid w:val="002A6DE1"/>
    <w:rsid w:val="002B103C"/>
    <w:rsid w:val="002B3785"/>
    <w:rsid w:val="002C170A"/>
    <w:rsid w:val="002C4D4C"/>
    <w:rsid w:val="002C4DDD"/>
    <w:rsid w:val="002C66D0"/>
    <w:rsid w:val="002D065D"/>
    <w:rsid w:val="002D6638"/>
    <w:rsid w:val="002E31C3"/>
    <w:rsid w:val="002F49CF"/>
    <w:rsid w:val="002F50F2"/>
    <w:rsid w:val="0030238C"/>
    <w:rsid w:val="00303470"/>
    <w:rsid w:val="0030683A"/>
    <w:rsid w:val="00306C35"/>
    <w:rsid w:val="00321D4C"/>
    <w:rsid w:val="003239AA"/>
    <w:rsid w:val="00325F94"/>
    <w:rsid w:val="0032611B"/>
    <w:rsid w:val="00343FF0"/>
    <w:rsid w:val="00346B92"/>
    <w:rsid w:val="00370D68"/>
    <w:rsid w:val="00373100"/>
    <w:rsid w:val="00374689"/>
    <w:rsid w:val="00383312"/>
    <w:rsid w:val="00384852"/>
    <w:rsid w:val="00390FF2"/>
    <w:rsid w:val="003A1E12"/>
    <w:rsid w:val="003A27C4"/>
    <w:rsid w:val="003B684C"/>
    <w:rsid w:val="003B6889"/>
    <w:rsid w:val="003B6B76"/>
    <w:rsid w:val="003C1E9C"/>
    <w:rsid w:val="003C5209"/>
    <w:rsid w:val="003C6D09"/>
    <w:rsid w:val="003C7AD4"/>
    <w:rsid w:val="003D5032"/>
    <w:rsid w:val="003F00D6"/>
    <w:rsid w:val="003F12D4"/>
    <w:rsid w:val="003F5383"/>
    <w:rsid w:val="0040090D"/>
    <w:rsid w:val="0040732E"/>
    <w:rsid w:val="00415623"/>
    <w:rsid w:val="00415CAA"/>
    <w:rsid w:val="00425BF9"/>
    <w:rsid w:val="00425F7A"/>
    <w:rsid w:val="00433371"/>
    <w:rsid w:val="00433D54"/>
    <w:rsid w:val="00434CD9"/>
    <w:rsid w:val="00435DAF"/>
    <w:rsid w:val="00442627"/>
    <w:rsid w:val="004542D9"/>
    <w:rsid w:val="0046438E"/>
    <w:rsid w:val="004763DC"/>
    <w:rsid w:val="00484D5A"/>
    <w:rsid w:val="00485018"/>
    <w:rsid w:val="004860B5"/>
    <w:rsid w:val="00491656"/>
    <w:rsid w:val="0049390C"/>
    <w:rsid w:val="00497593"/>
    <w:rsid w:val="004A514C"/>
    <w:rsid w:val="004A6458"/>
    <w:rsid w:val="004B3649"/>
    <w:rsid w:val="004C0501"/>
    <w:rsid w:val="004C054A"/>
    <w:rsid w:val="004C3247"/>
    <w:rsid w:val="004C3D07"/>
    <w:rsid w:val="004C6ECA"/>
    <w:rsid w:val="004C72DC"/>
    <w:rsid w:val="004C7E38"/>
    <w:rsid w:val="004D113F"/>
    <w:rsid w:val="004D2063"/>
    <w:rsid w:val="004D596E"/>
    <w:rsid w:val="004D6F04"/>
    <w:rsid w:val="004E1943"/>
    <w:rsid w:val="004E4314"/>
    <w:rsid w:val="004E55B8"/>
    <w:rsid w:val="004E58D6"/>
    <w:rsid w:val="004F1DA8"/>
    <w:rsid w:val="004F3071"/>
    <w:rsid w:val="004F456A"/>
    <w:rsid w:val="004F48DD"/>
    <w:rsid w:val="005017A1"/>
    <w:rsid w:val="005041EF"/>
    <w:rsid w:val="00506973"/>
    <w:rsid w:val="0051434B"/>
    <w:rsid w:val="00514854"/>
    <w:rsid w:val="0051499F"/>
    <w:rsid w:val="00516451"/>
    <w:rsid w:val="005217EC"/>
    <w:rsid w:val="00525170"/>
    <w:rsid w:val="005337F0"/>
    <w:rsid w:val="00535880"/>
    <w:rsid w:val="00541C53"/>
    <w:rsid w:val="00541ED4"/>
    <w:rsid w:val="0054633C"/>
    <w:rsid w:val="00547714"/>
    <w:rsid w:val="005524E1"/>
    <w:rsid w:val="00554657"/>
    <w:rsid w:val="005561A8"/>
    <w:rsid w:val="0056054C"/>
    <w:rsid w:val="00566239"/>
    <w:rsid w:val="00573997"/>
    <w:rsid w:val="005817D1"/>
    <w:rsid w:val="00584D09"/>
    <w:rsid w:val="005858FD"/>
    <w:rsid w:val="0059139C"/>
    <w:rsid w:val="0059409C"/>
    <w:rsid w:val="00596040"/>
    <w:rsid w:val="005A3E5D"/>
    <w:rsid w:val="005B0BA2"/>
    <w:rsid w:val="005B32CC"/>
    <w:rsid w:val="005C26A9"/>
    <w:rsid w:val="005C4324"/>
    <w:rsid w:val="005C50F3"/>
    <w:rsid w:val="005D0CAF"/>
    <w:rsid w:val="005D2440"/>
    <w:rsid w:val="005D6ADC"/>
    <w:rsid w:val="005E47F2"/>
    <w:rsid w:val="005E5910"/>
    <w:rsid w:val="005E698E"/>
    <w:rsid w:val="005E6F54"/>
    <w:rsid w:val="005F0CC5"/>
    <w:rsid w:val="005F3425"/>
    <w:rsid w:val="005F720E"/>
    <w:rsid w:val="005F7241"/>
    <w:rsid w:val="00600713"/>
    <w:rsid w:val="00602187"/>
    <w:rsid w:val="006029B0"/>
    <w:rsid w:val="00607F8E"/>
    <w:rsid w:val="006157E5"/>
    <w:rsid w:val="00615851"/>
    <w:rsid w:val="0061777B"/>
    <w:rsid w:val="00617C2E"/>
    <w:rsid w:val="00622480"/>
    <w:rsid w:val="00632BCC"/>
    <w:rsid w:val="00647D58"/>
    <w:rsid w:val="00654101"/>
    <w:rsid w:val="00660112"/>
    <w:rsid w:val="0066518F"/>
    <w:rsid w:val="00666BC6"/>
    <w:rsid w:val="00667602"/>
    <w:rsid w:val="00671C64"/>
    <w:rsid w:val="00676294"/>
    <w:rsid w:val="00684F73"/>
    <w:rsid w:val="00694E4A"/>
    <w:rsid w:val="00695915"/>
    <w:rsid w:val="006A193A"/>
    <w:rsid w:val="006B2769"/>
    <w:rsid w:val="006B57BB"/>
    <w:rsid w:val="006B63BA"/>
    <w:rsid w:val="006C2073"/>
    <w:rsid w:val="006C224E"/>
    <w:rsid w:val="006D7983"/>
    <w:rsid w:val="006E2C1D"/>
    <w:rsid w:val="006E5C85"/>
    <w:rsid w:val="006E748D"/>
    <w:rsid w:val="006F06C4"/>
    <w:rsid w:val="006F2A29"/>
    <w:rsid w:val="007031F4"/>
    <w:rsid w:val="00717AAC"/>
    <w:rsid w:val="00717ABF"/>
    <w:rsid w:val="00722851"/>
    <w:rsid w:val="007307A5"/>
    <w:rsid w:val="007320B5"/>
    <w:rsid w:val="0073698F"/>
    <w:rsid w:val="007410BD"/>
    <w:rsid w:val="007526ED"/>
    <w:rsid w:val="00752855"/>
    <w:rsid w:val="00752E1D"/>
    <w:rsid w:val="007536C8"/>
    <w:rsid w:val="00757E8D"/>
    <w:rsid w:val="00763271"/>
    <w:rsid w:val="00764CCF"/>
    <w:rsid w:val="0076503B"/>
    <w:rsid w:val="007653C4"/>
    <w:rsid w:val="00782A64"/>
    <w:rsid w:val="00783D4D"/>
    <w:rsid w:val="00783F65"/>
    <w:rsid w:val="00786EE8"/>
    <w:rsid w:val="00787050"/>
    <w:rsid w:val="0079384A"/>
    <w:rsid w:val="00795EF8"/>
    <w:rsid w:val="007A16BD"/>
    <w:rsid w:val="007A1E7C"/>
    <w:rsid w:val="007B0D8F"/>
    <w:rsid w:val="007C290C"/>
    <w:rsid w:val="007D31F6"/>
    <w:rsid w:val="007D3342"/>
    <w:rsid w:val="007D6B0E"/>
    <w:rsid w:val="007D7AAB"/>
    <w:rsid w:val="007E0FEE"/>
    <w:rsid w:val="007E2592"/>
    <w:rsid w:val="007F41BD"/>
    <w:rsid w:val="008008C0"/>
    <w:rsid w:val="00821BFE"/>
    <w:rsid w:val="0082501C"/>
    <w:rsid w:val="00825597"/>
    <w:rsid w:val="00826B88"/>
    <w:rsid w:val="00834109"/>
    <w:rsid w:val="0083509D"/>
    <w:rsid w:val="008355AE"/>
    <w:rsid w:val="00836C9F"/>
    <w:rsid w:val="00840FD9"/>
    <w:rsid w:val="00842DDD"/>
    <w:rsid w:val="0084610F"/>
    <w:rsid w:val="00853C6B"/>
    <w:rsid w:val="00855929"/>
    <w:rsid w:val="0088051B"/>
    <w:rsid w:val="00885165"/>
    <w:rsid w:val="008873F0"/>
    <w:rsid w:val="00892D1A"/>
    <w:rsid w:val="008978BE"/>
    <w:rsid w:val="008A37E4"/>
    <w:rsid w:val="008B216E"/>
    <w:rsid w:val="008B322E"/>
    <w:rsid w:val="008B509E"/>
    <w:rsid w:val="008C50CE"/>
    <w:rsid w:val="008D42D1"/>
    <w:rsid w:val="008D6019"/>
    <w:rsid w:val="008E08AA"/>
    <w:rsid w:val="008E68E5"/>
    <w:rsid w:val="008F0B25"/>
    <w:rsid w:val="008F24EC"/>
    <w:rsid w:val="0090775F"/>
    <w:rsid w:val="009223BF"/>
    <w:rsid w:val="0094029E"/>
    <w:rsid w:val="00940EC0"/>
    <w:rsid w:val="00947B5A"/>
    <w:rsid w:val="009541F0"/>
    <w:rsid w:val="0095750D"/>
    <w:rsid w:val="0096080B"/>
    <w:rsid w:val="00965911"/>
    <w:rsid w:val="009748AD"/>
    <w:rsid w:val="009749B8"/>
    <w:rsid w:val="00977B77"/>
    <w:rsid w:val="00987221"/>
    <w:rsid w:val="00987C8A"/>
    <w:rsid w:val="00995921"/>
    <w:rsid w:val="009A0FE0"/>
    <w:rsid w:val="009A488D"/>
    <w:rsid w:val="009A4A2D"/>
    <w:rsid w:val="009A6E74"/>
    <w:rsid w:val="009B644C"/>
    <w:rsid w:val="009B68E7"/>
    <w:rsid w:val="009C42B7"/>
    <w:rsid w:val="009C5368"/>
    <w:rsid w:val="009D2A99"/>
    <w:rsid w:val="009D6201"/>
    <w:rsid w:val="009E29A4"/>
    <w:rsid w:val="009E71C2"/>
    <w:rsid w:val="009F2146"/>
    <w:rsid w:val="009F25C8"/>
    <w:rsid w:val="009F26C1"/>
    <w:rsid w:val="009F58C6"/>
    <w:rsid w:val="00A111C3"/>
    <w:rsid w:val="00A1324E"/>
    <w:rsid w:val="00A13270"/>
    <w:rsid w:val="00A22C08"/>
    <w:rsid w:val="00A2342D"/>
    <w:rsid w:val="00A252C4"/>
    <w:rsid w:val="00A25B8E"/>
    <w:rsid w:val="00A30DCC"/>
    <w:rsid w:val="00A3242D"/>
    <w:rsid w:val="00A42C4E"/>
    <w:rsid w:val="00A513C3"/>
    <w:rsid w:val="00A5735E"/>
    <w:rsid w:val="00A63A2B"/>
    <w:rsid w:val="00A7221B"/>
    <w:rsid w:val="00A73762"/>
    <w:rsid w:val="00A746FB"/>
    <w:rsid w:val="00A76E9F"/>
    <w:rsid w:val="00A8453E"/>
    <w:rsid w:val="00A85FD4"/>
    <w:rsid w:val="00A867F8"/>
    <w:rsid w:val="00A9002F"/>
    <w:rsid w:val="00A92906"/>
    <w:rsid w:val="00A92A64"/>
    <w:rsid w:val="00A95B9B"/>
    <w:rsid w:val="00A9679B"/>
    <w:rsid w:val="00AA1B59"/>
    <w:rsid w:val="00AA1E77"/>
    <w:rsid w:val="00AA32A4"/>
    <w:rsid w:val="00AA33F9"/>
    <w:rsid w:val="00AA3F74"/>
    <w:rsid w:val="00AA525A"/>
    <w:rsid w:val="00AA5494"/>
    <w:rsid w:val="00AA6167"/>
    <w:rsid w:val="00AB0FB3"/>
    <w:rsid w:val="00AB26B7"/>
    <w:rsid w:val="00AC2517"/>
    <w:rsid w:val="00AC25BD"/>
    <w:rsid w:val="00AC287D"/>
    <w:rsid w:val="00AC5727"/>
    <w:rsid w:val="00AD05E3"/>
    <w:rsid w:val="00AD292F"/>
    <w:rsid w:val="00AE32CE"/>
    <w:rsid w:val="00AF06F0"/>
    <w:rsid w:val="00AF1974"/>
    <w:rsid w:val="00AF2251"/>
    <w:rsid w:val="00AF269E"/>
    <w:rsid w:val="00B04B20"/>
    <w:rsid w:val="00B161B1"/>
    <w:rsid w:val="00B26D9D"/>
    <w:rsid w:val="00B3514B"/>
    <w:rsid w:val="00B354EF"/>
    <w:rsid w:val="00B4139F"/>
    <w:rsid w:val="00B45E12"/>
    <w:rsid w:val="00B566DF"/>
    <w:rsid w:val="00B614B5"/>
    <w:rsid w:val="00B62BF2"/>
    <w:rsid w:val="00B631C6"/>
    <w:rsid w:val="00B63C88"/>
    <w:rsid w:val="00B63DAF"/>
    <w:rsid w:val="00B67FEC"/>
    <w:rsid w:val="00B84957"/>
    <w:rsid w:val="00B901CA"/>
    <w:rsid w:val="00B919A7"/>
    <w:rsid w:val="00B934BC"/>
    <w:rsid w:val="00B96B34"/>
    <w:rsid w:val="00BA0861"/>
    <w:rsid w:val="00BB5375"/>
    <w:rsid w:val="00BB78E6"/>
    <w:rsid w:val="00BC527B"/>
    <w:rsid w:val="00BD2048"/>
    <w:rsid w:val="00BD6D14"/>
    <w:rsid w:val="00BD7C40"/>
    <w:rsid w:val="00BE3AA8"/>
    <w:rsid w:val="00BE7531"/>
    <w:rsid w:val="00BF2794"/>
    <w:rsid w:val="00C04F80"/>
    <w:rsid w:val="00C10067"/>
    <w:rsid w:val="00C108CD"/>
    <w:rsid w:val="00C21873"/>
    <w:rsid w:val="00C302FA"/>
    <w:rsid w:val="00C30E96"/>
    <w:rsid w:val="00C32360"/>
    <w:rsid w:val="00C42B25"/>
    <w:rsid w:val="00C448BC"/>
    <w:rsid w:val="00C53801"/>
    <w:rsid w:val="00C544D5"/>
    <w:rsid w:val="00C623C6"/>
    <w:rsid w:val="00C658B0"/>
    <w:rsid w:val="00C74596"/>
    <w:rsid w:val="00C81138"/>
    <w:rsid w:val="00C829DB"/>
    <w:rsid w:val="00C8371C"/>
    <w:rsid w:val="00C8606C"/>
    <w:rsid w:val="00C90901"/>
    <w:rsid w:val="00C91187"/>
    <w:rsid w:val="00C96681"/>
    <w:rsid w:val="00C96C80"/>
    <w:rsid w:val="00CA1971"/>
    <w:rsid w:val="00CA3D21"/>
    <w:rsid w:val="00CA6CB3"/>
    <w:rsid w:val="00CB5B95"/>
    <w:rsid w:val="00CB7273"/>
    <w:rsid w:val="00CC005B"/>
    <w:rsid w:val="00CC0568"/>
    <w:rsid w:val="00CD1B72"/>
    <w:rsid w:val="00CD213C"/>
    <w:rsid w:val="00CD5EB3"/>
    <w:rsid w:val="00CD6E9C"/>
    <w:rsid w:val="00CE0F16"/>
    <w:rsid w:val="00CF2D4A"/>
    <w:rsid w:val="00CF7A80"/>
    <w:rsid w:val="00D01046"/>
    <w:rsid w:val="00D02600"/>
    <w:rsid w:val="00D04812"/>
    <w:rsid w:val="00D059E8"/>
    <w:rsid w:val="00D11D01"/>
    <w:rsid w:val="00D12DD9"/>
    <w:rsid w:val="00D13B4F"/>
    <w:rsid w:val="00D20304"/>
    <w:rsid w:val="00D22EAB"/>
    <w:rsid w:val="00D24558"/>
    <w:rsid w:val="00D316B6"/>
    <w:rsid w:val="00D374F7"/>
    <w:rsid w:val="00D46967"/>
    <w:rsid w:val="00D53D22"/>
    <w:rsid w:val="00D5639A"/>
    <w:rsid w:val="00D62D05"/>
    <w:rsid w:val="00D633A7"/>
    <w:rsid w:val="00D64906"/>
    <w:rsid w:val="00D64DDC"/>
    <w:rsid w:val="00D660C0"/>
    <w:rsid w:val="00D713ED"/>
    <w:rsid w:val="00D7143C"/>
    <w:rsid w:val="00D728C6"/>
    <w:rsid w:val="00D75B6D"/>
    <w:rsid w:val="00D75D7C"/>
    <w:rsid w:val="00D87E36"/>
    <w:rsid w:val="00D912BE"/>
    <w:rsid w:val="00D966B6"/>
    <w:rsid w:val="00DA15B2"/>
    <w:rsid w:val="00DB7A41"/>
    <w:rsid w:val="00DC7E6C"/>
    <w:rsid w:val="00DD2A52"/>
    <w:rsid w:val="00DD2A98"/>
    <w:rsid w:val="00DE14D6"/>
    <w:rsid w:val="00E07899"/>
    <w:rsid w:val="00E13E8D"/>
    <w:rsid w:val="00E15497"/>
    <w:rsid w:val="00E176D4"/>
    <w:rsid w:val="00E201A8"/>
    <w:rsid w:val="00E23560"/>
    <w:rsid w:val="00E2369A"/>
    <w:rsid w:val="00E2435E"/>
    <w:rsid w:val="00E26692"/>
    <w:rsid w:val="00E32AF7"/>
    <w:rsid w:val="00E32FDD"/>
    <w:rsid w:val="00E45269"/>
    <w:rsid w:val="00E46667"/>
    <w:rsid w:val="00E53C4B"/>
    <w:rsid w:val="00E5690C"/>
    <w:rsid w:val="00E57E4A"/>
    <w:rsid w:val="00E602FF"/>
    <w:rsid w:val="00E608C8"/>
    <w:rsid w:val="00E66C28"/>
    <w:rsid w:val="00E8089B"/>
    <w:rsid w:val="00E86151"/>
    <w:rsid w:val="00E87D81"/>
    <w:rsid w:val="00E90C89"/>
    <w:rsid w:val="00EB6266"/>
    <w:rsid w:val="00EC021A"/>
    <w:rsid w:val="00EC36B5"/>
    <w:rsid w:val="00EC5653"/>
    <w:rsid w:val="00ED0253"/>
    <w:rsid w:val="00ED0452"/>
    <w:rsid w:val="00EE1F02"/>
    <w:rsid w:val="00EF66F0"/>
    <w:rsid w:val="00EF6C40"/>
    <w:rsid w:val="00F02383"/>
    <w:rsid w:val="00F07B42"/>
    <w:rsid w:val="00F10A82"/>
    <w:rsid w:val="00F12419"/>
    <w:rsid w:val="00F1275F"/>
    <w:rsid w:val="00F12BFE"/>
    <w:rsid w:val="00F14F5B"/>
    <w:rsid w:val="00F247DE"/>
    <w:rsid w:val="00F32428"/>
    <w:rsid w:val="00F32A23"/>
    <w:rsid w:val="00F32B83"/>
    <w:rsid w:val="00F341EA"/>
    <w:rsid w:val="00F36682"/>
    <w:rsid w:val="00F36B73"/>
    <w:rsid w:val="00F4664A"/>
    <w:rsid w:val="00F46906"/>
    <w:rsid w:val="00F52569"/>
    <w:rsid w:val="00F60E9F"/>
    <w:rsid w:val="00F61039"/>
    <w:rsid w:val="00F621C7"/>
    <w:rsid w:val="00F659A5"/>
    <w:rsid w:val="00F66DD0"/>
    <w:rsid w:val="00F7706D"/>
    <w:rsid w:val="00F77D65"/>
    <w:rsid w:val="00F81C90"/>
    <w:rsid w:val="00F8420B"/>
    <w:rsid w:val="00F94237"/>
    <w:rsid w:val="00FA5345"/>
    <w:rsid w:val="00FB2387"/>
    <w:rsid w:val="00FB57DA"/>
    <w:rsid w:val="00FC5104"/>
    <w:rsid w:val="00FC709B"/>
    <w:rsid w:val="00FD640F"/>
    <w:rsid w:val="00FD6AB6"/>
    <w:rsid w:val="00FE0416"/>
    <w:rsid w:val="00FE2B0F"/>
    <w:rsid w:val="00FE36E8"/>
    <w:rsid w:val="00FF00FC"/>
    <w:rsid w:val="00FF6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1505"/>
    <o:shapelayout v:ext="edit">
      <o:idmap v:ext="edit" data="1"/>
    </o:shapelayout>
  </w:shapeDefaults>
  <w:decimalSymbol w:val="."/>
  <w:listSeparator w:val=","/>
  <w14:docId w14:val="03A9E2B2"/>
  <w15:chartTrackingRefBased/>
  <w15:docId w15:val="{89C8281F-0416-4E1C-8047-DC2DEC2E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9" w:unhideWhenUsed="1" w:qFormat="1"/>
    <w:lsdException w:name="heading 5" w:semiHidden="1" w:uiPriority="4"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table" w:styleId="TableGrid">
    <w:name w:val="Table Grid"/>
    <w:basedOn w:val="TableNormal"/>
    <w:uiPriority w:val="59"/>
    <w:rsid w:val="005F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28C6"/>
    <w:pPr>
      <w:spacing w:before="240" w:after="120"/>
    </w:pPr>
    <w:rPr>
      <w:rFonts w:eastAsia="Times New Roman"/>
      <w:b/>
      <w:sz w:val="20"/>
      <w:szCs w:val="20"/>
    </w:rPr>
  </w:style>
  <w:style w:type="paragraph" w:customStyle="1" w:styleId="Default">
    <w:name w:val="Default"/>
    <w:rsid w:val="00600713"/>
    <w:pPr>
      <w:autoSpaceDE w:val="0"/>
      <w:autoSpaceDN w:val="0"/>
      <w:adjustRightInd w:val="0"/>
    </w:pPr>
    <w:rPr>
      <w:rFonts w:ascii="Today SB" w:hAnsi="Today SB" w:cs="Today SB"/>
      <w:color w:val="000000"/>
      <w:sz w:val="24"/>
      <w:szCs w:val="24"/>
      <w:lang w:eastAsia="en-US"/>
    </w:rPr>
  </w:style>
  <w:style w:type="paragraph" w:customStyle="1" w:styleId="Pa7">
    <w:name w:val="Pa7"/>
    <w:basedOn w:val="Default"/>
    <w:next w:val="Default"/>
    <w:uiPriority w:val="99"/>
    <w:rsid w:val="00600713"/>
    <w:pPr>
      <w:spacing w:line="221" w:lineRule="atLeast"/>
    </w:pPr>
    <w:rPr>
      <w:rFonts w:cs="Times New Roman"/>
      <w:color w:val="auto"/>
    </w:rPr>
  </w:style>
  <w:style w:type="paragraph" w:customStyle="1" w:styleId="Pa15">
    <w:name w:val="Pa15"/>
    <w:basedOn w:val="Default"/>
    <w:next w:val="Default"/>
    <w:uiPriority w:val="99"/>
    <w:rsid w:val="00600713"/>
    <w:pPr>
      <w:spacing w:line="221" w:lineRule="atLeast"/>
    </w:pPr>
    <w:rPr>
      <w:rFonts w:cs="Times New Roman"/>
      <w:color w:val="auto"/>
    </w:rPr>
  </w:style>
  <w:style w:type="character" w:customStyle="1" w:styleId="A10">
    <w:name w:val="A10"/>
    <w:uiPriority w:val="99"/>
    <w:rsid w:val="00600713"/>
    <w:rPr>
      <w:rFonts w:cs="Today SB"/>
      <w:color w:val="000000"/>
      <w:sz w:val="22"/>
      <w:szCs w:val="22"/>
    </w:rPr>
  </w:style>
  <w:style w:type="paragraph" w:styleId="ListParagraph">
    <w:name w:val="List Paragraph"/>
    <w:basedOn w:val="Normal"/>
    <w:uiPriority w:val="34"/>
    <w:qFormat/>
    <w:rsid w:val="00600713"/>
    <w:pPr>
      <w:ind w:left="720"/>
    </w:pPr>
  </w:style>
  <w:style w:type="character" w:styleId="CommentReference">
    <w:name w:val="annotation reference"/>
    <w:uiPriority w:val="99"/>
    <w:semiHidden/>
    <w:unhideWhenUsed/>
    <w:rsid w:val="00600713"/>
    <w:rPr>
      <w:sz w:val="16"/>
      <w:szCs w:val="16"/>
    </w:rPr>
  </w:style>
  <w:style w:type="paragraph" w:styleId="CommentText">
    <w:name w:val="annotation text"/>
    <w:basedOn w:val="Normal"/>
    <w:link w:val="CommentTextChar"/>
    <w:uiPriority w:val="99"/>
    <w:unhideWhenUsed/>
    <w:rsid w:val="00600713"/>
    <w:rPr>
      <w:sz w:val="20"/>
      <w:szCs w:val="20"/>
    </w:rPr>
  </w:style>
  <w:style w:type="character" w:customStyle="1" w:styleId="CommentTextChar">
    <w:name w:val="Comment Text Char"/>
    <w:link w:val="CommentText"/>
    <w:uiPriority w:val="99"/>
    <w:rsid w:val="00600713"/>
    <w:rPr>
      <w:rFonts w:ascii="Trebuchet MS" w:hAnsi="Trebuchet MS"/>
      <w:lang w:eastAsia="en-US"/>
    </w:rPr>
  </w:style>
  <w:style w:type="paragraph" w:styleId="Header">
    <w:name w:val="header"/>
    <w:basedOn w:val="Normal"/>
    <w:link w:val="HeaderChar"/>
    <w:unhideWhenUsed/>
    <w:rsid w:val="0082501C"/>
    <w:pPr>
      <w:tabs>
        <w:tab w:val="center" w:pos="4513"/>
        <w:tab w:val="right" w:pos="9026"/>
      </w:tabs>
    </w:pPr>
  </w:style>
  <w:style w:type="character" w:customStyle="1" w:styleId="HeaderChar">
    <w:name w:val="Header Char"/>
    <w:link w:val="Header"/>
    <w:rsid w:val="0082501C"/>
    <w:rPr>
      <w:rFonts w:ascii="Trebuchet MS" w:hAnsi="Trebuchet MS"/>
      <w:sz w:val="22"/>
      <w:szCs w:val="22"/>
      <w:lang w:eastAsia="en-US"/>
    </w:rPr>
  </w:style>
  <w:style w:type="paragraph" w:styleId="Footer">
    <w:name w:val="footer"/>
    <w:basedOn w:val="Normal"/>
    <w:link w:val="FooterChar"/>
    <w:unhideWhenUsed/>
    <w:rsid w:val="0082501C"/>
    <w:pPr>
      <w:tabs>
        <w:tab w:val="center" w:pos="4513"/>
        <w:tab w:val="right" w:pos="9026"/>
      </w:tabs>
    </w:pPr>
  </w:style>
  <w:style w:type="character" w:customStyle="1" w:styleId="FooterChar">
    <w:name w:val="Footer Char"/>
    <w:link w:val="Footer"/>
    <w:rsid w:val="0082501C"/>
    <w:rPr>
      <w:rFonts w:ascii="Trebuchet MS" w:hAnsi="Trebuchet MS"/>
      <w:sz w:val="22"/>
      <w:szCs w:val="22"/>
      <w:lang w:eastAsia="en-US"/>
    </w:rPr>
  </w:style>
  <w:style w:type="paragraph" w:styleId="FootnoteText">
    <w:name w:val="footnote text"/>
    <w:basedOn w:val="Normal"/>
    <w:link w:val="FootnoteTextChar"/>
    <w:unhideWhenUsed/>
    <w:rsid w:val="00B919A7"/>
    <w:rPr>
      <w:sz w:val="20"/>
      <w:szCs w:val="20"/>
    </w:rPr>
  </w:style>
  <w:style w:type="character" w:customStyle="1" w:styleId="FootnoteTextChar">
    <w:name w:val="Footnote Text Char"/>
    <w:link w:val="FootnoteText"/>
    <w:uiPriority w:val="99"/>
    <w:rsid w:val="00B919A7"/>
    <w:rPr>
      <w:rFonts w:ascii="Trebuchet MS" w:hAnsi="Trebuchet MS"/>
      <w:lang w:eastAsia="en-US"/>
    </w:rPr>
  </w:style>
  <w:style w:type="character" w:styleId="FootnoteReference">
    <w:name w:val="footnote reference"/>
    <w:semiHidden/>
    <w:unhideWhenUsed/>
    <w:rsid w:val="00B919A7"/>
    <w:rPr>
      <w:vertAlign w:val="superscript"/>
    </w:rPr>
  </w:style>
  <w:style w:type="paragraph" w:customStyle="1" w:styleId="Heading">
    <w:name w:val="Heading"/>
    <w:basedOn w:val="Normal"/>
    <w:rsid w:val="00E176D4"/>
    <w:rPr>
      <w:rFonts w:ascii="Times New Roman" w:eastAsia="Times New Roman" w:hAnsi="Times New Roman"/>
      <w:b/>
      <w:sz w:val="26"/>
      <w:szCs w:val="20"/>
      <w:lang w:eastAsia="en-AU"/>
    </w:rPr>
  </w:style>
  <w:style w:type="paragraph" w:styleId="BodyText">
    <w:name w:val="Body Text"/>
    <w:basedOn w:val="Normal"/>
    <w:link w:val="BodyTextChar"/>
    <w:autoRedefine/>
    <w:rsid w:val="00E176D4"/>
    <w:pPr>
      <w:numPr>
        <w:numId w:val="1"/>
      </w:numPr>
      <w:spacing w:after="240"/>
      <w:jc w:val="both"/>
    </w:pPr>
    <w:rPr>
      <w:rFonts w:ascii="Times New Roman" w:eastAsia="Times New Roman" w:hAnsi="Times New Roman"/>
      <w:sz w:val="26"/>
      <w:szCs w:val="20"/>
      <w:lang w:eastAsia="en-AU"/>
    </w:rPr>
  </w:style>
  <w:style w:type="character" w:customStyle="1" w:styleId="BodyTextChar">
    <w:name w:val="Body Text Char"/>
    <w:link w:val="BodyText"/>
    <w:rsid w:val="00E176D4"/>
    <w:rPr>
      <w:rFonts w:ascii="Times New Roman" w:eastAsia="Times New Roman" w:hAnsi="Times New Roman"/>
      <w:sz w:val="26"/>
    </w:rPr>
  </w:style>
  <w:style w:type="character" w:customStyle="1" w:styleId="StyleBodyText13ptCharCharChar">
    <w:name w:val="Style Body Text + 13 pt Char Char Char"/>
    <w:rsid w:val="00E176D4"/>
    <w:rPr>
      <w:sz w:val="24"/>
      <w:lang w:val="en-AU" w:eastAsia="en-AU" w:bidi="ar-SA"/>
    </w:rPr>
  </w:style>
  <w:style w:type="paragraph" w:styleId="TOC1">
    <w:name w:val="toc 1"/>
    <w:basedOn w:val="Normal"/>
    <w:next w:val="Normal"/>
    <w:autoRedefine/>
    <w:semiHidden/>
    <w:rsid w:val="00E176D4"/>
    <w:pPr>
      <w:tabs>
        <w:tab w:val="right" w:leader="dot" w:pos="8303"/>
      </w:tabs>
      <w:spacing w:after="240"/>
    </w:pPr>
    <w:rPr>
      <w:rFonts w:ascii="Arial" w:eastAsia="Times New Roman" w:hAnsi="Arial" w:cs="Arial"/>
      <w:b/>
      <w:noProof/>
      <w:sz w:val="24"/>
      <w:szCs w:val="24"/>
      <w:lang w:eastAsia="en-AU"/>
    </w:rPr>
  </w:style>
  <w:style w:type="paragraph" w:styleId="CommentSubject">
    <w:name w:val="annotation subject"/>
    <w:basedOn w:val="CommentText"/>
    <w:next w:val="CommentText"/>
    <w:link w:val="CommentSubjectChar"/>
    <w:uiPriority w:val="99"/>
    <w:semiHidden/>
    <w:unhideWhenUsed/>
    <w:rsid w:val="002A30F6"/>
    <w:rPr>
      <w:b/>
      <w:bCs/>
    </w:rPr>
  </w:style>
  <w:style w:type="character" w:customStyle="1" w:styleId="CommentSubjectChar">
    <w:name w:val="Comment Subject Char"/>
    <w:link w:val="CommentSubject"/>
    <w:uiPriority w:val="99"/>
    <w:semiHidden/>
    <w:rsid w:val="002A30F6"/>
    <w:rPr>
      <w:rFonts w:ascii="Trebuchet MS" w:hAnsi="Trebuchet MS"/>
      <w:b/>
      <w:bCs/>
      <w:lang w:eastAsia="en-US"/>
    </w:rPr>
  </w:style>
  <w:style w:type="paragraph" w:styleId="Revision">
    <w:name w:val="Revision"/>
    <w:hidden/>
    <w:uiPriority w:val="99"/>
    <w:semiHidden/>
    <w:rsid w:val="0073698F"/>
    <w:rPr>
      <w:rFonts w:ascii="Trebuchet MS" w:hAnsi="Trebuchet MS"/>
      <w:sz w:val="22"/>
      <w:szCs w:val="22"/>
      <w:lang w:eastAsia="en-US"/>
    </w:rPr>
  </w:style>
  <w:style w:type="paragraph" w:styleId="Title">
    <w:name w:val="Title"/>
    <w:basedOn w:val="Normal"/>
    <w:link w:val="TitleChar"/>
    <w:qFormat/>
    <w:rsid w:val="0020327C"/>
    <w:pPr>
      <w:spacing w:before="240" w:after="60"/>
      <w:jc w:val="center"/>
      <w:outlineLvl w:val="0"/>
    </w:pPr>
    <w:rPr>
      <w:rFonts w:ascii="Arial" w:eastAsia="Times New Roman" w:hAnsi="Arial" w:cs="Arial"/>
      <w:b/>
      <w:bCs/>
      <w:kern w:val="28"/>
      <w:sz w:val="32"/>
      <w:szCs w:val="32"/>
      <w:lang w:eastAsia="en-AU"/>
    </w:rPr>
  </w:style>
  <w:style w:type="character" w:customStyle="1" w:styleId="TitleChar">
    <w:name w:val="Title Char"/>
    <w:link w:val="Title"/>
    <w:rsid w:val="0020327C"/>
    <w:rPr>
      <w:rFonts w:ascii="Arial" w:eastAsia="Times New Roman" w:hAnsi="Arial" w:cs="Arial"/>
      <w:b/>
      <w:bCs/>
      <w:kern w:val="28"/>
      <w:sz w:val="32"/>
      <w:szCs w:val="32"/>
    </w:rPr>
  </w:style>
  <w:style w:type="paragraph" w:customStyle="1" w:styleId="ActTitle">
    <w:name w:val="Act Title"/>
    <w:basedOn w:val="Normal"/>
    <w:next w:val="IntroTo"/>
    <w:rsid w:val="0020327C"/>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20327C"/>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20327C"/>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Normal"/>
    <w:rsid w:val="0020327C"/>
    <w:pPr>
      <w:keepNext/>
      <w:autoSpaceDE w:val="0"/>
      <w:autoSpaceDN w:val="0"/>
      <w:spacing w:before="48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20327C"/>
  </w:style>
  <w:style w:type="paragraph" w:customStyle="1" w:styleId="IH">
    <w:name w:val="IH"/>
    <w:aliases w:val="Interpretation heading"/>
    <w:basedOn w:val="Normal"/>
    <w:next w:val="Normal"/>
    <w:rsid w:val="0020327C"/>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20327C"/>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basedOn w:val="DefaultParagraphFont"/>
    <w:rsid w:val="0020327C"/>
  </w:style>
  <w:style w:type="paragraph" w:styleId="BodyText3">
    <w:name w:val="Body Text 3"/>
    <w:basedOn w:val="Normal"/>
    <w:link w:val="BodyText3Char"/>
    <w:unhideWhenUsed/>
    <w:qFormat/>
    <w:rsid w:val="00435DAF"/>
    <w:pPr>
      <w:spacing w:after="120"/>
    </w:pPr>
    <w:rPr>
      <w:sz w:val="16"/>
      <w:szCs w:val="16"/>
    </w:rPr>
  </w:style>
  <w:style w:type="character" w:customStyle="1" w:styleId="BodyText3Char">
    <w:name w:val="Body Text 3 Char"/>
    <w:basedOn w:val="DefaultParagraphFont"/>
    <w:link w:val="BodyText3"/>
    <w:rsid w:val="00435DAF"/>
    <w:rPr>
      <w:rFonts w:ascii="Trebuchet MS" w:hAnsi="Trebuchet MS"/>
      <w:sz w:val="16"/>
      <w:szCs w:val="16"/>
      <w:lang w:eastAsia="en-US"/>
    </w:rPr>
  </w:style>
  <w:style w:type="paragraph" w:styleId="List">
    <w:name w:val="List"/>
    <w:basedOn w:val="Normal"/>
    <w:uiPriority w:val="17"/>
    <w:qFormat/>
    <w:rsid w:val="00435DAF"/>
    <w:pPr>
      <w:tabs>
        <w:tab w:val="num" w:pos="425"/>
      </w:tabs>
      <w:spacing w:after="240"/>
      <w:ind w:left="425" w:hanging="425"/>
      <w:jc w:val="both"/>
    </w:pPr>
    <w:rPr>
      <w:rFonts w:ascii="Arial" w:eastAsiaTheme="minorHAnsi" w:hAnsi="Arial" w:cstheme="minorBidi"/>
      <w:color w:val="000000"/>
    </w:rPr>
  </w:style>
  <w:style w:type="paragraph" w:styleId="List2">
    <w:name w:val="List 2"/>
    <w:basedOn w:val="Normal"/>
    <w:uiPriority w:val="17"/>
    <w:qFormat/>
    <w:rsid w:val="00435DAF"/>
    <w:pPr>
      <w:tabs>
        <w:tab w:val="num" w:pos="851"/>
      </w:tabs>
      <w:spacing w:after="240"/>
      <w:ind w:left="851" w:hanging="426"/>
      <w:jc w:val="both"/>
    </w:pPr>
    <w:rPr>
      <w:rFonts w:ascii="Arial" w:eastAsiaTheme="minorHAnsi" w:hAnsi="Arial" w:cstheme="minorBidi"/>
      <w:color w:val="000000"/>
    </w:rPr>
  </w:style>
  <w:style w:type="paragraph" w:styleId="List3">
    <w:name w:val="List 3"/>
    <w:basedOn w:val="Normal"/>
    <w:uiPriority w:val="17"/>
    <w:qFormat/>
    <w:rsid w:val="00435DAF"/>
    <w:pPr>
      <w:tabs>
        <w:tab w:val="num" w:pos="1276"/>
      </w:tabs>
      <w:spacing w:after="240"/>
      <w:ind w:left="1276" w:hanging="425"/>
      <w:jc w:val="both"/>
    </w:pPr>
    <w:rPr>
      <w:rFonts w:ascii="Arial" w:eastAsiaTheme="minorHAnsi" w:hAnsi="Arial" w:cstheme="minorBidi"/>
      <w:color w:val="000000"/>
    </w:rPr>
  </w:style>
  <w:style w:type="numbering" w:styleId="1ai">
    <w:name w:val="Outline List 1"/>
    <w:basedOn w:val="NoList"/>
    <w:uiPriority w:val="99"/>
    <w:semiHidden/>
    <w:unhideWhenUsed/>
    <w:rsid w:val="00435DAF"/>
    <w:pPr>
      <w:numPr>
        <w:numId w:val="9"/>
      </w:numPr>
    </w:pPr>
  </w:style>
  <w:style w:type="paragraph" w:customStyle="1" w:styleId="instrument">
    <w:name w:val="instrument"/>
    <w:basedOn w:val="BodyText2"/>
    <w:qFormat/>
    <w:rsid w:val="00435DAF"/>
    <w:pPr>
      <w:tabs>
        <w:tab w:val="left" w:pos="567"/>
      </w:tabs>
      <w:spacing w:after="240" w:line="240" w:lineRule="auto"/>
      <w:ind w:left="425" w:hanging="425"/>
      <w:jc w:val="both"/>
    </w:pPr>
    <w:rPr>
      <w:rFonts w:ascii="Times New Roman" w:hAnsi="Times New Roman"/>
      <w:sz w:val="24"/>
      <w:szCs w:val="24"/>
      <w:lang w:eastAsia="en-AU"/>
    </w:rPr>
  </w:style>
  <w:style w:type="paragraph" w:customStyle="1" w:styleId="introto0">
    <w:name w:val="introto"/>
    <w:basedOn w:val="Normal"/>
    <w:rsid w:val="00435DAF"/>
    <w:pPr>
      <w:spacing w:before="100" w:beforeAutospacing="1" w:after="100" w:afterAutospacing="1"/>
    </w:pPr>
    <w:rPr>
      <w:rFonts w:ascii="Times New Roman" w:eastAsia="Times New Roman" w:hAnsi="Times New Roman"/>
      <w:sz w:val="24"/>
      <w:szCs w:val="24"/>
      <w:lang w:eastAsia="en-AU"/>
    </w:rPr>
  </w:style>
  <w:style w:type="paragraph" w:styleId="BodyText2">
    <w:name w:val="Body Text 2"/>
    <w:basedOn w:val="Normal"/>
    <w:link w:val="BodyText2Char"/>
    <w:uiPriority w:val="99"/>
    <w:semiHidden/>
    <w:unhideWhenUsed/>
    <w:rsid w:val="00435DAF"/>
    <w:pPr>
      <w:spacing w:after="120" w:line="480" w:lineRule="auto"/>
    </w:pPr>
  </w:style>
  <w:style w:type="character" w:customStyle="1" w:styleId="BodyText2Char">
    <w:name w:val="Body Text 2 Char"/>
    <w:basedOn w:val="DefaultParagraphFont"/>
    <w:link w:val="BodyText2"/>
    <w:uiPriority w:val="99"/>
    <w:semiHidden/>
    <w:rsid w:val="00435DAF"/>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GPS 117 Capital Adequacy: Asset Concentration Risk charge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5JENXJJSCC7A-445999044-11772</_dlc_DocId>
    <_dlc_DocIdUrl xmlns="814d62cb-2db6-4c25-ab62-b9075facbc11">
      <Url>https://im/teams/LEGAL/_layouts/15/DocIdRedir.aspx?ID=5JENXJJSCC7A-445999044-11772</Url>
      <Description>5JENXJJSCC7A-445999044-11772</Description>
    </_dlc_DocIdUrl>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0A61E-3851-4A4B-AA31-9278CFD5146F}">
  <ds:schemaRefs>
    <ds:schemaRef ds:uri="http://schemas.microsoft.com/sharepoint/v3/contenttype/forms"/>
  </ds:schemaRefs>
</ds:datastoreItem>
</file>

<file path=customXml/itemProps2.xml><?xml version="1.0" encoding="utf-8"?>
<ds:datastoreItem xmlns:ds="http://schemas.openxmlformats.org/officeDocument/2006/customXml" ds:itemID="{378F3D92-36D4-46EA-9C03-8A6E027A4FDA}">
  <ds:schemaRefs>
    <ds:schemaRef ds:uri="Microsoft.SharePoint.Taxonomy.ContentTypeSync"/>
  </ds:schemaRefs>
</ds:datastoreItem>
</file>

<file path=customXml/itemProps3.xml><?xml version="1.0" encoding="utf-8"?>
<ds:datastoreItem xmlns:ds="http://schemas.openxmlformats.org/officeDocument/2006/customXml" ds:itemID="{CD6013B1-E497-4220-A535-8F1AE532D8C2}">
  <ds:schemaRefs>
    <ds:schemaRef ds:uri="http://schemas.openxmlformats.org/officeDocument/2006/bibliography"/>
  </ds:schemaRefs>
</ds:datastoreItem>
</file>

<file path=customXml/itemProps4.xml><?xml version="1.0" encoding="utf-8"?>
<ds:datastoreItem xmlns:ds="http://schemas.openxmlformats.org/officeDocument/2006/customXml" ds:itemID="{C150ACEB-C3B3-4D6E-97CC-D036807DF144}">
  <ds:schemaRefs>
    <ds:schemaRef ds:uri="http://schemas.microsoft.com/sharepoint/events"/>
  </ds:schemaRefs>
</ds:datastoreItem>
</file>

<file path=customXml/itemProps5.xml><?xml version="1.0" encoding="utf-8"?>
<ds:datastoreItem xmlns:ds="http://schemas.openxmlformats.org/officeDocument/2006/customXml" ds:itemID="{476CC717-A6C7-4A3D-9DD8-9CEBD04C500C}">
  <ds:schemaRefs>
    <ds:schemaRef ds:uri="814d62cb-2db6-4c25-ab62-b9075facbc11"/>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6.xml><?xml version="1.0" encoding="utf-8"?>
<ds:datastoreItem xmlns:ds="http://schemas.openxmlformats.org/officeDocument/2006/customXml" ds:itemID="{5E1E473C-EC74-4621-9F4E-00F40B55A560}">
  <ds:schemaRefs>
    <ds:schemaRef ds:uri="http://schemas.microsoft.com/office/2006/metadata/longProperties"/>
  </ds:schemaRefs>
</ds:datastoreItem>
</file>

<file path=customXml/itemProps7.xml><?xml version="1.0" encoding="utf-8"?>
<ds:datastoreItem xmlns:ds="http://schemas.openxmlformats.org/officeDocument/2006/customXml" ds:itemID="{856466DC-AAC9-4573-8584-2209CAF4A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3049</Words>
  <Characters>16345</Characters>
  <Application>Microsoft Office Word</Application>
  <DocSecurity>0</DocSecurity>
  <Lines>363</Lines>
  <Paragraphs>177</Paragraphs>
  <ScaleCrop>false</ScaleCrop>
  <HeadingPairs>
    <vt:vector size="2" baseType="variant">
      <vt:variant>
        <vt:lpstr>Title</vt:lpstr>
      </vt:variant>
      <vt:variant>
        <vt:i4>1</vt:i4>
      </vt:variant>
    </vt:vector>
  </HeadingPairs>
  <TitlesOfParts>
    <vt:vector size="1" baseType="lpstr">
      <vt:lpstr>Draft PRudential Standard GPS 117 Cap Adequacy Asset Concentration Risk Charge - marked up</vt:lpstr>
    </vt:vector>
  </TitlesOfParts>
  <Company>APRA</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(prudential standard) determination No. 4 of 2022</dc:title>
  <dc:subject/>
  <dc:creator>Kate Bible</dc:creator>
  <cp:keywords>[SEC=OFFICIAL]</cp:keywords>
  <cp:lastModifiedBy>Toni Michalis</cp:lastModifiedBy>
  <cp:revision>2</cp:revision>
  <cp:lastPrinted>2017-01-31T22:56:00Z</cp:lastPrinted>
  <dcterms:created xsi:type="dcterms:W3CDTF">2022-06-27T10:58:00Z</dcterms:created>
  <dcterms:modified xsi:type="dcterms:W3CDTF">2022-06-27T10:58:00Z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2F4F69A468922135097F09D41A0C35923D451C4A</vt:lpwstr>
  </property>
  <property fmtid="{D5CDD505-2E9C-101B-9397-08002B2CF9AE}" pid="7" name="PM_InsertionValue">
    <vt:lpwstr>OFFICIAL</vt:lpwstr>
  </property>
  <property fmtid="{D5CDD505-2E9C-101B-9397-08002B2CF9AE}" pid="8" name="PM_Hash_Salt">
    <vt:lpwstr>3766B63DA3DD07C3833825BA44864056</vt:lpwstr>
  </property>
  <property fmtid="{D5CDD505-2E9C-101B-9397-08002B2CF9AE}" pid="9" name="PM_Hash_Version">
    <vt:lpwstr>2018.0</vt:lpwstr>
  </property>
  <property fmtid="{D5CDD505-2E9C-101B-9397-08002B2CF9AE}" pid="10" name="PM_Hash_Salt_Prev">
    <vt:lpwstr>0425CB48D9D544151D1FA46D64CCCA61</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Originating_FileId">
    <vt:lpwstr>8446885763814A2DA5A03CE0394A010B</vt:lpwstr>
  </property>
  <property fmtid="{D5CDD505-2E9C-101B-9397-08002B2CF9AE}" pid="21" name="PM_OriginationTimeStamp">
    <vt:lpwstr>2022-06-27T10:58:09Z</vt:lpwstr>
  </property>
  <property fmtid="{D5CDD505-2E9C-101B-9397-08002B2CF9AE}" pid="22" name="PM_MinimumSecurityClassification">
    <vt:lpwstr/>
  </property>
  <property fmtid="{D5CDD505-2E9C-101B-9397-08002B2CF9AE}" pid="23" name="APRAPeriod">
    <vt:lpwstr/>
  </property>
  <property fmtid="{D5CDD505-2E9C-101B-9397-08002B2CF9AE}" pid="24" name="APRAPRSG">
    <vt:lpwstr/>
  </property>
  <property fmtid="{D5CDD505-2E9C-101B-9397-08002B2CF9AE}" pid="25" name="APRAYear">
    <vt:lpwstr/>
  </property>
  <property fmtid="{D5CDD505-2E9C-101B-9397-08002B2CF9AE}" pid="26" name="APRAIndustry">
    <vt:lpwstr/>
  </property>
  <property fmtid="{D5CDD505-2E9C-101B-9397-08002B2CF9AE}" pid="27" name="APRACategory">
    <vt:lpwstr/>
  </property>
  <property fmtid="{D5CDD505-2E9C-101B-9397-08002B2CF9AE}" pid="28" name="_dlc_DocId">
    <vt:lpwstr>N2T6RRKENE6V-1478427550-7120</vt:lpwstr>
  </property>
  <property fmtid="{D5CDD505-2E9C-101B-9397-08002B2CF9AE}" pid="29" name="_dlc_DocIdItemGuid">
    <vt:lpwstr>936705ab-a1b9-4def-8906-dc15e266deaf</vt:lpwstr>
  </property>
  <property fmtid="{D5CDD505-2E9C-101B-9397-08002B2CF9AE}" pid="30" name="_dlc_DocIdUrl">
    <vt:lpwstr>https://im/teams/INSRISK/_layouts/15/DocIdRedir.aspx?ID=N2T6RRKENE6V-1478427550-7120, N2T6RRKENE6V-1478427550-7120</vt:lpwstr>
  </property>
  <property fmtid="{D5CDD505-2E9C-101B-9397-08002B2CF9AE}" pid="31" name="IsLocked">
    <vt:lpwstr>False</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ExternalOrganisation">
    <vt:lpwstr/>
  </property>
  <property fmtid="{D5CDD505-2E9C-101B-9397-08002B2CF9AE}" pid="36" name="APRALegislation">
    <vt:lpwstr/>
  </property>
  <property fmtid="{D5CDD505-2E9C-101B-9397-08002B2CF9AE}" pid="37" name="APRAIRTR">
    <vt:lpwstr/>
  </property>
  <property fmtid="{D5CDD505-2E9C-101B-9397-08002B2CF9AE}" pid="38" name="APRADocumentType">
    <vt:lpwstr>142;#Prudential standard|6ce5a155-9ab2-41e3-9b2a-5baab4b7f1d1;#58;#Legal instrument|71fd6ed3-d6d6-4975-ba99-bfe45802e734</vt:lpwstr>
  </property>
  <property fmtid="{D5CDD505-2E9C-101B-9397-08002B2CF9AE}" pid="39" name="APRAStatus">
    <vt:lpwstr>19;#Final|84d6b2d0-8498-4d62-bf46-bab38babbe9e</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{936705ab-a1b9-4def-8906-dc15e266deaf}</vt:lpwstr>
  </property>
  <property fmtid="{D5CDD505-2E9C-101B-9397-08002B2CF9AE}" pid="44" name="RecordPoint_ActiveItemWebId">
    <vt:lpwstr>{75a71c27-8d66-4282-ae60-1bfc22a83be1}</vt:lpwstr>
  </property>
  <property fmtid="{D5CDD505-2E9C-101B-9397-08002B2CF9AE}" pid="45" name="_docset_NoMedatataSyncRequired">
    <vt:lpwstr>False</vt:lpwstr>
  </property>
  <property fmtid="{D5CDD505-2E9C-101B-9397-08002B2CF9AE}" pid="46" name="RecordPoint_SubmissionCompleted">
    <vt:lpwstr>2022-06-28T03:22:40.8809247+10:00</vt:lpwstr>
  </property>
  <property fmtid="{D5CDD505-2E9C-101B-9397-08002B2CF9AE}" pid="47" name="RecordPoint_RecordNumberSubmitted">
    <vt:lpwstr>R0001610132</vt:lpwstr>
  </property>
  <property fmtid="{D5CDD505-2E9C-101B-9397-08002B2CF9AE}" pid="48" name="IT system type">
    <vt:lpwstr/>
  </property>
  <property fmtid="{D5CDD505-2E9C-101B-9397-08002B2CF9AE}" pid="49" name="PM_Note">
    <vt:lpwstr/>
  </property>
  <property fmtid="{D5CDD505-2E9C-101B-9397-08002B2CF9AE}" pid="50" name="PM_Markers">
    <vt:lpwstr/>
  </property>
  <property fmtid="{D5CDD505-2E9C-101B-9397-08002B2CF9AE}" pid="51" name="PM_Display">
    <vt:lpwstr>OFFICIAL</vt:lpwstr>
  </property>
  <property fmtid="{D5CDD505-2E9C-101B-9397-08002B2CF9AE}" pid="52" name="PMUuid">
    <vt:lpwstr>ABBFF5E2-9674-55C9-B08D-C9980002FD58</vt:lpwstr>
  </property>
  <property fmtid="{D5CDD505-2E9C-101B-9397-08002B2CF9AE}" pid="53" name="PMUuidVer">
    <vt:lpwstr>2022.1</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y fmtid="{D5CDD505-2E9C-101B-9397-08002B2CF9AE}" pid="56" name="ContentTypeId">
    <vt:lpwstr>0x0101008CA7A4F8331B45C7B0D3158B4994D0CA0200577EC0F5A1FBFC498F9A8436B963F8A6</vt:lpwstr>
  </property>
  <property fmtid="{D5CDD505-2E9C-101B-9397-08002B2CF9AE}" pid="57" name="RecordPoint_SubmissionDate">
    <vt:lpwstr/>
  </property>
  <property fmtid="{D5CDD505-2E9C-101B-9397-08002B2CF9AE}" pid="58" name="RecordPoint_ActiveItemMoved">
    <vt:lpwstr/>
  </property>
  <property fmtid="{D5CDD505-2E9C-101B-9397-08002B2CF9AE}" pid="59" name="RecordPoint_RecordFormat">
    <vt:lpwstr/>
  </property>
  <property fmtid="{D5CDD505-2E9C-101B-9397-08002B2CF9AE}" pid="60" name="MSIP_Label_c0129afb-6481-4f92-bc9f-5a4a6346364d_SetDate">
    <vt:lpwstr>2022-06-22T02:22:17Z</vt:lpwstr>
  </property>
  <property fmtid="{D5CDD505-2E9C-101B-9397-08002B2CF9AE}" pid="61" name="MSIP_Label_c0129afb-6481-4f92-bc9f-5a4a6346364d_Name">
    <vt:lpwstr>OFFICIAL</vt:lpwstr>
  </property>
  <property fmtid="{D5CDD505-2E9C-101B-9397-08002B2CF9AE}" pid="62" name="MSIP_Label_c0129afb-6481-4f92-bc9f-5a4a6346364d_SiteId">
    <vt:lpwstr>c05e3ffd-b491-4431-9809-e61d4dc78816</vt:lpwstr>
  </property>
  <property fmtid="{D5CDD505-2E9C-101B-9397-08002B2CF9AE}" pid="63" name="MSIP_Label_c0129afb-6481-4f92-bc9f-5a4a6346364d_Enabled">
    <vt:lpwstr>true</vt:lpwstr>
  </property>
</Properties>
</file>