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93DD" w14:textId="77777777" w:rsidR="00571CE4" w:rsidRDefault="00571CE4" w:rsidP="00571CE4">
      <w:pPr>
        <w:spacing w:before="280" w:after="240"/>
        <w:rPr>
          <w:b/>
          <w:sz w:val="32"/>
          <w:szCs w:val="32"/>
        </w:rPr>
      </w:pPr>
    </w:p>
    <w:p w14:paraId="18EF6B1E" w14:textId="38166CBF" w:rsidR="00571CE4" w:rsidRPr="00CE5077" w:rsidRDefault="00571CE4" w:rsidP="00571CE4">
      <w:pPr>
        <w:spacing w:before="280" w:after="240"/>
        <w:rPr>
          <w:b/>
          <w:sz w:val="32"/>
          <w:szCs w:val="32"/>
        </w:rPr>
      </w:pPr>
      <w:r w:rsidRPr="00CE5077">
        <w:rPr>
          <w:noProof/>
        </w:rPr>
        <w:drawing>
          <wp:anchor distT="0" distB="0" distL="114300" distR="114300" simplePos="0" relativeHeight="251658240" behindDoc="0" locked="0" layoutInCell="1" allowOverlap="1" wp14:anchorId="681A60DB" wp14:editId="68524B0F">
            <wp:simplePos x="0" y="0"/>
            <wp:positionH relativeFrom="margin">
              <wp:align>center</wp:align>
            </wp:positionH>
            <wp:positionV relativeFrom="margin">
              <wp:align>top</wp:align>
            </wp:positionV>
            <wp:extent cx="3542030" cy="746760"/>
            <wp:effectExtent l="0" t="0" r="1270" b="0"/>
            <wp:wrapSquare wrapText="bothSides"/>
            <wp:docPr id="1" name="Picture 1"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Securities and Investments Commis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33ED0B9B" w14:textId="77777777" w:rsidR="00571CE4" w:rsidRPr="00CE5077" w:rsidRDefault="00571CE4" w:rsidP="00571CE4">
      <w:pPr>
        <w:pStyle w:val="LI-Title"/>
        <w:pBdr>
          <w:top w:val="none" w:sz="0" w:space="0" w:color="auto"/>
        </w:pBdr>
        <w:jc w:val="center"/>
      </w:pPr>
    </w:p>
    <w:p w14:paraId="27E30B82" w14:textId="77777777" w:rsidR="00571CE4" w:rsidRPr="00CE5077" w:rsidRDefault="00571CE4" w:rsidP="00571CE4">
      <w:pPr>
        <w:pStyle w:val="LI-Title"/>
        <w:pBdr>
          <w:top w:val="none" w:sz="0" w:space="0" w:color="auto"/>
        </w:pBdr>
        <w:jc w:val="center"/>
      </w:pPr>
      <w:r w:rsidRPr="00CE5077">
        <w:t>Explanatory Statement</w:t>
      </w:r>
    </w:p>
    <w:p w14:paraId="4C3D37AB" w14:textId="77777777" w:rsidR="00571CE4" w:rsidRPr="00CE5077" w:rsidRDefault="00571CE4" w:rsidP="00571CE4">
      <w:pPr>
        <w:rPr>
          <w:lang w:eastAsia="en-AU"/>
        </w:rPr>
      </w:pPr>
    </w:p>
    <w:p w14:paraId="638D72DC" w14:textId="77777777" w:rsidR="00571CE4" w:rsidRPr="00CE5077" w:rsidRDefault="00571CE4" w:rsidP="00571CE4">
      <w:pPr>
        <w:rPr>
          <w:lang w:eastAsia="en-AU"/>
        </w:rPr>
      </w:pPr>
    </w:p>
    <w:p w14:paraId="447C56A9" w14:textId="5A77F2DE" w:rsidR="00571CE4" w:rsidRPr="00CE5077" w:rsidRDefault="00571CE4" w:rsidP="00571CE4">
      <w:pPr>
        <w:jc w:val="center"/>
        <w:rPr>
          <w:b/>
          <w:i/>
          <w:sz w:val="24"/>
          <w:szCs w:val="24"/>
          <w:lang w:eastAsia="en-AU"/>
        </w:rPr>
      </w:pPr>
      <w:bookmarkStart w:id="0" w:name="_Hlk32226538"/>
      <w:r w:rsidRPr="00CE5077">
        <w:rPr>
          <w:b/>
          <w:i/>
          <w:sz w:val="24"/>
          <w:szCs w:val="24"/>
          <w:lang w:eastAsia="en-AU"/>
        </w:rPr>
        <w:t>ASIC Corporations (</w:t>
      </w:r>
      <w:r w:rsidR="003F28B1" w:rsidRPr="00CE5077">
        <w:rPr>
          <w:b/>
          <w:i/>
          <w:sz w:val="24"/>
          <w:szCs w:val="24"/>
          <w:lang w:eastAsia="en-AU"/>
        </w:rPr>
        <w:t xml:space="preserve">Financial Requirements for Corporate Directors of Retail CCIVs) </w:t>
      </w:r>
      <w:r w:rsidRPr="00CE5077">
        <w:rPr>
          <w:b/>
          <w:i/>
          <w:sz w:val="24"/>
          <w:szCs w:val="24"/>
          <w:lang w:eastAsia="en-AU"/>
        </w:rPr>
        <w:t>Instrument 202</w:t>
      </w:r>
      <w:r w:rsidR="003F28B1" w:rsidRPr="00CE5077">
        <w:rPr>
          <w:b/>
          <w:i/>
          <w:sz w:val="24"/>
          <w:szCs w:val="24"/>
          <w:lang w:eastAsia="en-AU"/>
        </w:rPr>
        <w:t>2</w:t>
      </w:r>
      <w:r w:rsidRPr="00CE5077">
        <w:rPr>
          <w:b/>
          <w:i/>
          <w:sz w:val="24"/>
          <w:szCs w:val="24"/>
          <w:lang w:eastAsia="en-AU"/>
        </w:rPr>
        <w:t>/</w:t>
      </w:r>
      <w:r w:rsidR="004D2679" w:rsidRPr="00CE5077">
        <w:rPr>
          <w:b/>
          <w:i/>
          <w:sz w:val="24"/>
          <w:szCs w:val="24"/>
          <w:lang w:eastAsia="en-AU"/>
        </w:rPr>
        <w:t>449</w:t>
      </w:r>
    </w:p>
    <w:p w14:paraId="71156B15" w14:textId="77777777" w:rsidR="00571CE4" w:rsidRPr="00CE5077" w:rsidRDefault="00571CE4" w:rsidP="00571CE4">
      <w:pPr>
        <w:jc w:val="center"/>
        <w:rPr>
          <w:b/>
          <w:i/>
          <w:sz w:val="24"/>
          <w:szCs w:val="24"/>
          <w:lang w:eastAsia="en-AU"/>
        </w:rPr>
      </w:pPr>
    </w:p>
    <w:p w14:paraId="5DB9EEBA" w14:textId="52DF3E3F" w:rsidR="00571CE4" w:rsidRPr="00CE5077" w:rsidRDefault="00571CE4" w:rsidP="00571CE4">
      <w:pPr>
        <w:pStyle w:val="LI-BodyTextParaa"/>
        <w:ind w:left="0" w:firstLine="0"/>
      </w:pPr>
      <w:bookmarkStart w:id="1" w:name="BK_S3P1L1C1"/>
      <w:bookmarkEnd w:id="0"/>
      <w:bookmarkEnd w:id="1"/>
      <w:r w:rsidRPr="00CE5077">
        <w:t xml:space="preserve">This is the Explanatory Statement for </w:t>
      </w:r>
      <w:r w:rsidR="003F28B1" w:rsidRPr="00CE5077">
        <w:rPr>
          <w:i/>
        </w:rPr>
        <w:t>ASIC Corporations (Financial Requirements for Corporate Directors of Retail CCIVs) Instrument 2022/</w:t>
      </w:r>
      <w:r w:rsidR="004D2679" w:rsidRPr="00CE5077">
        <w:rPr>
          <w:i/>
        </w:rPr>
        <w:t>449</w:t>
      </w:r>
      <w:r w:rsidR="00924B8C" w:rsidRPr="00CE5077">
        <w:rPr>
          <w:i/>
        </w:rPr>
        <w:t xml:space="preserve"> </w:t>
      </w:r>
      <w:r w:rsidR="00924B8C" w:rsidRPr="00CE5077">
        <w:t>(</w:t>
      </w:r>
      <w:r w:rsidR="00924B8C" w:rsidRPr="00CE5077">
        <w:rPr>
          <w:b/>
        </w:rPr>
        <w:t>the Instrument</w:t>
      </w:r>
      <w:r w:rsidR="00924B8C" w:rsidRPr="00CE5077">
        <w:t>)</w:t>
      </w:r>
      <w:r w:rsidR="003F28B1" w:rsidRPr="00CE5077">
        <w:rPr>
          <w:i/>
        </w:rPr>
        <w:t>.</w:t>
      </w:r>
    </w:p>
    <w:p w14:paraId="4A1A5CF9" w14:textId="706D90E6" w:rsidR="007A47A8" w:rsidRPr="00CE5077" w:rsidRDefault="00571CE4" w:rsidP="007A47A8">
      <w:pPr>
        <w:pStyle w:val="LI-BodyTextParaa"/>
        <w:ind w:left="0" w:firstLine="0"/>
      </w:pPr>
      <w:r w:rsidRPr="00CE5077">
        <w:t>The Explanatory Statement is approved by the Australian Securities and Investments Commission (</w:t>
      </w:r>
      <w:r w:rsidRPr="00CE5077">
        <w:rPr>
          <w:b/>
        </w:rPr>
        <w:t>ASIC</w:t>
      </w:r>
      <w:r w:rsidRPr="00CE5077">
        <w:t>).</w:t>
      </w:r>
    </w:p>
    <w:p w14:paraId="733A935D" w14:textId="6AEABB25" w:rsidR="00571CE4" w:rsidRPr="00CE5077" w:rsidRDefault="00571CE4" w:rsidP="00571CE4">
      <w:pPr>
        <w:pStyle w:val="LI-BodyTextNumbered"/>
        <w:ind w:left="0" w:firstLine="0"/>
        <w:rPr>
          <w:b/>
        </w:rPr>
      </w:pPr>
      <w:r w:rsidRPr="00CE5077">
        <w:rPr>
          <w:b/>
        </w:rPr>
        <w:t>Summary</w:t>
      </w:r>
    </w:p>
    <w:p w14:paraId="5B12D8D8" w14:textId="7381CA7C" w:rsidR="007A47A8" w:rsidRPr="00CE5077" w:rsidRDefault="007A47A8" w:rsidP="007A47A8">
      <w:pPr>
        <w:pStyle w:val="LI-BodyTextParaa"/>
        <w:numPr>
          <w:ilvl w:val="0"/>
          <w:numId w:val="26"/>
        </w:numPr>
      </w:pPr>
      <w:r w:rsidRPr="00CE5077">
        <w:t xml:space="preserve">ASIC makes this Instrument under paragraph 926A(2)(c) of the </w:t>
      </w:r>
      <w:r w:rsidRPr="00CE5077">
        <w:rPr>
          <w:i/>
        </w:rPr>
        <w:t xml:space="preserve">Corporations Act 2001 </w:t>
      </w:r>
      <w:r w:rsidRPr="00CE5077">
        <w:t xml:space="preserve">(the </w:t>
      </w:r>
      <w:r w:rsidR="00D9176D" w:rsidRPr="00CE5077">
        <w:rPr>
          <w:b/>
        </w:rPr>
        <w:t xml:space="preserve">Corporations </w:t>
      </w:r>
      <w:r w:rsidRPr="00CE5077">
        <w:rPr>
          <w:b/>
        </w:rPr>
        <w:t>Act</w:t>
      </w:r>
      <w:r w:rsidRPr="00CE5077">
        <w:t>). That paragraph provides that ASIC may declare provisions to which s</w:t>
      </w:r>
      <w:r w:rsidR="006F291D" w:rsidRPr="00CE5077">
        <w:t>ection</w:t>
      </w:r>
      <w:r w:rsidRPr="00CE5077">
        <w:t> 926A applies</w:t>
      </w:r>
      <w:r w:rsidR="004D2679" w:rsidRPr="00CE5077">
        <w:t xml:space="preserve"> (</w:t>
      </w:r>
      <w:proofErr w:type="spellStart"/>
      <w:proofErr w:type="gramStart"/>
      <w:r w:rsidR="004D2679" w:rsidRPr="00CE5077">
        <w:t>ie</w:t>
      </w:r>
      <w:proofErr w:type="spellEnd"/>
      <w:proofErr w:type="gramEnd"/>
      <w:r w:rsidR="004D2679" w:rsidRPr="00CE5077">
        <w:t xml:space="preserve"> Part 7.6</w:t>
      </w:r>
      <w:r w:rsidR="00DE7F5E" w:rsidRPr="00CE5077">
        <w:t>, other than Divisions 4 and 8</w:t>
      </w:r>
      <w:r w:rsidR="004D2679" w:rsidRPr="00CE5077">
        <w:t>)</w:t>
      </w:r>
      <w:r w:rsidRPr="00CE5077">
        <w:t xml:space="preserve"> in relation to </w:t>
      </w:r>
      <w:r w:rsidRPr="00CE5077">
        <w:rPr>
          <w:color w:val="000000"/>
          <w:shd w:val="clear" w:color="auto" w:fill="FFFFFF"/>
        </w:rPr>
        <w:t>a person or financial product, or a class of persons or financial products, as if specified provisions were omitted, modified or varied as specified in the declaration.</w:t>
      </w:r>
      <w:r w:rsidR="004D2679" w:rsidRPr="00CE5077">
        <w:rPr>
          <w:color w:val="000000"/>
          <w:shd w:val="clear" w:color="auto" w:fill="FFFFFF"/>
        </w:rPr>
        <w:t xml:space="preserve"> </w:t>
      </w:r>
    </w:p>
    <w:p w14:paraId="02BBF20A" w14:textId="542C4870" w:rsidR="00CF0258" w:rsidRPr="00CE5077" w:rsidRDefault="0065158F" w:rsidP="00A254D6">
      <w:pPr>
        <w:pStyle w:val="LI-BodyTextParaa"/>
        <w:numPr>
          <w:ilvl w:val="0"/>
          <w:numId w:val="26"/>
        </w:numPr>
      </w:pPr>
      <w:r w:rsidRPr="00CE5077">
        <w:t xml:space="preserve">The Instrument </w:t>
      </w:r>
      <w:r w:rsidR="004379D9" w:rsidRPr="00CE5077">
        <w:t>inserts a new section 912AL of the Corporations Act that applies to</w:t>
      </w:r>
      <w:r w:rsidR="002B348F" w:rsidRPr="00CE5077">
        <w:t xml:space="preserve"> Australian financial services (</w:t>
      </w:r>
      <w:r w:rsidR="002B348F" w:rsidRPr="00CE5077">
        <w:rPr>
          <w:b/>
        </w:rPr>
        <w:t>AFS</w:t>
      </w:r>
      <w:r w:rsidR="002B348F" w:rsidRPr="00CE5077">
        <w:t>) licensees</w:t>
      </w:r>
      <w:r w:rsidR="004379D9" w:rsidRPr="00CE5077">
        <w:t xml:space="preserve"> </w:t>
      </w:r>
      <w:r w:rsidR="00F30A73" w:rsidRPr="00CE5077">
        <w:t>that are authorised to operate a</w:t>
      </w:r>
      <w:r w:rsidR="00FE4B88" w:rsidRPr="00CE5077">
        <w:t xml:space="preserve"> retail </w:t>
      </w:r>
      <w:r w:rsidR="00A85386" w:rsidRPr="00CE5077">
        <w:t>corporate collective investment vehicle (</w:t>
      </w:r>
      <w:r w:rsidR="00A85386" w:rsidRPr="00CE5077">
        <w:rPr>
          <w:b/>
        </w:rPr>
        <w:t>CCIV</w:t>
      </w:r>
      <w:r w:rsidR="00A85386" w:rsidRPr="00CE5077">
        <w:t>)</w:t>
      </w:r>
      <w:r w:rsidR="00982AF5" w:rsidRPr="00CE5077">
        <w:t xml:space="preserve">. In the context of retail CCIVs, </w:t>
      </w:r>
      <w:r w:rsidR="00897035" w:rsidRPr="00CE5077">
        <w:t>the AFS licensee is</w:t>
      </w:r>
      <w:r w:rsidR="00982AF5" w:rsidRPr="00CE5077">
        <w:t xml:space="preserve"> the corporate director of the retail CCIV. </w:t>
      </w:r>
    </w:p>
    <w:p w14:paraId="6C139878" w14:textId="5391B096" w:rsidR="00AB0A42" w:rsidRPr="00CE5077" w:rsidRDefault="00CF0258" w:rsidP="009241C7">
      <w:pPr>
        <w:pStyle w:val="LI-BodyTextParaa"/>
        <w:numPr>
          <w:ilvl w:val="0"/>
          <w:numId w:val="26"/>
        </w:numPr>
      </w:pPr>
      <w:r w:rsidRPr="00CE5077">
        <w:t>The new section 912AL broadly mirrors the requirements for an AFS licensee that is a responsible entity of a registered scheme</w:t>
      </w:r>
      <w:r w:rsidR="00F93E56" w:rsidRPr="00CE5077">
        <w:t xml:space="preserve"> under ASIC Class Order [CO 13/760]</w:t>
      </w:r>
      <w:r w:rsidRPr="00CE5077">
        <w:t xml:space="preserve">. </w:t>
      </w:r>
      <w:r w:rsidR="0062721E" w:rsidRPr="00CE5077">
        <w:t>The</w:t>
      </w:r>
      <w:r w:rsidR="004F2601" w:rsidRPr="00CE5077">
        <w:t>re are four requirements: the cash needs requirement (see subsection 912AL</w:t>
      </w:r>
      <w:r w:rsidR="0004623B" w:rsidRPr="00CE5077">
        <w:t xml:space="preserve">(3)), the net tangible assets </w:t>
      </w:r>
      <w:r w:rsidR="00887323" w:rsidRPr="00CE5077">
        <w:t>(</w:t>
      </w:r>
      <w:r w:rsidR="00887323" w:rsidRPr="00CE5077">
        <w:rPr>
          <w:b/>
        </w:rPr>
        <w:t>NTA</w:t>
      </w:r>
      <w:r w:rsidR="00887323" w:rsidRPr="00CE5077">
        <w:t xml:space="preserve">) </w:t>
      </w:r>
      <w:r w:rsidR="0004623B" w:rsidRPr="00CE5077">
        <w:t>requirement (see subsection 912AL(4)), the liquidity requirement (see subsection 912AL(</w:t>
      </w:r>
      <w:r w:rsidR="00DE088D" w:rsidRPr="00CE5077">
        <w:t>8</w:t>
      </w:r>
      <w:r w:rsidR="0004623B" w:rsidRPr="00CE5077">
        <w:t>)) and the audit opinion requirement (see subsection</w:t>
      </w:r>
      <w:r w:rsidR="00DE088D" w:rsidRPr="00CE5077">
        <w:t>s</w:t>
      </w:r>
      <w:r w:rsidR="0004623B" w:rsidRPr="00CE5077">
        <w:t xml:space="preserve"> 912AL(</w:t>
      </w:r>
      <w:r w:rsidR="00DE088D" w:rsidRPr="00CE5077">
        <w:t>9</w:t>
      </w:r>
      <w:r w:rsidR="0004623B" w:rsidRPr="00CE5077">
        <w:t>)</w:t>
      </w:r>
      <w:r w:rsidR="00DE088D" w:rsidRPr="00CE5077">
        <w:t xml:space="preserve"> and (10)</w:t>
      </w:r>
      <w:r w:rsidR="0004623B" w:rsidRPr="00CE5077">
        <w:t>)</w:t>
      </w:r>
      <w:r w:rsidR="001E70A5" w:rsidRPr="00CE5077">
        <w:t xml:space="preserve">. </w:t>
      </w:r>
      <w:r w:rsidR="009241C7" w:rsidRPr="00CE5077">
        <w:t>Satisfaction of these requirements by the corporate director</w:t>
      </w:r>
      <w:r w:rsidR="00271974" w:rsidRPr="00CE5077">
        <w:t xml:space="preserve"> as an AFS licensee</w:t>
      </w:r>
      <w:r w:rsidR="009241C7" w:rsidRPr="00CE5077">
        <w:t xml:space="preserve"> </w:t>
      </w:r>
      <w:r w:rsidR="00B7648A" w:rsidRPr="00CE5077">
        <w:t xml:space="preserve">is intended to </w:t>
      </w:r>
      <w:r w:rsidR="009241C7" w:rsidRPr="00CE5077">
        <w:t xml:space="preserve">ensure that it will have adequate </w:t>
      </w:r>
      <w:r w:rsidR="00AB0A42" w:rsidRPr="00CE5077">
        <w:t xml:space="preserve">financial resources </w:t>
      </w:r>
      <w:r w:rsidR="009241C7" w:rsidRPr="00CE5077">
        <w:t xml:space="preserve">for the purposes of </w:t>
      </w:r>
      <w:r w:rsidR="00AB0A42" w:rsidRPr="00CE5077">
        <w:t xml:space="preserve">paragraph 912A(1)(d) </w:t>
      </w:r>
      <w:r w:rsidR="00394EC0" w:rsidRPr="00CE5077">
        <w:t xml:space="preserve">of the Corporations Act </w:t>
      </w:r>
      <w:r w:rsidR="00AB0A42" w:rsidRPr="00CE5077">
        <w:t xml:space="preserve">and an adequate risk management system </w:t>
      </w:r>
      <w:r w:rsidR="009241C7" w:rsidRPr="00CE5077">
        <w:t>for the purposes of</w:t>
      </w:r>
      <w:r w:rsidR="00AB0A42" w:rsidRPr="00CE5077">
        <w:t xml:space="preserve"> paragraph 912A(1)(h)</w:t>
      </w:r>
      <w:r w:rsidR="009241C7" w:rsidRPr="00CE5077">
        <w:t xml:space="preserve"> of the Corporations Act. </w:t>
      </w:r>
    </w:p>
    <w:p w14:paraId="008EE90E" w14:textId="7C1FE05B" w:rsidR="0062721E" w:rsidRPr="00CE5077" w:rsidRDefault="00B92779" w:rsidP="0062721E">
      <w:pPr>
        <w:pStyle w:val="BodyText"/>
        <w:numPr>
          <w:ilvl w:val="0"/>
          <w:numId w:val="26"/>
        </w:numPr>
        <w:shd w:val="clear" w:color="auto" w:fill="FFFFFF"/>
        <w:spacing w:before="200" w:after="0"/>
      </w:pPr>
      <w:r w:rsidRPr="00CE5077">
        <w:t xml:space="preserve">The requirements in this Instrument are reflected in Appendix 10 (Corporate directors of retail CCIVs) of Regulatory Guide 166 </w:t>
      </w:r>
      <w:r w:rsidRPr="00CE5077">
        <w:rPr>
          <w:i/>
        </w:rPr>
        <w:t>AFS licensing: Financial requi</w:t>
      </w:r>
      <w:r w:rsidR="000C50FB" w:rsidRPr="00CE5077">
        <w:rPr>
          <w:i/>
        </w:rPr>
        <w:t>r</w:t>
      </w:r>
      <w:r w:rsidRPr="00CE5077">
        <w:rPr>
          <w:i/>
        </w:rPr>
        <w:t xml:space="preserve">ements. </w:t>
      </w:r>
    </w:p>
    <w:p w14:paraId="1CD5CB6B" w14:textId="77777777" w:rsidR="00571CE4" w:rsidRPr="00CE5077" w:rsidRDefault="00571CE4" w:rsidP="003A5194">
      <w:pPr>
        <w:pStyle w:val="LI-BodyTextParaa"/>
        <w:keepNext/>
        <w:ind w:left="142" w:firstLine="0"/>
        <w:rPr>
          <w:b/>
        </w:rPr>
      </w:pPr>
      <w:r w:rsidRPr="00CE5077">
        <w:rPr>
          <w:b/>
        </w:rPr>
        <w:lastRenderedPageBreak/>
        <w:t>Purpose of the instrument</w:t>
      </w:r>
    </w:p>
    <w:p w14:paraId="713A778A" w14:textId="7690F532" w:rsidR="00A85386" w:rsidRPr="00CE5077" w:rsidRDefault="00574AC4" w:rsidP="00EE562B">
      <w:pPr>
        <w:pStyle w:val="BodyText"/>
        <w:numPr>
          <w:ilvl w:val="0"/>
          <w:numId w:val="26"/>
        </w:numPr>
        <w:shd w:val="clear" w:color="auto" w:fill="FFFFFF"/>
        <w:spacing w:before="200" w:after="0"/>
      </w:pPr>
      <w:r w:rsidRPr="00CE5077">
        <w:t xml:space="preserve">The </w:t>
      </w:r>
      <w:r w:rsidR="00CD70DF" w:rsidRPr="00CE5077">
        <w:rPr>
          <w:i/>
        </w:rPr>
        <w:t xml:space="preserve">Corporate Collective Investment Vehicle Framework and Other Measures Act 2022 </w:t>
      </w:r>
      <w:r w:rsidR="00CD70DF" w:rsidRPr="00CE5077">
        <w:t xml:space="preserve">amended the Corporations Act to establish a regulatory framework for </w:t>
      </w:r>
      <w:r w:rsidR="00A85386" w:rsidRPr="00CE5077">
        <w:t xml:space="preserve">CCIVs. The Corporations Act provides that a CCIV must have as its sole director a public company that holds an AFS license that authorises it to operate the business and conduct the affairs of the CCIV: see </w:t>
      </w:r>
      <w:r w:rsidR="006549AF" w:rsidRPr="00CE5077">
        <w:t>paragraph</w:t>
      </w:r>
      <w:r w:rsidR="00A85386" w:rsidRPr="00CE5077">
        <w:t xml:space="preserve"> 1222(c)</w:t>
      </w:r>
      <w:r w:rsidR="006549AF" w:rsidRPr="00CE5077">
        <w:t xml:space="preserve"> and sections </w:t>
      </w:r>
      <w:r w:rsidR="00DE3897" w:rsidRPr="00CE5077">
        <w:t xml:space="preserve">1224F and 1241F. </w:t>
      </w:r>
      <w:r w:rsidR="00EE562B" w:rsidRPr="00CE5077">
        <w:t xml:space="preserve">Financial services provided by a CCIV are covered by the corporate director’s AFS license. </w:t>
      </w:r>
      <w:r w:rsidR="00A85386" w:rsidRPr="00CE5077">
        <w:t xml:space="preserve">The CCIV itself is </w:t>
      </w:r>
      <w:r w:rsidR="00EE562B" w:rsidRPr="00CE5077">
        <w:t xml:space="preserve">always </w:t>
      </w:r>
      <w:r w:rsidR="00A85386" w:rsidRPr="00CE5077">
        <w:t>exempt from the requirement to hold an AFS license</w:t>
      </w:r>
      <w:r w:rsidR="005A70C4" w:rsidRPr="00CE5077">
        <w:t xml:space="preserve">. </w:t>
      </w:r>
    </w:p>
    <w:p w14:paraId="5AC495FF" w14:textId="0AC1A94C" w:rsidR="005C1C1D" w:rsidRPr="006A1F41" w:rsidRDefault="007A47A8" w:rsidP="007A47A8">
      <w:pPr>
        <w:pStyle w:val="BodyText"/>
        <w:numPr>
          <w:ilvl w:val="0"/>
          <w:numId w:val="26"/>
        </w:numPr>
        <w:shd w:val="clear" w:color="auto" w:fill="FFFFFF"/>
        <w:spacing w:before="200" w:after="0"/>
      </w:pPr>
      <w:r w:rsidRPr="00CE5077">
        <w:t xml:space="preserve">Section 912A </w:t>
      </w:r>
      <w:r w:rsidR="003A5194" w:rsidRPr="00CE5077">
        <w:t xml:space="preserve">of the Corporations Act </w:t>
      </w:r>
      <w:r w:rsidRPr="00CE5077">
        <w:t>sets out the</w:t>
      </w:r>
      <w:r w:rsidR="005C1C1D" w:rsidRPr="00CE5077">
        <w:t xml:space="preserve"> general</w:t>
      </w:r>
      <w:r w:rsidRPr="00CE5077">
        <w:t xml:space="preserve"> obligations of an </w:t>
      </w:r>
      <w:r w:rsidR="005C1C1D" w:rsidRPr="00CE5077">
        <w:t>AFS</w:t>
      </w:r>
      <w:r w:rsidRPr="00CE5077">
        <w:t xml:space="preserve"> licensee</w:t>
      </w:r>
      <w:r w:rsidR="005C1C1D" w:rsidRPr="006A1F41">
        <w:t xml:space="preserve">. These include the requirement that a licensee must: </w:t>
      </w:r>
    </w:p>
    <w:p w14:paraId="330B4026" w14:textId="493CA543" w:rsidR="005C1C1D" w:rsidRDefault="005C1C1D" w:rsidP="005C1C1D">
      <w:pPr>
        <w:pStyle w:val="BodyText"/>
        <w:numPr>
          <w:ilvl w:val="0"/>
          <w:numId w:val="39"/>
        </w:numPr>
        <w:shd w:val="clear" w:color="auto" w:fill="FFFFFF"/>
        <w:spacing w:before="200" w:after="0"/>
      </w:pPr>
      <w:r w:rsidRPr="006A1F41">
        <w:t>have</w:t>
      </w:r>
      <w:r>
        <w:t xml:space="preserve"> available adequate resources to provide the financial services covered by the licence</w:t>
      </w:r>
      <w:r w:rsidR="000E5799">
        <w:t xml:space="preserve"> (subject to </w:t>
      </w:r>
      <w:proofErr w:type="gramStart"/>
      <w:r w:rsidR="000E5799">
        <w:t>particular exceptions</w:t>
      </w:r>
      <w:proofErr w:type="gramEnd"/>
      <w:r w:rsidR="000E5799">
        <w:t>)</w:t>
      </w:r>
      <w:r>
        <w:t xml:space="preserve">: see paragraph 912A(1)(d); and </w:t>
      </w:r>
    </w:p>
    <w:p w14:paraId="24EB67C1" w14:textId="2E8CCAC1" w:rsidR="005C1C1D" w:rsidRDefault="005C1C1D" w:rsidP="005C1C1D">
      <w:pPr>
        <w:pStyle w:val="BodyText"/>
        <w:numPr>
          <w:ilvl w:val="0"/>
          <w:numId w:val="39"/>
        </w:numPr>
        <w:shd w:val="clear" w:color="auto" w:fill="FFFFFF"/>
        <w:spacing w:before="200" w:after="0"/>
      </w:pPr>
      <w:r>
        <w:t xml:space="preserve">have adequate risk management systems: see paragraph 912A(1)(h). </w:t>
      </w:r>
    </w:p>
    <w:p w14:paraId="559915E1" w14:textId="66B528ED" w:rsidR="0001129E" w:rsidRDefault="00594EE9" w:rsidP="007A47A8">
      <w:pPr>
        <w:pStyle w:val="BodyText"/>
        <w:numPr>
          <w:ilvl w:val="0"/>
          <w:numId w:val="26"/>
        </w:numPr>
        <w:shd w:val="clear" w:color="auto" w:fill="FFFFFF"/>
        <w:spacing w:before="200" w:after="0"/>
      </w:pPr>
      <w:r>
        <w:t>S</w:t>
      </w:r>
      <w:r w:rsidR="00BF3D33">
        <w:t>ection 912A</w:t>
      </w:r>
      <w:r w:rsidR="00F515CD">
        <w:t>L</w:t>
      </w:r>
      <w:r w:rsidR="00BF3D33">
        <w:t xml:space="preserve"> inserted by th</w:t>
      </w:r>
      <w:r w:rsidR="000E5799">
        <w:t>e</w:t>
      </w:r>
      <w:r w:rsidR="00BF3D33">
        <w:t xml:space="preserve"> Instrument will assist AFS licensees that are corporate directors with ensuring that they have the financial resources and risk management system</w:t>
      </w:r>
      <w:r w:rsidR="00EF25F2">
        <w:t>s</w:t>
      </w:r>
      <w:r w:rsidR="00BF3D33">
        <w:t xml:space="preserve"> to satisfy the above requirements. </w:t>
      </w:r>
    </w:p>
    <w:p w14:paraId="5E75389B" w14:textId="75FED652" w:rsidR="00EF25F2" w:rsidRDefault="00EF25F2" w:rsidP="007A47A8">
      <w:pPr>
        <w:pStyle w:val="BodyText"/>
        <w:numPr>
          <w:ilvl w:val="0"/>
          <w:numId w:val="26"/>
        </w:numPr>
        <w:shd w:val="clear" w:color="auto" w:fill="FFFFFF"/>
        <w:spacing w:before="200" w:after="0"/>
      </w:pPr>
      <w:r>
        <w:t xml:space="preserve">The purpose of the Instrument is to impose requirements on licensees that are corporate directors, broadly equivalent to the requirements imposed on licensees that are responsible entities under ASIC Class Order [CO 13/760], to ensure: </w:t>
      </w:r>
    </w:p>
    <w:p w14:paraId="19EBC433" w14:textId="72C02E00" w:rsidR="00FF729D" w:rsidRDefault="00815E2B" w:rsidP="00FF729D">
      <w:pPr>
        <w:pStyle w:val="BodyText"/>
        <w:numPr>
          <w:ilvl w:val="0"/>
          <w:numId w:val="40"/>
        </w:numPr>
        <w:shd w:val="clear" w:color="auto" w:fill="FFFFFF"/>
        <w:spacing w:before="200" w:after="0"/>
      </w:pPr>
      <w:r>
        <w:t>there are arrangements to meet operating costs</w:t>
      </w:r>
      <w:r w:rsidR="00E10B40" w:rsidRPr="00E10B40">
        <w:t xml:space="preserve"> </w:t>
      </w:r>
      <w:r w:rsidR="00E10B40">
        <w:t xml:space="preserve">of the </w:t>
      </w:r>
      <w:r w:rsidR="000E5799">
        <w:t xml:space="preserve">retail </w:t>
      </w:r>
      <w:r w:rsidR="00E10B40">
        <w:t>CCIV</w:t>
      </w:r>
      <w:r>
        <w:t xml:space="preserve"> (</w:t>
      </w:r>
      <w:proofErr w:type="gramStart"/>
      <w:r>
        <w:t>e.g.</w:t>
      </w:r>
      <w:proofErr w:type="gramEnd"/>
      <w:r>
        <w:t xml:space="preserve"> costs of ensuring compliance with the Corporations Act) throughout the life of </w:t>
      </w:r>
      <w:r w:rsidR="00D9176D">
        <w:t xml:space="preserve">the sub-funds of </w:t>
      </w:r>
      <w:r w:rsidR="00D746D2">
        <w:t xml:space="preserve">the </w:t>
      </w:r>
      <w:r w:rsidR="000E5799">
        <w:t xml:space="preserve">retail </w:t>
      </w:r>
      <w:r w:rsidR="00D746D2">
        <w:t>CCIV</w:t>
      </w:r>
      <w:r w:rsidR="00FB272B">
        <w:t xml:space="preserve">, including through </w:t>
      </w:r>
      <w:r>
        <w:t xml:space="preserve">robust cash flow forecasting, adequate levels of capital and liquidity, and capital levels reflecting the operational risk of a </w:t>
      </w:r>
      <w:r w:rsidR="00D9176D">
        <w:t>corporate director</w:t>
      </w:r>
      <w:r>
        <w:t>;  </w:t>
      </w:r>
    </w:p>
    <w:p w14:paraId="7FCDED8C" w14:textId="551DD2AB" w:rsidR="001F2B04" w:rsidRDefault="00815E2B" w:rsidP="001F2B04">
      <w:pPr>
        <w:pStyle w:val="BodyText"/>
        <w:numPr>
          <w:ilvl w:val="0"/>
          <w:numId w:val="40"/>
        </w:numPr>
        <w:shd w:val="clear" w:color="auto" w:fill="FFFFFF"/>
        <w:spacing w:before="200" w:after="0"/>
      </w:pPr>
      <w:r>
        <w:t xml:space="preserve">there is some level of assurance that, if the </w:t>
      </w:r>
      <w:r w:rsidR="00D9176D">
        <w:t xml:space="preserve">corporate director fails, there is </w:t>
      </w:r>
      <w:r>
        <w:t xml:space="preserve">money available for the orderly transition to a new </w:t>
      </w:r>
      <w:r w:rsidR="00D9176D">
        <w:t xml:space="preserve">corporate </w:t>
      </w:r>
      <w:proofErr w:type="gramStart"/>
      <w:r w:rsidR="00D9176D">
        <w:t>director</w:t>
      </w:r>
      <w:r>
        <w:t>;</w:t>
      </w:r>
      <w:proofErr w:type="gramEnd"/>
      <w:r>
        <w:t xml:space="preserve"> </w:t>
      </w:r>
    </w:p>
    <w:p w14:paraId="0568736A" w14:textId="28CF37CF" w:rsidR="007A47A8" w:rsidRDefault="00815E2B" w:rsidP="001D79F2">
      <w:pPr>
        <w:pStyle w:val="BodyText"/>
        <w:numPr>
          <w:ilvl w:val="0"/>
          <w:numId w:val="40"/>
        </w:numPr>
        <w:shd w:val="clear" w:color="auto" w:fill="FFFFFF"/>
        <w:spacing w:before="200" w:after="0"/>
      </w:pPr>
      <w:r>
        <w:t xml:space="preserve">there is alignment of the interests of </w:t>
      </w:r>
      <w:r w:rsidR="00D9176D">
        <w:t xml:space="preserve">corporate directors </w:t>
      </w:r>
      <w:r>
        <w:t xml:space="preserve">and </w:t>
      </w:r>
      <w:r w:rsidR="00D9176D">
        <w:t xml:space="preserve">investors in retail CCIVs </w:t>
      </w:r>
      <w:r>
        <w:t xml:space="preserve">by imposing adequate minimum capital requirements so that </w:t>
      </w:r>
      <w:r w:rsidR="00D9176D">
        <w:t>corporate directors</w:t>
      </w:r>
      <w:r>
        <w:t xml:space="preserve"> are entities of some substance with sufficient capital at risk to provide </w:t>
      </w:r>
      <w:r w:rsidR="00D9176D">
        <w:t>corporate directors</w:t>
      </w:r>
      <w:r>
        <w:t xml:space="preserve"> with a real financial incentive to successfully manage </w:t>
      </w:r>
      <w:r w:rsidR="00D9176D">
        <w:t xml:space="preserve">retail CCIV assets. </w:t>
      </w:r>
    </w:p>
    <w:p w14:paraId="500BCEC2" w14:textId="0E3BEA45" w:rsidR="00F56662" w:rsidRPr="007F20D5" w:rsidRDefault="00571CE4" w:rsidP="007F20D5">
      <w:pPr>
        <w:pStyle w:val="LI-BodyTextNumbered"/>
        <w:ind w:left="567" w:hanging="425"/>
        <w:rPr>
          <w:b/>
        </w:rPr>
      </w:pPr>
      <w:bookmarkStart w:id="2" w:name="_Hlk534291624"/>
      <w:r w:rsidRPr="008B5597">
        <w:rPr>
          <w:b/>
        </w:rPr>
        <w:t>Consultation</w:t>
      </w:r>
    </w:p>
    <w:p w14:paraId="3DB68FBC" w14:textId="252C1144" w:rsidR="00637772" w:rsidRDefault="00D97B87" w:rsidP="00637772">
      <w:pPr>
        <w:pStyle w:val="LI-BodyTextParaa"/>
        <w:numPr>
          <w:ilvl w:val="0"/>
          <w:numId w:val="26"/>
        </w:numPr>
      </w:pPr>
      <w:r>
        <w:t xml:space="preserve">ASIC issued Consultation Paper 360 </w:t>
      </w:r>
      <w:r>
        <w:rPr>
          <w:i/>
        </w:rPr>
        <w:t>Corporate collective investment vehicles: Preparing for the commencement of the new regime</w:t>
      </w:r>
      <w:r w:rsidR="00A74D38">
        <w:rPr>
          <w:i/>
        </w:rPr>
        <w:t xml:space="preserve"> </w:t>
      </w:r>
      <w:r w:rsidR="00A74D38">
        <w:t>(</w:t>
      </w:r>
      <w:r w:rsidR="00A74D38" w:rsidRPr="00A74D38">
        <w:rPr>
          <w:b/>
        </w:rPr>
        <w:t>CP 360</w:t>
      </w:r>
      <w:r w:rsidR="00A74D38">
        <w:t>)</w:t>
      </w:r>
      <w:r>
        <w:rPr>
          <w:i/>
        </w:rPr>
        <w:t xml:space="preserve"> </w:t>
      </w:r>
      <w:r>
        <w:t xml:space="preserve">in March 2022. CP 360 set out ASIC’s proposals for updating ASIC’s Regulatory Guide 166 </w:t>
      </w:r>
      <w:r w:rsidRPr="00887323">
        <w:rPr>
          <w:i/>
        </w:rPr>
        <w:t>AFS licensing: Financial requirements</w:t>
      </w:r>
      <w:r w:rsidR="00887323">
        <w:rPr>
          <w:i/>
        </w:rPr>
        <w:t xml:space="preserve"> </w:t>
      </w:r>
      <w:r w:rsidR="00887323">
        <w:t xml:space="preserve">to include a cash needs requirement, audit requirement, NTA requirement and liquidity requirement similar to that </w:t>
      </w:r>
      <w:r w:rsidR="00887323">
        <w:lastRenderedPageBreak/>
        <w:t xml:space="preserve">imposed on responsible entities of registered schemes by </w:t>
      </w:r>
      <w:r w:rsidR="00033239">
        <w:t xml:space="preserve">ASIC </w:t>
      </w:r>
      <w:r w:rsidR="00887323">
        <w:t xml:space="preserve">Class Order </w:t>
      </w:r>
      <w:r w:rsidR="00033239">
        <w:t>[CO </w:t>
      </w:r>
      <w:r w:rsidR="00887323">
        <w:t>13/760</w:t>
      </w:r>
      <w:r w:rsidR="00033239">
        <w:t>]</w:t>
      </w:r>
      <w:r w:rsidR="00887323">
        <w:t xml:space="preserve">. </w:t>
      </w:r>
      <w:r w:rsidR="00637772">
        <w:t>ASIC</w:t>
      </w:r>
      <w:r w:rsidR="00007555">
        <w:t xml:space="preserve"> received </w:t>
      </w:r>
      <w:r w:rsidR="00652DC8">
        <w:t>six</w:t>
      </w:r>
      <w:r w:rsidR="00007555">
        <w:t xml:space="preserve"> submissions </w:t>
      </w:r>
      <w:r w:rsidR="00652DC8">
        <w:t xml:space="preserve">in response to </w:t>
      </w:r>
      <w:r w:rsidR="00007555">
        <w:t>CP 360.</w:t>
      </w:r>
      <w:r w:rsidR="00652DC8">
        <w:t xml:space="preserve"> </w:t>
      </w:r>
      <w:r w:rsidR="0042549C">
        <w:t xml:space="preserve">Report </w:t>
      </w:r>
      <w:r w:rsidR="00A1628C">
        <w:t>728</w:t>
      </w:r>
      <w:r w:rsidR="0042549C">
        <w:t xml:space="preserve"> </w:t>
      </w:r>
      <w:r w:rsidR="00D66A28" w:rsidRPr="00851AAC">
        <w:rPr>
          <w:i/>
          <w:iCs/>
        </w:rPr>
        <w:t>Response to submissions on CP 360 Corporate collective investment vehicles: Preparing for the commencement of the new regime</w:t>
      </w:r>
      <w:r w:rsidR="00D66A28">
        <w:t xml:space="preserve"> </w:t>
      </w:r>
      <w:r w:rsidR="0042549C">
        <w:t>summarises the key issues from the submissions and ASIC’s responses</w:t>
      </w:r>
      <w:r w:rsidR="00A1628C">
        <w:t xml:space="preserve">: </w:t>
      </w:r>
      <w:hyperlink r:id="rId15" w:history="1">
        <w:r w:rsidR="002148F2">
          <w:rPr>
            <w:rStyle w:val="Hyperlink"/>
          </w:rPr>
          <w:t>REP 728</w:t>
        </w:r>
      </w:hyperlink>
      <w:r w:rsidR="0042549C">
        <w:t>.</w:t>
      </w:r>
    </w:p>
    <w:p w14:paraId="264BA4BA" w14:textId="60AA7F7C" w:rsidR="00D97B87" w:rsidRDefault="00CB14A4" w:rsidP="00887323">
      <w:pPr>
        <w:pStyle w:val="LI-BodyTextParaa"/>
        <w:numPr>
          <w:ilvl w:val="0"/>
          <w:numId w:val="26"/>
        </w:numPr>
      </w:pPr>
      <w:r>
        <w:t xml:space="preserve">ASIC </w:t>
      </w:r>
      <w:r w:rsidR="001B0147">
        <w:t xml:space="preserve">also </w:t>
      </w:r>
      <w:r w:rsidR="00007555">
        <w:t xml:space="preserve">consulted with representatives of the Financial Services Council to clarify certain aspects of </w:t>
      </w:r>
      <w:r w:rsidR="001B0147">
        <w:t>the</w:t>
      </w:r>
      <w:r w:rsidR="00007555">
        <w:t xml:space="preserve"> proposed policy. </w:t>
      </w:r>
    </w:p>
    <w:p w14:paraId="0DC962A7" w14:textId="75754409" w:rsidR="00BE1266" w:rsidRDefault="00603C71" w:rsidP="00CE3ECC">
      <w:pPr>
        <w:pStyle w:val="LI-BodyTextParaa"/>
        <w:numPr>
          <w:ilvl w:val="0"/>
          <w:numId w:val="26"/>
        </w:numPr>
      </w:pPr>
      <w:r>
        <w:t xml:space="preserve">The Office of Best Practice Regulation confirmed that ASIC </w:t>
      </w:r>
      <w:r w:rsidR="00B0258A">
        <w:t xml:space="preserve">is not required </w:t>
      </w:r>
      <w:r>
        <w:t xml:space="preserve">to </w:t>
      </w:r>
      <w:r w:rsidR="00887DCB">
        <w:t xml:space="preserve">prepare a Regulatory Impact Statement for this Instrument. </w:t>
      </w:r>
    </w:p>
    <w:p w14:paraId="002FFB6E" w14:textId="09A59297" w:rsidR="000D2642" w:rsidRPr="000D2642" w:rsidRDefault="00571CE4" w:rsidP="000D2642">
      <w:pPr>
        <w:pStyle w:val="LI-BodyTextNumbered"/>
        <w:ind w:left="0" w:firstLine="0"/>
        <w:rPr>
          <w:b/>
        </w:rPr>
      </w:pPr>
      <w:r w:rsidRPr="007B1D40">
        <w:rPr>
          <w:b/>
        </w:rPr>
        <w:t xml:space="preserve">Operation of the </w:t>
      </w:r>
      <w:r w:rsidR="004B1EC4">
        <w:rPr>
          <w:b/>
        </w:rPr>
        <w:t>I</w:t>
      </w:r>
      <w:r w:rsidRPr="007B1D40">
        <w:rPr>
          <w:b/>
        </w:rPr>
        <w:t>nstrument</w:t>
      </w:r>
      <w:bookmarkStart w:id="3" w:name="_Ref60656531"/>
    </w:p>
    <w:p w14:paraId="77FC40E3" w14:textId="34AFE86E" w:rsidR="000E5799" w:rsidRDefault="00DE7F5E" w:rsidP="009D5228">
      <w:pPr>
        <w:pStyle w:val="BodyText"/>
        <w:numPr>
          <w:ilvl w:val="0"/>
          <w:numId w:val="26"/>
        </w:numPr>
        <w:shd w:val="clear" w:color="auto" w:fill="FFFFFF"/>
        <w:spacing w:before="200" w:after="0"/>
      </w:pPr>
      <w:r>
        <w:t>Section 5 of the Instrument inserts a new section 912AL of the Corporations Act which, under subsection 912AL(1), applies to AFS licensees that are corporate directors of retail CCIVs, other than</w:t>
      </w:r>
      <w:r w:rsidRPr="00DE7F5E">
        <w:t xml:space="preserve"> </w:t>
      </w:r>
      <w:r>
        <w:t>a corporate director that is:</w:t>
      </w:r>
    </w:p>
    <w:p w14:paraId="3402CFCE" w14:textId="670E815A" w:rsidR="000E5799" w:rsidRDefault="000D2642" w:rsidP="000E5799">
      <w:pPr>
        <w:pStyle w:val="BodyText"/>
        <w:numPr>
          <w:ilvl w:val="0"/>
          <w:numId w:val="42"/>
        </w:numPr>
        <w:shd w:val="clear" w:color="auto" w:fill="FFFFFF"/>
        <w:spacing w:before="200" w:after="0"/>
      </w:pPr>
      <w:r>
        <w:t>a body regulated by the Australian Prudential Regulation Authority (</w:t>
      </w:r>
      <w:r>
        <w:rPr>
          <w:b/>
          <w:bCs/>
        </w:rPr>
        <w:t>APRA</w:t>
      </w:r>
      <w:r>
        <w:t xml:space="preserve">) that is not required to comply with paragraph 912A(1)(d) of the </w:t>
      </w:r>
      <w:r w:rsidR="005E240D">
        <w:t xml:space="preserve">Corporations </w:t>
      </w:r>
      <w:r>
        <w:t xml:space="preserve">Act; </w:t>
      </w:r>
      <w:r w:rsidR="000E5799">
        <w:t xml:space="preserve">or </w:t>
      </w:r>
    </w:p>
    <w:p w14:paraId="51B93982" w14:textId="1453A282" w:rsidR="000E5799" w:rsidRDefault="00DE7F5E" w:rsidP="000E5799">
      <w:pPr>
        <w:pStyle w:val="BodyText"/>
        <w:numPr>
          <w:ilvl w:val="0"/>
          <w:numId w:val="42"/>
        </w:numPr>
        <w:shd w:val="clear" w:color="auto" w:fill="FFFFFF"/>
        <w:spacing w:before="200" w:after="0"/>
      </w:pPr>
      <w:r>
        <w:t xml:space="preserve">a </w:t>
      </w:r>
      <w:r w:rsidR="000D2642">
        <w:t xml:space="preserve">market participant; </w:t>
      </w:r>
      <w:r w:rsidR="000E5799">
        <w:t xml:space="preserve">or </w:t>
      </w:r>
    </w:p>
    <w:p w14:paraId="632C4FAA" w14:textId="1A616B66" w:rsidR="000E5799" w:rsidRDefault="00DE7F5E" w:rsidP="000E5799">
      <w:pPr>
        <w:pStyle w:val="BodyText"/>
        <w:numPr>
          <w:ilvl w:val="0"/>
          <w:numId w:val="42"/>
        </w:numPr>
        <w:shd w:val="clear" w:color="auto" w:fill="FFFFFF"/>
        <w:spacing w:before="200" w:after="0"/>
      </w:pPr>
      <w:r>
        <w:t xml:space="preserve">a </w:t>
      </w:r>
      <w:r w:rsidR="000D2642">
        <w:t>clearing participant</w:t>
      </w:r>
      <w:r w:rsidR="003819C2">
        <w:t xml:space="preserve">. </w:t>
      </w:r>
    </w:p>
    <w:p w14:paraId="3C3A7BB4" w14:textId="77777777" w:rsidR="00DE7F5E" w:rsidRDefault="003819C2" w:rsidP="0090481C">
      <w:pPr>
        <w:pStyle w:val="BodyText"/>
        <w:shd w:val="clear" w:color="auto" w:fill="FFFFFF"/>
        <w:spacing w:before="200" w:after="0"/>
        <w:ind w:left="570"/>
      </w:pPr>
      <w:r>
        <w:t>This is because other requirements apply to these AFS licensees under ASIC or APRA policy</w:t>
      </w:r>
      <w:r w:rsidR="00183296">
        <w:t>.</w:t>
      </w:r>
      <w:r w:rsidR="00782AAF">
        <w:t xml:space="preserve"> </w:t>
      </w:r>
    </w:p>
    <w:p w14:paraId="4E1B963E" w14:textId="472566C3" w:rsidR="00613940" w:rsidRPr="003819C2" w:rsidRDefault="00D92709" w:rsidP="00782AAF">
      <w:pPr>
        <w:pStyle w:val="BodyText"/>
        <w:numPr>
          <w:ilvl w:val="0"/>
          <w:numId w:val="26"/>
        </w:numPr>
        <w:shd w:val="clear" w:color="auto" w:fill="FFFFFF"/>
        <w:spacing w:before="200" w:after="0"/>
      </w:pPr>
      <w:r>
        <w:t>S</w:t>
      </w:r>
      <w:r w:rsidR="005E3213">
        <w:t>ubsection</w:t>
      </w:r>
      <w:r w:rsidR="001C0E70">
        <w:t xml:space="preserve"> 912AL(2) </w:t>
      </w:r>
      <w:r w:rsidR="00613940">
        <w:t xml:space="preserve">specifies that </w:t>
      </w:r>
      <w:r w:rsidR="005E3213">
        <w:t xml:space="preserve">a licensee </w:t>
      </w:r>
      <w:r w:rsidR="00B45C26">
        <w:t>to which section 912AL</w:t>
      </w:r>
      <w:r w:rsidR="00365369">
        <w:t xml:space="preserve"> applies </w:t>
      </w:r>
      <w:r w:rsidR="005E3213">
        <w:t>is</w:t>
      </w:r>
      <w:r w:rsidR="008139E9">
        <w:t xml:space="preserve"> </w:t>
      </w:r>
      <w:r w:rsidR="005E3213">
        <w:t xml:space="preserve">taken to have complied with the conditions (if any) of its AFS license that relate to cash needs, NTA and audit opinion requirements.  </w:t>
      </w:r>
    </w:p>
    <w:p w14:paraId="285F2515" w14:textId="34BB0E05" w:rsidR="000D2642" w:rsidRPr="006E23F3" w:rsidRDefault="000D2642" w:rsidP="00CE62F4">
      <w:pPr>
        <w:pStyle w:val="BodyText"/>
        <w:shd w:val="clear" w:color="auto" w:fill="FFFFFF"/>
        <w:spacing w:before="200" w:after="0"/>
        <w:rPr>
          <w:b/>
          <w:i/>
        </w:rPr>
      </w:pPr>
      <w:r w:rsidRPr="006E23F3">
        <w:rPr>
          <w:b/>
          <w:bCs/>
          <w:i/>
        </w:rPr>
        <w:t>Cash needs requirements</w:t>
      </w:r>
    </w:p>
    <w:p w14:paraId="651E65C0" w14:textId="41078A43" w:rsidR="000D2642" w:rsidRDefault="00D93639" w:rsidP="00CE62F4">
      <w:pPr>
        <w:pStyle w:val="BodyText"/>
        <w:numPr>
          <w:ilvl w:val="0"/>
          <w:numId w:val="26"/>
        </w:numPr>
        <w:shd w:val="clear" w:color="auto" w:fill="FFFFFF"/>
        <w:spacing w:before="200" w:after="0"/>
      </w:pPr>
      <w:r>
        <w:t>Subsection</w:t>
      </w:r>
      <w:r w:rsidR="000D2642">
        <w:t xml:space="preserve"> 912A</w:t>
      </w:r>
      <w:r w:rsidR="00CE62F4">
        <w:t>L</w:t>
      </w:r>
      <w:r w:rsidR="000D2642">
        <w:t xml:space="preserve">(3) </w:t>
      </w:r>
      <w:r w:rsidR="00CE62F4">
        <w:t xml:space="preserve">requires a corporate director </w:t>
      </w:r>
      <w:r w:rsidR="008A4E7A">
        <w:t xml:space="preserve">of a retail CCIV </w:t>
      </w:r>
      <w:r w:rsidR="000D2642">
        <w:t>to prepare a cash flow projection covering at the least the next 12 months based on what is reasonably likely to occur.</w:t>
      </w:r>
      <w:r w:rsidR="00CE62F4">
        <w:t xml:space="preserve"> The cash flow projection must be approved by directors of the corporate director as satisfying the cash needs requirement. The</w:t>
      </w:r>
      <w:r w:rsidR="008A4E7A">
        <w:t> </w:t>
      </w:r>
      <w:r w:rsidR="00CE62F4">
        <w:t>corporate director must document the calculations and assumptions used in preparing the projection and describe why those assumptions are appropriate. The cash flow project</w:t>
      </w:r>
      <w:r w:rsidR="00FA4EB6">
        <w:t>ion</w:t>
      </w:r>
      <w:r w:rsidR="00CE62F4">
        <w:t xml:space="preserve"> must be updated </w:t>
      </w:r>
      <w:r w:rsidR="009D0FD3">
        <w:t xml:space="preserve">in certain circumstances. </w:t>
      </w:r>
    </w:p>
    <w:p w14:paraId="1062D740" w14:textId="1AA0B205" w:rsidR="000D2642" w:rsidRPr="003A1FAF" w:rsidRDefault="000D2642" w:rsidP="00CE62F4">
      <w:pPr>
        <w:pStyle w:val="BodyText"/>
        <w:shd w:val="clear" w:color="auto" w:fill="FFFFFF"/>
        <w:spacing w:before="200" w:after="0"/>
        <w:rPr>
          <w:b/>
          <w:i/>
        </w:rPr>
      </w:pPr>
      <w:r w:rsidRPr="003A1FAF">
        <w:rPr>
          <w:b/>
          <w:bCs/>
          <w:i/>
        </w:rPr>
        <w:t>NTA requirement</w:t>
      </w:r>
    </w:p>
    <w:p w14:paraId="670EEFF7" w14:textId="558785B8" w:rsidR="005F0752" w:rsidRDefault="005F0752" w:rsidP="00F74F4B">
      <w:pPr>
        <w:pStyle w:val="BodyText"/>
        <w:numPr>
          <w:ilvl w:val="0"/>
          <w:numId w:val="26"/>
        </w:numPr>
        <w:shd w:val="clear" w:color="auto" w:fill="FFFFFF"/>
        <w:spacing w:before="200" w:after="0"/>
      </w:pPr>
      <w:r>
        <w:t>Subsection</w:t>
      </w:r>
      <w:r w:rsidR="004C601C">
        <w:t>s</w:t>
      </w:r>
      <w:r>
        <w:t xml:space="preserve"> 912AL(</w:t>
      </w:r>
      <w:r w:rsidR="006005A3">
        <w:t>5</w:t>
      </w:r>
      <w:r>
        <w:t>)</w:t>
      </w:r>
      <w:r w:rsidR="004C601C">
        <w:t>, (</w:t>
      </w:r>
      <w:r w:rsidR="006005A3">
        <w:t>6</w:t>
      </w:r>
      <w:r w:rsidR="004C601C">
        <w:t>) and (</w:t>
      </w:r>
      <w:r w:rsidR="006005A3">
        <w:t>7</w:t>
      </w:r>
      <w:r w:rsidR="004C601C">
        <w:t>)</w:t>
      </w:r>
      <w:r>
        <w:t xml:space="preserve"> set out certain requirements in relation to the custody of the assets of the retail CCIV, including in relation to assets of the retail CCIV held by a custodian or a sub-custodian appointed by that custodian. </w:t>
      </w:r>
      <w:r w:rsidR="00ED58BC">
        <w:t xml:space="preserve">Where a corporate director satisfies </w:t>
      </w:r>
      <w:r w:rsidR="002D7D03">
        <w:t xml:space="preserve">relevant </w:t>
      </w:r>
      <w:r w:rsidR="00ED58BC">
        <w:t xml:space="preserve">requirements in subsection </w:t>
      </w:r>
      <w:r w:rsidR="00ED58BC">
        <w:lastRenderedPageBreak/>
        <w:t>912AL(</w:t>
      </w:r>
      <w:r w:rsidR="006005A3">
        <w:t>5</w:t>
      </w:r>
      <w:r w:rsidR="00ED58BC">
        <w:t>), the</w:t>
      </w:r>
      <w:r w:rsidR="00BA27DF">
        <w:t> </w:t>
      </w:r>
      <w:r w:rsidR="00ED58BC">
        <w:t>corporate director</w:t>
      </w:r>
      <w:r w:rsidR="00F60BD1">
        <w:t xml:space="preserve"> of the retail CCIV</w:t>
      </w:r>
      <w:r w:rsidR="00ED58BC">
        <w:t xml:space="preserve"> may hold a lower NTA requirement. </w:t>
      </w:r>
    </w:p>
    <w:p w14:paraId="7E5A8AAC" w14:textId="4B21D3F0" w:rsidR="00F74F4B" w:rsidRDefault="000D2642" w:rsidP="00F74F4B">
      <w:pPr>
        <w:pStyle w:val="BodyText"/>
        <w:numPr>
          <w:ilvl w:val="0"/>
          <w:numId w:val="26"/>
        </w:numPr>
        <w:shd w:val="clear" w:color="auto" w:fill="FFFFFF"/>
        <w:spacing w:before="200" w:after="0"/>
      </w:pPr>
      <w:r>
        <w:t>Where subsection 912A</w:t>
      </w:r>
      <w:r w:rsidR="00F74F4B">
        <w:t>L</w:t>
      </w:r>
      <w:r>
        <w:t>(</w:t>
      </w:r>
      <w:r w:rsidR="005154BE">
        <w:t>5</w:t>
      </w:r>
      <w:r>
        <w:t>) applies, paragraph 912A</w:t>
      </w:r>
      <w:r w:rsidR="00F74F4B">
        <w:t>L</w:t>
      </w:r>
      <w:r>
        <w:t xml:space="preserve">(4)(a) requires </w:t>
      </w:r>
      <w:r w:rsidR="00384CDF">
        <w:t>the</w:t>
      </w:r>
      <w:r w:rsidR="00F74F4B">
        <w:t xml:space="preserve"> corporate director to hold the amount that is the greatest of: </w:t>
      </w:r>
    </w:p>
    <w:p w14:paraId="64729C2D" w14:textId="0CDDAE62" w:rsidR="000D2642" w:rsidRDefault="000D2642" w:rsidP="00F74F4B">
      <w:pPr>
        <w:pStyle w:val="BodyText"/>
        <w:numPr>
          <w:ilvl w:val="0"/>
          <w:numId w:val="34"/>
        </w:numPr>
        <w:shd w:val="clear" w:color="auto" w:fill="FFFFFF"/>
        <w:spacing w:before="200" w:after="0"/>
      </w:pPr>
      <w:proofErr w:type="gramStart"/>
      <w:r>
        <w:t>$150,000;</w:t>
      </w:r>
      <w:proofErr w:type="gramEnd"/>
    </w:p>
    <w:p w14:paraId="1BDE5054" w14:textId="6364AFDA" w:rsidR="000D2642" w:rsidRDefault="000D2642" w:rsidP="00F74F4B">
      <w:pPr>
        <w:pStyle w:val="BodyText"/>
        <w:numPr>
          <w:ilvl w:val="0"/>
          <w:numId w:val="34"/>
        </w:numPr>
        <w:shd w:val="clear" w:color="auto" w:fill="FFFFFF"/>
        <w:spacing w:before="200" w:after="0"/>
      </w:pPr>
      <w:r>
        <w:t xml:space="preserve">0.5% of the </w:t>
      </w:r>
      <w:r w:rsidR="0075695C">
        <w:t>“</w:t>
      </w:r>
      <w:r>
        <w:t xml:space="preserve">average value of </w:t>
      </w:r>
      <w:r w:rsidR="008B4EB8">
        <w:t>CCIV assets, scheme property and IDPS property</w:t>
      </w:r>
      <w:r w:rsidR="008F789A">
        <w:t>”</w:t>
      </w:r>
      <w:r w:rsidR="008B4EB8">
        <w:t xml:space="preserve"> of the retail CCIVs, registered schemes and IDPSs</w:t>
      </w:r>
      <w:r w:rsidR="004D177D">
        <w:t xml:space="preserve"> </w:t>
      </w:r>
      <w:r w:rsidR="00F74F4B">
        <w:t>operated by the</w:t>
      </w:r>
      <w:r w:rsidR="008B4EB8">
        <w:t xml:space="preserve"> licensee</w:t>
      </w:r>
      <w:r>
        <w:t>, up to $5 million NTA; or</w:t>
      </w:r>
    </w:p>
    <w:p w14:paraId="3ABC708C" w14:textId="3DD34C9D" w:rsidR="000D2642" w:rsidRDefault="000D2642" w:rsidP="00F74F4B">
      <w:pPr>
        <w:pStyle w:val="BodyText"/>
        <w:numPr>
          <w:ilvl w:val="0"/>
          <w:numId w:val="34"/>
        </w:numPr>
        <w:shd w:val="clear" w:color="auto" w:fill="FFFFFF"/>
        <w:spacing w:before="200" w:after="0"/>
      </w:pPr>
      <w:r>
        <w:t xml:space="preserve">10% of the </w:t>
      </w:r>
      <w:r w:rsidR="0075695C">
        <w:t>“</w:t>
      </w:r>
      <w:r>
        <w:t xml:space="preserve">average </w:t>
      </w:r>
      <w:r w:rsidR="00B2605A">
        <w:t>corporate director</w:t>
      </w:r>
      <w:r w:rsidR="008B4EB8">
        <w:t>, RE and IDPS</w:t>
      </w:r>
      <w:r w:rsidR="00B2605A">
        <w:t xml:space="preserve"> revenue</w:t>
      </w:r>
      <w:r w:rsidR="0075695C">
        <w:t>”</w:t>
      </w:r>
      <w:r w:rsidR="00B2605A">
        <w:t xml:space="preserve"> of </w:t>
      </w:r>
      <w:r w:rsidR="00A53874">
        <w:t>the</w:t>
      </w:r>
      <w:r w:rsidR="008B4EB8">
        <w:t xml:space="preserve"> licensee</w:t>
      </w:r>
      <w:r w:rsidR="00A53874">
        <w:t>.</w:t>
      </w:r>
      <w:r w:rsidR="00B2605A">
        <w:t xml:space="preserve"> </w:t>
      </w:r>
    </w:p>
    <w:p w14:paraId="6A367004" w14:textId="6E2F0AA9" w:rsidR="000D2642" w:rsidRDefault="000D2642" w:rsidP="000D2642">
      <w:pPr>
        <w:pStyle w:val="BodyText"/>
        <w:numPr>
          <w:ilvl w:val="0"/>
          <w:numId w:val="26"/>
        </w:numPr>
        <w:shd w:val="clear" w:color="auto" w:fill="FFFFFF"/>
        <w:spacing w:before="200" w:after="0"/>
      </w:pPr>
      <w:r>
        <w:t>If subsection 912A</w:t>
      </w:r>
      <w:r w:rsidR="00F75401">
        <w:t>L</w:t>
      </w:r>
      <w:r>
        <w:t>(</w:t>
      </w:r>
      <w:r w:rsidR="00C62029">
        <w:t>5</w:t>
      </w:r>
      <w:r>
        <w:t>) does not apply, paragraph 912A</w:t>
      </w:r>
      <w:r w:rsidR="00F75401">
        <w:t>L</w:t>
      </w:r>
      <w:r>
        <w:t xml:space="preserve">(4)(b) requires the </w:t>
      </w:r>
      <w:r w:rsidR="00384CDF">
        <w:t>corporate director</w:t>
      </w:r>
      <w:r>
        <w:t xml:space="preserve"> to hold the </w:t>
      </w:r>
      <w:r w:rsidR="00C07511">
        <w:t xml:space="preserve">amount the </w:t>
      </w:r>
      <w:r>
        <w:t>greater of:</w:t>
      </w:r>
    </w:p>
    <w:p w14:paraId="45743C65" w14:textId="29695DE1" w:rsidR="000D2642" w:rsidRDefault="000D2642" w:rsidP="00F75401">
      <w:pPr>
        <w:pStyle w:val="BodyText"/>
        <w:numPr>
          <w:ilvl w:val="0"/>
          <w:numId w:val="36"/>
        </w:numPr>
        <w:shd w:val="clear" w:color="auto" w:fill="FFFFFF"/>
        <w:spacing w:before="200" w:after="0"/>
      </w:pPr>
      <w:r>
        <w:t>$10 million; or</w:t>
      </w:r>
    </w:p>
    <w:p w14:paraId="173DBA99" w14:textId="572694C8" w:rsidR="000D2642" w:rsidRDefault="000D2642" w:rsidP="00F75401">
      <w:pPr>
        <w:pStyle w:val="BodyText"/>
        <w:numPr>
          <w:ilvl w:val="0"/>
          <w:numId w:val="36"/>
        </w:numPr>
        <w:shd w:val="clear" w:color="auto" w:fill="FFFFFF"/>
        <w:spacing w:before="200" w:after="0"/>
      </w:pPr>
      <w:r>
        <w:t xml:space="preserve">10% of </w:t>
      </w:r>
      <w:r w:rsidR="0075695C">
        <w:t>“</w:t>
      </w:r>
      <w:r>
        <w:t xml:space="preserve">average </w:t>
      </w:r>
      <w:r w:rsidR="00F75401">
        <w:t>corporate director</w:t>
      </w:r>
      <w:r w:rsidR="00DE3EA0">
        <w:t>, RE and IDPS</w:t>
      </w:r>
      <w:r w:rsidR="00F75401">
        <w:t xml:space="preserve"> revenue</w:t>
      </w:r>
      <w:r w:rsidR="0075695C">
        <w:t>”</w:t>
      </w:r>
      <w:r w:rsidR="00F75401">
        <w:t xml:space="preserve"> of the</w:t>
      </w:r>
      <w:r w:rsidR="00DE3EA0">
        <w:t xml:space="preserve"> licensee</w:t>
      </w:r>
      <w:r w:rsidR="001E56CA">
        <w:t>.</w:t>
      </w:r>
      <w:r w:rsidR="00F75401">
        <w:t xml:space="preserve"> </w:t>
      </w:r>
    </w:p>
    <w:p w14:paraId="2CDD6235" w14:textId="60340F65" w:rsidR="00E775E8" w:rsidRPr="00E775E8" w:rsidRDefault="00584400" w:rsidP="00ED5719">
      <w:pPr>
        <w:pStyle w:val="BodyText"/>
        <w:numPr>
          <w:ilvl w:val="0"/>
          <w:numId w:val="26"/>
        </w:numPr>
        <w:shd w:val="clear" w:color="auto" w:fill="FFFFFF"/>
        <w:spacing w:before="200" w:after="0"/>
      </w:pPr>
      <w:r>
        <w:t>Subsection 912AL</w:t>
      </w:r>
      <w:r w:rsidR="00296C8F">
        <w:t xml:space="preserve">(4) </w:t>
      </w:r>
      <w:proofErr w:type="gramStart"/>
      <w:r w:rsidR="00390727">
        <w:t>takes into account</w:t>
      </w:r>
      <w:proofErr w:type="gramEnd"/>
      <w:r w:rsidR="00296C8F">
        <w:t xml:space="preserve"> a licensee’s scheme and IDPS property </w:t>
      </w:r>
      <w:r w:rsidR="003B230A">
        <w:t xml:space="preserve">(as well as their </w:t>
      </w:r>
      <w:r w:rsidR="008F789A">
        <w:t xml:space="preserve">retail </w:t>
      </w:r>
      <w:r w:rsidR="003B230A">
        <w:t xml:space="preserve">CCIV assets) </w:t>
      </w:r>
      <w:r w:rsidR="00296C8F">
        <w:t xml:space="preserve">for the purposes of determining their </w:t>
      </w:r>
      <w:r w:rsidR="007365DC">
        <w:t>minimum</w:t>
      </w:r>
      <w:r w:rsidR="00296C8F">
        <w:t xml:space="preserve"> NTA</w:t>
      </w:r>
      <w:r w:rsidR="007365DC">
        <w:t xml:space="preserve"> requirement</w:t>
      </w:r>
      <w:r w:rsidR="00296C8F">
        <w:t xml:space="preserve">. </w:t>
      </w:r>
      <w:r w:rsidR="008F2D5A">
        <w:t xml:space="preserve"> </w:t>
      </w:r>
    </w:p>
    <w:p w14:paraId="7B6848D2" w14:textId="650FC89C" w:rsidR="00E775E8" w:rsidRDefault="00E775E8" w:rsidP="00E775E8">
      <w:pPr>
        <w:pStyle w:val="BodyText"/>
        <w:shd w:val="clear" w:color="auto" w:fill="FFFFFF"/>
        <w:spacing w:before="200" w:after="0"/>
      </w:pPr>
      <w:r>
        <w:rPr>
          <w:i/>
          <w:iCs/>
        </w:rPr>
        <w:t xml:space="preserve">Average value of </w:t>
      </w:r>
      <w:r w:rsidR="00A22240" w:rsidRPr="00A22240">
        <w:rPr>
          <w:i/>
        </w:rPr>
        <w:t xml:space="preserve">CCIV assets, scheme property and IDPS property </w:t>
      </w:r>
    </w:p>
    <w:p w14:paraId="4F794C13" w14:textId="31A063B7" w:rsidR="00E775E8" w:rsidRPr="00C63651" w:rsidRDefault="00E775E8" w:rsidP="000732AA">
      <w:pPr>
        <w:pStyle w:val="BodyText"/>
        <w:numPr>
          <w:ilvl w:val="0"/>
          <w:numId w:val="26"/>
        </w:numPr>
        <w:shd w:val="clear" w:color="auto" w:fill="FFFFFF"/>
        <w:spacing w:before="200" w:after="0"/>
      </w:pPr>
      <w:r>
        <w:t xml:space="preserve">The “average value of the </w:t>
      </w:r>
      <w:r w:rsidR="00881616">
        <w:t>CCIV assets, scheme property and IDPS property</w:t>
      </w:r>
      <w:r>
        <w:t>” is defined in subsection 912AL(1</w:t>
      </w:r>
      <w:r w:rsidR="00A22240">
        <w:t>1</w:t>
      </w:r>
      <w:r>
        <w:t xml:space="preserve">). In summary, the definition refers to an amount which is the greater of the current value of the </w:t>
      </w:r>
      <w:r w:rsidR="000732AA">
        <w:t xml:space="preserve">CCIV assets, scheme property and IDPS property </w:t>
      </w:r>
      <w:r>
        <w:t xml:space="preserve">and an amount derived from averaging the actual value of the </w:t>
      </w:r>
      <w:r w:rsidR="000732AA">
        <w:t xml:space="preserve">CCIV assets, scheme property and IDPS property </w:t>
      </w:r>
      <w:r>
        <w:t xml:space="preserve">for </w:t>
      </w:r>
      <w:r w:rsidR="00034292">
        <w:t xml:space="preserve">up to </w:t>
      </w:r>
      <w:r>
        <w:t xml:space="preserve">the last two preceding financial years </w:t>
      </w:r>
      <w:r w:rsidR="00856B62">
        <w:t>(starting from when the corporate director was first authorised to operate a retail CCIV</w:t>
      </w:r>
      <w:r w:rsidR="00500C42">
        <w:t xml:space="preserve"> or, if earlier, from the date the corporate director was authorised to operate </w:t>
      </w:r>
      <w:r w:rsidR="001E69B1">
        <w:t xml:space="preserve">a </w:t>
      </w:r>
      <w:r w:rsidR="00500C42">
        <w:t>registered scheme or IDPS, if applicable</w:t>
      </w:r>
      <w:r w:rsidR="00856B62">
        <w:t xml:space="preserve">) </w:t>
      </w:r>
      <w:r>
        <w:t xml:space="preserve">and a forecast value of the </w:t>
      </w:r>
      <w:r w:rsidR="00DB16FD">
        <w:t xml:space="preserve">CCIV </w:t>
      </w:r>
      <w:r>
        <w:t>assets</w:t>
      </w:r>
      <w:r w:rsidR="00DB16FD">
        <w:t xml:space="preserve">, scheme property and IDPS property </w:t>
      </w:r>
      <w:r>
        <w:t xml:space="preserve">for the remainder of that financial year. This averaging is to ensure that a </w:t>
      </w:r>
      <w:r w:rsidR="00DB16FD">
        <w:t xml:space="preserve">licensee’s </w:t>
      </w:r>
      <w:r>
        <w:t xml:space="preserve">NTA requirement is not reduced because of a drop in the value of the </w:t>
      </w:r>
      <w:r w:rsidR="00907B05">
        <w:t xml:space="preserve">CCIV assets, scheme property and IDPS property </w:t>
      </w:r>
      <w:r>
        <w:t xml:space="preserve">which might itself indicate the potential for the </w:t>
      </w:r>
      <w:r w:rsidR="00907B05">
        <w:t xml:space="preserve">licensee’s </w:t>
      </w:r>
      <w:r>
        <w:t>financial resources to be strained.</w:t>
      </w:r>
    </w:p>
    <w:p w14:paraId="1303A804" w14:textId="14698C7E" w:rsidR="00590E70" w:rsidRPr="00590E70" w:rsidRDefault="000D2642" w:rsidP="00590E70">
      <w:pPr>
        <w:pStyle w:val="BodyText"/>
        <w:shd w:val="clear" w:color="auto" w:fill="FFFFFF"/>
        <w:spacing w:before="200" w:after="0"/>
      </w:pPr>
      <w:r>
        <w:rPr>
          <w:i/>
          <w:iCs/>
        </w:rPr>
        <w:t xml:space="preserve">Average </w:t>
      </w:r>
      <w:r w:rsidR="00590E70">
        <w:rPr>
          <w:i/>
          <w:iCs/>
        </w:rPr>
        <w:t>corporate director</w:t>
      </w:r>
      <w:r w:rsidR="000A0801">
        <w:rPr>
          <w:i/>
          <w:iCs/>
        </w:rPr>
        <w:t>, RE and IDPS</w:t>
      </w:r>
      <w:r w:rsidR="00590E70">
        <w:rPr>
          <w:i/>
          <w:iCs/>
        </w:rPr>
        <w:t xml:space="preserve"> revenue </w:t>
      </w:r>
    </w:p>
    <w:p w14:paraId="51B2208B" w14:textId="711E3B98" w:rsidR="000D2642" w:rsidRDefault="000D2642" w:rsidP="008E1224">
      <w:pPr>
        <w:pStyle w:val="BodyText"/>
        <w:numPr>
          <w:ilvl w:val="0"/>
          <w:numId w:val="26"/>
        </w:numPr>
        <w:shd w:val="clear" w:color="auto" w:fill="FFFFFF"/>
        <w:spacing w:before="200" w:after="0"/>
      </w:pPr>
      <w:r>
        <w:t xml:space="preserve">The “average </w:t>
      </w:r>
      <w:r w:rsidR="00590E70">
        <w:t>corporate director</w:t>
      </w:r>
      <w:r w:rsidR="000A0801">
        <w:t>, RE and IDPS</w:t>
      </w:r>
      <w:r w:rsidR="00590E70">
        <w:t xml:space="preserve"> </w:t>
      </w:r>
      <w:r>
        <w:t>revenue”</w:t>
      </w:r>
      <w:r w:rsidR="004F49C6">
        <w:t xml:space="preserve"> </w:t>
      </w:r>
      <w:r>
        <w:t>is defined in subsection 912A</w:t>
      </w:r>
      <w:r w:rsidR="00590E70">
        <w:t>L</w:t>
      </w:r>
      <w:r>
        <w:t>(1</w:t>
      </w:r>
      <w:r w:rsidR="000A0801">
        <w:t>1</w:t>
      </w:r>
      <w:r>
        <w:t xml:space="preserve">). In summary, the definition refers to an amount based on the average of the </w:t>
      </w:r>
      <w:r w:rsidR="00EC2BB8">
        <w:t xml:space="preserve">licensee’s </w:t>
      </w:r>
      <w:r w:rsidR="00590E70">
        <w:t>corporate director</w:t>
      </w:r>
      <w:r w:rsidR="00EC2BB8">
        <w:t xml:space="preserve">, RE and IDPS </w:t>
      </w:r>
      <w:r w:rsidR="00590E70">
        <w:t>revenue for up</w:t>
      </w:r>
      <w:r>
        <w:t xml:space="preserve"> to the last two preceding financial years (starting from when the </w:t>
      </w:r>
      <w:r w:rsidR="00590E70">
        <w:t>corporate director was first authorised to operate a retail CCIV</w:t>
      </w:r>
      <w:r w:rsidR="004D19B7" w:rsidRPr="004D19B7">
        <w:t xml:space="preserve"> </w:t>
      </w:r>
      <w:r w:rsidR="004D19B7">
        <w:t xml:space="preserve">or, if earlier, from the date the </w:t>
      </w:r>
      <w:r w:rsidR="004D19B7">
        <w:lastRenderedPageBreak/>
        <w:t xml:space="preserve">corporate director was authorised to operate </w:t>
      </w:r>
      <w:r w:rsidR="001E69B1">
        <w:t xml:space="preserve">a </w:t>
      </w:r>
      <w:r w:rsidR="004D19B7">
        <w:t>registered scheme or IDPS, if applicable</w:t>
      </w:r>
      <w:r w:rsidR="00590E70">
        <w:t xml:space="preserve">) </w:t>
      </w:r>
      <w:r>
        <w:t xml:space="preserve">and an estimate of the forecast </w:t>
      </w:r>
      <w:r w:rsidR="00590E70">
        <w:t>corporate director</w:t>
      </w:r>
      <w:r w:rsidR="00BD3AA9">
        <w:t>, RE and IDPS</w:t>
      </w:r>
      <w:r>
        <w:t xml:space="preserve"> revenue for th</w:t>
      </w:r>
      <w:r w:rsidR="0083316E">
        <w:t>e</w:t>
      </w:r>
      <w:r>
        <w:t xml:space="preserve"> remainder of the financial year.</w:t>
      </w:r>
      <w:r w:rsidR="003E3B44">
        <w:t xml:space="preserve"> </w:t>
      </w:r>
    </w:p>
    <w:p w14:paraId="4C45EC26" w14:textId="0ABD2A11" w:rsidR="000D2642" w:rsidRPr="00D50ACC" w:rsidRDefault="000D2642" w:rsidP="00E57F80">
      <w:pPr>
        <w:pStyle w:val="BodyText"/>
        <w:shd w:val="clear" w:color="auto" w:fill="FFFFFF"/>
        <w:spacing w:before="200" w:after="0"/>
        <w:rPr>
          <w:b/>
          <w:i/>
        </w:rPr>
      </w:pPr>
      <w:r w:rsidRPr="00D50ACC">
        <w:rPr>
          <w:b/>
          <w:bCs/>
          <w:i/>
        </w:rPr>
        <w:t>Liquidity requirement</w:t>
      </w:r>
    </w:p>
    <w:p w14:paraId="30C7FA77" w14:textId="32DD8E1F" w:rsidR="00E43A53" w:rsidRDefault="000D2642" w:rsidP="005720A8">
      <w:pPr>
        <w:pStyle w:val="BodyText"/>
        <w:numPr>
          <w:ilvl w:val="0"/>
          <w:numId w:val="26"/>
        </w:numPr>
        <w:shd w:val="clear" w:color="auto" w:fill="FFFFFF"/>
        <w:spacing w:before="200" w:after="0"/>
      </w:pPr>
      <w:r>
        <w:t>There are two components under the liquidity requirement in subsection 912A</w:t>
      </w:r>
      <w:r w:rsidR="00E57F80">
        <w:t>L</w:t>
      </w:r>
      <w:r>
        <w:t>(</w:t>
      </w:r>
      <w:r w:rsidR="001A7F26">
        <w:t>8</w:t>
      </w:r>
      <w:r>
        <w:t>)</w:t>
      </w:r>
      <w:r w:rsidR="0049046D">
        <w:t xml:space="preserve">: </w:t>
      </w:r>
    </w:p>
    <w:p w14:paraId="47093C37" w14:textId="7BF6A4CA" w:rsidR="00E43A53" w:rsidRDefault="005F0752" w:rsidP="00E43A53">
      <w:pPr>
        <w:pStyle w:val="BodyText"/>
        <w:numPr>
          <w:ilvl w:val="0"/>
          <w:numId w:val="38"/>
        </w:numPr>
        <w:shd w:val="clear" w:color="auto" w:fill="FFFFFF"/>
        <w:spacing w:before="200" w:after="0"/>
      </w:pPr>
      <w:r>
        <w:t>p</w:t>
      </w:r>
      <w:r w:rsidR="000D2642">
        <w:t>aragraph 912A</w:t>
      </w:r>
      <w:r w:rsidR="00E43A53">
        <w:t>L</w:t>
      </w:r>
      <w:r w:rsidR="000D2642">
        <w:t>(</w:t>
      </w:r>
      <w:r w:rsidR="001A7F26">
        <w:t>8</w:t>
      </w:r>
      <w:r w:rsidR="000D2642">
        <w:t>)(a)</w:t>
      </w:r>
      <w:r w:rsidR="00E43A53">
        <w:t xml:space="preserve"> requires</w:t>
      </w:r>
      <w:r w:rsidR="000D2642">
        <w:t xml:space="preserve"> the </w:t>
      </w:r>
      <w:r w:rsidR="00E57F80">
        <w:t>corporate director</w:t>
      </w:r>
      <w:r w:rsidR="00E43A53">
        <w:t xml:space="preserve"> to hold the</w:t>
      </w:r>
      <w:r w:rsidR="000D2642">
        <w:t xml:space="preserve"> greater of $150,000 or 50% of the NTA requirement that would be required to be held under paragraph 912A</w:t>
      </w:r>
      <w:r w:rsidR="00ED1E08">
        <w:t>L</w:t>
      </w:r>
      <w:r w:rsidR="000D2642">
        <w:t>(4) as cash or cash equivalents.</w:t>
      </w:r>
      <w:r w:rsidR="005720A8">
        <w:t xml:space="preserve"> </w:t>
      </w:r>
      <w:r w:rsidR="000D2642">
        <w:t>“Cash or cash equivalents” is defined in subsection 912A</w:t>
      </w:r>
      <w:r w:rsidR="00AF202E">
        <w:t>L</w:t>
      </w:r>
      <w:r w:rsidR="000D2642">
        <w:t>(1</w:t>
      </w:r>
      <w:r w:rsidR="001A7F26">
        <w:t>1</w:t>
      </w:r>
      <w:r w:rsidR="000D2642">
        <w:t>)</w:t>
      </w:r>
      <w:r w:rsidR="005720A8">
        <w:t xml:space="preserve">. </w:t>
      </w:r>
      <w:bookmarkStart w:id="4" w:name="_ASICRef533"/>
    </w:p>
    <w:p w14:paraId="4F0104E5" w14:textId="69D56CA2" w:rsidR="000D2642" w:rsidRDefault="008F789A" w:rsidP="00E43A53">
      <w:pPr>
        <w:pStyle w:val="BodyText"/>
        <w:numPr>
          <w:ilvl w:val="0"/>
          <w:numId w:val="38"/>
        </w:numPr>
        <w:shd w:val="clear" w:color="auto" w:fill="FFFFFF"/>
        <w:spacing w:before="200" w:after="0"/>
      </w:pPr>
      <w:r>
        <w:t>p</w:t>
      </w:r>
      <w:r w:rsidR="000D2642">
        <w:t>aragraph 912A</w:t>
      </w:r>
      <w:r w:rsidR="00E43A53">
        <w:t>L</w:t>
      </w:r>
      <w:r w:rsidR="000D2642">
        <w:t>(</w:t>
      </w:r>
      <w:r w:rsidR="001A7F26">
        <w:t>8</w:t>
      </w:r>
      <w:r w:rsidR="000D2642">
        <w:t xml:space="preserve">)(b) requires </w:t>
      </w:r>
      <w:r w:rsidR="00941B6E">
        <w:t xml:space="preserve">the </w:t>
      </w:r>
      <w:r w:rsidR="00E43A53">
        <w:t xml:space="preserve">corporate director to hold </w:t>
      </w:r>
      <w:r w:rsidR="000D2642">
        <w:t>liquid assets in an amount that is at least 100% of the required NTA.</w:t>
      </w:r>
      <w:bookmarkEnd w:id="4"/>
      <w:r w:rsidR="005626BC">
        <w:t xml:space="preserve"> </w:t>
      </w:r>
      <w:r w:rsidR="000D2642">
        <w:t>“Liquid asset</w:t>
      </w:r>
      <w:r w:rsidR="00AB0F96">
        <w:t>s</w:t>
      </w:r>
      <w:r w:rsidR="000D2642">
        <w:t>” is defined in subsection 912A</w:t>
      </w:r>
      <w:r w:rsidR="00AF202E">
        <w:t>L</w:t>
      </w:r>
      <w:r w:rsidR="000D2642">
        <w:t>(1</w:t>
      </w:r>
      <w:r w:rsidR="001A7F26">
        <w:t>1</w:t>
      </w:r>
      <w:r w:rsidR="000D2642">
        <w:t xml:space="preserve">). </w:t>
      </w:r>
    </w:p>
    <w:p w14:paraId="7525B249" w14:textId="0238D2BF" w:rsidR="000D2642" w:rsidRDefault="000D2642" w:rsidP="00A72374">
      <w:pPr>
        <w:pStyle w:val="BodyText"/>
        <w:numPr>
          <w:ilvl w:val="0"/>
          <w:numId w:val="26"/>
        </w:numPr>
        <w:shd w:val="clear" w:color="auto" w:fill="FFFFFF"/>
        <w:spacing w:before="200" w:after="0"/>
      </w:pPr>
      <w:r>
        <w:t xml:space="preserve">A primary objective of the liquidity requirement is to ensure that </w:t>
      </w:r>
      <w:r w:rsidR="00A72374">
        <w:t xml:space="preserve">the corporate director’s NTA </w:t>
      </w:r>
      <w:r>
        <w:t>is in a form that can be called upon when required. The liquidity requirement</w:t>
      </w:r>
      <w:r w:rsidR="0051243E">
        <w:t xml:space="preserve"> necessitates</w:t>
      </w:r>
      <w:r>
        <w:t xml:space="preserve"> that a portion of a </w:t>
      </w:r>
      <w:r w:rsidR="00A72374">
        <w:t>corporate director’s</w:t>
      </w:r>
      <w:r>
        <w:t xml:space="preserve"> NTA be held as cash or cash equivalents to </w:t>
      </w:r>
      <w:r w:rsidR="002D5655">
        <w:t>meet</w:t>
      </w:r>
      <w:r>
        <w:t xml:space="preserve"> any immediate and unexpected expenses.</w:t>
      </w:r>
    </w:p>
    <w:p w14:paraId="42358657" w14:textId="30032B1C" w:rsidR="000D2642" w:rsidRPr="000715BE" w:rsidRDefault="000D2642" w:rsidP="00F2505D">
      <w:pPr>
        <w:pStyle w:val="BodyText"/>
        <w:shd w:val="clear" w:color="auto" w:fill="FFFFFF"/>
        <w:spacing w:before="200" w:after="0"/>
        <w:rPr>
          <w:b/>
          <w:i/>
        </w:rPr>
      </w:pPr>
      <w:r w:rsidRPr="000715BE">
        <w:rPr>
          <w:b/>
          <w:bCs/>
          <w:i/>
        </w:rPr>
        <w:t>Audit opinion</w:t>
      </w:r>
    </w:p>
    <w:p w14:paraId="72ED3CDD" w14:textId="00D3A87A" w:rsidR="002A7461" w:rsidRDefault="000D2642" w:rsidP="002A7461">
      <w:pPr>
        <w:pStyle w:val="BodyText"/>
        <w:numPr>
          <w:ilvl w:val="0"/>
          <w:numId w:val="26"/>
        </w:numPr>
        <w:shd w:val="clear" w:color="auto" w:fill="FFFFFF"/>
        <w:spacing w:before="200" w:after="0"/>
      </w:pPr>
      <w:r>
        <w:t>Subsection</w:t>
      </w:r>
      <w:r w:rsidR="00EA0DCC">
        <w:t>s</w:t>
      </w:r>
      <w:r>
        <w:t xml:space="preserve"> 912A</w:t>
      </w:r>
      <w:r w:rsidR="001414FB">
        <w:t>L</w:t>
      </w:r>
      <w:r>
        <w:t>(</w:t>
      </w:r>
      <w:r w:rsidR="00884CA8">
        <w:t>9</w:t>
      </w:r>
      <w:r>
        <w:t xml:space="preserve">) </w:t>
      </w:r>
      <w:r w:rsidR="00EA0DCC">
        <w:t>and (1</w:t>
      </w:r>
      <w:r w:rsidR="00884CA8">
        <w:t>0</w:t>
      </w:r>
      <w:r w:rsidR="00EA0DCC">
        <w:t xml:space="preserve">) </w:t>
      </w:r>
      <w:r>
        <w:t xml:space="preserve">set out the requirements for the contents </w:t>
      </w:r>
      <w:r w:rsidR="00EA0DCC">
        <w:t xml:space="preserve">and lodging </w:t>
      </w:r>
      <w:r>
        <w:t>of an opinion of a registered company auditor (</w:t>
      </w:r>
      <w:r>
        <w:rPr>
          <w:b/>
          <w:bCs/>
        </w:rPr>
        <w:t>audit opinion</w:t>
      </w:r>
      <w:r>
        <w:t xml:space="preserve">) covering the period during which the </w:t>
      </w:r>
      <w:r w:rsidR="001414FB">
        <w:t xml:space="preserve">corporate director </w:t>
      </w:r>
      <w:r>
        <w:t xml:space="preserve">was authorised to operate a </w:t>
      </w:r>
      <w:r w:rsidR="001414FB">
        <w:t>retail CCIV</w:t>
      </w:r>
      <w:r>
        <w:t>. The</w:t>
      </w:r>
      <w:r w:rsidR="009324DD">
        <w:t> </w:t>
      </w:r>
      <w:r>
        <w:t>auditor is required to provide an audit opinion on a ‘positive assurance’ basis on the matters specified in paragraph 912A</w:t>
      </w:r>
      <w:r w:rsidR="009324DD">
        <w:t>L</w:t>
      </w:r>
      <w:r>
        <w:t>(</w:t>
      </w:r>
      <w:r w:rsidR="00884CA8">
        <w:t>9</w:t>
      </w:r>
      <w:r>
        <w:t>)(a) and an opinion on a ‘negative assurance’ basis on the matters specified in paragraph 912A</w:t>
      </w:r>
      <w:r w:rsidR="009324DD">
        <w:t>L</w:t>
      </w:r>
      <w:r>
        <w:t>(</w:t>
      </w:r>
      <w:r w:rsidR="00B02340">
        <w:t>9</w:t>
      </w:r>
      <w:r>
        <w:t>)(b).</w:t>
      </w:r>
    </w:p>
    <w:p w14:paraId="475EFABD" w14:textId="648FD60D" w:rsidR="000D2642" w:rsidRPr="00846CBF" w:rsidRDefault="000D2642" w:rsidP="00D318D0">
      <w:pPr>
        <w:pStyle w:val="BodyText"/>
        <w:shd w:val="clear" w:color="auto" w:fill="FFFFFF"/>
        <w:spacing w:before="200" w:after="0"/>
        <w:rPr>
          <w:b/>
          <w:i/>
        </w:rPr>
      </w:pPr>
      <w:r w:rsidRPr="00846CBF">
        <w:rPr>
          <w:b/>
          <w:bCs/>
          <w:i/>
        </w:rPr>
        <w:t>Definitions</w:t>
      </w:r>
    </w:p>
    <w:p w14:paraId="72D89909" w14:textId="18588BF0" w:rsidR="00B02340" w:rsidRDefault="00A50EB7" w:rsidP="008F789A">
      <w:pPr>
        <w:pStyle w:val="BodyText"/>
        <w:numPr>
          <w:ilvl w:val="0"/>
          <w:numId w:val="26"/>
        </w:numPr>
        <w:shd w:val="clear" w:color="auto" w:fill="FFFFFF"/>
        <w:spacing w:before="200" w:after="0"/>
      </w:pPr>
      <w:r>
        <w:t>Definitions are set out in</w:t>
      </w:r>
      <w:r w:rsidR="000D2642">
        <w:t xml:space="preserve"> subsection 912A</w:t>
      </w:r>
      <w:r w:rsidR="00296799">
        <w:t>L</w:t>
      </w:r>
      <w:r w:rsidR="000D2642">
        <w:t>(1</w:t>
      </w:r>
      <w:r w:rsidR="001A7F26">
        <w:t>1</w:t>
      </w:r>
      <w:r w:rsidR="000D2642">
        <w:t xml:space="preserve">) of the </w:t>
      </w:r>
      <w:r w:rsidR="00296799">
        <w:t>Instrument.</w:t>
      </w:r>
      <w:r w:rsidR="000D2642">
        <w:t xml:space="preserve"> The</w:t>
      </w:r>
      <w:r w:rsidR="00C8207E">
        <w:t> </w:t>
      </w:r>
      <w:r w:rsidR="000D2642">
        <w:t xml:space="preserve">definitions generally reflect </w:t>
      </w:r>
      <w:r w:rsidR="00296799">
        <w:t>the definitions in CO 13/760 with</w:t>
      </w:r>
      <w:r w:rsidR="00AE1CC4">
        <w:t xml:space="preserve"> appropriate</w:t>
      </w:r>
      <w:r w:rsidR="00296799">
        <w:t xml:space="preserve"> amendments for the CCIV context. </w:t>
      </w:r>
    </w:p>
    <w:bookmarkEnd w:id="2"/>
    <w:bookmarkEnd w:id="3"/>
    <w:p w14:paraId="29E7D6E1" w14:textId="3E2B4756" w:rsidR="008F789A" w:rsidRDefault="00B06129" w:rsidP="008F789A">
      <w:pPr>
        <w:pStyle w:val="BodyText"/>
        <w:shd w:val="clear" w:color="auto" w:fill="FFFFFF"/>
        <w:spacing w:before="200" w:after="0"/>
        <w:rPr>
          <w:b/>
        </w:rPr>
      </w:pPr>
      <w:r>
        <w:rPr>
          <w:b/>
        </w:rPr>
        <w:t>Documents incorporated by reference</w:t>
      </w:r>
    </w:p>
    <w:p w14:paraId="0222F5E7" w14:textId="291FBB4E" w:rsidR="00B06129" w:rsidRPr="00B06129" w:rsidRDefault="00B06129" w:rsidP="00B06129">
      <w:pPr>
        <w:pStyle w:val="BodyText"/>
        <w:numPr>
          <w:ilvl w:val="0"/>
          <w:numId w:val="26"/>
        </w:numPr>
        <w:shd w:val="clear" w:color="auto" w:fill="FFFFFF"/>
        <w:spacing w:before="200" w:after="0"/>
        <w:rPr>
          <w:b/>
        </w:rPr>
      </w:pPr>
      <w:r>
        <w:t xml:space="preserve">The following documents are incorporated by reference in the Instrument: </w:t>
      </w:r>
    </w:p>
    <w:p w14:paraId="1F1295BA" w14:textId="32A4887E" w:rsidR="00B06129" w:rsidRPr="00B06129" w:rsidRDefault="00B06129" w:rsidP="00B06129">
      <w:pPr>
        <w:pStyle w:val="BodyText"/>
        <w:numPr>
          <w:ilvl w:val="0"/>
          <w:numId w:val="41"/>
        </w:numPr>
        <w:shd w:val="clear" w:color="auto" w:fill="FFFFFF"/>
        <w:spacing w:before="200" w:after="0"/>
        <w:rPr>
          <w:b/>
        </w:rPr>
      </w:pPr>
      <w:r>
        <w:rPr>
          <w:shd w:val="clear" w:color="auto" w:fill="FFFFFF"/>
        </w:rPr>
        <w:t xml:space="preserve">ASIC Class Order </w:t>
      </w:r>
      <w:r w:rsidR="003B6DDD">
        <w:rPr>
          <w:shd w:val="clear" w:color="auto" w:fill="FFFFFF"/>
        </w:rPr>
        <w:t xml:space="preserve">[CO </w:t>
      </w:r>
      <w:r>
        <w:rPr>
          <w:shd w:val="clear" w:color="auto" w:fill="FFFFFF"/>
        </w:rPr>
        <w:t>13/761</w:t>
      </w:r>
      <w:r w:rsidR="003B6DDD">
        <w:rPr>
          <w:shd w:val="clear" w:color="auto" w:fill="FFFFFF"/>
        </w:rPr>
        <w:t>]</w:t>
      </w:r>
      <w:r>
        <w:rPr>
          <w:shd w:val="clear" w:color="auto" w:fill="FFFFFF"/>
        </w:rPr>
        <w:t xml:space="preserve"> – sets out minimum standards for custodial or depository service providers to have available adequate financial resources to provide the financial services covered by their AFS licence.</w:t>
      </w:r>
    </w:p>
    <w:p w14:paraId="4EE2C446" w14:textId="51840D00" w:rsidR="001E69B1" w:rsidRPr="00A13125" w:rsidRDefault="00B06129" w:rsidP="00A13125">
      <w:pPr>
        <w:pStyle w:val="BodyText"/>
        <w:numPr>
          <w:ilvl w:val="0"/>
          <w:numId w:val="41"/>
        </w:numPr>
        <w:shd w:val="clear" w:color="auto" w:fill="FFFFFF"/>
        <w:spacing w:before="200" w:after="0"/>
        <w:rPr>
          <w:b/>
        </w:rPr>
      </w:pPr>
      <w:r>
        <w:rPr>
          <w:shd w:val="clear" w:color="auto" w:fill="FFFFFF"/>
        </w:rPr>
        <w:t xml:space="preserve">ASIC Class Order </w:t>
      </w:r>
      <w:r w:rsidR="003B6DDD">
        <w:rPr>
          <w:shd w:val="clear" w:color="auto" w:fill="FFFFFF"/>
        </w:rPr>
        <w:t xml:space="preserve">[CO </w:t>
      </w:r>
      <w:r>
        <w:rPr>
          <w:shd w:val="clear" w:color="auto" w:fill="FFFFFF"/>
        </w:rPr>
        <w:t>13/763</w:t>
      </w:r>
      <w:r w:rsidR="003B6DDD">
        <w:rPr>
          <w:shd w:val="clear" w:color="auto" w:fill="FFFFFF"/>
        </w:rPr>
        <w:t>]</w:t>
      </w:r>
      <w:r>
        <w:rPr>
          <w:shd w:val="clear" w:color="auto" w:fill="FFFFFF"/>
        </w:rPr>
        <w:t xml:space="preserve"> –</w:t>
      </w:r>
      <w:r w:rsidR="006E1842">
        <w:rPr>
          <w:shd w:val="clear" w:color="auto" w:fill="FFFFFF"/>
        </w:rPr>
        <w:t xml:space="preserve"> </w:t>
      </w:r>
      <w:r>
        <w:rPr>
          <w:shd w:val="clear" w:color="auto" w:fill="FFFFFF"/>
        </w:rPr>
        <w:t xml:space="preserve">modifies the Act as it applies to a person operating or involved in the operation or promotion of </w:t>
      </w:r>
      <w:r w:rsidR="006F1957">
        <w:rPr>
          <w:shd w:val="clear" w:color="auto" w:fill="FFFFFF"/>
        </w:rPr>
        <w:t xml:space="preserve">investor </w:t>
      </w:r>
      <w:r w:rsidR="006F1957">
        <w:rPr>
          <w:shd w:val="clear" w:color="auto" w:fill="FFFFFF"/>
        </w:rPr>
        <w:lastRenderedPageBreak/>
        <w:t>directed portfolio services (</w:t>
      </w:r>
      <w:r w:rsidR="006F1957">
        <w:rPr>
          <w:b/>
          <w:shd w:val="clear" w:color="auto" w:fill="FFFFFF"/>
        </w:rPr>
        <w:t>IDPS</w:t>
      </w:r>
      <w:r w:rsidR="006F1957">
        <w:rPr>
          <w:shd w:val="clear" w:color="auto" w:fill="FFFFFF"/>
        </w:rPr>
        <w:t>)</w:t>
      </w:r>
      <w:r w:rsidR="008F493F">
        <w:rPr>
          <w:shd w:val="clear" w:color="auto" w:fill="FFFFFF"/>
        </w:rPr>
        <w:t xml:space="preserve">, </w:t>
      </w:r>
      <w:r w:rsidRPr="008F493F">
        <w:rPr>
          <w:shd w:val="clear" w:color="auto" w:fill="FFFFFF"/>
        </w:rPr>
        <w:t>and to a person offering or issuing accessible securities through an IDPS.</w:t>
      </w:r>
    </w:p>
    <w:p w14:paraId="1D07072B" w14:textId="6EB213C4" w:rsidR="005D35C6" w:rsidRPr="005D35C6" w:rsidRDefault="001E69B1" w:rsidP="60B88CAB">
      <w:pPr>
        <w:pStyle w:val="BodyText"/>
        <w:numPr>
          <w:ilvl w:val="0"/>
          <w:numId w:val="41"/>
        </w:numPr>
        <w:shd w:val="clear" w:color="auto" w:fill="FFFFFF" w:themeFill="background1"/>
        <w:spacing w:before="200" w:after="0"/>
        <w:rPr>
          <w:b/>
          <w:bCs/>
        </w:rPr>
      </w:pPr>
      <w:r w:rsidRPr="60B88CAB">
        <w:rPr>
          <w:rFonts w:eastAsiaTheme="minorEastAsia"/>
          <w:i/>
          <w:iCs/>
        </w:rPr>
        <w:t>ASIC Market Integrity Rules (Capital) 2021</w:t>
      </w:r>
      <w:r w:rsidR="005D35C6" w:rsidRPr="60B88CAB">
        <w:rPr>
          <w:rFonts w:eastAsiaTheme="minorEastAsia"/>
          <w:i/>
          <w:iCs/>
        </w:rPr>
        <w:t xml:space="preserve"> – </w:t>
      </w:r>
      <w:r w:rsidR="005D35C6" w:rsidRPr="60B88CAB">
        <w:rPr>
          <w:rFonts w:eastAsiaTheme="minorEastAsia"/>
        </w:rPr>
        <w:t xml:space="preserve">sets out rules that apply to </w:t>
      </w:r>
      <w:r w:rsidR="006173AA" w:rsidRPr="60B88CAB">
        <w:rPr>
          <w:rFonts w:eastAsiaTheme="minorEastAsia"/>
        </w:rPr>
        <w:t xml:space="preserve">market participants in relation to, among other things, </w:t>
      </w:r>
      <w:r w:rsidR="005D35C6" w:rsidRPr="60B88CAB">
        <w:rPr>
          <w:rFonts w:eastAsiaTheme="minorEastAsia"/>
        </w:rPr>
        <w:t xml:space="preserve">the activities and conduct of the domestic licensed financial markets in Australia operated by the ASX Limited, </w:t>
      </w:r>
      <w:proofErr w:type="spellStart"/>
      <w:r w:rsidR="005D35C6" w:rsidRPr="60B88CAB">
        <w:rPr>
          <w:rFonts w:eastAsiaTheme="minorEastAsia"/>
        </w:rPr>
        <w:t>Cboe</w:t>
      </w:r>
      <w:proofErr w:type="spellEnd"/>
      <w:r w:rsidR="005D35C6" w:rsidRPr="60B88CAB">
        <w:rPr>
          <w:rFonts w:eastAsiaTheme="minorEastAsia"/>
        </w:rPr>
        <w:t xml:space="preserve"> Australia Pty Limited, FEX Global Pty Limited, National Stock Exchange of Australia Limited</w:t>
      </w:r>
      <w:r w:rsidR="00795F76" w:rsidRPr="60B88CAB">
        <w:rPr>
          <w:rFonts w:eastAsiaTheme="minorEastAsia"/>
        </w:rPr>
        <w:t xml:space="preserve">, Australian Securities Exchange </w:t>
      </w:r>
      <w:proofErr w:type="gramStart"/>
      <w:r w:rsidR="00795F76" w:rsidRPr="60B88CAB">
        <w:rPr>
          <w:rFonts w:eastAsiaTheme="minorEastAsia"/>
        </w:rPr>
        <w:t>Limited</w:t>
      </w:r>
      <w:proofErr w:type="gramEnd"/>
      <w:r w:rsidR="00795F76" w:rsidRPr="60B88CAB">
        <w:rPr>
          <w:rFonts w:eastAsiaTheme="minorEastAsia"/>
        </w:rPr>
        <w:t xml:space="preserve"> and </w:t>
      </w:r>
      <w:r w:rsidR="005D35C6" w:rsidRPr="60B88CAB">
        <w:rPr>
          <w:rFonts w:eastAsiaTheme="minorEastAsia"/>
        </w:rPr>
        <w:t xml:space="preserve">Sydney Stock Exchange Limited. </w:t>
      </w:r>
    </w:p>
    <w:p w14:paraId="1C4AC3FA" w14:textId="675CDD5F" w:rsidR="00571CE4" w:rsidRPr="00C15AC6" w:rsidRDefault="00571CE4" w:rsidP="00CE3ECC">
      <w:pPr>
        <w:pStyle w:val="LI-BodyTextParaa"/>
        <w:ind w:left="0" w:firstLine="0"/>
        <w:rPr>
          <w:b/>
        </w:rPr>
      </w:pPr>
      <w:r w:rsidRPr="00C15AC6">
        <w:rPr>
          <w:b/>
        </w:rPr>
        <w:t>Legislative authority</w:t>
      </w:r>
    </w:p>
    <w:p w14:paraId="7B4D1526" w14:textId="163A72A9" w:rsidR="00571CE4" w:rsidRPr="007B1D40" w:rsidRDefault="00571CE4" w:rsidP="00623564">
      <w:pPr>
        <w:pStyle w:val="LI-BodyTextParaa"/>
        <w:numPr>
          <w:ilvl w:val="0"/>
          <w:numId w:val="26"/>
        </w:numPr>
      </w:pPr>
      <w:r w:rsidRPr="007B1D40">
        <w:t xml:space="preserve">The source of power to make the instrument is </w:t>
      </w:r>
      <w:r w:rsidR="00DA48F2">
        <w:t>paragraph 926A(2)(c)</w:t>
      </w:r>
      <w:r w:rsidRPr="007B1D40">
        <w:t xml:space="preserve"> of the </w:t>
      </w:r>
      <w:r w:rsidRPr="00326F40">
        <w:rPr>
          <w:iCs/>
        </w:rPr>
        <w:t>Corporations Act</w:t>
      </w:r>
      <w:r>
        <w:rPr>
          <w:i/>
        </w:rPr>
        <w:t>.</w:t>
      </w:r>
    </w:p>
    <w:p w14:paraId="57315002" w14:textId="1540AE28" w:rsidR="00571CE4" w:rsidRDefault="00571CE4" w:rsidP="00623564">
      <w:pPr>
        <w:pStyle w:val="LI-BodyTextParaa"/>
        <w:numPr>
          <w:ilvl w:val="0"/>
          <w:numId w:val="26"/>
        </w:numPr>
      </w:pPr>
      <w:r w:rsidRPr="007B1D40">
        <w:t>The instrument is a disallowable legislative instrument.</w:t>
      </w:r>
    </w:p>
    <w:p w14:paraId="19D74AA6" w14:textId="77777777" w:rsidR="00571CE4" w:rsidRPr="007B1D40" w:rsidRDefault="00571CE4" w:rsidP="00623564">
      <w:pPr>
        <w:pStyle w:val="LI-BodyTextParaa"/>
        <w:ind w:left="0" w:firstLine="0"/>
      </w:pPr>
      <w:r w:rsidRPr="007B1D40">
        <w:rPr>
          <w:b/>
        </w:rPr>
        <w:t>Statement of Compatibility with Human Rights</w:t>
      </w:r>
    </w:p>
    <w:p w14:paraId="7FFD4C6A" w14:textId="1E3A8630" w:rsidR="00571CE4" w:rsidRPr="00D931E7" w:rsidRDefault="00571CE4" w:rsidP="00326F40">
      <w:pPr>
        <w:pStyle w:val="LI-BodyTextParaa"/>
        <w:numPr>
          <w:ilvl w:val="0"/>
          <w:numId w:val="26"/>
        </w:numPr>
      </w:pPr>
      <w:r w:rsidRPr="007B1D40">
        <w:t xml:space="preserve">The Explanatory Statement for a disallowable legislative instrument must contain a Statement of Compatibility with Human Rights under subsection 9(1) of the </w:t>
      </w:r>
      <w:r w:rsidRPr="007B1D40">
        <w:rPr>
          <w:i/>
          <w:iCs/>
        </w:rPr>
        <w:t>Human Rights (Parliamentary Scrutiny) Act 2011.</w:t>
      </w:r>
      <w:r w:rsidRPr="007B1D40">
        <w:rPr>
          <w:iCs/>
        </w:rPr>
        <w:t xml:space="preserve"> </w:t>
      </w:r>
      <w:r w:rsidRPr="007B1D40">
        <w:t xml:space="preserve">A Statement of Compatibility with Human Rights is in the </w:t>
      </w:r>
      <w:r w:rsidRPr="007B1D40">
        <w:rPr>
          <w:u w:val="single"/>
        </w:rPr>
        <w:t>Attachment</w:t>
      </w:r>
      <w:r w:rsidRPr="007B1D40">
        <w:t>.</w:t>
      </w:r>
    </w:p>
    <w:p w14:paraId="33698AD9" w14:textId="77777777" w:rsidR="00571CE4" w:rsidRPr="007B1D40" w:rsidRDefault="00571CE4" w:rsidP="00571CE4">
      <w:pPr>
        <w:pStyle w:val="LI-BodyTextParaa"/>
        <w:ind w:left="567"/>
      </w:pPr>
    </w:p>
    <w:p w14:paraId="730088E9" w14:textId="77777777" w:rsidR="00571CE4" w:rsidRPr="007B1D40" w:rsidRDefault="00571CE4" w:rsidP="00571CE4">
      <w:pPr>
        <w:pStyle w:val="LI-BodyTextParaa"/>
        <w:ind w:left="567"/>
        <w:jc w:val="right"/>
        <w:rPr>
          <w:u w:val="single"/>
        </w:rPr>
      </w:pPr>
      <w:r w:rsidRPr="00962BE5">
        <w:rPr>
          <w:color w:val="FF0000"/>
        </w:rPr>
        <w:br w:type="page"/>
      </w:r>
      <w:r w:rsidRPr="007B1D40">
        <w:rPr>
          <w:u w:val="single"/>
        </w:rPr>
        <w:lastRenderedPageBreak/>
        <w:t>Attachment</w:t>
      </w:r>
    </w:p>
    <w:p w14:paraId="769149ED" w14:textId="77777777" w:rsidR="00571CE4" w:rsidRPr="007B1D40" w:rsidRDefault="00571CE4" w:rsidP="00571CE4">
      <w:pPr>
        <w:pStyle w:val="LI-BodyTextParaa"/>
        <w:ind w:left="567"/>
        <w:jc w:val="center"/>
        <w:rPr>
          <w:b/>
          <w:sz w:val="28"/>
          <w:szCs w:val="28"/>
        </w:rPr>
      </w:pPr>
      <w:r w:rsidRPr="007B1D40">
        <w:rPr>
          <w:b/>
          <w:sz w:val="28"/>
          <w:szCs w:val="28"/>
        </w:rPr>
        <w:t>Statement of Compatibility with Human Rights</w:t>
      </w:r>
    </w:p>
    <w:p w14:paraId="3ECE0FE5" w14:textId="77777777" w:rsidR="00571CE4" w:rsidRPr="007B1D40" w:rsidRDefault="00571CE4" w:rsidP="00571CE4">
      <w:pPr>
        <w:pStyle w:val="LI-BodyTextNumbered"/>
        <w:ind w:left="0" w:firstLine="0"/>
        <w:rPr>
          <w:iCs/>
        </w:rPr>
      </w:pPr>
      <w:bookmarkStart w:id="5" w:name="_Hlk534286677"/>
      <w:r w:rsidRPr="007B1D40">
        <w:rPr>
          <w:iCs/>
        </w:rPr>
        <w:t xml:space="preserve">This Statement of Compatibility with Human Rights is prepared in accordance with Part 3 of </w:t>
      </w:r>
      <w:bookmarkStart w:id="6" w:name="_Hlk4054932"/>
      <w:r w:rsidRPr="007B1D40">
        <w:rPr>
          <w:iCs/>
        </w:rPr>
        <w:t xml:space="preserve">the </w:t>
      </w:r>
      <w:r w:rsidRPr="007B1D40">
        <w:rPr>
          <w:i/>
          <w:iCs/>
        </w:rPr>
        <w:t>Human Rights (Parliamentary Scrutiny) Act 2011</w:t>
      </w:r>
      <w:bookmarkEnd w:id="6"/>
      <w:r w:rsidRPr="007B1D40">
        <w:rPr>
          <w:iCs/>
        </w:rPr>
        <w:t>.</w:t>
      </w:r>
    </w:p>
    <w:p w14:paraId="3D1F817F" w14:textId="70A57629" w:rsidR="00676849" w:rsidRPr="00676849" w:rsidRDefault="00676849" w:rsidP="00571CE4">
      <w:pPr>
        <w:pStyle w:val="LI-BodyTextParaa"/>
        <w:ind w:left="0" w:firstLine="0"/>
        <w:rPr>
          <w:b/>
        </w:rPr>
      </w:pPr>
      <w:r w:rsidRPr="003F28B1">
        <w:rPr>
          <w:i/>
        </w:rPr>
        <w:t xml:space="preserve">ASIC Corporations (Financial Requirements for Corporate Directors of Retail CCIVs) </w:t>
      </w:r>
      <w:r w:rsidRPr="00662587">
        <w:rPr>
          <w:i/>
        </w:rPr>
        <w:t>Instrument 2022/</w:t>
      </w:r>
      <w:r w:rsidR="00A83C17" w:rsidRPr="00662587">
        <w:rPr>
          <w:i/>
        </w:rPr>
        <w:t>449</w:t>
      </w:r>
      <w:r w:rsidRPr="00662587">
        <w:rPr>
          <w:i/>
        </w:rPr>
        <w:t xml:space="preserve"> </w:t>
      </w:r>
      <w:r w:rsidRPr="00662587">
        <w:t>(</w:t>
      </w:r>
      <w:r>
        <w:rPr>
          <w:b/>
        </w:rPr>
        <w:t xml:space="preserve">the </w:t>
      </w:r>
      <w:r w:rsidR="00CD1D1F">
        <w:rPr>
          <w:b/>
        </w:rPr>
        <w:t>I</w:t>
      </w:r>
      <w:r>
        <w:rPr>
          <w:b/>
        </w:rPr>
        <w:t>nstrument</w:t>
      </w:r>
      <w:r w:rsidRPr="00676849">
        <w:t>).</w:t>
      </w:r>
      <w:r>
        <w:rPr>
          <w:b/>
        </w:rPr>
        <w:t xml:space="preserve"> </w:t>
      </w:r>
    </w:p>
    <w:p w14:paraId="1C21F995" w14:textId="77777777" w:rsidR="00571CE4" w:rsidRPr="007B1D40" w:rsidRDefault="00571CE4" w:rsidP="00571CE4">
      <w:pPr>
        <w:pStyle w:val="LI-BodyTextParaa"/>
        <w:ind w:left="567"/>
        <w:rPr>
          <w:u w:val="single"/>
        </w:rPr>
      </w:pPr>
      <w:bookmarkStart w:id="7" w:name="_Hlk534286807"/>
      <w:bookmarkEnd w:id="5"/>
      <w:r w:rsidRPr="007B1D40">
        <w:rPr>
          <w:u w:val="single"/>
        </w:rPr>
        <w:t>Overview</w:t>
      </w:r>
    </w:p>
    <w:p w14:paraId="558B6CBC" w14:textId="09DDD6C5" w:rsidR="00CD1D1F" w:rsidRDefault="00CD1D1F" w:rsidP="00724A56">
      <w:pPr>
        <w:pStyle w:val="LI-BodyTextParaa"/>
        <w:numPr>
          <w:ilvl w:val="0"/>
          <w:numId w:val="33"/>
        </w:numPr>
      </w:pPr>
      <w:r>
        <w:t xml:space="preserve">The Instrument outlines the minimum financial requirements that an </w:t>
      </w:r>
      <w:r w:rsidR="001F14BC">
        <w:t>Australian financial services (</w:t>
      </w:r>
      <w:r w:rsidR="001F14BC" w:rsidRPr="00D41F1D">
        <w:rPr>
          <w:b/>
        </w:rPr>
        <w:t>AFS</w:t>
      </w:r>
      <w:r w:rsidR="001F14BC">
        <w:t xml:space="preserve">) </w:t>
      </w:r>
      <w:r>
        <w:t>licensee who is authorised to operate a retail CCIV as a corporate director must meet. It</w:t>
      </w:r>
      <w:r w:rsidR="00EF6351">
        <w:t> </w:t>
      </w:r>
      <w:r>
        <w:t xml:space="preserve">requires </w:t>
      </w:r>
      <w:r w:rsidR="00A76369">
        <w:t xml:space="preserve">a </w:t>
      </w:r>
      <w:r>
        <w:t>corporate director</w:t>
      </w:r>
      <w:r w:rsidR="00A76369">
        <w:t xml:space="preserve"> as AFS licensee </w:t>
      </w:r>
      <w:r>
        <w:t>to meet</w:t>
      </w:r>
      <w:r w:rsidR="00B52752">
        <w:t xml:space="preserve"> cash needs, </w:t>
      </w:r>
      <w:r w:rsidR="00A76369">
        <w:t>net tangible assets</w:t>
      </w:r>
      <w:r w:rsidR="00B52752">
        <w:t xml:space="preserve">, </w:t>
      </w:r>
      <w:proofErr w:type="gramStart"/>
      <w:r w:rsidR="00B52752">
        <w:t>liquidity</w:t>
      </w:r>
      <w:proofErr w:type="gramEnd"/>
      <w:r w:rsidR="00B52752">
        <w:t xml:space="preserve"> and audit opinion requirement</w:t>
      </w:r>
      <w:r w:rsidR="00F97F38">
        <w:t>s</w:t>
      </w:r>
      <w:r w:rsidR="00B52752">
        <w:t xml:space="preserve">. The content of these requirements may vary depending on whether the assets of the retail CCIV are held by the corporate director or another asset holder. The requirements are designed to </w:t>
      </w:r>
      <w:r w:rsidR="0033477C">
        <w:t>replicate</w:t>
      </w:r>
      <w:r w:rsidR="00B52752">
        <w:t xml:space="preserve"> the requirements for responsible entities of registered schemes in </w:t>
      </w:r>
      <w:r w:rsidR="00A76369">
        <w:t>ASIC Class Order [</w:t>
      </w:r>
      <w:r w:rsidR="00B52752">
        <w:t>CO 13/760</w:t>
      </w:r>
      <w:r w:rsidR="00A76369">
        <w:t>]</w:t>
      </w:r>
      <w:r w:rsidR="00B52752">
        <w:t xml:space="preserve">. </w:t>
      </w:r>
    </w:p>
    <w:p w14:paraId="68B0B2B0" w14:textId="77777777" w:rsidR="00571CE4" w:rsidRPr="007B1D40" w:rsidRDefault="00571CE4" w:rsidP="00571CE4">
      <w:pPr>
        <w:pStyle w:val="LI-BodyTextParaa"/>
        <w:ind w:left="567"/>
        <w:rPr>
          <w:u w:val="single"/>
        </w:rPr>
      </w:pPr>
      <w:r w:rsidRPr="007B1D40">
        <w:rPr>
          <w:u w:val="single"/>
        </w:rPr>
        <w:t>Assessment of human rights implications</w:t>
      </w:r>
    </w:p>
    <w:p w14:paraId="5DC401BF" w14:textId="31600F86" w:rsidR="00571CE4" w:rsidRPr="007B1D40" w:rsidRDefault="00781D57" w:rsidP="00781D57">
      <w:pPr>
        <w:pStyle w:val="LI-BodyTextNumbered"/>
        <w:ind w:left="0" w:firstLine="0"/>
      </w:pPr>
      <w:r>
        <w:t>2</w:t>
      </w:r>
      <w:r w:rsidR="00571CE4" w:rsidRPr="007B1D40">
        <w:t>.</w:t>
      </w:r>
      <w:r w:rsidR="00571CE4" w:rsidRPr="007B1D40">
        <w:tab/>
      </w:r>
      <w:bookmarkEnd w:id="7"/>
      <w:r w:rsidR="00571CE4" w:rsidRPr="007B1D40">
        <w:t xml:space="preserve">The </w:t>
      </w:r>
      <w:r w:rsidR="0033477C">
        <w:t>I</w:t>
      </w:r>
      <w:r w:rsidR="00571CE4" w:rsidRPr="007B1D40">
        <w:t>nstrument does engage any of the applicable rights or freedoms.</w:t>
      </w:r>
    </w:p>
    <w:p w14:paraId="4383E73C" w14:textId="77777777" w:rsidR="00571CE4" w:rsidRPr="007B1D40" w:rsidRDefault="00571CE4" w:rsidP="00571CE4">
      <w:pPr>
        <w:pStyle w:val="LI-BodyTextNumbered"/>
        <w:ind w:left="567"/>
        <w:rPr>
          <w:u w:val="single"/>
        </w:rPr>
      </w:pPr>
      <w:r w:rsidRPr="007B1D40">
        <w:rPr>
          <w:u w:val="single"/>
        </w:rPr>
        <w:t>Conclusion</w:t>
      </w:r>
    </w:p>
    <w:p w14:paraId="364AC363" w14:textId="0B8EED54" w:rsidR="00571CE4" w:rsidRPr="007B1D40" w:rsidRDefault="00781D57" w:rsidP="00571CE4">
      <w:pPr>
        <w:pStyle w:val="LI-BodyTextNumbered"/>
        <w:ind w:left="567"/>
      </w:pPr>
      <w:r>
        <w:t>3.</w:t>
      </w:r>
      <w:r w:rsidR="00571CE4" w:rsidRPr="007B1D40">
        <w:tab/>
        <w:t xml:space="preserve">The instrument is compatible with the human rights and freedoms recognised or declared in the international instruments listed in section 3 of </w:t>
      </w:r>
      <w:r w:rsidR="00571CE4" w:rsidRPr="007B1D40">
        <w:rPr>
          <w:iCs/>
        </w:rPr>
        <w:t xml:space="preserve">the </w:t>
      </w:r>
      <w:r w:rsidR="00571CE4" w:rsidRPr="007B1D40">
        <w:rPr>
          <w:i/>
          <w:iCs/>
        </w:rPr>
        <w:t>Human Rights (Parliamentary Scrutiny) Act 2011</w:t>
      </w:r>
      <w:r w:rsidR="00571CE4" w:rsidRPr="007B1D40">
        <w:t>.</w:t>
      </w:r>
    </w:p>
    <w:p w14:paraId="111AA35B" w14:textId="5C3BFFEA" w:rsidR="004560F8" w:rsidRDefault="004560F8"/>
    <w:p w14:paraId="0FECB095" w14:textId="3AFF71FE" w:rsidR="007A2923" w:rsidRPr="007A2923" w:rsidRDefault="007A2923"/>
    <w:sectPr w:rsidR="007A2923" w:rsidRPr="007A2923" w:rsidSect="00863657">
      <w:headerReference w:type="even" r:id="rId16"/>
      <w:headerReference w:type="default" r:id="rId17"/>
      <w:footerReference w:type="even" r:id="rId18"/>
      <w:footerReference w:type="default" r:id="rId19"/>
      <w:headerReference w:type="first" r:id="rId20"/>
      <w:footerReference w:type="first" r:id="rId21"/>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BCB55" w14:textId="77777777" w:rsidR="00413946" w:rsidRDefault="00413946">
      <w:pPr>
        <w:spacing w:line="240" w:lineRule="auto"/>
      </w:pPr>
      <w:r>
        <w:separator/>
      </w:r>
    </w:p>
  </w:endnote>
  <w:endnote w:type="continuationSeparator" w:id="0">
    <w:p w14:paraId="45DF7115" w14:textId="77777777" w:rsidR="00413946" w:rsidRDefault="00413946">
      <w:pPr>
        <w:spacing w:line="240" w:lineRule="auto"/>
      </w:pPr>
      <w:r>
        <w:continuationSeparator/>
      </w:r>
    </w:p>
  </w:endnote>
  <w:endnote w:type="continuationNotice" w:id="1">
    <w:p w14:paraId="71BC283A" w14:textId="77777777" w:rsidR="00413946" w:rsidRDefault="004139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90B7" w14:textId="77777777" w:rsidR="00B06129" w:rsidRDefault="00B06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51F8" w14:textId="77777777" w:rsidR="009048BA" w:rsidRDefault="00571CE4">
    <w:pPr>
      <w:pStyle w:val="Footer"/>
      <w:jc w:val="center"/>
    </w:pPr>
    <w:r>
      <w:fldChar w:fldCharType="begin"/>
    </w:r>
    <w:r>
      <w:instrText xml:space="preserve"> PAGE   \* MERGEFORMAT </w:instrText>
    </w:r>
    <w:r>
      <w:fldChar w:fldCharType="separate"/>
    </w:r>
    <w:r>
      <w:rPr>
        <w:noProof/>
      </w:rPr>
      <w:t>2</w:t>
    </w:r>
    <w:r>
      <w:rPr>
        <w:noProof/>
      </w:rPr>
      <w:fldChar w:fldCharType="end"/>
    </w:r>
  </w:p>
  <w:p w14:paraId="01EA65B3" w14:textId="77777777" w:rsidR="006C6C78" w:rsidRDefault="004139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111B" w14:textId="77777777" w:rsidR="00B06129" w:rsidRDefault="00B06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0CEF" w14:textId="77777777" w:rsidR="00413946" w:rsidRDefault="00413946">
      <w:pPr>
        <w:spacing w:line="240" w:lineRule="auto"/>
      </w:pPr>
      <w:r>
        <w:separator/>
      </w:r>
    </w:p>
  </w:footnote>
  <w:footnote w:type="continuationSeparator" w:id="0">
    <w:p w14:paraId="6F61543D" w14:textId="77777777" w:rsidR="00413946" w:rsidRDefault="00413946">
      <w:pPr>
        <w:spacing w:line="240" w:lineRule="auto"/>
      </w:pPr>
      <w:r>
        <w:continuationSeparator/>
      </w:r>
    </w:p>
  </w:footnote>
  <w:footnote w:type="continuationNotice" w:id="1">
    <w:p w14:paraId="3326C967" w14:textId="77777777" w:rsidR="00413946" w:rsidRDefault="004139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7797" w14:textId="77777777" w:rsidR="006C6C78" w:rsidRPr="00243EC0" w:rsidRDefault="00571CE4"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6C6C78" w:rsidRPr="00E40FF8" w14:paraId="7790E102" w14:textId="77777777" w:rsidTr="001E77ED">
      <w:tc>
        <w:tcPr>
          <w:tcW w:w="4253" w:type="dxa"/>
          <w:shd w:val="clear" w:color="auto" w:fill="auto"/>
        </w:tcPr>
        <w:p w14:paraId="7F0682E2" w14:textId="77777777" w:rsidR="006C6C78" w:rsidRDefault="00413946" w:rsidP="00E40FF8">
          <w:pPr>
            <w:pStyle w:val="LI-Header"/>
            <w:pBdr>
              <w:bottom w:val="none" w:sz="0" w:space="0" w:color="auto"/>
            </w:pBdr>
            <w:jc w:val="left"/>
          </w:pPr>
        </w:p>
      </w:tc>
      <w:tc>
        <w:tcPr>
          <w:tcW w:w="4060" w:type="dxa"/>
          <w:shd w:val="clear" w:color="auto" w:fill="auto"/>
        </w:tcPr>
        <w:p w14:paraId="37D81455" w14:textId="77777777" w:rsidR="006C6C78" w:rsidRDefault="00413946" w:rsidP="00F03BB5">
          <w:pPr>
            <w:pStyle w:val="LI-BodyTextNumbered"/>
          </w:pPr>
        </w:p>
      </w:tc>
    </w:tr>
  </w:tbl>
  <w:p w14:paraId="0C150BA8" w14:textId="77777777" w:rsidR="006C6C78" w:rsidRPr="00F4215A" w:rsidRDefault="00413946" w:rsidP="00F42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0B7E" w14:textId="77777777" w:rsidR="00B06129" w:rsidRDefault="00B06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0790E"/>
    <w:multiLevelType w:val="hybridMultilevel"/>
    <w:tmpl w:val="B4FA66E6"/>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1" w15:restartNumberingAfterBreak="0">
    <w:nsid w:val="03770F43"/>
    <w:multiLevelType w:val="hybridMultilevel"/>
    <w:tmpl w:val="4E94FBC4"/>
    <w:lvl w:ilvl="0" w:tplc="F578B0E0">
      <w:start w:val="1"/>
      <w:numFmt w:val="decimal"/>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EE6DA5"/>
    <w:multiLevelType w:val="hybridMultilevel"/>
    <w:tmpl w:val="F3A463D6"/>
    <w:lvl w:ilvl="0" w:tplc="F578B0E0">
      <w:start w:val="1"/>
      <w:numFmt w:val="decimal"/>
      <w:lvlText w:val="%1."/>
      <w:lvlJc w:val="left"/>
      <w:pPr>
        <w:ind w:left="930"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8C94710"/>
    <w:multiLevelType w:val="hybridMultilevel"/>
    <w:tmpl w:val="08D2E47C"/>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5"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C01FC1"/>
    <w:multiLevelType w:val="hybridMultilevel"/>
    <w:tmpl w:val="BBE23DBE"/>
    <w:lvl w:ilvl="0" w:tplc="FC8636EA">
      <w:start w:val="1"/>
      <w:numFmt w:val="lowerRoman"/>
      <w:lvlText w:val="(%1)"/>
      <w:lvlJc w:val="left"/>
      <w:pPr>
        <w:ind w:left="1797" w:hanging="360"/>
      </w:pPr>
      <w:rPr>
        <w:rFonts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7" w15:restartNumberingAfterBreak="0">
    <w:nsid w:val="120327DC"/>
    <w:multiLevelType w:val="hybridMultilevel"/>
    <w:tmpl w:val="3ACCF1DE"/>
    <w:lvl w:ilvl="0" w:tplc="178839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3F34EA"/>
    <w:multiLevelType w:val="hybridMultilevel"/>
    <w:tmpl w:val="8ABA65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16B34BD"/>
    <w:multiLevelType w:val="hybridMultilevel"/>
    <w:tmpl w:val="C7E8AA7A"/>
    <w:lvl w:ilvl="0" w:tplc="0C090017">
      <w:start w:val="1"/>
      <w:numFmt w:val="lowerLetter"/>
      <w:lvlText w:val="%1)"/>
      <w:lvlJc w:val="lef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0" w15:restartNumberingAfterBreak="0">
    <w:nsid w:val="22710D3D"/>
    <w:multiLevelType w:val="hybridMultilevel"/>
    <w:tmpl w:val="2A405A8E"/>
    <w:lvl w:ilvl="0" w:tplc="0C090001">
      <w:start w:val="1"/>
      <w:numFmt w:val="bullet"/>
      <w:lvlText w:val=""/>
      <w:lvlJc w:val="left"/>
      <w:pPr>
        <w:ind w:left="1349" w:hanging="360"/>
      </w:pPr>
      <w:rPr>
        <w:rFonts w:ascii="Symbol" w:hAnsi="Symbol" w:hint="default"/>
      </w:rPr>
    </w:lvl>
    <w:lvl w:ilvl="1" w:tplc="0C090003">
      <w:start w:val="1"/>
      <w:numFmt w:val="bullet"/>
      <w:lvlText w:val="o"/>
      <w:lvlJc w:val="left"/>
      <w:pPr>
        <w:ind w:left="2069" w:hanging="360"/>
      </w:pPr>
      <w:rPr>
        <w:rFonts w:ascii="Courier New" w:hAnsi="Courier New" w:cs="Courier New" w:hint="default"/>
      </w:rPr>
    </w:lvl>
    <w:lvl w:ilvl="2" w:tplc="0C090005">
      <w:start w:val="1"/>
      <w:numFmt w:val="bullet"/>
      <w:lvlText w:val=""/>
      <w:lvlJc w:val="left"/>
      <w:pPr>
        <w:ind w:left="2789" w:hanging="360"/>
      </w:pPr>
      <w:rPr>
        <w:rFonts w:ascii="Wingdings" w:hAnsi="Wingdings" w:hint="default"/>
      </w:rPr>
    </w:lvl>
    <w:lvl w:ilvl="3" w:tplc="0C090001" w:tentative="1">
      <w:start w:val="1"/>
      <w:numFmt w:val="bullet"/>
      <w:lvlText w:val=""/>
      <w:lvlJc w:val="left"/>
      <w:pPr>
        <w:ind w:left="3509" w:hanging="360"/>
      </w:pPr>
      <w:rPr>
        <w:rFonts w:ascii="Symbol" w:hAnsi="Symbol" w:hint="default"/>
      </w:rPr>
    </w:lvl>
    <w:lvl w:ilvl="4" w:tplc="0C090003" w:tentative="1">
      <w:start w:val="1"/>
      <w:numFmt w:val="bullet"/>
      <w:lvlText w:val="o"/>
      <w:lvlJc w:val="left"/>
      <w:pPr>
        <w:ind w:left="4229" w:hanging="360"/>
      </w:pPr>
      <w:rPr>
        <w:rFonts w:ascii="Courier New" w:hAnsi="Courier New" w:cs="Courier New" w:hint="default"/>
      </w:rPr>
    </w:lvl>
    <w:lvl w:ilvl="5" w:tplc="0C090005" w:tentative="1">
      <w:start w:val="1"/>
      <w:numFmt w:val="bullet"/>
      <w:lvlText w:val=""/>
      <w:lvlJc w:val="left"/>
      <w:pPr>
        <w:ind w:left="4949" w:hanging="360"/>
      </w:pPr>
      <w:rPr>
        <w:rFonts w:ascii="Wingdings" w:hAnsi="Wingdings" w:hint="default"/>
      </w:rPr>
    </w:lvl>
    <w:lvl w:ilvl="6" w:tplc="0C090001" w:tentative="1">
      <w:start w:val="1"/>
      <w:numFmt w:val="bullet"/>
      <w:lvlText w:val=""/>
      <w:lvlJc w:val="left"/>
      <w:pPr>
        <w:ind w:left="5669" w:hanging="360"/>
      </w:pPr>
      <w:rPr>
        <w:rFonts w:ascii="Symbol" w:hAnsi="Symbol" w:hint="default"/>
      </w:rPr>
    </w:lvl>
    <w:lvl w:ilvl="7" w:tplc="0C090003" w:tentative="1">
      <w:start w:val="1"/>
      <w:numFmt w:val="bullet"/>
      <w:lvlText w:val="o"/>
      <w:lvlJc w:val="left"/>
      <w:pPr>
        <w:ind w:left="6389" w:hanging="360"/>
      </w:pPr>
      <w:rPr>
        <w:rFonts w:ascii="Courier New" w:hAnsi="Courier New" w:cs="Courier New" w:hint="default"/>
      </w:rPr>
    </w:lvl>
    <w:lvl w:ilvl="8" w:tplc="0C090005" w:tentative="1">
      <w:start w:val="1"/>
      <w:numFmt w:val="bullet"/>
      <w:lvlText w:val=""/>
      <w:lvlJc w:val="left"/>
      <w:pPr>
        <w:ind w:left="7109" w:hanging="360"/>
      </w:pPr>
      <w:rPr>
        <w:rFonts w:ascii="Wingdings" w:hAnsi="Wingdings" w:hint="default"/>
      </w:rPr>
    </w:lvl>
  </w:abstractNum>
  <w:abstractNum w:abstractNumId="21" w15:restartNumberingAfterBreak="0">
    <w:nsid w:val="235125FE"/>
    <w:multiLevelType w:val="hybridMultilevel"/>
    <w:tmpl w:val="6AD26022"/>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22" w15:restartNumberingAfterBreak="0">
    <w:nsid w:val="25852141"/>
    <w:multiLevelType w:val="hybridMultilevel"/>
    <w:tmpl w:val="3FB0D176"/>
    <w:lvl w:ilvl="0" w:tplc="4E5C9100">
      <w:start w:val="1"/>
      <w:numFmt w:val="lowerLetter"/>
      <w:lvlText w:val="(%1)"/>
      <w:lvlJc w:val="left"/>
      <w:pPr>
        <w:ind w:left="1290" w:hanging="360"/>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3" w15:restartNumberingAfterBreak="0">
    <w:nsid w:val="270646D3"/>
    <w:multiLevelType w:val="hybridMultilevel"/>
    <w:tmpl w:val="B4AEF5E2"/>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24" w15:restartNumberingAfterBreak="0">
    <w:nsid w:val="2F77192F"/>
    <w:multiLevelType w:val="hybridMultilevel"/>
    <w:tmpl w:val="6D9ED6B2"/>
    <w:lvl w:ilvl="0" w:tplc="54827CAC">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5" w15:restartNumberingAfterBreak="0">
    <w:nsid w:val="3A6B515E"/>
    <w:multiLevelType w:val="hybridMultilevel"/>
    <w:tmpl w:val="7D0E279C"/>
    <w:lvl w:ilvl="0" w:tplc="25A6B7EC">
      <w:start w:val="1"/>
      <w:numFmt w:val="decimal"/>
      <w:lvlText w:val="%1."/>
      <w:lvlJc w:val="left"/>
      <w:pPr>
        <w:ind w:left="712"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413976FD"/>
    <w:multiLevelType w:val="hybridMultilevel"/>
    <w:tmpl w:val="66D69EE8"/>
    <w:lvl w:ilvl="0" w:tplc="7316A6D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A010F8"/>
    <w:multiLevelType w:val="hybridMultilevel"/>
    <w:tmpl w:val="B05E71BC"/>
    <w:lvl w:ilvl="0" w:tplc="39168CB6">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9"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420FCF"/>
    <w:multiLevelType w:val="hybridMultilevel"/>
    <w:tmpl w:val="ED5A46A2"/>
    <w:lvl w:ilvl="0" w:tplc="E9BED2F0">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1" w15:restartNumberingAfterBreak="0">
    <w:nsid w:val="4A4C77C3"/>
    <w:multiLevelType w:val="hybridMultilevel"/>
    <w:tmpl w:val="5F441C46"/>
    <w:lvl w:ilvl="0" w:tplc="C8AE3896">
      <w:start w:val="1"/>
      <w:numFmt w:val="bullet"/>
      <w:lvlText w:val="-"/>
      <w:lvlJc w:val="left"/>
      <w:pPr>
        <w:ind w:left="1797" w:hanging="360"/>
      </w:pPr>
      <w:rPr>
        <w:rFonts w:ascii="Times New Roman" w:eastAsia="Times New Roman" w:hAnsi="Times New Roman" w:cs="Times New Roman"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32" w15:restartNumberingAfterBreak="0">
    <w:nsid w:val="51A85325"/>
    <w:multiLevelType w:val="hybridMultilevel"/>
    <w:tmpl w:val="FF9CBD46"/>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33" w15:restartNumberingAfterBreak="0">
    <w:nsid w:val="596F3617"/>
    <w:multiLevelType w:val="hybridMultilevel"/>
    <w:tmpl w:val="07B88A94"/>
    <w:lvl w:ilvl="0" w:tplc="FC8636E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64067377"/>
    <w:multiLevelType w:val="hybridMultilevel"/>
    <w:tmpl w:val="DFA45BC6"/>
    <w:lvl w:ilvl="0" w:tplc="7F9E679C">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CB653D"/>
    <w:multiLevelType w:val="hybridMultilevel"/>
    <w:tmpl w:val="4BC0792A"/>
    <w:lvl w:ilvl="0" w:tplc="F578B0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A42FF5"/>
    <w:multiLevelType w:val="hybridMultilevel"/>
    <w:tmpl w:val="F434FAD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44003BA"/>
    <w:multiLevelType w:val="hybridMultilevel"/>
    <w:tmpl w:val="3DC4D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1C5785"/>
    <w:multiLevelType w:val="hybridMultilevel"/>
    <w:tmpl w:val="4C44283E"/>
    <w:lvl w:ilvl="0" w:tplc="271CDCB8">
      <w:start w:val="1"/>
      <w:numFmt w:val="decimal"/>
      <w:lvlText w:val="%1."/>
      <w:lvlJc w:val="left"/>
      <w:pPr>
        <w:ind w:left="570" w:hanging="570"/>
      </w:pPr>
      <w:rPr>
        <w:rFonts w:hint="default"/>
        <w:b w:val="0"/>
        <w:i w:val="0"/>
        <w:iCs/>
      </w:rPr>
    </w:lvl>
    <w:lvl w:ilvl="1" w:tplc="0C090019">
      <w:start w:val="1"/>
      <w:numFmt w:val="lowerLetter"/>
      <w:lvlText w:val="%2."/>
      <w:lvlJc w:val="left"/>
      <w:pPr>
        <w:ind w:left="1080" w:hanging="360"/>
      </w:pPr>
    </w:lvl>
    <w:lvl w:ilvl="2" w:tplc="FFC82BA2">
      <w:start w:val="1"/>
      <w:numFmt w:val="lowerLetter"/>
      <w:lvlText w:val="(%3)"/>
      <w:lvlJc w:val="left"/>
      <w:pPr>
        <w:ind w:left="2010" w:hanging="39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77B0BFB"/>
    <w:multiLevelType w:val="hybridMultilevel"/>
    <w:tmpl w:val="9FC61A16"/>
    <w:lvl w:ilvl="0" w:tplc="A3323EE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0" w15:restartNumberingAfterBreak="0">
    <w:nsid w:val="79ED523C"/>
    <w:multiLevelType w:val="hybridMultilevel"/>
    <w:tmpl w:val="16668CB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DA91A57"/>
    <w:multiLevelType w:val="hybridMultilevel"/>
    <w:tmpl w:val="79CAA7F0"/>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2"/>
  </w:num>
  <w:num w:numId="13">
    <w:abstractNumId w:val="15"/>
  </w:num>
  <w:num w:numId="14">
    <w:abstractNumId w:val="29"/>
  </w:num>
  <w:num w:numId="15">
    <w:abstractNumId w:val="37"/>
  </w:num>
  <w:num w:numId="16">
    <w:abstractNumId w:val="17"/>
  </w:num>
  <w:num w:numId="17">
    <w:abstractNumId w:val="27"/>
  </w:num>
  <w:num w:numId="18">
    <w:abstractNumId w:val="28"/>
  </w:num>
  <w:num w:numId="19">
    <w:abstractNumId w:val="33"/>
  </w:num>
  <w:num w:numId="20">
    <w:abstractNumId w:val="39"/>
  </w:num>
  <w:num w:numId="21">
    <w:abstractNumId w:val="31"/>
  </w:num>
  <w:num w:numId="22">
    <w:abstractNumId w:val="16"/>
  </w:num>
  <w:num w:numId="23">
    <w:abstractNumId w:val="19"/>
  </w:num>
  <w:num w:numId="24">
    <w:abstractNumId w:val="18"/>
  </w:num>
  <w:num w:numId="25">
    <w:abstractNumId w:val="40"/>
  </w:num>
  <w:num w:numId="26">
    <w:abstractNumId w:val="38"/>
  </w:num>
  <w:num w:numId="27">
    <w:abstractNumId w:val="13"/>
  </w:num>
  <w:num w:numId="28">
    <w:abstractNumId w:val="25"/>
  </w:num>
  <w:num w:numId="29">
    <w:abstractNumId w:val="22"/>
  </w:num>
  <w:num w:numId="30">
    <w:abstractNumId w:val="11"/>
  </w:num>
  <w:num w:numId="31">
    <w:abstractNumId w:val="35"/>
  </w:num>
  <w:num w:numId="32">
    <w:abstractNumId w:val="34"/>
  </w:num>
  <w:num w:numId="33">
    <w:abstractNumId w:val="36"/>
  </w:num>
  <w:num w:numId="34">
    <w:abstractNumId w:val="14"/>
  </w:num>
  <w:num w:numId="35">
    <w:abstractNumId w:val="24"/>
  </w:num>
  <w:num w:numId="36">
    <w:abstractNumId w:val="41"/>
  </w:num>
  <w:num w:numId="37">
    <w:abstractNumId w:val="30"/>
  </w:num>
  <w:num w:numId="38">
    <w:abstractNumId w:val="10"/>
  </w:num>
  <w:num w:numId="39">
    <w:abstractNumId w:val="32"/>
  </w:num>
  <w:num w:numId="40">
    <w:abstractNumId w:val="20"/>
  </w:num>
  <w:num w:numId="41">
    <w:abstractNumId w:val="23"/>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E4"/>
    <w:rsid w:val="00000D58"/>
    <w:rsid w:val="00003FF7"/>
    <w:rsid w:val="00007555"/>
    <w:rsid w:val="0001129E"/>
    <w:rsid w:val="00032FEF"/>
    <w:rsid w:val="00033239"/>
    <w:rsid w:val="00034292"/>
    <w:rsid w:val="00040D77"/>
    <w:rsid w:val="0004623B"/>
    <w:rsid w:val="0005131A"/>
    <w:rsid w:val="00060580"/>
    <w:rsid w:val="00062DC7"/>
    <w:rsid w:val="00063087"/>
    <w:rsid w:val="0006711C"/>
    <w:rsid w:val="000715BE"/>
    <w:rsid w:val="000732AA"/>
    <w:rsid w:val="00082295"/>
    <w:rsid w:val="00096704"/>
    <w:rsid w:val="000A0801"/>
    <w:rsid w:val="000A5BD7"/>
    <w:rsid w:val="000B0D58"/>
    <w:rsid w:val="000B6BE5"/>
    <w:rsid w:val="000C1617"/>
    <w:rsid w:val="000C461B"/>
    <w:rsid w:val="000C50FB"/>
    <w:rsid w:val="000D195C"/>
    <w:rsid w:val="000D2642"/>
    <w:rsid w:val="000D3E11"/>
    <w:rsid w:val="000D41B5"/>
    <w:rsid w:val="000D4EBF"/>
    <w:rsid w:val="000D51D2"/>
    <w:rsid w:val="000E5799"/>
    <w:rsid w:val="00100C0A"/>
    <w:rsid w:val="00115EBC"/>
    <w:rsid w:val="00123D6D"/>
    <w:rsid w:val="00126231"/>
    <w:rsid w:val="00126A9D"/>
    <w:rsid w:val="0013252D"/>
    <w:rsid w:val="001414FB"/>
    <w:rsid w:val="00142D11"/>
    <w:rsid w:val="0015177B"/>
    <w:rsid w:val="00165136"/>
    <w:rsid w:val="00173EF6"/>
    <w:rsid w:val="001764BE"/>
    <w:rsid w:val="00180A02"/>
    <w:rsid w:val="00183296"/>
    <w:rsid w:val="0019126D"/>
    <w:rsid w:val="001A3CD6"/>
    <w:rsid w:val="001A76CA"/>
    <w:rsid w:val="001A7F26"/>
    <w:rsid w:val="001B0147"/>
    <w:rsid w:val="001B3AD0"/>
    <w:rsid w:val="001B68D9"/>
    <w:rsid w:val="001C0E70"/>
    <w:rsid w:val="001C579C"/>
    <w:rsid w:val="001C6113"/>
    <w:rsid w:val="001C6400"/>
    <w:rsid w:val="001D3E87"/>
    <w:rsid w:val="001D40B5"/>
    <w:rsid w:val="001D4259"/>
    <w:rsid w:val="001D79F2"/>
    <w:rsid w:val="001E56CA"/>
    <w:rsid w:val="001E69B1"/>
    <w:rsid w:val="001E70A5"/>
    <w:rsid w:val="001F082E"/>
    <w:rsid w:val="001F1104"/>
    <w:rsid w:val="001F14BC"/>
    <w:rsid w:val="001F28F8"/>
    <w:rsid w:val="001F2B04"/>
    <w:rsid w:val="001F6BC5"/>
    <w:rsid w:val="002148F2"/>
    <w:rsid w:val="002175ED"/>
    <w:rsid w:val="0022014D"/>
    <w:rsid w:val="00222FFA"/>
    <w:rsid w:val="00227A36"/>
    <w:rsid w:val="00230E81"/>
    <w:rsid w:val="002425A3"/>
    <w:rsid w:val="002463E7"/>
    <w:rsid w:val="002521F5"/>
    <w:rsid w:val="002527DA"/>
    <w:rsid w:val="002537AC"/>
    <w:rsid w:val="00260238"/>
    <w:rsid w:val="00271974"/>
    <w:rsid w:val="00272C00"/>
    <w:rsid w:val="00277A4D"/>
    <w:rsid w:val="00296799"/>
    <w:rsid w:val="00296C8F"/>
    <w:rsid w:val="00297533"/>
    <w:rsid w:val="002A1EEF"/>
    <w:rsid w:val="002A7461"/>
    <w:rsid w:val="002B348F"/>
    <w:rsid w:val="002B47D1"/>
    <w:rsid w:val="002D363B"/>
    <w:rsid w:val="002D484F"/>
    <w:rsid w:val="002D5655"/>
    <w:rsid w:val="002D7D03"/>
    <w:rsid w:val="002E36C6"/>
    <w:rsid w:val="002E5176"/>
    <w:rsid w:val="002E6BC8"/>
    <w:rsid w:val="002E7B1A"/>
    <w:rsid w:val="002F0556"/>
    <w:rsid w:val="002F0DB3"/>
    <w:rsid w:val="002F1624"/>
    <w:rsid w:val="00302EE9"/>
    <w:rsid w:val="00306059"/>
    <w:rsid w:val="00306EAF"/>
    <w:rsid w:val="003107AF"/>
    <w:rsid w:val="00313571"/>
    <w:rsid w:val="0031578D"/>
    <w:rsid w:val="00320A75"/>
    <w:rsid w:val="00325504"/>
    <w:rsid w:val="00326F40"/>
    <w:rsid w:val="0033477C"/>
    <w:rsid w:val="0034597B"/>
    <w:rsid w:val="003538D1"/>
    <w:rsid w:val="003540EC"/>
    <w:rsid w:val="00356DFB"/>
    <w:rsid w:val="00365369"/>
    <w:rsid w:val="00375C50"/>
    <w:rsid w:val="00375CAF"/>
    <w:rsid w:val="00375F83"/>
    <w:rsid w:val="003819C2"/>
    <w:rsid w:val="00384CDF"/>
    <w:rsid w:val="003859F0"/>
    <w:rsid w:val="003871BF"/>
    <w:rsid w:val="00390727"/>
    <w:rsid w:val="00394EC0"/>
    <w:rsid w:val="003A1FAF"/>
    <w:rsid w:val="003A5194"/>
    <w:rsid w:val="003B230A"/>
    <w:rsid w:val="003B6DDD"/>
    <w:rsid w:val="003C1669"/>
    <w:rsid w:val="003C2683"/>
    <w:rsid w:val="003D5082"/>
    <w:rsid w:val="003E3B44"/>
    <w:rsid w:val="003E79A3"/>
    <w:rsid w:val="003F28B1"/>
    <w:rsid w:val="00400EFD"/>
    <w:rsid w:val="00407B32"/>
    <w:rsid w:val="004109EA"/>
    <w:rsid w:val="00413946"/>
    <w:rsid w:val="0042549C"/>
    <w:rsid w:val="004379D9"/>
    <w:rsid w:val="004407D0"/>
    <w:rsid w:val="00442ABC"/>
    <w:rsid w:val="0044505F"/>
    <w:rsid w:val="0044690B"/>
    <w:rsid w:val="004560F8"/>
    <w:rsid w:val="00481CDE"/>
    <w:rsid w:val="0049046D"/>
    <w:rsid w:val="004A1360"/>
    <w:rsid w:val="004A511C"/>
    <w:rsid w:val="004A73C3"/>
    <w:rsid w:val="004B1EC4"/>
    <w:rsid w:val="004B4228"/>
    <w:rsid w:val="004B673E"/>
    <w:rsid w:val="004C601C"/>
    <w:rsid w:val="004D177D"/>
    <w:rsid w:val="004D19B7"/>
    <w:rsid w:val="004D2679"/>
    <w:rsid w:val="004F2601"/>
    <w:rsid w:val="004F345E"/>
    <w:rsid w:val="004F49C6"/>
    <w:rsid w:val="00500C42"/>
    <w:rsid w:val="0051243E"/>
    <w:rsid w:val="005154BE"/>
    <w:rsid w:val="0053357F"/>
    <w:rsid w:val="005426A9"/>
    <w:rsid w:val="00544052"/>
    <w:rsid w:val="00547D4A"/>
    <w:rsid w:val="005612B6"/>
    <w:rsid w:val="005626BC"/>
    <w:rsid w:val="005641D7"/>
    <w:rsid w:val="00571CE4"/>
    <w:rsid w:val="005720A8"/>
    <w:rsid w:val="00574AC4"/>
    <w:rsid w:val="005815AB"/>
    <w:rsid w:val="00584400"/>
    <w:rsid w:val="00584A10"/>
    <w:rsid w:val="005851AC"/>
    <w:rsid w:val="00590E70"/>
    <w:rsid w:val="005918FF"/>
    <w:rsid w:val="005946F4"/>
    <w:rsid w:val="00594EE9"/>
    <w:rsid w:val="005A5495"/>
    <w:rsid w:val="005A66F6"/>
    <w:rsid w:val="005A70C4"/>
    <w:rsid w:val="005C1C1D"/>
    <w:rsid w:val="005C1DB5"/>
    <w:rsid w:val="005C696F"/>
    <w:rsid w:val="005D35C6"/>
    <w:rsid w:val="005D5207"/>
    <w:rsid w:val="005E240D"/>
    <w:rsid w:val="005E3213"/>
    <w:rsid w:val="005E36DE"/>
    <w:rsid w:val="005E47E0"/>
    <w:rsid w:val="005E4C10"/>
    <w:rsid w:val="005F0752"/>
    <w:rsid w:val="005F70B2"/>
    <w:rsid w:val="006005A3"/>
    <w:rsid w:val="00603C71"/>
    <w:rsid w:val="00604687"/>
    <w:rsid w:val="00611218"/>
    <w:rsid w:val="00613940"/>
    <w:rsid w:val="006173AA"/>
    <w:rsid w:val="00623564"/>
    <w:rsid w:val="0062721E"/>
    <w:rsid w:val="00637772"/>
    <w:rsid w:val="0065158F"/>
    <w:rsid w:val="00652DC8"/>
    <w:rsid w:val="006549AF"/>
    <w:rsid w:val="00660223"/>
    <w:rsid w:val="006623B3"/>
    <w:rsid w:val="00662587"/>
    <w:rsid w:val="0066355C"/>
    <w:rsid w:val="00667B57"/>
    <w:rsid w:val="00676849"/>
    <w:rsid w:val="006824C1"/>
    <w:rsid w:val="00696BB9"/>
    <w:rsid w:val="006A1F41"/>
    <w:rsid w:val="006A2FAA"/>
    <w:rsid w:val="006C4888"/>
    <w:rsid w:val="006C6741"/>
    <w:rsid w:val="006D39CD"/>
    <w:rsid w:val="006D570F"/>
    <w:rsid w:val="006E1842"/>
    <w:rsid w:val="006E23F3"/>
    <w:rsid w:val="006E4124"/>
    <w:rsid w:val="006F128D"/>
    <w:rsid w:val="006F1957"/>
    <w:rsid w:val="006F291D"/>
    <w:rsid w:val="006F580E"/>
    <w:rsid w:val="0071433D"/>
    <w:rsid w:val="007214B2"/>
    <w:rsid w:val="00724A56"/>
    <w:rsid w:val="00726D22"/>
    <w:rsid w:val="00732B2B"/>
    <w:rsid w:val="00735312"/>
    <w:rsid w:val="007365DC"/>
    <w:rsid w:val="00743759"/>
    <w:rsid w:val="00743C19"/>
    <w:rsid w:val="007564CB"/>
    <w:rsid w:val="0075695C"/>
    <w:rsid w:val="00766B1E"/>
    <w:rsid w:val="00781D57"/>
    <w:rsid w:val="00782AAF"/>
    <w:rsid w:val="007865D6"/>
    <w:rsid w:val="00790CC7"/>
    <w:rsid w:val="00790D74"/>
    <w:rsid w:val="00795F76"/>
    <w:rsid w:val="007A2923"/>
    <w:rsid w:val="007A47A8"/>
    <w:rsid w:val="007C061A"/>
    <w:rsid w:val="007E1887"/>
    <w:rsid w:val="007E7E11"/>
    <w:rsid w:val="007F0DBD"/>
    <w:rsid w:val="007F20D5"/>
    <w:rsid w:val="0080673C"/>
    <w:rsid w:val="0081069F"/>
    <w:rsid w:val="008139E9"/>
    <w:rsid w:val="00815E2B"/>
    <w:rsid w:val="00831047"/>
    <w:rsid w:val="0083316E"/>
    <w:rsid w:val="008347D9"/>
    <w:rsid w:val="00846CBF"/>
    <w:rsid w:val="00846E1E"/>
    <w:rsid w:val="008479E7"/>
    <w:rsid w:val="00851AAC"/>
    <w:rsid w:val="00856B62"/>
    <w:rsid w:val="0086356D"/>
    <w:rsid w:val="0086738A"/>
    <w:rsid w:val="00881616"/>
    <w:rsid w:val="00882DC5"/>
    <w:rsid w:val="00884CA8"/>
    <w:rsid w:val="00887323"/>
    <w:rsid w:val="00887DCB"/>
    <w:rsid w:val="00896714"/>
    <w:rsid w:val="00896BAC"/>
    <w:rsid w:val="00897035"/>
    <w:rsid w:val="008A1766"/>
    <w:rsid w:val="008A2312"/>
    <w:rsid w:val="008A35AE"/>
    <w:rsid w:val="008A4E7A"/>
    <w:rsid w:val="008B4EB8"/>
    <w:rsid w:val="008C3493"/>
    <w:rsid w:val="008C3A6A"/>
    <w:rsid w:val="008C556C"/>
    <w:rsid w:val="008D1C1F"/>
    <w:rsid w:val="008D7A8C"/>
    <w:rsid w:val="008E1224"/>
    <w:rsid w:val="008E1577"/>
    <w:rsid w:val="008E546F"/>
    <w:rsid w:val="008E54C2"/>
    <w:rsid w:val="008E69D7"/>
    <w:rsid w:val="008F2D5A"/>
    <w:rsid w:val="008F493F"/>
    <w:rsid w:val="008F789A"/>
    <w:rsid w:val="0090481C"/>
    <w:rsid w:val="009072B6"/>
    <w:rsid w:val="00907B05"/>
    <w:rsid w:val="0091474F"/>
    <w:rsid w:val="009241C7"/>
    <w:rsid w:val="00924B8C"/>
    <w:rsid w:val="00924BC7"/>
    <w:rsid w:val="00927BDF"/>
    <w:rsid w:val="009324DD"/>
    <w:rsid w:val="0094095A"/>
    <w:rsid w:val="00941B6E"/>
    <w:rsid w:val="00942385"/>
    <w:rsid w:val="00952D0D"/>
    <w:rsid w:val="009543E9"/>
    <w:rsid w:val="009610A0"/>
    <w:rsid w:val="0097514E"/>
    <w:rsid w:val="00976639"/>
    <w:rsid w:val="00982AF5"/>
    <w:rsid w:val="0098759D"/>
    <w:rsid w:val="009B2C31"/>
    <w:rsid w:val="009B5CE8"/>
    <w:rsid w:val="009B6B16"/>
    <w:rsid w:val="009C6980"/>
    <w:rsid w:val="009D0FD3"/>
    <w:rsid w:val="009D4B9B"/>
    <w:rsid w:val="009D5228"/>
    <w:rsid w:val="009D6A10"/>
    <w:rsid w:val="009E18BF"/>
    <w:rsid w:val="009F68CB"/>
    <w:rsid w:val="009F7623"/>
    <w:rsid w:val="00A061CF"/>
    <w:rsid w:val="00A062DD"/>
    <w:rsid w:val="00A13125"/>
    <w:rsid w:val="00A14F51"/>
    <w:rsid w:val="00A15C69"/>
    <w:rsid w:val="00A1628C"/>
    <w:rsid w:val="00A22240"/>
    <w:rsid w:val="00A2534B"/>
    <w:rsid w:val="00A254D6"/>
    <w:rsid w:val="00A25696"/>
    <w:rsid w:val="00A27382"/>
    <w:rsid w:val="00A33FDE"/>
    <w:rsid w:val="00A35573"/>
    <w:rsid w:val="00A50EB7"/>
    <w:rsid w:val="00A53874"/>
    <w:rsid w:val="00A611D9"/>
    <w:rsid w:val="00A70CCB"/>
    <w:rsid w:val="00A710AB"/>
    <w:rsid w:val="00A72374"/>
    <w:rsid w:val="00A74D38"/>
    <w:rsid w:val="00A75681"/>
    <w:rsid w:val="00A76369"/>
    <w:rsid w:val="00A83C17"/>
    <w:rsid w:val="00A85386"/>
    <w:rsid w:val="00AA0537"/>
    <w:rsid w:val="00AB0A42"/>
    <w:rsid w:val="00AB0F96"/>
    <w:rsid w:val="00AC1CFF"/>
    <w:rsid w:val="00AD5A80"/>
    <w:rsid w:val="00AE1CC4"/>
    <w:rsid w:val="00AE750C"/>
    <w:rsid w:val="00AF202E"/>
    <w:rsid w:val="00AF5DA1"/>
    <w:rsid w:val="00B02340"/>
    <w:rsid w:val="00B0258A"/>
    <w:rsid w:val="00B05E2F"/>
    <w:rsid w:val="00B06129"/>
    <w:rsid w:val="00B13830"/>
    <w:rsid w:val="00B171FD"/>
    <w:rsid w:val="00B2265C"/>
    <w:rsid w:val="00B2605A"/>
    <w:rsid w:val="00B365D7"/>
    <w:rsid w:val="00B431E6"/>
    <w:rsid w:val="00B45C26"/>
    <w:rsid w:val="00B52752"/>
    <w:rsid w:val="00B555CC"/>
    <w:rsid w:val="00B7648A"/>
    <w:rsid w:val="00B905F3"/>
    <w:rsid w:val="00B90CDB"/>
    <w:rsid w:val="00B92779"/>
    <w:rsid w:val="00B9355B"/>
    <w:rsid w:val="00B94537"/>
    <w:rsid w:val="00BA27DF"/>
    <w:rsid w:val="00BC0EE4"/>
    <w:rsid w:val="00BD3AA9"/>
    <w:rsid w:val="00BE1266"/>
    <w:rsid w:val="00BE61FB"/>
    <w:rsid w:val="00BF280F"/>
    <w:rsid w:val="00BF3D33"/>
    <w:rsid w:val="00C04FAA"/>
    <w:rsid w:val="00C063FF"/>
    <w:rsid w:val="00C07027"/>
    <w:rsid w:val="00C07511"/>
    <w:rsid w:val="00C1366F"/>
    <w:rsid w:val="00C32F6C"/>
    <w:rsid w:val="00C36C3B"/>
    <w:rsid w:val="00C512F0"/>
    <w:rsid w:val="00C62029"/>
    <w:rsid w:val="00C63651"/>
    <w:rsid w:val="00C66F98"/>
    <w:rsid w:val="00C67250"/>
    <w:rsid w:val="00C70568"/>
    <w:rsid w:val="00C7120C"/>
    <w:rsid w:val="00C8207E"/>
    <w:rsid w:val="00C8493A"/>
    <w:rsid w:val="00C9765E"/>
    <w:rsid w:val="00CA3C8E"/>
    <w:rsid w:val="00CB14A4"/>
    <w:rsid w:val="00CC29D9"/>
    <w:rsid w:val="00CD1D1F"/>
    <w:rsid w:val="00CD2516"/>
    <w:rsid w:val="00CD70DF"/>
    <w:rsid w:val="00CE3ECC"/>
    <w:rsid w:val="00CE5077"/>
    <w:rsid w:val="00CE62F4"/>
    <w:rsid w:val="00CF0258"/>
    <w:rsid w:val="00CF6330"/>
    <w:rsid w:val="00D021D7"/>
    <w:rsid w:val="00D0359D"/>
    <w:rsid w:val="00D112E7"/>
    <w:rsid w:val="00D112ED"/>
    <w:rsid w:val="00D23170"/>
    <w:rsid w:val="00D318D0"/>
    <w:rsid w:val="00D3439D"/>
    <w:rsid w:val="00D3474E"/>
    <w:rsid w:val="00D36F60"/>
    <w:rsid w:val="00D40D6F"/>
    <w:rsid w:val="00D41F1D"/>
    <w:rsid w:val="00D50ACC"/>
    <w:rsid w:val="00D66A28"/>
    <w:rsid w:val="00D7290F"/>
    <w:rsid w:val="00D746D2"/>
    <w:rsid w:val="00D74FCF"/>
    <w:rsid w:val="00D80B27"/>
    <w:rsid w:val="00D9176D"/>
    <w:rsid w:val="00D92709"/>
    <w:rsid w:val="00D928E7"/>
    <w:rsid w:val="00D9316F"/>
    <w:rsid w:val="00D93639"/>
    <w:rsid w:val="00D97B87"/>
    <w:rsid w:val="00DA48F2"/>
    <w:rsid w:val="00DB0AA3"/>
    <w:rsid w:val="00DB16FD"/>
    <w:rsid w:val="00DC55E5"/>
    <w:rsid w:val="00DD1E9C"/>
    <w:rsid w:val="00DE088D"/>
    <w:rsid w:val="00DE3897"/>
    <w:rsid w:val="00DE3EA0"/>
    <w:rsid w:val="00DE7CCF"/>
    <w:rsid w:val="00DE7F5E"/>
    <w:rsid w:val="00DF2632"/>
    <w:rsid w:val="00E10B40"/>
    <w:rsid w:val="00E1307A"/>
    <w:rsid w:val="00E25BF5"/>
    <w:rsid w:val="00E40362"/>
    <w:rsid w:val="00E43A53"/>
    <w:rsid w:val="00E508BC"/>
    <w:rsid w:val="00E55BCC"/>
    <w:rsid w:val="00E57F80"/>
    <w:rsid w:val="00E61B4F"/>
    <w:rsid w:val="00E711B7"/>
    <w:rsid w:val="00E7192D"/>
    <w:rsid w:val="00E72FEF"/>
    <w:rsid w:val="00E775E8"/>
    <w:rsid w:val="00E909D2"/>
    <w:rsid w:val="00E9695C"/>
    <w:rsid w:val="00EA0DCC"/>
    <w:rsid w:val="00EB1C86"/>
    <w:rsid w:val="00EC2BB8"/>
    <w:rsid w:val="00EC4CB5"/>
    <w:rsid w:val="00ED1E08"/>
    <w:rsid w:val="00ED3E35"/>
    <w:rsid w:val="00ED3E6D"/>
    <w:rsid w:val="00ED5719"/>
    <w:rsid w:val="00ED58BC"/>
    <w:rsid w:val="00EE562B"/>
    <w:rsid w:val="00EE6564"/>
    <w:rsid w:val="00EF25E6"/>
    <w:rsid w:val="00EF25F2"/>
    <w:rsid w:val="00EF3B00"/>
    <w:rsid w:val="00EF6351"/>
    <w:rsid w:val="00EF73C4"/>
    <w:rsid w:val="00F0136F"/>
    <w:rsid w:val="00F0286B"/>
    <w:rsid w:val="00F17333"/>
    <w:rsid w:val="00F2505D"/>
    <w:rsid w:val="00F255A3"/>
    <w:rsid w:val="00F27B1B"/>
    <w:rsid w:val="00F30A73"/>
    <w:rsid w:val="00F3577A"/>
    <w:rsid w:val="00F46C3F"/>
    <w:rsid w:val="00F515CD"/>
    <w:rsid w:val="00F54141"/>
    <w:rsid w:val="00F56662"/>
    <w:rsid w:val="00F60BD1"/>
    <w:rsid w:val="00F66ED6"/>
    <w:rsid w:val="00F72D67"/>
    <w:rsid w:val="00F74F4B"/>
    <w:rsid w:val="00F75401"/>
    <w:rsid w:val="00F81B56"/>
    <w:rsid w:val="00F85438"/>
    <w:rsid w:val="00F91208"/>
    <w:rsid w:val="00F93E56"/>
    <w:rsid w:val="00F95BF9"/>
    <w:rsid w:val="00F97F38"/>
    <w:rsid w:val="00FA2EC3"/>
    <w:rsid w:val="00FA4EB6"/>
    <w:rsid w:val="00FB272B"/>
    <w:rsid w:val="00FB3175"/>
    <w:rsid w:val="00FB3CDE"/>
    <w:rsid w:val="00FB4E51"/>
    <w:rsid w:val="00FC467B"/>
    <w:rsid w:val="00FD3E00"/>
    <w:rsid w:val="00FE4B88"/>
    <w:rsid w:val="00FE7D6E"/>
    <w:rsid w:val="00FF729D"/>
    <w:rsid w:val="00FF7D54"/>
    <w:rsid w:val="60B88C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70FEA"/>
  <w15:chartTrackingRefBased/>
  <w15:docId w15:val="{B6670286-5F44-4AF3-99F7-13D1F2AE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1CE4"/>
    <w:pPr>
      <w:spacing w:after="0" w:line="260" w:lineRule="atLeast"/>
    </w:pPr>
    <w:rPr>
      <w:rFonts w:ascii="Times New Roman" w:eastAsia="Calibri" w:hAnsi="Times New Roman" w:cs="Times New Roman"/>
      <w:szCs w:val="20"/>
    </w:rPr>
  </w:style>
  <w:style w:type="paragraph" w:styleId="Heading1">
    <w:name w:val="heading 1"/>
    <w:basedOn w:val="Normal"/>
    <w:next w:val="Normal"/>
    <w:link w:val="Heading1Char"/>
    <w:uiPriority w:val="9"/>
    <w:qFormat/>
    <w:rsid w:val="00571CE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571CE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71CE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71CE4"/>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571CE4"/>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571CE4"/>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571CE4"/>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571CE4"/>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571CE4"/>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CE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71CE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571CE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571CE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571CE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571CE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571CE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571CE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571CE4"/>
    <w:rPr>
      <w:rFonts w:ascii="Cambria" w:eastAsia="Times New Roman" w:hAnsi="Cambria" w:cs="Times New Roman"/>
    </w:rPr>
  </w:style>
  <w:style w:type="character" w:customStyle="1" w:styleId="OPCCharBase">
    <w:name w:val="OPCCharBase"/>
    <w:uiPriority w:val="1"/>
    <w:qFormat/>
    <w:rsid w:val="00571CE4"/>
  </w:style>
  <w:style w:type="paragraph" w:customStyle="1" w:styleId="OPCParaBase">
    <w:name w:val="OPCParaBase"/>
    <w:link w:val="OPCParaBaseChar"/>
    <w:semiHidden/>
    <w:qFormat/>
    <w:rsid w:val="00571CE4"/>
    <w:pPr>
      <w:spacing w:after="0" w:line="260" w:lineRule="atLeast"/>
    </w:pPr>
    <w:rPr>
      <w:rFonts w:ascii="Times New Roman" w:eastAsia="Times New Roman" w:hAnsi="Times New Roman" w:cs="Times New Roman"/>
      <w:szCs w:val="20"/>
      <w:lang w:eastAsia="en-AU"/>
    </w:rPr>
  </w:style>
  <w:style w:type="paragraph" w:customStyle="1" w:styleId="LI-Title">
    <w:name w:val="LI - Title"/>
    <w:basedOn w:val="OPCParaBase"/>
    <w:next w:val="Normal"/>
    <w:qFormat/>
    <w:rsid w:val="00571CE4"/>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571CE4"/>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571CE4"/>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571CE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571CE4"/>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571CE4"/>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571CE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571CE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571CE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571CE4"/>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571CE4"/>
  </w:style>
  <w:style w:type="paragraph" w:customStyle="1" w:styleId="Blocks">
    <w:name w:val="Blocks"/>
    <w:aliases w:val="bb"/>
    <w:basedOn w:val="OPCParaBase"/>
    <w:semiHidden/>
    <w:qFormat/>
    <w:rsid w:val="00571CE4"/>
    <w:pPr>
      <w:spacing w:line="240" w:lineRule="auto"/>
    </w:pPr>
    <w:rPr>
      <w:sz w:val="24"/>
    </w:rPr>
  </w:style>
  <w:style w:type="paragraph" w:customStyle="1" w:styleId="BoxText">
    <w:name w:val="BoxText"/>
    <w:aliases w:val="bt"/>
    <w:basedOn w:val="OPCParaBase"/>
    <w:semiHidden/>
    <w:qFormat/>
    <w:rsid w:val="00571CE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571CE4"/>
    <w:rPr>
      <w:b/>
    </w:rPr>
  </w:style>
  <w:style w:type="paragraph" w:customStyle="1" w:styleId="BoxHeadItalic">
    <w:name w:val="BoxHeadItalic"/>
    <w:aliases w:val="bhi"/>
    <w:basedOn w:val="BoxText"/>
    <w:next w:val="BoxStep"/>
    <w:semiHidden/>
    <w:qFormat/>
    <w:rsid w:val="00571CE4"/>
    <w:rPr>
      <w:i/>
    </w:rPr>
  </w:style>
  <w:style w:type="paragraph" w:customStyle="1" w:styleId="BoxList">
    <w:name w:val="BoxList"/>
    <w:aliases w:val="bl"/>
    <w:basedOn w:val="BoxText"/>
    <w:semiHidden/>
    <w:qFormat/>
    <w:rsid w:val="00571CE4"/>
    <w:pPr>
      <w:ind w:left="1559" w:hanging="425"/>
    </w:pPr>
  </w:style>
  <w:style w:type="paragraph" w:customStyle="1" w:styleId="BoxNote">
    <w:name w:val="BoxNote"/>
    <w:aliases w:val="bn"/>
    <w:basedOn w:val="BoxText"/>
    <w:semiHidden/>
    <w:qFormat/>
    <w:rsid w:val="00571CE4"/>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571CE4"/>
    <w:pPr>
      <w:tabs>
        <w:tab w:val="right" w:pos="2268"/>
      </w:tabs>
      <w:ind w:left="2552" w:hanging="1418"/>
    </w:pPr>
  </w:style>
  <w:style w:type="paragraph" w:customStyle="1" w:styleId="BoxStep">
    <w:name w:val="BoxStep"/>
    <w:aliases w:val="bs"/>
    <w:basedOn w:val="BoxText"/>
    <w:semiHidden/>
    <w:qFormat/>
    <w:rsid w:val="00571CE4"/>
    <w:pPr>
      <w:ind w:left="1985" w:hanging="851"/>
    </w:pPr>
  </w:style>
  <w:style w:type="character" w:customStyle="1" w:styleId="CharAmPartNo">
    <w:name w:val="CharAmPartNo"/>
    <w:basedOn w:val="OPCCharBase"/>
    <w:uiPriority w:val="1"/>
    <w:semiHidden/>
    <w:qFormat/>
    <w:rsid w:val="00571CE4"/>
  </w:style>
  <w:style w:type="character" w:customStyle="1" w:styleId="CharAmPartText">
    <w:name w:val="CharAmPartText"/>
    <w:basedOn w:val="OPCCharBase"/>
    <w:uiPriority w:val="1"/>
    <w:semiHidden/>
    <w:qFormat/>
    <w:rsid w:val="00571CE4"/>
  </w:style>
  <w:style w:type="character" w:customStyle="1" w:styleId="CharAmSchNo">
    <w:name w:val="CharAmSchNo"/>
    <w:basedOn w:val="OPCCharBase"/>
    <w:uiPriority w:val="1"/>
    <w:semiHidden/>
    <w:qFormat/>
    <w:rsid w:val="00571CE4"/>
  </w:style>
  <w:style w:type="character" w:customStyle="1" w:styleId="CharAmSchText">
    <w:name w:val="CharAmSchText"/>
    <w:basedOn w:val="OPCCharBase"/>
    <w:uiPriority w:val="1"/>
    <w:semiHidden/>
    <w:qFormat/>
    <w:rsid w:val="00571CE4"/>
  </w:style>
  <w:style w:type="character" w:customStyle="1" w:styleId="CharBoldItalic">
    <w:name w:val="CharBoldItalic"/>
    <w:uiPriority w:val="1"/>
    <w:semiHidden/>
    <w:qFormat/>
    <w:rsid w:val="00571CE4"/>
    <w:rPr>
      <w:b/>
      <w:i/>
    </w:rPr>
  </w:style>
  <w:style w:type="character" w:customStyle="1" w:styleId="CharChapNo">
    <w:name w:val="CharChapNo"/>
    <w:basedOn w:val="OPCCharBase"/>
    <w:semiHidden/>
    <w:qFormat/>
    <w:rsid w:val="00571CE4"/>
  </w:style>
  <w:style w:type="character" w:customStyle="1" w:styleId="CharChapText">
    <w:name w:val="CharChapText"/>
    <w:basedOn w:val="OPCCharBase"/>
    <w:semiHidden/>
    <w:qFormat/>
    <w:rsid w:val="00571CE4"/>
  </w:style>
  <w:style w:type="character" w:customStyle="1" w:styleId="CharDivNo">
    <w:name w:val="CharDivNo"/>
    <w:basedOn w:val="OPCCharBase"/>
    <w:semiHidden/>
    <w:qFormat/>
    <w:rsid w:val="00571CE4"/>
  </w:style>
  <w:style w:type="character" w:customStyle="1" w:styleId="CharDivText">
    <w:name w:val="CharDivText"/>
    <w:basedOn w:val="OPCCharBase"/>
    <w:semiHidden/>
    <w:qFormat/>
    <w:rsid w:val="00571CE4"/>
  </w:style>
  <w:style w:type="character" w:customStyle="1" w:styleId="CharItalic">
    <w:name w:val="CharItalic"/>
    <w:uiPriority w:val="1"/>
    <w:semiHidden/>
    <w:qFormat/>
    <w:rsid w:val="00571CE4"/>
    <w:rPr>
      <w:i/>
    </w:rPr>
  </w:style>
  <w:style w:type="character" w:customStyle="1" w:styleId="CharPartNo">
    <w:name w:val="CharPartNo"/>
    <w:basedOn w:val="OPCCharBase"/>
    <w:semiHidden/>
    <w:qFormat/>
    <w:rsid w:val="00571CE4"/>
  </w:style>
  <w:style w:type="character" w:customStyle="1" w:styleId="CharPartText">
    <w:name w:val="CharPartText"/>
    <w:basedOn w:val="OPCCharBase"/>
    <w:semiHidden/>
    <w:qFormat/>
    <w:rsid w:val="00571CE4"/>
  </w:style>
  <w:style w:type="character" w:customStyle="1" w:styleId="CharSectno">
    <w:name w:val="CharSectno"/>
    <w:basedOn w:val="OPCCharBase"/>
    <w:semiHidden/>
    <w:qFormat/>
    <w:rsid w:val="00571CE4"/>
  </w:style>
  <w:style w:type="character" w:customStyle="1" w:styleId="CharSubdNo">
    <w:name w:val="CharSubdNo"/>
    <w:basedOn w:val="OPCCharBase"/>
    <w:uiPriority w:val="1"/>
    <w:semiHidden/>
    <w:qFormat/>
    <w:rsid w:val="00571CE4"/>
  </w:style>
  <w:style w:type="character" w:customStyle="1" w:styleId="CharSubdText">
    <w:name w:val="CharSubdText"/>
    <w:basedOn w:val="OPCCharBase"/>
    <w:uiPriority w:val="1"/>
    <w:semiHidden/>
    <w:qFormat/>
    <w:rsid w:val="00571CE4"/>
  </w:style>
  <w:style w:type="paragraph" w:customStyle="1" w:styleId="CTA--">
    <w:name w:val="CTA --"/>
    <w:basedOn w:val="OPCParaBase"/>
    <w:next w:val="Normal"/>
    <w:semiHidden/>
    <w:rsid w:val="00571CE4"/>
    <w:pPr>
      <w:spacing w:before="60" w:line="240" w:lineRule="atLeast"/>
      <w:ind w:left="142" w:hanging="142"/>
    </w:pPr>
    <w:rPr>
      <w:sz w:val="20"/>
    </w:rPr>
  </w:style>
  <w:style w:type="paragraph" w:customStyle="1" w:styleId="CTA-">
    <w:name w:val="CTA -"/>
    <w:basedOn w:val="OPCParaBase"/>
    <w:semiHidden/>
    <w:rsid w:val="00571CE4"/>
    <w:pPr>
      <w:spacing w:before="60" w:line="240" w:lineRule="atLeast"/>
      <w:ind w:left="85" w:hanging="85"/>
    </w:pPr>
    <w:rPr>
      <w:sz w:val="20"/>
    </w:rPr>
  </w:style>
  <w:style w:type="paragraph" w:customStyle="1" w:styleId="CTA---">
    <w:name w:val="CTA ---"/>
    <w:basedOn w:val="OPCParaBase"/>
    <w:next w:val="Normal"/>
    <w:semiHidden/>
    <w:rsid w:val="00571CE4"/>
    <w:pPr>
      <w:spacing w:before="60" w:line="240" w:lineRule="atLeast"/>
      <w:ind w:left="198" w:hanging="198"/>
    </w:pPr>
    <w:rPr>
      <w:sz w:val="20"/>
    </w:rPr>
  </w:style>
  <w:style w:type="paragraph" w:customStyle="1" w:styleId="CTA----">
    <w:name w:val="CTA ----"/>
    <w:basedOn w:val="OPCParaBase"/>
    <w:next w:val="Normal"/>
    <w:semiHidden/>
    <w:rsid w:val="00571CE4"/>
    <w:pPr>
      <w:spacing w:before="60" w:line="240" w:lineRule="atLeast"/>
      <w:ind w:left="255" w:hanging="255"/>
    </w:pPr>
    <w:rPr>
      <w:sz w:val="20"/>
    </w:rPr>
  </w:style>
  <w:style w:type="paragraph" w:customStyle="1" w:styleId="CTA1a">
    <w:name w:val="CTA 1(a)"/>
    <w:basedOn w:val="OPCParaBase"/>
    <w:semiHidden/>
    <w:rsid w:val="00571CE4"/>
    <w:pPr>
      <w:tabs>
        <w:tab w:val="right" w:pos="414"/>
      </w:tabs>
      <w:spacing w:before="40" w:line="240" w:lineRule="atLeast"/>
      <w:ind w:left="675" w:hanging="675"/>
    </w:pPr>
    <w:rPr>
      <w:sz w:val="20"/>
    </w:rPr>
  </w:style>
  <w:style w:type="paragraph" w:customStyle="1" w:styleId="CTA1ai">
    <w:name w:val="CTA 1(a)(i)"/>
    <w:basedOn w:val="OPCParaBase"/>
    <w:semiHidden/>
    <w:rsid w:val="00571CE4"/>
    <w:pPr>
      <w:tabs>
        <w:tab w:val="right" w:pos="1004"/>
      </w:tabs>
      <w:spacing w:before="40" w:line="240" w:lineRule="atLeast"/>
      <w:ind w:left="1253" w:hanging="1253"/>
    </w:pPr>
    <w:rPr>
      <w:sz w:val="20"/>
    </w:rPr>
  </w:style>
  <w:style w:type="paragraph" w:customStyle="1" w:styleId="CTA2a">
    <w:name w:val="CTA 2(a)"/>
    <w:basedOn w:val="OPCParaBase"/>
    <w:semiHidden/>
    <w:rsid w:val="00571CE4"/>
    <w:pPr>
      <w:tabs>
        <w:tab w:val="right" w:pos="482"/>
      </w:tabs>
      <w:spacing w:before="40" w:line="240" w:lineRule="atLeast"/>
      <w:ind w:left="748" w:hanging="748"/>
    </w:pPr>
    <w:rPr>
      <w:sz w:val="20"/>
    </w:rPr>
  </w:style>
  <w:style w:type="paragraph" w:customStyle="1" w:styleId="CTA2ai">
    <w:name w:val="CTA 2(a)(i)"/>
    <w:basedOn w:val="OPCParaBase"/>
    <w:semiHidden/>
    <w:rsid w:val="00571CE4"/>
    <w:pPr>
      <w:tabs>
        <w:tab w:val="right" w:pos="1089"/>
      </w:tabs>
      <w:spacing w:before="40" w:line="240" w:lineRule="atLeast"/>
      <w:ind w:left="1327" w:hanging="1327"/>
    </w:pPr>
    <w:rPr>
      <w:sz w:val="20"/>
    </w:rPr>
  </w:style>
  <w:style w:type="paragraph" w:customStyle="1" w:styleId="CTA3a">
    <w:name w:val="CTA 3(a)"/>
    <w:basedOn w:val="OPCParaBase"/>
    <w:semiHidden/>
    <w:rsid w:val="00571CE4"/>
    <w:pPr>
      <w:tabs>
        <w:tab w:val="right" w:pos="556"/>
      </w:tabs>
      <w:spacing w:before="40" w:line="240" w:lineRule="atLeast"/>
      <w:ind w:left="805" w:hanging="805"/>
    </w:pPr>
    <w:rPr>
      <w:sz w:val="20"/>
    </w:rPr>
  </w:style>
  <w:style w:type="paragraph" w:customStyle="1" w:styleId="CTA3ai">
    <w:name w:val="CTA 3(a)(i)"/>
    <w:basedOn w:val="OPCParaBase"/>
    <w:semiHidden/>
    <w:rsid w:val="00571CE4"/>
    <w:pPr>
      <w:tabs>
        <w:tab w:val="right" w:pos="1140"/>
      </w:tabs>
      <w:spacing w:before="40" w:line="240" w:lineRule="atLeast"/>
      <w:ind w:left="1361" w:hanging="1361"/>
    </w:pPr>
    <w:rPr>
      <w:sz w:val="20"/>
    </w:rPr>
  </w:style>
  <w:style w:type="paragraph" w:customStyle="1" w:styleId="CTA4a">
    <w:name w:val="CTA 4(a)"/>
    <w:basedOn w:val="OPCParaBase"/>
    <w:semiHidden/>
    <w:rsid w:val="00571CE4"/>
    <w:pPr>
      <w:tabs>
        <w:tab w:val="right" w:pos="624"/>
      </w:tabs>
      <w:spacing w:before="40" w:line="240" w:lineRule="atLeast"/>
      <w:ind w:left="873" w:hanging="873"/>
    </w:pPr>
    <w:rPr>
      <w:sz w:val="20"/>
    </w:rPr>
  </w:style>
  <w:style w:type="paragraph" w:customStyle="1" w:styleId="CTA4ai">
    <w:name w:val="CTA 4(a)(i)"/>
    <w:basedOn w:val="OPCParaBase"/>
    <w:semiHidden/>
    <w:rsid w:val="00571CE4"/>
    <w:pPr>
      <w:tabs>
        <w:tab w:val="right" w:pos="1213"/>
      </w:tabs>
      <w:spacing w:before="40" w:line="240" w:lineRule="atLeast"/>
      <w:ind w:left="1452" w:hanging="1452"/>
    </w:pPr>
    <w:rPr>
      <w:sz w:val="20"/>
    </w:rPr>
  </w:style>
  <w:style w:type="paragraph" w:customStyle="1" w:styleId="CTACAPS">
    <w:name w:val="CTA CAPS"/>
    <w:basedOn w:val="OPCParaBase"/>
    <w:semiHidden/>
    <w:rsid w:val="00571CE4"/>
    <w:pPr>
      <w:spacing w:before="60" w:line="240" w:lineRule="atLeast"/>
    </w:pPr>
    <w:rPr>
      <w:sz w:val="20"/>
    </w:rPr>
  </w:style>
  <w:style w:type="paragraph" w:customStyle="1" w:styleId="CTAright">
    <w:name w:val="CTA right"/>
    <w:basedOn w:val="OPCParaBase"/>
    <w:semiHidden/>
    <w:rsid w:val="00571CE4"/>
    <w:pPr>
      <w:spacing w:before="60" w:line="240" w:lineRule="auto"/>
      <w:jc w:val="right"/>
    </w:pPr>
    <w:rPr>
      <w:sz w:val="20"/>
    </w:rPr>
  </w:style>
  <w:style w:type="paragraph" w:customStyle="1" w:styleId="LI-BodyTextUnnumbered">
    <w:name w:val="LI - Body Text Unnumbered"/>
    <w:basedOn w:val="OPCParaBase"/>
    <w:link w:val="LI-BodyTextUnnumberedChar"/>
    <w:rsid w:val="00571CE4"/>
    <w:pPr>
      <w:spacing w:before="240" w:line="240" w:lineRule="auto"/>
      <w:ind w:left="1134"/>
    </w:pPr>
    <w:rPr>
      <w:sz w:val="24"/>
    </w:rPr>
  </w:style>
  <w:style w:type="paragraph" w:customStyle="1" w:styleId="Definition">
    <w:name w:val="Definition"/>
    <w:aliases w:val="dd"/>
    <w:basedOn w:val="OPCParaBase"/>
    <w:semiHidden/>
    <w:rsid w:val="00571CE4"/>
    <w:pPr>
      <w:spacing w:before="180" w:line="240" w:lineRule="auto"/>
      <w:ind w:left="1134"/>
    </w:pPr>
  </w:style>
  <w:style w:type="paragraph" w:customStyle="1" w:styleId="EndNotespara">
    <w:name w:val="EndNotes(para)"/>
    <w:aliases w:val="eta"/>
    <w:basedOn w:val="OPCParaBase"/>
    <w:next w:val="EndNotessubpara"/>
    <w:semiHidden/>
    <w:rsid w:val="00571CE4"/>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571CE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571CE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571CE4"/>
    <w:pPr>
      <w:tabs>
        <w:tab w:val="right" w:pos="1412"/>
      </w:tabs>
      <w:spacing w:before="60" w:line="240" w:lineRule="auto"/>
      <w:ind w:left="1525" w:hanging="1525"/>
    </w:pPr>
    <w:rPr>
      <w:sz w:val="20"/>
    </w:rPr>
  </w:style>
  <w:style w:type="paragraph" w:customStyle="1" w:styleId="Formula">
    <w:name w:val="Formula"/>
    <w:basedOn w:val="OPCParaBase"/>
    <w:rsid w:val="00571CE4"/>
    <w:pPr>
      <w:spacing w:line="240" w:lineRule="auto"/>
      <w:ind w:left="1134"/>
    </w:pPr>
    <w:rPr>
      <w:sz w:val="20"/>
    </w:rPr>
  </w:style>
  <w:style w:type="paragraph" w:styleId="Header">
    <w:name w:val="header"/>
    <w:basedOn w:val="OPCParaBase"/>
    <w:link w:val="HeaderChar"/>
    <w:unhideWhenUsed/>
    <w:rsid w:val="00571CE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71CE4"/>
    <w:rPr>
      <w:rFonts w:ascii="Times New Roman" w:eastAsia="Times New Roman" w:hAnsi="Times New Roman" w:cs="Times New Roman"/>
      <w:sz w:val="16"/>
      <w:szCs w:val="20"/>
      <w:lang w:eastAsia="en-AU"/>
    </w:rPr>
  </w:style>
  <w:style w:type="paragraph" w:customStyle="1" w:styleId="House">
    <w:name w:val="House"/>
    <w:basedOn w:val="OPCParaBase"/>
    <w:semiHidden/>
    <w:rsid w:val="00571CE4"/>
    <w:pPr>
      <w:spacing w:line="240" w:lineRule="auto"/>
    </w:pPr>
    <w:rPr>
      <w:sz w:val="28"/>
    </w:rPr>
  </w:style>
  <w:style w:type="paragraph" w:customStyle="1" w:styleId="Item">
    <w:name w:val="Item"/>
    <w:aliases w:val="i"/>
    <w:basedOn w:val="OPCParaBase"/>
    <w:next w:val="ItemHead"/>
    <w:semiHidden/>
    <w:rsid w:val="00571CE4"/>
    <w:pPr>
      <w:keepLines/>
      <w:spacing w:before="80" w:line="240" w:lineRule="auto"/>
      <w:ind w:left="709"/>
    </w:pPr>
  </w:style>
  <w:style w:type="paragraph" w:customStyle="1" w:styleId="ItemHead">
    <w:name w:val="ItemHead"/>
    <w:aliases w:val="ih"/>
    <w:basedOn w:val="OPCParaBase"/>
    <w:next w:val="Item"/>
    <w:semiHidden/>
    <w:rsid w:val="00571CE4"/>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571CE4"/>
    <w:pPr>
      <w:spacing w:line="240" w:lineRule="auto"/>
    </w:pPr>
    <w:rPr>
      <w:b/>
      <w:sz w:val="32"/>
    </w:rPr>
  </w:style>
  <w:style w:type="paragraph" w:customStyle="1" w:styleId="notedraft">
    <w:name w:val="note(draft)"/>
    <w:aliases w:val="nd"/>
    <w:basedOn w:val="OPCParaBase"/>
    <w:semiHidden/>
    <w:rsid w:val="00571CE4"/>
    <w:pPr>
      <w:spacing w:before="240" w:line="240" w:lineRule="auto"/>
      <w:ind w:left="284" w:hanging="284"/>
    </w:pPr>
    <w:rPr>
      <w:i/>
      <w:sz w:val="24"/>
    </w:rPr>
  </w:style>
  <w:style w:type="paragraph" w:customStyle="1" w:styleId="notemargin">
    <w:name w:val="note(margin)"/>
    <w:aliases w:val="nm"/>
    <w:basedOn w:val="OPCParaBase"/>
    <w:semiHidden/>
    <w:rsid w:val="00571CE4"/>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571CE4"/>
    <w:pPr>
      <w:spacing w:before="122" w:line="198" w:lineRule="exact"/>
      <w:ind w:left="2353" w:hanging="709"/>
    </w:pPr>
    <w:rPr>
      <w:sz w:val="18"/>
    </w:rPr>
  </w:style>
  <w:style w:type="paragraph" w:customStyle="1" w:styleId="noteParlAmend">
    <w:name w:val="note(ParlAmend)"/>
    <w:aliases w:val="npp"/>
    <w:basedOn w:val="OPCParaBase"/>
    <w:next w:val="ParlAmend"/>
    <w:semiHidden/>
    <w:rsid w:val="00571CE4"/>
    <w:pPr>
      <w:spacing w:line="240" w:lineRule="auto"/>
      <w:jc w:val="right"/>
    </w:pPr>
    <w:rPr>
      <w:rFonts w:ascii="Arial" w:hAnsi="Arial"/>
      <w:b/>
      <w:i/>
    </w:rPr>
  </w:style>
  <w:style w:type="paragraph" w:customStyle="1" w:styleId="Page1">
    <w:name w:val="Page1"/>
    <w:basedOn w:val="OPCParaBase"/>
    <w:semiHidden/>
    <w:rsid w:val="00571CE4"/>
    <w:pPr>
      <w:spacing w:before="5600" w:line="240" w:lineRule="auto"/>
    </w:pPr>
    <w:rPr>
      <w:b/>
      <w:sz w:val="32"/>
    </w:rPr>
  </w:style>
  <w:style w:type="paragraph" w:customStyle="1" w:styleId="PageBreak">
    <w:name w:val="PageBreak"/>
    <w:aliases w:val="pb"/>
    <w:basedOn w:val="OPCParaBase"/>
    <w:semiHidden/>
    <w:rsid w:val="00571CE4"/>
    <w:pPr>
      <w:spacing w:line="240" w:lineRule="auto"/>
    </w:pPr>
    <w:rPr>
      <w:sz w:val="20"/>
    </w:rPr>
  </w:style>
  <w:style w:type="paragraph" w:customStyle="1" w:styleId="paragraphsub">
    <w:name w:val="paragraph(sub)"/>
    <w:aliases w:val="aa"/>
    <w:basedOn w:val="OPCParaBase"/>
    <w:semiHidden/>
    <w:rsid w:val="00571CE4"/>
    <w:pPr>
      <w:tabs>
        <w:tab w:val="right" w:pos="1985"/>
      </w:tabs>
      <w:spacing w:before="40" w:line="240" w:lineRule="auto"/>
      <w:ind w:left="2098" w:hanging="2098"/>
    </w:pPr>
  </w:style>
  <w:style w:type="paragraph" w:customStyle="1" w:styleId="paragraphsub-sub">
    <w:name w:val="paragraph(sub-sub)"/>
    <w:aliases w:val="aaa"/>
    <w:basedOn w:val="OPCParaBase"/>
    <w:semiHidden/>
    <w:rsid w:val="00571CE4"/>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571CE4"/>
    <w:pPr>
      <w:spacing w:before="240" w:line="240" w:lineRule="auto"/>
      <w:ind w:left="1701" w:hanging="567"/>
    </w:pPr>
    <w:rPr>
      <w:sz w:val="24"/>
      <w:szCs w:val="24"/>
    </w:rPr>
  </w:style>
  <w:style w:type="paragraph" w:customStyle="1" w:styleId="ParlAmend">
    <w:name w:val="ParlAmend"/>
    <w:aliases w:val="pp"/>
    <w:basedOn w:val="OPCParaBase"/>
    <w:semiHidden/>
    <w:rsid w:val="00571CE4"/>
    <w:pPr>
      <w:spacing w:before="240" w:line="240" w:lineRule="atLeast"/>
      <w:ind w:hanging="567"/>
    </w:pPr>
    <w:rPr>
      <w:sz w:val="24"/>
    </w:rPr>
  </w:style>
  <w:style w:type="paragraph" w:customStyle="1" w:styleId="Penalty">
    <w:name w:val="Penalty"/>
    <w:basedOn w:val="OPCParaBase"/>
    <w:semiHidden/>
    <w:rsid w:val="00571CE4"/>
    <w:pPr>
      <w:tabs>
        <w:tab w:val="left" w:pos="2977"/>
      </w:tabs>
      <w:spacing w:before="180" w:line="240" w:lineRule="auto"/>
      <w:ind w:left="1985" w:hanging="851"/>
    </w:pPr>
  </w:style>
  <w:style w:type="paragraph" w:customStyle="1" w:styleId="Portfolio">
    <w:name w:val="Portfolio"/>
    <w:basedOn w:val="OPCParaBase"/>
    <w:semiHidden/>
    <w:rsid w:val="00571CE4"/>
    <w:pPr>
      <w:spacing w:line="240" w:lineRule="auto"/>
    </w:pPr>
    <w:rPr>
      <w:i/>
      <w:sz w:val="20"/>
    </w:rPr>
  </w:style>
  <w:style w:type="paragraph" w:customStyle="1" w:styleId="Preamble">
    <w:name w:val="Preamble"/>
    <w:basedOn w:val="OPCParaBase"/>
    <w:next w:val="Normal"/>
    <w:semiHidden/>
    <w:rsid w:val="00571CE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571CE4"/>
    <w:pPr>
      <w:spacing w:line="240" w:lineRule="auto"/>
    </w:pPr>
    <w:rPr>
      <w:i/>
      <w:sz w:val="20"/>
    </w:rPr>
  </w:style>
  <w:style w:type="paragraph" w:customStyle="1" w:styleId="Session">
    <w:name w:val="Session"/>
    <w:basedOn w:val="OPCParaBase"/>
    <w:semiHidden/>
    <w:rsid w:val="00571CE4"/>
    <w:pPr>
      <w:spacing w:line="240" w:lineRule="auto"/>
    </w:pPr>
    <w:rPr>
      <w:sz w:val="28"/>
    </w:rPr>
  </w:style>
  <w:style w:type="paragraph" w:customStyle="1" w:styleId="Sponsor">
    <w:name w:val="Sponsor"/>
    <w:basedOn w:val="OPCParaBase"/>
    <w:semiHidden/>
    <w:rsid w:val="00571CE4"/>
    <w:pPr>
      <w:spacing w:line="240" w:lineRule="auto"/>
    </w:pPr>
    <w:rPr>
      <w:i/>
    </w:rPr>
  </w:style>
  <w:style w:type="paragraph" w:customStyle="1" w:styleId="Subitem">
    <w:name w:val="Subitem"/>
    <w:aliases w:val="iss"/>
    <w:basedOn w:val="OPCParaBase"/>
    <w:semiHidden/>
    <w:rsid w:val="00571CE4"/>
    <w:pPr>
      <w:spacing w:before="180" w:line="240" w:lineRule="auto"/>
      <w:ind w:left="709" w:hanging="709"/>
    </w:pPr>
  </w:style>
  <w:style w:type="paragraph" w:customStyle="1" w:styleId="SubitemHead">
    <w:name w:val="SubitemHead"/>
    <w:aliases w:val="issh"/>
    <w:basedOn w:val="OPCParaBase"/>
    <w:semiHidden/>
    <w:rsid w:val="00571CE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571CE4"/>
    <w:pPr>
      <w:spacing w:before="40" w:line="240" w:lineRule="auto"/>
      <w:ind w:left="1134"/>
    </w:pPr>
  </w:style>
  <w:style w:type="paragraph" w:customStyle="1" w:styleId="LI-Heading3">
    <w:name w:val="LI - Heading 3"/>
    <w:basedOn w:val="OPCParaBase"/>
    <w:next w:val="LI-BodyTextUnnumbered"/>
    <w:rsid w:val="00571CE4"/>
    <w:pPr>
      <w:keepNext/>
      <w:keepLines/>
      <w:spacing w:before="240" w:line="240" w:lineRule="auto"/>
      <w:ind w:left="567"/>
      <w:outlineLvl w:val="2"/>
    </w:pPr>
    <w:rPr>
      <w:i/>
    </w:rPr>
  </w:style>
  <w:style w:type="paragraph" w:customStyle="1" w:styleId="Tablea">
    <w:name w:val="Table(a)"/>
    <w:aliases w:val="ta"/>
    <w:basedOn w:val="OPCParaBase"/>
    <w:semiHidden/>
    <w:rsid w:val="00571CE4"/>
    <w:pPr>
      <w:spacing w:before="60" w:line="240" w:lineRule="auto"/>
      <w:ind w:left="284" w:hanging="284"/>
    </w:pPr>
    <w:rPr>
      <w:sz w:val="20"/>
    </w:rPr>
  </w:style>
  <w:style w:type="paragraph" w:customStyle="1" w:styleId="TableAA">
    <w:name w:val="Table(AA)"/>
    <w:aliases w:val="taaa"/>
    <w:basedOn w:val="OPCParaBase"/>
    <w:semiHidden/>
    <w:rsid w:val="00571CE4"/>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571CE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571CE4"/>
    <w:pPr>
      <w:spacing w:before="60" w:line="240" w:lineRule="atLeast"/>
    </w:pPr>
    <w:rPr>
      <w:sz w:val="20"/>
    </w:rPr>
  </w:style>
  <w:style w:type="paragraph" w:customStyle="1" w:styleId="TLPBoxTextnote">
    <w:name w:val="TLPBoxText(note"/>
    <w:aliases w:val="right)"/>
    <w:basedOn w:val="OPCParaBase"/>
    <w:semiHidden/>
    <w:rsid w:val="00571CE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571CE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571CE4"/>
    <w:pPr>
      <w:spacing w:before="122" w:line="198" w:lineRule="exact"/>
      <w:ind w:left="1985" w:hanging="851"/>
      <w:jc w:val="right"/>
    </w:pPr>
    <w:rPr>
      <w:sz w:val="18"/>
    </w:rPr>
  </w:style>
  <w:style w:type="paragraph" w:customStyle="1" w:styleId="TLPTableBullet">
    <w:name w:val="TLPTableBullet"/>
    <w:aliases w:val="ttb"/>
    <w:basedOn w:val="OPCParaBase"/>
    <w:semiHidden/>
    <w:rsid w:val="00571CE4"/>
    <w:pPr>
      <w:spacing w:line="240" w:lineRule="exact"/>
      <w:ind w:left="284" w:hanging="284"/>
    </w:pPr>
    <w:rPr>
      <w:sz w:val="20"/>
    </w:rPr>
  </w:style>
  <w:style w:type="paragraph" w:styleId="TOC1">
    <w:name w:val="toc 1"/>
    <w:basedOn w:val="OPCParaBase"/>
    <w:next w:val="Normal"/>
    <w:uiPriority w:val="39"/>
    <w:unhideWhenUsed/>
    <w:rsid w:val="00571CE4"/>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571CE4"/>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571CE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571CE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71CE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571CE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71CE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71CE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571CE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571CE4"/>
    <w:pPr>
      <w:keepLines/>
      <w:spacing w:before="240" w:after="120" w:line="240" w:lineRule="auto"/>
      <w:ind w:left="794"/>
    </w:pPr>
    <w:rPr>
      <w:b/>
      <w:kern w:val="28"/>
      <w:sz w:val="20"/>
    </w:rPr>
  </w:style>
  <w:style w:type="paragraph" w:customStyle="1" w:styleId="TofSectsHeading">
    <w:name w:val="TofSects(Heading)"/>
    <w:basedOn w:val="OPCParaBase"/>
    <w:semiHidden/>
    <w:rsid w:val="00571CE4"/>
    <w:pPr>
      <w:spacing w:before="240" w:after="120" w:line="240" w:lineRule="auto"/>
    </w:pPr>
    <w:rPr>
      <w:b/>
      <w:sz w:val="24"/>
    </w:rPr>
  </w:style>
  <w:style w:type="paragraph" w:customStyle="1" w:styleId="TofSectsSection">
    <w:name w:val="TofSects(Section)"/>
    <w:basedOn w:val="OPCParaBase"/>
    <w:semiHidden/>
    <w:rsid w:val="00571CE4"/>
    <w:pPr>
      <w:keepLines/>
      <w:spacing w:before="40" w:line="240" w:lineRule="auto"/>
      <w:ind w:left="1588" w:hanging="794"/>
    </w:pPr>
    <w:rPr>
      <w:kern w:val="28"/>
      <w:sz w:val="18"/>
    </w:rPr>
  </w:style>
  <w:style w:type="paragraph" w:customStyle="1" w:styleId="TofSectsSubdiv">
    <w:name w:val="TofSects(Subdiv)"/>
    <w:basedOn w:val="OPCParaBase"/>
    <w:semiHidden/>
    <w:rsid w:val="00571CE4"/>
    <w:pPr>
      <w:keepLines/>
      <w:spacing w:before="80" w:line="240" w:lineRule="auto"/>
      <w:ind w:left="1588" w:hanging="794"/>
    </w:pPr>
    <w:rPr>
      <w:kern w:val="28"/>
    </w:rPr>
  </w:style>
  <w:style w:type="paragraph" w:customStyle="1" w:styleId="WRStyle">
    <w:name w:val="WR Style"/>
    <w:aliases w:val="WR"/>
    <w:basedOn w:val="OPCParaBase"/>
    <w:semiHidden/>
    <w:rsid w:val="00571CE4"/>
    <w:pPr>
      <w:spacing w:before="240" w:line="240" w:lineRule="auto"/>
      <w:ind w:left="284" w:hanging="284"/>
    </w:pPr>
    <w:rPr>
      <w:b/>
      <w:i/>
      <w:kern w:val="28"/>
      <w:sz w:val="24"/>
    </w:rPr>
  </w:style>
  <w:style w:type="paragraph" w:customStyle="1" w:styleId="notepara">
    <w:name w:val="note(para)"/>
    <w:aliases w:val="na"/>
    <w:basedOn w:val="OPCParaBase"/>
    <w:semiHidden/>
    <w:rsid w:val="00571CE4"/>
    <w:pPr>
      <w:spacing w:before="40" w:line="198" w:lineRule="exact"/>
      <w:ind w:left="2354" w:hanging="369"/>
    </w:pPr>
    <w:rPr>
      <w:sz w:val="18"/>
    </w:rPr>
  </w:style>
  <w:style w:type="paragraph" w:styleId="Footer">
    <w:name w:val="footer"/>
    <w:link w:val="FooterChar"/>
    <w:uiPriority w:val="99"/>
    <w:rsid w:val="00571CE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571CE4"/>
    <w:rPr>
      <w:rFonts w:ascii="Times New Roman" w:eastAsia="Times New Roman" w:hAnsi="Times New Roman" w:cs="Times New Roman"/>
      <w:szCs w:val="24"/>
      <w:lang w:eastAsia="en-AU"/>
    </w:rPr>
  </w:style>
  <w:style w:type="character" w:styleId="LineNumber">
    <w:name w:val="line number"/>
    <w:uiPriority w:val="99"/>
    <w:semiHidden/>
    <w:unhideWhenUsed/>
    <w:rsid w:val="00571CE4"/>
    <w:rPr>
      <w:sz w:val="16"/>
    </w:rPr>
  </w:style>
  <w:style w:type="table" w:customStyle="1" w:styleId="CFlag">
    <w:name w:val="CFlag"/>
    <w:basedOn w:val="TableNormal"/>
    <w:uiPriority w:val="99"/>
    <w:rsid w:val="00571CE4"/>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571C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CE4"/>
    <w:rPr>
      <w:rFonts w:ascii="Tahoma" w:eastAsia="Calibri" w:hAnsi="Tahoma" w:cs="Tahoma"/>
      <w:sz w:val="16"/>
      <w:szCs w:val="16"/>
    </w:rPr>
  </w:style>
  <w:style w:type="table" w:styleId="TableGrid">
    <w:name w:val="Table Grid"/>
    <w:basedOn w:val="TableNormal"/>
    <w:uiPriority w:val="59"/>
    <w:rsid w:val="00571CE4"/>
    <w:pPr>
      <w:spacing w:after="0" w:line="240" w:lineRule="auto"/>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571CE4"/>
    <w:rPr>
      <w:b/>
      <w:sz w:val="28"/>
      <w:szCs w:val="32"/>
    </w:rPr>
  </w:style>
  <w:style w:type="paragraph" w:customStyle="1" w:styleId="LegislationMadeUnder">
    <w:name w:val="LegislationMadeUnder"/>
    <w:basedOn w:val="OPCParaBase"/>
    <w:next w:val="Normal"/>
    <w:semiHidden/>
    <w:rsid w:val="00571CE4"/>
    <w:rPr>
      <w:i/>
      <w:sz w:val="32"/>
      <w:szCs w:val="32"/>
    </w:rPr>
  </w:style>
  <w:style w:type="paragraph" w:customStyle="1" w:styleId="SignCoverPageEnd">
    <w:name w:val="SignCoverPageEnd"/>
    <w:basedOn w:val="OPCParaBase"/>
    <w:next w:val="Normal"/>
    <w:semiHidden/>
    <w:rsid w:val="00571CE4"/>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1CE4"/>
    <w:pPr>
      <w:spacing w:before="240"/>
      <w:ind w:right="397"/>
    </w:pPr>
  </w:style>
  <w:style w:type="paragraph" w:customStyle="1" w:styleId="NotesHeading1">
    <w:name w:val="NotesHeading 1"/>
    <w:basedOn w:val="OPCParaBase"/>
    <w:next w:val="Normal"/>
    <w:semiHidden/>
    <w:rsid w:val="00571CE4"/>
    <w:pPr>
      <w:outlineLvl w:val="0"/>
    </w:pPr>
    <w:rPr>
      <w:b/>
      <w:sz w:val="28"/>
      <w:szCs w:val="28"/>
    </w:rPr>
  </w:style>
  <w:style w:type="paragraph" w:customStyle="1" w:styleId="NotesHeading2">
    <w:name w:val="NotesHeading 2"/>
    <w:basedOn w:val="OPCParaBase"/>
    <w:next w:val="Normal"/>
    <w:semiHidden/>
    <w:rsid w:val="00571CE4"/>
    <w:rPr>
      <w:b/>
      <w:sz w:val="28"/>
      <w:szCs w:val="28"/>
    </w:rPr>
  </w:style>
  <w:style w:type="paragraph" w:customStyle="1" w:styleId="CompiledActNo">
    <w:name w:val="CompiledActNo"/>
    <w:basedOn w:val="OPCParaBase"/>
    <w:next w:val="Normal"/>
    <w:semiHidden/>
    <w:rsid w:val="00571CE4"/>
    <w:rPr>
      <w:b/>
      <w:sz w:val="24"/>
      <w:szCs w:val="24"/>
    </w:rPr>
  </w:style>
  <w:style w:type="paragraph" w:customStyle="1" w:styleId="ENotesText">
    <w:name w:val="ENotesText"/>
    <w:aliases w:val="Ent"/>
    <w:basedOn w:val="OPCParaBase"/>
    <w:next w:val="Normal"/>
    <w:semiHidden/>
    <w:rsid w:val="00571CE4"/>
    <w:pPr>
      <w:spacing w:before="120"/>
    </w:pPr>
  </w:style>
  <w:style w:type="paragraph" w:customStyle="1" w:styleId="CompiledMadeUnder">
    <w:name w:val="CompiledMadeUnder"/>
    <w:basedOn w:val="OPCParaBase"/>
    <w:next w:val="Normal"/>
    <w:semiHidden/>
    <w:rsid w:val="00571CE4"/>
    <w:rPr>
      <w:i/>
      <w:sz w:val="24"/>
      <w:szCs w:val="24"/>
    </w:rPr>
  </w:style>
  <w:style w:type="paragraph" w:customStyle="1" w:styleId="Paragraphsub-sub-sub">
    <w:name w:val="Paragraph(sub-sub-sub)"/>
    <w:aliases w:val="aaaa"/>
    <w:basedOn w:val="OPCParaBase"/>
    <w:semiHidden/>
    <w:rsid w:val="00571CE4"/>
    <w:pPr>
      <w:tabs>
        <w:tab w:val="right" w:pos="3402"/>
      </w:tabs>
      <w:spacing w:before="40" w:line="240" w:lineRule="auto"/>
      <w:ind w:left="3402" w:hanging="3402"/>
    </w:pPr>
  </w:style>
  <w:style w:type="paragraph" w:customStyle="1" w:styleId="TableTextEndNotes">
    <w:name w:val="TableTextEndNotes"/>
    <w:aliases w:val="Tten"/>
    <w:basedOn w:val="Normal"/>
    <w:semiHidden/>
    <w:rsid w:val="00571CE4"/>
    <w:pPr>
      <w:spacing w:before="60" w:line="240" w:lineRule="auto"/>
    </w:pPr>
    <w:rPr>
      <w:rFonts w:cs="Arial"/>
      <w:sz w:val="20"/>
      <w:szCs w:val="22"/>
    </w:rPr>
  </w:style>
  <w:style w:type="paragraph" w:customStyle="1" w:styleId="NoteToSubpara">
    <w:name w:val="NoteToSubpara"/>
    <w:aliases w:val="nts"/>
    <w:basedOn w:val="OPCParaBase"/>
    <w:semiHidden/>
    <w:rsid w:val="00571CE4"/>
    <w:pPr>
      <w:spacing w:before="40" w:line="198" w:lineRule="exact"/>
      <w:ind w:left="2835" w:hanging="709"/>
    </w:pPr>
    <w:rPr>
      <w:sz w:val="18"/>
    </w:rPr>
  </w:style>
  <w:style w:type="paragraph" w:customStyle="1" w:styleId="ENoteTableHeading">
    <w:name w:val="ENoteTableHeading"/>
    <w:aliases w:val="enth"/>
    <w:basedOn w:val="OPCParaBase"/>
    <w:semiHidden/>
    <w:rsid w:val="00571CE4"/>
    <w:pPr>
      <w:keepNext/>
      <w:spacing w:before="60" w:line="240" w:lineRule="atLeast"/>
    </w:pPr>
    <w:rPr>
      <w:rFonts w:ascii="Arial" w:hAnsi="Arial"/>
      <w:b/>
      <w:sz w:val="16"/>
    </w:rPr>
  </w:style>
  <w:style w:type="paragraph" w:customStyle="1" w:styleId="ENoteTTi">
    <w:name w:val="ENoteTTi"/>
    <w:aliases w:val="entti"/>
    <w:basedOn w:val="OPCParaBase"/>
    <w:semiHidden/>
    <w:rsid w:val="00571CE4"/>
    <w:pPr>
      <w:keepNext/>
      <w:spacing w:before="60" w:line="240" w:lineRule="atLeast"/>
      <w:ind w:left="170"/>
    </w:pPr>
    <w:rPr>
      <w:sz w:val="16"/>
    </w:rPr>
  </w:style>
  <w:style w:type="paragraph" w:customStyle="1" w:styleId="ENotesHeading1">
    <w:name w:val="ENotesHeading 1"/>
    <w:aliases w:val="Enh1"/>
    <w:basedOn w:val="OPCParaBase"/>
    <w:next w:val="Normal"/>
    <w:semiHidden/>
    <w:rsid w:val="00571CE4"/>
    <w:pPr>
      <w:spacing w:before="120"/>
      <w:outlineLvl w:val="1"/>
    </w:pPr>
    <w:rPr>
      <w:b/>
      <w:sz w:val="28"/>
      <w:szCs w:val="28"/>
    </w:rPr>
  </w:style>
  <w:style w:type="paragraph" w:customStyle="1" w:styleId="ENotesHeading2">
    <w:name w:val="ENotesHeading 2"/>
    <w:aliases w:val="Enh2"/>
    <w:basedOn w:val="OPCParaBase"/>
    <w:next w:val="Normal"/>
    <w:semiHidden/>
    <w:rsid w:val="00571CE4"/>
    <w:pPr>
      <w:spacing w:before="120" w:after="120"/>
      <w:outlineLvl w:val="2"/>
    </w:pPr>
    <w:rPr>
      <w:b/>
      <w:sz w:val="24"/>
      <w:szCs w:val="28"/>
    </w:rPr>
  </w:style>
  <w:style w:type="paragraph" w:customStyle="1" w:styleId="ENoteTTIndentHeading">
    <w:name w:val="ENoteTTIndentHeading"/>
    <w:aliases w:val="enTTHi"/>
    <w:basedOn w:val="OPCParaBase"/>
    <w:semiHidden/>
    <w:rsid w:val="00571CE4"/>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571CE4"/>
    <w:pPr>
      <w:spacing w:before="60" w:line="240" w:lineRule="atLeast"/>
    </w:pPr>
    <w:rPr>
      <w:sz w:val="16"/>
    </w:rPr>
  </w:style>
  <w:style w:type="paragraph" w:customStyle="1" w:styleId="MadeunderText">
    <w:name w:val="MadeunderText"/>
    <w:basedOn w:val="OPCParaBase"/>
    <w:next w:val="CompiledMadeUnder"/>
    <w:semiHidden/>
    <w:rsid w:val="00571CE4"/>
    <w:pPr>
      <w:spacing w:before="240"/>
    </w:pPr>
    <w:rPr>
      <w:sz w:val="24"/>
      <w:szCs w:val="24"/>
    </w:rPr>
  </w:style>
  <w:style w:type="paragraph" w:customStyle="1" w:styleId="ENotesHeading3">
    <w:name w:val="ENotesHeading 3"/>
    <w:aliases w:val="Enh3"/>
    <w:basedOn w:val="OPCParaBase"/>
    <w:next w:val="Normal"/>
    <w:semiHidden/>
    <w:rsid w:val="00571CE4"/>
    <w:pPr>
      <w:keepNext/>
      <w:spacing w:before="120" w:line="240" w:lineRule="auto"/>
      <w:outlineLvl w:val="4"/>
    </w:pPr>
    <w:rPr>
      <w:b/>
      <w:szCs w:val="24"/>
    </w:rPr>
  </w:style>
  <w:style w:type="paragraph" w:customStyle="1" w:styleId="SubPartCASA">
    <w:name w:val="SubPart(CASA)"/>
    <w:aliases w:val="csp"/>
    <w:basedOn w:val="OPCParaBase"/>
    <w:next w:val="ActHead3"/>
    <w:semiHidden/>
    <w:rsid w:val="00571CE4"/>
    <w:pPr>
      <w:keepNext/>
      <w:keepLines/>
      <w:spacing w:before="280"/>
      <w:outlineLvl w:val="1"/>
    </w:pPr>
    <w:rPr>
      <w:b/>
      <w:kern w:val="28"/>
      <w:sz w:val="32"/>
    </w:rPr>
  </w:style>
  <w:style w:type="character" w:customStyle="1" w:styleId="CharSubPartTextCASA">
    <w:name w:val="CharSubPartText(CASA)"/>
    <w:basedOn w:val="OPCCharBase"/>
    <w:uiPriority w:val="1"/>
    <w:semiHidden/>
    <w:rsid w:val="00571CE4"/>
  </w:style>
  <w:style w:type="character" w:customStyle="1" w:styleId="CharSubPartNoCASA">
    <w:name w:val="CharSubPartNo(CASA)"/>
    <w:basedOn w:val="OPCCharBase"/>
    <w:uiPriority w:val="1"/>
    <w:semiHidden/>
    <w:rsid w:val="00571CE4"/>
  </w:style>
  <w:style w:type="paragraph" w:customStyle="1" w:styleId="ENoteTTIndentHeadingSub">
    <w:name w:val="ENoteTTIndentHeadingSub"/>
    <w:aliases w:val="enTTHis"/>
    <w:basedOn w:val="OPCParaBase"/>
    <w:semiHidden/>
    <w:rsid w:val="00571CE4"/>
    <w:pPr>
      <w:keepNext/>
      <w:spacing w:before="60" w:line="240" w:lineRule="atLeast"/>
      <w:ind w:left="340"/>
    </w:pPr>
    <w:rPr>
      <w:b/>
      <w:sz w:val="16"/>
    </w:rPr>
  </w:style>
  <w:style w:type="paragraph" w:customStyle="1" w:styleId="ENoteTTiSub">
    <w:name w:val="ENoteTTiSub"/>
    <w:aliases w:val="enttis"/>
    <w:basedOn w:val="OPCParaBase"/>
    <w:semiHidden/>
    <w:rsid w:val="00571CE4"/>
    <w:pPr>
      <w:keepNext/>
      <w:spacing w:before="60" w:line="240" w:lineRule="atLeast"/>
      <w:ind w:left="340"/>
    </w:pPr>
    <w:rPr>
      <w:sz w:val="16"/>
    </w:rPr>
  </w:style>
  <w:style w:type="paragraph" w:customStyle="1" w:styleId="SubDivisionMigration">
    <w:name w:val="SubDivisionMigration"/>
    <w:aliases w:val="sdm"/>
    <w:basedOn w:val="OPCParaBase"/>
    <w:semiHidden/>
    <w:rsid w:val="00571CE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571CE4"/>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1CE4"/>
    <w:pPr>
      <w:spacing w:before="200" w:line="240" w:lineRule="auto"/>
      <w:ind w:left="1701" w:hanging="567"/>
    </w:pPr>
    <w:rPr>
      <w:sz w:val="18"/>
    </w:rPr>
  </w:style>
  <w:style w:type="paragraph" w:customStyle="1" w:styleId="FreeForm">
    <w:name w:val="FreeForm"/>
    <w:rsid w:val="00571CE4"/>
    <w:pPr>
      <w:spacing w:after="0" w:line="240" w:lineRule="auto"/>
    </w:pPr>
    <w:rPr>
      <w:rFonts w:ascii="Arial" w:eastAsia="Calibri" w:hAnsi="Arial" w:cs="Times New Roman"/>
      <w:szCs w:val="20"/>
    </w:rPr>
  </w:style>
  <w:style w:type="paragraph" w:customStyle="1" w:styleId="SOText">
    <w:name w:val="SO Text"/>
    <w:aliases w:val="sot"/>
    <w:link w:val="SOTextChar"/>
    <w:semiHidden/>
    <w:rsid w:val="00571CE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Calibri" w:hAnsi="Times New Roman" w:cs="Times New Roman"/>
      <w:szCs w:val="20"/>
    </w:rPr>
  </w:style>
  <w:style w:type="character" w:customStyle="1" w:styleId="SOTextChar">
    <w:name w:val="SO Text Char"/>
    <w:aliases w:val="sot Char"/>
    <w:link w:val="SOText"/>
    <w:semiHidden/>
    <w:rsid w:val="00571CE4"/>
    <w:rPr>
      <w:rFonts w:ascii="Times New Roman" w:eastAsia="Calibri" w:hAnsi="Times New Roman" w:cs="Times New Roman"/>
      <w:szCs w:val="20"/>
    </w:rPr>
  </w:style>
  <w:style w:type="paragraph" w:customStyle="1" w:styleId="SOTextNote">
    <w:name w:val="SO TextNote"/>
    <w:aliases w:val="sont"/>
    <w:basedOn w:val="SOText"/>
    <w:semiHidden/>
    <w:qFormat/>
    <w:rsid w:val="00571CE4"/>
    <w:pPr>
      <w:spacing w:before="122" w:line="198" w:lineRule="exact"/>
      <w:ind w:left="1843" w:hanging="709"/>
    </w:pPr>
    <w:rPr>
      <w:sz w:val="18"/>
    </w:rPr>
  </w:style>
  <w:style w:type="paragraph" w:customStyle="1" w:styleId="SOPara">
    <w:name w:val="SO Para"/>
    <w:aliases w:val="soa"/>
    <w:basedOn w:val="SOText"/>
    <w:link w:val="SOParaChar"/>
    <w:semiHidden/>
    <w:qFormat/>
    <w:rsid w:val="00571CE4"/>
    <w:pPr>
      <w:tabs>
        <w:tab w:val="right" w:pos="1786"/>
      </w:tabs>
      <w:spacing w:before="40"/>
      <w:ind w:left="2070" w:hanging="936"/>
    </w:pPr>
  </w:style>
  <w:style w:type="character" w:customStyle="1" w:styleId="SOParaChar">
    <w:name w:val="SO Para Char"/>
    <w:aliases w:val="soa Char"/>
    <w:link w:val="SOPara"/>
    <w:semiHidden/>
    <w:rsid w:val="00571CE4"/>
    <w:rPr>
      <w:rFonts w:ascii="Times New Roman" w:eastAsia="Calibri" w:hAnsi="Times New Roman" w:cs="Times New Roman"/>
      <w:szCs w:val="20"/>
    </w:rPr>
  </w:style>
  <w:style w:type="paragraph" w:customStyle="1" w:styleId="FileName">
    <w:name w:val="FileName"/>
    <w:basedOn w:val="Normal"/>
    <w:semiHidden/>
    <w:rsid w:val="00571CE4"/>
  </w:style>
  <w:style w:type="paragraph" w:customStyle="1" w:styleId="TableHeading">
    <w:name w:val="TableHeading"/>
    <w:aliases w:val="th"/>
    <w:basedOn w:val="OPCParaBase"/>
    <w:next w:val="Tabletext"/>
    <w:semiHidden/>
    <w:rsid w:val="00571CE4"/>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571CE4"/>
    <w:rPr>
      <w:b/>
    </w:rPr>
  </w:style>
  <w:style w:type="character" w:customStyle="1" w:styleId="SOHeadBoldChar">
    <w:name w:val="SO HeadBold Char"/>
    <w:aliases w:val="sohb Char"/>
    <w:link w:val="SOHeadBold"/>
    <w:semiHidden/>
    <w:rsid w:val="00571CE4"/>
    <w:rPr>
      <w:rFonts w:ascii="Times New Roman" w:eastAsia="Calibri" w:hAnsi="Times New Roman" w:cs="Times New Roman"/>
      <w:b/>
      <w:szCs w:val="20"/>
    </w:rPr>
  </w:style>
  <w:style w:type="paragraph" w:customStyle="1" w:styleId="SOHeadItalic">
    <w:name w:val="SO HeadItalic"/>
    <w:aliases w:val="sohi"/>
    <w:basedOn w:val="SOText"/>
    <w:next w:val="SOText"/>
    <w:link w:val="SOHeadItalicChar"/>
    <w:semiHidden/>
    <w:qFormat/>
    <w:rsid w:val="00571CE4"/>
    <w:rPr>
      <w:i/>
    </w:rPr>
  </w:style>
  <w:style w:type="character" w:customStyle="1" w:styleId="SOHeadItalicChar">
    <w:name w:val="SO HeadItalic Char"/>
    <w:aliases w:val="sohi Char"/>
    <w:link w:val="SOHeadItalic"/>
    <w:semiHidden/>
    <w:rsid w:val="00571CE4"/>
    <w:rPr>
      <w:rFonts w:ascii="Times New Roman" w:eastAsia="Calibri" w:hAnsi="Times New Roman" w:cs="Times New Roman"/>
      <w:i/>
      <w:szCs w:val="20"/>
    </w:rPr>
  </w:style>
  <w:style w:type="paragraph" w:customStyle="1" w:styleId="SOBullet">
    <w:name w:val="SO Bullet"/>
    <w:aliases w:val="sotb"/>
    <w:basedOn w:val="SOText"/>
    <w:link w:val="SOBulletChar"/>
    <w:semiHidden/>
    <w:qFormat/>
    <w:rsid w:val="00571CE4"/>
    <w:pPr>
      <w:ind w:left="1559" w:hanging="425"/>
    </w:pPr>
  </w:style>
  <w:style w:type="character" w:customStyle="1" w:styleId="SOBulletChar">
    <w:name w:val="SO Bullet Char"/>
    <w:aliases w:val="sotb Char"/>
    <w:link w:val="SOBullet"/>
    <w:semiHidden/>
    <w:rsid w:val="00571CE4"/>
    <w:rPr>
      <w:rFonts w:ascii="Times New Roman" w:eastAsia="Calibri" w:hAnsi="Times New Roman" w:cs="Times New Roman"/>
      <w:szCs w:val="20"/>
    </w:rPr>
  </w:style>
  <w:style w:type="paragraph" w:customStyle="1" w:styleId="SOBulletNote">
    <w:name w:val="SO BulletNote"/>
    <w:aliases w:val="sonb"/>
    <w:basedOn w:val="SOTextNote"/>
    <w:link w:val="SOBulletNoteChar"/>
    <w:semiHidden/>
    <w:qFormat/>
    <w:rsid w:val="00571CE4"/>
    <w:pPr>
      <w:tabs>
        <w:tab w:val="left" w:pos="1560"/>
      </w:tabs>
      <w:ind w:left="2268" w:hanging="1134"/>
    </w:pPr>
  </w:style>
  <w:style w:type="character" w:customStyle="1" w:styleId="SOBulletNoteChar">
    <w:name w:val="SO BulletNote Char"/>
    <w:aliases w:val="sonb Char"/>
    <w:link w:val="SOBulletNote"/>
    <w:semiHidden/>
    <w:rsid w:val="00571CE4"/>
    <w:rPr>
      <w:rFonts w:ascii="Times New Roman" w:eastAsia="Calibri" w:hAnsi="Times New Roman" w:cs="Times New Roman"/>
      <w:sz w:val="18"/>
      <w:szCs w:val="20"/>
    </w:rPr>
  </w:style>
  <w:style w:type="paragraph" w:customStyle="1" w:styleId="SOText2">
    <w:name w:val="SO Text2"/>
    <w:aliases w:val="sot2"/>
    <w:basedOn w:val="Normal"/>
    <w:next w:val="SOText"/>
    <w:link w:val="SOText2Char"/>
    <w:semiHidden/>
    <w:rsid w:val="00571CE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71CE4"/>
    <w:rPr>
      <w:rFonts w:ascii="Times New Roman" w:eastAsia="Calibri" w:hAnsi="Times New Roman" w:cs="Times New Roman"/>
      <w:szCs w:val="20"/>
    </w:rPr>
  </w:style>
  <w:style w:type="paragraph" w:styleId="BodyText">
    <w:name w:val="Body Text"/>
    <w:link w:val="BodyTextChar"/>
    <w:semiHidden/>
    <w:rsid w:val="00571CE4"/>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571CE4"/>
    <w:rPr>
      <w:rFonts w:ascii="Times New Roman" w:eastAsia="Times New Roman" w:hAnsi="Times New Roman" w:cs="Times New Roman"/>
      <w:color w:val="000000"/>
      <w:sz w:val="24"/>
      <w:szCs w:val="20"/>
    </w:rPr>
  </w:style>
  <w:style w:type="paragraph" w:styleId="BodyTextIndent">
    <w:name w:val="Body Text Indent"/>
    <w:basedOn w:val="Normal"/>
    <w:link w:val="BodyTextIndentChar"/>
    <w:semiHidden/>
    <w:unhideWhenUsed/>
    <w:rsid w:val="00571CE4"/>
    <w:pPr>
      <w:spacing w:after="120"/>
      <w:ind w:left="283"/>
    </w:pPr>
  </w:style>
  <w:style w:type="character" w:customStyle="1" w:styleId="BodyTextIndentChar">
    <w:name w:val="Body Text Indent Char"/>
    <w:basedOn w:val="DefaultParagraphFont"/>
    <w:link w:val="BodyTextIndent"/>
    <w:semiHidden/>
    <w:rsid w:val="00571CE4"/>
    <w:rPr>
      <w:rFonts w:ascii="Times New Roman" w:eastAsia="Calibri" w:hAnsi="Times New Roman" w:cs="Times New Roman"/>
      <w:szCs w:val="20"/>
    </w:rPr>
  </w:style>
  <w:style w:type="character" w:styleId="Hyperlink">
    <w:name w:val="Hyperlink"/>
    <w:uiPriority w:val="99"/>
    <w:rsid w:val="00571CE4"/>
    <w:rPr>
      <w:color w:val="0000FF"/>
      <w:u w:val="single"/>
    </w:rPr>
  </w:style>
  <w:style w:type="character" w:styleId="PageNumber">
    <w:name w:val="page number"/>
    <w:basedOn w:val="DefaultParagraphFont"/>
    <w:semiHidden/>
    <w:rsid w:val="00571CE4"/>
  </w:style>
  <w:style w:type="paragraph" w:customStyle="1" w:styleId="LI-BodyTextSubparai">
    <w:name w:val="LI - Body Text Subpara (i)"/>
    <w:basedOn w:val="LI-BodyTextParaa"/>
    <w:link w:val="LI-BodyTextSubparaiChar"/>
    <w:qFormat/>
    <w:rsid w:val="00571CE4"/>
    <w:pPr>
      <w:ind w:left="2268"/>
    </w:pPr>
  </w:style>
  <w:style w:type="paragraph" w:customStyle="1" w:styleId="LI-BodyTextSubsubparaA">
    <w:name w:val="LI - Body Text Subsubpara (A)"/>
    <w:basedOn w:val="LI-BodyTextParaa"/>
    <w:link w:val="LI-BodyTextSubsubparaAChar"/>
    <w:qFormat/>
    <w:rsid w:val="00571CE4"/>
    <w:pPr>
      <w:ind w:left="2835"/>
    </w:pPr>
  </w:style>
  <w:style w:type="character" w:customStyle="1" w:styleId="OPCParaBaseChar">
    <w:name w:val="OPCParaBase Char"/>
    <w:link w:val="OPCParaBase"/>
    <w:semiHidden/>
    <w:rsid w:val="00571CE4"/>
    <w:rPr>
      <w:rFonts w:ascii="Times New Roman" w:eastAsia="Times New Roman" w:hAnsi="Times New Roman" w:cs="Times New Roman"/>
      <w:szCs w:val="20"/>
      <w:lang w:eastAsia="en-AU"/>
    </w:rPr>
  </w:style>
  <w:style w:type="character" w:customStyle="1" w:styleId="LI-BodyTextParaaChar">
    <w:name w:val="LI - Body Text Para (a) Char"/>
    <w:link w:val="LI-BodyTextParaa"/>
    <w:rsid w:val="00571CE4"/>
    <w:rPr>
      <w:rFonts w:ascii="Times New Roman" w:eastAsia="Times New Roman" w:hAnsi="Times New Roman" w:cs="Times New Roman"/>
      <w:sz w:val="24"/>
      <w:szCs w:val="24"/>
      <w:lang w:eastAsia="en-AU"/>
    </w:rPr>
  </w:style>
  <w:style w:type="character" w:customStyle="1" w:styleId="LI-BodyTextSubparaiChar">
    <w:name w:val="LI - Body Text Subpara (i) Char"/>
    <w:basedOn w:val="LI-BodyTextParaaChar"/>
    <w:link w:val="LI-BodyTextSubparai"/>
    <w:rsid w:val="00571CE4"/>
    <w:rPr>
      <w:rFonts w:ascii="Times New Roman" w:eastAsia="Times New Roman" w:hAnsi="Times New Roman" w:cs="Times New Roman"/>
      <w:sz w:val="24"/>
      <w:szCs w:val="24"/>
      <w:lang w:eastAsia="en-AU"/>
    </w:rPr>
  </w:style>
  <w:style w:type="paragraph" w:customStyle="1" w:styleId="LI-BodyTextNumbered">
    <w:name w:val="LI - Body Text Numbered"/>
    <w:basedOn w:val="LI-BodyTextUnnumbered"/>
    <w:link w:val="LI-BodyTextNumberedChar"/>
    <w:qFormat/>
    <w:rsid w:val="00571CE4"/>
    <w:pPr>
      <w:ind w:hanging="567"/>
    </w:pPr>
    <w:rPr>
      <w:szCs w:val="24"/>
    </w:rPr>
  </w:style>
  <w:style w:type="character" w:customStyle="1" w:styleId="LI-BodyTextSubsubparaAChar">
    <w:name w:val="LI - Body Text Subsubpara (A) Char"/>
    <w:basedOn w:val="LI-BodyTextParaaChar"/>
    <w:link w:val="LI-BodyTextSubsubparaA"/>
    <w:rsid w:val="00571CE4"/>
    <w:rPr>
      <w:rFonts w:ascii="Times New Roman" w:eastAsia="Times New Roman" w:hAnsi="Times New Roman" w:cs="Times New Roman"/>
      <w:sz w:val="24"/>
      <w:szCs w:val="24"/>
      <w:lang w:eastAsia="en-AU"/>
    </w:rPr>
  </w:style>
  <w:style w:type="paragraph" w:customStyle="1" w:styleId="LI-Footer">
    <w:name w:val="LI - Footer"/>
    <w:basedOn w:val="Normal"/>
    <w:link w:val="LI-FooterChar"/>
    <w:qFormat/>
    <w:rsid w:val="00571CE4"/>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571CE4"/>
    <w:rPr>
      <w:rFonts w:ascii="Times New Roman" w:eastAsia="Times New Roman" w:hAnsi="Times New Roman" w:cs="Times New Roman"/>
      <w:sz w:val="24"/>
      <w:szCs w:val="20"/>
      <w:lang w:eastAsia="en-AU"/>
    </w:rPr>
  </w:style>
  <w:style w:type="character" w:customStyle="1" w:styleId="LI-BodyTextNumberedChar">
    <w:name w:val="LI - Body Text Numbered Char"/>
    <w:link w:val="LI-BodyTextNumbered"/>
    <w:rsid w:val="00571CE4"/>
    <w:rPr>
      <w:rFonts w:ascii="Times New Roman" w:eastAsia="Times New Roman" w:hAnsi="Times New Roman" w:cs="Times New Roman"/>
      <w:sz w:val="24"/>
      <w:szCs w:val="24"/>
      <w:lang w:eastAsia="en-AU"/>
    </w:rPr>
  </w:style>
  <w:style w:type="paragraph" w:customStyle="1" w:styleId="LI-SectionHeading">
    <w:name w:val="LI - Section Heading"/>
    <w:basedOn w:val="LI-BodyTextUnnumbered"/>
    <w:link w:val="LI-SectionHeadingChar"/>
    <w:qFormat/>
    <w:rsid w:val="00571CE4"/>
    <w:pPr>
      <w:ind w:left="2268" w:hanging="567"/>
    </w:pPr>
    <w:rPr>
      <w:b/>
      <w:szCs w:val="24"/>
    </w:rPr>
  </w:style>
  <w:style w:type="character" w:customStyle="1" w:styleId="LI-FooterChar">
    <w:name w:val="LI - Footer Char"/>
    <w:link w:val="LI-Footer"/>
    <w:rsid w:val="00571CE4"/>
    <w:rPr>
      <w:rFonts w:ascii="Times New Roman" w:eastAsia="Calibri" w:hAnsi="Times New Roman" w:cs="Times New Roman"/>
      <w:i/>
      <w:sz w:val="18"/>
      <w:szCs w:val="20"/>
    </w:rPr>
  </w:style>
  <w:style w:type="paragraph" w:customStyle="1" w:styleId="LI-SectionSubsectionText">
    <w:name w:val="LI - Section Subsection Text"/>
    <w:basedOn w:val="LI-BodyTextUnnumbered"/>
    <w:link w:val="LI-SectionSubsectionTextChar"/>
    <w:qFormat/>
    <w:rsid w:val="00571CE4"/>
    <w:pPr>
      <w:ind w:left="2268" w:hanging="567"/>
    </w:pPr>
    <w:rPr>
      <w:szCs w:val="24"/>
    </w:rPr>
  </w:style>
  <w:style w:type="character" w:customStyle="1" w:styleId="LI-SectionHeadingChar">
    <w:name w:val="LI - Section Heading Char"/>
    <w:link w:val="LI-SectionHeading"/>
    <w:rsid w:val="00571CE4"/>
    <w:rPr>
      <w:rFonts w:ascii="Times New Roman" w:eastAsia="Times New Roman" w:hAnsi="Times New Roman" w:cs="Times New Roman"/>
      <w:b/>
      <w:sz w:val="24"/>
      <w:szCs w:val="24"/>
      <w:lang w:eastAsia="en-AU"/>
    </w:rPr>
  </w:style>
  <w:style w:type="paragraph" w:customStyle="1" w:styleId="LI-SectionNote">
    <w:name w:val="LI - Section Note"/>
    <w:basedOn w:val="LI-BodyTextNote"/>
    <w:link w:val="LI-SectionNoteChar"/>
    <w:qFormat/>
    <w:rsid w:val="00571CE4"/>
    <w:pPr>
      <w:spacing w:before="240"/>
      <w:ind w:left="2835"/>
    </w:pPr>
  </w:style>
  <w:style w:type="character" w:customStyle="1" w:styleId="LI-SectionSubsectionTextChar">
    <w:name w:val="LI - Section Subsection Text Char"/>
    <w:link w:val="LI-SectionSubsectionText"/>
    <w:rsid w:val="00571CE4"/>
    <w:rPr>
      <w:rFonts w:ascii="Times New Roman" w:eastAsia="Times New Roman" w:hAnsi="Times New Roman" w:cs="Times New Roman"/>
      <w:sz w:val="24"/>
      <w:szCs w:val="24"/>
      <w:lang w:eastAsia="en-AU"/>
    </w:rPr>
  </w:style>
  <w:style w:type="paragraph" w:customStyle="1" w:styleId="LI-Sectionparaa">
    <w:name w:val="LI - Section para (a)"/>
    <w:basedOn w:val="LI-BodyTextUnnumbered"/>
    <w:link w:val="LI-SectionparaaChar"/>
    <w:qFormat/>
    <w:rsid w:val="00571CE4"/>
    <w:pPr>
      <w:ind w:left="2835" w:hanging="567"/>
    </w:pPr>
    <w:rPr>
      <w:szCs w:val="24"/>
    </w:rPr>
  </w:style>
  <w:style w:type="character" w:customStyle="1" w:styleId="LI-BodyTextNoteChar">
    <w:name w:val="LI - Body Text Note Char"/>
    <w:link w:val="LI-BodyTextNote"/>
    <w:rsid w:val="00571CE4"/>
    <w:rPr>
      <w:rFonts w:ascii="Times New Roman" w:eastAsia="Times New Roman" w:hAnsi="Times New Roman" w:cs="Times New Roman"/>
      <w:sz w:val="18"/>
      <w:szCs w:val="20"/>
      <w:lang w:eastAsia="en-AU"/>
    </w:rPr>
  </w:style>
  <w:style w:type="character" w:customStyle="1" w:styleId="LI-SectionNoteChar">
    <w:name w:val="LI - Section Note Char"/>
    <w:basedOn w:val="LI-BodyTextNoteChar"/>
    <w:link w:val="LI-SectionNote"/>
    <w:rsid w:val="00571CE4"/>
    <w:rPr>
      <w:rFonts w:ascii="Times New Roman" w:eastAsia="Times New Roman" w:hAnsi="Times New Roman" w:cs="Times New Roman"/>
      <w:sz w:val="18"/>
      <w:szCs w:val="20"/>
      <w:lang w:eastAsia="en-AU"/>
    </w:rPr>
  </w:style>
  <w:style w:type="paragraph" w:customStyle="1" w:styleId="LI-Sectionsubparai">
    <w:name w:val="LI - Section subpara (i)"/>
    <w:basedOn w:val="LI-BodyTextUnnumbered"/>
    <w:link w:val="LI-SectionsubparaiChar"/>
    <w:qFormat/>
    <w:rsid w:val="00571CE4"/>
    <w:pPr>
      <w:ind w:left="3402" w:hanging="567"/>
    </w:pPr>
    <w:rPr>
      <w:szCs w:val="24"/>
    </w:rPr>
  </w:style>
  <w:style w:type="character" w:customStyle="1" w:styleId="LI-SectionparaaChar">
    <w:name w:val="LI - Section para (a) Char"/>
    <w:link w:val="LI-Sectionparaa"/>
    <w:rsid w:val="00571CE4"/>
    <w:rPr>
      <w:rFonts w:ascii="Times New Roman" w:eastAsia="Times New Roman" w:hAnsi="Times New Roman" w:cs="Times New Roman"/>
      <w:sz w:val="24"/>
      <w:szCs w:val="24"/>
      <w:lang w:eastAsia="en-AU"/>
    </w:rPr>
  </w:style>
  <w:style w:type="paragraph" w:customStyle="1" w:styleId="LI-SectionsubsubparaA">
    <w:name w:val="LI - Section subsubpara (A)"/>
    <w:basedOn w:val="LI-BodyTextUnnumbered"/>
    <w:link w:val="LI-SectionsubsubparaAChar"/>
    <w:qFormat/>
    <w:rsid w:val="00571CE4"/>
    <w:pPr>
      <w:ind w:left="3969" w:hanging="567"/>
    </w:pPr>
    <w:rPr>
      <w:szCs w:val="24"/>
    </w:rPr>
  </w:style>
  <w:style w:type="character" w:customStyle="1" w:styleId="LI-SectionsubparaiChar">
    <w:name w:val="LI - Section subpara (i) Char"/>
    <w:link w:val="LI-Sectionsubparai"/>
    <w:rsid w:val="00571CE4"/>
    <w:rPr>
      <w:rFonts w:ascii="Times New Roman" w:eastAsia="Times New Roman" w:hAnsi="Times New Roman" w:cs="Times New Roman"/>
      <w:sz w:val="24"/>
      <w:szCs w:val="24"/>
      <w:lang w:eastAsia="en-AU"/>
    </w:rPr>
  </w:style>
  <w:style w:type="character" w:styleId="UnresolvedMention">
    <w:name w:val="Unresolved Mention"/>
    <w:uiPriority w:val="99"/>
    <w:semiHidden/>
    <w:unhideWhenUsed/>
    <w:rsid w:val="00571CE4"/>
    <w:rPr>
      <w:color w:val="605E5C"/>
      <w:shd w:val="clear" w:color="auto" w:fill="E1DFDD"/>
    </w:rPr>
  </w:style>
  <w:style w:type="character" w:customStyle="1" w:styleId="LI-SectionsubsubparaAChar">
    <w:name w:val="LI - Section subsubpara (A) Char"/>
    <w:link w:val="LI-SectionsubsubparaA"/>
    <w:rsid w:val="00571CE4"/>
    <w:rPr>
      <w:rFonts w:ascii="Times New Roman" w:eastAsia="Times New Roman" w:hAnsi="Times New Roman" w:cs="Times New Roman"/>
      <w:sz w:val="24"/>
      <w:szCs w:val="24"/>
      <w:lang w:eastAsia="en-AU"/>
    </w:rPr>
  </w:style>
  <w:style w:type="paragraph" w:customStyle="1" w:styleId="Default">
    <w:name w:val="Default"/>
    <w:rsid w:val="00571CE4"/>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 w:type="paragraph" w:customStyle="1" w:styleId="LI-SectionsubsubsubparaI">
    <w:name w:val="LI - Section subsubsubpara (I)"/>
    <w:basedOn w:val="LI-SectionsubsubparaA"/>
    <w:link w:val="LI-SectionsubsubsubparaIChar"/>
    <w:qFormat/>
    <w:rsid w:val="00571CE4"/>
    <w:pPr>
      <w:ind w:left="4536"/>
    </w:pPr>
  </w:style>
  <w:style w:type="character" w:customStyle="1" w:styleId="LI-SectionsubsubsubparaIChar">
    <w:name w:val="LI - Section subsubsubpara (I) Char"/>
    <w:basedOn w:val="LI-SectionsubsubparaAChar"/>
    <w:link w:val="LI-SectionsubsubsubparaI"/>
    <w:rsid w:val="00571CE4"/>
    <w:rPr>
      <w:rFonts w:ascii="Times New Roman" w:eastAsia="Times New Roman" w:hAnsi="Times New Roman" w:cs="Times New Roman"/>
      <w:sz w:val="24"/>
      <w:szCs w:val="24"/>
      <w:lang w:eastAsia="en-AU"/>
    </w:rPr>
  </w:style>
  <w:style w:type="character" w:styleId="CommentReference">
    <w:name w:val="annotation reference"/>
    <w:uiPriority w:val="99"/>
    <w:semiHidden/>
    <w:unhideWhenUsed/>
    <w:rsid w:val="00571CE4"/>
    <w:rPr>
      <w:sz w:val="16"/>
      <w:szCs w:val="16"/>
    </w:rPr>
  </w:style>
  <w:style w:type="paragraph" w:styleId="CommentText">
    <w:name w:val="annotation text"/>
    <w:basedOn w:val="Normal"/>
    <w:link w:val="CommentTextChar"/>
    <w:uiPriority w:val="99"/>
    <w:unhideWhenUsed/>
    <w:rsid w:val="00571CE4"/>
    <w:rPr>
      <w:sz w:val="20"/>
    </w:rPr>
  </w:style>
  <w:style w:type="character" w:customStyle="1" w:styleId="CommentTextChar">
    <w:name w:val="Comment Text Char"/>
    <w:basedOn w:val="DefaultParagraphFont"/>
    <w:link w:val="CommentText"/>
    <w:uiPriority w:val="99"/>
    <w:rsid w:val="00571CE4"/>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1CE4"/>
    <w:rPr>
      <w:b/>
      <w:bCs/>
    </w:rPr>
  </w:style>
  <w:style w:type="character" w:customStyle="1" w:styleId="CommentSubjectChar">
    <w:name w:val="Comment Subject Char"/>
    <w:basedOn w:val="CommentTextChar"/>
    <w:link w:val="CommentSubject"/>
    <w:uiPriority w:val="99"/>
    <w:semiHidden/>
    <w:rsid w:val="00571CE4"/>
    <w:rPr>
      <w:rFonts w:ascii="Times New Roman" w:eastAsia="Calibri" w:hAnsi="Times New Roman" w:cs="Times New Roman"/>
      <w:b/>
      <w:bCs/>
      <w:sz w:val="20"/>
      <w:szCs w:val="20"/>
    </w:rPr>
  </w:style>
  <w:style w:type="paragraph" w:customStyle="1" w:styleId="LI-Header">
    <w:name w:val="LI - Header"/>
    <w:basedOn w:val="LI-Footer"/>
    <w:link w:val="LI-HeaderChar"/>
    <w:qFormat/>
    <w:rsid w:val="00571CE4"/>
    <w:pPr>
      <w:pBdr>
        <w:top w:val="none" w:sz="0" w:space="0" w:color="auto"/>
        <w:bottom w:val="single" w:sz="4" w:space="1" w:color="auto"/>
      </w:pBdr>
      <w:jc w:val="right"/>
    </w:pPr>
  </w:style>
  <w:style w:type="paragraph" w:customStyle="1" w:styleId="LI-Subtitle">
    <w:name w:val="LI - Subtitle"/>
    <w:basedOn w:val="Normal"/>
    <w:link w:val="LI-SubtitleChar"/>
    <w:qFormat/>
    <w:rsid w:val="00571CE4"/>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571CE4"/>
    <w:rPr>
      <w:rFonts w:ascii="Times New Roman" w:eastAsia="Calibri" w:hAnsi="Times New Roman" w:cs="Times New Roman"/>
      <w:i/>
      <w:sz w:val="18"/>
      <w:szCs w:val="20"/>
    </w:rPr>
  </w:style>
  <w:style w:type="character" w:customStyle="1" w:styleId="LI-SubtitleChar">
    <w:name w:val="LI - Subtitle Char"/>
    <w:link w:val="LI-Subtitle"/>
    <w:rsid w:val="00571CE4"/>
    <w:rPr>
      <w:rFonts w:ascii="Times New Roman" w:eastAsia="Calibri" w:hAnsi="Times New Roman" w:cs="Times New Roman"/>
      <w:b/>
      <w:sz w:val="28"/>
      <w:szCs w:val="28"/>
      <w:lang w:eastAsia="en-AU"/>
    </w:rPr>
  </w:style>
  <w:style w:type="paragraph" w:styleId="ListParagraph">
    <w:name w:val="List Paragraph"/>
    <w:basedOn w:val="Normal"/>
    <w:uiPriority w:val="34"/>
    <w:qFormat/>
    <w:rsid w:val="00126231"/>
    <w:pPr>
      <w:ind w:left="720"/>
      <w:contextualSpacing/>
    </w:pPr>
  </w:style>
  <w:style w:type="paragraph" w:customStyle="1" w:styleId="default0">
    <w:name w:val="default"/>
    <w:basedOn w:val="Normal"/>
    <w:rsid w:val="000D2642"/>
    <w:pPr>
      <w:spacing w:before="100" w:beforeAutospacing="1" w:after="100" w:afterAutospacing="1" w:line="240" w:lineRule="auto"/>
    </w:pPr>
    <w:rPr>
      <w:rFonts w:eastAsia="Times New Roman"/>
      <w:sz w:val="24"/>
      <w:szCs w:val="24"/>
      <w:lang w:eastAsia="en-AU"/>
    </w:rPr>
  </w:style>
  <w:style w:type="paragraph" w:customStyle="1" w:styleId="subparaa">
    <w:name w:val="subparaa"/>
    <w:basedOn w:val="Normal"/>
    <w:rsid w:val="000D2642"/>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882D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75019">
      <w:bodyDiv w:val="1"/>
      <w:marLeft w:val="0"/>
      <w:marRight w:val="0"/>
      <w:marTop w:val="0"/>
      <w:marBottom w:val="0"/>
      <w:divBdr>
        <w:top w:val="none" w:sz="0" w:space="0" w:color="auto"/>
        <w:left w:val="none" w:sz="0" w:space="0" w:color="auto"/>
        <w:bottom w:val="none" w:sz="0" w:space="0" w:color="auto"/>
        <w:right w:val="none" w:sz="0" w:space="0" w:color="auto"/>
      </w:divBdr>
    </w:div>
    <w:div w:id="781386619">
      <w:bodyDiv w:val="1"/>
      <w:marLeft w:val="0"/>
      <w:marRight w:val="0"/>
      <w:marTop w:val="0"/>
      <w:marBottom w:val="0"/>
      <w:divBdr>
        <w:top w:val="none" w:sz="0" w:space="0" w:color="auto"/>
        <w:left w:val="none" w:sz="0" w:space="0" w:color="auto"/>
        <w:bottom w:val="none" w:sz="0" w:space="0" w:color="auto"/>
        <w:right w:val="none" w:sz="0" w:space="0" w:color="auto"/>
      </w:divBdr>
    </w:div>
    <w:div w:id="1026565141">
      <w:bodyDiv w:val="1"/>
      <w:marLeft w:val="0"/>
      <w:marRight w:val="0"/>
      <w:marTop w:val="0"/>
      <w:marBottom w:val="0"/>
      <w:divBdr>
        <w:top w:val="none" w:sz="0" w:space="0" w:color="auto"/>
        <w:left w:val="none" w:sz="0" w:space="0" w:color="auto"/>
        <w:bottom w:val="none" w:sz="0" w:space="0" w:color="auto"/>
        <w:right w:val="none" w:sz="0" w:space="0" w:color="auto"/>
      </w:divBdr>
    </w:div>
    <w:div w:id="1146386980">
      <w:bodyDiv w:val="1"/>
      <w:marLeft w:val="0"/>
      <w:marRight w:val="0"/>
      <w:marTop w:val="0"/>
      <w:marBottom w:val="0"/>
      <w:divBdr>
        <w:top w:val="none" w:sz="0" w:space="0" w:color="auto"/>
        <w:left w:val="none" w:sz="0" w:space="0" w:color="auto"/>
        <w:bottom w:val="none" w:sz="0" w:space="0" w:color="auto"/>
        <w:right w:val="none" w:sz="0" w:space="0" w:color="auto"/>
      </w:divBdr>
    </w:div>
    <w:div w:id="1430850989">
      <w:bodyDiv w:val="1"/>
      <w:marLeft w:val="0"/>
      <w:marRight w:val="0"/>
      <w:marTop w:val="0"/>
      <w:marBottom w:val="0"/>
      <w:divBdr>
        <w:top w:val="none" w:sz="0" w:space="0" w:color="auto"/>
        <w:left w:val="none" w:sz="0" w:space="0" w:color="auto"/>
        <w:bottom w:val="none" w:sz="0" w:space="0" w:color="auto"/>
        <w:right w:val="none" w:sz="0" w:space="0" w:color="auto"/>
      </w:divBdr>
    </w:div>
    <w:div w:id="21155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asic.gov.au/regulatory-resources/find-a-document/reports/rep-728-response-to-submissions-on-cp-360-corporate-collective-investment-vehicles-preparing-for-the-commencement-of-the-new-regime/"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3.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070CF02C939472418B110CD0C2EBAF96" ma:contentTypeVersion="5" ma:contentTypeDescription="Create a new document." ma:contentTypeScope="" ma:versionID="e7b541e52d539b508399f42d0b2d1d2f">
  <xsd:schema xmlns:xsd="http://www.w3.org/2001/XMLSchema" xmlns:xs="http://www.w3.org/2001/XMLSchema" xmlns:p="http://schemas.microsoft.com/office/2006/metadata/properties" xmlns:ns2="db2b92ca-6ed0-4085-802d-4c686a2e8c3f" xmlns:ns3="5143b441-730d-468e-9e7b-525a5337cbbc" targetNamespace="http://schemas.microsoft.com/office/2006/metadata/properties" ma:root="true" ma:fieldsID="d447121a0b1dfc7ef81954ba05d49cab" ns2:_="" ns3:_="">
    <xsd:import namespace="db2b92ca-6ed0-4085-802d-4c686a2e8c3f"/>
    <xsd:import namespace="5143b441-730d-468e-9e7b-525a5337cbbc"/>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element ref="ns3:ECMSP13CreatedBy" minOccurs="0"/>
                <xsd:element ref="ns3:ECMSP13ModifiedBy" minOccurs="0"/>
                <xsd:element ref="ns3:ECMSP13DocumentID" minOccurs="0"/>
                <xsd:element ref="ns3:ECMSP13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nillable="true"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b334f69-45e1-4103-b675-c51b5924abd7}"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b334f69-45e1-4103-b675-c51b5924abd7}"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ECMSP13CreatedBy" ma:index="17" nillable="true" ma:displayName="ECM SP13 Created By" ma:internalName="ECMSP13CreatedBy">
      <xsd:simpleType>
        <xsd:restriction base="dms:Text"/>
      </xsd:simpleType>
    </xsd:element>
    <xsd:element name="ECMSP13ModifiedBy" ma:index="18" nillable="true" ma:displayName="ECM SP13 Modified By" ma:internalName="ECMSP13ModifiedBy">
      <xsd:simpleType>
        <xsd:restriction base="dms:Text"/>
      </xsd:simpleType>
    </xsd:element>
    <xsd:element name="ECMSP13DocumentID" ma:index="19" nillable="true" ma:displayName="ECM SP13 Document ID" ma:internalName="ECMSP13DocumentID">
      <xsd:simpleType>
        <xsd:restriction base="dms:Text"/>
      </xsd:simpleType>
    </xsd:element>
    <xsd:element name="ECMSP13SecurityClassification" ma:index="20" nillable="true" ma:displayName="ECM SP13 Security Classification" ma:internalName="ECMSP13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 D O C U M E N T S ! 4 5 0 8 5 7 3 2 . 1 < / d o c u m e n t i d >  
     < s e n d e r i d > V I M A L S < / s e n d e r i d >  
     < s e n d e r e m a i l > S U B E T A . V I M A L A R A J A H @ A G S . G O V . A U < / s e n d e r e m a i l >  
     < l a s t m o d i f i e d > 2 0 2 2 - 0 6 - 3 0 T 1 6 : 1 4 : 0 0 . 0 0 0 0 0 0 0 + 1 0 : 0 0 < / l a s t m o d i f i e d >  
     < d a t a b a s e > D O C U M E N T S 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ECMSP13SecurityClassification xmlns="5143b441-730d-468e-9e7b-525a5337cbbc" xsi:nil="true"/>
    <ECMSP13ModifiedBy xmlns="5143b441-730d-468e-9e7b-525a5337cbbc" xsi:nil="true"/>
    <ECMSP13CreatedBy xmlns="5143b441-730d-468e-9e7b-525a5337cbbc" xsi:nil="true"/>
    <DocumentNotes xmlns="db2b92ca-6ed0-4085-802d-4c686a2e8c3f" xsi:nil="true"/>
    <NAPReason xmlns="db2b92ca-6ed0-4085-802d-4c686a2e8c3f" xsi:nil="true"/>
    <ECMSP13DocumentID xmlns="5143b441-730d-468e-9e7b-525a5337cbbc" xsi:nil="true"/>
    <_dlc_DocId xmlns="5143b441-730d-468e-9e7b-525a5337cbbc">000822-777346250-28044</_dlc_DocId>
    <_dlc_DocIdUrl xmlns="5143b441-730d-468e-9e7b-525a5337cbbc">
      <Url>https://asiclink.sharepoint.com/teams/000822/_layouts/15/DocIdRedir.aspx?ID=000822-777346250-28044</Url>
      <Description>000822-777346250-28044</Description>
    </_dlc_DocIdUrl>
  </documentManagement>
</p:properties>
</file>

<file path=customXml/itemProps1.xml><?xml version="1.0" encoding="utf-8"?>
<ds:datastoreItem xmlns:ds="http://schemas.openxmlformats.org/officeDocument/2006/customXml" ds:itemID="{87A0BBC0-E56F-4AF8-A2CB-7DC1079E4D79}">
  <ds:schemaRefs>
    <ds:schemaRef ds:uri="http://schemas.microsoft.com/sharepoint/events"/>
  </ds:schemaRefs>
</ds:datastoreItem>
</file>

<file path=customXml/itemProps2.xml><?xml version="1.0" encoding="utf-8"?>
<ds:datastoreItem xmlns:ds="http://schemas.openxmlformats.org/officeDocument/2006/customXml" ds:itemID="{E415B242-6A92-4885-8643-2992960983A7}">
  <ds:schemaRefs>
    <ds:schemaRef ds:uri="Microsoft.SharePoint.Taxonomy.ContentTypeSync"/>
  </ds:schemaRefs>
</ds:datastoreItem>
</file>

<file path=customXml/itemProps3.xml><?xml version="1.0" encoding="utf-8"?>
<ds:datastoreItem xmlns:ds="http://schemas.openxmlformats.org/officeDocument/2006/customXml" ds:itemID="{18A1B5F6-75A7-4BFD-9C3F-1062E6461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5108F-5A6E-4EC9-91DC-121407719196}">
  <ds:schemaRefs>
    <ds:schemaRef ds:uri="http://www.imanage.com/work/xmlschema"/>
  </ds:schemaRefs>
</ds:datastoreItem>
</file>

<file path=customXml/itemProps5.xml><?xml version="1.0" encoding="utf-8"?>
<ds:datastoreItem xmlns:ds="http://schemas.openxmlformats.org/officeDocument/2006/customXml" ds:itemID="{BD6CBF44-FC67-4A0A-BDE3-CD67E7B524DD}">
  <ds:schemaRefs>
    <ds:schemaRef ds:uri="http://schemas.microsoft.com/sharepoint/v3/contenttype/forms"/>
  </ds:schemaRefs>
</ds:datastoreItem>
</file>

<file path=customXml/itemProps6.xml><?xml version="1.0" encoding="utf-8"?>
<ds:datastoreItem xmlns:ds="http://schemas.openxmlformats.org/officeDocument/2006/customXml" ds:itemID="{8768A487-2BB8-4F05-9CCC-7410B8B8BB8C}">
  <ds:schemaRefs>
    <ds:schemaRef ds:uri="http://schemas.openxmlformats.org/officeDocument/2006/bibliography"/>
  </ds:schemaRefs>
</ds:datastoreItem>
</file>

<file path=customXml/itemProps7.xml><?xml version="1.0" encoding="utf-8"?>
<ds:datastoreItem xmlns:ds="http://schemas.openxmlformats.org/officeDocument/2006/customXml" ds:itemID="{F396F004-0482-4154-AA4C-7C2A758A778C}">
  <ds:schemaRefs>
    <ds:schemaRef ds:uri="http://schemas.microsoft.com/office/2006/metadata/properties"/>
    <ds:schemaRef ds:uri="http://schemas.microsoft.com/office/infopath/2007/PartnerControls"/>
    <ds:schemaRef ds:uri="db2b92ca-6ed0-4085-802d-4c686a2e8c3f"/>
    <ds:schemaRef ds:uri="5143b441-730d-468e-9e7b-525a5337cbb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Edmondson</dc:creator>
  <cp:keywords/>
  <dc:description/>
  <cp:lastModifiedBy>Narelle Kane</cp:lastModifiedBy>
  <cp:revision>3</cp:revision>
  <cp:lastPrinted>2022-05-23T04:34:00Z</cp:lastPrinted>
  <dcterms:created xsi:type="dcterms:W3CDTF">2022-07-01T05:07:00Z</dcterms:created>
  <dcterms:modified xsi:type="dcterms:W3CDTF">2022-07-01T05:09:00Z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0x010100B5F685A1365F544391EF8C813B164F3A006A0666AD55E74A4AA7B2AAEA6C351A6000070CF02C939472418B110CD0C2EBAF96</vt:lpwstr>
  </property>
  <property fmtid="{D5CDD505-2E9C-101B-9397-08002B2CF9AE}" pid="3" name="RecordPoint_ActiveItemUniqueId">
    <vt:lpwstr>{7f8c2f9d-5b92-4c38-8b88-499156014282}</vt:lpwstr>
  </property>
  <property fmtid="{D5CDD505-2E9C-101B-9397-08002B2CF9AE}" pid="4" name="RecordPoint_SubmissionCompleted">
    <vt:lpwstr>2021-01-04T17:00:14.0670489+11:00</vt:lpwstr>
  </property>
  <property fmtid="{D5CDD505-2E9C-101B-9397-08002B2CF9AE}" pid="5" name="SecurityClassification">
    <vt:lpwstr>1;#OFFICIAL - Sensitive|6eccc17f-024b-41b0-b6b1-faf98d2aff85</vt:lpwstr>
  </property>
  <property fmtid="{D5CDD505-2E9C-101B-9397-08002B2CF9AE}" pid="6" name="RecordPoint_WorkflowType">
    <vt:lpwstr>ActiveSubmitStub</vt:lpwstr>
  </property>
  <property fmtid="{D5CDD505-2E9C-101B-9397-08002B2CF9AE}" pid="7" name="RecordPoint_ActiveItemWebId">
    <vt:lpwstr>{6fdf923d-1605-456d-9034-49e4c2a6593d}</vt:lpwstr>
  </property>
  <property fmtid="{D5CDD505-2E9C-101B-9397-08002B2CF9AE}" pid="8" name="RecordPoint_ActiveItemSiteId">
    <vt:lpwstr>{fa96e6fb-4129-44b7-b105-10ec3844cb78}</vt:lpwstr>
  </property>
  <property fmtid="{D5CDD505-2E9C-101B-9397-08002B2CF9AE}" pid="9" name="RecordPoint_ActiveItemListId">
    <vt:lpwstr>{e8634c1b-1868-4a02-8de8-ef4b1316a551}</vt:lpwstr>
  </property>
  <property fmtid="{D5CDD505-2E9C-101B-9397-08002B2CF9AE}" pid="10" name="RecordPoint_RecordNumberSubmitted">
    <vt:lpwstr>R20200000754289</vt:lpwstr>
  </property>
  <property fmtid="{D5CDD505-2E9C-101B-9397-08002B2CF9AE}" pid="11" name="checkforsharepointfields">
    <vt:lpwstr>True</vt:lpwstr>
  </property>
  <property fmtid="{D5CDD505-2E9C-101B-9397-08002B2CF9AE}" pid="12" name="Template Filename">
    <vt:lpwstr/>
  </property>
  <property fmtid="{D5CDD505-2E9C-101B-9397-08002B2CF9AE}" pid="13" name="ObjectiveRef">
    <vt:lpwstr>Removed</vt:lpwstr>
  </property>
  <property fmtid="{D5CDD505-2E9C-101B-9397-08002B2CF9AE}" pid="14" name="iManageRef">
    <vt:lpwstr>Updated</vt:lpwstr>
  </property>
  <property fmtid="{D5CDD505-2E9C-101B-9397-08002B2CF9AE}" pid="15" name="LeadingLawyers">
    <vt:lpwstr>Removed</vt:lpwstr>
  </property>
  <property fmtid="{D5CDD505-2E9C-101B-9397-08002B2CF9AE}" pid="16" name="Fileset search keywords">
    <vt:lpwstr/>
  </property>
  <property fmtid="{D5CDD505-2E9C-101B-9397-08002B2CF9AE}" pid="17" name="IMSFilesetEntity">
    <vt:lpwstr/>
  </property>
  <property fmtid="{D5CDD505-2E9C-101B-9397-08002B2CF9AE}" pid="18" name="j9a53d7fe1554b91b170ef98e3957baf">
    <vt:lpwstr/>
  </property>
  <property fmtid="{D5CDD505-2E9C-101B-9397-08002B2CF9AE}" pid="19" name="e3d6af94617946d9813caf87b95826d7">
    <vt:lpwstr/>
  </property>
  <property fmtid="{D5CDD505-2E9C-101B-9397-08002B2CF9AE}" pid="20" name="k9c390b121b84919acb0b9151690da40">
    <vt:lpwstr/>
  </property>
  <property fmtid="{D5CDD505-2E9C-101B-9397-08002B2CF9AE}" pid="21" name="IMSFilesetProductType">
    <vt:lpwstr/>
  </property>
  <property fmtid="{D5CDD505-2E9C-101B-9397-08002B2CF9AE}" pid="22" name="_dlc_DocIdItemGuid">
    <vt:lpwstr>f3d7d395-48f0-4f7c-9fe8-a4fd039d3aa5</vt:lpwstr>
  </property>
  <property fmtid="{D5CDD505-2E9C-101B-9397-08002B2CF9AE}" pid="23" name="f51ae816e01b4965a21cde6183109b29">
    <vt:lpwstr/>
  </property>
  <property fmtid="{D5CDD505-2E9C-101B-9397-08002B2CF9AE}" pid="24" name="File_x0020_search_x0020_keywords">
    <vt:lpwstr/>
  </property>
  <property fmtid="{D5CDD505-2E9C-101B-9397-08002B2CF9AE}" pid="25" name="IMS_x0020_Precedent">
    <vt:lpwstr/>
  </property>
  <property fmtid="{D5CDD505-2E9C-101B-9397-08002B2CF9AE}" pid="26" name="ga26016f869e4783a544bf28ac019362">
    <vt:lpwstr/>
  </property>
  <property fmtid="{D5CDD505-2E9C-101B-9397-08002B2CF9AE}" pid="27" name="IMSEntity">
    <vt:lpwstr/>
  </property>
  <property fmtid="{D5CDD505-2E9C-101B-9397-08002B2CF9AE}" pid="28" name="f4c29409d90b4a578b768720fd07bb93">
    <vt:lpwstr/>
  </property>
  <property fmtid="{D5CDD505-2E9C-101B-9397-08002B2CF9AE}" pid="29" name="IMSDocumentType">
    <vt:lpwstr/>
  </property>
  <property fmtid="{D5CDD505-2E9C-101B-9397-08002B2CF9AE}" pid="30" name="o370174a30b54570b9bc2a9201a399da">
    <vt:lpwstr/>
  </property>
  <property fmtid="{D5CDD505-2E9C-101B-9397-08002B2CF9AE}" pid="31" name="IMSProductType">
    <vt:lpwstr/>
  </property>
  <property fmtid="{D5CDD505-2E9C-101B-9397-08002B2CF9AE}" pid="32" name="af3f57e54dba403ca4ebb14e4094a9d8">
    <vt:lpwstr/>
  </property>
  <property fmtid="{D5CDD505-2E9C-101B-9397-08002B2CF9AE}" pid="33" name="n984d001a78f4b1f81661dbc6638eecd">
    <vt:lpwstr/>
  </property>
  <property fmtid="{D5CDD505-2E9C-101B-9397-08002B2CF9AE}" pid="34" name="hb3476fe0c25428da9d0464ead195eef">
    <vt:lpwstr/>
  </property>
  <property fmtid="{D5CDD505-2E9C-101B-9397-08002B2CF9AE}" pid="35" name="PrimaryJurisction">
    <vt:lpwstr/>
  </property>
  <property fmtid="{D5CDD505-2E9C-101B-9397-08002B2CF9AE}" pid="36" name="SecondaryJurisdiction">
    <vt:lpwstr/>
  </property>
  <property fmtid="{D5CDD505-2E9C-101B-9397-08002B2CF9AE}" pid="37" name="File search keywords">
    <vt:lpwstr/>
  </property>
  <property fmtid="{D5CDD505-2E9C-101B-9397-08002B2CF9AE}" pid="38" name="IMS Precedent">
    <vt:lpwstr/>
  </property>
  <property fmtid="{D5CDD505-2E9C-101B-9397-08002B2CF9AE}" pid="39" name="MSIP_Label_a6aead41-07f8-4767-ac8e-ef1c9c793766_Enabled">
    <vt:lpwstr>true</vt:lpwstr>
  </property>
  <property fmtid="{D5CDD505-2E9C-101B-9397-08002B2CF9AE}" pid="40" name="MSIP_Label_a6aead41-07f8-4767-ac8e-ef1c9c793766_SetDate">
    <vt:lpwstr>2022-06-21T01:36:18Z</vt:lpwstr>
  </property>
  <property fmtid="{D5CDD505-2E9C-101B-9397-08002B2CF9AE}" pid="41" name="MSIP_Label_a6aead41-07f8-4767-ac8e-ef1c9c793766_Method">
    <vt:lpwstr>Standard</vt:lpwstr>
  </property>
  <property fmtid="{D5CDD505-2E9C-101B-9397-08002B2CF9AE}" pid="42" name="MSIP_Label_a6aead41-07f8-4767-ac8e-ef1c9c793766_Name">
    <vt:lpwstr>OFFICIAL</vt:lpwstr>
  </property>
  <property fmtid="{D5CDD505-2E9C-101B-9397-08002B2CF9AE}" pid="43" name="MSIP_Label_a6aead41-07f8-4767-ac8e-ef1c9c793766_SiteId">
    <vt:lpwstr>5f1de7c6-55cd-4bb2-902d-514c78cf10f4</vt:lpwstr>
  </property>
  <property fmtid="{D5CDD505-2E9C-101B-9397-08002B2CF9AE}" pid="44" name="MSIP_Label_a6aead41-07f8-4767-ac8e-ef1c9c793766_ActionId">
    <vt:lpwstr>0b5a241f-435f-4505-8342-505d474e439a</vt:lpwstr>
  </property>
  <property fmtid="{D5CDD505-2E9C-101B-9397-08002B2CF9AE}" pid="45" name="MSIP_Label_a6aead41-07f8-4767-ac8e-ef1c9c793766_ContentBits">
    <vt:lpwstr>0</vt:lpwstr>
  </property>
</Properties>
</file>