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14863" w14:textId="77777777" w:rsidR="00134DD6" w:rsidRPr="005F2A8C" w:rsidRDefault="00134DD6" w:rsidP="00134DD6">
      <w:pPr>
        <w:spacing w:before="120" w:after="120"/>
        <w:jc w:val="both"/>
        <w:rPr>
          <w:b/>
          <w:lang w:val="en-AU" w:eastAsia="en-GB" w:bidi="ar-SA"/>
        </w:rPr>
      </w:pPr>
      <w:r>
        <w:rPr>
          <w:b/>
          <w:lang w:val="en-AU" w:eastAsia="en-GB" w:bidi="ar-SA"/>
        </w:rPr>
        <w:t>1.</w:t>
      </w:r>
      <w:r>
        <w:rPr>
          <w:b/>
          <w:lang w:val="en-AU" w:eastAsia="en-GB" w:bidi="ar-SA"/>
        </w:rPr>
        <w:tab/>
        <w:t>Authority</w:t>
      </w:r>
    </w:p>
    <w:p w14:paraId="48B14864" w14:textId="77777777" w:rsidR="00134DD6" w:rsidRPr="000E1758" w:rsidRDefault="00134DD6" w:rsidP="00134DD6">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Pr>
          <w:rFonts w:eastAsia="Calibri" w:cs="Arial"/>
          <w:bCs/>
          <w:szCs w:val="22"/>
          <w:lang w:val="en-AU" w:bidi="ar-SA"/>
        </w:rPr>
        <w:t xml:space="preserve"> (the Code).</w:t>
      </w:r>
    </w:p>
    <w:p w14:paraId="48B14865" w14:textId="77777777" w:rsidR="00134DD6" w:rsidRPr="000E1758" w:rsidRDefault="00134DD6" w:rsidP="00134DD6">
      <w:pPr>
        <w:widowControl/>
        <w:autoSpaceDE w:val="0"/>
        <w:autoSpaceDN w:val="0"/>
        <w:adjustRightInd w:val="0"/>
        <w:spacing w:before="120" w:after="120"/>
        <w:jc w:val="both"/>
        <w:rPr>
          <w:rFonts w:eastAsia="Calibri" w:cs="Arial"/>
          <w:bCs/>
          <w:szCs w:val="22"/>
          <w:lang w:val="en-AU" w:bidi="ar-SA"/>
        </w:rPr>
      </w:pPr>
      <w:r w:rsidRPr="000E1758">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w:t>
      </w:r>
      <w:r>
        <w:rPr>
          <w:rFonts w:eastAsia="Calibri" w:cs="Arial"/>
          <w:bCs/>
          <w:szCs w:val="22"/>
          <w:lang w:val="en-AU" w:bidi="ar-SA"/>
        </w:rPr>
        <w:t xml:space="preserve">n of food regulatory measures. </w:t>
      </w:r>
    </w:p>
    <w:p w14:paraId="48B14866" w14:textId="77777777" w:rsidR="00134DD6" w:rsidRPr="00D13E34" w:rsidRDefault="00134DD6" w:rsidP="00134DD6">
      <w:pPr>
        <w:widowControl/>
        <w:autoSpaceDE w:val="0"/>
        <w:autoSpaceDN w:val="0"/>
        <w:adjustRightInd w:val="0"/>
        <w:spacing w:before="120" w:after="120"/>
        <w:jc w:val="both"/>
        <w:rPr>
          <w:rFonts w:eastAsia="Calibri" w:cs="Arial"/>
          <w:bCs/>
          <w:szCs w:val="22"/>
          <w:lang w:val="en-AU" w:bidi="ar-SA"/>
        </w:rPr>
      </w:pPr>
      <w:r w:rsidRPr="000E1758">
        <w:rPr>
          <w:rFonts w:eastAsia="Calibri" w:cs="Arial"/>
          <w:bCs/>
          <w:szCs w:val="22"/>
          <w:lang w:val="en-AU" w:bidi="ar-SA"/>
        </w:rPr>
        <w:t xml:space="preserve">The Authority accepted </w:t>
      </w:r>
      <w:r w:rsidRPr="00953852">
        <w:rPr>
          <w:rFonts w:eastAsia="Calibri" w:cs="Arial"/>
          <w:bCs/>
          <w:szCs w:val="22"/>
          <w:lang w:val="en-AU" w:bidi="ar-SA"/>
        </w:rPr>
        <w:t>A1</w:t>
      </w:r>
      <w:r>
        <w:rPr>
          <w:rFonts w:eastAsia="Calibri" w:cs="Arial"/>
          <w:bCs/>
          <w:szCs w:val="22"/>
          <w:lang w:val="en-AU" w:bidi="ar-SA"/>
        </w:rPr>
        <w:t>233</w:t>
      </w:r>
      <w:r w:rsidRPr="000E1758">
        <w:rPr>
          <w:rFonts w:eastAsia="Calibri" w:cs="Arial"/>
          <w:bCs/>
          <w:szCs w:val="22"/>
          <w:lang w:val="en-AU" w:bidi="ar-SA"/>
        </w:rPr>
        <w:t xml:space="preserve"> which sought to </w:t>
      </w:r>
      <w:r w:rsidRPr="000E1758">
        <w:rPr>
          <w:szCs w:val="22"/>
        </w:rPr>
        <w:t xml:space="preserve">permit the voluntary addition of 2′-fucosyllactose (2′-FL) from a new </w:t>
      </w:r>
      <w:r w:rsidRPr="000E1758">
        <w:t>microbial source</w:t>
      </w:r>
      <w:r w:rsidRPr="000E1758">
        <w:rPr>
          <w:szCs w:val="22"/>
        </w:rPr>
        <w:t xml:space="preserve">, as a nutritive substance, to infant formula products. </w:t>
      </w:r>
      <w:r w:rsidRPr="000E1758">
        <w:rPr>
          <w:rFonts w:eastAsia="Calibri" w:cs="Arial"/>
          <w:bCs/>
          <w:szCs w:val="22"/>
          <w:lang w:val="en-AU" w:bidi="ar-SA"/>
        </w:rPr>
        <w:t xml:space="preserve">The Authority considered </w:t>
      </w:r>
      <w:r>
        <w:rPr>
          <w:rFonts w:eastAsia="Calibri" w:cs="Arial"/>
          <w:bCs/>
          <w:szCs w:val="22"/>
          <w:lang w:val="en-AU" w:bidi="ar-SA"/>
        </w:rPr>
        <w:t>the application</w:t>
      </w:r>
      <w:r w:rsidRPr="000E1758">
        <w:rPr>
          <w:rFonts w:eastAsia="Calibri" w:cs="Arial"/>
          <w:bCs/>
          <w:szCs w:val="22"/>
          <w:lang w:val="en-AU" w:bidi="ar-SA"/>
        </w:rPr>
        <w:t xml:space="preserve"> in accordance with Division 1 of Part 3 and </w:t>
      </w:r>
      <w:r>
        <w:rPr>
          <w:rFonts w:eastAsia="Calibri" w:cs="Arial"/>
          <w:bCs/>
          <w:szCs w:val="22"/>
          <w:lang w:val="en-AU" w:bidi="ar-SA"/>
        </w:rPr>
        <w:t xml:space="preserve">has approved a draft variation. </w:t>
      </w:r>
    </w:p>
    <w:p w14:paraId="48B14867" w14:textId="77777777" w:rsidR="00134DD6" w:rsidRPr="00D13E34" w:rsidRDefault="00134DD6" w:rsidP="00134DD6">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8B14868" w14:textId="77777777" w:rsidR="00134DD6" w:rsidRPr="00D00473" w:rsidRDefault="00134DD6" w:rsidP="00134DD6">
      <w:pPr>
        <w:widowControl/>
        <w:autoSpaceDE w:val="0"/>
        <w:autoSpaceDN w:val="0"/>
        <w:adjustRightInd w:val="0"/>
        <w:spacing w:before="0" w:beforeAutospacing="0" w:after="0" w:afterAutospacing="0"/>
        <w:rPr>
          <w:rFonts w:eastAsia="Calibri" w:cs="Arial"/>
          <w:b/>
          <w:bCs/>
          <w:szCs w:val="22"/>
          <w:lang w:val="en-AU" w:bidi="ar-SA"/>
        </w:rPr>
      </w:pPr>
      <w:r>
        <w:rPr>
          <w:rFonts w:eastAsia="Calibri" w:cs="Arial"/>
          <w:b/>
          <w:bCs/>
          <w:szCs w:val="22"/>
          <w:lang w:val="en-AU" w:bidi="ar-SA"/>
        </w:rPr>
        <w:t>2.</w:t>
      </w:r>
      <w:r>
        <w:rPr>
          <w:rFonts w:eastAsia="Calibri" w:cs="Arial"/>
          <w:b/>
          <w:bCs/>
          <w:szCs w:val="22"/>
          <w:lang w:val="en-AU" w:bidi="ar-SA"/>
        </w:rPr>
        <w:tab/>
      </w:r>
      <w:r w:rsidRPr="00D00473">
        <w:rPr>
          <w:rFonts w:eastAsia="Calibri" w:cs="Arial"/>
          <w:b/>
          <w:bCs/>
          <w:szCs w:val="22"/>
          <w:lang w:val="en-AU" w:bidi="ar-SA"/>
        </w:rPr>
        <w:t>Variation is a legislative instrument</w:t>
      </w:r>
    </w:p>
    <w:p w14:paraId="48B14869" w14:textId="77777777" w:rsidR="00134DD6" w:rsidRPr="00D00473" w:rsidRDefault="00134DD6" w:rsidP="00134DD6">
      <w:pPr>
        <w:spacing w:before="0" w:beforeAutospacing="0" w:after="0" w:afterAutospacing="0"/>
        <w:rPr>
          <w:rFonts w:eastAsia="Calibri" w:cs="Arial"/>
          <w:szCs w:val="22"/>
          <w:lang w:val="en-AU" w:bidi="ar-SA"/>
        </w:rPr>
      </w:pPr>
    </w:p>
    <w:p w14:paraId="48B1486A" w14:textId="77777777" w:rsidR="00134DD6" w:rsidRPr="00D00473" w:rsidRDefault="00134DD6" w:rsidP="00134DD6">
      <w:pPr>
        <w:spacing w:before="0" w:beforeAutospacing="0" w:after="0" w:afterAutospacing="0"/>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15" w:history="1">
        <w:r w:rsidRPr="00D00473">
          <w:rPr>
            <w:rFonts w:cs="Arial"/>
            <w:color w:val="3333FF"/>
            <w:u w:val="single"/>
          </w:rPr>
          <w:t>www.legislation.gov.au</w:t>
        </w:r>
      </w:hyperlink>
      <w:r w:rsidRPr="00D00473">
        <w:rPr>
          <w:rFonts w:cs="Arial"/>
        </w:rPr>
        <w:t>).</w:t>
      </w:r>
    </w:p>
    <w:p w14:paraId="48B1486B" w14:textId="77777777" w:rsidR="00134DD6" w:rsidRPr="00D00473" w:rsidRDefault="00134DD6" w:rsidP="00134DD6">
      <w:pPr>
        <w:spacing w:before="0" w:beforeAutospacing="0" w:after="0" w:afterAutospacing="0"/>
        <w:rPr>
          <w:rFonts w:cs="Arial"/>
        </w:rPr>
      </w:pPr>
    </w:p>
    <w:p w14:paraId="48B1486C" w14:textId="77777777" w:rsidR="00134DD6" w:rsidRPr="00FB45C7" w:rsidRDefault="00134DD6" w:rsidP="00134DD6">
      <w:pPr>
        <w:spacing w:before="0" w:beforeAutospacing="0" w:after="0" w:afterAutospacing="0"/>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lastRenderedPageBreak/>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48B1486D" w14:textId="77777777" w:rsidR="00134DD6" w:rsidRPr="00FB45C7" w:rsidRDefault="00134DD6" w:rsidP="00134DD6">
      <w:pPr>
        <w:spacing w:before="0" w:beforeAutospacing="0" w:after="0" w:afterAutospacing="0"/>
        <w:rPr>
          <w:rFonts w:cs="Arial"/>
          <w:color w:val="0000CC"/>
        </w:rPr>
      </w:pPr>
    </w:p>
    <w:p w14:paraId="48B1486E" w14:textId="77777777" w:rsidR="00134DD6" w:rsidRDefault="00134DD6" w:rsidP="00134DD6">
      <w:pPr>
        <w:widowControl/>
        <w:autoSpaceDE w:val="0"/>
        <w:autoSpaceDN w:val="0"/>
        <w:adjustRightInd w:val="0"/>
        <w:spacing w:before="0" w:beforeAutospacing="0" w:after="0" w:afterAutospacing="0"/>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8B1486F" w14:textId="77777777" w:rsidR="00134DD6" w:rsidRDefault="00134DD6" w:rsidP="00134DD6">
      <w:pPr>
        <w:widowControl/>
        <w:autoSpaceDE w:val="0"/>
        <w:autoSpaceDN w:val="0"/>
        <w:adjustRightInd w:val="0"/>
        <w:spacing w:before="0" w:beforeAutospacing="0" w:after="0" w:afterAutospacing="0"/>
        <w:rPr>
          <w:rFonts w:eastAsia="Calibri" w:cs="Arial"/>
          <w:color w:val="000000"/>
          <w:szCs w:val="22"/>
          <w:lang w:val="en-AU" w:bidi="ar-SA"/>
        </w:rPr>
      </w:pPr>
    </w:p>
    <w:p w14:paraId="48B14870" w14:textId="77777777" w:rsidR="00134DD6" w:rsidRDefault="00134DD6" w:rsidP="00134DD6">
      <w:pPr>
        <w:widowControl/>
        <w:autoSpaceDE w:val="0"/>
        <w:autoSpaceDN w:val="0"/>
        <w:adjustRightInd w:val="0"/>
        <w:spacing w:before="0" w:beforeAutospacing="0" w:after="0" w:afterAutospacing="0"/>
        <w:rPr>
          <w:rFonts w:eastAsia="Calibri" w:cs="Arial"/>
          <w:color w:val="000000"/>
          <w:szCs w:val="22"/>
          <w:lang w:val="en-AU" w:bidi="ar-SA"/>
        </w:rPr>
      </w:pPr>
    </w:p>
    <w:p w14:paraId="48B14871" w14:textId="53D00121" w:rsidR="00134DD6" w:rsidRDefault="00134DD6" w:rsidP="00134DD6">
      <w:pPr>
        <w:widowControl/>
        <w:autoSpaceDE w:val="0"/>
        <w:autoSpaceDN w:val="0"/>
        <w:adjustRightInd w:val="0"/>
        <w:spacing w:before="0" w:beforeAutospacing="0" w:after="0" w:afterAutospacing="0"/>
        <w:rPr>
          <w:rFonts w:eastAsia="Calibri" w:cs="Arial"/>
          <w:color w:val="000000"/>
          <w:szCs w:val="22"/>
          <w:lang w:val="en-AU" w:bidi="ar-SA"/>
        </w:rPr>
      </w:pPr>
    </w:p>
    <w:p w14:paraId="6DC8223B" w14:textId="4F81D5A3" w:rsidR="00E83C82" w:rsidRDefault="00E83C82" w:rsidP="00134DD6">
      <w:pPr>
        <w:widowControl/>
        <w:autoSpaceDE w:val="0"/>
        <w:autoSpaceDN w:val="0"/>
        <w:adjustRightInd w:val="0"/>
        <w:spacing w:before="0" w:beforeAutospacing="0" w:after="0" w:afterAutospacing="0"/>
        <w:rPr>
          <w:rFonts w:eastAsia="Calibri" w:cs="Arial"/>
          <w:color w:val="000000"/>
          <w:szCs w:val="22"/>
          <w:lang w:val="en-AU" w:bidi="ar-SA"/>
        </w:rPr>
      </w:pPr>
    </w:p>
    <w:p w14:paraId="42EDBB16" w14:textId="77777777" w:rsidR="00E83C82" w:rsidRPr="00D13E34" w:rsidRDefault="00E83C82" w:rsidP="00134DD6">
      <w:pPr>
        <w:widowControl/>
        <w:autoSpaceDE w:val="0"/>
        <w:autoSpaceDN w:val="0"/>
        <w:adjustRightInd w:val="0"/>
        <w:spacing w:before="0" w:beforeAutospacing="0" w:after="0" w:afterAutospacing="0"/>
        <w:rPr>
          <w:rFonts w:eastAsia="Calibri" w:cs="Arial"/>
          <w:color w:val="000000"/>
          <w:szCs w:val="22"/>
          <w:lang w:val="en-AU" w:bidi="ar-SA"/>
        </w:rPr>
      </w:pPr>
    </w:p>
    <w:p w14:paraId="48B14872" w14:textId="77777777" w:rsidR="00134DD6" w:rsidRPr="005F2A8C" w:rsidRDefault="00134DD6" w:rsidP="00134DD6">
      <w:pPr>
        <w:spacing w:before="120" w:after="120"/>
        <w:jc w:val="both"/>
        <w:rPr>
          <w:b/>
          <w:lang w:val="en-AU" w:eastAsia="en-GB" w:bidi="ar-SA"/>
        </w:rPr>
      </w:pPr>
      <w:r>
        <w:rPr>
          <w:b/>
          <w:lang w:val="en-AU" w:eastAsia="en-GB" w:bidi="ar-SA"/>
        </w:rPr>
        <w:lastRenderedPageBreak/>
        <w:t>3.</w:t>
      </w:r>
      <w:r>
        <w:rPr>
          <w:b/>
          <w:lang w:val="en-AU" w:eastAsia="en-GB" w:bidi="ar-SA"/>
        </w:rPr>
        <w:tab/>
        <w:t xml:space="preserve">Purpose </w:t>
      </w:r>
    </w:p>
    <w:p w14:paraId="48B14873" w14:textId="77777777" w:rsidR="00134DD6" w:rsidRDefault="00134DD6" w:rsidP="00134DD6">
      <w:pPr>
        <w:widowControl/>
        <w:spacing w:before="120" w:after="120"/>
        <w:jc w:val="both"/>
        <w:rPr>
          <w:lang w:val="en-AU" w:eastAsia="en-GB" w:bidi="ar-SA"/>
        </w:rPr>
      </w:pPr>
      <w:r w:rsidRPr="00C72AEF">
        <w:rPr>
          <w:lang w:eastAsia="en-GB"/>
        </w:rPr>
        <w:t xml:space="preserve">The purpose of the </w:t>
      </w:r>
      <w:r>
        <w:rPr>
          <w:lang w:eastAsia="en-GB"/>
        </w:rPr>
        <w:t xml:space="preserve">approved </w:t>
      </w:r>
      <w:r w:rsidRPr="00C72AEF">
        <w:rPr>
          <w:lang w:eastAsia="en-GB"/>
        </w:rPr>
        <w:t xml:space="preserve">draft variation is to </w:t>
      </w:r>
      <w:r>
        <w:rPr>
          <w:lang w:val="en-AU" w:eastAsia="en-GB" w:bidi="ar-SA"/>
        </w:rPr>
        <w:t>:</w:t>
      </w:r>
    </w:p>
    <w:p w14:paraId="48B14874" w14:textId="547FB8B3" w:rsidR="00134DD6" w:rsidRDefault="00134DD6" w:rsidP="00134DD6">
      <w:pPr>
        <w:pStyle w:val="FSBullet1"/>
        <w:widowControl/>
        <w:numPr>
          <w:ilvl w:val="0"/>
          <w:numId w:val="15"/>
        </w:numPr>
        <w:spacing w:before="120" w:after="120"/>
        <w:ind w:left="567" w:hanging="567"/>
        <w:jc w:val="both"/>
      </w:pPr>
      <w:r>
        <w:t>amend Schedule 26 of the Code to permit the addition of 2′-FL deri</w:t>
      </w:r>
      <w:r w:rsidR="001B7C0E">
        <w:t>ved from a new microbial source</w:t>
      </w:r>
      <w:r>
        <w:t xml:space="preserve"> in infant formula products subject to certain conditions, including an exclusive use period of 15 months for the applicant’s brand of 2′-FL; and</w:t>
      </w:r>
    </w:p>
    <w:p w14:paraId="48B14875" w14:textId="77777777" w:rsidR="00134DD6" w:rsidRPr="00EE15DC" w:rsidRDefault="00134DD6" w:rsidP="00134DD6">
      <w:pPr>
        <w:pStyle w:val="FSBullet1"/>
        <w:widowControl/>
        <w:numPr>
          <w:ilvl w:val="0"/>
          <w:numId w:val="15"/>
        </w:numPr>
        <w:spacing w:before="120" w:after="120"/>
        <w:ind w:left="567" w:hanging="567"/>
        <w:jc w:val="both"/>
      </w:pPr>
      <w:r>
        <w:t xml:space="preserve">amend Schedule 3 of the Code to set a </w:t>
      </w:r>
      <w:r w:rsidRPr="003D3411">
        <w:t xml:space="preserve">new specification for 2′-FL </w:t>
      </w:r>
      <w:r w:rsidRPr="007952E4">
        <w:t xml:space="preserve">sourced from </w:t>
      </w:r>
      <w:r w:rsidRPr="007952E4">
        <w:rPr>
          <w:i/>
        </w:rPr>
        <w:t>Escherichia coli</w:t>
      </w:r>
      <w:r w:rsidRPr="007952E4">
        <w:t xml:space="preserve"> K-12 </w:t>
      </w:r>
      <w:r>
        <w:t xml:space="preserve">containing the gene </w:t>
      </w:r>
      <w:r w:rsidRPr="009D1E8F">
        <w:t xml:space="preserve">for alpha-1,2-fucosyltransferase </w:t>
      </w:r>
      <w:r w:rsidRPr="007952E4">
        <w:t xml:space="preserve">from either </w:t>
      </w:r>
      <w:r w:rsidRPr="007952E4">
        <w:rPr>
          <w:i/>
        </w:rPr>
        <w:t>Helicobacter pylori</w:t>
      </w:r>
      <w:r w:rsidRPr="007952E4">
        <w:t xml:space="preserve"> or </w:t>
      </w:r>
      <w:r w:rsidRPr="007952E4">
        <w:rPr>
          <w:i/>
        </w:rPr>
        <w:t>Bacteroides vulgatus</w:t>
      </w:r>
      <w:r w:rsidRPr="003D3411">
        <w:t>.</w:t>
      </w:r>
    </w:p>
    <w:p w14:paraId="48B14876" w14:textId="77777777" w:rsidR="00134DD6" w:rsidRPr="005F2A8C" w:rsidRDefault="00134DD6" w:rsidP="00134DD6">
      <w:pPr>
        <w:spacing w:before="120" w:after="120"/>
        <w:jc w:val="both"/>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w:t>
      </w:r>
      <w:r>
        <w:rPr>
          <w:b/>
          <w:lang w:val="en-AU" w:eastAsia="en-GB" w:bidi="ar-SA"/>
        </w:rPr>
        <w:t>ments incorporated by reference</w:t>
      </w:r>
    </w:p>
    <w:p w14:paraId="48B14877" w14:textId="77777777" w:rsidR="00134DD6" w:rsidRDefault="00134DD6" w:rsidP="00134DD6">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variation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8B14878" w14:textId="77777777" w:rsidR="00134DD6" w:rsidRDefault="00134DD6" w:rsidP="00134DD6">
      <w:pPr>
        <w:widowControl/>
        <w:autoSpaceDE w:val="0"/>
        <w:autoSpaceDN w:val="0"/>
        <w:adjustRightInd w:val="0"/>
        <w:spacing w:before="120" w:after="120"/>
        <w:jc w:val="both"/>
        <w:rPr>
          <w:rFonts w:eastAsia="Calibri" w:cs="Arial"/>
          <w:bCs/>
          <w:szCs w:val="22"/>
          <w:lang w:val="en-AU" w:bidi="ar-SA"/>
        </w:rPr>
      </w:pPr>
      <w:r w:rsidRPr="00224B3E">
        <w:rPr>
          <w:rFonts w:eastAsia="Calibri" w:cs="Arial"/>
          <w:bCs/>
          <w:szCs w:val="22"/>
          <w:lang w:val="en-AU" w:bidi="ar-SA"/>
        </w:rPr>
        <w:t xml:space="preserve">However, the </w:t>
      </w:r>
      <w:r>
        <w:rPr>
          <w:rFonts w:eastAsia="Calibri" w:cs="Arial"/>
          <w:bCs/>
          <w:szCs w:val="22"/>
          <w:lang w:val="en-AU" w:bidi="ar-SA"/>
        </w:rPr>
        <w:t>approved draft variation</w:t>
      </w:r>
      <w:r w:rsidRPr="00224B3E">
        <w:rPr>
          <w:rFonts w:eastAsia="Calibri" w:cs="Arial"/>
          <w:bCs/>
          <w:szCs w:val="22"/>
          <w:lang w:val="en-AU" w:bidi="ar-SA"/>
        </w:rPr>
        <w:t xml:space="preserve"> will vary Schedule 3 of the Code which does incorporate documents by reference. Section 1.1.1—15 of the Code requires certain substances </w:t>
      </w:r>
      <w:r>
        <w:rPr>
          <w:rFonts w:eastAsia="Calibri" w:cs="Arial"/>
          <w:bCs/>
          <w:szCs w:val="22"/>
          <w:lang w:val="en-AU" w:bidi="ar-SA"/>
        </w:rPr>
        <w:t xml:space="preserve">(such as substances used as nutritive substances) </w:t>
      </w:r>
      <w:r w:rsidRPr="00224B3E">
        <w:rPr>
          <w:rFonts w:eastAsia="Calibri" w:cs="Arial"/>
          <w:bCs/>
          <w:szCs w:val="22"/>
          <w:lang w:val="en-AU" w:bidi="ar-SA"/>
        </w:rPr>
        <w:t>to comply with any relevant identity and purity specifications list</w:t>
      </w:r>
      <w:r>
        <w:rPr>
          <w:rFonts w:eastAsia="Calibri" w:cs="Arial"/>
          <w:bCs/>
          <w:szCs w:val="22"/>
          <w:lang w:val="en-AU" w:bidi="ar-SA"/>
        </w:rPr>
        <w:t>ed in Schedule 3.</w:t>
      </w:r>
      <w:r w:rsidRPr="00224B3E">
        <w:rPr>
          <w:rFonts w:eastAsia="Calibri" w:cs="Arial"/>
          <w:bCs/>
          <w:szCs w:val="22"/>
          <w:lang w:val="en-AU" w:bidi="ar-SA"/>
        </w:rPr>
        <w:t xml:space="preserve"> </w:t>
      </w:r>
    </w:p>
    <w:p w14:paraId="48B14879" w14:textId="77777777" w:rsidR="00134DD6" w:rsidRPr="005F2A8C" w:rsidRDefault="00134DD6" w:rsidP="00134DD6">
      <w:pPr>
        <w:widowControl/>
        <w:autoSpaceDE w:val="0"/>
        <w:autoSpaceDN w:val="0"/>
        <w:adjustRightInd w:val="0"/>
        <w:spacing w:before="120" w:after="120"/>
        <w:jc w:val="both"/>
        <w:rPr>
          <w:rFonts w:eastAsia="Calibri" w:cs="Arial"/>
          <w:bCs/>
          <w:szCs w:val="22"/>
          <w:lang w:val="en-AU" w:bidi="ar-SA"/>
        </w:rPr>
      </w:pPr>
      <w:r w:rsidRPr="00224B3E">
        <w:rPr>
          <w:rFonts w:eastAsia="Calibri" w:cs="Arial"/>
          <w:bCs/>
          <w:szCs w:val="22"/>
          <w:lang w:val="en-AU" w:bidi="ar-SA"/>
        </w:rPr>
        <w:t>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201</w:t>
      </w:r>
      <w:r>
        <w:rPr>
          <w:rFonts w:eastAsia="Calibri" w:cs="Arial"/>
          <w:bCs/>
          <w:szCs w:val="22"/>
          <w:lang w:val="en-AU" w:bidi="ar-SA"/>
        </w:rPr>
        <w:t>9</w:t>
      </w:r>
      <w:r w:rsidRPr="00224B3E">
        <w:rPr>
          <w:rFonts w:eastAsia="Calibri" w:cs="Arial"/>
          <w:bCs/>
          <w:szCs w:val="22"/>
          <w:lang w:val="en-AU" w:bidi="ar-SA"/>
        </w:rPr>
        <w:t>); the United States Pharmacopeial Convention (20</w:t>
      </w:r>
      <w:r>
        <w:rPr>
          <w:rFonts w:eastAsia="Calibri" w:cs="Arial"/>
          <w:bCs/>
          <w:szCs w:val="22"/>
          <w:lang w:val="en-AU" w:bidi="ar-SA"/>
        </w:rPr>
        <w:t>20</w:t>
      </w:r>
      <w:r w:rsidRPr="00224B3E">
        <w:rPr>
          <w:rFonts w:eastAsia="Calibri" w:cs="Arial"/>
          <w:bCs/>
          <w:szCs w:val="22"/>
          <w:lang w:val="en-AU" w:bidi="ar-SA"/>
        </w:rPr>
        <w:t>) Food Chemicals Codex (1</w:t>
      </w:r>
      <w:r>
        <w:rPr>
          <w:rFonts w:eastAsia="Calibri" w:cs="Arial"/>
          <w:bCs/>
          <w:szCs w:val="22"/>
          <w:lang w:val="en-AU" w:bidi="ar-SA"/>
        </w:rPr>
        <w:t>2</w:t>
      </w:r>
      <w:r w:rsidRPr="00224B3E">
        <w:rPr>
          <w:rFonts w:eastAsia="Calibri" w:cs="Arial"/>
          <w:bCs/>
          <w:szCs w:val="22"/>
          <w:lang w:val="en-AU" w:bidi="ar-SA"/>
        </w:rPr>
        <w:t>th edition); and the Commission Regulation (EU) No 231/2012.</w:t>
      </w:r>
    </w:p>
    <w:p w14:paraId="48B1487A" w14:textId="77777777" w:rsidR="00134DD6" w:rsidRPr="005F2A8C" w:rsidRDefault="00134DD6" w:rsidP="00134DD6">
      <w:pPr>
        <w:spacing w:before="120" w:after="120"/>
        <w:jc w:val="both"/>
        <w:rPr>
          <w:b/>
          <w:lang w:val="en-AU" w:eastAsia="en-GB" w:bidi="ar-SA"/>
        </w:rPr>
      </w:pPr>
      <w:r>
        <w:rPr>
          <w:b/>
          <w:lang w:val="en-AU" w:eastAsia="en-GB" w:bidi="ar-SA"/>
        </w:rPr>
        <w:lastRenderedPageBreak/>
        <w:t>5</w:t>
      </w:r>
      <w:r w:rsidRPr="000576EB">
        <w:rPr>
          <w:b/>
          <w:lang w:val="en-AU" w:eastAsia="en-GB" w:bidi="ar-SA"/>
        </w:rPr>
        <w:t>.</w:t>
      </w:r>
      <w:r w:rsidRPr="000576EB">
        <w:rPr>
          <w:b/>
          <w:lang w:val="en-AU" w:eastAsia="en-GB" w:bidi="ar-SA"/>
        </w:rPr>
        <w:tab/>
        <w:t>Consu</w:t>
      </w:r>
      <w:r>
        <w:rPr>
          <w:b/>
          <w:lang w:val="en-AU" w:eastAsia="en-GB" w:bidi="ar-SA"/>
        </w:rPr>
        <w:t>ltation</w:t>
      </w:r>
    </w:p>
    <w:p w14:paraId="48B1487B" w14:textId="77777777" w:rsidR="00134DD6" w:rsidRPr="00861FA8" w:rsidRDefault="00134DD6" w:rsidP="00134DD6">
      <w:pPr>
        <w:spacing w:before="120" w:after="120"/>
        <w:jc w:val="both"/>
        <w:rPr>
          <w:color w:val="FF0000"/>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application A1233 </w:t>
      </w:r>
      <w:r w:rsidRPr="00E36175">
        <w:rPr>
          <w:szCs w:val="22"/>
        </w:rPr>
        <w:t xml:space="preserve">included one round of public consultation following an assessment and the preparation of a draft </w:t>
      </w:r>
      <w:r>
        <w:rPr>
          <w:szCs w:val="22"/>
        </w:rPr>
        <w:t>variation</w:t>
      </w:r>
      <w:r w:rsidRPr="00E36175">
        <w:rPr>
          <w:szCs w:val="22"/>
        </w:rPr>
        <w:t xml:space="preserve"> and associated report. Submissions were called for on </w:t>
      </w:r>
      <w:r>
        <w:rPr>
          <w:szCs w:val="22"/>
        </w:rPr>
        <w:t>6 December 2021</w:t>
      </w:r>
      <w:r w:rsidRPr="00E36175">
        <w:rPr>
          <w:szCs w:val="22"/>
        </w:rPr>
        <w:t xml:space="preserve"> for a</w:t>
      </w:r>
      <w:r>
        <w:rPr>
          <w:szCs w:val="22"/>
        </w:rPr>
        <w:t>n</w:t>
      </w:r>
      <w:r w:rsidRPr="00E36175">
        <w:rPr>
          <w:szCs w:val="22"/>
        </w:rPr>
        <w:t xml:space="preserve"> </w:t>
      </w:r>
      <w:r>
        <w:rPr>
          <w:szCs w:val="22"/>
        </w:rPr>
        <w:t>eight</w:t>
      </w:r>
      <w:r w:rsidRPr="00E36175">
        <w:rPr>
          <w:szCs w:val="22"/>
        </w:rPr>
        <w:t xml:space="preserve">-week consultation period. </w:t>
      </w:r>
    </w:p>
    <w:p w14:paraId="48B1487C" w14:textId="77777777" w:rsidR="00134DD6" w:rsidRPr="005F2A8C" w:rsidRDefault="00134DD6" w:rsidP="00134DD6">
      <w:pPr>
        <w:widowControl/>
        <w:spacing w:before="120" w:after="120"/>
        <w:jc w:val="both"/>
        <w:rPr>
          <w:rFonts w:eastAsia="Calibri" w:cs="Arial"/>
          <w:bCs/>
          <w:szCs w:val="22"/>
          <w:lang w:val="en-AU" w:bidi="ar-SA"/>
        </w:rPr>
      </w:pPr>
      <w:r>
        <w:t>A Regulation Impact Statement (RIS) was not required because the Office of Best Practice Regulation (OBPR) granted the Authority a standing exemption, permitting the voluntary use of genetically modified food (OBPR correspondence dated 24 November 2010, reference 12065), and the voluntary addition of nutritive substances to foods (OBPR correspondence dated 16 April 2013, reference 14943).</w:t>
      </w:r>
      <w:r w:rsidDel="00C16F80">
        <w:rPr>
          <w:rFonts w:eastAsia="Calibri" w:cs="Arial"/>
          <w:bCs/>
          <w:szCs w:val="22"/>
          <w:lang w:val="en-AU" w:bidi="ar-SA"/>
        </w:rPr>
        <w:t xml:space="preserve"> </w:t>
      </w:r>
    </w:p>
    <w:p w14:paraId="48B1487D" w14:textId="77777777" w:rsidR="00134DD6" w:rsidRPr="005F2A8C" w:rsidRDefault="00134DD6" w:rsidP="00134DD6">
      <w:pPr>
        <w:widowControl/>
        <w:spacing w:before="120" w:after="120"/>
        <w:jc w:val="both"/>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48B1487E" w14:textId="77777777" w:rsidR="00134DD6" w:rsidRDefault="00134DD6" w:rsidP="00134DD6">
      <w:pPr>
        <w:spacing w:before="120" w:after="120"/>
        <w:jc w:val="both"/>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Pr="00D00473">
        <w:rPr>
          <w:rFonts w:eastAsiaTheme="minorHAnsi"/>
          <w:lang w:val="en-AU" w:bidi="ar-SA"/>
        </w:rPr>
        <w:t xml:space="preserve">44 of the </w:t>
      </w:r>
      <w:r w:rsidRPr="00D00473">
        <w:rPr>
          <w:rFonts w:cs="Arial"/>
          <w:i/>
          <w:iCs/>
        </w:rPr>
        <w:t>Legislation Act 2003</w:t>
      </w:r>
      <w:r>
        <w:rPr>
          <w:rFonts w:eastAsiaTheme="minorHAnsi"/>
          <w:lang w:val="en-AU" w:bidi="ar-SA"/>
        </w:rPr>
        <w:t>.</w:t>
      </w:r>
      <w:r w:rsidDel="007952E4">
        <w:rPr>
          <w:rFonts w:eastAsiaTheme="minorHAnsi"/>
          <w:lang w:val="en-AU" w:bidi="ar-SA"/>
        </w:rPr>
        <w:t xml:space="preserve"> </w:t>
      </w:r>
    </w:p>
    <w:p w14:paraId="48B1487F" w14:textId="77777777" w:rsidR="00134DD6" w:rsidRDefault="00134DD6" w:rsidP="00134DD6">
      <w:pPr>
        <w:spacing w:before="120" w:after="120"/>
        <w:rPr>
          <w:b/>
          <w:lang w:val="en-AU" w:eastAsia="en-GB" w:bidi="ar-SA"/>
        </w:rPr>
      </w:pPr>
      <w:r>
        <w:rPr>
          <w:b/>
        </w:rPr>
        <w:t>7</w:t>
      </w:r>
      <w:r w:rsidRPr="00432A42">
        <w:rPr>
          <w:b/>
        </w:rPr>
        <w:t>.</w:t>
      </w:r>
      <w:r w:rsidRPr="00432A42">
        <w:rPr>
          <w:b/>
        </w:rPr>
        <w:tab/>
      </w:r>
      <w:r>
        <w:rPr>
          <w:b/>
          <w:lang w:val="en-AU" w:eastAsia="en-GB" w:bidi="ar-SA"/>
        </w:rPr>
        <w:t>Variation</w:t>
      </w:r>
    </w:p>
    <w:p w14:paraId="48B14880" w14:textId="77777777" w:rsidR="00134DD6" w:rsidRPr="00861FA8" w:rsidRDefault="00134DD6" w:rsidP="00134DD6">
      <w:pPr>
        <w:widowControl/>
        <w:spacing w:before="120" w:after="120"/>
        <w:jc w:val="both"/>
        <w:rPr>
          <w:b/>
          <w:lang w:val="en-AU" w:eastAsia="en-GB" w:bidi="ar-SA"/>
        </w:rPr>
      </w:pPr>
      <w:r w:rsidRPr="00284DCC">
        <w:t>The amendments in the Schedule</w:t>
      </w:r>
      <w:r>
        <w:t xml:space="preserve"> </w:t>
      </w:r>
      <w:r w:rsidRPr="00284DCC">
        <w:t>take effect in nume</w:t>
      </w:r>
      <w:r>
        <w:t>rical order i.e. according to item and sub-item numbers.</w:t>
      </w:r>
    </w:p>
    <w:p w14:paraId="48B14881" w14:textId="77777777" w:rsidR="00134DD6" w:rsidRDefault="00134DD6" w:rsidP="00134DD6">
      <w:pPr>
        <w:widowControl/>
        <w:spacing w:before="0" w:beforeAutospacing="0" w:after="0" w:afterAutospacing="0"/>
        <w:jc w:val="both"/>
      </w:pPr>
      <w:r w:rsidRPr="00155DA4">
        <w:rPr>
          <w:b/>
        </w:rPr>
        <w:t>Item [1]</w:t>
      </w:r>
      <w:r>
        <w:t xml:space="preserve"> of the Schedule varies Schedule 3 of the Code.</w:t>
      </w:r>
    </w:p>
    <w:p w14:paraId="48B14882" w14:textId="77777777" w:rsidR="00134DD6" w:rsidRDefault="00134DD6" w:rsidP="00134DD6">
      <w:pPr>
        <w:widowControl/>
        <w:spacing w:before="0" w:beforeAutospacing="0" w:after="0" w:afterAutospacing="0"/>
        <w:jc w:val="both"/>
      </w:pPr>
    </w:p>
    <w:p w14:paraId="48B14883" w14:textId="77777777" w:rsidR="00134DD6" w:rsidRDefault="00134DD6" w:rsidP="00134DD6">
      <w:pPr>
        <w:widowControl/>
        <w:spacing w:before="0" w:beforeAutospacing="0" w:after="0" w:afterAutospacing="0"/>
      </w:pPr>
      <w:r w:rsidRPr="00592D97">
        <w:rPr>
          <w:rFonts w:eastAsia="Calibri" w:cs="Arial"/>
          <w:bCs/>
          <w:szCs w:val="22"/>
          <w:lang w:val="en-AU" w:bidi="ar-SA"/>
        </w:rPr>
        <w:lastRenderedPageBreak/>
        <w:t>Schedule 3 contains specifications for the purposes of section 1.1.1—15</w:t>
      </w:r>
      <w:r>
        <w:rPr>
          <w:rFonts w:eastAsia="Calibri" w:cs="Arial"/>
          <w:bCs/>
          <w:szCs w:val="22"/>
          <w:lang w:val="en-AU" w:bidi="ar-SA"/>
        </w:rPr>
        <w:t xml:space="preserve"> of the Code. Section 1.1.1—15 requires </w:t>
      </w:r>
      <w:r w:rsidRPr="00592D97">
        <w:rPr>
          <w:rFonts w:eastAsia="Calibri" w:cs="Arial"/>
          <w:bCs/>
          <w:szCs w:val="22"/>
          <w:lang w:val="en-AU" w:bidi="ar-SA"/>
        </w:rPr>
        <w:t xml:space="preserve">certain substances, e.g. substances used as nutritive substances, to comply with any relevant identity and purity specifications listed in Schedule 3. </w:t>
      </w:r>
      <w:r>
        <w:rPr>
          <w:rFonts w:eastAsia="Calibri" w:cs="Arial"/>
          <w:bCs/>
          <w:szCs w:val="22"/>
          <w:lang w:val="en-AU" w:bidi="ar-SA"/>
        </w:rPr>
        <w:t xml:space="preserve">The specifications listed in Schedule 3 </w:t>
      </w:r>
      <w:r w:rsidRPr="00592D97">
        <w:rPr>
          <w:rFonts w:eastAsia="Calibri" w:cs="Arial"/>
          <w:bCs/>
          <w:szCs w:val="22"/>
          <w:lang w:val="en-AU" w:bidi="ar-SA"/>
        </w:rPr>
        <w:t xml:space="preserve">include those set out in provisions which are listed in the table to </w:t>
      </w:r>
      <w:r w:rsidRPr="00592D97">
        <w:t>subsection S3—2(2)</w:t>
      </w:r>
      <w:r w:rsidRPr="00592D97">
        <w:rPr>
          <w:rFonts w:eastAsia="Calibri" w:cs="Arial"/>
          <w:bCs/>
          <w:szCs w:val="22"/>
          <w:lang w:val="en-AU" w:bidi="ar-SA"/>
        </w:rPr>
        <w:t xml:space="preserve"> (see paragraph S3—2(1)(a))</w:t>
      </w:r>
      <w:r>
        <w:rPr>
          <w:rFonts w:eastAsia="Calibri" w:cs="Arial"/>
          <w:bCs/>
          <w:szCs w:val="22"/>
          <w:lang w:val="en-AU" w:bidi="ar-SA"/>
        </w:rPr>
        <w:t>.</w:t>
      </w:r>
    </w:p>
    <w:p w14:paraId="48B14884" w14:textId="77777777" w:rsidR="00134DD6" w:rsidRDefault="00134DD6" w:rsidP="00134DD6">
      <w:pPr>
        <w:widowControl/>
        <w:spacing w:before="0" w:beforeAutospacing="0" w:after="0" w:afterAutospacing="0"/>
        <w:jc w:val="both"/>
      </w:pPr>
    </w:p>
    <w:p w14:paraId="48B14885" w14:textId="77777777" w:rsidR="00134DD6" w:rsidRDefault="00134DD6" w:rsidP="00134DD6">
      <w:pPr>
        <w:widowControl/>
        <w:spacing w:before="0" w:beforeAutospacing="0" w:after="0" w:afterAutospacing="0"/>
        <w:jc w:val="both"/>
        <w:rPr>
          <w:rFonts w:eastAsia="Calibri"/>
          <w:szCs w:val="22"/>
          <w:lang w:bidi="ar-SA"/>
        </w:rPr>
      </w:pPr>
      <w:r w:rsidRPr="0001100E">
        <w:rPr>
          <w:szCs w:val="22"/>
        </w:rPr>
        <w:t xml:space="preserve">Item [1.1] amends the </w:t>
      </w:r>
      <w:r w:rsidRPr="0001100E">
        <w:rPr>
          <w:rFonts w:eastAsia="Calibri" w:cs="Arial"/>
          <w:bCs/>
          <w:szCs w:val="22"/>
          <w:lang w:val="en-AU" w:bidi="ar-SA"/>
        </w:rPr>
        <w:t xml:space="preserve">table to </w:t>
      </w:r>
      <w:r w:rsidRPr="0001100E">
        <w:rPr>
          <w:szCs w:val="22"/>
        </w:rPr>
        <w:t xml:space="preserve">subsection S3—2(2). It amends the entry in that table </w:t>
      </w:r>
      <w:r w:rsidRPr="0001100E">
        <w:rPr>
          <w:rFonts w:eastAsia="Calibri" w:cs="Arial"/>
          <w:bCs/>
          <w:szCs w:val="22"/>
          <w:lang w:val="en-AU" w:bidi="ar-SA"/>
        </w:rPr>
        <w:t xml:space="preserve">for </w:t>
      </w:r>
      <w:r w:rsidRPr="0001100E">
        <w:rPr>
          <w:szCs w:val="22"/>
        </w:rPr>
        <w:t xml:space="preserve">section S3—40 by </w:t>
      </w:r>
      <w:r>
        <w:rPr>
          <w:szCs w:val="22"/>
        </w:rPr>
        <w:t>replacing</w:t>
      </w:r>
      <w:r w:rsidRPr="0001100E">
        <w:rPr>
          <w:szCs w:val="22"/>
        </w:rPr>
        <w:t xml:space="preserve"> the words ‘</w:t>
      </w:r>
      <w:r w:rsidRPr="007952E4">
        <w:rPr>
          <w:rFonts w:cs="Arial"/>
          <w:color w:val="000000"/>
          <w:szCs w:val="22"/>
          <w:shd w:val="clear" w:color="auto" w:fill="FFFFFF"/>
        </w:rPr>
        <w:t>2</w:t>
      </w:r>
      <w:r w:rsidRPr="007952E4">
        <w:rPr>
          <w:rFonts w:cs="Arial"/>
          <w:i/>
          <w:iCs/>
          <w:color w:val="000000"/>
          <w:szCs w:val="22"/>
          <w:shd w:val="clear" w:color="auto" w:fill="FFFFFF"/>
        </w:rPr>
        <w:t>′-</w:t>
      </w:r>
      <w:r w:rsidRPr="007952E4">
        <w:rPr>
          <w:rFonts w:cs="Arial"/>
          <w:color w:val="000000"/>
          <w:szCs w:val="22"/>
          <w:shd w:val="clear" w:color="auto" w:fill="FFFFFF"/>
        </w:rPr>
        <w:t>fucosyllactose sourced from </w:t>
      </w:r>
      <w:r w:rsidRPr="007952E4">
        <w:rPr>
          <w:rFonts w:cs="Arial"/>
          <w:i/>
          <w:iCs/>
          <w:color w:val="000000"/>
          <w:szCs w:val="22"/>
          <w:shd w:val="clear" w:color="auto" w:fill="FFFFFF"/>
        </w:rPr>
        <w:t>Escherichia coli </w:t>
      </w:r>
      <w:r w:rsidRPr="007952E4">
        <w:rPr>
          <w:rFonts w:cs="Arial"/>
          <w:color w:val="000000"/>
          <w:szCs w:val="22"/>
          <w:shd w:val="clear" w:color="auto" w:fill="FFFFFF"/>
        </w:rPr>
        <w:t xml:space="preserve">K-12’ </w:t>
      </w:r>
      <w:r w:rsidRPr="0001100E">
        <w:rPr>
          <w:szCs w:val="22"/>
        </w:rPr>
        <w:t>with</w:t>
      </w:r>
      <w:r w:rsidRPr="0001100E">
        <w:rPr>
          <w:rFonts w:eastAsia="Calibri"/>
          <w:szCs w:val="22"/>
          <w:lang w:bidi="ar-SA"/>
        </w:rPr>
        <w:t xml:space="preserve"> ‘</w:t>
      </w:r>
      <w:r w:rsidRPr="0001100E">
        <w:rPr>
          <w:szCs w:val="22"/>
        </w:rPr>
        <w:t>2</w:t>
      </w:r>
      <w:r w:rsidRPr="0001100E">
        <w:rPr>
          <w:i/>
          <w:szCs w:val="22"/>
        </w:rPr>
        <w:t>′-</w:t>
      </w:r>
      <w:r w:rsidRPr="0001100E">
        <w:rPr>
          <w:szCs w:val="22"/>
        </w:rPr>
        <w:t xml:space="preserve">fucosyllactose sourced from </w:t>
      </w:r>
      <w:r w:rsidRPr="0001100E">
        <w:rPr>
          <w:i/>
          <w:szCs w:val="22"/>
        </w:rPr>
        <w:t xml:space="preserve">Escherichia coli </w:t>
      </w:r>
      <w:r w:rsidRPr="0001100E">
        <w:rPr>
          <w:szCs w:val="22"/>
        </w:rPr>
        <w:t>K-12 containing the gene for alpha-1,2-fucosyltransferase from either</w:t>
      </w:r>
      <w:r w:rsidRPr="0001100E">
        <w:rPr>
          <w:i/>
          <w:szCs w:val="22"/>
        </w:rPr>
        <w:t xml:space="preserve"> Helicobacter pylori</w:t>
      </w:r>
      <w:r w:rsidRPr="0001100E">
        <w:rPr>
          <w:szCs w:val="22"/>
        </w:rPr>
        <w:t xml:space="preserve"> or </w:t>
      </w:r>
      <w:r w:rsidRPr="0001100E">
        <w:rPr>
          <w:i/>
          <w:szCs w:val="22"/>
        </w:rPr>
        <w:t>Bacteroides vulgatus’</w:t>
      </w:r>
      <w:r w:rsidRPr="00FA1DB3">
        <w:rPr>
          <w:rFonts w:eastAsia="Calibri"/>
          <w:szCs w:val="22"/>
          <w:lang w:bidi="ar-SA"/>
        </w:rPr>
        <w:t>.</w:t>
      </w:r>
      <w:r>
        <w:rPr>
          <w:rFonts w:eastAsia="Calibri"/>
          <w:szCs w:val="22"/>
          <w:lang w:bidi="ar-SA"/>
        </w:rPr>
        <w:t xml:space="preserve"> This amendment is a consequence of the amendment made by item [1.2] below.</w:t>
      </w:r>
    </w:p>
    <w:p w14:paraId="48B14886" w14:textId="77777777" w:rsidR="00134DD6" w:rsidRDefault="00134DD6" w:rsidP="00134DD6">
      <w:pPr>
        <w:widowControl/>
        <w:spacing w:before="0" w:beforeAutospacing="0" w:after="0" w:afterAutospacing="0"/>
        <w:jc w:val="both"/>
        <w:rPr>
          <w:rFonts w:eastAsia="Calibri"/>
          <w:szCs w:val="22"/>
          <w:lang w:bidi="ar-SA"/>
        </w:rPr>
      </w:pPr>
    </w:p>
    <w:p w14:paraId="48B14887" w14:textId="77777777" w:rsidR="00134DD6" w:rsidRDefault="00134DD6" w:rsidP="00134DD6">
      <w:pPr>
        <w:widowControl/>
        <w:spacing w:before="0" w:beforeAutospacing="0" w:after="0" w:afterAutospacing="0"/>
        <w:jc w:val="both"/>
        <w:rPr>
          <w:i/>
          <w:szCs w:val="22"/>
        </w:rPr>
      </w:pPr>
      <w:r w:rsidRPr="0035210F">
        <w:rPr>
          <w:szCs w:val="22"/>
        </w:rPr>
        <w:t xml:space="preserve">Item </w:t>
      </w:r>
      <w:r>
        <w:rPr>
          <w:szCs w:val="22"/>
        </w:rPr>
        <w:t xml:space="preserve">[1.2] repeals and replaces section </w:t>
      </w:r>
      <w:r w:rsidRPr="0035210F">
        <w:rPr>
          <w:szCs w:val="22"/>
        </w:rPr>
        <w:t>S3—40</w:t>
      </w:r>
      <w:r>
        <w:rPr>
          <w:szCs w:val="22"/>
        </w:rPr>
        <w:t xml:space="preserve"> with a new section </w:t>
      </w:r>
      <w:r w:rsidRPr="0035210F">
        <w:rPr>
          <w:szCs w:val="22"/>
        </w:rPr>
        <w:t>S3—40</w:t>
      </w:r>
      <w:r>
        <w:rPr>
          <w:szCs w:val="22"/>
        </w:rPr>
        <w:t xml:space="preserve">. The new section lists a specification for </w:t>
      </w:r>
      <w:r w:rsidRPr="0035210F">
        <w:rPr>
          <w:szCs w:val="22"/>
        </w:rPr>
        <w:t>2</w:t>
      </w:r>
      <w:r w:rsidRPr="0035210F">
        <w:rPr>
          <w:i/>
          <w:szCs w:val="22"/>
        </w:rPr>
        <w:t>′-</w:t>
      </w:r>
      <w:r w:rsidRPr="0035210F">
        <w:rPr>
          <w:szCs w:val="22"/>
        </w:rPr>
        <w:t xml:space="preserve">fucosyllactose sourced from </w:t>
      </w:r>
      <w:r w:rsidRPr="0035210F">
        <w:rPr>
          <w:i/>
          <w:szCs w:val="22"/>
        </w:rPr>
        <w:t xml:space="preserve">Escherichia coli </w:t>
      </w:r>
      <w:r w:rsidRPr="0035210F">
        <w:rPr>
          <w:szCs w:val="22"/>
        </w:rPr>
        <w:t>K-12 containing the gene for alpha-1,2-fucosyltransferase from either</w:t>
      </w:r>
      <w:r w:rsidRPr="0035210F">
        <w:rPr>
          <w:i/>
          <w:szCs w:val="22"/>
        </w:rPr>
        <w:t xml:space="preserve"> Helicobacter pylori</w:t>
      </w:r>
      <w:r w:rsidRPr="0035210F">
        <w:rPr>
          <w:szCs w:val="22"/>
        </w:rPr>
        <w:t xml:space="preserve"> or </w:t>
      </w:r>
      <w:r w:rsidRPr="0035210F">
        <w:rPr>
          <w:i/>
          <w:szCs w:val="22"/>
        </w:rPr>
        <w:t>Bacteroides vulgatus’</w:t>
      </w:r>
      <w:r>
        <w:rPr>
          <w:i/>
          <w:szCs w:val="22"/>
        </w:rPr>
        <w:t>.</w:t>
      </w:r>
    </w:p>
    <w:p w14:paraId="48B14888" w14:textId="77777777" w:rsidR="00134DD6" w:rsidRDefault="00134DD6" w:rsidP="00134DD6">
      <w:pPr>
        <w:widowControl/>
        <w:spacing w:before="0" w:beforeAutospacing="0" w:after="0" w:afterAutospacing="0"/>
        <w:jc w:val="both"/>
        <w:rPr>
          <w:i/>
          <w:szCs w:val="22"/>
        </w:rPr>
      </w:pPr>
    </w:p>
    <w:p w14:paraId="48B14889" w14:textId="77777777" w:rsidR="00134DD6" w:rsidRPr="0001100E" w:rsidRDefault="00134DD6" w:rsidP="00134DD6">
      <w:pPr>
        <w:widowControl/>
        <w:spacing w:before="0" w:beforeAutospacing="0" w:after="0" w:afterAutospacing="0"/>
        <w:jc w:val="both"/>
      </w:pPr>
      <w:r w:rsidRPr="00155DA4">
        <w:rPr>
          <w:b/>
          <w:szCs w:val="22"/>
        </w:rPr>
        <w:t>Item [2]</w:t>
      </w:r>
      <w:r>
        <w:rPr>
          <w:i/>
          <w:szCs w:val="22"/>
        </w:rPr>
        <w:t xml:space="preserve"> </w:t>
      </w:r>
      <w:r w:rsidRPr="00FA1DB3">
        <w:t>amend</w:t>
      </w:r>
      <w:r>
        <w:t>s</w:t>
      </w:r>
      <w:r w:rsidRPr="00FA1DB3">
        <w:t xml:space="preserve"> Schedule 26 of the Code.</w:t>
      </w:r>
    </w:p>
    <w:p w14:paraId="48B1488A" w14:textId="77777777" w:rsidR="00134DD6" w:rsidRPr="00FA1DB3" w:rsidRDefault="00134DD6" w:rsidP="00134DD6">
      <w:pPr>
        <w:widowControl/>
        <w:spacing w:before="120" w:beforeAutospacing="0" w:after="120" w:afterAutospacing="0"/>
        <w:jc w:val="both"/>
        <w:rPr>
          <w:rFonts w:eastAsia="Calibri"/>
          <w:szCs w:val="22"/>
          <w:lang w:bidi="ar-SA"/>
        </w:rPr>
      </w:pPr>
      <w:r w:rsidRPr="00FA1DB3">
        <w:rPr>
          <w:rFonts w:eastAsia="Calibri"/>
          <w:szCs w:val="22"/>
          <w:lang w:bidi="ar-SA"/>
        </w:rPr>
        <w:t xml:space="preserve">Schedule 26 relates to food produced using gene technology. </w:t>
      </w:r>
      <w:r w:rsidRPr="00FA1DB3">
        <w:rPr>
          <w:szCs w:val="22"/>
        </w:rPr>
        <w:t xml:space="preserve">2′-FL sourced </w:t>
      </w:r>
      <w:r w:rsidRPr="00FA1DB3">
        <w:rPr>
          <w:rFonts w:eastAsia="Calibri"/>
          <w:szCs w:val="22"/>
          <w:lang w:bidi="ar-SA"/>
        </w:rPr>
        <w:t xml:space="preserve">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-1,2-fucosyltransfe</w:t>
      </w:r>
      <w:bookmarkStart w:id="0" w:name="_GoBack"/>
      <w:bookmarkEnd w:id="0"/>
      <w:r w:rsidRPr="00FA1DB3">
        <w:rPr>
          <w:rFonts w:eastAsia="Calibri"/>
          <w:szCs w:val="18"/>
        </w:rPr>
        <w:t xml:space="preserve">rase from </w:t>
      </w:r>
      <w:r w:rsidRPr="00FA1DB3">
        <w:rPr>
          <w:rFonts w:eastAsia="Calibri"/>
          <w:i/>
          <w:szCs w:val="18"/>
        </w:rPr>
        <w:t>Bacteroides vulgatus</w:t>
      </w:r>
      <w:r w:rsidRPr="00FA1DB3">
        <w:rPr>
          <w:rFonts w:eastAsia="Calibri"/>
          <w:szCs w:val="22"/>
          <w:lang w:bidi="ar-SA"/>
        </w:rPr>
        <w:t xml:space="preserve"> is a food produced using gene technology (as defined in subsection 1.1.2—2(3) of the Code) because it is derived from an organism modified using gene technology.</w:t>
      </w:r>
    </w:p>
    <w:p w14:paraId="48B1488B" w14:textId="77777777" w:rsidR="00134DD6" w:rsidRPr="00FA1DB3" w:rsidRDefault="00134DD6" w:rsidP="00134DD6">
      <w:pPr>
        <w:widowControl/>
        <w:spacing w:before="120" w:beforeAutospacing="0" w:after="120" w:afterAutospacing="0"/>
        <w:jc w:val="both"/>
        <w:rPr>
          <w:rFonts w:eastAsia="Calibri"/>
          <w:szCs w:val="22"/>
          <w:lang w:bidi="ar-SA"/>
        </w:rPr>
      </w:pPr>
      <w:r w:rsidRPr="00FA1DB3">
        <w:rPr>
          <w:rFonts w:eastAsia="Calibri"/>
          <w:szCs w:val="22"/>
          <w:lang w:bidi="ar-SA"/>
        </w:rPr>
        <w:lastRenderedPageBreak/>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14:paraId="48B1488C" w14:textId="77777777" w:rsidR="00134DD6" w:rsidRPr="00FA1DB3" w:rsidRDefault="00134DD6" w:rsidP="00134DD6">
      <w:pPr>
        <w:rPr>
          <w:rFonts w:eastAsia="Calibri"/>
          <w:lang w:bidi="ar-SA"/>
        </w:rPr>
      </w:pPr>
      <w:r w:rsidRPr="00FA1DB3">
        <w:rPr>
          <w:rFonts w:eastAsia="Calibri"/>
          <w:lang w:bidi="ar-SA"/>
        </w:rPr>
        <w:t xml:space="preserve">The table to subsection S26—3(7) lists food produced using gene technology of microbial origin. </w:t>
      </w:r>
      <w:r>
        <w:t>Item [2</w:t>
      </w:r>
      <w:r w:rsidRPr="00FA1DB3">
        <w:t xml:space="preserve">] will amend </w:t>
      </w:r>
      <w:r w:rsidRPr="00FA1DB3">
        <w:rPr>
          <w:rFonts w:eastAsia="Calibri"/>
          <w:szCs w:val="18"/>
        </w:rPr>
        <w:t>item [1] of that table to provide a</w:t>
      </w:r>
      <w:r w:rsidRPr="00FA1DB3">
        <w:t xml:space="preserve"> permission for the use of 2′-FL sourced from </w:t>
      </w:r>
      <w:r w:rsidRPr="00FA1DB3">
        <w:rPr>
          <w:rFonts w:eastAsia="Calibri"/>
          <w:i/>
          <w:lang w:bidi="ar-SA"/>
        </w:rPr>
        <w:t xml:space="preserve">Escherichia coli </w:t>
      </w:r>
      <w:r w:rsidRPr="00FA1DB3">
        <w:rPr>
          <w:rFonts w:eastAsia="Calibri"/>
          <w:lang w:bidi="ar-SA"/>
        </w:rPr>
        <w:t>K-12 containing the gene for alpha</w:t>
      </w:r>
      <w:r w:rsidRPr="00FA1DB3">
        <w:rPr>
          <w:rFonts w:eastAsia="Calibri"/>
          <w:szCs w:val="18"/>
        </w:rPr>
        <w:t xml:space="preserve">-1,2-fucosyltransferase from </w:t>
      </w:r>
      <w:r w:rsidRPr="00FA1DB3">
        <w:rPr>
          <w:rFonts w:eastAsia="Calibri"/>
          <w:i/>
          <w:szCs w:val="18"/>
        </w:rPr>
        <w:t>Bacteroides vulgatus</w:t>
      </w:r>
      <w:r w:rsidRPr="00FA1DB3">
        <w:rPr>
          <w:rFonts w:eastAsia="Calibri"/>
          <w:szCs w:val="18"/>
        </w:rPr>
        <w:t xml:space="preserve">. </w:t>
      </w:r>
    </w:p>
    <w:p w14:paraId="48B1488D" w14:textId="77777777" w:rsidR="00134DD6" w:rsidRPr="00FA1DB3" w:rsidRDefault="00134DD6" w:rsidP="00134DD6">
      <w:pPr>
        <w:widowControl/>
        <w:spacing w:before="240" w:beforeAutospacing="0" w:after="120" w:afterAutospacing="0"/>
        <w:jc w:val="both"/>
        <w:rPr>
          <w:rFonts w:eastAsia="Calibri"/>
          <w:szCs w:val="18"/>
        </w:rPr>
      </w:pPr>
      <w:r w:rsidRPr="00FA1DB3">
        <w:rPr>
          <w:rFonts w:eastAsia="Calibri"/>
          <w:szCs w:val="18"/>
        </w:rPr>
        <w:t xml:space="preserve">In order to add the new permission to the table, </w:t>
      </w:r>
      <w:r>
        <w:t>item [2</w:t>
      </w:r>
      <w:r w:rsidRPr="00FA1DB3">
        <w:t>]</w:t>
      </w:r>
      <w:r w:rsidRPr="00FA1DB3">
        <w:rPr>
          <w:b/>
        </w:rPr>
        <w:t xml:space="preserve"> </w:t>
      </w:r>
      <w:r w:rsidRPr="00FA1DB3">
        <w:t xml:space="preserve">will repeal and then restate the </w:t>
      </w:r>
      <w:r w:rsidRPr="00FA1DB3">
        <w:rPr>
          <w:rFonts w:eastAsia="Calibri"/>
          <w:szCs w:val="18"/>
        </w:rPr>
        <w:t xml:space="preserve">entire entry in the table for </w:t>
      </w:r>
      <w:r w:rsidRPr="00FA1DB3">
        <w:rPr>
          <w:szCs w:val="22"/>
        </w:rPr>
        <w:t xml:space="preserve">2′-FL </w:t>
      </w:r>
      <w:r w:rsidRPr="00FA1DB3">
        <w:rPr>
          <w:rFonts w:eastAsia="Calibri"/>
          <w:szCs w:val="18"/>
        </w:rPr>
        <w:t>but with the new source permission included in the restated entry as sub-item (c) in column 2, and its associated conditions of use set out in column 3. These conditions of use are as follows:</w:t>
      </w:r>
    </w:p>
    <w:p w14:paraId="48B1488E" w14:textId="77777777" w:rsidR="00134DD6" w:rsidRPr="00FA1DB3" w:rsidRDefault="00134DD6" w:rsidP="00134DD6">
      <w:pPr>
        <w:widowControl/>
        <w:numPr>
          <w:ilvl w:val="0"/>
          <w:numId w:val="16"/>
        </w:numPr>
        <w:spacing w:before="240" w:beforeAutospacing="0" w:after="120" w:afterAutospacing="0"/>
        <w:contextualSpacing/>
        <w:jc w:val="both"/>
        <w:rPr>
          <w:rFonts w:eastAsia="Calibri"/>
          <w:szCs w:val="18"/>
        </w:rPr>
      </w:pPr>
      <w:r w:rsidRPr="00FA1DB3">
        <w:rPr>
          <w:rFonts w:eastAsia="Calibri"/>
          <w:szCs w:val="18"/>
        </w:rPr>
        <w:t>the substance may only be added to infant formula;</w:t>
      </w:r>
    </w:p>
    <w:p w14:paraId="48B1488F" w14:textId="77777777" w:rsidR="00134DD6" w:rsidRPr="00FA1DB3" w:rsidRDefault="00134DD6" w:rsidP="00134DD6">
      <w:pPr>
        <w:widowControl/>
        <w:numPr>
          <w:ilvl w:val="0"/>
          <w:numId w:val="16"/>
        </w:numPr>
        <w:spacing w:before="240" w:beforeAutospacing="0" w:after="120" w:afterAutospacing="0"/>
        <w:contextualSpacing/>
        <w:jc w:val="both"/>
        <w:rPr>
          <w:rFonts w:eastAsia="Calibri"/>
          <w:szCs w:val="18"/>
        </w:rPr>
      </w:pPr>
      <w:r w:rsidRPr="00FA1DB3">
        <w:rPr>
          <w:rFonts w:eastAsia="Calibri"/>
          <w:szCs w:val="18"/>
        </w:rPr>
        <w:t>during the exclusive use period, the substance may only be sold under the brand Aequival® 2’FL; and</w:t>
      </w:r>
    </w:p>
    <w:p w14:paraId="48B14890" w14:textId="77777777" w:rsidR="00134DD6" w:rsidRPr="00FA1DB3" w:rsidRDefault="00134DD6" w:rsidP="00134DD6">
      <w:pPr>
        <w:widowControl/>
        <w:numPr>
          <w:ilvl w:val="0"/>
          <w:numId w:val="16"/>
        </w:numPr>
        <w:spacing w:before="240" w:beforeAutospacing="0" w:after="120" w:afterAutospacing="0"/>
        <w:contextualSpacing/>
        <w:jc w:val="both"/>
      </w:pPr>
      <w:r w:rsidRPr="00FA1DB3">
        <w:rPr>
          <w:rFonts w:eastAsia="Calibri"/>
          <w:szCs w:val="18"/>
        </w:rPr>
        <w:t xml:space="preserve">for the purposes of condition 2, exclusive use period means the period commencing on the date of gazettal of the </w:t>
      </w:r>
      <w:r w:rsidRPr="00FA1DB3">
        <w:rPr>
          <w:rFonts w:eastAsia="Calibri"/>
          <w:i/>
          <w:szCs w:val="18"/>
        </w:rPr>
        <w:t xml:space="preserve">Food Standards (Application A1233 – 2’-FL from new GM source for infant formula) Variation </w:t>
      </w:r>
      <w:r w:rsidRPr="00FA1DB3">
        <w:rPr>
          <w:rFonts w:eastAsia="Calibri"/>
          <w:szCs w:val="18"/>
        </w:rPr>
        <w:t xml:space="preserve">and ending 15 months after that date. </w:t>
      </w:r>
    </w:p>
    <w:p w14:paraId="48B14891" w14:textId="77777777" w:rsidR="00134DD6" w:rsidRPr="00FA1DB3" w:rsidRDefault="00134DD6" w:rsidP="00134DD6">
      <w:r w:rsidRPr="00FA1DB3">
        <w:t xml:space="preserve">Condition 2 will mean that </w:t>
      </w:r>
      <w:r w:rsidRPr="00FA1DB3">
        <w:rPr>
          <w:szCs w:val="22"/>
        </w:rPr>
        <w:t xml:space="preserve">2′-FL </w:t>
      </w:r>
      <w:r w:rsidRPr="00FA1DB3">
        <w:t xml:space="preserve">sourced 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 xml:space="preserve">Bacteroides vulgatus </w:t>
      </w:r>
      <w:r w:rsidRPr="00FA1DB3">
        <w:rPr>
          <w:rFonts w:eastAsia="Calibri"/>
          <w:szCs w:val="18"/>
        </w:rPr>
        <w:t>may only be sold under the brand ‘Aequival® 2’FL’</w:t>
      </w:r>
      <w:r w:rsidRPr="00FA1DB3">
        <w:t>during the exclusive use period. ‘Exclusive use period’ will be defined in condition 3 as the period commencing upon gazettal of the draft variation and ending 15 months after that date</w:t>
      </w:r>
    </w:p>
    <w:p w14:paraId="48B14892" w14:textId="77777777" w:rsidR="00134DD6" w:rsidRPr="00FA1DB3" w:rsidRDefault="00134DD6" w:rsidP="00134DD6">
      <w:pPr>
        <w:widowControl/>
        <w:spacing w:before="120" w:beforeAutospacing="0" w:after="120" w:afterAutospacing="0"/>
        <w:jc w:val="both"/>
      </w:pPr>
      <w:r w:rsidRPr="00FA1DB3">
        <w:lastRenderedPageBreak/>
        <w:t xml:space="preserve">Once this period ends, the permission will revert to a general permission, meaning that the permission will then permit the sale of </w:t>
      </w:r>
      <w:r w:rsidRPr="00FA1DB3">
        <w:rPr>
          <w:szCs w:val="22"/>
        </w:rPr>
        <w:t xml:space="preserve">2′-FL </w:t>
      </w:r>
      <w:r w:rsidRPr="00FA1DB3">
        <w:t xml:space="preserve">sourced from </w:t>
      </w:r>
      <w:r w:rsidRPr="00FA1DB3">
        <w:rPr>
          <w:rFonts w:eastAsia="Calibri"/>
          <w:i/>
          <w:szCs w:val="22"/>
          <w:lang w:bidi="ar-SA"/>
        </w:rPr>
        <w:t xml:space="preserve">Escherichia coli </w:t>
      </w:r>
      <w:r w:rsidRPr="00FA1DB3">
        <w:rPr>
          <w:rFonts w:eastAsia="Calibri"/>
          <w:szCs w:val="22"/>
          <w:lang w:bidi="ar-SA"/>
        </w:rPr>
        <w:t>K-12 containing the gene for alpha</w:t>
      </w:r>
      <w:r w:rsidRPr="00FA1DB3">
        <w:rPr>
          <w:rFonts w:eastAsia="Calibri"/>
          <w:szCs w:val="18"/>
        </w:rPr>
        <w:t xml:space="preserve">-1,2-fucosyltransferase from </w:t>
      </w:r>
      <w:r w:rsidRPr="00FA1DB3">
        <w:rPr>
          <w:rFonts w:eastAsia="Calibri"/>
          <w:i/>
          <w:szCs w:val="18"/>
        </w:rPr>
        <w:t xml:space="preserve">Bacteroides vulgatus </w:t>
      </w:r>
      <w:r w:rsidRPr="00FA1DB3">
        <w:rPr>
          <w:rFonts w:eastAsia="Calibri"/>
          <w:szCs w:val="18"/>
        </w:rPr>
        <w:t>to be sold under any brand</w:t>
      </w:r>
      <w:r w:rsidRPr="00FA1DB3">
        <w:t>.</w:t>
      </w:r>
    </w:p>
    <w:p w14:paraId="48B14893" w14:textId="77777777" w:rsidR="00D5526B" w:rsidRPr="003A01FB" w:rsidRDefault="00134DD6" w:rsidP="00134DD6">
      <w:r w:rsidRPr="00FA1DB3">
        <w:t xml:space="preserve">The </w:t>
      </w:r>
      <w:r>
        <w:t xml:space="preserve">amendments made by </w:t>
      </w:r>
      <w:r w:rsidRPr="00155DA4">
        <w:rPr>
          <w:b/>
        </w:rPr>
        <w:t>item [2]</w:t>
      </w:r>
      <w:r w:rsidRPr="00FA1DB3">
        <w:t xml:space="preserve"> </w:t>
      </w:r>
      <w:r>
        <w:t>do</w:t>
      </w:r>
      <w:r w:rsidRPr="00FA1DB3">
        <w:t xml:space="preserve"> not make any substantive change to </w:t>
      </w:r>
      <w:r w:rsidRPr="00FA1DB3">
        <w:rPr>
          <w:i/>
        </w:rPr>
        <w:t>existing</w:t>
      </w:r>
      <w:r w:rsidRPr="00FA1DB3">
        <w:t xml:space="preserve"> permissions and to other requirements in the Code relating to food produced using gene technology.</w:t>
      </w:r>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4896" w14:textId="77777777" w:rsidR="001803FE" w:rsidRDefault="001803FE" w:rsidP="00134DD6">
      <w:pPr>
        <w:spacing w:before="0" w:after="0"/>
      </w:pPr>
      <w:r>
        <w:separator/>
      </w:r>
    </w:p>
  </w:endnote>
  <w:endnote w:type="continuationSeparator" w:id="0">
    <w:p w14:paraId="48B14897" w14:textId="77777777" w:rsidR="001803FE" w:rsidRDefault="001803FE" w:rsidP="00134D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14894" w14:textId="77777777" w:rsidR="001803FE" w:rsidRDefault="001803FE" w:rsidP="00134DD6">
      <w:pPr>
        <w:spacing w:before="0" w:after="0"/>
      </w:pPr>
      <w:r>
        <w:separator/>
      </w:r>
    </w:p>
  </w:footnote>
  <w:footnote w:type="continuationSeparator" w:id="0">
    <w:p w14:paraId="48B14895" w14:textId="77777777" w:rsidR="001803FE" w:rsidRDefault="001803FE" w:rsidP="00134D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1A25"/>
    <w:multiLevelType w:val="hybridMultilevel"/>
    <w:tmpl w:val="3884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6"/>
  </w:num>
  <w:num w:numId="9">
    <w:abstractNumId w:val="4"/>
  </w:num>
  <w:num w:numId="10">
    <w:abstractNumId w:val="5"/>
  </w:num>
  <w:num w:numId="11">
    <w:abstractNumId w:val="6"/>
  </w:num>
  <w:num w:numId="12">
    <w:abstractNumId w:val="4"/>
  </w:num>
  <w:num w:numId="13">
    <w:abstractNumId w:val="5"/>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D6"/>
    <w:rsid w:val="0000542C"/>
    <w:rsid w:val="00041643"/>
    <w:rsid w:val="000622E7"/>
    <w:rsid w:val="00066854"/>
    <w:rsid w:val="00066D85"/>
    <w:rsid w:val="000A38F8"/>
    <w:rsid w:val="000F2196"/>
    <w:rsid w:val="00134DD6"/>
    <w:rsid w:val="001734EA"/>
    <w:rsid w:val="001803FE"/>
    <w:rsid w:val="00184403"/>
    <w:rsid w:val="00191770"/>
    <w:rsid w:val="001B7C0E"/>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83C82"/>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14863"/>
  <w15:chartTrackingRefBased/>
  <w15:docId w15:val="{6622623E-F6EC-43FD-84F3-D91C0D2C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134DD6"/>
    <w:pPr>
      <w:widowControl w:val="0"/>
      <w:spacing w:before="100" w:beforeAutospacing="1" w:after="100" w:afterAutospacing="1"/>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MMF7YEMDTSDN-199-16959</_dlc_DocId>
    <_dlc_DocIdUrl xmlns="5759555f-5bed-45a4-a4c2-4e28e2623455">
      <Url>http://fsintranet/Sections/pss/_layouts/15/DocIdRedir.aspx?ID=MMF7YEMDTSDN-199-16959</Url>
      <Description>MMF7YEMDTSDN-199-16959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24A7-A887-4672-B659-EDD842F62E40}">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5759555f-5bed-45a4-a4c2-4e28e2623455"/>
    <ds:schemaRef ds:uri="http://www.w3.org/XML/1998/namespace"/>
    <ds:schemaRef ds:uri="http://purl.org/dc/elements/1.1/"/>
    <ds:schemaRef ds:uri="http://schemas.microsoft.com/office/infopath/2007/PartnerControls"/>
    <ds:schemaRef ds:uri="ec50576e-4a27-4780-a1e1-e59563bc70b8"/>
  </ds:schemaRefs>
</ds:datastoreItem>
</file>

<file path=customXml/itemProps2.xml><?xml version="1.0" encoding="utf-8"?>
<ds:datastoreItem xmlns:ds="http://schemas.openxmlformats.org/officeDocument/2006/customXml" ds:itemID="{A3D0CB6A-6130-49A4-8F52-EB33A44FD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F55C5-AEB7-4747-9A98-2E5021AAB254}">
  <ds:schemaRefs>
    <ds:schemaRef ds:uri="Microsoft.SharePoint.Taxonomy.ContentTypeSync"/>
  </ds:schemaRefs>
</ds:datastoreItem>
</file>

<file path=customXml/itemProps4.xml><?xml version="1.0" encoding="utf-8"?>
<ds:datastoreItem xmlns:ds="http://schemas.openxmlformats.org/officeDocument/2006/customXml" ds:itemID="{783B94C9-5776-44C8-B730-73BC6E110A5B}">
  <ds:schemaRefs>
    <ds:schemaRef ds:uri="http://schemas.microsoft.com/sharepoint/events"/>
  </ds:schemaRefs>
</ds:datastoreItem>
</file>

<file path=customXml/itemProps5.xml><?xml version="1.0" encoding="utf-8"?>
<ds:datastoreItem xmlns:ds="http://schemas.openxmlformats.org/officeDocument/2006/customXml" ds:itemID="{DBA07E25-F37B-4DE3-926D-F835A3BE3451}">
  <ds:schemaRefs>
    <ds:schemaRef ds:uri="http://schemas.microsoft.com/office/2006/metadata/customXsn"/>
  </ds:schemaRefs>
</ds:datastoreItem>
</file>

<file path=customXml/itemProps6.xml><?xml version="1.0" encoding="utf-8"?>
<ds:datastoreItem xmlns:ds="http://schemas.openxmlformats.org/officeDocument/2006/customXml" ds:itemID="{90D75102-E581-4B97-B8C5-46BEB668B723}">
  <ds:schemaRefs>
    <ds:schemaRef ds:uri="http://schemas.microsoft.com/sharepoint/v3/contenttype/forms"/>
  </ds:schemaRefs>
</ds:datastoreItem>
</file>

<file path=customXml/itemProps7.xml><?xml version="1.0" encoding="utf-8"?>
<ds:datastoreItem xmlns:ds="http://schemas.openxmlformats.org/officeDocument/2006/customXml" ds:itemID="{627472E4-3194-4D85-A58B-C320CFE9DCDE}">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0FD74FE4-5332-4FAB-B984-D29473E1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Christel Leemhuis</cp:lastModifiedBy>
  <cp:revision>3</cp:revision>
  <dcterms:created xsi:type="dcterms:W3CDTF">2022-07-05T04:34:00Z</dcterms:created>
  <dcterms:modified xsi:type="dcterms:W3CDTF">2022-07-07T04:53:00Z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25fdf82a-190e-45bb-8e6b-067bb0833dab</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c96310e8-4f75-4dd9-9d04-85e1f3398b0c</vt:lpwstr>
  </property>
  <property fmtid="{D5CDD505-2E9C-101B-9397-08002B2CF9AE}" pid="9" name="DisposalClass">
    <vt:lpwstr/>
  </property>
  <property fmtid="{D5CDD505-2E9C-101B-9397-08002B2CF9AE}" pid="10" name="BCS_">
    <vt:lpwstr>531;#Instruments|4a8ff5e5-1f0e-4751-ab44-bc0d33b46a80</vt:lpwstr>
  </property>
</Properties>
</file>