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A1712" w14:textId="7534BDBE" w:rsidR="00050D43" w:rsidRPr="00D96AFA" w:rsidRDefault="003F275F" w:rsidP="008761AC">
      <w:pPr>
        <w:pStyle w:val="Title"/>
        <w:spacing w:before="0"/>
      </w:pPr>
      <w:r w:rsidRPr="00D96AFA">
        <w:t>EXPLANATORY STATEMENT</w:t>
      </w:r>
    </w:p>
    <w:p w14:paraId="40D85EA0" w14:textId="702FCF68" w:rsidR="003F275F" w:rsidRPr="00D96AFA" w:rsidRDefault="003F275F" w:rsidP="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Cs/>
          <w:lang w:val="en-AU"/>
        </w:rPr>
      </w:pPr>
      <w:r w:rsidRPr="00D96AFA">
        <w:rPr>
          <w:bCs/>
          <w:i/>
          <w:lang w:val="en-AU"/>
        </w:rPr>
        <w:t>H</w:t>
      </w:r>
      <w:r w:rsidR="008761AC" w:rsidRPr="00D96AFA">
        <w:rPr>
          <w:bCs/>
          <w:i/>
          <w:lang w:val="en-AU"/>
        </w:rPr>
        <w:t>ealth Insurance Act</w:t>
      </w:r>
      <w:r w:rsidRPr="00D96AFA">
        <w:rPr>
          <w:bCs/>
          <w:i/>
          <w:lang w:val="en-AU"/>
        </w:rPr>
        <w:t xml:space="preserve"> 1973</w:t>
      </w:r>
    </w:p>
    <w:p w14:paraId="47B2F47E" w14:textId="0BAEB0C6" w:rsidR="003F275F" w:rsidRPr="00D96AFA" w:rsidRDefault="009E6BBB" w:rsidP="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Cs/>
          <w:i/>
          <w:lang w:val="en-AU"/>
        </w:rPr>
      </w:pPr>
      <w:r w:rsidRPr="00D96AFA">
        <w:rPr>
          <w:bCs/>
          <w:i/>
        </w:rPr>
        <w:t xml:space="preserve">Health Insurance (Quality Assurance Activity </w:t>
      </w:r>
      <w:r w:rsidRPr="00D96AFA">
        <w:rPr>
          <w:bCs/>
          <w:i/>
          <w:iCs/>
        </w:rPr>
        <w:t xml:space="preserve">– </w:t>
      </w:r>
      <w:r w:rsidRPr="00D96AFA">
        <w:rPr>
          <w:bCs/>
          <w:i/>
        </w:rPr>
        <w:t xml:space="preserve">Australian </w:t>
      </w:r>
      <w:proofErr w:type="spellStart"/>
      <w:r w:rsidRPr="00D96AFA">
        <w:rPr>
          <w:bCs/>
          <w:i/>
        </w:rPr>
        <w:t>Orthopaedic</w:t>
      </w:r>
      <w:proofErr w:type="spellEnd"/>
      <w:r w:rsidRPr="00D96AFA">
        <w:rPr>
          <w:bCs/>
          <w:i/>
        </w:rPr>
        <w:t xml:space="preserve"> Association National Joint Replacement Registry) Declaration 2022</w:t>
      </w:r>
    </w:p>
    <w:p w14:paraId="375A73D8" w14:textId="77777777" w:rsidR="003F275F" w:rsidRPr="00D96AFA" w:rsidRDefault="003F275F" w:rsidP="003F275F">
      <w:pPr>
        <w:tabs>
          <w:tab w:val="left" w:pos="6521"/>
        </w:tabs>
        <w:spacing w:before="240" w:after="120"/>
        <w:ind w:right="-164"/>
        <w:rPr>
          <w:b/>
          <w:bCs/>
        </w:rPr>
      </w:pPr>
      <w:r w:rsidRPr="00D96AFA">
        <w:rPr>
          <w:b/>
          <w:bCs/>
        </w:rPr>
        <w:t>Authority</w:t>
      </w:r>
    </w:p>
    <w:p w14:paraId="241AF8CB" w14:textId="4CE66B32" w:rsidR="003F275F" w:rsidRPr="00D96AFA" w:rsidRDefault="003F275F" w:rsidP="003F275F">
      <w:pPr>
        <w:tabs>
          <w:tab w:val="left" w:pos="6521"/>
        </w:tabs>
        <w:spacing w:before="240" w:after="120"/>
        <w:ind w:right="-164"/>
      </w:pPr>
      <w:r w:rsidRPr="00D96AFA">
        <w:t xml:space="preserve">The </w:t>
      </w:r>
      <w:bookmarkStart w:id="0" w:name="_Hlk97890380"/>
      <w:r w:rsidR="009E6BBB" w:rsidRPr="00D96AFA">
        <w:rPr>
          <w:i/>
        </w:rPr>
        <w:t xml:space="preserve">Health Insurance (Quality Assurance Activity </w:t>
      </w:r>
      <w:r w:rsidR="009E6BBB" w:rsidRPr="00D96AFA">
        <w:rPr>
          <w:i/>
          <w:iCs/>
        </w:rPr>
        <w:t xml:space="preserve">– </w:t>
      </w:r>
      <w:r w:rsidR="009E6BBB" w:rsidRPr="00D96AFA">
        <w:rPr>
          <w:i/>
        </w:rPr>
        <w:t xml:space="preserve">Australian </w:t>
      </w:r>
      <w:r w:rsidR="002F1408" w:rsidRPr="00D96AFA">
        <w:rPr>
          <w:i/>
          <w:iCs/>
          <w:lang w:val="en-AU"/>
        </w:rPr>
        <w:t xml:space="preserve">Orthopaedic </w:t>
      </w:r>
      <w:r w:rsidR="009E6BBB" w:rsidRPr="00D96AFA">
        <w:rPr>
          <w:i/>
        </w:rPr>
        <w:t>Association National Joint Replacement Registry) Declaration 2022</w:t>
      </w:r>
      <w:r w:rsidR="009E6BBB" w:rsidRPr="00D96AFA">
        <w:rPr>
          <w:i/>
          <w:iCs/>
          <w:lang w:val="en-AU"/>
        </w:rPr>
        <w:t xml:space="preserve"> </w:t>
      </w:r>
      <w:bookmarkEnd w:id="0"/>
      <w:r w:rsidR="00E85F3C" w:rsidRPr="00D96AFA">
        <w:rPr>
          <w:iCs/>
          <w:lang w:val="en-AU"/>
        </w:rPr>
        <w:t>(</w:t>
      </w:r>
      <w:r w:rsidR="002F1408" w:rsidRPr="00D96AFA">
        <w:rPr>
          <w:iCs/>
          <w:lang w:val="en-AU"/>
        </w:rPr>
        <w:t xml:space="preserve">the </w:t>
      </w:r>
      <w:r w:rsidR="00E24AF7" w:rsidRPr="00D96AFA">
        <w:rPr>
          <w:iCs/>
          <w:lang w:val="en-AU"/>
        </w:rPr>
        <w:t>instrument</w:t>
      </w:r>
      <w:r w:rsidR="00E85F3C" w:rsidRPr="00D96AFA">
        <w:rPr>
          <w:iCs/>
          <w:lang w:val="en-AU"/>
        </w:rPr>
        <w:t xml:space="preserve">) </w:t>
      </w:r>
      <w:r w:rsidRPr="00D96AFA">
        <w:rPr>
          <w:iCs/>
        </w:rPr>
        <w:t xml:space="preserve">is </w:t>
      </w:r>
      <w:r w:rsidRPr="00D96AFA">
        <w:t>made under subsection 124</w:t>
      </w:r>
      <w:proofErr w:type="gramStart"/>
      <w:r w:rsidRPr="00D96AFA">
        <w:t>X(</w:t>
      </w:r>
      <w:proofErr w:type="gramEnd"/>
      <w:r w:rsidRPr="00D96AFA">
        <w:t xml:space="preserve">1) of the </w:t>
      </w:r>
      <w:r w:rsidRPr="00D96AFA">
        <w:rPr>
          <w:i/>
        </w:rPr>
        <w:t>Health Insurance Act 1973</w:t>
      </w:r>
      <w:r w:rsidRPr="00D96AFA">
        <w:t xml:space="preserve"> (Act). </w:t>
      </w:r>
    </w:p>
    <w:p w14:paraId="6CA8EDE5" w14:textId="3EAB4C6F" w:rsidR="001A5FC7" w:rsidRPr="00D96AFA" w:rsidRDefault="001A5FC7" w:rsidP="003F275F">
      <w:pPr>
        <w:tabs>
          <w:tab w:val="left" w:pos="6521"/>
        </w:tabs>
        <w:spacing w:before="240" w:after="120"/>
        <w:ind w:right="-164"/>
        <w:rPr>
          <w:lang w:val="en-AU"/>
        </w:rPr>
      </w:pPr>
      <w:r w:rsidRPr="00D96AFA">
        <w:t>Subsection 124</w:t>
      </w:r>
      <w:proofErr w:type="gramStart"/>
      <w:r w:rsidRPr="00D96AFA">
        <w:t>X(</w:t>
      </w:r>
      <w:proofErr w:type="gramEnd"/>
      <w:r w:rsidRPr="00D96AFA">
        <w:t>1) of the Act provides that the Minister for Health may, b</w:t>
      </w:r>
      <w:r w:rsidRPr="00D96AFA">
        <w:rPr>
          <w:rFonts w:hint="eastAsia"/>
          <w:lang w:eastAsia="ja-JP"/>
        </w:rPr>
        <w:t>y</w:t>
      </w:r>
      <w:r w:rsidRPr="00D96AFA">
        <w:t xml:space="preserve"> legislative instrument, declare a quality assurance activity described in </w:t>
      </w:r>
      <w:r w:rsidR="00E24AF7" w:rsidRPr="00D96AFA">
        <w:t>a</w:t>
      </w:r>
      <w:r w:rsidRPr="00D96AFA">
        <w:t xml:space="preserve"> declaration to be a quality assurance activity to which Part VC applies.</w:t>
      </w:r>
      <w:r w:rsidR="00BB6B38" w:rsidRPr="00D96AFA">
        <w:t xml:space="preserve"> The </w:t>
      </w:r>
      <w:r w:rsidR="00BB6B38" w:rsidRPr="00D96AFA">
        <w:rPr>
          <w:i/>
        </w:rPr>
        <w:t xml:space="preserve">Health Insurance (Quality Assurance Activity </w:t>
      </w:r>
      <w:r w:rsidR="00BB6B38" w:rsidRPr="00D96AFA">
        <w:rPr>
          <w:i/>
          <w:iCs/>
        </w:rPr>
        <w:t xml:space="preserve">– </w:t>
      </w:r>
      <w:r w:rsidR="00BB6B38" w:rsidRPr="00D96AFA">
        <w:rPr>
          <w:i/>
        </w:rPr>
        <w:t xml:space="preserve">Australian </w:t>
      </w:r>
      <w:r w:rsidR="00BB6B38" w:rsidRPr="00D96AFA">
        <w:rPr>
          <w:i/>
          <w:iCs/>
          <w:lang w:val="en-AU"/>
        </w:rPr>
        <w:t xml:space="preserve">Orthopaedic </w:t>
      </w:r>
      <w:r w:rsidR="00BB6B38" w:rsidRPr="00D96AFA">
        <w:rPr>
          <w:i/>
        </w:rPr>
        <w:t xml:space="preserve">Association National Joint Replacement Registry) Declaration 2022 </w:t>
      </w:r>
      <w:r w:rsidR="00BB6B38" w:rsidRPr="00D96AFA">
        <w:rPr>
          <w:iCs/>
        </w:rPr>
        <w:t xml:space="preserve">declares the </w:t>
      </w:r>
      <w:r w:rsidR="00BB6B38" w:rsidRPr="00D96AFA">
        <w:rPr>
          <w:rFonts w:eastAsia="Times New Roman"/>
          <w:iCs/>
          <w:kern w:val="28"/>
          <w:szCs w:val="22"/>
          <w:lang w:eastAsia="en-AU"/>
        </w:rPr>
        <w:t xml:space="preserve">Australian </w:t>
      </w:r>
      <w:r w:rsidR="00BB6B38" w:rsidRPr="00D96AFA">
        <w:rPr>
          <w:rFonts w:eastAsia="Times New Roman"/>
          <w:iCs/>
          <w:kern w:val="28"/>
          <w:szCs w:val="22"/>
          <w:lang w:val="en-AU" w:eastAsia="en-AU"/>
        </w:rPr>
        <w:t xml:space="preserve">Orthopaedic </w:t>
      </w:r>
      <w:r w:rsidR="00BB6B38" w:rsidRPr="00D96AFA">
        <w:rPr>
          <w:rFonts w:eastAsia="Times New Roman"/>
          <w:iCs/>
          <w:kern w:val="28"/>
          <w:szCs w:val="22"/>
          <w:lang w:eastAsia="en-AU"/>
        </w:rPr>
        <w:t>Association National Joint Replacement Registry</w:t>
      </w:r>
      <w:r w:rsidR="00BB6B38" w:rsidRPr="00D96AFA">
        <w:rPr>
          <w:rFonts w:eastAsia="Times New Roman"/>
          <w:bCs/>
          <w:iCs/>
          <w:kern w:val="28"/>
          <w:szCs w:val="22"/>
          <w:lang w:eastAsia="en-AU"/>
        </w:rPr>
        <w:t xml:space="preserve"> </w:t>
      </w:r>
      <w:r w:rsidR="00BB6B38" w:rsidRPr="00D96AFA">
        <w:rPr>
          <w:bCs/>
          <w:iCs/>
          <w:szCs w:val="24"/>
        </w:rPr>
        <w:t>(Activity)</w:t>
      </w:r>
      <w:r w:rsidR="00BB6B38" w:rsidRPr="00D96AFA">
        <w:rPr>
          <w:iCs/>
          <w:lang w:val="en-AU"/>
        </w:rPr>
        <w:t xml:space="preserve"> to be a quality</w:t>
      </w:r>
      <w:r w:rsidR="00BB6B38" w:rsidRPr="00D96AFA">
        <w:rPr>
          <w:lang w:val="en-AU"/>
        </w:rPr>
        <w:t xml:space="preserve"> assurance activity to which Part VC of the Act applies.</w:t>
      </w:r>
    </w:p>
    <w:p w14:paraId="39C736A0" w14:textId="6392B09C" w:rsidR="003F275F" w:rsidRPr="00D96AFA" w:rsidRDefault="003F275F" w:rsidP="003F275F">
      <w:pPr>
        <w:tabs>
          <w:tab w:val="left" w:pos="6521"/>
        </w:tabs>
        <w:spacing w:before="240" w:after="120"/>
        <w:ind w:right="-164"/>
        <w:rPr>
          <w:b/>
        </w:rPr>
      </w:pPr>
      <w:r w:rsidRPr="00D96AFA">
        <w:rPr>
          <w:b/>
        </w:rPr>
        <w:t xml:space="preserve">Purpose </w:t>
      </w:r>
    </w:p>
    <w:p w14:paraId="2557AE81" w14:textId="56BA3821" w:rsidR="003F275F" w:rsidRPr="00D96AFA" w:rsidRDefault="003F275F" w:rsidP="003F275F">
      <w:pPr>
        <w:tabs>
          <w:tab w:val="left" w:pos="6521"/>
        </w:tabs>
        <w:spacing w:before="200" w:after="120"/>
        <w:ind w:right="-164"/>
      </w:pPr>
      <w:r w:rsidRPr="00D96AFA">
        <w:t xml:space="preserve">Part VC of the Act creates a scheme to encourage efficient quality assurance activities in connection with the provision of health services. Those activities </w:t>
      </w:r>
      <w:r w:rsidR="002F1408" w:rsidRPr="00D96AFA">
        <w:t>help to improve the quality of joint replacement and knee osteotomy surgeries that receive funding from the Government, including through the Medicare Benefits Schedule, the Pharmaceutical Benefits Scheme, and Health Program Grants.</w:t>
      </w:r>
      <w:r w:rsidRPr="00D96AFA">
        <w:rPr>
          <w:color w:val="0070C0"/>
        </w:rPr>
        <w:t xml:space="preserve"> </w:t>
      </w:r>
      <w:r w:rsidRPr="00D96AFA">
        <w:t>The scheme encourages participation in such activities by protecting certain information from disclosure</w:t>
      </w:r>
      <w:r w:rsidR="00F33494" w:rsidRPr="00D96AFA">
        <w:t xml:space="preserve"> </w:t>
      </w:r>
      <w:r w:rsidRPr="00D96AFA">
        <w:t xml:space="preserve">and by providing some protection from civil liability to certain persons </w:t>
      </w:r>
      <w:r w:rsidR="00E609C0" w:rsidRPr="00D96AFA">
        <w:t xml:space="preserve">in respect of their engagement in those activities in good faith. </w:t>
      </w:r>
    </w:p>
    <w:p w14:paraId="2FCE5618" w14:textId="5A541380" w:rsidR="003F275F" w:rsidRPr="00D96AFA" w:rsidRDefault="003F275F" w:rsidP="003F275F">
      <w:pPr>
        <w:tabs>
          <w:tab w:val="left" w:pos="6521"/>
        </w:tabs>
        <w:spacing w:before="200" w:after="120"/>
        <w:ind w:right="-164"/>
        <w:rPr>
          <w:lang w:val="en-AU"/>
        </w:rPr>
      </w:pPr>
      <w:r w:rsidRPr="00D96AFA">
        <w:t>The purpose of th</w:t>
      </w:r>
      <w:r w:rsidR="00FE241E" w:rsidRPr="00D96AFA">
        <w:t>is</w:t>
      </w:r>
      <w:r w:rsidRPr="00D96AFA">
        <w:t xml:space="preserve"> </w:t>
      </w:r>
      <w:r w:rsidR="00F33494" w:rsidRPr="00D96AFA">
        <w:rPr>
          <w:bCs/>
          <w:lang w:val="en-AU"/>
        </w:rPr>
        <w:t>instrument</w:t>
      </w:r>
      <w:r w:rsidRPr="00D96AFA">
        <w:rPr>
          <w:bCs/>
        </w:rPr>
        <w:t xml:space="preserve"> is to declare the</w:t>
      </w:r>
      <w:r w:rsidRPr="00D96AFA">
        <w:rPr>
          <w:bCs/>
          <w:lang w:val="en-AU"/>
        </w:rPr>
        <w:t xml:space="preserve"> </w:t>
      </w:r>
      <w:r w:rsidR="002A2C68" w:rsidRPr="00D96AFA">
        <w:rPr>
          <w:rFonts w:eastAsia="Times New Roman"/>
          <w:iCs/>
          <w:kern w:val="28"/>
          <w:szCs w:val="22"/>
          <w:lang w:eastAsia="en-AU"/>
        </w:rPr>
        <w:t>Activity</w:t>
      </w:r>
      <w:r w:rsidRPr="00D96AFA">
        <w:rPr>
          <w:iCs/>
          <w:lang w:val="en-AU"/>
        </w:rPr>
        <w:t xml:space="preserve"> to be a quality</w:t>
      </w:r>
      <w:r w:rsidRPr="00D96AFA">
        <w:rPr>
          <w:lang w:val="en-AU"/>
        </w:rPr>
        <w:t xml:space="preserve"> assurance activity to which Part VC of the</w:t>
      </w:r>
      <w:r w:rsidR="008F082E" w:rsidRPr="00D96AFA">
        <w:rPr>
          <w:lang w:val="en-AU"/>
        </w:rPr>
        <w:t> </w:t>
      </w:r>
      <w:r w:rsidRPr="00D96AFA">
        <w:rPr>
          <w:lang w:val="en-AU"/>
        </w:rPr>
        <w:t xml:space="preserve">Act applies. </w:t>
      </w:r>
    </w:p>
    <w:p w14:paraId="2CD8EEBD" w14:textId="76899EF0" w:rsidR="009A2638" w:rsidRPr="00D96AFA" w:rsidRDefault="003F275F" w:rsidP="008F082E">
      <w:pPr>
        <w:tabs>
          <w:tab w:val="left" w:pos="6521"/>
        </w:tabs>
        <w:spacing w:before="200" w:after="120"/>
        <w:ind w:right="-164"/>
      </w:pPr>
      <w:r w:rsidRPr="00D96AFA">
        <w:rPr>
          <w:lang w:val="en-AU"/>
        </w:rPr>
        <w:t xml:space="preserve">The </w:t>
      </w:r>
      <w:r w:rsidR="009A2638" w:rsidRPr="00D96AFA">
        <w:rPr>
          <w:lang w:val="en-AU"/>
        </w:rPr>
        <w:t xml:space="preserve">Activity </w:t>
      </w:r>
      <w:r w:rsidRPr="00D96AFA">
        <w:rPr>
          <w:lang w:val="en-AU"/>
        </w:rPr>
        <w:t xml:space="preserve">is undertaken by </w:t>
      </w:r>
      <w:r w:rsidR="008F082E" w:rsidRPr="00D96AFA">
        <w:rPr>
          <w:color w:val="000000"/>
          <w:shd w:val="clear" w:color="auto" w:fill="FFFFFF"/>
        </w:rPr>
        <w:t xml:space="preserve">the Australian </w:t>
      </w:r>
      <w:proofErr w:type="spellStart"/>
      <w:r w:rsidR="009E6BBB" w:rsidRPr="00D96AFA">
        <w:rPr>
          <w:color w:val="000000"/>
          <w:shd w:val="clear" w:color="auto" w:fill="FFFFFF"/>
        </w:rPr>
        <w:t>Orthopaedic</w:t>
      </w:r>
      <w:proofErr w:type="spellEnd"/>
      <w:r w:rsidR="009E6BBB" w:rsidRPr="00D96AFA">
        <w:rPr>
          <w:color w:val="000000"/>
          <w:shd w:val="clear" w:color="auto" w:fill="FFFFFF"/>
        </w:rPr>
        <w:t xml:space="preserve"> Association</w:t>
      </w:r>
      <w:r w:rsidR="009A2638" w:rsidRPr="00D96AFA">
        <w:rPr>
          <w:color w:val="000000"/>
          <w:shd w:val="clear" w:color="auto" w:fill="FFFFFF"/>
        </w:rPr>
        <w:t xml:space="preserve"> </w:t>
      </w:r>
      <w:r w:rsidR="009A2638" w:rsidRPr="00D96AFA">
        <w:t>(</w:t>
      </w:r>
      <w:r w:rsidR="009E6BBB" w:rsidRPr="00D96AFA">
        <w:t>A</w:t>
      </w:r>
      <w:r w:rsidR="009A2638" w:rsidRPr="00D96AFA">
        <w:t>OA)</w:t>
      </w:r>
      <w:r w:rsidRPr="00D96AFA">
        <w:rPr>
          <w:bCs/>
          <w:szCs w:val="24"/>
        </w:rPr>
        <w:t xml:space="preserve">. </w:t>
      </w:r>
      <w:r w:rsidR="009E6BBB" w:rsidRPr="00D96AFA">
        <w:t xml:space="preserve">The AOA is the peak professional representative </w:t>
      </w:r>
      <w:proofErr w:type="spellStart"/>
      <w:r w:rsidR="009E6BBB" w:rsidRPr="00D96AFA">
        <w:t>organisation</w:t>
      </w:r>
      <w:proofErr w:type="spellEnd"/>
      <w:r w:rsidR="009E6BBB" w:rsidRPr="00D96AFA">
        <w:t xml:space="preserve"> for </w:t>
      </w:r>
      <w:proofErr w:type="spellStart"/>
      <w:r w:rsidR="009E6BBB" w:rsidRPr="00D96AFA">
        <w:t>orthopaedic</w:t>
      </w:r>
      <w:proofErr w:type="spellEnd"/>
      <w:r w:rsidR="009E6BBB" w:rsidRPr="00D96AFA">
        <w:t xml:space="preserve"> surgeons in Australia. </w:t>
      </w:r>
      <w:r w:rsidR="009A2638" w:rsidRPr="00D96AFA">
        <w:rPr>
          <w:lang w:val="en-AU"/>
        </w:rPr>
        <w:t xml:space="preserve">The </w:t>
      </w:r>
      <w:r w:rsidR="009E6BBB" w:rsidRPr="00D96AFA">
        <w:rPr>
          <w:lang w:val="en-AU"/>
        </w:rPr>
        <w:t>AOA</w:t>
      </w:r>
      <w:r w:rsidR="009A2638" w:rsidRPr="00D96AFA">
        <w:rPr>
          <w:lang w:val="en-AU"/>
        </w:rPr>
        <w:t xml:space="preserve"> is a </w:t>
      </w:r>
      <w:r w:rsidR="009E6BBB" w:rsidRPr="00D96AFA">
        <w:t xml:space="preserve">not-for-profit </w:t>
      </w:r>
      <w:proofErr w:type="spellStart"/>
      <w:r w:rsidR="009E6BBB" w:rsidRPr="00D96AFA">
        <w:t>organisation</w:t>
      </w:r>
      <w:proofErr w:type="spellEnd"/>
      <w:r w:rsidR="009E6BBB" w:rsidRPr="00D96AFA">
        <w:t xml:space="preserve"> and is responsible for the management of the </w:t>
      </w:r>
      <w:r w:rsidR="00D47784" w:rsidRPr="00D96AFA">
        <w:t>Activity</w:t>
      </w:r>
      <w:r w:rsidR="00291E23" w:rsidRPr="00D96AFA">
        <w:t>,</w:t>
      </w:r>
      <w:r w:rsidR="00D47784" w:rsidRPr="00D96AFA">
        <w:t xml:space="preserve"> </w:t>
      </w:r>
      <w:r w:rsidR="009E6BBB" w:rsidRPr="00D96AFA">
        <w:t xml:space="preserve">including </w:t>
      </w:r>
      <w:r w:rsidR="007D271A" w:rsidRPr="00D96AFA">
        <w:t xml:space="preserve">publicly </w:t>
      </w:r>
      <w:r w:rsidR="009E6BBB" w:rsidRPr="00D96AFA">
        <w:t xml:space="preserve">disseminating </w:t>
      </w:r>
      <w:r w:rsidR="00D47784" w:rsidRPr="00D96AFA">
        <w:t>R</w:t>
      </w:r>
      <w:r w:rsidR="009E6BBB" w:rsidRPr="00D96AFA">
        <w:t>egistry data and research outcomes</w:t>
      </w:r>
      <w:r w:rsidR="008F082E" w:rsidRPr="00D96AFA">
        <w:rPr>
          <w:szCs w:val="24"/>
        </w:rPr>
        <w:t>.</w:t>
      </w:r>
      <w:r w:rsidR="009A2638" w:rsidRPr="00D96AFA">
        <w:t xml:space="preserve">  </w:t>
      </w:r>
    </w:p>
    <w:p w14:paraId="199406CE" w14:textId="18A34FFB" w:rsidR="00F42B42" w:rsidRPr="00D96AFA" w:rsidRDefault="00F42B42" w:rsidP="008F082E">
      <w:pPr>
        <w:tabs>
          <w:tab w:val="left" w:pos="6521"/>
        </w:tabs>
        <w:spacing w:before="200" w:after="120"/>
        <w:ind w:right="-164"/>
      </w:pPr>
      <w:r w:rsidRPr="00D96AFA">
        <w:t xml:space="preserve">The purpose of the Activity is to </w:t>
      </w:r>
      <w:r w:rsidR="002F1408" w:rsidRPr="00D96AFA">
        <w:t xml:space="preserve">identify factors that result in improved standards in prostheses and </w:t>
      </w:r>
      <w:proofErr w:type="spellStart"/>
      <w:r w:rsidR="002F1408" w:rsidRPr="00D96AFA">
        <w:t>orthopaedic</w:t>
      </w:r>
      <w:proofErr w:type="spellEnd"/>
      <w:r w:rsidR="002F1408" w:rsidRPr="00D96AFA">
        <w:t xml:space="preserve"> surgical techniques</w:t>
      </w:r>
      <w:r w:rsidR="00D47784" w:rsidRPr="00D96AFA">
        <w:t>,</w:t>
      </w:r>
      <w:r w:rsidR="002F1408" w:rsidRPr="00D96AFA">
        <w:t xml:space="preserve"> as well as </w:t>
      </w:r>
      <w:r w:rsidR="00D47784" w:rsidRPr="00D96AFA">
        <w:t xml:space="preserve">to improve </w:t>
      </w:r>
      <w:r w:rsidR="002F1408" w:rsidRPr="00D96AFA">
        <w:t>the benefit</w:t>
      </w:r>
      <w:r w:rsidR="00D47784" w:rsidRPr="00D96AFA">
        <w:t>s</w:t>
      </w:r>
      <w:r w:rsidR="002F1408" w:rsidRPr="00D96AFA">
        <w:t xml:space="preserve"> and cost effectiveness of those procedures</w:t>
      </w:r>
      <w:r w:rsidR="0057399C" w:rsidRPr="00D96AFA">
        <w:t xml:space="preserve">, </w:t>
      </w:r>
      <w:r w:rsidR="002F1408" w:rsidRPr="00D96AFA">
        <w:t>including patient views.</w:t>
      </w:r>
      <w:r w:rsidRPr="00D96AFA">
        <w:t xml:space="preserve"> </w:t>
      </w:r>
    </w:p>
    <w:p w14:paraId="41AC81E5" w14:textId="058B93D6" w:rsidR="003F275F" w:rsidRPr="00D96AFA" w:rsidRDefault="00BA5DA2" w:rsidP="003F275F">
      <w:pPr>
        <w:tabs>
          <w:tab w:val="left" w:pos="6521"/>
        </w:tabs>
        <w:spacing w:before="200" w:after="120"/>
        <w:ind w:right="-164"/>
        <w:rPr>
          <w:b/>
          <w:lang w:val="en-AU"/>
        </w:rPr>
      </w:pPr>
      <w:r w:rsidRPr="00D96AFA">
        <w:rPr>
          <w:b/>
          <w:lang w:val="en-AU"/>
        </w:rPr>
        <w:t xml:space="preserve">Consultation </w:t>
      </w:r>
    </w:p>
    <w:p w14:paraId="120007A9" w14:textId="0332C961" w:rsidR="003F275F" w:rsidRPr="00D96AFA" w:rsidRDefault="003F275F" w:rsidP="003F275F">
      <w:pPr>
        <w:tabs>
          <w:tab w:val="left" w:pos="6521"/>
        </w:tabs>
        <w:spacing w:before="200" w:after="120"/>
        <w:ind w:right="-164"/>
        <w:rPr>
          <w:lang w:val="en-AU"/>
        </w:rPr>
      </w:pPr>
      <w:r w:rsidRPr="00D96AFA">
        <w:rPr>
          <w:lang w:val="en-AU"/>
        </w:rPr>
        <w:t xml:space="preserve">The </w:t>
      </w:r>
      <w:r w:rsidR="009E6BBB" w:rsidRPr="00D96AFA">
        <w:rPr>
          <w:lang w:val="en-AU"/>
        </w:rPr>
        <w:t>A</w:t>
      </w:r>
      <w:r w:rsidR="00AA122F" w:rsidRPr="00D96AFA">
        <w:rPr>
          <w:lang w:val="en-AU"/>
        </w:rPr>
        <w:t>OA</w:t>
      </w:r>
      <w:r w:rsidRPr="00D96AFA">
        <w:rPr>
          <w:lang w:val="en-AU"/>
        </w:rPr>
        <w:t>, as the applicant for declar</w:t>
      </w:r>
      <w:r w:rsidR="004800F0" w:rsidRPr="00D96AFA">
        <w:rPr>
          <w:lang w:val="en-AU"/>
        </w:rPr>
        <w:t>ing</w:t>
      </w:r>
      <w:r w:rsidRPr="00D96AFA">
        <w:rPr>
          <w:lang w:val="en-AU"/>
        </w:rPr>
        <w:t xml:space="preserve"> the </w:t>
      </w:r>
      <w:r w:rsidR="00F42B42" w:rsidRPr="00D96AFA">
        <w:rPr>
          <w:lang w:val="en-AU"/>
        </w:rPr>
        <w:t>Activity</w:t>
      </w:r>
      <w:r w:rsidR="00C31245" w:rsidRPr="00D96AFA">
        <w:rPr>
          <w:lang w:val="en-AU"/>
        </w:rPr>
        <w:t>,</w:t>
      </w:r>
      <w:r w:rsidRPr="00D96AFA">
        <w:rPr>
          <w:lang w:val="en-AU"/>
        </w:rPr>
        <w:t xml:space="preserve"> was consulted in relation to </w:t>
      </w:r>
      <w:r w:rsidR="009E6BBB" w:rsidRPr="00D96AFA">
        <w:rPr>
          <w:lang w:val="en-AU"/>
        </w:rPr>
        <w:t>the Activity and</w:t>
      </w:r>
      <w:r w:rsidRPr="00D96AFA">
        <w:rPr>
          <w:lang w:val="en-AU"/>
        </w:rPr>
        <w:t xml:space="preserve"> content of the </w:t>
      </w:r>
      <w:r w:rsidR="00EE035F" w:rsidRPr="00D96AFA">
        <w:rPr>
          <w:lang w:val="en-AU"/>
        </w:rPr>
        <w:t>instrument</w:t>
      </w:r>
      <w:r w:rsidRPr="00D96AFA">
        <w:rPr>
          <w:lang w:val="en-AU"/>
        </w:rPr>
        <w:t xml:space="preserve">. </w:t>
      </w:r>
      <w:r w:rsidR="00C31245" w:rsidRPr="00D96AFA">
        <w:rPr>
          <w:lang w:val="en-AU"/>
        </w:rPr>
        <w:t xml:space="preserve"> </w:t>
      </w:r>
    </w:p>
    <w:p w14:paraId="437E45C4" w14:textId="77777777" w:rsidR="003F275F" w:rsidRPr="00D96AFA" w:rsidRDefault="003F275F" w:rsidP="003F275F">
      <w:pPr>
        <w:tabs>
          <w:tab w:val="left" w:pos="6521"/>
        </w:tabs>
        <w:spacing w:after="120"/>
        <w:ind w:right="-164"/>
        <w:rPr>
          <w:lang w:val="en-AU"/>
        </w:rPr>
      </w:pPr>
      <w:r w:rsidRPr="00D96AFA">
        <w:rPr>
          <w:lang w:val="en-AU"/>
        </w:rPr>
        <w:t xml:space="preserve">The </w:t>
      </w:r>
      <w:r w:rsidR="00EE035F" w:rsidRPr="00D96AFA">
        <w:rPr>
          <w:lang w:val="en-AU"/>
        </w:rPr>
        <w:t xml:space="preserve">instrument </w:t>
      </w:r>
      <w:r w:rsidRPr="00D96AFA">
        <w:rPr>
          <w:lang w:val="en-AU"/>
        </w:rPr>
        <w:t xml:space="preserve">will not result in any direct or substantial indirect effect on business. </w:t>
      </w:r>
    </w:p>
    <w:p w14:paraId="7B9243E5" w14:textId="77777777" w:rsidR="002A2C68" w:rsidRPr="00D96AFA" w:rsidRDefault="002A2C68" w:rsidP="003F275F">
      <w:pPr>
        <w:tabs>
          <w:tab w:val="left" w:pos="6521"/>
        </w:tabs>
        <w:spacing w:after="120"/>
        <w:ind w:right="-164"/>
        <w:rPr>
          <w:lang w:val="en-AU"/>
        </w:rPr>
      </w:pPr>
      <w:r w:rsidRPr="00D96AFA">
        <w:rPr>
          <w:b/>
          <w:bCs/>
          <w:lang w:val="en-AU"/>
        </w:rPr>
        <w:t>Commencement</w:t>
      </w:r>
    </w:p>
    <w:p w14:paraId="5E30A458" w14:textId="22BBCDFA" w:rsidR="0095773E" w:rsidRPr="00D96AFA" w:rsidRDefault="0095773E" w:rsidP="0095773E">
      <w:pPr>
        <w:tabs>
          <w:tab w:val="left" w:pos="6521"/>
        </w:tabs>
        <w:spacing w:before="200" w:after="120"/>
        <w:ind w:right="-164"/>
        <w:rPr>
          <w:lang w:val="en-AU"/>
        </w:rPr>
      </w:pPr>
      <w:r w:rsidRPr="00D96AFA">
        <w:rPr>
          <w:lang w:val="en-AU"/>
        </w:rPr>
        <w:t xml:space="preserve">The </w:t>
      </w:r>
      <w:r w:rsidR="005A7C44" w:rsidRPr="00D96AFA">
        <w:rPr>
          <w:lang w:val="en-AU"/>
        </w:rPr>
        <w:t>instrument</w:t>
      </w:r>
      <w:r w:rsidRPr="00D96AFA">
        <w:rPr>
          <w:lang w:val="en-AU"/>
        </w:rPr>
        <w:t xml:space="preserve"> is a disallowable legislative instrument for the purposes of the </w:t>
      </w:r>
      <w:r w:rsidRPr="00D96AFA">
        <w:rPr>
          <w:i/>
          <w:lang w:val="en-AU"/>
        </w:rPr>
        <w:t>Legislation Act 2003</w:t>
      </w:r>
      <w:r w:rsidRPr="00D96AFA">
        <w:rPr>
          <w:lang w:val="en-AU"/>
        </w:rPr>
        <w:t xml:space="preserve"> and commences on the day after registration on the Federal Register of Legislation. </w:t>
      </w:r>
    </w:p>
    <w:p w14:paraId="64489EB3" w14:textId="536E7D08" w:rsidR="0095773E" w:rsidRPr="00D96AFA" w:rsidRDefault="0095773E" w:rsidP="003F275F">
      <w:pPr>
        <w:tabs>
          <w:tab w:val="left" w:pos="6521"/>
        </w:tabs>
        <w:spacing w:after="120"/>
        <w:ind w:right="-164"/>
      </w:pPr>
      <w:r w:rsidRPr="00D96AFA">
        <w:t xml:space="preserve">Details of the </w:t>
      </w:r>
      <w:r w:rsidR="005A7C44" w:rsidRPr="00D96AFA">
        <w:t>instrument</w:t>
      </w:r>
      <w:r w:rsidRPr="00D96AFA">
        <w:t xml:space="preserve"> are set out in </w:t>
      </w:r>
      <w:r w:rsidRPr="00D96AFA">
        <w:rPr>
          <w:b/>
          <w:bCs/>
        </w:rPr>
        <w:t>Attachment A</w:t>
      </w:r>
      <w:r w:rsidRPr="00D96AFA">
        <w:t xml:space="preserve">. </w:t>
      </w:r>
    </w:p>
    <w:p w14:paraId="248E12BF" w14:textId="11FB191D" w:rsidR="005A7C44" w:rsidRPr="00D96AFA" w:rsidRDefault="005A7C44" w:rsidP="003F275F">
      <w:pPr>
        <w:tabs>
          <w:tab w:val="left" w:pos="6521"/>
        </w:tabs>
        <w:spacing w:after="120"/>
        <w:ind w:right="-164"/>
        <w:sectPr w:rsidR="005A7C44" w:rsidRPr="00D96AFA" w:rsidSect="006544E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709" w:right="1133" w:bottom="663" w:left="1276" w:header="554" w:footer="527" w:gutter="0"/>
          <w:cols w:space="720"/>
          <w:noEndnote/>
          <w:titlePg/>
        </w:sectPr>
      </w:pPr>
      <w:r w:rsidRPr="00D96AFA">
        <w:t xml:space="preserve">The </w:t>
      </w:r>
      <w:r w:rsidR="00C971BB" w:rsidRPr="00D96AFA">
        <w:t>instrument</w:t>
      </w:r>
      <w:r w:rsidRPr="00D96AFA">
        <w:t xml:space="preserve"> is compatible with the rights and freedoms </w:t>
      </w:r>
      <w:proofErr w:type="spellStart"/>
      <w:r w:rsidRPr="00D96AFA">
        <w:t>recognised</w:t>
      </w:r>
      <w:proofErr w:type="spellEnd"/>
      <w:r w:rsidRPr="00D96AFA">
        <w:t xml:space="preserve"> or declared under section 3 of the </w:t>
      </w:r>
      <w:r w:rsidRPr="00D96AFA">
        <w:rPr>
          <w:i/>
          <w:iCs/>
        </w:rPr>
        <w:t>Human Rights (Parliamentary Scrutiny) Act 2011</w:t>
      </w:r>
      <w:r w:rsidRPr="00D96AFA">
        <w:t xml:space="preserve">. A statement of compatibility with human rights is set out in </w:t>
      </w:r>
      <w:r w:rsidRPr="00D96AFA">
        <w:rPr>
          <w:b/>
          <w:bCs/>
        </w:rPr>
        <w:t>Attachment B</w:t>
      </w:r>
      <w:r w:rsidRPr="00D96AFA">
        <w:t xml:space="preserve">. </w:t>
      </w:r>
    </w:p>
    <w:p w14:paraId="7971E075" w14:textId="77777777" w:rsidR="003F275F" w:rsidRPr="00D96AFA" w:rsidRDefault="003F275F" w:rsidP="003F275F">
      <w:pPr>
        <w:tabs>
          <w:tab w:val="left" w:pos="6521"/>
        </w:tabs>
        <w:spacing w:after="120"/>
        <w:ind w:right="-164"/>
      </w:pPr>
    </w:p>
    <w:p w14:paraId="20BCD5C0" w14:textId="77777777" w:rsidR="003F275F" w:rsidRPr="00D96AFA" w:rsidRDefault="003F275F" w:rsidP="003F275F">
      <w:pPr>
        <w:pStyle w:val="BodyText"/>
        <w:tabs>
          <w:tab w:val="left" w:pos="0"/>
        </w:tabs>
        <w:jc w:val="right"/>
        <w:rPr>
          <w:lang w:val="en-AU"/>
        </w:rPr>
      </w:pPr>
      <w:r w:rsidRPr="00D96AFA">
        <w:rPr>
          <w:b/>
          <w:noProof w:val="0"/>
          <w:lang w:val="en-AU"/>
        </w:rPr>
        <w:t>ATTACHMENT A</w:t>
      </w:r>
    </w:p>
    <w:p w14:paraId="0760FA4C" w14:textId="77777777" w:rsidR="003F275F" w:rsidRPr="00D96AFA" w:rsidRDefault="003F275F" w:rsidP="003F275F">
      <w:pPr>
        <w:spacing w:before="360" w:after="120"/>
        <w:rPr>
          <w:b/>
          <w:lang w:val="en-AU"/>
        </w:rPr>
      </w:pPr>
      <w:r w:rsidRPr="00D96AFA">
        <w:rPr>
          <w:b/>
          <w:lang w:val="en-AU"/>
        </w:rPr>
        <w:t>Section 1 – Name</w:t>
      </w:r>
    </w:p>
    <w:p w14:paraId="2E6EFD64" w14:textId="7E09C9A5" w:rsidR="003F275F" w:rsidRPr="00D96AFA" w:rsidRDefault="003F275F" w:rsidP="003F275F">
      <w:pPr>
        <w:spacing w:before="360" w:after="120"/>
        <w:rPr>
          <w:lang w:val="en-AU"/>
        </w:rPr>
      </w:pPr>
      <w:r w:rsidRPr="00D96AFA">
        <w:rPr>
          <w:lang w:val="en-AU"/>
        </w:rPr>
        <w:t xml:space="preserve">This section provides </w:t>
      </w:r>
      <w:r w:rsidR="005A7C44" w:rsidRPr="00D96AFA">
        <w:rPr>
          <w:lang w:val="en-AU"/>
        </w:rPr>
        <w:t>that</w:t>
      </w:r>
      <w:r w:rsidRPr="00D96AFA">
        <w:rPr>
          <w:lang w:val="en-AU"/>
        </w:rPr>
        <w:t xml:space="preserve"> the </w:t>
      </w:r>
      <w:r w:rsidR="00C971BB" w:rsidRPr="00D96AFA">
        <w:rPr>
          <w:lang w:val="en-AU"/>
        </w:rPr>
        <w:t xml:space="preserve">name of the </w:t>
      </w:r>
      <w:r w:rsidR="00EE035F" w:rsidRPr="00D96AFA">
        <w:rPr>
          <w:lang w:val="en-AU"/>
        </w:rPr>
        <w:t xml:space="preserve">instrument </w:t>
      </w:r>
      <w:r w:rsidR="005A7C44" w:rsidRPr="00D96AFA">
        <w:rPr>
          <w:lang w:val="en-AU"/>
        </w:rPr>
        <w:t>is</w:t>
      </w:r>
      <w:r w:rsidRPr="00D96AFA">
        <w:rPr>
          <w:lang w:val="en-AU"/>
        </w:rPr>
        <w:t xml:space="preserve"> the </w:t>
      </w:r>
      <w:r w:rsidR="009E6BBB" w:rsidRPr="00D96AFA">
        <w:rPr>
          <w:bCs/>
          <w:i/>
        </w:rPr>
        <w:t xml:space="preserve">Health Insurance (Quality Assurance Activity </w:t>
      </w:r>
      <w:r w:rsidR="009E6BBB" w:rsidRPr="00D96AFA">
        <w:rPr>
          <w:bCs/>
          <w:i/>
          <w:iCs/>
        </w:rPr>
        <w:t xml:space="preserve">– </w:t>
      </w:r>
      <w:r w:rsidR="009E6BBB" w:rsidRPr="00D96AFA">
        <w:rPr>
          <w:bCs/>
          <w:i/>
        </w:rPr>
        <w:t xml:space="preserve">Australian </w:t>
      </w:r>
      <w:proofErr w:type="spellStart"/>
      <w:r w:rsidR="009E6BBB" w:rsidRPr="00D96AFA">
        <w:rPr>
          <w:bCs/>
          <w:i/>
        </w:rPr>
        <w:t>Orthopaedic</w:t>
      </w:r>
      <w:proofErr w:type="spellEnd"/>
      <w:r w:rsidR="009E6BBB" w:rsidRPr="00D96AFA">
        <w:rPr>
          <w:bCs/>
          <w:i/>
        </w:rPr>
        <w:t xml:space="preserve"> Association National Joint Replacement Registry) Declaration 2022</w:t>
      </w:r>
      <w:r w:rsidR="00B85A3D" w:rsidRPr="00D96AFA">
        <w:rPr>
          <w:bCs/>
          <w:iCs/>
        </w:rPr>
        <w:t xml:space="preserve"> (instrument)</w:t>
      </w:r>
      <w:r w:rsidR="00580F82" w:rsidRPr="00D96AFA">
        <w:rPr>
          <w:bCs/>
          <w:i/>
        </w:rPr>
        <w:t>.</w:t>
      </w:r>
    </w:p>
    <w:p w14:paraId="72FBBF9D" w14:textId="77777777" w:rsidR="003F275F" w:rsidRPr="00D96AFA" w:rsidRDefault="003F275F" w:rsidP="003F275F">
      <w:pPr>
        <w:spacing w:before="360" w:after="120"/>
        <w:rPr>
          <w:b/>
          <w:lang w:val="en-AU"/>
        </w:rPr>
      </w:pPr>
      <w:r w:rsidRPr="00D96AFA">
        <w:rPr>
          <w:b/>
          <w:lang w:val="en-AU"/>
        </w:rPr>
        <w:t>Section 2 – Commencement</w:t>
      </w:r>
    </w:p>
    <w:p w14:paraId="3EF2E584" w14:textId="625F0E8E" w:rsidR="003F275F" w:rsidRPr="00D96AFA" w:rsidRDefault="003F275F" w:rsidP="003F275F">
      <w:pPr>
        <w:spacing w:before="360" w:after="120"/>
        <w:rPr>
          <w:lang w:val="en-AU"/>
        </w:rPr>
      </w:pPr>
      <w:r w:rsidRPr="00D96AFA">
        <w:rPr>
          <w:lang w:val="en-AU"/>
        </w:rPr>
        <w:t xml:space="preserve">This section provides that the </w:t>
      </w:r>
      <w:r w:rsidR="00EE035F" w:rsidRPr="00D96AFA">
        <w:rPr>
          <w:lang w:val="en-AU"/>
        </w:rPr>
        <w:t xml:space="preserve">instrument </w:t>
      </w:r>
      <w:r w:rsidRPr="00D96AFA">
        <w:rPr>
          <w:lang w:val="en-AU"/>
        </w:rPr>
        <w:t>commences on the day after it is registered on the Federal Register of Legislation.</w:t>
      </w:r>
    </w:p>
    <w:p w14:paraId="075BDFFC" w14:textId="77777777" w:rsidR="003F275F" w:rsidRPr="00D96AFA" w:rsidRDefault="003F275F" w:rsidP="003F275F">
      <w:pPr>
        <w:spacing w:before="360" w:after="120"/>
        <w:rPr>
          <w:b/>
          <w:lang w:val="en-AU"/>
        </w:rPr>
      </w:pPr>
      <w:r w:rsidRPr="00D96AFA">
        <w:rPr>
          <w:b/>
          <w:lang w:val="en-AU"/>
        </w:rPr>
        <w:t>Section 3 – Authority</w:t>
      </w:r>
    </w:p>
    <w:p w14:paraId="6AAC70A8" w14:textId="3DC0D075" w:rsidR="003F275F" w:rsidRPr="00D96AFA" w:rsidRDefault="003F275F" w:rsidP="003F275F">
      <w:pPr>
        <w:spacing w:before="360" w:after="120"/>
        <w:rPr>
          <w:lang w:val="en-AU"/>
        </w:rPr>
      </w:pPr>
      <w:r w:rsidRPr="00D96AFA">
        <w:rPr>
          <w:lang w:val="en-AU"/>
        </w:rPr>
        <w:t xml:space="preserve">This section provides that the </w:t>
      </w:r>
      <w:r w:rsidR="00D27166" w:rsidRPr="00D96AFA">
        <w:rPr>
          <w:lang w:val="en-AU"/>
        </w:rPr>
        <w:t xml:space="preserve">instrument </w:t>
      </w:r>
      <w:r w:rsidRPr="00D96AFA">
        <w:rPr>
          <w:lang w:val="en-AU"/>
        </w:rPr>
        <w:t>is made under subsection 124</w:t>
      </w:r>
      <w:proofErr w:type="gramStart"/>
      <w:r w:rsidRPr="00D96AFA">
        <w:rPr>
          <w:lang w:val="en-AU"/>
        </w:rPr>
        <w:t>X(</w:t>
      </w:r>
      <w:proofErr w:type="gramEnd"/>
      <w:r w:rsidRPr="00D96AFA">
        <w:rPr>
          <w:lang w:val="en-AU"/>
        </w:rPr>
        <w:t xml:space="preserve">1) of the </w:t>
      </w:r>
      <w:r w:rsidRPr="00D96AFA">
        <w:rPr>
          <w:i/>
          <w:lang w:val="en-AU"/>
        </w:rPr>
        <w:t>Health Insurance Act 1973</w:t>
      </w:r>
      <w:r w:rsidRPr="00D96AFA">
        <w:rPr>
          <w:lang w:val="en-AU"/>
        </w:rPr>
        <w:t>.</w:t>
      </w:r>
    </w:p>
    <w:p w14:paraId="746ABA04" w14:textId="77777777" w:rsidR="003F275F" w:rsidRPr="00D96AFA" w:rsidRDefault="003F275F" w:rsidP="003F275F">
      <w:pPr>
        <w:spacing w:before="360" w:after="120"/>
        <w:rPr>
          <w:b/>
          <w:lang w:val="en-AU"/>
        </w:rPr>
      </w:pPr>
      <w:r w:rsidRPr="00D96AFA">
        <w:rPr>
          <w:b/>
          <w:lang w:val="en-AU"/>
        </w:rPr>
        <w:t>Section 4 – Repeal</w:t>
      </w:r>
    </w:p>
    <w:p w14:paraId="3D6F1541" w14:textId="653B6CEE" w:rsidR="003F275F" w:rsidRPr="00D96AFA" w:rsidRDefault="003F275F" w:rsidP="003F275F">
      <w:pPr>
        <w:spacing w:before="360" w:after="120"/>
        <w:rPr>
          <w:lang w:val="en-AU"/>
        </w:rPr>
      </w:pPr>
      <w:r w:rsidRPr="00D96AFA">
        <w:rPr>
          <w:lang w:val="en-AU"/>
        </w:rPr>
        <w:t xml:space="preserve">This section provides that the </w:t>
      </w:r>
      <w:r w:rsidR="00D27166" w:rsidRPr="00D96AFA">
        <w:rPr>
          <w:lang w:val="en-AU"/>
        </w:rPr>
        <w:t xml:space="preserve">instrument </w:t>
      </w:r>
      <w:r w:rsidRPr="00D96AFA">
        <w:rPr>
          <w:lang w:val="en-AU"/>
        </w:rPr>
        <w:t>will be repealed when it ceases to be in force in accordance with subsection 124</w:t>
      </w:r>
      <w:proofErr w:type="gramStart"/>
      <w:r w:rsidRPr="00D96AFA">
        <w:rPr>
          <w:lang w:val="en-AU"/>
        </w:rPr>
        <w:t>X(</w:t>
      </w:r>
      <w:proofErr w:type="gramEnd"/>
      <w:r w:rsidRPr="00D96AFA">
        <w:rPr>
          <w:lang w:val="en-AU"/>
        </w:rPr>
        <w:t xml:space="preserve">4) of the </w:t>
      </w:r>
      <w:r w:rsidRPr="00D96AFA">
        <w:rPr>
          <w:i/>
          <w:lang w:val="en-AU"/>
        </w:rPr>
        <w:t>Health Insurance Act 1973</w:t>
      </w:r>
      <w:r w:rsidRPr="00D96AFA">
        <w:rPr>
          <w:lang w:val="en-AU"/>
        </w:rPr>
        <w:t>.</w:t>
      </w:r>
    </w:p>
    <w:p w14:paraId="698F245F" w14:textId="77777777" w:rsidR="003F275F" w:rsidRPr="00D96AFA" w:rsidRDefault="003F275F" w:rsidP="003F275F">
      <w:pPr>
        <w:spacing w:before="360" w:after="120"/>
        <w:rPr>
          <w:lang w:val="en-AU"/>
        </w:rPr>
      </w:pPr>
      <w:r w:rsidRPr="00D96AFA">
        <w:rPr>
          <w:lang w:val="en-AU"/>
        </w:rPr>
        <w:t>Subsection 124</w:t>
      </w:r>
      <w:proofErr w:type="gramStart"/>
      <w:r w:rsidRPr="00D96AFA">
        <w:rPr>
          <w:lang w:val="en-AU"/>
        </w:rPr>
        <w:t>X(</w:t>
      </w:r>
      <w:proofErr w:type="gramEnd"/>
      <w:r w:rsidRPr="00D96AFA">
        <w:rPr>
          <w:lang w:val="en-AU"/>
        </w:rPr>
        <w:t xml:space="preserve">4) of the </w:t>
      </w:r>
      <w:r w:rsidRPr="00D96AFA">
        <w:rPr>
          <w:i/>
          <w:lang w:val="en-AU"/>
        </w:rPr>
        <w:t>Health Insurance Act 1973</w:t>
      </w:r>
      <w:r w:rsidRPr="00D96AFA">
        <w:rPr>
          <w:lang w:val="en-AU"/>
        </w:rPr>
        <w:t xml:space="preserve"> provides that a declaration of a quality assurance activity ceases to be in force at the end of 5 years after it is signed, unless sooner revoked.</w:t>
      </w:r>
    </w:p>
    <w:p w14:paraId="33732E79" w14:textId="77777777" w:rsidR="003F275F" w:rsidRPr="00D96AFA" w:rsidRDefault="003F275F" w:rsidP="003F275F">
      <w:pPr>
        <w:spacing w:before="360" w:after="120"/>
        <w:rPr>
          <w:b/>
          <w:lang w:val="en-AU"/>
        </w:rPr>
      </w:pPr>
      <w:r w:rsidRPr="00D96AFA">
        <w:rPr>
          <w:b/>
          <w:lang w:val="en-AU"/>
        </w:rPr>
        <w:t>Section 5 – Schedule</w:t>
      </w:r>
    </w:p>
    <w:p w14:paraId="64CAA941" w14:textId="5889ABA9" w:rsidR="003F275F" w:rsidRPr="00D96AFA" w:rsidRDefault="003F275F" w:rsidP="003F275F">
      <w:pPr>
        <w:spacing w:before="360" w:after="120"/>
        <w:rPr>
          <w:i/>
          <w:lang w:val="en-AU" w:eastAsia="ja-JP"/>
        </w:rPr>
      </w:pPr>
      <w:r w:rsidRPr="00D96AFA">
        <w:rPr>
          <w:lang w:val="en-AU"/>
        </w:rPr>
        <w:t xml:space="preserve">This section provides that the </w:t>
      </w:r>
      <w:r w:rsidR="00B85A3D" w:rsidRPr="00D96AFA">
        <w:rPr>
          <w:lang w:val="en-AU"/>
        </w:rPr>
        <w:t>A</w:t>
      </w:r>
      <w:r w:rsidRPr="00D96AFA">
        <w:rPr>
          <w:lang w:val="en-AU"/>
        </w:rPr>
        <w:t xml:space="preserve">ctivity described in the Schedule is declared to be a quality assurance activity to which Part VC of the </w:t>
      </w:r>
      <w:r w:rsidRPr="00D96AFA">
        <w:rPr>
          <w:i/>
          <w:lang w:val="en-AU"/>
        </w:rPr>
        <w:t>Health Insurance Act 1973</w:t>
      </w:r>
      <w:r w:rsidRPr="00D96AFA">
        <w:t xml:space="preserve"> applies.</w:t>
      </w:r>
      <w:r w:rsidRPr="00D96AFA">
        <w:rPr>
          <w:u w:val="single"/>
          <w:lang w:val="en-AU"/>
        </w:rPr>
        <w:t xml:space="preserve"> </w:t>
      </w:r>
      <w:r w:rsidRPr="00D96AFA">
        <w:rPr>
          <w:i/>
          <w:lang w:val="en-AU"/>
        </w:rPr>
        <w:t xml:space="preserve"> </w:t>
      </w:r>
    </w:p>
    <w:p w14:paraId="4DCBFF86" w14:textId="348B61D0" w:rsidR="003F275F" w:rsidRPr="00D96AFA" w:rsidRDefault="003F275F" w:rsidP="003F275F">
      <w:pPr>
        <w:spacing w:before="360" w:after="120"/>
        <w:rPr>
          <w:b/>
          <w:lang w:val="en-AU" w:eastAsia="ja-JP"/>
        </w:rPr>
      </w:pPr>
      <w:r w:rsidRPr="00D96AFA">
        <w:rPr>
          <w:b/>
          <w:lang w:val="en-AU" w:eastAsia="ja-JP"/>
        </w:rPr>
        <w:t xml:space="preserve">Schedule 1 – </w:t>
      </w:r>
      <w:r w:rsidR="00B85A3D" w:rsidRPr="00D96AFA">
        <w:rPr>
          <w:b/>
          <w:lang w:val="en-AU" w:eastAsia="ja-JP"/>
        </w:rPr>
        <w:t>D</w:t>
      </w:r>
      <w:r w:rsidRPr="00D96AFA">
        <w:rPr>
          <w:b/>
          <w:lang w:val="en-AU" w:eastAsia="ja-JP"/>
        </w:rPr>
        <w:t>escription of quality assurance activity</w:t>
      </w:r>
    </w:p>
    <w:p w14:paraId="21278F6B" w14:textId="11125664" w:rsidR="00B85A3D" w:rsidRPr="00D96AFA" w:rsidRDefault="00B85A3D" w:rsidP="003F275F">
      <w:pPr>
        <w:spacing w:before="360" w:after="120"/>
        <w:rPr>
          <w:b/>
          <w:lang w:val="en-AU" w:eastAsia="ja-JP"/>
        </w:rPr>
      </w:pPr>
      <w:r w:rsidRPr="00D96AFA">
        <w:rPr>
          <w:b/>
          <w:lang w:val="en-AU" w:eastAsia="ja-JP"/>
        </w:rPr>
        <w:t xml:space="preserve">Clause 1 – Name of </w:t>
      </w:r>
      <w:r w:rsidR="00ED15A3" w:rsidRPr="00D96AFA">
        <w:rPr>
          <w:b/>
          <w:lang w:val="en-AU" w:eastAsia="ja-JP"/>
        </w:rPr>
        <w:t>activity</w:t>
      </w:r>
    </w:p>
    <w:p w14:paraId="26169A83" w14:textId="0A76D47F" w:rsidR="003F275F" w:rsidRPr="00D96AFA" w:rsidRDefault="00B85A3D" w:rsidP="003F275F">
      <w:pPr>
        <w:spacing w:before="360" w:after="120"/>
        <w:rPr>
          <w:rFonts w:eastAsia="Times New Roman"/>
          <w:iCs/>
          <w:kern w:val="28"/>
          <w:szCs w:val="22"/>
          <w:lang w:eastAsia="en-AU"/>
        </w:rPr>
      </w:pPr>
      <w:r w:rsidRPr="00D96AFA">
        <w:rPr>
          <w:szCs w:val="24"/>
          <w:lang w:val="en-AU" w:eastAsia="ja-JP"/>
        </w:rPr>
        <w:t>Clause</w:t>
      </w:r>
      <w:r w:rsidR="00972CE1" w:rsidRPr="00D96AFA">
        <w:rPr>
          <w:szCs w:val="24"/>
          <w:lang w:val="en-AU" w:eastAsia="ja-JP"/>
        </w:rPr>
        <w:t xml:space="preserve"> 1 of </w:t>
      </w:r>
      <w:r w:rsidR="003F275F" w:rsidRPr="00D96AFA">
        <w:rPr>
          <w:szCs w:val="24"/>
          <w:lang w:val="en-AU" w:eastAsia="ja-JP"/>
        </w:rPr>
        <w:t xml:space="preserve">Schedule </w:t>
      </w:r>
      <w:r w:rsidR="00972CE1" w:rsidRPr="00D96AFA">
        <w:rPr>
          <w:szCs w:val="24"/>
          <w:lang w:val="en-AU" w:eastAsia="ja-JP"/>
        </w:rPr>
        <w:t xml:space="preserve">1 </w:t>
      </w:r>
      <w:r w:rsidR="003F275F" w:rsidRPr="00D96AFA">
        <w:rPr>
          <w:szCs w:val="24"/>
          <w:lang w:val="en-AU" w:eastAsia="ja-JP"/>
        </w:rPr>
        <w:t xml:space="preserve">provides that the name of the </w:t>
      </w:r>
      <w:r w:rsidR="00ED15A3" w:rsidRPr="00D96AFA">
        <w:rPr>
          <w:szCs w:val="24"/>
          <w:lang w:val="en-AU" w:eastAsia="ja-JP"/>
        </w:rPr>
        <w:t>A</w:t>
      </w:r>
      <w:r w:rsidR="003F275F" w:rsidRPr="00D96AFA">
        <w:rPr>
          <w:szCs w:val="24"/>
          <w:lang w:val="en-AU" w:eastAsia="ja-JP"/>
        </w:rPr>
        <w:t>ctivity is</w:t>
      </w:r>
      <w:r w:rsidR="00184CCB" w:rsidRPr="00D96AFA">
        <w:rPr>
          <w:szCs w:val="24"/>
          <w:lang w:val="en-AU" w:eastAsia="ja-JP"/>
        </w:rPr>
        <w:t xml:space="preserve"> the</w:t>
      </w:r>
      <w:r w:rsidR="003F275F" w:rsidRPr="00D96AFA">
        <w:rPr>
          <w:szCs w:val="24"/>
          <w:lang w:val="en-AU" w:eastAsia="ja-JP"/>
        </w:rPr>
        <w:t xml:space="preserve"> ‘</w:t>
      </w:r>
      <w:r w:rsidR="009E6BBB" w:rsidRPr="00D96AFA">
        <w:rPr>
          <w:rFonts w:eastAsia="Times New Roman"/>
          <w:iCs/>
          <w:kern w:val="28"/>
          <w:szCs w:val="22"/>
          <w:lang w:eastAsia="en-AU"/>
        </w:rPr>
        <w:t xml:space="preserve">Australian </w:t>
      </w:r>
      <w:proofErr w:type="spellStart"/>
      <w:r w:rsidR="009E6BBB" w:rsidRPr="00D96AFA">
        <w:rPr>
          <w:rFonts w:eastAsia="Times New Roman"/>
          <w:iCs/>
          <w:kern w:val="28"/>
          <w:szCs w:val="22"/>
          <w:lang w:eastAsia="en-AU"/>
        </w:rPr>
        <w:t>Orthopaedic</w:t>
      </w:r>
      <w:proofErr w:type="spellEnd"/>
      <w:r w:rsidR="009E6BBB" w:rsidRPr="00D96AFA">
        <w:rPr>
          <w:rFonts w:eastAsia="Times New Roman"/>
          <w:iCs/>
          <w:kern w:val="28"/>
          <w:szCs w:val="22"/>
          <w:lang w:eastAsia="en-AU"/>
        </w:rPr>
        <w:t xml:space="preserve"> Association National Joint Replacement Registry (AOANJRR)</w:t>
      </w:r>
      <w:r w:rsidR="003F275F" w:rsidRPr="00D96AFA">
        <w:rPr>
          <w:rFonts w:eastAsia="Times New Roman"/>
          <w:iCs/>
          <w:kern w:val="28"/>
          <w:szCs w:val="22"/>
          <w:lang w:eastAsia="en-AU"/>
        </w:rPr>
        <w:t>’</w:t>
      </w:r>
      <w:r w:rsidR="002F1408" w:rsidRPr="00D96AFA">
        <w:rPr>
          <w:rFonts w:eastAsia="Times New Roman"/>
          <w:iCs/>
          <w:kern w:val="28"/>
          <w:szCs w:val="22"/>
          <w:lang w:eastAsia="en-AU"/>
        </w:rPr>
        <w:t>.</w:t>
      </w:r>
      <w:r w:rsidR="00D820C7" w:rsidRPr="00D96AFA">
        <w:rPr>
          <w:rFonts w:eastAsia="Times New Roman"/>
          <w:iCs/>
          <w:kern w:val="28"/>
          <w:szCs w:val="22"/>
          <w:lang w:eastAsia="en-AU"/>
        </w:rPr>
        <w:t xml:space="preserve"> </w:t>
      </w:r>
    </w:p>
    <w:p w14:paraId="5E3AD3CA" w14:textId="69022FF7" w:rsidR="00ED15A3" w:rsidRPr="00D96AFA" w:rsidRDefault="00ED15A3" w:rsidP="003F275F">
      <w:pPr>
        <w:spacing w:before="360" w:after="120"/>
        <w:rPr>
          <w:rFonts w:eastAsia="Times New Roman"/>
          <w:b/>
          <w:bCs/>
          <w:iCs/>
          <w:kern w:val="28"/>
          <w:szCs w:val="22"/>
          <w:lang w:eastAsia="en-AU"/>
        </w:rPr>
      </w:pPr>
      <w:r w:rsidRPr="00D96AFA">
        <w:rPr>
          <w:rFonts w:eastAsia="Times New Roman"/>
          <w:b/>
          <w:bCs/>
          <w:iCs/>
          <w:kern w:val="28"/>
          <w:szCs w:val="22"/>
          <w:lang w:eastAsia="en-AU"/>
        </w:rPr>
        <w:t xml:space="preserve">Clause 2 – Description of activity </w:t>
      </w:r>
    </w:p>
    <w:p w14:paraId="2A097701" w14:textId="4E20DD9B" w:rsidR="00AE1168" w:rsidRPr="00D96AFA" w:rsidRDefault="002F1408" w:rsidP="002F1408">
      <w:pPr>
        <w:spacing w:before="360" w:after="120"/>
        <w:rPr>
          <w:rFonts w:eastAsia="Times New Roman"/>
          <w:iCs/>
          <w:kern w:val="28"/>
          <w:szCs w:val="22"/>
          <w:lang w:eastAsia="en-AU"/>
        </w:rPr>
      </w:pPr>
      <w:r w:rsidRPr="00D96AFA">
        <w:rPr>
          <w:rFonts w:eastAsia="Times New Roman"/>
          <w:iCs/>
          <w:kern w:val="28"/>
          <w:szCs w:val="22"/>
          <w:lang w:val="en-AU" w:eastAsia="en-AU"/>
        </w:rPr>
        <w:t xml:space="preserve">The AOANJRR is </w:t>
      </w:r>
      <w:r w:rsidRPr="00D96AFA">
        <w:rPr>
          <w:rFonts w:eastAsia="Times New Roman"/>
          <w:iCs/>
          <w:kern w:val="28"/>
          <w:szCs w:val="22"/>
          <w:lang w:eastAsia="en-AU"/>
        </w:rPr>
        <w:t>a registry that</w:t>
      </w:r>
      <w:r w:rsidR="00DE645A" w:rsidRPr="00D96AFA">
        <w:rPr>
          <w:rFonts w:eastAsia="Times New Roman"/>
          <w:iCs/>
          <w:kern w:val="28"/>
          <w:szCs w:val="22"/>
          <w:lang w:eastAsia="en-AU"/>
        </w:rPr>
        <w:t xml:space="preserve"> aims to</w:t>
      </w:r>
      <w:r w:rsidRPr="00D96AFA">
        <w:rPr>
          <w:rFonts w:eastAsia="Times New Roman"/>
          <w:iCs/>
          <w:kern w:val="28"/>
          <w:szCs w:val="22"/>
          <w:lang w:eastAsia="en-AU"/>
        </w:rPr>
        <w:t xml:space="preserve"> </w:t>
      </w:r>
      <w:r w:rsidRPr="00D96AFA">
        <w:rPr>
          <w:rFonts w:eastAsia="Times New Roman"/>
          <w:iCs/>
          <w:kern w:val="28"/>
          <w:szCs w:val="22"/>
          <w:lang w:val="en-AU" w:eastAsia="en-AU"/>
        </w:rPr>
        <w:t>improve the outcome of joint replacement surgery by identifying the factors affecting the outcome</w:t>
      </w:r>
      <w:r w:rsidR="00CC4AFB" w:rsidRPr="00D96AFA">
        <w:rPr>
          <w:rFonts w:eastAsia="Times New Roman"/>
          <w:iCs/>
          <w:kern w:val="28"/>
          <w:szCs w:val="22"/>
          <w:lang w:val="en-AU" w:eastAsia="en-AU"/>
        </w:rPr>
        <w:t>s</w:t>
      </w:r>
      <w:r w:rsidRPr="00D96AFA">
        <w:rPr>
          <w:rFonts w:eastAsia="Times New Roman"/>
          <w:iCs/>
          <w:kern w:val="28"/>
          <w:szCs w:val="22"/>
          <w:lang w:val="en-AU" w:eastAsia="en-AU"/>
        </w:rPr>
        <w:t xml:space="preserve"> of </w:t>
      </w:r>
      <w:r w:rsidRPr="00D96AFA">
        <w:rPr>
          <w:rFonts w:eastAsia="Times New Roman"/>
          <w:iCs/>
          <w:kern w:val="28"/>
          <w:szCs w:val="22"/>
          <w:lang w:eastAsia="en-AU"/>
        </w:rPr>
        <w:t xml:space="preserve">hip, knee, shoulder, elbow, wrist, ankle and spinal disc replacement, </w:t>
      </w:r>
      <w:r w:rsidRPr="00D96AFA">
        <w:rPr>
          <w:rFonts w:eastAsia="Times New Roman"/>
          <w:iCs/>
          <w:kern w:val="28"/>
          <w:szCs w:val="22"/>
          <w:lang w:val="en-AU" w:eastAsia="en-AU"/>
        </w:rPr>
        <w:t xml:space="preserve">and knee osteotomy procedures, and </w:t>
      </w:r>
      <w:r w:rsidR="00CC4AFB" w:rsidRPr="00D96AFA">
        <w:rPr>
          <w:rFonts w:eastAsia="Times New Roman"/>
          <w:iCs/>
          <w:kern w:val="28"/>
          <w:szCs w:val="22"/>
          <w:lang w:val="en-AU" w:eastAsia="en-AU"/>
        </w:rPr>
        <w:t xml:space="preserve">it </w:t>
      </w:r>
      <w:r w:rsidRPr="00D96AFA">
        <w:rPr>
          <w:rFonts w:eastAsia="Times New Roman"/>
          <w:iCs/>
          <w:kern w:val="28"/>
          <w:szCs w:val="22"/>
          <w:lang w:val="en-AU" w:eastAsia="en-AU"/>
        </w:rPr>
        <w:t>educate</w:t>
      </w:r>
      <w:r w:rsidR="0057399C" w:rsidRPr="00D96AFA">
        <w:rPr>
          <w:rFonts w:eastAsia="Times New Roman"/>
          <w:iCs/>
          <w:kern w:val="28"/>
          <w:szCs w:val="22"/>
          <w:lang w:val="en-AU" w:eastAsia="en-AU"/>
        </w:rPr>
        <w:t>s</w:t>
      </w:r>
      <w:r w:rsidRPr="00D96AFA">
        <w:rPr>
          <w:rFonts w:eastAsia="Times New Roman"/>
          <w:iCs/>
          <w:kern w:val="28"/>
          <w:szCs w:val="22"/>
          <w:lang w:val="en-AU" w:eastAsia="en-AU"/>
        </w:rPr>
        <w:t xml:space="preserve"> stakeholders on the comparative performance of and different approaches to joint replacement</w:t>
      </w:r>
      <w:r w:rsidR="00CC4AFB" w:rsidRPr="00D96AFA">
        <w:rPr>
          <w:rFonts w:eastAsia="Times New Roman"/>
          <w:iCs/>
          <w:kern w:val="28"/>
          <w:szCs w:val="22"/>
          <w:lang w:val="en-AU" w:eastAsia="en-AU"/>
        </w:rPr>
        <w:t xml:space="preserve"> procedures</w:t>
      </w:r>
      <w:r w:rsidRPr="00D96AFA">
        <w:rPr>
          <w:rFonts w:eastAsia="Times New Roman"/>
          <w:iCs/>
          <w:kern w:val="28"/>
          <w:szCs w:val="22"/>
          <w:lang w:eastAsia="en-AU"/>
        </w:rPr>
        <w:t xml:space="preserve">. </w:t>
      </w:r>
      <w:r w:rsidR="00ED15A3" w:rsidRPr="00D96AFA">
        <w:rPr>
          <w:rFonts w:eastAsia="Times New Roman"/>
          <w:iCs/>
          <w:kern w:val="28"/>
          <w:szCs w:val="22"/>
          <w:lang w:eastAsia="en-AU"/>
        </w:rPr>
        <w:t>Clause</w:t>
      </w:r>
      <w:r w:rsidR="0057399C" w:rsidRPr="00D96AFA">
        <w:rPr>
          <w:rFonts w:eastAsia="Times New Roman"/>
          <w:iCs/>
          <w:kern w:val="28"/>
          <w:szCs w:val="22"/>
          <w:lang w:eastAsia="en-AU"/>
        </w:rPr>
        <w:t xml:space="preserve"> 2 of Schedule 1</w:t>
      </w:r>
      <w:r w:rsidRPr="00D96AFA">
        <w:rPr>
          <w:rFonts w:eastAsia="Times New Roman"/>
          <w:iCs/>
          <w:kern w:val="28"/>
          <w:szCs w:val="22"/>
          <w:lang w:eastAsia="en-AU"/>
        </w:rPr>
        <w:t xml:space="preserve"> describes the health services</w:t>
      </w:r>
      <w:r w:rsidR="007D271A" w:rsidRPr="00D96AFA">
        <w:rPr>
          <w:rFonts w:eastAsia="Times New Roman"/>
          <w:iCs/>
          <w:kern w:val="28"/>
          <w:szCs w:val="22"/>
          <w:lang w:eastAsia="en-AU"/>
        </w:rPr>
        <w:t xml:space="preserve"> of</w:t>
      </w:r>
      <w:r w:rsidRPr="00D96AFA">
        <w:rPr>
          <w:rFonts w:eastAsia="Times New Roman"/>
          <w:iCs/>
          <w:kern w:val="28"/>
          <w:szCs w:val="22"/>
          <w:lang w:eastAsia="en-AU"/>
        </w:rPr>
        <w:t xml:space="preserve"> the AOANJRR</w:t>
      </w:r>
      <w:r w:rsidR="00C1066C" w:rsidRPr="00D96AFA">
        <w:rPr>
          <w:rFonts w:eastAsia="Times New Roman"/>
          <w:iCs/>
          <w:kern w:val="28"/>
          <w:szCs w:val="22"/>
          <w:lang w:eastAsia="en-AU"/>
        </w:rPr>
        <w:t xml:space="preserve"> that</w:t>
      </w:r>
      <w:r w:rsidRPr="00D96AFA">
        <w:rPr>
          <w:rFonts w:eastAsia="Times New Roman"/>
          <w:iCs/>
          <w:kern w:val="28"/>
          <w:szCs w:val="22"/>
          <w:lang w:eastAsia="en-AU"/>
        </w:rPr>
        <w:t xml:space="preserve"> relates to as all joint replacement and knee osteotomy procedures and </w:t>
      </w:r>
      <w:r w:rsidR="00D84649" w:rsidRPr="00D96AFA">
        <w:rPr>
          <w:rFonts w:eastAsia="Times New Roman"/>
          <w:iCs/>
          <w:kern w:val="28"/>
          <w:szCs w:val="22"/>
          <w:lang w:eastAsia="en-AU"/>
        </w:rPr>
        <w:t xml:space="preserve">managing </w:t>
      </w:r>
      <w:r w:rsidRPr="00D96AFA">
        <w:rPr>
          <w:rFonts w:eastAsia="Times New Roman"/>
          <w:iCs/>
          <w:kern w:val="28"/>
          <w:szCs w:val="22"/>
          <w:lang w:eastAsia="en-AU"/>
        </w:rPr>
        <w:t xml:space="preserve">the information that is collected </w:t>
      </w:r>
      <w:r w:rsidRPr="00D96AFA">
        <w:rPr>
          <w:rFonts w:eastAsia="Times New Roman"/>
          <w:iCs/>
          <w:kern w:val="28"/>
          <w:szCs w:val="22"/>
          <w:lang w:eastAsia="en-AU"/>
        </w:rPr>
        <w:lastRenderedPageBreak/>
        <w:t>and used for public disclosures to be made by the AOANJRR.</w:t>
      </w:r>
      <w:r w:rsidR="00AE1168" w:rsidRPr="00D96AFA">
        <w:rPr>
          <w:rFonts w:eastAsia="Times New Roman"/>
          <w:iCs/>
          <w:kern w:val="28"/>
          <w:szCs w:val="22"/>
          <w:lang w:eastAsia="en-AU"/>
        </w:rPr>
        <w:t xml:space="preserve"> </w:t>
      </w:r>
    </w:p>
    <w:p w14:paraId="681BF483" w14:textId="51867C2E" w:rsidR="002F1408" w:rsidRPr="00D96AFA" w:rsidRDefault="00AE1168" w:rsidP="002F1408">
      <w:pPr>
        <w:spacing w:before="360" w:after="120"/>
        <w:rPr>
          <w:rFonts w:eastAsia="Times New Roman"/>
          <w:iCs/>
          <w:kern w:val="28"/>
          <w:szCs w:val="22"/>
          <w:lang w:eastAsia="en-AU"/>
        </w:rPr>
      </w:pPr>
      <w:r w:rsidRPr="00D96AFA">
        <w:rPr>
          <w:rFonts w:eastAsia="Times New Roman"/>
          <w:iCs/>
          <w:kern w:val="28"/>
          <w:szCs w:val="22"/>
          <w:lang w:eastAsia="en-AU"/>
        </w:rPr>
        <w:t>The AOANJRR also collects Patient Reported Outcome Measures (PROMs) data which capture the patient’s perspective on the success of their treatment</w:t>
      </w:r>
      <w:r w:rsidR="003C1B1A" w:rsidRPr="00D96AFA">
        <w:rPr>
          <w:rFonts w:eastAsia="Times New Roman"/>
          <w:iCs/>
          <w:kern w:val="28"/>
          <w:szCs w:val="22"/>
          <w:lang w:eastAsia="en-AU"/>
        </w:rPr>
        <w:t xml:space="preserve"> for these procedures</w:t>
      </w:r>
      <w:r w:rsidRPr="00D96AFA">
        <w:rPr>
          <w:rFonts w:eastAsia="Times New Roman"/>
          <w:iCs/>
          <w:kern w:val="28"/>
          <w:szCs w:val="22"/>
          <w:lang w:eastAsia="en-AU"/>
        </w:rPr>
        <w:t xml:space="preserve">. </w:t>
      </w:r>
      <w:proofErr w:type="gramStart"/>
      <w:r w:rsidR="002F1408" w:rsidRPr="00D96AFA">
        <w:rPr>
          <w:rFonts w:eastAsia="Times New Roman"/>
          <w:iCs/>
          <w:kern w:val="28"/>
          <w:szCs w:val="22"/>
          <w:lang w:val="en-AU" w:eastAsia="en-AU"/>
        </w:rPr>
        <w:t>PROMs</w:t>
      </w:r>
      <w:proofErr w:type="gramEnd"/>
      <w:r w:rsidR="002F1408" w:rsidRPr="00D96AFA">
        <w:rPr>
          <w:rFonts w:eastAsia="Times New Roman"/>
          <w:iCs/>
          <w:kern w:val="28"/>
          <w:szCs w:val="22"/>
          <w:lang w:val="en-AU" w:eastAsia="en-AU"/>
        </w:rPr>
        <w:t xml:space="preserve"> </w:t>
      </w:r>
      <w:r w:rsidR="00DE645A" w:rsidRPr="00D96AFA">
        <w:rPr>
          <w:rFonts w:eastAsia="Times New Roman"/>
          <w:iCs/>
          <w:kern w:val="28"/>
          <w:szCs w:val="22"/>
          <w:lang w:val="en-AU" w:eastAsia="en-AU"/>
        </w:rPr>
        <w:t xml:space="preserve">data is </w:t>
      </w:r>
      <w:r w:rsidR="002F1408" w:rsidRPr="00D96AFA">
        <w:rPr>
          <w:rFonts w:eastAsia="Times New Roman"/>
          <w:iCs/>
          <w:kern w:val="28"/>
          <w:szCs w:val="22"/>
          <w:lang w:val="en-AU" w:eastAsia="en-AU"/>
        </w:rPr>
        <w:t>collected through pre</w:t>
      </w:r>
      <w:r w:rsidR="00852F78" w:rsidRPr="00D96AFA">
        <w:rPr>
          <w:rFonts w:eastAsia="Times New Roman"/>
          <w:iCs/>
          <w:kern w:val="28"/>
          <w:szCs w:val="22"/>
          <w:lang w:val="en-AU" w:eastAsia="en-AU"/>
        </w:rPr>
        <w:t>-</w:t>
      </w:r>
      <w:r w:rsidR="002F1408" w:rsidRPr="00D96AFA">
        <w:rPr>
          <w:rFonts w:eastAsia="Times New Roman"/>
          <w:iCs/>
          <w:kern w:val="28"/>
          <w:szCs w:val="22"/>
          <w:lang w:val="en-AU" w:eastAsia="en-AU"/>
        </w:rPr>
        <w:t xml:space="preserve"> and post-operative surveys covering the extent of the pain and disability prior to surgery, as well as the extent and timing of recovery and the presence of complications. Information derived from PROMs is used to enhance outcomes, and assist in the design, </w:t>
      </w:r>
      <w:proofErr w:type="gramStart"/>
      <w:r w:rsidR="002F1408" w:rsidRPr="00D96AFA">
        <w:rPr>
          <w:rFonts w:eastAsia="Times New Roman"/>
          <w:iCs/>
          <w:kern w:val="28"/>
          <w:szCs w:val="22"/>
          <w:lang w:val="en-AU" w:eastAsia="en-AU"/>
        </w:rPr>
        <w:t>delivery</w:t>
      </w:r>
      <w:proofErr w:type="gramEnd"/>
      <w:r w:rsidR="002F1408" w:rsidRPr="00D96AFA">
        <w:rPr>
          <w:rFonts w:eastAsia="Times New Roman"/>
          <w:iCs/>
          <w:kern w:val="28"/>
          <w:szCs w:val="22"/>
          <w:lang w:val="en-AU" w:eastAsia="en-AU"/>
        </w:rPr>
        <w:t xml:space="preserve"> and funding of health services by aligning clinical outcomes and patient satisfaction.</w:t>
      </w:r>
    </w:p>
    <w:p w14:paraId="27979D44" w14:textId="2F56DBEF" w:rsidR="006507DE" w:rsidRPr="00D96AFA" w:rsidRDefault="002F1408" w:rsidP="00AE1168">
      <w:pPr>
        <w:spacing w:before="360" w:after="120"/>
        <w:rPr>
          <w:rFonts w:eastAsia="Times New Roman"/>
          <w:iCs/>
          <w:kern w:val="28"/>
          <w:szCs w:val="22"/>
          <w:lang w:eastAsia="en-AU"/>
        </w:rPr>
      </w:pPr>
      <w:r w:rsidRPr="00D96AFA">
        <w:rPr>
          <w:rFonts w:eastAsia="Times New Roman"/>
          <w:iCs/>
          <w:kern w:val="28"/>
          <w:szCs w:val="22"/>
          <w:lang w:eastAsia="en-AU"/>
        </w:rPr>
        <w:t xml:space="preserve">The </w:t>
      </w:r>
      <w:r w:rsidR="003C1B1A" w:rsidRPr="00D96AFA">
        <w:rPr>
          <w:rFonts w:eastAsia="Times New Roman"/>
          <w:iCs/>
          <w:kern w:val="28"/>
          <w:szCs w:val="22"/>
          <w:lang w:val="en-AU" w:eastAsia="en-AU"/>
        </w:rPr>
        <w:t xml:space="preserve">integration of PROMs data with other </w:t>
      </w:r>
      <w:r w:rsidR="001B5E59" w:rsidRPr="00D96AFA">
        <w:rPr>
          <w:rFonts w:eastAsia="Times New Roman"/>
          <w:iCs/>
          <w:kern w:val="28"/>
          <w:szCs w:val="22"/>
          <w:lang w:val="en-AU" w:eastAsia="en-AU"/>
        </w:rPr>
        <w:t>AOA</w:t>
      </w:r>
      <w:r w:rsidR="003C1B1A" w:rsidRPr="00D96AFA">
        <w:rPr>
          <w:rFonts w:eastAsia="Times New Roman"/>
          <w:iCs/>
          <w:kern w:val="28"/>
          <w:szCs w:val="22"/>
          <w:lang w:val="en-AU" w:eastAsia="en-AU"/>
        </w:rPr>
        <w:t xml:space="preserve">NJRR </w:t>
      </w:r>
      <w:r w:rsidRPr="00D96AFA">
        <w:rPr>
          <w:rFonts w:eastAsia="Times New Roman"/>
          <w:iCs/>
          <w:kern w:val="28"/>
          <w:szCs w:val="22"/>
          <w:lang w:eastAsia="en-AU"/>
        </w:rPr>
        <w:t>data augments surgeons’ ability to evaluate their performance by linking the patient’s view with the surgeon’s reflections on the outcomes of procedure</w:t>
      </w:r>
      <w:r w:rsidR="003C1B1A" w:rsidRPr="00D96AFA">
        <w:rPr>
          <w:rFonts w:eastAsia="Times New Roman"/>
          <w:iCs/>
          <w:kern w:val="28"/>
          <w:szCs w:val="22"/>
          <w:lang w:eastAsia="en-AU"/>
        </w:rPr>
        <w:t>s</w:t>
      </w:r>
      <w:r w:rsidRPr="00D96AFA">
        <w:rPr>
          <w:rFonts w:eastAsia="Times New Roman"/>
          <w:iCs/>
          <w:kern w:val="28"/>
          <w:szCs w:val="22"/>
          <w:lang w:eastAsia="en-AU"/>
        </w:rPr>
        <w:t xml:space="preserve">. </w:t>
      </w:r>
      <w:proofErr w:type="gramStart"/>
      <w:r w:rsidRPr="00D96AFA">
        <w:rPr>
          <w:rFonts w:eastAsia="Times New Roman"/>
          <w:iCs/>
          <w:kern w:val="28"/>
          <w:szCs w:val="22"/>
          <w:lang w:eastAsia="en-AU"/>
        </w:rPr>
        <w:t>PROMs</w:t>
      </w:r>
      <w:proofErr w:type="gramEnd"/>
      <w:r w:rsidRPr="00D96AFA">
        <w:rPr>
          <w:rFonts w:eastAsia="Times New Roman"/>
          <w:iCs/>
          <w:kern w:val="28"/>
          <w:szCs w:val="22"/>
          <w:lang w:eastAsia="en-AU"/>
        </w:rPr>
        <w:t xml:space="preserve"> data is also translated into population</w:t>
      </w:r>
      <w:r w:rsidR="00852F78" w:rsidRPr="00D96AFA">
        <w:rPr>
          <w:rFonts w:eastAsia="Times New Roman"/>
          <w:iCs/>
          <w:kern w:val="28"/>
          <w:szCs w:val="22"/>
          <w:lang w:eastAsia="en-AU"/>
        </w:rPr>
        <w:t>-</w:t>
      </w:r>
      <w:r w:rsidRPr="00D96AFA">
        <w:rPr>
          <w:rFonts w:eastAsia="Times New Roman"/>
          <w:iCs/>
          <w:kern w:val="28"/>
          <w:szCs w:val="22"/>
          <w:lang w:eastAsia="en-AU"/>
        </w:rPr>
        <w:t>based statistics that will be used to inform</w:t>
      </w:r>
      <w:r w:rsidR="003C1B1A" w:rsidRPr="00D96AFA">
        <w:rPr>
          <w:rFonts w:eastAsia="Times New Roman"/>
          <w:iCs/>
          <w:kern w:val="28"/>
          <w:szCs w:val="22"/>
          <w:lang w:eastAsia="en-AU"/>
        </w:rPr>
        <w:t xml:space="preserve"> improvements to</w:t>
      </w:r>
      <w:r w:rsidRPr="00D96AFA">
        <w:rPr>
          <w:rFonts w:eastAsia="Times New Roman"/>
          <w:iCs/>
          <w:kern w:val="28"/>
          <w:szCs w:val="22"/>
          <w:lang w:eastAsia="en-AU"/>
        </w:rPr>
        <w:t xml:space="preserve"> clinical practice and patient care standards.</w:t>
      </w:r>
      <w:r w:rsidR="003C1B1A" w:rsidRPr="00D96AFA">
        <w:rPr>
          <w:rFonts w:asciiTheme="minorHAnsi" w:eastAsia="Times New Roman" w:hAnsiTheme="minorHAnsi" w:cstheme="minorHAnsi"/>
          <w:snapToGrid/>
          <w:sz w:val="22"/>
          <w:szCs w:val="22"/>
          <w:lang w:val="en-AU"/>
        </w:rPr>
        <w:t xml:space="preserve"> </w:t>
      </w:r>
    </w:p>
    <w:p w14:paraId="69B9235E" w14:textId="77777777" w:rsidR="00FA682D" w:rsidRPr="00D96AFA" w:rsidRDefault="00FA682D" w:rsidP="003F275F">
      <w:pPr>
        <w:spacing w:before="360" w:after="120"/>
        <w:rPr>
          <w:rFonts w:eastAsia="Times New Roman"/>
          <w:iCs/>
          <w:kern w:val="28"/>
          <w:szCs w:val="22"/>
          <w:lang w:eastAsia="en-AU"/>
        </w:rPr>
      </w:pPr>
    </w:p>
    <w:p w14:paraId="4C325D78" w14:textId="77777777" w:rsidR="003F275F" w:rsidRPr="00D96AFA" w:rsidRDefault="003F275F" w:rsidP="003F275F">
      <w:pPr>
        <w:spacing w:before="360" w:after="120"/>
      </w:pPr>
      <w:r w:rsidRPr="00D96AFA">
        <w:br w:type="page"/>
      </w:r>
    </w:p>
    <w:p w14:paraId="74D1ED3C" w14:textId="77777777" w:rsidR="006544E3" w:rsidRPr="00D96AFA" w:rsidRDefault="006544E3" w:rsidP="006544E3">
      <w:pPr>
        <w:spacing w:before="360" w:after="120"/>
        <w:jc w:val="right"/>
        <w:rPr>
          <w:b/>
          <w:szCs w:val="24"/>
        </w:rPr>
      </w:pPr>
    </w:p>
    <w:p w14:paraId="5777B879" w14:textId="6C14CB8E" w:rsidR="00FE241E" w:rsidRPr="00D96AFA" w:rsidRDefault="00FE241E" w:rsidP="006544E3">
      <w:pPr>
        <w:spacing w:before="360" w:after="240"/>
        <w:jc w:val="right"/>
        <w:rPr>
          <w:b/>
          <w:szCs w:val="24"/>
        </w:rPr>
      </w:pPr>
      <w:r w:rsidRPr="00D96AFA">
        <w:rPr>
          <w:b/>
          <w:szCs w:val="24"/>
        </w:rPr>
        <w:t>ATTACHMENT B</w:t>
      </w:r>
    </w:p>
    <w:p w14:paraId="4338A22E" w14:textId="318E6C9A" w:rsidR="003F275F" w:rsidRPr="00D96AFA" w:rsidRDefault="003F275F" w:rsidP="003F275F">
      <w:pPr>
        <w:spacing w:before="360" w:after="120"/>
        <w:jc w:val="center"/>
        <w:rPr>
          <w:b/>
          <w:sz w:val="28"/>
          <w:szCs w:val="28"/>
        </w:rPr>
      </w:pPr>
      <w:r w:rsidRPr="00D96AFA">
        <w:rPr>
          <w:b/>
          <w:sz w:val="28"/>
          <w:szCs w:val="28"/>
        </w:rPr>
        <w:t>Statement of Compatibility with Human Rights</w:t>
      </w:r>
    </w:p>
    <w:p w14:paraId="6EB29387" w14:textId="77777777" w:rsidR="003F275F" w:rsidRPr="00D96AFA" w:rsidRDefault="003F275F" w:rsidP="006544E3">
      <w:pPr>
        <w:spacing w:before="360" w:after="120"/>
        <w:jc w:val="center"/>
        <w:rPr>
          <w:szCs w:val="24"/>
        </w:rPr>
      </w:pPr>
      <w:r w:rsidRPr="00D96AFA">
        <w:rPr>
          <w:i/>
          <w:szCs w:val="24"/>
        </w:rPr>
        <w:t>Prepared in accordance with Part 3 of the Human Rights (Parliamentary Scrutiny) Act 2011</w:t>
      </w:r>
    </w:p>
    <w:p w14:paraId="01F95A3D" w14:textId="31E27C15" w:rsidR="004C2FFB" w:rsidRPr="00D96AFA" w:rsidRDefault="009E6BBB" w:rsidP="006544E3">
      <w:pPr>
        <w:spacing w:before="360" w:after="240"/>
        <w:jc w:val="center"/>
        <w:rPr>
          <w:bCs/>
          <w:i/>
          <w:szCs w:val="24"/>
          <w:lang w:val="en-AU"/>
        </w:rPr>
      </w:pPr>
      <w:r w:rsidRPr="00D96AFA">
        <w:rPr>
          <w:bCs/>
          <w:i/>
          <w:szCs w:val="24"/>
        </w:rPr>
        <w:t xml:space="preserve">Health Insurance (Quality Assurance Activity </w:t>
      </w:r>
      <w:r w:rsidRPr="00D96AFA">
        <w:rPr>
          <w:bCs/>
          <w:i/>
          <w:iCs/>
          <w:szCs w:val="24"/>
        </w:rPr>
        <w:t xml:space="preserve">– </w:t>
      </w:r>
      <w:r w:rsidRPr="00D96AFA">
        <w:rPr>
          <w:bCs/>
          <w:i/>
          <w:szCs w:val="24"/>
        </w:rPr>
        <w:t xml:space="preserve">Australian </w:t>
      </w:r>
      <w:proofErr w:type="spellStart"/>
      <w:r w:rsidRPr="00D96AFA">
        <w:rPr>
          <w:bCs/>
          <w:i/>
          <w:szCs w:val="24"/>
        </w:rPr>
        <w:t>Orthopaedic</w:t>
      </w:r>
      <w:proofErr w:type="spellEnd"/>
      <w:r w:rsidRPr="00D96AFA">
        <w:rPr>
          <w:bCs/>
          <w:i/>
          <w:szCs w:val="24"/>
        </w:rPr>
        <w:t xml:space="preserve"> Association National Joint Replacement Registry) Declaration 2022</w:t>
      </w:r>
    </w:p>
    <w:p w14:paraId="021940A5" w14:textId="39707FFB" w:rsidR="003F275F" w:rsidRPr="00D96AFA" w:rsidRDefault="003F275F" w:rsidP="006544E3">
      <w:pPr>
        <w:spacing w:before="360" w:after="120"/>
        <w:jc w:val="center"/>
        <w:rPr>
          <w:szCs w:val="24"/>
        </w:rPr>
      </w:pPr>
      <w:r w:rsidRPr="00D96AFA">
        <w:rPr>
          <w:szCs w:val="24"/>
        </w:rPr>
        <w:t xml:space="preserve">This </w:t>
      </w:r>
      <w:r w:rsidR="0060171A" w:rsidRPr="00D96AFA">
        <w:rPr>
          <w:szCs w:val="24"/>
        </w:rPr>
        <w:t>legislative instrument</w:t>
      </w:r>
      <w:r w:rsidRPr="00D96AFA">
        <w:rPr>
          <w:szCs w:val="24"/>
        </w:rPr>
        <w:t xml:space="preserve"> is compatible with the human rights and freedoms </w:t>
      </w:r>
      <w:proofErr w:type="spellStart"/>
      <w:r w:rsidRPr="00D96AFA">
        <w:rPr>
          <w:szCs w:val="24"/>
        </w:rPr>
        <w:t>recognised</w:t>
      </w:r>
      <w:proofErr w:type="spellEnd"/>
      <w:r w:rsidRPr="00D96AFA">
        <w:rPr>
          <w:szCs w:val="24"/>
        </w:rPr>
        <w:t xml:space="preserve"> or declared in the international instruments listed in section 3 of the </w:t>
      </w:r>
      <w:r w:rsidRPr="00D96AFA">
        <w:rPr>
          <w:i/>
          <w:szCs w:val="24"/>
        </w:rPr>
        <w:t>Human</w:t>
      </w:r>
      <w:r w:rsidRPr="00D96AFA">
        <w:rPr>
          <w:i/>
          <w:szCs w:val="24"/>
          <w:lang w:eastAsia="ja-JP"/>
        </w:rPr>
        <w:t> </w:t>
      </w:r>
      <w:r w:rsidRPr="00D96AFA">
        <w:rPr>
          <w:i/>
          <w:szCs w:val="24"/>
        </w:rPr>
        <w:t>Rights</w:t>
      </w:r>
      <w:r w:rsidRPr="00D96AFA">
        <w:rPr>
          <w:i/>
          <w:szCs w:val="24"/>
          <w:lang w:eastAsia="ja-JP"/>
        </w:rPr>
        <w:t> </w:t>
      </w:r>
      <w:r w:rsidRPr="00D96AFA">
        <w:rPr>
          <w:i/>
          <w:szCs w:val="24"/>
        </w:rPr>
        <w:t>(Parliamentary</w:t>
      </w:r>
      <w:r w:rsidR="004C2FFB" w:rsidRPr="00D96AFA">
        <w:rPr>
          <w:i/>
          <w:szCs w:val="24"/>
        </w:rPr>
        <w:t> </w:t>
      </w:r>
      <w:r w:rsidRPr="00D96AFA">
        <w:rPr>
          <w:i/>
          <w:szCs w:val="24"/>
        </w:rPr>
        <w:t>Scrutiny) Act 2011</w:t>
      </w:r>
      <w:r w:rsidRPr="00D96AFA">
        <w:rPr>
          <w:szCs w:val="24"/>
        </w:rPr>
        <w:t>.</w:t>
      </w:r>
    </w:p>
    <w:p w14:paraId="2BEA9647" w14:textId="77777777" w:rsidR="00FE241E" w:rsidRPr="00D96AFA" w:rsidRDefault="00FE241E" w:rsidP="004C2FFB">
      <w:pPr>
        <w:spacing w:before="120" w:after="120"/>
        <w:jc w:val="center"/>
        <w:rPr>
          <w:szCs w:val="24"/>
        </w:rPr>
      </w:pPr>
    </w:p>
    <w:p w14:paraId="1DD1A0FB" w14:textId="2B040307" w:rsidR="003F275F" w:rsidRPr="00D96AFA" w:rsidRDefault="003F275F" w:rsidP="006544E3">
      <w:pPr>
        <w:spacing w:before="360" w:after="240"/>
        <w:jc w:val="both"/>
        <w:rPr>
          <w:b/>
          <w:szCs w:val="24"/>
        </w:rPr>
      </w:pPr>
      <w:r w:rsidRPr="00D96AFA">
        <w:rPr>
          <w:b/>
          <w:szCs w:val="24"/>
        </w:rPr>
        <w:t xml:space="preserve">Overview of the </w:t>
      </w:r>
      <w:r w:rsidR="0060171A" w:rsidRPr="00D96AFA">
        <w:rPr>
          <w:b/>
          <w:szCs w:val="24"/>
        </w:rPr>
        <w:t>legislative instrument</w:t>
      </w:r>
    </w:p>
    <w:p w14:paraId="0E198904" w14:textId="324036E4" w:rsidR="003F275F" w:rsidRPr="00D96AFA" w:rsidRDefault="003F275F" w:rsidP="003F275F">
      <w:pPr>
        <w:spacing w:before="120" w:after="120"/>
        <w:rPr>
          <w:szCs w:val="24"/>
        </w:rPr>
      </w:pPr>
      <w:r w:rsidRPr="00D96AFA">
        <w:rPr>
          <w:szCs w:val="24"/>
        </w:rPr>
        <w:t xml:space="preserve">The </w:t>
      </w:r>
      <w:r w:rsidR="009E6BBB" w:rsidRPr="00D96AFA">
        <w:rPr>
          <w:bCs/>
          <w:i/>
          <w:szCs w:val="24"/>
        </w:rPr>
        <w:t xml:space="preserve">Health Insurance (Quality Assurance Activity </w:t>
      </w:r>
      <w:r w:rsidR="009E6BBB" w:rsidRPr="00D96AFA">
        <w:rPr>
          <w:bCs/>
          <w:i/>
          <w:iCs/>
          <w:szCs w:val="24"/>
        </w:rPr>
        <w:t xml:space="preserve">– </w:t>
      </w:r>
      <w:r w:rsidR="009E6BBB" w:rsidRPr="00D96AFA">
        <w:rPr>
          <w:bCs/>
          <w:i/>
          <w:szCs w:val="24"/>
        </w:rPr>
        <w:t xml:space="preserve">Australian </w:t>
      </w:r>
      <w:proofErr w:type="spellStart"/>
      <w:r w:rsidR="009E6BBB" w:rsidRPr="00D96AFA">
        <w:rPr>
          <w:bCs/>
          <w:i/>
          <w:szCs w:val="24"/>
        </w:rPr>
        <w:t>Orthopaedic</w:t>
      </w:r>
      <w:proofErr w:type="spellEnd"/>
      <w:r w:rsidR="009E6BBB" w:rsidRPr="00D96AFA">
        <w:rPr>
          <w:bCs/>
          <w:i/>
          <w:szCs w:val="24"/>
        </w:rPr>
        <w:t xml:space="preserve"> Association National Joint Replacement Registry) Declaration 2022 </w:t>
      </w:r>
      <w:r w:rsidRPr="00D96AFA">
        <w:rPr>
          <w:szCs w:val="24"/>
        </w:rPr>
        <w:t xml:space="preserve">(the Declaration) declares the </w:t>
      </w:r>
      <w:r w:rsidR="009E6BBB" w:rsidRPr="00D96AFA">
        <w:rPr>
          <w:rFonts w:eastAsia="Times New Roman"/>
          <w:iCs/>
          <w:kern w:val="28"/>
          <w:szCs w:val="22"/>
          <w:lang w:eastAsia="en-AU"/>
        </w:rPr>
        <w:t xml:space="preserve">Australian </w:t>
      </w:r>
      <w:proofErr w:type="spellStart"/>
      <w:r w:rsidR="009E6BBB" w:rsidRPr="00D96AFA">
        <w:rPr>
          <w:rFonts w:eastAsia="Times New Roman"/>
          <w:iCs/>
          <w:kern w:val="28"/>
          <w:szCs w:val="22"/>
          <w:lang w:eastAsia="en-AU"/>
        </w:rPr>
        <w:t>Orthopaedic</w:t>
      </w:r>
      <w:proofErr w:type="spellEnd"/>
      <w:r w:rsidR="009E6BBB" w:rsidRPr="00D96AFA">
        <w:rPr>
          <w:rFonts w:eastAsia="Times New Roman"/>
          <w:iCs/>
          <w:kern w:val="28"/>
          <w:szCs w:val="22"/>
          <w:lang w:eastAsia="en-AU"/>
        </w:rPr>
        <w:t xml:space="preserve"> Association National Joint Replacement Registry </w:t>
      </w:r>
      <w:r w:rsidR="00715CC1" w:rsidRPr="00D96AFA">
        <w:rPr>
          <w:rFonts w:eastAsia="Times New Roman"/>
          <w:iCs/>
          <w:kern w:val="28"/>
          <w:szCs w:val="22"/>
          <w:lang w:eastAsia="en-AU"/>
        </w:rPr>
        <w:t>(A</w:t>
      </w:r>
      <w:r w:rsidR="00184CCB" w:rsidRPr="00D96AFA">
        <w:rPr>
          <w:rFonts w:eastAsia="Times New Roman"/>
          <w:iCs/>
          <w:kern w:val="28"/>
          <w:szCs w:val="22"/>
          <w:lang w:eastAsia="en-AU"/>
        </w:rPr>
        <w:t>ctivity</w:t>
      </w:r>
      <w:r w:rsidR="00715CC1" w:rsidRPr="00D96AFA">
        <w:rPr>
          <w:rFonts w:eastAsia="Times New Roman"/>
          <w:iCs/>
          <w:kern w:val="28"/>
          <w:szCs w:val="22"/>
          <w:lang w:eastAsia="en-AU"/>
        </w:rPr>
        <w:t>)</w:t>
      </w:r>
      <w:r w:rsidR="00184CCB" w:rsidRPr="00D96AFA">
        <w:rPr>
          <w:rFonts w:eastAsia="Times New Roman"/>
          <w:iCs/>
          <w:kern w:val="28"/>
          <w:szCs w:val="22"/>
          <w:lang w:eastAsia="en-AU"/>
        </w:rPr>
        <w:t xml:space="preserve"> </w:t>
      </w:r>
      <w:r w:rsidRPr="00D96AFA">
        <w:rPr>
          <w:szCs w:val="24"/>
        </w:rPr>
        <w:t xml:space="preserve">to be a quality assurance activity to which Part VC of the </w:t>
      </w:r>
      <w:r w:rsidRPr="00D96AFA">
        <w:rPr>
          <w:i/>
          <w:szCs w:val="24"/>
        </w:rPr>
        <w:t>Health Insurance </w:t>
      </w:r>
      <w:r w:rsidRPr="00D96AFA">
        <w:rPr>
          <w:i/>
        </w:rPr>
        <w:t>Act</w:t>
      </w:r>
      <w:r w:rsidR="004800F0" w:rsidRPr="00D96AFA">
        <w:rPr>
          <w:i/>
        </w:rPr>
        <w:t xml:space="preserve"> </w:t>
      </w:r>
      <w:r w:rsidRPr="00D96AFA">
        <w:rPr>
          <w:i/>
        </w:rPr>
        <w:t>1973</w:t>
      </w:r>
      <w:r w:rsidRPr="00D96AFA">
        <w:rPr>
          <w:szCs w:val="24"/>
        </w:rPr>
        <w:t xml:space="preserve"> (Act) applies.</w:t>
      </w:r>
      <w:r w:rsidR="00715CC1" w:rsidRPr="00D96AFA">
        <w:rPr>
          <w:szCs w:val="24"/>
        </w:rPr>
        <w:t xml:space="preserve"> </w:t>
      </w:r>
      <w:r w:rsidR="00715CC1" w:rsidRPr="00D96AFA">
        <w:rPr>
          <w:lang w:val="en-AU"/>
        </w:rPr>
        <w:t>The Activity will be conducted by the </w:t>
      </w:r>
      <w:r w:rsidR="009E6BBB" w:rsidRPr="00D96AFA">
        <w:rPr>
          <w:iCs/>
          <w:color w:val="000000"/>
          <w:shd w:val="clear" w:color="auto" w:fill="FFFFFF"/>
        </w:rPr>
        <w:t xml:space="preserve">Australian </w:t>
      </w:r>
      <w:proofErr w:type="spellStart"/>
      <w:r w:rsidR="009E6BBB" w:rsidRPr="00D96AFA">
        <w:rPr>
          <w:iCs/>
          <w:color w:val="000000"/>
          <w:shd w:val="clear" w:color="auto" w:fill="FFFFFF"/>
        </w:rPr>
        <w:t>Orthopaedic</w:t>
      </w:r>
      <w:proofErr w:type="spellEnd"/>
      <w:r w:rsidR="009E6BBB" w:rsidRPr="00D96AFA">
        <w:rPr>
          <w:iCs/>
          <w:color w:val="000000"/>
          <w:shd w:val="clear" w:color="auto" w:fill="FFFFFF"/>
        </w:rPr>
        <w:t xml:space="preserve"> Association</w:t>
      </w:r>
      <w:r w:rsidR="009E6BBB" w:rsidRPr="00D96AFA">
        <w:rPr>
          <w:color w:val="000000"/>
          <w:shd w:val="clear" w:color="auto" w:fill="FFFFFF"/>
        </w:rPr>
        <w:t xml:space="preserve"> </w:t>
      </w:r>
      <w:r w:rsidR="00715CC1" w:rsidRPr="00D96AFA">
        <w:rPr>
          <w:lang w:val="en"/>
        </w:rPr>
        <w:t>(</w:t>
      </w:r>
      <w:r w:rsidR="009E6BBB" w:rsidRPr="00D96AFA">
        <w:rPr>
          <w:lang w:val="en"/>
        </w:rPr>
        <w:t>A</w:t>
      </w:r>
      <w:r w:rsidR="00715CC1" w:rsidRPr="00D96AFA">
        <w:rPr>
          <w:lang w:val="en"/>
        </w:rPr>
        <w:t>OA)</w:t>
      </w:r>
      <w:r w:rsidR="0060171A" w:rsidRPr="00D96AFA">
        <w:rPr>
          <w:lang w:val="en-AU"/>
        </w:rPr>
        <w:t xml:space="preserve">. </w:t>
      </w:r>
      <w:r w:rsidR="009E6BBB" w:rsidRPr="00D96AFA">
        <w:t xml:space="preserve">The AOA is the peak not-for-profit professional representative </w:t>
      </w:r>
      <w:proofErr w:type="spellStart"/>
      <w:r w:rsidR="009E6BBB" w:rsidRPr="00D96AFA">
        <w:t>organisation</w:t>
      </w:r>
      <w:proofErr w:type="spellEnd"/>
      <w:r w:rsidR="009E6BBB" w:rsidRPr="00D96AFA">
        <w:t xml:space="preserve"> for </w:t>
      </w:r>
      <w:proofErr w:type="spellStart"/>
      <w:r w:rsidR="009E6BBB" w:rsidRPr="00D96AFA">
        <w:t>orthopaedic</w:t>
      </w:r>
      <w:proofErr w:type="spellEnd"/>
      <w:r w:rsidR="009E6BBB" w:rsidRPr="00D96AFA">
        <w:t xml:space="preserve"> surgeons in Australia. </w:t>
      </w:r>
      <w:r w:rsidRPr="00D96AFA">
        <w:rPr>
          <w:szCs w:val="24"/>
        </w:rPr>
        <w:t xml:space="preserve">Information known solely as the result of conducting the </w:t>
      </w:r>
      <w:r w:rsidR="009E6BBB" w:rsidRPr="00D96AFA">
        <w:rPr>
          <w:szCs w:val="24"/>
        </w:rPr>
        <w:t>A</w:t>
      </w:r>
      <w:r w:rsidRPr="00D96AFA">
        <w:rPr>
          <w:szCs w:val="24"/>
        </w:rPr>
        <w:t xml:space="preserve">ctivity, or documents created solely for the purposes of the </w:t>
      </w:r>
      <w:r w:rsidR="009E6BBB" w:rsidRPr="00D96AFA">
        <w:rPr>
          <w:szCs w:val="24"/>
        </w:rPr>
        <w:t>A</w:t>
      </w:r>
      <w:r w:rsidRPr="00D96AFA">
        <w:rPr>
          <w:szCs w:val="24"/>
        </w:rPr>
        <w:t>ctivity, will be covered by qualified privilege.</w:t>
      </w:r>
    </w:p>
    <w:p w14:paraId="04AA220B" w14:textId="77777777" w:rsidR="003F275F" w:rsidRPr="00D96AFA" w:rsidRDefault="003F275F" w:rsidP="006544E3">
      <w:pPr>
        <w:spacing w:before="360" w:after="240"/>
        <w:rPr>
          <w:b/>
          <w:szCs w:val="24"/>
        </w:rPr>
      </w:pPr>
      <w:r w:rsidRPr="00D96AFA">
        <w:rPr>
          <w:b/>
          <w:szCs w:val="24"/>
        </w:rPr>
        <w:t>Human rights implications</w:t>
      </w:r>
    </w:p>
    <w:p w14:paraId="0DE8AD55" w14:textId="4BAB462E" w:rsidR="003F275F" w:rsidRPr="00D96AFA" w:rsidRDefault="00DE645A" w:rsidP="003F275F">
      <w:pPr>
        <w:spacing w:before="120" w:after="120"/>
        <w:rPr>
          <w:szCs w:val="24"/>
        </w:rPr>
      </w:pPr>
      <w:r w:rsidRPr="00D96AFA">
        <w:rPr>
          <w:szCs w:val="24"/>
        </w:rPr>
        <w:t xml:space="preserve">The </w:t>
      </w:r>
      <w:r w:rsidR="003F275F" w:rsidRPr="00D96AFA">
        <w:rPr>
          <w:szCs w:val="24"/>
        </w:rPr>
        <w:t>Declaration engages the right to health as set out in Article 12 of the International Covenant on Economic, Social and Cultural Right</w:t>
      </w:r>
      <w:r w:rsidR="00D27166" w:rsidRPr="00D96AFA">
        <w:rPr>
          <w:szCs w:val="24"/>
        </w:rPr>
        <w:t>s</w:t>
      </w:r>
      <w:r w:rsidR="003F275F" w:rsidRPr="00D96AFA">
        <w:rPr>
          <w:szCs w:val="24"/>
        </w:rPr>
        <w:t xml:space="preserve"> by assisting with the progressive </w:t>
      </w:r>
      <w:proofErr w:type="spellStart"/>
      <w:r w:rsidR="003F275F" w:rsidRPr="00D96AFA">
        <w:rPr>
          <w:szCs w:val="24"/>
        </w:rPr>
        <w:t>realisation</w:t>
      </w:r>
      <w:proofErr w:type="spellEnd"/>
      <w:r w:rsidR="003F275F" w:rsidRPr="00D96AFA">
        <w:rPr>
          <w:szCs w:val="24"/>
        </w:rPr>
        <w:t xml:space="preserve"> by all appropriate means of the right of everyone to the enjoyment of the highest attainable standard of physical and mental health.</w:t>
      </w:r>
    </w:p>
    <w:p w14:paraId="324E453C" w14:textId="0391946C" w:rsidR="003F275F" w:rsidRPr="00D96AFA" w:rsidRDefault="003F275F" w:rsidP="006544E3">
      <w:pPr>
        <w:widowControl/>
        <w:autoSpaceDE w:val="0"/>
        <w:autoSpaceDN w:val="0"/>
        <w:adjustRightInd w:val="0"/>
        <w:spacing w:before="240"/>
        <w:rPr>
          <w:szCs w:val="24"/>
        </w:rPr>
      </w:pPr>
      <w:r w:rsidRPr="00D96AFA">
        <w:rPr>
          <w:szCs w:val="24"/>
        </w:rPr>
        <w:t xml:space="preserve">The qualified privilege scheme established by Part VC of the Act is aimed at encouraging participation in quality assurance activities that help </w:t>
      </w:r>
      <w:r w:rsidR="004800F0" w:rsidRPr="00D96AFA">
        <w:rPr>
          <w:szCs w:val="24"/>
        </w:rPr>
        <w:t xml:space="preserve">to </w:t>
      </w:r>
      <w:r w:rsidRPr="00D96AFA">
        <w:rPr>
          <w:szCs w:val="24"/>
        </w:rPr>
        <w:t>ensure</w:t>
      </w:r>
      <w:r w:rsidR="004800F0" w:rsidRPr="00D96AFA">
        <w:rPr>
          <w:szCs w:val="24"/>
        </w:rPr>
        <w:t xml:space="preserve"> that</w:t>
      </w:r>
      <w:r w:rsidRPr="00D96AFA">
        <w:rPr>
          <w:szCs w:val="24"/>
        </w:rPr>
        <w:t xml:space="preserve"> the highest possible health care standards are maintained. The quality assurance activity described in </w:t>
      </w:r>
      <w:r w:rsidR="00DE645A" w:rsidRPr="00D96AFA">
        <w:rPr>
          <w:szCs w:val="24"/>
        </w:rPr>
        <w:t xml:space="preserve">the </w:t>
      </w:r>
      <w:r w:rsidRPr="00D96AFA">
        <w:rPr>
          <w:szCs w:val="24"/>
        </w:rPr>
        <w:t xml:space="preserve">Declaration will provide participants with a greater degree of confidence and security that their participation is for the benefit of improving </w:t>
      </w:r>
      <w:r w:rsidR="00715CC1" w:rsidRPr="00D96AFA">
        <w:rPr>
          <w:szCs w:val="24"/>
        </w:rPr>
        <w:t>healthcare</w:t>
      </w:r>
      <w:r w:rsidR="00AE1168" w:rsidRPr="00D96AFA">
        <w:rPr>
          <w:szCs w:val="24"/>
        </w:rPr>
        <w:t xml:space="preserve">. </w:t>
      </w:r>
      <w:r w:rsidR="003C122E" w:rsidRPr="00D96AFA">
        <w:rPr>
          <w:szCs w:val="24"/>
        </w:rPr>
        <w:t>Patient Reported Outcome Measures (</w:t>
      </w:r>
      <w:r w:rsidR="00AE1168" w:rsidRPr="00D96AFA">
        <w:rPr>
          <w:szCs w:val="24"/>
        </w:rPr>
        <w:t>PROMs</w:t>
      </w:r>
      <w:r w:rsidR="003C122E" w:rsidRPr="00D96AFA">
        <w:rPr>
          <w:szCs w:val="24"/>
        </w:rPr>
        <w:t xml:space="preserve">) data, </w:t>
      </w:r>
      <w:r w:rsidR="003C122E" w:rsidRPr="00D96AFA">
        <w:rPr>
          <w:iCs/>
          <w:szCs w:val="24"/>
        </w:rPr>
        <w:t>which capture</w:t>
      </w:r>
      <w:r w:rsidR="00DE645A" w:rsidRPr="00D96AFA">
        <w:rPr>
          <w:iCs/>
          <w:szCs w:val="24"/>
        </w:rPr>
        <w:t>s</w:t>
      </w:r>
      <w:r w:rsidR="003C122E" w:rsidRPr="00D96AFA">
        <w:rPr>
          <w:iCs/>
          <w:szCs w:val="24"/>
        </w:rPr>
        <w:t xml:space="preserve"> the patient’s perspective on the success of their treatment, </w:t>
      </w:r>
      <w:r w:rsidR="00AE1168" w:rsidRPr="00D96AFA">
        <w:rPr>
          <w:szCs w:val="24"/>
        </w:rPr>
        <w:t xml:space="preserve">is collected </w:t>
      </w:r>
      <w:r w:rsidR="007D271A" w:rsidRPr="00D96AFA">
        <w:rPr>
          <w:szCs w:val="24"/>
        </w:rPr>
        <w:t xml:space="preserve">on a voluntary basis </w:t>
      </w:r>
      <w:r w:rsidR="00AE1168" w:rsidRPr="00D96AFA">
        <w:rPr>
          <w:szCs w:val="24"/>
        </w:rPr>
        <w:t>from patients completing pre</w:t>
      </w:r>
      <w:r w:rsidR="004800F0" w:rsidRPr="00D96AFA">
        <w:rPr>
          <w:szCs w:val="24"/>
        </w:rPr>
        <w:t>-</w:t>
      </w:r>
      <w:r w:rsidR="00AE1168" w:rsidRPr="00D96AFA">
        <w:rPr>
          <w:szCs w:val="24"/>
        </w:rPr>
        <w:t xml:space="preserve"> and post-operative surveys covering pain and disability prior to surgery, as well as the extent and timing of recovery and the presence of complications</w:t>
      </w:r>
      <w:r w:rsidR="00796FE9" w:rsidRPr="00D96AFA">
        <w:rPr>
          <w:szCs w:val="24"/>
        </w:rPr>
        <w:t>.</w:t>
      </w:r>
      <w:r w:rsidR="00B570CF" w:rsidRPr="00D96AFA">
        <w:rPr>
          <w:szCs w:val="24"/>
        </w:rPr>
        <w:t xml:space="preserve"> </w:t>
      </w:r>
      <w:r w:rsidR="00796FE9" w:rsidRPr="00D96AFA">
        <w:rPr>
          <w:szCs w:val="24"/>
        </w:rPr>
        <w:t>This information</w:t>
      </w:r>
      <w:r w:rsidR="00AE1168" w:rsidRPr="00D96AFA">
        <w:rPr>
          <w:szCs w:val="24"/>
        </w:rPr>
        <w:t xml:space="preserve"> is translated into population</w:t>
      </w:r>
      <w:r w:rsidR="004800F0" w:rsidRPr="00D96AFA">
        <w:rPr>
          <w:szCs w:val="24"/>
        </w:rPr>
        <w:t>-</w:t>
      </w:r>
      <w:r w:rsidR="00AE1168" w:rsidRPr="00D96AFA">
        <w:rPr>
          <w:szCs w:val="24"/>
        </w:rPr>
        <w:t>based statistics that are used to inform clinical practice and patient care standards.</w:t>
      </w:r>
    </w:p>
    <w:p w14:paraId="55F16B1C" w14:textId="3C7B1520" w:rsidR="00FE241E" w:rsidRPr="00D96AFA" w:rsidRDefault="00DE645A" w:rsidP="006544E3">
      <w:pPr>
        <w:widowControl/>
        <w:autoSpaceDE w:val="0"/>
        <w:autoSpaceDN w:val="0"/>
        <w:adjustRightInd w:val="0"/>
        <w:spacing w:before="240"/>
        <w:rPr>
          <w:szCs w:val="24"/>
          <w:lang w:val="en-AU"/>
        </w:rPr>
      </w:pPr>
      <w:r w:rsidRPr="00D96AFA">
        <w:rPr>
          <w:szCs w:val="24"/>
        </w:rPr>
        <w:t xml:space="preserve">The </w:t>
      </w:r>
      <w:r w:rsidR="003F275F" w:rsidRPr="00D96AFA">
        <w:rPr>
          <w:szCs w:val="24"/>
        </w:rPr>
        <w:t xml:space="preserve">Declaration also engages, but does not limit, the right to privacy as contained in Article 17 of the International Covenant on Civil and Political Rights by involving the collection, storage, security, use, </w:t>
      </w:r>
      <w:proofErr w:type="gramStart"/>
      <w:r w:rsidR="003F275F" w:rsidRPr="00D96AFA">
        <w:rPr>
          <w:szCs w:val="24"/>
        </w:rPr>
        <w:t>disclosure</w:t>
      </w:r>
      <w:proofErr w:type="gramEnd"/>
      <w:r w:rsidR="003F275F" w:rsidRPr="00D96AFA">
        <w:rPr>
          <w:szCs w:val="24"/>
        </w:rPr>
        <w:t xml:space="preserve"> or publication of personal information. Data collected as part of the </w:t>
      </w:r>
      <w:r w:rsidR="00D27166" w:rsidRPr="00D96AFA">
        <w:rPr>
          <w:szCs w:val="24"/>
        </w:rPr>
        <w:t>Activity</w:t>
      </w:r>
      <w:r w:rsidR="003F275F" w:rsidRPr="00D96AFA">
        <w:rPr>
          <w:szCs w:val="24"/>
        </w:rPr>
        <w:t xml:space="preserve"> will be de-identified to ensure that no individual or individuals are identified prior to analysis or disclosure of the information. </w:t>
      </w:r>
      <w:r w:rsidR="00AE1168" w:rsidRPr="00D96AFA">
        <w:rPr>
          <w:szCs w:val="24"/>
        </w:rPr>
        <w:t xml:space="preserve">Public disclosures of de-identified </w:t>
      </w:r>
      <w:r w:rsidR="00AE1168" w:rsidRPr="00D96AFA">
        <w:rPr>
          <w:szCs w:val="24"/>
          <w:lang w:val="en-AU"/>
        </w:rPr>
        <w:t xml:space="preserve">information derived from the AOANJRR </w:t>
      </w:r>
      <w:r w:rsidR="007D271A" w:rsidRPr="00D96AFA">
        <w:rPr>
          <w:szCs w:val="24"/>
          <w:lang w:val="en-AU"/>
        </w:rPr>
        <w:t xml:space="preserve">data </w:t>
      </w:r>
      <w:r w:rsidR="00AE1168" w:rsidRPr="00D96AFA">
        <w:rPr>
          <w:szCs w:val="24"/>
          <w:lang w:val="en-AU"/>
        </w:rPr>
        <w:t xml:space="preserve">will be </w:t>
      </w:r>
      <w:r w:rsidR="007D271A" w:rsidRPr="00D96AFA">
        <w:rPr>
          <w:szCs w:val="24"/>
          <w:lang w:val="en-AU"/>
        </w:rPr>
        <w:t xml:space="preserve">published in annual </w:t>
      </w:r>
      <w:r w:rsidR="007D271A" w:rsidRPr="00D96AFA">
        <w:rPr>
          <w:szCs w:val="24"/>
          <w:lang w:val="en-AU"/>
        </w:rPr>
        <w:lastRenderedPageBreak/>
        <w:t xml:space="preserve">reports and </w:t>
      </w:r>
      <w:r w:rsidR="00AE1168" w:rsidRPr="00D96AFA">
        <w:rPr>
          <w:szCs w:val="24"/>
          <w:lang w:val="en-AU"/>
        </w:rPr>
        <w:t xml:space="preserve">used to enhance </w:t>
      </w:r>
      <w:r w:rsidR="007D271A" w:rsidRPr="00D96AFA">
        <w:rPr>
          <w:szCs w:val="24"/>
          <w:lang w:val="en-AU"/>
        </w:rPr>
        <w:t xml:space="preserve">surgical </w:t>
      </w:r>
      <w:r w:rsidR="00AE1168" w:rsidRPr="00D96AFA">
        <w:rPr>
          <w:szCs w:val="24"/>
          <w:lang w:val="en-AU"/>
        </w:rPr>
        <w:t xml:space="preserve">outcomes, and assist in the design, </w:t>
      </w:r>
      <w:proofErr w:type="gramStart"/>
      <w:r w:rsidR="00AE1168" w:rsidRPr="00D96AFA">
        <w:rPr>
          <w:szCs w:val="24"/>
          <w:lang w:val="en-AU"/>
        </w:rPr>
        <w:t>delivery</w:t>
      </w:r>
      <w:proofErr w:type="gramEnd"/>
      <w:r w:rsidR="00AE1168" w:rsidRPr="00D96AFA">
        <w:rPr>
          <w:szCs w:val="24"/>
          <w:lang w:val="en-AU"/>
        </w:rPr>
        <w:t xml:space="preserve"> and effectiveness of health services by aligning clinical outcomes and patient satisfaction with </w:t>
      </w:r>
      <w:r w:rsidR="009247A8" w:rsidRPr="00D96AFA">
        <w:rPr>
          <w:szCs w:val="24"/>
          <w:lang w:val="en-AU"/>
        </w:rPr>
        <w:t>safe</w:t>
      </w:r>
      <w:r w:rsidR="00584F59" w:rsidRPr="00D96AFA">
        <w:rPr>
          <w:szCs w:val="24"/>
          <w:lang w:val="en-AU"/>
        </w:rPr>
        <w:t xml:space="preserve">, </w:t>
      </w:r>
      <w:r w:rsidR="00AE1168" w:rsidRPr="00D96AFA">
        <w:rPr>
          <w:szCs w:val="24"/>
          <w:lang w:val="en-AU"/>
        </w:rPr>
        <w:t xml:space="preserve">efficient, </w:t>
      </w:r>
      <w:r w:rsidR="00584F59" w:rsidRPr="00D96AFA">
        <w:rPr>
          <w:szCs w:val="24"/>
          <w:lang w:val="en-AU"/>
        </w:rPr>
        <w:t xml:space="preserve">and </w:t>
      </w:r>
      <w:r w:rsidR="00AE1168" w:rsidRPr="00D96AFA">
        <w:rPr>
          <w:szCs w:val="24"/>
          <w:lang w:val="en-AU"/>
        </w:rPr>
        <w:t xml:space="preserve">best practice care. </w:t>
      </w:r>
    </w:p>
    <w:p w14:paraId="26194984" w14:textId="022C16D3" w:rsidR="003F275F" w:rsidRPr="00D96AFA" w:rsidRDefault="003F275F" w:rsidP="006544E3">
      <w:pPr>
        <w:spacing w:before="360" w:after="240"/>
        <w:rPr>
          <w:b/>
          <w:szCs w:val="24"/>
        </w:rPr>
      </w:pPr>
      <w:r w:rsidRPr="00D96AFA">
        <w:rPr>
          <w:b/>
          <w:szCs w:val="24"/>
        </w:rPr>
        <w:t>Conclusion</w:t>
      </w:r>
    </w:p>
    <w:p w14:paraId="33260620" w14:textId="75FF5DDF" w:rsidR="003F275F" w:rsidRPr="00D96AFA" w:rsidRDefault="00DE645A" w:rsidP="003F275F">
      <w:pPr>
        <w:spacing w:before="120" w:after="120"/>
        <w:rPr>
          <w:szCs w:val="24"/>
        </w:rPr>
      </w:pPr>
      <w:r w:rsidRPr="00D96AFA">
        <w:rPr>
          <w:szCs w:val="24"/>
        </w:rPr>
        <w:t xml:space="preserve">The </w:t>
      </w:r>
      <w:r w:rsidR="003F275F" w:rsidRPr="00D96AFA">
        <w:rPr>
          <w:szCs w:val="24"/>
        </w:rPr>
        <w:t>Declaration is compatible with human rights as it promotes the right to health and does not limit the right to privacy.</w:t>
      </w:r>
    </w:p>
    <w:p w14:paraId="54C5C3CE" w14:textId="77777777" w:rsidR="003F275F" w:rsidRPr="00D96AFA" w:rsidRDefault="003F275F" w:rsidP="003F275F">
      <w:pPr>
        <w:pStyle w:val="BodyText"/>
        <w:tabs>
          <w:tab w:val="left" w:pos="0"/>
        </w:tabs>
        <w:jc w:val="center"/>
        <w:rPr>
          <w:b/>
        </w:rPr>
      </w:pPr>
    </w:p>
    <w:p w14:paraId="41F588EE" w14:textId="7C26206C" w:rsidR="003F275F" w:rsidRPr="00D96AFA" w:rsidRDefault="003F275F" w:rsidP="003F275F">
      <w:pPr>
        <w:pStyle w:val="BodyText"/>
        <w:tabs>
          <w:tab w:val="left" w:pos="0"/>
        </w:tabs>
        <w:jc w:val="center"/>
        <w:rPr>
          <w:b/>
        </w:rPr>
      </w:pPr>
      <w:r w:rsidRPr="00D96AFA">
        <w:rPr>
          <w:b/>
        </w:rPr>
        <w:t>Professor Paul Kelly</w:t>
      </w:r>
    </w:p>
    <w:p w14:paraId="0392FD2A" w14:textId="5DB6C4DF" w:rsidR="003F275F" w:rsidRPr="00D96AFA" w:rsidRDefault="003F275F" w:rsidP="003F275F">
      <w:pPr>
        <w:pStyle w:val="BodyText"/>
        <w:tabs>
          <w:tab w:val="left" w:pos="0"/>
        </w:tabs>
        <w:jc w:val="center"/>
        <w:rPr>
          <w:b/>
        </w:rPr>
      </w:pPr>
      <w:r w:rsidRPr="00D96AFA">
        <w:rPr>
          <w:b/>
        </w:rPr>
        <w:t>Chief Medical Officer</w:t>
      </w:r>
    </w:p>
    <w:p w14:paraId="0845432A" w14:textId="4C8BDAB4" w:rsidR="003F275F" w:rsidRDefault="003F275F" w:rsidP="00441F31">
      <w:pPr>
        <w:pStyle w:val="BodyText"/>
        <w:tabs>
          <w:tab w:val="clear" w:pos="1132"/>
          <w:tab w:val="clear" w:pos="3684"/>
          <w:tab w:val="left" w:pos="0"/>
        </w:tabs>
        <w:jc w:val="center"/>
      </w:pPr>
      <w:r w:rsidRPr="00D96AFA">
        <w:rPr>
          <w:b/>
          <w:snapToGrid w:val="0"/>
        </w:rPr>
        <w:t>Department of Health</w:t>
      </w:r>
    </w:p>
    <w:sectPr w:rsidR="003F275F" w:rsidSect="006544E3">
      <w:endnotePr>
        <w:numFmt w:val="decimal"/>
      </w:endnotePr>
      <w:pgSz w:w="11906" w:h="16838"/>
      <w:pgMar w:top="585" w:right="1416" w:bottom="1276" w:left="1418"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22F1" w14:textId="77777777" w:rsidR="000F78E0" w:rsidRDefault="000F78E0">
      <w:r>
        <w:separator/>
      </w:r>
    </w:p>
  </w:endnote>
  <w:endnote w:type="continuationSeparator" w:id="0">
    <w:p w14:paraId="03D7E725" w14:textId="77777777" w:rsidR="000F78E0" w:rsidRDefault="000F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7E95" w14:textId="6C3CF432" w:rsidR="00697B5B" w:rsidRDefault="008F1F4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A87">
      <w:rPr>
        <w:rStyle w:val="PageNumber"/>
        <w:noProof/>
      </w:rPr>
      <w:t>1</w:t>
    </w:r>
    <w:r>
      <w:rPr>
        <w:rStyle w:val="PageNumber"/>
      </w:rPr>
      <w:fldChar w:fldCharType="end"/>
    </w:r>
    <w:r>
      <w:rPr>
        <w:rStyle w:val="PageNumber"/>
      </w:rPr>
      <w:t>EUC\EUC\76419726\1</w:t>
    </w:r>
  </w:p>
  <w:p w14:paraId="5D20123D" w14:textId="77777777" w:rsidR="00697B5B" w:rsidRDefault="00D96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4E6B" w14:textId="77777777" w:rsidR="00697B5B" w:rsidRDefault="008F1F4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3D515E" w14:textId="77777777" w:rsidR="00697B5B" w:rsidRDefault="00D96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87CE" w14:textId="77777777" w:rsidR="00697B5B" w:rsidRDefault="008F1F4F">
    <w:pPr>
      <w:pStyle w:val="Footer"/>
      <w:jc w:val="center"/>
    </w:pPr>
    <w:r>
      <w:fldChar w:fldCharType="begin"/>
    </w:r>
    <w:r>
      <w:instrText xml:space="preserve"> PAGE   \* MERGEFORMAT </w:instrText>
    </w:r>
    <w:r>
      <w:fldChar w:fldCharType="separate"/>
    </w:r>
    <w:r>
      <w:rPr>
        <w:noProof/>
      </w:rPr>
      <w:t>1</w:t>
    </w:r>
    <w:r>
      <w:rPr>
        <w:noProof/>
      </w:rPr>
      <w:fldChar w:fldCharType="end"/>
    </w:r>
  </w:p>
  <w:p w14:paraId="56C299DD" w14:textId="77777777" w:rsidR="00697B5B" w:rsidRDefault="00D9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F18DB" w14:textId="77777777" w:rsidR="000F78E0" w:rsidRDefault="000F78E0">
      <w:r>
        <w:separator/>
      </w:r>
    </w:p>
  </w:footnote>
  <w:footnote w:type="continuationSeparator" w:id="0">
    <w:p w14:paraId="4005D6D4" w14:textId="77777777" w:rsidR="000F78E0" w:rsidRDefault="000F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73E5" w14:textId="77777777" w:rsidR="0057399C" w:rsidRDefault="00573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FFBB" w14:textId="77777777" w:rsidR="00697B5B" w:rsidRDefault="00D96AFA">
    <w:pPr>
      <w:ind w:left="-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FC16" w14:textId="77777777" w:rsidR="0057399C" w:rsidRDefault="00573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9D544B"/>
    <w:multiLevelType w:val="hybridMultilevel"/>
    <w:tmpl w:val="1CF6749E"/>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29D765BC"/>
    <w:multiLevelType w:val="hybridMultilevel"/>
    <w:tmpl w:val="5978C7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904E99"/>
    <w:multiLevelType w:val="hybridMultilevel"/>
    <w:tmpl w:val="B84A7D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0693E"/>
    <w:multiLevelType w:val="hybridMultilevel"/>
    <w:tmpl w:val="17D21E64"/>
    <w:lvl w:ilvl="0" w:tplc="5DD073AA">
      <w:start w:val="1"/>
      <w:numFmt w:val="lowerRoman"/>
      <w:lvlText w:val="(%1)"/>
      <w:lvlJc w:val="righ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8546D9"/>
    <w:multiLevelType w:val="hybridMultilevel"/>
    <w:tmpl w:val="5888C9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D744AA"/>
    <w:multiLevelType w:val="hybridMultilevel"/>
    <w:tmpl w:val="C8747F38"/>
    <w:lvl w:ilvl="0" w:tplc="0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DD10C06"/>
    <w:multiLevelType w:val="hybridMultilevel"/>
    <w:tmpl w:val="09229AEE"/>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AUL\NPW\84128953\1"/>
  </w:docVars>
  <w:rsids>
    <w:rsidRoot w:val="003F275F"/>
    <w:rsid w:val="0004302C"/>
    <w:rsid w:val="00046688"/>
    <w:rsid w:val="00050D43"/>
    <w:rsid w:val="000B7BC3"/>
    <w:rsid w:val="000E202E"/>
    <w:rsid w:val="000F78E0"/>
    <w:rsid w:val="0013791D"/>
    <w:rsid w:val="00163B09"/>
    <w:rsid w:val="00184CCB"/>
    <w:rsid w:val="00192008"/>
    <w:rsid w:val="001A5FC7"/>
    <w:rsid w:val="001B3B01"/>
    <w:rsid w:val="001B5E59"/>
    <w:rsid w:val="00206551"/>
    <w:rsid w:val="002100AF"/>
    <w:rsid w:val="00271AE7"/>
    <w:rsid w:val="00272198"/>
    <w:rsid w:val="00291E23"/>
    <w:rsid w:val="002A2C68"/>
    <w:rsid w:val="002F1408"/>
    <w:rsid w:val="002F378D"/>
    <w:rsid w:val="00380AB7"/>
    <w:rsid w:val="003930E9"/>
    <w:rsid w:val="003C122E"/>
    <w:rsid w:val="003C1B1A"/>
    <w:rsid w:val="003F275F"/>
    <w:rsid w:val="00441F31"/>
    <w:rsid w:val="00445753"/>
    <w:rsid w:val="0047511A"/>
    <w:rsid w:val="004800F0"/>
    <w:rsid w:val="004C2FFB"/>
    <w:rsid w:val="00546508"/>
    <w:rsid w:val="00562F23"/>
    <w:rsid w:val="005641D6"/>
    <w:rsid w:val="0057399C"/>
    <w:rsid w:val="005803C8"/>
    <w:rsid w:val="00580F82"/>
    <w:rsid w:val="00584F59"/>
    <w:rsid w:val="005A7C44"/>
    <w:rsid w:val="005B0B62"/>
    <w:rsid w:val="0060171A"/>
    <w:rsid w:val="006125E1"/>
    <w:rsid w:val="006147A8"/>
    <w:rsid w:val="006448B7"/>
    <w:rsid w:val="006507DE"/>
    <w:rsid w:val="006544E3"/>
    <w:rsid w:val="00665F37"/>
    <w:rsid w:val="0067225B"/>
    <w:rsid w:val="00673601"/>
    <w:rsid w:val="00681DF8"/>
    <w:rsid w:val="00700434"/>
    <w:rsid w:val="00715CC1"/>
    <w:rsid w:val="00780373"/>
    <w:rsid w:val="00796FE9"/>
    <w:rsid w:val="007D271A"/>
    <w:rsid w:val="00852F78"/>
    <w:rsid w:val="0087225B"/>
    <w:rsid w:val="008761AC"/>
    <w:rsid w:val="008F082E"/>
    <w:rsid w:val="008F1F4F"/>
    <w:rsid w:val="008F52FF"/>
    <w:rsid w:val="00920972"/>
    <w:rsid w:val="00923B8A"/>
    <w:rsid w:val="009247A8"/>
    <w:rsid w:val="00930AA9"/>
    <w:rsid w:val="0095773E"/>
    <w:rsid w:val="00972CE1"/>
    <w:rsid w:val="00972D38"/>
    <w:rsid w:val="009928A5"/>
    <w:rsid w:val="009A2638"/>
    <w:rsid w:val="009B3A87"/>
    <w:rsid w:val="009E6BBB"/>
    <w:rsid w:val="00A81374"/>
    <w:rsid w:val="00A84B88"/>
    <w:rsid w:val="00AA122F"/>
    <w:rsid w:val="00AB40FF"/>
    <w:rsid w:val="00AE1168"/>
    <w:rsid w:val="00B51FFC"/>
    <w:rsid w:val="00B570CF"/>
    <w:rsid w:val="00B60829"/>
    <w:rsid w:val="00B76C5C"/>
    <w:rsid w:val="00B85A3D"/>
    <w:rsid w:val="00B9476E"/>
    <w:rsid w:val="00BA417F"/>
    <w:rsid w:val="00BA5DA2"/>
    <w:rsid w:val="00BB6B38"/>
    <w:rsid w:val="00C1066C"/>
    <w:rsid w:val="00C23DF3"/>
    <w:rsid w:val="00C31245"/>
    <w:rsid w:val="00C66949"/>
    <w:rsid w:val="00C72DF9"/>
    <w:rsid w:val="00C971BB"/>
    <w:rsid w:val="00CC4AFB"/>
    <w:rsid w:val="00CD3FDC"/>
    <w:rsid w:val="00CE028F"/>
    <w:rsid w:val="00D05822"/>
    <w:rsid w:val="00D270D4"/>
    <w:rsid w:val="00D27166"/>
    <w:rsid w:val="00D47784"/>
    <w:rsid w:val="00D820C7"/>
    <w:rsid w:val="00D84649"/>
    <w:rsid w:val="00D96AFA"/>
    <w:rsid w:val="00DB7086"/>
    <w:rsid w:val="00DE645A"/>
    <w:rsid w:val="00E24AF7"/>
    <w:rsid w:val="00E24F94"/>
    <w:rsid w:val="00E35187"/>
    <w:rsid w:val="00E444E5"/>
    <w:rsid w:val="00E609C0"/>
    <w:rsid w:val="00E85F3C"/>
    <w:rsid w:val="00EB3D7D"/>
    <w:rsid w:val="00EC2D7F"/>
    <w:rsid w:val="00ED15A3"/>
    <w:rsid w:val="00EE035F"/>
    <w:rsid w:val="00F0326A"/>
    <w:rsid w:val="00F21383"/>
    <w:rsid w:val="00F315D4"/>
    <w:rsid w:val="00F33494"/>
    <w:rsid w:val="00F425FF"/>
    <w:rsid w:val="00F42B42"/>
    <w:rsid w:val="00F656F3"/>
    <w:rsid w:val="00FA682D"/>
    <w:rsid w:val="00FE2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03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5F"/>
    <w:pPr>
      <w:widowControl w:val="0"/>
      <w:spacing w:after="0" w:line="240" w:lineRule="auto"/>
    </w:pPr>
    <w:rPr>
      <w:rFonts w:ascii="Times New Roman" w:eastAsiaTheme="minorEastAsia"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75F"/>
    <w:pPr>
      <w:tabs>
        <w:tab w:val="left" w:pos="1132"/>
        <w:tab w:val="left" w:pos="3684"/>
      </w:tabs>
      <w:spacing w:before="120" w:after="120"/>
      <w:jc w:val="both"/>
    </w:pPr>
    <w:rPr>
      <w:noProof/>
      <w:snapToGrid/>
    </w:rPr>
  </w:style>
  <w:style w:type="character" w:customStyle="1" w:styleId="BodyTextChar">
    <w:name w:val="Body Text Char"/>
    <w:basedOn w:val="DefaultParagraphFont"/>
    <w:link w:val="BodyText"/>
    <w:rsid w:val="003F275F"/>
    <w:rPr>
      <w:rFonts w:ascii="Times New Roman" w:eastAsiaTheme="minorEastAsia" w:hAnsi="Times New Roman" w:cs="Times New Roman"/>
      <w:noProof/>
      <w:sz w:val="24"/>
      <w:szCs w:val="20"/>
      <w:lang w:val="en-US"/>
    </w:rPr>
  </w:style>
  <w:style w:type="paragraph" w:styleId="Title">
    <w:name w:val="Title"/>
    <w:basedOn w:val="Normal"/>
    <w:link w:val="TitleChar"/>
    <w:qFormat/>
    <w:rsid w:val="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character" w:customStyle="1" w:styleId="TitleChar">
    <w:name w:val="Title Char"/>
    <w:basedOn w:val="DefaultParagraphFont"/>
    <w:link w:val="Title"/>
    <w:rsid w:val="003F275F"/>
    <w:rPr>
      <w:rFonts w:ascii="Times New Roman" w:eastAsiaTheme="minorEastAsia" w:hAnsi="Times New Roman" w:cs="Times New Roman"/>
      <w:b/>
      <w:snapToGrid w:val="0"/>
      <w:szCs w:val="20"/>
    </w:rPr>
  </w:style>
  <w:style w:type="paragraph" w:styleId="Footer">
    <w:name w:val="footer"/>
    <w:basedOn w:val="Normal"/>
    <w:link w:val="FooterChar"/>
    <w:uiPriority w:val="99"/>
    <w:rsid w:val="003F275F"/>
    <w:pPr>
      <w:tabs>
        <w:tab w:val="center" w:pos="4153"/>
        <w:tab w:val="right" w:pos="8306"/>
      </w:tabs>
    </w:pPr>
  </w:style>
  <w:style w:type="character" w:customStyle="1" w:styleId="FooterChar">
    <w:name w:val="Footer Char"/>
    <w:basedOn w:val="DefaultParagraphFont"/>
    <w:link w:val="Footer"/>
    <w:uiPriority w:val="99"/>
    <w:rsid w:val="003F275F"/>
    <w:rPr>
      <w:rFonts w:ascii="Times New Roman" w:eastAsiaTheme="minorEastAsia" w:hAnsi="Times New Roman" w:cs="Times New Roman"/>
      <w:snapToGrid w:val="0"/>
      <w:sz w:val="24"/>
      <w:szCs w:val="20"/>
      <w:lang w:val="en-US"/>
    </w:rPr>
  </w:style>
  <w:style w:type="character" w:styleId="PageNumber">
    <w:name w:val="page number"/>
    <w:basedOn w:val="DefaultParagraphFont"/>
    <w:rsid w:val="003F275F"/>
  </w:style>
  <w:style w:type="paragraph" w:styleId="ListParagraph">
    <w:name w:val="List Paragraph"/>
    <w:basedOn w:val="Normal"/>
    <w:uiPriority w:val="34"/>
    <w:qFormat/>
    <w:rsid w:val="003F275F"/>
    <w:pPr>
      <w:widowControl/>
      <w:spacing w:after="200" w:line="276" w:lineRule="auto"/>
      <w:ind w:left="720"/>
      <w:contextualSpacing/>
    </w:pPr>
    <w:rPr>
      <w:rFonts w:eastAsia="Calibri"/>
      <w:snapToGrid/>
      <w:szCs w:val="22"/>
      <w:lang w:val="en-AU"/>
    </w:rPr>
  </w:style>
  <w:style w:type="paragraph" w:customStyle="1" w:styleId="Default">
    <w:name w:val="Default"/>
    <w:rsid w:val="003F275F"/>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9B3A87"/>
    <w:pPr>
      <w:tabs>
        <w:tab w:val="center" w:pos="4513"/>
        <w:tab w:val="right" w:pos="9026"/>
      </w:tabs>
    </w:pPr>
  </w:style>
  <w:style w:type="character" w:customStyle="1" w:styleId="HeaderChar">
    <w:name w:val="Header Char"/>
    <w:basedOn w:val="DefaultParagraphFont"/>
    <w:link w:val="Header"/>
    <w:uiPriority w:val="99"/>
    <w:rsid w:val="009B3A87"/>
    <w:rPr>
      <w:rFonts w:ascii="Times New Roman" w:eastAsiaTheme="minorEastAsia"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050D43"/>
    <w:rPr>
      <w:sz w:val="16"/>
      <w:szCs w:val="16"/>
    </w:rPr>
  </w:style>
  <w:style w:type="paragraph" w:styleId="CommentText">
    <w:name w:val="annotation text"/>
    <w:basedOn w:val="Normal"/>
    <w:link w:val="CommentTextChar"/>
    <w:uiPriority w:val="99"/>
    <w:semiHidden/>
    <w:unhideWhenUsed/>
    <w:rsid w:val="00050D43"/>
    <w:rPr>
      <w:sz w:val="20"/>
    </w:rPr>
  </w:style>
  <w:style w:type="character" w:customStyle="1" w:styleId="CommentTextChar">
    <w:name w:val="Comment Text Char"/>
    <w:basedOn w:val="DefaultParagraphFont"/>
    <w:link w:val="CommentText"/>
    <w:uiPriority w:val="99"/>
    <w:semiHidden/>
    <w:rsid w:val="00050D43"/>
    <w:rPr>
      <w:rFonts w:ascii="Times New Roman" w:eastAsiaTheme="minorEastAsia"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50D43"/>
    <w:rPr>
      <w:b/>
      <w:bCs/>
    </w:rPr>
  </w:style>
  <w:style w:type="character" w:customStyle="1" w:styleId="CommentSubjectChar">
    <w:name w:val="Comment Subject Char"/>
    <w:basedOn w:val="CommentTextChar"/>
    <w:link w:val="CommentSubject"/>
    <w:uiPriority w:val="99"/>
    <w:semiHidden/>
    <w:rsid w:val="00050D43"/>
    <w:rPr>
      <w:rFonts w:ascii="Times New Roman" w:eastAsiaTheme="minorEastAsia"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050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43"/>
    <w:rPr>
      <w:rFonts w:ascii="Segoe UI" w:eastAsiaTheme="minorEastAsia" w:hAnsi="Segoe UI" w:cs="Segoe UI"/>
      <w:snapToGrid w:val="0"/>
      <w:sz w:val="18"/>
      <w:szCs w:val="18"/>
      <w:lang w:val="en-US"/>
    </w:rPr>
  </w:style>
  <w:style w:type="character" w:styleId="Hyperlink">
    <w:name w:val="Hyperlink"/>
    <w:basedOn w:val="DefaultParagraphFont"/>
    <w:uiPriority w:val="99"/>
    <w:unhideWhenUsed/>
    <w:rsid w:val="00BA5DA2"/>
    <w:rPr>
      <w:color w:val="0563C1" w:themeColor="hyperlink"/>
      <w:u w:val="single"/>
    </w:rPr>
  </w:style>
  <w:style w:type="character" w:styleId="UnresolvedMention">
    <w:name w:val="Unresolved Mention"/>
    <w:basedOn w:val="DefaultParagraphFont"/>
    <w:uiPriority w:val="99"/>
    <w:semiHidden/>
    <w:unhideWhenUsed/>
    <w:rsid w:val="00BA5DA2"/>
    <w:rPr>
      <w:color w:val="605E5C"/>
      <w:shd w:val="clear" w:color="auto" w:fill="E1DFDD"/>
    </w:rPr>
  </w:style>
  <w:style w:type="character" w:styleId="FollowedHyperlink">
    <w:name w:val="FollowedHyperlink"/>
    <w:basedOn w:val="DefaultParagraphFont"/>
    <w:uiPriority w:val="99"/>
    <w:semiHidden/>
    <w:unhideWhenUsed/>
    <w:rsid w:val="00F33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9233">
      <w:bodyDiv w:val="1"/>
      <w:marLeft w:val="0"/>
      <w:marRight w:val="0"/>
      <w:marTop w:val="0"/>
      <w:marBottom w:val="0"/>
      <w:divBdr>
        <w:top w:val="none" w:sz="0" w:space="0" w:color="auto"/>
        <w:left w:val="none" w:sz="0" w:space="0" w:color="auto"/>
        <w:bottom w:val="none" w:sz="0" w:space="0" w:color="auto"/>
        <w:right w:val="none" w:sz="0" w:space="0" w:color="auto"/>
      </w:divBdr>
    </w:div>
    <w:div w:id="559023588">
      <w:bodyDiv w:val="1"/>
      <w:marLeft w:val="0"/>
      <w:marRight w:val="0"/>
      <w:marTop w:val="0"/>
      <w:marBottom w:val="0"/>
      <w:divBdr>
        <w:top w:val="none" w:sz="0" w:space="0" w:color="auto"/>
        <w:left w:val="none" w:sz="0" w:space="0" w:color="auto"/>
        <w:bottom w:val="none" w:sz="0" w:space="0" w:color="auto"/>
        <w:right w:val="none" w:sz="0" w:space="0" w:color="auto"/>
      </w:divBdr>
    </w:div>
    <w:div w:id="754402031">
      <w:bodyDiv w:val="1"/>
      <w:marLeft w:val="0"/>
      <w:marRight w:val="0"/>
      <w:marTop w:val="0"/>
      <w:marBottom w:val="0"/>
      <w:divBdr>
        <w:top w:val="none" w:sz="0" w:space="0" w:color="auto"/>
        <w:left w:val="none" w:sz="0" w:space="0" w:color="auto"/>
        <w:bottom w:val="none" w:sz="0" w:space="0" w:color="auto"/>
        <w:right w:val="none" w:sz="0" w:space="0" w:color="auto"/>
      </w:divBdr>
    </w:div>
    <w:div w:id="792136473">
      <w:bodyDiv w:val="1"/>
      <w:marLeft w:val="0"/>
      <w:marRight w:val="0"/>
      <w:marTop w:val="0"/>
      <w:marBottom w:val="0"/>
      <w:divBdr>
        <w:top w:val="none" w:sz="0" w:space="0" w:color="auto"/>
        <w:left w:val="none" w:sz="0" w:space="0" w:color="auto"/>
        <w:bottom w:val="none" w:sz="0" w:space="0" w:color="auto"/>
        <w:right w:val="none" w:sz="0" w:space="0" w:color="auto"/>
      </w:divBdr>
    </w:div>
    <w:div w:id="15197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 M A T T ! 8 4 1 2 8 9 5 3 . 1 < / d o c u m e n t i d >  
     < s e n d e r i d > A U L < / s e n d e r i d >  
     < s e n d e r e m a i l > A L A N N A . L U C C H E S E @ S P A R K E . C O M . A U < / s e n d e r e m a i l >  
     < l a s t m o d i f i e d > 2 0 2 2 - 0 5 - 2 0 T 1 0 : 3 9 : 0 0 . 0 0 0 0 0 0 0 + 1 0 : 0 0 < / l a s t m o d i f i e d >  
     < d a t a b a s e > M A T T < / d a t a b a s e >  
 < / p r o p e r t i e s > 
</file>

<file path=customXml/itemProps1.xml><?xml version="1.0" encoding="utf-8"?>
<ds:datastoreItem xmlns:ds="http://schemas.openxmlformats.org/officeDocument/2006/customXml" ds:itemID="{C23CF20B-F96D-4E61-A8BE-6DD800DBDDB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2022-05-24T08:49:00Z</dcterms:created>
  <dcterms:modified xsi:type="dcterms:W3CDTF">2022-07-07T22:46:00Z</dcterms:modified>
</cp:coreProperties>
</file>