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A70045" w:rsidRDefault="00FA6784" w:rsidP="00FA6784">
      <w:pPr>
        <w:pStyle w:val="H3"/>
        <w:jc w:val="center"/>
        <w:rPr>
          <w:sz w:val="24"/>
          <w:szCs w:val="24"/>
        </w:rPr>
      </w:pPr>
      <w:r w:rsidRPr="00A70045">
        <w:rPr>
          <w:sz w:val="24"/>
          <w:szCs w:val="24"/>
        </w:rPr>
        <w:t>EXPLANATORY STATEMENT</w:t>
      </w:r>
    </w:p>
    <w:p w14:paraId="2412D122" w14:textId="31E013F3" w:rsidR="00FA6784" w:rsidRPr="00A70045" w:rsidRDefault="00FA6784" w:rsidP="00124820">
      <w:pPr>
        <w:rPr>
          <w:i/>
          <w:iCs/>
          <w:sz w:val="20"/>
        </w:rPr>
      </w:pPr>
    </w:p>
    <w:p w14:paraId="2412D123" w14:textId="77777777" w:rsidR="00FA6784" w:rsidRPr="00A70045" w:rsidRDefault="00FA6784" w:rsidP="00FA6784">
      <w:pPr>
        <w:jc w:val="center"/>
        <w:rPr>
          <w:i/>
          <w:iCs/>
        </w:rPr>
      </w:pPr>
      <w:r w:rsidRPr="00A70045">
        <w:rPr>
          <w:i/>
          <w:iCs/>
        </w:rPr>
        <w:t>Health Insurance Act 1973</w:t>
      </w:r>
    </w:p>
    <w:p w14:paraId="2412D124" w14:textId="77777777" w:rsidR="00A1739A" w:rsidRPr="00A70045" w:rsidRDefault="00A1739A" w:rsidP="00A1739A">
      <w:pPr>
        <w:rPr>
          <w:szCs w:val="24"/>
          <w:u w:val="single"/>
        </w:rPr>
      </w:pPr>
    </w:p>
    <w:p w14:paraId="2838A7B4" w14:textId="7B78C343" w:rsidR="00FD602D" w:rsidRPr="00A70045" w:rsidRDefault="00515F62" w:rsidP="00961795">
      <w:pPr>
        <w:ind w:right="84"/>
        <w:jc w:val="center"/>
        <w:rPr>
          <w:szCs w:val="24"/>
        </w:rPr>
      </w:pPr>
      <w:r w:rsidRPr="00A70045">
        <w:rPr>
          <w:i/>
          <w:iCs/>
        </w:rPr>
        <w:t>Health Insurance (General Practice COVID-19 Treatment) Determination 2022</w:t>
      </w:r>
    </w:p>
    <w:p w14:paraId="052E97C1" w14:textId="77777777" w:rsidR="00164A69" w:rsidRPr="00A70045"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07872E5E" w:rsidR="00164A69" w:rsidRPr="00A7004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A70045">
        <w:rPr>
          <w:shd w:val="clear" w:color="auto" w:fill="FFFFFF"/>
        </w:rPr>
        <w:t xml:space="preserve">Subsection 3C(1) of the </w:t>
      </w:r>
      <w:r w:rsidRPr="00A70045">
        <w:rPr>
          <w:i/>
          <w:shd w:val="clear" w:color="auto" w:fill="FFFFFF"/>
        </w:rPr>
        <w:t>Health Insurance Act 1973</w:t>
      </w:r>
      <w:r w:rsidRPr="00A70045">
        <w:rPr>
          <w:shd w:val="clear" w:color="auto" w:fill="FFFFFF"/>
        </w:rPr>
        <w:t xml:space="preserve"> (the Act) </w:t>
      </w:r>
      <w:r w:rsidR="00477C74" w:rsidRPr="00A70045">
        <w:rPr>
          <w:shd w:val="clear" w:color="auto" w:fill="FFFFFF"/>
        </w:rPr>
        <w:t>provide</w:t>
      </w:r>
      <w:r w:rsidR="002E5708" w:rsidRPr="00A70045">
        <w:rPr>
          <w:shd w:val="clear" w:color="auto" w:fill="FFFFFF"/>
        </w:rPr>
        <w:t>s</w:t>
      </w:r>
      <w:r w:rsidR="00477C74" w:rsidRPr="00A70045">
        <w:rPr>
          <w:shd w:val="clear" w:color="auto" w:fill="FFFFFF"/>
        </w:rPr>
        <w:t xml:space="preserve"> that</w:t>
      </w:r>
      <w:r w:rsidRPr="00A70045">
        <w:rPr>
          <w:shd w:val="clear" w:color="auto" w:fill="FFFFFF"/>
        </w:rPr>
        <w:t xml:space="preserve"> the Minister </w:t>
      </w:r>
      <w:r w:rsidR="00477C74" w:rsidRPr="00A70045">
        <w:rPr>
          <w:shd w:val="clear" w:color="auto" w:fill="FFFFFF"/>
        </w:rPr>
        <w:t>may</w:t>
      </w:r>
      <w:r w:rsidRPr="00A70045">
        <w:rPr>
          <w:shd w:val="clear" w:color="auto" w:fill="FFFFFF"/>
        </w:rPr>
        <w:t xml:space="preserve">, by legislative instrument, determine that a health service not specified in an item in the </w:t>
      </w:r>
      <w:r w:rsidR="00515F62" w:rsidRPr="00A70045">
        <w:rPr>
          <w:shd w:val="clear" w:color="auto" w:fill="FFFFFF"/>
        </w:rPr>
        <w:t xml:space="preserve">general medical services table </w:t>
      </w:r>
      <w:r w:rsidR="00D01D5A" w:rsidRPr="00A70045">
        <w:rPr>
          <w:shd w:val="clear" w:color="auto" w:fill="FFFFFF"/>
        </w:rPr>
        <w:t xml:space="preserve">(the Table) </w:t>
      </w:r>
      <w:r w:rsidRPr="00A70045">
        <w:rPr>
          <w:shd w:val="clear" w:color="auto" w:fill="FFFFFF"/>
        </w:rPr>
        <w:t xml:space="preserve">shall, in specified circumstances and for specified statutory provisions, be treated as if it were specified in the </w:t>
      </w:r>
      <w:r w:rsidR="00D01D5A" w:rsidRPr="00A70045">
        <w:rPr>
          <w:shd w:val="clear" w:color="auto" w:fill="FFFFFF"/>
        </w:rPr>
        <w:t xml:space="preserve">Table. </w:t>
      </w:r>
      <w:r w:rsidRPr="00A70045">
        <w:rPr>
          <w:shd w:val="clear" w:color="auto" w:fill="FFFFFF"/>
        </w:rPr>
        <w:t xml:space="preserve">  </w:t>
      </w:r>
    </w:p>
    <w:p w14:paraId="7DB18649" w14:textId="77777777" w:rsidR="00841EDA" w:rsidRPr="00A7004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6F18C4F2" w:rsidR="00050623" w:rsidRPr="00A7004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70045">
        <w:t xml:space="preserve">The </w:t>
      </w:r>
      <w:r w:rsidR="00D01D5A" w:rsidRPr="00A70045">
        <w:t>Table</w:t>
      </w:r>
      <w:r w:rsidRPr="00A70045">
        <w:t xml:space="preserve"> is set out in the regulations made under subsection 4</w:t>
      </w:r>
      <w:r w:rsidR="00515F62" w:rsidRPr="00A70045">
        <w:t>(1)</w:t>
      </w:r>
      <w:r w:rsidRPr="00A70045">
        <w:t xml:space="preserve"> of the Act.  The most recent version of the regulations is the </w:t>
      </w:r>
      <w:r w:rsidR="00515F62" w:rsidRPr="00A70045">
        <w:rPr>
          <w:i/>
          <w:iCs/>
        </w:rPr>
        <w:t>Health Insurance (General Medical Services Table) Regulations 2021</w:t>
      </w:r>
      <w:r w:rsidR="00D01D5A" w:rsidRPr="00A70045">
        <w:t>.</w:t>
      </w:r>
      <w:r w:rsidRPr="00A70045">
        <w:t xml:space="preserve"> </w:t>
      </w:r>
    </w:p>
    <w:p w14:paraId="2E6FE463" w14:textId="77777777" w:rsidR="00050623" w:rsidRPr="00A7004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A70045" w:rsidRDefault="00A1739A" w:rsidP="00BB00BA">
      <w:pPr>
        <w:rPr>
          <w:b/>
          <w:szCs w:val="24"/>
          <w:lang w:val="en-US" w:eastAsia="en-US"/>
        </w:rPr>
      </w:pPr>
      <w:r w:rsidRPr="00A70045">
        <w:rPr>
          <w:b/>
          <w:szCs w:val="24"/>
          <w:lang w:val="en-US" w:eastAsia="en-US"/>
        </w:rPr>
        <w:t>Purpose</w:t>
      </w:r>
    </w:p>
    <w:p w14:paraId="00C4A147" w14:textId="6C994E3F" w:rsidR="007708B3" w:rsidRPr="00A70045" w:rsidRDefault="00515F62" w:rsidP="0039170C">
      <w:pPr>
        <w:ind w:right="-483"/>
        <w:rPr>
          <w:szCs w:val="24"/>
        </w:rPr>
      </w:pPr>
      <w:r w:rsidRPr="00A70045">
        <w:rPr>
          <w:szCs w:val="24"/>
        </w:rPr>
        <w:t xml:space="preserve">The </w:t>
      </w:r>
      <w:r w:rsidRPr="00A70045">
        <w:rPr>
          <w:i/>
          <w:iCs/>
          <w:szCs w:val="24"/>
        </w:rPr>
        <w:t xml:space="preserve">Health Insurance (General Practice COVID-19 Treatment) Determination 2022 </w:t>
      </w:r>
      <w:r w:rsidRPr="00A70045">
        <w:rPr>
          <w:szCs w:val="24"/>
        </w:rPr>
        <w:t xml:space="preserve">(the Determination) inserts two items for general practitioners (GPs) or other medical practitioners (OMPs) to </w:t>
      </w:r>
      <w:r w:rsidR="005E1C8A" w:rsidRPr="00A70045">
        <w:rPr>
          <w:szCs w:val="24"/>
        </w:rPr>
        <w:t>determine a patient’s eligibility to receive</w:t>
      </w:r>
      <w:r w:rsidRPr="00A70045">
        <w:rPr>
          <w:szCs w:val="24"/>
        </w:rPr>
        <w:t xml:space="preserve"> </w:t>
      </w:r>
      <w:r w:rsidR="00233725" w:rsidRPr="00A70045">
        <w:rPr>
          <w:szCs w:val="24"/>
        </w:rPr>
        <w:t xml:space="preserve">oral </w:t>
      </w:r>
      <w:r w:rsidRPr="00A70045">
        <w:rPr>
          <w:szCs w:val="24"/>
        </w:rPr>
        <w:t>antiviral medication for the effective treatment of COVID-19.</w:t>
      </w:r>
    </w:p>
    <w:p w14:paraId="61504AC3" w14:textId="16FABDDD" w:rsidR="007708B3" w:rsidRPr="00A70045" w:rsidRDefault="007708B3" w:rsidP="0039170C">
      <w:pPr>
        <w:ind w:right="-483"/>
        <w:rPr>
          <w:szCs w:val="24"/>
        </w:rPr>
      </w:pPr>
    </w:p>
    <w:p w14:paraId="72EFD5F1" w14:textId="738CB15E" w:rsidR="007708B3" w:rsidRPr="00A70045" w:rsidRDefault="00756F0A" w:rsidP="0039170C">
      <w:pPr>
        <w:ind w:right="-483"/>
        <w:rPr>
          <w:szCs w:val="24"/>
        </w:rPr>
      </w:pPr>
      <w:r w:rsidRPr="00A70045">
        <w:rPr>
          <w:szCs w:val="24"/>
        </w:rPr>
        <w:t>As announced on 16 July 2022 by the Hon Mark Butler</w:t>
      </w:r>
      <w:r w:rsidR="00330CA9" w:rsidRPr="00A70045">
        <w:rPr>
          <w:szCs w:val="24"/>
        </w:rPr>
        <w:t xml:space="preserve"> MP</w:t>
      </w:r>
      <w:r w:rsidRPr="00A70045">
        <w:rPr>
          <w:szCs w:val="24"/>
        </w:rPr>
        <w:t>, the Minister for Health and Aged Care, two new temporary items will be available on the Medical Benefits Schedule (MBS) under item numbers 93716 and 93717</w:t>
      </w:r>
      <w:r w:rsidR="005E1C8A" w:rsidRPr="00A70045">
        <w:rPr>
          <w:szCs w:val="24"/>
        </w:rPr>
        <w:t xml:space="preserve"> until 31 October 2022</w:t>
      </w:r>
      <w:r w:rsidRPr="00A70045">
        <w:rPr>
          <w:szCs w:val="24"/>
        </w:rPr>
        <w:t xml:space="preserve">. Under these new items, Medicare benefits will be available for </w:t>
      </w:r>
      <w:r w:rsidR="005E1C8A" w:rsidRPr="00A70045">
        <w:rPr>
          <w:szCs w:val="24"/>
        </w:rPr>
        <w:t xml:space="preserve">longer phone </w:t>
      </w:r>
      <w:r w:rsidRPr="00A70045">
        <w:rPr>
          <w:szCs w:val="24"/>
        </w:rPr>
        <w:t>consultation</w:t>
      </w:r>
      <w:r w:rsidR="005E1C8A" w:rsidRPr="00A70045">
        <w:rPr>
          <w:szCs w:val="24"/>
        </w:rPr>
        <w:t>s</w:t>
      </w:r>
      <w:r w:rsidR="00233725" w:rsidRPr="00A70045">
        <w:rPr>
          <w:szCs w:val="24"/>
        </w:rPr>
        <w:t xml:space="preserve"> </w:t>
      </w:r>
      <w:r w:rsidRPr="00A70045">
        <w:rPr>
          <w:szCs w:val="24"/>
        </w:rPr>
        <w:t xml:space="preserve">for the purpose of </w:t>
      </w:r>
      <w:r w:rsidR="00233725" w:rsidRPr="00A70045">
        <w:rPr>
          <w:szCs w:val="24"/>
        </w:rPr>
        <w:t xml:space="preserve">determining </w:t>
      </w:r>
      <w:r w:rsidR="005E1C8A" w:rsidRPr="00A70045">
        <w:rPr>
          <w:szCs w:val="24"/>
        </w:rPr>
        <w:t>a</w:t>
      </w:r>
      <w:r w:rsidR="00233725" w:rsidRPr="00A70045">
        <w:rPr>
          <w:szCs w:val="24"/>
        </w:rPr>
        <w:t xml:space="preserve"> patient’s eligibility to receive a</w:t>
      </w:r>
      <w:r w:rsidRPr="00A70045">
        <w:rPr>
          <w:szCs w:val="24"/>
        </w:rPr>
        <w:t xml:space="preserve"> COVID-19 </w:t>
      </w:r>
      <w:r w:rsidR="00233725" w:rsidRPr="00A70045">
        <w:rPr>
          <w:szCs w:val="24"/>
        </w:rPr>
        <w:t xml:space="preserve">oral </w:t>
      </w:r>
      <w:r w:rsidRPr="00A70045">
        <w:rPr>
          <w:szCs w:val="24"/>
        </w:rPr>
        <w:t>antiviral</w:t>
      </w:r>
      <w:r w:rsidR="00233725" w:rsidRPr="00A70045">
        <w:rPr>
          <w:szCs w:val="24"/>
        </w:rPr>
        <w:t xml:space="preserve"> treatment and prescribing a COVID-19 antiviral treatment where appropriate</w:t>
      </w:r>
      <w:r w:rsidRPr="00A70045">
        <w:rPr>
          <w:szCs w:val="24"/>
        </w:rPr>
        <w:t xml:space="preserve">. This change will ensure as </w:t>
      </w:r>
      <w:r w:rsidR="00233725" w:rsidRPr="00A70045">
        <w:rPr>
          <w:szCs w:val="24"/>
        </w:rPr>
        <w:t>m</w:t>
      </w:r>
      <w:r w:rsidRPr="00A70045">
        <w:rPr>
          <w:szCs w:val="24"/>
        </w:rPr>
        <w:t xml:space="preserve">any people as possible can </w:t>
      </w:r>
      <w:r w:rsidR="00233725" w:rsidRPr="00A70045">
        <w:rPr>
          <w:szCs w:val="24"/>
        </w:rPr>
        <w:t xml:space="preserve">safely </w:t>
      </w:r>
      <w:r w:rsidRPr="00A70045">
        <w:rPr>
          <w:szCs w:val="24"/>
        </w:rPr>
        <w:t>access these treatments.</w:t>
      </w:r>
    </w:p>
    <w:p w14:paraId="03E2D7AF" w14:textId="77777777" w:rsidR="00453A93" w:rsidRPr="00A70045" w:rsidRDefault="00453A93" w:rsidP="0039170C">
      <w:pPr>
        <w:ind w:right="-483"/>
        <w:rPr>
          <w:szCs w:val="24"/>
        </w:rPr>
      </w:pPr>
    </w:p>
    <w:p w14:paraId="367D4ECE" w14:textId="69913D20" w:rsidR="005E1C8A" w:rsidRPr="00A70045" w:rsidRDefault="005E1C8A" w:rsidP="0039170C">
      <w:pPr>
        <w:ind w:right="-483"/>
        <w:rPr>
          <w:szCs w:val="24"/>
        </w:rPr>
      </w:pPr>
      <w:r w:rsidRPr="00A70045">
        <w:rPr>
          <w:szCs w:val="24"/>
        </w:rPr>
        <w:t>These items are available for Medicare eligible patients where the service is performed by a GP or OMP practicing in a general practice setting and where the patient’s COVID-19 infection is confirmed by a laboratory test (PCR) or by a rapid antigen self-test (RAT).</w:t>
      </w:r>
    </w:p>
    <w:p w14:paraId="5CFD32CB" w14:textId="789273EE" w:rsidR="005E1C8A" w:rsidRPr="00A70045" w:rsidRDefault="005E1C8A" w:rsidP="0039170C">
      <w:pPr>
        <w:ind w:right="-483"/>
        <w:rPr>
          <w:szCs w:val="24"/>
        </w:rPr>
      </w:pPr>
    </w:p>
    <w:p w14:paraId="257657AA" w14:textId="44D9D43C" w:rsidR="005E1C8A" w:rsidRPr="00A70045" w:rsidRDefault="005E1C8A" w:rsidP="0039170C">
      <w:pPr>
        <w:ind w:right="-483"/>
        <w:rPr>
          <w:szCs w:val="24"/>
        </w:rPr>
      </w:pPr>
      <w:r w:rsidRPr="00A70045">
        <w:rPr>
          <w:szCs w:val="24"/>
        </w:rPr>
        <w:t>The Medicare benefit</w:t>
      </w:r>
      <w:r w:rsidR="004A5AAC" w:rsidRPr="00A70045">
        <w:rPr>
          <w:szCs w:val="24"/>
        </w:rPr>
        <w:t>s</w:t>
      </w:r>
      <w:r w:rsidRPr="00A70045">
        <w:rPr>
          <w:szCs w:val="24"/>
        </w:rPr>
        <w:t xml:space="preserve"> for the new temporary items will be </w:t>
      </w:r>
      <w:r w:rsidR="0063649E" w:rsidRPr="00A70045">
        <w:rPr>
          <w:szCs w:val="24"/>
        </w:rPr>
        <w:t>paid at 85% of the schedule fee</w:t>
      </w:r>
      <w:r w:rsidR="00453A93" w:rsidRPr="00A70045">
        <w:rPr>
          <w:szCs w:val="24"/>
        </w:rPr>
        <w:t xml:space="preserve"> and</w:t>
      </w:r>
      <w:r w:rsidR="0063649E" w:rsidRPr="00A70045">
        <w:rPr>
          <w:szCs w:val="24"/>
        </w:rPr>
        <w:t xml:space="preserve"> </w:t>
      </w:r>
      <w:r w:rsidR="004A5AAC" w:rsidRPr="00A70045">
        <w:rPr>
          <w:szCs w:val="24"/>
        </w:rPr>
        <w:t>are</w:t>
      </w:r>
      <w:r w:rsidR="0063649E" w:rsidRPr="00A70045">
        <w:rPr>
          <w:szCs w:val="24"/>
        </w:rPr>
        <w:t xml:space="preserve"> equivalent to the benefit paid for other time-tiered consultation items of equivalent duration.</w:t>
      </w:r>
    </w:p>
    <w:p w14:paraId="2412D131" w14:textId="01CE13FC" w:rsidR="001865F8" w:rsidRPr="00A70045" w:rsidRDefault="00664AEE" w:rsidP="00D46EB9">
      <w:pPr>
        <w:shd w:val="clear" w:color="auto" w:fill="FFFFFF"/>
        <w:spacing w:before="100" w:beforeAutospacing="1"/>
        <w:rPr>
          <w:rFonts w:ascii="Helvetica Neue" w:hAnsi="Helvetica Neue"/>
          <w:szCs w:val="24"/>
          <w:lang w:val="en-US"/>
        </w:rPr>
      </w:pPr>
      <w:r w:rsidRPr="00A70045">
        <w:rPr>
          <w:b/>
        </w:rPr>
        <w:t>C</w:t>
      </w:r>
      <w:r w:rsidR="00A1739A" w:rsidRPr="00A70045">
        <w:rPr>
          <w:b/>
        </w:rPr>
        <w:t>onsultation</w:t>
      </w:r>
    </w:p>
    <w:p w14:paraId="519E9A81" w14:textId="033B4E45" w:rsidR="007708B3" w:rsidRPr="00A70045" w:rsidRDefault="00055DDF" w:rsidP="002806A1">
      <w:pPr>
        <w:shd w:val="clear" w:color="auto" w:fill="FFFFFF"/>
        <w:rPr>
          <w:szCs w:val="24"/>
        </w:rPr>
      </w:pPr>
      <w:r w:rsidRPr="00A70045">
        <w:rPr>
          <w:shd w:val="clear" w:color="auto" w:fill="FFFFFF"/>
        </w:rPr>
        <w:t xml:space="preserve">Targeted consultation was undertaken with the Australian Medical Association and Royal Australian College of General Practitioners regarding the introduction of new temporary phone items. </w:t>
      </w:r>
      <w:r w:rsidR="008B64D7" w:rsidRPr="00A70045">
        <w:rPr>
          <w:szCs w:val="24"/>
        </w:rPr>
        <w:t>It was not reasonably practicable to undertake consultation with all representatives of persons affected by the Determination considering the evolving nature of the COVID</w:t>
      </w:r>
      <w:r w:rsidR="008B64D7" w:rsidRPr="00A70045">
        <w:rPr>
          <w:szCs w:val="24"/>
        </w:rPr>
        <w:noBreakHyphen/>
        <w:t>19 emergency. It was also not appropriate to withhold the Determination from patients being able to access the services as</w:t>
      </w:r>
      <w:r w:rsidR="00BB788B" w:rsidRPr="00A70045">
        <w:rPr>
          <w:szCs w:val="24"/>
        </w:rPr>
        <w:t xml:space="preserve"> it</w:t>
      </w:r>
      <w:r w:rsidR="008B64D7" w:rsidRPr="00A70045">
        <w:rPr>
          <w:szCs w:val="24"/>
        </w:rPr>
        <w:t xml:space="preserve"> will help support the safe prescription of antiviral treatments for the treatment of COVID</w:t>
      </w:r>
      <w:r w:rsidR="008B64D7" w:rsidRPr="00A70045">
        <w:rPr>
          <w:szCs w:val="24"/>
        </w:rPr>
        <w:noBreakHyphen/>
        <w:t>19 infections.</w:t>
      </w:r>
    </w:p>
    <w:p w14:paraId="02264A85" w14:textId="77777777" w:rsidR="007708B3" w:rsidRPr="00A70045" w:rsidRDefault="007708B3" w:rsidP="002806A1">
      <w:pPr>
        <w:shd w:val="clear" w:color="auto" w:fill="FFFFFF"/>
        <w:rPr>
          <w:szCs w:val="24"/>
        </w:rPr>
      </w:pPr>
    </w:p>
    <w:p w14:paraId="2412D134" w14:textId="77777777" w:rsidR="00967E51" w:rsidRPr="00A70045" w:rsidRDefault="00A1739A" w:rsidP="000337CB">
      <w:pPr>
        <w:rPr>
          <w:szCs w:val="24"/>
        </w:rPr>
      </w:pPr>
      <w:r w:rsidRPr="00A70045">
        <w:rPr>
          <w:szCs w:val="24"/>
        </w:rPr>
        <w:t xml:space="preserve">Details of the </w:t>
      </w:r>
      <w:r w:rsidR="00574E71" w:rsidRPr="00A70045">
        <w:rPr>
          <w:szCs w:val="24"/>
        </w:rPr>
        <w:t>Determination</w:t>
      </w:r>
      <w:r w:rsidRPr="00A70045">
        <w:rPr>
          <w:szCs w:val="24"/>
        </w:rPr>
        <w:t xml:space="preserve"> are set out in the </w:t>
      </w:r>
      <w:r w:rsidRPr="00A70045">
        <w:rPr>
          <w:szCs w:val="24"/>
          <w:u w:val="single"/>
        </w:rPr>
        <w:t>Attachment</w:t>
      </w:r>
      <w:r w:rsidRPr="00A70045">
        <w:rPr>
          <w:szCs w:val="24"/>
        </w:rPr>
        <w:t>.</w:t>
      </w:r>
    </w:p>
    <w:p w14:paraId="2412D135" w14:textId="496EFC5C" w:rsidR="006C138D" w:rsidRPr="00A70045" w:rsidRDefault="00297AD0" w:rsidP="006C138D">
      <w:pPr>
        <w:tabs>
          <w:tab w:val="left" w:pos="567"/>
        </w:tabs>
        <w:spacing w:before="240"/>
        <w:rPr>
          <w:szCs w:val="24"/>
        </w:rPr>
      </w:pPr>
      <w:r w:rsidRPr="00A70045">
        <w:rPr>
          <w:szCs w:val="24"/>
        </w:rPr>
        <w:t xml:space="preserve">The </w:t>
      </w:r>
      <w:r w:rsidR="00967E51" w:rsidRPr="00A70045">
        <w:rPr>
          <w:szCs w:val="24"/>
        </w:rPr>
        <w:t>Determination</w:t>
      </w:r>
      <w:r w:rsidRPr="00A70045">
        <w:rPr>
          <w:szCs w:val="24"/>
        </w:rPr>
        <w:t xml:space="preserve"> </w:t>
      </w:r>
      <w:r w:rsidR="007524B0" w:rsidRPr="00A70045">
        <w:rPr>
          <w:szCs w:val="24"/>
        </w:rPr>
        <w:t xml:space="preserve">commences </w:t>
      </w:r>
      <w:r w:rsidR="00B72443" w:rsidRPr="00A70045">
        <w:rPr>
          <w:szCs w:val="24"/>
        </w:rPr>
        <w:t xml:space="preserve">on </w:t>
      </w:r>
      <w:r w:rsidR="000F0C30" w:rsidRPr="00A70045">
        <w:rPr>
          <w:szCs w:val="24"/>
        </w:rPr>
        <w:t>19 July 2022</w:t>
      </w:r>
      <w:r w:rsidR="00B72443" w:rsidRPr="00A70045">
        <w:rPr>
          <w:szCs w:val="24"/>
        </w:rPr>
        <w:t xml:space="preserve">. </w:t>
      </w:r>
    </w:p>
    <w:p w14:paraId="2412D136" w14:textId="77777777" w:rsidR="00236DF2" w:rsidRPr="00A70045" w:rsidRDefault="00236DF2" w:rsidP="00574E71">
      <w:pPr>
        <w:rPr>
          <w:szCs w:val="24"/>
        </w:rPr>
      </w:pPr>
    </w:p>
    <w:p w14:paraId="2412D138" w14:textId="65B73875" w:rsidR="00574E71" w:rsidRPr="00A70045" w:rsidRDefault="0002728B" w:rsidP="00DE07E4">
      <w:pPr>
        <w:spacing w:after="200" w:line="276" w:lineRule="auto"/>
        <w:rPr>
          <w:szCs w:val="24"/>
        </w:rPr>
      </w:pPr>
      <w:r w:rsidRPr="00A70045">
        <w:rPr>
          <w:szCs w:val="24"/>
        </w:rPr>
        <w:t>T</w:t>
      </w:r>
      <w:r w:rsidR="00574E71" w:rsidRPr="00A70045">
        <w:rPr>
          <w:szCs w:val="24"/>
        </w:rPr>
        <w:t xml:space="preserve">he Determination is </w:t>
      </w:r>
      <w:r w:rsidR="004417A2" w:rsidRPr="00A70045">
        <w:rPr>
          <w:szCs w:val="24"/>
        </w:rPr>
        <w:t xml:space="preserve">a </w:t>
      </w:r>
      <w:r w:rsidR="00574E71" w:rsidRPr="00A70045">
        <w:rPr>
          <w:szCs w:val="24"/>
        </w:rPr>
        <w:t xml:space="preserve">legislative instrument for the purposes of the </w:t>
      </w:r>
      <w:r w:rsidR="00574E71" w:rsidRPr="00A70045">
        <w:rPr>
          <w:i/>
        </w:rPr>
        <w:t>Legislation Act 2003</w:t>
      </w:r>
      <w:r w:rsidR="00574E71" w:rsidRPr="00A70045">
        <w:rPr>
          <w:szCs w:val="24"/>
        </w:rPr>
        <w:t>.</w:t>
      </w:r>
    </w:p>
    <w:p w14:paraId="2412D139" w14:textId="77777777" w:rsidR="00A1739A" w:rsidRPr="00A70045" w:rsidRDefault="00A1739A" w:rsidP="000337CB">
      <w:pPr>
        <w:ind w:left="6663" w:hanging="3119"/>
        <w:rPr>
          <w:szCs w:val="24"/>
        </w:rPr>
      </w:pPr>
      <w:r w:rsidRPr="00A70045">
        <w:rPr>
          <w:szCs w:val="24"/>
        </w:rPr>
        <w:t xml:space="preserve">           </w:t>
      </w:r>
    </w:p>
    <w:p w14:paraId="2412D13A" w14:textId="77777777" w:rsidR="00A1739A" w:rsidRPr="00A70045" w:rsidRDefault="00A1739A" w:rsidP="000337CB">
      <w:pPr>
        <w:ind w:left="6663" w:hanging="3119"/>
        <w:rPr>
          <w:szCs w:val="24"/>
        </w:rPr>
      </w:pPr>
      <w:r w:rsidRPr="00A70045">
        <w:rPr>
          <w:szCs w:val="24"/>
          <w:u w:val="single"/>
        </w:rPr>
        <w:t>Authority</w:t>
      </w:r>
      <w:r w:rsidR="00967E51" w:rsidRPr="00A70045">
        <w:rPr>
          <w:szCs w:val="24"/>
        </w:rPr>
        <w:t xml:space="preserve">:     Subsection </w:t>
      </w:r>
      <w:r w:rsidRPr="00A70045">
        <w:rPr>
          <w:szCs w:val="24"/>
        </w:rPr>
        <w:t>3</w:t>
      </w:r>
      <w:r w:rsidR="00967E51" w:rsidRPr="00A70045">
        <w:rPr>
          <w:szCs w:val="24"/>
        </w:rPr>
        <w:t>C</w:t>
      </w:r>
      <w:r w:rsidRPr="00A70045">
        <w:rPr>
          <w:szCs w:val="24"/>
        </w:rPr>
        <w:t xml:space="preserve">(1) of the </w:t>
      </w:r>
    </w:p>
    <w:p w14:paraId="2412D13B" w14:textId="0596CD30" w:rsidR="00A1739A" w:rsidRPr="00A70045" w:rsidRDefault="00A1739A" w:rsidP="000337CB">
      <w:pPr>
        <w:tabs>
          <w:tab w:val="left" w:pos="4820"/>
        </w:tabs>
        <w:rPr>
          <w:szCs w:val="24"/>
        </w:rPr>
        <w:sectPr w:rsidR="00A1739A" w:rsidRPr="00A70045" w:rsidSect="00235B6C">
          <w:headerReference w:type="default" r:id="rId11"/>
          <w:pgSz w:w="11906" w:h="16838"/>
          <w:pgMar w:top="1440" w:right="1800" w:bottom="1135" w:left="1800" w:header="708" w:footer="708" w:gutter="0"/>
          <w:pgNumType w:start="1"/>
          <w:cols w:space="708"/>
          <w:docGrid w:linePitch="360"/>
        </w:sectPr>
      </w:pPr>
      <w:r w:rsidRPr="00A70045">
        <w:rPr>
          <w:i/>
          <w:szCs w:val="24"/>
        </w:rPr>
        <w:tab/>
        <w:t>Health Insurance Act 1973</w:t>
      </w:r>
    </w:p>
    <w:p w14:paraId="2412D13D" w14:textId="77777777" w:rsidR="006D5816" w:rsidRPr="00A70045" w:rsidRDefault="006D5816" w:rsidP="000337CB">
      <w:pPr>
        <w:pStyle w:val="BodyText"/>
        <w:jc w:val="right"/>
        <w:rPr>
          <w:szCs w:val="24"/>
        </w:rPr>
      </w:pPr>
      <w:r w:rsidRPr="00A70045">
        <w:rPr>
          <w:szCs w:val="24"/>
        </w:rPr>
        <w:lastRenderedPageBreak/>
        <w:t>ATTACHMENT</w:t>
      </w:r>
    </w:p>
    <w:p w14:paraId="2412D13E" w14:textId="77777777" w:rsidR="006D5816" w:rsidRPr="00A70045" w:rsidRDefault="006D5816" w:rsidP="000337CB">
      <w:pPr>
        <w:pStyle w:val="BodyText"/>
        <w:rPr>
          <w:szCs w:val="24"/>
          <w:u w:val="single"/>
        </w:rPr>
      </w:pPr>
    </w:p>
    <w:p w14:paraId="5B0C808A" w14:textId="2071D7F1" w:rsidR="00215191" w:rsidRPr="00A70045" w:rsidRDefault="00A41364" w:rsidP="00186752">
      <w:pPr>
        <w:pStyle w:val="BodyText"/>
        <w:rPr>
          <w:i/>
          <w:iCs/>
        </w:rPr>
      </w:pPr>
      <w:r w:rsidRPr="00A70045">
        <w:rPr>
          <w:szCs w:val="24"/>
        </w:rPr>
        <w:t xml:space="preserve">Details of the </w:t>
      </w:r>
      <w:r w:rsidR="00CD4FC1" w:rsidRPr="00A70045">
        <w:rPr>
          <w:i/>
          <w:iCs/>
          <w:szCs w:val="24"/>
        </w:rPr>
        <w:t>Health Insurance (General Practice COVID-19 Treatment) Determination 2022</w:t>
      </w:r>
    </w:p>
    <w:p w14:paraId="7BBEB147" w14:textId="720F9678" w:rsidR="00E70355" w:rsidRPr="00A70045" w:rsidRDefault="00E70355" w:rsidP="000337CB">
      <w:pPr>
        <w:pStyle w:val="BodyText"/>
        <w:rPr>
          <w:b w:val="0"/>
          <w:i/>
          <w:szCs w:val="24"/>
        </w:rPr>
      </w:pPr>
    </w:p>
    <w:p w14:paraId="2412D141" w14:textId="7C34D5F4" w:rsidR="00FE02C2" w:rsidRPr="00A70045" w:rsidRDefault="001B0111" w:rsidP="000337CB">
      <w:pPr>
        <w:pStyle w:val="BodyText"/>
        <w:rPr>
          <w:b w:val="0"/>
          <w:szCs w:val="24"/>
          <w:u w:val="single"/>
        </w:rPr>
      </w:pPr>
      <w:r w:rsidRPr="00A70045">
        <w:rPr>
          <w:b w:val="0"/>
          <w:szCs w:val="24"/>
          <w:u w:val="single"/>
        </w:rPr>
        <w:t>Section 1 – Name</w:t>
      </w:r>
    </w:p>
    <w:p w14:paraId="2412D142" w14:textId="77777777" w:rsidR="00FE02C2" w:rsidRPr="00A70045" w:rsidRDefault="00FE02C2" w:rsidP="000337CB">
      <w:pPr>
        <w:pStyle w:val="BodyText"/>
        <w:rPr>
          <w:b w:val="0"/>
          <w:szCs w:val="24"/>
          <w:u w:val="single"/>
        </w:rPr>
      </w:pPr>
    </w:p>
    <w:p w14:paraId="2412D144" w14:textId="12FFD286" w:rsidR="00F83B6F" w:rsidRPr="00A70045" w:rsidRDefault="00BC7397" w:rsidP="00C67BC7">
      <w:pPr>
        <w:pStyle w:val="BodyText"/>
        <w:rPr>
          <w:i/>
          <w:iCs/>
        </w:rPr>
      </w:pPr>
      <w:r w:rsidRPr="00A70045">
        <w:rPr>
          <w:b w:val="0"/>
          <w:szCs w:val="24"/>
        </w:rPr>
        <w:t>S</w:t>
      </w:r>
      <w:r w:rsidR="00FE02C2" w:rsidRPr="00A70045">
        <w:rPr>
          <w:b w:val="0"/>
          <w:szCs w:val="24"/>
        </w:rPr>
        <w:t xml:space="preserve">ection </w:t>
      </w:r>
      <w:r w:rsidRPr="00A70045">
        <w:rPr>
          <w:b w:val="0"/>
          <w:szCs w:val="24"/>
        </w:rPr>
        <w:t xml:space="preserve">1 </w:t>
      </w:r>
      <w:r w:rsidR="00FE02C2" w:rsidRPr="00A70045">
        <w:rPr>
          <w:b w:val="0"/>
          <w:szCs w:val="24"/>
        </w:rPr>
        <w:t>provides</w:t>
      </w:r>
      <w:r w:rsidR="008B683E" w:rsidRPr="00A70045">
        <w:rPr>
          <w:b w:val="0"/>
          <w:szCs w:val="24"/>
        </w:rPr>
        <w:t xml:space="preserve"> for the </w:t>
      </w:r>
      <w:r w:rsidR="008B2094" w:rsidRPr="00A70045">
        <w:rPr>
          <w:b w:val="0"/>
          <w:szCs w:val="24"/>
        </w:rPr>
        <w:t>Determination</w:t>
      </w:r>
      <w:r w:rsidR="00FE02C2" w:rsidRPr="00A70045">
        <w:rPr>
          <w:b w:val="0"/>
          <w:szCs w:val="24"/>
        </w:rPr>
        <w:t xml:space="preserve"> to be referred to as the </w:t>
      </w:r>
      <w:r w:rsidR="00CD4FC1" w:rsidRPr="00A70045">
        <w:rPr>
          <w:b w:val="0"/>
          <w:i/>
          <w:iCs/>
          <w:szCs w:val="24"/>
        </w:rPr>
        <w:t>Health Insurance (General Practice COVID-19 Treatment) Determination 2022</w:t>
      </w:r>
    </w:p>
    <w:p w14:paraId="68DAA207" w14:textId="77777777" w:rsidR="00FD602D" w:rsidRPr="00A70045" w:rsidRDefault="00FD602D" w:rsidP="00FD602D"/>
    <w:p w14:paraId="49D1E050" w14:textId="77777777" w:rsidR="007A4089" w:rsidRPr="00A70045" w:rsidRDefault="00FE02C2" w:rsidP="000337CB">
      <w:pPr>
        <w:pStyle w:val="BodyText"/>
        <w:rPr>
          <w:b w:val="0"/>
          <w:szCs w:val="24"/>
          <w:u w:val="single"/>
        </w:rPr>
      </w:pPr>
      <w:r w:rsidRPr="00A70045">
        <w:rPr>
          <w:b w:val="0"/>
          <w:szCs w:val="24"/>
          <w:u w:val="single"/>
        </w:rPr>
        <w:t xml:space="preserve">Section 2 – Commencement </w:t>
      </w:r>
    </w:p>
    <w:p w14:paraId="2DCE2ED0" w14:textId="77777777" w:rsidR="007A4089" w:rsidRPr="00A70045" w:rsidRDefault="007A4089" w:rsidP="000337CB">
      <w:pPr>
        <w:pStyle w:val="BodyText"/>
        <w:rPr>
          <w:b w:val="0"/>
          <w:szCs w:val="24"/>
          <w:u w:val="single"/>
        </w:rPr>
      </w:pPr>
    </w:p>
    <w:p w14:paraId="2412D148" w14:textId="61FD65B9" w:rsidR="00510A4F" w:rsidRPr="00A70045" w:rsidRDefault="00510A4F" w:rsidP="000337CB">
      <w:pPr>
        <w:pStyle w:val="BodyText"/>
        <w:rPr>
          <w:b w:val="0"/>
          <w:szCs w:val="24"/>
        </w:rPr>
      </w:pPr>
      <w:r w:rsidRPr="00A70045">
        <w:rPr>
          <w:b w:val="0"/>
          <w:szCs w:val="24"/>
        </w:rPr>
        <w:t xml:space="preserve">Section 2 </w:t>
      </w:r>
      <w:r w:rsidR="00404F11" w:rsidRPr="00A70045">
        <w:rPr>
          <w:b w:val="0"/>
          <w:szCs w:val="24"/>
        </w:rPr>
        <w:t xml:space="preserve">provides that the </w:t>
      </w:r>
      <w:r w:rsidR="008B2094" w:rsidRPr="00A70045">
        <w:rPr>
          <w:b w:val="0"/>
          <w:szCs w:val="24"/>
        </w:rPr>
        <w:t xml:space="preserve">Determination </w:t>
      </w:r>
      <w:r w:rsidR="00404F11" w:rsidRPr="00A70045">
        <w:rPr>
          <w:b w:val="0"/>
          <w:szCs w:val="24"/>
        </w:rPr>
        <w:t xml:space="preserve">commences </w:t>
      </w:r>
      <w:r w:rsidR="00CD4FC1" w:rsidRPr="00A70045">
        <w:rPr>
          <w:b w:val="0"/>
          <w:szCs w:val="24"/>
        </w:rPr>
        <w:t xml:space="preserve">on the </w:t>
      </w:r>
      <w:r w:rsidR="005A55D5" w:rsidRPr="00A70045">
        <w:rPr>
          <w:b w:val="0"/>
          <w:szCs w:val="24"/>
        </w:rPr>
        <w:t>19 July 2022</w:t>
      </w:r>
      <w:r w:rsidR="00CD4FC1" w:rsidRPr="00A70045">
        <w:rPr>
          <w:b w:val="0"/>
          <w:szCs w:val="24"/>
        </w:rPr>
        <w:t xml:space="preserve">. </w:t>
      </w:r>
      <w:r w:rsidR="00C63FDC" w:rsidRPr="00A70045">
        <w:rPr>
          <w:b w:val="0"/>
          <w:szCs w:val="24"/>
        </w:rPr>
        <w:t xml:space="preserve"> </w:t>
      </w:r>
    </w:p>
    <w:p w14:paraId="16C03200" w14:textId="77777777" w:rsidR="007E0017" w:rsidRPr="00A70045" w:rsidRDefault="007E0017" w:rsidP="000337CB">
      <w:pPr>
        <w:pStyle w:val="BodyText"/>
        <w:rPr>
          <w:b w:val="0"/>
          <w:szCs w:val="24"/>
        </w:rPr>
      </w:pPr>
    </w:p>
    <w:p w14:paraId="005D5660" w14:textId="77777777" w:rsidR="007A4089" w:rsidRPr="00A70045" w:rsidRDefault="00FE02C2" w:rsidP="000337CB">
      <w:pPr>
        <w:pStyle w:val="BodyText"/>
        <w:rPr>
          <w:b w:val="0"/>
          <w:szCs w:val="24"/>
          <w:u w:val="single"/>
        </w:rPr>
      </w:pPr>
      <w:r w:rsidRPr="00A70045">
        <w:rPr>
          <w:b w:val="0"/>
          <w:szCs w:val="24"/>
          <w:u w:val="single"/>
        </w:rPr>
        <w:t xml:space="preserve">Section 3 – </w:t>
      </w:r>
      <w:r w:rsidR="00E5798A" w:rsidRPr="00A70045">
        <w:rPr>
          <w:b w:val="0"/>
          <w:szCs w:val="24"/>
          <w:u w:val="single"/>
        </w:rPr>
        <w:t>Authority</w:t>
      </w:r>
    </w:p>
    <w:p w14:paraId="53BFA098" w14:textId="77777777" w:rsidR="007A4089" w:rsidRPr="00A70045" w:rsidRDefault="007A4089" w:rsidP="000337CB">
      <w:pPr>
        <w:pStyle w:val="BodyText"/>
        <w:rPr>
          <w:b w:val="0"/>
          <w:szCs w:val="24"/>
          <w:u w:val="single"/>
        </w:rPr>
      </w:pPr>
    </w:p>
    <w:p w14:paraId="2412D14B" w14:textId="60EB4E9C" w:rsidR="00FE02C2" w:rsidRPr="00A70045" w:rsidRDefault="00F83B6F" w:rsidP="000337CB">
      <w:pPr>
        <w:pStyle w:val="BodyText"/>
        <w:rPr>
          <w:b w:val="0"/>
        </w:rPr>
      </w:pPr>
      <w:r w:rsidRPr="00A70045">
        <w:rPr>
          <w:b w:val="0"/>
        </w:rPr>
        <w:t xml:space="preserve">Section 3 provides that the </w:t>
      </w:r>
      <w:r w:rsidR="008B2094" w:rsidRPr="00A70045">
        <w:rPr>
          <w:b w:val="0"/>
          <w:szCs w:val="24"/>
        </w:rPr>
        <w:t xml:space="preserve">Determination </w:t>
      </w:r>
      <w:r w:rsidR="00E5798A" w:rsidRPr="00A70045">
        <w:rPr>
          <w:b w:val="0"/>
        </w:rPr>
        <w:t xml:space="preserve">is made under </w:t>
      </w:r>
      <w:r w:rsidR="00367440" w:rsidRPr="00A70045">
        <w:rPr>
          <w:b w:val="0"/>
        </w:rPr>
        <w:t xml:space="preserve">subsection </w:t>
      </w:r>
      <w:r w:rsidR="00E5798A" w:rsidRPr="00A70045">
        <w:rPr>
          <w:b w:val="0"/>
        </w:rPr>
        <w:t xml:space="preserve">3C(1) of the </w:t>
      </w:r>
      <w:r w:rsidR="00E5798A" w:rsidRPr="00A70045">
        <w:rPr>
          <w:b w:val="0"/>
          <w:i/>
        </w:rPr>
        <w:t>Health Insurance Act 1973</w:t>
      </w:r>
      <w:r w:rsidR="00E5798A" w:rsidRPr="00A70045">
        <w:rPr>
          <w:b w:val="0"/>
        </w:rPr>
        <w:t>.</w:t>
      </w:r>
    </w:p>
    <w:p w14:paraId="2EE88D79" w14:textId="15C103FD" w:rsidR="00CD4FC1" w:rsidRPr="00A70045" w:rsidRDefault="00CD4FC1" w:rsidP="000337CB">
      <w:pPr>
        <w:pStyle w:val="BodyText"/>
        <w:rPr>
          <w:b w:val="0"/>
        </w:rPr>
      </w:pPr>
    </w:p>
    <w:p w14:paraId="28C2CBEA" w14:textId="7C37CD33" w:rsidR="00CD4FC1" w:rsidRPr="00A70045" w:rsidRDefault="00CD4FC1" w:rsidP="000337CB">
      <w:pPr>
        <w:pStyle w:val="BodyText"/>
        <w:rPr>
          <w:b w:val="0"/>
          <w:u w:val="single"/>
        </w:rPr>
      </w:pPr>
      <w:r w:rsidRPr="00A70045">
        <w:rPr>
          <w:b w:val="0"/>
          <w:u w:val="single"/>
        </w:rPr>
        <w:t>Section 4 – Cessation</w:t>
      </w:r>
    </w:p>
    <w:p w14:paraId="31936FB5" w14:textId="29EEE784" w:rsidR="00CD4FC1" w:rsidRPr="00A70045" w:rsidRDefault="00CD4FC1" w:rsidP="000337CB">
      <w:pPr>
        <w:pStyle w:val="BodyText"/>
        <w:rPr>
          <w:b w:val="0"/>
        </w:rPr>
      </w:pPr>
      <w:r w:rsidRPr="00A70045">
        <w:rPr>
          <w:b w:val="0"/>
        </w:rPr>
        <w:t>Section 4 provides that the Determination, unless earlier revoked, ceases as if revoked on 31 October 2022 at 11.59pm.</w:t>
      </w:r>
    </w:p>
    <w:p w14:paraId="434AAB37" w14:textId="77777777" w:rsidR="00CD4FC1" w:rsidRPr="00A70045" w:rsidRDefault="00CD4FC1" w:rsidP="000337CB">
      <w:pPr>
        <w:pStyle w:val="BodyText"/>
        <w:rPr>
          <w:b w:val="0"/>
        </w:rPr>
      </w:pPr>
    </w:p>
    <w:p w14:paraId="20CBF84A" w14:textId="731B8426" w:rsidR="00C63FDC" w:rsidRPr="00A70045" w:rsidRDefault="00C63FDC" w:rsidP="00C63FDC">
      <w:pPr>
        <w:pStyle w:val="BodyText"/>
        <w:rPr>
          <w:b w:val="0"/>
          <w:szCs w:val="24"/>
          <w:u w:val="single"/>
        </w:rPr>
      </w:pPr>
      <w:r w:rsidRPr="00A70045">
        <w:rPr>
          <w:b w:val="0"/>
          <w:szCs w:val="24"/>
          <w:u w:val="single"/>
        </w:rPr>
        <w:t xml:space="preserve">Section </w:t>
      </w:r>
      <w:r w:rsidR="00CD4FC1" w:rsidRPr="00A70045">
        <w:rPr>
          <w:b w:val="0"/>
          <w:szCs w:val="24"/>
          <w:u w:val="single"/>
        </w:rPr>
        <w:t>5</w:t>
      </w:r>
      <w:r w:rsidRPr="00A70045">
        <w:rPr>
          <w:b w:val="0"/>
          <w:szCs w:val="24"/>
          <w:u w:val="single"/>
        </w:rPr>
        <w:t xml:space="preserve"> – </w:t>
      </w:r>
      <w:r w:rsidR="00AE2A1A" w:rsidRPr="00A70045">
        <w:rPr>
          <w:b w:val="0"/>
          <w:szCs w:val="24"/>
          <w:u w:val="single"/>
        </w:rPr>
        <w:t>Definitions</w:t>
      </w:r>
    </w:p>
    <w:p w14:paraId="4C010161" w14:textId="77777777" w:rsidR="00C63FDC" w:rsidRPr="00A70045" w:rsidRDefault="00C63FDC" w:rsidP="00C63FDC">
      <w:pPr>
        <w:pStyle w:val="BodyText"/>
        <w:rPr>
          <w:b w:val="0"/>
          <w:szCs w:val="24"/>
          <w:u w:val="single"/>
        </w:rPr>
      </w:pPr>
    </w:p>
    <w:p w14:paraId="5D9EBF8D" w14:textId="3F584170" w:rsidR="00C63FDC" w:rsidRPr="00A70045" w:rsidRDefault="00AE2A1A" w:rsidP="00C63FDC">
      <w:pPr>
        <w:pStyle w:val="BodyText"/>
        <w:rPr>
          <w:b w:val="0"/>
          <w:szCs w:val="24"/>
        </w:rPr>
      </w:pPr>
      <w:r w:rsidRPr="00A70045">
        <w:rPr>
          <w:b w:val="0"/>
          <w:szCs w:val="24"/>
        </w:rPr>
        <w:t xml:space="preserve">Section </w:t>
      </w:r>
      <w:r w:rsidR="00233725" w:rsidRPr="00A70045">
        <w:rPr>
          <w:b w:val="0"/>
          <w:szCs w:val="24"/>
        </w:rPr>
        <w:t>5</w:t>
      </w:r>
      <w:r w:rsidRPr="00A70045">
        <w:rPr>
          <w:b w:val="0"/>
          <w:szCs w:val="24"/>
        </w:rPr>
        <w:t xml:space="preserve"> defines terms used in the Determination</w:t>
      </w:r>
      <w:r w:rsidR="00C63FDC" w:rsidRPr="00A70045">
        <w:rPr>
          <w:b w:val="0"/>
          <w:szCs w:val="24"/>
        </w:rPr>
        <w:t>.</w:t>
      </w:r>
    </w:p>
    <w:p w14:paraId="17D2CF69" w14:textId="77777777" w:rsidR="007E0017" w:rsidRPr="00A70045" w:rsidRDefault="007E0017" w:rsidP="00404F11">
      <w:pPr>
        <w:pStyle w:val="BodyText"/>
        <w:rPr>
          <w:b w:val="0"/>
          <w:szCs w:val="24"/>
        </w:rPr>
      </w:pPr>
    </w:p>
    <w:p w14:paraId="18694761" w14:textId="0A9167E4" w:rsidR="00AE2A1A" w:rsidRPr="00A70045" w:rsidRDefault="00AE2A1A" w:rsidP="00AE2A1A">
      <w:pPr>
        <w:pStyle w:val="BodyText"/>
        <w:rPr>
          <w:b w:val="0"/>
          <w:szCs w:val="24"/>
          <w:u w:val="single"/>
        </w:rPr>
      </w:pPr>
      <w:r w:rsidRPr="00A70045">
        <w:rPr>
          <w:b w:val="0"/>
          <w:szCs w:val="24"/>
          <w:u w:val="single"/>
        </w:rPr>
        <w:t xml:space="preserve">Section </w:t>
      </w:r>
      <w:r w:rsidR="00CD4FC1" w:rsidRPr="00A70045">
        <w:rPr>
          <w:b w:val="0"/>
          <w:szCs w:val="24"/>
          <w:u w:val="single"/>
        </w:rPr>
        <w:t>6</w:t>
      </w:r>
      <w:r w:rsidRPr="00A70045">
        <w:rPr>
          <w:b w:val="0"/>
          <w:szCs w:val="24"/>
          <w:u w:val="single"/>
        </w:rPr>
        <w:t xml:space="preserve"> – Treatment of relevant services</w:t>
      </w:r>
    </w:p>
    <w:p w14:paraId="19E420BE" w14:textId="77777777" w:rsidR="00AE2A1A" w:rsidRPr="00A70045" w:rsidRDefault="00AE2A1A" w:rsidP="00AE2A1A">
      <w:pPr>
        <w:pStyle w:val="BodyText"/>
        <w:shd w:val="clear" w:color="auto" w:fill="FFFFFF"/>
        <w:rPr>
          <w:b w:val="0"/>
          <w:szCs w:val="24"/>
        </w:rPr>
      </w:pPr>
      <w:r w:rsidRPr="00A70045">
        <w:rPr>
          <w:b w:val="0"/>
          <w:szCs w:val="24"/>
        </w:rPr>
        <w:t> </w:t>
      </w:r>
    </w:p>
    <w:p w14:paraId="5FC8DDF5" w14:textId="51104139" w:rsidR="00AE2A1A" w:rsidRPr="00A70045" w:rsidRDefault="00AE2A1A" w:rsidP="00AE2A1A">
      <w:pPr>
        <w:pStyle w:val="BodyText"/>
        <w:shd w:val="clear" w:color="auto" w:fill="FFFFFF"/>
        <w:rPr>
          <w:b w:val="0"/>
          <w:szCs w:val="24"/>
        </w:rPr>
      </w:pPr>
      <w:r w:rsidRPr="00A70045">
        <w:rPr>
          <w:b w:val="0"/>
          <w:szCs w:val="24"/>
        </w:rPr>
        <w:t xml:space="preserve">Section </w:t>
      </w:r>
      <w:r w:rsidR="00CD4FC1" w:rsidRPr="00A70045">
        <w:rPr>
          <w:b w:val="0"/>
          <w:szCs w:val="24"/>
        </w:rPr>
        <w:t>6</w:t>
      </w:r>
      <w:r w:rsidRPr="00A70045">
        <w:rPr>
          <w:b w:val="0"/>
          <w:szCs w:val="24"/>
        </w:rPr>
        <w:t xml:space="preserve"> provides that a clinically relevant service provided in accordance with the Determination shall be treated, for relevant provisions of the </w:t>
      </w:r>
      <w:r w:rsidRPr="00A70045">
        <w:rPr>
          <w:b w:val="0"/>
          <w:i/>
          <w:iCs/>
          <w:szCs w:val="24"/>
        </w:rPr>
        <w:t>Health Insurance Act 1973</w:t>
      </w:r>
      <w:r w:rsidRPr="00A70045">
        <w:rPr>
          <w:b w:val="0"/>
          <w:szCs w:val="24"/>
        </w:rPr>
        <w:t xml:space="preserve"> and </w:t>
      </w:r>
      <w:r w:rsidRPr="00A70045">
        <w:rPr>
          <w:b w:val="0"/>
          <w:i/>
          <w:iCs/>
          <w:szCs w:val="24"/>
        </w:rPr>
        <w:t>National Health Act 1953</w:t>
      </w:r>
      <w:r w:rsidRPr="00A70045">
        <w:rPr>
          <w:b w:val="0"/>
          <w:szCs w:val="24"/>
        </w:rPr>
        <w:t xml:space="preserve">, and regulations made under those Acts, as if it were both a professional service and a </w:t>
      </w:r>
      <w:r w:rsidR="008B62F3" w:rsidRPr="00A70045">
        <w:rPr>
          <w:b w:val="0"/>
          <w:szCs w:val="24"/>
        </w:rPr>
        <w:t>general medical</w:t>
      </w:r>
      <w:r w:rsidRPr="00A70045">
        <w:rPr>
          <w:b w:val="0"/>
          <w:szCs w:val="24"/>
        </w:rPr>
        <w:t xml:space="preserve"> service and as if there were an item specified in the </w:t>
      </w:r>
      <w:r w:rsidR="008B62F3" w:rsidRPr="00A70045">
        <w:rPr>
          <w:b w:val="0"/>
          <w:szCs w:val="24"/>
        </w:rPr>
        <w:t>general medical</w:t>
      </w:r>
      <w:r w:rsidRPr="00A70045">
        <w:rPr>
          <w:b w:val="0"/>
          <w:szCs w:val="24"/>
        </w:rPr>
        <w:t xml:space="preserve"> services table for the service. </w:t>
      </w:r>
    </w:p>
    <w:p w14:paraId="79D9CF31" w14:textId="77777777" w:rsidR="00AE2A1A" w:rsidRPr="00A70045" w:rsidRDefault="00AE2A1A" w:rsidP="00C63FDC">
      <w:pPr>
        <w:pStyle w:val="Header"/>
        <w:tabs>
          <w:tab w:val="num" w:pos="1080"/>
        </w:tabs>
        <w:rPr>
          <w:szCs w:val="24"/>
          <w:u w:val="single"/>
        </w:rPr>
      </w:pPr>
    </w:p>
    <w:p w14:paraId="313F22ED" w14:textId="0C010E3F" w:rsidR="00AE2A1A" w:rsidRPr="00A70045" w:rsidRDefault="00AE2A1A" w:rsidP="00C63FDC">
      <w:pPr>
        <w:pStyle w:val="Header"/>
        <w:tabs>
          <w:tab w:val="num" w:pos="1080"/>
        </w:tabs>
        <w:rPr>
          <w:szCs w:val="24"/>
          <w:u w:val="single"/>
        </w:rPr>
      </w:pPr>
      <w:r w:rsidRPr="00A70045">
        <w:rPr>
          <w:szCs w:val="24"/>
          <w:u w:val="single"/>
        </w:rPr>
        <w:t xml:space="preserve">Section </w:t>
      </w:r>
      <w:r w:rsidR="00CD4FC1" w:rsidRPr="00A70045">
        <w:rPr>
          <w:szCs w:val="24"/>
          <w:u w:val="single"/>
        </w:rPr>
        <w:t>7</w:t>
      </w:r>
      <w:r w:rsidRPr="00A70045">
        <w:rPr>
          <w:szCs w:val="24"/>
          <w:u w:val="single"/>
        </w:rPr>
        <w:t xml:space="preserve"> – Application of provisions of the </w:t>
      </w:r>
      <w:r w:rsidR="00CD4FC1" w:rsidRPr="00A70045">
        <w:rPr>
          <w:szCs w:val="24"/>
          <w:u w:val="single"/>
        </w:rPr>
        <w:t>COVID-19 Treatment Items</w:t>
      </w:r>
    </w:p>
    <w:p w14:paraId="592AF61B" w14:textId="6EFBC1F3" w:rsidR="00AE2A1A" w:rsidRPr="00A70045" w:rsidRDefault="00AE2A1A" w:rsidP="00C63FDC">
      <w:pPr>
        <w:pStyle w:val="Header"/>
        <w:tabs>
          <w:tab w:val="num" w:pos="1080"/>
        </w:tabs>
        <w:rPr>
          <w:szCs w:val="24"/>
          <w:u w:val="single"/>
        </w:rPr>
      </w:pPr>
    </w:p>
    <w:p w14:paraId="48E86A3B" w14:textId="06F2C230" w:rsidR="00AE2A1A" w:rsidRPr="00A70045" w:rsidRDefault="00CD4FC1" w:rsidP="00C63FDC">
      <w:pPr>
        <w:pStyle w:val="Header"/>
        <w:tabs>
          <w:tab w:val="num" w:pos="1080"/>
        </w:tabs>
        <w:rPr>
          <w:szCs w:val="24"/>
        </w:rPr>
      </w:pPr>
      <w:r w:rsidRPr="00A70045">
        <w:rPr>
          <w:szCs w:val="24"/>
        </w:rPr>
        <w:t xml:space="preserve">Section 7 provides the circumstances in which the COVID-19 </w:t>
      </w:r>
      <w:r w:rsidR="00233725" w:rsidRPr="00A70045">
        <w:rPr>
          <w:szCs w:val="24"/>
        </w:rPr>
        <w:t xml:space="preserve">treatment </w:t>
      </w:r>
      <w:r w:rsidRPr="00A70045">
        <w:rPr>
          <w:szCs w:val="24"/>
        </w:rPr>
        <w:t xml:space="preserve">items are to apply. Under these requirements, the diagnosis of COVID-19 must be </w:t>
      </w:r>
      <w:r w:rsidR="005C27D2" w:rsidRPr="00A70045">
        <w:rPr>
          <w:szCs w:val="24"/>
        </w:rPr>
        <w:t xml:space="preserve">evidenced by either a laboratory test (PCR) or by a rapid antigen self-test (RAT). The appropriate state or territory, if applicable, must have either already been notified at the time of the positive test, or the practitioner must assist the patient to report the positive test to the relevant state or territory public health unit where reporting requirements are in place from time to time. </w:t>
      </w:r>
    </w:p>
    <w:p w14:paraId="10D44980" w14:textId="3B146F85" w:rsidR="005C27D2" w:rsidRPr="00A70045" w:rsidRDefault="005C27D2" w:rsidP="00C63FDC">
      <w:pPr>
        <w:pStyle w:val="Header"/>
        <w:tabs>
          <w:tab w:val="num" w:pos="1080"/>
        </w:tabs>
        <w:rPr>
          <w:szCs w:val="24"/>
        </w:rPr>
      </w:pPr>
    </w:p>
    <w:p w14:paraId="1A0707C0" w14:textId="37D3436C" w:rsidR="005C27D2" w:rsidRPr="00A70045" w:rsidRDefault="005C27D2" w:rsidP="00C63FDC">
      <w:pPr>
        <w:pStyle w:val="Header"/>
        <w:tabs>
          <w:tab w:val="num" w:pos="1080"/>
        </w:tabs>
        <w:rPr>
          <w:szCs w:val="24"/>
        </w:rPr>
      </w:pPr>
      <w:r w:rsidRPr="00A70045">
        <w:rPr>
          <w:szCs w:val="24"/>
        </w:rPr>
        <w:t>Section 7 also provides that the medical practitioner performing the service must also be located at a medical practice</w:t>
      </w:r>
      <w:r w:rsidR="00233725" w:rsidRPr="00A70045">
        <w:rPr>
          <w:szCs w:val="24"/>
        </w:rPr>
        <w:t xml:space="preserve"> with the capacity for in person assessment where appropriate</w:t>
      </w:r>
      <w:r w:rsidRPr="00A70045">
        <w:rPr>
          <w:szCs w:val="24"/>
        </w:rPr>
        <w:t>, or ha</w:t>
      </w:r>
      <w:r w:rsidR="00233725" w:rsidRPr="00A70045">
        <w:rPr>
          <w:szCs w:val="24"/>
        </w:rPr>
        <w:t>ve</w:t>
      </w:r>
      <w:r w:rsidRPr="00A70045">
        <w:rPr>
          <w:szCs w:val="24"/>
        </w:rPr>
        <w:t xml:space="preserve"> a formal agreement with a medical practice to provide personal attendance services.</w:t>
      </w:r>
    </w:p>
    <w:p w14:paraId="6C962B9C" w14:textId="77777777" w:rsidR="005C27D2" w:rsidRPr="00A70045" w:rsidRDefault="005C27D2" w:rsidP="00C63FDC">
      <w:pPr>
        <w:pStyle w:val="Header"/>
        <w:tabs>
          <w:tab w:val="num" w:pos="1080"/>
        </w:tabs>
        <w:rPr>
          <w:szCs w:val="24"/>
          <w:u w:val="single"/>
        </w:rPr>
      </w:pPr>
    </w:p>
    <w:p w14:paraId="43A3452C" w14:textId="2D8B537C" w:rsidR="00825D46" w:rsidRPr="00A70045" w:rsidRDefault="00825D46" w:rsidP="002C768C">
      <w:pPr>
        <w:pStyle w:val="Header"/>
        <w:keepNext/>
        <w:keepLines/>
        <w:tabs>
          <w:tab w:val="num" w:pos="1080"/>
        </w:tabs>
        <w:rPr>
          <w:szCs w:val="24"/>
          <w:u w:val="single"/>
        </w:rPr>
      </w:pPr>
      <w:r w:rsidRPr="00A70045">
        <w:rPr>
          <w:szCs w:val="24"/>
          <w:u w:val="single"/>
        </w:rPr>
        <w:lastRenderedPageBreak/>
        <w:t>8. Limitation of</w:t>
      </w:r>
      <w:r w:rsidR="005C27D2" w:rsidRPr="00A70045">
        <w:rPr>
          <w:szCs w:val="24"/>
          <w:u w:val="single"/>
        </w:rPr>
        <w:t xml:space="preserve"> COVID-19 Treatment</w:t>
      </w:r>
    </w:p>
    <w:p w14:paraId="572302F9" w14:textId="7E6F1E6A" w:rsidR="00825D46" w:rsidRPr="00A70045" w:rsidRDefault="00825D46" w:rsidP="002C768C">
      <w:pPr>
        <w:pStyle w:val="Header"/>
        <w:keepNext/>
        <w:keepLines/>
        <w:tabs>
          <w:tab w:val="num" w:pos="1080"/>
        </w:tabs>
        <w:rPr>
          <w:szCs w:val="24"/>
          <w:u w:val="single"/>
        </w:rPr>
      </w:pPr>
    </w:p>
    <w:p w14:paraId="28012086" w14:textId="6C990E53" w:rsidR="005C27D2" w:rsidRPr="00A70045" w:rsidRDefault="005C27D2" w:rsidP="002C768C">
      <w:pPr>
        <w:pStyle w:val="Header"/>
        <w:keepNext/>
        <w:keepLines/>
        <w:tabs>
          <w:tab w:val="num" w:pos="1080"/>
        </w:tabs>
        <w:rPr>
          <w:szCs w:val="24"/>
        </w:rPr>
      </w:pPr>
      <w:r w:rsidRPr="00A70045">
        <w:rPr>
          <w:szCs w:val="24"/>
        </w:rPr>
        <w:t xml:space="preserve">Section 8 provides that a service in this Determination does not apply to a service mentioned in the item if the person is an admitted patient, nor does it apply if the service is performed in association with any other attendance service on the same occasion by the same medical practitioner. </w:t>
      </w:r>
    </w:p>
    <w:p w14:paraId="76C1924C" w14:textId="77777777" w:rsidR="00517CF3" w:rsidRPr="00A70045" w:rsidRDefault="00517CF3" w:rsidP="00C63FDC">
      <w:pPr>
        <w:pStyle w:val="Header"/>
        <w:tabs>
          <w:tab w:val="num" w:pos="1080"/>
        </w:tabs>
        <w:rPr>
          <w:szCs w:val="24"/>
        </w:rPr>
      </w:pPr>
    </w:p>
    <w:p w14:paraId="768D340E" w14:textId="2E8C28BE" w:rsidR="00C63FDC" w:rsidRPr="00A70045" w:rsidRDefault="00014737" w:rsidP="00C63FDC">
      <w:pPr>
        <w:pStyle w:val="Header"/>
        <w:tabs>
          <w:tab w:val="num" w:pos="1080"/>
        </w:tabs>
        <w:rPr>
          <w:szCs w:val="24"/>
          <w:u w:val="single"/>
        </w:rPr>
      </w:pPr>
      <w:r w:rsidRPr="00A70045">
        <w:rPr>
          <w:szCs w:val="24"/>
          <w:u w:val="single"/>
        </w:rPr>
        <w:t>Schedule – Relevant</w:t>
      </w:r>
      <w:r w:rsidR="00517CF3" w:rsidRPr="00A70045">
        <w:rPr>
          <w:szCs w:val="24"/>
          <w:u w:val="single"/>
        </w:rPr>
        <w:t xml:space="preserve"> services</w:t>
      </w:r>
    </w:p>
    <w:p w14:paraId="2212E577" w14:textId="77777777" w:rsidR="00C63FDC" w:rsidRPr="00A70045" w:rsidRDefault="00C63FDC" w:rsidP="00C63FDC">
      <w:pPr>
        <w:pStyle w:val="Header"/>
        <w:tabs>
          <w:tab w:val="num" w:pos="1080"/>
        </w:tabs>
        <w:rPr>
          <w:szCs w:val="24"/>
          <w:u w:val="single"/>
        </w:rPr>
      </w:pPr>
    </w:p>
    <w:p w14:paraId="371F01D6" w14:textId="46639F60" w:rsidR="007708B3" w:rsidRPr="00A70045" w:rsidRDefault="00517CF3" w:rsidP="00C63FDC">
      <w:pPr>
        <w:pStyle w:val="Header"/>
        <w:tabs>
          <w:tab w:val="num" w:pos="1080"/>
        </w:tabs>
        <w:rPr>
          <w:b/>
          <w:szCs w:val="24"/>
        </w:rPr>
      </w:pPr>
      <w:r w:rsidRPr="00A70045">
        <w:rPr>
          <w:szCs w:val="24"/>
        </w:rPr>
        <w:t>The Schedule specifies the service and the associated fee for item</w:t>
      </w:r>
      <w:r w:rsidR="00225F20" w:rsidRPr="00A70045">
        <w:rPr>
          <w:szCs w:val="24"/>
        </w:rPr>
        <w:t>s 93716 and 93717.</w:t>
      </w:r>
    </w:p>
    <w:p w14:paraId="21DF9DDC" w14:textId="1767E1F1" w:rsidR="00331752" w:rsidRPr="00A70045" w:rsidRDefault="00331752">
      <w:pPr>
        <w:spacing w:after="200" w:line="276" w:lineRule="auto"/>
        <w:rPr>
          <w:szCs w:val="24"/>
          <w:u w:val="single"/>
        </w:rPr>
      </w:pPr>
      <w:r w:rsidRPr="00A70045">
        <w:rPr>
          <w:szCs w:val="24"/>
          <w:u w:val="single"/>
        </w:rPr>
        <w:br w:type="page"/>
      </w:r>
    </w:p>
    <w:p w14:paraId="2412D14E" w14:textId="632B4BE9" w:rsidR="00A17F2C" w:rsidRPr="00A70045" w:rsidRDefault="00A17F2C" w:rsidP="008D136F">
      <w:pPr>
        <w:pStyle w:val="Header"/>
        <w:tabs>
          <w:tab w:val="num" w:pos="1080"/>
        </w:tabs>
        <w:jc w:val="center"/>
        <w:rPr>
          <w:b/>
          <w:sz w:val="28"/>
          <w:szCs w:val="28"/>
        </w:rPr>
      </w:pPr>
      <w:r w:rsidRPr="00A70045">
        <w:rPr>
          <w:b/>
          <w:sz w:val="28"/>
          <w:szCs w:val="28"/>
        </w:rPr>
        <w:lastRenderedPageBreak/>
        <w:t>Statement of Compatibility with Human Rights</w:t>
      </w:r>
    </w:p>
    <w:p w14:paraId="2412D14F" w14:textId="77777777" w:rsidR="00A17F2C" w:rsidRPr="00A70045" w:rsidRDefault="00A17F2C" w:rsidP="000337CB">
      <w:pPr>
        <w:spacing w:before="120" w:after="120"/>
        <w:jc w:val="center"/>
        <w:rPr>
          <w:szCs w:val="24"/>
        </w:rPr>
      </w:pPr>
      <w:r w:rsidRPr="00A70045">
        <w:rPr>
          <w:i/>
          <w:szCs w:val="24"/>
        </w:rPr>
        <w:t>Prepared in accordance with Part 3 of the Human Rights (Parliamentary Scrutiny) Act 2011</w:t>
      </w:r>
    </w:p>
    <w:p w14:paraId="751DE726" w14:textId="77777777" w:rsidR="002A6C77" w:rsidRPr="00A70045" w:rsidRDefault="002A6C77" w:rsidP="000337CB">
      <w:pPr>
        <w:tabs>
          <w:tab w:val="left" w:pos="1418"/>
        </w:tabs>
        <w:ind w:left="851"/>
        <w:jc w:val="center"/>
        <w:rPr>
          <w:b/>
          <w:i/>
          <w:iCs/>
        </w:rPr>
      </w:pPr>
    </w:p>
    <w:p w14:paraId="1BF56C38" w14:textId="10405610" w:rsidR="007708B3" w:rsidRPr="00A70045" w:rsidRDefault="00225F20" w:rsidP="000337CB">
      <w:pPr>
        <w:tabs>
          <w:tab w:val="left" w:pos="1418"/>
        </w:tabs>
        <w:ind w:left="851"/>
        <w:jc w:val="center"/>
        <w:rPr>
          <w:i/>
          <w:iCs/>
        </w:rPr>
      </w:pPr>
      <w:r w:rsidRPr="00A70045">
        <w:rPr>
          <w:i/>
          <w:iCs/>
        </w:rPr>
        <w:t>Health Insurance (General Practice COVID-19 Treatment) Determination 2022</w:t>
      </w:r>
    </w:p>
    <w:p w14:paraId="0F32502C" w14:textId="77777777" w:rsidR="00225F20" w:rsidRPr="00A70045" w:rsidRDefault="00225F20" w:rsidP="000337CB">
      <w:pPr>
        <w:tabs>
          <w:tab w:val="left" w:pos="1418"/>
        </w:tabs>
        <w:ind w:left="851"/>
        <w:jc w:val="center"/>
        <w:rPr>
          <w:b/>
          <w:i/>
          <w:szCs w:val="24"/>
        </w:rPr>
      </w:pPr>
    </w:p>
    <w:p w14:paraId="2412D153" w14:textId="7AFD921D" w:rsidR="00A17F2C" w:rsidRPr="00A70045" w:rsidRDefault="00A17F2C" w:rsidP="000337CB">
      <w:pPr>
        <w:jc w:val="center"/>
        <w:rPr>
          <w:szCs w:val="24"/>
        </w:rPr>
      </w:pPr>
      <w:r w:rsidRPr="00A70045">
        <w:rPr>
          <w:szCs w:val="24"/>
        </w:rPr>
        <w:t xml:space="preserve">This </w:t>
      </w:r>
      <w:r w:rsidR="0046022A" w:rsidRPr="00A70045">
        <w:rPr>
          <w:szCs w:val="24"/>
        </w:rPr>
        <w:t>instrument</w:t>
      </w:r>
      <w:r w:rsidRPr="00A70045">
        <w:rPr>
          <w:szCs w:val="24"/>
        </w:rPr>
        <w:t xml:space="preserve"> is compatible with the human rights and freedoms recognised or declared in the international instruments listed in section 3 of the </w:t>
      </w:r>
      <w:r w:rsidRPr="00A70045">
        <w:rPr>
          <w:i/>
          <w:szCs w:val="24"/>
        </w:rPr>
        <w:t>Human Rights (Parliamentary Scrutiny) Act 2011</w:t>
      </w:r>
      <w:r w:rsidRPr="00A70045">
        <w:rPr>
          <w:szCs w:val="24"/>
        </w:rPr>
        <w:t>.</w:t>
      </w:r>
    </w:p>
    <w:p w14:paraId="7EDA9098" w14:textId="306A78E1" w:rsidR="006E6BBF" w:rsidRPr="00A70045" w:rsidRDefault="006E6BBF" w:rsidP="008734F5">
      <w:pPr>
        <w:spacing w:before="120" w:after="120"/>
        <w:rPr>
          <w:b/>
          <w:szCs w:val="24"/>
        </w:rPr>
      </w:pPr>
      <w:r w:rsidRPr="00A70045">
        <w:rPr>
          <w:b/>
          <w:szCs w:val="24"/>
        </w:rPr>
        <w:t xml:space="preserve">Overview of the </w:t>
      </w:r>
      <w:r w:rsidR="00B86A9F" w:rsidRPr="00A70045">
        <w:rPr>
          <w:b/>
          <w:szCs w:val="24"/>
        </w:rPr>
        <w:t>Determination</w:t>
      </w:r>
    </w:p>
    <w:p w14:paraId="43494B2D" w14:textId="77777777" w:rsidR="000E3D3D" w:rsidRPr="00A70045" w:rsidRDefault="000E3D3D" w:rsidP="000E3D3D">
      <w:pPr>
        <w:ind w:right="-483"/>
        <w:rPr>
          <w:szCs w:val="24"/>
        </w:rPr>
      </w:pPr>
      <w:r w:rsidRPr="00A70045">
        <w:rPr>
          <w:szCs w:val="24"/>
        </w:rPr>
        <w:t xml:space="preserve">The </w:t>
      </w:r>
      <w:r w:rsidRPr="00A70045">
        <w:rPr>
          <w:i/>
          <w:iCs/>
          <w:szCs w:val="24"/>
        </w:rPr>
        <w:t xml:space="preserve">Health Insurance (General Practice COVID-19 Treatment) Determination 2022 </w:t>
      </w:r>
      <w:r w:rsidRPr="00A70045">
        <w:rPr>
          <w:szCs w:val="24"/>
        </w:rPr>
        <w:t>(the Determination) inserts two items for general practitioners (GPs) or other medical practitioners (OMPs) to determine a patient’s eligibility to receive oral antiviral medication for the effective treatment of COVID-19.</w:t>
      </w:r>
    </w:p>
    <w:p w14:paraId="6DD5D77C" w14:textId="77777777" w:rsidR="000E3D3D" w:rsidRPr="00A70045" w:rsidRDefault="000E3D3D" w:rsidP="000E3D3D">
      <w:pPr>
        <w:ind w:right="-483"/>
        <w:rPr>
          <w:szCs w:val="24"/>
        </w:rPr>
      </w:pPr>
    </w:p>
    <w:p w14:paraId="3FB89D98" w14:textId="4912AD77" w:rsidR="000E3D3D" w:rsidRPr="00A70045" w:rsidRDefault="000E3D3D" w:rsidP="000E3D3D">
      <w:pPr>
        <w:ind w:right="-483"/>
        <w:rPr>
          <w:szCs w:val="24"/>
        </w:rPr>
      </w:pPr>
      <w:r w:rsidRPr="00A70045">
        <w:rPr>
          <w:szCs w:val="24"/>
        </w:rPr>
        <w:t>As announced on 16 July 2022 by the Hon Mark Butler</w:t>
      </w:r>
      <w:r w:rsidR="00330CA9" w:rsidRPr="00A70045">
        <w:rPr>
          <w:szCs w:val="24"/>
        </w:rPr>
        <w:t xml:space="preserve"> MP</w:t>
      </w:r>
      <w:r w:rsidRPr="00A70045">
        <w:rPr>
          <w:szCs w:val="24"/>
        </w:rPr>
        <w:t>, the Minister for Health and Aged Care, two new temporary items will be available on the Medical Benefits Schedule (MBS) under item numbers 93716 and 93717 until 31 October 2022. Under these new items, Medicare benefits will be available for longer phone consultations for the purpose of determining a patient’s eligibility to receive a COVID-19 oral antiviral treatment and prescribing a COVID-19 antiviral treatment where appropriate. This change will ensure as many people as possible can safely access these treatments.</w:t>
      </w:r>
    </w:p>
    <w:p w14:paraId="28829947" w14:textId="77777777" w:rsidR="000E3D3D" w:rsidRPr="00A70045" w:rsidRDefault="000E3D3D" w:rsidP="000E3D3D">
      <w:pPr>
        <w:ind w:right="-483"/>
        <w:rPr>
          <w:szCs w:val="24"/>
        </w:rPr>
      </w:pPr>
    </w:p>
    <w:p w14:paraId="353EF017" w14:textId="77777777" w:rsidR="000E3D3D" w:rsidRPr="00A70045" w:rsidRDefault="000E3D3D" w:rsidP="000E3D3D">
      <w:pPr>
        <w:ind w:right="-483"/>
        <w:rPr>
          <w:szCs w:val="24"/>
        </w:rPr>
      </w:pPr>
      <w:r w:rsidRPr="00A70045">
        <w:rPr>
          <w:szCs w:val="24"/>
        </w:rPr>
        <w:t>These items are available for Medicare eligible patients where the service is performed by a GP or OMP practicing in a general practice setting and where the patient’s COVID-19 infection is confirmed by a laboratory test (PCR) or by a rapid antigen self-test (RAT).</w:t>
      </w:r>
    </w:p>
    <w:p w14:paraId="4A8D7E24" w14:textId="77777777" w:rsidR="000E3D3D" w:rsidRPr="00A70045" w:rsidRDefault="000E3D3D" w:rsidP="000E3D3D">
      <w:pPr>
        <w:ind w:right="-483"/>
        <w:rPr>
          <w:szCs w:val="24"/>
        </w:rPr>
      </w:pPr>
    </w:p>
    <w:p w14:paraId="3FCDF8A6" w14:textId="79094F17" w:rsidR="00225F20" w:rsidRPr="00A70045" w:rsidRDefault="000E3D3D" w:rsidP="00225F20">
      <w:pPr>
        <w:ind w:right="-483"/>
        <w:rPr>
          <w:szCs w:val="24"/>
        </w:rPr>
      </w:pPr>
      <w:r w:rsidRPr="00A70045">
        <w:rPr>
          <w:szCs w:val="24"/>
        </w:rPr>
        <w:t>The Medicare benefits for the new temporary items will be paid at 85% of the schedule fee and are equivalent to the benefit paid for other time-tiered consultation items of equivalent duration.</w:t>
      </w:r>
    </w:p>
    <w:p w14:paraId="31515278" w14:textId="28FBF7FC" w:rsidR="007708B3" w:rsidRPr="00A70045" w:rsidRDefault="007708B3" w:rsidP="002A6C77">
      <w:pPr>
        <w:ind w:right="-482"/>
        <w:rPr>
          <w:iCs/>
        </w:rPr>
      </w:pPr>
    </w:p>
    <w:p w14:paraId="2412D15C" w14:textId="50D38E8B" w:rsidR="00A17F2C" w:rsidRPr="00A70045" w:rsidRDefault="00A17F2C" w:rsidP="002A6C77">
      <w:pPr>
        <w:ind w:right="-482"/>
        <w:rPr>
          <w:b/>
          <w:szCs w:val="24"/>
        </w:rPr>
      </w:pPr>
      <w:r w:rsidRPr="00A70045">
        <w:rPr>
          <w:b/>
          <w:szCs w:val="24"/>
        </w:rPr>
        <w:t>Human rights implications</w:t>
      </w:r>
    </w:p>
    <w:p w14:paraId="449665F0" w14:textId="2ED3F54B" w:rsidR="00806020" w:rsidRPr="00A70045" w:rsidRDefault="00806020" w:rsidP="00806020">
      <w:pPr>
        <w:spacing w:before="120" w:after="120"/>
        <w:rPr>
          <w:szCs w:val="24"/>
        </w:rPr>
      </w:pPr>
      <w:r w:rsidRPr="00A7004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70045" w:rsidRDefault="00A17F2C" w:rsidP="00806020">
      <w:pPr>
        <w:spacing w:before="120" w:after="120"/>
        <w:rPr>
          <w:i/>
          <w:szCs w:val="24"/>
        </w:rPr>
      </w:pPr>
      <w:r w:rsidRPr="00A70045">
        <w:rPr>
          <w:i/>
          <w:szCs w:val="24"/>
        </w:rPr>
        <w:t>The Right to Health</w:t>
      </w:r>
    </w:p>
    <w:p w14:paraId="2412D15F" w14:textId="77777777" w:rsidR="00A17F2C" w:rsidRPr="00A70045" w:rsidRDefault="00A17F2C" w:rsidP="000337CB">
      <w:pPr>
        <w:spacing w:before="120" w:after="120"/>
        <w:rPr>
          <w:szCs w:val="24"/>
        </w:rPr>
      </w:pPr>
      <w:r w:rsidRPr="00A7004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70045" w:rsidRDefault="00A17F2C" w:rsidP="000337CB">
      <w:pPr>
        <w:spacing w:before="120" w:after="120"/>
        <w:rPr>
          <w:szCs w:val="24"/>
        </w:rPr>
      </w:pPr>
      <w:r w:rsidRPr="00A70045">
        <w:rPr>
          <w:szCs w:val="24"/>
        </w:rPr>
        <w:t xml:space="preserve">The Committee reports that the </w:t>
      </w:r>
      <w:r w:rsidRPr="00A70045">
        <w:rPr>
          <w:i/>
          <w:szCs w:val="24"/>
        </w:rPr>
        <w:t>‘highest attainable standard of health’</w:t>
      </w:r>
      <w:r w:rsidRPr="00A7004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A70045" w:rsidRDefault="00A17F2C" w:rsidP="000337CB">
      <w:pPr>
        <w:spacing w:before="120" w:after="120"/>
        <w:rPr>
          <w:i/>
          <w:szCs w:val="24"/>
        </w:rPr>
      </w:pPr>
      <w:r w:rsidRPr="00A70045">
        <w:rPr>
          <w:i/>
          <w:szCs w:val="24"/>
        </w:rPr>
        <w:t xml:space="preserve">The Right to Social Security </w:t>
      </w:r>
    </w:p>
    <w:p w14:paraId="2412D162" w14:textId="77777777" w:rsidR="00A17F2C" w:rsidRPr="00A70045" w:rsidRDefault="00A17F2C" w:rsidP="000337CB">
      <w:pPr>
        <w:spacing w:before="120" w:after="120"/>
        <w:rPr>
          <w:szCs w:val="24"/>
        </w:rPr>
      </w:pPr>
      <w:r w:rsidRPr="00A70045">
        <w:rPr>
          <w:szCs w:val="24"/>
        </w:rPr>
        <w:t>The right to social security is contained in Article 9 of the ICESCR. It requires that a country must, within its maximum available resources, ensure access to a social security scheme that</w:t>
      </w:r>
      <w:r w:rsidR="00BA69CB" w:rsidRPr="00A70045">
        <w:rPr>
          <w:szCs w:val="24"/>
        </w:rPr>
        <w:t xml:space="preserve"> </w:t>
      </w:r>
      <w:r w:rsidRPr="00A70045">
        <w:rPr>
          <w:szCs w:val="24"/>
        </w:rPr>
        <w:t xml:space="preserve">provides a minimum essential level of benefits to all individuals and families that will enable them to acquire at least essential health care. Countries are obliged to demonstrate that every </w:t>
      </w:r>
      <w:r w:rsidRPr="00A70045">
        <w:rPr>
          <w:szCs w:val="24"/>
        </w:rPr>
        <w:lastRenderedPageBreak/>
        <w:t>effort has been made to use all resources that are at their disposal in an effort to satisfy, as a matter of priority, this minimum obligation.</w:t>
      </w:r>
    </w:p>
    <w:p w14:paraId="2412D163" w14:textId="5E6F0731" w:rsidR="00735CCC" w:rsidRPr="00A70045" w:rsidRDefault="00A17F2C" w:rsidP="000337CB">
      <w:pPr>
        <w:spacing w:before="120" w:after="120"/>
        <w:rPr>
          <w:szCs w:val="24"/>
        </w:rPr>
      </w:pPr>
      <w:r w:rsidRPr="00A7004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89CBFCA" w14:textId="77777777" w:rsidR="007C3093" w:rsidRPr="00A70045" w:rsidRDefault="007C3093" w:rsidP="007C3093">
      <w:pPr>
        <w:shd w:val="clear" w:color="auto" w:fill="FFFFFF"/>
        <w:spacing w:before="120" w:after="120"/>
        <w:rPr>
          <w:szCs w:val="24"/>
        </w:rPr>
      </w:pPr>
      <w:r w:rsidRPr="00A70045">
        <w:rPr>
          <w:i/>
          <w:iCs/>
          <w:szCs w:val="24"/>
        </w:rPr>
        <w:t>The right of equality and non-discrimination</w:t>
      </w:r>
    </w:p>
    <w:p w14:paraId="6473C6C1" w14:textId="407694E1" w:rsidR="007C3093" w:rsidRPr="00A70045" w:rsidRDefault="007C3093" w:rsidP="007C3093">
      <w:pPr>
        <w:spacing w:before="120" w:after="120"/>
        <w:rPr>
          <w:szCs w:val="24"/>
        </w:rPr>
      </w:pPr>
      <w:r w:rsidRPr="00A70045">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A70045" w:rsidRDefault="00A17F2C" w:rsidP="000337CB">
      <w:pPr>
        <w:spacing w:before="120" w:after="120"/>
        <w:rPr>
          <w:szCs w:val="24"/>
          <w:u w:val="single"/>
        </w:rPr>
      </w:pPr>
      <w:r w:rsidRPr="00A70045">
        <w:rPr>
          <w:szCs w:val="24"/>
          <w:u w:val="single"/>
        </w:rPr>
        <w:t xml:space="preserve">Analysis </w:t>
      </w:r>
    </w:p>
    <w:p w14:paraId="5CED5F70" w14:textId="00E542A3" w:rsidR="0079191B" w:rsidRPr="00A70045" w:rsidRDefault="00225F20" w:rsidP="00225F20">
      <w:pPr>
        <w:rPr>
          <w:szCs w:val="24"/>
        </w:rPr>
      </w:pPr>
      <w:r w:rsidRPr="00A70045">
        <w:rPr>
          <w:szCs w:val="24"/>
        </w:rPr>
        <w:t>This instrument will improve patient access to appropriate antiviral medications to treat COVID</w:t>
      </w:r>
      <w:r w:rsidRPr="00A70045">
        <w:rPr>
          <w:szCs w:val="24"/>
        </w:rPr>
        <w:noBreakHyphen/>
        <w:t>19 by subsidising a medical service for a medical practitioner to</w:t>
      </w:r>
      <w:r w:rsidR="00FF0131" w:rsidRPr="00A70045">
        <w:rPr>
          <w:szCs w:val="24"/>
        </w:rPr>
        <w:t xml:space="preserve"> assess</w:t>
      </w:r>
      <w:r w:rsidR="008950A7" w:rsidRPr="00A70045">
        <w:rPr>
          <w:szCs w:val="24"/>
        </w:rPr>
        <w:t>,</w:t>
      </w:r>
      <w:r w:rsidR="00FF0131" w:rsidRPr="00A70045">
        <w:rPr>
          <w:szCs w:val="24"/>
        </w:rPr>
        <w:t xml:space="preserve"> and if clinically appropriate,</w:t>
      </w:r>
      <w:r w:rsidRPr="00A70045">
        <w:rPr>
          <w:szCs w:val="24"/>
        </w:rPr>
        <w:t xml:space="preserve"> prescribe the necessary medications. This instrument will improve access to health, social security, equality and non-discrimination be ensuring people who require treatment for COVID-19 will be able to access treatment under this instrument.</w:t>
      </w:r>
      <w:r w:rsidR="0039170C" w:rsidRPr="00A70045">
        <w:rPr>
          <w:szCs w:val="24"/>
        </w:rPr>
        <w:t xml:space="preserve"> </w:t>
      </w:r>
    </w:p>
    <w:p w14:paraId="2412D166" w14:textId="1973400E" w:rsidR="00A17F2C" w:rsidRPr="00A70045" w:rsidRDefault="00A17F2C" w:rsidP="004B7CB9">
      <w:pPr>
        <w:spacing w:before="120" w:after="120" w:line="276" w:lineRule="auto"/>
        <w:rPr>
          <w:rFonts w:eastAsia="Calibri"/>
          <w:b/>
          <w:szCs w:val="24"/>
          <w:lang w:eastAsia="en-US"/>
        </w:rPr>
      </w:pPr>
      <w:r w:rsidRPr="00A70045">
        <w:rPr>
          <w:rFonts w:eastAsia="Calibri"/>
          <w:b/>
          <w:szCs w:val="24"/>
          <w:lang w:eastAsia="en-US"/>
        </w:rPr>
        <w:t xml:space="preserve">Conclusion </w:t>
      </w:r>
    </w:p>
    <w:p w14:paraId="2412D167" w14:textId="184ED500" w:rsidR="00A17F2C" w:rsidRPr="00A70045" w:rsidRDefault="006E6BBF" w:rsidP="000337CB">
      <w:pPr>
        <w:rPr>
          <w:szCs w:val="24"/>
        </w:rPr>
      </w:pPr>
      <w:r w:rsidRPr="00A70045">
        <w:rPr>
          <w:szCs w:val="24"/>
        </w:rPr>
        <w:t xml:space="preserve">This </w:t>
      </w:r>
      <w:r w:rsidR="0046022A" w:rsidRPr="00A70045">
        <w:rPr>
          <w:szCs w:val="24"/>
        </w:rPr>
        <w:t>instrument</w:t>
      </w:r>
      <w:r w:rsidRPr="00A70045">
        <w:rPr>
          <w:szCs w:val="24"/>
        </w:rPr>
        <w:t xml:space="preserve"> </w:t>
      </w:r>
      <w:r w:rsidR="00F15284" w:rsidRPr="00A70045">
        <w:rPr>
          <w:szCs w:val="24"/>
        </w:rPr>
        <w:t xml:space="preserve">is compatible with human rights as it </w:t>
      </w:r>
      <w:r w:rsidR="00C45AC5" w:rsidRPr="00A70045">
        <w:rPr>
          <w:szCs w:val="24"/>
        </w:rPr>
        <w:t xml:space="preserve">improves </w:t>
      </w:r>
      <w:r w:rsidR="007C7403" w:rsidRPr="00A70045">
        <w:rPr>
          <w:szCs w:val="24"/>
        </w:rPr>
        <w:t xml:space="preserve">the </w:t>
      </w:r>
      <w:r w:rsidR="00910EF6" w:rsidRPr="00A70045">
        <w:rPr>
          <w:szCs w:val="24"/>
        </w:rPr>
        <w:t>right to health and the right to social security</w:t>
      </w:r>
      <w:r w:rsidR="00C45AC5" w:rsidRPr="00A70045">
        <w:rPr>
          <w:szCs w:val="24"/>
        </w:rPr>
        <w:t xml:space="preserve"> by increasing the patient population who will be able to access appropriate treatment for COVID-19</w:t>
      </w:r>
      <w:r w:rsidR="00910EF6" w:rsidRPr="00A70045">
        <w:rPr>
          <w:szCs w:val="24"/>
        </w:rPr>
        <w:t xml:space="preserve">. </w:t>
      </w:r>
    </w:p>
    <w:p w14:paraId="2412D168" w14:textId="77777777" w:rsidR="00F15284" w:rsidRPr="00A70045" w:rsidRDefault="00F15284" w:rsidP="000337CB">
      <w:pPr>
        <w:rPr>
          <w:rFonts w:eastAsia="Calibri"/>
          <w:szCs w:val="24"/>
          <w:lang w:eastAsia="en-US"/>
        </w:rPr>
      </w:pPr>
    </w:p>
    <w:p w14:paraId="75A46380" w14:textId="77777777" w:rsidR="00C67BC7" w:rsidRPr="00A70045" w:rsidRDefault="00C67BC7" w:rsidP="000F2948">
      <w:pPr>
        <w:jc w:val="center"/>
        <w:rPr>
          <w:b/>
          <w:bCs/>
        </w:rPr>
      </w:pPr>
    </w:p>
    <w:p w14:paraId="1A4FB0F3" w14:textId="03548648" w:rsidR="001B6095" w:rsidRPr="00A70045" w:rsidRDefault="00C45AC5" w:rsidP="001B6095">
      <w:pPr>
        <w:shd w:val="clear" w:color="auto" w:fill="FFFFFF"/>
        <w:spacing w:line="240" w:lineRule="atLeast"/>
        <w:ind w:right="-23"/>
        <w:jc w:val="center"/>
        <w:rPr>
          <w:b/>
          <w:bCs/>
          <w:szCs w:val="22"/>
        </w:rPr>
      </w:pPr>
      <w:r w:rsidRPr="00A70045">
        <w:rPr>
          <w:b/>
          <w:bCs/>
          <w:szCs w:val="22"/>
        </w:rPr>
        <w:t>Travis Haslam</w:t>
      </w:r>
    </w:p>
    <w:p w14:paraId="33AC2A93" w14:textId="77777777" w:rsidR="00C45AC5" w:rsidRPr="00A70045" w:rsidRDefault="00C45AC5" w:rsidP="00C45AC5">
      <w:pPr>
        <w:jc w:val="center"/>
        <w:rPr>
          <w:b/>
          <w:bCs/>
          <w:szCs w:val="22"/>
        </w:rPr>
      </w:pPr>
      <w:r w:rsidRPr="00A70045">
        <w:rPr>
          <w:b/>
          <w:bCs/>
          <w:szCs w:val="22"/>
        </w:rPr>
        <w:t>Acting First Assistant Secretary</w:t>
      </w:r>
    </w:p>
    <w:p w14:paraId="6EEA1DEB" w14:textId="77777777" w:rsidR="00C45AC5" w:rsidRPr="00A70045" w:rsidRDefault="00C45AC5" w:rsidP="00C45AC5">
      <w:pPr>
        <w:jc w:val="center"/>
        <w:rPr>
          <w:b/>
          <w:bCs/>
          <w:szCs w:val="22"/>
        </w:rPr>
      </w:pPr>
      <w:r w:rsidRPr="00A70045">
        <w:rPr>
          <w:b/>
          <w:bCs/>
          <w:szCs w:val="22"/>
        </w:rPr>
        <w:t>Medical Benefits Division</w:t>
      </w:r>
    </w:p>
    <w:p w14:paraId="5854E46A" w14:textId="77777777" w:rsidR="00C45AC5" w:rsidRPr="00A70045" w:rsidRDefault="00C45AC5" w:rsidP="00C45AC5">
      <w:pPr>
        <w:jc w:val="center"/>
        <w:rPr>
          <w:b/>
          <w:bCs/>
          <w:szCs w:val="22"/>
        </w:rPr>
      </w:pPr>
      <w:r w:rsidRPr="00A70045">
        <w:rPr>
          <w:b/>
          <w:bCs/>
          <w:szCs w:val="22"/>
        </w:rPr>
        <w:t xml:space="preserve">Health Resourcing Group </w:t>
      </w:r>
    </w:p>
    <w:p w14:paraId="2412D16E" w14:textId="0CB15D8A" w:rsidR="00636C51" w:rsidRPr="00346151" w:rsidRDefault="000F2948" w:rsidP="00C45AC5">
      <w:pPr>
        <w:jc w:val="center"/>
        <w:rPr>
          <w:rFonts w:eastAsia="Calibri"/>
          <w:szCs w:val="24"/>
          <w:lang w:eastAsia="en-US"/>
        </w:rPr>
      </w:pPr>
      <w:r w:rsidRPr="00A70045">
        <w:rPr>
          <w:b/>
          <w:bCs/>
        </w:rPr>
        <w:t>Department of Health</w:t>
      </w:r>
      <w:r w:rsidR="00C45AC5" w:rsidRPr="00A70045">
        <w:rPr>
          <w:b/>
          <w:bCs/>
        </w:rPr>
        <w:t xml:space="preserve"> and Aged Care</w:t>
      </w:r>
    </w:p>
    <w:sectPr w:rsidR="00636C51" w:rsidRPr="00346151"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1A54D" w14:textId="77777777" w:rsidR="009A09A1" w:rsidRDefault="009A09A1">
      <w:r>
        <w:separator/>
      </w:r>
    </w:p>
  </w:endnote>
  <w:endnote w:type="continuationSeparator" w:id="0">
    <w:p w14:paraId="4CC56207" w14:textId="77777777" w:rsidR="009A09A1" w:rsidRDefault="009A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2415E" w14:textId="77777777" w:rsidR="009A09A1" w:rsidRDefault="009A09A1">
      <w:r>
        <w:separator/>
      </w:r>
    </w:p>
  </w:footnote>
  <w:footnote w:type="continuationSeparator" w:id="0">
    <w:p w14:paraId="49E9D5B7" w14:textId="77777777" w:rsidR="009A09A1" w:rsidRDefault="009A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4A17DA"/>
    <w:multiLevelType w:val="hybridMultilevel"/>
    <w:tmpl w:val="6916EF3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9"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73921"/>
    <w:multiLevelType w:val="hybridMultilevel"/>
    <w:tmpl w:val="B0FADD3E"/>
    <w:lvl w:ilvl="0" w:tplc="0C090017">
      <w:start w:val="1"/>
      <w:numFmt w:val="lowerLetter"/>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8"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E014B1"/>
    <w:multiLevelType w:val="hybridMultilevel"/>
    <w:tmpl w:val="147C2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
  </w:num>
  <w:num w:numId="3">
    <w:abstractNumId w:val="2"/>
  </w:num>
  <w:num w:numId="4">
    <w:abstractNumId w:val="13"/>
  </w:num>
  <w:num w:numId="5">
    <w:abstractNumId w:val="19"/>
  </w:num>
  <w:num w:numId="6">
    <w:abstractNumId w:val="11"/>
  </w:num>
  <w:num w:numId="7">
    <w:abstractNumId w:val="30"/>
  </w:num>
  <w:num w:numId="8">
    <w:abstractNumId w:val="6"/>
  </w:num>
  <w:num w:numId="9">
    <w:abstractNumId w:val="5"/>
  </w:num>
  <w:num w:numId="10">
    <w:abstractNumId w:val="32"/>
  </w:num>
  <w:num w:numId="11">
    <w:abstractNumId w:val="29"/>
  </w:num>
  <w:num w:numId="12">
    <w:abstractNumId w:val="14"/>
  </w:num>
  <w:num w:numId="13">
    <w:abstractNumId w:val="16"/>
  </w:num>
  <w:num w:numId="14">
    <w:abstractNumId w:val="27"/>
  </w:num>
  <w:num w:numId="15">
    <w:abstractNumId w:val="7"/>
  </w:num>
  <w:num w:numId="16">
    <w:abstractNumId w:val="21"/>
  </w:num>
  <w:num w:numId="17">
    <w:abstractNumId w:val="24"/>
  </w:num>
  <w:num w:numId="18">
    <w:abstractNumId w:val="22"/>
  </w:num>
  <w:num w:numId="19">
    <w:abstractNumId w:val="3"/>
  </w:num>
  <w:num w:numId="20">
    <w:abstractNumId w:val="1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9"/>
  </w:num>
  <w:num w:numId="26">
    <w:abstractNumId w:val="4"/>
  </w:num>
  <w:num w:numId="27">
    <w:abstractNumId w:val="17"/>
  </w:num>
  <w:num w:numId="28">
    <w:abstractNumId w:val="31"/>
  </w:num>
  <w:num w:numId="29">
    <w:abstractNumId w:val="18"/>
  </w:num>
  <w:num w:numId="30">
    <w:abstractNumId w:val="28"/>
  </w:num>
  <w:num w:numId="31">
    <w:abstractNumId w:val="15"/>
  </w:num>
  <w:num w:numId="32">
    <w:abstractNumId w:val="26"/>
  </w:num>
  <w:num w:numId="33">
    <w:abstractNumId w:val="33"/>
  </w:num>
  <w:num w:numId="34">
    <w:abstractNumId w:val="8"/>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55DDF"/>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3D3D"/>
    <w:rsid w:val="000E4AFA"/>
    <w:rsid w:val="000E534F"/>
    <w:rsid w:val="000E66FA"/>
    <w:rsid w:val="000E7163"/>
    <w:rsid w:val="000F0C30"/>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24820"/>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1E92"/>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5F20"/>
    <w:rsid w:val="002264F4"/>
    <w:rsid w:val="002322A8"/>
    <w:rsid w:val="0023311C"/>
    <w:rsid w:val="00233725"/>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5526"/>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C768C"/>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314"/>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0CA9"/>
    <w:rsid w:val="00331752"/>
    <w:rsid w:val="00332AF9"/>
    <w:rsid w:val="003332C9"/>
    <w:rsid w:val="0033493D"/>
    <w:rsid w:val="00337DE1"/>
    <w:rsid w:val="00340BDB"/>
    <w:rsid w:val="00340E39"/>
    <w:rsid w:val="00341145"/>
    <w:rsid w:val="003412CB"/>
    <w:rsid w:val="00346151"/>
    <w:rsid w:val="0035214B"/>
    <w:rsid w:val="003527D6"/>
    <w:rsid w:val="00353351"/>
    <w:rsid w:val="00353622"/>
    <w:rsid w:val="0035389C"/>
    <w:rsid w:val="00357CD8"/>
    <w:rsid w:val="0036001E"/>
    <w:rsid w:val="0036105C"/>
    <w:rsid w:val="00361ADE"/>
    <w:rsid w:val="00361F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3A93"/>
    <w:rsid w:val="00456B1D"/>
    <w:rsid w:val="0046022A"/>
    <w:rsid w:val="004623B2"/>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5AAC"/>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062DA"/>
    <w:rsid w:val="00510A4F"/>
    <w:rsid w:val="005119E9"/>
    <w:rsid w:val="00512A65"/>
    <w:rsid w:val="005130BE"/>
    <w:rsid w:val="005140F2"/>
    <w:rsid w:val="00515F62"/>
    <w:rsid w:val="0051709B"/>
    <w:rsid w:val="00517CF3"/>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0A28"/>
    <w:rsid w:val="005642D9"/>
    <w:rsid w:val="00564C2B"/>
    <w:rsid w:val="00564C37"/>
    <w:rsid w:val="00564D84"/>
    <w:rsid w:val="00567DBA"/>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55D5"/>
    <w:rsid w:val="005B0EA3"/>
    <w:rsid w:val="005B1B0A"/>
    <w:rsid w:val="005B5062"/>
    <w:rsid w:val="005B6234"/>
    <w:rsid w:val="005B7596"/>
    <w:rsid w:val="005C27D2"/>
    <w:rsid w:val="005C4A91"/>
    <w:rsid w:val="005C5824"/>
    <w:rsid w:val="005C6118"/>
    <w:rsid w:val="005D3575"/>
    <w:rsid w:val="005D3CED"/>
    <w:rsid w:val="005D538F"/>
    <w:rsid w:val="005D63D9"/>
    <w:rsid w:val="005D68D1"/>
    <w:rsid w:val="005E1C8A"/>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49E"/>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4AEE"/>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1618"/>
    <w:rsid w:val="0072331C"/>
    <w:rsid w:val="00726CFA"/>
    <w:rsid w:val="0072758A"/>
    <w:rsid w:val="007304D5"/>
    <w:rsid w:val="00730965"/>
    <w:rsid w:val="00733599"/>
    <w:rsid w:val="00733F09"/>
    <w:rsid w:val="00735753"/>
    <w:rsid w:val="00735CCC"/>
    <w:rsid w:val="007368DC"/>
    <w:rsid w:val="00736AC9"/>
    <w:rsid w:val="00741A4E"/>
    <w:rsid w:val="00742E51"/>
    <w:rsid w:val="00742E97"/>
    <w:rsid w:val="007452E0"/>
    <w:rsid w:val="00745BD4"/>
    <w:rsid w:val="00750378"/>
    <w:rsid w:val="007505FB"/>
    <w:rsid w:val="007524B0"/>
    <w:rsid w:val="00752997"/>
    <w:rsid w:val="007533EC"/>
    <w:rsid w:val="00756F0A"/>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873D0"/>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3093"/>
    <w:rsid w:val="007C6927"/>
    <w:rsid w:val="007C7403"/>
    <w:rsid w:val="007C767F"/>
    <w:rsid w:val="007C79FB"/>
    <w:rsid w:val="007D3891"/>
    <w:rsid w:val="007D4584"/>
    <w:rsid w:val="007D4A14"/>
    <w:rsid w:val="007D61F9"/>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0A7"/>
    <w:rsid w:val="0089513F"/>
    <w:rsid w:val="00895699"/>
    <w:rsid w:val="008A0A3D"/>
    <w:rsid w:val="008A145A"/>
    <w:rsid w:val="008A153F"/>
    <w:rsid w:val="008A54A9"/>
    <w:rsid w:val="008A6188"/>
    <w:rsid w:val="008A79C6"/>
    <w:rsid w:val="008B2094"/>
    <w:rsid w:val="008B28F2"/>
    <w:rsid w:val="008B444F"/>
    <w:rsid w:val="008B62F3"/>
    <w:rsid w:val="008B64D7"/>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09A1"/>
    <w:rsid w:val="009A222A"/>
    <w:rsid w:val="009A26CA"/>
    <w:rsid w:val="009A6FE7"/>
    <w:rsid w:val="009B1BCA"/>
    <w:rsid w:val="009B1FD2"/>
    <w:rsid w:val="009B3AEB"/>
    <w:rsid w:val="009B469F"/>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3EED"/>
    <w:rsid w:val="00A65D80"/>
    <w:rsid w:val="00A66849"/>
    <w:rsid w:val="00A672A7"/>
    <w:rsid w:val="00A70045"/>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443"/>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2072"/>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B788B"/>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5AC5"/>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5092"/>
    <w:rsid w:val="00CB6DE1"/>
    <w:rsid w:val="00CB7730"/>
    <w:rsid w:val="00CC12A0"/>
    <w:rsid w:val="00CC26A8"/>
    <w:rsid w:val="00CC4CED"/>
    <w:rsid w:val="00CC6EBB"/>
    <w:rsid w:val="00CD4A21"/>
    <w:rsid w:val="00CD4FC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9B8"/>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4192"/>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B78B6"/>
    <w:rsid w:val="00EC0273"/>
    <w:rsid w:val="00EC086C"/>
    <w:rsid w:val="00EC19AA"/>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B17"/>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0131"/>
    <w:rsid w:val="00FF26F6"/>
    <w:rsid w:val="00FF35E2"/>
    <w:rsid w:val="00FF7675"/>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PANTIC, Sandra</cp:lastModifiedBy>
  <cp:revision>28</cp:revision>
  <cp:lastPrinted>2019-09-23T06:46:00Z</cp:lastPrinted>
  <dcterms:created xsi:type="dcterms:W3CDTF">2022-07-17T23:43:00Z</dcterms:created>
  <dcterms:modified xsi:type="dcterms:W3CDTF">2022-07-18T07:29:00Z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