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2E0D0" w14:textId="77777777" w:rsidR="00E3667C" w:rsidRPr="005E35D4" w:rsidRDefault="00E3667C" w:rsidP="00E3667C">
      <w:pPr>
        <w:jc w:val="center"/>
        <w:rPr>
          <w:rFonts w:ascii="Times New Roman" w:hAnsi="Times New Roman" w:cs="Times New Roman"/>
          <w:b/>
          <w:sz w:val="24"/>
          <w:szCs w:val="24"/>
          <w:u w:val="single"/>
        </w:rPr>
      </w:pPr>
      <w:r w:rsidRPr="005E35D4">
        <w:rPr>
          <w:rFonts w:ascii="Times New Roman" w:hAnsi="Times New Roman" w:cs="Times New Roman"/>
          <w:b/>
          <w:sz w:val="24"/>
          <w:szCs w:val="24"/>
          <w:u w:val="single"/>
        </w:rPr>
        <w:t>EXPLANATORY STATEMENT</w:t>
      </w:r>
    </w:p>
    <w:p w14:paraId="68A73333" w14:textId="77777777" w:rsidR="00E3667C" w:rsidRPr="005E35D4" w:rsidRDefault="00E3667C" w:rsidP="00E3667C">
      <w:pPr>
        <w:spacing w:before="240" w:after="240"/>
        <w:jc w:val="center"/>
        <w:rPr>
          <w:rFonts w:ascii="Times New Roman" w:hAnsi="Times New Roman" w:cs="Times New Roman"/>
          <w:i/>
          <w:sz w:val="24"/>
          <w:szCs w:val="24"/>
        </w:rPr>
      </w:pPr>
      <w:r w:rsidRPr="005E35D4">
        <w:rPr>
          <w:rFonts w:ascii="Times New Roman" w:hAnsi="Times New Roman" w:cs="Times New Roman"/>
          <w:sz w:val="24"/>
          <w:szCs w:val="24"/>
          <w:u w:val="single"/>
        </w:rPr>
        <w:t xml:space="preserve">Issued by the authority of the </w:t>
      </w:r>
      <w:r w:rsidRPr="005E35D4">
        <w:rPr>
          <w:rFonts w:ascii="Times New Roman" w:eastAsia="Times New Roman" w:hAnsi="Times New Roman" w:cs="Times New Roman"/>
          <w:sz w:val="24"/>
          <w:szCs w:val="24"/>
          <w:u w:val="single"/>
          <w:lang w:eastAsia="en-AU"/>
        </w:rPr>
        <w:t>Minister for Climate Change and Energy</w:t>
      </w:r>
      <w:r w:rsidRPr="005E35D4">
        <w:rPr>
          <w:rFonts w:ascii="Times New Roman" w:hAnsi="Times New Roman" w:cs="Times New Roman"/>
          <w:i/>
          <w:sz w:val="24"/>
          <w:szCs w:val="24"/>
        </w:rPr>
        <w:t xml:space="preserve"> </w:t>
      </w:r>
    </w:p>
    <w:p w14:paraId="716408BC" w14:textId="77777777" w:rsidR="00E3667C" w:rsidRPr="005E35D4" w:rsidRDefault="00E3667C" w:rsidP="00E3667C">
      <w:pPr>
        <w:spacing w:before="240" w:after="240"/>
        <w:jc w:val="center"/>
        <w:rPr>
          <w:rFonts w:ascii="Times New Roman" w:hAnsi="Times New Roman" w:cs="Times New Roman"/>
          <w:i/>
          <w:sz w:val="24"/>
          <w:szCs w:val="24"/>
        </w:rPr>
      </w:pPr>
      <w:r w:rsidRPr="005E35D4">
        <w:rPr>
          <w:rFonts w:ascii="Times New Roman" w:hAnsi="Times New Roman" w:cs="Times New Roman"/>
          <w:i/>
          <w:sz w:val="24"/>
          <w:szCs w:val="24"/>
        </w:rPr>
        <w:t>Australian Renewable Energy Agency Act 2011</w:t>
      </w:r>
    </w:p>
    <w:p w14:paraId="25B01301" w14:textId="77777777" w:rsidR="00E3667C" w:rsidRDefault="00E3667C" w:rsidP="00E3667C">
      <w:pPr>
        <w:spacing w:before="240" w:after="240"/>
        <w:rPr>
          <w:rFonts w:ascii="Times New Roman" w:hAnsi="Times New Roman" w:cs="Times New Roman"/>
          <w:i/>
          <w:sz w:val="24"/>
          <w:szCs w:val="24"/>
        </w:rPr>
      </w:pPr>
      <w:r w:rsidRPr="005E35D4">
        <w:rPr>
          <w:rFonts w:ascii="Times New Roman" w:hAnsi="Times New Roman" w:cs="Times New Roman"/>
          <w:i/>
          <w:sz w:val="24"/>
          <w:szCs w:val="24"/>
        </w:rPr>
        <w:t xml:space="preserve">Australian Renewable Energy Agency Amendment (Powering Australia) Regulations 2022 </w:t>
      </w:r>
    </w:p>
    <w:p w14:paraId="6ED5C6D5" w14:textId="77777777" w:rsidR="00E3667C" w:rsidRPr="005E35D4" w:rsidRDefault="00E3667C" w:rsidP="00E3667C">
      <w:pPr>
        <w:spacing w:before="240" w:after="240"/>
        <w:rPr>
          <w:rFonts w:ascii="Times New Roman" w:hAnsi="Times New Roman" w:cs="Times New Roman"/>
          <w:b/>
          <w:sz w:val="24"/>
          <w:szCs w:val="24"/>
          <w:u w:val="single"/>
        </w:rPr>
      </w:pPr>
      <w:r w:rsidRPr="005E35D4">
        <w:rPr>
          <w:rFonts w:ascii="Times New Roman" w:hAnsi="Times New Roman" w:cs="Times New Roman"/>
          <w:b/>
          <w:sz w:val="24"/>
          <w:szCs w:val="24"/>
          <w:u w:val="single"/>
        </w:rPr>
        <w:t>Purpose</w:t>
      </w:r>
    </w:p>
    <w:p w14:paraId="1A39BF6F"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The </w:t>
      </w:r>
      <w:r w:rsidRPr="005E35D4">
        <w:rPr>
          <w:rFonts w:ascii="Times New Roman" w:hAnsi="Times New Roman" w:cs="Times New Roman"/>
          <w:i/>
          <w:sz w:val="24"/>
          <w:szCs w:val="24"/>
        </w:rPr>
        <w:t>Australian Renewable Energy Agency Amendment (Powering Australia) Regulations 2022</w:t>
      </w:r>
      <w:r w:rsidRPr="005E35D4">
        <w:rPr>
          <w:rFonts w:ascii="Times New Roman" w:hAnsi="Times New Roman" w:cs="Times New Roman"/>
          <w:sz w:val="24"/>
          <w:szCs w:val="24"/>
        </w:rPr>
        <w:t xml:space="preserve"> (the Regulations) </w:t>
      </w:r>
      <w:r w:rsidRPr="00F936D8">
        <w:rPr>
          <w:rFonts w:ascii="Times New Roman" w:hAnsi="Times New Roman" w:cs="Times New Roman"/>
          <w:sz w:val="24"/>
          <w:szCs w:val="24"/>
        </w:rPr>
        <w:t xml:space="preserve">limit the </w:t>
      </w:r>
      <w:r>
        <w:rPr>
          <w:rFonts w:ascii="Times New Roman" w:hAnsi="Times New Roman" w:cs="Times New Roman"/>
          <w:sz w:val="24"/>
          <w:szCs w:val="24"/>
        </w:rPr>
        <w:t xml:space="preserve">additional </w:t>
      </w:r>
      <w:r w:rsidRPr="00F936D8">
        <w:rPr>
          <w:rFonts w:ascii="Times New Roman" w:hAnsi="Times New Roman" w:cs="Times New Roman"/>
          <w:sz w:val="24"/>
          <w:szCs w:val="24"/>
        </w:rPr>
        <w:t xml:space="preserve">prescribed financial assistance functions of </w:t>
      </w:r>
      <w:r>
        <w:rPr>
          <w:rFonts w:ascii="Times New Roman" w:hAnsi="Times New Roman" w:cs="Times New Roman"/>
          <w:sz w:val="24"/>
          <w:szCs w:val="24"/>
        </w:rPr>
        <w:t xml:space="preserve">the </w:t>
      </w:r>
      <w:r w:rsidRPr="00F936D8">
        <w:rPr>
          <w:rFonts w:ascii="Times New Roman" w:hAnsi="Times New Roman" w:cs="Times New Roman"/>
          <w:sz w:val="24"/>
          <w:szCs w:val="24"/>
        </w:rPr>
        <w:t>Australian Renewable Energy Agency (ARENA) to only include energy efficiency and electrification</w:t>
      </w:r>
      <w:r w:rsidRPr="005E35D4">
        <w:rPr>
          <w:rFonts w:ascii="Times New Roman" w:hAnsi="Times New Roman" w:cs="Times New Roman"/>
          <w:sz w:val="24"/>
          <w:szCs w:val="24"/>
        </w:rPr>
        <w:t>. The Regulations will permit ARENA to invest in these additional technologies</w:t>
      </w:r>
      <w:r>
        <w:rPr>
          <w:rFonts w:ascii="Times New Roman" w:hAnsi="Times New Roman" w:cs="Times New Roman"/>
          <w:sz w:val="24"/>
          <w:szCs w:val="24"/>
        </w:rPr>
        <w:t>,</w:t>
      </w:r>
      <w:r w:rsidRPr="005E35D4">
        <w:rPr>
          <w:rFonts w:ascii="Times New Roman" w:hAnsi="Times New Roman" w:cs="Times New Roman"/>
          <w:sz w:val="24"/>
          <w:szCs w:val="24"/>
        </w:rPr>
        <w:t xml:space="preserve"> which </w:t>
      </w:r>
      <w:r>
        <w:rPr>
          <w:rFonts w:ascii="Times New Roman" w:hAnsi="Times New Roman" w:cs="Times New Roman"/>
          <w:sz w:val="24"/>
          <w:szCs w:val="24"/>
        </w:rPr>
        <w:t>will be critical to</w:t>
      </w:r>
      <w:r w:rsidRPr="005E35D4">
        <w:rPr>
          <w:rFonts w:ascii="Times New Roman" w:hAnsi="Times New Roman" w:cs="Times New Roman"/>
          <w:sz w:val="24"/>
          <w:szCs w:val="24"/>
        </w:rPr>
        <w:t xml:space="preserve"> the </w:t>
      </w:r>
      <w:r>
        <w:rPr>
          <w:rFonts w:ascii="Times New Roman" w:hAnsi="Times New Roman" w:cs="Times New Roman"/>
          <w:sz w:val="24"/>
          <w:szCs w:val="24"/>
        </w:rPr>
        <w:t>transformation of the energy sector and help facilitate the uptake</w:t>
      </w:r>
      <w:r w:rsidRPr="005E35D4">
        <w:rPr>
          <w:rFonts w:ascii="Times New Roman" w:hAnsi="Times New Roman" w:cs="Times New Roman"/>
          <w:sz w:val="24"/>
          <w:szCs w:val="24"/>
        </w:rPr>
        <w:t xml:space="preserve"> of renewable energy technologies at scale</w:t>
      </w:r>
      <w:r>
        <w:rPr>
          <w:rFonts w:ascii="Times New Roman" w:hAnsi="Times New Roman" w:cs="Times New Roman"/>
          <w:sz w:val="24"/>
          <w:szCs w:val="24"/>
        </w:rPr>
        <w:t xml:space="preserve">, </w:t>
      </w:r>
      <w:r w:rsidRPr="005E35D4">
        <w:rPr>
          <w:rFonts w:ascii="Times New Roman" w:hAnsi="Times New Roman" w:cs="Times New Roman"/>
          <w:sz w:val="24"/>
          <w:szCs w:val="24"/>
        </w:rPr>
        <w:t>ther</w:t>
      </w:r>
      <w:r>
        <w:rPr>
          <w:rFonts w:ascii="Times New Roman" w:hAnsi="Times New Roman" w:cs="Times New Roman"/>
          <w:sz w:val="24"/>
          <w:szCs w:val="24"/>
        </w:rPr>
        <w:t>e</w:t>
      </w:r>
      <w:r w:rsidRPr="005E35D4">
        <w:rPr>
          <w:rFonts w:ascii="Times New Roman" w:hAnsi="Times New Roman" w:cs="Times New Roman"/>
          <w:sz w:val="24"/>
          <w:szCs w:val="24"/>
        </w:rPr>
        <w:t>by supporting Australia to meet its Nationally Determined Contribution</w:t>
      </w:r>
      <w:r>
        <w:rPr>
          <w:rFonts w:ascii="Times New Roman" w:hAnsi="Times New Roman" w:cs="Times New Roman"/>
          <w:sz w:val="24"/>
          <w:szCs w:val="24"/>
        </w:rPr>
        <w:t xml:space="preserve"> (NDC)</w:t>
      </w:r>
      <w:r w:rsidRPr="005E35D4">
        <w:rPr>
          <w:rFonts w:ascii="Times New Roman" w:hAnsi="Times New Roman" w:cs="Times New Roman"/>
          <w:sz w:val="24"/>
          <w:szCs w:val="24"/>
        </w:rPr>
        <w:t xml:space="preserve"> under the Paris Agreement and </w:t>
      </w:r>
      <w:r>
        <w:rPr>
          <w:rFonts w:ascii="Times New Roman" w:hAnsi="Times New Roman" w:cs="Times New Roman"/>
          <w:sz w:val="24"/>
          <w:szCs w:val="24"/>
        </w:rPr>
        <w:t xml:space="preserve">contribute to the </w:t>
      </w:r>
      <w:r w:rsidRPr="00B76DB5">
        <w:rPr>
          <w:rFonts w:ascii="Times New Roman" w:hAnsi="Times New Roman" w:cs="Times New Roman"/>
          <w:i/>
          <w:sz w:val="24"/>
          <w:szCs w:val="24"/>
        </w:rPr>
        <w:t>Powering Australia</w:t>
      </w:r>
      <w:r w:rsidRPr="005E35D4">
        <w:rPr>
          <w:rFonts w:ascii="Times New Roman" w:hAnsi="Times New Roman" w:cs="Times New Roman"/>
          <w:sz w:val="24"/>
          <w:szCs w:val="24"/>
        </w:rPr>
        <w:t xml:space="preserve"> agenda.</w:t>
      </w:r>
      <w:r>
        <w:rPr>
          <w:rFonts w:ascii="Times New Roman" w:hAnsi="Times New Roman" w:cs="Times New Roman"/>
          <w:sz w:val="24"/>
          <w:szCs w:val="24"/>
        </w:rPr>
        <w:t xml:space="preserve"> Electrification and energy efficiency are both essential to delivering Australia’s new targets of a 43 per cent reduction on 2005 levels by 2030 and achieving net zero by 2050, and support renewable energy’s role in those commitments.</w:t>
      </w:r>
    </w:p>
    <w:p w14:paraId="3471C816" w14:textId="77777777" w:rsidR="00E3667C"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ARENA, as established by the </w:t>
      </w:r>
      <w:r w:rsidRPr="005E35D4">
        <w:rPr>
          <w:rFonts w:ascii="Times New Roman" w:hAnsi="Times New Roman" w:cs="Times New Roman"/>
          <w:i/>
          <w:sz w:val="24"/>
          <w:szCs w:val="24"/>
        </w:rPr>
        <w:t>Australian Renewable Energy Agency Act 2011</w:t>
      </w:r>
      <w:r w:rsidRPr="005E35D4">
        <w:rPr>
          <w:rFonts w:ascii="Times New Roman" w:hAnsi="Times New Roman" w:cs="Times New Roman"/>
          <w:sz w:val="24"/>
          <w:szCs w:val="24"/>
        </w:rPr>
        <w:t xml:space="preserve"> (the Act), has the dual objectives of improving the competitiveness of renewable energy technologies and increasing the supply of renewable energy in Australia. Its legislated functions, as outlined in section 8 of the Act, are primarily to provide financial assistance (in the form of grants</w:t>
      </w:r>
      <w:r w:rsidRPr="005E35D4">
        <w:rPr>
          <w:rStyle w:val="FootnoteReference"/>
          <w:rFonts w:ascii="Times New Roman" w:hAnsi="Times New Roman" w:cs="Times New Roman"/>
          <w:sz w:val="24"/>
          <w:szCs w:val="24"/>
        </w:rPr>
        <w:footnoteReference w:id="2"/>
      </w:r>
      <w:r w:rsidRPr="005E35D4">
        <w:rPr>
          <w:rFonts w:ascii="Times New Roman" w:hAnsi="Times New Roman" w:cs="Times New Roman"/>
          <w:sz w:val="24"/>
          <w:szCs w:val="24"/>
        </w:rPr>
        <w:t>) for research into, development, demonstration, commercialisation or deployment of renewable energy technologies, and to engage in knowledge sharing in relation to the same. Paragraph</w:t>
      </w:r>
      <w:r>
        <w:rPr>
          <w:rFonts w:ascii="Times New Roman" w:hAnsi="Times New Roman" w:cs="Times New Roman"/>
          <w:sz w:val="24"/>
          <w:szCs w:val="24"/>
        </w:rPr>
        <w:t> </w:t>
      </w:r>
      <w:r w:rsidRPr="005E35D4">
        <w:rPr>
          <w:rFonts w:ascii="Times New Roman" w:hAnsi="Times New Roman" w:cs="Times New Roman"/>
          <w:sz w:val="24"/>
          <w:szCs w:val="24"/>
        </w:rPr>
        <w:t>8(f) further provides that additional functions may be prescribed through regulations made under section 74 of the Act.</w:t>
      </w:r>
    </w:p>
    <w:p w14:paraId="0C15C7C4" w14:textId="21265310" w:rsidR="00E3667C" w:rsidRPr="00EA730E" w:rsidRDefault="00E3667C" w:rsidP="00E3667C">
      <w:pPr>
        <w:spacing w:before="240" w:after="240"/>
        <w:rPr>
          <w:rFonts w:ascii="Times New Roman" w:hAnsi="Times New Roman" w:cs="Times New Roman"/>
          <w:sz w:val="24"/>
          <w:szCs w:val="24"/>
        </w:rPr>
      </w:pPr>
      <w:r>
        <w:rPr>
          <w:rFonts w:ascii="Times New Roman" w:hAnsi="Times New Roman" w:cs="Times New Roman"/>
          <w:sz w:val="24"/>
          <w:szCs w:val="24"/>
        </w:rPr>
        <w:t xml:space="preserve">The Australian Government recognises that an amendment to the Act will be the best way </w:t>
      </w:r>
      <w:r w:rsidR="00166B0A">
        <w:rPr>
          <w:rFonts w:ascii="Times New Roman" w:hAnsi="Times New Roman" w:cs="Times New Roman"/>
          <w:sz w:val="24"/>
          <w:szCs w:val="24"/>
        </w:rPr>
        <w:t xml:space="preserve">to </w:t>
      </w:r>
      <w:bookmarkStart w:id="0" w:name="_GoBack"/>
      <w:bookmarkEnd w:id="0"/>
      <w:r>
        <w:rPr>
          <w:rFonts w:ascii="Times New Roman" w:hAnsi="Times New Roman" w:cs="Times New Roman"/>
          <w:sz w:val="24"/>
          <w:szCs w:val="24"/>
        </w:rPr>
        <w:t>provide certainty to these functions and allow ARENA to undertake additional programs for which it has been funded. Th</w:t>
      </w:r>
      <w:r w:rsidR="00B004DE">
        <w:rPr>
          <w:rFonts w:ascii="Times New Roman" w:hAnsi="Times New Roman" w:cs="Times New Roman"/>
          <w:sz w:val="24"/>
          <w:szCs w:val="24"/>
        </w:rPr>
        <w:t>e</w:t>
      </w:r>
      <w:r>
        <w:rPr>
          <w:rFonts w:ascii="Times New Roman" w:hAnsi="Times New Roman" w:cs="Times New Roman"/>
          <w:sz w:val="24"/>
          <w:szCs w:val="24"/>
        </w:rPr>
        <w:t xml:space="preserve"> Regulation</w:t>
      </w:r>
      <w:r w:rsidR="00E141F9">
        <w:rPr>
          <w:rFonts w:ascii="Times New Roman" w:hAnsi="Times New Roman" w:cs="Times New Roman"/>
          <w:sz w:val="24"/>
          <w:szCs w:val="24"/>
        </w:rPr>
        <w:t>s are</w:t>
      </w:r>
      <w:r w:rsidRPr="005E35D4">
        <w:rPr>
          <w:rFonts w:ascii="Times New Roman" w:hAnsi="Times New Roman" w:cs="Times New Roman"/>
          <w:sz w:val="24"/>
          <w:szCs w:val="24"/>
        </w:rPr>
        <w:t xml:space="preserve"> an interim measure, until the Act can be amended, to allow ARENA to undertake activities that further support their objective of increasing the supply of renewable energy.</w:t>
      </w:r>
      <w:r>
        <w:rPr>
          <w:rFonts w:ascii="Times New Roman" w:hAnsi="Times New Roman" w:cs="Times New Roman"/>
          <w:sz w:val="24"/>
          <w:szCs w:val="24"/>
        </w:rPr>
        <w:t xml:space="preserve"> </w:t>
      </w:r>
      <w:r w:rsidRPr="00EA730E">
        <w:rPr>
          <w:rFonts w:ascii="Times New Roman" w:hAnsi="Times New Roman" w:cs="Times New Roman"/>
          <w:sz w:val="24"/>
          <w:szCs w:val="24"/>
        </w:rPr>
        <w:t xml:space="preserve">The regulation making power allows for </w:t>
      </w:r>
      <w:r w:rsidRPr="00EA730E">
        <w:rPr>
          <w:rFonts w:ascii="Times New Roman" w:hAnsi="Times New Roman" w:cs="Times New Roman"/>
          <w:i/>
          <w:iCs/>
          <w:sz w:val="24"/>
          <w:szCs w:val="24"/>
        </w:rPr>
        <w:t>new</w:t>
      </w:r>
      <w:r w:rsidRPr="00EA730E">
        <w:rPr>
          <w:rFonts w:ascii="Times New Roman" w:hAnsi="Times New Roman" w:cs="Times New Roman"/>
          <w:sz w:val="24"/>
          <w:szCs w:val="24"/>
        </w:rPr>
        <w:t xml:space="preserve"> functions. The new functions </w:t>
      </w:r>
      <w:r w:rsidR="00B004DE">
        <w:rPr>
          <w:rFonts w:ascii="Times New Roman" w:hAnsi="Times New Roman" w:cs="Times New Roman"/>
          <w:sz w:val="24"/>
          <w:szCs w:val="24"/>
        </w:rPr>
        <w:t>conferred by the</w:t>
      </w:r>
      <w:r w:rsidR="00E141F9">
        <w:rPr>
          <w:rFonts w:ascii="Times New Roman" w:hAnsi="Times New Roman" w:cs="Times New Roman"/>
          <w:sz w:val="24"/>
          <w:szCs w:val="24"/>
        </w:rPr>
        <w:t xml:space="preserve"> Regulations </w:t>
      </w:r>
      <w:r w:rsidRPr="00EA730E">
        <w:rPr>
          <w:rFonts w:ascii="Times New Roman" w:hAnsi="Times New Roman" w:cs="Times New Roman"/>
          <w:sz w:val="24"/>
          <w:szCs w:val="24"/>
        </w:rPr>
        <w:t>do not constrain the existing functions</w:t>
      </w:r>
      <w:r>
        <w:rPr>
          <w:rFonts w:ascii="Times New Roman" w:hAnsi="Times New Roman" w:cs="Times New Roman"/>
          <w:sz w:val="24"/>
          <w:szCs w:val="24"/>
        </w:rPr>
        <w:t xml:space="preserve"> of ARENA set out in the Act</w:t>
      </w:r>
      <w:r w:rsidRPr="00EA730E">
        <w:rPr>
          <w:rFonts w:ascii="Times New Roman" w:hAnsi="Times New Roman" w:cs="Times New Roman"/>
          <w:sz w:val="24"/>
          <w:szCs w:val="24"/>
        </w:rPr>
        <w:t>, which include electrification that uses renewable energy.</w:t>
      </w:r>
      <w:r>
        <w:rPr>
          <w:rFonts w:ascii="Times New Roman" w:hAnsi="Times New Roman" w:cs="Times New Roman"/>
          <w:sz w:val="24"/>
          <w:szCs w:val="24"/>
        </w:rPr>
        <w:t xml:space="preserve"> The need to continue to progress energy efficiency and electrification </w:t>
      </w:r>
      <w:r w:rsidR="00E141F9">
        <w:rPr>
          <w:rFonts w:ascii="Times New Roman" w:hAnsi="Times New Roman" w:cs="Times New Roman"/>
          <w:sz w:val="24"/>
          <w:szCs w:val="24"/>
        </w:rPr>
        <w:t xml:space="preserve">through </w:t>
      </w:r>
      <w:r>
        <w:rPr>
          <w:rFonts w:ascii="Times New Roman" w:hAnsi="Times New Roman" w:cs="Times New Roman"/>
          <w:sz w:val="24"/>
          <w:szCs w:val="24"/>
        </w:rPr>
        <w:t>funding provided to ARENA means the Regulations are necessary in advance of any Act amendments.</w:t>
      </w:r>
    </w:p>
    <w:p w14:paraId="3A9D6087" w14:textId="44C4C489" w:rsidR="00E3667C"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The </w:t>
      </w:r>
      <w:r w:rsidRPr="005E35D4">
        <w:rPr>
          <w:rFonts w:ascii="Times New Roman" w:hAnsi="Times New Roman" w:cs="Times New Roman"/>
          <w:i/>
          <w:sz w:val="24"/>
          <w:szCs w:val="24"/>
        </w:rPr>
        <w:t>Australian Renewable Energy Agency Regulation 2016</w:t>
      </w:r>
      <w:r w:rsidRPr="005E35D4">
        <w:rPr>
          <w:rFonts w:ascii="Times New Roman" w:hAnsi="Times New Roman" w:cs="Times New Roman"/>
          <w:sz w:val="24"/>
          <w:szCs w:val="24"/>
        </w:rPr>
        <w:t xml:space="preserve"> (the 2016 Regulation) conferred on ARENA the </w:t>
      </w:r>
      <w:r w:rsidR="00E141F9">
        <w:rPr>
          <w:rFonts w:ascii="Times New Roman" w:hAnsi="Times New Roman" w:cs="Times New Roman"/>
          <w:sz w:val="24"/>
          <w:szCs w:val="24"/>
        </w:rPr>
        <w:t>additional</w:t>
      </w:r>
      <w:r w:rsidR="00E141F9" w:rsidRPr="005E35D4">
        <w:rPr>
          <w:rFonts w:ascii="Times New Roman" w:hAnsi="Times New Roman" w:cs="Times New Roman"/>
          <w:sz w:val="24"/>
          <w:szCs w:val="24"/>
        </w:rPr>
        <w:t xml:space="preserve"> </w:t>
      </w:r>
      <w:r w:rsidRPr="005E35D4">
        <w:rPr>
          <w:rFonts w:ascii="Times New Roman" w:hAnsi="Times New Roman" w:cs="Times New Roman"/>
          <w:sz w:val="24"/>
          <w:szCs w:val="24"/>
        </w:rPr>
        <w:t xml:space="preserve">function of working with the Clean Energy Finance Corporation to </w:t>
      </w:r>
      <w:r w:rsidRPr="005E35D4">
        <w:rPr>
          <w:rFonts w:ascii="Times New Roman" w:hAnsi="Times New Roman" w:cs="Times New Roman"/>
          <w:sz w:val="24"/>
          <w:szCs w:val="24"/>
        </w:rPr>
        <w:lastRenderedPageBreak/>
        <w:t>administer the Clean Energy Innovation Fund</w:t>
      </w:r>
      <w:r>
        <w:rPr>
          <w:rFonts w:ascii="Times New Roman" w:hAnsi="Times New Roman" w:cs="Times New Roman"/>
          <w:sz w:val="24"/>
          <w:szCs w:val="24"/>
        </w:rPr>
        <w:t xml:space="preserve"> in reliance upon paragraph 8(f) of the Act</w:t>
      </w:r>
      <w:r w:rsidRPr="005E35D4">
        <w:rPr>
          <w:rFonts w:ascii="Times New Roman" w:hAnsi="Times New Roman" w:cs="Times New Roman"/>
          <w:sz w:val="24"/>
          <w:szCs w:val="24"/>
        </w:rPr>
        <w:t xml:space="preserve">. </w:t>
      </w:r>
      <w:r>
        <w:rPr>
          <w:rFonts w:ascii="Times New Roman" w:hAnsi="Times New Roman" w:cs="Times New Roman"/>
          <w:sz w:val="24"/>
          <w:szCs w:val="24"/>
        </w:rPr>
        <w:t xml:space="preserve">In April 2022, the previous government amended the 2016 Regulation to expand ARENA’s functions to cover a broader suite of clean energy technologies, including carbon capture and storage. This was done through the </w:t>
      </w:r>
      <w:r w:rsidRPr="005E35D4">
        <w:rPr>
          <w:rFonts w:ascii="Times New Roman" w:hAnsi="Times New Roman" w:cs="Times New Roman"/>
          <w:i/>
          <w:sz w:val="24"/>
          <w:szCs w:val="24"/>
        </w:rPr>
        <w:t xml:space="preserve">Australian Renewable Energy Agency </w:t>
      </w:r>
      <w:r>
        <w:rPr>
          <w:rFonts w:ascii="Times New Roman" w:hAnsi="Times New Roman" w:cs="Times New Roman"/>
          <w:i/>
          <w:sz w:val="24"/>
          <w:szCs w:val="24"/>
        </w:rPr>
        <w:t xml:space="preserve">Amendment </w:t>
      </w:r>
      <w:r w:rsidRPr="005E35D4">
        <w:rPr>
          <w:rFonts w:ascii="Times New Roman" w:hAnsi="Times New Roman" w:cs="Times New Roman"/>
          <w:i/>
          <w:sz w:val="24"/>
          <w:szCs w:val="24"/>
        </w:rPr>
        <w:t>(</w:t>
      </w:r>
      <w:r>
        <w:rPr>
          <w:rFonts w:ascii="Times New Roman" w:hAnsi="Times New Roman" w:cs="Times New Roman"/>
          <w:i/>
          <w:sz w:val="24"/>
          <w:szCs w:val="24"/>
        </w:rPr>
        <w:t>Clean Energy Technology) Regulations 2022</w:t>
      </w:r>
      <w:r>
        <w:rPr>
          <w:rFonts w:ascii="Times New Roman" w:hAnsi="Times New Roman" w:cs="Times New Roman"/>
          <w:sz w:val="24"/>
          <w:szCs w:val="24"/>
        </w:rPr>
        <w:t xml:space="preserve"> following disallowance of two earlier regulations.</w:t>
      </w:r>
    </w:p>
    <w:p w14:paraId="428CE8F8" w14:textId="4F4DF208" w:rsidR="00E3667C" w:rsidRDefault="00E3667C" w:rsidP="00E3667C">
      <w:pPr>
        <w:spacing w:before="240" w:after="240"/>
        <w:rPr>
          <w:rFonts w:ascii="Times New Roman" w:hAnsi="Times New Roman" w:cs="Times New Roman"/>
          <w:sz w:val="24"/>
          <w:szCs w:val="24"/>
        </w:rPr>
      </w:pPr>
      <w:r>
        <w:rPr>
          <w:rFonts w:ascii="Times New Roman" w:hAnsi="Times New Roman" w:cs="Times New Roman"/>
          <w:sz w:val="24"/>
          <w:szCs w:val="24"/>
        </w:rPr>
        <w:t>T</w:t>
      </w:r>
      <w:r w:rsidRPr="005E35D4">
        <w:rPr>
          <w:rFonts w:ascii="Times New Roman" w:hAnsi="Times New Roman" w:cs="Times New Roman"/>
          <w:sz w:val="24"/>
          <w:szCs w:val="24"/>
        </w:rPr>
        <w:t>h</w:t>
      </w:r>
      <w:r>
        <w:rPr>
          <w:rFonts w:ascii="Times New Roman" w:hAnsi="Times New Roman" w:cs="Times New Roman"/>
          <w:sz w:val="24"/>
          <w:szCs w:val="24"/>
        </w:rPr>
        <w:t>e</w:t>
      </w:r>
      <w:r w:rsidRPr="005E35D4">
        <w:rPr>
          <w:rFonts w:ascii="Times New Roman" w:hAnsi="Times New Roman" w:cs="Times New Roman"/>
          <w:sz w:val="24"/>
          <w:szCs w:val="24"/>
        </w:rPr>
        <w:t xml:space="preserve"> </w:t>
      </w:r>
      <w:r>
        <w:rPr>
          <w:rFonts w:ascii="Times New Roman" w:hAnsi="Times New Roman" w:cs="Times New Roman"/>
          <w:sz w:val="24"/>
          <w:szCs w:val="24"/>
        </w:rPr>
        <w:t xml:space="preserve">Regulations are responding to concerns raised </w:t>
      </w:r>
      <w:r w:rsidR="00E141F9">
        <w:rPr>
          <w:rFonts w:ascii="Times New Roman" w:hAnsi="Times New Roman" w:cs="Times New Roman"/>
          <w:sz w:val="24"/>
          <w:szCs w:val="24"/>
        </w:rPr>
        <w:t xml:space="preserve">regarding </w:t>
      </w:r>
      <w:r>
        <w:rPr>
          <w:rFonts w:ascii="Times New Roman" w:hAnsi="Times New Roman" w:cs="Times New Roman"/>
          <w:sz w:val="24"/>
          <w:szCs w:val="24"/>
        </w:rPr>
        <w:t xml:space="preserve">attempts by the previous government to </w:t>
      </w:r>
      <w:r w:rsidR="00FF6EC9">
        <w:rPr>
          <w:rFonts w:ascii="Times New Roman" w:hAnsi="Times New Roman" w:cs="Times New Roman"/>
          <w:sz w:val="24"/>
          <w:szCs w:val="24"/>
        </w:rPr>
        <w:t xml:space="preserve">unreasonably </w:t>
      </w:r>
      <w:r>
        <w:rPr>
          <w:rFonts w:ascii="Times New Roman" w:hAnsi="Times New Roman" w:cs="Times New Roman"/>
          <w:sz w:val="24"/>
          <w:szCs w:val="24"/>
        </w:rPr>
        <w:t xml:space="preserve">extend ARENA’s mandate. The Regulations repeal the broad conferral of functions on ARENA attempted by the previous government and amend the 2016 Regulation to only allowing financial assistance for the </w:t>
      </w:r>
      <w:r w:rsidR="00E141F9">
        <w:rPr>
          <w:rFonts w:ascii="Times New Roman" w:hAnsi="Times New Roman" w:cs="Times New Roman"/>
          <w:sz w:val="24"/>
          <w:szCs w:val="24"/>
        </w:rPr>
        <w:t xml:space="preserve">additional </w:t>
      </w:r>
      <w:r>
        <w:rPr>
          <w:rFonts w:ascii="Times New Roman" w:hAnsi="Times New Roman" w:cs="Times New Roman"/>
          <w:sz w:val="24"/>
          <w:szCs w:val="24"/>
        </w:rPr>
        <w:t xml:space="preserve">functions of energy efficiency and electrification. </w:t>
      </w:r>
      <w:r w:rsidRPr="005E35D4">
        <w:rPr>
          <w:rFonts w:ascii="Times New Roman" w:hAnsi="Times New Roman" w:cs="Times New Roman"/>
          <w:sz w:val="24"/>
          <w:szCs w:val="24"/>
        </w:rPr>
        <w:t xml:space="preserve">The purpose of the Regulations is consistent with the objectives of </w:t>
      </w:r>
      <w:r w:rsidR="00E141F9">
        <w:rPr>
          <w:rFonts w:ascii="Times New Roman" w:hAnsi="Times New Roman" w:cs="Times New Roman"/>
          <w:sz w:val="24"/>
          <w:szCs w:val="24"/>
        </w:rPr>
        <w:t>the Act</w:t>
      </w:r>
      <w:r w:rsidRPr="005E35D4">
        <w:rPr>
          <w:rFonts w:ascii="Times New Roman" w:hAnsi="Times New Roman" w:cs="Times New Roman"/>
          <w:sz w:val="24"/>
          <w:szCs w:val="24"/>
        </w:rPr>
        <w:t xml:space="preserve">, as these additional technologies </w:t>
      </w:r>
      <w:r>
        <w:rPr>
          <w:rFonts w:ascii="Times New Roman" w:hAnsi="Times New Roman" w:cs="Times New Roman"/>
          <w:sz w:val="24"/>
          <w:szCs w:val="24"/>
        </w:rPr>
        <w:t xml:space="preserve">are expected to support </w:t>
      </w:r>
      <w:r w:rsidRPr="005E35D4">
        <w:rPr>
          <w:rFonts w:ascii="Times New Roman" w:hAnsi="Times New Roman" w:cs="Times New Roman"/>
          <w:sz w:val="24"/>
          <w:szCs w:val="24"/>
        </w:rPr>
        <w:t>the transition to greater shares of renewable energy generation</w:t>
      </w:r>
      <w:r>
        <w:rPr>
          <w:rFonts w:ascii="Times New Roman" w:hAnsi="Times New Roman" w:cs="Times New Roman"/>
          <w:sz w:val="24"/>
          <w:szCs w:val="24"/>
        </w:rPr>
        <w:t xml:space="preserve"> and</w:t>
      </w:r>
      <w:r w:rsidR="00E141F9">
        <w:rPr>
          <w:rFonts w:ascii="Times New Roman" w:hAnsi="Times New Roman" w:cs="Times New Roman"/>
          <w:sz w:val="24"/>
          <w:szCs w:val="24"/>
        </w:rPr>
        <w:t>/or reduce the cost of transitioning to a greater share of renewable energy generation and use, resulting in an overall increase in the competitiveness and supply of renewable energy technologies</w:t>
      </w:r>
      <w:r w:rsidRPr="005E35D4">
        <w:rPr>
          <w:rFonts w:ascii="Times New Roman" w:hAnsi="Times New Roman" w:cs="Times New Roman"/>
          <w:sz w:val="24"/>
          <w:szCs w:val="24"/>
        </w:rPr>
        <w:t xml:space="preserve">. </w:t>
      </w:r>
      <w:r>
        <w:rPr>
          <w:rFonts w:ascii="Times New Roman" w:hAnsi="Times New Roman" w:cs="Times New Roman"/>
          <w:sz w:val="24"/>
          <w:szCs w:val="24"/>
        </w:rPr>
        <w:t>I</w:t>
      </w:r>
      <w:r w:rsidRPr="005E35D4">
        <w:rPr>
          <w:rFonts w:ascii="Times New Roman" w:hAnsi="Times New Roman" w:cs="Times New Roman"/>
          <w:sz w:val="24"/>
          <w:szCs w:val="24"/>
        </w:rPr>
        <w:t xml:space="preserve">t is consistent with the Act to </w:t>
      </w:r>
      <w:r w:rsidR="00E141F9">
        <w:rPr>
          <w:rFonts w:ascii="Times New Roman" w:hAnsi="Times New Roman" w:cs="Times New Roman"/>
          <w:sz w:val="24"/>
          <w:szCs w:val="24"/>
        </w:rPr>
        <w:t>prescribe addiional</w:t>
      </w:r>
      <w:r w:rsidR="00E141F9" w:rsidRPr="005E35D4">
        <w:rPr>
          <w:rFonts w:ascii="Times New Roman" w:hAnsi="Times New Roman" w:cs="Times New Roman"/>
          <w:sz w:val="24"/>
          <w:szCs w:val="24"/>
        </w:rPr>
        <w:t xml:space="preserve"> </w:t>
      </w:r>
      <w:r w:rsidRPr="005E35D4">
        <w:rPr>
          <w:rFonts w:ascii="Times New Roman" w:hAnsi="Times New Roman" w:cs="Times New Roman"/>
          <w:sz w:val="24"/>
          <w:szCs w:val="24"/>
        </w:rPr>
        <w:t xml:space="preserve">functions of energy efficiency, which includes demand management and energy conservation, and </w:t>
      </w:r>
      <w:r>
        <w:rPr>
          <w:rFonts w:ascii="Times New Roman" w:hAnsi="Times New Roman" w:cs="Times New Roman"/>
          <w:sz w:val="24"/>
          <w:szCs w:val="24"/>
        </w:rPr>
        <w:t xml:space="preserve">the transition to </w:t>
      </w:r>
      <w:r w:rsidRPr="005E35D4">
        <w:rPr>
          <w:rFonts w:ascii="Times New Roman" w:hAnsi="Times New Roman" w:cs="Times New Roman"/>
          <w:sz w:val="24"/>
          <w:szCs w:val="24"/>
        </w:rPr>
        <w:t>electrification of other sectors of the economy</w:t>
      </w:r>
      <w:r w:rsidR="00E141F9">
        <w:rPr>
          <w:rFonts w:ascii="Times New Roman" w:hAnsi="Times New Roman" w:cs="Times New Roman"/>
          <w:sz w:val="24"/>
          <w:szCs w:val="24"/>
        </w:rPr>
        <w:t>.</w:t>
      </w:r>
      <w:r>
        <w:rPr>
          <w:rFonts w:ascii="Times New Roman" w:hAnsi="Times New Roman" w:cs="Times New Roman"/>
          <w:sz w:val="24"/>
          <w:szCs w:val="24"/>
        </w:rPr>
        <w:t xml:space="preserve"> </w:t>
      </w:r>
      <w:r w:rsidR="00E141F9">
        <w:rPr>
          <w:rFonts w:ascii="Times New Roman" w:hAnsi="Times New Roman" w:cs="Times New Roman"/>
          <w:sz w:val="24"/>
          <w:szCs w:val="24"/>
        </w:rPr>
        <w:t xml:space="preserve">This </w:t>
      </w:r>
      <w:r>
        <w:rPr>
          <w:rFonts w:ascii="Times New Roman" w:hAnsi="Times New Roman" w:cs="Times New Roman"/>
          <w:sz w:val="24"/>
          <w:szCs w:val="24"/>
        </w:rPr>
        <w:t>will provide market pull for greater investments in renewable energy generation and progressive fuel switch in the generation mix. The benefits of demand management are particularly important for energy reliability as Australia moves to transform its economy consistent with the new 2030 and 2050</w:t>
      </w:r>
      <w:r w:rsidR="00E141F9">
        <w:rPr>
          <w:rFonts w:ascii="Times New Roman" w:hAnsi="Times New Roman" w:cs="Times New Roman"/>
          <w:sz w:val="24"/>
          <w:szCs w:val="24"/>
        </w:rPr>
        <w:t xml:space="preserve"> emissions reduction</w:t>
      </w:r>
      <w:r>
        <w:rPr>
          <w:rFonts w:ascii="Times New Roman" w:hAnsi="Times New Roman" w:cs="Times New Roman"/>
          <w:sz w:val="24"/>
          <w:szCs w:val="24"/>
        </w:rPr>
        <w:t xml:space="preserve"> targets </w:t>
      </w:r>
      <w:r w:rsidR="00E141F9">
        <w:rPr>
          <w:rFonts w:ascii="Times New Roman" w:hAnsi="Times New Roman" w:cs="Times New Roman"/>
          <w:sz w:val="24"/>
          <w:szCs w:val="24"/>
        </w:rPr>
        <w:t>whilst utilising</w:t>
      </w:r>
      <w:r>
        <w:rPr>
          <w:rFonts w:ascii="Times New Roman" w:hAnsi="Times New Roman" w:cs="Times New Roman"/>
          <w:sz w:val="24"/>
          <w:szCs w:val="24"/>
        </w:rPr>
        <w:t xml:space="preserve"> greater amounts of variable renewable energy sources. </w:t>
      </w:r>
    </w:p>
    <w:p w14:paraId="32D24856" w14:textId="7C4B0A86" w:rsidR="00E3667C" w:rsidRDefault="00E3667C" w:rsidP="00E3667C">
      <w:pPr>
        <w:spacing w:before="240" w:after="240"/>
        <w:rPr>
          <w:rFonts w:ascii="Times New Roman" w:hAnsi="Times New Roman" w:cs="Times New Roman"/>
          <w:sz w:val="24"/>
          <w:szCs w:val="24"/>
        </w:rPr>
      </w:pPr>
      <w:r w:rsidRPr="004E13F4">
        <w:rPr>
          <w:rFonts w:ascii="Times New Roman" w:hAnsi="Times New Roman" w:cs="Times New Roman"/>
          <w:sz w:val="24"/>
          <w:szCs w:val="24"/>
        </w:rPr>
        <w:t>The electrification of the transport and industry sectors alone will create many challenges, particularly in the timely provision of the necessary infrastructure and efficient management of grids, to ensure the reliability of supply, the addition of sufficient generation capacity and the limitation of price volatility</w:t>
      </w:r>
      <w:r>
        <w:rPr>
          <w:rFonts w:ascii="Times New Roman" w:hAnsi="Times New Roman" w:cs="Times New Roman"/>
          <w:sz w:val="24"/>
          <w:szCs w:val="24"/>
        </w:rPr>
        <w:t xml:space="preserve">. The use of energy conservation and demand management technologies, at both grid and consumer levels, will be critical in </w:t>
      </w:r>
      <w:r w:rsidR="00E141F9">
        <w:rPr>
          <w:rFonts w:ascii="Times New Roman" w:hAnsi="Times New Roman" w:cs="Times New Roman"/>
          <w:sz w:val="24"/>
          <w:szCs w:val="24"/>
        </w:rPr>
        <w:t>supporting an effective</w:t>
      </w:r>
      <w:r>
        <w:rPr>
          <w:rFonts w:ascii="Times New Roman" w:hAnsi="Times New Roman" w:cs="Times New Roman"/>
          <w:sz w:val="24"/>
          <w:szCs w:val="24"/>
        </w:rPr>
        <w:t xml:space="preserve"> transition.</w:t>
      </w:r>
    </w:p>
    <w:p w14:paraId="482DE7B4" w14:textId="77777777" w:rsidR="00E3667C" w:rsidRDefault="00E3667C" w:rsidP="00E3667C">
      <w:pPr>
        <w:spacing w:before="240" w:after="240"/>
        <w:rPr>
          <w:rFonts w:ascii="Times New Roman" w:hAnsi="Times New Roman" w:cs="Times New Roman"/>
          <w:sz w:val="24"/>
          <w:szCs w:val="24"/>
        </w:rPr>
      </w:pPr>
      <w:r>
        <w:rPr>
          <w:rFonts w:ascii="Times New Roman" w:hAnsi="Times New Roman" w:cs="Times New Roman"/>
          <w:sz w:val="24"/>
          <w:szCs w:val="24"/>
        </w:rPr>
        <w:t xml:space="preserve">While it is recognised that the electricity supplied to consumers at the initial time of electrification may not be solely from renewable energy generation, the significant increases in demand for electricity will create the conditions </w:t>
      </w:r>
      <w:r w:rsidRPr="005E35D4">
        <w:rPr>
          <w:rFonts w:ascii="Times New Roman" w:hAnsi="Times New Roman" w:cs="Times New Roman"/>
          <w:sz w:val="24"/>
          <w:szCs w:val="24"/>
        </w:rPr>
        <w:t xml:space="preserve">for </w:t>
      </w:r>
      <w:r>
        <w:rPr>
          <w:rFonts w:ascii="Times New Roman" w:hAnsi="Times New Roman" w:cs="Times New Roman"/>
          <w:sz w:val="24"/>
          <w:szCs w:val="24"/>
        </w:rPr>
        <w:t xml:space="preserve">the addition of renewable energy generation at scale over the coming decades. The Australian Energy Market Operator predicts the share of renewable energy generation will rise from the current 30 per cent to 83 per cent by 2030, which aligns with the </w:t>
      </w:r>
      <w:r w:rsidRPr="00454924">
        <w:rPr>
          <w:rFonts w:ascii="Times New Roman" w:hAnsi="Times New Roman" w:cs="Times New Roman"/>
          <w:i/>
          <w:sz w:val="24"/>
          <w:szCs w:val="24"/>
        </w:rPr>
        <w:t>Powering Australia</w:t>
      </w:r>
      <w:r>
        <w:rPr>
          <w:rFonts w:ascii="Times New Roman" w:hAnsi="Times New Roman" w:cs="Times New Roman"/>
          <w:sz w:val="24"/>
          <w:szCs w:val="24"/>
        </w:rPr>
        <w:t xml:space="preserve"> target of 82 per cent by 2030.</w:t>
      </w:r>
    </w:p>
    <w:p w14:paraId="241EC3C7" w14:textId="77777777" w:rsidR="00E3667C" w:rsidRDefault="00E3667C" w:rsidP="00E3667C">
      <w:pPr>
        <w:spacing w:before="240" w:after="240"/>
        <w:rPr>
          <w:rFonts w:ascii="Times New Roman" w:hAnsi="Times New Roman" w:cs="Times New Roman"/>
          <w:sz w:val="24"/>
          <w:szCs w:val="24"/>
        </w:rPr>
      </w:pPr>
      <w:r>
        <w:rPr>
          <w:rFonts w:ascii="Times New Roman" w:hAnsi="Times New Roman" w:cs="Times New Roman"/>
          <w:sz w:val="24"/>
          <w:szCs w:val="24"/>
        </w:rPr>
        <w:t>For example, the transition to electric vehicles (EVs) is expected to add an additional 7Twh of additional residential consumption in the National Electricity Market by 2030-31</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alone, much of which will come from renewable energy. In order to establish a market for EVs, however, sufficient charging infrastructure must first be in place to enable the roll-out and </w:t>
      </w:r>
      <w:r>
        <w:rPr>
          <w:rFonts w:ascii="Times New Roman" w:hAnsi="Times New Roman" w:cs="Times New Roman"/>
          <w:sz w:val="24"/>
          <w:szCs w:val="24"/>
        </w:rPr>
        <w:lastRenderedPageBreak/>
        <w:t>provide potential EV customers assurance. EVs bought now will continue to reduce emissions over their lifetime.</w:t>
      </w:r>
    </w:p>
    <w:p w14:paraId="4B496589" w14:textId="77777777" w:rsidR="00E3667C" w:rsidRDefault="00E3667C" w:rsidP="00E3667C">
      <w:pPr>
        <w:spacing w:before="240" w:after="240"/>
        <w:rPr>
          <w:rFonts w:ascii="Times New Roman" w:hAnsi="Times New Roman" w:cs="Times New Roman"/>
          <w:sz w:val="24"/>
          <w:szCs w:val="24"/>
        </w:rPr>
      </w:pPr>
      <w:r>
        <w:rPr>
          <w:rFonts w:ascii="Times New Roman" w:hAnsi="Times New Roman" w:cs="Times New Roman"/>
          <w:sz w:val="24"/>
          <w:szCs w:val="24"/>
        </w:rPr>
        <w:t>The additional functions have close synergies with ARENA’s current market analysis and funding considerations and will enable the best use of the agency’s skills and expertise in the support of the transformation of the energy sector. Any decision by ARENA to provide funding to the additional functions will need to be in accordance with their General Funding Strategy.</w:t>
      </w:r>
    </w:p>
    <w:p w14:paraId="59C9141B" w14:textId="77777777" w:rsidR="00E3667C" w:rsidRPr="005E35D4" w:rsidRDefault="00E3667C" w:rsidP="00E3667C">
      <w:pPr>
        <w:keepNext/>
        <w:keepLines/>
        <w:spacing w:before="240" w:after="240"/>
        <w:rPr>
          <w:rFonts w:ascii="Times New Roman" w:hAnsi="Times New Roman" w:cs="Times New Roman"/>
          <w:b/>
          <w:sz w:val="24"/>
          <w:szCs w:val="24"/>
          <w:u w:val="single"/>
        </w:rPr>
      </w:pPr>
      <w:r w:rsidRPr="005E35D4">
        <w:rPr>
          <w:rFonts w:ascii="Times New Roman" w:hAnsi="Times New Roman" w:cs="Times New Roman"/>
          <w:b/>
          <w:sz w:val="24"/>
          <w:szCs w:val="24"/>
          <w:u w:val="single"/>
        </w:rPr>
        <w:t>Background</w:t>
      </w:r>
    </w:p>
    <w:p w14:paraId="121539C3" w14:textId="50F97F1F" w:rsidR="00E3667C" w:rsidRPr="005E35D4" w:rsidRDefault="00E3667C" w:rsidP="00E3667C">
      <w:pPr>
        <w:keepNext/>
        <w:keepLines/>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The Government’s </w:t>
      </w:r>
      <w:r w:rsidRPr="005E35D4">
        <w:rPr>
          <w:rFonts w:ascii="Times New Roman" w:hAnsi="Times New Roman" w:cs="Times New Roman"/>
          <w:i/>
          <w:sz w:val="24"/>
          <w:szCs w:val="24"/>
        </w:rPr>
        <w:t>Powering Australia</w:t>
      </w:r>
      <w:r w:rsidRPr="005E35D4">
        <w:rPr>
          <w:rFonts w:ascii="Times New Roman" w:hAnsi="Times New Roman" w:cs="Times New Roman"/>
          <w:sz w:val="24"/>
          <w:szCs w:val="24"/>
        </w:rPr>
        <w:t xml:space="preserve"> plan aims to create jobs, cut power bills and reduce emissions by boosting </w:t>
      </w:r>
      <w:r w:rsidR="00E141F9">
        <w:rPr>
          <w:rFonts w:ascii="Times New Roman" w:hAnsi="Times New Roman" w:cs="Times New Roman"/>
          <w:sz w:val="24"/>
          <w:szCs w:val="24"/>
        </w:rPr>
        <w:t xml:space="preserve">the supply of </w:t>
      </w:r>
      <w:r w:rsidRPr="005E35D4">
        <w:rPr>
          <w:rFonts w:ascii="Times New Roman" w:hAnsi="Times New Roman" w:cs="Times New Roman"/>
          <w:sz w:val="24"/>
          <w:szCs w:val="24"/>
        </w:rPr>
        <w:t xml:space="preserve">renewable energy. It includes a commitment to update Australia’s </w:t>
      </w:r>
      <w:r>
        <w:rPr>
          <w:rFonts w:ascii="Times New Roman" w:hAnsi="Times New Roman" w:cs="Times New Roman"/>
          <w:sz w:val="24"/>
          <w:szCs w:val="24"/>
        </w:rPr>
        <w:t>NDC</w:t>
      </w:r>
      <w:r w:rsidRPr="005E35D4">
        <w:rPr>
          <w:rFonts w:ascii="Times New Roman" w:hAnsi="Times New Roman" w:cs="Times New Roman"/>
          <w:sz w:val="24"/>
          <w:szCs w:val="24"/>
        </w:rPr>
        <w:t xml:space="preserve"> under the Paris Agreement</w:t>
      </w:r>
      <w:r>
        <w:rPr>
          <w:rFonts w:ascii="Times New Roman" w:hAnsi="Times New Roman" w:cs="Times New Roman"/>
          <w:sz w:val="24"/>
          <w:szCs w:val="24"/>
        </w:rPr>
        <w:t xml:space="preserve"> (which was achieved on 16 June 2022)</w:t>
      </w:r>
      <w:r w:rsidRPr="005E35D4">
        <w:rPr>
          <w:rFonts w:ascii="Times New Roman" w:hAnsi="Times New Roman" w:cs="Times New Roman"/>
          <w:sz w:val="24"/>
          <w:szCs w:val="24"/>
        </w:rPr>
        <w:t>, to reduce emissions by</w:t>
      </w:r>
      <w:r>
        <w:rPr>
          <w:rFonts w:ascii="Times New Roman" w:hAnsi="Times New Roman" w:cs="Times New Roman"/>
          <w:sz w:val="24"/>
          <w:szCs w:val="24"/>
        </w:rPr>
        <w:t xml:space="preserve"> </w:t>
      </w:r>
      <w:r w:rsidRPr="005E35D4">
        <w:rPr>
          <w:rFonts w:ascii="Times New Roman" w:hAnsi="Times New Roman" w:cs="Times New Roman"/>
          <w:sz w:val="24"/>
          <w:szCs w:val="24"/>
        </w:rPr>
        <w:t>43</w:t>
      </w:r>
      <w:r>
        <w:rPr>
          <w:rFonts w:ascii="Times New Roman" w:hAnsi="Times New Roman" w:cs="Times New Roman"/>
          <w:sz w:val="24"/>
          <w:szCs w:val="24"/>
        </w:rPr>
        <w:t> per cent</w:t>
      </w:r>
      <w:r w:rsidRPr="005E35D4">
        <w:rPr>
          <w:rFonts w:ascii="Times New Roman" w:hAnsi="Times New Roman" w:cs="Times New Roman"/>
          <w:sz w:val="24"/>
          <w:szCs w:val="24"/>
        </w:rPr>
        <w:t xml:space="preserve"> by 2030, </w:t>
      </w:r>
      <w:r w:rsidR="00E141F9">
        <w:rPr>
          <w:rFonts w:ascii="Times New Roman" w:hAnsi="Times New Roman" w:cs="Times New Roman"/>
          <w:sz w:val="24"/>
          <w:szCs w:val="24"/>
        </w:rPr>
        <w:t xml:space="preserve">which represents </w:t>
      </w:r>
      <w:r w:rsidRPr="005E35D4">
        <w:rPr>
          <w:rFonts w:ascii="Times New Roman" w:hAnsi="Times New Roman" w:cs="Times New Roman"/>
          <w:sz w:val="24"/>
          <w:szCs w:val="24"/>
        </w:rPr>
        <w:t xml:space="preserve">a significant </w:t>
      </w:r>
      <w:r w:rsidR="00B004DE">
        <w:rPr>
          <w:rFonts w:ascii="Times New Roman" w:hAnsi="Times New Roman" w:cs="Times New Roman"/>
          <w:sz w:val="24"/>
          <w:szCs w:val="24"/>
        </w:rPr>
        <w:t>step towards the Net </w:t>
      </w:r>
      <w:r w:rsidRPr="005E35D4">
        <w:rPr>
          <w:rFonts w:ascii="Times New Roman" w:hAnsi="Times New Roman" w:cs="Times New Roman"/>
          <w:sz w:val="24"/>
          <w:szCs w:val="24"/>
        </w:rPr>
        <w:t xml:space="preserve">Zero by 2050 target. This will require a significant switch from fossil fuels to renewable energy to deliver meaningful reductions in emissions. </w:t>
      </w:r>
    </w:p>
    <w:p w14:paraId="53559B2C"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Commitments under</w:t>
      </w:r>
      <w:r w:rsidRPr="005E35D4">
        <w:rPr>
          <w:rFonts w:ascii="Times New Roman" w:hAnsi="Times New Roman" w:cs="Times New Roman"/>
          <w:i/>
          <w:sz w:val="24"/>
          <w:szCs w:val="24"/>
        </w:rPr>
        <w:t xml:space="preserve"> Powering Australia </w:t>
      </w:r>
      <w:r w:rsidRPr="005E35D4">
        <w:rPr>
          <w:rFonts w:ascii="Times New Roman" w:hAnsi="Times New Roman" w:cs="Times New Roman"/>
          <w:sz w:val="24"/>
          <w:szCs w:val="24"/>
        </w:rPr>
        <w:t>relevant to ARENA include:</w:t>
      </w:r>
    </w:p>
    <w:p w14:paraId="162EBCB5" w14:textId="77777777" w:rsidR="00E3667C" w:rsidRPr="005E35D4" w:rsidRDefault="00E3667C" w:rsidP="00E3667C">
      <w:pPr>
        <w:pStyle w:val="ListParagraph"/>
        <w:numPr>
          <w:ilvl w:val="0"/>
          <w:numId w:val="15"/>
        </w:numPr>
        <w:spacing w:before="240" w:after="240"/>
        <w:rPr>
          <w:rFonts w:ascii="Times New Roman" w:hAnsi="Times New Roman" w:cs="Times New Roman"/>
          <w:i/>
          <w:sz w:val="24"/>
          <w:szCs w:val="24"/>
        </w:rPr>
      </w:pPr>
      <w:r w:rsidRPr="005E35D4">
        <w:rPr>
          <w:rFonts w:ascii="Times New Roman" w:hAnsi="Times New Roman" w:cs="Times New Roman"/>
          <w:sz w:val="24"/>
          <w:szCs w:val="24"/>
        </w:rPr>
        <w:t>undertak</w:t>
      </w:r>
      <w:r>
        <w:rPr>
          <w:rFonts w:ascii="Times New Roman" w:hAnsi="Times New Roman" w:cs="Times New Roman"/>
          <w:sz w:val="24"/>
          <w:szCs w:val="24"/>
        </w:rPr>
        <w:t>ing</w:t>
      </w:r>
      <w:r w:rsidRPr="005E35D4">
        <w:rPr>
          <w:rFonts w:ascii="Times New Roman" w:hAnsi="Times New Roman" w:cs="Times New Roman"/>
          <w:sz w:val="24"/>
          <w:szCs w:val="24"/>
        </w:rPr>
        <w:t xml:space="preserve"> upgrades to the electricity grid </w:t>
      </w:r>
      <w:r>
        <w:rPr>
          <w:rFonts w:ascii="Times New Roman" w:hAnsi="Times New Roman" w:cs="Times New Roman"/>
          <w:sz w:val="24"/>
          <w:szCs w:val="24"/>
        </w:rPr>
        <w:t xml:space="preserve">to facilitate increases in </w:t>
      </w:r>
      <w:r w:rsidRPr="005E35D4">
        <w:rPr>
          <w:rFonts w:ascii="Times New Roman" w:hAnsi="Times New Roman" w:cs="Times New Roman"/>
          <w:sz w:val="24"/>
          <w:szCs w:val="24"/>
        </w:rPr>
        <w:t xml:space="preserve">renewable energy </w:t>
      </w:r>
      <w:r>
        <w:rPr>
          <w:rFonts w:ascii="Times New Roman" w:hAnsi="Times New Roman" w:cs="Times New Roman"/>
          <w:sz w:val="24"/>
          <w:szCs w:val="24"/>
        </w:rPr>
        <w:t>generation and use</w:t>
      </w:r>
    </w:p>
    <w:p w14:paraId="1A0A1771" w14:textId="77777777" w:rsidR="00E3667C" w:rsidRPr="005E35D4" w:rsidRDefault="00E3667C" w:rsidP="00E3667C">
      <w:pPr>
        <w:pStyle w:val="ListParagraph"/>
        <w:numPr>
          <w:ilvl w:val="0"/>
          <w:numId w:val="15"/>
        </w:numPr>
        <w:spacing w:before="240" w:after="240"/>
        <w:rPr>
          <w:rFonts w:ascii="Times New Roman" w:hAnsi="Times New Roman" w:cs="Times New Roman"/>
          <w:i/>
          <w:sz w:val="24"/>
          <w:szCs w:val="24"/>
        </w:rPr>
      </w:pPr>
      <w:r w:rsidRPr="005E35D4">
        <w:rPr>
          <w:rFonts w:ascii="Times New Roman" w:hAnsi="Times New Roman" w:cs="Times New Roman"/>
          <w:sz w:val="24"/>
          <w:szCs w:val="24"/>
        </w:rPr>
        <w:t>co-invest</w:t>
      </w:r>
      <w:r>
        <w:rPr>
          <w:rFonts w:ascii="Times New Roman" w:hAnsi="Times New Roman" w:cs="Times New Roman"/>
          <w:sz w:val="24"/>
          <w:szCs w:val="24"/>
        </w:rPr>
        <w:t>ing</w:t>
      </w:r>
      <w:r w:rsidRPr="005E35D4">
        <w:rPr>
          <w:rFonts w:ascii="Times New Roman" w:hAnsi="Times New Roman" w:cs="Times New Roman"/>
          <w:sz w:val="24"/>
          <w:szCs w:val="24"/>
        </w:rPr>
        <w:t xml:space="preserve"> in solar banks to help reduce the power bills of renters and low-income households</w:t>
      </w:r>
    </w:p>
    <w:p w14:paraId="1031F98F" w14:textId="77777777" w:rsidR="00E3667C" w:rsidRPr="005E35D4" w:rsidRDefault="00E3667C" w:rsidP="00E3667C">
      <w:pPr>
        <w:pStyle w:val="ListParagraph"/>
        <w:numPr>
          <w:ilvl w:val="0"/>
          <w:numId w:val="15"/>
        </w:numPr>
        <w:spacing w:before="240" w:after="240"/>
        <w:rPr>
          <w:rFonts w:ascii="Times New Roman" w:hAnsi="Times New Roman" w:cs="Times New Roman"/>
          <w:i/>
          <w:sz w:val="24"/>
          <w:szCs w:val="24"/>
        </w:rPr>
      </w:pPr>
      <w:r>
        <w:rPr>
          <w:rFonts w:ascii="Times New Roman" w:hAnsi="Times New Roman" w:cs="Times New Roman"/>
          <w:sz w:val="24"/>
          <w:szCs w:val="24"/>
        </w:rPr>
        <w:t>i</w:t>
      </w:r>
      <w:r w:rsidRPr="005E35D4">
        <w:rPr>
          <w:rFonts w:ascii="Times New Roman" w:hAnsi="Times New Roman" w:cs="Times New Roman"/>
          <w:sz w:val="24"/>
          <w:szCs w:val="24"/>
        </w:rPr>
        <w:t>nstall</w:t>
      </w:r>
      <w:r>
        <w:rPr>
          <w:rFonts w:ascii="Times New Roman" w:hAnsi="Times New Roman" w:cs="Times New Roman"/>
          <w:sz w:val="24"/>
          <w:szCs w:val="24"/>
        </w:rPr>
        <w:t>ation of</w:t>
      </w:r>
      <w:r w:rsidRPr="005E35D4">
        <w:rPr>
          <w:rFonts w:ascii="Times New Roman" w:hAnsi="Times New Roman" w:cs="Times New Roman"/>
          <w:sz w:val="24"/>
          <w:szCs w:val="24"/>
        </w:rPr>
        <w:t xml:space="preserve"> community batteries to maximise the supply of renewable energy from rooftop solar, support the grid and provide shared energy storage for up to 100,000 households</w:t>
      </w:r>
    </w:p>
    <w:p w14:paraId="683F9C91" w14:textId="77777777" w:rsidR="00E3667C" w:rsidRPr="005E35D4" w:rsidRDefault="00E3667C" w:rsidP="00E3667C">
      <w:pPr>
        <w:pStyle w:val="ListParagraph"/>
        <w:numPr>
          <w:ilvl w:val="0"/>
          <w:numId w:val="15"/>
        </w:numPr>
        <w:spacing w:before="240" w:after="240"/>
        <w:rPr>
          <w:rFonts w:ascii="Times New Roman" w:hAnsi="Times New Roman" w:cs="Times New Roman"/>
          <w:sz w:val="24"/>
          <w:szCs w:val="24"/>
        </w:rPr>
      </w:pPr>
      <w:r>
        <w:rPr>
          <w:rFonts w:ascii="Times New Roman" w:hAnsi="Times New Roman" w:cs="Times New Roman"/>
          <w:sz w:val="24"/>
          <w:szCs w:val="24"/>
        </w:rPr>
        <w:t>d</w:t>
      </w:r>
      <w:r w:rsidRPr="005E35D4">
        <w:rPr>
          <w:rFonts w:ascii="Times New Roman" w:hAnsi="Times New Roman" w:cs="Times New Roman"/>
          <w:sz w:val="24"/>
          <w:szCs w:val="24"/>
        </w:rPr>
        <w:t>evelop</w:t>
      </w:r>
      <w:r>
        <w:rPr>
          <w:rFonts w:ascii="Times New Roman" w:hAnsi="Times New Roman" w:cs="Times New Roman"/>
          <w:sz w:val="24"/>
          <w:szCs w:val="24"/>
        </w:rPr>
        <w:t xml:space="preserve">ment of </w:t>
      </w:r>
      <w:r w:rsidRPr="005E35D4">
        <w:rPr>
          <w:rFonts w:ascii="Times New Roman" w:hAnsi="Times New Roman" w:cs="Times New Roman"/>
          <w:sz w:val="24"/>
          <w:szCs w:val="24"/>
        </w:rPr>
        <w:t xml:space="preserve"> a National Electric Vehicle (EV) Strategy, including boosting charging infrastructure, and incentivise the uptake of EVs</w:t>
      </w:r>
    </w:p>
    <w:p w14:paraId="6B665AAA" w14:textId="77777777" w:rsidR="00E3667C" w:rsidRPr="005E35D4" w:rsidRDefault="00E3667C" w:rsidP="00E3667C">
      <w:pPr>
        <w:pStyle w:val="ListParagraph"/>
        <w:numPr>
          <w:ilvl w:val="0"/>
          <w:numId w:val="15"/>
        </w:numPr>
        <w:spacing w:before="240" w:after="240"/>
        <w:rPr>
          <w:rFonts w:ascii="Times New Roman" w:hAnsi="Times New Roman" w:cs="Times New Roman"/>
          <w:sz w:val="24"/>
          <w:szCs w:val="24"/>
        </w:rPr>
      </w:pPr>
      <w:r w:rsidRPr="005E35D4">
        <w:rPr>
          <w:rFonts w:ascii="Times New Roman" w:hAnsi="Times New Roman" w:cs="Times New Roman"/>
          <w:sz w:val="24"/>
          <w:szCs w:val="24"/>
        </w:rPr>
        <w:t>address</w:t>
      </w:r>
      <w:r>
        <w:rPr>
          <w:rFonts w:ascii="Times New Roman" w:hAnsi="Times New Roman" w:cs="Times New Roman"/>
          <w:sz w:val="24"/>
          <w:szCs w:val="24"/>
        </w:rPr>
        <w:t>ing</w:t>
      </w:r>
      <w:r w:rsidRPr="005E35D4">
        <w:rPr>
          <w:rFonts w:ascii="Times New Roman" w:hAnsi="Times New Roman" w:cs="Times New Roman"/>
          <w:sz w:val="24"/>
          <w:szCs w:val="24"/>
        </w:rPr>
        <w:t xml:space="preserve"> energy affordability and reliability</w:t>
      </w:r>
    </w:p>
    <w:p w14:paraId="50B10C7D" w14:textId="77777777" w:rsidR="00E3667C" w:rsidRPr="005E35D4" w:rsidRDefault="00E3667C" w:rsidP="00E3667C">
      <w:pPr>
        <w:pStyle w:val="ListParagraph"/>
        <w:numPr>
          <w:ilvl w:val="0"/>
          <w:numId w:val="15"/>
        </w:numPr>
        <w:spacing w:before="240" w:after="240"/>
        <w:rPr>
          <w:rFonts w:ascii="Times New Roman" w:hAnsi="Times New Roman" w:cs="Times New Roman"/>
          <w:sz w:val="24"/>
          <w:szCs w:val="24"/>
        </w:rPr>
      </w:pPr>
      <w:r w:rsidRPr="005E35D4">
        <w:rPr>
          <w:rFonts w:ascii="Times New Roman" w:hAnsi="Times New Roman" w:cs="Times New Roman"/>
          <w:sz w:val="24"/>
          <w:szCs w:val="24"/>
        </w:rPr>
        <w:t>develop</w:t>
      </w:r>
      <w:r>
        <w:rPr>
          <w:rFonts w:ascii="Times New Roman" w:hAnsi="Times New Roman" w:cs="Times New Roman"/>
          <w:sz w:val="24"/>
          <w:szCs w:val="24"/>
        </w:rPr>
        <w:t>ing</w:t>
      </w:r>
      <w:r w:rsidRPr="005E35D4">
        <w:rPr>
          <w:rFonts w:ascii="Times New Roman" w:hAnsi="Times New Roman" w:cs="Times New Roman"/>
          <w:sz w:val="24"/>
          <w:szCs w:val="24"/>
        </w:rPr>
        <w:t xml:space="preserve"> new clean energy industries, such as green hydrogen production and export and bioenergy</w:t>
      </w:r>
    </w:p>
    <w:p w14:paraId="3339046F" w14:textId="77777777" w:rsidR="00E3667C" w:rsidRPr="005E35D4" w:rsidRDefault="00E3667C" w:rsidP="00E3667C">
      <w:pPr>
        <w:pStyle w:val="ListParagraph"/>
        <w:numPr>
          <w:ilvl w:val="0"/>
          <w:numId w:val="15"/>
        </w:numPr>
        <w:spacing w:before="240" w:after="240"/>
        <w:rPr>
          <w:rFonts w:ascii="Times New Roman" w:hAnsi="Times New Roman" w:cs="Times New Roman"/>
          <w:sz w:val="24"/>
          <w:szCs w:val="24"/>
        </w:rPr>
      </w:pPr>
      <w:r w:rsidRPr="005E35D4">
        <w:rPr>
          <w:rFonts w:ascii="Times New Roman" w:hAnsi="Times New Roman" w:cs="Times New Roman"/>
          <w:sz w:val="24"/>
          <w:szCs w:val="24"/>
        </w:rPr>
        <w:t>supporting innovation and local manufacture of wind turbine components, battery and solar supply chain parts, hydrogen electrolysers, bioenergy and biomass.</w:t>
      </w:r>
    </w:p>
    <w:p w14:paraId="2D6BD4D1"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The decarbonisation of the economy through the transition to renewable energy generation will require the electrification of many sectors of the economy. In order to allow a smooth switching of energy sources, while retaining grid stability, security of supply and minimising system costs, it will be necessary to maximise use of energy efficiency measures, such as demand management and energy conservation.</w:t>
      </w:r>
    </w:p>
    <w:p w14:paraId="1CD01C23" w14:textId="0E8EBA9B"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Demand management through micro-grids and virtual power plants, which seek to maximise energy usage across a number of consumers through load shifting, supply sharing or curtailment, is already being funded by ARENA. The addition of energy efficiency to ARENA’s functions </w:t>
      </w:r>
      <w:r w:rsidR="00E141F9">
        <w:rPr>
          <w:rFonts w:ascii="Times New Roman" w:hAnsi="Times New Roman" w:cs="Times New Roman"/>
          <w:sz w:val="24"/>
          <w:szCs w:val="24"/>
        </w:rPr>
        <w:t>enables</w:t>
      </w:r>
      <w:r w:rsidRPr="005E35D4">
        <w:rPr>
          <w:rFonts w:ascii="Times New Roman" w:hAnsi="Times New Roman" w:cs="Times New Roman"/>
          <w:sz w:val="24"/>
          <w:szCs w:val="24"/>
        </w:rPr>
        <w:t xml:space="preserve"> greater opportunities for integration of renewable energy and </w:t>
      </w:r>
      <w:r w:rsidRPr="005E35D4">
        <w:rPr>
          <w:rFonts w:ascii="Times New Roman" w:hAnsi="Times New Roman" w:cs="Times New Roman"/>
          <w:sz w:val="24"/>
          <w:szCs w:val="24"/>
        </w:rPr>
        <w:lastRenderedPageBreak/>
        <w:t>energy efficiency technologies or measures for optimal energy system management, thereby increasing the viability, cost effectiveness and uptake of renewable energy technologies.</w:t>
      </w:r>
    </w:p>
    <w:p w14:paraId="76D425C1" w14:textId="60D64788"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Electrification projects are already funded by ARENA where they are seen as an enabling technology for the transition to greater renewable energy demand, such as charging infrastructure for </w:t>
      </w:r>
      <w:r>
        <w:rPr>
          <w:rFonts w:ascii="Times New Roman" w:hAnsi="Times New Roman" w:cs="Times New Roman"/>
          <w:sz w:val="24"/>
          <w:szCs w:val="24"/>
        </w:rPr>
        <w:t>EVs that use renewable energy for charging</w:t>
      </w:r>
      <w:r w:rsidRPr="005E35D4">
        <w:rPr>
          <w:rFonts w:ascii="Times New Roman" w:hAnsi="Times New Roman" w:cs="Times New Roman"/>
          <w:sz w:val="24"/>
          <w:szCs w:val="24"/>
        </w:rPr>
        <w:t xml:space="preserve">. </w:t>
      </w:r>
      <w:r w:rsidR="000907B6">
        <w:rPr>
          <w:rFonts w:ascii="Times New Roman" w:hAnsi="Times New Roman" w:cs="Times New Roman"/>
          <w:sz w:val="24"/>
          <w:szCs w:val="24"/>
        </w:rPr>
        <w:t xml:space="preserve">The Regulations will enable ARENA to support electrification projects that do not have a direct, immediate link to renewable energy. </w:t>
      </w:r>
      <w:r w:rsidRPr="005E35D4">
        <w:rPr>
          <w:rFonts w:ascii="Times New Roman" w:hAnsi="Times New Roman" w:cs="Times New Roman"/>
          <w:sz w:val="24"/>
          <w:szCs w:val="24"/>
        </w:rPr>
        <w:t>Other examples of electrification projects that could support a significant increase in the supply of renewable energy in Australia include:</w:t>
      </w:r>
    </w:p>
    <w:p w14:paraId="43B96269" w14:textId="77777777" w:rsidR="00E3667C" w:rsidRDefault="00E3667C" w:rsidP="00E3667C">
      <w:pPr>
        <w:pStyle w:val="ListParagraph"/>
        <w:numPr>
          <w:ilvl w:val="0"/>
          <w:numId w:val="14"/>
        </w:numPr>
        <w:spacing w:before="240" w:after="240"/>
        <w:rPr>
          <w:rFonts w:ascii="Times New Roman" w:hAnsi="Times New Roman" w:cs="Times New Roman"/>
          <w:sz w:val="24"/>
          <w:szCs w:val="24"/>
        </w:rPr>
      </w:pPr>
      <w:r>
        <w:rPr>
          <w:rFonts w:ascii="Times New Roman" w:hAnsi="Times New Roman" w:cs="Times New Roman"/>
          <w:sz w:val="24"/>
          <w:szCs w:val="24"/>
        </w:rPr>
        <w:t xml:space="preserve">heating and cooling of buildings </w:t>
      </w:r>
    </w:p>
    <w:p w14:paraId="3A013561" w14:textId="77777777" w:rsidR="00E3667C" w:rsidRDefault="00E3667C" w:rsidP="00E3667C">
      <w:pPr>
        <w:pStyle w:val="ListParagraph"/>
        <w:numPr>
          <w:ilvl w:val="0"/>
          <w:numId w:val="14"/>
        </w:numPr>
        <w:spacing w:before="240" w:after="240"/>
        <w:rPr>
          <w:rFonts w:ascii="Times New Roman" w:hAnsi="Times New Roman" w:cs="Times New Roman"/>
          <w:sz w:val="24"/>
          <w:szCs w:val="24"/>
        </w:rPr>
      </w:pPr>
      <w:r>
        <w:rPr>
          <w:rFonts w:ascii="Times New Roman" w:hAnsi="Times New Roman" w:cs="Times New Roman"/>
          <w:sz w:val="24"/>
          <w:szCs w:val="24"/>
        </w:rPr>
        <w:t>water heating for residential and commercial use</w:t>
      </w:r>
    </w:p>
    <w:p w14:paraId="5B699EE8" w14:textId="77777777" w:rsidR="00E3667C" w:rsidRDefault="00E3667C" w:rsidP="00E3667C">
      <w:pPr>
        <w:pStyle w:val="ListParagraph"/>
        <w:numPr>
          <w:ilvl w:val="0"/>
          <w:numId w:val="14"/>
        </w:numPr>
        <w:spacing w:before="240" w:after="240"/>
        <w:rPr>
          <w:rFonts w:ascii="Times New Roman" w:hAnsi="Times New Roman" w:cs="Times New Roman"/>
          <w:sz w:val="24"/>
          <w:szCs w:val="24"/>
        </w:rPr>
      </w:pPr>
      <w:r w:rsidRPr="00884D14">
        <w:rPr>
          <w:rFonts w:ascii="Times New Roman" w:hAnsi="Times New Roman" w:cs="Times New Roman"/>
          <w:sz w:val="24"/>
          <w:szCs w:val="24"/>
        </w:rPr>
        <w:t>industrial process heat, e.g. for food processing</w:t>
      </w:r>
    </w:p>
    <w:p w14:paraId="7E020DDC" w14:textId="77777777" w:rsidR="00E3667C" w:rsidRPr="00884D14" w:rsidRDefault="00E3667C" w:rsidP="00E3667C">
      <w:pPr>
        <w:pStyle w:val="ListParagraph"/>
        <w:numPr>
          <w:ilvl w:val="0"/>
          <w:numId w:val="14"/>
        </w:numPr>
        <w:spacing w:before="240" w:after="240"/>
        <w:rPr>
          <w:rFonts w:ascii="Times New Roman" w:hAnsi="Times New Roman" w:cs="Times New Roman"/>
          <w:sz w:val="24"/>
          <w:szCs w:val="24"/>
        </w:rPr>
      </w:pPr>
      <w:r w:rsidRPr="00884D14">
        <w:rPr>
          <w:rFonts w:ascii="Times New Roman" w:hAnsi="Times New Roman" w:cs="Times New Roman"/>
          <w:sz w:val="24"/>
          <w:szCs w:val="24"/>
        </w:rPr>
        <w:t>calcination and metals refinery</w:t>
      </w:r>
    </w:p>
    <w:p w14:paraId="2FDA9A1F" w14:textId="77777777" w:rsidR="00E3667C" w:rsidRDefault="00E3667C" w:rsidP="00E3667C">
      <w:pPr>
        <w:pStyle w:val="ListParagraph"/>
        <w:numPr>
          <w:ilvl w:val="0"/>
          <w:numId w:val="14"/>
        </w:numPr>
        <w:spacing w:before="240" w:after="240"/>
        <w:rPr>
          <w:rFonts w:ascii="Times New Roman" w:hAnsi="Times New Roman" w:cs="Times New Roman"/>
          <w:sz w:val="24"/>
          <w:szCs w:val="24"/>
        </w:rPr>
      </w:pPr>
      <w:r>
        <w:rPr>
          <w:rFonts w:ascii="Times New Roman" w:hAnsi="Times New Roman" w:cs="Times New Roman"/>
          <w:sz w:val="24"/>
          <w:szCs w:val="24"/>
        </w:rPr>
        <w:t>driving machinery.</w:t>
      </w:r>
    </w:p>
    <w:p w14:paraId="705771FF" w14:textId="77777777" w:rsidR="00E3667C" w:rsidRPr="005E35D4" w:rsidRDefault="00E3667C" w:rsidP="00E3667C">
      <w:pPr>
        <w:keepNext/>
        <w:spacing w:before="240" w:after="240"/>
        <w:rPr>
          <w:rFonts w:ascii="Times New Roman" w:hAnsi="Times New Roman" w:cs="Times New Roman"/>
          <w:b/>
          <w:sz w:val="24"/>
          <w:szCs w:val="24"/>
          <w:u w:val="single"/>
        </w:rPr>
      </w:pPr>
      <w:r w:rsidRPr="005E35D4">
        <w:rPr>
          <w:rFonts w:ascii="Times New Roman" w:hAnsi="Times New Roman" w:cs="Times New Roman"/>
          <w:b/>
          <w:sz w:val="24"/>
          <w:szCs w:val="24"/>
          <w:u w:val="single"/>
        </w:rPr>
        <w:t>Authority and Operation</w:t>
      </w:r>
    </w:p>
    <w:p w14:paraId="65BD4290"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The Regulations are made under the regulation-making power in section 74 of the Act, enlivened by the power in paragraph 8(f) of the Act to prescribe additional legislated functions through regulation.</w:t>
      </w:r>
    </w:p>
    <w:p w14:paraId="28AF8321" w14:textId="3E8E72A1"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The Regulations are different in substance from the previous Regulations. In particular, the Regulations </w:t>
      </w:r>
      <w:r>
        <w:rPr>
          <w:rFonts w:ascii="Times New Roman" w:hAnsi="Times New Roman" w:cs="Times New Roman"/>
          <w:sz w:val="24"/>
          <w:szCs w:val="24"/>
        </w:rPr>
        <w:t xml:space="preserve">do not include </w:t>
      </w:r>
      <w:r w:rsidRPr="005E35D4">
        <w:rPr>
          <w:rFonts w:ascii="Times New Roman" w:hAnsi="Times New Roman" w:cs="Times New Roman"/>
          <w:sz w:val="24"/>
          <w:szCs w:val="24"/>
        </w:rPr>
        <w:t xml:space="preserve">the funding of </w:t>
      </w:r>
      <w:r>
        <w:rPr>
          <w:rFonts w:ascii="Times New Roman" w:hAnsi="Times New Roman" w:cs="Times New Roman"/>
          <w:sz w:val="24"/>
          <w:szCs w:val="24"/>
        </w:rPr>
        <w:t>technologies like carbon capture and storage, nuclear energy</w:t>
      </w:r>
      <w:r w:rsidRPr="005E35D4">
        <w:rPr>
          <w:rFonts w:ascii="Times New Roman" w:hAnsi="Times New Roman" w:cs="Times New Roman"/>
          <w:sz w:val="24"/>
          <w:szCs w:val="24"/>
        </w:rPr>
        <w:t xml:space="preserve"> </w:t>
      </w:r>
      <w:r>
        <w:rPr>
          <w:rFonts w:ascii="Times New Roman" w:hAnsi="Times New Roman" w:cs="Times New Roman"/>
          <w:sz w:val="24"/>
          <w:szCs w:val="24"/>
        </w:rPr>
        <w:t xml:space="preserve">and soil carbon </w:t>
      </w:r>
      <w:r w:rsidRPr="005E35D4">
        <w:rPr>
          <w:rFonts w:ascii="Times New Roman" w:hAnsi="Times New Roman" w:cs="Times New Roman"/>
          <w:sz w:val="24"/>
          <w:szCs w:val="24"/>
        </w:rPr>
        <w:t>and only expand ARENA</w:t>
      </w:r>
      <w:r>
        <w:rPr>
          <w:rFonts w:ascii="Times New Roman" w:hAnsi="Times New Roman" w:cs="Times New Roman"/>
          <w:sz w:val="24"/>
          <w:szCs w:val="24"/>
        </w:rPr>
        <w:t xml:space="preserve">’s funding to </w:t>
      </w:r>
      <w:r w:rsidR="00DE751A">
        <w:rPr>
          <w:rFonts w:ascii="Times New Roman" w:hAnsi="Times New Roman" w:cs="Times New Roman"/>
          <w:sz w:val="24"/>
          <w:szCs w:val="24"/>
        </w:rPr>
        <w:t xml:space="preserve">include </w:t>
      </w:r>
      <w:r>
        <w:rPr>
          <w:rFonts w:ascii="Times New Roman" w:hAnsi="Times New Roman" w:cs="Times New Roman"/>
          <w:sz w:val="24"/>
          <w:szCs w:val="24"/>
        </w:rPr>
        <w:t>energy efficiency and electrification</w:t>
      </w:r>
      <w:r w:rsidRPr="005E35D4">
        <w:rPr>
          <w:rFonts w:ascii="Times New Roman" w:hAnsi="Times New Roman" w:cs="Times New Roman"/>
          <w:sz w:val="24"/>
          <w:szCs w:val="24"/>
        </w:rPr>
        <w:t xml:space="preserve"> </w:t>
      </w:r>
      <w:r>
        <w:rPr>
          <w:rFonts w:ascii="Times New Roman" w:hAnsi="Times New Roman" w:cs="Times New Roman"/>
          <w:sz w:val="24"/>
          <w:szCs w:val="24"/>
        </w:rPr>
        <w:t xml:space="preserve">technologies, which are likely to </w:t>
      </w:r>
      <w:r w:rsidRPr="005E35D4">
        <w:rPr>
          <w:rFonts w:ascii="Times New Roman" w:hAnsi="Times New Roman" w:cs="Times New Roman"/>
          <w:sz w:val="24"/>
          <w:szCs w:val="24"/>
        </w:rPr>
        <w:t>support</w:t>
      </w:r>
      <w:r>
        <w:rPr>
          <w:rFonts w:ascii="Times New Roman" w:hAnsi="Times New Roman" w:cs="Times New Roman"/>
          <w:sz w:val="24"/>
          <w:szCs w:val="24"/>
        </w:rPr>
        <w:t xml:space="preserve"> </w:t>
      </w:r>
      <w:r w:rsidRPr="005E35D4">
        <w:rPr>
          <w:rFonts w:ascii="Times New Roman" w:hAnsi="Times New Roman" w:cs="Times New Roman"/>
          <w:sz w:val="24"/>
          <w:szCs w:val="24"/>
        </w:rPr>
        <w:t>an</w:t>
      </w:r>
      <w:r>
        <w:rPr>
          <w:rFonts w:ascii="Times New Roman" w:hAnsi="Times New Roman" w:cs="Times New Roman"/>
          <w:sz w:val="24"/>
          <w:szCs w:val="24"/>
        </w:rPr>
        <w:t xml:space="preserve"> overall</w:t>
      </w:r>
      <w:r w:rsidRPr="005E35D4">
        <w:rPr>
          <w:rFonts w:ascii="Times New Roman" w:hAnsi="Times New Roman" w:cs="Times New Roman"/>
          <w:sz w:val="24"/>
          <w:szCs w:val="24"/>
        </w:rPr>
        <w:t xml:space="preserve"> increase in the supply of renewable energy in Australia.</w:t>
      </w:r>
    </w:p>
    <w:p w14:paraId="70464348"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The power to prescribe additional functions for ARENA by regulation is not</w:t>
      </w:r>
      <w:r>
        <w:rPr>
          <w:rFonts w:ascii="Times New Roman" w:hAnsi="Times New Roman" w:cs="Times New Roman"/>
          <w:sz w:val="24"/>
          <w:szCs w:val="24"/>
        </w:rPr>
        <w:t xml:space="preserve"> narrowly</w:t>
      </w:r>
      <w:r w:rsidRPr="005E35D4">
        <w:rPr>
          <w:rFonts w:ascii="Times New Roman" w:hAnsi="Times New Roman" w:cs="Times New Roman"/>
          <w:sz w:val="24"/>
          <w:szCs w:val="24"/>
        </w:rPr>
        <w:t xml:space="preserve"> limited to the subject matter of renewable energy. There is nothing in the wording of paragraph 8(f) of the Act or in the Explanatory Memorandum to the Bill that became the Act which would indicate an intention to limit the regulation-making power to renewable energy alone. While the “main object” of the Act in section 3 relates to renewable energy, there is nothing that expressly excludes ARENA from pursuing other objects, including those conferred through additional functions such as those prescribed by the Regulations. It is also relevant that the new functions prescribed by the Regulations are funded by </w:t>
      </w:r>
      <w:r>
        <w:rPr>
          <w:rFonts w:ascii="Times New Roman" w:hAnsi="Times New Roman" w:cs="Times New Roman"/>
          <w:sz w:val="24"/>
          <w:szCs w:val="24"/>
        </w:rPr>
        <w:t>separate</w:t>
      </w:r>
      <w:r w:rsidRPr="005E35D4">
        <w:rPr>
          <w:rFonts w:ascii="Times New Roman" w:hAnsi="Times New Roman" w:cs="Times New Roman"/>
          <w:sz w:val="24"/>
          <w:szCs w:val="24"/>
        </w:rPr>
        <w:t xml:space="preserve"> appropriations, and do not impact on the delivery of the statutory appropriation set out in section 64 of the Act.</w:t>
      </w:r>
    </w:p>
    <w:p w14:paraId="52900722" w14:textId="77777777" w:rsidR="00E3667C" w:rsidRPr="005E35D4" w:rsidRDefault="00E3667C" w:rsidP="00E3667C">
      <w:pPr>
        <w:rPr>
          <w:rFonts w:ascii="Times New Roman" w:hAnsi="Times New Roman" w:cs="Times New Roman"/>
          <w:sz w:val="24"/>
          <w:szCs w:val="24"/>
        </w:rPr>
      </w:pPr>
      <w:r w:rsidRPr="005E35D4">
        <w:rPr>
          <w:rFonts w:ascii="Times New Roman" w:hAnsi="Times New Roman" w:cs="Times New Roman"/>
          <w:sz w:val="24"/>
          <w:szCs w:val="24"/>
        </w:rPr>
        <w:t xml:space="preserve">There is nothing in the explanatory material or debates associated with the passage of the </w:t>
      </w:r>
      <w:r w:rsidRPr="0088174F">
        <w:rPr>
          <w:rFonts w:ascii="Times New Roman" w:hAnsi="Times New Roman" w:cs="Times New Roman"/>
          <w:i/>
          <w:sz w:val="24"/>
          <w:szCs w:val="24"/>
        </w:rPr>
        <w:t>Australian Renewable Energy Agency Bill 2011</w:t>
      </w:r>
      <w:r w:rsidRPr="005E35D4">
        <w:rPr>
          <w:rFonts w:ascii="Times New Roman" w:hAnsi="Times New Roman" w:cs="Times New Roman"/>
          <w:sz w:val="24"/>
          <w:szCs w:val="24"/>
        </w:rPr>
        <w:t xml:space="preserve"> to indicate that the power in subsection 8(f) to prescribe additional functions should be read with additional words or limitations. The</w:t>
      </w:r>
      <w:r>
        <w:rPr>
          <w:rFonts w:ascii="Times New Roman" w:hAnsi="Times New Roman" w:cs="Times New Roman"/>
          <w:sz w:val="24"/>
          <w:szCs w:val="24"/>
        </w:rPr>
        <w:t> </w:t>
      </w:r>
      <w:r w:rsidRPr="005E35D4">
        <w:rPr>
          <w:rFonts w:ascii="Times New Roman" w:hAnsi="Times New Roman" w:cs="Times New Roman"/>
          <w:sz w:val="24"/>
          <w:szCs w:val="24"/>
        </w:rPr>
        <w:t xml:space="preserve">Minister introducing the Bill on 12 October 2011 made clear the context of the Commonwealth’s actions to support ‘clean energy’ generally, of which ARENA was intended to be an important part. This second reading speech provides an important policy link between ARENA’s support for ‘financial assistance for the research, development, </w:t>
      </w:r>
      <w:r w:rsidRPr="005E35D4">
        <w:rPr>
          <w:rFonts w:ascii="Times New Roman" w:hAnsi="Times New Roman" w:cs="Times New Roman"/>
          <w:sz w:val="24"/>
          <w:szCs w:val="24"/>
        </w:rPr>
        <w:lastRenderedPageBreak/>
        <w:t>demonstration and commercialisation of renewable energy and related technologies’ and broader emissions reduction policies of the Commonwealth for ‘promoting innovation and investment in renewable and low emissions energy’. The Explanatory Memorandum for the bill does not set out any intended limitations on the power conferred by paragraph 8(f).</w:t>
      </w:r>
    </w:p>
    <w:p w14:paraId="7A6E856E" w14:textId="4874998A"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The new function prescribed by the Regulations remains subject to ARENA’s ongoing governance and accountability framework. Accordingly, when administering the new function outlined above, ARENA must </w:t>
      </w:r>
      <w:r w:rsidR="005C1521">
        <w:rPr>
          <w:rFonts w:ascii="Times New Roman" w:hAnsi="Times New Roman" w:cs="Times New Roman"/>
          <w:sz w:val="24"/>
          <w:szCs w:val="24"/>
        </w:rPr>
        <w:t xml:space="preserve">continue to </w:t>
      </w:r>
      <w:r w:rsidRPr="005E35D4">
        <w:rPr>
          <w:rFonts w:ascii="Times New Roman" w:hAnsi="Times New Roman" w:cs="Times New Roman"/>
          <w:sz w:val="24"/>
          <w:szCs w:val="24"/>
        </w:rPr>
        <w:t>act in a proper, efficient and effective manner and make all investment decisions on merit.</w:t>
      </w:r>
      <w:r w:rsidRPr="005E35D4">
        <w:rPr>
          <w:rStyle w:val="FootnoteReference"/>
          <w:rFonts w:ascii="Times New Roman" w:hAnsi="Times New Roman" w:cs="Times New Roman"/>
          <w:sz w:val="24"/>
          <w:szCs w:val="24"/>
        </w:rPr>
        <w:footnoteReference w:id="4"/>
      </w:r>
      <w:r w:rsidRPr="005E35D4">
        <w:rPr>
          <w:rFonts w:ascii="Times New Roman" w:hAnsi="Times New Roman" w:cs="Times New Roman"/>
          <w:sz w:val="24"/>
          <w:szCs w:val="24"/>
        </w:rPr>
        <w:t xml:space="preserve"> ARENA must also exercise its new function within the legislative powers of the Commonwealth.</w:t>
      </w:r>
      <w:r w:rsidRPr="005E35D4">
        <w:rPr>
          <w:rStyle w:val="FootnoteReference"/>
          <w:rFonts w:ascii="Times New Roman" w:hAnsi="Times New Roman" w:cs="Times New Roman"/>
          <w:sz w:val="24"/>
          <w:szCs w:val="24"/>
        </w:rPr>
        <w:footnoteReference w:id="5"/>
      </w:r>
    </w:p>
    <w:p w14:paraId="7D01C43E"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As is the case for its existing functions under the Act, the Regulations do not provide standing for external merits review of the funding decisions made by ARENA under its new function</w:t>
      </w:r>
      <w:r>
        <w:rPr>
          <w:rFonts w:ascii="Times New Roman" w:hAnsi="Times New Roman" w:cs="Times New Roman"/>
          <w:sz w:val="24"/>
          <w:szCs w:val="24"/>
        </w:rPr>
        <w:t>. S</w:t>
      </w:r>
      <w:r w:rsidRPr="005E35D4">
        <w:rPr>
          <w:rFonts w:ascii="Times New Roman" w:hAnsi="Times New Roman" w:cs="Times New Roman"/>
          <w:sz w:val="24"/>
          <w:szCs w:val="24"/>
        </w:rPr>
        <w:t>ince ARENA’s funding decisions relate to the allocation of finite resources, they are not amenable to merits review and it would not be appropriate to provide this here.</w:t>
      </w:r>
    </w:p>
    <w:p w14:paraId="47D28552"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Noting that the following is not a comprehensive statement of relevant constitutional considerations, the new function outlined above relates to the external affairs power in paragraph 51(xxix) of the Constitution, thereby grounding the exercise by ARENA of its new function within its constitutional basis under paragraph 14(b) of the Act.</w:t>
      </w:r>
    </w:p>
    <w:p w14:paraId="72516BEF"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The external affairs power supports legislation implementing Australia’s obligations under international treaties to which it is a party. The United Nations Framework Convention on Climate Change (the UNFCCC)</w:t>
      </w:r>
      <w:r w:rsidRPr="005E35D4">
        <w:rPr>
          <w:rStyle w:val="FootnoteReference"/>
          <w:rFonts w:ascii="Times New Roman" w:hAnsi="Times New Roman" w:cs="Times New Roman"/>
          <w:sz w:val="24"/>
          <w:szCs w:val="24"/>
        </w:rPr>
        <w:footnoteReference w:id="6"/>
      </w:r>
      <w:r w:rsidRPr="005E35D4">
        <w:rPr>
          <w:rFonts w:ascii="Times New Roman" w:hAnsi="Times New Roman" w:cs="Times New Roman"/>
          <w:sz w:val="24"/>
          <w:szCs w:val="24"/>
        </w:rPr>
        <w:t xml:space="preserve"> includes a range of obligations on Australia to take domestic actions that reduce its emissions of greenhouse gases. Relevantly, it provides that parties shall:</w:t>
      </w:r>
    </w:p>
    <w:p w14:paraId="38A6A52A" w14:textId="77777777" w:rsidR="00E3667C" w:rsidRPr="005E35D4" w:rsidRDefault="00E3667C" w:rsidP="00E3667C">
      <w:pPr>
        <w:pStyle w:val="ListParagraph"/>
        <w:numPr>
          <w:ilvl w:val="0"/>
          <w:numId w:val="4"/>
        </w:numPr>
        <w:spacing w:before="240" w:after="240"/>
        <w:rPr>
          <w:rFonts w:ascii="Times New Roman" w:hAnsi="Times New Roman" w:cs="Times New Roman"/>
          <w:sz w:val="24"/>
          <w:szCs w:val="24"/>
        </w:rPr>
      </w:pPr>
      <w:r w:rsidRPr="005E35D4">
        <w:rPr>
          <w:rFonts w:ascii="Times New Roman" w:hAnsi="Times New Roman" w:cs="Times New Roman"/>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w:t>
      </w:r>
      <w:r w:rsidRPr="005E35D4">
        <w:rPr>
          <w:rStyle w:val="FootnoteReference"/>
          <w:rFonts w:ascii="Times New Roman" w:hAnsi="Times New Roman" w:cs="Times New Roman"/>
          <w:sz w:val="24"/>
          <w:szCs w:val="24"/>
        </w:rPr>
        <w:footnoteReference w:id="7"/>
      </w:r>
    </w:p>
    <w:p w14:paraId="6C1B011D" w14:textId="77777777" w:rsidR="00E3667C" w:rsidRPr="005E35D4" w:rsidRDefault="00E3667C" w:rsidP="00E3667C">
      <w:pPr>
        <w:pStyle w:val="ListParagraph"/>
        <w:numPr>
          <w:ilvl w:val="0"/>
          <w:numId w:val="4"/>
        </w:numPr>
        <w:spacing w:before="240" w:after="240"/>
        <w:rPr>
          <w:rFonts w:ascii="Times New Roman" w:hAnsi="Times New Roman" w:cs="Times New Roman"/>
          <w:sz w:val="24"/>
          <w:szCs w:val="24"/>
        </w:rPr>
      </w:pPr>
      <w:r w:rsidRPr="005E35D4">
        <w:rPr>
          <w:rFonts w:ascii="Times New Roman" w:hAnsi="Times New Roman" w:cs="Times New Roman"/>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w:t>
      </w:r>
      <w:r w:rsidRPr="005E35D4">
        <w:rPr>
          <w:rStyle w:val="FootnoteReference"/>
          <w:rFonts w:ascii="Times New Roman" w:hAnsi="Times New Roman" w:cs="Times New Roman"/>
          <w:sz w:val="24"/>
          <w:szCs w:val="24"/>
        </w:rPr>
        <w:footnoteReference w:id="8"/>
      </w:r>
      <w:r w:rsidRPr="005E35D4">
        <w:rPr>
          <w:rFonts w:ascii="Times New Roman" w:hAnsi="Times New Roman" w:cs="Times New Roman"/>
          <w:sz w:val="24"/>
          <w:szCs w:val="24"/>
        </w:rPr>
        <w:t xml:space="preserve"> </w:t>
      </w:r>
    </w:p>
    <w:p w14:paraId="6306B2F7" w14:textId="77777777" w:rsidR="00E3667C" w:rsidRPr="005E35D4" w:rsidRDefault="00E3667C" w:rsidP="00E3667C">
      <w:pPr>
        <w:pStyle w:val="ListParagraph"/>
        <w:numPr>
          <w:ilvl w:val="0"/>
          <w:numId w:val="4"/>
        </w:numPr>
        <w:spacing w:before="240" w:after="240"/>
        <w:rPr>
          <w:rFonts w:ascii="Times New Roman" w:hAnsi="Times New Roman" w:cs="Times New Roman"/>
          <w:sz w:val="24"/>
          <w:szCs w:val="24"/>
        </w:rPr>
      </w:pPr>
      <w:r w:rsidRPr="005E35D4">
        <w:rPr>
          <w:rFonts w:ascii="Times New Roman" w:hAnsi="Times New Roman" w:cs="Times New Roman"/>
          <w:sz w:val="24"/>
          <w:szCs w:val="24"/>
        </w:rPr>
        <w:lastRenderedPageBreak/>
        <w:t>adopt national policies and take corresponding measures on the mitigation of climate change, by limiting its anthropogenic emissions of greenhouse gases and protecting and enhancing its greenhouse gas sinks and reservoirs.</w:t>
      </w:r>
      <w:r w:rsidRPr="005E35D4">
        <w:rPr>
          <w:rStyle w:val="FootnoteReference"/>
          <w:rFonts w:ascii="Times New Roman" w:hAnsi="Times New Roman" w:cs="Times New Roman"/>
          <w:sz w:val="24"/>
          <w:szCs w:val="24"/>
        </w:rPr>
        <w:footnoteReference w:id="9"/>
      </w:r>
    </w:p>
    <w:p w14:paraId="130C8A45"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The Paris Agreement</w:t>
      </w:r>
      <w:r w:rsidRPr="005E35D4">
        <w:rPr>
          <w:rStyle w:val="FootnoteReference"/>
          <w:rFonts w:ascii="Times New Roman" w:hAnsi="Times New Roman" w:cs="Times New Roman"/>
          <w:sz w:val="24"/>
          <w:szCs w:val="24"/>
        </w:rPr>
        <w:footnoteReference w:id="10"/>
      </w:r>
      <w:r w:rsidRPr="005E35D4">
        <w:rPr>
          <w:rFonts w:ascii="Times New Roman" w:hAnsi="Times New Roman" w:cs="Times New Roman"/>
          <w:sz w:val="24"/>
          <w:szCs w:val="24"/>
        </w:rPr>
        <w:t xml:space="preserve"> was entered into by the parties to the UNFCCC to enhance its implementation. Under the Paris Agreement, Australia has a “Nationally Determined Contribution” comprising a 2030 emissi</w:t>
      </w:r>
      <w:r>
        <w:rPr>
          <w:rFonts w:ascii="Times New Roman" w:hAnsi="Times New Roman" w:cs="Times New Roman"/>
          <w:sz w:val="24"/>
          <w:szCs w:val="24"/>
        </w:rPr>
        <w:t>ons reduction target of 43</w:t>
      </w:r>
      <w:r w:rsidRPr="005E35D4">
        <w:rPr>
          <w:rFonts w:ascii="Times New Roman" w:hAnsi="Times New Roman" w:cs="Times New Roman"/>
          <w:sz w:val="24"/>
          <w:szCs w:val="24"/>
        </w:rPr>
        <w:t xml:space="preserve"> per cent below 2005 levels and a target to reach net zero emissions by 2050. Relevantly, article 4.2 of the Paris</w:t>
      </w:r>
      <w:r>
        <w:rPr>
          <w:rFonts w:ascii="Times New Roman" w:hAnsi="Times New Roman" w:cs="Times New Roman"/>
          <w:sz w:val="24"/>
          <w:szCs w:val="24"/>
        </w:rPr>
        <w:t> </w:t>
      </w:r>
      <w:r w:rsidRPr="005E35D4">
        <w:rPr>
          <w:rFonts w:ascii="Times New Roman" w:hAnsi="Times New Roman" w:cs="Times New Roman"/>
          <w:sz w:val="24"/>
          <w:szCs w:val="24"/>
        </w:rPr>
        <w:t xml:space="preserve">Agreement provides that “[e]ach Party shall prepare, communicate and maintain successive </w:t>
      </w:r>
      <w:r>
        <w:rPr>
          <w:rFonts w:ascii="Times New Roman" w:hAnsi="Times New Roman" w:cs="Times New Roman"/>
          <w:sz w:val="24"/>
          <w:szCs w:val="24"/>
        </w:rPr>
        <w:t>NDCs</w:t>
      </w:r>
      <w:r w:rsidRPr="005E35D4">
        <w:rPr>
          <w:rFonts w:ascii="Times New Roman" w:hAnsi="Times New Roman" w:cs="Times New Roman"/>
          <w:sz w:val="24"/>
          <w:szCs w:val="24"/>
        </w:rPr>
        <w:t xml:space="preserve"> that it intends to achieve” and that “[p]arties shall pursue domestic mitigation measures, with the aim of achieving the objectives of such contributions”.</w:t>
      </w:r>
    </w:p>
    <w:p w14:paraId="6321390E" w14:textId="1783286A" w:rsidR="00E3667C" w:rsidRPr="005E35D4" w:rsidRDefault="00E3667C" w:rsidP="00E3667C">
      <w:pPr>
        <w:spacing w:before="240" w:after="240"/>
        <w:rPr>
          <w:rFonts w:ascii="Times New Roman" w:hAnsi="Times New Roman" w:cs="Times New Roman"/>
          <w:sz w:val="24"/>
          <w:szCs w:val="24"/>
        </w:rPr>
      </w:pPr>
      <w:r>
        <w:rPr>
          <w:rFonts w:ascii="Times New Roman" w:hAnsi="Times New Roman" w:cs="Times New Roman"/>
          <w:sz w:val="24"/>
          <w:szCs w:val="24"/>
        </w:rPr>
        <w:t xml:space="preserve">The energy efficiency and electrification </w:t>
      </w:r>
      <w:r w:rsidRPr="005E35D4">
        <w:rPr>
          <w:rFonts w:ascii="Times New Roman" w:hAnsi="Times New Roman" w:cs="Times New Roman"/>
          <w:sz w:val="24"/>
          <w:szCs w:val="24"/>
        </w:rPr>
        <w:t>technologies ARENA will support under the</w:t>
      </w:r>
      <w:r>
        <w:rPr>
          <w:rFonts w:ascii="Times New Roman" w:hAnsi="Times New Roman" w:cs="Times New Roman"/>
          <w:sz w:val="24"/>
          <w:szCs w:val="24"/>
        </w:rPr>
        <w:t xml:space="preserve"> </w:t>
      </w:r>
      <w:r w:rsidRPr="005E35D4">
        <w:rPr>
          <w:rFonts w:ascii="Times New Roman" w:hAnsi="Times New Roman" w:cs="Times New Roman"/>
          <w:sz w:val="24"/>
          <w:szCs w:val="24"/>
        </w:rPr>
        <w:t xml:space="preserve">Regulations will reduce Australia’s greenhouse gas emissions, thereby contributing to Australia’s international emissions reduction obligations as outlined above. </w:t>
      </w:r>
      <w:r w:rsidR="005C1521">
        <w:rPr>
          <w:rFonts w:ascii="Times New Roman" w:hAnsi="Times New Roman" w:cs="Times New Roman"/>
          <w:sz w:val="24"/>
          <w:szCs w:val="24"/>
        </w:rPr>
        <w:t>P</w:t>
      </w:r>
      <w:r w:rsidRPr="005E35D4">
        <w:rPr>
          <w:rFonts w:ascii="Times New Roman" w:hAnsi="Times New Roman" w:cs="Times New Roman"/>
          <w:sz w:val="24"/>
          <w:szCs w:val="24"/>
        </w:rPr>
        <w:t xml:space="preserve">rojects will include activities that reduce emissions intensity and energy and fuel use, </w:t>
      </w:r>
      <w:r>
        <w:rPr>
          <w:rFonts w:ascii="Times New Roman" w:hAnsi="Times New Roman" w:cs="Times New Roman"/>
          <w:sz w:val="24"/>
          <w:szCs w:val="24"/>
        </w:rPr>
        <w:t xml:space="preserve">allow load shifting and efficient grid or minigrid management, </w:t>
      </w:r>
      <w:r w:rsidRPr="005E35D4">
        <w:rPr>
          <w:rFonts w:ascii="Times New Roman" w:hAnsi="Times New Roman" w:cs="Times New Roman"/>
          <w:sz w:val="24"/>
          <w:szCs w:val="24"/>
        </w:rPr>
        <w:t xml:space="preserve">switch business operations from non-renewable to renewable energy sources or </w:t>
      </w:r>
      <w:r>
        <w:rPr>
          <w:rFonts w:ascii="Times New Roman" w:hAnsi="Times New Roman" w:cs="Times New Roman"/>
          <w:sz w:val="24"/>
          <w:szCs w:val="24"/>
        </w:rPr>
        <w:t>adopt electrification</w:t>
      </w:r>
      <w:r w:rsidRPr="005E35D4">
        <w:rPr>
          <w:rFonts w:ascii="Times New Roman" w:hAnsi="Times New Roman" w:cs="Times New Roman"/>
          <w:sz w:val="24"/>
          <w:szCs w:val="24"/>
        </w:rPr>
        <w:t xml:space="preserve"> technologies</w:t>
      </w:r>
      <w:r>
        <w:rPr>
          <w:rFonts w:ascii="Times New Roman" w:hAnsi="Times New Roman" w:cs="Times New Roman"/>
          <w:sz w:val="24"/>
          <w:szCs w:val="24"/>
        </w:rPr>
        <w:t xml:space="preserve"> that will create demand for an increasing amount of renewable energy in the generation mix</w:t>
      </w:r>
      <w:r w:rsidRPr="005E35D4">
        <w:rPr>
          <w:rFonts w:ascii="Times New Roman" w:hAnsi="Times New Roman" w:cs="Times New Roman"/>
          <w:sz w:val="24"/>
          <w:szCs w:val="24"/>
        </w:rPr>
        <w:t xml:space="preserve">. ARENA can also fund studies and analysis that will support further emissions reduction activities in the future. The function will allow ARENA to play a significant role in delivering the </w:t>
      </w:r>
      <w:r w:rsidRPr="005E35D4">
        <w:rPr>
          <w:rFonts w:ascii="Times New Roman" w:hAnsi="Times New Roman" w:cs="Times New Roman"/>
          <w:i/>
          <w:sz w:val="24"/>
          <w:szCs w:val="24"/>
        </w:rPr>
        <w:t>Powering Australia</w:t>
      </w:r>
      <w:r>
        <w:rPr>
          <w:rFonts w:ascii="Times New Roman" w:hAnsi="Times New Roman" w:cs="Times New Roman"/>
          <w:sz w:val="24"/>
          <w:szCs w:val="24"/>
        </w:rPr>
        <w:t xml:space="preserve"> plan,</w:t>
      </w:r>
      <w:r w:rsidRPr="005E35D4">
        <w:rPr>
          <w:rFonts w:ascii="Times New Roman" w:hAnsi="Times New Roman" w:cs="Times New Roman"/>
          <w:sz w:val="24"/>
          <w:szCs w:val="24"/>
        </w:rPr>
        <w:t xml:space="preserve"> in </w:t>
      </w:r>
      <w:r>
        <w:rPr>
          <w:rFonts w:ascii="Times New Roman" w:hAnsi="Times New Roman" w:cs="Times New Roman"/>
          <w:sz w:val="24"/>
          <w:szCs w:val="24"/>
        </w:rPr>
        <w:t xml:space="preserve">support of reaching </w:t>
      </w:r>
      <w:r w:rsidRPr="005E35D4">
        <w:rPr>
          <w:rFonts w:ascii="Times New Roman" w:hAnsi="Times New Roman" w:cs="Times New Roman"/>
          <w:sz w:val="24"/>
          <w:szCs w:val="24"/>
        </w:rPr>
        <w:t xml:space="preserve">Australia’s </w:t>
      </w:r>
      <w:r>
        <w:rPr>
          <w:rFonts w:ascii="Times New Roman" w:hAnsi="Times New Roman" w:cs="Times New Roman"/>
          <w:sz w:val="24"/>
          <w:szCs w:val="24"/>
        </w:rPr>
        <w:t>NDC</w:t>
      </w:r>
      <w:r w:rsidRPr="005E35D4">
        <w:rPr>
          <w:rFonts w:ascii="Times New Roman" w:hAnsi="Times New Roman" w:cs="Times New Roman"/>
          <w:sz w:val="24"/>
          <w:szCs w:val="24"/>
        </w:rPr>
        <w:t>.</w:t>
      </w:r>
    </w:p>
    <w:p w14:paraId="0C96AC93"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The Regulations</w:t>
      </w:r>
      <w:r>
        <w:rPr>
          <w:rFonts w:ascii="Times New Roman" w:hAnsi="Times New Roman" w:cs="Times New Roman"/>
          <w:sz w:val="24"/>
          <w:szCs w:val="24"/>
        </w:rPr>
        <w:t xml:space="preserve"> are also different to the previous</w:t>
      </w:r>
      <w:r w:rsidRPr="005E35D4">
        <w:rPr>
          <w:rFonts w:ascii="Times New Roman" w:hAnsi="Times New Roman" w:cs="Times New Roman"/>
          <w:sz w:val="24"/>
          <w:szCs w:val="24"/>
        </w:rPr>
        <w:t xml:space="preserve"> </w:t>
      </w:r>
      <w:r w:rsidRPr="005E35D4">
        <w:rPr>
          <w:rFonts w:ascii="Times New Roman" w:hAnsi="Times New Roman" w:cs="Times New Roman"/>
          <w:i/>
          <w:sz w:val="24"/>
          <w:szCs w:val="24"/>
        </w:rPr>
        <w:t>Australian Renewable Energy Agency (</w:t>
      </w:r>
      <w:r>
        <w:rPr>
          <w:rFonts w:ascii="Times New Roman" w:hAnsi="Times New Roman" w:cs="Times New Roman"/>
          <w:i/>
          <w:sz w:val="24"/>
          <w:szCs w:val="24"/>
        </w:rPr>
        <w:t>Implementing the Technology Investment Roadmap) Regulations 2021</w:t>
      </w:r>
      <w:r w:rsidRPr="005E35D4">
        <w:rPr>
          <w:rFonts w:ascii="Times New Roman" w:hAnsi="Times New Roman" w:cs="Times New Roman"/>
          <w:sz w:val="24"/>
          <w:szCs w:val="24"/>
        </w:rPr>
        <w:t xml:space="preserve"> which also conferred </w:t>
      </w:r>
      <w:r>
        <w:rPr>
          <w:rFonts w:ascii="Times New Roman" w:hAnsi="Times New Roman" w:cs="Times New Roman"/>
          <w:sz w:val="24"/>
          <w:szCs w:val="24"/>
        </w:rPr>
        <w:t xml:space="preserve">additional </w:t>
      </w:r>
      <w:r w:rsidRPr="005E35D4">
        <w:rPr>
          <w:rFonts w:ascii="Times New Roman" w:hAnsi="Times New Roman" w:cs="Times New Roman"/>
          <w:sz w:val="24"/>
          <w:szCs w:val="24"/>
        </w:rPr>
        <w:t xml:space="preserve">functions on ARENA. In particular, the Regulations </w:t>
      </w:r>
      <w:r>
        <w:rPr>
          <w:rFonts w:ascii="Times New Roman" w:hAnsi="Times New Roman" w:cs="Times New Roman"/>
          <w:sz w:val="24"/>
          <w:szCs w:val="24"/>
        </w:rPr>
        <w:t xml:space="preserve">do not include specific functions relating to the use of carbon capture and storage </w:t>
      </w:r>
      <w:r w:rsidRPr="005E35D4">
        <w:rPr>
          <w:rFonts w:ascii="Times New Roman" w:hAnsi="Times New Roman" w:cs="Times New Roman"/>
          <w:sz w:val="24"/>
          <w:szCs w:val="24"/>
        </w:rPr>
        <w:t>technologies</w:t>
      </w:r>
      <w:r>
        <w:rPr>
          <w:rFonts w:ascii="Times New Roman" w:hAnsi="Times New Roman" w:cs="Times New Roman"/>
          <w:sz w:val="24"/>
          <w:szCs w:val="24"/>
        </w:rPr>
        <w:t xml:space="preserve"> and soil carbon measurement, nor do they constrain ARENA’s decision making</w:t>
      </w:r>
      <w:r w:rsidRPr="005E35D4">
        <w:rPr>
          <w:rFonts w:ascii="Times New Roman" w:hAnsi="Times New Roman" w:cs="Times New Roman"/>
          <w:sz w:val="24"/>
          <w:szCs w:val="24"/>
        </w:rPr>
        <w:t>. The Regulation</w:t>
      </w:r>
      <w:r>
        <w:rPr>
          <w:rFonts w:ascii="Times New Roman" w:hAnsi="Times New Roman" w:cs="Times New Roman"/>
          <w:sz w:val="24"/>
          <w:szCs w:val="24"/>
        </w:rPr>
        <w:t>s</w:t>
      </w:r>
      <w:r w:rsidRPr="005E35D4">
        <w:rPr>
          <w:rFonts w:ascii="Times New Roman" w:hAnsi="Times New Roman" w:cs="Times New Roman"/>
          <w:sz w:val="24"/>
          <w:szCs w:val="24"/>
        </w:rPr>
        <w:t xml:space="preserve"> </w:t>
      </w:r>
      <w:r>
        <w:rPr>
          <w:rFonts w:ascii="Times New Roman" w:hAnsi="Times New Roman" w:cs="Times New Roman"/>
          <w:sz w:val="24"/>
          <w:szCs w:val="24"/>
        </w:rPr>
        <w:t xml:space="preserve">maintain the </w:t>
      </w:r>
      <w:r w:rsidRPr="005E35D4">
        <w:rPr>
          <w:rFonts w:ascii="Times New Roman" w:hAnsi="Times New Roman" w:cs="Times New Roman"/>
          <w:sz w:val="24"/>
          <w:szCs w:val="24"/>
        </w:rPr>
        <w:t>limitation provision in section 7</w:t>
      </w:r>
      <w:r>
        <w:rPr>
          <w:rFonts w:ascii="Times New Roman" w:hAnsi="Times New Roman" w:cs="Times New Roman"/>
          <w:sz w:val="24"/>
          <w:szCs w:val="24"/>
        </w:rPr>
        <w:t>,</w:t>
      </w:r>
      <w:r w:rsidRPr="005E35D4">
        <w:rPr>
          <w:rFonts w:ascii="Times New Roman" w:hAnsi="Times New Roman" w:cs="Times New Roman"/>
          <w:sz w:val="24"/>
          <w:szCs w:val="24"/>
        </w:rPr>
        <w:t xml:space="preserve"> to confirm the new functions are consistent with the statutory framework</w:t>
      </w:r>
      <w:r>
        <w:rPr>
          <w:rFonts w:ascii="Times New Roman" w:hAnsi="Times New Roman" w:cs="Times New Roman"/>
          <w:sz w:val="24"/>
          <w:szCs w:val="24"/>
        </w:rPr>
        <w:t>, which was not part of the earlier regulations</w:t>
      </w:r>
      <w:r w:rsidRPr="005E35D4">
        <w:rPr>
          <w:rFonts w:ascii="Times New Roman" w:hAnsi="Times New Roman" w:cs="Times New Roman"/>
          <w:sz w:val="24"/>
          <w:szCs w:val="24"/>
        </w:rPr>
        <w:t>.</w:t>
      </w:r>
    </w:p>
    <w:p w14:paraId="0B6738C1"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color w:val="000000"/>
          <w:sz w:val="24"/>
          <w:szCs w:val="24"/>
          <w:shd w:val="clear" w:color="auto" w:fill="FFFFFF"/>
        </w:rPr>
        <w:t xml:space="preserve">Further details of the Regulations are set out at </w:t>
      </w:r>
      <w:r w:rsidRPr="005E35D4">
        <w:rPr>
          <w:rFonts w:ascii="Times New Roman" w:hAnsi="Times New Roman" w:cs="Times New Roman"/>
          <w:b/>
          <w:color w:val="000000"/>
          <w:sz w:val="24"/>
          <w:szCs w:val="24"/>
          <w:u w:val="single"/>
          <w:shd w:val="clear" w:color="auto" w:fill="FFFFFF"/>
        </w:rPr>
        <w:t>Attachment A.</w:t>
      </w:r>
    </w:p>
    <w:p w14:paraId="11F9042E" w14:textId="77777777" w:rsidR="00E3667C" w:rsidRPr="005E35D4" w:rsidRDefault="00E3667C" w:rsidP="00E3667C">
      <w:pPr>
        <w:keepNext/>
        <w:keepLines/>
        <w:spacing w:before="240" w:after="240"/>
        <w:rPr>
          <w:rFonts w:ascii="Times New Roman" w:hAnsi="Times New Roman" w:cs="Times New Roman"/>
          <w:b/>
          <w:sz w:val="24"/>
          <w:szCs w:val="24"/>
          <w:u w:val="single"/>
        </w:rPr>
      </w:pPr>
      <w:r w:rsidRPr="005E35D4">
        <w:rPr>
          <w:rFonts w:ascii="Times New Roman" w:hAnsi="Times New Roman" w:cs="Times New Roman"/>
          <w:b/>
          <w:sz w:val="24"/>
          <w:szCs w:val="24"/>
          <w:u w:val="single"/>
        </w:rPr>
        <w:t>Consultation</w:t>
      </w:r>
    </w:p>
    <w:p w14:paraId="192217CE" w14:textId="22EF3795" w:rsidR="005C1521"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ARENA was consulted on a d</w:t>
      </w:r>
      <w:r>
        <w:rPr>
          <w:rFonts w:ascii="Times New Roman" w:hAnsi="Times New Roman" w:cs="Times New Roman"/>
          <w:sz w:val="24"/>
          <w:szCs w:val="24"/>
        </w:rPr>
        <w:t>raft of the Regulations in June</w:t>
      </w:r>
      <w:r w:rsidRPr="005E35D4">
        <w:rPr>
          <w:rFonts w:ascii="Times New Roman" w:hAnsi="Times New Roman" w:cs="Times New Roman"/>
          <w:sz w:val="24"/>
          <w:szCs w:val="24"/>
        </w:rPr>
        <w:t xml:space="preserve"> 2022 and will undertake appropriate consultation on the implementation of the</w:t>
      </w:r>
      <w:r>
        <w:rPr>
          <w:rFonts w:ascii="Times New Roman" w:hAnsi="Times New Roman" w:cs="Times New Roman"/>
          <w:sz w:val="24"/>
          <w:szCs w:val="24"/>
        </w:rPr>
        <w:t xml:space="preserve"> relevant</w:t>
      </w:r>
      <w:r w:rsidRPr="005E35D4">
        <w:rPr>
          <w:rFonts w:ascii="Times New Roman" w:hAnsi="Times New Roman" w:cs="Times New Roman"/>
          <w:sz w:val="24"/>
          <w:szCs w:val="24"/>
        </w:rPr>
        <w:t xml:space="preserve"> initiatives consistent with its statutory framework and responsibilities.</w:t>
      </w:r>
    </w:p>
    <w:p w14:paraId="4E340A19" w14:textId="77777777" w:rsidR="005C1521" w:rsidRDefault="005C1521">
      <w:pPr>
        <w:rPr>
          <w:rFonts w:ascii="Times New Roman" w:hAnsi="Times New Roman" w:cs="Times New Roman"/>
          <w:sz w:val="24"/>
          <w:szCs w:val="24"/>
        </w:rPr>
      </w:pPr>
      <w:r>
        <w:rPr>
          <w:rFonts w:ascii="Times New Roman" w:hAnsi="Times New Roman" w:cs="Times New Roman"/>
          <w:sz w:val="24"/>
          <w:szCs w:val="24"/>
        </w:rPr>
        <w:br w:type="page"/>
      </w:r>
    </w:p>
    <w:p w14:paraId="4BF7EB10" w14:textId="77777777" w:rsidR="00E3667C" w:rsidRPr="005E35D4" w:rsidRDefault="00E3667C" w:rsidP="00E3667C">
      <w:pPr>
        <w:spacing w:before="240" w:after="240"/>
        <w:rPr>
          <w:rFonts w:ascii="Times New Roman" w:hAnsi="Times New Roman" w:cs="Times New Roman"/>
          <w:b/>
          <w:sz w:val="24"/>
          <w:szCs w:val="24"/>
          <w:u w:val="single"/>
        </w:rPr>
      </w:pPr>
      <w:r w:rsidRPr="005E35D4">
        <w:rPr>
          <w:rFonts w:ascii="Times New Roman" w:hAnsi="Times New Roman" w:cs="Times New Roman"/>
          <w:b/>
          <w:sz w:val="24"/>
          <w:szCs w:val="24"/>
          <w:u w:val="single"/>
        </w:rPr>
        <w:lastRenderedPageBreak/>
        <w:t>Regulatory Impact</w:t>
      </w:r>
    </w:p>
    <w:p w14:paraId="0101AB9E"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A short-form Regulation Impact Statement agreed with the Office of Best Practice Regulation for this measure found there would likely be no regulatory impact (reference number ID</w:t>
      </w:r>
      <w:r>
        <w:rPr>
          <w:rFonts w:ascii="Times New Roman" w:hAnsi="Times New Roman" w:cs="Times New Roman"/>
          <w:sz w:val="24"/>
          <w:szCs w:val="24"/>
        </w:rPr>
        <w:t> </w:t>
      </w:r>
      <w:r w:rsidRPr="005E35D4">
        <w:rPr>
          <w:rFonts w:ascii="Times New Roman" w:hAnsi="Times New Roman" w:cs="Times New Roman"/>
          <w:sz w:val="24"/>
          <w:szCs w:val="24"/>
        </w:rPr>
        <w:t>43576 refers).</w:t>
      </w:r>
    </w:p>
    <w:p w14:paraId="7969F814" w14:textId="77777777" w:rsidR="00E3667C" w:rsidRPr="005E35D4" w:rsidRDefault="00E3667C" w:rsidP="00E3667C">
      <w:pPr>
        <w:spacing w:before="200"/>
        <w:rPr>
          <w:rFonts w:ascii="Times New Roman" w:hAnsi="Times New Roman" w:cs="Times New Roman"/>
          <w:b/>
          <w:sz w:val="24"/>
          <w:szCs w:val="24"/>
          <w:u w:val="single"/>
        </w:rPr>
      </w:pPr>
      <w:r w:rsidRPr="005E35D4">
        <w:rPr>
          <w:rFonts w:ascii="Times New Roman" w:hAnsi="Times New Roman" w:cs="Times New Roman"/>
          <w:b/>
          <w:sz w:val="24"/>
          <w:szCs w:val="24"/>
          <w:u w:val="single"/>
        </w:rPr>
        <w:t>Statement of Compatibility with Human Rights</w:t>
      </w:r>
    </w:p>
    <w:p w14:paraId="715F0B67"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eastAsia="Times New Roman" w:hAnsi="Times New Roman" w:cs="Times New Roman"/>
          <w:color w:val="000000"/>
          <w:sz w:val="24"/>
          <w:szCs w:val="24"/>
          <w:lang w:val="en-GB" w:eastAsia="en-AU"/>
        </w:rPr>
        <w:t>A Statement of Compatibility with Human Rights for the purposes of Part 3 of the </w:t>
      </w:r>
      <w:r w:rsidRPr="005E35D4">
        <w:rPr>
          <w:rFonts w:ascii="Times New Roman" w:eastAsia="Times New Roman" w:hAnsi="Times New Roman" w:cs="Times New Roman"/>
          <w:i/>
          <w:iCs/>
          <w:color w:val="000000"/>
          <w:sz w:val="24"/>
          <w:szCs w:val="24"/>
          <w:lang w:val="en-GB" w:eastAsia="en-AU"/>
        </w:rPr>
        <w:t>Human Rights (Parliamentary Scrutiny) Act 2011</w:t>
      </w:r>
      <w:r w:rsidRPr="005E35D4">
        <w:rPr>
          <w:rFonts w:ascii="Times New Roman" w:eastAsia="Times New Roman" w:hAnsi="Times New Roman" w:cs="Times New Roman"/>
          <w:color w:val="000000"/>
          <w:sz w:val="24"/>
          <w:szCs w:val="24"/>
          <w:lang w:val="en-GB" w:eastAsia="en-AU"/>
        </w:rPr>
        <w:t xml:space="preserve"> is set out at </w:t>
      </w:r>
      <w:r w:rsidRPr="005E35D4">
        <w:rPr>
          <w:rFonts w:ascii="Times New Roman" w:eastAsia="Times New Roman" w:hAnsi="Times New Roman" w:cs="Times New Roman"/>
          <w:b/>
          <w:color w:val="000000"/>
          <w:sz w:val="24"/>
          <w:szCs w:val="24"/>
          <w:u w:val="single"/>
          <w:lang w:val="en-GB" w:eastAsia="en-AU"/>
        </w:rPr>
        <w:t>Attachment B.</w:t>
      </w:r>
    </w:p>
    <w:p w14:paraId="66455D3C" w14:textId="77777777" w:rsidR="00E3667C" w:rsidRPr="005E35D4" w:rsidRDefault="00E3667C" w:rsidP="00E3667C">
      <w:pPr>
        <w:rPr>
          <w:rFonts w:ascii="Times New Roman" w:hAnsi="Times New Roman" w:cs="Times New Roman"/>
          <w:b/>
          <w:sz w:val="24"/>
          <w:szCs w:val="24"/>
          <w:u w:val="single"/>
        </w:rPr>
      </w:pPr>
      <w:r w:rsidRPr="005E35D4">
        <w:rPr>
          <w:rFonts w:ascii="Times New Roman" w:hAnsi="Times New Roman" w:cs="Times New Roman"/>
          <w:b/>
          <w:sz w:val="24"/>
          <w:szCs w:val="24"/>
          <w:u w:val="single"/>
        </w:rPr>
        <w:br w:type="page"/>
      </w:r>
    </w:p>
    <w:p w14:paraId="0E16B984" w14:textId="77777777" w:rsidR="00E3667C" w:rsidRPr="005E35D4" w:rsidRDefault="00E3667C" w:rsidP="00E3667C">
      <w:pPr>
        <w:spacing w:before="240" w:after="240"/>
        <w:jc w:val="right"/>
        <w:rPr>
          <w:rFonts w:ascii="Times New Roman" w:hAnsi="Times New Roman" w:cs="Times New Roman"/>
          <w:b/>
          <w:sz w:val="24"/>
          <w:szCs w:val="24"/>
          <w:u w:val="single"/>
        </w:rPr>
      </w:pPr>
      <w:r w:rsidRPr="005E35D4">
        <w:rPr>
          <w:rFonts w:ascii="Times New Roman" w:hAnsi="Times New Roman" w:cs="Times New Roman"/>
          <w:b/>
          <w:sz w:val="24"/>
          <w:szCs w:val="24"/>
          <w:u w:val="single"/>
        </w:rPr>
        <w:lastRenderedPageBreak/>
        <w:t>Attachment A</w:t>
      </w:r>
    </w:p>
    <w:p w14:paraId="18D7B3F4" w14:textId="77777777" w:rsidR="00E3667C" w:rsidRPr="005E35D4" w:rsidRDefault="00E3667C" w:rsidP="00E3667C">
      <w:pPr>
        <w:spacing w:before="240" w:after="240"/>
        <w:rPr>
          <w:rFonts w:ascii="Times New Roman" w:hAnsi="Times New Roman" w:cs="Times New Roman"/>
          <w:b/>
          <w:sz w:val="24"/>
          <w:szCs w:val="24"/>
          <w:u w:val="single"/>
        </w:rPr>
      </w:pPr>
      <w:r w:rsidRPr="005E35D4">
        <w:rPr>
          <w:rFonts w:ascii="Times New Roman" w:hAnsi="Times New Roman" w:cs="Times New Roman"/>
          <w:b/>
          <w:sz w:val="24"/>
          <w:szCs w:val="24"/>
          <w:u w:val="single"/>
        </w:rPr>
        <w:t xml:space="preserve">Details of the </w:t>
      </w:r>
      <w:r w:rsidRPr="005E35D4">
        <w:rPr>
          <w:rFonts w:ascii="Times New Roman" w:hAnsi="Times New Roman" w:cs="Times New Roman"/>
          <w:b/>
          <w:i/>
          <w:sz w:val="24"/>
          <w:szCs w:val="24"/>
          <w:u w:val="single"/>
        </w:rPr>
        <w:t>Australian Renewable Energy Agency Amendment (</w:t>
      </w:r>
      <w:r>
        <w:rPr>
          <w:rFonts w:ascii="Times New Roman" w:hAnsi="Times New Roman" w:cs="Times New Roman"/>
          <w:b/>
          <w:i/>
          <w:sz w:val="24"/>
          <w:szCs w:val="24"/>
          <w:u w:val="single"/>
        </w:rPr>
        <w:t>Powering Australia</w:t>
      </w:r>
      <w:r w:rsidRPr="005E35D4">
        <w:rPr>
          <w:rFonts w:ascii="Times New Roman" w:hAnsi="Times New Roman" w:cs="Times New Roman"/>
          <w:b/>
          <w:i/>
          <w:sz w:val="24"/>
          <w:szCs w:val="24"/>
          <w:u w:val="single"/>
        </w:rPr>
        <w:t>) Regulations 2022</w:t>
      </w:r>
    </w:p>
    <w:p w14:paraId="261F578E"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Section 1 – Name</w:t>
      </w:r>
    </w:p>
    <w:p w14:paraId="1B6EBA1B"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Section 1 provides that the title of the Regulations is the </w:t>
      </w:r>
      <w:r w:rsidRPr="00371165">
        <w:rPr>
          <w:rFonts w:ascii="Times New Roman" w:hAnsi="Times New Roman" w:cs="Times New Roman"/>
          <w:i/>
          <w:sz w:val="24"/>
          <w:szCs w:val="24"/>
        </w:rPr>
        <w:t>Australian Renewable Energy Agency Amendment (Powering Australia) Regulations 2022</w:t>
      </w:r>
      <w:r w:rsidRPr="005E35D4">
        <w:rPr>
          <w:rFonts w:ascii="Times New Roman" w:hAnsi="Times New Roman" w:cs="Times New Roman"/>
          <w:sz w:val="24"/>
          <w:szCs w:val="24"/>
        </w:rPr>
        <w:t>.</w:t>
      </w:r>
    </w:p>
    <w:p w14:paraId="01E65748"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Section 2 – Commencement</w:t>
      </w:r>
    </w:p>
    <w:p w14:paraId="7CAF24D8"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Section 2 provides that the Regulations commence the day after registration on the Federal Register of Legislation.</w:t>
      </w:r>
    </w:p>
    <w:p w14:paraId="66255B72"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Section 3 – Authority</w:t>
      </w:r>
    </w:p>
    <w:p w14:paraId="42320140"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Section 3 provides that the Regulations are made under the </w:t>
      </w:r>
      <w:r w:rsidRPr="005E35D4">
        <w:rPr>
          <w:rFonts w:ascii="Times New Roman" w:hAnsi="Times New Roman" w:cs="Times New Roman"/>
          <w:i/>
          <w:sz w:val="24"/>
          <w:szCs w:val="24"/>
        </w:rPr>
        <w:t xml:space="preserve">Australian Renewable Energy Agency Act 2011 </w:t>
      </w:r>
      <w:r w:rsidRPr="005E35D4">
        <w:rPr>
          <w:rFonts w:ascii="Times New Roman" w:hAnsi="Times New Roman" w:cs="Times New Roman"/>
          <w:sz w:val="24"/>
          <w:szCs w:val="24"/>
        </w:rPr>
        <w:t xml:space="preserve">(the Act). For the avoidance of doubt, the power to make regulations under section 74 of the Act also includes the power to amend or revoke any such regulations once they have been made, as per subsection 33(3) of the </w:t>
      </w:r>
      <w:r w:rsidRPr="005E35D4">
        <w:rPr>
          <w:rFonts w:ascii="Times New Roman" w:hAnsi="Times New Roman" w:cs="Times New Roman"/>
          <w:i/>
          <w:sz w:val="24"/>
          <w:szCs w:val="24"/>
        </w:rPr>
        <w:t>Acts Interpretation Act 1901</w:t>
      </w:r>
      <w:r w:rsidRPr="005E35D4">
        <w:rPr>
          <w:rFonts w:ascii="Times New Roman" w:hAnsi="Times New Roman" w:cs="Times New Roman"/>
          <w:sz w:val="24"/>
          <w:szCs w:val="24"/>
        </w:rPr>
        <w:t>.</w:t>
      </w:r>
    </w:p>
    <w:p w14:paraId="1366D01D"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Section 4 – Schedules</w:t>
      </w:r>
    </w:p>
    <w:p w14:paraId="6A4AB689"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Section 4 is a formal enabling provision specifying that each instrument specified in a Schedule to the Regulations is amended as indicated by the Schedule. Schedule 1 contains the amendments the Regulations make to the 20</w:t>
      </w:r>
      <w:r>
        <w:rPr>
          <w:rFonts w:ascii="Times New Roman" w:hAnsi="Times New Roman" w:cs="Times New Roman"/>
          <w:sz w:val="24"/>
          <w:szCs w:val="24"/>
        </w:rPr>
        <w:t>16</w:t>
      </w:r>
      <w:r w:rsidRPr="005E35D4">
        <w:rPr>
          <w:rFonts w:ascii="Times New Roman" w:hAnsi="Times New Roman" w:cs="Times New Roman"/>
          <w:sz w:val="24"/>
          <w:szCs w:val="24"/>
        </w:rPr>
        <w:t xml:space="preserve"> Regulation.</w:t>
      </w:r>
    </w:p>
    <w:p w14:paraId="4F4982FB"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SCHEDULE 1 – AMENDMENTS</w:t>
      </w:r>
    </w:p>
    <w:p w14:paraId="5232AF86" w14:textId="77777777" w:rsidR="00E3667C" w:rsidRPr="005E35D4" w:rsidRDefault="00E3667C" w:rsidP="00E3667C">
      <w:pPr>
        <w:keepNext/>
        <w:keepLines/>
        <w:spacing w:before="240" w:after="240"/>
        <w:rPr>
          <w:rFonts w:ascii="Times New Roman" w:hAnsi="Times New Roman" w:cs="Times New Roman"/>
          <w:b/>
          <w:sz w:val="24"/>
          <w:szCs w:val="24"/>
        </w:rPr>
      </w:pPr>
      <w:r w:rsidRPr="005E35D4">
        <w:rPr>
          <w:rFonts w:ascii="Times New Roman" w:hAnsi="Times New Roman" w:cs="Times New Roman"/>
          <w:b/>
          <w:sz w:val="24"/>
          <w:szCs w:val="24"/>
        </w:rPr>
        <w:t xml:space="preserve">Item </w:t>
      </w:r>
      <w:r>
        <w:rPr>
          <w:rFonts w:ascii="Times New Roman" w:hAnsi="Times New Roman" w:cs="Times New Roman"/>
          <w:b/>
          <w:sz w:val="24"/>
          <w:szCs w:val="24"/>
        </w:rPr>
        <w:t>1</w:t>
      </w:r>
      <w:r w:rsidRPr="005E35D4">
        <w:rPr>
          <w:rFonts w:ascii="Times New Roman" w:hAnsi="Times New Roman" w:cs="Times New Roman"/>
          <w:b/>
          <w:sz w:val="24"/>
          <w:szCs w:val="24"/>
        </w:rPr>
        <w:t xml:space="preserve"> – Section 4</w:t>
      </w:r>
    </w:p>
    <w:p w14:paraId="3BCAF745" w14:textId="77777777" w:rsidR="00F702ED" w:rsidRDefault="00E3667C" w:rsidP="00F702ED">
      <w:pPr>
        <w:spacing w:before="240" w:after="240"/>
        <w:rPr>
          <w:rFonts w:ascii="Times New Roman" w:hAnsi="Times New Roman" w:cs="Times New Roman"/>
          <w:sz w:val="24"/>
          <w:szCs w:val="24"/>
        </w:rPr>
      </w:pPr>
      <w:r w:rsidRPr="00F702ED">
        <w:rPr>
          <w:rFonts w:ascii="Times New Roman" w:hAnsi="Times New Roman" w:cs="Times New Roman"/>
          <w:sz w:val="24"/>
          <w:szCs w:val="24"/>
        </w:rPr>
        <w:t>This item adds definitions of ‘electrification technologies’ and  ‘energy efficiency technologies’ to section 4 of the 2016 Regulation to define the areas of ARENA’s expanded operational remit to include electrification and energy efficiency technologies.</w:t>
      </w:r>
    </w:p>
    <w:p w14:paraId="27608C88" w14:textId="1DB23597" w:rsidR="00F702ED" w:rsidRDefault="00E3667C" w:rsidP="00F702ED">
      <w:pPr>
        <w:spacing w:before="240" w:after="240"/>
        <w:rPr>
          <w:rFonts w:ascii="Times New Roman" w:hAnsi="Times New Roman" w:cs="Times New Roman"/>
          <w:sz w:val="24"/>
          <w:szCs w:val="24"/>
        </w:rPr>
      </w:pPr>
      <w:r w:rsidRPr="00F702ED">
        <w:rPr>
          <w:rFonts w:ascii="Times New Roman" w:hAnsi="Times New Roman" w:cs="Times New Roman"/>
          <w:sz w:val="24"/>
          <w:szCs w:val="24"/>
        </w:rPr>
        <w:t>‘Electrification technologies’ is defined as technologies that use electricity and replace technologies that use fossil fuels; or technologies that facilitate the replacement of technologies that use fossil fuels with technologies that use electricity. This includes both EVs, which replace vehicles powered by fossil fuels, and charging infrastructure which facilitates the uptake of those vehicles. Industrial and manufacturing process can also be electrified, replacing technologies that generally used natural gas or diesel. For the reasons outlined earlier, electrified technologies do not need to use renewable energy, such as through GreenPower or directly connected solar, but will generally support and use renewables as the grid adapts to achieve Australia’s new NDC under the Paris Agreement.</w:t>
      </w:r>
    </w:p>
    <w:p w14:paraId="604CB2C5" w14:textId="58BE957B" w:rsidR="00E3667C" w:rsidRPr="00F702ED" w:rsidRDefault="00E3667C" w:rsidP="00F702ED">
      <w:pPr>
        <w:spacing w:before="240" w:after="240"/>
        <w:rPr>
          <w:rFonts w:ascii="Times New Roman" w:hAnsi="Times New Roman" w:cs="Times New Roman"/>
          <w:sz w:val="24"/>
          <w:szCs w:val="24"/>
        </w:rPr>
      </w:pPr>
      <w:r w:rsidRPr="00F702ED">
        <w:rPr>
          <w:rFonts w:ascii="Times New Roman" w:hAnsi="Times New Roman" w:cs="Times New Roman"/>
          <w:sz w:val="24"/>
          <w:szCs w:val="24"/>
        </w:rPr>
        <w:lastRenderedPageBreak/>
        <w:t>‘Energy efficiency technologies’ includes energy conservation technologies, demand management technologies and technologies (including enabling technologies) that are related to energy efficiency technologies. That is, the term would include technologies that enable, or are otherwise related to, energy conservation technologies or demand management technologies. Beyond this, it is intended for the term to carry its ordinary meaning of a technology that facilitates reductions in energy consumption or increases in productivity relative to energy consumption. ‘Technology’ here is intended to carry its widest possible meaning in the sense of extending to ideas, practices and processes as well as the more conventional software, machinery and equipment. Examples of energy efficiency technologies might include plant and machinery upgrades, technologies that increase the efficiency of agricultural production and demand response techniques such as load shifting, energy storage, and electrification.</w:t>
      </w:r>
    </w:p>
    <w:p w14:paraId="79731CBC" w14:textId="77777777" w:rsidR="00E3667C" w:rsidRPr="005E35D4" w:rsidRDefault="00E3667C" w:rsidP="00E3667C">
      <w:pPr>
        <w:keepNext/>
        <w:spacing w:before="240" w:after="240"/>
        <w:rPr>
          <w:rFonts w:ascii="Times New Roman" w:hAnsi="Times New Roman" w:cs="Times New Roman"/>
          <w:b/>
          <w:sz w:val="24"/>
          <w:szCs w:val="24"/>
        </w:rPr>
      </w:pPr>
      <w:r w:rsidRPr="005E35D4">
        <w:rPr>
          <w:rFonts w:ascii="Times New Roman" w:hAnsi="Times New Roman" w:cs="Times New Roman"/>
          <w:b/>
          <w:sz w:val="24"/>
          <w:szCs w:val="24"/>
        </w:rPr>
        <w:t xml:space="preserve">Item </w:t>
      </w:r>
      <w:r>
        <w:rPr>
          <w:rFonts w:ascii="Times New Roman" w:hAnsi="Times New Roman" w:cs="Times New Roman"/>
          <w:b/>
          <w:sz w:val="24"/>
          <w:szCs w:val="24"/>
        </w:rPr>
        <w:t>2</w:t>
      </w:r>
      <w:r w:rsidRPr="005E35D4">
        <w:rPr>
          <w:rFonts w:ascii="Times New Roman" w:hAnsi="Times New Roman" w:cs="Times New Roman"/>
          <w:b/>
          <w:sz w:val="24"/>
          <w:szCs w:val="24"/>
        </w:rPr>
        <w:t xml:space="preserve"> – Section </w:t>
      </w:r>
      <w:r>
        <w:rPr>
          <w:rFonts w:ascii="Times New Roman" w:hAnsi="Times New Roman" w:cs="Times New Roman"/>
          <w:b/>
          <w:sz w:val="24"/>
          <w:szCs w:val="24"/>
        </w:rPr>
        <w:t>6</w:t>
      </w:r>
      <w:r w:rsidRPr="005E35D4">
        <w:rPr>
          <w:rFonts w:ascii="Times New Roman" w:hAnsi="Times New Roman" w:cs="Times New Roman"/>
          <w:b/>
          <w:sz w:val="24"/>
          <w:szCs w:val="24"/>
        </w:rPr>
        <w:t xml:space="preserve"> (heading)</w:t>
      </w:r>
    </w:p>
    <w:p w14:paraId="50224B16"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Item </w:t>
      </w:r>
      <w:r>
        <w:rPr>
          <w:rFonts w:ascii="Times New Roman" w:hAnsi="Times New Roman" w:cs="Times New Roman"/>
          <w:sz w:val="24"/>
          <w:szCs w:val="24"/>
        </w:rPr>
        <w:t>2</w:t>
      </w:r>
      <w:r w:rsidRPr="005E35D4">
        <w:rPr>
          <w:rFonts w:ascii="Times New Roman" w:hAnsi="Times New Roman" w:cs="Times New Roman"/>
          <w:sz w:val="24"/>
          <w:szCs w:val="24"/>
        </w:rPr>
        <w:t xml:space="preserve"> </w:t>
      </w:r>
      <w:r>
        <w:rPr>
          <w:rFonts w:ascii="Times New Roman" w:hAnsi="Times New Roman" w:cs="Times New Roman"/>
          <w:sz w:val="24"/>
          <w:szCs w:val="24"/>
        </w:rPr>
        <w:t>substitutes</w:t>
      </w:r>
      <w:r w:rsidRPr="005E35D4">
        <w:rPr>
          <w:rFonts w:ascii="Times New Roman" w:hAnsi="Times New Roman" w:cs="Times New Roman"/>
          <w:sz w:val="24"/>
          <w:szCs w:val="24"/>
        </w:rPr>
        <w:t xml:space="preserve"> </w:t>
      </w:r>
      <w:r w:rsidRPr="001A4BB9">
        <w:rPr>
          <w:rFonts w:ascii="Times New Roman" w:hAnsi="Times New Roman" w:cs="Times New Roman"/>
          <w:sz w:val="24"/>
          <w:szCs w:val="24"/>
        </w:rPr>
        <w:t>“energy efficiency technologies and electrification technologies”</w:t>
      </w:r>
      <w:r w:rsidRPr="001A4BB9" w:rsidDel="001A4BB9">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1A4BB9">
        <w:rPr>
          <w:rFonts w:ascii="Times New Roman" w:hAnsi="Times New Roman" w:cs="Times New Roman"/>
          <w:sz w:val="24"/>
          <w:szCs w:val="24"/>
        </w:rPr>
        <w:t>“clean energy technologies”</w:t>
      </w:r>
      <w:r w:rsidRPr="001A4BB9" w:rsidDel="001A4BB9">
        <w:rPr>
          <w:rFonts w:ascii="Times New Roman" w:hAnsi="Times New Roman" w:cs="Times New Roman"/>
          <w:sz w:val="24"/>
          <w:szCs w:val="24"/>
        </w:rPr>
        <w:t xml:space="preserve"> </w:t>
      </w:r>
      <w:r>
        <w:rPr>
          <w:rFonts w:ascii="Times New Roman" w:hAnsi="Times New Roman" w:cs="Times New Roman"/>
          <w:sz w:val="24"/>
          <w:szCs w:val="24"/>
        </w:rPr>
        <w:t>into</w:t>
      </w:r>
      <w:r w:rsidRPr="005E35D4">
        <w:rPr>
          <w:rFonts w:ascii="Times New Roman" w:hAnsi="Times New Roman" w:cs="Times New Roman"/>
          <w:sz w:val="24"/>
          <w:szCs w:val="24"/>
        </w:rPr>
        <w:t xml:space="preserve"> the heading to section </w:t>
      </w:r>
      <w:r>
        <w:rPr>
          <w:rFonts w:ascii="Times New Roman" w:hAnsi="Times New Roman" w:cs="Times New Roman"/>
          <w:sz w:val="24"/>
          <w:szCs w:val="24"/>
        </w:rPr>
        <w:t>6</w:t>
      </w:r>
      <w:r w:rsidRPr="005E35D4">
        <w:rPr>
          <w:rFonts w:ascii="Times New Roman" w:hAnsi="Times New Roman" w:cs="Times New Roman"/>
          <w:sz w:val="24"/>
          <w:szCs w:val="24"/>
        </w:rPr>
        <w:t xml:space="preserve"> of the 2016 Regulation. This reflects </w:t>
      </w:r>
      <w:r>
        <w:rPr>
          <w:rFonts w:ascii="Times New Roman" w:hAnsi="Times New Roman" w:cs="Times New Roman"/>
          <w:sz w:val="24"/>
          <w:szCs w:val="24"/>
        </w:rPr>
        <w:t>ARENA’s expanded operational remit</w:t>
      </w:r>
      <w:r w:rsidRPr="00533F85">
        <w:t xml:space="preserve"> </w:t>
      </w:r>
      <w:r>
        <w:rPr>
          <w:rFonts w:ascii="Times New Roman" w:hAnsi="Times New Roman" w:cs="Times New Roman"/>
          <w:sz w:val="24"/>
          <w:szCs w:val="24"/>
        </w:rPr>
        <w:t>to only include electrification and energy efficiency technologies</w:t>
      </w:r>
      <w:r w:rsidRPr="005E35D4">
        <w:rPr>
          <w:rFonts w:ascii="Times New Roman" w:hAnsi="Times New Roman" w:cs="Times New Roman"/>
          <w:sz w:val="24"/>
          <w:szCs w:val="24"/>
        </w:rPr>
        <w:t>.</w:t>
      </w:r>
    </w:p>
    <w:p w14:paraId="4EA76F52"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 xml:space="preserve">Item </w:t>
      </w:r>
      <w:r>
        <w:rPr>
          <w:rFonts w:ascii="Times New Roman" w:hAnsi="Times New Roman" w:cs="Times New Roman"/>
          <w:b/>
          <w:sz w:val="24"/>
          <w:szCs w:val="24"/>
        </w:rPr>
        <w:t>3</w:t>
      </w:r>
      <w:r w:rsidRPr="005E35D4">
        <w:rPr>
          <w:rFonts w:ascii="Times New Roman" w:hAnsi="Times New Roman" w:cs="Times New Roman"/>
          <w:b/>
          <w:sz w:val="24"/>
          <w:szCs w:val="24"/>
        </w:rPr>
        <w:t xml:space="preserve"> – </w:t>
      </w:r>
      <w:r w:rsidRPr="00DC16C6">
        <w:rPr>
          <w:rFonts w:ascii="Times New Roman" w:hAnsi="Times New Roman" w:cs="Times New Roman"/>
          <w:b/>
          <w:sz w:val="24"/>
          <w:szCs w:val="24"/>
        </w:rPr>
        <w:t>Subparagraphs 6(a)(i), (ii), (iii) and (iv)</w:t>
      </w:r>
    </w:p>
    <w:p w14:paraId="08667EF3"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Item </w:t>
      </w:r>
      <w:r>
        <w:rPr>
          <w:rFonts w:ascii="Times New Roman" w:hAnsi="Times New Roman" w:cs="Times New Roman"/>
          <w:sz w:val="24"/>
          <w:szCs w:val="24"/>
        </w:rPr>
        <w:t>3</w:t>
      </w:r>
      <w:r w:rsidRPr="005E35D4">
        <w:rPr>
          <w:rFonts w:ascii="Times New Roman" w:hAnsi="Times New Roman" w:cs="Times New Roman"/>
          <w:sz w:val="24"/>
          <w:szCs w:val="24"/>
        </w:rPr>
        <w:t xml:space="preserve"> </w:t>
      </w:r>
      <w:r w:rsidRPr="001A4BB9">
        <w:rPr>
          <w:rFonts w:ascii="Times New Roman" w:hAnsi="Times New Roman" w:cs="Times New Roman"/>
          <w:sz w:val="24"/>
          <w:szCs w:val="24"/>
        </w:rPr>
        <w:t>subs</w:t>
      </w:r>
      <w:r>
        <w:rPr>
          <w:rFonts w:ascii="Times New Roman" w:hAnsi="Times New Roman" w:cs="Times New Roman"/>
          <w:sz w:val="24"/>
          <w:szCs w:val="24"/>
        </w:rPr>
        <w:t>t</w:t>
      </w:r>
      <w:r w:rsidRPr="001A4BB9">
        <w:rPr>
          <w:rFonts w:ascii="Times New Roman" w:hAnsi="Times New Roman" w:cs="Times New Roman"/>
          <w:sz w:val="24"/>
          <w:szCs w:val="24"/>
        </w:rPr>
        <w:t xml:space="preserve">itutes “energy efficiency technologies and electrification technologies” for “clean energy technologies” in </w:t>
      </w:r>
      <w:r>
        <w:rPr>
          <w:rFonts w:ascii="Times New Roman" w:hAnsi="Times New Roman" w:cs="Times New Roman"/>
          <w:sz w:val="24"/>
          <w:szCs w:val="24"/>
        </w:rPr>
        <w:t>s</w:t>
      </w:r>
      <w:r w:rsidRPr="001A4BB9">
        <w:rPr>
          <w:rFonts w:ascii="Times New Roman" w:hAnsi="Times New Roman" w:cs="Times New Roman"/>
          <w:sz w:val="24"/>
          <w:szCs w:val="24"/>
        </w:rPr>
        <w:t>ubparagraphs 6(a)(i), (ii), (iii) and (iv)</w:t>
      </w:r>
      <w:r>
        <w:rPr>
          <w:rFonts w:ascii="Times New Roman" w:hAnsi="Times New Roman" w:cs="Times New Roman"/>
          <w:sz w:val="24"/>
          <w:szCs w:val="24"/>
        </w:rPr>
        <w:t xml:space="preserve"> of the 2016 Regulation to reflect </w:t>
      </w:r>
      <w:r w:rsidRPr="00533F85">
        <w:rPr>
          <w:rFonts w:ascii="Times New Roman" w:hAnsi="Times New Roman" w:cs="Times New Roman"/>
          <w:sz w:val="24"/>
          <w:szCs w:val="24"/>
        </w:rPr>
        <w:t>ARENA’s expanded operational remit</w:t>
      </w:r>
      <w:r w:rsidRPr="00533F85">
        <w:t xml:space="preserve"> </w:t>
      </w:r>
      <w:r>
        <w:rPr>
          <w:rFonts w:ascii="Times New Roman" w:hAnsi="Times New Roman" w:cs="Times New Roman"/>
          <w:sz w:val="24"/>
          <w:szCs w:val="24"/>
        </w:rPr>
        <w:t>to only include electrification and energy efficiency technologies</w:t>
      </w:r>
      <w:r w:rsidRPr="005E35D4">
        <w:rPr>
          <w:rFonts w:ascii="Times New Roman" w:hAnsi="Times New Roman" w:cs="Times New Roman"/>
          <w:sz w:val="24"/>
          <w:szCs w:val="24"/>
        </w:rPr>
        <w:t>.</w:t>
      </w:r>
    </w:p>
    <w:p w14:paraId="5F20E1CE"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 xml:space="preserve">Item </w:t>
      </w:r>
      <w:r>
        <w:rPr>
          <w:rFonts w:ascii="Times New Roman" w:hAnsi="Times New Roman" w:cs="Times New Roman"/>
          <w:b/>
          <w:sz w:val="24"/>
          <w:szCs w:val="24"/>
        </w:rPr>
        <w:t>4</w:t>
      </w:r>
      <w:r w:rsidRPr="005E35D4">
        <w:rPr>
          <w:rFonts w:ascii="Times New Roman" w:hAnsi="Times New Roman" w:cs="Times New Roman"/>
          <w:b/>
          <w:sz w:val="24"/>
          <w:szCs w:val="24"/>
        </w:rPr>
        <w:t xml:space="preserve"> – Paragraph </w:t>
      </w:r>
      <w:r>
        <w:rPr>
          <w:rFonts w:ascii="Times New Roman" w:hAnsi="Times New Roman" w:cs="Times New Roman"/>
          <w:b/>
          <w:sz w:val="24"/>
          <w:szCs w:val="24"/>
        </w:rPr>
        <w:t>6</w:t>
      </w:r>
      <w:r w:rsidRPr="005E35D4">
        <w:rPr>
          <w:rFonts w:ascii="Times New Roman" w:hAnsi="Times New Roman" w:cs="Times New Roman"/>
          <w:b/>
          <w:sz w:val="24"/>
          <w:szCs w:val="24"/>
        </w:rPr>
        <w:t>(</w:t>
      </w:r>
      <w:r>
        <w:rPr>
          <w:rFonts w:ascii="Times New Roman" w:hAnsi="Times New Roman" w:cs="Times New Roman"/>
          <w:b/>
          <w:sz w:val="24"/>
          <w:szCs w:val="24"/>
        </w:rPr>
        <w:t>d</w:t>
      </w:r>
      <w:r w:rsidRPr="005E35D4">
        <w:rPr>
          <w:rFonts w:ascii="Times New Roman" w:hAnsi="Times New Roman" w:cs="Times New Roman"/>
          <w:b/>
          <w:sz w:val="24"/>
          <w:szCs w:val="24"/>
        </w:rPr>
        <w:t>)</w:t>
      </w:r>
    </w:p>
    <w:p w14:paraId="0B837827"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Item </w:t>
      </w:r>
      <w:r>
        <w:rPr>
          <w:rFonts w:ascii="Times New Roman" w:hAnsi="Times New Roman" w:cs="Times New Roman"/>
          <w:sz w:val="24"/>
          <w:szCs w:val="24"/>
        </w:rPr>
        <w:t>4</w:t>
      </w:r>
      <w:r w:rsidRPr="005E35D4">
        <w:rPr>
          <w:rFonts w:ascii="Times New Roman" w:hAnsi="Times New Roman" w:cs="Times New Roman"/>
          <w:sz w:val="24"/>
          <w:szCs w:val="24"/>
        </w:rPr>
        <w:t xml:space="preserve"> </w:t>
      </w:r>
      <w:r w:rsidRPr="001A4BB9">
        <w:rPr>
          <w:rFonts w:ascii="Times New Roman" w:hAnsi="Times New Roman" w:cs="Times New Roman"/>
          <w:sz w:val="24"/>
          <w:szCs w:val="24"/>
        </w:rPr>
        <w:t>subs</w:t>
      </w:r>
      <w:r>
        <w:rPr>
          <w:rFonts w:ascii="Times New Roman" w:hAnsi="Times New Roman" w:cs="Times New Roman"/>
          <w:sz w:val="24"/>
          <w:szCs w:val="24"/>
        </w:rPr>
        <w:t>t</w:t>
      </w:r>
      <w:r w:rsidRPr="001A4BB9">
        <w:rPr>
          <w:rFonts w:ascii="Times New Roman" w:hAnsi="Times New Roman" w:cs="Times New Roman"/>
          <w:sz w:val="24"/>
          <w:szCs w:val="24"/>
        </w:rPr>
        <w:t xml:space="preserve">itutes “energy efficiency </w:t>
      </w:r>
      <w:r>
        <w:rPr>
          <w:rFonts w:ascii="Times New Roman" w:hAnsi="Times New Roman" w:cs="Times New Roman"/>
          <w:sz w:val="24"/>
          <w:szCs w:val="24"/>
        </w:rPr>
        <w:t>projects</w:t>
      </w:r>
      <w:r w:rsidRPr="001A4BB9">
        <w:rPr>
          <w:rFonts w:ascii="Times New Roman" w:hAnsi="Times New Roman" w:cs="Times New Roman"/>
          <w:sz w:val="24"/>
          <w:szCs w:val="24"/>
        </w:rPr>
        <w:t xml:space="preserve"> and electrification </w:t>
      </w:r>
      <w:r>
        <w:rPr>
          <w:rFonts w:ascii="Times New Roman" w:hAnsi="Times New Roman" w:cs="Times New Roman"/>
          <w:sz w:val="24"/>
          <w:szCs w:val="24"/>
        </w:rPr>
        <w:t>projects</w:t>
      </w:r>
      <w:r w:rsidRPr="001A4BB9">
        <w:rPr>
          <w:rFonts w:ascii="Times New Roman" w:hAnsi="Times New Roman" w:cs="Times New Roman"/>
          <w:sz w:val="24"/>
          <w:szCs w:val="24"/>
        </w:rPr>
        <w:t xml:space="preserve">” for “clean energy </w:t>
      </w:r>
      <w:r>
        <w:rPr>
          <w:rFonts w:ascii="Times New Roman" w:hAnsi="Times New Roman" w:cs="Times New Roman"/>
          <w:sz w:val="24"/>
          <w:szCs w:val="24"/>
        </w:rPr>
        <w:t>projects</w:t>
      </w:r>
      <w:r w:rsidRPr="001A4BB9">
        <w:rPr>
          <w:rFonts w:ascii="Times New Roman" w:hAnsi="Times New Roman" w:cs="Times New Roman"/>
          <w:sz w:val="24"/>
          <w:szCs w:val="24"/>
        </w:rPr>
        <w:t>”</w:t>
      </w:r>
      <w:r>
        <w:rPr>
          <w:rFonts w:ascii="Times New Roman" w:hAnsi="Times New Roman" w:cs="Times New Roman"/>
          <w:sz w:val="24"/>
          <w:szCs w:val="24"/>
        </w:rPr>
        <w:t xml:space="preserve"> in</w:t>
      </w:r>
      <w:r w:rsidRPr="005E35D4">
        <w:rPr>
          <w:rFonts w:ascii="Times New Roman" w:hAnsi="Times New Roman" w:cs="Times New Roman"/>
          <w:sz w:val="24"/>
          <w:szCs w:val="24"/>
        </w:rPr>
        <w:t xml:space="preserve"> paragraph </w:t>
      </w:r>
      <w:r>
        <w:rPr>
          <w:rFonts w:ascii="Times New Roman" w:hAnsi="Times New Roman" w:cs="Times New Roman"/>
          <w:sz w:val="24"/>
          <w:szCs w:val="24"/>
        </w:rPr>
        <w:t>6</w:t>
      </w:r>
      <w:r w:rsidRPr="005E35D4">
        <w:rPr>
          <w:rFonts w:ascii="Times New Roman" w:hAnsi="Times New Roman" w:cs="Times New Roman"/>
          <w:sz w:val="24"/>
          <w:szCs w:val="24"/>
        </w:rPr>
        <w:t>(</w:t>
      </w:r>
      <w:r>
        <w:rPr>
          <w:rFonts w:ascii="Times New Roman" w:hAnsi="Times New Roman" w:cs="Times New Roman"/>
          <w:sz w:val="24"/>
          <w:szCs w:val="24"/>
        </w:rPr>
        <w:t>d</w:t>
      </w:r>
      <w:r w:rsidRPr="005E35D4">
        <w:rPr>
          <w:rFonts w:ascii="Times New Roman" w:hAnsi="Times New Roman" w:cs="Times New Roman"/>
          <w:sz w:val="24"/>
          <w:szCs w:val="24"/>
        </w:rPr>
        <w:t>) of the 2016 Regulation</w:t>
      </w:r>
      <w:r>
        <w:rPr>
          <w:rFonts w:ascii="Times New Roman" w:hAnsi="Times New Roman" w:cs="Times New Roman"/>
          <w:sz w:val="24"/>
          <w:szCs w:val="24"/>
        </w:rPr>
        <w:t xml:space="preserve"> </w:t>
      </w:r>
      <w:r w:rsidRPr="00533F85">
        <w:rPr>
          <w:rFonts w:ascii="Times New Roman" w:hAnsi="Times New Roman" w:cs="Times New Roman"/>
          <w:sz w:val="24"/>
          <w:szCs w:val="24"/>
        </w:rPr>
        <w:t>to reflect ARENA’s expanded operational remit</w:t>
      </w:r>
      <w:r w:rsidRPr="00533F85">
        <w:t xml:space="preserve"> </w:t>
      </w:r>
      <w:r>
        <w:rPr>
          <w:rFonts w:ascii="Times New Roman" w:hAnsi="Times New Roman" w:cs="Times New Roman"/>
          <w:sz w:val="24"/>
          <w:szCs w:val="24"/>
        </w:rPr>
        <w:t>to only include electrification and energy efficiency technologies</w:t>
      </w:r>
      <w:r w:rsidRPr="005E35D4">
        <w:rPr>
          <w:rFonts w:ascii="Times New Roman" w:hAnsi="Times New Roman" w:cs="Times New Roman"/>
          <w:sz w:val="24"/>
          <w:szCs w:val="24"/>
        </w:rPr>
        <w:t xml:space="preserve">. </w:t>
      </w:r>
    </w:p>
    <w:p w14:paraId="4DA51B40"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 xml:space="preserve">Item </w:t>
      </w:r>
      <w:r>
        <w:rPr>
          <w:rFonts w:ascii="Times New Roman" w:hAnsi="Times New Roman" w:cs="Times New Roman"/>
          <w:b/>
          <w:sz w:val="24"/>
          <w:szCs w:val="24"/>
        </w:rPr>
        <w:t>5</w:t>
      </w:r>
      <w:r w:rsidRPr="005E35D4">
        <w:rPr>
          <w:rFonts w:ascii="Times New Roman" w:hAnsi="Times New Roman" w:cs="Times New Roman"/>
          <w:b/>
          <w:sz w:val="24"/>
          <w:szCs w:val="24"/>
        </w:rPr>
        <w:t xml:space="preserve"> – </w:t>
      </w:r>
      <w:r>
        <w:rPr>
          <w:rFonts w:ascii="Times New Roman" w:hAnsi="Times New Roman" w:cs="Times New Roman"/>
          <w:b/>
          <w:sz w:val="24"/>
          <w:szCs w:val="24"/>
        </w:rPr>
        <w:t>Section 7 (heading)</w:t>
      </w:r>
    </w:p>
    <w:p w14:paraId="52135119" w14:textId="77777777" w:rsidR="00E3667C" w:rsidRPr="005E35D4" w:rsidRDefault="00E3667C" w:rsidP="00E3667C">
      <w:pPr>
        <w:spacing w:before="240" w:after="240"/>
        <w:rPr>
          <w:rFonts w:ascii="Times New Roman" w:hAnsi="Times New Roman" w:cs="Times New Roman"/>
          <w:sz w:val="24"/>
          <w:szCs w:val="24"/>
        </w:rPr>
      </w:pPr>
      <w:r w:rsidRPr="005E35D4">
        <w:rPr>
          <w:rFonts w:ascii="Times New Roman" w:hAnsi="Times New Roman" w:cs="Times New Roman"/>
          <w:sz w:val="24"/>
          <w:szCs w:val="24"/>
        </w:rPr>
        <w:t xml:space="preserve">Item </w:t>
      </w:r>
      <w:r>
        <w:rPr>
          <w:rFonts w:ascii="Times New Roman" w:hAnsi="Times New Roman" w:cs="Times New Roman"/>
          <w:sz w:val="24"/>
          <w:szCs w:val="24"/>
        </w:rPr>
        <w:t>5</w:t>
      </w:r>
      <w:r w:rsidRPr="005E35D4">
        <w:rPr>
          <w:rFonts w:ascii="Times New Roman" w:hAnsi="Times New Roman" w:cs="Times New Roman"/>
          <w:sz w:val="24"/>
          <w:szCs w:val="24"/>
        </w:rPr>
        <w:t xml:space="preserve"> </w:t>
      </w:r>
      <w:r w:rsidRPr="001A4BB9">
        <w:rPr>
          <w:rFonts w:ascii="Times New Roman" w:hAnsi="Times New Roman" w:cs="Times New Roman"/>
          <w:sz w:val="24"/>
          <w:szCs w:val="24"/>
        </w:rPr>
        <w:t>subs</w:t>
      </w:r>
      <w:r>
        <w:rPr>
          <w:rFonts w:ascii="Times New Roman" w:hAnsi="Times New Roman" w:cs="Times New Roman"/>
          <w:sz w:val="24"/>
          <w:szCs w:val="24"/>
        </w:rPr>
        <w:t>t</w:t>
      </w:r>
      <w:r w:rsidRPr="001A4BB9">
        <w:rPr>
          <w:rFonts w:ascii="Times New Roman" w:hAnsi="Times New Roman" w:cs="Times New Roman"/>
          <w:sz w:val="24"/>
          <w:szCs w:val="24"/>
        </w:rPr>
        <w:t>itutes “energy efficiency technologies and electrification technologies” for “clean energy technologies” in paragraph 6(d) of the 2016 Regulation</w:t>
      </w:r>
      <w:r>
        <w:rPr>
          <w:rFonts w:ascii="Times New Roman" w:hAnsi="Times New Roman" w:cs="Times New Roman"/>
          <w:sz w:val="24"/>
          <w:szCs w:val="24"/>
        </w:rPr>
        <w:t xml:space="preserve"> </w:t>
      </w:r>
      <w:r w:rsidRPr="00533F85">
        <w:rPr>
          <w:rFonts w:ascii="Times New Roman" w:hAnsi="Times New Roman" w:cs="Times New Roman"/>
          <w:sz w:val="24"/>
          <w:szCs w:val="24"/>
        </w:rPr>
        <w:t>to reflect ARENA’s expanded operational remit</w:t>
      </w:r>
      <w:r w:rsidRPr="00533F85">
        <w:t xml:space="preserve"> </w:t>
      </w:r>
      <w:r>
        <w:rPr>
          <w:rFonts w:ascii="Times New Roman" w:hAnsi="Times New Roman" w:cs="Times New Roman"/>
          <w:sz w:val="24"/>
          <w:szCs w:val="24"/>
        </w:rPr>
        <w:t>to only include electrification and energy efficiency technologies</w:t>
      </w:r>
      <w:r w:rsidRPr="005E35D4">
        <w:rPr>
          <w:rFonts w:ascii="Times New Roman" w:hAnsi="Times New Roman" w:cs="Times New Roman"/>
          <w:sz w:val="24"/>
          <w:szCs w:val="24"/>
        </w:rPr>
        <w:t xml:space="preserve">. </w:t>
      </w:r>
    </w:p>
    <w:p w14:paraId="4A1B06AC" w14:textId="77777777" w:rsidR="00E3667C" w:rsidRPr="005E35D4" w:rsidRDefault="00E3667C" w:rsidP="00E3667C">
      <w:pPr>
        <w:spacing w:before="240" w:after="240"/>
        <w:rPr>
          <w:rFonts w:ascii="Times New Roman" w:hAnsi="Times New Roman" w:cs="Times New Roman"/>
          <w:sz w:val="24"/>
          <w:szCs w:val="24"/>
        </w:rPr>
        <w:sectPr w:rsidR="00E3667C" w:rsidRPr="005E35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9DBBF1E" w14:textId="77777777" w:rsidR="00E3667C" w:rsidRPr="005E35D4" w:rsidRDefault="00E3667C" w:rsidP="00E3667C">
      <w:pPr>
        <w:spacing w:before="360" w:after="120"/>
        <w:jc w:val="right"/>
        <w:rPr>
          <w:rFonts w:ascii="Times New Roman" w:hAnsi="Times New Roman" w:cs="Times New Roman"/>
          <w:b/>
          <w:sz w:val="24"/>
          <w:szCs w:val="24"/>
          <w:u w:val="single"/>
        </w:rPr>
      </w:pPr>
      <w:r w:rsidRPr="005E35D4">
        <w:rPr>
          <w:rFonts w:ascii="Times New Roman" w:hAnsi="Times New Roman" w:cs="Times New Roman"/>
          <w:b/>
          <w:sz w:val="24"/>
          <w:szCs w:val="24"/>
          <w:u w:val="single"/>
        </w:rPr>
        <w:lastRenderedPageBreak/>
        <w:t>Attachment B</w:t>
      </w:r>
    </w:p>
    <w:p w14:paraId="4E3F9214" w14:textId="77777777" w:rsidR="00E3667C" w:rsidRPr="005E35D4" w:rsidRDefault="00E3667C" w:rsidP="00E3667C">
      <w:pPr>
        <w:spacing w:before="360" w:after="120"/>
        <w:jc w:val="center"/>
        <w:rPr>
          <w:rFonts w:ascii="Times New Roman" w:hAnsi="Times New Roman" w:cs="Times New Roman"/>
          <w:b/>
          <w:sz w:val="24"/>
          <w:szCs w:val="24"/>
        </w:rPr>
      </w:pPr>
      <w:r w:rsidRPr="005E35D4">
        <w:rPr>
          <w:rFonts w:ascii="Times New Roman" w:hAnsi="Times New Roman" w:cs="Times New Roman"/>
          <w:b/>
          <w:sz w:val="24"/>
          <w:szCs w:val="24"/>
        </w:rPr>
        <w:t>Statement of Compatibility with Human Rights</w:t>
      </w:r>
    </w:p>
    <w:p w14:paraId="77D3DB3C" w14:textId="77777777" w:rsidR="00E3667C" w:rsidRPr="005E35D4" w:rsidRDefault="00E3667C" w:rsidP="00E3667C">
      <w:pPr>
        <w:spacing w:before="240" w:after="240"/>
        <w:jc w:val="center"/>
        <w:rPr>
          <w:rFonts w:ascii="Times New Roman" w:hAnsi="Times New Roman" w:cs="Times New Roman"/>
          <w:sz w:val="24"/>
          <w:szCs w:val="24"/>
        </w:rPr>
      </w:pPr>
      <w:r w:rsidRPr="005E35D4">
        <w:rPr>
          <w:rFonts w:ascii="Times New Roman" w:hAnsi="Times New Roman" w:cs="Times New Roman"/>
          <w:i/>
          <w:sz w:val="24"/>
          <w:szCs w:val="24"/>
        </w:rPr>
        <w:t>Prepared in accordance with Part 3 of the Human Rights (Parliamentary Scrutiny) Act 2011</w:t>
      </w:r>
    </w:p>
    <w:p w14:paraId="158E8210" w14:textId="77777777" w:rsidR="00E3667C" w:rsidRPr="005E35D4" w:rsidRDefault="00E3667C" w:rsidP="00E3667C">
      <w:pPr>
        <w:spacing w:before="240" w:after="240"/>
        <w:jc w:val="center"/>
        <w:rPr>
          <w:rFonts w:ascii="Times New Roman" w:hAnsi="Times New Roman" w:cs="Times New Roman"/>
          <w:i/>
          <w:sz w:val="24"/>
          <w:szCs w:val="24"/>
        </w:rPr>
      </w:pPr>
      <w:r w:rsidRPr="005E35D4">
        <w:rPr>
          <w:rFonts w:ascii="Times New Roman" w:hAnsi="Times New Roman" w:cs="Times New Roman"/>
          <w:i/>
          <w:sz w:val="24"/>
          <w:szCs w:val="24"/>
        </w:rPr>
        <w:t>Australian Renewable Energy Agency Amendment (</w:t>
      </w:r>
      <w:r>
        <w:rPr>
          <w:rFonts w:ascii="Times New Roman" w:hAnsi="Times New Roman" w:cs="Times New Roman"/>
          <w:i/>
          <w:sz w:val="24"/>
          <w:szCs w:val="24"/>
        </w:rPr>
        <w:t>Powering Australia</w:t>
      </w:r>
      <w:r w:rsidRPr="005E35D4">
        <w:rPr>
          <w:rFonts w:ascii="Times New Roman" w:hAnsi="Times New Roman" w:cs="Times New Roman"/>
          <w:i/>
          <w:sz w:val="24"/>
          <w:szCs w:val="24"/>
        </w:rPr>
        <w:t>) Regulations 2022</w:t>
      </w:r>
    </w:p>
    <w:p w14:paraId="17205DA2" w14:textId="77777777" w:rsidR="00E3667C" w:rsidRPr="005E35D4" w:rsidRDefault="00E3667C" w:rsidP="00E3667C">
      <w:pPr>
        <w:spacing w:before="240" w:after="240"/>
        <w:jc w:val="center"/>
        <w:rPr>
          <w:rFonts w:ascii="Times New Roman" w:hAnsi="Times New Roman" w:cs="Times New Roman"/>
          <w:sz w:val="24"/>
          <w:szCs w:val="24"/>
        </w:rPr>
      </w:pPr>
      <w:r w:rsidRPr="005E35D4">
        <w:rPr>
          <w:rFonts w:ascii="Times New Roman" w:hAnsi="Times New Roman" w:cs="Times New Roman"/>
          <w:sz w:val="24"/>
          <w:szCs w:val="24"/>
        </w:rPr>
        <w:t>Th</w:t>
      </w:r>
      <w:r>
        <w:rPr>
          <w:rFonts w:ascii="Times New Roman" w:hAnsi="Times New Roman" w:cs="Times New Roman"/>
          <w:sz w:val="24"/>
          <w:szCs w:val="24"/>
        </w:rPr>
        <w:t>ese</w:t>
      </w:r>
      <w:r w:rsidRPr="005E35D4">
        <w:rPr>
          <w:rFonts w:ascii="Times New Roman" w:hAnsi="Times New Roman" w:cs="Times New Roman"/>
          <w:sz w:val="24"/>
          <w:szCs w:val="24"/>
        </w:rPr>
        <w:t xml:space="preserve"> regulation</w:t>
      </w:r>
      <w:r>
        <w:rPr>
          <w:rFonts w:ascii="Times New Roman" w:hAnsi="Times New Roman" w:cs="Times New Roman"/>
          <w:sz w:val="24"/>
          <w:szCs w:val="24"/>
        </w:rPr>
        <w:t>s are</w:t>
      </w:r>
      <w:r w:rsidRPr="005E35D4">
        <w:rPr>
          <w:rFonts w:ascii="Times New Roman" w:hAnsi="Times New Roman" w:cs="Times New Roman"/>
          <w:sz w:val="24"/>
          <w:szCs w:val="24"/>
        </w:rPr>
        <w:t xml:space="preserve"> compatible with the human rights and freedoms recognised or declared in the international instruments listed in section 3 of the </w:t>
      </w:r>
      <w:r w:rsidRPr="005E35D4">
        <w:rPr>
          <w:rFonts w:ascii="Times New Roman" w:hAnsi="Times New Roman" w:cs="Times New Roman"/>
          <w:i/>
          <w:sz w:val="24"/>
          <w:szCs w:val="24"/>
        </w:rPr>
        <w:t>Human Rights (Parliamentary Scrutiny) Act 2011</w:t>
      </w:r>
      <w:r w:rsidRPr="005E35D4">
        <w:rPr>
          <w:rFonts w:ascii="Times New Roman" w:hAnsi="Times New Roman" w:cs="Times New Roman"/>
          <w:sz w:val="24"/>
          <w:szCs w:val="24"/>
        </w:rPr>
        <w:t>.</w:t>
      </w:r>
    </w:p>
    <w:p w14:paraId="4FB4BDB5" w14:textId="77777777" w:rsidR="00E3667C" w:rsidRPr="005E35D4" w:rsidRDefault="00E3667C" w:rsidP="00E3667C">
      <w:pPr>
        <w:spacing w:before="240" w:after="240"/>
        <w:jc w:val="both"/>
        <w:rPr>
          <w:rFonts w:ascii="Times New Roman" w:hAnsi="Times New Roman" w:cs="Times New Roman"/>
          <w:b/>
          <w:sz w:val="24"/>
          <w:szCs w:val="24"/>
        </w:rPr>
      </w:pPr>
      <w:r w:rsidRPr="005E35D4">
        <w:rPr>
          <w:rFonts w:ascii="Times New Roman" w:hAnsi="Times New Roman" w:cs="Times New Roman"/>
          <w:b/>
          <w:sz w:val="24"/>
          <w:szCs w:val="24"/>
        </w:rPr>
        <w:t>Overview of the Legislative Instrument</w:t>
      </w:r>
    </w:p>
    <w:p w14:paraId="63DEA8E3" w14:textId="77777777" w:rsidR="00E3667C" w:rsidRPr="005E35D4" w:rsidRDefault="00E3667C" w:rsidP="00E3667C">
      <w:pPr>
        <w:spacing w:before="120" w:after="120"/>
        <w:rPr>
          <w:rFonts w:ascii="Times New Roman" w:hAnsi="Times New Roman" w:cs="Times New Roman"/>
          <w:sz w:val="24"/>
          <w:szCs w:val="24"/>
        </w:rPr>
      </w:pPr>
      <w:r w:rsidRPr="005E35D4">
        <w:rPr>
          <w:rFonts w:ascii="Times New Roman" w:hAnsi="Times New Roman" w:cs="Times New Roman"/>
          <w:sz w:val="24"/>
          <w:szCs w:val="24"/>
        </w:rPr>
        <w:t xml:space="preserve">The </w:t>
      </w:r>
      <w:r w:rsidRPr="005E35D4">
        <w:rPr>
          <w:rFonts w:ascii="Times New Roman" w:hAnsi="Times New Roman" w:cs="Times New Roman"/>
          <w:i/>
          <w:sz w:val="24"/>
          <w:szCs w:val="24"/>
        </w:rPr>
        <w:t>Australian Renewable Energy Agency Amendment (Powering Australia) Regulations 2022</w:t>
      </w:r>
      <w:r w:rsidRPr="005E35D4">
        <w:rPr>
          <w:rFonts w:ascii="Times New Roman" w:hAnsi="Times New Roman" w:cs="Times New Roman"/>
          <w:sz w:val="24"/>
          <w:szCs w:val="24"/>
        </w:rPr>
        <w:t xml:space="preserve"> (the Regulations) </w:t>
      </w:r>
      <w:r w:rsidRPr="00F936D8">
        <w:rPr>
          <w:rFonts w:ascii="Times New Roman" w:hAnsi="Times New Roman" w:cs="Times New Roman"/>
          <w:sz w:val="24"/>
          <w:szCs w:val="24"/>
        </w:rPr>
        <w:t xml:space="preserve">limit the </w:t>
      </w:r>
      <w:r>
        <w:rPr>
          <w:rFonts w:ascii="Times New Roman" w:hAnsi="Times New Roman" w:cs="Times New Roman"/>
          <w:sz w:val="24"/>
          <w:szCs w:val="24"/>
        </w:rPr>
        <w:t xml:space="preserve">additional </w:t>
      </w:r>
      <w:r w:rsidRPr="00F936D8">
        <w:rPr>
          <w:rFonts w:ascii="Times New Roman" w:hAnsi="Times New Roman" w:cs="Times New Roman"/>
          <w:sz w:val="24"/>
          <w:szCs w:val="24"/>
        </w:rPr>
        <w:t xml:space="preserve">prescribed financial assistance functions of </w:t>
      </w:r>
      <w:r>
        <w:rPr>
          <w:rFonts w:ascii="Times New Roman" w:hAnsi="Times New Roman" w:cs="Times New Roman"/>
          <w:sz w:val="24"/>
          <w:szCs w:val="24"/>
        </w:rPr>
        <w:t xml:space="preserve">the </w:t>
      </w:r>
      <w:r w:rsidRPr="00F936D8">
        <w:rPr>
          <w:rFonts w:ascii="Times New Roman" w:hAnsi="Times New Roman" w:cs="Times New Roman"/>
          <w:sz w:val="24"/>
          <w:szCs w:val="24"/>
        </w:rPr>
        <w:t>Australian Renewable Energy Agency (ARENA) to only include energy efficiency and electrification</w:t>
      </w:r>
      <w:r w:rsidRPr="005E35D4">
        <w:rPr>
          <w:rFonts w:ascii="Times New Roman" w:hAnsi="Times New Roman" w:cs="Times New Roman"/>
          <w:sz w:val="24"/>
          <w:szCs w:val="24"/>
        </w:rPr>
        <w:t xml:space="preserve">. They amend the </w:t>
      </w:r>
      <w:r w:rsidRPr="005E35D4">
        <w:rPr>
          <w:rFonts w:ascii="Times New Roman" w:hAnsi="Times New Roman" w:cs="Times New Roman"/>
          <w:i/>
          <w:sz w:val="24"/>
          <w:szCs w:val="24"/>
        </w:rPr>
        <w:t>Australian Renewable Energy Regulation 2016</w:t>
      </w:r>
      <w:r w:rsidRPr="005E35D4">
        <w:rPr>
          <w:rFonts w:ascii="Times New Roman" w:hAnsi="Times New Roman" w:cs="Times New Roman"/>
          <w:sz w:val="24"/>
          <w:szCs w:val="24"/>
        </w:rPr>
        <w:t xml:space="preserve"> to include a new function of supporting various activities relatin</w:t>
      </w:r>
      <w:r>
        <w:rPr>
          <w:rFonts w:ascii="Times New Roman" w:hAnsi="Times New Roman" w:cs="Times New Roman"/>
          <w:sz w:val="24"/>
          <w:szCs w:val="24"/>
        </w:rPr>
        <w:t>g to energy efficiency and electrification technologies, narrowing the conferral previously included in that Regulation</w:t>
      </w:r>
      <w:r w:rsidRPr="005E35D4">
        <w:rPr>
          <w:rFonts w:ascii="Times New Roman" w:hAnsi="Times New Roman" w:cs="Times New Roman"/>
          <w:sz w:val="24"/>
          <w:szCs w:val="24"/>
        </w:rPr>
        <w:t>.</w:t>
      </w:r>
    </w:p>
    <w:p w14:paraId="7001E806"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Human rights implications</w:t>
      </w:r>
    </w:p>
    <w:p w14:paraId="142F2D09" w14:textId="77777777" w:rsidR="00E3667C" w:rsidRPr="005E35D4" w:rsidRDefault="00E3667C" w:rsidP="00E3667C">
      <w:pPr>
        <w:spacing w:before="120" w:after="120"/>
        <w:rPr>
          <w:rFonts w:ascii="Times New Roman" w:hAnsi="Times New Roman" w:cs="Times New Roman"/>
          <w:sz w:val="24"/>
          <w:szCs w:val="24"/>
        </w:rPr>
      </w:pPr>
      <w:r w:rsidRPr="005E35D4">
        <w:rPr>
          <w:rFonts w:ascii="Times New Roman" w:hAnsi="Times New Roman" w:cs="Times New Roman"/>
          <w:sz w:val="24"/>
          <w:szCs w:val="24"/>
        </w:rPr>
        <w:t>The Regulations do not engage any of the applicable rights or freedoms.</w:t>
      </w:r>
    </w:p>
    <w:p w14:paraId="70DF79AC" w14:textId="77777777" w:rsidR="00E3667C" w:rsidRPr="005E35D4" w:rsidRDefault="00E3667C" w:rsidP="00E3667C">
      <w:pPr>
        <w:spacing w:before="240" w:after="240"/>
        <w:rPr>
          <w:rFonts w:ascii="Times New Roman" w:hAnsi="Times New Roman" w:cs="Times New Roman"/>
          <w:b/>
          <w:sz w:val="24"/>
          <w:szCs w:val="24"/>
        </w:rPr>
      </w:pPr>
      <w:r w:rsidRPr="005E35D4">
        <w:rPr>
          <w:rFonts w:ascii="Times New Roman" w:hAnsi="Times New Roman" w:cs="Times New Roman"/>
          <w:b/>
          <w:sz w:val="24"/>
          <w:szCs w:val="24"/>
        </w:rPr>
        <w:t>Conclusion</w:t>
      </w:r>
    </w:p>
    <w:p w14:paraId="484BBFA8" w14:textId="77777777" w:rsidR="00E3667C" w:rsidRPr="005E35D4" w:rsidRDefault="00E3667C" w:rsidP="00E3667C">
      <w:pPr>
        <w:spacing w:before="120" w:after="120"/>
        <w:rPr>
          <w:rFonts w:ascii="Times New Roman" w:hAnsi="Times New Roman" w:cs="Times New Roman"/>
          <w:sz w:val="24"/>
          <w:szCs w:val="24"/>
        </w:rPr>
      </w:pPr>
      <w:r w:rsidRPr="005E35D4">
        <w:rPr>
          <w:rFonts w:ascii="Times New Roman" w:hAnsi="Times New Roman" w:cs="Times New Roman"/>
          <w:sz w:val="24"/>
          <w:szCs w:val="24"/>
        </w:rPr>
        <w:t>The Regulations are compatible with human rights as it does not raise any human rights issues.</w:t>
      </w:r>
    </w:p>
    <w:p w14:paraId="1D0479C2" w14:textId="77777777" w:rsidR="00E3667C" w:rsidRPr="005E35D4" w:rsidRDefault="00E3667C" w:rsidP="00E3667C">
      <w:pPr>
        <w:spacing w:before="120" w:after="120"/>
        <w:jc w:val="center"/>
        <w:rPr>
          <w:rFonts w:ascii="Times New Roman" w:hAnsi="Times New Roman" w:cs="Times New Roman"/>
          <w:sz w:val="24"/>
          <w:szCs w:val="24"/>
        </w:rPr>
      </w:pPr>
    </w:p>
    <w:p w14:paraId="4FBFC644" w14:textId="77777777" w:rsidR="00E3667C" w:rsidRPr="005E35D4" w:rsidRDefault="00E3667C" w:rsidP="00E3667C">
      <w:pPr>
        <w:spacing w:before="120" w:after="120"/>
        <w:jc w:val="center"/>
        <w:rPr>
          <w:rFonts w:ascii="Times New Roman" w:hAnsi="Times New Roman" w:cs="Times New Roman"/>
          <w:b/>
          <w:sz w:val="24"/>
          <w:szCs w:val="24"/>
        </w:rPr>
      </w:pPr>
      <w:r w:rsidRPr="005E35D4">
        <w:rPr>
          <w:rFonts w:ascii="Times New Roman" w:hAnsi="Times New Roman" w:cs="Times New Roman"/>
          <w:b/>
          <w:sz w:val="24"/>
          <w:szCs w:val="24"/>
        </w:rPr>
        <w:t xml:space="preserve">The Hon </w:t>
      </w:r>
      <w:r>
        <w:rPr>
          <w:rFonts w:ascii="Times New Roman" w:hAnsi="Times New Roman" w:cs="Times New Roman"/>
          <w:b/>
          <w:sz w:val="24"/>
          <w:szCs w:val="24"/>
        </w:rPr>
        <w:t>Chris Bowen</w:t>
      </w:r>
      <w:r w:rsidRPr="005E35D4">
        <w:rPr>
          <w:rFonts w:ascii="Times New Roman" w:hAnsi="Times New Roman" w:cs="Times New Roman"/>
          <w:b/>
          <w:sz w:val="24"/>
          <w:szCs w:val="24"/>
        </w:rPr>
        <w:t xml:space="preserve"> MP</w:t>
      </w:r>
    </w:p>
    <w:p w14:paraId="0B2600CA" w14:textId="77777777" w:rsidR="00E3667C" w:rsidRPr="005E35D4" w:rsidRDefault="00E3667C" w:rsidP="00E3667C">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Minister for Climate Change and </w:t>
      </w:r>
      <w:r w:rsidRPr="005E35D4">
        <w:rPr>
          <w:rFonts w:ascii="Times New Roman" w:hAnsi="Times New Roman" w:cs="Times New Roman"/>
          <w:b/>
          <w:sz w:val="24"/>
          <w:szCs w:val="24"/>
        </w:rPr>
        <w:t>Energy</w:t>
      </w:r>
    </w:p>
    <w:p w14:paraId="4BF8EFF1" w14:textId="77777777" w:rsidR="00E3667C" w:rsidRPr="005E35D4" w:rsidRDefault="00E3667C" w:rsidP="00E3667C">
      <w:pPr>
        <w:rPr>
          <w:rFonts w:ascii="Times New Roman" w:hAnsi="Times New Roman" w:cs="Times New Roman"/>
          <w:b/>
          <w:sz w:val="24"/>
          <w:szCs w:val="24"/>
          <w:u w:val="single"/>
        </w:rPr>
      </w:pPr>
    </w:p>
    <w:p w14:paraId="2819D0FC" w14:textId="77777777" w:rsidR="00E3667C" w:rsidRPr="005E35D4" w:rsidRDefault="00E3667C" w:rsidP="00E3667C">
      <w:pPr>
        <w:rPr>
          <w:rFonts w:ascii="Times New Roman" w:hAnsi="Times New Roman" w:cs="Times New Roman"/>
          <w:b/>
          <w:sz w:val="24"/>
          <w:szCs w:val="24"/>
          <w:u w:val="single"/>
        </w:rPr>
      </w:pPr>
    </w:p>
    <w:p w14:paraId="4CC30B24" w14:textId="3861904C" w:rsidR="00962D61" w:rsidRPr="005E35D4" w:rsidRDefault="00962D61">
      <w:pPr>
        <w:rPr>
          <w:rFonts w:ascii="Times New Roman" w:hAnsi="Times New Roman" w:cs="Times New Roman"/>
          <w:b/>
          <w:sz w:val="24"/>
          <w:szCs w:val="24"/>
          <w:u w:val="single"/>
        </w:rPr>
      </w:pPr>
    </w:p>
    <w:sectPr w:rsidR="00962D61" w:rsidRPr="005E35D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39A4" w14:textId="77777777" w:rsidR="00007790" w:rsidRDefault="00007790" w:rsidP="00E42561">
      <w:pPr>
        <w:spacing w:after="0" w:line="240" w:lineRule="auto"/>
      </w:pPr>
      <w:r>
        <w:separator/>
      </w:r>
    </w:p>
  </w:endnote>
  <w:endnote w:type="continuationSeparator" w:id="0">
    <w:p w14:paraId="68F55394" w14:textId="77777777" w:rsidR="00007790" w:rsidRDefault="00007790" w:rsidP="00E42561">
      <w:pPr>
        <w:spacing w:after="0" w:line="240" w:lineRule="auto"/>
      </w:pPr>
      <w:r>
        <w:continuationSeparator/>
      </w:r>
    </w:p>
  </w:endnote>
  <w:endnote w:type="continuationNotice" w:id="1">
    <w:p w14:paraId="22394F07" w14:textId="77777777" w:rsidR="00007790" w:rsidRDefault="00007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5D55B" w14:textId="77777777" w:rsidR="00E3667C" w:rsidRDefault="00E366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71000"/>
      <w:docPartObj>
        <w:docPartGallery w:val="Page Numbers (Bottom of Page)"/>
        <w:docPartUnique/>
      </w:docPartObj>
    </w:sdtPr>
    <w:sdtEndPr>
      <w:rPr>
        <w:noProof/>
      </w:rPr>
    </w:sdtEndPr>
    <w:sdtContent>
      <w:p w14:paraId="7D995E7E" w14:textId="77777777" w:rsidR="00E3667C" w:rsidRDefault="00E3667C">
        <w:pPr>
          <w:pStyle w:val="Footer"/>
          <w:jc w:val="right"/>
        </w:pPr>
        <w:r>
          <w:fldChar w:fldCharType="begin"/>
        </w:r>
        <w:r>
          <w:instrText xml:space="preserve"> PAGE   \* MERGEFORMAT </w:instrText>
        </w:r>
        <w:r>
          <w:fldChar w:fldCharType="separate"/>
        </w:r>
        <w:r w:rsidR="00166B0A">
          <w:rPr>
            <w:noProof/>
          </w:rPr>
          <w:t>9</w:t>
        </w:r>
        <w:r>
          <w:rPr>
            <w:noProof/>
          </w:rPr>
          <w:fldChar w:fldCharType="end"/>
        </w:r>
      </w:p>
    </w:sdtContent>
  </w:sdt>
  <w:p w14:paraId="7FCB08B9" w14:textId="77777777" w:rsidR="00E3667C" w:rsidRDefault="00E366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8B95" w14:textId="77777777" w:rsidR="00E3667C" w:rsidRDefault="00E366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500B" w14:textId="77777777" w:rsidR="00007790" w:rsidRDefault="000077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6856"/>
      <w:docPartObj>
        <w:docPartGallery w:val="Page Numbers (Bottom of Page)"/>
        <w:docPartUnique/>
      </w:docPartObj>
    </w:sdtPr>
    <w:sdtEndPr>
      <w:rPr>
        <w:noProof/>
      </w:rPr>
    </w:sdtEndPr>
    <w:sdtContent>
      <w:p w14:paraId="3C1B7A39" w14:textId="77777777" w:rsidR="00007790" w:rsidRDefault="00007790">
        <w:pPr>
          <w:pStyle w:val="Footer"/>
          <w:jc w:val="right"/>
        </w:pPr>
        <w:r>
          <w:fldChar w:fldCharType="begin"/>
        </w:r>
        <w:r>
          <w:instrText xml:space="preserve"> PAGE   \* MERGEFORMAT </w:instrText>
        </w:r>
        <w:r>
          <w:fldChar w:fldCharType="separate"/>
        </w:r>
        <w:r w:rsidR="00166B0A">
          <w:rPr>
            <w:noProof/>
          </w:rPr>
          <w:t>10</w:t>
        </w:r>
        <w:r>
          <w:rPr>
            <w:noProof/>
          </w:rPr>
          <w:fldChar w:fldCharType="end"/>
        </w:r>
      </w:p>
    </w:sdtContent>
  </w:sdt>
  <w:p w14:paraId="052CA611" w14:textId="77777777" w:rsidR="00007790" w:rsidRDefault="000077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95D0" w14:textId="77777777" w:rsidR="00007790" w:rsidRDefault="00007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5E774" w14:textId="77777777" w:rsidR="00007790" w:rsidRDefault="00007790" w:rsidP="00E42561">
      <w:pPr>
        <w:spacing w:after="0" w:line="240" w:lineRule="auto"/>
      </w:pPr>
      <w:r>
        <w:separator/>
      </w:r>
    </w:p>
  </w:footnote>
  <w:footnote w:type="continuationSeparator" w:id="0">
    <w:p w14:paraId="18475DE9" w14:textId="77777777" w:rsidR="00007790" w:rsidRDefault="00007790" w:rsidP="00E42561">
      <w:pPr>
        <w:spacing w:after="0" w:line="240" w:lineRule="auto"/>
      </w:pPr>
      <w:r>
        <w:continuationSeparator/>
      </w:r>
    </w:p>
  </w:footnote>
  <w:footnote w:type="continuationNotice" w:id="1">
    <w:p w14:paraId="2FA56062" w14:textId="77777777" w:rsidR="00007790" w:rsidRDefault="00007790">
      <w:pPr>
        <w:spacing w:after="0" w:line="240" w:lineRule="auto"/>
      </w:pPr>
    </w:p>
  </w:footnote>
  <w:footnote w:id="2">
    <w:p w14:paraId="017324A0" w14:textId="77777777" w:rsidR="00E3667C" w:rsidRDefault="00E3667C" w:rsidP="00E3667C">
      <w:pPr>
        <w:pStyle w:val="FootnoteText"/>
      </w:pPr>
      <w:r>
        <w:rPr>
          <w:rStyle w:val="FootnoteReference"/>
        </w:rPr>
        <w:footnoteRef/>
      </w:r>
      <w:r>
        <w:t xml:space="preserve"> See the definition of “financial assistance” in section 4 of the Act.</w:t>
      </w:r>
    </w:p>
  </w:footnote>
  <w:footnote w:id="3">
    <w:p w14:paraId="3950AFC5" w14:textId="77777777" w:rsidR="00E3667C" w:rsidRDefault="00E3667C" w:rsidP="00E3667C">
      <w:pPr>
        <w:pStyle w:val="FootnoteText"/>
      </w:pPr>
      <w:r>
        <w:rPr>
          <w:rStyle w:val="FootnoteReference"/>
        </w:rPr>
        <w:footnoteRef/>
      </w:r>
      <w:r>
        <w:t xml:space="preserve"> </w:t>
      </w:r>
      <w:hyperlink r:id="rId1" w:history="1">
        <w:r w:rsidRPr="00B72CE2">
          <w:rPr>
            <w:rStyle w:val="Hyperlink"/>
          </w:rPr>
          <w:t>https://aemo.com.au/-/media/files/electricity/nem/planning_and_forecasting/nem_esoo/2021/2021-nem-esoo.pdf?la=en&amp;hash=D53ED10E2E0D452C79F97812BDD926ED</w:t>
        </w:r>
      </w:hyperlink>
      <w:r>
        <w:t xml:space="preserve"> </w:t>
      </w:r>
    </w:p>
  </w:footnote>
  <w:footnote w:id="4">
    <w:p w14:paraId="6773E165" w14:textId="77777777" w:rsidR="00E3667C" w:rsidRDefault="00E3667C" w:rsidP="00E3667C">
      <w:pPr>
        <w:pStyle w:val="FootnoteText"/>
      </w:pPr>
      <w:r>
        <w:rPr>
          <w:rStyle w:val="FootnoteReference"/>
        </w:rPr>
        <w:footnoteRef/>
      </w:r>
      <w:r>
        <w:t xml:space="preserve"> See </w:t>
      </w:r>
      <w:r w:rsidRPr="003612F0">
        <w:t>paragraphs 9(a) and (b) of the Act</w:t>
      </w:r>
      <w:r>
        <w:t>.</w:t>
      </w:r>
    </w:p>
  </w:footnote>
  <w:footnote w:id="5">
    <w:p w14:paraId="639ADA46" w14:textId="77777777" w:rsidR="00E3667C" w:rsidRDefault="00E3667C" w:rsidP="00E3667C">
      <w:pPr>
        <w:pStyle w:val="FootnoteText"/>
      </w:pPr>
      <w:r>
        <w:rPr>
          <w:rStyle w:val="FootnoteReference"/>
        </w:rPr>
        <w:footnoteRef/>
      </w:r>
      <w:r>
        <w:t xml:space="preserve"> See </w:t>
      </w:r>
      <w:r w:rsidRPr="003612F0">
        <w:t>section 14 of the Act.</w:t>
      </w:r>
    </w:p>
  </w:footnote>
  <w:footnote w:id="6">
    <w:p w14:paraId="46B48F90" w14:textId="77777777" w:rsidR="00E3667C" w:rsidRDefault="00E3667C" w:rsidP="00E3667C">
      <w:pPr>
        <w:pStyle w:val="FootnoteText"/>
      </w:pPr>
      <w:r>
        <w:rPr>
          <w:rStyle w:val="FootnoteReference"/>
        </w:rPr>
        <w:footnoteRef/>
      </w:r>
      <w:r>
        <w:t xml:space="preserve"> [1994] ATS 2. Available at </w:t>
      </w:r>
      <w:hyperlink r:id="rId2" w:history="1">
        <w:r w:rsidRPr="00AA4F8D">
          <w:rPr>
            <w:rStyle w:val="Hyperlink"/>
          </w:rPr>
          <w:t>http://www.austlii.edu.au/au/other/dfat/treaties/1994/2.html</w:t>
        </w:r>
      </w:hyperlink>
      <w:r>
        <w:t>.</w:t>
      </w:r>
    </w:p>
  </w:footnote>
  <w:footnote w:id="7">
    <w:p w14:paraId="17F462E1" w14:textId="77777777" w:rsidR="00E3667C" w:rsidRDefault="00E3667C" w:rsidP="00E3667C">
      <w:pPr>
        <w:pStyle w:val="FootnoteText"/>
      </w:pPr>
      <w:r>
        <w:rPr>
          <w:rStyle w:val="FootnoteReference"/>
        </w:rPr>
        <w:footnoteRef/>
      </w:r>
      <w:r>
        <w:t xml:space="preserve"> See article 4.1(b).</w:t>
      </w:r>
    </w:p>
  </w:footnote>
  <w:footnote w:id="8">
    <w:p w14:paraId="158203DE" w14:textId="77777777" w:rsidR="00E3667C" w:rsidRDefault="00E3667C" w:rsidP="00E3667C">
      <w:pPr>
        <w:pStyle w:val="FootnoteText"/>
      </w:pPr>
      <w:r>
        <w:rPr>
          <w:rStyle w:val="FootnoteReference"/>
        </w:rPr>
        <w:footnoteRef/>
      </w:r>
      <w:r>
        <w:t xml:space="preserve"> See article 4.1(c).</w:t>
      </w:r>
    </w:p>
  </w:footnote>
  <w:footnote w:id="9">
    <w:p w14:paraId="37DB22FB" w14:textId="77777777" w:rsidR="00E3667C" w:rsidRDefault="00E3667C" w:rsidP="00E3667C">
      <w:pPr>
        <w:pStyle w:val="FootnoteText"/>
      </w:pPr>
      <w:r>
        <w:rPr>
          <w:rStyle w:val="FootnoteReference"/>
        </w:rPr>
        <w:footnoteRef/>
      </w:r>
      <w:r>
        <w:t xml:space="preserve"> See article 4.2(a).</w:t>
      </w:r>
    </w:p>
  </w:footnote>
  <w:footnote w:id="10">
    <w:p w14:paraId="6CD9CE06" w14:textId="77777777" w:rsidR="00E3667C" w:rsidRDefault="00E3667C" w:rsidP="00E3667C">
      <w:pPr>
        <w:pStyle w:val="FootnoteText"/>
      </w:pPr>
      <w:r>
        <w:rPr>
          <w:rStyle w:val="FootnoteReference"/>
        </w:rPr>
        <w:footnoteRef/>
      </w:r>
      <w:r>
        <w:t xml:space="preserve"> [2016] ATS 24. Available at </w:t>
      </w:r>
      <w:hyperlink r:id="rId3" w:history="1">
        <w:r w:rsidRPr="00AA4F8D">
          <w:rPr>
            <w:rStyle w:val="Hyperlink"/>
          </w:rPr>
          <w:t>http://www.austlii.edu.au/au/other/dfat/treaties/ATS/2016/24.html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6386D" w14:textId="77777777" w:rsidR="00E3667C" w:rsidRDefault="00E366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5578" w14:textId="77777777" w:rsidR="00E3667C" w:rsidRDefault="00E366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6504" w14:textId="77777777" w:rsidR="00E3667C" w:rsidRDefault="00E366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3641" w14:textId="77777777" w:rsidR="00007790" w:rsidRDefault="000077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009A" w14:textId="77777777" w:rsidR="00007790" w:rsidRDefault="000077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63CDA" w14:textId="77777777" w:rsidR="00007790" w:rsidRDefault="00007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452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30546"/>
    <w:multiLevelType w:val="hybridMultilevel"/>
    <w:tmpl w:val="033E9EFE"/>
    <w:lvl w:ilvl="0" w:tplc="04CC440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E06C8"/>
    <w:multiLevelType w:val="hybridMultilevel"/>
    <w:tmpl w:val="3A9A94F4"/>
    <w:lvl w:ilvl="0" w:tplc="ADCAC3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FB3558"/>
    <w:multiLevelType w:val="hybridMultilevel"/>
    <w:tmpl w:val="64745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C51C4"/>
    <w:multiLevelType w:val="hybridMultilevel"/>
    <w:tmpl w:val="390CE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E0B04"/>
    <w:multiLevelType w:val="hybridMultilevel"/>
    <w:tmpl w:val="A34C2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113559"/>
    <w:multiLevelType w:val="hybridMultilevel"/>
    <w:tmpl w:val="C31CC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5B62E8"/>
    <w:multiLevelType w:val="hybridMultilevel"/>
    <w:tmpl w:val="65F86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0B6CC0"/>
    <w:multiLevelType w:val="hybridMultilevel"/>
    <w:tmpl w:val="9A68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356D38"/>
    <w:multiLevelType w:val="hybridMultilevel"/>
    <w:tmpl w:val="63144CAE"/>
    <w:lvl w:ilvl="0" w:tplc="74A65E70">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7C674A"/>
    <w:multiLevelType w:val="hybridMultilevel"/>
    <w:tmpl w:val="9E48B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2C006AB"/>
    <w:multiLevelType w:val="hybridMultilevel"/>
    <w:tmpl w:val="DB4685E6"/>
    <w:lvl w:ilvl="0" w:tplc="067288B4">
      <w:start w:val="2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E40C1A"/>
    <w:multiLevelType w:val="hybridMultilevel"/>
    <w:tmpl w:val="71705A30"/>
    <w:lvl w:ilvl="0" w:tplc="FC5CFB9E">
      <w:start w:val="23"/>
      <w:numFmt w:val="bullet"/>
      <w:lvlText w:val="-"/>
      <w:lvlJc w:val="left"/>
      <w:pPr>
        <w:ind w:left="420" w:hanging="360"/>
      </w:pPr>
      <w:rPr>
        <w:rFonts w:ascii="Times New Roman" w:eastAsiaTheme="minorHAnsi" w:hAnsi="Times New Roman" w:cs="Times New Roman" w:hint="default"/>
        <w:i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10"/>
  </w:num>
  <w:num w:numId="6">
    <w:abstractNumId w:val="0"/>
  </w:num>
  <w:num w:numId="7">
    <w:abstractNumId w:val="6"/>
  </w:num>
  <w:num w:numId="8">
    <w:abstractNumId w:val="8"/>
  </w:num>
  <w:num w:numId="9">
    <w:abstractNumId w:val="1"/>
  </w:num>
  <w:num w:numId="10">
    <w:abstractNumId w:val="2"/>
  </w:num>
  <w:num w:numId="11">
    <w:abstractNumId w:val="3"/>
  </w:num>
  <w:num w:numId="12">
    <w:abstractNumId w:val="7"/>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147B"/>
    <w:rsid w:val="00006EA5"/>
    <w:rsid w:val="00007790"/>
    <w:rsid w:val="0001666D"/>
    <w:rsid w:val="00025BBC"/>
    <w:rsid w:val="00025DD9"/>
    <w:rsid w:val="0002610F"/>
    <w:rsid w:val="00032C20"/>
    <w:rsid w:val="00037095"/>
    <w:rsid w:val="000415B3"/>
    <w:rsid w:val="00045F67"/>
    <w:rsid w:val="00057579"/>
    <w:rsid w:val="00072D86"/>
    <w:rsid w:val="0008146E"/>
    <w:rsid w:val="00084D2A"/>
    <w:rsid w:val="000864EC"/>
    <w:rsid w:val="00087843"/>
    <w:rsid w:val="000907B6"/>
    <w:rsid w:val="000916DC"/>
    <w:rsid w:val="0009395F"/>
    <w:rsid w:val="00097B00"/>
    <w:rsid w:val="000A02C6"/>
    <w:rsid w:val="000A06D8"/>
    <w:rsid w:val="000A0D12"/>
    <w:rsid w:val="000A4300"/>
    <w:rsid w:val="000B44F8"/>
    <w:rsid w:val="000C1556"/>
    <w:rsid w:val="000D0E22"/>
    <w:rsid w:val="000D1B7E"/>
    <w:rsid w:val="000D216E"/>
    <w:rsid w:val="000D647E"/>
    <w:rsid w:val="000E1934"/>
    <w:rsid w:val="000E379B"/>
    <w:rsid w:val="000E407C"/>
    <w:rsid w:val="001024EB"/>
    <w:rsid w:val="0011287E"/>
    <w:rsid w:val="001143A0"/>
    <w:rsid w:val="00116452"/>
    <w:rsid w:val="00123821"/>
    <w:rsid w:val="00130664"/>
    <w:rsid w:val="00131B0D"/>
    <w:rsid w:val="0013767C"/>
    <w:rsid w:val="0014524C"/>
    <w:rsid w:val="00151C0E"/>
    <w:rsid w:val="00153FE0"/>
    <w:rsid w:val="00155655"/>
    <w:rsid w:val="00156049"/>
    <w:rsid w:val="001645A6"/>
    <w:rsid w:val="00166501"/>
    <w:rsid w:val="00166B0A"/>
    <w:rsid w:val="00167FDB"/>
    <w:rsid w:val="00172C33"/>
    <w:rsid w:val="00176597"/>
    <w:rsid w:val="00176AF3"/>
    <w:rsid w:val="0018117F"/>
    <w:rsid w:val="00190CAD"/>
    <w:rsid w:val="00190CBD"/>
    <w:rsid w:val="001930FB"/>
    <w:rsid w:val="001942B2"/>
    <w:rsid w:val="001A1320"/>
    <w:rsid w:val="001A2E9C"/>
    <w:rsid w:val="001A3C05"/>
    <w:rsid w:val="001A3FF8"/>
    <w:rsid w:val="001A4BB9"/>
    <w:rsid w:val="001A6807"/>
    <w:rsid w:val="001B176A"/>
    <w:rsid w:val="001B5C1B"/>
    <w:rsid w:val="001B67BD"/>
    <w:rsid w:val="001C6234"/>
    <w:rsid w:val="001C67E9"/>
    <w:rsid w:val="001D0B4D"/>
    <w:rsid w:val="001E0F69"/>
    <w:rsid w:val="001E2339"/>
    <w:rsid w:val="001E30DC"/>
    <w:rsid w:val="001F0092"/>
    <w:rsid w:val="001F30BA"/>
    <w:rsid w:val="001F6870"/>
    <w:rsid w:val="00224D40"/>
    <w:rsid w:val="002268D2"/>
    <w:rsid w:val="00227184"/>
    <w:rsid w:val="00235795"/>
    <w:rsid w:val="00235817"/>
    <w:rsid w:val="00240EB2"/>
    <w:rsid w:val="002425CB"/>
    <w:rsid w:val="00247BB8"/>
    <w:rsid w:val="0025187F"/>
    <w:rsid w:val="00256660"/>
    <w:rsid w:val="00261E95"/>
    <w:rsid w:val="00270007"/>
    <w:rsid w:val="00274B82"/>
    <w:rsid w:val="00281535"/>
    <w:rsid w:val="0028278F"/>
    <w:rsid w:val="002865B8"/>
    <w:rsid w:val="00286775"/>
    <w:rsid w:val="002A2B82"/>
    <w:rsid w:val="002A6329"/>
    <w:rsid w:val="002B2841"/>
    <w:rsid w:val="002B59AE"/>
    <w:rsid w:val="002C07F2"/>
    <w:rsid w:val="002C30C6"/>
    <w:rsid w:val="002E0C47"/>
    <w:rsid w:val="002E2453"/>
    <w:rsid w:val="002E3895"/>
    <w:rsid w:val="002F0584"/>
    <w:rsid w:val="002F4974"/>
    <w:rsid w:val="003007B9"/>
    <w:rsid w:val="003045AC"/>
    <w:rsid w:val="0031087C"/>
    <w:rsid w:val="00311161"/>
    <w:rsid w:val="00317ADF"/>
    <w:rsid w:val="00317BE3"/>
    <w:rsid w:val="00330C75"/>
    <w:rsid w:val="00331402"/>
    <w:rsid w:val="00341482"/>
    <w:rsid w:val="00342DB2"/>
    <w:rsid w:val="003431DE"/>
    <w:rsid w:val="00345DC0"/>
    <w:rsid w:val="003474EC"/>
    <w:rsid w:val="00350EF6"/>
    <w:rsid w:val="00355AF3"/>
    <w:rsid w:val="003612F0"/>
    <w:rsid w:val="00366EF0"/>
    <w:rsid w:val="0037065B"/>
    <w:rsid w:val="00371165"/>
    <w:rsid w:val="0037442C"/>
    <w:rsid w:val="00375E5D"/>
    <w:rsid w:val="003877BB"/>
    <w:rsid w:val="00390318"/>
    <w:rsid w:val="003A4BF9"/>
    <w:rsid w:val="003A74D5"/>
    <w:rsid w:val="003B14B9"/>
    <w:rsid w:val="003B5270"/>
    <w:rsid w:val="003B5559"/>
    <w:rsid w:val="003B7886"/>
    <w:rsid w:val="003D2949"/>
    <w:rsid w:val="003E088F"/>
    <w:rsid w:val="003E0CF5"/>
    <w:rsid w:val="003E1433"/>
    <w:rsid w:val="003E5159"/>
    <w:rsid w:val="003F11F1"/>
    <w:rsid w:val="003F63B7"/>
    <w:rsid w:val="00406AA9"/>
    <w:rsid w:val="004109DF"/>
    <w:rsid w:val="00411BD8"/>
    <w:rsid w:val="00414314"/>
    <w:rsid w:val="00417B74"/>
    <w:rsid w:val="00417D80"/>
    <w:rsid w:val="00421A1D"/>
    <w:rsid w:val="00422162"/>
    <w:rsid w:val="004273F0"/>
    <w:rsid w:val="004323BD"/>
    <w:rsid w:val="0043289D"/>
    <w:rsid w:val="00433B7D"/>
    <w:rsid w:val="00436E79"/>
    <w:rsid w:val="00441589"/>
    <w:rsid w:val="004435B0"/>
    <w:rsid w:val="004452E7"/>
    <w:rsid w:val="00447770"/>
    <w:rsid w:val="00450553"/>
    <w:rsid w:val="00454924"/>
    <w:rsid w:val="004553F4"/>
    <w:rsid w:val="0047041C"/>
    <w:rsid w:val="00474E6B"/>
    <w:rsid w:val="00476B4E"/>
    <w:rsid w:val="004777EF"/>
    <w:rsid w:val="004A0313"/>
    <w:rsid w:val="004A4E4B"/>
    <w:rsid w:val="004A5A92"/>
    <w:rsid w:val="004A6040"/>
    <w:rsid w:val="004A6F46"/>
    <w:rsid w:val="004A72AD"/>
    <w:rsid w:val="004D3F34"/>
    <w:rsid w:val="004E0173"/>
    <w:rsid w:val="004E10B7"/>
    <w:rsid w:val="004E1B7F"/>
    <w:rsid w:val="004E3D11"/>
    <w:rsid w:val="004F1AD6"/>
    <w:rsid w:val="004F2AC3"/>
    <w:rsid w:val="004F5FA7"/>
    <w:rsid w:val="00500FB4"/>
    <w:rsid w:val="00526B18"/>
    <w:rsid w:val="0053132E"/>
    <w:rsid w:val="00533F85"/>
    <w:rsid w:val="00534BC8"/>
    <w:rsid w:val="0053679D"/>
    <w:rsid w:val="0053708F"/>
    <w:rsid w:val="00540122"/>
    <w:rsid w:val="005421AC"/>
    <w:rsid w:val="00542F15"/>
    <w:rsid w:val="00547F8D"/>
    <w:rsid w:val="0055213E"/>
    <w:rsid w:val="00557762"/>
    <w:rsid w:val="00560021"/>
    <w:rsid w:val="00565450"/>
    <w:rsid w:val="00565B4B"/>
    <w:rsid w:val="0057131A"/>
    <w:rsid w:val="00574C45"/>
    <w:rsid w:val="00584B4B"/>
    <w:rsid w:val="00587A00"/>
    <w:rsid w:val="00592EC1"/>
    <w:rsid w:val="00592F80"/>
    <w:rsid w:val="005935FD"/>
    <w:rsid w:val="0059585B"/>
    <w:rsid w:val="005A0F7A"/>
    <w:rsid w:val="005B3905"/>
    <w:rsid w:val="005B3AD1"/>
    <w:rsid w:val="005B555D"/>
    <w:rsid w:val="005C1521"/>
    <w:rsid w:val="005C1F86"/>
    <w:rsid w:val="005D25C9"/>
    <w:rsid w:val="005E35D4"/>
    <w:rsid w:val="005F1A78"/>
    <w:rsid w:val="005F2113"/>
    <w:rsid w:val="005F380D"/>
    <w:rsid w:val="005F5605"/>
    <w:rsid w:val="005F5E0B"/>
    <w:rsid w:val="006076CB"/>
    <w:rsid w:val="00613B42"/>
    <w:rsid w:val="00616FA5"/>
    <w:rsid w:val="00621A4B"/>
    <w:rsid w:val="0062577A"/>
    <w:rsid w:val="00646EB1"/>
    <w:rsid w:val="006472E0"/>
    <w:rsid w:val="00655586"/>
    <w:rsid w:val="00657C66"/>
    <w:rsid w:val="00660FEB"/>
    <w:rsid w:val="006616B3"/>
    <w:rsid w:val="00662B5C"/>
    <w:rsid w:val="00665F21"/>
    <w:rsid w:val="006745C3"/>
    <w:rsid w:val="0068145E"/>
    <w:rsid w:val="00682A13"/>
    <w:rsid w:val="006933A2"/>
    <w:rsid w:val="006A3C8B"/>
    <w:rsid w:val="006B06DA"/>
    <w:rsid w:val="006B464E"/>
    <w:rsid w:val="006D031C"/>
    <w:rsid w:val="006E0681"/>
    <w:rsid w:val="006E1FAE"/>
    <w:rsid w:val="006F3C96"/>
    <w:rsid w:val="006F5527"/>
    <w:rsid w:val="0072013F"/>
    <w:rsid w:val="00724952"/>
    <w:rsid w:val="0072540E"/>
    <w:rsid w:val="00732FF5"/>
    <w:rsid w:val="00753572"/>
    <w:rsid w:val="0076388D"/>
    <w:rsid w:val="00765683"/>
    <w:rsid w:val="007762C7"/>
    <w:rsid w:val="007A7756"/>
    <w:rsid w:val="007B3CD2"/>
    <w:rsid w:val="007B6B3E"/>
    <w:rsid w:val="007B7661"/>
    <w:rsid w:val="007B7D1A"/>
    <w:rsid w:val="007D042A"/>
    <w:rsid w:val="007D18CC"/>
    <w:rsid w:val="007D19EA"/>
    <w:rsid w:val="007D3DB0"/>
    <w:rsid w:val="007D58A0"/>
    <w:rsid w:val="007D5AD6"/>
    <w:rsid w:val="007E08E9"/>
    <w:rsid w:val="007E4E3E"/>
    <w:rsid w:val="007E5FA7"/>
    <w:rsid w:val="007E7615"/>
    <w:rsid w:val="007F0B24"/>
    <w:rsid w:val="007F2ACC"/>
    <w:rsid w:val="007F5B2F"/>
    <w:rsid w:val="00801018"/>
    <w:rsid w:val="00806363"/>
    <w:rsid w:val="008070F2"/>
    <w:rsid w:val="00812BA9"/>
    <w:rsid w:val="0081481B"/>
    <w:rsid w:val="0081655F"/>
    <w:rsid w:val="00820C5F"/>
    <w:rsid w:val="00837342"/>
    <w:rsid w:val="008423F0"/>
    <w:rsid w:val="00847D3B"/>
    <w:rsid w:val="008523DB"/>
    <w:rsid w:val="0085456C"/>
    <w:rsid w:val="008552FF"/>
    <w:rsid w:val="00856127"/>
    <w:rsid w:val="008617E3"/>
    <w:rsid w:val="00861B4C"/>
    <w:rsid w:val="008670CD"/>
    <w:rsid w:val="008703E1"/>
    <w:rsid w:val="00870E32"/>
    <w:rsid w:val="00871CF1"/>
    <w:rsid w:val="0087277A"/>
    <w:rsid w:val="008750A9"/>
    <w:rsid w:val="008769DD"/>
    <w:rsid w:val="00882263"/>
    <w:rsid w:val="00893044"/>
    <w:rsid w:val="0089496D"/>
    <w:rsid w:val="00895485"/>
    <w:rsid w:val="008A2288"/>
    <w:rsid w:val="008A671C"/>
    <w:rsid w:val="008B339D"/>
    <w:rsid w:val="008B4EC4"/>
    <w:rsid w:val="008C258A"/>
    <w:rsid w:val="008C2AF5"/>
    <w:rsid w:val="008C34D1"/>
    <w:rsid w:val="008C4C60"/>
    <w:rsid w:val="008C6684"/>
    <w:rsid w:val="008E0284"/>
    <w:rsid w:val="008E1373"/>
    <w:rsid w:val="008E5FA5"/>
    <w:rsid w:val="008F35D7"/>
    <w:rsid w:val="008F496A"/>
    <w:rsid w:val="00905A49"/>
    <w:rsid w:val="00905BE7"/>
    <w:rsid w:val="0091097F"/>
    <w:rsid w:val="009144AC"/>
    <w:rsid w:val="0091613E"/>
    <w:rsid w:val="009215B8"/>
    <w:rsid w:val="00921F20"/>
    <w:rsid w:val="00934062"/>
    <w:rsid w:val="00936A60"/>
    <w:rsid w:val="009449FD"/>
    <w:rsid w:val="00952BE5"/>
    <w:rsid w:val="00953532"/>
    <w:rsid w:val="0095719B"/>
    <w:rsid w:val="00962D61"/>
    <w:rsid w:val="00973CE4"/>
    <w:rsid w:val="00980D20"/>
    <w:rsid w:val="009832A3"/>
    <w:rsid w:val="009910A0"/>
    <w:rsid w:val="0099172B"/>
    <w:rsid w:val="009942D9"/>
    <w:rsid w:val="00996155"/>
    <w:rsid w:val="009A0CED"/>
    <w:rsid w:val="009A282B"/>
    <w:rsid w:val="009A5406"/>
    <w:rsid w:val="009A5452"/>
    <w:rsid w:val="009B01F6"/>
    <w:rsid w:val="009B57A4"/>
    <w:rsid w:val="009B6989"/>
    <w:rsid w:val="009C2DD4"/>
    <w:rsid w:val="009C39A7"/>
    <w:rsid w:val="009C71FD"/>
    <w:rsid w:val="009E470B"/>
    <w:rsid w:val="009E7308"/>
    <w:rsid w:val="009F14D0"/>
    <w:rsid w:val="009F4393"/>
    <w:rsid w:val="009F4EF7"/>
    <w:rsid w:val="00A04877"/>
    <w:rsid w:val="00A05D79"/>
    <w:rsid w:val="00A229E4"/>
    <w:rsid w:val="00A41B18"/>
    <w:rsid w:val="00A61154"/>
    <w:rsid w:val="00A71087"/>
    <w:rsid w:val="00A7389E"/>
    <w:rsid w:val="00A81A16"/>
    <w:rsid w:val="00AA0C45"/>
    <w:rsid w:val="00AA4B8B"/>
    <w:rsid w:val="00AB1E10"/>
    <w:rsid w:val="00AB2C20"/>
    <w:rsid w:val="00AB7696"/>
    <w:rsid w:val="00AC030C"/>
    <w:rsid w:val="00AC39A6"/>
    <w:rsid w:val="00AC5FA2"/>
    <w:rsid w:val="00AC6D9E"/>
    <w:rsid w:val="00AD0224"/>
    <w:rsid w:val="00AD2425"/>
    <w:rsid w:val="00AD5596"/>
    <w:rsid w:val="00AE0C14"/>
    <w:rsid w:val="00AE2240"/>
    <w:rsid w:val="00AE563E"/>
    <w:rsid w:val="00AE5C00"/>
    <w:rsid w:val="00AF3C3E"/>
    <w:rsid w:val="00B004DE"/>
    <w:rsid w:val="00B0799D"/>
    <w:rsid w:val="00B07AEF"/>
    <w:rsid w:val="00B13DCF"/>
    <w:rsid w:val="00B23686"/>
    <w:rsid w:val="00B24BC9"/>
    <w:rsid w:val="00B3025C"/>
    <w:rsid w:val="00B3208B"/>
    <w:rsid w:val="00B343CD"/>
    <w:rsid w:val="00B462D8"/>
    <w:rsid w:val="00B475A1"/>
    <w:rsid w:val="00B50EB6"/>
    <w:rsid w:val="00B54417"/>
    <w:rsid w:val="00B60483"/>
    <w:rsid w:val="00B667D6"/>
    <w:rsid w:val="00B73903"/>
    <w:rsid w:val="00B73AF8"/>
    <w:rsid w:val="00B76DB5"/>
    <w:rsid w:val="00B80E14"/>
    <w:rsid w:val="00B93A6C"/>
    <w:rsid w:val="00BA32B9"/>
    <w:rsid w:val="00BB534A"/>
    <w:rsid w:val="00BC5C4E"/>
    <w:rsid w:val="00BE5961"/>
    <w:rsid w:val="00BF06FC"/>
    <w:rsid w:val="00BF44D4"/>
    <w:rsid w:val="00BF67EE"/>
    <w:rsid w:val="00C00671"/>
    <w:rsid w:val="00C00BD0"/>
    <w:rsid w:val="00C03224"/>
    <w:rsid w:val="00C032FF"/>
    <w:rsid w:val="00C116A8"/>
    <w:rsid w:val="00C162D5"/>
    <w:rsid w:val="00C16783"/>
    <w:rsid w:val="00C24E46"/>
    <w:rsid w:val="00C3738B"/>
    <w:rsid w:val="00C4504A"/>
    <w:rsid w:val="00C522B3"/>
    <w:rsid w:val="00C55D44"/>
    <w:rsid w:val="00C827D1"/>
    <w:rsid w:val="00C85DDB"/>
    <w:rsid w:val="00C9024F"/>
    <w:rsid w:val="00C923B6"/>
    <w:rsid w:val="00C93D58"/>
    <w:rsid w:val="00CA0AD8"/>
    <w:rsid w:val="00CB0486"/>
    <w:rsid w:val="00CB1789"/>
    <w:rsid w:val="00CB2B1A"/>
    <w:rsid w:val="00CB4867"/>
    <w:rsid w:val="00CB48EA"/>
    <w:rsid w:val="00CC39AC"/>
    <w:rsid w:val="00CC5DEC"/>
    <w:rsid w:val="00CE70F8"/>
    <w:rsid w:val="00D00450"/>
    <w:rsid w:val="00D101DE"/>
    <w:rsid w:val="00D1411E"/>
    <w:rsid w:val="00D2186B"/>
    <w:rsid w:val="00D308D7"/>
    <w:rsid w:val="00D33DA7"/>
    <w:rsid w:val="00D355A4"/>
    <w:rsid w:val="00D37462"/>
    <w:rsid w:val="00D423C7"/>
    <w:rsid w:val="00D45D8E"/>
    <w:rsid w:val="00D45DFF"/>
    <w:rsid w:val="00D470FF"/>
    <w:rsid w:val="00D47900"/>
    <w:rsid w:val="00D57511"/>
    <w:rsid w:val="00D62784"/>
    <w:rsid w:val="00D71AED"/>
    <w:rsid w:val="00D71B07"/>
    <w:rsid w:val="00D759F9"/>
    <w:rsid w:val="00D75CE5"/>
    <w:rsid w:val="00D77936"/>
    <w:rsid w:val="00D77ED5"/>
    <w:rsid w:val="00D80E00"/>
    <w:rsid w:val="00D861D1"/>
    <w:rsid w:val="00D91F7F"/>
    <w:rsid w:val="00D94F1C"/>
    <w:rsid w:val="00DA036F"/>
    <w:rsid w:val="00DA236D"/>
    <w:rsid w:val="00DB1D9B"/>
    <w:rsid w:val="00DB4CEA"/>
    <w:rsid w:val="00DB7EAF"/>
    <w:rsid w:val="00DC0976"/>
    <w:rsid w:val="00DC16C6"/>
    <w:rsid w:val="00DC622F"/>
    <w:rsid w:val="00DC7A32"/>
    <w:rsid w:val="00DD0F54"/>
    <w:rsid w:val="00DD0FD3"/>
    <w:rsid w:val="00DD162C"/>
    <w:rsid w:val="00DD658E"/>
    <w:rsid w:val="00DE1CEB"/>
    <w:rsid w:val="00DE2157"/>
    <w:rsid w:val="00DE4CA4"/>
    <w:rsid w:val="00DE580F"/>
    <w:rsid w:val="00DE751A"/>
    <w:rsid w:val="00DF155E"/>
    <w:rsid w:val="00DF78AE"/>
    <w:rsid w:val="00E01C92"/>
    <w:rsid w:val="00E05CD8"/>
    <w:rsid w:val="00E06824"/>
    <w:rsid w:val="00E141F9"/>
    <w:rsid w:val="00E1768D"/>
    <w:rsid w:val="00E3252D"/>
    <w:rsid w:val="00E35545"/>
    <w:rsid w:val="00E3667C"/>
    <w:rsid w:val="00E36F8B"/>
    <w:rsid w:val="00E42561"/>
    <w:rsid w:val="00E43AEB"/>
    <w:rsid w:val="00E45777"/>
    <w:rsid w:val="00E50F91"/>
    <w:rsid w:val="00E51ED7"/>
    <w:rsid w:val="00E53AB7"/>
    <w:rsid w:val="00E545E5"/>
    <w:rsid w:val="00E55343"/>
    <w:rsid w:val="00E63A33"/>
    <w:rsid w:val="00E64D73"/>
    <w:rsid w:val="00E67697"/>
    <w:rsid w:val="00E80D78"/>
    <w:rsid w:val="00E92CBC"/>
    <w:rsid w:val="00E96549"/>
    <w:rsid w:val="00EA1C62"/>
    <w:rsid w:val="00EA27B1"/>
    <w:rsid w:val="00EA730E"/>
    <w:rsid w:val="00EB3542"/>
    <w:rsid w:val="00EB668F"/>
    <w:rsid w:val="00EB673F"/>
    <w:rsid w:val="00EB6B51"/>
    <w:rsid w:val="00EC59EE"/>
    <w:rsid w:val="00EC7D4B"/>
    <w:rsid w:val="00ED448D"/>
    <w:rsid w:val="00ED4F9B"/>
    <w:rsid w:val="00EE064E"/>
    <w:rsid w:val="00EE4D59"/>
    <w:rsid w:val="00EE4FBD"/>
    <w:rsid w:val="00EE50C4"/>
    <w:rsid w:val="00EF0C7C"/>
    <w:rsid w:val="00EF47C7"/>
    <w:rsid w:val="00EF6A81"/>
    <w:rsid w:val="00EF6DA8"/>
    <w:rsid w:val="00F01F73"/>
    <w:rsid w:val="00F0250B"/>
    <w:rsid w:val="00F05F4B"/>
    <w:rsid w:val="00F06492"/>
    <w:rsid w:val="00F131A9"/>
    <w:rsid w:val="00F15220"/>
    <w:rsid w:val="00F16DC8"/>
    <w:rsid w:val="00F30B5C"/>
    <w:rsid w:val="00F434B4"/>
    <w:rsid w:val="00F43D4F"/>
    <w:rsid w:val="00F506F8"/>
    <w:rsid w:val="00F52CA5"/>
    <w:rsid w:val="00F53381"/>
    <w:rsid w:val="00F60400"/>
    <w:rsid w:val="00F702ED"/>
    <w:rsid w:val="00F70FFC"/>
    <w:rsid w:val="00F869D0"/>
    <w:rsid w:val="00F87E68"/>
    <w:rsid w:val="00F87ED2"/>
    <w:rsid w:val="00F909DA"/>
    <w:rsid w:val="00F94594"/>
    <w:rsid w:val="00F95594"/>
    <w:rsid w:val="00FA4B9B"/>
    <w:rsid w:val="00FA51A1"/>
    <w:rsid w:val="00FA633D"/>
    <w:rsid w:val="00FA6ACB"/>
    <w:rsid w:val="00FC0375"/>
    <w:rsid w:val="00FC29B9"/>
    <w:rsid w:val="00FD73D4"/>
    <w:rsid w:val="00FE450D"/>
    <w:rsid w:val="00FF3059"/>
    <w:rsid w:val="00FF5218"/>
    <w:rsid w:val="00FF6EC9"/>
    <w:rsid w:val="00FF7EF7"/>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D9DA35"/>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6B18"/>
    <w:pPr>
      <w:ind w:left="720"/>
      <w:contextualSpacing/>
    </w:pPr>
  </w:style>
  <w:style w:type="character" w:customStyle="1" w:styleId="ListParagraphChar">
    <w:name w:val="List Paragraph Char"/>
    <w:link w:val="ListParagraph"/>
    <w:uiPriority w:val="34"/>
    <w:locked/>
    <w:rsid w:val="00526B18"/>
  </w:style>
  <w:style w:type="paragraph" w:customStyle="1" w:styleId="Bullet">
    <w:name w:val="Bullet"/>
    <w:basedOn w:val="Normal"/>
    <w:link w:val="BulletChar"/>
    <w:rsid w:val="00E42561"/>
    <w:pPr>
      <w:numPr>
        <w:numId w:val="5"/>
      </w:numPr>
      <w:spacing w:before="240" w:after="120" w:line="240" w:lineRule="auto"/>
    </w:pPr>
    <w:rPr>
      <w:rFonts w:ascii="Times New Roman" w:eastAsia="Times New Roman" w:hAnsi="Times New Roman" w:cs="Times New Roman"/>
      <w:sz w:val="24"/>
      <w:szCs w:val="23"/>
      <w:lang w:eastAsia="en-AU"/>
    </w:rPr>
  </w:style>
  <w:style w:type="character" w:customStyle="1" w:styleId="BulletChar">
    <w:name w:val="Bullet Char"/>
    <w:basedOn w:val="DefaultParagraphFont"/>
    <w:link w:val="Bullet"/>
    <w:rsid w:val="00E42561"/>
    <w:rPr>
      <w:rFonts w:ascii="Times New Roman" w:eastAsia="Times New Roman" w:hAnsi="Times New Roman" w:cs="Times New Roman"/>
      <w:sz w:val="24"/>
      <w:szCs w:val="23"/>
      <w:lang w:eastAsia="en-AU"/>
    </w:rPr>
  </w:style>
  <w:style w:type="paragraph" w:customStyle="1" w:styleId="Dash">
    <w:name w:val="Dash"/>
    <w:basedOn w:val="Normal"/>
    <w:rsid w:val="00E42561"/>
    <w:pPr>
      <w:numPr>
        <w:ilvl w:val="1"/>
        <w:numId w:val="5"/>
      </w:numPr>
      <w:spacing w:before="240" w:after="120" w:line="240" w:lineRule="auto"/>
    </w:pPr>
    <w:rPr>
      <w:rFonts w:ascii="Times New Roman" w:eastAsia="Times New Roman" w:hAnsi="Times New Roman" w:cs="Times New Roman"/>
      <w:sz w:val="24"/>
      <w:szCs w:val="23"/>
      <w:lang w:eastAsia="en-AU"/>
    </w:rPr>
  </w:style>
  <w:style w:type="paragraph" w:customStyle="1" w:styleId="DoubleDot">
    <w:name w:val="Double Dot"/>
    <w:basedOn w:val="Normal"/>
    <w:rsid w:val="00E42561"/>
    <w:pPr>
      <w:numPr>
        <w:ilvl w:val="2"/>
        <w:numId w:val="5"/>
      </w:numPr>
      <w:spacing w:before="240" w:after="120" w:line="240" w:lineRule="auto"/>
    </w:pPr>
    <w:rPr>
      <w:rFonts w:ascii="Times New Roman" w:eastAsia="Times New Roman" w:hAnsi="Times New Roman" w:cs="Times New Roman"/>
      <w:sz w:val="24"/>
      <w:szCs w:val="23"/>
      <w:lang w:eastAsia="en-AU"/>
    </w:rPr>
  </w:style>
  <w:style w:type="paragraph" w:styleId="ListBullet">
    <w:name w:val="List Bullet"/>
    <w:basedOn w:val="Normal"/>
    <w:uiPriority w:val="99"/>
    <w:unhideWhenUsed/>
    <w:rsid w:val="00E42561"/>
    <w:pPr>
      <w:numPr>
        <w:numId w:val="6"/>
      </w:numPr>
      <w:spacing w:before="120" w:after="120" w:line="240" w:lineRule="auto"/>
      <w:contextualSpacing/>
    </w:pPr>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E4256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E4256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42561"/>
    <w:rPr>
      <w:vertAlign w:val="superscript"/>
    </w:rPr>
  </w:style>
  <w:style w:type="character" w:styleId="Hyperlink">
    <w:name w:val="Hyperlink"/>
    <w:basedOn w:val="DefaultParagraphFont"/>
    <w:uiPriority w:val="99"/>
    <w:unhideWhenUsed/>
    <w:rsid w:val="00DE1CEB"/>
    <w:rPr>
      <w:color w:val="0000FF" w:themeColor="hyperlink"/>
      <w:u w:val="single"/>
    </w:rPr>
  </w:style>
  <w:style w:type="paragraph" w:styleId="BalloonText">
    <w:name w:val="Balloon Text"/>
    <w:basedOn w:val="Normal"/>
    <w:link w:val="BalloonTextChar"/>
    <w:uiPriority w:val="99"/>
    <w:semiHidden/>
    <w:unhideWhenUsed/>
    <w:rsid w:val="00DE1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EB"/>
    <w:rPr>
      <w:rFonts w:ascii="Segoe UI" w:hAnsi="Segoe UI" w:cs="Segoe UI"/>
      <w:sz w:val="18"/>
      <w:szCs w:val="18"/>
    </w:rPr>
  </w:style>
  <w:style w:type="character" w:styleId="CommentReference">
    <w:name w:val="annotation reference"/>
    <w:basedOn w:val="DefaultParagraphFont"/>
    <w:uiPriority w:val="99"/>
    <w:semiHidden/>
    <w:unhideWhenUsed/>
    <w:rsid w:val="008C2AF5"/>
    <w:rPr>
      <w:sz w:val="16"/>
      <w:szCs w:val="16"/>
    </w:rPr>
  </w:style>
  <w:style w:type="paragraph" w:styleId="CommentText">
    <w:name w:val="annotation text"/>
    <w:basedOn w:val="Normal"/>
    <w:link w:val="CommentTextChar"/>
    <w:uiPriority w:val="99"/>
    <w:unhideWhenUsed/>
    <w:rsid w:val="008C2AF5"/>
    <w:pPr>
      <w:spacing w:line="240" w:lineRule="auto"/>
    </w:pPr>
    <w:rPr>
      <w:sz w:val="20"/>
      <w:szCs w:val="20"/>
    </w:rPr>
  </w:style>
  <w:style w:type="character" w:customStyle="1" w:styleId="CommentTextChar">
    <w:name w:val="Comment Text Char"/>
    <w:basedOn w:val="DefaultParagraphFont"/>
    <w:link w:val="CommentText"/>
    <w:uiPriority w:val="99"/>
    <w:rsid w:val="008C2AF5"/>
    <w:rPr>
      <w:sz w:val="20"/>
      <w:szCs w:val="20"/>
    </w:rPr>
  </w:style>
  <w:style w:type="paragraph" w:styleId="CommentSubject">
    <w:name w:val="annotation subject"/>
    <w:basedOn w:val="CommentText"/>
    <w:next w:val="CommentText"/>
    <w:link w:val="CommentSubjectChar"/>
    <w:uiPriority w:val="99"/>
    <w:semiHidden/>
    <w:unhideWhenUsed/>
    <w:rsid w:val="008C2AF5"/>
    <w:rPr>
      <w:b/>
      <w:bCs/>
    </w:rPr>
  </w:style>
  <w:style w:type="character" w:customStyle="1" w:styleId="CommentSubjectChar">
    <w:name w:val="Comment Subject Char"/>
    <w:basedOn w:val="CommentTextChar"/>
    <w:link w:val="CommentSubject"/>
    <w:uiPriority w:val="99"/>
    <w:semiHidden/>
    <w:rsid w:val="008C2AF5"/>
    <w:rPr>
      <w:b/>
      <w:bCs/>
      <w:sz w:val="20"/>
      <w:szCs w:val="20"/>
    </w:rPr>
  </w:style>
  <w:style w:type="paragraph" w:styleId="Header">
    <w:name w:val="header"/>
    <w:basedOn w:val="Normal"/>
    <w:link w:val="HeaderChar"/>
    <w:uiPriority w:val="99"/>
    <w:unhideWhenUsed/>
    <w:rsid w:val="00CB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EA"/>
  </w:style>
  <w:style w:type="paragraph" w:styleId="Footer">
    <w:name w:val="footer"/>
    <w:basedOn w:val="Normal"/>
    <w:link w:val="FooterChar"/>
    <w:uiPriority w:val="99"/>
    <w:unhideWhenUsed/>
    <w:rsid w:val="00CB4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EA"/>
  </w:style>
  <w:style w:type="paragraph" w:styleId="Revision">
    <w:name w:val="Revision"/>
    <w:hidden/>
    <w:uiPriority w:val="99"/>
    <w:semiHidden/>
    <w:rsid w:val="009F14D0"/>
    <w:pPr>
      <w:spacing w:after="0" w:line="240" w:lineRule="auto"/>
    </w:pPr>
  </w:style>
  <w:style w:type="character" w:customStyle="1" w:styleId="UnresolvedMention1">
    <w:name w:val="Unresolved Mention1"/>
    <w:basedOn w:val="DefaultParagraphFont"/>
    <w:uiPriority w:val="99"/>
    <w:semiHidden/>
    <w:unhideWhenUsed/>
    <w:rsid w:val="006F3C96"/>
    <w:rPr>
      <w:color w:val="605E5C"/>
      <w:shd w:val="clear" w:color="auto" w:fill="E1DFDD"/>
    </w:rPr>
  </w:style>
  <w:style w:type="paragraph" w:customStyle="1" w:styleId="ItemHead">
    <w:name w:val="ItemHead"/>
    <w:aliases w:val="ih"/>
    <w:basedOn w:val="Normal"/>
    <w:next w:val="Item"/>
    <w:rsid w:val="007E5FA7"/>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7E5FA7"/>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F70FF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70FF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F70FFC"/>
    <w:rPr>
      <w:rFonts w:ascii="Times New Roman" w:eastAsia="Times New Roman" w:hAnsi="Times New Roman" w:cs="Times New Roman"/>
      <w:szCs w:val="20"/>
      <w:lang w:eastAsia="en-AU"/>
    </w:rPr>
  </w:style>
  <w:style w:type="character" w:customStyle="1" w:styleId="UnresolvedMention">
    <w:name w:val="Unresolved Mention"/>
    <w:basedOn w:val="DefaultParagraphFont"/>
    <w:uiPriority w:val="99"/>
    <w:semiHidden/>
    <w:unhideWhenUsed/>
    <w:rsid w:val="009B57A4"/>
    <w:rPr>
      <w:color w:val="605E5C"/>
      <w:shd w:val="clear" w:color="auto" w:fill="E1DFDD"/>
    </w:rPr>
  </w:style>
  <w:style w:type="paragraph" w:customStyle="1" w:styleId="subsection">
    <w:name w:val="subsection"/>
    <w:basedOn w:val="Normal"/>
    <w:rsid w:val="002C07F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812B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2BA9"/>
    <w:rPr>
      <w:sz w:val="20"/>
      <w:szCs w:val="20"/>
    </w:rPr>
  </w:style>
  <w:style w:type="character" w:styleId="EndnoteReference">
    <w:name w:val="endnote reference"/>
    <w:basedOn w:val="DefaultParagraphFont"/>
    <w:uiPriority w:val="99"/>
    <w:semiHidden/>
    <w:unhideWhenUsed/>
    <w:rsid w:val="00812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97277">
      <w:bodyDiv w:val="1"/>
      <w:marLeft w:val="0"/>
      <w:marRight w:val="0"/>
      <w:marTop w:val="0"/>
      <w:marBottom w:val="0"/>
      <w:divBdr>
        <w:top w:val="none" w:sz="0" w:space="0" w:color="auto"/>
        <w:left w:val="none" w:sz="0" w:space="0" w:color="auto"/>
        <w:bottom w:val="none" w:sz="0" w:space="0" w:color="auto"/>
        <w:right w:val="none" w:sz="0" w:space="0" w:color="auto"/>
      </w:divBdr>
    </w:div>
    <w:div w:id="849224509">
      <w:bodyDiv w:val="1"/>
      <w:marLeft w:val="0"/>
      <w:marRight w:val="0"/>
      <w:marTop w:val="0"/>
      <w:marBottom w:val="0"/>
      <w:divBdr>
        <w:top w:val="none" w:sz="0" w:space="0" w:color="auto"/>
        <w:left w:val="none" w:sz="0" w:space="0" w:color="auto"/>
        <w:bottom w:val="none" w:sz="0" w:space="0" w:color="auto"/>
        <w:right w:val="none" w:sz="0" w:space="0" w:color="auto"/>
      </w:divBdr>
    </w:div>
    <w:div w:id="986283755">
      <w:bodyDiv w:val="1"/>
      <w:marLeft w:val="0"/>
      <w:marRight w:val="0"/>
      <w:marTop w:val="0"/>
      <w:marBottom w:val="0"/>
      <w:divBdr>
        <w:top w:val="none" w:sz="0" w:space="0" w:color="auto"/>
        <w:left w:val="none" w:sz="0" w:space="0" w:color="auto"/>
        <w:bottom w:val="none" w:sz="0" w:space="0" w:color="auto"/>
        <w:right w:val="none" w:sz="0" w:space="0" w:color="auto"/>
      </w:divBdr>
    </w:div>
    <w:div w:id="1098209597">
      <w:bodyDiv w:val="1"/>
      <w:marLeft w:val="0"/>
      <w:marRight w:val="0"/>
      <w:marTop w:val="0"/>
      <w:marBottom w:val="0"/>
      <w:divBdr>
        <w:top w:val="none" w:sz="0" w:space="0" w:color="auto"/>
        <w:left w:val="none" w:sz="0" w:space="0" w:color="auto"/>
        <w:bottom w:val="none" w:sz="0" w:space="0" w:color="auto"/>
        <w:right w:val="none" w:sz="0" w:space="0" w:color="auto"/>
      </w:divBdr>
    </w:div>
    <w:div w:id="13014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austlii.edu.au/au/other/dfat/treaties/ATS/2016/24.html" TargetMode="External"/><Relationship Id="rId2" Type="http://schemas.openxmlformats.org/officeDocument/2006/relationships/hyperlink" Target="http://www.austlii.edu.au/au/other/dfat/treaties/1994/2.html" TargetMode="External"/><Relationship Id="rId1" Type="http://schemas.openxmlformats.org/officeDocument/2006/relationships/hyperlink" Target="https://aemo.com.au/-/media/files/electricity/nem/planning_and_forecasting/nem_esoo/2021/2021-nem-esoo.pdf?la=en&amp;hash=D53ED10E2E0D452C79F97812BDD926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4E0FD3EA26CC469FD0448D41A9A30B" ma:contentTypeVersion="" ma:contentTypeDescription="PDMS Document Site Content Type" ma:contentTypeScope="" ma:versionID="0ab7a88baa7d6ec6028f6dd9f0533125">
  <xsd:schema xmlns:xsd="http://www.w3.org/2001/XMLSchema" xmlns:xs="http://www.w3.org/2001/XMLSchema" xmlns:p="http://schemas.microsoft.com/office/2006/metadata/properties" xmlns:ns2="85B5275B-5B50-417A-8ED0-8761BF96C0F9" targetNamespace="http://schemas.microsoft.com/office/2006/metadata/properties" ma:root="true" ma:fieldsID="b8c7d01e8c85b04b4de0758bbaf6d850" ns2:_="">
    <xsd:import namespace="85B5275B-5B50-417A-8ED0-8761BF96C0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275B-5B50-417A-8ED0-8761BF96C0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5B5275B-5B50-417A-8ED0-8761BF96C0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837AE95E-DFC9-41E0-BE88-98C6726F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275B-5B50-417A-8ED0-8761BF96C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F6E8-8D31-46B9-91F7-B436202A5717}">
  <ds:schemaRefs>
    <ds:schemaRef ds:uri="http://purl.org/dc/elements/1.1/"/>
    <ds:schemaRef ds:uri="http://schemas.microsoft.com/office/2006/metadata/properties"/>
    <ds:schemaRef ds:uri="85B5275B-5B50-417A-8ED0-8761BF96C0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7EC46CE-3E0A-409D-8BD3-4CB834FB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Osborne, Lea</cp:lastModifiedBy>
  <cp:revision>9</cp:revision>
  <cp:lastPrinted>2021-02-04T22:32:00Z</cp:lastPrinted>
  <dcterms:created xsi:type="dcterms:W3CDTF">2022-07-08T03:55:00Z</dcterms:created>
  <dcterms:modified xsi:type="dcterms:W3CDTF">2022-07-11T23:00:00Z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0x010100266966F133664895A6EE3632470D45F500EC4E0FD3EA26CC469FD0448D41A9A30B</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1380;#2022|4a777a70-2aa9-481e-a746-cca47d761c8e</vt:lpwstr>
  </property>
  <property fmtid="{D5CDD505-2E9C-101B-9397-08002B2CF9AE}" pid="5" name="DocHub_LegalToolPurpose">
    <vt:lpwstr>4832;#Standing Advice|ed74bdb8-e7d0-4e35-8cfa-142834146cc4</vt:lpwstr>
  </property>
  <property fmtid="{D5CDD505-2E9C-101B-9397-08002B2CF9AE}" pid="6" name="DocHub_WorkActivity">
    <vt:lpwstr>192;#Legislation and Regulation|6cbc66f5-f4a2-4565-a58b-d5f2d2ac9bd0</vt:lpwstr>
  </property>
  <property fmtid="{D5CDD505-2E9C-101B-9397-08002B2CF9AE}" pid="7" name="DocHub_Keywords">
    <vt:lpwstr>274;#ARENA|de824d52-b493-4981-bd5b-7988a77972a4;#1018;#ARENA regulation|65d0093b-c1dc-49ea-bc4c-5133e845b028</vt:lpwstr>
  </property>
  <property fmtid="{D5CDD505-2E9C-101B-9397-08002B2CF9AE}" pid="8" name="DocHub_DocumentType">
    <vt:lpwstr>314;#Legislative Instrument|edbe159b-95f5-40e7-bf23-9dfb62f2e7f0</vt:lpwstr>
  </property>
  <property fmtid="{D5CDD505-2E9C-101B-9397-08002B2CF9AE}" pid="9" name="DocHub_SecurityClassification">
    <vt:lpwstr>153;#Legal privilege|803d03d9-f24d-497a-bb88-13a7511ff07a</vt:lpwstr>
  </property>
  <property fmtid="{D5CDD505-2E9C-101B-9397-08002B2CF9AE}" pid="10" name="_dlc_DocIdItemGuid">
    <vt:lpwstr>52736cf9-9c50-45e5-8fc4-4b02fff03d5b</vt:lpwstr>
  </property>
  <property fmtid="{D5CDD505-2E9C-101B-9397-08002B2CF9AE}" pid="11" name="DocHub_CleanEnergyAgency">
    <vt:lpwstr>834;#ARENA|c0142b61-5070-429a-bc69-436f0c49badb</vt:lpwstr>
  </property>
  <property fmtid="{D5CDD505-2E9C-101B-9397-08002B2CF9AE}" pid="12" name="DocHub_CleanEnergyAgencyTopic">
    <vt:lpwstr>467;#Legislation|8603ed99-bd4e-4ab2-9cfe-4ca517018a14</vt:lpwstr>
  </property>
  <property fmtid="{D5CDD505-2E9C-101B-9397-08002B2CF9AE}" pid="13" name="DocHub_LegalClient">
    <vt:lpwstr/>
  </property>
</Properties>
</file>