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33A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FF8F8EB" wp14:editId="0D7251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44E5" w14:textId="77777777" w:rsidR="00715914" w:rsidRPr="00E500D4" w:rsidRDefault="00715914" w:rsidP="00715914">
      <w:pPr>
        <w:rPr>
          <w:sz w:val="19"/>
        </w:rPr>
      </w:pPr>
    </w:p>
    <w:p w14:paraId="6008B3A5" w14:textId="44E00635" w:rsidR="00554826" w:rsidRPr="00E500D4" w:rsidRDefault="008648CA" w:rsidP="00554826">
      <w:pPr>
        <w:pStyle w:val="ShortT"/>
      </w:pPr>
      <w:r>
        <w:t>Biosecurity</w:t>
      </w:r>
      <w:r w:rsidRPr="00DA182D">
        <w:t xml:space="preserve"> </w:t>
      </w:r>
      <w:r>
        <w:t>(Foot and Mouth Disease Biosecurity Response Zone) Determination 2022</w:t>
      </w:r>
    </w:p>
    <w:p w14:paraId="48E0B275" w14:textId="4AC24A95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339BB">
        <w:rPr>
          <w:szCs w:val="22"/>
        </w:rPr>
        <w:t>Andrew Edgar Francis Metcalfe AO</w:t>
      </w:r>
      <w:r w:rsidR="008648CA" w:rsidRPr="00DA182D">
        <w:rPr>
          <w:szCs w:val="22"/>
        </w:rPr>
        <w:t xml:space="preserve">, </w:t>
      </w:r>
      <w:r w:rsidR="008648CA">
        <w:rPr>
          <w:szCs w:val="22"/>
        </w:rPr>
        <w:t>Director of Biosecurity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648CA">
        <w:rPr>
          <w:szCs w:val="22"/>
        </w:rPr>
        <w:t>determination</w:t>
      </w:r>
      <w:r w:rsidRPr="00DA182D">
        <w:rPr>
          <w:szCs w:val="22"/>
        </w:rPr>
        <w:t>.</w:t>
      </w:r>
    </w:p>
    <w:p w14:paraId="6F2B1375" w14:textId="3B7059A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06E21">
        <w:rPr>
          <w:szCs w:val="22"/>
        </w:rPr>
        <w:t>22 July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49B03E9" w14:textId="6BCACB88" w:rsidR="00423CF7" w:rsidRDefault="00306E21" w:rsidP="00306E21">
      <w:pPr>
        <w:pStyle w:val="ListParagraph"/>
        <w:keepNext/>
        <w:numPr>
          <w:ilvl w:val="0"/>
          <w:numId w:val="25"/>
        </w:numPr>
        <w:tabs>
          <w:tab w:val="left" w:pos="3402"/>
        </w:tabs>
        <w:spacing w:before="240" w:line="300" w:lineRule="atLeast"/>
        <w:ind w:right="397"/>
      </w:pPr>
      <w:r>
        <w:t>Metcalfe</w:t>
      </w:r>
    </w:p>
    <w:p w14:paraId="6296715A" w14:textId="02FED0C0" w:rsidR="00554826" w:rsidRPr="00306E21" w:rsidRDefault="004339BB" w:rsidP="00306E21">
      <w:pPr>
        <w:keepNext/>
        <w:tabs>
          <w:tab w:val="left" w:pos="3402"/>
        </w:tabs>
        <w:spacing w:before="240" w:line="300" w:lineRule="atLeast"/>
        <w:ind w:right="397"/>
      </w:pPr>
      <w:r>
        <w:t>Andrew Edgar Francis Metcalfe AO</w:t>
      </w:r>
      <w:r w:rsidR="008648CA" w:rsidRPr="00306E21">
        <w:rPr>
          <w:b/>
          <w:szCs w:val="22"/>
          <w:highlight w:val="lightGray"/>
        </w:rPr>
        <w:t xml:space="preserve"> </w:t>
      </w:r>
    </w:p>
    <w:p w14:paraId="408781A8" w14:textId="2AD174AE" w:rsidR="00554826" w:rsidRPr="008E0027" w:rsidRDefault="004339BB" w:rsidP="008648CA">
      <w:pPr>
        <w:pStyle w:val="SignCoverPageEnd"/>
        <w:ind w:right="91"/>
        <w:rPr>
          <w:sz w:val="22"/>
        </w:rPr>
      </w:pPr>
      <w:r>
        <w:rPr>
          <w:rFonts w:eastAsiaTheme="minorHAnsi" w:cstheme="minorBidi"/>
          <w:sz w:val="22"/>
          <w:lang w:eastAsia="en-US"/>
        </w:rPr>
        <w:t>Director of Biosecurity</w:t>
      </w:r>
    </w:p>
    <w:p w14:paraId="2985DC74" w14:textId="77777777" w:rsidR="00554826" w:rsidRDefault="00554826" w:rsidP="00554826"/>
    <w:p w14:paraId="0F67207D" w14:textId="77777777" w:rsidR="00554826" w:rsidRPr="00ED79B6" w:rsidRDefault="00554826" w:rsidP="00554826"/>
    <w:p w14:paraId="025626CB" w14:textId="77777777" w:rsidR="00F6696E" w:rsidRDefault="00F6696E" w:rsidP="00F6696E"/>
    <w:p w14:paraId="3E1AE2E2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87EC73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A315A76" w14:textId="6ACCD301" w:rsidR="00B3535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35350">
        <w:rPr>
          <w:noProof/>
        </w:rPr>
        <w:t>1  Name</w:t>
      </w:r>
      <w:r w:rsidR="00B35350">
        <w:rPr>
          <w:noProof/>
        </w:rPr>
        <w:tab/>
      </w:r>
      <w:r w:rsidR="00B35350">
        <w:rPr>
          <w:noProof/>
        </w:rPr>
        <w:fldChar w:fldCharType="begin"/>
      </w:r>
      <w:r w:rsidR="00B35350">
        <w:rPr>
          <w:noProof/>
        </w:rPr>
        <w:instrText xml:space="preserve"> PAGEREF _Toc109332362 \h </w:instrText>
      </w:r>
      <w:r w:rsidR="00B35350">
        <w:rPr>
          <w:noProof/>
        </w:rPr>
      </w:r>
      <w:r w:rsidR="00B35350">
        <w:rPr>
          <w:noProof/>
        </w:rPr>
        <w:fldChar w:fldCharType="separate"/>
      </w:r>
      <w:r w:rsidR="00EA5E6C">
        <w:rPr>
          <w:noProof/>
        </w:rPr>
        <w:t>1</w:t>
      </w:r>
      <w:r w:rsidR="00B35350">
        <w:rPr>
          <w:noProof/>
        </w:rPr>
        <w:fldChar w:fldCharType="end"/>
      </w:r>
    </w:p>
    <w:p w14:paraId="1268262E" w14:textId="5E8B4F02" w:rsidR="00B35350" w:rsidRDefault="00B353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_Toc109332363 \h </w:instrText>
      </w:r>
      <w:r>
        <w:rPr>
          <w:noProof/>
        </w:rPr>
      </w:r>
      <w:r>
        <w:rPr>
          <w:noProof/>
        </w:rPr>
        <w:fldChar w:fldCharType="separate"/>
      </w:r>
      <w:r w:rsidR="00EA5E6C">
        <w:rPr>
          <w:noProof/>
        </w:rPr>
        <w:t>1</w:t>
      </w:r>
      <w:r>
        <w:rPr>
          <w:noProof/>
        </w:rPr>
        <w:fldChar w:fldCharType="end"/>
      </w:r>
    </w:p>
    <w:p w14:paraId="408D66DC" w14:textId="6D0CCA20" w:rsidR="00B35350" w:rsidRDefault="00B353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_Toc109332364 \h </w:instrText>
      </w:r>
      <w:r>
        <w:rPr>
          <w:noProof/>
        </w:rPr>
      </w:r>
      <w:r>
        <w:rPr>
          <w:noProof/>
        </w:rPr>
        <w:fldChar w:fldCharType="separate"/>
      </w:r>
      <w:r w:rsidR="00EA5E6C">
        <w:rPr>
          <w:noProof/>
        </w:rPr>
        <w:t>1</w:t>
      </w:r>
      <w:r>
        <w:rPr>
          <w:noProof/>
        </w:rPr>
        <w:fldChar w:fldCharType="end"/>
      </w:r>
    </w:p>
    <w:p w14:paraId="0BAFEFF3" w14:textId="55E18A03" w:rsidR="00B35350" w:rsidRDefault="00B353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_Toc109332365 \h </w:instrText>
      </w:r>
      <w:r>
        <w:rPr>
          <w:noProof/>
        </w:rPr>
      </w:r>
      <w:r>
        <w:rPr>
          <w:noProof/>
        </w:rPr>
        <w:fldChar w:fldCharType="separate"/>
      </w:r>
      <w:r w:rsidR="00EA5E6C">
        <w:rPr>
          <w:noProof/>
        </w:rPr>
        <w:t>1</w:t>
      </w:r>
      <w:r>
        <w:rPr>
          <w:noProof/>
        </w:rPr>
        <w:fldChar w:fldCharType="end"/>
      </w:r>
    </w:p>
    <w:p w14:paraId="7794F193" w14:textId="51C5754B" w:rsidR="00B35350" w:rsidRDefault="00B353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Specified biosecurity response zone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_Toc109332366 \h </w:instrText>
      </w:r>
      <w:r>
        <w:rPr>
          <w:noProof/>
        </w:rPr>
      </w:r>
      <w:r>
        <w:rPr>
          <w:noProof/>
        </w:rPr>
        <w:fldChar w:fldCharType="separate"/>
      </w:r>
      <w:r w:rsidR="00EA5E6C">
        <w:rPr>
          <w:noProof/>
        </w:rPr>
        <w:t>2</w:t>
      </w:r>
      <w:r>
        <w:rPr>
          <w:noProof/>
        </w:rPr>
        <w:fldChar w:fldCharType="end"/>
      </w:r>
    </w:p>
    <w:p w14:paraId="28048C5D" w14:textId="4CD53377" w:rsidR="00B35350" w:rsidRDefault="00B353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Biosecurity risk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_Toc109332367 \h </w:instrText>
      </w:r>
      <w:r>
        <w:rPr>
          <w:noProof/>
        </w:rPr>
      </w:r>
      <w:r>
        <w:rPr>
          <w:noProof/>
        </w:rPr>
        <w:fldChar w:fldCharType="separate"/>
      </w:r>
      <w:r w:rsidR="00EA5E6C">
        <w:rPr>
          <w:noProof/>
        </w:rPr>
        <w:t>2</w:t>
      </w:r>
      <w:r>
        <w:rPr>
          <w:noProof/>
        </w:rPr>
        <w:fldChar w:fldCharType="end"/>
      </w:r>
    </w:p>
    <w:p w14:paraId="51899E48" w14:textId="4B29B77A" w:rsidR="00B35350" w:rsidRDefault="00B353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Exercise of powers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_Toc109332368 \h </w:instrText>
      </w:r>
      <w:r>
        <w:rPr>
          <w:noProof/>
        </w:rPr>
      </w:r>
      <w:r>
        <w:rPr>
          <w:noProof/>
        </w:rPr>
        <w:fldChar w:fldCharType="separate"/>
      </w:r>
      <w:r w:rsidR="00EA5E6C">
        <w:rPr>
          <w:noProof/>
        </w:rPr>
        <w:t>3</w:t>
      </w:r>
      <w:r>
        <w:rPr>
          <w:noProof/>
        </w:rPr>
        <w:fldChar w:fldCharType="end"/>
      </w:r>
    </w:p>
    <w:p w14:paraId="278A0979" w14:textId="6DB45AC7" w:rsidR="00B35350" w:rsidRDefault="00B353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Period of effect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_Toc109332369 \h </w:instrText>
      </w:r>
      <w:r>
        <w:rPr>
          <w:noProof/>
        </w:rPr>
      </w:r>
      <w:r>
        <w:rPr>
          <w:noProof/>
        </w:rPr>
        <w:fldChar w:fldCharType="separate"/>
      </w:r>
      <w:r w:rsidR="00EA5E6C">
        <w:rPr>
          <w:noProof/>
        </w:rPr>
        <w:t>3</w:t>
      </w:r>
      <w:r>
        <w:rPr>
          <w:noProof/>
        </w:rPr>
        <w:fldChar w:fldCharType="end"/>
      </w:r>
    </w:p>
    <w:p w14:paraId="759A2E36" w14:textId="43FAED0E" w:rsidR="00B35350" w:rsidRDefault="00B353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_Toc109332370 \h </w:instrText>
      </w:r>
      <w:r>
        <w:rPr>
          <w:noProof/>
        </w:rPr>
      </w:r>
      <w:r>
        <w:rPr>
          <w:noProof/>
        </w:rPr>
        <w:fldChar w:fldCharType="separate"/>
      </w:r>
      <w:r w:rsidR="00EA5E6C">
        <w:rPr>
          <w:noProof/>
        </w:rPr>
        <w:t>3</w:t>
      </w:r>
      <w:r>
        <w:rPr>
          <w:noProof/>
        </w:rPr>
        <w:fldChar w:fldCharType="end"/>
      </w:r>
    </w:p>
    <w:p w14:paraId="7DED777E" w14:textId="1F173819" w:rsidR="00F6696E" w:rsidRDefault="00B418CB" w:rsidP="00F6696E">
      <w:pPr>
        <w:outlineLvl w:val="0"/>
      </w:pPr>
      <w:r>
        <w:fldChar w:fldCharType="end"/>
      </w:r>
    </w:p>
    <w:p w14:paraId="1A0E22AC" w14:textId="77777777" w:rsidR="00F6696E" w:rsidRPr="00A802BC" w:rsidRDefault="00F6696E" w:rsidP="00F6696E">
      <w:pPr>
        <w:outlineLvl w:val="0"/>
        <w:rPr>
          <w:sz w:val="20"/>
        </w:rPr>
      </w:pPr>
    </w:p>
    <w:p w14:paraId="2B54EABD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DECD25" w14:textId="77777777" w:rsidR="008648CA" w:rsidRPr="00554826" w:rsidRDefault="008648CA" w:rsidP="008648CA">
      <w:pPr>
        <w:pStyle w:val="ActHead5"/>
      </w:pPr>
      <w:bookmarkStart w:id="0" w:name="_Toc109319365"/>
      <w:bookmarkStart w:id="1" w:name="_Toc109332362"/>
      <w:r w:rsidRPr="00554826">
        <w:lastRenderedPageBreak/>
        <w:t>1  Name</w:t>
      </w:r>
      <w:bookmarkEnd w:id="0"/>
      <w:bookmarkEnd w:id="1"/>
    </w:p>
    <w:p w14:paraId="2170FF2D" w14:textId="77777777" w:rsidR="008648CA" w:rsidRDefault="008648CA" w:rsidP="008648C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>
        <w:rPr>
          <w:i/>
        </w:rPr>
        <w:t>Biosecurity (Foot and Mouth Disease Biosecurity Response Zone) Determination 2022</w:t>
      </w:r>
      <w:r w:rsidRPr="009C2562">
        <w:t>.</w:t>
      </w:r>
    </w:p>
    <w:p w14:paraId="06FA2935" w14:textId="77777777" w:rsidR="008648CA" w:rsidRPr="00554826" w:rsidRDefault="008648CA" w:rsidP="008648CA">
      <w:pPr>
        <w:pStyle w:val="ActHead5"/>
      </w:pPr>
      <w:bookmarkStart w:id="3" w:name="_Toc109319366"/>
      <w:bookmarkStart w:id="4" w:name="_Toc109332363"/>
      <w:r w:rsidRPr="00554826">
        <w:t>2  Commencement</w:t>
      </w:r>
      <w:bookmarkEnd w:id="3"/>
      <w:bookmarkEnd w:id="4"/>
    </w:p>
    <w:p w14:paraId="460B9126" w14:textId="77777777" w:rsidR="008648CA" w:rsidRPr="003422B4" w:rsidRDefault="008648CA" w:rsidP="008648CA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4CC2FCD" w14:textId="77777777" w:rsidR="008648CA" w:rsidRPr="003422B4" w:rsidRDefault="008648CA" w:rsidP="008648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648CA" w:rsidRPr="003422B4" w14:paraId="47A50854" w14:textId="77777777" w:rsidTr="0041240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852B2DF" w14:textId="77777777" w:rsidR="008648CA" w:rsidRPr="003422B4" w:rsidRDefault="008648CA" w:rsidP="00412407">
            <w:pPr>
              <w:pStyle w:val="TableHeading"/>
            </w:pPr>
            <w:r w:rsidRPr="003422B4">
              <w:t>Commencement information</w:t>
            </w:r>
          </w:p>
        </w:tc>
      </w:tr>
      <w:tr w:rsidR="008648CA" w:rsidRPr="003422B4" w14:paraId="7FF30E21" w14:textId="77777777" w:rsidTr="004124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3D46E6" w14:textId="77777777" w:rsidR="008648CA" w:rsidRPr="003422B4" w:rsidRDefault="008648CA" w:rsidP="00412407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D5AADD" w14:textId="77777777" w:rsidR="008648CA" w:rsidRPr="003422B4" w:rsidRDefault="008648CA" w:rsidP="00412407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08BACD" w14:textId="77777777" w:rsidR="008648CA" w:rsidRPr="003422B4" w:rsidRDefault="008648CA" w:rsidP="00412407">
            <w:pPr>
              <w:pStyle w:val="TableHeading"/>
            </w:pPr>
            <w:r w:rsidRPr="003422B4">
              <w:t>Column 3</w:t>
            </w:r>
          </w:p>
        </w:tc>
      </w:tr>
      <w:tr w:rsidR="008648CA" w:rsidRPr="003422B4" w14:paraId="4E04F2B8" w14:textId="77777777" w:rsidTr="004124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720904" w14:textId="77777777" w:rsidR="008648CA" w:rsidRPr="003422B4" w:rsidRDefault="008648CA" w:rsidP="00412407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D0B032" w14:textId="77777777" w:rsidR="008648CA" w:rsidRPr="003422B4" w:rsidRDefault="008648CA" w:rsidP="00412407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0474E3" w14:textId="77777777" w:rsidR="008648CA" w:rsidRPr="003422B4" w:rsidRDefault="008648CA" w:rsidP="00412407">
            <w:pPr>
              <w:pStyle w:val="TableHeading"/>
            </w:pPr>
            <w:r w:rsidRPr="003422B4">
              <w:t>Date/Details</w:t>
            </w:r>
          </w:p>
        </w:tc>
      </w:tr>
      <w:tr w:rsidR="008648CA" w:rsidRPr="003422B4" w14:paraId="346995A1" w14:textId="77777777" w:rsidTr="0041240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E056E9" w14:textId="77777777" w:rsidR="008648CA" w:rsidRPr="003A6229" w:rsidRDefault="008648CA" w:rsidP="00412407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Pr="00F04105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72E8DB" w14:textId="77777777" w:rsidR="008648CA" w:rsidRPr="003A6229" w:rsidRDefault="008648CA" w:rsidP="00412407">
            <w:pPr>
              <w:pStyle w:val="Tabletext"/>
              <w:rPr>
                <w:i/>
              </w:rPr>
            </w:pPr>
            <w:r>
              <w:rPr>
                <w:iCs/>
              </w:rPr>
              <w:t>The day after this instrument is registered</w:t>
            </w:r>
            <w:r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5C0CF3" w14:textId="77777777" w:rsidR="008648CA" w:rsidRPr="00B43C50" w:rsidRDefault="008648CA" w:rsidP="00412407">
            <w:pPr>
              <w:pStyle w:val="Tabletext"/>
              <w:rPr>
                <w:i/>
              </w:rPr>
            </w:pPr>
          </w:p>
        </w:tc>
      </w:tr>
    </w:tbl>
    <w:p w14:paraId="519E02AD" w14:textId="77777777" w:rsidR="008648CA" w:rsidRPr="003422B4" w:rsidRDefault="008648CA" w:rsidP="008648CA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5D981BD" w14:textId="77777777" w:rsidR="008648CA" w:rsidRPr="003422B4" w:rsidRDefault="008648CA" w:rsidP="008648CA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452EFCC" w14:textId="77777777" w:rsidR="008648CA" w:rsidRPr="00554826" w:rsidRDefault="008648CA" w:rsidP="008648CA">
      <w:pPr>
        <w:pStyle w:val="ActHead5"/>
      </w:pPr>
      <w:bookmarkStart w:id="5" w:name="_Toc109319367"/>
      <w:bookmarkStart w:id="6" w:name="_Toc109332364"/>
      <w:r w:rsidRPr="00554826">
        <w:t>3  Authority</w:t>
      </w:r>
      <w:bookmarkEnd w:id="5"/>
      <w:bookmarkEnd w:id="6"/>
    </w:p>
    <w:p w14:paraId="2CC65188" w14:textId="77777777" w:rsidR="008648CA" w:rsidRPr="009C2562" w:rsidRDefault="008648CA" w:rsidP="008648CA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subsection 365(1) of the </w:t>
      </w:r>
      <w:r w:rsidRPr="00F04105">
        <w:rPr>
          <w:i/>
          <w:iCs/>
        </w:rPr>
        <w:t>Biosecurity Act 2015</w:t>
      </w:r>
      <w:r w:rsidRPr="009C2562">
        <w:t>.</w:t>
      </w:r>
    </w:p>
    <w:p w14:paraId="4F32A1F3" w14:textId="77777777" w:rsidR="008648CA" w:rsidRPr="00554826" w:rsidRDefault="008648CA" w:rsidP="008648CA">
      <w:pPr>
        <w:pStyle w:val="ActHead5"/>
      </w:pPr>
      <w:bookmarkStart w:id="7" w:name="_Toc109319368"/>
      <w:bookmarkStart w:id="8" w:name="_Toc109332365"/>
      <w:r w:rsidRPr="00554826">
        <w:t>4  Definitions</w:t>
      </w:r>
      <w:bookmarkEnd w:id="7"/>
      <w:bookmarkEnd w:id="8"/>
    </w:p>
    <w:p w14:paraId="1F4A0376" w14:textId="7F0361D3" w:rsidR="005F452C" w:rsidRPr="009C2562" w:rsidRDefault="005F452C" w:rsidP="005F452C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121B23">
        <w:t xml:space="preserve">the </w:t>
      </w:r>
      <w:r w:rsidRPr="008034F5">
        <w:t>definitions section of</w:t>
      </w:r>
      <w:r>
        <w:t xml:space="preserve"> the Act</w:t>
      </w:r>
      <w:r w:rsidRPr="009C2562">
        <w:t xml:space="preserve">, including </w:t>
      </w:r>
      <w:r w:rsidRPr="007A303F">
        <w:rPr>
          <w:b/>
          <w:bCs/>
          <w:i/>
          <w:iCs/>
        </w:rPr>
        <w:t>biosecurity response zone</w:t>
      </w:r>
      <w:r>
        <w:t>.</w:t>
      </w:r>
    </w:p>
    <w:p w14:paraId="7DB76A85" w14:textId="77777777" w:rsidR="008648CA" w:rsidRPr="009C2562" w:rsidRDefault="008648CA" w:rsidP="008648CA">
      <w:pPr>
        <w:pStyle w:val="subsection"/>
      </w:pPr>
      <w:r w:rsidRPr="009C2562">
        <w:tab/>
      </w:r>
      <w:r w:rsidRPr="009C2562">
        <w:tab/>
        <w:t>In this instrument:</w:t>
      </w:r>
    </w:p>
    <w:p w14:paraId="007E6BCD" w14:textId="77777777" w:rsidR="008648CA" w:rsidRPr="008034F5" w:rsidRDefault="008648CA" w:rsidP="008648CA">
      <w:pPr>
        <w:pStyle w:val="Definition"/>
        <w:rPr>
          <w:bCs/>
          <w:iCs/>
        </w:rPr>
      </w:pPr>
      <w:r w:rsidRPr="007A303F">
        <w:rPr>
          <w:b/>
          <w:i/>
        </w:rPr>
        <w:t>Act</w:t>
      </w:r>
      <w:r>
        <w:rPr>
          <w:bCs/>
          <w:iCs/>
        </w:rPr>
        <w:t xml:space="preserve"> means the </w:t>
      </w:r>
      <w:r w:rsidRPr="008648CA">
        <w:rPr>
          <w:bCs/>
          <w:i/>
        </w:rPr>
        <w:t>Biosecurity Act 2015</w:t>
      </w:r>
      <w:r>
        <w:rPr>
          <w:bCs/>
          <w:iCs/>
        </w:rPr>
        <w:t>.</w:t>
      </w:r>
    </w:p>
    <w:p w14:paraId="0CFA5824" w14:textId="77777777" w:rsidR="008648CA" w:rsidRDefault="008648CA" w:rsidP="008648CA">
      <w:pPr>
        <w:pStyle w:val="Definition"/>
        <w:rPr>
          <w:iCs/>
        </w:rPr>
      </w:pPr>
      <w:r w:rsidRPr="006B378B">
        <w:rPr>
          <w:b/>
          <w:i/>
        </w:rPr>
        <w:t>foot mat</w:t>
      </w:r>
      <w:r>
        <w:rPr>
          <w:b/>
          <w:iCs/>
        </w:rPr>
        <w:t xml:space="preserve"> </w:t>
      </w:r>
      <w:r w:rsidRPr="006B378B">
        <w:t>means</w:t>
      </w:r>
      <w:r w:rsidRPr="006B378B">
        <w:rPr>
          <w:iCs/>
        </w:rPr>
        <w:t xml:space="preserve"> </w:t>
      </w:r>
      <w:r>
        <w:rPr>
          <w:iCs/>
        </w:rPr>
        <w:t>a mat that contains a solution that treats equipment, fabric, surfaces and other things for the purposes of addressing the biosecurity risk posed by foot and mouth disease.</w:t>
      </w:r>
    </w:p>
    <w:p w14:paraId="7B140730" w14:textId="6C169D44" w:rsidR="008648CA" w:rsidRDefault="008648CA" w:rsidP="008648CA">
      <w:pPr>
        <w:pStyle w:val="Definition"/>
        <w:rPr>
          <w:bCs/>
          <w:iCs/>
        </w:rPr>
      </w:pPr>
      <w:r>
        <w:rPr>
          <w:b/>
          <w:i/>
        </w:rPr>
        <w:t>relevant landing place</w:t>
      </w:r>
      <w:r>
        <w:rPr>
          <w:bCs/>
          <w:iCs/>
        </w:rPr>
        <w:t xml:space="preserve"> means the following airports:</w:t>
      </w:r>
    </w:p>
    <w:p w14:paraId="4A64A4ED" w14:textId="77777777" w:rsidR="008648CA" w:rsidRPr="00402BA1" w:rsidRDefault="008648CA" w:rsidP="008648CA">
      <w:pPr>
        <w:pStyle w:val="ListParagraph"/>
        <w:numPr>
          <w:ilvl w:val="0"/>
          <w:numId w:val="21"/>
        </w:numPr>
        <w:shd w:val="clear" w:color="auto" w:fill="FFFFFF"/>
        <w:spacing w:before="4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402BA1">
        <w:rPr>
          <w:rFonts w:eastAsia="Times New Roman" w:cs="Times New Roman"/>
          <w:color w:val="000000"/>
          <w:szCs w:val="22"/>
          <w:lang w:eastAsia="en-AU"/>
        </w:rPr>
        <w:t>Sydney (Kingsford</w:t>
      </w:r>
      <w:r w:rsidRPr="00402BA1">
        <w:rPr>
          <w:rFonts w:eastAsia="Times New Roman" w:cs="Times New Roman"/>
          <w:color w:val="000000"/>
          <w:szCs w:val="22"/>
          <w:lang w:eastAsia="en-AU"/>
        </w:rPr>
        <w:noBreakHyphen/>
        <w:t>Smith) Airport;</w:t>
      </w:r>
    </w:p>
    <w:p w14:paraId="3A84230D" w14:textId="77777777" w:rsidR="008648CA" w:rsidRPr="00402BA1" w:rsidRDefault="008648CA" w:rsidP="008648CA">
      <w:pPr>
        <w:pStyle w:val="ListParagraph"/>
        <w:numPr>
          <w:ilvl w:val="0"/>
          <w:numId w:val="21"/>
        </w:numPr>
        <w:shd w:val="clear" w:color="auto" w:fill="FFFFFF"/>
        <w:spacing w:before="4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402BA1">
        <w:rPr>
          <w:rFonts w:eastAsia="Times New Roman" w:cs="Times New Roman"/>
          <w:color w:val="000000"/>
          <w:szCs w:val="22"/>
          <w:lang w:eastAsia="en-AU"/>
        </w:rPr>
        <w:t>Melbourne (Tullamarine) Airport;</w:t>
      </w:r>
    </w:p>
    <w:p w14:paraId="7A418176" w14:textId="77777777" w:rsidR="008648CA" w:rsidRPr="00402BA1" w:rsidRDefault="008648CA" w:rsidP="008648CA">
      <w:pPr>
        <w:pStyle w:val="ListParagraph"/>
        <w:numPr>
          <w:ilvl w:val="0"/>
          <w:numId w:val="21"/>
        </w:numPr>
        <w:shd w:val="clear" w:color="auto" w:fill="FFFFFF"/>
        <w:spacing w:before="4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402BA1">
        <w:rPr>
          <w:rFonts w:eastAsia="Times New Roman" w:cs="Times New Roman"/>
          <w:color w:val="000000"/>
          <w:szCs w:val="22"/>
          <w:lang w:eastAsia="en-AU"/>
        </w:rPr>
        <w:t>Brisbane Airport;</w:t>
      </w:r>
    </w:p>
    <w:p w14:paraId="3E10809B" w14:textId="77777777" w:rsidR="008648CA" w:rsidRPr="00402BA1" w:rsidRDefault="008648CA" w:rsidP="008648CA">
      <w:pPr>
        <w:pStyle w:val="ListParagraph"/>
        <w:numPr>
          <w:ilvl w:val="0"/>
          <w:numId w:val="21"/>
        </w:numPr>
        <w:shd w:val="clear" w:color="auto" w:fill="FFFFFF"/>
        <w:spacing w:before="4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402BA1">
        <w:rPr>
          <w:rFonts w:eastAsia="Times New Roman" w:cs="Times New Roman"/>
          <w:color w:val="000000"/>
          <w:szCs w:val="22"/>
          <w:lang w:eastAsia="en-AU"/>
        </w:rPr>
        <w:t>Perth Airport;</w:t>
      </w:r>
    </w:p>
    <w:p w14:paraId="1A229426" w14:textId="77777777" w:rsidR="008648CA" w:rsidRPr="00402BA1" w:rsidRDefault="008648CA" w:rsidP="008648CA">
      <w:pPr>
        <w:pStyle w:val="ListParagraph"/>
        <w:numPr>
          <w:ilvl w:val="0"/>
          <w:numId w:val="21"/>
        </w:numPr>
        <w:shd w:val="clear" w:color="auto" w:fill="FFFFFF"/>
        <w:spacing w:before="4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402BA1">
        <w:rPr>
          <w:rFonts w:eastAsia="Times New Roman" w:cs="Times New Roman"/>
          <w:color w:val="000000"/>
          <w:szCs w:val="22"/>
          <w:lang w:eastAsia="en-AU"/>
        </w:rPr>
        <w:t>Adelaide Airport;</w:t>
      </w:r>
    </w:p>
    <w:p w14:paraId="11505FF6" w14:textId="2BEC41E8" w:rsidR="008648CA" w:rsidRPr="00402BA1" w:rsidRDefault="008648CA" w:rsidP="008648CA">
      <w:pPr>
        <w:pStyle w:val="ListParagraph"/>
        <w:numPr>
          <w:ilvl w:val="0"/>
          <w:numId w:val="21"/>
        </w:numPr>
        <w:shd w:val="clear" w:color="auto" w:fill="FFFFFF"/>
        <w:spacing w:before="4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402BA1">
        <w:rPr>
          <w:rFonts w:eastAsia="Times New Roman" w:cs="Times New Roman"/>
          <w:color w:val="000000"/>
          <w:szCs w:val="22"/>
          <w:lang w:eastAsia="en-AU"/>
        </w:rPr>
        <w:t>Darwin Airport;</w:t>
      </w:r>
    </w:p>
    <w:p w14:paraId="537E0E86" w14:textId="54C487EE" w:rsidR="008648CA" w:rsidRDefault="008648CA" w:rsidP="008648CA">
      <w:pPr>
        <w:pStyle w:val="ListParagraph"/>
        <w:numPr>
          <w:ilvl w:val="0"/>
          <w:numId w:val="21"/>
        </w:numPr>
        <w:shd w:val="clear" w:color="auto" w:fill="FFFFFF"/>
        <w:spacing w:before="40" w:line="240" w:lineRule="auto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Cairns</w:t>
      </w:r>
      <w:r w:rsidRPr="00402BA1">
        <w:rPr>
          <w:rFonts w:eastAsia="Times New Roman" w:cs="Times New Roman"/>
          <w:color w:val="000000"/>
          <w:szCs w:val="22"/>
          <w:lang w:eastAsia="en-AU"/>
        </w:rPr>
        <w:t xml:space="preserve"> Airport</w:t>
      </w:r>
      <w:r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7D18C8FB" w14:textId="4A94F9B4" w:rsidR="008648CA" w:rsidRPr="008648CA" w:rsidRDefault="008648CA" w:rsidP="008648CA">
      <w:pPr>
        <w:pStyle w:val="Definition"/>
        <w:rPr>
          <w:u w:val="single"/>
        </w:rPr>
      </w:pPr>
      <w:r>
        <w:rPr>
          <w:b/>
          <w:bCs/>
          <w:i/>
          <w:iCs/>
        </w:rPr>
        <w:lastRenderedPageBreak/>
        <w:t>specified biosecurity response zone</w:t>
      </w:r>
      <w:r>
        <w:t xml:space="preserve"> means the specified area determined in section 5.</w:t>
      </w:r>
    </w:p>
    <w:p w14:paraId="26000053" w14:textId="77777777" w:rsidR="008648CA" w:rsidRPr="006C2FAA" w:rsidRDefault="008648CA" w:rsidP="008648CA">
      <w:pPr>
        <w:pStyle w:val="ActHead5"/>
      </w:pPr>
      <w:bookmarkStart w:id="9" w:name="_Toc109321221"/>
      <w:bookmarkStart w:id="10" w:name="_Toc109332366"/>
      <w:bookmarkStart w:id="11" w:name="_Toc109319371"/>
      <w:r>
        <w:t>5</w:t>
      </w:r>
      <w:r w:rsidRPr="006C2FAA">
        <w:t xml:space="preserve">  </w:t>
      </w:r>
      <w:r>
        <w:t>Specified b</w:t>
      </w:r>
      <w:r w:rsidRPr="006C2FAA">
        <w:t>iosecurity response zone</w:t>
      </w:r>
      <w:bookmarkEnd w:id="9"/>
      <w:bookmarkEnd w:id="10"/>
    </w:p>
    <w:p w14:paraId="69193B3A" w14:textId="77777777" w:rsidR="008648CA" w:rsidRDefault="008648CA" w:rsidP="008648CA">
      <w:pPr>
        <w:pStyle w:val="subsection"/>
        <w:numPr>
          <w:ilvl w:val="0"/>
          <w:numId w:val="22"/>
        </w:numPr>
      </w:pPr>
      <w:r w:rsidRPr="006C2FAA">
        <w:t xml:space="preserve">For the purposes of </w:t>
      </w:r>
      <w:r>
        <w:t>sub</w:t>
      </w:r>
      <w:r w:rsidRPr="006C2FAA">
        <w:t xml:space="preserve">section 365(1) of </w:t>
      </w:r>
      <w:r>
        <w:t>the</w:t>
      </w:r>
      <w:r w:rsidRPr="006C2FAA">
        <w:t xml:space="preserve"> Act, </w:t>
      </w:r>
      <w:r>
        <w:t xml:space="preserve">the specified area set out in subsection (2) in relation to each relevant landing place </w:t>
      </w:r>
      <w:r w:rsidRPr="00BC2CE6">
        <w:t xml:space="preserve">is </w:t>
      </w:r>
      <w:r>
        <w:t xml:space="preserve">determined to be a </w:t>
      </w:r>
      <w:r w:rsidRPr="008648CA">
        <w:rPr>
          <w:b/>
          <w:bCs/>
          <w:i/>
          <w:iCs/>
        </w:rPr>
        <w:t>biosecurity response zone</w:t>
      </w:r>
      <w:r>
        <w:t>.</w:t>
      </w:r>
    </w:p>
    <w:p w14:paraId="0802206D" w14:textId="77777777" w:rsidR="008648CA" w:rsidRDefault="008648CA" w:rsidP="008648CA">
      <w:pPr>
        <w:pStyle w:val="subsection"/>
        <w:numPr>
          <w:ilvl w:val="0"/>
          <w:numId w:val="22"/>
        </w:numPr>
      </w:pPr>
      <w:r>
        <w:t>The specified area is the area at a relevant landing place that includes:</w:t>
      </w:r>
    </w:p>
    <w:p w14:paraId="54A2AED8" w14:textId="77777777" w:rsidR="008648CA" w:rsidRDefault="008648CA" w:rsidP="008648CA">
      <w:pPr>
        <w:pStyle w:val="paragraph"/>
        <w:numPr>
          <w:ilvl w:val="0"/>
          <w:numId w:val="23"/>
        </w:numPr>
      </w:pPr>
      <w:r>
        <w:t xml:space="preserve">the airside area within the meaning of the </w:t>
      </w:r>
      <w:r>
        <w:rPr>
          <w:i/>
          <w:iCs/>
        </w:rPr>
        <w:t>Aviation Transport Security Act 2004</w:t>
      </w:r>
      <w:r>
        <w:t xml:space="preserve"> of the relevant landing place; and</w:t>
      </w:r>
    </w:p>
    <w:p w14:paraId="001A659F" w14:textId="77777777" w:rsidR="008648CA" w:rsidRDefault="008648CA" w:rsidP="008648CA">
      <w:pPr>
        <w:pStyle w:val="paragraph"/>
        <w:numPr>
          <w:ilvl w:val="0"/>
          <w:numId w:val="23"/>
        </w:numPr>
      </w:pPr>
      <w:r>
        <w:t>the landside security zone within the meaning of that Act that is known as the sterile area of the relevant landing place; and</w:t>
      </w:r>
    </w:p>
    <w:p w14:paraId="7219CFA3" w14:textId="6352318C" w:rsidR="005F452C" w:rsidRDefault="008648CA" w:rsidP="008648CA">
      <w:pPr>
        <w:pStyle w:val="paragraph"/>
        <w:numPr>
          <w:ilvl w:val="0"/>
          <w:numId w:val="23"/>
        </w:numPr>
      </w:pPr>
      <w:r>
        <w:t>any other areas of the relevant landing place</w:t>
      </w:r>
      <w:r w:rsidR="005F452C">
        <w:t>:</w:t>
      </w:r>
    </w:p>
    <w:p w14:paraId="3AA77DB9" w14:textId="7088EDD3" w:rsidR="005F452C" w:rsidRDefault="005F452C" w:rsidP="005F452C">
      <w:pPr>
        <w:pStyle w:val="paragraphsub"/>
        <w:numPr>
          <w:ilvl w:val="1"/>
          <w:numId w:val="21"/>
        </w:numPr>
      </w:pPr>
      <w:r>
        <w:t xml:space="preserve">that are </w:t>
      </w:r>
      <w:r w:rsidR="008648CA">
        <w:t>under the control of the Australian Border Force</w:t>
      </w:r>
      <w:r>
        <w:t>;</w:t>
      </w:r>
      <w:r w:rsidR="008648CA">
        <w:t xml:space="preserve"> or </w:t>
      </w:r>
    </w:p>
    <w:p w14:paraId="0FB92D60" w14:textId="469F85A4" w:rsidR="008648CA" w:rsidRDefault="008648CA" w:rsidP="005F452C">
      <w:pPr>
        <w:pStyle w:val="paragraphsub"/>
        <w:numPr>
          <w:ilvl w:val="1"/>
          <w:numId w:val="21"/>
        </w:numPr>
      </w:pPr>
      <w:r>
        <w:t xml:space="preserve">within which the Australian Border Force manages and undertakes customs or immigration activities. </w:t>
      </w:r>
    </w:p>
    <w:p w14:paraId="4E0E8096" w14:textId="1392BCBB" w:rsidR="008648CA" w:rsidRPr="006C2FAA" w:rsidRDefault="00C15CB6" w:rsidP="008648CA">
      <w:pPr>
        <w:pStyle w:val="ActHead5"/>
      </w:pPr>
      <w:bookmarkStart w:id="12" w:name="_Toc109332367"/>
      <w:r>
        <w:t>6</w:t>
      </w:r>
      <w:r w:rsidR="008648CA" w:rsidRPr="006C2FAA">
        <w:t xml:space="preserve">  Biosecurity </w:t>
      </w:r>
      <w:r w:rsidR="008648CA">
        <w:t>risk</w:t>
      </w:r>
      <w:bookmarkEnd w:id="11"/>
      <w:bookmarkEnd w:id="12"/>
    </w:p>
    <w:p w14:paraId="1D67D1FE" w14:textId="77777777" w:rsidR="008648CA" w:rsidRPr="006C2FAA" w:rsidRDefault="008648CA" w:rsidP="008648CA">
      <w:pPr>
        <w:pStyle w:val="subsection"/>
        <w:numPr>
          <w:ilvl w:val="0"/>
          <w:numId w:val="17"/>
        </w:numPr>
      </w:pPr>
      <w:r w:rsidRPr="006C2FAA">
        <w:t xml:space="preserve">For the purposes of </w:t>
      </w:r>
      <w:r>
        <w:t>subsection 366(1) of the Act:</w:t>
      </w:r>
    </w:p>
    <w:p w14:paraId="32EFBE9D" w14:textId="77777777" w:rsidR="008648CA" w:rsidRDefault="008648CA" w:rsidP="008648CA">
      <w:pPr>
        <w:pStyle w:val="paragraph"/>
        <w:numPr>
          <w:ilvl w:val="0"/>
          <w:numId w:val="18"/>
        </w:numPr>
      </w:pPr>
      <w:r>
        <w:t>a biosecurity officer suspects, on reasonable grounds, that:</w:t>
      </w:r>
    </w:p>
    <w:p w14:paraId="32704F7F" w14:textId="4A37D6B8" w:rsidR="008648CA" w:rsidRDefault="008648CA" w:rsidP="00EA5E6C">
      <w:pPr>
        <w:pStyle w:val="paragraphsub"/>
        <w:numPr>
          <w:ilvl w:val="0"/>
          <w:numId w:val="24"/>
        </w:numPr>
      </w:pPr>
      <w:r>
        <w:t xml:space="preserve">foot and mouth disease may be present in or on goods in the </w:t>
      </w:r>
      <w:r w:rsidR="005F452C">
        <w:t xml:space="preserve">specified </w:t>
      </w:r>
      <w:r>
        <w:t xml:space="preserve">biosecurity response zone, </w:t>
      </w:r>
      <w:r w:rsidR="005F452C">
        <w:t>in particular on</w:t>
      </w:r>
      <w:r>
        <w:t xml:space="preserve"> footwear worn by travellers entering Australia from Indonesia</w:t>
      </w:r>
      <w:r w:rsidRPr="006C2FAA">
        <w:t>; and</w:t>
      </w:r>
    </w:p>
    <w:p w14:paraId="19A69966" w14:textId="77777777" w:rsidR="008648CA" w:rsidRDefault="008648CA" w:rsidP="00EA5E6C">
      <w:pPr>
        <w:pStyle w:val="paragraphsub"/>
        <w:numPr>
          <w:ilvl w:val="0"/>
          <w:numId w:val="24"/>
        </w:numPr>
      </w:pPr>
      <w:r>
        <w:t xml:space="preserve">foot and mouth disease poses an unacceptable level of biosecurity risk; and </w:t>
      </w:r>
    </w:p>
    <w:p w14:paraId="2757A4DD" w14:textId="21A929D0" w:rsidR="008648CA" w:rsidRDefault="008648CA" w:rsidP="008648CA">
      <w:pPr>
        <w:pStyle w:val="paragraph"/>
        <w:numPr>
          <w:ilvl w:val="0"/>
          <w:numId w:val="18"/>
        </w:numPr>
      </w:pPr>
      <w:r>
        <w:t xml:space="preserve">the Director of Biosecurity is satisfied it is necessary to make the determination for the purpose of managing the biosecurity risk posed by the disease or pest. </w:t>
      </w:r>
    </w:p>
    <w:p w14:paraId="685C7EB6" w14:textId="77777777" w:rsidR="008648CA" w:rsidRDefault="008648CA" w:rsidP="008648CA">
      <w:pPr>
        <w:pStyle w:val="subsection"/>
        <w:numPr>
          <w:ilvl w:val="0"/>
          <w:numId w:val="17"/>
        </w:numPr>
      </w:pPr>
      <w:r>
        <w:t>For the purposes of paragraph 366(2)(a) of the Act, foot and mouth disease is identified as a disease that poses an unacceptable level of biosecurity risk.</w:t>
      </w:r>
    </w:p>
    <w:p w14:paraId="3F75F072" w14:textId="77777777" w:rsidR="008648CA" w:rsidRPr="006C2FAA" w:rsidRDefault="008648CA" w:rsidP="008648CA">
      <w:pPr>
        <w:pStyle w:val="subsection"/>
        <w:numPr>
          <w:ilvl w:val="0"/>
          <w:numId w:val="17"/>
        </w:numPr>
      </w:pPr>
      <w:r>
        <w:t>For the purposes of paragraph 366(2)(b) of the Act, the nature of the biosecurity risk that needs to be managed is that foot and mouth disease:</w:t>
      </w:r>
    </w:p>
    <w:p w14:paraId="2A962792" w14:textId="6E488C32" w:rsidR="008648CA" w:rsidRDefault="008648CA" w:rsidP="008648CA">
      <w:pPr>
        <w:pStyle w:val="paragraph"/>
        <w:numPr>
          <w:ilvl w:val="0"/>
          <w:numId w:val="19"/>
        </w:numPr>
      </w:pPr>
      <w:r>
        <w:t xml:space="preserve">may be present in or on goods in the </w:t>
      </w:r>
      <w:r w:rsidR="005F452C">
        <w:t xml:space="preserve">specified </w:t>
      </w:r>
      <w:r>
        <w:t xml:space="preserve">biosecurity response zone, </w:t>
      </w:r>
      <w:r w:rsidR="005F452C">
        <w:t>in particular on</w:t>
      </w:r>
      <w:r>
        <w:t xml:space="preserve"> footwear worn by travellers entering Australia from Indonesia</w:t>
      </w:r>
      <w:r w:rsidRPr="006C2FAA">
        <w:t>; and</w:t>
      </w:r>
    </w:p>
    <w:p w14:paraId="5D78E3EE" w14:textId="77777777" w:rsidR="008648CA" w:rsidRDefault="008648CA" w:rsidP="008648CA">
      <w:pPr>
        <w:pStyle w:val="paragraph"/>
        <w:numPr>
          <w:ilvl w:val="0"/>
          <w:numId w:val="19"/>
        </w:numPr>
      </w:pPr>
      <w:r>
        <w:t xml:space="preserve">is not present in Australia; and </w:t>
      </w:r>
    </w:p>
    <w:p w14:paraId="01CCFDC7" w14:textId="5DD9BC0B" w:rsidR="008648CA" w:rsidRDefault="008648CA" w:rsidP="008648CA">
      <w:pPr>
        <w:pStyle w:val="paragraph"/>
        <w:numPr>
          <w:ilvl w:val="0"/>
          <w:numId w:val="19"/>
        </w:numPr>
      </w:pPr>
      <w:r>
        <w:t xml:space="preserve">is a highly contagious viral disease of </w:t>
      </w:r>
      <w:r w:rsidR="006A5F9D">
        <w:t xml:space="preserve">cloven-hoofed </w:t>
      </w:r>
      <w:r>
        <w:t>mammals that has a great potential for causing severe economic loss if it enters Australia; and</w:t>
      </w:r>
    </w:p>
    <w:p w14:paraId="30306661" w14:textId="428C0A99" w:rsidR="008648CA" w:rsidRPr="00B77DD1" w:rsidRDefault="008648CA" w:rsidP="008648CA">
      <w:pPr>
        <w:pStyle w:val="paragraph"/>
        <w:numPr>
          <w:ilvl w:val="0"/>
          <w:numId w:val="19"/>
        </w:numPr>
      </w:pPr>
      <w:r>
        <w:t>poses an unacceptable level of biosecurity risk.</w:t>
      </w:r>
    </w:p>
    <w:p w14:paraId="4BD45BBA" w14:textId="71D2A1CE" w:rsidR="008648CA" w:rsidRPr="006C2FAA" w:rsidRDefault="00C15CB6" w:rsidP="008648CA">
      <w:pPr>
        <w:pStyle w:val="ActHead5"/>
      </w:pPr>
      <w:bookmarkStart w:id="13" w:name="_Toc109319372"/>
      <w:bookmarkStart w:id="14" w:name="_Toc109332368"/>
      <w:r>
        <w:lastRenderedPageBreak/>
        <w:t>7</w:t>
      </w:r>
      <w:r w:rsidR="008648CA" w:rsidRPr="006C2FAA">
        <w:t xml:space="preserve">  </w:t>
      </w:r>
      <w:r w:rsidR="008648CA">
        <w:t>Exercise of powers</w:t>
      </w:r>
      <w:bookmarkEnd w:id="13"/>
      <w:bookmarkEnd w:id="14"/>
    </w:p>
    <w:p w14:paraId="2CCFB9CD" w14:textId="638A19B5" w:rsidR="008648CA" w:rsidRDefault="008648CA" w:rsidP="008648CA">
      <w:pPr>
        <w:pStyle w:val="subsection"/>
        <w:numPr>
          <w:ilvl w:val="0"/>
          <w:numId w:val="14"/>
        </w:numPr>
      </w:pPr>
      <w:r w:rsidRPr="006C2FAA">
        <w:t xml:space="preserve">For the purposes of </w:t>
      </w:r>
      <w:r>
        <w:t xml:space="preserve">paragraph 366(2)(c) of the Act, the powers set out in Division 2 of Part 3 of the Act that may be exercised in relation to goods or premises in the </w:t>
      </w:r>
      <w:r w:rsidR="005F452C">
        <w:t xml:space="preserve">specified </w:t>
      </w:r>
      <w:r>
        <w:t>biosecurity response zone in accordance with that Division are:</w:t>
      </w:r>
    </w:p>
    <w:p w14:paraId="3817AF09" w14:textId="6F6AD63A" w:rsidR="008648CA" w:rsidRDefault="008648CA" w:rsidP="008648CA">
      <w:pPr>
        <w:pStyle w:val="paragraph"/>
        <w:numPr>
          <w:ilvl w:val="0"/>
          <w:numId w:val="15"/>
        </w:numPr>
      </w:pPr>
      <w:r>
        <w:rPr>
          <w:szCs w:val="22"/>
        </w:rPr>
        <w:t xml:space="preserve">the power set out in section 333 </w:t>
      </w:r>
      <w:r w:rsidR="00C15CB6">
        <w:rPr>
          <w:szCs w:val="22"/>
        </w:rPr>
        <w:t xml:space="preserve">of the Act </w:t>
      </w:r>
      <w:r>
        <w:rPr>
          <w:szCs w:val="22"/>
        </w:rPr>
        <w:t xml:space="preserve">may be exercised in relation to premises in the </w:t>
      </w:r>
      <w:r w:rsidR="005F452C">
        <w:rPr>
          <w:szCs w:val="22"/>
        </w:rPr>
        <w:t xml:space="preserve">specified </w:t>
      </w:r>
      <w:r>
        <w:rPr>
          <w:szCs w:val="22"/>
        </w:rPr>
        <w:t>biosecurity response zone to require that persons entering or leaving the premises do so at specified places</w:t>
      </w:r>
      <w:r w:rsidRPr="006C2FAA">
        <w:t xml:space="preserve">; </w:t>
      </w:r>
      <w:r>
        <w:t>and</w:t>
      </w:r>
    </w:p>
    <w:p w14:paraId="7FA2C3A2" w14:textId="68B6E495" w:rsidR="008648CA" w:rsidRPr="006C2FAA" w:rsidRDefault="008648CA" w:rsidP="008648CA">
      <w:pPr>
        <w:pStyle w:val="paragraph"/>
        <w:numPr>
          <w:ilvl w:val="0"/>
          <w:numId w:val="15"/>
        </w:numPr>
      </w:pPr>
      <w:r>
        <w:t xml:space="preserve">the power set out in section 335 </w:t>
      </w:r>
      <w:r w:rsidR="00C15CB6">
        <w:t xml:space="preserve">of the Act </w:t>
      </w:r>
      <w:r>
        <w:t xml:space="preserve">may be exercised in relation to goods in the </w:t>
      </w:r>
      <w:r w:rsidR="005F452C">
        <w:t xml:space="preserve">specified </w:t>
      </w:r>
      <w:r>
        <w:t>biosecurity response zone.</w:t>
      </w:r>
    </w:p>
    <w:p w14:paraId="2238161D" w14:textId="0E215F4A" w:rsidR="008648CA" w:rsidRDefault="008648CA" w:rsidP="008648CA">
      <w:pPr>
        <w:pStyle w:val="subsection"/>
        <w:numPr>
          <w:ilvl w:val="0"/>
          <w:numId w:val="14"/>
        </w:numPr>
      </w:pPr>
      <w:r w:rsidRPr="006C2FAA">
        <w:t xml:space="preserve">For the purposes of </w:t>
      </w:r>
      <w:r>
        <w:t xml:space="preserve">paragraph 366(2)(f) of the Act, the powers set out in section 367 of the Act that may be exercised in, or in relation to goods or premises in, the </w:t>
      </w:r>
      <w:r w:rsidR="005F452C">
        <w:t xml:space="preserve">specified </w:t>
      </w:r>
      <w:r>
        <w:t>biosecurity response zone in accordance with that section are:</w:t>
      </w:r>
    </w:p>
    <w:p w14:paraId="5CB51E8A" w14:textId="0EF90CB8" w:rsidR="008648CA" w:rsidRDefault="008648CA" w:rsidP="008648CA">
      <w:pPr>
        <w:pStyle w:val="paragraph"/>
        <w:numPr>
          <w:ilvl w:val="0"/>
          <w:numId w:val="16"/>
        </w:numPr>
      </w:pPr>
      <w:r>
        <w:rPr>
          <w:szCs w:val="22"/>
        </w:rPr>
        <w:t xml:space="preserve">the power set out in paragraph 367(a) </w:t>
      </w:r>
      <w:r w:rsidR="005F452C">
        <w:rPr>
          <w:szCs w:val="22"/>
        </w:rPr>
        <w:t xml:space="preserve">of the Act </w:t>
      </w:r>
      <w:r>
        <w:rPr>
          <w:szCs w:val="22"/>
        </w:rPr>
        <w:t xml:space="preserve">may be exercised to cause the </w:t>
      </w:r>
      <w:r w:rsidR="005F452C">
        <w:rPr>
          <w:szCs w:val="22"/>
        </w:rPr>
        <w:t xml:space="preserve">specified </w:t>
      </w:r>
      <w:r>
        <w:rPr>
          <w:szCs w:val="22"/>
        </w:rPr>
        <w:t>biosecurity response zone to be identified (whether by affixing notices or by markings or otherwise)</w:t>
      </w:r>
      <w:r w:rsidRPr="006C2FAA">
        <w:t xml:space="preserve">; </w:t>
      </w:r>
      <w:r>
        <w:t>and</w:t>
      </w:r>
    </w:p>
    <w:p w14:paraId="2B618354" w14:textId="01705234" w:rsidR="008648CA" w:rsidRPr="006C2FAA" w:rsidRDefault="008648CA" w:rsidP="008648CA">
      <w:pPr>
        <w:pStyle w:val="paragraph"/>
        <w:numPr>
          <w:ilvl w:val="0"/>
          <w:numId w:val="16"/>
        </w:numPr>
      </w:pPr>
      <w:r>
        <w:t xml:space="preserve">the power set out in paragraph 367(d) </w:t>
      </w:r>
      <w:r w:rsidR="005F452C">
        <w:t>of the Act</w:t>
      </w:r>
      <w:r w:rsidR="00C15CB6">
        <w:t xml:space="preserve"> </w:t>
      </w:r>
      <w:r>
        <w:t xml:space="preserve">may be exercised to set up foot mats for use in the </w:t>
      </w:r>
      <w:r w:rsidR="005F452C">
        <w:t xml:space="preserve">specified </w:t>
      </w:r>
      <w:r>
        <w:t>biosecurity response zone.</w:t>
      </w:r>
    </w:p>
    <w:p w14:paraId="56F7F645" w14:textId="77777777" w:rsidR="008648CA" w:rsidRPr="006C2FAA" w:rsidRDefault="008648CA" w:rsidP="008648CA">
      <w:pPr>
        <w:pStyle w:val="ActHead5"/>
      </w:pPr>
      <w:bookmarkStart w:id="15" w:name="_Toc109319373"/>
      <w:bookmarkStart w:id="16" w:name="_Toc109332369"/>
      <w:r>
        <w:t>8</w:t>
      </w:r>
      <w:r w:rsidRPr="006C2FAA">
        <w:t xml:space="preserve">  </w:t>
      </w:r>
      <w:r>
        <w:t>Period of effect</w:t>
      </w:r>
      <w:bookmarkEnd w:id="15"/>
      <w:bookmarkEnd w:id="16"/>
    </w:p>
    <w:p w14:paraId="01AF9D39" w14:textId="08BB29EB" w:rsidR="008648CA" w:rsidRPr="006C2FAA" w:rsidRDefault="008648CA" w:rsidP="008648CA">
      <w:pPr>
        <w:pStyle w:val="subsection"/>
      </w:pPr>
      <w:r>
        <w:tab/>
      </w:r>
      <w:r>
        <w:tab/>
        <w:t xml:space="preserve">For the purposes of paragraph 366(2)(g) of the Act, this instrument is in force for a period of </w:t>
      </w:r>
      <w:r w:rsidR="005F452C">
        <w:t xml:space="preserve">3 </w:t>
      </w:r>
      <w:r>
        <w:t>months beginning on the day this instrument commences.</w:t>
      </w:r>
    </w:p>
    <w:p w14:paraId="492F3340" w14:textId="77777777" w:rsidR="008648CA" w:rsidRPr="006C2FAA" w:rsidRDefault="008648CA" w:rsidP="008648CA">
      <w:pPr>
        <w:pStyle w:val="ActHead5"/>
      </w:pPr>
      <w:bookmarkStart w:id="17" w:name="_Toc109319374"/>
      <w:bookmarkStart w:id="18" w:name="_Toc109332370"/>
      <w:r>
        <w:t>9</w:t>
      </w:r>
      <w:r w:rsidRPr="006C2FAA">
        <w:t xml:space="preserve">  </w:t>
      </w:r>
      <w:r>
        <w:t>Repeal</w:t>
      </w:r>
      <w:bookmarkEnd w:id="17"/>
      <w:bookmarkEnd w:id="18"/>
    </w:p>
    <w:p w14:paraId="3685CC28" w14:textId="30B04730" w:rsidR="00554826" w:rsidRDefault="008648CA" w:rsidP="005F452C">
      <w:pPr>
        <w:pStyle w:val="subsection"/>
      </w:pPr>
      <w:r>
        <w:tab/>
      </w:r>
      <w:r>
        <w:tab/>
        <w:t xml:space="preserve">This instrument is repealed at the end of the period of </w:t>
      </w:r>
      <w:r w:rsidR="005F452C">
        <w:t>3</w:t>
      </w:r>
      <w:r>
        <w:t xml:space="preserve"> months beginning on the day this instrument commences.</w:t>
      </w:r>
    </w:p>
    <w:sectPr w:rsidR="0055482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9F01" w14:textId="77777777" w:rsidR="00B821E4" w:rsidRDefault="00B821E4" w:rsidP="00715914">
      <w:pPr>
        <w:spacing w:line="240" w:lineRule="auto"/>
      </w:pPr>
      <w:r>
        <w:separator/>
      </w:r>
    </w:p>
  </w:endnote>
  <w:endnote w:type="continuationSeparator" w:id="0">
    <w:p w14:paraId="101FB8FF" w14:textId="77777777" w:rsidR="00B821E4" w:rsidRDefault="00B821E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B56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6F5806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0A3250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390C71" w14:textId="6D41A458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5E6C">
            <w:rPr>
              <w:i/>
              <w:noProof/>
              <w:sz w:val="18"/>
            </w:rPr>
            <w:t>Biosecurity (Foot and Mouth Disease Biosecurity Response Zone)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9F1BA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45F6AF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4BF769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B981859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46C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30653D4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85275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43FF0A" w14:textId="7120E00E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5E6C">
            <w:rPr>
              <w:i/>
              <w:noProof/>
              <w:sz w:val="18"/>
            </w:rPr>
            <w:t>Biosecurity (Foot and Mouth Disease Biosecurity Response Zone)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9BFDD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290559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ED8EE9" w14:textId="77777777" w:rsidR="0072147A" w:rsidRDefault="0072147A" w:rsidP="00A369E3">
          <w:pPr>
            <w:rPr>
              <w:sz w:val="18"/>
            </w:rPr>
          </w:pPr>
        </w:p>
      </w:tc>
    </w:tr>
  </w:tbl>
  <w:p w14:paraId="0631412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82D8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6B8F59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3F62F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C3CCE1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97D45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0B1F38C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0B8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58EBD368" w14:textId="77777777" w:rsidTr="00A87A58">
      <w:tc>
        <w:tcPr>
          <w:tcW w:w="365" w:type="pct"/>
        </w:tcPr>
        <w:p w14:paraId="14850202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DAABBC6" w14:textId="661236B3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5E6C">
            <w:rPr>
              <w:i/>
              <w:noProof/>
              <w:sz w:val="18"/>
            </w:rPr>
            <w:t>Biosecurity (Foot and Mouth Disease Biosecurity Response Zone)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9F28BD9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552E9E7" w14:textId="77777777" w:rsidTr="00A87A58">
      <w:tc>
        <w:tcPr>
          <w:tcW w:w="5000" w:type="pct"/>
          <w:gridSpan w:val="3"/>
        </w:tcPr>
        <w:p w14:paraId="6A1A12DF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8E4042E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AF0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7AB4488" w14:textId="77777777" w:rsidTr="00A87A58">
      <w:tc>
        <w:tcPr>
          <w:tcW w:w="947" w:type="pct"/>
        </w:tcPr>
        <w:p w14:paraId="5B3898E1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54DE60D" w14:textId="66C98DC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23CF7">
            <w:rPr>
              <w:i/>
              <w:noProof/>
              <w:sz w:val="18"/>
            </w:rPr>
            <w:t>Biosecurity (Foot and Mouth Disease Biosecurity Response Zone)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87F534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4301CBF" w14:textId="77777777" w:rsidTr="00A87A58">
      <w:tc>
        <w:tcPr>
          <w:tcW w:w="5000" w:type="pct"/>
          <w:gridSpan w:val="3"/>
        </w:tcPr>
        <w:p w14:paraId="5070D88B" w14:textId="77777777" w:rsidR="00F6696E" w:rsidRDefault="00F6696E" w:rsidP="000850AC">
          <w:pPr>
            <w:rPr>
              <w:sz w:val="18"/>
            </w:rPr>
          </w:pPr>
        </w:p>
      </w:tc>
    </w:tr>
  </w:tbl>
  <w:p w14:paraId="14CB937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3A8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30391B3" w14:textId="77777777" w:rsidTr="00A87A58">
      <w:tc>
        <w:tcPr>
          <w:tcW w:w="365" w:type="pct"/>
        </w:tcPr>
        <w:p w14:paraId="64D8B625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8D08680" w14:textId="2145560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23CF7">
            <w:rPr>
              <w:i/>
              <w:noProof/>
              <w:sz w:val="18"/>
            </w:rPr>
            <w:t>Biosecurity (Foot and Mouth Disease Biosecurity Response Zone)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2C4CD4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165A16D" w14:textId="77777777" w:rsidTr="00A87A58">
      <w:tc>
        <w:tcPr>
          <w:tcW w:w="5000" w:type="pct"/>
          <w:gridSpan w:val="3"/>
        </w:tcPr>
        <w:p w14:paraId="6AF984B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2EE7B96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FB9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8AD28CD" w14:textId="77777777" w:rsidTr="00A87A58">
      <w:tc>
        <w:tcPr>
          <w:tcW w:w="947" w:type="pct"/>
        </w:tcPr>
        <w:p w14:paraId="473B11BC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02436C3" w14:textId="172FD3F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23CF7">
            <w:rPr>
              <w:i/>
              <w:noProof/>
              <w:sz w:val="18"/>
            </w:rPr>
            <w:t>Biosecurity (Foot and Mouth Disease Biosecurity Response Zone)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855A52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D635FC5" w14:textId="77777777" w:rsidTr="00A87A58">
      <w:tc>
        <w:tcPr>
          <w:tcW w:w="5000" w:type="pct"/>
          <w:gridSpan w:val="3"/>
        </w:tcPr>
        <w:p w14:paraId="46030854" w14:textId="77777777" w:rsidR="008C2EAC" w:rsidRDefault="008C2EAC" w:rsidP="000850AC">
          <w:pPr>
            <w:rPr>
              <w:sz w:val="18"/>
            </w:rPr>
          </w:pPr>
        </w:p>
      </w:tc>
    </w:tr>
  </w:tbl>
  <w:p w14:paraId="685DFFED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7A1B" w14:textId="77777777" w:rsidR="00B821E4" w:rsidRDefault="00B821E4" w:rsidP="00715914">
      <w:pPr>
        <w:spacing w:line="240" w:lineRule="auto"/>
      </w:pPr>
      <w:r>
        <w:separator/>
      </w:r>
    </w:p>
  </w:footnote>
  <w:footnote w:type="continuationSeparator" w:id="0">
    <w:p w14:paraId="35D16ECA" w14:textId="77777777" w:rsidR="00B821E4" w:rsidRDefault="00B821E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219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27D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826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955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1153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269A" w14:textId="77777777" w:rsidR="004E1307" w:rsidRDefault="004E1307" w:rsidP="00715914">
    <w:pPr>
      <w:rPr>
        <w:sz w:val="20"/>
      </w:rPr>
    </w:pPr>
  </w:p>
  <w:p w14:paraId="2BFA92E0" w14:textId="77777777" w:rsidR="004E1307" w:rsidRDefault="004E1307" w:rsidP="00715914">
    <w:pPr>
      <w:rPr>
        <w:sz w:val="20"/>
      </w:rPr>
    </w:pPr>
  </w:p>
  <w:p w14:paraId="46E1664E" w14:textId="77777777" w:rsidR="004E1307" w:rsidRPr="007A1328" w:rsidRDefault="004E1307" w:rsidP="00715914">
    <w:pPr>
      <w:rPr>
        <w:sz w:val="20"/>
      </w:rPr>
    </w:pPr>
  </w:p>
  <w:p w14:paraId="501E8A63" w14:textId="77777777" w:rsidR="004E1307" w:rsidRPr="007A1328" w:rsidRDefault="004E1307" w:rsidP="00715914">
    <w:pPr>
      <w:rPr>
        <w:b/>
        <w:sz w:val="24"/>
      </w:rPr>
    </w:pPr>
  </w:p>
  <w:p w14:paraId="3EAFDFD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B72B" w14:textId="77777777" w:rsidR="004E1307" w:rsidRPr="007A1328" w:rsidRDefault="004E1307" w:rsidP="00715914">
    <w:pPr>
      <w:jc w:val="right"/>
      <w:rPr>
        <w:sz w:val="20"/>
      </w:rPr>
    </w:pPr>
  </w:p>
  <w:p w14:paraId="690DDA8A" w14:textId="77777777" w:rsidR="004E1307" w:rsidRPr="007A1328" w:rsidRDefault="004E1307" w:rsidP="00715914">
    <w:pPr>
      <w:jc w:val="right"/>
      <w:rPr>
        <w:sz w:val="20"/>
      </w:rPr>
    </w:pPr>
  </w:p>
  <w:p w14:paraId="5385CBF4" w14:textId="77777777" w:rsidR="004E1307" w:rsidRPr="007A1328" w:rsidRDefault="004E1307" w:rsidP="00715914">
    <w:pPr>
      <w:jc w:val="right"/>
      <w:rPr>
        <w:sz w:val="20"/>
      </w:rPr>
    </w:pPr>
  </w:p>
  <w:p w14:paraId="4EEE3817" w14:textId="77777777" w:rsidR="004E1307" w:rsidRPr="007A1328" w:rsidRDefault="004E1307" w:rsidP="00715914">
    <w:pPr>
      <w:jc w:val="right"/>
      <w:rPr>
        <w:b/>
        <w:sz w:val="24"/>
      </w:rPr>
    </w:pPr>
  </w:p>
  <w:p w14:paraId="23EAAC2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A6530"/>
    <w:multiLevelType w:val="hybridMultilevel"/>
    <w:tmpl w:val="AF4A3A70"/>
    <w:lvl w:ilvl="0" w:tplc="FFFFFFFF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70" w:hanging="360"/>
      </w:pPr>
    </w:lvl>
    <w:lvl w:ilvl="2" w:tplc="FFFFFFFF" w:tentative="1">
      <w:start w:val="1"/>
      <w:numFmt w:val="lowerRoman"/>
      <w:lvlText w:val="%3."/>
      <w:lvlJc w:val="right"/>
      <w:pPr>
        <w:ind w:left="3090" w:hanging="180"/>
      </w:pPr>
    </w:lvl>
    <w:lvl w:ilvl="3" w:tplc="FFFFFFFF" w:tentative="1">
      <w:start w:val="1"/>
      <w:numFmt w:val="decimal"/>
      <w:lvlText w:val="%4."/>
      <w:lvlJc w:val="left"/>
      <w:pPr>
        <w:ind w:left="3810" w:hanging="360"/>
      </w:pPr>
    </w:lvl>
    <w:lvl w:ilvl="4" w:tplc="FFFFFFFF" w:tentative="1">
      <w:start w:val="1"/>
      <w:numFmt w:val="lowerLetter"/>
      <w:lvlText w:val="%5."/>
      <w:lvlJc w:val="left"/>
      <w:pPr>
        <w:ind w:left="4530" w:hanging="360"/>
      </w:pPr>
    </w:lvl>
    <w:lvl w:ilvl="5" w:tplc="FFFFFFFF" w:tentative="1">
      <w:start w:val="1"/>
      <w:numFmt w:val="lowerRoman"/>
      <w:lvlText w:val="%6."/>
      <w:lvlJc w:val="right"/>
      <w:pPr>
        <w:ind w:left="5250" w:hanging="180"/>
      </w:pPr>
    </w:lvl>
    <w:lvl w:ilvl="6" w:tplc="FFFFFFFF" w:tentative="1">
      <w:start w:val="1"/>
      <w:numFmt w:val="decimal"/>
      <w:lvlText w:val="%7."/>
      <w:lvlJc w:val="left"/>
      <w:pPr>
        <w:ind w:left="5970" w:hanging="360"/>
      </w:pPr>
    </w:lvl>
    <w:lvl w:ilvl="7" w:tplc="FFFFFFFF" w:tentative="1">
      <w:start w:val="1"/>
      <w:numFmt w:val="lowerLetter"/>
      <w:lvlText w:val="%8."/>
      <w:lvlJc w:val="left"/>
      <w:pPr>
        <w:ind w:left="6690" w:hanging="360"/>
      </w:pPr>
    </w:lvl>
    <w:lvl w:ilvl="8" w:tplc="FFFFFFFF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 w15:restartNumberingAfterBreak="0">
    <w:nsid w:val="052765B7"/>
    <w:multiLevelType w:val="hybridMultilevel"/>
    <w:tmpl w:val="7A383276"/>
    <w:lvl w:ilvl="0" w:tplc="8B66685E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53060"/>
    <w:multiLevelType w:val="hybridMultilevel"/>
    <w:tmpl w:val="0342363A"/>
    <w:lvl w:ilvl="0" w:tplc="3AB49BAE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2D69E1"/>
    <w:multiLevelType w:val="hybridMultilevel"/>
    <w:tmpl w:val="9F260ABC"/>
    <w:lvl w:ilvl="0" w:tplc="B71673BE">
      <w:start w:val="1"/>
      <w:numFmt w:val="lowerRoman"/>
      <w:lvlText w:val="(%1)"/>
      <w:lvlJc w:val="left"/>
      <w:pPr>
        <w:ind w:left="25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70" w:hanging="360"/>
      </w:pPr>
    </w:lvl>
    <w:lvl w:ilvl="2" w:tplc="0C09001B" w:tentative="1">
      <w:start w:val="1"/>
      <w:numFmt w:val="lowerRoman"/>
      <w:lvlText w:val="%3."/>
      <w:lvlJc w:val="right"/>
      <w:pPr>
        <w:ind w:left="3590" w:hanging="180"/>
      </w:pPr>
    </w:lvl>
    <w:lvl w:ilvl="3" w:tplc="0C09000F" w:tentative="1">
      <w:start w:val="1"/>
      <w:numFmt w:val="decimal"/>
      <w:lvlText w:val="%4."/>
      <w:lvlJc w:val="left"/>
      <w:pPr>
        <w:ind w:left="4310" w:hanging="360"/>
      </w:pPr>
    </w:lvl>
    <w:lvl w:ilvl="4" w:tplc="0C090019" w:tentative="1">
      <w:start w:val="1"/>
      <w:numFmt w:val="lowerLetter"/>
      <w:lvlText w:val="%5."/>
      <w:lvlJc w:val="left"/>
      <w:pPr>
        <w:ind w:left="5030" w:hanging="360"/>
      </w:pPr>
    </w:lvl>
    <w:lvl w:ilvl="5" w:tplc="0C09001B" w:tentative="1">
      <w:start w:val="1"/>
      <w:numFmt w:val="lowerRoman"/>
      <w:lvlText w:val="%6."/>
      <w:lvlJc w:val="right"/>
      <w:pPr>
        <w:ind w:left="5750" w:hanging="180"/>
      </w:pPr>
    </w:lvl>
    <w:lvl w:ilvl="6" w:tplc="0C09000F" w:tentative="1">
      <w:start w:val="1"/>
      <w:numFmt w:val="decimal"/>
      <w:lvlText w:val="%7."/>
      <w:lvlJc w:val="left"/>
      <w:pPr>
        <w:ind w:left="6470" w:hanging="360"/>
      </w:pPr>
    </w:lvl>
    <w:lvl w:ilvl="7" w:tplc="0C090019" w:tentative="1">
      <w:start w:val="1"/>
      <w:numFmt w:val="lowerLetter"/>
      <w:lvlText w:val="%8."/>
      <w:lvlJc w:val="left"/>
      <w:pPr>
        <w:ind w:left="7190" w:hanging="360"/>
      </w:pPr>
    </w:lvl>
    <w:lvl w:ilvl="8" w:tplc="0C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6" w15:restartNumberingAfterBreak="0">
    <w:nsid w:val="2B55078E"/>
    <w:multiLevelType w:val="hybridMultilevel"/>
    <w:tmpl w:val="AF4A3A70"/>
    <w:lvl w:ilvl="0" w:tplc="0784992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" w15:restartNumberingAfterBreak="0">
    <w:nsid w:val="2F0B77E9"/>
    <w:multiLevelType w:val="hybridMultilevel"/>
    <w:tmpl w:val="A5D2000C"/>
    <w:lvl w:ilvl="0" w:tplc="2544F5F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A5E4039"/>
    <w:multiLevelType w:val="hybridMultilevel"/>
    <w:tmpl w:val="FFA06292"/>
    <w:lvl w:ilvl="0" w:tplc="F38AA6B2">
      <w:start w:val="1"/>
      <w:numFmt w:val="lowerRoman"/>
      <w:lvlText w:val="(%1)"/>
      <w:lvlJc w:val="left"/>
      <w:pPr>
        <w:ind w:left="2376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452B3"/>
    <w:multiLevelType w:val="hybridMultilevel"/>
    <w:tmpl w:val="7A383276"/>
    <w:lvl w:ilvl="0" w:tplc="FFFFFFFF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70" w:hanging="360"/>
      </w:pPr>
    </w:lvl>
    <w:lvl w:ilvl="2" w:tplc="FFFFFFFF" w:tentative="1">
      <w:start w:val="1"/>
      <w:numFmt w:val="lowerRoman"/>
      <w:lvlText w:val="%3."/>
      <w:lvlJc w:val="right"/>
      <w:pPr>
        <w:ind w:left="3090" w:hanging="180"/>
      </w:pPr>
    </w:lvl>
    <w:lvl w:ilvl="3" w:tplc="FFFFFFFF" w:tentative="1">
      <w:start w:val="1"/>
      <w:numFmt w:val="decimal"/>
      <w:lvlText w:val="%4."/>
      <w:lvlJc w:val="left"/>
      <w:pPr>
        <w:ind w:left="3810" w:hanging="360"/>
      </w:pPr>
    </w:lvl>
    <w:lvl w:ilvl="4" w:tplc="FFFFFFFF" w:tentative="1">
      <w:start w:val="1"/>
      <w:numFmt w:val="lowerLetter"/>
      <w:lvlText w:val="%5."/>
      <w:lvlJc w:val="left"/>
      <w:pPr>
        <w:ind w:left="4530" w:hanging="360"/>
      </w:pPr>
    </w:lvl>
    <w:lvl w:ilvl="5" w:tplc="FFFFFFFF" w:tentative="1">
      <w:start w:val="1"/>
      <w:numFmt w:val="lowerRoman"/>
      <w:lvlText w:val="%6."/>
      <w:lvlJc w:val="right"/>
      <w:pPr>
        <w:ind w:left="5250" w:hanging="180"/>
      </w:pPr>
    </w:lvl>
    <w:lvl w:ilvl="6" w:tplc="FFFFFFFF" w:tentative="1">
      <w:start w:val="1"/>
      <w:numFmt w:val="decimal"/>
      <w:lvlText w:val="%7."/>
      <w:lvlJc w:val="left"/>
      <w:pPr>
        <w:ind w:left="5970" w:hanging="360"/>
      </w:pPr>
    </w:lvl>
    <w:lvl w:ilvl="7" w:tplc="FFFFFFFF" w:tentative="1">
      <w:start w:val="1"/>
      <w:numFmt w:val="lowerLetter"/>
      <w:lvlText w:val="%8."/>
      <w:lvlJc w:val="left"/>
      <w:pPr>
        <w:ind w:left="6690" w:hanging="360"/>
      </w:pPr>
    </w:lvl>
    <w:lvl w:ilvl="8" w:tplc="FFFFFFFF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 w15:restartNumberingAfterBreak="0">
    <w:nsid w:val="583A74B1"/>
    <w:multiLevelType w:val="hybridMultilevel"/>
    <w:tmpl w:val="0636AC50"/>
    <w:lvl w:ilvl="0" w:tplc="9C90DA1C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 w15:restartNumberingAfterBreak="0">
    <w:nsid w:val="5F5C1D14"/>
    <w:multiLevelType w:val="hybridMultilevel"/>
    <w:tmpl w:val="F86E1D76"/>
    <w:lvl w:ilvl="0" w:tplc="E7BEE3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58767D"/>
    <w:multiLevelType w:val="hybridMultilevel"/>
    <w:tmpl w:val="F7EA94AA"/>
    <w:lvl w:ilvl="0" w:tplc="E782F20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 w15:restartNumberingAfterBreak="0">
    <w:nsid w:val="751D21E0"/>
    <w:multiLevelType w:val="hybridMultilevel"/>
    <w:tmpl w:val="3F4E1B62"/>
    <w:lvl w:ilvl="0" w:tplc="9ED60520">
      <w:start w:val="1"/>
      <w:numFmt w:val="lowerLetter"/>
      <w:lvlText w:val="(%1)"/>
      <w:lvlJc w:val="left"/>
      <w:pPr>
        <w:ind w:left="1656" w:hanging="360"/>
      </w:pPr>
      <w:rPr>
        <w:rFonts w:ascii="Times New Roman" w:eastAsia="Times New Roman" w:hAnsi="Times New Roman" w:cs="Times New Roman"/>
      </w:rPr>
    </w:lvl>
    <w:lvl w:ilvl="1" w:tplc="F38AA6B2">
      <w:start w:val="1"/>
      <w:numFmt w:val="lowerRoman"/>
      <w:lvlText w:val="(%2)"/>
      <w:lvlJc w:val="left"/>
      <w:pPr>
        <w:ind w:left="2376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1905947029">
    <w:abstractNumId w:val="9"/>
  </w:num>
  <w:num w:numId="2" w16cid:durableId="1172715981">
    <w:abstractNumId w:val="7"/>
  </w:num>
  <w:num w:numId="3" w16cid:durableId="1944219690">
    <w:abstractNumId w:val="6"/>
  </w:num>
  <w:num w:numId="4" w16cid:durableId="211964685">
    <w:abstractNumId w:val="5"/>
  </w:num>
  <w:num w:numId="5" w16cid:durableId="1280912202">
    <w:abstractNumId w:val="4"/>
  </w:num>
  <w:num w:numId="6" w16cid:durableId="1526669529">
    <w:abstractNumId w:val="8"/>
  </w:num>
  <w:num w:numId="7" w16cid:durableId="1821532569">
    <w:abstractNumId w:val="3"/>
  </w:num>
  <w:num w:numId="8" w16cid:durableId="303390476">
    <w:abstractNumId w:val="2"/>
  </w:num>
  <w:num w:numId="9" w16cid:durableId="305551840">
    <w:abstractNumId w:val="1"/>
  </w:num>
  <w:num w:numId="10" w16cid:durableId="1943756290">
    <w:abstractNumId w:val="0"/>
  </w:num>
  <w:num w:numId="11" w16cid:durableId="1527672012">
    <w:abstractNumId w:val="18"/>
  </w:num>
  <w:num w:numId="12" w16cid:durableId="2064677547">
    <w:abstractNumId w:val="12"/>
  </w:num>
  <w:num w:numId="13" w16cid:durableId="1047873430">
    <w:abstractNumId w:val="14"/>
  </w:num>
  <w:num w:numId="14" w16cid:durableId="1593322405">
    <w:abstractNumId w:val="21"/>
  </w:num>
  <w:num w:numId="15" w16cid:durableId="355890329">
    <w:abstractNumId w:val="16"/>
  </w:num>
  <w:num w:numId="16" w16cid:durableId="1885946513">
    <w:abstractNumId w:val="10"/>
  </w:num>
  <w:num w:numId="17" w16cid:durableId="121461750">
    <w:abstractNumId w:val="23"/>
  </w:num>
  <w:num w:numId="18" w16cid:durableId="732433135">
    <w:abstractNumId w:val="11"/>
  </w:num>
  <w:num w:numId="19" w16cid:durableId="838538667">
    <w:abstractNumId w:val="20"/>
  </w:num>
  <w:num w:numId="20" w16cid:durableId="1706443748">
    <w:abstractNumId w:val="15"/>
  </w:num>
  <w:num w:numId="21" w16cid:durableId="1124926581">
    <w:abstractNumId w:val="24"/>
  </w:num>
  <w:num w:numId="22" w16cid:durableId="1045836321">
    <w:abstractNumId w:val="17"/>
  </w:num>
  <w:num w:numId="23" w16cid:durableId="1482692810">
    <w:abstractNumId w:val="13"/>
  </w:num>
  <w:num w:numId="24" w16cid:durableId="1510410962">
    <w:abstractNumId w:val="19"/>
  </w:num>
  <w:num w:numId="25" w16cid:durableId="3891852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CA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21B23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06E21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3CF7"/>
    <w:rsid w:val="00424CA9"/>
    <w:rsid w:val="004276DF"/>
    <w:rsid w:val="00431E9B"/>
    <w:rsid w:val="004339B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452C"/>
    <w:rsid w:val="00600219"/>
    <w:rsid w:val="00604F2A"/>
    <w:rsid w:val="00620076"/>
    <w:rsid w:val="00627E0A"/>
    <w:rsid w:val="0065488B"/>
    <w:rsid w:val="00670EA1"/>
    <w:rsid w:val="00677CC2"/>
    <w:rsid w:val="00681187"/>
    <w:rsid w:val="0068744B"/>
    <w:rsid w:val="006905DE"/>
    <w:rsid w:val="0069207B"/>
    <w:rsid w:val="006A154F"/>
    <w:rsid w:val="006A34CF"/>
    <w:rsid w:val="006A437B"/>
    <w:rsid w:val="006A5F9D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48CA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3573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856CF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5350"/>
    <w:rsid w:val="00B36392"/>
    <w:rsid w:val="00B418CB"/>
    <w:rsid w:val="00B47444"/>
    <w:rsid w:val="00B50ADC"/>
    <w:rsid w:val="00B566B1"/>
    <w:rsid w:val="00B63834"/>
    <w:rsid w:val="00B80199"/>
    <w:rsid w:val="00B821E4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5CB6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61B6"/>
    <w:rsid w:val="00D13441"/>
    <w:rsid w:val="00D150E7"/>
    <w:rsid w:val="00D35DA1"/>
    <w:rsid w:val="00D432EB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5E6C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9C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6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8C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8CA"/>
  </w:style>
  <w:style w:type="paragraph" w:styleId="ListParagraph">
    <w:name w:val="List Paragraph"/>
    <w:basedOn w:val="Normal"/>
    <w:uiPriority w:val="34"/>
    <w:qFormat/>
    <w:rsid w:val="008648C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CB6"/>
    <w:rPr>
      <w:b/>
      <w:bCs/>
    </w:rPr>
  </w:style>
  <w:style w:type="paragraph" w:styleId="Revision">
    <w:name w:val="Revision"/>
    <w:hidden/>
    <w:uiPriority w:val="99"/>
    <w:semiHidden/>
    <w:rsid w:val="004339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2022-07-22T01:13:00Z</dcterms:created>
  <dcterms:modified xsi:type="dcterms:W3CDTF">2022-07-22T05:56:00Z</dcterms:modified>
</cp:coreProperties>
</file>