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EB2ED" w14:textId="77777777" w:rsidR="00435C45" w:rsidRPr="00E720BE" w:rsidRDefault="00435C45" w:rsidP="00920D8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E720BE">
        <w:rPr>
          <w:rFonts w:ascii="Times New Roman" w:eastAsia="Times New Roman" w:hAnsi="Times New Roman" w:cs="Times New Roman"/>
          <w:b/>
          <w:bCs/>
          <w:color w:val="000000"/>
          <w:sz w:val="24"/>
          <w:szCs w:val="24"/>
          <w:u w:val="single"/>
          <w:lang w:eastAsia="en-AU"/>
        </w:rPr>
        <w:t>EXPLANATORY STATEMENT</w:t>
      </w:r>
    </w:p>
    <w:p w14:paraId="32131CD8" w14:textId="77777777" w:rsidR="00435C45" w:rsidRPr="00E720BE" w:rsidRDefault="00435C45" w:rsidP="00920D8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E720BE">
        <w:rPr>
          <w:rFonts w:ascii="Times New Roman" w:eastAsia="Times New Roman" w:hAnsi="Times New Roman" w:cs="Times New Roman"/>
          <w:color w:val="000000"/>
          <w:sz w:val="24"/>
          <w:szCs w:val="24"/>
          <w:lang w:eastAsia="en-AU"/>
        </w:rPr>
        <w:t> </w:t>
      </w:r>
    </w:p>
    <w:p w14:paraId="22464FEE" w14:textId="77777777" w:rsidR="00435C45" w:rsidRPr="00E720BE" w:rsidRDefault="00435C45" w:rsidP="00920D8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E720BE">
        <w:rPr>
          <w:rFonts w:ascii="Times New Roman" w:eastAsia="Times New Roman" w:hAnsi="Times New Roman" w:cs="Times New Roman"/>
          <w:color w:val="000000"/>
          <w:sz w:val="24"/>
          <w:szCs w:val="24"/>
          <w:lang w:eastAsia="en-AU"/>
        </w:rPr>
        <w:t xml:space="preserve">Issued by </w:t>
      </w:r>
      <w:r w:rsidR="007272AB" w:rsidRPr="00E720BE">
        <w:rPr>
          <w:rFonts w:ascii="Times New Roman" w:eastAsia="Times New Roman" w:hAnsi="Times New Roman" w:cs="Times New Roman"/>
          <w:color w:val="000000"/>
          <w:sz w:val="24"/>
          <w:szCs w:val="24"/>
          <w:lang w:eastAsia="en-AU"/>
        </w:rPr>
        <w:t xml:space="preserve">the </w:t>
      </w:r>
      <w:r w:rsidRPr="00E720BE">
        <w:rPr>
          <w:rFonts w:ascii="Times New Roman" w:eastAsia="Times New Roman" w:hAnsi="Times New Roman" w:cs="Times New Roman"/>
          <w:color w:val="000000"/>
          <w:sz w:val="24"/>
          <w:szCs w:val="24"/>
          <w:lang w:eastAsia="en-AU"/>
        </w:rPr>
        <w:t xml:space="preserve">authority of the </w:t>
      </w:r>
      <w:r w:rsidR="00D42502" w:rsidRPr="00E720BE">
        <w:rPr>
          <w:rFonts w:ascii="Times New Roman" w:eastAsia="Times New Roman" w:hAnsi="Times New Roman" w:cs="Times New Roman"/>
          <w:color w:val="000000"/>
          <w:sz w:val="24"/>
          <w:szCs w:val="24"/>
          <w:lang w:eastAsia="en-AU"/>
        </w:rPr>
        <w:t>Judge Advocate General of the Australian Defence Force</w:t>
      </w:r>
    </w:p>
    <w:p w14:paraId="7E751F8B" w14:textId="77777777" w:rsidR="00435C45" w:rsidRPr="00E720BE" w:rsidRDefault="00435C45" w:rsidP="00920D83">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E720BE">
        <w:rPr>
          <w:rFonts w:ascii="Times New Roman" w:eastAsia="Times New Roman" w:hAnsi="Times New Roman" w:cs="Times New Roman"/>
          <w:i/>
          <w:iCs/>
          <w:color w:val="000000"/>
          <w:sz w:val="24"/>
          <w:szCs w:val="24"/>
          <w:lang w:eastAsia="en-AU"/>
        </w:rPr>
        <w:t> </w:t>
      </w:r>
    </w:p>
    <w:p w14:paraId="6E481FA3" w14:textId="77777777" w:rsidR="00B867F3" w:rsidRDefault="00435C45" w:rsidP="00920D83">
      <w:pPr>
        <w:shd w:val="clear" w:color="auto" w:fill="FFFFFF"/>
        <w:spacing w:after="0" w:line="240" w:lineRule="auto"/>
        <w:jc w:val="center"/>
        <w:rPr>
          <w:rFonts w:ascii="Times New Roman" w:eastAsia="Times New Roman" w:hAnsi="Times New Roman" w:cs="Times New Roman"/>
          <w:i/>
          <w:iCs/>
          <w:color w:val="000000"/>
          <w:sz w:val="24"/>
          <w:szCs w:val="24"/>
          <w:lang w:eastAsia="en-AU"/>
        </w:rPr>
      </w:pPr>
      <w:r w:rsidRPr="00E720BE">
        <w:rPr>
          <w:rFonts w:ascii="Times New Roman" w:eastAsia="Times New Roman" w:hAnsi="Times New Roman" w:cs="Times New Roman"/>
          <w:i/>
          <w:iCs/>
          <w:color w:val="000000"/>
          <w:sz w:val="24"/>
          <w:szCs w:val="24"/>
          <w:lang w:eastAsia="en-AU"/>
        </w:rPr>
        <w:t>Defence Force Discipline Act 1982</w:t>
      </w:r>
    </w:p>
    <w:p w14:paraId="5FF2B210" w14:textId="77777777" w:rsidR="00CA4A15" w:rsidRPr="00E720BE" w:rsidRDefault="00CA4A15" w:rsidP="00920D83">
      <w:pPr>
        <w:shd w:val="clear" w:color="auto" w:fill="FFFFFF"/>
        <w:spacing w:after="0" w:line="240" w:lineRule="auto"/>
        <w:jc w:val="center"/>
        <w:rPr>
          <w:rFonts w:ascii="Times New Roman" w:eastAsia="Times New Roman" w:hAnsi="Times New Roman" w:cs="Times New Roman"/>
          <w:i/>
          <w:iCs/>
          <w:color w:val="000000"/>
          <w:sz w:val="24"/>
          <w:szCs w:val="24"/>
          <w:lang w:eastAsia="en-AU"/>
        </w:rPr>
      </w:pPr>
    </w:p>
    <w:p w14:paraId="7CA607C5" w14:textId="77777777" w:rsidR="00435C45" w:rsidRPr="00C02427" w:rsidRDefault="00D62D73" w:rsidP="00920D83">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C02427">
        <w:rPr>
          <w:rFonts w:ascii="Times New Roman" w:hAnsi="Times New Roman" w:cs="Times New Roman"/>
          <w:b/>
          <w:i/>
          <w:sz w:val="24"/>
          <w:szCs w:val="24"/>
        </w:rPr>
        <w:t>Summary Authority Amendment Rules 2022</w:t>
      </w:r>
      <w:r w:rsidR="00435C45" w:rsidRPr="00C02427">
        <w:rPr>
          <w:rFonts w:ascii="Times New Roman" w:eastAsia="Times New Roman" w:hAnsi="Times New Roman" w:cs="Times New Roman"/>
          <w:b/>
          <w:color w:val="000000"/>
          <w:sz w:val="24"/>
          <w:szCs w:val="24"/>
          <w:lang w:eastAsia="en-AU"/>
        </w:rPr>
        <w:t> </w:t>
      </w:r>
    </w:p>
    <w:p w14:paraId="0885095B" w14:textId="77777777" w:rsidR="00D42502" w:rsidRPr="00E720BE" w:rsidRDefault="00D42502" w:rsidP="00920D83">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3DBC7386" w14:textId="77777777" w:rsidR="00435C45" w:rsidRPr="00E720BE" w:rsidRDefault="00435C45" w:rsidP="00920D83">
      <w:pPr>
        <w:shd w:val="clear" w:color="auto" w:fill="FFFFFF"/>
        <w:spacing w:after="0" w:line="240" w:lineRule="auto"/>
        <w:rPr>
          <w:rFonts w:ascii="Times New Roman" w:eastAsia="Times New Roman" w:hAnsi="Times New Roman" w:cs="Times New Roman"/>
          <w:sz w:val="24"/>
          <w:szCs w:val="24"/>
          <w:lang w:eastAsia="en-AU"/>
        </w:rPr>
      </w:pPr>
      <w:r w:rsidRPr="00E720BE">
        <w:rPr>
          <w:rFonts w:ascii="Times New Roman" w:eastAsia="Times New Roman" w:hAnsi="Times New Roman" w:cs="Times New Roman"/>
          <w:sz w:val="24"/>
          <w:szCs w:val="24"/>
          <w:lang w:eastAsia="en-AU"/>
        </w:rPr>
        <w:t>The </w:t>
      </w:r>
      <w:r w:rsidRPr="00E720BE">
        <w:rPr>
          <w:rFonts w:ascii="Times New Roman" w:eastAsia="Times New Roman" w:hAnsi="Times New Roman" w:cs="Times New Roman"/>
          <w:i/>
          <w:iCs/>
          <w:sz w:val="24"/>
          <w:szCs w:val="24"/>
          <w:lang w:eastAsia="en-AU"/>
        </w:rPr>
        <w:t>Defence Force Discipline Act 1982</w:t>
      </w:r>
      <w:r w:rsidRPr="00E720BE">
        <w:rPr>
          <w:rFonts w:ascii="Times New Roman" w:eastAsia="Times New Roman" w:hAnsi="Times New Roman" w:cs="Times New Roman"/>
          <w:sz w:val="24"/>
          <w:szCs w:val="24"/>
          <w:lang w:eastAsia="en-AU"/>
        </w:rPr>
        <w:t xml:space="preserve"> (the Act) makes provision for a mechanism, by creating a discipline system, for the maintenance and enforcement of good order and discipline in the </w:t>
      </w:r>
      <w:r w:rsidR="00C937BB" w:rsidRPr="00E720BE">
        <w:rPr>
          <w:rFonts w:ascii="Times New Roman" w:eastAsia="Times New Roman" w:hAnsi="Times New Roman" w:cs="Times New Roman"/>
          <w:sz w:val="24"/>
          <w:szCs w:val="24"/>
          <w:lang w:eastAsia="en-AU"/>
        </w:rPr>
        <w:t xml:space="preserve">Australian </w:t>
      </w:r>
      <w:r w:rsidRPr="00E720BE">
        <w:rPr>
          <w:rFonts w:ascii="Times New Roman" w:eastAsia="Times New Roman" w:hAnsi="Times New Roman" w:cs="Times New Roman"/>
          <w:sz w:val="24"/>
          <w:szCs w:val="24"/>
          <w:lang w:eastAsia="en-AU"/>
        </w:rPr>
        <w:t>Defence Force.</w:t>
      </w:r>
    </w:p>
    <w:p w14:paraId="01A8B8D2" w14:textId="77777777" w:rsidR="004E5097" w:rsidRPr="00E720BE" w:rsidRDefault="004E5097" w:rsidP="00920D83">
      <w:pPr>
        <w:shd w:val="clear" w:color="auto" w:fill="FFFFFF"/>
        <w:spacing w:after="0" w:line="240" w:lineRule="auto"/>
        <w:rPr>
          <w:rFonts w:ascii="Times New Roman" w:eastAsia="Times New Roman" w:hAnsi="Times New Roman" w:cs="Times New Roman"/>
          <w:sz w:val="24"/>
          <w:szCs w:val="24"/>
          <w:lang w:eastAsia="en-AU"/>
        </w:rPr>
      </w:pPr>
    </w:p>
    <w:p w14:paraId="40C6FB4C" w14:textId="210A4D73" w:rsidR="004E5097" w:rsidRDefault="004E5097" w:rsidP="00920D83">
      <w:pPr>
        <w:spacing w:after="0" w:line="240" w:lineRule="auto"/>
        <w:rPr>
          <w:rFonts w:ascii="Times New Roman" w:hAnsi="Times New Roman" w:cs="Times New Roman"/>
          <w:sz w:val="24"/>
          <w:szCs w:val="24"/>
        </w:rPr>
      </w:pPr>
      <w:r w:rsidRPr="00615EAF">
        <w:rPr>
          <w:rFonts w:ascii="Times New Roman" w:hAnsi="Times New Roman" w:cs="Times New Roman"/>
          <w:sz w:val="24"/>
          <w:szCs w:val="24"/>
        </w:rPr>
        <w:t>Section 149 of the Act provides that the Judge Advocate General may make rules, to be known as the Summary Authority Rules, providing for the practice and procedure to be followed by summary authorities.</w:t>
      </w:r>
    </w:p>
    <w:p w14:paraId="2349F30B" w14:textId="77777777" w:rsidR="00920D83" w:rsidRPr="00615EAF" w:rsidRDefault="00920D83" w:rsidP="00920D83">
      <w:pPr>
        <w:spacing w:after="0" w:line="240" w:lineRule="auto"/>
        <w:rPr>
          <w:rFonts w:ascii="Times New Roman" w:hAnsi="Times New Roman" w:cs="Times New Roman"/>
          <w:sz w:val="24"/>
          <w:szCs w:val="24"/>
        </w:rPr>
      </w:pPr>
    </w:p>
    <w:p w14:paraId="2CA3767E" w14:textId="77777777" w:rsidR="006A00BC" w:rsidRPr="00615EAF" w:rsidRDefault="006A00BC"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E720BE">
        <w:rPr>
          <w:rFonts w:ascii="Times New Roman" w:eastAsia="Times New Roman" w:hAnsi="Times New Roman" w:cs="Times New Roman"/>
          <w:color w:val="000000"/>
          <w:sz w:val="24"/>
          <w:szCs w:val="24"/>
          <w:lang w:eastAsia="en-AU"/>
        </w:rPr>
        <w:t xml:space="preserve">Under </w:t>
      </w:r>
      <w:r w:rsidRPr="00491787">
        <w:rPr>
          <w:rFonts w:ascii="Times New Roman" w:eastAsia="Times New Roman" w:hAnsi="Times New Roman" w:cs="Times New Roman"/>
          <w:color w:val="000000"/>
          <w:sz w:val="24"/>
          <w:szCs w:val="24"/>
          <w:lang w:eastAsia="en-AU"/>
        </w:rPr>
        <w:t xml:space="preserve">section 33(3) of the </w:t>
      </w:r>
      <w:r w:rsidRPr="00615EAF">
        <w:rPr>
          <w:rFonts w:ascii="Times New Roman" w:eastAsia="Times New Roman" w:hAnsi="Times New Roman" w:cs="Times New Roman"/>
          <w:i/>
          <w:color w:val="000000"/>
          <w:sz w:val="24"/>
          <w:szCs w:val="24"/>
          <w:lang w:eastAsia="en-AU"/>
        </w:rPr>
        <w:t>Acts Interpretation Act 1901</w:t>
      </w:r>
      <w:r w:rsidRPr="00615EAF">
        <w:rPr>
          <w:rFonts w:ascii="Times New Roman" w:eastAsia="Times New Roman" w:hAnsi="Times New Roman" w:cs="Times New Roman"/>
          <w:color w:val="000000"/>
          <w:sz w:val="24"/>
          <w:szCs w:val="24"/>
          <w:lang w:eastAsia="en-AU"/>
        </w:rPr>
        <w:t>, where the Act confers a power to make, grant, or issue any instrument of a legislative or administrative character (including rules), the power shall be construed as including a power exercisable in the like manner and subject to the like conditions (if any) to repeal, rescind, amend or vary such instrument.</w:t>
      </w:r>
    </w:p>
    <w:p w14:paraId="4AE8764A" w14:textId="77777777" w:rsidR="00CA4A15" w:rsidRPr="00615EAF" w:rsidRDefault="00CA4A15" w:rsidP="00920D83">
      <w:pPr>
        <w:shd w:val="clear" w:color="auto" w:fill="FFFFFF"/>
        <w:spacing w:after="0" w:line="240" w:lineRule="auto"/>
        <w:rPr>
          <w:rFonts w:ascii="Times New Roman" w:eastAsia="Times New Roman" w:hAnsi="Times New Roman" w:cs="Times New Roman"/>
          <w:sz w:val="24"/>
          <w:szCs w:val="24"/>
          <w:lang w:eastAsia="en-AU"/>
        </w:rPr>
      </w:pPr>
    </w:p>
    <w:p w14:paraId="530EC821" w14:textId="04C9CF8F" w:rsidR="004E5097" w:rsidRPr="00E720BE" w:rsidRDefault="00E56C9E" w:rsidP="00920D83">
      <w:pPr>
        <w:shd w:val="clear" w:color="auto" w:fill="FFFFFF"/>
        <w:spacing w:after="0" w:line="240" w:lineRule="auto"/>
        <w:rPr>
          <w:rFonts w:ascii="Times New Roman" w:hAnsi="Times New Roman" w:cs="Times New Roman"/>
          <w:sz w:val="24"/>
          <w:szCs w:val="24"/>
        </w:rPr>
      </w:pPr>
      <w:r w:rsidRPr="00615EAF">
        <w:rPr>
          <w:rFonts w:ascii="Times New Roman" w:eastAsia="Times New Roman" w:hAnsi="Times New Roman" w:cs="Times New Roman"/>
          <w:sz w:val="24"/>
          <w:szCs w:val="24"/>
          <w:lang w:eastAsia="en-AU"/>
        </w:rPr>
        <w:t>The purpose of the</w:t>
      </w:r>
      <w:r w:rsidR="00B90D01">
        <w:rPr>
          <w:rFonts w:ascii="Times New Roman" w:eastAsia="Times New Roman" w:hAnsi="Times New Roman" w:cs="Times New Roman"/>
          <w:sz w:val="24"/>
          <w:szCs w:val="24"/>
          <w:lang w:eastAsia="en-AU"/>
        </w:rPr>
        <w:t xml:space="preserve"> </w:t>
      </w:r>
      <w:r w:rsidR="00B90D01" w:rsidRPr="00B90D01">
        <w:rPr>
          <w:rFonts w:ascii="Times New Roman" w:eastAsia="Times New Roman" w:hAnsi="Times New Roman" w:cs="Times New Roman"/>
          <w:i/>
          <w:sz w:val="24"/>
          <w:szCs w:val="24"/>
          <w:lang w:eastAsia="en-AU"/>
        </w:rPr>
        <w:t>Summary Authority Amendment Rules 2022</w:t>
      </w:r>
      <w:r w:rsidR="00B90D01" w:rsidRPr="00615EAF" w:rsidDel="00B90D01">
        <w:rPr>
          <w:rFonts w:ascii="Times New Roman" w:eastAsia="Times New Roman" w:hAnsi="Times New Roman" w:cs="Times New Roman"/>
          <w:sz w:val="24"/>
          <w:szCs w:val="24"/>
          <w:lang w:eastAsia="en-AU"/>
        </w:rPr>
        <w:t xml:space="preserve"> </w:t>
      </w:r>
      <w:r w:rsidRPr="00491787">
        <w:rPr>
          <w:rFonts w:ascii="Times New Roman" w:eastAsia="Times New Roman" w:hAnsi="Times New Roman" w:cs="Times New Roman"/>
          <w:sz w:val="24"/>
          <w:szCs w:val="24"/>
          <w:lang w:eastAsia="en-AU"/>
        </w:rPr>
        <w:t>(the</w:t>
      </w:r>
      <w:r w:rsidR="006919DC" w:rsidRPr="00615EAF">
        <w:rPr>
          <w:rFonts w:ascii="Times New Roman" w:eastAsia="Times New Roman" w:hAnsi="Times New Roman" w:cs="Times New Roman"/>
          <w:sz w:val="24"/>
          <w:szCs w:val="24"/>
          <w:lang w:eastAsia="en-AU"/>
        </w:rPr>
        <w:t xml:space="preserve"> Amendment</w:t>
      </w:r>
      <w:r w:rsidRPr="00615EAF">
        <w:rPr>
          <w:rFonts w:ascii="Times New Roman" w:eastAsia="Times New Roman" w:hAnsi="Times New Roman" w:cs="Times New Roman"/>
          <w:sz w:val="24"/>
          <w:szCs w:val="24"/>
          <w:lang w:eastAsia="en-AU"/>
        </w:rPr>
        <w:t xml:space="preserve"> Rules) is to amend the</w:t>
      </w:r>
      <w:r w:rsidRPr="00615EAF">
        <w:rPr>
          <w:rFonts w:ascii="Times New Roman" w:eastAsia="Times New Roman" w:hAnsi="Times New Roman" w:cs="Times New Roman"/>
          <w:i/>
          <w:sz w:val="24"/>
          <w:szCs w:val="24"/>
          <w:lang w:eastAsia="en-AU"/>
        </w:rPr>
        <w:t xml:space="preserve"> </w:t>
      </w:r>
      <w:r w:rsidRPr="00615EAF">
        <w:rPr>
          <w:rFonts w:ascii="Times New Roman" w:hAnsi="Times New Roman" w:cs="Times New Roman"/>
          <w:i/>
          <w:sz w:val="24"/>
          <w:szCs w:val="24"/>
        </w:rPr>
        <w:t>Summary Authority Rules 2019</w:t>
      </w:r>
      <w:r w:rsidRPr="00615EAF">
        <w:rPr>
          <w:rFonts w:ascii="Times New Roman" w:eastAsia="Times New Roman" w:hAnsi="Times New Roman" w:cs="Times New Roman"/>
          <w:sz w:val="24"/>
          <w:szCs w:val="24"/>
          <w:lang w:eastAsia="en-AU"/>
        </w:rPr>
        <w:t xml:space="preserve"> which </w:t>
      </w:r>
      <w:r w:rsidR="006D03E2" w:rsidRPr="00615EAF">
        <w:rPr>
          <w:rFonts w:ascii="Times New Roman" w:hAnsi="Times New Roman" w:cs="Times New Roman"/>
          <w:sz w:val="24"/>
          <w:szCs w:val="24"/>
        </w:rPr>
        <w:t xml:space="preserve">prescribe the rules and processes that are to be undertaken by a summary authority in conducting a summary authority proceeding under the Act. The Rules consist of eight Parts that address preliminary matters, charging and summoning an accused person, general provisions for summary authority proceedings, evidence before summary authority proceedings, exhibits, procedure for imposing punishment and orders, recording summary proceedings, and general summons provisions.  </w:t>
      </w:r>
    </w:p>
    <w:p w14:paraId="79206C42" w14:textId="77777777" w:rsidR="004E5097" w:rsidRPr="00615EAF" w:rsidRDefault="004E5097" w:rsidP="00920D83">
      <w:pPr>
        <w:shd w:val="clear" w:color="auto" w:fill="FFFFFF"/>
        <w:spacing w:after="0" w:line="240" w:lineRule="auto"/>
        <w:rPr>
          <w:rFonts w:ascii="Times New Roman" w:hAnsi="Times New Roman" w:cs="Times New Roman"/>
          <w:sz w:val="24"/>
          <w:szCs w:val="24"/>
        </w:rPr>
      </w:pPr>
    </w:p>
    <w:p w14:paraId="6BE60ABF" w14:textId="77777777" w:rsidR="006A00BC" w:rsidRPr="00615EAF" w:rsidRDefault="00E56C9E" w:rsidP="00920D83">
      <w:pPr>
        <w:shd w:val="clear" w:color="auto" w:fill="FFFFFF"/>
        <w:spacing w:after="0" w:line="240" w:lineRule="auto"/>
        <w:rPr>
          <w:rFonts w:ascii="Times New Roman" w:hAnsi="Times New Roman" w:cs="Times New Roman"/>
          <w:sz w:val="24"/>
          <w:szCs w:val="24"/>
        </w:rPr>
      </w:pPr>
      <w:r w:rsidRPr="00615EAF">
        <w:rPr>
          <w:rFonts w:ascii="Times New Roman" w:eastAsia="Times New Roman" w:hAnsi="Times New Roman" w:cs="Times New Roman"/>
          <w:sz w:val="24"/>
          <w:szCs w:val="24"/>
          <w:lang w:eastAsia="en-AU"/>
        </w:rPr>
        <w:t xml:space="preserve">The </w:t>
      </w:r>
      <w:r w:rsidR="006919DC" w:rsidRPr="00615EAF">
        <w:rPr>
          <w:rFonts w:ascii="Times New Roman" w:eastAsia="Times New Roman" w:hAnsi="Times New Roman" w:cs="Times New Roman"/>
          <w:sz w:val="24"/>
          <w:szCs w:val="24"/>
          <w:lang w:eastAsia="en-AU"/>
        </w:rPr>
        <w:t xml:space="preserve">Amendment </w:t>
      </w:r>
      <w:r w:rsidRPr="00615EAF">
        <w:rPr>
          <w:rFonts w:ascii="Times New Roman" w:eastAsia="Times New Roman" w:hAnsi="Times New Roman" w:cs="Times New Roman"/>
          <w:sz w:val="24"/>
          <w:szCs w:val="24"/>
          <w:lang w:eastAsia="en-AU"/>
        </w:rPr>
        <w:t>Rules consist of consequen</w:t>
      </w:r>
      <w:r w:rsidRPr="00615EAF">
        <w:rPr>
          <w:rFonts w:ascii="Times New Roman" w:hAnsi="Times New Roman" w:cs="Times New Roman"/>
          <w:sz w:val="24"/>
          <w:szCs w:val="24"/>
        </w:rPr>
        <w:t>tial changes as a result of</w:t>
      </w:r>
      <w:r w:rsidR="004E2410" w:rsidRPr="00615EAF">
        <w:rPr>
          <w:rFonts w:ascii="Times New Roman" w:hAnsi="Times New Roman" w:cs="Times New Roman"/>
          <w:sz w:val="24"/>
          <w:szCs w:val="24"/>
        </w:rPr>
        <w:t xml:space="preserve"> </w:t>
      </w:r>
      <w:r w:rsidRPr="00615EAF">
        <w:rPr>
          <w:rFonts w:ascii="Times New Roman" w:eastAsia="Times New Roman" w:hAnsi="Times New Roman" w:cs="Times New Roman"/>
          <w:sz w:val="24"/>
          <w:szCs w:val="24"/>
          <w:lang w:eastAsia="en-AU"/>
        </w:rPr>
        <w:t xml:space="preserve">the </w:t>
      </w:r>
      <w:r w:rsidRPr="00615EAF">
        <w:rPr>
          <w:rFonts w:ascii="Times New Roman" w:hAnsi="Times New Roman" w:cs="Times New Roman"/>
          <w:i/>
          <w:iCs/>
          <w:sz w:val="24"/>
          <w:szCs w:val="24"/>
        </w:rPr>
        <w:t>Defence Legislation Amendment (Discipline Reform) Act 2021</w:t>
      </w:r>
      <w:r w:rsidR="00B90D01">
        <w:rPr>
          <w:rFonts w:ascii="Times New Roman" w:hAnsi="Times New Roman" w:cs="Times New Roman"/>
          <w:iCs/>
          <w:sz w:val="24"/>
          <w:szCs w:val="24"/>
        </w:rPr>
        <w:t xml:space="preserve"> (the Amendment Act)</w:t>
      </w:r>
      <w:r w:rsidR="0028732F" w:rsidRPr="00615EAF">
        <w:rPr>
          <w:rFonts w:ascii="Times New Roman" w:hAnsi="Times New Roman" w:cs="Times New Roman"/>
          <w:iCs/>
          <w:sz w:val="24"/>
          <w:szCs w:val="24"/>
        </w:rPr>
        <w:t>.</w:t>
      </w:r>
    </w:p>
    <w:p w14:paraId="27C17C58" w14:textId="77777777" w:rsidR="00435C45" w:rsidRPr="00615EAF" w:rsidRDefault="00435C45" w:rsidP="00920D83">
      <w:pPr>
        <w:shd w:val="clear" w:color="auto" w:fill="FFFFFF"/>
        <w:spacing w:after="0" w:line="240" w:lineRule="auto"/>
        <w:rPr>
          <w:rFonts w:ascii="Times New Roman" w:eastAsia="Times New Roman" w:hAnsi="Times New Roman" w:cs="Times New Roman"/>
          <w:color w:val="000000"/>
          <w:sz w:val="24"/>
          <w:szCs w:val="24"/>
          <w:lang w:eastAsia="en-AU"/>
        </w:rPr>
      </w:pPr>
    </w:p>
    <w:p w14:paraId="44CC14AF" w14:textId="77777777" w:rsidR="00435C45" w:rsidRPr="00615EAF" w:rsidRDefault="00435C45"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color w:val="000000"/>
          <w:sz w:val="24"/>
          <w:szCs w:val="24"/>
          <w:lang w:eastAsia="en-AU"/>
        </w:rPr>
        <w:t xml:space="preserve">The Act specifies no conditions that need to be fulfilled before the </w:t>
      </w:r>
      <w:r w:rsidR="006919DC" w:rsidRPr="00615EAF">
        <w:rPr>
          <w:rFonts w:ascii="Times New Roman" w:eastAsia="Times New Roman" w:hAnsi="Times New Roman" w:cs="Times New Roman"/>
          <w:color w:val="000000"/>
          <w:sz w:val="24"/>
          <w:szCs w:val="24"/>
          <w:lang w:eastAsia="en-AU"/>
        </w:rPr>
        <w:t xml:space="preserve">Amendment </w:t>
      </w:r>
      <w:r w:rsidRPr="00615EAF">
        <w:rPr>
          <w:rFonts w:ascii="Times New Roman" w:eastAsia="Times New Roman" w:hAnsi="Times New Roman" w:cs="Times New Roman"/>
          <w:color w:val="000000"/>
          <w:sz w:val="24"/>
          <w:szCs w:val="24"/>
          <w:lang w:eastAsia="en-AU"/>
        </w:rPr>
        <w:t>Rules can be made.</w:t>
      </w:r>
    </w:p>
    <w:p w14:paraId="644259CF" w14:textId="77777777" w:rsidR="00435C45" w:rsidRPr="00615EAF" w:rsidRDefault="00435C45"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color w:val="000000"/>
          <w:sz w:val="24"/>
          <w:szCs w:val="24"/>
          <w:lang w:eastAsia="en-AU"/>
        </w:rPr>
        <w:t> </w:t>
      </w:r>
    </w:p>
    <w:p w14:paraId="607C4B0A" w14:textId="77777777" w:rsidR="00435C45" w:rsidRDefault="00435C45" w:rsidP="00920D83">
      <w:pPr>
        <w:shd w:val="clear" w:color="auto" w:fill="FFFFFF"/>
        <w:spacing w:after="0" w:line="240" w:lineRule="auto"/>
        <w:rPr>
          <w:rFonts w:ascii="Times New Roman" w:eastAsia="Times New Roman" w:hAnsi="Times New Roman" w:cs="Times New Roman"/>
          <w:i/>
          <w:iCs/>
          <w:color w:val="000000"/>
          <w:sz w:val="24"/>
          <w:szCs w:val="24"/>
          <w:lang w:eastAsia="en-AU"/>
        </w:rPr>
      </w:pPr>
      <w:r w:rsidRPr="00615EAF">
        <w:rPr>
          <w:rFonts w:ascii="Times New Roman" w:eastAsia="Times New Roman" w:hAnsi="Times New Roman" w:cs="Times New Roman"/>
          <w:color w:val="000000"/>
          <w:sz w:val="24"/>
          <w:szCs w:val="24"/>
          <w:lang w:eastAsia="en-AU"/>
        </w:rPr>
        <w:t xml:space="preserve">The </w:t>
      </w:r>
      <w:r w:rsidR="006919DC" w:rsidRPr="00615EAF">
        <w:rPr>
          <w:rFonts w:ascii="Times New Roman" w:eastAsia="Times New Roman" w:hAnsi="Times New Roman" w:cs="Times New Roman"/>
          <w:color w:val="000000"/>
          <w:sz w:val="24"/>
          <w:szCs w:val="24"/>
          <w:lang w:eastAsia="en-AU"/>
        </w:rPr>
        <w:t xml:space="preserve">Amendment </w:t>
      </w:r>
      <w:r w:rsidRPr="00615EAF">
        <w:rPr>
          <w:rFonts w:ascii="Times New Roman" w:eastAsia="Times New Roman" w:hAnsi="Times New Roman" w:cs="Times New Roman"/>
          <w:color w:val="000000"/>
          <w:sz w:val="24"/>
          <w:szCs w:val="24"/>
          <w:lang w:eastAsia="en-AU"/>
        </w:rPr>
        <w:t>Rules are a legislative instrument for the purposes of the</w:t>
      </w:r>
      <w:r w:rsidR="00B90D01">
        <w:rPr>
          <w:rFonts w:ascii="Times New Roman" w:eastAsia="Times New Roman" w:hAnsi="Times New Roman" w:cs="Times New Roman"/>
          <w:color w:val="000000"/>
          <w:sz w:val="24"/>
          <w:szCs w:val="24"/>
          <w:lang w:eastAsia="en-AU"/>
        </w:rPr>
        <w:t xml:space="preserve"> </w:t>
      </w:r>
      <w:r w:rsidRPr="00615EAF">
        <w:rPr>
          <w:rFonts w:ascii="Times New Roman" w:eastAsia="Times New Roman" w:hAnsi="Times New Roman" w:cs="Times New Roman"/>
          <w:i/>
          <w:iCs/>
          <w:color w:val="000000"/>
          <w:sz w:val="24"/>
          <w:szCs w:val="24"/>
          <w:lang w:eastAsia="en-AU"/>
        </w:rPr>
        <w:t>Legislation</w:t>
      </w:r>
      <w:r w:rsidR="00B90D01">
        <w:rPr>
          <w:rFonts w:ascii="Times New Roman" w:eastAsia="Times New Roman" w:hAnsi="Times New Roman" w:cs="Times New Roman"/>
          <w:i/>
          <w:iCs/>
          <w:color w:val="000000"/>
          <w:sz w:val="24"/>
          <w:szCs w:val="24"/>
          <w:lang w:eastAsia="en-AU"/>
        </w:rPr>
        <w:t> </w:t>
      </w:r>
      <w:r w:rsidRPr="00615EAF">
        <w:rPr>
          <w:rFonts w:ascii="Times New Roman" w:eastAsia="Times New Roman" w:hAnsi="Times New Roman" w:cs="Times New Roman"/>
          <w:i/>
          <w:iCs/>
          <w:color w:val="000000"/>
          <w:sz w:val="24"/>
          <w:szCs w:val="24"/>
          <w:lang w:eastAsia="en-AU"/>
        </w:rPr>
        <w:t>Act</w:t>
      </w:r>
      <w:r w:rsidR="00B90D01">
        <w:rPr>
          <w:rFonts w:ascii="Times New Roman" w:eastAsia="Times New Roman" w:hAnsi="Times New Roman" w:cs="Times New Roman"/>
          <w:i/>
          <w:iCs/>
          <w:color w:val="000000"/>
          <w:sz w:val="24"/>
          <w:szCs w:val="24"/>
          <w:lang w:eastAsia="en-AU"/>
        </w:rPr>
        <w:t> </w:t>
      </w:r>
      <w:r w:rsidRPr="00615EAF">
        <w:rPr>
          <w:rFonts w:ascii="Times New Roman" w:eastAsia="Times New Roman" w:hAnsi="Times New Roman" w:cs="Times New Roman"/>
          <w:i/>
          <w:iCs/>
          <w:color w:val="000000"/>
          <w:sz w:val="24"/>
          <w:szCs w:val="24"/>
          <w:lang w:eastAsia="en-AU"/>
        </w:rPr>
        <w:t>2003.</w:t>
      </w:r>
    </w:p>
    <w:p w14:paraId="12043E0C" w14:textId="77777777" w:rsidR="009F62C0" w:rsidRDefault="009F62C0" w:rsidP="00920D83">
      <w:pPr>
        <w:shd w:val="clear" w:color="auto" w:fill="FFFFFF"/>
        <w:spacing w:after="0" w:line="240" w:lineRule="auto"/>
        <w:rPr>
          <w:rFonts w:ascii="Times New Roman" w:eastAsia="Times New Roman" w:hAnsi="Times New Roman" w:cs="Times New Roman"/>
          <w:i/>
          <w:iCs/>
          <w:color w:val="000000"/>
          <w:sz w:val="24"/>
          <w:szCs w:val="24"/>
          <w:lang w:eastAsia="en-AU"/>
        </w:rPr>
      </w:pPr>
    </w:p>
    <w:p w14:paraId="47CD1725" w14:textId="77777777" w:rsidR="00084B5D" w:rsidRPr="00615EAF" w:rsidRDefault="00084B5D" w:rsidP="00920D83">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615EAF">
        <w:rPr>
          <w:rFonts w:ascii="Times New Roman" w:eastAsia="Times New Roman" w:hAnsi="Times New Roman" w:cs="Times New Roman"/>
          <w:color w:val="000000"/>
          <w:sz w:val="24"/>
          <w:szCs w:val="24"/>
          <w:lang w:eastAsia="en-AU"/>
        </w:rPr>
        <w:t>The details of the Amendment Rules are set out in </w:t>
      </w:r>
      <w:r w:rsidRPr="00615EAF">
        <w:rPr>
          <w:rFonts w:ascii="Times New Roman" w:eastAsia="Times New Roman" w:hAnsi="Times New Roman" w:cs="Times New Roman"/>
          <w:color w:val="000000"/>
          <w:sz w:val="24"/>
          <w:szCs w:val="24"/>
          <w:u w:val="single"/>
          <w:lang w:eastAsia="en-AU"/>
        </w:rPr>
        <w:t>Attachment A.</w:t>
      </w:r>
    </w:p>
    <w:p w14:paraId="21FDB68B" w14:textId="61F9CE30" w:rsidR="00084B5D" w:rsidRDefault="00084B5D" w:rsidP="00920D83">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4767FC07" w14:textId="1D14384E" w:rsidR="00C02427" w:rsidRPr="00C02427" w:rsidRDefault="00C02427" w:rsidP="00920D83">
      <w:pPr>
        <w:shd w:val="clear" w:color="auto" w:fill="FFFFFF"/>
        <w:spacing w:after="0" w:line="240" w:lineRule="auto"/>
        <w:rPr>
          <w:rFonts w:ascii="Times New Roman" w:eastAsia="Times New Roman" w:hAnsi="Times New Roman" w:cs="Times New Roman"/>
          <w:b/>
          <w:color w:val="000000"/>
          <w:sz w:val="24"/>
          <w:szCs w:val="24"/>
          <w:lang w:eastAsia="en-AU"/>
        </w:rPr>
      </w:pPr>
      <w:r w:rsidRPr="00C02427">
        <w:rPr>
          <w:rFonts w:ascii="Times New Roman" w:eastAsia="Times New Roman" w:hAnsi="Times New Roman" w:cs="Times New Roman"/>
          <w:b/>
          <w:color w:val="000000"/>
          <w:sz w:val="24"/>
          <w:szCs w:val="24"/>
          <w:lang w:eastAsia="en-AU"/>
        </w:rPr>
        <w:t>Commencement</w:t>
      </w:r>
    </w:p>
    <w:p w14:paraId="5064A107" w14:textId="77777777" w:rsidR="00C02427" w:rsidRDefault="00C02427" w:rsidP="00920D83">
      <w:pPr>
        <w:shd w:val="clear" w:color="auto" w:fill="FFFFFF"/>
        <w:spacing w:after="0" w:line="240" w:lineRule="auto"/>
        <w:rPr>
          <w:rFonts w:ascii="Times New Roman" w:eastAsia="Times New Roman" w:hAnsi="Times New Roman" w:cs="Times New Roman"/>
          <w:i/>
          <w:iCs/>
          <w:color w:val="000000"/>
          <w:sz w:val="24"/>
          <w:szCs w:val="24"/>
          <w:lang w:eastAsia="en-AU"/>
        </w:rPr>
      </w:pPr>
    </w:p>
    <w:p w14:paraId="3F825A2B" w14:textId="46F47157" w:rsidR="00C02427" w:rsidRPr="00615EAF" w:rsidRDefault="00C02427"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iCs/>
          <w:color w:val="000000"/>
          <w:sz w:val="24"/>
          <w:szCs w:val="24"/>
          <w:lang w:eastAsia="en-AU"/>
        </w:rPr>
        <w:t xml:space="preserve">The </w:t>
      </w:r>
      <w:r w:rsidRPr="00615EAF">
        <w:rPr>
          <w:rFonts w:ascii="Times New Roman" w:hAnsi="Times New Roman" w:cs="Times New Roman"/>
          <w:sz w:val="24"/>
          <w:szCs w:val="24"/>
        </w:rPr>
        <w:t>Amendment Rules</w:t>
      </w:r>
      <w:r w:rsidRPr="00615EAF">
        <w:rPr>
          <w:rFonts w:ascii="Times New Roman" w:eastAsia="Times New Roman" w:hAnsi="Times New Roman" w:cs="Times New Roman"/>
          <w:color w:val="000000"/>
          <w:sz w:val="24"/>
          <w:szCs w:val="24"/>
          <w:lang w:eastAsia="en-AU"/>
        </w:rPr>
        <w:t xml:space="preserve"> commence at the same time as</w:t>
      </w:r>
      <w:r>
        <w:rPr>
          <w:rFonts w:ascii="Times New Roman" w:eastAsia="Times New Roman" w:hAnsi="Times New Roman" w:cs="Times New Roman"/>
          <w:color w:val="000000"/>
          <w:sz w:val="24"/>
          <w:szCs w:val="24"/>
          <w:lang w:eastAsia="en-AU"/>
        </w:rPr>
        <w:t xml:space="preserve"> Schedule 2 to</w:t>
      </w:r>
      <w:r w:rsidRPr="00615EAF">
        <w:rPr>
          <w:rFonts w:ascii="Times New Roman" w:eastAsia="Times New Roman" w:hAnsi="Times New Roman" w:cs="Times New Roman"/>
          <w:color w:val="000000"/>
          <w:sz w:val="24"/>
          <w:szCs w:val="24"/>
          <w:lang w:eastAsia="en-AU"/>
        </w:rPr>
        <w:t xml:space="preserve"> the </w:t>
      </w:r>
      <w:r>
        <w:rPr>
          <w:rFonts w:ascii="Times New Roman" w:hAnsi="Times New Roman" w:cs="Times New Roman"/>
          <w:iCs/>
          <w:sz w:val="24"/>
          <w:szCs w:val="24"/>
        </w:rPr>
        <w:t>Amendment Act</w:t>
      </w:r>
      <w:r w:rsidRPr="00615EAF">
        <w:rPr>
          <w:rFonts w:ascii="Times New Roman" w:eastAsia="Times New Roman" w:hAnsi="Times New Roman" w:cs="Times New Roman"/>
          <w:color w:val="000000"/>
          <w:sz w:val="24"/>
          <w:szCs w:val="24"/>
          <w:lang w:eastAsia="en-AU"/>
        </w:rPr>
        <w:t>.</w:t>
      </w:r>
    </w:p>
    <w:p w14:paraId="2BC0D30A" w14:textId="77777777" w:rsidR="00C02427" w:rsidRDefault="00C02427" w:rsidP="00920D83">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082DE383" w14:textId="279BE06E" w:rsidR="00872B05" w:rsidRPr="00615EAF" w:rsidRDefault="00872B05" w:rsidP="00920D83">
      <w:pPr>
        <w:shd w:val="clear" w:color="auto" w:fill="FFFFFF"/>
        <w:spacing w:after="0" w:line="240" w:lineRule="auto"/>
        <w:rPr>
          <w:rFonts w:ascii="Times New Roman" w:eastAsia="Times New Roman" w:hAnsi="Times New Roman" w:cs="Times New Roman"/>
          <w:b/>
          <w:color w:val="000000"/>
          <w:sz w:val="24"/>
          <w:szCs w:val="24"/>
          <w:lang w:eastAsia="en-AU"/>
        </w:rPr>
      </w:pPr>
      <w:r w:rsidRPr="00615EAF">
        <w:rPr>
          <w:rFonts w:ascii="Times New Roman" w:eastAsia="Times New Roman" w:hAnsi="Times New Roman" w:cs="Times New Roman"/>
          <w:b/>
          <w:color w:val="000000"/>
          <w:sz w:val="24"/>
          <w:szCs w:val="24"/>
          <w:lang w:eastAsia="en-AU"/>
        </w:rPr>
        <w:t>Consultation</w:t>
      </w:r>
    </w:p>
    <w:p w14:paraId="637DDDE6" w14:textId="77777777" w:rsidR="00615EAF" w:rsidRDefault="00615EAF" w:rsidP="00920D83">
      <w:pPr>
        <w:shd w:val="clear" w:color="auto" w:fill="FFFFFF"/>
        <w:spacing w:after="0" w:line="240" w:lineRule="auto"/>
        <w:rPr>
          <w:rFonts w:ascii="Times New Roman" w:eastAsia="Times New Roman" w:hAnsi="Times New Roman" w:cs="Times New Roman"/>
          <w:color w:val="000000"/>
          <w:sz w:val="24"/>
          <w:szCs w:val="24"/>
          <w:lang w:eastAsia="en-AU"/>
        </w:rPr>
      </w:pPr>
    </w:p>
    <w:p w14:paraId="1E051045" w14:textId="7A8B338A" w:rsidR="00C30B0C" w:rsidRPr="00615EAF" w:rsidRDefault="004E5097"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615EAF">
        <w:rPr>
          <w:rFonts w:ascii="Times New Roman" w:eastAsia="Times New Roman" w:hAnsi="Times New Roman" w:cs="Times New Roman"/>
          <w:color w:val="000000"/>
          <w:sz w:val="24"/>
          <w:szCs w:val="24"/>
          <w:lang w:eastAsia="en-AU"/>
        </w:rPr>
        <w:t xml:space="preserve">Extensive consultation was conducted in formulating the </w:t>
      </w:r>
      <w:r w:rsidR="00C02427">
        <w:rPr>
          <w:rFonts w:ascii="Times New Roman" w:eastAsia="Times New Roman" w:hAnsi="Times New Roman" w:cs="Times New Roman"/>
          <w:color w:val="000000"/>
          <w:sz w:val="24"/>
          <w:szCs w:val="24"/>
          <w:lang w:eastAsia="en-AU"/>
        </w:rPr>
        <w:t xml:space="preserve">Amendment </w:t>
      </w:r>
      <w:r w:rsidRPr="00615EAF">
        <w:rPr>
          <w:rFonts w:ascii="Times New Roman" w:eastAsia="Times New Roman" w:hAnsi="Times New Roman" w:cs="Times New Roman"/>
          <w:color w:val="000000"/>
          <w:sz w:val="24"/>
          <w:szCs w:val="24"/>
          <w:lang w:eastAsia="en-AU"/>
        </w:rPr>
        <w:t xml:space="preserve">Act within Defence, </w:t>
      </w:r>
      <w:r w:rsidR="00084B5D">
        <w:rPr>
          <w:rFonts w:ascii="Times New Roman" w:eastAsia="Times New Roman" w:hAnsi="Times New Roman" w:cs="Times New Roman"/>
          <w:color w:val="000000"/>
          <w:sz w:val="24"/>
          <w:szCs w:val="24"/>
          <w:lang w:eastAsia="en-AU"/>
        </w:rPr>
        <w:t>the Attorney-General’s Department</w:t>
      </w:r>
      <w:r w:rsidR="00E720BE" w:rsidRPr="00615EAF">
        <w:rPr>
          <w:rFonts w:ascii="Times New Roman" w:eastAsia="Times New Roman" w:hAnsi="Times New Roman" w:cs="Times New Roman"/>
          <w:color w:val="000000"/>
          <w:sz w:val="24"/>
          <w:szCs w:val="24"/>
          <w:lang w:eastAsia="en-AU"/>
        </w:rPr>
        <w:t xml:space="preserve">, Australian Government Solicitor, ex-Service Organisations, academia and interest groups. </w:t>
      </w:r>
      <w:r w:rsidR="00C02427">
        <w:rPr>
          <w:rFonts w:ascii="Times New Roman" w:eastAsia="Times New Roman" w:hAnsi="Times New Roman" w:cs="Times New Roman"/>
          <w:color w:val="000000"/>
          <w:sz w:val="24"/>
          <w:szCs w:val="24"/>
          <w:lang w:eastAsia="en-AU"/>
        </w:rPr>
        <w:t xml:space="preserve">As the Amendment Rules are consequential on the changes made by the Amendment Act, </w:t>
      </w:r>
      <w:r w:rsidR="00C02427" w:rsidRPr="00084B5D">
        <w:rPr>
          <w:rFonts w:ascii="Times New Roman" w:eastAsia="Times New Roman" w:hAnsi="Times New Roman" w:cs="Times New Roman"/>
          <w:color w:val="000000"/>
          <w:sz w:val="24"/>
          <w:szCs w:val="24"/>
          <w:lang w:eastAsia="en-AU"/>
        </w:rPr>
        <w:t xml:space="preserve">the </w:t>
      </w:r>
      <w:r w:rsidR="00C02427">
        <w:rPr>
          <w:rFonts w:ascii="Times New Roman" w:eastAsia="Times New Roman" w:hAnsi="Times New Roman" w:cs="Times New Roman"/>
          <w:color w:val="000000"/>
          <w:sz w:val="24"/>
          <w:szCs w:val="24"/>
          <w:lang w:eastAsia="en-AU"/>
        </w:rPr>
        <w:t>Judge Advocate General</w:t>
      </w:r>
      <w:r w:rsidR="00C02427" w:rsidRPr="00084B5D">
        <w:rPr>
          <w:rFonts w:ascii="Times New Roman" w:eastAsia="Times New Roman" w:hAnsi="Times New Roman" w:cs="Times New Roman"/>
          <w:color w:val="000000"/>
          <w:sz w:val="24"/>
          <w:szCs w:val="24"/>
          <w:lang w:eastAsia="en-AU"/>
        </w:rPr>
        <w:t xml:space="preserve"> </w:t>
      </w:r>
      <w:r w:rsidR="00C02427">
        <w:rPr>
          <w:rFonts w:ascii="Times New Roman" w:eastAsia="Times New Roman" w:hAnsi="Times New Roman" w:cs="Times New Roman"/>
          <w:color w:val="000000"/>
          <w:sz w:val="24"/>
          <w:szCs w:val="24"/>
          <w:lang w:eastAsia="en-AU"/>
        </w:rPr>
        <w:t>i</w:t>
      </w:r>
      <w:r w:rsidR="00C02427" w:rsidRPr="00084B5D">
        <w:rPr>
          <w:rFonts w:ascii="Times New Roman" w:eastAsia="Times New Roman" w:hAnsi="Times New Roman" w:cs="Times New Roman"/>
          <w:color w:val="000000"/>
          <w:sz w:val="24"/>
          <w:szCs w:val="24"/>
          <w:lang w:eastAsia="en-AU"/>
        </w:rPr>
        <w:t xml:space="preserve">s satisfied that </w:t>
      </w:r>
      <w:r w:rsidR="00C02427" w:rsidRPr="00084B5D">
        <w:rPr>
          <w:rFonts w:ascii="Times New Roman" w:eastAsia="Times New Roman" w:hAnsi="Times New Roman" w:cs="Times New Roman"/>
          <w:color w:val="000000"/>
          <w:sz w:val="24"/>
          <w:szCs w:val="24"/>
          <w:lang w:eastAsia="en-AU"/>
        </w:rPr>
        <w:lastRenderedPageBreak/>
        <w:t xml:space="preserve">consultation was undertaken to the extent appropriate and reasonably practicable, in accordance with section 17 of the </w:t>
      </w:r>
      <w:r w:rsidR="00C02427" w:rsidRPr="00084B5D">
        <w:rPr>
          <w:rFonts w:ascii="Times New Roman" w:eastAsia="Times New Roman" w:hAnsi="Times New Roman" w:cs="Times New Roman"/>
          <w:i/>
          <w:color w:val="000000"/>
          <w:sz w:val="24"/>
          <w:szCs w:val="24"/>
          <w:lang w:eastAsia="en-AU"/>
        </w:rPr>
        <w:t>Legislation Act 2003</w:t>
      </w:r>
      <w:r w:rsidR="00C02427" w:rsidRPr="00084B5D">
        <w:rPr>
          <w:rFonts w:ascii="Times New Roman" w:eastAsia="Times New Roman" w:hAnsi="Times New Roman" w:cs="Times New Roman"/>
          <w:color w:val="000000"/>
          <w:sz w:val="24"/>
          <w:szCs w:val="24"/>
          <w:lang w:eastAsia="en-AU"/>
        </w:rPr>
        <w:t>.</w:t>
      </w:r>
    </w:p>
    <w:p w14:paraId="434DD958" w14:textId="77777777" w:rsidR="00C30B0C" w:rsidRDefault="00C30B0C" w:rsidP="00920D83">
      <w:pPr>
        <w:shd w:val="clear" w:color="auto" w:fill="FFFFFF"/>
        <w:spacing w:after="0" w:line="240" w:lineRule="auto"/>
        <w:rPr>
          <w:rFonts w:ascii="Times New Roman" w:eastAsia="Times New Roman" w:hAnsi="Times New Roman" w:cs="Times New Roman"/>
          <w:color w:val="000000"/>
          <w:sz w:val="24"/>
          <w:szCs w:val="24"/>
          <w:lang w:eastAsia="en-AU"/>
        </w:rPr>
      </w:pPr>
    </w:p>
    <w:p w14:paraId="1C97DA3D" w14:textId="77777777" w:rsidR="009D6BD6" w:rsidRDefault="009D6BD6" w:rsidP="00920D83">
      <w:pPr>
        <w:shd w:val="clear" w:color="auto" w:fill="FFFFFF"/>
        <w:spacing w:after="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Regulatory Impact Statement</w:t>
      </w:r>
    </w:p>
    <w:p w14:paraId="089C24C3" w14:textId="77777777" w:rsidR="009D6BD6" w:rsidRPr="00C02427" w:rsidRDefault="009D6BD6" w:rsidP="00920D83">
      <w:pPr>
        <w:shd w:val="clear" w:color="auto" w:fill="FFFFFF"/>
        <w:spacing w:after="0" w:line="240" w:lineRule="auto"/>
        <w:rPr>
          <w:rFonts w:ascii="Times New Roman" w:eastAsia="Times New Roman" w:hAnsi="Times New Roman" w:cs="Times New Roman"/>
          <w:b/>
          <w:color w:val="000000"/>
          <w:sz w:val="24"/>
          <w:szCs w:val="24"/>
          <w:lang w:eastAsia="en-AU"/>
        </w:rPr>
      </w:pPr>
    </w:p>
    <w:p w14:paraId="693B1512" w14:textId="6DBFE5C9" w:rsidR="00872B05" w:rsidRPr="005E44A7" w:rsidRDefault="00872B05"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5E44A7">
        <w:rPr>
          <w:rFonts w:ascii="Times New Roman" w:eastAsia="Times New Roman" w:hAnsi="Times New Roman" w:cs="Times New Roman"/>
          <w:color w:val="000000"/>
          <w:sz w:val="24"/>
          <w:szCs w:val="24"/>
          <w:lang w:eastAsia="en-AU"/>
        </w:rPr>
        <w:t>The Office of Best Practice Regulation was consulted and advised that no Regulation Impact Statement is required (ID</w:t>
      </w:r>
      <w:r w:rsidR="002E5D3D" w:rsidRPr="005E44A7">
        <w:rPr>
          <w:rFonts w:ascii="Times New Roman" w:eastAsia="Times New Roman" w:hAnsi="Times New Roman" w:cs="Times New Roman"/>
          <w:color w:val="000000"/>
          <w:sz w:val="24"/>
          <w:szCs w:val="24"/>
          <w:lang w:eastAsia="en-AU"/>
        </w:rPr>
        <w:t>:</w:t>
      </w:r>
      <w:r w:rsidRPr="005E44A7">
        <w:rPr>
          <w:rFonts w:ascii="Times New Roman" w:eastAsia="Times New Roman" w:hAnsi="Times New Roman" w:cs="Times New Roman"/>
          <w:color w:val="000000"/>
          <w:sz w:val="24"/>
          <w:szCs w:val="24"/>
          <w:lang w:eastAsia="en-AU"/>
        </w:rPr>
        <w:t xml:space="preserve"> </w:t>
      </w:r>
      <w:r w:rsidR="00861A80" w:rsidRPr="005E44A7">
        <w:rPr>
          <w:rStyle w:val="Strong"/>
          <w:rFonts w:ascii="Times New Roman" w:eastAsia="Times New Roman" w:hAnsi="Times New Roman" w:cs="Times New Roman"/>
          <w:sz w:val="24"/>
          <w:szCs w:val="24"/>
        </w:rPr>
        <w:t>OBPR22-02340</w:t>
      </w:r>
      <w:r w:rsidRPr="005E44A7">
        <w:rPr>
          <w:rFonts w:ascii="Times New Roman" w:eastAsia="Times New Roman" w:hAnsi="Times New Roman" w:cs="Times New Roman"/>
          <w:color w:val="000000"/>
          <w:sz w:val="24"/>
          <w:szCs w:val="24"/>
          <w:lang w:eastAsia="en-AU"/>
        </w:rPr>
        <w:t>).</w:t>
      </w:r>
      <w:r w:rsidRPr="005E44A7" w:rsidDel="00872B05">
        <w:rPr>
          <w:rFonts w:ascii="Times New Roman" w:eastAsia="Times New Roman" w:hAnsi="Times New Roman" w:cs="Times New Roman"/>
          <w:color w:val="000000"/>
          <w:sz w:val="24"/>
          <w:szCs w:val="24"/>
          <w:lang w:eastAsia="en-AU"/>
        </w:rPr>
        <w:t xml:space="preserve"> </w:t>
      </w:r>
    </w:p>
    <w:p w14:paraId="1AA43147" w14:textId="41D783F1" w:rsidR="00435C45" w:rsidRDefault="00435C45" w:rsidP="00920D83">
      <w:pPr>
        <w:shd w:val="clear" w:color="auto" w:fill="FFFFFF"/>
        <w:spacing w:after="0" w:line="240" w:lineRule="auto"/>
        <w:rPr>
          <w:rFonts w:ascii="Times New Roman" w:eastAsia="Times New Roman" w:hAnsi="Times New Roman" w:cs="Times New Roman"/>
          <w:color w:val="000000"/>
          <w:sz w:val="24"/>
          <w:szCs w:val="24"/>
          <w:lang w:eastAsia="en-AU"/>
        </w:rPr>
      </w:pPr>
    </w:p>
    <w:p w14:paraId="03ED7FB5" w14:textId="0DEDDE9D" w:rsidR="00C02427" w:rsidRPr="00C02427" w:rsidRDefault="00C02427" w:rsidP="00920D83">
      <w:pPr>
        <w:shd w:val="clear" w:color="auto" w:fill="FFFFFF"/>
        <w:spacing w:after="0" w:line="240" w:lineRule="auto"/>
        <w:rPr>
          <w:rFonts w:ascii="Times New Roman" w:eastAsia="Times New Roman" w:hAnsi="Times New Roman" w:cs="Times New Roman"/>
          <w:b/>
          <w:color w:val="000000"/>
          <w:sz w:val="24"/>
          <w:szCs w:val="24"/>
          <w:lang w:eastAsia="en-AU"/>
        </w:rPr>
      </w:pPr>
      <w:r w:rsidRPr="00C02427">
        <w:rPr>
          <w:rFonts w:ascii="Times New Roman" w:eastAsia="Times New Roman" w:hAnsi="Times New Roman" w:cs="Times New Roman"/>
          <w:b/>
          <w:color w:val="000000"/>
          <w:sz w:val="24"/>
          <w:szCs w:val="24"/>
          <w:lang w:eastAsia="en-AU"/>
        </w:rPr>
        <w:t>Human Rights Statement</w:t>
      </w:r>
    </w:p>
    <w:p w14:paraId="72EE60E5" w14:textId="77777777" w:rsidR="00C02427" w:rsidRPr="00615EAF" w:rsidRDefault="00C02427" w:rsidP="00920D83">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3E082B40" w14:textId="77777777" w:rsidR="00C02427" w:rsidRPr="00615EAF" w:rsidRDefault="00C02427" w:rsidP="00920D83">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615EAF">
        <w:rPr>
          <w:rFonts w:ascii="Times New Roman" w:eastAsia="Times New Roman" w:hAnsi="Times New Roman" w:cs="Times New Roman"/>
          <w:color w:val="000000"/>
          <w:sz w:val="24"/>
          <w:szCs w:val="24"/>
          <w:lang w:eastAsia="en-AU"/>
        </w:rPr>
        <w:t xml:space="preserve">A Statement of Compatibility with Human Rights is at </w:t>
      </w:r>
      <w:r w:rsidRPr="00615EAF">
        <w:rPr>
          <w:rFonts w:ascii="Times New Roman" w:eastAsia="Times New Roman" w:hAnsi="Times New Roman" w:cs="Times New Roman"/>
          <w:color w:val="000000"/>
          <w:sz w:val="24"/>
          <w:szCs w:val="24"/>
          <w:u w:val="single"/>
          <w:lang w:eastAsia="en-AU"/>
        </w:rPr>
        <w:t>Attachment B.</w:t>
      </w:r>
    </w:p>
    <w:p w14:paraId="178ADB04" w14:textId="77777777" w:rsidR="00C02427" w:rsidRPr="00615EAF" w:rsidRDefault="00C02427" w:rsidP="00920D83">
      <w:pPr>
        <w:shd w:val="clear" w:color="auto" w:fill="FFFFFF"/>
        <w:spacing w:after="0" w:line="240" w:lineRule="auto"/>
        <w:rPr>
          <w:rFonts w:ascii="Times New Roman" w:eastAsia="Times New Roman" w:hAnsi="Times New Roman" w:cs="Times New Roman"/>
          <w:i/>
          <w:iCs/>
          <w:color w:val="000000"/>
          <w:sz w:val="24"/>
          <w:szCs w:val="24"/>
          <w:lang w:eastAsia="en-AU"/>
        </w:rPr>
      </w:pPr>
    </w:p>
    <w:p w14:paraId="28032D30" w14:textId="77777777" w:rsidR="0051427B" w:rsidRPr="00615EAF" w:rsidRDefault="0051427B" w:rsidP="00920D83">
      <w:pPr>
        <w:shd w:val="clear" w:color="auto" w:fill="FFFFFF"/>
        <w:spacing w:after="0" w:line="240" w:lineRule="auto"/>
        <w:rPr>
          <w:rFonts w:ascii="Times New Roman" w:eastAsia="Times New Roman" w:hAnsi="Times New Roman" w:cs="Times New Roman"/>
          <w:color w:val="000000"/>
          <w:sz w:val="24"/>
          <w:szCs w:val="24"/>
          <w:lang w:eastAsia="en-AU"/>
        </w:rPr>
      </w:pPr>
    </w:p>
    <w:p w14:paraId="1CE94D5A" w14:textId="77777777" w:rsidR="002613A8" w:rsidRPr="00615EAF" w:rsidRDefault="002613A8" w:rsidP="00920D83">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3D49310A" w14:textId="77777777" w:rsidR="00380FB1" w:rsidRPr="00615EAF" w:rsidRDefault="00380FB1" w:rsidP="001B2734">
      <w:pPr>
        <w:spacing w:after="0" w:line="240" w:lineRule="auto"/>
        <w:rPr>
          <w:rFonts w:ascii="Times New Roman" w:eastAsia="Times New Roman" w:hAnsi="Times New Roman" w:cs="Times New Roman"/>
          <w:bCs/>
          <w:color w:val="000000"/>
          <w:sz w:val="24"/>
          <w:szCs w:val="24"/>
          <w:lang w:eastAsia="en-AU"/>
        </w:rPr>
      </w:pPr>
      <w:r w:rsidRPr="00615EAF">
        <w:rPr>
          <w:rFonts w:ascii="Times New Roman" w:eastAsia="Times New Roman" w:hAnsi="Times New Roman" w:cs="Times New Roman"/>
          <w:bCs/>
          <w:color w:val="000000"/>
          <w:sz w:val="24"/>
          <w:szCs w:val="24"/>
          <w:lang w:eastAsia="en-AU"/>
        </w:rPr>
        <w:br w:type="page"/>
      </w:r>
    </w:p>
    <w:p w14:paraId="3BEB2114" w14:textId="77777777" w:rsidR="00435C45" w:rsidRPr="00C30B0C" w:rsidRDefault="00C13208" w:rsidP="00920D83">
      <w:pPr>
        <w:shd w:val="clear" w:color="auto" w:fill="FFFFFF"/>
        <w:tabs>
          <w:tab w:val="left" w:pos="6804"/>
        </w:tabs>
        <w:spacing w:after="0" w:line="240" w:lineRule="auto"/>
        <w:rPr>
          <w:rFonts w:ascii="Times New Roman" w:eastAsia="Times New Roman" w:hAnsi="Times New Roman" w:cs="Times New Roman"/>
          <w:b/>
          <w:color w:val="000000"/>
          <w:sz w:val="24"/>
          <w:szCs w:val="24"/>
          <w:lang w:eastAsia="en-AU"/>
        </w:rPr>
      </w:pPr>
      <w:r w:rsidRPr="00C30B0C">
        <w:rPr>
          <w:rFonts w:ascii="Times New Roman" w:eastAsia="Times New Roman" w:hAnsi="Times New Roman" w:cs="Times New Roman"/>
          <w:color w:val="000000"/>
          <w:sz w:val="24"/>
          <w:szCs w:val="24"/>
          <w:lang w:eastAsia="en-AU"/>
        </w:rPr>
        <w:lastRenderedPageBreak/>
        <w:tab/>
      </w:r>
      <w:r w:rsidRPr="00C30B0C">
        <w:rPr>
          <w:rFonts w:ascii="Times New Roman" w:eastAsia="Times New Roman" w:hAnsi="Times New Roman" w:cs="Times New Roman"/>
          <w:b/>
          <w:color w:val="000000"/>
          <w:sz w:val="24"/>
          <w:szCs w:val="24"/>
          <w:lang w:eastAsia="en-AU"/>
        </w:rPr>
        <w:t>A</w:t>
      </w:r>
      <w:r w:rsidR="00737B9A">
        <w:rPr>
          <w:rFonts w:ascii="Times New Roman" w:eastAsia="Times New Roman" w:hAnsi="Times New Roman" w:cs="Times New Roman"/>
          <w:b/>
          <w:color w:val="000000"/>
          <w:sz w:val="24"/>
          <w:szCs w:val="24"/>
          <w:lang w:eastAsia="en-AU"/>
        </w:rPr>
        <w:t>TTACHMENT</w:t>
      </w:r>
      <w:r w:rsidRPr="00C30B0C">
        <w:rPr>
          <w:rFonts w:ascii="Times New Roman" w:eastAsia="Times New Roman" w:hAnsi="Times New Roman" w:cs="Times New Roman"/>
          <w:b/>
          <w:color w:val="000000"/>
          <w:sz w:val="24"/>
          <w:szCs w:val="24"/>
          <w:lang w:eastAsia="en-AU"/>
        </w:rPr>
        <w:t xml:space="preserve"> </w:t>
      </w:r>
      <w:r w:rsidR="00737B9A">
        <w:rPr>
          <w:rFonts w:ascii="Times New Roman" w:eastAsia="Times New Roman" w:hAnsi="Times New Roman" w:cs="Times New Roman"/>
          <w:b/>
          <w:color w:val="000000"/>
          <w:sz w:val="24"/>
          <w:szCs w:val="24"/>
          <w:lang w:eastAsia="en-AU"/>
        </w:rPr>
        <w:t>A</w:t>
      </w:r>
      <w:r w:rsidR="00435C45" w:rsidRPr="00C30B0C">
        <w:rPr>
          <w:rFonts w:ascii="Times New Roman" w:eastAsia="Times New Roman" w:hAnsi="Times New Roman" w:cs="Times New Roman"/>
          <w:b/>
          <w:color w:val="000000"/>
          <w:sz w:val="24"/>
          <w:szCs w:val="24"/>
          <w:lang w:eastAsia="en-AU"/>
        </w:rPr>
        <w:br w:type="textWrapping" w:clear="all"/>
      </w:r>
      <w:bookmarkStart w:id="0" w:name="_GoBack"/>
      <w:bookmarkEnd w:id="0"/>
    </w:p>
    <w:p w14:paraId="4660CAF1" w14:textId="77777777" w:rsidR="00DA7272" w:rsidRPr="00061DB1" w:rsidRDefault="00DA7272" w:rsidP="00920D83">
      <w:pPr>
        <w:pStyle w:val="Default"/>
        <w:rPr>
          <w:b/>
          <w:bCs/>
        </w:rPr>
      </w:pPr>
      <w:r w:rsidRPr="00061DB1">
        <w:rPr>
          <w:b/>
          <w:bCs/>
        </w:rPr>
        <w:t xml:space="preserve">Section 1 – </w:t>
      </w:r>
      <w:r w:rsidR="006D0C23" w:rsidRPr="00061DB1">
        <w:rPr>
          <w:b/>
          <w:bCs/>
        </w:rPr>
        <w:t xml:space="preserve">Name </w:t>
      </w:r>
    </w:p>
    <w:p w14:paraId="0A564EC1" w14:textId="77777777" w:rsidR="00DA7272" w:rsidRDefault="00DA7272" w:rsidP="00920D83">
      <w:pPr>
        <w:pStyle w:val="Default"/>
        <w:rPr>
          <w:b/>
          <w:bCs/>
        </w:rPr>
      </w:pPr>
    </w:p>
    <w:p w14:paraId="2C17F55E" w14:textId="77777777" w:rsidR="006D0C23" w:rsidRPr="00C30B0C" w:rsidRDefault="006D0C23" w:rsidP="00920D83">
      <w:pPr>
        <w:pStyle w:val="Default"/>
        <w:numPr>
          <w:ilvl w:val="0"/>
          <w:numId w:val="3"/>
        </w:numPr>
        <w:ind w:left="426" w:hanging="426"/>
      </w:pPr>
      <w:r w:rsidRPr="00C30B0C">
        <w:t>This</w:t>
      </w:r>
      <w:r w:rsidR="00801BEB">
        <w:t xml:space="preserve"> section states that the</w:t>
      </w:r>
      <w:r w:rsidRPr="00C30B0C">
        <w:t xml:space="preserve"> </w:t>
      </w:r>
      <w:r w:rsidR="00742BA3">
        <w:t xml:space="preserve">name of this </w:t>
      </w:r>
      <w:r w:rsidRPr="00C30B0C">
        <w:t xml:space="preserve">instrument is the </w:t>
      </w:r>
      <w:r w:rsidR="00701DDA">
        <w:rPr>
          <w:i/>
          <w:iCs/>
        </w:rPr>
        <w:t>Summary Authority</w:t>
      </w:r>
      <w:r w:rsidRPr="00C30B0C">
        <w:rPr>
          <w:i/>
          <w:iCs/>
        </w:rPr>
        <w:t xml:space="preserve"> Amendment Rules 2022</w:t>
      </w:r>
      <w:r w:rsidR="00A109C4">
        <w:rPr>
          <w:iCs/>
        </w:rPr>
        <w:t xml:space="preserve"> (the Amendment Rules)</w:t>
      </w:r>
      <w:r w:rsidRPr="00C30B0C">
        <w:t xml:space="preserve">. </w:t>
      </w:r>
    </w:p>
    <w:p w14:paraId="2E2CD3EB" w14:textId="77777777" w:rsidR="006D0C23" w:rsidRPr="00C30B0C" w:rsidRDefault="006D0C23" w:rsidP="00920D83">
      <w:pPr>
        <w:pStyle w:val="Default"/>
        <w:rPr>
          <w:b/>
          <w:bCs/>
        </w:rPr>
      </w:pPr>
    </w:p>
    <w:p w14:paraId="08CA9DC4" w14:textId="77777777" w:rsidR="00DA7272" w:rsidRPr="00061DB1" w:rsidRDefault="00DA7272" w:rsidP="00920D83">
      <w:pPr>
        <w:pStyle w:val="Default"/>
        <w:rPr>
          <w:b/>
          <w:bCs/>
        </w:rPr>
      </w:pPr>
      <w:r w:rsidRPr="00061DB1">
        <w:rPr>
          <w:b/>
          <w:bCs/>
        </w:rPr>
        <w:t xml:space="preserve">Section 2 – </w:t>
      </w:r>
      <w:r w:rsidR="006D0C23" w:rsidRPr="00061DB1">
        <w:rPr>
          <w:b/>
          <w:bCs/>
        </w:rPr>
        <w:t xml:space="preserve">Commencement </w:t>
      </w:r>
    </w:p>
    <w:p w14:paraId="60130EF0" w14:textId="77777777" w:rsidR="00DA7272" w:rsidRPr="00383F14" w:rsidRDefault="00DA7272" w:rsidP="00920D83">
      <w:pPr>
        <w:pStyle w:val="Default"/>
        <w:rPr>
          <w:b/>
          <w:bCs/>
        </w:rPr>
      </w:pPr>
    </w:p>
    <w:p w14:paraId="563109DE" w14:textId="77777777" w:rsidR="006D0C23" w:rsidRPr="003756BE" w:rsidRDefault="006C6C3C" w:rsidP="00920D83">
      <w:pPr>
        <w:pStyle w:val="Default"/>
        <w:numPr>
          <w:ilvl w:val="0"/>
          <w:numId w:val="3"/>
        </w:numPr>
        <w:ind w:left="426" w:hanging="426"/>
      </w:pPr>
      <w:r w:rsidRPr="00383F14">
        <w:t>This section states that t</w:t>
      </w:r>
      <w:r w:rsidR="006D0C23" w:rsidRPr="00383F14">
        <w:t>he whole of th</w:t>
      </w:r>
      <w:r w:rsidRPr="004917B8">
        <w:t>e</w:t>
      </w:r>
      <w:r w:rsidR="006D0C23" w:rsidRPr="004917B8">
        <w:t xml:space="preserve"> instrument commence</w:t>
      </w:r>
      <w:r w:rsidRPr="00372830">
        <w:t>s</w:t>
      </w:r>
      <w:r w:rsidR="006D0C23" w:rsidRPr="00E55A80">
        <w:t xml:space="preserve"> at the same time as </w:t>
      </w:r>
      <w:r w:rsidR="00A109C4">
        <w:t xml:space="preserve">Schedule 2 to </w:t>
      </w:r>
      <w:r w:rsidR="006D0C23" w:rsidRPr="00E55A80">
        <w:t xml:space="preserve">the </w:t>
      </w:r>
      <w:r w:rsidR="006D0C23" w:rsidRPr="003756BE">
        <w:rPr>
          <w:i/>
          <w:iCs/>
        </w:rPr>
        <w:t xml:space="preserve">Defence Legislation Amendment (Discipline Reform) Act 2021 </w:t>
      </w:r>
      <w:r w:rsidR="00A109C4">
        <w:rPr>
          <w:iCs/>
        </w:rPr>
        <w:t>(the Amendment Act)</w:t>
      </w:r>
      <w:r w:rsidR="00A109C4" w:rsidRPr="003756BE">
        <w:t xml:space="preserve"> </w:t>
      </w:r>
      <w:r w:rsidR="006D0C23" w:rsidRPr="003756BE">
        <w:t>commence</w:t>
      </w:r>
      <w:r w:rsidR="00A109C4">
        <w:t>s</w:t>
      </w:r>
      <w:r w:rsidR="006D0C23" w:rsidRPr="003756BE">
        <w:t>.</w:t>
      </w:r>
    </w:p>
    <w:p w14:paraId="32546D14" w14:textId="77777777" w:rsidR="006D0C23" w:rsidRPr="003756BE" w:rsidRDefault="006D0C23" w:rsidP="00920D83">
      <w:pPr>
        <w:pStyle w:val="Default"/>
      </w:pPr>
    </w:p>
    <w:p w14:paraId="6BE97387" w14:textId="77777777" w:rsidR="00DA7272" w:rsidRPr="00061DB1" w:rsidRDefault="00DA7272" w:rsidP="00920D83">
      <w:pPr>
        <w:pStyle w:val="Default"/>
        <w:rPr>
          <w:b/>
          <w:bCs/>
        </w:rPr>
      </w:pPr>
      <w:r w:rsidRPr="00061DB1">
        <w:rPr>
          <w:b/>
          <w:bCs/>
        </w:rPr>
        <w:t xml:space="preserve">Section 3 – </w:t>
      </w:r>
      <w:r w:rsidR="006D0C23" w:rsidRPr="00061DB1">
        <w:rPr>
          <w:b/>
          <w:bCs/>
        </w:rPr>
        <w:t xml:space="preserve">Authority </w:t>
      </w:r>
    </w:p>
    <w:p w14:paraId="7601E505" w14:textId="77777777" w:rsidR="00DA7272" w:rsidRPr="00383F14" w:rsidRDefault="00DA7272" w:rsidP="00920D83">
      <w:pPr>
        <w:pStyle w:val="Default"/>
        <w:rPr>
          <w:b/>
          <w:bCs/>
        </w:rPr>
      </w:pPr>
    </w:p>
    <w:p w14:paraId="41BBEF12" w14:textId="2B2B09D3" w:rsidR="006D0C23" w:rsidRPr="003756BE" w:rsidRDefault="007041B5" w:rsidP="00920D83">
      <w:pPr>
        <w:pStyle w:val="Default"/>
        <w:numPr>
          <w:ilvl w:val="0"/>
          <w:numId w:val="3"/>
        </w:numPr>
        <w:ind w:left="426" w:hanging="426"/>
      </w:pPr>
      <w:r w:rsidRPr="00383F14">
        <w:t>This</w:t>
      </w:r>
      <w:r w:rsidR="001228AC" w:rsidRPr="00383F14">
        <w:t xml:space="preserve"> section state</w:t>
      </w:r>
      <w:r w:rsidR="00080D93" w:rsidRPr="00383F14">
        <w:t>s</w:t>
      </w:r>
      <w:r w:rsidR="001228AC" w:rsidRPr="004917B8">
        <w:t xml:space="preserve"> that the</w:t>
      </w:r>
      <w:r w:rsidRPr="004917B8">
        <w:t xml:space="preserve"> instrument is made under section 149 of the </w:t>
      </w:r>
      <w:r w:rsidRPr="00372830">
        <w:rPr>
          <w:i/>
        </w:rPr>
        <w:t xml:space="preserve">Defence Force </w:t>
      </w:r>
      <w:r w:rsidRPr="003756BE">
        <w:rPr>
          <w:i/>
        </w:rPr>
        <w:t>Discipline Act 1982</w:t>
      </w:r>
      <w:r w:rsidR="00037F1A">
        <w:t xml:space="preserve"> (the Act)</w:t>
      </w:r>
      <w:r w:rsidRPr="003756BE">
        <w:t>.</w:t>
      </w:r>
    </w:p>
    <w:p w14:paraId="61CF61ED" w14:textId="77777777" w:rsidR="006D0C23" w:rsidRPr="003756BE" w:rsidRDefault="006D0C23" w:rsidP="00920D83">
      <w:pPr>
        <w:pStyle w:val="Default"/>
      </w:pPr>
    </w:p>
    <w:p w14:paraId="6BEC9983" w14:textId="77777777" w:rsidR="00080D93" w:rsidRPr="00061DB1" w:rsidRDefault="00DA7272" w:rsidP="00920D83">
      <w:pPr>
        <w:pStyle w:val="Default"/>
        <w:tabs>
          <w:tab w:val="left" w:pos="851"/>
        </w:tabs>
        <w:rPr>
          <w:b/>
        </w:rPr>
      </w:pPr>
      <w:r w:rsidRPr="00061DB1">
        <w:rPr>
          <w:b/>
        </w:rPr>
        <w:t xml:space="preserve">Section </w:t>
      </w:r>
      <w:r w:rsidR="006D0C23" w:rsidRPr="00061DB1">
        <w:rPr>
          <w:b/>
        </w:rPr>
        <w:t>4</w:t>
      </w:r>
      <w:r w:rsidRPr="00061DB1">
        <w:rPr>
          <w:b/>
        </w:rPr>
        <w:t xml:space="preserve"> – Schedules</w:t>
      </w:r>
      <w:r w:rsidR="006D0C23" w:rsidRPr="00061DB1">
        <w:rPr>
          <w:b/>
        </w:rPr>
        <w:t xml:space="preserve"> </w:t>
      </w:r>
    </w:p>
    <w:p w14:paraId="6ECA1D50" w14:textId="77777777" w:rsidR="00DA7272" w:rsidRPr="004E5097" w:rsidRDefault="00DA7272" w:rsidP="00920D83">
      <w:pPr>
        <w:pStyle w:val="Default"/>
        <w:tabs>
          <w:tab w:val="left" w:pos="851"/>
        </w:tabs>
        <w:rPr>
          <w:u w:val="single"/>
        </w:rPr>
      </w:pPr>
    </w:p>
    <w:p w14:paraId="5AD38776" w14:textId="6B198108" w:rsidR="00DA7272" w:rsidRPr="00C30B0C" w:rsidRDefault="001228AC" w:rsidP="00920D83">
      <w:pPr>
        <w:pStyle w:val="Default"/>
        <w:numPr>
          <w:ilvl w:val="0"/>
          <w:numId w:val="3"/>
        </w:numPr>
        <w:ind w:left="426" w:hanging="426"/>
      </w:pPr>
      <w:r>
        <w:rPr>
          <w:shd w:val="clear" w:color="auto" w:fill="FFFFFF"/>
        </w:rPr>
        <w:t xml:space="preserve">This section provides that each instrument that is specified in a Schedule to the Amendment </w:t>
      </w:r>
      <w:r w:rsidR="00A109C4">
        <w:rPr>
          <w:shd w:val="clear" w:color="auto" w:fill="FFFFFF"/>
        </w:rPr>
        <w:t xml:space="preserve">Rules </w:t>
      </w:r>
      <w:r>
        <w:rPr>
          <w:shd w:val="clear" w:color="auto" w:fill="FFFFFF"/>
        </w:rPr>
        <w:t>is amended or repealed as set out in the applicable items in the Schedule concerned, and any other item in a Schedule to th</w:t>
      </w:r>
      <w:r w:rsidR="00A109C4">
        <w:rPr>
          <w:shd w:val="clear" w:color="auto" w:fill="FFFFFF"/>
        </w:rPr>
        <w:t>e</w:t>
      </w:r>
      <w:r>
        <w:rPr>
          <w:shd w:val="clear" w:color="auto" w:fill="FFFFFF"/>
        </w:rPr>
        <w:t xml:space="preserve"> instrument has effect according to its terms.</w:t>
      </w:r>
    </w:p>
    <w:p w14:paraId="0000AE63" w14:textId="77777777" w:rsidR="001228AC" w:rsidRDefault="001228AC" w:rsidP="00920D83">
      <w:pPr>
        <w:pStyle w:val="Default"/>
        <w:tabs>
          <w:tab w:val="left" w:pos="851"/>
        </w:tabs>
        <w:rPr>
          <w:b/>
        </w:rPr>
      </w:pPr>
    </w:p>
    <w:p w14:paraId="352EAA63" w14:textId="77777777" w:rsidR="00DA7272" w:rsidRPr="004E5097" w:rsidRDefault="006D0C23" w:rsidP="00920D83">
      <w:pPr>
        <w:pStyle w:val="Default"/>
        <w:tabs>
          <w:tab w:val="left" w:pos="851"/>
        </w:tabs>
        <w:rPr>
          <w:b/>
        </w:rPr>
      </w:pPr>
      <w:r w:rsidRPr="00DA7272">
        <w:rPr>
          <w:b/>
        </w:rPr>
        <w:t xml:space="preserve">Schedule 1 – </w:t>
      </w:r>
      <w:r w:rsidRPr="004E5097">
        <w:rPr>
          <w:b/>
        </w:rPr>
        <w:t>Amendments</w:t>
      </w:r>
      <w:r w:rsidRPr="00DA7272">
        <w:rPr>
          <w:b/>
        </w:rPr>
        <w:t xml:space="preserve"> </w:t>
      </w:r>
      <w:bookmarkStart w:id="1" w:name="_Toc101439897"/>
    </w:p>
    <w:p w14:paraId="5A4B6810" w14:textId="77777777" w:rsidR="00DA7272" w:rsidRDefault="00DA7272" w:rsidP="00920D83">
      <w:pPr>
        <w:pStyle w:val="Default"/>
        <w:tabs>
          <w:tab w:val="left" w:pos="851"/>
        </w:tabs>
        <w:rPr>
          <w:b/>
          <w:i/>
        </w:rPr>
      </w:pPr>
    </w:p>
    <w:p w14:paraId="19E41C1C" w14:textId="77777777" w:rsidR="006D0C23" w:rsidRPr="004E5097" w:rsidRDefault="00D62D73" w:rsidP="00920D83">
      <w:pPr>
        <w:pStyle w:val="Default"/>
        <w:tabs>
          <w:tab w:val="left" w:pos="851"/>
        </w:tabs>
        <w:rPr>
          <w:b/>
        </w:rPr>
      </w:pPr>
      <w:r w:rsidRPr="004E5097">
        <w:rPr>
          <w:b/>
          <w:i/>
        </w:rPr>
        <w:t>Summary Authority Rules 2019</w:t>
      </w:r>
      <w:bookmarkEnd w:id="1"/>
      <w:r w:rsidRPr="004E5097">
        <w:rPr>
          <w:b/>
        </w:rPr>
        <w:t xml:space="preserve"> </w:t>
      </w:r>
    </w:p>
    <w:p w14:paraId="5F172008" w14:textId="77777777" w:rsidR="006D0C23" w:rsidRPr="00C30B0C" w:rsidRDefault="006D0C23" w:rsidP="00920D83">
      <w:pPr>
        <w:pStyle w:val="Default"/>
      </w:pPr>
    </w:p>
    <w:p w14:paraId="1534C626" w14:textId="77777777" w:rsidR="00D62D73" w:rsidRPr="00383F14" w:rsidRDefault="00D62D73" w:rsidP="00920D83">
      <w:pPr>
        <w:pStyle w:val="ItemHead"/>
        <w:spacing w:before="0"/>
        <w:ind w:left="0" w:firstLine="0"/>
        <w:rPr>
          <w:rFonts w:ascii="Times New Roman" w:hAnsi="Times New Roman"/>
          <w:szCs w:val="24"/>
        </w:rPr>
      </w:pPr>
      <w:r w:rsidRPr="00383F14">
        <w:rPr>
          <w:rFonts w:ascii="Times New Roman" w:hAnsi="Times New Roman"/>
          <w:szCs w:val="24"/>
        </w:rPr>
        <w:t xml:space="preserve">Item </w:t>
      </w:r>
      <w:proofErr w:type="gramStart"/>
      <w:r w:rsidRPr="00383F14">
        <w:rPr>
          <w:rFonts w:ascii="Times New Roman" w:hAnsi="Times New Roman"/>
          <w:szCs w:val="24"/>
        </w:rPr>
        <w:t xml:space="preserve">1  </w:t>
      </w:r>
      <w:proofErr w:type="spellStart"/>
      <w:r w:rsidRPr="00383F14">
        <w:rPr>
          <w:rFonts w:ascii="Times New Roman" w:hAnsi="Times New Roman"/>
          <w:szCs w:val="24"/>
        </w:rPr>
        <w:t>Subrule</w:t>
      </w:r>
      <w:proofErr w:type="spellEnd"/>
      <w:proofErr w:type="gramEnd"/>
      <w:r w:rsidRPr="00383F14">
        <w:rPr>
          <w:rFonts w:ascii="Times New Roman" w:hAnsi="Times New Roman"/>
          <w:szCs w:val="24"/>
        </w:rPr>
        <w:t xml:space="preserve"> 7(2)</w:t>
      </w:r>
    </w:p>
    <w:p w14:paraId="24A26138" w14:textId="77777777" w:rsidR="00080D93" w:rsidRPr="00080D93" w:rsidRDefault="00080D93" w:rsidP="00920D83">
      <w:pPr>
        <w:pStyle w:val="Item"/>
        <w:spacing w:before="0"/>
        <w:ind w:left="0"/>
      </w:pPr>
    </w:p>
    <w:p w14:paraId="7A088B41" w14:textId="4A566334" w:rsidR="00992A10" w:rsidRDefault="00B34C11" w:rsidP="007D515F">
      <w:pPr>
        <w:pStyle w:val="Default"/>
        <w:numPr>
          <w:ilvl w:val="0"/>
          <w:numId w:val="3"/>
        </w:numPr>
        <w:ind w:left="426" w:hanging="426"/>
      </w:pPr>
      <w:r>
        <w:t>This item</w:t>
      </w:r>
      <w:r w:rsidR="00992A10">
        <w:t xml:space="preserve"> </w:t>
      </w:r>
      <w:r w:rsidR="00E85E9B">
        <w:t xml:space="preserve">amends </w:t>
      </w:r>
      <w:proofErr w:type="spellStart"/>
      <w:r w:rsidR="00E85E9B">
        <w:t>subrule</w:t>
      </w:r>
      <w:proofErr w:type="spellEnd"/>
      <w:r w:rsidR="00E85E9B">
        <w:t xml:space="preserve"> 7(2) to remove</w:t>
      </w:r>
      <w:r w:rsidR="00A109C4">
        <w:t xml:space="preserve"> the reference</w:t>
      </w:r>
      <w:r w:rsidR="00992A10">
        <w:t xml:space="preserve"> to hearings before </w:t>
      </w:r>
      <w:r>
        <w:t>a</w:t>
      </w:r>
      <w:r w:rsidR="00992A10">
        <w:t xml:space="preserve"> </w:t>
      </w:r>
      <w:r w:rsidR="00A109C4">
        <w:t>s</w:t>
      </w:r>
      <w:r w:rsidR="00992A10">
        <w:t xml:space="preserve">ubordinate </w:t>
      </w:r>
      <w:r w:rsidR="00A109C4">
        <w:t>s</w:t>
      </w:r>
      <w:r w:rsidR="00992A10">
        <w:t xml:space="preserve">ummary </w:t>
      </w:r>
      <w:r w:rsidR="00A109C4">
        <w:t>a</w:t>
      </w:r>
      <w:r>
        <w:t>uthority</w:t>
      </w:r>
      <w:r w:rsidR="0090616B">
        <w:t xml:space="preserve"> </w:t>
      </w:r>
      <w:r w:rsidR="00992A10">
        <w:t xml:space="preserve">which has been replaced under </w:t>
      </w:r>
      <w:r>
        <w:t xml:space="preserve">the </w:t>
      </w:r>
      <w:r w:rsidR="000325AC" w:rsidRPr="00920D83">
        <w:t>Amendment Act</w:t>
      </w:r>
      <w:r w:rsidR="00992A10" w:rsidRPr="00C25F29">
        <w:t xml:space="preserve"> by the </w:t>
      </w:r>
      <w:r w:rsidR="000325AC">
        <w:t>s</w:t>
      </w:r>
      <w:r w:rsidR="00992A10" w:rsidRPr="00C25F29">
        <w:t xml:space="preserve">enior </w:t>
      </w:r>
      <w:r w:rsidR="000325AC">
        <w:t>d</w:t>
      </w:r>
      <w:r w:rsidR="00992A10" w:rsidRPr="00C25F29">
        <w:t xml:space="preserve">iscipline </w:t>
      </w:r>
      <w:r w:rsidR="000325AC">
        <w:t>o</w:t>
      </w:r>
      <w:r w:rsidR="00992A10" w:rsidRPr="00C25F29">
        <w:t>fficer</w:t>
      </w:r>
      <w:r w:rsidR="00992A10" w:rsidRPr="00C30B0C">
        <w:t>.</w:t>
      </w:r>
      <w:r>
        <w:t xml:space="preserve"> </w:t>
      </w:r>
    </w:p>
    <w:p w14:paraId="3E35616C" w14:textId="77777777" w:rsidR="00334D27" w:rsidRPr="00C30B0C" w:rsidRDefault="00334D27" w:rsidP="007D515F">
      <w:pPr>
        <w:pStyle w:val="Default"/>
        <w:ind w:left="426"/>
      </w:pPr>
    </w:p>
    <w:p w14:paraId="34D34702" w14:textId="6F28ACA9" w:rsidR="00D62D73" w:rsidRPr="00E55A80" w:rsidRDefault="00D62D73" w:rsidP="007D515F">
      <w:pPr>
        <w:pStyle w:val="ItemHead"/>
        <w:spacing w:before="0"/>
        <w:ind w:left="0" w:firstLine="0"/>
        <w:rPr>
          <w:rFonts w:ascii="Times New Roman" w:hAnsi="Times New Roman"/>
          <w:szCs w:val="24"/>
        </w:rPr>
      </w:pPr>
      <w:r w:rsidRPr="00383F14">
        <w:rPr>
          <w:rFonts w:ascii="Times New Roman" w:hAnsi="Times New Roman"/>
          <w:szCs w:val="24"/>
        </w:rPr>
        <w:t xml:space="preserve">Item </w:t>
      </w:r>
      <w:proofErr w:type="gramStart"/>
      <w:r w:rsidRPr="00383F14">
        <w:rPr>
          <w:rFonts w:ascii="Times New Roman" w:hAnsi="Times New Roman"/>
          <w:szCs w:val="24"/>
        </w:rPr>
        <w:t>2  Paragraph</w:t>
      </w:r>
      <w:proofErr w:type="gramEnd"/>
      <w:r w:rsidRPr="00383F14">
        <w:rPr>
          <w:rFonts w:ascii="Times New Roman" w:hAnsi="Times New Roman"/>
          <w:szCs w:val="24"/>
        </w:rPr>
        <w:t xml:space="preserve"> 9(4</w:t>
      </w:r>
      <w:r w:rsidR="00176C4C" w:rsidRPr="004917B8">
        <w:rPr>
          <w:rFonts w:ascii="Times New Roman" w:hAnsi="Times New Roman"/>
          <w:szCs w:val="24"/>
        </w:rPr>
        <w:t>)(</w:t>
      </w:r>
      <w:r w:rsidRPr="00372830">
        <w:rPr>
          <w:rFonts w:ascii="Times New Roman" w:hAnsi="Times New Roman"/>
          <w:szCs w:val="24"/>
        </w:rPr>
        <w:t>c)</w:t>
      </w:r>
    </w:p>
    <w:p w14:paraId="2857DE16" w14:textId="77777777" w:rsidR="00080D93" w:rsidRPr="00080D93" w:rsidRDefault="00080D93" w:rsidP="007D515F">
      <w:pPr>
        <w:pStyle w:val="Item"/>
        <w:spacing w:before="0"/>
      </w:pPr>
    </w:p>
    <w:p w14:paraId="619FC6B6" w14:textId="6A4827F6" w:rsidR="00491787" w:rsidRPr="00C30B0C" w:rsidRDefault="0090616B" w:rsidP="007D515F">
      <w:pPr>
        <w:pStyle w:val="Default"/>
        <w:numPr>
          <w:ilvl w:val="0"/>
          <w:numId w:val="3"/>
        </w:numPr>
        <w:ind w:left="426" w:hanging="426"/>
      </w:pPr>
      <w:r>
        <w:t xml:space="preserve">This item removes </w:t>
      </w:r>
      <w:r w:rsidR="00920D83">
        <w:t xml:space="preserve">the </w:t>
      </w:r>
      <w:r>
        <w:t>reference</w:t>
      </w:r>
      <w:r w:rsidR="00994EAB">
        <w:t xml:space="preserve"> in paragraph 9(4)(c)</w:t>
      </w:r>
      <w:r>
        <w:t xml:space="preserve"> to </w:t>
      </w:r>
      <w:r w:rsidR="00491787">
        <w:t>Section 111</w:t>
      </w:r>
      <w:r w:rsidR="00994EAB">
        <w:t xml:space="preserve"> of the Act</w:t>
      </w:r>
      <w:r w:rsidR="00920D83">
        <w:t xml:space="preserve">, </w:t>
      </w:r>
      <w:r w:rsidR="00994EAB">
        <w:t xml:space="preserve">which </w:t>
      </w:r>
      <w:r w:rsidR="00920D83">
        <w:t>concern</w:t>
      </w:r>
      <w:r w:rsidR="00994EAB">
        <w:t xml:space="preserve">s </w:t>
      </w:r>
      <w:r w:rsidR="00920D83">
        <w:t>dealing with charge by subordinate summary authority,</w:t>
      </w:r>
      <w:r w:rsidR="00491787">
        <w:t xml:space="preserve"> </w:t>
      </w:r>
      <w:r w:rsidR="00994EAB">
        <w:t>as section 111 has been</w:t>
      </w:r>
      <w:r w:rsidR="00920D83">
        <w:t xml:space="preserve"> repealed by </w:t>
      </w:r>
      <w:r w:rsidR="00CA063B">
        <w:t xml:space="preserve">the </w:t>
      </w:r>
      <w:r w:rsidR="000325AC" w:rsidRPr="0036182E">
        <w:t>Amendment Act</w:t>
      </w:r>
      <w:r w:rsidR="00491787" w:rsidRPr="00C30B0C">
        <w:t>.</w:t>
      </w:r>
    </w:p>
    <w:p w14:paraId="49972124" w14:textId="77777777" w:rsidR="00D62D73" w:rsidRPr="00C30B0C" w:rsidRDefault="00D62D73" w:rsidP="00920D83">
      <w:pPr>
        <w:pStyle w:val="Default"/>
        <w:ind w:left="426"/>
      </w:pPr>
    </w:p>
    <w:p w14:paraId="45DF2C08" w14:textId="77777777" w:rsidR="00D62D73" w:rsidRPr="004917B8" w:rsidRDefault="00D62D73" w:rsidP="007D515F">
      <w:pPr>
        <w:pStyle w:val="ItemHead"/>
        <w:spacing w:before="0"/>
        <w:ind w:left="0" w:firstLine="0"/>
        <w:rPr>
          <w:rFonts w:ascii="Times New Roman" w:hAnsi="Times New Roman"/>
          <w:szCs w:val="24"/>
        </w:rPr>
      </w:pPr>
      <w:r w:rsidRPr="00383F14">
        <w:rPr>
          <w:rFonts w:ascii="Times New Roman" w:hAnsi="Times New Roman"/>
          <w:szCs w:val="24"/>
        </w:rPr>
        <w:t xml:space="preserve">Item </w:t>
      </w:r>
      <w:proofErr w:type="gramStart"/>
      <w:r w:rsidRPr="00383F14">
        <w:rPr>
          <w:rFonts w:ascii="Times New Roman" w:hAnsi="Times New Roman"/>
          <w:szCs w:val="24"/>
        </w:rPr>
        <w:t xml:space="preserve">3  </w:t>
      </w:r>
      <w:proofErr w:type="spellStart"/>
      <w:r w:rsidRPr="00383F14">
        <w:rPr>
          <w:rFonts w:ascii="Times New Roman" w:hAnsi="Times New Roman"/>
          <w:szCs w:val="24"/>
        </w:rPr>
        <w:t>Subrule</w:t>
      </w:r>
      <w:proofErr w:type="spellEnd"/>
      <w:proofErr w:type="gramEnd"/>
      <w:r w:rsidRPr="00383F14">
        <w:rPr>
          <w:rFonts w:ascii="Times New Roman" w:hAnsi="Times New Roman"/>
          <w:szCs w:val="24"/>
        </w:rPr>
        <w:t xml:space="preserve"> 41(1)</w:t>
      </w:r>
    </w:p>
    <w:p w14:paraId="7A5C6690" w14:textId="77777777" w:rsidR="006B48E9" w:rsidRPr="00CD798D" w:rsidRDefault="006B48E9" w:rsidP="007D515F">
      <w:pPr>
        <w:pStyle w:val="Item"/>
        <w:spacing w:before="0"/>
      </w:pPr>
    </w:p>
    <w:p w14:paraId="6D119965" w14:textId="32B5BCC7" w:rsidR="00D62D73" w:rsidRDefault="009508A7" w:rsidP="007D515F">
      <w:pPr>
        <w:pStyle w:val="Default"/>
        <w:numPr>
          <w:ilvl w:val="0"/>
          <w:numId w:val="3"/>
        </w:numPr>
        <w:ind w:left="426" w:hanging="426"/>
      </w:pPr>
      <w:r>
        <w:t xml:space="preserve">This </w:t>
      </w:r>
      <w:r w:rsidR="005B228C">
        <w:t xml:space="preserve">item </w:t>
      </w:r>
      <w:r w:rsidR="00405E5B">
        <w:t>replaces the term “sentencing”</w:t>
      </w:r>
      <w:r w:rsidR="00994EAB">
        <w:t xml:space="preserve"> in </w:t>
      </w:r>
      <w:proofErr w:type="spellStart"/>
      <w:r w:rsidR="00994EAB">
        <w:t>subrule</w:t>
      </w:r>
      <w:proofErr w:type="spellEnd"/>
      <w:r w:rsidR="00994EAB">
        <w:t xml:space="preserve"> 41(1)</w:t>
      </w:r>
      <w:r w:rsidR="009C3D7B">
        <w:t xml:space="preserve"> with “the imposition of punishment”</w:t>
      </w:r>
      <w:r w:rsidR="00405E5B">
        <w:t xml:space="preserve"> to </w:t>
      </w:r>
      <w:r>
        <w:t>align</w:t>
      </w:r>
      <w:r w:rsidR="00405E5B">
        <w:t xml:space="preserve"> </w:t>
      </w:r>
      <w:r>
        <w:t xml:space="preserve">with the terminology used </w:t>
      </w:r>
      <w:r w:rsidR="00992A10">
        <w:t xml:space="preserve">elsewhere </w:t>
      </w:r>
      <w:r>
        <w:t>in the</w:t>
      </w:r>
      <w:r w:rsidR="00037F1A">
        <w:t xml:space="preserve"> Act</w:t>
      </w:r>
      <w:r w:rsidR="00491787" w:rsidRPr="00383F14">
        <w:t>.</w:t>
      </w:r>
    </w:p>
    <w:p w14:paraId="5736B199" w14:textId="77777777" w:rsidR="00CD798D" w:rsidRPr="00920D83" w:rsidRDefault="00CD798D" w:rsidP="00920D83">
      <w:pPr>
        <w:pStyle w:val="Default"/>
        <w:rPr>
          <w:i/>
        </w:rPr>
      </w:pPr>
    </w:p>
    <w:p w14:paraId="335221BB" w14:textId="17D0D7AC" w:rsidR="001F28FF" w:rsidRDefault="001657DD" w:rsidP="00920D83">
      <w:pPr>
        <w:pStyle w:val="ItemHead"/>
        <w:spacing w:before="0"/>
        <w:ind w:left="0" w:firstLine="0"/>
        <w:rPr>
          <w:rFonts w:ascii="Times New Roman" w:hAnsi="Times New Roman"/>
          <w:szCs w:val="24"/>
        </w:rPr>
      </w:pPr>
      <w:r w:rsidRPr="00C30B0C">
        <w:rPr>
          <w:rFonts w:ascii="Times New Roman" w:hAnsi="Times New Roman"/>
          <w:szCs w:val="24"/>
        </w:rPr>
        <w:t xml:space="preserve">Item </w:t>
      </w:r>
      <w:proofErr w:type="gramStart"/>
      <w:r w:rsidR="00A75C7B">
        <w:rPr>
          <w:rFonts w:ascii="Times New Roman" w:hAnsi="Times New Roman"/>
          <w:szCs w:val="24"/>
        </w:rPr>
        <w:t>4</w:t>
      </w:r>
      <w:r w:rsidRPr="00C30B0C">
        <w:rPr>
          <w:rFonts w:ascii="Times New Roman" w:hAnsi="Times New Roman"/>
          <w:szCs w:val="24"/>
        </w:rPr>
        <w:t xml:space="preserve"> </w:t>
      </w:r>
      <w:r w:rsidR="009C3D7B">
        <w:rPr>
          <w:rFonts w:ascii="Times New Roman" w:hAnsi="Times New Roman"/>
          <w:szCs w:val="24"/>
        </w:rPr>
        <w:t xml:space="preserve"> </w:t>
      </w:r>
      <w:r w:rsidR="003C3858">
        <w:rPr>
          <w:rFonts w:ascii="Times New Roman" w:hAnsi="Times New Roman"/>
          <w:szCs w:val="24"/>
        </w:rPr>
        <w:t>Part</w:t>
      </w:r>
      <w:proofErr w:type="gramEnd"/>
      <w:r w:rsidR="003C3858">
        <w:rPr>
          <w:rFonts w:ascii="Times New Roman" w:hAnsi="Times New Roman"/>
          <w:szCs w:val="24"/>
        </w:rPr>
        <w:t xml:space="preserve"> 9</w:t>
      </w:r>
    </w:p>
    <w:p w14:paraId="41EE94E3" w14:textId="77777777" w:rsidR="009C3D7B" w:rsidRPr="009C3D7B" w:rsidRDefault="009C3D7B" w:rsidP="007D515F">
      <w:pPr>
        <w:pStyle w:val="Item"/>
        <w:spacing w:before="0"/>
      </w:pPr>
    </w:p>
    <w:p w14:paraId="70E4D3EE" w14:textId="75C7096C" w:rsidR="004917B8" w:rsidRDefault="00CD798D" w:rsidP="007D515F">
      <w:pPr>
        <w:pStyle w:val="Default"/>
        <w:numPr>
          <w:ilvl w:val="0"/>
          <w:numId w:val="3"/>
        </w:numPr>
        <w:ind w:left="426" w:hanging="426"/>
      </w:pPr>
      <w:r>
        <w:t xml:space="preserve">This item </w:t>
      </w:r>
      <w:r w:rsidR="004917B8">
        <w:t>in</w:t>
      </w:r>
      <w:r w:rsidR="009C3D7B">
        <w:t>serts</w:t>
      </w:r>
      <w:r w:rsidR="00920D83">
        <w:t xml:space="preserve"> a</w:t>
      </w:r>
      <w:r w:rsidR="009C3D7B">
        <w:t xml:space="preserve"> new</w:t>
      </w:r>
      <w:r>
        <w:t xml:space="preserve"> Part 9</w:t>
      </w:r>
      <w:r w:rsidR="004917B8">
        <w:t xml:space="preserve"> which </w:t>
      </w:r>
      <w:r w:rsidR="009C3D7B">
        <w:t>provides that</w:t>
      </w:r>
      <w:r w:rsidR="00CA063B" w:rsidRPr="00CA063B">
        <w:t xml:space="preserve"> </w:t>
      </w:r>
      <w:r w:rsidR="00CA063B">
        <w:t>t</w:t>
      </w:r>
      <w:r w:rsidR="00CA063B" w:rsidRPr="00C30B0C">
        <w:t>he amendments made to the</w:t>
      </w:r>
      <w:r w:rsidR="00CA063B">
        <w:t xml:space="preserve"> </w:t>
      </w:r>
      <w:r w:rsidR="00CA063B" w:rsidRPr="007D515F">
        <w:rPr>
          <w:i/>
        </w:rPr>
        <w:t>Summary Authority Rules 2019</w:t>
      </w:r>
      <w:r w:rsidR="00CA063B" w:rsidRPr="00C30B0C">
        <w:t xml:space="preserve"> by the </w:t>
      </w:r>
      <w:r w:rsidR="00CA063B">
        <w:t xml:space="preserve">Amendment Rules </w:t>
      </w:r>
      <w:r w:rsidR="00CA063B" w:rsidRPr="00C30B0C">
        <w:t xml:space="preserve">apply in relation to a service offence </w:t>
      </w:r>
      <w:r w:rsidR="00CA063B" w:rsidRPr="00C30B0C">
        <w:lastRenderedPageBreak/>
        <w:t xml:space="preserve">committed, or alleged to have been committed, by a person at or after the commencement of Schedule 2 to the </w:t>
      </w:r>
      <w:r w:rsidR="00CA063B" w:rsidRPr="007D515F">
        <w:t>Amendment Act</w:t>
      </w:r>
      <w:r w:rsidR="00CA063B" w:rsidRPr="00C30B0C">
        <w:t>.</w:t>
      </w:r>
    </w:p>
    <w:p w14:paraId="52319C83" w14:textId="77777777" w:rsidR="009C3D7B" w:rsidRPr="00C30B0C" w:rsidRDefault="009C3D7B" w:rsidP="007D515F">
      <w:pPr>
        <w:pStyle w:val="subsection"/>
        <w:spacing w:before="0" w:beforeAutospacing="0" w:after="0" w:afterAutospacing="0"/>
      </w:pPr>
    </w:p>
    <w:p w14:paraId="31C9433D" w14:textId="6FC15F87" w:rsidR="00D62D73" w:rsidRDefault="007C4EF3" w:rsidP="007D515F">
      <w:pPr>
        <w:pStyle w:val="ItemHead"/>
        <w:spacing w:before="0"/>
        <w:ind w:left="0" w:firstLine="0"/>
        <w:rPr>
          <w:rFonts w:ascii="Times New Roman" w:hAnsi="Times New Roman"/>
          <w:szCs w:val="24"/>
        </w:rPr>
      </w:pPr>
      <w:r w:rsidRPr="00C30B0C">
        <w:rPr>
          <w:rFonts w:ascii="Times New Roman" w:hAnsi="Times New Roman"/>
          <w:szCs w:val="24"/>
        </w:rPr>
        <w:t xml:space="preserve">Item </w:t>
      </w:r>
      <w:proofErr w:type="gramStart"/>
      <w:r w:rsidR="001F58E3">
        <w:rPr>
          <w:rFonts w:ascii="Times New Roman" w:hAnsi="Times New Roman"/>
          <w:szCs w:val="24"/>
        </w:rPr>
        <w:t>5</w:t>
      </w:r>
      <w:r w:rsidR="00D62D73" w:rsidRPr="00C30B0C">
        <w:rPr>
          <w:rFonts w:ascii="Times New Roman" w:hAnsi="Times New Roman"/>
          <w:szCs w:val="24"/>
        </w:rPr>
        <w:t xml:space="preserve">  Paragraph</w:t>
      </w:r>
      <w:proofErr w:type="gramEnd"/>
      <w:r w:rsidR="00D62D73" w:rsidRPr="00C30B0C">
        <w:rPr>
          <w:rFonts w:ascii="Times New Roman" w:hAnsi="Times New Roman"/>
          <w:szCs w:val="24"/>
        </w:rPr>
        <w:t xml:space="preserve"> 2 of Schedule 1</w:t>
      </w:r>
    </w:p>
    <w:p w14:paraId="1125438B" w14:textId="77777777" w:rsidR="00080D93" w:rsidRPr="00080D93" w:rsidRDefault="00080D93" w:rsidP="007D515F">
      <w:pPr>
        <w:pStyle w:val="Item"/>
        <w:spacing w:before="0"/>
      </w:pPr>
    </w:p>
    <w:p w14:paraId="5D9CF0CE" w14:textId="666941DB" w:rsidR="00D62D73" w:rsidRDefault="00CD798D" w:rsidP="007D515F">
      <w:pPr>
        <w:pStyle w:val="Default"/>
        <w:numPr>
          <w:ilvl w:val="0"/>
          <w:numId w:val="3"/>
        </w:numPr>
        <w:ind w:left="426" w:hanging="426"/>
      </w:pPr>
      <w:r>
        <w:t xml:space="preserve">This item </w:t>
      </w:r>
      <w:r w:rsidR="00CA063B">
        <w:t xml:space="preserve">amends the Notice to Accused in Schedule 1 by </w:t>
      </w:r>
      <w:r>
        <w:t>remov</w:t>
      </w:r>
      <w:r w:rsidR="00CA063B">
        <w:t>ing</w:t>
      </w:r>
      <w:r>
        <w:t xml:space="preserve"> </w:t>
      </w:r>
      <w:r w:rsidR="00CA063B">
        <w:t xml:space="preserve">the </w:t>
      </w:r>
      <w:r>
        <w:t xml:space="preserve">reference to </w:t>
      </w:r>
      <w:r w:rsidR="00D62D73" w:rsidRPr="00C25F29">
        <w:t>“</w:t>
      </w:r>
      <w:r w:rsidR="00D62D73" w:rsidRPr="00C25F29">
        <w:rPr>
          <w:i/>
        </w:rPr>
        <w:t>/SUBSA</w:t>
      </w:r>
      <w:r w:rsidR="00D62D73" w:rsidRPr="00C30B0C">
        <w:t>”</w:t>
      </w:r>
      <w:r w:rsidR="009508A7">
        <w:t xml:space="preserve"> as the </w:t>
      </w:r>
      <w:r w:rsidR="00CA063B">
        <w:t>s</w:t>
      </w:r>
      <w:r w:rsidR="009508A7">
        <w:t xml:space="preserve">ubordinate </w:t>
      </w:r>
      <w:r w:rsidR="00CA063B">
        <w:t>s</w:t>
      </w:r>
      <w:r w:rsidR="009508A7">
        <w:t xml:space="preserve">ummary </w:t>
      </w:r>
      <w:r w:rsidR="00CA063B">
        <w:t>a</w:t>
      </w:r>
      <w:r w:rsidR="009508A7">
        <w:t xml:space="preserve">uthority has been replaced under </w:t>
      </w:r>
      <w:r w:rsidR="00CA063B">
        <w:t xml:space="preserve">the </w:t>
      </w:r>
      <w:r w:rsidR="00CA063B" w:rsidRPr="0036182E">
        <w:t>Amendment Act</w:t>
      </w:r>
      <w:r w:rsidR="00CA063B" w:rsidRPr="00C25F29">
        <w:t xml:space="preserve"> </w:t>
      </w:r>
      <w:r w:rsidR="009508A7">
        <w:rPr>
          <w:iCs/>
        </w:rPr>
        <w:t xml:space="preserve">by the </w:t>
      </w:r>
      <w:r w:rsidR="00CA063B">
        <w:rPr>
          <w:iCs/>
        </w:rPr>
        <w:t>s</w:t>
      </w:r>
      <w:r w:rsidR="009508A7">
        <w:rPr>
          <w:iCs/>
        </w:rPr>
        <w:t xml:space="preserve">enior </w:t>
      </w:r>
      <w:r w:rsidR="00CA063B">
        <w:rPr>
          <w:iCs/>
        </w:rPr>
        <w:t>d</w:t>
      </w:r>
      <w:r w:rsidR="009508A7">
        <w:rPr>
          <w:iCs/>
        </w:rPr>
        <w:t xml:space="preserve">iscipline </w:t>
      </w:r>
      <w:r w:rsidR="00CA063B">
        <w:rPr>
          <w:iCs/>
        </w:rPr>
        <w:t>o</w:t>
      </w:r>
      <w:r w:rsidR="009508A7">
        <w:rPr>
          <w:iCs/>
        </w:rPr>
        <w:t>fficer</w:t>
      </w:r>
      <w:r w:rsidR="00D62D73" w:rsidRPr="00C30B0C">
        <w:t>.</w:t>
      </w:r>
    </w:p>
    <w:p w14:paraId="7E3D0A7B" w14:textId="77777777" w:rsidR="009C3D7B" w:rsidRPr="00C30B0C" w:rsidRDefault="009C3D7B" w:rsidP="007D515F">
      <w:pPr>
        <w:pStyle w:val="Default"/>
      </w:pPr>
    </w:p>
    <w:p w14:paraId="68CEE959" w14:textId="6F10647E" w:rsidR="00D62D73" w:rsidRDefault="007C4EF3" w:rsidP="007D515F">
      <w:pPr>
        <w:pStyle w:val="ItemHead"/>
        <w:spacing w:before="0"/>
        <w:ind w:left="0" w:firstLine="0"/>
        <w:rPr>
          <w:rFonts w:ascii="Times New Roman" w:hAnsi="Times New Roman"/>
          <w:szCs w:val="24"/>
        </w:rPr>
      </w:pPr>
      <w:r w:rsidRPr="00C30B0C">
        <w:rPr>
          <w:rFonts w:ascii="Times New Roman" w:hAnsi="Times New Roman"/>
          <w:szCs w:val="24"/>
        </w:rPr>
        <w:t xml:space="preserve">Item </w:t>
      </w:r>
      <w:proofErr w:type="gramStart"/>
      <w:r w:rsidR="001F58E3">
        <w:rPr>
          <w:rFonts w:ascii="Times New Roman" w:hAnsi="Times New Roman"/>
          <w:szCs w:val="24"/>
        </w:rPr>
        <w:t>6</w:t>
      </w:r>
      <w:r w:rsidR="00D62D73" w:rsidRPr="00C30B0C">
        <w:rPr>
          <w:rFonts w:ascii="Times New Roman" w:hAnsi="Times New Roman"/>
          <w:szCs w:val="24"/>
        </w:rPr>
        <w:t xml:space="preserve">  Paragraph</w:t>
      </w:r>
      <w:proofErr w:type="gramEnd"/>
      <w:r w:rsidR="00D62D73" w:rsidRPr="00C30B0C">
        <w:rPr>
          <w:rFonts w:ascii="Times New Roman" w:hAnsi="Times New Roman"/>
          <w:szCs w:val="24"/>
        </w:rPr>
        <w:t xml:space="preserve"> 5 of Schedule 1</w:t>
      </w:r>
    </w:p>
    <w:p w14:paraId="64DAE55B" w14:textId="77777777" w:rsidR="00080D93" w:rsidRPr="00080D93" w:rsidRDefault="00080D93" w:rsidP="007D515F">
      <w:pPr>
        <w:pStyle w:val="Item"/>
        <w:spacing w:before="0"/>
      </w:pPr>
    </w:p>
    <w:p w14:paraId="5C83C5CA" w14:textId="071A47DF" w:rsidR="009C3D7B" w:rsidRDefault="00CD798D" w:rsidP="007D515F">
      <w:pPr>
        <w:pStyle w:val="Default"/>
        <w:numPr>
          <w:ilvl w:val="0"/>
          <w:numId w:val="3"/>
        </w:numPr>
        <w:ind w:left="426" w:hanging="426"/>
      </w:pPr>
      <w:r>
        <w:t xml:space="preserve">This item </w:t>
      </w:r>
      <w:r w:rsidR="00CA063B">
        <w:t xml:space="preserve">amends the Notice to Accused in Schedule 1 by replacing the reference to </w:t>
      </w:r>
      <w:r w:rsidR="00491787">
        <w:t>Schedule</w:t>
      </w:r>
      <w:r w:rsidR="00CA063B">
        <w:t> </w:t>
      </w:r>
      <w:r w:rsidR="00491787">
        <w:t xml:space="preserve">3 </w:t>
      </w:r>
      <w:r w:rsidR="00CA063B">
        <w:t>of the</w:t>
      </w:r>
      <w:r w:rsidR="00994EAB">
        <w:t xml:space="preserve"> Act</w:t>
      </w:r>
      <w:r w:rsidR="00CA063B">
        <w:t xml:space="preserve"> with a reference to </w:t>
      </w:r>
      <w:r w:rsidR="009827CE" w:rsidRPr="00C25F29">
        <w:t>sections 69B or 69C</w:t>
      </w:r>
      <w:r w:rsidR="009827CE">
        <w:t xml:space="preserve"> </w:t>
      </w:r>
      <w:r w:rsidR="00CA063B">
        <w:t>to reflect amendments made by</w:t>
      </w:r>
      <w:r w:rsidR="009827CE">
        <w:t xml:space="preserve"> the</w:t>
      </w:r>
      <w:r w:rsidR="00383F14">
        <w:t xml:space="preserve"> </w:t>
      </w:r>
      <w:r w:rsidR="00CA063B" w:rsidRPr="0036182E">
        <w:t>Amendment Act</w:t>
      </w:r>
      <w:r w:rsidR="009827CE">
        <w:t>.</w:t>
      </w:r>
    </w:p>
    <w:p w14:paraId="50A57142" w14:textId="1643F27B" w:rsidR="00D62D73" w:rsidRPr="00C30B0C" w:rsidRDefault="00D62D73" w:rsidP="00920D83">
      <w:pPr>
        <w:pStyle w:val="Default"/>
      </w:pPr>
    </w:p>
    <w:p w14:paraId="75F6C352" w14:textId="47BA2290" w:rsidR="00D62D73" w:rsidRDefault="007C4EF3" w:rsidP="00920D83">
      <w:pPr>
        <w:pStyle w:val="ItemHead"/>
        <w:spacing w:before="0"/>
        <w:ind w:left="0" w:firstLine="0"/>
        <w:rPr>
          <w:rFonts w:ascii="Times New Roman" w:hAnsi="Times New Roman"/>
          <w:szCs w:val="24"/>
        </w:rPr>
      </w:pPr>
      <w:r w:rsidRPr="00C30B0C">
        <w:rPr>
          <w:rFonts w:ascii="Times New Roman" w:hAnsi="Times New Roman"/>
          <w:szCs w:val="24"/>
        </w:rPr>
        <w:t xml:space="preserve">Item </w:t>
      </w:r>
      <w:proofErr w:type="gramStart"/>
      <w:r w:rsidR="001F58E3">
        <w:rPr>
          <w:rFonts w:ascii="Times New Roman" w:hAnsi="Times New Roman"/>
          <w:szCs w:val="24"/>
        </w:rPr>
        <w:t>7</w:t>
      </w:r>
      <w:r w:rsidR="00D62D73" w:rsidRPr="00C30B0C">
        <w:rPr>
          <w:rFonts w:ascii="Times New Roman" w:hAnsi="Times New Roman"/>
          <w:szCs w:val="24"/>
        </w:rPr>
        <w:t xml:space="preserve">  Paragraph</w:t>
      </w:r>
      <w:proofErr w:type="gramEnd"/>
      <w:r w:rsidR="00D62D73" w:rsidRPr="00C30B0C">
        <w:rPr>
          <w:rFonts w:ascii="Times New Roman" w:hAnsi="Times New Roman"/>
          <w:szCs w:val="24"/>
        </w:rPr>
        <w:t xml:space="preserve"> 14 of Schedule 1</w:t>
      </w:r>
    </w:p>
    <w:p w14:paraId="16B01288" w14:textId="77777777" w:rsidR="00080D93" w:rsidRPr="00080D93" w:rsidRDefault="00080D93" w:rsidP="00920D83">
      <w:pPr>
        <w:pStyle w:val="Item"/>
        <w:spacing w:before="0"/>
      </w:pPr>
    </w:p>
    <w:p w14:paraId="5AC2AD5B" w14:textId="25C08FF7" w:rsidR="00491787" w:rsidRPr="00C30B0C" w:rsidRDefault="00383F14" w:rsidP="007D515F">
      <w:pPr>
        <w:pStyle w:val="Default"/>
        <w:numPr>
          <w:ilvl w:val="0"/>
          <w:numId w:val="3"/>
        </w:numPr>
        <w:ind w:left="426" w:hanging="426"/>
      </w:pPr>
      <w:r>
        <w:t>This item</w:t>
      </w:r>
      <w:r w:rsidR="003312A7">
        <w:t xml:space="preserve"> amends the Notice to Accused in Schedule 1</w:t>
      </w:r>
      <w:r>
        <w:t xml:space="preserve"> </w:t>
      </w:r>
      <w:r w:rsidR="003312A7">
        <w:t xml:space="preserve">by </w:t>
      </w:r>
      <w:r>
        <w:t>remov</w:t>
      </w:r>
      <w:r w:rsidR="003312A7">
        <w:t>ing the final two sentences of</w:t>
      </w:r>
      <w:r>
        <w:t xml:space="preserve"> paragraph</w:t>
      </w:r>
      <w:r w:rsidR="003312A7">
        <w:t xml:space="preserve"> 15 </w:t>
      </w:r>
      <w:r>
        <w:t xml:space="preserve">which </w:t>
      </w:r>
      <w:r w:rsidR="00491787">
        <w:t>no longer appl</w:t>
      </w:r>
      <w:r w:rsidR="003312A7">
        <w:t>y</w:t>
      </w:r>
      <w:r w:rsidR="00491787">
        <w:t xml:space="preserve"> as the </w:t>
      </w:r>
      <w:r w:rsidR="003312A7">
        <w:t>s</w:t>
      </w:r>
      <w:r w:rsidR="00491787">
        <w:t xml:space="preserve">ubordinate </w:t>
      </w:r>
      <w:r w:rsidR="003312A7">
        <w:t>s</w:t>
      </w:r>
      <w:r w:rsidR="00491787">
        <w:t xml:space="preserve">ummary </w:t>
      </w:r>
      <w:r w:rsidR="003312A7">
        <w:t>a</w:t>
      </w:r>
      <w:r w:rsidR="00491787">
        <w:t xml:space="preserve">uthority has been replaced under </w:t>
      </w:r>
      <w:r w:rsidR="003312A7">
        <w:t xml:space="preserve">the </w:t>
      </w:r>
      <w:r w:rsidR="003312A7" w:rsidRPr="0036182E">
        <w:t>Amendment Act</w:t>
      </w:r>
      <w:r w:rsidR="003312A7" w:rsidRPr="003312A7" w:rsidDel="003312A7">
        <w:rPr>
          <w:i/>
        </w:rPr>
        <w:t xml:space="preserve"> </w:t>
      </w:r>
      <w:r w:rsidR="00491787" w:rsidRPr="00C25F29">
        <w:t xml:space="preserve">by the </w:t>
      </w:r>
      <w:r w:rsidR="003312A7">
        <w:t>s</w:t>
      </w:r>
      <w:r w:rsidR="00491787" w:rsidRPr="00C25F29">
        <w:t xml:space="preserve">enior </w:t>
      </w:r>
      <w:r w:rsidR="003312A7">
        <w:t>d</w:t>
      </w:r>
      <w:r w:rsidR="00491787" w:rsidRPr="00C25F29">
        <w:t xml:space="preserve">iscipline </w:t>
      </w:r>
      <w:r w:rsidR="003312A7">
        <w:t>o</w:t>
      </w:r>
      <w:r w:rsidR="00491787" w:rsidRPr="00C25F29">
        <w:t>fficer</w:t>
      </w:r>
      <w:r w:rsidR="00491787" w:rsidRPr="00C30B0C">
        <w:t>.</w:t>
      </w:r>
    </w:p>
    <w:p w14:paraId="798171FE" w14:textId="77777777" w:rsidR="00D62D73" w:rsidRPr="00C30B0C" w:rsidRDefault="00D62D73" w:rsidP="00920D83">
      <w:pPr>
        <w:pStyle w:val="Default"/>
      </w:pPr>
    </w:p>
    <w:p w14:paraId="23617B52" w14:textId="77777777" w:rsidR="00737B9A" w:rsidRDefault="00737B9A" w:rsidP="00920D83">
      <w:pPr>
        <w:spacing w:after="0" w:line="240" w:lineRule="auto"/>
        <w:rPr>
          <w:rFonts w:ascii="Times New Roman" w:hAnsi="Times New Roman" w:cs="Times New Roman"/>
          <w:sz w:val="24"/>
          <w:szCs w:val="24"/>
        </w:rPr>
        <w:sectPr w:rsidR="00737B9A">
          <w:pgSz w:w="11906" w:h="16838"/>
          <w:pgMar w:top="1440" w:right="1440" w:bottom="1440" w:left="1440" w:header="708" w:footer="708" w:gutter="0"/>
          <w:cols w:space="708"/>
          <w:docGrid w:linePitch="360"/>
        </w:sectPr>
      </w:pPr>
    </w:p>
    <w:p w14:paraId="6DC4C956" w14:textId="77777777" w:rsidR="00723043" w:rsidRPr="00737B9A" w:rsidRDefault="00737B9A" w:rsidP="00920D83">
      <w:pPr>
        <w:spacing w:after="0" w:line="240" w:lineRule="auto"/>
        <w:jc w:val="right"/>
        <w:rPr>
          <w:rFonts w:ascii="Times New Roman" w:hAnsi="Times New Roman" w:cs="Times New Roman"/>
          <w:b/>
          <w:sz w:val="24"/>
          <w:szCs w:val="24"/>
        </w:rPr>
      </w:pPr>
      <w:r w:rsidRPr="00737B9A">
        <w:rPr>
          <w:rFonts w:ascii="Times New Roman" w:hAnsi="Times New Roman" w:cs="Times New Roman"/>
          <w:b/>
          <w:sz w:val="24"/>
          <w:szCs w:val="24"/>
        </w:rPr>
        <w:lastRenderedPageBreak/>
        <w:t>ATTACHMENT B</w:t>
      </w:r>
    </w:p>
    <w:p w14:paraId="1007E688" w14:textId="77777777" w:rsidR="00334D27" w:rsidRDefault="00334D27" w:rsidP="00920D83">
      <w:pPr>
        <w:shd w:val="clear" w:color="auto" w:fill="FFFFFF"/>
        <w:spacing w:after="0" w:line="240" w:lineRule="auto"/>
        <w:jc w:val="center"/>
        <w:rPr>
          <w:rFonts w:ascii="Times New Roman" w:eastAsia="Times New Roman" w:hAnsi="Times New Roman" w:cs="Times New Roman"/>
          <w:b/>
          <w:color w:val="000000"/>
          <w:sz w:val="24"/>
          <w:szCs w:val="24"/>
          <w:u w:val="single"/>
          <w:lang w:eastAsia="en-AU"/>
        </w:rPr>
      </w:pPr>
    </w:p>
    <w:p w14:paraId="316CCC33" w14:textId="25718BAB" w:rsidR="00737B9A" w:rsidRPr="00C30B0C" w:rsidRDefault="00737B9A" w:rsidP="00920D83">
      <w:pPr>
        <w:shd w:val="clear" w:color="auto" w:fill="FFFFFF"/>
        <w:spacing w:after="0" w:line="240" w:lineRule="auto"/>
        <w:jc w:val="center"/>
        <w:rPr>
          <w:rFonts w:ascii="Times New Roman" w:eastAsia="Times New Roman" w:hAnsi="Times New Roman" w:cs="Times New Roman"/>
          <w:b/>
          <w:color w:val="000000"/>
          <w:sz w:val="24"/>
          <w:szCs w:val="24"/>
          <w:lang w:eastAsia="en-AU"/>
        </w:rPr>
      </w:pPr>
      <w:r w:rsidRPr="00C30B0C">
        <w:rPr>
          <w:rFonts w:ascii="Times New Roman" w:eastAsia="Times New Roman" w:hAnsi="Times New Roman" w:cs="Times New Roman"/>
          <w:b/>
          <w:color w:val="000000"/>
          <w:sz w:val="24"/>
          <w:szCs w:val="24"/>
          <w:u w:val="single"/>
          <w:lang w:eastAsia="en-AU"/>
        </w:rPr>
        <w:t>STATEMENT OF COMPATIBILITY WITH HUMAN RIGHTS</w:t>
      </w:r>
    </w:p>
    <w:p w14:paraId="35E27FFE" w14:textId="77777777" w:rsidR="00737B9A" w:rsidRPr="00C30B0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C30B0C">
        <w:rPr>
          <w:rFonts w:ascii="Times New Roman" w:eastAsia="Times New Roman" w:hAnsi="Times New Roman" w:cs="Times New Roman"/>
          <w:color w:val="000000"/>
          <w:sz w:val="24"/>
          <w:szCs w:val="24"/>
          <w:lang w:eastAsia="en-AU"/>
        </w:rPr>
        <w:t> </w:t>
      </w:r>
    </w:p>
    <w:p w14:paraId="7808058D" w14:textId="77777777" w:rsidR="00737B9A" w:rsidRPr="00C30B0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C30B0C">
        <w:rPr>
          <w:rFonts w:ascii="Times New Roman" w:eastAsia="Times New Roman" w:hAnsi="Times New Roman" w:cs="Times New Roman"/>
          <w:color w:val="000000"/>
          <w:sz w:val="24"/>
          <w:szCs w:val="24"/>
          <w:lang w:eastAsia="en-AU"/>
        </w:rPr>
        <w:t>Prepared in accordance with Part 3 of the </w:t>
      </w:r>
      <w:r w:rsidRPr="00C30B0C">
        <w:rPr>
          <w:rFonts w:ascii="Times New Roman" w:eastAsia="Times New Roman" w:hAnsi="Times New Roman" w:cs="Times New Roman"/>
          <w:i/>
          <w:iCs/>
          <w:color w:val="000000"/>
          <w:sz w:val="24"/>
          <w:szCs w:val="24"/>
          <w:lang w:eastAsia="en-AU"/>
        </w:rPr>
        <w:t>Human Rights (Parliamentary Scrutiny) Act 2011.</w:t>
      </w:r>
    </w:p>
    <w:p w14:paraId="66C9E6F5" w14:textId="77777777" w:rsidR="00737B9A" w:rsidRPr="00C30B0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C30B0C">
        <w:rPr>
          <w:rFonts w:ascii="Times New Roman" w:eastAsia="Times New Roman" w:hAnsi="Times New Roman" w:cs="Times New Roman"/>
          <w:color w:val="000000"/>
          <w:sz w:val="24"/>
          <w:szCs w:val="24"/>
          <w:lang w:eastAsia="en-AU"/>
        </w:rPr>
        <w:t> </w:t>
      </w:r>
    </w:p>
    <w:p w14:paraId="6AAE4534" w14:textId="3718ACBB" w:rsidR="00737B9A" w:rsidRPr="00C30B0C" w:rsidRDefault="00737B9A" w:rsidP="00920D83">
      <w:pPr>
        <w:shd w:val="clear" w:color="auto" w:fill="FFFFFF"/>
        <w:spacing w:after="0" w:line="240" w:lineRule="auto"/>
        <w:jc w:val="center"/>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b/>
          <w:bCs/>
          <w:i/>
          <w:iCs/>
          <w:color w:val="000000"/>
          <w:sz w:val="24"/>
          <w:szCs w:val="24"/>
          <w:lang w:eastAsia="en-AU"/>
        </w:rPr>
        <w:t>Summary Authority</w:t>
      </w:r>
      <w:r w:rsidRPr="00C30B0C">
        <w:rPr>
          <w:rFonts w:ascii="Times New Roman" w:eastAsia="Times New Roman" w:hAnsi="Times New Roman" w:cs="Times New Roman"/>
          <w:b/>
          <w:bCs/>
          <w:i/>
          <w:iCs/>
          <w:color w:val="000000"/>
          <w:sz w:val="24"/>
          <w:szCs w:val="24"/>
          <w:lang w:eastAsia="en-AU"/>
        </w:rPr>
        <w:t xml:space="preserve"> Amendment Rules 2022</w:t>
      </w:r>
    </w:p>
    <w:p w14:paraId="3AA1D3ED" w14:textId="77777777" w:rsidR="00737B9A" w:rsidRPr="00C30B0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C30B0C">
        <w:rPr>
          <w:rFonts w:ascii="Times New Roman" w:eastAsia="Times New Roman" w:hAnsi="Times New Roman" w:cs="Times New Roman"/>
          <w:color w:val="000000"/>
          <w:sz w:val="24"/>
          <w:szCs w:val="24"/>
          <w:lang w:eastAsia="en-AU"/>
        </w:rPr>
        <w:t> </w:t>
      </w:r>
    </w:p>
    <w:p w14:paraId="6D4C047C" w14:textId="543F91B8" w:rsidR="00737B9A" w:rsidRPr="00C30B0C" w:rsidRDefault="0028457C" w:rsidP="00920D83">
      <w:pPr>
        <w:shd w:val="clear" w:color="auto" w:fill="FFFFFF"/>
        <w:spacing w:after="0" w:line="240" w:lineRule="auto"/>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Pr="001B2734">
        <w:rPr>
          <w:rFonts w:ascii="Times New Roman" w:eastAsia="Times New Roman" w:hAnsi="Times New Roman" w:cs="Times New Roman"/>
          <w:i/>
          <w:color w:val="000000"/>
          <w:sz w:val="24"/>
          <w:szCs w:val="24"/>
          <w:lang w:eastAsia="en-AU"/>
        </w:rPr>
        <w:t>Summary Authority Amendment Rules 2022</w:t>
      </w:r>
      <w:r>
        <w:rPr>
          <w:rFonts w:ascii="Times New Roman" w:eastAsia="Times New Roman" w:hAnsi="Times New Roman" w:cs="Times New Roman"/>
          <w:color w:val="000000"/>
          <w:sz w:val="24"/>
          <w:szCs w:val="24"/>
          <w:lang w:eastAsia="en-AU"/>
        </w:rPr>
        <w:t xml:space="preserve"> (the Amendment Rules) are</w:t>
      </w:r>
      <w:r w:rsidR="00737B9A" w:rsidRPr="00C30B0C">
        <w:rPr>
          <w:rFonts w:ascii="Times New Roman" w:eastAsia="Times New Roman" w:hAnsi="Times New Roman" w:cs="Times New Roman"/>
          <w:color w:val="000000"/>
          <w:sz w:val="24"/>
          <w:szCs w:val="24"/>
          <w:lang w:eastAsia="en-AU"/>
        </w:rPr>
        <w:t xml:space="preserve"> compatible with the human rights and freedoms recognised or declared in the international instruments listed in section 3 of the </w:t>
      </w:r>
      <w:r w:rsidR="00737B9A" w:rsidRPr="00C30B0C">
        <w:rPr>
          <w:rFonts w:ascii="Times New Roman" w:eastAsia="Times New Roman" w:hAnsi="Times New Roman" w:cs="Times New Roman"/>
          <w:i/>
          <w:iCs/>
          <w:color w:val="000000"/>
          <w:sz w:val="24"/>
          <w:szCs w:val="24"/>
          <w:lang w:eastAsia="en-AU"/>
        </w:rPr>
        <w:t>Human Rights (Parliamentary Scrutiny) Act 2011.</w:t>
      </w:r>
      <w:r w:rsidR="00737B9A" w:rsidRPr="00C30B0C">
        <w:rPr>
          <w:rFonts w:ascii="Times New Roman" w:eastAsia="Times New Roman" w:hAnsi="Times New Roman" w:cs="Times New Roman"/>
          <w:i/>
          <w:iCs/>
          <w:color w:val="000000"/>
          <w:sz w:val="24"/>
          <w:szCs w:val="24"/>
          <w:lang w:eastAsia="en-AU"/>
        </w:rPr>
        <w:br/>
      </w:r>
    </w:p>
    <w:p w14:paraId="1854FDA3" w14:textId="58D25EEB" w:rsidR="00737B9A" w:rsidRPr="0028457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28457C">
        <w:rPr>
          <w:rFonts w:ascii="Times New Roman" w:eastAsia="Times New Roman" w:hAnsi="Times New Roman" w:cs="Times New Roman"/>
          <w:b/>
          <w:bCs/>
          <w:color w:val="000000"/>
          <w:sz w:val="24"/>
          <w:szCs w:val="24"/>
          <w:lang w:eastAsia="en-AU"/>
        </w:rPr>
        <w:t>Overview of the Legislative Instrument</w:t>
      </w:r>
    </w:p>
    <w:p w14:paraId="5EC2DD06" w14:textId="77777777" w:rsidR="00334D27" w:rsidRDefault="00334D27" w:rsidP="001B2734">
      <w:pPr>
        <w:pStyle w:val="subsection"/>
        <w:spacing w:before="0" w:beforeAutospacing="0" w:after="0" w:afterAutospacing="0"/>
      </w:pPr>
    </w:p>
    <w:p w14:paraId="0F9321F8" w14:textId="0D047EEA" w:rsidR="00737B9A" w:rsidRPr="00C30B0C" w:rsidRDefault="00737B9A" w:rsidP="001B2734">
      <w:pPr>
        <w:pStyle w:val="subsection"/>
        <w:spacing w:before="0" w:beforeAutospacing="0" w:after="0" w:afterAutospacing="0"/>
      </w:pPr>
      <w:r w:rsidRPr="00C30B0C">
        <w:t>The purpose of the</w:t>
      </w:r>
      <w:r w:rsidR="0028457C">
        <w:t xml:space="preserve"> Amendment Rules</w:t>
      </w:r>
      <w:r w:rsidRPr="00C30B0C">
        <w:t xml:space="preserve"> is to amend the</w:t>
      </w:r>
      <w:r w:rsidRPr="00C30B0C">
        <w:rPr>
          <w:i/>
        </w:rPr>
        <w:t xml:space="preserve"> Summary Authority Rules 2019</w:t>
      </w:r>
      <w:r w:rsidRPr="00C30B0C">
        <w:t xml:space="preserve"> which apply in relation to proceedings relating to a service offence committed, or alleged to have been committed, by a defence member, and apply to summary service tribunals being </w:t>
      </w:r>
      <w:r w:rsidR="00BA703E">
        <w:t>c</w:t>
      </w:r>
      <w:r w:rsidRPr="00C30B0C">
        <w:t xml:space="preserve">ommanding </w:t>
      </w:r>
      <w:r w:rsidR="00BA703E">
        <w:t>o</w:t>
      </w:r>
      <w:r w:rsidRPr="00C30B0C">
        <w:t xml:space="preserve">fficers and </w:t>
      </w:r>
      <w:r w:rsidR="00BA703E">
        <w:t>s</w:t>
      </w:r>
      <w:r w:rsidRPr="00C30B0C">
        <w:t xml:space="preserve">uperior </w:t>
      </w:r>
      <w:r w:rsidR="00BA703E">
        <w:t>s</w:t>
      </w:r>
      <w:r w:rsidRPr="00C30B0C">
        <w:t xml:space="preserve">ummary </w:t>
      </w:r>
      <w:r w:rsidR="00BA703E">
        <w:t>a</w:t>
      </w:r>
      <w:r w:rsidRPr="00C30B0C">
        <w:t xml:space="preserve">uthorities under the </w:t>
      </w:r>
      <w:r w:rsidRPr="00C30B0C">
        <w:rPr>
          <w:i/>
        </w:rPr>
        <w:t>Defence Force Discipline Act 1982</w:t>
      </w:r>
      <w:r w:rsidRPr="00C30B0C">
        <w:t xml:space="preserve">. The </w:t>
      </w:r>
      <w:r w:rsidR="00BA703E">
        <w:t xml:space="preserve">Amendment </w:t>
      </w:r>
      <w:r w:rsidRPr="00C30B0C">
        <w:t xml:space="preserve">Rules consist of consequential changes as a result of the </w:t>
      </w:r>
      <w:r w:rsidRPr="00C30B0C">
        <w:rPr>
          <w:i/>
          <w:iCs/>
        </w:rPr>
        <w:t>Defence</w:t>
      </w:r>
      <w:r w:rsidR="00BA703E">
        <w:rPr>
          <w:i/>
          <w:iCs/>
        </w:rPr>
        <w:t> </w:t>
      </w:r>
      <w:r w:rsidRPr="00C30B0C">
        <w:rPr>
          <w:i/>
          <w:iCs/>
        </w:rPr>
        <w:t>Legislation Amendment (Discipline Reform) Act 2021</w:t>
      </w:r>
      <w:r w:rsidR="00BA703E">
        <w:rPr>
          <w:i/>
          <w:iCs/>
        </w:rPr>
        <w:t xml:space="preserve"> </w:t>
      </w:r>
      <w:r w:rsidR="00BA703E">
        <w:rPr>
          <w:iCs/>
        </w:rPr>
        <w:t>(the Amendment Act)</w:t>
      </w:r>
      <w:r w:rsidRPr="00C30B0C">
        <w:t>.</w:t>
      </w:r>
    </w:p>
    <w:p w14:paraId="780FC672" w14:textId="77777777" w:rsidR="00334D27" w:rsidRDefault="00334D27" w:rsidP="00920D83">
      <w:pPr>
        <w:shd w:val="clear" w:color="auto" w:fill="FFFFFF"/>
        <w:spacing w:after="0" w:line="240" w:lineRule="auto"/>
        <w:rPr>
          <w:rFonts w:ascii="Times New Roman" w:eastAsia="Times New Roman" w:hAnsi="Times New Roman" w:cs="Times New Roman"/>
          <w:iCs/>
          <w:color w:val="000000"/>
          <w:sz w:val="24"/>
          <w:szCs w:val="24"/>
          <w:lang w:eastAsia="en-AU"/>
        </w:rPr>
      </w:pPr>
    </w:p>
    <w:p w14:paraId="1A8AF313" w14:textId="00859B0C" w:rsidR="00737B9A" w:rsidRPr="00C30B0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C30B0C">
        <w:rPr>
          <w:rFonts w:ascii="Times New Roman" w:eastAsia="Times New Roman" w:hAnsi="Times New Roman" w:cs="Times New Roman"/>
          <w:iCs/>
          <w:color w:val="000000"/>
          <w:sz w:val="24"/>
          <w:szCs w:val="24"/>
          <w:lang w:eastAsia="en-AU"/>
        </w:rPr>
        <w:t>The amendments are consequential machinery provisions reflecting the commencement of the</w:t>
      </w:r>
      <w:r w:rsidR="00BA703E">
        <w:rPr>
          <w:rFonts w:ascii="Times New Roman" w:eastAsia="Times New Roman" w:hAnsi="Times New Roman" w:cs="Times New Roman"/>
          <w:iCs/>
          <w:color w:val="000000"/>
          <w:sz w:val="24"/>
          <w:szCs w:val="24"/>
          <w:lang w:eastAsia="en-AU"/>
        </w:rPr>
        <w:t xml:space="preserve"> Amendment</w:t>
      </w:r>
      <w:r w:rsidRPr="00C30B0C">
        <w:rPr>
          <w:rFonts w:ascii="Times New Roman" w:eastAsia="Times New Roman" w:hAnsi="Times New Roman" w:cs="Times New Roman"/>
          <w:iCs/>
          <w:color w:val="000000"/>
          <w:sz w:val="24"/>
          <w:szCs w:val="24"/>
          <w:lang w:eastAsia="en-AU"/>
        </w:rPr>
        <w:t xml:space="preserve"> Act and include contemporary drafting and language. There are no changes to the substantive provisions of the </w:t>
      </w:r>
      <w:r w:rsidRPr="00C30B0C">
        <w:rPr>
          <w:rFonts w:ascii="Times New Roman" w:hAnsi="Times New Roman" w:cs="Times New Roman"/>
          <w:i/>
          <w:sz w:val="24"/>
          <w:szCs w:val="24"/>
        </w:rPr>
        <w:t>Summary Authority Rules 2019</w:t>
      </w:r>
      <w:r w:rsidRPr="00C30B0C">
        <w:rPr>
          <w:rFonts w:ascii="Times New Roman" w:eastAsia="Times New Roman" w:hAnsi="Times New Roman" w:cs="Times New Roman"/>
          <w:iCs/>
          <w:color w:val="000000"/>
          <w:sz w:val="24"/>
          <w:szCs w:val="24"/>
          <w:lang w:eastAsia="en-AU"/>
        </w:rPr>
        <w:t>.</w:t>
      </w:r>
      <w:r w:rsidRPr="00C30B0C" w:rsidDel="006C02D4">
        <w:rPr>
          <w:rFonts w:ascii="Times New Roman" w:eastAsia="Times New Roman" w:hAnsi="Times New Roman" w:cs="Times New Roman"/>
          <w:iCs/>
          <w:color w:val="000000"/>
          <w:sz w:val="24"/>
          <w:szCs w:val="24"/>
          <w:lang w:eastAsia="en-AU"/>
        </w:rPr>
        <w:t xml:space="preserve"> </w:t>
      </w:r>
    </w:p>
    <w:p w14:paraId="5F9BDA6B" w14:textId="77777777" w:rsidR="00737B9A" w:rsidRPr="00C30B0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C30B0C">
        <w:rPr>
          <w:rFonts w:ascii="Times New Roman" w:eastAsia="Times New Roman" w:hAnsi="Times New Roman" w:cs="Times New Roman"/>
          <w:color w:val="000000"/>
          <w:sz w:val="24"/>
          <w:szCs w:val="24"/>
          <w:lang w:eastAsia="en-AU"/>
        </w:rPr>
        <w:t> </w:t>
      </w:r>
    </w:p>
    <w:p w14:paraId="791735C0" w14:textId="77777777" w:rsidR="00737B9A" w:rsidRPr="0028457C" w:rsidRDefault="00737B9A" w:rsidP="00920D83">
      <w:pPr>
        <w:shd w:val="clear" w:color="auto" w:fill="FFFFFF"/>
        <w:spacing w:after="0" w:line="240" w:lineRule="auto"/>
        <w:rPr>
          <w:rFonts w:ascii="Times New Roman" w:eastAsia="Times New Roman" w:hAnsi="Times New Roman" w:cs="Times New Roman"/>
          <w:b/>
          <w:bCs/>
          <w:color w:val="000000"/>
          <w:sz w:val="24"/>
          <w:szCs w:val="24"/>
          <w:lang w:eastAsia="en-AU"/>
        </w:rPr>
      </w:pPr>
      <w:r w:rsidRPr="0028457C">
        <w:rPr>
          <w:rFonts w:ascii="Times New Roman" w:eastAsia="Times New Roman" w:hAnsi="Times New Roman" w:cs="Times New Roman"/>
          <w:b/>
          <w:bCs/>
          <w:color w:val="000000"/>
          <w:sz w:val="24"/>
          <w:szCs w:val="24"/>
          <w:lang w:eastAsia="en-AU"/>
        </w:rPr>
        <w:t>Human rights implications</w:t>
      </w:r>
    </w:p>
    <w:p w14:paraId="0A7602C3" w14:textId="77777777" w:rsidR="00737B9A" w:rsidRPr="00C30B0C" w:rsidRDefault="00737B9A" w:rsidP="00920D83">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701F1B2E" w14:textId="309AC4D8" w:rsidR="00737B9A" w:rsidRPr="00C30B0C" w:rsidRDefault="00737B9A" w:rsidP="00920D83">
      <w:pPr>
        <w:shd w:val="clear" w:color="auto" w:fill="FFFFFF"/>
        <w:spacing w:after="0" w:line="240" w:lineRule="auto"/>
        <w:rPr>
          <w:rFonts w:ascii="Times New Roman" w:eastAsia="Times New Roman" w:hAnsi="Times New Roman" w:cs="Times New Roman"/>
          <w:color w:val="000000"/>
          <w:sz w:val="24"/>
          <w:szCs w:val="24"/>
          <w:lang w:eastAsia="en-AU"/>
        </w:rPr>
      </w:pPr>
      <w:r w:rsidRPr="00C30B0C">
        <w:rPr>
          <w:rFonts w:ascii="Times New Roman" w:eastAsia="Times New Roman" w:hAnsi="Times New Roman" w:cs="Times New Roman"/>
          <w:color w:val="000000"/>
          <w:sz w:val="24"/>
          <w:szCs w:val="24"/>
          <w:lang w:eastAsia="en-AU"/>
        </w:rPr>
        <w:t xml:space="preserve">The Judge Advocate General has assessed there are no </w:t>
      </w:r>
      <w:r w:rsidR="00BA703E">
        <w:rPr>
          <w:rFonts w:ascii="Times New Roman" w:eastAsia="Times New Roman" w:hAnsi="Times New Roman" w:cs="Times New Roman"/>
          <w:color w:val="000000"/>
          <w:sz w:val="24"/>
          <w:szCs w:val="24"/>
          <w:lang w:eastAsia="en-AU"/>
        </w:rPr>
        <w:t xml:space="preserve">relevant </w:t>
      </w:r>
      <w:r w:rsidRPr="00C30B0C">
        <w:rPr>
          <w:rFonts w:ascii="Times New Roman" w:eastAsia="Times New Roman" w:hAnsi="Times New Roman" w:cs="Times New Roman"/>
          <w:color w:val="000000"/>
          <w:sz w:val="24"/>
          <w:szCs w:val="24"/>
          <w:lang w:eastAsia="en-AU"/>
        </w:rPr>
        <w:t xml:space="preserve">human rights and freedoms engaged by the legislative instrument. </w:t>
      </w:r>
    </w:p>
    <w:p w14:paraId="74629D48" w14:textId="77777777" w:rsidR="00CA4A15" w:rsidRPr="00C30B0C" w:rsidRDefault="00CA4A15" w:rsidP="00920D83">
      <w:pPr>
        <w:spacing w:after="0" w:line="240" w:lineRule="auto"/>
        <w:rPr>
          <w:rFonts w:ascii="Times New Roman" w:hAnsi="Times New Roman" w:cs="Times New Roman"/>
          <w:sz w:val="24"/>
          <w:szCs w:val="24"/>
        </w:rPr>
      </w:pPr>
    </w:p>
    <w:sectPr w:rsidR="00CA4A15" w:rsidRPr="00C30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39D3"/>
    <w:multiLevelType w:val="hybridMultilevel"/>
    <w:tmpl w:val="AB903EB0"/>
    <w:lvl w:ilvl="0" w:tplc="500A0EF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F363B6D"/>
    <w:multiLevelType w:val="hybridMultilevel"/>
    <w:tmpl w:val="2E500D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9D6D86"/>
    <w:multiLevelType w:val="hybridMultilevel"/>
    <w:tmpl w:val="15167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5"/>
    <w:rsid w:val="000325AC"/>
    <w:rsid w:val="00037F1A"/>
    <w:rsid w:val="00061DB1"/>
    <w:rsid w:val="0007177E"/>
    <w:rsid w:val="00071FB2"/>
    <w:rsid w:val="00080D93"/>
    <w:rsid w:val="00084B5D"/>
    <w:rsid w:val="000959A3"/>
    <w:rsid w:val="001228AC"/>
    <w:rsid w:val="001262BF"/>
    <w:rsid w:val="001339CB"/>
    <w:rsid w:val="001657DD"/>
    <w:rsid w:val="00176C4C"/>
    <w:rsid w:val="001B2734"/>
    <w:rsid w:val="001D4470"/>
    <w:rsid w:val="001D44C4"/>
    <w:rsid w:val="001F28FF"/>
    <w:rsid w:val="001F58E3"/>
    <w:rsid w:val="002613A8"/>
    <w:rsid w:val="0028457C"/>
    <w:rsid w:val="0028732F"/>
    <w:rsid w:val="002C2C2D"/>
    <w:rsid w:val="002E4093"/>
    <w:rsid w:val="002E5D3D"/>
    <w:rsid w:val="003004C6"/>
    <w:rsid w:val="00305AAC"/>
    <w:rsid w:val="00324538"/>
    <w:rsid w:val="003312A7"/>
    <w:rsid w:val="00334D27"/>
    <w:rsid w:val="003523D9"/>
    <w:rsid w:val="00370694"/>
    <w:rsid w:val="00372830"/>
    <w:rsid w:val="00374C60"/>
    <w:rsid w:val="003756BE"/>
    <w:rsid w:val="00380FB1"/>
    <w:rsid w:val="00381EF3"/>
    <w:rsid w:val="00383F14"/>
    <w:rsid w:val="003A5547"/>
    <w:rsid w:val="003C3858"/>
    <w:rsid w:val="003D17C1"/>
    <w:rsid w:val="004055AB"/>
    <w:rsid w:val="00405E5B"/>
    <w:rsid w:val="00435C45"/>
    <w:rsid w:val="00451A00"/>
    <w:rsid w:val="00491787"/>
    <w:rsid w:val="004917B8"/>
    <w:rsid w:val="004E2410"/>
    <w:rsid w:val="004E5097"/>
    <w:rsid w:val="0051427B"/>
    <w:rsid w:val="00542474"/>
    <w:rsid w:val="00544806"/>
    <w:rsid w:val="00545867"/>
    <w:rsid w:val="00594715"/>
    <w:rsid w:val="005A1C31"/>
    <w:rsid w:val="005A44F3"/>
    <w:rsid w:val="005B228C"/>
    <w:rsid w:val="005D5B02"/>
    <w:rsid w:val="005E44A7"/>
    <w:rsid w:val="006000CE"/>
    <w:rsid w:val="00615EAF"/>
    <w:rsid w:val="00665FAC"/>
    <w:rsid w:val="006872EB"/>
    <w:rsid w:val="006919DC"/>
    <w:rsid w:val="006A00BC"/>
    <w:rsid w:val="006B48E9"/>
    <w:rsid w:val="006C02D4"/>
    <w:rsid w:val="006C6C3C"/>
    <w:rsid w:val="006D03E2"/>
    <w:rsid w:val="006D0C23"/>
    <w:rsid w:val="00701DDA"/>
    <w:rsid w:val="007041B5"/>
    <w:rsid w:val="0072173A"/>
    <w:rsid w:val="0072488A"/>
    <w:rsid w:val="007272AB"/>
    <w:rsid w:val="00737B9A"/>
    <w:rsid w:val="00742BA3"/>
    <w:rsid w:val="007C4EF3"/>
    <w:rsid w:val="007D515F"/>
    <w:rsid w:val="00801BEB"/>
    <w:rsid w:val="00816B5D"/>
    <w:rsid w:val="00856C0A"/>
    <w:rsid w:val="00861A80"/>
    <w:rsid w:val="00872B05"/>
    <w:rsid w:val="00894D52"/>
    <w:rsid w:val="008B034C"/>
    <w:rsid w:val="008E7E59"/>
    <w:rsid w:val="009025E1"/>
    <w:rsid w:val="0090616B"/>
    <w:rsid w:val="00920D83"/>
    <w:rsid w:val="00940C49"/>
    <w:rsid w:val="009508A7"/>
    <w:rsid w:val="009554BC"/>
    <w:rsid w:val="009562EF"/>
    <w:rsid w:val="0096287B"/>
    <w:rsid w:val="009647F4"/>
    <w:rsid w:val="009827CE"/>
    <w:rsid w:val="00992A10"/>
    <w:rsid w:val="00994EAB"/>
    <w:rsid w:val="009C3D7B"/>
    <w:rsid w:val="009D6BD6"/>
    <w:rsid w:val="009F62C0"/>
    <w:rsid w:val="00A028EB"/>
    <w:rsid w:val="00A109C4"/>
    <w:rsid w:val="00A75C7B"/>
    <w:rsid w:val="00A9233C"/>
    <w:rsid w:val="00AB3E8E"/>
    <w:rsid w:val="00AD090D"/>
    <w:rsid w:val="00AD59BD"/>
    <w:rsid w:val="00B34C11"/>
    <w:rsid w:val="00B867F3"/>
    <w:rsid w:val="00B90D01"/>
    <w:rsid w:val="00BA703E"/>
    <w:rsid w:val="00C02427"/>
    <w:rsid w:val="00C12D51"/>
    <w:rsid w:val="00C13208"/>
    <w:rsid w:val="00C25F29"/>
    <w:rsid w:val="00C30B0C"/>
    <w:rsid w:val="00C62A9B"/>
    <w:rsid w:val="00C64AA2"/>
    <w:rsid w:val="00C84DC5"/>
    <w:rsid w:val="00C937BB"/>
    <w:rsid w:val="00CA063B"/>
    <w:rsid w:val="00CA4A15"/>
    <w:rsid w:val="00CD798D"/>
    <w:rsid w:val="00D30C9A"/>
    <w:rsid w:val="00D42502"/>
    <w:rsid w:val="00D4728A"/>
    <w:rsid w:val="00D62D73"/>
    <w:rsid w:val="00D67995"/>
    <w:rsid w:val="00D7145A"/>
    <w:rsid w:val="00DA0958"/>
    <w:rsid w:val="00DA7272"/>
    <w:rsid w:val="00DB67BD"/>
    <w:rsid w:val="00DC4BB7"/>
    <w:rsid w:val="00DF46B7"/>
    <w:rsid w:val="00E3486A"/>
    <w:rsid w:val="00E55A80"/>
    <w:rsid w:val="00E56C9E"/>
    <w:rsid w:val="00E720BE"/>
    <w:rsid w:val="00E85E9B"/>
    <w:rsid w:val="00F36BE9"/>
    <w:rsid w:val="00F81373"/>
    <w:rsid w:val="00FB0979"/>
    <w:rsid w:val="00FB58D3"/>
    <w:rsid w:val="00FC0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A1D6"/>
  <w15:chartTrackingRefBased/>
  <w15:docId w15:val="{D5693948-B729-4242-84A8-BFC5556A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basedOn w:val="Normal"/>
    <w:link w:val="subsectionChar"/>
    <w:rsid w:val="00435C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86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F3"/>
    <w:rPr>
      <w:rFonts w:ascii="Segoe UI" w:hAnsi="Segoe UI" w:cs="Segoe UI"/>
      <w:sz w:val="18"/>
      <w:szCs w:val="18"/>
    </w:rPr>
  </w:style>
  <w:style w:type="paragraph" w:customStyle="1" w:styleId="Default">
    <w:name w:val="Default"/>
    <w:rsid w:val="00C12D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A44F3"/>
    <w:pPr>
      <w:ind w:left="720"/>
      <w:contextualSpacing/>
    </w:pPr>
  </w:style>
  <w:style w:type="paragraph" w:customStyle="1" w:styleId="ActHead2">
    <w:name w:val="ActHead 2"/>
    <w:aliases w:val="p"/>
    <w:basedOn w:val="Normal"/>
    <w:next w:val="ActHead3"/>
    <w:qFormat/>
    <w:rsid w:val="00D62D73"/>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D62D73"/>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D62D7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9">
    <w:name w:val="ActHead 9"/>
    <w:aliases w:val="aat"/>
    <w:basedOn w:val="Normal"/>
    <w:next w:val="ItemHead"/>
    <w:qFormat/>
    <w:rsid w:val="00D62D7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Item">
    <w:name w:val="Item"/>
    <w:aliases w:val="i"/>
    <w:basedOn w:val="Normal"/>
    <w:next w:val="ItemHead"/>
    <w:rsid w:val="00D62D73"/>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D62D73"/>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ubsectionChar">
    <w:name w:val="subsection Char"/>
    <w:aliases w:val="ss Char"/>
    <w:basedOn w:val="DefaultParagraphFont"/>
    <w:link w:val="subsection"/>
    <w:locked/>
    <w:rsid w:val="00D62D73"/>
    <w:rPr>
      <w:rFonts w:ascii="Times New Roman" w:eastAsia="Times New Roman" w:hAnsi="Times New Roman" w:cs="Times New Roman"/>
      <w:sz w:val="24"/>
      <w:szCs w:val="24"/>
      <w:lang w:eastAsia="en-AU"/>
    </w:rPr>
  </w:style>
  <w:style w:type="character" w:customStyle="1" w:styleId="ActHead5Char">
    <w:name w:val="ActHead 5 Char"/>
    <w:aliases w:val="s Char"/>
    <w:link w:val="ActHead5"/>
    <w:rsid w:val="00D62D73"/>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semiHidden/>
    <w:unhideWhenUsed/>
    <w:rsid w:val="00E56C9E"/>
    <w:rPr>
      <w:color w:val="0000FF"/>
      <w:u w:val="single"/>
    </w:rPr>
  </w:style>
  <w:style w:type="paragraph" w:customStyle="1" w:styleId="paragraph">
    <w:name w:val="paragraph"/>
    <w:basedOn w:val="Normal"/>
    <w:rsid w:val="00E56C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64AA2"/>
    <w:rPr>
      <w:sz w:val="16"/>
      <w:szCs w:val="16"/>
    </w:rPr>
  </w:style>
  <w:style w:type="paragraph" w:styleId="CommentText">
    <w:name w:val="annotation text"/>
    <w:basedOn w:val="Normal"/>
    <w:link w:val="CommentTextChar"/>
    <w:uiPriority w:val="99"/>
    <w:semiHidden/>
    <w:unhideWhenUsed/>
    <w:rsid w:val="00C64AA2"/>
    <w:pPr>
      <w:spacing w:line="240" w:lineRule="auto"/>
    </w:pPr>
    <w:rPr>
      <w:sz w:val="20"/>
      <w:szCs w:val="20"/>
    </w:rPr>
  </w:style>
  <w:style w:type="character" w:customStyle="1" w:styleId="CommentTextChar">
    <w:name w:val="Comment Text Char"/>
    <w:basedOn w:val="DefaultParagraphFont"/>
    <w:link w:val="CommentText"/>
    <w:uiPriority w:val="99"/>
    <w:semiHidden/>
    <w:rsid w:val="00C64AA2"/>
    <w:rPr>
      <w:sz w:val="20"/>
      <w:szCs w:val="20"/>
    </w:rPr>
  </w:style>
  <w:style w:type="paragraph" w:styleId="CommentSubject">
    <w:name w:val="annotation subject"/>
    <w:basedOn w:val="CommentText"/>
    <w:next w:val="CommentText"/>
    <w:link w:val="CommentSubjectChar"/>
    <w:uiPriority w:val="99"/>
    <w:semiHidden/>
    <w:unhideWhenUsed/>
    <w:rsid w:val="00C64AA2"/>
    <w:rPr>
      <w:b/>
      <w:bCs/>
    </w:rPr>
  </w:style>
  <w:style w:type="character" w:customStyle="1" w:styleId="CommentSubjectChar">
    <w:name w:val="Comment Subject Char"/>
    <w:basedOn w:val="CommentTextChar"/>
    <w:link w:val="CommentSubject"/>
    <w:uiPriority w:val="99"/>
    <w:semiHidden/>
    <w:rsid w:val="00C64AA2"/>
    <w:rPr>
      <w:b/>
      <w:bCs/>
      <w:sz w:val="20"/>
      <w:szCs w:val="20"/>
    </w:rPr>
  </w:style>
  <w:style w:type="paragraph" w:styleId="Revision">
    <w:name w:val="Revision"/>
    <w:hidden/>
    <w:uiPriority w:val="99"/>
    <w:semiHidden/>
    <w:rsid w:val="00A109C4"/>
    <w:pPr>
      <w:spacing w:after="0" w:line="240" w:lineRule="auto"/>
    </w:pPr>
  </w:style>
  <w:style w:type="character" w:styleId="Strong">
    <w:name w:val="Strong"/>
    <w:basedOn w:val="DefaultParagraphFont"/>
    <w:uiPriority w:val="22"/>
    <w:qFormat/>
    <w:rsid w:val="00861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90808">
      <w:bodyDiv w:val="1"/>
      <w:marLeft w:val="0"/>
      <w:marRight w:val="0"/>
      <w:marTop w:val="0"/>
      <w:marBottom w:val="0"/>
      <w:divBdr>
        <w:top w:val="none" w:sz="0" w:space="0" w:color="auto"/>
        <w:left w:val="none" w:sz="0" w:space="0" w:color="auto"/>
        <w:bottom w:val="none" w:sz="0" w:space="0" w:color="auto"/>
        <w:right w:val="none" w:sz="0" w:space="0" w:color="auto"/>
      </w:divBdr>
    </w:div>
    <w:div w:id="735972939">
      <w:bodyDiv w:val="1"/>
      <w:marLeft w:val="0"/>
      <w:marRight w:val="0"/>
      <w:marTop w:val="0"/>
      <w:marBottom w:val="0"/>
      <w:divBdr>
        <w:top w:val="none" w:sz="0" w:space="0" w:color="auto"/>
        <w:left w:val="none" w:sz="0" w:space="0" w:color="auto"/>
        <w:bottom w:val="none" w:sz="0" w:space="0" w:color="auto"/>
        <w:right w:val="none" w:sz="0" w:space="0" w:color="auto"/>
      </w:divBdr>
    </w:div>
    <w:div w:id="809203164">
      <w:bodyDiv w:val="1"/>
      <w:marLeft w:val="0"/>
      <w:marRight w:val="0"/>
      <w:marTop w:val="0"/>
      <w:marBottom w:val="0"/>
      <w:divBdr>
        <w:top w:val="none" w:sz="0" w:space="0" w:color="auto"/>
        <w:left w:val="none" w:sz="0" w:space="0" w:color="auto"/>
        <w:bottom w:val="none" w:sz="0" w:space="0" w:color="auto"/>
        <w:right w:val="none" w:sz="0" w:space="0" w:color="auto"/>
      </w:divBdr>
    </w:div>
    <w:div w:id="924461969">
      <w:bodyDiv w:val="1"/>
      <w:marLeft w:val="0"/>
      <w:marRight w:val="0"/>
      <w:marTop w:val="0"/>
      <w:marBottom w:val="0"/>
      <w:divBdr>
        <w:top w:val="none" w:sz="0" w:space="0" w:color="auto"/>
        <w:left w:val="none" w:sz="0" w:space="0" w:color="auto"/>
        <w:bottom w:val="none" w:sz="0" w:space="0" w:color="auto"/>
        <w:right w:val="none" w:sz="0" w:space="0" w:color="auto"/>
      </w:divBdr>
    </w:div>
    <w:div w:id="954405643">
      <w:bodyDiv w:val="1"/>
      <w:marLeft w:val="0"/>
      <w:marRight w:val="0"/>
      <w:marTop w:val="0"/>
      <w:marBottom w:val="0"/>
      <w:divBdr>
        <w:top w:val="none" w:sz="0" w:space="0" w:color="auto"/>
        <w:left w:val="none" w:sz="0" w:space="0" w:color="auto"/>
        <w:bottom w:val="none" w:sz="0" w:space="0" w:color="auto"/>
        <w:right w:val="none" w:sz="0" w:space="0" w:color="auto"/>
      </w:divBdr>
    </w:div>
    <w:div w:id="10328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51BE-ACE7-4F35-93DB-BA493AAB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Geoff COL</dc:creator>
  <cp:keywords/>
  <dc:description/>
  <cp:lastModifiedBy>Jones, Rachel CAPT - RAN 3</cp:lastModifiedBy>
  <cp:revision>2</cp:revision>
  <cp:lastPrinted>2022-05-17T23:53:00Z</cp:lastPrinted>
  <dcterms:created xsi:type="dcterms:W3CDTF">2022-07-19T06:28:00Z</dcterms:created>
  <dcterms:modified xsi:type="dcterms:W3CDTF">2022-07-19T06:28:00Z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BN47539010</vt:lpwstr>
  </property>
  <property fmtid="{D5CDD505-2E9C-101B-9397-08002B2CF9AE}" pid="4" name="Objective-Title">
    <vt:lpwstr>I22QH145 Summary Authority Amendment Rules 2022 - Explanatory Statement (incl. human rights compatability statement)</vt:lpwstr>
  </property>
  <property fmtid="{D5CDD505-2E9C-101B-9397-08002B2CF9AE}" pid="5" name="Objective-Comment">
    <vt:lpwstr/>
  </property>
  <property fmtid="{D5CDD505-2E9C-101B-9397-08002B2CF9AE}" pid="6" name="Objective-CreationStamp">
    <vt:filetime>2022-06-02T02:27:38Z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2022-07-06T23:58:43Z</vt:filetime>
  </property>
  <property fmtid="{D5CDD505-2E9C-101B-9397-08002B2CF9AE}" pid="10" name="Objective-ModificationStamp">
    <vt:filetime>2022-07-19T06:26:02Z</vt:filetime>
  </property>
  <property fmtid="{D5CDD505-2E9C-101B-9397-08002B2CF9AE}" pid="11" name="Objective-Owner">
    <vt:lpwstr>Mcconachie, Ian CMDR</vt:lpwstr>
  </property>
  <property fmtid="{D5CDD505-2E9C-101B-9397-08002B2CF9AE}" pid="12" name="Objective-Path">
    <vt:lpwstr>Objective Global Folder - PROD:Defence Business Units:Associate Secretary Group:Defence Legal:DLD : Defence Legal Division:Legislative Reform:Defence Instrument Program:. Defence Instruments Program 2022:Summary Authority Amendment Rules 2022:Final docume</vt:lpwstr>
  </property>
  <property fmtid="{D5CDD505-2E9C-101B-9397-08002B2CF9AE}" pid="13" name="Objective-Parent">
    <vt:lpwstr>Final documents for federal register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final word</vt:lpwstr>
  </property>
  <property fmtid="{D5CDD505-2E9C-101B-9397-08002B2CF9AE}" pid="18" name="Objective-FileNumber">
    <vt:lpwstr>2022/1060530</vt:lpwstr>
  </property>
  <property fmtid="{D5CDD505-2E9C-101B-9397-08002B2CF9AE}" pid="19" name="Objective-Classification">
    <vt:lpwstr>[Inherited - Official: Sensitive]</vt:lpwstr>
  </property>
  <property fmtid="{D5CDD505-2E9C-101B-9397-08002B2CF9AE}" pid="20" name="Objective-Caveats">
    <vt:lpwstr/>
  </property>
  <property fmtid="{D5CDD505-2E9C-101B-9397-08002B2CF9AE}" pid="21" name="Objective-Document Type [system]">
    <vt:lpwstr>Manual</vt:lpwstr>
  </property>
  <property fmtid="{D5CDD505-2E9C-101B-9397-08002B2CF9AE}" pid="22" name="Objective-Reason for Security Classification Change [system]">
    <vt:lpwstr/>
  </property>
</Properties>
</file>