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4DBCD60F" w:rsidR="004C58B9" w:rsidRDefault="00BA375E" w:rsidP="004C58B9">
      <w:pPr>
        <w:jc w:val="center"/>
        <w:rPr>
          <w:rFonts w:ascii="Times New Roman" w:hAnsi="Times New Roman" w:cs="Times New Roman"/>
          <w:i/>
        </w:rPr>
      </w:pPr>
      <w:r>
        <w:rPr>
          <w:rFonts w:ascii="Times New Roman" w:hAnsi="Times New Roman" w:cs="Times New Roman"/>
          <w:i/>
        </w:rPr>
        <w:t>Telecommunications Act 1997</w:t>
      </w:r>
    </w:p>
    <w:p w14:paraId="5BD65A2C" w14:textId="156E50A4" w:rsidR="004C58B9" w:rsidRDefault="00BA375E" w:rsidP="004C58B9">
      <w:pPr>
        <w:jc w:val="center"/>
        <w:rPr>
          <w:rFonts w:ascii="Times New Roman" w:hAnsi="Times New Roman" w:cs="Times New Roman"/>
          <w:b/>
          <w:i/>
        </w:rPr>
      </w:pPr>
      <w:r>
        <w:rPr>
          <w:rFonts w:ascii="Times New Roman" w:hAnsi="Times New Roman" w:cs="Times New Roman"/>
          <w:b/>
          <w:i/>
        </w:rPr>
        <w:t xml:space="preserve">Telecommunications (Listed Infringement Notice Provisions) </w:t>
      </w:r>
      <w:r w:rsidR="00E81257">
        <w:rPr>
          <w:rFonts w:ascii="Times New Roman" w:hAnsi="Times New Roman" w:cs="Times New Roman"/>
          <w:b/>
          <w:i/>
        </w:rPr>
        <w:t>Amendment Declaration </w:t>
      </w:r>
      <w:r>
        <w:rPr>
          <w:rFonts w:ascii="Times New Roman" w:hAnsi="Times New Roman" w:cs="Times New Roman"/>
          <w:b/>
          <w:i/>
        </w:rPr>
        <w:t>2022</w:t>
      </w:r>
      <w:r w:rsidR="00907231">
        <w:rPr>
          <w:rFonts w:ascii="Times New Roman" w:hAnsi="Times New Roman" w:cs="Times New Roman"/>
          <w:b/>
          <w:i/>
        </w:rPr>
        <w:t xml:space="preserve"> (No.1) </w:t>
      </w:r>
    </w:p>
    <w:p w14:paraId="5A55873A" w14:textId="77777777" w:rsidR="00BA375E" w:rsidRDefault="004C58B9" w:rsidP="00BA375E">
      <w:pPr>
        <w:spacing w:before="280"/>
        <w:rPr>
          <w:rFonts w:ascii="Times New Roman" w:hAnsi="Times New Roman" w:cs="Times New Roman"/>
          <w:b/>
        </w:rPr>
      </w:pPr>
      <w:r>
        <w:rPr>
          <w:rFonts w:ascii="Times New Roman" w:hAnsi="Times New Roman" w:cs="Times New Roman"/>
          <w:b/>
        </w:rPr>
        <w:t>Authority</w:t>
      </w:r>
    </w:p>
    <w:p w14:paraId="39950C87" w14:textId="18F0D50D" w:rsidR="00BA375E" w:rsidRPr="00BA375E" w:rsidRDefault="00BA375E" w:rsidP="00BA375E">
      <w:pPr>
        <w:spacing w:before="280"/>
        <w:rPr>
          <w:rFonts w:ascii="Times New Roman" w:hAnsi="Times New Roman" w:cs="Times New Roman"/>
          <w:b/>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Pr="00BA375E">
        <w:rPr>
          <w:rFonts w:ascii="Times New Roman" w:hAnsi="Times New Roman" w:cs="Times New Roman"/>
          <w:i/>
        </w:rPr>
        <w:t xml:space="preserve">Telecommunications (Listed Infringement Notice Provisions) </w:t>
      </w:r>
      <w:r>
        <w:rPr>
          <w:rFonts w:ascii="Times New Roman" w:hAnsi="Times New Roman" w:cs="Times New Roman"/>
          <w:i/>
        </w:rPr>
        <w:t xml:space="preserve">Amendment </w:t>
      </w:r>
      <w:r w:rsidRPr="00BA375E">
        <w:rPr>
          <w:rFonts w:ascii="Times New Roman" w:hAnsi="Times New Roman" w:cs="Times New Roman"/>
          <w:i/>
        </w:rPr>
        <w:t>Declaration 2022</w:t>
      </w:r>
      <w:r w:rsidR="00E81257">
        <w:rPr>
          <w:rFonts w:ascii="Times New Roman" w:hAnsi="Times New Roman" w:cs="Times New Roman"/>
          <w:i/>
        </w:rPr>
        <w:t xml:space="preserve"> (No. 1)</w:t>
      </w:r>
      <w:r w:rsidRPr="00BA375E">
        <w:rPr>
          <w:rFonts w:ascii="Times New Roman" w:hAnsi="Times New Roman" w:cs="Times New Roman"/>
          <w:i/>
        </w:rPr>
        <w:t xml:space="preserve"> </w:t>
      </w:r>
      <w:r w:rsidRPr="00BA375E">
        <w:rPr>
          <w:rFonts w:ascii="Times New Roman" w:hAnsi="Times New Roman" w:cs="Times New Roman"/>
        </w:rPr>
        <w:t>(</w:t>
      </w:r>
      <w:r w:rsidRPr="00BA375E">
        <w:rPr>
          <w:rFonts w:ascii="Times New Roman" w:hAnsi="Times New Roman" w:cs="Times New Roman"/>
          <w:b/>
        </w:rPr>
        <w:t xml:space="preserve">the </w:t>
      </w:r>
      <w:r w:rsidR="00FE18B2">
        <w:rPr>
          <w:rFonts w:ascii="Times New Roman" w:hAnsi="Times New Roman" w:cs="Times New Roman"/>
          <w:b/>
        </w:rPr>
        <w:t>i</w:t>
      </w:r>
      <w:r w:rsidR="00D44D21">
        <w:rPr>
          <w:rFonts w:ascii="Times New Roman" w:hAnsi="Times New Roman" w:cs="Times New Roman"/>
          <w:b/>
        </w:rPr>
        <w:t>nstrument</w:t>
      </w:r>
      <w:r w:rsidRPr="00BA375E">
        <w:rPr>
          <w:rFonts w:ascii="Times New Roman" w:hAnsi="Times New Roman" w:cs="Times New Roman"/>
        </w:rPr>
        <w:t xml:space="preserve">) </w:t>
      </w:r>
      <w:r>
        <w:rPr>
          <w:rFonts w:ascii="Times New Roman" w:hAnsi="Times New Roman" w:cs="Times New Roman"/>
        </w:rPr>
        <w:t xml:space="preserve">under </w:t>
      </w:r>
      <w:r w:rsidRPr="004227CF">
        <w:rPr>
          <w:rFonts w:ascii="Times New Roman" w:hAnsi="Times New Roman" w:cs="Times New Roman"/>
        </w:rPr>
        <w:t>subsection 572</w:t>
      </w:r>
      <w:proofErr w:type="gramStart"/>
      <w:r w:rsidRPr="004227CF">
        <w:rPr>
          <w:rFonts w:ascii="Times New Roman" w:hAnsi="Times New Roman" w:cs="Times New Roman"/>
        </w:rPr>
        <w:t>E(</w:t>
      </w:r>
      <w:proofErr w:type="gramEnd"/>
      <w:r w:rsidRPr="004227CF">
        <w:rPr>
          <w:rFonts w:ascii="Times New Roman" w:hAnsi="Times New Roman" w:cs="Times New Roman"/>
        </w:rPr>
        <w:t>7) of t</w:t>
      </w:r>
      <w:r w:rsidRPr="00BA375E">
        <w:rPr>
          <w:rFonts w:ascii="Times New Roman" w:hAnsi="Times New Roman" w:cs="Times New Roman"/>
        </w:rPr>
        <w:t xml:space="preserve">he </w:t>
      </w:r>
      <w:r w:rsidRPr="00BA375E">
        <w:rPr>
          <w:rFonts w:ascii="Times New Roman" w:hAnsi="Times New Roman" w:cs="Times New Roman"/>
          <w:i/>
        </w:rPr>
        <w:t>Telecommunications Act 1997</w:t>
      </w:r>
      <w:r w:rsidRPr="00BA375E">
        <w:rPr>
          <w:rFonts w:ascii="Times New Roman" w:hAnsi="Times New Roman" w:cs="Times New Roman"/>
        </w:rPr>
        <w:t xml:space="preserve"> (</w:t>
      </w:r>
      <w:r w:rsidRPr="00BA375E">
        <w:rPr>
          <w:rFonts w:ascii="Times New Roman" w:hAnsi="Times New Roman" w:cs="Times New Roman"/>
          <w:b/>
        </w:rPr>
        <w:t>the Act</w:t>
      </w:r>
      <w:r w:rsidRPr="00BA375E">
        <w:rPr>
          <w:rFonts w:ascii="Times New Roman" w:hAnsi="Times New Roman" w:cs="Times New Roman"/>
        </w:rPr>
        <w:t xml:space="preserve">) and subsection 33(3) of the </w:t>
      </w:r>
      <w:r w:rsidRPr="00BA375E">
        <w:rPr>
          <w:rFonts w:ascii="Times New Roman" w:hAnsi="Times New Roman" w:cs="Times New Roman"/>
          <w:i/>
        </w:rPr>
        <w:t>Acts Interpretation Act 1901</w:t>
      </w:r>
      <w:r w:rsidRPr="00BA375E">
        <w:rPr>
          <w:rFonts w:ascii="Times New Roman" w:hAnsi="Times New Roman" w:cs="Times New Roman"/>
        </w:rPr>
        <w:t xml:space="preserve"> (</w:t>
      </w:r>
      <w:r w:rsidRPr="00BA375E">
        <w:rPr>
          <w:rFonts w:ascii="Times New Roman" w:hAnsi="Times New Roman" w:cs="Times New Roman"/>
          <w:b/>
        </w:rPr>
        <w:t>the AIA</w:t>
      </w:r>
      <w:r w:rsidRPr="00BA375E">
        <w:rPr>
          <w:rFonts w:ascii="Times New Roman" w:hAnsi="Times New Roman" w:cs="Times New Roman"/>
        </w:rPr>
        <w:t>).</w:t>
      </w:r>
    </w:p>
    <w:p w14:paraId="584254E2" w14:textId="77777777" w:rsidR="00BA375E" w:rsidRPr="00BA375E" w:rsidRDefault="00BA375E" w:rsidP="00BA375E">
      <w:pPr>
        <w:spacing w:line="257" w:lineRule="auto"/>
        <w:rPr>
          <w:rFonts w:ascii="Times New Roman" w:hAnsi="Times New Roman" w:cs="Times New Roman"/>
        </w:rPr>
      </w:pPr>
      <w:r w:rsidRPr="00BA375E">
        <w:rPr>
          <w:rFonts w:ascii="Times New Roman" w:hAnsi="Times New Roman" w:cs="Times New Roman"/>
        </w:rPr>
        <w:t>Subsection 572</w:t>
      </w:r>
      <w:proofErr w:type="gramStart"/>
      <w:r w:rsidRPr="00BA375E">
        <w:rPr>
          <w:rFonts w:ascii="Times New Roman" w:hAnsi="Times New Roman" w:cs="Times New Roman"/>
        </w:rPr>
        <w:t>E(</w:t>
      </w:r>
      <w:proofErr w:type="gramEnd"/>
      <w:r w:rsidRPr="00BA375E">
        <w:rPr>
          <w:rFonts w:ascii="Times New Roman" w:hAnsi="Times New Roman" w:cs="Times New Roman"/>
        </w:rPr>
        <w:t>7) of the Act provides that the ACMA may, by legislative instrument, declare that a specified provision of:</w:t>
      </w:r>
    </w:p>
    <w:p w14:paraId="03BF3F51" w14:textId="77777777" w:rsidR="00BA375E" w:rsidRPr="00BA375E" w:rsidRDefault="00BA375E" w:rsidP="00BA375E">
      <w:pPr>
        <w:pStyle w:val="ListParagraph"/>
        <w:numPr>
          <w:ilvl w:val="0"/>
          <w:numId w:val="18"/>
        </w:numPr>
        <w:spacing w:line="257" w:lineRule="auto"/>
        <w:ind w:left="777" w:hanging="357"/>
        <w:rPr>
          <w:rFonts w:ascii="Times New Roman" w:hAnsi="Times New Roman" w:cs="Times New Roman"/>
        </w:rPr>
      </w:pPr>
      <w:r w:rsidRPr="00BA375E">
        <w:rPr>
          <w:rFonts w:ascii="Times New Roman" w:hAnsi="Times New Roman" w:cs="Times New Roman"/>
        </w:rPr>
        <w:t xml:space="preserve">the </w:t>
      </w:r>
      <w:proofErr w:type="gramStart"/>
      <w:r w:rsidRPr="00BA375E">
        <w:rPr>
          <w:rFonts w:ascii="Times New Roman" w:hAnsi="Times New Roman" w:cs="Times New Roman"/>
        </w:rPr>
        <w:t>Act;</w:t>
      </w:r>
      <w:proofErr w:type="gramEnd"/>
    </w:p>
    <w:p w14:paraId="5AECB867" w14:textId="77777777" w:rsidR="00BA375E" w:rsidRPr="00BA375E" w:rsidRDefault="00BA375E" w:rsidP="00BA375E">
      <w:pPr>
        <w:pStyle w:val="ListParagraph"/>
        <w:numPr>
          <w:ilvl w:val="0"/>
          <w:numId w:val="18"/>
        </w:numPr>
        <w:spacing w:line="257" w:lineRule="auto"/>
        <w:ind w:left="777" w:hanging="357"/>
        <w:rPr>
          <w:rFonts w:ascii="Times New Roman" w:hAnsi="Times New Roman" w:cs="Times New Roman"/>
        </w:rPr>
      </w:pPr>
      <w:r w:rsidRPr="00BA375E">
        <w:rPr>
          <w:rFonts w:ascii="Times New Roman" w:hAnsi="Times New Roman" w:cs="Times New Roman"/>
        </w:rPr>
        <w:t xml:space="preserve">a declaration in force under section 63 of the Act; or </w:t>
      </w:r>
    </w:p>
    <w:p w14:paraId="466B272D" w14:textId="77777777" w:rsidR="00BA375E" w:rsidRPr="00BA375E" w:rsidRDefault="00BA375E" w:rsidP="00BA375E">
      <w:pPr>
        <w:pStyle w:val="ListParagraph"/>
        <w:numPr>
          <w:ilvl w:val="0"/>
          <w:numId w:val="18"/>
        </w:numPr>
        <w:spacing w:line="257" w:lineRule="auto"/>
        <w:ind w:left="777" w:hanging="357"/>
        <w:rPr>
          <w:rFonts w:ascii="Times New Roman" w:hAnsi="Times New Roman" w:cs="Times New Roman"/>
        </w:rPr>
      </w:pPr>
      <w:r w:rsidRPr="00BA375E">
        <w:rPr>
          <w:rFonts w:ascii="Times New Roman" w:hAnsi="Times New Roman" w:cs="Times New Roman"/>
        </w:rPr>
        <w:t xml:space="preserve">a determination in force under section 99 of the </w:t>
      </w:r>
      <w:proofErr w:type="gramStart"/>
      <w:r w:rsidRPr="00BA375E">
        <w:rPr>
          <w:rFonts w:ascii="Times New Roman" w:hAnsi="Times New Roman" w:cs="Times New Roman"/>
        </w:rPr>
        <w:t>Act;</w:t>
      </w:r>
      <w:proofErr w:type="gramEnd"/>
    </w:p>
    <w:p w14:paraId="17CAC86F" w14:textId="77777777" w:rsidR="00BA375E" w:rsidRPr="00BA375E" w:rsidRDefault="00BA375E" w:rsidP="00BA375E">
      <w:pPr>
        <w:spacing w:line="257" w:lineRule="auto"/>
        <w:rPr>
          <w:rFonts w:ascii="Times New Roman" w:hAnsi="Times New Roman" w:cs="Times New Roman"/>
        </w:rPr>
      </w:pPr>
      <w:r w:rsidRPr="00BA375E">
        <w:rPr>
          <w:rFonts w:ascii="Times New Roman" w:hAnsi="Times New Roman" w:cs="Times New Roman"/>
        </w:rPr>
        <w:t xml:space="preserve">is a listed infringement notice provision for the purposes of section 572E of the Act.  </w:t>
      </w:r>
    </w:p>
    <w:p w14:paraId="5978110E" w14:textId="6A2A21DF" w:rsidR="00BA375E" w:rsidRPr="00BA375E" w:rsidRDefault="00BA375E" w:rsidP="00BA375E">
      <w:pPr>
        <w:spacing w:line="257" w:lineRule="auto"/>
        <w:rPr>
          <w:rFonts w:ascii="Times New Roman" w:hAnsi="Times New Roman" w:cs="Times New Roman"/>
        </w:rPr>
      </w:pPr>
      <w:bookmarkStart w:id="0" w:name="_Hlk97807493"/>
      <w:r w:rsidRPr="00BA375E">
        <w:rPr>
          <w:rFonts w:ascii="Times New Roman" w:hAnsi="Times New Roman" w:cs="Times New Roman"/>
        </w:rPr>
        <w:t>Section 572E allows the ACMA to give an infringement notice in relation to a contravention of a civil penalty provision. Sections 68 and 101 of the Act require carriers and carriage service providers (</w:t>
      </w:r>
      <w:r w:rsidRPr="00BA375E">
        <w:rPr>
          <w:rFonts w:ascii="Times New Roman" w:hAnsi="Times New Roman" w:cs="Times New Roman"/>
          <w:b/>
          <w:bCs/>
        </w:rPr>
        <w:t>CSPs</w:t>
      </w:r>
      <w:r w:rsidRPr="00BA375E">
        <w:rPr>
          <w:rFonts w:ascii="Times New Roman" w:hAnsi="Times New Roman" w:cs="Times New Roman"/>
        </w:rPr>
        <w:t xml:space="preserve">) to comply with licence conditions and service provider rules, respectively, and include civil penalty provisions that apply to a carrier or </w:t>
      </w:r>
      <w:r w:rsidR="00DA56C5">
        <w:rPr>
          <w:rFonts w:ascii="Times New Roman" w:hAnsi="Times New Roman" w:cs="Times New Roman"/>
        </w:rPr>
        <w:t>CSP</w:t>
      </w:r>
      <w:r w:rsidRPr="00BA375E">
        <w:rPr>
          <w:rFonts w:ascii="Times New Roman" w:hAnsi="Times New Roman" w:cs="Times New Roman"/>
        </w:rPr>
        <w:t xml:space="preserve"> that </w:t>
      </w:r>
      <w:r w:rsidRPr="00990AB9">
        <w:rPr>
          <w:rFonts w:ascii="Times New Roman" w:hAnsi="Times New Roman" w:cs="Times New Roman"/>
        </w:rPr>
        <w:t>contravenes another</w:t>
      </w:r>
      <w:r w:rsidRPr="00BA375E">
        <w:rPr>
          <w:rFonts w:ascii="Times New Roman" w:hAnsi="Times New Roman" w:cs="Times New Roman"/>
        </w:rPr>
        <w:t xml:space="preserve"> provision of the Act. Subsections 572</w:t>
      </w:r>
      <w:proofErr w:type="gramStart"/>
      <w:r w:rsidRPr="00BA375E">
        <w:rPr>
          <w:rFonts w:ascii="Times New Roman" w:hAnsi="Times New Roman" w:cs="Times New Roman"/>
        </w:rPr>
        <w:t>E(</w:t>
      </w:r>
      <w:proofErr w:type="gramEnd"/>
      <w:r w:rsidRPr="00BA375E">
        <w:rPr>
          <w:rFonts w:ascii="Times New Roman" w:hAnsi="Times New Roman" w:cs="Times New Roman"/>
        </w:rPr>
        <w:t xml:space="preserve">5) and (6) provide that an infringement notice may only be given in relation to a contravention of section 68 or 101 of the Act if the other provision contravened is listed in </w:t>
      </w:r>
      <w:r w:rsidR="003927F8">
        <w:rPr>
          <w:rFonts w:ascii="Times New Roman" w:hAnsi="Times New Roman" w:cs="Times New Roman"/>
        </w:rPr>
        <w:t>a</w:t>
      </w:r>
      <w:r w:rsidRPr="00BA375E">
        <w:rPr>
          <w:rFonts w:ascii="Times New Roman" w:hAnsi="Times New Roman" w:cs="Times New Roman"/>
        </w:rPr>
        <w:t xml:space="preserve"> legislative instrument made under subsection 572E(7) of the Act, and has been so listed for at least three months before the alleged contravening conduct takes place.</w:t>
      </w:r>
    </w:p>
    <w:bookmarkEnd w:id="0"/>
    <w:p w14:paraId="6E3331E8" w14:textId="77777777" w:rsidR="00BA375E" w:rsidRPr="00BA375E" w:rsidRDefault="00BA375E" w:rsidP="00BA375E">
      <w:pPr>
        <w:spacing w:line="257" w:lineRule="auto"/>
        <w:rPr>
          <w:rFonts w:ascii="Times New Roman" w:hAnsi="Times New Roman" w:cs="Times New Roman"/>
        </w:rPr>
      </w:pPr>
      <w:r w:rsidRPr="00BA375E">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6F60DCDD" w14:textId="77777777" w:rsidR="00BA375E" w:rsidRPr="00BA375E" w:rsidRDefault="00BA375E" w:rsidP="00BA375E">
      <w:pPr>
        <w:spacing w:line="257" w:lineRule="auto"/>
        <w:rPr>
          <w:rFonts w:ascii="Times New Roman" w:hAnsi="Times New Roman" w:cs="Times New Roman"/>
        </w:rPr>
      </w:pPr>
      <w:r w:rsidRPr="00BA375E">
        <w:rPr>
          <w:rFonts w:ascii="Times New Roman" w:hAnsi="Times New Roman" w:cs="Times New Roman"/>
        </w:rPr>
        <w:t xml:space="preserve">A provision-by-provision description of the instrument is set out in the notes at </w:t>
      </w:r>
      <w:r w:rsidRPr="00BA375E">
        <w:rPr>
          <w:rFonts w:ascii="Times New Roman" w:hAnsi="Times New Roman" w:cs="Times New Roman"/>
          <w:b/>
        </w:rPr>
        <w:t>Attachment A</w:t>
      </w:r>
      <w:r w:rsidRPr="00BA375E">
        <w:rPr>
          <w:rFonts w:ascii="Times New Roman" w:hAnsi="Times New Roman" w:cs="Times New Roman"/>
        </w:rPr>
        <w:t>.</w:t>
      </w:r>
    </w:p>
    <w:p w14:paraId="7205F3A2" w14:textId="77777777" w:rsidR="00BA375E" w:rsidRPr="00BA375E" w:rsidRDefault="00BA375E" w:rsidP="00BA375E">
      <w:pPr>
        <w:spacing w:line="257" w:lineRule="auto"/>
        <w:rPr>
          <w:rFonts w:ascii="Times New Roman" w:hAnsi="Times New Roman" w:cs="Times New Roman"/>
        </w:rPr>
      </w:pPr>
      <w:r w:rsidRPr="00BA375E">
        <w:rPr>
          <w:rFonts w:ascii="Times New Roman" w:hAnsi="Times New Roman" w:cs="Times New Roman"/>
        </w:rPr>
        <w:t xml:space="preserve">The instrument is a disallowable legislative instrument for the purposes of the </w:t>
      </w:r>
      <w:r w:rsidRPr="00BA375E">
        <w:rPr>
          <w:rFonts w:ascii="Times New Roman" w:hAnsi="Times New Roman" w:cs="Times New Roman"/>
          <w:i/>
        </w:rPr>
        <w:t xml:space="preserve">Legislation Act 2003 </w:t>
      </w:r>
      <w:r w:rsidRPr="00BA375E">
        <w:rPr>
          <w:rFonts w:ascii="Times New Roman" w:hAnsi="Times New Roman" w:cs="Times New Roman"/>
        </w:rPr>
        <w:t>(</w:t>
      </w:r>
      <w:r w:rsidRPr="00BA375E">
        <w:rPr>
          <w:rFonts w:ascii="Times New Roman" w:hAnsi="Times New Roman" w:cs="Times New Roman"/>
          <w:b/>
        </w:rPr>
        <w:t>the LA</w:t>
      </w:r>
      <w:r w:rsidRPr="00BA375E">
        <w:rPr>
          <w:rFonts w:ascii="Times New Roman" w:hAnsi="Times New Roman" w:cs="Times New Roman"/>
        </w:rPr>
        <w:t xml:space="preserve">). </w:t>
      </w:r>
    </w:p>
    <w:p w14:paraId="08A911AC" w14:textId="01F7D842" w:rsidR="00D318EA" w:rsidRDefault="00D318EA" w:rsidP="00D318EA">
      <w:pPr>
        <w:spacing w:line="257" w:lineRule="auto"/>
        <w:rPr>
          <w:rFonts w:ascii="Times New Roman" w:hAnsi="Times New Roman" w:cs="Times New Roman"/>
          <w:b/>
        </w:rPr>
      </w:pPr>
      <w:r w:rsidRPr="00D318EA">
        <w:rPr>
          <w:rFonts w:ascii="Times New Roman" w:hAnsi="Times New Roman" w:cs="Times New Roman"/>
          <w:b/>
        </w:rPr>
        <w:t>Purpose and operation of the instrument</w:t>
      </w:r>
    </w:p>
    <w:p w14:paraId="7C37D684" w14:textId="701D1BFE" w:rsidR="00E559A6" w:rsidRPr="00E73C51" w:rsidRDefault="00E559A6" w:rsidP="00E559A6">
      <w:pPr>
        <w:spacing w:after="120"/>
        <w:rPr>
          <w:rFonts w:ascii="Times New Roman" w:hAnsi="Times New Roman" w:cs="Times New Roman"/>
        </w:rPr>
      </w:pPr>
      <w:r w:rsidRPr="00E73C51">
        <w:rPr>
          <w:rFonts w:ascii="Times New Roman" w:hAnsi="Times New Roman" w:cs="Times New Roman"/>
        </w:rPr>
        <w:t xml:space="preserve">The </w:t>
      </w:r>
      <w:r w:rsidR="00FE18B2">
        <w:rPr>
          <w:rFonts w:ascii="Times New Roman" w:hAnsi="Times New Roman" w:cs="Times New Roman"/>
        </w:rPr>
        <w:t>i</w:t>
      </w:r>
      <w:r>
        <w:rPr>
          <w:rFonts w:ascii="Times New Roman" w:hAnsi="Times New Roman" w:cs="Times New Roman"/>
        </w:rPr>
        <w:t xml:space="preserve">nstrument </w:t>
      </w:r>
      <w:r w:rsidRPr="00E73C51">
        <w:rPr>
          <w:rFonts w:ascii="Times New Roman" w:hAnsi="Times New Roman" w:cs="Times New Roman"/>
        </w:rPr>
        <w:t xml:space="preserve">amends the </w:t>
      </w:r>
      <w:r w:rsidRPr="00E73C51">
        <w:rPr>
          <w:rFonts w:ascii="Times New Roman" w:hAnsi="Times New Roman" w:cs="Times New Roman"/>
          <w:i/>
        </w:rPr>
        <w:t xml:space="preserve">Telecommunications (Listed Infringement Notice Provisions) Declaration 2022 </w:t>
      </w:r>
      <w:r w:rsidRPr="00E73C51">
        <w:rPr>
          <w:rFonts w:ascii="Times New Roman" w:hAnsi="Times New Roman" w:cs="Times New Roman"/>
        </w:rPr>
        <w:t>(</w:t>
      </w:r>
      <w:r w:rsidRPr="00E73C51">
        <w:rPr>
          <w:rFonts w:ascii="Times New Roman" w:hAnsi="Times New Roman" w:cs="Times New Roman"/>
          <w:b/>
        </w:rPr>
        <w:t>the Declaration</w:t>
      </w:r>
      <w:r w:rsidRPr="00E73C51">
        <w:rPr>
          <w:rFonts w:ascii="Times New Roman" w:hAnsi="Times New Roman" w:cs="Times New Roman"/>
        </w:rPr>
        <w:t>) to include specified provisions from two determinations made under section 99 of the Act:</w:t>
      </w:r>
    </w:p>
    <w:p w14:paraId="052D882F" w14:textId="77777777" w:rsidR="00E559A6" w:rsidRPr="00FE18B2" w:rsidRDefault="00E559A6" w:rsidP="00791C99">
      <w:pPr>
        <w:pStyle w:val="ListParagraph"/>
        <w:numPr>
          <w:ilvl w:val="0"/>
          <w:numId w:val="18"/>
        </w:numPr>
        <w:spacing w:line="257" w:lineRule="auto"/>
        <w:ind w:left="777" w:hanging="357"/>
        <w:rPr>
          <w:rFonts w:ascii="Times New Roman" w:hAnsi="Times New Roman" w:cs="Times New Roman"/>
        </w:rPr>
      </w:pPr>
      <w:r w:rsidRPr="00FE18B2">
        <w:rPr>
          <w:rFonts w:ascii="Times New Roman" w:hAnsi="Times New Roman" w:cs="Times New Roman"/>
        </w:rPr>
        <w:t xml:space="preserve">the </w:t>
      </w:r>
      <w:r w:rsidRPr="00FE18B2">
        <w:rPr>
          <w:rFonts w:ascii="Times New Roman" w:hAnsi="Times New Roman" w:cs="Times New Roman"/>
          <w:i/>
          <w:iCs/>
          <w:color w:val="000000"/>
        </w:rPr>
        <w:t>Telecommunications Service Provider (</w:t>
      </w:r>
      <w:r w:rsidRPr="00FE18B2">
        <w:rPr>
          <w:rFonts w:ascii="Times New Roman" w:hAnsi="Times New Roman" w:cs="Times New Roman"/>
          <w:i/>
          <w:iCs/>
        </w:rPr>
        <w:t>Customer Identity Authentication) Determination 2022</w:t>
      </w:r>
      <w:r w:rsidRPr="00FE18B2">
        <w:rPr>
          <w:rFonts w:ascii="Times New Roman" w:hAnsi="Times New Roman" w:cs="Times New Roman"/>
        </w:rPr>
        <w:t xml:space="preserve"> (</w:t>
      </w:r>
      <w:r w:rsidRPr="00FE18B2">
        <w:rPr>
          <w:rFonts w:ascii="Times New Roman" w:hAnsi="Times New Roman" w:cs="Times New Roman"/>
          <w:b/>
          <w:bCs/>
        </w:rPr>
        <w:t>the Customer ID Determination</w:t>
      </w:r>
      <w:r w:rsidRPr="00FE18B2">
        <w:rPr>
          <w:rFonts w:ascii="Times New Roman" w:hAnsi="Times New Roman" w:cs="Times New Roman"/>
        </w:rPr>
        <w:t xml:space="preserve">), and </w:t>
      </w:r>
    </w:p>
    <w:p w14:paraId="1F7BBDA7" w14:textId="77777777" w:rsidR="00FE18B2" w:rsidRDefault="00E559A6" w:rsidP="00FE18B2">
      <w:pPr>
        <w:pStyle w:val="ListParagraph"/>
        <w:numPr>
          <w:ilvl w:val="0"/>
          <w:numId w:val="18"/>
        </w:numPr>
        <w:spacing w:line="257" w:lineRule="auto"/>
        <w:ind w:left="777" w:hanging="357"/>
        <w:rPr>
          <w:rFonts w:ascii="Times New Roman" w:hAnsi="Times New Roman" w:cs="Times New Roman"/>
        </w:rPr>
      </w:pPr>
      <w:r w:rsidRPr="00FE18B2">
        <w:rPr>
          <w:rFonts w:ascii="Times New Roman" w:hAnsi="Times New Roman" w:cs="Times New Roman"/>
        </w:rPr>
        <w:t xml:space="preserve">the </w:t>
      </w:r>
      <w:r w:rsidRPr="00FE18B2">
        <w:rPr>
          <w:rFonts w:ascii="Times New Roman" w:hAnsi="Times New Roman" w:cs="Times New Roman"/>
          <w:i/>
          <w:iCs/>
          <w:color w:val="000000"/>
        </w:rPr>
        <w:t>Telecommunications Service Provider (</w:t>
      </w:r>
      <w:r w:rsidRPr="00FE18B2">
        <w:rPr>
          <w:rFonts w:ascii="Times New Roman" w:hAnsi="Times New Roman" w:cs="Times New Roman"/>
          <w:i/>
          <w:iCs/>
        </w:rPr>
        <w:t xml:space="preserve">International Mobile Roaming) Determination </w:t>
      </w:r>
      <w:r w:rsidRPr="00FE18B2">
        <w:rPr>
          <w:rFonts w:ascii="Times New Roman" w:hAnsi="Times New Roman" w:cs="Times New Roman"/>
        </w:rPr>
        <w:t>2019 (</w:t>
      </w:r>
      <w:r w:rsidRPr="00FE18B2">
        <w:rPr>
          <w:rFonts w:ascii="Times New Roman" w:hAnsi="Times New Roman" w:cs="Times New Roman"/>
          <w:b/>
          <w:bCs/>
        </w:rPr>
        <w:t>the IMR Determination</w:t>
      </w:r>
      <w:r w:rsidRPr="00FE18B2">
        <w:rPr>
          <w:rFonts w:ascii="Times New Roman" w:hAnsi="Times New Roman" w:cs="Times New Roman"/>
        </w:rPr>
        <w:t>).</w:t>
      </w:r>
    </w:p>
    <w:p w14:paraId="79A66240" w14:textId="381F2FDB" w:rsidR="00FE18B2" w:rsidRPr="00FE18B2" w:rsidRDefault="00FE18B2" w:rsidP="00FE18B2">
      <w:pPr>
        <w:spacing w:line="257" w:lineRule="auto"/>
        <w:rPr>
          <w:rFonts w:ascii="Times New Roman" w:hAnsi="Times New Roman" w:cs="Times New Roman"/>
        </w:rPr>
      </w:pPr>
      <w:r w:rsidRPr="00FE18B2">
        <w:rPr>
          <w:rFonts w:ascii="Times New Roman" w:hAnsi="Times New Roman" w:cs="Times New Roman"/>
        </w:rPr>
        <w:t xml:space="preserve">Details of the new provisions are at </w:t>
      </w:r>
      <w:r w:rsidRPr="00FE18B2">
        <w:rPr>
          <w:rFonts w:ascii="Times New Roman" w:hAnsi="Times New Roman" w:cs="Times New Roman"/>
          <w:b/>
          <w:bCs/>
        </w:rPr>
        <w:t>Attachment B</w:t>
      </w:r>
      <w:r w:rsidRPr="00FE18B2">
        <w:rPr>
          <w:rFonts w:ascii="Times New Roman" w:hAnsi="Times New Roman" w:cs="Times New Roman"/>
        </w:rPr>
        <w:t>.</w:t>
      </w:r>
    </w:p>
    <w:p w14:paraId="6AB35061" w14:textId="77777777" w:rsidR="00FE18B2" w:rsidRPr="00FE18B2" w:rsidRDefault="00FE18B2" w:rsidP="00FE18B2">
      <w:pPr>
        <w:spacing w:after="100" w:afterAutospacing="1" w:line="336" w:lineRule="atLeast"/>
        <w:rPr>
          <w:rFonts w:ascii="Times New Roman" w:hAnsi="Times New Roman" w:cs="Times New Roman"/>
        </w:rPr>
      </w:pPr>
    </w:p>
    <w:p w14:paraId="33C11B1C" w14:textId="628053E9" w:rsidR="00D318EA" w:rsidRPr="00D318EA" w:rsidRDefault="00D318EA" w:rsidP="00990AB9">
      <w:pPr>
        <w:keepNext/>
        <w:spacing w:line="257" w:lineRule="auto"/>
        <w:rPr>
          <w:rFonts w:ascii="Times New Roman" w:hAnsi="Times New Roman" w:cs="Times New Roman"/>
          <w:b/>
          <w:bCs/>
        </w:rPr>
      </w:pPr>
      <w:r w:rsidRPr="00D318EA">
        <w:rPr>
          <w:rFonts w:ascii="Times New Roman" w:hAnsi="Times New Roman" w:cs="Times New Roman"/>
          <w:b/>
          <w:bCs/>
        </w:rPr>
        <w:t xml:space="preserve">Listed infringement notice provisions </w:t>
      </w:r>
    </w:p>
    <w:p w14:paraId="45CBBD36" w14:textId="0541CC95" w:rsidR="00D318EA" w:rsidRPr="00D318EA" w:rsidRDefault="00D318EA" w:rsidP="00D318EA">
      <w:pPr>
        <w:spacing w:line="257" w:lineRule="auto"/>
        <w:rPr>
          <w:rFonts w:ascii="Times New Roman" w:hAnsi="Times New Roman" w:cs="Times New Roman"/>
        </w:rPr>
      </w:pPr>
      <w:r w:rsidRPr="00D318EA">
        <w:rPr>
          <w:rFonts w:ascii="Times New Roman" w:hAnsi="Times New Roman" w:cs="Times New Roman"/>
        </w:rPr>
        <w:t>In selecting appropriate provisions to be listed, the ACMA consulted with the Department of Infrastructure, Transport, Regional Development</w:t>
      </w:r>
      <w:r w:rsidR="00BF6AF2">
        <w:rPr>
          <w:rFonts w:ascii="Times New Roman" w:hAnsi="Times New Roman" w:cs="Times New Roman"/>
        </w:rPr>
        <w:t xml:space="preserve">, </w:t>
      </w:r>
      <w:proofErr w:type="gramStart"/>
      <w:r w:rsidRPr="00D318EA">
        <w:rPr>
          <w:rFonts w:ascii="Times New Roman" w:hAnsi="Times New Roman" w:cs="Times New Roman"/>
        </w:rPr>
        <w:t>Communications</w:t>
      </w:r>
      <w:proofErr w:type="gramEnd"/>
      <w:r w:rsidRPr="00D318EA">
        <w:rPr>
          <w:rFonts w:ascii="Times New Roman" w:hAnsi="Times New Roman" w:cs="Times New Roman"/>
        </w:rPr>
        <w:t xml:space="preserve"> </w:t>
      </w:r>
      <w:r w:rsidR="00BF6AF2">
        <w:rPr>
          <w:rFonts w:ascii="Times New Roman" w:hAnsi="Times New Roman" w:cs="Times New Roman"/>
        </w:rPr>
        <w:t>and the Arts (</w:t>
      </w:r>
      <w:r w:rsidR="00BF6AF2" w:rsidRPr="00BF6AF2">
        <w:rPr>
          <w:rFonts w:ascii="Times New Roman" w:hAnsi="Times New Roman" w:cs="Times New Roman"/>
          <w:b/>
          <w:bCs/>
        </w:rPr>
        <w:t>the Department</w:t>
      </w:r>
      <w:r w:rsidR="00BF6AF2">
        <w:rPr>
          <w:rFonts w:ascii="Times New Roman" w:hAnsi="Times New Roman" w:cs="Times New Roman"/>
        </w:rPr>
        <w:t xml:space="preserve">) </w:t>
      </w:r>
      <w:r w:rsidRPr="00D318EA">
        <w:rPr>
          <w:rFonts w:ascii="Times New Roman" w:hAnsi="Times New Roman" w:cs="Times New Roman"/>
        </w:rPr>
        <w:t xml:space="preserve">and the Attorney General’s Department </w:t>
      </w:r>
      <w:r w:rsidR="009E76FF">
        <w:rPr>
          <w:rFonts w:ascii="Times New Roman" w:hAnsi="Times New Roman" w:cs="Times New Roman"/>
        </w:rPr>
        <w:t>(</w:t>
      </w:r>
      <w:r w:rsidR="009E76FF" w:rsidRPr="00153A89">
        <w:rPr>
          <w:rFonts w:ascii="Times New Roman" w:hAnsi="Times New Roman" w:cs="Times New Roman"/>
          <w:b/>
          <w:bCs/>
        </w:rPr>
        <w:t>the AG</w:t>
      </w:r>
      <w:r w:rsidR="009E76FF">
        <w:rPr>
          <w:rFonts w:ascii="Times New Roman" w:hAnsi="Times New Roman" w:cs="Times New Roman"/>
          <w:b/>
          <w:bCs/>
        </w:rPr>
        <w:t>D</w:t>
      </w:r>
      <w:r w:rsidR="009E76FF">
        <w:rPr>
          <w:rFonts w:ascii="Times New Roman" w:hAnsi="Times New Roman" w:cs="Times New Roman"/>
        </w:rPr>
        <w:t xml:space="preserve">) </w:t>
      </w:r>
      <w:r w:rsidRPr="00D318EA">
        <w:rPr>
          <w:rFonts w:ascii="Times New Roman" w:hAnsi="Times New Roman" w:cs="Times New Roman"/>
        </w:rPr>
        <w:t xml:space="preserve">and gave consideration to the relevant criteria drawn from the </w:t>
      </w:r>
      <w:r w:rsidRPr="00FE18B2">
        <w:rPr>
          <w:rFonts w:ascii="Times New Roman" w:hAnsi="Times New Roman" w:cs="Times New Roman"/>
          <w:i/>
          <w:iCs/>
        </w:rPr>
        <w:t>Guide to Framing Commonwealth Offences, Civil Penalties and Enforcement Powers 2011</w:t>
      </w:r>
      <w:r w:rsidRPr="00D318EA">
        <w:rPr>
          <w:rFonts w:ascii="Times New Roman" w:hAnsi="Times New Roman" w:cs="Times New Roman"/>
        </w:rPr>
        <w:t xml:space="preserve"> </w:t>
      </w:r>
      <w:r w:rsidR="009E76FF">
        <w:rPr>
          <w:rFonts w:ascii="Times New Roman" w:hAnsi="Times New Roman" w:cs="Times New Roman"/>
        </w:rPr>
        <w:t>(</w:t>
      </w:r>
      <w:r w:rsidR="009E76FF" w:rsidRPr="00153A89">
        <w:rPr>
          <w:rFonts w:ascii="Times New Roman" w:hAnsi="Times New Roman" w:cs="Times New Roman"/>
          <w:b/>
          <w:bCs/>
        </w:rPr>
        <w:t>the Guide</w:t>
      </w:r>
      <w:r w:rsidR="009E76FF">
        <w:rPr>
          <w:rFonts w:ascii="Times New Roman" w:hAnsi="Times New Roman" w:cs="Times New Roman"/>
        </w:rPr>
        <w:t xml:space="preserve">) </w:t>
      </w:r>
      <w:r w:rsidRPr="00D318EA">
        <w:rPr>
          <w:rFonts w:ascii="Times New Roman" w:hAnsi="Times New Roman" w:cs="Times New Roman"/>
        </w:rPr>
        <w:t>which provides that infringement notices may be appropriate:</w:t>
      </w:r>
    </w:p>
    <w:p w14:paraId="3426A2D9" w14:textId="77777777" w:rsidR="00D318EA" w:rsidRPr="00D318EA" w:rsidRDefault="00D318EA" w:rsidP="00D318EA">
      <w:pPr>
        <w:pStyle w:val="ListParagraph"/>
        <w:numPr>
          <w:ilvl w:val="0"/>
          <w:numId w:val="19"/>
        </w:numPr>
        <w:spacing w:line="257" w:lineRule="auto"/>
        <w:ind w:left="714" w:hanging="357"/>
        <w:rPr>
          <w:rFonts w:ascii="Times New Roman" w:hAnsi="Times New Roman" w:cs="Times New Roman"/>
        </w:rPr>
      </w:pPr>
      <w:r w:rsidRPr="00D318EA">
        <w:rPr>
          <w:rFonts w:ascii="Times New Roman" w:hAnsi="Times New Roman" w:cs="Times New Roman"/>
        </w:rPr>
        <w:t xml:space="preserve">for strict or absolute liability offences/civil </w:t>
      </w:r>
      <w:proofErr w:type="gramStart"/>
      <w:r w:rsidRPr="00D318EA">
        <w:rPr>
          <w:rFonts w:ascii="Times New Roman" w:hAnsi="Times New Roman" w:cs="Times New Roman"/>
        </w:rPr>
        <w:t>penalties;</w:t>
      </w:r>
      <w:proofErr w:type="gramEnd"/>
      <w:r w:rsidRPr="00D318EA">
        <w:rPr>
          <w:rFonts w:ascii="Times New Roman" w:hAnsi="Times New Roman" w:cs="Times New Roman"/>
        </w:rPr>
        <w:t xml:space="preserve"> </w:t>
      </w:r>
    </w:p>
    <w:p w14:paraId="49423DB1" w14:textId="77777777" w:rsidR="00D318EA" w:rsidRPr="00D318EA" w:rsidRDefault="00D318EA" w:rsidP="00D318EA">
      <w:pPr>
        <w:pStyle w:val="ListParagraph"/>
        <w:numPr>
          <w:ilvl w:val="0"/>
          <w:numId w:val="19"/>
        </w:numPr>
        <w:spacing w:line="257" w:lineRule="auto"/>
        <w:ind w:left="714" w:hanging="357"/>
        <w:rPr>
          <w:rFonts w:ascii="Times New Roman" w:hAnsi="Times New Roman" w:cs="Times New Roman"/>
        </w:rPr>
      </w:pPr>
      <w:r w:rsidRPr="00D318EA">
        <w:rPr>
          <w:rFonts w:ascii="Times New Roman" w:hAnsi="Times New Roman" w:cs="Times New Roman"/>
        </w:rPr>
        <w:t xml:space="preserve">where the physical elements of an offence/contravention are clear cut—for example, breaches do not involve significant forensic enquiry or subjective elements such as state of mind or </w:t>
      </w:r>
      <w:proofErr w:type="gramStart"/>
      <w:r w:rsidRPr="00D318EA">
        <w:rPr>
          <w:rFonts w:ascii="Times New Roman" w:hAnsi="Times New Roman" w:cs="Times New Roman"/>
        </w:rPr>
        <w:t>fault;</w:t>
      </w:r>
      <w:proofErr w:type="gramEnd"/>
      <w:r w:rsidRPr="00D318EA">
        <w:rPr>
          <w:rFonts w:ascii="Times New Roman" w:hAnsi="Times New Roman" w:cs="Times New Roman"/>
        </w:rPr>
        <w:t xml:space="preserve"> </w:t>
      </w:r>
    </w:p>
    <w:p w14:paraId="0D45877F" w14:textId="77777777" w:rsidR="00D318EA" w:rsidRPr="00D318EA" w:rsidRDefault="00D318EA" w:rsidP="00D318EA">
      <w:pPr>
        <w:pStyle w:val="ListParagraph"/>
        <w:numPr>
          <w:ilvl w:val="0"/>
          <w:numId w:val="19"/>
        </w:numPr>
        <w:spacing w:line="257" w:lineRule="auto"/>
        <w:ind w:left="714" w:hanging="357"/>
        <w:rPr>
          <w:rFonts w:ascii="Times New Roman" w:hAnsi="Times New Roman" w:cs="Times New Roman"/>
        </w:rPr>
      </w:pPr>
      <w:r w:rsidRPr="00D318EA">
        <w:rPr>
          <w:rFonts w:ascii="Times New Roman" w:hAnsi="Times New Roman" w:cs="Times New Roman"/>
        </w:rPr>
        <w:t>for relatively minor offences/</w:t>
      </w:r>
      <w:proofErr w:type="gramStart"/>
      <w:r w:rsidRPr="00D318EA">
        <w:rPr>
          <w:rFonts w:ascii="Times New Roman" w:hAnsi="Times New Roman" w:cs="Times New Roman"/>
        </w:rPr>
        <w:t>contraventions;</w:t>
      </w:r>
      <w:proofErr w:type="gramEnd"/>
      <w:r w:rsidRPr="00D318EA">
        <w:rPr>
          <w:rFonts w:ascii="Times New Roman" w:hAnsi="Times New Roman" w:cs="Times New Roman"/>
        </w:rPr>
        <w:t xml:space="preserve"> </w:t>
      </w:r>
    </w:p>
    <w:p w14:paraId="3F6BBE98" w14:textId="77777777" w:rsidR="00D318EA" w:rsidRPr="00D318EA" w:rsidRDefault="00D318EA" w:rsidP="00D318EA">
      <w:pPr>
        <w:pStyle w:val="ListParagraph"/>
        <w:numPr>
          <w:ilvl w:val="0"/>
          <w:numId w:val="19"/>
        </w:numPr>
        <w:spacing w:line="257" w:lineRule="auto"/>
        <w:ind w:left="714" w:hanging="357"/>
        <w:rPr>
          <w:rFonts w:ascii="Times New Roman" w:hAnsi="Times New Roman" w:cs="Times New Roman"/>
        </w:rPr>
      </w:pPr>
      <w:r w:rsidRPr="00D318EA">
        <w:rPr>
          <w:rFonts w:ascii="Times New Roman" w:hAnsi="Times New Roman" w:cs="Times New Roman"/>
        </w:rPr>
        <w:t xml:space="preserve">where there has been a high number of contraventions; or </w:t>
      </w:r>
    </w:p>
    <w:p w14:paraId="237BB48C" w14:textId="77777777" w:rsidR="00D318EA" w:rsidRPr="00D318EA" w:rsidRDefault="00D318EA" w:rsidP="00D318EA">
      <w:pPr>
        <w:pStyle w:val="ListParagraph"/>
        <w:numPr>
          <w:ilvl w:val="0"/>
          <w:numId w:val="19"/>
        </w:numPr>
        <w:spacing w:line="257" w:lineRule="auto"/>
        <w:ind w:left="714" w:hanging="357"/>
        <w:rPr>
          <w:rFonts w:ascii="Times New Roman" w:hAnsi="Times New Roman" w:cs="Times New Roman"/>
        </w:rPr>
      </w:pPr>
      <w:r w:rsidRPr="00D318EA">
        <w:rPr>
          <w:rFonts w:ascii="Times New Roman" w:hAnsi="Times New Roman" w:cs="Times New Roman"/>
        </w:rPr>
        <w:t xml:space="preserve">where a penalty must be imposed immediately to be effective. </w:t>
      </w:r>
    </w:p>
    <w:p w14:paraId="5BCA24D7" w14:textId="41EC04F0" w:rsidR="00D318EA" w:rsidRPr="00D318EA" w:rsidRDefault="00D318EA" w:rsidP="00D318EA">
      <w:pPr>
        <w:spacing w:line="257" w:lineRule="auto"/>
        <w:rPr>
          <w:rFonts w:ascii="Times New Roman" w:hAnsi="Times New Roman" w:cs="Times New Roman"/>
        </w:rPr>
      </w:pPr>
      <w:r w:rsidRPr="00D318EA">
        <w:rPr>
          <w:rFonts w:ascii="Times New Roman" w:hAnsi="Times New Roman" w:cs="Times New Roman"/>
        </w:rPr>
        <w:t xml:space="preserve">The ACMA considers that each of the identified </w:t>
      </w:r>
      <w:r w:rsidR="00BF38C8">
        <w:rPr>
          <w:rFonts w:ascii="Times New Roman" w:hAnsi="Times New Roman" w:cs="Times New Roman"/>
        </w:rPr>
        <w:t xml:space="preserve">provisions </w:t>
      </w:r>
      <w:r w:rsidR="000577EA">
        <w:rPr>
          <w:rFonts w:ascii="Times New Roman" w:hAnsi="Times New Roman" w:cs="Times New Roman"/>
        </w:rPr>
        <w:t xml:space="preserve">in the </w:t>
      </w:r>
      <w:r w:rsidR="00FE18B2">
        <w:rPr>
          <w:rFonts w:ascii="Times New Roman" w:hAnsi="Times New Roman" w:cs="Times New Roman"/>
        </w:rPr>
        <w:t>i</w:t>
      </w:r>
      <w:r w:rsidR="000577EA">
        <w:rPr>
          <w:rFonts w:ascii="Times New Roman" w:hAnsi="Times New Roman" w:cs="Times New Roman"/>
        </w:rPr>
        <w:t xml:space="preserve">nstrument </w:t>
      </w:r>
      <w:r w:rsidR="00BF38C8">
        <w:rPr>
          <w:rFonts w:ascii="Times New Roman" w:hAnsi="Times New Roman" w:cs="Times New Roman"/>
        </w:rPr>
        <w:t xml:space="preserve">are </w:t>
      </w:r>
      <w:r w:rsidRPr="00D318EA">
        <w:rPr>
          <w:rFonts w:ascii="Times New Roman" w:hAnsi="Times New Roman" w:cs="Times New Roman"/>
        </w:rPr>
        <w:t>suitable for enforcement via the infringement notice regime</w:t>
      </w:r>
      <w:r w:rsidRPr="00D318EA">
        <w:rPr>
          <w:rFonts w:ascii="Times New Roman" w:hAnsi="Times New Roman" w:cs="Times New Roman"/>
          <w:color w:val="000000"/>
        </w:rPr>
        <w:t xml:space="preserve"> because the physical elements of the contraventions </w:t>
      </w:r>
      <w:proofErr w:type="gramStart"/>
      <w:r w:rsidRPr="00D318EA">
        <w:rPr>
          <w:rFonts w:ascii="Times New Roman" w:hAnsi="Times New Roman" w:cs="Times New Roman"/>
          <w:color w:val="000000"/>
        </w:rPr>
        <w:t>are considered to be</w:t>
      </w:r>
      <w:proofErr w:type="gramEnd"/>
      <w:r w:rsidRPr="00D318EA">
        <w:rPr>
          <w:rFonts w:ascii="Times New Roman" w:hAnsi="Times New Roman" w:cs="Times New Roman"/>
          <w:color w:val="000000"/>
        </w:rPr>
        <w:t xml:space="preserve"> clear cut, and compliance is readily ascertainable.</w:t>
      </w:r>
    </w:p>
    <w:p w14:paraId="74F43EF8" w14:textId="39D91AC8" w:rsidR="00D318EA" w:rsidRPr="00D318EA" w:rsidRDefault="00D318EA" w:rsidP="00D318EA">
      <w:pPr>
        <w:spacing w:line="257" w:lineRule="auto"/>
        <w:rPr>
          <w:rFonts w:ascii="Times New Roman" w:hAnsi="Times New Roman" w:cs="Times New Roman"/>
        </w:rPr>
      </w:pPr>
      <w:r w:rsidRPr="00D318EA">
        <w:rPr>
          <w:rFonts w:ascii="Times New Roman" w:hAnsi="Times New Roman" w:cs="Times New Roman"/>
        </w:rPr>
        <w:t>The</w:t>
      </w:r>
      <w:r w:rsidR="00361D55">
        <w:rPr>
          <w:rFonts w:ascii="Times New Roman" w:hAnsi="Times New Roman" w:cs="Times New Roman"/>
        </w:rPr>
        <w:t xml:space="preserve"> new</w:t>
      </w:r>
      <w:r w:rsidRPr="00D318EA">
        <w:rPr>
          <w:rFonts w:ascii="Times New Roman" w:hAnsi="Times New Roman" w:cs="Times New Roman"/>
        </w:rPr>
        <w:t xml:space="preserve"> provisions </w:t>
      </w:r>
      <w:r w:rsidR="00361D55">
        <w:rPr>
          <w:rFonts w:ascii="Times New Roman" w:hAnsi="Times New Roman" w:cs="Times New Roman"/>
        </w:rPr>
        <w:t>to be</w:t>
      </w:r>
      <w:r w:rsidR="00361D55" w:rsidRPr="00D318EA">
        <w:rPr>
          <w:rFonts w:ascii="Times New Roman" w:hAnsi="Times New Roman" w:cs="Times New Roman"/>
        </w:rPr>
        <w:t xml:space="preserve"> </w:t>
      </w:r>
      <w:r w:rsidRPr="00D318EA">
        <w:rPr>
          <w:rFonts w:ascii="Times New Roman" w:hAnsi="Times New Roman" w:cs="Times New Roman"/>
        </w:rPr>
        <w:t>included in the</w:t>
      </w:r>
      <w:r w:rsidR="002F1400">
        <w:rPr>
          <w:rFonts w:ascii="Times New Roman" w:hAnsi="Times New Roman" w:cs="Times New Roman"/>
        </w:rPr>
        <w:t xml:space="preserve"> </w:t>
      </w:r>
      <w:r w:rsidR="00FE18B2">
        <w:rPr>
          <w:rFonts w:ascii="Times New Roman" w:hAnsi="Times New Roman" w:cs="Times New Roman"/>
        </w:rPr>
        <w:t>i</w:t>
      </w:r>
      <w:r w:rsidR="002F1400">
        <w:rPr>
          <w:rFonts w:ascii="Times New Roman" w:hAnsi="Times New Roman" w:cs="Times New Roman"/>
        </w:rPr>
        <w:t>nstrument</w:t>
      </w:r>
      <w:r w:rsidRPr="00D318EA">
        <w:rPr>
          <w:rFonts w:ascii="Times New Roman" w:hAnsi="Times New Roman" w:cs="Times New Roman"/>
        </w:rPr>
        <w:t xml:space="preserve"> are discussed below:</w:t>
      </w:r>
    </w:p>
    <w:p w14:paraId="3F01341E" w14:textId="57AA60CA" w:rsidR="006A1AA6" w:rsidRDefault="006A1AA6" w:rsidP="004C58B9">
      <w:pPr>
        <w:rPr>
          <w:rFonts w:ascii="Times New Roman" w:hAnsi="Times New Roman" w:cs="Times New Roman"/>
          <w:b/>
        </w:rPr>
      </w:pPr>
      <w:r>
        <w:rPr>
          <w:rFonts w:ascii="Times New Roman" w:hAnsi="Times New Roman" w:cs="Times New Roman"/>
          <w:b/>
        </w:rPr>
        <w:t xml:space="preserve">Provisions of the </w:t>
      </w:r>
      <w:r w:rsidRPr="00E21C4A">
        <w:rPr>
          <w:rFonts w:ascii="Times New Roman" w:hAnsi="Times New Roman" w:cs="Times New Roman"/>
          <w:b/>
          <w:i/>
          <w:iCs/>
        </w:rPr>
        <w:t>Telecommunications Service Provider (Customer Identity Authentication) Determination 2022</w:t>
      </w:r>
    </w:p>
    <w:p w14:paraId="387CD0EF" w14:textId="3DDD8F43" w:rsidR="0030602B" w:rsidRDefault="0030602B" w:rsidP="0030602B">
      <w:pPr>
        <w:spacing w:line="257" w:lineRule="auto"/>
        <w:rPr>
          <w:rFonts w:ascii="Times New Roman" w:hAnsi="Times New Roman" w:cs="Times New Roman"/>
          <w:color w:val="000000"/>
        </w:rPr>
      </w:pPr>
      <w:r w:rsidRPr="007677BF">
        <w:rPr>
          <w:rFonts w:ascii="Times New Roman" w:hAnsi="Times New Roman" w:cs="Times New Roman"/>
          <w:color w:val="000000"/>
        </w:rPr>
        <w:t xml:space="preserve">The </w:t>
      </w:r>
      <w:r w:rsidRPr="005362F2">
        <w:rPr>
          <w:rFonts w:ascii="Times New Roman" w:hAnsi="Times New Roman" w:cs="Times New Roman"/>
        </w:rPr>
        <w:t>C</w:t>
      </w:r>
      <w:r w:rsidR="00C93D02" w:rsidRPr="005362F2">
        <w:rPr>
          <w:rFonts w:ascii="Times New Roman" w:hAnsi="Times New Roman" w:cs="Times New Roman"/>
        </w:rPr>
        <w:t>ustomer ID</w:t>
      </w:r>
      <w:r w:rsidRPr="005362F2">
        <w:rPr>
          <w:rFonts w:ascii="Times New Roman" w:hAnsi="Times New Roman" w:cs="Times New Roman"/>
        </w:rPr>
        <w:t xml:space="preserve"> Determination</w:t>
      </w:r>
      <w:r w:rsidR="004B4AF7">
        <w:rPr>
          <w:rFonts w:ascii="Times New Roman" w:hAnsi="Times New Roman" w:cs="Times New Roman"/>
        </w:rPr>
        <w:t xml:space="preserve"> </w:t>
      </w:r>
      <w:r w:rsidRPr="0030602B">
        <w:rPr>
          <w:rFonts w:ascii="Times New Roman" w:hAnsi="Times New Roman" w:cs="Times New Roman"/>
        </w:rPr>
        <w:t xml:space="preserve">is made under section 99 of the Act and sets out service provider rules relating to the requirements that CSPs must follow </w:t>
      </w:r>
      <w:r>
        <w:rPr>
          <w:rFonts w:ascii="Times New Roman" w:hAnsi="Times New Roman" w:cs="Times New Roman"/>
        </w:rPr>
        <w:t>before undertaking</w:t>
      </w:r>
      <w:r w:rsidRPr="0030602B">
        <w:rPr>
          <w:rFonts w:ascii="Times New Roman" w:hAnsi="Times New Roman" w:cs="Times New Roman"/>
        </w:rPr>
        <w:t xml:space="preserve"> high-risk customer transaction</w:t>
      </w:r>
      <w:r>
        <w:rPr>
          <w:rFonts w:ascii="Times New Roman" w:hAnsi="Times New Roman" w:cs="Times New Roman"/>
        </w:rPr>
        <w:t>s</w:t>
      </w:r>
      <w:r w:rsidR="009445DF">
        <w:rPr>
          <w:rFonts w:ascii="Times New Roman" w:hAnsi="Times New Roman" w:cs="Times New Roman"/>
        </w:rPr>
        <w:t>, as defined in subse</w:t>
      </w:r>
      <w:r w:rsidR="000104EA">
        <w:rPr>
          <w:rFonts w:ascii="Times New Roman" w:hAnsi="Times New Roman" w:cs="Times New Roman"/>
        </w:rPr>
        <w:t>ction 6(1) of the Customer ID Determination</w:t>
      </w:r>
      <w:r w:rsidRPr="0030602B">
        <w:rPr>
          <w:rFonts w:ascii="Times New Roman" w:hAnsi="Times New Roman" w:cs="Times New Roman"/>
          <w:color w:val="000000"/>
        </w:rPr>
        <w:t>.</w:t>
      </w:r>
    </w:p>
    <w:p w14:paraId="78213EB1" w14:textId="5D39DE6B" w:rsidR="005362F2" w:rsidRDefault="005362F2" w:rsidP="0030602B">
      <w:pPr>
        <w:spacing w:line="257" w:lineRule="auto"/>
        <w:rPr>
          <w:rFonts w:ascii="Times New Roman" w:hAnsi="Times New Roman" w:cs="Times New Roman"/>
          <w:color w:val="000000"/>
        </w:rPr>
      </w:pPr>
      <w:r>
        <w:rPr>
          <w:rFonts w:ascii="Times New Roman" w:hAnsi="Times New Roman" w:cs="Times New Roman"/>
          <w:color w:val="000000"/>
        </w:rPr>
        <w:t xml:space="preserve">Examples of a high-risk customer transaction for the purposes of the </w:t>
      </w:r>
      <w:r w:rsidR="00855588">
        <w:rPr>
          <w:rFonts w:ascii="Times New Roman" w:hAnsi="Times New Roman" w:cs="Times New Roman"/>
          <w:color w:val="000000"/>
        </w:rPr>
        <w:t xml:space="preserve">Customer ID </w:t>
      </w:r>
      <w:r>
        <w:rPr>
          <w:rFonts w:ascii="Times New Roman" w:hAnsi="Times New Roman" w:cs="Times New Roman"/>
          <w:color w:val="000000"/>
        </w:rPr>
        <w:t>Determination include:</w:t>
      </w:r>
    </w:p>
    <w:p w14:paraId="45D047BC" w14:textId="564725DC" w:rsidR="005362F2" w:rsidRDefault="005362F2" w:rsidP="005362F2">
      <w:pPr>
        <w:pStyle w:val="ListParagraph"/>
        <w:numPr>
          <w:ilvl w:val="0"/>
          <w:numId w:val="24"/>
        </w:numPr>
        <w:spacing w:line="257" w:lineRule="auto"/>
        <w:rPr>
          <w:rFonts w:ascii="Times New Roman" w:hAnsi="Times New Roman" w:cs="Times New Roman"/>
          <w:color w:val="000000"/>
        </w:rPr>
      </w:pPr>
      <w:r>
        <w:rPr>
          <w:rFonts w:ascii="Times New Roman" w:hAnsi="Times New Roman" w:cs="Times New Roman"/>
          <w:color w:val="000000"/>
        </w:rPr>
        <w:t xml:space="preserve">requests for a SIM </w:t>
      </w:r>
      <w:proofErr w:type="gramStart"/>
      <w:r>
        <w:rPr>
          <w:rFonts w:ascii="Times New Roman" w:hAnsi="Times New Roman" w:cs="Times New Roman"/>
          <w:color w:val="000000"/>
        </w:rPr>
        <w:t>swap;</w:t>
      </w:r>
      <w:proofErr w:type="gramEnd"/>
    </w:p>
    <w:p w14:paraId="02844AC8" w14:textId="4DFA3858" w:rsidR="005362F2" w:rsidRDefault="005362F2" w:rsidP="005362F2">
      <w:pPr>
        <w:pStyle w:val="ListParagraph"/>
        <w:numPr>
          <w:ilvl w:val="0"/>
          <w:numId w:val="24"/>
        </w:numPr>
        <w:spacing w:line="257" w:lineRule="auto"/>
        <w:rPr>
          <w:rFonts w:ascii="Times New Roman" w:hAnsi="Times New Roman" w:cs="Times New Roman"/>
          <w:color w:val="000000"/>
        </w:rPr>
      </w:pPr>
      <w:r>
        <w:rPr>
          <w:rFonts w:ascii="Times New Roman" w:hAnsi="Times New Roman" w:cs="Times New Roman"/>
          <w:color w:val="000000"/>
        </w:rPr>
        <w:t xml:space="preserve">transferring a telecommunications service from being a post-paid carriage service to a pre-paid carriage </w:t>
      </w:r>
      <w:proofErr w:type="gramStart"/>
      <w:r>
        <w:rPr>
          <w:rFonts w:ascii="Times New Roman" w:hAnsi="Times New Roman" w:cs="Times New Roman"/>
          <w:color w:val="000000"/>
        </w:rPr>
        <w:t>service;</w:t>
      </w:r>
      <w:proofErr w:type="gramEnd"/>
    </w:p>
    <w:p w14:paraId="135065EF" w14:textId="340B4E7D" w:rsidR="005362F2" w:rsidRPr="0059382D" w:rsidRDefault="005362F2" w:rsidP="005362F2">
      <w:pPr>
        <w:pStyle w:val="ListParagraph"/>
        <w:numPr>
          <w:ilvl w:val="0"/>
          <w:numId w:val="24"/>
        </w:numPr>
        <w:spacing w:line="257" w:lineRule="auto"/>
        <w:rPr>
          <w:rFonts w:ascii="Times New Roman" w:hAnsi="Times New Roman" w:cs="Times New Roman"/>
          <w:color w:val="000000"/>
        </w:rPr>
      </w:pPr>
      <w:r w:rsidRPr="0059382D">
        <w:rPr>
          <w:rFonts w:ascii="Times New Roman" w:hAnsi="Times New Roman" w:cs="Times New Roman"/>
          <w:color w:val="000000"/>
        </w:rPr>
        <w:t xml:space="preserve">activating a telecommunications service where the customer is </w:t>
      </w:r>
      <w:proofErr w:type="gramStart"/>
      <w:r w:rsidRPr="0059382D">
        <w:rPr>
          <w:rFonts w:ascii="Times New Roman" w:hAnsi="Times New Roman" w:cs="Times New Roman"/>
          <w:color w:val="000000"/>
        </w:rPr>
        <w:t>overseas;</w:t>
      </w:r>
      <w:proofErr w:type="gramEnd"/>
    </w:p>
    <w:p w14:paraId="30CEED0C" w14:textId="70C50502" w:rsidR="005362F2" w:rsidRPr="0059382D" w:rsidRDefault="005362F2" w:rsidP="005362F2">
      <w:pPr>
        <w:pStyle w:val="ListParagraph"/>
        <w:numPr>
          <w:ilvl w:val="0"/>
          <w:numId w:val="24"/>
        </w:numPr>
        <w:spacing w:line="257" w:lineRule="auto"/>
        <w:rPr>
          <w:rFonts w:ascii="Times New Roman" w:hAnsi="Times New Roman" w:cs="Times New Roman"/>
          <w:color w:val="000000"/>
        </w:rPr>
      </w:pPr>
      <w:r w:rsidRPr="0059382D">
        <w:rPr>
          <w:rFonts w:ascii="Times New Roman" w:hAnsi="Times New Roman" w:cs="Times New Roman"/>
          <w:color w:val="000000"/>
        </w:rPr>
        <w:t>transferring a title (also known as change of ownership</w:t>
      </w:r>
      <w:proofErr w:type="gramStart"/>
      <w:r w:rsidRPr="0059382D">
        <w:rPr>
          <w:rFonts w:ascii="Times New Roman" w:hAnsi="Times New Roman" w:cs="Times New Roman"/>
          <w:color w:val="000000"/>
        </w:rPr>
        <w:t>);</w:t>
      </w:r>
      <w:proofErr w:type="gramEnd"/>
    </w:p>
    <w:p w14:paraId="515E0534" w14:textId="480B0ABC" w:rsidR="005362F2" w:rsidRPr="0059382D" w:rsidRDefault="005362F2" w:rsidP="005362F2">
      <w:pPr>
        <w:pStyle w:val="ListParagraph"/>
        <w:numPr>
          <w:ilvl w:val="0"/>
          <w:numId w:val="24"/>
        </w:numPr>
        <w:spacing w:line="257" w:lineRule="auto"/>
        <w:rPr>
          <w:rFonts w:ascii="Times New Roman" w:hAnsi="Times New Roman" w:cs="Times New Roman"/>
          <w:color w:val="000000"/>
        </w:rPr>
      </w:pPr>
      <w:r w:rsidRPr="0059382D">
        <w:rPr>
          <w:rFonts w:ascii="Times New Roman" w:hAnsi="Times New Roman" w:cs="Times New Roman"/>
          <w:color w:val="000000"/>
        </w:rPr>
        <w:t xml:space="preserve">blocking an International Mobile Equipment Identity or a Permanent Equipment </w:t>
      </w:r>
      <w:proofErr w:type="gramStart"/>
      <w:r w:rsidRPr="0059382D">
        <w:rPr>
          <w:rFonts w:ascii="Times New Roman" w:hAnsi="Times New Roman" w:cs="Times New Roman"/>
          <w:color w:val="000000"/>
        </w:rPr>
        <w:t>Identifier;</w:t>
      </w:r>
      <w:proofErr w:type="gramEnd"/>
    </w:p>
    <w:p w14:paraId="6AA7A42A" w14:textId="0D518F4F" w:rsidR="005362F2" w:rsidRPr="0059382D" w:rsidRDefault="005362F2" w:rsidP="005362F2">
      <w:pPr>
        <w:pStyle w:val="ListParagraph"/>
        <w:numPr>
          <w:ilvl w:val="0"/>
          <w:numId w:val="24"/>
        </w:numPr>
        <w:spacing w:line="257" w:lineRule="auto"/>
        <w:rPr>
          <w:rFonts w:ascii="Times New Roman" w:hAnsi="Times New Roman" w:cs="Times New Roman"/>
          <w:color w:val="000000"/>
        </w:rPr>
      </w:pPr>
      <w:r w:rsidRPr="0059382D">
        <w:rPr>
          <w:rFonts w:ascii="Times New Roman" w:hAnsi="Times New Roman" w:cs="Times New Roman"/>
          <w:color w:val="000000"/>
        </w:rPr>
        <w:t xml:space="preserve">purchasing an additional mobile communications device; or </w:t>
      </w:r>
    </w:p>
    <w:p w14:paraId="0CF392AF" w14:textId="774EF3E6" w:rsidR="005362F2" w:rsidRPr="0059382D" w:rsidRDefault="005362F2" w:rsidP="0059382D">
      <w:pPr>
        <w:pStyle w:val="ListParagraph"/>
        <w:numPr>
          <w:ilvl w:val="0"/>
          <w:numId w:val="24"/>
        </w:numPr>
        <w:spacing w:line="257" w:lineRule="auto"/>
        <w:rPr>
          <w:rFonts w:ascii="Times New Roman" w:hAnsi="Times New Roman" w:cs="Times New Roman"/>
          <w:color w:val="000000"/>
        </w:rPr>
      </w:pPr>
      <w:r w:rsidRPr="0059382D">
        <w:rPr>
          <w:rFonts w:ascii="Times New Roman" w:hAnsi="Times New Roman" w:cs="Times New Roman"/>
          <w:color w:val="000000"/>
        </w:rPr>
        <w:t>adding an additional carriage service to an account.</w:t>
      </w:r>
    </w:p>
    <w:p w14:paraId="5BA2EF4E" w14:textId="5D6295C8" w:rsidR="00ED7174" w:rsidRPr="0069333E" w:rsidRDefault="00ED7174" w:rsidP="0030602B">
      <w:pPr>
        <w:spacing w:line="257" w:lineRule="auto"/>
        <w:rPr>
          <w:rFonts w:ascii="Times New Roman" w:hAnsi="Times New Roman" w:cs="Times New Roman"/>
          <w:color w:val="000000"/>
          <w:u w:val="single"/>
        </w:rPr>
      </w:pPr>
      <w:r>
        <w:rPr>
          <w:rFonts w:ascii="Times New Roman" w:hAnsi="Times New Roman" w:cs="Times New Roman"/>
          <w:color w:val="000000"/>
          <w:u w:val="single"/>
        </w:rPr>
        <w:t>Identity authentication for high-risk customer transactions</w:t>
      </w:r>
    </w:p>
    <w:p w14:paraId="62A70DC7" w14:textId="77375E84" w:rsidR="00CC4A47" w:rsidRDefault="0030602B" w:rsidP="0030602B">
      <w:pPr>
        <w:spacing w:line="257" w:lineRule="auto"/>
        <w:rPr>
          <w:rFonts w:ascii="Times New Roman" w:hAnsi="Times New Roman" w:cs="Times New Roman"/>
          <w:szCs w:val="20"/>
        </w:rPr>
      </w:pPr>
      <w:r>
        <w:rPr>
          <w:rFonts w:ascii="Times New Roman" w:hAnsi="Times New Roman" w:cs="Times New Roman"/>
          <w:color w:val="000000"/>
        </w:rPr>
        <w:t>Section 8</w:t>
      </w:r>
      <w:r w:rsidR="002E022D">
        <w:rPr>
          <w:rFonts w:ascii="Times New Roman" w:hAnsi="Times New Roman" w:cs="Times New Roman"/>
          <w:color w:val="000000"/>
        </w:rPr>
        <w:t xml:space="preserve"> of the Customer ID Determination</w:t>
      </w:r>
      <w:r>
        <w:rPr>
          <w:rFonts w:ascii="Times New Roman" w:hAnsi="Times New Roman" w:cs="Times New Roman"/>
          <w:color w:val="000000"/>
        </w:rPr>
        <w:t xml:space="preserve"> </w:t>
      </w:r>
      <w:r w:rsidR="00963DE0">
        <w:rPr>
          <w:rFonts w:ascii="Times New Roman" w:hAnsi="Times New Roman" w:cs="Times New Roman"/>
          <w:color w:val="000000"/>
        </w:rPr>
        <w:t>provides</w:t>
      </w:r>
      <w:r w:rsidRPr="0030602B">
        <w:rPr>
          <w:rFonts w:ascii="Times New Roman" w:hAnsi="Times New Roman" w:cs="Times New Roman"/>
          <w:color w:val="000000"/>
        </w:rPr>
        <w:t xml:space="preserve"> that a CSP</w:t>
      </w:r>
      <w:r w:rsidR="00963DE0">
        <w:rPr>
          <w:rFonts w:ascii="Times New Roman" w:hAnsi="Times New Roman" w:cs="Times New Roman"/>
          <w:color w:val="000000"/>
        </w:rPr>
        <w:t xml:space="preserve"> must</w:t>
      </w:r>
      <w:r w:rsidRPr="0030602B">
        <w:rPr>
          <w:rFonts w:ascii="Times New Roman" w:hAnsi="Times New Roman" w:cs="Times New Roman"/>
          <w:color w:val="000000"/>
        </w:rPr>
        <w:t xml:space="preserve"> </w:t>
      </w:r>
      <w:r w:rsidRPr="0030602B">
        <w:rPr>
          <w:rFonts w:ascii="Times New Roman" w:hAnsi="Times New Roman" w:cs="Times New Roman"/>
          <w:szCs w:val="20"/>
        </w:rPr>
        <w:t xml:space="preserve">use one of the identity authentication processes outlined at sections 9, 10 or 11 prior to </w:t>
      </w:r>
      <w:r w:rsidRPr="0030602B">
        <w:rPr>
          <w:rFonts w:ascii="Times New Roman" w:hAnsi="Times New Roman" w:cs="Times New Roman"/>
        </w:rPr>
        <w:t xml:space="preserve">undertaking the first high-risk customer transaction </w:t>
      </w:r>
      <w:proofErr w:type="gramStart"/>
      <w:r w:rsidRPr="0030602B">
        <w:rPr>
          <w:rFonts w:ascii="Times New Roman" w:hAnsi="Times New Roman" w:cs="Times New Roman"/>
        </w:rPr>
        <w:t>in the course of</w:t>
      </w:r>
      <w:proofErr w:type="gramEnd"/>
      <w:r w:rsidRPr="0030602B">
        <w:rPr>
          <w:rFonts w:ascii="Times New Roman" w:hAnsi="Times New Roman" w:cs="Times New Roman"/>
        </w:rPr>
        <w:t xml:space="preserve"> a high-risk customer interaction to confirm </w:t>
      </w:r>
      <w:r w:rsidRPr="0030602B">
        <w:rPr>
          <w:rFonts w:ascii="Times New Roman" w:hAnsi="Times New Roman" w:cs="Times New Roman"/>
          <w:szCs w:val="20"/>
        </w:rPr>
        <w:t>the requesting person is the customer, or their authorised representative, for the service.</w:t>
      </w:r>
      <w:r>
        <w:rPr>
          <w:rFonts w:ascii="Times New Roman" w:hAnsi="Times New Roman" w:cs="Times New Roman"/>
          <w:szCs w:val="20"/>
        </w:rPr>
        <w:t xml:space="preserve"> </w:t>
      </w:r>
    </w:p>
    <w:p w14:paraId="55006882" w14:textId="701FF7B2" w:rsidR="00ED7174" w:rsidRDefault="00CC4A47" w:rsidP="0030602B">
      <w:pPr>
        <w:spacing w:line="257" w:lineRule="auto"/>
        <w:rPr>
          <w:rFonts w:ascii="Times New Roman" w:hAnsi="Times New Roman" w:cs="Times New Roman"/>
          <w:szCs w:val="20"/>
        </w:rPr>
      </w:pPr>
      <w:r>
        <w:rPr>
          <w:rFonts w:ascii="Times New Roman" w:hAnsi="Times New Roman" w:cs="Times New Roman"/>
          <w:szCs w:val="20"/>
        </w:rPr>
        <w:lastRenderedPageBreak/>
        <w:t>S</w:t>
      </w:r>
      <w:r w:rsidR="0030602B">
        <w:rPr>
          <w:rFonts w:ascii="Times New Roman" w:hAnsi="Times New Roman" w:cs="Times New Roman"/>
          <w:szCs w:val="20"/>
        </w:rPr>
        <w:t xml:space="preserve">ection </w:t>
      </w:r>
      <w:r>
        <w:rPr>
          <w:rFonts w:ascii="Times New Roman" w:hAnsi="Times New Roman" w:cs="Times New Roman"/>
          <w:szCs w:val="20"/>
        </w:rPr>
        <w:t xml:space="preserve">8 </w:t>
      </w:r>
      <w:r w:rsidR="0030602B">
        <w:rPr>
          <w:rFonts w:ascii="Times New Roman" w:hAnsi="Times New Roman" w:cs="Times New Roman"/>
          <w:szCs w:val="20"/>
        </w:rPr>
        <w:t>is subject to section 12</w:t>
      </w:r>
      <w:r w:rsidR="00082EF9">
        <w:rPr>
          <w:rFonts w:ascii="Times New Roman" w:hAnsi="Times New Roman" w:cs="Times New Roman"/>
          <w:szCs w:val="20"/>
        </w:rPr>
        <w:t>, which applies where</w:t>
      </w:r>
      <w:r w:rsidR="00EE51DD">
        <w:rPr>
          <w:rFonts w:ascii="Times New Roman" w:hAnsi="Times New Roman" w:cs="Times New Roman"/>
          <w:szCs w:val="20"/>
        </w:rPr>
        <w:t xml:space="preserve"> a</w:t>
      </w:r>
      <w:r w:rsidR="002D57DF">
        <w:rPr>
          <w:rFonts w:ascii="Times New Roman" w:hAnsi="Times New Roman" w:cs="Times New Roman"/>
          <w:szCs w:val="20"/>
        </w:rPr>
        <w:t xml:space="preserve"> </w:t>
      </w:r>
      <w:r w:rsidR="00975667">
        <w:rPr>
          <w:rFonts w:ascii="Times New Roman" w:hAnsi="Times New Roman" w:cs="Times New Roman"/>
          <w:szCs w:val="20"/>
        </w:rPr>
        <w:t>person</w:t>
      </w:r>
      <w:r w:rsidR="00975667" w:rsidDel="00BE1135">
        <w:rPr>
          <w:rFonts w:ascii="Times New Roman" w:hAnsi="Times New Roman" w:cs="Times New Roman"/>
          <w:szCs w:val="20"/>
        </w:rPr>
        <w:t xml:space="preserve"> </w:t>
      </w:r>
      <w:r w:rsidR="00082EF9" w:rsidRPr="00082EF9">
        <w:rPr>
          <w:rFonts w:ascii="Times New Roman" w:hAnsi="Times New Roman" w:cs="Times New Roman"/>
          <w:szCs w:val="20"/>
        </w:rPr>
        <w:t>is authorised by the customer, or by a court or tribunal or any other body legally empowered to represent customers, to act on behalf of the customer</w:t>
      </w:r>
      <w:r w:rsidR="00B21C6E">
        <w:rPr>
          <w:rFonts w:ascii="Times New Roman" w:hAnsi="Times New Roman" w:cs="Times New Roman"/>
          <w:szCs w:val="20"/>
        </w:rPr>
        <w:t>, other than an authorised representative</w:t>
      </w:r>
      <w:r w:rsidR="00082EF9" w:rsidRPr="00082EF9">
        <w:rPr>
          <w:rFonts w:ascii="Times New Roman" w:hAnsi="Times New Roman" w:cs="Times New Roman"/>
          <w:szCs w:val="20"/>
        </w:rPr>
        <w:t xml:space="preserve"> – defined as an “unlisted authorised representative” in </w:t>
      </w:r>
      <w:r w:rsidR="003E698F">
        <w:rPr>
          <w:rFonts w:ascii="Times New Roman" w:hAnsi="Times New Roman" w:cs="Times New Roman"/>
          <w:szCs w:val="20"/>
        </w:rPr>
        <w:t xml:space="preserve">subsection 6(1) of </w:t>
      </w:r>
      <w:r w:rsidR="00082EF9" w:rsidRPr="00082EF9">
        <w:rPr>
          <w:rFonts w:ascii="Times New Roman" w:hAnsi="Times New Roman" w:cs="Times New Roman"/>
          <w:szCs w:val="20"/>
        </w:rPr>
        <w:t xml:space="preserve">the </w:t>
      </w:r>
      <w:r w:rsidR="00656F42">
        <w:rPr>
          <w:rFonts w:ascii="Times New Roman" w:hAnsi="Times New Roman" w:cs="Times New Roman"/>
          <w:szCs w:val="20"/>
        </w:rPr>
        <w:t xml:space="preserve">Customer ID </w:t>
      </w:r>
      <w:r w:rsidR="00082EF9" w:rsidRPr="00082EF9">
        <w:rPr>
          <w:rFonts w:ascii="Times New Roman" w:hAnsi="Times New Roman" w:cs="Times New Roman"/>
          <w:szCs w:val="20"/>
        </w:rPr>
        <w:t>Determination.</w:t>
      </w:r>
    </w:p>
    <w:p w14:paraId="3C1BA602" w14:textId="515AC2AC" w:rsidR="0047717C" w:rsidRDefault="0047717C" w:rsidP="0030602B">
      <w:pPr>
        <w:spacing w:line="257" w:lineRule="auto"/>
        <w:rPr>
          <w:rFonts w:ascii="Times New Roman" w:hAnsi="Times New Roman" w:cs="Times New Roman"/>
          <w:szCs w:val="20"/>
          <w:u w:val="single"/>
        </w:rPr>
      </w:pPr>
      <w:r>
        <w:rPr>
          <w:rFonts w:ascii="Times New Roman" w:hAnsi="Times New Roman" w:cs="Times New Roman"/>
          <w:szCs w:val="20"/>
          <w:u w:val="single"/>
        </w:rPr>
        <w:t>Notifications</w:t>
      </w:r>
    </w:p>
    <w:p w14:paraId="7175A56D" w14:textId="51D5FE52" w:rsidR="0075586A" w:rsidRDefault="0075586A" w:rsidP="0075586A">
      <w:pPr>
        <w:spacing w:line="257" w:lineRule="auto"/>
        <w:rPr>
          <w:rFonts w:ascii="Times New Roman" w:hAnsi="Times New Roman" w:cs="Times New Roman"/>
          <w:szCs w:val="20"/>
        </w:rPr>
      </w:pPr>
      <w:r>
        <w:rPr>
          <w:rFonts w:ascii="Times New Roman" w:hAnsi="Times New Roman" w:cs="Times New Roman"/>
          <w:szCs w:val="20"/>
        </w:rPr>
        <w:t xml:space="preserve">Subsections 10(5) and 11(4) </w:t>
      </w:r>
      <w:r w:rsidR="00D04F97">
        <w:rPr>
          <w:rFonts w:ascii="Times New Roman" w:hAnsi="Times New Roman" w:cs="Times New Roman"/>
          <w:szCs w:val="20"/>
        </w:rPr>
        <w:t>provide that</w:t>
      </w:r>
      <w:r>
        <w:rPr>
          <w:rFonts w:ascii="Times New Roman" w:hAnsi="Times New Roman" w:cs="Times New Roman"/>
          <w:szCs w:val="20"/>
        </w:rPr>
        <w:t xml:space="preserve"> a CSP </w:t>
      </w:r>
      <w:r w:rsidR="00D04F97">
        <w:rPr>
          <w:rFonts w:ascii="Times New Roman" w:hAnsi="Times New Roman" w:cs="Times New Roman"/>
          <w:szCs w:val="20"/>
        </w:rPr>
        <w:t>must</w:t>
      </w:r>
      <w:r>
        <w:rPr>
          <w:rFonts w:ascii="Times New Roman" w:hAnsi="Times New Roman" w:cs="Times New Roman"/>
          <w:szCs w:val="20"/>
        </w:rPr>
        <w:t xml:space="preserve"> send a notification to a customer, or the customer’s authorised representative (the </w:t>
      </w:r>
      <w:r w:rsidRPr="00BB4FB5">
        <w:rPr>
          <w:rFonts w:ascii="Times New Roman" w:hAnsi="Times New Roman" w:cs="Times New Roman"/>
          <w:i/>
          <w:szCs w:val="20"/>
        </w:rPr>
        <w:t>relevant person</w:t>
      </w:r>
      <w:r>
        <w:rPr>
          <w:rFonts w:ascii="Times New Roman" w:hAnsi="Times New Roman" w:cs="Times New Roman"/>
          <w:szCs w:val="20"/>
        </w:rPr>
        <w:t xml:space="preserve">), prior to or immediately after undertaking a high-risk transaction. </w:t>
      </w:r>
    </w:p>
    <w:p w14:paraId="04794E00" w14:textId="77E79F82" w:rsidR="0075586A" w:rsidRDefault="0075586A" w:rsidP="0030602B">
      <w:pPr>
        <w:spacing w:line="257" w:lineRule="auto"/>
        <w:rPr>
          <w:rFonts w:ascii="Times New Roman" w:hAnsi="Times New Roman" w:cs="Times New Roman"/>
          <w:szCs w:val="20"/>
        </w:rPr>
      </w:pPr>
      <w:r>
        <w:rPr>
          <w:rFonts w:ascii="Times New Roman" w:hAnsi="Times New Roman" w:cs="Times New Roman"/>
          <w:szCs w:val="20"/>
        </w:rPr>
        <w:t xml:space="preserve">Subsection 12(4) </w:t>
      </w:r>
      <w:r w:rsidR="00BB4FB5">
        <w:rPr>
          <w:rFonts w:ascii="Times New Roman" w:hAnsi="Times New Roman" w:cs="Times New Roman"/>
          <w:szCs w:val="20"/>
        </w:rPr>
        <w:t>provides that</w:t>
      </w:r>
      <w:r>
        <w:rPr>
          <w:rFonts w:ascii="Times New Roman" w:hAnsi="Times New Roman" w:cs="Times New Roman"/>
          <w:szCs w:val="20"/>
        </w:rPr>
        <w:t xml:space="preserve"> a CSP </w:t>
      </w:r>
      <w:r w:rsidR="00BB4FB5">
        <w:rPr>
          <w:rFonts w:ascii="Times New Roman" w:hAnsi="Times New Roman" w:cs="Times New Roman"/>
          <w:szCs w:val="20"/>
        </w:rPr>
        <w:t>must</w:t>
      </w:r>
      <w:r>
        <w:rPr>
          <w:rFonts w:ascii="Times New Roman" w:hAnsi="Times New Roman" w:cs="Times New Roman"/>
          <w:szCs w:val="20"/>
        </w:rPr>
        <w:t xml:space="preserve"> send a notification to the relevant person, prior to or immediately after undertaking a high-risk transaction initiated by an unlisted authorised representative in relation to the customer’s telecommunications service. </w:t>
      </w:r>
    </w:p>
    <w:p w14:paraId="54A614D1" w14:textId="503347EC" w:rsidR="0047717C" w:rsidRDefault="0075586A" w:rsidP="0030602B">
      <w:pPr>
        <w:spacing w:line="257" w:lineRule="auto"/>
        <w:rPr>
          <w:rFonts w:ascii="Times New Roman" w:hAnsi="Times New Roman" w:cs="Times New Roman"/>
          <w:szCs w:val="20"/>
          <w:u w:val="single"/>
        </w:rPr>
      </w:pPr>
      <w:r>
        <w:rPr>
          <w:rFonts w:ascii="Times New Roman" w:hAnsi="Times New Roman" w:cs="Times New Roman"/>
          <w:szCs w:val="20"/>
        </w:rPr>
        <w:t xml:space="preserve">A notification sent under </w:t>
      </w:r>
      <w:proofErr w:type="gramStart"/>
      <w:r>
        <w:rPr>
          <w:rFonts w:ascii="Times New Roman" w:hAnsi="Times New Roman" w:cs="Times New Roman"/>
          <w:szCs w:val="20"/>
        </w:rPr>
        <w:t>subsection</w:t>
      </w:r>
      <w:proofErr w:type="gramEnd"/>
      <w:r>
        <w:rPr>
          <w:rFonts w:ascii="Times New Roman" w:hAnsi="Times New Roman" w:cs="Times New Roman"/>
          <w:szCs w:val="20"/>
        </w:rPr>
        <w:t xml:space="preserve"> 10(5), 11(4) or 12(4) must inform the relevant person that a high-risk transaction has been initiated, and what they can do if they did not initiate the transaction.</w:t>
      </w:r>
    </w:p>
    <w:p w14:paraId="2E213492" w14:textId="0BBC5F70" w:rsidR="00C25587" w:rsidRPr="0069333E" w:rsidRDefault="0047717C" w:rsidP="0030602B">
      <w:pPr>
        <w:spacing w:line="257" w:lineRule="auto"/>
        <w:rPr>
          <w:rFonts w:ascii="Times New Roman" w:hAnsi="Times New Roman" w:cs="Times New Roman"/>
          <w:szCs w:val="20"/>
          <w:u w:val="single"/>
        </w:rPr>
      </w:pPr>
      <w:r>
        <w:rPr>
          <w:rFonts w:ascii="Times New Roman" w:hAnsi="Times New Roman" w:cs="Times New Roman"/>
          <w:szCs w:val="20"/>
          <w:u w:val="single"/>
        </w:rPr>
        <w:t>Reversal or remediation of unauthorised high-risk customer interactions</w:t>
      </w:r>
      <w:r w:rsidR="005A764C">
        <w:rPr>
          <w:rFonts w:ascii="Times New Roman" w:hAnsi="Times New Roman" w:cs="Times New Roman"/>
          <w:szCs w:val="20"/>
          <w:u w:val="single"/>
        </w:rPr>
        <w:t xml:space="preserve"> </w:t>
      </w:r>
    </w:p>
    <w:p w14:paraId="6F7F7E37" w14:textId="73091041" w:rsidR="00E42563" w:rsidRDefault="00E42563" w:rsidP="0089542B">
      <w:pPr>
        <w:spacing w:line="257" w:lineRule="auto"/>
        <w:rPr>
          <w:rFonts w:ascii="Times New Roman" w:hAnsi="Times New Roman" w:cs="Times New Roman"/>
          <w:szCs w:val="20"/>
        </w:rPr>
      </w:pPr>
      <w:bookmarkStart w:id="1" w:name="_Hlk103262078"/>
      <w:r>
        <w:rPr>
          <w:rFonts w:ascii="Times New Roman" w:hAnsi="Times New Roman" w:cs="Times New Roman"/>
          <w:szCs w:val="20"/>
        </w:rPr>
        <w:t xml:space="preserve">Section </w:t>
      </w:r>
      <w:r w:rsidR="00580205">
        <w:rPr>
          <w:rFonts w:ascii="Times New Roman" w:hAnsi="Times New Roman" w:cs="Times New Roman"/>
          <w:szCs w:val="20"/>
        </w:rPr>
        <w:t xml:space="preserve">9 of the Customer ID Determination </w:t>
      </w:r>
      <w:r w:rsidR="00CF0E0D">
        <w:rPr>
          <w:rFonts w:ascii="Times New Roman" w:hAnsi="Times New Roman" w:cs="Times New Roman"/>
          <w:szCs w:val="20"/>
        </w:rPr>
        <w:t xml:space="preserve">sets out the multi-factor authentication </w:t>
      </w:r>
      <w:r w:rsidR="00B93A3E">
        <w:rPr>
          <w:rFonts w:ascii="Times New Roman" w:hAnsi="Times New Roman" w:cs="Times New Roman"/>
          <w:szCs w:val="20"/>
        </w:rPr>
        <w:t xml:space="preserve">identity </w:t>
      </w:r>
      <w:r w:rsidR="00CF0E0D">
        <w:rPr>
          <w:rFonts w:ascii="Times New Roman" w:hAnsi="Times New Roman" w:cs="Times New Roman"/>
          <w:szCs w:val="20"/>
        </w:rPr>
        <w:t>requirements</w:t>
      </w:r>
      <w:r w:rsidR="00B93A3E">
        <w:rPr>
          <w:rFonts w:ascii="Times New Roman" w:hAnsi="Times New Roman" w:cs="Times New Roman"/>
          <w:szCs w:val="20"/>
        </w:rPr>
        <w:t xml:space="preserve">. </w:t>
      </w:r>
      <w:r w:rsidR="0011481C">
        <w:rPr>
          <w:rFonts w:ascii="Times New Roman" w:hAnsi="Times New Roman" w:cs="Times New Roman"/>
          <w:szCs w:val="20"/>
        </w:rPr>
        <w:t>This includes the option to use a unique verification code or secure hyperlink</w:t>
      </w:r>
      <w:r w:rsidR="000349C2">
        <w:rPr>
          <w:rFonts w:ascii="Times New Roman" w:hAnsi="Times New Roman" w:cs="Times New Roman"/>
          <w:szCs w:val="20"/>
        </w:rPr>
        <w:t xml:space="preserve"> to confirm that the requesting person is the customer or authorised representative for the service. </w:t>
      </w:r>
      <w:r w:rsidR="001F6015">
        <w:rPr>
          <w:rFonts w:ascii="Times New Roman" w:hAnsi="Times New Roman" w:cs="Times New Roman"/>
          <w:szCs w:val="20"/>
        </w:rPr>
        <w:t>Sub-subparagraph 9(3)(c)(ii)(C)</w:t>
      </w:r>
      <w:r w:rsidR="00FF6401">
        <w:rPr>
          <w:rFonts w:ascii="Times New Roman" w:hAnsi="Times New Roman" w:cs="Times New Roman"/>
          <w:szCs w:val="20"/>
        </w:rPr>
        <w:t xml:space="preserve"> </w:t>
      </w:r>
      <w:r w:rsidR="00FF6401" w:rsidRPr="00FF6401">
        <w:rPr>
          <w:rFonts w:ascii="Times New Roman" w:hAnsi="Times New Roman" w:cs="Times New Roman"/>
          <w:szCs w:val="20"/>
        </w:rPr>
        <w:t>provide</w:t>
      </w:r>
      <w:r w:rsidR="00FF6401">
        <w:rPr>
          <w:rFonts w:ascii="Times New Roman" w:hAnsi="Times New Roman" w:cs="Times New Roman"/>
          <w:szCs w:val="20"/>
        </w:rPr>
        <w:t>s</w:t>
      </w:r>
      <w:r w:rsidR="00FF6401" w:rsidRPr="00FF6401">
        <w:rPr>
          <w:rFonts w:ascii="Times New Roman" w:hAnsi="Times New Roman" w:cs="Times New Roman"/>
          <w:szCs w:val="20"/>
        </w:rPr>
        <w:t xml:space="preserve"> that a CSP must notify the relevant person</w:t>
      </w:r>
      <w:r w:rsidR="00A21929">
        <w:rPr>
          <w:rFonts w:ascii="Times New Roman" w:hAnsi="Times New Roman" w:cs="Times New Roman"/>
          <w:szCs w:val="20"/>
        </w:rPr>
        <w:t xml:space="preserve"> in the message </w:t>
      </w:r>
      <w:r>
        <w:rPr>
          <w:rFonts w:ascii="Times New Roman" w:hAnsi="Times New Roman" w:cs="Times New Roman"/>
          <w:szCs w:val="20"/>
        </w:rPr>
        <w:t xml:space="preserve">in which the unique verification code or secure hyperlink is sent, </w:t>
      </w:r>
      <w:r w:rsidR="00FF6401" w:rsidRPr="00FF6401">
        <w:rPr>
          <w:rFonts w:ascii="Times New Roman" w:hAnsi="Times New Roman" w:cs="Times New Roman"/>
          <w:szCs w:val="20"/>
        </w:rPr>
        <w:t xml:space="preserve">what they can do if they did not authorise the high-risk </w:t>
      </w:r>
      <w:r w:rsidR="00A21929">
        <w:rPr>
          <w:rFonts w:ascii="Times New Roman" w:hAnsi="Times New Roman" w:cs="Times New Roman"/>
          <w:szCs w:val="20"/>
        </w:rPr>
        <w:t xml:space="preserve">interaction. </w:t>
      </w:r>
    </w:p>
    <w:p w14:paraId="0B303557" w14:textId="10BDA23B" w:rsidR="00D51A78" w:rsidRDefault="001C46BF" w:rsidP="0089542B">
      <w:pPr>
        <w:spacing w:line="257" w:lineRule="auto"/>
        <w:rPr>
          <w:rFonts w:ascii="Times New Roman" w:hAnsi="Times New Roman" w:cs="Times New Roman"/>
          <w:szCs w:val="20"/>
        </w:rPr>
      </w:pPr>
      <w:r>
        <w:rPr>
          <w:rFonts w:ascii="Times New Roman" w:hAnsi="Times New Roman" w:cs="Times New Roman"/>
          <w:szCs w:val="20"/>
        </w:rPr>
        <w:t xml:space="preserve">This is </w:t>
      </w:r>
      <w:proofErr w:type="gramStart"/>
      <w:r>
        <w:rPr>
          <w:rFonts w:ascii="Times New Roman" w:hAnsi="Times New Roman" w:cs="Times New Roman"/>
          <w:szCs w:val="20"/>
        </w:rPr>
        <w:t>similar to</w:t>
      </w:r>
      <w:proofErr w:type="gramEnd"/>
      <w:r>
        <w:rPr>
          <w:rFonts w:ascii="Times New Roman" w:hAnsi="Times New Roman" w:cs="Times New Roman"/>
          <w:szCs w:val="20"/>
        </w:rPr>
        <w:t xml:space="preserve"> the requirement in subsections 10(5), 11(4) and 12(4) that the </w:t>
      </w:r>
      <w:r w:rsidR="00D51A78">
        <w:rPr>
          <w:rFonts w:ascii="Times New Roman" w:hAnsi="Times New Roman" w:cs="Times New Roman"/>
          <w:szCs w:val="20"/>
        </w:rPr>
        <w:t>notification sent under th</w:t>
      </w:r>
      <w:r w:rsidR="00FE18B2">
        <w:rPr>
          <w:rFonts w:ascii="Times New Roman" w:hAnsi="Times New Roman" w:cs="Times New Roman"/>
          <w:szCs w:val="20"/>
        </w:rPr>
        <w:t>ose</w:t>
      </w:r>
      <w:r w:rsidR="00D51A78">
        <w:rPr>
          <w:rFonts w:ascii="Times New Roman" w:hAnsi="Times New Roman" w:cs="Times New Roman"/>
          <w:szCs w:val="20"/>
        </w:rPr>
        <w:t xml:space="preserve"> provisions must include what the relevant person can do if they did not initiate the transaction. </w:t>
      </w:r>
    </w:p>
    <w:p w14:paraId="07DA7B52" w14:textId="1ACFD4EA" w:rsidR="0089542B" w:rsidRDefault="0038788E" w:rsidP="0089542B">
      <w:pPr>
        <w:spacing w:line="257" w:lineRule="auto"/>
        <w:rPr>
          <w:rFonts w:ascii="Times New Roman" w:hAnsi="Times New Roman" w:cs="Times New Roman"/>
          <w:szCs w:val="20"/>
        </w:rPr>
      </w:pPr>
      <w:r>
        <w:rPr>
          <w:rFonts w:ascii="Times New Roman" w:hAnsi="Times New Roman" w:cs="Times New Roman"/>
          <w:szCs w:val="20"/>
        </w:rPr>
        <w:t>Paragraphs</w:t>
      </w:r>
      <w:r w:rsidR="00520EC8">
        <w:rPr>
          <w:rFonts w:ascii="Times New Roman" w:hAnsi="Times New Roman" w:cs="Times New Roman"/>
          <w:szCs w:val="20"/>
        </w:rPr>
        <w:t xml:space="preserve"> 9(5)</w:t>
      </w:r>
      <w:r w:rsidR="00890A5A">
        <w:rPr>
          <w:rFonts w:ascii="Times New Roman" w:hAnsi="Times New Roman" w:cs="Times New Roman"/>
          <w:szCs w:val="20"/>
        </w:rPr>
        <w:t>(a)</w:t>
      </w:r>
      <w:r w:rsidR="0089542B">
        <w:rPr>
          <w:rFonts w:ascii="Times New Roman" w:hAnsi="Times New Roman" w:cs="Times New Roman"/>
          <w:szCs w:val="20"/>
        </w:rPr>
        <w:t>, 10(8)</w:t>
      </w:r>
      <w:r w:rsidR="00890A5A">
        <w:rPr>
          <w:rFonts w:ascii="Times New Roman" w:hAnsi="Times New Roman" w:cs="Times New Roman"/>
          <w:szCs w:val="20"/>
        </w:rPr>
        <w:t>(a)</w:t>
      </w:r>
      <w:r w:rsidR="0089542B">
        <w:rPr>
          <w:rFonts w:ascii="Times New Roman" w:hAnsi="Times New Roman" w:cs="Times New Roman"/>
          <w:szCs w:val="20"/>
        </w:rPr>
        <w:t xml:space="preserve"> and 11(7)</w:t>
      </w:r>
      <w:r w:rsidR="00890A5A">
        <w:rPr>
          <w:rFonts w:ascii="Times New Roman" w:hAnsi="Times New Roman" w:cs="Times New Roman"/>
          <w:szCs w:val="20"/>
        </w:rPr>
        <w:t>(a)</w:t>
      </w:r>
      <w:r w:rsidR="00520EC8">
        <w:rPr>
          <w:rFonts w:ascii="Times New Roman" w:hAnsi="Times New Roman" w:cs="Times New Roman"/>
          <w:szCs w:val="20"/>
        </w:rPr>
        <w:t xml:space="preserve"> </w:t>
      </w:r>
      <w:r w:rsidR="00BB4FB5">
        <w:rPr>
          <w:rFonts w:ascii="Times New Roman" w:hAnsi="Times New Roman" w:cs="Times New Roman"/>
          <w:szCs w:val="20"/>
        </w:rPr>
        <w:t>provide that</w:t>
      </w:r>
      <w:r w:rsidR="00520EC8">
        <w:rPr>
          <w:rFonts w:ascii="Times New Roman" w:hAnsi="Times New Roman" w:cs="Times New Roman"/>
          <w:szCs w:val="20"/>
        </w:rPr>
        <w:t xml:space="preserve"> a CSP</w:t>
      </w:r>
      <w:r w:rsidR="0089542B">
        <w:rPr>
          <w:rFonts w:ascii="Times New Roman" w:hAnsi="Times New Roman" w:cs="Times New Roman"/>
          <w:szCs w:val="20"/>
        </w:rPr>
        <w:t xml:space="preserve"> </w:t>
      </w:r>
      <w:r w:rsidR="00BB4FB5">
        <w:rPr>
          <w:rFonts w:ascii="Times New Roman" w:hAnsi="Times New Roman" w:cs="Times New Roman"/>
          <w:szCs w:val="20"/>
        </w:rPr>
        <w:t>must</w:t>
      </w:r>
      <w:r w:rsidR="0089542B">
        <w:rPr>
          <w:rFonts w:ascii="Times New Roman" w:hAnsi="Times New Roman" w:cs="Times New Roman"/>
          <w:szCs w:val="20"/>
        </w:rPr>
        <w:t xml:space="preserve"> reverse or</w:t>
      </w:r>
      <w:r w:rsidR="0089542B" w:rsidRPr="0089542B">
        <w:rPr>
          <w:rFonts w:ascii="Times New Roman" w:hAnsi="Times New Roman" w:cs="Times New Roman"/>
          <w:szCs w:val="20"/>
        </w:rPr>
        <w:t xml:space="preserve"> </w:t>
      </w:r>
      <w:r w:rsidR="0089542B">
        <w:rPr>
          <w:rFonts w:ascii="Times New Roman" w:hAnsi="Times New Roman" w:cs="Times New Roman"/>
          <w:szCs w:val="20"/>
        </w:rPr>
        <w:t>remediate any completed high-risk customer transaction</w:t>
      </w:r>
      <w:r w:rsidR="00890A5A">
        <w:rPr>
          <w:rFonts w:ascii="Times New Roman" w:hAnsi="Times New Roman" w:cs="Times New Roman"/>
          <w:szCs w:val="20"/>
        </w:rPr>
        <w:t xml:space="preserve"> </w:t>
      </w:r>
      <w:r w:rsidR="0089542B">
        <w:rPr>
          <w:rFonts w:ascii="Times New Roman" w:hAnsi="Times New Roman" w:cs="Times New Roman"/>
          <w:szCs w:val="20"/>
        </w:rPr>
        <w:t xml:space="preserve">if the relevant person </w:t>
      </w:r>
      <w:r w:rsidR="00890A5A">
        <w:rPr>
          <w:rFonts w:ascii="Times New Roman" w:hAnsi="Times New Roman" w:cs="Times New Roman"/>
          <w:szCs w:val="20"/>
        </w:rPr>
        <w:t xml:space="preserve">did not initiate the transaction and </w:t>
      </w:r>
      <w:r w:rsidR="0089542B">
        <w:rPr>
          <w:rFonts w:ascii="Times New Roman" w:hAnsi="Times New Roman" w:cs="Times New Roman"/>
          <w:szCs w:val="20"/>
        </w:rPr>
        <w:t xml:space="preserve">takes the action referred to in </w:t>
      </w:r>
      <w:r>
        <w:rPr>
          <w:rFonts w:ascii="Times New Roman" w:hAnsi="Times New Roman" w:cs="Times New Roman"/>
          <w:szCs w:val="20"/>
        </w:rPr>
        <w:t>sub-subparagraph</w:t>
      </w:r>
      <w:r w:rsidR="0089542B">
        <w:rPr>
          <w:rFonts w:ascii="Times New Roman" w:hAnsi="Times New Roman" w:cs="Times New Roman"/>
          <w:szCs w:val="20"/>
        </w:rPr>
        <w:t xml:space="preserve"> 9(3)(c)(ii)(C)</w:t>
      </w:r>
      <w:r>
        <w:rPr>
          <w:rFonts w:ascii="Times New Roman" w:hAnsi="Times New Roman" w:cs="Times New Roman"/>
          <w:szCs w:val="20"/>
        </w:rPr>
        <w:t xml:space="preserve"> or subsections</w:t>
      </w:r>
      <w:r w:rsidR="0089542B">
        <w:rPr>
          <w:rFonts w:ascii="Times New Roman" w:hAnsi="Times New Roman" w:cs="Times New Roman"/>
          <w:szCs w:val="20"/>
        </w:rPr>
        <w:t xml:space="preserve"> 10(5) and 11(4)</w:t>
      </w:r>
      <w:r w:rsidR="00BB4FB5">
        <w:rPr>
          <w:rFonts w:ascii="Times New Roman" w:hAnsi="Times New Roman" w:cs="Times New Roman"/>
          <w:szCs w:val="20"/>
        </w:rPr>
        <w:t>, respectively</w:t>
      </w:r>
      <w:r w:rsidR="0089542B">
        <w:rPr>
          <w:rFonts w:ascii="Times New Roman" w:hAnsi="Times New Roman" w:cs="Times New Roman"/>
          <w:szCs w:val="20"/>
        </w:rPr>
        <w:t>.</w:t>
      </w:r>
    </w:p>
    <w:p w14:paraId="1E98958F" w14:textId="56056189" w:rsidR="00890A5A" w:rsidRDefault="0038788E" w:rsidP="0089542B">
      <w:pPr>
        <w:spacing w:line="257" w:lineRule="auto"/>
        <w:rPr>
          <w:rFonts w:ascii="Times New Roman" w:hAnsi="Times New Roman" w:cs="Times New Roman"/>
          <w:szCs w:val="20"/>
        </w:rPr>
      </w:pPr>
      <w:r>
        <w:rPr>
          <w:rFonts w:ascii="Times New Roman" w:hAnsi="Times New Roman" w:cs="Times New Roman"/>
          <w:szCs w:val="20"/>
        </w:rPr>
        <w:t>Paragraphs</w:t>
      </w:r>
      <w:r w:rsidR="00890A5A">
        <w:rPr>
          <w:rFonts w:ascii="Times New Roman" w:hAnsi="Times New Roman" w:cs="Times New Roman"/>
          <w:szCs w:val="20"/>
        </w:rPr>
        <w:t xml:space="preserve"> 9(5)(b), 10(8)(b) and 11(7)(b) </w:t>
      </w:r>
      <w:r w:rsidR="00BB4FB5">
        <w:rPr>
          <w:rFonts w:ascii="Times New Roman" w:hAnsi="Times New Roman" w:cs="Times New Roman"/>
          <w:szCs w:val="20"/>
        </w:rPr>
        <w:t>provide that</w:t>
      </w:r>
      <w:r w:rsidR="00890A5A">
        <w:rPr>
          <w:rFonts w:ascii="Times New Roman" w:hAnsi="Times New Roman" w:cs="Times New Roman"/>
          <w:szCs w:val="20"/>
        </w:rPr>
        <w:t xml:space="preserve"> </w:t>
      </w:r>
      <w:r w:rsidR="00AC2F52">
        <w:rPr>
          <w:rFonts w:ascii="Times New Roman" w:hAnsi="Times New Roman" w:cs="Times New Roman"/>
          <w:szCs w:val="20"/>
        </w:rPr>
        <w:t xml:space="preserve">where a high-risk transaction has not yet been undertaken, </w:t>
      </w:r>
      <w:r w:rsidR="00890A5A">
        <w:rPr>
          <w:rFonts w:ascii="Times New Roman" w:hAnsi="Times New Roman" w:cs="Times New Roman"/>
          <w:szCs w:val="20"/>
        </w:rPr>
        <w:t xml:space="preserve">a CSP </w:t>
      </w:r>
      <w:r w:rsidR="00BB4FB5">
        <w:rPr>
          <w:rFonts w:ascii="Times New Roman" w:hAnsi="Times New Roman" w:cs="Times New Roman"/>
          <w:szCs w:val="20"/>
        </w:rPr>
        <w:t>must</w:t>
      </w:r>
      <w:r w:rsidR="00890A5A">
        <w:rPr>
          <w:rFonts w:ascii="Times New Roman" w:hAnsi="Times New Roman" w:cs="Times New Roman"/>
          <w:szCs w:val="20"/>
        </w:rPr>
        <w:t xml:space="preserve"> not undertake any high-risk customer transaction if the relevant person did not initiate the transaction and takes the action referred to in sub</w:t>
      </w:r>
      <w:r>
        <w:rPr>
          <w:rFonts w:ascii="Times New Roman" w:hAnsi="Times New Roman" w:cs="Times New Roman"/>
          <w:szCs w:val="20"/>
        </w:rPr>
        <w:t xml:space="preserve">-subparagraph </w:t>
      </w:r>
      <w:r w:rsidR="00890A5A">
        <w:rPr>
          <w:rFonts w:ascii="Times New Roman" w:hAnsi="Times New Roman" w:cs="Times New Roman"/>
          <w:szCs w:val="20"/>
        </w:rPr>
        <w:t>9(3)(c)(ii)(C)</w:t>
      </w:r>
      <w:r>
        <w:rPr>
          <w:rFonts w:ascii="Times New Roman" w:hAnsi="Times New Roman" w:cs="Times New Roman"/>
          <w:szCs w:val="20"/>
        </w:rPr>
        <w:t xml:space="preserve"> or subsections </w:t>
      </w:r>
      <w:r w:rsidR="00890A5A">
        <w:rPr>
          <w:rFonts w:ascii="Times New Roman" w:hAnsi="Times New Roman" w:cs="Times New Roman"/>
          <w:szCs w:val="20"/>
        </w:rPr>
        <w:t>10(5) and 11(4)</w:t>
      </w:r>
      <w:r w:rsidR="00FE18B2">
        <w:rPr>
          <w:rFonts w:ascii="Times New Roman" w:hAnsi="Times New Roman" w:cs="Times New Roman"/>
          <w:szCs w:val="20"/>
        </w:rPr>
        <w:t>,</w:t>
      </w:r>
      <w:r w:rsidR="00BB4FB5">
        <w:rPr>
          <w:rFonts w:ascii="Times New Roman" w:hAnsi="Times New Roman" w:cs="Times New Roman"/>
          <w:szCs w:val="20"/>
        </w:rPr>
        <w:t xml:space="preserve"> respectively</w:t>
      </w:r>
      <w:r w:rsidR="00890A5A">
        <w:rPr>
          <w:rFonts w:ascii="Times New Roman" w:hAnsi="Times New Roman" w:cs="Times New Roman"/>
          <w:szCs w:val="20"/>
        </w:rPr>
        <w:t>.</w:t>
      </w:r>
      <w:r w:rsidR="00AA3E1D">
        <w:rPr>
          <w:rFonts w:ascii="Times New Roman" w:hAnsi="Times New Roman" w:cs="Times New Roman"/>
          <w:szCs w:val="20"/>
        </w:rPr>
        <w:t xml:space="preserve"> </w:t>
      </w:r>
    </w:p>
    <w:bookmarkEnd w:id="1"/>
    <w:p w14:paraId="2AD64512" w14:textId="2D5493FF" w:rsidR="00C50D4B" w:rsidRDefault="00C50D4B" w:rsidP="00990AB9">
      <w:pPr>
        <w:keepNext/>
        <w:spacing w:line="257" w:lineRule="auto"/>
        <w:rPr>
          <w:rFonts w:ascii="Times New Roman" w:hAnsi="Times New Roman" w:cs="Times New Roman"/>
          <w:szCs w:val="20"/>
          <w:u w:val="single"/>
        </w:rPr>
      </w:pPr>
      <w:r w:rsidRPr="00D7249B">
        <w:rPr>
          <w:rFonts w:ascii="Times New Roman" w:hAnsi="Times New Roman" w:cs="Times New Roman"/>
          <w:szCs w:val="20"/>
          <w:u w:val="single"/>
        </w:rPr>
        <w:t>Fraud mitigation protections for customers at risk of fraud</w:t>
      </w:r>
    </w:p>
    <w:p w14:paraId="2A9CF8E1" w14:textId="7042B38C" w:rsidR="0042332C" w:rsidRDefault="0042332C" w:rsidP="0030602B">
      <w:pPr>
        <w:spacing w:line="257" w:lineRule="auto"/>
        <w:rPr>
          <w:rFonts w:ascii="Times New Roman" w:hAnsi="Times New Roman" w:cs="Times New Roman"/>
          <w:szCs w:val="20"/>
        </w:rPr>
      </w:pPr>
      <w:r w:rsidRPr="0042332C">
        <w:rPr>
          <w:rFonts w:ascii="Times New Roman" w:hAnsi="Times New Roman" w:cs="Times New Roman"/>
          <w:szCs w:val="20"/>
        </w:rPr>
        <w:t xml:space="preserve">Section 13 is intended to ensure that a carriage service provider has fraud mitigation protections and systems in place. </w:t>
      </w:r>
    </w:p>
    <w:p w14:paraId="20BE596F" w14:textId="6D8F397A" w:rsidR="00992E4D" w:rsidRDefault="00403834" w:rsidP="0030602B">
      <w:pPr>
        <w:spacing w:line="257" w:lineRule="auto"/>
        <w:rPr>
          <w:rFonts w:ascii="Times New Roman" w:hAnsi="Times New Roman" w:cs="Times New Roman"/>
          <w:szCs w:val="20"/>
        </w:rPr>
      </w:pPr>
      <w:r>
        <w:rPr>
          <w:rFonts w:ascii="Times New Roman" w:hAnsi="Times New Roman" w:cs="Times New Roman"/>
          <w:szCs w:val="20"/>
        </w:rPr>
        <w:t xml:space="preserve">Subsection 13(1) </w:t>
      </w:r>
      <w:r w:rsidR="00CE14D9">
        <w:rPr>
          <w:rFonts w:ascii="Times New Roman" w:hAnsi="Times New Roman" w:cs="Times New Roman"/>
          <w:szCs w:val="20"/>
        </w:rPr>
        <w:t>provides that</w:t>
      </w:r>
      <w:r w:rsidR="007B61F9">
        <w:rPr>
          <w:rFonts w:ascii="Times New Roman" w:hAnsi="Times New Roman" w:cs="Times New Roman"/>
          <w:szCs w:val="20"/>
        </w:rPr>
        <w:t xml:space="preserve"> a CSP </w:t>
      </w:r>
      <w:r w:rsidR="00CE14D9">
        <w:rPr>
          <w:rFonts w:ascii="Times New Roman" w:hAnsi="Times New Roman" w:cs="Times New Roman"/>
          <w:szCs w:val="20"/>
        </w:rPr>
        <w:t>must</w:t>
      </w:r>
      <w:r w:rsidR="007B61F9">
        <w:rPr>
          <w:rFonts w:ascii="Times New Roman" w:hAnsi="Times New Roman" w:cs="Times New Roman"/>
          <w:szCs w:val="20"/>
        </w:rPr>
        <w:t xml:space="preserve"> have systems in place to identify customers that are at risk of fraud in relation to their telecommunications service and provide those customers with fraud mitigation protections.</w:t>
      </w:r>
    </w:p>
    <w:p w14:paraId="477194E1" w14:textId="633D4B04" w:rsidR="007B61F9" w:rsidRDefault="007B61F9" w:rsidP="0030602B">
      <w:pPr>
        <w:spacing w:line="257" w:lineRule="auto"/>
        <w:rPr>
          <w:rFonts w:ascii="Times New Roman" w:hAnsi="Times New Roman" w:cs="Times New Roman"/>
          <w:szCs w:val="20"/>
        </w:rPr>
      </w:pPr>
      <w:r>
        <w:rPr>
          <w:rFonts w:ascii="Times New Roman" w:hAnsi="Times New Roman" w:cs="Times New Roman"/>
          <w:szCs w:val="20"/>
        </w:rPr>
        <w:t xml:space="preserve">Subsection 13(2) </w:t>
      </w:r>
      <w:r w:rsidR="0047717C">
        <w:rPr>
          <w:rFonts w:ascii="Times New Roman" w:hAnsi="Times New Roman" w:cs="Times New Roman"/>
          <w:szCs w:val="20"/>
        </w:rPr>
        <w:t>provides that</w:t>
      </w:r>
      <w:r>
        <w:rPr>
          <w:rFonts w:ascii="Times New Roman" w:hAnsi="Times New Roman" w:cs="Times New Roman"/>
          <w:szCs w:val="20"/>
        </w:rPr>
        <w:t xml:space="preserve"> a CSP </w:t>
      </w:r>
      <w:r w:rsidR="0047717C">
        <w:rPr>
          <w:rFonts w:ascii="Times New Roman" w:hAnsi="Times New Roman" w:cs="Times New Roman"/>
          <w:szCs w:val="20"/>
        </w:rPr>
        <w:t>must</w:t>
      </w:r>
      <w:r>
        <w:rPr>
          <w:rFonts w:ascii="Times New Roman" w:hAnsi="Times New Roman" w:cs="Times New Roman"/>
          <w:szCs w:val="20"/>
        </w:rPr>
        <w:t>, in response to a reasonable request made by a customer who believes they are at risk of fraud, offer the customer fraud mitigation protections.</w:t>
      </w:r>
    </w:p>
    <w:p w14:paraId="0F9C7310" w14:textId="1253FE33" w:rsidR="007B61F9" w:rsidRDefault="007B61F9" w:rsidP="00557F87">
      <w:pPr>
        <w:keepNext/>
        <w:keepLines/>
        <w:spacing w:line="257" w:lineRule="auto"/>
        <w:rPr>
          <w:rFonts w:ascii="Times New Roman" w:hAnsi="Times New Roman" w:cs="Times New Roman"/>
          <w:szCs w:val="20"/>
          <w:u w:val="single"/>
        </w:rPr>
      </w:pPr>
      <w:r>
        <w:rPr>
          <w:rFonts w:ascii="Times New Roman" w:hAnsi="Times New Roman" w:cs="Times New Roman"/>
          <w:szCs w:val="20"/>
          <w:u w:val="single"/>
        </w:rPr>
        <w:lastRenderedPageBreak/>
        <w:t>Publication of information</w:t>
      </w:r>
    </w:p>
    <w:p w14:paraId="3B4B9A42" w14:textId="5032E4DA" w:rsidR="007B61F9" w:rsidRPr="0069333E" w:rsidRDefault="007B61F9" w:rsidP="00557F87">
      <w:pPr>
        <w:keepNext/>
        <w:keepLines/>
        <w:spacing w:line="257" w:lineRule="auto"/>
        <w:rPr>
          <w:rFonts w:ascii="Times New Roman" w:hAnsi="Times New Roman" w:cs="Times New Roman"/>
          <w:szCs w:val="20"/>
        </w:rPr>
      </w:pPr>
      <w:r w:rsidRPr="0069333E">
        <w:rPr>
          <w:rFonts w:ascii="Times New Roman" w:hAnsi="Times New Roman" w:cs="Times New Roman"/>
          <w:szCs w:val="20"/>
        </w:rPr>
        <w:t xml:space="preserve">Section 14 </w:t>
      </w:r>
      <w:r w:rsidR="0047717C">
        <w:rPr>
          <w:rFonts w:ascii="Times New Roman" w:hAnsi="Times New Roman" w:cs="Times New Roman"/>
          <w:szCs w:val="20"/>
        </w:rPr>
        <w:t>provides that</w:t>
      </w:r>
      <w:r w:rsidRPr="0069333E">
        <w:rPr>
          <w:rFonts w:ascii="Times New Roman" w:hAnsi="Times New Roman" w:cs="Times New Roman"/>
          <w:szCs w:val="20"/>
        </w:rPr>
        <w:t xml:space="preserve"> a CSP </w:t>
      </w:r>
      <w:r w:rsidR="0047717C">
        <w:rPr>
          <w:rFonts w:ascii="Times New Roman" w:hAnsi="Times New Roman" w:cs="Times New Roman"/>
          <w:szCs w:val="20"/>
        </w:rPr>
        <w:t>must</w:t>
      </w:r>
      <w:r w:rsidRPr="0069333E">
        <w:rPr>
          <w:rFonts w:ascii="Times New Roman" w:hAnsi="Times New Roman" w:cs="Times New Roman"/>
          <w:szCs w:val="20"/>
        </w:rPr>
        <w:t xml:space="preserve"> publish information on its website advising customers that identity authentication processes will be used, and </w:t>
      </w:r>
      <w:r w:rsidR="00AF7234" w:rsidRPr="0069333E">
        <w:rPr>
          <w:rFonts w:ascii="Times New Roman" w:hAnsi="Times New Roman" w:cs="Times New Roman"/>
          <w:szCs w:val="20"/>
        </w:rPr>
        <w:t xml:space="preserve">that if a customer suspects their telecommunications service or account has been subject to </w:t>
      </w:r>
      <w:proofErr w:type="gramStart"/>
      <w:r w:rsidR="00AF7234" w:rsidRPr="0069333E">
        <w:rPr>
          <w:rFonts w:ascii="Times New Roman" w:hAnsi="Times New Roman" w:cs="Times New Roman"/>
          <w:szCs w:val="20"/>
        </w:rPr>
        <w:t>fraud</w:t>
      </w:r>
      <w:proofErr w:type="gramEnd"/>
      <w:r w:rsidR="00AF7234" w:rsidRPr="0069333E">
        <w:rPr>
          <w:rFonts w:ascii="Times New Roman" w:hAnsi="Times New Roman" w:cs="Times New Roman"/>
          <w:szCs w:val="20"/>
        </w:rPr>
        <w:t xml:space="preserve"> they should immediately report the activity to their CSP and financial services provider.</w:t>
      </w:r>
    </w:p>
    <w:p w14:paraId="5D349A04" w14:textId="7B7C1324" w:rsidR="00AF7234" w:rsidRDefault="00AF7234" w:rsidP="0030602B">
      <w:pPr>
        <w:spacing w:line="257" w:lineRule="auto"/>
        <w:rPr>
          <w:rFonts w:ascii="Times New Roman" w:hAnsi="Times New Roman" w:cs="Times New Roman"/>
          <w:szCs w:val="20"/>
          <w:u w:val="single"/>
        </w:rPr>
      </w:pPr>
      <w:r>
        <w:rPr>
          <w:rFonts w:ascii="Times New Roman" w:hAnsi="Times New Roman" w:cs="Times New Roman"/>
          <w:szCs w:val="20"/>
          <w:u w:val="single"/>
        </w:rPr>
        <w:t>No fee for a message or notification</w:t>
      </w:r>
    </w:p>
    <w:p w14:paraId="61F74DDA" w14:textId="7437E895" w:rsidR="00AF7234" w:rsidRPr="00AF7234" w:rsidRDefault="00AF7234" w:rsidP="0030602B">
      <w:pPr>
        <w:spacing w:line="257" w:lineRule="auto"/>
        <w:rPr>
          <w:rFonts w:ascii="Times New Roman" w:hAnsi="Times New Roman" w:cs="Times New Roman"/>
          <w:szCs w:val="20"/>
        </w:rPr>
      </w:pPr>
      <w:r>
        <w:rPr>
          <w:rFonts w:ascii="Times New Roman" w:hAnsi="Times New Roman" w:cs="Times New Roman"/>
          <w:szCs w:val="20"/>
        </w:rPr>
        <w:t xml:space="preserve">Section 15 </w:t>
      </w:r>
      <w:r w:rsidR="0047717C">
        <w:rPr>
          <w:rFonts w:ascii="Times New Roman" w:hAnsi="Times New Roman" w:cs="Times New Roman"/>
          <w:szCs w:val="20"/>
        </w:rPr>
        <w:t>provides that</w:t>
      </w:r>
      <w:r>
        <w:rPr>
          <w:rFonts w:ascii="Times New Roman" w:hAnsi="Times New Roman" w:cs="Times New Roman"/>
          <w:szCs w:val="20"/>
        </w:rPr>
        <w:t xml:space="preserve"> a CSP </w:t>
      </w:r>
      <w:r w:rsidR="0047717C">
        <w:rPr>
          <w:rFonts w:ascii="Times New Roman" w:hAnsi="Times New Roman" w:cs="Times New Roman"/>
          <w:szCs w:val="20"/>
        </w:rPr>
        <w:t>must</w:t>
      </w:r>
      <w:r>
        <w:rPr>
          <w:rFonts w:ascii="Times New Roman" w:hAnsi="Times New Roman" w:cs="Times New Roman"/>
          <w:szCs w:val="20"/>
        </w:rPr>
        <w:t xml:space="preserve"> not charge a fee to a customer</w:t>
      </w:r>
      <w:r w:rsidR="0047717C">
        <w:rPr>
          <w:rFonts w:ascii="Times New Roman" w:hAnsi="Times New Roman" w:cs="Times New Roman"/>
          <w:szCs w:val="20"/>
        </w:rPr>
        <w:t>,</w:t>
      </w:r>
      <w:r>
        <w:rPr>
          <w:rFonts w:ascii="Times New Roman" w:hAnsi="Times New Roman" w:cs="Times New Roman"/>
          <w:szCs w:val="20"/>
        </w:rPr>
        <w:t xml:space="preserve"> or a customer’s authorised representative</w:t>
      </w:r>
      <w:r w:rsidR="0047717C">
        <w:rPr>
          <w:rFonts w:ascii="Times New Roman" w:hAnsi="Times New Roman" w:cs="Times New Roman"/>
          <w:szCs w:val="20"/>
        </w:rPr>
        <w:t>,</w:t>
      </w:r>
      <w:r>
        <w:rPr>
          <w:rFonts w:ascii="Times New Roman" w:hAnsi="Times New Roman" w:cs="Times New Roman"/>
          <w:szCs w:val="20"/>
        </w:rPr>
        <w:t xml:space="preserve"> for a message or notification sent for the purposes of the Customer ID Determination, except where a customer or their authorised representative uses a telecommunications service to initiate a high-risk customer transaction that is not associated with the customer’s account.</w:t>
      </w:r>
    </w:p>
    <w:p w14:paraId="5E822829" w14:textId="77777777" w:rsidR="0047717C" w:rsidRPr="0069333E" w:rsidRDefault="0047717C" w:rsidP="0047717C">
      <w:pPr>
        <w:spacing w:line="257" w:lineRule="auto"/>
        <w:rPr>
          <w:rFonts w:ascii="Times New Roman" w:hAnsi="Times New Roman" w:cs="Times New Roman"/>
          <w:szCs w:val="20"/>
          <w:u w:val="single"/>
        </w:rPr>
      </w:pPr>
      <w:r>
        <w:rPr>
          <w:rFonts w:ascii="Times New Roman" w:hAnsi="Times New Roman" w:cs="Times New Roman"/>
          <w:szCs w:val="20"/>
          <w:u w:val="single"/>
        </w:rPr>
        <w:t>Record-keeping</w:t>
      </w:r>
    </w:p>
    <w:p w14:paraId="424B93C5" w14:textId="1FCF946A" w:rsidR="0047717C" w:rsidRDefault="0047717C" w:rsidP="0047717C">
      <w:pPr>
        <w:spacing w:line="257" w:lineRule="auto"/>
        <w:rPr>
          <w:rFonts w:ascii="Times New Roman" w:hAnsi="Times New Roman" w:cs="Times New Roman"/>
          <w:szCs w:val="20"/>
        </w:rPr>
      </w:pPr>
      <w:r>
        <w:rPr>
          <w:rFonts w:ascii="Times New Roman" w:hAnsi="Times New Roman" w:cs="Times New Roman"/>
          <w:szCs w:val="20"/>
        </w:rPr>
        <w:t xml:space="preserve">Section 16 provides that a CSP </w:t>
      </w:r>
      <w:r w:rsidR="00BA6E5C">
        <w:rPr>
          <w:rFonts w:ascii="Times New Roman" w:hAnsi="Times New Roman" w:cs="Times New Roman"/>
          <w:szCs w:val="20"/>
        </w:rPr>
        <w:t xml:space="preserve">must </w:t>
      </w:r>
      <w:r>
        <w:rPr>
          <w:rFonts w:ascii="Times New Roman" w:hAnsi="Times New Roman" w:cs="Times New Roman"/>
          <w:szCs w:val="20"/>
        </w:rPr>
        <w:t xml:space="preserve">keep records that are sufficient to demonstrate its compliance with Parts 2, 3, 4 and 5 </w:t>
      </w:r>
      <w:r w:rsidR="008B075D">
        <w:rPr>
          <w:rFonts w:ascii="Times New Roman" w:hAnsi="Times New Roman" w:cs="Times New Roman"/>
          <w:szCs w:val="20"/>
        </w:rPr>
        <w:t xml:space="preserve">of the Customer ID Determination, </w:t>
      </w:r>
      <w:r>
        <w:rPr>
          <w:rFonts w:ascii="Times New Roman" w:hAnsi="Times New Roman" w:cs="Times New Roman"/>
          <w:szCs w:val="20"/>
        </w:rPr>
        <w:t xml:space="preserve">for a minimum of one year. A CSP must </w:t>
      </w:r>
      <w:r w:rsidR="00EB62C5">
        <w:rPr>
          <w:rFonts w:ascii="Times New Roman" w:hAnsi="Times New Roman" w:cs="Times New Roman"/>
          <w:szCs w:val="20"/>
        </w:rPr>
        <w:t xml:space="preserve">also </w:t>
      </w:r>
      <w:r>
        <w:rPr>
          <w:rFonts w:ascii="Times New Roman" w:hAnsi="Times New Roman" w:cs="Times New Roman"/>
          <w:szCs w:val="20"/>
        </w:rPr>
        <w:t>retain records specified at subsections 11(3) and 12(3) for a minimum of one year.</w:t>
      </w:r>
    </w:p>
    <w:p w14:paraId="6870D577" w14:textId="77777777" w:rsidR="0047717C" w:rsidRPr="00963DE0" w:rsidRDefault="0047717C" w:rsidP="0047717C">
      <w:pPr>
        <w:spacing w:line="257" w:lineRule="auto"/>
        <w:rPr>
          <w:rFonts w:ascii="Times New Roman" w:hAnsi="Times New Roman" w:cs="Times New Roman"/>
          <w:szCs w:val="20"/>
        </w:rPr>
      </w:pPr>
      <w:r w:rsidRPr="00963DE0">
        <w:rPr>
          <w:rFonts w:ascii="Times New Roman" w:hAnsi="Times New Roman" w:cs="Times New Roman"/>
          <w:szCs w:val="20"/>
        </w:rPr>
        <w:t xml:space="preserve">Subsection 11(3) </w:t>
      </w:r>
      <w:r>
        <w:rPr>
          <w:rFonts w:ascii="Times New Roman" w:hAnsi="Times New Roman" w:cs="Times New Roman"/>
          <w:szCs w:val="20"/>
        </w:rPr>
        <w:t>provides that</w:t>
      </w:r>
      <w:r w:rsidRPr="00963DE0">
        <w:rPr>
          <w:rFonts w:ascii="Times New Roman" w:hAnsi="Times New Roman" w:cs="Times New Roman"/>
          <w:szCs w:val="20"/>
        </w:rPr>
        <w:t xml:space="preserve"> a CSP </w:t>
      </w:r>
      <w:r>
        <w:rPr>
          <w:rFonts w:ascii="Times New Roman" w:hAnsi="Times New Roman" w:cs="Times New Roman"/>
          <w:szCs w:val="20"/>
        </w:rPr>
        <w:t>must</w:t>
      </w:r>
      <w:r w:rsidRPr="00963DE0">
        <w:rPr>
          <w:rFonts w:ascii="Times New Roman" w:hAnsi="Times New Roman" w:cs="Times New Roman"/>
          <w:szCs w:val="20"/>
        </w:rPr>
        <w:t xml:space="preserve"> keep a record of the details of any high-risk customer </w:t>
      </w:r>
      <w:r>
        <w:rPr>
          <w:rFonts w:ascii="Times New Roman" w:hAnsi="Times New Roman" w:cs="Times New Roman"/>
          <w:szCs w:val="20"/>
        </w:rPr>
        <w:t>interactions</w:t>
      </w:r>
      <w:r w:rsidRPr="00963DE0">
        <w:rPr>
          <w:rFonts w:ascii="Times New Roman" w:hAnsi="Times New Roman" w:cs="Times New Roman"/>
          <w:szCs w:val="20"/>
        </w:rPr>
        <w:t xml:space="preserve"> initiated by a person in vulnerable circumstances, including the identity authentication process used to confirm that the requesting person is the customer or the customer’s authorised representative, the basis on which the employee or agent of the provider reasonably believed that the requesting person was a person in vulnerable circumstances and any material or supporting evidence provided by the requesting person.</w:t>
      </w:r>
    </w:p>
    <w:p w14:paraId="4BBA1B75" w14:textId="77777777" w:rsidR="0047717C" w:rsidRPr="00963DE0" w:rsidRDefault="0047717C" w:rsidP="0047717C">
      <w:pPr>
        <w:spacing w:line="257" w:lineRule="auto"/>
        <w:rPr>
          <w:rFonts w:ascii="Times New Roman" w:hAnsi="Times New Roman" w:cs="Times New Roman"/>
          <w:szCs w:val="20"/>
        </w:rPr>
      </w:pPr>
      <w:r w:rsidRPr="00963DE0">
        <w:rPr>
          <w:rFonts w:ascii="Times New Roman" w:hAnsi="Times New Roman" w:cs="Times New Roman"/>
          <w:szCs w:val="20"/>
        </w:rPr>
        <w:t xml:space="preserve">Subsection 12(3) </w:t>
      </w:r>
      <w:r>
        <w:rPr>
          <w:rFonts w:ascii="Times New Roman" w:hAnsi="Times New Roman" w:cs="Times New Roman"/>
          <w:szCs w:val="20"/>
        </w:rPr>
        <w:t>provides that</w:t>
      </w:r>
      <w:r w:rsidRPr="00963DE0">
        <w:rPr>
          <w:rFonts w:ascii="Times New Roman" w:hAnsi="Times New Roman" w:cs="Times New Roman"/>
          <w:szCs w:val="20"/>
        </w:rPr>
        <w:t xml:space="preserve"> a CSP </w:t>
      </w:r>
      <w:r>
        <w:rPr>
          <w:rFonts w:ascii="Times New Roman" w:hAnsi="Times New Roman" w:cs="Times New Roman"/>
          <w:szCs w:val="20"/>
        </w:rPr>
        <w:t>must</w:t>
      </w:r>
      <w:r w:rsidRPr="00963DE0">
        <w:rPr>
          <w:rFonts w:ascii="Times New Roman" w:hAnsi="Times New Roman" w:cs="Times New Roman"/>
          <w:szCs w:val="20"/>
        </w:rPr>
        <w:t xml:space="preserve"> keep a record of the details of any high-risk customer transactions initiated by an unlisted authorised representative, including the basis on which the employee or agent of the provider was satisfied that the requesting person is an unlisted authorised representative and any material or supporting evidence provided by the requesting person. </w:t>
      </w:r>
    </w:p>
    <w:p w14:paraId="0F60314D" w14:textId="052BB46C" w:rsidR="0036130C" w:rsidRDefault="004227CF" w:rsidP="004C58B9">
      <w:pPr>
        <w:rPr>
          <w:rFonts w:ascii="Times New Roman" w:hAnsi="Times New Roman" w:cs="Times New Roman"/>
          <w:b/>
          <w:i/>
          <w:iCs/>
        </w:rPr>
      </w:pPr>
      <w:r w:rsidRPr="004227CF">
        <w:rPr>
          <w:rFonts w:ascii="Times New Roman" w:hAnsi="Times New Roman" w:cs="Times New Roman"/>
          <w:b/>
        </w:rPr>
        <w:t xml:space="preserve">Provisions of the </w:t>
      </w:r>
      <w:r w:rsidRPr="00E21C4A">
        <w:rPr>
          <w:rFonts w:ascii="Times New Roman" w:hAnsi="Times New Roman" w:cs="Times New Roman"/>
          <w:b/>
          <w:i/>
          <w:iCs/>
        </w:rPr>
        <w:t>Telecommunications Service Provider (International Mobile Roaming) Determination 2019</w:t>
      </w:r>
    </w:p>
    <w:p w14:paraId="5C4B96FD" w14:textId="77777777" w:rsidR="0036130C" w:rsidRPr="0036130C" w:rsidRDefault="0036130C" w:rsidP="0036130C">
      <w:pPr>
        <w:rPr>
          <w:rFonts w:ascii="Times New Roman" w:hAnsi="Times New Roman" w:cs="Times New Roman"/>
          <w:bCs/>
        </w:rPr>
      </w:pPr>
      <w:r w:rsidRPr="0036130C">
        <w:rPr>
          <w:rFonts w:ascii="Times New Roman" w:hAnsi="Times New Roman" w:cs="Times New Roman"/>
          <w:bCs/>
        </w:rPr>
        <w:t>The IMR Determination requires that consumers be notified of activation of IMR services and maximum IMR charges, and be able to monitor, track and where necessary alter (including stopping) their use of IMR services when overseas to better manage their spending.</w:t>
      </w:r>
      <w:r w:rsidRPr="0036130C" w:rsidDel="0048500B">
        <w:rPr>
          <w:rFonts w:ascii="Times New Roman" w:hAnsi="Times New Roman" w:cs="Times New Roman"/>
          <w:bCs/>
        </w:rPr>
        <w:t xml:space="preserve"> </w:t>
      </w:r>
      <w:r w:rsidRPr="0036130C">
        <w:rPr>
          <w:rFonts w:ascii="Times New Roman" w:hAnsi="Times New Roman" w:cs="Times New Roman"/>
          <w:bCs/>
        </w:rPr>
        <w:t> </w:t>
      </w:r>
    </w:p>
    <w:p w14:paraId="5AEC3CCD" w14:textId="77777777" w:rsidR="0036130C" w:rsidRPr="0036130C" w:rsidRDefault="0036130C" w:rsidP="0036130C">
      <w:pPr>
        <w:rPr>
          <w:rFonts w:ascii="Times New Roman" w:hAnsi="Times New Roman" w:cs="Times New Roman"/>
          <w:bCs/>
          <w:u w:val="single"/>
        </w:rPr>
      </w:pPr>
      <w:r w:rsidRPr="0036130C">
        <w:rPr>
          <w:rFonts w:ascii="Times New Roman" w:hAnsi="Times New Roman" w:cs="Times New Roman"/>
          <w:bCs/>
          <w:u w:val="single"/>
        </w:rPr>
        <w:t>Customers to be offered a preferred method of communication option</w:t>
      </w:r>
    </w:p>
    <w:p w14:paraId="632AE14A" w14:textId="283045E6" w:rsidR="00E34424" w:rsidRPr="008B77FF" w:rsidRDefault="00E34424" w:rsidP="0036130C">
      <w:pPr>
        <w:rPr>
          <w:rFonts w:ascii="Times New Roman" w:hAnsi="Times New Roman" w:cs="Times New Roman"/>
          <w:bCs/>
        </w:rPr>
      </w:pPr>
      <w:r w:rsidRPr="008B77FF">
        <w:rPr>
          <w:rFonts w:ascii="Times New Roman" w:hAnsi="Times New Roman" w:cs="Times New Roman"/>
          <w:bCs/>
        </w:rPr>
        <w:t>Subsection</w:t>
      </w:r>
      <w:r w:rsidR="008C0A7E" w:rsidRPr="008B77FF">
        <w:rPr>
          <w:rFonts w:ascii="Times New Roman" w:hAnsi="Times New Roman" w:cs="Times New Roman"/>
          <w:bCs/>
        </w:rPr>
        <w:t>s</w:t>
      </w:r>
      <w:r w:rsidRPr="008B77FF">
        <w:rPr>
          <w:rFonts w:ascii="Times New Roman" w:hAnsi="Times New Roman" w:cs="Times New Roman"/>
          <w:bCs/>
        </w:rPr>
        <w:t xml:space="preserve"> 7(1)</w:t>
      </w:r>
      <w:r w:rsidR="008C0A7E" w:rsidRPr="008B77FF">
        <w:rPr>
          <w:rFonts w:ascii="Times New Roman" w:hAnsi="Times New Roman" w:cs="Times New Roman"/>
          <w:bCs/>
        </w:rPr>
        <w:t xml:space="preserve"> and 7(2)</w:t>
      </w:r>
      <w:r w:rsidRPr="008B77FF">
        <w:rPr>
          <w:rFonts w:ascii="Times New Roman" w:hAnsi="Times New Roman" w:cs="Times New Roman"/>
          <w:bCs/>
        </w:rPr>
        <w:t xml:space="preserve"> require CSPs to </w:t>
      </w:r>
      <w:r w:rsidR="008C0A7E" w:rsidRPr="008B77FF">
        <w:rPr>
          <w:rFonts w:ascii="Times New Roman" w:hAnsi="Times New Roman" w:cs="Times New Roman"/>
          <w:bCs/>
        </w:rPr>
        <w:t xml:space="preserve">have and offer for selection, respectively, </w:t>
      </w:r>
      <w:r w:rsidRPr="008B77FF">
        <w:rPr>
          <w:rFonts w:ascii="Times New Roman" w:hAnsi="Times New Roman" w:cs="Times New Roman"/>
          <w:bCs/>
        </w:rPr>
        <w:t>SMS</w:t>
      </w:r>
      <w:r w:rsidR="00744424" w:rsidRPr="008B77FF">
        <w:rPr>
          <w:rFonts w:ascii="Times New Roman" w:hAnsi="Times New Roman" w:cs="Times New Roman"/>
          <w:bCs/>
        </w:rPr>
        <w:t>,</w:t>
      </w:r>
      <w:r w:rsidRPr="008B77FF">
        <w:rPr>
          <w:rFonts w:ascii="Times New Roman" w:hAnsi="Times New Roman" w:cs="Times New Roman"/>
          <w:bCs/>
        </w:rPr>
        <w:t xml:space="preserve"> and one other method suitable for devices that do not support SMS</w:t>
      </w:r>
      <w:r w:rsidR="00744424" w:rsidRPr="008B77FF">
        <w:rPr>
          <w:rFonts w:ascii="Times New Roman" w:hAnsi="Times New Roman" w:cs="Times New Roman"/>
          <w:bCs/>
        </w:rPr>
        <w:t>,</w:t>
      </w:r>
      <w:r w:rsidR="008C0A7E" w:rsidRPr="008B77FF">
        <w:rPr>
          <w:rFonts w:ascii="Times New Roman" w:hAnsi="Times New Roman" w:cs="Times New Roman"/>
          <w:bCs/>
        </w:rPr>
        <w:t xml:space="preserve"> available as a customer’s preferred communication method for receiving notifications about their IMR service</w:t>
      </w:r>
      <w:r w:rsidRPr="008B77FF">
        <w:rPr>
          <w:rFonts w:ascii="Times New Roman" w:hAnsi="Times New Roman" w:cs="Times New Roman"/>
          <w:bCs/>
        </w:rPr>
        <w:t>.</w:t>
      </w:r>
    </w:p>
    <w:p w14:paraId="6FA6CC2A" w14:textId="75E27202" w:rsidR="002070C8" w:rsidRDefault="002070C8" w:rsidP="0036130C">
      <w:pPr>
        <w:rPr>
          <w:rFonts w:ascii="Times New Roman" w:hAnsi="Times New Roman" w:cs="Times New Roman"/>
          <w:bCs/>
        </w:rPr>
      </w:pPr>
      <w:r w:rsidRPr="008B77FF">
        <w:rPr>
          <w:rFonts w:ascii="Times New Roman" w:hAnsi="Times New Roman" w:cs="Times New Roman"/>
          <w:bCs/>
        </w:rPr>
        <w:t>Subsection 7(6) requires CSPs to inform customers if charges may apply to their preferred method of communication.</w:t>
      </w:r>
    </w:p>
    <w:p w14:paraId="33E57CF5" w14:textId="34620D47" w:rsidR="0036130C" w:rsidRDefault="0036130C" w:rsidP="0036130C">
      <w:pPr>
        <w:rPr>
          <w:rFonts w:ascii="Times New Roman" w:hAnsi="Times New Roman" w:cs="Times New Roman"/>
          <w:bCs/>
        </w:rPr>
      </w:pPr>
      <w:r w:rsidRPr="0036130C">
        <w:rPr>
          <w:rFonts w:ascii="Times New Roman" w:hAnsi="Times New Roman" w:cs="Times New Roman"/>
          <w:bCs/>
        </w:rPr>
        <w:t>Subsection 7(7) requires CSPs to communicate notifications about the IMR service to the customer using the customer’s preferred method of communication, unless otherwise specified.</w:t>
      </w:r>
    </w:p>
    <w:p w14:paraId="30A420AE" w14:textId="6753B9FB" w:rsidR="002070C8" w:rsidRPr="0036130C" w:rsidRDefault="002070C8" w:rsidP="0036130C">
      <w:pPr>
        <w:rPr>
          <w:rFonts w:ascii="Times New Roman" w:hAnsi="Times New Roman" w:cs="Times New Roman"/>
          <w:bCs/>
        </w:rPr>
      </w:pPr>
      <w:r w:rsidRPr="008B77FF">
        <w:rPr>
          <w:rFonts w:ascii="Times New Roman" w:hAnsi="Times New Roman" w:cs="Times New Roman"/>
          <w:bCs/>
        </w:rPr>
        <w:lastRenderedPageBreak/>
        <w:t xml:space="preserve">Subsection 7(8) requires that, if a customer does not choose a preferred method of communication, </w:t>
      </w:r>
      <w:r w:rsidR="0043127C" w:rsidRPr="008B77FF">
        <w:rPr>
          <w:rFonts w:ascii="Times New Roman" w:hAnsi="Times New Roman" w:cs="Times New Roman"/>
          <w:bCs/>
        </w:rPr>
        <w:t>the CSPs</w:t>
      </w:r>
      <w:r w:rsidRPr="008B77FF">
        <w:rPr>
          <w:rFonts w:ascii="Times New Roman" w:hAnsi="Times New Roman" w:cs="Times New Roman"/>
          <w:bCs/>
        </w:rPr>
        <w:t xml:space="preserve"> </w:t>
      </w:r>
      <w:r w:rsidR="0059136E">
        <w:rPr>
          <w:rFonts w:ascii="Times New Roman" w:hAnsi="Times New Roman" w:cs="Times New Roman"/>
          <w:bCs/>
        </w:rPr>
        <w:t xml:space="preserve">must </w:t>
      </w:r>
      <w:r w:rsidRPr="008B77FF">
        <w:rPr>
          <w:rFonts w:ascii="Times New Roman" w:hAnsi="Times New Roman" w:cs="Times New Roman"/>
          <w:bCs/>
        </w:rPr>
        <w:t xml:space="preserve">communicate to the customer using SMS, or one of the other methods of communication suitable for devices that do not support SMS, as if a customer has selected </w:t>
      </w:r>
      <w:r w:rsidR="00150C82">
        <w:rPr>
          <w:rFonts w:ascii="Times New Roman" w:hAnsi="Times New Roman" w:cs="Times New Roman"/>
          <w:bCs/>
        </w:rPr>
        <w:t>that</w:t>
      </w:r>
      <w:r w:rsidR="00150C82" w:rsidRPr="008B77FF">
        <w:rPr>
          <w:rFonts w:ascii="Times New Roman" w:hAnsi="Times New Roman" w:cs="Times New Roman"/>
          <w:bCs/>
        </w:rPr>
        <w:t xml:space="preserve"> </w:t>
      </w:r>
      <w:r w:rsidRPr="008B77FF">
        <w:rPr>
          <w:rFonts w:ascii="Times New Roman" w:hAnsi="Times New Roman" w:cs="Times New Roman"/>
          <w:bCs/>
        </w:rPr>
        <w:t>method.</w:t>
      </w:r>
    </w:p>
    <w:p w14:paraId="05F79FD8" w14:textId="77777777" w:rsidR="0036130C" w:rsidRPr="0036130C" w:rsidRDefault="0036130C" w:rsidP="0036130C">
      <w:pPr>
        <w:rPr>
          <w:rFonts w:ascii="Times New Roman" w:hAnsi="Times New Roman" w:cs="Times New Roman"/>
          <w:bCs/>
          <w:u w:val="single"/>
        </w:rPr>
      </w:pPr>
      <w:r w:rsidRPr="0036130C">
        <w:rPr>
          <w:rFonts w:ascii="Times New Roman" w:hAnsi="Times New Roman" w:cs="Times New Roman"/>
          <w:bCs/>
          <w:u w:val="single"/>
        </w:rPr>
        <w:t>Mobile network operators to send information about supply of an IMR service</w:t>
      </w:r>
    </w:p>
    <w:p w14:paraId="07BBD6F9" w14:textId="72A3053C" w:rsidR="0036130C" w:rsidRPr="0036130C" w:rsidRDefault="0036130C" w:rsidP="0036130C">
      <w:pPr>
        <w:rPr>
          <w:rFonts w:ascii="Times New Roman" w:hAnsi="Times New Roman" w:cs="Times New Roman"/>
          <w:bCs/>
        </w:rPr>
      </w:pPr>
      <w:r w:rsidRPr="0036130C">
        <w:rPr>
          <w:rFonts w:ascii="Times New Roman" w:hAnsi="Times New Roman" w:cs="Times New Roman"/>
          <w:bCs/>
        </w:rPr>
        <w:t>Subsection 8(2) requires that, within 10 minutes of the customer activating the IMR service, the CSP must send a message to the customer advising them of the information specified in th</w:t>
      </w:r>
      <w:r w:rsidR="00EC1A61">
        <w:rPr>
          <w:rFonts w:ascii="Times New Roman" w:hAnsi="Times New Roman" w:cs="Times New Roman"/>
          <w:bCs/>
        </w:rPr>
        <w:t>at</w:t>
      </w:r>
      <w:r w:rsidRPr="0036130C">
        <w:rPr>
          <w:rFonts w:ascii="Times New Roman" w:hAnsi="Times New Roman" w:cs="Times New Roman"/>
          <w:bCs/>
        </w:rPr>
        <w:t xml:space="preserve"> subsection.</w:t>
      </w:r>
    </w:p>
    <w:p w14:paraId="4C32B618" w14:textId="77777777" w:rsidR="0036130C" w:rsidRPr="0036130C" w:rsidRDefault="0036130C" w:rsidP="0036130C">
      <w:pPr>
        <w:rPr>
          <w:rFonts w:ascii="Times New Roman" w:hAnsi="Times New Roman" w:cs="Times New Roman"/>
          <w:bCs/>
          <w:u w:val="single"/>
        </w:rPr>
      </w:pPr>
      <w:r w:rsidRPr="0036130C">
        <w:rPr>
          <w:rFonts w:ascii="Times New Roman" w:hAnsi="Times New Roman" w:cs="Times New Roman"/>
          <w:bCs/>
        </w:rPr>
        <w:t xml:space="preserve">Subsection 8(5) requires CSPs to send the customer the message referred to in subsection 8(2) each time the customer activates the service in an oversees location or a new overseas </w:t>
      </w:r>
      <w:proofErr w:type="gramStart"/>
      <w:r w:rsidRPr="0036130C">
        <w:rPr>
          <w:rFonts w:ascii="Times New Roman" w:hAnsi="Times New Roman" w:cs="Times New Roman"/>
          <w:bCs/>
        </w:rPr>
        <w:t>location, unless</w:t>
      </w:r>
      <w:proofErr w:type="gramEnd"/>
      <w:r w:rsidRPr="0036130C">
        <w:rPr>
          <w:rFonts w:ascii="Times New Roman" w:hAnsi="Times New Roman" w:cs="Times New Roman"/>
          <w:bCs/>
        </w:rPr>
        <w:t xml:space="preserve"> the specified exceptions apply.</w:t>
      </w:r>
    </w:p>
    <w:p w14:paraId="508093EE" w14:textId="77777777" w:rsidR="0036130C" w:rsidRPr="0036130C" w:rsidRDefault="0036130C" w:rsidP="0036130C">
      <w:pPr>
        <w:rPr>
          <w:rFonts w:ascii="Times New Roman" w:hAnsi="Times New Roman" w:cs="Times New Roman"/>
          <w:bCs/>
        </w:rPr>
      </w:pPr>
      <w:r w:rsidRPr="0036130C">
        <w:rPr>
          <w:rFonts w:ascii="Times New Roman" w:hAnsi="Times New Roman" w:cs="Times New Roman"/>
          <w:bCs/>
        </w:rPr>
        <w:t>Subsection 8(6) specifies that a CSP must not charge a fee for sending the customer a message under subsection 8(2) or 8(3).</w:t>
      </w:r>
    </w:p>
    <w:p w14:paraId="6FB7E9CC" w14:textId="77777777" w:rsidR="0036130C" w:rsidRPr="0036130C" w:rsidRDefault="0036130C" w:rsidP="0036130C">
      <w:pPr>
        <w:rPr>
          <w:rFonts w:ascii="Times New Roman" w:hAnsi="Times New Roman" w:cs="Times New Roman"/>
          <w:bCs/>
          <w:u w:val="single"/>
        </w:rPr>
      </w:pPr>
      <w:r w:rsidRPr="0036130C">
        <w:rPr>
          <w:rFonts w:ascii="Times New Roman" w:hAnsi="Times New Roman" w:cs="Times New Roman"/>
          <w:bCs/>
          <w:u w:val="single"/>
        </w:rPr>
        <w:t>Mobile network operators who supply carriage services to another CSP to send information about supply of an IMR service</w:t>
      </w:r>
    </w:p>
    <w:p w14:paraId="1DB172DB" w14:textId="6ABE6C0C" w:rsidR="00E65211" w:rsidRDefault="00E65211" w:rsidP="0036130C">
      <w:pPr>
        <w:rPr>
          <w:rFonts w:ascii="Times New Roman" w:hAnsi="Times New Roman" w:cs="Times New Roman"/>
          <w:bCs/>
        </w:rPr>
      </w:pPr>
      <w:r>
        <w:rPr>
          <w:rFonts w:ascii="Times New Roman" w:hAnsi="Times New Roman" w:cs="Times New Roman"/>
          <w:bCs/>
        </w:rPr>
        <w:t xml:space="preserve">Section 9 of the IMR Determination applies to a mobile network operator who supplies a carriage service to another CSP (the </w:t>
      </w:r>
      <w:r w:rsidRPr="00FE18B2">
        <w:rPr>
          <w:rFonts w:ascii="Times New Roman" w:hAnsi="Times New Roman" w:cs="Times New Roman"/>
          <w:b/>
        </w:rPr>
        <w:t>second provider</w:t>
      </w:r>
      <w:proofErr w:type="gramStart"/>
      <w:r w:rsidR="00FE18B2">
        <w:rPr>
          <w:rFonts w:ascii="Times New Roman" w:hAnsi="Times New Roman" w:cs="Times New Roman"/>
          <w:bCs/>
        </w:rPr>
        <w:t>)</w:t>
      </w:r>
      <w:proofErr w:type="gramEnd"/>
      <w:r>
        <w:rPr>
          <w:rFonts w:ascii="Times New Roman" w:hAnsi="Times New Roman" w:cs="Times New Roman"/>
          <w:bCs/>
        </w:rPr>
        <w:t xml:space="preserve"> </w:t>
      </w:r>
      <w:r w:rsidR="00990470">
        <w:rPr>
          <w:rFonts w:ascii="Times New Roman" w:hAnsi="Times New Roman" w:cs="Times New Roman"/>
          <w:bCs/>
        </w:rPr>
        <w:t xml:space="preserve">and the service is used to supply an IMR service to a customer of the second provider or another CSP that supplies an IMR service to a customer. </w:t>
      </w:r>
    </w:p>
    <w:p w14:paraId="7D913D3A" w14:textId="2643F5FB" w:rsidR="0036130C" w:rsidRPr="0036130C" w:rsidRDefault="0036130C" w:rsidP="0036130C">
      <w:pPr>
        <w:rPr>
          <w:rFonts w:ascii="Times New Roman" w:hAnsi="Times New Roman" w:cs="Times New Roman"/>
          <w:bCs/>
        </w:rPr>
      </w:pPr>
      <w:r w:rsidRPr="0036130C">
        <w:rPr>
          <w:rFonts w:ascii="Times New Roman" w:hAnsi="Times New Roman" w:cs="Times New Roman"/>
          <w:bCs/>
        </w:rPr>
        <w:t>Paragraph 9(2)(a) require</w:t>
      </w:r>
      <w:r w:rsidR="004E5712">
        <w:rPr>
          <w:rFonts w:ascii="Times New Roman" w:hAnsi="Times New Roman" w:cs="Times New Roman"/>
          <w:bCs/>
        </w:rPr>
        <w:t>s</w:t>
      </w:r>
      <w:r w:rsidRPr="0036130C">
        <w:rPr>
          <w:rFonts w:ascii="Times New Roman" w:hAnsi="Times New Roman" w:cs="Times New Roman"/>
          <w:bCs/>
        </w:rPr>
        <w:t xml:space="preserve"> that, within 10 minutes of the customer activating the IMR service, the mobile network operator must send the customer the warning message</w:t>
      </w:r>
      <w:r w:rsidR="007352B7">
        <w:rPr>
          <w:rFonts w:ascii="Times New Roman" w:hAnsi="Times New Roman" w:cs="Times New Roman"/>
          <w:bCs/>
        </w:rPr>
        <w:t xml:space="preserve"> specified in that paragraph. Paragraphs 9(2)(b) and (c)</w:t>
      </w:r>
      <w:r w:rsidRPr="0036130C">
        <w:rPr>
          <w:rFonts w:ascii="Times New Roman" w:hAnsi="Times New Roman" w:cs="Times New Roman"/>
          <w:bCs/>
        </w:rPr>
        <w:t xml:space="preserve"> </w:t>
      </w:r>
      <w:r w:rsidR="007352B7">
        <w:rPr>
          <w:rFonts w:ascii="Times New Roman" w:hAnsi="Times New Roman" w:cs="Times New Roman"/>
          <w:bCs/>
        </w:rPr>
        <w:t>provide that</w:t>
      </w:r>
      <w:r w:rsidRPr="0036130C">
        <w:rPr>
          <w:rFonts w:ascii="Times New Roman" w:hAnsi="Times New Roman" w:cs="Times New Roman"/>
          <w:bCs/>
        </w:rPr>
        <w:t xml:space="preserve"> </w:t>
      </w:r>
      <w:r w:rsidR="00940227">
        <w:rPr>
          <w:rFonts w:ascii="Times New Roman" w:hAnsi="Times New Roman" w:cs="Times New Roman"/>
          <w:bCs/>
        </w:rPr>
        <w:t xml:space="preserve">within one hour of the customer </w:t>
      </w:r>
      <w:r w:rsidR="00E65211">
        <w:rPr>
          <w:rFonts w:ascii="Times New Roman" w:hAnsi="Times New Roman" w:cs="Times New Roman"/>
          <w:bCs/>
        </w:rPr>
        <w:t>activating</w:t>
      </w:r>
      <w:r w:rsidR="00940227">
        <w:rPr>
          <w:rFonts w:ascii="Times New Roman" w:hAnsi="Times New Roman" w:cs="Times New Roman"/>
          <w:bCs/>
        </w:rPr>
        <w:t xml:space="preserve"> </w:t>
      </w:r>
      <w:r w:rsidR="00E65211">
        <w:rPr>
          <w:rFonts w:ascii="Times New Roman" w:hAnsi="Times New Roman" w:cs="Times New Roman"/>
          <w:bCs/>
        </w:rPr>
        <w:t xml:space="preserve">an IMR service, </w:t>
      </w:r>
      <w:r w:rsidR="007352B7">
        <w:rPr>
          <w:rFonts w:ascii="Times New Roman" w:hAnsi="Times New Roman" w:cs="Times New Roman"/>
          <w:bCs/>
        </w:rPr>
        <w:t xml:space="preserve">the </w:t>
      </w:r>
      <w:r w:rsidR="000B560E">
        <w:rPr>
          <w:rFonts w:ascii="Times New Roman" w:hAnsi="Times New Roman" w:cs="Times New Roman"/>
          <w:bCs/>
        </w:rPr>
        <w:t xml:space="preserve">mobile network operator must </w:t>
      </w:r>
      <w:r w:rsidRPr="0036130C">
        <w:rPr>
          <w:rFonts w:ascii="Times New Roman" w:hAnsi="Times New Roman" w:cs="Times New Roman"/>
          <w:bCs/>
        </w:rPr>
        <w:t>send the second provider notice that the IMR service is being supplied to the customer</w:t>
      </w:r>
      <w:r w:rsidR="000B560E">
        <w:rPr>
          <w:rFonts w:ascii="Times New Roman" w:hAnsi="Times New Roman" w:cs="Times New Roman"/>
          <w:bCs/>
        </w:rPr>
        <w:t>, the mobile number of the customer</w:t>
      </w:r>
      <w:r w:rsidRPr="0036130C">
        <w:rPr>
          <w:rFonts w:ascii="Times New Roman" w:hAnsi="Times New Roman" w:cs="Times New Roman"/>
          <w:bCs/>
        </w:rPr>
        <w:t xml:space="preserve"> and the</w:t>
      </w:r>
      <w:r w:rsidR="000B560E">
        <w:rPr>
          <w:rFonts w:ascii="Times New Roman" w:hAnsi="Times New Roman" w:cs="Times New Roman"/>
          <w:bCs/>
        </w:rPr>
        <w:t xml:space="preserve"> overseas</w:t>
      </w:r>
      <w:r w:rsidRPr="0036130C">
        <w:rPr>
          <w:rFonts w:ascii="Times New Roman" w:hAnsi="Times New Roman" w:cs="Times New Roman"/>
          <w:bCs/>
        </w:rPr>
        <w:t xml:space="preserve"> location in which the IMR service has been activated.</w:t>
      </w:r>
    </w:p>
    <w:p w14:paraId="47E6DFAB" w14:textId="18406E0F" w:rsidR="0036130C" w:rsidRPr="0036130C" w:rsidRDefault="0036130C" w:rsidP="0036130C">
      <w:pPr>
        <w:rPr>
          <w:rFonts w:ascii="Times New Roman" w:hAnsi="Times New Roman" w:cs="Times New Roman"/>
          <w:bCs/>
        </w:rPr>
      </w:pPr>
      <w:r w:rsidRPr="0036130C">
        <w:rPr>
          <w:rFonts w:ascii="Times New Roman" w:hAnsi="Times New Roman" w:cs="Times New Roman"/>
          <w:bCs/>
        </w:rPr>
        <w:t xml:space="preserve">Subsection 9(4) requires the mobile network operator to send the message specified in paragraph 9(2)(a) each time the customer activates an IMR service in an overseas </w:t>
      </w:r>
      <w:proofErr w:type="gramStart"/>
      <w:r w:rsidRPr="0036130C">
        <w:rPr>
          <w:rFonts w:ascii="Times New Roman" w:hAnsi="Times New Roman" w:cs="Times New Roman"/>
          <w:bCs/>
        </w:rPr>
        <w:t>location, unless</w:t>
      </w:r>
      <w:proofErr w:type="gramEnd"/>
      <w:r w:rsidRPr="0036130C">
        <w:rPr>
          <w:rFonts w:ascii="Times New Roman" w:hAnsi="Times New Roman" w:cs="Times New Roman"/>
          <w:bCs/>
        </w:rPr>
        <w:t xml:space="preserve"> th</w:t>
      </w:r>
      <w:r w:rsidR="00144691">
        <w:rPr>
          <w:rFonts w:ascii="Times New Roman" w:hAnsi="Times New Roman" w:cs="Times New Roman"/>
          <w:bCs/>
        </w:rPr>
        <w:t>e</w:t>
      </w:r>
      <w:r w:rsidRPr="0036130C">
        <w:rPr>
          <w:rFonts w:ascii="Times New Roman" w:hAnsi="Times New Roman" w:cs="Times New Roman"/>
          <w:bCs/>
        </w:rPr>
        <w:t xml:space="preserve"> message </w:t>
      </w:r>
      <w:r w:rsidR="00144691" w:rsidRPr="0036130C">
        <w:rPr>
          <w:rFonts w:ascii="Times New Roman" w:hAnsi="Times New Roman" w:cs="Times New Roman"/>
          <w:bCs/>
        </w:rPr>
        <w:t>w</w:t>
      </w:r>
      <w:r w:rsidR="00144691">
        <w:rPr>
          <w:rFonts w:ascii="Times New Roman" w:hAnsi="Times New Roman" w:cs="Times New Roman"/>
          <w:bCs/>
        </w:rPr>
        <w:t xml:space="preserve">as </w:t>
      </w:r>
      <w:r w:rsidRPr="0036130C">
        <w:rPr>
          <w:rFonts w:ascii="Times New Roman" w:hAnsi="Times New Roman" w:cs="Times New Roman"/>
          <w:bCs/>
        </w:rPr>
        <w:t>sent to that customer in the same location within the preceding 14 days.</w:t>
      </w:r>
    </w:p>
    <w:p w14:paraId="7F1F77DD" w14:textId="57FF56A4" w:rsidR="0036130C" w:rsidRPr="0036130C" w:rsidRDefault="0036130C" w:rsidP="0036130C">
      <w:pPr>
        <w:rPr>
          <w:rFonts w:ascii="Times New Roman" w:hAnsi="Times New Roman" w:cs="Times New Roman"/>
          <w:bCs/>
        </w:rPr>
      </w:pPr>
      <w:r w:rsidRPr="0036130C">
        <w:rPr>
          <w:rFonts w:ascii="Times New Roman" w:hAnsi="Times New Roman" w:cs="Times New Roman"/>
          <w:bCs/>
        </w:rPr>
        <w:t>Subsection 9(5) specifies that the notification in paragraph 9(2)(b)</w:t>
      </w:r>
      <w:r w:rsidR="00144691">
        <w:rPr>
          <w:rFonts w:ascii="Times New Roman" w:hAnsi="Times New Roman" w:cs="Times New Roman"/>
          <w:bCs/>
        </w:rPr>
        <w:t>,</w:t>
      </w:r>
      <w:r w:rsidRPr="0036130C">
        <w:rPr>
          <w:rFonts w:ascii="Times New Roman" w:hAnsi="Times New Roman" w:cs="Times New Roman"/>
          <w:bCs/>
        </w:rPr>
        <w:t xml:space="preserve"> and the information specified in paragraph 9(2)(c)</w:t>
      </w:r>
      <w:r w:rsidR="00144691">
        <w:rPr>
          <w:rFonts w:ascii="Times New Roman" w:hAnsi="Times New Roman" w:cs="Times New Roman"/>
          <w:bCs/>
        </w:rPr>
        <w:t>,</w:t>
      </w:r>
      <w:r w:rsidRPr="0036130C">
        <w:rPr>
          <w:rFonts w:ascii="Times New Roman" w:hAnsi="Times New Roman" w:cs="Times New Roman"/>
          <w:bCs/>
        </w:rPr>
        <w:t xml:space="preserve"> must be sent to the second provider each time the customer activates an IMR service in an overseas location, unless those messages were sent to that customer in the same location within the preceding 14 days.</w:t>
      </w:r>
    </w:p>
    <w:p w14:paraId="754643D5" w14:textId="77777777" w:rsidR="0036130C" w:rsidRPr="0036130C" w:rsidRDefault="0036130C" w:rsidP="0036130C">
      <w:pPr>
        <w:rPr>
          <w:rFonts w:ascii="Times New Roman" w:hAnsi="Times New Roman" w:cs="Times New Roman"/>
          <w:bCs/>
          <w:u w:val="single"/>
        </w:rPr>
      </w:pPr>
      <w:r w:rsidRPr="0036130C">
        <w:rPr>
          <w:rFonts w:ascii="Times New Roman" w:hAnsi="Times New Roman" w:cs="Times New Roman"/>
          <w:bCs/>
          <w:u w:val="single"/>
        </w:rPr>
        <w:t>Mobile virtual network operators to send information about supply of an IMR service</w:t>
      </w:r>
    </w:p>
    <w:p w14:paraId="551CDC44" w14:textId="2C28DA2A" w:rsidR="00FC7368" w:rsidRDefault="00FC7368" w:rsidP="0036130C">
      <w:pPr>
        <w:rPr>
          <w:rFonts w:ascii="Times New Roman" w:hAnsi="Times New Roman" w:cs="Times New Roman"/>
          <w:bCs/>
        </w:rPr>
      </w:pPr>
      <w:r>
        <w:rPr>
          <w:rFonts w:ascii="Times New Roman" w:hAnsi="Times New Roman" w:cs="Times New Roman"/>
          <w:bCs/>
        </w:rPr>
        <w:t xml:space="preserve">Section 10 applies to a CSP who is a mobile virtual network operator that supplies an IMR service to a customer. </w:t>
      </w:r>
    </w:p>
    <w:p w14:paraId="23A5279C" w14:textId="39FC29BA" w:rsidR="0036130C" w:rsidRPr="0036130C" w:rsidRDefault="0036130C" w:rsidP="0036130C">
      <w:pPr>
        <w:rPr>
          <w:rFonts w:ascii="Times New Roman" w:hAnsi="Times New Roman" w:cs="Times New Roman"/>
          <w:bCs/>
        </w:rPr>
      </w:pPr>
      <w:r w:rsidRPr="0036130C">
        <w:rPr>
          <w:rFonts w:ascii="Times New Roman" w:hAnsi="Times New Roman" w:cs="Times New Roman"/>
          <w:bCs/>
        </w:rPr>
        <w:t xml:space="preserve">Subsection 10(2) requires the CSP to send a message to the customer advising them of maximum charges and how to decline supply of roaming services, within 10 minutes of receiving </w:t>
      </w:r>
      <w:r w:rsidR="007160B7">
        <w:rPr>
          <w:rFonts w:ascii="Times New Roman" w:hAnsi="Times New Roman" w:cs="Times New Roman"/>
          <w:bCs/>
        </w:rPr>
        <w:t xml:space="preserve">information about a customer’s activation of an IMR </w:t>
      </w:r>
      <w:r w:rsidR="008E3516">
        <w:rPr>
          <w:rFonts w:ascii="Times New Roman" w:hAnsi="Times New Roman" w:cs="Times New Roman"/>
          <w:bCs/>
        </w:rPr>
        <w:t>service</w:t>
      </w:r>
      <w:r w:rsidR="007160B7">
        <w:rPr>
          <w:rFonts w:ascii="Times New Roman" w:hAnsi="Times New Roman" w:cs="Times New Roman"/>
          <w:bCs/>
        </w:rPr>
        <w:t xml:space="preserve"> in a</w:t>
      </w:r>
      <w:r w:rsidR="004B71C7">
        <w:rPr>
          <w:rFonts w:ascii="Times New Roman" w:hAnsi="Times New Roman" w:cs="Times New Roman"/>
          <w:bCs/>
        </w:rPr>
        <w:t>n</w:t>
      </w:r>
      <w:r w:rsidR="007160B7">
        <w:rPr>
          <w:rFonts w:ascii="Times New Roman" w:hAnsi="Times New Roman" w:cs="Times New Roman"/>
          <w:bCs/>
        </w:rPr>
        <w:t xml:space="preserve"> </w:t>
      </w:r>
      <w:r w:rsidR="008E3516">
        <w:rPr>
          <w:rFonts w:ascii="Times New Roman" w:hAnsi="Times New Roman" w:cs="Times New Roman"/>
          <w:bCs/>
        </w:rPr>
        <w:t>overseas</w:t>
      </w:r>
      <w:r w:rsidR="007160B7">
        <w:rPr>
          <w:rFonts w:ascii="Times New Roman" w:hAnsi="Times New Roman" w:cs="Times New Roman"/>
          <w:bCs/>
        </w:rPr>
        <w:t xml:space="preserve"> location</w:t>
      </w:r>
      <w:r w:rsidRPr="0036130C">
        <w:rPr>
          <w:rFonts w:ascii="Times New Roman" w:hAnsi="Times New Roman" w:cs="Times New Roman"/>
          <w:bCs/>
        </w:rPr>
        <w:t>.</w:t>
      </w:r>
    </w:p>
    <w:p w14:paraId="11ED4E70" w14:textId="7F7113EA" w:rsidR="0036130C" w:rsidRPr="0036130C" w:rsidRDefault="0036130C" w:rsidP="0036130C">
      <w:pPr>
        <w:rPr>
          <w:rFonts w:ascii="Times New Roman" w:hAnsi="Times New Roman" w:cs="Times New Roman"/>
          <w:bCs/>
        </w:rPr>
      </w:pPr>
      <w:r w:rsidRPr="0036130C">
        <w:rPr>
          <w:rFonts w:ascii="Times New Roman" w:hAnsi="Times New Roman" w:cs="Times New Roman"/>
          <w:bCs/>
        </w:rPr>
        <w:t xml:space="preserve">Subsection 10(5) requires the CSP to send the message referred to in paragraphs 10(2)(a) </w:t>
      </w:r>
      <w:r w:rsidR="008E3516">
        <w:rPr>
          <w:rFonts w:ascii="Times New Roman" w:hAnsi="Times New Roman" w:cs="Times New Roman"/>
          <w:bCs/>
        </w:rPr>
        <w:t>and</w:t>
      </w:r>
      <w:r w:rsidR="008E3516" w:rsidRPr="0036130C">
        <w:rPr>
          <w:rFonts w:ascii="Times New Roman" w:hAnsi="Times New Roman" w:cs="Times New Roman"/>
          <w:bCs/>
        </w:rPr>
        <w:t xml:space="preserve"> </w:t>
      </w:r>
      <w:r w:rsidRPr="0036130C">
        <w:rPr>
          <w:rFonts w:ascii="Times New Roman" w:hAnsi="Times New Roman" w:cs="Times New Roman"/>
          <w:bCs/>
        </w:rPr>
        <w:t xml:space="preserve">(b) to the customer each time the customer activates the IMR service in an overseas </w:t>
      </w:r>
      <w:proofErr w:type="gramStart"/>
      <w:r w:rsidRPr="0036130C">
        <w:rPr>
          <w:rFonts w:ascii="Times New Roman" w:hAnsi="Times New Roman" w:cs="Times New Roman"/>
          <w:bCs/>
        </w:rPr>
        <w:t>location, unless</w:t>
      </w:r>
      <w:proofErr w:type="gramEnd"/>
      <w:r w:rsidRPr="0036130C">
        <w:rPr>
          <w:rFonts w:ascii="Times New Roman" w:hAnsi="Times New Roman" w:cs="Times New Roman"/>
          <w:bCs/>
        </w:rPr>
        <w:t xml:space="preserve"> those messages were sent to that customer in the same location within the preceding 14 days.</w:t>
      </w:r>
    </w:p>
    <w:p w14:paraId="57E6CC18" w14:textId="77777777" w:rsidR="0036130C" w:rsidRPr="0036130C" w:rsidRDefault="0036130C" w:rsidP="00557F87">
      <w:pPr>
        <w:keepNext/>
        <w:keepLines/>
        <w:spacing w:line="257" w:lineRule="auto"/>
        <w:rPr>
          <w:rFonts w:ascii="Times New Roman" w:hAnsi="Times New Roman" w:cs="Times New Roman"/>
          <w:bCs/>
          <w:u w:val="single"/>
        </w:rPr>
      </w:pPr>
      <w:r w:rsidRPr="0036130C">
        <w:rPr>
          <w:rFonts w:ascii="Times New Roman" w:hAnsi="Times New Roman" w:cs="Times New Roman"/>
          <w:bCs/>
          <w:u w:val="single"/>
        </w:rPr>
        <w:lastRenderedPageBreak/>
        <w:t>CSPs to otherwise send maximum charge information</w:t>
      </w:r>
    </w:p>
    <w:p w14:paraId="4C309168" w14:textId="77777777" w:rsidR="0036130C" w:rsidRPr="0036130C" w:rsidRDefault="0036130C" w:rsidP="00557F87">
      <w:pPr>
        <w:keepNext/>
        <w:keepLines/>
        <w:spacing w:line="257" w:lineRule="auto"/>
        <w:rPr>
          <w:rFonts w:ascii="Times New Roman" w:hAnsi="Times New Roman" w:cs="Times New Roman"/>
          <w:bCs/>
        </w:rPr>
      </w:pPr>
      <w:r w:rsidRPr="0036130C">
        <w:rPr>
          <w:rFonts w:ascii="Times New Roman" w:hAnsi="Times New Roman" w:cs="Times New Roman"/>
          <w:bCs/>
        </w:rPr>
        <w:t>Subsection 11(2) requires the CSP to provide maximum charge information in relation to any overseas location to the customer within 24 hours of receiving a request from the customer.</w:t>
      </w:r>
    </w:p>
    <w:p w14:paraId="7E4710B4" w14:textId="77777777" w:rsidR="0036130C" w:rsidRPr="0036130C" w:rsidRDefault="0036130C" w:rsidP="0036130C">
      <w:pPr>
        <w:rPr>
          <w:rFonts w:ascii="Times New Roman" w:hAnsi="Times New Roman" w:cs="Times New Roman"/>
          <w:bCs/>
          <w:u w:val="single"/>
        </w:rPr>
      </w:pPr>
      <w:r w:rsidRPr="0036130C">
        <w:rPr>
          <w:rFonts w:ascii="Times New Roman" w:hAnsi="Times New Roman" w:cs="Times New Roman"/>
          <w:bCs/>
          <w:u w:val="single"/>
        </w:rPr>
        <w:t>Prohibition on CSPs charging a fee to send messages to customers</w:t>
      </w:r>
    </w:p>
    <w:p w14:paraId="0758C600" w14:textId="4CA6DBC4" w:rsidR="0036130C" w:rsidRPr="0036130C" w:rsidRDefault="0036130C" w:rsidP="0036130C">
      <w:pPr>
        <w:rPr>
          <w:rFonts w:ascii="Times New Roman" w:hAnsi="Times New Roman" w:cs="Times New Roman"/>
          <w:bCs/>
          <w:u w:val="single"/>
        </w:rPr>
      </w:pPr>
      <w:r w:rsidRPr="0036130C">
        <w:rPr>
          <w:rFonts w:ascii="Times New Roman" w:hAnsi="Times New Roman" w:cs="Times New Roman"/>
          <w:bCs/>
        </w:rPr>
        <w:t>Subsections 9(6), 10(6)</w:t>
      </w:r>
      <w:r w:rsidR="00AD6451">
        <w:rPr>
          <w:rFonts w:ascii="Times New Roman" w:hAnsi="Times New Roman" w:cs="Times New Roman"/>
          <w:bCs/>
        </w:rPr>
        <w:t xml:space="preserve"> and</w:t>
      </w:r>
      <w:r w:rsidRPr="0036130C">
        <w:rPr>
          <w:rFonts w:ascii="Times New Roman" w:hAnsi="Times New Roman" w:cs="Times New Roman"/>
          <w:bCs/>
        </w:rPr>
        <w:t xml:space="preserve"> 11(3) prohibit a CSP from charging a fee for sending the messages required under </w:t>
      </w:r>
      <w:r w:rsidR="00AD6451">
        <w:rPr>
          <w:rFonts w:ascii="Times New Roman" w:hAnsi="Times New Roman" w:cs="Times New Roman"/>
          <w:bCs/>
        </w:rPr>
        <w:t xml:space="preserve">paragraph </w:t>
      </w:r>
      <w:r w:rsidRPr="0036130C">
        <w:rPr>
          <w:rFonts w:ascii="Times New Roman" w:hAnsi="Times New Roman" w:cs="Times New Roman"/>
          <w:bCs/>
        </w:rPr>
        <w:t>9(2)(a),</w:t>
      </w:r>
      <w:r w:rsidR="005460CD">
        <w:rPr>
          <w:rFonts w:ascii="Times New Roman" w:hAnsi="Times New Roman" w:cs="Times New Roman"/>
          <w:bCs/>
        </w:rPr>
        <w:t xml:space="preserve"> subsections</w:t>
      </w:r>
      <w:r w:rsidRPr="0036130C">
        <w:rPr>
          <w:rFonts w:ascii="Times New Roman" w:hAnsi="Times New Roman" w:cs="Times New Roman"/>
          <w:bCs/>
        </w:rPr>
        <w:t xml:space="preserve"> 10(2)</w:t>
      </w:r>
      <w:r w:rsidR="005460CD">
        <w:rPr>
          <w:rFonts w:ascii="Times New Roman" w:hAnsi="Times New Roman" w:cs="Times New Roman"/>
          <w:bCs/>
        </w:rPr>
        <w:t>,10</w:t>
      </w:r>
      <w:r w:rsidRPr="0036130C">
        <w:rPr>
          <w:rFonts w:ascii="Times New Roman" w:hAnsi="Times New Roman" w:cs="Times New Roman"/>
          <w:bCs/>
        </w:rPr>
        <w:t>(3)</w:t>
      </w:r>
      <w:r w:rsidR="005460CD">
        <w:rPr>
          <w:rFonts w:ascii="Times New Roman" w:hAnsi="Times New Roman" w:cs="Times New Roman"/>
          <w:bCs/>
        </w:rPr>
        <w:t xml:space="preserve"> and</w:t>
      </w:r>
      <w:r w:rsidRPr="0036130C">
        <w:rPr>
          <w:rFonts w:ascii="Times New Roman" w:hAnsi="Times New Roman" w:cs="Times New Roman"/>
          <w:bCs/>
        </w:rPr>
        <w:t xml:space="preserve"> 11(2).</w:t>
      </w:r>
    </w:p>
    <w:p w14:paraId="73B0A42C" w14:textId="77777777" w:rsidR="0036130C" w:rsidRPr="0036130C" w:rsidRDefault="0036130C" w:rsidP="0036130C">
      <w:pPr>
        <w:rPr>
          <w:rFonts w:ascii="Times New Roman" w:hAnsi="Times New Roman" w:cs="Times New Roman"/>
          <w:bCs/>
          <w:u w:val="single"/>
        </w:rPr>
      </w:pPr>
      <w:r w:rsidRPr="0036130C">
        <w:rPr>
          <w:rFonts w:ascii="Times New Roman" w:hAnsi="Times New Roman" w:cs="Times New Roman"/>
          <w:bCs/>
          <w:u w:val="single"/>
        </w:rPr>
        <w:t>CSPs to make available methods to decline an IMR service</w:t>
      </w:r>
    </w:p>
    <w:p w14:paraId="5A971256" w14:textId="77777777" w:rsidR="0036130C" w:rsidRPr="0036130C" w:rsidRDefault="0036130C" w:rsidP="0036130C">
      <w:pPr>
        <w:rPr>
          <w:rFonts w:ascii="Times New Roman" w:hAnsi="Times New Roman" w:cs="Times New Roman"/>
          <w:bCs/>
        </w:rPr>
      </w:pPr>
      <w:r w:rsidRPr="0036130C">
        <w:rPr>
          <w:rFonts w:ascii="Times New Roman" w:hAnsi="Times New Roman" w:cs="Times New Roman"/>
          <w:bCs/>
        </w:rPr>
        <w:t>Subsection 12(1) requires a CSP to make available at least one method by which a customer may decline the continued supply of an IMR service at any time while travelling overseas.</w:t>
      </w:r>
    </w:p>
    <w:p w14:paraId="70A74BE0" w14:textId="77777777" w:rsidR="0036130C" w:rsidRPr="0036130C" w:rsidRDefault="0036130C" w:rsidP="0036130C">
      <w:pPr>
        <w:rPr>
          <w:rFonts w:ascii="Times New Roman" w:hAnsi="Times New Roman" w:cs="Times New Roman"/>
          <w:bCs/>
        </w:rPr>
      </w:pPr>
      <w:r w:rsidRPr="0036130C">
        <w:rPr>
          <w:rFonts w:ascii="Times New Roman" w:hAnsi="Times New Roman" w:cs="Times New Roman"/>
          <w:bCs/>
        </w:rPr>
        <w:t>Subsection 12(2) specifies that if a customer declines the continued supply of an IMR service, the CSP must cease the service within 24 hours.</w:t>
      </w:r>
    </w:p>
    <w:p w14:paraId="5D16BA06" w14:textId="77777777" w:rsidR="0036130C" w:rsidRPr="0036130C" w:rsidRDefault="0036130C" w:rsidP="0036130C">
      <w:pPr>
        <w:rPr>
          <w:rFonts w:ascii="Times New Roman" w:hAnsi="Times New Roman" w:cs="Times New Roman"/>
          <w:bCs/>
        </w:rPr>
      </w:pPr>
      <w:r w:rsidRPr="0036130C">
        <w:rPr>
          <w:rFonts w:ascii="Times New Roman" w:hAnsi="Times New Roman" w:cs="Times New Roman"/>
          <w:bCs/>
        </w:rPr>
        <w:t>Subsection 12(3) specifies that if a customer calls a particular Australian number to decline the continued supply of an IMR service, the CSP must not charge more than A$1.</w:t>
      </w:r>
    </w:p>
    <w:p w14:paraId="4BEB5684" w14:textId="2B8098C0" w:rsidR="0036130C" w:rsidRPr="0036130C" w:rsidRDefault="0036130C" w:rsidP="0036130C">
      <w:pPr>
        <w:rPr>
          <w:rFonts w:ascii="Times New Roman" w:hAnsi="Times New Roman" w:cs="Times New Roman"/>
          <w:bCs/>
        </w:rPr>
      </w:pPr>
      <w:r w:rsidRPr="0036130C">
        <w:rPr>
          <w:rFonts w:ascii="Times New Roman" w:hAnsi="Times New Roman" w:cs="Times New Roman"/>
          <w:bCs/>
        </w:rPr>
        <w:t>Subsection 12(4) specifies that if a customer uses the CSP</w:t>
      </w:r>
      <w:r w:rsidR="00FE18B2">
        <w:rPr>
          <w:rFonts w:ascii="Times New Roman" w:hAnsi="Times New Roman" w:cs="Times New Roman"/>
          <w:bCs/>
        </w:rPr>
        <w:t>’</w:t>
      </w:r>
      <w:r w:rsidRPr="0036130C">
        <w:rPr>
          <w:rFonts w:ascii="Times New Roman" w:hAnsi="Times New Roman" w:cs="Times New Roman"/>
          <w:bCs/>
        </w:rPr>
        <w:t>s website to decline the continued supply of an IMR service, the CSP must not charge the customer a fee.</w:t>
      </w:r>
    </w:p>
    <w:p w14:paraId="1E62D3BB" w14:textId="77777777" w:rsidR="0036130C" w:rsidRPr="0036130C" w:rsidRDefault="0036130C" w:rsidP="0036130C">
      <w:pPr>
        <w:rPr>
          <w:rFonts w:ascii="Times New Roman" w:hAnsi="Times New Roman" w:cs="Times New Roman"/>
          <w:bCs/>
          <w:u w:val="single"/>
        </w:rPr>
      </w:pPr>
      <w:r w:rsidRPr="0036130C">
        <w:rPr>
          <w:rFonts w:ascii="Times New Roman" w:hAnsi="Times New Roman" w:cs="Times New Roman"/>
          <w:bCs/>
        </w:rPr>
        <w:t>Subsection 12(5) specifies that if a customer uses a method other than those listed in subsections (3) and (4) to decline the continued supply of an IMR service, the CSP must not charge the customer a fee of more than A$1.</w:t>
      </w:r>
    </w:p>
    <w:p w14:paraId="5061753D" w14:textId="77777777" w:rsidR="0036130C" w:rsidRPr="0036130C" w:rsidRDefault="0036130C" w:rsidP="0036130C">
      <w:pPr>
        <w:rPr>
          <w:rFonts w:ascii="Times New Roman" w:hAnsi="Times New Roman" w:cs="Times New Roman"/>
          <w:bCs/>
          <w:u w:val="single"/>
        </w:rPr>
      </w:pPr>
      <w:r w:rsidRPr="0036130C">
        <w:rPr>
          <w:rFonts w:ascii="Times New Roman" w:hAnsi="Times New Roman" w:cs="Times New Roman"/>
          <w:bCs/>
          <w:u w:val="single"/>
        </w:rPr>
        <w:t>CSPs to make available spend management tools for an IMR service</w:t>
      </w:r>
    </w:p>
    <w:p w14:paraId="45DB89DD" w14:textId="278718E7" w:rsidR="0036130C" w:rsidRPr="0036130C" w:rsidRDefault="0036130C" w:rsidP="0036130C">
      <w:pPr>
        <w:rPr>
          <w:rFonts w:ascii="Times New Roman" w:hAnsi="Times New Roman" w:cs="Times New Roman"/>
          <w:bCs/>
        </w:rPr>
      </w:pPr>
      <w:r w:rsidRPr="0036130C">
        <w:rPr>
          <w:rFonts w:ascii="Times New Roman" w:hAnsi="Times New Roman" w:cs="Times New Roman"/>
          <w:bCs/>
        </w:rPr>
        <w:t xml:space="preserve">Subsection 13(2) requires that a CSP that supplies an IMR service to a customer must make available at least one </w:t>
      </w:r>
      <w:proofErr w:type="gramStart"/>
      <w:r w:rsidRPr="0036130C">
        <w:rPr>
          <w:rFonts w:ascii="Times New Roman" w:hAnsi="Times New Roman" w:cs="Times New Roman"/>
          <w:bCs/>
        </w:rPr>
        <w:t>spend</w:t>
      </w:r>
      <w:proofErr w:type="gramEnd"/>
      <w:r w:rsidRPr="0036130C">
        <w:rPr>
          <w:rFonts w:ascii="Times New Roman" w:hAnsi="Times New Roman" w:cs="Times New Roman"/>
          <w:bCs/>
        </w:rPr>
        <w:t xml:space="preserve"> management tool that provides either an estimate of usage</w:t>
      </w:r>
      <w:r w:rsidR="008660F2">
        <w:rPr>
          <w:rFonts w:ascii="Times New Roman" w:hAnsi="Times New Roman" w:cs="Times New Roman"/>
          <w:bCs/>
        </w:rPr>
        <w:t xml:space="preserve"> in relation to the IMR service</w:t>
      </w:r>
      <w:r w:rsidRPr="0036130C">
        <w:rPr>
          <w:rFonts w:ascii="Times New Roman" w:hAnsi="Times New Roman" w:cs="Times New Roman"/>
          <w:bCs/>
        </w:rPr>
        <w:t>, or, if it cannot provide a current usage estimate, advice about the length of the delay and information about current IMR charges or usage that is yet to be billed to the customer.</w:t>
      </w:r>
    </w:p>
    <w:p w14:paraId="1244C1EC" w14:textId="77777777" w:rsidR="0036130C" w:rsidRPr="0036130C" w:rsidRDefault="0036130C" w:rsidP="0036130C">
      <w:pPr>
        <w:rPr>
          <w:rFonts w:ascii="Times New Roman" w:hAnsi="Times New Roman" w:cs="Times New Roman"/>
          <w:bCs/>
        </w:rPr>
      </w:pPr>
      <w:r w:rsidRPr="0036130C">
        <w:rPr>
          <w:rFonts w:ascii="Times New Roman" w:hAnsi="Times New Roman" w:cs="Times New Roman"/>
          <w:bCs/>
        </w:rPr>
        <w:t>Subsection 13(5) prohibits a CSP from using a customer’s acceptance of a term of a standard form of agreement, or the default terms and conditions of an included value pack, to allow a customer to decline to receive spend management information related to their use of the IMR service.</w:t>
      </w:r>
    </w:p>
    <w:p w14:paraId="72D03E04" w14:textId="77777777" w:rsidR="0036130C" w:rsidRPr="0036130C" w:rsidRDefault="0036130C" w:rsidP="0036130C">
      <w:pPr>
        <w:rPr>
          <w:rFonts w:ascii="Times New Roman" w:hAnsi="Times New Roman" w:cs="Times New Roman"/>
          <w:bCs/>
        </w:rPr>
      </w:pPr>
      <w:r w:rsidRPr="0036130C">
        <w:rPr>
          <w:rFonts w:ascii="Times New Roman" w:hAnsi="Times New Roman" w:cs="Times New Roman"/>
          <w:bCs/>
        </w:rPr>
        <w:t>Paragraph 13(6)(a) specifies that if a customer declines to receive spend management information related to their use of the IMR service, the CSP must send an acknowledgement to the customer advising them that they may request to receive the notifications again at any time.</w:t>
      </w:r>
    </w:p>
    <w:p w14:paraId="78B54476" w14:textId="30D454CD" w:rsidR="0036130C" w:rsidRPr="0036130C" w:rsidRDefault="0036130C" w:rsidP="004C58B9">
      <w:pPr>
        <w:rPr>
          <w:rFonts w:ascii="Times New Roman" w:hAnsi="Times New Roman" w:cs="Times New Roman"/>
          <w:bCs/>
        </w:rPr>
      </w:pPr>
      <w:r w:rsidRPr="0036130C">
        <w:rPr>
          <w:rFonts w:ascii="Times New Roman" w:hAnsi="Times New Roman" w:cs="Times New Roman"/>
          <w:bCs/>
        </w:rPr>
        <w:t>Paragraph 13(12)(b) requires that spend management tool(s) must be made available to customers without charge.</w:t>
      </w:r>
    </w:p>
    <w:p w14:paraId="0C627C6A" w14:textId="1FC6DC5D" w:rsidR="004C58B9" w:rsidRDefault="004C58B9" w:rsidP="004C58B9">
      <w:pPr>
        <w:rPr>
          <w:rFonts w:ascii="Times New Roman" w:hAnsi="Times New Roman" w:cs="Times New Roman"/>
          <w:b/>
        </w:rPr>
      </w:pPr>
      <w:r>
        <w:rPr>
          <w:rFonts w:ascii="Times New Roman" w:hAnsi="Times New Roman" w:cs="Times New Roman"/>
          <w:b/>
        </w:rPr>
        <w:t>Documents incorporated by reference</w:t>
      </w:r>
    </w:p>
    <w:p w14:paraId="26D6A023" w14:textId="032FCEE0" w:rsidR="005A1036" w:rsidRPr="00C93D02" w:rsidRDefault="005A1036" w:rsidP="005A1036">
      <w:pPr>
        <w:shd w:val="clear" w:color="auto" w:fill="FFFFFF"/>
        <w:spacing w:line="235" w:lineRule="atLeast"/>
        <w:rPr>
          <w:rFonts w:ascii="Times New Roman" w:hAnsi="Times New Roman" w:cs="Times New Roman"/>
          <w:color w:val="000000"/>
        </w:rPr>
      </w:pPr>
      <w:r w:rsidRPr="00C93D02">
        <w:rPr>
          <w:rFonts w:ascii="Times New Roman" w:hAnsi="Times New Roman" w:cs="Times New Roman"/>
          <w:color w:val="000000"/>
        </w:rPr>
        <w:t xml:space="preserve">The </w:t>
      </w:r>
      <w:r w:rsidR="00FE18B2">
        <w:rPr>
          <w:rFonts w:ascii="Times New Roman" w:hAnsi="Times New Roman" w:cs="Times New Roman"/>
          <w:color w:val="000000"/>
        </w:rPr>
        <w:t>i</w:t>
      </w:r>
      <w:r w:rsidR="00C36252">
        <w:rPr>
          <w:rFonts w:ascii="Times New Roman" w:hAnsi="Times New Roman" w:cs="Times New Roman"/>
          <w:color w:val="000000"/>
        </w:rPr>
        <w:t>nstrument</w:t>
      </w:r>
      <w:r w:rsidRPr="00C93D02">
        <w:rPr>
          <w:rFonts w:ascii="Times New Roman" w:hAnsi="Times New Roman" w:cs="Times New Roman"/>
          <w:color w:val="000000"/>
        </w:rPr>
        <w:t xml:space="preserve"> </w:t>
      </w:r>
      <w:r w:rsidR="00FE18B2">
        <w:rPr>
          <w:rFonts w:ascii="Times New Roman" w:hAnsi="Times New Roman" w:cs="Times New Roman"/>
          <w:color w:val="000000"/>
        </w:rPr>
        <w:t xml:space="preserve">amends the Declaration </w:t>
      </w:r>
      <w:proofErr w:type="gramStart"/>
      <w:r w:rsidR="00FE18B2">
        <w:rPr>
          <w:rFonts w:ascii="Times New Roman" w:hAnsi="Times New Roman" w:cs="Times New Roman"/>
          <w:color w:val="000000"/>
        </w:rPr>
        <w:t>so as to</w:t>
      </w:r>
      <w:proofErr w:type="gramEnd"/>
      <w:r w:rsidR="00FE18B2">
        <w:rPr>
          <w:rFonts w:ascii="Times New Roman" w:hAnsi="Times New Roman" w:cs="Times New Roman"/>
          <w:color w:val="000000"/>
        </w:rPr>
        <w:t xml:space="preserve"> incorporate</w:t>
      </w:r>
      <w:r w:rsidRPr="00C93D02">
        <w:rPr>
          <w:rFonts w:ascii="Times New Roman" w:hAnsi="Times New Roman" w:cs="Times New Roman"/>
          <w:color w:val="000000"/>
        </w:rPr>
        <w:t xml:space="preserve"> by reference the following legislative instruments:</w:t>
      </w:r>
    </w:p>
    <w:p w14:paraId="6F5C1A1F" w14:textId="77777777" w:rsidR="005A1036" w:rsidRPr="00C93D02" w:rsidRDefault="005A1036" w:rsidP="005A1036">
      <w:pPr>
        <w:pStyle w:val="ListParagraph"/>
        <w:numPr>
          <w:ilvl w:val="0"/>
          <w:numId w:val="3"/>
        </w:numPr>
        <w:rPr>
          <w:rFonts w:ascii="Times New Roman" w:hAnsi="Times New Roman" w:cs="Times New Roman"/>
        </w:rPr>
      </w:pPr>
      <w:r w:rsidRPr="00C93D02">
        <w:rPr>
          <w:rFonts w:ascii="Times New Roman" w:hAnsi="Times New Roman" w:cs="Times New Roman"/>
        </w:rPr>
        <w:t>the Customer ID Determination; and</w:t>
      </w:r>
    </w:p>
    <w:p w14:paraId="3B6314EB" w14:textId="77777777" w:rsidR="005A1036" w:rsidRPr="00C93D02" w:rsidRDefault="005A1036" w:rsidP="005A1036">
      <w:pPr>
        <w:pStyle w:val="ListParagraph"/>
        <w:numPr>
          <w:ilvl w:val="0"/>
          <w:numId w:val="3"/>
        </w:numPr>
        <w:rPr>
          <w:rFonts w:ascii="Times New Roman" w:hAnsi="Times New Roman" w:cs="Times New Roman"/>
        </w:rPr>
      </w:pPr>
      <w:r w:rsidRPr="00C93D02">
        <w:rPr>
          <w:rFonts w:ascii="Times New Roman" w:hAnsi="Times New Roman" w:cs="Times New Roman"/>
        </w:rPr>
        <w:t>the IMR Determination.</w:t>
      </w:r>
    </w:p>
    <w:p w14:paraId="6326465F" w14:textId="5497AF65" w:rsidR="005A1036" w:rsidRPr="00C93D02" w:rsidRDefault="00FE18B2" w:rsidP="005A1036">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lastRenderedPageBreak/>
        <w:t>Those</w:t>
      </w:r>
      <w:r w:rsidR="005A1036" w:rsidRPr="00C93D02">
        <w:rPr>
          <w:rFonts w:ascii="Times New Roman" w:hAnsi="Times New Roman" w:cs="Times New Roman"/>
          <w:color w:val="000000"/>
        </w:rPr>
        <w:t xml:space="preserve"> legislative instruments </w:t>
      </w:r>
      <w:r>
        <w:rPr>
          <w:rFonts w:ascii="Times New Roman" w:hAnsi="Times New Roman" w:cs="Times New Roman"/>
          <w:color w:val="000000"/>
        </w:rPr>
        <w:t xml:space="preserve">are incorporated </w:t>
      </w:r>
      <w:r w:rsidR="005A1036" w:rsidRPr="00C93D02">
        <w:rPr>
          <w:rFonts w:ascii="Times New Roman" w:hAnsi="Times New Roman" w:cs="Times New Roman"/>
          <w:color w:val="000000"/>
        </w:rPr>
        <w:t>as in force from time to time.</w:t>
      </w:r>
    </w:p>
    <w:p w14:paraId="1BDD2563" w14:textId="6F3259C4" w:rsidR="00F62A3E" w:rsidRPr="00C93D02" w:rsidRDefault="00FE18B2" w:rsidP="005A1036">
      <w:pPr>
        <w:shd w:val="clear" w:color="auto" w:fill="FFFFFF"/>
        <w:spacing w:line="235" w:lineRule="atLeast"/>
        <w:rPr>
          <w:rFonts w:ascii="Times New Roman" w:hAnsi="Times New Roman" w:cs="Times New Roman"/>
          <w:color w:val="000000"/>
        </w:rPr>
      </w:pPr>
      <w:r>
        <w:rPr>
          <w:rFonts w:ascii="Times New Roman" w:hAnsi="Times New Roman" w:cs="Times New Roman"/>
          <w:color w:val="000000"/>
        </w:rPr>
        <w:t>Those</w:t>
      </w:r>
      <w:r w:rsidR="005A1036" w:rsidRPr="00C93D02">
        <w:rPr>
          <w:rFonts w:ascii="Times New Roman" w:hAnsi="Times New Roman" w:cs="Times New Roman"/>
          <w:color w:val="000000"/>
        </w:rPr>
        <w:t xml:space="preserve"> legislative instruments can be accessed, free of charge, from the Federal Register of Legislation:</w:t>
      </w:r>
      <w:r w:rsidR="005A1036" w:rsidRPr="00C93D02">
        <w:rPr>
          <w:rFonts w:ascii="Times New Roman" w:hAnsi="Times New Roman" w:cs="Times New Roman"/>
          <w:i/>
          <w:iCs/>
          <w:color w:val="000000"/>
        </w:rPr>
        <w:t> </w:t>
      </w:r>
      <w:hyperlink r:id="rId12" w:history="1">
        <w:r w:rsidR="005A1036" w:rsidRPr="00C93D02">
          <w:rPr>
            <w:rStyle w:val="Hyperlink"/>
            <w:rFonts w:ascii="Times New Roman" w:hAnsi="Times New Roman" w:cs="Times New Roman"/>
            <w:i/>
            <w:iCs/>
            <w:color w:val="0F569E"/>
          </w:rPr>
          <w:t>http://www.legislation.gov.au</w:t>
        </w:r>
      </w:hyperlink>
      <w:r w:rsidR="005A1036" w:rsidRPr="00C93D02">
        <w:rPr>
          <w:rFonts w:ascii="Times New Roman" w:hAnsi="Times New Roman" w:cs="Times New Roman"/>
          <w:color w:val="000000"/>
          <w:u w:val="single"/>
        </w:rPr>
        <w:t>.</w:t>
      </w:r>
    </w:p>
    <w:p w14:paraId="2EFDFDBF" w14:textId="77777777" w:rsidR="004C58B9" w:rsidRDefault="004C58B9" w:rsidP="004C58B9">
      <w:pPr>
        <w:rPr>
          <w:rFonts w:ascii="Times New Roman" w:hAnsi="Times New Roman" w:cs="Times New Roman"/>
          <w:b/>
        </w:rPr>
      </w:pPr>
      <w:r>
        <w:rPr>
          <w:rFonts w:ascii="Times New Roman" w:hAnsi="Times New Roman" w:cs="Times New Roman"/>
          <w:b/>
        </w:rPr>
        <w:t>Consultation</w:t>
      </w:r>
    </w:p>
    <w:p w14:paraId="60FC4B12" w14:textId="4E7E8F2D" w:rsidR="004C58B9" w:rsidRDefault="004C58B9" w:rsidP="004C58B9">
      <w:pPr>
        <w:rPr>
          <w:rFonts w:ascii="Times New Roman" w:hAnsi="Times New Roman" w:cs="Times New Roman"/>
        </w:rPr>
      </w:pPr>
      <w:r>
        <w:rPr>
          <w:rFonts w:ascii="Times New Roman" w:hAnsi="Times New Roman" w:cs="Times New Roman"/>
        </w:rPr>
        <w:t xml:space="preserve">Before the </w:t>
      </w:r>
      <w:r w:rsidR="00FE18B2">
        <w:rPr>
          <w:rFonts w:ascii="Times New Roman" w:hAnsi="Times New Roman" w:cs="Times New Roman"/>
        </w:rPr>
        <w:t>i</w:t>
      </w:r>
      <w:r>
        <w:rPr>
          <w:rFonts w:ascii="Times New Roman" w:hAnsi="Times New Roman" w:cs="Times New Roman"/>
        </w:rPr>
        <w:t xml:space="preserve">nstrument was made, the ACMA was satisfied that consultation was undertaken to the extent appropriate and reasonably practicable, in accordance with section 17 of the LA.  </w:t>
      </w:r>
    </w:p>
    <w:p w14:paraId="00BB42C5" w14:textId="33FDFA4D" w:rsidR="00746846" w:rsidRPr="00746846" w:rsidRDefault="00746846" w:rsidP="00746846">
      <w:pPr>
        <w:spacing w:line="257" w:lineRule="auto"/>
        <w:rPr>
          <w:rFonts w:ascii="Times New Roman" w:hAnsi="Times New Roman" w:cs="Times New Roman"/>
        </w:rPr>
      </w:pPr>
      <w:r w:rsidRPr="00746846">
        <w:rPr>
          <w:rFonts w:ascii="Times New Roman" w:hAnsi="Times New Roman" w:cs="Times New Roman"/>
        </w:rPr>
        <w:t>Subsection 572</w:t>
      </w:r>
      <w:proofErr w:type="gramStart"/>
      <w:r w:rsidRPr="00746846">
        <w:rPr>
          <w:rFonts w:ascii="Times New Roman" w:hAnsi="Times New Roman" w:cs="Times New Roman"/>
        </w:rPr>
        <w:t>E(</w:t>
      </w:r>
      <w:proofErr w:type="gramEnd"/>
      <w:r w:rsidRPr="00746846">
        <w:rPr>
          <w:rFonts w:ascii="Times New Roman" w:hAnsi="Times New Roman" w:cs="Times New Roman"/>
        </w:rPr>
        <w:t xml:space="preserve">8) of the Act sets out requirements for consultation to be undertaken by the ACMA prior to making a declaration under subsection 572E(7). In accordance with the requirements of </w:t>
      </w:r>
      <w:r w:rsidRPr="005362F2">
        <w:rPr>
          <w:rFonts w:ascii="Times New Roman" w:hAnsi="Times New Roman" w:cs="Times New Roman"/>
        </w:rPr>
        <w:t>subsection 572</w:t>
      </w:r>
      <w:proofErr w:type="gramStart"/>
      <w:r w:rsidRPr="005362F2">
        <w:rPr>
          <w:rFonts w:ascii="Times New Roman" w:hAnsi="Times New Roman" w:cs="Times New Roman"/>
        </w:rPr>
        <w:t>E(</w:t>
      </w:r>
      <w:proofErr w:type="gramEnd"/>
      <w:r w:rsidRPr="005362F2">
        <w:rPr>
          <w:rFonts w:ascii="Times New Roman" w:hAnsi="Times New Roman" w:cs="Times New Roman"/>
        </w:rPr>
        <w:t xml:space="preserve">8), on </w:t>
      </w:r>
      <w:r w:rsidR="005362F2" w:rsidRPr="005362F2">
        <w:rPr>
          <w:rFonts w:ascii="Times New Roman" w:hAnsi="Times New Roman" w:cs="Times New Roman"/>
        </w:rPr>
        <w:t>10</w:t>
      </w:r>
      <w:r w:rsidRPr="005362F2">
        <w:rPr>
          <w:rFonts w:ascii="Times New Roman" w:hAnsi="Times New Roman" w:cs="Times New Roman"/>
        </w:rPr>
        <w:t xml:space="preserve"> </w:t>
      </w:r>
      <w:r w:rsidR="00AD797C" w:rsidRPr="005362F2">
        <w:rPr>
          <w:rFonts w:ascii="Times New Roman" w:hAnsi="Times New Roman" w:cs="Times New Roman"/>
        </w:rPr>
        <w:t>June</w:t>
      </w:r>
      <w:r w:rsidRPr="005362F2">
        <w:rPr>
          <w:rFonts w:ascii="Times New Roman" w:hAnsi="Times New Roman" w:cs="Times New Roman"/>
        </w:rPr>
        <w:t xml:space="preserve"> 202</w:t>
      </w:r>
      <w:r w:rsidR="00C93D02" w:rsidRPr="005362F2">
        <w:rPr>
          <w:rFonts w:ascii="Times New Roman" w:hAnsi="Times New Roman" w:cs="Times New Roman"/>
        </w:rPr>
        <w:t>2</w:t>
      </w:r>
      <w:r w:rsidRPr="005362F2">
        <w:rPr>
          <w:rFonts w:ascii="Times New Roman" w:hAnsi="Times New Roman" w:cs="Times New Roman"/>
        </w:rPr>
        <w:t xml:space="preserve"> the ACMA published on its website a consultation paper outlining its proposal to make the instrument, and inviting persons to make submissions to the ACMA about the proposal (consultation </w:t>
      </w:r>
      <w:r w:rsidR="005362F2">
        <w:rPr>
          <w:rFonts w:ascii="Times New Roman" w:hAnsi="Times New Roman" w:cs="Times New Roman"/>
        </w:rPr>
        <w:t>18/2022</w:t>
      </w:r>
      <w:r w:rsidRPr="005362F2">
        <w:rPr>
          <w:rFonts w:ascii="Times New Roman" w:hAnsi="Times New Roman" w:cs="Times New Roman"/>
        </w:rPr>
        <w:t xml:space="preserve">). Submissions closed on </w:t>
      </w:r>
      <w:r w:rsidR="005362F2" w:rsidRPr="005362F2">
        <w:rPr>
          <w:rFonts w:ascii="Times New Roman" w:hAnsi="Times New Roman" w:cs="Times New Roman"/>
        </w:rPr>
        <w:t>24</w:t>
      </w:r>
      <w:r w:rsidRPr="005362F2">
        <w:rPr>
          <w:rFonts w:ascii="Times New Roman" w:hAnsi="Times New Roman" w:cs="Times New Roman"/>
        </w:rPr>
        <w:t xml:space="preserve"> </w:t>
      </w:r>
      <w:r w:rsidR="00C93D02" w:rsidRPr="005362F2">
        <w:rPr>
          <w:rFonts w:ascii="Times New Roman" w:hAnsi="Times New Roman" w:cs="Times New Roman"/>
        </w:rPr>
        <w:t>June</w:t>
      </w:r>
      <w:r w:rsidRPr="005362F2">
        <w:rPr>
          <w:rFonts w:ascii="Times New Roman" w:hAnsi="Times New Roman" w:cs="Times New Roman"/>
        </w:rPr>
        <w:t xml:space="preserve"> 2022.</w:t>
      </w:r>
    </w:p>
    <w:p w14:paraId="31782255" w14:textId="1D5DA40D" w:rsidR="00DA223A" w:rsidRDefault="00746846" w:rsidP="00746846">
      <w:pPr>
        <w:spacing w:line="257" w:lineRule="auto"/>
        <w:rPr>
          <w:rFonts w:ascii="Times New Roman" w:hAnsi="Times New Roman" w:cs="Times New Roman"/>
        </w:rPr>
      </w:pPr>
      <w:r w:rsidRPr="00746846">
        <w:rPr>
          <w:rFonts w:ascii="Times New Roman" w:hAnsi="Times New Roman" w:cs="Times New Roman"/>
        </w:rPr>
        <w:t xml:space="preserve">The ACMA received feedback from the </w:t>
      </w:r>
      <w:r w:rsidR="00DA223A">
        <w:rPr>
          <w:rFonts w:ascii="Times New Roman" w:hAnsi="Times New Roman" w:cs="Times New Roman"/>
        </w:rPr>
        <w:t xml:space="preserve">Department </w:t>
      </w:r>
      <w:r w:rsidR="00DA223A" w:rsidRPr="00EC4A42">
        <w:rPr>
          <w:rFonts w:ascii="Times New Roman" w:hAnsi="Times New Roman" w:cs="Times New Roman"/>
        </w:rPr>
        <w:t>advi</w:t>
      </w:r>
      <w:r w:rsidR="00EC4A42">
        <w:rPr>
          <w:rFonts w:ascii="Times New Roman" w:hAnsi="Times New Roman" w:cs="Times New Roman"/>
        </w:rPr>
        <w:t>sing</w:t>
      </w:r>
      <w:r w:rsidR="00DA223A">
        <w:rPr>
          <w:rFonts w:ascii="Times New Roman" w:hAnsi="Times New Roman" w:cs="Times New Roman"/>
        </w:rPr>
        <w:t xml:space="preserve"> that it supported the proposal.</w:t>
      </w:r>
    </w:p>
    <w:p w14:paraId="2C2102CF" w14:textId="31791AC4" w:rsidR="00B135CD" w:rsidRDefault="00855004" w:rsidP="00B135CD">
      <w:pPr>
        <w:spacing w:line="257" w:lineRule="auto"/>
        <w:rPr>
          <w:rFonts w:ascii="Times New Roman" w:hAnsi="Times New Roman" w:cs="Times New Roman"/>
        </w:rPr>
      </w:pPr>
      <w:r>
        <w:rPr>
          <w:rFonts w:ascii="Times New Roman" w:hAnsi="Times New Roman" w:cs="Times New Roman"/>
        </w:rPr>
        <w:t xml:space="preserve">The </w:t>
      </w:r>
      <w:r w:rsidRPr="00153A89">
        <w:rPr>
          <w:rFonts w:ascii="Times New Roman" w:hAnsi="Times New Roman" w:cs="Times New Roman"/>
        </w:rPr>
        <w:t>AGD</w:t>
      </w:r>
      <w:r>
        <w:rPr>
          <w:rFonts w:ascii="Times New Roman" w:hAnsi="Times New Roman" w:cs="Times New Roman"/>
        </w:rPr>
        <w:t xml:space="preserve"> also advised that it was generally comfortable with the proposed amendments </w:t>
      </w:r>
      <w:r w:rsidR="00551677">
        <w:rPr>
          <w:rFonts w:ascii="Times New Roman" w:hAnsi="Times New Roman" w:cs="Times New Roman"/>
        </w:rPr>
        <w:t xml:space="preserve">but </w:t>
      </w:r>
      <w:r w:rsidR="009E76FF">
        <w:rPr>
          <w:rFonts w:ascii="Times New Roman" w:hAnsi="Times New Roman" w:cs="Times New Roman"/>
        </w:rPr>
        <w:t xml:space="preserve">suggested the ACMA reconsider the suitability of listing some provisions in accordance with the Guide. </w:t>
      </w:r>
      <w:r w:rsidR="00B135CD">
        <w:rPr>
          <w:rFonts w:ascii="Times New Roman" w:hAnsi="Times New Roman" w:cs="Times New Roman"/>
        </w:rPr>
        <w:t xml:space="preserve">The ACMA reviewed provisions proposed for listing and formed the view that subsections 12(2) and 12(7) of the Customer ID Determination should not be listed, as contraventions of these subsections could involve subjective </w:t>
      </w:r>
      <w:r w:rsidR="00B135CD" w:rsidRPr="00D318EA">
        <w:rPr>
          <w:rFonts w:ascii="Times New Roman" w:hAnsi="Times New Roman" w:cs="Times New Roman"/>
        </w:rPr>
        <w:t xml:space="preserve">elements </w:t>
      </w:r>
      <w:r w:rsidR="00B135CD">
        <w:rPr>
          <w:rFonts w:ascii="Times New Roman" w:hAnsi="Times New Roman" w:cs="Times New Roman"/>
        </w:rPr>
        <w:t xml:space="preserve">and therefore </w:t>
      </w:r>
      <w:r w:rsidR="00746781">
        <w:rPr>
          <w:rFonts w:ascii="Times New Roman" w:hAnsi="Times New Roman" w:cs="Times New Roman"/>
        </w:rPr>
        <w:t xml:space="preserve">may </w:t>
      </w:r>
      <w:r w:rsidR="00B135CD">
        <w:rPr>
          <w:rFonts w:ascii="Times New Roman" w:hAnsi="Times New Roman" w:cs="Times New Roman"/>
        </w:rPr>
        <w:t>not be able to be readily determined on a factual, administrative basis.</w:t>
      </w:r>
    </w:p>
    <w:p w14:paraId="372C8B70" w14:textId="43E66600" w:rsidR="00855004" w:rsidRPr="00746846" w:rsidRDefault="00551677" w:rsidP="00746846">
      <w:pPr>
        <w:spacing w:line="257" w:lineRule="auto"/>
        <w:rPr>
          <w:rFonts w:ascii="Times New Roman" w:hAnsi="Times New Roman" w:cs="Times New Roman"/>
        </w:rPr>
      </w:pPr>
      <w:r>
        <w:rPr>
          <w:rFonts w:ascii="Times New Roman" w:hAnsi="Times New Roman" w:cs="Times New Roman"/>
        </w:rPr>
        <w:t xml:space="preserve">The </w:t>
      </w:r>
      <w:r w:rsidR="00855004">
        <w:rPr>
          <w:rFonts w:ascii="Times New Roman" w:hAnsi="Times New Roman" w:cs="Times New Roman"/>
        </w:rPr>
        <w:t xml:space="preserve">AGD also raised </w:t>
      </w:r>
      <w:proofErr w:type="gramStart"/>
      <w:r w:rsidR="00855004">
        <w:rPr>
          <w:rFonts w:ascii="Times New Roman" w:hAnsi="Times New Roman" w:cs="Times New Roman"/>
        </w:rPr>
        <w:t>a number of</w:t>
      </w:r>
      <w:proofErr w:type="gramEnd"/>
      <w:r w:rsidR="00855004">
        <w:rPr>
          <w:rFonts w:ascii="Times New Roman" w:hAnsi="Times New Roman" w:cs="Times New Roman"/>
        </w:rPr>
        <w:t xml:space="preserve"> other issues for consideration which were outside the scope of the instrument.</w:t>
      </w:r>
    </w:p>
    <w:p w14:paraId="2AFD2123" w14:textId="52536588" w:rsidR="00746846" w:rsidRPr="00746846" w:rsidRDefault="00746846" w:rsidP="00746846">
      <w:pPr>
        <w:spacing w:line="257" w:lineRule="auto"/>
        <w:rPr>
          <w:rFonts w:ascii="Times New Roman" w:hAnsi="Times New Roman" w:cs="Times New Roman"/>
        </w:rPr>
      </w:pPr>
      <w:r w:rsidRPr="00746846">
        <w:rPr>
          <w:rFonts w:ascii="Times New Roman" w:hAnsi="Times New Roman" w:cs="Times New Roman"/>
        </w:rPr>
        <w:t xml:space="preserve">The ACMA </w:t>
      </w:r>
      <w:r w:rsidR="00EC4A42">
        <w:rPr>
          <w:rFonts w:ascii="Times New Roman" w:hAnsi="Times New Roman" w:cs="Times New Roman"/>
        </w:rPr>
        <w:t xml:space="preserve">also </w:t>
      </w:r>
      <w:r w:rsidRPr="00746846">
        <w:rPr>
          <w:rFonts w:ascii="Times New Roman" w:hAnsi="Times New Roman" w:cs="Times New Roman"/>
        </w:rPr>
        <w:t xml:space="preserve">received feedback from the </w:t>
      </w:r>
      <w:r w:rsidRPr="00DA56C5">
        <w:rPr>
          <w:rFonts w:ascii="Times New Roman" w:hAnsi="Times New Roman" w:cs="Times New Roman"/>
        </w:rPr>
        <w:t>Australian Communications Consumer Action Network (</w:t>
      </w:r>
      <w:r w:rsidRPr="00DA56C5">
        <w:rPr>
          <w:rFonts w:ascii="Times New Roman" w:hAnsi="Times New Roman" w:cs="Times New Roman"/>
          <w:b/>
          <w:bCs/>
        </w:rPr>
        <w:t>ACCAN</w:t>
      </w:r>
      <w:r w:rsidRPr="00DA56C5">
        <w:rPr>
          <w:rFonts w:ascii="Times New Roman" w:hAnsi="Times New Roman" w:cs="Times New Roman"/>
        </w:rPr>
        <w:t>). ACCAN suppor</w:t>
      </w:r>
      <w:r w:rsidR="00EC4A42" w:rsidRPr="00DA56C5">
        <w:rPr>
          <w:rFonts w:ascii="Times New Roman" w:hAnsi="Times New Roman" w:cs="Times New Roman"/>
        </w:rPr>
        <w:t xml:space="preserve">ted the proposed amendment and </w:t>
      </w:r>
      <w:r w:rsidRPr="00DA56C5">
        <w:rPr>
          <w:rFonts w:ascii="Times New Roman" w:hAnsi="Times New Roman" w:cs="Times New Roman"/>
        </w:rPr>
        <w:t xml:space="preserve">raised </w:t>
      </w:r>
      <w:proofErr w:type="gramStart"/>
      <w:r w:rsidRPr="00DA56C5">
        <w:rPr>
          <w:rFonts w:ascii="Times New Roman" w:hAnsi="Times New Roman" w:cs="Times New Roman"/>
        </w:rPr>
        <w:t>a number of</w:t>
      </w:r>
      <w:proofErr w:type="gramEnd"/>
      <w:r w:rsidRPr="00DA56C5">
        <w:rPr>
          <w:rFonts w:ascii="Times New Roman" w:hAnsi="Times New Roman" w:cs="Times New Roman"/>
        </w:rPr>
        <w:t xml:space="preserve"> other issues for consideration</w:t>
      </w:r>
      <w:r w:rsidR="00FE18B2">
        <w:rPr>
          <w:rFonts w:ascii="Times New Roman" w:hAnsi="Times New Roman" w:cs="Times New Roman"/>
        </w:rPr>
        <w:t xml:space="preserve"> which were </w:t>
      </w:r>
      <w:r w:rsidR="00B82892" w:rsidRPr="00DA56C5">
        <w:rPr>
          <w:rFonts w:ascii="Times New Roman" w:hAnsi="Times New Roman" w:cs="Times New Roman"/>
        </w:rPr>
        <w:t xml:space="preserve">outside the scope of the </w:t>
      </w:r>
      <w:r w:rsidR="00FE18B2">
        <w:rPr>
          <w:rFonts w:ascii="Times New Roman" w:hAnsi="Times New Roman" w:cs="Times New Roman"/>
        </w:rPr>
        <w:t>i</w:t>
      </w:r>
      <w:r w:rsidR="00B82892" w:rsidRPr="00DA56C5">
        <w:rPr>
          <w:rFonts w:ascii="Times New Roman" w:hAnsi="Times New Roman" w:cs="Times New Roman"/>
        </w:rPr>
        <w:t>nstrument.</w:t>
      </w:r>
    </w:p>
    <w:p w14:paraId="2E01E108" w14:textId="77777777" w:rsidR="004C58B9" w:rsidRDefault="004C58B9" w:rsidP="00DA223A">
      <w:pPr>
        <w:keepNext/>
        <w:spacing w:line="257" w:lineRule="auto"/>
        <w:rPr>
          <w:rFonts w:ascii="Times New Roman" w:hAnsi="Times New Roman" w:cs="Times New Roman"/>
          <w:b/>
        </w:rPr>
      </w:pPr>
      <w:r>
        <w:rPr>
          <w:rFonts w:ascii="Times New Roman" w:hAnsi="Times New Roman" w:cs="Times New Roman"/>
          <w:b/>
        </w:rPr>
        <w:t>Regulatory impact assessment</w:t>
      </w:r>
    </w:p>
    <w:p w14:paraId="4E0DD542" w14:textId="1EE6BD41" w:rsidR="00746846" w:rsidRPr="00746846" w:rsidRDefault="00746846" w:rsidP="00746846">
      <w:pPr>
        <w:spacing w:line="257" w:lineRule="auto"/>
        <w:rPr>
          <w:rFonts w:ascii="Times New Roman" w:hAnsi="Times New Roman" w:cs="Times New Roman"/>
        </w:rPr>
      </w:pPr>
      <w:r w:rsidRPr="00746846">
        <w:rPr>
          <w:rFonts w:ascii="Times New Roman" w:hAnsi="Times New Roman" w:cs="Times New Roman"/>
        </w:rPr>
        <w:t>The Office of Best Practice Regulation (</w:t>
      </w:r>
      <w:r w:rsidRPr="00746846">
        <w:rPr>
          <w:rFonts w:ascii="Times New Roman" w:hAnsi="Times New Roman" w:cs="Times New Roman"/>
          <w:b/>
        </w:rPr>
        <w:t>OBPR</w:t>
      </w:r>
      <w:r w:rsidRPr="00746846">
        <w:rPr>
          <w:rFonts w:ascii="Times New Roman" w:hAnsi="Times New Roman" w:cs="Times New Roman"/>
        </w:rPr>
        <w:t xml:space="preserve">) has considered the matter and formed an opinion that the changes arising from the </w:t>
      </w:r>
      <w:r w:rsidR="00FE18B2">
        <w:rPr>
          <w:rFonts w:ascii="Times New Roman" w:hAnsi="Times New Roman" w:cs="Times New Roman"/>
        </w:rPr>
        <w:t>i</w:t>
      </w:r>
      <w:r w:rsidR="002F1400">
        <w:rPr>
          <w:rFonts w:ascii="Times New Roman" w:hAnsi="Times New Roman" w:cs="Times New Roman"/>
        </w:rPr>
        <w:t>nstrument</w:t>
      </w:r>
      <w:r w:rsidR="002F1400" w:rsidRPr="00746846">
        <w:rPr>
          <w:rFonts w:ascii="Times New Roman" w:hAnsi="Times New Roman" w:cs="Times New Roman"/>
        </w:rPr>
        <w:t xml:space="preserve"> </w:t>
      </w:r>
      <w:r w:rsidRPr="00746846">
        <w:rPr>
          <w:rFonts w:ascii="Times New Roman" w:hAnsi="Times New Roman" w:cs="Times New Roman"/>
        </w:rPr>
        <w:t xml:space="preserve">are </w:t>
      </w:r>
      <w:r w:rsidR="00061C4C">
        <w:rPr>
          <w:rFonts w:ascii="Times New Roman" w:hAnsi="Times New Roman" w:cs="Times New Roman"/>
        </w:rPr>
        <w:t>unlikely to have more than a minor regulatory impact and therefore no</w:t>
      </w:r>
      <w:r w:rsidRPr="00746846">
        <w:rPr>
          <w:rFonts w:ascii="Times New Roman" w:hAnsi="Times New Roman" w:cs="Times New Roman"/>
        </w:rPr>
        <w:t xml:space="preserve"> further regulatory impact analysis is required. </w:t>
      </w:r>
    </w:p>
    <w:p w14:paraId="1922BA9D" w14:textId="2A87D31A" w:rsidR="004C58B9" w:rsidRPr="00746846" w:rsidRDefault="00746846" w:rsidP="00746846">
      <w:pPr>
        <w:spacing w:line="257" w:lineRule="auto"/>
        <w:rPr>
          <w:rFonts w:ascii="Times New Roman" w:hAnsi="Times New Roman" w:cs="Times New Roman"/>
        </w:rPr>
      </w:pPr>
      <w:r w:rsidRPr="00746846">
        <w:rPr>
          <w:rFonts w:ascii="Times New Roman" w:hAnsi="Times New Roman" w:cs="Times New Roman"/>
        </w:rPr>
        <w:t xml:space="preserve">The OBPR reference </w:t>
      </w:r>
      <w:r w:rsidRPr="00061C4C">
        <w:rPr>
          <w:rFonts w:ascii="Times New Roman" w:hAnsi="Times New Roman" w:cs="Times New Roman"/>
        </w:rPr>
        <w:t xml:space="preserve">number is OBPR </w:t>
      </w:r>
      <w:r w:rsidR="00061C4C" w:rsidRPr="00061C4C">
        <w:rPr>
          <w:rFonts w:ascii="Times New Roman" w:hAnsi="Times New Roman" w:cs="Times New Roman"/>
        </w:rPr>
        <w:t>22</w:t>
      </w:r>
      <w:r w:rsidRPr="00061C4C">
        <w:rPr>
          <w:rFonts w:ascii="Times New Roman" w:hAnsi="Times New Roman" w:cs="Times New Roman"/>
        </w:rPr>
        <w:t>-</w:t>
      </w:r>
      <w:r w:rsidR="00061C4C" w:rsidRPr="00061C4C">
        <w:rPr>
          <w:rFonts w:ascii="Times New Roman" w:hAnsi="Times New Roman" w:cs="Times New Roman"/>
        </w:rPr>
        <w:t>02328</w:t>
      </w:r>
      <w:r w:rsidRPr="00061C4C">
        <w:rPr>
          <w:rFonts w:ascii="Times New Roman" w:hAnsi="Times New Roman" w:cs="Times New Roman"/>
        </w:rPr>
        <w:t>.</w:t>
      </w:r>
      <w:r w:rsidR="004C58B9" w:rsidRPr="00746846">
        <w:rPr>
          <w:rFonts w:ascii="Times New Roman" w:hAnsi="Times New Roman" w:cs="Times New Roman"/>
        </w:rPr>
        <w:t xml:space="preserve">  </w:t>
      </w:r>
    </w:p>
    <w:p w14:paraId="645DD02E" w14:textId="7777777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641E2C44"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w:t>
      </w:r>
      <w:r w:rsidR="00FE18B2">
        <w:rPr>
          <w:rFonts w:ascii="Times New Roman" w:hAnsi="Times New Roman" w:cs="Times New Roman"/>
        </w:rPr>
        <w:t xml:space="preserve"> with human rights</w:t>
      </w:r>
      <w:r>
        <w:rPr>
          <w:rFonts w:ascii="Times New Roman" w:hAnsi="Times New Roman" w:cs="Times New Roman"/>
        </w:rPr>
        <w:t xml:space="preserve"> 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152B8888" w:rsidR="004C58B9" w:rsidRDefault="004C58B9" w:rsidP="004C58B9">
      <w:pPr>
        <w:rPr>
          <w:rFonts w:ascii="Times New Roman" w:hAnsi="Times New Roman" w:cs="Times New Roman"/>
          <w:b/>
          <w:i/>
        </w:rPr>
      </w:pPr>
      <w:r>
        <w:rPr>
          <w:rFonts w:ascii="Times New Roman" w:hAnsi="Times New Roman" w:cs="Times New Roman"/>
          <w:b/>
          <w:i/>
        </w:rPr>
        <w:t xml:space="preserve">Overview of the </w:t>
      </w:r>
      <w:r w:rsidR="00FE18B2">
        <w:rPr>
          <w:rFonts w:ascii="Times New Roman" w:hAnsi="Times New Roman" w:cs="Times New Roman"/>
          <w:b/>
          <w:i/>
        </w:rPr>
        <w:t>i</w:t>
      </w:r>
      <w:r>
        <w:rPr>
          <w:rFonts w:ascii="Times New Roman" w:hAnsi="Times New Roman" w:cs="Times New Roman"/>
          <w:b/>
          <w:i/>
        </w:rPr>
        <w:t>nstrument</w:t>
      </w:r>
    </w:p>
    <w:p w14:paraId="1E493087" w14:textId="1B982691" w:rsidR="005450E9" w:rsidRPr="005450E9" w:rsidRDefault="00BA602A" w:rsidP="005450E9">
      <w:pPr>
        <w:spacing w:line="257" w:lineRule="auto"/>
        <w:rPr>
          <w:rFonts w:ascii="Times New Roman" w:hAnsi="Times New Roman" w:cs="Times New Roman"/>
        </w:rPr>
      </w:pPr>
      <w:r w:rsidRPr="005450E9">
        <w:rPr>
          <w:rFonts w:ascii="Times New Roman" w:hAnsi="Times New Roman" w:cs="Times New Roman"/>
        </w:rPr>
        <w:t xml:space="preserve">The </w:t>
      </w:r>
      <w:r w:rsidRPr="005450E9">
        <w:rPr>
          <w:rFonts w:ascii="Times New Roman" w:hAnsi="Times New Roman" w:cs="Times New Roman"/>
          <w:i/>
          <w:iCs/>
        </w:rPr>
        <w:t>Telecommunications (Listed Infringement Notice Provisions)</w:t>
      </w:r>
      <w:r w:rsidR="005450E9" w:rsidRPr="005450E9">
        <w:rPr>
          <w:rFonts w:ascii="Times New Roman" w:hAnsi="Times New Roman" w:cs="Times New Roman"/>
          <w:i/>
          <w:iCs/>
        </w:rPr>
        <w:t xml:space="preserve"> </w:t>
      </w:r>
      <w:r w:rsidRPr="005450E9">
        <w:rPr>
          <w:rFonts w:ascii="Times New Roman" w:hAnsi="Times New Roman" w:cs="Times New Roman"/>
          <w:i/>
          <w:iCs/>
        </w:rPr>
        <w:t>Amendment Declaration 2022</w:t>
      </w:r>
      <w:r w:rsidR="007C438D">
        <w:rPr>
          <w:rFonts w:ascii="Times New Roman" w:hAnsi="Times New Roman" w:cs="Times New Roman"/>
          <w:i/>
          <w:iCs/>
        </w:rPr>
        <w:t xml:space="preserve"> (No.</w:t>
      </w:r>
      <w:r w:rsidR="00D30F7F">
        <w:rPr>
          <w:rFonts w:ascii="Times New Roman" w:hAnsi="Times New Roman" w:cs="Times New Roman"/>
          <w:i/>
          <w:iCs/>
        </w:rPr>
        <w:t> </w:t>
      </w:r>
      <w:r w:rsidR="007C438D">
        <w:rPr>
          <w:rFonts w:ascii="Times New Roman" w:hAnsi="Times New Roman" w:cs="Times New Roman"/>
          <w:i/>
          <w:iCs/>
        </w:rPr>
        <w:t>1)</w:t>
      </w:r>
      <w:r w:rsidRPr="005450E9">
        <w:rPr>
          <w:rFonts w:ascii="Times New Roman" w:hAnsi="Times New Roman" w:cs="Times New Roman"/>
          <w:i/>
          <w:iCs/>
        </w:rPr>
        <w:t xml:space="preserve"> </w:t>
      </w:r>
      <w:r w:rsidRPr="005450E9">
        <w:rPr>
          <w:rFonts w:ascii="Times New Roman" w:hAnsi="Times New Roman" w:cs="Times New Roman"/>
        </w:rPr>
        <w:t>(</w:t>
      </w:r>
      <w:r w:rsidRPr="005450E9">
        <w:rPr>
          <w:rFonts w:ascii="Times New Roman" w:hAnsi="Times New Roman" w:cs="Times New Roman"/>
          <w:b/>
          <w:bCs/>
        </w:rPr>
        <w:t xml:space="preserve">the </w:t>
      </w:r>
      <w:r w:rsidR="00FE18B2">
        <w:rPr>
          <w:rFonts w:ascii="Times New Roman" w:hAnsi="Times New Roman" w:cs="Times New Roman"/>
          <w:b/>
          <w:bCs/>
        </w:rPr>
        <w:t>i</w:t>
      </w:r>
      <w:r w:rsidR="002F1400">
        <w:rPr>
          <w:rFonts w:ascii="Times New Roman" w:hAnsi="Times New Roman" w:cs="Times New Roman"/>
          <w:b/>
          <w:bCs/>
        </w:rPr>
        <w:t>nstrument</w:t>
      </w:r>
      <w:r w:rsidRPr="005450E9">
        <w:rPr>
          <w:rFonts w:ascii="Times New Roman" w:hAnsi="Times New Roman" w:cs="Times New Roman"/>
        </w:rPr>
        <w:t>) is made under subsection 572</w:t>
      </w:r>
      <w:proofErr w:type="gramStart"/>
      <w:r w:rsidRPr="005450E9">
        <w:rPr>
          <w:rFonts w:ascii="Times New Roman" w:hAnsi="Times New Roman" w:cs="Times New Roman"/>
        </w:rPr>
        <w:t>E(</w:t>
      </w:r>
      <w:proofErr w:type="gramEnd"/>
      <w:r w:rsidRPr="005450E9">
        <w:rPr>
          <w:rFonts w:ascii="Times New Roman" w:hAnsi="Times New Roman" w:cs="Times New Roman"/>
        </w:rPr>
        <w:t xml:space="preserve">7) of the </w:t>
      </w:r>
      <w:r w:rsidRPr="005450E9">
        <w:rPr>
          <w:rFonts w:ascii="Times New Roman" w:hAnsi="Times New Roman" w:cs="Times New Roman"/>
          <w:i/>
          <w:iCs/>
        </w:rPr>
        <w:t xml:space="preserve">Telecommunications Act 1997 </w:t>
      </w:r>
      <w:r w:rsidRPr="005450E9">
        <w:rPr>
          <w:rFonts w:ascii="Times New Roman" w:hAnsi="Times New Roman" w:cs="Times New Roman"/>
        </w:rPr>
        <w:t>(</w:t>
      </w:r>
      <w:r w:rsidRPr="005450E9">
        <w:rPr>
          <w:rFonts w:ascii="Times New Roman" w:hAnsi="Times New Roman" w:cs="Times New Roman"/>
          <w:b/>
          <w:bCs/>
        </w:rPr>
        <w:t>the Act</w:t>
      </w:r>
      <w:r w:rsidRPr="005450E9">
        <w:rPr>
          <w:rFonts w:ascii="Times New Roman" w:hAnsi="Times New Roman" w:cs="Times New Roman"/>
        </w:rPr>
        <w:t>).</w:t>
      </w:r>
    </w:p>
    <w:p w14:paraId="590F6277" w14:textId="237F3AA7" w:rsidR="005450E9" w:rsidRDefault="005450E9" w:rsidP="005450E9">
      <w:pPr>
        <w:spacing w:line="257" w:lineRule="auto"/>
        <w:rPr>
          <w:rFonts w:ascii="Times New Roman" w:hAnsi="Times New Roman" w:cs="Times New Roman"/>
          <w:color w:val="000000"/>
        </w:rPr>
      </w:pPr>
      <w:r w:rsidRPr="005450E9">
        <w:rPr>
          <w:rFonts w:ascii="Times New Roman" w:hAnsi="Times New Roman" w:cs="Times New Roman"/>
          <w:color w:val="000000"/>
        </w:rPr>
        <w:lastRenderedPageBreak/>
        <w:t>Section 572E allows the ACMA to give an infringement notice in relation to a contravention of a civil penalty provision. Sections 68 and 101 of the Act require carriers and carriage service providers to comply with licence conditions and service provider rules, respectively, and include civil penalty provisions that apply to a carrier or carriage service provider that contravenes another provision of the Act. Subsections 572</w:t>
      </w:r>
      <w:proofErr w:type="gramStart"/>
      <w:r w:rsidRPr="005450E9">
        <w:rPr>
          <w:rFonts w:ascii="Times New Roman" w:hAnsi="Times New Roman" w:cs="Times New Roman"/>
          <w:color w:val="000000"/>
        </w:rPr>
        <w:t>E(</w:t>
      </w:r>
      <w:proofErr w:type="gramEnd"/>
      <w:r w:rsidRPr="005450E9">
        <w:rPr>
          <w:rFonts w:ascii="Times New Roman" w:hAnsi="Times New Roman" w:cs="Times New Roman"/>
          <w:color w:val="000000"/>
        </w:rPr>
        <w:t>5) and (6) provide that an infringement notice may only be given in relation to a contravention of section 68 or 101 of the Act if the other provision contravened is listed in a legislative instrument made under subsection 572E(7) of the Act, and has been so listed for at least three months before the alleged contravening conduct takes place.</w:t>
      </w:r>
    </w:p>
    <w:p w14:paraId="02A37295" w14:textId="6D8E9D44" w:rsidR="005450E9" w:rsidRPr="005450E9" w:rsidRDefault="005450E9" w:rsidP="005450E9">
      <w:pPr>
        <w:spacing w:line="257" w:lineRule="auto"/>
        <w:rPr>
          <w:rFonts w:ascii="Times New Roman" w:hAnsi="Times New Roman" w:cs="Times New Roman"/>
          <w:color w:val="000000"/>
        </w:rPr>
      </w:pPr>
      <w:r>
        <w:rPr>
          <w:rFonts w:ascii="Times New Roman" w:hAnsi="Times New Roman" w:cs="Times New Roman"/>
          <w:color w:val="000000"/>
        </w:rPr>
        <w:t xml:space="preserve">The purpose of the </w:t>
      </w:r>
      <w:r w:rsidR="00FE18B2">
        <w:rPr>
          <w:rFonts w:ascii="Times New Roman" w:hAnsi="Times New Roman" w:cs="Times New Roman"/>
          <w:color w:val="000000"/>
        </w:rPr>
        <w:t>i</w:t>
      </w:r>
      <w:r w:rsidR="002F1400">
        <w:rPr>
          <w:rFonts w:ascii="Times New Roman" w:hAnsi="Times New Roman" w:cs="Times New Roman"/>
          <w:color w:val="000000"/>
        </w:rPr>
        <w:t xml:space="preserve">nstrument </w:t>
      </w:r>
      <w:r>
        <w:rPr>
          <w:rFonts w:ascii="Times New Roman" w:hAnsi="Times New Roman" w:cs="Times New Roman"/>
          <w:color w:val="000000"/>
        </w:rPr>
        <w:t xml:space="preserve">is to </w:t>
      </w:r>
      <w:r w:rsidR="00572738">
        <w:rPr>
          <w:rFonts w:ascii="Times New Roman" w:hAnsi="Times New Roman" w:cs="Times New Roman"/>
          <w:color w:val="000000"/>
        </w:rPr>
        <w:t xml:space="preserve">declare </w:t>
      </w:r>
      <w:r w:rsidR="00E21C4A">
        <w:rPr>
          <w:rFonts w:ascii="Times New Roman" w:hAnsi="Times New Roman" w:cs="Times New Roman"/>
          <w:color w:val="000000"/>
        </w:rPr>
        <w:t xml:space="preserve">provisions from the </w:t>
      </w:r>
      <w:r w:rsidR="00E21C4A" w:rsidRPr="00E21C4A">
        <w:rPr>
          <w:rFonts w:ascii="Times New Roman" w:hAnsi="Times New Roman" w:cs="Times New Roman"/>
          <w:i/>
          <w:iCs/>
          <w:color w:val="000000"/>
        </w:rPr>
        <w:t>Telecommunications Service Provider (</w:t>
      </w:r>
      <w:r w:rsidR="00E21C4A" w:rsidRPr="00E21C4A">
        <w:rPr>
          <w:rFonts w:ascii="Times New Roman" w:hAnsi="Times New Roman" w:cs="Times New Roman"/>
          <w:i/>
          <w:iCs/>
        </w:rPr>
        <w:t>Customer Identity Authentication) Determination 2022</w:t>
      </w:r>
      <w:r w:rsidR="00E21C4A">
        <w:rPr>
          <w:rFonts w:ascii="Times New Roman" w:hAnsi="Times New Roman" w:cs="Times New Roman"/>
          <w:i/>
          <w:iCs/>
        </w:rPr>
        <w:t xml:space="preserve"> </w:t>
      </w:r>
      <w:r w:rsidR="00E21C4A">
        <w:rPr>
          <w:rFonts w:ascii="Times New Roman" w:hAnsi="Times New Roman" w:cs="Times New Roman"/>
        </w:rPr>
        <w:t xml:space="preserve">and </w:t>
      </w:r>
      <w:r w:rsidR="00E21C4A" w:rsidRPr="00E21C4A">
        <w:rPr>
          <w:rFonts w:ascii="Times New Roman" w:hAnsi="Times New Roman" w:cs="Times New Roman"/>
          <w:color w:val="000000"/>
        </w:rPr>
        <w:t>the</w:t>
      </w:r>
      <w:r w:rsidR="00E21C4A" w:rsidRPr="00E21C4A">
        <w:rPr>
          <w:rFonts w:ascii="Times New Roman" w:hAnsi="Times New Roman" w:cs="Times New Roman"/>
          <w:i/>
          <w:iCs/>
          <w:color w:val="000000"/>
        </w:rPr>
        <w:t xml:space="preserve"> Telecommunications Service Provider (International Mobile Roaming) Determination 2019</w:t>
      </w:r>
      <w:r>
        <w:rPr>
          <w:rFonts w:ascii="Times New Roman" w:hAnsi="Times New Roman" w:cs="Times New Roman"/>
          <w:color w:val="000000"/>
        </w:rPr>
        <w:t xml:space="preserve"> as ‘listed infringement notice provisions’ for the purposes of section 572E of the Act, thereby enabling the ACMA to give an infringement notice for a contravention of those provisions</w:t>
      </w:r>
      <w:r w:rsidRPr="00E21C4A">
        <w:rPr>
          <w:rFonts w:ascii="Times New Roman" w:hAnsi="Times New Roman" w:cs="Times New Roman"/>
          <w:color w:val="000000"/>
        </w:rPr>
        <w:t xml:space="preserve">. </w:t>
      </w:r>
      <w:r w:rsidRPr="00E21C4A">
        <w:rPr>
          <w:rFonts w:ascii="Times New Roman" w:hAnsi="Times New Roman" w:cs="Times New Roman"/>
        </w:rPr>
        <w:t>The giving of an infringement notice is an alternative to instituting civil penalty provisions in the Federal Court. There is no requirement that a person pay an infringement notice – rather, payment of an infringement notice means that the matter cannot be pursued in the Federal Court. Having a range of enforcement tools available, particularly ones that may avoid the need for lengthy and expensive court proceedings, is considered desirable.</w:t>
      </w:r>
    </w:p>
    <w:p w14:paraId="62B66CB7"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7D67D269" w14:textId="4CF25E33" w:rsidR="00572738" w:rsidRDefault="004C58B9" w:rsidP="004C58B9">
      <w:pPr>
        <w:rPr>
          <w:rFonts w:ascii="Times New Roman" w:hAnsi="Times New Roman" w:cs="Times New Roman"/>
        </w:rPr>
      </w:pPr>
      <w:r>
        <w:rPr>
          <w:rFonts w:ascii="Times New Roman" w:hAnsi="Times New Roman" w:cs="Times New Roman"/>
        </w:rPr>
        <w:t xml:space="preserve">The ACMA has assessed whether the </w:t>
      </w:r>
      <w:r w:rsidR="00FE18B2">
        <w:rPr>
          <w:rFonts w:ascii="Times New Roman" w:hAnsi="Times New Roman" w:cs="Times New Roman"/>
        </w:rPr>
        <w:t>i</w:t>
      </w:r>
      <w:r>
        <w:rPr>
          <w:rFonts w:ascii="Times New Roman" w:hAnsi="Times New Roman" w:cs="Times New Roman"/>
        </w:rPr>
        <w:t>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r w:rsidR="00572738" w:rsidRPr="00572738">
        <w:rPr>
          <w:rFonts w:ascii="Times New Roman" w:hAnsi="Times New Roman" w:cs="Times New Roman"/>
        </w:rPr>
        <w:t xml:space="preserve">Having considered the likely impact of the </w:t>
      </w:r>
      <w:r w:rsidR="00FE18B2">
        <w:rPr>
          <w:rFonts w:ascii="Times New Roman" w:hAnsi="Times New Roman" w:cs="Times New Roman"/>
        </w:rPr>
        <w:t>i</w:t>
      </w:r>
      <w:r w:rsidR="00572738" w:rsidRPr="00572738">
        <w:rPr>
          <w:rFonts w:ascii="Times New Roman" w:hAnsi="Times New Roman" w:cs="Times New Roman"/>
        </w:rPr>
        <w:t xml:space="preserve">nstrument and the nature of the applicable rights and freedoms, the ACMA has formed the view that the </w:t>
      </w:r>
      <w:r w:rsidR="00FE18B2">
        <w:rPr>
          <w:rFonts w:ascii="Times New Roman" w:hAnsi="Times New Roman" w:cs="Times New Roman"/>
        </w:rPr>
        <w:t>i</w:t>
      </w:r>
      <w:r w:rsidR="00572738" w:rsidRPr="00572738">
        <w:rPr>
          <w:rFonts w:ascii="Times New Roman" w:hAnsi="Times New Roman" w:cs="Times New Roman"/>
        </w:rPr>
        <w:t>nstrument does not engage any of th</w:t>
      </w:r>
      <w:r w:rsidR="001F7DFD">
        <w:rPr>
          <w:rFonts w:ascii="Times New Roman" w:hAnsi="Times New Roman" w:cs="Times New Roman"/>
        </w:rPr>
        <w:t>e applicable</w:t>
      </w:r>
      <w:r w:rsidR="00572738" w:rsidRPr="00572738">
        <w:rPr>
          <w:rFonts w:ascii="Times New Roman" w:hAnsi="Times New Roman" w:cs="Times New Roman"/>
        </w:rPr>
        <w:t xml:space="preserve"> rights or freedoms. </w:t>
      </w:r>
    </w:p>
    <w:p w14:paraId="76A7876C" w14:textId="6C07AC3F"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7AE0BA10" w:rsidR="004C58B9" w:rsidRDefault="004C58B9" w:rsidP="004C58B9">
      <w:pPr>
        <w:rPr>
          <w:rFonts w:ascii="Times New Roman" w:hAnsi="Times New Roman" w:cs="Times New Roman"/>
        </w:rPr>
      </w:pPr>
      <w:r>
        <w:rPr>
          <w:rFonts w:ascii="Times New Roman" w:hAnsi="Times New Roman" w:cs="Times New Roman"/>
        </w:rPr>
        <w:t xml:space="preserve">The </w:t>
      </w:r>
      <w:r w:rsidR="00FE18B2">
        <w:rPr>
          <w:rFonts w:ascii="Times New Roman" w:hAnsi="Times New Roman" w:cs="Times New Roman"/>
        </w:rPr>
        <w:t>i</w:t>
      </w:r>
      <w:r>
        <w:rPr>
          <w:rFonts w:ascii="Times New Roman" w:hAnsi="Times New Roman" w:cs="Times New Roman"/>
        </w:rPr>
        <w:t>nstrument is compatible with human rights as it does not raise any human rights issues.</w:t>
      </w: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077CCB6F"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6636C7C9" w14:textId="77777777" w:rsidR="003D4895" w:rsidRDefault="004C58B9" w:rsidP="003D4895">
      <w:pPr>
        <w:jc w:val="center"/>
        <w:rPr>
          <w:rFonts w:ascii="Times New Roman" w:hAnsi="Times New Roman" w:cs="Times New Roman"/>
          <w:b/>
          <w:i/>
        </w:rPr>
      </w:pPr>
      <w:r>
        <w:rPr>
          <w:rFonts w:ascii="Times New Roman" w:hAnsi="Times New Roman" w:cs="Times New Roman"/>
          <w:b/>
          <w:sz w:val="28"/>
          <w:szCs w:val="28"/>
        </w:rPr>
        <w:t xml:space="preserve">Notes to the </w:t>
      </w:r>
      <w:r w:rsidR="003D4895" w:rsidRPr="0065284A">
        <w:rPr>
          <w:rFonts w:ascii="Times New Roman" w:hAnsi="Times New Roman" w:cs="Times New Roman"/>
          <w:b/>
          <w:i/>
          <w:iCs/>
          <w:sz w:val="28"/>
          <w:szCs w:val="28"/>
        </w:rPr>
        <w:t>Telecommunications (Listed Infringement Notice Provisions) Amendment Declaration 2022 (No. 1)</w:t>
      </w:r>
      <w:r w:rsidR="003D4895">
        <w:rPr>
          <w:rFonts w:ascii="Times New Roman" w:hAnsi="Times New Roman" w:cs="Times New Roman"/>
          <w:b/>
          <w:i/>
        </w:rPr>
        <w:t xml:space="preserve"> </w:t>
      </w:r>
    </w:p>
    <w:p w14:paraId="6A976F35" w14:textId="1C093100" w:rsidR="004C58B9" w:rsidRDefault="004C58B9" w:rsidP="004C58B9">
      <w:pPr>
        <w:rPr>
          <w:rFonts w:ascii="Times New Roman" w:hAnsi="Times New Roman" w:cs="Times New Roman"/>
          <w:b/>
        </w:rPr>
      </w:pPr>
      <w:r>
        <w:rPr>
          <w:rFonts w:ascii="Times New Roman" w:hAnsi="Times New Roman" w:cs="Times New Roman"/>
          <w:b/>
        </w:rPr>
        <w:t>Section 1</w:t>
      </w:r>
      <w:r w:rsidR="00287ACE">
        <w:rPr>
          <w:rFonts w:ascii="Times New Roman" w:hAnsi="Times New Roman" w:cs="Times New Roman"/>
          <w:b/>
        </w:rPr>
        <w:t xml:space="preserve"> - </w:t>
      </w:r>
      <w:r>
        <w:rPr>
          <w:rFonts w:ascii="Times New Roman" w:hAnsi="Times New Roman" w:cs="Times New Roman"/>
          <w:b/>
        </w:rPr>
        <w:t>Name</w:t>
      </w:r>
    </w:p>
    <w:p w14:paraId="4E9236AB" w14:textId="0E049863" w:rsidR="004C58B9" w:rsidRPr="003D4895" w:rsidRDefault="004C58B9" w:rsidP="004C58B9">
      <w:pPr>
        <w:rPr>
          <w:rFonts w:ascii="Times New Roman" w:hAnsi="Times New Roman" w:cs="Times New Roman"/>
          <w:b/>
          <w:i/>
        </w:rPr>
      </w:pPr>
      <w:r>
        <w:rPr>
          <w:rFonts w:ascii="Times New Roman" w:hAnsi="Times New Roman" w:cs="Times New Roman"/>
        </w:rPr>
        <w:t xml:space="preserve">This section provides for the </w:t>
      </w:r>
      <w:r w:rsidR="00EE4F9E">
        <w:rPr>
          <w:rFonts w:ascii="Times New Roman" w:hAnsi="Times New Roman" w:cs="Times New Roman"/>
        </w:rPr>
        <w:t>i</w:t>
      </w:r>
      <w:r>
        <w:rPr>
          <w:rFonts w:ascii="Times New Roman" w:hAnsi="Times New Roman" w:cs="Times New Roman"/>
        </w:rPr>
        <w:t xml:space="preserve">nstrument to be cited as the </w:t>
      </w:r>
      <w:r w:rsidR="003D4895" w:rsidRPr="003D4895">
        <w:rPr>
          <w:rFonts w:ascii="Times New Roman" w:hAnsi="Times New Roman" w:cs="Times New Roman"/>
          <w:i/>
          <w:iCs/>
        </w:rPr>
        <w:t>Telecommunications (Listed Infringement</w:t>
      </w:r>
      <w:r w:rsidR="00287ACE">
        <w:rPr>
          <w:rFonts w:ascii="Times New Roman" w:hAnsi="Times New Roman" w:cs="Times New Roman"/>
          <w:i/>
          <w:iCs/>
        </w:rPr>
        <w:t xml:space="preserve"> </w:t>
      </w:r>
      <w:r w:rsidR="003D4895" w:rsidRPr="003D4895">
        <w:rPr>
          <w:rFonts w:ascii="Times New Roman" w:hAnsi="Times New Roman" w:cs="Times New Roman"/>
          <w:i/>
          <w:iCs/>
        </w:rPr>
        <w:t>Notice Provisions) Amendment Declaration 2022 (No. 1)</w:t>
      </w:r>
      <w:r w:rsidR="003D4895">
        <w:rPr>
          <w:rFonts w:ascii="Times New Roman" w:hAnsi="Times New Roman" w:cs="Times New Roman"/>
          <w:b/>
          <w:i/>
        </w:rPr>
        <w:t xml:space="preserve"> </w:t>
      </w:r>
    </w:p>
    <w:p w14:paraId="5A4825F8" w14:textId="1E4A35BE" w:rsidR="004C58B9" w:rsidRDefault="004C58B9" w:rsidP="004C58B9">
      <w:pPr>
        <w:rPr>
          <w:rFonts w:ascii="Times New Roman" w:hAnsi="Times New Roman" w:cs="Times New Roman"/>
          <w:b/>
        </w:rPr>
      </w:pPr>
      <w:r>
        <w:rPr>
          <w:rFonts w:ascii="Times New Roman" w:hAnsi="Times New Roman" w:cs="Times New Roman"/>
          <w:b/>
        </w:rPr>
        <w:t>Section 2</w:t>
      </w:r>
      <w:r w:rsidR="00287ACE">
        <w:rPr>
          <w:rFonts w:ascii="Times New Roman" w:hAnsi="Times New Roman" w:cs="Times New Roman"/>
          <w:b/>
        </w:rPr>
        <w:t xml:space="preserve"> - </w:t>
      </w:r>
      <w:r>
        <w:rPr>
          <w:rFonts w:ascii="Times New Roman" w:hAnsi="Times New Roman" w:cs="Times New Roman"/>
          <w:b/>
        </w:rPr>
        <w:t>Commencement</w:t>
      </w:r>
    </w:p>
    <w:p w14:paraId="1CE591DC" w14:textId="6156D6DE" w:rsidR="004C58B9" w:rsidRDefault="004C58B9" w:rsidP="004C58B9">
      <w:pPr>
        <w:rPr>
          <w:rFonts w:ascii="Times New Roman" w:hAnsi="Times New Roman" w:cs="Times New Roman"/>
        </w:rPr>
      </w:pPr>
      <w:r>
        <w:rPr>
          <w:rFonts w:ascii="Times New Roman" w:hAnsi="Times New Roman" w:cs="Times New Roman"/>
        </w:rPr>
        <w:t xml:space="preserve">This section provides for the </w:t>
      </w:r>
      <w:r w:rsidR="00EE4F9E">
        <w:rPr>
          <w:rFonts w:ascii="Times New Roman" w:hAnsi="Times New Roman" w:cs="Times New Roman"/>
        </w:rPr>
        <w:t>i</w:t>
      </w:r>
      <w:r>
        <w:rPr>
          <w:rFonts w:ascii="Times New Roman" w:hAnsi="Times New Roman" w:cs="Times New Roman"/>
        </w:rPr>
        <w:t xml:space="preserve">nstrument to commence at the start of the day after the day it is registered on the Federal Register of Legislation.  </w:t>
      </w:r>
    </w:p>
    <w:p w14:paraId="2E195494" w14:textId="77777777" w:rsidR="004C58B9" w:rsidRDefault="004C58B9" w:rsidP="004C58B9">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3" w:history="1">
        <w:r>
          <w:rPr>
            <w:rStyle w:val="Hyperlink"/>
            <w:rFonts w:ascii="Times New Roman" w:hAnsi="Times New Roman" w:cs="Times New Roman"/>
          </w:rPr>
          <w:t>www.legislation.gov.au</w:t>
        </w:r>
      </w:hyperlink>
      <w:r>
        <w:rPr>
          <w:rFonts w:ascii="Times New Roman" w:hAnsi="Times New Roman" w:cs="Times New Roman"/>
        </w:rPr>
        <w:t>.</w:t>
      </w:r>
    </w:p>
    <w:p w14:paraId="1CCE7953" w14:textId="68384213" w:rsidR="004C58B9" w:rsidRDefault="004C58B9" w:rsidP="004C58B9">
      <w:pPr>
        <w:rPr>
          <w:rFonts w:ascii="Times New Roman" w:hAnsi="Times New Roman" w:cs="Times New Roman"/>
          <w:b/>
        </w:rPr>
      </w:pPr>
      <w:r>
        <w:rPr>
          <w:rFonts w:ascii="Times New Roman" w:hAnsi="Times New Roman" w:cs="Times New Roman"/>
          <w:b/>
        </w:rPr>
        <w:t>Section 3</w:t>
      </w:r>
      <w:r w:rsidR="00287ACE">
        <w:rPr>
          <w:rFonts w:ascii="Times New Roman" w:hAnsi="Times New Roman" w:cs="Times New Roman"/>
          <w:b/>
        </w:rPr>
        <w:t xml:space="preserve"> - </w:t>
      </w:r>
      <w:r>
        <w:rPr>
          <w:rFonts w:ascii="Times New Roman" w:hAnsi="Times New Roman" w:cs="Times New Roman"/>
          <w:b/>
        </w:rPr>
        <w:t>Authority</w:t>
      </w:r>
    </w:p>
    <w:p w14:paraId="38112A89" w14:textId="5B7DF8BC"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of the Act that authorises the making of the </w:t>
      </w:r>
      <w:r w:rsidR="00EE4F9E">
        <w:rPr>
          <w:rFonts w:ascii="Times New Roman" w:hAnsi="Times New Roman" w:cs="Times New Roman"/>
        </w:rPr>
        <w:t>i</w:t>
      </w:r>
      <w:r>
        <w:rPr>
          <w:rFonts w:ascii="Times New Roman" w:hAnsi="Times New Roman" w:cs="Times New Roman"/>
        </w:rPr>
        <w:t xml:space="preserve">nstrument, namely </w:t>
      </w:r>
      <w:r w:rsidR="000733BC">
        <w:rPr>
          <w:rFonts w:ascii="Times New Roman" w:hAnsi="Times New Roman" w:cs="Times New Roman"/>
        </w:rPr>
        <w:t>subsection 572</w:t>
      </w:r>
      <w:proofErr w:type="gramStart"/>
      <w:r w:rsidR="000733BC">
        <w:rPr>
          <w:rFonts w:ascii="Times New Roman" w:hAnsi="Times New Roman" w:cs="Times New Roman"/>
        </w:rPr>
        <w:t>E(</w:t>
      </w:r>
      <w:proofErr w:type="gramEnd"/>
      <w:r w:rsidR="000733BC">
        <w:rPr>
          <w:rFonts w:ascii="Times New Roman" w:hAnsi="Times New Roman" w:cs="Times New Roman"/>
        </w:rPr>
        <w:t>7)</w:t>
      </w:r>
      <w:r>
        <w:rPr>
          <w:rFonts w:ascii="Times New Roman" w:hAnsi="Times New Roman" w:cs="Times New Roman"/>
        </w:rPr>
        <w:t xml:space="preserve"> of the</w:t>
      </w:r>
      <w:r w:rsidR="000733BC">
        <w:rPr>
          <w:rFonts w:ascii="Times New Roman" w:hAnsi="Times New Roman" w:cs="Times New Roman"/>
        </w:rPr>
        <w:t xml:space="preserve"> </w:t>
      </w:r>
      <w:r w:rsidR="000733BC">
        <w:rPr>
          <w:rFonts w:ascii="Times New Roman" w:hAnsi="Times New Roman" w:cs="Times New Roman"/>
          <w:i/>
          <w:iCs/>
        </w:rPr>
        <w:t>Telecommunications Act 1997</w:t>
      </w:r>
      <w:r>
        <w:rPr>
          <w:rFonts w:ascii="Times New Roman" w:hAnsi="Times New Roman" w:cs="Times New Roman"/>
        </w:rPr>
        <w:t>.</w:t>
      </w:r>
    </w:p>
    <w:p w14:paraId="092F5492" w14:textId="50587450" w:rsidR="004C58B9" w:rsidRDefault="004C58B9" w:rsidP="004C58B9">
      <w:pPr>
        <w:rPr>
          <w:rFonts w:ascii="Times New Roman" w:hAnsi="Times New Roman" w:cs="Times New Roman"/>
          <w:b/>
        </w:rPr>
      </w:pPr>
      <w:r>
        <w:rPr>
          <w:rFonts w:ascii="Times New Roman" w:hAnsi="Times New Roman" w:cs="Times New Roman"/>
          <w:b/>
        </w:rPr>
        <w:t xml:space="preserve">Section </w:t>
      </w:r>
      <w:r w:rsidR="006704DB">
        <w:rPr>
          <w:rFonts w:ascii="Times New Roman" w:hAnsi="Times New Roman" w:cs="Times New Roman"/>
          <w:b/>
        </w:rPr>
        <w:t>4</w:t>
      </w:r>
      <w:r w:rsidR="00287ACE">
        <w:rPr>
          <w:rFonts w:ascii="Times New Roman" w:hAnsi="Times New Roman" w:cs="Times New Roman"/>
          <w:b/>
        </w:rPr>
        <w:t xml:space="preserve"> - </w:t>
      </w:r>
      <w:r w:rsidR="000733BC">
        <w:rPr>
          <w:rFonts w:ascii="Times New Roman" w:hAnsi="Times New Roman" w:cs="Times New Roman"/>
          <w:b/>
        </w:rPr>
        <w:t>Amendments</w:t>
      </w:r>
    </w:p>
    <w:p w14:paraId="6A65622D" w14:textId="6F63E4CC" w:rsidR="004C58B9" w:rsidRDefault="004C58B9" w:rsidP="00A331CE">
      <w:pPr>
        <w:rPr>
          <w:rFonts w:ascii="Times New Roman" w:hAnsi="Times New Roman" w:cs="Times New Roman"/>
        </w:rPr>
      </w:pPr>
      <w:r>
        <w:rPr>
          <w:rFonts w:ascii="Times New Roman" w:hAnsi="Times New Roman" w:cs="Times New Roman"/>
        </w:rPr>
        <w:t>Th</w:t>
      </w:r>
      <w:r w:rsidR="00A331CE">
        <w:rPr>
          <w:rFonts w:ascii="Times New Roman" w:hAnsi="Times New Roman" w:cs="Times New Roman"/>
        </w:rPr>
        <w:t xml:space="preserve">is section </w:t>
      </w:r>
      <w:r w:rsidR="00600DE5">
        <w:rPr>
          <w:rFonts w:ascii="Times New Roman" w:hAnsi="Times New Roman" w:cs="Times New Roman"/>
        </w:rPr>
        <w:t>makes</w:t>
      </w:r>
      <w:r w:rsidR="00A331CE">
        <w:rPr>
          <w:rFonts w:ascii="Times New Roman" w:hAnsi="Times New Roman" w:cs="Times New Roman"/>
        </w:rPr>
        <w:t xml:space="preserve"> the amendments set out in the Schedule.</w:t>
      </w:r>
    </w:p>
    <w:p w14:paraId="1EB88044" w14:textId="21D2EAFC" w:rsidR="00D010C0" w:rsidRDefault="00D010C0" w:rsidP="00D010C0">
      <w:pPr>
        <w:rPr>
          <w:rFonts w:ascii="Times New Roman" w:hAnsi="Times New Roman" w:cs="Times New Roman"/>
          <w:b/>
        </w:rPr>
      </w:pPr>
      <w:r>
        <w:rPr>
          <w:rFonts w:ascii="Times New Roman" w:hAnsi="Times New Roman" w:cs="Times New Roman"/>
          <w:b/>
        </w:rPr>
        <w:t>Schedule 1 - Amendments</w:t>
      </w:r>
    </w:p>
    <w:p w14:paraId="51ADE0B9" w14:textId="44EA0CA0" w:rsidR="00286713" w:rsidRDefault="00286713" w:rsidP="004227CF">
      <w:pPr>
        <w:rPr>
          <w:rFonts w:ascii="Times New Roman" w:hAnsi="Times New Roman" w:cs="Times New Roman"/>
          <w:b/>
        </w:rPr>
      </w:pPr>
      <w:r>
        <w:rPr>
          <w:rFonts w:ascii="Times New Roman" w:hAnsi="Times New Roman" w:cs="Times New Roman"/>
          <w:b/>
        </w:rPr>
        <w:t>Item [1]</w:t>
      </w:r>
    </w:p>
    <w:p w14:paraId="6BCA2CEE" w14:textId="27C9AAC2" w:rsidR="0065284A" w:rsidRDefault="00D010C0" w:rsidP="004227CF">
      <w:pPr>
        <w:rPr>
          <w:rFonts w:ascii="Times New Roman" w:hAnsi="Times New Roman" w:cs="Times New Roman"/>
        </w:rPr>
      </w:pPr>
      <w:r>
        <w:rPr>
          <w:rFonts w:ascii="Times New Roman" w:hAnsi="Times New Roman" w:cs="Times New Roman"/>
          <w:bCs/>
        </w:rPr>
        <w:t xml:space="preserve">Item 1 </w:t>
      </w:r>
      <w:r w:rsidR="001A0132">
        <w:rPr>
          <w:rFonts w:ascii="Times New Roman" w:hAnsi="Times New Roman" w:cs="Times New Roman"/>
          <w:bCs/>
        </w:rPr>
        <w:t xml:space="preserve">inserts new items 3 and 4 following item 2 </w:t>
      </w:r>
      <w:r w:rsidR="00600DE5">
        <w:rPr>
          <w:rFonts w:ascii="Times New Roman" w:hAnsi="Times New Roman" w:cs="Times New Roman"/>
          <w:bCs/>
        </w:rPr>
        <w:t xml:space="preserve">in </w:t>
      </w:r>
      <w:r w:rsidR="007C2FB5">
        <w:rPr>
          <w:rFonts w:ascii="Times New Roman" w:hAnsi="Times New Roman" w:cs="Times New Roman"/>
          <w:bCs/>
        </w:rPr>
        <w:t xml:space="preserve">Schedule 2 to the </w:t>
      </w:r>
      <w:r w:rsidR="00B002C5" w:rsidRPr="006158F6">
        <w:rPr>
          <w:rFonts w:ascii="Times New Roman" w:hAnsi="Times New Roman" w:cs="Times New Roman"/>
          <w:bCs/>
          <w:i/>
          <w:iCs/>
          <w:lang w:eastAsia="en-AU"/>
        </w:rPr>
        <w:t xml:space="preserve">Telecommunications </w:t>
      </w:r>
      <w:r w:rsidR="00B002C5">
        <w:rPr>
          <w:rFonts w:ascii="Times New Roman" w:hAnsi="Times New Roman" w:cs="Times New Roman"/>
          <w:bCs/>
          <w:i/>
          <w:iCs/>
          <w:lang w:eastAsia="en-AU"/>
        </w:rPr>
        <w:t xml:space="preserve">Service </w:t>
      </w:r>
      <w:r w:rsidR="00B002C5" w:rsidRPr="006158F6">
        <w:rPr>
          <w:rFonts w:ascii="Times New Roman" w:hAnsi="Times New Roman" w:cs="Times New Roman"/>
          <w:bCs/>
          <w:i/>
          <w:iCs/>
          <w:lang w:eastAsia="en-AU"/>
        </w:rPr>
        <w:t>(</w:t>
      </w:r>
      <w:r w:rsidR="00E7365C">
        <w:rPr>
          <w:rFonts w:ascii="Times New Roman" w:hAnsi="Times New Roman" w:cs="Times New Roman"/>
          <w:bCs/>
          <w:i/>
          <w:iCs/>
          <w:lang w:eastAsia="en-AU"/>
        </w:rPr>
        <w:t>Listed Infringement Notice Provisions</w:t>
      </w:r>
      <w:r w:rsidR="00B002C5" w:rsidRPr="006158F6">
        <w:rPr>
          <w:rFonts w:ascii="Times New Roman" w:hAnsi="Times New Roman" w:cs="Times New Roman"/>
          <w:bCs/>
          <w:i/>
          <w:iCs/>
          <w:lang w:eastAsia="en-AU"/>
        </w:rPr>
        <w:t xml:space="preserve">) </w:t>
      </w:r>
      <w:r w:rsidR="00E7365C">
        <w:rPr>
          <w:rFonts w:ascii="Times New Roman" w:hAnsi="Times New Roman" w:cs="Times New Roman"/>
          <w:bCs/>
          <w:i/>
          <w:iCs/>
          <w:lang w:eastAsia="en-AU"/>
        </w:rPr>
        <w:t>Declaration</w:t>
      </w:r>
      <w:r w:rsidR="00B002C5" w:rsidRPr="006158F6">
        <w:rPr>
          <w:rFonts w:ascii="Times New Roman" w:hAnsi="Times New Roman" w:cs="Times New Roman"/>
          <w:bCs/>
          <w:i/>
          <w:iCs/>
          <w:lang w:eastAsia="en-AU"/>
        </w:rPr>
        <w:t xml:space="preserve"> 2022</w:t>
      </w:r>
      <w:r w:rsidR="00115B98">
        <w:rPr>
          <w:rFonts w:ascii="Times New Roman" w:hAnsi="Times New Roman" w:cs="Times New Roman"/>
          <w:bCs/>
          <w:lang w:eastAsia="en-AU"/>
        </w:rPr>
        <w:t xml:space="preserve">. The new item 3 lists </w:t>
      </w:r>
      <w:proofErr w:type="gramStart"/>
      <w:r w:rsidR="00115B98">
        <w:rPr>
          <w:rFonts w:ascii="Times New Roman" w:hAnsi="Times New Roman" w:cs="Times New Roman"/>
          <w:bCs/>
          <w:lang w:eastAsia="en-AU"/>
        </w:rPr>
        <w:t>a number of</w:t>
      </w:r>
      <w:proofErr w:type="gramEnd"/>
      <w:r w:rsidR="00115B98">
        <w:rPr>
          <w:rFonts w:ascii="Times New Roman" w:hAnsi="Times New Roman" w:cs="Times New Roman"/>
          <w:bCs/>
          <w:lang w:eastAsia="en-AU"/>
        </w:rPr>
        <w:t xml:space="preserve"> sections of the </w:t>
      </w:r>
      <w:r w:rsidR="00F037A3" w:rsidRPr="006158F6">
        <w:rPr>
          <w:rFonts w:ascii="Times New Roman" w:hAnsi="Times New Roman" w:cs="Times New Roman"/>
          <w:bCs/>
          <w:i/>
          <w:iCs/>
          <w:lang w:eastAsia="en-AU"/>
        </w:rPr>
        <w:t xml:space="preserve">Telecommunications </w:t>
      </w:r>
      <w:r w:rsidR="00F037A3">
        <w:rPr>
          <w:rFonts w:ascii="Times New Roman" w:hAnsi="Times New Roman" w:cs="Times New Roman"/>
          <w:bCs/>
          <w:i/>
          <w:iCs/>
          <w:lang w:eastAsia="en-AU"/>
        </w:rPr>
        <w:t xml:space="preserve">Service Provider </w:t>
      </w:r>
      <w:r w:rsidR="00F037A3" w:rsidRPr="006158F6">
        <w:rPr>
          <w:rFonts w:ascii="Times New Roman" w:hAnsi="Times New Roman" w:cs="Times New Roman"/>
          <w:bCs/>
          <w:i/>
          <w:iCs/>
          <w:lang w:eastAsia="en-AU"/>
        </w:rPr>
        <w:t>(Customer Identity Authentication) Determination 2022</w:t>
      </w:r>
      <w:r w:rsidR="00F037A3">
        <w:rPr>
          <w:rFonts w:ascii="Times New Roman" w:hAnsi="Times New Roman" w:cs="Times New Roman"/>
          <w:bCs/>
          <w:lang w:eastAsia="en-AU"/>
        </w:rPr>
        <w:t xml:space="preserve"> and</w:t>
      </w:r>
      <w:r w:rsidR="00600DE5">
        <w:rPr>
          <w:rFonts w:ascii="Times New Roman" w:hAnsi="Times New Roman" w:cs="Times New Roman"/>
          <w:bCs/>
          <w:lang w:eastAsia="en-AU"/>
        </w:rPr>
        <w:t xml:space="preserve"> new</w:t>
      </w:r>
      <w:r w:rsidR="00F037A3">
        <w:rPr>
          <w:rFonts w:ascii="Times New Roman" w:hAnsi="Times New Roman" w:cs="Times New Roman"/>
          <w:bCs/>
          <w:lang w:eastAsia="en-AU"/>
        </w:rPr>
        <w:t xml:space="preserve"> item 4 lists a number of sections of the </w:t>
      </w:r>
      <w:r w:rsidR="00287ACE" w:rsidRPr="006158F6">
        <w:rPr>
          <w:rFonts w:ascii="Times New Roman" w:hAnsi="Times New Roman" w:cs="Times New Roman"/>
          <w:i/>
          <w:iCs/>
        </w:rPr>
        <w:t>Telecommunications Service Provider (International Mobile Roaming) Determination 2019</w:t>
      </w:r>
      <w:r w:rsidR="00287ACE">
        <w:rPr>
          <w:rFonts w:ascii="Times New Roman" w:hAnsi="Times New Roman" w:cs="Times New Roman"/>
        </w:rPr>
        <w:t xml:space="preserve">, thereby </w:t>
      </w:r>
      <w:r w:rsidR="00600DE5">
        <w:rPr>
          <w:rFonts w:ascii="Times New Roman" w:hAnsi="Times New Roman" w:cs="Times New Roman"/>
        </w:rPr>
        <w:t>making those</w:t>
      </w:r>
      <w:r w:rsidR="00287ACE">
        <w:rPr>
          <w:rFonts w:ascii="Times New Roman" w:hAnsi="Times New Roman" w:cs="Times New Roman"/>
        </w:rPr>
        <w:t xml:space="preserve"> provisions listed infringement notice provisions.</w:t>
      </w:r>
    </w:p>
    <w:p w14:paraId="50C15584" w14:textId="77777777" w:rsidR="0065284A" w:rsidRDefault="0065284A">
      <w:pPr>
        <w:spacing w:line="259" w:lineRule="auto"/>
        <w:rPr>
          <w:rFonts w:ascii="Times New Roman" w:hAnsi="Times New Roman" w:cs="Times New Roman"/>
        </w:rPr>
      </w:pPr>
      <w:r>
        <w:rPr>
          <w:rFonts w:ascii="Times New Roman" w:hAnsi="Times New Roman" w:cs="Times New Roman"/>
        </w:rPr>
        <w:br w:type="page"/>
      </w:r>
    </w:p>
    <w:p w14:paraId="66B2E64F" w14:textId="77777777" w:rsidR="0065284A" w:rsidRPr="00112788" w:rsidRDefault="0065284A" w:rsidP="0065284A">
      <w:pPr>
        <w:jc w:val="right"/>
        <w:rPr>
          <w:rFonts w:ascii="Times New Roman" w:hAnsi="Times New Roman" w:cs="Times New Roman"/>
          <w:b/>
          <w:sz w:val="28"/>
          <w:szCs w:val="28"/>
        </w:rPr>
      </w:pPr>
      <w:r w:rsidRPr="00112788">
        <w:rPr>
          <w:rFonts w:ascii="Times New Roman" w:hAnsi="Times New Roman" w:cs="Times New Roman"/>
          <w:b/>
          <w:sz w:val="28"/>
          <w:szCs w:val="28"/>
        </w:rPr>
        <w:lastRenderedPageBreak/>
        <w:t>Attachment B</w:t>
      </w:r>
    </w:p>
    <w:p w14:paraId="783A4E1F" w14:textId="77777777" w:rsidR="0065284A" w:rsidRPr="00112788" w:rsidRDefault="0065284A" w:rsidP="0065284A">
      <w:pPr>
        <w:rPr>
          <w:rFonts w:ascii="Times New Roman" w:hAnsi="Times New Roman" w:cs="Times New Roman"/>
          <w:i/>
          <w:iCs/>
          <w:color w:val="000000"/>
          <w:shd w:val="clear" w:color="auto" w:fill="FFFFFF"/>
        </w:rPr>
      </w:pPr>
      <w:r w:rsidRPr="00112788">
        <w:rPr>
          <w:rFonts w:ascii="Times New Roman" w:hAnsi="Times New Roman" w:cs="Times New Roman"/>
          <w:color w:val="000000"/>
          <w:shd w:val="clear" w:color="auto" w:fill="FFFFFF"/>
        </w:rPr>
        <w:t>Table 1: New provisions in the </w:t>
      </w:r>
      <w:r w:rsidRPr="00112788">
        <w:rPr>
          <w:rFonts w:ascii="Times New Roman" w:hAnsi="Times New Roman" w:cs="Times New Roman"/>
          <w:i/>
          <w:iCs/>
          <w:color w:val="000000"/>
          <w:shd w:val="clear" w:color="auto" w:fill="FFFFFF"/>
        </w:rPr>
        <w:t>Telecommunications (Listed Infringement Notice Provisions) Declaration 2022</w:t>
      </w:r>
    </w:p>
    <w:p w14:paraId="6FD3EAE7" w14:textId="77777777" w:rsidR="0065284A" w:rsidRPr="00112788" w:rsidRDefault="0065284A" w:rsidP="0065284A">
      <w:pPr>
        <w:rPr>
          <w:rFonts w:ascii="Times New Roman" w:hAnsi="Times New Roman" w:cs="Times New Roman"/>
          <w:b/>
          <w:sz w:val="28"/>
          <w:szCs w:val="28"/>
        </w:rPr>
      </w:pPr>
      <w:r w:rsidRPr="00112788">
        <w:rPr>
          <w:rFonts w:ascii="Times New Roman" w:hAnsi="Times New Roman" w:cs="Times New Roman"/>
          <w:b/>
          <w:sz w:val="28"/>
          <w:szCs w:val="28"/>
        </w:rPr>
        <w:t>Determinations</w:t>
      </w:r>
    </w:p>
    <w:p w14:paraId="2FE792A2" w14:textId="77777777" w:rsidR="0065284A" w:rsidRPr="00112788" w:rsidRDefault="0065284A" w:rsidP="0065284A">
      <w:pPr>
        <w:spacing w:line="257" w:lineRule="auto"/>
        <w:contextualSpacing/>
        <w:rPr>
          <w:rFonts w:ascii="Times New Roman" w:hAnsi="Times New Roman" w:cs="Times New Roman"/>
          <w:i/>
          <w:iCs/>
          <w:color w:val="000000"/>
          <w:sz w:val="20"/>
          <w:szCs w:val="20"/>
          <w:shd w:val="clear" w:color="auto" w:fill="FFFFFF"/>
        </w:rPr>
      </w:pPr>
      <w:r w:rsidRPr="00112788">
        <w:rPr>
          <w:rFonts w:ascii="Times New Roman" w:hAnsi="Times New Roman" w:cs="Times New Roman"/>
          <w:bCs/>
          <w:i/>
          <w:iCs/>
          <w:lang w:eastAsia="en-AU"/>
        </w:rPr>
        <w:t>Telecommunications Service Provider (Customer Identity Authentication) Determination 2022</w:t>
      </w:r>
    </w:p>
    <w:tbl>
      <w:tblPr>
        <w:tblStyle w:val="TableGrid"/>
        <w:tblW w:w="5000" w:type="pct"/>
        <w:tblLook w:val="04A0" w:firstRow="1" w:lastRow="0" w:firstColumn="1" w:lastColumn="0" w:noHBand="0" w:noVBand="1"/>
      </w:tblPr>
      <w:tblGrid>
        <w:gridCol w:w="9016"/>
      </w:tblGrid>
      <w:tr w:rsidR="0065284A" w:rsidRPr="00112788" w14:paraId="7C8993C3" w14:textId="77777777" w:rsidTr="003D14AE">
        <w:trPr>
          <w:trHeight w:val="271"/>
        </w:trPr>
        <w:tc>
          <w:tcPr>
            <w:tcW w:w="5000" w:type="pct"/>
          </w:tcPr>
          <w:p w14:paraId="61F12E49" w14:textId="77777777" w:rsidR="0065284A" w:rsidRPr="00112788" w:rsidRDefault="0065284A" w:rsidP="003D14AE">
            <w:pPr>
              <w:spacing w:line="257" w:lineRule="auto"/>
              <w:contextualSpacing/>
              <w:rPr>
                <w:rFonts w:ascii="Times New Roman" w:hAnsi="Times New Roman" w:cs="Times New Roman"/>
                <w:b/>
                <w:bCs/>
              </w:rPr>
            </w:pPr>
            <w:r w:rsidRPr="00112788">
              <w:rPr>
                <w:rFonts w:ascii="Times New Roman" w:hAnsi="Times New Roman" w:cs="Times New Roman"/>
                <w:b/>
                <w:bCs/>
              </w:rPr>
              <w:t>New provisions</w:t>
            </w:r>
          </w:p>
        </w:tc>
      </w:tr>
      <w:tr w:rsidR="0065284A" w:rsidRPr="00112788" w14:paraId="12CD2767" w14:textId="77777777" w:rsidTr="003D14AE">
        <w:trPr>
          <w:trHeight w:val="271"/>
        </w:trPr>
        <w:tc>
          <w:tcPr>
            <w:tcW w:w="5000" w:type="pct"/>
          </w:tcPr>
          <w:p w14:paraId="44F69999" w14:textId="77777777" w:rsidR="0065284A" w:rsidRPr="00112788" w:rsidRDefault="0065284A" w:rsidP="003D14AE">
            <w:pPr>
              <w:numPr>
                <w:ilvl w:val="0"/>
                <w:numId w:val="23"/>
              </w:numPr>
              <w:spacing w:before="100" w:beforeAutospacing="1" w:after="100" w:afterAutospacing="1" w:line="257" w:lineRule="auto"/>
              <w:ind w:left="447" w:hanging="357"/>
              <w:contextualSpacing/>
              <w:jc w:val="both"/>
              <w:rPr>
                <w:rFonts w:ascii="Times New Roman" w:hAnsi="Times New Roman" w:cs="Times New Roman"/>
                <w:bCs/>
                <w:lang w:eastAsia="en-AU"/>
              </w:rPr>
            </w:pPr>
            <w:r w:rsidRPr="00112788">
              <w:rPr>
                <w:rFonts w:ascii="Times New Roman" w:hAnsi="Times New Roman" w:cs="Times New Roman"/>
                <w:bCs/>
                <w:lang w:eastAsia="en-AU"/>
              </w:rPr>
              <w:t xml:space="preserve">section </w:t>
            </w:r>
            <w:proofErr w:type="gramStart"/>
            <w:r w:rsidRPr="00112788">
              <w:rPr>
                <w:rFonts w:ascii="Times New Roman" w:hAnsi="Times New Roman" w:cs="Times New Roman"/>
                <w:bCs/>
                <w:lang w:eastAsia="en-AU"/>
              </w:rPr>
              <w:t>8;</w:t>
            </w:r>
            <w:proofErr w:type="gramEnd"/>
          </w:p>
          <w:p w14:paraId="436F62DD" w14:textId="77777777" w:rsidR="0065284A" w:rsidRPr="00112788" w:rsidRDefault="0065284A" w:rsidP="003D14AE">
            <w:pPr>
              <w:numPr>
                <w:ilvl w:val="0"/>
                <w:numId w:val="23"/>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paragraph 9(5)(a</w:t>
            </w:r>
            <w:proofErr w:type="gramStart"/>
            <w:r w:rsidRPr="00112788">
              <w:rPr>
                <w:rFonts w:ascii="Times New Roman" w:hAnsi="Times New Roman" w:cs="Times New Roman"/>
                <w:bCs/>
                <w:lang w:eastAsia="en-AU"/>
              </w:rPr>
              <w:t>);</w:t>
            </w:r>
            <w:proofErr w:type="gramEnd"/>
          </w:p>
          <w:p w14:paraId="2330A1C9" w14:textId="77777777" w:rsidR="0065284A" w:rsidRPr="00112788" w:rsidRDefault="0065284A" w:rsidP="003D14AE">
            <w:pPr>
              <w:numPr>
                <w:ilvl w:val="0"/>
                <w:numId w:val="23"/>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paragraph 9(5)(b</w:t>
            </w:r>
            <w:proofErr w:type="gramStart"/>
            <w:r w:rsidRPr="00112788">
              <w:rPr>
                <w:rFonts w:ascii="Times New Roman" w:hAnsi="Times New Roman" w:cs="Times New Roman"/>
                <w:bCs/>
                <w:lang w:eastAsia="en-AU"/>
              </w:rPr>
              <w:t>);</w:t>
            </w:r>
            <w:proofErr w:type="gramEnd"/>
          </w:p>
          <w:p w14:paraId="1BBB6C45" w14:textId="77777777" w:rsidR="0065284A" w:rsidRPr="00112788" w:rsidRDefault="0065284A" w:rsidP="003D14AE">
            <w:pPr>
              <w:numPr>
                <w:ilvl w:val="0"/>
                <w:numId w:val="23"/>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10(5);</w:t>
            </w:r>
            <w:proofErr w:type="gramEnd"/>
          </w:p>
          <w:p w14:paraId="00355B27" w14:textId="77777777" w:rsidR="0065284A" w:rsidRPr="00112788" w:rsidRDefault="0065284A" w:rsidP="003D14AE">
            <w:pPr>
              <w:numPr>
                <w:ilvl w:val="0"/>
                <w:numId w:val="23"/>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paragraph 10(8)(a</w:t>
            </w:r>
            <w:proofErr w:type="gramStart"/>
            <w:r w:rsidRPr="00112788">
              <w:rPr>
                <w:rFonts w:ascii="Times New Roman" w:hAnsi="Times New Roman" w:cs="Times New Roman"/>
                <w:bCs/>
                <w:lang w:eastAsia="en-AU"/>
              </w:rPr>
              <w:t>);</w:t>
            </w:r>
            <w:proofErr w:type="gramEnd"/>
          </w:p>
          <w:p w14:paraId="19F6909B" w14:textId="77777777" w:rsidR="0065284A" w:rsidRPr="00112788" w:rsidRDefault="0065284A" w:rsidP="003D14AE">
            <w:pPr>
              <w:numPr>
                <w:ilvl w:val="0"/>
                <w:numId w:val="23"/>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paragraph 10(8)(b</w:t>
            </w:r>
            <w:proofErr w:type="gramStart"/>
            <w:r w:rsidRPr="00112788">
              <w:rPr>
                <w:rFonts w:ascii="Times New Roman" w:hAnsi="Times New Roman" w:cs="Times New Roman"/>
                <w:bCs/>
                <w:lang w:eastAsia="en-AU"/>
              </w:rPr>
              <w:t>);</w:t>
            </w:r>
            <w:proofErr w:type="gramEnd"/>
          </w:p>
          <w:p w14:paraId="23164EF2" w14:textId="77777777" w:rsidR="0065284A" w:rsidRPr="00112788" w:rsidRDefault="0065284A" w:rsidP="003D14AE">
            <w:pPr>
              <w:numPr>
                <w:ilvl w:val="0"/>
                <w:numId w:val="23"/>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11(3);</w:t>
            </w:r>
            <w:proofErr w:type="gramEnd"/>
          </w:p>
          <w:p w14:paraId="29DF6A72" w14:textId="77777777" w:rsidR="0065284A" w:rsidRPr="00112788" w:rsidRDefault="0065284A" w:rsidP="003D14AE">
            <w:pPr>
              <w:numPr>
                <w:ilvl w:val="0"/>
                <w:numId w:val="23"/>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11(4);</w:t>
            </w:r>
            <w:proofErr w:type="gramEnd"/>
          </w:p>
          <w:p w14:paraId="7B035CDF" w14:textId="77777777" w:rsidR="0065284A" w:rsidRPr="00112788" w:rsidRDefault="0065284A" w:rsidP="003D14AE">
            <w:pPr>
              <w:numPr>
                <w:ilvl w:val="0"/>
                <w:numId w:val="23"/>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paragraph 11(7)(a</w:t>
            </w:r>
            <w:proofErr w:type="gramStart"/>
            <w:r w:rsidRPr="00112788">
              <w:rPr>
                <w:rFonts w:ascii="Times New Roman" w:hAnsi="Times New Roman" w:cs="Times New Roman"/>
                <w:bCs/>
                <w:lang w:eastAsia="en-AU"/>
              </w:rPr>
              <w:t>);</w:t>
            </w:r>
            <w:proofErr w:type="gramEnd"/>
          </w:p>
          <w:p w14:paraId="4B0EBF76" w14:textId="77777777" w:rsidR="0065284A" w:rsidRPr="00112788" w:rsidRDefault="0065284A" w:rsidP="003D14AE">
            <w:pPr>
              <w:numPr>
                <w:ilvl w:val="0"/>
                <w:numId w:val="23"/>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paragraph 11(7)(b</w:t>
            </w:r>
            <w:proofErr w:type="gramStart"/>
            <w:r w:rsidRPr="00112788">
              <w:rPr>
                <w:rFonts w:ascii="Times New Roman" w:hAnsi="Times New Roman" w:cs="Times New Roman"/>
                <w:bCs/>
                <w:lang w:eastAsia="en-AU"/>
              </w:rPr>
              <w:t>);</w:t>
            </w:r>
            <w:proofErr w:type="gramEnd"/>
          </w:p>
          <w:p w14:paraId="513CC275" w14:textId="77777777" w:rsidR="0065284A" w:rsidRPr="00112788" w:rsidRDefault="0065284A" w:rsidP="003D14AE">
            <w:pPr>
              <w:numPr>
                <w:ilvl w:val="0"/>
                <w:numId w:val="23"/>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12(3);</w:t>
            </w:r>
            <w:proofErr w:type="gramEnd"/>
          </w:p>
          <w:p w14:paraId="22FCEB2E" w14:textId="77777777" w:rsidR="0065284A" w:rsidRPr="00112788" w:rsidRDefault="0065284A" w:rsidP="003D14AE">
            <w:pPr>
              <w:numPr>
                <w:ilvl w:val="0"/>
                <w:numId w:val="23"/>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12(4);</w:t>
            </w:r>
            <w:proofErr w:type="gramEnd"/>
          </w:p>
          <w:p w14:paraId="65286C51" w14:textId="77777777" w:rsidR="0065284A" w:rsidRPr="00112788" w:rsidRDefault="0065284A" w:rsidP="003D14AE">
            <w:pPr>
              <w:numPr>
                <w:ilvl w:val="0"/>
                <w:numId w:val="23"/>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13(1);</w:t>
            </w:r>
            <w:proofErr w:type="gramEnd"/>
          </w:p>
          <w:p w14:paraId="5AD05177" w14:textId="77777777" w:rsidR="0065284A" w:rsidRPr="00112788" w:rsidRDefault="0065284A" w:rsidP="003D14AE">
            <w:pPr>
              <w:numPr>
                <w:ilvl w:val="0"/>
                <w:numId w:val="23"/>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13(2);</w:t>
            </w:r>
            <w:proofErr w:type="gramEnd"/>
          </w:p>
          <w:p w14:paraId="04D22D9B" w14:textId="77777777" w:rsidR="0065284A" w:rsidRPr="00112788" w:rsidRDefault="0065284A" w:rsidP="003D14AE">
            <w:pPr>
              <w:numPr>
                <w:ilvl w:val="0"/>
                <w:numId w:val="23"/>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section </w:t>
            </w:r>
            <w:proofErr w:type="gramStart"/>
            <w:r w:rsidRPr="00112788">
              <w:rPr>
                <w:rFonts w:ascii="Times New Roman" w:hAnsi="Times New Roman" w:cs="Times New Roman"/>
                <w:bCs/>
                <w:lang w:eastAsia="en-AU"/>
              </w:rPr>
              <w:t>14;</w:t>
            </w:r>
            <w:proofErr w:type="gramEnd"/>
          </w:p>
          <w:p w14:paraId="0E2C51F4" w14:textId="77777777" w:rsidR="0065284A" w:rsidRPr="00112788" w:rsidRDefault="0065284A" w:rsidP="003D14AE">
            <w:pPr>
              <w:numPr>
                <w:ilvl w:val="0"/>
                <w:numId w:val="23"/>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section </w:t>
            </w:r>
            <w:proofErr w:type="gramStart"/>
            <w:r w:rsidRPr="00112788">
              <w:rPr>
                <w:rFonts w:ascii="Times New Roman" w:hAnsi="Times New Roman" w:cs="Times New Roman"/>
                <w:bCs/>
                <w:lang w:eastAsia="en-AU"/>
              </w:rPr>
              <w:t>15;</w:t>
            </w:r>
            <w:proofErr w:type="gramEnd"/>
          </w:p>
          <w:p w14:paraId="5550AB6C" w14:textId="77777777" w:rsidR="0065284A" w:rsidRPr="00112788" w:rsidRDefault="0065284A" w:rsidP="003D14AE">
            <w:pPr>
              <w:numPr>
                <w:ilvl w:val="0"/>
                <w:numId w:val="23"/>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section 16.</w:t>
            </w:r>
          </w:p>
        </w:tc>
      </w:tr>
    </w:tbl>
    <w:p w14:paraId="636D53BC" w14:textId="77777777" w:rsidR="0065284A" w:rsidRPr="00112788" w:rsidRDefault="0065284A" w:rsidP="0065284A">
      <w:pPr>
        <w:rPr>
          <w:rFonts w:ascii="Times New Roman" w:hAnsi="Times New Roman" w:cs="Times New Roman"/>
        </w:rPr>
      </w:pPr>
    </w:p>
    <w:p w14:paraId="743251C6" w14:textId="77777777" w:rsidR="0065284A" w:rsidRPr="00112788" w:rsidRDefault="0065284A" w:rsidP="0065284A">
      <w:pPr>
        <w:spacing w:line="257" w:lineRule="auto"/>
        <w:contextualSpacing/>
        <w:rPr>
          <w:rFonts w:ascii="Times New Roman" w:hAnsi="Times New Roman" w:cs="Times New Roman"/>
          <w:i/>
          <w:iCs/>
          <w:color w:val="000000"/>
          <w:sz w:val="20"/>
          <w:szCs w:val="20"/>
          <w:shd w:val="clear" w:color="auto" w:fill="FFFFFF"/>
        </w:rPr>
      </w:pPr>
      <w:r w:rsidRPr="00112788">
        <w:rPr>
          <w:rFonts w:ascii="Times New Roman" w:hAnsi="Times New Roman" w:cs="Times New Roman"/>
          <w:bCs/>
          <w:i/>
          <w:iCs/>
          <w:lang w:eastAsia="en-AU"/>
        </w:rPr>
        <w:t>Telecommunications Service Provider (International Mobile Roaming) Determination 2019</w:t>
      </w:r>
    </w:p>
    <w:tbl>
      <w:tblPr>
        <w:tblStyle w:val="TableGrid"/>
        <w:tblW w:w="5000" w:type="pct"/>
        <w:tblLook w:val="04A0" w:firstRow="1" w:lastRow="0" w:firstColumn="1" w:lastColumn="0" w:noHBand="0" w:noVBand="1"/>
      </w:tblPr>
      <w:tblGrid>
        <w:gridCol w:w="9016"/>
      </w:tblGrid>
      <w:tr w:rsidR="0065284A" w:rsidRPr="00112788" w14:paraId="1D2A18F7" w14:textId="77777777" w:rsidTr="003D14AE">
        <w:trPr>
          <w:trHeight w:val="271"/>
        </w:trPr>
        <w:tc>
          <w:tcPr>
            <w:tcW w:w="5000" w:type="pct"/>
          </w:tcPr>
          <w:p w14:paraId="49780A25" w14:textId="77777777" w:rsidR="0065284A" w:rsidRPr="00112788" w:rsidRDefault="0065284A" w:rsidP="003D14AE">
            <w:pPr>
              <w:spacing w:line="257" w:lineRule="auto"/>
              <w:contextualSpacing/>
              <w:rPr>
                <w:rFonts w:ascii="Times New Roman" w:hAnsi="Times New Roman" w:cs="Times New Roman"/>
                <w:b/>
                <w:bCs/>
              </w:rPr>
            </w:pPr>
            <w:r w:rsidRPr="00112788">
              <w:rPr>
                <w:rFonts w:ascii="Times New Roman" w:hAnsi="Times New Roman" w:cs="Times New Roman"/>
                <w:b/>
                <w:bCs/>
              </w:rPr>
              <w:t>New provisions</w:t>
            </w:r>
          </w:p>
        </w:tc>
      </w:tr>
      <w:tr w:rsidR="0065284A" w:rsidRPr="00112788" w14:paraId="474D835C" w14:textId="77777777" w:rsidTr="003D14AE">
        <w:trPr>
          <w:trHeight w:val="271"/>
        </w:trPr>
        <w:tc>
          <w:tcPr>
            <w:tcW w:w="5000" w:type="pct"/>
          </w:tcPr>
          <w:p w14:paraId="730C884E" w14:textId="77777777" w:rsidR="0065284A" w:rsidRPr="00112788" w:rsidRDefault="0065284A" w:rsidP="003D14AE">
            <w:pPr>
              <w:numPr>
                <w:ilvl w:val="0"/>
                <w:numId w:val="25"/>
              </w:numPr>
              <w:ind w:left="44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7(1);</w:t>
            </w:r>
            <w:proofErr w:type="gramEnd"/>
          </w:p>
          <w:p w14:paraId="42D60A9A" w14:textId="77777777" w:rsidR="0065284A" w:rsidRPr="00112788" w:rsidRDefault="0065284A" w:rsidP="003D14AE">
            <w:pPr>
              <w:numPr>
                <w:ilvl w:val="0"/>
                <w:numId w:val="25"/>
              </w:numPr>
              <w:ind w:left="44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7(2);</w:t>
            </w:r>
            <w:proofErr w:type="gramEnd"/>
          </w:p>
          <w:p w14:paraId="28618FF0" w14:textId="77777777" w:rsidR="0065284A" w:rsidRPr="00112788" w:rsidRDefault="0065284A" w:rsidP="003D14AE">
            <w:pPr>
              <w:numPr>
                <w:ilvl w:val="0"/>
                <w:numId w:val="25"/>
              </w:numPr>
              <w:ind w:left="44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7(6);</w:t>
            </w:r>
            <w:proofErr w:type="gramEnd"/>
          </w:p>
          <w:p w14:paraId="41DBA36F" w14:textId="77777777" w:rsidR="0065284A" w:rsidRPr="00112788" w:rsidRDefault="0065284A" w:rsidP="003D14AE">
            <w:pPr>
              <w:numPr>
                <w:ilvl w:val="0"/>
                <w:numId w:val="25"/>
              </w:numPr>
              <w:ind w:left="44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7(7);</w:t>
            </w:r>
            <w:proofErr w:type="gramEnd"/>
          </w:p>
          <w:p w14:paraId="2219AA79" w14:textId="77777777" w:rsidR="0065284A" w:rsidRPr="00112788" w:rsidRDefault="0065284A" w:rsidP="003D14AE">
            <w:pPr>
              <w:numPr>
                <w:ilvl w:val="0"/>
                <w:numId w:val="25"/>
              </w:numPr>
              <w:ind w:left="44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7(8);</w:t>
            </w:r>
            <w:proofErr w:type="gramEnd"/>
          </w:p>
          <w:p w14:paraId="4DADB2EE" w14:textId="77777777" w:rsidR="0065284A" w:rsidRPr="00112788" w:rsidRDefault="0065284A" w:rsidP="003D14AE">
            <w:pPr>
              <w:numPr>
                <w:ilvl w:val="0"/>
                <w:numId w:val="25"/>
              </w:numPr>
              <w:ind w:left="44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8(2);</w:t>
            </w:r>
            <w:proofErr w:type="gramEnd"/>
          </w:p>
          <w:p w14:paraId="1BB63F89" w14:textId="77777777" w:rsidR="0065284A" w:rsidRPr="00112788" w:rsidRDefault="0065284A" w:rsidP="003D14AE">
            <w:pPr>
              <w:numPr>
                <w:ilvl w:val="0"/>
                <w:numId w:val="25"/>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8(5);</w:t>
            </w:r>
            <w:proofErr w:type="gramEnd"/>
          </w:p>
          <w:p w14:paraId="39B033E6" w14:textId="77777777" w:rsidR="0065284A" w:rsidRPr="00112788" w:rsidRDefault="0065284A" w:rsidP="003D14AE">
            <w:pPr>
              <w:numPr>
                <w:ilvl w:val="0"/>
                <w:numId w:val="25"/>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8(6);</w:t>
            </w:r>
            <w:proofErr w:type="gramEnd"/>
          </w:p>
          <w:p w14:paraId="37C3E32F" w14:textId="77777777" w:rsidR="0065284A" w:rsidRPr="00112788" w:rsidRDefault="0065284A" w:rsidP="003D14AE">
            <w:pPr>
              <w:numPr>
                <w:ilvl w:val="0"/>
                <w:numId w:val="25"/>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paragraph 9(2)(a</w:t>
            </w:r>
            <w:proofErr w:type="gramStart"/>
            <w:r w:rsidRPr="00112788">
              <w:rPr>
                <w:rFonts w:ascii="Times New Roman" w:hAnsi="Times New Roman" w:cs="Times New Roman"/>
                <w:bCs/>
                <w:lang w:eastAsia="en-AU"/>
              </w:rPr>
              <w:t>);</w:t>
            </w:r>
            <w:proofErr w:type="gramEnd"/>
          </w:p>
          <w:p w14:paraId="70EF59BD" w14:textId="77777777" w:rsidR="0065284A" w:rsidRPr="00112788" w:rsidRDefault="0065284A" w:rsidP="003D14AE">
            <w:pPr>
              <w:numPr>
                <w:ilvl w:val="0"/>
                <w:numId w:val="25"/>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paragraph 9(2)(b</w:t>
            </w:r>
            <w:proofErr w:type="gramStart"/>
            <w:r w:rsidRPr="00112788">
              <w:rPr>
                <w:rFonts w:ascii="Times New Roman" w:hAnsi="Times New Roman" w:cs="Times New Roman"/>
                <w:bCs/>
                <w:lang w:eastAsia="en-AU"/>
              </w:rPr>
              <w:t>);</w:t>
            </w:r>
            <w:proofErr w:type="gramEnd"/>
          </w:p>
          <w:p w14:paraId="2952956F" w14:textId="77777777" w:rsidR="0065284A" w:rsidRPr="00112788" w:rsidRDefault="0065284A" w:rsidP="003D14AE">
            <w:pPr>
              <w:numPr>
                <w:ilvl w:val="0"/>
                <w:numId w:val="25"/>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paragraph 9(2)(c</w:t>
            </w:r>
            <w:proofErr w:type="gramStart"/>
            <w:r w:rsidRPr="00112788">
              <w:rPr>
                <w:rFonts w:ascii="Times New Roman" w:hAnsi="Times New Roman" w:cs="Times New Roman"/>
                <w:bCs/>
                <w:lang w:eastAsia="en-AU"/>
              </w:rPr>
              <w:t>);</w:t>
            </w:r>
            <w:proofErr w:type="gramEnd"/>
          </w:p>
          <w:p w14:paraId="603B7AD8" w14:textId="77777777" w:rsidR="0065284A" w:rsidRPr="00112788" w:rsidRDefault="0065284A" w:rsidP="003D14AE">
            <w:pPr>
              <w:numPr>
                <w:ilvl w:val="0"/>
                <w:numId w:val="25"/>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9(4);</w:t>
            </w:r>
            <w:proofErr w:type="gramEnd"/>
          </w:p>
          <w:p w14:paraId="64E4A129" w14:textId="77777777" w:rsidR="0065284A" w:rsidRPr="00112788" w:rsidRDefault="0065284A" w:rsidP="003D14AE">
            <w:pPr>
              <w:numPr>
                <w:ilvl w:val="0"/>
                <w:numId w:val="25"/>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9(5);</w:t>
            </w:r>
            <w:proofErr w:type="gramEnd"/>
          </w:p>
          <w:p w14:paraId="320782EE" w14:textId="77777777" w:rsidR="0065284A" w:rsidRPr="00112788" w:rsidRDefault="0065284A" w:rsidP="003D14AE">
            <w:pPr>
              <w:numPr>
                <w:ilvl w:val="0"/>
                <w:numId w:val="25"/>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9(6);</w:t>
            </w:r>
            <w:proofErr w:type="gramEnd"/>
          </w:p>
          <w:p w14:paraId="6536A08D" w14:textId="77777777" w:rsidR="0065284A" w:rsidRPr="00112788" w:rsidRDefault="0065284A" w:rsidP="003D14AE">
            <w:pPr>
              <w:numPr>
                <w:ilvl w:val="0"/>
                <w:numId w:val="25"/>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10(2);</w:t>
            </w:r>
            <w:proofErr w:type="gramEnd"/>
          </w:p>
          <w:p w14:paraId="7BBA34FC" w14:textId="77777777" w:rsidR="0065284A" w:rsidRPr="00112788" w:rsidRDefault="0065284A" w:rsidP="003D14AE">
            <w:pPr>
              <w:numPr>
                <w:ilvl w:val="0"/>
                <w:numId w:val="25"/>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10(5);</w:t>
            </w:r>
            <w:proofErr w:type="gramEnd"/>
          </w:p>
          <w:p w14:paraId="318F99BD" w14:textId="77777777" w:rsidR="0065284A" w:rsidRPr="00112788" w:rsidRDefault="0065284A" w:rsidP="003D14AE">
            <w:pPr>
              <w:numPr>
                <w:ilvl w:val="0"/>
                <w:numId w:val="25"/>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10(6);</w:t>
            </w:r>
            <w:proofErr w:type="gramEnd"/>
          </w:p>
          <w:p w14:paraId="6D09BA9A" w14:textId="77777777" w:rsidR="0065284A" w:rsidRPr="00112788" w:rsidRDefault="0065284A" w:rsidP="003D14AE">
            <w:pPr>
              <w:numPr>
                <w:ilvl w:val="0"/>
                <w:numId w:val="25"/>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11(2);</w:t>
            </w:r>
            <w:proofErr w:type="gramEnd"/>
          </w:p>
          <w:p w14:paraId="2948A912" w14:textId="77777777" w:rsidR="0065284A" w:rsidRPr="00112788" w:rsidRDefault="0065284A" w:rsidP="003D14AE">
            <w:pPr>
              <w:numPr>
                <w:ilvl w:val="0"/>
                <w:numId w:val="25"/>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lastRenderedPageBreak/>
              <w:t xml:space="preserve">subsection </w:t>
            </w:r>
            <w:proofErr w:type="gramStart"/>
            <w:r w:rsidRPr="00112788">
              <w:rPr>
                <w:rFonts w:ascii="Times New Roman" w:hAnsi="Times New Roman" w:cs="Times New Roman"/>
                <w:bCs/>
                <w:lang w:eastAsia="en-AU"/>
              </w:rPr>
              <w:t>11(3);</w:t>
            </w:r>
            <w:proofErr w:type="gramEnd"/>
          </w:p>
          <w:p w14:paraId="638AEC95" w14:textId="77777777" w:rsidR="0065284A" w:rsidRPr="00112788" w:rsidRDefault="0065284A" w:rsidP="003D14AE">
            <w:pPr>
              <w:numPr>
                <w:ilvl w:val="0"/>
                <w:numId w:val="25"/>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12(1);</w:t>
            </w:r>
            <w:proofErr w:type="gramEnd"/>
          </w:p>
          <w:p w14:paraId="63A2F02F" w14:textId="77777777" w:rsidR="0065284A" w:rsidRPr="00112788" w:rsidRDefault="0065284A" w:rsidP="003D14AE">
            <w:pPr>
              <w:numPr>
                <w:ilvl w:val="0"/>
                <w:numId w:val="25"/>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12(2);</w:t>
            </w:r>
            <w:proofErr w:type="gramEnd"/>
          </w:p>
          <w:p w14:paraId="7CE53607" w14:textId="77777777" w:rsidR="0065284A" w:rsidRPr="00112788" w:rsidRDefault="0065284A" w:rsidP="003D14AE">
            <w:pPr>
              <w:numPr>
                <w:ilvl w:val="0"/>
                <w:numId w:val="25"/>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12(3);</w:t>
            </w:r>
            <w:proofErr w:type="gramEnd"/>
          </w:p>
          <w:p w14:paraId="0056AD86" w14:textId="77777777" w:rsidR="0065284A" w:rsidRPr="00112788" w:rsidRDefault="0065284A" w:rsidP="003D14AE">
            <w:pPr>
              <w:numPr>
                <w:ilvl w:val="0"/>
                <w:numId w:val="25"/>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12(4);</w:t>
            </w:r>
            <w:proofErr w:type="gramEnd"/>
          </w:p>
          <w:p w14:paraId="184B8E47" w14:textId="77777777" w:rsidR="0065284A" w:rsidRPr="00112788" w:rsidRDefault="0065284A" w:rsidP="003D14AE">
            <w:pPr>
              <w:numPr>
                <w:ilvl w:val="0"/>
                <w:numId w:val="25"/>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12(5);</w:t>
            </w:r>
            <w:proofErr w:type="gramEnd"/>
          </w:p>
          <w:p w14:paraId="259DEDCC" w14:textId="77777777" w:rsidR="0065284A" w:rsidRPr="00112788" w:rsidRDefault="0065284A" w:rsidP="003D14AE">
            <w:pPr>
              <w:numPr>
                <w:ilvl w:val="0"/>
                <w:numId w:val="25"/>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13(2);</w:t>
            </w:r>
            <w:proofErr w:type="gramEnd"/>
          </w:p>
          <w:p w14:paraId="36B86F34" w14:textId="77777777" w:rsidR="0065284A" w:rsidRPr="00112788" w:rsidRDefault="0065284A" w:rsidP="003D14AE">
            <w:pPr>
              <w:numPr>
                <w:ilvl w:val="0"/>
                <w:numId w:val="25"/>
              </w:numPr>
              <w:spacing w:before="100" w:beforeAutospacing="1" w:after="100" w:afterAutospacing="1" w:line="257" w:lineRule="auto"/>
              <w:ind w:left="447" w:hanging="357"/>
              <w:contextualSpacing/>
              <w:rPr>
                <w:rFonts w:ascii="Times New Roman" w:hAnsi="Times New Roman" w:cs="Times New Roman"/>
                <w:bCs/>
                <w:lang w:eastAsia="en-AU"/>
              </w:rPr>
            </w:pPr>
            <w:r w:rsidRPr="00112788">
              <w:rPr>
                <w:rFonts w:ascii="Times New Roman" w:hAnsi="Times New Roman" w:cs="Times New Roman"/>
                <w:bCs/>
                <w:lang w:eastAsia="en-AU"/>
              </w:rPr>
              <w:t xml:space="preserve">subsection </w:t>
            </w:r>
            <w:proofErr w:type="gramStart"/>
            <w:r w:rsidRPr="00112788">
              <w:rPr>
                <w:rFonts w:ascii="Times New Roman" w:hAnsi="Times New Roman" w:cs="Times New Roman"/>
                <w:bCs/>
                <w:lang w:eastAsia="en-AU"/>
              </w:rPr>
              <w:t>13(5);</w:t>
            </w:r>
            <w:proofErr w:type="gramEnd"/>
          </w:p>
          <w:p w14:paraId="5C8EDD81" w14:textId="77777777" w:rsidR="0065284A" w:rsidRPr="00112788" w:rsidRDefault="0065284A" w:rsidP="003D14AE">
            <w:pPr>
              <w:spacing w:before="100" w:beforeAutospacing="1" w:after="100" w:afterAutospacing="1" w:line="257" w:lineRule="auto"/>
              <w:ind w:left="164" w:hanging="142"/>
              <w:contextualSpacing/>
              <w:rPr>
                <w:rFonts w:ascii="Times New Roman" w:hAnsi="Times New Roman" w:cs="Times New Roman"/>
                <w:bCs/>
                <w:lang w:eastAsia="en-AU"/>
              </w:rPr>
            </w:pPr>
            <w:r w:rsidRPr="00112788">
              <w:rPr>
                <w:rFonts w:ascii="Times New Roman" w:hAnsi="Times New Roman" w:cs="Times New Roman"/>
                <w:bCs/>
                <w:lang w:eastAsia="en-AU"/>
              </w:rPr>
              <w:t>(za) paragraph 13(6)(a</w:t>
            </w:r>
            <w:proofErr w:type="gramStart"/>
            <w:r w:rsidRPr="00112788">
              <w:rPr>
                <w:rFonts w:ascii="Times New Roman" w:hAnsi="Times New Roman" w:cs="Times New Roman"/>
                <w:bCs/>
                <w:lang w:eastAsia="en-AU"/>
              </w:rPr>
              <w:t>);</w:t>
            </w:r>
            <w:proofErr w:type="gramEnd"/>
          </w:p>
          <w:p w14:paraId="6FD47FDE" w14:textId="77777777" w:rsidR="0065284A" w:rsidRPr="00112788" w:rsidRDefault="0065284A" w:rsidP="003D14AE">
            <w:pPr>
              <w:spacing w:before="100" w:beforeAutospacing="1" w:afterAutospacing="1" w:line="257" w:lineRule="auto"/>
              <w:ind w:left="164" w:hanging="142"/>
              <w:contextualSpacing/>
              <w:rPr>
                <w:rFonts w:ascii="Times New Roman" w:hAnsi="Times New Roman" w:cs="Times New Roman"/>
                <w:bCs/>
                <w:lang w:eastAsia="en-AU"/>
              </w:rPr>
            </w:pPr>
            <w:r w:rsidRPr="00112788">
              <w:rPr>
                <w:rFonts w:ascii="Times New Roman" w:hAnsi="Times New Roman" w:cs="Times New Roman"/>
                <w:bCs/>
                <w:lang w:eastAsia="en-AU"/>
              </w:rPr>
              <w:t>(</w:t>
            </w:r>
            <w:proofErr w:type="spellStart"/>
            <w:r w:rsidRPr="00112788">
              <w:rPr>
                <w:rFonts w:ascii="Times New Roman" w:hAnsi="Times New Roman" w:cs="Times New Roman"/>
                <w:bCs/>
                <w:lang w:eastAsia="en-AU"/>
              </w:rPr>
              <w:t>zb</w:t>
            </w:r>
            <w:proofErr w:type="spellEnd"/>
            <w:r w:rsidRPr="00112788">
              <w:rPr>
                <w:rFonts w:ascii="Times New Roman" w:hAnsi="Times New Roman" w:cs="Times New Roman"/>
                <w:bCs/>
                <w:lang w:eastAsia="en-AU"/>
              </w:rPr>
              <w:t>) paragraph 13(12)(b).</w:t>
            </w:r>
          </w:p>
          <w:p w14:paraId="463A57F7" w14:textId="77777777" w:rsidR="0065284A" w:rsidRPr="00112788" w:rsidRDefault="0065284A" w:rsidP="003D14AE">
            <w:pPr>
              <w:spacing w:before="100" w:beforeAutospacing="1" w:afterAutospacing="1" w:line="257" w:lineRule="auto"/>
              <w:ind w:left="947"/>
              <w:contextualSpacing/>
              <w:rPr>
                <w:rFonts w:ascii="Times New Roman" w:hAnsi="Times New Roman" w:cs="Times New Roman"/>
                <w:bCs/>
                <w:lang w:eastAsia="en-AU"/>
              </w:rPr>
            </w:pPr>
          </w:p>
        </w:tc>
      </w:tr>
    </w:tbl>
    <w:p w14:paraId="03B53818" w14:textId="77777777" w:rsidR="0065284A" w:rsidRPr="00287ACE" w:rsidRDefault="0065284A" w:rsidP="0065284A">
      <w:pPr>
        <w:rPr>
          <w:rFonts w:ascii="Times New Roman" w:hAnsi="Times New Roman" w:cs="Times New Roman"/>
          <w:bCs/>
        </w:rPr>
      </w:pPr>
    </w:p>
    <w:p w14:paraId="21980B76" w14:textId="77777777" w:rsidR="0065284A" w:rsidRPr="0065284A" w:rsidRDefault="0065284A" w:rsidP="004227CF">
      <w:pPr>
        <w:rPr>
          <w:rFonts w:ascii="Times New Roman" w:hAnsi="Times New Roman" w:cs="Times New Roman"/>
        </w:rPr>
      </w:pPr>
    </w:p>
    <w:sectPr w:rsidR="0065284A" w:rsidRPr="0065284A" w:rsidSect="00082354">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0737" w14:textId="77777777" w:rsidR="000478CD" w:rsidRDefault="000478CD" w:rsidP="00025ACE">
      <w:pPr>
        <w:spacing w:after="0" w:line="240" w:lineRule="auto"/>
      </w:pPr>
      <w:r>
        <w:separator/>
      </w:r>
    </w:p>
  </w:endnote>
  <w:endnote w:type="continuationSeparator" w:id="0">
    <w:p w14:paraId="470D6A5F" w14:textId="77777777" w:rsidR="000478CD" w:rsidRDefault="000478CD" w:rsidP="00025ACE">
      <w:pPr>
        <w:spacing w:after="0" w:line="240" w:lineRule="auto"/>
      </w:pPr>
      <w:r>
        <w:continuationSeparator/>
      </w:r>
    </w:p>
  </w:endnote>
  <w:endnote w:type="continuationNotice" w:id="1">
    <w:p w14:paraId="3F616D7B" w14:textId="77777777" w:rsidR="000478CD" w:rsidRDefault="00047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23EF21AE" w14:textId="77777777" w:rsidR="00ED44EC" w:rsidRPr="005362F2" w:rsidRDefault="00AD3414" w:rsidP="005362F2">
        <w:pPr>
          <w:spacing w:after="0" w:line="257" w:lineRule="auto"/>
          <w:jc w:val="center"/>
          <w:rPr>
            <w:rFonts w:ascii="Times New Roman" w:hAnsi="Times New Roman" w:cs="Times New Roman"/>
            <w:b/>
            <w:iCs/>
          </w:rPr>
        </w:pPr>
        <w:r w:rsidRPr="005362F2">
          <w:rPr>
            <w:rFonts w:ascii="Times New Roman" w:hAnsi="Times New Roman" w:cs="Times New Roman"/>
            <w:iCs/>
          </w:rPr>
          <w:t>Explanatory Statement to the</w:t>
        </w:r>
        <w:r w:rsidRPr="008E36F3">
          <w:rPr>
            <w:rFonts w:ascii="Times New Roman" w:hAnsi="Times New Roman" w:cs="Times New Roman"/>
            <w:iCs/>
          </w:rPr>
          <w:t xml:space="preserve"> </w:t>
        </w:r>
      </w:p>
      <w:p w14:paraId="3C2A88A5" w14:textId="3E3DE8C5" w:rsidR="00ED44EC" w:rsidRPr="00915549" w:rsidRDefault="00ED44EC" w:rsidP="005362F2">
        <w:pPr>
          <w:spacing w:after="0" w:line="257" w:lineRule="auto"/>
          <w:jc w:val="center"/>
          <w:rPr>
            <w:rFonts w:ascii="Times New Roman" w:hAnsi="Times New Roman" w:cs="Times New Roman"/>
            <w:bCs/>
            <w:i/>
          </w:rPr>
        </w:pPr>
        <w:r w:rsidRPr="00915549">
          <w:rPr>
            <w:rFonts w:ascii="Times New Roman" w:hAnsi="Times New Roman" w:cs="Times New Roman"/>
            <w:bCs/>
            <w:i/>
          </w:rPr>
          <w:t>Telecommunications (Listed Infringement Notice Provisions) Amendment Declaration 2022</w:t>
        </w:r>
        <w:r w:rsidR="00334C20">
          <w:rPr>
            <w:rFonts w:ascii="Times New Roman" w:hAnsi="Times New Roman" w:cs="Times New Roman"/>
            <w:bCs/>
            <w:i/>
          </w:rPr>
          <w:t xml:space="preserve"> (No. 1)</w:t>
        </w:r>
      </w:p>
      <w:p w14:paraId="7A9CDA51" w14:textId="6F45B01E" w:rsidR="00AD3414" w:rsidRPr="00AD3414" w:rsidRDefault="00AD3414" w:rsidP="00AD3414">
        <w:pPr>
          <w:pStyle w:val="Footer"/>
          <w:jc w:val="center"/>
          <w:rPr>
            <w:rFonts w:ascii="Times New Roman" w:hAnsi="Times New Roman" w:cs="Times New Roman"/>
          </w:rPr>
        </w:pP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F2F8" w14:textId="77777777" w:rsidR="000478CD" w:rsidRDefault="000478CD" w:rsidP="00025ACE">
      <w:pPr>
        <w:spacing w:after="0" w:line="240" w:lineRule="auto"/>
      </w:pPr>
      <w:r>
        <w:separator/>
      </w:r>
    </w:p>
  </w:footnote>
  <w:footnote w:type="continuationSeparator" w:id="0">
    <w:p w14:paraId="7A546A91" w14:textId="77777777" w:rsidR="000478CD" w:rsidRDefault="000478CD" w:rsidP="00025ACE">
      <w:pPr>
        <w:spacing w:after="0" w:line="240" w:lineRule="auto"/>
      </w:pPr>
      <w:r>
        <w:continuationSeparator/>
      </w:r>
    </w:p>
  </w:footnote>
  <w:footnote w:type="continuationNotice" w:id="1">
    <w:p w14:paraId="13758F8A" w14:textId="77777777" w:rsidR="000478CD" w:rsidRDefault="000478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5437DE"/>
    <w:multiLevelType w:val="hybridMultilevel"/>
    <w:tmpl w:val="C39842D4"/>
    <w:lvl w:ilvl="0" w:tplc="628AA3F0">
      <w:start w:val="1"/>
      <w:numFmt w:val="lowerLetter"/>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3" w15:restartNumberingAfterBreak="0">
    <w:nsid w:val="223E5D0A"/>
    <w:multiLevelType w:val="hybridMultilevel"/>
    <w:tmpl w:val="11962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C73517"/>
    <w:multiLevelType w:val="hybridMultilevel"/>
    <w:tmpl w:val="E8EEB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1E4A4A"/>
    <w:multiLevelType w:val="hybridMultilevel"/>
    <w:tmpl w:val="69BCA7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F734FA"/>
    <w:multiLevelType w:val="hybridMultilevel"/>
    <w:tmpl w:val="C39842D4"/>
    <w:lvl w:ilvl="0" w:tplc="FFFFFFFF">
      <w:start w:val="1"/>
      <w:numFmt w:val="lowerLetter"/>
      <w:lvlText w:val="(%1)"/>
      <w:lvlJc w:val="left"/>
      <w:pPr>
        <w:ind w:left="1305" w:hanging="360"/>
      </w:pPr>
      <w:rPr>
        <w:rFonts w:hint="default"/>
      </w:rPr>
    </w:lvl>
    <w:lvl w:ilvl="1" w:tplc="FFFFFFFF" w:tentative="1">
      <w:start w:val="1"/>
      <w:numFmt w:val="lowerLetter"/>
      <w:lvlText w:val="%2."/>
      <w:lvlJc w:val="left"/>
      <w:pPr>
        <w:ind w:left="2025" w:hanging="360"/>
      </w:pPr>
    </w:lvl>
    <w:lvl w:ilvl="2" w:tplc="FFFFFFFF" w:tentative="1">
      <w:start w:val="1"/>
      <w:numFmt w:val="lowerRoman"/>
      <w:lvlText w:val="%3."/>
      <w:lvlJc w:val="right"/>
      <w:pPr>
        <w:ind w:left="2745" w:hanging="180"/>
      </w:pPr>
    </w:lvl>
    <w:lvl w:ilvl="3" w:tplc="FFFFFFFF" w:tentative="1">
      <w:start w:val="1"/>
      <w:numFmt w:val="decimal"/>
      <w:lvlText w:val="%4."/>
      <w:lvlJc w:val="left"/>
      <w:pPr>
        <w:ind w:left="3465" w:hanging="360"/>
      </w:pPr>
    </w:lvl>
    <w:lvl w:ilvl="4" w:tplc="FFFFFFFF" w:tentative="1">
      <w:start w:val="1"/>
      <w:numFmt w:val="lowerLetter"/>
      <w:lvlText w:val="%5."/>
      <w:lvlJc w:val="left"/>
      <w:pPr>
        <w:ind w:left="4185" w:hanging="360"/>
      </w:pPr>
    </w:lvl>
    <w:lvl w:ilvl="5" w:tplc="FFFFFFFF" w:tentative="1">
      <w:start w:val="1"/>
      <w:numFmt w:val="lowerRoman"/>
      <w:lvlText w:val="%6."/>
      <w:lvlJc w:val="right"/>
      <w:pPr>
        <w:ind w:left="4905" w:hanging="180"/>
      </w:pPr>
    </w:lvl>
    <w:lvl w:ilvl="6" w:tplc="FFFFFFFF" w:tentative="1">
      <w:start w:val="1"/>
      <w:numFmt w:val="decimal"/>
      <w:lvlText w:val="%7."/>
      <w:lvlJc w:val="left"/>
      <w:pPr>
        <w:ind w:left="5625" w:hanging="360"/>
      </w:pPr>
    </w:lvl>
    <w:lvl w:ilvl="7" w:tplc="FFFFFFFF" w:tentative="1">
      <w:start w:val="1"/>
      <w:numFmt w:val="lowerLetter"/>
      <w:lvlText w:val="%8."/>
      <w:lvlJc w:val="left"/>
      <w:pPr>
        <w:ind w:left="6345" w:hanging="360"/>
      </w:pPr>
    </w:lvl>
    <w:lvl w:ilvl="8" w:tplc="FFFFFFFF" w:tentative="1">
      <w:start w:val="1"/>
      <w:numFmt w:val="lowerRoman"/>
      <w:lvlText w:val="%9."/>
      <w:lvlJc w:val="right"/>
      <w:pPr>
        <w:ind w:left="7065" w:hanging="180"/>
      </w:pPr>
    </w:lvl>
  </w:abstractNum>
  <w:abstractNum w:abstractNumId="12"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085705"/>
    <w:multiLevelType w:val="hybridMultilevel"/>
    <w:tmpl w:val="295AB1D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F8B392E"/>
    <w:multiLevelType w:val="hybridMultilevel"/>
    <w:tmpl w:val="9A0C6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FB2083"/>
    <w:multiLevelType w:val="hybridMultilevel"/>
    <w:tmpl w:val="253860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0"/>
  </w:num>
  <w:num w:numId="3">
    <w:abstractNumId w:val="1"/>
  </w:num>
  <w:num w:numId="4">
    <w:abstractNumId w:val="8"/>
  </w:num>
  <w:num w:numId="5">
    <w:abstractNumId w:val="7"/>
  </w:num>
  <w:num w:numId="6">
    <w:abstractNumId w:val="0"/>
  </w:num>
  <w:num w:numId="7">
    <w:abstractNumId w:val="4"/>
  </w:num>
  <w:num w:numId="8">
    <w:abstractNumId w:val="12"/>
  </w:num>
  <w:num w:numId="9">
    <w:abstractNumId w:val="1"/>
  </w:num>
  <w:num w:numId="10">
    <w:abstractNumId w:val="4"/>
  </w:num>
  <w:num w:numId="11">
    <w:abstractNumId w:val="8"/>
  </w:num>
  <w:num w:numId="12">
    <w:abstractNumId w:val="7"/>
  </w:num>
  <w:num w:numId="13">
    <w:abstractNumId w:val="12"/>
  </w:num>
  <w:num w:numId="14">
    <w:abstractNumId w:val="1"/>
  </w:num>
  <w:num w:numId="15">
    <w:abstractNumId w:val="4"/>
  </w:num>
  <w:num w:numId="16">
    <w:abstractNumId w:val="8"/>
  </w:num>
  <w:num w:numId="17">
    <w:abstractNumId w:val="7"/>
  </w:num>
  <w:num w:numId="18">
    <w:abstractNumId w:val="9"/>
  </w:num>
  <w:num w:numId="19">
    <w:abstractNumId w:val="3"/>
  </w:num>
  <w:num w:numId="20">
    <w:abstractNumId w:val="6"/>
  </w:num>
  <w:num w:numId="21">
    <w:abstractNumId w:val="13"/>
  </w:num>
  <w:num w:numId="22">
    <w:abstractNumId w:val="15"/>
  </w:num>
  <w:num w:numId="23">
    <w:abstractNumId w:val="2"/>
  </w:num>
  <w:num w:numId="24">
    <w:abstractNumId w:val="14"/>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0508B"/>
    <w:rsid w:val="000104EA"/>
    <w:rsid w:val="000124F9"/>
    <w:rsid w:val="00013079"/>
    <w:rsid w:val="00023BFD"/>
    <w:rsid w:val="00025ACE"/>
    <w:rsid w:val="000349C2"/>
    <w:rsid w:val="00037F0E"/>
    <w:rsid w:val="00040667"/>
    <w:rsid w:val="000414AC"/>
    <w:rsid w:val="000478CD"/>
    <w:rsid w:val="00047952"/>
    <w:rsid w:val="00053D80"/>
    <w:rsid w:val="000577EA"/>
    <w:rsid w:val="00061C4C"/>
    <w:rsid w:val="00062DEE"/>
    <w:rsid w:val="000656C4"/>
    <w:rsid w:val="00070868"/>
    <w:rsid w:val="00070D91"/>
    <w:rsid w:val="00071829"/>
    <w:rsid w:val="000726C7"/>
    <w:rsid w:val="000733BC"/>
    <w:rsid w:val="00074A8D"/>
    <w:rsid w:val="00082354"/>
    <w:rsid w:val="00082EF9"/>
    <w:rsid w:val="00095AB3"/>
    <w:rsid w:val="000A0006"/>
    <w:rsid w:val="000A3A94"/>
    <w:rsid w:val="000A7212"/>
    <w:rsid w:val="000B0BA7"/>
    <w:rsid w:val="000B33B6"/>
    <w:rsid w:val="000B4B6C"/>
    <w:rsid w:val="000B560E"/>
    <w:rsid w:val="000B5C78"/>
    <w:rsid w:val="000B7BD4"/>
    <w:rsid w:val="000C6436"/>
    <w:rsid w:val="000D4ECE"/>
    <w:rsid w:val="000E38C9"/>
    <w:rsid w:val="000E6F58"/>
    <w:rsid w:val="000F6255"/>
    <w:rsid w:val="00104130"/>
    <w:rsid w:val="00112987"/>
    <w:rsid w:val="001144BB"/>
    <w:rsid w:val="0011481C"/>
    <w:rsid w:val="00115B98"/>
    <w:rsid w:val="00117351"/>
    <w:rsid w:val="001208C0"/>
    <w:rsid w:val="00121B9E"/>
    <w:rsid w:val="00122072"/>
    <w:rsid w:val="00134705"/>
    <w:rsid w:val="00144691"/>
    <w:rsid w:val="00146A0C"/>
    <w:rsid w:val="00150C82"/>
    <w:rsid w:val="00153A89"/>
    <w:rsid w:val="00161C73"/>
    <w:rsid w:val="00163766"/>
    <w:rsid w:val="00185BDC"/>
    <w:rsid w:val="0019169C"/>
    <w:rsid w:val="001A0132"/>
    <w:rsid w:val="001C46BF"/>
    <w:rsid w:val="001C4BF8"/>
    <w:rsid w:val="001C5421"/>
    <w:rsid w:val="001D048B"/>
    <w:rsid w:val="001D5C25"/>
    <w:rsid w:val="001E343E"/>
    <w:rsid w:val="001F340B"/>
    <w:rsid w:val="001F6015"/>
    <w:rsid w:val="001F7DFD"/>
    <w:rsid w:val="00201A51"/>
    <w:rsid w:val="002070C8"/>
    <w:rsid w:val="00212847"/>
    <w:rsid w:val="00245FC8"/>
    <w:rsid w:val="002508F7"/>
    <w:rsid w:val="0026398E"/>
    <w:rsid w:val="002674E7"/>
    <w:rsid w:val="002864F9"/>
    <w:rsid w:val="00286713"/>
    <w:rsid w:val="00287ACE"/>
    <w:rsid w:val="002B6699"/>
    <w:rsid w:val="002C2256"/>
    <w:rsid w:val="002C6B09"/>
    <w:rsid w:val="002D57DF"/>
    <w:rsid w:val="002E022D"/>
    <w:rsid w:val="002E3B2A"/>
    <w:rsid w:val="002E7105"/>
    <w:rsid w:val="002F1400"/>
    <w:rsid w:val="002F36E0"/>
    <w:rsid w:val="002F543A"/>
    <w:rsid w:val="00304308"/>
    <w:rsid w:val="0030602B"/>
    <w:rsid w:val="00330A61"/>
    <w:rsid w:val="00334C20"/>
    <w:rsid w:val="00337122"/>
    <w:rsid w:val="00341179"/>
    <w:rsid w:val="003434D4"/>
    <w:rsid w:val="0035475F"/>
    <w:rsid w:val="003559E4"/>
    <w:rsid w:val="0036130C"/>
    <w:rsid w:val="00361D55"/>
    <w:rsid w:val="00365C86"/>
    <w:rsid w:val="00365FA8"/>
    <w:rsid w:val="0036752E"/>
    <w:rsid w:val="00370620"/>
    <w:rsid w:val="00375FA7"/>
    <w:rsid w:val="00385EF1"/>
    <w:rsid w:val="0038788E"/>
    <w:rsid w:val="003927F8"/>
    <w:rsid w:val="003976CB"/>
    <w:rsid w:val="003A3635"/>
    <w:rsid w:val="003A7407"/>
    <w:rsid w:val="003B3D92"/>
    <w:rsid w:val="003C2F82"/>
    <w:rsid w:val="003C44B4"/>
    <w:rsid w:val="003D4895"/>
    <w:rsid w:val="003D74BE"/>
    <w:rsid w:val="003E698F"/>
    <w:rsid w:val="003F155E"/>
    <w:rsid w:val="00403834"/>
    <w:rsid w:val="0041003E"/>
    <w:rsid w:val="004227CF"/>
    <w:rsid w:val="00423101"/>
    <w:rsid w:val="0042332C"/>
    <w:rsid w:val="00427950"/>
    <w:rsid w:val="0043127C"/>
    <w:rsid w:val="00433A3C"/>
    <w:rsid w:val="004362E3"/>
    <w:rsid w:val="00446CB7"/>
    <w:rsid w:val="00450F48"/>
    <w:rsid w:val="0045489F"/>
    <w:rsid w:val="00460EC4"/>
    <w:rsid w:val="00474889"/>
    <w:rsid w:val="0047717C"/>
    <w:rsid w:val="004826DD"/>
    <w:rsid w:val="004971D6"/>
    <w:rsid w:val="004A1064"/>
    <w:rsid w:val="004B3669"/>
    <w:rsid w:val="004B4AF7"/>
    <w:rsid w:val="004B71C7"/>
    <w:rsid w:val="004C58B9"/>
    <w:rsid w:val="004D2843"/>
    <w:rsid w:val="004D7D0D"/>
    <w:rsid w:val="004E5712"/>
    <w:rsid w:val="004E790E"/>
    <w:rsid w:val="004F60DB"/>
    <w:rsid w:val="0050389F"/>
    <w:rsid w:val="00510E6F"/>
    <w:rsid w:val="00514D63"/>
    <w:rsid w:val="00520EC8"/>
    <w:rsid w:val="0052687A"/>
    <w:rsid w:val="005273ED"/>
    <w:rsid w:val="0053529E"/>
    <w:rsid w:val="005362F2"/>
    <w:rsid w:val="005444C2"/>
    <w:rsid w:val="005450E9"/>
    <w:rsid w:val="0054521A"/>
    <w:rsid w:val="005460CD"/>
    <w:rsid w:val="00551677"/>
    <w:rsid w:val="00557F87"/>
    <w:rsid w:val="00570974"/>
    <w:rsid w:val="00572738"/>
    <w:rsid w:val="00573D22"/>
    <w:rsid w:val="00576519"/>
    <w:rsid w:val="00580205"/>
    <w:rsid w:val="005864C6"/>
    <w:rsid w:val="005900BF"/>
    <w:rsid w:val="0059136E"/>
    <w:rsid w:val="0059382D"/>
    <w:rsid w:val="005958D6"/>
    <w:rsid w:val="005964CF"/>
    <w:rsid w:val="005A0FF7"/>
    <w:rsid w:val="005A1036"/>
    <w:rsid w:val="005A5CE6"/>
    <w:rsid w:val="005A764C"/>
    <w:rsid w:val="005C6598"/>
    <w:rsid w:val="005C65EB"/>
    <w:rsid w:val="005D3F6E"/>
    <w:rsid w:val="005F5BE6"/>
    <w:rsid w:val="00600DE5"/>
    <w:rsid w:val="00603B3F"/>
    <w:rsid w:val="00616651"/>
    <w:rsid w:val="00641906"/>
    <w:rsid w:val="00642B8A"/>
    <w:rsid w:val="006473C5"/>
    <w:rsid w:val="0065284A"/>
    <w:rsid w:val="00656F42"/>
    <w:rsid w:val="00663AF2"/>
    <w:rsid w:val="006704DB"/>
    <w:rsid w:val="00670716"/>
    <w:rsid w:val="00671216"/>
    <w:rsid w:val="00681800"/>
    <w:rsid w:val="00681986"/>
    <w:rsid w:val="006826AD"/>
    <w:rsid w:val="00686F06"/>
    <w:rsid w:val="00687290"/>
    <w:rsid w:val="0069333E"/>
    <w:rsid w:val="006940DB"/>
    <w:rsid w:val="00696659"/>
    <w:rsid w:val="006A0BDF"/>
    <w:rsid w:val="006A1AA6"/>
    <w:rsid w:val="006A4F66"/>
    <w:rsid w:val="006A53BB"/>
    <w:rsid w:val="006B7F4A"/>
    <w:rsid w:val="006C3349"/>
    <w:rsid w:val="006C59D5"/>
    <w:rsid w:val="006D2881"/>
    <w:rsid w:val="006F32BF"/>
    <w:rsid w:val="006F7E65"/>
    <w:rsid w:val="007015E2"/>
    <w:rsid w:val="00706F43"/>
    <w:rsid w:val="007160B7"/>
    <w:rsid w:val="007209B7"/>
    <w:rsid w:val="00727F7B"/>
    <w:rsid w:val="007352B7"/>
    <w:rsid w:val="0074175C"/>
    <w:rsid w:val="00744424"/>
    <w:rsid w:val="0074661C"/>
    <w:rsid w:val="00746781"/>
    <w:rsid w:val="00746846"/>
    <w:rsid w:val="00750397"/>
    <w:rsid w:val="00752832"/>
    <w:rsid w:val="0075586A"/>
    <w:rsid w:val="007602E7"/>
    <w:rsid w:val="00763DE0"/>
    <w:rsid w:val="00766475"/>
    <w:rsid w:val="007677BF"/>
    <w:rsid w:val="0077166C"/>
    <w:rsid w:val="0077364D"/>
    <w:rsid w:val="007757F1"/>
    <w:rsid w:val="00777AAB"/>
    <w:rsid w:val="00791C99"/>
    <w:rsid w:val="00794C5F"/>
    <w:rsid w:val="007A0103"/>
    <w:rsid w:val="007A2277"/>
    <w:rsid w:val="007B61F9"/>
    <w:rsid w:val="007B714D"/>
    <w:rsid w:val="007C2FB5"/>
    <w:rsid w:val="007C438D"/>
    <w:rsid w:val="007C65D6"/>
    <w:rsid w:val="007C77D9"/>
    <w:rsid w:val="00805358"/>
    <w:rsid w:val="008070A8"/>
    <w:rsid w:val="00810499"/>
    <w:rsid w:val="0081166D"/>
    <w:rsid w:val="0081203C"/>
    <w:rsid w:val="00821F3F"/>
    <w:rsid w:val="0082365D"/>
    <w:rsid w:val="008441CF"/>
    <w:rsid w:val="0084470A"/>
    <w:rsid w:val="00855004"/>
    <w:rsid w:val="00855588"/>
    <w:rsid w:val="00857A80"/>
    <w:rsid w:val="008638B4"/>
    <w:rsid w:val="008660F2"/>
    <w:rsid w:val="0087707C"/>
    <w:rsid w:val="00890A5A"/>
    <w:rsid w:val="00891FA2"/>
    <w:rsid w:val="00892DCD"/>
    <w:rsid w:val="0089542B"/>
    <w:rsid w:val="00895A1F"/>
    <w:rsid w:val="008A1FDF"/>
    <w:rsid w:val="008B075D"/>
    <w:rsid w:val="008B77FF"/>
    <w:rsid w:val="008C0A7E"/>
    <w:rsid w:val="008C584E"/>
    <w:rsid w:val="008E3483"/>
    <w:rsid w:val="008E3516"/>
    <w:rsid w:val="008E361A"/>
    <w:rsid w:val="008E36F3"/>
    <w:rsid w:val="008F2EBA"/>
    <w:rsid w:val="008F4C58"/>
    <w:rsid w:val="0090572C"/>
    <w:rsid w:val="00907231"/>
    <w:rsid w:val="0090755B"/>
    <w:rsid w:val="0091080B"/>
    <w:rsid w:val="00915549"/>
    <w:rsid w:val="00921C09"/>
    <w:rsid w:val="00926833"/>
    <w:rsid w:val="00940227"/>
    <w:rsid w:val="009445DF"/>
    <w:rsid w:val="00962C07"/>
    <w:rsid w:val="00963DE0"/>
    <w:rsid w:val="00965D81"/>
    <w:rsid w:val="009670B7"/>
    <w:rsid w:val="009723D1"/>
    <w:rsid w:val="009732C1"/>
    <w:rsid w:val="00973C9B"/>
    <w:rsid w:val="00975667"/>
    <w:rsid w:val="00977705"/>
    <w:rsid w:val="00990470"/>
    <w:rsid w:val="00990AB9"/>
    <w:rsid w:val="00992E4D"/>
    <w:rsid w:val="0099443E"/>
    <w:rsid w:val="009972F8"/>
    <w:rsid w:val="009D5783"/>
    <w:rsid w:val="009D67A8"/>
    <w:rsid w:val="009D7D6B"/>
    <w:rsid w:val="009E348E"/>
    <w:rsid w:val="009E76FF"/>
    <w:rsid w:val="009F7219"/>
    <w:rsid w:val="00A07A2F"/>
    <w:rsid w:val="00A1330C"/>
    <w:rsid w:val="00A213A8"/>
    <w:rsid w:val="00A21929"/>
    <w:rsid w:val="00A21F3E"/>
    <w:rsid w:val="00A22A04"/>
    <w:rsid w:val="00A323D0"/>
    <w:rsid w:val="00A331CE"/>
    <w:rsid w:val="00A64EC4"/>
    <w:rsid w:val="00A7023B"/>
    <w:rsid w:val="00AA3E1D"/>
    <w:rsid w:val="00AA6088"/>
    <w:rsid w:val="00AB5FEF"/>
    <w:rsid w:val="00AB65E7"/>
    <w:rsid w:val="00AC22D2"/>
    <w:rsid w:val="00AC2F52"/>
    <w:rsid w:val="00AD3414"/>
    <w:rsid w:val="00AD500F"/>
    <w:rsid w:val="00AD62AA"/>
    <w:rsid w:val="00AD6451"/>
    <w:rsid w:val="00AD797C"/>
    <w:rsid w:val="00AE2CB4"/>
    <w:rsid w:val="00AE6898"/>
    <w:rsid w:val="00AF080D"/>
    <w:rsid w:val="00AF6545"/>
    <w:rsid w:val="00AF7234"/>
    <w:rsid w:val="00B002C5"/>
    <w:rsid w:val="00B00FC3"/>
    <w:rsid w:val="00B135CD"/>
    <w:rsid w:val="00B17FFB"/>
    <w:rsid w:val="00B21C6E"/>
    <w:rsid w:val="00B26A04"/>
    <w:rsid w:val="00B277BB"/>
    <w:rsid w:val="00B52584"/>
    <w:rsid w:val="00B52F5E"/>
    <w:rsid w:val="00B6314A"/>
    <w:rsid w:val="00B665E6"/>
    <w:rsid w:val="00B727F3"/>
    <w:rsid w:val="00B76AE3"/>
    <w:rsid w:val="00B82892"/>
    <w:rsid w:val="00B872A6"/>
    <w:rsid w:val="00B90F17"/>
    <w:rsid w:val="00B93A3E"/>
    <w:rsid w:val="00B94B30"/>
    <w:rsid w:val="00B95C71"/>
    <w:rsid w:val="00BA375E"/>
    <w:rsid w:val="00BA602A"/>
    <w:rsid w:val="00BA6E5C"/>
    <w:rsid w:val="00BA7D17"/>
    <w:rsid w:val="00BB076E"/>
    <w:rsid w:val="00BB1CF2"/>
    <w:rsid w:val="00BB4FB5"/>
    <w:rsid w:val="00BB7A25"/>
    <w:rsid w:val="00BC0A3C"/>
    <w:rsid w:val="00BC5916"/>
    <w:rsid w:val="00BC621F"/>
    <w:rsid w:val="00BD1FCB"/>
    <w:rsid w:val="00BD5526"/>
    <w:rsid w:val="00BD78AE"/>
    <w:rsid w:val="00BE1135"/>
    <w:rsid w:val="00BF38C8"/>
    <w:rsid w:val="00BF4118"/>
    <w:rsid w:val="00BF6AF2"/>
    <w:rsid w:val="00C0254C"/>
    <w:rsid w:val="00C032F0"/>
    <w:rsid w:val="00C03503"/>
    <w:rsid w:val="00C10E3A"/>
    <w:rsid w:val="00C14388"/>
    <w:rsid w:val="00C20621"/>
    <w:rsid w:val="00C208AF"/>
    <w:rsid w:val="00C21933"/>
    <w:rsid w:val="00C25587"/>
    <w:rsid w:val="00C36252"/>
    <w:rsid w:val="00C45569"/>
    <w:rsid w:val="00C4698F"/>
    <w:rsid w:val="00C50D4B"/>
    <w:rsid w:val="00C52681"/>
    <w:rsid w:val="00C57E29"/>
    <w:rsid w:val="00C611F2"/>
    <w:rsid w:val="00C63E8C"/>
    <w:rsid w:val="00C659A7"/>
    <w:rsid w:val="00C74BDF"/>
    <w:rsid w:val="00C75DE5"/>
    <w:rsid w:val="00C76733"/>
    <w:rsid w:val="00C76FFC"/>
    <w:rsid w:val="00C8251B"/>
    <w:rsid w:val="00C9259F"/>
    <w:rsid w:val="00C93D02"/>
    <w:rsid w:val="00CA3398"/>
    <w:rsid w:val="00CA40FA"/>
    <w:rsid w:val="00CA6926"/>
    <w:rsid w:val="00CA735C"/>
    <w:rsid w:val="00CB3AD5"/>
    <w:rsid w:val="00CC282E"/>
    <w:rsid w:val="00CC4A47"/>
    <w:rsid w:val="00CD0D86"/>
    <w:rsid w:val="00CD71EB"/>
    <w:rsid w:val="00CE14D9"/>
    <w:rsid w:val="00CE3CC8"/>
    <w:rsid w:val="00CE5861"/>
    <w:rsid w:val="00CF0E0D"/>
    <w:rsid w:val="00D010C0"/>
    <w:rsid w:val="00D02FB3"/>
    <w:rsid w:val="00D04F97"/>
    <w:rsid w:val="00D13D39"/>
    <w:rsid w:val="00D1650F"/>
    <w:rsid w:val="00D23BD5"/>
    <w:rsid w:val="00D2518B"/>
    <w:rsid w:val="00D30F7F"/>
    <w:rsid w:val="00D318EA"/>
    <w:rsid w:val="00D32E4E"/>
    <w:rsid w:val="00D333C0"/>
    <w:rsid w:val="00D33578"/>
    <w:rsid w:val="00D35790"/>
    <w:rsid w:val="00D41124"/>
    <w:rsid w:val="00D44D21"/>
    <w:rsid w:val="00D51A78"/>
    <w:rsid w:val="00D5385A"/>
    <w:rsid w:val="00D57387"/>
    <w:rsid w:val="00D7212E"/>
    <w:rsid w:val="00D7249B"/>
    <w:rsid w:val="00D81EAD"/>
    <w:rsid w:val="00D82AC9"/>
    <w:rsid w:val="00D87737"/>
    <w:rsid w:val="00D90C38"/>
    <w:rsid w:val="00DA0D39"/>
    <w:rsid w:val="00DA223A"/>
    <w:rsid w:val="00DA56C5"/>
    <w:rsid w:val="00DB0F81"/>
    <w:rsid w:val="00DB0F8D"/>
    <w:rsid w:val="00DB4A50"/>
    <w:rsid w:val="00DE7EA9"/>
    <w:rsid w:val="00DE7FC4"/>
    <w:rsid w:val="00DF2758"/>
    <w:rsid w:val="00DF7BCF"/>
    <w:rsid w:val="00E21C4A"/>
    <w:rsid w:val="00E34424"/>
    <w:rsid w:val="00E42563"/>
    <w:rsid w:val="00E559A6"/>
    <w:rsid w:val="00E65211"/>
    <w:rsid w:val="00E7365C"/>
    <w:rsid w:val="00E81257"/>
    <w:rsid w:val="00E833DA"/>
    <w:rsid w:val="00E90449"/>
    <w:rsid w:val="00EB0C79"/>
    <w:rsid w:val="00EB62C5"/>
    <w:rsid w:val="00EC0A36"/>
    <w:rsid w:val="00EC1A61"/>
    <w:rsid w:val="00EC4A42"/>
    <w:rsid w:val="00EC54C3"/>
    <w:rsid w:val="00EC76A0"/>
    <w:rsid w:val="00ED44EC"/>
    <w:rsid w:val="00ED7174"/>
    <w:rsid w:val="00EE4F9E"/>
    <w:rsid w:val="00EE51DD"/>
    <w:rsid w:val="00EE5E7F"/>
    <w:rsid w:val="00F00A95"/>
    <w:rsid w:val="00F037A3"/>
    <w:rsid w:val="00F03B77"/>
    <w:rsid w:val="00F21F2C"/>
    <w:rsid w:val="00F26D2E"/>
    <w:rsid w:val="00F33BD8"/>
    <w:rsid w:val="00F360B1"/>
    <w:rsid w:val="00F406BB"/>
    <w:rsid w:val="00F4329F"/>
    <w:rsid w:val="00F4414D"/>
    <w:rsid w:val="00F62A3E"/>
    <w:rsid w:val="00F675AA"/>
    <w:rsid w:val="00F76815"/>
    <w:rsid w:val="00F93742"/>
    <w:rsid w:val="00FB4437"/>
    <w:rsid w:val="00FC0BF3"/>
    <w:rsid w:val="00FC67DA"/>
    <w:rsid w:val="00FC7368"/>
    <w:rsid w:val="00FD6A58"/>
    <w:rsid w:val="00FE18B2"/>
    <w:rsid w:val="00FF2C24"/>
    <w:rsid w:val="00FF64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NumberedList">
    <w:name w:val="ACMA Numbered List"/>
    <w:rsid w:val="00D318EA"/>
    <w:pPr>
      <w:numPr>
        <w:numId w:val="20"/>
      </w:numPr>
      <w:spacing w:before="20" w:after="2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7468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6846"/>
    <w:rPr>
      <w:sz w:val="20"/>
      <w:szCs w:val="20"/>
    </w:rPr>
  </w:style>
  <w:style w:type="character" w:styleId="FootnoteReference">
    <w:name w:val="footnote reference"/>
    <w:basedOn w:val="DefaultParagraphFont"/>
    <w:uiPriority w:val="99"/>
    <w:semiHidden/>
    <w:unhideWhenUsed/>
    <w:rsid w:val="00746846"/>
    <w:rPr>
      <w:vertAlign w:val="superscript"/>
    </w:rPr>
  </w:style>
  <w:style w:type="paragraph" w:styleId="Revision">
    <w:name w:val="Revision"/>
    <w:hidden/>
    <w:uiPriority w:val="99"/>
    <w:semiHidden/>
    <w:rsid w:val="0075586A"/>
    <w:pPr>
      <w:spacing w:after="0" w:line="240" w:lineRule="auto"/>
    </w:pPr>
  </w:style>
  <w:style w:type="character" w:styleId="UnresolvedMention">
    <w:name w:val="Unresolved Mention"/>
    <w:basedOn w:val="DefaultParagraphFont"/>
    <w:uiPriority w:val="99"/>
    <w:semiHidden/>
    <w:unhideWhenUsed/>
    <w:rsid w:val="00C76733"/>
    <w:rPr>
      <w:color w:val="605E5C"/>
      <w:shd w:val="clear" w:color="auto" w:fill="E1DFDD"/>
    </w:rPr>
  </w:style>
  <w:style w:type="character" w:styleId="FollowedHyperlink">
    <w:name w:val="FollowedHyperlink"/>
    <w:basedOn w:val="DefaultParagraphFont"/>
    <w:uiPriority w:val="99"/>
    <w:semiHidden/>
    <w:unhideWhenUsed/>
    <w:rsid w:val="005362F2"/>
    <w:rPr>
      <w:color w:val="954F72" w:themeColor="followedHyperlink"/>
      <w:u w:val="single"/>
    </w:rPr>
  </w:style>
  <w:style w:type="table" w:styleId="TableGrid">
    <w:name w:val="Table Grid"/>
    <w:basedOn w:val="TableNormal"/>
    <w:uiPriority w:val="39"/>
    <w:rsid w:val="00652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10720">
      <w:bodyDiv w:val="1"/>
      <w:marLeft w:val="0"/>
      <w:marRight w:val="0"/>
      <w:marTop w:val="0"/>
      <w:marBottom w:val="0"/>
      <w:divBdr>
        <w:top w:val="none" w:sz="0" w:space="0" w:color="auto"/>
        <w:left w:val="none" w:sz="0" w:space="0" w:color="auto"/>
        <w:bottom w:val="none" w:sz="0" w:space="0" w:color="auto"/>
        <w:right w:val="none" w:sz="0" w:space="0" w:color="auto"/>
      </w:divBdr>
    </w:div>
    <w:div w:id="814416025">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02344909">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9905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AM7W7QW6R7VW-1361499349-1116</_dlc_DocId>
    <_dlc_DocIdUrl xmlns="d71819ef-55b9-420a-86a4-d36bc037540e">
      <Url>http://collaboration/organisation/cccd/UCB/DNCR/_layouts/15/DocIdRedir.aspx?ID=AM7W7QW6R7VW-1361499349-1116</Url>
      <Description>AM7W7QW6R7VW-1361499349-1116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898988453544AA906E7B159CAB062" ma:contentTypeVersion="2" ma:contentTypeDescription="Create a new document." ma:contentTypeScope="" ma:versionID="7d62d0e6dcaa9890ad76900fa99b3917">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D3ED118C-6BE8-4BA3-AC3B-9443C852FA21}">
  <ds:schemaRefs>
    <ds:schemaRef ds:uri="http://schemas.microsoft.com/sharepoint/events"/>
  </ds:schemaRefs>
</ds:datastoreItem>
</file>

<file path=customXml/itemProps3.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d71819ef-55b9-420a-86a4-d36bc037540e"/>
  </ds:schemaRefs>
</ds:datastoreItem>
</file>

<file path=customXml/itemProps4.xml><?xml version="1.0" encoding="utf-8"?>
<ds:datastoreItem xmlns:ds="http://schemas.openxmlformats.org/officeDocument/2006/customXml" ds:itemID="{F764A496-112D-493E-9488-1A1108755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3740</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Aidan Chambers</cp:lastModifiedBy>
  <cp:revision>2</cp:revision>
  <cp:lastPrinted>2022-06-16T00:25:00Z</cp:lastPrinted>
  <dcterms:created xsi:type="dcterms:W3CDTF">2022-07-28T01:56:00Z</dcterms:created>
  <dcterms:modified xsi:type="dcterms:W3CDTF">2022-07-28T01:56:00Z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0x0101002D8898988453544AA906E7B159CAB062</vt:lpwstr>
  </property>
  <property fmtid="{D5CDD505-2E9C-101B-9397-08002B2CF9AE}" pid="3" name="_dlc_DocIdItemGuid">
    <vt:lpwstr>ebb6eea3-5029-4c56-869b-749733d2a08e</vt:lpwstr>
  </property>
</Properties>
</file>