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5119" w14:textId="274F1B36" w:rsidR="0098292A" w:rsidRPr="00AC6574" w:rsidRDefault="0098292A" w:rsidP="00061303">
      <w:pPr>
        <w:spacing w:before="0"/>
        <w:ind w:right="91"/>
        <w:jc w:val="center"/>
        <w:rPr>
          <w:color w:val="000000" w:themeColor="text1"/>
        </w:rPr>
      </w:pPr>
      <w:r w:rsidRPr="00AC6574">
        <w:rPr>
          <w:b/>
          <w:color w:val="000000" w:themeColor="text1"/>
          <w:u w:val="single"/>
        </w:rPr>
        <w:t xml:space="preserve">EXPLANATORY </w:t>
      </w:r>
      <w:r w:rsidR="00BE5E08" w:rsidRPr="00AC6574">
        <w:rPr>
          <w:b/>
          <w:color w:val="000000" w:themeColor="text1"/>
          <w:u w:val="single"/>
        </w:rPr>
        <w:t>STATEMENT</w:t>
      </w:r>
    </w:p>
    <w:p w14:paraId="296EE674" w14:textId="77777777" w:rsidR="0098292A" w:rsidRPr="00AC6574" w:rsidRDefault="0098292A">
      <w:pPr>
        <w:spacing w:before="0"/>
        <w:ind w:right="91"/>
        <w:jc w:val="center"/>
        <w:rPr>
          <w:color w:val="000000" w:themeColor="text1"/>
        </w:rPr>
      </w:pPr>
    </w:p>
    <w:p w14:paraId="70EDB517" w14:textId="77777777" w:rsidR="00C3579A" w:rsidRPr="00AC6574" w:rsidRDefault="00C3579A" w:rsidP="00C3579A">
      <w:pPr>
        <w:spacing w:before="0"/>
        <w:jc w:val="center"/>
        <w:rPr>
          <w:color w:val="000000" w:themeColor="text1"/>
          <w:sz w:val="20"/>
        </w:rPr>
      </w:pPr>
    </w:p>
    <w:p w14:paraId="6A49240C" w14:textId="04CAA8F7" w:rsidR="00C3579A" w:rsidRPr="00AC6574" w:rsidRDefault="00C3579A" w:rsidP="00C3579A">
      <w:pPr>
        <w:spacing w:before="0"/>
        <w:rPr>
          <w:i/>
          <w:color w:val="000000" w:themeColor="text1"/>
        </w:rPr>
      </w:pPr>
      <w:r w:rsidRPr="00AC6574">
        <w:rPr>
          <w:color w:val="000000" w:themeColor="text1"/>
        </w:rPr>
        <w:t>Subject -</w:t>
      </w:r>
      <w:r w:rsidRPr="00AC6574">
        <w:rPr>
          <w:color w:val="000000" w:themeColor="text1"/>
        </w:rPr>
        <w:tab/>
      </w:r>
      <w:r w:rsidRPr="00AC6574">
        <w:rPr>
          <w:i/>
          <w:color w:val="000000" w:themeColor="text1"/>
        </w:rPr>
        <w:t>Australian Radiation Protection and Nucl</w:t>
      </w:r>
      <w:r w:rsidR="00D72B08" w:rsidRPr="00AC6574">
        <w:rPr>
          <w:i/>
          <w:color w:val="000000" w:themeColor="text1"/>
        </w:rPr>
        <w:t xml:space="preserve">ear Safety </w:t>
      </w:r>
      <w:r w:rsidRPr="00AC6574">
        <w:rPr>
          <w:i/>
          <w:color w:val="000000" w:themeColor="text1"/>
        </w:rPr>
        <w:t>Act 1998</w:t>
      </w:r>
    </w:p>
    <w:p w14:paraId="12F8C165" w14:textId="77777777" w:rsidR="00C3579A" w:rsidRPr="00AC6574" w:rsidRDefault="00C3579A" w:rsidP="00C3579A">
      <w:pPr>
        <w:spacing w:before="0"/>
        <w:rPr>
          <w:i/>
          <w:color w:val="000000" w:themeColor="text1"/>
        </w:rPr>
      </w:pPr>
    </w:p>
    <w:p w14:paraId="6C1FFBC8" w14:textId="57379E4B" w:rsidR="00C3579A" w:rsidRPr="00AC6574" w:rsidRDefault="00C3579A" w:rsidP="00E04D96">
      <w:pPr>
        <w:spacing w:before="0"/>
        <w:ind w:left="1701"/>
        <w:rPr>
          <w:color w:val="000000" w:themeColor="text1"/>
        </w:rPr>
      </w:pPr>
      <w:r w:rsidRPr="00AC6574">
        <w:rPr>
          <w:i/>
          <w:color w:val="000000" w:themeColor="text1"/>
        </w:rPr>
        <w:tab/>
      </w:r>
      <w:r w:rsidR="00A62FD0" w:rsidRPr="00AC6574">
        <w:rPr>
          <w:i/>
          <w:color w:val="000000" w:themeColor="text1"/>
        </w:rPr>
        <w:t>Australian Radiation Protection and Nuclear Safety Amendment (202</w:t>
      </w:r>
      <w:r w:rsidR="00281ABC" w:rsidRPr="00AC6574">
        <w:rPr>
          <w:i/>
          <w:color w:val="000000" w:themeColor="text1"/>
        </w:rPr>
        <w:t>2</w:t>
      </w:r>
      <w:r w:rsidR="00A62FD0" w:rsidRPr="00AC6574">
        <w:rPr>
          <w:i/>
          <w:color w:val="000000" w:themeColor="text1"/>
        </w:rPr>
        <w:t xml:space="preserve"> Measures No. </w:t>
      </w:r>
      <w:r w:rsidR="00281ABC" w:rsidRPr="00AC6574">
        <w:rPr>
          <w:i/>
          <w:color w:val="000000" w:themeColor="text1"/>
        </w:rPr>
        <w:t>1</w:t>
      </w:r>
      <w:r w:rsidR="00A62FD0" w:rsidRPr="00AC6574">
        <w:rPr>
          <w:i/>
          <w:color w:val="000000" w:themeColor="text1"/>
        </w:rPr>
        <w:t>) Regulations 202</w:t>
      </w:r>
      <w:r w:rsidR="00281ABC" w:rsidRPr="00AC6574">
        <w:rPr>
          <w:i/>
          <w:color w:val="000000" w:themeColor="text1"/>
        </w:rPr>
        <w:t>2</w:t>
      </w:r>
      <w:r w:rsidR="00A62FD0" w:rsidRPr="00AC6574">
        <w:rPr>
          <w:i/>
          <w:color w:val="000000" w:themeColor="text1"/>
        </w:rPr>
        <w:t>.</w:t>
      </w:r>
    </w:p>
    <w:p w14:paraId="220B1B6C" w14:textId="77777777" w:rsidR="00E33FCD" w:rsidRPr="00AC6574" w:rsidRDefault="00E33FCD">
      <w:pPr>
        <w:spacing w:before="0"/>
        <w:rPr>
          <w:color w:val="000000" w:themeColor="text1"/>
        </w:rPr>
      </w:pPr>
    </w:p>
    <w:p w14:paraId="6E1CCF14" w14:textId="3635B414" w:rsidR="00BB3D1A" w:rsidRPr="00AC6574" w:rsidRDefault="00BB3D1A" w:rsidP="1A76A81F">
      <w:pPr>
        <w:pStyle w:val="Footer"/>
        <w:spacing w:before="0"/>
        <w:rPr>
          <w:color w:val="000000" w:themeColor="text1"/>
          <w:szCs w:val="24"/>
        </w:rPr>
      </w:pPr>
      <w:r w:rsidRPr="00AC6574">
        <w:rPr>
          <w:color w:val="000000" w:themeColor="text1"/>
          <w:szCs w:val="24"/>
        </w:rPr>
        <w:t xml:space="preserve">The </w:t>
      </w:r>
      <w:r w:rsidR="00A45B15" w:rsidRPr="00AC6574">
        <w:rPr>
          <w:color w:val="000000" w:themeColor="text1"/>
          <w:szCs w:val="24"/>
        </w:rPr>
        <w:t xml:space="preserve">purpose of the </w:t>
      </w:r>
      <w:r w:rsidR="00A45B15" w:rsidRPr="00AC6574">
        <w:rPr>
          <w:i/>
          <w:iCs/>
          <w:color w:val="000000" w:themeColor="text1"/>
          <w:szCs w:val="24"/>
        </w:rPr>
        <w:t>Australian Radiation Protection and Nuclear Safety Amendment (202</w:t>
      </w:r>
      <w:r w:rsidR="004A020F" w:rsidRPr="00AC6574">
        <w:rPr>
          <w:i/>
          <w:iCs/>
          <w:color w:val="000000" w:themeColor="text1"/>
          <w:szCs w:val="24"/>
        </w:rPr>
        <w:t>2</w:t>
      </w:r>
      <w:r w:rsidR="00A45B15" w:rsidRPr="00AC6574">
        <w:rPr>
          <w:i/>
          <w:iCs/>
          <w:color w:val="000000" w:themeColor="text1"/>
          <w:szCs w:val="24"/>
        </w:rPr>
        <w:t xml:space="preserve"> Measures No. 1) Regulations 202</w:t>
      </w:r>
      <w:r w:rsidR="004A020F" w:rsidRPr="00AC6574">
        <w:rPr>
          <w:i/>
          <w:iCs/>
          <w:color w:val="000000" w:themeColor="text1"/>
          <w:szCs w:val="24"/>
        </w:rPr>
        <w:t>2</w:t>
      </w:r>
      <w:r w:rsidR="00A45B15" w:rsidRPr="00AC6574">
        <w:rPr>
          <w:i/>
          <w:iCs/>
          <w:color w:val="000000" w:themeColor="text1"/>
          <w:szCs w:val="24"/>
        </w:rPr>
        <w:t xml:space="preserve"> </w:t>
      </w:r>
      <w:r w:rsidR="00EE69D8" w:rsidRPr="00AC6574">
        <w:rPr>
          <w:color w:val="000000" w:themeColor="text1"/>
          <w:szCs w:val="24"/>
        </w:rPr>
        <w:t xml:space="preserve">(the Regulations) </w:t>
      </w:r>
      <w:r w:rsidR="00A45B15" w:rsidRPr="00AC6574">
        <w:rPr>
          <w:color w:val="000000" w:themeColor="text1"/>
          <w:szCs w:val="24"/>
        </w:rPr>
        <w:t xml:space="preserve">is to </w:t>
      </w:r>
      <w:r w:rsidR="007136C4" w:rsidRPr="00AC6574">
        <w:rPr>
          <w:color w:val="000000" w:themeColor="text1"/>
          <w:szCs w:val="24"/>
        </w:rPr>
        <w:t>give effect to an annual increase in fees for licence applications to recover the actual costs of processing licence applications and make other minor machinery amendments.</w:t>
      </w:r>
    </w:p>
    <w:p w14:paraId="32C4E61F" w14:textId="77777777" w:rsidR="0007701F" w:rsidRPr="00AC6574" w:rsidRDefault="0007701F" w:rsidP="0007701F">
      <w:pPr>
        <w:ind w:right="91"/>
        <w:rPr>
          <w:color w:val="000000" w:themeColor="text1"/>
          <w:szCs w:val="24"/>
        </w:rPr>
      </w:pPr>
      <w:r w:rsidRPr="00AC6574">
        <w:rPr>
          <w:color w:val="000000" w:themeColor="text1"/>
          <w:szCs w:val="24"/>
        </w:rPr>
        <w:t xml:space="preserve">The </w:t>
      </w:r>
      <w:r w:rsidRPr="00AC6574">
        <w:rPr>
          <w:i/>
          <w:iCs/>
          <w:color w:val="000000" w:themeColor="text1"/>
          <w:szCs w:val="24"/>
        </w:rPr>
        <w:t>Australian Radiation Protection and Nuclear Safety Act 1998</w:t>
      </w:r>
      <w:r w:rsidRPr="00AC6574">
        <w:rPr>
          <w:color w:val="000000" w:themeColor="text1"/>
          <w:szCs w:val="24"/>
        </w:rPr>
        <w:t xml:space="preserve"> (the ARPANS Act) has been established to protect the health and safety of people, and the environment, from the harmful effects of radiation.</w:t>
      </w:r>
    </w:p>
    <w:p w14:paraId="5C4AE006" w14:textId="77777777" w:rsidR="0007701F" w:rsidRPr="00AC6574" w:rsidRDefault="0007701F" w:rsidP="0007701F">
      <w:pPr>
        <w:ind w:right="91"/>
        <w:rPr>
          <w:color w:val="000000" w:themeColor="text1"/>
          <w:szCs w:val="24"/>
        </w:rPr>
      </w:pPr>
      <w:r w:rsidRPr="00AC6574">
        <w:rPr>
          <w:color w:val="000000" w:themeColor="text1"/>
          <w:szCs w:val="24"/>
        </w:rPr>
        <w:t>Subsection 85(1) of the ARPANS Act provides that the Governor-General may make regulations prescribing matters required or permitted by the Act to be prescribed, or necessary or convenient to be prescribed for carrying out or giving effect to the Act.</w:t>
      </w:r>
    </w:p>
    <w:p w14:paraId="58DE442B" w14:textId="41D7815B" w:rsidR="0007701F" w:rsidRPr="00AC6574" w:rsidRDefault="0007701F" w:rsidP="0007701F">
      <w:pPr>
        <w:ind w:right="91"/>
        <w:rPr>
          <w:color w:val="000000" w:themeColor="text1"/>
          <w:szCs w:val="24"/>
        </w:rPr>
      </w:pPr>
      <w:r w:rsidRPr="00AC6574">
        <w:rPr>
          <w:color w:val="000000" w:themeColor="text1"/>
          <w:szCs w:val="24"/>
        </w:rPr>
        <w:t xml:space="preserve">The ARPANS Act establishes </w:t>
      </w:r>
      <w:r w:rsidR="00A0222D" w:rsidRPr="00AC6574">
        <w:rPr>
          <w:color w:val="000000" w:themeColor="text1"/>
          <w:szCs w:val="24"/>
        </w:rPr>
        <w:t xml:space="preserve">a Statutory Office of Chief Executive Officer (CEO) of </w:t>
      </w:r>
      <w:r w:rsidRPr="00AC6574">
        <w:rPr>
          <w:color w:val="000000" w:themeColor="text1"/>
          <w:szCs w:val="24"/>
        </w:rPr>
        <w:t>the Australian Radiation Protection and Nuclear Safety Agency (ARPANSA) to provide regulatory services for Commonwealth entities that deal with radiation equipment and material or undertake certain activities in relation to radiation facilities and nuclear installations. The CEO of ARPANSA issues licences to Commonwealth entities to ensure that such operations can be undertaken safely, minimising the risk of harm to people or to the environment from the operations.</w:t>
      </w:r>
    </w:p>
    <w:p w14:paraId="688A0895" w14:textId="77777777" w:rsidR="0007701F" w:rsidRPr="00AC6574" w:rsidRDefault="0007701F" w:rsidP="0007701F">
      <w:pPr>
        <w:ind w:right="91"/>
        <w:rPr>
          <w:color w:val="000000" w:themeColor="text1"/>
          <w:szCs w:val="24"/>
        </w:rPr>
      </w:pPr>
      <w:r w:rsidRPr="00AC6574">
        <w:rPr>
          <w:color w:val="000000" w:themeColor="text1"/>
          <w:szCs w:val="24"/>
        </w:rPr>
        <w:t xml:space="preserve">The </w:t>
      </w:r>
      <w:r w:rsidRPr="00AC6574">
        <w:rPr>
          <w:i/>
          <w:color w:val="000000" w:themeColor="text1"/>
          <w:szCs w:val="24"/>
        </w:rPr>
        <w:t xml:space="preserve">Australian Radiation Protection and Nuclear Safety Regulations 2018 </w:t>
      </w:r>
      <w:r w:rsidRPr="00AC6574">
        <w:rPr>
          <w:color w:val="000000" w:themeColor="text1"/>
          <w:szCs w:val="24"/>
        </w:rPr>
        <w:t>(the ARPANS Regulations) prescribe the fees for licence applications to give effect to the ARPANS Act.</w:t>
      </w:r>
    </w:p>
    <w:p w14:paraId="24F53100" w14:textId="062B9A74" w:rsidR="0007701F" w:rsidRPr="00AC6574" w:rsidRDefault="0007701F" w:rsidP="0007701F">
      <w:pPr>
        <w:ind w:right="91"/>
        <w:rPr>
          <w:color w:val="000000" w:themeColor="text1"/>
          <w:szCs w:val="24"/>
        </w:rPr>
      </w:pPr>
      <w:r w:rsidRPr="00AC6574">
        <w:rPr>
          <w:color w:val="000000" w:themeColor="text1"/>
          <w:szCs w:val="24"/>
        </w:rPr>
        <w:t>To recover the full costs of processing licence applications during the financial year 2022-23 the</w:t>
      </w:r>
      <w:r w:rsidR="001E48D2" w:rsidRPr="00AC6574">
        <w:rPr>
          <w:color w:val="000000" w:themeColor="text1"/>
          <w:szCs w:val="24"/>
        </w:rPr>
        <w:t xml:space="preserve"> Regulations</w:t>
      </w:r>
      <w:r w:rsidRPr="00AC6574">
        <w:rPr>
          <w:color w:val="000000" w:themeColor="text1"/>
          <w:szCs w:val="24"/>
        </w:rPr>
        <w:t xml:space="preserve"> increase fees for licences under the ARPANS Act by 2 per cent. </w:t>
      </w:r>
    </w:p>
    <w:p w14:paraId="6B37EBE5" w14:textId="4FC85827" w:rsidR="0007701F" w:rsidRPr="00AC6574" w:rsidRDefault="0007701F" w:rsidP="0007701F">
      <w:pPr>
        <w:ind w:right="91"/>
        <w:rPr>
          <w:rStyle w:val="CommentReference"/>
          <w:color w:val="000000" w:themeColor="text1"/>
          <w:sz w:val="24"/>
          <w:szCs w:val="24"/>
        </w:rPr>
      </w:pPr>
      <w:r w:rsidRPr="00AC6574">
        <w:rPr>
          <w:color w:val="000000" w:themeColor="text1"/>
          <w:szCs w:val="24"/>
        </w:rPr>
        <w:t xml:space="preserve">The increase in fees </w:t>
      </w:r>
      <w:r w:rsidR="002870BE" w:rsidRPr="00AC6574">
        <w:rPr>
          <w:color w:val="000000" w:themeColor="text1"/>
          <w:szCs w:val="24"/>
        </w:rPr>
        <w:t xml:space="preserve">does </w:t>
      </w:r>
      <w:r w:rsidRPr="00AC6574">
        <w:rPr>
          <w:color w:val="000000" w:themeColor="text1"/>
          <w:szCs w:val="24"/>
        </w:rPr>
        <w:t xml:space="preserve">not affect the amount charged for other regulatory services provided to existing licence holders under the charges prescribed by the </w:t>
      </w:r>
      <w:r w:rsidRPr="00AC6574">
        <w:rPr>
          <w:i/>
          <w:color w:val="000000" w:themeColor="text1"/>
          <w:szCs w:val="24"/>
        </w:rPr>
        <w:t xml:space="preserve">Australian Radiation Protection and Nuclear Safety (Licence Charges) Amendment (No. 2) Regulations 2021 </w:t>
      </w:r>
      <w:r w:rsidRPr="00AC6574">
        <w:rPr>
          <w:iCs/>
          <w:color w:val="000000" w:themeColor="text1"/>
          <w:szCs w:val="24"/>
        </w:rPr>
        <w:t xml:space="preserve">(the Licence Charges Amendment Regulations). Those </w:t>
      </w:r>
      <w:r w:rsidRPr="00AC6574">
        <w:rPr>
          <w:rStyle w:val="CommentReference"/>
          <w:color w:val="000000" w:themeColor="text1"/>
          <w:sz w:val="24"/>
          <w:szCs w:val="24"/>
        </w:rPr>
        <w:t>Regulations c</w:t>
      </w:r>
      <w:r w:rsidR="0092254F" w:rsidRPr="00AC6574">
        <w:rPr>
          <w:rStyle w:val="CommentReference"/>
          <w:color w:val="000000" w:themeColor="text1"/>
          <w:sz w:val="24"/>
          <w:szCs w:val="24"/>
        </w:rPr>
        <w:t>a</w:t>
      </w:r>
      <w:r w:rsidRPr="00AC6574">
        <w:rPr>
          <w:rStyle w:val="CommentReference"/>
          <w:color w:val="000000" w:themeColor="text1"/>
          <w:sz w:val="24"/>
          <w:szCs w:val="24"/>
        </w:rPr>
        <w:t xml:space="preserve">me into effect on 1 July 2022 </w:t>
      </w:r>
      <w:r w:rsidR="00A0222D" w:rsidRPr="00AC6574">
        <w:rPr>
          <w:rStyle w:val="CommentReference"/>
          <w:color w:val="000000" w:themeColor="text1"/>
          <w:sz w:val="24"/>
          <w:szCs w:val="24"/>
        </w:rPr>
        <w:t>allocating</w:t>
      </w:r>
      <w:r w:rsidRPr="00AC6574">
        <w:rPr>
          <w:rStyle w:val="CommentReference"/>
          <w:color w:val="000000" w:themeColor="text1"/>
          <w:sz w:val="24"/>
          <w:szCs w:val="24"/>
        </w:rPr>
        <w:t xml:space="preserve"> charges to existing licence holders and </w:t>
      </w:r>
      <w:r w:rsidR="00A0222D" w:rsidRPr="00AC6574">
        <w:rPr>
          <w:rStyle w:val="CommentReference"/>
          <w:color w:val="000000" w:themeColor="text1"/>
          <w:sz w:val="24"/>
          <w:szCs w:val="24"/>
        </w:rPr>
        <w:t xml:space="preserve">providing </w:t>
      </w:r>
      <w:r w:rsidRPr="00AC6574">
        <w:rPr>
          <w:iCs/>
          <w:color w:val="000000" w:themeColor="text1"/>
          <w:szCs w:val="24"/>
        </w:rPr>
        <w:t xml:space="preserve">for a decrease </w:t>
      </w:r>
      <w:r w:rsidR="00A0222D" w:rsidRPr="00AC6574">
        <w:rPr>
          <w:iCs/>
          <w:color w:val="000000" w:themeColor="text1"/>
          <w:szCs w:val="24"/>
        </w:rPr>
        <w:t xml:space="preserve">in </w:t>
      </w:r>
      <w:r w:rsidRPr="00AC6574">
        <w:rPr>
          <w:iCs/>
          <w:color w:val="000000" w:themeColor="text1"/>
          <w:szCs w:val="24"/>
        </w:rPr>
        <w:t>certain annual licence charges and an increase to other annual licence charges so that the total annual licence charges received recover the actual regulatory costs incurred on a basis that is fair to all licence holders</w:t>
      </w:r>
      <w:r w:rsidRPr="00AC6574">
        <w:rPr>
          <w:rStyle w:val="CommentReference"/>
          <w:color w:val="000000" w:themeColor="text1"/>
          <w:sz w:val="24"/>
          <w:szCs w:val="24"/>
        </w:rPr>
        <w:t xml:space="preserve">. </w:t>
      </w:r>
    </w:p>
    <w:p w14:paraId="49971408" w14:textId="2A0191F3" w:rsidR="0007701F" w:rsidRPr="00AC6574" w:rsidRDefault="0007701F" w:rsidP="0007701F">
      <w:pPr>
        <w:ind w:right="91"/>
        <w:rPr>
          <w:color w:val="000000" w:themeColor="text1"/>
          <w:szCs w:val="24"/>
        </w:rPr>
      </w:pPr>
      <w:r w:rsidRPr="00AC6574">
        <w:rPr>
          <w:rStyle w:val="CommentReference"/>
          <w:color w:val="000000" w:themeColor="text1"/>
          <w:sz w:val="24"/>
          <w:szCs w:val="24"/>
        </w:rPr>
        <w:t>The Regulations c</w:t>
      </w:r>
      <w:r w:rsidR="004813A8" w:rsidRPr="00AC6574">
        <w:rPr>
          <w:rStyle w:val="CommentReference"/>
          <w:color w:val="000000" w:themeColor="text1"/>
          <w:sz w:val="24"/>
          <w:szCs w:val="24"/>
        </w:rPr>
        <w:t>a</w:t>
      </w:r>
      <w:r w:rsidRPr="00AC6574">
        <w:rPr>
          <w:rStyle w:val="CommentReference"/>
          <w:color w:val="000000" w:themeColor="text1"/>
          <w:sz w:val="24"/>
          <w:szCs w:val="24"/>
        </w:rPr>
        <w:t xml:space="preserve">me into effect on the day after Registration on the Federal Register of Legislation with the effect that they increase application fees by 2 per cent. It is noted that the Explanatory Statement to the Licence Charges Amendment Regulations provides that those regulations and the Regulations would commence concurrently on 1 July 2022, however this is no longer the case as the instrument was only finalised following the formation of the Federal Government and following </w:t>
      </w:r>
      <w:r w:rsidRPr="00AC6574">
        <w:rPr>
          <w:rStyle w:val="CommentReference"/>
          <w:color w:val="000000" w:themeColor="text1"/>
          <w:sz w:val="24"/>
          <w:szCs w:val="24"/>
        </w:rPr>
        <w:lastRenderedPageBreak/>
        <w:t xml:space="preserve">consultation with Licence Holders about the amendments at the 25 May 2022 Licence Holder Forum. Consequently, </w:t>
      </w:r>
      <w:r w:rsidRPr="00AC6574">
        <w:rPr>
          <w:iCs/>
          <w:color w:val="000000" w:themeColor="text1"/>
          <w:szCs w:val="24"/>
        </w:rPr>
        <w:t>the Regulations c</w:t>
      </w:r>
      <w:r w:rsidR="00EE69D8" w:rsidRPr="00AC6574">
        <w:rPr>
          <w:iCs/>
          <w:color w:val="000000" w:themeColor="text1"/>
          <w:szCs w:val="24"/>
        </w:rPr>
        <w:t>a</w:t>
      </w:r>
      <w:r w:rsidRPr="00AC6574">
        <w:rPr>
          <w:iCs/>
          <w:color w:val="000000" w:themeColor="text1"/>
          <w:szCs w:val="24"/>
        </w:rPr>
        <w:t>me into effect the day after registration on the Federal Register of Legislation.</w:t>
      </w:r>
    </w:p>
    <w:p w14:paraId="40B6B4D8" w14:textId="1948EC40" w:rsidR="0007701F" w:rsidRPr="00AC6574" w:rsidRDefault="0007701F" w:rsidP="0007701F">
      <w:pPr>
        <w:ind w:right="91"/>
        <w:rPr>
          <w:i/>
          <w:iCs/>
          <w:color w:val="000000" w:themeColor="text1"/>
          <w:szCs w:val="24"/>
        </w:rPr>
      </w:pPr>
      <w:r w:rsidRPr="00AC6574">
        <w:rPr>
          <w:color w:val="000000" w:themeColor="text1"/>
          <w:szCs w:val="24"/>
        </w:rPr>
        <w:t xml:space="preserve">The purpose of </w:t>
      </w:r>
      <w:r w:rsidRPr="00AC6574">
        <w:rPr>
          <w:iCs/>
          <w:color w:val="000000" w:themeColor="text1"/>
          <w:szCs w:val="24"/>
        </w:rPr>
        <w:t xml:space="preserve">the </w:t>
      </w:r>
      <w:r w:rsidRPr="00AC6574">
        <w:rPr>
          <w:color w:val="000000" w:themeColor="text1"/>
          <w:szCs w:val="24"/>
        </w:rPr>
        <w:t>Regulations is to amend the ARPANS Regulations</w:t>
      </w:r>
      <w:r w:rsidRPr="00AC6574">
        <w:rPr>
          <w:rStyle w:val="normalchar1"/>
          <w:iCs/>
          <w:color w:val="000000" w:themeColor="text1"/>
        </w:rPr>
        <w:t xml:space="preserve"> to:</w:t>
      </w:r>
    </w:p>
    <w:p w14:paraId="3C44AC91" w14:textId="77777777" w:rsidR="0007701F" w:rsidRPr="00AC6574" w:rsidRDefault="0007701F" w:rsidP="0007701F">
      <w:pPr>
        <w:pStyle w:val="ListParagraph"/>
        <w:numPr>
          <w:ilvl w:val="0"/>
          <w:numId w:val="38"/>
        </w:numPr>
        <w:spacing w:before="0" w:line="264" w:lineRule="auto"/>
        <w:ind w:right="-24"/>
        <w:contextualSpacing/>
        <w:rPr>
          <w:color w:val="000000" w:themeColor="text1"/>
          <w:spacing w:val="-2"/>
          <w:szCs w:val="24"/>
        </w:rPr>
      </w:pPr>
      <w:r w:rsidRPr="00AC6574">
        <w:rPr>
          <w:color w:val="000000" w:themeColor="text1"/>
          <w:spacing w:val="-2"/>
          <w:szCs w:val="24"/>
        </w:rPr>
        <w:t>increase licence application fees by 2 per cent so that such fees reflect the actual cost of receiving and assessing applications; and</w:t>
      </w:r>
    </w:p>
    <w:p w14:paraId="319D184F" w14:textId="77777777" w:rsidR="0007701F" w:rsidRPr="00AC6574" w:rsidRDefault="0007701F" w:rsidP="0007701F">
      <w:pPr>
        <w:pStyle w:val="ListParagraph"/>
        <w:numPr>
          <w:ilvl w:val="0"/>
          <w:numId w:val="38"/>
        </w:numPr>
        <w:spacing w:before="0" w:line="264" w:lineRule="auto"/>
        <w:ind w:right="-24"/>
        <w:contextualSpacing/>
        <w:rPr>
          <w:color w:val="000000" w:themeColor="text1"/>
          <w:szCs w:val="24"/>
        </w:rPr>
      </w:pPr>
      <w:r w:rsidRPr="00AC6574">
        <w:rPr>
          <w:color w:val="000000" w:themeColor="text1"/>
          <w:spacing w:val="-2"/>
          <w:szCs w:val="24"/>
        </w:rPr>
        <w:t xml:space="preserve">make other minor amendments that are machinery in nature to streamline administration of the Act and to make the ARPANS Regulations easier to understand for licence holders. </w:t>
      </w:r>
    </w:p>
    <w:p w14:paraId="726EFD24" w14:textId="091098D6" w:rsidR="0007701F" w:rsidRPr="00AC6574" w:rsidRDefault="0007701F" w:rsidP="0007701F">
      <w:pPr>
        <w:rPr>
          <w:color w:val="000000" w:themeColor="text1"/>
          <w:szCs w:val="24"/>
        </w:rPr>
      </w:pPr>
      <w:r w:rsidRPr="00AC6574">
        <w:rPr>
          <w:color w:val="000000" w:themeColor="text1"/>
          <w:szCs w:val="24"/>
        </w:rPr>
        <w:t xml:space="preserve">The Regulations ensure the CEO of ARPANSA is able to recover the actual cost of regulating holders of licences issued under the ARPANS Act, as part of ARPANSA’s commitment to full cost recovery of ARPANSA’s regulatory services. </w:t>
      </w:r>
    </w:p>
    <w:p w14:paraId="370E44C9" w14:textId="68447F24" w:rsidR="0007701F" w:rsidRPr="00AC6574" w:rsidRDefault="0007701F" w:rsidP="0007701F">
      <w:pPr>
        <w:ind w:right="91"/>
        <w:rPr>
          <w:color w:val="000000" w:themeColor="text1"/>
          <w:szCs w:val="24"/>
        </w:rPr>
      </w:pPr>
      <w:r w:rsidRPr="00AC6574">
        <w:rPr>
          <w:color w:val="000000" w:themeColor="text1"/>
          <w:szCs w:val="24"/>
        </w:rPr>
        <w:t>All licence holders have been consulted about the amendments. All licence holders are Commonwealth entities, with the exception of the publicly listed Silex Systems Limited. On 25 May 2022 ARPANSA held a Licence Holder Forum providing information to licence holders about the amendments. Licence Holders were supportive of the amendments which included making the ARPANS Regulations easier for licence holders to understand.</w:t>
      </w:r>
    </w:p>
    <w:p w14:paraId="385B3FA4" w14:textId="2F7F780C" w:rsidR="002E14BB" w:rsidRPr="00AC6574" w:rsidRDefault="002E14BB" w:rsidP="002E14BB">
      <w:pPr>
        <w:ind w:right="-24"/>
        <w:rPr>
          <w:color w:val="000000" w:themeColor="text1"/>
          <w:szCs w:val="24"/>
        </w:rPr>
      </w:pPr>
      <w:r w:rsidRPr="00AC6574">
        <w:rPr>
          <w:color w:val="000000" w:themeColor="text1"/>
          <w:szCs w:val="24"/>
        </w:rPr>
        <w:t xml:space="preserve">Details of the </w:t>
      </w:r>
      <w:r w:rsidR="15F3CFA7" w:rsidRPr="00AC6574">
        <w:rPr>
          <w:color w:val="000000" w:themeColor="text1"/>
          <w:szCs w:val="24"/>
        </w:rPr>
        <w:t>amendments</w:t>
      </w:r>
      <w:r w:rsidRPr="00AC6574">
        <w:rPr>
          <w:color w:val="000000" w:themeColor="text1"/>
          <w:szCs w:val="24"/>
        </w:rPr>
        <w:t xml:space="preserve"> are set out in the </w:t>
      </w:r>
      <w:r w:rsidRPr="00AC6574">
        <w:rPr>
          <w:color w:val="000000" w:themeColor="text1"/>
          <w:szCs w:val="24"/>
          <w:u w:val="single"/>
        </w:rPr>
        <w:t>Attachment</w:t>
      </w:r>
      <w:r w:rsidRPr="00AC6574">
        <w:rPr>
          <w:color w:val="000000" w:themeColor="text1"/>
          <w:szCs w:val="24"/>
        </w:rPr>
        <w:t>.</w:t>
      </w:r>
    </w:p>
    <w:p w14:paraId="7F2FD613" w14:textId="77777777" w:rsidR="00EB11BF" w:rsidRPr="00AC6574" w:rsidRDefault="00EB11BF" w:rsidP="00EB11BF">
      <w:pPr>
        <w:shd w:val="clear" w:color="auto" w:fill="FFFFFF"/>
        <w:rPr>
          <w:color w:val="000000" w:themeColor="text1"/>
          <w:szCs w:val="24"/>
        </w:rPr>
      </w:pPr>
      <w:r w:rsidRPr="00AC6574">
        <w:rPr>
          <w:color w:val="000000" w:themeColor="text1"/>
          <w:szCs w:val="24"/>
        </w:rPr>
        <w:t>The Act specifies no conditions that need to be satisfied before the power to make the Regulations may be exercised.</w:t>
      </w:r>
    </w:p>
    <w:p w14:paraId="7FD984F7" w14:textId="3C174E6F" w:rsidR="00EB11BF" w:rsidRPr="00AC6574" w:rsidRDefault="00EB11BF" w:rsidP="00EB11BF">
      <w:pPr>
        <w:rPr>
          <w:color w:val="000000" w:themeColor="text1"/>
          <w:szCs w:val="24"/>
        </w:rPr>
      </w:pPr>
      <w:r w:rsidRPr="00AC6574">
        <w:rPr>
          <w:color w:val="000000" w:themeColor="text1"/>
          <w:szCs w:val="24"/>
        </w:rPr>
        <w:t>The Regulations are a legislative instrument for the purposes of the </w:t>
      </w:r>
      <w:r w:rsidRPr="00AC6574">
        <w:rPr>
          <w:i/>
          <w:iCs/>
          <w:color w:val="000000" w:themeColor="text1"/>
          <w:szCs w:val="24"/>
        </w:rPr>
        <w:t>Legislation Act 2003</w:t>
      </w:r>
      <w:r w:rsidRPr="00AC6574">
        <w:rPr>
          <w:color w:val="000000" w:themeColor="text1"/>
          <w:szCs w:val="24"/>
        </w:rPr>
        <w:t>.</w:t>
      </w:r>
    </w:p>
    <w:p w14:paraId="20143832" w14:textId="623A6CA3" w:rsidR="00E33FCD" w:rsidRPr="00AC6574" w:rsidRDefault="00E33FCD" w:rsidP="00E33FCD">
      <w:pPr>
        <w:rPr>
          <w:color w:val="000000" w:themeColor="text1"/>
          <w:szCs w:val="24"/>
        </w:rPr>
      </w:pPr>
      <w:r w:rsidRPr="00AC6574">
        <w:rPr>
          <w:color w:val="000000" w:themeColor="text1"/>
          <w:szCs w:val="24"/>
        </w:rPr>
        <w:t xml:space="preserve">The </w:t>
      </w:r>
      <w:r w:rsidR="002E14BB" w:rsidRPr="00AC6574">
        <w:rPr>
          <w:color w:val="000000" w:themeColor="text1"/>
          <w:szCs w:val="24"/>
        </w:rPr>
        <w:t xml:space="preserve">Regulations commence on </w:t>
      </w:r>
      <w:r w:rsidR="00814BAE" w:rsidRPr="00AC6574">
        <w:rPr>
          <w:color w:val="000000" w:themeColor="text1"/>
          <w:szCs w:val="24"/>
        </w:rPr>
        <w:t>the day after registration</w:t>
      </w:r>
      <w:r w:rsidRPr="00AC6574">
        <w:rPr>
          <w:color w:val="000000" w:themeColor="text1"/>
          <w:szCs w:val="24"/>
        </w:rPr>
        <w:t xml:space="preserve">.  </w:t>
      </w:r>
    </w:p>
    <w:p w14:paraId="1A4076F8" w14:textId="77777777" w:rsidR="00271447" w:rsidRPr="00AC6574" w:rsidRDefault="00E33FCD" w:rsidP="00271447">
      <w:pPr>
        <w:ind w:left="5670" w:right="-24" w:hanging="1134"/>
        <w:rPr>
          <w:i/>
          <w:iCs/>
          <w:color w:val="000000" w:themeColor="text1"/>
          <w:szCs w:val="24"/>
        </w:rPr>
      </w:pPr>
      <w:r w:rsidRPr="00AC6574">
        <w:rPr>
          <w:color w:val="000000" w:themeColor="text1"/>
          <w:u w:val="single"/>
        </w:rPr>
        <w:t>Authority:</w:t>
      </w:r>
      <w:r w:rsidRPr="00AC6574">
        <w:rPr>
          <w:color w:val="000000" w:themeColor="text1"/>
        </w:rPr>
        <w:tab/>
      </w:r>
      <w:r w:rsidR="00271447" w:rsidRPr="00AC6574">
        <w:rPr>
          <w:color w:val="000000" w:themeColor="text1"/>
          <w:szCs w:val="24"/>
        </w:rPr>
        <w:t xml:space="preserve">Subsection 85(1) of the </w:t>
      </w:r>
      <w:r w:rsidR="00271447" w:rsidRPr="00AC6574">
        <w:rPr>
          <w:i/>
          <w:iCs/>
          <w:color w:val="000000" w:themeColor="text1"/>
          <w:szCs w:val="24"/>
        </w:rPr>
        <w:t>Australian Radiation Protection and Nuclear Safety Act 1998</w:t>
      </w:r>
    </w:p>
    <w:p w14:paraId="256F8677" w14:textId="64292A16" w:rsidR="006C7CFF" w:rsidRPr="00AC6574" w:rsidRDefault="006C7CFF" w:rsidP="002E14BB">
      <w:pPr>
        <w:ind w:left="5670" w:right="-24" w:hanging="1134"/>
        <w:rPr>
          <w:b/>
          <w:color w:val="000000" w:themeColor="text1"/>
          <w:u w:val="single"/>
        </w:rPr>
        <w:sectPr w:rsidR="006C7CFF" w:rsidRPr="00AC6574" w:rsidSect="006C7CFF">
          <w:footerReference w:type="default" r:id="rId11"/>
          <w:footerReference w:type="first" r:id="rId12"/>
          <w:pgSz w:w="11907" w:h="16840" w:code="9"/>
          <w:pgMar w:top="1134" w:right="1797" w:bottom="709" w:left="1797" w:header="720" w:footer="720" w:gutter="0"/>
          <w:cols w:space="720"/>
          <w:titlePg/>
          <w:docGrid w:linePitch="326"/>
        </w:sectPr>
      </w:pPr>
    </w:p>
    <w:p w14:paraId="0F2DBA18" w14:textId="358B7A8B" w:rsidR="00E33FCD" w:rsidRPr="00AC6574" w:rsidRDefault="00E33FCD" w:rsidP="004B466D">
      <w:pPr>
        <w:ind w:left="5670" w:right="-24" w:hanging="2835"/>
        <w:jc w:val="right"/>
        <w:rPr>
          <w:b/>
          <w:color w:val="000000" w:themeColor="text1"/>
          <w:u w:val="single"/>
        </w:rPr>
      </w:pPr>
      <w:r w:rsidRPr="00AC6574">
        <w:rPr>
          <w:b/>
          <w:color w:val="000000" w:themeColor="text1"/>
          <w:u w:val="single"/>
        </w:rPr>
        <w:lastRenderedPageBreak/>
        <w:t>ATTACHMENT</w:t>
      </w:r>
    </w:p>
    <w:p w14:paraId="4E335954" w14:textId="573BBE48" w:rsidR="00E33FCD" w:rsidRPr="00AC6574" w:rsidRDefault="00E33FCD" w:rsidP="00E33FCD">
      <w:pPr>
        <w:ind w:right="-24"/>
        <w:rPr>
          <w:b/>
          <w:bCs/>
          <w:i/>
          <w:iCs/>
          <w:color w:val="000000" w:themeColor="text1"/>
          <w:u w:val="single"/>
        </w:rPr>
      </w:pPr>
      <w:r w:rsidRPr="00AC6574">
        <w:rPr>
          <w:b/>
          <w:bCs/>
          <w:color w:val="000000" w:themeColor="text1"/>
          <w:u w:val="single"/>
        </w:rPr>
        <w:t xml:space="preserve">Details of the </w:t>
      </w:r>
      <w:r w:rsidRPr="00AC6574">
        <w:rPr>
          <w:b/>
          <w:i/>
          <w:iCs/>
          <w:color w:val="000000" w:themeColor="text1"/>
          <w:u w:val="single"/>
        </w:rPr>
        <w:t xml:space="preserve">Australian Radiation Protection and Nuclear Safety Amendment </w:t>
      </w:r>
      <w:r w:rsidR="00A62FD0" w:rsidRPr="00AC6574">
        <w:rPr>
          <w:b/>
          <w:i/>
          <w:iCs/>
          <w:color w:val="000000" w:themeColor="text1"/>
          <w:u w:val="single"/>
        </w:rPr>
        <w:t>(202</w:t>
      </w:r>
      <w:r w:rsidR="005F757A" w:rsidRPr="00AC6574">
        <w:rPr>
          <w:b/>
          <w:i/>
          <w:iCs/>
          <w:color w:val="000000" w:themeColor="text1"/>
          <w:u w:val="single"/>
        </w:rPr>
        <w:t>2</w:t>
      </w:r>
      <w:r w:rsidR="00A62FD0" w:rsidRPr="00AC6574">
        <w:rPr>
          <w:b/>
          <w:i/>
          <w:iCs/>
          <w:color w:val="000000" w:themeColor="text1"/>
          <w:u w:val="single"/>
        </w:rPr>
        <w:t xml:space="preserve"> Measures No. 1) </w:t>
      </w:r>
      <w:r w:rsidRPr="00AC6574">
        <w:rPr>
          <w:b/>
          <w:i/>
          <w:iCs/>
          <w:color w:val="000000" w:themeColor="text1"/>
          <w:u w:val="single"/>
        </w:rPr>
        <w:t>Regulations 20</w:t>
      </w:r>
      <w:r w:rsidR="002421A4" w:rsidRPr="00AC6574">
        <w:rPr>
          <w:b/>
          <w:i/>
          <w:iCs/>
          <w:color w:val="000000" w:themeColor="text1"/>
          <w:u w:val="single"/>
        </w:rPr>
        <w:t>2</w:t>
      </w:r>
      <w:r w:rsidR="005F757A" w:rsidRPr="00AC6574">
        <w:rPr>
          <w:b/>
          <w:i/>
          <w:iCs/>
          <w:color w:val="000000" w:themeColor="text1"/>
          <w:u w:val="single"/>
        </w:rPr>
        <w:t>2</w:t>
      </w:r>
    </w:p>
    <w:p w14:paraId="22F6C116" w14:textId="77777777" w:rsidR="00E33FCD" w:rsidRPr="00AC6574" w:rsidRDefault="00E33FCD" w:rsidP="00E33FCD">
      <w:pPr>
        <w:ind w:right="-24"/>
        <w:rPr>
          <w:color w:val="000000" w:themeColor="text1"/>
          <w:u w:val="single"/>
        </w:rPr>
      </w:pPr>
      <w:r w:rsidRPr="00AC6574">
        <w:rPr>
          <w:color w:val="000000" w:themeColor="text1"/>
          <w:u w:val="single"/>
        </w:rPr>
        <w:t>Section 1 – Name of regulation</w:t>
      </w:r>
    </w:p>
    <w:p w14:paraId="6F5A2D19" w14:textId="34896E86" w:rsidR="00E33FCD" w:rsidRPr="00AC6574" w:rsidRDefault="00E33FCD" w:rsidP="00E33FCD">
      <w:pPr>
        <w:ind w:right="-24"/>
        <w:rPr>
          <w:b/>
          <w:color w:val="000000" w:themeColor="text1"/>
        </w:rPr>
      </w:pPr>
      <w:r w:rsidRPr="00AC6574">
        <w:rPr>
          <w:color w:val="000000" w:themeColor="text1"/>
        </w:rPr>
        <w:t>This section provide</w:t>
      </w:r>
      <w:r w:rsidR="000C32ED" w:rsidRPr="00AC6574">
        <w:rPr>
          <w:color w:val="000000" w:themeColor="text1"/>
        </w:rPr>
        <w:t>s</w:t>
      </w:r>
      <w:r w:rsidRPr="00AC6574">
        <w:rPr>
          <w:color w:val="000000" w:themeColor="text1"/>
        </w:rPr>
        <w:t xml:space="preserve"> the name of the regulations </w:t>
      </w:r>
      <w:r w:rsidR="00415A1F" w:rsidRPr="00AC6574">
        <w:rPr>
          <w:color w:val="000000" w:themeColor="text1"/>
        </w:rPr>
        <w:t>a</w:t>
      </w:r>
      <w:r w:rsidRPr="00AC6574">
        <w:rPr>
          <w:color w:val="000000" w:themeColor="text1"/>
        </w:rPr>
        <w:t xml:space="preserve">s the </w:t>
      </w:r>
      <w:r w:rsidRPr="00AC6574">
        <w:rPr>
          <w:i/>
          <w:iCs/>
          <w:color w:val="000000" w:themeColor="text1"/>
        </w:rPr>
        <w:t xml:space="preserve">Australian Radiation Protection and Nuclear Safety Amendment </w:t>
      </w:r>
      <w:r w:rsidR="00A62FD0" w:rsidRPr="00AC6574">
        <w:rPr>
          <w:i/>
          <w:iCs/>
          <w:color w:val="000000" w:themeColor="text1"/>
        </w:rPr>
        <w:t>(202</w:t>
      </w:r>
      <w:r w:rsidR="005F757A" w:rsidRPr="00AC6574">
        <w:rPr>
          <w:i/>
          <w:iCs/>
          <w:color w:val="000000" w:themeColor="text1"/>
        </w:rPr>
        <w:t>2</w:t>
      </w:r>
      <w:r w:rsidR="00A62FD0" w:rsidRPr="00AC6574">
        <w:rPr>
          <w:i/>
          <w:iCs/>
          <w:color w:val="000000" w:themeColor="text1"/>
        </w:rPr>
        <w:t xml:space="preserve"> Measures No. </w:t>
      </w:r>
      <w:r w:rsidR="005F757A" w:rsidRPr="00AC6574">
        <w:rPr>
          <w:i/>
          <w:iCs/>
          <w:color w:val="000000" w:themeColor="text1"/>
        </w:rPr>
        <w:t>1</w:t>
      </w:r>
      <w:r w:rsidR="00A62FD0" w:rsidRPr="00AC6574">
        <w:rPr>
          <w:i/>
          <w:iCs/>
          <w:color w:val="000000" w:themeColor="text1"/>
        </w:rPr>
        <w:t xml:space="preserve">) </w:t>
      </w:r>
      <w:r w:rsidRPr="00AC6574">
        <w:rPr>
          <w:i/>
          <w:iCs/>
          <w:color w:val="000000" w:themeColor="text1"/>
        </w:rPr>
        <w:t>Regulations 20</w:t>
      </w:r>
      <w:r w:rsidR="00A82C1C" w:rsidRPr="00AC6574">
        <w:rPr>
          <w:i/>
          <w:iCs/>
          <w:color w:val="000000" w:themeColor="text1"/>
        </w:rPr>
        <w:t>2</w:t>
      </w:r>
      <w:r w:rsidR="005F757A" w:rsidRPr="00AC6574">
        <w:rPr>
          <w:i/>
          <w:iCs/>
          <w:color w:val="000000" w:themeColor="text1"/>
        </w:rPr>
        <w:t>2</w:t>
      </w:r>
      <w:r w:rsidR="00E72528" w:rsidRPr="00AC6574">
        <w:rPr>
          <w:iCs/>
          <w:color w:val="000000" w:themeColor="text1"/>
        </w:rPr>
        <w:t>.</w:t>
      </w:r>
    </w:p>
    <w:p w14:paraId="71811C8D" w14:textId="77777777" w:rsidR="00E33FCD" w:rsidRPr="00AC6574" w:rsidRDefault="00E33FCD" w:rsidP="00E33FCD">
      <w:pPr>
        <w:ind w:right="-24"/>
        <w:rPr>
          <w:color w:val="000000" w:themeColor="text1"/>
          <w:u w:val="single"/>
        </w:rPr>
      </w:pPr>
      <w:r w:rsidRPr="00AC6574">
        <w:rPr>
          <w:color w:val="000000" w:themeColor="text1"/>
          <w:u w:val="single"/>
        </w:rPr>
        <w:t>Section 2 – Commencement</w:t>
      </w:r>
    </w:p>
    <w:p w14:paraId="013152D3" w14:textId="6CBBE2AD" w:rsidR="00E33FCD" w:rsidRPr="00AC6574" w:rsidRDefault="00E33FCD" w:rsidP="00E33FCD">
      <w:pPr>
        <w:ind w:right="-24"/>
        <w:rPr>
          <w:color w:val="000000" w:themeColor="text1"/>
        </w:rPr>
      </w:pPr>
      <w:r w:rsidRPr="00AC6574">
        <w:rPr>
          <w:color w:val="000000" w:themeColor="text1"/>
        </w:rPr>
        <w:t>This section</w:t>
      </w:r>
      <w:r w:rsidR="00132B59" w:rsidRPr="00AC6574">
        <w:rPr>
          <w:color w:val="000000" w:themeColor="text1"/>
        </w:rPr>
        <w:t xml:space="preserve"> </w:t>
      </w:r>
      <w:r w:rsidR="000C32ED" w:rsidRPr="00AC6574">
        <w:rPr>
          <w:color w:val="000000" w:themeColor="text1"/>
        </w:rPr>
        <w:t xml:space="preserve">provides </w:t>
      </w:r>
      <w:r w:rsidRPr="00AC6574">
        <w:rPr>
          <w:color w:val="000000" w:themeColor="text1"/>
        </w:rPr>
        <w:t>for the regulations to commence on</w:t>
      </w:r>
      <w:r w:rsidR="00814BAE" w:rsidRPr="00AC6574">
        <w:rPr>
          <w:color w:val="000000" w:themeColor="text1"/>
        </w:rPr>
        <w:t xml:space="preserve"> the day after this instrument is registered</w:t>
      </w:r>
      <w:r w:rsidRPr="00AC6574">
        <w:rPr>
          <w:color w:val="000000" w:themeColor="text1"/>
        </w:rPr>
        <w:t>.</w:t>
      </w:r>
    </w:p>
    <w:p w14:paraId="5C431708" w14:textId="77777777" w:rsidR="00E33FCD" w:rsidRPr="00AC6574" w:rsidRDefault="00E33FCD" w:rsidP="00E33FCD">
      <w:pPr>
        <w:ind w:right="-24"/>
        <w:rPr>
          <w:color w:val="000000" w:themeColor="text1"/>
          <w:u w:val="single"/>
        </w:rPr>
      </w:pPr>
      <w:r w:rsidRPr="00AC6574">
        <w:rPr>
          <w:color w:val="000000" w:themeColor="text1"/>
          <w:u w:val="single"/>
        </w:rPr>
        <w:t>Section 3 – Authority</w:t>
      </w:r>
    </w:p>
    <w:p w14:paraId="14D77875" w14:textId="1C87C9D1" w:rsidR="00E33FCD" w:rsidRPr="00AC6574" w:rsidRDefault="00E33FCD" w:rsidP="00E33FCD">
      <w:pPr>
        <w:ind w:right="-24"/>
        <w:rPr>
          <w:color w:val="000000" w:themeColor="text1"/>
        </w:rPr>
      </w:pPr>
      <w:r w:rsidRPr="00AC6574">
        <w:rPr>
          <w:color w:val="000000" w:themeColor="text1"/>
        </w:rPr>
        <w:t>This section</w:t>
      </w:r>
      <w:r w:rsidR="000C32ED" w:rsidRPr="00AC6574">
        <w:rPr>
          <w:color w:val="000000" w:themeColor="text1"/>
        </w:rPr>
        <w:t xml:space="preserve"> provides </w:t>
      </w:r>
      <w:r w:rsidRPr="00AC6574">
        <w:rPr>
          <w:color w:val="000000" w:themeColor="text1"/>
        </w:rPr>
        <w:t xml:space="preserve">that the regulations are made under the </w:t>
      </w:r>
      <w:r w:rsidRPr="00AC6574">
        <w:rPr>
          <w:i/>
          <w:color w:val="000000" w:themeColor="text1"/>
        </w:rPr>
        <w:t>Australian Radiation Protection and Nuclear Safety Act 1998</w:t>
      </w:r>
      <w:r w:rsidRPr="00AC6574">
        <w:rPr>
          <w:color w:val="000000" w:themeColor="text1"/>
        </w:rPr>
        <w:t>.</w:t>
      </w:r>
    </w:p>
    <w:p w14:paraId="2934EAAF" w14:textId="77777777" w:rsidR="00E33FCD" w:rsidRPr="00AC6574" w:rsidRDefault="00E33FCD" w:rsidP="00E33FCD">
      <w:pPr>
        <w:ind w:right="-24"/>
        <w:rPr>
          <w:color w:val="000000" w:themeColor="text1"/>
          <w:u w:val="single"/>
        </w:rPr>
      </w:pPr>
      <w:r w:rsidRPr="00AC6574">
        <w:rPr>
          <w:color w:val="000000" w:themeColor="text1"/>
          <w:u w:val="single"/>
        </w:rPr>
        <w:t>Section 4 – Schedules(s)</w:t>
      </w:r>
    </w:p>
    <w:p w14:paraId="35CC2D52" w14:textId="6573B731" w:rsidR="00135613" w:rsidRPr="00AC6574" w:rsidRDefault="00E33FCD" w:rsidP="00994311">
      <w:pPr>
        <w:ind w:right="-24"/>
        <w:rPr>
          <w:color w:val="000000" w:themeColor="text1"/>
        </w:rPr>
      </w:pPr>
      <w:r w:rsidRPr="00AC6574">
        <w:rPr>
          <w:color w:val="000000" w:themeColor="text1"/>
        </w:rPr>
        <w:t xml:space="preserve">This section </w:t>
      </w:r>
      <w:r w:rsidR="000C32ED" w:rsidRPr="00AC6574">
        <w:rPr>
          <w:color w:val="000000" w:themeColor="text1"/>
        </w:rPr>
        <w:t xml:space="preserve">provides </w:t>
      </w:r>
      <w:r w:rsidRPr="00AC6574">
        <w:rPr>
          <w:color w:val="000000" w:themeColor="text1"/>
        </w:rPr>
        <w:t>that each instrument that is specified in a Schedule to this instrument is amended or repealed as set out in the applicable items in the Schedule concerned, and any other item in a Schedule to this instrument has effect according to its terms.</w:t>
      </w:r>
    </w:p>
    <w:p w14:paraId="2347BB8D" w14:textId="4BC50EFA" w:rsidR="004F2A84" w:rsidRPr="00AC6574" w:rsidRDefault="004F2A84">
      <w:pPr>
        <w:spacing w:before="0"/>
        <w:rPr>
          <w:color w:val="000000" w:themeColor="text1"/>
          <w:u w:val="single"/>
        </w:rPr>
      </w:pPr>
      <w:r w:rsidRPr="00AC6574">
        <w:rPr>
          <w:color w:val="000000" w:themeColor="text1"/>
          <w:u w:val="single"/>
        </w:rPr>
        <w:br w:type="page"/>
      </w:r>
    </w:p>
    <w:p w14:paraId="61DC5C05" w14:textId="77777777" w:rsidR="00994311" w:rsidRPr="00AC6574" w:rsidRDefault="00994311" w:rsidP="00994311">
      <w:pPr>
        <w:ind w:right="-24"/>
        <w:rPr>
          <w:color w:val="000000" w:themeColor="text1"/>
          <w:u w:val="single"/>
        </w:rPr>
      </w:pPr>
    </w:p>
    <w:p w14:paraId="456BA0D2" w14:textId="7FF003BC" w:rsidR="00E33FCD" w:rsidRPr="00AC6574" w:rsidRDefault="00E33FCD" w:rsidP="00E33FCD">
      <w:pPr>
        <w:ind w:right="-24"/>
        <w:rPr>
          <w:color w:val="000000" w:themeColor="text1"/>
          <w:u w:val="single"/>
        </w:rPr>
      </w:pPr>
      <w:r w:rsidRPr="00AC6574">
        <w:rPr>
          <w:color w:val="000000" w:themeColor="text1"/>
          <w:u w:val="single"/>
        </w:rPr>
        <w:t>Schedule 1––Amendments</w:t>
      </w:r>
    </w:p>
    <w:p w14:paraId="059F1287" w14:textId="77777777" w:rsidR="000C2B0B" w:rsidRPr="00AC6574" w:rsidRDefault="000C2B0B" w:rsidP="007D189A">
      <w:pPr>
        <w:spacing w:before="100" w:beforeAutospacing="1"/>
        <w:ind w:right="91"/>
        <w:contextualSpacing/>
        <w:rPr>
          <w:b/>
          <w:color w:val="000000" w:themeColor="text1"/>
          <w:szCs w:val="24"/>
        </w:rPr>
      </w:pPr>
    </w:p>
    <w:p w14:paraId="3572E1BC" w14:textId="77777777" w:rsidR="00D6220D" w:rsidRPr="00AC6574" w:rsidRDefault="00D6220D" w:rsidP="00D6220D">
      <w:pPr>
        <w:ind w:right="-24"/>
        <w:rPr>
          <w:b/>
          <w:i/>
          <w:color w:val="000000" w:themeColor="text1"/>
          <w:spacing w:val="-6"/>
          <w:szCs w:val="24"/>
        </w:rPr>
      </w:pPr>
      <w:r w:rsidRPr="00AC6574">
        <w:rPr>
          <w:b/>
          <w:i/>
          <w:color w:val="000000" w:themeColor="text1"/>
          <w:spacing w:val="-6"/>
          <w:szCs w:val="24"/>
        </w:rPr>
        <w:t>Australian Radiation Protection and Nuclear Safety Regulations 2018</w:t>
      </w:r>
    </w:p>
    <w:p w14:paraId="6E09F33B" w14:textId="77777777" w:rsidR="006C1A3E" w:rsidRPr="00AC6574" w:rsidRDefault="006C1A3E" w:rsidP="007D189A">
      <w:pPr>
        <w:spacing w:before="100" w:beforeAutospacing="1"/>
        <w:ind w:right="91"/>
        <w:contextualSpacing/>
        <w:rPr>
          <w:b/>
          <w:color w:val="000000" w:themeColor="text1"/>
          <w:szCs w:val="24"/>
        </w:rPr>
      </w:pPr>
    </w:p>
    <w:p w14:paraId="79FE4DE3" w14:textId="47F0701D" w:rsidR="007D189A" w:rsidRPr="00AC6574" w:rsidRDefault="007D189A" w:rsidP="007D189A">
      <w:pPr>
        <w:spacing w:before="100" w:beforeAutospacing="1"/>
        <w:ind w:right="91"/>
        <w:contextualSpacing/>
        <w:rPr>
          <w:b/>
          <w:color w:val="000000" w:themeColor="text1"/>
          <w:szCs w:val="24"/>
        </w:rPr>
      </w:pPr>
      <w:r w:rsidRPr="00AC6574">
        <w:rPr>
          <w:b/>
          <w:color w:val="000000" w:themeColor="text1"/>
          <w:szCs w:val="24"/>
        </w:rPr>
        <w:t xml:space="preserve">Item [1] - Section 4 - Definition of </w:t>
      </w:r>
      <w:r w:rsidRPr="00AC6574">
        <w:rPr>
          <w:b/>
          <w:i/>
          <w:iCs/>
          <w:color w:val="000000" w:themeColor="text1"/>
          <w:szCs w:val="24"/>
        </w:rPr>
        <w:t>AS/NZS IEC 62471:2011</w:t>
      </w:r>
    </w:p>
    <w:p w14:paraId="2BFEF86C" w14:textId="77777777" w:rsidR="007D189A" w:rsidRPr="00AC6574" w:rsidRDefault="007D189A" w:rsidP="007D189A">
      <w:pPr>
        <w:spacing w:before="100" w:beforeAutospacing="1" w:after="100" w:afterAutospacing="1"/>
        <w:ind w:right="91"/>
        <w:contextualSpacing/>
        <w:rPr>
          <w:color w:val="000000" w:themeColor="text1"/>
          <w:szCs w:val="24"/>
        </w:rPr>
      </w:pPr>
    </w:p>
    <w:p w14:paraId="6F8D23EB" w14:textId="20CA46B2"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615903" w:rsidRPr="00AC6574">
        <w:rPr>
          <w:color w:val="000000" w:themeColor="text1"/>
          <w:szCs w:val="24"/>
        </w:rPr>
        <w:t>s</w:t>
      </w:r>
      <w:r w:rsidRPr="00AC6574">
        <w:rPr>
          <w:color w:val="000000" w:themeColor="text1"/>
          <w:szCs w:val="24"/>
        </w:rPr>
        <w:t xml:space="preserve"> a definition of the Australian/New Zealand Standard AS/NZS IEC 62471:2011 </w:t>
      </w:r>
      <w:r w:rsidRPr="00AC6574">
        <w:rPr>
          <w:i/>
          <w:iCs/>
          <w:color w:val="000000" w:themeColor="text1"/>
          <w:szCs w:val="24"/>
        </w:rPr>
        <w:t>Photobiological safety of lamps and lamp systems</w:t>
      </w:r>
      <w:r w:rsidRPr="00AC6574">
        <w:rPr>
          <w:color w:val="000000" w:themeColor="text1"/>
          <w:szCs w:val="24"/>
        </w:rPr>
        <w:t>, to allow the standard to be easily and consistently referred to as “</w:t>
      </w:r>
      <w:r w:rsidRPr="00AC6574">
        <w:rPr>
          <w:i/>
          <w:iCs/>
          <w:color w:val="000000" w:themeColor="text1"/>
          <w:szCs w:val="24"/>
        </w:rPr>
        <w:t>AS/NZS IEC 62471:2011</w:t>
      </w:r>
      <w:r w:rsidRPr="00AC6574">
        <w:rPr>
          <w:color w:val="000000" w:themeColor="text1"/>
          <w:szCs w:val="24"/>
        </w:rPr>
        <w:t>” throughout the Regulations. It is industry practice in radiation protection in Australia to refer to the standard number. For example, “</w:t>
      </w:r>
      <w:r w:rsidRPr="00AC6574">
        <w:rPr>
          <w:i/>
          <w:iCs/>
          <w:color w:val="000000" w:themeColor="text1"/>
          <w:szCs w:val="24"/>
        </w:rPr>
        <w:t>AS/NZS IEC 62471:2011</w:t>
      </w:r>
      <w:r w:rsidRPr="00AC6574">
        <w:rPr>
          <w:color w:val="000000" w:themeColor="text1"/>
          <w:szCs w:val="24"/>
        </w:rPr>
        <w:t>”.</w:t>
      </w:r>
    </w:p>
    <w:p w14:paraId="14A7E2AA" w14:textId="77777777" w:rsidR="007D189A" w:rsidRPr="00AC6574" w:rsidRDefault="007D189A" w:rsidP="007D189A">
      <w:pPr>
        <w:spacing w:before="100" w:beforeAutospacing="1" w:after="100" w:afterAutospacing="1"/>
        <w:ind w:right="91"/>
        <w:contextualSpacing/>
        <w:rPr>
          <w:b/>
          <w:bCs/>
          <w:color w:val="000000" w:themeColor="text1"/>
          <w:szCs w:val="24"/>
        </w:rPr>
      </w:pPr>
    </w:p>
    <w:p w14:paraId="07AF43A4"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 - Section 4 - Definition of Group 1</w:t>
      </w:r>
    </w:p>
    <w:p w14:paraId="69C2A0AD" w14:textId="77777777" w:rsidR="007D189A" w:rsidRPr="00AC6574" w:rsidRDefault="007D189A" w:rsidP="007D189A">
      <w:pPr>
        <w:spacing w:before="100" w:beforeAutospacing="1" w:after="100" w:afterAutospacing="1"/>
        <w:ind w:right="91"/>
        <w:contextualSpacing/>
        <w:rPr>
          <w:b/>
          <w:bCs/>
          <w:color w:val="000000" w:themeColor="text1"/>
          <w:szCs w:val="24"/>
        </w:rPr>
      </w:pPr>
    </w:p>
    <w:p w14:paraId="6A9AEC3B" w14:textId="0F07B923"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615903" w:rsidRPr="00AC6574">
        <w:rPr>
          <w:color w:val="000000" w:themeColor="text1"/>
          <w:szCs w:val="24"/>
        </w:rPr>
        <w:t>s</w:t>
      </w:r>
      <w:r w:rsidRPr="00AC6574">
        <w:rPr>
          <w:color w:val="000000" w:themeColor="text1"/>
          <w:szCs w:val="24"/>
        </w:rPr>
        <w:t xml:space="preserve"> table item 27 in the definition of Group 1 in section 4. Item 27 cover</w:t>
      </w:r>
      <w:r w:rsidR="00615903" w:rsidRPr="00AC6574">
        <w:rPr>
          <w:color w:val="000000" w:themeColor="text1"/>
          <w:szCs w:val="24"/>
        </w:rPr>
        <w:t>s</w:t>
      </w:r>
      <w:r w:rsidRPr="00AC6574">
        <w:rPr>
          <w:color w:val="000000" w:themeColor="text1"/>
          <w:szCs w:val="24"/>
        </w:rPr>
        <w:t xml:space="preserve"> apparatus that produces radiation of the non-ionizing kind and that is apparatus not covered elsewhere in the table. </w:t>
      </w:r>
      <w:r w:rsidR="00D961EC" w:rsidRPr="00AC6574">
        <w:rPr>
          <w:color w:val="000000" w:themeColor="text1"/>
          <w:szCs w:val="24"/>
        </w:rPr>
        <w:t>I</w:t>
      </w:r>
      <w:r w:rsidRPr="00AC6574">
        <w:rPr>
          <w:color w:val="000000" w:themeColor="text1"/>
          <w:szCs w:val="24"/>
        </w:rPr>
        <w:t>tem 27 only cover</w:t>
      </w:r>
      <w:r w:rsidR="00615903" w:rsidRPr="00AC6574">
        <w:rPr>
          <w:color w:val="000000" w:themeColor="text1"/>
          <w:szCs w:val="24"/>
        </w:rPr>
        <w:t>s</w:t>
      </w:r>
      <w:r w:rsidRPr="00AC6574">
        <w:rPr>
          <w:color w:val="000000" w:themeColor="text1"/>
          <w:szCs w:val="24"/>
        </w:rPr>
        <w:t xml:space="preserve"> apparatus producing non-ionizing radiation. </w:t>
      </w:r>
    </w:p>
    <w:p w14:paraId="5465760A" w14:textId="77777777" w:rsidR="007D189A" w:rsidRPr="00AC6574" w:rsidRDefault="007D189A" w:rsidP="007D189A">
      <w:pPr>
        <w:spacing w:before="100" w:beforeAutospacing="1" w:after="100" w:afterAutospacing="1"/>
        <w:ind w:right="91"/>
        <w:contextualSpacing/>
        <w:rPr>
          <w:color w:val="000000" w:themeColor="text1"/>
          <w:szCs w:val="24"/>
        </w:rPr>
      </w:pPr>
    </w:p>
    <w:p w14:paraId="536E38F8" w14:textId="5AE59910"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also reduce</w:t>
      </w:r>
      <w:r w:rsidR="00615903" w:rsidRPr="00AC6574">
        <w:rPr>
          <w:color w:val="000000" w:themeColor="text1"/>
          <w:szCs w:val="24"/>
        </w:rPr>
        <w:t>s</w:t>
      </w:r>
      <w:r w:rsidRPr="00AC6574">
        <w:rPr>
          <w:color w:val="000000" w:themeColor="text1"/>
          <w:szCs w:val="24"/>
        </w:rPr>
        <w:t xml:space="preserve"> the scope of the existing item 26 to cover only apparatus that produces ionising radiation and item 26 no longer cover</w:t>
      </w:r>
      <w:r w:rsidR="00615903" w:rsidRPr="00AC6574">
        <w:rPr>
          <w:color w:val="000000" w:themeColor="text1"/>
          <w:szCs w:val="24"/>
        </w:rPr>
        <w:t>s</w:t>
      </w:r>
      <w:r w:rsidRPr="00AC6574">
        <w:rPr>
          <w:color w:val="000000" w:themeColor="text1"/>
          <w:szCs w:val="24"/>
        </w:rPr>
        <w:t xml:space="preserve"> apparatus that produces radiation of the non-ionising kind. </w:t>
      </w:r>
      <w:r w:rsidR="00D961EC" w:rsidRPr="00AC6574">
        <w:rPr>
          <w:color w:val="000000" w:themeColor="text1"/>
          <w:szCs w:val="24"/>
        </w:rPr>
        <w:t>I</w:t>
      </w:r>
      <w:r w:rsidRPr="00AC6574">
        <w:rPr>
          <w:color w:val="000000" w:themeColor="text1"/>
          <w:szCs w:val="24"/>
        </w:rPr>
        <w:t xml:space="preserve">tem 26 and item 27 make the definition of </w:t>
      </w:r>
      <w:r w:rsidRPr="00AC6574">
        <w:rPr>
          <w:i/>
          <w:iCs/>
          <w:color w:val="000000" w:themeColor="text1"/>
          <w:szCs w:val="24"/>
        </w:rPr>
        <w:t>Group 1</w:t>
      </w:r>
      <w:r w:rsidRPr="00AC6574">
        <w:rPr>
          <w:color w:val="000000" w:themeColor="text1"/>
          <w:szCs w:val="24"/>
        </w:rPr>
        <w:t xml:space="preserve"> easier to administer, as the item 26 and item 27 </w:t>
      </w:r>
      <w:r w:rsidR="002B7EEF" w:rsidRPr="00AC6574">
        <w:rPr>
          <w:color w:val="000000" w:themeColor="text1"/>
          <w:szCs w:val="24"/>
        </w:rPr>
        <w:t xml:space="preserve">may </w:t>
      </w:r>
      <w:r w:rsidRPr="00AC6574">
        <w:rPr>
          <w:color w:val="000000" w:themeColor="text1"/>
          <w:szCs w:val="24"/>
        </w:rPr>
        <w:t>be understood by licence holders as item 26 covering only apparatus that produces ionising radiation and item 27 covering only apparatus that produces non-ionising radiation.</w:t>
      </w:r>
    </w:p>
    <w:p w14:paraId="468C6C0B" w14:textId="77777777" w:rsidR="007D189A" w:rsidRPr="00AC6574" w:rsidRDefault="007D189A" w:rsidP="007D189A">
      <w:pPr>
        <w:spacing w:before="100" w:beforeAutospacing="1" w:after="100" w:afterAutospacing="1"/>
        <w:ind w:right="91"/>
        <w:contextualSpacing/>
        <w:rPr>
          <w:b/>
          <w:color w:val="000000" w:themeColor="text1"/>
          <w:szCs w:val="24"/>
        </w:rPr>
      </w:pPr>
    </w:p>
    <w:p w14:paraId="1419B5B2"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[3] - Section 4 - Definition of GSR Part 3 and definition of incident</w:t>
      </w:r>
    </w:p>
    <w:p w14:paraId="395C1D05" w14:textId="3DCEAC21" w:rsidR="007D189A" w:rsidRPr="00AC6574" w:rsidRDefault="007D189A" w:rsidP="007D189A">
      <w:pPr>
        <w:spacing w:before="100" w:beforeAutospacing="1" w:after="100" w:afterAutospacing="1"/>
        <w:contextualSpacing/>
        <w:rPr>
          <w:color w:val="000000" w:themeColor="text1"/>
        </w:rPr>
      </w:pPr>
      <w:r w:rsidRPr="00AC6574">
        <w:rPr>
          <w:rFonts w:eastAsiaTheme="minorEastAsia"/>
          <w:color w:val="000000" w:themeColor="text1"/>
          <w:lang w:eastAsia="en-US"/>
        </w:rPr>
        <w:t>This item insert</w:t>
      </w:r>
      <w:r w:rsidR="006C0C8E" w:rsidRPr="00AC6574">
        <w:rPr>
          <w:rFonts w:eastAsiaTheme="minorEastAsia"/>
          <w:b/>
          <w:color w:val="000000" w:themeColor="text1"/>
          <w:lang w:eastAsia="en-US"/>
        </w:rPr>
        <w:t>s</w:t>
      </w:r>
      <w:r w:rsidRPr="00AC6574">
        <w:rPr>
          <w:rFonts w:eastAsiaTheme="minorEastAsia"/>
          <w:color w:val="000000" w:themeColor="text1"/>
          <w:lang w:eastAsia="en-US"/>
        </w:rPr>
        <w:t xml:space="preserve"> a definition of the International Atomic Energy Agency’s International Basic Safety Standard </w:t>
      </w:r>
      <w:r w:rsidRPr="00AC6574">
        <w:rPr>
          <w:i/>
          <w:color w:val="000000" w:themeColor="text1"/>
        </w:rPr>
        <w:t xml:space="preserve">Radiation Protection and Safety of Radiation Sources: </w:t>
      </w:r>
      <w:bookmarkStart w:id="0" w:name="BK_S3P2L26C1"/>
      <w:bookmarkEnd w:id="0"/>
      <w:r w:rsidRPr="00AC6574">
        <w:rPr>
          <w:i/>
          <w:color w:val="000000" w:themeColor="text1"/>
        </w:rPr>
        <w:t xml:space="preserve">International Basic Safety Standards—IAEA Safety Standards Series No. GSR Part 3 </w:t>
      </w:r>
      <w:r w:rsidRPr="00AC6574">
        <w:rPr>
          <w:iCs/>
          <w:color w:val="000000" w:themeColor="text1"/>
        </w:rPr>
        <w:t xml:space="preserve">to allow the standard to be easily and consistently referred to as </w:t>
      </w:r>
      <w:r w:rsidRPr="00AC6574">
        <w:rPr>
          <w:i/>
          <w:color w:val="000000" w:themeColor="text1"/>
        </w:rPr>
        <w:t>“</w:t>
      </w:r>
      <w:r w:rsidRPr="00AC6574">
        <w:rPr>
          <w:i/>
          <w:iCs/>
          <w:color w:val="000000" w:themeColor="text1"/>
        </w:rPr>
        <w:t>GSR Part 3</w:t>
      </w:r>
      <w:r w:rsidRPr="00AC6574">
        <w:rPr>
          <w:color w:val="000000" w:themeColor="text1"/>
        </w:rPr>
        <w:t xml:space="preserve">” throughout the Regulations. A note </w:t>
      </w:r>
      <w:r w:rsidR="006C0C8E" w:rsidRPr="00AC6574">
        <w:rPr>
          <w:bCs/>
          <w:color w:val="000000" w:themeColor="text1"/>
        </w:rPr>
        <w:t xml:space="preserve">is </w:t>
      </w:r>
      <w:r w:rsidRPr="00AC6574">
        <w:rPr>
          <w:color w:val="000000" w:themeColor="text1"/>
        </w:rPr>
        <w:t xml:space="preserve">inserted that GSR Part 3 in 2022 could be viewed on the International Atomic Energy Agency’s website. </w:t>
      </w:r>
    </w:p>
    <w:p w14:paraId="1DD21ADE" w14:textId="2CCDC040" w:rsidR="007D189A" w:rsidRPr="00AC6574" w:rsidRDefault="007D189A" w:rsidP="007D189A">
      <w:pPr>
        <w:spacing w:before="100" w:beforeAutospacing="1" w:after="100" w:afterAutospacing="1"/>
        <w:contextualSpacing/>
        <w:rPr>
          <w:rFonts w:eastAsiaTheme="minorHAnsi"/>
          <w:color w:val="000000" w:themeColor="text1"/>
          <w:szCs w:val="24"/>
          <w:lang w:eastAsia="en-US"/>
        </w:rPr>
      </w:pPr>
      <w:r w:rsidRPr="00AC6574">
        <w:rPr>
          <w:rFonts w:eastAsiaTheme="minorHAnsi"/>
          <w:color w:val="000000" w:themeColor="text1"/>
          <w:szCs w:val="24"/>
          <w:lang w:eastAsia="en-US"/>
        </w:rPr>
        <w:t>This item also insert</w:t>
      </w:r>
      <w:r w:rsidR="006C0C8E" w:rsidRPr="00AC6574">
        <w:rPr>
          <w:rFonts w:eastAsiaTheme="minorHAnsi"/>
          <w:color w:val="000000" w:themeColor="text1"/>
          <w:szCs w:val="24"/>
          <w:lang w:eastAsia="en-US"/>
        </w:rPr>
        <w:t>s</w:t>
      </w:r>
      <w:r w:rsidRPr="00AC6574">
        <w:rPr>
          <w:rFonts w:eastAsiaTheme="minorHAnsi"/>
          <w:color w:val="000000" w:themeColor="text1"/>
          <w:szCs w:val="24"/>
          <w:lang w:eastAsia="en-US"/>
        </w:rPr>
        <w:t xml:space="preserve"> a definition of “</w:t>
      </w:r>
      <w:r w:rsidRPr="00AC6574">
        <w:rPr>
          <w:rFonts w:eastAsiaTheme="minorHAnsi"/>
          <w:i/>
          <w:iCs/>
          <w:color w:val="000000" w:themeColor="text1"/>
          <w:szCs w:val="24"/>
          <w:lang w:eastAsia="en-US"/>
        </w:rPr>
        <w:t>incident</w:t>
      </w:r>
      <w:r w:rsidRPr="00AC6574">
        <w:rPr>
          <w:rFonts w:eastAsiaTheme="minorHAnsi"/>
          <w:color w:val="000000" w:themeColor="text1"/>
          <w:szCs w:val="24"/>
          <w:lang w:eastAsia="en-US"/>
        </w:rPr>
        <w:t xml:space="preserve">” consistent with the meaning used in radiation protection in Australia. A definition </w:t>
      </w:r>
      <w:r w:rsidR="00075224" w:rsidRPr="00AC6574">
        <w:rPr>
          <w:rFonts w:eastAsiaTheme="minorHAnsi"/>
          <w:color w:val="000000" w:themeColor="text1"/>
          <w:szCs w:val="24"/>
          <w:lang w:eastAsia="en-US"/>
        </w:rPr>
        <w:t>of “</w:t>
      </w:r>
      <w:r w:rsidR="00075224" w:rsidRPr="00AC6574">
        <w:rPr>
          <w:rFonts w:eastAsiaTheme="minorHAnsi"/>
          <w:i/>
          <w:iCs/>
          <w:color w:val="000000" w:themeColor="text1"/>
          <w:szCs w:val="24"/>
          <w:lang w:eastAsia="en-US"/>
        </w:rPr>
        <w:t>incident</w:t>
      </w:r>
      <w:r w:rsidR="00075224" w:rsidRPr="00AC6574">
        <w:rPr>
          <w:rFonts w:eastAsiaTheme="minorHAnsi"/>
          <w:color w:val="000000" w:themeColor="text1"/>
          <w:szCs w:val="24"/>
          <w:lang w:eastAsia="en-US"/>
        </w:rPr>
        <w:t xml:space="preserve">” </w:t>
      </w:r>
      <w:r w:rsidRPr="00AC6574">
        <w:rPr>
          <w:rFonts w:eastAsiaTheme="minorHAnsi"/>
          <w:color w:val="000000" w:themeColor="text1"/>
          <w:szCs w:val="24"/>
          <w:lang w:eastAsia="en-US"/>
        </w:rPr>
        <w:t>is required because</w:t>
      </w:r>
      <w:r w:rsidRPr="00AC6574">
        <w:rPr>
          <w:color w:val="000000" w:themeColor="text1"/>
        </w:rPr>
        <w:t xml:space="preserve"> </w:t>
      </w:r>
      <w:r w:rsidRPr="00AC6574">
        <w:rPr>
          <w:rFonts w:eastAsiaTheme="minorHAnsi"/>
          <w:color w:val="000000" w:themeColor="text1"/>
          <w:szCs w:val="24"/>
          <w:lang w:eastAsia="en-US"/>
        </w:rPr>
        <w:t>the word incident covers events that are accidents and events that are malicious acts. For example, the intentional theft of a radioactive source should not be referred to as an accident. Theft of a source or other malicious act is usually referred to as an incident. For the sake of consistency, the word “</w:t>
      </w:r>
      <w:r w:rsidRPr="00AC6574">
        <w:rPr>
          <w:rFonts w:eastAsiaTheme="minorHAnsi"/>
          <w:i/>
          <w:iCs/>
          <w:color w:val="000000" w:themeColor="text1"/>
          <w:szCs w:val="24"/>
          <w:lang w:eastAsia="en-US"/>
        </w:rPr>
        <w:t>incident</w:t>
      </w:r>
      <w:r w:rsidRPr="00AC6574">
        <w:rPr>
          <w:rFonts w:eastAsiaTheme="minorHAnsi"/>
          <w:color w:val="000000" w:themeColor="text1"/>
          <w:szCs w:val="24"/>
          <w:lang w:eastAsia="en-US"/>
        </w:rPr>
        <w:t>” is taken to cover events that are accidents and events that are malicious acts. This item allow</w:t>
      </w:r>
      <w:r w:rsidR="006C0C8E" w:rsidRPr="00AC6574">
        <w:rPr>
          <w:rFonts w:eastAsiaTheme="minorHAnsi"/>
          <w:color w:val="000000" w:themeColor="text1"/>
          <w:szCs w:val="24"/>
          <w:lang w:eastAsia="en-US"/>
        </w:rPr>
        <w:t>s</w:t>
      </w:r>
      <w:r w:rsidRPr="00AC6574">
        <w:rPr>
          <w:rFonts w:eastAsiaTheme="minorHAnsi"/>
          <w:color w:val="000000" w:themeColor="text1"/>
          <w:szCs w:val="24"/>
          <w:lang w:eastAsia="en-US"/>
        </w:rPr>
        <w:t xml:space="preserve"> the term incident to be easily and consistently referred to throughout the Regulations.</w:t>
      </w:r>
    </w:p>
    <w:p w14:paraId="205D6628" w14:textId="77777777" w:rsidR="007D189A" w:rsidRPr="00AC6574" w:rsidRDefault="007D189A" w:rsidP="007D189A">
      <w:pPr>
        <w:spacing w:before="100" w:beforeAutospacing="1" w:after="100" w:afterAutospacing="1"/>
        <w:contextualSpacing/>
        <w:rPr>
          <w:rFonts w:eastAsiaTheme="minorHAnsi"/>
          <w:color w:val="000000" w:themeColor="text1"/>
          <w:szCs w:val="24"/>
          <w:lang w:eastAsia="en-US"/>
        </w:rPr>
      </w:pPr>
    </w:p>
    <w:p w14:paraId="3A24C627"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[4] - Section 4 - Definition of non-ionizing radiation exposure limits</w:t>
      </w:r>
    </w:p>
    <w:p w14:paraId="2FD293CC" w14:textId="4868C94B"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update</w:t>
      </w:r>
      <w:r w:rsidR="006C0C8E"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non-ionizing radiation exposure limits”</w:t>
      </w:r>
      <w:r w:rsidRPr="00AC6574">
        <w:rPr>
          <w:color w:val="000000" w:themeColor="text1"/>
          <w:szCs w:val="24"/>
        </w:rPr>
        <w:t xml:space="preserve"> to refer to </w:t>
      </w:r>
      <w:r w:rsidRPr="00AC6574">
        <w:rPr>
          <w:i/>
          <w:iCs/>
          <w:color w:val="000000" w:themeColor="text1"/>
          <w:szCs w:val="24"/>
        </w:rPr>
        <w:t>AS/NZS IEC 62471:2011</w:t>
      </w:r>
      <w:r w:rsidRPr="00AC6574">
        <w:rPr>
          <w:color w:val="000000" w:themeColor="text1"/>
          <w:szCs w:val="24"/>
        </w:rPr>
        <w:t xml:space="preserve">, as provided for by the definition of </w:t>
      </w:r>
      <w:r w:rsidRPr="00AC6574">
        <w:rPr>
          <w:i/>
          <w:iCs/>
          <w:color w:val="000000" w:themeColor="text1"/>
          <w:szCs w:val="24"/>
        </w:rPr>
        <w:t xml:space="preserve">AS/NZS IEC 62471:2011 </w:t>
      </w:r>
      <w:r w:rsidRPr="00AC6574">
        <w:rPr>
          <w:iCs/>
          <w:color w:val="000000" w:themeColor="text1"/>
          <w:szCs w:val="24"/>
        </w:rPr>
        <w:t>at Item 1</w:t>
      </w:r>
      <w:r w:rsidRPr="00AC6574">
        <w:rPr>
          <w:i/>
          <w:iCs/>
          <w:color w:val="000000" w:themeColor="text1"/>
          <w:szCs w:val="24"/>
        </w:rPr>
        <w:t>.</w:t>
      </w:r>
      <w:r w:rsidRPr="00AC6574">
        <w:rPr>
          <w:color w:val="000000" w:themeColor="text1"/>
          <w:szCs w:val="24"/>
        </w:rPr>
        <w:t xml:space="preserve"> This item allow</w:t>
      </w:r>
      <w:r w:rsidR="006C0C8E"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 xml:space="preserve">AS/NZS IEC 62471:2011 </w:t>
      </w:r>
      <w:r w:rsidRPr="00AC6574">
        <w:rPr>
          <w:color w:val="000000" w:themeColor="text1"/>
          <w:szCs w:val="24"/>
        </w:rPr>
        <w:t>to be easily and consistently referred to throughout the Regulations.</w:t>
      </w:r>
    </w:p>
    <w:p w14:paraId="3C7CB37B" w14:textId="77777777" w:rsidR="007D189A" w:rsidRPr="00AC6574" w:rsidRDefault="007D189A" w:rsidP="007D189A">
      <w:pPr>
        <w:spacing w:before="100" w:beforeAutospacing="1" w:after="100" w:afterAutospacing="1"/>
        <w:ind w:right="91"/>
        <w:contextualSpacing/>
        <w:rPr>
          <w:b/>
          <w:color w:val="000000" w:themeColor="text1"/>
          <w:szCs w:val="24"/>
        </w:rPr>
      </w:pPr>
    </w:p>
    <w:p w14:paraId="16FE3C45"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[5] - Section 4 – Definition of notifiable incident</w:t>
      </w:r>
    </w:p>
    <w:p w14:paraId="325ADA97" w14:textId="77777777" w:rsidR="007D189A" w:rsidRPr="00AC6574" w:rsidRDefault="007D189A" w:rsidP="007D189A">
      <w:pPr>
        <w:spacing w:before="100" w:beforeAutospacing="1" w:after="100" w:afterAutospacing="1"/>
        <w:ind w:right="91"/>
        <w:contextualSpacing/>
        <w:rPr>
          <w:color w:val="000000" w:themeColor="text1"/>
          <w:szCs w:val="24"/>
        </w:rPr>
      </w:pPr>
    </w:p>
    <w:p w14:paraId="62809D2F" w14:textId="7916D881" w:rsidR="007D189A" w:rsidRPr="00AC6574" w:rsidRDefault="007D189A" w:rsidP="007D189A">
      <w:pPr>
        <w:spacing w:before="100" w:beforeAutospacing="1" w:after="120"/>
        <w:ind w:right="91"/>
        <w:contextualSpacing/>
        <w:rPr>
          <w:color w:val="000000" w:themeColor="text1"/>
          <w:szCs w:val="24"/>
        </w:rPr>
      </w:pPr>
      <w:r w:rsidRPr="00AC6574">
        <w:rPr>
          <w:color w:val="000000" w:themeColor="text1"/>
          <w:szCs w:val="24"/>
        </w:rPr>
        <w:t>This item insert</w:t>
      </w:r>
      <w:r w:rsidR="006C0C8E" w:rsidRPr="00AC6574">
        <w:rPr>
          <w:color w:val="000000" w:themeColor="text1"/>
          <w:szCs w:val="24"/>
        </w:rPr>
        <w:t>s</w:t>
      </w:r>
      <w:r w:rsidRPr="00AC6574">
        <w:rPr>
          <w:color w:val="000000" w:themeColor="text1"/>
          <w:szCs w:val="24"/>
        </w:rPr>
        <w:t xml:space="preserve"> a definition of “</w:t>
      </w:r>
      <w:r w:rsidRPr="00AC6574">
        <w:rPr>
          <w:i/>
          <w:iCs/>
          <w:color w:val="000000" w:themeColor="text1"/>
          <w:szCs w:val="24"/>
        </w:rPr>
        <w:t>notifiable incident</w:t>
      </w:r>
      <w:r w:rsidRPr="00AC6574">
        <w:rPr>
          <w:color w:val="000000" w:themeColor="text1"/>
          <w:szCs w:val="24"/>
        </w:rPr>
        <w:t xml:space="preserve">” as those incidents considered to be serious enough to tell the CEO of ARPANSA about within 24 hours of occurring. The following incidents </w:t>
      </w:r>
      <w:r w:rsidR="006C0C8E" w:rsidRPr="00AC6574">
        <w:rPr>
          <w:color w:val="000000" w:themeColor="text1"/>
          <w:szCs w:val="24"/>
        </w:rPr>
        <w:t xml:space="preserve">are </w:t>
      </w:r>
      <w:r w:rsidRPr="00AC6574">
        <w:rPr>
          <w:color w:val="000000" w:themeColor="text1"/>
          <w:szCs w:val="24"/>
        </w:rPr>
        <w:t>considered serious enough to tell the CEO of ARPANSA about within 24 hours</w:t>
      </w:r>
      <w:r w:rsidR="00A2780E" w:rsidRPr="00AC6574">
        <w:rPr>
          <w:color w:val="000000" w:themeColor="text1"/>
          <w:szCs w:val="24"/>
        </w:rPr>
        <w:t xml:space="preserve"> of occurring</w:t>
      </w:r>
      <w:r w:rsidRPr="00AC6574">
        <w:rPr>
          <w:color w:val="000000" w:themeColor="text1"/>
          <w:szCs w:val="24"/>
        </w:rPr>
        <w:t>:</w:t>
      </w:r>
    </w:p>
    <w:p w14:paraId="7B1AF51A" w14:textId="77777777" w:rsidR="007D189A" w:rsidRPr="00AC6574" w:rsidRDefault="007D189A" w:rsidP="007D189A">
      <w:pPr>
        <w:pStyle w:val="CommentSubject"/>
        <w:numPr>
          <w:ilvl w:val="0"/>
          <w:numId w:val="48"/>
        </w:numPr>
        <w:spacing w:before="0" w:after="100" w:afterAutospacing="1"/>
        <w:ind w:right="91"/>
        <w:contextualSpacing/>
        <w:rPr>
          <w:b w:val="0"/>
          <w:bCs w:val="0"/>
          <w:color w:val="000000" w:themeColor="text1"/>
          <w:sz w:val="24"/>
          <w:szCs w:val="24"/>
        </w:rPr>
      </w:pPr>
      <w:r w:rsidRPr="00AC6574">
        <w:rPr>
          <w:b w:val="0"/>
          <w:bCs w:val="0"/>
          <w:color w:val="000000" w:themeColor="text1"/>
          <w:sz w:val="24"/>
          <w:szCs w:val="24"/>
        </w:rPr>
        <w:t>an incident that exposes a person to a dose of ionizing radiation that exceeds an effective dose limit or an equivalent dose limit;</w:t>
      </w:r>
    </w:p>
    <w:p w14:paraId="5439EF43" w14:textId="77777777" w:rsidR="007D189A" w:rsidRPr="00AC6574" w:rsidRDefault="007D189A" w:rsidP="007D189A">
      <w:pPr>
        <w:pStyle w:val="CommentSubject"/>
        <w:numPr>
          <w:ilvl w:val="0"/>
          <w:numId w:val="48"/>
        </w:numPr>
        <w:spacing w:before="100" w:beforeAutospacing="1" w:after="100" w:afterAutospacing="1"/>
        <w:ind w:right="91"/>
        <w:contextualSpacing/>
        <w:rPr>
          <w:b w:val="0"/>
          <w:bCs w:val="0"/>
          <w:color w:val="000000" w:themeColor="text1"/>
          <w:sz w:val="24"/>
          <w:szCs w:val="24"/>
        </w:rPr>
      </w:pPr>
      <w:r w:rsidRPr="00AC6574">
        <w:rPr>
          <w:b w:val="0"/>
          <w:bCs w:val="0"/>
          <w:color w:val="000000" w:themeColor="text1"/>
          <w:sz w:val="24"/>
          <w:szCs w:val="24"/>
        </w:rPr>
        <w:t>an incident involving a diagnostic or interventional medical procedure resulting in an observable acute radiation effect;</w:t>
      </w:r>
    </w:p>
    <w:p w14:paraId="4D9CD141" w14:textId="77777777" w:rsidR="007D189A" w:rsidRPr="00AC6574" w:rsidRDefault="007D189A" w:rsidP="007D189A">
      <w:pPr>
        <w:pStyle w:val="CommentSubject"/>
        <w:numPr>
          <w:ilvl w:val="0"/>
          <w:numId w:val="48"/>
        </w:numPr>
        <w:spacing w:before="100" w:beforeAutospacing="1" w:after="100" w:afterAutospacing="1"/>
        <w:ind w:right="91"/>
        <w:contextualSpacing/>
        <w:rPr>
          <w:b w:val="0"/>
          <w:bCs w:val="0"/>
          <w:color w:val="000000" w:themeColor="text1"/>
          <w:sz w:val="24"/>
          <w:szCs w:val="24"/>
        </w:rPr>
      </w:pPr>
      <w:r w:rsidRPr="00AC6574">
        <w:rPr>
          <w:b w:val="0"/>
          <w:bCs w:val="0"/>
          <w:color w:val="000000" w:themeColor="text1"/>
          <w:sz w:val="24"/>
          <w:szCs w:val="24"/>
        </w:rPr>
        <w:t>an incident involving exposure to non-ionizing radiation from controlled apparatus that exceeds the non-ionizing radiation exposure limits, or results in noticeable eye or skin damage;</w:t>
      </w:r>
    </w:p>
    <w:p w14:paraId="14148461" w14:textId="77777777" w:rsidR="007D189A" w:rsidRPr="00AC6574" w:rsidRDefault="007D189A" w:rsidP="007D189A">
      <w:pPr>
        <w:pStyle w:val="CommentSubject"/>
        <w:numPr>
          <w:ilvl w:val="0"/>
          <w:numId w:val="48"/>
        </w:numPr>
        <w:spacing w:before="100" w:beforeAutospacing="1" w:after="100" w:afterAutospacing="1"/>
        <w:ind w:right="91"/>
        <w:contextualSpacing/>
        <w:rPr>
          <w:b w:val="0"/>
          <w:bCs w:val="0"/>
          <w:color w:val="000000" w:themeColor="text1"/>
          <w:sz w:val="24"/>
          <w:szCs w:val="24"/>
        </w:rPr>
      </w:pPr>
      <w:r w:rsidRPr="00AC6574">
        <w:rPr>
          <w:b w:val="0"/>
          <w:bCs w:val="0"/>
          <w:color w:val="000000" w:themeColor="text1"/>
          <w:sz w:val="24"/>
          <w:szCs w:val="24"/>
        </w:rPr>
        <w:t xml:space="preserve">a theft or loss of controlled material or controlled apparatus, other than controlled material or controlled apparatus in Group 1; </w:t>
      </w:r>
    </w:p>
    <w:p w14:paraId="722747F0" w14:textId="77777777" w:rsidR="007D189A" w:rsidRPr="00AC6574" w:rsidRDefault="007D189A" w:rsidP="007D189A">
      <w:pPr>
        <w:pStyle w:val="CommentSubject"/>
        <w:numPr>
          <w:ilvl w:val="0"/>
          <w:numId w:val="48"/>
        </w:numPr>
        <w:spacing w:before="100" w:beforeAutospacing="1" w:after="100" w:afterAutospacing="1"/>
        <w:ind w:right="91"/>
        <w:contextualSpacing/>
        <w:rPr>
          <w:b w:val="0"/>
          <w:bCs w:val="0"/>
          <w:color w:val="000000" w:themeColor="text1"/>
          <w:sz w:val="24"/>
          <w:szCs w:val="24"/>
        </w:rPr>
      </w:pPr>
      <w:r w:rsidRPr="00AC6574">
        <w:rPr>
          <w:b w:val="0"/>
          <w:bCs w:val="0"/>
          <w:color w:val="000000" w:themeColor="text1"/>
          <w:sz w:val="24"/>
          <w:szCs w:val="24"/>
        </w:rPr>
        <w:t>an incident involving the release of controlled material above a certain amount of radioactivity; and</w:t>
      </w:r>
    </w:p>
    <w:p w14:paraId="5A5E21A9" w14:textId="4FCEA89E" w:rsidR="007D189A" w:rsidRPr="00AC6574" w:rsidRDefault="007D189A" w:rsidP="00127EF4">
      <w:pPr>
        <w:pStyle w:val="CommentSubject"/>
        <w:numPr>
          <w:ilvl w:val="0"/>
          <w:numId w:val="48"/>
        </w:numPr>
        <w:spacing w:before="100" w:beforeAutospacing="1" w:after="100" w:afterAutospacing="1"/>
        <w:ind w:right="91"/>
        <w:contextualSpacing/>
        <w:rPr>
          <w:color w:val="000000" w:themeColor="text1"/>
          <w:sz w:val="24"/>
          <w:szCs w:val="24"/>
        </w:rPr>
      </w:pPr>
      <w:r w:rsidRPr="00AC6574">
        <w:rPr>
          <w:b w:val="0"/>
          <w:bCs w:val="0"/>
          <w:color w:val="000000" w:themeColor="text1"/>
          <w:sz w:val="24"/>
          <w:szCs w:val="24"/>
        </w:rPr>
        <w:t>an incident involving the transport of controlled material above a certain amount of radioactivity and safety provisions are degraded.</w:t>
      </w:r>
    </w:p>
    <w:p w14:paraId="683E4608" w14:textId="2690E7FA"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 xml:space="preserve">The definition of a </w:t>
      </w:r>
      <w:r w:rsidR="00FC404E" w:rsidRPr="00AC6574">
        <w:rPr>
          <w:color w:val="000000" w:themeColor="text1"/>
          <w:szCs w:val="24"/>
        </w:rPr>
        <w:t>“</w:t>
      </w:r>
      <w:r w:rsidRPr="00AC6574">
        <w:rPr>
          <w:i/>
          <w:iCs/>
          <w:color w:val="000000" w:themeColor="text1"/>
          <w:szCs w:val="24"/>
        </w:rPr>
        <w:t>notifiable incident</w:t>
      </w:r>
      <w:r w:rsidR="00FC404E" w:rsidRPr="00AC6574">
        <w:rPr>
          <w:color w:val="000000" w:themeColor="text1"/>
          <w:szCs w:val="24"/>
        </w:rPr>
        <w:t>”</w:t>
      </w:r>
      <w:r w:rsidRPr="00AC6574">
        <w:rPr>
          <w:color w:val="000000" w:themeColor="text1"/>
          <w:szCs w:val="24"/>
        </w:rPr>
        <w:t xml:space="preserve"> provide</w:t>
      </w:r>
      <w:r w:rsidR="006C0C8E" w:rsidRPr="00AC6574">
        <w:rPr>
          <w:color w:val="000000" w:themeColor="text1"/>
          <w:szCs w:val="24"/>
        </w:rPr>
        <w:t>s</w:t>
      </w:r>
      <w:r w:rsidRPr="00AC6574">
        <w:rPr>
          <w:color w:val="000000" w:themeColor="text1"/>
          <w:szCs w:val="24"/>
        </w:rPr>
        <w:t xml:space="preserve"> a clear and simple meaning in the Regulations to make it easier for licence holders when applying the Regulations to understand the nature of the incidents that, should they occur, require the licence holder to notify the CEO of ARPANSA within 24 hours under section 58 of the Regulations.</w:t>
      </w:r>
    </w:p>
    <w:p w14:paraId="3811817D" w14:textId="77777777" w:rsidR="007D189A" w:rsidRPr="00AC6574" w:rsidRDefault="007D189A" w:rsidP="007D189A">
      <w:pPr>
        <w:spacing w:before="100" w:beforeAutospacing="1" w:after="100" w:afterAutospacing="1"/>
        <w:ind w:right="91"/>
        <w:contextualSpacing/>
        <w:rPr>
          <w:color w:val="000000" w:themeColor="text1"/>
          <w:szCs w:val="24"/>
        </w:rPr>
      </w:pPr>
    </w:p>
    <w:p w14:paraId="12A1776C" w14:textId="504240B5" w:rsidR="007D189A" w:rsidRPr="00AC6574" w:rsidRDefault="007D189A" w:rsidP="007D189A">
      <w:pPr>
        <w:spacing w:before="100" w:beforeAutospacing="1" w:after="100" w:afterAutospacing="1"/>
        <w:ind w:right="91"/>
        <w:contextualSpacing/>
        <w:rPr>
          <w:bCs/>
          <w:iCs/>
          <w:color w:val="000000" w:themeColor="text1"/>
          <w:szCs w:val="24"/>
        </w:rPr>
      </w:pPr>
      <w:r w:rsidRPr="00AC6574">
        <w:rPr>
          <w:color w:val="000000" w:themeColor="text1"/>
          <w:szCs w:val="24"/>
        </w:rPr>
        <w:t>This item also insert</w:t>
      </w:r>
      <w:r w:rsidR="003C0A6D" w:rsidRPr="00AC6574">
        <w:rPr>
          <w:color w:val="000000" w:themeColor="text1"/>
          <w:szCs w:val="24"/>
        </w:rPr>
        <w:t>s</w:t>
      </w:r>
      <w:r w:rsidRPr="00AC6574">
        <w:rPr>
          <w:color w:val="000000" w:themeColor="text1"/>
          <w:szCs w:val="24"/>
        </w:rPr>
        <w:t xml:space="preserve"> definitions of “</w:t>
      </w:r>
      <w:r w:rsidRPr="00AC6574">
        <w:rPr>
          <w:bCs/>
          <w:i/>
          <w:color w:val="000000" w:themeColor="text1"/>
          <w:szCs w:val="24"/>
        </w:rPr>
        <w:t xml:space="preserve">solid clearance material” </w:t>
      </w:r>
      <w:r w:rsidRPr="00AC6574">
        <w:rPr>
          <w:bCs/>
          <w:iCs/>
          <w:color w:val="000000" w:themeColor="text1"/>
          <w:szCs w:val="24"/>
        </w:rPr>
        <w:t>and “</w:t>
      </w:r>
      <w:r w:rsidRPr="00AC6574">
        <w:rPr>
          <w:bCs/>
          <w:i/>
          <w:color w:val="000000" w:themeColor="text1"/>
          <w:szCs w:val="24"/>
        </w:rPr>
        <w:t>solid clearance value”</w:t>
      </w:r>
      <w:r w:rsidRPr="00AC6574">
        <w:rPr>
          <w:bCs/>
          <w:iCs/>
          <w:color w:val="000000" w:themeColor="text1"/>
          <w:szCs w:val="24"/>
        </w:rPr>
        <w:t xml:space="preserve"> that assist</w:t>
      </w:r>
      <w:r w:rsidR="003C0A6D" w:rsidRPr="00AC6574">
        <w:rPr>
          <w:bCs/>
          <w:iCs/>
          <w:color w:val="000000" w:themeColor="text1"/>
          <w:szCs w:val="24"/>
        </w:rPr>
        <w:t>s</w:t>
      </w:r>
      <w:r w:rsidRPr="00AC6574">
        <w:rPr>
          <w:bCs/>
          <w:iCs/>
          <w:color w:val="000000" w:themeColor="text1"/>
          <w:szCs w:val="24"/>
        </w:rPr>
        <w:t xml:space="preserve"> a licence holder understand that the meaning of those particular terms </w:t>
      </w:r>
      <w:r w:rsidR="00A2780E" w:rsidRPr="00AC6574">
        <w:rPr>
          <w:bCs/>
          <w:iCs/>
          <w:color w:val="000000" w:themeColor="text1"/>
          <w:szCs w:val="24"/>
        </w:rPr>
        <w:t xml:space="preserve">is </w:t>
      </w:r>
      <w:r w:rsidRPr="00AC6574">
        <w:rPr>
          <w:bCs/>
          <w:iCs/>
          <w:color w:val="000000" w:themeColor="text1"/>
          <w:szCs w:val="24"/>
        </w:rPr>
        <w:t>found in subsections 65(7) and 65(8) of the Regulations respectively.</w:t>
      </w:r>
    </w:p>
    <w:p w14:paraId="576F29FF" w14:textId="77777777" w:rsidR="007D189A" w:rsidRPr="00AC6574" w:rsidRDefault="007D189A" w:rsidP="007D189A">
      <w:pPr>
        <w:spacing w:before="100" w:beforeAutospacing="1" w:after="100" w:afterAutospacing="1"/>
        <w:ind w:right="91"/>
        <w:contextualSpacing/>
        <w:rPr>
          <w:b/>
          <w:color w:val="000000" w:themeColor="text1"/>
          <w:szCs w:val="24"/>
        </w:rPr>
      </w:pPr>
    </w:p>
    <w:p w14:paraId="5EAB0B94"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[6] – At the end of section 5</w:t>
      </w:r>
    </w:p>
    <w:p w14:paraId="62E814D7" w14:textId="77777777" w:rsidR="007D189A" w:rsidRPr="00AC6574" w:rsidRDefault="007D189A" w:rsidP="007D189A">
      <w:pPr>
        <w:spacing w:before="100" w:beforeAutospacing="1" w:after="100" w:afterAutospacing="1"/>
        <w:ind w:right="91"/>
        <w:contextualSpacing/>
        <w:rPr>
          <w:b/>
          <w:color w:val="000000" w:themeColor="text1"/>
          <w:szCs w:val="24"/>
        </w:rPr>
      </w:pPr>
    </w:p>
    <w:p w14:paraId="7C746168" w14:textId="39B51664"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6C0C8E" w:rsidRPr="00AC6574">
        <w:rPr>
          <w:color w:val="000000" w:themeColor="text1"/>
          <w:szCs w:val="24"/>
        </w:rPr>
        <w:t>s</w:t>
      </w:r>
      <w:r w:rsidRPr="00AC6574">
        <w:rPr>
          <w:color w:val="000000" w:themeColor="text1"/>
          <w:szCs w:val="24"/>
        </w:rPr>
        <w:t xml:space="preserve"> a subsection 5(3) to make it clear that subsections 5(1) and 5(2) </w:t>
      </w:r>
      <w:r w:rsidR="006C0C8E" w:rsidRPr="00AC6574">
        <w:rPr>
          <w:color w:val="000000" w:themeColor="text1"/>
          <w:szCs w:val="24"/>
        </w:rPr>
        <w:t xml:space="preserve">do </w:t>
      </w:r>
      <w:r w:rsidRPr="00AC6574">
        <w:rPr>
          <w:color w:val="000000" w:themeColor="text1"/>
          <w:szCs w:val="24"/>
        </w:rPr>
        <w:t xml:space="preserve">not apply to the subsections 65(7) to (9). The reason for excluding subsections 65(7) to (9) from the operation of subsections 5(1) and 5(2) is that, for solid clearance material, how the activity of progeny is dealt with is specific to solid clearance material as set out in the provision of subsections 65(7) to (9) and that this is not the same as the way it is dealt with in subsections 5(1) and 5(2). A note </w:t>
      </w:r>
      <w:r w:rsidR="006C0C8E" w:rsidRPr="00AC6574">
        <w:rPr>
          <w:color w:val="000000" w:themeColor="text1"/>
          <w:szCs w:val="24"/>
        </w:rPr>
        <w:t xml:space="preserve">is </w:t>
      </w:r>
      <w:r w:rsidRPr="00AC6574">
        <w:rPr>
          <w:color w:val="000000" w:themeColor="text1"/>
          <w:szCs w:val="24"/>
        </w:rPr>
        <w:t>inserted to assist licence holders understand the subsections 65(7) to (9) which deal with the radioactivity concentration of progeny nuclides in relation to solid clearance material.</w:t>
      </w:r>
    </w:p>
    <w:p w14:paraId="17C9C2CD" w14:textId="77777777" w:rsidR="007D189A" w:rsidRPr="00AC6574" w:rsidRDefault="007D189A" w:rsidP="007D189A">
      <w:pPr>
        <w:spacing w:before="100" w:beforeAutospacing="1" w:after="100" w:afterAutospacing="1"/>
        <w:ind w:right="91"/>
        <w:contextualSpacing/>
        <w:rPr>
          <w:b/>
          <w:color w:val="000000" w:themeColor="text1"/>
          <w:szCs w:val="24"/>
        </w:rPr>
      </w:pPr>
    </w:p>
    <w:p w14:paraId="3242FB3B" w14:textId="77777777" w:rsidR="007D189A" w:rsidRPr="00AC6574" w:rsidRDefault="007D189A" w:rsidP="007D189A">
      <w:pPr>
        <w:spacing w:before="100" w:beforeAutospacing="1" w:after="100" w:afterAutospacing="1"/>
        <w:ind w:right="91"/>
        <w:contextualSpacing/>
        <w:rPr>
          <w:bCs/>
          <w:color w:val="000000" w:themeColor="text1"/>
          <w:szCs w:val="24"/>
        </w:rPr>
      </w:pPr>
      <w:r w:rsidRPr="00AC6574">
        <w:rPr>
          <w:b/>
          <w:color w:val="000000" w:themeColor="text1"/>
          <w:szCs w:val="24"/>
        </w:rPr>
        <w:t>Items [7], [8], [9] and [10] - Subsection 44(1)</w:t>
      </w:r>
    </w:p>
    <w:p w14:paraId="4EACC838" w14:textId="77777777" w:rsidR="007D189A" w:rsidRPr="00AC6574" w:rsidRDefault="007D189A" w:rsidP="007D189A">
      <w:pPr>
        <w:spacing w:before="100" w:beforeAutospacing="1" w:after="100" w:afterAutospacing="1"/>
        <w:ind w:right="91"/>
        <w:contextualSpacing/>
        <w:rPr>
          <w:b/>
          <w:color w:val="000000" w:themeColor="text1"/>
          <w:szCs w:val="24"/>
        </w:rPr>
      </w:pPr>
    </w:p>
    <w:p w14:paraId="5589F89D" w14:textId="188D834A" w:rsidR="007D189A" w:rsidRPr="00AC6574" w:rsidRDefault="007D189A" w:rsidP="007D189A">
      <w:pPr>
        <w:spacing w:before="100" w:beforeAutospacing="1" w:after="100" w:afterAutospacing="1"/>
        <w:ind w:right="91"/>
        <w:contextualSpacing/>
        <w:rPr>
          <w:bCs/>
          <w:color w:val="000000" w:themeColor="text1"/>
          <w:szCs w:val="24"/>
        </w:rPr>
      </w:pPr>
      <w:r w:rsidRPr="00AC6574">
        <w:rPr>
          <w:bCs/>
          <w:color w:val="000000" w:themeColor="text1"/>
          <w:szCs w:val="24"/>
        </w:rPr>
        <w:t>Items 7 and 10 repeal dealings involving ionizing radiation from table item 7 in subsection 44(1) and add those dealings as items 10 to 12 at the end of the table. The amended table item 7 as a result only cover</w:t>
      </w:r>
      <w:r w:rsidR="006C0C8E" w:rsidRPr="00AC6574">
        <w:rPr>
          <w:bCs/>
          <w:color w:val="000000" w:themeColor="text1"/>
          <w:szCs w:val="24"/>
        </w:rPr>
        <w:t>s</w:t>
      </w:r>
      <w:r w:rsidRPr="00AC6574">
        <w:rPr>
          <w:bCs/>
          <w:color w:val="000000" w:themeColor="text1"/>
          <w:szCs w:val="24"/>
        </w:rPr>
        <w:t xml:space="preserve"> dealings involving non-ionizing radiation. This make</w:t>
      </w:r>
      <w:r w:rsidR="006C0C8E" w:rsidRPr="00AC6574">
        <w:rPr>
          <w:bCs/>
          <w:color w:val="000000" w:themeColor="text1"/>
          <w:szCs w:val="24"/>
        </w:rPr>
        <w:t>s</w:t>
      </w:r>
      <w:r w:rsidRPr="00AC6574">
        <w:rPr>
          <w:bCs/>
          <w:color w:val="000000" w:themeColor="text1"/>
          <w:szCs w:val="24"/>
        </w:rPr>
        <w:t xml:space="preserve"> subsection 44(1) easier to administer, as the table item 7 </w:t>
      </w:r>
      <w:r w:rsidR="00A2780E" w:rsidRPr="00AC6574">
        <w:rPr>
          <w:bCs/>
          <w:color w:val="000000" w:themeColor="text1"/>
          <w:szCs w:val="24"/>
        </w:rPr>
        <w:t>will</w:t>
      </w:r>
      <w:r w:rsidR="006C0C8E" w:rsidRPr="00AC6574">
        <w:rPr>
          <w:bCs/>
          <w:color w:val="000000" w:themeColor="text1"/>
          <w:szCs w:val="24"/>
        </w:rPr>
        <w:t xml:space="preserve"> </w:t>
      </w:r>
      <w:r w:rsidRPr="00AC6574">
        <w:rPr>
          <w:bCs/>
          <w:color w:val="000000" w:themeColor="text1"/>
          <w:szCs w:val="24"/>
        </w:rPr>
        <w:lastRenderedPageBreak/>
        <w:t xml:space="preserve">be understood by licence holders as covering only dealings involving non-ionizing radiation. </w:t>
      </w:r>
    </w:p>
    <w:p w14:paraId="29138AEF" w14:textId="77777777" w:rsidR="007D189A" w:rsidRPr="00AC6574" w:rsidRDefault="007D189A" w:rsidP="007D189A">
      <w:pPr>
        <w:spacing w:before="100" w:beforeAutospacing="1" w:after="100" w:afterAutospacing="1"/>
        <w:ind w:right="91"/>
        <w:contextualSpacing/>
        <w:rPr>
          <w:bCs/>
          <w:color w:val="000000" w:themeColor="text1"/>
          <w:szCs w:val="24"/>
        </w:rPr>
      </w:pPr>
    </w:p>
    <w:p w14:paraId="6DC5BBE0" w14:textId="79C740FF" w:rsidR="007D189A" w:rsidRPr="00AC6574" w:rsidRDefault="007D189A" w:rsidP="007D189A">
      <w:pPr>
        <w:spacing w:before="100" w:beforeAutospacing="1" w:after="100" w:afterAutospacing="1"/>
        <w:ind w:right="91"/>
        <w:contextualSpacing/>
        <w:rPr>
          <w:bCs/>
          <w:color w:val="000000" w:themeColor="text1"/>
          <w:szCs w:val="24"/>
        </w:rPr>
      </w:pPr>
      <w:r w:rsidRPr="00AC6574">
        <w:rPr>
          <w:bCs/>
          <w:color w:val="000000" w:themeColor="text1"/>
          <w:szCs w:val="24"/>
        </w:rPr>
        <w:t>Item 8 amend</w:t>
      </w:r>
      <w:r w:rsidR="006C0C8E" w:rsidRPr="00AC6574">
        <w:rPr>
          <w:bCs/>
          <w:color w:val="000000" w:themeColor="text1"/>
          <w:szCs w:val="24"/>
        </w:rPr>
        <w:t>s</w:t>
      </w:r>
      <w:r w:rsidRPr="00AC6574">
        <w:rPr>
          <w:bCs/>
          <w:color w:val="000000" w:themeColor="text1"/>
          <w:szCs w:val="24"/>
        </w:rPr>
        <w:t xml:space="preserve"> paragraph (i) in table item 7 in subsection 44(1) to properly refer to RADAR in terms of detection and ranging, noting that RADAR is an acronym for Radio Detection and Ranging. </w:t>
      </w:r>
    </w:p>
    <w:p w14:paraId="55C58466" w14:textId="77777777" w:rsidR="007D189A" w:rsidRPr="00AC6574" w:rsidRDefault="007D189A" w:rsidP="007D189A">
      <w:pPr>
        <w:spacing w:before="100" w:beforeAutospacing="1" w:after="100" w:afterAutospacing="1"/>
        <w:ind w:right="91"/>
        <w:contextualSpacing/>
        <w:rPr>
          <w:bCs/>
          <w:color w:val="000000" w:themeColor="text1"/>
          <w:szCs w:val="24"/>
        </w:rPr>
      </w:pPr>
    </w:p>
    <w:p w14:paraId="157518FF" w14:textId="757DB405" w:rsidR="007D189A" w:rsidRPr="00AC6574" w:rsidRDefault="007D189A" w:rsidP="007D189A">
      <w:pPr>
        <w:spacing w:before="100" w:beforeAutospacing="1" w:after="100" w:afterAutospacing="1"/>
        <w:ind w:right="91"/>
        <w:contextualSpacing/>
        <w:rPr>
          <w:bCs/>
          <w:color w:val="000000" w:themeColor="text1"/>
          <w:szCs w:val="24"/>
        </w:rPr>
      </w:pPr>
      <w:r w:rsidRPr="00AC6574">
        <w:rPr>
          <w:bCs/>
          <w:color w:val="000000" w:themeColor="text1"/>
          <w:szCs w:val="24"/>
        </w:rPr>
        <w:t>Item 9 add</w:t>
      </w:r>
      <w:r w:rsidR="006C0C8E" w:rsidRPr="00AC6574">
        <w:rPr>
          <w:bCs/>
          <w:color w:val="000000" w:themeColor="text1"/>
          <w:szCs w:val="24"/>
        </w:rPr>
        <w:t>s</w:t>
      </w:r>
      <w:r w:rsidRPr="00AC6574">
        <w:rPr>
          <w:bCs/>
          <w:color w:val="000000" w:themeColor="text1"/>
          <w:szCs w:val="24"/>
        </w:rPr>
        <w:t xml:space="preserve"> paragraph (q) to table item 7 in subsection 44(1) to provide for dealings with a range finder with power less than 5 milliwatts to be exempt dealings. This is due to the low risk posed by such a device. Item 9 also add</w:t>
      </w:r>
      <w:r w:rsidR="006C0C8E" w:rsidRPr="00AC6574">
        <w:rPr>
          <w:bCs/>
          <w:color w:val="000000" w:themeColor="text1"/>
          <w:szCs w:val="24"/>
        </w:rPr>
        <w:t>s</w:t>
      </w:r>
      <w:r w:rsidRPr="00AC6574">
        <w:rPr>
          <w:bCs/>
          <w:color w:val="000000" w:themeColor="text1"/>
          <w:szCs w:val="24"/>
        </w:rPr>
        <w:t xml:space="preserve"> paragraph (r) to table item 7 to provide for dealings with an optical light source</w:t>
      </w:r>
      <w:r w:rsidRPr="00AC6574">
        <w:rPr>
          <w:color w:val="000000" w:themeColor="text1"/>
        </w:rPr>
        <w:t xml:space="preserve"> </w:t>
      </w:r>
      <w:r w:rsidRPr="00AC6574">
        <w:rPr>
          <w:bCs/>
          <w:color w:val="000000" w:themeColor="text1"/>
          <w:szCs w:val="24"/>
        </w:rPr>
        <w:t xml:space="preserve">that is not a laser product which emits infra-red or visible light at a level not exceeding the exposure limits mentioned in </w:t>
      </w:r>
      <w:r w:rsidRPr="00AC6574">
        <w:rPr>
          <w:bCs/>
          <w:i/>
          <w:iCs/>
          <w:color w:val="000000" w:themeColor="text1"/>
          <w:szCs w:val="24"/>
        </w:rPr>
        <w:t>AS/NZS IEC 62471:2011</w:t>
      </w:r>
      <w:r w:rsidRPr="00AC6574">
        <w:rPr>
          <w:bCs/>
          <w:color w:val="000000" w:themeColor="text1"/>
          <w:szCs w:val="24"/>
        </w:rPr>
        <w:t xml:space="preserve"> to be dealings exempt from the need to obtain a source licence or facility licence under the ARPANS Act. This is due to the low risk posed by such a device.</w:t>
      </w:r>
    </w:p>
    <w:p w14:paraId="484C9D3E" w14:textId="77777777" w:rsidR="007D189A" w:rsidRPr="00AC6574" w:rsidRDefault="007D189A" w:rsidP="007D189A">
      <w:pPr>
        <w:spacing w:before="100" w:beforeAutospacing="1" w:after="100" w:afterAutospacing="1"/>
        <w:ind w:right="91"/>
        <w:contextualSpacing/>
        <w:rPr>
          <w:bCs/>
          <w:color w:val="000000" w:themeColor="text1"/>
          <w:szCs w:val="24"/>
        </w:rPr>
      </w:pPr>
    </w:p>
    <w:p w14:paraId="3E392C9D"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[11] – Subsection 44(2) (heading)</w:t>
      </w:r>
    </w:p>
    <w:p w14:paraId="32715BC0" w14:textId="77777777" w:rsidR="007D189A" w:rsidRPr="00AC6574" w:rsidRDefault="007D189A" w:rsidP="007D189A">
      <w:pPr>
        <w:spacing w:before="100" w:beforeAutospacing="1" w:after="100" w:afterAutospacing="1"/>
        <w:ind w:right="91"/>
        <w:contextualSpacing/>
        <w:rPr>
          <w:b/>
          <w:color w:val="000000" w:themeColor="text1"/>
          <w:szCs w:val="24"/>
        </w:rPr>
      </w:pPr>
    </w:p>
    <w:p w14:paraId="41D9B0FD" w14:textId="35358C85" w:rsidR="007D189A" w:rsidRPr="00AC6574" w:rsidRDefault="007D189A" w:rsidP="007D189A">
      <w:pPr>
        <w:spacing w:before="100" w:beforeAutospacing="1" w:after="100" w:afterAutospacing="1"/>
        <w:ind w:right="91"/>
        <w:contextualSpacing/>
        <w:rPr>
          <w:bCs/>
          <w:color w:val="000000" w:themeColor="text1"/>
          <w:szCs w:val="24"/>
        </w:rPr>
      </w:pPr>
      <w:r w:rsidRPr="00AC6574">
        <w:rPr>
          <w:color w:val="000000" w:themeColor="text1"/>
          <w:szCs w:val="24"/>
        </w:rPr>
        <w:t>This item omit</w:t>
      </w:r>
      <w:r w:rsidR="006C0C8E" w:rsidRPr="00AC6574">
        <w:rPr>
          <w:color w:val="000000" w:themeColor="text1"/>
          <w:szCs w:val="24"/>
        </w:rPr>
        <w:t>s</w:t>
      </w:r>
      <w:r w:rsidRPr="00AC6574">
        <w:rPr>
          <w:color w:val="000000" w:themeColor="text1"/>
          <w:szCs w:val="24"/>
        </w:rPr>
        <w:t xml:space="preserve"> the word “</w:t>
      </w:r>
      <w:r w:rsidRPr="00AC6574">
        <w:rPr>
          <w:i/>
          <w:iCs/>
          <w:color w:val="000000" w:themeColor="text1"/>
          <w:szCs w:val="24"/>
        </w:rPr>
        <w:t>excessive</w:t>
      </w:r>
      <w:r w:rsidRPr="00AC6574">
        <w:rPr>
          <w:color w:val="000000" w:themeColor="text1"/>
          <w:szCs w:val="24"/>
        </w:rPr>
        <w:t>” from the heading to subsection 44(2) and substitute it with the word “</w:t>
      </w:r>
      <w:r w:rsidRPr="00AC6574">
        <w:rPr>
          <w:i/>
          <w:iCs/>
          <w:color w:val="000000" w:themeColor="text1"/>
          <w:szCs w:val="24"/>
        </w:rPr>
        <w:t>non-trivial</w:t>
      </w:r>
      <w:r w:rsidRPr="00AC6574">
        <w:rPr>
          <w:color w:val="000000" w:themeColor="text1"/>
          <w:szCs w:val="24"/>
        </w:rPr>
        <w:t>”. This amendment is required because the word “</w:t>
      </w:r>
      <w:r w:rsidRPr="00AC6574">
        <w:rPr>
          <w:i/>
          <w:iCs/>
          <w:color w:val="000000" w:themeColor="text1"/>
          <w:szCs w:val="24"/>
        </w:rPr>
        <w:t>excessive</w:t>
      </w:r>
      <w:r w:rsidRPr="00AC6574">
        <w:rPr>
          <w:color w:val="000000" w:themeColor="text1"/>
          <w:szCs w:val="24"/>
        </w:rPr>
        <w:t>” is not used in relation to radiation doses in the radiation protection industry in Australia and it is more accurate to refer to a particular dealing declared under subsection 44(2) as a dealing having a “</w:t>
      </w:r>
      <w:r w:rsidRPr="00AC6574">
        <w:rPr>
          <w:i/>
          <w:iCs/>
          <w:color w:val="000000" w:themeColor="text1"/>
          <w:szCs w:val="24"/>
        </w:rPr>
        <w:t>non-trivial</w:t>
      </w:r>
      <w:r w:rsidRPr="00AC6574">
        <w:rPr>
          <w:color w:val="000000" w:themeColor="text1"/>
          <w:szCs w:val="24"/>
        </w:rPr>
        <w:t xml:space="preserve">” dose, rather than having an “excessive” dose. The effect of the amendment </w:t>
      </w:r>
      <w:r w:rsidR="006C0C8E" w:rsidRPr="00AC6574">
        <w:rPr>
          <w:color w:val="000000" w:themeColor="text1"/>
          <w:szCs w:val="24"/>
        </w:rPr>
        <w:t>is</w:t>
      </w:r>
      <w:r w:rsidRPr="00AC6574">
        <w:rPr>
          <w:color w:val="000000" w:themeColor="text1"/>
          <w:szCs w:val="24"/>
        </w:rPr>
        <w:t xml:space="preserve"> to make the language in subsection 44(2) consistent with language currently used in radiation protection in Australia.</w:t>
      </w:r>
    </w:p>
    <w:p w14:paraId="5767A463" w14:textId="77777777" w:rsidR="007D189A" w:rsidRPr="00AC6574" w:rsidRDefault="007D189A" w:rsidP="007D189A">
      <w:pPr>
        <w:spacing w:before="100" w:beforeAutospacing="1" w:after="100" w:afterAutospacing="1"/>
        <w:ind w:right="91"/>
        <w:contextualSpacing/>
        <w:rPr>
          <w:b/>
          <w:color w:val="000000" w:themeColor="text1"/>
          <w:szCs w:val="24"/>
        </w:rPr>
      </w:pPr>
    </w:p>
    <w:p w14:paraId="3E1A58EF"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[12] - Paragraph 44(2)(a)</w:t>
      </w:r>
    </w:p>
    <w:p w14:paraId="13D2A30A" w14:textId="77777777" w:rsidR="007D189A" w:rsidRPr="00AC6574" w:rsidRDefault="007D189A" w:rsidP="007D189A">
      <w:pPr>
        <w:spacing w:before="100" w:beforeAutospacing="1" w:after="100" w:afterAutospacing="1"/>
        <w:ind w:right="-24"/>
        <w:contextualSpacing/>
        <w:rPr>
          <w:color w:val="000000" w:themeColor="text1"/>
          <w:szCs w:val="24"/>
        </w:rPr>
      </w:pPr>
    </w:p>
    <w:p w14:paraId="12C584C9" w14:textId="625CA0B5"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repeal</w:t>
      </w:r>
      <w:r w:rsidR="006C0C8E" w:rsidRPr="00AC6574">
        <w:rPr>
          <w:color w:val="000000" w:themeColor="text1"/>
          <w:szCs w:val="24"/>
        </w:rPr>
        <w:t>s</w:t>
      </w:r>
      <w:r w:rsidRPr="00AC6574">
        <w:rPr>
          <w:color w:val="000000" w:themeColor="text1"/>
          <w:szCs w:val="24"/>
        </w:rPr>
        <w:t xml:space="preserve"> the existing paragraph 44(2)(a) and substitute “</w:t>
      </w:r>
      <w:r w:rsidRPr="00AC6574">
        <w:rPr>
          <w:i/>
          <w:iCs/>
          <w:color w:val="000000" w:themeColor="text1"/>
          <w:szCs w:val="24"/>
        </w:rPr>
        <w:t>(a) under reasonably foreseeable circumstances, the effective dose to an individual is likely to be greater than 10 microsieverts in a year; or</w:t>
      </w:r>
      <w:r w:rsidRPr="00AC6574">
        <w:rPr>
          <w:color w:val="000000" w:themeColor="text1"/>
          <w:szCs w:val="24"/>
        </w:rPr>
        <w:t xml:space="preserve">”. This amendment is required because the existing language in paragraph 44(2)(a) is no longer used in radiation protection in Australia. The effect of the amendment </w:t>
      </w:r>
      <w:r w:rsidR="006C0C8E" w:rsidRPr="00AC6574">
        <w:rPr>
          <w:color w:val="000000" w:themeColor="text1"/>
          <w:szCs w:val="24"/>
        </w:rPr>
        <w:t xml:space="preserve">is </w:t>
      </w:r>
      <w:r w:rsidRPr="00AC6574">
        <w:rPr>
          <w:color w:val="000000" w:themeColor="text1"/>
          <w:szCs w:val="24"/>
        </w:rPr>
        <w:t>to make the language in paragraph 44(2)(a) consistent with language currently used in radiation protection in Australia.</w:t>
      </w:r>
    </w:p>
    <w:p w14:paraId="3E83D7CE" w14:textId="77777777" w:rsidR="007D189A" w:rsidRPr="00AC6574" w:rsidRDefault="007D189A" w:rsidP="007D189A">
      <w:pPr>
        <w:spacing w:before="100" w:beforeAutospacing="1" w:after="100" w:afterAutospacing="1"/>
        <w:ind w:right="91"/>
        <w:contextualSpacing/>
        <w:rPr>
          <w:b/>
          <w:color w:val="000000" w:themeColor="text1"/>
          <w:szCs w:val="24"/>
        </w:rPr>
      </w:pPr>
    </w:p>
    <w:p w14:paraId="62FAC9EF" w14:textId="77777777" w:rsidR="007D189A" w:rsidRPr="00AC6574" w:rsidRDefault="007D189A" w:rsidP="007D189A">
      <w:pPr>
        <w:spacing w:before="100" w:beforeAutospacing="1" w:after="100" w:afterAutospacing="1"/>
        <w:ind w:right="91"/>
        <w:contextualSpacing/>
        <w:rPr>
          <w:bCs/>
          <w:color w:val="000000" w:themeColor="text1"/>
          <w:szCs w:val="24"/>
        </w:rPr>
      </w:pPr>
      <w:r w:rsidRPr="00AC6574">
        <w:rPr>
          <w:b/>
          <w:color w:val="000000" w:themeColor="text1"/>
          <w:szCs w:val="24"/>
        </w:rPr>
        <w:t>Item [13] - Paragraph 44(2)(b)</w:t>
      </w:r>
    </w:p>
    <w:p w14:paraId="4A21B655" w14:textId="77777777" w:rsidR="007D189A" w:rsidRPr="00AC6574" w:rsidRDefault="007D189A" w:rsidP="007D189A">
      <w:pPr>
        <w:spacing w:before="100" w:beforeAutospacing="1" w:after="100" w:afterAutospacing="1"/>
        <w:ind w:right="-24"/>
        <w:contextualSpacing/>
        <w:rPr>
          <w:color w:val="000000" w:themeColor="text1"/>
          <w:szCs w:val="24"/>
        </w:rPr>
      </w:pPr>
    </w:p>
    <w:p w14:paraId="0A5CB2EC" w14:textId="168E2A28"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omit</w:t>
      </w:r>
      <w:r w:rsidR="006C0C8E" w:rsidRPr="00AC6574">
        <w:rPr>
          <w:color w:val="000000" w:themeColor="text1"/>
          <w:szCs w:val="24"/>
        </w:rPr>
        <w:t>s</w:t>
      </w:r>
      <w:r w:rsidRPr="00AC6574">
        <w:rPr>
          <w:color w:val="000000" w:themeColor="text1"/>
          <w:szCs w:val="24"/>
        </w:rPr>
        <w:t xml:space="preserve"> “</w:t>
      </w:r>
      <w:r w:rsidRPr="00AC6574">
        <w:rPr>
          <w:i/>
          <w:iCs/>
          <w:color w:val="000000" w:themeColor="text1"/>
          <w:szCs w:val="24"/>
        </w:rPr>
        <w:t>a dose greater than the effective dose limit worked out under sections 77 and 78</w:t>
      </w:r>
      <w:r w:rsidRPr="00AC6574">
        <w:rPr>
          <w:color w:val="000000" w:themeColor="text1"/>
          <w:szCs w:val="24"/>
        </w:rPr>
        <w:t>” and substitute “</w:t>
      </w:r>
      <w:r w:rsidRPr="00AC6574">
        <w:rPr>
          <w:i/>
          <w:iCs/>
          <w:color w:val="000000" w:themeColor="text1"/>
          <w:szCs w:val="24"/>
        </w:rPr>
        <w:t>an effective dose to an individual greater than 1 mSv in a year</w:t>
      </w:r>
      <w:r w:rsidRPr="00AC6574">
        <w:rPr>
          <w:color w:val="000000" w:themeColor="text1"/>
          <w:szCs w:val="24"/>
        </w:rPr>
        <w:t>”. This amendment is required because it is no longer correct to refer to the dose limits in sections 77 and 78 to determine whether to declare under subsection 44(2) that a dealing has a “</w:t>
      </w:r>
      <w:r w:rsidRPr="00AC6574">
        <w:rPr>
          <w:i/>
          <w:iCs/>
          <w:color w:val="000000" w:themeColor="text1"/>
          <w:szCs w:val="24"/>
        </w:rPr>
        <w:t>non-trivial</w:t>
      </w:r>
      <w:r w:rsidRPr="00AC6574">
        <w:rPr>
          <w:color w:val="000000" w:themeColor="text1"/>
          <w:szCs w:val="24"/>
        </w:rPr>
        <w:t xml:space="preserve">” dose. The effect of this amendment </w:t>
      </w:r>
      <w:r w:rsidR="006C0C8E" w:rsidRPr="00AC6574">
        <w:rPr>
          <w:color w:val="000000" w:themeColor="text1"/>
          <w:szCs w:val="24"/>
        </w:rPr>
        <w:t xml:space="preserve">is </w:t>
      </w:r>
      <w:r w:rsidRPr="00AC6574">
        <w:rPr>
          <w:color w:val="000000" w:themeColor="text1"/>
          <w:szCs w:val="24"/>
        </w:rPr>
        <w:t>to make paragraph 44(2)(b) consistent with a dose criteria of 1mSv in a year which is currently used in radiation protection in Australia.</w:t>
      </w:r>
    </w:p>
    <w:p w14:paraId="2148CB9F" w14:textId="77777777" w:rsidR="007D189A" w:rsidRPr="00AC6574" w:rsidRDefault="007D189A" w:rsidP="007D189A">
      <w:pPr>
        <w:spacing w:before="100" w:beforeAutospacing="1" w:after="100" w:afterAutospacing="1"/>
        <w:ind w:right="91"/>
        <w:contextualSpacing/>
        <w:rPr>
          <w:b/>
          <w:color w:val="000000" w:themeColor="text1"/>
          <w:szCs w:val="24"/>
        </w:rPr>
      </w:pPr>
    </w:p>
    <w:p w14:paraId="00B85BF9"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[14] - Paragraph 44(4)(a)</w:t>
      </w:r>
    </w:p>
    <w:p w14:paraId="3BACFE54" w14:textId="77777777" w:rsidR="007D189A" w:rsidRPr="00AC6574" w:rsidRDefault="007D189A" w:rsidP="007D189A">
      <w:pPr>
        <w:spacing w:before="100" w:beforeAutospacing="1" w:after="100" w:afterAutospacing="1"/>
        <w:ind w:right="-24"/>
        <w:contextualSpacing/>
        <w:rPr>
          <w:color w:val="000000" w:themeColor="text1"/>
          <w:szCs w:val="24"/>
        </w:rPr>
      </w:pPr>
    </w:p>
    <w:p w14:paraId="76A5B00F" w14:textId="2E6ED04B"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repeal</w:t>
      </w:r>
      <w:r w:rsidR="006C0C8E" w:rsidRPr="00AC6574">
        <w:rPr>
          <w:color w:val="000000" w:themeColor="text1"/>
          <w:szCs w:val="24"/>
        </w:rPr>
        <w:t>s</w:t>
      </w:r>
      <w:r w:rsidRPr="00AC6574">
        <w:rPr>
          <w:color w:val="000000" w:themeColor="text1"/>
          <w:szCs w:val="24"/>
        </w:rPr>
        <w:t xml:space="preserve"> the existing paragraph 44(4)(a) and substitute “</w:t>
      </w:r>
      <w:r w:rsidRPr="00AC6574">
        <w:rPr>
          <w:i/>
          <w:iCs/>
          <w:color w:val="000000" w:themeColor="text1"/>
          <w:szCs w:val="24"/>
        </w:rPr>
        <w:t xml:space="preserve">(a) under reasonably foreseeable circumstances, the effective dose to an individual is likely to be not </w:t>
      </w:r>
      <w:r w:rsidRPr="00AC6574">
        <w:rPr>
          <w:i/>
          <w:iCs/>
          <w:color w:val="000000" w:themeColor="text1"/>
          <w:szCs w:val="24"/>
        </w:rPr>
        <w:lastRenderedPageBreak/>
        <w:t>greater than 10 microsieverts in a year; or</w:t>
      </w:r>
      <w:r w:rsidRPr="00AC6574">
        <w:rPr>
          <w:color w:val="000000" w:themeColor="text1"/>
          <w:szCs w:val="24"/>
        </w:rPr>
        <w:t xml:space="preserve">”. This amendment is required because the existing language in paragraph 44(4)(a) is no longer used in radiation protection in Australia. The effect of the amendment </w:t>
      </w:r>
      <w:r w:rsidR="006C0C8E" w:rsidRPr="00AC6574">
        <w:rPr>
          <w:color w:val="000000" w:themeColor="text1"/>
          <w:szCs w:val="24"/>
        </w:rPr>
        <w:t xml:space="preserve">is </w:t>
      </w:r>
      <w:r w:rsidRPr="00AC6574">
        <w:rPr>
          <w:color w:val="000000" w:themeColor="text1"/>
          <w:szCs w:val="24"/>
        </w:rPr>
        <w:t>to make the language in paragraph 44(4)(a), consistent with language currently used in radiation protection in Australia.</w:t>
      </w:r>
    </w:p>
    <w:p w14:paraId="4D60290F" w14:textId="77777777" w:rsidR="007D189A" w:rsidRPr="00AC6574" w:rsidRDefault="007D189A" w:rsidP="007D189A">
      <w:pPr>
        <w:spacing w:before="100" w:beforeAutospacing="1" w:after="100" w:afterAutospacing="1"/>
        <w:ind w:right="91"/>
        <w:contextualSpacing/>
        <w:rPr>
          <w:b/>
          <w:color w:val="000000" w:themeColor="text1"/>
          <w:szCs w:val="24"/>
        </w:rPr>
      </w:pPr>
    </w:p>
    <w:p w14:paraId="7D13F6CB"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[15] - Paragraph 44(4)(b)</w:t>
      </w:r>
    </w:p>
    <w:p w14:paraId="01EFBB7E" w14:textId="77777777" w:rsidR="007D189A" w:rsidRPr="00AC6574" w:rsidRDefault="007D189A" w:rsidP="007D189A">
      <w:pPr>
        <w:spacing w:before="100" w:beforeAutospacing="1" w:after="100" w:afterAutospacing="1"/>
        <w:ind w:right="-24"/>
        <w:contextualSpacing/>
        <w:rPr>
          <w:color w:val="000000" w:themeColor="text1"/>
          <w:szCs w:val="24"/>
        </w:rPr>
      </w:pPr>
    </w:p>
    <w:p w14:paraId="64F87A0F" w14:textId="6C39A7FB"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omit</w:t>
      </w:r>
      <w:r w:rsidR="006C0C8E" w:rsidRPr="00AC6574">
        <w:rPr>
          <w:color w:val="000000" w:themeColor="text1"/>
          <w:szCs w:val="24"/>
        </w:rPr>
        <w:t>s</w:t>
      </w:r>
      <w:r w:rsidRPr="00AC6574">
        <w:rPr>
          <w:color w:val="000000" w:themeColor="text1"/>
          <w:szCs w:val="24"/>
        </w:rPr>
        <w:t xml:space="preserve"> the existing paragraph 44(4)(b) “</w:t>
      </w:r>
      <w:r w:rsidRPr="00AC6574">
        <w:rPr>
          <w:i/>
          <w:iCs/>
          <w:color w:val="000000" w:themeColor="text1"/>
          <w:szCs w:val="24"/>
        </w:rPr>
        <w:t>a dose greater than the effective dose limit worked out under sections 77 and 78</w:t>
      </w:r>
      <w:r w:rsidRPr="00AC6574">
        <w:rPr>
          <w:color w:val="000000" w:themeColor="text1"/>
          <w:szCs w:val="24"/>
        </w:rPr>
        <w:t>”, and substitute “</w:t>
      </w:r>
      <w:r w:rsidRPr="00AC6574">
        <w:rPr>
          <w:i/>
          <w:iCs/>
          <w:color w:val="000000" w:themeColor="text1"/>
          <w:szCs w:val="24"/>
        </w:rPr>
        <w:t>an effective dose to an individual greater than 1 mSv in a year</w:t>
      </w:r>
      <w:r w:rsidRPr="00AC6574">
        <w:rPr>
          <w:color w:val="000000" w:themeColor="text1"/>
          <w:szCs w:val="24"/>
        </w:rPr>
        <w:t xml:space="preserve">”. This amendment is required because it is not correct to use the effective dose limit referred to in sections 77 and 78 as the dose criteria for declaring that a dealing is a low dose dealing under subsection 44(4).  The effect of this amendment </w:t>
      </w:r>
      <w:r w:rsidR="006C0C8E" w:rsidRPr="00AC6574">
        <w:rPr>
          <w:color w:val="000000" w:themeColor="text1"/>
          <w:szCs w:val="24"/>
        </w:rPr>
        <w:t xml:space="preserve">is </w:t>
      </w:r>
      <w:r w:rsidRPr="00AC6574">
        <w:rPr>
          <w:color w:val="000000" w:themeColor="text1"/>
          <w:szCs w:val="24"/>
        </w:rPr>
        <w:t>to make paragraph 44(4)(b) consistent with a dose criteria of 1mSv in a year which is currently used in radiation protection in Australia.</w:t>
      </w:r>
    </w:p>
    <w:p w14:paraId="2B6F6E84" w14:textId="77777777" w:rsidR="007D189A" w:rsidRPr="00AC6574" w:rsidRDefault="007D189A" w:rsidP="007D189A">
      <w:pPr>
        <w:spacing w:before="100" w:beforeAutospacing="1" w:after="100" w:afterAutospacing="1"/>
        <w:ind w:right="-24"/>
        <w:contextualSpacing/>
        <w:rPr>
          <w:color w:val="000000" w:themeColor="text1"/>
          <w:szCs w:val="24"/>
        </w:rPr>
      </w:pPr>
    </w:p>
    <w:p w14:paraId="6CEF78FF" w14:textId="77777777" w:rsidR="007D189A" w:rsidRPr="00AC6574" w:rsidRDefault="007D189A" w:rsidP="007D189A">
      <w:pPr>
        <w:spacing w:before="100" w:beforeAutospacing="1" w:after="100" w:afterAutospacing="1"/>
        <w:ind w:right="91"/>
        <w:contextualSpacing/>
        <w:rPr>
          <w:bCs/>
          <w:color w:val="000000" w:themeColor="text1"/>
          <w:szCs w:val="24"/>
        </w:rPr>
      </w:pPr>
      <w:r w:rsidRPr="00AC6574">
        <w:rPr>
          <w:b/>
          <w:color w:val="000000" w:themeColor="text1"/>
          <w:szCs w:val="24"/>
        </w:rPr>
        <w:t>Items [16], [17], [18], [19] and [20] - Section 49</w:t>
      </w:r>
    </w:p>
    <w:p w14:paraId="3A01AD92" w14:textId="77777777" w:rsidR="007D189A" w:rsidRPr="00AC6574" w:rsidRDefault="007D189A" w:rsidP="007D189A">
      <w:pPr>
        <w:spacing w:before="100" w:beforeAutospacing="1" w:after="100" w:afterAutospacing="1"/>
        <w:ind w:right="91"/>
        <w:contextualSpacing/>
        <w:rPr>
          <w:b/>
          <w:color w:val="000000" w:themeColor="text1"/>
          <w:szCs w:val="24"/>
        </w:rPr>
      </w:pPr>
    </w:p>
    <w:p w14:paraId="6D6C9945" w14:textId="6ADAEA9E"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These items increase the amount of the application fees listed in the section 49 table by 2 per cent as follows:</w:t>
      </w:r>
    </w:p>
    <w:p w14:paraId="7A40E718" w14:textId="77777777" w:rsidR="007D189A" w:rsidRPr="00AC6574" w:rsidRDefault="007D189A" w:rsidP="007D189A">
      <w:pPr>
        <w:spacing w:before="100" w:beforeAutospacing="1" w:after="100" w:afterAutospacing="1"/>
        <w:ind w:right="-24"/>
        <w:contextualSpacing/>
        <w:rPr>
          <w:color w:val="000000" w:themeColor="text1"/>
          <w:szCs w:val="24"/>
        </w:rPr>
      </w:pPr>
    </w:p>
    <w:tbl>
      <w:tblPr>
        <w:tblW w:w="847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3"/>
        <w:gridCol w:w="4932"/>
        <w:gridCol w:w="1276"/>
        <w:gridCol w:w="1276"/>
      </w:tblGrid>
      <w:tr w:rsidR="00AC6574" w:rsidRPr="00AC6574" w14:paraId="61DD5347" w14:textId="77777777" w:rsidTr="00600E66">
        <w:trPr>
          <w:cantSplit/>
          <w:tblHeader/>
        </w:trPr>
        <w:tc>
          <w:tcPr>
            <w:tcW w:w="993" w:type="dxa"/>
            <w:shd w:val="clear" w:color="auto" w:fill="EEECE1" w:themeFill="background2"/>
          </w:tcPr>
          <w:p w14:paraId="26EE8DD0" w14:textId="77777777" w:rsidR="007D189A" w:rsidRPr="00AC6574" w:rsidRDefault="007D189A" w:rsidP="00600E66">
            <w:pPr>
              <w:keepNext/>
              <w:spacing w:before="100" w:beforeAutospacing="1" w:after="100" w:afterAutospacing="1"/>
              <w:ind w:right="-24"/>
              <w:contextualSpacing/>
              <w:jc w:val="center"/>
              <w:rPr>
                <w:color w:val="000000" w:themeColor="text1"/>
                <w:szCs w:val="24"/>
              </w:rPr>
            </w:pPr>
            <w:r w:rsidRPr="00AC6574">
              <w:rPr>
                <w:color w:val="000000" w:themeColor="text1"/>
                <w:szCs w:val="24"/>
              </w:rPr>
              <w:t>Table Item</w:t>
            </w:r>
          </w:p>
        </w:tc>
        <w:tc>
          <w:tcPr>
            <w:tcW w:w="4932" w:type="dxa"/>
            <w:shd w:val="clear" w:color="auto" w:fill="EEECE1" w:themeFill="background2"/>
          </w:tcPr>
          <w:p w14:paraId="28C33569" w14:textId="77777777" w:rsidR="007D189A" w:rsidRPr="00AC6574" w:rsidRDefault="007D189A" w:rsidP="00600E66">
            <w:pPr>
              <w:keepNext/>
              <w:autoSpaceDE w:val="0"/>
              <w:autoSpaceDN w:val="0"/>
              <w:adjustRightInd w:val="0"/>
              <w:spacing w:before="100" w:beforeAutospacing="1" w:after="100" w:afterAutospacing="1"/>
              <w:ind w:right="-24"/>
              <w:contextualSpacing/>
              <w:rPr>
                <w:color w:val="000000" w:themeColor="text1"/>
                <w:szCs w:val="24"/>
              </w:rPr>
            </w:pPr>
            <w:r w:rsidRPr="00AC6574">
              <w:rPr>
                <w:color w:val="000000" w:themeColor="text1"/>
                <w:szCs w:val="24"/>
              </w:rPr>
              <w:t>Application</w:t>
            </w:r>
          </w:p>
        </w:tc>
        <w:tc>
          <w:tcPr>
            <w:tcW w:w="1276" w:type="dxa"/>
            <w:shd w:val="clear" w:color="auto" w:fill="EEECE1" w:themeFill="background2"/>
            <w:vAlign w:val="center"/>
          </w:tcPr>
          <w:p w14:paraId="63E4D69B" w14:textId="77777777" w:rsidR="007D189A" w:rsidRPr="00AC6574" w:rsidRDefault="007D189A" w:rsidP="00600E66">
            <w:pPr>
              <w:keepNext/>
              <w:spacing w:before="100" w:beforeAutospacing="1" w:after="100" w:afterAutospacing="1"/>
              <w:ind w:right="-24"/>
              <w:contextualSpacing/>
              <w:jc w:val="center"/>
              <w:rPr>
                <w:color w:val="000000" w:themeColor="text1"/>
                <w:szCs w:val="24"/>
              </w:rPr>
            </w:pPr>
            <w:r w:rsidRPr="00AC6574">
              <w:rPr>
                <w:color w:val="000000" w:themeColor="text1"/>
                <w:szCs w:val="24"/>
              </w:rPr>
              <w:t>Existing Fee ($)</w:t>
            </w:r>
          </w:p>
        </w:tc>
        <w:tc>
          <w:tcPr>
            <w:tcW w:w="1276" w:type="dxa"/>
            <w:shd w:val="clear" w:color="auto" w:fill="EEECE1" w:themeFill="background2"/>
            <w:vAlign w:val="center"/>
          </w:tcPr>
          <w:p w14:paraId="5D09F3DD" w14:textId="77777777" w:rsidR="007D189A" w:rsidRPr="00AC6574" w:rsidRDefault="007D189A" w:rsidP="00600E66">
            <w:pPr>
              <w:keepNext/>
              <w:spacing w:before="100" w:beforeAutospacing="1" w:after="100" w:afterAutospacing="1"/>
              <w:ind w:right="-24"/>
              <w:contextualSpacing/>
              <w:jc w:val="center"/>
              <w:rPr>
                <w:color w:val="000000" w:themeColor="text1"/>
                <w:szCs w:val="24"/>
              </w:rPr>
            </w:pPr>
            <w:r w:rsidRPr="00AC6574">
              <w:rPr>
                <w:color w:val="000000" w:themeColor="text1"/>
                <w:szCs w:val="24"/>
              </w:rPr>
              <w:t>New Fee ($)</w:t>
            </w:r>
          </w:p>
        </w:tc>
      </w:tr>
      <w:tr w:rsidR="00AC6574" w:rsidRPr="00AC6574" w14:paraId="1031ABC3" w14:textId="77777777" w:rsidTr="00600E66">
        <w:trPr>
          <w:cantSplit/>
        </w:trPr>
        <w:tc>
          <w:tcPr>
            <w:tcW w:w="993" w:type="dxa"/>
          </w:tcPr>
          <w:p w14:paraId="02D0BD83" w14:textId="77777777" w:rsidR="007D189A" w:rsidRPr="00AC6574" w:rsidRDefault="007D189A" w:rsidP="007D189A">
            <w:pPr>
              <w:numPr>
                <w:ilvl w:val="0"/>
                <w:numId w:val="33"/>
              </w:numPr>
              <w:spacing w:before="100" w:beforeAutospacing="1" w:after="100" w:afterAutospacing="1"/>
              <w:ind w:right="-24"/>
              <w:contextualSpacing/>
              <w:rPr>
                <w:color w:val="000000" w:themeColor="text1"/>
                <w:szCs w:val="24"/>
              </w:rPr>
            </w:pPr>
          </w:p>
        </w:tc>
        <w:tc>
          <w:tcPr>
            <w:tcW w:w="4932" w:type="dxa"/>
          </w:tcPr>
          <w:p w14:paraId="1D030197"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Application for a facility licence, except an application covered by item 2</w:t>
            </w:r>
          </w:p>
        </w:tc>
        <w:tc>
          <w:tcPr>
            <w:tcW w:w="1276" w:type="dxa"/>
          </w:tcPr>
          <w:p w14:paraId="1760BDC6"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10,098</w:t>
            </w:r>
          </w:p>
        </w:tc>
        <w:tc>
          <w:tcPr>
            <w:tcW w:w="1276" w:type="dxa"/>
          </w:tcPr>
          <w:p w14:paraId="755D1D15"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10,299</w:t>
            </w:r>
          </w:p>
        </w:tc>
      </w:tr>
      <w:tr w:rsidR="00AC6574" w:rsidRPr="00AC6574" w14:paraId="366633C5" w14:textId="77777777" w:rsidTr="00600E66">
        <w:trPr>
          <w:cantSplit/>
        </w:trPr>
        <w:tc>
          <w:tcPr>
            <w:tcW w:w="993" w:type="dxa"/>
          </w:tcPr>
          <w:p w14:paraId="5C971880" w14:textId="77777777" w:rsidR="007D189A" w:rsidRPr="00AC6574" w:rsidRDefault="007D189A" w:rsidP="007D189A">
            <w:pPr>
              <w:numPr>
                <w:ilvl w:val="0"/>
                <w:numId w:val="33"/>
              </w:numPr>
              <w:spacing w:before="100" w:beforeAutospacing="1" w:after="100" w:afterAutospacing="1"/>
              <w:ind w:right="-24"/>
              <w:contextualSpacing/>
              <w:rPr>
                <w:color w:val="000000" w:themeColor="text1"/>
                <w:szCs w:val="24"/>
              </w:rPr>
            </w:pPr>
          </w:p>
        </w:tc>
        <w:tc>
          <w:tcPr>
            <w:tcW w:w="4932" w:type="dxa"/>
          </w:tcPr>
          <w:p w14:paraId="2B93DD56"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Application for a facility licence, if the application relates to a controlled facility that is a particle accelerator described in paragraph 13(1)(a) of this instrument</w:t>
            </w:r>
          </w:p>
        </w:tc>
        <w:tc>
          <w:tcPr>
            <w:tcW w:w="1276" w:type="dxa"/>
          </w:tcPr>
          <w:p w14:paraId="629F093A"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11,220</w:t>
            </w:r>
          </w:p>
        </w:tc>
        <w:tc>
          <w:tcPr>
            <w:tcW w:w="1276" w:type="dxa"/>
          </w:tcPr>
          <w:p w14:paraId="0A31DFDF"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11,444</w:t>
            </w:r>
          </w:p>
        </w:tc>
      </w:tr>
      <w:tr w:rsidR="00AC6574" w:rsidRPr="00AC6574" w14:paraId="3BEE86E6" w14:textId="77777777" w:rsidTr="00600E66">
        <w:trPr>
          <w:cantSplit/>
        </w:trPr>
        <w:tc>
          <w:tcPr>
            <w:tcW w:w="993" w:type="dxa"/>
          </w:tcPr>
          <w:p w14:paraId="09DCEA88" w14:textId="77777777" w:rsidR="007D189A" w:rsidRPr="00AC6574" w:rsidRDefault="007D189A" w:rsidP="007D189A">
            <w:pPr>
              <w:numPr>
                <w:ilvl w:val="0"/>
                <w:numId w:val="33"/>
              </w:numPr>
              <w:spacing w:before="100" w:beforeAutospacing="1" w:after="100" w:afterAutospacing="1"/>
              <w:ind w:right="-24"/>
              <w:contextualSpacing/>
              <w:rPr>
                <w:color w:val="000000" w:themeColor="text1"/>
                <w:szCs w:val="24"/>
              </w:rPr>
            </w:pPr>
          </w:p>
        </w:tc>
        <w:tc>
          <w:tcPr>
            <w:tcW w:w="4932" w:type="dxa"/>
          </w:tcPr>
          <w:p w14:paraId="7B1E0E56"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Application for a source licence, if the application relates only to controlled apparatus or controlled material in Group 1</w:t>
            </w:r>
          </w:p>
        </w:tc>
        <w:tc>
          <w:tcPr>
            <w:tcW w:w="1276" w:type="dxa"/>
          </w:tcPr>
          <w:p w14:paraId="4B18FC84"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795</w:t>
            </w:r>
          </w:p>
        </w:tc>
        <w:tc>
          <w:tcPr>
            <w:tcW w:w="1276" w:type="dxa"/>
          </w:tcPr>
          <w:p w14:paraId="189C36C9"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810</w:t>
            </w:r>
          </w:p>
        </w:tc>
      </w:tr>
      <w:tr w:rsidR="00AC6574" w:rsidRPr="00AC6574" w14:paraId="1B0870B4" w14:textId="77777777" w:rsidTr="00600E66">
        <w:trPr>
          <w:cantSplit/>
        </w:trPr>
        <w:tc>
          <w:tcPr>
            <w:tcW w:w="993" w:type="dxa"/>
          </w:tcPr>
          <w:p w14:paraId="48BA0324" w14:textId="77777777" w:rsidR="007D189A" w:rsidRPr="00AC6574" w:rsidRDefault="007D189A" w:rsidP="007D189A">
            <w:pPr>
              <w:numPr>
                <w:ilvl w:val="0"/>
                <w:numId w:val="33"/>
              </w:numPr>
              <w:spacing w:before="100" w:beforeAutospacing="1" w:after="100" w:afterAutospacing="1"/>
              <w:ind w:right="-24"/>
              <w:contextualSpacing/>
              <w:rPr>
                <w:color w:val="000000" w:themeColor="text1"/>
                <w:szCs w:val="24"/>
              </w:rPr>
            </w:pPr>
          </w:p>
        </w:tc>
        <w:tc>
          <w:tcPr>
            <w:tcW w:w="4932" w:type="dxa"/>
          </w:tcPr>
          <w:p w14:paraId="231750E6"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Application for a source licence, if the application relates only to controlled apparatus or controlled material in:</w:t>
            </w:r>
          </w:p>
          <w:p w14:paraId="508752B5"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 Group 2; or</w:t>
            </w:r>
          </w:p>
          <w:p w14:paraId="727CCAB5"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(b) both Groups 1 and 2</w:t>
            </w:r>
          </w:p>
        </w:tc>
        <w:tc>
          <w:tcPr>
            <w:tcW w:w="1276" w:type="dxa"/>
          </w:tcPr>
          <w:p w14:paraId="3879839B"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2,346</w:t>
            </w:r>
          </w:p>
        </w:tc>
        <w:tc>
          <w:tcPr>
            <w:tcW w:w="1276" w:type="dxa"/>
          </w:tcPr>
          <w:p w14:paraId="28BAA2E8"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2,392</w:t>
            </w:r>
          </w:p>
        </w:tc>
      </w:tr>
      <w:tr w:rsidR="00AC6574" w:rsidRPr="00AC6574" w14:paraId="2E23B990" w14:textId="77777777" w:rsidTr="00600E66">
        <w:trPr>
          <w:cantSplit/>
        </w:trPr>
        <w:tc>
          <w:tcPr>
            <w:tcW w:w="993" w:type="dxa"/>
          </w:tcPr>
          <w:p w14:paraId="2DD87BBD" w14:textId="77777777" w:rsidR="007D189A" w:rsidRPr="00AC6574" w:rsidRDefault="007D189A" w:rsidP="007D189A">
            <w:pPr>
              <w:numPr>
                <w:ilvl w:val="0"/>
                <w:numId w:val="33"/>
              </w:numPr>
              <w:spacing w:before="100" w:beforeAutospacing="1" w:after="100" w:afterAutospacing="1"/>
              <w:ind w:right="-24"/>
              <w:contextualSpacing/>
              <w:rPr>
                <w:color w:val="000000" w:themeColor="text1"/>
                <w:szCs w:val="24"/>
              </w:rPr>
            </w:pPr>
          </w:p>
        </w:tc>
        <w:tc>
          <w:tcPr>
            <w:tcW w:w="4932" w:type="dxa"/>
          </w:tcPr>
          <w:p w14:paraId="650FCD09"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Application for a source licence, if the application relates to controlled apparatus or controlled material in:</w:t>
            </w:r>
          </w:p>
          <w:p w14:paraId="2A39C822"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(a) Group 3; or</w:t>
            </w:r>
          </w:p>
          <w:p w14:paraId="05BF8F7B" w14:textId="77777777" w:rsidR="007D189A" w:rsidRPr="00AC6574" w:rsidRDefault="007D189A" w:rsidP="00600E66">
            <w:pPr>
              <w:spacing w:before="100" w:beforeAutospacing="1" w:after="100" w:afterAutospacing="1"/>
              <w:ind w:right="-24"/>
              <w:contextualSpacing/>
              <w:rPr>
                <w:color w:val="000000" w:themeColor="text1"/>
                <w:szCs w:val="24"/>
              </w:rPr>
            </w:pPr>
            <w:r w:rsidRPr="00AC6574">
              <w:rPr>
                <w:color w:val="000000" w:themeColor="text1"/>
                <w:szCs w:val="24"/>
              </w:rPr>
              <w:t>(b) Group 3, and either or both Groups 1 and 2</w:t>
            </w:r>
          </w:p>
        </w:tc>
        <w:tc>
          <w:tcPr>
            <w:tcW w:w="1276" w:type="dxa"/>
          </w:tcPr>
          <w:p w14:paraId="20F00DF8"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8,772</w:t>
            </w:r>
          </w:p>
        </w:tc>
        <w:tc>
          <w:tcPr>
            <w:tcW w:w="1276" w:type="dxa"/>
          </w:tcPr>
          <w:p w14:paraId="3454A3FC" w14:textId="77777777" w:rsidR="007D189A" w:rsidRPr="00AC6574" w:rsidRDefault="007D189A" w:rsidP="00600E66">
            <w:pPr>
              <w:pStyle w:val="Tablea"/>
              <w:spacing w:beforeLines="60" w:before="144" w:beforeAutospacing="1" w:afterLines="60" w:after="144" w:afterAutospacing="1"/>
              <w:contextualSpacing/>
              <w:jc w:val="right"/>
              <w:rPr>
                <w:color w:val="000000" w:themeColor="text1"/>
              </w:rPr>
            </w:pPr>
            <w:r w:rsidRPr="00AC6574">
              <w:rPr>
                <w:color w:val="000000" w:themeColor="text1"/>
              </w:rPr>
              <w:t>8,947</w:t>
            </w:r>
          </w:p>
        </w:tc>
      </w:tr>
    </w:tbl>
    <w:p w14:paraId="2B9299F0" w14:textId="77777777" w:rsidR="007D189A" w:rsidRPr="00AC6574" w:rsidRDefault="007D189A" w:rsidP="007D189A">
      <w:pPr>
        <w:spacing w:before="100" w:beforeAutospacing="1" w:after="100" w:afterAutospacing="1"/>
        <w:ind w:right="-24"/>
        <w:contextualSpacing/>
        <w:rPr>
          <w:color w:val="000000" w:themeColor="text1"/>
          <w:szCs w:val="24"/>
        </w:rPr>
      </w:pPr>
    </w:p>
    <w:p w14:paraId="322850C0"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[21] – Paragraph 50(2)(a)</w:t>
      </w:r>
    </w:p>
    <w:p w14:paraId="4FAE90F1" w14:textId="77777777" w:rsidR="007D189A" w:rsidRPr="00AC6574" w:rsidRDefault="007D189A" w:rsidP="007D189A">
      <w:pPr>
        <w:spacing w:before="100" w:beforeAutospacing="1" w:after="100" w:afterAutospacing="1"/>
        <w:ind w:right="-24"/>
        <w:contextualSpacing/>
        <w:rPr>
          <w:color w:val="000000" w:themeColor="text1"/>
          <w:szCs w:val="24"/>
        </w:rPr>
      </w:pPr>
    </w:p>
    <w:p w14:paraId="76FB5A6B" w14:textId="23206609"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increase</w:t>
      </w:r>
      <w:r w:rsidR="006C0C8E" w:rsidRPr="00AC6574">
        <w:rPr>
          <w:color w:val="000000" w:themeColor="text1"/>
          <w:szCs w:val="24"/>
        </w:rPr>
        <w:t>s</w:t>
      </w:r>
      <w:r w:rsidRPr="00AC6574">
        <w:rPr>
          <w:color w:val="000000" w:themeColor="text1"/>
          <w:szCs w:val="24"/>
        </w:rPr>
        <w:t xml:space="preserve"> the amount for each hour, or part of an hour, spent in assessing a licence application by 2 per cent, from $168 to $171. This item also increase</w:t>
      </w:r>
      <w:r w:rsidR="006C0C8E" w:rsidRPr="00AC6574">
        <w:rPr>
          <w:color w:val="000000" w:themeColor="text1"/>
          <w:szCs w:val="24"/>
        </w:rPr>
        <w:t>s</w:t>
      </w:r>
      <w:r w:rsidRPr="00AC6574">
        <w:rPr>
          <w:color w:val="000000" w:themeColor="text1"/>
          <w:szCs w:val="24"/>
        </w:rPr>
        <w:t xml:space="preserve"> the amount credited to the applicant in determining the assessment fee by 2 per cent, from $10,098 to $10,299. The amount credited to the applicant in paragraph 50(2)(a) ensures that an applicant does not pay more than the value of the service provided in </w:t>
      </w:r>
      <w:r w:rsidRPr="00AC6574">
        <w:rPr>
          <w:color w:val="000000" w:themeColor="text1"/>
          <w:szCs w:val="24"/>
        </w:rPr>
        <w:lastRenderedPageBreak/>
        <w:t>assessing an application by taking into account the nominal application fee covered by section 49 of the Regulations already paid by the applicant.</w:t>
      </w:r>
    </w:p>
    <w:p w14:paraId="23C8B827" w14:textId="77777777" w:rsidR="007D189A" w:rsidRPr="00AC6574" w:rsidRDefault="007D189A" w:rsidP="007D189A">
      <w:pPr>
        <w:spacing w:before="100" w:beforeAutospacing="1" w:after="100" w:afterAutospacing="1"/>
        <w:ind w:right="91"/>
        <w:contextualSpacing/>
        <w:rPr>
          <w:b/>
          <w:color w:val="000000" w:themeColor="text1"/>
          <w:szCs w:val="24"/>
        </w:rPr>
      </w:pPr>
    </w:p>
    <w:p w14:paraId="664D7E9E"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[22] – After paragraph 53(e)</w:t>
      </w:r>
    </w:p>
    <w:p w14:paraId="45FF540E" w14:textId="77777777" w:rsidR="007D189A" w:rsidRPr="00AC6574" w:rsidRDefault="007D189A" w:rsidP="007D189A">
      <w:pPr>
        <w:spacing w:before="100" w:beforeAutospacing="1" w:after="100" w:afterAutospacing="1"/>
        <w:ind w:right="-24"/>
        <w:contextualSpacing/>
        <w:rPr>
          <w:color w:val="000000" w:themeColor="text1"/>
          <w:szCs w:val="24"/>
        </w:rPr>
      </w:pPr>
    </w:p>
    <w:p w14:paraId="6F488310" w14:textId="222AF1FD"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insert</w:t>
      </w:r>
      <w:r w:rsidR="005C1CDA" w:rsidRPr="00AC6574">
        <w:rPr>
          <w:color w:val="000000" w:themeColor="text1"/>
          <w:szCs w:val="24"/>
        </w:rPr>
        <w:t>s</w:t>
      </w:r>
      <w:r w:rsidRPr="00AC6574">
        <w:rPr>
          <w:color w:val="000000" w:themeColor="text1"/>
          <w:szCs w:val="24"/>
        </w:rPr>
        <w:t xml:space="preserve"> a paragraph 53(ea) requiring the CEO of ARPANSA when making a facility licensing decision to take into account whether the applicant has shown that the applicant has considered the interactions between technical, human, and organisational factors in the management of safety. This amendment is required because the nuclear and radiation safety industry now recognises the importance of human and organisational factors in safe management of facilities. The effect of the amendment </w:t>
      </w:r>
      <w:r w:rsidR="005C1CDA" w:rsidRPr="00AC6574">
        <w:rPr>
          <w:color w:val="000000" w:themeColor="text1"/>
          <w:szCs w:val="24"/>
        </w:rPr>
        <w:t xml:space="preserve">is </w:t>
      </w:r>
      <w:r w:rsidRPr="00AC6574">
        <w:rPr>
          <w:color w:val="000000" w:themeColor="text1"/>
          <w:szCs w:val="24"/>
        </w:rPr>
        <w:t xml:space="preserve">that human and organisational factors </w:t>
      </w:r>
      <w:r w:rsidR="005C1CDA" w:rsidRPr="00AC6574">
        <w:rPr>
          <w:color w:val="000000" w:themeColor="text1"/>
          <w:szCs w:val="24"/>
        </w:rPr>
        <w:t xml:space="preserve">are </w:t>
      </w:r>
      <w:r w:rsidRPr="00AC6574">
        <w:rPr>
          <w:color w:val="000000" w:themeColor="text1"/>
          <w:szCs w:val="24"/>
        </w:rPr>
        <w:t xml:space="preserve">strengthened to optimise safe management of facilities and reduce the likelihood of future incidents involving radiation. </w:t>
      </w:r>
    </w:p>
    <w:p w14:paraId="4BD8DED1" w14:textId="77777777" w:rsidR="007D189A" w:rsidRPr="00AC6574" w:rsidRDefault="007D189A" w:rsidP="007D189A">
      <w:pPr>
        <w:spacing w:before="100" w:beforeAutospacing="1" w:after="100" w:afterAutospacing="1"/>
        <w:ind w:right="-24"/>
        <w:contextualSpacing/>
        <w:rPr>
          <w:color w:val="000000" w:themeColor="text1"/>
          <w:szCs w:val="24"/>
        </w:rPr>
      </w:pPr>
    </w:p>
    <w:p w14:paraId="59E8E83E"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[23] - After paragraph 54(e)</w:t>
      </w:r>
    </w:p>
    <w:p w14:paraId="57227713" w14:textId="77777777" w:rsidR="007D189A" w:rsidRPr="00AC6574" w:rsidRDefault="007D189A" w:rsidP="007D189A">
      <w:pPr>
        <w:spacing w:before="100" w:beforeAutospacing="1" w:after="100" w:afterAutospacing="1"/>
        <w:ind w:right="-24"/>
        <w:contextualSpacing/>
        <w:rPr>
          <w:color w:val="000000" w:themeColor="text1"/>
          <w:szCs w:val="24"/>
        </w:rPr>
      </w:pPr>
    </w:p>
    <w:p w14:paraId="603F0AF6" w14:textId="57795DBD"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insert</w:t>
      </w:r>
      <w:r w:rsidR="005C1CDA" w:rsidRPr="00AC6574">
        <w:rPr>
          <w:color w:val="000000" w:themeColor="text1"/>
          <w:szCs w:val="24"/>
        </w:rPr>
        <w:t>s</w:t>
      </w:r>
      <w:r w:rsidRPr="00AC6574">
        <w:rPr>
          <w:color w:val="000000" w:themeColor="text1"/>
          <w:szCs w:val="24"/>
        </w:rPr>
        <w:t xml:space="preserve"> a paragraph 54(ea) requiring the CEO of ARPANSA when making a source licensing decision to take into account whether the applicant has shown that the applicant has considered the interactions between technical, human, and organisational factors in the management of safety. This amendment is required because the nuclear and radiation safety industry now recognises the importance of human and organisational factors in safe management of sources. The effect of the amendment </w:t>
      </w:r>
      <w:r w:rsidR="005C1CDA" w:rsidRPr="00AC6574">
        <w:rPr>
          <w:color w:val="000000" w:themeColor="text1"/>
          <w:szCs w:val="24"/>
        </w:rPr>
        <w:t xml:space="preserve">is </w:t>
      </w:r>
      <w:r w:rsidRPr="00AC6574">
        <w:rPr>
          <w:color w:val="000000" w:themeColor="text1"/>
          <w:szCs w:val="24"/>
        </w:rPr>
        <w:t xml:space="preserve">that human and organisational factors </w:t>
      </w:r>
      <w:r w:rsidR="005C1CDA" w:rsidRPr="00AC6574">
        <w:rPr>
          <w:color w:val="000000" w:themeColor="text1"/>
          <w:szCs w:val="24"/>
        </w:rPr>
        <w:t xml:space="preserve">are </w:t>
      </w:r>
      <w:r w:rsidRPr="00AC6574">
        <w:rPr>
          <w:color w:val="000000" w:themeColor="text1"/>
          <w:szCs w:val="24"/>
        </w:rPr>
        <w:t xml:space="preserve">strengthened to optimise safe management of sources and reduce the likelihood of future incidents involving radiation. </w:t>
      </w:r>
    </w:p>
    <w:p w14:paraId="6D947141" w14:textId="77777777" w:rsidR="007D189A" w:rsidRPr="00AC6574" w:rsidRDefault="007D189A" w:rsidP="007D189A">
      <w:pPr>
        <w:spacing w:before="100" w:beforeAutospacing="1" w:after="100" w:afterAutospacing="1"/>
        <w:ind w:right="-24"/>
        <w:contextualSpacing/>
        <w:rPr>
          <w:color w:val="000000" w:themeColor="text1"/>
          <w:szCs w:val="24"/>
        </w:rPr>
      </w:pPr>
    </w:p>
    <w:p w14:paraId="72C9CE69"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[24] - After section 57</w:t>
      </w:r>
    </w:p>
    <w:p w14:paraId="43007F77" w14:textId="77777777" w:rsidR="007D189A" w:rsidRPr="00AC6574" w:rsidRDefault="007D189A" w:rsidP="007D189A">
      <w:pPr>
        <w:spacing w:before="100" w:beforeAutospacing="1" w:after="100" w:afterAutospacing="1"/>
        <w:ind w:right="-24"/>
        <w:contextualSpacing/>
        <w:rPr>
          <w:color w:val="000000" w:themeColor="text1"/>
          <w:szCs w:val="24"/>
        </w:rPr>
      </w:pPr>
    </w:p>
    <w:p w14:paraId="0526D2AC" w14:textId="412B3A30"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insert</w:t>
      </w:r>
      <w:r w:rsidR="005C1CDA" w:rsidRPr="00AC6574">
        <w:rPr>
          <w:color w:val="000000" w:themeColor="text1"/>
          <w:szCs w:val="24"/>
        </w:rPr>
        <w:t>s</w:t>
      </w:r>
      <w:r w:rsidRPr="00AC6574">
        <w:rPr>
          <w:color w:val="000000" w:themeColor="text1"/>
          <w:szCs w:val="24"/>
        </w:rPr>
        <w:t xml:space="preserve"> a section 57A requiring the holder of a licence to take all reasonably practicable steps to prevent and minimise human errors and organisational failures involving controlled materials, controlled apparatus or controlled facilities described in the licence and, in doing so, take into account human and organisational factors. This amendment is required because the nuclear and radiation safety industry now recognises the importance of human and organisational factors in safe management of facilities and sources. The effect of the amendment </w:t>
      </w:r>
      <w:r w:rsidR="005C1CDA" w:rsidRPr="00AC6574">
        <w:rPr>
          <w:color w:val="000000" w:themeColor="text1"/>
          <w:szCs w:val="24"/>
        </w:rPr>
        <w:t xml:space="preserve">is </w:t>
      </w:r>
      <w:r w:rsidRPr="00AC6574">
        <w:rPr>
          <w:color w:val="000000" w:themeColor="text1"/>
          <w:szCs w:val="24"/>
        </w:rPr>
        <w:t xml:space="preserve">that human and organisational factors </w:t>
      </w:r>
      <w:r w:rsidR="005C1CDA" w:rsidRPr="00AC6574">
        <w:rPr>
          <w:color w:val="000000" w:themeColor="text1"/>
          <w:szCs w:val="24"/>
        </w:rPr>
        <w:t>are</w:t>
      </w:r>
      <w:r w:rsidRPr="00AC6574">
        <w:rPr>
          <w:color w:val="000000" w:themeColor="text1"/>
          <w:szCs w:val="24"/>
        </w:rPr>
        <w:t xml:space="preserve"> strengthened to optimise safe management of facilities and sources and reduce the likelihood of future incidents involving radiation. </w:t>
      </w:r>
    </w:p>
    <w:p w14:paraId="3D6CCD2D" w14:textId="77777777" w:rsidR="007D189A" w:rsidRPr="00AC6574" w:rsidRDefault="007D189A" w:rsidP="007D189A">
      <w:pPr>
        <w:spacing w:before="100" w:beforeAutospacing="1" w:after="100" w:afterAutospacing="1"/>
        <w:ind w:right="-24"/>
        <w:contextualSpacing/>
        <w:rPr>
          <w:color w:val="000000" w:themeColor="text1"/>
          <w:szCs w:val="24"/>
        </w:rPr>
      </w:pPr>
    </w:p>
    <w:p w14:paraId="12081623"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[25] - Section 58 (heading)</w:t>
      </w:r>
    </w:p>
    <w:p w14:paraId="5B45E793" w14:textId="77777777" w:rsidR="007D189A" w:rsidRPr="00AC6574" w:rsidRDefault="007D189A" w:rsidP="007D189A">
      <w:pPr>
        <w:spacing w:before="100" w:beforeAutospacing="1" w:after="100" w:afterAutospacing="1"/>
        <w:ind w:right="91"/>
        <w:contextualSpacing/>
        <w:rPr>
          <w:bCs/>
          <w:color w:val="000000" w:themeColor="text1"/>
          <w:szCs w:val="24"/>
        </w:rPr>
      </w:pPr>
    </w:p>
    <w:p w14:paraId="23D1C859" w14:textId="7DC9CE59" w:rsidR="007D189A" w:rsidRPr="00AC6574" w:rsidRDefault="007D189A" w:rsidP="007D189A">
      <w:pPr>
        <w:spacing w:before="100" w:beforeAutospacing="1" w:after="100" w:afterAutospacing="1"/>
        <w:ind w:right="91"/>
        <w:contextualSpacing/>
        <w:rPr>
          <w:b/>
          <w:color w:val="000000" w:themeColor="text1"/>
          <w:szCs w:val="24"/>
        </w:rPr>
      </w:pPr>
      <w:r w:rsidRPr="00AC6574">
        <w:rPr>
          <w:bCs/>
          <w:color w:val="000000" w:themeColor="text1"/>
          <w:szCs w:val="24"/>
        </w:rPr>
        <w:t>This item omit</w:t>
      </w:r>
      <w:r w:rsidR="005C1CDA" w:rsidRPr="00AC6574">
        <w:rPr>
          <w:bCs/>
          <w:color w:val="000000" w:themeColor="text1"/>
          <w:szCs w:val="24"/>
        </w:rPr>
        <w:t>s</w:t>
      </w:r>
      <w:r w:rsidRPr="00AC6574">
        <w:rPr>
          <w:bCs/>
          <w:color w:val="000000" w:themeColor="text1"/>
          <w:szCs w:val="24"/>
        </w:rPr>
        <w:t xml:space="preserve"> “</w:t>
      </w:r>
      <w:r w:rsidRPr="00AC6574">
        <w:rPr>
          <w:bCs/>
          <w:i/>
          <w:iCs/>
          <w:color w:val="000000" w:themeColor="text1"/>
          <w:szCs w:val="24"/>
        </w:rPr>
        <w:t>accidents</w:t>
      </w:r>
      <w:r w:rsidRPr="00AC6574">
        <w:rPr>
          <w:bCs/>
          <w:color w:val="000000" w:themeColor="text1"/>
          <w:szCs w:val="24"/>
        </w:rPr>
        <w:t>” and substitute “</w:t>
      </w:r>
      <w:r w:rsidRPr="00AC6574">
        <w:rPr>
          <w:bCs/>
          <w:i/>
          <w:iCs/>
          <w:color w:val="000000" w:themeColor="text1"/>
          <w:szCs w:val="24"/>
        </w:rPr>
        <w:t>incidents</w:t>
      </w:r>
      <w:r w:rsidRPr="00AC6574">
        <w:rPr>
          <w:bCs/>
          <w:color w:val="000000" w:themeColor="text1"/>
          <w:szCs w:val="24"/>
        </w:rPr>
        <w:t>” in the section 58 heading. This amendment is required so that the term “</w:t>
      </w:r>
      <w:r w:rsidRPr="00AC6574">
        <w:rPr>
          <w:bCs/>
          <w:i/>
          <w:iCs/>
          <w:color w:val="000000" w:themeColor="text1"/>
          <w:szCs w:val="24"/>
        </w:rPr>
        <w:t>incident</w:t>
      </w:r>
      <w:r w:rsidRPr="00AC6574">
        <w:rPr>
          <w:bCs/>
          <w:color w:val="000000" w:themeColor="text1"/>
          <w:szCs w:val="24"/>
        </w:rPr>
        <w:t xml:space="preserve">” as defined in the amended section 4 of the Regulations is consistently referred to throughout the Regulations. </w:t>
      </w:r>
    </w:p>
    <w:p w14:paraId="41FFBEEC" w14:textId="77777777" w:rsidR="007D189A" w:rsidRPr="00AC6574" w:rsidRDefault="007D189A" w:rsidP="007D189A">
      <w:pPr>
        <w:spacing w:before="100" w:beforeAutospacing="1" w:after="100" w:afterAutospacing="1"/>
        <w:ind w:right="91"/>
        <w:contextualSpacing/>
        <w:rPr>
          <w:b/>
          <w:color w:val="000000" w:themeColor="text1"/>
          <w:szCs w:val="24"/>
        </w:rPr>
      </w:pPr>
    </w:p>
    <w:p w14:paraId="0B4C2D3E"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[26] - Subsection 58(1) (heading)</w:t>
      </w:r>
    </w:p>
    <w:p w14:paraId="04705E45" w14:textId="77777777" w:rsidR="007D189A" w:rsidRPr="00AC6574" w:rsidRDefault="007D189A" w:rsidP="007D189A">
      <w:pPr>
        <w:spacing w:before="100" w:beforeAutospacing="1" w:after="100" w:afterAutospacing="1"/>
        <w:ind w:right="-24"/>
        <w:contextualSpacing/>
        <w:rPr>
          <w:color w:val="000000" w:themeColor="text1"/>
          <w:szCs w:val="24"/>
        </w:rPr>
      </w:pPr>
    </w:p>
    <w:p w14:paraId="65DD4020" w14:textId="4EA359A7" w:rsidR="007D189A" w:rsidRPr="00AC6574" w:rsidRDefault="007D189A" w:rsidP="007D189A">
      <w:pPr>
        <w:spacing w:before="100" w:beforeAutospacing="1" w:after="100" w:afterAutospacing="1"/>
        <w:ind w:right="91"/>
        <w:contextualSpacing/>
        <w:rPr>
          <w:b/>
          <w:color w:val="000000" w:themeColor="text1"/>
          <w:szCs w:val="24"/>
        </w:rPr>
      </w:pPr>
      <w:r w:rsidRPr="00AC6574">
        <w:rPr>
          <w:bCs/>
          <w:color w:val="000000" w:themeColor="text1"/>
          <w:szCs w:val="24"/>
        </w:rPr>
        <w:t>This item omit</w:t>
      </w:r>
      <w:r w:rsidR="005C1CDA" w:rsidRPr="00AC6574">
        <w:rPr>
          <w:bCs/>
          <w:color w:val="000000" w:themeColor="text1"/>
          <w:szCs w:val="24"/>
        </w:rPr>
        <w:t>s</w:t>
      </w:r>
      <w:r w:rsidRPr="00AC6574">
        <w:rPr>
          <w:bCs/>
          <w:color w:val="000000" w:themeColor="text1"/>
          <w:szCs w:val="24"/>
        </w:rPr>
        <w:t xml:space="preserve"> “</w:t>
      </w:r>
      <w:r w:rsidRPr="00AC6574">
        <w:rPr>
          <w:bCs/>
          <w:i/>
          <w:iCs/>
          <w:color w:val="000000" w:themeColor="text1"/>
          <w:szCs w:val="24"/>
        </w:rPr>
        <w:t>accidents</w:t>
      </w:r>
      <w:r w:rsidRPr="00AC6574">
        <w:rPr>
          <w:bCs/>
          <w:color w:val="000000" w:themeColor="text1"/>
          <w:szCs w:val="24"/>
        </w:rPr>
        <w:t>” in the subsection 58(1) heading and substitute “</w:t>
      </w:r>
      <w:r w:rsidRPr="00AC6574">
        <w:rPr>
          <w:bCs/>
          <w:i/>
          <w:iCs/>
          <w:color w:val="000000" w:themeColor="text1"/>
          <w:szCs w:val="24"/>
        </w:rPr>
        <w:t>incidents</w:t>
      </w:r>
      <w:r w:rsidRPr="00AC6574">
        <w:rPr>
          <w:bCs/>
          <w:color w:val="000000" w:themeColor="text1"/>
          <w:szCs w:val="24"/>
        </w:rPr>
        <w:t>”. This amendment is required so that the term “</w:t>
      </w:r>
      <w:r w:rsidRPr="00AC6574">
        <w:rPr>
          <w:bCs/>
          <w:i/>
          <w:iCs/>
          <w:color w:val="000000" w:themeColor="text1"/>
          <w:szCs w:val="24"/>
        </w:rPr>
        <w:t>incident</w:t>
      </w:r>
      <w:r w:rsidRPr="00AC6574">
        <w:rPr>
          <w:bCs/>
          <w:color w:val="000000" w:themeColor="text1"/>
          <w:szCs w:val="24"/>
        </w:rPr>
        <w:t xml:space="preserve">” as defined in the amended section 4 of the Regulations is consistently referred to throughout the Regulations. </w:t>
      </w:r>
    </w:p>
    <w:p w14:paraId="73F1FB44" w14:textId="77777777" w:rsidR="007D189A" w:rsidRPr="00AC6574" w:rsidRDefault="007D189A" w:rsidP="007D189A">
      <w:pPr>
        <w:spacing w:before="100" w:beforeAutospacing="1" w:after="100" w:afterAutospacing="1"/>
        <w:ind w:right="91"/>
        <w:contextualSpacing/>
        <w:rPr>
          <w:b/>
          <w:color w:val="000000" w:themeColor="text1"/>
          <w:szCs w:val="24"/>
        </w:rPr>
      </w:pPr>
    </w:p>
    <w:p w14:paraId="25415245"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[27] - Subsection 58(1)</w:t>
      </w:r>
    </w:p>
    <w:p w14:paraId="55FDF090" w14:textId="77777777" w:rsidR="007D189A" w:rsidRPr="00AC6574" w:rsidRDefault="007D189A" w:rsidP="007D189A">
      <w:pPr>
        <w:spacing w:before="100" w:beforeAutospacing="1" w:after="100" w:afterAutospacing="1"/>
        <w:ind w:right="-24"/>
        <w:contextualSpacing/>
        <w:rPr>
          <w:color w:val="000000" w:themeColor="text1"/>
          <w:szCs w:val="24"/>
        </w:rPr>
      </w:pPr>
    </w:p>
    <w:p w14:paraId="0A02B9CE" w14:textId="589685AD" w:rsidR="007D189A" w:rsidRPr="00AC6574" w:rsidRDefault="007D189A" w:rsidP="007D189A">
      <w:pPr>
        <w:spacing w:before="100" w:beforeAutospacing="1" w:after="100" w:afterAutospacing="1"/>
        <w:ind w:right="91"/>
        <w:contextualSpacing/>
        <w:rPr>
          <w:b/>
          <w:color w:val="000000" w:themeColor="text1"/>
          <w:szCs w:val="24"/>
        </w:rPr>
      </w:pPr>
      <w:r w:rsidRPr="00AC6574">
        <w:rPr>
          <w:bCs/>
          <w:color w:val="000000" w:themeColor="text1"/>
          <w:szCs w:val="24"/>
        </w:rPr>
        <w:t>This item omit</w:t>
      </w:r>
      <w:r w:rsidR="00AC6B35" w:rsidRPr="00AC6574">
        <w:rPr>
          <w:bCs/>
          <w:color w:val="000000" w:themeColor="text1"/>
          <w:szCs w:val="24"/>
        </w:rPr>
        <w:t>s</w:t>
      </w:r>
      <w:r w:rsidRPr="00AC6574">
        <w:rPr>
          <w:bCs/>
          <w:color w:val="000000" w:themeColor="text1"/>
          <w:szCs w:val="24"/>
        </w:rPr>
        <w:t xml:space="preserve"> “</w:t>
      </w:r>
      <w:r w:rsidRPr="00AC6574">
        <w:rPr>
          <w:bCs/>
          <w:i/>
          <w:iCs/>
          <w:color w:val="000000" w:themeColor="text1"/>
          <w:szCs w:val="24"/>
        </w:rPr>
        <w:t>prevent accidents</w:t>
      </w:r>
      <w:r w:rsidRPr="00AC6574">
        <w:rPr>
          <w:bCs/>
          <w:color w:val="000000" w:themeColor="text1"/>
          <w:szCs w:val="24"/>
        </w:rPr>
        <w:t>” wherever occurring in subsection 58(1) and substitute “</w:t>
      </w:r>
      <w:r w:rsidRPr="00AC6574">
        <w:rPr>
          <w:bCs/>
          <w:i/>
          <w:iCs/>
          <w:color w:val="000000" w:themeColor="text1"/>
          <w:szCs w:val="24"/>
        </w:rPr>
        <w:t>prevent incidents</w:t>
      </w:r>
      <w:r w:rsidRPr="00AC6574">
        <w:rPr>
          <w:bCs/>
          <w:color w:val="000000" w:themeColor="text1"/>
          <w:szCs w:val="24"/>
        </w:rPr>
        <w:t>”. This amendment is required so that the term “</w:t>
      </w:r>
      <w:r w:rsidRPr="00AC6574">
        <w:rPr>
          <w:bCs/>
          <w:i/>
          <w:iCs/>
          <w:color w:val="000000" w:themeColor="text1"/>
          <w:szCs w:val="24"/>
        </w:rPr>
        <w:t>incident</w:t>
      </w:r>
      <w:r w:rsidRPr="00AC6574">
        <w:rPr>
          <w:bCs/>
          <w:color w:val="000000" w:themeColor="text1"/>
          <w:szCs w:val="24"/>
        </w:rPr>
        <w:t xml:space="preserve">” as defined in the amended section 4 of the Regulations is consistently referred to throughout the Regulations. </w:t>
      </w:r>
    </w:p>
    <w:p w14:paraId="259EC01F" w14:textId="77777777" w:rsidR="007D189A" w:rsidRPr="00AC6574" w:rsidRDefault="007D189A" w:rsidP="007D189A">
      <w:pPr>
        <w:spacing w:before="100" w:beforeAutospacing="1" w:after="100" w:afterAutospacing="1"/>
        <w:ind w:right="-24"/>
        <w:contextualSpacing/>
        <w:rPr>
          <w:color w:val="000000" w:themeColor="text1"/>
          <w:szCs w:val="24"/>
        </w:rPr>
      </w:pPr>
    </w:p>
    <w:p w14:paraId="563D2626"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[28] - Subsection 58(2) (heading)</w:t>
      </w:r>
    </w:p>
    <w:p w14:paraId="02ED6530" w14:textId="77777777" w:rsidR="007D189A" w:rsidRPr="00AC6574" w:rsidRDefault="007D189A" w:rsidP="007D189A">
      <w:pPr>
        <w:spacing w:before="100" w:beforeAutospacing="1" w:after="100" w:afterAutospacing="1"/>
        <w:ind w:right="-24"/>
        <w:contextualSpacing/>
        <w:rPr>
          <w:color w:val="000000" w:themeColor="text1"/>
          <w:szCs w:val="24"/>
        </w:rPr>
      </w:pPr>
    </w:p>
    <w:p w14:paraId="684F8CB2" w14:textId="32642479" w:rsidR="007D189A" w:rsidRPr="00AC6574" w:rsidRDefault="007D189A" w:rsidP="007D189A">
      <w:pPr>
        <w:spacing w:before="100" w:beforeAutospacing="1" w:after="100" w:afterAutospacing="1"/>
        <w:ind w:right="91"/>
        <w:contextualSpacing/>
        <w:rPr>
          <w:b/>
          <w:color w:val="000000" w:themeColor="text1"/>
          <w:szCs w:val="24"/>
        </w:rPr>
      </w:pPr>
      <w:r w:rsidRPr="00AC6574">
        <w:rPr>
          <w:bCs/>
          <w:color w:val="000000" w:themeColor="text1"/>
          <w:szCs w:val="24"/>
        </w:rPr>
        <w:t>This item omit</w:t>
      </w:r>
      <w:r w:rsidR="00AC6B35" w:rsidRPr="00AC6574">
        <w:rPr>
          <w:bCs/>
          <w:color w:val="000000" w:themeColor="text1"/>
          <w:szCs w:val="24"/>
        </w:rPr>
        <w:t>s</w:t>
      </w:r>
      <w:r w:rsidRPr="00AC6574">
        <w:rPr>
          <w:bCs/>
          <w:color w:val="000000" w:themeColor="text1"/>
          <w:szCs w:val="24"/>
        </w:rPr>
        <w:t xml:space="preserve"> “</w:t>
      </w:r>
      <w:r w:rsidRPr="00AC6574">
        <w:rPr>
          <w:bCs/>
          <w:i/>
          <w:iCs/>
          <w:color w:val="000000" w:themeColor="text1"/>
          <w:szCs w:val="24"/>
        </w:rPr>
        <w:t>an accident</w:t>
      </w:r>
      <w:r w:rsidRPr="00AC6574">
        <w:rPr>
          <w:bCs/>
          <w:color w:val="000000" w:themeColor="text1"/>
          <w:szCs w:val="24"/>
        </w:rPr>
        <w:t>” in the subsection 58(2) heading and substitute “</w:t>
      </w:r>
      <w:r w:rsidRPr="00AC6574">
        <w:rPr>
          <w:bCs/>
          <w:i/>
          <w:iCs/>
          <w:color w:val="000000" w:themeColor="text1"/>
          <w:szCs w:val="24"/>
        </w:rPr>
        <w:t>a notifiable incident</w:t>
      </w:r>
      <w:r w:rsidRPr="00AC6574">
        <w:rPr>
          <w:bCs/>
          <w:color w:val="000000" w:themeColor="text1"/>
          <w:szCs w:val="24"/>
        </w:rPr>
        <w:t xml:space="preserve">”. </w:t>
      </w:r>
      <w:r w:rsidRPr="00AC6574">
        <w:rPr>
          <w:color w:val="000000" w:themeColor="text1"/>
          <w:szCs w:val="24"/>
        </w:rPr>
        <w:t>This item adopt</w:t>
      </w:r>
      <w:r w:rsidR="00AC6B35"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w:t>
      </w:r>
      <w:r w:rsidRPr="00AC6574">
        <w:rPr>
          <w:i/>
          <w:iCs/>
          <w:color w:val="000000" w:themeColor="text1"/>
          <w:szCs w:val="24"/>
        </w:rPr>
        <w:t>accident</w:t>
      </w:r>
      <w:r w:rsidRPr="00AC6574">
        <w:rPr>
          <w:color w:val="000000" w:themeColor="text1"/>
          <w:szCs w:val="24"/>
        </w:rPr>
        <w:t>”. This make</w:t>
      </w:r>
      <w:r w:rsidR="00271C4F" w:rsidRPr="00AC6574">
        <w:rPr>
          <w:color w:val="000000" w:themeColor="text1"/>
          <w:szCs w:val="24"/>
        </w:rPr>
        <w:t>s</w:t>
      </w:r>
      <w:r w:rsidRPr="00AC6574">
        <w:rPr>
          <w:color w:val="000000" w:themeColor="text1"/>
          <w:szCs w:val="24"/>
        </w:rPr>
        <w:t xml:space="preserve"> the concept of “</w:t>
      </w:r>
      <w:r w:rsidRPr="00AC6574">
        <w:rPr>
          <w:i/>
          <w:iCs/>
          <w:color w:val="000000" w:themeColor="text1"/>
          <w:szCs w:val="24"/>
        </w:rPr>
        <w:t>notifiable incident</w:t>
      </w:r>
      <w:r w:rsidRPr="00AC6574">
        <w:rPr>
          <w:color w:val="000000" w:themeColor="text1"/>
          <w:szCs w:val="24"/>
        </w:rPr>
        <w: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271C4F" w:rsidRPr="00AC6574">
        <w:rPr>
          <w:color w:val="000000" w:themeColor="text1"/>
          <w:szCs w:val="24"/>
        </w:rPr>
        <w:t>is</w:t>
      </w:r>
      <w:r w:rsidRPr="00AC6574">
        <w:rPr>
          <w:color w:val="000000" w:themeColor="text1"/>
          <w:szCs w:val="24"/>
        </w:rPr>
        <w:t xml:space="preserve"> used consistently throughout the Regulations. </w:t>
      </w:r>
    </w:p>
    <w:p w14:paraId="4ED57397" w14:textId="77777777" w:rsidR="007D189A" w:rsidRPr="00AC6574" w:rsidRDefault="007D189A" w:rsidP="007D189A">
      <w:pPr>
        <w:spacing w:before="100" w:beforeAutospacing="1" w:after="100" w:afterAutospacing="1"/>
        <w:ind w:right="91"/>
        <w:contextualSpacing/>
        <w:rPr>
          <w:b/>
          <w:color w:val="000000" w:themeColor="text1"/>
          <w:szCs w:val="24"/>
        </w:rPr>
      </w:pPr>
    </w:p>
    <w:p w14:paraId="6DC03A0D"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[29] - Subsection 58(2)</w:t>
      </w:r>
    </w:p>
    <w:p w14:paraId="027FE888" w14:textId="77777777" w:rsidR="007D189A" w:rsidRPr="00AC6574" w:rsidRDefault="007D189A" w:rsidP="007D189A">
      <w:pPr>
        <w:spacing w:before="100" w:beforeAutospacing="1" w:after="100" w:afterAutospacing="1"/>
        <w:ind w:right="-24"/>
        <w:contextualSpacing/>
        <w:rPr>
          <w:color w:val="000000" w:themeColor="text1"/>
          <w:szCs w:val="24"/>
        </w:rPr>
      </w:pPr>
    </w:p>
    <w:p w14:paraId="00085ACA" w14:textId="46D7F20D" w:rsidR="007D189A" w:rsidRPr="00AC6574" w:rsidRDefault="007D189A" w:rsidP="007D189A">
      <w:pPr>
        <w:spacing w:before="100" w:beforeAutospacing="1" w:after="100" w:afterAutospacing="1"/>
        <w:ind w:right="-24"/>
        <w:contextualSpacing/>
        <w:rPr>
          <w:color w:val="000000" w:themeColor="text1"/>
          <w:szCs w:val="24"/>
        </w:rPr>
      </w:pPr>
      <w:r w:rsidRPr="00AC6574">
        <w:rPr>
          <w:bCs/>
          <w:color w:val="000000" w:themeColor="text1"/>
          <w:szCs w:val="24"/>
        </w:rPr>
        <w:t>This item omit</w:t>
      </w:r>
      <w:r w:rsidR="003916F1" w:rsidRPr="00AC6574">
        <w:rPr>
          <w:bCs/>
          <w:color w:val="000000" w:themeColor="text1"/>
          <w:szCs w:val="24"/>
        </w:rPr>
        <w:t>s</w:t>
      </w:r>
      <w:r w:rsidRPr="00AC6574">
        <w:rPr>
          <w:bCs/>
          <w:color w:val="000000" w:themeColor="text1"/>
          <w:szCs w:val="24"/>
        </w:rPr>
        <w:t xml:space="preserve"> “</w:t>
      </w:r>
      <w:r w:rsidRPr="00AC6574">
        <w:rPr>
          <w:bCs/>
          <w:i/>
          <w:iCs/>
          <w:color w:val="000000" w:themeColor="text1"/>
          <w:szCs w:val="24"/>
        </w:rPr>
        <w:t>if an accident</w:t>
      </w:r>
      <w:r w:rsidRPr="00AC6574">
        <w:rPr>
          <w:bCs/>
          <w:color w:val="000000" w:themeColor="text1"/>
          <w:szCs w:val="24"/>
        </w:rPr>
        <w:t>”</w:t>
      </w:r>
      <w:r w:rsidRPr="00AC6574">
        <w:rPr>
          <w:color w:val="000000" w:themeColor="text1"/>
        </w:rPr>
        <w:t xml:space="preserve"> </w:t>
      </w:r>
      <w:r w:rsidRPr="00AC6574">
        <w:rPr>
          <w:bCs/>
          <w:color w:val="000000" w:themeColor="text1"/>
          <w:szCs w:val="24"/>
        </w:rPr>
        <w:t>wherever occurring in subsection 58(2) and substitute “</w:t>
      </w:r>
      <w:r w:rsidRPr="00AC6574">
        <w:rPr>
          <w:bCs/>
          <w:i/>
          <w:iCs/>
          <w:color w:val="000000" w:themeColor="text1"/>
          <w:szCs w:val="24"/>
        </w:rPr>
        <w:t>if a notifiable incident</w:t>
      </w:r>
      <w:r w:rsidRPr="00AC6574">
        <w:rPr>
          <w:bCs/>
          <w:color w:val="000000" w:themeColor="text1"/>
          <w:szCs w:val="24"/>
        </w:rPr>
        <w:t>”. This amendment is required so that the term “</w:t>
      </w:r>
      <w:r w:rsidRPr="00AC6574">
        <w:rPr>
          <w:bCs/>
          <w:i/>
          <w:iCs/>
          <w:color w:val="000000" w:themeColor="text1"/>
          <w:szCs w:val="24"/>
        </w:rPr>
        <w:t>notifiable incident</w:t>
      </w:r>
      <w:r w:rsidRPr="00AC6574">
        <w:rPr>
          <w:bCs/>
          <w:color w:val="000000" w:themeColor="text1"/>
          <w:szCs w:val="24"/>
        </w:rPr>
        <w:t xml:space="preserve">” as defined in the amended section 4 of the Regulations is consistently referred to throughout the Regulations. The amended subsection 58(2) </w:t>
      </w:r>
      <w:r w:rsidRPr="00AC6574">
        <w:rPr>
          <w:color w:val="000000" w:themeColor="text1"/>
          <w:szCs w:val="24"/>
        </w:rPr>
        <w:t>make</w:t>
      </w:r>
      <w:r w:rsidR="003916F1" w:rsidRPr="00AC6574">
        <w:rPr>
          <w:color w:val="000000" w:themeColor="text1"/>
          <w:szCs w:val="24"/>
        </w:rPr>
        <w:t>s</w:t>
      </w:r>
      <w:r w:rsidRPr="00AC6574">
        <w:rPr>
          <w:color w:val="000000" w:themeColor="text1"/>
          <w:szCs w:val="24"/>
        </w:rPr>
        <w:t xml:space="preserve"> it clear what actions a licence holder must take if a “</w:t>
      </w:r>
      <w:r w:rsidRPr="00AC6574">
        <w:rPr>
          <w:i/>
          <w:iCs/>
          <w:color w:val="000000" w:themeColor="text1"/>
          <w:szCs w:val="24"/>
        </w:rPr>
        <w:t>notifiable incident</w:t>
      </w:r>
      <w:r w:rsidRPr="00AC6574">
        <w:rPr>
          <w:color w:val="000000" w:themeColor="text1"/>
          <w:szCs w:val="24"/>
        </w:rPr>
        <w:t xml:space="preserve">” occurs. Notifiable incident </w:t>
      </w:r>
      <w:r w:rsidR="00FC0E84" w:rsidRPr="00AC6574">
        <w:rPr>
          <w:color w:val="000000" w:themeColor="text1"/>
          <w:szCs w:val="24"/>
        </w:rPr>
        <w:t xml:space="preserve">is </w:t>
      </w:r>
      <w:r w:rsidRPr="00AC6574">
        <w:rPr>
          <w:color w:val="000000" w:themeColor="text1"/>
          <w:szCs w:val="24"/>
        </w:rPr>
        <w:t>clearly defined in the definitions of the Regulations, which make</w:t>
      </w:r>
      <w:r w:rsidR="00FC0E84" w:rsidRPr="00AC6574">
        <w:rPr>
          <w:color w:val="000000" w:themeColor="text1"/>
          <w:szCs w:val="24"/>
        </w:rPr>
        <w:t>s</w:t>
      </w:r>
      <w:r w:rsidRPr="00AC6574">
        <w:rPr>
          <w:color w:val="000000" w:themeColor="text1"/>
          <w:szCs w:val="24"/>
        </w:rPr>
        <w:t xml:space="preserve"> it easier for licence holders to understand the nature of the incidents that, should they occur, require</w:t>
      </w:r>
      <w:r w:rsidR="00FC0E84" w:rsidRPr="00AC6574">
        <w:rPr>
          <w:color w:val="000000" w:themeColor="text1"/>
          <w:szCs w:val="24"/>
        </w:rPr>
        <w:t>s</w:t>
      </w:r>
      <w:r w:rsidRPr="00AC6574">
        <w:rPr>
          <w:color w:val="000000" w:themeColor="text1"/>
          <w:szCs w:val="24"/>
        </w:rPr>
        <w:t xml:space="preserve"> the licence holder to take certain actions under subsections 58(2), 58(3), 58(4), 58(5) and 58(6) of the Regulations.</w:t>
      </w:r>
    </w:p>
    <w:p w14:paraId="5B8F9F65" w14:textId="77777777" w:rsidR="007D189A" w:rsidRPr="00AC6574" w:rsidRDefault="007D189A" w:rsidP="007D189A">
      <w:pPr>
        <w:spacing w:before="100" w:beforeAutospacing="1" w:after="100" w:afterAutospacing="1"/>
        <w:ind w:right="-24"/>
        <w:contextualSpacing/>
        <w:rPr>
          <w:color w:val="000000" w:themeColor="text1"/>
          <w:szCs w:val="24"/>
        </w:rPr>
      </w:pPr>
    </w:p>
    <w:p w14:paraId="2FE2D661"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[30] - Paragraphs 58(3)(a) and (b)</w:t>
      </w:r>
    </w:p>
    <w:p w14:paraId="2C471757" w14:textId="656DAA1F"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make</w:t>
      </w:r>
      <w:r w:rsidR="00FC0E84" w:rsidRPr="00AC6574">
        <w:rPr>
          <w:color w:val="000000" w:themeColor="text1"/>
          <w:szCs w:val="24"/>
        </w:rPr>
        <w:t>s</w:t>
      </w:r>
      <w:r w:rsidRPr="00AC6574">
        <w:rPr>
          <w:color w:val="000000" w:themeColor="text1"/>
          <w:szCs w:val="24"/>
        </w:rPr>
        <w:t xml:space="preserve"> it clear that steps mentioned in paragraphs 58(3)(a) and (b) must be undertaken if a “</w:t>
      </w:r>
      <w:r w:rsidRPr="00AC6574">
        <w:rPr>
          <w:i/>
          <w:iCs/>
          <w:color w:val="000000" w:themeColor="text1"/>
          <w:szCs w:val="24"/>
        </w:rPr>
        <w:t>notifiable incident</w:t>
      </w:r>
      <w:r w:rsidRPr="00AC6574">
        <w:rPr>
          <w:color w:val="000000" w:themeColor="text1"/>
          <w:szCs w:val="24"/>
        </w:rPr>
        <w:t>” mentioned in subsection 58(2) happens. This item adopt</w:t>
      </w:r>
      <w:r w:rsidR="00FC0E84"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w:t>
      </w:r>
      <w:r w:rsidRPr="00AC6574">
        <w:rPr>
          <w:i/>
          <w:iCs/>
          <w:color w:val="000000" w:themeColor="text1"/>
          <w:szCs w:val="24"/>
        </w:rPr>
        <w:t>accident</w:t>
      </w:r>
      <w:r w:rsidRPr="00AC6574">
        <w:rPr>
          <w:color w:val="000000" w:themeColor="text1"/>
          <w:szCs w:val="24"/>
        </w:rPr>
        <w:t>”. This make</w:t>
      </w:r>
      <w:r w:rsidR="00FC0E84" w:rsidRPr="00AC6574">
        <w:rPr>
          <w:color w:val="000000" w:themeColor="text1"/>
          <w:szCs w:val="24"/>
        </w:rPr>
        <w:t>s</w:t>
      </w:r>
      <w:r w:rsidRPr="00AC6574">
        <w:rPr>
          <w:color w:val="000000" w:themeColor="text1"/>
          <w:szCs w:val="24"/>
        </w:rPr>
        <w:t xml:space="preserve"> the concept of “notifiable incident”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FC0E84" w:rsidRPr="00AC6574">
        <w:rPr>
          <w:color w:val="000000" w:themeColor="text1"/>
          <w:szCs w:val="24"/>
        </w:rPr>
        <w:t xml:space="preserve">is </w:t>
      </w:r>
      <w:r w:rsidRPr="00AC6574">
        <w:rPr>
          <w:color w:val="000000" w:themeColor="text1"/>
          <w:szCs w:val="24"/>
        </w:rPr>
        <w:t>used consistently throughout the Regulations.</w:t>
      </w:r>
    </w:p>
    <w:p w14:paraId="3E571EC0" w14:textId="77777777" w:rsidR="007D189A" w:rsidRPr="00AC6574" w:rsidRDefault="007D189A" w:rsidP="007D189A">
      <w:pPr>
        <w:spacing w:before="100" w:beforeAutospacing="1" w:after="100" w:afterAutospacing="1"/>
        <w:contextualSpacing/>
        <w:rPr>
          <w:b/>
          <w:color w:val="000000" w:themeColor="text1"/>
          <w:szCs w:val="24"/>
        </w:rPr>
      </w:pPr>
    </w:p>
    <w:p w14:paraId="2F4383CB"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[31] - At the end of subsection 58(3)</w:t>
      </w:r>
    </w:p>
    <w:p w14:paraId="4C23C6A1" w14:textId="77777777" w:rsidR="007D189A" w:rsidRPr="00AC6574" w:rsidRDefault="007D189A" w:rsidP="007D189A">
      <w:pPr>
        <w:spacing w:before="100" w:beforeAutospacing="1" w:after="100" w:afterAutospacing="1"/>
        <w:contextualSpacing/>
        <w:rPr>
          <w:b/>
          <w:color w:val="000000" w:themeColor="text1"/>
          <w:szCs w:val="24"/>
        </w:rPr>
      </w:pPr>
    </w:p>
    <w:p w14:paraId="1387FE0F" w14:textId="72F0F817" w:rsidR="007D189A" w:rsidRPr="00AC6574" w:rsidRDefault="007D189A" w:rsidP="007D189A">
      <w:pPr>
        <w:spacing w:before="100" w:beforeAutospacing="1" w:after="100" w:afterAutospacing="1"/>
        <w:contextualSpacing/>
        <w:rPr>
          <w:color w:val="000000" w:themeColor="text1"/>
        </w:rPr>
      </w:pPr>
      <w:r w:rsidRPr="00AC6574">
        <w:rPr>
          <w:color w:val="000000" w:themeColor="text1"/>
          <w:szCs w:val="24"/>
        </w:rPr>
        <w:t>Management of a “</w:t>
      </w:r>
      <w:r w:rsidRPr="00AC6574">
        <w:rPr>
          <w:i/>
          <w:iCs/>
          <w:color w:val="000000" w:themeColor="text1"/>
          <w:szCs w:val="24"/>
        </w:rPr>
        <w:t>notifiable incident</w:t>
      </w:r>
      <w:r w:rsidRPr="00AC6574">
        <w:rPr>
          <w:color w:val="000000" w:themeColor="text1"/>
          <w:szCs w:val="24"/>
        </w:rPr>
        <w:t>” includes the process of ensuring the orderly, accurate and effective collection and preservation of information so that after the “</w:t>
      </w:r>
      <w:r w:rsidRPr="00AC6574">
        <w:rPr>
          <w:i/>
          <w:iCs/>
          <w:color w:val="000000" w:themeColor="text1"/>
          <w:szCs w:val="24"/>
        </w:rPr>
        <w:t>notifiable incident</w:t>
      </w:r>
      <w:r w:rsidRPr="00AC6574">
        <w:rPr>
          <w:color w:val="000000" w:themeColor="text1"/>
          <w:szCs w:val="24"/>
        </w:rPr>
        <w:t>” has happened the information can be used for investigation of the incident and future learning. This item require</w:t>
      </w:r>
      <w:r w:rsidR="00FC0E84" w:rsidRPr="00AC6574">
        <w:rPr>
          <w:color w:val="000000" w:themeColor="text1"/>
          <w:szCs w:val="24"/>
        </w:rPr>
        <w:t>s</w:t>
      </w:r>
      <w:r w:rsidRPr="00AC6574">
        <w:rPr>
          <w:color w:val="000000" w:themeColor="text1"/>
          <w:szCs w:val="24"/>
        </w:rPr>
        <w:t xml:space="preserve"> the licence holder to manage the “</w:t>
      </w:r>
      <w:r w:rsidRPr="00AC6574">
        <w:rPr>
          <w:i/>
          <w:iCs/>
          <w:color w:val="000000" w:themeColor="text1"/>
          <w:szCs w:val="24"/>
        </w:rPr>
        <w:t>notifiable incident</w:t>
      </w:r>
      <w:r w:rsidRPr="00AC6574">
        <w:rPr>
          <w:color w:val="000000" w:themeColor="text1"/>
          <w:szCs w:val="24"/>
        </w:rPr>
        <w:t xml:space="preserve">” in a way that facilitates investigation and learning. </w:t>
      </w:r>
    </w:p>
    <w:p w14:paraId="632A4AAE" w14:textId="77777777" w:rsidR="007D189A" w:rsidRPr="00AC6574" w:rsidRDefault="007D189A" w:rsidP="007D189A">
      <w:pPr>
        <w:spacing w:before="100" w:beforeAutospacing="1" w:after="100" w:afterAutospacing="1"/>
        <w:contextualSpacing/>
        <w:rPr>
          <w:b/>
          <w:color w:val="000000" w:themeColor="text1"/>
          <w:szCs w:val="24"/>
        </w:rPr>
      </w:pPr>
    </w:p>
    <w:p w14:paraId="687FEF1E"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[32] - Paragraph 58(4)(a)</w:t>
      </w:r>
    </w:p>
    <w:p w14:paraId="0F05400C" w14:textId="77777777" w:rsidR="007D189A" w:rsidRPr="00AC6574" w:rsidRDefault="007D189A" w:rsidP="007D189A">
      <w:pPr>
        <w:spacing w:before="100" w:beforeAutospacing="1" w:after="100" w:afterAutospacing="1"/>
        <w:contextualSpacing/>
        <w:rPr>
          <w:b/>
          <w:color w:val="000000" w:themeColor="text1"/>
          <w:szCs w:val="24"/>
        </w:rPr>
      </w:pPr>
    </w:p>
    <w:p w14:paraId="5776C049" w14:textId="3B245974"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adopt</w:t>
      </w:r>
      <w:r w:rsidR="00FC0E84"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“accident”. This make</w:t>
      </w:r>
      <w:r w:rsidR="00FC0E84" w:rsidRPr="00AC6574">
        <w:rPr>
          <w:color w:val="000000" w:themeColor="text1"/>
          <w:szCs w:val="24"/>
        </w:rPr>
        <w:t>s</w:t>
      </w:r>
      <w:r w:rsidRPr="00AC6574">
        <w:rPr>
          <w:color w:val="000000" w:themeColor="text1"/>
          <w:szCs w:val="24"/>
        </w:rPr>
        <w:t xml:space="preserve"> the concept of “notifiable incident”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FC0E84" w:rsidRPr="00AC6574">
        <w:rPr>
          <w:color w:val="000000" w:themeColor="text1"/>
          <w:szCs w:val="24"/>
        </w:rPr>
        <w:t xml:space="preserve">is </w:t>
      </w:r>
      <w:r w:rsidRPr="00AC6574">
        <w:rPr>
          <w:color w:val="000000" w:themeColor="text1"/>
          <w:szCs w:val="24"/>
        </w:rPr>
        <w:t>used consistently throughout the Regulations.</w:t>
      </w:r>
    </w:p>
    <w:p w14:paraId="01BB85A4" w14:textId="77777777" w:rsidR="007D189A" w:rsidRPr="00AC6574" w:rsidRDefault="007D189A" w:rsidP="007D189A">
      <w:pPr>
        <w:spacing w:before="100" w:beforeAutospacing="1" w:after="100" w:afterAutospacing="1"/>
        <w:contextualSpacing/>
        <w:rPr>
          <w:color w:val="000000" w:themeColor="text1"/>
          <w:szCs w:val="24"/>
        </w:rPr>
      </w:pPr>
    </w:p>
    <w:p w14:paraId="1202A53F"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[33] - Paragraph 58(4)(b)</w:t>
      </w:r>
    </w:p>
    <w:p w14:paraId="0A8A0C01" w14:textId="77777777" w:rsidR="007D189A" w:rsidRPr="00AC6574" w:rsidRDefault="007D189A" w:rsidP="007D189A">
      <w:pPr>
        <w:spacing w:before="100" w:beforeAutospacing="1" w:after="100" w:afterAutospacing="1"/>
        <w:contextualSpacing/>
        <w:rPr>
          <w:b/>
          <w:color w:val="000000" w:themeColor="text1"/>
          <w:szCs w:val="24"/>
        </w:rPr>
      </w:pPr>
    </w:p>
    <w:p w14:paraId="6CFB29A0" w14:textId="7C888A15" w:rsidR="007D189A" w:rsidRPr="00AC6574" w:rsidRDefault="007D189A" w:rsidP="007D189A">
      <w:pPr>
        <w:spacing w:before="100" w:beforeAutospacing="1" w:after="100" w:afterAutospacing="1"/>
        <w:contextualSpacing/>
        <w:rPr>
          <w:color w:val="000000" w:themeColor="text1"/>
          <w:szCs w:val="24"/>
        </w:rPr>
      </w:pPr>
      <w:r w:rsidRPr="00AC6574">
        <w:rPr>
          <w:bCs/>
          <w:color w:val="000000" w:themeColor="text1"/>
          <w:szCs w:val="24"/>
        </w:rPr>
        <w:t>This item make</w:t>
      </w:r>
      <w:r w:rsidR="00FC0E84" w:rsidRPr="00AC6574">
        <w:rPr>
          <w:bCs/>
          <w:color w:val="000000" w:themeColor="text1"/>
          <w:szCs w:val="24"/>
        </w:rPr>
        <w:t>s</w:t>
      </w:r>
      <w:r w:rsidRPr="00AC6574">
        <w:rPr>
          <w:bCs/>
          <w:color w:val="000000" w:themeColor="text1"/>
          <w:szCs w:val="24"/>
        </w:rPr>
        <w:t xml:space="preserve"> it clear that a written report about the “</w:t>
      </w:r>
      <w:r w:rsidRPr="00AC6574">
        <w:rPr>
          <w:bCs/>
          <w:i/>
          <w:iCs/>
          <w:color w:val="000000" w:themeColor="text1"/>
          <w:szCs w:val="24"/>
        </w:rPr>
        <w:t>notifiable incident</w:t>
      </w:r>
      <w:r w:rsidRPr="00AC6574">
        <w:rPr>
          <w:bCs/>
          <w:color w:val="000000" w:themeColor="text1"/>
          <w:szCs w:val="24"/>
        </w:rPr>
        <w:t xml:space="preserve">” is due within 14 days or if the CEO extends the period, that extended period. </w:t>
      </w:r>
      <w:r w:rsidRPr="00AC6574">
        <w:rPr>
          <w:color w:val="000000" w:themeColor="text1"/>
          <w:szCs w:val="24"/>
        </w:rPr>
        <w:t>This item adopt</w:t>
      </w:r>
      <w:r w:rsidR="00FC0E84" w:rsidRPr="00AC6574">
        <w:rPr>
          <w:color w:val="000000" w:themeColor="text1"/>
          <w:szCs w:val="24"/>
        </w:rPr>
        <w:t>s</w:t>
      </w:r>
      <w:r w:rsidRPr="00AC6574">
        <w:rPr>
          <w:color w:val="000000" w:themeColor="text1"/>
          <w:szCs w:val="24"/>
        </w:rPr>
        <w:t xml:space="preserve"> the definition of “notifiable incident” replacing the obsolete term “</w:t>
      </w:r>
      <w:r w:rsidRPr="00AC6574">
        <w:rPr>
          <w:i/>
          <w:iCs/>
          <w:color w:val="000000" w:themeColor="text1"/>
          <w:szCs w:val="24"/>
        </w:rPr>
        <w:t>accident</w:t>
      </w:r>
      <w:r w:rsidRPr="00AC6574">
        <w:rPr>
          <w:color w:val="000000" w:themeColor="text1"/>
          <w:szCs w:val="24"/>
        </w:rPr>
        <w:t>”. This make</w:t>
      </w:r>
      <w:r w:rsidR="00FC0E84" w:rsidRPr="00AC6574">
        <w:rPr>
          <w:color w:val="000000" w:themeColor="text1"/>
          <w:szCs w:val="24"/>
        </w:rPr>
        <w:t>s</w:t>
      </w:r>
      <w:r w:rsidRPr="00AC6574">
        <w:rPr>
          <w:color w:val="000000" w:themeColor="text1"/>
          <w:szCs w:val="24"/>
        </w:rPr>
        <w:t xml:space="preserve"> the concept of “notifiable incident”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FC0E84" w:rsidRPr="00AC6574">
        <w:rPr>
          <w:color w:val="000000" w:themeColor="text1"/>
          <w:szCs w:val="24"/>
        </w:rPr>
        <w:t>is</w:t>
      </w:r>
      <w:r w:rsidRPr="00AC6574">
        <w:rPr>
          <w:color w:val="000000" w:themeColor="text1"/>
          <w:szCs w:val="24"/>
        </w:rPr>
        <w:t xml:space="preserve"> used consistently throughout the Regulations.</w:t>
      </w:r>
    </w:p>
    <w:p w14:paraId="7A78BFDB" w14:textId="77777777" w:rsidR="007D189A" w:rsidRPr="00AC6574" w:rsidRDefault="007D189A" w:rsidP="007D189A">
      <w:pPr>
        <w:spacing w:before="100" w:beforeAutospacing="1" w:after="100" w:afterAutospacing="1"/>
        <w:contextualSpacing/>
        <w:rPr>
          <w:b/>
          <w:color w:val="000000" w:themeColor="text1"/>
          <w:szCs w:val="24"/>
        </w:rPr>
      </w:pPr>
    </w:p>
    <w:p w14:paraId="05652195"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[34] - Subparagraphs 58(4)(c)(i) and (d)(i)</w:t>
      </w:r>
    </w:p>
    <w:p w14:paraId="13C60FB2" w14:textId="77777777" w:rsidR="007D189A" w:rsidRPr="00AC6574" w:rsidRDefault="007D189A" w:rsidP="007D189A">
      <w:pPr>
        <w:spacing w:before="100" w:beforeAutospacing="1" w:after="100" w:afterAutospacing="1"/>
        <w:contextualSpacing/>
        <w:rPr>
          <w:b/>
          <w:color w:val="000000" w:themeColor="text1"/>
          <w:szCs w:val="24"/>
        </w:rPr>
      </w:pPr>
    </w:p>
    <w:p w14:paraId="3054ECD7" w14:textId="1D264AC2" w:rsidR="007D189A" w:rsidRPr="00AC6574" w:rsidRDefault="007D189A" w:rsidP="007D189A">
      <w:pPr>
        <w:spacing w:before="100" w:beforeAutospacing="1" w:after="100" w:afterAutospacing="1"/>
        <w:contextualSpacing/>
        <w:rPr>
          <w:color w:val="000000" w:themeColor="text1"/>
        </w:rPr>
      </w:pPr>
      <w:r w:rsidRPr="00AC6574">
        <w:rPr>
          <w:color w:val="000000" w:themeColor="text1"/>
          <w:szCs w:val="24"/>
        </w:rPr>
        <w:t>This item adopt</w:t>
      </w:r>
      <w:r w:rsidR="00FC0E84"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“accident”. This make</w:t>
      </w:r>
      <w:r w:rsidR="00FC0E84" w:rsidRPr="00AC6574">
        <w:rPr>
          <w:color w:val="000000" w:themeColor="text1"/>
          <w:szCs w:val="24"/>
        </w:rPr>
        <w:t>s</w:t>
      </w:r>
      <w:r w:rsidRPr="00AC6574">
        <w:rPr>
          <w:color w:val="000000" w:themeColor="text1"/>
          <w:szCs w:val="24"/>
        </w:rPr>
        <w:t xml:space="preserve"> the concept of “notifiable incident”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FC0E84" w:rsidRPr="00AC6574">
        <w:rPr>
          <w:color w:val="000000" w:themeColor="text1"/>
          <w:szCs w:val="24"/>
        </w:rPr>
        <w:t xml:space="preserve">is </w:t>
      </w:r>
      <w:r w:rsidRPr="00AC6574">
        <w:rPr>
          <w:color w:val="000000" w:themeColor="text1"/>
          <w:szCs w:val="24"/>
        </w:rPr>
        <w:t>used consistently throughout the Regulations.</w:t>
      </w:r>
    </w:p>
    <w:p w14:paraId="450ED164" w14:textId="77777777" w:rsidR="007D189A" w:rsidRPr="00AC6574" w:rsidRDefault="007D189A" w:rsidP="007D189A">
      <w:pPr>
        <w:spacing w:before="100" w:beforeAutospacing="1" w:after="100" w:afterAutospacing="1"/>
        <w:contextualSpacing/>
        <w:rPr>
          <w:bCs/>
          <w:color w:val="000000" w:themeColor="text1"/>
          <w:szCs w:val="24"/>
        </w:rPr>
      </w:pPr>
    </w:p>
    <w:p w14:paraId="6483C8A3"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[35] - Subsection 58(5)</w:t>
      </w:r>
    </w:p>
    <w:p w14:paraId="2EB4F0DB" w14:textId="77777777" w:rsidR="007D189A" w:rsidRPr="00AC6574" w:rsidRDefault="007D189A" w:rsidP="007D189A">
      <w:pPr>
        <w:spacing w:before="100" w:beforeAutospacing="1" w:after="100" w:afterAutospacing="1"/>
        <w:contextualSpacing/>
        <w:rPr>
          <w:bCs/>
          <w:color w:val="000000" w:themeColor="text1"/>
          <w:szCs w:val="24"/>
        </w:rPr>
      </w:pPr>
    </w:p>
    <w:p w14:paraId="6E88BAA7" w14:textId="610EA328" w:rsidR="007D189A" w:rsidRPr="00AC6574" w:rsidRDefault="007D189A" w:rsidP="007D189A">
      <w:pPr>
        <w:spacing w:before="100" w:beforeAutospacing="1" w:after="100" w:afterAutospacing="1"/>
        <w:contextualSpacing/>
        <w:rPr>
          <w:color w:val="000000" w:themeColor="text1"/>
          <w:szCs w:val="24"/>
        </w:rPr>
      </w:pPr>
      <w:r w:rsidRPr="00AC6574">
        <w:rPr>
          <w:bCs/>
          <w:color w:val="000000" w:themeColor="text1"/>
          <w:szCs w:val="24"/>
        </w:rPr>
        <w:t>This item make</w:t>
      </w:r>
      <w:r w:rsidR="00FC0E84" w:rsidRPr="00AC6574">
        <w:rPr>
          <w:bCs/>
          <w:color w:val="000000" w:themeColor="text1"/>
          <w:szCs w:val="24"/>
        </w:rPr>
        <w:t>s</w:t>
      </w:r>
      <w:r w:rsidRPr="00AC6574">
        <w:rPr>
          <w:bCs/>
          <w:color w:val="000000" w:themeColor="text1"/>
          <w:szCs w:val="24"/>
        </w:rPr>
        <w:t xml:space="preserve"> it clear that the existing provisions of subsection 58(5) regarding preventing a reoccurrence </w:t>
      </w:r>
      <w:r w:rsidR="00A2780E" w:rsidRPr="00AC6574">
        <w:rPr>
          <w:bCs/>
          <w:color w:val="000000" w:themeColor="text1"/>
          <w:szCs w:val="24"/>
        </w:rPr>
        <w:t xml:space="preserve">applies </w:t>
      </w:r>
      <w:r w:rsidRPr="00AC6574">
        <w:rPr>
          <w:bCs/>
          <w:color w:val="000000" w:themeColor="text1"/>
          <w:szCs w:val="24"/>
        </w:rPr>
        <w:t>to the occurrence of a “</w:t>
      </w:r>
      <w:r w:rsidRPr="00AC6574">
        <w:rPr>
          <w:bCs/>
          <w:i/>
          <w:iCs/>
          <w:color w:val="000000" w:themeColor="text1"/>
          <w:szCs w:val="24"/>
        </w:rPr>
        <w:t>notifiable incident</w:t>
      </w:r>
      <w:r w:rsidRPr="00AC6574">
        <w:rPr>
          <w:bCs/>
          <w:color w:val="000000" w:themeColor="text1"/>
          <w:szCs w:val="24"/>
        </w:rPr>
        <w:t>”</w:t>
      </w:r>
      <w:r w:rsidRPr="00AC6574">
        <w:rPr>
          <w:color w:val="000000" w:themeColor="text1"/>
          <w:szCs w:val="24"/>
        </w:rPr>
        <w:t xml:space="preserve"> mentioned in subsection 58(2). This item adopt</w:t>
      </w:r>
      <w:r w:rsidR="00FC0E84"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w:t>
      </w:r>
      <w:r w:rsidRPr="00AC6574">
        <w:rPr>
          <w:i/>
          <w:iCs/>
          <w:color w:val="000000" w:themeColor="text1"/>
          <w:szCs w:val="24"/>
        </w:rPr>
        <w:t>accident</w:t>
      </w:r>
      <w:r w:rsidRPr="00AC6574">
        <w:rPr>
          <w:color w:val="000000" w:themeColor="text1"/>
          <w:szCs w:val="24"/>
        </w:rPr>
        <w:t>”. This make</w:t>
      </w:r>
      <w:r w:rsidR="00FC0E84" w:rsidRPr="00AC6574">
        <w:rPr>
          <w:color w:val="000000" w:themeColor="text1"/>
          <w:szCs w:val="24"/>
        </w:rPr>
        <w:t>s</w:t>
      </w:r>
      <w:r w:rsidRPr="00AC6574">
        <w:rPr>
          <w:color w:val="000000" w:themeColor="text1"/>
          <w:szCs w:val="24"/>
        </w:rPr>
        <w:t xml:space="preserve"> the concept of “</w:t>
      </w:r>
      <w:r w:rsidRPr="00AC6574">
        <w:rPr>
          <w:i/>
          <w:iCs/>
          <w:color w:val="000000" w:themeColor="text1"/>
          <w:szCs w:val="24"/>
        </w:rPr>
        <w:t>notifiable incident</w:t>
      </w:r>
      <w:r w:rsidRPr="00AC6574">
        <w:rPr>
          <w:color w:val="000000" w:themeColor="text1"/>
          <w:szCs w:val="24"/>
        </w:rPr>
        <w: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FC0E84" w:rsidRPr="00AC6574">
        <w:rPr>
          <w:color w:val="000000" w:themeColor="text1"/>
          <w:szCs w:val="24"/>
        </w:rPr>
        <w:t xml:space="preserve">is </w:t>
      </w:r>
      <w:r w:rsidRPr="00AC6574">
        <w:rPr>
          <w:color w:val="000000" w:themeColor="text1"/>
          <w:szCs w:val="24"/>
        </w:rPr>
        <w:t>used consistently throughout the Regulations.</w:t>
      </w:r>
    </w:p>
    <w:p w14:paraId="0E6D823F" w14:textId="77777777" w:rsidR="007D189A" w:rsidRPr="00AC6574" w:rsidRDefault="007D189A" w:rsidP="007D189A">
      <w:pPr>
        <w:spacing w:before="100" w:beforeAutospacing="1" w:after="100" w:afterAutospacing="1"/>
        <w:contextualSpacing/>
        <w:rPr>
          <w:color w:val="000000" w:themeColor="text1"/>
          <w:szCs w:val="24"/>
        </w:rPr>
      </w:pPr>
    </w:p>
    <w:p w14:paraId="1A2A5BD1"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[36] - Subsection 58(6)</w:t>
      </w:r>
    </w:p>
    <w:p w14:paraId="66112BDA" w14:textId="77777777" w:rsidR="007D189A" w:rsidRPr="00AC6574" w:rsidRDefault="007D189A" w:rsidP="007D189A">
      <w:pPr>
        <w:spacing w:before="100" w:beforeAutospacing="1" w:after="100" w:afterAutospacing="1"/>
        <w:contextualSpacing/>
        <w:rPr>
          <w:color w:val="000000" w:themeColor="text1"/>
          <w:szCs w:val="24"/>
        </w:rPr>
      </w:pPr>
    </w:p>
    <w:p w14:paraId="3BCC3C9D" w14:textId="33F52C36"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make</w:t>
      </w:r>
      <w:r w:rsidR="00FC0E84" w:rsidRPr="00AC6574">
        <w:rPr>
          <w:color w:val="000000" w:themeColor="text1"/>
          <w:szCs w:val="24"/>
        </w:rPr>
        <w:t>s</w:t>
      </w:r>
      <w:r w:rsidRPr="00AC6574">
        <w:rPr>
          <w:color w:val="000000" w:themeColor="text1"/>
          <w:szCs w:val="24"/>
        </w:rPr>
        <w:t xml:space="preserve"> it clear that the CEO may in writing extend the period beyond 14 days for a written report mentioned in subparagraph 58(4)(b)(i).</w:t>
      </w:r>
    </w:p>
    <w:p w14:paraId="253E1486" w14:textId="77777777" w:rsidR="007D189A" w:rsidRPr="00AC6574" w:rsidRDefault="007D189A" w:rsidP="007D189A">
      <w:pPr>
        <w:spacing w:before="100" w:beforeAutospacing="1" w:after="100" w:afterAutospacing="1"/>
        <w:contextualSpacing/>
        <w:rPr>
          <w:color w:val="000000" w:themeColor="text1"/>
          <w:szCs w:val="24"/>
        </w:rPr>
      </w:pPr>
    </w:p>
    <w:p w14:paraId="59A62914"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[37] - At the end of section 58</w:t>
      </w:r>
    </w:p>
    <w:p w14:paraId="5682BA48" w14:textId="77777777" w:rsidR="007D189A" w:rsidRPr="00AC6574" w:rsidRDefault="007D189A" w:rsidP="007D189A">
      <w:pPr>
        <w:spacing w:before="100" w:beforeAutospacing="1" w:after="100" w:afterAutospacing="1"/>
        <w:contextualSpacing/>
        <w:rPr>
          <w:b/>
          <w:color w:val="000000" w:themeColor="text1"/>
          <w:szCs w:val="24"/>
        </w:rPr>
      </w:pPr>
    </w:p>
    <w:p w14:paraId="70314A13" w14:textId="2B36F8D0"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make</w:t>
      </w:r>
      <w:r w:rsidR="00FC0E84" w:rsidRPr="00AC6574">
        <w:rPr>
          <w:color w:val="000000" w:themeColor="text1"/>
          <w:szCs w:val="24"/>
        </w:rPr>
        <w:t>s</w:t>
      </w:r>
      <w:r w:rsidRPr="00AC6574">
        <w:rPr>
          <w:color w:val="000000" w:themeColor="text1"/>
          <w:szCs w:val="24"/>
        </w:rPr>
        <w:t xml:space="preserve"> it clear that the actions mentioned in subsections 58(4) and (5) do not apply to the extent that the relevant licence makes other arrangements for a matter mentioned in those subsections.</w:t>
      </w:r>
    </w:p>
    <w:p w14:paraId="2DF3A6A7" w14:textId="77777777" w:rsidR="007D189A" w:rsidRPr="00AC6574" w:rsidRDefault="007D189A" w:rsidP="007D189A">
      <w:pPr>
        <w:spacing w:before="100" w:beforeAutospacing="1" w:after="100" w:afterAutospacing="1"/>
        <w:contextualSpacing/>
        <w:rPr>
          <w:color w:val="000000" w:themeColor="text1"/>
          <w:szCs w:val="24"/>
        </w:rPr>
      </w:pPr>
    </w:p>
    <w:p w14:paraId="774D0FEF"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[38] - After paragraph 60(1)(a)</w:t>
      </w:r>
    </w:p>
    <w:p w14:paraId="626937A9" w14:textId="77777777" w:rsidR="007D189A" w:rsidRPr="00AC6574" w:rsidRDefault="007D189A" w:rsidP="007D189A">
      <w:pPr>
        <w:spacing w:before="100" w:beforeAutospacing="1" w:after="100" w:afterAutospacing="1"/>
        <w:contextualSpacing/>
        <w:rPr>
          <w:b/>
          <w:color w:val="000000" w:themeColor="text1"/>
          <w:szCs w:val="24"/>
        </w:rPr>
      </w:pPr>
    </w:p>
    <w:p w14:paraId="798947B3" w14:textId="09C61BE2"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require</w:t>
      </w:r>
      <w:r w:rsidR="00FC0E84" w:rsidRPr="00AC6574">
        <w:rPr>
          <w:color w:val="000000" w:themeColor="text1"/>
          <w:szCs w:val="24"/>
        </w:rPr>
        <w:t>s</w:t>
      </w:r>
      <w:r w:rsidRPr="00AC6574">
        <w:rPr>
          <w:color w:val="000000" w:themeColor="text1"/>
          <w:szCs w:val="24"/>
        </w:rPr>
        <w:t xml:space="preserve"> the holder of a facility licence, in taking all reasonably practicable steps to have in place plans and arrangements for the safe management of the facility, to ensure that such plans and arrangements consider human and organisation factors to reduce human error and organisational failures. Human and organisational factors need to be strengthened to optimise safe management of facilities and reduce the likelihood of future incidents involving radiation.</w:t>
      </w:r>
    </w:p>
    <w:p w14:paraId="2290A127" w14:textId="77777777" w:rsidR="007D189A" w:rsidRPr="00AC6574" w:rsidRDefault="007D189A" w:rsidP="007D189A">
      <w:pPr>
        <w:spacing w:before="100" w:beforeAutospacing="1" w:after="100" w:afterAutospacing="1"/>
        <w:contextualSpacing/>
        <w:rPr>
          <w:b/>
          <w:color w:val="000000" w:themeColor="text1"/>
          <w:szCs w:val="24"/>
        </w:rPr>
      </w:pPr>
    </w:p>
    <w:p w14:paraId="21832A37" w14:textId="77777777" w:rsidR="007D189A" w:rsidRPr="00AC6574" w:rsidRDefault="007D189A" w:rsidP="007D189A">
      <w:pPr>
        <w:spacing w:before="100" w:beforeAutospacing="1" w:after="100" w:afterAutospacing="1"/>
        <w:contextualSpacing/>
        <w:rPr>
          <w:b/>
          <w:color w:val="000000" w:themeColor="text1"/>
          <w:szCs w:val="24"/>
        </w:rPr>
      </w:pPr>
      <w:r w:rsidRPr="00AC6574">
        <w:rPr>
          <w:b/>
          <w:color w:val="000000" w:themeColor="text1"/>
          <w:szCs w:val="24"/>
        </w:rPr>
        <w:t>Item [39] - At the end of subsection 60(1)</w:t>
      </w:r>
    </w:p>
    <w:p w14:paraId="3FF739AD" w14:textId="77777777" w:rsidR="007D189A" w:rsidRPr="00AC6574" w:rsidRDefault="007D189A" w:rsidP="007D189A">
      <w:pPr>
        <w:spacing w:before="100" w:beforeAutospacing="1" w:after="100" w:afterAutospacing="1"/>
        <w:contextualSpacing/>
        <w:rPr>
          <w:color w:val="000000" w:themeColor="text1"/>
          <w:szCs w:val="24"/>
        </w:rPr>
      </w:pPr>
    </w:p>
    <w:p w14:paraId="0A6C7672" w14:textId="7A0D886A" w:rsidR="007D189A" w:rsidRPr="00AC6574" w:rsidRDefault="007D189A" w:rsidP="007D189A">
      <w:pPr>
        <w:spacing w:before="100" w:beforeAutospacing="1" w:after="100" w:afterAutospacing="1"/>
        <w:contextualSpacing/>
        <w:rPr>
          <w:color w:val="000000" w:themeColor="text1"/>
          <w:szCs w:val="24"/>
        </w:rPr>
      </w:pPr>
      <w:r w:rsidRPr="00AC6574">
        <w:rPr>
          <w:color w:val="000000" w:themeColor="text1"/>
          <w:szCs w:val="24"/>
        </w:rPr>
        <w:t>This item require</w:t>
      </w:r>
      <w:r w:rsidR="00EA081A" w:rsidRPr="00AC6574">
        <w:rPr>
          <w:color w:val="000000" w:themeColor="text1"/>
          <w:szCs w:val="24"/>
        </w:rPr>
        <w:t>s</w:t>
      </w:r>
      <w:r w:rsidRPr="00AC6574">
        <w:rPr>
          <w:color w:val="000000" w:themeColor="text1"/>
          <w:szCs w:val="24"/>
        </w:rPr>
        <w:t xml:space="preserve"> a holder of a facility licence, in taking all reasonably practicable steps to have in place safety analysis reports, to ensure that such safety analysis </w:t>
      </w:r>
      <w:r w:rsidRPr="00AC6574">
        <w:rPr>
          <w:color w:val="000000" w:themeColor="text1"/>
          <w:szCs w:val="24"/>
        </w:rPr>
        <w:lastRenderedPageBreak/>
        <w:t>reports consider human and organisational factors to reduce human error and organisational failures. Human and organisational factors need to be strengthened to optimise safe management of facilities and reduce the likelihood of future incidents involving radiation.</w:t>
      </w:r>
    </w:p>
    <w:p w14:paraId="7E08A9A9"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[40] - After paragraph 60(2)(a)</w:t>
      </w:r>
    </w:p>
    <w:p w14:paraId="2D61A5B7" w14:textId="77777777" w:rsidR="007D189A" w:rsidRPr="00AC6574" w:rsidRDefault="007D189A" w:rsidP="007D189A">
      <w:pPr>
        <w:spacing w:before="100" w:beforeAutospacing="1" w:after="100" w:afterAutospacing="1"/>
        <w:ind w:right="91"/>
        <w:contextualSpacing/>
        <w:rPr>
          <w:b/>
          <w:color w:val="000000" w:themeColor="text1"/>
          <w:szCs w:val="24"/>
        </w:rPr>
      </w:pPr>
    </w:p>
    <w:p w14:paraId="161F37EC" w14:textId="077682A9"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require</w:t>
      </w:r>
      <w:r w:rsidR="00EA081A" w:rsidRPr="00AC6574">
        <w:rPr>
          <w:color w:val="000000" w:themeColor="text1"/>
          <w:szCs w:val="24"/>
        </w:rPr>
        <w:t>s</w:t>
      </w:r>
      <w:r w:rsidRPr="00AC6574">
        <w:rPr>
          <w:color w:val="000000" w:themeColor="text1"/>
          <w:szCs w:val="24"/>
        </w:rPr>
        <w:t xml:space="preserve"> a holder of a source licence, or facility licence, in taking all reasonably practicable steps to have in place plans and arrangements, to ensure that such plans and arrangements consider human and organisational factors to reduce human error and organisational failures. Human and organisational factors need to be strengthened to optimise safe management of controlled material, controlled apparatus and controlled facilities and reduce the likelihood of future incidents involving radiation.</w:t>
      </w:r>
    </w:p>
    <w:p w14:paraId="46B1156D" w14:textId="77777777" w:rsidR="007D189A" w:rsidRPr="00AC6574" w:rsidRDefault="007D189A" w:rsidP="007D189A">
      <w:pPr>
        <w:spacing w:before="100" w:beforeAutospacing="1" w:after="100" w:afterAutospacing="1"/>
        <w:ind w:right="91"/>
        <w:contextualSpacing/>
        <w:rPr>
          <w:b/>
          <w:color w:val="000000" w:themeColor="text1"/>
          <w:szCs w:val="24"/>
        </w:rPr>
      </w:pPr>
    </w:p>
    <w:p w14:paraId="128FD563"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[41] - Section 61 (note)</w:t>
      </w:r>
    </w:p>
    <w:p w14:paraId="32F9E1D3" w14:textId="77777777" w:rsidR="007D189A" w:rsidRPr="00AC6574" w:rsidRDefault="007D189A" w:rsidP="007D189A">
      <w:pPr>
        <w:spacing w:before="100" w:beforeAutospacing="1" w:after="100" w:afterAutospacing="1"/>
        <w:ind w:right="91"/>
        <w:contextualSpacing/>
        <w:rPr>
          <w:color w:val="000000" w:themeColor="text1"/>
          <w:szCs w:val="24"/>
        </w:rPr>
      </w:pPr>
    </w:p>
    <w:p w14:paraId="37593199" w14:textId="09961598"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omit</w:t>
      </w:r>
      <w:r w:rsidR="00EA081A" w:rsidRPr="00AC6574">
        <w:rPr>
          <w:color w:val="000000" w:themeColor="text1"/>
          <w:szCs w:val="24"/>
        </w:rPr>
        <w:t>s</w:t>
      </w:r>
      <w:r w:rsidRPr="00AC6574">
        <w:rPr>
          <w:color w:val="000000" w:themeColor="text1"/>
          <w:szCs w:val="24"/>
        </w:rPr>
        <w:t xml:space="preserve"> “</w:t>
      </w:r>
      <w:r w:rsidRPr="00AC6574">
        <w:rPr>
          <w:i/>
          <w:iCs/>
          <w:color w:val="000000" w:themeColor="text1"/>
          <w:szCs w:val="24"/>
        </w:rPr>
        <w:t>an accident for the purposes of preventing a reoccurrence of the accident</w:t>
      </w:r>
      <w:r w:rsidRPr="00AC6574">
        <w:rPr>
          <w:color w:val="000000" w:themeColor="text1"/>
          <w:szCs w:val="24"/>
        </w:rPr>
        <w:t>” and substitute</w:t>
      </w:r>
      <w:r w:rsidR="00EA081A" w:rsidRPr="00AC6574">
        <w:rPr>
          <w:color w:val="000000" w:themeColor="text1"/>
          <w:szCs w:val="24"/>
        </w:rPr>
        <w:t>s</w:t>
      </w:r>
      <w:r w:rsidRPr="00AC6574">
        <w:rPr>
          <w:color w:val="000000" w:themeColor="text1"/>
          <w:szCs w:val="24"/>
        </w:rPr>
        <w:t xml:space="preserve"> “</w:t>
      </w:r>
      <w:r w:rsidRPr="00AC6574">
        <w:rPr>
          <w:i/>
          <w:iCs/>
          <w:color w:val="000000" w:themeColor="text1"/>
          <w:szCs w:val="24"/>
        </w:rPr>
        <w:t>a notifiable incident for the purposes of preventing a reoccurrence of the notifiable incident</w:t>
      </w:r>
      <w:r w:rsidRPr="00AC6574">
        <w:rPr>
          <w:color w:val="000000" w:themeColor="text1"/>
          <w:szCs w:val="24"/>
        </w:rPr>
        <w:t>”. This item adopt</w:t>
      </w:r>
      <w:r w:rsidR="00EA081A" w:rsidRPr="00AC6574">
        <w:rPr>
          <w:color w:val="000000" w:themeColor="text1"/>
          <w:szCs w:val="24"/>
        </w:rPr>
        <w:t>s</w:t>
      </w:r>
      <w:r w:rsidRPr="00AC6574">
        <w:rPr>
          <w:color w:val="000000" w:themeColor="text1"/>
          <w:szCs w:val="24"/>
        </w:rPr>
        <w:t xml:space="preserve"> the definition of “</w:t>
      </w:r>
      <w:r w:rsidRPr="00AC6574">
        <w:rPr>
          <w:i/>
          <w:iCs/>
          <w:color w:val="000000" w:themeColor="text1"/>
          <w:szCs w:val="24"/>
        </w:rPr>
        <w:t>notifiable incident</w:t>
      </w:r>
      <w:r w:rsidRPr="00AC6574">
        <w:rPr>
          <w:color w:val="000000" w:themeColor="text1"/>
          <w:szCs w:val="24"/>
        </w:rPr>
        <w:t>” replacing the obsolete term “</w:t>
      </w:r>
      <w:r w:rsidRPr="00AC6574">
        <w:rPr>
          <w:i/>
          <w:iCs/>
          <w:color w:val="000000" w:themeColor="text1"/>
          <w:szCs w:val="24"/>
        </w:rPr>
        <w:t>accident</w:t>
      </w:r>
      <w:r w:rsidRPr="00AC6574">
        <w:rPr>
          <w:color w:val="000000" w:themeColor="text1"/>
          <w:szCs w:val="24"/>
        </w:rPr>
        <w:t>”. This make</w:t>
      </w:r>
      <w:r w:rsidR="00EA081A" w:rsidRPr="00AC6574">
        <w:rPr>
          <w:color w:val="000000" w:themeColor="text1"/>
          <w:szCs w:val="24"/>
        </w:rPr>
        <w:t>s</w:t>
      </w:r>
      <w:r w:rsidRPr="00AC6574">
        <w:rPr>
          <w:color w:val="000000" w:themeColor="text1"/>
          <w:szCs w:val="24"/>
        </w:rPr>
        <w:t xml:space="preserve"> the concept of “</w:t>
      </w:r>
      <w:r w:rsidRPr="00AC6574">
        <w:rPr>
          <w:i/>
          <w:iCs/>
          <w:color w:val="000000" w:themeColor="text1"/>
          <w:szCs w:val="24"/>
        </w:rPr>
        <w:t>notifiable incident</w:t>
      </w:r>
      <w:r w:rsidRPr="00AC6574">
        <w:rPr>
          <w:color w:val="000000" w:themeColor="text1"/>
          <w:szCs w:val="24"/>
        </w:rPr>
        <w:t>” as used in the Regulations easier for licence holders to understand as the term “</w:t>
      </w:r>
      <w:r w:rsidRPr="00AC6574">
        <w:rPr>
          <w:i/>
          <w:iCs/>
          <w:color w:val="000000" w:themeColor="text1"/>
          <w:szCs w:val="24"/>
        </w:rPr>
        <w:t>notifiable incident</w:t>
      </w:r>
      <w:r w:rsidRPr="00AC6574">
        <w:rPr>
          <w:color w:val="000000" w:themeColor="text1"/>
          <w:szCs w:val="24"/>
        </w:rPr>
        <w:t xml:space="preserve">” </w:t>
      </w:r>
      <w:r w:rsidR="00E97E23" w:rsidRPr="00AC6574">
        <w:rPr>
          <w:color w:val="000000" w:themeColor="text1"/>
          <w:szCs w:val="24"/>
        </w:rPr>
        <w:t xml:space="preserve">is </w:t>
      </w:r>
      <w:r w:rsidRPr="00AC6574">
        <w:rPr>
          <w:color w:val="000000" w:themeColor="text1"/>
          <w:szCs w:val="24"/>
        </w:rPr>
        <w:t>used consistently throughout the Regulations.</w:t>
      </w:r>
    </w:p>
    <w:p w14:paraId="73D07B2B" w14:textId="77777777" w:rsidR="007D189A" w:rsidRPr="00AC6574" w:rsidRDefault="007D189A" w:rsidP="007D189A">
      <w:pPr>
        <w:spacing w:before="100" w:beforeAutospacing="1" w:after="100" w:afterAutospacing="1"/>
        <w:ind w:right="91"/>
        <w:contextualSpacing/>
        <w:rPr>
          <w:color w:val="000000" w:themeColor="text1"/>
          <w:szCs w:val="24"/>
        </w:rPr>
      </w:pPr>
    </w:p>
    <w:p w14:paraId="2012107E" w14:textId="77777777" w:rsidR="007D189A" w:rsidRPr="00AC6574" w:rsidRDefault="007D189A" w:rsidP="007D189A">
      <w:pPr>
        <w:spacing w:before="100" w:beforeAutospacing="1" w:after="100" w:afterAutospacing="1"/>
        <w:ind w:right="91"/>
        <w:contextualSpacing/>
        <w:rPr>
          <w:b/>
          <w:color w:val="000000" w:themeColor="text1"/>
          <w:szCs w:val="24"/>
        </w:rPr>
      </w:pPr>
      <w:r w:rsidRPr="00AC6574">
        <w:rPr>
          <w:b/>
          <w:color w:val="000000" w:themeColor="text1"/>
          <w:szCs w:val="24"/>
        </w:rPr>
        <w:t>Item [42] - Subsection 65(5)</w:t>
      </w:r>
    </w:p>
    <w:p w14:paraId="700F6C97" w14:textId="77777777" w:rsidR="007D189A" w:rsidRPr="00AC6574" w:rsidRDefault="007D189A" w:rsidP="007D189A">
      <w:pPr>
        <w:spacing w:before="100" w:beforeAutospacing="1" w:after="100" w:afterAutospacing="1"/>
        <w:ind w:right="91"/>
        <w:contextualSpacing/>
        <w:rPr>
          <w:b/>
          <w:color w:val="000000" w:themeColor="text1"/>
          <w:szCs w:val="24"/>
        </w:rPr>
      </w:pPr>
    </w:p>
    <w:p w14:paraId="1AC5CD40" w14:textId="21AC5540"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repeal</w:t>
      </w:r>
      <w:r w:rsidR="00E97E23" w:rsidRPr="00AC6574">
        <w:rPr>
          <w:color w:val="000000" w:themeColor="text1"/>
          <w:szCs w:val="24"/>
        </w:rPr>
        <w:t>s</w:t>
      </w:r>
      <w:r w:rsidRPr="00AC6574">
        <w:rPr>
          <w:color w:val="000000" w:themeColor="text1"/>
          <w:szCs w:val="24"/>
        </w:rPr>
        <w:t xml:space="preserve"> subsection 65(5) and substitute subsections 65(5), 65(6), 65(7), 65(8) and 65(9). </w:t>
      </w:r>
      <w:r w:rsidR="00A0242F" w:rsidRPr="00AC6574">
        <w:rPr>
          <w:color w:val="000000" w:themeColor="text1"/>
          <w:szCs w:val="24"/>
        </w:rPr>
        <w:t>S</w:t>
      </w:r>
      <w:r w:rsidRPr="00AC6574">
        <w:rPr>
          <w:color w:val="000000" w:themeColor="text1"/>
          <w:szCs w:val="24"/>
        </w:rPr>
        <w:t>ubsection 65(5) ha</w:t>
      </w:r>
      <w:r w:rsidR="00A0242F" w:rsidRPr="00AC6574">
        <w:rPr>
          <w:color w:val="000000" w:themeColor="text1"/>
          <w:szCs w:val="24"/>
        </w:rPr>
        <w:t>s</w:t>
      </w:r>
      <w:r w:rsidRPr="00AC6574">
        <w:rPr>
          <w:color w:val="000000" w:themeColor="text1"/>
          <w:szCs w:val="24"/>
        </w:rPr>
        <w:t xml:space="preserve"> the same effect as the existing subsection 65(5) which provides that subsections (1), (2), (3) and (4) do not apply to the extent that the licence makes other arrangements for a matter mentioned in the subsections.</w:t>
      </w:r>
    </w:p>
    <w:p w14:paraId="315FD569" w14:textId="77777777" w:rsidR="007D189A" w:rsidRPr="00AC6574" w:rsidRDefault="007D189A" w:rsidP="007D189A">
      <w:pPr>
        <w:spacing w:before="100" w:beforeAutospacing="1" w:after="100" w:afterAutospacing="1"/>
        <w:ind w:right="91"/>
        <w:contextualSpacing/>
        <w:rPr>
          <w:color w:val="000000" w:themeColor="text1"/>
          <w:szCs w:val="24"/>
        </w:rPr>
      </w:pPr>
    </w:p>
    <w:p w14:paraId="448AE9B9" w14:textId="5DC71673" w:rsidR="007D189A" w:rsidRPr="00AC6574" w:rsidRDefault="00624330" w:rsidP="007D189A">
      <w:pPr>
        <w:spacing w:before="100" w:beforeAutospacing="1" w:after="100" w:afterAutospacing="1"/>
        <w:ind w:right="91"/>
        <w:contextualSpacing/>
        <w:rPr>
          <w:color w:val="000000" w:themeColor="text1"/>
          <w:szCs w:val="24"/>
        </w:rPr>
      </w:pPr>
      <w:r w:rsidRPr="00AC6574">
        <w:rPr>
          <w:color w:val="000000" w:themeColor="text1"/>
          <w:szCs w:val="24"/>
        </w:rPr>
        <w:t>S</w:t>
      </w:r>
      <w:r w:rsidR="007D189A" w:rsidRPr="00AC6574">
        <w:rPr>
          <w:color w:val="000000" w:themeColor="text1"/>
          <w:szCs w:val="24"/>
        </w:rPr>
        <w:t>ubsection 65(6) provide</w:t>
      </w:r>
      <w:r w:rsidRPr="00AC6574">
        <w:rPr>
          <w:color w:val="000000" w:themeColor="text1"/>
          <w:szCs w:val="24"/>
        </w:rPr>
        <w:t>s</w:t>
      </w:r>
      <w:r w:rsidR="007D189A" w:rsidRPr="00AC6574">
        <w:rPr>
          <w:color w:val="000000" w:themeColor="text1"/>
          <w:szCs w:val="24"/>
        </w:rPr>
        <w:t xml:space="preserve"> that subsections 65(1), 65(2) and 65(3) do not apply in relation to controlled material that is “</w:t>
      </w:r>
      <w:r w:rsidR="007D189A" w:rsidRPr="00AC6574">
        <w:rPr>
          <w:i/>
          <w:iCs/>
          <w:color w:val="000000" w:themeColor="text1"/>
          <w:szCs w:val="24"/>
        </w:rPr>
        <w:t>solid clearance material</w:t>
      </w:r>
      <w:r w:rsidR="007D189A" w:rsidRPr="00AC6574">
        <w:rPr>
          <w:color w:val="000000" w:themeColor="text1"/>
          <w:szCs w:val="24"/>
        </w:rPr>
        <w:t xml:space="preserve">”. </w:t>
      </w:r>
      <w:r w:rsidRPr="00AC6574">
        <w:rPr>
          <w:color w:val="000000" w:themeColor="text1"/>
          <w:szCs w:val="24"/>
        </w:rPr>
        <w:t>S</w:t>
      </w:r>
      <w:r w:rsidR="007D189A" w:rsidRPr="00AC6574">
        <w:rPr>
          <w:color w:val="000000" w:themeColor="text1"/>
          <w:szCs w:val="24"/>
        </w:rPr>
        <w:t>ubsection 65(7) provide</w:t>
      </w:r>
      <w:r w:rsidRPr="00AC6574">
        <w:rPr>
          <w:color w:val="000000" w:themeColor="text1"/>
          <w:szCs w:val="24"/>
        </w:rPr>
        <w:t>s</w:t>
      </w:r>
      <w:r w:rsidR="007D189A" w:rsidRPr="00AC6574">
        <w:rPr>
          <w:color w:val="000000" w:themeColor="text1"/>
          <w:szCs w:val="24"/>
        </w:rPr>
        <w:t xml:space="preserve"> a clear definition of the term “</w:t>
      </w:r>
      <w:r w:rsidR="007D189A" w:rsidRPr="00AC6574">
        <w:rPr>
          <w:i/>
          <w:iCs/>
          <w:color w:val="000000" w:themeColor="text1"/>
          <w:szCs w:val="24"/>
        </w:rPr>
        <w:t>solid clearance material</w:t>
      </w:r>
      <w:r w:rsidR="007D189A" w:rsidRPr="00AC6574">
        <w:rPr>
          <w:color w:val="000000" w:themeColor="text1"/>
          <w:szCs w:val="24"/>
        </w:rPr>
        <w:t>” and subsection 65(8) provide</w:t>
      </w:r>
      <w:r w:rsidRPr="00AC6574">
        <w:rPr>
          <w:color w:val="000000" w:themeColor="text1"/>
          <w:szCs w:val="24"/>
        </w:rPr>
        <w:t>s</w:t>
      </w:r>
      <w:r w:rsidR="007D189A" w:rsidRPr="00AC6574">
        <w:rPr>
          <w:color w:val="000000" w:themeColor="text1"/>
          <w:szCs w:val="24"/>
        </w:rPr>
        <w:t xml:space="preserve"> a definition of the term “</w:t>
      </w:r>
      <w:r w:rsidR="007D189A" w:rsidRPr="00AC6574">
        <w:rPr>
          <w:i/>
          <w:iCs/>
          <w:color w:val="000000" w:themeColor="text1"/>
          <w:szCs w:val="24"/>
        </w:rPr>
        <w:t>solid clearance value</w:t>
      </w:r>
      <w:r w:rsidR="007D189A" w:rsidRPr="00AC6574">
        <w:rPr>
          <w:color w:val="000000" w:themeColor="text1"/>
          <w:szCs w:val="24"/>
        </w:rPr>
        <w:t xml:space="preserve">”. </w:t>
      </w:r>
      <w:r w:rsidRPr="00AC6574">
        <w:rPr>
          <w:color w:val="000000" w:themeColor="text1"/>
          <w:szCs w:val="24"/>
        </w:rPr>
        <w:t>S</w:t>
      </w:r>
      <w:r w:rsidR="007D189A" w:rsidRPr="00AC6574">
        <w:rPr>
          <w:color w:val="000000" w:themeColor="text1"/>
          <w:szCs w:val="24"/>
        </w:rPr>
        <w:t>ubsection 65(9) set</w:t>
      </w:r>
      <w:r w:rsidRPr="00AC6574">
        <w:rPr>
          <w:color w:val="000000" w:themeColor="text1"/>
          <w:szCs w:val="24"/>
        </w:rPr>
        <w:t>s</w:t>
      </w:r>
      <w:r w:rsidR="007D189A" w:rsidRPr="00AC6574">
        <w:rPr>
          <w:color w:val="000000" w:themeColor="text1"/>
          <w:szCs w:val="24"/>
        </w:rPr>
        <w:t xml:space="preserve"> out how to deal with the activity concentration of progeny nuclides in relation to “</w:t>
      </w:r>
      <w:r w:rsidR="007D189A" w:rsidRPr="00AC6574">
        <w:rPr>
          <w:i/>
          <w:iCs/>
          <w:color w:val="000000" w:themeColor="text1"/>
          <w:szCs w:val="24"/>
        </w:rPr>
        <w:t>solid clearance material”</w:t>
      </w:r>
      <w:r w:rsidR="007D189A" w:rsidRPr="00AC6574">
        <w:rPr>
          <w:color w:val="000000" w:themeColor="text1"/>
          <w:szCs w:val="24"/>
        </w:rPr>
        <w:t xml:space="preserve"> by reference to “</w:t>
      </w:r>
      <w:r w:rsidR="007D189A" w:rsidRPr="00AC6574">
        <w:rPr>
          <w:i/>
          <w:iCs/>
          <w:color w:val="000000" w:themeColor="text1"/>
          <w:szCs w:val="24"/>
        </w:rPr>
        <w:t>GSR Part 3”</w:t>
      </w:r>
      <w:r w:rsidR="007D189A" w:rsidRPr="00AC6574">
        <w:rPr>
          <w:color w:val="000000" w:themeColor="text1"/>
          <w:szCs w:val="24"/>
        </w:rPr>
        <w:t xml:space="preserve">. The effect of this item </w:t>
      </w:r>
      <w:r w:rsidRPr="00AC6574">
        <w:rPr>
          <w:color w:val="000000" w:themeColor="text1"/>
          <w:szCs w:val="24"/>
        </w:rPr>
        <w:t xml:space="preserve">is </w:t>
      </w:r>
      <w:r w:rsidR="007D189A" w:rsidRPr="00AC6574">
        <w:rPr>
          <w:color w:val="000000" w:themeColor="text1"/>
          <w:szCs w:val="24"/>
        </w:rPr>
        <w:t>to allow a licence holder to dispose of or transfer “</w:t>
      </w:r>
      <w:r w:rsidR="007D189A" w:rsidRPr="00AC6574">
        <w:rPr>
          <w:i/>
          <w:iCs/>
          <w:color w:val="000000" w:themeColor="text1"/>
          <w:szCs w:val="24"/>
        </w:rPr>
        <w:t>solid clearance material”</w:t>
      </w:r>
      <w:r w:rsidR="007D189A" w:rsidRPr="00AC6574">
        <w:rPr>
          <w:color w:val="000000" w:themeColor="text1"/>
          <w:szCs w:val="24"/>
        </w:rPr>
        <w:t>, without the prior approval of the CEO of ARPANSA and without the requirement to tell the CEO of ARPANSA about those disposals or transfers.</w:t>
      </w:r>
    </w:p>
    <w:p w14:paraId="20352A1D" w14:textId="77777777" w:rsidR="007D189A" w:rsidRPr="00AC6574" w:rsidRDefault="007D189A" w:rsidP="007D189A">
      <w:pPr>
        <w:spacing w:before="100" w:beforeAutospacing="1" w:after="100" w:afterAutospacing="1"/>
        <w:ind w:right="91"/>
        <w:contextualSpacing/>
        <w:rPr>
          <w:color w:val="000000" w:themeColor="text1"/>
          <w:szCs w:val="24"/>
        </w:rPr>
      </w:pPr>
    </w:p>
    <w:p w14:paraId="329D4E16" w14:textId="77777777" w:rsidR="007D189A" w:rsidRPr="00AC6574" w:rsidRDefault="007D189A" w:rsidP="007D189A">
      <w:pPr>
        <w:spacing w:before="100" w:beforeAutospacing="1" w:after="100" w:afterAutospacing="1"/>
        <w:ind w:right="91"/>
        <w:contextualSpacing/>
        <w:rPr>
          <w:b/>
          <w:bCs/>
          <w:color w:val="000000" w:themeColor="text1"/>
          <w:szCs w:val="24"/>
        </w:rPr>
      </w:pPr>
      <w:bookmarkStart w:id="1" w:name="_Toc99628132"/>
      <w:r w:rsidRPr="00AC6574">
        <w:rPr>
          <w:b/>
          <w:bCs/>
          <w:color w:val="000000" w:themeColor="text1"/>
          <w:szCs w:val="24"/>
        </w:rPr>
        <w:t>Item [43] – Part 8</w:t>
      </w:r>
    </w:p>
    <w:p w14:paraId="57C97AA2" w14:textId="77777777" w:rsidR="007D189A" w:rsidRPr="00AC6574" w:rsidRDefault="007D189A" w:rsidP="007D189A">
      <w:pPr>
        <w:spacing w:before="100" w:beforeAutospacing="1" w:after="100" w:afterAutospacing="1"/>
        <w:ind w:right="91"/>
        <w:contextualSpacing/>
        <w:rPr>
          <w:color w:val="000000" w:themeColor="text1"/>
          <w:szCs w:val="24"/>
        </w:rPr>
      </w:pPr>
    </w:p>
    <w:p w14:paraId="67726E1E" w14:textId="2BEEB6A8"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amend</w:t>
      </w:r>
      <w:r w:rsidR="00542A01" w:rsidRPr="00AC6574">
        <w:rPr>
          <w:color w:val="000000" w:themeColor="text1"/>
          <w:szCs w:val="24"/>
        </w:rPr>
        <w:t>s</w:t>
      </w:r>
      <w:r w:rsidRPr="00AC6574">
        <w:rPr>
          <w:color w:val="000000" w:themeColor="text1"/>
          <w:szCs w:val="24"/>
        </w:rPr>
        <w:t xml:space="preserve"> Part 8 of the Regulations to insert a heading for </w:t>
      </w:r>
      <w:r w:rsidRPr="00AC6574">
        <w:rPr>
          <w:i/>
          <w:iCs/>
          <w:color w:val="000000" w:themeColor="text1"/>
          <w:szCs w:val="24"/>
        </w:rPr>
        <w:t xml:space="preserve">Division 4 </w:t>
      </w:r>
      <w:r w:rsidRPr="00AC6574">
        <w:rPr>
          <w:color w:val="000000" w:themeColor="text1"/>
          <w:szCs w:val="24"/>
        </w:rPr>
        <w:t xml:space="preserve">- </w:t>
      </w:r>
      <w:r w:rsidRPr="00AC6574">
        <w:rPr>
          <w:i/>
          <w:iCs/>
          <w:color w:val="000000" w:themeColor="text1"/>
          <w:szCs w:val="24"/>
        </w:rPr>
        <w:t>Australian Radiation Protection and Nuclear Safety Amendment (2022 Measures No. 1) Regulations 2022</w:t>
      </w:r>
      <w:r w:rsidRPr="00AC6574">
        <w:rPr>
          <w:color w:val="000000" w:themeColor="text1"/>
          <w:szCs w:val="24"/>
        </w:rPr>
        <w:t>.</w:t>
      </w:r>
    </w:p>
    <w:p w14:paraId="2BF769DD" w14:textId="77777777" w:rsidR="007D189A" w:rsidRPr="00AC6574" w:rsidRDefault="007D189A" w:rsidP="007D189A">
      <w:pPr>
        <w:spacing w:before="100" w:beforeAutospacing="1" w:after="100" w:afterAutospacing="1"/>
        <w:ind w:right="91"/>
        <w:contextualSpacing/>
        <w:rPr>
          <w:color w:val="000000" w:themeColor="text1"/>
          <w:szCs w:val="24"/>
        </w:rPr>
      </w:pPr>
    </w:p>
    <w:p w14:paraId="4DA50B84" w14:textId="45BE33F2"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542A01" w:rsidRPr="00AC6574">
        <w:rPr>
          <w:color w:val="000000" w:themeColor="text1"/>
          <w:szCs w:val="24"/>
        </w:rPr>
        <w:t>s</w:t>
      </w:r>
      <w:r w:rsidRPr="00AC6574">
        <w:rPr>
          <w:color w:val="000000" w:themeColor="text1"/>
          <w:szCs w:val="24"/>
        </w:rPr>
        <w:t xml:space="preserve"> section 92 following the Division 4 heading to provide a definition of the </w:t>
      </w:r>
      <w:r w:rsidRPr="00AC6574">
        <w:rPr>
          <w:i/>
          <w:iCs/>
          <w:color w:val="000000" w:themeColor="text1"/>
          <w:szCs w:val="24"/>
        </w:rPr>
        <w:t>amending instrument</w:t>
      </w:r>
      <w:r w:rsidRPr="00AC6574">
        <w:rPr>
          <w:color w:val="000000" w:themeColor="text1"/>
          <w:szCs w:val="24"/>
        </w:rPr>
        <w:t xml:space="preserve"> and the </w:t>
      </w:r>
      <w:r w:rsidRPr="00AC6574">
        <w:rPr>
          <w:i/>
          <w:iCs/>
          <w:color w:val="000000" w:themeColor="text1"/>
          <w:szCs w:val="24"/>
        </w:rPr>
        <w:t>commencement time</w:t>
      </w:r>
      <w:r w:rsidRPr="00AC6574">
        <w:rPr>
          <w:color w:val="000000" w:themeColor="text1"/>
          <w:szCs w:val="24"/>
        </w:rPr>
        <w:t xml:space="preserve"> of the </w:t>
      </w:r>
      <w:r w:rsidRPr="00AC6574">
        <w:rPr>
          <w:i/>
          <w:iCs/>
          <w:color w:val="000000" w:themeColor="text1"/>
          <w:szCs w:val="24"/>
        </w:rPr>
        <w:t>amending instrument</w:t>
      </w:r>
      <w:r w:rsidRPr="00AC6574">
        <w:rPr>
          <w:color w:val="000000" w:themeColor="text1"/>
          <w:szCs w:val="24"/>
        </w:rPr>
        <w:t xml:space="preserve">.  </w:t>
      </w:r>
    </w:p>
    <w:p w14:paraId="4FB7A4B0" w14:textId="77777777" w:rsidR="007D189A" w:rsidRPr="00AC6574" w:rsidRDefault="007D189A" w:rsidP="007D189A">
      <w:pPr>
        <w:spacing w:before="100" w:beforeAutospacing="1" w:after="100" w:afterAutospacing="1"/>
        <w:ind w:right="91"/>
        <w:contextualSpacing/>
        <w:rPr>
          <w:color w:val="000000" w:themeColor="text1"/>
          <w:szCs w:val="24"/>
        </w:rPr>
      </w:pPr>
    </w:p>
    <w:p w14:paraId="5335D6B1" w14:textId="374F482F"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lastRenderedPageBreak/>
        <w:t>This item insert</w:t>
      </w:r>
      <w:r w:rsidR="00542A01" w:rsidRPr="00AC6574">
        <w:rPr>
          <w:color w:val="000000" w:themeColor="text1"/>
          <w:szCs w:val="24"/>
        </w:rPr>
        <w:t>s</w:t>
      </w:r>
      <w:r w:rsidRPr="00AC6574">
        <w:rPr>
          <w:color w:val="000000" w:themeColor="text1"/>
          <w:szCs w:val="24"/>
        </w:rPr>
        <w:t xml:space="preserve"> a subsection 93(1) and provide</w:t>
      </w:r>
      <w:r w:rsidR="00542A01" w:rsidRPr="00AC6574">
        <w:rPr>
          <w:color w:val="000000" w:themeColor="text1"/>
          <w:szCs w:val="24"/>
        </w:rPr>
        <w:t>s</w:t>
      </w:r>
      <w:r w:rsidRPr="00AC6574">
        <w:rPr>
          <w:color w:val="000000" w:themeColor="text1"/>
          <w:szCs w:val="24"/>
        </w:rPr>
        <w:t xml:space="preserve"> that a declaration that was in force under subsection 44(2) immediately before the commencement time has effect, after the commencement time, as if it had been made under subsection 44(2) as amended as described in items 11 to 13 above. </w:t>
      </w:r>
      <w:r w:rsidR="00542A01" w:rsidRPr="00AC6574">
        <w:rPr>
          <w:color w:val="000000" w:themeColor="text1"/>
          <w:szCs w:val="24"/>
        </w:rPr>
        <w:t>S</w:t>
      </w:r>
      <w:r w:rsidRPr="00AC6574">
        <w:rPr>
          <w:color w:val="000000" w:themeColor="text1"/>
          <w:szCs w:val="24"/>
        </w:rPr>
        <w:t>ubsection 93(1) allow</w:t>
      </w:r>
      <w:r w:rsidR="004E4F71" w:rsidRPr="00AC6574">
        <w:rPr>
          <w:color w:val="000000" w:themeColor="text1"/>
          <w:szCs w:val="24"/>
        </w:rPr>
        <w:t>s</w:t>
      </w:r>
      <w:r w:rsidRPr="00AC6574">
        <w:rPr>
          <w:color w:val="000000" w:themeColor="text1"/>
          <w:szCs w:val="24"/>
        </w:rPr>
        <w:t xml:space="preserve"> existing declarations made under the subsection 44(2) to remain in effect.</w:t>
      </w:r>
    </w:p>
    <w:p w14:paraId="537A2D93" w14:textId="77777777" w:rsidR="007D189A" w:rsidRPr="00AC6574" w:rsidRDefault="007D189A" w:rsidP="007D189A">
      <w:pPr>
        <w:spacing w:before="100" w:beforeAutospacing="1" w:after="100" w:afterAutospacing="1"/>
        <w:ind w:right="91"/>
        <w:contextualSpacing/>
        <w:rPr>
          <w:color w:val="000000" w:themeColor="text1"/>
          <w:szCs w:val="24"/>
        </w:rPr>
      </w:pPr>
    </w:p>
    <w:p w14:paraId="1133421D" w14:textId="7612DC3A"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8B00F4" w:rsidRPr="00AC6574">
        <w:rPr>
          <w:color w:val="000000" w:themeColor="text1"/>
          <w:szCs w:val="24"/>
        </w:rPr>
        <w:t>s</w:t>
      </w:r>
      <w:r w:rsidRPr="00AC6574">
        <w:rPr>
          <w:color w:val="000000" w:themeColor="text1"/>
          <w:szCs w:val="24"/>
        </w:rPr>
        <w:t xml:space="preserve"> subsection 93(2) and provide</w:t>
      </w:r>
      <w:r w:rsidR="008B00F4" w:rsidRPr="00AC6574">
        <w:rPr>
          <w:color w:val="000000" w:themeColor="text1"/>
          <w:szCs w:val="24"/>
        </w:rPr>
        <w:t>s</w:t>
      </w:r>
      <w:r w:rsidRPr="00AC6574">
        <w:rPr>
          <w:color w:val="000000" w:themeColor="text1"/>
          <w:szCs w:val="24"/>
        </w:rPr>
        <w:t xml:space="preserve"> that a declaration that was in force under subsection 44(4) immediately before the commencement time has effect, after the commencement time, as if it had been made under subsection 44(4) as amended as described in items 14 to 15 above. </w:t>
      </w:r>
      <w:r w:rsidR="00264F5C" w:rsidRPr="00AC6574">
        <w:rPr>
          <w:color w:val="000000" w:themeColor="text1"/>
          <w:szCs w:val="24"/>
        </w:rPr>
        <w:t>S</w:t>
      </w:r>
      <w:r w:rsidRPr="00AC6574">
        <w:rPr>
          <w:color w:val="000000" w:themeColor="text1"/>
          <w:szCs w:val="24"/>
        </w:rPr>
        <w:t>ubsection 93(2) allow</w:t>
      </w:r>
      <w:r w:rsidR="008B00F4" w:rsidRPr="00AC6574">
        <w:rPr>
          <w:color w:val="000000" w:themeColor="text1"/>
          <w:szCs w:val="24"/>
        </w:rPr>
        <w:t>s</w:t>
      </w:r>
      <w:r w:rsidRPr="00AC6574">
        <w:rPr>
          <w:color w:val="000000" w:themeColor="text1"/>
          <w:szCs w:val="24"/>
        </w:rPr>
        <w:t xml:space="preserve"> existing declarations made under the subsection 44(4) to remain in effect.</w:t>
      </w:r>
    </w:p>
    <w:p w14:paraId="767C009D" w14:textId="77777777" w:rsidR="007D189A" w:rsidRPr="00AC6574" w:rsidRDefault="007D189A" w:rsidP="007D189A">
      <w:pPr>
        <w:spacing w:before="100" w:beforeAutospacing="1" w:after="100" w:afterAutospacing="1"/>
        <w:ind w:right="91"/>
        <w:contextualSpacing/>
        <w:rPr>
          <w:color w:val="000000" w:themeColor="text1"/>
          <w:szCs w:val="24"/>
        </w:rPr>
      </w:pPr>
    </w:p>
    <w:p w14:paraId="0E307C14" w14:textId="4DB22CD3"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F25915" w:rsidRPr="00AC6574">
        <w:rPr>
          <w:color w:val="000000" w:themeColor="text1"/>
          <w:szCs w:val="24"/>
        </w:rPr>
        <w:t>s</w:t>
      </w:r>
      <w:r w:rsidRPr="00AC6574">
        <w:rPr>
          <w:color w:val="000000" w:themeColor="text1"/>
          <w:szCs w:val="24"/>
        </w:rPr>
        <w:t xml:space="preserve"> subsection 94(1) and make</w:t>
      </w:r>
      <w:r w:rsidR="003D25C0" w:rsidRPr="00AC6574">
        <w:rPr>
          <w:color w:val="000000" w:themeColor="text1"/>
          <w:szCs w:val="24"/>
        </w:rPr>
        <w:t>s</w:t>
      </w:r>
      <w:r w:rsidRPr="00AC6574">
        <w:rPr>
          <w:color w:val="000000" w:themeColor="text1"/>
          <w:szCs w:val="24"/>
        </w:rPr>
        <w:t xml:space="preserve"> those amendments of section 49 made by the amending instrument, as referred to in items 16 to 20 above, apply in relation to applications made after the commencement time. This allow</w:t>
      </w:r>
      <w:r w:rsidR="00717649" w:rsidRPr="00AC6574">
        <w:rPr>
          <w:color w:val="000000" w:themeColor="text1"/>
          <w:szCs w:val="24"/>
        </w:rPr>
        <w:t>s</w:t>
      </w:r>
      <w:r w:rsidRPr="00AC6574">
        <w:rPr>
          <w:color w:val="000000" w:themeColor="text1"/>
          <w:szCs w:val="24"/>
        </w:rPr>
        <w:t xml:space="preserve"> the recovery of ARPANSA’s actual costs of processing licence applications.</w:t>
      </w:r>
    </w:p>
    <w:p w14:paraId="7514B440" w14:textId="77777777" w:rsidR="007D189A" w:rsidRPr="00AC6574" w:rsidRDefault="007D189A" w:rsidP="007D189A">
      <w:pPr>
        <w:spacing w:before="100" w:beforeAutospacing="1" w:after="100" w:afterAutospacing="1"/>
        <w:ind w:right="91"/>
        <w:contextualSpacing/>
        <w:rPr>
          <w:color w:val="000000" w:themeColor="text1"/>
          <w:szCs w:val="24"/>
        </w:rPr>
      </w:pPr>
    </w:p>
    <w:p w14:paraId="3653E2CD" w14:textId="3C648793"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subsection 94(2) and make</w:t>
      </w:r>
      <w:r w:rsidR="00717649" w:rsidRPr="00AC6574">
        <w:rPr>
          <w:color w:val="000000" w:themeColor="text1"/>
          <w:szCs w:val="24"/>
        </w:rPr>
        <w:t>s</w:t>
      </w:r>
      <w:r w:rsidRPr="00AC6574">
        <w:rPr>
          <w:color w:val="000000" w:themeColor="text1"/>
          <w:szCs w:val="24"/>
        </w:rPr>
        <w:t xml:space="preserve"> those amendments of section 50 made by the amending instrument, as referred to in item 21 above, apply in relation to applications made after the commencement time. This allow</w:t>
      </w:r>
      <w:r w:rsidR="00717649" w:rsidRPr="00AC6574">
        <w:rPr>
          <w:color w:val="000000" w:themeColor="text1"/>
          <w:szCs w:val="24"/>
        </w:rPr>
        <w:t>s</w:t>
      </w:r>
      <w:r w:rsidRPr="00AC6574">
        <w:rPr>
          <w:color w:val="000000" w:themeColor="text1"/>
          <w:szCs w:val="24"/>
        </w:rPr>
        <w:t xml:space="preserve"> the recovery of ARPANSA’s actual costs of processing licence applications.</w:t>
      </w:r>
    </w:p>
    <w:p w14:paraId="4B30AD83" w14:textId="77777777" w:rsidR="007D189A" w:rsidRPr="00AC6574" w:rsidRDefault="007D189A" w:rsidP="007D189A">
      <w:pPr>
        <w:spacing w:before="100" w:beforeAutospacing="1" w:after="100" w:afterAutospacing="1"/>
        <w:ind w:right="91"/>
        <w:contextualSpacing/>
        <w:rPr>
          <w:color w:val="000000" w:themeColor="text1"/>
          <w:szCs w:val="24"/>
        </w:rPr>
      </w:pPr>
    </w:p>
    <w:p w14:paraId="257D48AB" w14:textId="16D44850"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subsection 94(3) and provide</w:t>
      </w:r>
      <w:r w:rsidR="00717649" w:rsidRPr="00AC6574">
        <w:rPr>
          <w:color w:val="000000" w:themeColor="text1"/>
          <w:szCs w:val="24"/>
        </w:rPr>
        <w:t>s</w:t>
      </w:r>
      <w:r w:rsidRPr="00AC6574">
        <w:rPr>
          <w:color w:val="000000" w:themeColor="text1"/>
          <w:szCs w:val="24"/>
        </w:rPr>
        <w:t xml:space="preserve"> that despite the amendments of section 50 by the amending instrument, as referred to in item 21 above, the existing section 50 continues to apply, in relation to applications made before the commencement time, as if those amendments had not been made; and the fee for each hour, or part of an hour, spent after the commencement time in assessing the application were $171.</w:t>
      </w:r>
    </w:p>
    <w:p w14:paraId="525985F0" w14:textId="77777777" w:rsidR="007D189A" w:rsidRPr="00AC6574" w:rsidRDefault="007D189A" w:rsidP="007D189A">
      <w:pPr>
        <w:spacing w:before="100" w:beforeAutospacing="1" w:after="100" w:afterAutospacing="1"/>
        <w:ind w:right="91"/>
        <w:contextualSpacing/>
        <w:rPr>
          <w:color w:val="000000" w:themeColor="text1"/>
          <w:szCs w:val="24"/>
        </w:rPr>
      </w:pPr>
    </w:p>
    <w:p w14:paraId="4F741C68" w14:textId="30F8B42B"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section 95 and provide</w:t>
      </w:r>
      <w:r w:rsidR="00C402F2" w:rsidRPr="00AC6574">
        <w:rPr>
          <w:color w:val="000000" w:themeColor="text1"/>
          <w:szCs w:val="24"/>
        </w:rPr>
        <w:t>s</w:t>
      </w:r>
      <w:r w:rsidRPr="00AC6574">
        <w:rPr>
          <w:color w:val="000000" w:themeColor="text1"/>
          <w:szCs w:val="24"/>
        </w:rPr>
        <w:t xml:space="preserve"> that the </w:t>
      </w:r>
      <w:bookmarkEnd w:id="1"/>
      <w:r w:rsidRPr="00AC6574">
        <w:rPr>
          <w:color w:val="000000" w:themeColor="text1"/>
          <w:szCs w:val="24"/>
        </w:rPr>
        <w:t>amendments of sections 53 and 54 made by the amending instrument, as referred to in items 22 to 23 above, apply in relation to applications for licences made after the commencement time.</w:t>
      </w:r>
    </w:p>
    <w:p w14:paraId="3472A1EA" w14:textId="77777777" w:rsidR="007D189A" w:rsidRPr="00AC6574" w:rsidRDefault="007D189A" w:rsidP="007D189A">
      <w:pPr>
        <w:spacing w:before="100" w:beforeAutospacing="1" w:after="100" w:afterAutospacing="1"/>
        <w:ind w:right="91"/>
        <w:contextualSpacing/>
        <w:rPr>
          <w:color w:val="000000" w:themeColor="text1"/>
          <w:szCs w:val="24"/>
        </w:rPr>
      </w:pPr>
    </w:p>
    <w:p w14:paraId="2CBA6992" w14:textId="4F3656BD"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subsection 96(1) and provide</w:t>
      </w:r>
      <w:r w:rsidR="00C402F2" w:rsidRPr="00AC6574">
        <w:rPr>
          <w:color w:val="000000" w:themeColor="text1"/>
          <w:szCs w:val="24"/>
        </w:rPr>
        <w:t>s</w:t>
      </w:r>
      <w:r w:rsidRPr="00AC6574">
        <w:rPr>
          <w:color w:val="000000" w:themeColor="text1"/>
          <w:szCs w:val="24"/>
        </w:rPr>
        <w:t xml:space="preserve"> that section 57A as inserted by the amending instrument, as referred to in item 24 above, applies in relation to licences issued before, at or after the commencement time.</w:t>
      </w:r>
    </w:p>
    <w:p w14:paraId="0670DE89" w14:textId="77777777" w:rsidR="007D189A" w:rsidRPr="00AC6574" w:rsidRDefault="007D189A" w:rsidP="007D189A">
      <w:pPr>
        <w:spacing w:before="100" w:beforeAutospacing="1" w:after="100" w:afterAutospacing="1"/>
        <w:ind w:right="91"/>
        <w:contextualSpacing/>
        <w:rPr>
          <w:color w:val="000000" w:themeColor="text1"/>
          <w:szCs w:val="24"/>
        </w:rPr>
      </w:pPr>
    </w:p>
    <w:p w14:paraId="3315CEBD" w14:textId="5A4CD8F4"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subsection 96(2) and provide</w:t>
      </w:r>
      <w:r w:rsidR="00C402F2" w:rsidRPr="00AC6574">
        <w:rPr>
          <w:color w:val="000000" w:themeColor="text1"/>
          <w:szCs w:val="24"/>
        </w:rPr>
        <w:t>s</w:t>
      </w:r>
      <w:r w:rsidRPr="00AC6574">
        <w:rPr>
          <w:color w:val="000000" w:themeColor="text1"/>
          <w:szCs w:val="24"/>
        </w:rPr>
        <w:t xml:space="preserve"> that those amendments of section 58 made by the amending instrument, as referred to in items 25 to 37 above, apply in relation to licences issued before, at or after the commencement time; and incidents and notifiable incidents that happen after the commencement time. </w:t>
      </w:r>
    </w:p>
    <w:p w14:paraId="66A8FF80" w14:textId="77777777" w:rsidR="007D189A" w:rsidRPr="00AC6574" w:rsidRDefault="007D189A" w:rsidP="007D189A">
      <w:pPr>
        <w:spacing w:before="100" w:beforeAutospacing="1" w:after="100" w:afterAutospacing="1"/>
        <w:ind w:right="91"/>
        <w:contextualSpacing/>
        <w:rPr>
          <w:color w:val="000000" w:themeColor="text1"/>
          <w:szCs w:val="24"/>
        </w:rPr>
      </w:pPr>
    </w:p>
    <w:p w14:paraId="7C5EBF57" w14:textId="02F17410"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717649" w:rsidRPr="00AC6574">
        <w:rPr>
          <w:color w:val="000000" w:themeColor="text1"/>
          <w:szCs w:val="24"/>
        </w:rPr>
        <w:t>s</w:t>
      </w:r>
      <w:r w:rsidRPr="00AC6574">
        <w:rPr>
          <w:color w:val="000000" w:themeColor="text1"/>
          <w:szCs w:val="24"/>
        </w:rPr>
        <w:t xml:space="preserve"> subsection 96(3) and provide</w:t>
      </w:r>
      <w:r w:rsidR="00C402F2" w:rsidRPr="00AC6574">
        <w:rPr>
          <w:color w:val="000000" w:themeColor="text1"/>
          <w:szCs w:val="24"/>
        </w:rPr>
        <w:t>s</w:t>
      </w:r>
      <w:r w:rsidRPr="00AC6574">
        <w:rPr>
          <w:color w:val="000000" w:themeColor="text1"/>
          <w:szCs w:val="24"/>
        </w:rPr>
        <w:t xml:space="preserve"> that Paragraphs 60(1)(aa) and (d) and (2)(aa), as inserted by the amending instrument, as referred to in items 38 to 40 above, apply in relation to licences granted after the commencement time.</w:t>
      </w:r>
    </w:p>
    <w:p w14:paraId="59DF77BF" w14:textId="77777777" w:rsidR="007D189A" w:rsidRPr="00AC6574" w:rsidRDefault="007D189A" w:rsidP="007D189A">
      <w:pPr>
        <w:spacing w:before="100" w:beforeAutospacing="1" w:after="100" w:afterAutospacing="1"/>
        <w:ind w:right="91"/>
        <w:contextualSpacing/>
        <w:rPr>
          <w:color w:val="000000" w:themeColor="text1"/>
          <w:szCs w:val="24"/>
        </w:rPr>
      </w:pPr>
    </w:p>
    <w:p w14:paraId="6D01C010" w14:textId="6F55F23B" w:rsidR="007D189A" w:rsidRPr="00AC6574" w:rsidRDefault="007D189A" w:rsidP="007D189A">
      <w:pPr>
        <w:spacing w:before="100" w:beforeAutospacing="1" w:after="100" w:afterAutospacing="1"/>
        <w:ind w:right="91"/>
        <w:contextualSpacing/>
        <w:rPr>
          <w:color w:val="000000" w:themeColor="text1"/>
          <w:szCs w:val="24"/>
        </w:rPr>
      </w:pPr>
      <w:r w:rsidRPr="00AC6574">
        <w:rPr>
          <w:color w:val="000000" w:themeColor="text1"/>
          <w:szCs w:val="24"/>
        </w:rPr>
        <w:t>This item insert</w:t>
      </w:r>
      <w:r w:rsidR="00B667A1" w:rsidRPr="00AC6574">
        <w:rPr>
          <w:color w:val="000000" w:themeColor="text1"/>
          <w:szCs w:val="24"/>
        </w:rPr>
        <w:t>s</w:t>
      </w:r>
      <w:r w:rsidRPr="00AC6574">
        <w:rPr>
          <w:color w:val="000000" w:themeColor="text1"/>
          <w:szCs w:val="24"/>
        </w:rPr>
        <w:t xml:space="preserve"> subsection 96(4) and provide</w:t>
      </w:r>
      <w:r w:rsidR="00B667A1" w:rsidRPr="00AC6574">
        <w:rPr>
          <w:color w:val="000000" w:themeColor="text1"/>
          <w:szCs w:val="24"/>
        </w:rPr>
        <w:t>s</w:t>
      </w:r>
      <w:r w:rsidRPr="00AC6574">
        <w:rPr>
          <w:color w:val="000000" w:themeColor="text1"/>
          <w:szCs w:val="24"/>
        </w:rPr>
        <w:t xml:space="preserve"> that in relation to licences granted before the commencement time, Paragraphs 60(1)(aa) and (d) and (2)(aa), as inserted by the amending instrument, as referred to in items 38 to 40 above, apply from the first time after the commencement time that the holder of the licence is required </w:t>
      </w:r>
      <w:r w:rsidRPr="00AC6574">
        <w:rPr>
          <w:color w:val="000000" w:themeColor="text1"/>
          <w:szCs w:val="24"/>
        </w:rPr>
        <w:lastRenderedPageBreak/>
        <w:t>under section 61 to review and update the plans and arrangements, and safety analysis reports, mentioned in section 60 in relation to the licence.</w:t>
      </w:r>
    </w:p>
    <w:p w14:paraId="7732124E" w14:textId="77777777" w:rsidR="007D189A" w:rsidRPr="00AC6574" w:rsidRDefault="007D189A" w:rsidP="007D189A">
      <w:pPr>
        <w:spacing w:before="100" w:beforeAutospacing="1" w:after="100" w:afterAutospacing="1"/>
        <w:ind w:right="91"/>
        <w:contextualSpacing/>
        <w:rPr>
          <w:color w:val="000000" w:themeColor="text1"/>
          <w:szCs w:val="24"/>
        </w:rPr>
      </w:pPr>
    </w:p>
    <w:p w14:paraId="56F53B23" w14:textId="635A378C" w:rsidR="007D189A" w:rsidRPr="00AC6574" w:rsidRDefault="007D189A" w:rsidP="007D189A">
      <w:pPr>
        <w:spacing w:before="100" w:beforeAutospacing="1" w:after="100" w:afterAutospacing="1"/>
        <w:ind w:right="-24"/>
        <w:contextualSpacing/>
        <w:rPr>
          <w:color w:val="000000" w:themeColor="text1"/>
          <w:szCs w:val="24"/>
        </w:rPr>
      </w:pPr>
      <w:r w:rsidRPr="00AC6574">
        <w:rPr>
          <w:color w:val="000000" w:themeColor="text1"/>
          <w:szCs w:val="24"/>
        </w:rPr>
        <w:t>This item insert</w:t>
      </w:r>
      <w:r w:rsidR="00B667A1" w:rsidRPr="00AC6574">
        <w:rPr>
          <w:color w:val="000000" w:themeColor="text1"/>
          <w:szCs w:val="24"/>
        </w:rPr>
        <w:t>s</w:t>
      </w:r>
      <w:r w:rsidRPr="00AC6574">
        <w:rPr>
          <w:color w:val="000000" w:themeColor="text1"/>
          <w:szCs w:val="24"/>
        </w:rPr>
        <w:t xml:space="preserve"> subsection 96(5) and provide</w:t>
      </w:r>
      <w:r w:rsidR="00B667A1" w:rsidRPr="00AC6574">
        <w:rPr>
          <w:color w:val="000000" w:themeColor="text1"/>
          <w:szCs w:val="24"/>
        </w:rPr>
        <w:t>s</w:t>
      </w:r>
      <w:r w:rsidRPr="00AC6574">
        <w:rPr>
          <w:color w:val="000000" w:themeColor="text1"/>
          <w:szCs w:val="24"/>
        </w:rPr>
        <w:t xml:space="preserve"> that the amendments of section 65 made by the amending instrument, as referred to in item 42 above, apply in relation to licences issued before, at or after the commencement time.</w:t>
      </w:r>
    </w:p>
    <w:p w14:paraId="3B763BD5" w14:textId="23D8A882" w:rsidR="00F836D7" w:rsidRPr="00AC6574" w:rsidRDefault="00F836D7" w:rsidP="00F836D7">
      <w:pPr>
        <w:rPr>
          <w:color w:val="000000" w:themeColor="text1"/>
          <w:szCs w:val="24"/>
        </w:rPr>
      </w:pPr>
    </w:p>
    <w:p w14:paraId="49C55B44" w14:textId="626353FD" w:rsidR="00DD5ACE" w:rsidRPr="00AC6574" w:rsidRDefault="00DD5ACE" w:rsidP="00DD5ACE">
      <w:pPr>
        <w:rPr>
          <w:color w:val="000000" w:themeColor="text1"/>
        </w:rPr>
      </w:pPr>
    </w:p>
    <w:p w14:paraId="24C384B1" w14:textId="77777777" w:rsidR="00DD5ACE" w:rsidRPr="00AC6574" w:rsidRDefault="00DD5ACE">
      <w:pPr>
        <w:spacing w:before="0"/>
        <w:rPr>
          <w:b/>
          <w:color w:val="000000" w:themeColor="text1"/>
        </w:rPr>
      </w:pPr>
      <w:r w:rsidRPr="00AC6574">
        <w:rPr>
          <w:b/>
          <w:color w:val="000000" w:themeColor="text1"/>
        </w:rPr>
        <w:br w:type="page"/>
      </w:r>
    </w:p>
    <w:p w14:paraId="66C56276" w14:textId="675AE301" w:rsidR="00DD5ACE" w:rsidRPr="00AC6574" w:rsidRDefault="00DD5ACE" w:rsidP="00DD5ACE">
      <w:pPr>
        <w:spacing w:before="0"/>
        <w:jc w:val="center"/>
        <w:rPr>
          <w:b/>
          <w:color w:val="000000" w:themeColor="text1"/>
        </w:rPr>
      </w:pPr>
      <w:r w:rsidRPr="00AC6574">
        <w:rPr>
          <w:b/>
          <w:color w:val="000000" w:themeColor="text1"/>
        </w:rPr>
        <w:lastRenderedPageBreak/>
        <w:t>Statement of Compliance with Human Rights</w:t>
      </w:r>
    </w:p>
    <w:p w14:paraId="3D5F3C42" w14:textId="77777777" w:rsidR="00DD5ACE" w:rsidRPr="00AC6574" w:rsidRDefault="00DD5ACE" w:rsidP="00DD5ACE">
      <w:pPr>
        <w:spacing w:before="0"/>
        <w:jc w:val="center"/>
        <w:rPr>
          <w:i/>
          <w:color w:val="000000" w:themeColor="text1"/>
        </w:rPr>
      </w:pPr>
      <w:r w:rsidRPr="00AC6574">
        <w:rPr>
          <w:i/>
          <w:color w:val="000000" w:themeColor="text1"/>
        </w:rPr>
        <w:t>Prepared in accordance with Part 3 of the Human Rights (Parliamentary Scrutiny) Act 2011</w:t>
      </w:r>
    </w:p>
    <w:p w14:paraId="09977F54" w14:textId="77777777" w:rsidR="00DD5ACE" w:rsidRPr="00AC6574" w:rsidRDefault="00DD5ACE" w:rsidP="00DD5ACE">
      <w:pPr>
        <w:spacing w:before="0"/>
        <w:jc w:val="center"/>
        <w:rPr>
          <w:color w:val="000000" w:themeColor="text1"/>
        </w:rPr>
      </w:pPr>
    </w:p>
    <w:p w14:paraId="13FC7AB5" w14:textId="33D6122F" w:rsidR="00DD5ACE" w:rsidRPr="00AC6574" w:rsidRDefault="00DD5ACE" w:rsidP="00DD5ACE">
      <w:pPr>
        <w:spacing w:before="0"/>
        <w:jc w:val="center"/>
        <w:rPr>
          <w:b/>
          <w:iCs/>
          <w:color w:val="000000" w:themeColor="text1"/>
        </w:rPr>
      </w:pPr>
      <w:r w:rsidRPr="00AC6574">
        <w:rPr>
          <w:b/>
          <w:color w:val="000000" w:themeColor="text1"/>
        </w:rPr>
        <w:t>Australian Radiation Protection and Nuclear Safety Amendment (</w:t>
      </w:r>
      <w:r w:rsidR="007F551B" w:rsidRPr="00AC6574">
        <w:rPr>
          <w:b/>
          <w:color w:val="000000" w:themeColor="text1"/>
        </w:rPr>
        <w:t>202</w:t>
      </w:r>
      <w:r w:rsidR="009A7814" w:rsidRPr="00AC6574">
        <w:rPr>
          <w:b/>
          <w:color w:val="000000" w:themeColor="text1"/>
        </w:rPr>
        <w:t>2</w:t>
      </w:r>
      <w:r w:rsidR="007F551B" w:rsidRPr="00AC6574">
        <w:rPr>
          <w:b/>
          <w:color w:val="000000" w:themeColor="text1"/>
        </w:rPr>
        <w:t xml:space="preserve"> Measures No. 1</w:t>
      </w:r>
      <w:r w:rsidRPr="00AC6574">
        <w:rPr>
          <w:b/>
          <w:color w:val="000000" w:themeColor="text1"/>
        </w:rPr>
        <w:t xml:space="preserve">) </w:t>
      </w:r>
      <w:r w:rsidR="00D74F5F" w:rsidRPr="00AC6574">
        <w:rPr>
          <w:b/>
          <w:iCs/>
          <w:color w:val="000000" w:themeColor="text1"/>
        </w:rPr>
        <w:t>Regulations 202</w:t>
      </w:r>
      <w:r w:rsidR="009A7814" w:rsidRPr="00AC6574">
        <w:rPr>
          <w:b/>
          <w:iCs/>
          <w:color w:val="000000" w:themeColor="text1"/>
        </w:rPr>
        <w:t>2</w:t>
      </w:r>
    </w:p>
    <w:p w14:paraId="57FC2647" w14:textId="77777777" w:rsidR="00DD5ACE" w:rsidRPr="00AC6574" w:rsidRDefault="00DD5ACE" w:rsidP="00DD5ACE">
      <w:pPr>
        <w:spacing w:before="0"/>
        <w:jc w:val="center"/>
        <w:rPr>
          <w:b/>
          <w:color w:val="000000" w:themeColor="text1"/>
        </w:rPr>
      </w:pPr>
    </w:p>
    <w:p w14:paraId="7F55584B" w14:textId="77777777" w:rsidR="00DD5ACE" w:rsidRPr="00AC6574" w:rsidRDefault="00DD5ACE" w:rsidP="00DD5ACE">
      <w:pPr>
        <w:spacing w:before="0"/>
        <w:jc w:val="center"/>
        <w:rPr>
          <w:b/>
          <w:color w:val="000000" w:themeColor="text1"/>
        </w:rPr>
      </w:pPr>
    </w:p>
    <w:p w14:paraId="082921AC" w14:textId="77777777" w:rsidR="00DD5ACE" w:rsidRPr="00AC6574" w:rsidRDefault="00DD5ACE" w:rsidP="00DD5ACE">
      <w:pPr>
        <w:spacing w:before="0"/>
        <w:rPr>
          <w:color w:val="000000" w:themeColor="text1"/>
        </w:rPr>
      </w:pPr>
      <w:r w:rsidRPr="00AC6574">
        <w:rPr>
          <w:color w:val="000000" w:themeColor="text1"/>
        </w:rPr>
        <w:t xml:space="preserve">This legislative instrument is compatible with the human rights and freedoms recognised or declared in the international instruments listed in section 3 of the </w:t>
      </w:r>
      <w:r w:rsidRPr="00AC6574">
        <w:rPr>
          <w:i/>
          <w:color w:val="000000" w:themeColor="text1"/>
        </w:rPr>
        <w:t>Human Rights (Parliamentary Scrutiny) Act 2011</w:t>
      </w:r>
      <w:r w:rsidRPr="00AC6574">
        <w:rPr>
          <w:color w:val="000000" w:themeColor="text1"/>
        </w:rPr>
        <w:t>.</w:t>
      </w:r>
    </w:p>
    <w:p w14:paraId="2CFD70AB" w14:textId="77777777" w:rsidR="00DD5ACE" w:rsidRPr="00AC6574" w:rsidRDefault="00DD5ACE" w:rsidP="00DD5ACE">
      <w:pPr>
        <w:spacing w:before="0"/>
        <w:jc w:val="center"/>
        <w:rPr>
          <w:color w:val="000000" w:themeColor="text1"/>
        </w:rPr>
      </w:pPr>
    </w:p>
    <w:p w14:paraId="11D817E8" w14:textId="77777777" w:rsidR="00DD5ACE" w:rsidRPr="00AC6574" w:rsidRDefault="00DD5ACE" w:rsidP="00DD5ACE">
      <w:pPr>
        <w:spacing w:before="0"/>
        <w:jc w:val="both"/>
        <w:rPr>
          <w:b/>
          <w:color w:val="000000" w:themeColor="text1"/>
        </w:rPr>
      </w:pPr>
      <w:r w:rsidRPr="00AC6574">
        <w:rPr>
          <w:b/>
          <w:color w:val="000000" w:themeColor="text1"/>
        </w:rPr>
        <w:t>Overview of the legislative instrument</w:t>
      </w:r>
    </w:p>
    <w:p w14:paraId="2A19D335" w14:textId="77777777" w:rsidR="00DD5ACE" w:rsidRPr="00AC6574" w:rsidRDefault="00DD5ACE" w:rsidP="00DD5ACE">
      <w:pPr>
        <w:spacing w:before="0"/>
        <w:jc w:val="both"/>
        <w:rPr>
          <w:color w:val="000000" w:themeColor="text1"/>
        </w:rPr>
      </w:pPr>
    </w:p>
    <w:p w14:paraId="3BC86D5F" w14:textId="1099CDFA" w:rsidR="00DD5ACE" w:rsidRPr="00AC6574" w:rsidRDefault="00DD5ACE" w:rsidP="00DD5ACE">
      <w:pPr>
        <w:spacing w:before="0"/>
        <w:ind w:right="-24"/>
        <w:rPr>
          <w:color w:val="000000" w:themeColor="text1"/>
        </w:rPr>
      </w:pPr>
      <w:r w:rsidRPr="00AC6574">
        <w:rPr>
          <w:color w:val="000000" w:themeColor="text1"/>
        </w:rPr>
        <w:t xml:space="preserve">The legislative instrument amends the Australian Radiation Protection and Nuclear Safety Regulations 2018 to </w:t>
      </w:r>
      <w:r w:rsidR="00DF09C0" w:rsidRPr="00AC6574">
        <w:rPr>
          <w:color w:val="000000" w:themeColor="text1"/>
        </w:rPr>
        <w:t>give effect to an annual increase in fees for licence applications to recover the actual costs of processing licence applications and make other minor machinery amendments.</w:t>
      </w:r>
    </w:p>
    <w:p w14:paraId="1318BC8B" w14:textId="77777777" w:rsidR="00DD5ACE" w:rsidRPr="00AC6574" w:rsidRDefault="00DD5ACE" w:rsidP="00DD5ACE">
      <w:pPr>
        <w:spacing w:before="0"/>
        <w:rPr>
          <w:color w:val="000000" w:themeColor="text1"/>
        </w:rPr>
      </w:pPr>
    </w:p>
    <w:p w14:paraId="3705CA9B" w14:textId="77777777" w:rsidR="00DD5ACE" w:rsidRPr="00AC6574" w:rsidRDefault="00DD5ACE" w:rsidP="00DD5ACE">
      <w:pPr>
        <w:spacing w:before="0"/>
        <w:rPr>
          <w:b/>
          <w:color w:val="000000" w:themeColor="text1"/>
        </w:rPr>
      </w:pPr>
      <w:r w:rsidRPr="00AC6574">
        <w:rPr>
          <w:b/>
          <w:color w:val="000000" w:themeColor="text1"/>
        </w:rPr>
        <w:t>Human Rights Implications</w:t>
      </w:r>
    </w:p>
    <w:p w14:paraId="743A794B" w14:textId="77777777" w:rsidR="00DD5ACE" w:rsidRPr="00AC6574" w:rsidRDefault="00DD5ACE" w:rsidP="00DD5ACE">
      <w:pPr>
        <w:spacing w:before="0"/>
        <w:rPr>
          <w:b/>
          <w:color w:val="000000" w:themeColor="text1"/>
        </w:rPr>
      </w:pPr>
    </w:p>
    <w:p w14:paraId="024C1C0D" w14:textId="77777777" w:rsidR="00DD5ACE" w:rsidRPr="00AC6574" w:rsidRDefault="00DD5ACE" w:rsidP="00DD5ACE">
      <w:pPr>
        <w:spacing w:before="0"/>
        <w:rPr>
          <w:color w:val="000000" w:themeColor="text1"/>
        </w:rPr>
      </w:pPr>
      <w:r w:rsidRPr="00AC6574">
        <w:rPr>
          <w:color w:val="000000" w:themeColor="text1"/>
        </w:rPr>
        <w:t>The amendments are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14:paraId="3CDCBE1E" w14:textId="77777777" w:rsidR="00DD5ACE" w:rsidRPr="00AC6574" w:rsidRDefault="00DD5ACE" w:rsidP="00DD5ACE">
      <w:pPr>
        <w:spacing w:before="0"/>
        <w:rPr>
          <w:b/>
          <w:color w:val="000000" w:themeColor="text1"/>
        </w:rPr>
      </w:pPr>
    </w:p>
    <w:p w14:paraId="7B7662DC" w14:textId="26751B60" w:rsidR="00DD5ACE" w:rsidRPr="00AC6574" w:rsidRDefault="00DD5ACE" w:rsidP="00DD5ACE">
      <w:pPr>
        <w:spacing w:before="0"/>
        <w:rPr>
          <w:color w:val="000000" w:themeColor="text1"/>
        </w:rPr>
      </w:pPr>
      <w:r w:rsidRPr="00AC6574">
        <w:rPr>
          <w:color w:val="000000" w:themeColor="text1"/>
        </w:rPr>
        <w:t xml:space="preserve">The amendments </w:t>
      </w:r>
      <w:r w:rsidR="00073B16" w:rsidRPr="00AC6574">
        <w:rPr>
          <w:color w:val="000000" w:themeColor="text1"/>
        </w:rPr>
        <w:t>give effect to an annual increase in fee</w:t>
      </w:r>
      <w:r w:rsidR="00AD3B8D" w:rsidRPr="00AC6574">
        <w:rPr>
          <w:color w:val="000000" w:themeColor="text1"/>
        </w:rPr>
        <w:t xml:space="preserve"> </w:t>
      </w:r>
      <w:r w:rsidRPr="00AC6574">
        <w:rPr>
          <w:color w:val="000000" w:themeColor="text1"/>
        </w:rPr>
        <w:t xml:space="preserve">payable by Commonwealth entities to the Australian Radiation Protection and Nuclear Safety Agency for </w:t>
      </w:r>
      <w:r w:rsidR="007F551B" w:rsidRPr="00AC6574">
        <w:rPr>
          <w:color w:val="000000" w:themeColor="text1"/>
        </w:rPr>
        <w:t xml:space="preserve">applications seeking licences </w:t>
      </w:r>
      <w:r w:rsidRPr="00AC6574">
        <w:rPr>
          <w:color w:val="000000" w:themeColor="text1"/>
        </w:rPr>
        <w:t>to deal with radiation equipment or radioactive sources or to engage in activities in relation to radiation facilities and nuclear installations.</w:t>
      </w:r>
    </w:p>
    <w:p w14:paraId="07BB7A3A" w14:textId="77777777" w:rsidR="00DD5ACE" w:rsidRPr="00AC6574" w:rsidRDefault="00DD5ACE" w:rsidP="00DD5ACE">
      <w:pPr>
        <w:spacing w:before="0"/>
        <w:rPr>
          <w:color w:val="000000" w:themeColor="text1"/>
        </w:rPr>
      </w:pPr>
    </w:p>
    <w:p w14:paraId="3E4CB08D" w14:textId="77777777" w:rsidR="00DD5ACE" w:rsidRPr="00AC6574" w:rsidRDefault="00DD5ACE" w:rsidP="00DD5ACE">
      <w:pPr>
        <w:spacing w:before="0"/>
        <w:rPr>
          <w:b/>
          <w:color w:val="000000" w:themeColor="text1"/>
        </w:rPr>
      </w:pPr>
      <w:r w:rsidRPr="00AC6574">
        <w:rPr>
          <w:b/>
          <w:color w:val="000000" w:themeColor="text1"/>
        </w:rPr>
        <w:t>Conclusion</w:t>
      </w:r>
    </w:p>
    <w:p w14:paraId="1F1DF4E1" w14:textId="77777777" w:rsidR="00DD5ACE" w:rsidRPr="00AC6574" w:rsidRDefault="00DD5ACE" w:rsidP="00DD5ACE">
      <w:pPr>
        <w:spacing w:before="0"/>
        <w:rPr>
          <w:color w:val="000000" w:themeColor="text1"/>
        </w:rPr>
      </w:pPr>
    </w:p>
    <w:p w14:paraId="5B48258B" w14:textId="5BD605BA" w:rsidR="00DD5ACE" w:rsidRPr="00AC6574" w:rsidRDefault="00DD5ACE" w:rsidP="00DD5ACE">
      <w:pPr>
        <w:spacing w:before="0"/>
        <w:rPr>
          <w:color w:val="000000" w:themeColor="text1"/>
        </w:rPr>
      </w:pPr>
      <w:r w:rsidRPr="00AC6574">
        <w:rPr>
          <w:color w:val="000000" w:themeColor="text1"/>
        </w:rPr>
        <w:t>This legislative instrument is compatible with human rights as it promotes the human right to an adequate standard of living and the highest attainable standard of physical and mental health.</w:t>
      </w:r>
    </w:p>
    <w:p w14:paraId="79D51C1C" w14:textId="77777777" w:rsidR="00DD5ACE" w:rsidRPr="00AC6574" w:rsidRDefault="00DD5ACE" w:rsidP="00DD5ACE">
      <w:pPr>
        <w:spacing w:before="0"/>
        <w:rPr>
          <w:color w:val="000000" w:themeColor="text1"/>
        </w:rPr>
      </w:pPr>
    </w:p>
    <w:p w14:paraId="5469327C" w14:textId="09A7C311" w:rsidR="003A50FD" w:rsidRPr="00AC6574" w:rsidRDefault="00DD5ACE" w:rsidP="003A50FD">
      <w:pPr>
        <w:spacing w:before="0"/>
        <w:jc w:val="center"/>
        <w:rPr>
          <w:b/>
          <w:bCs/>
          <w:color w:val="000000" w:themeColor="text1"/>
        </w:rPr>
      </w:pPr>
      <w:r w:rsidRPr="00AC6574">
        <w:rPr>
          <w:b/>
          <w:bCs/>
          <w:color w:val="000000" w:themeColor="text1"/>
        </w:rPr>
        <w:t xml:space="preserve">The Hon. </w:t>
      </w:r>
      <w:r w:rsidR="003A50FD" w:rsidRPr="00AC6574">
        <w:rPr>
          <w:b/>
          <w:bCs/>
          <w:color w:val="000000" w:themeColor="text1"/>
        </w:rPr>
        <w:t>Ged Kearney</w:t>
      </w:r>
    </w:p>
    <w:p w14:paraId="1FB8D658" w14:textId="77777777" w:rsidR="003A50FD" w:rsidRPr="00AC6574" w:rsidRDefault="003A50FD" w:rsidP="003A50FD">
      <w:pPr>
        <w:spacing w:before="0"/>
        <w:jc w:val="center"/>
        <w:rPr>
          <w:b/>
          <w:bCs/>
          <w:color w:val="000000" w:themeColor="text1"/>
        </w:rPr>
      </w:pPr>
      <w:r w:rsidRPr="00AC6574">
        <w:rPr>
          <w:b/>
          <w:bCs/>
          <w:color w:val="000000" w:themeColor="text1"/>
        </w:rPr>
        <w:t xml:space="preserve">Assistant Minister for Health and Aged Care </w:t>
      </w:r>
    </w:p>
    <w:p w14:paraId="7FA45D79" w14:textId="03F316A8" w:rsidR="00DD5ACE" w:rsidRPr="00AC6574" w:rsidRDefault="003A50FD" w:rsidP="003A50FD">
      <w:pPr>
        <w:spacing w:before="0"/>
        <w:jc w:val="center"/>
        <w:rPr>
          <w:b/>
          <w:bCs/>
          <w:color w:val="000000" w:themeColor="text1"/>
        </w:rPr>
      </w:pPr>
      <w:r w:rsidRPr="00AC6574">
        <w:rPr>
          <w:b/>
          <w:bCs/>
          <w:color w:val="000000" w:themeColor="text1"/>
        </w:rPr>
        <w:t>Parliamentary Secretary to the Minister for Health and Aged Care</w:t>
      </w:r>
      <w:r w:rsidR="00DD5ACE" w:rsidRPr="00AC6574">
        <w:rPr>
          <w:b/>
          <w:bCs/>
          <w:color w:val="000000" w:themeColor="text1"/>
        </w:rPr>
        <w:t xml:space="preserve"> </w:t>
      </w:r>
    </w:p>
    <w:p w14:paraId="1799EB34" w14:textId="77777777" w:rsidR="00DD5ACE" w:rsidRPr="00AC6574" w:rsidRDefault="00DD5ACE" w:rsidP="00DD5ACE">
      <w:pPr>
        <w:rPr>
          <w:color w:val="000000" w:themeColor="text1"/>
        </w:rPr>
      </w:pPr>
    </w:p>
    <w:sectPr w:rsidR="00DD5ACE" w:rsidRPr="00AC6574" w:rsidSect="00A46DCC">
      <w:footerReference w:type="default" r:id="rId13"/>
      <w:footerReference w:type="first" r:id="rId14"/>
      <w:pgSz w:w="11907" w:h="16840" w:code="9"/>
      <w:pgMar w:top="1134" w:right="1797" w:bottom="709"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8C22" w14:textId="77777777" w:rsidR="007E2727" w:rsidRDefault="007E2727">
      <w:r>
        <w:separator/>
      </w:r>
    </w:p>
  </w:endnote>
  <w:endnote w:type="continuationSeparator" w:id="0">
    <w:p w14:paraId="2D54F418" w14:textId="77777777" w:rsidR="007E2727" w:rsidRDefault="007E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75137"/>
      <w:docPartObj>
        <w:docPartGallery w:val="Page Numbers (Bottom of Page)"/>
        <w:docPartUnique/>
      </w:docPartObj>
    </w:sdtPr>
    <w:sdtEndPr>
      <w:rPr>
        <w:noProof/>
      </w:rPr>
    </w:sdtEndPr>
    <w:sdtContent>
      <w:p w14:paraId="481248B4" w14:textId="1C8C869F" w:rsidR="00EF502E" w:rsidRDefault="00EF502E">
        <w:pPr>
          <w:jc w:val="center"/>
        </w:pPr>
        <w:r>
          <w:fldChar w:fldCharType="begin"/>
        </w:r>
        <w:r>
          <w:instrText xml:space="preserve"> PAGE   \* MERGEFORMAT </w:instrText>
        </w:r>
        <w:r>
          <w:fldChar w:fldCharType="separate"/>
        </w:r>
        <w:r w:rsidR="00623C2B">
          <w:rPr>
            <w:noProof/>
          </w:rPr>
          <w:t>2</w:t>
        </w:r>
        <w:r>
          <w:rPr>
            <w:noProof/>
          </w:rPr>
          <w:fldChar w:fldCharType="end"/>
        </w:r>
      </w:p>
    </w:sdtContent>
  </w:sdt>
  <w:p w14:paraId="015808DC" w14:textId="77777777" w:rsidR="00EF502E" w:rsidRDefault="00EF5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563297"/>
      <w:docPartObj>
        <w:docPartGallery w:val="Page Numbers (Bottom of Page)"/>
        <w:docPartUnique/>
      </w:docPartObj>
    </w:sdtPr>
    <w:sdtEndPr>
      <w:rPr>
        <w:noProof/>
      </w:rPr>
    </w:sdtEndPr>
    <w:sdtContent>
      <w:p w14:paraId="60A2D178" w14:textId="64DC23E0" w:rsidR="00EF502E" w:rsidRDefault="007E2727" w:rsidP="006C7CFF">
        <w:pP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73383"/>
      <w:docPartObj>
        <w:docPartGallery w:val="Page Numbers (Bottom of Page)"/>
        <w:docPartUnique/>
      </w:docPartObj>
    </w:sdtPr>
    <w:sdtEndPr>
      <w:rPr>
        <w:noProof/>
      </w:rPr>
    </w:sdtEndPr>
    <w:sdtContent>
      <w:p w14:paraId="6C548A25" w14:textId="03A6533B" w:rsidR="00EF502E" w:rsidRDefault="00EF502E">
        <w:pPr>
          <w:jc w:val="center"/>
        </w:pPr>
        <w:r>
          <w:fldChar w:fldCharType="begin"/>
        </w:r>
        <w:r>
          <w:instrText xml:space="preserve"> PAGE   \* MERGEFORMAT </w:instrText>
        </w:r>
        <w:r>
          <w:fldChar w:fldCharType="separate"/>
        </w:r>
        <w:r w:rsidR="00623C2B">
          <w:rPr>
            <w:noProof/>
          </w:rPr>
          <w:t>7</w:t>
        </w:r>
        <w:r>
          <w:rPr>
            <w:noProof/>
          </w:rPr>
          <w:fldChar w:fldCharType="end"/>
        </w:r>
      </w:p>
    </w:sdtContent>
  </w:sdt>
  <w:p w14:paraId="0244937F" w14:textId="77777777" w:rsidR="00EF502E" w:rsidRDefault="00EF50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86270"/>
      <w:docPartObj>
        <w:docPartGallery w:val="Page Numbers (Bottom of Page)"/>
        <w:docPartUnique/>
      </w:docPartObj>
    </w:sdtPr>
    <w:sdtEndPr>
      <w:rPr>
        <w:noProof/>
      </w:rPr>
    </w:sdtEndPr>
    <w:sdtContent>
      <w:p w14:paraId="3AEB396D" w14:textId="1778123D" w:rsidR="00EF502E" w:rsidRDefault="00EF502E">
        <w:pPr>
          <w:jc w:val="center"/>
        </w:pPr>
        <w:r>
          <w:fldChar w:fldCharType="begin"/>
        </w:r>
        <w:r>
          <w:instrText xml:space="preserve"> PAGE   \* MERGEFORMAT </w:instrText>
        </w:r>
        <w:r>
          <w:fldChar w:fldCharType="separate"/>
        </w:r>
        <w:r w:rsidR="00623C2B">
          <w:rPr>
            <w:noProof/>
          </w:rPr>
          <w:t>3</w:t>
        </w:r>
        <w:r>
          <w:rPr>
            <w:noProof/>
          </w:rPr>
          <w:fldChar w:fldCharType="end"/>
        </w:r>
      </w:p>
    </w:sdtContent>
  </w:sdt>
  <w:p w14:paraId="743C2C60" w14:textId="1D2BF88F" w:rsidR="00EF502E" w:rsidRDefault="00EF502E" w:rsidP="006C7CF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07CC" w14:textId="77777777" w:rsidR="007E2727" w:rsidRDefault="007E2727">
      <w:r>
        <w:separator/>
      </w:r>
    </w:p>
  </w:footnote>
  <w:footnote w:type="continuationSeparator" w:id="0">
    <w:p w14:paraId="5F41AA80" w14:textId="77777777" w:rsidR="007E2727" w:rsidRDefault="007E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67531"/>
    <w:multiLevelType w:val="hybridMultilevel"/>
    <w:tmpl w:val="67CC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15260"/>
    <w:multiLevelType w:val="hybridMultilevel"/>
    <w:tmpl w:val="CD920C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1D53B70"/>
    <w:multiLevelType w:val="hybridMultilevel"/>
    <w:tmpl w:val="8D265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FA031B"/>
    <w:multiLevelType w:val="hybridMultilevel"/>
    <w:tmpl w:val="BB5A12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00D58F2"/>
    <w:multiLevelType w:val="hybridMultilevel"/>
    <w:tmpl w:val="AD7272DA"/>
    <w:lvl w:ilvl="0" w:tplc="4970AA24">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0" w15:restartNumberingAfterBreak="0">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397B5458"/>
    <w:multiLevelType w:val="hybridMultilevel"/>
    <w:tmpl w:val="BE8804F8"/>
    <w:lvl w:ilvl="0" w:tplc="507612A8">
      <w:start w:val="1"/>
      <w:numFmt w:val="bullet"/>
      <w:pStyle w:val="HB-dotpoint"/>
      <w:lvlText w:val=""/>
      <w:lvlJc w:val="left"/>
      <w:pPr>
        <w:tabs>
          <w:tab w:val="num" w:pos="720"/>
        </w:tabs>
        <w:ind w:left="720" w:hanging="720"/>
      </w:pPr>
      <w:rPr>
        <w:rFonts w:ascii="Symbol" w:hAnsi="Symbol" w:hint="default"/>
        <w:sz w:val="20"/>
      </w:rPr>
    </w:lvl>
    <w:lvl w:ilvl="1" w:tplc="3B1AE6BA">
      <w:numFmt w:val="decimal"/>
      <w:lvlText w:val=""/>
      <w:lvlJc w:val="left"/>
    </w:lvl>
    <w:lvl w:ilvl="2" w:tplc="0BB2EBA8">
      <w:numFmt w:val="decimal"/>
      <w:lvlText w:val=""/>
      <w:lvlJc w:val="left"/>
    </w:lvl>
    <w:lvl w:ilvl="3" w:tplc="496067A6">
      <w:numFmt w:val="decimal"/>
      <w:lvlText w:val=""/>
      <w:lvlJc w:val="left"/>
    </w:lvl>
    <w:lvl w:ilvl="4" w:tplc="EAFA0378">
      <w:numFmt w:val="decimal"/>
      <w:lvlText w:val=""/>
      <w:lvlJc w:val="left"/>
    </w:lvl>
    <w:lvl w:ilvl="5" w:tplc="926E077C">
      <w:numFmt w:val="decimal"/>
      <w:lvlText w:val=""/>
      <w:lvlJc w:val="left"/>
    </w:lvl>
    <w:lvl w:ilvl="6" w:tplc="6736DA18">
      <w:numFmt w:val="decimal"/>
      <w:lvlText w:val=""/>
      <w:lvlJc w:val="left"/>
    </w:lvl>
    <w:lvl w:ilvl="7" w:tplc="46E29BE2">
      <w:numFmt w:val="decimal"/>
      <w:lvlText w:val=""/>
      <w:lvlJc w:val="left"/>
    </w:lvl>
    <w:lvl w:ilvl="8" w:tplc="97AE9DF4">
      <w:numFmt w:val="decimal"/>
      <w:lvlText w:val=""/>
      <w:lvlJc w:val="left"/>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778"/>
        </w:tabs>
        <w:ind w:left="1778" w:hanging="360"/>
      </w:pPr>
      <w:rPr>
        <w:rFonts w:hint="default"/>
      </w:rPr>
    </w:lvl>
    <w:lvl w:ilvl="1" w:tplc="0C090019" w:tentative="1">
      <w:start w:val="1"/>
      <w:numFmt w:val="lowerLetter"/>
      <w:lvlText w:val="%2."/>
      <w:lvlJc w:val="left"/>
      <w:pPr>
        <w:tabs>
          <w:tab w:val="num" w:pos="2858"/>
        </w:tabs>
        <w:ind w:left="2858" w:hanging="360"/>
      </w:pPr>
    </w:lvl>
    <w:lvl w:ilvl="2" w:tplc="0C09001B">
      <w:start w:val="1"/>
      <w:numFmt w:val="lowerRoman"/>
      <w:lvlText w:val="%3."/>
      <w:lvlJc w:val="right"/>
      <w:pPr>
        <w:tabs>
          <w:tab w:val="num" w:pos="3578"/>
        </w:tabs>
        <w:ind w:left="3578" w:hanging="180"/>
      </w:p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14" w15:restartNumberingAfterBreak="0">
    <w:nsid w:val="3F6C4355"/>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B51295"/>
    <w:multiLevelType w:val="hybridMultilevel"/>
    <w:tmpl w:val="158E64DC"/>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4DF169FE"/>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5A095A1C"/>
    <w:multiLevelType w:val="hybridMultilevel"/>
    <w:tmpl w:val="345E52DE"/>
    <w:lvl w:ilvl="0" w:tplc="74E4B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914515"/>
    <w:multiLevelType w:val="hybridMultilevel"/>
    <w:tmpl w:val="CFB4E19A"/>
    <w:lvl w:ilvl="0" w:tplc="0C090003">
      <w:start w:val="1"/>
      <w:numFmt w:val="bullet"/>
      <w:lvlText w:val="o"/>
      <w:lvlJc w:val="left"/>
      <w:pPr>
        <w:ind w:left="3142" w:hanging="360"/>
      </w:pPr>
      <w:rPr>
        <w:rFonts w:ascii="Courier New" w:hAnsi="Courier New" w:cs="Courier New" w:hint="default"/>
      </w:rPr>
    </w:lvl>
    <w:lvl w:ilvl="1" w:tplc="0C090003" w:tentative="1">
      <w:start w:val="1"/>
      <w:numFmt w:val="bullet"/>
      <w:lvlText w:val="o"/>
      <w:lvlJc w:val="left"/>
      <w:pPr>
        <w:ind w:left="3862" w:hanging="360"/>
      </w:pPr>
      <w:rPr>
        <w:rFonts w:ascii="Courier New" w:hAnsi="Courier New" w:cs="Courier New" w:hint="default"/>
      </w:rPr>
    </w:lvl>
    <w:lvl w:ilvl="2" w:tplc="0C090005" w:tentative="1">
      <w:start w:val="1"/>
      <w:numFmt w:val="bullet"/>
      <w:lvlText w:val=""/>
      <w:lvlJc w:val="left"/>
      <w:pPr>
        <w:ind w:left="4582" w:hanging="360"/>
      </w:pPr>
      <w:rPr>
        <w:rFonts w:ascii="Wingdings" w:hAnsi="Wingdings" w:hint="default"/>
      </w:rPr>
    </w:lvl>
    <w:lvl w:ilvl="3" w:tplc="0C090001" w:tentative="1">
      <w:start w:val="1"/>
      <w:numFmt w:val="bullet"/>
      <w:lvlText w:val=""/>
      <w:lvlJc w:val="left"/>
      <w:pPr>
        <w:ind w:left="5302" w:hanging="360"/>
      </w:pPr>
      <w:rPr>
        <w:rFonts w:ascii="Symbol" w:hAnsi="Symbol" w:hint="default"/>
      </w:rPr>
    </w:lvl>
    <w:lvl w:ilvl="4" w:tplc="0C090003" w:tentative="1">
      <w:start w:val="1"/>
      <w:numFmt w:val="bullet"/>
      <w:lvlText w:val="o"/>
      <w:lvlJc w:val="left"/>
      <w:pPr>
        <w:ind w:left="6022" w:hanging="360"/>
      </w:pPr>
      <w:rPr>
        <w:rFonts w:ascii="Courier New" w:hAnsi="Courier New" w:cs="Courier New" w:hint="default"/>
      </w:rPr>
    </w:lvl>
    <w:lvl w:ilvl="5" w:tplc="0C090005" w:tentative="1">
      <w:start w:val="1"/>
      <w:numFmt w:val="bullet"/>
      <w:lvlText w:val=""/>
      <w:lvlJc w:val="left"/>
      <w:pPr>
        <w:ind w:left="6742" w:hanging="360"/>
      </w:pPr>
      <w:rPr>
        <w:rFonts w:ascii="Wingdings" w:hAnsi="Wingdings" w:hint="default"/>
      </w:rPr>
    </w:lvl>
    <w:lvl w:ilvl="6" w:tplc="0C090001" w:tentative="1">
      <w:start w:val="1"/>
      <w:numFmt w:val="bullet"/>
      <w:lvlText w:val=""/>
      <w:lvlJc w:val="left"/>
      <w:pPr>
        <w:ind w:left="7462" w:hanging="360"/>
      </w:pPr>
      <w:rPr>
        <w:rFonts w:ascii="Symbol" w:hAnsi="Symbol" w:hint="default"/>
      </w:rPr>
    </w:lvl>
    <w:lvl w:ilvl="7" w:tplc="0C090003" w:tentative="1">
      <w:start w:val="1"/>
      <w:numFmt w:val="bullet"/>
      <w:lvlText w:val="o"/>
      <w:lvlJc w:val="left"/>
      <w:pPr>
        <w:ind w:left="8182" w:hanging="360"/>
      </w:pPr>
      <w:rPr>
        <w:rFonts w:ascii="Courier New" w:hAnsi="Courier New" w:cs="Courier New" w:hint="default"/>
      </w:rPr>
    </w:lvl>
    <w:lvl w:ilvl="8" w:tplc="0C090005" w:tentative="1">
      <w:start w:val="1"/>
      <w:numFmt w:val="bullet"/>
      <w:lvlText w:val=""/>
      <w:lvlJc w:val="left"/>
      <w:pPr>
        <w:ind w:left="8902" w:hanging="360"/>
      </w:pPr>
      <w:rPr>
        <w:rFonts w:ascii="Wingdings" w:hAnsi="Wingdings" w:hint="default"/>
      </w:rPr>
    </w:lvl>
  </w:abstractNum>
  <w:abstractNum w:abstractNumId="20" w15:restartNumberingAfterBreak="0">
    <w:nsid w:val="5A94319B"/>
    <w:multiLevelType w:val="hybridMultilevel"/>
    <w:tmpl w:val="4E162EF2"/>
    <w:lvl w:ilvl="0" w:tplc="5C2C853A">
      <w:start w:val="1"/>
      <w:numFmt w:val="decimal"/>
      <w:lvlText w:val="%1."/>
      <w:lvlJc w:val="left"/>
      <w:pPr>
        <w:ind w:left="532" w:hanging="360"/>
        <w:jc w:val="right"/>
      </w:pPr>
      <w:rPr>
        <w:rFonts w:ascii="Calibri" w:eastAsia="Calibri" w:hAnsi="Calibri" w:hint="default"/>
        <w:b w:val="0"/>
        <w:color w:val="auto"/>
        <w:spacing w:val="-2"/>
        <w:sz w:val="22"/>
        <w:szCs w:val="22"/>
      </w:rPr>
    </w:lvl>
    <w:lvl w:ilvl="1" w:tplc="52FABBD6">
      <w:start w:val="1"/>
      <w:numFmt w:val="lowerLetter"/>
      <w:lvlText w:val="(%2)"/>
      <w:lvlJc w:val="left"/>
      <w:pPr>
        <w:ind w:left="891" w:hanging="360"/>
      </w:pPr>
      <w:rPr>
        <w:rFonts w:ascii="Calibri" w:eastAsia="Calibri" w:hAnsi="Calibri" w:hint="default"/>
        <w:sz w:val="22"/>
        <w:szCs w:val="22"/>
      </w:rPr>
    </w:lvl>
    <w:lvl w:ilvl="2" w:tplc="7A0202A6">
      <w:start w:val="1"/>
      <w:numFmt w:val="lowerRoman"/>
      <w:lvlText w:val="(%3)"/>
      <w:lvlJc w:val="left"/>
      <w:pPr>
        <w:ind w:left="1552" w:hanging="721"/>
      </w:pPr>
      <w:rPr>
        <w:rFonts w:ascii="Calibri" w:eastAsia="Calibri" w:hAnsi="Calibri" w:hint="default"/>
        <w:sz w:val="22"/>
        <w:szCs w:val="22"/>
      </w:rPr>
    </w:lvl>
    <w:lvl w:ilvl="3" w:tplc="E95C0B3E">
      <w:start w:val="1"/>
      <w:numFmt w:val="bullet"/>
      <w:lvlText w:val="•"/>
      <w:lvlJc w:val="left"/>
      <w:pPr>
        <w:ind w:left="1552" w:hanging="721"/>
      </w:pPr>
      <w:rPr>
        <w:rFonts w:hint="default"/>
      </w:rPr>
    </w:lvl>
    <w:lvl w:ilvl="4" w:tplc="9A54F218">
      <w:start w:val="1"/>
      <w:numFmt w:val="bullet"/>
      <w:lvlText w:val="•"/>
      <w:lvlJc w:val="left"/>
      <w:pPr>
        <w:ind w:left="1552" w:hanging="721"/>
      </w:pPr>
      <w:rPr>
        <w:rFonts w:hint="default"/>
      </w:rPr>
    </w:lvl>
    <w:lvl w:ilvl="5" w:tplc="18EED188">
      <w:start w:val="1"/>
      <w:numFmt w:val="bullet"/>
      <w:lvlText w:val="•"/>
      <w:lvlJc w:val="left"/>
      <w:pPr>
        <w:ind w:left="1552" w:hanging="721"/>
      </w:pPr>
      <w:rPr>
        <w:rFonts w:hint="default"/>
      </w:rPr>
    </w:lvl>
    <w:lvl w:ilvl="6" w:tplc="DBBE999C">
      <w:start w:val="1"/>
      <w:numFmt w:val="bullet"/>
      <w:lvlText w:val="•"/>
      <w:lvlJc w:val="left"/>
      <w:pPr>
        <w:ind w:left="3215" w:hanging="721"/>
      </w:pPr>
      <w:rPr>
        <w:rFonts w:hint="default"/>
      </w:rPr>
    </w:lvl>
    <w:lvl w:ilvl="7" w:tplc="8910C932">
      <w:start w:val="1"/>
      <w:numFmt w:val="bullet"/>
      <w:lvlText w:val="•"/>
      <w:lvlJc w:val="left"/>
      <w:pPr>
        <w:ind w:left="4878" w:hanging="721"/>
      </w:pPr>
      <w:rPr>
        <w:rFonts w:hint="default"/>
      </w:rPr>
    </w:lvl>
    <w:lvl w:ilvl="8" w:tplc="FED4CE12">
      <w:start w:val="1"/>
      <w:numFmt w:val="bullet"/>
      <w:lvlText w:val="•"/>
      <w:lvlJc w:val="left"/>
      <w:pPr>
        <w:ind w:left="6540" w:hanging="721"/>
      </w:pPr>
      <w:rPr>
        <w:rFonts w:hint="default"/>
      </w:rPr>
    </w:lvl>
  </w:abstractNum>
  <w:abstractNum w:abstractNumId="21" w15:restartNumberingAfterBreak="0">
    <w:nsid w:val="61B4798F"/>
    <w:multiLevelType w:val="hybridMultilevel"/>
    <w:tmpl w:val="098A30A2"/>
    <w:lvl w:ilvl="0" w:tplc="5CD487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56A99"/>
    <w:multiLevelType w:val="hybridMultilevel"/>
    <w:tmpl w:val="77240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F1125"/>
    <w:multiLevelType w:val="hybridMultilevel"/>
    <w:tmpl w:val="0C090001"/>
    <w:lvl w:ilvl="0" w:tplc="9D869C76">
      <w:start w:val="1"/>
      <w:numFmt w:val="bullet"/>
      <w:lvlText w:val=""/>
      <w:lvlJc w:val="left"/>
      <w:pPr>
        <w:tabs>
          <w:tab w:val="num" w:pos="720"/>
        </w:tabs>
        <w:ind w:left="720" w:hanging="360"/>
      </w:pPr>
      <w:rPr>
        <w:rFonts w:ascii="Symbol" w:hAnsi="Symbol" w:hint="default"/>
      </w:rPr>
    </w:lvl>
    <w:lvl w:ilvl="1" w:tplc="DE84120E">
      <w:numFmt w:val="decimal"/>
      <w:lvlText w:val=""/>
      <w:lvlJc w:val="left"/>
    </w:lvl>
    <w:lvl w:ilvl="2" w:tplc="287EF194">
      <w:numFmt w:val="decimal"/>
      <w:lvlText w:val=""/>
      <w:lvlJc w:val="left"/>
    </w:lvl>
    <w:lvl w:ilvl="3" w:tplc="39782B66">
      <w:numFmt w:val="decimal"/>
      <w:lvlText w:val=""/>
      <w:lvlJc w:val="left"/>
    </w:lvl>
    <w:lvl w:ilvl="4" w:tplc="62ACC9E2">
      <w:numFmt w:val="decimal"/>
      <w:lvlText w:val=""/>
      <w:lvlJc w:val="left"/>
    </w:lvl>
    <w:lvl w:ilvl="5" w:tplc="6DF824FA">
      <w:numFmt w:val="decimal"/>
      <w:lvlText w:val=""/>
      <w:lvlJc w:val="left"/>
    </w:lvl>
    <w:lvl w:ilvl="6" w:tplc="0A166FFA">
      <w:numFmt w:val="decimal"/>
      <w:lvlText w:val=""/>
      <w:lvlJc w:val="left"/>
    </w:lvl>
    <w:lvl w:ilvl="7" w:tplc="53229404">
      <w:numFmt w:val="decimal"/>
      <w:lvlText w:val=""/>
      <w:lvlJc w:val="left"/>
    </w:lvl>
    <w:lvl w:ilvl="8" w:tplc="F176DDE0">
      <w:numFmt w:val="decimal"/>
      <w:lvlText w:val=""/>
      <w:lvlJc w:val="left"/>
    </w:lvl>
  </w:abstractNum>
  <w:abstractNum w:abstractNumId="24" w15:restartNumberingAfterBreak="0">
    <w:nsid w:val="6D9F38FB"/>
    <w:multiLevelType w:val="hybridMultilevel"/>
    <w:tmpl w:val="765080A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1AC360C"/>
    <w:multiLevelType w:val="hybridMultilevel"/>
    <w:tmpl w:val="56C2D8E8"/>
    <w:lvl w:ilvl="0" w:tplc="6CB01B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363599"/>
    <w:multiLevelType w:val="hybridMultilevel"/>
    <w:tmpl w:val="5BF64B10"/>
    <w:lvl w:ilvl="0" w:tplc="04BA979A">
      <w:start w:val="1"/>
      <w:numFmt w:val="bullet"/>
      <w:pStyle w:val="HB-Table-Subpoint"/>
      <w:lvlText w:val=""/>
      <w:lvlJc w:val="left"/>
      <w:pPr>
        <w:tabs>
          <w:tab w:val="num" w:pos="360"/>
        </w:tabs>
        <w:ind w:left="360" w:hanging="360"/>
      </w:pPr>
      <w:rPr>
        <w:rFonts w:ascii="Symbol" w:hAnsi="Symbol" w:hint="default"/>
      </w:rPr>
    </w:lvl>
    <w:lvl w:ilvl="1" w:tplc="5D1426DA">
      <w:numFmt w:val="decimal"/>
      <w:lvlText w:val=""/>
      <w:lvlJc w:val="left"/>
    </w:lvl>
    <w:lvl w:ilvl="2" w:tplc="E544FAD6">
      <w:numFmt w:val="decimal"/>
      <w:lvlText w:val=""/>
      <w:lvlJc w:val="left"/>
    </w:lvl>
    <w:lvl w:ilvl="3" w:tplc="A6908A06">
      <w:numFmt w:val="decimal"/>
      <w:lvlText w:val=""/>
      <w:lvlJc w:val="left"/>
    </w:lvl>
    <w:lvl w:ilvl="4" w:tplc="726E56D0">
      <w:numFmt w:val="decimal"/>
      <w:lvlText w:val=""/>
      <w:lvlJc w:val="left"/>
    </w:lvl>
    <w:lvl w:ilvl="5" w:tplc="D1542D84">
      <w:numFmt w:val="decimal"/>
      <w:lvlText w:val=""/>
      <w:lvlJc w:val="left"/>
    </w:lvl>
    <w:lvl w:ilvl="6" w:tplc="A21C9196">
      <w:numFmt w:val="decimal"/>
      <w:lvlText w:val=""/>
      <w:lvlJc w:val="left"/>
    </w:lvl>
    <w:lvl w:ilvl="7" w:tplc="AF6A1C36">
      <w:numFmt w:val="decimal"/>
      <w:lvlText w:val=""/>
      <w:lvlJc w:val="left"/>
    </w:lvl>
    <w:lvl w:ilvl="8" w:tplc="95043B9A">
      <w:numFmt w:val="decimal"/>
      <w:lvlText w:val=""/>
      <w:lvlJc w:val="left"/>
    </w:lvl>
  </w:abstractNum>
  <w:abstractNum w:abstractNumId="28" w15:restartNumberingAfterBreak="0">
    <w:nsid w:val="7EB008FF"/>
    <w:multiLevelType w:val="multilevel"/>
    <w:tmpl w:val="EA8A4A46"/>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3"/>
  </w:num>
  <w:num w:numId="3">
    <w:abstractNumId w:val="27"/>
  </w:num>
  <w:num w:numId="4">
    <w:abstractNumId w:val="13"/>
  </w:num>
  <w:num w:numId="5">
    <w:abstractNumId w:val="17"/>
  </w:num>
  <w:num w:numId="6">
    <w:abstractNumId w:val="28"/>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1"/>
  </w:num>
  <w:num w:numId="22">
    <w:abstractNumId w:val="28"/>
    <w:lvlOverride w:ilvl="0">
      <w:startOverride w:val="5"/>
    </w:lvlOverride>
    <w:lvlOverride w:ilvl="1">
      <w:startOverride w:val="4"/>
    </w:lvlOverride>
  </w:num>
  <w:num w:numId="23">
    <w:abstractNumId w:val="28"/>
    <w:lvlOverride w:ilvl="0">
      <w:startOverride w:val="5"/>
    </w:lvlOverride>
    <w:lvlOverride w:ilvl="1">
      <w:startOverride w:val="3"/>
    </w:lvlOverride>
    <w:lvlOverride w:ilvl="2">
      <w:startOverride w:val="2"/>
    </w:lvlOverride>
  </w:num>
  <w:num w:numId="24">
    <w:abstractNumId w:val="9"/>
  </w:num>
  <w:num w:numId="25">
    <w:abstractNumId w:val="19"/>
  </w:num>
  <w:num w:numId="26">
    <w:abstractNumId w:val="28"/>
    <w:lvlOverride w:ilvl="0">
      <w:startOverride w:val="5"/>
    </w:lvlOverride>
    <w:lvlOverride w:ilvl="1">
      <w:startOverride w:val="1"/>
    </w:lvlOverride>
    <w:lvlOverride w:ilvl="2">
      <w:startOverride w:val="11"/>
    </w:lvlOverride>
  </w:num>
  <w:num w:numId="27">
    <w:abstractNumId w:val="28"/>
    <w:lvlOverride w:ilvl="0">
      <w:startOverride w:val="6"/>
    </w:lvlOverride>
    <w:lvlOverride w:ilvl="1">
      <w:startOverride w:val="2"/>
    </w:lvlOverride>
    <w:lvlOverride w:ilvl="2">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8"/>
  </w:num>
  <w:num w:numId="32">
    <w:abstractNumId w:val="10"/>
  </w:num>
  <w:num w:numId="33">
    <w:abstractNumId w:val="3"/>
  </w:num>
  <w:num w:numId="34">
    <w:abstractNumId w:val="0"/>
  </w:num>
  <w:num w:numId="35">
    <w:abstractNumId w:val="14"/>
  </w:num>
  <w:num w:numId="36">
    <w:abstractNumId w:val="22"/>
  </w:num>
  <w:num w:numId="37">
    <w:abstractNumId w:val="7"/>
  </w:num>
  <w:num w:numId="38">
    <w:abstractNumId w:val="6"/>
  </w:num>
  <w:num w:numId="39">
    <w:abstractNumId w:val="25"/>
  </w:num>
  <w:num w:numId="40">
    <w:abstractNumId w:val="4"/>
  </w:num>
  <w:num w:numId="41">
    <w:abstractNumId w:val="24"/>
  </w:num>
  <w:num w:numId="42">
    <w:abstractNumId w:val="1"/>
  </w:num>
  <w:num w:numId="43">
    <w:abstractNumId w:val="20"/>
  </w:num>
  <w:num w:numId="44">
    <w:abstractNumId w:val="15"/>
  </w:num>
  <w:num w:numId="45">
    <w:abstractNumId w:val="5"/>
  </w:num>
  <w:num w:numId="46">
    <w:abstractNumId w:val="16"/>
  </w:num>
  <w:num w:numId="47">
    <w:abstractNumId w:val="21"/>
  </w:num>
  <w:num w:numId="4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1E"/>
    <w:rsid w:val="00012211"/>
    <w:rsid w:val="00014E87"/>
    <w:rsid w:val="000168D9"/>
    <w:rsid w:val="00021384"/>
    <w:rsid w:val="000227D5"/>
    <w:rsid w:val="00022C3E"/>
    <w:rsid w:val="00023545"/>
    <w:rsid w:val="000247E7"/>
    <w:rsid w:val="00037616"/>
    <w:rsid w:val="000425A0"/>
    <w:rsid w:val="00044189"/>
    <w:rsid w:val="00051AF3"/>
    <w:rsid w:val="00053D2F"/>
    <w:rsid w:val="00057CF0"/>
    <w:rsid w:val="0006052D"/>
    <w:rsid w:val="00061303"/>
    <w:rsid w:val="000635BB"/>
    <w:rsid w:val="00073B16"/>
    <w:rsid w:val="00074FA1"/>
    <w:rsid w:val="00075224"/>
    <w:rsid w:val="00075D34"/>
    <w:rsid w:val="00076E5B"/>
    <w:rsid w:val="0007701F"/>
    <w:rsid w:val="00080480"/>
    <w:rsid w:val="000827BF"/>
    <w:rsid w:val="00082987"/>
    <w:rsid w:val="00087837"/>
    <w:rsid w:val="00090264"/>
    <w:rsid w:val="00091A2C"/>
    <w:rsid w:val="00092186"/>
    <w:rsid w:val="0009373D"/>
    <w:rsid w:val="000961DC"/>
    <w:rsid w:val="0009767F"/>
    <w:rsid w:val="000A0D05"/>
    <w:rsid w:val="000A4649"/>
    <w:rsid w:val="000A6A6F"/>
    <w:rsid w:val="000B33DD"/>
    <w:rsid w:val="000B76C9"/>
    <w:rsid w:val="000C128C"/>
    <w:rsid w:val="000C2780"/>
    <w:rsid w:val="000C2B0B"/>
    <w:rsid w:val="000C32ED"/>
    <w:rsid w:val="000C4EBA"/>
    <w:rsid w:val="000C6936"/>
    <w:rsid w:val="000D01B4"/>
    <w:rsid w:val="000D0B1A"/>
    <w:rsid w:val="000D5F4C"/>
    <w:rsid w:val="000D73DB"/>
    <w:rsid w:val="000E053D"/>
    <w:rsid w:val="000E0C76"/>
    <w:rsid w:val="000E3BBD"/>
    <w:rsid w:val="000E4F56"/>
    <w:rsid w:val="000F19F9"/>
    <w:rsid w:val="000F1A23"/>
    <w:rsid w:val="000F3406"/>
    <w:rsid w:val="000F3C2B"/>
    <w:rsid w:val="000F48F5"/>
    <w:rsid w:val="000F7736"/>
    <w:rsid w:val="001041A0"/>
    <w:rsid w:val="00104F45"/>
    <w:rsid w:val="0011171C"/>
    <w:rsid w:val="0011382A"/>
    <w:rsid w:val="00113DF4"/>
    <w:rsid w:val="001140BC"/>
    <w:rsid w:val="00123B8A"/>
    <w:rsid w:val="0012401E"/>
    <w:rsid w:val="00125439"/>
    <w:rsid w:val="00132B59"/>
    <w:rsid w:val="00134ED9"/>
    <w:rsid w:val="001353AB"/>
    <w:rsid w:val="00135613"/>
    <w:rsid w:val="001363D0"/>
    <w:rsid w:val="0013685F"/>
    <w:rsid w:val="00137439"/>
    <w:rsid w:val="00137BB4"/>
    <w:rsid w:val="00137E40"/>
    <w:rsid w:val="0014059C"/>
    <w:rsid w:val="00140A0C"/>
    <w:rsid w:val="001422A9"/>
    <w:rsid w:val="001475B5"/>
    <w:rsid w:val="001571EA"/>
    <w:rsid w:val="00165E37"/>
    <w:rsid w:val="0017171A"/>
    <w:rsid w:val="00173131"/>
    <w:rsid w:val="00173370"/>
    <w:rsid w:val="00175A7A"/>
    <w:rsid w:val="00175E19"/>
    <w:rsid w:val="001779C1"/>
    <w:rsid w:val="00180633"/>
    <w:rsid w:val="001819F8"/>
    <w:rsid w:val="00181FE5"/>
    <w:rsid w:val="00182325"/>
    <w:rsid w:val="00190997"/>
    <w:rsid w:val="0019334F"/>
    <w:rsid w:val="00194EB9"/>
    <w:rsid w:val="001A0F1B"/>
    <w:rsid w:val="001A394B"/>
    <w:rsid w:val="001A4583"/>
    <w:rsid w:val="001A71F3"/>
    <w:rsid w:val="001A749E"/>
    <w:rsid w:val="001A7C12"/>
    <w:rsid w:val="001B7D04"/>
    <w:rsid w:val="001C6B9B"/>
    <w:rsid w:val="001D1336"/>
    <w:rsid w:val="001D2738"/>
    <w:rsid w:val="001D32F0"/>
    <w:rsid w:val="001E0672"/>
    <w:rsid w:val="001E48D2"/>
    <w:rsid w:val="001F038C"/>
    <w:rsid w:val="001F1CE3"/>
    <w:rsid w:val="001F34DC"/>
    <w:rsid w:val="001F3899"/>
    <w:rsid w:val="001F4EB3"/>
    <w:rsid w:val="001F5A86"/>
    <w:rsid w:val="002033B8"/>
    <w:rsid w:val="002041B4"/>
    <w:rsid w:val="00213AB8"/>
    <w:rsid w:val="00214605"/>
    <w:rsid w:val="00220DAF"/>
    <w:rsid w:val="00220EB2"/>
    <w:rsid w:val="00221AD2"/>
    <w:rsid w:val="00221DD2"/>
    <w:rsid w:val="00226AF4"/>
    <w:rsid w:val="0023029C"/>
    <w:rsid w:val="00230359"/>
    <w:rsid w:val="00237216"/>
    <w:rsid w:val="00240213"/>
    <w:rsid w:val="0024038E"/>
    <w:rsid w:val="0024178F"/>
    <w:rsid w:val="002421A4"/>
    <w:rsid w:val="00245FB9"/>
    <w:rsid w:val="002634D5"/>
    <w:rsid w:val="00264F5C"/>
    <w:rsid w:val="00270DAB"/>
    <w:rsid w:val="00271447"/>
    <w:rsid w:val="00271C4F"/>
    <w:rsid w:val="00277667"/>
    <w:rsid w:val="00281ABC"/>
    <w:rsid w:val="002870BE"/>
    <w:rsid w:val="00291509"/>
    <w:rsid w:val="002924D7"/>
    <w:rsid w:val="00294020"/>
    <w:rsid w:val="00296527"/>
    <w:rsid w:val="002A551A"/>
    <w:rsid w:val="002A5E56"/>
    <w:rsid w:val="002B0C2D"/>
    <w:rsid w:val="002B0FE1"/>
    <w:rsid w:val="002B24CD"/>
    <w:rsid w:val="002B27AB"/>
    <w:rsid w:val="002B79E8"/>
    <w:rsid w:val="002B7EEF"/>
    <w:rsid w:val="002C058B"/>
    <w:rsid w:val="002C26B9"/>
    <w:rsid w:val="002C3B4D"/>
    <w:rsid w:val="002C42F6"/>
    <w:rsid w:val="002C54B8"/>
    <w:rsid w:val="002C6304"/>
    <w:rsid w:val="002C65D7"/>
    <w:rsid w:val="002D042E"/>
    <w:rsid w:val="002D1AD8"/>
    <w:rsid w:val="002D2758"/>
    <w:rsid w:val="002D710B"/>
    <w:rsid w:val="002E14BB"/>
    <w:rsid w:val="002E20A5"/>
    <w:rsid w:val="002E3936"/>
    <w:rsid w:val="002E6D41"/>
    <w:rsid w:val="002F41CA"/>
    <w:rsid w:val="00302268"/>
    <w:rsid w:val="00304AD8"/>
    <w:rsid w:val="003051A7"/>
    <w:rsid w:val="003053F0"/>
    <w:rsid w:val="00314A0C"/>
    <w:rsid w:val="00320F3E"/>
    <w:rsid w:val="0032291F"/>
    <w:rsid w:val="00324398"/>
    <w:rsid w:val="00325B38"/>
    <w:rsid w:val="00332FE0"/>
    <w:rsid w:val="00333866"/>
    <w:rsid w:val="00340F2C"/>
    <w:rsid w:val="00342459"/>
    <w:rsid w:val="0034526B"/>
    <w:rsid w:val="00352260"/>
    <w:rsid w:val="003549CB"/>
    <w:rsid w:val="003563C0"/>
    <w:rsid w:val="00357F81"/>
    <w:rsid w:val="0036350E"/>
    <w:rsid w:val="00363AC8"/>
    <w:rsid w:val="00367D5C"/>
    <w:rsid w:val="003706F5"/>
    <w:rsid w:val="00370C4F"/>
    <w:rsid w:val="00372A42"/>
    <w:rsid w:val="0037383C"/>
    <w:rsid w:val="00373C63"/>
    <w:rsid w:val="00380A52"/>
    <w:rsid w:val="00380B2A"/>
    <w:rsid w:val="00380F43"/>
    <w:rsid w:val="003825E4"/>
    <w:rsid w:val="00382605"/>
    <w:rsid w:val="00383688"/>
    <w:rsid w:val="00383DE7"/>
    <w:rsid w:val="00385175"/>
    <w:rsid w:val="003870FA"/>
    <w:rsid w:val="00387ABA"/>
    <w:rsid w:val="003916F1"/>
    <w:rsid w:val="00391E7C"/>
    <w:rsid w:val="00395C13"/>
    <w:rsid w:val="003961CE"/>
    <w:rsid w:val="00397506"/>
    <w:rsid w:val="003A0BF2"/>
    <w:rsid w:val="003A50FD"/>
    <w:rsid w:val="003A60CA"/>
    <w:rsid w:val="003C0A6D"/>
    <w:rsid w:val="003C129A"/>
    <w:rsid w:val="003C482C"/>
    <w:rsid w:val="003C4A51"/>
    <w:rsid w:val="003C663A"/>
    <w:rsid w:val="003D11BE"/>
    <w:rsid w:val="003D20E1"/>
    <w:rsid w:val="003D241F"/>
    <w:rsid w:val="003D25C0"/>
    <w:rsid w:val="003D36AE"/>
    <w:rsid w:val="003E5D40"/>
    <w:rsid w:val="003E69F4"/>
    <w:rsid w:val="003E6B07"/>
    <w:rsid w:val="003E720A"/>
    <w:rsid w:val="003F0EB3"/>
    <w:rsid w:val="003F65DC"/>
    <w:rsid w:val="003F6E38"/>
    <w:rsid w:val="00403118"/>
    <w:rsid w:val="00410D62"/>
    <w:rsid w:val="00415A1F"/>
    <w:rsid w:val="00421BD8"/>
    <w:rsid w:val="00422CE9"/>
    <w:rsid w:val="00422D03"/>
    <w:rsid w:val="00427FD2"/>
    <w:rsid w:val="0043113B"/>
    <w:rsid w:val="00437A77"/>
    <w:rsid w:val="00440F1B"/>
    <w:rsid w:val="00442385"/>
    <w:rsid w:val="004425B9"/>
    <w:rsid w:val="00443B96"/>
    <w:rsid w:val="004523A2"/>
    <w:rsid w:val="0045559F"/>
    <w:rsid w:val="00457685"/>
    <w:rsid w:val="0046213E"/>
    <w:rsid w:val="00474BE2"/>
    <w:rsid w:val="00476B29"/>
    <w:rsid w:val="004813A8"/>
    <w:rsid w:val="00482695"/>
    <w:rsid w:val="00482EB8"/>
    <w:rsid w:val="00490101"/>
    <w:rsid w:val="0049218D"/>
    <w:rsid w:val="00494154"/>
    <w:rsid w:val="00494724"/>
    <w:rsid w:val="00497571"/>
    <w:rsid w:val="004A020F"/>
    <w:rsid w:val="004A1F5A"/>
    <w:rsid w:val="004A2820"/>
    <w:rsid w:val="004A4C36"/>
    <w:rsid w:val="004B3E67"/>
    <w:rsid w:val="004B466D"/>
    <w:rsid w:val="004B4B05"/>
    <w:rsid w:val="004B7D77"/>
    <w:rsid w:val="004C1154"/>
    <w:rsid w:val="004C724C"/>
    <w:rsid w:val="004C7AFC"/>
    <w:rsid w:val="004D2A41"/>
    <w:rsid w:val="004D5144"/>
    <w:rsid w:val="004D774C"/>
    <w:rsid w:val="004D7CF0"/>
    <w:rsid w:val="004D7F7B"/>
    <w:rsid w:val="004E4F71"/>
    <w:rsid w:val="004E55B5"/>
    <w:rsid w:val="004E7FEB"/>
    <w:rsid w:val="004F14A1"/>
    <w:rsid w:val="004F2450"/>
    <w:rsid w:val="004F2A84"/>
    <w:rsid w:val="004F3C0A"/>
    <w:rsid w:val="0050119F"/>
    <w:rsid w:val="00502FE7"/>
    <w:rsid w:val="00510FDE"/>
    <w:rsid w:val="0051649A"/>
    <w:rsid w:val="005167B2"/>
    <w:rsid w:val="00517EDB"/>
    <w:rsid w:val="00527FA3"/>
    <w:rsid w:val="00542A01"/>
    <w:rsid w:val="00542C8B"/>
    <w:rsid w:val="005436EC"/>
    <w:rsid w:val="00543F50"/>
    <w:rsid w:val="005505E7"/>
    <w:rsid w:val="00552FA7"/>
    <w:rsid w:val="005556AA"/>
    <w:rsid w:val="005569B8"/>
    <w:rsid w:val="005626AB"/>
    <w:rsid w:val="005626CA"/>
    <w:rsid w:val="00564B37"/>
    <w:rsid w:val="00567B15"/>
    <w:rsid w:val="0057132E"/>
    <w:rsid w:val="005767C8"/>
    <w:rsid w:val="005832BF"/>
    <w:rsid w:val="00584AAC"/>
    <w:rsid w:val="005872E2"/>
    <w:rsid w:val="00594E0B"/>
    <w:rsid w:val="00597850"/>
    <w:rsid w:val="005979ED"/>
    <w:rsid w:val="00597C31"/>
    <w:rsid w:val="00597CE8"/>
    <w:rsid w:val="005A08A0"/>
    <w:rsid w:val="005A1E7D"/>
    <w:rsid w:val="005A4FF7"/>
    <w:rsid w:val="005B303F"/>
    <w:rsid w:val="005B78C1"/>
    <w:rsid w:val="005C1235"/>
    <w:rsid w:val="005C1CDA"/>
    <w:rsid w:val="005D7292"/>
    <w:rsid w:val="005E3366"/>
    <w:rsid w:val="005E3FF1"/>
    <w:rsid w:val="005F00F0"/>
    <w:rsid w:val="005F757A"/>
    <w:rsid w:val="00600A48"/>
    <w:rsid w:val="0060249F"/>
    <w:rsid w:val="00602D86"/>
    <w:rsid w:val="00603E2D"/>
    <w:rsid w:val="00604F30"/>
    <w:rsid w:val="00613B2F"/>
    <w:rsid w:val="00615903"/>
    <w:rsid w:val="00615B24"/>
    <w:rsid w:val="00617DA2"/>
    <w:rsid w:val="00620FA6"/>
    <w:rsid w:val="00621E9D"/>
    <w:rsid w:val="00623C2B"/>
    <w:rsid w:val="00623F9E"/>
    <w:rsid w:val="00624330"/>
    <w:rsid w:val="00625EC6"/>
    <w:rsid w:val="00630944"/>
    <w:rsid w:val="006313FC"/>
    <w:rsid w:val="006341D7"/>
    <w:rsid w:val="00634EF9"/>
    <w:rsid w:val="00636583"/>
    <w:rsid w:val="006375D6"/>
    <w:rsid w:val="0064612C"/>
    <w:rsid w:val="00654275"/>
    <w:rsid w:val="006571AB"/>
    <w:rsid w:val="00677C4D"/>
    <w:rsid w:val="00684814"/>
    <w:rsid w:val="00684836"/>
    <w:rsid w:val="00687776"/>
    <w:rsid w:val="0069142A"/>
    <w:rsid w:val="006977FE"/>
    <w:rsid w:val="006A2A25"/>
    <w:rsid w:val="006B1F33"/>
    <w:rsid w:val="006B40AF"/>
    <w:rsid w:val="006B452E"/>
    <w:rsid w:val="006B7EC3"/>
    <w:rsid w:val="006C0C8E"/>
    <w:rsid w:val="006C1A3E"/>
    <w:rsid w:val="006C7CFF"/>
    <w:rsid w:val="006D52E2"/>
    <w:rsid w:val="006E02D8"/>
    <w:rsid w:val="006E0785"/>
    <w:rsid w:val="006E0E7D"/>
    <w:rsid w:val="006E4338"/>
    <w:rsid w:val="006E6EB1"/>
    <w:rsid w:val="006E7DB7"/>
    <w:rsid w:val="006F2BAA"/>
    <w:rsid w:val="006F410A"/>
    <w:rsid w:val="006F6161"/>
    <w:rsid w:val="00701538"/>
    <w:rsid w:val="00701EFC"/>
    <w:rsid w:val="00702331"/>
    <w:rsid w:val="007037DF"/>
    <w:rsid w:val="00704ED5"/>
    <w:rsid w:val="007136C4"/>
    <w:rsid w:val="00714140"/>
    <w:rsid w:val="007143CD"/>
    <w:rsid w:val="007156BD"/>
    <w:rsid w:val="00717649"/>
    <w:rsid w:val="0072700B"/>
    <w:rsid w:val="00730E54"/>
    <w:rsid w:val="00731F92"/>
    <w:rsid w:val="00732950"/>
    <w:rsid w:val="00732AD5"/>
    <w:rsid w:val="00736532"/>
    <w:rsid w:val="0075076A"/>
    <w:rsid w:val="007560EC"/>
    <w:rsid w:val="00760FC4"/>
    <w:rsid w:val="0076328D"/>
    <w:rsid w:val="007661AD"/>
    <w:rsid w:val="00772714"/>
    <w:rsid w:val="007763CF"/>
    <w:rsid w:val="0077670C"/>
    <w:rsid w:val="00780F0F"/>
    <w:rsid w:val="00781A1D"/>
    <w:rsid w:val="007825EE"/>
    <w:rsid w:val="00783E69"/>
    <w:rsid w:val="00792E70"/>
    <w:rsid w:val="007968FC"/>
    <w:rsid w:val="007B7EDF"/>
    <w:rsid w:val="007C0526"/>
    <w:rsid w:val="007C229F"/>
    <w:rsid w:val="007C41B9"/>
    <w:rsid w:val="007C63FE"/>
    <w:rsid w:val="007C73ED"/>
    <w:rsid w:val="007C76C6"/>
    <w:rsid w:val="007D189A"/>
    <w:rsid w:val="007D2D2C"/>
    <w:rsid w:val="007D780E"/>
    <w:rsid w:val="007E2727"/>
    <w:rsid w:val="007E2F2B"/>
    <w:rsid w:val="007E34C0"/>
    <w:rsid w:val="007E58EB"/>
    <w:rsid w:val="007E600B"/>
    <w:rsid w:val="007E6A06"/>
    <w:rsid w:val="007F01E9"/>
    <w:rsid w:val="007F4A39"/>
    <w:rsid w:val="007F551B"/>
    <w:rsid w:val="007F7617"/>
    <w:rsid w:val="008006B7"/>
    <w:rsid w:val="00802333"/>
    <w:rsid w:val="008054C5"/>
    <w:rsid w:val="00806754"/>
    <w:rsid w:val="00812E68"/>
    <w:rsid w:val="00813203"/>
    <w:rsid w:val="00814BAE"/>
    <w:rsid w:val="008150EA"/>
    <w:rsid w:val="008204C6"/>
    <w:rsid w:val="008219BF"/>
    <w:rsid w:val="0082248F"/>
    <w:rsid w:val="0082485E"/>
    <w:rsid w:val="008253AB"/>
    <w:rsid w:val="00827703"/>
    <w:rsid w:val="00827718"/>
    <w:rsid w:val="00831631"/>
    <w:rsid w:val="00832FAF"/>
    <w:rsid w:val="00840C89"/>
    <w:rsid w:val="008442B8"/>
    <w:rsid w:val="008451C4"/>
    <w:rsid w:val="008544E5"/>
    <w:rsid w:val="008634B3"/>
    <w:rsid w:val="008634F8"/>
    <w:rsid w:val="00873C5A"/>
    <w:rsid w:val="00874C86"/>
    <w:rsid w:val="00876FDF"/>
    <w:rsid w:val="0088211D"/>
    <w:rsid w:val="00883230"/>
    <w:rsid w:val="00891F3A"/>
    <w:rsid w:val="008933AF"/>
    <w:rsid w:val="008A119C"/>
    <w:rsid w:val="008A7A79"/>
    <w:rsid w:val="008B00F4"/>
    <w:rsid w:val="008B1032"/>
    <w:rsid w:val="008C1BAB"/>
    <w:rsid w:val="008C28D3"/>
    <w:rsid w:val="008C2A19"/>
    <w:rsid w:val="008C426B"/>
    <w:rsid w:val="008C7F61"/>
    <w:rsid w:val="008E07A5"/>
    <w:rsid w:val="008E1405"/>
    <w:rsid w:val="008E2CA1"/>
    <w:rsid w:val="008E48BD"/>
    <w:rsid w:val="008F00F3"/>
    <w:rsid w:val="008F34B2"/>
    <w:rsid w:val="008F76AC"/>
    <w:rsid w:val="009011C4"/>
    <w:rsid w:val="0091373E"/>
    <w:rsid w:val="009138BF"/>
    <w:rsid w:val="00914E9B"/>
    <w:rsid w:val="00916094"/>
    <w:rsid w:val="0092254F"/>
    <w:rsid w:val="00922E08"/>
    <w:rsid w:val="00924C15"/>
    <w:rsid w:val="009259C8"/>
    <w:rsid w:val="009315B6"/>
    <w:rsid w:val="00935028"/>
    <w:rsid w:val="00936920"/>
    <w:rsid w:val="00937C84"/>
    <w:rsid w:val="00943E67"/>
    <w:rsid w:val="00943EC6"/>
    <w:rsid w:val="00947266"/>
    <w:rsid w:val="009513EC"/>
    <w:rsid w:val="0095577D"/>
    <w:rsid w:val="00964690"/>
    <w:rsid w:val="00965C2A"/>
    <w:rsid w:val="00965FD2"/>
    <w:rsid w:val="0097058B"/>
    <w:rsid w:val="0097063D"/>
    <w:rsid w:val="009720F6"/>
    <w:rsid w:val="009724D2"/>
    <w:rsid w:val="00976792"/>
    <w:rsid w:val="00977845"/>
    <w:rsid w:val="0098292A"/>
    <w:rsid w:val="009862BB"/>
    <w:rsid w:val="00990C23"/>
    <w:rsid w:val="0099341E"/>
    <w:rsid w:val="00994311"/>
    <w:rsid w:val="0099506C"/>
    <w:rsid w:val="0099640C"/>
    <w:rsid w:val="009A30BB"/>
    <w:rsid w:val="009A520F"/>
    <w:rsid w:val="009A5852"/>
    <w:rsid w:val="009A67A5"/>
    <w:rsid w:val="009A7814"/>
    <w:rsid w:val="009B3D30"/>
    <w:rsid w:val="009B5377"/>
    <w:rsid w:val="009B5901"/>
    <w:rsid w:val="009B6D04"/>
    <w:rsid w:val="009B72EF"/>
    <w:rsid w:val="009C2897"/>
    <w:rsid w:val="009C73D6"/>
    <w:rsid w:val="009C7475"/>
    <w:rsid w:val="009D0DA2"/>
    <w:rsid w:val="009D144C"/>
    <w:rsid w:val="009D2D2A"/>
    <w:rsid w:val="009D3B07"/>
    <w:rsid w:val="009E0BD8"/>
    <w:rsid w:val="009E4907"/>
    <w:rsid w:val="009E6F0B"/>
    <w:rsid w:val="009E7620"/>
    <w:rsid w:val="009F0D0D"/>
    <w:rsid w:val="009F1097"/>
    <w:rsid w:val="009F35AD"/>
    <w:rsid w:val="00A0222D"/>
    <w:rsid w:val="00A0242F"/>
    <w:rsid w:val="00A13144"/>
    <w:rsid w:val="00A13B02"/>
    <w:rsid w:val="00A14A83"/>
    <w:rsid w:val="00A2239C"/>
    <w:rsid w:val="00A2780E"/>
    <w:rsid w:val="00A30177"/>
    <w:rsid w:val="00A30D7C"/>
    <w:rsid w:val="00A3261C"/>
    <w:rsid w:val="00A33426"/>
    <w:rsid w:val="00A34CD7"/>
    <w:rsid w:val="00A40C49"/>
    <w:rsid w:val="00A42498"/>
    <w:rsid w:val="00A45B15"/>
    <w:rsid w:val="00A46DCC"/>
    <w:rsid w:val="00A50204"/>
    <w:rsid w:val="00A572FF"/>
    <w:rsid w:val="00A62FD0"/>
    <w:rsid w:val="00A634FB"/>
    <w:rsid w:val="00A811C3"/>
    <w:rsid w:val="00A82C1C"/>
    <w:rsid w:val="00A84227"/>
    <w:rsid w:val="00A8453F"/>
    <w:rsid w:val="00A858EA"/>
    <w:rsid w:val="00A87B50"/>
    <w:rsid w:val="00A93E55"/>
    <w:rsid w:val="00A94151"/>
    <w:rsid w:val="00A941A5"/>
    <w:rsid w:val="00A95E55"/>
    <w:rsid w:val="00AA30DC"/>
    <w:rsid w:val="00AA3789"/>
    <w:rsid w:val="00AA5F96"/>
    <w:rsid w:val="00AB1680"/>
    <w:rsid w:val="00AB16AE"/>
    <w:rsid w:val="00AB17D3"/>
    <w:rsid w:val="00AC3529"/>
    <w:rsid w:val="00AC503D"/>
    <w:rsid w:val="00AC6574"/>
    <w:rsid w:val="00AC6B35"/>
    <w:rsid w:val="00AD3B8D"/>
    <w:rsid w:val="00AD5E0E"/>
    <w:rsid w:val="00AE1FB4"/>
    <w:rsid w:val="00AE6D13"/>
    <w:rsid w:val="00AF1D4D"/>
    <w:rsid w:val="00AF2412"/>
    <w:rsid w:val="00AF6C24"/>
    <w:rsid w:val="00AF77F1"/>
    <w:rsid w:val="00B04F22"/>
    <w:rsid w:val="00B122D9"/>
    <w:rsid w:val="00B126E2"/>
    <w:rsid w:val="00B135BC"/>
    <w:rsid w:val="00B1615B"/>
    <w:rsid w:val="00B21A6E"/>
    <w:rsid w:val="00B21B5A"/>
    <w:rsid w:val="00B21B93"/>
    <w:rsid w:val="00B249E9"/>
    <w:rsid w:val="00B26139"/>
    <w:rsid w:val="00B2614F"/>
    <w:rsid w:val="00B34748"/>
    <w:rsid w:val="00B40B15"/>
    <w:rsid w:val="00B4168B"/>
    <w:rsid w:val="00B51A72"/>
    <w:rsid w:val="00B51EBF"/>
    <w:rsid w:val="00B545FD"/>
    <w:rsid w:val="00B60722"/>
    <w:rsid w:val="00B62380"/>
    <w:rsid w:val="00B62571"/>
    <w:rsid w:val="00B640B2"/>
    <w:rsid w:val="00B646B4"/>
    <w:rsid w:val="00B65678"/>
    <w:rsid w:val="00B667A1"/>
    <w:rsid w:val="00B674D8"/>
    <w:rsid w:val="00B71C9D"/>
    <w:rsid w:val="00B7235D"/>
    <w:rsid w:val="00B77BDD"/>
    <w:rsid w:val="00B84BC2"/>
    <w:rsid w:val="00B9287D"/>
    <w:rsid w:val="00B9701E"/>
    <w:rsid w:val="00BA6517"/>
    <w:rsid w:val="00BA6783"/>
    <w:rsid w:val="00BA6D2C"/>
    <w:rsid w:val="00BB3D1A"/>
    <w:rsid w:val="00BB404B"/>
    <w:rsid w:val="00BC109A"/>
    <w:rsid w:val="00BC1FA9"/>
    <w:rsid w:val="00BD25BF"/>
    <w:rsid w:val="00BD3FB9"/>
    <w:rsid w:val="00BD5B67"/>
    <w:rsid w:val="00BE017B"/>
    <w:rsid w:val="00BE09B0"/>
    <w:rsid w:val="00BE13D8"/>
    <w:rsid w:val="00BE4344"/>
    <w:rsid w:val="00BE5E08"/>
    <w:rsid w:val="00BF0677"/>
    <w:rsid w:val="00BF2F07"/>
    <w:rsid w:val="00BF3050"/>
    <w:rsid w:val="00BF54D7"/>
    <w:rsid w:val="00BF5ACB"/>
    <w:rsid w:val="00BF7AC1"/>
    <w:rsid w:val="00C02A86"/>
    <w:rsid w:val="00C04D36"/>
    <w:rsid w:val="00C05EC5"/>
    <w:rsid w:val="00C068BA"/>
    <w:rsid w:val="00C07CFD"/>
    <w:rsid w:val="00C10D48"/>
    <w:rsid w:val="00C14670"/>
    <w:rsid w:val="00C153EF"/>
    <w:rsid w:val="00C17D85"/>
    <w:rsid w:val="00C17E82"/>
    <w:rsid w:val="00C20451"/>
    <w:rsid w:val="00C224C0"/>
    <w:rsid w:val="00C250CF"/>
    <w:rsid w:val="00C311D1"/>
    <w:rsid w:val="00C3207B"/>
    <w:rsid w:val="00C33624"/>
    <w:rsid w:val="00C3530F"/>
    <w:rsid w:val="00C355B2"/>
    <w:rsid w:val="00C3579A"/>
    <w:rsid w:val="00C37952"/>
    <w:rsid w:val="00C402F2"/>
    <w:rsid w:val="00C45E25"/>
    <w:rsid w:val="00C47599"/>
    <w:rsid w:val="00C53BFA"/>
    <w:rsid w:val="00C55DD9"/>
    <w:rsid w:val="00C57618"/>
    <w:rsid w:val="00C61CCD"/>
    <w:rsid w:val="00C7032D"/>
    <w:rsid w:val="00C752CD"/>
    <w:rsid w:val="00C76628"/>
    <w:rsid w:val="00C81184"/>
    <w:rsid w:val="00C939B1"/>
    <w:rsid w:val="00C9569A"/>
    <w:rsid w:val="00C97364"/>
    <w:rsid w:val="00C97BAD"/>
    <w:rsid w:val="00C97D72"/>
    <w:rsid w:val="00CA6024"/>
    <w:rsid w:val="00CB20A0"/>
    <w:rsid w:val="00CB341D"/>
    <w:rsid w:val="00CC1409"/>
    <w:rsid w:val="00CC2615"/>
    <w:rsid w:val="00CC4988"/>
    <w:rsid w:val="00CD2FF2"/>
    <w:rsid w:val="00CD4FC7"/>
    <w:rsid w:val="00CD625A"/>
    <w:rsid w:val="00CD7A7B"/>
    <w:rsid w:val="00CE00EC"/>
    <w:rsid w:val="00CE0B88"/>
    <w:rsid w:val="00CE2A80"/>
    <w:rsid w:val="00CE3352"/>
    <w:rsid w:val="00CF03B2"/>
    <w:rsid w:val="00CF4736"/>
    <w:rsid w:val="00CF6E7D"/>
    <w:rsid w:val="00CF7D76"/>
    <w:rsid w:val="00D0109B"/>
    <w:rsid w:val="00D031B0"/>
    <w:rsid w:val="00D03675"/>
    <w:rsid w:val="00D138FE"/>
    <w:rsid w:val="00D16A3E"/>
    <w:rsid w:val="00D21737"/>
    <w:rsid w:val="00D21E92"/>
    <w:rsid w:val="00D228A3"/>
    <w:rsid w:val="00D262CA"/>
    <w:rsid w:val="00D2635B"/>
    <w:rsid w:val="00D3134C"/>
    <w:rsid w:val="00D3282B"/>
    <w:rsid w:val="00D33A51"/>
    <w:rsid w:val="00D33F2A"/>
    <w:rsid w:val="00D36129"/>
    <w:rsid w:val="00D42994"/>
    <w:rsid w:val="00D430B1"/>
    <w:rsid w:val="00D50734"/>
    <w:rsid w:val="00D50FFE"/>
    <w:rsid w:val="00D517FC"/>
    <w:rsid w:val="00D528C2"/>
    <w:rsid w:val="00D54FC0"/>
    <w:rsid w:val="00D61C80"/>
    <w:rsid w:val="00D6220D"/>
    <w:rsid w:val="00D679A5"/>
    <w:rsid w:val="00D7111A"/>
    <w:rsid w:val="00D72B08"/>
    <w:rsid w:val="00D74F5F"/>
    <w:rsid w:val="00D76009"/>
    <w:rsid w:val="00D7799D"/>
    <w:rsid w:val="00D82911"/>
    <w:rsid w:val="00D82F96"/>
    <w:rsid w:val="00D915B0"/>
    <w:rsid w:val="00D9572E"/>
    <w:rsid w:val="00D95CB5"/>
    <w:rsid w:val="00D961EC"/>
    <w:rsid w:val="00D9749A"/>
    <w:rsid w:val="00DA10E8"/>
    <w:rsid w:val="00DA27FC"/>
    <w:rsid w:val="00DA54A2"/>
    <w:rsid w:val="00DB00BF"/>
    <w:rsid w:val="00DB34FF"/>
    <w:rsid w:val="00DB6D10"/>
    <w:rsid w:val="00DB6ECE"/>
    <w:rsid w:val="00DC0316"/>
    <w:rsid w:val="00DC09A0"/>
    <w:rsid w:val="00DD5ACE"/>
    <w:rsid w:val="00DD638D"/>
    <w:rsid w:val="00DD738E"/>
    <w:rsid w:val="00DE5420"/>
    <w:rsid w:val="00DF09C0"/>
    <w:rsid w:val="00DF1875"/>
    <w:rsid w:val="00DF55AD"/>
    <w:rsid w:val="00DF5707"/>
    <w:rsid w:val="00DF7548"/>
    <w:rsid w:val="00E04D96"/>
    <w:rsid w:val="00E065CE"/>
    <w:rsid w:val="00E12D8A"/>
    <w:rsid w:val="00E14590"/>
    <w:rsid w:val="00E255EA"/>
    <w:rsid w:val="00E2620E"/>
    <w:rsid w:val="00E27774"/>
    <w:rsid w:val="00E33FCD"/>
    <w:rsid w:val="00E34D03"/>
    <w:rsid w:val="00E3515D"/>
    <w:rsid w:val="00E43B2A"/>
    <w:rsid w:val="00E44EA0"/>
    <w:rsid w:val="00E50571"/>
    <w:rsid w:val="00E51A7D"/>
    <w:rsid w:val="00E5463F"/>
    <w:rsid w:val="00E55B3A"/>
    <w:rsid w:val="00E63AA9"/>
    <w:rsid w:val="00E6698F"/>
    <w:rsid w:val="00E72528"/>
    <w:rsid w:val="00E72C78"/>
    <w:rsid w:val="00E77A20"/>
    <w:rsid w:val="00E87936"/>
    <w:rsid w:val="00E90AF2"/>
    <w:rsid w:val="00E96A65"/>
    <w:rsid w:val="00E96B89"/>
    <w:rsid w:val="00E97E23"/>
    <w:rsid w:val="00EA081A"/>
    <w:rsid w:val="00EA501E"/>
    <w:rsid w:val="00EA590A"/>
    <w:rsid w:val="00EB11BF"/>
    <w:rsid w:val="00EB15C7"/>
    <w:rsid w:val="00EB16FB"/>
    <w:rsid w:val="00EB2D83"/>
    <w:rsid w:val="00EB7D98"/>
    <w:rsid w:val="00EC2485"/>
    <w:rsid w:val="00EC7BC3"/>
    <w:rsid w:val="00ED2DCD"/>
    <w:rsid w:val="00ED3624"/>
    <w:rsid w:val="00ED7F26"/>
    <w:rsid w:val="00EE20AF"/>
    <w:rsid w:val="00EE25D1"/>
    <w:rsid w:val="00EE69D8"/>
    <w:rsid w:val="00EE7F2E"/>
    <w:rsid w:val="00EF261F"/>
    <w:rsid w:val="00EF502E"/>
    <w:rsid w:val="00EF537D"/>
    <w:rsid w:val="00EF79B3"/>
    <w:rsid w:val="00F071D8"/>
    <w:rsid w:val="00F07B30"/>
    <w:rsid w:val="00F07FE2"/>
    <w:rsid w:val="00F11896"/>
    <w:rsid w:val="00F21D1E"/>
    <w:rsid w:val="00F25915"/>
    <w:rsid w:val="00F27A52"/>
    <w:rsid w:val="00F35406"/>
    <w:rsid w:val="00F405C3"/>
    <w:rsid w:val="00F44CC8"/>
    <w:rsid w:val="00F464C3"/>
    <w:rsid w:val="00F514EC"/>
    <w:rsid w:val="00F52A10"/>
    <w:rsid w:val="00F64684"/>
    <w:rsid w:val="00F6748F"/>
    <w:rsid w:val="00F67970"/>
    <w:rsid w:val="00F76D44"/>
    <w:rsid w:val="00F77B52"/>
    <w:rsid w:val="00F836D7"/>
    <w:rsid w:val="00F869EC"/>
    <w:rsid w:val="00F91EE0"/>
    <w:rsid w:val="00F9373C"/>
    <w:rsid w:val="00FA28B1"/>
    <w:rsid w:val="00FB03CB"/>
    <w:rsid w:val="00FB48CB"/>
    <w:rsid w:val="00FB4D61"/>
    <w:rsid w:val="00FB541A"/>
    <w:rsid w:val="00FB7777"/>
    <w:rsid w:val="00FC0E84"/>
    <w:rsid w:val="00FC2571"/>
    <w:rsid w:val="00FC404E"/>
    <w:rsid w:val="00FC5E2C"/>
    <w:rsid w:val="00FD2131"/>
    <w:rsid w:val="00FD24F4"/>
    <w:rsid w:val="00FD40F9"/>
    <w:rsid w:val="00FE12E9"/>
    <w:rsid w:val="00FE1A1C"/>
    <w:rsid w:val="00FE43D7"/>
    <w:rsid w:val="00FE5E61"/>
    <w:rsid w:val="00FF0513"/>
    <w:rsid w:val="00FF3A42"/>
    <w:rsid w:val="058F0179"/>
    <w:rsid w:val="0B1AD191"/>
    <w:rsid w:val="0EABCD7A"/>
    <w:rsid w:val="123C6DA9"/>
    <w:rsid w:val="15F3CFA7"/>
    <w:rsid w:val="162BF5EA"/>
    <w:rsid w:val="17446759"/>
    <w:rsid w:val="17C7C64B"/>
    <w:rsid w:val="1A76A81F"/>
    <w:rsid w:val="1C9B376E"/>
    <w:rsid w:val="1CA9C9D7"/>
    <w:rsid w:val="1DAAFDBD"/>
    <w:rsid w:val="23E51388"/>
    <w:rsid w:val="24A06DD7"/>
    <w:rsid w:val="271CB44A"/>
    <w:rsid w:val="304F7710"/>
    <w:rsid w:val="3232C9C9"/>
    <w:rsid w:val="325F66F1"/>
    <w:rsid w:val="329F7B46"/>
    <w:rsid w:val="37947E0C"/>
    <w:rsid w:val="387B1365"/>
    <w:rsid w:val="3AA121A1"/>
    <w:rsid w:val="42DC9D49"/>
    <w:rsid w:val="488086D0"/>
    <w:rsid w:val="4F7E02CA"/>
    <w:rsid w:val="502EA859"/>
    <w:rsid w:val="5597F186"/>
    <w:rsid w:val="5A923876"/>
    <w:rsid w:val="60BBEB93"/>
    <w:rsid w:val="6507026F"/>
    <w:rsid w:val="701C9A4E"/>
    <w:rsid w:val="712A6EB7"/>
    <w:rsid w:val="76C0E420"/>
    <w:rsid w:val="77733436"/>
    <w:rsid w:val="77939130"/>
    <w:rsid w:val="785CB481"/>
    <w:rsid w:val="7B945543"/>
    <w:rsid w:val="7BFC3C6F"/>
    <w:rsid w:val="7EBB0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5F89A"/>
  <w15:docId w15:val="{2DC21518-530E-4DBA-9160-0284698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5A0"/>
    <w:pPr>
      <w:spacing w:before="240"/>
    </w:pPr>
    <w:rPr>
      <w:sz w:val="24"/>
    </w:rPr>
  </w:style>
  <w:style w:type="paragraph" w:styleId="Heading1">
    <w:name w:val="heading 1"/>
    <w:basedOn w:val="Normal"/>
    <w:next w:val="Normal"/>
    <w:link w:val="Heading1Char"/>
    <w:qFormat/>
    <w:pPr>
      <w:keepNext/>
      <w:numPr>
        <w:numId w:val="6"/>
      </w:numPr>
      <w:spacing w:before="0"/>
      <w:outlineLvl w:val="0"/>
    </w:pPr>
    <w:rPr>
      <w:b/>
      <w:caps/>
    </w:rPr>
  </w:style>
  <w:style w:type="paragraph" w:styleId="Heading2">
    <w:name w:val="heading 2"/>
    <w:basedOn w:val="Normal"/>
    <w:next w:val="Normal"/>
    <w:link w:val="Heading2Char"/>
    <w:qFormat/>
    <w:pPr>
      <w:keepNext/>
      <w:numPr>
        <w:ilvl w:val="1"/>
        <w:numId w:val="6"/>
      </w:numPr>
      <w:spacing w:before="360" w:after="60"/>
      <w:outlineLvl w:val="1"/>
    </w:pPr>
    <w:rPr>
      <w:b/>
    </w:rPr>
  </w:style>
  <w:style w:type="paragraph" w:styleId="Heading3">
    <w:name w:val="heading 3"/>
    <w:basedOn w:val="Normal"/>
    <w:next w:val="Normal"/>
    <w:link w:val="Heading3Char"/>
    <w:qFormat/>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BC2"/>
    <w:rPr>
      <w:b/>
      <w:caps/>
      <w:sz w:val="24"/>
    </w:rPr>
  </w:style>
  <w:style w:type="character" w:customStyle="1" w:styleId="Heading2Char">
    <w:name w:val="Heading 2 Char"/>
    <w:basedOn w:val="DefaultParagraphFont"/>
    <w:link w:val="Heading2"/>
    <w:rsid w:val="00C61CCD"/>
    <w:rPr>
      <w:b/>
      <w:sz w:val="24"/>
    </w:rPr>
  </w:style>
  <w:style w:type="character" w:customStyle="1" w:styleId="Heading3Char">
    <w:name w:val="Heading 3 Char"/>
    <w:basedOn w:val="DefaultParagraphFont"/>
    <w:link w:val="Heading3"/>
    <w:rsid w:val="00240213"/>
    <w:rPr>
      <w:b/>
      <w:i/>
      <w:sz w:val="24"/>
    </w:rPr>
  </w:style>
  <w:style w:type="character" w:customStyle="1" w:styleId="Heading4Char">
    <w:name w:val="Heading 4 Char"/>
    <w:basedOn w:val="DefaultParagraphFont"/>
    <w:link w:val="Heading4"/>
    <w:rsid w:val="007D189A"/>
    <w:rPr>
      <w:sz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E0672"/>
    <w:rPr>
      <w:sz w:val="24"/>
    </w:rPr>
  </w:style>
  <w:style w:type="paragraph" w:customStyle="1" w:styleId="HB-Table-dotpoint">
    <w:name w:val="HB - Table - dot point"/>
    <w:basedOn w:val="Normal"/>
    <w:pPr>
      <w:numPr>
        <w:numId w:val="21"/>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uiPriority w:val="99"/>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D189A"/>
    <w:rPr>
      <w:rFonts w:ascii="Tahoma" w:hAnsi="Tahoma" w:cs="Tahoma"/>
      <w:sz w:val="16"/>
      <w:szCs w:val="16"/>
    </w:rPr>
  </w:style>
  <w:style w:type="paragraph" w:customStyle="1" w:styleId="HB-Paragraph">
    <w:name w:val="HB - Paragraph"/>
    <w:basedOn w:val="Normal"/>
    <w:link w:val="HB-ParagraphCharChar"/>
    <w:pPr>
      <w:numPr>
        <w:ilvl w:val="2"/>
        <w:numId w:val="6"/>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4"/>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uiPriority w:val="99"/>
    <w:rPr>
      <w:color w:val="0000FF"/>
      <w:u w:val="single"/>
    </w:rPr>
  </w:style>
  <w:style w:type="paragraph" w:styleId="Title">
    <w:name w:val="Title"/>
    <w:basedOn w:val="Normal"/>
    <w:link w:val="TitleChar"/>
    <w:qFormat/>
    <w:pPr>
      <w:spacing w:before="0"/>
      <w:jc w:val="center"/>
    </w:pPr>
    <w:rPr>
      <w:b/>
      <w:sz w:val="36"/>
    </w:rPr>
  </w:style>
  <w:style w:type="character" w:customStyle="1" w:styleId="TitleChar">
    <w:name w:val="Title Char"/>
    <w:link w:val="Title"/>
    <w:rsid w:val="00597CE8"/>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367D5C"/>
    <w:pPr>
      <w:tabs>
        <w:tab w:val="center" w:pos="4153"/>
        <w:tab w:val="right" w:pos="8306"/>
      </w:tabs>
    </w:pPr>
  </w:style>
  <w:style w:type="character" w:customStyle="1" w:styleId="HeaderChar">
    <w:name w:val="Header Char"/>
    <w:link w:val="Header"/>
    <w:uiPriority w:val="99"/>
    <w:rsid w:val="00AA5F96"/>
    <w:rPr>
      <w:sz w:val="24"/>
    </w:rPr>
  </w:style>
  <w:style w:type="character" w:styleId="FollowedHyperlink">
    <w:name w:val="FollowedHyperlink"/>
    <w:uiPriority w:val="99"/>
    <w:rsid w:val="00367D5C"/>
    <w:rPr>
      <w:color w:val="800080"/>
      <w:u w:val="single"/>
    </w:rPr>
  </w:style>
  <w:style w:type="character" w:styleId="CommentReference">
    <w:name w:val="annotation reference"/>
    <w:uiPriority w:val="99"/>
    <w:rsid w:val="002D710B"/>
    <w:rPr>
      <w:sz w:val="16"/>
      <w:szCs w:val="16"/>
    </w:rPr>
  </w:style>
  <w:style w:type="paragraph" w:styleId="CommentText">
    <w:name w:val="annotation text"/>
    <w:basedOn w:val="Normal"/>
    <w:link w:val="CommentTextChar"/>
    <w:uiPriority w:val="99"/>
    <w:rsid w:val="002D710B"/>
    <w:rPr>
      <w:sz w:val="20"/>
    </w:rPr>
  </w:style>
  <w:style w:type="character" w:customStyle="1" w:styleId="CommentTextChar">
    <w:name w:val="Comment Text Char"/>
    <w:basedOn w:val="DefaultParagraphFont"/>
    <w:link w:val="CommentText"/>
    <w:uiPriority w:val="99"/>
    <w:rsid w:val="002D710B"/>
  </w:style>
  <w:style w:type="paragraph" w:styleId="CommentSubject">
    <w:name w:val="annotation subject"/>
    <w:basedOn w:val="CommentText"/>
    <w:next w:val="CommentText"/>
    <w:link w:val="CommentSubjectChar"/>
    <w:uiPriority w:val="99"/>
    <w:rsid w:val="002D710B"/>
    <w:rPr>
      <w:b/>
      <w:bCs/>
    </w:rPr>
  </w:style>
  <w:style w:type="character" w:customStyle="1" w:styleId="CommentSubjectChar">
    <w:name w:val="Comment Subject Char"/>
    <w:link w:val="CommentSubject"/>
    <w:uiPriority w:val="99"/>
    <w:rsid w:val="002D710B"/>
    <w:rPr>
      <w:b/>
      <w:bCs/>
    </w:rPr>
  </w:style>
  <w:style w:type="paragraph" w:styleId="Revision">
    <w:name w:val="Revision"/>
    <w:hidden/>
    <w:uiPriority w:val="99"/>
    <w:semiHidden/>
    <w:rsid w:val="00924C15"/>
    <w:rPr>
      <w:sz w:val="24"/>
    </w:rPr>
  </w:style>
  <w:style w:type="paragraph" w:styleId="PlainText">
    <w:name w:val="Plain Text"/>
    <w:basedOn w:val="Normal"/>
    <w:link w:val="PlainTextChar"/>
    <w:uiPriority w:val="99"/>
    <w:unhideWhenUsed/>
    <w:rsid w:val="00B646B4"/>
    <w:pPr>
      <w:spacing w:before="0"/>
    </w:pPr>
    <w:rPr>
      <w:rFonts w:ascii="Consolas" w:eastAsia="Calibri" w:hAnsi="Consolas" w:cs="Consolas"/>
      <w:sz w:val="21"/>
      <w:szCs w:val="21"/>
    </w:rPr>
  </w:style>
  <w:style w:type="character" w:customStyle="1" w:styleId="PlainTextChar">
    <w:name w:val="Plain Text Char"/>
    <w:link w:val="PlainText"/>
    <w:uiPriority w:val="99"/>
    <w:rsid w:val="00B646B4"/>
    <w:rPr>
      <w:rFonts w:ascii="Consolas" w:eastAsia="Calibri" w:hAnsi="Consolas" w:cs="Consolas"/>
      <w:sz w:val="21"/>
      <w:szCs w:val="21"/>
    </w:rPr>
  </w:style>
  <w:style w:type="paragraph" w:styleId="ListParagraph">
    <w:name w:val="List Paragraph"/>
    <w:basedOn w:val="Normal"/>
    <w:uiPriority w:val="34"/>
    <w:qFormat/>
    <w:rsid w:val="00FE12E9"/>
    <w:pPr>
      <w:ind w:left="720"/>
    </w:pPr>
  </w:style>
  <w:style w:type="paragraph" w:customStyle="1" w:styleId="ShortT">
    <w:name w:val="ShortT"/>
    <w:basedOn w:val="Normal"/>
    <w:next w:val="Normal"/>
    <w:qFormat/>
    <w:rsid w:val="00552FA7"/>
    <w:pPr>
      <w:spacing w:before="0"/>
    </w:pPr>
    <w:rPr>
      <w:b/>
      <w:sz w:val="40"/>
    </w:rPr>
  </w:style>
  <w:style w:type="paragraph" w:customStyle="1" w:styleId="SignCoverPageStart">
    <w:name w:val="SignCoverPageStart"/>
    <w:basedOn w:val="Normal"/>
    <w:next w:val="Normal"/>
    <w:rsid w:val="00552FA7"/>
    <w:pPr>
      <w:pBdr>
        <w:top w:val="single" w:sz="4" w:space="1" w:color="auto"/>
      </w:pBdr>
      <w:spacing w:before="360" w:line="260" w:lineRule="atLeast"/>
      <w:ind w:right="397"/>
      <w:jc w:val="both"/>
    </w:pPr>
    <w:rPr>
      <w:sz w:val="22"/>
    </w:rPr>
  </w:style>
  <w:style w:type="paragraph" w:customStyle="1" w:styleId="SignCoverPageEnd">
    <w:name w:val="SignCoverPageEnd"/>
    <w:basedOn w:val="Normal"/>
    <w:next w:val="Normal"/>
    <w:rsid w:val="00552FA7"/>
    <w:pPr>
      <w:keepNext/>
      <w:pBdr>
        <w:bottom w:val="single" w:sz="4" w:space="12" w:color="auto"/>
      </w:pBdr>
      <w:tabs>
        <w:tab w:val="left" w:pos="3402"/>
      </w:tabs>
      <w:spacing w:before="0" w:line="300" w:lineRule="atLeast"/>
      <w:ind w:right="397"/>
    </w:pPr>
  </w:style>
  <w:style w:type="paragraph" w:customStyle="1" w:styleId="paragraph">
    <w:name w:val="paragraph"/>
    <w:aliases w:val="a"/>
    <w:basedOn w:val="Normal"/>
    <w:rsid w:val="00552FA7"/>
    <w:pPr>
      <w:tabs>
        <w:tab w:val="right" w:pos="1531"/>
      </w:tabs>
      <w:spacing w:before="40"/>
      <w:ind w:left="1644" w:hanging="1644"/>
    </w:pPr>
    <w:rPr>
      <w:sz w:val="22"/>
    </w:rPr>
  </w:style>
  <w:style w:type="character" w:styleId="Strong">
    <w:name w:val="Strong"/>
    <w:basedOn w:val="DefaultParagraphFont"/>
    <w:uiPriority w:val="22"/>
    <w:qFormat/>
    <w:rsid w:val="001A4583"/>
    <w:rPr>
      <w:b/>
      <w:bCs/>
    </w:rPr>
  </w:style>
  <w:style w:type="paragraph" w:styleId="NormalWeb">
    <w:name w:val="Normal (Web)"/>
    <w:basedOn w:val="Normal"/>
    <w:uiPriority w:val="99"/>
    <w:unhideWhenUsed/>
    <w:rsid w:val="00F6748F"/>
    <w:pPr>
      <w:spacing w:before="100" w:beforeAutospacing="1" w:after="100" w:afterAutospacing="1"/>
    </w:pPr>
    <w:rPr>
      <w:szCs w:val="24"/>
    </w:rPr>
  </w:style>
  <w:style w:type="character" w:styleId="Emphasis">
    <w:name w:val="Emphasis"/>
    <w:basedOn w:val="DefaultParagraphFont"/>
    <w:uiPriority w:val="20"/>
    <w:qFormat/>
    <w:rsid w:val="00F6748F"/>
    <w:rPr>
      <w:i/>
      <w:iCs/>
    </w:rPr>
  </w:style>
  <w:style w:type="paragraph" w:customStyle="1" w:styleId="h4">
    <w:name w:val="h4"/>
    <w:basedOn w:val="Heading3"/>
    <w:link w:val="h4Char"/>
    <w:qFormat/>
    <w:rsid w:val="00240213"/>
    <w:pPr>
      <w:outlineLvl w:val="3"/>
    </w:pPr>
    <w:rPr>
      <w:i w:val="0"/>
    </w:rPr>
  </w:style>
  <w:style w:type="character" w:customStyle="1" w:styleId="h4Char">
    <w:name w:val="h4 Char"/>
    <w:basedOn w:val="Heading3Char"/>
    <w:link w:val="h4"/>
    <w:rsid w:val="00240213"/>
    <w:rPr>
      <w:b/>
      <w:i w:val="0"/>
      <w:sz w:val="24"/>
    </w:rPr>
  </w:style>
  <w:style w:type="paragraph" w:customStyle="1" w:styleId="h3">
    <w:name w:val="h3"/>
    <w:basedOn w:val="Heading2"/>
    <w:link w:val="h3Char"/>
    <w:qFormat/>
    <w:rsid w:val="00C61CCD"/>
    <w:pPr>
      <w:ind w:left="856" w:hanging="856"/>
      <w:outlineLvl w:val="2"/>
    </w:pPr>
  </w:style>
  <w:style w:type="character" w:customStyle="1" w:styleId="h3Char">
    <w:name w:val="h3 Char"/>
    <w:basedOn w:val="Heading2Char"/>
    <w:link w:val="h3"/>
    <w:rsid w:val="00C61CCD"/>
    <w:rPr>
      <w:b/>
      <w:sz w:val="24"/>
    </w:rPr>
  </w:style>
  <w:style w:type="paragraph" w:customStyle="1" w:styleId="h2">
    <w:name w:val="h2"/>
    <w:basedOn w:val="Heading1"/>
    <w:link w:val="h2Char"/>
    <w:qFormat/>
    <w:rsid w:val="00B84BC2"/>
    <w:pPr>
      <w:ind w:left="856" w:hanging="856"/>
      <w:outlineLvl w:val="1"/>
    </w:pPr>
  </w:style>
  <w:style w:type="character" w:customStyle="1" w:styleId="h2Char">
    <w:name w:val="h2 Char"/>
    <w:basedOn w:val="Heading1Char"/>
    <w:link w:val="h2"/>
    <w:rsid w:val="00B84BC2"/>
    <w:rPr>
      <w:b/>
      <w:caps/>
      <w:sz w:val="24"/>
    </w:rPr>
  </w:style>
  <w:style w:type="paragraph" w:customStyle="1" w:styleId="Appendicies">
    <w:name w:val="Appendicies"/>
    <w:basedOn w:val="AppendixTitle"/>
    <w:link w:val="AppendiciesChar"/>
    <w:qFormat/>
    <w:rsid w:val="00AE6D13"/>
    <w:pPr>
      <w:outlineLvl w:val="1"/>
    </w:pPr>
  </w:style>
  <w:style w:type="character" w:customStyle="1" w:styleId="AppendiciesChar">
    <w:name w:val="Appendicies Char"/>
    <w:basedOn w:val="AppendixCharChar"/>
    <w:link w:val="Appendicies"/>
    <w:rsid w:val="00AE6D13"/>
    <w:rPr>
      <w:b/>
      <w:sz w:val="24"/>
      <w:lang w:val="en-AU" w:eastAsia="en-AU" w:bidi="ar-SA"/>
    </w:rPr>
  </w:style>
  <w:style w:type="table" w:styleId="TableGrid">
    <w:name w:val="Table Grid"/>
    <w:basedOn w:val="TableNormal"/>
    <w:uiPriority w:val="59"/>
    <w:rsid w:val="00E33F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E33FCD"/>
    <w:pPr>
      <w:spacing w:before="60" w:line="240" w:lineRule="atLeast"/>
    </w:pPr>
    <w:rPr>
      <w:sz w:val="20"/>
    </w:rPr>
  </w:style>
  <w:style w:type="paragraph" w:customStyle="1" w:styleId="Tablea">
    <w:name w:val="Table(a)"/>
    <w:aliases w:val="ta"/>
    <w:basedOn w:val="Normal"/>
    <w:rsid w:val="00E33FCD"/>
    <w:pPr>
      <w:spacing w:before="60"/>
      <w:ind w:left="284" w:hanging="284"/>
    </w:pPr>
    <w:rPr>
      <w:sz w:val="20"/>
    </w:rPr>
  </w:style>
  <w:style w:type="paragraph" w:customStyle="1" w:styleId="Tablei">
    <w:name w:val="Table(i)"/>
    <w:aliases w:val="taa"/>
    <w:basedOn w:val="Normal"/>
    <w:rsid w:val="00E33FCD"/>
    <w:pPr>
      <w:tabs>
        <w:tab w:val="left" w:pos="-6543"/>
        <w:tab w:val="left" w:pos="-6260"/>
        <w:tab w:val="right" w:pos="970"/>
      </w:tabs>
      <w:spacing w:before="0" w:line="240" w:lineRule="exact"/>
      <w:ind w:left="828" w:hanging="284"/>
    </w:pPr>
    <w:rPr>
      <w:sz w:val="20"/>
    </w:rPr>
  </w:style>
  <w:style w:type="paragraph" w:customStyle="1" w:styleId="Default">
    <w:name w:val="Default"/>
    <w:rsid w:val="00E33FCD"/>
    <w:pPr>
      <w:autoSpaceDE w:val="0"/>
      <w:autoSpaceDN w:val="0"/>
      <w:adjustRightInd w:val="0"/>
    </w:pPr>
    <w:rPr>
      <w:color w:val="000000"/>
      <w:sz w:val="24"/>
      <w:szCs w:val="24"/>
    </w:rPr>
  </w:style>
  <w:style w:type="character" w:customStyle="1" w:styleId="normalchar1">
    <w:name w:val="normal__char1"/>
    <w:basedOn w:val="DefaultParagraphFont"/>
    <w:uiPriority w:val="99"/>
    <w:rsid w:val="00EF261F"/>
    <w:rPr>
      <w:rFonts w:ascii="Times New Roman" w:hAnsi="Times New Roman" w:cs="Times New Roman"/>
      <w:sz w:val="24"/>
      <w:szCs w:val="24"/>
      <w:u w:val="none"/>
      <w:effect w:val="none"/>
    </w:rPr>
  </w:style>
  <w:style w:type="paragraph" w:customStyle="1" w:styleId="ActHead3">
    <w:name w:val="ActHead 3"/>
    <w:aliases w:val="d"/>
    <w:basedOn w:val="Normal"/>
    <w:next w:val="Normal"/>
    <w:qFormat/>
    <w:rsid w:val="00135613"/>
    <w:pPr>
      <w:keepNext/>
      <w:keepLines/>
      <w:ind w:left="1134" w:hanging="1134"/>
      <w:outlineLvl w:val="2"/>
    </w:pPr>
    <w:rPr>
      <w:b/>
      <w:kern w:val="28"/>
      <w:sz w:val="28"/>
    </w:rPr>
  </w:style>
  <w:style w:type="paragraph" w:customStyle="1" w:styleId="ActHead5">
    <w:name w:val="ActHead 5"/>
    <w:aliases w:val="s"/>
    <w:basedOn w:val="Normal"/>
    <w:next w:val="subsection"/>
    <w:link w:val="ActHead5Char"/>
    <w:qFormat/>
    <w:rsid w:val="00135613"/>
    <w:pPr>
      <w:keepNext/>
      <w:keepLines/>
      <w:spacing w:before="280"/>
      <w:ind w:left="1134" w:hanging="1134"/>
      <w:outlineLvl w:val="4"/>
    </w:pPr>
    <w:rPr>
      <w:b/>
      <w:kern w:val="28"/>
    </w:rPr>
  </w:style>
  <w:style w:type="paragraph" w:customStyle="1" w:styleId="subsection">
    <w:name w:val="subsection"/>
    <w:aliases w:val="ss"/>
    <w:basedOn w:val="Normal"/>
    <w:link w:val="subsectionChar"/>
    <w:rsid w:val="00135613"/>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135613"/>
    <w:rPr>
      <w:sz w:val="22"/>
    </w:rPr>
  </w:style>
  <w:style w:type="character" w:customStyle="1" w:styleId="ActHead5Char">
    <w:name w:val="ActHead 5 Char"/>
    <w:aliases w:val="s Char"/>
    <w:link w:val="ActHead5"/>
    <w:rsid w:val="00135613"/>
    <w:rPr>
      <w:b/>
      <w:kern w:val="28"/>
      <w:sz w:val="24"/>
    </w:rPr>
  </w:style>
  <w:style w:type="character" w:customStyle="1" w:styleId="CharDivNo">
    <w:name w:val="CharDivNo"/>
    <w:basedOn w:val="DefaultParagraphFont"/>
    <w:uiPriority w:val="1"/>
    <w:qFormat/>
    <w:rsid w:val="00135613"/>
  </w:style>
  <w:style w:type="character" w:customStyle="1" w:styleId="CharDivText">
    <w:name w:val="CharDivText"/>
    <w:basedOn w:val="DefaultParagraphFont"/>
    <w:uiPriority w:val="1"/>
    <w:qFormat/>
    <w:rsid w:val="00135613"/>
  </w:style>
  <w:style w:type="character" w:customStyle="1" w:styleId="CharSectno">
    <w:name w:val="CharSectno"/>
    <w:basedOn w:val="DefaultParagraphFont"/>
    <w:qFormat/>
    <w:rsid w:val="00135613"/>
  </w:style>
  <w:style w:type="paragraph" w:customStyle="1" w:styleId="Definition">
    <w:name w:val="Definition"/>
    <w:aliases w:val="dd"/>
    <w:basedOn w:val="Normal"/>
    <w:rsid w:val="00135613"/>
    <w:pPr>
      <w:spacing w:before="180"/>
      <w:ind w:left="1134"/>
    </w:pPr>
    <w:rPr>
      <w:sz w:val="22"/>
    </w:rPr>
  </w:style>
  <w:style w:type="paragraph" w:customStyle="1" w:styleId="Item">
    <w:name w:val="Item"/>
    <w:aliases w:val="i"/>
    <w:basedOn w:val="Normal"/>
    <w:next w:val="ItemHead"/>
    <w:rsid w:val="00135613"/>
    <w:pPr>
      <w:keepLines/>
      <w:spacing w:before="80"/>
      <w:ind w:left="709"/>
    </w:pPr>
    <w:rPr>
      <w:sz w:val="22"/>
    </w:rPr>
  </w:style>
  <w:style w:type="paragraph" w:customStyle="1" w:styleId="ItemHead">
    <w:name w:val="ItemHead"/>
    <w:aliases w:val="ih"/>
    <w:basedOn w:val="Normal"/>
    <w:next w:val="Item"/>
    <w:rsid w:val="00135613"/>
    <w:pPr>
      <w:keepNext/>
      <w:keepLines/>
      <w:spacing w:before="220"/>
      <w:ind w:left="709" w:hanging="709"/>
    </w:pPr>
    <w:rPr>
      <w:rFonts w:ascii="Arial" w:hAnsi="Arial"/>
      <w:b/>
      <w:kern w:val="28"/>
    </w:rPr>
  </w:style>
  <w:style w:type="paragraph" w:customStyle="1" w:styleId="notedraft">
    <w:name w:val="note(draft)"/>
    <w:aliases w:val="nd"/>
    <w:basedOn w:val="Normal"/>
    <w:rsid w:val="00135613"/>
    <w:pPr>
      <w:ind w:left="284" w:hanging="284"/>
    </w:pPr>
    <w:rPr>
      <w:i/>
    </w:rPr>
  </w:style>
  <w:style w:type="paragraph" w:customStyle="1" w:styleId="paragraphsub">
    <w:name w:val="paragraph(sub)"/>
    <w:aliases w:val="aa"/>
    <w:basedOn w:val="Normal"/>
    <w:rsid w:val="00135613"/>
    <w:pPr>
      <w:tabs>
        <w:tab w:val="right" w:pos="1985"/>
      </w:tabs>
      <w:spacing w:before="40"/>
      <w:ind w:left="2098" w:hanging="2098"/>
    </w:pPr>
    <w:rPr>
      <w:sz w:val="22"/>
    </w:rPr>
  </w:style>
  <w:style w:type="paragraph" w:customStyle="1" w:styleId="notetext">
    <w:name w:val="note(text)"/>
    <w:aliases w:val="n"/>
    <w:basedOn w:val="Normal"/>
    <w:link w:val="notetextChar"/>
    <w:rsid w:val="00135613"/>
    <w:pPr>
      <w:spacing w:before="122"/>
      <w:ind w:left="1985" w:hanging="851"/>
    </w:pPr>
    <w:rPr>
      <w:sz w:val="18"/>
    </w:rPr>
  </w:style>
  <w:style w:type="character" w:customStyle="1" w:styleId="notetextChar">
    <w:name w:val="note(text) Char"/>
    <w:aliases w:val="n Char"/>
    <w:basedOn w:val="DefaultParagraphFont"/>
    <w:link w:val="notetext"/>
    <w:rsid w:val="00135613"/>
    <w:rPr>
      <w:sz w:val="18"/>
    </w:rPr>
  </w:style>
  <w:style w:type="paragraph" w:customStyle="1" w:styleId="TableHeading">
    <w:name w:val="TableHeading"/>
    <w:aliases w:val="th"/>
    <w:basedOn w:val="Normal"/>
    <w:next w:val="Tabletext"/>
    <w:rsid w:val="00135613"/>
    <w:pPr>
      <w:keepNext/>
      <w:spacing w:before="60" w:line="240" w:lineRule="atLeast"/>
    </w:pPr>
    <w:rPr>
      <w:b/>
      <w:sz w:val="20"/>
    </w:rPr>
  </w:style>
  <w:style w:type="character" w:customStyle="1" w:styleId="CharPartText">
    <w:name w:val="CharPartText"/>
    <w:basedOn w:val="DefaultParagraphFont"/>
    <w:qFormat/>
    <w:rsid w:val="000F3406"/>
  </w:style>
  <w:style w:type="paragraph" w:styleId="BodyText">
    <w:name w:val="Body Text"/>
    <w:basedOn w:val="Normal"/>
    <w:link w:val="BodyTextChar"/>
    <w:uiPriority w:val="99"/>
    <w:qFormat/>
    <w:rsid w:val="000425A0"/>
    <w:pPr>
      <w:widowControl w:val="0"/>
      <w:spacing w:before="0"/>
      <w:ind w:left="472"/>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99"/>
    <w:rsid w:val="000425A0"/>
    <w:rPr>
      <w:rFonts w:ascii="Calibri" w:eastAsia="Calibri" w:hAnsi="Calibri" w:cstheme="minorBidi"/>
      <w:sz w:val="22"/>
      <w:szCs w:val="22"/>
      <w:lang w:val="en-US" w:eastAsia="en-US"/>
    </w:rPr>
  </w:style>
  <w:style w:type="paragraph" w:customStyle="1" w:styleId="subsection2">
    <w:name w:val="subsection2"/>
    <w:aliases w:val="ss2"/>
    <w:basedOn w:val="Normal"/>
    <w:next w:val="Normal"/>
    <w:rsid w:val="007D189A"/>
    <w:pPr>
      <w:spacing w:before="40"/>
      <w:ind w:left="1134"/>
    </w:pPr>
    <w:rPr>
      <w:sz w:val="22"/>
    </w:rPr>
  </w:style>
  <w:style w:type="paragraph" w:customStyle="1" w:styleId="SubsectionHead">
    <w:name w:val="SubsectionHead"/>
    <w:aliases w:val="ssh"/>
    <w:basedOn w:val="Normal"/>
    <w:next w:val="subsection"/>
    <w:rsid w:val="007D189A"/>
    <w:pPr>
      <w:keepNext/>
      <w:keepLines/>
      <w:ind w:left="113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67">
      <w:bodyDiv w:val="1"/>
      <w:marLeft w:val="0"/>
      <w:marRight w:val="0"/>
      <w:marTop w:val="0"/>
      <w:marBottom w:val="0"/>
      <w:divBdr>
        <w:top w:val="none" w:sz="0" w:space="0" w:color="auto"/>
        <w:left w:val="none" w:sz="0" w:space="0" w:color="auto"/>
        <w:bottom w:val="none" w:sz="0" w:space="0" w:color="auto"/>
        <w:right w:val="none" w:sz="0" w:space="0" w:color="auto"/>
      </w:divBdr>
    </w:div>
    <w:div w:id="91823514">
      <w:bodyDiv w:val="1"/>
      <w:marLeft w:val="0"/>
      <w:marRight w:val="0"/>
      <w:marTop w:val="0"/>
      <w:marBottom w:val="0"/>
      <w:divBdr>
        <w:top w:val="none" w:sz="0" w:space="0" w:color="auto"/>
        <w:left w:val="none" w:sz="0" w:space="0" w:color="auto"/>
        <w:bottom w:val="none" w:sz="0" w:space="0" w:color="auto"/>
        <w:right w:val="none" w:sz="0" w:space="0" w:color="auto"/>
      </w:divBdr>
      <w:divsChild>
        <w:div w:id="1574974398">
          <w:marLeft w:val="0"/>
          <w:marRight w:val="0"/>
          <w:marTop w:val="0"/>
          <w:marBottom w:val="0"/>
          <w:divBdr>
            <w:top w:val="none" w:sz="0" w:space="0" w:color="auto"/>
            <w:left w:val="none" w:sz="0" w:space="0" w:color="auto"/>
            <w:bottom w:val="none" w:sz="0" w:space="0" w:color="auto"/>
            <w:right w:val="none" w:sz="0" w:space="0" w:color="auto"/>
          </w:divBdr>
          <w:divsChild>
            <w:div w:id="158160744">
              <w:marLeft w:val="0"/>
              <w:marRight w:val="0"/>
              <w:marTop w:val="0"/>
              <w:marBottom w:val="0"/>
              <w:divBdr>
                <w:top w:val="none" w:sz="0" w:space="0" w:color="auto"/>
                <w:left w:val="none" w:sz="0" w:space="0" w:color="auto"/>
                <w:bottom w:val="none" w:sz="0" w:space="0" w:color="auto"/>
                <w:right w:val="none" w:sz="0" w:space="0" w:color="auto"/>
              </w:divBdr>
              <w:divsChild>
                <w:div w:id="1037437629">
                  <w:marLeft w:val="0"/>
                  <w:marRight w:val="0"/>
                  <w:marTop w:val="0"/>
                  <w:marBottom w:val="0"/>
                  <w:divBdr>
                    <w:top w:val="none" w:sz="0" w:space="0" w:color="auto"/>
                    <w:left w:val="none" w:sz="0" w:space="0" w:color="auto"/>
                    <w:bottom w:val="none" w:sz="0" w:space="0" w:color="auto"/>
                    <w:right w:val="none" w:sz="0" w:space="0" w:color="auto"/>
                  </w:divBdr>
                  <w:divsChild>
                    <w:div w:id="335615443">
                      <w:marLeft w:val="0"/>
                      <w:marRight w:val="0"/>
                      <w:marTop w:val="0"/>
                      <w:marBottom w:val="0"/>
                      <w:divBdr>
                        <w:top w:val="none" w:sz="0" w:space="0" w:color="auto"/>
                        <w:left w:val="none" w:sz="0" w:space="0" w:color="auto"/>
                        <w:bottom w:val="none" w:sz="0" w:space="0" w:color="auto"/>
                        <w:right w:val="none" w:sz="0" w:space="0" w:color="auto"/>
                      </w:divBdr>
                      <w:divsChild>
                        <w:div w:id="848062925">
                          <w:marLeft w:val="0"/>
                          <w:marRight w:val="0"/>
                          <w:marTop w:val="0"/>
                          <w:marBottom w:val="0"/>
                          <w:divBdr>
                            <w:top w:val="none" w:sz="0" w:space="0" w:color="auto"/>
                            <w:left w:val="none" w:sz="0" w:space="0" w:color="auto"/>
                            <w:bottom w:val="none" w:sz="0" w:space="0" w:color="auto"/>
                            <w:right w:val="none" w:sz="0" w:space="0" w:color="auto"/>
                          </w:divBdr>
                          <w:divsChild>
                            <w:div w:id="152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69087">
      <w:bodyDiv w:val="1"/>
      <w:marLeft w:val="0"/>
      <w:marRight w:val="0"/>
      <w:marTop w:val="0"/>
      <w:marBottom w:val="0"/>
      <w:divBdr>
        <w:top w:val="none" w:sz="0" w:space="0" w:color="auto"/>
        <w:left w:val="none" w:sz="0" w:space="0" w:color="auto"/>
        <w:bottom w:val="none" w:sz="0" w:space="0" w:color="auto"/>
        <w:right w:val="none" w:sz="0" w:space="0" w:color="auto"/>
      </w:divBdr>
    </w:div>
    <w:div w:id="361328604">
      <w:bodyDiv w:val="1"/>
      <w:marLeft w:val="0"/>
      <w:marRight w:val="0"/>
      <w:marTop w:val="0"/>
      <w:marBottom w:val="0"/>
      <w:divBdr>
        <w:top w:val="none" w:sz="0" w:space="0" w:color="auto"/>
        <w:left w:val="none" w:sz="0" w:space="0" w:color="auto"/>
        <w:bottom w:val="none" w:sz="0" w:space="0" w:color="auto"/>
        <w:right w:val="none" w:sz="0" w:space="0" w:color="auto"/>
      </w:divBdr>
    </w:div>
    <w:div w:id="407504925">
      <w:bodyDiv w:val="1"/>
      <w:marLeft w:val="0"/>
      <w:marRight w:val="0"/>
      <w:marTop w:val="0"/>
      <w:marBottom w:val="0"/>
      <w:divBdr>
        <w:top w:val="none" w:sz="0" w:space="0" w:color="auto"/>
        <w:left w:val="none" w:sz="0" w:space="0" w:color="auto"/>
        <w:bottom w:val="none" w:sz="0" w:space="0" w:color="auto"/>
        <w:right w:val="none" w:sz="0" w:space="0" w:color="auto"/>
      </w:divBdr>
    </w:div>
    <w:div w:id="977225596">
      <w:bodyDiv w:val="1"/>
      <w:marLeft w:val="0"/>
      <w:marRight w:val="0"/>
      <w:marTop w:val="0"/>
      <w:marBottom w:val="0"/>
      <w:divBdr>
        <w:top w:val="none" w:sz="0" w:space="0" w:color="auto"/>
        <w:left w:val="none" w:sz="0" w:space="0" w:color="auto"/>
        <w:bottom w:val="none" w:sz="0" w:space="0" w:color="auto"/>
        <w:right w:val="none" w:sz="0" w:space="0" w:color="auto"/>
      </w:divBdr>
    </w:div>
    <w:div w:id="1459907379">
      <w:bodyDiv w:val="1"/>
      <w:marLeft w:val="0"/>
      <w:marRight w:val="0"/>
      <w:marTop w:val="0"/>
      <w:marBottom w:val="0"/>
      <w:divBdr>
        <w:top w:val="none" w:sz="0" w:space="0" w:color="auto"/>
        <w:left w:val="none" w:sz="0" w:space="0" w:color="auto"/>
        <w:bottom w:val="none" w:sz="0" w:space="0" w:color="auto"/>
        <w:right w:val="none" w:sz="0" w:space="0" w:color="auto"/>
      </w:divBdr>
    </w:div>
    <w:div w:id="1488788233">
      <w:bodyDiv w:val="1"/>
      <w:marLeft w:val="0"/>
      <w:marRight w:val="0"/>
      <w:marTop w:val="0"/>
      <w:marBottom w:val="0"/>
      <w:divBdr>
        <w:top w:val="none" w:sz="0" w:space="0" w:color="auto"/>
        <w:left w:val="none" w:sz="0" w:space="0" w:color="auto"/>
        <w:bottom w:val="none" w:sz="0" w:space="0" w:color="auto"/>
        <w:right w:val="none" w:sz="0" w:space="0" w:color="auto"/>
      </w:divBdr>
    </w:div>
    <w:div w:id="1570655273">
      <w:bodyDiv w:val="1"/>
      <w:marLeft w:val="0"/>
      <w:marRight w:val="0"/>
      <w:marTop w:val="0"/>
      <w:marBottom w:val="0"/>
      <w:divBdr>
        <w:top w:val="none" w:sz="0" w:space="0" w:color="auto"/>
        <w:left w:val="none" w:sz="0" w:space="0" w:color="auto"/>
        <w:bottom w:val="none" w:sz="0" w:space="0" w:color="auto"/>
        <w:right w:val="none" w:sz="0" w:space="0" w:color="auto"/>
      </w:divBdr>
    </w:div>
    <w:div w:id="1631742663">
      <w:bodyDiv w:val="1"/>
      <w:marLeft w:val="0"/>
      <w:marRight w:val="0"/>
      <w:marTop w:val="0"/>
      <w:marBottom w:val="0"/>
      <w:divBdr>
        <w:top w:val="none" w:sz="0" w:space="0" w:color="auto"/>
        <w:left w:val="none" w:sz="0" w:space="0" w:color="auto"/>
        <w:bottom w:val="none" w:sz="0" w:space="0" w:color="auto"/>
        <w:right w:val="none" w:sz="0" w:space="0" w:color="auto"/>
      </w:divBdr>
    </w:div>
    <w:div w:id="1727407448">
      <w:bodyDiv w:val="1"/>
      <w:marLeft w:val="0"/>
      <w:marRight w:val="0"/>
      <w:marTop w:val="0"/>
      <w:marBottom w:val="0"/>
      <w:divBdr>
        <w:top w:val="none" w:sz="0" w:space="0" w:color="auto"/>
        <w:left w:val="none" w:sz="0" w:space="0" w:color="auto"/>
        <w:bottom w:val="none" w:sz="0" w:space="0" w:color="auto"/>
        <w:right w:val="none" w:sz="0" w:space="0" w:color="auto"/>
      </w:divBdr>
    </w:div>
    <w:div w:id="1803309040">
      <w:bodyDiv w:val="1"/>
      <w:marLeft w:val="0"/>
      <w:marRight w:val="0"/>
      <w:marTop w:val="0"/>
      <w:marBottom w:val="0"/>
      <w:divBdr>
        <w:top w:val="none" w:sz="0" w:space="0" w:color="auto"/>
        <w:left w:val="none" w:sz="0" w:space="0" w:color="auto"/>
        <w:bottom w:val="none" w:sz="0" w:space="0" w:color="auto"/>
        <w:right w:val="none" w:sz="0" w:space="0" w:color="auto"/>
      </w:divBdr>
      <w:divsChild>
        <w:div w:id="1804930272">
          <w:marLeft w:val="0"/>
          <w:marRight w:val="0"/>
          <w:marTop w:val="0"/>
          <w:marBottom w:val="0"/>
          <w:divBdr>
            <w:top w:val="none" w:sz="0" w:space="0" w:color="auto"/>
            <w:left w:val="none" w:sz="0" w:space="0" w:color="auto"/>
            <w:bottom w:val="none" w:sz="0" w:space="0" w:color="auto"/>
            <w:right w:val="none" w:sz="0" w:space="0" w:color="auto"/>
          </w:divBdr>
          <w:divsChild>
            <w:div w:id="1205604970">
              <w:marLeft w:val="0"/>
              <w:marRight w:val="0"/>
              <w:marTop w:val="0"/>
              <w:marBottom w:val="0"/>
              <w:divBdr>
                <w:top w:val="none" w:sz="0" w:space="0" w:color="auto"/>
                <w:left w:val="none" w:sz="0" w:space="0" w:color="auto"/>
                <w:bottom w:val="none" w:sz="0" w:space="0" w:color="auto"/>
                <w:right w:val="none" w:sz="0" w:space="0" w:color="auto"/>
              </w:divBdr>
              <w:divsChild>
                <w:div w:id="1331518539">
                  <w:marLeft w:val="0"/>
                  <w:marRight w:val="0"/>
                  <w:marTop w:val="0"/>
                  <w:marBottom w:val="0"/>
                  <w:divBdr>
                    <w:top w:val="none" w:sz="0" w:space="0" w:color="auto"/>
                    <w:left w:val="none" w:sz="0" w:space="0" w:color="auto"/>
                    <w:bottom w:val="none" w:sz="0" w:space="0" w:color="auto"/>
                    <w:right w:val="none" w:sz="0" w:space="0" w:color="auto"/>
                  </w:divBdr>
                  <w:divsChild>
                    <w:div w:id="1957592772">
                      <w:marLeft w:val="0"/>
                      <w:marRight w:val="0"/>
                      <w:marTop w:val="0"/>
                      <w:marBottom w:val="0"/>
                      <w:divBdr>
                        <w:top w:val="none" w:sz="0" w:space="0" w:color="auto"/>
                        <w:left w:val="none" w:sz="0" w:space="0" w:color="auto"/>
                        <w:bottom w:val="none" w:sz="0" w:space="0" w:color="auto"/>
                        <w:right w:val="none" w:sz="0" w:space="0" w:color="auto"/>
                      </w:divBdr>
                      <w:divsChild>
                        <w:div w:id="834422221">
                          <w:marLeft w:val="0"/>
                          <w:marRight w:val="0"/>
                          <w:marTop w:val="0"/>
                          <w:marBottom w:val="0"/>
                          <w:divBdr>
                            <w:top w:val="none" w:sz="0" w:space="0" w:color="auto"/>
                            <w:left w:val="none" w:sz="0" w:space="0" w:color="auto"/>
                            <w:bottom w:val="none" w:sz="0" w:space="0" w:color="auto"/>
                            <w:right w:val="none" w:sz="0" w:space="0" w:color="auto"/>
                          </w:divBdr>
                          <w:divsChild>
                            <w:div w:id="2133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13" ma:contentTypeDescription="Create a new document." ma:contentTypeScope="" ma:versionID="75315218440a51324daf65e5776758cf">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d155bc35bc822f924a91467a86c072f"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85B4-89ED-4BC1-B9EC-70B1AA65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352C8-61B5-439C-9F89-3C90844D15D1}">
  <ds:schemaRefs>
    <ds:schemaRef ds:uri="http://schemas.microsoft.com/office/2006/metadata/properties"/>
    <ds:schemaRef ds:uri="http://schemas.microsoft.com/office/infopath/2007/PartnerControls"/>
    <ds:schemaRef ds:uri="9117e6a1-d196-48d2-9359-b2065b5eaea6"/>
  </ds:schemaRefs>
</ds:datastoreItem>
</file>

<file path=customXml/itemProps3.xml><?xml version="1.0" encoding="utf-8"?>
<ds:datastoreItem xmlns:ds="http://schemas.openxmlformats.org/officeDocument/2006/customXml" ds:itemID="{E50FB8B8-291C-4B19-8B91-99F08068B841}">
  <ds:schemaRefs>
    <ds:schemaRef ds:uri="http://schemas.microsoft.com/sharepoint/v3/contenttype/forms"/>
  </ds:schemaRefs>
</ds:datastoreItem>
</file>

<file path=customXml/itemProps4.xml><?xml version="1.0" encoding="utf-8"?>
<ds:datastoreItem xmlns:ds="http://schemas.openxmlformats.org/officeDocument/2006/customXml" ds:itemID="{530B47A1-5D28-4D04-A501-DEC3D632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Federal Executive Council Handbook 2017</vt:lpstr>
    </vt:vector>
  </TitlesOfParts>
  <Company>Department of the Prime Minister and Cabinet</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2017</dc:title>
  <dc:creator>Federal Executive Council</dc:creator>
  <cp:lastModifiedBy>John Templeton</cp:lastModifiedBy>
  <cp:revision>10</cp:revision>
  <cp:lastPrinted>2020-05-07T23:52:00Z</cp:lastPrinted>
  <dcterms:created xsi:type="dcterms:W3CDTF">2022-07-08T10:04:00Z</dcterms:created>
  <dcterms:modified xsi:type="dcterms:W3CDTF">2022-08-05T04:06:00Z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0x010100EB73F496D7259045B717B9BCC29B46BD</vt:lpwstr>
  </property>
</Properties>
</file>